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F096" w14:textId="0D0C6F5D" w:rsidR="006A6DC2" w:rsidRPr="006A6DC2" w:rsidRDefault="006A6DC2" w:rsidP="006A6DC2">
      <w:pPr>
        <w:jc w:val="center"/>
        <w:rPr>
          <w:b/>
          <w:bCs/>
          <w:lang w:val="es-ES_tradnl"/>
        </w:rPr>
      </w:pPr>
      <w:r w:rsidRPr="006A6DC2">
        <w:rPr>
          <w:b/>
          <w:bCs/>
          <w:lang w:val="es-ES_tradnl"/>
        </w:rPr>
        <w:t>Revisiones de las Normas de Adquisiciones del Banco Mundial para Prestatarios de Proyectos IPF</w:t>
      </w:r>
    </w:p>
    <w:p w14:paraId="60FF7DF6" w14:textId="6D3386C7" w:rsidR="006A6DC2" w:rsidRPr="006A6DC2" w:rsidRDefault="006A6DC2" w:rsidP="006A6DC2">
      <w:pPr>
        <w:jc w:val="center"/>
        <w:rPr>
          <w:b/>
          <w:bCs/>
          <w:color w:val="0070C0"/>
          <w:lang w:val="es-ES_tradnl"/>
        </w:rPr>
      </w:pPr>
      <w:r w:rsidRPr="006A6DC2">
        <w:rPr>
          <w:b/>
          <w:bCs/>
          <w:color w:val="0070C0"/>
          <w:lang w:val="es-ES_tradnl"/>
        </w:rPr>
        <w:t>Sexta Edición, febrero de 2025</w:t>
      </w:r>
    </w:p>
    <w:p w14:paraId="44902D8B" w14:textId="25980D47" w:rsidR="006A6DC2" w:rsidRPr="000E2FA2" w:rsidRDefault="006A6DC2" w:rsidP="00746AEB">
      <w:pPr>
        <w:ind w:right="4"/>
        <w:jc w:val="both"/>
        <w:rPr>
          <w:lang w:val="es-ES_tradnl"/>
        </w:rPr>
      </w:pPr>
      <w:r w:rsidRPr="000E2FA2">
        <w:rPr>
          <w:lang w:val="es-ES_tradnl"/>
        </w:rPr>
        <w:t>La revisión refleja la mayor supervisión del Banco de la Estrategia de Adquisiciones para Proyectos de Desarrollo (</w:t>
      </w:r>
      <w:r w:rsidR="00746AEB">
        <w:rPr>
          <w:lang w:val="es-ES_tradnl"/>
        </w:rPr>
        <w:t>EAPD</w:t>
      </w:r>
      <w:r w:rsidRPr="000E2FA2">
        <w:rPr>
          <w:lang w:val="es-ES_tradnl"/>
        </w:rPr>
        <w:t>), nuevos requisitos para la Interacción Temprana con el Mercado (e</w:t>
      </w:r>
      <w:r w:rsidR="00746AEB">
        <w:rPr>
          <w:lang w:val="es-ES_tradnl"/>
        </w:rPr>
        <w:t>n</w:t>
      </w:r>
      <w:r w:rsidRPr="000E2FA2">
        <w:rPr>
          <w:lang w:val="es-ES_tradnl"/>
        </w:rPr>
        <w:t xml:space="preserve"> las adquisiciones competitivas internacionales de más de 10 millones de dólares estadounidenses), el uso obligatorio de ponderaciones para los Criterios con Puntaje y la eliminación de la referencia a la publicación en United Nations Development Business (UNDB). La revisión relacionada con estos aspectos incluye:</w:t>
      </w:r>
    </w:p>
    <w:p w14:paraId="6A300BE7" w14:textId="5AC0F827" w:rsidR="006A6DC2" w:rsidRPr="000E2FA2" w:rsidRDefault="006A6DC2" w:rsidP="006A6DC2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47" w:right="522" w:hanging="368"/>
        <w:jc w:val="both"/>
        <w:rPr>
          <w:rFonts w:eastAsia="Times New Roman"/>
          <w:lang w:val="es-ES_tradnl"/>
        </w:rPr>
      </w:pPr>
      <w:r w:rsidRPr="000E2FA2">
        <w:rPr>
          <w:rFonts w:eastAsia="Times New Roman"/>
          <w:lang w:val="es-ES_tradnl"/>
        </w:rPr>
        <w:t xml:space="preserve">En el Párrafo 3.24 se agregó </w:t>
      </w:r>
      <w:r w:rsidR="00F63172">
        <w:rPr>
          <w:rFonts w:eastAsia="Times New Roman"/>
          <w:lang w:val="es-ES_tradnl"/>
        </w:rPr>
        <w:t>texto indicando que</w:t>
      </w:r>
      <w:r w:rsidRPr="000E2FA2">
        <w:rPr>
          <w:rFonts w:eastAsia="Times New Roman"/>
          <w:lang w:val="es-ES_tradnl"/>
        </w:rPr>
        <w:t xml:space="preserve"> las adquisiciones viciadas pueden incluir la aplicación incorrecta de los Criterios </w:t>
      </w:r>
      <w:r w:rsidR="00735A0D">
        <w:rPr>
          <w:rFonts w:eastAsia="Times New Roman"/>
          <w:lang w:val="es-ES_tradnl"/>
        </w:rPr>
        <w:t>con Puntaje</w:t>
      </w:r>
      <w:r w:rsidRPr="000E2FA2">
        <w:rPr>
          <w:rFonts w:eastAsia="Times New Roman"/>
          <w:lang w:val="es-ES_tradnl"/>
        </w:rPr>
        <w:t xml:space="preserve"> y las ponderaciones mínimas;</w:t>
      </w:r>
    </w:p>
    <w:p w14:paraId="50459806" w14:textId="59377BF3" w:rsidR="006A6DC2" w:rsidRPr="000E2FA2" w:rsidRDefault="00F63172" w:rsidP="006A6DC2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47" w:right="522" w:hanging="368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En e</w:t>
      </w:r>
      <w:r w:rsidR="006A6DC2" w:rsidRPr="000E2FA2">
        <w:rPr>
          <w:rFonts w:eastAsia="Times New Roman"/>
          <w:lang w:val="es-ES_tradnl"/>
        </w:rPr>
        <w:t xml:space="preserve">l párrafo 4.2 se agregó </w:t>
      </w:r>
      <w:r w:rsidR="00735A0D">
        <w:rPr>
          <w:rFonts w:eastAsia="Times New Roman"/>
          <w:lang w:val="es-ES_tradnl"/>
        </w:rPr>
        <w:t xml:space="preserve">exigiendo </w:t>
      </w:r>
      <w:r w:rsidR="006A6DC2" w:rsidRPr="000E2FA2">
        <w:rPr>
          <w:rFonts w:eastAsia="Times New Roman"/>
          <w:lang w:val="es-ES_tradnl"/>
        </w:rPr>
        <w:t>que la EAPD describa los objetivos de adquisición, el enfoque de adquisición propuesto, el plan de interacción con el mercado, la metodología de evaluación, los Criterios con Puntaje específicos y su priorización y ponderaciones propuestas;</w:t>
      </w:r>
    </w:p>
    <w:p w14:paraId="18E608BB" w14:textId="0DA7003E" w:rsidR="006A6DC2" w:rsidRPr="000E2FA2" w:rsidRDefault="00403A5C" w:rsidP="006A6DC2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47" w:right="522" w:hanging="368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En el </w:t>
      </w:r>
      <w:r w:rsidR="006A6DC2" w:rsidRPr="000E2FA2">
        <w:rPr>
          <w:rFonts w:eastAsia="Times New Roman"/>
          <w:lang w:val="es-ES_tradnl"/>
        </w:rPr>
        <w:t xml:space="preserve">Párrafo 4.3 se agregó </w:t>
      </w:r>
      <w:r w:rsidR="00F63172">
        <w:rPr>
          <w:rFonts w:eastAsia="Times New Roman"/>
          <w:lang w:val="es-ES_tradnl"/>
        </w:rPr>
        <w:t xml:space="preserve">texto </w:t>
      </w:r>
      <w:r w:rsidR="00735A0D">
        <w:rPr>
          <w:rFonts w:eastAsia="Times New Roman"/>
          <w:lang w:val="es-ES_tradnl"/>
        </w:rPr>
        <w:t>exigiendo</w:t>
      </w:r>
      <w:r w:rsidR="006A6DC2" w:rsidRPr="000E2FA2">
        <w:rPr>
          <w:rFonts w:eastAsia="Times New Roman"/>
          <w:lang w:val="es-ES_tradnl"/>
        </w:rPr>
        <w:t xml:space="preserve"> la preparación de la EAPD durante la preparación del proyecto para que el Banco la revise y la apruebe como parte de las negociaciones del préstamo, </w:t>
      </w:r>
      <w:r w:rsidR="00735A0D">
        <w:rPr>
          <w:rFonts w:eastAsia="Times New Roman"/>
          <w:lang w:val="es-ES_tradnl"/>
        </w:rPr>
        <w:t xml:space="preserve">las </w:t>
      </w:r>
      <w:r w:rsidR="006A6DC2" w:rsidRPr="000E2FA2">
        <w:rPr>
          <w:rFonts w:eastAsia="Times New Roman"/>
          <w:lang w:val="es-ES_tradnl"/>
        </w:rPr>
        <w:t>actualizaciones periódicas de la EAPD al menos una vez al año, las actualizaciones también deben reflejar los hallazgos de la Interacción Temprana con el Mercado y que las actualizaciones deben presentarse al Banco para su revisión y aprobación;</w:t>
      </w:r>
    </w:p>
    <w:p w14:paraId="4BE9ACA6" w14:textId="5B8B9EE7" w:rsidR="006A6DC2" w:rsidRPr="000E2FA2" w:rsidRDefault="00403A5C" w:rsidP="006A6DC2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47" w:right="522" w:hanging="368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En el </w:t>
      </w:r>
      <w:r w:rsidR="006A6DC2" w:rsidRPr="000E2FA2">
        <w:rPr>
          <w:rFonts w:eastAsia="Times New Roman"/>
          <w:lang w:val="es-ES_tradnl"/>
        </w:rPr>
        <w:t xml:space="preserve">Párrafo 4.4 se agregó </w:t>
      </w:r>
      <w:r>
        <w:rPr>
          <w:rFonts w:eastAsia="Times New Roman"/>
          <w:lang w:val="es-ES_tradnl"/>
        </w:rPr>
        <w:t>texto e</w:t>
      </w:r>
      <w:r w:rsidR="00735A0D">
        <w:rPr>
          <w:rFonts w:eastAsia="Times New Roman"/>
          <w:lang w:val="es-ES_tradnl"/>
        </w:rPr>
        <w:t>xigiendo</w:t>
      </w:r>
      <w:r w:rsidR="006A6DC2" w:rsidRPr="000E2FA2">
        <w:rPr>
          <w:rFonts w:eastAsia="Times New Roman"/>
          <w:lang w:val="es-ES_tradnl"/>
        </w:rPr>
        <w:t xml:space="preserve"> que todos los proyectos con contratos de adquisiciones competitivas internacionales con un costo estimado de más de 10 millones de dólares estadounidenses realicen </w:t>
      </w:r>
      <w:r w:rsidR="00735A0D">
        <w:rPr>
          <w:rFonts w:eastAsia="Times New Roman"/>
          <w:lang w:val="es-ES_tradnl"/>
        </w:rPr>
        <w:t>una</w:t>
      </w:r>
      <w:r w:rsidR="006A6DC2" w:rsidRPr="000E2FA2">
        <w:rPr>
          <w:rFonts w:eastAsia="Times New Roman"/>
          <w:lang w:val="es-ES_tradnl"/>
        </w:rPr>
        <w:t xml:space="preserve"> Interacción Temprana con el Mercado para cada uno de esos contratos. El plan y el enfoque de la Interacción Temprana con el Mercado </w:t>
      </w:r>
      <w:r w:rsidR="00735A0D">
        <w:rPr>
          <w:rFonts w:eastAsia="Times New Roman"/>
          <w:lang w:val="es-ES_tradnl"/>
        </w:rPr>
        <w:t>deberá ser detallado</w:t>
      </w:r>
      <w:r w:rsidR="006A6DC2" w:rsidRPr="000E2FA2">
        <w:rPr>
          <w:rFonts w:eastAsia="Times New Roman"/>
          <w:lang w:val="es-ES_tradnl"/>
        </w:rPr>
        <w:t xml:space="preserve"> en la EAPD;</w:t>
      </w:r>
    </w:p>
    <w:p w14:paraId="15597549" w14:textId="527E42F5" w:rsidR="006A6DC2" w:rsidRDefault="000E2FA2" w:rsidP="006A6DC2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47" w:right="522" w:hanging="368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El</w:t>
      </w:r>
      <w:r w:rsidR="006A6DC2" w:rsidRPr="000E2FA2">
        <w:rPr>
          <w:rFonts w:eastAsia="Times New Roman"/>
          <w:lang w:val="es-ES_tradnl"/>
        </w:rPr>
        <w:t xml:space="preserve"> </w:t>
      </w:r>
      <w:r w:rsidRPr="000E2FA2">
        <w:rPr>
          <w:rFonts w:eastAsia="Times New Roman"/>
          <w:lang w:val="es-ES_tradnl"/>
        </w:rPr>
        <w:t>P</w:t>
      </w:r>
      <w:r w:rsidR="006A6DC2" w:rsidRPr="000E2FA2">
        <w:rPr>
          <w:rFonts w:eastAsia="Times New Roman"/>
          <w:lang w:val="es-ES_tradnl"/>
        </w:rPr>
        <w:t xml:space="preserve">árrafo 5.32 </w:t>
      </w:r>
      <w:r w:rsidR="00735A0D">
        <w:rPr>
          <w:rFonts w:eastAsia="Times New Roman"/>
          <w:lang w:val="es-ES_tradnl"/>
        </w:rPr>
        <w:t>se agregó el</w:t>
      </w:r>
      <w:r>
        <w:rPr>
          <w:rFonts w:eastAsia="Times New Roman"/>
          <w:lang w:val="es-ES_tradnl"/>
        </w:rPr>
        <w:t xml:space="preserve"> </w:t>
      </w:r>
      <w:r w:rsidRPr="000E2FA2">
        <w:rPr>
          <w:rFonts w:eastAsia="Times New Roman"/>
          <w:lang w:val="es-ES_tradnl"/>
        </w:rPr>
        <w:t>o</w:t>
      </w:r>
      <w:r>
        <w:rPr>
          <w:rFonts w:eastAsia="Times New Roman"/>
          <w:lang w:val="es-ES_tradnl"/>
        </w:rPr>
        <w:t xml:space="preserve">frecimiento </w:t>
      </w:r>
      <w:r w:rsidR="006A6DC2" w:rsidRPr="000E2FA2">
        <w:rPr>
          <w:rFonts w:eastAsia="Times New Roman"/>
          <w:lang w:val="es-ES_tradnl"/>
        </w:rPr>
        <w:t xml:space="preserve">al Prestatario </w:t>
      </w:r>
      <w:r>
        <w:rPr>
          <w:rFonts w:eastAsia="Times New Roman"/>
          <w:lang w:val="es-ES_tradnl"/>
        </w:rPr>
        <w:t xml:space="preserve">de </w:t>
      </w:r>
      <w:r w:rsidR="006A6DC2" w:rsidRPr="000E2FA2">
        <w:rPr>
          <w:rFonts w:eastAsia="Times New Roman"/>
          <w:lang w:val="es-ES_tradnl"/>
        </w:rPr>
        <w:t>la opción de realizar pagos directos a un proveedor, contratista o consultor (de acuerdo con el marco de desembolso del Banco) a pedido del Prestatario para todos los contratos con un costo estimado de más de 10 millones de dólares</w:t>
      </w:r>
      <w:r w:rsidRPr="000E2FA2">
        <w:rPr>
          <w:rFonts w:eastAsia="Times New Roman"/>
          <w:lang w:val="es-ES_tradnl"/>
        </w:rPr>
        <w:t xml:space="preserve"> estadounidenses</w:t>
      </w:r>
      <w:r w:rsidR="006A6DC2" w:rsidRPr="000E2FA2">
        <w:rPr>
          <w:rFonts w:eastAsia="Times New Roman"/>
          <w:lang w:val="es-ES_tradnl"/>
        </w:rPr>
        <w:t>, adjudicados mediante adquisiciones competitivas internacionales/selección directa;</w:t>
      </w:r>
    </w:p>
    <w:p w14:paraId="0F80793C" w14:textId="50DB8D17" w:rsidR="00805CCE" w:rsidRPr="00805CCE" w:rsidRDefault="00735A0D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El </w:t>
      </w:r>
      <w:r w:rsidR="008E18E9">
        <w:rPr>
          <w:rFonts w:eastAsia="Times New Roman"/>
          <w:lang w:val="es-ES_tradnl"/>
        </w:rPr>
        <w:t>P</w:t>
      </w:r>
      <w:r w:rsidR="00805CCE" w:rsidRPr="00805CCE">
        <w:rPr>
          <w:rFonts w:eastAsia="Times New Roman"/>
          <w:lang w:val="es-ES_tradnl"/>
        </w:rPr>
        <w:t xml:space="preserve">árrafo 5.50 </w:t>
      </w:r>
      <w:r>
        <w:rPr>
          <w:rFonts w:eastAsia="Times New Roman"/>
          <w:lang w:val="es-ES_tradnl"/>
        </w:rPr>
        <w:t>establece</w:t>
      </w:r>
      <w:r w:rsidR="00805CCE" w:rsidRPr="00805CCE">
        <w:rPr>
          <w:rFonts w:eastAsia="Times New Roman"/>
          <w:lang w:val="es-ES_tradnl"/>
        </w:rPr>
        <w:t xml:space="preserve"> que para cualquier adquisición competitiva internacional en la que se requiera el uso de </w:t>
      </w:r>
      <w:r>
        <w:rPr>
          <w:rFonts w:eastAsia="Times New Roman"/>
          <w:lang w:val="es-ES_tradnl"/>
        </w:rPr>
        <w:t>los DEA</w:t>
      </w:r>
      <w:r w:rsidR="00805CCE" w:rsidRPr="00805CCE">
        <w:rPr>
          <w:rFonts w:eastAsia="Times New Roman"/>
          <w:lang w:val="es-ES_tradnl"/>
        </w:rPr>
        <w:t xml:space="preserve"> (excluidos los productos farmacéuticos, vacunas y productos básicos), se aplicarán </w:t>
      </w:r>
      <w:r>
        <w:rPr>
          <w:rFonts w:eastAsia="Times New Roman"/>
          <w:lang w:val="es-ES_tradnl"/>
        </w:rPr>
        <w:t>Criterios con Puntaje</w:t>
      </w:r>
      <w:r w:rsidR="00805CCE" w:rsidRPr="00805CCE">
        <w:rPr>
          <w:rFonts w:eastAsia="Times New Roman"/>
          <w:lang w:val="es-ES_tradnl"/>
        </w:rPr>
        <w:t xml:space="preserve">. Además, el </w:t>
      </w:r>
      <w:r>
        <w:rPr>
          <w:rFonts w:eastAsia="Times New Roman"/>
          <w:lang w:val="es-ES_tradnl"/>
        </w:rPr>
        <w:t>P</w:t>
      </w:r>
      <w:r w:rsidR="00805CCE" w:rsidRPr="00805CCE">
        <w:rPr>
          <w:rFonts w:eastAsia="Times New Roman"/>
          <w:lang w:val="es-ES_tradnl"/>
        </w:rPr>
        <w:t xml:space="preserve">restatario deberá especificar las ponderaciones de </w:t>
      </w:r>
      <w:r>
        <w:rPr>
          <w:rFonts w:eastAsia="Times New Roman"/>
          <w:lang w:val="es-ES_tradnl"/>
        </w:rPr>
        <w:t>los Criterios con Puntaje</w:t>
      </w:r>
      <w:r w:rsidR="00805CCE" w:rsidRPr="00805CCE">
        <w:rPr>
          <w:rFonts w:eastAsia="Times New Roman"/>
          <w:lang w:val="es-ES_tradnl"/>
        </w:rPr>
        <w:t xml:space="preserve"> (por ejemplo, cuestiones técnicas, cualitativas y no relacionadas con el precio) en el documento de </w:t>
      </w:r>
      <w:r>
        <w:rPr>
          <w:rFonts w:eastAsia="Times New Roman"/>
          <w:lang w:val="es-ES_tradnl"/>
        </w:rPr>
        <w:t>S</w:t>
      </w:r>
      <w:r w:rsidR="00805CCE" w:rsidRPr="00805CCE">
        <w:rPr>
          <w:rFonts w:eastAsia="Times New Roman"/>
          <w:lang w:val="es-ES_tradnl"/>
        </w:rPr>
        <w:t xml:space="preserve">olicitud de </w:t>
      </w:r>
      <w:r>
        <w:rPr>
          <w:rFonts w:eastAsia="Times New Roman"/>
          <w:lang w:val="es-ES_tradnl"/>
        </w:rPr>
        <w:t>O</w:t>
      </w:r>
      <w:r w:rsidR="00805CCE" w:rsidRPr="00805CCE">
        <w:rPr>
          <w:rFonts w:eastAsia="Times New Roman"/>
          <w:lang w:val="es-ES_tradnl"/>
        </w:rPr>
        <w:t xml:space="preserve">fertas o </w:t>
      </w:r>
      <w:r>
        <w:rPr>
          <w:rFonts w:eastAsia="Times New Roman"/>
          <w:lang w:val="es-ES_tradnl"/>
        </w:rPr>
        <w:t>S</w:t>
      </w:r>
      <w:r w:rsidR="00805CCE" w:rsidRPr="00805CCE">
        <w:rPr>
          <w:rFonts w:eastAsia="Times New Roman"/>
          <w:lang w:val="es-ES_tradnl"/>
        </w:rPr>
        <w:t xml:space="preserve">olicitud de </w:t>
      </w:r>
      <w:r>
        <w:rPr>
          <w:rFonts w:eastAsia="Times New Roman"/>
          <w:lang w:val="es-ES_tradnl"/>
        </w:rPr>
        <w:t>P</w:t>
      </w:r>
      <w:r w:rsidR="00805CCE" w:rsidRPr="00805CCE">
        <w:rPr>
          <w:rFonts w:eastAsia="Times New Roman"/>
          <w:lang w:val="es-ES_tradnl"/>
        </w:rPr>
        <w:t xml:space="preserve">ropuestas. Las ponderaciones de los </w:t>
      </w:r>
      <w:r>
        <w:rPr>
          <w:rFonts w:eastAsia="Times New Roman"/>
          <w:lang w:val="es-ES_tradnl"/>
        </w:rPr>
        <w:t>Criterios con Puntaje</w:t>
      </w:r>
      <w:r w:rsidR="00805CCE" w:rsidRPr="00805CCE">
        <w:rPr>
          <w:rFonts w:eastAsia="Times New Roman"/>
          <w:lang w:val="es-ES_tradnl"/>
        </w:rPr>
        <w:t xml:space="preserve"> se determinan en función del riesgo y el costo de la adquisición de la siguiente manera:</w:t>
      </w:r>
    </w:p>
    <w:p w14:paraId="4EB7AB5E" w14:textId="015643E9" w:rsidR="00805CCE" w:rsidRPr="008E18E9" w:rsidRDefault="00805CCE" w:rsidP="008E18E9">
      <w:pPr>
        <w:widowControl w:val="0"/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51" w:right="522"/>
        <w:jc w:val="both"/>
        <w:rPr>
          <w:rFonts w:eastAsia="Times New Roman"/>
          <w:lang w:val="es-ES_tradnl"/>
        </w:rPr>
      </w:pPr>
      <w:r w:rsidRPr="008E18E9">
        <w:rPr>
          <w:rFonts w:eastAsia="Times New Roman"/>
          <w:lang w:val="es-ES_tradnl"/>
        </w:rPr>
        <w:t xml:space="preserve">a. Riesgo de </w:t>
      </w:r>
      <w:r w:rsidR="008E18E9">
        <w:rPr>
          <w:rFonts w:eastAsia="Times New Roman"/>
          <w:lang w:val="es-ES_tradnl"/>
        </w:rPr>
        <w:t>A</w:t>
      </w:r>
      <w:r w:rsidRPr="008E18E9">
        <w:rPr>
          <w:rFonts w:eastAsia="Times New Roman"/>
          <w:lang w:val="es-ES_tradnl"/>
        </w:rPr>
        <w:t xml:space="preserve">dquisición </w:t>
      </w:r>
      <w:r w:rsidR="008E18E9">
        <w:rPr>
          <w:rFonts w:eastAsia="Times New Roman"/>
          <w:lang w:val="es-ES_tradnl"/>
        </w:rPr>
        <w:t>A</w:t>
      </w:r>
      <w:r w:rsidRPr="008E18E9">
        <w:rPr>
          <w:rFonts w:eastAsia="Times New Roman"/>
          <w:lang w:val="es-ES_tradnl"/>
        </w:rPr>
        <w:t xml:space="preserve">lto o </w:t>
      </w:r>
      <w:r w:rsidR="008E18E9">
        <w:rPr>
          <w:rFonts w:eastAsia="Times New Roman"/>
          <w:lang w:val="es-ES_tradnl"/>
        </w:rPr>
        <w:t>S</w:t>
      </w:r>
      <w:r w:rsidRPr="008E18E9">
        <w:rPr>
          <w:rFonts w:eastAsia="Times New Roman"/>
          <w:lang w:val="es-ES_tradnl"/>
        </w:rPr>
        <w:t xml:space="preserve">ustancial y </w:t>
      </w:r>
      <w:r w:rsidR="008E18E9">
        <w:rPr>
          <w:rFonts w:eastAsia="Times New Roman"/>
          <w:lang w:val="es-ES_tradnl"/>
        </w:rPr>
        <w:t>V</w:t>
      </w:r>
      <w:r w:rsidRPr="008E18E9">
        <w:rPr>
          <w:rFonts w:eastAsia="Times New Roman"/>
          <w:lang w:val="es-ES_tradnl"/>
        </w:rPr>
        <w:t xml:space="preserve">alor </w:t>
      </w:r>
      <w:r w:rsidR="008E18E9">
        <w:rPr>
          <w:rFonts w:eastAsia="Times New Roman"/>
          <w:lang w:val="es-ES_tradnl"/>
        </w:rPr>
        <w:t>A</w:t>
      </w:r>
      <w:r w:rsidR="008E18E9" w:rsidRPr="008E18E9">
        <w:rPr>
          <w:rFonts w:eastAsia="Times New Roman"/>
          <w:lang w:val="es-ES_tradnl"/>
        </w:rPr>
        <w:t xml:space="preserve">lto </w:t>
      </w:r>
      <w:r w:rsidRPr="008E18E9">
        <w:rPr>
          <w:rFonts w:eastAsia="Times New Roman"/>
          <w:lang w:val="es-ES_tradnl"/>
        </w:rPr>
        <w:t>entre el 50 % y el 80 %</w:t>
      </w:r>
    </w:p>
    <w:p w14:paraId="7736144E" w14:textId="140A3701" w:rsidR="00805CCE" w:rsidRPr="008E18E9" w:rsidRDefault="00805CCE" w:rsidP="008E18E9">
      <w:pPr>
        <w:widowControl w:val="0"/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51" w:right="522"/>
        <w:jc w:val="both"/>
        <w:rPr>
          <w:rFonts w:eastAsia="Times New Roman"/>
          <w:lang w:val="es-ES_tradnl"/>
        </w:rPr>
      </w:pPr>
      <w:r w:rsidRPr="008E18E9">
        <w:rPr>
          <w:rFonts w:eastAsia="Times New Roman"/>
          <w:lang w:val="es-ES_tradnl"/>
        </w:rPr>
        <w:lastRenderedPageBreak/>
        <w:t xml:space="preserve">b. Riesgo de </w:t>
      </w:r>
      <w:r w:rsidR="008E18E9">
        <w:rPr>
          <w:rFonts w:eastAsia="Times New Roman"/>
          <w:lang w:val="es-ES_tradnl"/>
        </w:rPr>
        <w:t>A</w:t>
      </w:r>
      <w:r w:rsidRPr="008E18E9">
        <w:rPr>
          <w:rFonts w:eastAsia="Times New Roman"/>
          <w:lang w:val="es-ES_tradnl"/>
        </w:rPr>
        <w:t xml:space="preserve">dquisición </w:t>
      </w:r>
      <w:r w:rsidR="008E18E9">
        <w:rPr>
          <w:rFonts w:eastAsia="Times New Roman"/>
          <w:lang w:val="es-ES_tradnl"/>
        </w:rPr>
        <w:t>Al</w:t>
      </w:r>
      <w:r w:rsidRPr="008E18E9">
        <w:rPr>
          <w:rFonts w:eastAsia="Times New Roman"/>
          <w:lang w:val="es-ES_tradnl"/>
        </w:rPr>
        <w:t xml:space="preserve">to o </w:t>
      </w:r>
      <w:r w:rsidR="008E18E9">
        <w:rPr>
          <w:rFonts w:eastAsia="Times New Roman"/>
          <w:lang w:val="es-ES_tradnl"/>
        </w:rPr>
        <w:t>S</w:t>
      </w:r>
      <w:r w:rsidRPr="008E18E9">
        <w:rPr>
          <w:rFonts w:eastAsia="Times New Roman"/>
          <w:lang w:val="es-ES_tradnl"/>
        </w:rPr>
        <w:t xml:space="preserve">ustancial y </w:t>
      </w:r>
      <w:r w:rsidR="008E18E9">
        <w:rPr>
          <w:rFonts w:eastAsia="Times New Roman"/>
          <w:lang w:val="es-ES_tradnl"/>
        </w:rPr>
        <w:t>V</w:t>
      </w:r>
      <w:r w:rsidR="008E18E9" w:rsidRPr="008E18E9">
        <w:rPr>
          <w:rFonts w:eastAsia="Times New Roman"/>
          <w:lang w:val="es-ES_tradnl"/>
        </w:rPr>
        <w:t xml:space="preserve">alor </w:t>
      </w:r>
      <w:r w:rsidR="008E18E9">
        <w:rPr>
          <w:rFonts w:eastAsia="Times New Roman"/>
          <w:lang w:val="es-ES_tradnl"/>
        </w:rPr>
        <w:t>B</w:t>
      </w:r>
      <w:r w:rsidRPr="008E18E9">
        <w:rPr>
          <w:rFonts w:eastAsia="Times New Roman"/>
          <w:lang w:val="es-ES_tradnl"/>
        </w:rPr>
        <w:t>ajo entre el 60 % y el 100 %</w:t>
      </w:r>
    </w:p>
    <w:p w14:paraId="52570EDB" w14:textId="77777777" w:rsidR="008E18E9" w:rsidRDefault="00805CCE" w:rsidP="008E18E9">
      <w:pPr>
        <w:widowControl w:val="0"/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51" w:right="522"/>
        <w:jc w:val="both"/>
        <w:rPr>
          <w:rFonts w:eastAsia="Times New Roman"/>
          <w:lang w:val="es-ES_tradnl"/>
        </w:rPr>
      </w:pPr>
      <w:r w:rsidRPr="008E18E9">
        <w:rPr>
          <w:rFonts w:eastAsia="Times New Roman"/>
          <w:lang w:val="es-ES_tradnl"/>
        </w:rPr>
        <w:t xml:space="preserve">c. Riesgo de </w:t>
      </w:r>
      <w:r w:rsidR="008E18E9">
        <w:rPr>
          <w:rFonts w:eastAsia="Times New Roman"/>
          <w:lang w:val="es-ES_tradnl"/>
        </w:rPr>
        <w:t>A</w:t>
      </w:r>
      <w:r w:rsidRPr="008E18E9">
        <w:rPr>
          <w:rFonts w:eastAsia="Times New Roman"/>
          <w:lang w:val="es-ES_tradnl"/>
        </w:rPr>
        <w:t xml:space="preserve">dquisición </w:t>
      </w:r>
      <w:r w:rsidR="008E18E9">
        <w:rPr>
          <w:rFonts w:eastAsia="Times New Roman"/>
          <w:lang w:val="es-ES_tradnl"/>
        </w:rPr>
        <w:t>M</w:t>
      </w:r>
      <w:r w:rsidRPr="008E18E9">
        <w:rPr>
          <w:rFonts w:eastAsia="Times New Roman"/>
          <w:lang w:val="es-ES_tradnl"/>
        </w:rPr>
        <w:t xml:space="preserve">oderado o </w:t>
      </w:r>
      <w:r w:rsidR="008E18E9">
        <w:rPr>
          <w:rFonts w:eastAsia="Times New Roman"/>
          <w:lang w:val="es-ES_tradnl"/>
        </w:rPr>
        <w:t>B</w:t>
      </w:r>
      <w:r w:rsidRPr="008E18E9">
        <w:rPr>
          <w:rFonts w:eastAsia="Times New Roman"/>
          <w:lang w:val="es-ES_tradnl"/>
        </w:rPr>
        <w:t xml:space="preserve">ajo y </w:t>
      </w:r>
      <w:r w:rsidR="008E18E9" w:rsidRPr="008E18E9">
        <w:rPr>
          <w:rFonts w:eastAsia="Times New Roman"/>
          <w:lang w:val="es-ES_tradnl"/>
        </w:rPr>
        <w:t xml:space="preserve">Valor </w:t>
      </w:r>
      <w:r w:rsidR="008E18E9">
        <w:rPr>
          <w:rFonts w:eastAsia="Times New Roman"/>
          <w:lang w:val="es-ES_tradnl"/>
        </w:rPr>
        <w:t>A</w:t>
      </w:r>
      <w:r w:rsidRPr="008E18E9">
        <w:rPr>
          <w:rFonts w:eastAsia="Times New Roman"/>
          <w:lang w:val="es-ES_tradnl"/>
        </w:rPr>
        <w:t>lto entre el 10 % y el 40 %</w:t>
      </w:r>
    </w:p>
    <w:p w14:paraId="0DA178D5" w14:textId="2FBAFB32" w:rsidR="00805CCE" w:rsidRPr="008E18E9" w:rsidRDefault="00805CCE" w:rsidP="008E18E9">
      <w:pPr>
        <w:widowControl w:val="0"/>
        <w:tabs>
          <w:tab w:val="left" w:pos="851"/>
          <w:tab w:val="left" w:pos="855"/>
        </w:tabs>
        <w:autoSpaceDE w:val="0"/>
        <w:autoSpaceDN w:val="0"/>
        <w:spacing w:before="32" w:line="261" w:lineRule="auto"/>
        <w:ind w:left="851" w:right="522"/>
        <w:jc w:val="both"/>
        <w:rPr>
          <w:rFonts w:eastAsia="Times New Roman"/>
          <w:lang w:val="es-ES_tradnl"/>
        </w:rPr>
      </w:pPr>
      <w:r w:rsidRPr="008E18E9">
        <w:rPr>
          <w:rFonts w:eastAsia="Times New Roman"/>
          <w:lang w:val="es-ES_tradnl"/>
        </w:rPr>
        <w:t xml:space="preserve">d. Riesgo de </w:t>
      </w:r>
      <w:r w:rsidR="008E18E9">
        <w:rPr>
          <w:rFonts w:eastAsia="Times New Roman"/>
          <w:lang w:val="es-ES_tradnl"/>
        </w:rPr>
        <w:t>Adquisición</w:t>
      </w:r>
      <w:r w:rsidRPr="008E18E9">
        <w:rPr>
          <w:rFonts w:eastAsia="Times New Roman"/>
          <w:lang w:val="es-ES_tradnl"/>
        </w:rPr>
        <w:t xml:space="preserve"> </w:t>
      </w:r>
      <w:r w:rsidR="008E18E9">
        <w:rPr>
          <w:rFonts w:eastAsia="Times New Roman"/>
          <w:lang w:val="es-ES_tradnl"/>
        </w:rPr>
        <w:t>M</w:t>
      </w:r>
      <w:r w:rsidRPr="008E18E9">
        <w:rPr>
          <w:rFonts w:eastAsia="Times New Roman"/>
          <w:lang w:val="es-ES_tradnl"/>
        </w:rPr>
        <w:t xml:space="preserve">oderado o </w:t>
      </w:r>
      <w:r w:rsidR="008E18E9">
        <w:rPr>
          <w:rFonts w:eastAsia="Times New Roman"/>
          <w:lang w:val="es-ES_tradnl"/>
        </w:rPr>
        <w:t>B</w:t>
      </w:r>
      <w:r w:rsidRPr="008E18E9">
        <w:rPr>
          <w:rFonts w:eastAsia="Times New Roman"/>
          <w:lang w:val="es-ES_tradnl"/>
        </w:rPr>
        <w:t xml:space="preserve">ajo y </w:t>
      </w:r>
      <w:r w:rsidR="008E18E9">
        <w:rPr>
          <w:rFonts w:eastAsia="Times New Roman"/>
          <w:lang w:val="es-ES_tradnl"/>
        </w:rPr>
        <w:t>V</w:t>
      </w:r>
      <w:r w:rsidRPr="008E18E9">
        <w:rPr>
          <w:rFonts w:eastAsia="Times New Roman"/>
          <w:lang w:val="es-ES_tradnl"/>
        </w:rPr>
        <w:t xml:space="preserve">alor </w:t>
      </w:r>
      <w:r w:rsidR="008E18E9">
        <w:rPr>
          <w:rFonts w:eastAsia="Times New Roman"/>
          <w:lang w:val="es-ES_tradnl"/>
        </w:rPr>
        <w:t>B</w:t>
      </w:r>
      <w:r w:rsidRPr="008E18E9">
        <w:rPr>
          <w:rFonts w:eastAsia="Times New Roman"/>
          <w:lang w:val="es-ES_tradnl"/>
        </w:rPr>
        <w:t>ajo entre el 20% y el 30%</w:t>
      </w:r>
    </w:p>
    <w:p w14:paraId="06A54CE3" w14:textId="104931E7" w:rsidR="00805CCE" w:rsidRPr="00805CCE" w:rsidRDefault="00805CCE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805CCE">
        <w:rPr>
          <w:rFonts w:eastAsia="Times New Roman"/>
          <w:lang w:val="es-ES_tradnl"/>
        </w:rPr>
        <w:t xml:space="preserve">El </w:t>
      </w:r>
      <w:r w:rsidR="008E18E9">
        <w:rPr>
          <w:rFonts w:eastAsia="Times New Roman"/>
          <w:lang w:val="es-ES_tradnl"/>
        </w:rPr>
        <w:t>P</w:t>
      </w:r>
      <w:r w:rsidRPr="00805CCE">
        <w:rPr>
          <w:rFonts w:eastAsia="Times New Roman"/>
          <w:lang w:val="es-ES_tradnl"/>
        </w:rPr>
        <w:t>árrafo 5.50 también incluye una nota que dice: Los contratos cuyo costo estimado es igual o superior a 10 millones de dólares estadounidenses se consideran de alto valor a los efectos de las ponderaciones anteriores. Véase el Anexo X para obtener más información.</w:t>
      </w:r>
    </w:p>
    <w:p w14:paraId="0E835B36" w14:textId="47D80EC5" w:rsidR="00805CCE" w:rsidRPr="00805CCE" w:rsidRDefault="008E18E9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L</w:t>
      </w:r>
      <w:r w:rsidR="00805CCE" w:rsidRPr="00805CCE">
        <w:rPr>
          <w:rFonts w:eastAsia="Times New Roman"/>
          <w:lang w:val="es-ES_tradnl"/>
        </w:rPr>
        <w:t>os</w:t>
      </w:r>
      <w:r>
        <w:rPr>
          <w:rFonts w:eastAsia="Times New Roman"/>
          <w:lang w:val="es-ES_tradnl"/>
        </w:rPr>
        <w:t xml:space="preserve"> P</w:t>
      </w:r>
      <w:r w:rsidR="00805CCE" w:rsidRPr="00805CCE">
        <w:rPr>
          <w:rFonts w:eastAsia="Times New Roman"/>
          <w:lang w:val="es-ES_tradnl"/>
        </w:rPr>
        <w:t>árrafos 5.69 y 5.70 acla</w:t>
      </w:r>
      <w:r w:rsidR="00252C6B">
        <w:rPr>
          <w:rFonts w:eastAsia="Times New Roman"/>
          <w:lang w:val="es-ES_tradnl"/>
        </w:rPr>
        <w:t>ran</w:t>
      </w:r>
      <w:r w:rsidR="00805CCE" w:rsidRPr="00805CCE">
        <w:rPr>
          <w:rFonts w:eastAsia="Times New Roman"/>
          <w:lang w:val="es-ES_tradnl"/>
        </w:rPr>
        <w:t xml:space="preserve"> cómo determinar la </w:t>
      </w:r>
      <w:r>
        <w:rPr>
          <w:rFonts w:eastAsia="Times New Roman"/>
          <w:lang w:val="es-ES_tradnl"/>
        </w:rPr>
        <w:t>O</w:t>
      </w:r>
      <w:r w:rsidR="00805CCE" w:rsidRPr="00805CCE">
        <w:rPr>
          <w:rFonts w:eastAsia="Times New Roman"/>
          <w:lang w:val="es-ES_tradnl"/>
        </w:rPr>
        <w:t xml:space="preserve">ferta </w:t>
      </w:r>
      <w:r>
        <w:rPr>
          <w:rFonts w:eastAsia="Times New Roman"/>
          <w:lang w:val="es-ES_tradnl"/>
        </w:rPr>
        <w:t>M</w:t>
      </w:r>
      <w:r w:rsidR="00805CCE" w:rsidRPr="00805CCE">
        <w:rPr>
          <w:rFonts w:eastAsia="Times New Roman"/>
          <w:lang w:val="es-ES_tradnl"/>
        </w:rPr>
        <w:t xml:space="preserve">ás </w:t>
      </w:r>
      <w:r w:rsidR="002A0C3B">
        <w:rPr>
          <w:rFonts w:eastAsia="Times New Roman"/>
          <w:lang w:val="es-ES_tradnl"/>
        </w:rPr>
        <w:t>Conveniente</w:t>
      </w:r>
      <w:r w:rsidR="00805CCE" w:rsidRPr="00805CCE">
        <w:rPr>
          <w:rFonts w:eastAsia="Times New Roman"/>
          <w:lang w:val="es-ES_tradnl"/>
        </w:rPr>
        <w:t xml:space="preserve"> cuando se utilizan </w:t>
      </w:r>
      <w:r>
        <w:rPr>
          <w:rFonts w:eastAsia="Times New Roman"/>
          <w:lang w:val="es-ES_tradnl"/>
        </w:rPr>
        <w:t xml:space="preserve">Criterios con Puntaje </w:t>
      </w:r>
      <w:r w:rsidR="00805CCE" w:rsidRPr="00805CCE">
        <w:rPr>
          <w:rFonts w:eastAsia="Times New Roman"/>
          <w:lang w:val="es-ES_tradnl"/>
        </w:rPr>
        <w:t xml:space="preserve">y cuando no se utilizan para bienes, obras y servicios </w:t>
      </w:r>
      <w:r>
        <w:rPr>
          <w:rFonts w:eastAsia="Times New Roman"/>
          <w:lang w:val="es-ES_tradnl"/>
        </w:rPr>
        <w:t>de no</w:t>
      </w:r>
      <w:r w:rsidR="00805CCE" w:rsidRPr="00805CCE">
        <w:rPr>
          <w:rFonts w:eastAsia="Times New Roman"/>
          <w:lang w:val="es-ES_tradnl"/>
        </w:rPr>
        <w:t xml:space="preserve"> consultoría;</w:t>
      </w:r>
    </w:p>
    <w:p w14:paraId="604EE9AD" w14:textId="6894DE62" w:rsidR="00805CCE" w:rsidRPr="00805CCE" w:rsidRDefault="00805CCE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805CCE">
        <w:rPr>
          <w:rFonts w:eastAsia="Times New Roman"/>
          <w:lang w:val="es-ES_tradnl"/>
        </w:rPr>
        <w:t xml:space="preserve">El párrafo 5.74 (b) especifica la información adicional que debe incluirse en </w:t>
      </w:r>
      <w:r w:rsidR="00252C6B">
        <w:rPr>
          <w:rFonts w:eastAsia="Times New Roman"/>
          <w:lang w:val="es-ES_tradnl"/>
        </w:rPr>
        <w:t>la Notificación de la Intención de</w:t>
      </w:r>
      <w:r w:rsidRPr="00805CCE">
        <w:rPr>
          <w:rFonts w:eastAsia="Times New Roman"/>
          <w:lang w:val="es-ES_tradnl"/>
        </w:rPr>
        <w:t xml:space="preserve"> </w:t>
      </w:r>
      <w:r w:rsidR="00252C6B">
        <w:rPr>
          <w:rFonts w:eastAsia="Times New Roman"/>
          <w:lang w:val="es-ES_tradnl"/>
        </w:rPr>
        <w:t>Adjudicar</w:t>
      </w:r>
      <w:r w:rsidRPr="00805CCE">
        <w:rPr>
          <w:rFonts w:eastAsia="Times New Roman"/>
          <w:lang w:val="es-ES_tradnl"/>
        </w:rPr>
        <w:t xml:space="preserve"> cuando la oferta ganadora se evaluó sobre la base de </w:t>
      </w:r>
      <w:r w:rsidR="002A0C3B">
        <w:rPr>
          <w:rFonts w:eastAsia="Times New Roman"/>
          <w:lang w:val="es-ES_tradnl"/>
        </w:rPr>
        <w:t>Criterios con Puntaje</w:t>
      </w:r>
      <w:r w:rsidRPr="00805CCE">
        <w:rPr>
          <w:rFonts w:eastAsia="Times New Roman"/>
          <w:lang w:val="es-ES_tradnl"/>
        </w:rPr>
        <w:t>;</w:t>
      </w:r>
    </w:p>
    <w:p w14:paraId="4E67817E" w14:textId="5867E33C" w:rsidR="00805CCE" w:rsidRPr="00805CCE" w:rsidRDefault="00805CCE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805CCE">
        <w:rPr>
          <w:rFonts w:eastAsia="Times New Roman"/>
          <w:lang w:val="es-ES_tradnl"/>
        </w:rPr>
        <w:t xml:space="preserve">El párrafo 5.95 elimina la referencia al UNDB y aclara los nuevos </w:t>
      </w:r>
      <w:r w:rsidR="002A0C3B">
        <w:rPr>
          <w:rFonts w:eastAsia="Times New Roman"/>
          <w:lang w:val="es-ES_tradnl"/>
        </w:rPr>
        <w:t>arreglos</w:t>
      </w:r>
      <w:r w:rsidRPr="00805CCE">
        <w:rPr>
          <w:rFonts w:eastAsia="Times New Roman"/>
          <w:lang w:val="es-ES_tradnl"/>
        </w:rPr>
        <w:t xml:space="preserve"> de publicación.</w:t>
      </w:r>
    </w:p>
    <w:p w14:paraId="73DF8AF9" w14:textId="247BBD22" w:rsidR="00805CCE" w:rsidRPr="00805CCE" w:rsidRDefault="00805CCE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805CCE">
        <w:rPr>
          <w:rFonts w:eastAsia="Times New Roman"/>
          <w:lang w:val="es-ES_tradnl"/>
        </w:rPr>
        <w:t xml:space="preserve">El párrafo 6.37 agregó que las ponderaciones otorgadas a los Criterios </w:t>
      </w:r>
      <w:r w:rsidR="002A0C3B">
        <w:rPr>
          <w:rFonts w:eastAsia="Times New Roman"/>
          <w:lang w:val="es-ES_tradnl"/>
        </w:rPr>
        <w:t>con Puntaje</w:t>
      </w:r>
      <w:r w:rsidRPr="00805CCE">
        <w:rPr>
          <w:rFonts w:eastAsia="Times New Roman"/>
          <w:lang w:val="es-ES_tradnl"/>
        </w:rPr>
        <w:t xml:space="preserve"> deben estar de acuerdo con los requisitos del Párrafo 5.50 y el Anexo X.</w:t>
      </w:r>
    </w:p>
    <w:p w14:paraId="61E3683E" w14:textId="178CB9A8" w:rsidR="00805CCE" w:rsidRPr="00805CCE" w:rsidRDefault="00805CCE" w:rsidP="00805CCE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805CCE">
        <w:rPr>
          <w:rFonts w:eastAsia="Times New Roman"/>
          <w:lang w:val="es-ES_tradnl"/>
        </w:rPr>
        <w:t>Anexo II - Supervisión de las Adquisiciones</w:t>
      </w:r>
    </w:p>
    <w:p w14:paraId="6C23010A" w14:textId="32EEE032" w:rsidR="00805CCE" w:rsidRPr="002A0C3B" w:rsidRDefault="00805CCE" w:rsidP="002A0C3B">
      <w:pPr>
        <w:pStyle w:val="ListParagraph"/>
        <w:widowControl w:val="0"/>
        <w:numPr>
          <w:ilvl w:val="0"/>
          <w:numId w:val="18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 w:rsidRPr="002A0C3B">
        <w:rPr>
          <w:rFonts w:eastAsia="Times New Roman"/>
          <w:lang w:val="es-ES_tradnl"/>
        </w:rPr>
        <w:t xml:space="preserve">el </w:t>
      </w:r>
      <w:r w:rsidR="00252C6B">
        <w:rPr>
          <w:rFonts w:eastAsia="Times New Roman"/>
          <w:lang w:val="es-ES_tradnl"/>
        </w:rPr>
        <w:t>P</w:t>
      </w:r>
      <w:r w:rsidRPr="002A0C3B">
        <w:rPr>
          <w:rFonts w:eastAsia="Times New Roman"/>
          <w:lang w:val="es-ES_tradnl"/>
        </w:rPr>
        <w:t xml:space="preserve">árrafo 6.1(c) agregó que cualquier adenda que incluya los Criterios de Evaluación, Criterios </w:t>
      </w:r>
      <w:r w:rsidR="002A0C3B">
        <w:rPr>
          <w:rFonts w:eastAsia="Times New Roman"/>
          <w:lang w:val="es-ES_tradnl"/>
        </w:rPr>
        <w:t>con Puntaje</w:t>
      </w:r>
      <w:r w:rsidRPr="002A0C3B">
        <w:rPr>
          <w:rFonts w:eastAsia="Times New Roman"/>
          <w:lang w:val="es-ES_tradnl"/>
        </w:rPr>
        <w:t>, ponderaciones y cualquier umbral mínimo de calidad, etc., estará sujeto a la revisión previa del Banco.</w:t>
      </w:r>
    </w:p>
    <w:p w14:paraId="15EBD9C4" w14:textId="6ECBB04C" w:rsidR="00805CCE" w:rsidRPr="002A0C3B" w:rsidRDefault="002A0C3B" w:rsidP="002A0C3B">
      <w:pPr>
        <w:pStyle w:val="ListParagraph"/>
        <w:widowControl w:val="0"/>
        <w:numPr>
          <w:ilvl w:val="0"/>
          <w:numId w:val="18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los </w:t>
      </w:r>
      <w:r w:rsidR="00252C6B">
        <w:rPr>
          <w:rFonts w:eastAsia="Times New Roman"/>
          <w:lang w:val="es-ES_tradnl"/>
        </w:rPr>
        <w:t>P</w:t>
      </w:r>
      <w:r w:rsidR="00805CCE" w:rsidRPr="002A0C3B">
        <w:rPr>
          <w:rFonts w:eastAsia="Times New Roman"/>
          <w:lang w:val="es-ES_tradnl"/>
        </w:rPr>
        <w:t>árrafo</w:t>
      </w:r>
      <w:r>
        <w:rPr>
          <w:rFonts w:eastAsia="Times New Roman"/>
          <w:lang w:val="es-ES_tradnl"/>
        </w:rPr>
        <w:t>s</w:t>
      </w:r>
      <w:r w:rsidR="00805CCE" w:rsidRPr="002A0C3B">
        <w:rPr>
          <w:rFonts w:eastAsia="Times New Roman"/>
          <w:lang w:val="es-ES_tradnl"/>
        </w:rPr>
        <w:t xml:space="preserve"> 7.1 (a) y (b) </w:t>
      </w:r>
      <w:r>
        <w:rPr>
          <w:rFonts w:eastAsia="Times New Roman"/>
          <w:lang w:val="es-ES_tradnl"/>
        </w:rPr>
        <w:t xml:space="preserve">en la lista los </w:t>
      </w:r>
      <w:r w:rsidR="00805CCE" w:rsidRPr="002A0C3B">
        <w:rPr>
          <w:rFonts w:eastAsia="Times New Roman"/>
          <w:lang w:val="es-ES_tradnl"/>
        </w:rPr>
        <w:t xml:space="preserve">documentos que deben conservarse para los contratos sujetos a revisión </w:t>
      </w:r>
      <w:r w:rsidRPr="002A0C3B">
        <w:rPr>
          <w:rFonts w:eastAsia="Times New Roman"/>
          <w:lang w:val="es-ES_tradnl"/>
        </w:rPr>
        <w:t>previa</w:t>
      </w:r>
      <w:r w:rsidR="00805CCE" w:rsidRPr="002A0C3B">
        <w:rPr>
          <w:rFonts w:eastAsia="Times New Roman"/>
          <w:lang w:val="es-ES_tradnl"/>
        </w:rPr>
        <w:t xml:space="preserve"> </w:t>
      </w:r>
      <w:r w:rsidR="00252C6B">
        <w:rPr>
          <w:rFonts w:eastAsia="Times New Roman"/>
          <w:lang w:val="es-ES_tradnl"/>
        </w:rPr>
        <w:t xml:space="preserve">se </w:t>
      </w:r>
      <w:r w:rsidRPr="002A0C3B">
        <w:rPr>
          <w:rFonts w:eastAsia="Times New Roman"/>
          <w:lang w:val="es-ES_tradnl"/>
        </w:rPr>
        <w:t>agregaron</w:t>
      </w:r>
      <w:r w:rsidR="00805CCE" w:rsidRPr="002A0C3B">
        <w:rPr>
          <w:rFonts w:eastAsia="Times New Roman"/>
          <w:lang w:val="es-ES_tradnl"/>
        </w:rPr>
        <w:t xml:space="preserve"> </w:t>
      </w:r>
      <w:r>
        <w:rPr>
          <w:rFonts w:eastAsia="Times New Roman"/>
          <w:lang w:val="es-ES_tradnl"/>
        </w:rPr>
        <w:t xml:space="preserve">la EAPD </w:t>
      </w:r>
      <w:r w:rsidR="00805CCE" w:rsidRPr="002A0C3B">
        <w:rPr>
          <w:rFonts w:eastAsia="Times New Roman"/>
          <w:lang w:val="es-ES_tradnl"/>
        </w:rPr>
        <w:t xml:space="preserve">(incluidos los detalles de cualquier </w:t>
      </w:r>
      <w:r>
        <w:rPr>
          <w:rFonts w:eastAsia="Times New Roman"/>
          <w:lang w:val="es-ES_tradnl"/>
        </w:rPr>
        <w:t>Interacción Temprana con el Mercado</w:t>
      </w:r>
      <w:r w:rsidR="00805CCE" w:rsidRPr="002A0C3B">
        <w:rPr>
          <w:rFonts w:eastAsia="Times New Roman"/>
          <w:lang w:val="es-ES_tradnl"/>
        </w:rPr>
        <w:t xml:space="preserve"> realizad</w:t>
      </w:r>
      <w:r>
        <w:rPr>
          <w:rFonts w:eastAsia="Times New Roman"/>
          <w:lang w:val="es-ES_tradnl"/>
        </w:rPr>
        <w:t>a</w:t>
      </w:r>
      <w:r w:rsidR="00805CCE" w:rsidRPr="002A0C3B">
        <w:rPr>
          <w:rFonts w:eastAsia="Times New Roman"/>
          <w:lang w:val="es-ES_tradnl"/>
        </w:rPr>
        <w:t xml:space="preserve">) y para cualquier adquisición competitiva internacional que utilice </w:t>
      </w:r>
      <w:r>
        <w:rPr>
          <w:rFonts w:eastAsia="Times New Roman"/>
          <w:lang w:val="es-ES_tradnl"/>
        </w:rPr>
        <w:t>los DEA</w:t>
      </w:r>
      <w:r w:rsidR="00805CCE" w:rsidRPr="002A0C3B">
        <w:rPr>
          <w:rFonts w:eastAsia="Times New Roman"/>
          <w:lang w:val="es-ES_tradnl"/>
        </w:rPr>
        <w:t xml:space="preserve">, </w:t>
      </w:r>
      <w:r w:rsidR="00252C6B">
        <w:rPr>
          <w:rFonts w:eastAsia="Times New Roman"/>
          <w:lang w:val="es-ES_tradnl"/>
        </w:rPr>
        <w:t>se agregó la obligación de r</w:t>
      </w:r>
      <w:r>
        <w:rPr>
          <w:rFonts w:eastAsia="Times New Roman"/>
          <w:lang w:val="es-ES_tradnl"/>
        </w:rPr>
        <w:t>etener la información relativa a la</w:t>
      </w:r>
      <w:r w:rsidR="00805CCE" w:rsidRPr="002A0C3B">
        <w:rPr>
          <w:rFonts w:eastAsia="Times New Roman"/>
          <w:lang w:val="es-ES_tradnl"/>
        </w:rPr>
        <w:t xml:space="preserve"> determinación y aplicación de Criterios </w:t>
      </w:r>
      <w:r>
        <w:rPr>
          <w:rFonts w:eastAsia="Times New Roman"/>
          <w:lang w:val="es-ES_tradnl"/>
        </w:rPr>
        <w:t>con Puntaje</w:t>
      </w:r>
      <w:r w:rsidR="00805CCE" w:rsidRPr="002A0C3B">
        <w:rPr>
          <w:rFonts w:eastAsia="Times New Roman"/>
          <w:lang w:val="es-ES_tradnl"/>
        </w:rPr>
        <w:t xml:space="preserve"> y </w:t>
      </w:r>
      <w:r w:rsidR="00D96C45">
        <w:rPr>
          <w:rFonts w:eastAsia="Times New Roman"/>
          <w:lang w:val="es-ES_tradnl"/>
        </w:rPr>
        <w:t xml:space="preserve">las </w:t>
      </w:r>
      <w:r w:rsidR="00805CCE" w:rsidRPr="002A0C3B">
        <w:rPr>
          <w:rFonts w:eastAsia="Times New Roman"/>
          <w:lang w:val="es-ES_tradnl"/>
        </w:rPr>
        <w:t>ponderaciones</w:t>
      </w:r>
      <w:r w:rsidR="00D96C45">
        <w:rPr>
          <w:rFonts w:eastAsia="Times New Roman"/>
          <w:lang w:val="es-ES_tradnl"/>
        </w:rPr>
        <w:t xml:space="preserve"> usadas</w:t>
      </w:r>
      <w:r w:rsidR="00805CCE" w:rsidRPr="002A0C3B">
        <w:rPr>
          <w:rFonts w:eastAsia="Times New Roman"/>
          <w:lang w:val="es-ES_tradnl"/>
        </w:rPr>
        <w:t>;</w:t>
      </w:r>
    </w:p>
    <w:p w14:paraId="09B102AA" w14:textId="66373B27" w:rsidR="00805CCE" w:rsidRPr="000E2FA2" w:rsidRDefault="002A0C3B" w:rsidP="002A0C3B">
      <w:pPr>
        <w:pStyle w:val="ListParagraph"/>
        <w:widowControl w:val="0"/>
        <w:numPr>
          <w:ilvl w:val="0"/>
          <w:numId w:val="18"/>
        </w:numPr>
        <w:tabs>
          <w:tab w:val="left" w:pos="851"/>
          <w:tab w:val="left" w:pos="855"/>
        </w:tabs>
        <w:autoSpaceDE w:val="0"/>
        <w:autoSpaceDN w:val="0"/>
        <w:spacing w:before="32" w:line="261" w:lineRule="auto"/>
        <w:ind w:right="522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los </w:t>
      </w:r>
      <w:r w:rsidR="00252C6B">
        <w:rPr>
          <w:rFonts w:eastAsia="Times New Roman"/>
          <w:lang w:val="es-ES_tradnl"/>
        </w:rPr>
        <w:t>P</w:t>
      </w:r>
      <w:r w:rsidRPr="00805CCE">
        <w:rPr>
          <w:rFonts w:eastAsia="Times New Roman"/>
          <w:lang w:val="es-ES_tradnl"/>
        </w:rPr>
        <w:t>árrafo</w:t>
      </w:r>
      <w:r w:rsidR="00D96C45">
        <w:rPr>
          <w:rFonts w:eastAsia="Times New Roman"/>
          <w:lang w:val="es-ES_tradnl"/>
        </w:rPr>
        <w:t>s</w:t>
      </w:r>
      <w:r w:rsidR="00805CCE" w:rsidRPr="00805CCE">
        <w:rPr>
          <w:rFonts w:eastAsia="Times New Roman"/>
          <w:lang w:val="es-ES_tradnl"/>
        </w:rPr>
        <w:t xml:space="preserve"> 8.1 (a) y (b) </w:t>
      </w:r>
      <w:r>
        <w:rPr>
          <w:rFonts w:eastAsia="Times New Roman"/>
          <w:lang w:val="es-ES_tradnl"/>
        </w:rPr>
        <w:t xml:space="preserve">en la lista de </w:t>
      </w:r>
      <w:r w:rsidR="00805CCE" w:rsidRPr="00805CCE">
        <w:rPr>
          <w:rFonts w:eastAsia="Times New Roman"/>
          <w:lang w:val="es-ES_tradnl"/>
        </w:rPr>
        <w:t xml:space="preserve">documentos que deben conservarse para los contratos sujetos a revisión posterior, </w:t>
      </w:r>
      <w:r w:rsidR="00252C6B">
        <w:rPr>
          <w:rFonts w:eastAsia="Times New Roman"/>
          <w:lang w:val="es-ES_tradnl"/>
        </w:rPr>
        <w:t xml:space="preserve">se </w:t>
      </w:r>
      <w:r w:rsidR="00805CCE" w:rsidRPr="00805CCE">
        <w:rPr>
          <w:rFonts w:eastAsia="Times New Roman"/>
          <w:lang w:val="es-ES_tradnl"/>
        </w:rPr>
        <w:t>agreg</w:t>
      </w:r>
      <w:r>
        <w:rPr>
          <w:rFonts w:eastAsia="Times New Roman"/>
          <w:lang w:val="es-ES_tradnl"/>
        </w:rPr>
        <w:t>aron</w:t>
      </w:r>
      <w:r w:rsidR="00805CCE" w:rsidRPr="00805CCE">
        <w:rPr>
          <w:rFonts w:eastAsia="Times New Roman"/>
          <w:lang w:val="es-ES_tradnl"/>
        </w:rPr>
        <w:t xml:space="preserve"> </w:t>
      </w:r>
      <w:r>
        <w:rPr>
          <w:rFonts w:eastAsia="Times New Roman"/>
          <w:lang w:val="es-ES_tradnl"/>
        </w:rPr>
        <w:t xml:space="preserve">la EAPD </w:t>
      </w:r>
      <w:r w:rsidR="00805CCE" w:rsidRPr="00805CCE">
        <w:rPr>
          <w:rFonts w:eastAsia="Times New Roman"/>
          <w:lang w:val="es-ES_tradnl"/>
        </w:rPr>
        <w:t>(</w:t>
      </w:r>
      <w:r>
        <w:rPr>
          <w:rFonts w:eastAsia="Times New Roman"/>
          <w:lang w:val="es-ES_tradnl"/>
        </w:rPr>
        <w:t>incluidos los detalles de cualquier Interacción Temprana con el Mercado</w:t>
      </w:r>
      <w:r w:rsidRPr="002A0C3B">
        <w:rPr>
          <w:rFonts w:eastAsia="Times New Roman"/>
          <w:lang w:val="es-ES_tradnl"/>
        </w:rPr>
        <w:t xml:space="preserve"> realizad</w:t>
      </w:r>
      <w:r>
        <w:rPr>
          <w:rFonts w:eastAsia="Times New Roman"/>
          <w:lang w:val="es-ES_tradnl"/>
        </w:rPr>
        <w:t>a</w:t>
      </w:r>
      <w:r w:rsidRPr="002A0C3B">
        <w:rPr>
          <w:rFonts w:eastAsia="Times New Roman"/>
          <w:lang w:val="es-ES_tradnl"/>
        </w:rPr>
        <w:t>)</w:t>
      </w:r>
      <w:r>
        <w:rPr>
          <w:rFonts w:eastAsia="Times New Roman"/>
          <w:lang w:val="es-ES_tradnl"/>
        </w:rPr>
        <w:t xml:space="preserve"> </w:t>
      </w:r>
      <w:r w:rsidR="00805CCE" w:rsidRPr="00805CCE">
        <w:rPr>
          <w:rFonts w:eastAsia="Times New Roman"/>
          <w:lang w:val="es-ES_tradnl"/>
        </w:rPr>
        <w:t xml:space="preserve">y </w:t>
      </w:r>
      <w:r w:rsidRPr="00805CCE">
        <w:rPr>
          <w:rFonts w:eastAsia="Times New Roman"/>
          <w:lang w:val="es-ES_tradnl"/>
        </w:rPr>
        <w:t xml:space="preserve">para cualquier adquisición competitiva internacional que utilice </w:t>
      </w:r>
      <w:r>
        <w:rPr>
          <w:rFonts w:eastAsia="Times New Roman"/>
          <w:lang w:val="es-ES_tradnl"/>
        </w:rPr>
        <w:t xml:space="preserve">los DEA, </w:t>
      </w:r>
      <w:r w:rsidR="00252C6B">
        <w:rPr>
          <w:rFonts w:eastAsia="Times New Roman"/>
          <w:lang w:val="es-ES_tradnl"/>
        </w:rPr>
        <w:t xml:space="preserve">se agregó la obligación de </w:t>
      </w:r>
      <w:r>
        <w:rPr>
          <w:rFonts w:eastAsia="Times New Roman"/>
          <w:lang w:val="es-ES_tradnl"/>
        </w:rPr>
        <w:t xml:space="preserve">retener el </w:t>
      </w:r>
      <w:r w:rsidR="00805CCE" w:rsidRPr="00805CCE">
        <w:rPr>
          <w:rFonts w:eastAsia="Times New Roman"/>
          <w:lang w:val="es-ES_tradnl"/>
        </w:rPr>
        <w:t xml:space="preserve">informe de evaluación de Ofertas/Propuestas, la determinación y aplicación de </w:t>
      </w:r>
      <w:r w:rsidR="00D96C45">
        <w:rPr>
          <w:rFonts w:eastAsia="Times New Roman"/>
          <w:lang w:val="es-ES_tradnl"/>
        </w:rPr>
        <w:t xml:space="preserve">los </w:t>
      </w:r>
      <w:r w:rsidR="00805CCE" w:rsidRPr="00805CCE">
        <w:rPr>
          <w:rFonts w:eastAsia="Times New Roman"/>
          <w:lang w:val="es-ES_tradnl"/>
        </w:rPr>
        <w:t xml:space="preserve">Criterios </w:t>
      </w:r>
      <w:r w:rsidR="00D96C45">
        <w:rPr>
          <w:rFonts w:eastAsia="Times New Roman"/>
          <w:lang w:val="es-ES_tradnl"/>
        </w:rPr>
        <w:t>con Puntaje</w:t>
      </w:r>
      <w:r w:rsidR="00805CCE" w:rsidRPr="00805CCE">
        <w:rPr>
          <w:rFonts w:eastAsia="Times New Roman"/>
          <w:lang w:val="es-ES_tradnl"/>
        </w:rPr>
        <w:t xml:space="preserve"> y </w:t>
      </w:r>
      <w:r w:rsidR="00D96C45">
        <w:rPr>
          <w:rFonts w:eastAsia="Times New Roman"/>
          <w:lang w:val="es-ES_tradnl"/>
        </w:rPr>
        <w:t xml:space="preserve">las </w:t>
      </w:r>
      <w:r w:rsidR="00805CCE" w:rsidRPr="00805CCE">
        <w:rPr>
          <w:rFonts w:eastAsia="Times New Roman"/>
          <w:lang w:val="es-ES_tradnl"/>
        </w:rPr>
        <w:t>ponderaciones</w:t>
      </w:r>
      <w:r w:rsidR="00D96C45">
        <w:rPr>
          <w:rFonts w:eastAsia="Times New Roman"/>
          <w:lang w:val="es-ES_tradnl"/>
        </w:rPr>
        <w:t xml:space="preserve"> usadas</w:t>
      </w:r>
      <w:r w:rsidR="00805CCE" w:rsidRPr="00805CCE">
        <w:rPr>
          <w:rFonts w:eastAsia="Times New Roman"/>
          <w:lang w:val="es-ES_tradnl"/>
        </w:rPr>
        <w:t>;</w:t>
      </w:r>
    </w:p>
    <w:p w14:paraId="6DB2008D" w14:textId="4A671403" w:rsidR="00A73CDD" w:rsidRPr="00F47B72" w:rsidRDefault="00A73CDD" w:rsidP="002A376C">
      <w:pPr>
        <w:pStyle w:val="ListParagraph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before="28" w:after="0" w:line="240" w:lineRule="auto"/>
        <w:ind w:left="850" w:hanging="370"/>
        <w:contextualSpacing w:val="0"/>
        <w:jc w:val="both"/>
        <w:rPr>
          <w:position w:val="-1"/>
          <w:lang w:val="es-ES"/>
        </w:rPr>
      </w:pPr>
      <w:r w:rsidRPr="00F47B72">
        <w:rPr>
          <w:lang w:val="es-ES"/>
        </w:rPr>
        <w:t>A</w:t>
      </w:r>
      <w:r w:rsidR="00252C6B" w:rsidRPr="00F47B72">
        <w:rPr>
          <w:lang w:val="es-ES"/>
        </w:rPr>
        <w:t>nexo</w:t>
      </w:r>
      <w:r w:rsidRPr="00F47B72">
        <w:rPr>
          <w:spacing w:val="27"/>
          <w:lang w:val="es-ES"/>
        </w:rPr>
        <w:t xml:space="preserve"> </w:t>
      </w:r>
      <w:r w:rsidRPr="00F47B72">
        <w:rPr>
          <w:lang w:val="es-ES"/>
        </w:rPr>
        <w:t>V</w:t>
      </w:r>
      <w:r w:rsidR="00767617" w:rsidRPr="00F47B72">
        <w:rPr>
          <w:lang w:val="es-ES"/>
        </w:rPr>
        <w:t xml:space="preserve"> -</w:t>
      </w:r>
      <w:r w:rsidR="00A60DDD" w:rsidRPr="00F47B72">
        <w:rPr>
          <w:lang w:val="es-ES"/>
        </w:rPr>
        <w:t xml:space="preserve"> </w:t>
      </w:r>
      <w:r w:rsidR="00252C6B" w:rsidRPr="00F47B72">
        <w:rPr>
          <w:lang w:val="es-ES"/>
        </w:rPr>
        <w:t>Estrategia de Adquisiciones para Proyectos de Desarrollo (EAPD)</w:t>
      </w:r>
    </w:p>
    <w:p w14:paraId="14E4AA55" w14:textId="363050E9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Se actualizó el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 2.1 para especificar por qué se requiere </w:t>
      </w:r>
      <w:r w:rsidR="00DC21CF" w:rsidRPr="00F47B72">
        <w:rPr>
          <w:position w:val="-1"/>
          <w:lang w:val="es-ES"/>
        </w:rPr>
        <w:t>la EAPD</w:t>
      </w:r>
      <w:r w:rsidRPr="00F47B72">
        <w:rPr>
          <w:position w:val="-1"/>
          <w:lang w:val="es-ES"/>
        </w:rPr>
        <w:t>, qué debe incluir y cuándo debe prepararse;</w:t>
      </w:r>
    </w:p>
    <w:p w14:paraId="23674311" w14:textId="150256E8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Se actualizó el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 2.2 para exigir una actualización anual mínima </w:t>
      </w:r>
      <w:r w:rsidR="00DC21CF" w:rsidRPr="00F47B72">
        <w:rPr>
          <w:position w:val="-1"/>
          <w:lang w:val="es-ES"/>
        </w:rPr>
        <w:t>de la EAPD</w:t>
      </w:r>
      <w:r w:rsidRPr="00F47B72">
        <w:rPr>
          <w:position w:val="-1"/>
          <w:lang w:val="es-ES"/>
        </w:rPr>
        <w:t xml:space="preserve"> y actualizaciones para reflejar los hallazgos de la </w:t>
      </w:r>
      <w:r w:rsidR="00DC21CF" w:rsidRPr="00F47B72">
        <w:rPr>
          <w:position w:val="-1"/>
          <w:lang w:val="es-ES"/>
        </w:rPr>
        <w:t xml:space="preserve">Interacción Temprana con el Mercado, y que las </w:t>
      </w:r>
      <w:r w:rsidRPr="00F47B72">
        <w:rPr>
          <w:position w:val="-1"/>
          <w:lang w:val="es-ES"/>
        </w:rPr>
        <w:t xml:space="preserve">actualizaciones </w:t>
      </w:r>
      <w:r w:rsidR="00DC21CF" w:rsidRPr="00F47B72">
        <w:rPr>
          <w:position w:val="-1"/>
          <w:lang w:val="es-ES"/>
        </w:rPr>
        <w:t>s</w:t>
      </w:r>
      <w:r w:rsidRPr="00F47B72">
        <w:rPr>
          <w:position w:val="-1"/>
          <w:lang w:val="es-ES"/>
        </w:rPr>
        <w:t>erán revisadas y aprobadas por el Banco;</w:t>
      </w:r>
    </w:p>
    <w:p w14:paraId="4B84A1E4" w14:textId="6344723A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Se agregó el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 2.3 (g) para que </w:t>
      </w:r>
      <w:r w:rsidR="00DC21CF" w:rsidRPr="00F47B72">
        <w:rPr>
          <w:position w:val="-1"/>
          <w:lang w:val="es-ES"/>
        </w:rPr>
        <w:t xml:space="preserve">la EAPD </w:t>
      </w:r>
      <w:r w:rsidRPr="00F47B72">
        <w:rPr>
          <w:position w:val="-1"/>
          <w:lang w:val="es-ES"/>
        </w:rPr>
        <w:t xml:space="preserve">incluya el enfoque de evaluación </w:t>
      </w:r>
      <w:r w:rsidRPr="00F47B72">
        <w:rPr>
          <w:position w:val="-1"/>
          <w:lang w:val="es-ES"/>
        </w:rPr>
        <w:lastRenderedPageBreak/>
        <w:t xml:space="preserve">propuesto, incluidos los Criterios </w:t>
      </w:r>
      <w:r w:rsidR="00DC21CF" w:rsidRPr="00F47B72">
        <w:rPr>
          <w:position w:val="-1"/>
          <w:lang w:val="es-ES"/>
        </w:rPr>
        <w:t xml:space="preserve">con Puntaje </w:t>
      </w:r>
      <w:r w:rsidRPr="00F47B72">
        <w:rPr>
          <w:position w:val="-1"/>
          <w:lang w:val="es-ES"/>
        </w:rPr>
        <w:t>aplicables y su priorización y ponderaciones propuestas;</w:t>
      </w:r>
    </w:p>
    <w:p w14:paraId="3A4382F1" w14:textId="5F6881DA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Se actualizó el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 3.5 para enfatizar la importancia de la </w:t>
      </w:r>
      <w:r w:rsidR="00DC21CF" w:rsidRPr="00F47B72">
        <w:rPr>
          <w:position w:val="-1"/>
          <w:lang w:val="es-ES"/>
        </w:rPr>
        <w:t xml:space="preserve">interacción con el mercado </w:t>
      </w:r>
      <w:r w:rsidRPr="00F47B72">
        <w:rPr>
          <w:position w:val="-1"/>
          <w:lang w:val="es-ES"/>
        </w:rPr>
        <w:t xml:space="preserve">, el análisis y la investigación del mercado </w:t>
      </w:r>
      <w:r w:rsidR="00DC21CF" w:rsidRPr="00F47B72">
        <w:rPr>
          <w:position w:val="-1"/>
          <w:lang w:val="es-ES"/>
        </w:rPr>
        <w:t xml:space="preserve">en la EAPD </w:t>
      </w:r>
      <w:r w:rsidRPr="00F47B72">
        <w:rPr>
          <w:position w:val="-1"/>
          <w:lang w:val="es-ES"/>
        </w:rPr>
        <w:t xml:space="preserve"> y el impacto de un enfoque de adquisiciones subóptimo;</w:t>
      </w:r>
    </w:p>
    <w:p w14:paraId="4B032C98" w14:textId="5992FBA1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Se actualizó el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 3.7 para hacer referencia al enfoque de </w:t>
      </w:r>
      <w:r w:rsidR="00DC21CF" w:rsidRPr="00F47B72">
        <w:rPr>
          <w:position w:val="-1"/>
          <w:lang w:val="es-ES"/>
        </w:rPr>
        <w:t>la Interacción Temprana con el Mercado</w:t>
      </w:r>
      <w:r w:rsidRPr="00F47B72">
        <w:rPr>
          <w:position w:val="-1"/>
          <w:lang w:val="es-ES"/>
        </w:rPr>
        <w:t xml:space="preserve"> especificado en los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>árrafos 3.8 a 3.13;</w:t>
      </w:r>
    </w:p>
    <w:p w14:paraId="53D2A347" w14:textId="7F685D38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 xml:space="preserve">En los </w:t>
      </w:r>
      <w:r w:rsidR="00DC21CF" w:rsidRPr="00F47B72">
        <w:rPr>
          <w:position w:val="-1"/>
          <w:lang w:val="es-ES"/>
        </w:rPr>
        <w:t>P</w:t>
      </w:r>
      <w:r w:rsidRPr="00F47B72">
        <w:rPr>
          <w:position w:val="-1"/>
          <w:lang w:val="es-ES"/>
        </w:rPr>
        <w:t xml:space="preserve">árrafos 3.8 a 3.13 se agregó el enfoque de </w:t>
      </w:r>
      <w:r w:rsidR="00DC21CF" w:rsidRPr="00F47B72">
        <w:rPr>
          <w:position w:val="-1"/>
          <w:lang w:val="es-ES"/>
        </w:rPr>
        <w:t>la Interacción Temprana con el Mercado</w:t>
      </w:r>
      <w:r w:rsidRPr="00F47B72">
        <w:rPr>
          <w:position w:val="-1"/>
          <w:lang w:val="es-ES"/>
        </w:rPr>
        <w:t xml:space="preserve"> para todos los proyectos con contratos de adquisiciones internacionales competitivos cuyo costo se estima en más de 10 millones de dólares</w:t>
      </w:r>
      <w:r w:rsidR="00DC21CF" w:rsidRPr="00F47B72">
        <w:rPr>
          <w:position w:val="-1"/>
          <w:lang w:val="es-ES"/>
        </w:rPr>
        <w:t xml:space="preserve"> estadounidenses</w:t>
      </w:r>
      <w:r w:rsidRPr="00F47B72">
        <w:rPr>
          <w:position w:val="-1"/>
          <w:lang w:val="es-ES"/>
        </w:rPr>
        <w:t xml:space="preserve">, incluidos los objetivos de la </w:t>
      </w:r>
      <w:r w:rsidR="00DC21CF" w:rsidRPr="00F47B72">
        <w:rPr>
          <w:position w:val="-1"/>
          <w:lang w:val="es-ES"/>
        </w:rPr>
        <w:t>Interacción Temprana con el Mercado</w:t>
      </w:r>
      <w:r w:rsidRPr="00F47B72">
        <w:rPr>
          <w:position w:val="-1"/>
          <w:lang w:val="es-ES"/>
        </w:rPr>
        <w:t>, las formas de participación temprana en el mercado que se pueden utilizar, la necesidad de apertura y transparencia, la documentación que se debe conservar en relación con ella y el uso de asesores independientes en materia de probidad para mitigar cualquier riesgo percibido de integridad o conflicto de intereses;</w:t>
      </w:r>
    </w:p>
    <w:p w14:paraId="7D43C140" w14:textId="2052F3C1" w:rsidR="00252C6B" w:rsidRPr="00F47B72" w:rsidRDefault="00252C6B" w:rsidP="00746AEB">
      <w:pPr>
        <w:pStyle w:val="ListParagraph"/>
        <w:widowControl w:val="0"/>
        <w:numPr>
          <w:ilvl w:val="1"/>
          <w:numId w:val="1"/>
        </w:numPr>
        <w:tabs>
          <w:tab w:val="left" w:pos="1576"/>
          <w:tab w:val="left" w:pos="1583"/>
        </w:tabs>
        <w:autoSpaceDE w:val="0"/>
        <w:autoSpaceDN w:val="0"/>
        <w:spacing w:before="11" w:after="0" w:line="249" w:lineRule="auto"/>
        <w:ind w:right="571"/>
        <w:contextualSpacing w:val="0"/>
        <w:jc w:val="both"/>
        <w:rPr>
          <w:position w:val="-1"/>
          <w:lang w:val="es-ES"/>
        </w:rPr>
      </w:pPr>
      <w:r w:rsidRPr="00F47B72">
        <w:rPr>
          <w:position w:val="-1"/>
          <w:lang w:val="es-ES"/>
        </w:rPr>
        <w:t>En el párrafo 3.1</w:t>
      </w:r>
      <w:r w:rsidR="00F47B72" w:rsidRPr="00F47B72">
        <w:rPr>
          <w:position w:val="-1"/>
          <w:lang w:val="es-ES"/>
        </w:rPr>
        <w:t xml:space="preserve">6 </w:t>
      </w:r>
      <w:r w:rsidRPr="00F47B72">
        <w:rPr>
          <w:position w:val="-1"/>
          <w:lang w:val="es-ES"/>
        </w:rPr>
        <w:t xml:space="preserve">(d) se agregó una referencia a los </w:t>
      </w:r>
      <w:r w:rsidR="00F47B72">
        <w:rPr>
          <w:position w:val="-1"/>
          <w:lang w:val="es-ES"/>
        </w:rPr>
        <w:t>C</w:t>
      </w:r>
      <w:r w:rsidRPr="00F47B72">
        <w:rPr>
          <w:position w:val="-1"/>
          <w:lang w:val="es-ES"/>
        </w:rPr>
        <w:t xml:space="preserve">riterios de </w:t>
      </w:r>
      <w:r w:rsidR="00F47B72">
        <w:rPr>
          <w:position w:val="-1"/>
          <w:lang w:val="es-ES"/>
        </w:rPr>
        <w:t>E</w:t>
      </w:r>
      <w:r w:rsidRPr="00F47B72">
        <w:rPr>
          <w:position w:val="-1"/>
          <w:lang w:val="es-ES"/>
        </w:rPr>
        <w:t>valuación y sus ponderaciones;</w:t>
      </w:r>
    </w:p>
    <w:p w14:paraId="1A74957E" w14:textId="59343705" w:rsidR="00572FDB" w:rsidRPr="00764DFD" w:rsidRDefault="00A73CDD" w:rsidP="002A376C">
      <w:pPr>
        <w:pStyle w:val="ListParagraph"/>
        <w:widowControl w:val="0"/>
        <w:numPr>
          <w:ilvl w:val="0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left="848" w:right="701" w:hanging="369"/>
        <w:contextualSpacing w:val="0"/>
        <w:jc w:val="both"/>
        <w:rPr>
          <w:position w:val="-1"/>
          <w:lang w:val="es-ES"/>
        </w:rPr>
      </w:pPr>
      <w:r w:rsidRPr="00764DFD">
        <w:rPr>
          <w:w w:val="105"/>
          <w:lang w:val="es-ES"/>
        </w:rPr>
        <w:t>A</w:t>
      </w:r>
      <w:r w:rsidR="00F47B72" w:rsidRPr="00764DFD">
        <w:rPr>
          <w:w w:val="105"/>
          <w:lang w:val="es-ES"/>
        </w:rPr>
        <w:t xml:space="preserve">nexo </w:t>
      </w:r>
      <w:r w:rsidRPr="00764DFD">
        <w:rPr>
          <w:w w:val="105"/>
          <w:lang w:val="es-ES"/>
        </w:rPr>
        <w:t>VII-</w:t>
      </w:r>
      <w:r w:rsidRPr="00764DFD">
        <w:rPr>
          <w:spacing w:val="-14"/>
          <w:w w:val="105"/>
          <w:lang w:val="es-ES"/>
        </w:rPr>
        <w:t xml:space="preserve"> </w:t>
      </w:r>
      <w:r w:rsidR="00F47B72" w:rsidRPr="00764DFD">
        <w:rPr>
          <w:w w:val="105"/>
          <w:lang w:val="es-ES"/>
        </w:rPr>
        <w:t>Adquisiciones Sostenibles</w:t>
      </w:r>
      <w:r w:rsidRPr="00764DFD">
        <w:rPr>
          <w:spacing w:val="17"/>
          <w:w w:val="105"/>
          <w:lang w:val="es-ES"/>
        </w:rPr>
        <w:t xml:space="preserve"> </w:t>
      </w:r>
    </w:p>
    <w:p w14:paraId="6FA330B1" w14:textId="1D70A1FD" w:rsidR="00F47B72" w:rsidRPr="00764DFD" w:rsidRDefault="00F47B72" w:rsidP="00F47B72">
      <w:pPr>
        <w:pStyle w:val="ListParagraph"/>
        <w:widowControl w:val="0"/>
        <w:numPr>
          <w:ilvl w:val="1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En el Párrafo 2.2 (c) se agregó una referencia al uso de los Criterios de con Puntaje (y ponderaciones) para respaldar específicamente las consideraciones ambientales, sociales, económicas y climáticas;</w:t>
      </w:r>
    </w:p>
    <w:p w14:paraId="628FF407" w14:textId="04C12206" w:rsidR="00F47B72" w:rsidRPr="00764DFD" w:rsidRDefault="00F47B72" w:rsidP="00F47B72">
      <w:pPr>
        <w:pStyle w:val="ListParagraph"/>
        <w:widowControl w:val="0"/>
        <w:numPr>
          <w:ilvl w:val="0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left="848" w:right="701" w:hanging="369"/>
        <w:contextualSpacing w:val="0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Anexo X – Criterios de Evaluación</w:t>
      </w:r>
    </w:p>
    <w:p w14:paraId="4791A8F4" w14:textId="5AB63035" w:rsidR="00F47B72" w:rsidRPr="00764DFD" w:rsidRDefault="00F47B72" w:rsidP="00F47B72">
      <w:pPr>
        <w:pStyle w:val="ListParagraph"/>
        <w:widowControl w:val="0"/>
        <w:numPr>
          <w:ilvl w:val="1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En el Párrafo 2.2 (d) se agregó el requisito de que los cambios a los Criterios de Evaluación sean aprobados por el Banco;</w:t>
      </w:r>
    </w:p>
    <w:p w14:paraId="3A0B6E82" w14:textId="45A376B7" w:rsidR="00F47B72" w:rsidRPr="00764DFD" w:rsidRDefault="00F47B72" w:rsidP="00F47B72">
      <w:pPr>
        <w:pStyle w:val="ListParagraph"/>
        <w:widowControl w:val="0"/>
        <w:numPr>
          <w:ilvl w:val="1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En el Párrafo 3.3 se agregaron:</w:t>
      </w:r>
    </w:p>
    <w:p w14:paraId="639B5135" w14:textId="30877EF6" w:rsidR="00F47B72" w:rsidRPr="00764DFD" w:rsidRDefault="00F47B72" w:rsidP="00F47B72">
      <w:pPr>
        <w:pStyle w:val="ListParagraph"/>
        <w:widowControl w:val="0"/>
        <w:numPr>
          <w:ilvl w:val="0"/>
          <w:numId w:val="20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los requisitos para determinar las ponderaciones de los Criterios con Puntaje para cada contrato en función de su ubicación dentro de la matriz de la Figura 1 para todas las adquisiciones competitivas internacionales donde se requiere el uso de los DEA; y</w:t>
      </w:r>
    </w:p>
    <w:p w14:paraId="5887523E" w14:textId="76409F70" w:rsidR="00F47B72" w:rsidRPr="00764DFD" w:rsidRDefault="00F47B72" w:rsidP="00F47B72">
      <w:pPr>
        <w:pStyle w:val="ListParagraph"/>
        <w:widowControl w:val="0"/>
        <w:numPr>
          <w:ilvl w:val="0"/>
          <w:numId w:val="20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la Figura 1 Matriz de ponderaciones de los Criterios con Puntaje por riesgo y costo;</w:t>
      </w:r>
    </w:p>
    <w:p w14:paraId="5A6AF541" w14:textId="3F85264E" w:rsidR="00F47B72" w:rsidRPr="00764DFD" w:rsidRDefault="00F47B72" w:rsidP="00F47B72">
      <w:pPr>
        <w:pStyle w:val="ListParagraph"/>
        <w:widowControl w:val="0"/>
        <w:numPr>
          <w:ilvl w:val="1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jc w:val="both"/>
        <w:rPr>
          <w:w w:val="105"/>
          <w:lang w:val="es-ES"/>
        </w:rPr>
      </w:pPr>
      <w:r w:rsidRPr="00764DFD">
        <w:rPr>
          <w:w w:val="105"/>
          <w:lang w:val="es-ES"/>
        </w:rPr>
        <w:t>En el Párrafo 3.4 se agregó el requisito de que el Banco revisará y aprobará las ponderaciones de los Criterios con Puntaje para cada contrato sujeto a revisión previa. Para los contratos sujetos a revisión posterior, el Banco revisará el cumplimiento del Prestatario con la matriz de Criterios con Puntaje. Se agregó que la aplicación incorrecta de las ponderaciones en la matriz (</w:t>
      </w:r>
      <w:r w:rsidR="005E4231">
        <w:rPr>
          <w:w w:val="105"/>
          <w:lang w:val="es-ES"/>
        </w:rPr>
        <w:t>F</w:t>
      </w:r>
      <w:r w:rsidRPr="00764DFD">
        <w:rPr>
          <w:w w:val="105"/>
          <w:lang w:val="es-ES"/>
        </w:rPr>
        <w:t>igura 1) puede conducir a adquisiciones viciadas;</w:t>
      </w:r>
    </w:p>
    <w:p w14:paraId="798B445B" w14:textId="65DF33ED" w:rsidR="00764DFD" w:rsidRPr="00764DFD" w:rsidRDefault="00F47B72" w:rsidP="00F47B72">
      <w:pPr>
        <w:pStyle w:val="ListParagraph"/>
        <w:widowControl w:val="0"/>
        <w:numPr>
          <w:ilvl w:val="1"/>
          <w:numId w:val="1"/>
        </w:numPr>
        <w:tabs>
          <w:tab w:val="left" w:pos="848"/>
          <w:tab w:val="left" w:pos="850"/>
        </w:tabs>
        <w:autoSpaceDE w:val="0"/>
        <w:autoSpaceDN w:val="0"/>
        <w:spacing w:before="27" w:after="0" w:line="256" w:lineRule="auto"/>
        <w:ind w:right="701"/>
        <w:contextualSpacing w:val="0"/>
        <w:jc w:val="both"/>
        <w:rPr>
          <w:position w:val="-1"/>
          <w:lang w:val="es-ES"/>
        </w:rPr>
      </w:pPr>
      <w:r w:rsidRPr="00764DFD">
        <w:rPr>
          <w:w w:val="105"/>
          <w:lang w:val="es-ES"/>
        </w:rPr>
        <w:t>En el párrafo 3.7 se agregó que la Oferta/Propuesta Más Conveniente debe especificarse en el documento de Solicitud de Ofertas/Solicitud de Propuestas de conformidad con el Párrafo 5.50 y el Anexo X.</w:t>
      </w:r>
    </w:p>
    <w:p w14:paraId="2DD4C615" w14:textId="77777777" w:rsidR="00081575" w:rsidRDefault="00081575" w:rsidP="002A376C">
      <w:pPr>
        <w:widowControl w:val="0"/>
        <w:tabs>
          <w:tab w:val="left" w:pos="848"/>
          <w:tab w:val="left" w:pos="850"/>
        </w:tabs>
        <w:autoSpaceDE w:val="0"/>
        <w:autoSpaceDN w:val="0"/>
        <w:spacing w:after="0" w:line="256" w:lineRule="auto"/>
        <w:ind w:right="701"/>
        <w:jc w:val="both"/>
        <w:rPr>
          <w:lang w:val="es-ES"/>
        </w:rPr>
      </w:pPr>
    </w:p>
    <w:p w14:paraId="198F6C0F" w14:textId="77777777" w:rsidR="00764DFD" w:rsidRPr="00764DFD" w:rsidRDefault="00764DFD" w:rsidP="002A376C">
      <w:pPr>
        <w:widowControl w:val="0"/>
        <w:tabs>
          <w:tab w:val="left" w:pos="848"/>
          <w:tab w:val="left" w:pos="850"/>
        </w:tabs>
        <w:autoSpaceDE w:val="0"/>
        <w:autoSpaceDN w:val="0"/>
        <w:spacing w:after="0" w:line="256" w:lineRule="auto"/>
        <w:ind w:right="701"/>
        <w:jc w:val="both"/>
        <w:rPr>
          <w:lang w:val="es-ES"/>
        </w:rPr>
      </w:pPr>
    </w:p>
    <w:p w14:paraId="31581C7D" w14:textId="1229197A" w:rsidR="00A73CDD" w:rsidRPr="00764DFD" w:rsidRDefault="00764DFD" w:rsidP="002A376C">
      <w:pPr>
        <w:spacing w:before="120" w:after="240"/>
        <w:jc w:val="both"/>
        <w:rPr>
          <w:lang w:val="es-ES"/>
        </w:rPr>
      </w:pPr>
      <w:r w:rsidRPr="00764DFD">
        <w:rPr>
          <w:lang w:val="es-ES"/>
        </w:rPr>
        <w:lastRenderedPageBreak/>
        <w:t>Otras revisiones incluyen:</w:t>
      </w:r>
    </w:p>
    <w:p w14:paraId="35580FFA" w14:textId="1DA83241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actualizó el Párrafo 3.2 para subrayar que el papel del Prestatario incluye la planificación, el análisis y la interacción con el mercado;</w:t>
      </w:r>
    </w:p>
    <w:p w14:paraId="0E69BC9F" w14:textId="04F93294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actualizó el Párrafo 5.39 para aclarar la fecha y la hora de la apertura de las Ofertas/Propuestas;</w:t>
      </w:r>
    </w:p>
    <w:p w14:paraId="0975C83A" w14:textId="6AC9675F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actualizó el Párrafo 5.70 para incluir ejemplos de cuándo no se pueden utilizar los Criterios con Puntaje;</w:t>
      </w:r>
    </w:p>
    <w:p w14:paraId="068F0FD9" w14:textId="52D420B7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Sección VI: Métodos de selección aprobados para bienes, obras y servicios que no sean de consultoría: Se actualizó la nota de la Tabla 1 sobre el uso obligatorio de los Criterios con Puntaje para hacer referencia también a las ponderaciones mínimas.</w:t>
      </w:r>
    </w:p>
    <w:p w14:paraId="395FA2D7" w14:textId="4AE5BAB0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actualizó el Párrafo 6.4 para reflejar que en la SDP al evaluar el grado en que las propuestas cumplen o superan los requisitos, la evaluación se lleva a cabo utilizando ponderaciones de los Criterios con Puntaje con una metodología de evaluación.</w:t>
      </w:r>
    </w:p>
    <w:p w14:paraId="24F6F5FD" w14:textId="14B7AB52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actualizó el Párrafo 6.14 para aclarar que la contratación pública internacional abierta y competitiva es el enfoque preferido para los contratos de riesgo alto y sustancial;</w:t>
      </w:r>
    </w:p>
    <w:p w14:paraId="3147A342" w14:textId="524E286E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Se actualizaron los Párrafos 2.3 (f) y 3.3 (c) del Anexo I para hacer referencia a los Criterios con Puntaje  y las ponderaciones;</w:t>
      </w:r>
    </w:p>
    <w:p w14:paraId="244EE53C" w14:textId="7D217974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En el Anexo II, Párrafo 3.1, aclara que si el Banco determina que los mecanismos de adquisición son más difíciles de implementar, entonces una actividad o contrato por debajo de los umbrales obligatorios aplicables estará sujeto a una revisión previa;</w:t>
      </w:r>
    </w:p>
    <w:p w14:paraId="35EBEBAA" w14:textId="2FD502E9" w:rsidR="00764DFD" w:rsidRPr="00764DFD" w:rsidRDefault="00764DFD" w:rsidP="00746AEB">
      <w:pPr>
        <w:pStyle w:val="ListParagraph"/>
        <w:widowControl w:val="0"/>
        <w:numPr>
          <w:ilvl w:val="0"/>
          <w:numId w:val="1"/>
        </w:numPr>
        <w:tabs>
          <w:tab w:val="left" w:pos="847"/>
          <w:tab w:val="left" w:pos="863"/>
        </w:tabs>
        <w:autoSpaceDE w:val="0"/>
        <w:autoSpaceDN w:val="0"/>
        <w:spacing w:after="0" w:line="261" w:lineRule="auto"/>
        <w:ind w:right="713"/>
        <w:contextualSpacing w:val="0"/>
        <w:jc w:val="both"/>
        <w:rPr>
          <w:position w:val="-2"/>
          <w:lang w:val="es-ES"/>
        </w:rPr>
      </w:pPr>
      <w:r w:rsidRPr="00764DFD">
        <w:rPr>
          <w:position w:val="-2"/>
          <w:lang w:val="es-ES"/>
        </w:rPr>
        <w:t>Actualización de los Anexos cuando sea pertinente, incluso para reflejar cambios en el cuerpo principal de las Regulaciones de Adquisiciones; y algunas otras revisiones editoriales/no sustantivas.</w:t>
      </w:r>
    </w:p>
    <w:sectPr w:rsidR="00764DFD" w:rsidRPr="0076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FF1"/>
    <w:multiLevelType w:val="multilevel"/>
    <w:tmpl w:val="E9DC1B66"/>
    <w:lvl w:ilvl="0">
      <w:start w:val="6"/>
      <w:numFmt w:val="decimal"/>
      <w:lvlText w:val="%1"/>
      <w:lvlJc w:val="left"/>
      <w:pPr>
        <w:ind w:left="2074" w:hanging="634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4" w:hanging="634"/>
      </w:pPr>
      <w:rPr>
        <w:rFonts w:ascii="Calibr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707" w:hanging="363"/>
      </w:pPr>
      <w:rPr>
        <w:rFonts w:ascii="Calibri" w:hAnsi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3240" w:hanging="200"/>
        <w:jc w:val="right"/>
      </w:pPr>
      <w:rPr>
        <w:rFonts w:ascii="Calibri" w:hAnsi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48" w:hanging="20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997" w:hanging="20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245" w:hanging="20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494" w:hanging="20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742" w:hanging="200"/>
      </w:pPr>
      <w:rPr>
        <w:lang w:val="en-US" w:eastAsia="en-US" w:bidi="ar-SA"/>
      </w:rPr>
    </w:lvl>
  </w:abstractNum>
  <w:abstractNum w:abstractNumId="1" w15:restartNumberingAfterBreak="0">
    <w:nsid w:val="0A1D31BE"/>
    <w:multiLevelType w:val="hybridMultilevel"/>
    <w:tmpl w:val="0084234E"/>
    <w:lvl w:ilvl="0" w:tplc="EC645178">
      <w:numFmt w:val="bullet"/>
      <w:lvlText w:val=""/>
      <w:lvlJc w:val="left"/>
      <w:pPr>
        <w:ind w:left="851" w:hanging="37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7A95CE">
      <w:numFmt w:val="bullet"/>
      <w:lvlText w:val="o"/>
      <w:lvlJc w:val="left"/>
      <w:pPr>
        <w:ind w:left="1570" w:hanging="37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AEAC75E2">
      <w:numFmt w:val="bullet"/>
      <w:lvlText w:val="•"/>
      <w:lvlJc w:val="left"/>
      <w:pPr>
        <w:ind w:left="2471" w:hanging="370"/>
      </w:pPr>
      <w:rPr>
        <w:rFonts w:hint="default"/>
        <w:lang w:val="en-US" w:eastAsia="en-US" w:bidi="ar-SA"/>
      </w:rPr>
    </w:lvl>
    <w:lvl w:ilvl="3" w:tplc="C0B8FEB6">
      <w:numFmt w:val="bullet"/>
      <w:lvlText w:val="•"/>
      <w:lvlJc w:val="left"/>
      <w:pPr>
        <w:ind w:left="3362" w:hanging="370"/>
      </w:pPr>
      <w:rPr>
        <w:rFonts w:hint="default"/>
        <w:lang w:val="en-US" w:eastAsia="en-US" w:bidi="ar-SA"/>
      </w:rPr>
    </w:lvl>
    <w:lvl w:ilvl="4" w:tplc="557CFA84">
      <w:numFmt w:val="bullet"/>
      <w:lvlText w:val="•"/>
      <w:lvlJc w:val="left"/>
      <w:pPr>
        <w:ind w:left="4253" w:hanging="370"/>
      </w:pPr>
      <w:rPr>
        <w:rFonts w:hint="default"/>
        <w:lang w:val="en-US" w:eastAsia="en-US" w:bidi="ar-SA"/>
      </w:rPr>
    </w:lvl>
    <w:lvl w:ilvl="5" w:tplc="36BC4124">
      <w:numFmt w:val="bullet"/>
      <w:lvlText w:val="•"/>
      <w:lvlJc w:val="left"/>
      <w:pPr>
        <w:ind w:left="5144" w:hanging="370"/>
      </w:pPr>
      <w:rPr>
        <w:rFonts w:hint="default"/>
        <w:lang w:val="en-US" w:eastAsia="en-US" w:bidi="ar-SA"/>
      </w:rPr>
    </w:lvl>
    <w:lvl w:ilvl="6" w:tplc="86DADD88">
      <w:numFmt w:val="bullet"/>
      <w:lvlText w:val="•"/>
      <w:lvlJc w:val="left"/>
      <w:pPr>
        <w:ind w:left="6035" w:hanging="370"/>
      </w:pPr>
      <w:rPr>
        <w:rFonts w:hint="default"/>
        <w:lang w:val="en-US" w:eastAsia="en-US" w:bidi="ar-SA"/>
      </w:rPr>
    </w:lvl>
    <w:lvl w:ilvl="7" w:tplc="3CF4C5D6">
      <w:numFmt w:val="bullet"/>
      <w:lvlText w:val="•"/>
      <w:lvlJc w:val="left"/>
      <w:pPr>
        <w:ind w:left="6926" w:hanging="370"/>
      </w:pPr>
      <w:rPr>
        <w:rFonts w:hint="default"/>
        <w:lang w:val="en-US" w:eastAsia="en-US" w:bidi="ar-SA"/>
      </w:rPr>
    </w:lvl>
    <w:lvl w:ilvl="8" w:tplc="56569336">
      <w:numFmt w:val="bullet"/>
      <w:lvlText w:val="•"/>
      <w:lvlJc w:val="left"/>
      <w:pPr>
        <w:ind w:left="7817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0B5915FF"/>
    <w:multiLevelType w:val="multilevel"/>
    <w:tmpl w:val="3BE42E1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62C9E"/>
    <w:multiLevelType w:val="hybridMultilevel"/>
    <w:tmpl w:val="A9D4C548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D674133"/>
    <w:multiLevelType w:val="multilevel"/>
    <w:tmpl w:val="AF503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8441C"/>
    <w:multiLevelType w:val="hybridMultilevel"/>
    <w:tmpl w:val="6650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4A9B"/>
    <w:multiLevelType w:val="hybridMultilevel"/>
    <w:tmpl w:val="9DD6C6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20612"/>
    <w:multiLevelType w:val="multilevel"/>
    <w:tmpl w:val="FD926A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811A2"/>
    <w:multiLevelType w:val="hybridMultilevel"/>
    <w:tmpl w:val="562E7E64"/>
    <w:lvl w:ilvl="0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 w15:restartNumberingAfterBreak="0">
    <w:nsid w:val="30D92D94"/>
    <w:multiLevelType w:val="hybridMultilevel"/>
    <w:tmpl w:val="8F9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2FC"/>
    <w:multiLevelType w:val="multilevel"/>
    <w:tmpl w:val="1284C0C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C2C8A"/>
    <w:multiLevelType w:val="multilevel"/>
    <w:tmpl w:val="F19694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511EE"/>
    <w:multiLevelType w:val="multilevel"/>
    <w:tmpl w:val="4EA6C0F8"/>
    <w:lvl w:ilvl="0">
      <w:start w:val="1"/>
      <w:numFmt w:val="decimal"/>
      <w:lvlText w:val="%1."/>
      <w:lvlJc w:val="left"/>
      <w:pPr>
        <w:ind w:left="2045" w:hanging="634"/>
      </w:pPr>
      <w:rPr>
        <w:rFonts w:ascii="Calibri" w:hAnsi="Calibri" w:hint="default"/>
        <w:b/>
        <w:bCs/>
        <w:i w:val="0"/>
        <w:iCs w:val="0"/>
        <w:color w:val="C45811"/>
        <w:spacing w:val="-2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45" w:hanging="634"/>
      </w:pPr>
      <w:rPr>
        <w:rFonts w:ascii="Calibr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678" w:hanging="360"/>
      </w:pPr>
      <w:rPr>
        <w:rFonts w:ascii="Calibri" w:hAnsi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04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66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928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99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9053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10115" w:hanging="360"/>
      </w:pPr>
      <w:rPr>
        <w:lang w:val="en-US" w:eastAsia="en-US" w:bidi="ar-SA"/>
      </w:rPr>
    </w:lvl>
  </w:abstractNum>
  <w:abstractNum w:abstractNumId="13" w15:restartNumberingAfterBreak="0">
    <w:nsid w:val="531C2E43"/>
    <w:multiLevelType w:val="multilevel"/>
    <w:tmpl w:val="07C0B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048A1"/>
    <w:multiLevelType w:val="hybridMultilevel"/>
    <w:tmpl w:val="32844B62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F551A41"/>
    <w:multiLevelType w:val="multilevel"/>
    <w:tmpl w:val="A53A4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75BC"/>
    <w:multiLevelType w:val="multilevel"/>
    <w:tmpl w:val="075009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B21A2C"/>
    <w:multiLevelType w:val="multilevel"/>
    <w:tmpl w:val="67F49D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1261B"/>
    <w:multiLevelType w:val="multilevel"/>
    <w:tmpl w:val="154697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9571D7"/>
    <w:multiLevelType w:val="multilevel"/>
    <w:tmpl w:val="1388A5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75626">
    <w:abstractNumId w:val="1"/>
  </w:num>
  <w:num w:numId="2" w16cid:durableId="462966803">
    <w:abstractNumId w:val="11"/>
  </w:num>
  <w:num w:numId="3" w16cid:durableId="1266039163">
    <w:abstractNumId w:val="13"/>
  </w:num>
  <w:num w:numId="4" w16cid:durableId="1371488329">
    <w:abstractNumId w:val="7"/>
  </w:num>
  <w:num w:numId="5" w16cid:durableId="182331281">
    <w:abstractNumId w:val="9"/>
  </w:num>
  <w:num w:numId="6" w16cid:durableId="531965263">
    <w:abstractNumId w:val="15"/>
  </w:num>
  <w:num w:numId="7" w16cid:durableId="1399280888">
    <w:abstractNumId w:val="18"/>
  </w:num>
  <w:num w:numId="8" w16cid:durableId="36395880">
    <w:abstractNumId w:val="17"/>
  </w:num>
  <w:num w:numId="9" w16cid:durableId="73480466">
    <w:abstractNumId w:val="19"/>
  </w:num>
  <w:num w:numId="10" w16cid:durableId="1992638649">
    <w:abstractNumId w:val="16"/>
  </w:num>
  <w:num w:numId="11" w16cid:durableId="1972437311">
    <w:abstractNumId w:val="10"/>
  </w:num>
  <w:num w:numId="12" w16cid:durableId="501436256">
    <w:abstractNumId w:val="2"/>
  </w:num>
  <w:num w:numId="13" w16cid:durableId="725766022">
    <w:abstractNumId w:val="0"/>
  </w:num>
  <w:num w:numId="14" w16cid:durableId="404495080">
    <w:abstractNumId w:val="12"/>
  </w:num>
  <w:num w:numId="15" w16cid:durableId="1113018255">
    <w:abstractNumId w:val="14"/>
  </w:num>
  <w:num w:numId="16" w16cid:durableId="639767847">
    <w:abstractNumId w:val="4"/>
  </w:num>
  <w:num w:numId="17" w16cid:durableId="1993023373">
    <w:abstractNumId w:val="5"/>
  </w:num>
  <w:num w:numId="18" w16cid:durableId="220555615">
    <w:abstractNumId w:val="6"/>
  </w:num>
  <w:num w:numId="19" w16cid:durableId="953054736">
    <w:abstractNumId w:val="3"/>
  </w:num>
  <w:num w:numId="20" w16cid:durableId="1585845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AD"/>
    <w:rsid w:val="00012564"/>
    <w:rsid w:val="00015CCB"/>
    <w:rsid w:val="00017C66"/>
    <w:rsid w:val="00020695"/>
    <w:rsid w:val="00040A81"/>
    <w:rsid w:val="0004546F"/>
    <w:rsid w:val="000557EA"/>
    <w:rsid w:val="00060434"/>
    <w:rsid w:val="0006057A"/>
    <w:rsid w:val="000624AC"/>
    <w:rsid w:val="00065F04"/>
    <w:rsid w:val="0006618A"/>
    <w:rsid w:val="00067691"/>
    <w:rsid w:val="00071630"/>
    <w:rsid w:val="00077F6D"/>
    <w:rsid w:val="00081575"/>
    <w:rsid w:val="00083F66"/>
    <w:rsid w:val="00087D0E"/>
    <w:rsid w:val="000A4A26"/>
    <w:rsid w:val="000C338B"/>
    <w:rsid w:val="000D3F05"/>
    <w:rsid w:val="000D7476"/>
    <w:rsid w:val="000E11BB"/>
    <w:rsid w:val="000E2FA2"/>
    <w:rsid w:val="000E31FB"/>
    <w:rsid w:val="000E3F50"/>
    <w:rsid w:val="000F24DA"/>
    <w:rsid w:val="0010252E"/>
    <w:rsid w:val="0011197C"/>
    <w:rsid w:val="00112DD8"/>
    <w:rsid w:val="001135F2"/>
    <w:rsid w:val="00115248"/>
    <w:rsid w:val="00116664"/>
    <w:rsid w:val="00116B77"/>
    <w:rsid w:val="001219BE"/>
    <w:rsid w:val="0012257E"/>
    <w:rsid w:val="00123291"/>
    <w:rsid w:val="0012739E"/>
    <w:rsid w:val="00133DDA"/>
    <w:rsid w:val="0014051C"/>
    <w:rsid w:val="00151476"/>
    <w:rsid w:val="0017258B"/>
    <w:rsid w:val="00181875"/>
    <w:rsid w:val="00181C1A"/>
    <w:rsid w:val="00187DA7"/>
    <w:rsid w:val="00194E21"/>
    <w:rsid w:val="0019749E"/>
    <w:rsid w:val="001A29B6"/>
    <w:rsid w:val="001D51A4"/>
    <w:rsid w:val="001D6060"/>
    <w:rsid w:val="001E33E2"/>
    <w:rsid w:val="001F0351"/>
    <w:rsid w:val="001F3F81"/>
    <w:rsid w:val="00205192"/>
    <w:rsid w:val="00207354"/>
    <w:rsid w:val="00216FCD"/>
    <w:rsid w:val="00221A4D"/>
    <w:rsid w:val="002239A0"/>
    <w:rsid w:val="002333D0"/>
    <w:rsid w:val="0023377A"/>
    <w:rsid w:val="002344D4"/>
    <w:rsid w:val="00252C6B"/>
    <w:rsid w:val="002561B5"/>
    <w:rsid w:val="00260102"/>
    <w:rsid w:val="00274153"/>
    <w:rsid w:val="00280D0B"/>
    <w:rsid w:val="0028340D"/>
    <w:rsid w:val="00294B61"/>
    <w:rsid w:val="0029525E"/>
    <w:rsid w:val="002A046E"/>
    <w:rsid w:val="002A0C3B"/>
    <w:rsid w:val="002A1219"/>
    <w:rsid w:val="002A1811"/>
    <w:rsid w:val="002A376C"/>
    <w:rsid w:val="002C7B1B"/>
    <w:rsid w:val="002D0B21"/>
    <w:rsid w:val="002D220B"/>
    <w:rsid w:val="002D3F59"/>
    <w:rsid w:val="002E28D6"/>
    <w:rsid w:val="002E3FE7"/>
    <w:rsid w:val="002F2291"/>
    <w:rsid w:val="00304FAD"/>
    <w:rsid w:val="0031125C"/>
    <w:rsid w:val="003142B7"/>
    <w:rsid w:val="003153E1"/>
    <w:rsid w:val="00326810"/>
    <w:rsid w:val="00330410"/>
    <w:rsid w:val="003504BF"/>
    <w:rsid w:val="00354E77"/>
    <w:rsid w:val="00355E15"/>
    <w:rsid w:val="00370095"/>
    <w:rsid w:val="003750B7"/>
    <w:rsid w:val="003844DD"/>
    <w:rsid w:val="00395188"/>
    <w:rsid w:val="003A1148"/>
    <w:rsid w:val="003A4935"/>
    <w:rsid w:val="003C3059"/>
    <w:rsid w:val="003D385B"/>
    <w:rsid w:val="003D5C04"/>
    <w:rsid w:val="003E696E"/>
    <w:rsid w:val="003E7A23"/>
    <w:rsid w:val="003F03CF"/>
    <w:rsid w:val="00403A5C"/>
    <w:rsid w:val="00411032"/>
    <w:rsid w:val="00411154"/>
    <w:rsid w:val="00411F73"/>
    <w:rsid w:val="004273F8"/>
    <w:rsid w:val="004311E3"/>
    <w:rsid w:val="0043457B"/>
    <w:rsid w:val="004436A4"/>
    <w:rsid w:val="004538B9"/>
    <w:rsid w:val="00455216"/>
    <w:rsid w:val="00461D99"/>
    <w:rsid w:val="004708C6"/>
    <w:rsid w:val="0047173D"/>
    <w:rsid w:val="00487BA5"/>
    <w:rsid w:val="00491E61"/>
    <w:rsid w:val="004B0107"/>
    <w:rsid w:val="004C7FDD"/>
    <w:rsid w:val="004E4F7B"/>
    <w:rsid w:val="004F080E"/>
    <w:rsid w:val="004F6C60"/>
    <w:rsid w:val="005063DA"/>
    <w:rsid w:val="00522AAC"/>
    <w:rsid w:val="005276D1"/>
    <w:rsid w:val="00536997"/>
    <w:rsid w:val="00564CF5"/>
    <w:rsid w:val="00564E36"/>
    <w:rsid w:val="005658FE"/>
    <w:rsid w:val="00572FDB"/>
    <w:rsid w:val="00576C0F"/>
    <w:rsid w:val="00590DD2"/>
    <w:rsid w:val="00597245"/>
    <w:rsid w:val="005E4231"/>
    <w:rsid w:val="005E50AA"/>
    <w:rsid w:val="00606175"/>
    <w:rsid w:val="00614258"/>
    <w:rsid w:val="0062629F"/>
    <w:rsid w:val="00647305"/>
    <w:rsid w:val="00666E97"/>
    <w:rsid w:val="006677A1"/>
    <w:rsid w:val="00674C7A"/>
    <w:rsid w:val="0068086A"/>
    <w:rsid w:val="0068265B"/>
    <w:rsid w:val="00684550"/>
    <w:rsid w:val="00690E9C"/>
    <w:rsid w:val="006A6DC2"/>
    <w:rsid w:val="006B2DD7"/>
    <w:rsid w:val="006B3597"/>
    <w:rsid w:val="006B5C35"/>
    <w:rsid w:val="006C070C"/>
    <w:rsid w:val="006C4799"/>
    <w:rsid w:val="006C53D8"/>
    <w:rsid w:val="006C7D0E"/>
    <w:rsid w:val="006D53FB"/>
    <w:rsid w:val="006D609E"/>
    <w:rsid w:val="006F3F35"/>
    <w:rsid w:val="006F634B"/>
    <w:rsid w:val="00711E0B"/>
    <w:rsid w:val="00717597"/>
    <w:rsid w:val="007303DE"/>
    <w:rsid w:val="00730688"/>
    <w:rsid w:val="00731C74"/>
    <w:rsid w:val="00735A0D"/>
    <w:rsid w:val="007376E3"/>
    <w:rsid w:val="0074358D"/>
    <w:rsid w:val="00746AEB"/>
    <w:rsid w:val="00747B95"/>
    <w:rsid w:val="00751077"/>
    <w:rsid w:val="007524A4"/>
    <w:rsid w:val="00761B0B"/>
    <w:rsid w:val="00764DFD"/>
    <w:rsid w:val="00767617"/>
    <w:rsid w:val="00787575"/>
    <w:rsid w:val="00787EC4"/>
    <w:rsid w:val="0079550C"/>
    <w:rsid w:val="007A6B99"/>
    <w:rsid w:val="007B1F88"/>
    <w:rsid w:val="007C0319"/>
    <w:rsid w:val="007D0C19"/>
    <w:rsid w:val="007D6547"/>
    <w:rsid w:val="007E0714"/>
    <w:rsid w:val="007E58DA"/>
    <w:rsid w:val="007E7BB1"/>
    <w:rsid w:val="0080474F"/>
    <w:rsid w:val="00805CCE"/>
    <w:rsid w:val="0081265F"/>
    <w:rsid w:val="0081687D"/>
    <w:rsid w:val="00822226"/>
    <w:rsid w:val="0083151E"/>
    <w:rsid w:val="008320E7"/>
    <w:rsid w:val="008330E5"/>
    <w:rsid w:val="00834D65"/>
    <w:rsid w:val="00853FF2"/>
    <w:rsid w:val="00862C3F"/>
    <w:rsid w:val="00863294"/>
    <w:rsid w:val="008730A2"/>
    <w:rsid w:val="00874B76"/>
    <w:rsid w:val="00885342"/>
    <w:rsid w:val="008A2768"/>
    <w:rsid w:val="008B4AD1"/>
    <w:rsid w:val="008C02FE"/>
    <w:rsid w:val="008C531B"/>
    <w:rsid w:val="008C5E18"/>
    <w:rsid w:val="008E18E9"/>
    <w:rsid w:val="008F3BE9"/>
    <w:rsid w:val="008F5019"/>
    <w:rsid w:val="008F65AD"/>
    <w:rsid w:val="009112FB"/>
    <w:rsid w:val="00915CFD"/>
    <w:rsid w:val="009308FF"/>
    <w:rsid w:val="00951A38"/>
    <w:rsid w:val="00962BC8"/>
    <w:rsid w:val="00972A1A"/>
    <w:rsid w:val="009860C2"/>
    <w:rsid w:val="009941B5"/>
    <w:rsid w:val="009A2966"/>
    <w:rsid w:val="009C73F8"/>
    <w:rsid w:val="009D07ED"/>
    <w:rsid w:val="009E5FB4"/>
    <w:rsid w:val="00A12A43"/>
    <w:rsid w:val="00A12AAB"/>
    <w:rsid w:val="00A218CC"/>
    <w:rsid w:val="00A3770A"/>
    <w:rsid w:val="00A464DA"/>
    <w:rsid w:val="00A6019B"/>
    <w:rsid w:val="00A60DDD"/>
    <w:rsid w:val="00A6598C"/>
    <w:rsid w:val="00A72ED6"/>
    <w:rsid w:val="00A73CDD"/>
    <w:rsid w:val="00A80143"/>
    <w:rsid w:val="00AA061C"/>
    <w:rsid w:val="00AA1A8A"/>
    <w:rsid w:val="00AA4280"/>
    <w:rsid w:val="00AA4CE8"/>
    <w:rsid w:val="00AB7CCB"/>
    <w:rsid w:val="00AC0625"/>
    <w:rsid w:val="00AC3599"/>
    <w:rsid w:val="00AC7F9B"/>
    <w:rsid w:val="00AD38D3"/>
    <w:rsid w:val="00AD4F83"/>
    <w:rsid w:val="00AD5095"/>
    <w:rsid w:val="00AE0D2D"/>
    <w:rsid w:val="00AF30FE"/>
    <w:rsid w:val="00AF434B"/>
    <w:rsid w:val="00AF4DF1"/>
    <w:rsid w:val="00B01B82"/>
    <w:rsid w:val="00B0481B"/>
    <w:rsid w:val="00B12968"/>
    <w:rsid w:val="00B21D3E"/>
    <w:rsid w:val="00B35134"/>
    <w:rsid w:val="00B40E5B"/>
    <w:rsid w:val="00B4300C"/>
    <w:rsid w:val="00B61F82"/>
    <w:rsid w:val="00B63785"/>
    <w:rsid w:val="00B63957"/>
    <w:rsid w:val="00B75CD4"/>
    <w:rsid w:val="00BA0AE2"/>
    <w:rsid w:val="00BA505D"/>
    <w:rsid w:val="00BA7A16"/>
    <w:rsid w:val="00BD7EC6"/>
    <w:rsid w:val="00BE360E"/>
    <w:rsid w:val="00BF0CE7"/>
    <w:rsid w:val="00C02F23"/>
    <w:rsid w:val="00C07B24"/>
    <w:rsid w:val="00C07DCA"/>
    <w:rsid w:val="00C16B1D"/>
    <w:rsid w:val="00C21FDB"/>
    <w:rsid w:val="00C30D61"/>
    <w:rsid w:val="00C51E4A"/>
    <w:rsid w:val="00C75877"/>
    <w:rsid w:val="00C80949"/>
    <w:rsid w:val="00C848FE"/>
    <w:rsid w:val="00C86E0E"/>
    <w:rsid w:val="00C94CB0"/>
    <w:rsid w:val="00CA30A5"/>
    <w:rsid w:val="00CA4B1E"/>
    <w:rsid w:val="00CA7A61"/>
    <w:rsid w:val="00CC3B38"/>
    <w:rsid w:val="00CE43D4"/>
    <w:rsid w:val="00CE59F2"/>
    <w:rsid w:val="00D22120"/>
    <w:rsid w:val="00D3338B"/>
    <w:rsid w:val="00D3760F"/>
    <w:rsid w:val="00D4590A"/>
    <w:rsid w:val="00D459FD"/>
    <w:rsid w:val="00D552EF"/>
    <w:rsid w:val="00D55439"/>
    <w:rsid w:val="00D56CB8"/>
    <w:rsid w:val="00D92AF0"/>
    <w:rsid w:val="00D9546E"/>
    <w:rsid w:val="00D96C45"/>
    <w:rsid w:val="00DA32B4"/>
    <w:rsid w:val="00DA7FC6"/>
    <w:rsid w:val="00DB0B1B"/>
    <w:rsid w:val="00DB2850"/>
    <w:rsid w:val="00DC21CF"/>
    <w:rsid w:val="00DC2208"/>
    <w:rsid w:val="00DC22EE"/>
    <w:rsid w:val="00DC2CDD"/>
    <w:rsid w:val="00DE668A"/>
    <w:rsid w:val="00DE7A38"/>
    <w:rsid w:val="00DF3FFF"/>
    <w:rsid w:val="00E1250E"/>
    <w:rsid w:val="00E12C21"/>
    <w:rsid w:val="00E17FC0"/>
    <w:rsid w:val="00E2711C"/>
    <w:rsid w:val="00E27ABF"/>
    <w:rsid w:val="00E32727"/>
    <w:rsid w:val="00E401E1"/>
    <w:rsid w:val="00E568C3"/>
    <w:rsid w:val="00E573EE"/>
    <w:rsid w:val="00E61343"/>
    <w:rsid w:val="00E62D85"/>
    <w:rsid w:val="00E84FBB"/>
    <w:rsid w:val="00E913E7"/>
    <w:rsid w:val="00E97536"/>
    <w:rsid w:val="00EB1001"/>
    <w:rsid w:val="00EB2B7D"/>
    <w:rsid w:val="00EB5F2D"/>
    <w:rsid w:val="00ED3FB8"/>
    <w:rsid w:val="00EE1047"/>
    <w:rsid w:val="00EE23D2"/>
    <w:rsid w:val="00EF2C1B"/>
    <w:rsid w:val="00EF3364"/>
    <w:rsid w:val="00EF547E"/>
    <w:rsid w:val="00EF6C53"/>
    <w:rsid w:val="00F04290"/>
    <w:rsid w:val="00F05FD8"/>
    <w:rsid w:val="00F25570"/>
    <w:rsid w:val="00F2667D"/>
    <w:rsid w:val="00F3101A"/>
    <w:rsid w:val="00F47B72"/>
    <w:rsid w:val="00F47C5E"/>
    <w:rsid w:val="00F56AE7"/>
    <w:rsid w:val="00F57052"/>
    <w:rsid w:val="00F63172"/>
    <w:rsid w:val="00F721FA"/>
    <w:rsid w:val="00F81CBD"/>
    <w:rsid w:val="00F9533F"/>
    <w:rsid w:val="00FA7209"/>
    <w:rsid w:val="00FB173C"/>
    <w:rsid w:val="00FB4B48"/>
    <w:rsid w:val="00FC1A74"/>
    <w:rsid w:val="00FC3324"/>
    <w:rsid w:val="00FD2E4F"/>
    <w:rsid w:val="00FE12C2"/>
    <w:rsid w:val="00FE5AE9"/>
    <w:rsid w:val="00FF4D4D"/>
    <w:rsid w:val="00FF6DA0"/>
    <w:rsid w:val="0E3E7BA7"/>
    <w:rsid w:val="0FB9DB3C"/>
    <w:rsid w:val="10C58347"/>
    <w:rsid w:val="1388085A"/>
    <w:rsid w:val="1B846459"/>
    <w:rsid w:val="1F777D27"/>
    <w:rsid w:val="1FC59B8A"/>
    <w:rsid w:val="1FDC4592"/>
    <w:rsid w:val="2090C0DD"/>
    <w:rsid w:val="214B87A5"/>
    <w:rsid w:val="2342039E"/>
    <w:rsid w:val="23B7A2CB"/>
    <w:rsid w:val="24827D4B"/>
    <w:rsid w:val="2A40B676"/>
    <w:rsid w:val="2AAA6B81"/>
    <w:rsid w:val="30F37AC5"/>
    <w:rsid w:val="3ABA9823"/>
    <w:rsid w:val="3C225300"/>
    <w:rsid w:val="3D2BFFD5"/>
    <w:rsid w:val="40BEDB6F"/>
    <w:rsid w:val="40D04AAB"/>
    <w:rsid w:val="4145010E"/>
    <w:rsid w:val="455329FC"/>
    <w:rsid w:val="45B2E1D9"/>
    <w:rsid w:val="45B94A29"/>
    <w:rsid w:val="4EAE9F50"/>
    <w:rsid w:val="5308BEC8"/>
    <w:rsid w:val="540CDF66"/>
    <w:rsid w:val="54AB0732"/>
    <w:rsid w:val="5B1648EA"/>
    <w:rsid w:val="5B173F89"/>
    <w:rsid w:val="5B8C2019"/>
    <w:rsid w:val="60A1DD9C"/>
    <w:rsid w:val="66A48D27"/>
    <w:rsid w:val="6786F787"/>
    <w:rsid w:val="686F896A"/>
    <w:rsid w:val="68B67323"/>
    <w:rsid w:val="6B4E043A"/>
    <w:rsid w:val="6E15FF4D"/>
    <w:rsid w:val="70FA3752"/>
    <w:rsid w:val="73ABBF31"/>
    <w:rsid w:val="7AA05340"/>
    <w:rsid w:val="7B55FA8B"/>
    <w:rsid w:val="7BFFFCA8"/>
    <w:rsid w:val="7DC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61AB"/>
  <w15:chartTrackingRefBased/>
  <w15:docId w15:val="{2EAE96D0-8147-41A1-A96F-9E64379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5A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F65A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73CDD"/>
    <w:pPr>
      <w:widowControl w:val="0"/>
      <w:autoSpaceDE w:val="0"/>
      <w:autoSpaceDN w:val="0"/>
      <w:spacing w:before="32" w:after="0" w:line="240" w:lineRule="auto"/>
      <w:ind w:left="849" w:hanging="383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CDD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2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58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E18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462a4-85f7-49c1-bf7a-708e81a70f85">
      <Terms xmlns="http://schemas.microsoft.com/office/infopath/2007/PartnerControls"/>
    </lcf76f155ced4ddcb4097134ff3c332f>
    <TaxCatchAll xmlns="33da981c-5bff-4b3c-a655-fd7d7e742a93" xsi:nil="true"/>
    <SharedWithUsers xmlns="33da981c-5bff-4b3c-a655-fd7d7e742a9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365ECC8CF941870019BCDB4C4838" ma:contentTypeVersion="13" ma:contentTypeDescription="Create a new document." ma:contentTypeScope="" ma:versionID="92d35134dd27cbb57503fe7fa2feb1f8">
  <xsd:schema xmlns:xsd="http://www.w3.org/2001/XMLSchema" xmlns:xs="http://www.w3.org/2001/XMLSchema" xmlns:p="http://schemas.microsoft.com/office/2006/metadata/properties" xmlns:ns2="c26462a4-85f7-49c1-bf7a-708e81a70f85" xmlns:ns3="33da981c-5bff-4b3c-a655-fd7d7e742a93" targetNamespace="http://schemas.microsoft.com/office/2006/metadata/properties" ma:root="true" ma:fieldsID="8ed93272a526a50507c52a13e13a3953" ns2:_="" ns3:_="">
    <xsd:import namespace="c26462a4-85f7-49c1-bf7a-708e81a70f85"/>
    <xsd:import namespace="33da981c-5bff-4b3c-a655-fd7d7e74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62a4-85f7-49c1-bf7a-708e81a70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a981c-5bff-4b3c-a655-fd7d7e742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4a0f30-0585-4cd4-8b39-5cd73685136a}" ma:internalName="TaxCatchAll" ma:showField="CatchAllData" ma:web="33da981c-5bff-4b3c-a655-fd7d7e74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8A7B6-E704-443C-9096-65E495D4C540}">
  <ds:schemaRefs>
    <ds:schemaRef ds:uri="http://schemas.microsoft.com/office/2006/metadata/properties"/>
    <ds:schemaRef ds:uri="http://schemas.microsoft.com/office/infopath/2007/PartnerControls"/>
    <ds:schemaRef ds:uri="c26462a4-85f7-49c1-bf7a-708e81a70f85"/>
    <ds:schemaRef ds:uri="33da981c-5bff-4b3c-a655-fd7d7e742a93"/>
  </ds:schemaRefs>
</ds:datastoreItem>
</file>

<file path=customXml/itemProps2.xml><?xml version="1.0" encoding="utf-8"?>
<ds:datastoreItem xmlns:ds="http://schemas.openxmlformats.org/officeDocument/2006/customXml" ds:itemID="{DA6BE0E4-6937-4DD1-B820-1F5CCEF46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462a4-85f7-49c1-bf7a-708e81a70f85"/>
    <ds:schemaRef ds:uri="33da981c-5bff-4b3c-a655-fd7d7e74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7B4AC-3CC2-4B93-9DBB-6640EC5B6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Anne Farmer</dc:creator>
  <cp:keywords/>
  <dc:description/>
  <cp:lastModifiedBy>Efraim Jimenez</cp:lastModifiedBy>
  <cp:revision>14</cp:revision>
  <dcterms:created xsi:type="dcterms:W3CDTF">2025-03-06T17:52:00Z</dcterms:created>
  <dcterms:modified xsi:type="dcterms:W3CDTF">2025-03-07T03:06:00Z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0x0101003DBF365ECC8CF941870019BCDB4C4838</vt:lpwstr>
  </property>
  <property fmtid="{D5CDD505-2E9C-101B-9397-08002B2CF9AE}" pid="3" name="Order">
    <vt:r8>1639600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{"FileActivityType":"6","FileActivityTimeStamp":"2025-02-06T14:59:57.810Z","FileActivityUsersOnPage":[{"DisplayName":"Julie Anne Farmer","Id":"jfarmer1@worldbank.org"}],"FileActivityNavigationId":null}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