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F91F" w14:textId="77777777" w:rsidR="005E1F5A" w:rsidRPr="00D42E24" w:rsidRDefault="005E1F5A">
      <w:bookmarkStart w:id="0" w:name="_GoBack"/>
      <w:bookmarkEnd w:id="0"/>
    </w:p>
    <w:tbl>
      <w:tblPr>
        <w:tblStyle w:val="MediumList2-Accent1"/>
        <w:tblW w:w="10710" w:type="dxa"/>
        <w:tblInd w:w="-5" w:type="dxa"/>
        <w:tblLayout w:type="fixed"/>
        <w:tblLook w:val="06A0" w:firstRow="1" w:lastRow="0" w:firstColumn="1" w:lastColumn="0" w:noHBand="1" w:noVBand="1"/>
      </w:tblPr>
      <w:tblGrid>
        <w:gridCol w:w="1530"/>
        <w:gridCol w:w="3261"/>
        <w:gridCol w:w="29"/>
        <w:gridCol w:w="3231"/>
        <w:gridCol w:w="142"/>
        <w:gridCol w:w="2517"/>
      </w:tblGrid>
      <w:tr w:rsidR="00D42E24" w:rsidRPr="00D42E24" w14:paraId="266D2F52" w14:textId="77777777" w:rsidTr="0084159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14:paraId="5F4E0508" w14:textId="77777777" w:rsidR="00813139" w:rsidRPr="00D42E24" w:rsidRDefault="00813139" w:rsidP="004F4492">
            <w:pPr>
              <w:rPr>
                <w:rFonts w:asciiTheme="minorHAnsi" w:eastAsiaTheme="minorEastAsia" w:hAnsiTheme="minorHAnsi" w:cstheme="majorHAnsi"/>
                <w:b/>
                <w:color w:val="auto"/>
                <w:sz w:val="18"/>
                <w:szCs w:val="18"/>
              </w:rPr>
            </w:pPr>
            <w:r w:rsidRPr="00D42E24">
              <w:rPr>
                <w:rFonts w:asciiTheme="minorHAnsi" w:eastAsiaTheme="minorEastAsia" w:hAnsiTheme="minorHAnsi" w:cstheme="majorHAnsi"/>
                <w:b/>
                <w:color w:val="auto"/>
                <w:sz w:val="18"/>
                <w:szCs w:val="18"/>
              </w:rPr>
              <w:t>Focus Areas</w:t>
            </w:r>
          </w:p>
        </w:tc>
        <w:tc>
          <w:tcPr>
            <w:tcW w:w="3290" w:type="dxa"/>
            <w:gridSpan w:val="2"/>
            <w:tcBorders>
              <w:top w:val="single" w:sz="4" w:space="0" w:color="auto"/>
              <w:left w:val="single" w:sz="4" w:space="0" w:color="auto"/>
              <w:bottom w:val="single" w:sz="4" w:space="0" w:color="auto"/>
              <w:right w:val="single" w:sz="4" w:space="0" w:color="auto"/>
            </w:tcBorders>
          </w:tcPr>
          <w:p w14:paraId="4F23FDE4" w14:textId="77777777" w:rsidR="00813139" w:rsidRPr="00D42E24" w:rsidRDefault="00813139" w:rsidP="00542D2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HAnsi"/>
                <w:b/>
                <w:color w:val="auto"/>
                <w:sz w:val="18"/>
                <w:szCs w:val="18"/>
              </w:rPr>
            </w:pPr>
            <w:r w:rsidRPr="00D42E24">
              <w:rPr>
                <w:rFonts w:asciiTheme="minorHAnsi" w:eastAsiaTheme="minorEastAsia" w:hAnsiTheme="minorHAnsi" w:cstheme="majorHAnsi"/>
                <w:b/>
                <w:color w:val="auto"/>
                <w:sz w:val="18"/>
                <w:szCs w:val="18"/>
              </w:rPr>
              <w:t>Government action</w:t>
            </w:r>
          </w:p>
        </w:tc>
        <w:tc>
          <w:tcPr>
            <w:tcW w:w="3373" w:type="dxa"/>
            <w:gridSpan w:val="2"/>
            <w:tcBorders>
              <w:top w:val="single" w:sz="4" w:space="0" w:color="auto"/>
              <w:left w:val="single" w:sz="4" w:space="0" w:color="auto"/>
              <w:bottom w:val="single" w:sz="4" w:space="0" w:color="auto"/>
              <w:right w:val="single" w:sz="4" w:space="0" w:color="auto"/>
            </w:tcBorders>
          </w:tcPr>
          <w:p w14:paraId="32CFE294" w14:textId="77777777" w:rsidR="00813139" w:rsidRPr="00D42E24" w:rsidRDefault="00813139" w:rsidP="00DA32E8">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HAnsi"/>
                <w:b/>
                <w:color w:val="auto"/>
                <w:sz w:val="18"/>
                <w:szCs w:val="18"/>
              </w:rPr>
            </w:pPr>
            <w:r w:rsidRPr="00D42E24">
              <w:rPr>
                <w:rFonts w:asciiTheme="minorHAnsi" w:eastAsiaTheme="minorEastAsia" w:hAnsiTheme="minorHAnsi" w:cstheme="majorHAnsi"/>
                <w:b/>
                <w:color w:val="auto"/>
                <w:sz w:val="18"/>
                <w:szCs w:val="18"/>
              </w:rPr>
              <w:t>Indicators and targets</w:t>
            </w:r>
          </w:p>
        </w:tc>
        <w:tc>
          <w:tcPr>
            <w:tcW w:w="2517" w:type="dxa"/>
            <w:tcBorders>
              <w:top w:val="single" w:sz="4" w:space="0" w:color="auto"/>
              <w:left w:val="single" w:sz="4" w:space="0" w:color="auto"/>
              <w:bottom w:val="single" w:sz="4" w:space="0" w:color="auto"/>
              <w:right w:val="single" w:sz="4" w:space="0" w:color="auto"/>
            </w:tcBorders>
          </w:tcPr>
          <w:p w14:paraId="6C341DEE" w14:textId="77777777" w:rsidR="00813139" w:rsidRPr="00D42E24" w:rsidRDefault="00813139" w:rsidP="00542D2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ajorHAnsi"/>
                <w:b/>
                <w:color w:val="auto"/>
                <w:sz w:val="18"/>
                <w:szCs w:val="18"/>
              </w:rPr>
            </w:pPr>
            <w:r w:rsidRPr="00D42E24">
              <w:rPr>
                <w:rFonts w:asciiTheme="minorHAnsi" w:eastAsiaTheme="minorEastAsia" w:hAnsiTheme="minorHAnsi" w:cstheme="majorHAnsi"/>
                <w:b/>
                <w:color w:val="auto"/>
                <w:sz w:val="18"/>
                <w:szCs w:val="18"/>
              </w:rPr>
              <w:t>Partners’ support</w:t>
            </w:r>
          </w:p>
        </w:tc>
      </w:tr>
      <w:tr w:rsidR="00D42E24" w:rsidRPr="00D42E24" w14:paraId="029B8191" w14:textId="77777777" w:rsidTr="00472309">
        <w:trPr>
          <w:trHeight w:val="341"/>
        </w:trPr>
        <w:tc>
          <w:tcPr>
            <w:cnfStyle w:val="001000000000" w:firstRow="0" w:lastRow="0" w:firstColumn="1" w:lastColumn="0" w:oddVBand="0" w:evenVBand="0" w:oddHBand="0" w:evenHBand="0" w:firstRowFirstColumn="0" w:firstRowLastColumn="0" w:lastRowFirstColumn="0" w:lastRowLastColumn="0"/>
            <w:tcW w:w="10710" w:type="dxa"/>
            <w:gridSpan w:val="6"/>
            <w:tcBorders>
              <w:top w:val="single" w:sz="4" w:space="0" w:color="auto"/>
              <w:left w:val="single" w:sz="4" w:space="0" w:color="auto"/>
              <w:bottom w:val="single" w:sz="4" w:space="0" w:color="auto"/>
              <w:right w:val="single" w:sz="4" w:space="0" w:color="auto"/>
            </w:tcBorders>
            <w:noWrap/>
            <w:vAlign w:val="center"/>
          </w:tcPr>
          <w:p w14:paraId="45BD1A01" w14:textId="77777777" w:rsidR="00813139" w:rsidRPr="00D42E24" w:rsidRDefault="0084159F" w:rsidP="00387E85">
            <w:pPr>
              <w:rPr>
                <w:rFonts w:asciiTheme="minorHAnsi" w:eastAsiaTheme="minorEastAsia" w:hAnsiTheme="minorHAnsi" w:cstheme="majorHAnsi"/>
                <w:b/>
                <w:color w:val="auto"/>
                <w:sz w:val="18"/>
                <w:szCs w:val="18"/>
              </w:rPr>
            </w:pPr>
            <w:r w:rsidRPr="00D42E24">
              <w:rPr>
                <w:rFonts w:asciiTheme="minorHAnsi" w:eastAsiaTheme="minorEastAsia" w:hAnsiTheme="minorHAnsi" w:cstheme="majorHAnsi"/>
                <w:b/>
                <w:color w:val="auto"/>
                <w:sz w:val="18"/>
                <w:szCs w:val="18"/>
              </w:rPr>
              <w:t xml:space="preserve">1. </w:t>
            </w:r>
            <w:r w:rsidR="00813139" w:rsidRPr="00D42E24">
              <w:rPr>
                <w:rFonts w:asciiTheme="minorHAnsi" w:eastAsiaTheme="minorEastAsia" w:hAnsiTheme="minorHAnsi" w:cstheme="majorHAnsi"/>
                <w:b/>
                <w:color w:val="auto"/>
                <w:sz w:val="18"/>
                <w:szCs w:val="18"/>
              </w:rPr>
              <w:t>Macroeconomic framework</w:t>
            </w:r>
          </w:p>
        </w:tc>
      </w:tr>
      <w:tr w:rsidR="00D42E24" w:rsidRPr="00D42E24" w14:paraId="44E7F228" w14:textId="77777777" w:rsidTr="003E1E98">
        <w:trPr>
          <w:trHeight w:val="593"/>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right w:val="single" w:sz="4" w:space="0" w:color="auto"/>
            </w:tcBorders>
          </w:tcPr>
          <w:p w14:paraId="22C64C0E" w14:textId="77777777" w:rsidR="006C4FE4" w:rsidRPr="00D42E24" w:rsidRDefault="00A42DEA" w:rsidP="006C4FE4">
            <w:pPr>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Macroeconomic stability</w:t>
            </w:r>
          </w:p>
        </w:tc>
        <w:tc>
          <w:tcPr>
            <w:tcW w:w="3261" w:type="dxa"/>
            <w:tcBorders>
              <w:top w:val="single" w:sz="4" w:space="0" w:color="auto"/>
              <w:left w:val="single" w:sz="4" w:space="0" w:color="auto"/>
              <w:bottom w:val="single" w:sz="4" w:space="0" w:color="auto"/>
              <w:right w:val="single" w:sz="4" w:space="0" w:color="auto"/>
            </w:tcBorders>
          </w:tcPr>
          <w:p w14:paraId="2C60674B" w14:textId="77777777" w:rsidR="00C12842" w:rsidRPr="00D42E24" w:rsidRDefault="004E1278" w:rsidP="00C12842">
            <w:pPr>
              <w:pStyle w:val="ListParagraph"/>
              <w:numPr>
                <w:ilvl w:val="0"/>
                <w:numId w:val="10"/>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R</w:t>
            </w:r>
            <w:r w:rsidR="00C12842" w:rsidRPr="00D42E24">
              <w:rPr>
                <w:rFonts w:asciiTheme="minorHAnsi" w:eastAsiaTheme="minorEastAsia" w:hAnsiTheme="minorHAnsi" w:cstheme="majorHAnsi"/>
                <w:color w:val="auto"/>
                <w:sz w:val="18"/>
                <w:szCs w:val="18"/>
              </w:rPr>
              <w:t xml:space="preserve">educe </w:t>
            </w:r>
            <w:r w:rsidR="00346218" w:rsidRPr="00D42E24">
              <w:rPr>
                <w:rFonts w:asciiTheme="minorHAnsi" w:eastAsiaTheme="minorEastAsia" w:hAnsiTheme="minorHAnsi" w:cstheme="majorHAnsi"/>
                <w:color w:val="auto"/>
                <w:sz w:val="18"/>
                <w:szCs w:val="18"/>
              </w:rPr>
              <w:t>fiscal deficit</w:t>
            </w:r>
          </w:p>
          <w:p w14:paraId="09676731" w14:textId="77777777" w:rsidR="00C12842" w:rsidRPr="00D42E24" w:rsidRDefault="004E1278" w:rsidP="00C12842">
            <w:pPr>
              <w:pStyle w:val="ListParagraph"/>
              <w:numPr>
                <w:ilvl w:val="0"/>
                <w:numId w:val="10"/>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E</w:t>
            </w:r>
            <w:r w:rsidR="00C12842" w:rsidRPr="00D42E24">
              <w:rPr>
                <w:rFonts w:asciiTheme="minorHAnsi" w:eastAsiaTheme="minorEastAsia" w:hAnsiTheme="minorHAnsi" w:cstheme="majorHAnsi"/>
                <w:color w:val="auto"/>
                <w:sz w:val="18"/>
                <w:szCs w:val="18"/>
              </w:rPr>
              <w:t>nsure d</w:t>
            </w:r>
            <w:r w:rsidR="00346218" w:rsidRPr="00D42E24">
              <w:rPr>
                <w:rFonts w:asciiTheme="minorHAnsi" w:eastAsiaTheme="minorEastAsia" w:hAnsiTheme="minorHAnsi" w:cstheme="majorHAnsi"/>
                <w:color w:val="auto"/>
                <w:sz w:val="18"/>
                <w:szCs w:val="18"/>
              </w:rPr>
              <w:t xml:space="preserve">ebt sustainability </w:t>
            </w:r>
          </w:p>
          <w:p w14:paraId="5EEE6617" w14:textId="77777777" w:rsidR="006C4FE4" w:rsidRPr="0036060C" w:rsidRDefault="004E1278" w:rsidP="00D157E1">
            <w:pPr>
              <w:pStyle w:val="ListParagraph"/>
              <w:numPr>
                <w:ilvl w:val="0"/>
                <w:numId w:val="10"/>
              </w:numPr>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R</w:t>
            </w:r>
            <w:r w:rsidR="00C12842" w:rsidRPr="00D42E24">
              <w:rPr>
                <w:rFonts w:asciiTheme="minorHAnsi" w:eastAsiaTheme="minorEastAsia" w:hAnsiTheme="minorHAnsi" w:cstheme="majorHAnsi"/>
                <w:color w:val="auto"/>
                <w:sz w:val="18"/>
                <w:szCs w:val="18"/>
              </w:rPr>
              <w:t xml:space="preserve">educe </w:t>
            </w:r>
            <w:r w:rsidR="00346218" w:rsidRPr="00D42E24">
              <w:rPr>
                <w:rFonts w:asciiTheme="minorHAnsi" w:eastAsiaTheme="minorEastAsia" w:hAnsiTheme="minorHAnsi" w:cstheme="majorHAnsi"/>
                <w:color w:val="auto"/>
                <w:sz w:val="18"/>
                <w:szCs w:val="18"/>
              </w:rPr>
              <w:t>current account deficit</w:t>
            </w:r>
            <w:r w:rsidR="00346218" w:rsidRPr="00D42E24">
              <w:rPr>
                <w:rFonts w:asciiTheme="minorHAnsi" w:eastAsiaTheme="minorEastAsia" w:hAnsiTheme="minorHAnsi" w:cstheme="majorHAnsi"/>
                <w:color w:val="auto"/>
                <w:sz w:val="18"/>
                <w:szCs w:val="18"/>
                <w:lang w:val="fr-FR"/>
              </w:rPr>
              <w:t> </w:t>
            </w:r>
          </w:p>
          <w:p w14:paraId="7ACF6F65" w14:textId="77777777" w:rsidR="002137D6" w:rsidRDefault="002137D6" w:rsidP="0036060C">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lang w:val="fr-FR"/>
              </w:rPr>
            </w:pPr>
          </w:p>
          <w:p w14:paraId="02F17D3E" w14:textId="279B4AD3" w:rsidR="002137D6" w:rsidRPr="00D42E24" w:rsidRDefault="002137D6" w:rsidP="0036060C">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36060C">
              <w:rPr>
                <w:rFonts w:eastAsiaTheme="minorEastAsia" w:cstheme="majorHAnsi"/>
                <w:sz w:val="18"/>
                <w:szCs w:val="18"/>
              </w:rPr>
              <w:t xml:space="preserve">As defined in the </w:t>
            </w:r>
            <w:r>
              <w:rPr>
                <w:rFonts w:asciiTheme="minorHAnsi" w:eastAsiaTheme="minorEastAsia" w:hAnsiTheme="minorHAnsi" w:cstheme="majorHAnsi"/>
                <w:color w:val="auto"/>
                <w:sz w:val="18"/>
                <w:szCs w:val="18"/>
              </w:rPr>
              <w:t>authorities’ PSI (Policy Support Instrument)</w:t>
            </w:r>
            <w:r w:rsidRPr="0036060C">
              <w:rPr>
                <w:rFonts w:eastAsiaTheme="minorEastAsia" w:cstheme="majorHAnsi"/>
                <w:sz w:val="18"/>
                <w:szCs w:val="18"/>
              </w:rPr>
              <w:t xml:space="preserve"> program</w:t>
            </w:r>
            <w:r w:rsidR="003501D6">
              <w:rPr>
                <w:rFonts w:eastAsiaTheme="minorEastAsia" w:cstheme="majorHAnsi"/>
                <w:sz w:val="18"/>
                <w:szCs w:val="18"/>
              </w:rPr>
              <w:t xml:space="preserve"> with the IMF to support the PSE</w:t>
            </w:r>
          </w:p>
        </w:tc>
        <w:tc>
          <w:tcPr>
            <w:tcW w:w="3260" w:type="dxa"/>
            <w:gridSpan w:val="2"/>
            <w:tcBorders>
              <w:top w:val="single" w:sz="4" w:space="0" w:color="auto"/>
              <w:left w:val="single" w:sz="4" w:space="0" w:color="auto"/>
              <w:bottom w:val="single" w:sz="4" w:space="0" w:color="auto"/>
              <w:right w:val="single" w:sz="4" w:space="0" w:color="auto"/>
            </w:tcBorders>
          </w:tcPr>
          <w:p w14:paraId="055E5745" w14:textId="77777777" w:rsidR="00346218" w:rsidRPr="00D42E24" w:rsidRDefault="00346218" w:rsidP="00C12842">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xml:space="preserve">Reduce </w:t>
            </w:r>
            <w:r w:rsidR="00B74114" w:rsidRPr="00D42E24">
              <w:rPr>
                <w:rFonts w:asciiTheme="minorHAnsi" w:eastAsiaTheme="minorEastAsia" w:hAnsiTheme="minorHAnsi" w:cstheme="majorHAnsi"/>
                <w:color w:val="auto"/>
                <w:sz w:val="18"/>
                <w:szCs w:val="18"/>
              </w:rPr>
              <w:t xml:space="preserve">the fiscal deficit to 3% </w:t>
            </w:r>
            <w:r w:rsidR="002137D6">
              <w:rPr>
                <w:rFonts w:asciiTheme="minorHAnsi" w:eastAsiaTheme="minorEastAsia" w:hAnsiTheme="minorHAnsi" w:cstheme="majorHAnsi"/>
                <w:color w:val="auto"/>
                <w:sz w:val="18"/>
                <w:szCs w:val="18"/>
              </w:rPr>
              <w:t xml:space="preserve">of GDP </w:t>
            </w:r>
            <w:r w:rsidR="00B74114" w:rsidRPr="00D42E24">
              <w:rPr>
                <w:rFonts w:asciiTheme="minorHAnsi" w:eastAsiaTheme="minorEastAsia" w:hAnsiTheme="minorHAnsi" w:cstheme="majorHAnsi"/>
                <w:color w:val="auto"/>
                <w:sz w:val="18"/>
                <w:szCs w:val="18"/>
              </w:rPr>
              <w:t>in 2019</w:t>
            </w:r>
          </w:p>
          <w:p w14:paraId="0F4697D6" w14:textId="1097A9E6" w:rsidR="009369F0" w:rsidRPr="00D42E24" w:rsidRDefault="00137692" w:rsidP="00C566FD">
            <w:pPr>
              <w:pStyle w:val="ListParagraph"/>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eastAsiaTheme="minorEastAsia" w:cstheme="majorHAnsi"/>
                <w:color w:val="auto"/>
                <w:sz w:val="18"/>
                <w:szCs w:val="18"/>
              </w:rPr>
              <w:t>The 2018 draft budget shows a deficit of 3.5 percent of GDP.</w:t>
            </w:r>
          </w:p>
          <w:p w14:paraId="223BA5D5" w14:textId="77777777" w:rsidR="006C4FE4" w:rsidRPr="00D42E24" w:rsidRDefault="006C4FE4" w:rsidP="00D157E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p>
        </w:tc>
        <w:tc>
          <w:tcPr>
            <w:tcW w:w="2659" w:type="dxa"/>
            <w:gridSpan w:val="2"/>
            <w:tcBorders>
              <w:top w:val="single" w:sz="4" w:space="0" w:color="auto"/>
              <w:left w:val="single" w:sz="4" w:space="0" w:color="auto"/>
              <w:bottom w:val="single" w:sz="4" w:space="0" w:color="auto"/>
              <w:right w:val="single" w:sz="4" w:space="0" w:color="auto"/>
            </w:tcBorders>
          </w:tcPr>
          <w:p w14:paraId="65559057" w14:textId="77777777" w:rsidR="00BE31FC" w:rsidRPr="00D42E24" w:rsidRDefault="009F4B23" w:rsidP="009F4B23">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D42E24">
              <w:rPr>
                <w:rFonts w:eastAsiaTheme="minorEastAsia" w:cstheme="majorHAnsi"/>
                <w:b/>
                <w:color w:val="auto"/>
                <w:sz w:val="18"/>
                <w:szCs w:val="18"/>
                <w:u w:val="single"/>
              </w:rPr>
              <w:t>IMF</w:t>
            </w:r>
            <w:r w:rsidRPr="00D42E24">
              <w:rPr>
                <w:rFonts w:eastAsiaTheme="minorEastAsia" w:cstheme="majorHAnsi"/>
                <w:b/>
                <w:color w:val="auto"/>
                <w:sz w:val="18"/>
                <w:szCs w:val="18"/>
              </w:rPr>
              <w:t xml:space="preserve"> : </w:t>
            </w:r>
            <w:r w:rsidRPr="00D42E24">
              <w:rPr>
                <w:rFonts w:eastAsiaTheme="minorEastAsia" w:cstheme="majorHAnsi"/>
                <w:color w:val="auto"/>
                <w:sz w:val="18"/>
                <w:szCs w:val="18"/>
              </w:rPr>
              <w:t xml:space="preserve">raising fiscal revenues, </w:t>
            </w:r>
            <w:r w:rsidR="00300F72" w:rsidRPr="00D42E24">
              <w:rPr>
                <w:rFonts w:eastAsiaTheme="minorEastAsia" w:cstheme="majorHAnsi"/>
                <w:color w:val="auto"/>
                <w:sz w:val="18"/>
                <w:szCs w:val="18"/>
              </w:rPr>
              <w:t xml:space="preserve">improving </w:t>
            </w:r>
            <w:r w:rsidRPr="00D42E24">
              <w:rPr>
                <w:rFonts w:eastAsiaTheme="minorEastAsia" w:cstheme="majorHAnsi"/>
                <w:color w:val="auto"/>
                <w:sz w:val="18"/>
                <w:szCs w:val="18"/>
              </w:rPr>
              <w:t xml:space="preserve">governance </w:t>
            </w:r>
            <w:r w:rsidR="00BE31FC" w:rsidRPr="00D42E24">
              <w:rPr>
                <w:rFonts w:eastAsiaTheme="minorEastAsia" w:cstheme="majorHAnsi"/>
                <w:color w:val="auto"/>
                <w:sz w:val="18"/>
                <w:szCs w:val="18"/>
              </w:rPr>
              <w:t xml:space="preserve">and </w:t>
            </w:r>
            <w:r w:rsidRPr="00D42E24">
              <w:rPr>
                <w:rFonts w:eastAsiaTheme="minorEastAsia" w:cstheme="majorHAnsi"/>
                <w:color w:val="auto"/>
                <w:sz w:val="18"/>
                <w:szCs w:val="18"/>
              </w:rPr>
              <w:t>debt management</w:t>
            </w:r>
          </w:p>
          <w:p w14:paraId="1E8F4564" w14:textId="77777777" w:rsidR="009F4B23" w:rsidRPr="00D42E24" w:rsidRDefault="005F3F25" w:rsidP="009F4B23">
            <w:pP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sz w:val="18"/>
                <w:szCs w:val="18"/>
              </w:rPr>
            </w:pPr>
            <w:r w:rsidRPr="00D42E24">
              <w:rPr>
                <w:rFonts w:eastAsiaTheme="minorEastAsia" w:cstheme="majorHAnsi"/>
                <w:color w:val="auto"/>
                <w:sz w:val="18"/>
                <w:szCs w:val="18"/>
              </w:rPr>
              <w:t xml:space="preserve">January 2018 </w:t>
            </w:r>
            <w:r w:rsidR="007E1027" w:rsidRPr="00D42E24">
              <w:rPr>
                <w:rFonts w:eastAsiaTheme="minorEastAsia" w:cstheme="majorHAnsi"/>
                <w:color w:val="auto"/>
                <w:sz w:val="18"/>
                <w:szCs w:val="18"/>
              </w:rPr>
              <w:t>workshop</w:t>
            </w:r>
            <w:r w:rsidRPr="00D42E24">
              <w:rPr>
                <w:rFonts w:eastAsiaTheme="minorEastAsia" w:cstheme="majorHAnsi"/>
                <w:color w:val="auto"/>
                <w:sz w:val="18"/>
                <w:szCs w:val="18"/>
              </w:rPr>
              <w:t xml:space="preserve"> on economic diversification</w:t>
            </w:r>
          </w:p>
          <w:p w14:paraId="7965DF26" w14:textId="77777777" w:rsidR="00381F92" w:rsidRDefault="009F4B23" w:rsidP="009F4B23">
            <w:pP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sz w:val="18"/>
                <w:szCs w:val="18"/>
              </w:rPr>
            </w:pPr>
            <w:r w:rsidRPr="00D42E24">
              <w:rPr>
                <w:rFonts w:eastAsiaTheme="minorEastAsia" w:cstheme="majorHAnsi"/>
                <w:b/>
                <w:color w:val="auto"/>
                <w:sz w:val="18"/>
                <w:szCs w:val="18"/>
                <w:u w:val="single"/>
              </w:rPr>
              <w:t>World Bank</w:t>
            </w:r>
            <w:r w:rsidRPr="00D42E24">
              <w:rPr>
                <w:rFonts w:eastAsiaTheme="minorEastAsia" w:cstheme="majorHAnsi"/>
                <w:b/>
                <w:color w:val="auto"/>
                <w:sz w:val="18"/>
                <w:szCs w:val="18"/>
              </w:rPr>
              <w:t xml:space="preserve"> : </w:t>
            </w:r>
          </w:p>
          <w:p w14:paraId="542E9C21" w14:textId="77777777" w:rsidR="00381F92" w:rsidRDefault="00381F92" w:rsidP="00381F92">
            <w:pPr>
              <w:cnfStyle w:val="000000000000" w:firstRow="0" w:lastRow="0" w:firstColumn="0" w:lastColumn="0" w:oddVBand="0" w:evenVBand="0" w:oddHBand="0" w:evenHBand="0" w:firstRowFirstColumn="0" w:firstRowLastColumn="0" w:lastRowFirstColumn="0" w:lastRowLastColumn="0"/>
              <w:rPr>
                <w:sz w:val="18"/>
                <w:szCs w:val="18"/>
              </w:rPr>
            </w:pPr>
            <w:r>
              <w:rPr>
                <w:rFonts w:eastAsiaTheme="minorEastAsia" w:cstheme="majorHAnsi"/>
                <w:sz w:val="18"/>
                <w:szCs w:val="18"/>
              </w:rPr>
              <w:t>Financial and institutional diagnostic</w:t>
            </w:r>
            <w:r w:rsidRPr="00381F92">
              <w:rPr>
                <w:sz w:val="18"/>
                <w:szCs w:val="18"/>
              </w:rPr>
              <w:t xml:space="preserve"> </w:t>
            </w:r>
            <w:r>
              <w:rPr>
                <w:sz w:val="18"/>
                <w:szCs w:val="18"/>
              </w:rPr>
              <w:t xml:space="preserve">of </w:t>
            </w:r>
            <w:r w:rsidRPr="00381F92">
              <w:rPr>
                <w:sz w:val="18"/>
                <w:szCs w:val="18"/>
              </w:rPr>
              <w:t>the</w:t>
            </w:r>
            <w:r>
              <w:rPr>
                <w:sz w:val="18"/>
                <w:szCs w:val="18"/>
              </w:rPr>
              <w:t xml:space="preserve"> Postal Service</w:t>
            </w:r>
            <w:r w:rsidRPr="00381F92">
              <w:rPr>
                <w:sz w:val="18"/>
                <w:szCs w:val="18"/>
              </w:rPr>
              <w:t xml:space="preserve"> </w:t>
            </w:r>
          </w:p>
          <w:p w14:paraId="1B288A69" w14:textId="77777777" w:rsidR="00381F92" w:rsidRPr="00381F92" w:rsidRDefault="00381F92" w:rsidP="00381F9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Fiscal contingent Liabilities in Senegal Study</w:t>
            </w:r>
          </w:p>
          <w:p w14:paraId="7D52B19C" w14:textId="77777777" w:rsidR="009F4B23" w:rsidRPr="00381F92" w:rsidRDefault="00381F92" w:rsidP="00381F92">
            <w:pPr>
              <w:cnfStyle w:val="000000000000" w:firstRow="0" w:lastRow="0" w:firstColumn="0" w:lastColumn="0" w:oddVBand="0" w:evenVBand="0" w:oddHBand="0" w:evenHBand="0" w:firstRowFirstColumn="0" w:firstRowLastColumn="0" w:lastRowFirstColumn="0" w:lastRowLastColumn="0"/>
              <w:rPr>
                <w:rFonts w:eastAsiaTheme="minorEastAsia" w:cstheme="majorHAnsi"/>
                <w:sz w:val="18"/>
                <w:szCs w:val="18"/>
              </w:rPr>
            </w:pPr>
            <w:r>
              <w:rPr>
                <w:rFonts w:eastAsiaTheme="minorEastAsia" w:cstheme="majorHAnsi"/>
                <w:sz w:val="18"/>
                <w:szCs w:val="18"/>
              </w:rPr>
              <w:t>R</w:t>
            </w:r>
            <w:r w:rsidR="009F4B23" w:rsidRPr="00381F92">
              <w:rPr>
                <w:rFonts w:eastAsiaTheme="minorEastAsia" w:cstheme="majorHAnsi"/>
                <w:sz w:val="18"/>
                <w:szCs w:val="18"/>
              </w:rPr>
              <w:t>ationalization of expenses and better choice of projects</w:t>
            </w:r>
          </w:p>
          <w:p w14:paraId="6874BB36" w14:textId="77777777" w:rsidR="00A5671E" w:rsidRPr="00D42E24" w:rsidRDefault="00A5671E" w:rsidP="00346218">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D42E24">
              <w:rPr>
                <w:rFonts w:asciiTheme="minorHAnsi" w:eastAsiaTheme="minorEastAsia" w:hAnsiTheme="minorHAnsi" w:cstheme="majorHAnsi"/>
                <w:b/>
                <w:color w:val="auto"/>
                <w:sz w:val="18"/>
                <w:szCs w:val="18"/>
                <w:u w:val="single"/>
              </w:rPr>
              <w:t>France</w:t>
            </w:r>
            <w:r w:rsidRPr="00D42E24">
              <w:rPr>
                <w:rFonts w:asciiTheme="minorHAnsi" w:eastAsiaTheme="minorEastAsia" w:hAnsiTheme="minorHAnsi" w:cstheme="majorHAnsi"/>
                <w:color w:val="auto"/>
                <w:sz w:val="18"/>
                <w:szCs w:val="18"/>
              </w:rPr>
              <w:t xml:space="preserve"> </w:t>
            </w:r>
            <w:r w:rsidRPr="00D42E24">
              <w:rPr>
                <w:rFonts w:eastAsiaTheme="minorEastAsia" w:cstheme="majorHAnsi"/>
                <w:color w:val="auto"/>
                <w:sz w:val="18"/>
                <w:szCs w:val="18"/>
              </w:rPr>
              <w:t xml:space="preserve">offers to support </w:t>
            </w:r>
            <w:r w:rsidR="006904FD">
              <w:rPr>
                <w:rFonts w:eastAsiaTheme="minorEastAsia" w:cstheme="majorHAnsi"/>
                <w:color w:val="auto"/>
                <w:sz w:val="18"/>
                <w:szCs w:val="18"/>
              </w:rPr>
              <w:t xml:space="preserve"> (i) </w:t>
            </w:r>
            <w:r w:rsidRPr="00D42E24">
              <w:rPr>
                <w:rFonts w:eastAsiaTheme="minorEastAsia" w:cstheme="majorHAnsi"/>
                <w:color w:val="auto"/>
                <w:sz w:val="18"/>
                <w:szCs w:val="18"/>
              </w:rPr>
              <w:t>economic and financial stability through technical assistance for capacity building and improved governance</w:t>
            </w:r>
            <w:r w:rsidR="006904FD">
              <w:rPr>
                <w:rFonts w:eastAsiaTheme="minorEastAsia" w:cstheme="majorHAnsi"/>
                <w:color w:val="auto"/>
                <w:sz w:val="18"/>
                <w:szCs w:val="18"/>
              </w:rPr>
              <w:t xml:space="preserve"> ; (ii) </w:t>
            </w:r>
            <w:r w:rsidRPr="00D42E24">
              <w:rPr>
                <w:rFonts w:eastAsiaTheme="minorEastAsia" w:cstheme="majorHAnsi"/>
                <w:color w:val="auto"/>
                <w:sz w:val="18"/>
                <w:szCs w:val="18"/>
              </w:rPr>
              <w:t xml:space="preserve"> the continued improvement of public utilities in </w:t>
            </w:r>
            <w:r w:rsidR="009F4B23" w:rsidRPr="00D42E24">
              <w:rPr>
                <w:rFonts w:eastAsiaTheme="minorEastAsia" w:cstheme="majorHAnsi"/>
                <w:color w:val="auto"/>
                <w:sz w:val="18"/>
                <w:szCs w:val="18"/>
              </w:rPr>
              <w:t>Senegal</w:t>
            </w:r>
          </w:p>
          <w:p w14:paraId="613EE51A" w14:textId="77777777" w:rsidR="006C4FE4" w:rsidRPr="00D42E24" w:rsidRDefault="00871484" w:rsidP="00813139">
            <w:pP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sz w:val="18"/>
                <w:szCs w:val="18"/>
              </w:rPr>
            </w:pPr>
            <w:r w:rsidRPr="00D42E24">
              <w:rPr>
                <w:rFonts w:eastAsiaTheme="minorEastAsia" w:cstheme="majorHAnsi"/>
                <w:b/>
                <w:color w:val="auto"/>
                <w:sz w:val="18"/>
                <w:szCs w:val="18"/>
                <w:u w:val="single"/>
              </w:rPr>
              <w:t>EU</w:t>
            </w:r>
            <w:r w:rsidRPr="00D42E24">
              <w:rPr>
                <w:rFonts w:eastAsiaTheme="minorEastAsia" w:cstheme="majorHAnsi"/>
                <w:b/>
                <w:color w:val="auto"/>
                <w:sz w:val="18"/>
                <w:szCs w:val="18"/>
                <w:lang w:val="en-GB"/>
              </w:rPr>
              <w:t xml:space="preserve">: </w:t>
            </w:r>
            <w:r w:rsidRPr="00D42E24">
              <w:rPr>
                <w:rFonts w:eastAsiaTheme="minorEastAsia" w:cstheme="majorHAnsi"/>
                <w:color w:val="auto"/>
                <w:sz w:val="18"/>
                <w:szCs w:val="18"/>
                <w:lang w:val="en-GB"/>
              </w:rPr>
              <w:t>Budget support 2019-2021 will target macroeconomic stability</w:t>
            </w:r>
          </w:p>
        </w:tc>
      </w:tr>
      <w:tr w:rsidR="00D42E24" w:rsidRPr="00D42E24" w14:paraId="0E016752" w14:textId="77777777" w:rsidTr="003E1E98">
        <w:trPr>
          <w:trHeight w:val="539"/>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right w:val="single" w:sz="4" w:space="0" w:color="auto"/>
            </w:tcBorders>
          </w:tcPr>
          <w:p w14:paraId="1141CEF6" w14:textId="77777777" w:rsidR="006C4FE4" w:rsidRPr="00D42E24" w:rsidRDefault="00A42DEA" w:rsidP="006C4FE4">
            <w:pPr>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Domestic Resources mobilization</w:t>
            </w:r>
          </w:p>
        </w:tc>
        <w:tc>
          <w:tcPr>
            <w:tcW w:w="3261" w:type="dxa"/>
            <w:tcBorders>
              <w:top w:val="single" w:sz="4" w:space="0" w:color="auto"/>
              <w:left w:val="single" w:sz="4" w:space="0" w:color="auto"/>
              <w:bottom w:val="single" w:sz="4" w:space="0" w:color="auto"/>
              <w:right w:val="single" w:sz="4" w:space="0" w:color="auto"/>
            </w:tcBorders>
          </w:tcPr>
          <w:p w14:paraId="24AD7275" w14:textId="77777777" w:rsidR="00365F6E" w:rsidRPr="00D42E24" w:rsidRDefault="00365F6E" w:rsidP="00365F6E">
            <w:pPr>
              <w:pStyle w:val="ListParagraph"/>
              <w:numPr>
                <w:ilvl w:val="0"/>
                <w:numId w:val="12"/>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xml:space="preserve">Modernize </w:t>
            </w:r>
            <w:r w:rsidR="00346218" w:rsidRPr="00D42E24">
              <w:rPr>
                <w:rFonts w:asciiTheme="minorHAnsi" w:eastAsiaTheme="minorEastAsia" w:hAnsiTheme="minorHAnsi" w:cstheme="majorHAnsi"/>
                <w:color w:val="auto"/>
                <w:sz w:val="18"/>
                <w:szCs w:val="18"/>
              </w:rPr>
              <w:t>tax and customs administrations</w:t>
            </w:r>
          </w:p>
          <w:p w14:paraId="2D0CCA19" w14:textId="77777777" w:rsidR="00397F23" w:rsidRPr="00D42E24" w:rsidRDefault="000D161B" w:rsidP="00365F6E">
            <w:pPr>
              <w:pStyle w:val="ListParagraph"/>
              <w:numPr>
                <w:ilvl w:val="0"/>
                <w:numId w:val="12"/>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Special economic Zone Law</w:t>
            </w:r>
          </w:p>
          <w:p w14:paraId="5EB1E185" w14:textId="0B923E19" w:rsidR="00397F23" w:rsidRPr="00D42E24" w:rsidRDefault="00397F23" w:rsidP="00397F23">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xml:space="preserve">- </w:t>
            </w:r>
            <w:r w:rsidR="00177901" w:rsidRPr="00D42E24">
              <w:rPr>
                <w:rFonts w:asciiTheme="minorHAnsi" w:eastAsiaTheme="minorEastAsia" w:hAnsiTheme="minorHAnsi" w:cstheme="majorHAnsi"/>
                <w:color w:val="auto"/>
                <w:sz w:val="18"/>
                <w:szCs w:val="18"/>
              </w:rPr>
              <w:t>50-year</w:t>
            </w:r>
            <w:r w:rsidRPr="00D42E24">
              <w:rPr>
                <w:rFonts w:asciiTheme="minorHAnsi" w:eastAsiaTheme="minorEastAsia" w:hAnsiTheme="minorHAnsi" w:cstheme="majorHAnsi"/>
                <w:color w:val="auto"/>
                <w:sz w:val="18"/>
                <w:szCs w:val="18"/>
              </w:rPr>
              <w:t xml:space="preserve"> income tax holiday replaced with a 15 percent tax rate with no exemptions</w:t>
            </w:r>
          </w:p>
          <w:p w14:paraId="69258D3F" w14:textId="4EE64CFF" w:rsidR="00397F23" w:rsidRPr="00D42E24" w:rsidRDefault="00397F23" w:rsidP="00397F23">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Current regime: Exporting firms exempted</w:t>
            </w:r>
            <w:r w:rsidR="005F3F25" w:rsidRPr="00D42E24">
              <w:rPr>
                <w:rFonts w:asciiTheme="minorHAnsi" w:eastAsiaTheme="minorEastAsia" w:hAnsiTheme="minorHAnsi" w:cstheme="majorHAnsi"/>
                <w:color w:val="auto"/>
                <w:sz w:val="18"/>
                <w:szCs w:val="18"/>
              </w:rPr>
              <w:t xml:space="preserve"> from VAT</w:t>
            </w:r>
            <w:r w:rsidRPr="00D42E24">
              <w:rPr>
                <w:rFonts w:asciiTheme="minorHAnsi" w:eastAsiaTheme="minorEastAsia" w:hAnsiTheme="minorHAnsi" w:cstheme="majorHAnsi"/>
                <w:color w:val="auto"/>
                <w:sz w:val="18"/>
                <w:szCs w:val="18"/>
              </w:rPr>
              <w:t>.  To open space to SMEs and encourage FDI whilst avoiding the need for prior controls, all firms pay</w:t>
            </w:r>
            <w:r w:rsidR="005F3F25" w:rsidRPr="00D42E24">
              <w:rPr>
                <w:rFonts w:asciiTheme="minorHAnsi" w:eastAsiaTheme="minorEastAsia" w:hAnsiTheme="minorHAnsi" w:cstheme="majorHAnsi"/>
                <w:color w:val="auto"/>
                <w:sz w:val="18"/>
                <w:szCs w:val="18"/>
              </w:rPr>
              <w:t xml:space="preserve"> VAT,</w:t>
            </w:r>
            <w:r w:rsidRPr="00D42E24">
              <w:rPr>
                <w:rFonts w:asciiTheme="minorHAnsi" w:eastAsiaTheme="minorEastAsia" w:hAnsiTheme="minorHAnsi" w:cstheme="majorHAnsi"/>
                <w:color w:val="auto"/>
                <w:sz w:val="18"/>
                <w:szCs w:val="18"/>
              </w:rPr>
              <w:t xml:space="preserve"> but rapid refund system put in place for export</w:t>
            </w:r>
            <w:r w:rsidR="005F3F25" w:rsidRPr="00D42E24">
              <w:rPr>
                <w:rFonts w:asciiTheme="minorHAnsi" w:eastAsiaTheme="minorEastAsia" w:hAnsiTheme="minorHAnsi" w:cstheme="majorHAnsi"/>
                <w:color w:val="auto"/>
                <w:sz w:val="18"/>
                <w:szCs w:val="18"/>
              </w:rPr>
              <w:t>ing firms</w:t>
            </w:r>
          </w:p>
          <w:p w14:paraId="60A8933C" w14:textId="77777777" w:rsidR="006C4FE4" w:rsidRDefault="00365F6E" w:rsidP="00365F6E">
            <w:pPr>
              <w:pStyle w:val="ListParagraph"/>
              <w:numPr>
                <w:ilvl w:val="0"/>
                <w:numId w:val="12"/>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xml:space="preserve">Rationalize tax expenditures </w:t>
            </w:r>
          </w:p>
          <w:p w14:paraId="3E254D79" w14:textId="77777777" w:rsidR="00E32271" w:rsidRDefault="00E32271" w:rsidP="00E32271">
            <w:pPr>
              <w:pStyle w:val="ListParagraph"/>
              <w:numPr>
                <w:ilvl w:val="0"/>
                <w:numId w:val="12"/>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E32271">
              <w:rPr>
                <w:rFonts w:asciiTheme="minorHAnsi" w:eastAsiaTheme="minorEastAsia" w:hAnsiTheme="minorHAnsi" w:cstheme="majorHAnsi"/>
                <w:color w:val="auto"/>
                <w:sz w:val="18"/>
                <w:szCs w:val="18"/>
              </w:rPr>
              <w:t>Alignment of Senegal’s transfer pricing regime and anti-abuse rules with good international practice</w:t>
            </w:r>
            <w:r>
              <w:rPr>
                <w:rFonts w:asciiTheme="minorHAnsi" w:eastAsiaTheme="minorEastAsia" w:hAnsiTheme="minorHAnsi" w:cstheme="majorHAnsi"/>
                <w:color w:val="auto"/>
                <w:sz w:val="18"/>
                <w:szCs w:val="18"/>
              </w:rPr>
              <w:t>.</w:t>
            </w:r>
          </w:p>
          <w:p w14:paraId="3819EB48" w14:textId="77777777" w:rsidR="00405F48" w:rsidRPr="00D42E24" w:rsidRDefault="00405F48" w:rsidP="00405F48">
            <w:pPr>
              <w:pStyle w:val="ListParagraph"/>
              <w:numPr>
                <w:ilvl w:val="0"/>
                <w:numId w:val="12"/>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Pr>
                <w:rFonts w:asciiTheme="minorHAnsi" w:eastAsiaTheme="minorEastAsia" w:hAnsiTheme="minorHAnsi" w:cstheme="majorHAnsi"/>
                <w:color w:val="auto"/>
                <w:sz w:val="18"/>
                <w:szCs w:val="18"/>
              </w:rPr>
              <w:t>S</w:t>
            </w:r>
            <w:r w:rsidRPr="00405F48">
              <w:rPr>
                <w:rFonts w:asciiTheme="minorHAnsi" w:eastAsiaTheme="minorEastAsia" w:hAnsiTheme="minorHAnsi" w:cstheme="majorHAnsi"/>
                <w:color w:val="auto"/>
                <w:sz w:val="18"/>
                <w:szCs w:val="18"/>
              </w:rPr>
              <w:t>trengthening local tax administration capacity and local tax reform</w:t>
            </w:r>
          </w:p>
        </w:tc>
        <w:tc>
          <w:tcPr>
            <w:tcW w:w="3260" w:type="dxa"/>
            <w:gridSpan w:val="2"/>
            <w:tcBorders>
              <w:top w:val="single" w:sz="4" w:space="0" w:color="auto"/>
              <w:left w:val="single" w:sz="4" w:space="0" w:color="auto"/>
              <w:bottom w:val="single" w:sz="4" w:space="0" w:color="auto"/>
              <w:right w:val="single" w:sz="4" w:space="0" w:color="auto"/>
            </w:tcBorders>
          </w:tcPr>
          <w:p w14:paraId="5563F834" w14:textId="016667A8" w:rsidR="00346218" w:rsidRPr="00D42E24" w:rsidRDefault="00365F6E" w:rsidP="00365F6E">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Increase</w:t>
            </w:r>
            <w:r w:rsidR="00346218" w:rsidRPr="00D42E24">
              <w:rPr>
                <w:rFonts w:asciiTheme="minorHAnsi" w:eastAsiaTheme="minorEastAsia" w:hAnsiTheme="minorHAnsi" w:cstheme="majorHAnsi"/>
                <w:color w:val="auto"/>
                <w:sz w:val="18"/>
                <w:szCs w:val="18"/>
              </w:rPr>
              <w:t xml:space="preserve"> </w:t>
            </w:r>
            <w:r w:rsidRPr="00D42E24">
              <w:rPr>
                <w:rFonts w:asciiTheme="minorHAnsi" w:eastAsiaTheme="minorEastAsia" w:hAnsiTheme="minorHAnsi" w:cstheme="majorHAnsi"/>
                <w:color w:val="auto"/>
                <w:sz w:val="18"/>
                <w:szCs w:val="18"/>
              </w:rPr>
              <w:t>tax take to</w:t>
            </w:r>
            <w:r w:rsidR="00346218" w:rsidRPr="00D42E24">
              <w:rPr>
                <w:rFonts w:asciiTheme="minorHAnsi" w:eastAsiaTheme="minorEastAsia" w:hAnsiTheme="minorHAnsi" w:cstheme="majorHAnsi"/>
                <w:color w:val="auto"/>
                <w:sz w:val="18"/>
                <w:szCs w:val="18"/>
              </w:rPr>
              <w:t xml:space="preserve"> </w:t>
            </w:r>
            <w:r w:rsidRPr="00D42E24">
              <w:rPr>
                <w:rFonts w:asciiTheme="minorHAnsi" w:eastAsiaTheme="minorEastAsia" w:hAnsiTheme="minorHAnsi" w:cstheme="majorHAnsi"/>
                <w:color w:val="auto"/>
                <w:sz w:val="18"/>
                <w:szCs w:val="18"/>
              </w:rPr>
              <w:t xml:space="preserve">at </w:t>
            </w:r>
            <w:r w:rsidR="00346218" w:rsidRPr="00D42E24">
              <w:rPr>
                <w:rFonts w:asciiTheme="minorHAnsi" w:eastAsiaTheme="minorEastAsia" w:hAnsiTheme="minorHAnsi" w:cstheme="majorHAnsi"/>
                <w:color w:val="auto"/>
                <w:sz w:val="18"/>
                <w:szCs w:val="18"/>
              </w:rPr>
              <w:t xml:space="preserve">least 20% of GDP </w:t>
            </w:r>
            <w:r w:rsidR="00963C09">
              <w:rPr>
                <w:rFonts w:asciiTheme="minorHAnsi" w:eastAsiaTheme="minorEastAsia" w:hAnsiTheme="minorHAnsi" w:cstheme="majorHAnsi"/>
                <w:color w:val="auto"/>
                <w:sz w:val="18"/>
                <w:szCs w:val="18"/>
              </w:rPr>
              <w:t xml:space="preserve">over the next three to five years </w:t>
            </w:r>
            <w:r w:rsidR="007964DA" w:rsidRPr="00D42E24">
              <w:rPr>
                <w:rFonts w:asciiTheme="minorHAnsi" w:eastAsiaTheme="minorEastAsia" w:hAnsiTheme="minorHAnsi" w:cstheme="majorHAnsi"/>
                <w:color w:val="auto"/>
                <w:sz w:val="18"/>
                <w:szCs w:val="18"/>
              </w:rPr>
              <w:t>based on rebased GDP</w:t>
            </w:r>
          </w:p>
          <w:p w14:paraId="7735D4EE" w14:textId="77777777" w:rsidR="00BE31FC" w:rsidRPr="00D42E24" w:rsidRDefault="00BE31FC" w:rsidP="00BE31FC">
            <w:pPr>
              <w:pStyle w:val="ListParagraph"/>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p>
          <w:p w14:paraId="673699D5" w14:textId="77777777" w:rsidR="00BE31FC" w:rsidRPr="00D42E24" w:rsidRDefault="00BE31FC" w:rsidP="00365F6E">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Rapid refund system put in place in the 2018 supplementary budget or in the 2019 budget.</w:t>
            </w:r>
          </w:p>
          <w:p w14:paraId="34B86575" w14:textId="77777777" w:rsidR="006C4FE4" w:rsidRDefault="006C4FE4" w:rsidP="00D157E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p>
          <w:p w14:paraId="2119149E" w14:textId="756B75C1" w:rsidR="00E32271" w:rsidRPr="00E32271" w:rsidRDefault="00E32271" w:rsidP="00E32271">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eastAsiaTheme="minorEastAsia" w:cstheme="majorHAnsi"/>
                <w:sz w:val="18"/>
                <w:szCs w:val="18"/>
              </w:rPr>
            </w:pPr>
            <w:r>
              <w:rPr>
                <w:rFonts w:asciiTheme="minorHAnsi" w:eastAsiaTheme="minorEastAsia" w:hAnsiTheme="minorHAnsi" w:cstheme="majorHAnsi"/>
                <w:color w:val="auto"/>
                <w:sz w:val="18"/>
                <w:szCs w:val="18"/>
              </w:rPr>
              <w:t>R</w:t>
            </w:r>
            <w:r w:rsidRPr="00E32271">
              <w:rPr>
                <w:rFonts w:asciiTheme="minorHAnsi" w:eastAsiaTheme="minorEastAsia" w:hAnsiTheme="minorHAnsi" w:cstheme="majorHAnsi"/>
                <w:color w:val="auto"/>
                <w:sz w:val="18"/>
                <w:szCs w:val="18"/>
              </w:rPr>
              <w:t xml:space="preserve">evised </w:t>
            </w:r>
            <w:r>
              <w:rPr>
                <w:rFonts w:asciiTheme="minorHAnsi" w:eastAsiaTheme="minorEastAsia" w:hAnsiTheme="minorHAnsi" w:cstheme="majorHAnsi"/>
                <w:color w:val="auto"/>
                <w:sz w:val="18"/>
                <w:szCs w:val="18"/>
              </w:rPr>
              <w:t xml:space="preserve">transfer pricing </w:t>
            </w:r>
            <w:r w:rsidRPr="00E32271">
              <w:rPr>
                <w:rFonts w:asciiTheme="minorHAnsi" w:eastAsiaTheme="minorEastAsia" w:hAnsiTheme="minorHAnsi" w:cstheme="majorHAnsi"/>
                <w:color w:val="auto"/>
                <w:sz w:val="18"/>
                <w:szCs w:val="18"/>
              </w:rPr>
              <w:t xml:space="preserve">regime submitted to parliament </w:t>
            </w:r>
            <w:r>
              <w:rPr>
                <w:rFonts w:asciiTheme="minorHAnsi" w:eastAsiaTheme="minorEastAsia" w:hAnsiTheme="minorHAnsi" w:cstheme="majorHAnsi"/>
                <w:color w:val="auto"/>
                <w:sz w:val="18"/>
                <w:szCs w:val="18"/>
              </w:rPr>
              <w:t>an</w:t>
            </w:r>
            <w:r w:rsidR="006A21B3">
              <w:rPr>
                <w:rFonts w:asciiTheme="minorHAnsi" w:eastAsiaTheme="minorEastAsia" w:hAnsiTheme="minorHAnsi" w:cstheme="majorHAnsi"/>
                <w:color w:val="auto"/>
                <w:sz w:val="18"/>
                <w:szCs w:val="18"/>
              </w:rPr>
              <w:t>d</w:t>
            </w:r>
            <w:r>
              <w:rPr>
                <w:rFonts w:asciiTheme="minorHAnsi" w:eastAsiaTheme="minorEastAsia" w:hAnsiTheme="minorHAnsi" w:cstheme="majorHAnsi"/>
                <w:color w:val="auto"/>
                <w:sz w:val="18"/>
                <w:szCs w:val="18"/>
              </w:rPr>
              <w:t xml:space="preserve"> approved. </w:t>
            </w:r>
          </w:p>
        </w:tc>
        <w:tc>
          <w:tcPr>
            <w:tcW w:w="2659" w:type="dxa"/>
            <w:gridSpan w:val="2"/>
            <w:tcBorders>
              <w:top w:val="single" w:sz="4" w:space="0" w:color="auto"/>
              <w:left w:val="single" w:sz="4" w:space="0" w:color="auto"/>
              <w:bottom w:val="single" w:sz="4" w:space="0" w:color="auto"/>
              <w:right w:val="single" w:sz="4" w:space="0" w:color="auto"/>
            </w:tcBorders>
          </w:tcPr>
          <w:p w14:paraId="5A38C671" w14:textId="77777777" w:rsidR="00346218" w:rsidRPr="00D42E24" w:rsidRDefault="009A585C" w:rsidP="00346218">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D42E24">
              <w:rPr>
                <w:rFonts w:eastAsiaTheme="minorEastAsia" w:cstheme="majorHAnsi"/>
                <w:b/>
                <w:color w:val="auto"/>
                <w:sz w:val="18"/>
                <w:szCs w:val="18"/>
                <w:u w:val="single"/>
              </w:rPr>
              <w:t>IMF</w:t>
            </w:r>
            <w:r w:rsidR="00446E3E" w:rsidRPr="00D42E24">
              <w:rPr>
                <w:rFonts w:eastAsiaTheme="minorEastAsia" w:cstheme="majorHAnsi"/>
                <w:b/>
                <w:color w:val="auto"/>
                <w:sz w:val="18"/>
                <w:szCs w:val="18"/>
              </w:rPr>
              <w:t xml:space="preserve"> : </w:t>
            </w:r>
            <w:r w:rsidR="00446E3E" w:rsidRPr="00D42E24">
              <w:rPr>
                <w:rFonts w:eastAsiaTheme="minorEastAsia" w:cstheme="majorHAnsi"/>
                <w:color w:val="auto"/>
                <w:sz w:val="18"/>
                <w:szCs w:val="18"/>
              </w:rPr>
              <w:t xml:space="preserve">rationalizing </w:t>
            </w:r>
            <w:r w:rsidR="002137D6">
              <w:rPr>
                <w:rFonts w:eastAsiaTheme="minorEastAsia" w:cstheme="majorHAnsi"/>
                <w:color w:val="auto"/>
                <w:sz w:val="18"/>
                <w:szCs w:val="18"/>
              </w:rPr>
              <w:t>tax expenditures</w:t>
            </w:r>
            <w:r w:rsidR="00BE31FC" w:rsidRPr="00D42E24">
              <w:rPr>
                <w:rFonts w:eastAsiaTheme="minorEastAsia" w:cstheme="majorHAnsi"/>
                <w:color w:val="auto"/>
                <w:sz w:val="18"/>
                <w:szCs w:val="18"/>
              </w:rPr>
              <w:t xml:space="preserve"> </w:t>
            </w:r>
            <w:r w:rsidR="004E3EF9">
              <w:rPr>
                <w:rFonts w:eastAsiaTheme="minorEastAsia" w:cstheme="majorHAnsi"/>
                <w:color w:val="auto"/>
                <w:sz w:val="18"/>
                <w:szCs w:val="18"/>
              </w:rPr>
              <w:t xml:space="preserve">and </w:t>
            </w:r>
            <w:r w:rsidR="002137D6">
              <w:rPr>
                <w:rFonts w:eastAsiaTheme="minorEastAsia" w:cstheme="majorHAnsi"/>
                <w:color w:val="auto"/>
                <w:sz w:val="18"/>
                <w:szCs w:val="18"/>
              </w:rPr>
              <w:t xml:space="preserve">review of petroleum tax code, </w:t>
            </w:r>
          </w:p>
          <w:p w14:paraId="4F21BD1C" w14:textId="77777777" w:rsidR="002B507D" w:rsidRDefault="00E32271" w:rsidP="002B50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852759">
              <w:rPr>
                <w:rFonts w:asciiTheme="minorHAnsi" w:hAnsiTheme="minorHAnsi" w:cstheme="minorHAnsi"/>
                <w:b/>
                <w:color w:val="auto"/>
                <w:sz w:val="18"/>
                <w:szCs w:val="18"/>
                <w:u w:val="single"/>
              </w:rPr>
              <w:t>WBG</w:t>
            </w:r>
            <w:r w:rsidR="00250BB6">
              <w:rPr>
                <w:rFonts w:asciiTheme="minorHAnsi" w:hAnsiTheme="minorHAnsi" w:cstheme="minorHAnsi"/>
                <w:color w:val="auto"/>
                <w:sz w:val="18"/>
                <w:szCs w:val="18"/>
              </w:rPr>
              <w:t>:</w:t>
            </w:r>
            <w:r w:rsidRPr="00E32271">
              <w:rPr>
                <w:rFonts w:asciiTheme="minorHAnsi" w:hAnsiTheme="minorHAnsi" w:cstheme="minorHAnsi"/>
                <w:color w:val="auto"/>
                <w:sz w:val="18"/>
                <w:szCs w:val="18"/>
              </w:rPr>
              <w:t xml:space="preserve"> regional program on transfer pricing (in partnership with OECD) and international tax</w:t>
            </w:r>
            <w:r w:rsidR="00250BB6">
              <w:rPr>
                <w:rFonts w:asciiTheme="minorHAnsi" w:hAnsiTheme="minorHAnsi" w:cstheme="minorHAnsi"/>
                <w:color w:val="auto"/>
                <w:sz w:val="18"/>
                <w:szCs w:val="18"/>
              </w:rPr>
              <w:t>ation</w:t>
            </w:r>
            <w:r w:rsidRPr="00E32271">
              <w:rPr>
                <w:rFonts w:asciiTheme="minorHAnsi" w:hAnsiTheme="minorHAnsi" w:cstheme="minorHAnsi"/>
                <w:color w:val="auto"/>
                <w:sz w:val="18"/>
                <w:szCs w:val="18"/>
              </w:rPr>
              <w:t xml:space="preserve"> (tax treaties</w:t>
            </w:r>
            <w:r>
              <w:rPr>
                <w:rFonts w:asciiTheme="minorHAnsi" w:hAnsiTheme="minorHAnsi" w:cstheme="minorHAnsi"/>
                <w:color w:val="auto"/>
                <w:sz w:val="18"/>
                <w:szCs w:val="18"/>
              </w:rPr>
              <w:t>)</w:t>
            </w:r>
            <w:r w:rsidRPr="00E32271">
              <w:rPr>
                <w:rFonts w:asciiTheme="minorHAnsi" w:hAnsiTheme="minorHAnsi" w:cstheme="minorHAnsi"/>
                <w:color w:val="auto"/>
                <w:sz w:val="18"/>
                <w:szCs w:val="18"/>
              </w:rPr>
              <w:t xml:space="preserve"> </w:t>
            </w:r>
            <w:r w:rsidR="00250BB6">
              <w:rPr>
                <w:rFonts w:asciiTheme="minorHAnsi" w:hAnsiTheme="minorHAnsi" w:cstheme="minorHAnsi"/>
                <w:color w:val="auto"/>
                <w:sz w:val="18"/>
                <w:szCs w:val="18"/>
              </w:rPr>
              <w:t xml:space="preserve">in the context of the </w:t>
            </w:r>
            <w:r w:rsidR="001D79AD" w:rsidRPr="00D42E24">
              <w:rPr>
                <w:rFonts w:cstheme="minorHAnsi"/>
                <w:color w:val="auto"/>
                <w:sz w:val="18"/>
                <w:szCs w:val="18"/>
              </w:rPr>
              <w:t>a</w:t>
            </w:r>
            <w:r w:rsidR="00137692" w:rsidRPr="00D42E24">
              <w:rPr>
                <w:rFonts w:asciiTheme="minorHAnsi" w:hAnsiTheme="minorHAnsi" w:cstheme="minorHAnsi"/>
                <w:color w:val="auto"/>
                <w:sz w:val="18"/>
                <w:szCs w:val="18"/>
              </w:rPr>
              <w:t xml:space="preserve">ssistance </w:t>
            </w:r>
            <w:r w:rsidR="001D79AD" w:rsidRPr="00D42E24">
              <w:rPr>
                <w:rFonts w:cstheme="minorHAnsi"/>
                <w:color w:val="auto"/>
                <w:sz w:val="18"/>
                <w:szCs w:val="18"/>
              </w:rPr>
              <w:t>p</w:t>
            </w:r>
            <w:r w:rsidR="00137692" w:rsidRPr="00D42E24">
              <w:rPr>
                <w:rFonts w:asciiTheme="minorHAnsi" w:hAnsiTheme="minorHAnsi" w:cstheme="minorHAnsi"/>
                <w:color w:val="auto"/>
                <w:sz w:val="18"/>
                <w:szCs w:val="18"/>
              </w:rPr>
              <w:t xml:space="preserve">rogram for West Africa / Multidimensional </w:t>
            </w:r>
            <w:r w:rsidR="001D79AD" w:rsidRPr="00D42E24">
              <w:rPr>
                <w:rFonts w:cstheme="minorHAnsi"/>
                <w:color w:val="auto"/>
                <w:sz w:val="18"/>
                <w:szCs w:val="18"/>
              </w:rPr>
              <w:t>r</w:t>
            </w:r>
            <w:r w:rsidR="00137692" w:rsidRPr="00D42E24">
              <w:rPr>
                <w:rFonts w:asciiTheme="minorHAnsi" w:hAnsiTheme="minorHAnsi" w:cstheme="minorHAnsi"/>
                <w:color w:val="auto"/>
                <w:sz w:val="18"/>
                <w:szCs w:val="18"/>
              </w:rPr>
              <w:t>eview / Poli</w:t>
            </w:r>
            <w:r w:rsidR="00EB5B2F" w:rsidRPr="00D42E24">
              <w:rPr>
                <w:rFonts w:cstheme="minorHAnsi"/>
                <w:color w:val="auto"/>
                <w:sz w:val="18"/>
                <w:szCs w:val="18"/>
              </w:rPr>
              <w:t>cy Dialogue on Natural Resource</w:t>
            </w:r>
            <w:r w:rsidR="00137692" w:rsidRPr="00D42E24">
              <w:rPr>
                <w:rFonts w:asciiTheme="minorHAnsi" w:hAnsiTheme="minorHAnsi" w:cstheme="minorHAnsi"/>
                <w:color w:val="auto"/>
                <w:sz w:val="18"/>
                <w:szCs w:val="18"/>
              </w:rPr>
              <w:t>-Based Development (PD-NR)</w:t>
            </w:r>
            <w:r w:rsidR="00137692" w:rsidRPr="00D42E24">
              <w:rPr>
                <w:rFonts w:asciiTheme="minorHAnsi" w:hAnsiTheme="minorHAnsi" w:cstheme="minorHAnsi"/>
                <w:color w:val="auto"/>
                <w:sz w:val="18"/>
                <w:szCs w:val="18"/>
              </w:rPr>
              <w:br/>
            </w:r>
            <w:r w:rsidR="002B507D" w:rsidRPr="00852759">
              <w:rPr>
                <w:rFonts w:asciiTheme="minorHAnsi" w:hAnsiTheme="minorHAnsi" w:cstheme="minorHAnsi"/>
                <w:b/>
                <w:color w:val="auto"/>
                <w:sz w:val="18"/>
                <w:szCs w:val="18"/>
                <w:u w:val="single"/>
              </w:rPr>
              <w:t>WBG</w:t>
            </w:r>
            <w:r w:rsidR="00250BB6">
              <w:rPr>
                <w:rFonts w:asciiTheme="minorHAnsi" w:hAnsiTheme="minorHAnsi" w:cstheme="minorHAnsi"/>
                <w:color w:val="auto"/>
                <w:sz w:val="18"/>
                <w:szCs w:val="18"/>
              </w:rPr>
              <w:t>:</w:t>
            </w:r>
            <w:r w:rsidR="002B507D" w:rsidRPr="00405F48">
              <w:rPr>
                <w:rFonts w:asciiTheme="minorHAnsi" w:hAnsiTheme="minorHAnsi" w:cstheme="minorHAnsi"/>
                <w:color w:val="auto"/>
                <w:sz w:val="18"/>
                <w:szCs w:val="18"/>
              </w:rPr>
              <w:t xml:space="preserve"> Municipalities and Agglomerations Support Project</w:t>
            </w:r>
          </w:p>
          <w:p w14:paraId="5C60AFC4" w14:textId="77777777" w:rsidR="002B507D" w:rsidRPr="00405F48" w:rsidRDefault="002B507D" w:rsidP="002B50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 xml:space="preserve">WBG </w:t>
            </w:r>
            <w:r w:rsidRPr="002B507D">
              <w:rPr>
                <w:rFonts w:asciiTheme="minorHAnsi" w:hAnsiTheme="minorHAnsi" w:cstheme="minorHAnsi"/>
                <w:color w:val="auto"/>
                <w:sz w:val="18"/>
                <w:szCs w:val="18"/>
              </w:rPr>
              <w:t>Enhancing Gas Market Governance</w:t>
            </w:r>
          </w:p>
          <w:p w14:paraId="0443CED2" w14:textId="77777777" w:rsidR="00137692" w:rsidRDefault="00137692" w:rsidP="003C3C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852759">
              <w:rPr>
                <w:rFonts w:asciiTheme="minorHAnsi" w:hAnsiTheme="minorHAnsi" w:cstheme="minorHAnsi"/>
                <w:b/>
                <w:color w:val="auto"/>
                <w:sz w:val="18"/>
                <w:szCs w:val="18"/>
                <w:u w:val="single"/>
              </w:rPr>
              <w:t>AFD</w:t>
            </w:r>
            <w:r w:rsidRPr="00D42E24">
              <w:rPr>
                <w:rFonts w:asciiTheme="minorHAnsi" w:hAnsiTheme="minorHAnsi" w:cstheme="minorHAnsi"/>
                <w:color w:val="auto"/>
                <w:sz w:val="18"/>
                <w:szCs w:val="18"/>
              </w:rPr>
              <w:t xml:space="preserve"> (France): Support to </w:t>
            </w:r>
            <w:r w:rsidR="00EB5B2F" w:rsidRPr="00D42E24">
              <w:rPr>
                <w:rFonts w:cstheme="minorHAnsi"/>
                <w:color w:val="auto"/>
                <w:sz w:val="18"/>
                <w:szCs w:val="18"/>
              </w:rPr>
              <w:t>tax</w:t>
            </w:r>
            <w:r w:rsidRPr="00D42E24">
              <w:rPr>
                <w:rFonts w:asciiTheme="minorHAnsi" w:hAnsiTheme="minorHAnsi" w:cstheme="minorHAnsi"/>
                <w:color w:val="auto"/>
                <w:sz w:val="18"/>
                <w:szCs w:val="18"/>
              </w:rPr>
              <w:t xml:space="preserve"> administration in its activities to mobilize local tax </w:t>
            </w:r>
            <w:r w:rsidR="00EB5B2F" w:rsidRPr="00D42E24">
              <w:rPr>
                <w:rFonts w:cstheme="minorHAnsi"/>
                <w:color w:val="auto"/>
                <w:sz w:val="18"/>
                <w:szCs w:val="18"/>
              </w:rPr>
              <w:t>revenues</w:t>
            </w:r>
            <w:r w:rsidRPr="00D42E24">
              <w:rPr>
                <w:rFonts w:asciiTheme="minorHAnsi" w:hAnsiTheme="minorHAnsi" w:cstheme="minorHAnsi"/>
                <w:color w:val="auto"/>
                <w:sz w:val="18"/>
                <w:szCs w:val="18"/>
              </w:rPr>
              <w:t xml:space="preserve"> (PAGIS)</w:t>
            </w:r>
          </w:p>
          <w:p w14:paraId="3861EEE2" w14:textId="77777777" w:rsidR="003E36C7" w:rsidRPr="00D42E24" w:rsidRDefault="003C3C6F" w:rsidP="003E36C7">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lang w:val="en-GB"/>
              </w:rPr>
            </w:pPr>
            <w:r w:rsidRPr="00D42E24">
              <w:rPr>
                <w:rFonts w:eastAsiaTheme="minorEastAsia" w:cstheme="majorHAnsi"/>
                <w:b/>
                <w:color w:val="auto"/>
                <w:sz w:val="18"/>
                <w:szCs w:val="18"/>
                <w:u w:val="single"/>
              </w:rPr>
              <w:t>Japan</w:t>
            </w:r>
            <w:r w:rsidRPr="00D42E24">
              <w:rPr>
                <w:rFonts w:asciiTheme="minorHAnsi" w:eastAsiaTheme="minorEastAsia" w:hAnsiTheme="minorHAnsi" w:cstheme="majorHAnsi"/>
                <w:color w:val="auto"/>
                <w:sz w:val="18"/>
                <w:szCs w:val="18"/>
              </w:rPr>
              <w:t xml:space="preserve"> : development of tax systems and administration in line with international standards, such as the BEPS agreements</w:t>
            </w:r>
            <w:r w:rsidRPr="00D42E24">
              <w:rPr>
                <w:rFonts w:asciiTheme="minorHAnsi" w:eastAsiaTheme="minorEastAsia" w:hAnsiTheme="minorHAnsi" w:cstheme="majorHAnsi" w:hint="eastAsia"/>
                <w:color w:val="auto"/>
                <w:sz w:val="18"/>
                <w:szCs w:val="18"/>
              </w:rPr>
              <w:t>.</w:t>
            </w:r>
          </w:p>
          <w:p w14:paraId="20162E78" w14:textId="77777777" w:rsidR="003C3C6F" w:rsidRPr="00D42E24" w:rsidRDefault="003E36C7" w:rsidP="00D933A0">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eastAsiaTheme="minorEastAsia" w:cstheme="majorHAnsi"/>
                <w:b/>
                <w:color w:val="auto"/>
                <w:sz w:val="18"/>
                <w:szCs w:val="18"/>
                <w:u w:val="thick"/>
              </w:rPr>
              <w:t>EU</w:t>
            </w:r>
            <w:r w:rsidRPr="00D42E24">
              <w:rPr>
                <w:rFonts w:eastAsiaTheme="minorEastAsia" w:cstheme="majorHAnsi"/>
                <w:b/>
                <w:color w:val="auto"/>
                <w:sz w:val="18"/>
                <w:szCs w:val="18"/>
              </w:rPr>
              <w:t>:</w:t>
            </w:r>
            <w:r w:rsidRPr="00D42E24">
              <w:rPr>
                <w:rFonts w:eastAsiaTheme="minorEastAsia" w:cstheme="majorHAnsi"/>
                <w:color w:val="auto"/>
                <w:sz w:val="18"/>
                <w:szCs w:val="18"/>
              </w:rPr>
              <w:t xml:space="preserve"> (contribution to the Revenue Mobilization Trust fund) DRM Through Simpler Tax System and Stronger Administration</w:t>
            </w:r>
          </w:p>
        </w:tc>
      </w:tr>
      <w:tr w:rsidR="00D42E24" w:rsidRPr="00D42E24" w14:paraId="64F14CE0" w14:textId="77777777" w:rsidTr="003E1E98">
        <w:trPr>
          <w:trHeight w:val="53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right w:val="single" w:sz="4" w:space="0" w:color="auto"/>
            </w:tcBorders>
          </w:tcPr>
          <w:p w14:paraId="66E57154" w14:textId="77777777" w:rsidR="006C4FE4" w:rsidRPr="00D42E24" w:rsidRDefault="00A42DEA" w:rsidP="006C4FE4">
            <w:pPr>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Public Investment Management</w:t>
            </w:r>
          </w:p>
          <w:p w14:paraId="0B399ABB" w14:textId="77777777" w:rsidR="006C4FE4" w:rsidRPr="00D42E24" w:rsidRDefault="006C4FE4" w:rsidP="006C4FE4">
            <w:pPr>
              <w:rPr>
                <w:rFonts w:asciiTheme="minorHAnsi" w:eastAsiaTheme="minorEastAsia" w:hAnsiTheme="minorHAnsi" w:cstheme="majorHAnsi"/>
                <w:color w:val="auto"/>
                <w:sz w:val="18"/>
                <w:szCs w:val="18"/>
              </w:rPr>
            </w:pPr>
          </w:p>
        </w:tc>
        <w:tc>
          <w:tcPr>
            <w:tcW w:w="3261" w:type="dxa"/>
            <w:tcBorders>
              <w:top w:val="single" w:sz="4" w:space="0" w:color="auto"/>
              <w:left w:val="single" w:sz="4" w:space="0" w:color="auto"/>
              <w:bottom w:val="single" w:sz="4" w:space="0" w:color="auto"/>
              <w:right w:val="single" w:sz="4" w:space="0" w:color="auto"/>
            </w:tcBorders>
          </w:tcPr>
          <w:p w14:paraId="3BF1AB09" w14:textId="77777777" w:rsidR="004E1278" w:rsidRPr="00D42E24" w:rsidRDefault="004E1278" w:rsidP="004E1278">
            <w:pPr>
              <w:pStyle w:val="ListParagraph"/>
              <w:numPr>
                <w:ilvl w:val="0"/>
                <w:numId w:val="13"/>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Introduce a precautionary reserve</w:t>
            </w:r>
          </w:p>
          <w:p w14:paraId="413B4D77" w14:textId="50A34403" w:rsidR="004E1278" w:rsidRPr="00D42E24" w:rsidRDefault="004E1278" w:rsidP="004E1278">
            <w:pPr>
              <w:pStyle w:val="ListParagraph"/>
              <w:numPr>
                <w:ilvl w:val="0"/>
                <w:numId w:val="13"/>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xml:space="preserve">Establish </w:t>
            </w:r>
            <w:r w:rsidR="00346218" w:rsidRPr="00D42E24">
              <w:rPr>
                <w:rFonts w:asciiTheme="minorHAnsi" w:eastAsiaTheme="minorEastAsia" w:hAnsiTheme="minorHAnsi" w:cstheme="majorHAnsi"/>
                <w:color w:val="auto"/>
                <w:sz w:val="18"/>
                <w:szCs w:val="18"/>
              </w:rPr>
              <w:t>an integrated project</w:t>
            </w:r>
            <w:r w:rsidR="003501D6">
              <w:rPr>
                <w:rFonts w:asciiTheme="minorHAnsi" w:eastAsiaTheme="minorEastAsia" w:hAnsiTheme="minorHAnsi" w:cstheme="majorHAnsi"/>
                <w:color w:val="auto"/>
                <w:sz w:val="18"/>
                <w:szCs w:val="18"/>
              </w:rPr>
              <w:t xml:space="preserve"> bank</w:t>
            </w:r>
            <w:r w:rsidR="00346218" w:rsidRPr="00D42E24">
              <w:rPr>
                <w:rFonts w:asciiTheme="minorHAnsi" w:eastAsiaTheme="minorEastAsia" w:hAnsiTheme="minorHAnsi" w:cstheme="majorHAnsi"/>
                <w:color w:val="auto"/>
                <w:sz w:val="18"/>
                <w:szCs w:val="18"/>
              </w:rPr>
              <w:t xml:space="preserve"> describing their life cycle;</w:t>
            </w:r>
          </w:p>
          <w:p w14:paraId="1B1795DD" w14:textId="77777777" w:rsidR="006C4FE4" w:rsidRPr="00D42E24" w:rsidRDefault="004E1278" w:rsidP="004E1278">
            <w:pPr>
              <w:pStyle w:val="ListParagraph"/>
              <w:numPr>
                <w:ilvl w:val="0"/>
                <w:numId w:val="13"/>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lastRenderedPageBreak/>
              <w:t>Establish</w:t>
            </w:r>
            <w:r w:rsidR="00346218" w:rsidRPr="00D42E24">
              <w:rPr>
                <w:rFonts w:asciiTheme="minorHAnsi" w:eastAsiaTheme="minorEastAsia" w:hAnsiTheme="minorHAnsi" w:cstheme="majorHAnsi"/>
                <w:color w:val="auto"/>
                <w:sz w:val="18"/>
                <w:szCs w:val="18"/>
              </w:rPr>
              <w:t xml:space="preserve"> a public investment selection Committee.</w:t>
            </w:r>
          </w:p>
        </w:tc>
        <w:tc>
          <w:tcPr>
            <w:tcW w:w="3260" w:type="dxa"/>
            <w:gridSpan w:val="2"/>
            <w:tcBorders>
              <w:top w:val="single" w:sz="4" w:space="0" w:color="auto"/>
              <w:left w:val="single" w:sz="4" w:space="0" w:color="auto"/>
              <w:bottom w:val="single" w:sz="4" w:space="0" w:color="auto"/>
              <w:right w:val="single" w:sz="4" w:space="0" w:color="auto"/>
            </w:tcBorders>
          </w:tcPr>
          <w:p w14:paraId="72DD0BA2" w14:textId="2B5DF755" w:rsidR="006C4FE4" w:rsidRPr="00D42E24" w:rsidRDefault="003501D6" w:rsidP="00055D97">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Pr>
                <w:rFonts w:asciiTheme="minorHAnsi" w:eastAsiaTheme="minorEastAsia" w:hAnsiTheme="minorHAnsi" w:cstheme="majorHAnsi"/>
                <w:color w:val="auto"/>
                <w:sz w:val="18"/>
                <w:szCs w:val="18"/>
              </w:rPr>
              <w:lastRenderedPageBreak/>
              <w:t>100</w:t>
            </w:r>
            <w:r w:rsidRPr="00D42E24">
              <w:rPr>
                <w:rFonts w:asciiTheme="minorHAnsi" w:eastAsiaTheme="minorEastAsia" w:hAnsiTheme="minorHAnsi" w:cstheme="majorHAnsi"/>
                <w:color w:val="auto"/>
                <w:sz w:val="18"/>
                <w:szCs w:val="18"/>
              </w:rPr>
              <w:t xml:space="preserve">% of new projects </w:t>
            </w:r>
            <w:r w:rsidR="00055D97">
              <w:rPr>
                <w:rFonts w:asciiTheme="minorHAnsi" w:eastAsiaTheme="minorEastAsia" w:hAnsiTheme="minorHAnsi" w:cstheme="majorHAnsi"/>
                <w:color w:val="auto"/>
                <w:sz w:val="18"/>
                <w:szCs w:val="18"/>
              </w:rPr>
              <w:t xml:space="preserve">financed by own-resources </w:t>
            </w:r>
            <w:r w:rsidRPr="00D42E24">
              <w:rPr>
                <w:rFonts w:asciiTheme="minorHAnsi" w:eastAsiaTheme="minorEastAsia" w:hAnsiTheme="minorHAnsi" w:cstheme="majorHAnsi"/>
                <w:color w:val="auto"/>
                <w:sz w:val="18"/>
                <w:szCs w:val="18"/>
              </w:rPr>
              <w:t>in the 201</w:t>
            </w:r>
            <w:r>
              <w:rPr>
                <w:rFonts w:asciiTheme="minorHAnsi" w:eastAsiaTheme="minorEastAsia" w:hAnsiTheme="minorHAnsi" w:cstheme="majorHAnsi"/>
                <w:color w:val="auto"/>
                <w:sz w:val="18"/>
                <w:szCs w:val="18"/>
              </w:rPr>
              <w:t>8</w:t>
            </w:r>
            <w:r w:rsidRPr="00D42E24">
              <w:rPr>
                <w:rFonts w:asciiTheme="minorHAnsi" w:eastAsiaTheme="minorEastAsia" w:hAnsiTheme="minorHAnsi" w:cstheme="majorHAnsi"/>
                <w:color w:val="auto"/>
                <w:sz w:val="18"/>
                <w:szCs w:val="18"/>
              </w:rPr>
              <w:t xml:space="preserve"> budget </w:t>
            </w:r>
            <w:r>
              <w:rPr>
                <w:rFonts w:asciiTheme="minorHAnsi" w:eastAsiaTheme="minorEastAsia" w:hAnsiTheme="minorHAnsi" w:cstheme="majorHAnsi"/>
                <w:color w:val="auto"/>
                <w:sz w:val="18"/>
                <w:szCs w:val="18"/>
              </w:rPr>
              <w:t>will come from the integrated project</w:t>
            </w:r>
            <w:r w:rsidR="00055D97">
              <w:rPr>
                <w:rFonts w:asciiTheme="minorHAnsi" w:eastAsiaTheme="minorEastAsia" w:hAnsiTheme="minorHAnsi" w:cstheme="majorHAnsi"/>
                <w:color w:val="auto"/>
                <w:sz w:val="18"/>
                <w:szCs w:val="18"/>
              </w:rPr>
              <w:t>s</w:t>
            </w:r>
            <w:r>
              <w:rPr>
                <w:rFonts w:asciiTheme="minorHAnsi" w:eastAsiaTheme="minorEastAsia" w:hAnsiTheme="minorHAnsi" w:cstheme="majorHAnsi"/>
                <w:color w:val="auto"/>
                <w:sz w:val="18"/>
                <w:szCs w:val="18"/>
              </w:rPr>
              <w:t xml:space="preserve"> bank </w:t>
            </w:r>
            <w:r w:rsidRPr="00D42E24">
              <w:rPr>
                <w:rFonts w:asciiTheme="minorHAnsi" w:eastAsiaTheme="minorEastAsia" w:hAnsiTheme="minorHAnsi" w:cstheme="majorHAnsi"/>
                <w:color w:val="auto"/>
                <w:sz w:val="18"/>
                <w:szCs w:val="18"/>
              </w:rPr>
              <w:t xml:space="preserve">and </w:t>
            </w:r>
            <w:r>
              <w:rPr>
                <w:rFonts w:asciiTheme="minorHAnsi" w:eastAsiaTheme="minorEastAsia" w:hAnsiTheme="minorHAnsi" w:cstheme="majorHAnsi"/>
                <w:color w:val="auto"/>
                <w:sz w:val="18"/>
                <w:szCs w:val="18"/>
              </w:rPr>
              <w:t xml:space="preserve">all </w:t>
            </w:r>
            <w:r w:rsidR="00055D97">
              <w:rPr>
                <w:rFonts w:asciiTheme="minorHAnsi" w:eastAsiaTheme="minorEastAsia" w:hAnsiTheme="minorHAnsi" w:cstheme="majorHAnsi"/>
                <w:color w:val="auto"/>
                <w:sz w:val="18"/>
                <w:szCs w:val="18"/>
              </w:rPr>
              <w:t xml:space="preserve">of those </w:t>
            </w:r>
            <w:r>
              <w:rPr>
                <w:rFonts w:asciiTheme="minorHAnsi" w:eastAsiaTheme="minorEastAsia" w:hAnsiTheme="minorHAnsi" w:cstheme="majorHAnsi"/>
                <w:color w:val="auto"/>
                <w:sz w:val="18"/>
                <w:szCs w:val="18"/>
              </w:rPr>
              <w:t>projects in</w:t>
            </w:r>
            <w:r w:rsidRPr="00D42E24">
              <w:rPr>
                <w:rFonts w:asciiTheme="minorHAnsi" w:eastAsiaTheme="minorEastAsia" w:hAnsiTheme="minorHAnsi" w:cstheme="majorHAnsi"/>
                <w:color w:val="auto"/>
                <w:sz w:val="18"/>
                <w:szCs w:val="18"/>
              </w:rPr>
              <w:t xml:space="preserve"> the 2019 budget will </w:t>
            </w:r>
            <w:r>
              <w:rPr>
                <w:rFonts w:asciiTheme="minorHAnsi" w:eastAsiaTheme="minorEastAsia" w:hAnsiTheme="minorHAnsi" w:cstheme="majorHAnsi"/>
                <w:color w:val="auto"/>
                <w:sz w:val="18"/>
                <w:szCs w:val="18"/>
              </w:rPr>
              <w:t xml:space="preserve">have </w:t>
            </w:r>
            <w:r>
              <w:rPr>
                <w:rFonts w:asciiTheme="minorHAnsi" w:eastAsiaTheme="minorEastAsia" w:hAnsiTheme="minorHAnsi" w:cstheme="majorHAnsi"/>
                <w:color w:val="auto"/>
                <w:sz w:val="18"/>
                <w:szCs w:val="18"/>
              </w:rPr>
              <w:lastRenderedPageBreak/>
              <w:t>been reviewed by the public investment selection committee</w:t>
            </w:r>
          </w:p>
        </w:tc>
        <w:tc>
          <w:tcPr>
            <w:tcW w:w="2659" w:type="dxa"/>
            <w:gridSpan w:val="2"/>
            <w:tcBorders>
              <w:top w:val="single" w:sz="4" w:space="0" w:color="auto"/>
              <w:left w:val="single" w:sz="4" w:space="0" w:color="auto"/>
              <w:bottom w:val="single" w:sz="4" w:space="0" w:color="auto"/>
              <w:right w:val="single" w:sz="4" w:space="0" w:color="auto"/>
            </w:tcBorders>
          </w:tcPr>
          <w:p w14:paraId="25144994" w14:textId="77777777" w:rsidR="009F4B23" w:rsidRPr="00D42E24" w:rsidRDefault="009F4B23" w:rsidP="009F4B2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eastAsiaTheme="minorEastAsia" w:cstheme="majorHAnsi"/>
                <w:b/>
                <w:color w:val="auto"/>
                <w:sz w:val="18"/>
                <w:szCs w:val="18"/>
                <w:u w:val="single"/>
              </w:rPr>
              <w:lastRenderedPageBreak/>
              <w:t>IMF</w:t>
            </w:r>
            <w:r w:rsidRPr="00D42E24">
              <w:rPr>
                <w:rFonts w:eastAsiaTheme="minorEastAsia" w:cstheme="majorHAnsi"/>
                <w:color w:val="auto"/>
                <w:sz w:val="18"/>
                <w:szCs w:val="18"/>
              </w:rPr>
              <w:t xml:space="preserve"> : </w:t>
            </w:r>
            <w:r w:rsidRPr="00D42E24">
              <w:rPr>
                <w:rFonts w:asciiTheme="minorHAnsi" w:eastAsiaTheme="minorEastAsia" w:hAnsiTheme="minorHAnsi" w:cstheme="majorHAnsi"/>
                <w:color w:val="auto"/>
                <w:sz w:val="18"/>
                <w:szCs w:val="18"/>
              </w:rPr>
              <w:t xml:space="preserve">training workshops on  investment </w:t>
            </w:r>
            <w:r w:rsidR="002137D6" w:rsidRPr="00D42E24">
              <w:rPr>
                <w:rFonts w:asciiTheme="minorHAnsi" w:eastAsiaTheme="minorEastAsia" w:hAnsiTheme="minorHAnsi" w:cstheme="majorHAnsi"/>
                <w:color w:val="auto"/>
                <w:sz w:val="18"/>
                <w:szCs w:val="18"/>
              </w:rPr>
              <w:t>selecti</w:t>
            </w:r>
            <w:r w:rsidR="002137D6">
              <w:rPr>
                <w:rFonts w:asciiTheme="minorHAnsi" w:eastAsiaTheme="minorEastAsia" w:hAnsiTheme="minorHAnsi" w:cstheme="majorHAnsi"/>
                <w:color w:val="auto"/>
                <w:sz w:val="18"/>
                <w:szCs w:val="18"/>
              </w:rPr>
              <w:t>on</w:t>
            </w:r>
            <w:r w:rsidR="002137D6" w:rsidRPr="00D42E24">
              <w:rPr>
                <w:rFonts w:asciiTheme="minorHAnsi" w:eastAsiaTheme="minorEastAsia" w:hAnsiTheme="minorHAnsi" w:cstheme="majorHAnsi"/>
                <w:color w:val="auto"/>
                <w:sz w:val="18"/>
                <w:szCs w:val="18"/>
              </w:rPr>
              <w:t xml:space="preserve"> </w:t>
            </w:r>
            <w:r w:rsidRPr="00D42E24">
              <w:rPr>
                <w:rFonts w:asciiTheme="minorHAnsi" w:eastAsiaTheme="minorEastAsia" w:hAnsiTheme="minorHAnsi" w:cstheme="majorHAnsi"/>
                <w:color w:val="auto"/>
                <w:sz w:val="18"/>
                <w:szCs w:val="18"/>
              </w:rPr>
              <w:t xml:space="preserve">process </w:t>
            </w:r>
          </w:p>
          <w:p w14:paraId="677D970C" w14:textId="77777777" w:rsidR="005429F2" w:rsidRDefault="005429F2" w:rsidP="005429F2">
            <w:pPr>
              <w:cnfStyle w:val="000000000000" w:firstRow="0" w:lastRow="0" w:firstColumn="0" w:lastColumn="0" w:oddVBand="0" w:evenVBand="0" w:oddHBand="0" w:evenHBand="0" w:firstRowFirstColumn="0" w:firstRowLastColumn="0" w:lastRowFirstColumn="0" w:lastRowLastColumn="0"/>
              <w:rPr>
                <w:rFonts w:eastAsiaTheme="minorEastAsia" w:cstheme="majorHAnsi"/>
                <w:sz w:val="18"/>
                <w:szCs w:val="18"/>
              </w:rPr>
            </w:pPr>
            <w:r>
              <w:rPr>
                <w:rFonts w:ascii="Calibri Light" w:eastAsia="Times New Roman" w:hAnsi="Calibri Light" w:cs="Calibri Light"/>
                <w:b/>
                <w:sz w:val="18"/>
                <w:szCs w:val="18"/>
              </w:rPr>
              <w:t>Germany (GIZ)</w:t>
            </w:r>
            <w:r>
              <w:rPr>
                <w:rFonts w:ascii="Calibri Light" w:eastAsia="Times New Roman" w:hAnsi="Calibri Light" w:cs="Calibri Light"/>
                <w:sz w:val="18"/>
                <w:szCs w:val="18"/>
              </w:rPr>
              <w:t> : training workshops on ex ante evaluation</w:t>
            </w:r>
          </w:p>
          <w:p w14:paraId="33DD1478" w14:textId="54A8849D" w:rsidR="00346218" w:rsidRPr="00D42E24" w:rsidRDefault="005429F2" w:rsidP="0034621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sidDel="005429F2">
              <w:rPr>
                <w:rFonts w:ascii="Calibri Light" w:eastAsia="Times New Roman" w:hAnsi="Calibri Light" w:cs="Calibri Light"/>
                <w:color w:val="auto"/>
                <w:sz w:val="18"/>
                <w:szCs w:val="18"/>
              </w:rPr>
              <w:lastRenderedPageBreak/>
              <w:t xml:space="preserve"> </w:t>
            </w:r>
            <w:r w:rsidR="00346218" w:rsidRPr="00D42E24">
              <w:rPr>
                <w:rFonts w:eastAsiaTheme="minorEastAsia" w:cstheme="majorHAnsi"/>
                <w:b/>
                <w:color w:val="auto"/>
                <w:sz w:val="18"/>
                <w:szCs w:val="18"/>
                <w:u w:val="single"/>
              </w:rPr>
              <w:t>World Bank</w:t>
            </w:r>
            <w:r w:rsidR="009F4B23" w:rsidRPr="00D42E24">
              <w:rPr>
                <w:rFonts w:eastAsiaTheme="minorEastAsia" w:cstheme="majorHAnsi"/>
                <w:b/>
                <w:color w:val="auto"/>
                <w:sz w:val="18"/>
                <w:szCs w:val="18"/>
              </w:rPr>
              <w:t xml:space="preserve"> : </w:t>
            </w:r>
            <w:r w:rsidR="00AB4B20">
              <w:rPr>
                <w:rFonts w:asciiTheme="minorHAnsi" w:eastAsiaTheme="minorEastAsia" w:hAnsiTheme="minorHAnsi" w:cstheme="majorHAnsi"/>
                <w:color w:val="auto"/>
                <w:sz w:val="18"/>
                <w:szCs w:val="18"/>
              </w:rPr>
              <w:t xml:space="preserve">supporting public </w:t>
            </w:r>
            <w:r w:rsidR="002137D6">
              <w:rPr>
                <w:rFonts w:asciiTheme="minorHAnsi" w:eastAsiaTheme="minorEastAsia" w:hAnsiTheme="minorHAnsi" w:cstheme="majorHAnsi"/>
                <w:color w:val="auto"/>
                <w:sz w:val="18"/>
                <w:szCs w:val="18"/>
              </w:rPr>
              <w:t xml:space="preserve">investment </w:t>
            </w:r>
            <w:r w:rsidR="00AB4B20">
              <w:rPr>
                <w:rFonts w:asciiTheme="minorHAnsi" w:eastAsiaTheme="minorEastAsia" w:hAnsiTheme="minorHAnsi" w:cstheme="majorHAnsi"/>
                <w:color w:val="auto"/>
                <w:sz w:val="18"/>
                <w:szCs w:val="18"/>
              </w:rPr>
              <w:t>management</w:t>
            </w:r>
          </w:p>
          <w:p w14:paraId="4367172F" w14:textId="77777777" w:rsidR="006C4FE4" w:rsidRPr="00D42E24" w:rsidRDefault="00346218" w:rsidP="00813139">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eastAsiaTheme="minorEastAsia" w:cstheme="majorHAnsi"/>
                <w:b/>
                <w:color w:val="auto"/>
                <w:sz w:val="18"/>
                <w:szCs w:val="18"/>
              </w:rPr>
              <w:t>United Nations</w:t>
            </w:r>
            <w:r w:rsidR="004E1278" w:rsidRPr="00D42E24">
              <w:rPr>
                <w:rFonts w:eastAsiaTheme="minorEastAsia" w:cstheme="majorHAnsi"/>
                <w:color w:val="auto"/>
                <w:sz w:val="18"/>
                <w:szCs w:val="18"/>
              </w:rPr>
              <w:t xml:space="preserve"> </w:t>
            </w:r>
            <w:r w:rsidR="009F4B23" w:rsidRPr="00D42E24">
              <w:rPr>
                <w:rFonts w:eastAsiaTheme="minorEastAsia" w:cstheme="majorHAnsi"/>
                <w:color w:val="auto"/>
                <w:sz w:val="18"/>
                <w:szCs w:val="18"/>
              </w:rPr>
              <w:t xml:space="preserve">: </w:t>
            </w:r>
            <w:r w:rsidR="009F4B23" w:rsidRPr="00D42E24">
              <w:rPr>
                <w:rFonts w:asciiTheme="minorHAnsi" w:eastAsiaTheme="minorEastAsia" w:hAnsiTheme="minorHAnsi" w:cstheme="majorHAnsi"/>
                <w:color w:val="auto"/>
                <w:sz w:val="18"/>
                <w:szCs w:val="18"/>
              </w:rPr>
              <w:t>strengthening capacit</w:t>
            </w:r>
            <w:r w:rsidR="002137D6">
              <w:rPr>
                <w:rFonts w:asciiTheme="minorHAnsi" w:eastAsiaTheme="minorEastAsia" w:hAnsiTheme="minorHAnsi" w:cstheme="majorHAnsi"/>
                <w:color w:val="auto"/>
                <w:sz w:val="18"/>
                <w:szCs w:val="18"/>
              </w:rPr>
              <w:t>y</w:t>
            </w:r>
            <w:r w:rsidR="009F4B23" w:rsidRPr="00D42E24">
              <w:rPr>
                <w:rFonts w:asciiTheme="minorHAnsi" w:eastAsiaTheme="minorEastAsia" w:hAnsiTheme="minorHAnsi" w:cstheme="majorHAnsi"/>
                <w:color w:val="auto"/>
                <w:sz w:val="18"/>
                <w:szCs w:val="18"/>
              </w:rPr>
              <w:t xml:space="preserve"> building for feasibility studies</w:t>
            </w:r>
          </w:p>
        </w:tc>
      </w:tr>
      <w:tr w:rsidR="00D42E24" w:rsidRPr="00D42E24" w14:paraId="74F98607" w14:textId="77777777" w:rsidTr="003E1E98">
        <w:trPr>
          <w:trHeight w:val="62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right w:val="single" w:sz="4" w:space="0" w:color="auto"/>
            </w:tcBorders>
          </w:tcPr>
          <w:p w14:paraId="181F0F4F" w14:textId="77777777" w:rsidR="00813139" w:rsidRPr="00D42E24" w:rsidRDefault="00A42DEA" w:rsidP="00FD1284">
            <w:pPr>
              <w:tabs>
                <w:tab w:val="left" w:pos="2375"/>
              </w:tabs>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lastRenderedPageBreak/>
              <w:t>Performance of public services</w:t>
            </w:r>
            <w:r w:rsidR="00813139" w:rsidRPr="00D42E24">
              <w:rPr>
                <w:rFonts w:asciiTheme="minorHAnsi" w:eastAsiaTheme="minorEastAsia" w:hAnsiTheme="minorHAnsi" w:cstheme="majorHAnsi"/>
                <w:color w:val="auto"/>
                <w:sz w:val="18"/>
                <w:szCs w:val="18"/>
              </w:rPr>
              <w:tab/>
            </w:r>
          </w:p>
          <w:p w14:paraId="7A9B0CAF" w14:textId="77777777" w:rsidR="00813139" w:rsidRPr="00D42E24" w:rsidRDefault="00813139" w:rsidP="006C4FE4">
            <w:pPr>
              <w:rPr>
                <w:rFonts w:asciiTheme="minorHAnsi" w:eastAsiaTheme="minorEastAsia" w:hAnsiTheme="minorHAnsi" w:cstheme="majorHAnsi"/>
                <w:color w:val="auto"/>
                <w:sz w:val="18"/>
                <w:szCs w:val="18"/>
              </w:rPr>
            </w:pPr>
          </w:p>
        </w:tc>
        <w:tc>
          <w:tcPr>
            <w:tcW w:w="3261" w:type="dxa"/>
            <w:tcBorders>
              <w:top w:val="single" w:sz="4" w:space="0" w:color="auto"/>
              <w:left w:val="single" w:sz="4" w:space="0" w:color="auto"/>
              <w:bottom w:val="single" w:sz="4" w:space="0" w:color="auto"/>
              <w:right w:val="single" w:sz="4" w:space="0" w:color="auto"/>
            </w:tcBorders>
          </w:tcPr>
          <w:p w14:paraId="29427E40" w14:textId="77777777" w:rsidR="00813139" w:rsidRDefault="00852759" w:rsidP="002B0214">
            <w:pPr>
              <w:pStyle w:val="ListParagraph"/>
              <w:numPr>
                <w:ilvl w:val="0"/>
                <w:numId w:val="14"/>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Improve access of citizens and stakeholders to economic and financial information</w:t>
            </w:r>
          </w:p>
          <w:p w14:paraId="76F22DA5" w14:textId="77777777" w:rsidR="00852759" w:rsidRPr="00852759" w:rsidRDefault="00852759" w:rsidP="00852759">
            <w:pPr>
              <w:pStyle w:val="ListParagraph"/>
              <w:numPr>
                <w:ilvl w:val="0"/>
                <w:numId w:val="14"/>
              </w:numPr>
              <w:spacing w:after="120"/>
              <w:ind w:left="0"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852759">
              <w:rPr>
                <w:rFonts w:asciiTheme="minorHAnsi" w:eastAsiaTheme="minorEastAsia" w:hAnsiTheme="minorHAnsi" w:cstheme="majorHAnsi"/>
                <w:color w:val="auto"/>
                <w:sz w:val="18"/>
                <w:szCs w:val="18"/>
              </w:rPr>
              <w:t xml:space="preserve">Upgrade public </w:t>
            </w:r>
            <w:r w:rsidR="0032227D" w:rsidRPr="00852759">
              <w:rPr>
                <w:rFonts w:asciiTheme="minorHAnsi" w:eastAsiaTheme="minorEastAsia" w:hAnsiTheme="minorHAnsi" w:cstheme="majorHAnsi"/>
                <w:color w:val="auto"/>
                <w:sz w:val="18"/>
                <w:szCs w:val="18"/>
              </w:rPr>
              <w:t>administration:</w:t>
            </w:r>
            <w:r>
              <w:rPr>
                <w:rFonts w:asciiTheme="minorHAnsi" w:eastAsiaTheme="minorEastAsia" w:hAnsiTheme="minorHAnsi" w:cstheme="majorHAnsi"/>
                <w:color w:val="auto"/>
                <w:sz w:val="18"/>
                <w:szCs w:val="18"/>
              </w:rPr>
              <w:t xml:space="preserve"> </w:t>
            </w:r>
            <w:r w:rsidRPr="00852759">
              <w:rPr>
                <w:rFonts w:asciiTheme="minorHAnsi" w:eastAsiaTheme="minorEastAsia" w:hAnsiTheme="minorHAnsi" w:cstheme="majorHAnsi"/>
                <w:color w:val="auto"/>
                <w:sz w:val="18"/>
                <w:szCs w:val="18"/>
              </w:rPr>
              <w:t>implement an integrated approach to modernizing public administration ; professionalize human resources management, etc.</w:t>
            </w:r>
          </w:p>
        </w:tc>
        <w:tc>
          <w:tcPr>
            <w:tcW w:w="3260" w:type="dxa"/>
            <w:gridSpan w:val="2"/>
            <w:tcBorders>
              <w:top w:val="single" w:sz="4" w:space="0" w:color="auto"/>
              <w:left w:val="single" w:sz="4" w:space="0" w:color="auto"/>
              <w:bottom w:val="single" w:sz="4" w:space="0" w:color="auto"/>
              <w:right w:val="single" w:sz="4" w:space="0" w:color="auto"/>
            </w:tcBorders>
          </w:tcPr>
          <w:p w14:paraId="43CE0F53" w14:textId="77777777" w:rsidR="00C566FD" w:rsidRPr="00852759" w:rsidRDefault="00B74114" w:rsidP="00D42E24">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852759">
              <w:rPr>
                <w:rFonts w:asciiTheme="minorHAnsi" w:eastAsiaTheme="minorEastAsia" w:hAnsiTheme="minorHAnsi" w:cstheme="majorHAnsi"/>
                <w:color w:val="auto"/>
                <w:sz w:val="18"/>
                <w:szCs w:val="18"/>
              </w:rPr>
              <w:t xml:space="preserve">Improve from 10th to 8th in the Mo Ibrahim </w:t>
            </w:r>
            <w:r w:rsidR="00177901" w:rsidRPr="00852759">
              <w:rPr>
                <w:rFonts w:asciiTheme="minorHAnsi" w:eastAsiaTheme="minorEastAsia" w:hAnsiTheme="minorHAnsi" w:cstheme="majorHAnsi"/>
                <w:color w:val="auto"/>
                <w:sz w:val="18"/>
                <w:szCs w:val="18"/>
              </w:rPr>
              <w:t xml:space="preserve">Governance </w:t>
            </w:r>
            <w:r w:rsidRPr="00852759">
              <w:rPr>
                <w:rFonts w:asciiTheme="minorHAnsi" w:eastAsiaTheme="minorEastAsia" w:hAnsiTheme="minorHAnsi" w:cstheme="majorHAnsi"/>
                <w:color w:val="auto"/>
                <w:sz w:val="18"/>
                <w:szCs w:val="18"/>
              </w:rPr>
              <w:t>rank</w:t>
            </w:r>
          </w:p>
          <w:p w14:paraId="532EAAB5" w14:textId="77777777" w:rsidR="00EB5B2F" w:rsidRDefault="00EB5B2F" w:rsidP="00C566FD">
            <w:pPr>
              <w:pStyle w:val="ListParagraph"/>
              <w:ind w:left="28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852759">
              <w:rPr>
                <w:rFonts w:asciiTheme="minorHAnsi" w:eastAsiaTheme="minorEastAsia" w:hAnsiTheme="minorHAnsi" w:cstheme="majorHAnsi"/>
                <w:color w:val="auto"/>
                <w:sz w:val="18"/>
                <w:szCs w:val="18"/>
              </w:rPr>
              <w:t>According to results</w:t>
            </w:r>
            <w:r w:rsidRPr="00D42E24">
              <w:rPr>
                <w:rFonts w:asciiTheme="minorHAnsi" w:hAnsiTheme="minorHAnsi" w:cstheme="minorHAnsi"/>
                <w:color w:val="auto"/>
                <w:sz w:val="18"/>
                <w:szCs w:val="18"/>
              </w:rPr>
              <w:t xml:space="preserve"> published in November 2017, Senegal has shown signs of "accelerated progress" in global governance over the past five years. Senegal scored 61.6 out of 100 in overall governance, ranking 10th out of 54 countries in Africa</w:t>
            </w:r>
          </w:p>
          <w:p w14:paraId="4057CD80" w14:textId="77777777" w:rsidR="00852759" w:rsidRPr="00D42E24" w:rsidRDefault="00852759" w:rsidP="00C566FD">
            <w:pPr>
              <w:pStyle w:val="ListParagraph"/>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auto"/>
                <w:sz w:val="18"/>
                <w:szCs w:val="18"/>
              </w:rPr>
            </w:pPr>
          </w:p>
          <w:p w14:paraId="037388FC" w14:textId="77777777" w:rsidR="00813139" w:rsidRPr="00D42E24" w:rsidRDefault="00B74114" w:rsidP="004F0753">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D42E24">
              <w:rPr>
                <w:rFonts w:asciiTheme="minorHAnsi" w:eastAsiaTheme="minorEastAsia" w:hAnsiTheme="minorHAnsi" w:cstheme="majorHAnsi"/>
                <w:color w:val="auto"/>
                <w:sz w:val="18"/>
                <w:szCs w:val="18"/>
              </w:rPr>
              <w:t>Improve to at least 50 in all percentile rankings of the WB Governance Indicators</w:t>
            </w:r>
          </w:p>
        </w:tc>
        <w:tc>
          <w:tcPr>
            <w:tcW w:w="2659" w:type="dxa"/>
            <w:gridSpan w:val="2"/>
            <w:tcBorders>
              <w:top w:val="single" w:sz="4" w:space="0" w:color="auto"/>
              <w:left w:val="single" w:sz="4" w:space="0" w:color="auto"/>
              <w:bottom w:val="single" w:sz="4" w:space="0" w:color="auto"/>
              <w:right w:val="single" w:sz="4" w:space="0" w:color="auto"/>
            </w:tcBorders>
          </w:tcPr>
          <w:p w14:paraId="02173401" w14:textId="77777777" w:rsidR="005429F2" w:rsidRDefault="00EB5B2F" w:rsidP="0082149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8C689E">
              <w:rPr>
                <w:rFonts w:asciiTheme="minorHAnsi" w:hAnsiTheme="minorHAnsi" w:cstheme="minorHAnsi"/>
                <w:b/>
                <w:color w:val="auto"/>
                <w:sz w:val="18"/>
                <w:szCs w:val="18"/>
                <w:u w:val="single"/>
              </w:rPr>
              <w:t>World Bank</w:t>
            </w:r>
            <w:r w:rsidRPr="00D42E24">
              <w:rPr>
                <w:rFonts w:asciiTheme="minorHAnsi" w:hAnsiTheme="minorHAnsi" w:cstheme="minorHAnsi"/>
                <w:color w:val="auto"/>
                <w:sz w:val="18"/>
                <w:szCs w:val="18"/>
              </w:rPr>
              <w:t>: Support to the Integrated Financial</w:t>
            </w:r>
            <w:r w:rsidR="009522FD" w:rsidRPr="00D42E24">
              <w:rPr>
                <w:rFonts w:cstheme="minorHAnsi"/>
                <w:color w:val="auto"/>
                <w:sz w:val="18"/>
                <w:szCs w:val="18"/>
              </w:rPr>
              <w:t xml:space="preserve"> Management</w:t>
            </w:r>
            <w:r w:rsidRPr="00D42E24">
              <w:rPr>
                <w:rFonts w:asciiTheme="minorHAnsi" w:hAnsiTheme="minorHAnsi" w:cstheme="minorHAnsi"/>
                <w:color w:val="auto"/>
                <w:sz w:val="18"/>
                <w:szCs w:val="18"/>
              </w:rPr>
              <w:t xml:space="preserve"> Information System (IF</w:t>
            </w:r>
            <w:r w:rsidR="009522FD" w:rsidRPr="00D42E24">
              <w:rPr>
                <w:rFonts w:cstheme="minorHAnsi"/>
                <w:color w:val="auto"/>
                <w:sz w:val="18"/>
                <w:szCs w:val="18"/>
              </w:rPr>
              <w:t>M</w:t>
            </w:r>
            <w:r w:rsidRPr="00D42E24">
              <w:rPr>
                <w:rFonts w:asciiTheme="minorHAnsi" w:hAnsiTheme="minorHAnsi" w:cstheme="minorHAnsi"/>
                <w:color w:val="auto"/>
                <w:sz w:val="18"/>
                <w:szCs w:val="18"/>
              </w:rPr>
              <w:t>IS)</w:t>
            </w:r>
            <w:r w:rsidRPr="00D42E24">
              <w:rPr>
                <w:rFonts w:asciiTheme="minorHAnsi" w:hAnsiTheme="minorHAnsi" w:cstheme="minorHAnsi"/>
                <w:color w:val="auto"/>
                <w:sz w:val="18"/>
                <w:szCs w:val="18"/>
              </w:rPr>
              <w:br/>
            </w:r>
            <w:r w:rsidRPr="008C689E">
              <w:rPr>
                <w:rFonts w:asciiTheme="minorHAnsi" w:hAnsiTheme="minorHAnsi" w:cstheme="minorHAnsi"/>
                <w:b/>
                <w:color w:val="auto"/>
                <w:sz w:val="18"/>
                <w:szCs w:val="18"/>
                <w:u w:val="single"/>
              </w:rPr>
              <w:t>USAID</w:t>
            </w:r>
            <w:r w:rsidRPr="00D42E24">
              <w:rPr>
                <w:rFonts w:asciiTheme="minorHAnsi" w:hAnsiTheme="minorHAnsi" w:cstheme="minorHAnsi"/>
                <w:color w:val="auto"/>
                <w:sz w:val="18"/>
                <w:szCs w:val="18"/>
              </w:rPr>
              <w:t>: Support for the implementation of the transparency code</w:t>
            </w:r>
            <w:r w:rsidRPr="00D42E24">
              <w:rPr>
                <w:rFonts w:asciiTheme="minorHAnsi" w:hAnsiTheme="minorHAnsi" w:cstheme="minorHAnsi"/>
                <w:color w:val="auto"/>
                <w:sz w:val="18"/>
                <w:szCs w:val="18"/>
              </w:rPr>
              <w:br/>
            </w:r>
            <w:r w:rsidRPr="008C689E">
              <w:rPr>
                <w:rFonts w:asciiTheme="minorHAnsi" w:hAnsiTheme="minorHAnsi" w:cstheme="minorHAnsi"/>
                <w:b/>
                <w:color w:val="auto"/>
                <w:sz w:val="18"/>
                <w:szCs w:val="18"/>
                <w:u w:val="single"/>
              </w:rPr>
              <w:t>AfDB</w:t>
            </w:r>
            <w:r w:rsidRPr="00D42E24">
              <w:rPr>
                <w:rFonts w:asciiTheme="minorHAnsi" w:hAnsiTheme="minorHAnsi" w:cstheme="minorHAnsi"/>
                <w:color w:val="auto"/>
                <w:sz w:val="18"/>
                <w:szCs w:val="18"/>
              </w:rPr>
              <w:t xml:space="preserve">: Capacity </w:t>
            </w:r>
            <w:r w:rsidR="001D79AD" w:rsidRPr="00D42E24">
              <w:rPr>
                <w:rFonts w:cstheme="minorHAnsi"/>
                <w:color w:val="auto"/>
                <w:sz w:val="18"/>
                <w:szCs w:val="18"/>
              </w:rPr>
              <w:t>d</w:t>
            </w:r>
            <w:r w:rsidR="009522FD" w:rsidRPr="00D42E24">
              <w:rPr>
                <w:rFonts w:cstheme="minorHAnsi"/>
                <w:color w:val="auto"/>
                <w:sz w:val="18"/>
                <w:szCs w:val="18"/>
              </w:rPr>
              <w:t>evelopment</w:t>
            </w:r>
            <w:r w:rsidRPr="00D42E24">
              <w:rPr>
                <w:rFonts w:asciiTheme="minorHAnsi" w:hAnsiTheme="minorHAnsi" w:cstheme="minorHAnsi"/>
                <w:color w:val="auto"/>
                <w:sz w:val="18"/>
                <w:szCs w:val="18"/>
              </w:rPr>
              <w:t xml:space="preserve"> </w:t>
            </w:r>
            <w:r w:rsidR="001D79AD" w:rsidRPr="00D42E24">
              <w:rPr>
                <w:rFonts w:cstheme="minorHAnsi"/>
                <w:color w:val="auto"/>
                <w:sz w:val="18"/>
                <w:szCs w:val="18"/>
              </w:rPr>
              <w:t>s</w:t>
            </w:r>
            <w:r w:rsidRPr="00D42E24">
              <w:rPr>
                <w:rFonts w:asciiTheme="minorHAnsi" w:hAnsiTheme="minorHAnsi" w:cstheme="minorHAnsi"/>
                <w:color w:val="auto"/>
                <w:sz w:val="18"/>
                <w:szCs w:val="18"/>
              </w:rPr>
              <w:t xml:space="preserve">upport for the </w:t>
            </w:r>
            <w:r w:rsidR="009522FD" w:rsidRPr="00D42E24">
              <w:rPr>
                <w:rFonts w:cstheme="minorHAnsi"/>
                <w:color w:val="auto"/>
                <w:sz w:val="18"/>
                <w:szCs w:val="18"/>
              </w:rPr>
              <w:t>n</w:t>
            </w:r>
            <w:r w:rsidRPr="00D42E24">
              <w:rPr>
                <w:rFonts w:asciiTheme="minorHAnsi" w:hAnsiTheme="minorHAnsi" w:cstheme="minorHAnsi"/>
                <w:color w:val="auto"/>
                <w:sz w:val="18"/>
                <w:szCs w:val="18"/>
              </w:rPr>
              <w:t>ew P</w:t>
            </w:r>
            <w:r w:rsidR="009522FD" w:rsidRPr="00D42E24">
              <w:rPr>
                <w:rFonts w:cstheme="minorHAnsi"/>
                <w:color w:val="auto"/>
                <w:sz w:val="18"/>
                <w:szCs w:val="18"/>
              </w:rPr>
              <w:t>SE</w:t>
            </w:r>
            <w:r w:rsidRPr="00D42E24">
              <w:rPr>
                <w:rFonts w:asciiTheme="minorHAnsi" w:hAnsiTheme="minorHAnsi" w:cstheme="minorHAnsi"/>
                <w:color w:val="auto"/>
                <w:sz w:val="18"/>
                <w:szCs w:val="18"/>
              </w:rPr>
              <w:t xml:space="preserve"> M &amp; E </w:t>
            </w:r>
            <w:r w:rsidR="00E02836" w:rsidRPr="00D42E24">
              <w:rPr>
                <w:rFonts w:cstheme="minorHAnsi"/>
                <w:color w:val="auto"/>
                <w:sz w:val="18"/>
                <w:szCs w:val="18"/>
              </w:rPr>
              <w:t xml:space="preserve">(monitoring and evaluation) </w:t>
            </w:r>
            <w:r w:rsidR="001D79AD" w:rsidRPr="00D42E24">
              <w:rPr>
                <w:rFonts w:cstheme="minorHAnsi"/>
                <w:color w:val="auto"/>
                <w:sz w:val="18"/>
                <w:szCs w:val="18"/>
              </w:rPr>
              <w:t>f</w:t>
            </w:r>
            <w:r w:rsidRPr="00D42E24">
              <w:rPr>
                <w:rFonts w:asciiTheme="minorHAnsi" w:hAnsiTheme="minorHAnsi" w:cstheme="minorHAnsi"/>
                <w:color w:val="auto"/>
                <w:sz w:val="18"/>
                <w:szCs w:val="18"/>
              </w:rPr>
              <w:t>acility</w:t>
            </w:r>
          </w:p>
          <w:p w14:paraId="025AEB17" w14:textId="620A5A8D" w:rsidR="00EB5B2F" w:rsidRPr="00D42E24" w:rsidRDefault="005429F2" w:rsidP="0082149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Light"/>
                <w:color w:val="auto"/>
                <w:sz w:val="18"/>
                <w:szCs w:val="18"/>
              </w:rPr>
            </w:pPr>
            <w:r>
              <w:rPr>
                <w:rFonts w:cstheme="minorHAnsi"/>
                <w:b/>
                <w:sz w:val="18"/>
                <w:szCs w:val="18"/>
                <w:lang w:val="en"/>
              </w:rPr>
              <w:t>Germany (GIZ):</w:t>
            </w:r>
            <w:r>
              <w:rPr>
                <w:rFonts w:cstheme="minorHAnsi"/>
                <w:sz w:val="18"/>
                <w:szCs w:val="18"/>
                <w:lang w:val="en"/>
              </w:rPr>
              <w:t xml:space="preserve"> Capacity building support for transition to program budgeting and performance management</w:t>
            </w:r>
            <w:r w:rsidR="00EB5B2F" w:rsidRPr="00D42E24">
              <w:rPr>
                <w:rFonts w:asciiTheme="minorHAnsi" w:hAnsiTheme="minorHAnsi" w:cstheme="minorHAnsi"/>
                <w:color w:val="auto"/>
                <w:sz w:val="18"/>
                <w:szCs w:val="18"/>
              </w:rPr>
              <w:br/>
            </w:r>
            <w:r w:rsidR="00EB5B2F" w:rsidRPr="008C689E">
              <w:rPr>
                <w:rFonts w:asciiTheme="minorHAnsi" w:hAnsiTheme="minorHAnsi" w:cstheme="minorHAnsi"/>
                <w:b/>
                <w:color w:val="auto"/>
                <w:sz w:val="18"/>
                <w:szCs w:val="18"/>
                <w:u w:val="single"/>
              </w:rPr>
              <w:t>Luxembourg</w:t>
            </w:r>
            <w:r w:rsidR="00EB5B2F" w:rsidRPr="00D42E24">
              <w:rPr>
                <w:rFonts w:asciiTheme="minorHAnsi" w:hAnsiTheme="minorHAnsi" w:cstheme="minorHAnsi"/>
                <w:color w:val="auto"/>
                <w:sz w:val="18"/>
                <w:szCs w:val="18"/>
              </w:rPr>
              <w:t>: Support for transition to program budget and operational planning</w:t>
            </w:r>
            <w:r w:rsidR="00EB5B2F" w:rsidRPr="00D42E24">
              <w:rPr>
                <w:rFonts w:asciiTheme="minorHAnsi" w:hAnsiTheme="minorHAnsi" w:cstheme="minorHAnsi"/>
                <w:color w:val="auto"/>
                <w:sz w:val="18"/>
                <w:szCs w:val="18"/>
              </w:rPr>
              <w:br/>
            </w:r>
            <w:r w:rsidR="00EB5B2F" w:rsidRPr="008C689E">
              <w:rPr>
                <w:rFonts w:asciiTheme="minorHAnsi" w:hAnsiTheme="minorHAnsi" w:cstheme="minorHAnsi"/>
                <w:b/>
                <w:color w:val="auto"/>
                <w:sz w:val="18"/>
                <w:szCs w:val="18"/>
                <w:u w:val="single"/>
              </w:rPr>
              <w:t>EU</w:t>
            </w:r>
            <w:r w:rsidR="00EB5B2F" w:rsidRPr="00D42E24">
              <w:rPr>
                <w:rFonts w:asciiTheme="minorHAnsi" w:hAnsiTheme="minorHAnsi" w:cstheme="minorHAnsi"/>
                <w:color w:val="auto"/>
                <w:sz w:val="18"/>
                <w:szCs w:val="18"/>
              </w:rPr>
              <w:t>: Strengthening programming and budget preparation, payroll management and performance contracts with agencies</w:t>
            </w:r>
          </w:p>
        </w:tc>
      </w:tr>
      <w:tr w:rsidR="00D42E24" w:rsidRPr="00D42E24" w14:paraId="0D20CE72" w14:textId="77777777" w:rsidTr="00472309">
        <w:trPr>
          <w:trHeight w:val="341"/>
        </w:trPr>
        <w:tc>
          <w:tcPr>
            <w:cnfStyle w:val="001000000000" w:firstRow="0" w:lastRow="0" w:firstColumn="1" w:lastColumn="0" w:oddVBand="0" w:evenVBand="0" w:oddHBand="0" w:evenHBand="0" w:firstRowFirstColumn="0" w:firstRowLastColumn="0" w:lastRowFirstColumn="0" w:lastRowLastColumn="0"/>
            <w:tcW w:w="10710" w:type="dxa"/>
            <w:gridSpan w:val="6"/>
            <w:tcBorders>
              <w:top w:val="single" w:sz="4" w:space="0" w:color="auto"/>
              <w:left w:val="single" w:sz="4" w:space="0" w:color="auto"/>
              <w:bottom w:val="single" w:sz="4" w:space="0" w:color="auto"/>
              <w:right w:val="single" w:sz="4" w:space="0" w:color="auto"/>
            </w:tcBorders>
            <w:noWrap/>
            <w:vAlign w:val="center"/>
          </w:tcPr>
          <w:p w14:paraId="2397AEFC" w14:textId="77777777" w:rsidR="00813139" w:rsidRPr="00D42E24" w:rsidRDefault="0084159F" w:rsidP="0084159F">
            <w:pPr>
              <w:rPr>
                <w:rFonts w:asciiTheme="minorHAnsi" w:eastAsiaTheme="minorEastAsia" w:hAnsiTheme="minorHAnsi" w:cstheme="majorHAnsi"/>
                <w:b/>
                <w:color w:val="auto"/>
                <w:sz w:val="18"/>
                <w:szCs w:val="18"/>
              </w:rPr>
            </w:pPr>
            <w:r w:rsidRPr="00D42E24">
              <w:rPr>
                <w:rFonts w:asciiTheme="minorHAnsi" w:eastAsiaTheme="minorEastAsia" w:hAnsiTheme="minorHAnsi" w:cstheme="majorHAnsi"/>
                <w:b/>
                <w:color w:val="auto"/>
                <w:sz w:val="18"/>
                <w:szCs w:val="18"/>
              </w:rPr>
              <w:t xml:space="preserve">2. </w:t>
            </w:r>
            <w:r w:rsidR="00813139" w:rsidRPr="00D42E24">
              <w:rPr>
                <w:rFonts w:asciiTheme="minorHAnsi" w:eastAsiaTheme="minorEastAsia" w:hAnsiTheme="minorHAnsi" w:cstheme="majorHAnsi"/>
                <w:b/>
                <w:color w:val="auto"/>
                <w:sz w:val="18"/>
                <w:szCs w:val="18"/>
              </w:rPr>
              <w:t>Business Framework</w:t>
            </w:r>
          </w:p>
        </w:tc>
      </w:tr>
      <w:tr w:rsidR="00D42E24" w:rsidRPr="00D42E24" w14:paraId="4344A0C1" w14:textId="77777777" w:rsidTr="0036060C">
        <w:trPr>
          <w:trHeight w:val="53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E9C972C" w14:textId="77777777" w:rsidR="006C4FE4" w:rsidRPr="00D42E24" w:rsidRDefault="00A42DEA" w:rsidP="0079784D">
            <w:pPr>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Investor protection and disputes resolution</w:t>
            </w:r>
          </w:p>
        </w:tc>
        <w:tc>
          <w:tcPr>
            <w:tcW w:w="0" w:type="dxa"/>
            <w:gridSpan w:val="2"/>
            <w:tcBorders>
              <w:top w:val="single" w:sz="4" w:space="0" w:color="auto"/>
              <w:left w:val="single" w:sz="4" w:space="0" w:color="auto"/>
              <w:bottom w:val="single" w:sz="4" w:space="0" w:color="auto"/>
              <w:right w:val="single" w:sz="4" w:space="0" w:color="auto"/>
            </w:tcBorders>
          </w:tcPr>
          <w:p w14:paraId="18604FD3" w14:textId="77777777" w:rsidR="006D08B6" w:rsidRPr="00D42E24" w:rsidRDefault="006D08B6" w:rsidP="006D08B6">
            <w:pPr>
              <w:numPr>
                <w:ilvl w:val="0"/>
                <w:numId w:val="5"/>
              </w:numPr>
              <w:tabs>
                <w:tab w:val="clear" w:pos="720"/>
                <w:tab w:val="num" w:pos="156"/>
              </w:tabs>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xml:space="preserve">Systematize and professionalize </w:t>
            </w:r>
            <w:r w:rsidR="00D32252" w:rsidRPr="00D42E24">
              <w:rPr>
                <w:rFonts w:asciiTheme="minorHAnsi" w:eastAsiaTheme="minorEastAsia" w:hAnsiTheme="minorHAnsi" w:cstheme="majorHAnsi"/>
                <w:color w:val="auto"/>
                <w:sz w:val="18"/>
                <w:szCs w:val="18"/>
              </w:rPr>
              <w:t xml:space="preserve">the </w:t>
            </w:r>
            <w:r w:rsidRPr="00D42E24">
              <w:rPr>
                <w:rFonts w:asciiTheme="minorHAnsi" w:eastAsiaTheme="minorEastAsia" w:hAnsiTheme="minorHAnsi" w:cstheme="majorHAnsi"/>
                <w:color w:val="auto"/>
                <w:sz w:val="18"/>
                <w:szCs w:val="18"/>
              </w:rPr>
              <w:t>amicable settlement of disputes</w:t>
            </w:r>
          </w:p>
          <w:p w14:paraId="41E30727" w14:textId="77777777" w:rsidR="006D08B6" w:rsidRPr="00D42E24" w:rsidRDefault="006D08B6" w:rsidP="006D08B6">
            <w:pPr>
              <w:numPr>
                <w:ilvl w:val="0"/>
                <w:numId w:val="5"/>
              </w:numPr>
              <w:tabs>
                <w:tab w:val="clear" w:pos="720"/>
                <w:tab w:val="num" w:pos="156"/>
              </w:tabs>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xml:space="preserve">Operationalize </w:t>
            </w:r>
            <w:r w:rsidR="00D32252" w:rsidRPr="00D42E24">
              <w:rPr>
                <w:rFonts w:asciiTheme="minorHAnsi" w:eastAsiaTheme="minorEastAsia" w:hAnsiTheme="minorHAnsi" w:cstheme="majorHAnsi"/>
                <w:color w:val="auto"/>
                <w:sz w:val="18"/>
                <w:szCs w:val="18"/>
              </w:rPr>
              <w:t xml:space="preserve">the commercial court (electronic referral, training </w:t>
            </w:r>
            <w:r w:rsidRPr="00D42E24">
              <w:rPr>
                <w:rFonts w:asciiTheme="minorHAnsi" w:eastAsiaTheme="minorEastAsia" w:hAnsiTheme="minorHAnsi" w:cstheme="majorHAnsi"/>
                <w:color w:val="auto"/>
                <w:sz w:val="18"/>
                <w:szCs w:val="18"/>
              </w:rPr>
              <w:t>of legal assistants, mediation)</w:t>
            </w:r>
          </w:p>
          <w:p w14:paraId="3D96312B" w14:textId="77777777" w:rsidR="006C4FE4" w:rsidRDefault="006D08B6" w:rsidP="009D1FCB">
            <w:pPr>
              <w:numPr>
                <w:ilvl w:val="0"/>
                <w:numId w:val="5"/>
              </w:numPr>
              <w:tabs>
                <w:tab w:val="clear" w:pos="720"/>
                <w:tab w:val="num" w:pos="156"/>
              </w:tabs>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D42E24">
              <w:rPr>
                <w:rFonts w:asciiTheme="minorHAnsi" w:eastAsiaTheme="minorEastAsia" w:hAnsiTheme="minorHAnsi" w:cstheme="majorHAnsi"/>
                <w:color w:val="auto"/>
                <w:sz w:val="18"/>
                <w:szCs w:val="18"/>
              </w:rPr>
              <w:t xml:space="preserve">Establish </w:t>
            </w:r>
            <w:r w:rsidR="00D32252" w:rsidRPr="00D42E24">
              <w:rPr>
                <w:rFonts w:asciiTheme="minorHAnsi" w:eastAsiaTheme="minorEastAsia" w:hAnsiTheme="minorHAnsi" w:cstheme="majorHAnsi"/>
                <w:color w:val="auto"/>
                <w:sz w:val="18"/>
                <w:szCs w:val="18"/>
              </w:rPr>
              <w:t>an electronic register o</w:t>
            </w:r>
            <w:r w:rsidRPr="00D42E24">
              <w:rPr>
                <w:rFonts w:asciiTheme="minorHAnsi" w:eastAsiaTheme="minorEastAsia" w:hAnsiTheme="minorHAnsi" w:cstheme="majorHAnsi"/>
                <w:color w:val="auto"/>
                <w:sz w:val="18"/>
                <w:szCs w:val="18"/>
              </w:rPr>
              <w:t>f guarantees</w:t>
            </w:r>
            <w:r w:rsidRPr="00D42E24">
              <w:rPr>
                <w:rFonts w:eastAsiaTheme="minorEastAsia" w:cstheme="majorHAnsi"/>
                <w:color w:val="auto"/>
                <w:sz w:val="18"/>
                <w:szCs w:val="18"/>
              </w:rPr>
              <w:t xml:space="preserve"> </w:t>
            </w:r>
          </w:p>
          <w:p w14:paraId="45E91BD5" w14:textId="77777777" w:rsidR="00B651A7" w:rsidRDefault="00B651A7" w:rsidP="002256DF">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p>
          <w:p w14:paraId="1ADD92B9" w14:textId="77777777" w:rsidR="00B651A7" w:rsidRDefault="00B651A7" w:rsidP="00B651A7">
            <w:pPr>
              <w:numPr>
                <w:ilvl w:val="0"/>
                <w:numId w:val="5"/>
              </w:numPr>
              <w:tabs>
                <w:tab w:val="clear" w:pos="720"/>
                <w:tab w:val="num" w:pos="156"/>
              </w:tabs>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Pr>
                <w:rFonts w:eastAsiaTheme="minorEastAsia" w:cstheme="majorHAnsi"/>
                <w:color w:val="auto"/>
                <w:sz w:val="18"/>
                <w:szCs w:val="18"/>
              </w:rPr>
              <w:t>Operationalize the electronic Company and Moveable Credit Registry (eRCCM)</w:t>
            </w:r>
          </w:p>
          <w:p w14:paraId="41527C9A" w14:textId="77777777" w:rsidR="00B651A7" w:rsidRDefault="00B651A7" w:rsidP="00B651A7">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p>
          <w:p w14:paraId="1482FF08" w14:textId="5FF456F8" w:rsidR="00B651A7" w:rsidRPr="00D42E24" w:rsidRDefault="00B651A7" w:rsidP="00B651A7">
            <w:pPr>
              <w:numPr>
                <w:ilvl w:val="0"/>
                <w:numId w:val="5"/>
              </w:numPr>
              <w:tabs>
                <w:tab w:val="clear" w:pos="720"/>
                <w:tab w:val="num" w:pos="156"/>
              </w:tabs>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Pr>
                <w:rFonts w:eastAsiaTheme="minorEastAsia" w:cstheme="majorHAnsi"/>
                <w:color w:val="auto"/>
                <w:sz w:val="18"/>
                <w:szCs w:val="18"/>
              </w:rPr>
              <w:t xml:space="preserve"> Improve the investment climate beyond the Dakar metropolitan area, b</w:t>
            </w:r>
            <w:r w:rsidR="003501D6">
              <w:rPr>
                <w:rFonts w:eastAsiaTheme="minorEastAsia" w:cstheme="majorHAnsi"/>
                <w:color w:val="auto"/>
                <w:sz w:val="18"/>
                <w:szCs w:val="18"/>
              </w:rPr>
              <w:t>y</w:t>
            </w:r>
            <w:r>
              <w:rPr>
                <w:rFonts w:eastAsiaTheme="minorEastAsia" w:cstheme="majorHAnsi"/>
                <w:color w:val="auto"/>
                <w:sz w:val="18"/>
                <w:szCs w:val="18"/>
              </w:rPr>
              <w:t xml:space="preserve"> creating one-stop-shops in at least three economic centers outside Dakar</w:t>
            </w:r>
          </w:p>
        </w:tc>
        <w:tc>
          <w:tcPr>
            <w:tcW w:w="3231" w:type="dxa"/>
            <w:tcBorders>
              <w:top w:val="single" w:sz="4" w:space="0" w:color="auto"/>
              <w:left w:val="single" w:sz="4" w:space="0" w:color="auto"/>
              <w:bottom w:val="single" w:sz="4" w:space="0" w:color="auto"/>
              <w:right w:val="single" w:sz="4" w:space="0" w:color="auto"/>
            </w:tcBorders>
          </w:tcPr>
          <w:p w14:paraId="007E9CA5" w14:textId="77777777" w:rsidR="00B74114" w:rsidRPr="00D42E24" w:rsidRDefault="00B74114" w:rsidP="00B74114">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Reduction of trade dispute resolution timeframe</w:t>
            </w:r>
            <w:r w:rsidR="00177901">
              <w:rPr>
                <w:rFonts w:asciiTheme="minorHAnsi" w:eastAsiaTheme="minorEastAsia" w:hAnsiTheme="minorHAnsi" w:cstheme="majorHAnsi"/>
                <w:color w:val="auto"/>
                <w:sz w:val="18"/>
                <w:szCs w:val="18"/>
              </w:rPr>
              <w:t xml:space="preserve"> f</w:t>
            </w:r>
            <w:r w:rsidRPr="001F7732">
              <w:rPr>
                <w:rFonts w:asciiTheme="minorHAnsi" w:eastAsiaTheme="minorEastAsia" w:hAnsiTheme="minorHAnsi" w:cstheme="majorHAnsi"/>
                <w:color w:val="auto"/>
                <w:sz w:val="18"/>
                <w:szCs w:val="18"/>
              </w:rPr>
              <w:t>rom 6</w:t>
            </w:r>
            <w:r w:rsidR="001F7732" w:rsidRPr="001F7732">
              <w:rPr>
                <w:rFonts w:asciiTheme="minorHAnsi" w:eastAsiaTheme="minorEastAsia" w:hAnsiTheme="minorHAnsi" w:cstheme="majorHAnsi"/>
                <w:color w:val="auto"/>
                <w:sz w:val="18"/>
                <w:szCs w:val="18"/>
              </w:rPr>
              <w:t>80</w:t>
            </w:r>
            <w:r w:rsidRPr="001F7732">
              <w:rPr>
                <w:rFonts w:asciiTheme="minorHAnsi" w:eastAsiaTheme="minorEastAsia" w:hAnsiTheme="minorHAnsi" w:cstheme="majorHAnsi"/>
                <w:color w:val="auto"/>
                <w:sz w:val="18"/>
                <w:szCs w:val="18"/>
              </w:rPr>
              <w:t xml:space="preserve"> days to </w:t>
            </w:r>
            <w:r w:rsidR="001F7732" w:rsidRPr="001F7732">
              <w:rPr>
                <w:rFonts w:asciiTheme="minorHAnsi" w:eastAsiaTheme="minorEastAsia" w:hAnsiTheme="minorHAnsi" w:cstheme="majorHAnsi"/>
                <w:color w:val="auto"/>
                <w:sz w:val="18"/>
                <w:szCs w:val="18"/>
              </w:rPr>
              <w:t>50</w:t>
            </w:r>
            <w:r w:rsidRPr="001F7732">
              <w:rPr>
                <w:rFonts w:asciiTheme="minorHAnsi" w:eastAsiaTheme="minorEastAsia" w:hAnsiTheme="minorHAnsi" w:cstheme="majorHAnsi"/>
                <w:color w:val="auto"/>
                <w:sz w:val="18"/>
                <w:szCs w:val="18"/>
              </w:rPr>
              <w:t>0 days</w:t>
            </w:r>
          </w:p>
          <w:p w14:paraId="144C050A" w14:textId="77777777" w:rsidR="00B74114" w:rsidRPr="00D42E24" w:rsidRDefault="00B74114" w:rsidP="00B74114">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Fully operating Commercial Court implemented by 2019</w:t>
            </w:r>
          </w:p>
          <w:p w14:paraId="436A12B9" w14:textId="77777777" w:rsidR="006C4FE4" w:rsidRDefault="00B74114" w:rsidP="004F0753">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Fully operating Electronic Register of Guarantees implemented by end 2019</w:t>
            </w:r>
          </w:p>
          <w:p w14:paraId="575D0A20" w14:textId="77777777" w:rsidR="002256DF" w:rsidRDefault="002256DF" w:rsidP="002256DF">
            <w:pPr>
              <w:pStyle w:val="ListParagraph"/>
              <w:numPr>
                <w:ilvl w:val="0"/>
                <w:numId w:val="11"/>
              </w:numPr>
              <w:spacing w:after="160" w:line="259" w:lineRule="auto"/>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Pr>
                <w:rFonts w:asciiTheme="minorHAnsi" w:eastAsiaTheme="minorEastAsia" w:hAnsiTheme="minorHAnsi" w:cstheme="majorHAnsi"/>
                <w:color w:val="auto"/>
                <w:sz w:val="18"/>
                <w:szCs w:val="18"/>
              </w:rPr>
              <w:t>Fully operating electronic RCCM, allowing companies to register online, as well as research the database of companies online. Facilitates business creation and strengthens information and transparency on business sector and credit.</w:t>
            </w:r>
          </w:p>
          <w:p w14:paraId="275A57BA" w14:textId="458AE664" w:rsidR="002256DF" w:rsidRPr="00D42E24" w:rsidRDefault="002256DF" w:rsidP="002256DF">
            <w:pPr>
              <w:pStyle w:val="ListParagraph"/>
              <w:numPr>
                <w:ilvl w:val="0"/>
                <w:numId w:val="11"/>
              </w:numPr>
              <w:ind w:left="28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Pr>
                <w:rFonts w:asciiTheme="minorHAnsi" w:eastAsiaTheme="minorEastAsia" w:hAnsiTheme="minorHAnsi" w:cstheme="majorHAnsi"/>
                <w:color w:val="auto"/>
                <w:sz w:val="18"/>
                <w:szCs w:val="18"/>
              </w:rPr>
              <w:t xml:space="preserve">By bringing </w:t>
            </w:r>
            <w:r w:rsidR="003501D6">
              <w:rPr>
                <w:rFonts w:asciiTheme="minorHAnsi" w:eastAsiaTheme="minorEastAsia" w:hAnsiTheme="minorHAnsi" w:cstheme="majorHAnsi"/>
                <w:color w:val="auto"/>
                <w:sz w:val="18"/>
                <w:szCs w:val="18"/>
              </w:rPr>
              <w:t>government</w:t>
            </w:r>
            <w:r>
              <w:rPr>
                <w:rFonts w:asciiTheme="minorHAnsi" w:eastAsiaTheme="minorEastAsia" w:hAnsiTheme="minorHAnsi" w:cstheme="majorHAnsi"/>
                <w:color w:val="auto"/>
                <w:sz w:val="18"/>
                <w:szCs w:val="18"/>
              </w:rPr>
              <w:t>-to-business services online or closer to businesses located outside Dakar metro, this will substantially reduce compliance time and costs, and will spur business activity, investment and formalization beyond the Greater Dakar area.</w:t>
            </w:r>
          </w:p>
        </w:tc>
        <w:tc>
          <w:tcPr>
            <w:tcW w:w="2659" w:type="dxa"/>
            <w:gridSpan w:val="2"/>
            <w:tcBorders>
              <w:top w:val="single" w:sz="4" w:space="0" w:color="auto"/>
              <w:left w:val="single" w:sz="4" w:space="0" w:color="auto"/>
              <w:bottom w:val="single" w:sz="4" w:space="0" w:color="auto"/>
              <w:right w:val="single" w:sz="4" w:space="0" w:color="auto"/>
            </w:tcBorders>
          </w:tcPr>
          <w:p w14:paraId="4FE435D7" w14:textId="77777777" w:rsidR="001032BE" w:rsidRPr="00D42E24" w:rsidRDefault="003366EB" w:rsidP="00821491">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36060C">
              <w:rPr>
                <w:rFonts w:eastAsiaTheme="minorEastAsia" w:cstheme="majorHAnsi"/>
                <w:b/>
                <w:sz w:val="18"/>
                <w:szCs w:val="18"/>
                <w:u w:val="single"/>
              </w:rPr>
              <w:t>WBG</w:t>
            </w:r>
            <w:r w:rsidR="00981EF6">
              <w:rPr>
                <w:rFonts w:asciiTheme="minorHAnsi" w:eastAsiaTheme="minorEastAsia" w:hAnsiTheme="minorHAnsi" w:cstheme="majorHAnsi"/>
                <w:color w:val="auto"/>
                <w:sz w:val="18"/>
                <w:szCs w:val="18"/>
              </w:rPr>
              <w:t>:</w:t>
            </w:r>
            <w:r w:rsidRPr="003366EB">
              <w:rPr>
                <w:rFonts w:asciiTheme="minorHAnsi" w:eastAsiaTheme="minorEastAsia" w:hAnsiTheme="minorHAnsi" w:cstheme="majorHAnsi"/>
                <w:color w:val="auto"/>
                <w:sz w:val="18"/>
                <w:szCs w:val="18"/>
              </w:rPr>
              <w:t xml:space="preserve"> technical assistance underway to support the new Commercial Court. </w:t>
            </w:r>
            <w:r w:rsidR="00177901">
              <w:rPr>
                <w:rFonts w:asciiTheme="minorHAnsi" w:eastAsiaTheme="minorEastAsia" w:hAnsiTheme="minorHAnsi" w:cstheme="majorHAnsi"/>
                <w:color w:val="auto"/>
                <w:sz w:val="18"/>
                <w:szCs w:val="18"/>
              </w:rPr>
              <w:t xml:space="preserve">Deepen assistance on the </w:t>
            </w:r>
            <w:r w:rsidRPr="003366EB">
              <w:rPr>
                <w:rFonts w:asciiTheme="minorHAnsi" w:eastAsiaTheme="minorEastAsia" w:hAnsiTheme="minorHAnsi" w:cstheme="majorHAnsi"/>
                <w:color w:val="auto"/>
                <w:sz w:val="18"/>
                <w:szCs w:val="18"/>
              </w:rPr>
              <w:t>arbitration / mediation framework</w:t>
            </w:r>
            <w:r w:rsidR="003C3B60" w:rsidRPr="00D42E24">
              <w:rPr>
                <w:rFonts w:asciiTheme="minorHAnsi" w:eastAsiaTheme="minorEastAsia" w:hAnsiTheme="minorHAnsi" w:cstheme="majorHAnsi"/>
                <w:color w:val="auto"/>
                <w:sz w:val="18"/>
                <w:szCs w:val="18"/>
              </w:rPr>
              <w:t>.</w:t>
            </w:r>
          </w:p>
          <w:p w14:paraId="00F24696" w14:textId="77777777" w:rsidR="004E0635" w:rsidRPr="00D42E24" w:rsidRDefault="004E0635" w:rsidP="00446E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auto"/>
                <w:sz w:val="18"/>
                <w:szCs w:val="18"/>
              </w:rPr>
            </w:pPr>
            <w:r w:rsidRPr="0036060C">
              <w:rPr>
                <w:rFonts w:cstheme="minorHAnsi"/>
                <w:b/>
                <w:sz w:val="18"/>
                <w:szCs w:val="18"/>
                <w:u w:val="single"/>
              </w:rPr>
              <w:t>OECD</w:t>
            </w:r>
            <w:r w:rsidRPr="00D42E24">
              <w:rPr>
                <w:rFonts w:asciiTheme="minorHAnsi" w:hAnsiTheme="minorHAnsi" w:cstheme="minorHAnsi"/>
                <w:color w:val="auto"/>
                <w:sz w:val="18"/>
                <w:szCs w:val="18"/>
              </w:rPr>
              <w:t xml:space="preserve">: Analysis of </w:t>
            </w:r>
            <w:r w:rsidR="00EB569C" w:rsidRPr="00D42E24">
              <w:rPr>
                <w:rFonts w:cstheme="minorHAnsi"/>
                <w:color w:val="auto"/>
                <w:sz w:val="18"/>
                <w:szCs w:val="18"/>
              </w:rPr>
              <w:t>p</w:t>
            </w:r>
            <w:r w:rsidRPr="00D42E24">
              <w:rPr>
                <w:rFonts w:asciiTheme="minorHAnsi" w:hAnsiTheme="minorHAnsi" w:cstheme="minorHAnsi"/>
                <w:color w:val="auto"/>
                <w:sz w:val="18"/>
                <w:szCs w:val="18"/>
              </w:rPr>
              <w:t xml:space="preserve">etroleum </w:t>
            </w:r>
            <w:r w:rsidR="00EB569C" w:rsidRPr="00D42E24">
              <w:rPr>
                <w:rFonts w:cstheme="minorHAnsi"/>
                <w:color w:val="auto"/>
                <w:sz w:val="18"/>
                <w:szCs w:val="18"/>
              </w:rPr>
              <w:t>l</w:t>
            </w:r>
            <w:r w:rsidRPr="00D42E24">
              <w:rPr>
                <w:rFonts w:asciiTheme="minorHAnsi" w:hAnsiTheme="minorHAnsi" w:cstheme="minorHAnsi"/>
                <w:color w:val="auto"/>
                <w:sz w:val="18"/>
                <w:szCs w:val="18"/>
              </w:rPr>
              <w:t xml:space="preserve">egislation </w:t>
            </w:r>
            <w:r w:rsidR="00EB569C" w:rsidRPr="00D42E24">
              <w:rPr>
                <w:rFonts w:cstheme="minorHAnsi"/>
                <w:color w:val="auto"/>
                <w:sz w:val="18"/>
                <w:szCs w:val="18"/>
              </w:rPr>
              <w:t>b</w:t>
            </w:r>
            <w:r w:rsidRPr="00D42E24">
              <w:rPr>
                <w:rFonts w:asciiTheme="minorHAnsi" w:hAnsiTheme="minorHAnsi" w:cstheme="minorHAnsi"/>
                <w:color w:val="auto"/>
                <w:sz w:val="18"/>
                <w:szCs w:val="18"/>
              </w:rPr>
              <w:t xml:space="preserve">ased on the </w:t>
            </w:r>
            <w:r w:rsidR="001D79AD" w:rsidRPr="00D42E24">
              <w:rPr>
                <w:rFonts w:cstheme="minorHAnsi"/>
                <w:color w:val="auto"/>
                <w:sz w:val="18"/>
                <w:szCs w:val="18"/>
              </w:rPr>
              <w:t>p</w:t>
            </w:r>
            <w:r w:rsidRPr="00D42E24">
              <w:rPr>
                <w:rFonts w:cstheme="minorHAnsi"/>
                <w:color w:val="auto"/>
                <w:sz w:val="18"/>
                <w:szCs w:val="18"/>
              </w:rPr>
              <w:t xml:space="preserve">olicy </w:t>
            </w:r>
            <w:r w:rsidR="001D79AD" w:rsidRPr="00D42E24">
              <w:rPr>
                <w:rFonts w:cstheme="minorHAnsi"/>
                <w:color w:val="auto"/>
                <w:sz w:val="18"/>
                <w:szCs w:val="18"/>
              </w:rPr>
              <w:t>f</w:t>
            </w:r>
            <w:r w:rsidRPr="00D42E24">
              <w:rPr>
                <w:rFonts w:asciiTheme="minorHAnsi" w:hAnsiTheme="minorHAnsi" w:cstheme="minorHAnsi"/>
                <w:color w:val="auto"/>
                <w:sz w:val="18"/>
                <w:szCs w:val="18"/>
              </w:rPr>
              <w:t xml:space="preserve">ramework for </w:t>
            </w:r>
            <w:r w:rsidR="001D79AD" w:rsidRPr="00D42E24">
              <w:rPr>
                <w:rFonts w:cstheme="minorHAnsi"/>
                <w:color w:val="auto"/>
                <w:sz w:val="18"/>
                <w:szCs w:val="18"/>
              </w:rPr>
              <w:t>i</w:t>
            </w:r>
            <w:r w:rsidRPr="00D42E24">
              <w:rPr>
                <w:rFonts w:asciiTheme="minorHAnsi" w:hAnsiTheme="minorHAnsi" w:cstheme="minorHAnsi"/>
                <w:color w:val="auto"/>
                <w:sz w:val="18"/>
                <w:szCs w:val="18"/>
              </w:rPr>
              <w:t xml:space="preserve">nvestment and OECD </w:t>
            </w:r>
            <w:r w:rsidRPr="00D42E24">
              <w:rPr>
                <w:rFonts w:cstheme="minorHAnsi"/>
                <w:color w:val="auto"/>
                <w:sz w:val="18"/>
                <w:szCs w:val="18"/>
              </w:rPr>
              <w:t>i</w:t>
            </w:r>
            <w:r w:rsidRPr="00D42E24">
              <w:rPr>
                <w:rFonts w:asciiTheme="minorHAnsi" w:hAnsiTheme="minorHAnsi" w:cstheme="minorHAnsi"/>
                <w:color w:val="auto"/>
                <w:sz w:val="18"/>
                <w:szCs w:val="18"/>
              </w:rPr>
              <w:t xml:space="preserve">nstruments on </w:t>
            </w:r>
            <w:r w:rsidRPr="00D42E24">
              <w:rPr>
                <w:rFonts w:cstheme="minorHAnsi"/>
                <w:color w:val="auto"/>
                <w:sz w:val="18"/>
                <w:szCs w:val="18"/>
              </w:rPr>
              <w:t>r</w:t>
            </w:r>
            <w:r w:rsidRPr="00D42E24">
              <w:rPr>
                <w:rFonts w:asciiTheme="minorHAnsi" w:hAnsiTheme="minorHAnsi" w:cstheme="minorHAnsi"/>
                <w:color w:val="auto"/>
                <w:sz w:val="18"/>
                <w:szCs w:val="18"/>
              </w:rPr>
              <w:t xml:space="preserve">esponsible </w:t>
            </w:r>
            <w:r w:rsidRPr="00D42E24">
              <w:rPr>
                <w:rFonts w:cstheme="minorHAnsi"/>
                <w:color w:val="auto"/>
                <w:sz w:val="18"/>
                <w:szCs w:val="18"/>
              </w:rPr>
              <w:t>b</w:t>
            </w:r>
            <w:r w:rsidRPr="00D42E24">
              <w:rPr>
                <w:rFonts w:asciiTheme="minorHAnsi" w:hAnsiTheme="minorHAnsi" w:cstheme="minorHAnsi"/>
                <w:color w:val="auto"/>
                <w:sz w:val="18"/>
                <w:szCs w:val="18"/>
              </w:rPr>
              <w:t xml:space="preserve">usiness </w:t>
            </w:r>
            <w:r w:rsidRPr="00D42E24">
              <w:rPr>
                <w:rFonts w:cstheme="minorHAnsi"/>
                <w:color w:val="auto"/>
                <w:sz w:val="18"/>
                <w:szCs w:val="18"/>
              </w:rPr>
              <w:t>conduct, i</w:t>
            </w:r>
            <w:r w:rsidRPr="00D42E24">
              <w:rPr>
                <w:rFonts w:asciiTheme="minorHAnsi" w:hAnsiTheme="minorHAnsi" w:cstheme="minorHAnsi"/>
                <w:color w:val="auto"/>
                <w:sz w:val="18"/>
                <w:szCs w:val="18"/>
              </w:rPr>
              <w:t xml:space="preserve">ncluding the </w:t>
            </w:r>
            <w:r w:rsidR="00EB569C" w:rsidRPr="00D42E24">
              <w:rPr>
                <w:rStyle w:val="Emphasis"/>
                <w:rFonts w:asciiTheme="minorHAnsi" w:hAnsiTheme="minorHAnsi" w:cstheme="minorHAnsi"/>
                <w:b w:val="0"/>
                <w:bCs w:val="0"/>
                <w:color w:val="auto"/>
                <w:sz w:val="18"/>
                <w:szCs w:val="18"/>
              </w:rPr>
              <w:t xml:space="preserve">OECD </w:t>
            </w:r>
            <w:r w:rsidR="00EB569C" w:rsidRPr="00D42E24">
              <w:rPr>
                <w:rStyle w:val="Emphasis"/>
                <w:rFonts w:cstheme="minorHAnsi"/>
                <w:b w:val="0"/>
                <w:bCs w:val="0"/>
                <w:color w:val="auto"/>
                <w:sz w:val="18"/>
                <w:szCs w:val="18"/>
              </w:rPr>
              <w:t>d</w:t>
            </w:r>
            <w:r w:rsidR="00EB569C" w:rsidRPr="00D42E24">
              <w:rPr>
                <w:rStyle w:val="Emphasis"/>
                <w:rFonts w:asciiTheme="minorHAnsi" w:hAnsiTheme="minorHAnsi" w:cstheme="minorHAnsi"/>
                <w:b w:val="0"/>
                <w:bCs w:val="0"/>
                <w:color w:val="auto"/>
                <w:sz w:val="18"/>
                <w:szCs w:val="18"/>
              </w:rPr>
              <w:t xml:space="preserve">ue </w:t>
            </w:r>
            <w:r w:rsidR="00EB569C" w:rsidRPr="00D42E24">
              <w:rPr>
                <w:rStyle w:val="Emphasis"/>
                <w:rFonts w:cstheme="minorHAnsi"/>
                <w:b w:val="0"/>
                <w:bCs w:val="0"/>
                <w:color w:val="auto"/>
                <w:sz w:val="18"/>
                <w:szCs w:val="18"/>
              </w:rPr>
              <w:t>d</w:t>
            </w:r>
            <w:r w:rsidR="00EB569C" w:rsidRPr="00D42E24">
              <w:rPr>
                <w:rStyle w:val="Emphasis"/>
                <w:rFonts w:asciiTheme="minorHAnsi" w:hAnsiTheme="minorHAnsi" w:cstheme="minorHAnsi"/>
                <w:b w:val="0"/>
                <w:bCs w:val="0"/>
                <w:color w:val="auto"/>
                <w:sz w:val="18"/>
                <w:szCs w:val="18"/>
              </w:rPr>
              <w:t xml:space="preserve">iligence </w:t>
            </w:r>
            <w:r w:rsidR="00EB569C" w:rsidRPr="00D42E24">
              <w:rPr>
                <w:rStyle w:val="Emphasis"/>
                <w:rFonts w:cstheme="minorHAnsi"/>
                <w:b w:val="0"/>
                <w:bCs w:val="0"/>
                <w:color w:val="auto"/>
                <w:sz w:val="18"/>
                <w:szCs w:val="18"/>
              </w:rPr>
              <w:t>g</w:t>
            </w:r>
            <w:r w:rsidR="00EB569C" w:rsidRPr="00D42E24">
              <w:rPr>
                <w:rStyle w:val="Emphasis"/>
                <w:rFonts w:asciiTheme="minorHAnsi" w:hAnsiTheme="minorHAnsi" w:cstheme="minorHAnsi"/>
                <w:b w:val="0"/>
                <w:bCs w:val="0"/>
                <w:color w:val="auto"/>
                <w:sz w:val="18"/>
                <w:szCs w:val="18"/>
              </w:rPr>
              <w:t xml:space="preserve">uidance for </w:t>
            </w:r>
            <w:r w:rsidR="00EB569C" w:rsidRPr="00D42E24">
              <w:rPr>
                <w:rStyle w:val="Emphasis"/>
                <w:rFonts w:cstheme="minorHAnsi"/>
                <w:b w:val="0"/>
                <w:bCs w:val="0"/>
                <w:color w:val="auto"/>
                <w:sz w:val="18"/>
                <w:szCs w:val="18"/>
              </w:rPr>
              <w:t>r</w:t>
            </w:r>
            <w:r w:rsidR="00EB569C" w:rsidRPr="00D42E24">
              <w:rPr>
                <w:rStyle w:val="Emphasis"/>
                <w:rFonts w:asciiTheme="minorHAnsi" w:hAnsiTheme="minorHAnsi" w:cstheme="minorHAnsi"/>
                <w:b w:val="0"/>
                <w:bCs w:val="0"/>
                <w:color w:val="auto"/>
                <w:sz w:val="18"/>
                <w:szCs w:val="18"/>
              </w:rPr>
              <w:t xml:space="preserve">esponsible </w:t>
            </w:r>
            <w:r w:rsidR="00EB569C" w:rsidRPr="00D42E24">
              <w:rPr>
                <w:rStyle w:val="Emphasis"/>
                <w:rFonts w:cstheme="minorHAnsi"/>
                <w:b w:val="0"/>
                <w:bCs w:val="0"/>
                <w:color w:val="auto"/>
                <w:sz w:val="18"/>
                <w:szCs w:val="18"/>
              </w:rPr>
              <w:t>s</w:t>
            </w:r>
            <w:r w:rsidR="00EB569C" w:rsidRPr="00D42E24">
              <w:rPr>
                <w:rStyle w:val="Emphasis"/>
                <w:rFonts w:asciiTheme="minorHAnsi" w:hAnsiTheme="minorHAnsi" w:cstheme="minorHAnsi"/>
                <w:b w:val="0"/>
                <w:bCs w:val="0"/>
                <w:color w:val="auto"/>
                <w:sz w:val="18"/>
                <w:szCs w:val="18"/>
              </w:rPr>
              <w:t xml:space="preserve">upply </w:t>
            </w:r>
            <w:r w:rsidR="00EB569C" w:rsidRPr="00D42E24">
              <w:rPr>
                <w:rStyle w:val="Emphasis"/>
                <w:rFonts w:cstheme="minorHAnsi"/>
                <w:b w:val="0"/>
                <w:bCs w:val="0"/>
                <w:color w:val="auto"/>
                <w:sz w:val="18"/>
                <w:szCs w:val="18"/>
              </w:rPr>
              <w:t>c</w:t>
            </w:r>
            <w:r w:rsidR="00EB569C" w:rsidRPr="00D42E24">
              <w:rPr>
                <w:rStyle w:val="Emphasis"/>
                <w:rFonts w:asciiTheme="minorHAnsi" w:hAnsiTheme="minorHAnsi" w:cstheme="minorHAnsi"/>
                <w:b w:val="0"/>
                <w:bCs w:val="0"/>
                <w:color w:val="auto"/>
                <w:sz w:val="18"/>
                <w:szCs w:val="18"/>
              </w:rPr>
              <w:t xml:space="preserve">hains of </w:t>
            </w:r>
            <w:r w:rsidR="00EB569C" w:rsidRPr="00D42E24">
              <w:rPr>
                <w:rStyle w:val="Emphasis"/>
                <w:rFonts w:cstheme="minorHAnsi"/>
                <w:b w:val="0"/>
                <w:bCs w:val="0"/>
                <w:color w:val="auto"/>
                <w:sz w:val="18"/>
                <w:szCs w:val="18"/>
              </w:rPr>
              <w:t>m</w:t>
            </w:r>
            <w:r w:rsidR="00EB569C" w:rsidRPr="00D42E24">
              <w:rPr>
                <w:rStyle w:val="Emphasis"/>
                <w:rFonts w:asciiTheme="minorHAnsi" w:hAnsiTheme="minorHAnsi" w:cstheme="minorHAnsi"/>
                <w:b w:val="0"/>
                <w:bCs w:val="0"/>
                <w:color w:val="auto"/>
                <w:sz w:val="18"/>
                <w:szCs w:val="18"/>
              </w:rPr>
              <w:t xml:space="preserve">inerals from </w:t>
            </w:r>
            <w:r w:rsidR="00EB569C" w:rsidRPr="00D42E24">
              <w:rPr>
                <w:rStyle w:val="Emphasis"/>
                <w:rFonts w:cstheme="minorHAnsi"/>
                <w:b w:val="0"/>
                <w:bCs w:val="0"/>
                <w:color w:val="auto"/>
                <w:sz w:val="18"/>
                <w:szCs w:val="18"/>
              </w:rPr>
              <w:t>c</w:t>
            </w:r>
            <w:r w:rsidR="00EB569C" w:rsidRPr="00D42E24">
              <w:rPr>
                <w:rStyle w:val="Emphasis"/>
                <w:rFonts w:asciiTheme="minorHAnsi" w:hAnsiTheme="minorHAnsi" w:cstheme="minorHAnsi"/>
                <w:b w:val="0"/>
                <w:bCs w:val="0"/>
                <w:color w:val="auto"/>
                <w:sz w:val="18"/>
                <w:szCs w:val="18"/>
              </w:rPr>
              <w:t>onflict-</w:t>
            </w:r>
            <w:r w:rsidR="00EB569C" w:rsidRPr="00D42E24">
              <w:rPr>
                <w:rStyle w:val="Emphasis"/>
                <w:rFonts w:cstheme="minorHAnsi"/>
                <w:b w:val="0"/>
                <w:bCs w:val="0"/>
                <w:color w:val="auto"/>
                <w:sz w:val="18"/>
                <w:szCs w:val="18"/>
              </w:rPr>
              <w:t>a</w:t>
            </w:r>
            <w:r w:rsidR="00EB569C" w:rsidRPr="00D42E24">
              <w:rPr>
                <w:rStyle w:val="Emphasis"/>
                <w:rFonts w:asciiTheme="minorHAnsi" w:hAnsiTheme="minorHAnsi" w:cstheme="minorHAnsi"/>
                <w:b w:val="0"/>
                <w:bCs w:val="0"/>
                <w:color w:val="auto"/>
                <w:sz w:val="18"/>
                <w:szCs w:val="18"/>
              </w:rPr>
              <w:t>ffected and</w:t>
            </w:r>
            <w:r w:rsidR="00EB569C" w:rsidRPr="00D42E24">
              <w:rPr>
                <w:rStyle w:val="st1"/>
                <w:rFonts w:asciiTheme="minorHAnsi" w:hAnsiTheme="minorHAnsi" w:cstheme="minorHAnsi"/>
                <w:color w:val="auto"/>
                <w:sz w:val="18"/>
                <w:szCs w:val="18"/>
              </w:rPr>
              <w:t xml:space="preserve"> </w:t>
            </w:r>
            <w:r w:rsidR="00EB569C" w:rsidRPr="00D42E24">
              <w:rPr>
                <w:rStyle w:val="st1"/>
                <w:rFonts w:cstheme="minorHAnsi"/>
                <w:color w:val="auto"/>
                <w:sz w:val="18"/>
                <w:szCs w:val="18"/>
              </w:rPr>
              <w:t>h</w:t>
            </w:r>
            <w:r w:rsidR="00EB569C" w:rsidRPr="00D42E24">
              <w:rPr>
                <w:rStyle w:val="st1"/>
                <w:rFonts w:asciiTheme="minorHAnsi" w:hAnsiTheme="minorHAnsi" w:cstheme="minorHAnsi"/>
                <w:color w:val="auto"/>
                <w:sz w:val="18"/>
                <w:szCs w:val="18"/>
              </w:rPr>
              <w:t>igh-</w:t>
            </w:r>
            <w:r w:rsidR="00EB569C" w:rsidRPr="00D42E24">
              <w:rPr>
                <w:rStyle w:val="st1"/>
                <w:rFonts w:cstheme="minorHAnsi"/>
                <w:color w:val="auto"/>
                <w:sz w:val="18"/>
                <w:szCs w:val="18"/>
              </w:rPr>
              <w:t>r</w:t>
            </w:r>
            <w:r w:rsidR="00EB569C" w:rsidRPr="00D42E24">
              <w:rPr>
                <w:rStyle w:val="st1"/>
                <w:rFonts w:asciiTheme="minorHAnsi" w:hAnsiTheme="minorHAnsi" w:cstheme="minorHAnsi"/>
                <w:color w:val="auto"/>
                <w:sz w:val="18"/>
                <w:szCs w:val="18"/>
              </w:rPr>
              <w:t xml:space="preserve">isk </w:t>
            </w:r>
            <w:r w:rsidR="00EB569C" w:rsidRPr="00D42E24">
              <w:rPr>
                <w:rStyle w:val="st1"/>
                <w:rFonts w:cstheme="minorHAnsi"/>
                <w:color w:val="auto"/>
                <w:sz w:val="18"/>
                <w:szCs w:val="18"/>
              </w:rPr>
              <w:t>a</w:t>
            </w:r>
            <w:r w:rsidR="00EB569C" w:rsidRPr="00D42E24">
              <w:rPr>
                <w:rStyle w:val="st1"/>
                <w:rFonts w:asciiTheme="minorHAnsi" w:hAnsiTheme="minorHAnsi" w:cstheme="minorHAnsi"/>
                <w:color w:val="auto"/>
                <w:sz w:val="18"/>
                <w:szCs w:val="18"/>
              </w:rPr>
              <w:t>reas.</w:t>
            </w:r>
          </w:p>
          <w:p w14:paraId="698A94EC" w14:textId="77777777" w:rsidR="003E36C7" w:rsidRPr="00D42E24" w:rsidRDefault="003E36C7" w:rsidP="003E36C7">
            <w:pP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sz w:val="18"/>
                <w:szCs w:val="18"/>
              </w:rPr>
            </w:pPr>
            <w:r w:rsidRPr="00D42E24">
              <w:rPr>
                <w:rFonts w:eastAsiaTheme="minorEastAsia" w:cstheme="majorHAnsi"/>
                <w:b/>
                <w:color w:val="auto"/>
                <w:sz w:val="18"/>
                <w:szCs w:val="18"/>
                <w:u w:val="thick"/>
              </w:rPr>
              <w:t xml:space="preserve">EU </w:t>
            </w:r>
            <w:r w:rsidRPr="00D42E24">
              <w:rPr>
                <w:rFonts w:eastAsiaTheme="minorEastAsia" w:cstheme="majorHAnsi"/>
                <w:b/>
                <w:color w:val="auto"/>
                <w:sz w:val="18"/>
                <w:szCs w:val="18"/>
              </w:rPr>
              <w:t xml:space="preserve">: </w:t>
            </w:r>
            <w:r w:rsidRPr="00D42E24">
              <w:rPr>
                <w:rFonts w:eastAsiaTheme="minorEastAsia" w:cstheme="majorHAnsi"/>
                <w:color w:val="auto"/>
                <w:sz w:val="18"/>
                <w:szCs w:val="18"/>
              </w:rPr>
              <w:t>External investment Plan : technical assistance and structured dialogue to enhance investment climate</w:t>
            </w:r>
            <w:r w:rsidRPr="00D42E24">
              <w:rPr>
                <w:rFonts w:eastAsiaTheme="minorEastAsia" w:cstheme="majorHAnsi"/>
                <w:b/>
                <w:color w:val="auto"/>
                <w:sz w:val="18"/>
                <w:szCs w:val="18"/>
              </w:rPr>
              <w:t xml:space="preserve"> </w:t>
            </w:r>
          </w:p>
          <w:p w14:paraId="048016ED" w14:textId="77777777" w:rsidR="00286BAB" w:rsidRDefault="00177901" w:rsidP="00E62A0A">
            <w:pP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sz w:val="18"/>
                <w:szCs w:val="18"/>
              </w:rPr>
            </w:pPr>
            <w:r w:rsidRPr="00055D97">
              <w:rPr>
                <w:rFonts w:eastAsiaTheme="minorEastAsia" w:cstheme="majorHAnsi"/>
                <w:b/>
                <w:color w:val="auto"/>
                <w:sz w:val="18"/>
                <w:szCs w:val="18"/>
                <w:u w:val="single"/>
              </w:rPr>
              <w:t>WBG</w:t>
            </w:r>
            <w:r w:rsidR="00286BAB" w:rsidRPr="00286BAB">
              <w:rPr>
                <w:rFonts w:eastAsiaTheme="minorEastAsia" w:cstheme="majorHAnsi"/>
                <w:b/>
                <w:color w:val="auto"/>
                <w:sz w:val="18"/>
                <w:szCs w:val="18"/>
              </w:rPr>
              <w:t xml:space="preserve">: </w:t>
            </w:r>
            <w:r w:rsidR="00286BAB" w:rsidRPr="00286BAB">
              <w:rPr>
                <w:rFonts w:eastAsiaTheme="minorEastAsia" w:cstheme="majorHAnsi"/>
                <w:color w:val="auto"/>
                <w:sz w:val="18"/>
                <w:szCs w:val="18"/>
              </w:rPr>
              <w:t>technical assistance on investment climate and investment lending through Tourism &amp; Enterprise Development Project.</w:t>
            </w:r>
            <w:r w:rsidR="00286BAB" w:rsidRPr="00286BAB">
              <w:rPr>
                <w:rFonts w:eastAsiaTheme="minorEastAsia" w:cstheme="majorHAnsi"/>
                <w:b/>
                <w:color w:val="auto"/>
                <w:sz w:val="18"/>
                <w:szCs w:val="18"/>
              </w:rPr>
              <w:t xml:space="preserve"> </w:t>
            </w:r>
          </w:p>
          <w:p w14:paraId="40FC4456" w14:textId="77777777" w:rsidR="00E62A0A" w:rsidRPr="004452CC" w:rsidRDefault="00177901" w:rsidP="00E62A0A">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055D97">
              <w:rPr>
                <w:rFonts w:eastAsiaTheme="minorEastAsia" w:cstheme="majorHAnsi"/>
                <w:b/>
                <w:color w:val="auto"/>
                <w:sz w:val="18"/>
                <w:szCs w:val="18"/>
                <w:u w:val="single"/>
              </w:rPr>
              <w:t>WBG</w:t>
            </w:r>
            <w:r w:rsidR="00E62A0A">
              <w:rPr>
                <w:rFonts w:eastAsiaTheme="minorEastAsia" w:cstheme="majorHAnsi"/>
                <w:b/>
                <w:color w:val="auto"/>
                <w:sz w:val="18"/>
                <w:szCs w:val="18"/>
              </w:rPr>
              <w:t xml:space="preserve">: </w:t>
            </w:r>
            <w:r w:rsidR="00E62A0A">
              <w:rPr>
                <w:rFonts w:eastAsiaTheme="minorEastAsia" w:cstheme="majorHAnsi"/>
                <w:color w:val="auto"/>
                <w:sz w:val="18"/>
                <w:szCs w:val="18"/>
              </w:rPr>
              <w:t xml:space="preserve">technical assistance to reinforce and improve existing retail financial consumer protection framework and dispute resolution mechanisms (assistance to the BCEAO to improve and review the regional </w:t>
            </w:r>
            <w:r w:rsidR="00E62A0A">
              <w:rPr>
                <w:rFonts w:eastAsiaTheme="minorEastAsia" w:cstheme="majorHAnsi"/>
                <w:color w:val="auto"/>
                <w:sz w:val="18"/>
                <w:szCs w:val="18"/>
              </w:rPr>
              <w:lastRenderedPageBreak/>
              <w:t>financial consumer protection framework)</w:t>
            </w:r>
          </w:p>
          <w:p w14:paraId="28D66099" w14:textId="77777777" w:rsidR="00446E3E" w:rsidRPr="00D42E24" w:rsidRDefault="00446E3E" w:rsidP="00446E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p>
        </w:tc>
      </w:tr>
      <w:tr w:rsidR="00D42E24" w:rsidRPr="00D42E24" w14:paraId="21461E40" w14:textId="77777777" w:rsidTr="0036060C">
        <w:trPr>
          <w:trHeight w:val="701"/>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AD7D76B" w14:textId="77777777" w:rsidR="00B74114" w:rsidRPr="00D42E24" w:rsidRDefault="00B74114" w:rsidP="00B74114">
            <w:pPr>
              <w:rPr>
                <w:rFonts w:eastAsiaTheme="minorEastAsia" w:cstheme="majorHAnsi"/>
                <w:color w:val="auto"/>
                <w:sz w:val="18"/>
                <w:szCs w:val="18"/>
              </w:rPr>
            </w:pPr>
            <w:r w:rsidRPr="00D42E24">
              <w:rPr>
                <w:rFonts w:eastAsiaTheme="minorEastAsia" w:cstheme="majorHAnsi"/>
                <w:bCs/>
                <w:color w:val="auto"/>
                <w:sz w:val="18"/>
                <w:szCs w:val="18"/>
              </w:rPr>
              <w:lastRenderedPageBreak/>
              <w:t>Facilities for project preparation and use of standard clauses in PPP</w:t>
            </w:r>
          </w:p>
          <w:p w14:paraId="056FEC68" w14:textId="77777777" w:rsidR="00813139" w:rsidRPr="00D42E24" w:rsidRDefault="00813139" w:rsidP="006C4FE4">
            <w:pPr>
              <w:rPr>
                <w:rFonts w:asciiTheme="minorHAnsi" w:eastAsiaTheme="minorEastAsia" w:hAnsiTheme="minorHAnsi" w:cstheme="majorHAnsi"/>
                <w:color w:val="auto"/>
                <w:sz w:val="18"/>
                <w:szCs w:val="18"/>
              </w:rPr>
            </w:pPr>
          </w:p>
        </w:tc>
        <w:tc>
          <w:tcPr>
            <w:tcW w:w="0" w:type="dxa"/>
            <w:gridSpan w:val="2"/>
            <w:tcBorders>
              <w:top w:val="single" w:sz="4" w:space="0" w:color="auto"/>
              <w:left w:val="single" w:sz="4" w:space="0" w:color="auto"/>
              <w:bottom w:val="single" w:sz="4" w:space="0" w:color="auto"/>
              <w:right w:val="single" w:sz="4" w:space="0" w:color="auto"/>
            </w:tcBorders>
          </w:tcPr>
          <w:p w14:paraId="31CCFEAA" w14:textId="77777777" w:rsidR="003D4312" w:rsidRPr="00D42E24" w:rsidRDefault="008910DF" w:rsidP="00B74114">
            <w:pPr>
              <w:numPr>
                <w:ilvl w:val="0"/>
                <w:numId w:val="5"/>
              </w:numPr>
              <w:tabs>
                <w:tab w:val="clear" w:pos="720"/>
                <w:tab w:val="num" w:pos="156"/>
              </w:tabs>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Accompany pilot countries in PPPs: financing preparatory studies required for technical structuring, financial and legal set-up, etc.</w:t>
            </w:r>
          </w:p>
          <w:p w14:paraId="20529208" w14:textId="5E8D361D" w:rsidR="00813139" w:rsidRPr="00D42E24" w:rsidRDefault="008910DF" w:rsidP="00055D97">
            <w:pPr>
              <w:numPr>
                <w:ilvl w:val="0"/>
                <w:numId w:val="5"/>
              </w:numPr>
              <w:tabs>
                <w:tab w:val="clear" w:pos="720"/>
                <w:tab w:val="num" w:pos="156"/>
              </w:tabs>
              <w:spacing w:after="120"/>
              <w:ind w:left="0" w:firstLine="0"/>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D42E24">
              <w:rPr>
                <w:rFonts w:asciiTheme="minorHAnsi" w:eastAsiaTheme="minorEastAsia" w:hAnsiTheme="minorHAnsi" w:cstheme="majorHAnsi"/>
                <w:color w:val="auto"/>
                <w:sz w:val="18"/>
                <w:szCs w:val="18"/>
              </w:rPr>
              <w:t> </w:t>
            </w:r>
            <w:r w:rsidR="00B74114" w:rsidRPr="00D42E24">
              <w:rPr>
                <w:rFonts w:asciiTheme="minorHAnsi" w:eastAsiaTheme="minorEastAsia" w:hAnsiTheme="minorHAnsi" w:cstheme="majorHAnsi"/>
                <w:color w:val="auto"/>
                <w:sz w:val="18"/>
                <w:szCs w:val="18"/>
              </w:rPr>
              <w:t>  Finalization and harmonization of the institutional and legal framework on PPPs</w:t>
            </w:r>
          </w:p>
        </w:tc>
        <w:tc>
          <w:tcPr>
            <w:tcW w:w="3231" w:type="dxa"/>
            <w:tcBorders>
              <w:top w:val="single" w:sz="4" w:space="0" w:color="auto"/>
              <w:left w:val="single" w:sz="4" w:space="0" w:color="auto"/>
              <w:bottom w:val="single" w:sz="4" w:space="0" w:color="auto"/>
              <w:right w:val="single" w:sz="4" w:space="0" w:color="auto"/>
            </w:tcBorders>
          </w:tcPr>
          <w:p w14:paraId="1AB90152" w14:textId="77777777" w:rsidR="00813139" w:rsidRPr="00D42E24" w:rsidRDefault="00275620" w:rsidP="00275620">
            <w:pPr>
              <w:pStyle w:val="ListParagraph"/>
              <w:numPr>
                <w:ilvl w:val="0"/>
                <w:numId w:val="11"/>
              </w:numPr>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color w:val="auto"/>
                <w:sz w:val="18"/>
                <w:szCs w:val="18"/>
              </w:rPr>
              <w:t>Double the share of FDI</w:t>
            </w:r>
            <w:r w:rsidR="00A53FFF" w:rsidRPr="00D42E24">
              <w:rPr>
                <w:rFonts w:ascii="Calibri" w:eastAsiaTheme="minorEastAsia" w:hAnsi="Calibri" w:cs="Calibri"/>
                <w:color w:val="auto"/>
                <w:sz w:val="18"/>
                <w:szCs w:val="18"/>
              </w:rPr>
              <w:t>: from</w:t>
            </w:r>
            <w:r w:rsidRPr="00D42E24">
              <w:rPr>
                <w:rFonts w:ascii="Calibri" w:eastAsiaTheme="minorEastAsia" w:hAnsi="Calibri" w:cs="Calibri"/>
                <w:color w:val="auto"/>
                <w:sz w:val="18"/>
                <w:szCs w:val="18"/>
              </w:rPr>
              <w:t xml:space="preserve"> 3% of GDP in 2015 to 6% in 2020</w:t>
            </w:r>
          </w:p>
        </w:tc>
        <w:tc>
          <w:tcPr>
            <w:tcW w:w="2659" w:type="dxa"/>
            <w:gridSpan w:val="2"/>
            <w:tcBorders>
              <w:top w:val="single" w:sz="4" w:space="0" w:color="auto"/>
              <w:left w:val="single" w:sz="4" w:space="0" w:color="auto"/>
              <w:bottom w:val="single" w:sz="4" w:space="0" w:color="auto"/>
              <w:right w:val="single" w:sz="4" w:space="0" w:color="auto"/>
            </w:tcBorders>
          </w:tcPr>
          <w:p w14:paraId="4674540C" w14:textId="77777777" w:rsidR="002D5097" w:rsidRPr="00D42E24" w:rsidRDefault="002D5097" w:rsidP="00821491">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36060C">
              <w:rPr>
                <w:rFonts w:cstheme="minorHAnsi"/>
                <w:b/>
                <w:sz w:val="18"/>
                <w:szCs w:val="18"/>
                <w:u w:val="single"/>
              </w:rPr>
              <w:t>OECD</w:t>
            </w:r>
            <w:r w:rsidRPr="00D42E24">
              <w:rPr>
                <w:rFonts w:asciiTheme="minorHAnsi" w:hAnsiTheme="minorHAnsi" w:cstheme="minorHAnsi"/>
                <w:color w:val="auto"/>
                <w:sz w:val="18"/>
                <w:szCs w:val="18"/>
              </w:rPr>
              <w:t xml:space="preserve">: Policy </w:t>
            </w:r>
            <w:r w:rsidRPr="00D42E24">
              <w:rPr>
                <w:rFonts w:cstheme="minorHAnsi"/>
                <w:color w:val="auto"/>
                <w:sz w:val="18"/>
                <w:szCs w:val="18"/>
              </w:rPr>
              <w:t>f</w:t>
            </w:r>
            <w:r w:rsidRPr="00D42E24">
              <w:rPr>
                <w:rFonts w:asciiTheme="minorHAnsi" w:hAnsiTheme="minorHAnsi" w:cstheme="minorHAnsi"/>
                <w:color w:val="auto"/>
                <w:sz w:val="18"/>
                <w:szCs w:val="18"/>
              </w:rPr>
              <w:t xml:space="preserve">ramework for </w:t>
            </w:r>
            <w:r w:rsidRPr="00D42E24">
              <w:rPr>
                <w:rFonts w:cstheme="minorHAnsi"/>
                <w:color w:val="auto"/>
                <w:sz w:val="18"/>
                <w:szCs w:val="18"/>
              </w:rPr>
              <w:t>i</w:t>
            </w:r>
            <w:r w:rsidRPr="00D42E24">
              <w:rPr>
                <w:rFonts w:asciiTheme="minorHAnsi" w:hAnsiTheme="minorHAnsi" w:cstheme="minorHAnsi"/>
                <w:color w:val="auto"/>
                <w:sz w:val="18"/>
                <w:szCs w:val="18"/>
              </w:rPr>
              <w:t xml:space="preserve">nvestment and </w:t>
            </w:r>
            <w:r w:rsidRPr="00D42E24">
              <w:rPr>
                <w:rFonts w:cstheme="minorHAnsi"/>
                <w:color w:val="auto"/>
                <w:sz w:val="18"/>
                <w:szCs w:val="18"/>
              </w:rPr>
              <w:t>a</w:t>
            </w:r>
            <w:r w:rsidRPr="00D42E24">
              <w:rPr>
                <w:rFonts w:asciiTheme="minorHAnsi" w:hAnsiTheme="minorHAnsi" w:cstheme="minorHAnsi"/>
                <w:color w:val="auto"/>
                <w:sz w:val="18"/>
                <w:szCs w:val="18"/>
              </w:rPr>
              <w:t xml:space="preserve">nalysis of the </w:t>
            </w:r>
            <w:r w:rsidRPr="00D42E24">
              <w:rPr>
                <w:rFonts w:cstheme="minorHAnsi"/>
                <w:color w:val="auto"/>
                <w:sz w:val="18"/>
                <w:szCs w:val="18"/>
              </w:rPr>
              <w:t>i</w:t>
            </w:r>
            <w:r w:rsidRPr="00D42E24">
              <w:rPr>
                <w:rFonts w:asciiTheme="minorHAnsi" w:hAnsiTheme="minorHAnsi" w:cstheme="minorHAnsi"/>
                <w:color w:val="auto"/>
                <w:sz w:val="18"/>
                <w:szCs w:val="18"/>
              </w:rPr>
              <w:t>nstitutional an</w:t>
            </w:r>
            <w:r w:rsidRPr="00D42E24">
              <w:rPr>
                <w:rFonts w:cstheme="minorHAnsi"/>
                <w:color w:val="auto"/>
                <w:sz w:val="18"/>
                <w:szCs w:val="18"/>
              </w:rPr>
              <w:t>d legal framework for public-p</w:t>
            </w:r>
            <w:r w:rsidRPr="00D42E24">
              <w:rPr>
                <w:rFonts w:asciiTheme="minorHAnsi" w:hAnsiTheme="minorHAnsi" w:cstheme="minorHAnsi"/>
                <w:color w:val="auto"/>
                <w:sz w:val="18"/>
                <w:szCs w:val="18"/>
              </w:rPr>
              <w:t xml:space="preserve">rivate </w:t>
            </w:r>
            <w:r w:rsidRPr="00D42E24">
              <w:rPr>
                <w:rFonts w:cstheme="minorHAnsi"/>
                <w:color w:val="auto"/>
                <w:sz w:val="18"/>
                <w:szCs w:val="18"/>
              </w:rPr>
              <w:t>p</w:t>
            </w:r>
            <w:r w:rsidRPr="00D42E24">
              <w:rPr>
                <w:rFonts w:asciiTheme="minorHAnsi" w:hAnsiTheme="minorHAnsi" w:cstheme="minorHAnsi"/>
                <w:color w:val="auto"/>
                <w:sz w:val="18"/>
                <w:szCs w:val="18"/>
              </w:rPr>
              <w:t>artnerships</w:t>
            </w:r>
          </w:p>
          <w:p w14:paraId="77C91F1B" w14:textId="029AB337" w:rsidR="00813139" w:rsidRPr="00D42E24" w:rsidRDefault="00D32252" w:rsidP="0027562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b/>
                <w:color w:val="auto"/>
                <w:sz w:val="18"/>
                <w:szCs w:val="18"/>
                <w:u w:val="single"/>
              </w:rPr>
              <w:t>African Development Bank</w:t>
            </w:r>
            <w:r w:rsidR="009F4B23" w:rsidRPr="00D42E24">
              <w:rPr>
                <w:rFonts w:ascii="Calibri" w:eastAsiaTheme="minorEastAsia" w:hAnsi="Calibri" w:cs="Calibri"/>
                <w:color w:val="auto"/>
                <w:sz w:val="18"/>
                <w:szCs w:val="18"/>
              </w:rPr>
              <w:t xml:space="preserve"> : strengthening </w:t>
            </w:r>
            <w:r w:rsidR="006A21B3">
              <w:rPr>
                <w:rFonts w:ascii="Calibri" w:eastAsiaTheme="minorEastAsia" w:hAnsi="Calibri" w:cs="Calibri"/>
                <w:color w:val="auto"/>
                <w:sz w:val="18"/>
                <w:szCs w:val="18"/>
              </w:rPr>
              <w:t>capacity</w:t>
            </w:r>
            <w:r w:rsidR="006A21B3" w:rsidRPr="00D42E24">
              <w:rPr>
                <w:rFonts w:ascii="Calibri" w:eastAsiaTheme="minorEastAsia" w:hAnsi="Calibri" w:cs="Calibri"/>
                <w:color w:val="auto"/>
                <w:sz w:val="18"/>
                <w:szCs w:val="18"/>
              </w:rPr>
              <w:t xml:space="preserve"> </w:t>
            </w:r>
            <w:r w:rsidR="009F4B23" w:rsidRPr="00D42E24">
              <w:rPr>
                <w:rFonts w:ascii="Calibri" w:eastAsiaTheme="minorEastAsia" w:hAnsi="Calibri" w:cs="Calibri"/>
                <w:color w:val="auto"/>
                <w:sz w:val="18"/>
                <w:szCs w:val="18"/>
              </w:rPr>
              <w:t>building for PPP</w:t>
            </w:r>
          </w:p>
          <w:p w14:paraId="79BB4B56" w14:textId="304FDB3E" w:rsidR="00D933A0" w:rsidRPr="00D42E24" w:rsidRDefault="00D933A0" w:rsidP="0027562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b/>
                <w:color w:val="auto"/>
                <w:sz w:val="18"/>
                <w:szCs w:val="18"/>
                <w:u w:val="single"/>
              </w:rPr>
              <w:t>France</w:t>
            </w:r>
            <w:r w:rsidRPr="00D42E24">
              <w:rPr>
                <w:rFonts w:ascii="Calibri" w:eastAsiaTheme="minorEastAsia" w:hAnsi="Calibri" w:cs="Calibri"/>
                <w:color w:val="auto"/>
                <w:sz w:val="18"/>
                <w:szCs w:val="18"/>
              </w:rPr>
              <w:t xml:space="preserve"> will pay specific</w:t>
            </w:r>
            <w:r w:rsidR="006A21B3">
              <w:rPr>
                <w:rFonts w:ascii="Calibri" w:eastAsiaTheme="minorEastAsia" w:hAnsi="Calibri" w:cs="Calibri"/>
                <w:color w:val="auto"/>
                <w:sz w:val="18"/>
                <w:szCs w:val="18"/>
              </w:rPr>
              <w:t xml:space="preserve"> </w:t>
            </w:r>
            <w:r w:rsidRPr="00D42E24">
              <w:rPr>
                <w:rFonts w:ascii="Calibri" w:eastAsiaTheme="minorEastAsia" w:hAnsi="Calibri" w:cs="Calibri"/>
                <w:color w:val="auto"/>
                <w:sz w:val="18"/>
                <w:szCs w:val="18"/>
              </w:rPr>
              <w:t xml:space="preserve">attention to the promotion of PPPs, in particular </w:t>
            </w:r>
            <w:r w:rsidR="006A21B3">
              <w:rPr>
                <w:rFonts w:ascii="Calibri" w:eastAsiaTheme="minorEastAsia" w:hAnsi="Calibri" w:cs="Calibri"/>
                <w:color w:val="auto"/>
                <w:sz w:val="18"/>
                <w:szCs w:val="18"/>
              </w:rPr>
              <w:t xml:space="preserve">through </w:t>
            </w:r>
            <w:r w:rsidRPr="00D42E24">
              <w:rPr>
                <w:rFonts w:ascii="Calibri" w:eastAsiaTheme="minorEastAsia" w:hAnsi="Calibri" w:cs="Calibri"/>
                <w:color w:val="auto"/>
                <w:sz w:val="18"/>
                <w:szCs w:val="18"/>
              </w:rPr>
              <w:t>the France-World Bank initiative</w:t>
            </w:r>
          </w:p>
        </w:tc>
      </w:tr>
      <w:tr w:rsidR="00D42E24" w:rsidRPr="00D42E24" w14:paraId="4897FDF1" w14:textId="77777777" w:rsidTr="0036060C">
        <w:trPr>
          <w:trHeight w:val="219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A034868" w14:textId="77777777" w:rsidR="004F0753" w:rsidRPr="00D42E24" w:rsidRDefault="004F0753" w:rsidP="004F0753">
            <w:pPr>
              <w:rPr>
                <w:rFonts w:eastAsiaTheme="minorEastAsia" w:cstheme="majorHAnsi"/>
                <w:color w:val="auto"/>
                <w:sz w:val="18"/>
                <w:szCs w:val="18"/>
              </w:rPr>
            </w:pPr>
            <w:r w:rsidRPr="00D42E24">
              <w:rPr>
                <w:rFonts w:eastAsiaTheme="minorEastAsia" w:cstheme="majorHAnsi"/>
                <w:bCs/>
                <w:color w:val="auto"/>
                <w:sz w:val="18"/>
                <w:szCs w:val="18"/>
              </w:rPr>
              <w:t>Reforms / actions to strengthen governance and investment climate</w:t>
            </w:r>
          </w:p>
          <w:p w14:paraId="0AFD7861" w14:textId="77777777" w:rsidR="006C4FE4" w:rsidRPr="00D42E24" w:rsidRDefault="006C4FE4" w:rsidP="00CC1353">
            <w:pPr>
              <w:rPr>
                <w:rFonts w:asciiTheme="minorHAnsi" w:eastAsiaTheme="minorEastAsia" w:hAnsiTheme="minorHAnsi" w:cstheme="majorHAnsi"/>
                <w:color w:val="auto"/>
                <w:sz w:val="18"/>
                <w:szCs w:val="18"/>
              </w:rPr>
            </w:pPr>
          </w:p>
          <w:p w14:paraId="38FFD65D" w14:textId="77777777" w:rsidR="00705F30" w:rsidRPr="00D42E24" w:rsidRDefault="00705F30" w:rsidP="00CC1353">
            <w:pPr>
              <w:rPr>
                <w:rFonts w:asciiTheme="minorHAnsi" w:eastAsiaTheme="minorEastAsia" w:hAnsiTheme="minorHAnsi" w:cstheme="majorHAnsi"/>
                <w:color w:val="auto"/>
                <w:sz w:val="18"/>
                <w:szCs w:val="18"/>
              </w:rPr>
            </w:pPr>
          </w:p>
        </w:tc>
        <w:tc>
          <w:tcPr>
            <w:tcW w:w="0" w:type="dxa"/>
            <w:gridSpan w:val="2"/>
            <w:tcBorders>
              <w:top w:val="single" w:sz="4" w:space="0" w:color="auto"/>
              <w:left w:val="single" w:sz="4" w:space="0" w:color="auto"/>
              <w:bottom w:val="single" w:sz="4" w:space="0" w:color="auto"/>
              <w:right w:val="single" w:sz="4" w:space="0" w:color="auto"/>
            </w:tcBorders>
          </w:tcPr>
          <w:p w14:paraId="49CF7F4F" w14:textId="77777777" w:rsidR="00E41497" w:rsidRPr="00D42E24" w:rsidRDefault="00E0230D" w:rsidP="00E41497">
            <w:pPr>
              <w:numPr>
                <w:ilvl w:val="0"/>
                <w:numId w:val="8"/>
              </w:numPr>
              <w:tabs>
                <w:tab w:val="clear" w:pos="720"/>
                <w:tab w:val="num" w:pos="156"/>
              </w:tabs>
              <w:spacing w:after="120"/>
              <w:ind w:left="-29" w:firstLin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xml:space="preserve">Simplify </w:t>
            </w:r>
            <w:r w:rsidR="00D32252" w:rsidRPr="00D42E24">
              <w:rPr>
                <w:rFonts w:asciiTheme="minorHAnsi" w:eastAsiaTheme="minorEastAsia" w:hAnsiTheme="minorHAnsi" w:cstheme="majorHAnsi"/>
                <w:color w:val="auto"/>
                <w:sz w:val="18"/>
                <w:szCs w:val="18"/>
              </w:rPr>
              <w:t>land registration proced</w:t>
            </w:r>
            <w:r w:rsidRPr="00D42E24">
              <w:rPr>
                <w:rFonts w:asciiTheme="minorHAnsi" w:eastAsiaTheme="minorEastAsia" w:hAnsiTheme="minorHAnsi" w:cstheme="majorHAnsi"/>
                <w:color w:val="auto"/>
                <w:sz w:val="18"/>
                <w:szCs w:val="18"/>
              </w:rPr>
              <w:t>ures and transfer of ownership</w:t>
            </w:r>
          </w:p>
          <w:p w14:paraId="3853C527" w14:textId="77777777" w:rsidR="00E41497" w:rsidRPr="00D42E24" w:rsidRDefault="00E41497" w:rsidP="00E41497">
            <w:pPr>
              <w:numPr>
                <w:ilvl w:val="0"/>
                <w:numId w:val="8"/>
              </w:numPr>
              <w:tabs>
                <w:tab w:val="clear" w:pos="720"/>
                <w:tab w:val="num" w:pos="156"/>
              </w:tabs>
              <w:spacing w:after="120"/>
              <w:ind w:left="-29" w:firstLin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D42E24">
              <w:rPr>
                <w:rFonts w:asciiTheme="minorHAnsi" w:eastAsiaTheme="minorEastAsia" w:hAnsiTheme="minorHAnsi" w:cstheme="majorHAnsi"/>
                <w:color w:val="auto"/>
                <w:sz w:val="18"/>
                <w:szCs w:val="18"/>
              </w:rPr>
              <w:t> </w:t>
            </w:r>
            <w:r w:rsidR="00E0230D" w:rsidRPr="00D42E24">
              <w:rPr>
                <w:rFonts w:asciiTheme="minorHAnsi" w:eastAsiaTheme="minorEastAsia" w:hAnsiTheme="minorHAnsi" w:cstheme="majorHAnsi"/>
                <w:color w:val="auto"/>
                <w:sz w:val="18"/>
                <w:szCs w:val="18"/>
              </w:rPr>
              <w:t xml:space="preserve">Simplify and harmonize </w:t>
            </w:r>
            <w:r w:rsidR="00D32252" w:rsidRPr="00D42E24">
              <w:rPr>
                <w:rFonts w:asciiTheme="minorHAnsi" w:eastAsiaTheme="minorEastAsia" w:hAnsiTheme="minorHAnsi" w:cstheme="majorHAnsi"/>
                <w:color w:val="auto"/>
                <w:sz w:val="18"/>
                <w:szCs w:val="18"/>
              </w:rPr>
              <w:t>taxes and charges levied by local authorities</w:t>
            </w:r>
          </w:p>
          <w:p w14:paraId="00BF3FA4" w14:textId="77777777" w:rsidR="00705F30" w:rsidRPr="00D42E24" w:rsidRDefault="00D32252" w:rsidP="00705F30">
            <w:pPr>
              <w:numPr>
                <w:ilvl w:val="0"/>
                <w:numId w:val="8"/>
              </w:numPr>
              <w:tabs>
                <w:tab w:val="clear" w:pos="720"/>
                <w:tab w:val="num" w:pos="156"/>
              </w:tabs>
              <w:ind w:left="-29" w:firstLine="0"/>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D42E24">
              <w:rPr>
                <w:rFonts w:asciiTheme="minorHAnsi" w:eastAsiaTheme="minorEastAsia" w:hAnsiTheme="minorHAnsi" w:cstheme="majorHAnsi"/>
                <w:color w:val="auto"/>
                <w:sz w:val="18"/>
                <w:szCs w:val="18"/>
              </w:rPr>
              <w:t xml:space="preserve"> Electronic payment of fees for th</w:t>
            </w:r>
            <w:r w:rsidR="00D822E3" w:rsidRPr="00D42E24">
              <w:rPr>
                <w:rFonts w:asciiTheme="minorHAnsi" w:eastAsiaTheme="minorEastAsia" w:hAnsiTheme="minorHAnsi" w:cstheme="majorHAnsi"/>
                <w:color w:val="auto"/>
                <w:sz w:val="18"/>
                <w:szCs w:val="18"/>
              </w:rPr>
              <w:t>e administrative acts and taxes</w:t>
            </w:r>
          </w:p>
          <w:p w14:paraId="43F91B38" w14:textId="77777777" w:rsidR="00F64F77" w:rsidRPr="00D42E24" w:rsidRDefault="00F64F77" w:rsidP="00F64F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p>
          <w:p w14:paraId="4696065E" w14:textId="77777777" w:rsidR="00FF65F9" w:rsidRPr="00A4345B" w:rsidRDefault="00FF65F9" w:rsidP="00FF65F9">
            <w:pPr>
              <w:numPr>
                <w:ilvl w:val="0"/>
                <w:numId w:val="8"/>
              </w:numPr>
              <w:tabs>
                <w:tab w:val="clear" w:pos="720"/>
                <w:tab w:val="num" w:pos="156"/>
              </w:tabs>
              <w:ind w:left="-29" w:firstLin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ajorHAnsi"/>
                <w:color w:val="auto"/>
                <w:sz w:val="18"/>
                <w:szCs w:val="18"/>
              </w:rPr>
            </w:pPr>
            <w:r w:rsidRPr="00A4345B">
              <w:rPr>
                <w:rFonts w:asciiTheme="minorHAnsi" w:eastAsiaTheme="minorEastAsia" w:hAnsiTheme="minorHAnsi" w:cstheme="majorHAnsi"/>
                <w:color w:val="auto"/>
                <w:sz w:val="18"/>
                <w:szCs w:val="18"/>
              </w:rPr>
              <w:t>Strengthen competition policy and practices in key sectors (telecoms, agribusiness, etc.)</w:t>
            </w:r>
          </w:p>
          <w:p w14:paraId="047F0CFC" w14:textId="77777777" w:rsidR="00F64F77" w:rsidRPr="00D42E24" w:rsidRDefault="00F64F77" w:rsidP="0084159F">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p>
        </w:tc>
        <w:tc>
          <w:tcPr>
            <w:tcW w:w="3231" w:type="dxa"/>
            <w:tcBorders>
              <w:top w:val="single" w:sz="4" w:space="0" w:color="auto"/>
              <w:left w:val="single" w:sz="4" w:space="0" w:color="auto"/>
              <w:bottom w:val="single" w:sz="4" w:space="0" w:color="auto"/>
              <w:right w:val="single" w:sz="4" w:space="0" w:color="auto"/>
            </w:tcBorders>
          </w:tcPr>
          <w:p w14:paraId="1921C1F1" w14:textId="77777777" w:rsidR="004F0753" w:rsidRPr="00D42E24" w:rsidRDefault="004F0753" w:rsidP="004F0753">
            <w:pPr>
              <w:pStyle w:val="ListParagraph"/>
              <w:numPr>
                <w:ilvl w:val="0"/>
                <w:numId w:val="11"/>
              </w:numPr>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color w:val="auto"/>
                <w:sz w:val="18"/>
                <w:szCs w:val="18"/>
              </w:rPr>
              <w:t>Improve from 142 (2017) to 132 (2019) in the Registering Property indicator in Doing Business</w:t>
            </w:r>
          </w:p>
          <w:p w14:paraId="3F19FC57" w14:textId="77777777" w:rsidR="004F0753" w:rsidRPr="00D42E24" w:rsidRDefault="004F0753" w:rsidP="004F0753">
            <w:pPr>
              <w:pStyle w:val="ListParagraph"/>
              <w:numPr>
                <w:ilvl w:val="0"/>
                <w:numId w:val="11"/>
              </w:numPr>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color w:val="auto"/>
                <w:sz w:val="18"/>
                <w:szCs w:val="18"/>
              </w:rPr>
              <w:t>Improve from 144 (2017) to 134 (2019) in the Enforcing Contracts indicator in Doing Business</w:t>
            </w:r>
          </w:p>
          <w:p w14:paraId="62F25B83" w14:textId="77777777" w:rsidR="00705F30" w:rsidRPr="00D42E24" w:rsidRDefault="004F0753" w:rsidP="00705F30">
            <w:pPr>
              <w:pStyle w:val="ListParagraph"/>
              <w:numPr>
                <w:ilvl w:val="0"/>
                <w:numId w:val="11"/>
              </w:numPr>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color w:val="auto"/>
                <w:sz w:val="18"/>
                <w:szCs w:val="18"/>
              </w:rPr>
              <w:t>Improve from 174 (2017) to 150 (2019) in the Paying Taxes indicator in Doing Business</w:t>
            </w:r>
          </w:p>
          <w:p w14:paraId="06AD9C7E" w14:textId="77777777" w:rsidR="00FF65F9" w:rsidRDefault="00FF65F9" w:rsidP="00FF65F9">
            <w:pPr>
              <w:pStyle w:val="ListParagraph"/>
              <w:numPr>
                <w:ilvl w:val="0"/>
                <w:numId w:val="11"/>
              </w:numPr>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Pr>
                <w:rFonts w:ascii="Calibri" w:eastAsiaTheme="minorEastAsia" w:hAnsi="Calibri" w:cs="Calibri"/>
                <w:color w:val="auto"/>
                <w:sz w:val="18"/>
                <w:szCs w:val="18"/>
              </w:rPr>
              <w:t>Review of national competition framework vis a vis UEMOA</w:t>
            </w:r>
          </w:p>
          <w:p w14:paraId="4D593077" w14:textId="77777777" w:rsidR="00FF65F9" w:rsidRPr="00D42E24" w:rsidRDefault="00FF65F9" w:rsidP="00FF65F9">
            <w:pPr>
              <w:pStyle w:val="ListParagraph"/>
              <w:numPr>
                <w:ilvl w:val="0"/>
                <w:numId w:val="11"/>
              </w:numPr>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Pr>
                <w:rFonts w:ascii="Calibri" w:eastAsiaTheme="minorEastAsia" w:hAnsi="Calibri" w:cs="Calibri"/>
                <w:color w:val="auto"/>
                <w:sz w:val="18"/>
                <w:szCs w:val="18"/>
              </w:rPr>
              <w:t>Enhanced competitive practices in key sectors, opening up markets for private investment</w:t>
            </w:r>
          </w:p>
          <w:p w14:paraId="71A522E3" w14:textId="77777777" w:rsidR="00F64F77" w:rsidRPr="00D42E24" w:rsidRDefault="00F64F77" w:rsidP="0084159F">
            <w:pPr>
              <w:pStyle w:val="ListParagraph"/>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p>
        </w:tc>
        <w:tc>
          <w:tcPr>
            <w:tcW w:w="2659" w:type="dxa"/>
            <w:gridSpan w:val="2"/>
            <w:tcBorders>
              <w:top w:val="single" w:sz="4" w:space="0" w:color="auto"/>
              <w:left w:val="single" w:sz="4" w:space="0" w:color="auto"/>
              <w:bottom w:val="single" w:sz="4" w:space="0" w:color="auto"/>
              <w:right w:val="single" w:sz="4" w:space="0" w:color="auto"/>
            </w:tcBorders>
          </w:tcPr>
          <w:p w14:paraId="6738609D" w14:textId="77777777" w:rsidR="00A53FFF" w:rsidRDefault="00177901" w:rsidP="003C3C6F">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Pr>
                <w:rFonts w:eastAsiaTheme="minorEastAsia" w:cstheme="majorHAnsi"/>
                <w:b/>
                <w:color w:val="auto"/>
                <w:sz w:val="18"/>
                <w:szCs w:val="18"/>
                <w:u w:val="single"/>
              </w:rPr>
              <w:t>WBG</w:t>
            </w:r>
            <w:r w:rsidR="009C6478">
              <w:rPr>
                <w:rFonts w:eastAsiaTheme="minorEastAsia" w:cstheme="majorHAnsi"/>
                <w:b/>
                <w:color w:val="auto"/>
                <w:sz w:val="18"/>
                <w:szCs w:val="18"/>
              </w:rPr>
              <w:t>:</w:t>
            </w:r>
            <w:r w:rsidR="00E62A0A">
              <w:t xml:space="preserve"> </w:t>
            </w:r>
            <w:r w:rsidR="00E62A0A" w:rsidRPr="009C6478">
              <w:rPr>
                <w:rFonts w:eastAsiaTheme="minorEastAsia" w:cstheme="majorHAnsi"/>
                <w:color w:val="auto"/>
                <w:sz w:val="18"/>
                <w:szCs w:val="18"/>
              </w:rPr>
              <w:t>Technical assistance to develop a national strategy which will also cover actions to improve and develop electronic payments (assistance to the BCEAO to promote electronic payments and review framework at the regional level)</w:t>
            </w:r>
          </w:p>
          <w:p w14:paraId="78DF5481" w14:textId="77777777" w:rsidR="00FF65F9" w:rsidRPr="00D42E24" w:rsidRDefault="00177901" w:rsidP="00FF65F9">
            <w:pP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sz w:val="18"/>
                <w:szCs w:val="18"/>
              </w:rPr>
            </w:pPr>
            <w:r>
              <w:rPr>
                <w:rFonts w:eastAsiaTheme="minorEastAsia" w:cstheme="majorHAnsi"/>
                <w:b/>
                <w:color w:val="auto"/>
                <w:sz w:val="18"/>
                <w:szCs w:val="18"/>
                <w:u w:val="single"/>
              </w:rPr>
              <w:t>WBG</w:t>
            </w:r>
            <w:r w:rsidR="00FF65F9" w:rsidRPr="00C5592B">
              <w:rPr>
                <w:rFonts w:eastAsiaTheme="minorEastAsia" w:cstheme="majorHAnsi"/>
                <w:b/>
                <w:color w:val="auto"/>
                <w:sz w:val="18"/>
                <w:szCs w:val="18"/>
              </w:rPr>
              <w:t>:</w:t>
            </w:r>
            <w:r w:rsidR="00FF65F9">
              <w:rPr>
                <w:rFonts w:eastAsiaTheme="minorEastAsia" w:cstheme="majorHAnsi"/>
                <w:color w:val="auto"/>
                <w:sz w:val="18"/>
                <w:szCs w:val="18"/>
              </w:rPr>
              <w:t xml:space="preserve"> technical assistance on investment climate and investment lending through Tourism &amp; Enterprise Development Project.</w:t>
            </w:r>
            <w:r w:rsidR="00FF65F9" w:rsidRPr="00D42E24">
              <w:rPr>
                <w:rFonts w:eastAsiaTheme="minorEastAsia" w:cstheme="majorHAnsi"/>
                <w:b/>
                <w:color w:val="auto"/>
                <w:sz w:val="18"/>
                <w:szCs w:val="18"/>
              </w:rPr>
              <w:t xml:space="preserve"> </w:t>
            </w:r>
          </w:p>
          <w:p w14:paraId="2AB9C12A" w14:textId="77777777" w:rsidR="003C3C6F" w:rsidRPr="00D42E24" w:rsidRDefault="00E41497" w:rsidP="003C3C6F">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D42E24">
              <w:rPr>
                <w:rFonts w:eastAsiaTheme="minorEastAsia" w:cstheme="majorHAnsi"/>
                <w:b/>
                <w:color w:val="auto"/>
                <w:sz w:val="18"/>
                <w:szCs w:val="18"/>
              </w:rPr>
              <w:t>OECD</w:t>
            </w:r>
            <w:r w:rsidR="00A53FFF" w:rsidRPr="00D42E24">
              <w:rPr>
                <w:rFonts w:eastAsiaTheme="minorEastAsia" w:cstheme="majorHAnsi"/>
                <w:b/>
                <w:color w:val="auto"/>
                <w:sz w:val="18"/>
                <w:szCs w:val="18"/>
              </w:rPr>
              <w:t xml:space="preserve"> </w:t>
            </w:r>
            <w:r w:rsidR="00446E3E" w:rsidRPr="00D42E24">
              <w:rPr>
                <w:rFonts w:eastAsiaTheme="minorEastAsia" w:cstheme="majorHAnsi"/>
                <w:b/>
                <w:color w:val="auto"/>
                <w:sz w:val="18"/>
                <w:szCs w:val="18"/>
              </w:rPr>
              <w:t xml:space="preserve">: </w:t>
            </w:r>
            <w:r w:rsidR="00446E3E" w:rsidRPr="00D42E24">
              <w:rPr>
                <w:rFonts w:eastAsiaTheme="minorEastAsia" w:cstheme="majorHAnsi"/>
                <w:color w:val="auto"/>
                <w:sz w:val="18"/>
                <w:szCs w:val="18"/>
              </w:rPr>
              <w:t xml:space="preserve">support to remove bottlenecks </w:t>
            </w:r>
            <w:r w:rsidR="004E3EF9">
              <w:rPr>
                <w:rFonts w:eastAsiaTheme="minorEastAsia" w:cstheme="majorHAnsi"/>
                <w:color w:val="auto"/>
                <w:sz w:val="18"/>
                <w:szCs w:val="18"/>
              </w:rPr>
              <w:t>for</w:t>
            </w:r>
            <w:r w:rsidR="00446E3E" w:rsidRPr="00D42E24">
              <w:rPr>
                <w:rFonts w:eastAsiaTheme="minorEastAsia" w:cstheme="majorHAnsi"/>
                <w:color w:val="auto"/>
                <w:sz w:val="18"/>
                <w:szCs w:val="18"/>
              </w:rPr>
              <w:t xml:space="preserve"> FDI</w:t>
            </w:r>
          </w:p>
          <w:p w14:paraId="33343C1B" w14:textId="77777777" w:rsidR="003C3C6F" w:rsidRPr="00D42E24" w:rsidRDefault="003C3C6F" w:rsidP="003C3C6F">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rPr>
            </w:pPr>
            <w:r w:rsidRPr="00D42E24">
              <w:rPr>
                <w:rFonts w:eastAsiaTheme="minorEastAsia" w:cstheme="majorHAnsi"/>
                <w:b/>
                <w:color w:val="auto"/>
                <w:sz w:val="18"/>
                <w:szCs w:val="18"/>
                <w:u w:val="single"/>
              </w:rPr>
              <w:t>Japan</w:t>
            </w:r>
            <w:r w:rsidRPr="00D42E24">
              <w:rPr>
                <w:rFonts w:eastAsiaTheme="minorEastAsia" w:cstheme="majorHAnsi"/>
                <w:b/>
                <w:color w:val="auto"/>
                <w:sz w:val="18"/>
                <w:szCs w:val="18"/>
              </w:rPr>
              <w:t xml:space="preserve"> : </w:t>
            </w:r>
            <w:r w:rsidRPr="00D42E24">
              <w:rPr>
                <w:rFonts w:eastAsiaTheme="minorEastAsia" w:cstheme="majorHAnsi" w:hint="eastAsia"/>
                <w:color w:val="auto"/>
                <w:sz w:val="18"/>
                <w:szCs w:val="18"/>
              </w:rPr>
              <w:t xml:space="preserve">investment </w:t>
            </w:r>
            <w:r w:rsidRPr="00D42E24">
              <w:rPr>
                <w:rFonts w:eastAsiaTheme="minorEastAsia" w:cstheme="majorHAnsi"/>
                <w:color w:val="auto"/>
                <w:sz w:val="18"/>
                <w:szCs w:val="18"/>
              </w:rPr>
              <w:t>for quality infrastructure development (e.g., sea water desalination plant)</w:t>
            </w:r>
          </w:p>
          <w:p w14:paraId="75F29519" w14:textId="0464F677" w:rsidR="003E36C7" w:rsidRDefault="003E36C7" w:rsidP="003E36C7">
            <w:pPr>
              <w:cnfStyle w:val="000000000000" w:firstRow="0" w:lastRow="0" w:firstColumn="0" w:lastColumn="0" w:oddVBand="0" w:evenVBand="0" w:oddHBand="0" w:evenHBand="0" w:firstRowFirstColumn="0" w:firstRowLastColumn="0" w:lastRowFirstColumn="0" w:lastRowLastColumn="0"/>
              <w:rPr>
                <w:rFonts w:eastAsiaTheme="minorEastAsia" w:cstheme="majorHAnsi"/>
                <w:color w:val="auto"/>
                <w:sz w:val="18"/>
                <w:szCs w:val="18"/>
                <w:lang w:val="en-GB"/>
              </w:rPr>
            </w:pPr>
            <w:r w:rsidRPr="00D42E24">
              <w:rPr>
                <w:rFonts w:eastAsiaTheme="minorEastAsia" w:cstheme="majorHAnsi"/>
                <w:b/>
                <w:color w:val="auto"/>
                <w:sz w:val="18"/>
                <w:szCs w:val="18"/>
                <w:u w:val="single"/>
                <w:lang w:val="en-GB"/>
              </w:rPr>
              <w:t>EU</w:t>
            </w:r>
            <w:r w:rsidRPr="00D42E24">
              <w:rPr>
                <w:rFonts w:eastAsiaTheme="minorEastAsia" w:cstheme="majorHAnsi"/>
                <w:b/>
                <w:color w:val="auto"/>
                <w:sz w:val="18"/>
                <w:szCs w:val="18"/>
                <w:lang w:val="en-GB"/>
              </w:rPr>
              <w:t xml:space="preserve">: </w:t>
            </w:r>
            <w:r w:rsidRPr="00D42E24">
              <w:rPr>
                <w:rFonts w:eastAsiaTheme="minorEastAsia" w:cstheme="majorHAnsi"/>
                <w:color w:val="auto"/>
                <w:sz w:val="18"/>
                <w:szCs w:val="18"/>
                <w:lang w:val="en-GB"/>
              </w:rPr>
              <w:t>Budget support 2019-2021 will target improving business climate</w:t>
            </w:r>
          </w:p>
          <w:p w14:paraId="764ED03F" w14:textId="77777777" w:rsidR="00F64F77" w:rsidRPr="00FF65F9" w:rsidRDefault="00FF65F9" w:rsidP="00A83D09">
            <w:pP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sz w:val="18"/>
                <w:szCs w:val="18"/>
                <w:lang w:val="en-GB"/>
              </w:rPr>
            </w:pPr>
            <w:r w:rsidRPr="00A4345B">
              <w:rPr>
                <w:rFonts w:eastAsiaTheme="minorEastAsia" w:cstheme="majorHAnsi"/>
                <w:b/>
                <w:color w:val="auto"/>
                <w:sz w:val="18"/>
                <w:szCs w:val="18"/>
                <w:u w:val="single"/>
                <w:lang w:val="en-GB"/>
              </w:rPr>
              <w:t>World Bank</w:t>
            </w:r>
            <w:r w:rsidRPr="0054458B">
              <w:rPr>
                <w:rFonts w:eastAsiaTheme="minorEastAsia" w:cstheme="majorHAnsi"/>
                <w:b/>
                <w:color w:val="auto"/>
                <w:sz w:val="18"/>
                <w:szCs w:val="18"/>
                <w:lang w:val="en-GB"/>
              </w:rPr>
              <w:t>:</w:t>
            </w:r>
            <w:r>
              <w:rPr>
                <w:rFonts w:eastAsiaTheme="minorEastAsia" w:cstheme="majorHAnsi"/>
                <w:color w:val="auto"/>
                <w:sz w:val="18"/>
                <w:szCs w:val="18"/>
                <w:lang w:val="en-GB"/>
              </w:rPr>
              <w:t xml:space="preserve"> technical assistance on competition policy and sector assessments</w:t>
            </w:r>
          </w:p>
        </w:tc>
      </w:tr>
      <w:tr w:rsidR="00D42E24" w:rsidRPr="00D42E24" w14:paraId="3999E365" w14:textId="77777777" w:rsidTr="00F655EE">
        <w:trPr>
          <w:trHeight w:val="305"/>
        </w:trPr>
        <w:tc>
          <w:tcPr>
            <w:cnfStyle w:val="001000000000" w:firstRow="0" w:lastRow="0" w:firstColumn="1" w:lastColumn="0" w:oddVBand="0" w:evenVBand="0" w:oddHBand="0" w:evenHBand="0" w:firstRowFirstColumn="0" w:firstRowLastColumn="0" w:lastRowFirstColumn="0" w:lastRowLastColumn="0"/>
            <w:tcW w:w="10710" w:type="dxa"/>
            <w:gridSpan w:val="6"/>
            <w:tcBorders>
              <w:top w:val="single" w:sz="4" w:space="0" w:color="auto"/>
              <w:left w:val="single" w:sz="4" w:space="0" w:color="auto"/>
              <w:bottom w:val="single" w:sz="4" w:space="0" w:color="auto"/>
              <w:right w:val="single" w:sz="4" w:space="0" w:color="auto"/>
            </w:tcBorders>
            <w:noWrap/>
          </w:tcPr>
          <w:p w14:paraId="09F5E68A" w14:textId="77777777" w:rsidR="003B0620" w:rsidRPr="00D42E24" w:rsidRDefault="0084159F" w:rsidP="00EC2C34">
            <w:pPr>
              <w:rPr>
                <w:rFonts w:asciiTheme="minorHAnsi" w:eastAsiaTheme="minorEastAsia" w:hAnsiTheme="minorHAnsi" w:cstheme="majorHAnsi"/>
                <w:b/>
                <w:color w:val="auto"/>
                <w:sz w:val="18"/>
                <w:szCs w:val="18"/>
              </w:rPr>
            </w:pPr>
            <w:r w:rsidRPr="00D42E24">
              <w:rPr>
                <w:rFonts w:asciiTheme="minorHAnsi" w:eastAsiaTheme="minorEastAsia" w:hAnsiTheme="minorHAnsi" w:cstheme="majorHAnsi"/>
                <w:b/>
                <w:color w:val="auto"/>
                <w:sz w:val="18"/>
                <w:szCs w:val="18"/>
              </w:rPr>
              <w:t xml:space="preserve">3. </w:t>
            </w:r>
            <w:r w:rsidR="003B0620" w:rsidRPr="00D42E24">
              <w:rPr>
                <w:rFonts w:asciiTheme="minorHAnsi" w:eastAsiaTheme="minorEastAsia" w:hAnsiTheme="minorHAnsi" w:cstheme="majorHAnsi"/>
                <w:b/>
                <w:color w:val="auto"/>
                <w:sz w:val="18"/>
                <w:szCs w:val="18"/>
              </w:rPr>
              <w:t>Financing framework</w:t>
            </w:r>
          </w:p>
        </w:tc>
      </w:tr>
      <w:tr w:rsidR="00D42E24" w:rsidRPr="00D42E24" w14:paraId="381BC47D" w14:textId="77777777" w:rsidTr="00EC2C34">
        <w:trPr>
          <w:trHeight w:val="755"/>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noWrap/>
          </w:tcPr>
          <w:p w14:paraId="5FB57A6C" w14:textId="77777777" w:rsidR="00C02E31" w:rsidRPr="00D42E24" w:rsidRDefault="003B0620" w:rsidP="00C02E31">
            <w:pPr>
              <w:rPr>
                <w:rFonts w:asciiTheme="minorHAnsi" w:eastAsiaTheme="minorEastAsia" w:hAnsiTheme="minorHAnsi" w:cstheme="minorHAnsi"/>
                <w:color w:val="auto"/>
                <w:sz w:val="18"/>
                <w:szCs w:val="18"/>
              </w:rPr>
            </w:pPr>
            <w:r w:rsidRPr="00D42E24">
              <w:rPr>
                <w:rFonts w:asciiTheme="minorHAnsi" w:eastAsiaTheme="minorEastAsia" w:hAnsiTheme="minorHAnsi" w:cstheme="minorHAnsi"/>
                <w:color w:val="auto"/>
                <w:sz w:val="18"/>
                <w:szCs w:val="18"/>
              </w:rPr>
              <w:t xml:space="preserve">Attract institutional investors </w:t>
            </w:r>
          </w:p>
        </w:tc>
        <w:tc>
          <w:tcPr>
            <w:tcW w:w="3290" w:type="dxa"/>
            <w:gridSpan w:val="2"/>
            <w:tcBorders>
              <w:top w:val="single" w:sz="4" w:space="0" w:color="auto"/>
              <w:left w:val="single" w:sz="4" w:space="0" w:color="auto"/>
              <w:bottom w:val="single" w:sz="4" w:space="0" w:color="auto"/>
              <w:right w:val="single" w:sz="4" w:space="0" w:color="auto"/>
            </w:tcBorders>
          </w:tcPr>
          <w:p w14:paraId="50266E2E" w14:textId="77777777" w:rsidR="003B0620" w:rsidRPr="00D42E24" w:rsidRDefault="003B0620" w:rsidP="003B0620">
            <w:pPr>
              <w:pStyle w:val="ListParagraph"/>
              <w:numPr>
                <w:ilvl w:val="0"/>
                <w:numId w:val="17"/>
              </w:numPr>
              <w:ind w:left="-29" w:firstLine="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auto"/>
                <w:sz w:val="18"/>
                <w:szCs w:val="18"/>
              </w:rPr>
            </w:pPr>
            <w:r w:rsidRPr="00D42E24">
              <w:rPr>
                <w:rFonts w:asciiTheme="minorHAnsi" w:eastAsiaTheme="minorEastAsia" w:hAnsiTheme="minorHAnsi" w:cstheme="minorHAnsi"/>
                <w:color w:val="auto"/>
                <w:sz w:val="18"/>
                <w:szCs w:val="18"/>
              </w:rPr>
              <w:t>Support to the regional pilot project for market development (in CFAF) for long-term bonds</w:t>
            </w:r>
          </w:p>
        </w:tc>
        <w:tc>
          <w:tcPr>
            <w:tcW w:w="3373" w:type="dxa"/>
            <w:gridSpan w:val="2"/>
            <w:tcBorders>
              <w:top w:val="single" w:sz="4" w:space="0" w:color="auto"/>
              <w:left w:val="single" w:sz="4" w:space="0" w:color="auto"/>
              <w:bottom w:val="single" w:sz="4" w:space="0" w:color="auto"/>
              <w:right w:val="single" w:sz="4" w:space="0" w:color="auto"/>
            </w:tcBorders>
          </w:tcPr>
          <w:p w14:paraId="6D5DB898" w14:textId="77777777" w:rsidR="003B0620" w:rsidRPr="00D42E24" w:rsidRDefault="003B0620" w:rsidP="00EC2C34">
            <w:pPr>
              <w:pStyle w:val="ListParagraph"/>
              <w:numPr>
                <w:ilvl w:val="0"/>
                <w:numId w:val="11"/>
              </w:numPr>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color w:val="auto"/>
                <w:sz w:val="18"/>
                <w:szCs w:val="18"/>
              </w:rPr>
              <w:t>Adapt regulatory texts by 2019</w:t>
            </w:r>
          </w:p>
        </w:tc>
        <w:tc>
          <w:tcPr>
            <w:tcW w:w="2517" w:type="dxa"/>
            <w:tcBorders>
              <w:top w:val="single" w:sz="4" w:space="0" w:color="auto"/>
              <w:left w:val="single" w:sz="4" w:space="0" w:color="auto"/>
              <w:bottom w:val="single" w:sz="4" w:space="0" w:color="auto"/>
              <w:right w:val="single" w:sz="4" w:space="0" w:color="auto"/>
            </w:tcBorders>
          </w:tcPr>
          <w:p w14:paraId="1BC0BEAE" w14:textId="17301D2B" w:rsidR="003B0620" w:rsidRDefault="00016A46" w:rsidP="00016A46">
            <w:pPr>
              <w:ind w:left="-14"/>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Pr>
                <w:rFonts w:ascii="Calibri" w:eastAsiaTheme="minorEastAsia" w:hAnsi="Calibri" w:cs="Calibri"/>
                <w:color w:val="auto"/>
                <w:sz w:val="18"/>
                <w:szCs w:val="18"/>
              </w:rPr>
              <w:t>I</w:t>
            </w:r>
            <w:r w:rsidR="003B0620" w:rsidRPr="00D42E24">
              <w:rPr>
                <w:rFonts w:ascii="Calibri" w:eastAsiaTheme="minorEastAsia" w:hAnsi="Calibri" w:cs="Calibri"/>
                <w:color w:val="auto"/>
                <w:sz w:val="18"/>
                <w:szCs w:val="18"/>
              </w:rPr>
              <w:t>MF / BCEAO</w:t>
            </w:r>
          </w:p>
          <w:p w14:paraId="4C5FD54E" w14:textId="77777777" w:rsidR="00177901" w:rsidRPr="00D42E24" w:rsidRDefault="00177901" w:rsidP="00016A46">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Pr>
                <w:rFonts w:ascii="Calibri" w:eastAsiaTheme="minorEastAsia" w:hAnsi="Calibri" w:cs="Calibri"/>
                <w:color w:val="auto"/>
                <w:sz w:val="18"/>
                <w:szCs w:val="18"/>
              </w:rPr>
              <w:t>WBG:  On-going work by J-CAP initiative with the BCEAO to improve regulatory framework for capital market / bond issuances</w:t>
            </w:r>
          </w:p>
          <w:p w14:paraId="1386DEBD" w14:textId="77777777" w:rsidR="003B0620" w:rsidRPr="00D42E24" w:rsidRDefault="003B0620" w:rsidP="003B0620">
            <w:pPr>
              <w:ind w:left="346"/>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p>
        </w:tc>
      </w:tr>
      <w:tr w:rsidR="00D42E24" w:rsidRPr="00D42E24" w14:paraId="7906F18F" w14:textId="77777777" w:rsidTr="00EC2C34">
        <w:trPr>
          <w:trHeight w:val="665"/>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noWrap/>
          </w:tcPr>
          <w:p w14:paraId="1C4DC25C" w14:textId="77777777" w:rsidR="003B0620" w:rsidRPr="00D42E24" w:rsidRDefault="003B0620" w:rsidP="003B0620">
            <w:pPr>
              <w:rPr>
                <w:rFonts w:asciiTheme="minorHAnsi" w:eastAsiaTheme="minorEastAsia" w:hAnsiTheme="minorHAnsi" w:cstheme="minorHAnsi"/>
                <w:color w:val="auto"/>
                <w:sz w:val="18"/>
                <w:szCs w:val="18"/>
              </w:rPr>
            </w:pPr>
            <w:r w:rsidRPr="00D42E24">
              <w:rPr>
                <w:rFonts w:asciiTheme="minorHAnsi" w:eastAsiaTheme="minorEastAsia" w:hAnsiTheme="minorHAnsi" w:cstheme="minorHAnsi"/>
                <w:color w:val="auto"/>
                <w:sz w:val="18"/>
                <w:szCs w:val="18"/>
              </w:rPr>
              <w:t>Reduce the risk perception</w:t>
            </w:r>
          </w:p>
        </w:tc>
        <w:tc>
          <w:tcPr>
            <w:tcW w:w="3290" w:type="dxa"/>
            <w:gridSpan w:val="2"/>
            <w:tcBorders>
              <w:top w:val="single" w:sz="4" w:space="0" w:color="auto"/>
              <w:left w:val="single" w:sz="4" w:space="0" w:color="auto"/>
              <w:bottom w:val="single" w:sz="4" w:space="0" w:color="auto"/>
              <w:right w:val="single" w:sz="4" w:space="0" w:color="auto"/>
            </w:tcBorders>
          </w:tcPr>
          <w:p w14:paraId="6E25F9D1" w14:textId="77777777" w:rsidR="003B0620" w:rsidRPr="00D42E24" w:rsidRDefault="003B0620" w:rsidP="003B0620">
            <w:pPr>
              <w:pStyle w:val="ListParagraph"/>
              <w:numPr>
                <w:ilvl w:val="0"/>
                <w:numId w:val="17"/>
              </w:numPr>
              <w:ind w:left="-29" w:firstLin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auto"/>
                <w:sz w:val="18"/>
                <w:szCs w:val="18"/>
              </w:rPr>
            </w:pPr>
            <w:r w:rsidRPr="00D42E24">
              <w:rPr>
                <w:rFonts w:asciiTheme="minorHAnsi" w:eastAsiaTheme="minorEastAsia" w:hAnsiTheme="minorHAnsi" w:cstheme="minorHAnsi"/>
                <w:color w:val="auto"/>
                <w:sz w:val="18"/>
                <w:szCs w:val="18"/>
              </w:rPr>
              <w:t xml:space="preserve">Create a risk mitigation fund by issuing bonds </w:t>
            </w:r>
          </w:p>
          <w:p w14:paraId="41EDC22F" w14:textId="77777777" w:rsidR="003B0620" w:rsidRPr="00D42E24" w:rsidRDefault="003B0620" w:rsidP="003B0620">
            <w:pPr>
              <w:pStyle w:val="ListParagraph"/>
              <w:ind w:left="-2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auto"/>
                <w:sz w:val="18"/>
                <w:szCs w:val="18"/>
              </w:rPr>
            </w:pPr>
          </w:p>
        </w:tc>
        <w:tc>
          <w:tcPr>
            <w:tcW w:w="3373" w:type="dxa"/>
            <w:gridSpan w:val="2"/>
            <w:tcBorders>
              <w:top w:val="single" w:sz="4" w:space="0" w:color="auto"/>
              <w:left w:val="single" w:sz="4" w:space="0" w:color="auto"/>
              <w:bottom w:val="single" w:sz="4" w:space="0" w:color="auto"/>
              <w:right w:val="single" w:sz="4" w:space="0" w:color="auto"/>
            </w:tcBorders>
          </w:tcPr>
          <w:p w14:paraId="593F5745" w14:textId="77777777" w:rsidR="003B0620" w:rsidRPr="00D42E24" w:rsidRDefault="003B0620" w:rsidP="00EC2C34">
            <w:pPr>
              <w:pStyle w:val="ListParagraph"/>
              <w:numPr>
                <w:ilvl w:val="0"/>
                <w:numId w:val="11"/>
              </w:numPr>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color w:val="auto"/>
                <w:sz w:val="18"/>
                <w:szCs w:val="18"/>
              </w:rPr>
              <w:t>Fully functioning mitigation fund, with a USD *** million initial capital, by end 2018.</w:t>
            </w:r>
          </w:p>
        </w:tc>
        <w:tc>
          <w:tcPr>
            <w:tcW w:w="2517" w:type="dxa"/>
            <w:tcBorders>
              <w:top w:val="single" w:sz="4" w:space="0" w:color="auto"/>
              <w:left w:val="single" w:sz="4" w:space="0" w:color="auto"/>
              <w:bottom w:val="single" w:sz="4" w:space="0" w:color="auto"/>
              <w:right w:val="single" w:sz="4" w:space="0" w:color="auto"/>
            </w:tcBorders>
          </w:tcPr>
          <w:p w14:paraId="6E03D5DE" w14:textId="77777777" w:rsidR="003B0620" w:rsidRPr="00D42E24" w:rsidRDefault="003B0620" w:rsidP="003B062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A4345B">
              <w:rPr>
                <w:rFonts w:ascii="Calibri" w:eastAsiaTheme="minorEastAsia" w:hAnsi="Calibri" w:cs="Calibri"/>
                <w:b/>
                <w:color w:val="auto"/>
                <w:sz w:val="18"/>
                <w:szCs w:val="18"/>
              </w:rPr>
              <w:t xml:space="preserve">AFD </w:t>
            </w:r>
            <w:r w:rsidRPr="00D42E24">
              <w:rPr>
                <w:rFonts w:ascii="Calibri" w:eastAsiaTheme="minorEastAsia" w:hAnsi="Calibri" w:cs="Calibri"/>
                <w:color w:val="auto"/>
                <w:sz w:val="18"/>
                <w:szCs w:val="18"/>
              </w:rPr>
              <w:t>is working on a public payment guarantee and an equity fund, mainly focused on Africa. Both tools will contribute to reduce perceived and investment risks and propose Senegal to be a key country of implementation</w:t>
            </w:r>
          </w:p>
          <w:p w14:paraId="2430A3C1" w14:textId="0236419A" w:rsidR="00C02E31" w:rsidRPr="00D42E24" w:rsidRDefault="00C02E31" w:rsidP="003B062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color w:val="auto"/>
                <w:sz w:val="18"/>
                <w:szCs w:val="18"/>
              </w:rPr>
              <w:t xml:space="preserve">IFC </w:t>
            </w:r>
            <w:r w:rsidR="009575DA">
              <w:rPr>
                <w:rFonts w:ascii="Calibri" w:eastAsiaTheme="minorEastAsia" w:hAnsi="Calibri" w:cs="Calibri"/>
                <w:color w:val="auto"/>
                <w:sz w:val="18"/>
                <w:szCs w:val="18"/>
              </w:rPr>
              <w:t xml:space="preserve">and MIGA </w:t>
            </w:r>
            <w:r w:rsidRPr="00D42E24">
              <w:rPr>
                <w:rFonts w:ascii="Calibri" w:eastAsiaTheme="minorEastAsia" w:hAnsi="Calibri" w:cs="Calibri"/>
                <w:color w:val="auto"/>
                <w:sz w:val="18"/>
                <w:szCs w:val="18"/>
              </w:rPr>
              <w:t>IDA PSW already available to reduce risk for private sector projects in Senegal</w:t>
            </w:r>
            <w:r w:rsidR="009575DA">
              <w:rPr>
                <w:rFonts w:ascii="Calibri" w:eastAsiaTheme="minorEastAsia" w:hAnsi="Calibri" w:cs="Calibri"/>
                <w:color w:val="auto"/>
                <w:sz w:val="18"/>
                <w:szCs w:val="18"/>
              </w:rPr>
              <w:t>. MIGA PRI addresses specific political risks.</w:t>
            </w:r>
          </w:p>
        </w:tc>
      </w:tr>
      <w:tr w:rsidR="00E62A0A" w:rsidRPr="00D42E24" w14:paraId="76503985" w14:textId="77777777" w:rsidTr="00EC2C34">
        <w:trPr>
          <w:trHeight w:val="665"/>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noWrap/>
          </w:tcPr>
          <w:p w14:paraId="1A6E01F9" w14:textId="77777777" w:rsidR="00E62A0A" w:rsidRPr="00D42E24" w:rsidRDefault="00E62A0A" w:rsidP="00E62A0A">
            <w:pPr>
              <w:rPr>
                <w:rFonts w:eastAsiaTheme="minorEastAsia" w:cstheme="minorHAnsi"/>
                <w:color w:val="auto"/>
                <w:sz w:val="18"/>
                <w:szCs w:val="18"/>
              </w:rPr>
            </w:pPr>
            <w:r w:rsidRPr="00D42E24">
              <w:rPr>
                <w:rFonts w:eastAsiaTheme="minorEastAsia" w:cstheme="minorHAnsi"/>
                <w:color w:val="auto"/>
                <w:sz w:val="18"/>
                <w:szCs w:val="18"/>
              </w:rPr>
              <w:lastRenderedPageBreak/>
              <w:t>Facilitate lending to the private sector</w:t>
            </w:r>
          </w:p>
        </w:tc>
        <w:tc>
          <w:tcPr>
            <w:tcW w:w="3290" w:type="dxa"/>
            <w:gridSpan w:val="2"/>
            <w:tcBorders>
              <w:top w:val="single" w:sz="4" w:space="0" w:color="auto"/>
              <w:left w:val="single" w:sz="4" w:space="0" w:color="auto"/>
              <w:bottom w:val="single" w:sz="4" w:space="0" w:color="auto"/>
              <w:right w:val="single" w:sz="4" w:space="0" w:color="auto"/>
            </w:tcBorders>
          </w:tcPr>
          <w:p w14:paraId="094E6D3A" w14:textId="77777777" w:rsidR="00E62A0A" w:rsidRPr="00D42E24" w:rsidRDefault="00E62A0A" w:rsidP="00E62A0A">
            <w:pPr>
              <w:pStyle w:val="ListParagraph"/>
              <w:numPr>
                <w:ilvl w:val="0"/>
                <w:numId w:val="17"/>
              </w:numPr>
              <w:ind w:left="-29" w:firstLine="0"/>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18"/>
                <w:szCs w:val="18"/>
              </w:rPr>
            </w:pPr>
            <w:r w:rsidRPr="00D42E24">
              <w:rPr>
                <w:rFonts w:eastAsiaTheme="minorEastAsia" w:cstheme="minorHAnsi"/>
                <w:color w:val="auto"/>
                <w:sz w:val="18"/>
                <w:szCs w:val="18"/>
              </w:rPr>
              <w:t>Address structural issues impeding lending to SMEs</w:t>
            </w:r>
          </w:p>
        </w:tc>
        <w:tc>
          <w:tcPr>
            <w:tcW w:w="3373" w:type="dxa"/>
            <w:gridSpan w:val="2"/>
            <w:tcBorders>
              <w:top w:val="single" w:sz="4" w:space="0" w:color="auto"/>
              <w:left w:val="single" w:sz="4" w:space="0" w:color="auto"/>
              <w:bottom w:val="single" w:sz="4" w:space="0" w:color="auto"/>
              <w:right w:val="single" w:sz="4" w:space="0" w:color="auto"/>
            </w:tcBorders>
          </w:tcPr>
          <w:p w14:paraId="20C0ED4A" w14:textId="77777777" w:rsidR="00E62A0A" w:rsidRPr="00D42E24" w:rsidRDefault="00E62A0A" w:rsidP="00E62A0A">
            <w:pPr>
              <w:pStyle w:val="ListParagraph"/>
              <w:numPr>
                <w:ilvl w:val="0"/>
                <w:numId w:val="11"/>
              </w:numPr>
              <w:ind w:left="346"/>
              <w:contextualSpacing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auto"/>
                <w:sz w:val="18"/>
                <w:szCs w:val="18"/>
              </w:rPr>
            </w:pPr>
            <w:r w:rsidRPr="00D42E24">
              <w:rPr>
                <w:rFonts w:ascii="Calibri" w:eastAsiaTheme="minorEastAsia" w:hAnsi="Calibri" w:cs="Calibri"/>
                <w:color w:val="auto"/>
                <w:sz w:val="18"/>
                <w:szCs w:val="18"/>
              </w:rPr>
              <w:t>Reforms to require data to be shared with credit bureau (drawing on example in Cote d’Ivoire) and make collateral easier to recover.</w:t>
            </w:r>
          </w:p>
        </w:tc>
        <w:tc>
          <w:tcPr>
            <w:tcW w:w="2517" w:type="dxa"/>
            <w:tcBorders>
              <w:top w:val="single" w:sz="4" w:space="0" w:color="auto"/>
              <w:left w:val="single" w:sz="4" w:space="0" w:color="auto"/>
              <w:bottom w:val="single" w:sz="4" w:space="0" w:color="auto"/>
              <w:right w:val="single" w:sz="4" w:space="0" w:color="auto"/>
            </w:tcBorders>
          </w:tcPr>
          <w:p w14:paraId="245BF199" w14:textId="77777777" w:rsidR="00E62A0A" w:rsidRPr="00D42E24" w:rsidRDefault="00E62A0A" w:rsidP="006904FD">
            <w:pPr>
              <w:cnfStyle w:val="000000000000" w:firstRow="0" w:lastRow="0" w:firstColumn="0" w:lastColumn="0" w:oddVBand="0" w:evenVBand="0" w:oddHBand="0" w:evenHBand="0" w:firstRowFirstColumn="0" w:firstRowLastColumn="0" w:lastRowFirstColumn="0" w:lastRowLastColumn="0"/>
              <w:rPr>
                <w:rFonts w:eastAsiaTheme="minorEastAsia" w:cstheme="majorHAnsi"/>
                <w:b/>
                <w:color w:val="auto"/>
                <w:sz w:val="18"/>
                <w:szCs w:val="18"/>
                <w:u w:val="single"/>
              </w:rPr>
            </w:pPr>
            <w:r w:rsidRPr="00A4345B">
              <w:rPr>
                <w:rFonts w:eastAsiaTheme="minorEastAsia" w:cstheme="majorHAnsi"/>
                <w:b/>
                <w:color w:val="auto"/>
                <w:sz w:val="18"/>
                <w:szCs w:val="18"/>
                <w:u w:val="single"/>
              </w:rPr>
              <w:t>W</w:t>
            </w:r>
            <w:r w:rsidR="006904FD">
              <w:rPr>
                <w:rFonts w:eastAsiaTheme="minorEastAsia" w:cstheme="majorHAnsi"/>
                <w:b/>
                <w:color w:val="auto"/>
                <w:sz w:val="18"/>
                <w:szCs w:val="18"/>
                <w:u w:val="single"/>
              </w:rPr>
              <w:t xml:space="preserve">BG </w:t>
            </w:r>
            <w:r>
              <w:rPr>
                <w:rFonts w:eastAsiaTheme="minorEastAsia" w:cstheme="majorHAnsi"/>
                <w:b/>
                <w:color w:val="auto"/>
                <w:sz w:val="18"/>
                <w:szCs w:val="18"/>
              </w:rPr>
              <w:t xml:space="preserve">: </w:t>
            </w:r>
            <w:r w:rsidRPr="00A4345B">
              <w:rPr>
                <w:rFonts w:ascii="Calibri" w:eastAsiaTheme="minorEastAsia" w:hAnsi="Calibri" w:cs="Calibri"/>
                <w:color w:val="auto"/>
                <w:sz w:val="18"/>
                <w:szCs w:val="18"/>
              </w:rPr>
              <w:t>Assistance to develop a strategy to identif</w:t>
            </w:r>
            <w:r w:rsidR="0079608B" w:rsidRPr="00A4345B">
              <w:rPr>
                <w:rFonts w:ascii="Calibri" w:eastAsiaTheme="minorEastAsia" w:hAnsi="Calibri" w:cs="Calibri"/>
                <w:color w:val="auto"/>
                <w:sz w:val="18"/>
                <w:szCs w:val="18"/>
              </w:rPr>
              <w:t>y</w:t>
            </w:r>
            <w:r w:rsidRPr="00A4345B">
              <w:rPr>
                <w:rFonts w:ascii="Calibri" w:eastAsiaTheme="minorEastAsia" w:hAnsi="Calibri" w:cs="Calibri"/>
                <w:color w:val="auto"/>
                <w:sz w:val="18"/>
                <w:szCs w:val="18"/>
              </w:rPr>
              <w:t xml:space="preserve"> </w:t>
            </w:r>
            <w:r w:rsidR="0079608B" w:rsidRPr="00A4345B">
              <w:rPr>
                <w:rFonts w:ascii="Calibri" w:eastAsiaTheme="minorEastAsia" w:hAnsi="Calibri" w:cs="Calibri"/>
                <w:color w:val="auto"/>
                <w:sz w:val="18"/>
                <w:szCs w:val="18"/>
              </w:rPr>
              <w:t>a prioritized action</w:t>
            </w:r>
            <w:r w:rsidRPr="00A4345B">
              <w:rPr>
                <w:rFonts w:ascii="Calibri" w:eastAsiaTheme="minorEastAsia" w:hAnsi="Calibri" w:cs="Calibri"/>
                <w:color w:val="auto"/>
                <w:sz w:val="18"/>
                <w:szCs w:val="18"/>
              </w:rPr>
              <w:t xml:space="preserve"> plan of reforms to promote SME access to finance.</w:t>
            </w:r>
            <w:r>
              <w:rPr>
                <w:rFonts w:eastAsiaTheme="minorEastAsia" w:cstheme="majorHAnsi"/>
                <w:color w:val="auto"/>
                <w:sz w:val="18"/>
                <w:szCs w:val="18"/>
              </w:rPr>
              <w:t xml:space="preserve"> </w:t>
            </w:r>
          </w:p>
        </w:tc>
      </w:tr>
    </w:tbl>
    <w:p w14:paraId="7EBB9355" w14:textId="77777777" w:rsidR="003244C4" w:rsidRPr="00D42E24" w:rsidRDefault="003244C4" w:rsidP="00813139"/>
    <w:sectPr w:rsidR="003244C4" w:rsidRPr="00D42E24" w:rsidSect="00C11A7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963A" w14:textId="77777777" w:rsidR="00306F2D" w:rsidRDefault="00306F2D" w:rsidP="00472309">
      <w:pPr>
        <w:spacing w:after="0" w:line="240" w:lineRule="auto"/>
      </w:pPr>
      <w:r>
        <w:separator/>
      </w:r>
    </w:p>
  </w:endnote>
  <w:endnote w:type="continuationSeparator" w:id="0">
    <w:p w14:paraId="336DD1D7" w14:textId="77777777" w:rsidR="00306F2D" w:rsidRDefault="00306F2D" w:rsidP="0047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2D2DB" w14:textId="77777777" w:rsidR="00306F2D" w:rsidRDefault="00306F2D" w:rsidP="00472309">
      <w:pPr>
        <w:spacing w:after="0" w:line="240" w:lineRule="auto"/>
      </w:pPr>
      <w:r>
        <w:separator/>
      </w:r>
    </w:p>
  </w:footnote>
  <w:footnote w:type="continuationSeparator" w:id="0">
    <w:p w14:paraId="1576878E" w14:textId="77777777" w:rsidR="00306F2D" w:rsidRDefault="00306F2D" w:rsidP="00472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33B6" w14:textId="77777777" w:rsidR="00472309" w:rsidRPr="0099316D" w:rsidRDefault="00472309" w:rsidP="00472309">
    <w:pPr>
      <w:spacing w:after="0" w:line="240" w:lineRule="auto"/>
      <w:jc w:val="center"/>
      <w:rPr>
        <w:rFonts w:eastAsia="PMingLiU" w:cstheme="minorHAnsi"/>
        <w:b/>
        <w:color w:val="44546A" w:themeColor="text2"/>
      </w:rPr>
    </w:pPr>
    <w:r w:rsidRPr="0099316D">
      <w:rPr>
        <w:rFonts w:eastAsia="PMingLiU" w:cstheme="minorHAnsi"/>
        <w:b/>
        <w:noProof/>
        <w:color w:val="44546A" w:themeColor="text2"/>
        <w:lang w:val="fr-FR" w:eastAsia="fr-FR"/>
      </w:rPr>
      <w:drawing>
        <wp:anchor distT="0" distB="0" distL="114300" distR="114300" simplePos="0" relativeHeight="251659264" behindDoc="0" locked="0" layoutInCell="1" allowOverlap="1" wp14:anchorId="41BFA08F" wp14:editId="6F7F5B0C">
          <wp:simplePos x="0" y="0"/>
          <wp:positionH relativeFrom="margin">
            <wp:posOffset>-84455</wp:posOffset>
          </wp:positionH>
          <wp:positionV relativeFrom="paragraph">
            <wp:posOffset>-130175</wp:posOffset>
          </wp:positionV>
          <wp:extent cx="789305" cy="526203"/>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rica_jpg_imfresize_380_high.jpg"/>
                  <pic:cNvPicPr/>
                </pic:nvPicPr>
                <pic:blipFill>
                  <a:blip r:embed="rId1">
                    <a:extLst>
                      <a:ext uri="{28A0092B-C50C-407E-A947-70E740481C1C}">
                        <a14:useLocalDpi xmlns:a14="http://schemas.microsoft.com/office/drawing/2010/main" val="0"/>
                      </a:ext>
                    </a:extLst>
                  </a:blip>
                  <a:stretch>
                    <a:fillRect/>
                  </a:stretch>
                </pic:blipFill>
                <pic:spPr>
                  <a:xfrm>
                    <a:off x="0" y="0"/>
                    <a:ext cx="789305" cy="526203"/>
                  </a:xfrm>
                  <a:prstGeom prst="rect">
                    <a:avLst/>
                  </a:prstGeom>
                </pic:spPr>
              </pic:pic>
            </a:graphicData>
          </a:graphic>
        </wp:anchor>
      </w:drawing>
    </w:r>
    <w:r w:rsidRPr="0099316D">
      <w:rPr>
        <w:rFonts w:eastAsia="PMingLiU" w:cstheme="minorHAnsi"/>
        <w:b/>
        <w:color w:val="44546A" w:themeColor="text2"/>
      </w:rPr>
      <w:t xml:space="preserve">Report to G20 Compact with Africa </w:t>
    </w:r>
  </w:p>
  <w:p w14:paraId="0CD2A191" w14:textId="77777777" w:rsidR="00472309" w:rsidRPr="0099316D" w:rsidRDefault="00943429" w:rsidP="00472309">
    <w:pPr>
      <w:spacing w:after="0" w:line="240" w:lineRule="auto"/>
      <w:jc w:val="center"/>
      <w:rPr>
        <w:rFonts w:eastAsia="PMingLiU" w:cstheme="minorHAnsi"/>
        <w:b/>
        <w:color w:val="44546A" w:themeColor="text2"/>
      </w:rPr>
    </w:pPr>
    <w:r>
      <w:rPr>
        <w:rFonts w:eastAsia="PMingLiU" w:cstheme="minorHAnsi"/>
        <w:b/>
        <w:color w:val="44546A" w:themeColor="text2"/>
      </w:rPr>
      <w:t>Senegal</w:t>
    </w:r>
    <w:r w:rsidR="00472309">
      <w:rPr>
        <w:rFonts w:eastAsia="PMingLiU" w:cstheme="minorHAnsi"/>
        <w:b/>
        <w:color w:val="44546A" w:themeColor="text2"/>
      </w:rPr>
      <w:t xml:space="preserve"> Policy Matrix</w:t>
    </w:r>
  </w:p>
  <w:p w14:paraId="078CDFFE" w14:textId="77777777" w:rsidR="00472309" w:rsidRPr="0099316D" w:rsidRDefault="00472309" w:rsidP="00472309">
    <w:pPr>
      <w:pStyle w:val="Header"/>
      <w:spacing w:after="120"/>
      <w:jc w:val="center"/>
      <w:rPr>
        <w:color w:val="44546A" w:themeColor="text2"/>
      </w:rPr>
    </w:pPr>
    <w:r w:rsidRPr="0099316D">
      <w:rPr>
        <w:rFonts w:eastAsia="PMingLiU" w:cstheme="minorHAnsi"/>
        <w:b/>
        <w:color w:val="44546A" w:themeColor="text2"/>
      </w:rPr>
      <w:t>Goal: Improve framework conditions for private investment (domestic and foreign)</w:t>
    </w:r>
  </w:p>
  <w:p w14:paraId="4279BC1C" w14:textId="77777777" w:rsidR="00472309" w:rsidRDefault="00472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A"/>
    <w:multiLevelType w:val="hybridMultilevel"/>
    <w:tmpl w:val="97A4D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386964"/>
    <w:multiLevelType w:val="hybridMultilevel"/>
    <w:tmpl w:val="6F64AE9E"/>
    <w:lvl w:ilvl="0" w:tplc="0409000B">
      <w:start w:val="1"/>
      <w:numFmt w:val="bullet"/>
      <w:lvlText w:val=""/>
      <w:lvlJc w:val="left"/>
      <w:pPr>
        <w:tabs>
          <w:tab w:val="num" w:pos="720"/>
        </w:tabs>
        <w:ind w:left="720" w:hanging="360"/>
      </w:pPr>
      <w:rPr>
        <w:rFonts w:ascii="Wingdings" w:hAnsi="Wingdings" w:hint="default"/>
      </w:rPr>
    </w:lvl>
    <w:lvl w:ilvl="1" w:tplc="A0B23EFA" w:tentative="1">
      <w:start w:val="1"/>
      <w:numFmt w:val="bullet"/>
      <w:lvlText w:val="•"/>
      <w:lvlJc w:val="left"/>
      <w:pPr>
        <w:tabs>
          <w:tab w:val="num" w:pos="1440"/>
        </w:tabs>
        <w:ind w:left="1440" w:hanging="360"/>
      </w:pPr>
      <w:rPr>
        <w:rFonts w:ascii="Arial" w:hAnsi="Arial" w:hint="default"/>
      </w:rPr>
    </w:lvl>
    <w:lvl w:ilvl="2" w:tplc="6FB4B268" w:tentative="1">
      <w:start w:val="1"/>
      <w:numFmt w:val="bullet"/>
      <w:lvlText w:val="•"/>
      <w:lvlJc w:val="left"/>
      <w:pPr>
        <w:tabs>
          <w:tab w:val="num" w:pos="2160"/>
        </w:tabs>
        <w:ind w:left="2160" w:hanging="360"/>
      </w:pPr>
      <w:rPr>
        <w:rFonts w:ascii="Arial" w:hAnsi="Arial" w:hint="default"/>
      </w:rPr>
    </w:lvl>
    <w:lvl w:ilvl="3" w:tplc="C5C4A5C4" w:tentative="1">
      <w:start w:val="1"/>
      <w:numFmt w:val="bullet"/>
      <w:lvlText w:val="•"/>
      <w:lvlJc w:val="left"/>
      <w:pPr>
        <w:tabs>
          <w:tab w:val="num" w:pos="2880"/>
        </w:tabs>
        <w:ind w:left="2880" w:hanging="360"/>
      </w:pPr>
      <w:rPr>
        <w:rFonts w:ascii="Arial" w:hAnsi="Arial" w:hint="default"/>
      </w:rPr>
    </w:lvl>
    <w:lvl w:ilvl="4" w:tplc="CEAC4560" w:tentative="1">
      <w:start w:val="1"/>
      <w:numFmt w:val="bullet"/>
      <w:lvlText w:val="•"/>
      <w:lvlJc w:val="left"/>
      <w:pPr>
        <w:tabs>
          <w:tab w:val="num" w:pos="3600"/>
        </w:tabs>
        <w:ind w:left="3600" w:hanging="360"/>
      </w:pPr>
      <w:rPr>
        <w:rFonts w:ascii="Arial" w:hAnsi="Arial" w:hint="default"/>
      </w:rPr>
    </w:lvl>
    <w:lvl w:ilvl="5" w:tplc="C79436DC" w:tentative="1">
      <w:start w:val="1"/>
      <w:numFmt w:val="bullet"/>
      <w:lvlText w:val="•"/>
      <w:lvlJc w:val="left"/>
      <w:pPr>
        <w:tabs>
          <w:tab w:val="num" w:pos="4320"/>
        </w:tabs>
        <w:ind w:left="4320" w:hanging="360"/>
      </w:pPr>
      <w:rPr>
        <w:rFonts w:ascii="Arial" w:hAnsi="Arial" w:hint="default"/>
      </w:rPr>
    </w:lvl>
    <w:lvl w:ilvl="6" w:tplc="06205868" w:tentative="1">
      <w:start w:val="1"/>
      <w:numFmt w:val="bullet"/>
      <w:lvlText w:val="•"/>
      <w:lvlJc w:val="left"/>
      <w:pPr>
        <w:tabs>
          <w:tab w:val="num" w:pos="5040"/>
        </w:tabs>
        <w:ind w:left="5040" w:hanging="360"/>
      </w:pPr>
      <w:rPr>
        <w:rFonts w:ascii="Arial" w:hAnsi="Arial" w:hint="default"/>
      </w:rPr>
    </w:lvl>
    <w:lvl w:ilvl="7" w:tplc="21842AEA" w:tentative="1">
      <w:start w:val="1"/>
      <w:numFmt w:val="bullet"/>
      <w:lvlText w:val="•"/>
      <w:lvlJc w:val="left"/>
      <w:pPr>
        <w:tabs>
          <w:tab w:val="num" w:pos="5760"/>
        </w:tabs>
        <w:ind w:left="5760" w:hanging="360"/>
      </w:pPr>
      <w:rPr>
        <w:rFonts w:ascii="Arial" w:hAnsi="Arial" w:hint="default"/>
      </w:rPr>
    </w:lvl>
    <w:lvl w:ilvl="8" w:tplc="DB5CE0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4E7B3B"/>
    <w:multiLevelType w:val="hybridMultilevel"/>
    <w:tmpl w:val="CE40E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97F29"/>
    <w:multiLevelType w:val="hybridMultilevel"/>
    <w:tmpl w:val="2DA803E6"/>
    <w:lvl w:ilvl="0" w:tplc="E77E8FBC">
      <w:start w:val="1"/>
      <w:numFmt w:val="bullet"/>
      <w:lvlText w:val="-"/>
      <w:lvlJc w:val="left"/>
      <w:pPr>
        <w:tabs>
          <w:tab w:val="num" w:pos="720"/>
        </w:tabs>
        <w:ind w:left="720" w:hanging="360"/>
      </w:pPr>
      <w:rPr>
        <w:rFonts w:ascii="Times New Roman" w:hAnsi="Times New Roman" w:hint="default"/>
      </w:rPr>
    </w:lvl>
    <w:lvl w:ilvl="1" w:tplc="9710D91A">
      <w:start w:val="1"/>
      <w:numFmt w:val="bullet"/>
      <w:lvlText w:val="-"/>
      <w:lvlJc w:val="left"/>
      <w:pPr>
        <w:tabs>
          <w:tab w:val="num" w:pos="1440"/>
        </w:tabs>
        <w:ind w:left="1440" w:hanging="360"/>
      </w:pPr>
      <w:rPr>
        <w:rFonts w:ascii="Times New Roman" w:hAnsi="Times New Roman" w:hint="default"/>
      </w:rPr>
    </w:lvl>
    <w:lvl w:ilvl="2" w:tplc="5CFA3E7A" w:tentative="1">
      <w:start w:val="1"/>
      <w:numFmt w:val="bullet"/>
      <w:lvlText w:val="-"/>
      <w:lvlJc w:val="left"/>
      <w:pPr>
        <w:tabs>
          <w:tab w:val="num" w:pos="2160"/>
        </w:tabs>
        <w:ind w:left="2160" w:hanging="360"/>
      </w:pPr>
      <w:rPr>
        <w:rFonts w:ascii="Times New Roman" w:hAnsi="Times New Roman" w:hint="default"/>
      </w:rPr>
    </w:lvl>
    <w:lvl w:ilvl="3" w:tplc="255C84A6" w:tentative="1">
      <w:start w:val="1"/>
      <w:numFmt w:val="bullet"/>
      <w:lvlText w:val="-"/>
      <w:lvlJc w:val="left"/>
      <w:pPr>
        <w:tabs>
          <w:tab w:val="num" w:pos="2880"/>
        </w:tabs>
        <w:ind w:left="2880" w:hanging="360"/>
      </w:pPr>
      <w:rPr>
        <w:rFonts w:ascii="Times New Roman" w:hAnsi="Times New Roman" w:hint="default"/>
      </w:rPr>
    </w:lvl>
    <w:lvl w:ilvl="4" w:tplc="6970885E" w:tentative="1">
      <w:start w:val="1"/>
      <w:numFmt w:val="bullet"/>
      <w:lvlText w:val="-"/>
      <w:lvlJc w:val="left"/>
      <w:pPr>
        <w:tabs>
          <w:tab w:val="num" w:pos="3600"/>
        </w:tabs>
        <w:ind w:left="3600" w:hanging="360"/>
      </w:pPr>
      <w:rPr>
        <w:rFonts w:ascii="Times New Roman" w:hAnsi="Times New Roman" w:hint="default"/>
      </w:rPr>
    </w:lvl>
    <w:lvl w:ilvl="5" w:tplc="FE86EF00" w:tentative="1">
      <w:start w:val="1"/>
      <w:numFmt w:val="bullet"/>
      <w:lvlText w:val="-"/>
      <w:lvlJc w:val="left"/>
      <w:pPr>
        <w:tabs>
          <w:tab w:val="num" w:pos="4320"/>
        </w:tabs>
        <w:ind w:left="4320" w:hanging="360"/>
      </w:pPr>
      <w:rPr>
        <w:rFonts w:ascii="Times New Roman" w:hAnsi="Times New Roman" w:hint="default"/>
      </w:rPr>
    </w:lvl>
    <w:lvl w:ilvl="6" w:tplc="958CC136" w:tentative="1">
      <w:start w:val="1"/>
      <w:numFmt w:val="bullet"/>
      <w:lvlText w:val="-"/>
      <w:lvlJc w:val="left"/>
      <w:pPr>
        <w:tabs>
          <w:tab w:val="num" w:pos="5040"/>
        </w:tabs>
        <w:ind w:left="5040" w:hanging="360"/>
      </w:pPr>
      <w:rPr>
        <w:rFonts w:ascii="Times New Roman" w:hAnsi="Times New Roman" w:hint="default"/>
      </w:rPr>
    </w:lvl>
    <w:lvl w:ilvl="7" w:tplc="AF32B298" w:tentative="1">
      <w:start w:val="1"/>
      <w:numFmt w:val="bullet"/>
      <w:lvlText w:val="-"/>
      <w:lvlJc w:val="left"/>
      <w:pPr>
        <w:tabs>
          <w:tab w:val="num" w:pos="5760"/>
        </w:tabs>
        <w:ind w:left="5760" w:hanging="360"/>
      </w:pPr>
      <w:rPr>
        <w:rFonts w:ascii="Times New Roman" w:hAnsi="Times New Roman" w:hint="default"/>
      </w:rPr>
    </w:lvl>
    <w:lvl w:ilvl="8" w:tplc="F21242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5ED1654"/>
    <w:multiLevelType w:val="hybridMultilevel"/>
    <w:tmpl w:val="A54CF694"/>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0DED7D19"/>
    <w:multiLevelType w:val="hybridMultilevel"/>
    <w:tmpl w:val="DEFCF060"/>
    <w:lvl w:ilvl="0" w:tplc="20C44302">
      <w:start w:val="1"/>
      <w:numFmt w:val="bullet"/>
      <w:lvlText w:val="-"/>
      <w:lvlJc w:val="left"/>
      <w:pPr>
        <w:tabs>
          <w:tab w:val="num" w:pos="720"/>
        </w:tabs>
        <w:ind w:left="720" w:hanging="360"/>
      </w:pPr>
      <w:rPr>
        <w:rFonts w:ascii="Times New Roman" w:hAnsi="Times New Roman" w:hint="default"/>
      </w:rPr>
    </w:lvl>
    <w:lvl w:ilvl="1" w:tplc="2A08DDDA" w:tentative="1">
      <w:start w:val="1"/>
      <w:numFmt w:val="bullet"/>
      <w:lvlText w:val="-"/>
      <w:lvlJc w:val="left"/>
      <w:pPr>
        <w:tabs>
          <w:tab w:val="num" w:pos="1440"/>
        </w:tabs>
        <w:ind w:left="1440" w:hanging="360"/>
      </w:pPr>
      <w:rPr>
        <w:rFonts w:ascii="Times New Roman" w:hAnsi="Times New Roman" w:hint="default"/>
      </w:rPr>
    </w:lvl>
    <w:lvl w:ilvl="2" w:tplc="8C32C0D2" w:tentative="1">
      <w:start w:val="1"/>
      <w:numFmt w:val="bullet"/>
      <w:lvlText w:val="-"/>
      <w:lvlJc w:val="left"/>
      <w:pPr>
        <w:tabs>
          <w:tab w:val="num" w:pos="2160"/>
        </w:tabs>
        <w:ind w:left="2160" w:hanging="360"/>
      </w:pPr>
      <w:rPr>
        <w:rFonts w:ascii="Times New Roman" w:hAnsi="Times New Roman" w:hint="default"/>
      </w:rPr>
    </w:lvl>
    <w:lvl w:ilvl="3" w:tplc="F0B6022A" w:tentative="1">
      <w:start w:val="1"/>
      <w:numFmt w:val="bullet"/>
      <w:lvlText w:val="-"/>
      <w:lvlJc w:val="left"/>
      <w:pPr>
        <w:tabs>
          <w:tab w:val="num" w:pos="2880"/>
        </w:tabs>
        <w:ind w:left="2880" w:hanging="360"/>
      </w:pPr>
      <w:rPr>
        <w:rFonts w:ascii="Times New Roman" w:hAnsi="Times New Roman" w:hint="default"/>
      </w:rPr>
    </w:lvl>
    <w:lvl w:ilvl="4" w:tplc="5FEA32EC" w:tentative="1">
      <w:start w:val="1"/>
      <w:numFmt w:val="bullet"/>
      <w:lvlText w:val="-"/>
      <w:lvlJc w:val="left"/>
      <w:pPr>
        <w:tabs>
          <w:tab w:val="num" w:pos="3600"/>
        </w:tabs>
        <w:ind w:left="3600" w:hanging="360"/>
      </w:pPr>
      <w:rPr>
        <w:rFonts w:ascii="Times New Roman" w:hAnsi="Times New Roman" w:hint="default"/>
      </w:rPr>
    </w:lvl>
    <w:lvl w:ilvl="5" w:tplc="1026C964" w:tentative="1">
      <w:start w:val="1"/>
      <w:numFmt w:val="bullet"/>
      <w:lvlText w:val="-"/>
      <w:lvlJc w:val="left"/>
      <w:pPr>
        <w:tabs>
          <w:tab w:val="num" w:pos="4320"/>
        </w:tabs>
        <w:ind w:left="4320" w:hanging="360"/>
      </w:pPr>
      <w:rPr>
        <w:rFonts w:ascii="Times New Roman" w:hAnsi="Times New Roman" w:hint="default"/>
      </w:rPr>
    </w:lvl>
    <w:lvl w:ilvl="6" w:tplc="7FF207C4" w:tentative="1">
      <w:start w:val="1"/>
      <w:numFmt w:val="bullet"/>
      <w:lvlText w:val="-"/>
      <w:lvlJc w:val="left"/>
      <w:pPr>
        <w:tabs>
          <w:tab w:val="num" w:pos="5040"/>
        </w:tabs>
        <w:ind w:left="5040" w:hanging="360"/>
      </w:pPr>
      <w:rPr>
        <w:rFonts w:ascii="Times New Roman" w:hAnsi="Times New Roman" w:hint="default"/>
      </w:rPr>
    </w:lvl>
    <w:lvl w:ilvl="7" w:tplc="4D3A04CA" w:tentative="1">
      <w:start w:val="1"/>
      <w:numFmt w:val="bullet"/>
      <w:lvlText w:val="-"/>
      <w:lvlJc w:val="left"/>
      <w:pPr>
        <w:tabs>
          <w:tab w:val="num" w:pos="5760"/>
        </w:tabs>
        <w:ind w:left="5760" w:hanging="360"/>
      </w:pPr>
      <w:rPr>
        <w:rFonts w:ascii="Times New Roman" w:hAnsi="Times New Roman" w:hint="default"/>
      </w:rPr>
    </w:lvl>
    <w:lvl w:ilvl="8" w:tplc="07BAE9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4C3804"/>
    <w:multiLevelType w:val="hybridMultilevel"/>
    <w:tmpl w:val="76EE1CB8"/>
    <w:lvl w:ilvl="0" w:tplc="08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0B066F3"/>
    <w:multiLevelType w:val="hybridMultilevel"/>
    <w:tmpl w:val="AB5A4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3461C"/>
    <w:multiLevelType w:val="hybridMultilevel"/>
    <w:tmpl w:val="AC1A0658"/>
    <w:lvl w:ilvl="0" w:tplc="4404C7CE">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44083"/>
    <w:multiLevelType w:val="hybridMultilevel"/>
    <w:tmpl w:val="0148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91C7C"/>
    <w:multiLevelType w:val="hybridMultilevel"/>
    <w:tmpl w:val="330E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153B2"/>
    <w:multiLevelType w:val="hybridMultilevel"/>
    <w:tmpl w:val="9B021752"/>
    <w:lvl w:ilvl="0" w:tplc="0409000B">
      <w:start w:val="1"/>
      <w:numFmt w:val="bullet"/>
      <w:lvlText w:val=""/>
      <w:lvlJc w:val="left"/>
      <w:pPr>
        <w:tabs>
          <w:tab w:val="num" w:pos="720"/>
        </w:tabs>
        <w:ind w:left="720" w:hanging="360"/>
      </w:pPr>
      <w:rPr>
        <w:rFonts w:ascii="Wingdings" w:hAnsi="Wingdings" w:hint="default"/>
      </w:rPr>
    </w:lvl>
    <w:lvl w:ilvl="1" w:tplc="692055D4" w:tentative="1">
      <w:start w:val="1"/>
      <w:numFmt w:val="bullet"/>
      <w:lvlText w:val="-"/>
      <w:lvlJc w:val="left"/>
      <w:pPr>
        <w:tabs>
          <w:tab w:val="num" w:pos="1440"/>
        </w:tabs>
        <w:ind w:left="1440" w:hanging="360"/>
      </w:pPr>
      <w:rPr>
        <w:rFonts w:ascii="Times New Roman" w:hAnsi="Times New Roman" w:hint="default"/>
      </w:rPr>
    </w:lvl>
    <w:lvl w:ilvl="2" w:tplc="29F4CF1C" w:tentative="1">
      <w:start w:val="1"/>
      <w:numFmt w:val="bullet"/>
      <w:lvlText w:val="-"/>
      <w:lvlJc w:val="left"/>
      <w:pPr>
        <w:tabs>
          <w:tab w:val="num" w:pos="2160"/>
        </w:tabs>
        <w:ind w:left="2160" w:hanging="360"/>
      </w:pPr>
      <w:rPr>
        <w:rFonts w:ascii="Times New Roman" w:hAnsi="Times New Roman" w:hint="default"/>
      </w:rPr>
    </w:lvl>
    <w:lvl w:ilvl="3" w:tplc="0C7EB5DA" w:tentative="1">
      <w:start w:val="1"/>
      <w:numFmt w:val="bullet"/>
      <w:lvlText w:val="-"/>
      <w:lvlJc w:val="left"/>
      <w:pPr>
        <w:tabs>
          <w:tab w:val="num" w:pos="2880"/>
        </w:tabs>
        <w:ind w:left="2880" w:hanging="360"/>
      </w:pPr>
      <w:rPr>
        <w:rFonts w:ascii="Times New Roman" w:hAnsi="Times New Roman" w:hint="default"/>
      </w:rPr>
    </w:lvl>
    <w:lvl w:ilvl="4" w:tplc="15B87274" w:tentative="1">
      <w:start w:val="1"/>
      <w:numFmt w:val="bullet"/>
      <w:lvlText w:val="-"/>
      <w:lvlJc w:val="left"/>
      <w:pPr>
        <w:tabs>
          <w:tab w:val="num" w:pos="3600"/>
        </w:tabs>
        <w:ind w:left="3600" w:hanging="360"/>
      </w:pPr>
      <w:rPr>
        <w:rFonts w:ascii="Times New Roman" w:hAnsi="Times New Roman" w:hint="default"/>
      </w:rPr>
    </w:lvl>
    <w:lvl w:ilvl="5" w:tplc="40E4C4F4" w:tentative="1">
      <w:start w:val="1"/>
      <w:numFmt w:val="bullet"/>
      <w:lvlText w:val="-"/>
      <w:lvlJc w:val="left"/>
      <w:pPr>
        <w:tabs>
          <w:tab w:val="num" w:pos="4320"/>
        </w:tabs>
        <w:ind w:left="4320" w:hanging="360"/>
      </w:pPr>
      <w:rPr>
        <w:rFonts w:ascii="Times New Roman" w:hAnsi="Times New Roman" w:hint="default"/>
      </w:rPr>
    </w:lvl>
    <w:lvl w:ilvl="6" w:tplc="4AFC1E44" w:tentative="1">
      <w:start w:val="1"/>
      <w:numFmt w:val="bullet"/>
      <w:lvlText w:val="-"/>
      <w:lvlJc w:val="left"/>
      <w:pPr>
        <w:tabs>
          <w:tab w:val="num" w:pos="5040"/>
        </w:tabs>
        <w:ind w:left="5040" w:hanging="360"/>
      </w:pPr>
      <w:rPr>
        <w:rFonts w:ascii="Times New Roman" w:hAnsi="Times New Roman" w:hint="default"/>
      </w:rPr>
    </w:lvl>
    <w:lvl w:ilvl="7" w:tplc="599076C6" w:tentative="1">
      <w:start w:val="1"/>
      <w:numFmt w:val="bullet"/>
      <w:lvlText w:val="-"/>
      <w:lvlJc w:val="left"/>
      <w:pPr>
        <w:tabs>
          <w:tab w:val="num" w:pos="5760"/>
        </w:tabs>
        <w:ind w:left="5760" w:hanging="360"/>
      </w:pPr>
      <w:rPr>
        <w:rFonts w:ascii="Times New Roman" w:hAnsi="Times New Roman" w:hint="default"/>
      </w:rPr>
    </w:lvl>
    <w:lvl w:ilvl="8" w:tplc="EDD82A6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2215CF"/>
    <w:multiLevelType w:val="hybridMultilevel"/>
    <w:tmpl w:val="0148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F1F11"/>
    <w:multiLevelType w:val="hybridMultilevel"/>
    <w:tmpl w:val="0148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62C1E"/>
    <w:multiLevelType w:val="hybridMultilevel"/>
    <w:tmpl w:val="59905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F08D3"/>
    <w:multiLevelType w:val="hybridMultilevel"/>
    <w:tmpl w:val="4D923FD8"/>
    <w:lvl w:ilvl="0" w:tplc="CF64AF10">
      <w:start w:val="1"/>
      <w:numFmt w:val="bullet"/>
      <w:lvlText w:val="-"/>
      <w:lvlJc w:val="left"/>
      <w:pPr>
        <w:tabs>
          <w:tab w:val="num" w:pos="720"/>
        </w:tabs>
        <w:ind w:left="720" w:hanging="360"/>
      </w:pPr>
      <w:rPr>
        <w:rFonts w:ascii="Times New Roman" w:hAnsi="Times New Roman" w:hint="default"/>
      </w:rPr>
    </w:lvl>
    <w:lvl w:ilvl="1" w:tplc="75580F2A" w:tentative="1">
      <w:start w:val="1"/>
      <w:numFmt w:val="bullet"/>
      <w:lvlText w:val="-"/>
      <w:lvlJc w:val="left"/>
      <w:pPr>
        <w:tabs>
          <w:tab w:val="num" w:pos="1440"/>
        </w:tabs>
        <w:ind w:left="1440" w:hanging="360"/>
      </w:pPr>
      <w:rPr>
        <w:rFonts w:ascii="Times New Roman" w:hAnsi="Times New Roman" w:hint="default"/>
      </w:rPr>
    </w:lvl>
    <w:lvl w:ilvl="2" w:tplc="19CE6098" w:tentative="1">
      <w:start w:val="1"/>
      <w:numFmt w:val="bullet"/>
      <w:lvlText w:val="-"/>
      <w:lvlJc w:val="left"/>
      <w:pPr>
        <w:tabs>
          <w:tab w:val="num" w:pos="2160"/>
        </w:tabs>
        <w:ind w:left="2160" w:hanging="360"/>
      </w:pPr>
      <w:rPr>
        <w:rFonts w:ascii="Times New Roman" w:hAnsi="Times New Roman" w:hint="default"/>
      </w:rPr>
    </w:lvl>
    <w:lvl w:ilvl="3" w:tplc="2EDAA7D4" w:tentative="1">
      <w:start w:val="1"/>
      <w:numFmt w:val="bullet"/>
      <w:lvlText w:val="-"/>
      <w:lvlJc w:val="left"/>
      <w:pPr>
        <w:tabs>
          <w:tab w:val="num" w:pos="2880"/>
        </w:tabs>
        <w:ind w:left="2880" w:hanging="360"/>
      </w:pPr>
      <w:rPr>
        <w:rFonts w:ascii="Times New Roman" w:hAnsi="Times New Roman" w:hint="default"/>
      </w:rPr>
    </w:lvl>
    <w:lvl w:ilvl="4" w:tplc="E98893FA" w:tentative="1">
      <w:start w:val="1"/>
      <w:numFmt w:val="bullet"/>
      <w:lvlText w:val="-"/>
      <w:lvlJc w:val="left"/>
      <w:pPr>
        <w:tabs>
          <w:tab w:val="num" w:pos="3600"/>
        </w:tabs>
        <w:ind w:left="3600" w:hanging="360"/>
      </w:pPr>
      <w:rPr>
        <w:rFonts w:ascii="Times New Roman" w:hAnsi="Times New Roman" w:hint="default"/>
      </w:rPr>
    </w:lvl>
    <w:lvl w:ilvl="5" w:tplc="5978C474" w:tentative="1">
      <w:start w:val="1"/>
      <w:numFmt w:val="bullet"/>
      <w:lvlText w:val="-"/>
      <w:lvlJc w:val="left"/>
      <w:pPr>
        <w:tabs>
          <w:tab w:val="num" w:pos="4320"/>
        </w:tabs>
        <w:ind w:left="4320" w:hanging="360"/>
      </w:pPr>
      <w:rPr>
        <w:rFonts w:ascii="Times New Roman" w:hAnsi="Times New Roman" w:hint="default"/>
      </w:rPr>
    </w:lvl>
    <w:lvl w:ilvl="6" w:tplc="124E7D62" w:tentative="1">
      <w:start w:val="1"/>
      <w:numFmt w:val="bullet"/>
      <w:lvlText w:val="-"/>
      <w:lvlJc w:val="left"/>
      <w:pPr>
        <w:tabs>
          <w:tab w:val="num" w:pos="5040"/>
        </w:tabs>
        <w:ind w:left="5040" w:hanging="360"/>
      </w:pPr>
      <w:rPr>
        <w:rFonts w:ascii="Times New Roman" w:hAnsi="Times New Roman" w:hint="default"/>
      </w:rPr>
    </w:lvl>
    <w:lvl w:ilvl="7" w:tplc="8F925B06" w:tentative="1">
      <w:start w:val="1"/>
      <w:numFmt w:val="bullet"/>
      <w:lvlText w:val="-"/>
      <w:lvlJc w:val="left"/>
      <w:pPr>
        <w:tabs>
          <w:tab w:val="num" w:pos="5760"/>
        </w:tabs>
        <w:ind w:left="5760" w:hanging="360"/>
      </w:pPr>
      <w:rPr>
        <w:rFonts w:ascii="Times New Roman" w:hAnsi="Times New Roman" w:hint="default"/>
      </w:rPr>
    </w:lvl>
    <w:lvl w:ilvl="8" w:tplc="6CD0C6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82A12E9"/>
    <w:multiLevelType w:val="hybridMultilevel"/>
    <w:tmpl w:val="3728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D0180"/>
    <w:multiLevelType w:val="hybridMultilevel"/>
    <w:tmpl w:val="C4EC3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60D3A"/>
    <w:multiLevelType w:val="hybridMultilevel"/>
    <w:tmpl w:val="1A42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35AF3"/>
    <w:multiLevelType w:val="hybridMultilevel"/>
    <w:tmpl w:val="C8FE31BC"/>
    <w:lvl w:ilvl="0" w:tplc="60A4EF1C">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743CAA"/>
    <w:multiLevelType w:val="hybridMultilevel"/>
    <w:tmpl w:val="EBDE5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D31A1"/>
    <w:multiLevelType w:val="hybridMultilevel"/>
    <w:tmpl w:val="D31A25C6"/>
    <w:lvl w:ilvl="0" w:tplc="BE3A6A06">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51C69"/>
    <w:multiLevelType w:val="hybridMultilevel"/>
    <w:tmpl w:val="9BB03B14"/>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856C17"/>
    <w:multiLevelType w:val="hybridMultilevel"/>
    <w:tmpl w:val="1BCEF20A"/>
    <w:lvl w:ilvl="0" w:tplc="2D187566">
      <w:start w:val="1"/>
      <w:numFmt w:val="bullet"/>
      <w:lvlText w:val="-"/>
      <w:lvlJc w:val="left"/>
      <w:pPr>
        <w:tabs>
          <w:tab w:val="num" w:pos="720"/>
        </w:tabs>
        <w:ind w:left="720" w:hanging="360"/>
      </w:pPr>
      <w:rPr>
        <w:rFonts w:ascii="Times New Roman" w:hAnsi="Times New Roman" w:hint="default"/>
      </w:rPr>
    </w:lvl>
    <w:lvl w:ilvl="1" w:tplc="667E59D4">
      <w:start w:val="1"/>
      <w:numFmt w:val="bullet"/>
      <w:lvlText w:val="-"/>
      <w:lvlJc w:val="left"/>
      <w:pPr>
        <w:tabs>
          <w:tab w:val="num" w:pos="1440"/>
        </w:tabs>
        <w:ind w:left="1440" w:hanging="360"/>
      </w:pPr>
      <w:rPr>
        <w:rFonts w:ascii="Times New Roman" w:hAnsi="Times New Roman" w:hint="default"/>
      </w:rPr>
    </w:lvl>
    <w:lvl w:ilvl="2" w:tplc="8A263EBA" w:tentative="1">
      <w:start w:val="1"/>
      <w:numFmt w:val="bullet"/>
      <w:lvlText w:val="-"/>
      <w:lvlJc w:val="left"/>
      <w:pPr>
        <w:tabs>
          <w:tab w:val="num" w:pos="2160"/>
        </w:tabs>
        <w:ind w:left="2160" w:hanging="360"/>
      </w:pPr>
      <w:rPr>
        <w:rFonts w:ascii="Times New Roman" w:hAnsi="Times New Roman" w:hint="default"/>
      </w:rPr>
    </w:lvl>
    <w:lvl w:ilvl="3" w:tplc="CA301EDA" w:tentative="1">
      <w:start w:val="1"/>
      <w:numFmt w:val="bullet"/>
      <w:lvlText w:val="-"/>
      <w:lvlJc w:val="left"/>
      <w:pPr>
        <w:tabs>
          <w:tab w:val="num" w:pos="2880"/>
        </w:tabs>
        <w:ind w:left="2880" w:hanging="360"/>
      </w:pPr>
      <w:rPr>
        <w:rFonts w:ascii="Times New Roman" w:hAnsi="Times New Roman" w:hint="default"/>
      </w:rPr>
    </w:lvl>
    <w:lvl w:ilvl="4" w:tplc="0044771A" w:tentative="1">
      <w:start w:val="1"/>
      <w:numFmt w:val="bullet"/>
      <w:lvlText w:val="-"/>
      <w:lvlJc w:val="left"/>
      <w:pPr>
        <w:tabs>
          <w:tab w:val="num" w:pos="3600"/>
        </w:tabs>
        <w:ind w:left="3600" w:hanging="360"/>
      </w:pPr>
      <w:rPr>
        <w:rFonts w:ascii="Times New Roman" w:hAnsi="Times New Roman" w:hint="default"/>
      </w:rPr>
    </w:lvl>
    <w:lvl w:ilvl="5" w:tplc="8970ED58" w:tentative="1">
      <w:start w:val="1"/>
      <w:numFmt w:val="bullet"/>
      <w:lvlText w:val="-"/>
      <w:lvlJc w:val="left"/>
      <w:pPr>
        <w:tabs>
          <w:tab w:val="num" w:pos="4320"/>
        </w:tabs>
        <w:ind w:left="4320" w:hanging="360"/>
      </w:pPr>
      <w:rPr>
        <w:rFonts w:ascii="Times New Roman" w:hAnsi="Times New Roman" w:hint="default"/>
      </w:rPr>
    </w:lvl>
    <w:lvl w:ilvl="6" w:tplc="0376142E" w:tentative="1">
      <w:start w:val="1"/>
      <w:numFmt w:val="bullet"/>
      <w:lvlText w:val="-"/>
      <w:lvlJc w:val="left"/>
      <w:pPr>
        <w:tabs>
          <w:tab w:val="num" w:pos="5040"/>
        </w:tabs>
        <w:ind w:left="5040" w:hanging="360"/>
      </w:pPr>
      <w:rPr>
        <w:rFonts w:ascii="Times New Roman" w:hAnsi="Times New Roman" w:hint="default"/>
      </w:rPr>
    </w:lvl>
    <w:lvl w:ilvl="7" w:tplc="7030800E" w:tentative="1">
      <w:start w:val="1"/>
      <w:numFmt w:val="bullet"/>
      <w:lvlText w:val="-"/>
      <w:lvlJc w:val="left"/>
      <w:pPr>
        <w:tabs>
          <w:tab w:val="num" w:pos="5760"/>
        </w:tabs>
        <w:ind w:left="5760" w:hanging="360"/>
      </w:pPr>
      <w:rPr>
        <w:rFonts w:ascii="Times New Roman" w:hAnsi="Times New Roman" w:hint="default"/>
      </w:rPr>
    </w:lvl>
    <w:lvl w:ilvl="8" w:tplc="37BEF00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1CB7FFC"/>
    <w:multiLevelType w:val="hybridMultilevel"/>
    <w:tmpl w:val="E7C6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40D9E"/>
    <w:multiLevelType w:val="hybridMultilevel"/>
    <w:tmpl w:val="0B72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F22A4"/>
    <w:multiLevelType w:val="hybridMultilevel"/>
    <w:tmpl w:val="4DB0B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8"/>
  </w:num>
  <w:num w:numId="4">
    <w:abstractNumId w:val="0"/>
  </w:num>
  <w:num w:numId="5">
    <w:abstractNumId w:val="11"/>
  </w:num>
  <w:num w:numId="6">
    <w:abstractNumId w:val="23"/>
  </w:num>
  <w:num w:numId="7">
    <w:abstractNumId w:val="5"/>
  </w:num>
  <w:num w:numId="8">
    <w:abstractNumId w:val="1"/>
  </w:num>
  <w:num w:numId="9">
    <w:abstractNumId w:val="2"/>
  </w:num>
  <w:num w:numId="10">
    <w:abstractNumId w:val="4"/>
  </w:num>
  <w:num w:numId="11">
    <w:abstractNumId w:val="10"/>
  </w:num>
  <w:num w:numId="12">
    <w:abstractNumId w:val="20"/>
  </w:num>
  <w:num w:numId="13">
    <w:abstractNumId w:val="7"/>
  </w:num>
  <w:num w:numId="14">
    <w:abstractNumId w:val="14"/>
  </w:num>
  <w:num w:numId="15">
    <w:abstractNumId w:val="15"/>
  </w:num>
  <w:num w:numId="16">
    <w:abstractNumId w:val="26"/>
  </w:num>
  <w:num w:numId="17">
    <w:abstractNumId w:val="17"/>
  </w:num>
  <w:num w:numId="18">
    <w:abstractNumId w:val="3"/>
  </w:num>
  <w:num w:numId="19">
    <w:abstractNumId w:val="12"/>
  </w:num>
  <w:num w:numId="20">
    <w:abstractNumId w:val="25"/>
  </w:num>
  <w:num w:numId="21">
    <w:abstractNumId w:val="16"/>
  </w:num>
  <w:num w:numId="22">
    <w:abstractNumId w:val="22"/>
  </w:num>
  <w:num w:numId="23">
    <w:abstractNumId w:val="6"/>
  </w:num>
  <w:num w:numId="24">
    <w:abstractNumId w:val="19"/>
  </w:num>
  <w:num w:numId="25">
    <w:abstractNumId w:val="9"/>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216"/>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68"/>
    <w:rsid w:val="00016A46"/>
    <w:rsid w:val="000179CC"/>
    <w:rsid w:val="00055D97"/>
    <w:rsid w:val="000579B8"/>
    <w:rsid w:val="00086361"/>
    <w:rsid w:val="0009002A"/>
    <w:rsid w:val="00090CC2"/>
    <w:rsid w:val="00091FD8"/>
    <w:rsid w:val="000931E9"/>
    <w:rsid w:val="000977F1"/>
    <w:rsid w:val="000B6232"/>
    <w:rsid w:val="000D161B"/>
    <w:rsid w:val="001032BE"/>
    <w:rsid w:val="00137692"/>
    <w:rsid w:val="00141B03"/>
    <w:rsid w:val="00155BEA"/>
    <w:rsid w:val="00177901"/>
    <w:rsid w:val="00195F8B"/>
    <w:rsid w:val="001A3488"/>
    <w:rsid w:val="001B2835"/>
    <w:rsid w:val="001C40ED"/>
    <w:rsid w:val="001C63FF"/>
    <w:rsid w:val="001D79AD"/>
    <w:rsid w:val="001F7732"/>
    <w:rsid w:val="002137D6"/>
    <w:rsid w:val="002256DF"/>
    <w:rsid w:val="00230429"/>
    <w:rsid w:val="00250BB6"/>
    <w:rsid w:val="00252FC4"/>
    <w:rsid w:val="00275620"/>
    <w:rsid w:val="00286BAB"/>
    <w:rsid w:val="00291743"/>
    <w:rsid w:val="002A6C0C"/>
    <w:rsid w:val="002B0214"/>
    <w:rsid w:val="002B117D"/>
    <w:rsid w:val="002B507D"/>
    <w:rsid w:val="002C6741"/>
    <w:rsid w:val="002D5097"/>
    <w:rsid w:val="002F1B1E"/>
    <w:rsid w:val="002F402C"/>
    <w:rsid w:val="002F65FE"/>
    <w:rsid w:val="00300F72"/>
    <w:rsid w:val="00306F2D"/>
    <w:rsid w:val="003206EA"/>
    <w:rsid w:val="0032227D"/>
    <w:rsid w:val="003244C4"/>
    <w:rsid w:val="003302B5"/>
    <w:rsid w:val="003366EB"/>
    <w:rsid w:val="00340951"/>
    <w:rsid w:val="00346218"/>
    <w:rsid w:val="003501D6"/>
    <w:rsid w:val="0036060C"/>
    <w:rsid w:val="00365F6E"/>
    <w:rsid w:val="00372DB6"/>
    <w:rsid w:val="00381F92"/>
    <w:rsid w:val="00387E85"/>
    <w:rsid w:val="003925F8"/>
    <w:rsid w:val="00395072"/>
    <w:rsid w:val="00397F23"/>
    <w:rsid w:val="003B0620"/>
    <w:rsid w:val="003C3B60"/>
    <w:rsid w:val="003C3C6F"/>
    <w:rsid w:val="003D4312"/>
    <w:rsid w:val="003E1E98"/>
    <w:rsid w:val="003E36C7"/>
    <w:rsid w:val="003E52E1"/>
    <w:rsid w:val="003E5DE1"/>
    <w:rsid w:val="003F1E9B"/>
    <w:rsid w:val="00405F48"/>
    <w:rsid w:val="00411EF1"/>
    <w:rsid w:val="00424E68"/>
    <w:rsid w:val="00425D64"/>
    <w:rsid w:val="00446601"/>
    <w:rsid w:val="00446E3E"/>
    <w:rsid w:val="004658EF"/>
    <w:rsid w:val="00465D4C"/>
    <w:rsid w:val="00466984"/>
    <w:rsid w:val="00472309"/>
    <w:rsid w:val="00484513"/>
    <w:rsid w:val="004A4A2F"/>
    <w:rsid w:val="004B4F97"/>
    <w:rsid w:val="004C2389"/>
    <w:rsid w:val="004E0635"/>
    <w:rsid w:val="004E1278"/>
    <w:rsid w:val="004E3EF9"/>
    <w:rsid w:val="004F0753"/>
    <w:rsid w:val="004F4492"/>
    <w:rsid w:val="005226C0"/>
    <w:rsid w:val="0052489B"/>
    <w:rsid w:val="005429F2"/>
    <w:rsid w:val="00542D2F"/>
    <w:rsid w:val="00546458"/>
    <w:rsid w:val="00555810"/>
    <w:rsid w:val="00555928"/>
    <w:rsid w:val="00556937"/>
    <w:rsid w:val="0056450F"/>
    <w:rsid w:val="00577196"/>
    <w:rsid w:val="005A2053"/>
    <w:rsid w:val="005A2229"/>
    <w:rsid w:val="005B495F"/>
    <w:rsid w:val="005B5A1B"/>
    <w:rsid w:val="005C224A"/>
    <w:rsid w:val="005E1F5A"/>
    <w:rsid w:val="005E7BA7"/>
    <w:rsid w:val="005F00F2"/>
    <w:rsid w:val="005F3F25"/>
    <w:rsid w:val="0060055A"/>
    <w:rsid w:val="0062408E"/>
    <w:rsid w:val="006268C4"/>
    <w:rsid w:val="00651AC7"/>
    <w:rsid w:val="00655B4E"/>
    <w:rsid w:val="006800F9"/>
    <w:rsid w:val="006904FD"/>
    <w:rsid w:val="00690A5C"/>
    <w:rsid w:val="00692BD1"/>
    <w:rsid w:val="00695B86"/>
    <w:rsid w:val="0069794D"/>
    <w:rsid w:val="006A21B3"/>
    <w:rsid w:val="006C4FE4"/>
    <w:rsid w:val="006D08B6"/>
    <w:rsid w:val="006D27DB"/>
    <w:rsid w:val="006E4CF4"/>
    <w:rsid w:val="00705F30"/>
    <w:rsid w:val="00707FCC"/>
    <w:rsid w:val="00716358"/>
    <w:rsid w:val="00721273"/>
    <w:rsid w:val="007221A3"/>
    <w:rsid w:val="00754254"/>
    <w:rsid w:val="007565D3"/>
    <w:rsid w:val="007603A9"/>
    <w:rsid w:val="007613AA"/>
    <w:rsid w:val="007647B9"/>
    <w:rsid w:val="00766CAE"/>
    <w:rsid w:val="00775DE8"/>
    <w:rsid w:val="0079608B"/>
    <w:rsid w:val="007964DA"/>
    <w:rsid w:val="007A14C5"/>
    <w:rsid w:val="007A75E9"/>
    <w:rsid w:val="007B1E5E"/>
    <w:rsid w:val="007D4BB8"/>
    <w:rsid w:val="007E1027"/>
    <w:rsid w:val="00813139"/>
    <w:rsid w:val="00821491"/>
    <w:rsid w:val="00821B2A"/>
    <w:rsid w:val="008224E1"/>
    <w:rsid w:val="0084159F"/>
    <w:rsid w:val="008507B0"/>
    <w:rsid w:val="00852759"/>
    <w:rsid w:val="00871484"/>
    <w:rsid w:val="008767CA"/>
    <w:rsid w:val="0088679D"/>
    <w:rsid w:val="008910DF"/>
    <w:rsid w:val="008B7BEA"/>
    <w:rsid w:val="008C689E"/>
    <w:rsid w:val="008D3E58"/>
    <w:rsid w:val="008D4301"/>
    <w:rsid w:val="008F11E5"/>
    <w:rsid w:val="008F7EEA"/>
    <w:rsid w:val="00923237"/>
    <w:rsid w:val="0093654F"/>
    <w:rsid w:val="009369F0"/>
    <w:rsid w:val="00943429"/>
    <w:rsid w:val="00945A98"/>
    <w:rsid w:val="009522FD"/>
    <w:rsid w:val="009575DA"/>
    <w:rsid w:val="00960897"/>
    <w:rsid w:val="00963C09"/>
    <w:rsid w:val="00981EF6"/>
    <w:rsid w:val="009922A0"/>
    <w:rsid w:val="009A11B0"/>
    <w:rsid w:val="009A2536"/>
    <w:rsid w:val="009A585C"/>
    <w:rsid w:val="009A6C33"/>
    <w:rsid w:val="009C6478"/>
    <w:rsid w:val="009D1FCB"/>
    <w:rsid w:val="009F4438"/>
    <w:rsid w:val="009F4B23"/>
    <w:rsid w:val="00A06E2A"/>
    <w:rsid w:val="00A2790C"/>
    <w:rsid w:val="00A413D7"/>
    <w:rsid w:val="00A42DEA"/>
    <w:rsid w:val="00A4345B"/>
    <w:rsid w:val="00A53FFF"/>
    <w:rsid w:val="00A5671E"/>
    <w:rsid w:val="00A83D09"/>
    <w:rsid w:val="00A93440"/>
    <w:rsid w:val="00AA05FD"/>
    <w:rsid w:val="00AB2F78"/>
    <w:rsid w:val="00AB4B20"/>
    <w:rsid w:val="00AB6124"/>
    <w:rsid w:val="00AD1700"/>
    <w:rsid w:val="00AE7EB9"/>
    <w:rsid w:val="00AF07CF"/>
    <w:rsid w:val="00AF430A"/>
    <w:rsid w:val="00AF79D8"/>
    <w:rsid w:val="00B04548"/>
    <w:rsid w:val="00B119E9"/>
    <w:rsid w:val="00B366B9"/>
    <w:rsid w:val="00B64CF5"/>
    <w:rsid w:val="00B651A7"/>
    <w:rsid w:val="00B738FF"/>
    <w:rsid w:val="00B74114"/>
    <w:rsid w:val="00B76073"/>
    <w:rsid w:val="00BC1BD5"/>
    <w:rsid w:val="00BE31FC"/>
    <w:rsid w:val="00BE5E3D"/>
    <w:rsid w:val="00BF171C"/>
    <w:rsid w:val="00BF597D"/>
    <w:rsid w:val="00C02E31"/>
    <w:rsid w:val="00C11A72"/>
    <w:rsid w:val="00C12842"/>
    <w:rsid w:val="00C566FD"/>
    <w:rsid w:val="00C60346"/>
    <w:rsid w:val="00CC1353"/>
    <w:rsid w:val="00CC72CE"/>
    <w:rsid w:val="00CE406D"/>
    <w:rsid w:val="00D075E8"/>
    <w:rsid w:val="00D157E1"/>
    <w:rsid w:val="00D20587"/>
    <w:rsid w:val="00D32252"/>
    <w:rsid w:val="00D402E2"/>
    <w:rsid w:val="00D42E24"/>
    <w:rsid w:val="00D71A45"/>
    <w:rsid w:val="00D822E3"/>
    <w:rsid w:val="00D933A0"/>
    <w:rsid w:val="00DB1A98"/>
    <w:rsid w:val="00DC1CED"/>
    <w:rsid w:val="00DD0E84"/>
    <w:rsid w:val="00DF64F1"/>
    <w:rsid w:val="00DF7C92"/>
    <w:rsid w:val="00E0080B"/>
    <w:rsid w:val="00E0230D"/>
    <w:rsid w:val="00E02836"/>
    <w:rsid w:val="00E14AA3"/>
    <w:rsid w:val="00E32271"/>
    <w:rsid w:val="00E34AB1"/>
    <w:rsid w:val="00E34BF6"/>
    <w:rsid w:val="00E35AF6"/>
    <w:rsid w:val="00E41497"/>
    <w:rsid w:val="00E62A0A"/>
    <w:rsid w:val="00E73C03"/>
    <w:rsid w:val="00EA180E"/>
    <w:rsid w:val="00EB569C"/>
    <w:rsid w:val="00EB5B2F"/>
    <w:rsid w:val="00EB5C07"/>
    <w:rsid w:val="00EC2C34"/>
    <w:rsid w:val="00EE0BA7"/>
    <w:rsid w:val="00EE2964"/>
    <w:rsid w:val="00F02F12"/>
    <w:rsid w:val="00F21FB9"/>
    <w:rsid w:val="00F32AE5"/>
    <w:rsid w:val="00F32CD0"/>
    <w:rsid w:val="00F54C05"/>
    <w:rsid w:val="00F54E6A"/>
    <w:rsid w:val="00F64F77"/>
    <w:rsid w:val="00F655EE"/>
    <w:rsid w:val="00F715BC"/>
    <w:rsid w:val="00F77C36"/>
    <w:rsid w:val="00F9219F"/>
    <w:rsid w:val="00F936A4"/>
    <w:rsid w:val="00FA5C59"/>
    <w:rsid w:val="00FB621A"/>
    <w:rsid w:val="00FB65DC"/>
    <w:rsid w:val="00FD1284"/>
    <w:rsid w:val="00FF65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0DB11"/>
  <w15:docId w15:val="{3D7177E7-88AC-4C81-945C-CD59F4F2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424E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555810"/>
    <w:pPr>
      <w:ind w:left="720"/>
      <w:contextualSpacing/>
    </w:pPr>
  </w:style>
  <w:style w:type="paragraph" w:customStyle="1" w:styleId="Default">
    <w:name w:val="Default"/>
    <w:rsid w:val="009922A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25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D64"/>
    <w:rPr>
      <w:rFonts w:ascii="Segoe UI" w:hAnsi="Segoe UI" w:cs="Segoe UI"/>
      <w:sz w:val="18"/>
      <w:szCs w:val="18"/>
    </w:rPr>
  </w:style>
  <w:style w:type="character" w:styleId="CommentReference">
    <w:name w:val="annotation reference"/>
    <w:basedOn w:val="DefaultParagraphFont"/>
    <w:uiPriority w:val="99"/>
    <w:semiHidden/>
    <w:unhideWhenUsed/>
    <w:rsid w:val="00F02F12"/>
    <w:rPr>
      <w:sz w:val="16"/>
      <w:szCs w:val="16"/>
    </w:rPr>
  </w:style>
  <w:style w:type="paragraph" w:styleId="CommentText">
    <w:name w:val="annotation text"/>
    <w:basedOn w:val="Normal"/>
    <w:link w:val="CommentTextChar"/>
    <w:uiPriority w:val="99"/>
    <w:semiHidden/>
    <w:unhideWhenUsed/>
    <w:rsid w:val="00F02F12"/>
    <w:pPr>
      <w:spacing w:line="240" w:lineRule="auto"/>
    </w:pPr>
    <w:rPr>
      <w:sz w:val="20"/>
      <w:szCs w:val="20"/>
    </w:rPr>
  </w:style>
  <w:style w:type="character" w:customStyle="1" w:styleId="CommentTextChar">
    <w:name w:val="Comment Text Char"/>
    <w:basedOn w:val="DefaultParagraphFont"/>
    <w:link w:val="CommentText"/>
    <w:uiPriority w:val="99"/>
    <w:semiHidden/>
    <w:rsid w:val="00F02F12"/>
    <w:rPr>
      <w:sz w:val="20"/>
      <w:szCs w:val="20"/>
    </w:rPr>
  </w:style>
  <w:style w:type="paragraph" w:styleId="CommentSubject">
    <w:name w:val="annotation subject"/>
    <w:basedOn w:val="CommentText"/>
    <w:next w:val="CommentText"/>
    <w:link w:val="CommentSubjectChar"/>
    <w:uiPriority w:val="99"/>
    <w:semiHidden/>
    <w:unhideWhenUsed/>
    <w:rsid w:val="00F02F12"/>
    <w:rPr>
      <w:b/>
      <w:bCs/>
    </w:rPr>
  </w:style>
  <w:style w:type="character" w:customStyle="1" w:styleId="CommentSubjectChar">
    <w:name w:val="Comment Subject Char"/>
    <w:basedOn w:val="CommentTextChar"/>
    <w:link w:val="CommentSubject"/>
    <w:uiPriority w:val="99"/>
    <w:semiHidden/>
    <w:rsid w:val="00F02F12"/>
    <w:rPr>
      <w:b/>
      <w:bCs/>
      <w:sz w:val="20"/>
      <w:szCs w:val="20"/>
    </w:rPr>
  </w:style>
  <w:style w:type="character" w:styleId="Hyperlink">
    <w:name w:val="Hyperlink"/>
    <w:basedOn w:val="DefaultParagraphFont"/>
    <w:uiPriority w:val="99"/>
    <w:unhideWhenUsed/>
    <w:rsid w:val="0088679D"/>
    <w:rPr>
      <w:color w:val="0563C1" w:themeColor="hyperlink"/>
      <w:u w:val="single"/>
    </w:rPr>
  </w:style>
  <w:style w:type="character" w:styleId="FollowedHyperlink">
    <w:name w:val="FollowedHyperlink"/>
    <w:basedOn w:val="DefaultParagraphFont"/>
    <w:uiPriority w:val="99"/>
    <w:semiHidden/>
    <w:unhideWhenUsed/>
    <w:rsid w:val="00721273"/>
    <w:rPr>
      <w:color w:val="954F72" w:themeColor="followedHyperlink"/>
      <w:u w:val="single"/>
    </w:rPr>
  </w:style>
  <w:style w:type="paragraph" w:styleId="Header">
    <w:name w:val="header"/>
    <w:basedOn w:val="Normal"/>
    <w:link w:val="HeaderChar"/>
    <w:uiPriority w:val="99"/>
    <w:unhideWhenUsed/>
    <w:rsid w:val="00472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309"/>
  </w:style>
  <w:style w:type="paragraph" w:styleId="Footer">
    <w:name w:val="footer"/>
    <w:basedOn w:val="Normal"/>
    <w:link w:val="FooterChar"/>
    <w:uiPriority w:val="99"/>
    <w:unhideWhenUsed/>
    <w:rsid w:val="00472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309"/>
  </w:style>
  <w:style w:type="paragraph" w:styleId="NormalWeb">
    <w:name w:val="Normal (Web)"/>
    <w:basedOn w:val="Normal"/>
    <w:uiPriority w:val="99"/>
    <w:semiHidden/>
    <w:unhideWhenUsed/>
    <w:rsid w:val="00C12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ix">
    <w:name w:val="Appendix"/>
    <w:basedOn w:val="Normal"/>
    <w:uiPriority w:val="8"/>
    <w:qFormat/>
    <w:rsid w:val="00F9219F"/>
    <w:pPr>
      <w:spacing w:after="0" w:line="240" w:lineRule="auto"/>
      <w:jc w:val="center"/>
    </w:pPr>
    <w:rPr>
      <w:rFonts w:ascii="Times New Roman" w:eastAsiaTheme="minorEastAsia" w:hAnsi="Times New Roman" w:cs="Times New Roman"/>
      <w:b/>
      <w:sz w:val="24"/>
      <w:szCs w:val="24"/>
      <w:lang w:eastAsia="zh-TW"/>
    </w:rPr>
  </w:style>
  <w:style w:type="character" w:styleId="Emphasis">
    <w:name w:val="Emphasis"/>
    <w:basedOn w:val="DefaultParagraphFont"/>
    <w:uiPriority w:val="20"/>
    <w:qFormat/>
    <w:rsid w:val="00EB569C"/>
    <w:rPr>
      <w:b/>
      <w:bCs/>
      <w:i w:val="0"/>
      <w:iCs w:val="0"/>
    </w:rPr>
  </w:style>
  <w:style w:type="character" w:customStyle="1" w:styleId="st1">
    <w:name w:val="st1"/>
    <w:basedOn w:val="DefaultParagraphFont"/>
    <w:rsid w:val="00EB569C"/>
  </w:style>
  <w:style w:type="paragraph" w:styleId="HTMLPreformatted">
    <w:name w:val="HTML Preformatted"/>
    <w:basedOn w:val="Normal"/>
    <w:link w:val="HTMLPreformattedChar"/>
    <w:uiPriority w:val="99"/>
    <w:semiHidden/>
    <w:unhideWhenUsed/>
    <w:rsid w:val="00852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852759"/>
    <w:rPr>
      <w:rFonts w:ascii="Courier New" w:eastAsia="Times New Roman" w:hAnsi="Courier New" w:cs="Courier New"/>
      <w:sz w:val="20"/>
      <w:szCs w:val="20"/>
      <w:lang w:val="fr-FR" w:eastAsia="fr-FR"/>
    </w:rPr>
  </w:style>
  <w:style w:type="paragraph" w:styleId="Revision">
    <w:name w:val="Revision"/>
    <w:hidden/>
    <w:uiPriority w:val="99"/>
    <w:semiHidden/>
    <w:rsid w:val="001779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187">
      <w:bodyDiv w:val="1"/>
      <w:marLeft w:val="0"/>
      <w:marRight w:val="0"/>
      <w:marTop w:val="0"/>
      <w:marBottom w:val="0"/>
      <w:divBdr>
        <w:top w:val="none" w:sz="0" w:space="0" w:color="auto"/>
        <w:left w:val="none" w:sz="0" w:space="0" w:color="auto"/>
        <w:bottom w:val="none" w:sz="0" w:space="0" w:color="auto"/>
        <w:right w:val="none" w:sz="0" w:space="0" w:color="auto"/>
      </w:divBdr>
    </w:div>
    <w:div w:id="181095408">
      <w:bodyDiv w:val="1"/>
      <w:marLeft w:val="0"/>
      <w:marRight w:val="0"/>
      <w:marTop w:val="0"/>
      <w:marBottom w:val="0"/>
      <w:divBdr>
        <w:top w:val="none" w:sz="0" w:space="0" w:color="auto"/>
        <w:left w:val="none" w:sz="0" w:space="0" w:color="auto"/>
        <w:bottom w:val="none" w:sz="0" w:space="0" w:color="auto"/>
        <w:right w:val="none" w:sz="0" w:space="0" w:color="auto"/>
      </w:divBdr>
    </w:div>
    <w:div w:id="261449500">
      <w:bodyDiv w:val="1"/>
      <w:marLeft w:val="0"/>
      <w:marRight w:val="0"/>
      <w:marTop w:val="0"/>
      <w:marBottom w:val="0"/>
      <w:divBdr>
        <w:top w:val="none" w:sz="0" w:space="0" w:color="auto"/>
        <w:left w:val="none" w:sz="0" w:space="0" w:color="auto"/>
        <w:bottom w:val="none" w:sz="0" w:space="0" w:color="auto"/>
        <w:right w:val="none" w:sz="0" w:space="0" w:color="auto"/>
      </w:divBdr>
    </w:div>
    <w:div w:id="376586416">
      <w:bodyDiv w:val="1"/>
      <w:marLeft w:val="0"/>
      <w:marRight w:val="0"/>
      <w:marTop w:val="0"/>
      <w:marBottom w:val="0"/>
      <w:divBdr>
        <w:top w:val="none" w:sz="0" w:space="0" w:color="auto"/>
        <w:left w:val="none" w:sz="0" w:space="0" w:color="auto"/>
        <w:bottom w:val="none" w:sz="0" w:space="0" w:color="auto"/>
        <w:right w:val="none" w:sz="0" w:space="0" w:color="auto"/>
      </w:divBdr>
    </w:div>
    <w:div w:id="430778817">
      <w:bodyDiv w:val="1"/>
      <w:marLeft w:val="0"/>
      <w:marRight w:val="0"/>
      <w:marTop w:val="0"/>
      <w:marBottom w:val="0"/>
      <w:divBdr>
        <w:top w:val="none" w:sz="0" w:space="0" w:color="auto"/>
        <w:left w:val="none" w:sz="0" w:space="0" w:color="auto"/>
        <w:bottom w:val="none" w:sz="0" w:space="0" w:color="auto"/>
        <w:right w:val="none" w:sz="0" w:space="0" w:color="auto"/>
      </w:divBdr>
    </w:div>
    <w:div w:id="441345841">
      <w:bodyDiv w:val="1"/>
      <w:marLeft w:val="0"/>
      <w:marRight w:val="0"/>
      <w:marTop w:val="0"/>
      <w:marBottom w:val="0"/>
      <w:divBdr>
        <w:top w:val="none" w:sz="0" w:space="0" w:color="auto"/>
        <w:left w:val="none" w:sz="0" w:space="0" w:color="auto"/>
        <w:bottom w:val="none" w:sz="0" w:space="0" w:color="auto"/>
        <w:right w:val="none" w:sz="0" w:space="0" w:color="auto"/>
      </w:divBdr>
    </w:div>
    <w:div w:id="449668403">
      <w:bodyDiv w:val="1"/>
      <w:marLeft w:val="0"/>
      <w:marRight w:val="0"/>
      <w:marTop w:val="0"/>
      <w:marBottom w:val="0"/>
      <w:divBdr>
        <w:top w:val="none" w:sz="0" w:space="0" w:color="auto"/>
        <w:left w:val="none" w:sz="0" w:space="0" w:color="auto"/>
        <w:bottom w:val="none" w:sz="0" w:space="0" w:color="auto"/>
        <w:right w:val="none" w:sz="0" w:space="0" w:color="auto"/>
      </w:divBdr>
    </w:div>
    <w:div w:id="472908672">
      <w:bodyDiv w:val="1"/>
      <w:marLeft w:val="0"/>
      <w:marRight w:val="0"/>
      <w:marTop w:val="0"/>
      <w:marBottom w:val="0"/>
      <w:divBdr>
        <w:top w:val="none" w:sz="0" w:space="0" w:color="auto"/>
        <w:left w:val="none" w:sz="0" w:space="0" w:color="auto"/>
        <w:bottom w:val="none" w:sz="0" w:space="0" w:color="auto"/>
        <w:right w:val="none" w:sz="0" w:space="0" w:color="auto"/>
      </w:divBdr>
    </w:div>
    <w:div w:id="496500796">
      <w:bodyDiv w:val="1"/>
      <w:marLeft w:val="0"/>
      <w:marRight w:val="0"/>
      <w:marTop w:val="0"/>
      <w:marBottom w:val="0"/>
      <w:divBdr>
        <w:top w:val="none" w:sz="0" w:space="0" w:color="auto"/>
        <w:left w:val="none" w:sz="0" w:space="0" w:color="auto"/>
        <w:bottom w:val="none" w:sz="0" w:space="0" w:color="auto"/>
        <w:right w:val="none" w:sz="0" w:space="0" w:color="auto"/>
      </w:divBdr>
    </w:div>
    <w:div w:id="510876126">
      <w:bodyDiv w:val="1"/>
      <w:marLeft w:val="0"/>
      <w:marRight w:val="0"/>
      <w:marTop w:val="0"/>
      <w:marBottom w:val="0"/>
      <w:divBdr>
        <w:top w:val="none" w:sz="0" w:space="0" w:color="auto"/>
        <w:left w:val="none" w:sz="0" w:space="0" w:color="auto"/>
        <w:bottom w:val="none" w:sz="0" w:space="0" w:color="auto"/>
        <w:right w:val="none" w:sz="0" w:space="0" w:color="auto"/>
      </w:divBdr>
    </w:div>
    <w:div w:id="538933569">
      <w:bodyDiv w:val="1"/>
      <w:marLeft w:val="0"/>
      <w:marRight w:val="0"/>
      <w:marTop w:val="0"/>
      <w:marBottom w:val="0"/>
      <w:divBdr>
        <w:top w:val="none" w:sz="0" w:space="0" w:color="auto"/>
        <w:left w:val="none" w:sz="0" w:space="0" w:color="auto"/>
        <w:bottom w:val="none" w:sz="0" w:space="0" w:color="auto"/>
        <w:right w:val="none" w:sz="0" w:space="0" w:color="auto"/>
      </w:divBdr>
    </w:div>
    <w:div w:id="646203991">
      <w:bodyDiv w:val="1"/>
      <w:marLeft w:val="0"/>
      <w:marRight w:val="0"/>
      <w:marTop w:val="0"/>
      <w:marBottom w:val="0"/>
      <w:divBdr>
        <w:top w:val="none" w:sz="0" w:space="0" w:color="auto"/>
        <w:left w:val="none" w:sz="0" w:space="0" w:color="auto"/>
        <w:bottom w:val="none" w:sz="0" w:space="0" w:color="auto"/>
        <w:right w:val="none" w:sz="0" w:space="0" w:color="auto"/>
      </w:divBdr>
      <w:divsChild>
        <w:div w:id="1347558618">
          <w:marLeft w:val="274"/>
          <w:marRight w:val="0"/>
          <w:marTop w:val="0"/>
          <w:marBottom w:val="0"/>
          <w:divBdr>
            <w:top w:val="none" w:sz="0" w:space="0" w:color="auto"/>
            <w:left w:val="none" w:sz="0" w:space="0" w:color="auto"/>
            <w:bottom w:val="none" w:sz="0" w:space="0" w:color="auto"/>
            <w:right w:val="none" w:sz="0" w:space="0" w:color="auto"/>
          </w:divBdr>
        </w:div>
        <w:div w:id="398330912">
          <w:marLeft w:val="274"/>
          <w:marRight w:val="0"/>
          <w:marTop w:val="0"/>
          <w:marBottom w:val="0"/>
          <w:divBdr>
            <w:top w:val="none" w:sz="0" w:space="0" w:color="auto"/>
            <w:left w:val="none" w:sz="0" w:space="0" w:color="auto"/>
            <w:bottom w:val="none" w:sz="0" w:space="0" w:color="auto"/>
            <w:right w:val="none" w:sz="0" w:space="0" w:color="auto"/>
          </w:divBdr>
        </w:div>
      </w:divsChild>
    </w:div>
    <w:div w:id="824006156">
      <w:bodyDiv w:val="1"/>
      <w:marLeft w:val="0"/>
      <w:marRight w:val="0"/>
      <w:marTop w:val="0"/>
      <w:marBottom w:val="0"/>
      <w:divBdr>
        <w:top w:val="none" w:sz="0" w:space="0" w:color="auto"/>
        <w:left w:val="none" w:sz="0" w:space="0" w:color="auto"/>
        <w:bottom w:val="none" w:sz="0" w:space="0" w:color="auto"/>
        <w:right w:val="none" w:sz="0" w:space="0" w:color="auto"/>
      </w:divBdr>
    </w:div>
    <w:div w:id="858860590">
      <w:bodyDiv w:val="1"/>
      <w:marLeft w:val="0"/>
      <w:marRight w:val="0"/>
      <w:marTop w:val="0"/>
      <w:marBottom w:val="0"/>
      <w:divBdr>
        <w:top w:val="none" w:sz="0" w:space="0" w:color="auto"/>
        <w:left w:val="none" w:sz="0" w:space="0" w:color="auto"/>
        <w:bottom w:val="none" w:sz="0" w:space="0" w:color="auto"/>
        <w:right w:val="none" w:sz="0" w:space="0" w:color="auto"/>
      </w:divBdr>
    </w:div>
    <w:div w:id="872184161">
      <w:bodyDiv w:val="1"/>
      <w:marLeft w:val="0"/>
      <w:marRight w:val="0"/>
      <w:marTop w:val="0"/>
      <w:marBottom w:val="0"/>
      <w:divBdr>
        <w:top w:val="none" w:sz="0" w:space="0" w:color="auto"/>
        <w:left w:val="none" w:sz="0" w:space="0" w:color="auto"/>
        <w:bottom w:val="none" w:sz="0" w:space="0" w:color="auto"/>
        <w:right w:val="none" w:sz="0" w:space="0" w:color="auto"/>
      </w:divBdr>
    </w:div>
    <w:div w:id="994064787">
      <w:bodyDiv w:val="1"/>
      <w:marLeft w:val="0"/>
      <w:marRight w:val="0"/>
      <w:marTop w:val="0"/>
      <w:marBottom w:val="0"/>
      <w:divBdr>
        <w:top w:val="none" w:sz="0" w:space="0" w:color="auto"/>
        <w:left w:val="none" w:sz="0" w:space="0" w:color="auto"/>
        <w:bottom w:val="none" w:sz="0" w:space="0" w:color="auto"/>
        <w:right w:val="none" w:sz="0" w:space="0" w:color="auto"/>
      </w:divBdr>
    </w:div>
    <w:div w:id="1060908070">
      <w:bodyDiv w:val="1"/>
      <w:marLeft w:val="0"/>
      <w:marRight w:val="0"/>
      <w:marTop w:val="0"/>
      <w:marBottom w:val="0"/>
      <w:divBdr>
        <w:top w:val="none" w:sz="0" w:space="0" w:color="auto"/>
        <w:left w:val="none" w:sz="0" w:space="0" w:color="auto"/>
        <w:bottom w:val="none" w:sz="0" w:space="0" w:color="auto"/>
        <w:right w:val="none" w:sz="0" w:space="0" w:color="auto"/>
      </w:divBdr>
    </w:div>
    <w:div w:id="1072780149">
      <w:bodyDiv w:val="1"/>
      <w:marLeft w:val="0"/>
      <w:marRight w:val="0"/>
      <w:marTop w:val="0"/>
      <w:marBottom w:val="0"/>
      <w:divBdr>
        <w:top w:val="none" w:sz="0" w:space="0" w:color="auto"/>
        <w:left w:val="none" w:sz="0" w:space="0" w:color="auto"/>
        <w:bottom w:val="none" w:sz="0" w:space="0" w:color="auto"/>
        <w:right w:val="none" w:sz="0" w:space="0" w:color="auto"/>
      </w:divBdr>
    </w:div>
    <w:div w:id="1122269156">
      <w:bodyDiv w:val="1"/>
      <w:marLeft w:val="0"/>
      <w:marRight w:val="0"/>
      <w:marTop w:val="0"/>
      <w:marBottom w:val="0"/>
      <w:divBdr>
        <w:top w:val="none" w:sz="0" w:space="0" w:color="auto"/>
        <w:left w:val="none" w:sz="0" w:space="0" w:color="auto"/>
        <w:bottom w:val="none" w:sz="0" w:space="0" w:color="auto"/>
        <w:right w:val="none" w:sz="0" w:space="0" w:color="auto"/>
      </w:divBdr>
    </w:div>
    <w:div w:id="1183204795">
      <w:bodyDiv w:val="1"/>
      <w:marLeft w:val="0"/>
      <w:marRight w:val="0"/>
      <w:marTop w:val="0"/>
      <w:marBottom w:val="0"/>
      <w:divBdr>
        <w:top w:val="none" w:sz="0" w:space="0" w:color="auto"/>
        <w:left w:val="none" w:sz="0" w:space="0" w:color="auto"/>
        <w:bottom w:val="none" w:sz="0" w:space="0" w:color="auto"/>
        <w:right w:val="none" w:sz="0" w:space="0" w:color="auto"/>
      </w:divBdr>
    </w:div>
    <w:div w:id="1184635486">
      <w:bodyDiv w:val="1"/>
      <w:marLeft w:val="0"/>
      <w:marRight w:val="0"/>
      <w:marTop w:val="0"/>
      <w:marBottom w:val="0"/>
      <w:divBdr>
        <w:top w:val="none" w:sz="0" w:space="0" w:color="auto"/>
        <w:left w:val="none" w:sz="0" w:space="0" w:color="auto"/>
        <w:bottom w:val="none" w:sz="0" w:space="0" w:color="auto"/>
        <w:right w:val="none" w:sz="0" w:space="0" w:color="auto"/>
      </w:divBdr>
    </w:div>
    <w:div w:id="1205099936">
      <w:bodyDiv w:val="1"/>
      <w:marLeft w:val="0"/>
      <w:marRight w:val="0"/>
      <w:marTop w:val="0"/>
      <w:marBottom w:val="0"/>
      <w:divBdr>
        <w:top w:val="none" w:sz="0" w:space="0" w:color="auto"/>
        <w:left w:val="none" w:sz="0" w:space="0" w:color="auto"/>
        <w:bottom w:val="none" w:sz="0" w:space="0" w:color="auto"/>
        <w:right w:val="none" w:sz="0" w:space="0" w:color="auto"/>
      </w:divBdr>
      <w:divsChild>
        <w:div w:id="1475609839">
          <w:marLeft w:val="0"/>
          <w:marRight w:val="0"/>
          <w:marTop w:val="120"/>
          <w:marBottom w:val="120"/>
          <w:divBdr>
            <w:top w:val="none" w:sz="0" w:space="0" w:color="auto"/>
            <w:left w:val="none" w:sz="0" w:space="0" w:color="auto"/>
            <w:bottom w:val="none" w:sz="0" w:space="0" w:color="auto"/>
            <w:right w:val="none" w:sz="0" w:space="0" w:color="auto"/>
          </w:divBdr>
        </w:div>
        <w:div w:id="1764063986">
          <w:marLeft w:val="0"/>
          <w:marRight w:val="0"/>
          <w:marTop w:val="120"/>
          <w:marBottom w:val="120"/>
          <w:divBdr>
            <w:top w:val="none" w:sz="0" w:space="0" w:color="auto"/>
            <w:left w:val="none" w:sz="0" w:space="0" w:color="auto"/>
            <w:bottom w:val="none" w:sz="0" w:space="0" w:color="auto"/>
            <w:right w:val="none" w:sz="0" w:space="0" w:color="auto"/>
          </w:divBdr>
        </w:div>
      </w:divsChild>
    </w:div>
    <w:div w:id="1225290876">
      <w:bodyDiv w:val="1"/>
      <w:marLeft w:val="0"/>
      <w:marRight w:val="0"/>
      <w:marTop w:val="0"/>
      <w:marBottom w:val="0"/>
      <w:divBdr>
        <w:top w:val="none" w:sz="0" w:space="0" w:color="auto"/>
        <w:left w:val="none" w:sz="0" w:space="0" w:color="auto"/>
        <w:bottom w:val="none" w:sz="0" w:space="0" w:color="auto"/>
        <w:right w:val="none" w:sz="0" w:space="0" w:color="auto"/>
      </w:divBdr>
    </w:div>
    <w:div w:id="1295065435">
      <w:bodyDiv w:val="1"/>
      <w:marLeft w:val="0"/>
      <w:marRight w:val="0"/>
      <w:marTop w:val="0"/>
      <w:marBottom w:val="0"/>
      <w:divBdr>
        <w:top w:val="none" w:sz="0" w:space="0" w:color="auto"/>
        <w:left w:val="none" w:sz="0" w:space="0" w:color="auto"/>
        <w:bottom w:val="none" w:sz="0" w:space="0" w:color="auto"/>
        <w:right w:val="none" w:sz="0" w:space="0" w:color="auto"/>
      </w:divBdr>
    </w:div>
    <w:div w:id="1378965014">
      <w:bodyDiv w:val="1"/>
      <w:marLeft w:val="0"/>
      <w:marRight w:val="0"/>
      <w:marTop w:val="0"/>
      <w:marBottom w:val="0"/>
      <w:divBdr>
        <w:top w:val="none" w:sz="0" w:space="0" w:color="auto"/>
        <w:left w:val="none" w:sz="0" w:space="0" w:color="auto"/>
        <w:bottom w:val="none" w:sz="0" w:space="0" w:color="auto"/>
        <w:right w:val="none" w:sz="0" w:space="0" w:color="auto"/>
      </w:divBdr>
    </w:div>
    <w:div w:id="1546601129">
      <w:bodyDiv w:val="1"/>
      <w:marLeft w:val="0"/>
      <w:marRight w:val="0"/>
      <w:marTop w:val="0"/>
      <w:marBottom w:val="0"/>
      <w:divBdr>
        <w:top w:val="none" w:sz="0" w:space="0" w:color="auto"/>
        <w:left w:val="none" w:sz="0" w:space="0" w:color="auto"/>
        <w:bottom w:val="none" w:sz="0" w:space="0" w:color="auto"/>
        <w:right w:val="none" w:sz="0" w:space="0" w:color="auto"/>
      </w:divBdr>
    </w:div>
    <w:div w:id="1656568304">
      <w:bodyDiv w:val="1"/>
      <w:marLeft w:val="0"/>
      <w:marRight w:val="0"/>
      <w:marTop w:val="0"/>
      <w:marBottom w:val="0"/>
      <w:divBdr>
        <w:top w:val="none" w:sz="0" w:space="0" w:color="auto"/>
        <w:left w:val="none" w:sz="0" w:space="0" w:color="auto"/>
        <w:bottom w:val="none" w:sz="0" w:space="0" w:color="auto"/>
        <w:right w:val="none" w:sz="0" w:space="0" w:color="auto"/>
      </w:divBdr>
    </w:div>
    <w:div w:id="1730687571">
      <w:bodyDiv w:val="1"/>
      <w:marLeft w:val="0"/>
      <w:marRight w:val="0"/>
      <w:marTop w:val="0"/>
      <w:marBottom w:val="0"/>
      <w:divBdr>
        <w:top w:val="none" w:sz="0" w:space="0" w:color="auto"/>
        <w:left w:val="none" w:sz="0" w:space="0" w:color="auto"/>
        <w:bottom w:val="none" w:sz="0" w:space="0" w:color="auto"/>
        <w:right w:val="none" w:sz="0" w:space="0" w:color="auto"/>
      </w:divBdr>
    </w:div>
    <w:div w:id="1742562750">
      <w:bodyDiv w:val="1"/>
      <w:marLeft w:val="0"/>
      <w:marRight w:val="0"/>
      <w:marTop w:val="0"/>
      <w:marBottom w:val="0"/>
      <w:divBdr>
        <w:top w:val="none" w:sz="0" w:space="0" w:color="auto"/>
        <w:left w:val="none" w:sz="0" w:space="0" w:color="auto"/>
        <w:bottom w:val="none" w:sz="0" w:space="0" w:color="auto"/>
        <w:right w:val="none" w:sz="0" w:space="0" w:color="auto"/>
      </w:divBdr>
    </w:div>
    <w:div w:id="1783646619">
      <w:bodyDiv w:val="1"/>
      <w:marLeft w:val="0"/>
      <w:marRight w:val="0"/>
      <w:marTop w:val="0"/>
      <w:marBottom w:val="0"/>
      <w:divBdr>
        <w:top w:val="none" w:sz="0" w:space="0" w:color="auto"/>
        <w:left w:val="none" w:sz="0" w:space="0" w:color="auto"/>
        <w:bottom w:val="none" w:sz="0" w:space="0" w:color="auto"/>
        <w:right w:val="none" w:sz="0" w:space="0" w:color="auto"/>
      </w:divBdr>
    </w:div>
    <w:div w:id="1819957406">
      <w:bodyDiv w:val="1"/>
      <w:marLeft w:val="0"/>
      <w:marRight w:val="0"/>
      <w:marTop w:val="0"/>
      <w:marBottom w:val="0"/>
      <w:divBdr>
        <w:top w:val="none" w:sz="0" w:space="0" w:color="auto"/>
        <w:left w:val="none" w:sz="0" w:space="0" w:color="auto"/>
        <w:bottom w:val="none" w:sz="0" w:space="0" w:color="auto"/>
        <w:right w:val="none" w:sz="0" w:space="0" w:color="auto"/>
      </w:divBdr>
    </w:div>
    <w:div w:id="1839148305">
      <w:bodyDiv w:val="1"/>
      <w:marLeft w:val="0"/>
      <w:marRight w:val="0"/>
      <w:marTop w:val="0"/>
      <w:marBottom w:val="0"/>
      <w:divBdr>
        <w:top w:val="none" w:sz="0" w:space="0" w:color="auto"/>
        <w:left w:val="none" w:sz="0" w:space="0" w:color="auto"/>
        <w:bottom w:val="none" w:sz="0" w:space="0" w:color="auto"/>
        <w:right w:val="none" w:sz="0" w:space="0" w:color="auto"/>
      </w:divBdr>
    </w:div>
    <w:div w:id="1881934062">
      <w:bodyDiv w:val="1"/>
      <w:marLeft w:val="0"/>
      <w:marRight w:val="0"/>
      <w:marTop w:val="0"/>
      <w:marBottom w:val="0"/>
      <w:divBdr>
        <w:top w:val="none" w:sz="0" w:space="0" w:color="auto"/>
        <w:left w:val="none" w:sz="0" w:space="0" w:color="auto"/>
        <w:bottom w:val="none" w:sz="0" w:space="0" w:color="auto"/>
        <w:right w:val="none" w:sz="0" w:space="0" w:color="auto"/>
      </w:divBdr>
    </w:div>
    <w:div w:id="1926301744">
      <w:bodyDiv w:val="1"/>
      <w:marLeft w:val="0"/>
      <w:marRight w:val="0"/>
      <w:marTop w:val="0"/>
      <w:marBottom w:val="0"/>
      <w:divBdr>
        <w:top w:val="none" w:sz="0" w:space="0" w:color="auto"/>
        <w:left w:val="none" w:sz="0" w:space="0" w:color="auto"/>
        <w:bottom w:val="none" w:sz="0" w:space="0" w:color="auto"/>
        <w:right w:val="none" w:sz="0" w:space="0" w:color="auto"/>
      </w:divBdr>
    </w:div>
    <w:div w:id="1928610406">
      <w:bodyDiv w:val="1"/>
      <w:marLeft w:val="0"/>
      <w:marRight w:val="0"/>
      <w:marTop w:val="0"/>
      <w:marBottom w:val="0"/>
      <w:divBdr>
        <w:top w:val="none" w:sz="0" w:space="0" w:color="auto"/>
        <w:left w:val="none" w:sz="0" w:space="0" w:color="auto"/>
        <w:bottom w:val="none" w:sz="0" w:space="0" w:color="auto"/>
        <w:right w:val="none" w:sz="0" w:space="0" w:color="auto"/>
      </w:divBdr>
      <w:divsChild>
        <w:div w:id="438914967">
          <w:marLeft w:val="0"/>
          <w:marRight w:val="0"/>
          <w:marTop w:val="120"/>
          <w:marBottom w:val="120"/>
          <w:divBdr>
            <w:top w:val="none" w:sz="0" w:space="0" w:color="auto"/>
            <w:left w:val="none" w:sz="0" w:space="0" w:color="auto"/>
            <w:bottom w:val="none" w:sz="0" w:space="0" w:color="auto"/>
            <w:right w:val="none" w:sz="0" w:space="0" w:color="auto"/>
          </w:divBdr>
        </w:div>
        <w:div w:id="783768155">
          <w:marLeft w:val="0"/>
          <w:marRight w:val="0"/>
          <w:marTop w:val="120"/>
          <w:marBottom w:val="120"/>
          <w:divBdr>
            <w:top w:val="none" w:sz="0" w:space="0" w:color="auto"/>
            <w:left w:val="none" w:sz="0" w:space="0" w:color="auto"/>
            <w:bottom w:val="none" w:sz="0" w:space="0" w:color="auto"/>
            <w:right w:val="none" w:sz="0" w:space="0" w:color="auto"/>
          </w:divBdr>
        </w:div>
        <w:div w:id="2113931074">
          <w:marLeft w:val="0"/>
          <w:marRight w:val="0"/>
          <w:marTop w:val="120"/>
          <w:marBottom w:val="120"/>
          <w:divBdr>
            <w:top w:val="none" w:sz="0" w:space="0" w:color="auto"/>
            <w:left w:val="none" w:sz="0" w:space="0" w:color="auto"/>
            <w:bottom w:val="none" w:sz="0" w:space="0" w:color="auto"/>
            <w:right w:val="none" w:sz="0" w:space="0" w:color="auto"/>
          </w:divBdr>
        </w:div>
        <w:div w:id="1542592353">
          <w:marLeft w:val="0"/>
          <w:marRight w:val="0"/>
          <w:marTop w:val="120"/>
          <w:marBottom w:val="120"/>
          <w:divBdr>
            <w:top w:val="none" w:sz="0" w:space="0" w:color="auto"/>
            <w:left w:val="none" w:sz="0" w:space="0" w:color="auto"/>
            <w:bottom w:val="none" w:sz="0" w:space="0" w:color="auto"/>
            <w:right w:val="none" w:sz="0" w:space="0" w:color="auto"/>
          </w:divBdr>
        </w:div>
      </w:divsChild>
    </w:div>
    <w:div w:id="1999379504">
      <w:bodyDiv w:val="1"/>
      <w:marLeft w:val="0"/>
      <w:marRight w:val="0"/>
      <w:marTop w:val="0"/>
      <w:marBottom w:val="0"/>
      <w:divBdr>
        <w:top w:val="none" w:sz="0" w:space="0" w:color="auto"/>
        <w:left w:val="none" w:sz="0" w:space="0" w:color="auto"/>
        <w:bottom w:val="none" w:sz="0" w:space="0" w:color="auto"/>
        <w:right w:val="none" w:sz="0" w:space="0" w:color="auto"/>
      </w:divBdr>
    </w:div>
    <w:div w:id="2010910806">
      <w:bodyDiv w:val="1"/>
      <w:marLeft w:val="0"/>
      <w:marRight w:val="0"/>
      <w:marTop w:val="0"/>
      <w:marBottom w:val="0"/>
      <w:divBdr>
        <w:top w:val="none" w:sz="0" w:space="0" w:color="auto"/>
        <w:left w:val="none" w:sz="0" w:space="0" w:color="auto"/>
        <w:bottom w:val="none" w:sz="0" w:space="0" w:color="auto"/>
        <w:right w:val="none" w:sz="0" w:space="0" w:color="auto"/>
      </w:divBdr>
    </w:div>
    <w:div w:id="201163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F5800-0AB9-4EDB-9597-540D7794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1459</Words>
  <Characters>8320</Characters>
  <Application>Microsoft Office Word</Application>
  <DocSecurity>0</DocSecurity>
  <Lines>69</Lines>
  <Paragraphs>19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Bundesministerium der Finanzen</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Lykke Lauridsen</dc:creator>
  <cp:lastModifiedBy>Julio Ricardo Loayza</cp:lastModifiedBy>
  <cp:revision>4</cp:revision>
  <cp:lastPrinted>2017-12-11T13:49:00Z</cp:lastPrinted>
  <dcterms:created xsi:type="dcterms:W3CDTF">2018-02-28T17:24:00Z</dcterms:created>
  <dcterms:modified xsi:type="dcterms:W3CDTF">2018-02-28T17:26:00Z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