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6A8A" w14:textId="77777777" w:rsidR="00001A61" w:rsidRPr="00E8118F" w:rsidRDefault="00001A61" w:rsidP="00001A61">
      <w:pPr>
        <w:spacing w:after="0" w:line="240" w:lineRule="auto"/>
        <w:jc w:val="center"/>
        <w:rPr>
          <w:rFonts w:ascii="Times New Roman" w:hAnsi="Times New Roman" w:cs="Times New Roman"/>
          <w:b/>
          <w:color w:val="1F3864" w:themeColor="accent1" w:themeShade="80"/>
          <w:sz w:val="60"/>
          <w:szCs w:val="60"/>
          <w:lang w:val="pt-PT"/>
        </w:rPr>
      </w:pPr>
      <w:bookmarkStart w:id="0" w:name="_Toc70346641"/>
      <w:r w:rsidRPr="00E8118F">
        <w:rPr>
          <w:rFonts w:ascii="Times New Roman" w:hAnsi="Times New Roman" w:cs="Times New Roman"/>
          <w:b/>
          <w:color w:val="1F3864" w:themeColor="accent1" w:themeShade="80"/>
          <w:sz w:val="60"/>
          <w:szCs w:val="60"/>
          <w:lang w:val="pt-PT"/>
        </w:rPr>
        <w:t xml:space="preserve">Cabo Verde </w:t>
      </w:r>
    </w:p>
    <w:p w14:paraId="026910B8" w14:textId="77777777" w:rsidR="00001A61" w:rsidRPr="00E8118F" w:rsidRDefault="00001A61" w:rsidP="00001A61">
      <w:pPr>
        <w:spacing w:after="0" w:line="276" w:lineRule="auto"/>
        <w:jc w:val="center"/>
        <w:rPr>
          <w:rFonts w:ascii="Times New Roman" w:hAnsi="Times New Roman" w:cs="Times New Roman"/>
          <w:b/>
          <w:color w:val="1F3864" w:themeColor="accent1" w:themeShade="80"/>
          <w:sz w:val="60"/>
          <w:szCs w:val="60"/>
          <w:lang w:val="pt-PT"/>
        </w:rPr>
      </w:pPr>
      <w:r w:rsidRPr="00E8118F">
        <w:rPr>
          <w:rFonts w:ascii="Times New Roman" w:hAnsi="Times New Roman" w:cs="Times New Roman"/>
          <w:b/>
          <w:color w:val="1F3864" w:themeColor="accent1" w:themeShade="80"/>
          <w:sz w:val="60"/>
          <w:szCs w:val="60"/>
          <w:lang w:val="pt-PT"/>
        </w:rPr>
        <w:t>Economic Update</w:t>
      </w:r>
    </w:p>
    <w:p w14:paraId="13B31B7E" w14:textId="77777777" w:rsidR="00001A61" w:rsidRPr="00E8118F" w:rsidRDefault="00001A61" w:rsidP="00001A61">
      <w:pPr>
        <w:rPr>
          <w:lang w:val="pt-PT"/>
        </w:rPr>
      </w:pPr>
    </w:p>
    <w:p w14:paraId="5932708A" w14:textId="77777777" w:rsidR="00001A61" w:rsidRPr="00E8118F" w:rsidRDefault="00001A61" w:rsidP="00001A61">
      <w:pPr>
        <w:rPr>
          <w:lang w:val="pt-PT"/>
        </w:rPr>
      </w:pPr>
    </w:p>
    <w:p w14:paraId="7F143EB6" w14:textId="0A059398" w:rsidR="00001A61" w:rsidRPr="00E8118F" w:rsidRDefault="00001A61" w:rsidP="00001A61">
      <w:pPr>
        <w:rPr>
          <w:lang w:val="pt-PT"/>
        </w:rPr>
      </w:pPr>
    </w:p>
    <w:p w14:paraId="12FBF22F" w14:textId="66869EE2" w:rsidR="00062A58" w:rsidRPr="00E8118F" w:rsidRDefault="00062A58" w:rsidP="00001A61">
      <w:pPr>
        <w:rPr>
          <w:lang w:val="pt-PT"/>
        </w:rPr>
      </w:pPr>
    </w:p>
    <w:p w14:paraId="558A2B94" w14:textId="77777777" w:rsidR="00062A58" w:rsidRPr="00E8118F" w:rsidRDefault="00062A58" w:rsidP="00001A61">
      <w:pPr>
        <w:rPr>
          <w:lang w:val="pt-PT"/>
        </w:rPr>
      </w:pPr>
    </w:p>
    <w:p w14:paraId="46B6D17D" w14:textId="77777777" w:rsidR="00001A61" w:rsidRPr="00E8118F" w:rsidRDefault="00001A61" w:rsidP="00001A61">
      <w:pPr>
        <w:rPr>
          <w:lang w:val="pt-PT"/>
        </w:rPr>
      </w:pPr>
    </w:p>
    <w:p w14:paraId="6E8F8E89" w14:textId="1AEFC843" w:rsidR="00001A61" w:rsidRPr="00591150" w:rsidRDefault="00761329" w:rsidP="00001A61">
      <w:pPr>
        <w:pStyle w:val="Title"/>
        <w:spacing w:line="276" w:lineRule="auto"/>
        <w:jc w:val="center"/>
        <w:rPr>
          <w:rFonts w:ascii="Times New Roman" w:hAnsi="Times New Roman" w:cs="Times New Roman"/>
          <w:color w:val="1F3864" w:themeColor="accent1" w:themeShade="80"/>
          <w:lang w:val="pt-PT"/>
        </w:rPr>
      </w:pPr>
      <w:r w:rsidRPr="00591150">
        <w:rPr>
          <w:lang w:val="pt-PT"/>
        </w:rPr>
        <w:t xml:space="preserve"> </w:t>
      </w:r>
      <w:r w:rsidR="001A06C1" w:rsidRPr="00E8118F">
        <w:rPr>
          <w:rFonts w:ascii="Times New Roman" w:hAnsi="Times New Roman" w:cs="Times New Roman"/>
          <w:color w:val="1F3864" w:themeColor="accent1" w:themeShade="80"/>
          <w:lang w:val="pt-PT"/>
        </w:rPr>
        <w:t>Cabo Verde’s Potential</w:t>
      </w:r>
      <w:r w:rsidR="001A06C1">
        <w:rPr>
          <w:lang w:val="pt-PT"/>
        </w:rPr>
        <w:t xml:space="preserve"> </w:t>
      </w:r>
      <w:r w:rsidR="00591150" w:rsidRPr="00591150">
        <w:rPr>
          <w:rFonts w:ascii="Times New Roman" w:hAnsi="Times New Roman" w:cs="Times New Roman"/>
          <w:color w:val="1F3864" w:themeColor="accent1" w:themeShade="80"/>
          <w:lang w:val="pt-PT"/>
        </w:rPr>
        <w:t xml:space="preserve">Digital Dividends </w:t>
      </w:r>
    </w:p>
    <w:p w14:paraId="145C0DB7" w14:textId="77777777" w:rsidR="00001A61" w:rsidRPr="00591150" w:rsidRDefault="00001A61" w:rsidP="00001A61">
      <w:pPr>
        <w:pStyle w:val="Title"/>
        <w:spacing w:line="276" w:lineRule="auto"/>
        <w:jc w:val="center"/>
        <w:rPr>
          <w:rFonts w:ascii="Times New Roman" w:hAnsi="Times New Roman" w:cs="Times New Roman"/>
          <w:color w:val="1F3864" w:themeColor="accent1" w:themeShade="80"/>
          <w:lang w:val="pt-PT"/>
        </w:rPr>
      </w:pPr>
    </w:p>
    <w:p w14:paraId="1465E7D9" w14:textId="77777777" w:rsidR="00001A61" w:rsidRPr="00591150" w:rsidRDefault="00001A61" w:rsidP="00001A61">
      <w:pPr>
        <w:rPr>
          <w:lang w:val="pt-PT"/>
        </w:rPr>
      </w:pPr>
    </w:p>
    <w:p w14:paraId="247C313F" w14:textId="77777777" w:rsidR="00001A61" w:rsidRPr="00591150" w:rsidRDefault="00001A61" w:rsidP="00001A61">
      <w:pPr>
        <w:spacing w:after="0" w:line="240" w:lineRule="auto"/>
        <w:jc w:val="right"/>
        <w:rPr>
          <w:rFonts w:ascii="Times New Roman" w:hAnsi="Times New Roman" w:cs="Times New Roman"/>
          <w:sz w:val="36"/>
          <w:szCs w:val="36"/>
          <w:lang w:val="pt-PT"/>
        </w:rPr>
      </w:pPr>
    </w:p>
    <w:p w14:paraId="4B7A0751" w14:textId="50B38632" w:rsidR="00001A61" w:rsidRPr="00591150" w:rsidRDefault="00001A61" w:rsidP="00D50073">
      <w:pPr>
        <w:spacing w:after="0" w:line="240" w:lineRule="auto"/>
        <w:jc w:val="center"/>
        <w:rPr>
          <w:rFonts w:ascii="Times New Roman" w:hAnsi="Times New Roman" w:cs="Times New Roman"/>
          <w:sz w:val="36"/>
          <w:szCs w:val="36"/>
          <w:lang w:val="pt-PT"/>
        </w:rPr>
      </w:pPr>
    </w:p>
    <w:p w14:paraId="12300269" w14:textId="77777777" w:rsidR="00D50073" w:rsidRPr="00591150" w:rsidRDefault="00D50073" w:rsidP="00D50073">
      <w:pPr>
        <w:spacing w:after="0" w:line="240" w:lineRule="auto"/>
        <w:jc w:val="center"/>
        <w:rPr>
          <w:rFonts w:ascii="Times New Roman" w:hAnsi="Times New Roman" w:cs="Times New Roman"/>
          <w:sz w:val="36"/>
          <w:szCs w:val="36"/>
          <w:lang w:val="pt-PT"/>
        </w:rPr>
      </w:pPr>
    </w:p>
    <w:p w14:paraId="3D1909BA" w14:textId="2234647C" w:rsidR="005520DF" w:rsidRDefault="005520DF" w:rsidP="00001A61">
      <w:pPr>
        <w:spacing w:after="0" w:line="240" w:lineRule="auto"/>
        <w:jc w:val="right"/>
        <w:rPr>
          <w:rFonts w:ascii="Times New Roman" w:hAnsi="Times New Roman" w:cs="Times New Roman"/>
          <w:sz w:val="36"/>
          <w:szCs w:val="36"/>
          <w:lang w:val="pt-PT"/>
        </w:rPr>
      </w:pPr>
    </w:p>
    <w:p w14:paraId="4EFF9CE6" w14:textId="3F32F1B5" w:rsidR="00062A58" w:rsidRDefault="00062A58" w:rsidP="00001A61">
      <w:pPr>
        <w:spacing w:after="0" w:line="240" w:lineRule="auto"/>
        <w:jc w:val="right"/>
        <w:rPr>
          <w:rFonts w:ascii="Times New Roman" w:hAnsi="Times New Roman" w:cs="Times New Roman"/>
          <w:sz w:val="36"/>
          <w:szCs w:val="36"/>
          <w:lang w:val="pt-PT"/>
        </w:rPr>
      </w:pPr>
    </w:p>
    <w:p w14:paraId="206F718A" w14:textId="6E638B3B" w:rsidR="00062A58" w:rsidRDefault="00062A58" w:rsidP="00001A61">
      <w:pPr>
        <w:spacing w:after="0" w:line="240" w:lineRule="auto"/>
        <w:jc w:val="right"/>
        <w:rPr>
          <w:rFonts w:ascii="Times New Roman" w:hAnsi="Times New Roman" w:cs="Times New Roman"/>
          <w:sz w:val="36"/>
          <w:szCs w:val="36"/>
          <w:lang w:val="pt-PT"/>
        </w:rPr>
      </w:pPr>
    </w:p>
    <w:p w14:paraId="7BE136F0" w14:textId="77777777" w:rsidR="00062A58" w:rsidRPr="00591150" w:rsidRDefault="00062A58" w:rsidP="00001A61">
      <w:pPr>
        <w:spacing w:after="0" w:line="240" w:lineRule="auto"/>
        <w:jc w:val="right"/>
        <w:rPr>
          <w:rFonts w:ascii="Times New Roman" w:hAnsi="Times New Roman" w:cs="Times New Roman"/>
          <w:sz w:val="36"/>
          <w:szCs w:val="36"/>
          <w:lang w:val="pt-PT"/>
        </w:rPr>
      </w:pPr>
    </w:p>
    <w:p w14:paraId="23778891" w14:textId="77777777" w:rsidR="00001A61" w:rsidRPr="00591150" w:rsidRDefault="00001A61" w:rsidP="00D50073">
      <w:pPr>
        <w:spacing w:after="0" w:line="240" w:lineRule="auto"/>
        <w:rPr>
          <w:rFonts w:ascii="Times New Roman" w:hAnsi="Times New Roman" w:cs="Times New Roman"/>
          <w:sz w:val="36"/>
          <w:szCs w:val="36"/>
          <w:lang w:val="pt-PT"/>
        </w:rPr>
      </w:pPr>
    </w:p>
    <w:p w14:paraId="3BBEE9DC" w14:textId="77777777" w:rsidR="00001A61" w:rsidRPr="00591150" w:rsidRDefault="00001A61" w:rsidP="00001A61">
      <w:pPr>
        <w:spacing w:after="0" w:line="276" w:lineRule="auto"/>
        <w:jc w:val="center"/>
        <w:rPr>
          <w:rFonts w:ascii="Times New Roman" w:hAnsi="Times New Roman" w:cs="Times New Roman"/>
          <w:sz w:val="40"/>
          <w:szCs w:val="40"/>
          <w:lang w:val="pt-PT"/>
        </w:rPr>
      </w:pPr>
    </w:p>
    <w:p w14:paraId="261E65D4" w14:textId="44EEE12F" w:rsidR="00001A61" w:rsidRDefault="005C3468" w:rsidP="00001A61">
      <w:pPr>
        <w:spacing w:after="0" w:line="276" w:lineRule="auto"/>
        <w:jc w:val="center"/>
        <w:rPr>
          <w:rFonts w:ascii="Times New Roman" w:hAnsi="Times New Roman" w:cs="Times New Roman"/>
          <w:sz w:val="40"/>
          <w:szCs w:val="40"/>
        </w:rPr>
      </w:pPr>
      <w:r>
        <w:rPr>
          <w:rFonts w:ascii="Times New Roman" w:hAnsi="Times New Roman" w:cs="Times New Roman"/>
          <w:sz w:val="40"/>
          <w:szCs w:val="40"/>
        </w:rPr>
        <w:t>May</w:t>
      </w:r>
      <w:r w:rsidR="00001A61" w:rsidRPr="00CD366C">
        <w:rPr>
          <w:rFonts w:ascii="Times New Roman" w:hAnsi="Times New Roman" w:cs="Times New Roman"/>
          <w:sz w:val="40"/>
          <w:szCs w:val="40"/>
        </w:rPr>
        <w:t xml:space="preserve"> 202</w:t>
      </w:r>
      <w:r w:rsidR="0001318E">
        <w:rPr>
          <w:rFonts w:ascii="Times New Roman" w:hAnsi="Times New Roman" w:cs="Times New Roman"/>
          <w:sz w:val="40"/>
          <w:szCs w:val="40"/>
        </w:rPr>
        <w:t>2</w:t>
      </w:r>
    </w:p>
    <w:p w14:paraId="49CDCC33" w14:textId="77777777" w:rsidR="00761329" w:rsidRDefault="0001318E" w:rsidP="0001318E">
      <w:pPr>
        <w:jc w:val="center"/>
        <w:rPr>
          <w:rFonts w:asciiTheme="majorHAnsi" w:eastAsiaTheme="majorEastAsia" w:hAnsiTheme="majorHAnsi" w:cstheme="majorBidi"/>
          <w:b/>
          <w:color w:val="2F5496" w:themeColor="accent1" w:themeShade="BF"/>
          <w:sz w:val="32"/>
          <w:szCs w:val="32"/>
        </w:rPr>
      </w:pPr>
      <w:r>
        <w:rPr>
          <w:noProof/>
        </w:rPr>
        <w:drawing>
          <wp:inline distT="0" distB="0" distL="0" distR="0" wp14:anchorId="3512F3B1" wp14:editId="331B8FD7">
            <wp:extent cx="3712191" cy="1011156"/>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712191" cy="1011156"/>
                    </a:xfrm>
                    <a:prstGeom prst="rect">
                      <a:avLst/>
                    </a:prstGeom>
                  </pic:spPr>
                </pic:pic>
              </a:graphicData>
            </a:graphic>
          </wp:inline>
        </w:drawing>
      </w:r>
    </w:p>
    <w:p w14:paraId="108EEF8D" w14:textId="77777777" w:rsidR="00761329" w:rsidRDefault="00761329">
      <w:pPr>
        <w:rPr>
          <w:rFonts w:asciiTheme="majorHAnsi" w:eastAsiaTheme="majorEastAsia" w:hAnsiTheme="majorHAnsi" w:cstheme="majorBidi"/>
          <w:b/>
          <w:color w:val="2F5496" w:themeColor="accent1" w:themeShade="BF"/>
          <w:sz w:val="32"/>
          <w:szCs w:val="32"/>
        </w:rPr>
      </w:pPr>
      <w:r>
        <w:rPr>
          <w:rFonts w:asciiTheme="majorHAnsi" w:eastAsiaTheme="majorEastAsia" w:hAnsiTheme="majorHAnsi" w:cstheme="majorBidi"/>
          <w:b/>
          <w:color w:val="2F5496" w:themeColor="accent1" w:themeShade="BF"/>
          <w:sz w:val="32"/>
          <w:szCs w:val="32"/>
        </w:rPr>
        <w:br w:type="page"/>
      </w:r>
    </w:p>
    <w:p w14:paraId="5BF07288" w14:textId="77777777" w:rsidR="009F2CE6" w:rsidRPr="00166EFE" w:rsidRDefault="009F2CE6" w:rsidP="009F2CE6">
      <w:pPr>
        <w:rPr>
          <w:rFonts w:ascii="Times New Roman" w:hAnsi="Times New Roman" w:cs="Times New Roman"/>
          <w:b/>
        </w:rPr>
      </w:pPr>
      <w:r w:rsidRPr="00166EFE">
        <w:rPr>
          <w:rFonts w:ascii="Times New Roman" w:hAnsi="Times New Roman" w:cs="Times New Roman"/>
          <w:b/>
        </w:rPr>
        <w:lastRenderedPageBreak/>
        <w:t>Disclaimer:</w:t>
      </w:r>
    </w:p>
    <w:p w14:paraId="3266A7CB" w14:textId="77777777" w:rsidR="009F2CE6" w:rsidRPr="00166EFE" w:rsidRDefault="009F2CE6" w:rsidP="009F2CE6">
      <w:pPr>
        <w:spacing w:line="276" w:lineRule="auto"/>
        <w:ind w:left="900"/>
        <w:jc w:val="both"/>
        <w:rPr>
          <w:rFonts w:ascii="Times New Roman" w:hAnsi="Times New Roman" w:cs="Times New Roman"/>
        </w:rPr>
      </w:pPr>
      <w:r w:rsidRPr="00166EFE">
        <w:rPr>
          <w:rFonts w:ascii="Times New Roman" w:hAnsi="Times New Roman" w:cs="Times New Roman"/>
        </w:rPr>
        <w:t xml:space="preserve">This </w:t>
      </w:r>
      <w:r>
        <w:rPr>
          <w:rFonts w:ascii="Times New Roman" w:hAnsi="Times New Roman" w:cs="Times New Roman"/>
        </w:rPr>
        <w:t>report</w:t>
      </w:r>
      <w:r w:rsidRPr="00166EFE">
        <w:rPr>
          <w:rFonts w:ascii="Times New Roman" w:hAnsi="Times New Roman" w:cs="Times New Roman"/>
        </w:rPr>
        <w:t xml:space="preserve"> is a product of the staff of the International Bank for Reconstruction and Development/The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273FEF2A" w14:textId="77777777" w:rsidR="009F2CE6" w:rsidRDefault="009F2CE6" w:rsidP="009F2CE6">
      <w:pPr>
        <w:spacing w:line="276" w:lineRule="auto"/>
        <w:jc w:val="both"/>
        <w:rPr>
          <w:rFonts w:ascii="Times New Roman" w:hAnsi="Times New Roman" w:cs="Times New Roman"/>
          <w:b/>
        </w:rPr>
      </w:pPr>
    </w:p>
    <w:p w14:paraId="5AC6DE9F" w14:textId="77777777" w:rsidR="009F2CE6" w:rsidRPr="00166EFE" w:rsidRDefault="009F2CE6" w:rsidP="009F2CE6">
      <w:pPr>
        <w:spacing w:line="276" w:lineRule="auto"/>
        <w:jc w:val="both"/>
        <w:rPr>
          <w:rFonts w:ascii="Times New Roman" w:hAnsi="Times New Roman" w:cs="Times New Roman"/>
          <w:b/>
        </w:rPr>
      </w:pPr>
      <w:r w:rsidRPr="00166EFE">
        <w:rPr>
          <w:rFonts w:ascii="Times New Roman" w:hAnsi="Times New Roman" w:cs="Times New Roman"/>
          <w:b/>
        </w:rPr>
        <w:t>Copyright:</w:t>
      </w:r>
    </w:p>
    <w:p w14:paraId="1A5754BA" w14:textId="77777777" w:rsidR="009F2CE6" w:rsidRPr="00166EFE" w:rsidRDefault="009F2CE6" w:rsidP="009F2CE6">
      <w:pPr>
        <w:spacing w:line="276" w:lineRule="auto"/>
        <w:ind w:left="900"/>
        <w:jc w:val="both"/>
        <w:rPr>
          <w:rFonts w:ascii="Times New Roman" w:hAnsi="Times New Roman" w:cs="Times New Roman"/>
        </w:rPr>
      </w:pPr>
      <w:r w:rsidRPr="00166EFE">
        <w:rPr>
          <w:rFonts w:ascii="Times New Roman" w:hAnsi="Times New Roman" w:cs="Times New Roman"/>
        </w:rPr>
        <w:t xml:space="preserve">The material in this publication is copyrighted. Copying and/or transmitting portions or </w:t>
      </w:r>
      <w:proofErr w:type="gramStart"/>
      <w:r w:rsidRPr="00166EFE">
        <w:rPr>
          <w:rFonts w:ascii="Times New Roman" w:hAnsi="Times New Roman" w:cs="Times New Roman"/>
        </w:rPr>
        <w:t>all of</w:t>
      </w:r>
      <w:proofErr w:type="gramEnd"/>
      <w:r w:rsidRPr="00166EFE">
        <w:rPr>
          <w:rFonts w:ascii="Times New Roman" w:hAnsi="Times New Roman" w:cs="Times New Roman"/>
        </w:rPr>
        <w:t xml:space="preserve"> this work without permission may be a violation of applicable law. The International Bank for Reconstruction and Development/The World Bank encourages dissemination of its work and will normally grant permission to reproduce portions of this work promptly. </w:t>
      </w:r>
    </w:p>
    <w:p w14:paraId="235A2AAE" w14:textId="77777777" w:rsidR="009F2CE6" w:rsidRPr="00166EFE" w:rsidRDefault="009F2CE6" w:rsidP="009F2CE6">
      <w:pPr>
        <w:spacing w:line="276" w:lineRule="auto"/>
        <w:ind w:left="900"/>
        <w:jc w:val="both"/>
        <w:rPr>
          <w:rFonts w:ascii="Times New Roman" w:hAnsi="Times New Roman" w:cs="Times New Roman"/>
        </w:rPr>
      </w:pPr>
      <w:r w:rsidRPr="00166EFE">
        <w:rPr>
          <w:rFonts w:ascii="Times New Roman" w:hAnsi="Times New Roman" w:cs="Times New Roman"/>
        </w:rPr>
        <w:t xml:space="preserve">For permission to photocopy or reprint any part of this work, please send a request with complete information to the Copyright Clearance Center, Inc., 222 Rosewood Drive, Danvers, MA 01923, USA, telephone 978-750-8400, fax 978-750-4470, </w:t>
      </w:r>
      <w:hyperlink r:id="rId13" w:history="1">
        <w:r w:rsidRPr="00166EFE">
          <w:rPr>
            <w:rStyle w:val="Hyperlink"/>
            <w:rFonts w:ascii="Times New Roman" w:hAnsi="Times New Roman" w:cs="Times New Roman"/>
          </w:rPr>
          <w:t>http://www.copyright.com/</w:t>
        </w:r>
      </w:hyperlink>
      <w:r w:rsidRPr="00166EFE">
        <w:rPr>
          <w:rFonts w:ascii="Times New Roman" w:hAnsi="Times New Roman" w:cs="Times New Roman"/>
        </w:rPr>
        <w:t>.</w:t>
      </w:r>
    </w:p>
    <w:p w14:paraId="55241726" w14:textId="77777777" w:rsidR="009F2CE6" w:rsidRPr="00166EFE" w:rsidRDefault="009F2CE6" w:rsidP="009F2CE6">
      <w:pPr>
        <w:spacing w:line="276" w:lineRule="auto"/>
        <w:ind w:left="900"/>
        <w:jc w:val="both"/>
        <w:rPr>
          <w:rFonts w:ascii="Times New Roman" w:hAnsi="Times New Roman" w:cs="Times New Roman"/>
        </w:rPr>
      </w:pPr>
      <w:r w:rsidRPr="00166EFE">
        <w:rPr>
          <w:rFonts w:ascii="Times New Roman" w:hAnsi="Times New Roman" w:cs="Times New Roman"/>
        </w:rPr>
        <w:t xml:space="preserve">All other queries on rights and licenses, including subsidiary rights, should be addressed to the Office of the Publisher, The World Bank, 1818 H Street NW, Washington, DC 20433, USA, fax 202-522-2422, e-mail pubrights@worldbank.org. </w:t>
      </w:r>
    </w:p>
    <w:p w14:paraId="6498E0A6" w14:textId="77777777" w:rsidR="009F2CE6" w:rsidRDefault="009F2CE6" w:rsidP="009F2CE6">
      <w:r>
        <w:br w:type="page"/>
      </w:r>
    </w:p>
    <w:p w14:paraId="7E0C01BE" w14:textId="478D8BAA" w:rsidR="00D75853" w:rsidRDefault="00D75853" w:rsidP="00D75853">
      <w:pPr>
        <w:keepNext/>
        <w:keepLines/>
        <w:spacing w:before="240" w:after="240"/>
        <w:outlineLvl w:val="0"/>
        <w:rPr>
          <w:rFonts w:ascii="Times New Roman" w:eastAsiaTheme="majorEastAsia" w:hAnsi="Times New Roman" w:cs="Times New Roman"/>
          <w:color w:val="2F5496" w:themeColor="accent1" w:themeShade="BF"/>
          <w:sz w:val="32"/>
          <w:szCs w:val="32"/>
        </w:rPr>
      </w:pPr>
      <w:bookmarkStart w:id="1" w:name="_Toc54810450"/>
      <w:bookmarkStart w:id="2" w:name="_Toc64642708"/>
      <w:bookmarkStart w:id="3" w:name="_Toc66955820"/>
      <w:bookmarkStart w:id="4" w:name="_Toc70346636"/>
      <w:bookmarkStart w:id="5" w:name="_Toc105592798"/>
      <w:r w:rsidRPr="00D75853">
        <w:rPr>
          <w:rFonts w:ascii="Times New Roman" w:eastAsiaTheme="majorEastAsia" w:hAnsi="Times New Roman" w:cs="Times New Roman"/>
          <w:color w:val="2F5496" w:themeColor="accent1" w:themeShade="BF"/>
          <w:sz w:val="32"/>
          <w:szCs w:val="32"/>
        </w:rPr>
        <w:lastRenderedPageBreak/>
        <w:t>Preface</w:t>
      </w:r>
      <w:bookmarkEnd w:id="1"/>
      <w:bookmarkEnd w:id="2"/>
      <w:bookmarkEnd w:id="3"/>
      <w:bookmarkEnd w:id="4"/>
      <w:bookmarkEnd w:id="5"/>
    </w:p>
    <w:p w14:paraId="26727597" w14:textId="43AB6A00" w:rsidR="001819F5" w:rsidRDefault="001819F5" w:rsidP="00F540C6">
      <w:pPr>
        <w:autoSpaceDE w:val="0"/>
        <w:autoSpaceDN w:val="0"/>
        <w:adjustRightInd w:val="0"/>
        <w:spacing w:line="276" w:lineRule="auto"/>
        <w:jc w:val="both"/>
        <w:rPr>
          <w:rFonts w:ascii="Times New Roman" w:hAnsi="Times New Roman" w:cs="Times New Roman"/>
        </w:rPr>
      </w:pPr>
      <w:bookmarkStart w:id="6" w:name="_Hlk97589179"/>
      <w:r w:rsidRPr="001819F5">
        <w:rPr>
          <w:rFonts w:ascii="Times New Roman" w:hAnsi="Times New Roman" w:cs="Times New Roman"/>
        </w:rPr>
        <w:t xml:space="preserve">The second Economic Update for Cabo Verde focuses on the importance </w:t>
      </w:r>
      <w:r w:rsidR="005F4683">
        <w:rPr>
          <w:rFonts w:ascii="Times New Roman" w:hAnsi="Times New Roman" w:cs="Times New Roman"/>
        </w:rPr>
        <w:t>of</w:t>
      </w:r>
      <w:r w:rsidR="005F4683" w:rsidRPr="001819F5">
        <w:rPr>
          <w:rFonts w:ascii="Times New Roman" w:hAnsi="Times New Roman" w:cs="Times New Roman"/>
        </w:rPr>
        <w:t xml:space="preserve"> </w:t>
      </w:r>
      <w:r w:rsidRPr="001819F5">
        <w:rPr>
          <w:rFonts w:ascii="Times New Roman" w:hAnsi="Times New Roman" w:cs="Times New Roman"/>
        </w:rPr>
        <w:t>return</w:t>
      </w:r>
      <w:r w:rsidR="005F4683">
        <w:rPr>
          <w:rFonts w:ascii="Times New Roman" w:hAnsi="Times New Roman" w:cs="Times New Roman"/>
        </w:rPr>
        <w:t>ing</w:t>
      </w:r>
      <w:r w:rsidRPr="001819F5">
        <w:rPr>
          <w:rFonts w:ascii="Times New Roman" w:hAnsi="Times New Roman" w:cs="Times New Roman"/>
        </w:rPr>
        <w:t xml:space="preserve"> to fiscal sustainability in the aftermath of the COVID-19 crisis and on the potential </w:t>
      </w:r>
      <w:r w:rsidR="005F4683">
        <w:rPr>
          <w:rFonts w:ascii="Times New Roman" w:hAnsi="Times New Roman" w:cs="Times New Roman"/>
        </w:rPr>
        <w:t xml:space="preserve">role </w:t>
      </w:r>
      <w:r w:rsidRPr="001819F5">
        <w:rPr>
          <w:rFonts w:ascii="Times New Roman" w:hAnsi="Times New Roman" w:cs="Times New Roman"/>
        </w:rPr>
        <w:t xml:space="preserve">of </w:t>
      </w:r>
      <w:r w:rsidR="005F4683">
        <w:rPr>
          <w:rFonts w:ascii="Times New Roman" w:hAnsi="Times New Roman" w:cs="Times New Roman"/>
        </w:rPr>
        <w:t>Information and Communications Technology (</w:t>
      </w:r>
      <w:r w:rsidRPr="001819F5">
        <w:rPr>
          <w:rFonts w:ascii="Times New Roman" w:hAnsi="Times New Roman" w:cs="Times New Roman"/>
        </w:rPr>
        <w:t>ICT</w:t>
      </w:r>
      <w:r w:rsidR="005F4683">
        <w:rPr>
          <w:rFonts w:ascii="Times New Roman" w:hAnsi="Times New Roman" w:cs="Times New Roman"/>
        </w:rPr>
        <w:t>)</w:t>
      </w:r>
      <w:r w:rsidRPr="001819F5">
        <w:rPr>
          <w:rFonts w:ascii="Times New Roman" w:hAnsi="Times New Roman" w:cs="Times New Roman"/>
        </w:rPr>
        <w:t xml:space="preserve"> </w:t>
      </w:r>
      <w:r w:rsidR="005F4683">
        <w:rPr>
          <w:rFonts w:ascii="Times New Roman" w:hAnsi="Times New Roman" w:cs="Times New Roman"/>
        </w:rPr>
        <w:t>in</w:t>
      </w:r>
      <w:r w:rsidRPr="001819F5">
        <w:rPr>
          <w:rFonts w:ascii="Times New Roman" w:hAnsi="Times New Roman" w:cs="Times New Roman"/>
        </w:rPr>
        <w:t xml:space="preserve"> strengthen</w:t>
      </w:r>
      <w:r w:rsidR="005F4683">
        <w:rPr>
          <w:rFonts w:ascii="Times New Roman" w:hAnsi="Times New Roman" w:cs="Times New Roman"/>
        </w:rPr>
        <w:t>ing</w:t>
      </w:r>
      <w:r w:rsidRPr="001819F5">
        <w:rPr>
          <w:rFonts w:ascii="Times New Roman" w:hAnsi="Times New Roman" w:cs="Times New Roman"/>
        </w:rPr>
        <w:t xml:space="preserve"> the foundations for a sustainable and inclusive economic recovery. The first chapter discusses the current macroeconomic situation, outlook, and risks the country faces over the medium term. The second chapter provides an overview of key challenges to transform Cabo Verde into a Digital Hub. The report offers a set of actionable policy priorities for a swift return to fiscal and debt sustainability and around the national digital transformation agenda, which include enhancing the ownership of </w:t>
      </w:r>
      <w:r w:rsidR="005F4683">
        <w:rPr>
          <w:rFonts w:ascii="Times New Roman" w:hAnsi="Times New Roman" w:cs="Times New Roman"/>
        </w:rPr>
        <w:t xml:space="preserve">the </w:t>
      </w:r>
      <w:r w:rsidRPr="001819F5">
        <w:rPr>
          <w:rFonts w:ascii="Times New Roman" w:hAnsi="Times New Roman" w:cs="Times New Roman"/>
        </w:rPr>
        <w:t>innovation agenda, strengthening digital foundations, investing in human capital, and mobilizing Diaspora resources to create a private ICT sector.</w:t>
      </w:r>
    </w:p>
    <w:bookmarkEnd w:id="6"/>
    <w:p w14:paraId="1C33E0FC" w14:textId="77777777" w:rsidR="00F540C6" w:rsidRPr="00D75853" w:rsidRDefault="00F540C6" w:rsidP="00F540C6"/>
    <w:p w14:paraId="2A337AE4" w14:textId="77777777" w:rsidR="00A23432" w:rsidRPr="00A23432" w:rsidRDefault="00001A61" w:rsidP="00F540C6">
      <w:pPr>
        <w:keepNext/>
        <w:keepLines/>
        <w:spacing w:before="240" w:after="240"/>
        <w:outlineLvl w:val="0"/>
      </w:pPr>
      <w:r>
        <w:rPr>
          <w:b/>
        </w:rPr>
        <w:br w:type="page"/>
      </w:r>
      <w:bookmarkStart w:id="7" w:name="_Toc64642709"/>
      <w:bookmarkStart w:id="8" w:name="_Toc66955821"/>
      <w:bookmarkStart w:id="9" w:name="_Toc70346637"/>
      <w:bookmarkStart w:id="10" w:name="_Toc105592799"/>
      <w:r w:rsidR="00A23432" w:rsidRPr="00F540C6">
        <w:rPr>
          <w:rFonts w:ascii="Times New Roman" w:eastAsiaTheme="majorEastAsia" w:hAnsi="Times New Roman" w:cs="Times New Roman"/>
          <w:color w:val="2F5496" w:themeColor="accent1" w:themeShade="BF"/>
          <w:sz w:val="32"/>
          <w:szCs w:val="32"/>
        </w:rPr>
        <w:lastRenderedPageBreak/>
        <w:t>Acknowledgements</w:t>
      </w:r>
      <w:bookmarkEnd w:id="7"/>
      <w:bookmarkEnd w:id="8"/>
      <w:bookmarkEnd w:id="9"/>
      <w:bookmarkEnd w:id="10"/>
    </w:p>
    <w:p w14:paraId="4B4A379B" w14:textId="678E54FD" w:rsidR="00065668" w:rsidRDefault="0021511F" w:rsidP="00132CD2">
      <w:pPr>
        <w:spacing w:line="276" w:lineRule="auto"/>
        <w:jc w:val="both"/>
        <w:rPr>
          <w:rFonts w:ascii="Times New Roman" w:hAnsi="Times New Roman" w:cs="Times New Roman"/>
        </w:rPr>
      </w:pPr>
      <w:r w:rsidRPr="0021511F">
        <w:rPr>
          <w:rFonts w:ascii="Times New Roman" w:hAnsi="Times New Roman" w:cs="Times New Roman"/>
        </w:rPr>
        <w:t xml:space="preserve">This </w:t>
      </w:r>
      <w:r w:rsidR="003B0453">
        <w:rPr>
          <w:rFonts w:ascii="Times New Roman" w:hAnsi="Times New Roman" w:cs="Times New Roman"/>
        </w:rPr>
        <w:t xml:space="preserve">edition of the Cabo </w:t>
      </w:r>
      <w:r w:rsidR="003B7FF2">
        <w:rPr>
          <w:rFonts w:ascii="Times New Roman" w:hAnsi="Times New Roman" w:cs="Times New Roman"/>
        </w:rPr>
        <w:t>V</w:t>
      </w:r>
      <w:r w:rsidR="003B0453">
        <w:rPr>
          <w:rFonts w:ascii="Times New Roman" w:hAnsi="Times New Roman" w:cs="Times New Roman"/>
        </w:rPr>
        <w:t>erde Economic U</w:t>
      </w:r>
      <w:r w:rsidRPr="0021511F">
        <w:rPr>
          <w:rFonts w:ascii="Times New Roman" w:hAnsi="Times New Roman" w:cs="Times New Roman"/>
        </w:rPr>
        <w:t xml:space="preserve">pdate was prepared by </w:t>
      </w:r>
      <w:r w:rsidR="00850A34">
        <w:rPr>
          <w:rFonts w:ascii="Times New Roman" w:hAnsi="Times New Roman" w:cs="Times New Roman"/>
        </w:rPr>
        <w:t xml:space="preserve">a team led by Rosa Brito Delgado (Economist, EAWM1) and Jose Daniel Reyes (Senior Economist, EAWM1). The team included </w:t>
      </w:r>
      <w:r w:rsidR="00850A34" w:rsidRPr="00850A34">
        <w:rPr>
          <w:rFonts w:ascii="Times New Roman" w:hAnsi="Times New Roman" w:cs="Times New Roman"/>
        </w:rPr>
        <w:t>Gohar Malumyan (Consultant, EAWM1), Jerome Bezzina (Senior Digital Development Specialist, IDD02), and Maria Claudia Pachon (Senior Digital Development Specialist, IDD02)</w:t>
      </w:r>
      <w:r w:rsidR="00850A34">
        <w:rPr>
          <w:rFonts w:ascii="Times New Roman" w:hAnsi="Times New Roman" w:cs="Times New Roman"/>
        </w:rPr>
        <w:t xml:space="preserve">, </w:t>
      </w:r>
      <w:r w:rsidR="00850A34" w:rsidRPr="00850A34">
        <w:rPr>
          <w:rFonts w:ascii="Times New Roman" w:hAnsi="Times New Roman" w:cs="Times New Roman"/>
        </w:rPr>
        <w:t>Djibril Ndoye (Economist/Statistician, EAWPV) and Pablo Andres Bejar Vera (Consultant, EAWM1)</w:t>
      </w:r>
      <w:r w:rsidR="00850A34">
        <w:rPr>
          <w:rFonts w:ascii="Times New Roman" w:hAnsi="Times New Roman" w:cs="Times New Roman"/>
        </w:rPr>
        <w:t xml:space="preserve">, </w:t>
      </w:r>
      <w:r w:rsidR="00850A34" w:rsidRPr="00850A34">
        <w:rPr>
          <w:rFonts w:ascii="Times New Roman" w:hAnsi="Times New Roman" w:cs="Times New Roman"/>
        </w:rPr>
        <w:t xml:space="preserve">Jandira Dos Santos (Team Assistant, AWMCV), Vania Jurena Gama Lopes (Temporary, AWMCV), Micky O. Ananth (Operations Analyst, EAWM1), Maude Jean-Baptiste (Program Assistant, EAWM1), and Theresa Adobea Bampoe (Program Assistant, EAWM1). </w:t>
      </w:r>
      <w:r w:rsidR="00850A34">
        <w:rPr>
          <w:rFonts w:ascii="Times New Roman" w:hAnsi="Times New Roman" w:cs="Times New Roman"/>
        </w:rPr>
        <w:t>Peer reviewers were Ble</w:t>
      </w:r>
      <w:r w:rsidR="00F043A1">
        <w:rPr>
          <w:rFonts w:ascii="Times New Roman" w:hAnsi="Times New Roman" w:cs="Times New Roman"/>
        </w:rPr>
        <w:t>d</w:t>
      </w:r>
      <w:r w:rsidR="00850A34">
        <w:rPr>
          <w:rFonts w:ascii="Times New Roman" w:hAnsi="Times New Roman" w:cs="Times New Roman"/>
        </w:rPr>
        <w:t>i Celiku (Senior Economist, ELCMU</w:t>
      </w:r>
      <w:r w:rsidR="00E81CE8">
        <w:rPr>
          <w:rFonts w:ascii="Times New Roman" w:hAnsi="Times New Roman" w:cs="Times New Roman"/>
        </w:rPr>
        <w:t>) and Camila Mejia Giraldo (Senior Digital Development Specialist, IDD02)</w:t>
      </w:r>
      <w:r w:rsidR="00850A34" w:rsidRPr="00850A34">
        <w:rPr>
          <w:rFonts w:ascii="Times New Roman" w:hAnsi="Times New Roman" w:cs="Times New Roman"/>
        </w:rPr>
        <w:t>.</w:t>
      </w:r>
      <w:r w:rsidR="00E81CE8">
        <w:rPr>
          <w:rFonts w:ascii="Times New Roman" w:hAnsi="Times New Roman" w:cs="Times New Roman"/>
        </w:rPr>
        <w:t xml:space="preserve"> The report was prepared under the overall guidance and supervision of </w:t>
      </w:r>
      <w:r w:rsidRPr="0021511F">
        <w:rPr>
          <w:rFonts w:ascii="Times New Roman" w:hAnsi="Times New Roman" w:cs="Times New Roman"/>
        </w:rPr>
        <w:t>Nathan M. Belete (Country Director, AWCF1), Theo David Thomas (Practice Manager, EAWM1) and Eneida Fernandes (Resident Representative, AWMGW)</w:t>
      </w:r>
      <w:r w:rsidR="00E81CE8">
        <w:rPr>
          <w:rFonts w:ascii="Times New Roman" w:hAnsi="Times New Roman" w:cs="Times New Roman"/>
        </w:rPr>
        <w:t xml:space="preserve">, </w:t>
      </w:r>
      <w:r w:rsidR="00E81CE8" w:rsidRPr="00E81CE8">
        <w:rPr>
          <w:rFonts w:ascii="Times New Roman" w:hAnsi="Times New Roman" w:cs="Times New Roman"/>
        </w:rPr>
        <w:t>Edouard Al-Dahdah (Lead Economist and Program Leader, EAWDR), Urbain Thierry Yogo (Senior Economist</w:t>
      </w:r>
      <w:r w:rsidR="00E81CE8">
        <w:rPr>
          <w:rFonts w:ascii="Times New Roman" w:hAnsi="Times New Roman" w:cs="Times New Roman"/>
        </w:rPr>
        <w:t xml:space="preserve"> </w:t>
      </w:r>
      <w:r w:rsidR="00E81CE8" w:rsidRPr="00E81CE8">
        <w:rPr>
          <w:rFonts w:ascii="Times New Roman" w:hAnsi="Times New Roman" w:cs="Times New Roman"/>
        </w:rPr>
        <w:t xml:space="preserve">and Acting Lead Economist, EAWM1), </w:t>
      </w:r>
      <w:r w:rsidR="00E81CE8">
        <w:rPr>
          <w:rFonts w:ascii="Times New Roman" w:hAnsi="Times New Roman" w:cs="Times New Roman"/>
        </w:rPr>
        <w:t xml:space="preserve">and </w:t>
      </w:r>
      <w:r w:rsidR="00E81CE8" w:rsidRPr="00E81CE8">
        <w:rPr>
          <w:rFonts w:ascii="Times New Roman" w:hAnsi="Times New Roman" w:cs="Times New Roman"/>
        </w:rPr>
        <w:t>Ernest John Sergenti (Senior Economist and Acting Lead Economist, EAWM1)</w:t>
      </w:r>
      <w:r w:rsidRPr="0021511F">
        <w:rPr>
          <w:rFonts w:ascii="Times New Roman" w:hAnsi="Times New Roman" w:cs="Times New Roman"/>
        </w:rPr>
        <w:t xml:space="preserve">. </w:t>
      </w:r>
    </w:p>
    <w:p w14:paraId="438470C9" w14:textId="4AE7B30C" w:rsidR="00065668" w:rsidRDefault="00065668" w:rsidP="00A23432">
      <w:pPr>
        <w:spacing w:line="276" w:lineRule="auto"/>
        <w:jc w:val="both"/>
        <w:rPr>
          <w:rFonts w:ascii="Times New Roman" w:hAnsi="Times New Roman" w:cs="Times New Roman"/>
        </w:rPr>
      </w:pPr>
    </w:p>
    <w:p w14:paraId="35CCC002" w14:textId="6A92A9DB" w:rsidR="00065668" w:rsidRDefault="00065668" w:rsidP="00A23432">
      <w:pPr>
        <w:spacing w:line="276" w:lineRule="auto"/>
        <w:jc w:val="both"/>
        <w:rPr>
          <w:rFonts w:ascii="Times New Roman" w:hAnsi="Times New Roman" w:cs="Times New Roman"/>
        </w:rPr>
      </w:pPr>
    </w:p>
    <w:p w14:paraId="178B2CA6" w14:textId="513CA56F" w:rsidR="00F145B2" w:rsidRDefault="00F145B2" w:rsidP="00A23432">
      <w:pPr>
        <w:spacing w:line="276" w:lineRule="auto"/>
        <w:jc w:val="both"/>
        <w:rPr>
          <w:rFonts w:ascii="Times New Roman" w:hAnsi="Times New Roman" w:cs="Times New Roman"/>
        </w:rPr>
      </w:pPr>
    </w:p>
    <w:p w14:paraId="1EA377F5" w14:textId="003DA350" w:rsidR="00F145B2" w:rsidRDefault="00F145B2" w:rsidP="00A23432">
      <w:pPr>
        <w:spacing w:line="276" w:lineRule="auto"/>
        <w:jc w:val="both"/>
        <w:rPr>
          <w:rFonts w:ascii="Times New Roman" w:hAnsi="Times New Roman" w:cs="Times New Roman"/>
        </w:rPr>
      </w:pPr>
    </w:p>
    <w:p w14:paraId="57AED51B" w14:textId="77777777" w:rsidR="00F145B2" w:rsidRDefault="00F145B2" w:rsidP="00A23432">
      <w:pPr>
        <w:spacing w:line="276" w:lineRule="auto"/>
        <w:jc w:val="both"/>
        <w:rPr>
          <w:rFonts w:ascii="Times New Roman" w:hAnsi="Times New Roman" w:cs="Times New Roman"/>
        </w:rPr>
      </w:pPr>
    </w:p>
    <w:p w14:paraId="067E037A" w14:textId="2B58187E" w:rsidR="00065668" w:rsidRDefault="00065668" w:rsidP="00A23432">
      <w:pPr>
        <w:spacing w:line="276" w:lineRule="auto"/>
        <w:jc w:val="both"/>
        <w:rPr>
          <w:rFonts w:ascii="Times New Roman" w:hAnsi="Times New Roman" w:cs="Times New Roman"/>
        </w:rPr>
      </w:pPr>
    </w:p>
    <w:p w14:paraId="6DB063F3" w14:textId="22F75ABD" w:rsidR="00065668" w:rsidRDefault="00065668" w:rsidP="00A23432">
      <w:pPr>
        <w:spacing w:line="276" w:lineRule="auto"/>
        <w:jc w:val="both"/>
        <w:rPr>
          <w:rFonts w:ascii="Times New Roman" w:hAnsi="Times New Roman" w:cs="Times New Roman"/>
        </w:rPr>
      </w:pPr>
    </w:p>
    <w:p w14:paraId="0660C913" w14:textId="4A0E8B29" w:rsidR="00065668" w:rsidRDefault="00065668" w:rsidP="00A23432">
      <w:pPr>
        <w:spacing w:line="276" w:lineRule="auto"/>
        <w:jc w:val="both"/>
        <w:rPr>
          <w:rFonts w:ascii="Times New Roman" w:hAnsi="Times New Roman" w:cs="Times New Roman"/>
        </w:rPr>
      </w:pPr>
    </w:p>
    <w:p w14:paraId="2AFD72A5" w14:textId="5823FA1C" w:rsidR="00065668" w:rsidRDefault="00065668" w:rsidP="00A23432">
      <w:pPr>
        <w:spacing w:line="276" w:lineRule="auto"/>
        <w:jc w:val="both"/>
        <w:rPr>
          <w:rFonts w:ascii="Times New Roman" w:hAnsi="Times New Roman" w:cs="Times New Roman"/>
        </w:rPr>
      </w:pPr>
    </w:p>
    <w:p w14:paraId="773ED9A9" w14:textId="41313243" w:rsidR="00065668" w:rsidRDefault="00065668" w:rsidP="00A23432">
      <w:pPr>
        <w:spacing w:line="276" w:lineRule="auto"/>
        <w:jc w:val="both"/>
        <w:rPr>
          <w:rFonts w:ascii="Times New Roman" w:hAnsi="Times New Roman" w:cs="Times New Roman"/>
        </w:rPr>
      </w:pPr>
    </w:p>
    <w:p w14:paraId="17621693" w14:textId="2159ABD0" w:rsidR="00065668" w:rsidRDefault="00065668" w:rsidP="00A23432">
      <w:pPr>
        <w:spacing w:line="276" w:lineRule="auto"/>
        <w:jc w:val="both"/>
        <w:rPr>
          <w:rFonts w:ascii="Times New Roman" w:hAnsi="Times New Roman" w:cs="Times New Roman"/>
        </w:rPr>
      </w:pPr>
    </w:p>
    <w:p w14:paraId="08210CF4" w14:textId="76FA9D91" w:rsidR="0001461B" w:rsidRDefault="0001461B" w:rsidP="00A23432">
      <w:pPr>
        <w:spacing w:line="276" w:lineRule="auto"/>
        <w:jc w:val="both"/>
        <w:rPr>
          <w:rFonts w:ascii="Times New Roman" w:hAnsi="Times New Roman" w:cs="Times New Roman"/>
        </w:rPr>
      </w:pPr>
    </w:p>
    <w:p w14:paraId="077BB4F9" w14:textId="2FDA5A26" w:rsidR="0001461B" w:rsidRDefault="0001461B" w:rsidP="00A23432">
      <w:pPr>
        <w:spacing w:line="276" w:lineRule="auto"/>
        <w:jc w:val="both"/>
        <w:rPr>
          <w:rFonts w:ascii="Times New Roman" w:hAnsi="Times New Roman" w:cs="Times New Roman"/>
        </w:rPr>
      </w:pPr>
    </w:p>
    <w:p w14:paraId="66C1254A" w14:textId="1AC07EA6" w:rsidR="0001461B" w:rsidRDefault="0001461B" w:rsidP="00A23432">
      <w:pPr>
        <w:spacing w:line="276" w:lineRule="auto"/>
        <w:jc w:val="both"/>
        <w:rPr>
          <w:rFonts w:ascii="Times New Roman" w:hAnsi="Times New Roman" w:cs="Times New Roman"/>
        </w:rPr>
      </w:pPr>
    </w:p>
    <w:p w14:paraId="65C755F5" w14:textId="2B3985ED" w:rsidR="0001461B" w:rsidRDefault="0001461B" w:rsidP="00A23432">
      <w:pPr>
        <w:spacing w:line="276" w:lineRule="auto"/>
        <w:jc w:val="both"/>
        <w:rPr>
          <w:rFonts w:ascii="Times New Roman" w:hAnsi="Times New Roman" w:cs="Times New Roman"/>
        </w:rPr>
      </w:pPr>
    </w:p>
    <w:p w14:paraId="78292B28" w14:textId="77777777" w:rsidR="0001461B" w:rsidRDefault="0001461B" w:rsidP="00A23432">
      <w:pPr>
        <w:spacing w:line="276" w:lineRule="auto"/>
        <w:jc w:val="both"/>
        <w:rPr>
          <w:rFonts w:ascii="Times New Roman" w:hAnsi="Times New Roman" w:cs="Times New Roman"/>
        </w:rPr>
      </w:pPr>
    </w:p>
    <w:p w14:paraId="4F69F8BF" w14:textId="77777777" w:rsidR="00065668" w:rsidRPr="00A23432" w:rsidRDefault="00065668" w:rsidP="00A23432">
      <w:pPr>
        <w:spacing w:line="276" w:lineRule="auto"/>
        <w:jc w:val="both"/>
        <w:rPr>
          <w:rFonts w:ascii="Times New Roman" w:hAnsi="Times New Roman" w:cs="Times New Roman"/>
        </w:rPr>
      </w:pPr>
    </w:p>
    <w:sdt>
      <w:sdtPr>
        <w:rPr>
          <w:rFonts w:asciiTheme="minorHAnsi" w:eastAsiaTheme="minorHAnsi" w:hAnsiTheme="minorHAnsi" w:cstheme="minorBidi"/>
          <w:color w:val="auto"/>
          <w:sz w:val="22"/>
          <w:szCs w:val="22"/>
        </w:rPr>
        <w:id w:val="-1245259862"/>
        <w:docPartObj>
          <w:docPartGallery w:val="Table of Contents"/>
          <w:docPartUnique/>
        </w:docPartObj>
      </w:sdtPr>
      <w:sdtEndPr>
        <w:rPr>
          <w:b/>
          <w:bCs/>
          <w:noProof/>
        </w:rPr>
      </w:sdtEndPr>
      <w:sdtContent>
        <w:p w14:paraId="0BF8EC0E" w14:textId="4F0055AD" w:rsidR="00065668" w:rsidRDefault="00065668">
          <w:pPr>
            <w:pStyle w:val="TOCHeading"/>
          </w:pPr>
          <w:r>
            <w:t>Contents</w:t>
          </w:r>
        </w:p>
        <w:p w14:paraId="56D1107B" w14:textId="0873A222" w:rsidR="006A464C" w:rsidRDefault="00065668">
          <w:pPr>
            <w:pStyle w:val="TOC1"/>
            <w:rPr>
              <w:rFonts w:eastAsiaTheme="minorEastAsia"/>
              <w:noProof/>
            </w:rPr>
          </w:pPr>
          <w:r>
            <w:fldChar w:fldCharType="begin"/>
          </w:r>
          <w:r>
            <w:instrText xml:space="preserve"> TOC \o "1-3" \h \z \u </w:instrText>
          </w:r>
          <w:r>
            <w:fldChar w:fldCharType="separate"/>
          </w:r>
          <w:hyperlink w:anchor="_Toc105592798" w:history="1">
            <w:r w:rsidR="006A464C" w:rsidRPr="00655478">
              <w:rPr>
                <w:rStyle w:val="Hyperlink"/>
                <w:rFonts w:ascii="Times New Roman" w:eastAsiaTheme="majorEastAsia" w:hAnsi="Times New Roman" w:cs="Times New Roman"/>
                <w:noProof/>
              </w:rPr>
              <w:t>Preface</w:t>
            </w:r>
            <w:r w:rsidR="006A464C">
              <w:rPr>
                <w:noProof/>
                <w:webHidden/>
              </w:rPr>
              <w:tab/>
            </w:r>
            <w:r w:rsidR="006A464C">
              <w:rPr>
                <w:noProof/>
                <w:webHidden/>
              </w:rPr>
              <w:fldChar w:fldCharType="begin"/>
            </w:r>
            <w:r w:rsidR="006A464C">
              <w:rPr>
                <w:noProof/>
                <w:webHidden/>
              </w:rPr>
              <w:instrText xml:space="preserve"> PAGEREF _Toc105592798 \h </w:instrText>
            </w:r>
            <w:r w:rsidR="006A464C">
              <w:rPr>
                <w:noProof/>
                <w:webHidden/>
              </w:rPr>
            </w:r>
            <w:r w:rsidR="006A464C">
              <w:rPr>
                <w:noProof/>
                <w:webHidden/>
              </w:rPr>
              <w:fldChar w:fldCharType="separate"/>
            </w:r>
            <w:r w:rsidR="006A464C">
              <w:rPr>
                <w:noProof/>
                <w:webHidden/>
              </w:rPr>
              <w:t>3</w:t>
            </w:r>
            <w:r w:rsidR="006A464C">
              <w:rPr>
                <w:noProof/>
                <w:webHidden/>
              </w:rPr>
              <w:fldChar w:fldCharType="end"/>
            </w:r>
          </w:hyperlink>
        </w:p>
        <w:p w14:paraId="2D721980" w14:textId="0DC5F496" w:rsidR="006A464C" w:rsidRDefault="00CF49A0">
          <w:pPr>
            <w:pStyle w:val="TOC1"/>
            <w:rPr>
              <w:rFonts w:eastAsiaTheme="minorEastAsia"/>
              <w:noProof/>
            </w:rPr>
          </w:pPr>
          <w:hyperlink w:anchor="_Toc105592799" w:history="1">
            <w:r w:rsidR="006A464C" w:rsidRPr="00655478">
              <w:rPr>
                <w:rStyle w:val="Hyperlink"/>
                <w:rFonts w:ascii="Times New Roman" w:eastAsiaTheme="majorEastAsia" w:hAnsi="Times New Roman" w:cs="Times New Roman"/>
                <w:noProof/>
              </w:rPr>
              <w:t>Acknowledgements</w:t>
            </w:r>
            <w:r w:rsidR="006A464C">
              <w:rPr>
                <w:noProof/>
                <w:webHidden/>
              </w:rPr>
              <w:tab/>
            </w:r>
            <w:r w:rsidR="006A464C">
              <w:rPr>
                <w:noProof/>
                <w:webHidden/>
              </w:rPr>
              <w:fldChar w:fldCharType="begin"/>
            </w:r>
            <w:r w:rsidR="006A464C">
              <w:rPr>
                <w:noProof/>
                <w:webHidden/>
              </w:rPr>
              <w:instrText xml:space="preserve"> PAGEREF _Toc105592799 \h </w:instrText>
            </w:r>
            <w:r w:rsidR="006A464C">
              <w:rPr>
                <w:noProof/>
                <w:webHidden/>
              </w:rPr>
            </w:r>
            <w:r w:rsidR="006A464C">
              <w:rPr>
                <w:noProof/>
                <w:webHidden/>
              </w:rPr>
              <w:fldChar w:fldCharType="separate"/>
            </w:r>
            <w:r w:rsidR="006A464C">
              <w:rPr>
                <w:noProof/>
                <w:webHidden/>
              </w:rPr>
              <w:t>4</w:t>
            </w:r>
            <w:r w:rsidR="006A464C">
              <w:rPr>
                <w:noProof/>
                <w:webHidden/>
              </w:rPr>
              <w:fldChar w:fldCharType="end"/>
            </w:r>
          </w:hyperlink>
        </w:p>
        <w:p w14:paraId="0D48FCAC" w14:textId="3957DF26" w:rsidR="006A464C" w:rsidRDefault="00CF49A0">
          <w:pPr>
            <w:pStyle w:val="TOC1"/>
            <w:rPr>
              <w:rFonts w:eastAsiaTheme="minorEastAsia"/>
              <w:noProof/>
            </w:rPr>
          </w:pPr>
          <w:hyperlink w:anchor="_Toc105592800" w:history="1">
            <w:r w:rsidR="006A464C" w:rsidRPr="00655478">
              <w:rPr>
                <w:rStyle w:val="Hyperlink"/>
                <w:rFonts w:ascii="Times New Roman" w:eastAsiaTheme="majorEastAsia" w:hAnsi="Times New Roman" w:cs="Times New Roman"/>
                <w:noProof/>
              </w:rPr>
              <w:t>List of Tables, Figures, and Boxes</w:t>
            </w:r>
            <w:r w:rsidR="006A464C">
              <w:rPr>
                <w:noProof/>
                <w:webHidden/>
              </w:rPr>
              <w:tab/>
            </w:r>
            <w:r w:rsidR="006A464C">
              <w:rPr>
                <w:noProof/>
                <w:webHidden/>
              </w:rPr>
              <w:fldChar w:fldCharType="begin"/>
            </w:r>
            <w:r w:rsidR="006A464C">
              <w:rPr>
                <w:noProof/>
                <w:webHidden/>
              </w:rPr>
              <w:instrText xml:space="preserve"> PAGEREF _Toc105592800 \h </w:instrText>
            </w:r>
            <w:r w:rsidR="006A464C">
              <w:rPr>
                <w:noProof/>
                <w:webHidden/>
              </w:rPr>
            </w:r>
            <w:r w:rsidR="006A464C">
              <w:rPr>
                <w:noProof/>
                <w:webHidden/>
              </w:rPr>
              <w:fldChar w:fldCharType="separate"/>
            </w:r>
            <w:r w:rsidR="006A464C">
              <w:rPr>
                <w:noProof/>
                <w:webHidden/>
              </w:rPr>
              <w:t>6</w:t>
            </w:r>
            <w:r w:rsidR="006A464C">
              <w:rPr>
                <w:noProof/>
                <w:webHidden/>
              </w:rPr>
              <w:fldChar w:fldCharType="end"/>
            </w:r>
          </w:hyperlink>
        </w:p>
        <w:p w14:paraId="44121CAA" w14:textId="4195F288" w:rsidR="006A464C" w:rsidRDefault="00CF49A0">
          <w:pPr>
            <w:pStyle w:val="TOC1"/>
            <w:rPr>
              <w:rFonts w:eastAsiaTheme="minorEastAsia"/>
              <w:noProof/>
            </w:rPr>
          </w:pPr>
          <w:hyperlink w:anchor="_Toc105592801" w:history="1">
            <w:r w:rsidR="006A464C" w:rsidRPr="00655478">
              <w:rPr>
                <w:rStyle w:val="Hyperlink"/>
                <w:rFonts w:ascii="Times New Roman" w:eastAsiaTheme="majorEastAsia" w:hAnsi="Times New Roman" w:cs="Times New Roman"/>
                <w:noProof/>
              </w:rPr>
              <w:t>Acronyms and Abbreviations</w:t>
            </w:r>
            <w:r w:rsidR="006A464C">
              <w:rPr>
                <w:noProof/>
                <w:webHidden/>
              </w:rPr>
              <w:tab/>
            </w:r>
            <w:r w:rsidR="006A464C">
              <w:rPr>
                <w:noProof/>
                <w:webHidden/>
              </w:rPr>
              <w:fldChar w:fldCharType="begin"/>
            </w:r>
            <w:r w:rsidR="006A464C">
              <w:rPr>
                <w:noProof/>
                <w:webHidden/>
              </w:rPr>
              <w:instrText xml:space="preserve"> PAGEREF _Toc105592801 \h </w:instrText>
            </w:r>
            <w:r w:rsidR="006A464C">
              <w:rPr>
                <w:noProof/>
                <w:webHidden/>
              </w:rPr>
            </w:r>
            <w:r w:rsidR="006A464C">
              <w:rPr>
                <w:noProof/>
                <w:webHidden/>
              </w:rPr>
              <w:fldChar w:fldCharType="separate"/>
            </w:r>
            <w:r w:rsidR="006A464C">
              <w:rPr>
                <w:noProof/>
                <w:webHidden/>
              </w:rPr>
              <w:t>7</w:t>
            </w:r>
            <w:r w:rsidR="006A464C">
              <w:rPr>
                <w:noProof/>
                <w:webHidden/>
              </w:rPr>
              <w:fldChar w:fldCharType="end"/>
            </w:r>
          </w:hyperlink>
        </w:p>
        <w:p w14:paraId="05E278DB" w14:textId="65C444BB" w:rsidR="006A464C" w:rsidRDefault="00CF49A0">
          <w:pPr>
            <w:pStyle w:val="TOC1"/>
            <w:rPr>
              <w:rFonts w:eastAsiaTheme="minorEastAsia"/>
              <w:noProof/>
            </w:rPr>
          </w:pPr>
          <w:hyperlink w:anchor="_Toc105592802" w:history="1">
            <w:r w:rsidR="006A464C" w:rsidRPr="00655478">
              <w:rPr>
                <w:rStyle w:val="Hyperlink"/>
                <w:rFonts w:ascii="Times New Roman" w:eastAsiaTheme="majorEastAsia" w:hAnsi="Times New Roman" w:cs="Times New Roman"/>
                <w:noProof/>
              </w:rPr>
              <w:t>Executive Summary</w:t>
            </w:r>
            <w:r w:rsidR="006A464C">
              <w:rPr>
                <w:noProof/>
                <w:webHidden/>
              </w:rPr>
              <w:tab/>
            </w:r>
            <w:r w:rsidR="006A464C">
              <w:rPr>
                <w:noProof/>
                <w:webHidden/>
              </w:rPr>
              <w:fldChar w:fldCharType="begin"/>
            </w:r>
            <w:r w:rsidR="006A464C">
              <w:rPr>
                <w:noProof/>
                <w:webHidden/>
              </w:rPr>
              <w:instrText xml:space="preserve"> PAGEREF _Toc105592802 \h </w:instrText>
            </w:r>
            <w:r w:rsidR="006A464C">
              <w:rPr>
                <w:noProof/>
                <w:webHidden/>
              </w:rPr>
            </w:r>
            <w:r w:rsidR="006A464C">
              <w:rPr>
                <w:noProof/>
                <w:webHidden/>
              </w:rPr>
              <w:fldChar w:fldCharType="separate"/>
            </w:r>
            <w:r w:rsidR="006A464C">
              <w:rPr>
                <w:noProof/>
                <w:webHidden/>
              </w:rPr>
              <w:t>8</w:t>
            </w:r>
            <w:r w:rsidR="006A464C">
              <w:rPr>
                <w:noProof/>
                <w:webHidden/>
              </w:rPr>
              <w:fldChar w:fldCharType="end"/>
            </w:r>
          </w:hyperlink>
        </w:p>
        <w:p w14:paraId="5C432DE4" w14:textId="68C6DF25" w:rsidR="006A464C" w:rsidRDefault="00CF49A0">
          <w:pPr>
            <w:pStyle w:val="TOC1"/>
            <w:rPr>
              <w:rFonts w:eastAsiaTheme="minorEastAsia"/>
              <w:noProof/>
            </w:rPr>
          </w:pPr>
          <w:hyperlink w:anchor="_Toc105592803" w:history="1">
            <w:r w:rsidR="006A464C" w:rsidRPr="00655478">
              <w:rPr>
                <w:rStyle w:val="Hyperlink"/>
                <w:rFonts w:ascii="Times New Roman" w:eastAsiaTheme="majorEastAsia" w:hAnsi="Times New Roman" w:cs="Times New Roman"/>
                <w:b/>
                <w:noProof/>
              </w:rPr>
              <w:t>Part I –The State of the Economy</w:t>
            </w:r>
            <w:r w:rsidR="006A464C">
              <w:rPr>
                <w:noProof/>
                <w:webHidden/>
              </w:rPr>
              <w:tab/>
            </w:r>
            <w:r w:rsidR="006A464C">
              <w:rPr>
                <w:noProof/>
                <w:webHidden/>
              </w:rPr>
              <w:fldChar w:fldCharType="begin"/>
            </w:r>
            <w:r w:rsidR="006A464C">
              <w:rPr>
                <w:noProof/>
                <w:webHidden/>
              </w:rPr>
              <w:instrText xml:space="preserve"> PAGEREF _Toc105592803 \h </w:instrText>
            </w:r>
            <w:r w:rsidR="006A464C">
              <w:rPr>
                <w:noProof/>
                <w:webHidden/>
              </w:rPr>
            </w:r>
            <w:r w:rsidR="006A464C">
              <w:rPr>
                <w:noProof/>
                <w:webHidden/>
              </w:rPr>
              <w:fldChar w:fldCharType="separate"/>
            </w:r>
            <w:r w:rsidR="006A464C">
              <w:rPr>
                <w:noProof/>
                <w:webHidden/>
              </w:rPr>
              <w:t>13</w:t>
            </w:r>
            <w:r w:rsidR="006A464C">
              <w:rPr>
                <w:noProof/>
                <w:webHidden/>
              </w:rPr>
              <w:fldChar w:fldCharType="end"/>
            </w:r>
          </w:hyperlink>
        </w:p>
        <w:p w14:paraId="184476D9" w14:textId="2BB6CB70" w:rsidR="006A464C" w:rsidRDefault="00CF49A0">
          <w:pPr>
            <w:pStyle w:val="TOC1"/>
            <w:tabs>
              <w:tab w:val="left" w:pos="440"/>
            </w:tabs>
            <w:rPr>
              <w:rFonts w:eastAsiaTheme="minorEastAsia"/>
              <w:noProof/>
            </w:rPr>
          </w:pPr>
          <w:hyperlink w:anchor="_Toc105592804" w:history="1">
            <w:r w:rsidR="006A464C" w:rsidRPr="00655478">
              <w:rPr>
                <w:rStyle w:val="Hyperlink"/>
                <w:rFonts w:ascii="Times New Roman" w:eastAsiaTheme="majorEastAsia" w:hAnsi="Times New Roman" w:cs="Times New Roman"/>
                <w:bCs/>
                <w:noProof/>
              </w:rPr>
              <w:t>A.</w:t>
            </w:r>
            <w:r w:rsidR="006A464C">
              <w:rPr>
                <w:rFonts w:eastAsiaTheme="minorEastAsia"/>
                <w:noProof/>
              </w:rPr>
              <w:tab/>
            </w:r>
            <w:r w:rsidR="006A464C" w:rsidRPr="00655478">
              <w:rPr>
                <w:rStyle w:val="Hyperlink"/>
                <w:rFonts w:ascii="Times New Roman" w:eastAsiaTheme="majorEastAsia" w:hAnsi="Times New Roman" w:cs="Times New Roman"/>
                <w:bCs/>
                <w:noProof/>
              </w:rPr>
              <w:t>Recent Developments</w:t>
            </w:r>
            <w:r w:rsidR="006A464C">
              <w:rPr>
                <w:noProof/>
                <w:webHidden/>
              </w:rPr>
              <w:tab/>
            </w:r>
            <w:r w:rsidR="006A464C">
              <w:rPr>
                <w:noProof/>
                <w:webHidden/>
              </w:rPr>
              <w:fldChar w:fldCharType="begin"/>
            </w:r>
            <w:r w:rsidR="006A464C">
              <w:rPr>
                <w:noProof/>
                <w:webHidden/>
              </w:rPr>
              <w:instrText xml:space="preserve"> PAGEREF _Toc105592804 \h </w:instrText>
            </w:r>
            <w:r w:rsidR="006A464C">
              <w:rPr>
                <w:noProof/>
                <w:webHidden/>
              </w:rPr>
            </w:r>
            <w:r w:rsidR="006A464C">
              <w:rPr>
                <w:noProof/>
                <w:webHidden/>
              </w:rPr>
              <w:fldChar w:fldCharType="separate"/>
            </w:r>
            <w:r w:rsidR="006A464C">
              <w:rPr>
                <w:noProof/>
                <w:webHidden/>
              </w:rPr>
              <w:t>13</w:t>
            </w:r>
            <w:r w:rsidR="006A464C">
              <w:rPr>
                <w:noProof/>
                <w:webHidden/>
              </w:rPr>
              <w:fldChar w:fldCharType="end"/>
            </w:r>
          </w:hyperlink>
        </w:p>
        <w:p w14:paraId="15900F58" w14:textId="6B225757" w:rsidR="006A464C" w:rsidRDefault="00CF49A0">
          <w:pPr>
            <w:pStyle w:val="TOC2"/>
            <w:rPr>
              <w:rFonts w:eastAsiaTheme="minorEastAsia"/>
              <w:noProof/>
            </w:rPr>
          </w:pPr>
          <w:hyperlink w:anchor="_Toc105592805" w:history="1">
            <w:r w:rsidR="006A464C" w:rsidRPr="00655478">
              <w:rPr>
                <w:rStyle w:val="Hyperlink"/>
                <w:rFonts w:ascii="Times New Roman" w:eastAsiaTheme="majorEastAsia" w:hAnsi="Times New Roman" w:cs="Times New Roman"/>
                <w:noProof/>
              </w:rPr>
              <w:t>1.</w:t>
            </w:r>
            <w:r w:rsidR="006A464C">
              <w:rPr>
                <w:rFonts w:eastAsiaTheme="minorEastAsia"/>
                <w:noProof/>
              </w:rPr>
              <w:tab/>
            </w:r>
            <w:r w:rsidR="006A464C" w:rsidRPr="00655478">
              <w:rPr>
                <w:rStyle w:val="Hyperlink"/>
                <w:rFonts w:ascii="Times New Roman" w:eastAsiaTheme="majorEastAsia" w:hAnsi="Times New Roman" w:cs="Times New Roman"/>
                <w:noProof/>
              </w:rPr>
              <w:t>Real Sector</w:t>
            </w:r>
            <w:r w:rsidR="006A464C">
              <w:rPr>
                <w:noProof/>
                <w:webHidden/>
              </w:rPr>
              <w:tab/>
            </w:r>
            <w:r w:rsidR="006A464C">
              <w:rPr>
                <w:noProof/>
                <w:webHidden/>
              </w:rPr>
              <w:fldChar w:fldCharType="begin"/>
            </w:r>
            <w:r w:rsidR="006A464C">
              <w:rPr>
                <w:noProof/>
                <w:webHidden/>
              </w:rPr>
              <w:instrText xml:space="preserve"> PAGEREF _Toc105592805 \h </w:instrText>
            </w:r>
            <w:r w:rsidR="006A464C">
              <w:rPr>
                <w:noProof/>
                <w:webHidden/>
              </w:rPr>
            </w:r>
            <w:r w:rsidR="006A464C">
              <w:rPr>
                <w:noProof/>
                <w:webHidden/>
              </w:rPr>
              <w:fldChar w:fldCharType="separate"/>
            </w:r>
            <w:r w:rsidR="006A464C">
              <w:rPr>
                <w:noProof/>
                <w:webHidden/>
              </w:rPr>
              <w:t>13</w:t>
            </w:r>
            <w:r w:rsidR="006A464C">
              <w:rPr>
                <w:noProof/>
                <w:webHidden/>
              </w:rPr>
              <w:fldChar w:fldCharType="end"/>
            </w:r>
          </w:hyperlink>
        </w:p>
        <w:p w14:paraId="52A95266" w14:textId="21B451C8" w:rsidR="006A464C" w:rsidRDefault="00CF49A0">
          <w:pPr>
            <w:pStyle w:val="TOC2"/>
            <w:rPr>
              <w:rFonts w:eastAsiaTheme="minorEastAsia"/>
              <w:noProof/>
            </w:rPr>
          </w:pPr>
          <w:hyperlink w:anchor="_Toc105592806" w:history="1">
            <w:r w:rsidR="006A464C" w:rsidRPr="00655478">
              <w:rPr>
                <w:rStyle w:val="Hyperlink"/>
                <w:rFonts w:ascii="Times New Roman" w:eastAsiaTheme="majorEastAsia" w:hAnsi="Times New Roman" w:cs="Times New Roman"/>
                <w:noProof/>
              </w:rPr>
              <w:t>2.</w:t>
            </w:r>
            <w:r w:rsidR="006A464C">
              <w:rPr>
                <w:rFonts w:eastAsiaTheme="minorEastAsia"/>
                <w:noProof/>
              </w:rPr>
              <w:tab/>
            </w:r>
            <w:r w:rsidR="006A464C" w:rsidRPr="00655478">
              <w:rPr>
                <w:rStyle w:val="Hyperlink"/>
                <w:rFonts w:ascii="Times New Roman" w:eastAsiaTheme="majorEastAsia" w:hAnsi="Times New Roman" w:cs="Times New Roman"/>
                <w:noProof/>
              </w:rPr>
              <w:t>Fiscal and Debt Dynamics</w:t>
            </w:r>
            <w:r w:rsidR="006A464C">
              <w:rPr>
                <w:noProof/>
                <w:webHidden/>
              </w:rPr>
              <w:tab/>
            </w:r>
            <w:r w:rsidR="006A464C">
              <w:rPr>
                <w:noProof/>
                <w:webHidden/>
              </w:rPr>
              <w:fldChar w:fldCharType="begin"/>
            </w:r>
            <w:r w:rsidR="006A464C">
              <w:rPr>
                <w:noProof/>
                <w:webHidden/>
              </w:rPr>
              <w:instrText xml:space="preserve"> PAGEREF _Toc105592806 \h </w:instrText>
            </w:r>
            <w:r w:rsidR="006A464C">
              <w:rPr>
                <w:noProof/>
                <w:webHidden/>
              </w:rPr>
            </w:r>
            <w:r w:rsidR="006A464C">
              <w:rPr>
                <w:noProof/>
                <w:webHidden/>
              </w:rPr>
              <w:fldChar w:fldCharType="separate"/>
            </w:r>
            <w:r w:rsidR="006A464C">
              <w:rPr>
                <w:noProof/>
                <w:webHidden/>
              </w:rPr>
              <w:t>15</w:t>
            </w:r>
            <w:r w:rsidR="006A464C">
              <w:rPr>
                <w:noProof/>
                <w:webHidden/>
              </w:rPr>
              <w:fldChar w:fldCharType="end"/>
            </w:r>
          </w:hyperlink>
        </w:p>
        <w:p w14:paraId="44CAEC12" w14:textId="0EFEE3E9" w:rsidR="006A464C" w:rsidRDefault="00CF49A0">
          <w:pPr>
            <w:pStyle w:val="TOC2"/>
            <w:rPr>
              <w:rFonts w:eastAsiaTheme="minorEastAsia"/>
              <w:noProof/>
            </w:rPr>
          </w:pPr>
          <w:hyperlink w:anchor="_Toc105592807" w:history="1">
            <w:r w:rsidR="006A464C" w:rsidRPr="00655478">
              <w:rPr>
                <w:rStyle w:val="Hyperlink"/>
                <w:rFonts w:ascii="Times New Roman" w:eastAsiaTheme="majorEastAsia" w:hAnsi="Times New Roman" w:cs="Times New Roman"/>
                <w:noProof/>
              </w:rPr>
              <w:t>3.</w:t>
            </w:r>
            <w:r w:rsidR="006A464C">
              <w:rPr>
                <w:rFonts w:eastAsiaTheme="minorEastAsia"/>
                <w:noProof/>
              </w:rPr>
              <w:tab/>
            </w:r>
            <w:r w:rsidR="006A464C" w:rsidRPr="00655478">
              <w:rPr>
                <w:rStyle w:val="Hyperlink"/>
                <w:rFonts w:ascii="Times New Roman" w:eastAsiaTheme="majorEastAsia" w:hAnsi="Times New Roman" w:cs="Times New Roman"/>
                <w:noProof/>
              </w:rPr>
              <w:t>External Sector</w:t>
            </w:r>
            <w:r w:rsidR="006A464C">
              <w:rPr>
                <w:noProof/>
                <w:webHidden/>
              </w:rPr>
              <w:tab/>
            </w:r>
            <w:r w:rsidR="006A464C">
              <w:rPr>
                <w:noProof/>
                <w:webHidden/>
              </w:rPr>
              <w:fldChar w:fldCharType="begin"/>
            </w:r>
            <w:r w:rsidR="006A464C">
              <w:rPr>
                <w:noProof/>
                <w:webHidden/>
              </w:rPr>
              <w:instrText xml:space="preserve"> PAGEREF _Toc105592807 \h </w:instrText>
            </w:r>
            <w:r w:rsidR="006A464C">
              <w:rPr>
                <w:noProof/>
                <w:webHidden/>
              </w:rPr>
            </w:r>
            <w:r w:rsidR="006A464C">
              <w:rPr>
                <w:noProof/>
                <w:webHidden/>
              </w:rPr>
              <w:fldChar w:fldCharType="separate"/>
            </w:r>
            <w:r w:rsidR="006A464C">
              <w:rPr>
                <w:noProof/>
                <w:webHidden/>
              </w:rPr>
              <w:t>19</w:t>
            </w:r>
            <w:r w:rsidR="006A464C">
              <w:rPr>
                <w:noProof/>
                <w:webHidden/>
              </w:rPr>
              <w:fldChar w:fldCharType="end"/>
            </w:r>
          </w:hyperlink>
        </w:p>
        <w:p w14:paraId="37CF4049" w14:textId="1F7316F4" w:rsidR="006A464C" w:rsidRDefault="00CF49A0">
          <w:pPr>
            <w:pStyle w:val="TOC2"/>
            <w:rPr>
              <w:rFonts w:eastAsiaTheme="minorEastAsia"/>
              <w:noProof/>
            </w:rPr>
          </w:pPr>
          <w:hyperlink w:anchor="_Toc105592808" w:history="1">
            <w:r w:rsidR="006A464C" w:rsidRPr="00655478">
              <w:rPr>
                <w:rStyle w:val="Hyperlink"/>
                <w:rFonts w:ascii="Times New Roman" w:hAnsi="Times New Roman" w:cs="Times New Roman"/>
                <w:noProof/>
              </w:rPr>
              <w:t>4.</w:t>
            </w:r>
            <w:r w:rsidR="006A464C">
              <w:rPr>
                <w:rFonts w:eastAsiaTheme="minorEastAsia"/>
                <w:noProof/>
              </w:rPr>
              <w:tab/>
            </w:r>
            <w:r w:rsidR="006A464C" w:rsidRPr="00655478">
              <w:rPr>
                <w:rStyle w:val="Hyperlink"/>
                <w:rFonts w:ascii="Times New Roman" w:hAnsi="Times New Roman" w:cs="Times New Roman"/>
                <w:noProof/>
              </w:rPr>
              <w:t>Monetary Policy and Inflation</w:t>
            </w:r>
            <w:r w:rsidR="006A464C">
              <w:rPr>
                <w:noProof/>
                <w:webHidden/>
              </w:rPr>
              <w:tab/>
            </w:r>
            <w:r w:rsidR="006A464C">
              <w:rPr>
                <w:noProof/>
                <w:webHidden/>
              </w:rPr>
              <w:fldChar w:fldCharType="begin"/>
            </w:r>
            <w:r w:rsidR="006A464C">
              <w:rPr>
                <w:noProof/>
                <w:webHidden/>
              </w:rPr>
              <w:instrText xml:space="preserve"> PAGEREF _Toc105592808 \h </w:instrText>
            </w:r>
            <w:r w:rsidR="006A464C">
              <w:rPr>
                <w:noProof/>
                <w:webHidden/>
              </w:rPr>
            </w:r>
            <w:r w:rsidR="006A464C">
              <w:rPr>
                <w:noProof/>
                <w:webHidden/>
              </w:rPr>
              <w:fldChar w:fldCharType="separate"/>
            </w:r>
            <w:r w:rsidR="006A464C">
              <w:rPr>
                <w:noProof/>
                <w:webHidden/>
              </w:rPr>
              <w:t>21</w:t>
            </w:r>
            <w:r w:rsidR="006A464C">
              <w:rPr>
                <w:noProof/>
                <w:webHidden/>
              </w:rPr>
              <w:fldChar w:fldCharType="end"/>
            </w:r>
          </w:hyperlink>
        </w:p>
        <w:p w14:paraId="24E210E1" w14:textId="0AF6A07D" w:rsidR="006A464C" w:rsidRDefault="00CF49A0">
          <w:pPr>
            <w:pStyle w:val="TOC2"/>
            <w:rPr>
              <w:rFonts w:eastAsiaTheme="minorEastAsia"/>
              <w:noProof/>
            </w:rPr>
          </w:pPr>
          <w:hyperlink w:anchor="_Toc105592809" w:history="1">
            <w:r w:rsidR="006A464C" w:rsidRPr="00655478">
              <w:rPr>
                <w:rStyle w:val="Hyperlink"/>
                <w:rFonts w:ascii="Times New Roman" w:hAnsi="Times New Roman" w:cs="Times New Roman"/>
                <w:noProof/>
              </w:rPr>
              <w:t>5.</w:t>
            </w:r>
            <w:r w:rsidR="006A464C">
              <w:rPr>
                <w:rFonts w:eastAsiaTheme="minorEastAsia"/>
                <w:noProof/>
              </w:rPr>
              <w:tab/>
            </w:r>
            <w:r w:rsidR="006A464C" w:rsidRPr="00655478">
              <w:rPr>
                <w:rStyle w:val="Hyperlink"/>
                <w:rFonts w:ascii="Times New Roman" w:hAnsi="Times New Roman" w:cs="Times New Roman"/>
                <w:noProof/>
              </w:rPr>
              <w:t>Poverty</w:t>
            </w:r>
            <w:r w:rsidR="006A464C">
              <w:rPr>
                <w:noProof/>
                <w:webHidden/>
              </w:rPr>
              <w:tab/>
            </w:r>
            <w:r w:rsidR="006A464C">
              <w:rPr>
                <w:noProof/>
                <w:webHidden/>
              </w:rPr>
              <w:fldChar w:fldCharType="begin"/>
            </w:r>
            <w:r w:rsidR="006A464C">
              <w:rPr>
                <w:noProof/>
                <w:webHidden/>
              </w:rPr>
              <w:instrText xml:space="preserve"> PAGEREF _Toc105592809 \h </w:instrText>
            </w:r>
            <w:r w:rsidR="006A464C">
              <w:rPr>
                <w:noProof/>
                <w:webHidden/>
              </w:rPr>
            </w:r>
            <w:r w:rsidR="006A464C">
              <w:rPr>
                <w:noProof/>
                <w:webHidden/>
              </w:rPr>
              <w:fldChar w:fldCharType="separate"/>
            </w:r>
            <w:r w:rsidR="006A464C">
              <w:rPr>
                <w:noProof/>
                <w:webHidden/>
              </w:rPr>
              <w:t>27</w:t>
            </w:r>
            <w:r w:rsidR="006A464C">
              <w:rPr>
                <w:noProof/>
                <w:webHidden/>
              </w:rPr>
              <w:fldChar w:fldCharType="end"/>
            </w:r>
          </w:hyperlink>
        </w:p>
        <w:p w14:paraId="0FAE51D8" w14:textId="4FB75B79" w:rsidR="006A464C" w:rsidRDefault="00CF49A0">
          <w:pPr>
            <w:pStyle w:val="TOC1"/>
            <w:tabs>
              <w:tab w:val="left" w:pos="440"/>
            </w:tabs>
            <w:rPr>
              <w:rFonts w:eastAsiaTheme="minorEastAsia"/>
              <w:noProof/>
            </w:rPr>
          </w:pPr>
          <w:hyperlink w:anchor="_Toc105592810" w:history="1">
            <w:r w:rsidR="006A464C" w:rsidRPr="00655478">
              <w:rPr>
                <w:rStyle w:val="Hyperlink"/>
                <w:rFonts w:ascii="Times New Roman" w:eastAsiaTheme="majorEastAsia" w:hAnsi="Times New Roman" w:cs="Times New Roman"/>
                <w:bCs/>
                <w:noProof/>
              </w:rPr>
              <w:t>B.</w:t>
            </w:r>
            <w:r w:rsidR="006A464C">
              <w:rPr>
                <w:rFonts w:eastAsiaTheme="minorEastAsia"/>
                <w:noProof/>
              </w:rPr>
              <w:tab/>
            </w:r>
            <w:r w:rsidR="006A464C" w:rsidRPr="00655478">
              <w:rPr>
                <w:rStyle w:val="Hyperlink"/>
                <w:rFonts w:ascii="Times New Roman" w:eastAsiaTheme="majorEastAsia" w:hAnsi="Times New Roman" w:cs="Times New Roman"/>
                <w:bCs/>
                <w:noProof/>
              </w:rPr>
              <w:t>Outlook and Risks</w:t>
            </w:r>
            <w:r w:rsidR="006A464C">
              <w:rPr>
                <w:noProof/>
                <w:webHidden/>
              </w:rPr>
              <w:tab/>
            </w:r>
            <w:r w:rsidR="006A464C">
              <w:rPr>
                <w:noProof/>
                <w:webHidden/>
              </w:rPr>
              <w:fldChar w:fldCharType="begin"/>
            </w:r>
            <w:r w:rsidR="006A464C">
              <w:rPr>
                <w:noProof/>
                <w:webHidden/>
              </w:rPr>
              <w:instrText xml:space="preserve"> PAGEREF _Toc105592810 \h </w:instrText>
            </w:r>
            <w:r w:rsidR="006A464C">
              <w:rPr>
                <w:noProof/>
                <w:webHidden/>
              </w:rPr>
            </w:r>
            <w:r w:rsidR="006A464C">
              <w:rPr>
                <w:noProof/>
                <w:webHidden/>
              </w:rPr>
              <w:fldChar w:fldCharType="separate"/>
            </w:r>
            <w:r w:rsidR="006A464C">
              <w:rPr>
                <w:noProof/>
                <w:webHidden/>
              </w:rPr>
              <w:t>28</w:t>
            </w:r>
            <w:r w:rsidR="006A464C">
              <w:rPr>
                <w:noProof/>
                <w:webHidden/>
              </w:rPr>
              <w:fldChar w:fldCharType="end"/>
            </w:r>
          </w:hyperlink>
        </w:p>
        <w:p w14:paraId="2D869799" w14:textId="2944D14A" w:rsidR="006A464C" w:rsidRDefault="00CF49A0">
          <w:pPr>
            <w:pStyle w:val="TOC1"/>
            <w:rPr>
              <w:rFonts w:eastAsiaTheme="minorEastAsia"/>
              <w:noProof/>
            </w:rPr>
          </w:pPr>
          <w:hyperlink w:anchor="_Toc105592811" w:history="1">
            <w:r w:rsidR="006A464C" w:rsidRPr="00655478">
              <w:rPr>
                <w:rStyle w:val="Hyperlink"/>
                <w:rFonts w:ascii="Times New Roman" w:eastAsiaTheme="majorEastAsia" w:hAnsi="Times New Roman" w:cs="Times New Roman"/>
                <w:b/>
                <w:noProof/>
              </w:rPr>
              <w:t>Part II – Digital Development Outlook: Challenges and Prospects</w:t>
            </w:r>
            <w:r w:rsidR="006A464C">
              <w:rPr>
                <w:noProof/>
                <w:webHidden/>
              </w:rPr>
              <w:tab/>
            </w:r>
            <w:r w:rsidR="006A464C">
              <w:rPr>
                <w:noProof/>
                <w:webHidden/>
              </w:rPr>
              <w:fldChar w:fldCharType="begin"/>
            </w:r>
            <w:r w:rsidR="006A464C">
              <w:rPr>
                <w:noProof/>
                <w:webHidden/>
              </w:rPr>
              <w:instrText xml:space="preserve"> PAGEREF _Toc105592811 \h </w:instrText>
            </w:r>
            <w:r w:rsidR="006A464C">
              <w:rPr>
                <w:noProof/>
                <w:webHidden/>
              </w:rPr>
            </w:r>
            <w:r w:rsidR="006A464C">
              <w:rPr>
                <w:noProof/>
                <w:webHidden/>
              </w:rPr>
              <w:fldChar w:fldCharType="separate"/>
            </w:r>
            <w:r w:rsidR="006A464C">
              <w:rPr>
                <w:noProof/>
                <w:webHidden/>
              </w:rPr>
              <w:t>31</w:t>
            </w:r>
            <w:r w:rsidR="006A464C">
              <w:rPr>
                <w:noProof/>
                <w:webHidden/>
              </w:rPr>
              <w:fldChar w:fldCharType="end"/>
            </w:r>
          </w:hyperlink>
        </w:p>
        <w:p w14:paraId="1F72910A" w14:textId="21CC1184" w:rsidR="006A464C" w:rsidRDefault="00CF49A0">
          <w:pPr>
            <w:pStyle w:val="TOC2"/>
            <w:rPr>
              <w:rFonts w:eastAsiaTheme="minorEastAsia"/>
              <w:noProof/>
            </w:rPr>
          </w:pPr>
          <w:hyperlink w:anchor="_Toc105592812" w:history="1">
            <w:r w:rsidR="006A464C" w:rsidRPr="00655478">
              <w:rPr>
                <w:rStyle w:val="Hyperlink"/>
                <w:rFonts w:ascii="Times New Roman" w:eastAsia="Times New Roman" w:hAnsi="Times New Roman" w:cs="Times New Roman"/>
                <w:bCs/>
                <w:noProof/>
              </w:rPr>
              <w:t>1.</w:t>
            </w:r>
            <w:r w:rsidR="006A464C">
              <w:rPr>
                <w:rFonts w:eastAsiaTheme="minorEastAsia"/>
                <w:noProof/>
              </w:rPr>
              <w:tab/>
            </w:r>
            <w:r w:rsidR="006A464C" w:rsidRPr="00655478">
              <w:rPr>
                <w:rStyle w:val="Hyperlink"/>
                <w:rFonts w:ascii="Times New Roman" w:eastAsiaTheme="majorEastAsia" w:hAnsi="Times New Roman" w:cs="Times New Roman"/>
                <w:noProof/>
              </w:rPr>
              <w:t>Digital Infrastructure</w:t>
            </w:r>
            <w:r w:rsidR="006A464C">
              <w:rPr>
                <w:noProof/>
                <w:webHidden/>
              </w:rPr>
              <w:tab/>
            </w:r>
            <w:r w:rsidR="006A464C">
              <w:rPr>
                <w:noProof/>
                <w:webHidden/>
              </w:rPr>
              <w:fldChar w:fldCharType="begin"/>
            </w:r>
            <w:r w:rsidR="006A464C">
              <w:rPr>
                <w:noProof/>
                <w:webHidden/>
              </w:rPr>
              <w:instrText xml:space="preserve"> PAGEREF _Toc105592812 \h </w:instrText>
            </w:r>
            <w:r w:rsidR="006A464C">
              <w:rPr>
                <w:noProof/>
                <w:webHidden/>
              </w:rPr>
            </w:r>
            <w:r w:rsidR="006A464C">
              <w:rPr>
                <w:noProof/>
                <w:webHidden/>
              </w:rPr>
              <w:fldChar w:fldCharType="separate"/>
            </w:r>
            <w:r w:rsidR="006A464C">
              <w:rPr>
                <w:noProof/>
                <w:webHidden/>
              </w:rPr>
              <w:t>31</w:t>
            </w:r>
            <w:r w:rsidR="006A464C">
              <w:rPr>
                <w:noProof/>
                <w:webHidden/>
              </w:rPr>
              <w:fldChar w:fldCharType="end"/>
            </w:r>
          </w:hyperlink>
        </w:p>
        <w:p w14:paraId="0932F8EA" w14:textId="50C8EB5A" w:rsidR="006A464C" w:rsidRPr="006A464C" w:rsidRDefault="00CF49A0">
          <w:pPr>
            <w:pStyle w:val="TOC2"/>
            <w:rPr>
              <w:rFonts w:ascii="Times New Roman" w:eastAsiaTheme="minorEastAsia" w:hAnsi="Times New Roman" w:cs="Times New Roman"/>
              <w:noProof/>
            </w:rPr>
          </w:pPr>
          <w:hyperlink w:anchor="_Toc105592813" w:history="1">
            <w:r w:rsidR="006A464C" w:rsidRPr="00655478">
              <w:rPr>
                <w:rStyle w:val="Hyperlink"/>
                <w:rFonts w:ascii="Times New Roman" w:eastAsiaTheme="majorEastAsia" w:hAnsi="Times New Roman" w:cs="Times New Roman"/>
                <w:noProof/>
              </w:rPr>
              <w:t>2.</w:t>
            </w:r>
            <w:r w:rsidR="006A464C">
              <w:rPr>
                <w:rFonts w:eastAsiaTheme="minorEastAsia"/>
                <w:noProof/>
              </w:rPr>
              <w:tab/>
            </w:r>
            <w:r w:rsidR="006A464C" w:rsidRPr="00655478">
              <w:rPr>
                <w:rStyle w:val="Hyperlink"/>
                <w:rFonts w:ascii="Times New Roman" w:eastAsiaTheme="majorEastAsia" w:hAnsi="Times New Roman" w:cs="Times New Roman"/>
                <w:noProof/>
              </w:rPr>
              <w:t>Digital Government and Institutions for Digital Development</w:t>
            </w:r>
            <w:r w:rsidR="006A464C">
              <w:rPr>
                <w:noProof/>
                <w:webHidden/>
              </w:rPr>
              <w:tab/>
            </w:r>
            <w:r w:rsidR="006A464C">
              <w:rPr>
                <w:noProof/>
                <w:webHidden/>
              </w:rPr>
              <w:fldChar w:fldCharType="begin"/>
            </w:r>
            <w:r w:rsidR="006A464C">
              <w:rPr>
                <w:noProof/>
                <w:webHidden/>
              </w:rPr>
              <w:instrText xml:space="preserve"> PAGEREF _Toc105592813 \h </w:instrText>
            </w:r>
            <w:r w:rsidR="006A464C">
              <w:rPr>
                <w:noProof/>
                <w:webHidden/>
              </w:rPr>
            </w:r>
            <w:r w:rsidR="006A464C">
              <w:rPr>
                <w:noProof/>
                <w:webHidden/>
              </w:rPr>
              <w:fldChar w:fldCharType="separate"/>
            </w:r>
            <w:r w:rsidR="006A464C">
              <w:rPr>
                <w:noProof/>
                <w:webHidden/>
              </w:rPr>
              <w:t>36</w:t>
            </w:r>
            <w:r w:rsidR="006A464C">
              <w:rPr>
                <w:noProof/>
                <w:webHidden/>
              </w:rPr>
              <w:fldChar w:fldCharType="end"/>
            </w:r>
          </w:hyperlink>
        </w:p>
        <w:p w14:paraId="0383D90A" w14:textId="53BE7A70" w:rsidR="006A464C" w:rsidRDefault="00CF49A0">
          <w:pPr>
            <w:pStyle w:val="TOC2"/>
            <w:rPr>
              <w:rFonts w:eastAsiaTheme="minorEastAsia"/>
              <w:noProof/>
            </w:rPr>
          </w:pPr>
          <w:hyperlink w:anchor="_Toc105592814" w:history="1">
            <w:r w:rsidR="006A464C" w:rsidRPr="00655478">
              <w:rPr>
                <w:rStyle w:val="Hyperlink"/>
                <w:rFonts w:ascii="Times New Roman" w:eastAsia="Times New Roman" w:hAnsi="Times New Roman" w:cs="Times New Roman"/>
                <w:bCs/>
                <w:noProof/>
              </w:rPr>
              <w:t>3.</w:t>
            </w:r>
            <w:r w:rsidR="006A464C">
              <w:rPr>
                <w:rFonts w:eastAsiaTheme="minorEastAsia"/>
                <w:noProof/>
              </w:rPr>
              <w:tab/>
            </w:r>
            <w:r w:rsidR="006A464C" w:rsidRPr="00655478">
              <w:rPr>
                <w:rStyle w:val="Hyperlink"/>
                <w:rFonts w:ascii="Times New Roman" w:eastAsiaTheme="majorEastAsia" w:hAnsi="Times New Roman" w:cs="Times New Roman"/>
                <w:noProof/>
              </w:rPr>
              <w:t>Digital Development Policies and Regulations</w:t>
            </w:r>
            <w:r w:rsidR="006A464C">
              <w:rPr>
                <w:noProof/>
                <w:webHidden/>
              </w:rPr>
              <w:tab/>
            </w:r>
            <w:r w:rsidR="006A464C">
              <w:rPr>
                <w:noProof/>
                <w:webHidden/>
              </w:rPr>
              <w:fldChar w:fldCharType="begin"/>
            </w:r>
            <w:r w:rsidR="006A464C">
              <w:rPr>
                <w:noProof/>
                <w:webHidden/>
              </w:rPr>
              <w:instrText xml:space="preserve"> PAGEREF _Toc105592814 \h </w:instrText>
            </w:r>
            <w:r w:rsidR="006A464C">
              <w:rPr>
                <w:noProof/>
                <w:webHidden/>
              </w:rPr>
            </w:r>
            <w:r w:rsidR="006A464C">
              <w:rPr>
                <w:noProof/>
                <w:webHidden/>
              </w:rPr>
              <w:fldChar w:fldCharType="separate"/>
            </w:r>
            <w:r w:rsidR="006A464C">
              <w:rPr>
                <w:noProof/>
                <w:webHidden/>
              </w:rPr>
              <w:t>39</w:t>
            </w:r>
            <w:r w:rsidR="006A464C">
              <w:rPr>
                <w:noProof/>
                <w:webHidden/>
              </w:rPr>
              <w:fldChar w:fldCharType="end"/>
            </w:r>
          </w:hyperlink>
        </w:p>
        <w:p w14:paraId="742A18AA" w14:textId="5C2D6ACA" w:rsidR="006A464C" w:rsidRDefault="00CF49A0">
          <w:pPr>
            <w:pStyle w:val="TOC2"/>
            <w:rPr>
              <w:rFonts w:eastAsiaTheme="minorEastAsia"/>
              <w:noProof/>
            </w:rPr>
          </w:pPr>
          <w:hyperlink w:anchor="_Toc105592815" w:history="1">
            <w:r w:rsidR="006A464C" w:rsidRPr="00655478">
              <w:rPr>
                <w:rStyle w:val="Hyperlink"/>
                <w:rFonts w:ascii="Times New Roman" w:eastAsiaTheme="majorEastAsia" w:hAnsi="Times New Roman" w:cs="Times New Roman"/>
                <w:noProof/>
              </w:rPr>
              <w:t>4.</w:t>
            </w:r>
            <w:r w:rsidR="006A464C">
              <w:rPr>
                <w:rFonts w:eastAsiaTheme="minorEastAsia"/>
                <w:noProof/>
              </w:rPr>
              <w:tab/>
            </w:r>
            <w:r w:rsidR="006A464C" w:rsidRPr="00655478">
              <w:rPr>
                <w:rStyle w:val="Hyperlink"/>
                <w:rFonts w:ascii="Times New Roman" w:eastAsiaTheme="majorEastAsia" w:hAnsi="Times New Roman" w:cs="Times New Roman"/>
                <w:noProof/>
              </w:rPr>
              <w:t>Innovation and Entrepreneurship</w:t>
            </w:r>
            <w:r w:rsidR="006A464C">
              <w:rPr>
                <w:noProof/>
                <w:webHidden/>
              </w:rPr>
              <w:tab/>
            </w:r>
            <w:r w:rsidR="006A464C">
              <w:rPr>
                <w:noProof/>
                <w:webHidden/>
              </w:rPr>
              <w:fldChar w:fldCharType="begin"/>
            </w:r>
            <w:r w:rsidR="006A464C">
              <w:rPr>
                <w:noProof/>
                <w:webHidden/>
              </w:rPr>
              <w:instrText xml:space="preserve"> PAGEREF _Toc105592815 \h </w:instrText>
            </w:r>
            <w:r w:rsidR="006A464C">
              <w:rPr>
                <w:noProof/>
                <w:webHidden/>
              </w:rPr>
            </w:r>
            <w:r w:rsidR="006A464C">
              <w:rPr>
                <w:noProof/>
                <w:webHidden/>
              </w:rPr>
              <w:fldChar w:fldCharType="separate"/>
            </w:r>
            <w:r w:rsidR="006A464C">
              <w:rPr>
                <w:noProof/>
                <w:webHidden/>
              </w:rPr>
              <w:t>41</w:t>
            </w:r>
            <w:r w:rsidR="006A464C">
              <w:rPr>
                <w:noProof/>
                <w:webHidden/>
              </w:rPr>
              <w:fldChar w:fldCharType="end"/>
            </w:r>
          </w:hyperlink>
        </w:p>
        <w:p w14:paraId="0E012F44" w14:textId="3A4D6812" w:rsidR="006A464C" w:rsidRDefault="00CF49A0">
          <w:pPr>
            <w:pStyle w:val="TOC2"/>
            <w:rPr>
              <w:rFonts w:eastAsiaTheme="minorEastAsia"/>
              <w:noProof/>
            </w:rPr>
          </w:pPr>
          <w:hyperlink w:anchor="_Toc105592816" w:history="1">
            <w:r w:rsidR="006A464C" w:rsidRPr="00655478">
              <w:rPr>
                <w:rStyle w:val="Hyperlink"/>
                <w:rFonts w:ascii="Times New Roman" w:eastAsia="Times New Roman" w:hAnsi="Times New Roman" w:cs="Times New Roman"/>
                <w:bCs/>
                <w:noProof/>
              </w:rPr>
              <w:t>5.</w:t>
            </w:r>
            <w:r w:rsidR="006A464C">
              <w:rPr>
                <w:rFonts w:eastAsiaTheme="minorEastAsia"/>
                <w:noProof/>
              </w:rPr>
              <w:tab/>
            </w:r>
            <w:r w:rsidR="006A464C" w:rsidRPr="00655478">
              <w:rPr>
                <w:rStyle w:val="Hyperlink"/>
                <w:rFonts w:ascii="Times New Roman" w:eastAsiaTheme="majorEastAsia" w:hAnsi="Times New Roman" w:cs="Times New Roman"/>
                <w:noProof/>
              </w:rPr>
              <w:t>Digital Skills</w:t>
            </w:r>
            <w:r w:rsidR="006A464C">
              <w:rPr>
                <w:noProof/>
                <w:webHidden/>
              </w:rPr>
              <w:tab/>
            </w:r>
            <w:r w:rsidR="006A464C">
              <w:rPr>
                <w:noProof/>
                <w:webHidden/>
              </w:rPr>
              <w:fldChar w:fldCharType="begin"/>
            </w:r>
            <w:r w:rsidR="006A464C">
              <w:rPr>
                <w:noProof/>
                <w:webHidden/>
              </w:rPr>
              <w:instrText xml:space="preserve"> PAGEREF _Toc105592816 \h </w:instrText>
            </w:r>
            <w:r w:rsidR="006A464C">
              <w:rPr>
                <w:noProof/>
                <w:webHidden/>
              </w:rPr>
            </w:r>
            <w:r w:rsidR="006A464C">
              <w:rPr>
                <w:noProof/>
                <w:webHidden/>
              </w:rPr>
              <w:fldChar w:fldCharType="separate"/>
            </w:r>
            <w:r w:rsidR="006A464C">
              <w:rPr>
                <w:noProof/>
                <w:webHidden/>
              </w:rPr>
              <w:t>43</w:t>
            </w:r>
            <w:r w:rsidR="006A464C">
              <w:rPr>
                <w:noProof/>
                <w:webHidden/>
              </w:rPr>
              <w:fldChar w:fldCharType="end"/>
            </w:r>
          </w:hyperlink>
        </w:p>
        <w:p w14:paraId="5E7F00C5" w14:textId="15B113C2" w:rsidR="006A464C" w:rsidRDefault="00CF49A0">
          <w:pPr>
            <w:pStyle w:val="TOC2"/>
            <w:rPr>
              <w:rFonts w:eastAsiaTheme="minorEastAsia"/>
              <w:noProof/>
            </w:rPr>
          </w:pPr>
          <w:hyperlink w:anchor="_Toc105592817" w:history="1">
            <w:r w:rsidR="006A464C" w:rsidRPr="00655478">
              <w:rPr>
                <w:rStyle w:val="Hyperlink"/>
                <w:rFonts w:ascii="Times New Roman" w:eastAsiaTheme="majorEastAsia" w:hAnsi="Times New Roman" w:cs="Times New Roman"/>
                <w:noProof/>
              </w:rPr>
              <w:t>6.</w:t>
            </w:r>
            <w:r w:rsidR="006A464C">
              <w:rPr>
                <w:rFonts w:eastAsiaTheme="minorEastAsia"/>
                <w:noProof/>
              </w:rPr>
              <w:tab/>
            </w:r>
            <w:r w:rsidR="006A464C" w:rsidRPr="00655478">
              <w:rPr>
                <w:rStyle w:val="Hyperlink"/>
                <w:rFonts w:ascii="Times New Roman" w:eastAsiaTheme="majorEastAsia" w:hAnsi="Times New Roman" w:cs="Times New Roman"/>
                <w:noProof/>
              </w:rPr>
              <w:t>Policy Priorities and Reform Areas</w:t>
            </w:r>
            <w:r w:rsidR="006A464C">
              <w:rPr>
                <w:noProof/>
                <w:webHidden/>
              </w:rPr>
              <w:tab/>
            </w:r>
            <w:r w:rsidR="006A464C">
              <w:rPr>
                <w:noProof/>
                <w:webHidden/>
              </w:rPr>
              <w:fldChar w:fldCharType="begin"/>
            </w:r>
            <w:r w:rsidR="006A464C">
              <w:rPr>
                <w:noProof/>
                <w:webHidden/>
              </w:rPr>
              <w:instrText xml:space="preserve"> PAGEREF _Toc105592817 \h </w:instrText>
            </w:r>
            <w:r w:rsidR="006A464C">
              <w:rPr>
                <w:noProof/>
                <w:webHidden/>
              </w:rPr>
            </w:r>
            <w:r w:rsidR="006A464C">
              <w:rPr>
                <w:noProof/>
                <w:webHidden/>
              </w:rPr>
              <w:fldChar w:fldCharType="separate"/>
            </w:r>
            <w:r w:rsidR="006A464C">
              <w:rPr>
                <w:noProof/>
                <w:webHidden/>
              </w:rPr>
              <w:t>45</w:t>
            </w:r>
            <w:r w:rsidR="006A464C">
              <w:rPr>
                <w:noProof/>
                <w:webHidden/>
              </w:rPr>
              <w:fldChar w:fldCharType="end"/>
            </w:r>
          </w:hyperlink>
        </w:p>
        <w:p w14:paraId="494D60D4" w14:textId="01CF1B96" w:rsidR="006A464C" w:rsidRDefault="00CF49A0">
          <w:pPr>
            <w:pStyle w:val="TOC1"/>
            <w:rPr>
              <w:rFonts w:eastAsiaTheme="minorEastAsia"/>
              <w:noProof/>
            </w:rPr>
          </w:pPr>
          <w:hyperlink w:anchor="_Toc105592818" w:history="1">
            <w:r w:rsidR="006A464C" w:rsidRPr="00655478">
              <w:rPr>
                <w:rStyle w:val="Hyperlink"/>
                <w:rFonts w:ascii="Times New Roman" w:hAnsi="Times New Roman" w:cs="Times New Roman"/>
                <w:b/>
                <w:noProof/>
                <w:lang w:val="pt-PT"/>
              </w:rPr>
              <w:t>References</w:t>
            </w:r>
            <w:r w:rsidR="006A464C">
              <w:rPr>
                <w:noProof/>
                <w:webHidden/>
              </w:rPr>
              <w:tab/>
            </w:r>
            <w:r w:rsidR="006A464C">
              <w:rPr>
                <w:noProof/>
                <w:webHidden/>
              </w:rPr>
              <w:fldChar w:fldCharType="begin"/>
            </w:r>
            <w:r w:rsidR="006A464C">
              <w:rPr>
                <w:noProof/>
                <w:webHidden/>
              </w:rPr>
              <w:instrText xml:space="preserve"> PAGEREF _Toc105592818 \h </w:instrText>
            </w:r>
            <w:r w:rsidR="006A464C">
              <w:rPr>
                <w:noProof/>
                <w:webHidden/>
              </w:rPr>
            </w:r>
            <w:r w:rsidR="006A464C">
              <w:rPr>
                <w:noProof/>
                <w:webHidden/>
              </w:rPr>
              <w:fldChar w:fldCharType="separate"/>
            </w:r>
            <w:r w:rsidR="006A464C">
              <w:rPr>
                <w:noProof/>
                <w:webHidden/>
              </w:rPr>
              <w:t>47</w:t>
            </w:r>
            <w:r w:rsidR="006A464C">
              <w:rPr>
                <w:noProof/>
                <w:webHidden/>
              </w:rPr>
              <w:fldChar w:fldCharType="end"/>
            </w:r>
          </w:hyperlink>
        </w:p>
        <w:p w14:paraId="388887FF" w14:textId="376BFECC" w:rsidR="006A464C" w:rsidRDefault="00CF49A0">
          <w:pPr>
            <w:pStyle w:val="TOC1"/>
            <w:rPr>
              <w:rFonts w:eastAsiaTheme="minorEastAsia"/>
              <w:noProof/>
            </w:rPr>
          </w:pPr>
          <w:hyperlink w:anchor="_Toc105592819" w:history="1">
            <w:r w:rsidR="006A464C" w:rsidRPr="00655478">
              <w:rPr>
                <w:rStyle w:val="Hyperlink"/>
                <w:rFonts w:ascii="Times New Roman" w:hAnsi="Times New Roman" w:cs="Times New Roman"/>
                <w:b/>
                <w:noProof/>
              </w:rPr>
              <w:t>Annex 1: Key Fiscal Indicators</w:t>
            </w:r>
            <w:r w:rsidR="006A464C">
              <w:rPr>
                <w:noProof/>
                <w:webHidden/>
              </w:rPr>
              <w:tab/>
            </w:r>
            <w:r w:rsidR="006A464C">
              <w:rPr>
                <w:noProof/>
                <w:webHidden/>
              </w:rPr>
              <w:fldChar w:fldCharType="begin"/>
            </w:r>
            <w:r w:rsidR="006A464C">
              <w:rPr>
                <w:noProof/>
                <w:webHidden/>
              </w:rPr>
              <w:instrText xml:space="preserve"> PAGEREF _Toc105592819 \h </w:instrText>
            </w:r>
            <w:r w:rsidR="006A464C">
              <w:rPr>
                <w:noProof/>
                <w:webHidden/>
              </w:rPr>
            </w:r>
            <w:r w:rsidR="006A464C">
              <w:rPr>
                <w:noProof/>
                <w:webHidden/>
              </w:rPr>
              <w:fldChar w:fldCharType="separate"/>
            </w:r>
            <w:r w:rsidR="006A464C">
              <w:rPr>
                <w:noProof/>
                <w:webHidden/>
              </w:rPr>
              <w:t>49</w:t>
            </w:r>
            <w:r w:rsidR="006A464C">
              <w:rPr>
                <w:noProof/>
                <w:webHidden/>
              </w:rPr>
              <w:fldChar w:fldCharType="end"/>
            </w:r>
          </w:hyperlink>
        </w:p>
        <w:p w14:paraId="678481E4" w14:textId="3FA34611" w:rsidR="00065668" w:rsidRDefault="00065668">
          <w:r>
            <w:rPr>
              <w:b/>
              <w:bCs/>
              <w:noProof/>
            </w:rPr>
            <w:fldChar w:fldCharType="end"/>
          </w:r>
        </w:p>
      </w:sdtContent>
    </w:sdt>
    <w:p w14:paraId="2C90F8A6" w14:textId="6AACDAAC" w:rsidR="00360DDA" w:rsidRDefault="00360DDA">
      <w:pPr>
        <w:rPr>
          <w:rFonts w:asciiTheme="majorHAnsi" w:eastAsiaTheme="majorEastAsia" w:hAnsiTheme="majorHAnsi" w:cstheme="majorBidi"/>
          <w:b/>
          <w:color w:val="2F5496" w:themeColor="accent1" w:themeShade="BF"/>
          <w:sz w:val="32"/>
          <w:szCs w:val="32"/>
        </w:rPr>
      </w:pPr>
    </w:p>
    <w:p w14:paraId="044DE86E" w14:textId="3BDA85AC" w:rsidR="00C12B93" w:rsidRDefault="00C12B93">
      <w:pPr>
        <w:rPr>
          <w:rFonts w:asciiTheme="majorHAnsi" w:eastAsiaTheme="majorEastAsia" w:hAnsiTheme="majorHAnsi" w:cstheme="majorBidi"/>
          <w:b/>
          <w:color w:val="2F5496" w:themeColor="accent1" w:themeShade="BF"/>
          <w:sz w:val="32"/>
          <w:szCs w:val="32"/>
        </w:rPr>
      </w:pPr>
    </w:p>
    <w:p w14:paraId="4946FCCA" w14:textId="435C9B0A" w:rsidR="00C12B93" w:rsidRDefault="00C12B93">
      <w:pPr>
        <w:rPr>
          <w:rFonts w:asciiTheme="majorHAnsi" w:eastAsiaTheme="majorEastAsia" w:hAnsiTheme="majorHAnsi" w:cstheme="majorBidi"/>
          <w:b/>
          <w:color w:val="2F5496" w:themeColor="accent1" w:themeShade="BF"/>
          <w:sz w:val="32"/>
          <w:szCs w:val="32"/>
        </w:rPr>
      </w:pPr>
    </w:p>
    <w:p w14:paraId="52B49750" w14:textId="751DB93E" w:rsidR="00C12B93" w:rsidRDefault="00C12B93">
      <w:pPr>
        <w:rPr>
          <w:rFonts w:asciiTheme="majorHAnsi" w:eastAsiaTheme="majorEastAsia" w:hAnsiTheme="majorHAnsi" w:cstheme="majorBidi"/>
          <w:b/>
          <w:color w:val="2F5496" w:themeColor="accent1" w:themeShade="BF"/>
          <w:sz w:val="32"/>
          <w:szCs w:val="32"/>
        </w:rPr>
      </w:pPr>
    </w:p>
    <w:p w14:paraId="10586FEB" w14:textId="2BCA4F88" w:rsidR="00C12B93" w:rsidRDefault="00C12B93">
      <w:pPr>
        <w:rPr>
          <w:rFonts w:asciiTheme="majorHAnsi" w:eastAsiaTheme="majorEastAsia" w:hAnsiTheme="majorHAnsi" w:cstheme="majorBidi"/>
          <w:b/>
          <w:color w:val="2F5496" w:themeColor="accent1" w:themeShade="BF"/>
          <w:sz w:val="32"/>
          <w:szCs w:val="32"/>
        </w:rPr>
      </w:pPr>
    </w:p>
    <w:p w14:paraId="0B59E0FD" w14:textId="1218EF74" w:rsidR="00C12B93" w:rsidRDefault="00C12B93">
      <w:pPr>
        <w:rPr>
          <w:rFonts w:asciiTheme="majorHAnsi" w:eastAsiaTheme="majorEastAsia" w:hAnsiTheme="majorHAnsi" w:cstheme="majorBidi"/>
          <w:b/>
          <w:color w:val="2F5496" w:themeColor="accent1" w:themeShade="BF"/>
          <w:sz w:val="32"/>
          <w:szCs w:val="32"/>
        </w:rPr>
      </w:pPr>
    </w:p>
    <w:p w14:paraId="737B565B" w14:textId="431F5D51" w:rsidR="004319E8" w:rsidRDefault="00C12B93" w:rsidP="004319E8">
      <w:pPr>
        <w:pStyle w:val="TableofFigures"/>
        <w:tabs>
          <w:tab w:val="right" w:leader="dot" w:pos="9350"/>
        </w:tabs>
      </w:pPr>
      <w:r>
        <w:rPr>
          <w:rFonts w:asciiTheme="majorHAnsi" w:eastAsiaTheme="majorEastAsia" w:hAnsiTheme="majorHAnsi" w:cstheme="majorBidi"/>
          <w:b/>
          <w:color w:val="2F5496" w:themeColor="accent1" w:themeShade="BF"/>
          <w:sz w:val="32"/>
          <w:szCs w:val="32"/>
        </w:rPr>
        <w:lastRenderedPageBreak/>
        <w:fldChar w:fldCharType="begin"/>
      </w:r>
      <w:r>
        <w:rPr>
          <w:rFonts w:asciiTheme="majorHAnsi" w:eastAsiaTheme="majorEastAsia" w:hAnsiTheme="majorHAnsi" w:cstheme="majorBidi"/>
          <w:b/>
          <w:color w:val="2F5496" w:themeColor="accent1" w:themeShade="BF"/>
          <w:sz w:val="32"/>
          <w:szCs w:val="32"/>
        </w:rPr>
        <w:instrText xml:space="preserve"> TOC \h \z \c "Figure" </w:instrText>
      </w:r>
      <w:r>
        <w:rPr>
          <w:rFonts w:asciiTheme="majorHAnsi" w:eastAsiaTheme="majorEastAsia" w:hAnsiTheme="majorHAnsi" w:cstheme="majorBidi"/>
          <w:b/>
          <w:color w:val="2F5496" w:themeColor="accent1" w:themeShade="BF"/>
          <w:sz w:val="32"/>
          <w:szCs w:val="32"/>
        </w:rPr>
        <w:fldChar w:fldCharType="separate"/>
      </w:r>
    </w:p>
    <w:p w14:paraId="0F4ADFD5" w14:textId="718E3A35" w:rsidR="00C12B93" w:rsidRPr="00907F0B" w:rsidRDefault="00C12B93" w:rsidP="00907F0B">
      <w:pPr>
        <w:keepNext/>
        <w:keepLines/>
        <w:spacing w:before="240" w:after="0"/>
        <w:outlineLvl w:val="0"/>
        <w:rPr>
          <w:rFonts w:ascii="Times New Roman" w:eastAsiaTheme="majorEastAsia" w:hAnsi="Times New Roman" w:cs="Times New Roman"/>
          <w:color w:val="2F5496" w:themeColor="accent1" w:themeShade="BF"/>
          <w:sz w:val="32"/>
          <w:szCs w:val="32"/>
        </w:rPr>
      </w:pPr>
      <w:r>
        <w:rPr>
          <w:rFonts w:asciiTheme="majorHAnsi" w:eastAsiaTheme="majorEastAsia" w:hAnsiTheme="majorHAnsi" w:cstheme="majorBidi"/>
          <w:b/>
          <w:color w:val="2F5496" w:themeColor="accent1" w:themeShade="BF"/>
          <w:sz w:val="32"/>
          <w:szCs w:val="32"/>
        </w:rPr>
        <w:fldChar w:fldCharType="end"/>
      </w:r>
      <w:bookmarkStart w:id="11" w:name="_Toc105592800"/>
      <w:r w:rsidR="00877EA9" w:rsidRPr="00907F0B">
        <w:rPr>
          <w:rFonts w:ascii="Times New Roman" w:eastAsiaTheme="majorEastAsia" w:hAnsi="Times New Roman" w:cs="Times New Roman"/>
          <w:color w:val="2F5496" w:themeColor="accent1" w:themeShade="BF"/>
          <w:sz w:val="32"/>
          <w:szCs w:val="32"/>
        </w:rPr>
        <w:t>List of Tables, Figures, and Boxes</w:t>
      </w:r>
      <w:bookmarkEnd w:id="11"/>
    </w:p>
    <w:p w14:paraId="785BF2F8" w14:textId="77777777" w:rsidR="00907F0B" w:rsidRPr="00907F0B" w:rsidRDefault="00907F0B" w:rsidP="00907F0B"/>
    <w:p w14:paraId="625FFCF9" w14:textId="41C5AAA3" w:rsidR="0033433C" w:rsidRPr="00183736" w:rsidRDefault="00877EA9">
      <w:pPr>
        <w:pStyle w:val="TableofFigures"/>
        <w:tabs>
          <w:tab w:val="right" w:leader="dot" w:pos="9350"/>
        </w:tabs>
        <w:rPr>
          <w:rFonts w:ascii="Times New Roman" w:eastAsiaTheme="minorEastAsia" w:hAnsi="Times New Roman" w:cs="Times New Roman"/>
          <w:noProof/>
        </w:rPr>
      </w:pPr>
      <w:r w:rsidRPr="001D7CB8">
        <w:rPr>
          <w:rFonts w:ascii="Times New Roman" w:hAnsi="Times New Roman" w:cs="Times New Roman"/>
        </w:rPr>
        <w:fldChar w:fldCharType="begin"/>
      </w:r>
      <w:r w:rsidRPr="001D7CB8">
        <w:rPr>
          <w:rFonts w:ascii="Times New Roman" w:hAnsi="Times New Roman" w:cs="Times New Roman"/>
        </w:rPr>
        <w:instrText xml:space="preserve"> TOC \h \z \c "Table" </w:instrText>
      </w:r>
      <w:r w:rsidRPr="001D7CB8">
        <w:rPr>
          <w:rFonts w:ascii="Times New Roman" w:hAnsi="Times New Roman" w:cs="Times New Roman"/>
        </w:rPr>
        <w:fldChar w:fldCharType="separate"/>
      </w:r>
      <w:hyperlink w:anchor="_Toc105592170" w:history="1">
        <w:r w:rsidR="0033433C" w:rsidRPr="00183736">
          <w:rPr>
            <w:rStyle w:val="Hyperlink"/>
            <w:rFonts w:ascii="Times New Roman" w:hAnsi="Times New Roman" w:cs="Times New Roman"/>
            <w:noProof/>
          </w:rPr>
          <w:t>Table 1: Contribution to GDP Growth</w:t>
        </w:r>
        <w:r w:rsidR="0033433C" w:rsidRPr="00183736">
          <w:rPr>
            <w:rFonts w:ascii="Times New Roman" w:hAnsi="Times New Roman" w:cs="Times New Roman"/>
            <w:noProof/>
            <w:webHidden/>
          </w:rPr>
          <w:tab/>
        </w:r>
        <w:r w:rsidR="0033433C" w:rsidRPr="00183736">
          <w:rPr>
            <w:rFonts w:ascii="Times New Roman" w:hAnsi="Times New Roman" w:cs="Times New Roman"/>
            <w:noProof/>
            <w:webHidden/>
          </w:rPr>
          <w:fldChar w:fldCharType="begin"/>
        </w:r>
        <w:r w:rsidR="0033433C" w:rsidRPr="00183736">
          <w:rPr>
            <w:rFonts w:ascii="Times New Roman" w:hAnsi="Times New Roman" w:cs="Times New Roman"/>
            <w:noProof/>
            <w:webHidden/>
          </w:rPr>
          <w:instrText xml:space="preserve"> PAGEREF _Toc105592170 \h </w:instrText>
        </w:r>
        <w:r w:rsidR="0033433C" w:rsidRPr="00183736">
          <w:rPr>
            <w:rFonts w:ascii="Times New Roman" w:hAnsi="Times New Roman" w:cs="Times New Roman"/>
            <w:noProof/>
            <w:webHidden/>
          </w:rPr>
        </w:r>
        <w:r w:rsidR="0033433C" w:rsidRPr="00183736">
          <w:rPr>
            <w:rFonts w:ascii="Times New Roman" w:hAnsi="Times New Roman" w:cs="Times New Roman"/>
            <w:noProof/>
            <w:webHidden/>
          </w:rPr>
          <w:fldChar w:fldCharType="separate"/>
        </w:r>
        <w:r w:rsidR="0033433C" w:rsidRPr="00183736">
          <w:rPr>
            <w:rFonts w:ascii="Times New Roman" w:hAnsi="Times New Roman" w:cs="Times New Roman"/>
            <w:noProof/>
            <w:webHidden/>
          </w:rPr>
          <w:t>14</w:t>
        </w:r>
        <w:r w:rsidR="0033433C" w:rsidRPr="00183736">
          <w:rPr>
            <w:rFonts w:ascii="Times New Roman" w:hAnsi="Times New Roman" w:cs="Times New Roman"/>
            <w:noProof/>
            <w:webHidden/>
          </w:rPr>
          <w:fldChar w:fldCharType="end"/>
        </w:r>
      </w:hyperlink>
    </w:p>
    <w:p w14:paraId="1778BDF1" w14:textId="430237B9" w:rsidR="0033433C" w:rsidRPr="00183736" w:rsidRDefault="00CF49A0">
      <w:pPr>
        <w:pStyle w:val="TableofFigures"/>
        <w:tabs>
          <w:tab w:val="right" w:leader="dot" w:pos="9350"/>
        </w:tabs>
        <w:rPr>
          <w:rFonts w:ascii="Times New Roman" w:eastAsiaTheme="minorEastAsia" w:hAnsi="Times New Roman" w:cs="Times New Roman"/>
          <w:noProof/>
        </w:rPr>
      </w:pPr>
      <w:hyperlink w:anchor="_Toc105592171" w:history="1">
        <w:r w:rsidR="0033433C" w:rsidRPr="00183736">
          <w:rPr>
            <w:rStyle w:val="Hyperlink"/>
            <w:rFonts w:ascii="Times New Roman" w:hAnsi="Times New Roman" w:cs="Times New Roman"/>
            <w:noProof/>
          </w:rPr>
          <w:t>Table 2: GSMA Mobile connectivity index, score 1-100, 2020</w:t>
        </w:r>
        <w:r w:rsidR="0033433C" w:rsidRPr="00183736">
          <w:rPr>
            <w:rFonts w:ascii="Times New Roman" w:hAnsi="Times New Roman" w:cs="Times New Roman"/>
            <w:noProof/>
            <w:webHidden/>
          </w:rPr>
          <w:tab/>
        </w:r>
        <w:r w:rsidR="0033433C" w:rsidRPr="00183736">
          <w:rPr>
            <w:rFonts w:ascii="Times New Roman" w:hAnsi="Times New Roman" w:cs="Times New Roman"/>
            <w:noProof/>
            <w:webHidden/>
          </w:rPr>
          <w:fldChar w:fldCharType="begin"/>
        </w:r>
        <w:r w:rsidR="0033433C" w:rsidRPr="00183736">
          <w:rPr>
            <w:rFonts w:ascii="Times New Roman" w:hAnsi="Times New Roman" w:cs="Times New Roman"/>
            <w:noProof/>
            <w:webHidden/>
          </w:rPr>
          <w:instrText xml:space="preserve"> PAGEREF _Toc105592171 \h </w:instrText>
        </w:r>
        <w:r w:rsidR="0033433C" w:rsidRPr="00183736">
          <w:rPr>
            <w:rFonts w:ascii="Times New Roman" w:hAnsi="Times New Roman" w:cs="Times New Roman"/>
            <w:noProof/>
            <w:webHidden/>
          </w:rPr>
        </w:r>
        <w:r w:rsidR="0033433C" w:rsidRPr="00183736">
          <w:rPr>
            <w:rFonts w:ascii="Times New Roman" w:hAnsi="Times New Roman" w:cs="Times New Roman"/>
            <w:noProof/>
            <w:webHidden/>
          </w:rPr>
          <w:fldChar w:fldCharType="separate"/>
        </w:r>
        <w:r w:rsidR="0033433C" w:rsidRPr="00183736">
          <w:rPr>
            <w:rFonts w:ascii="Times New Roman" w:hAnsi="Times New Roman" w:cs="Times New Roman"/>
            <w:noProof/>
            <w:webHidden/>
          </w:rPr>
          <w:t>32</w:t>
        </w:r>
        <w:r w:rsidR="0033433C" w:rsidRPr="00183736">
          <w:rPr>
            <w:rFonts w:ascii="Times New Roman" w:hAnsi="Times New Roman" w:cs="Times New Roman"/>
            <w:noProof/>
            <w:webHidden/>
          </w:rPr>
          <w:fldChar w:fldCharType="end"/>
        </w:r>
      </w:hyperlink>
    </w:p>
    <w:p w14:paraId="0E1B8618" w14:textId="40B26009" w:rsidR="0033433C" w:rsidRPr="00183736" w:rsidRDefault="00CF49A0">
      <w:pPr>
        <w:pStyle w:val="TableofFigures"/>
        <w:tabs>
          <w:tab w:val="right" w:leader="dot" w:pos="9350"/>
        </w:tabs>
        <w:rPr>
          <w:rFonts w:ascii="Times New Roman" w:eastAsiaTheme="minorEastAsia" w:hAnsi="Times New Roman" w:cs="Times New Roman"/>
          <w:noProof/>
        </w:rPr>
      </w:pPr>
      <w:hyperlink w:anchor="_Toc105592172" w:history="1">
        <w:r w:rsidR="0033433C" w:rsidRPr="00183736">
          <w:rPr>
            <w:rStyle w:val="Hyperlink"/>
            <w:rFonts w:ascii="Times New Roman" w:hAnsi="Times New Roman" w:cs="Times New Roman"/>
            <w:noProof/>
          </w:rPr>
          <w:t>Table 3: E-Government Development Index and Subindices</w:t>
        </w:r>
        <w:r w:rsidR="0033433C" w:rsidRPr="00183736">
          <w:rPr>
            <w:rFonts w:ascii="Times New Roman" w:hAnsi="Times New Roman" w:cs="Times New Roman"/>
            <w:noProof/>
            <w:webHidden/>
          </w:rPr>
          <w:tab/>
        </w:r>
        <w:r w:rsidR="0033433C" w:rsidRPr="00183736">
          <w:rPr>
            <w:rFonts w:ascii="Times New Roman" w:hAnsi="Times New Roman" w:cs="Times New Roman"/>
            <w:noProof/>
            <w:webHidden/>
          </w:rPr>
          <w:fldChar w:fldCharType="begin"/>
        </w:r>
        <w:r w:rsidR="0033433C" w:rsidRPr="00183736">
          <w:rPr>
            <w:rFonts w:ascii="Times New Roman" w:hAnsi="Times New Roman" w:cs="Times New Roman"/>
            <w:noProof/>
            <w:webHidden/>
          </w:rPr>
          <w:instrText xml:space="preserve"> PAGEREF _Toc105592172 \h </w:instrText>
        </w:r>
        <w:r w:rsidR="0033433C" w:rsidRPr="00183736">
          <w:rPr>
            <w:rFonts w:ascii="Times New Roman" w:hAnsi="Times New Roman" w:cs="Times New Roman"/>
            <w:noProof/>
            <w:webHidden/>
          </w:rPr>
        </w:r>
        <w:r w:rsidR="0033433C" w:rsidRPr="00183736">
          <w:rPr>
            <w:rFonts w:ascii="Times New Roman" w:hAnsi="Times New Roman" w:cs="Times New Roman"/>
            <w:noProof/>
            <w:webHidden/>
          </w:rPr>
          <w:fldChar w:fldCharType="separate"/>
        </w:r>
        <w:r w:rsidR="0033433C" w:rsidRPr="00183736">
          <w:rPr>
            <w:rFonts w:ascii="Times New Roman" w:hAnsi="Times New Roman" w:cs="Times New Roman"/>
            <w:noProof/>
            <w:webHidden/>
          </w:rPr>
          <w:t>38</w:t>
        </w:r>
        <w:r w:rsidR="0033433C" w:rsidRPr="00183736">
          <w:rPr>
            <w:rFonts w:ascii="Times New Roman" w:hAnsi="Times New Roman" w:cs="Times New Roman"/>
            <w:noProof/>
            <w:webHidden/>
          </w:rPr>
          <w:fldChar w:fldCharType="end"/>
        </w:r>
      </w:hyperlink>
    </w:p>
    <w:p w14:paraId="50F3FB65" w14:textId="142F10A3" w:rsidR="0033433C" w:rsidRPr="00183736" w:rsidRDefault="00CF49A0">
      <w:pPr>
        <w:pStyle w:val="TableofFigures"/>
        <w:tabs>
          <w:tab w:val="right" w:leader="dot" w:pos="9350"/>
        </w:tabs>
        <w:rPr>
          <w:rFonts w:ascii="Times New Roman" w:eastAsiaTheme="minorEastAsia" w:hAnsi="Times New Roman" w:cs="Times New Roman"/>
          <w:noProof/>
        </w:rPr>
      </w:pPr>
      <w:hyperlink w:anchor="_Toc105592173" w:history="1">
        <w:r w:rsidR="0033433C" w:rsidRPr="00183736">
          <w:rPr>
            <w:rStyle w:val="Hyperlink"/>
            <w:rFonts w:ascii="Times New Roman" w:hAnsi="Times New Roman" w:cs="Times New Roman"/>
            <w:noProof/>
          </w:rPr>
          <w:t>Table 4: Results of Regulatory Watch Initiative for Cabo Verde</w:t>
        </w:r>
        <w:r w:rsidR="0033433C" w:rsidRPr="00183736">
          <w:rPr>
            <w:rFonts w:ascii="Times New Roman" w:hAnsi="Times New Roman" w:cs="Times New Roman"/>
            <w:noProof/>
            <w:webHidden/>
          </w:rPr>
          <w:tab/>
        </w:r>
        <w:r w:rsidR="0033433C" w:rsidRPr="00183736">
          <w:rPr>
            <w:rFonts w:ascii="Times New Roman" w:hAnsi="Times New Roman" w:cs="Times New Roman"/>
            <w:noProof/>
            <w:webHidden/>
          </w:rPr>
          <w:fldChar w:fldCharType="begin"/>
        </w:r>
        <w:r w:rsidR="0033433C" w:rsidRPr="00183736">
          <w:rPr>
            <w:rFonts w:ascii="Times New Roman" w:hAnsi="Times New Roman" w:cs="Times New Roman"/>
            <w:noProof/>
            <w:webHidden/>
          </w:rPr>
          <w:instrText xml:space="preserve"> PAGEREF _Toc105592173 \h </w:instrText>
        </w:r>
        <w:r w:rsidR="0033433C" w:rsidRPr="00183736">
          <w:rPr>
            <w:rFonts w:ascii="Times New Roman" w:hAnsi="Times New Roman" w:cs="Times New Roman"/>
            <w:noProof/>
            <w:webHidden/>
          </w:rPr>
        </w:r>
        <w:r w:rsidR="0033433C" w:rsidRPr="00183736">
          <w:rPr>
            <w:rFonts w:ascii="Times New Roman" w:hAnsi="Times New Roman" w:cs="Times New Roman"/>
            <w:noProof/>
            <w:webHidden/>
          </w:rPr>
          <w:fldChar w:fldCharType="separate"/>
        </w:r>
        <w:r w:rsidR="0033433C" w:rsidRPr="00183736">
          <w:rPr>
            <w:rFonts w:ascii="Times New Roman" w:hAnsi="Times New Roman" w:cs="Times New Roman"/>
            <w:noProof/>
            <w:webHidden/>
          </w:rPr>
          <w:t>41</w:t>
        </w:r>
        <w:r w:rsidR="0033433C" w:rsidRPr="00183736">
          <w:rPr>
            <w:rFonts w:ascii="Times New Roman" w:hAnsi="Times New Roman" w:cs="Times New Roman"/>
            <w:noProof/>
            <w:webHidden/>
          </w:rPr>
          <w:fldChar w:fldCharType="end"/>
        </w:r>
      </w:hyperlink>
    </w:p>
    <w:p w14:paraId="3B001FC4" w14:textId="6DA16F5C" w:rsidR="0033433C" w:rsidRPr="00183736" w:rsidRDefault="00CF49A0">
      <w:pPr>
        <w:pStyle w:val="TableofFigures"/>
        <w:tabs>
          <w:tab w:val="right" w:leader="dot" w:pos="9350"/>
        </w:tabs>
        <w:rPr>
          <w:rFonts w:ascii="Times New Roman" w:eastAsiaTheme="minorEastAsia" w:hAnsi="Times New Roman" w:cs="Times New Roman"/>
          <w:noProof/>
        </w:rPr>
      </w:pPr>
      <w:hyperlink w:anchor="_Toc105592174" w:history="1">
        <w:r w:rsidR="0033433C" w:rsidRPr="00183736">
          <w:rPr>
            <w:rStyle w:val="Hyperlink"/>
            <w:rFonts w:ascii="Times New Roman" w:hAnsi="Times New Roman" w:cs="Times New Roman"/>
            <w:noProof/>
          </w:rPr>
          <w:t>Table 5: Number of active companies and persons employed, 2019</w:t>
        </w:r>
        <w:r w:rsidR="0033433C" w:rsidRPr="00183736">
          <w:rPr>
            <w:rFonts w:ascii="Times New Roman" w:hAnsi="Times New Roman" w:cs="Times New Roman"/>
            <w:noProof/>
            <w:webHidden/>
          </w:rPr>
          <w:tab/>
        </w:r>
        <w:r w:rsidR="0033433C" w:rsidRPr="00183736">
          <w:rPr>
            <w:rFonts w:ascii="Times New Roman" w:hAnsi="Times New Roman" w:cs="Times New Roman"/>
            <w:noProof/>
            <w:webHidden/>
          </w:rPr>
          <w:fldChar w:fldCharType="begin"/>
        </w:r>
        <w:r w:rsidR="0033433C" w:rsidRPr="00183736">
          <w:rPr>
            <w:rFonts w:ascii="Times New Roman" w:hAnsi="Times New Roman" w:cs="Times New Roman"/>
            <w:noProof/>
            <w:webHidden/>
          </w:rPr>
          <w:instrText xml:space="preserve"> PAGEREF _Toc105592174 \h </w:instrText>
        </w:r>
        <w:r w:rsidR="0033433C" w:rsidRPr="00183736">
          <w:rPr>
            <w:rFonts w:ascii="Times New Roman" w:hAnsi="Times New Roman" w:cs="Times New Roman"/>
            <w:noProof/>
            <w:webHidden/>
          </w:rPr>
        </w:r>
        <w:r w:rsidR="0033433C" w:rsidRPr="00183736">
          <w:rPr>
            <w:rFonts w:ascii="Times New Roman" w:hAnsi="Times New Roman" w:cs="Times New Roman"/>
            <w:noProof/>
            <w:webHidden/>
          </w:rPr>
          <w:fldChar w:fldCharType="separate"/>
        </w:r>
        <w:r w:rsidR="0033433C" w:rsidRPr="00183736">
          <w:rPr>
            <w:rFonts w:ascii="Times New Roman" w:hAnsi="Times New Roman" w:cs="Times New Roman"/>
            <w:noProof/>
            <w:webHidden/>
          </w:rPr>
          <w:t>43</w:t>
        </w:r>
        <w:r w:rsidR="0033433C" w:rsidRPr="00183736">
          <w:rPr>
            <w:rFonts w:ascii="Times New Roman" w:hAnsi="Times New Roman" w:cs="Times New Roman"/>
            <w:noProof/>
            <w:webHidden/>
          </w:rPr>
          <w:fldChar w:fldCharType="end"/>
        </w:r>
      </w:hyperlink>
    </w:p>
    <w:p w14:paraId="0ECF8663" w14:textId="40DFAA9D" w:rsidR="0033433C" w:rsidRDefault="00CF49A0">
      <w:pPr>
        <w:pStyle w:val="TableofFigures"/>
        <w:tabs>
          <w:tab w:val="right" w:leader="dot" w:pos="9350"/>
        </w:tabs>
        <w:rPr>
          <w:rFonts w:eastAsiaTheme="minorEastAsia"/>
          <w:noProof/>
        </w:rPr>
      </w:pPr>
      <w:hyperlink w:anchor="_Toc105592175" w:history="1">
        <w:r w:rsidR="0033433C" w:rsidRPr="00183736">
          <w:rPr>
            <w:rStyle w:val="Hyperlink"/>
            <w:rFonts w:ascii="Times New Roman" w:hAnsi="Times New Roman" w:cs="Times New Roman"/>
            <w:noProof/>
          </w:rPr>
          <w:t>Table 6: Use of ICT by individuals, % among surveyed, 2015</w:t>
        </w:r>
        <w:r w:rsidR="0033433C" w:rsidRPr="00183736">
          <w:rPr>
            <w:rFonts w:ascii="Times New Roman" w:hAnsi="Times New Roman" w:cs="Times New Roman"/>
            <w:noProof/>
            <w:webHidden/>
          </w:rPr>
          <w:tab/>
        </w:r>
        <w:r w:rsidR="0033433C" w:rsidRPr="00183736">
          <w:rPr>
            <w:rFonts w:ascii="Times New Roman" w:hAnsi="Times New Roman" w:cs="Times New Roman"/>
            <w:noProof/>
            <w:webHidden/>
          </w:rPr>
          <w:fldChar w:fldCharType="begin"/>
        </w:r>
        <w:r w:rsidR="0033433C" w:rsidRPr="00183736">
          <w:rPr>
            <w:rFonts w:ascii="Times New Roman" w:hAnsi="Times New Roman" w:cs="Times New Roman"/>
            <w:noProof/>
            <w:webHidden/>
          </w:rPr>
          <w:instrText xml:space="preserve"> PAGEREF _Toc105592175 \h </w:instrText>
        </w:r>
        <w:r w:rsidR="0033433C" w:rsidRPr="00183736">
          <w:rPr>
            <w:rFonts w:ascii="Times New Roman" w:hAnsi="Times New Roman" w:cs="Times New Roman"/>
            <w:noProof/>
            <w:webHidden/>
          </w:rPr>
        </w:r>
        <w:r w:rsidR="0033433C" w:rsidRPr="00183736">
          <w:rPr>
            <w:rFonts w:ascii="Times New Roman" w:hAnsi="Times New Roman" w:cs="Times New Roman"/>
            <w:noProof/>
            <w:webHidden/>
          </w:rPr>
          <w:fldChar w:fldCharType="separate"/>
        </w:r>
        <w:r w:rsidR="0033433C" w:rsidRPr="00183736">
          <w:rPr>
            <w:rFonts w:ascii="Times New Roman" w:hAnsi="Times New Roman" w:cs="Times New Roman"/>
            <w:noProof/>
            <w:webHidden/>
          </w:rPr>
          <w:t>44</w:t>
        </w:r>
        <w:r w:rsidR="0033433C" w:rsidRPr="00183736">
          <w:rPr>
            <w:rFonts w:ascii="Times New Roman" w:hAnsi="Times New Roman" w:cs="Times New Roman"/>
            <w:noProof/>
            <w:webHidden/>
          </w:rPr>
          <w:fldChar w:fldCharType="end"/>
        </w:r>
      </w:hyperlink>
    </w:p>
    <w:p w14:paraId="4B27C2EA" w14:textId="55CF0C52" w:rsidR="00F93F61" w:rsidRPr="00E83C93" w:rsidRDefault="00877EA9" w:rsidP="00877EA9">
      <w:pPr>
        <w:rPr>
          <w:rFonts w:ascii="Times New Roman" w:hAnsi="Times New Roman" w:cs="Times New Roman"/>
          <w:b/>
          <w:bCs/>
        </w:rPr>
      </w:pPr>
      <w:r w:rsidRPr="001D7CB8">
        <w:rPr>
          <w:rFonts w:ascii="Times New Roman" w:hAnsi="Times New Roman" w:cs="Times New Roman"/>
        </w:rPr>
        <w:fldChar w:fldCharType="end"/>
      </w:r>
    </w:p>
    <w:p w14:paraId="76CB9990" w14:textId="4E7517B7" w:rsidR="00CF5B50" w:rsidRPr="00FA29A5" w:rsidRDefault="00877EA9">
      <w:pPr>
        <w:pStyle w:val="TableofFigures"/>
        <w:tabs>
          <w:tab w:val="right" w:leader="dot" w:pos="9350"/>
        </w:tabs>
        <w:rPr>
          <w:rFonts w:eastAsiaTheme="minorEastAsia"/>
          <w:noProof/>
        </w:rPr>
      </w:pPr>
      <w:r w:rsidRPr="00866641">
        <w:rPr>
          <w:rFonts w:ascii="Times New Roman" w:hAnsi="Times New Roman" w:cs="Times New Roman"/>
        </w:rPr>
        <w:fldChar w:fldCharType="begin"/>
      </w:r>
      <w:r w:rsidRPr="00EA6B41">
        <w:rPr>
          <w:rFonts w:ascii="Times New Roman" w:hAnsi="Times New Roman" w:cs="Times New Roman"/>
        </w:rPr>
        <w:instrText xml:space="preserve"> TOC \h \z \c "Figure" </w:instrText>
      </w:r>
      <w:r w:rsidRPr="00866641">
        <w:rPr>
          <w:rFonts w:ascii="Times New Roman" w:hAnsi="Times New Roman" w:cs="Times New Roman"/>
        </w:rPr>
        <w:fldChar w:fldCharType="separate"/>
      </w:r>
      <w:hyperlink w:anchor="_Toc103950875" w:history="1">
        <w:r w:rsidR="00CF5B50" w:rsidRPr="00FA29A5">
          <w:rPr>
            <w:rStyle w:val="Hyperlink"/>
            <w:rFonts w:ascii="Times New Roman" w:hAnsi="Times New Roman" w:cs="Times New Roman"/>
            <w:noProof/>
          </w:rPr>
          <w:t>Figure 1: Annual Growth rates 2020-2021</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_Toc103950875 \h </w:instrText>
        </w:r>
        <w:r w:rsidR="00CF5B50" w:rsidRPr="00FA29A5">
          <w:rPr>
            <w:noProof/>
            <w:webHidden/>
          </w:rPr>
        </w:r>
        <w:r w:rsidR="00CF5B50" w:rsidRPr="00FA29A5">
          <w:rPr>
            <w:noProof/>
            <w:webHidden/>
          </w:rPr>
          <w:fldChar w:fldCharType="separate"/>
        </w:r>
        <w:r w:rsidR="00C73FE1">
          <w:rPr>
            <w:noProof/>
            <w:webHidden/>
          </w:rPr>
          <w:t>15</w:t>
        </w:r>
        <w:r w:rsidR="00CF5B50" w:rsidRPr="00FA29A5">
          <w:rPr>
            <w:noProof/>
            <w:webHidden/>
          </w:rPr>
          <w:fldChar w:fldCharType="end"/>
        </w:r>
      </w:hyperlink>
    </w:p>
    <w:p w14:paraId="7BCF2D42" w14:textId="29E2E320" w:rsidR="00CF5B50" w:rsidRPr="00FA29A5" w:rsidRDefault="00CF49A0">
      <w:pPr>
        <w:pStyle w:val="TableofFigures"/>
        <w:tabs>
          <w:tab w:val="right" w:leader="dot" w:pos="9350"/>
        </w:tabs>
        <w:rPr>
          <w:rFonts w:eastAsiaTheme="minorEastAsia"/>
          <w:noProof/>
        </w:rPr>
      </w:pPr>
      <w:hyperlink w:anchor="_Toc103950876" w:history="1">
        <w:r w:rsidR="00CF5B50" w:rsidRPr="00FA29A5">
          <w:rPr>
            <w:rStyle w:val="Hyperlink"/>
            <w:rFonts w:ascii="Times New Roman" w:hAnsi="Times New Roman" w:cs="Times New Roman"/>
            <w:noProof/>
          </w:rPr>
          <w:t>Figure 2: Loan Guarantees to SOEs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_Toc103950876 \h </w:instrText>
        </w:r>
        <w:r w:rsidR="00CF5B50" w:rsidRPr="00FA29A5">
          <w:rPr>
            <w:noProof/>
            <w:webHidden/>
          </w:rPr>
        </w:r>
        <w:r w:rsidR="00CF5B50" w:rsidRPr="00FA29A5">
          <w:rPr>
            <w:noProof/>
            <w:webHidden/>
          </w:rPr>
          <w:fldChar w:fldCharType="separate"/>
        </w:r>
        <w:r w:rsidR="00C73FE1">
          <w:rPr>
            <w:noProof/>
            <w:webHidden/>
          </w:rPr>
          <w:t>20</w:t>
        </w:r>
        <w:r w:rsidR="00CF5B50" w:rsidRPr="00FA29A5">
          <w:rPr>
            <w:noProof/>
            <w:webHidden/>
          </w:rPr>
          <w:fldChar w:fldCharType="end"/>
        </w:r>
      </w:hyperlink>
    </w:p>
    <w:p w14:paraId="5608383C" w14:textId="4C880387" w:rsidR="00CF5B50" w:rsidRPr="00FA29A5" w:rsidRDefault="00CF49A0">
      <w:pPr>
        <w:pStyle w:val="TableofFigures"/>
        <w:tabs>
          <w:tab w:val="right" w:leader="dot" w:pos="9350"/>
        </w:tabs>
        <w:rPr>
          <w:rFonts w:eastAsiaTheme="minorEastAsia"/>
          <w:noProof/>
        </w:rPr>
      </w:pPr>
      <w:hyperlink w:anchor="_Toc103950877" w:history="1">
        <w:r w:rsidR="00CF5B50" w:rsidRPr="00FA29A5">
          <w:rPr>
            <w:rStyle w:val="Hyperlink"/>
            <w:rFonts w:ascii="Times New Roman" w:hAnsi="Times New Roman" w:cs="Times New Roman"/>
            <w:noProof/>
          </w:rPr>
          <w:t>Figure 3: Capitalization to SOEs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_Toc103950877 \h </w:instrText>
        </w:r>
        <w:r w:rsidR="00CF5B50" w:rsidRPr="00FA29A5">
          <w:rPr>
            <w:noProof/>
            <w:webHidden/>
          </w:rPr>
        </w:r>
        <w:r w:rsidR="00CF5B50" w:rsidRPr="00FA29A5">
          <w:rPr>
            <w:noProof/>
            <w:webHidden/>
          </w:rPr>
          <w:fldChar w:fldCharType="separate"/>
        </w:r>
        <w:r w:rsidR="00C73FE1">
          <w:rPr>
            <w:noProof/>
            <w:webHidden/>
          </w:rPr>
          <w:t>20</w:t>
        </w:r>
        <w:r w:rsidR="00CF5B50" w:rsidRPr="00FA29A5">
          <w:rPr>
            <w:noProof/>
            <w:webHidden/>
          </w:rPr>
          <w:fldChar w:fldCharType="end"/>
        </w:r>
      </w:hyperlink>
    </w:p>
    <w:p w14:paraId="146227FF" w14:textId="1F5A0413" w:rsidR="00CF5B50" w:rsidRPr="00FA29A5" w:rsidRDefault="00CF49A0">
      <w:pPr>
        <w:pStyle w:val="TableofFigures"/>
        <w:tabs>
          <w:tab w:val="right" w:leader="dot" w:pos="9350"/>
        </w:tabs>
        <w:rPr>
          <w:rFonts w:eastAsiaTheme="minorEastAsia"/>
          <w:noProof/>
        </w:rPr>
      </w:pPr>
      <w:hyperlink w:anchor="_Toc103950878" w:history="1">
        <w:r w:rsidR="00CF5B50" w:rsidRPr="00FA29A5">
          <w:rPr>
            <w:rStyle w:val="Hyperlink"/>
            <w:rFonts w:ascii="Times New Roman" w:hAnsi="Times New Roman" w:cs="Times New Roman"/>
            <w:noProof/>
          </w:rPr>
          <w:t>Figure 4: Debt and Real GDP</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_Toc103950878 \h </w:instrText>
        </w:r>
        <w:r w:rsidR="00CF5B50" w:rsidRPr="00FA29A5">
          <w:rPr>
            <w:noProof/>
            <w:webHidden/>
          </w:rPr>
        </w:r>
        <w:r w:rsidR="00CF5B50" w:rsidRPr="00FA29A5">
          <w:rPr>
            <w:noProof/>
            <w:webHidden/>
          </w:rPr>
          <w:fldChar w:fldCharType="separate"/>
        </w:r>
        <w:r w:rsidR="00C73FE1">
          <w:rPr>
            <w:noProof/>
            <w:webHidden/>
          </w:rPr>
          <w:t>21</w:t>
        </w:r>
        <w:r w:rsidR="00CF5B50" w:rsidRPr="00FA29A5">
          <w:rPr>
            <w:noProof/>
            <w:webHidden/>
          </w:rPr>
          <w:fldChar w:fldCharType="end"/>
        </w:r>
      </w:hyperlink>
    </w:p>
    <w:p w14:paraId="14A51F15" w14:textId="4D4CD95C" w:rsidR="00CF5B50" w:rsidRPr="00FA29A5" w:rsidRDefault="00CF49A0">
      <w:pPr>
        <w:pStyle w:val="TableofFigures"/>
        <w:tabs>
          <w:tab w:val="right" w:leader="dot" w:pos="9350"/>
        </w:tabs>
        <w:rPr>
          <w:rFonts w:eastAsiaTheme="minorEastAsia"/>
          <w:noProof/>
        </w:rPr>
      </w:pPr>
      <w:hyperlink r:id="rId14" w:anchor="_Toc103950879" w:history="1">
        <w:r w:rsidR="00CF5B50" w:rsidRPr="00FA29A5">
          <w:rPr>
            <w:rStyle w:val="Hyperlink"/>
            <w:rFonts w:ascii="Times New Roman" w:hAnsi="Times New Roman" w:cs="Times New Roman"/>
            <w:noProof/>
          </w:rPr>
          <w:t>Figure 5: Debt-to-GDP Ratio</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_Toc103950879 \h </w:instrText>
        </w:r>
        <w:r w:rsidR="00CF5B50" w:rsidRPr="00FA29A5">
          <w:rPr>
            <w:noProof/>
            <w:webHidden/>
          </w:rPr>
        </w:r>
        <w:r w:rsidR="00CF5B50" w:rsidRPr="00FA29A5">
          <w:rPr>
            <w:noProof/>
            <w:webHidden/>
          </w:rPr>
          <w:fldChar w:fldCharType="separate"/>
        </w:r>
        <w:r w:rsidR="00C73FE1">
          <w:rPr>
            <w:noProof/>
            <w:webHidden/>
          </w:rPr>
          <w:t>21</w:t>
        </w:r>
        <w:r w:rsidR="00CF5B50" w:rsidRPr="00FA29A5">
          <w:rPr>
            <w:noProof/>
            <w:webHidden/>
          </w:rPr>
          <w:fldChar w:fldCharType="end"/>
        </w:r>
      </w:hyperlink>
    </w:p>
    <w:p w14:paraId="1DA61A02" w14:textId="3AC6C7EE" w:rsidR="00CF5B50" w:rsidRPr="00FA29A5" w:rsidRDefault="00CF49A0">
      <w:pPr>
        <w:pStyle w:val="TableofFigures"/>
        <w:tabs>
          <w:tab w:val="right" w:leader="dot" w:pos="9350"/>
        </w:tabs>
        <w:rPr>
          <w:rFonts w:eastAsiaTheme="minorEastAsia"/>
          <w:noProof/>
        </w:rPr>
      </w:pPr>
      <w:hyperlink r:id="rId15" w:anchor="_Toc103950880" w:history="1">
        <w:r w:rsidR="00CF5B50" w:rsidRPr="00FA29A5">
          <w:rPr>
            <w:rStyle w:val="Hyperlink"/>
            <w:rFonts w:ascii="Times New Roman" w:hAnsi="Times New Roman" w:cs="Times New Roman"/>
            <w:noProof/>
          </w:rPr>
          <w:t>Figure 6: Public Debt as share of GDP and GDP growth in 2021 -SIDS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_Toc103950880 \h </w:instrText>
        </w:r>
        <w:r w:rsidR="00CF5B50" w:rsidRPr="00FA29A5">
          <w:rPr>
            <w:noProof/>
            <w:webHidden/>
          </w:rPr>
        </w:r>
        <w:r w:rsidR="00CF5B50" w:rsidRPr="00FA29A5">
          <w:rPr>
            <w:noProof/>
            <w:webHidden/>
          </w:rPr>
          <w:fldChar w:fldCharType="separate"/>
        </w:r>
        <w:r w:rsidR="00C73FE1">
          <w:rPr>
            <w:noProof/>
            <w:webHidden/>
          </w:rPr>
          <w:t>22</w:t>
        </w:r>
        <w:r w:rsidR="00CF5B50" w:rsidRPr="00FA29A5">
          <w:rPr>
            <w:noProof/>
            <w:webHidden/>
          </w:rPr>
          <w:fldChar w:fldCharType="end"/>
        </w:r>
      </w:hyperlink>
    </w:p>
    <w:p w14:paraId="08408D1B" w14:textId="0C9BADB0" w:rsidR="00CF5B50" w:rsidRPr="00FA29A5" w:rsidRDefault="00CF49A0">
      <w:pPr>
        <w:pStyle w:val="TableofFigures"/>
        <w:tabs>
          <w:tab w:val="right" w:leader="dot" w:pos="9350"/>
        </w:tabs>
        <w:rPr>
          <w:rFonts w:eastAsiaTheme="minorEastAsia"/>
          <w:noProof/>
        </w:rPr>
      </w:pPr>
      <w:hyperlink r:id="rId16" w:anchor="_Toc103950881" w:history="1">
        <w:r w:rsidR="00CF5B50" w:rsidRPr="00FA29A5">
          <w:rPr>
            <w:rStyle w:val="Hyperlink"/>
            <w:rFonts w:ascii="Times New Roman" w:hAnsi="Times New Roman" w:cs="Times New Roman"/>
            <w:noProof/>
          </w:rPr>
          <w:t>Figure 7: Inflation (Percentage)</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_Toc103950881 \h </w:instrText>
        </w:r>
        <w:r w:rsidR="00CF5B50" w:rsidRPr="00FA29A5">
          <w:rPr>
            <w:noProof/>
            <w:webHidden/>
          </w:rPr>
        </w:r>
        <w:r w:rsidR="00CF5B50" w:rsidRPr="00FA29A5">
          <w:rPr>
            <w:noProof/>
            <w:webHidden/>
          </w:rPr>
          <w:fldChar w:fldCharType="separate"/>
        </w:r>
        <w:r w:rsidR="00C73FE1">
          <w:rPr>
            <w:noProof/>
            <w:webHidden/>
          </w:rPr>
          <w:t>24</w:t>
        </w:r>
        <w:r w:rsidR="00CF5B50" w:rsidRPr="00FA29A5">
          <w:rPr>
            <w:noProof/>
            <w:webHidden/>
          </w:rPr>
          <w:fldChar w:fldCharType="end"/>
        </w:r>
      </w:hyperlink>
    </w:p>
    <w:p w14:paraId="2F71F823" w14:textId="2BC6FF2F" w:rsidR="00CF5B50" w:rsidRPr="00FA29A5" w:rsidRDefault="00CF49A0">
      <w:pPr>
        <w:pStyle w:val="TableofFigures"/>
        <w:tabs>
          <w:tab w:val="right" w:leader="dot" w:pos="9350"/>
        </w:tabs>
        <w:rPr>
          <w:rFonts w:eastAsiaTheme="minorEastAsia"/>
          <w:noProof/>
        </w:rPr>
      </w:pPr>
      <w:hyperlink r:id="rId17" w:anchor="_Toc103950882" w:history="1">
        <w:r w:rsidR="00CF5B50" w:rsidRPr="00FA29A5">
          <w:rPr>
            <w:rStyle w:val="Hyperlink"/>
            <w:rFonts w:ascii="Times New Roman" w:hAnsi="Times New Roman" w:cs="Times New Roman"/>
            <w:noProof/>
          </w:rPr>
          <w:t>Figure 8: Food and Non-alcoholic Beverages Inflation (Percentage)</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_Toc103950882 \h </w:instrText>
        </w:r>
        <w:r w:rsidR="00CF5B50" w:rsidRPr="00FA29A5">
          <w:rPr>
            <w:noProof/>
            <w:webHidden/>
          </w:rPr>
        </w:r>
        <w:r w:rsidR="00CF5B50" w:rsidRPr="00FA29A5">
          <w:rPr>
            <w:noProof/>
            <w:webHidden/>
          </w:rPr>
          <w:fldChar w:fldCharType="separate"/>
        </w:r>
        <w:r w:rsidR="00C73FE1">
          <w:rPr>
            <w:noProof/>
            <w:webHidden/>
          </w:rPr>
          <w:t>24</w:t>
        </w:r>
        <w:r w:rsidR="00CF5B50" w:rsidRPr="00FA29A5">
          <w:rPr>
            <w:noProof/>
            <w:webHidden/>
          </w:rPr>
          <w:fldChar w:fldCharType="end"/>
        </w:r>
      </w:hyperlink>
    </w:p>
    <w:p w14:paraId="42491A73" w14:textId="6C985226" w:rsidR="00CF5B50" w:rsidRPr="00FA29A5" w:rsidRDefault="00CF49A0">
      <w:pPr>
        <w:pStyle w:val="TableofFigures"/>
        <w:tabs>
          <w:tab w:val="right" w:leader="dot" w:pos="9350"/>
        </w:tabs>
        <w:rPr>
          <w:rFonts w:eastAsiaTheme="minorEastAsia"/>
          <w:noProof/>
        </w:rPr>
      </w:pPr>
      <w:hyperlink w:anchor="_Toc103950883" w:history="1">
        <w:r w:rsidR="00CF5B50" w:rsidRPr="00FA29A5">
          <w:rPr>
            <w:rStyle w:val="Hyperlink"/>
            <w:rFonts w:ascii="Times New Roman" w:hAnsi="Times New Roman" w:cs="Times New Roman"/>
            <w:noProof/>
          </w:rPr>
          <w:t>Figure 9: Recent Economic Developments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_Toc103950883 \h </w:instrText>
        </w:r>
        <w:r w:rsidR="00CF5B50" w:rsidRPr="00FA29A5">
          <w:rPr>
            <w:noProof/>
            <w:webHidden/>
          </w:rPr>
        </w:r>
        <w:r w:rsidR="00CF5B50" w:rsidRPr="00FA29A5">
          <w:rPr>
            <w:noProof/>
            <w:webHidden/>
          </w:rPr>
          <w:fldChar w:fldCharType="separate"/>
        </w:r>
        <w:r w:rsidR="00C73FE1">
          <w:rPr>
            <w:noProof/>
            <w:webHidden/>
          </w:rPr>
          <w:t>26</w:t>
        </w:r>
        <w:r w:rsidR="00CF5B50" w:rsidRPr="00FA29A5">
          <w:rPr>
            <w:noProof/>
            <w:webHidden/>
          </w:rPr>
          <w:fldChar w:fldCharType="end"/>
        </w:r>
      </w:hyperlink>
    </w:p>
    <w:p w14:paraId="09888F6A" w14:textId="19445A11" w:rsidR="00CF5B50" w:rsidRPr="00FA29A5" w:rsidRDefault="00CF49A0">
      <w:pPr>
        <w:pStyle w:val="TableofFigures"/>
        <w:tabs>
          <w:tab w:val="right" w:leader="dot" w:pos="9350"/>
        </w:tabs>
        <w:rPr>
          <w:rFonts w:eastAsiaTheme="minorEastAsia"/>
          <w:noProof/>
        </w:rPr>
      </w:pPr>
      <w:hyperlink w:anchor="_Toc103950884" w:history="1">
        <w:r w:rsidR="00CF5B50" w:rsidRPr="00FA29A5">
          <w:rPr>
            <w:rStyle w:val="Hyperlink"/>
            <w:rFonts w:ascii="Times New Roman" w:hAnsi="Times New Roman" w:cs="Times New Roman"/>
            <w:noProof/>
          </w:rPr>
          <w:t>Figure 10: External Sector Developments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_Toc103950884 \h </w:instrText>
        </w:r>
        <w:r w:rsidR="00CF5B50" w:rsidRPr="00FA29A5">
          <w:rPr>
            <w:noProof/>
            <w:webHidden/>
          </w:rPr>
        </w:r>
        <w:r w:rsidR="00CF5B50" w:rsidRPr="00FA29A5">
          <w:rPr>
            <w:noProof/>
            <w:webHidden/>
          </w:rPr>
          <w:fldChar w:fldCharType="separate"/>
        </w:r>
        <w:r w:rsidR="00C73FE1">
          <w:rPr>
            <w:noProof/>
            <w:webHidden/>
          </w:rPr>
          <w:t>27</w:t>
        </w:r>
        <w:r w:rsidR="00CF5B50" w:rsidRPr="00FA29A5">
          <w:rPr>
            <w:noProof/>
            <w:webHidden/>
          </w:rPr>
          <w:fldChar w:fldCharType="end"/>
        </w:r>
      </w:hyperlink>
    </w:p>
    <w:p w14:paraId="56F27C9F" w14:textId="2A2E56EA" w:rsidR="00CF5B50" w:rsidRPr="00FA29A5" w:rsidRDefault="00CF49A0">
      <w:pPr>
        <w:pStyle w:val="TableofFigures"/>
        <w:tabs>
          <w:tab w:val="right" w:leader="dot" w:pos="9350"/>
        </w:tabs>
        <w:rPr>
          <w:rFonts w:eastAsiaTheme="minorEastAsia"/>
          <w:noProof/>
        </w:rPr>
      </w:pPr>
      <w:hyperlink w:anchor="_Toc103950885" w:history="1">
        <w:r w:rsidR="00CF5B50" w:rsidRPr="00FA29A5">
          <w:rPr>
            <w:rStyle w:val="Hyperlink"/>
            <w:rFonts w:ascii="Times New Roman" w:hAnsi="Times New Roman" w:cs="Times New Roman"/>
            <w:noProof/>
          </w:rPr>
          <w:t>Figure 11: Fiscal Sector Developments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_Toc103950885 \h </w:instrText>
        </w:r>
        <w:r w:rsidR="00CF5B50" w:rsidRPr="00FA29A5">
          <w:rPr>
            <w:noProof/>
            <w:webHidden/>
          </w:rPr>
        </w:r>
        <w:r w:rsidR="00CF5B50" w:rsidRPr="00FA29A5">
          <w:rPr>
            <w:noProof/>
            <w:webHidden/>
          </w:rPr>
          <w:fldChar w:fldCharType="separate"/>
        </w:r>
        <w:r w:rsidR="00C73FE1">
          <w:rPr>
            <w:noProof/>
            <w:webHidden/>
          </w:rPr>
          <w:t>28</w:t>
        </w:r>
        <w:r w:rsidR="00CF5B50" w:rsidRPr="00FA29A5">
          <w:rPr>
            <w:noProof/>
            <w:webHidden/>
          </w:rPr>
          <w:fldChar w:fldCharType="end"/>
        </w:r>
      </w:hyperlink>
    </w:p>
    <w:p w14:paraId="2FA3B28F" w14:textId="12E3C487" w:rsidR="00CF5B50" w:rsidRPr="00FA29A5" w:rsidRDefault="00CF49A0">
      <w:pPr>
        <w:pStyle w:val="TableofFigures"/>
        <w:tabs>
          <w:tab w:val="right" w:leader="dot" w:pos="9350"/>
        </w:tabs>
        <w:rPr>
          <w:rFonts w:eastAsiaTheme="minorEastAsia"/>
          <w:noProof/>
        </w:rPr>
      </w:pPr>
      <w:hyperlink w:anchor="_Toc103950886" w:history="1">
        <w:r w:rsidR="00CF5B50" w:rsidRPr="00FA29A5">
          <w:rPr>
            <w:rStyle w:val="Hyperlink"/>
            <w:rFonts w:ascii="Times New Roman" w:hAnsi="Times New Roman" w:cs="Times New Roman"/>
            <w:noProof/>
          </w:rPr>
          <w:t>Figure 12: Monetary Developments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_Toc103950886 \h </w:instrText>
        </w:r>
        <w:r w:rsidR="00CF5B50" w:rsidRPr="00FA29A5">
          <w:rPr>
            <w:noProof/>
            <w:webHidden/>
          </w:rPr>
        </w:r>
        <w:r w:rsidR="00CF5B50" w:rsidRPr="00FA29A5">
          <w:rPr>
            <w:noProof/>
            <w:webHidden/>
          </w:rPr>
          <w:fldChar w:fldCharType="separate"/>
        </w:r>
        <w:r w:rsidR="00C73FE1">
          <w:rPr>
            <w:noProof/>
            <w:webHidden/>
          </w:rPr>
          <w:t>29</w:t>
        </w:r>
        <w:r w:rsidR="00CF5B50" w:rsidRPr="00FA29A5">
          <w:rPr>
            <w:noProof/>
            <w:webHidden/>
          </w:rPr>
          <w:fldChar w:fldCharType="end"/>
        </w:r>
      </w:hyperlink>
    </w:p>
    <w:p w14:paraId="3605E6C6" w14:textId="153B743A" w:rsidR="00CF5B50" w:rsidRPr="00FA29A5" w:rsidRDefault="00CF49A0">
      <w:pPr>
        <w:pStyle w:val="TableofFigures"/>
        <w:tabs>
          <w:tab w:val="right" w:leader="dot" w:pos="9350"/>
        </w:tabs>
        <w:rPr>
          <w:rFonts w:eastAsiaTheme="minorEastAsia"/>
          <w:noProof/>
        </w:rPr>
      </w:pPr>
      <w:hyperlink r:id="rId18" w:anchor="_Toc103950887" w:history="1">
        <w:r w:rsidR="00CF5B50" w:rsidRPr="00FA29A5">
          <w:rPr>
            <w:rStyle w:val="Hyperlink"/>
            <w:rFonts w:ascii="Times New Roman" w:hAnsi="Times New Roman" w:cs="Times New Roman"/>
            <w:noProof/>
          </w:rPr>
          <w:t>Figure 13: Poverty headcount ratio trends by strata (%)</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_Toc103950887 \h </w:instrText>
        </w:r>
        <w:r w:rsidR="00CF5B50" w:rsidRPr="00FA29A5">
          <w:rPr>
            <w:noProof/>
            <w:webHidden/>
          </w:rPr>
        </w:r>
        <w:r w:rsidR="00CF5B50" w:rsidRPr="00FA29A5">
          <w:rPr>
            <w:noProof/>
            <w:webHidden/>
          </w:rPr>
          <w:fldChar w:fldCharType="separate"/>
        </w:r>
        <w:r w:rsidR="00C73FE1">
          <w:rPr>
            <w:noProof/>
            <w:webHidden/>
          </w:rPr>
          <w:t>30</w:t>
        </w:r>
        <w:r w:rsidR="00CF5B50" w:rsidRPr="00FA29A5">
          <w:rPr>
            <w:noProof/>
            <w:webHidden/>
          </w:rPr>
          <w:fldChar w:fldCharType="end"/>
        </w:r>
      </w:hyperlink>
    </w:p>
    <w:p w14:paraId="1B731711" w14:textId="3EA34B68" w:rsidR="00CF5B50" w:rsidRPr="00FA29A5" w:rsidRDefault="00CF49A0">
      <w:pPr>
        <w:pStyle w:val="TableofFigures"/>
        <w:tabs>
          <w:tab w:val="right" w:leader="dot" w:pos="9350"/>
        </w:tabs>
        <w:rPr>
          <w:rFonts w:eastAsiaTheme="minorEastAsia"/>
          <w:noProof/>
        </w:rPr>
      </w:pPr>
      <w:hyperlink r:id="rId19" w:anchor="_Toc103950888" w:history="1">
        <w:r w:rsidR="00CF5B50" w:rsidRPr="00FA29A5">
          <w:rPr>
            <w:rStyle w:val="Hyperlink"/>
            <w:rFonts w:ascii="Times New Roman" w:hAnsi="Times New Roman" w:cs="Times New Roman"/>
            <w:noProof/>
          </w:rPr>
          <w:t>Figure 14: Annual GDP Growth and Poverty change (%)</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_Toc103950888 \h </w:instrText>
        </w:r>
        <w:r w:rsidR="00CF5B50" w:rsidRPr="00FA29A5">
          <w:rPr>
            <w:noProof/>
            <w:webHidden/>
          </w:rPr>
        </w:r>
        <w:r w:rsidR="00CF5B50" w:rsidRPr="00FA29A5">
          <w:rPr>
            <w:noProof/>
            <w:webHidden/>
          </w:rPr>
          <w:fldChar w:fldCharType="separate"/>
        </w:r>
        <w:r w:rsidR="00C73FE1">
          <w:rPr>
            <w:noProof/>
            <w:webHidden/>
          </w:rPr>
          <w:t>30</w:t>
        </w:r>
        <w:r w:rsidR="00CF5B50" w:rsidRPr="00FA29A5">
          <w:rPr>
            <w:noProof/>
            <w:webHidden/>
          </w:rPr>
          <w:fldChar w:fldCharType="end"/>
        </w:r>
      </w:hyperlink>
    </w:p>
    <w:p w14:paraId="2948B88D" w14:textId="5D8AE6D0" w:rsidR="00CF5B50" w:rsidRPr="00FA29A5" w:rsidRDefault="00CF49A0">
      <w:pPr>
        <w:pStyle w:val="TableofFigures"/>
        <w:tabs>
          <w:tab w:val="right" w:leader="dot" w:pos="9350"/>
        </w:tabs>
        <w:rPr>
          <w:rFonts w:eastAsiaTheme="minorEastAsia"/>
          <w:noProof/>
        </w:rPr>
      </w:pPr>
      <w:hyperlink w:anchor="_Toc103950889" w:history="1">
        <w:r w:rsidR="00CF5B50" w:rsidRPr="00FA29A5">
          <w:rPr>
            <w:rStyle w:val="Hyperlink"/>
            <w:rFonts w:ascii="Times New Roman" w:hAnsi="Times New Roman" w:cs="Times New Roman"/>
            <w:noProof/>
          </w:rPr>
          <w:t>Figure 15: Gini by area of residence</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_Toc103950889 \h </w:instrText>
        </w:r>
        <w:r w:rsidR="00CF5B50" w:rsidRPr="00FA29A5">
          <w:rPr>
            <w:noProof/>
            <w:webHidden/>
          </w:rPr>
        </w:r>
        <w:r w:rsidR="00CF5B50" w:rsidRPr="00FA29A5">
          <w:rPr>
            <w:noProof/>
            <w:webHidden/>
          </w:rPr>
          <w:fldChar w:fldCharType="separate"/>
        </w:r>
        <w:r w:rsidR="00C73FE1">
          <w:rPr>
            <w:noProof/>
            <w:webHidden/>
          </w:rPr>
          <w:t>31</w:t>
        </w:r>
        <w:r w:rsidR="00CF5B50" w:rsidRPr="00FA29A5">
          <w:rPr>
            <w:noProof/>
            <w:webHidden/>
          </w:rPr>
          <w:fldChar w:fldCharType="end"/>
        </w:r>
      </w:hyperlink>
    </w:p>
    <w:p w14:paraId="65DCB6BD" w14:textId="1D3E4ADD" w:rsidR="00CF5B50" w:rsidRPr="00FA29A5" w:rsidRDefault="00CF49A0">
      <w:pPr>
        <w:pStyle w:val="TableofFigures"/>
        <w:tabs>
          <w:tab w:val="right" w:leader="dot" w:pos="9350"/>
        </w:tabs>
        <w:rPr>
          <w:rFonts w:eastAsiaTheme="minorEastAsia"/>
          <w:noProof/>
        </w:rPr>
      </w:pPr>
      <w:hyperlink r:id="rId20" w:anchor="_Toc103950890" w:history="1">
        <w:r w:rsidR="00CF5B50" w:rsidRPr="00FA29A5">
          <w:rPr>
            <w:rStyle w:val="Hyperlink"/>
            <w:rFonts w:ascii="Times New Roman" w:hAnsi="Times New Roman" w:cs="Times New Roman"/>
            <w:noProof/>
          </w:rPr>
          <w:t>Figure 16: Lorenz curve of per capita consumption</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_Toc103950890 \h </w:instrText>
        </w:r>
        <w:r w:rsidR="00CF5B50" w:rsidRPr="00FA29A5">
          <w:rPr>
            <w:noProof/>
            <w:webHidden/>
          </w:rPr>
        </w:r>
        <w:r w:rsidR="00CF5B50" w:rsidRPr="00FA29A5">
          <w:rPr>
            <w:noProof/>
            <w:webHidden/>
          </w:rPr>
          <w:fldChar w:fldCharType="separate"/>
        </w:r>
        <w:r w:rsidR="00C73FE1">
          <w:rPr>
            <w:noProof/>
            <w:webHidden/>
          </w:rPr>
          <w:t>31</w:t>
        </w:r>
        <w:r w:rsidR="00CF5B50" w:rsidRPr="00FA29A5">
          <w:rPr>
            <w:noProof/>
            <w:webHidden/>
          </w:rPr>
          <w:fldChar w:fldCharType="end"/>
        </w:r>
      </w:hyperlink>
    </w:p>
    <w:p w14:paraId="5F5B4F5E" w14:textId="7475626F" w:rsidR="00CF5B50" w:rsidRPr="00FA29A5" w:rsidRDefault="00CF49A0">
      <w:pPr>
        <w:pStyle w:val="TableofFigures"/>
        <w:tabs>
          <w:tab w:val="right" w:leader="dot" w:pos="9350"/>
        </w:tabs>
        <w:rPr>
          <w:rFonts w:eastAsiaTheme="minorEastAsia"/>
          <w:noProof/>
        </w:rPr>
      </w:pPr>
      <w:hyperlink w:anchor="_Toc103950891" w:history="1">
        <w:r w:rsidR="00CF5B50" w:rsidRPr="00FA29A5">
          <w:rPr>
            <w:rStyle w:val="Hyperlink"/>
            <w:rFonts w:ascii="Times New Roman" w:hAnsi="Times New Roman" w:cs="Times New Roman"/>
            <w:noProof/>
          </w:rPr>
          <w:t>Figure 17: Use of Internet in Cabo Verde</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_Toc103950891 \h </w:instrText>
        </w:r>
        <w:r w:rsidR="00CF5B50" w:rsidRPr="00FA29A5">
          <w:rPr>
            <w:noProof/>
            <w:webHidden/>
          </w:rPr>
        </w:r>
        <w:r w:rsidR="00CF5B50" w:rsidRPr="00FA29A5">
          <w:rPr>
            <w:noProof/>
            <w:webHidden/>
          </w:rPr>
          <w:fldChar w:fldCharType="separate"/>
        </w:r>
        <w:r w:rsidR="00C73FE1">
          <w:rPr>
            <w:noProof/>
            <w:webHidden/>
          </w:rPr>
          <w:t>37</w:t>
        </w:r>
        <w:r w:rsidR="00CF5B50" w:rsidRPr="00FA29A5">
          <w:rPr>
            <w:noProof/>
            <w:webHidden/>
          </w:rPr>
          <w:fldChar w:fldCharType="end"/>
        </w:r>
      </w:hyperlink>
    </w:p>
    <w:p w14:paraId="4D00B9C4" w14:textId="11D3E009" w:rsidR="00CF5B50" w:rsidRPr="00FA29A5" w:rsidRDefault="00CF49A0">
      <w:pPr>
        <w:pStyle w:val="TableofFigures"/>
        <w:tabs>
          <w:tab w:val="right" w:leader="dot" w:pos="9350"/>
        </w:tabs>
        <w:rPr>
          <w:rFonts w:eastAsiaTheme="minorEastAsia"/>
          <w:noProof/>
        </w:rPr>
      </w:pPr>
      <w:hyperlink w:anchor="_Toc103950892" w:history="1">
        <w:r w:rsidR="00CF5B50" w:rsidRPr="00FA29A5">
          <w:rPr>
            <w:rStyle w:val="Hyperlink"/>
            <w:rFonts w:ascii="Times New Roman" w:hAnsi="Times New Roman" w:cs="Times New Roman"/>
            <w:noProof/>
          </w:rPr>
          <w:t>Figure 18: Use of Internet in Cabo Verde</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_Toc103950892 \h </w:instrText>
        </w:r>
        <w:r w:rsidR="00CF5B50" w:rsidRPr="00FA29A5">
          <w:rPr>
            <w:noProof/>
            <w:webHidden/>
          </w:rPr>
        </w:r>
        <w:r w:rsidR="00CF5B50" w:rsidRPr="00FA29A5">
          <w:rPr>
            <w:noProof/>
            <w:webHidden/>
          </w:rPr>
          <w:fldChar w:fldCharType="separate"/>
        </w:r>
        <w:r w:rsidR="00C73FE1">
          <w:rPr>
            <w:noProof/>
            <w:webHidden/>
          </w:rPr>
          <w:t>37</w:t>
        </w:r>
        <w:r w:rsidR="00CF5B50" w:rsidRPr="00FA29A5">
          <w:rPr>
            <w:noProof/>
            <w:webHidden/>
          </w:rPr>
          <w:fldChar w:fldCharType="end"/>
        </w:r>
      </w:hyperlink>
    </w:p>
    <w:p w14:paraId="2FE36E45" w14:textId="11D7C0C7" w:rsidR="00CF5B50" w:rsidRPr="00FA29A5" w:rsidRDefault="00CF49A0">
      <w:pPr>
        <w:pStyle w:val="TableofFigures"/>
        <w:tabs>
          <w:tab w:val="right" w:leader="dot" w:pos="9350"/>
        </w:tabs>
        <w:rPr>
          <w:rFonts w:eastAsiaTheme="minorEastAsia"/>
          <w:noProof/>
        </w:rPr>
      </w:pPr>
      <w:hyperlink w:anchor="_Toc103950893" w:history="1">
        <w:r w:rsidR="00CF5B50" w:rsidRPr="00FA29A5">
          <w:rPr>
            <w:rStyle w:val="Hyperlink"/>
            <w:rFonts w:ascii="Times New Roman" w:hAnsi="Times New Roman" w:cs="Times New Roman"/>
            <w:noProof/>
          </w:rPr>
          <w:t>Figure 19: Mobile Internet Users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_Toc103950893 \h </w:instrText>
        </w:r>
        <w:r w:rsidR="00CF5B50" w:rsidRPr="00FA29A5">
          <w:rPr>
            <w:noProof/>
            <w:webHidden/>
          </w:rPr>
        </w:r>
        <w:r w:rsidR="00CF5B50" w:rsidRPr="00FA29A5">
          <w:rPr>
            <w:noProof/>
            <w:webHidden/>
          </w:rPr>
          <w:fldChar w:fldCharType="separate"/>
        </w:r>
        <w:r w:rsidR="00C73FE1">
          <w:rPr>
            <w:noProof/>
            <w:webHidden/>
          </w:rPr>
          <w:t>37</w:t>
        </w:r>
        <w:r w:rsidR="00CF5B50" w:rsidRPr="00FA29A5">
          <w:rPr>
            <w:noProof/>
            <w:webHidden/>
          </w:rPr>
          <w:fldChar w:fldCharType="end"/>
        </w:r>
      </w:hyperlink>
    </w:p>
    <w:p w14:paraId="430A0D48" w14:textId="53415698" w:rsidR="00CF5B50" w:rsidRPr="00FA29A5" w:rsidRDefault="00CF49A0">
      <w:pPr>
        <w:pStyle w:val="TableofFigures"/>
        <w:tabs>
          <w:tab w:val="right" w:leader="dot" w:pos="9350"/>
        </w:tabs>
        <w:rPr>
          <w:rFonts w:eastAsiaTheme="minorEastAsia"/>
          <w:noProof/>
        </w:rPr>
      </w:pPr>
      <w:hyperlink w:anchor="_Toc103950894" w:history="1">
        <w:r w:rsidR="00CF5B50" w:rsidRPr="00FA29A5">
          <w:rPr>
            <w:rStyle w:val="Hyperlink"/>
            <w:rFonts w:ascii="Times New Roman" w:hAnsi="Times New Roman" w:cs="Times New Roman"/>
            <w:noProof/>
          </w:rPr>
          <w:t>Figure 20: Fixed Broadband Users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_Toc103950894 \h </w:instrText>
        </w:r>
        <w:r w:rsidR="00CF5B50" w:rsidRPr="00FA29A5">
          <w:rPr>
            <w:noProof/>
            <w:webHidden/>
          </w:rPr>
        </w:r>
        <w:r w:rsidR="00CF5B50" w:rsidRPr="00FA29A5">
          <w:rPr>
            <w:noProof/>
            <w:webHidden/>
          </w:rPr>
          <w:fldChar w:fldCharType="separate"/>
        </w:r>
        <w:r w:rsidR="00C73FE1">
          <w:rPr>
            <w:noProof/>
            <w:webHidden/>
          </w:rPr>
          <w:t>37</w:t>
        </w:r>
        <w:r w:rsidR="00CF5B50" w:rsidRPr="00FA29A5">
          <w:rPr>
            <w:noProof/>
            <w:webHidden/>
          </w:rPr>
          <w:fldChar w:fldCharType="end"/>
        </w:r>
      </w:hyperlink>
    </w:p>
    <w:p w14:paraId="73AC502E" w14:textId="052FB9F2" w:rsidR="00CF5B50" w:rsidRPr="00FA29A5" w:rsidRDefault="00CF49A0">
      <w:pPr>
        <w:pStyle w:val="TableofFigures"/>
        <w:tabs>
          <w:tab w:val="right" w:leader="dot" w:pos="9350"/>
        </w:tabs>
        <w:rPr>
          <w:rFonts w:eastAsiaTheme="minorEastAsia"/>
          <w:noProof/>
        </w:rPr>
      </w:pPr>
      <w:hyperlink w:anchor="_Toc103950895" w:history="1">
        <w:r w:rsidR="00CF5B50" w:rsidRPr="00FA29A5">
          <w:rPr>
            <w:rStyle w:val="Hyperlink"/>
            <w:rFonts w:ascii="Times New Roman" w:hAnsi="Times New Roman" w:cs="Times New Roman"/>
            <w:noProof/>
          </w:rPr>
          <w:t>Figure 21: Mobile Broadband Prices and Speeds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_Toc103950895 \h </w:instrText>
        </w:r>
        <w:r w:rsidR="00CF5B50" w:rsidRPr="00FA29A5">
          <w:rPr>
            <w:noProof/>
            <w:webHidden/>
          </w:rPr>
        </w:r>
        <w:r w:rsidR="00CF5B50" w:rsidRPr="00FA29A5">
          <w:rPr>
            <w:noProof/>
            <w:webHidden/>
          </w:rPr>
          <w:fldChar w:fldCharType="separate"/>
        </w:r>
        <w:r w:rsidR="00C73FE1">
          <w:rPr>
            <w:noProof/>
            <w:webHidden/>
          </w:rPr>
          <w:t>39</w:t>
        </w:r>
        <w:r w:rsidR="00CF5B50" w:rsidRPr="00FA29A5">
          <w:rPr>
            <w:noProof/>
            <w:webHidden/>
          </w:rPr>
          <w:fldChar w:fldCharType="end"/>
        </w:r>
      </w:hyperlink>
    </w:p>
    <w:p w14:paraId="348CEA6D" w14:textId="149735C6" w:rsidR="00CF5B50" w:rsidRPr="00FA29A5" w:rsidRDefault="00CF49A0">
      <w:pPr>
        <w:pStyle w:val="TableofFigures"/>
        <w:tabs>
          <w:tab w:val="right" w:leader="dot" w:pos="9350"/>
        </w:tabs>
        <w:rPr>
          <w:rFonts w:eastAsiaTheme="minorEastAsia"/>
          <w:noProof/>
        </w:rPr>
      </w:pPr>
      <w:hyperlink w:anchor="_Toc103950896" w:history="1">
        <w:r w:rsidR="00CF5B50" w:rsidRPr="00FA29A5">
          <w:rPr>
            <w:rStyle w:val="Hyperlink"/>
            <w:rFonts w:ascii="Times New Roman" w:hAnsi="Times New Roman" w:cs="Times New Roman"/>
            <w:noProof/>
          </w:rPr>
          <w:t>Figure 22: Fixed Broadband Prices and Speeds</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_Toc103950896 \h </w:instrText>
        </w:r>
        <w:r w:rsidR="00CF5B50" w:rsidRPr="00FA29A5">
          <w:rPr>
            <w:noProof/>
            <w:webHidden/>
          </w:rPr>
        </w:r>
        <w:r w:rsidR="00CF5B50" w:rsidRPr="00FA29A5">
          <w:rPr>
            <w:noProof/>
            <w:webHidden/>
          </w:rPr>
          <w:fldChar w:fldCharType="separate"/>
        </w:r>
        <w:r w:rsidR="00C73FE1">
          <w:rPr>
            <w:noProof/>
            <w:webHidden/>
          </w:rPr>
          <w:t>39</w:t>
        </w:r>
        <w:r w:rsidR="00CF5B50" w:rsidRPr="00FA29A5">
          <w:rPr>
            <w:noProof/>
            <w:webHidden/>
          </w:rPr>
          <w:fldChar w:fldCharType="end"/>
        </w:r>
      </w:hyperlink>
    </w:p>
    <w:p w14:paraId="1D0A18DD" w14:textId="1A18B71B" w:rsidR="00CF5B50" w:rsidRPr="00FA29A5" w:rsidRDefault="00CF49A0">
      <w:pPr>
        <w:pStyle w:val="TableofFigures"/>
        <w:tabs>
          <w:tab w:val="right" w:leader="dot" w:pos="9350"/>
        </w:tabs>
        <w:rPr>
          <w:rFonts w:eastAsiaTheme="minorEastAsia"/>
          <w:noProof/>
        </w:rPr>
      </w:pPr>
      <w:hyperlink w:anchor="_Toc103950897" w:history="1">
        <w:r w:rsidR="00CF5B50" w:rsidRPr="00FA29A5">
          <w:rPr>
            <w:rStyle w:val="Hyperlink"/>
            <w:rFonts w:ascii="Times New Roman" w:hAnsi="Times New Roman" w:cs="Times New Roman"/>
            <w:noProof/>
          </w:rPr>
          <w:t>Figure 23: Mobile connections by generation</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_Toc103950897 \h </w:instrText>
        </w:r>
        <w:r w:rsidR="00CF5B50" w:rsidRPr="00FA29A5">
          <w:rPr>
            <w:noProof/>
            <w:webHidden/>
          </w:rPr>
        </w:r>
        <w:r w:rsidR="00CF5B50" w:rsidRPr="00FA29A5">
          <w:rPr>
            <w:noProof/>
            <w:webHidden/>
          </w:rPr>
          <w:fldChar w:fldCharType="separate"/>
        </w:r>
        <w:r w:rsidR="00C73FE1">
          <w:rPr>
            <w:noProof/>
            <w:webHidden/>
          </w:rPr>
          <w:t>40</w:t>
        </w:r>
        <w:r w:rsidR="00CF5B50" w:rsidRPr="00FA29A5">
          <w:rPr>
            <w:noProof/>
            <w:webHidden/>
          </w:rPr>
          <w:fldChar w:fldCharType="end"/>
        </w:r>
      </w:hyperlink>
    </w:p>
    <w:p w14:paraId="276891C8" w14:textId="31F5B519" w:rsidR="00CF5B50" w:rsidRPr="00FA29A5" w:rsidRDefault="00CF49A0">
      <w:pPr>
        <w:pStyle w:val="TableofFigures"/>
        <w:tabs>
          <w:tab w:val="right" w:leader="dot" w:pos="9350"/>
        </w:tabs>
        <w:rPr>
          <w:rFonts w:eastAsiaTheme="minorEastAsia"/>
          <w:noProof/>
        </w:rPr>
      </w:pPr>
      <w:hyperlink w:anchor="_Toc103950898" w:history="1">
        <w:r w:rsidR="00CF5B50" w:rsidRPr="00FA29A5">
          <w:rPr>
            <w:rStyle w:val="Hyperlink"/>
            <w:rFonts w:ascii="Times New Roman" w:hAnsi="Times New Roman" w:cs="Times New Roman"/>
            <w:noProof/>
          </w:rPr>
          <w:t>Figure 24: Network availability and penetration</w:t>
        </w:r>
        <w:r w:rsidR="00CF5B50" w:rsidRPr="00FA29A5">
          <w:rPr>
            <w:noProof/>
            <w:webHidden/>
          </w:rPr>
          <w:tab/>
        </w:r>
        <w:r w:rsidR="00CF5B50" w:rsidRPr="00FA29A5">
          <w:rPr>
            <w:noProof/>
            <w:webHidden/>
          </w:rPr>
          <w:fldChar w:fldCharType="begin"/>
        </w:r>
        <w:r w:rsidR="00CF5B50" w:rsidRPr="00FA29A5">
          <w:rPr>
            <w:noProof/>
            <w:webHidden/>
          </w:rPr>
          <w:instrText xml:space="preserve"> PAGEREF _Toc103950898 \h </w:instrText>
        </w:r>
        <w:r w:rsidR="00CF5B50" w:rsidRPr="00FA29A5">
          <w:rPr>
            <w:noProof/>
            <w:webHidden/>
          </w:rPr>
        </w:r>
        <w:r w:rsidR="00CF5B50" w:rsidRPr="00FA29A5">
          <w:rPr>
            <w:noProof/>
            <w:webHidden/>
          </w:rPr>
          <w:fldChar w:fldCharType="separate"/>
        </w:r>
        <w:r w:rsidR="00C73FE1">
          <w:rPr>
            <w:noProof/>
            <w:webHidden/>
          </w:rPr>
          <w:t>40</w:t>
        </w:r>
        <w:r w:rsidR="00CF5B50" w:rsidRPr="00FA29A5">
          <w:rPr>
            <w:noProof/>
            <w:webHidden/>
          </w:rPr>
          <w:fldChar w:fldCharType="end"/>
        </w:r>
      </w:hyperlink>
    </w:p>
    <w:p w14:paraId="1D4745FE" w14:textId="1BE12C48" w:rsidR="00AB3900" w:rsidRPr="00907F0B" w:rsidRDefault="00877EA9" w:rsidP="00C45DA7">
      <w:pPr>
        <w:pStyle w:val="TableofFigures"/>
        <w:tabs>
          <w:tab w:val="right" w:leader="dot" w:pos="9350"/>
        </w:tabs>
        <w:rPr>
          <w:rFonts w:ascii="Times New Roman" w:eastAsiaTheme="minorEastAsia" w:hAnsi="Times New Roman" w:cs="Times New Roman"/>
          <w:noProof/>
          <w:lang w:val="es-BO" w:eastAsia="es-BO"/>
        </w:rPr>
      </w:pPr>
      <w:r w:rsidRPr="00866641">
        <w:rPr>
          <w:rFonts w:ascii="Times New Roman" w:hAnsi="Times New Roman" w:cs="Times New Roman"/>
        </w:rPr>
        <w:fldChar w:fldCharType="end"/>
      </w:r>
      <w:bookmarkStart w:id="12" w:name="_Toc66453790"/>
      <w:bookmarkStart w:id="13" w:name="_Toc70346639"/>
    </w:p>
    <w:p w14:paraId="45A6F79F" w14:textId="10D5359C" w:rsidR="00C406FB" w:rsidRPr="00B87C41" w:rsidRDefault="00907F0B">
      <w:pPr>
        <w:pStyle w:val="TableofFigures"/>
        <w:tabs>
          <w:tab w:val="right" w:leader="dot" w:pos="9350"/>
        </w:tabs>
        <w:rPr>
          <w:rFonts w:ascii="Times New Roman" w:eastAsiaTheme="minorEastAsia" w:hAnsi="Times New Roman" w:cs="Times New Roman"/>
          <w:noProof/>
        </w:rPr>
      </w:pPr>
      <w:r w:rsidRPr="00A27DC3">
        <w:rPr>
          <w:rFonts w:ascii="Times New Roman" w:hAnsi="Times New Roman" w:cs="Times New Roman"/>
          <w:b/>
          <w:bCs/>
        </w:rPr>
        <w:fldChar w:fldCharType="begin"/>
      </w:r>
      <w:r w:rsidRPr="00A27DC3">
        <w:rPr>
          <w:rFonts w:ascii="Times New Roman" w:hAnsi="Times New Roman" w:cs="Times New Roman"/>
          <w:b/>
          <w:bCs/>
        </w:rPr>
        <w:instrText xml:space="preserve"> TOC \h \z \c "Box" </w:instrText>
      </w:r>
      <w:r w:rsidRPr="00A27DC3">
        <w:rPr>
          <w:rFonts w:ascii="Times New Roman" w:hAnsi="Times New Roman" w:cs="Times New Roman"/>
          <w:b/>
          <w:bCs/>
        </w:rPr>
        <w:fldChar w:fldCharType="separate"/>
      </w:r>
      <w:hyperlink w:anchor="_Toc103808293" w:history="1">
        <w:r w:rsidR="00C406FB" w:rsidRPr="00B87C41">
          <w:rPr>
            <w:rStyle w:val="Hyperlink"/>
            <w:rFonts w:ascii="Times New Roman" w:hAnsi="Times New Roman" w:cs="Times New Roman"/>
            <w:noProof/>
          </w:rPr>
          <w:t>Box 1:The COVID-19 Pandemic in Cabo Verde</w:t>
        </w:r>
        <w:r w:rsidR="00C406FB" w:rsidRPr="00B87C41">
          <w:rPr>
            <w:rFonts w:ascii="Times New Roman" w:hAnsi="Times New Roman" w:cs="Times New Roman"/>
            <w:noProof/>
            <w:webHidden/>
          </w:rPr>
          <w:tab/>
        </w:r>
        <w:r w:rsidR="00C406FB" w:rsidRPr="00B87C41">
          <w:rPr>
            <w:rFonts w:ascii="Times New Roman" w:hAnsi="Times New Roman" w:cs="Times New Roman"/>
            <w:noProof/>
            <w:webHidden/>
          </w:rPr>
          <w:fldChar w:fldCharType="begin"/>
        </w:r>
        <w:r w:rsidR="00C406FB" w:rsidRPr="00B87C41">
          <w:rPr>
            <w:rFonts w:ascii="Times New Roman" w:hAnsi="Times New Roman" w:cs="Times New Roman"/>
            <w:noProof/>
            <w:webHidden/>
          </w:rPr>
          <w:instrText xml:space="preserve"> PAGEREF _Toc103808293 \h </w:instrText>
        </w:r>
        <w:r w:rsidR="00C406FB" w:rsidRPr="00B87C41">
          <w:rPr>
            <w:rFonts w:ascii="Times New Roman" w:hAnsi="Times New Roman" w:cs="Times New Roman"/>
            <w:noProof/>
            <w:webHidden/>
          </w:rPr>
        </w:r>
        <w:r w:rsidR="00C406FB" w:rsidRPr="00B87C41">
          <w:rPr>
            <w:rFonts w:ascii="Times New Roman" w:hAnsi="Times New Roman" w:cs="Times New Roman"/>
            <w:noProof/>
            <w:webHidden/>
          </w:rPr>
          <w:fldChar w:fldCharType="separate"/>
        </w:r>
        <w:r w:rsidR="00C73FE1">
          <w:rPr>
            <w:rFonts w:ascii="Times New Roman" w:hAnsi="Times New Roman" w:cs="Times New Roman"/>
            <w:noProof/>
            <w:webHidden/>
          </w:rPr>
          <w:t>14</w:t>
        </w:r>
        <w:r w:rsidR="00C406FB" w:rsidRPr="00B87C41">
          <w:rPr>
            <w:rFonts w:ascii="Times New Roman" w:hAnsi="Times New Roman" w:cs="Times New Roman"/>
            <w:noProof/>
            <w:webHidden/>
          </w:rPr>
          <w:fldChar w:fldCharType="end"/>
        </w:r>
      </w:hyperlink>
    </w:p>
    <w:p w14:paraId="3176600F" w14:textId="7E42B23D" w:rsidR="00C406FB" w:rsidRPr="00B87C41" w:rsidRDefault="00CF49A0">
      <w:pPr>
        <w:pStyle w:val="TableofFigures"/>
        <w:tabs>
          <w:tab w:val="right" w:leader="dot" w:pos="9350"/>
        </w:tabs>
        <w:rPr>
          <w:rFonts w:ascii="Times New Roman" w:eastAsiaTheme="minorEastAsia" w:hAnsi="Times New Roman" w:cs="Times New Roman"/>
          <w:noProof/>
        </w:rPr>
      </w:pPr>
      <w:hyperlink w:anchor="_Toc103808294" w:history="1">
        <w:r w:rsidR="00C406FB" w:rsidRPr="00B87C41">
          <w:rPr>
            <w:rStyle w:val="Hyperlink"/>
            <w:rFonts w:ascii="Times New Roman" w:hAnsi="Times New Roman" w:cs="Times New Roman"/>
            <w:noProof/>
          </w:rPr>
          <w:t>Box 2: The Reversal of the Privatization of CVA</w:t>
        </w:r>
        <w:r w:rsidR="00C406FB" w:rsidRPr="00B87C41">
          <w:rPr>
            <w:rFonts w:ascii="Times New Roman" w:hAnsi="Times New Roman" w:cs="Times New Roman"/>
            <w:noProof/>
            <w:webHidden/>
          </w:rPr>
          <w:tab/>
        </w:r>
        <w:r w:rsidR="00C406FB" w:rsidRPr="00B87C41">
          <w:rPr>
            <w:rFonts w:ascii="Times New Roman" w:hAnsi="Times New Roman" w:cs="Times New Roman"/>
            <w:noProof/>
            <w:webHidden/>
          </w:rPr>
          <w:fldChar w:fldCharType="begin"/>
        </w:r>
        <w:r w:rsidR="00C406FB" w:rsidRPr="00B87C41">
          <w:rPr>
            <w:rFonts w:ascii="Times New Roman" w:hAnsi="Times New Roman" w:cs="Times New Roman"/>
            <w:noProof/>
            <w:webHidden/>
          </w:rPr>
          <w:instrText xml:space="preserve"> PAGEREF _Toc103808294 \h </w:instrText>
        </w:r>
        <w:r w:rsidR="00C406FB" w:rsidRPr="00B87C41">
          <w:rPr>
            <w:rFonts w:ascii="Times New Roman" w:hAnsi="Times New Roman" w:cs="Times New Roman"/>
            <w:noProof/>
            <w:webHidden/>
          </w:rPr>
        </w:r>
        <w:r w:rsidR="00C406FB" w:rsidRPr="00B87C41">
          <w:rPr>
            <w:rFonts w:ascii="Times New Roman" w:hAnsi="Times New Roman" w:cs="Times New Roman"/>
            <w:noProof/>
            <w:webHidden/>
          </w:rPr>
          <w:fldChar w:fldCharType="separate"/>
        </w:r>
        <w:r w:rsidR="00C73FE1">
          <w:rPr>
            <w:rFonts w:ascii="Times New Roman" w:hAnsi="Times New Roman" w:cs="Times New Roman"/>
            <w:noProof/>
            <w:webHidden/>
          </w:rPr>
          <w:t>20</w:t>
        </w:r>
        <w:r w:rsidR="00C406FB" w:rsidRPr="00B87C41">
          <w:rPr>
            <w:rFonts w:ascii="Times New Roman" w:hAnsi="Times New Roman" w:cs="Times New Roman"/>
            <w:noProof/>
            <w:webHidden/>
          </w:rPr>
          <w:fldChar w:fldCharType="end"/>
        </w:r>
      </w:hyperlink>
    </w:p>
    <w:p w14:paraId="254FFC5D" w14:textId="685CC215" w:rsidR="00C406FB" w:rsidRDefault="00CF49A0">
      <w:pPr>
        <w:pStyle w:val="TableofFigures"/>
        <w:tabs>
          <w:tab w:val="right" w:leader="dot" w:pos="9350"/>
        </w:tabs>
        <w:rPr>
          <w:rFonts w:eastAsiaTheme="minorEastAsia"/>
          <w:noProof/>
        </w:rPr>
      </w:pPr>
      <w:hyperlink w:anchor="_Toc103808295" w:history="1">
        <w:r w:rsidR="00C406FB" w:rsidRPr="00B87C41">
          <w:rPr>
            <w:rStyle w:val="Hyperlink"/>
            <w:rFonts w:ascii="Times New Roman" w:hAnsi="Times New Roman" w:cs="Times New Roman"/>
            <w:noProof/>
          </w:rPr>
          <w:t>Box 3: Impact of the COVID-19 Crisis in the Tourism Sector</w:t>
        </w:r>
        <w:r w:rsidR="00C406FB" w:rsidRPr="00B87C41">
          <w:rPr>
            <w:rFonts w:ascii="Times New Roman" w:hAnsi="Times New Roman" w:cs="Times New Roman"/>
            <w:noProof/>
            <w:webHidden/>
          </w:rPr>
          <w:tab/>
        </w:r>
        <w:r w:rsidR="00C406FB" w:rsidRPr="00B87C41">
          <w:rPr>
            <w:rFonts w:ascii="Times New Roman" w:hAnsi="Times New Roman" w:cs="Times New Roman"/>
            <w:noProof/>
            <w:webHidden/>
          </w:rPr>
          <w:fldChar w:fldCharType="begin"/>
        </w:r>
        <w:r w:rsidR="00C406FB" w:rsidRPr="00B87C41">
          <w:rPr>
            <w:rFonts w:ascii="Times New Roman" w:hAnsi="Times New Roman" w:cs="Times New Roman"/>
            <w:noProof/>
            <w:webHidden/>
          </w:rPr>
          <w:instrText xml:space="preserve"> PAGEREF _Toc103808295 \h </w:instrText>
        </w:r>
        <w:r w:rsidR="00C406FB" w:rsidRPr="00B87C41">
          <w:rPr>
            <w:rFonts w:ascii="Times New Roman" w:hAnsi="Times New Roman" w:cs="Times New Roman"/>
            <w:noProof/>
            <w:webHidden/>
          </w:rPr>
        </w:r>
        <w:r w:rsidR="00C406FB" w:rsidRPr="00B87C41">
          <w:rPr>
            <w:rFonts w:ascii="Times New Roman" w:hAnsi="Times New Roman" w:cs="Times New Roman"/>
            <w:noProof/>
            <w:webHidden/>
          </w:rPr>
          <w:fldChar w:fldCharType="separate"/>
        </w:r>
        <w:r w:rsidR="00C73FE1">
          <w:rPr>
            <w:rFonts w:ascii="Times New Roman" w:hAnsi="Times New Roman" w:cs="Times New Roman"/>
            <w:noProof/>
            <w:webHidden/>
          </w:rPr>
          <w:t>23</w:t>
        </w:r>
        <w:r w:rsidR="00C406FB" w:rsidRPr="00B87C41">
          <w:rPr>
            <w:rFonts w:ascii="Times New Roman" w:hAnsi="Times New Roman" w:cs="Times New Roman"/>
            <w:noProof/>
            <w:webHidden/>
          </w:rPr>
          <w:fldChar w:fldCharType="end"/>
        </w:r>
      </w:hyperlink>
    </w:p>
    <w:p w14:paraId="541E91F5" w14:textId="0980D34C" w:rsidR="00907F0B" w:rsidRPr="00A27DC3" w:rsidRDefault="00907F0B" w:rsidP="00C45DA7">
      <w:pPr>
        <w:pStyle w:val="TableofFigures"/>
        <w:tabs>
          <w:tab w:val="right" w:leader="dot" w:pos="9350"/>
        </w:tabs>
        <w:rPr>
          <w:rFonts w:ascii="Times New Roman" w:hAnsi="Times New Roman" w:cs="Times New Roman"/>
          <w:b/>
          <w:bCs/>
        </w:rPr>
      </w:pPr>
      <w:r w:rsidRPr="00A27DC3">
        <w:rPr>
          <w:rFonts w:ascii="Times New Roman" w:hAnsi="Times New Roman" w:cs="Times New Roman"/>
          <w:b/>
          <w:bCs/>
        </w:rPr>
        <w:fldChar w:fldCharType="end"/>
      </w:r>
    </w:p>
    <w:p w14:paraId="219E52B4" w14:textId="7BEBDB7A" w:rsidR="00183F53" w:rsidRDefault="00183F53" w:rsidP="00183F53"/>
    <w:p w14:paraId="224FCC6F" w14:textId="6A629490" w:rsidR="00C406FB" w:rsidRDefault="00C406FB" w:rsidP="00183F53"/>
    <w:p w14:paraId="08906B0F" w14:textId="028F723F" w:rsidR="00AB3900" w:rsidRPr="00AB3900" w:rsidRDefault="00CF49A0" w:rsidP="00C45DA7">
      <w:pPr>
        <w:pStyle w:val="TableofFigures"/>
        <w:tabs>
          <w:tab w:val="right" w:leader="dot" w:pos="9350"/>
        </w:tabs>
      </w:pPr>
      <w:r>
        <w:fldChar w:fldCharType="begin"/>
      </w:r>
      <w:r>
        <w:instrText xml:space="preserve"> TOC \h \z \c "Figure 15. Use of internet in Cabo Verde" </w:instrText>
      </w:r>
      <w:r>
        <w:fldChar w:fldCharType="separate"/>
      </w:r>
      <w:r>
        <w:fldChar w:fldCharType="end"/>
      </w:r>
    </w:p>
    <w:p w14:paraId="29725190" w14:textId="4B1BD5B7" w:rsidR="00835012" w:rsidRPr="00857068" w:rsidRDefault="00835012" w:rsidP="00835012">
      <w:pPr>
        <w:keepNext/>
        <w:keepLines/>
        <w:spacing w:before="240" w:after="0"/>
        <w:outlineLvl w:val="0"/>
        <w:rPr>
          <w:rFonts w:ascii="Times New Roman" w:eastAsiaTheme="majorEastAsia" w:hAnsi="Times New Roman" w:cs="Times New Roman"/>
          <w:color w:val="2F5496" w:themeColor="accent1" w:themeShade="BF"/>
          <w:sz w:val="32"/>
          <w:szCs w:val="32"/>
        </w:rPr>
      </w:pPr>
      <w:bookmarkStart w:id="14" w:name="_Toc105592801"/>
      <w:r w:rsidRPr="00857068">
        <w:rPr>
          <w:rFonts w:ascii="Times New Roman" w:eastAsiaTheme="majorEastAsia" w:hAnsi="Times New Roman" w:cs="Times New Roman"/>
          <w:color w:val="2F5496" w:themeColor="accent1" w:themeShade="BF"/>
          <w:sz w:val="32"/>
          <w:szCs w:val="32"/>
        </w:rPr>
        <w:lastRenderedPageBreak/>
        <w:t>Acronyms and Abbreviations</w:t>
      </w:r>
      <w:bookmarkEnd w:id="12"/>
      <w:bookmarkEnd w:id="13"/>
      <w:bookmarkEnd w:id="14"/>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3690"/>
        <w:gridCol w:w="1080"/>
        <w:gridCol w:w="3420"/>
      </w:tblGrid>
      <w:tr w:rsidR="00C51057" w:rsidRPr="008B69E6" w14:paraId="34878694" w14:textId="77777777" w:rsidTr="00E73756">
        <w:trPr>
          <w:trHeight w:val="350"/>
          <w:jc w:val="center"/>
        </w:trPr>
        <w:tc>
          <w:tcPr>
            <w:tcW w:w="1165" w:type="dxa"/>
            <w:shd w:val="clear" w:color="auto" w:fill="auto"/>
            <w:vAlign w:val="center"/>
          </w:tcPr>
          <w:p w14:paraId="18CBD310" w14:textId="77777777" w:rsidR="00C51057" w:rsidRPr="008B69E6" w:rsidRDefault="00C51057" w:rsidP="00E73756">
            <w:pPr>
              <w:spacing w:after="0" w:line="240" w:lineRule="auto"/>
              <w:rPr>
                <w:rFonts w:ascii="Times New Roman" w:hAnsi="Times New Roman" w:cs="Times New Roman"/>
                <w:highlight w:val="yellow"/>
              </w:rPr>
            </w:pPr>
            <w:r w:rsidRPr="008B69E6">
              <w:rPr>
                <w:rFonts w:ascii="Times New Roman" w:hAnsi="Times New Roman" w:cs="Times New Roman"/>
              </w:rPr>
              <w:t>ARME</w:t>
            </w:r>
          </w:p>
        </w:tc>
        <w:tc>
          <w:tcPr>
            <w:tcW w:w="3690" w:type="dxa"/>
            <w:shd w:val="clear" w:color="auto" w:fill="auto"/>
            <w:vAlign w:val="center"/>
          </w:tcPr>
          <w:p w14:paraId="5E6CC3CF" w14:textId="77777777" w:rsidR="00C51057" w:rsidRPr="008B69E6" w:rsidRDefault="00C51057" w:rsidP="00E73756">
            <w:pPr>
              <w:spacing w:after="0" w:line="240" w:lineRule="auto"/>
              <w:rPr>
                <w:rFonts w:ascii="Times New Roman" w:eastAsia="Times New Roman" w:hAnsi="Times New Roman" w:cs="Times New Roman"/>
                <w:bCs/>
                <w:color w:val="000000"/>
                <w:highlight w:val="yellow"/>
                <w:lang w:val="pt-PT"/>
              </w:rPr>
            </w:pPr>
            <w:r w:rsidRPr="008B69E6">
              <w:rPr>
                <w:rFonts w:ascii="Times New Roman" w:eastAsia="Times New Roman" w:hAnsi="Times New Roman" w:cs="Times New Roman"/>
                <w:bCs/>
                <w:color w:val="000000"/>
                <w:lang w:val="pt-PT"/>
              </w:rPr>
              <w:t>Agência de Regulação Multissectorial da Economia</w:t>
            </w:r>
          </w:p>
        </w:tc>
        <w:tc>
          <w:tcPr>
            <w:tcW w:w="1080" w:type="dxa"/>
            <w:shd w:val="clear" w:color="auto" w:fill="auto"/>
            <w:vAlign w:val="center"/>
          </w:tcPr>
          <w:p w14:paraId="0DA0C27B"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IMF</w:t>
            </w:r>
          </w:p>
        </w:tc>
        <w:tc>
          <w:tcPr>
            <w:tcW w:w="3420" w:type="dxa"/>
            <w:shd w:val="clear" w:color="auto" w:fill="auto"/>
            <w:vAlign w:val="center"/>
          </w:tcPr>
          <w:p w14:paraId="6B5199D6"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International Monetary Fund</w:t>
            </w:r>
          </w:p>
        </w:tc>
      </w:tr>
      <w:tr w:rsidR="00C51057" w:rsidRPr="008B69E6" w14:paraId="621A0AB3" w14:textId="77777777" w:rsidTr="00E73756">
        <w:trPr>
          <w:trHeight w:val="282"/>
          <w:jc w:val="center"/>
        </w:trPr>
        <w:tc>
          <w:tcPr>
            <w:tcW w:w="1165" w:type="dxa"/>
            <w:shd w:val="clear" w:color="auto" w:fill="auto"/>
            <w:vAlign w:val="center"/>
          </w:tcPr>
          <w:p w14:paraId="4E429B87" w14:textId="77777777" w:rsidR="00C51057" w:rsidRPr="008B69E6" w:rsidRDefault="00C51057" w:rsidP="00E73756">
            <w:pPr>
              <w:spacing w:after="0" w:line="240" w:lineRule="auto"/>
              <w:rPr>
                <w:rFonts w:ascii="Times New Roman" w:hAnsi="Times New Roman" w:cs="Times New Roman"/>
                <w:highlight w:val="yellow"/>
              </w:rPr>
            </w:pPr>
            <w:r w:rsidRPr="008B69E6">
              <w:rPr>
                <w:rFonts w:ascii="Times New Roman" w:hAnsi="Times New Roman" w:cs="Times New Roman"/>
              </w:rPr>
              <w:t>ASA</w:t>
            </w:r>
          </w:p>
        </w:tc>
        <w:tc>
          <w:tcPr>
            <w:tcW w:w="3690" w:type="dxa"/>
            <w:shd w:val="clear" w:color="auto" w:fill="auto"/>
            <w:vAlign w:val="center"/>
          </w:tcPr>
          <w:p w14:paraId="6C5579FC" w14:textId="77777777" w:rsidR="00C51057" w:rsidRPr="008B69E6" w:rsidRDefault="00C51057" w:rsidP="00E73756">
            <w:pPr>
              <w:spacing w:after="0" w:line="240" w:lineRule="auto"/>
              <w:rPr>
                <w:rFonts w:ascii="Times New Roman" w:eastAsia="Times New Roman" w:hAnsi="Times New Roman" w:cs="Times New Roman"/>
                <w:bCs/>
                <w:color w:val="000000"/>
                <w:highlight w:val="yellow"/>
                <w:lang w:val="pt-PT"/>
              </w:rPr>
            </w:pPr>
            <w:r w:rsidRPr="008B69E6">
              <w:rPr>
                <w:rFonts w:ascii="Times New Roman" w:eastAsia="Times New Roman" w:hAnsi="Times New Roman" w:cs="Times New Roman"/>
                <w:bCs/>
                <w:color w:val="000000"/>
                <w:lang w:val="pt-PT"/>
              </w:rPr>
              <w:t>Aeroportos e Segurança Aérea</w:t>
            </w:r>
            <w:r w:rsidRPr="008B69E6">
              <w:rPr>
                <w:rFonts w:ascii="Times New Roman" w:eastAsia="Times New Roman" w:hAnsi="Times New Roman" w:cs="Times New Roman"/>
                <w:bCs/>
                <w:color w:val="000000"/>
                <w:highlight w:val="yellow"/>
                <w:lang w:val="pt-PT"/>
              </w:rPr>
              <w:t xml:space="preserve"> </w:t>
            </w:r>
          </w:p>
        </w:tc>
        <w:tc>
          <w:tcPr>
            <w:tcW w:w="1080" w:type="dxa"/>
            <w:shd w:val="clear" w:color="auto" w:fill="auto"/>
          </w:tcPr>
          <w:p w14:paraId="2635A0A0"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ISP</w:t>
            </w:r>
          </w:p>
        </w:tc>
        <w:tc>
          <w:tcPr>
            <w:tcW w:w="3420" w:type="dxa"/>
            <w:shd w:val="clear" w:color="auto" w:fill="auto"/>
          </w:tcPr>
          <w:p w14:paraId="725FD923"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Internet Service Provider</w:t>
            </w:r>
          </w:p>
        </w:tc>
      </w:tr>
      <w:tr w:rsidR="00C51057" w:rsidRPr="008B69E6" w14:paraId="41B8D412" w14:textId="77777777" w:rsidTr="00E73756">
        <w:trPr>
          <w:trHeight w:val="282"/>
          <w:jc w:val="center"/>
        </w:trPr>
        <w:tc>
          <w:tcPr>
            <w:tcW w:w="1165" w:type="dxa"/>
            <w:shd w:val="clear" w:color="auto" w:fill="auto"/>
            <w:vAlign w:val="center"/>
          </w:tcPr>
          <w:p w14:paraId="1C195FF4"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BCV</w:t>
            </w:r>
          </w:p>
        </w:tc>
        <w:tc>
          <w:tcPr>
            <w:tcW w:w="3690" w:type="dxa"/>
            <w:shd w:val="clear" w:color="auto" w:fill="auto"/>
            <w:vAlign w:val="center"/>
          </w:tcPr>
          <w:p w14:paraId="1482CED6" w14:textId="77777777" w:rsidR="00C51057" w:rsidRPr="008B69E6" w:rsidRDefault="00C51057" w:rsidP="00E73756">
            <w:pPr>
              <w:spacing w:after="0" w:line="240" w:lineRule="auto"/>
              <w:rPr>
                <w:rFonts w:ascii="Times New Roman" w:eastAsia="Times New Roman" w:hAnsi="Times New Roman" w:cs="Times New Roman"/>
                <w:bCs/>
                <w:color w:val="000000"/>
                <w:highlight w:val="yellow"/>
                <w:lang w:val="pt-PT"/>
              </w:rPr>
            </w:pPr>
            <w:r w:rsidRPr="008B69E6">
              <w:rPr>
                <w:rFonts w:ascii="Times New Roman" w:eastAsia="Times New Roman" w:hAnsi="Times New Roman" w:cs="Times New Roman"/>
                <w:bCs/>
                <w:color w:val="000000"/>
                <w:lang w:val="pt-PT"/>
              </w:rPr>
              <w:t>Banco de Cabo Verde</w:t>
            </w:r>
          </w:p>
        </w:tc>
        <w:tc>
          <w:tcPr>
            <w:tcW w:w="1080" w:type="dxa"/>
            <w:shd w:val="clear" w:color="auto" w:fill="auto"/>
          </w:tcPr>
          <w:p w14:paraId="7945AE3F"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ITU</w:t>
            </w:r>
          </w:p>
        </w:tc>
        <w:tc>
          <w:tcPr>
            <w:tcW w:w="3420" w:type="dxa"/>
            <w:shd w:val="clear" w:color="auto" w:fill="auto"/>
          </w:tcPr>
          <w:p w14:paraId="013AA42C"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International Telecommunication Unit</w:t>
            </w:r>
          </w:p>
        </w:tc>
      </w:tr>
      <w:tr w:rsidR="00C51057" w:rsidRPr="0033433C" w14:paraId="4DB8925C" w14:textId="77777777" w:rsidTr="00E73756">
        <w:trPr>
          <w:trHeight w:val="282"/>
          <w:jc w:val="center"/>
        </w:trPr>
        <w:tc>
          <w:tcPr>
            <w:tcW w:w="1165" w:type="dxa"/>
            <w:shd w:val="clear" w:color="auto" w:fill="auto"/>
            <w:vAlign w:val="center"/>
          </w:tcPr>
          <w:p w14:paraId="6AAC9732"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CAD</w:t>
            </w:r>
          </w:p>
        </w:tc>
        <w:tc>
          <w:tcPr>
            <w:tcW w:w="3690" w:type="dxa"/>
            <w:shd w:val="clear" w:color="auto" w:fill="auto"/>
            <w:vAlign w:val="center"/>
          </w:tcPr>
          <w:p w14:paraId="7A314A9A" w14:textId="77777777" w:rsidR="00C51057" w:rsidRPr="008B69E6" w:rsidRDefault="00C51057" w:rsidP="00E73756">
            <w:pPr>
              <w:spacing w:after="0" w:line="240" w:lineRule="auto"/>
              <w:rPr>
                <w:rFonts w:ascii="Times New Roman" w:eastAsia="Times New Roman" w:hAnsi="Times New Roman" w:cs="Times New Roman"/>
                <w:bCs/>
                <w:color w:val="000000"/>
                <w:highlight w:val="yellow"/>
                <w:lang w:val="pt-PT"/>
              </w:rPr>
            </w:pPr>
            <w:r w:rsidRPr="008B69E6">
              <w:rPr>
                <w:rFonts w:ascii="Times New Roman" w:eastAsia="Times New Roman" w:hAnsi="Times New Roman" w:cs="Times New Roman"/>
                <w:bCs/>
                <w:color w:val="000000"/>
                <w:lang w:val="pt-PT"/>
              </w:rPr>
              <w:t>Current Account Deficit</w:t>
            </w:r>
          </w:p>
        </w:tc>
        <w:tc>
          <w:tcPr>
            <w:tcW w:w="1080" w:type="dxa"/>
            <w:shd w:val="clear" w:color="auto" w:fill="auto"/>
          </w:tcPr>
          <w:p w14:paraId="5007F64C"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JUCE</w:t>
            </w:r>
          </w:p>
        </w:tc>
        <w:tc>
          <w:tcPr>
            <w:tcW w:w="3420" w:type="dxa"/>
            <w:shd w:val="clear" w:color="auto" w:fill="auto"/>
          </w:tcPr>
          <w:p w14:paraId="5C80A14B"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Janela Única de Comércio Externo</w:t>
            </w:r>
          </w:p>
        </w:tc>
      </w:tr>
      <w:tr w:rsidR="00C51057" w:rsidRPr="008B69E6" w14:paraId="19C13287" w14:textId="77777777" w:rsidTr="00E73756">
        <w:trPr>
          <w:trHeight w:val="282"/>
          <w:jc w:val="center"/>
        </w:trPr>
        <w:tc>
          <w:tcPr>
            <w:tcW w:w="1165" w:type="dxa"/>
            <w:shd w:val="clear" w:color="auto" w:fill="auto"/>
            <w:vAlign w:val="center"/>
          </w:tcPr>
          <w:p w14:paraId="3CD3C4A4"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CNPD</w:t>
            </w:r>
          </w:p>
        </w:tc>
        <w:tc>
          <w:tcPr>
            <w:tcW w:w="3690" w:type="dxa"/>
            <w:shd w:val="clear" w:color="auto" w:fill="auto"/>
            <w:vAlign w:val="center"/>
          </w:tcPr>
          <w:p w14:paraId="232B8CAA"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Centro Nacional de Proteção de Dados</w:t>
            </w:r>
          </w:p>
        </w:tc>
        <w:tc>
          <w:tcPr>
            <w:tcW w:w="1080" w:type="dxa"/>
            <w:shd w:val="clear" w:color="auto" w:fill="auto"/>
          </w:tcPr>
          <w:p w14:paraId="58C01B5D"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LTE</w:t>
            </w:r>
          </w:p>
        </w:tc>
        <w:tc>
          <w:tcPr>
            <w:tcW w:w="3420" w:type="dxa"/>
            <w:shd w:val="clear" w:color="auto" w:fill="auto"/>
          </w:tcPr>
          <w:p w14:paraId="5CE6B52C"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Long-Term Evolution</w:t>
            </w:r>
          </w:p>
        </w:tc>
      </w:tr>
      <w:tr w:rsidR="00C51057" w:rsidRPr="008B69E6" w14:paraId="135C01B8" w14:textId="77777777" w:rsidTr="00E73756">
        <w:trPr>
          <w:trHeight w:val="282"/>
          <w:jc w:val="center"/>
        </w:trPr>
        <w:tc>
          <w:tcPr>
            <w:tcW w:w="1165" w:type="dxa"/>
            <w:shd w:val="clear" w:color="auto" w:fill="auto"/>
            <w:vAlign w:val="center"/>
          </w:tcPr>
          <w:p w14:paraId="23BC1AD8"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CPI</w:t>
            </w:r>
          </w:p>
        </w:tc>
        <w:tc>
          <w:tcPr>
            <w:tcW w:w="3690" w:type="dxa"/>
            <w:shd w:val="clear" w:color="auto" w:fill="auto"/>
            <w:vAlign w:val="center"/>
          </w:tcPr>
          <w:p w14:paraId="025E93FC" w14:textId="77777777" w:rsidR="00C51057" w:rsidRPr="008B69E6" w:rsidRDefault="00C51057" w:rsidP="00E73756">
            <w:pPr>
              <w:spacing w:after="0" w:line="240" w:lineRule="auto"/>
              <w:rPr>
                <w:rFonts w:ascii="Times New Roman" w:eastAsia="Times New Roman" w:hAnsi="Times New Roman" w:cs="Times New Roman"/>
                <w:bCs/>
                <w:color w:val="000000"/>
                <w:highlight w:val="yellow"/>
                <w:lang w:val="pt-PT"/>
              </w:rPr>
            </w:pPr>
            <w:r w:rsidRPr="008B69E6">
              <w:rPr>
                <w:rFonts w:ascii="Times New Roman" w:eastAsia="Times New Roman" w:hAnsi="Times New Roman" w:cs="Times New Roman"/>
                <w:bCs/>
                <w:color w:val="000000"/>
                <w:lang w:val="pt-PT"/>
              </w:rPr>
              <w:t>Consumer Price Index</w:t>
            </w:r>
          </w:p>
        </w:tc>
        <w:tc>
          <w:tcPr>
            <w:tcW w:w="1080" w:type="dxa"/>
            <w:shd w:val="clear" w:color="auto" w:fill="auto"/>
          </w:tcPr>
          <w:p w14:paraId="015FD0EA"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NRI</w:t>
            </w:r>
          </w:p>
        </w:tc>
        <w:tc>
          <w:tcPr>
            <w:tcW w:w="3420" w:type="dxa"/>
            <w:shd w:val="clear" w:color="auto" w:fill="auto"/>
          </w:tcPr>
          <w:p w14:paraId="53DE547C"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Network Readiness Index</w:t>
            </w:r>
          </w:p>
        </w:tc>
      </w:tr>
      <w:tr w:rsidR="00C51057" w:rsidRPr="008B69E6" w14:paraId="2C57009D" w14:textId="77777777" w:rsidTr="00E73756">
        <w:trPr>
          <w:trHeight w:val="282"/>
          <w:jc w:val="center"/>
        </w:trPr>
        <w:tc>
          <w:tcPr>
            <w:tcW w:w="1165" w:type="dxa"/>
            <w:shd w:val="clear" w:color="auto" w:fill="auto"/>
            <w:vAlign w:val="center"/>
          </w:tcPr>
          <w:p w14:paraId="4BBAAD0F"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CPLP</w:t>
            </w:r>
          </w:p>
        </w:tc>
        <w:tc>
          <w:tcPr>
            <w:tcW w:w="3690" w:type="dxa"/>
            <w:shd w:val="clear" w:color="auto" w:fill="auto"/>
            <w:vAlign w:val="center"/>
          </w:tcPr>
          <w:p w14:paraId="538E01A6" w14:textId="77777777" w:rsidR="00C51057" w:rsidRPr="008B69E6" w:rsidRDefault="00C51057" w:rsidP="00E73756">
            <w:pPr>
              <w:spacing w:after="0" w:line="240" w:lineRule="auto"/>
              <w:rPr>
                <w:rFonts w:ascii="Times New Roman" w:eastAsia="Times New Roman" w:hAnsi="Times New Roman" w:cs="Times New Roman"/>
                <w:bCs/>
                <w:color w:val="000000"/>
                <w:highlight w:val="yellow"/>
              </w:rPr>
            </w:pPr>
            <w:r w:rsidRPr="008B69E6">
              <w:rPr>
                <w:rFonts w:ascii="Times New Roman" w:eastAsia="Times New Roman" w:hAnsi="Times New Roman" w:cs="Times New Roman"/>
                <w:bCs/>
                <w:color w:val="000000"/>
              </w:rPr>
              <w:t>Community of Portuguese-Speaking Countries</w:t>
            </w:r>
          </w:p>
        </w:tc>
        <w:tc>
          <w:tcPr>
            <w:tcW w:w="1080" w:type="dxa"/>
            <w:shd w:val="clear" w:color="auto" w:fill="auto"/>
          </w:tcPr>
          <w:p w14:paraId="09E2180C"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NOSi</w:t>
            </w:r>
          </w:p>
        </w:tc>
        <w:tc>
          <w:tcPr>
            <w:tcW w:w="3420" w:type="dxa"/>
            <w:shd w:val="clear" w:color="auto" w:fill="auto"/>
          </w:tcPr>
          <w:p w14:paraId="41C13690"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Public Agency for Information Technology</w:t>
            </w:r>
          </w:p>
        </w:tc>
      </w:tr>
      <w:tr w:rsidR="00C51057" w:rsidRPr="008B69E6" w14:paraId="72DC9984" w14:textId="77777777" w:rsidTr="00E73756">
        <w:trPr>
          <w:trHeight w:val="282"/>
          <w:jc w:val="center"/>
        </w:trPr>
        <w:tc>
          <w:tcPr>
            <w:tcW w:w="1165" w:type="dxa"/>
            <w:shd w:val="clear" w:color="auto" w:fill="auto"/>
            <w:vAlign w:val="center"/>
          </w:tcPr>
          <w:p w14:paraId="20BF59C2"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CSIRT</w:t>
            </w:r>
          </w:p>
        </w:tc>
        <w:tc>
          <w:tcPr>
            <w:tcW w:w="3690" w:type="dxa"/>
            <w:shd w:val="clear" w:color="auto" w:fill="auto"/>
            <w:vAlign w:val="center"/>
          </w:tcPr>
          <w:p w14:paraId="67E32F55"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Computer Security Incident Response Team</w:t>
            </w:r>
          </w:p>
        </w:tc>
        <w:tc>
          <w:tcPr>
            <w:tcW w:w="1080" w:type="dxa"/>
            <w:shd w:val="clear" w:color="auto" w:fill="auto"/>
          </w:tcPr>
          <w:p w14:paraId="119BB124"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OCWAR-C</w:t>
            </w:r>
          </w:p>
        </w:tc>
        <w:tc>
          <w:tcPr>
            <w:tcW w:w="3420" w:type="dxa"/>
            <w:shd w:val="clear" w:color="auto" w:fill="auto"/>
          </w:tcPr>
          <w:p w14:paraId="1CE75CB7"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West African Response on Cybersecurity and Fight against Cybercrime</w:t>
            </w:r>
          </w:p>
        </w:tc>
      </w:tr>
      <w:tr w:rsidR="00C51057" w:rsidRPr="008B69E6" w14:paraId="33711117" w14:textId="77777777" w:rsidTr="00E73756">
        <w:trPr>
          <w:trHeight w:val="282"/>
          <w:jc w:val="center"/>
        </w:trPr>
        <w:tc>
          <w:tcPr>
            <w:tcW w:w="1165" w:type="dxa"/>
            <w:shd w:val="clear" w:color="auto" w:fill="auto"/>
            <w:vAlign w:val="center"/>
          </w:tcPr>
          <w:p w14:paraId="13FA5045"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CVA</w:t>
            </w:r>
          </w:p>
        </w:tc>
        <w:tc>
          <w:tcPr>
            <w:tcW w:w="3690" w:type="dxa"/>
            <w:shd w:val="clear" w:color="auto" w:fill="auto"/>
            <w:vAlign w:val="center"/>
          </w:tcPr>
          <w:p w14:paraId="04E62F87"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Cabo Verde Airlines</w:t>
            </w:r>
          </w:p>
        </w:tc>
        <w:tc>
          <w:tcPr>
            <w:tcW w:w="1080" w:type="dxa"/>
            <w:shd w:val="clear" w:color="auto" w:fill="auto"/>
          </w:tcPr>
          <w:p w14:paraId="0DB9F3F6"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PDE</w:t>
            </w:r>
          </w:p>
        </w:tc>
        <w:tc>
          <w:tcPr>
            <w:tcW w:w="3420" w:type="dxa"/>
            <w:shd w:val="clear" w:color="auto" w:fill="auto"/>
          </w:tcPr>
          <w:p w14:paraId="31D0D466"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Platform for Data Exchange</w:t>
            </w:r>
          </w:p>
        </w:tc>
      </w:tr>
      <w:tr w:rsidR="00C51057" w:rsidRPr="008B69E6" w14:paraId="5E15153C" w14:textId="77777777" w:rsidTr="00E73756">
        <w:trPr>
          <w:trHeight w:val="282"/>
          <w:jc w:val="center"/>
        </w:trPr>
        <w:tc>
          <w:tcPr>
            <w:tcW w:w="1165" w:type="dxa"/>
            <w:shd w:val="clear" w:color="auto" w:fill="auto"/>
            <w:vAlign w:val="center"/>
          </w:tcPr>
          <w:p w14:paraId="13A97680"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CVD</w:t>
            </w:r>
          </w:p>
        </w:tc>
        <w:tc>
          <w:tcPr>
            <w:tcW w:w="3690" w:type="dxa"/>
            <w:shd w:val="clear" w:color="auto" w:fill="auto"/>
            <w:vAlign w:val="center"/>
          </w:tcPr>
          <w:p w14:paraId="6733C97D"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Cabo Verde Digital</w:t>
            </w:r>
          </w:p>
        </w:tc>
        <w:tc>
          <w:tcPr>
            <w:tcW w:w="1080" w:type="dxa"/>
            <w:shd w:val="clear" w:color="auto" w:fill="auto"/>
          </w:tcPr>
          <w:p w14:paraId="48C5BB11"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PEACE</w:t>
            </w:r>
          </w:p>
        </w:tc>
        <w:tc>
          <w:tcPr>
            <w:tcW w:w="3420" w:type="dxa"/>
            <w:shd w:val="clear" w:color="auto" w:fill="auto"/>
          </w:tcPr>
          <w:p w14:paraId="64A66246"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Pakistan and East Africa Connecting Europe</w:t>
            </w:r>
          </w:p>
        </w:tc>
      </w:tr>
      <w:tr w:rsidR="00C51057" w:rsidRPr="008B69E6" w14:paraId="199170FA" w14:textId="77777777" w:rsidTr="00E73756">
        <w:trPr>
          <w:trHeight w:val="282"/>
          <w:jc w:val="center"/>
        </w:trPr>
        <w:tc>
          <w:tcPr>
            <w:tcW w:w="1165" w:type="dxa"/>
            <w:shd w:val="clear" w:color="auto" w:fill="auto"/>
            <w:vAlign w:val="center"/>
          </w:tcPr>
          <w:p w14:paraId="69DC77A9" w14:textId="77777777" w:rsidR="00C51057" w:rsidRPr="008B69E6" w:rsidRDefault="00C51057" w:rsidP="00E73756">
            <w:pPr>
              <w:spacing w:after="0" w:line="240" w:lineRule="auto"/>
              <w:rPr>
                <w:rFonts w:ascii="Times New Roman" w:eastAsia="Times New Roman" w:hAnsi="Times New Roman" w:cs="Times New Roman"/>
                <w:color w:val="000000"/>
                <w:lang w:val="pt-PT"/>
              </w:rPr>
            </w:pPr>
            <w:bookmarkStart w:id="15" w:name="_Hlk97586801"/>
            <w:r w:rsidRPr="008B69E6">
              <w:rPr>
                <w:rFonts w:ascii="Times New Roman" w:eastAsia="Times New Roman" w:hAnsi="Times New Roman" w:cs="Times New Roman"/>
                <w:color w:val="000000"/>
                <w:lang w:val="pt-PT"/>
              </w:rPr>
              <w:t>CVE</w:t>
            </w:r>
          </w:p>
        </w:tc>
        <w:tc>
          <w:tcPr>
            <w:tcW w:w="3690" w:type="dxa"/>
            <w:shd w:val="clear" w:color="auto" w:fill="auto"/>
            <w:vAlign w:val="center"/>
          </w:tcPr>
          <w:p w14:paraId="49E77891"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Cabo Verde Escudo</w:t>
            </w:r>
          </w:p>
        </w:tc>
        <w:tc>
          <w:tcPr>
            <w:tcW w:w="1080" w:type="dxa"/>
            <w:shd w:val="clear" w:color="auto" w:fill="auto"/>
          </w:tcPr>
          <w:p w14:paraId="50093B46"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PEDS</w:t>
            </w:r>
          </w:p>
        </w:tc>
        <w:tc>
          <w:tcPr>
            <w:tcW w:w="3420" w:type="dxa"/>
            <w:shd w:val="clear" w:color="auto" w:fill="auto"/>
          </w:tcPr>
          <w:p w14:paraId="0D33DC27"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Strategic Plan for Sustainable Development</w:t>
            </w:r>
          </w:p>
        </w:tc>
      </w:tr>
      <w:tr w:rsidR="00C51057" w:rsidRPr="008B69E6" w14:paraId="688081F4" w14:textId="77777777" w:rsidTr="00E73756">
        <w:trPr>
          <w:trHeight w:val="282"/>
          <w:jc w:val="center"/>
        </w:trPr>
        <w:tc>
          <w:tcPr>
            <w:tcW w:w="1165" w:type="dxa"/>
            <w:shd w:val="clear" w:color="auto" w:fill="auto"/>
            <w:vAlign w:val="center"/>
          </w:tcPr>
          <w:p w14:paraId="7BA7F21F"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CVT</w:t>
            </w:r>
          </w:p>
        </w:tc>
        <w:tc>
          <w:tcPr>
            <w:tcW w:w="3690" w:type="dxa"/>
            <w:shd w:val="clear" w:color="auto" w:fill="auto"/>
            <w:noWrap/>
            <w:vAlign w:val="center"/>
          </w:tcPr>
          <w:p w14:paraId="75007E27"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CV Telecom</w:t>
            </w:r>
          </w:p>
        </w:tc>
        <w:tc>
          <w:tcPr>
            <w:tcW w:w="1080" w:type="dxa"/>
            <w:shd w:val="clear" w:color="auto" w:fill="auto"/>
          </w:tcPr>
          <w:p w14:paraId="2EF497C7"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PIN</w:t>
            </w:r>
          </w:p>
        </w:tc>
        <w:tc>
          <w:tcPr>
            <w:tcW w:w="3420" w:type="dxa"/>
            <w:shd w:val="clear" w:color="auto" w:fill="auto"/>
          </w:tcPr>
          <w:p w14:paraId="786F7FA3"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Public Infrastructure Network</w:t>
            </w:r>
          </w:p>
        </w:tc>
      </w:tr>
      <w:tr w:rsidR="00C51057" w:rsidRPr="008B69E6" w14:paraId="52538552" w14:textId="77777777" w:rsidTr="00E73756">
        <w:trPr>
          <w:trHeight w:val="282"/>
          <w:jc w:val="center"/>
        </w:trPr>
        <w:tc>
          <w:tcPr>
            <w:tcW w:w="1165" w:type="dxa"/>
            <w:shd w:val="clear" w:color="auto" w:fill="auto"/>
            <w:vAlign w:val="center"/>
          </w:tcPr>
          <w:p w14:paraId="250663A8"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DGTED</w:t>
            </w:r>
          </w:p>
        </w:tc>
        <w:tc>
          <w:tcPr>
            <w:tcW w:w="3690" w:type="dxa"/>
            <w:shd w:val="clear" w:color="auto" w:fill="auto"/>
            <w:noWrap/>
            <w:vAlign w:val="center"/>
          </w:tcPr>
          <w:p w14:paraId="0129DABC"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Directorate-General for Telecommunications and Digital Economy</w:t>
            </w:r>
          </w:p>
        </w:tc>
        <w:tc>
          <w:tcPr>
            <w:tcW w:w="1080" w:type="dxa"/>
            <w:shd w:val="clear" w:color="auto" w:fill="auto"/>
          </w:tcPr>
          <w:p w14:paraId="3DB90256"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PPG</w:t>
            </w:r>
          </w:p>
        </w:tc>
        <w:tc>
          <w:tcPr>
            <w:tcW w:w="3420" w:type="dxa"/>
            <w:shd w:val="clear" w:color="auto" w:fill="auto"/>
          </w:tcPr>
          <w:p w14:paraId="7D9B853E"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Public and Publicly-Guarantee</w:t>
            </w:r>
          </w:p>
        </w:tc>
      </w:tr>
      <w:tr w:rsidR="00C51057" w:rsidRPr="008B69E6" w14:paraId="7E1B932C" w14:textId="77777777" w:rsidTr="00E73756">
        <w:trPr>
          <w:trHeight w:val="282"/>
          <w:jc w:val="center"/>
        </w:trPr>
        <w:tc>
          <w:tcPr>
            <w:tcW w:w="1165" w:type="dxa"/>
            <w:shd w:val="clear" w:color="auto" w:fill="auto"/>
            <w:vAlign w:val="center"/>
          </w:tcPr>
          <w:p w14:paraId="692E86E9"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DSSI</w:t>
            </w:r>
          </w:p>
        </w:tc>
        <w:tc>
          <w:tcPr>
            <w:tcW w:w="3690" w:type="dxa"/>
            <w:shd w:val="clear" w:color="auto" w:fill="auto"/>
            <w:noWrap/>
            <w:vAlign w:val="center"/>
          </w:tcPr>
          <w:p w14:paraId="38FA769B"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Debt Service Suspension Initiative</w:t>
            </w:r>
          </w:p>
        </w:tc>
        <w:tc>
          <w:tcPr>
            <w:tcW w:w="1080" w:type="dxa"/>
            <w:shd w:val="clear" w:color="auto" w:fill="auto"/>
          </w:tcPr>
          <w:p w14:paraId="7BA4E99A" w14:textId="77777777" w:rsidR="00C51057" w:rsidRPr="008B69E6" w:rsidRDefault="00C51057" w:rsidP="00E73756">
            <w:pPr>
              <w:spacing w:after="0" w:line="240" w:lineRule="auto"/>
              <w:rPr>
                <w:rFonts w:ascii="Times New Roman" w:hAnsi="Times New Roman" w:cs="Times New Roman"/>
              </w:rPr>
            </w:pPr>
            <w:r w:rsidRPr="008B69E6">
              <w:rPr>
                <w:rFonts w:ascii="Times New Roman" w:hAnsi="Times New Roman" w:cs="Times New Roman"/>
              </w:rPr>
              <w:t>PPP</w:t>
            </w:r>
          </w:p>
        </w:tc>
        <w:tc>
          <w:tcPr>
            <w:tcW w:w="3420" w:type="dxa"/>
            <w:shd w:val="clear" w:color="auto" w:fill="auto"/>
          </w:tcPr>
          <w:p w14:paraId="00A2BC39" w14:textId="77777777" w:rsidR="00C51057" w:rsidRPr="008B69E6" w:rsidRDefault="00C51057" w:rsidP="00E73756">
            <w:pPr>
              <w:spacing w:after="0" w:line="240" w:lineRule="auto"/>
              <w:rPr>
                <w:rFonts w:ascii="Times New Roman" w:hAnsi="Times New Roman" w:cs="Times New Roman"/>
              </w:rPr>
            </w:pPr>
            <w:r w:rsidRPr="008B69E6">
              <w:rPr>
                <w:rFonts w:ascii="Times New Roman" w:hAnsi="Times New Roman" w:cs="Times New Roman"/>
              </w:rPr>
              <w:t>Public-Private Partnerships</w:t>
            </w:r>
          </w:p>
        </w:tc>
      </w:tr>
      <w:tr w:rsidR="00C51057" w:rsidRPr="0033433C" w14:paraId="20917AD1" w14:textId="77777777" w:rsidTr="00E73756">
        <w:trPr>
          <w:trHeight w:val="282"/>
          <w:jc w:val="center"/>
        </w:trPr>
        <w:tc>
          <w:tcPr>
            <w:tcW w:w="1165" w:type="dxa"/>
            <w:shd w:val="clear" w:color="auto" w:fill="auto"/>
            <w:vAlign w:val="center"/>
          </w:tcPr>
          <w:p w14:paraId="02E9EF3B"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ECOWAS</w:t>
            </w:r>
          </w:p>
        </w:tc>
        <w:tc>
          <w:tcPr>
            <w:tcW w:w="3690" w:type="dxa"/>
            <w:shd w:val="clear" w:color="auto" w:fill="auto"/>
            <w:noWrap/>
            <w:vAlign w:val="center"/>
          </w:tcPr>
          <w:p w14:paraId="638B6D31"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Economic Community of West African States</w:t>
            </w:r>
          </w:p>
        </w:tc>
        <w:tc>
          <w:tcPr>
            <w:tcW w:w="1080" w:type="dxa"/>
            <w:shd w:val="clear" w:color="auto" w:fill="auto"/>
          </w:tcPr>
          <w:p w14:paraId="76E8EAEF"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SNIAC</w:t>
            </w:r>
          </w:p>
        </w:tc>
        <w:tc>
          <w:tcPr>
            <w:tcW w:w="3420" w:type="dxa"/>
            <w:shd w:val="clear" w:color="auto" w:fill="auto"/>
          </w:tcPr>
          <w:p w14:paraId="6089C683" w14:textId="77777777" w:rsidR="00C51057" w:rsidRPr="009B3253" w:rsidRDefault="00C51057" w:rsidP="00E73756">
            <w:pPr>
              <w:spacing w:after="0" w:line="240" w:lineRule="auto"/>
              <w:rPr>
                <w:rFonts w:ascii="Times New Roman" w:eastAsia="Times New Roman" w:hAnsi="Times New Roman" w:cs="Times New Roman"/>
                <w:color w:val="000000"/>
                <w:lang w:val="es-US"/>
              </w:rPr>
            </w:pPr>
            <w:r w:rsidRPr="009B3253">
              <w:rPr>
                <w:rFonts w:ascii="Times New Roman" w:eastAsia="Times New Roman" w:hAnsi="Times New Roman" w:cs="Times New Roman"/>
                <w:color w:val="000000"/>
                <w:lang w:val="es-US"/>
              </w:rPr>
              <w:t xml:space="preserve">Sistema Nacional de </w:t>
            </w:r>
            <w:proofErr w:type="spellStart"/>
            <w:r w:rsidRPr="009B3253">
              <w:rPr>
                <w:rFonts w:ascii="Times New Roman" w:eastAsia="Times New Roman" w:hAnsi="Times New Roman" w:cs="Times New Roman"/>
                <w:color w:val="000000"/>
                <w:lang w:val="es-US"/>
              </w:rPr>
              <w:t>Identificação</w:t>
            </w:r>
            <w:proofErr w:type="spellEnd"/>
            <w:r w:rsidRPr="009B3253">
              <w:rPr>
                <w:rFonts w:ascii="Times New Roman" w:eastAsia="Times New Roman" w:hAnsi="Times New Roman" w:cs="Times New Roman"/>
                <w:color w:val="000000"/>
                <w:lang w:val="es-US"/>
              </w:rPr>
              <w:t xml:space="preserve"> e </w:t>
            </w:r>
            <w:proofErr w:type="spellStart"/>
            <w:r w:rsidRPr="009B3253">
              <w:rPr>
                <w:rFonts w:ascii="Times New Roman" w:eastAsia="Times New Roman" w:hAnsi="Times New Roman" w:cs="Times New Roman"/>
                <w:color w:val="000000"/>
                <w:lang w:val="es-US"/>
              </w:rPr>
              <w:t>Autenticação</w:t>
            </w:r>
            <w:proofErr w:type="spellEnd"/>
            <w:r w:rsidRPr="009B3253">
              <w:rPr>
                <w:rFonts w:ascii="Times New Roman" w:eastAsia="Times New Roman" w:hAnsi="Times New Roman" w:cs="Times New Roman"/>
                <w:color w:val="000000"/>
                <w:lang w:val="es-US"/>
              </w:rPr>
              <w:t xml:space="preserve"> Civil</w:t>
            </w:r>
          </w:p>
        </w:tc>
      </w:tr>
      <w:tr w:rsidR="00C51057" w:rsidRPr="008B69E6" w14:paraId="00D81124" w14:textId="77777777" w:rsidTr="00E73756">
        <w:trPr>
          <w:trHeight w:val="282"/>
          <w:jc w:val="center"/>
        </w:trPr>
        <w:tc>
          <w:tcPr>
            <w:tcW w:w="1165" w:type="dxa"/>
            <w:shd w:val="clear" w:color="auto" w:fill="auto"/>
            <w:vAlign w:val="center"/>
          </w:tcPr>
          <w:p w14:paraId="082154A2"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EDCV</w:t>
            </w:r>
          </w:p>
        </w:tc>
        <w:tc>
          <w:tcPr>
            <w:tcW w:w="3690" w:type="dxa"/>
            <w:shd w:val="clear" w:color="auto" w:fill="auto"/>
            <w:noWrap/>
            <w:vAlign w:val="center"/>
          </w:tcPr>
          <w:p w14:paraId="01B880E1"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Estratégia Digital de Cabo Verde</w:t>
            </w:r>
          </w:p>
        </w:tc>
        <w:tc>
          <w:tcPr>
            <w:tcW w:w="1080" w:type="dxa"/>
            <w:shd w:val="clear" w:color="auto" w:fill="auto"/>
          </w:tcPr>
          <w:p w14:paraId="1E34E9CB"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SIDS</w:t>
            </w:r>
          </w:p>
        </w:tc>
        <w:tc>
          <w:tcPr>
            <w:tcW w:w="3420" w:type="dxa"/>
            <w:shd w:val="clear" w:color="auto" w:fill="auto"/>
          </w:tcPr>
          <w:p w14:paraId="6EF9D11C"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Small Islands Developing States</w:t>
            </w:r>
          </w:p>
        </w:tc>
      </w:tr>
      <w:bookmarkEnd w:id="15"/>
      <w:tr w:rsidR="00C51057" w:rsidRPr="008B69E6" w14:paraId="30D5430F" w14:textId="77777777" w:rsidTr="00E73756">
        <w:trPr>
          <w:trHeight w:val="282"/>
          <w:jc w:val="center"/>
        </w:trPr>
        <w:tc>
          <w:tcPr>
            <w:tcW w:w="1165" w:type="dxa"/>
            <w:shd w:val="clear" w:color="auto" w:fill="auto"/>
            <w:vAlign w:val="center"/>
          </w:tcPr>
          <w:p w14:paraId="7C165031"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EGDI</w:t>
            </w:r>
          </w:p>
        </w:tc>
        <w:tc>
          <w:tcPr>
            <w:tcW w:w="3690" w:type="dxa"/>
            <w:shd w:val="clear" w:color="auto" w:fill="auto"/>
            <w:noWrap/>
            <w:vAlign w:val="center"/>
          </w:tcPr>
          <w:p w14:paraId="7F0F57E4"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 xml:space="preserve">Electronic Government Development Index  </w:t>
            </w:r>
          </w:p>
        </w:tc>
        <w:tc>
          <w:tcPr>
            <w:tcW w:w="1080" w:type="dxa"/>
            <w:shd w:val="clear" w:color="auto" w:fill="auto"/>
          </w:tcPr>
          <w:p w14:paraId="0AABC762"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SOE</w:t>
            </w:r>
          </w:p>
        </w:tc>
        <w:tc>
          <w:tcPr>
            <w:tcW w:w="3420" w:type="dxa"/>
            <w:shd w:val="clear" w:color="auto" w:fill="auto"/>
          </w:tcPr>
          <w:p w14:paraId="7B0CB052"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lang w:val="pt-PT"/>
              </w:rPr>
              <w:t>State-Owned Enterprise</w:t>
            </w:r>
          </w:p>
        </w:tc>
      </w:tr>
      <w:tr w:rsidR="00C51057" w:rsidRPr="008B69E6" w14:paraId="4C1058C9" w14:textId="77777777" w:rsidTr="00E73756">
        <w:trPr>
          <w:trHeight w:val="282"/>
          <w:jc w:val="center"/>
        </w:trPr>
        <w:tc>
          <w:tcPr>
            <w:tcW w:w="1165" w:type="dxa"/>
            <w:shd w:val="clear" w:color="auto" w:fill="auto"/>
            <w:vAlign w:val="center"/>
          </w:tcPr>
          <w:p w14:paraId="007A674D"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EUR</w:t>
            </w:r>
          </w:p>
        </w:tc>
        <w:tc>
          <w:tcPr>
            <w:tcW w:w="3690" w:type="dxa"/>
            <w:shd w:val="clear" w:color="auto" w:fill="auto"/>
            <w:noWrap/>
            <w:vAlign w:val="center"/>
          </w:tcPr>
          <w:p w14:paraId="72D9A812"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Euro</w:t>
            </w:r>
          </w:p>
        </w:tc>
        <w:tc>
          <w:tcPr>
            <w:tcW w:w="1080" w:type="dxa"/>
            <w:shd w:val="clear" w:color="auto" w:fill="auto"/>
          </w:tcPr>
          <w:p w14:paraId="2311B619" w14:textId="77777777" w:rsidR="00C51057" w:rsidRPr="008B69E6" w:rsidRDefault="00C51057" w:rsidP="00E73756">
            <w:pPr>
              <w:spacing w:after="0" w:line="240" w:lineRule="auto"/>
              <w:rPr>
                <w:rFonts w:ascii="Times New Roman" w:hAnsi="Times New Roman" w:cs="Times New Roman"/>
              </w:rPr>
            </w:pPr>
            <w:r w:rsidRPr="008B69E6">
              <w:rPr>
                <w:rFonts w:ascii="Times New Roman" w:hAnsi="Times New Roman" w:cs="Times New Roman"/>
              </w:rPr>
              <w:t>STEM</w:t>
            </w:r>
          </w:p>
        </w:tc>
        <w:tc>
          <w:tcPr>
            <w:tcW w:w="3420" w:type="dxa"/>
            <w:shd w:val="clear" w:color="auto" w:fill="auto"/>
          </w:tcPr>
          <w:p w14:paraId="7983B053" w14:textId="77777777" w:rsidR="00C51057" w:rsidRPr="008B69E6" w:rsidRDefault="00C51057" w:rsidP="00E73756">
            <w:pPr>
              <w:spacing w:after="0" w:line="240" w:lineRule="auto"/>
              <w:rPr>
                <w:rFonts w:ascii="Times New Roman" w:hAnsi="Times New Roman" w:cs="Times New Roman"/>
              </w:rPr>
            </w:pPr>
            <w:r w:rsidRPr="008B69E6">
              <w:rPr>
                <w:rFonts w:ascii="Times New Roman" w:hAnsi="Times New Roman" w:cs="Times New Roman"/>
              </w:rPr>
              <w:t>Science, Technology, Engineering and Mathematics</w:t>
            </w:r>
          </w:p>
        </w:tc>
      </w:tr>
      <w:tr w:rsidR="00C51057" w:rsidRPr="008B69E6" w14:paraId="650B4670" w14:textId="77777777" w:rsidTr="00E73756">
        <w:trPr>
          <w:trHeight w:val="282"/>
          <w:jc w:val="center"/>
        </w:trPr>
        <w:tc>
          <w:tcPr>
            <w:tcW w:w="1165" w:type="dxa"/>
            <w:shd w:val="clear" w:color="auto" w:fill="auto"/>
            <w:vAlign w:val="center"/>
          </w:tcPr>
          <w:p w14:paraId="2A2B01F2"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FAS</w:t>
            </w:r>
          </w:p>
        </w:tc>
        <w:tc>
          <w:tcPr>
            <w:tcW w:w="3690" w:type="dxa"/>
            <w:shd w:val="clear" w:color="auto" w:fill="auto"/>
            <w:noWrap/>
            <w:vAlign w:val="center"/>
          </w:tcPr>
          <w:p w14:paraId="4EF65C1B"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Financial Access Survey</w:t>
            </w:r>
          </w:p>
        </w:tc>
        <w:tc>
          <w:tcPr>
            <w:tcW w:w="1080" w:type="dxa"/>
            <w:shd w:val="clear" w:color="auto" w:fill="auto"/>
          </w:tcPr>
          <w:p w14:paraId="5C3864AE" w14:textId="77777777" w:rsidR="00C51057" w:rsidRPr="008B69E6" w:rsidRDefault="00C51057" w:rsidP="00E73756">
            <w:pPr>
              <w:spacing w:after="0" w:line="240" w:lineRule="auto"/>
              <w:rPr>
                <w:rFonts w:ascii="Times New Roman" w:hAnsi="Times New Roman" w:cs="Times New Roman"/>
              </w:rPr>
            </w:pPr>
            <w:r w:rsidRPr="008B69E6">
              <w:rPr>
                <w:rFonts w:ascii="Times New Roman" w:hAnsi="Times New Roman" w:cs="Times New Roman"/>
              </w:rPr>
              <w:t>SSA</w:t>
            </w:r>
          </w:p>
        </w:tc>
        <w:tc>
          <w:tcPr>
            <w:tcW w:w="3420" w:type="dxa"/>
            <w:shd w:val="clear" w:color="auto" w:fill="auto"/>
          </w:tcPr>
          <w:p w14:paraId="7A7B3E20" w14:textId="77777777" w:rsidR="00C51057" w:rsidRPr="008B69E6" w:rsidRDefault="00C51057" w:rsidP="00E73756">
            <w:pPr>
              <w:spacing w:after="0" w:line="240" w:lineRule="auto"/>
              <w:rPr>
                <w:rFonts w:ascii="Times New Roman" w:hAnsi="Times New Roman" w:cs="Times New Roman"/>
              </w:rPr>
            </w:pPr>
            <w:r w:rsidRPr="008B69E6">
              <w:rPr>
                <w:rFonts w:ascii="Times New Roman" w:hAnsi="Times New Roman" w:cs="Times New Roman"/>
              </w:rPr>
              <w:t>Sub-Saharan Africa</w:t>
            </w:r>
          </w:p>
        </w:tc>
      </w:tr>
      <w:tr w:rsidR="00C51057" w:rsidRPr="008B69E6" w14:paraId="117C57A6" w14:textId="77777777" w:rsidTr="00E73756">
        <w:trPr>
          <w:trHeight w:val="282"/>
          <w:jc w:val="center"/>
        </w:trPr>
        <w:tc>
          <w:tcPr>
            <w:tcW w:w="1165" w:type="dxa"/>
            <w:shd w:val="clear" w:color="auto" w:fill="auto"/>
            <w:vAlign w:val="center"/>
          </w:tcPr>
          <w:p w14:paraId="7C9A176B"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FDI</w:t>
            </w:r>
          </w:p>
        </w:tc>
        <w:tc>
          <w:tcPr>
            <w:tcW w:w="3690" w:type="dxa"/>
            <w:shd w:val="clear" w:color="auto" w:fill="auto"/>
            <w:noWrap/>
            <w:vAlign w:val="center"/>
          </w:tcPr>
          <w:p w14:paraId="3E8150D1"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Foreign Direct Investment</w:t>
            </w:r>
          </w:p>
        </w:tc>
        <w:tc>
          <w:tcPr>
            <w:tcW w:w="1080" w:type="dxa"/>
            <w:shd w:val="clear" w:color="auto" w:fill="auto"/>
          </w:tcPr>
          <w:p w14:paraId="02063FF7"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UN</w:t>
            </w:r>
          </w:p>
        </w:tc>
        <w:tc>
          <w:tcPr>
            <w:tcW w:w="3420" w:type="dxa"/>
            <w:shd w:val="clear" w:color="auto" w:fill="auto"/>
          </w:tcPr>
          <w:p w14:paraId="44D098A2"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United Nations</w:t>
            </w:r>
          </w:p>
        </w:tc>
      </w:tr>
      <w:tr w:rsidR="00C51057" w:rsidRPr="008B69E6" w14:paraId="15378A55" w14:textId="77777777" w:rsidTr="00E73756">
        <w:trPr>
          <w:trHeight w:val="282"/>
          <w:jc w:val="center"/>
        </w:trPr>
        <w:tc>
          <w:tcPr>
            <w:tcW w:w="1165" w:type="dxa"/>
            <w:shd w:val="clear" w:color="auto" w:fill="auto"/>
            <w:vAlign w:val="center"/>
          </w:tcPr>
          <w:p w14:paraId="6A3B28C9"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GDP</w:t>
            </w:r>
          </w:p>
        </w:tc>
        <w:tc>
          <w:tcPr>
            <w:tcW w:w="3690" w:type="dxa"/>
            <w:shd w:val="clear" w:color="auto" w:fill="auto"/>
            <w:noWrap/>
            <w:vAlign w:val="center"/>
          </w:tcPr>
          <w:p w14:paraId="7A988AAC"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Gross Domestic Product</w:t>
            </w:r>
          </w:p>
        </w:tc>
        <w:tc>
          <w:tcPr>
            <w:tcW w:w="1080" w:type="dxa"/>
            <w:shd w:val="clear" w:color="auto" w:fill="auto"/>
          </w:tcPr>
          <w:p w14:paraId="490CD8A7"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UNDP</w:t>
            </w:r>
          </w:p>
        </w:tc>
        <w:tc>
          <w:tcPr>
            <w:tcW w:w="3420" w:type="dxa"/>
            <w:shd w:val="clear" w:color="auto" w:fill="auto"/>
          </w:tcPr>
          <w:p w14:paraId="0CE0555D"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United Nations Development Program</w:t>
            </w:r>
          </w:p>
        </w:tc>
      </w:tr>
      <w:tr w:rsidR="00C51057" w:rsidRPr="008B69E6" w14:paraId="17C7C675" w14:textId="77777777" w:rsidTr="00E73756">
        <w:trPr>
          <w:trHeight w:val="282"/>
          <w:jc w:val="center"/>
        </w:trPr>
        <w:tc>
          <w:tcPr>
            <w:tcW w:w="1165" w:type="dxa"/>
            <w:shd w:val="clear" w:color="auto" w:fill="auto"/>
            <w:vAlign w:val="center"/>
          </w:tcPr>
          <w:p w14:paraId="0EC2A58A"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GII</w:t>
            </w:r>
          </w:p>
        </w:tc>
        <w:tc>
          <w:tcPr>
            <w:tcW w:w="3690" w:type="dxa"/>
            <w:shd w:val="clear" w:color="auto" w:fill="auto"/>
            <w:vAlign w:val="center"/>
          </w:tcPr>
          <w:p w14:paraId="5C555D9F"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Global Innovation Index</w:t>
            </w:r>
          </w:p>
        </w:tc>
        <w:tc>
          <w:tcPr>
            <w:tcW w:w="1080" w:type="dxa"/>
            <w:shd w:val="clear" w:color="auto" w:fill="auto"/>
          </w:tcPr>
          <w:p w14:paraId="51F58955"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UNCTAD</w:t>
            </w:r>
          </w:p>
        </w:tc>
        <w:tc>
          <w:tcPr>
            <w:tcW w:w="3420" w:type="dxa"/>
            <w:shd w:val="clear" w:color="auto" w:fill="auto"/>
          </w:tcPr>
          <w:p w14:paraId="53A26349"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United Nations Conference on Trade and Development</w:t>
            </w:r>
          </w:p>
        </w:tc>
      </w:tr>
      <w:tr w:rsidR="00C51057" w:rsidRPr="008B69E6" w14:paraId="16FB4CE4" w14:textId="77777777" w:rsidTr="00E73756">
        <w:trPr>
          <w:trHeight w:val="282"/>
          <w:jc w:val="center"/>
        </w:trPr>
        <w:tc>
          <w:tcPr>
            <w:tcW w:w="1165" w:type="dxa"/>
            <w:shd w:val="clear" w:color="auto" w:fill="auto"/>
            <w:vAlign w:val="center"/>
          </w:tcPr>
          <w:p w14:paraId="66152F4C"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GNI</w:t>
            </w:r>
          </w:p>
        </w:tc>
        <w:tc>
          <w:tcPr>
            <w:tcW w:w="3690" w:type="dxa"/>
            <w:shd w:val="clear" w:color="auto" w:fill="auto"/>
            <w:vAlign w:val="center"/>
          </w:tcPr>
          <w:p w14:paraId="55C46AAC" w14:textId="77777777" w:rsidR="00C51057" w:rsidRPr="008B69E6" w:rsidRDefault="00C51057" w:rsidP="00E73756">
            <w:pPr>
              <w:spacing w:after="0" w:line="240" w:lineRule="auto"/>
              <w:rPr>
                <w:rFonts w:ascii="Times New Roman" w:eastAsia="Times New Roman" w:hAnsi="Times New Roman" w:cs="Times New Roman"/>
                <w:color w:val="000000"/>
                <w:highlight w:val="yellow"/>
                <w:lang w:val="pt-PT"/>
              </w:rPr>
            </w:pPr>
            <w:r w:rsidRPr="008B69E6">
              <w:rPr>
                <w:rFonts w:ascii="Times New Roman" w:eastAsia="Times New Roman" w:hAnsi="Times New Roman" w:cs="Times New Roman"/>
                <w:color w:val="000000"/>
                <w:lang w:val="pt-PT"/>
              </w:rPr>
              <w:t>Gross National Income</w:t>
            </w:r>
          </w:p>
        </w:tc>
        <w:tc>
          <w:tcPr>
            <w:tcW w:w="1080" w:type="dxa"/>
            <w:shd w:val="clear" w:color="auto" w:fill="auto"/>
          </w:tcPr>
          <w:p w14:paraId="6B3D302F"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hAnsi="Times New Roman" w:cs="Times New Roman"/>
              </w:rPr>
              <w:t>UNESCO</w:t>
            </w:r>
          </w:p>
        </w:tc>
        <w:tc>
          <w:tcPr>
            <w:tcW w:w="3420" w:type="dxa"/>
            <w:shd w:val="clear" w:color="auto" w:fill="auto"/>
          </w:tcPr>
          <w:p w14:paraId="256E63E7"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United Nations Educational, Scientific and Cultural Organization</w:t>
            </w:r>
          </w:p>
        </w:tc>
      </w:tr>
      <w:tr w:rsidR="00C51057" w:rsidRPr="008B69E6" w14:paraId="7EC5D4E4" w14:textId="77777777" w:rsidTr="00E73756">
        <w:trPr>
          <w:trHeight w:val="282"/>
          <w:jc w:val="center"/>
        </w:trPr>
        <w:tc>
          <w:tcPr>
            <w:tcW w:w="1165" w:type="dxa"/>
            <w:shd w:val="clear" w:color="auto" w:fill="auto"/>
            <w:vAlign w:val="center"/>
          </w:tcPr>
          <w:p w14:paraId="41C1949B"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GNIpc</w:t>
            </w:r>
          </w:p>
        </w:tc>
        <w:tc>
          <w:tcPr>
            <w:tcW w:w="3690" w:type="dxa"/>
            <w:shd w:val="clear" w:color="auto" w:fill="auto"/>
            <w:vAlign w:val="center"/>
          </w:tcPr>
          <w:p w14:paraId="3A6EC69D"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Gross National Income per capita</w:t>
            </w:r>
          </w:p>
        </w:tc>
        <w:tc>
          <w:tcPr>
            <w:tcW w:w="1080" w:type="dxa"/>
            <w:shd w:val="clear" w:color="auto" w:fill="auto"/>
          </w:tcPr>
          <w:p w14:paraId="46C659BD"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WACS</w:t>
            </w:r>
          </w:p>
        </w:tc>
        <w:tc>
          <w:tcPr>
            <w:tcW w:w="3420" w:type="dxa"/>
            <w:shd w:val="clear" w:color="auto" w:fill="auto"/>
          </w:tcPr>
          <w:p w14:paraId="426D864B"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West Africa Cable System</w:t>
            </w:r>
          </w:p>
        </w:tc>
      </w:tr>
      <w:tr w:rsidR="00C51057" w:rsidRPr="008B69E6" w14:paraId="31B907D6" w14:textId="77777777" w:rsidTr="00E73756">
        <w:trPr>
          <w:trHeight w:val="282"/>
          <w:jc w:val="center"/>
        </w:trPr>
        <w:tc>
          <w:tcPr>
            <w:tcW w:w="1165" w:type="dxa"/>
            <w:shd w:val="clear" w:color="auto" w:fill="auto"/>
            <w:vAlign w:val="center"/>
          </w:tcPr>
          <w:p w14:paraId="06853361" w14:textId="77777777" w:rsidR="00C51057" w:rsidRPr="008B69E6" w:rsidRDefault="00C51057" w:rsidP="00E73756">
            <w:pPr>
              <w:spacing w:after="0" w:line="240" w:lineRule="auto"/>
              <w:rPr>
                <w:rFonts w:ascii="Times New Roman" w:eastAsia="Times New Roman" w:hAnsi="Times New Roman" w:cs="Times New Roman"/>
                <w:color w:val="000000"/>
                <w:highlight w:val="yellow"/>
              </w:rPr>
            </w:pPr>
            <w:r w:rsidRPr="008B69E6">
              <w:rPr>
                <w:rFonts w:ascii="Times New Roman" w:eastAsia="Times New Roman" w:hAnsi="Times New Roman" w:cs="Times New Roman"/>
                <w:color w:val="000000"/>
              </w:rPr>
              <w:t>GSMA</w:t>
            </w:r>
          </w:p>
        </w:tc>
        <w:tc>
          <w:tcPr>
            <w:tcW w:w="3690" w:type="dxa"/>
            <w:shd w:val="clear" w:color="auto" w:fill="auto"/>
            <w:vAlign w:val="center"/>
          </w:tcPr>
          <w:p w14:paraId="3F10D027" w14:textId="4BDE15D3" w:rsidR="00C51057" w:rsidRPr="00145505" w:rsidRDefault="00C51057" w:rsidP="00E73756">
            <w:pPr>
              <w:spacing w:after="0" w:line="240" w:lineRule="auto"/>
              <w:rPr>
                <w:rFonts w:ascii="Times New Roman" w:eastAsia="Times New Roman" w:hAnsi="Times New Roman" w:cs="Times New Roman"/>
                <w:color w:val="000000"/>
                <w:highlight w:val="yellow"/>
                <w:lang w:val="fr-FR"/>
              </w:rPr>
            </w:pPr>
            <w:r w:rsidRPr="00145505">
              <w:rPr>
                <w:rFonts w:ascii="Times New Roman" w:eastAsia="Times New Roman" w:hAnsi="Times New Roman" w:cs="Times New Roman"/>
                <w:color w:val="000000"/>
                <w:lang w:val="fr-FR"/>
              </w:rPr>
              <w:t xml:space="preserve">Groupe </w:t>
            </w:r>
            <w:r w:rsidR="00AC4CF7" w:rsidRPr="00145505">
              <w:rPr>
                <w:rFonts w:ascii="Times New Roman" w:eastAsia="Times New Roman" w:hAnsi="Times New Roman" w:cs="Times New Roman"/>
                <w:color w:val="000000"/>
                <w:lang w:val="fr-FR"/>
              </w:rPr>
              <w:t>Spéciale</w:t>
            </w:r>
            <w:r w:rsidRPr="00145505">
              <w:rPr>
                <w:rFonts w:ascii="Times New Roman" w:eastAsia="Times New Roman" w:hAnsi="Times New Roman" w:cs="Times New Roman"/>
                <w:color w:val="000000"/>
                <w:lang w:val="fr-FR"/>
              </w:rPr>
              <w:t xml:space="preserve"> Mobile (GSM) Association</w:t>
            </w:r>
          </w:p>
        </w:tc>
        <w:tc>
          <w:tcPr>
            <w:tcW w:w="1080" w:type="dxa"/>
            <w:shd w:val="clear" w:color="auto" w:fill="auto"/>
          </w:tcPr>
          <w:p w14:paraId="030E3FB0"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 xml:space="preserve">WBG </w:t>
            </w:r>
          </w:p>
        </w:tc>
        <w:tc>
          <w:tcPr>
            <w:tcW w:w="3420" w:type="dxa"/>
            <w:shd w:val="clear" w:color="auto" w:fill="auto"/>
          </w:tcPr>
          <w:p w14:paraId="54ADFC68"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World Bank Group</w:t>
            </w:r>
          </w:p>
        </w:tc>
      </w:tr>
      <w:tr w:rsidR="00C51057" w:rsidRPr="008B69E6" w14:paraId="2F76A23B" w14:textId="77777777" w:rsidTr="00E73756">
        <w:trPr>
          <w:trHeight w:val="282"/>
          <w:jc w:val="center"/>
        </w:trPr>
        <w:tc>
          <w:tcPr>
            <w:tcW w:w="1165" w:type="dxa"/>
            <w:shd w:val="clear" w:color="auto" w:fill="auto"/>
            <w:vAlign w:val="center"/>
          </w:tcPr>
          <w:p w14:paraId="226E765C"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ICT</w:t>
            </w:r>
          </w:p>
        </w:tc>
        <w:tc>
          <w:tcPr>
            <w:tcW w:w="3690" w:type="dxa"/>
            <w:shd w:val="clear" w:color="auto" w:fill="auto"/>
            <w:vAlign w:val="center"/>
          </w:tcPr>
          <w:p w14:paraId="02BF6431"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Information and Communications Technology</w:t>
            </w:r>
          </w:p>
        </w:tc>
        <w:tc>
          <w:tcPr>
            <w:tcW w:w="1080" w:type="dxa"/>
            <w:shd w:val="clear" w:color="auto" w:fill="auto"/>
          </w:tcPr>
          <w:p w14:paraId="03736B32"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WDI</w:t>
            </w:r>
          </w:p>
        </w:tc>
        <w:tc>
          <w:tcPr>
            <w:tcW w:w="3420" w:type="dxa"/>
            <w:shd w:val="clear" w:color="auto" w:fill="auto"/>
          </w:tcPr>
          <w:p w14:paraId="7DE403E7"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hAnsi="Times New Roman" w:cs="Times New Roman"/>
              </w:rPr>
              <w:t>World Development Indicators</w:t>
            </w:r>
          </w:p>
        </w:tc>
      </w:tr>
      <w:tr w:rsidR="00C51057" w:rsidRPr="001D2B42" w14:paraId="48511C74" w14:textId="77777777" w:rsidTr="00E73756">
        <w:trPr>
          <w:trHeight w:val="282"/>
          <w:jc w:val="center"/>
        </w:trPr>
        <w:tc>
          <w:tcPr>
            <w:tcW w:w="1165" w:type="dxa"/>
            <w:shd w:val="clear" w:color="auto" w:fill="auto"/>
            <w:vAlign w:val="center"/>
          </w:tcPr>
          <w:p w14:paraId="753A7C95" w14:textId="77777777" w:rsidR="00C51057" w:rsidRPr="008B69E6" w:rsidRDefault="00C51057" w:rsidP="00E73756">
            <w:pPr>
              <w:spacing w:after="0" w:line="240" w:lineRule="auto"/>
              <w:rPr>
                <w:rFonts w:ascii="Times New Roman" w:eastAsia="Times New Roman" w:hAnsi="Times New Roman" w:cs="Times New Roman"/>
                <w:color w:val="000000"/>
              </w:rPr>
            </w:pPr>
            <w:r w:rsidRPr="008B69E6">
              <w:rPr>
                <w:rFonts w:ascii="Times New Roman" w:eastAsia="Times New Roman" w:hAnsi="Times New Roman" w:cs="Times New Roman"/>
                <w:color w:val="000000"/>
              </w:rPr>
              <w:t>IFH</w:t>
            </w:r>
          </w:p>
        </w:tc>
        <w:tc>
          <w:tcPr>
            <w:tcW w:w="3690" w:type="dxa"/>
            <w:shd w:val="clear" w:color="auto" w:fill="auto"/>
            <w:vAlign w:val="center"/>
          </w:tcPr>
          <w:p w14:paraId="5FCA6773"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Imobiliária, Fundiária e Habital SA</w:t>
            </w:r>
          </w:p>
        </w:tc>
        <w:tc>
          <w:tcPr>
            <w:tcW w:w="1080" w:type="dxa"/>
            <w:shd w:val="clear" w:color="auto" w:fill="auto"/>
          </w:tcPr>
          <w:p w14:paraId="72EF8269" w14:textId="779B9CA1" w:rsidR="00C51057" w:rsidRPr="008B69E6" w:rsidRDefault="00E56F8C" w:rsidP="00E73756">
            <w:pPr>
              <w:spacing w:after="0" w:line="240" w:lineRule="auto"/>
              <w:rPr>
                <w:rFonts w:ascii="Times New Roman" w:eastAsia="Times New Roman" w:hAnsi="Times New Roman" w:cs="Times New Roman"/>
                <w:color w:val="000000"/>
                <w:lang w:val="pt-PT"/>
              </w:rPr>
            </w:pPr>
            <w:r>
              <w:rPr>
                <w:rFonts w:ascii="Times New Roman" w:eastAsia="Times New Roman" w:hAnsi="Times New Roman" w:cs="Times New Roman"/>
                <w:color w:val="000000"/>
                <w:lang w:val="pt-PT"/>
              </w:rPr>
              <w:t>ACMI</w:t>
            </w:r>
          </w:p>
        </w:tc>
        <w:tc>
          <w:tcPr>
            <w:tcW w:w="3420" w:type="dxa"/>
            <w:shd w:val="clear" w:color="auto" w:fill="auto"/>
          </w:tcPr>
          <w:p w14:paraId="696AFBF7" w14:textId="6DA4C154" w:rsidR="00C51057" w:rsidRPr="001D2B42" w:rsidRDefault="001D2B42" w:rsidP="00E73756">
            <w:pPr>
              <w:spacing w:after="0" w:line="240" w:lineRule="auto"/>
              <w:rPr>
                <w:rFonts w:ascii="Times New Roman" w:eastAsia="Times New Roman" w:hAnsi="Times New Roman" w:cs="Times New Roman"/>
                <w:color w:val="000000"/>
              </w:rPr>
            </w:pPr>
            <w:r w:rsidRPr="001D2B42">
              <w:rPr>
                <w:rFonts w:ascii="Times New Roman" w:eastAsia="Times New Roman" w:hAnsi="Times New Roman" w:cs="Times New Roman"/>
                <w:color w:val="000000"/>
              </w:rPr>
              <w:t xml:space="preserve">Aircraft, Crew, </w:t>
            </w:r>
            <w:r w:rsidR="00AC4CF7" w:rsidRPr="001D2B42">
              <w:rPr>
                <w:rFonts w:ascii="Times New Roman" w:eastAsia="Times New Roman" w:hAnsi="Times New Roman" w:cs="Times New Roman"/>
                <w:color w:val="000000"/>
              </w:rPr>
              <w:t>Maintenance,</w:t>
            </w:r>
            <w:r w:rsidRPr="001D2B42">
              <w:rPr>
                <w:rFonts w:ascii="Times New Roman" w:eastAsia="Times New Roman" w:hAnsi="Times New Roman" w:cs="Times New Roman"/>
                <w:color w:val="000000"/>
              </w:rPr>
              <w:t xml:space="preserve"> and Insurance</w:t>
            </w:r>
          </w:p>
        </w:tc>
      </w:tr>
      <w:tr w:rsidR="00C51057" w:rsidRPr="008B69E6" w14:paraId="678B43D5" w14:textId="77777777" w:rsidTr="00E73756">
        <w:trPr>
          <w:trHeight w:val="282"/>
          <w:jc w:val="center"/>
        </w:trPr>
        <w:tc>
          <w:tcPr>
            <w:tcW w:w="1165" w:type="dxa"/>
            <w:shd w:val="clear" w:color="auto" w:fill="auto"/>
            <w:vAlign w:val="center"/>
          </w:tcPr>
          <w:p w14:paraId="6ABD734B"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INE</w:t>
            </w:r>
          </w:p>
        </w:tc>
        <w:tc>
          <w:tcPr>
            <w:tcW w:w="3690" w:type="dxa"/>
            <w:shd w:val="clear" w:color="auto" w:fill="auto"/>
            <w:vAlign w:val="center"/>
          </w:tcPr>
          <w:p w14:paraId="00FCE655" w14:textId="77777777" w:rsidR="00C51057" w:rsidRPr="008B69E6" w:rsidRDefault="00C51057" w:rsidP="00E73756">
            <w:pPr>
              <w:spacing w:after="0" w:line="240" w:lineRule="auto"/>
              <w:rPr>
                <w:rFonts w:ascii="Times New Roman" w:eastAsia="Times New Roman" w:hAnsi="Times New Roman" w:cs="Times New Roman"/>
                <w:color w:val="000000"/>
                <w:lang w:val="pt-PT"/>
              </w:rPr>
            </w:pPr>
            <w:r w:rsidRPr="008B69E6">
              <w:rPr>
                <w:rFonts w:ascii="Times New Roman" w:eastAsia="Times New Roman" w:hAnsi="Times New Roman" w:cs="Times New Roman"/>
                <w:color w:val="000000"/>
                <w:lang w:val="pt-PT"/>
              </w:rPr>
              <w:t>National Institute of Statistics</w:t>
            </w:r>
          </w:p>
        </w:tc>
        <w:tc>
          <w:tcPr>
            <w:tcW w:w="1080" w:type="dxa"/>
            <w:shd w:val="clear" w:color="auto" w:fill="auto"/>
          </w:tcPr>
          <w:p w14:paraId="011CF571" w14:textId="5AB73898" w:rsidR="00C51057" w:rsidRPr="008B69E6" w:rsidRDefault="00B763BB" w:rsidP="00E73756">
            <w:pPr>
              <w:spacing w:after="0" w:line="240" w:lineRule="auto"/>
              <w:rPr>
                <w:rFonts w:ascii="Times New Roman" w:eastAsia="Times New Roman" w:hAnsi="Times New Roman" w:cs="Times New Roman"/>
                <w:color w:val="000000"/>
                <w:lang w:val="pt-PT"/>
              </w:rPr>
            </w:pPr>
            <w:r>
              <w:rPr>
                <w:rFonts w:ascii="Times New Roman" w:eastAsia="Times New Roman" w:hAnsi="Times New Roman" w:cs="Times New Roman"/>
                <w:color w:val="000000"/>
                <w:lang w:val="pt-PT"/>
              </w:rPr>
              <w:t>DFIs</w:t>
            </w:r>
          </w:p>
        </w:tc>
        <w:tc>
          <w:tcPr>
            <w:tcW w:w="3420" w:type="dxa"/>
            <w:shd w:val="clear" w:color="auto" w:fill="auto"/>
          </w:tcPr>
          <w:p w14:paraId="4F00AA1F" w14:textId="12BBBA56" w:rsidR="00C51057" w:rsidRPr="008B69E6" w:rsidRDefault="00B763BB" w:rsidP="00E73756">
            <w:pPr>
              <w:spacing w:after="0" w:line="240" w:lineRule="auto"/>
              <w:rPr>
                <w:rFonts w:ascii="Times New Roman" w:eastAsia="Times New Roman" w:hAnsi="Times New Roman" w:cs="Times New Roman"/>
                <w:color w:val="000000"/>
                <w:lang w:val="pt-PT"/>
              </w:rPr>
            </w:pPr>
            <w:r w:rsidRPr="00B763BB">
              <w:rPr>
                <w:rFonts w:ascii="Times New Roman" w:eastAsia="Times New Roman" w:hAnsi="Times New Roman" w:cs="Times New Roman"/>
                <w:color w:val="000000"/>
                <w:lang w:val="pt-PT"/>
              </w:rPr>
              <w:t>Development Finance Institutions</w:t>
            </w:r>
          </w:p>
        </w:tc>
      </w:tr>
    </w:tbl>
    <w:p w14:paraId="12A94544" w14:textId="550F3F0C" w:rsidR="00835012" w:rsidRPr="00835012" w:rsidRDefault="00835012" w:rsidP="00835012">
      <w:pPr>
        <w:rPr>
          <w:rFonts w:ascii="Times New Roman" w:eastAsiaTheme="majorEastAsia" w:hAnsi="Times New Roman" w:cs="Times New Roman"/>
          <w:b/>
          <w:color w:val="2F5496" w:themeColor="accent1" w:themeShade="BF"/>
          <w:sz w:val="32"/>
          <w:szCs w:val="32"/>
          <w:u w:val="single"/>
        </w:rPr>
      </w:pPr>
    </w:p>
    <w:p w14:paraId="505500D6" w14:textId="77777777" w:rsidR="003F2CDB" w:rsidRPr="003F2CDB" w:rsidRDefault="003F2CDB" w:rsidP="003F2CDB">
      <w:pPr>
        <w:keepNext/>
        <w:keepLines/>
        <w:spacing w:before="240" w:after="0"/>
        <w:jc w:val="center"/>
        <w:outlineLvl w:val="0"/>
        <w:rPr>
          <w:rFonts w:ascii="Times New Roman" w:eastAsiaTheme="majorEastAsia" w:hAnsi="Times New Roman" w:cs="Times New Roman"/>
          <w:color w:val="2F5496" w:themeColor="accent1" w:themeShade="BF"/>
          <w:sz w:val="32"/>
          <w:szCs w:val="32"/>
        </w:rPr>
      </w:pPr>
      <w:bookmarkStart w:id="16" w:name="_Toc66453791"/>
      <w:bookmarkStart w:id="17" w:name="_Toc70346640"/>
      <w:bookmarkStart w:id="18" w:name="_Toc105592802"/>
      <w:r w:rsidRPr="003F2CDB">
        <w:rPr>
          <w:rFonts w:ascii="Times New Roman" w:eastAsiaTheme="majorEastAsia" w:hAnsi="Times New Roman" w:cs="Times New Roman"/>
          <w:color w:val="2F5496" w:themeColor="accent1" w:themeShade="BF"/>
          <w:sz w:val="32"/>
          <w:szCs w:val="32"/>
        </w:rPr>
        <w:t>Executive Summary</w:t>
      </w:r>
      <w:bookmarkEnd w:id="16"/>
      <w:bookmarkEnd w:id="17"/>
      <w:bookmarkEnd w:id="18"/>
    </w:p>
    <w:p w14:paraId="53CC92CB" w14:textId="77777777" w:rsidR="003F2CDB" w:rsidRDefault="003F2CDB"/>
    <w:p w14:paraId="0F8699C0" w14:textId="77777777" w:rsidR="00C51057" w:rsidRDefault="00C51057" w:rsidP="009D0BE5">
      <w:pPr>
        <w:shd w:val="clear" w:color="auto" w:fill="FFFFFF" w:themeFill="background1"/>
        <w:spacing w:before="120" w:after="120" w:line="240" w:lineRule="auto"/>
        <w:jc w:val="both"/>
        <w:rPr>
          <w:rFonts w:ascii="Times New Roman" w:eastAsia="Times New Roman" w:hAnsi="Times New Roman" w:cs="Times New Roman"/>
          <w:b/>
          <w:bCs/>
          <w:color w:val="2F2F2F"/>
        </w:rPr>
      </w:pPr>
    </w:p>
    <w:p w14:paraId="6014B2EE" w14:textId="77777777" w:rsidR="0041152F" w:rsidRPr="0041152F" w:rsidRDefault="0041152F" w:rsidP="0041152F">
      <w:pPr>
        <w:keepNext/>
        <w:keepLines/>
        <w:spacing w:after="240" w:line="276" w:lineRule="auto"/>
        <w:outlineLvl w:val="3"/>
        <w:rPr>
          <w:rFonts w:ascii="Times New Roman" w:eastAsiaTheme="majorEastAsia" w:hAnsi="Times New Roman" w:cs="Times New Roman"/>
          <w:b/>
          <w:bCs/>
          <w:color w:val="2F5496" w:themeColor="accent1" w:themeShade="BF"/>
        </w:rPr>
      </w:pPr>
      <w:r w:rsidRPr="0041152F">
        <w:rPr>
          <w:rFonts w:ascii="Times New Roman" w:eastAsiaTheme="majorEastAsia" w:hAnsi="Times New Roman" w:cs="Times New Roman"/>
          <w:b/>
          <w:bCs/>
          <w:color w:val="2F5496" w:themeColor="accent1" w:themeShade="BF"/>
        </w:rPr>
        <w:t>Chapter 1: The State of the Economy</w:t>
      </w:r>
    </w:p>
    <w:p w14:paraId="15213712" w14:textId="4F4F3FCC" w:rsidR="0041152F" w:rsidRDefault="0041152F" w:rsidP="0041152F">
      <w:pPr>
        <w:keepNext/>
        <w:keepLines/>
        <w:spacing w:before="40" w:after="0" w:line="276" w:lineRule="auto"/>
        <w:outlineLvl w:val="3"/>
        <w:rPr>
          <w:rFonts w:ascii="Times New Roman" w:eastAsiaTheme="majorEastAsia" w:hAnsi="Times New Roman" w:cs="Times New Roman"/>
          <w:i/>
          <w:iCs/>
          <w:color w:val="2F5496" w:themeColor="accent1" w:themeShade="BF"/>
        </w:rPr>
      </w:pPr>
      <w:r w:rsidRPr="0041152F">
        <w:rPr>
          <w:rFonts w:ascii="Times New Roman" w:eastAsiaTheme="majorEastAsia" w:hAnsi="Times New Roman" w:cs="Times New Roman"/>
          <w:i/>
          <w:iCs/>
          <w:color w:val="2F5496" w:themeColor="accent1" w:themeShade="BF"/>
        </w:rPr>
        <w:t>Recent Economic Developments</w:t>
      </w:r>
    </w:p>
    <w:p w14:paraId="2E4F5E9C" w14:textId="77777777" w:rsidR="00A34574" w:rsidRPr="0041152F" w:rsidRDefault="00A34574" w:rsidP="0041152F">
      <w:pPr>
        <w:keepNext/>
        <w:keepLines/>
        <w:spacing w:before="40" w:after="0" w:line="276" w:lineRule="auto"/>
        <w:outlineLvl w:val="3"/>
        <w:rPr>
          <w:rFonts w:ascii="Times New Roman" w:eastAsiaTheme="majorEastAsia" w:hAnsi="Times New Roman" w:cs="Times New Roman"/>
          <w:i/>
          <w:iCs/>
          <w:color w:val="2F5496" w:themeColor="accent1" w:themeShade="BF"/>
        </w:rPr>
      </w:pPr>
    </w:p>
    <w:p w14:paraId="5FFF1B25" w14:textId="38319A12" w:rsidR="00A41CC3" w:rsidRDefault="00A41CC3" w:rsidP="00545A71">
      <w:pPr>
        <w:widowControl w:val="0"/>
        <w:autoSpaceDE w:val="0"/>
        <w:autoSpaceDN w:val="0"/>
        <w:adjustRightInd w:val="0"/>
        <w:spacing w:before="240" w:line="276" w:lineRule="auto"/>
        <w:contextualSpacing/>
        <w:jc w:val="both"/>
        <w:rPr>
          <w:rFonts w:ascii="Times New Roman" w:hAnsi="Times New Roman" w:cs="Times New Roman"/>
        </w:rPr>
      </w:pPr>
      <w:r w:rsidRPr="0006402D">
        <w:rPr>
          <w:rFonts w:ascii="Times New Roman" w:hAnsi="Times New Roman" w:cs="Times New Roman"/>
          <w:b/>
          <w:bCs/>
        </w:rPr>
        <w:t xml:space="preserve">Real GDP </w:t>
      </w:r>
      <w:r w:rsidR="00521453">
        <w:rPr>
          <w:rFonts w:ascii="Times New Roman" w:hAnsi="Times New Roman" w:cs="Times New Roman"/>
          <w:b/>
          <w:bCs/>
        </w:rPr>
        <w:t>expanded</w:t>
      </w:r>
      <w:r w:rsidRPr="0006402D">
        <w:rPr>
          <w:rFonts w:ascii="Times New Roman" w:hAnsi="Times New Roman" w:cs="Times New Roman"/>
          <w:b/>
          <w:bCs/>
        </w:rPr>
        <w:t xml:space="preserve"> by 7 percent in 2021, from the </w:t>
      </w:r>
      <w:r w:rsidR="00B26C05">
        <w:rPr>
          <w:rFonts w:ascii="Times New Roman" w:hAnsi="Times New Roman" w:cs="Times New Roman"/>
          <w:b/>
          <w:bCs/>
        </w:rPr>
        <w:t>depressed</w:t>
      </w:r>
      <w:r w:rsidR="00B26C05" w:rsidRPr="0006402D">
        <w:rPr>
          <w:rFonts w:ascii="Times New Roman" w:hAnsi="Times New Roman" w:cs="Times New Roman"/>
          <w:b/>
          <w:bCs/>
        </w:rPr>
        <w:t xml:space="preserve"> </w:t>
      </w:r>
      <w:r w:rsidRPr="0006402D">
        <w:rPr>
          <w:rFonts w:ascii="Times New Roman" w:hAnsi="Times New Roman" w:cs="Times New Roman"/>
          <w:b/>
          <w:bCs/>
        </w:rPr>
        <w:t xml:space="preserve">level in 2020, reflecting a gradual </w:t>
      </w:r>
      <w:r w:rsidR="000B0BCB">
        <w:rPr>
          <w:rFonts w:ascii="Times New Roman" w:hAnsi="Times New Roman" w:cs="Times New Roman"/>
          <w:b/>
          <w:bCs/>
        </w:rPr>
        <w:t xml:space="preserve">economic </w:t>
      </w:r>
      <w:r w:rsidRPr="0006402D">
        <w:rPr>
          <w:rFonts w:ascii="Times New Roman" w:hAnsi="Times New Roman" w:cs="Times New Roman"/>
          <w:b/>
          <w:bCs/>
        </w:rPr>
        <w:t xml:space="preserve">recovery. </w:t>
      </w:r>
      <w:r w:rsidRPr="00D50D91">
        <w:rPr>
          <w:rFonts w:ascii="Times New Roman" w:hAnsi="Times New Roman" w:cs="Times New Roman"/>
        </w:rPr>
        <w:t xml:space="preserve">Private and public consumption </w:t>
      </w:r>
      <w:r>
        <w:rPr>
          <w:rFonts w:ascii="Times New Roman" w:hAnsi="Times New Roman" w:cs="Times New Roman"/>
        </w:rPr>
        <w:t>drove</w:t>
      </w:r>
      <w:r w:rsidRPr="00D50D91">
        <w:rPr>
          <w:rFonts w:ascii="Times New Roman" w:hAnsi="Times New Roman" w:cs="Times New Roman"/>
        </w:rPr>
        <w:t xml:space="preserve"> growth, supported by the gradual reopening of the economy and measures put in place by the Government to support businesses and hard-hit sectors. Construction and commerce boosted economic growth, whereas hospitality and restaurants remained depressed. Overall, the performance of the service sector improved, reflecting the gradual reopening of the tourism sector, with positive spillovers elsewhere. The agriculture and fishing sector also performed relatively well, as agriculture recovered from four years of drought and the external demand for fish returned to normal levels.</w:t>
      </w:r>
    </w:p>
    <w:p w14:paraId="2D14FC15" w14:textId="77777777" w:rsidR="00A41CC3" w:rsidRDefault="00A41CC3" w:rsidP="00545A71">
      <w:pPr>
        <w:widowControl w:val="0"/>
        <w:autoSpaceDE w:val="0"/>
        <w:autoSpaceDN w:val="0"/>
        <w:adjustRightInd w:val="0"/>
        <w:spacing w:before="240" w:line="276" w:lineRule="auto"/>
        <w:contextualSpacing/>
        <w:jc w:val="both"/>
        <w:rPr>
          <w:rFonts w:ascii="Times New Roman" w:hAnsi="Times New Roman" w:cs="Times New Roman"/>
          <w:b/>
          <w:bCs/>
        </w:rPr>
      </w:pPr>
    </w:p>
    <w:p w14:paraId="67D3FF0B" w14:textId="79B4D62F" w:rsidR="002C19B2" w:rsidRDefault="002C19B2" w:rsidP="00545A71">
      <w:pPr>
        <w:widowControl w:val="0"/>
        <w:autoSpaceDE w:val="0"/>
        <w:autoSpaceDN w:val="0"/>
        <w:adjustRightInd w:val="0"/>
        <w:spacing w:before="240" w:line="276" w:lineRule="auto"/>
        <w:contextualSpacing/>
        <w:jc w:val="both"/>
        <w:rPr>
          <w:rFonts w:ascii="Times New Roman" w:hAnsi="Times New Roman" w:cs="Times New Roman"/>
        </w:rPr>
      </w:pPr>
      <w:r w:rsidRPr="00C87120">
        <w:rPr>
          <w:rFonts w:ascii="Times New Roman" w:hAnsi="Times New Roman" w:cs="Times New Roman"/>
          <w:b/>
          <w:bCs/>
        </w:rPr>
        <w:t>A comprehensive vaccination campaign was fundamental for the recovery during the second half of 2021.</w:t>
      </w:r>
      <w:r w:rsidR="000111AD" w:rsidRPr="000111AD">
        <w:t xml:space="preserve"> </w:t>
      </w:r>
      <w:r w:rsidR="000111AD" w:rsidRPr="000111AD">
        <w:rPr>
          <w:rFonts w:ascii="Times New Roman" w:hAnsi="Times New Roman" w:cs="Times New Roman"/>
        </w:rPr>
        <w:t xml:space="preserve">Cabo Verde administrated approximately 700,000 vaccine doses obtained through the COVAX mechanism and donations from partner countries. Much of the progress was made between June and October </w:t>
      </w:r>
      <w:r w:rsidR="007816D4">
        <w:rPr>
          <w:rFonts w:ascii="Times New Roman" w:hAnsi="Times New Roman" w:cs="Times New Roman"/>
        </w:rPr>
        <w:t>and b</w:t>
      </w:r>
      <w:r w:rsidR="000111AD" w:rsidRPr="000111AD">
        <w:rPr>
          <w:rFonts w:ascii="Times New Roman" w:hAnsi="Times New Roman" w:cs="Times New Roman"/>
        </w:rPr>
        <w:t xml:space="preserve">y mid-April 2022, 74 percent of the eligible adult population had received two doses, about 76.9 percent of eligible teenagers received at least one dose, and boosters were applied to 15.8 percent of eligible adults. Cabo Verde’s administered vaccine doses is much higher than world and </w:t>
      </w:r>
      <w:r w:rsidR="005A57A0" w:rsidRPr="00D7294A">
        <w:rPr>
          <w:rFonts w:ascii="Times New Roman" w:hAnsi="Times New Roman" w:cs="Times New Roman"/>
        </w:rPr>
        <w:t>Sub-Saharan Africa (SSA)</w:t>
      </w:r>
      <w:r w:rsidR="005A57A0">
        <w:rPr>
          <w:rFonts w:ascii="Times New Roman" w:hAnsi="Times New Roman" w:cs="Times New Roman"/>
        </w:rPr>
        <w:t xml:space="preserve"> </w:t>
      </w:r>
      <w:r w:rsidR="000111AD" w:rsidRPr="000111AD">
        <w:rPr>
          <w:rFonts w:ascii="Times New Roman" w:hAnsi="Times New Roman" w:cs="Times New Roman"/>
        </w:rPr>
        <w:t>averages, ranking 4th in SSA with 108.85 doses per 100 people.</w:t>
      </w:r>
    </w:p>
    <w:p w14:paraId="28239296" w14:textId="77BB429B" w:rsidR="00C46634" w:rsidRDefault="00C46634" w:rsidP="00545A71">
      <w:pPr>
        <w:widowControl w:val="0"/>
        <w:autoSpaceDE w:val="0"/>
        <w:autoSpaceDN w:val="0"/>
        <w:adjustRightInd w:val="0"/>
        <w:spacing w:before="240" w:line="276" w:lineRule="auto"/>
        <w:contextualSpacing/>
        <w:jc w:val="both"/>
        <w:rPr>
          <w:rFonts w:ascii="Times New Roman" w:hAnsi="Times New Roman" w:cs="Times New Roman"/>
        </w:rPr>
      </w:pPr>
    </w:p>
    <w:p w14:paraId="5FEB3AEC" w14:textId="53D6DB54" w:rsidR="004501A4" w:rsidRDefault="004501A4" w:rsidP="004501A4">
      <w:pPr>
        <w:widowControl w:val="0"/>
        <w:autoSpaceDE w:val="0"/>
        <w:autoSpaceDN w:val="0"/>
        <w:adjustRightInd w:val="0"/>
        <w:spacing w:before="240" w:line="276" w:lineRule="auto"/>
        <w:contextualSpacing/>
        <w:jc w:val="both"/>
        <w:rPr>
          <w:rFonts w:ascii="Times New Roman" w:hAnsi="Times New Roman" w:cs="Times New Roman"/>
        </w:rPr>
      </w:pPr>
      <w:r w:rsidRPr="00D7294A">
        <w:rPr>
          <w:rFonts w:ascii="Times New Roman" w:hAnsi="Times New Roman" w:cs="Times New Roman"/>
          <w:b/>
          <w:bCs/>
        </w:rPr>
        <w:t xml:space="preserve">The shock resulting from COVID-19 produced the largest economic contraction on record and exposed the country’s economic vulnerabilities. </w:t>
      </w:r>
      <w:r w:rsidRPr="00D7294A">
        <w:rPr>
          <w:rFonts w:ascii="Times New Roman" w:hAnsi="Times New Roman" w:cs="Times New Roman"/>
        </w:rPr>
        <w:t xml:space="preserve">Prior to the crisis, Cabo Verde experienced robust and accelerating economic growth driven by a thriving tourism sector and benefiting from deep structural reforms, including reforms in the SOE sector, </w:t>
      </w:r>
      <w:r w:rsidR="00557ED6">
        <w:rPr>
          <w:rFonts w:ascii="Times New Roman" w:hAnsi="Times New Roman" w:cs="Times New Roman"/>
        </w:rPr>
        <w:t xml:space="preserve">and </w:t>
      </w:r>
      <w:r w:rsidRPr="00D7294A">
        <w:rPr>
          <w:rFonts w:ascii="Times New Roman" w:hAnsi="Times New Roman" w:cs="Times New Roman"/>
        </w:rPr>
        <w:t>fiscal restraint</w:t>
      </w:r>
      <w:r w:rsidR="00557ED6">
        <w:rPr>
          <w:rFonts w:ascii="Times New Roman" w:hAnsi="Times New Roman" w:cs="Times New Roman"/>
        </w:rPr>
        <w:t xml:space="preserve"> that reduced</w:t>
      </w:r>
      <w:r w:rsidRPr="00D7294A">
        <w:rPr>
          <w:rFonts w:ascii="Times New Roman" w:hAnsi="Times New Roman" w:cs="Times New Roman"/>
        </w:rPr>
        <w:t xml:space="preserve"> debt. The crisis reversed this progress, with Gross Domestic Product (GDP) contracting by 14.8 percent in 2020 (15.7 percent in per-capita terms), the second largest reduction in SSA. </w:t>
      </w:r>
      <w:r w:rsidR="00154FB9" w:rsidRPr="00154FB9">
        <w:rPr>
          <w:rFonts w:ascii="Times New Roman" w:hAnsi="Times New Roman" w:cs="Times New Roman"/>
        </w:rPr>
        <w:t xml:space="preserve">The development model is characterized by an overreliance in tourism, large presence of the government in the economy, and </w:t>
      </w:r>
      <w:r w:rsidR="003F2E29">
        <w:rPr>
          <w:rFonts w:ascii="Times New Roman" w:hAnsi="Times New Roman" w:cs="Times New Roman"/>
        </w:rPr>
        <w:t>large</w:t>
      </w:r>
      <w:r w:rsidR="00154FB9" w:rsidRPr="00154FB9">
        <w:rPr>
          <w:rFonts w:ascii="Times New Roman" w:hAnsi="Times New Roman" w:cs="Times New Roman"/>
        </w:rPr>
        <w:t xml:space="preserve"> FDI flows directed to all-inclusive hotels with little connection to other sectors of the economy. </w:t>
      </w:r>
      <w:r w:rsidRPr="00D7294A">
        <w:rPr>
          <w:rFonts w:ascii="Times New Roman" w:hAnsi="Times New Roman" w:cs="Times New Roman"/>
        </w:rPr>
        <w:t xml:space="preserve">The national poverty rate increased from 28 percent in 2019 to 35 percent in 2020, reversing the progress made since 2015. </w:t>
      </w:r>
    </w:p>
    <w:p w14:paraId="5E405E7A" w14:textId="77777777" w:rsidR="004501A4" w:rsidRDefault="004501A4" w:rsidP="004501A4">
      <w:pPr>
        <w:widowControl w:val="0"/>
        <w:autoSpaceDE w:val="0"/>
        <w:autoSpaceDN w:val="0"/>
        <w:adjustRightInd w:val="0"/>
        <w:spacing w:before="240" w:line="276" w:lineRule="auto"/>
        <w:contextualSpacing/>
        <w:jc w:val="both"/>
        <w:rPr>
          <w:rFonts w:ascii="Times New Roman" w:hAnsi="Times New Roman" w:cs="Times New Roman"/>
        </w:rPr>
      </w:pPr>
    </w:p>
    <w:p w14:paraId="6547668D" w14:textId="6E76DF2D" w:rsidR="00C46634" w:rsidRPr="00C46634" w:rsidRDefault="00C46634" w:rsidP="00C46634">
      <w:pPr>
        <w:widowControl w:val="0"/>
        <w:autoSpaceDE w:val="0"/>
        <w:autoSpaceDN w:val="0"/>
        <w:adjustRightInd w:val="0"/>
        <w:spacing w:before="240" w:line="276" w:lineRule="auto"/>
        <w:contextualSpacing/>
        <w:jc w:val="both"/>
        <w:rPr>
          <w:rFonts w:ascii="Times New Roman" w:hAnsi="Times New Roman" w:cs="Times New Roman"/>
        </w:rPr>
      </w:pPr>
      <w:r w:rsidRPr="00C87120">
        <w:rPr>
          <w:rFonts w:ascii="Times New Roman" w:hAnsi="Times New Roman" w:cs="Times New Roman"/>
          <w:b/>
          <w:bCs/>
        </w:rPr>
        <w:t>The economic recovery in 2021 led to a slight reduction in poverty.</w:t>
      </w:r>
      <w:r w:rsidRPr="00C46634">
        <w:rPr>
          <w:rFonts w:ascii="Times New Roman" w:hAnsi="Times New Roman" w:cs="Times New Roman"/>
        </w:rPr>
        <w:t xml:space="preserve"> Poverty stood at 33 percent </w:t>
      </w:r>
      <w:r w:rsidR="00AB2B23">
        <w:rPr>
          <w:rFonts w:ascii="Times New Roman" w:hAnsi="Times New Roman" w:cs="Times New Roman"/>
        </w:rPr>
        <w:t>in 20</w:t>
      </w:r>
      <w:r w:rsidR="00B94353">
        <w:rPr>
          <w:rFonts w:ascii="Times New Roman" w:hAnsi="Times New Roman" w:cs="Times New Roman"/>
        </w:rPr>
        <w:t xml:space="preserve">21, </w:t>
      </w:r>
      <w:r w:rsidRPr="00C46634">
        <w:rPr>
          <w:rFonts w:ascii="Times New Roman" w:hAnsi="Times New Roman" w:cs="Times New Roman"/>
        </w:rPr>
        <w:t xml:space="preserve">using the national poverty line equivalent to $5.4 in purchasing power parity (PPP) terms per person per day </w:t>
      </w:r>
      <w:r w:rsidR="00BC6147">
        <w:rPr>
          <w:rFonts w:ascii="Times New Roman" w:hAnsi="Times New Roman" w:cs="Times New Roman"/>
        </w:rPr>
        <w:t>in</w:t>
      </w:r>
      <w:r w:rsidRPr="00C46634">
        <w:rPr>
          <w:rFonts w:ascii="Times New Roman" w:hAnsi="Times New Roman" w:cs="Times New Roman"/>
        </w:rPr>
        <w:t xml:space="preserve"> 2015 prices, a drop of 6.5 percent </w:t>
      </w:r>
      <w:r w:rsidR="000E6B2D">
        <w:rPr>
          <w:rFonts w:ascii="Times New Roman" w:hAnsi="Times New Roman" w:cs="Times New Roman"/>
        </w:rPr>
        <w:t xml:space="preserve">in the poverty headcount, </w:t>
      </w:r>
      <w:r w:rsidRPr="00C46634">
        <w:rPr>
          <w:rFonts w:ascii="Times New Roman" w:hAnsi="Times New Roman" w:cs="Times New Roman"/>
        </w:rPr>
        <w:t>compared to 2020. In rural areas, because of the resumption of growth in agriculture and fishing, poverty fell by 3 percentage points</w:t>
      </w:r>
      <w:r w:rsidR="000F2271">
        <w:rPr>
          <w:rFonts w:ascii="Times New Roman" w:hAnsi="Times New Roman" w:cs="Times New Roman"/>
        </w:rPr>
        <w:t>,</w:t>
      </w:r>
      <w:r w:rsidRPr="00C46634">
        <w:rPr>
          <w:rFonts w:ascii="Times New Roman" w:hAnsi="Times New Roman" w:cs="Times New Roman"/>
        </w:rPr>
        <w:t xml:space="preserve"> from 45 percent in 2020. Urban poverty also declined by 2 percentage points, </w:t>
      </w:r>
      <w:r w:rsidR="000010F8">
        <w:rPr>
          <w:rFonts w:ascii="Times New Roman" w:hAnsi="Times New Roman" w:cs="Times New Roman"/>
        </w:rPr>
        <w:t xml:space="preserve">to 28 percent in 2021, </w:t>
      </w:r>
      <w:r w:rsidRPr="00C46634">
        <w:rPr>
          <w:rFonts w:ascii="Times New Roman" w:hAnsi="Times New Roman" w:cs="Times New Roman"/>
        </w:rPr>
        <w:t xml:space="preserve">reflecting the revival of service activities (particularly trade), transport, and </w:t>
      </w:r>
      <w:r w:rsidR="009D19AB">
        <w:rPr>
          <w:rFonts w:ascii="Times New Roman" w:hAnsi="Times New Roman" w:cs="Times New Roman"/>
        </w:rPr>
        <w:t>public services</w:t>
      </w:r>
      <w:r w:rsidRPr="00C46634">
        <w:rPr>
          <w:rFonts w:ascii="Times New Roman" w:hAnsi="Times New Roman" w:cs="Times New Roman"/>
        </w:rPr>
        <w:t>.</w:t>
      </w:r>
    </w:p>
    <w:p w14:paraId="7F3629E0" w14:textId="77777777" w:rsidR="00C46634" w:rsidRPr="00C46634" w:rsidRDefault="00C46634" w:rsidP="00C46634">
      <w:pPr>
        <w:widowControl w:val="0"/>
        <w:autoSpaceDE w:val="0"/>
        <w:autoSpaceDN w:val="0"/>
        <w:adjustRightInd w:val="0"/>
        <w:spacing w:before="240" w:line="276" w:lineRule="auto"/>
        <w:contextualSpacing/>
        <w:jc w:val="both"/>
        <w:rPr>
          <w:rFonts w:ascii="Times New Roman" w:hAnsi="Times New Roman" w:cs="Times New Roman"/>
        </w:rPr>
      </w:pPr>
    </w:p>
    <w:p w14:paraId="69AE84BB" w14:textId="3851376A" w:rsidR="0041152F" w:rsidRPr="0041152F" w:rsidRDefault="00713556" w:rsidP="0041152F">
      <w:pPr>
        <w:spacing w:line="276" w:lineRule="auto"/>
        <w:jc w:val="both"/>
        <w:rPr>
          <w:rFonts w:ascii="Times New Roman" w:hAnsi="Times New Roman" w:cs="Times New Roman"/>
        </w:rPr>
      </w:pPr>
      <w:r w:rsidRPr="00713556">
        <w:rPr>
          <w:rFonts w:ascii="Times New Roman" w:hAnsi="Times New Roman" w:cs="Times New Roman"/>
          <w:b/>
          <w:bCs/>
        </w:rPr>
        <w:lastRenderedPageBreak/>
        <w:t>The fiscal deficit and financing needs remained high in 2021</w:t>
      </w:r>
      <w:r w:rsidR="00BD747D">
        <w:rPr>
          <w:rFonts w:ascii="Times New Roman" w:hAnsi="Times New Roman" w:cs="Times New Roman"/>
          <w:b/>
          <w:bCs/>
        </w:rPr>
        <w:t>,</w:t>
      </w:r>
      <w:r w:rsidRPr="00713556">
        <w:rPr>
          <w:rFonts w:ascii="Times New Roman" w:hAnsi="Times New Roman" w:cs="Times New Roman"/>
          <w:b/>
          <w:bCs/>
        </w:rPr>
        <w:t xml:space="preserve"> because current expenditure</w:t>
      </w:r>
      <w:r w:rsidR="004E7DE6">
        <w:rPr>
          <w:rFonts w:ascii="Times New Roman" w:hAnsi="Times New Roman" w:cs="Times New Roman"/>
          <w:b/>
          <w:bCs/>
        </w:rPr>
        <w:t xml:space="preserve">s </w:t>
      </w:r>
      <w:r w:rsidR="002C2FF1">
        <w:rPr>
          <w:rFonts w:ascii="Times New Roman" w:hAnsi="Times New Roman" w:cs="Times New Roman"/>
          <w:b/>
          <w:bCs/>
        </w:rPr>
        <w:t>continued to be</w:t>
      </w:r>
      <w:r w:rsidR="004E7DE6">
        <w:rPr>
          <w:rFonts w:ascii="Times New Roman" w:hAnsi="Times New Roman" w:cs="Times New Roman"/>
          <w:b/>
          <w:bCs/>
        </w:rPr>
        <w:t xml:space="preserve"> required to address the effects of COVID</w:t>
      </w:r>
      <w:r w:rsidR="002C2FF1">
        <w:rPr>
          <w:rFonts w:ascii="Times New Roman" w:hAnsi="Times New Roman" w:cs="Times New Roman"/>
          <w:b/>
          <w:bCs/>
        </w:rPr>
        <w:t>-19</w:t>
      </w:r>
      <w:r w:rsidRPr="00713556">
        <w:rPr>
          <w:rFonts w:ascii="Times New Roman" w:hAnsi="Times New Roman" w:cs="Times New Roman"/>
          <w:b/>
          <w:bCs/>
        </w:rPr>
        <w:t xml:space="preserve">. </w:t>
      </w:r>
      <w:r w:rsidRPr="00D50D91">
        <w:rPr>
          <w:rFonts w:ascii="Times New Roman" w:hAnsi="Times New Roman" w:cs="Times New Roman"/>
        </w:rPr>
        <w:t xml:space="preserve">Driven by the gradual recovery of the economy in 2021, fiscal revenues increased by 2.5 percent, reaching 25.8 percent of GDP. </w:t>
      </w:r>
      <w:r w:rsidR="002C2FF1">
        <w:rPr>
          <w:rFonts w:ascii="Times New Roman" w:hAnsi="Times New Roman" w:cs="Times New Roman"/>
        </w:rPr>
        <w:t>However, p</w:t>
      </w:r>
      <w:r w:rsidRPr="00D50D91">
        <w:rPr>
          <w:rFonts w:ascii="Times New Roman" w:hAnsi="Times New Roman" w:cs="Times New Roman"/>
        </w:rPr>
        <w:t xml:space="preserve">ublic expenditure increased by 3 percent in 2021 due to additional measures put in place to address protracted effects of the COVID-19 crisis, reaching 34.6 percent of GDP. Current spending increased by 2.6 percent, reflecting continued spending </w:t>
      </w:r>
      <w:r w:rsidR="003A64CD">
        <w:rPr>
          <w:rFonts w:ascii="Times New Roman" w:hAnsi="Times New Roman" w:cs="Times New Roman"/>
        </w:rPr>
        <w:t>on</w:t>
      </w:r>
      <w:r w:rsidR="003A64CD" w:rsidRPr="00D50D91">
        <w:rPr>
          <w:rFonts w:ascii="Times New Roman" w:hAnsi="Times New Roman" w:cs="Times New Roman"/>
        </w:rPr>
        <w:t xml:space="preserve"> </w:t>
      </w:r>
      <w:r w:rsidRPr="00D50D91">
        <w:rPr>
          <w:rFonts w:ascii="Times New Roman" w:hAnsi="Times New Roman" w:cs="Times New Roman"/>
        </w:rPr>
        <w:t>public health services, disease prevention and control, and support for hard-hit sectors. As a</w:t>
      </w:r>
      <w:r w:rsidRPr="00713556">
        <w:rPr>
          <w:rFonts w:ascii="Times New Roman" w:hAnsi="Times New Roman" w:cs="Times New Roman"/>
          <w:b/>
          <w:bCs/>
        </w:rPr>
        <w:t xml:space="preserve"> </w:t>
      </w:r>
      <w:r w:rsidRPr="00D50D91">
        <w:rPr>
          <w:rFonts w:ascii="Times New Roman" w:hAnsi="Times New Roman" w:cs="Times New Roman"/>
        </w:rPr>
        <w:t>result, the overall deficit (including grants) stood at 8.8 percent of GDP in 2021</w:t>
      </w:r>
      <w:r w:rsidR="00DC4C3C">
        <w:rPr>
          <w:rFonts w:ascii="Times New Roman" w:hAnsi="Times New Roman" w:cs="Times New Roman"/>
        </w:rPr>
        <w:t xml:space="preserve">, </w:t>
      </w:r>
      <w:r w:rsidRPr="00D50D91">
        <w:rPr>
          <w:rFonts w:ascii="Times New Roman" w:hAnsi="Times New Roman" w:cs="Times New Roman"/>
        </w:rPr>
        <w:t xml:space="preserve">compared to 8.9 percent in 2020.  Consequently, fiscal financing needs for 2021 remained high at a budgeted amount of US$153 million. </w:t>
      </w:r>
      <w:r w:rsidR="007A1717" w:rsidRPr="007A1717">
        <w:rPr>
          <w:rFonts w:ascii="Times New Roman" w:hAnsi="Times New Roman" w:cs="Times New Roman"/>
        </w:rPr>
        <w:t>They were fully covered by concessional credits, grants, domestic borrowing, and resources freed up by the Debt Service Suspension Initiative (DSSI).</w:t>
      </w:r>
      <w:r w:rsidR="007A1717">
        <w:rPr>
          <w:rStyle w:val="FootnoteReference"/>
          <w:rFonts w:ascii="Times New Roman" w:hAnsi="Times New Roman" w:cs="Times New Roman"/>
        </w:rPr>
        <w:footnoteReference w:id="1"/>
      </w:r>
      <w:r w:rsidRPr="00D50D91">
        <w:rPr>
          <w:rFonts w:ascii="Times New Roman" w:hAnsi="Times New Roman" w:cs="Times New Roman"/>
        </w:rPr>
        <w:t xml:space="preserve"> </w:t>
      </w:r>
    </w:p>
    <w:p w14:paraId="6726F257" w14:textId="6B0B4B63" w:rsidR="0041152F" w:rsidRPr="0041152F" w:rsidRDefault="00BE7C26" w:rsidP="0041152F">
      <w:pPr>
        <w:spacing w:line="276" w:lineRule="auto"/>
        <w:jc w:val="both"/>
        <w:rPr>
          <w:rFonts w:ascii="Times New Roman" w:hAnsi="Times New Roman" w:cs="Times New Roman"/>
        </w:rPr>
      </w:pPr>
      <w:bookmarkStart w:id="19" w:name="_Hlk98863522"/>
      <w:r w:rsidRPr="00BE7C26">
        <w:rPr>
          <w:rFonts w:ascii="Times New Roman" w:hAnsi="Times New Roman" w:cs="Times New Roman"/>
          <w:b/>
          <w:bCs/>
        </w:rPr>
        <w:t xml:space="preserve">Hard won gains in reducing the public debt burden were erased. </w:t>
      </w:r>
      <w:r w:rsidRPr="00D50D91">
        <w:rPr>
          <w:rFonts w:ascii="Times New Roman" w:hAnsi="Times New Roman" w:cs="Times New Roman"/>
        </w:rPr>
        <w:t>Public debt</w:t>
      </w:r>
      <w:r w:rsidR="00667A85">
        <w:rPr>
          <w:rFonts w:ascii="Times New Roman" w:hAnsi="Times New Roman" w:cs="Times New Roman"/>
        </w:rPr>
        <w:t>, which</w:t>
      </w:r>
      <w:r w:rsidRPr="00D50D91">
        <w:rPr>
          <w:rFonts w:ascii="Times New Roman" w:hAnsi="Times New Roman" w:cs="Times New Roman"/>
        </w:rPr>
        <w:t xml:space="preserve"> had been on a declining path since 2017</w:t>
      </w:r>
      <w:r w:rsidR="00667A85">
        <w:rPr>
          <w:rFonts w:ascii="Times New Roman" w:hAnsi="Times New Roman" w:cs="Times New Roman"/>
        </w:rPr>
        <w:t>,</w:t>
      </w:r>
      <w:r w:rsidRPr="00D50D91">
        <w:rPr>
          <w:rFonts w:ascii="Times New Roman" w:hAnsi="Times New Roman" w:cs="Times New Roman"/>
        </w:rPr>
        <w:t xml:space="preserve"> increased </w:t>
      </w:r>
      <w:r w:rsidR="00FE46DD">
        <w:rPr>
          <w:rFonts w:ascii="Times New Roman" w:hAnsi="Times New Roman" w:cs="Times New Roman"/>
        </w:rPr>
        <w:t xml:space="preserve">sharply </w:t>
      </w:r>
      <w:r w:rsidRPr="00D50D91">
        <w:rPr>
          <w:rFonts w:ascii="Times New Roman" w:hAnsi="Times New Roman" w:cs="Times New Roman"/>
        </w:rPr>
        <w:t xml:space="preserve">to 155.3 percent of GDP in 2021, with the need to resort to additional external concessional loans and the issuance of treasury bonds to cover fiscal financing needs. Cabo Verde’s risk of external and overall debt distress remains high, according to the </w:t>
      </w:r>
      <w:r w:rsidR="00E5415E">
        <w:rPr>
          <w:rFonts w:ascii="Times New Roman" w:hAnsi="Times New Roman" w:cs="Times New Roman"/>
        </w:rPr>
        <w:t xml:space="preserve">December 2021 </w:t>
      </w:r>
      <w:r w:rsidRPr="00D50D91">
        <w:rPr>
          <w:rFonts w:ascii="Times New Roman" w:hAnsi="Times New Roman" w:cs="Times New Roman"/>
        </w:rPr>
        <w:t xml:space="preserve">joint WB/IMF Debt Sustainability Analysis but is assessed as sustainable. Prudent borrowing policies and strengthened debt management, as well as measures to enhance the functioning of the government securities market are critical to </w:t>
      </w:r>
      <w:r w:rsidR="00644E77">
        <w:rPr>
          <w:rFonts w:ascii="Times New Roman" w:hAnsi="Times New Roman" w:cs="Times New Roman"/>
        </w:rPr>
        <w:t xml:space="preserve">achieve </w:t>
      </w:r>
      <w:r w:rsidRPr="00D50D91">
        <w:rPr>
          <w:rFonts w:ascii="Times New Roman" w:hAnsi="Times New Roman" w:cs="Times New Roman"/>
        </w:rPr>
        <w:t>sustainable debt dynamics.</w:t>
      </w:r>
      <w:bookmarkEnd w:id="19"/>
      <w:r w:rsidR="00A41CC3">
        <w:rPr>
          <w:rFonts w:ascii="Times New Roman" w:hAnsi="Times New Roman" w:cs="Times New Roman"/>
        </w:rPr>
        <w:t xml:space="preserve"> </w:t>
      </w:r>
      <w:r w:rsidR="00A41CC3" w:rsidRPr="00A41CC3">
        <w:rPr>
          <w:rFonts w:ascii="Times New Roman" w:hAnsi="Times New Roman" w:cs="Times New Roman"/>
        </w:rPr>
        <w:t xml:space="preserve">In view of Cabo Verde’s vulnerability to exogenous shocks, progress in export and output diversification </w:t>
      </w:r>
      <w:r w:rsidR="00A30267">
        <w:rPr>
          <w:rFonts w:ascii="Times New Roman" w:hAnsi="Times New Roman" w:cs="Times New Roman"/>
        </w:rPr>
        <w:t>is</w:t>
      </w:r>
      <w:r w:rsidR="00A30267" w:rsidRPr="00A41CC3">
        <w:rPr>
          <w:rFonts w:ascii="Times New Roman" w:hAnsi="Times New Roman" w:cs="Times New Roman"/>
        </w:rPr>
        <w:t xml:space="preserve"> </w:t>
      </w:r>
      <w:r w:rsidR="00A41CC3" w:rsidRPr="00A41CC3">
        <w:rPr>
          <w:rFonts w:ascii="Times New Roman" w:hAnsi="Times New Roman" w:cs="Times New Roman"/>
        </w:rPr>
        <w:t>also needed for long-term debt sustainability.</w:t>
      </w:r>
    </w:p>
    <w:p w14:paraId="09D80A66" w14:textId="3DA2CD1C" w:rsidR="00D50D91" w:rsidRDefault="001E4EFB" w:rsidP="0041152F">
      <w:pPr>
        <w:spacing w:line="276" w:lineRule="auto"/>
        <w:jc w:val="both"/>
        <w:rPr>
          <w:rFonts w:ascii="Times New Roman" w:hAnsi="Times New Roman" w:cs="Times New Roman"/>
        </w:rPr>
      </w:pPr>
      <w:r>
        <w:rPr>
          <w:rFonts w:ascii="Times New Roman" w:hAnsi="Times New Roman" w:cs="Times New Roman"/>
          <w:b/>
          <w:bCs/>
        </w:rPr>
        <w:t xml:space="preserve">The </w:t>
      </w:r>
      <w:r w:rsidRPr="001E4EFB">
        <w:rPr>
          <w:rFonts w:ascii="Times New Roman" w:hAnsi="Times New Roman" w:cs="Times New Roman"/>
          <w:b/>
          <w:bCs/>
        </w:rPr>
        <w:t xml:space="preserve">COVID-19 crisis continued to hammer the SOE sector, demanding additional fiscal support and leading to the reversal of the privatization of CVA in 2021. </w:t>
      </w:r>
      <w:r w:rsidRPr="00D50D91">
        <w:rPr>
          <w:rFonts w:ascii="Times New Roman" w:hAnsi="Times New Roman" w:cs="Times New Roman"/>
        </w:rPr>
        <w:t xml:space="preserve">The authorities had extended loan guarantees amounting to US$52.4 million in 2020 to support financially distressed SOEs, with CVA accounting for almost half of the loan guarantees (US$25 million). In 2021, additional loan guarantees accounted for US$43.6 million, driven again by CVA (US$20.1 million). Capitalization to SOEs accounted for US$8 million in 2021 (US$7.9 million in 2020), with NEWCO (the Special Purpose Vehicle created to absorb CVA debt before privatization) being the largest recipient with US$6.8 million.  The exceptional negative impact of the pandemic on the aviation sector led to the reversal of the privatization of CVA in July 2021. The increased exposure to contingent liabilities in 2020 and 2021 added to the already high fiscal risks. These fiscal vulnerabilities may undermine Cabo Verde’s efforts to restore fiscal sustainability and return debt (as a share of GDP) to a declining trajectory in the medium term. Improving the management and monitoring of fiscal risks is paramount. </w:t>
      </w:r>
    </w:p>
    <w:p w14:paraId="29A38324" w14:textId="2CEF77DD" w:rsidR="005944EB" w:rsidRPr="0041152F" w:rsidRDefault="005944EB" w:rsidP="0041152F">
      <w:pPr>
        <w:spacing w:line="276" w:lineRule="auto"/>
        <w:jc w:val="both"/>
        <w:rPr>
          <w:rFonts w:ascii="Times New Roman" w:hAnsi="Times New Roman" w:cs="Times New Roman"/>
        </w:rPr>
      </w:pPr>
      <w:r w:rsidRPr="00C87120">
        <w:rPr>
          <w:rFonts w:ascii="Times New Roman" w:hAnsi="Times New Roman" w:cs="Times New Roman"/>
          <w:b/>
          <w:bCs/>
        </w:rPr>
        <w:t>The gradual recovery in net service exports helped narrow the Current Account Deficit (CAD) from 16.5 percent of GDP in 2020</w:t>
      </w:r>
      <w:r w:rsidR="00A30267">
        <w:rPr>
          <w:rFonts w:ascii="Times New Roman" w:hAnsi="Times New Roman" w:cs="Times New Roman"/>
          <w:b/>
          <w:bCs/>
        </w:rPr>
        <w:t>,</w:t>
      </w:r>
      <w:r w:rsidRPr="00C87120">
        <w:rPr>
          <w:rFonts w:ascii="Times New Roman" w:hAnsi="Times New Roman" w:cs="Times New Roman"/>
          <w:b/>
          <w:bCs/>
        </w:rPr>
        <w:t xml:space="preserve"> to 13.2 percent in 2021. </w:t>
      </w:r>
      <w:r w:rsidRPr="005944EB">
        <w:rPr>
          <w:rFonts w:ascii="Times New Roman" w:hAnsi="Times New Roman" w:cs="Times New Roman"/>
        </w:rPr>
        <w:t>The decline in the CAD in 2021 reflects the gradual recovery in tourism, a smaller deficit in net goods exports with the upturn in external demand for fish, and an increase in remittances. The CAD was financed primarily by FDI and concessional loans in 2021. FDI accounted for 5.6 percent of GDP. International reserves in 2021 are estimated to cover about 7.5 months of imports, well above the 3.6 months recommended by the IMF 2019 External Stability Assessment (ESA). As such, reserves have helped support the accommodative monetary policy response to the COVID-19 shock.</w:t>
      </w:r>
    </w:p>
    <w:p w14:paraId="09CA29AF" w14:textId="77777777" w:rsidR="0047141D" w:rsidRDefault="0041152F" w:rsidP="0041152F">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bookmarkStart w:id="20" w:name="_Hlk97719048"/>
      <w:r w:rsidRPr="0041152F">
        <w:rPr>
          <w:rFonts w:ascii="Times New Roman" w:eastAsiaTheme="majorEastAsia" w:hAnsi="Times New Roman" w:cs="Times New Roman"/>
          <w:i/>
          <w:iCs/>
          <w:color w:val="2F5496" w:themeColor="accent1" w:themeShade="BF"/>
        </w:rPr>
        <w:lastRenderedPageBreak/>
        <w:t>Outlook and risks</w:t>
      </w:r>
      <w:bookmarkEnd w:id="20"/>
    </w:p>
    <w:p w14:paraId="1C9CC4BA" w14:textId="5BF60FD4" w:rsidR="0041152F" w:rsidRPr="0041152F" w:rsidRDefault="0041152F" w:rsidP="0041152F">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r w:rsidRPr="0041152F">
        <w:rPr>
          <w:rFonts w:ascii="Times New Roman" w:eastAsiaTheme="majorEastAsia" w:hAnsi="Times New Roman" w:cs="Times New Roman"/>
          <w:i/>
          <w:iCs/>
          <w:color w:val="2F5496" w:themeColor="accent1" w:themeShade="BF"/>
        </w:rPr>
        <w:tab/>
      </w:r>
    </w:p>
    <w:p w14:paraId="393F3D79" w14:textId="0493EEA9" w:rsidR="000A5151" w:rsidRDefault="00BC2A51" w:rsidP="0041152F">
      <w:pPr>
        <w:jc w:val="both"/>
        <w:rPr>
          <w:rFonts w:ascii="Times New Roman" w:hAnsi="Times New Roman" w:cs="Times New Roman"/>
        </w:rPr>
      </w:pPr>
      <w:bookmarkStart w:id="21" w:name="_Hlk98863332"/>
      <w:r w:rsidRPr="00BC2A51">
        <w:rPr>
          <w:rFonts w:ascii="Times New Roman" w:hAnsi="Times New Roman" w:cs="Times New Roman"/>
          <w:b/>
          <w:bCs/>
        </w:rPr>
        <w:t xml:space="preserve">The strong post-COVID-19 </w:t>
      </w:r>
      <w:r w:rsidR="00CE49B5" w:rsidRPr="00BC2A51">
        <w:rPr>
          <w:rFonts w:ascii="Times New Roman" w:hAnsi="Times New Roman" w:cs="Times New Roman"/>
          <w:b/>
          <w:bCs/>
        </w:rPr>
        <w:t>econom</w:t>
      </w:r>
      <w:r w:rsidR="00CE49B5">
        <w:rPr>
          <w:rFonts w:ascii="Times New Roman" w:hAnsi="Times New Roman" w:cs="Times New Roman"/>
          <w:b/>
          <w:bCs/>
        </w:rPr>
        <w:t>ic</w:t>
      </w:r>
      <w:r w:rsidR="00CE49B5" w:rsidRPr="00BC2A51">
        <w:rPr>
          <w:rFonts w:ascii="Times New Roman" w:hAnsi="Times New Roman" w:cs="Times New Roman"/>
          <w:b/>
          <w:bCs/>
        </w:rPr>
        <w:t xml:space="preserve"> </w:t>
      </w:r>
      <w:r w:rsidRPr="00BC2A51">
        <w:rPr>
          <w:rFonts w:ascii="Times New Roman" w:hAnsi="Times New Roman" w:cs="Times New Roman"/>
          <w:b/>
          <w:bCs/>
        </w:rPr>
        <w:t>recovery was set to continue in 2022</w:t>
      </w:r>
      <w:r w:rsidR="005112F8">
        <w:rPr>
          <w:rFonts w:ascii="Times New Roman" w:hAnsi="Times New Roman" w:cs="Times New Roman"/>
          <w:b/>
          <w:bCs/>
        </w:rPr>
        <w:t>,</w:t>
      </w:r>
      <w:r w:rsidRPr="00BC2A51">
        <w:rPr>
          <w:rFonts w:ascii="Times New Roman" w:hAnsi="Times New Roman" w:cs="Times New Roman"/>
          <w:b/>
          <w:bCs/>
        </w:rPr>
        <w:t xml:space="preserve"> underpinned by the reactivation of the tourism sector, but the impact of the Ukraine war </w:t>
      </w:r>
      <w:r w:rsidR="005112F8">
        <w:rPr>
          <w:rFonts w:ascii="Times New Roman" w:hAnsi="Times New Roman" w:cs="Times New Roman"/>
          <w:b/>
          <w:bCs/>
        </w:rPr>
        <w:t xml:space="preserve">has </w:t>
      </w:r>
      <w:r w:rsidRPr="00BC2A51">
        <w:rPr>
          <w:rFonts w:ascii="Times New Roman" w:hAnsi="Times New Roman" w:cs="Times New Roman"/>
          <w:b/>
          <w:bCs/>
        </w:rPr>
        <w:t xml:space="preserve">reduced growth </w:t>
      </w:r>
      <w:r w:rsidR="00EC6C0B">
        <w:rPr>
          <w:rFonts w:ascii="Times New Roman" w:hAnsi="Times New Roman" w:cs="Times New Roman"/>
          <w:b/>
          <w:bCs/>
        </w:rPr>
        <w:t>prospects</w:t>
      </w:r>
      <w:r w:rsidR="00EC6C0B" w:rsidRPr="00BC2A51">
        <w:rPr>
          <w:rFonts w:ascii="Times New Roman" w:hAnsi="Times New Roman" w:cs="Times New Roman"/>
          <w:b/>
          <w:bCs/>
        </w:rPr>
        <w:t xml:space="preserve"> </w:t>
      </w:r>
      <w:r w:rsidRPr="00BC2A51">
        <w:rPr>
          <w:rFonts w:ascii="Times New Roman" w:hAnsi="Times New Roman" w:cs="Times New Roman"/>
          <w:b/>
          <w:bCs/>
        </w:rPr>
        <w:t xml:space="preserve">in the short term. </w:t>
      </w:r>
      <w:r w:rsidRPr="00D50D91">
        <w:rPr>
          <w:rFonts w:ascii="Times New Roman" w:hAnsi="Times New Roman" w:cs="Times New Roman"/>
        </w:rPr>
        <w:t xml:space="preserve">Real GDP growth is projected at 4 percent in 2022 due to inflationary headwinds from the Ukraine </w:t>
      </w:r>
      <w:r w:rsidR="00F32E4E" w:rsidRPr="00D50D91">
        <w:rPr>
          <w:rFonts w:ascii="Times New Roman" w:hAnsi="Times New Roman" w:cs="Times New Roman"/>
        </w:rPr>
        <w:t>war</w:t>
      </w:r>
      <w:r w:rsidR="00F32E4E">
        <w:rPr>
          <w:rFonts w:ascii="Times New Roman" w:hAnsi="Times New Roman" w:cs="Times New Roman"/>
        </w:rPr>
        <w:t xml:space="preserve"> but</w:t>
      </w:r>
      <w:r w:rsidRPr="00D50D91">
        <w:rPr>
          <w:rFonts w:ascii="Times New Roman" w:hAnsi="Times New Roman" w:cs="Times New Roman"/>
        </w:rPr>
        <w:t xml:space="preserve"> is expected to gradually increase thereafter. Growth will be supported by the continued recovery of the tourism sector as the impact of the pandemic fades and vaccination coverage increases. Growth is expected to average 5.3 percent between 2023 and 2025, led by the recovery of tourism and investments in the ICT, energy, and fishery sectors. </w:t>
      </w:r>
      <w:r w:rsidR="0079423C">
        <w:rPr>
          <w:rFonts w:ascii="Times New Roman" w:hAnsi="Times New Roman" w:cs="Times New Roman"/>
        </w:rPr>
        <w:t>The gradual</w:t>
      </w:r>
      <w:r w:rsidR="004803C0" w:rsidRPr="004803C0">
        <w:rPr>
          <w:rFonts w:ascii="Times New Roman" w:hAnsi="Times New Roman" w:cs="Times New Roman"/>
        </w:rPr>
        <w:t xml:space="preserve"> fiscal consolidation</w:t>
      </w:r>
      <w:r w:rsidR="00330549">
        <w:rPr>
          <w:rFonts w:ascii="Times New Roman" w:hAnsi="Times New Roman" w:cs="Times New Roman"/>
        </w:rPr>
        <w:t>, which is needed to restore debt sustaina</w:t>
      </w:r>
      <w:r w:rsidR="000E7D85">
        <w:rPr>
          <w:rFonts w:ascii="Times New Roman" w:hAnsi="Times New Roman" w:cs="Times New Roman"/>
        </w:rPr>
        <w:t>bility,</w:t>
      </w:r>
      <w:r w:rsidR="004803C0" w:rsidRPr="004803C0">
        <w:rPr>
          <w:rFonts w:ascii="Times New Roman" w:hAnsi="Times New Roman" w:cs="Times New Roman"/>
        </w:rPr>
        <w:t xml:space="preserve"> </w:t>
      </w:r>
      <w:r w:rsidR="00E653A7" w:rsidRPr="00E653A7">
        <w:rPr>
          <w:rFonts w:ascii="Times New Roman" w:hAnsi="Times New Roman" w:cs="Times New Roman"/>
        </w:rPr>
        <w:t>will support growth</w:t>
      </w:r>
      <w:r w:rsidR="00AE385B">
        <w:rPr>
          <w:rFonts w:ascii="Times New Roman" w:hAnsi="Times New Roman" w:cs="Times New Roman"/>
        </w:rPr>
        <w:t xml:space="preserve">. </w:t>
      </w:r>
      <w:r w:rsidR="00D74B20">
        <w:rPr>
          <w:rFonts w:ascii="Times New Roman" w:hAnsi="Times New Roman" w:cs="Times New Roman"/>
        </w:rPr>
        <w:t>This</w:t>
      </w:r>
      <w:r w:rsidR="00AB1D75">
        <w:rPr>
          <w:rFonts w:ascii="Times New Roman" w:hAnsi="Times New Roman" w:cs="Times New Roman"/>
        </w:rPr>
        <w:t xml:space="preserve"> will be mainly focused </w:t>
      </w:r>
      <w:r w:rsidR="00AB1D75" w:rsidRPr="00AB1D75">
        <w:rPr>
          <w:rFonts w:ascii="Times New Roman" w:hAnsi="Times New Roman" w:cs="Times New Roman"/>
        </w:rPr>
        <w:t>on enhancing the efficiency of revenue and debt management</w:t>
      </w:r>
      <w:r w:rsidR="006513F2">
        <w:rPr>
          <w:rFonts w:ascii="Times New Roman" w:hAnsi="Times New Roman" w:cs="Times New Roman"/>
        </w:rPr>
        <w:t xml:space="preserve"> and </w:t>
      </w:r>
      <w:r w:rsidR="00BA16BC">
        <w:rPr>
          <w:rFonts w:ascii="Times New Roman" w:hAnsi="Times New Roman" w:cs="Times New Roman"/>
        </w:rPr>
        <w:t>on</w:t>
      </w:r>
      <w:r w:rsidR="004803C0" w:rsidRPr="004803C0">
        <w:rPr>
          <w:rFonts w:ascii="Times New Roman" w:hAnsi="Times New Roman" w:cs="Times New Roman"/>
        </w:rPr>
        <w:t xml:space="preserve"> key structural reforms, particularly in the SOE sector, to improve growth-supporting service delivery and lay out a better-leveled playing field for investors.</w:t>
      </w:r>
    </w:p>
    <w:p w14:paraId="6B48DEC1" w14:textId="53AADE0D" w:rsidR="0047141D" w:rsidRDefault="00BC2A51" w:rsidP="0041152F">
      <w:pPr>
        <w:jc w:val="both"/>
        <w:rPr>
          <w:rFonts w:ascii="Times New Roman" w:hAnsi="Times New Roman" w:cs="Times New Roman"/>
        </w:rPr>
      </w:pPr>
      <w:r w:rsidRPr="0009107F">
        <w:rPr>
          <w:rFonts w:ascii="Times New Roman" w:hAnsi="Times New Roman" w:cs="Times New Roman"/>
          <w:b/>
          <w:bCs/>
        </w:rPr>
        <w:t>The outlook is subject to downside risks stemming from new COVID-19 variants, the Ukraine war, and climatic shocks</w:t>
      </w:r>
      <w:r w:rsidRPr="00D50D91">
        <w:rPr>
          <w:rFonts w:ascii="Times New Roman" w:hAnsi="Times New Roman" w:cs="Times New Roman"/>
        </w:rPr>
        <w:t xml:space="preserve">. While the COVID-19 vaccination rollout is among the highest in Africa, the country remains vulnerable to new variants. An increase in the size or duration of the terms of trade shock emanating from the Ukraine war could lead to higher inflationary pressures and the continuation of policy support to ameliorate its impact, which in turn could </w:t>
      </w:r>
      <w:r w:rsidR="005A4CE4">
        <w:rPr>
          <w:rFonts w:ascii="Times New Roman" w:hAnsi="Times New Roman" w:cs="Times New Roman"/>
        </w:rPr>
        <w:t>undermine</w:t>
      </w:r>
      <w:r w:rsidR="005A4CE4" w:rsidRPr="00D50D91">
        <w:rPr>
          <w:rFonts w:ascii="Times New Roman" w:hAnsi="Times New Roman" w:cs="Times New Roman"/>
        </w:rPr>
        <w:t xml:space="preserve"> </w:t>
      </w:r>
      <w:r w:rsidRPr="00D50D91">
        <w:rPr>
          <w:rFonts w:ascii="Times New Roman" w:hAnsi="Times New Roman" w:cs="Times New Roman"/>
        </w:rPr>
        <w:t xml:space="preserve">fiscal and debt sustainability. </w:t>
      </w:r>
      <w:r w:rsidR="004D6FB4" w:rsidRPr="004D6FB4">
        <w:rPr>
          <w:rFonts w:ascii="Times New Roman" w:hAnsi="Times New Roman" w:cs="Times New Roman"/>
        </w:rPr>
        <w:t xml:space="preserve">Political pressures against continued fiscal consolidation in the aftermath of the crisis could also derail SOE reform efforts. However, the authorities remain committed to continuing to improve fiscal </w:t>
      </w:r>
      <w:r w:rsidR="00DD2FB7">
        <w:rPr>
          <w:rFonts w:ascii="Times New Roman" w:hAnsi="Times New Roman" w:cs="Times New Roman"/>
        </w:rPr>
        <w:t>risk</w:t>
      </w:r>
      <w:r w:rsidR="004D6FB4" w:rsidRPr="004D6FB4">
        <w:rPr>
          <w:rFonts w:ascii="Times New Roman" w:hAnsi="Times New Roman" w:cs="Times New Roman"/>
        </w:rPr>
        <w:t xml:space="preserve"> management, with a view to lowering the debt burden and enhancing the provision of public services over the medium term.</w:t>
      </w:r>
      <w:r w:rsidR="008B7B8E">
        <w:rPr>
          <w:rFonts w:ascii="Times New Roman" w:hAnsi="Times New Roman" w:cs="Times New Roman"/>
        </w:rPr>
        <w:t xml:space="preserve"> </w:t>
      </w:r>
      <w:r w:rsidRPr="00D50D91">
        <w:rPr>
          <w:rFonts w:ascii="Times New Roman" w:hAnsi="Times New Roman" w:cs="Times New Roman"/>
        </w:rPr>
        <w:t xml:space="preserve">In addition, the country remains exposed to growing climate-related </w:t>
      </w:r>
      <w:r w:rsidR="001E1B49" w:rsidRPr="00D50D91">
        <w:rPr>
          <w:rFonts w:ascii="Times New Roman" w:hAnsi="Times New Roman" w:cs="Times New Roman"/>
        </w:rPr>
        <w:t>shocks</w:t>
      </w:r>
      <w:r w:rsidR="001E1B49">
        <w:rPr>
          <w:rFonts w:ascii="Times New Roman" w:hAnsi="Times New Roman" w:cs="Times New Roman"/>
        </w:rPr>
        <w:t xml:space="preserve"> and</w:t>
      </w:r>
      <w:r w:rsidR="00DC64B6">
        <w:rPr>
          <w:rFonts w:ascii="Times New Roman" w:hAnsi="Times New Roman" w:cs="Times New Roman"/>
        </w:rPr>
        <w:t xml:space="preserve"> needs to develop more resilient adaptation </w:t>
      </w:r>
      <w:r w:rsidR="00643C4F">
        <w:rPr>
          <w:rFonts w:ascii="Times New Roman" w:hAnsi="Times New Roman" w:cs="Times New Roman"/>
        </w:rPr>
        <w:t xml:space="preserve">and disaster risk management </w:t>
      </w:r>
      <w:r w:rsidR="00DC64B6">
        <w:rPr>
          <w:rFonts w:ascii="Times New Roman" w:hAnsi="Times New Roman" w:cs="Times New Roman"/>
        </w:rPr>
        <w:t>strategies</w:t>
      </w:r>
      <w:r w:rsidRPr="00D50D91">
        <w:rPr>
          <w:rFonts w:ascii="Times New Roman" w:hAnsi="Times New Roman" w:cs="Times New Roman"/>
        </w:rPr>
        <w:t xml:space="preserve">. </w:t>
      </w:r>
      <w:bookmarkEnd w:id="21"/>
    </w:p>
    <w:p w14:paraId="1C19FE6F" w14:textId="77777777" w:rsidR="00A9328B" w:rsidRPr="0041152F" w:rsidRDefault="00A9328B" w:rsidP="0041152F">
      <w:pPr>
        <w:jc w:val="both"/>
        <w:rPr>
          <w:rFonts w:ascii="Times New Roman" w:hAnsi="Times New Roman" w:cs="Times New Roman"/>
          <w:b/>
          <w:bCs/>
        </w:rPr>
      </w:pPr>
    </w:p>
    <w:p w14:paraId="23041089" w14:textId="20D345BF" w:rsidR="00223E37" w:rsidRDefault="00223E37" w:rsidP="00223E37">
      <w:pPr>
        <w:keepNext/>
        <w:keepLines/>
        <w:spacing w:after="240" w:line="276" w:lineRule="auto"/>
        <w:outlineLvl w:val="3"/>
        <w:rPr>
          <w:rFonts w:ascii="Times New Roman" w:eastAsiaTheme="majorEastAsia" w:hAnsi="Times New Roman" w:cs="Times New Roman"/>
          <w:b/>
          <w:bCs/>
          <w:color w:val="2F5496" w:themeColor="accent1" w:themeShade="BF"/>
        </w:rPr>
      </w:pPr>
      <w:r w:rsidRPr="00223E37">
        <w:rPr>
          <w:rFonts w:ascii="Times New Roman" w:eastAsiaTheme="majorEastAsia" w:hAnsi="Times New Roman" w:cs="Times New Roman"/>
          <w:b/>
          <w:bCs/>
          <w:color w:val="2F5496" w:themeColor="accent1" w:themeShade="BF"/>
        </w:rPr>
        <w:t>Chapter 2: Digital Development Outlook: Challenges and Prospects</w:t>
      </w:r>
    </w:p>
    <w:p w14:paraId="021F3C1A" w14:textId="4D804D26" w:rsidR="00637B96" w:rsidRPr="00637B96" w:rsidRDefault="00637B96" w:rsidP="00637B96">
      <w:pPr>
        <w:shd w:val="clear" w:color="auto" w:fill="FFFFFF" w:themeFill="background1"/>
        <w:spacing w:before="120" w:after="120" w:line="240" w:lineRule="auto"/>
        <w:jc w:val="both"/>
        <w:rPr>
          <w:rFonts w:ascii="Times New Roman" w:eastAsia="Times New Roman" w:hAnsi="Times New Roman" w:cs="Times New Roman"/>
          <w:b/>
          <w:bCs/>
          <w:color w:val="2F2F2F"/>
        </w:rPr>
      </w:pPr>
      <w:r w:rsidRPr="00637B96">
        <w:rPr>
          <w:rFonts w:ascii="Times New Roman" w:eastAsia="Times New Roman" w:hAnsi="Times New Roman" w:cs="Times New Roman"/>
          <w:b/>
          <w:bCs/>
          <w:color w:val="2F2F2F"/>
        </w:rPr>
        <w:t xml:space="preserve">Digital technologies have become an intrinsic part of sustainable growth across the world. </w:t>
      </w:r>
      <w:r w:rsidRPr="00637B96">
        <w:rPr>
          <w:rFonts w:ascii="Times New Roman" w:eastAsia="Times New Roman" w:hAnsi="Times New Roman" w:cs="Times New Roman"/>
          <w:color w:val="222222"/>
          <w:shd w:val="clear" w:color="auto" w:fill="FFFFFF"/>
        </w:rPr>
        <w:t xml:space="preserve">COVID-19 caused disruptions in almost all aspects of socio-economic life; and digital technologies gained heightened importance in not only short-term economic recovery plans but also in long-term, resilience building strategies. The pandemic-imposed crisis further underscored the role of ICT in increasing the productivity and resilience of Cabo Verde’s economy.  </w:t>
      </w:r>
    </w:p>
    <w:p w14:paraId="0BFE8251" w14:textId="2B78D7A6" w:rsidR="00F53910" w:rsidRDefault="00C7186D" w:rsidP="00D01FC9">
      <w:pPr>
        <w:shd w:val="clear" w:color="auto" w:fill="FFFFFF" w:themeFill="background1"/>
        <w:spacing w:after="0" w:line="240" w:lineRule="auto"/>
        <w:jc w:val="both"/>
        <w:rPr>
          <w:rFonts w:ascii="Times New Roman" w:eastAsia="Times New Roman" w:hAnsi="Times New Roman" w:cs="Times New Roman"/>
          <w:color w:val="2F2F2F"/>
        </w:rPr>
      </w:pPr>
      <w:r>
        <w:rPr>
          <w:rFonts w:ascii="Times New Roman" w:eastAsia="Times New Roman" w:hAnsi="Times New Roman" w:cs="Times New Roman"/>
          <w:b/>
          <w:bCs/>
          <w:color w:val="2F2F2F"/>
        </w:rPr>
        <w:t>The</w:t>
      </w:r>
      <w:r w:rsidR="00223E37" w:rsidRPr="00223E37">
        <w:rPr>
          <w:rFonts w:ascii="Times New Roman" w:eastAsia="Times New Roman" w:hAnsi="Times New Roman" w:cs="Times New Roman"/>
          <w:b/>
          <w:bCs/>
          <w:color w:val="2F2F2F"/>
        </w:rPr>
        <w:t xml:space="preserve"> concept of</w:t>
      </w:r>
      <w:r w:rsidR="00223E37" w:rsidRPr="00223E37">
        <w:rPr>
          <w:rFonts w:ascii="Times New Roman" w:eastAsia="Times New Roman" w:hAnsi="Times New Roman" w:cs="Times New Roman"/>
          <w:b/>
          <w:bCs/>
          <w:color w:val="222222"/>
          <w:shd w:val="clear" w:color="auto" w:fill="FFFFFF"/>
        </w:rPr>
        <w:t xml:space="preserve"> "Digital Archipelago" of "Cyber Islands" aims to position </w:t>
      </w:r>
      <w:r w:rsidRPr="00223E37">
        <w:rPr>
          <w:rFonts w:ascii="Times New Roman" w:eastAsia="Times New Roman" w:hAnsi="Times New Roman" w:cs="Times New Roman"/>
          <w:b/>
          <w:bCs/>
          <w:color w:val="222222"/>
          <w:shd w:val="clear" w:color="auto" w:fill="FFFFFF"/>
        </w:rPr>
        <w:t xml:space="preserve">Cabo Verde </w:t>
      </w:r>
      <w:r w:rsidR="00223E37" w:rsidRPr="00223E37">
        <w:rPr>
          <w:rFonts w:ascii="Times New Roman" w:eastAsia="Times New Roman" w:hAnsi="Times New Roman" w:cs="Times New Roman"/>
          <w:b/>
          <w:bCs/>
          <w:color w:val="222222"/>
          <w:shd w:val="clear" w:color="auto" w:fill="FFFFFF"/>
        </w:rPr>
        <w:t xml:space="preserve">as a hub for digital services. </w:t>
      </w:r>
      <w:r>
        <w:rPr>
          <w:rFonts w:ascii="Times New Roman" w:eastAsia="Times New Roman" w:hAnsi="Times New Roman" w:cs="Times New Roman"/>
          <w:color w:val="222222"/>
          <w:shd w:val="clear" w:color="auto" w:fill="FFFFFF"/>
        </w:rPr>
        <w:t>T</w:t>
      </w:r>
      <w:r w:rsidR="00223E37" w:rsidRPr="00223E37">
        <w:rPr>
          <w:rFonts w:ascii="Times New Roman" w:eastAsia="Times New Roman" w:hAnsi="Times New Roman" w:cs="Times New Roman"/>
          <w:color w:val="222222"/>
          <w:shd w:val="clear" w:color="auto" w:fill="FFFFFF"/>
        </w:rPr>
        <w:t>he country intends to create an environment for hosting technology solution providers, growing ICT talent, and adopting technologies to boost productivity across industries.</w:t>
      </w:r>
      <w:r w:rsidR="00223E37" w:rsidRPr="00223E37">
        <w:rPr>
          <w:rFonts w:ascii="Times New Roman" w:eastAsia="Times New Roman" w:hAnsi="Times New Roman" w:cs="Times New Roman"/>
          <w:color w:val="222222"/>
          <w:shd w:val="clear" w:color="auto" w:fill="FFFFFF"/>
          <w:vertAlign w:val="superscript"/>
        </w:rPr>
        <w:footnoteReference w:id="2"/>
      </w:r>
      <w:r w:rsidR="00223E37" w:rsidRPr="00223E37">
        <w:rPr>
          <w:rFonts w:ascii="Times New Roman" w:eastAsia="Times New Roman" w:hAnsi="Times New Roman" w:cs="Times New Roman"/>
          <w:b/>
          <w:bCs/>
          <w:color w:val="222222"/>
          <w:shd w:val="clear" w:color="auto" w:fill="FFFFFF"/>
        </w:rPr>
        <w:t xml:space="preserve"> </w:t>
      </w:r>
      <w:r w:rsidR="00223E37" w:rsidRPr="00223E37">
        <w:rPr>
          <w:rFonts w:ascii="Times New Roman" w:eastAsia="Times New Roman" w:hAnsi="Times New Roman" w:cs="Times New Roman"/>
          <w:color w:val="2F2F2F"/>
        </w:rPr>
        <w:t>As a small island nation, Cabo Verde has always acknowledged the importance of being</w:t>
      </w:r>
      <w:r w:rsidR="00F53910" w:rsidRPr="00F53910">
        <w:rPr>
          <w:rFonts w:ascii="Times New Roman" w:eastAsia="Times New Roman" w:hAnsi="Times New Roman" w:cs="Times New Roman"/>
          <w:color w:val="2F2F2F"/>
        </w:rPr>
        <w:t xml:space="preserve"> connected to the world and having reliable inter-island connectivity. More recently, the ICT sector development agenda has gained momentum as a potential source of new income, job creation, and economic diversification. In addition, the COVID-19 crises further intensified the role of technologies and connectivity in building the country's resilience. </w:t>
      </w:r>
    </w:p>
    <w:p w14:paraId="55F5CB07" w14:textId="77777777" w:rsidR="00D01FC9" w:rsidRPr="00F53910" w:rsidRDefault="00D01FC9" w:rsidP="00D01FC9">
      <w:pPr>
        <w:shd w:val="clear" w:color="auto" w:fill="FFFFFF" w:themeFill="background1"/>
        <w:spacing w:after="0" w:line="240" w:lineRule="auto"/>
        <w:jc w:val="both"/>
        <w:rPr>
          <w:rFonts w:ascii="Times New Roman" w:eastAsia="Times New Roman" w:hAnsi="Times New Roman" w:cs="Times New Roman"/>
          <w:color w:val="2F2F2F"/>
        </w:rPr>
      </w:pPr>
    </w:p>
    <w:p w14:paraId="5812537E" w14:textId="5978ECD2" w:rsidR="00D01FC9" w:rsidRDefault="00824C48" w:rsidP="00E30CD9">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r w:rsidRPr="0060210C">
        <w:rPr>
          <w:rFonts w:ascii="Times New Roman" w:eastAsiaTheme="majorEastAsia" w:hAnsi="Times New Roman" w:cs="Times New Roman"/>
          <w:i/>
          <w:iCs/>
          <w:color w:val="2F5496" w:themeColor="accent1" w:themeShade="BF"/>
        </w:rPr>
        <w:t>Digital Infrastructure</w:t>
      </w:r>
      <w:r>
        <w:rPr>
          <w:rFonts w:ascii="Times New Roman" w:eastAsiaTheme="majorEastAsia" w:hAnsi="Times New Roman" w:cs="Times New Roman"/>
          <w:i/>
          <w:iCs/>
          <w:color w:val="2F5496" w:themeColor="accent1" w:themeShade="BF"/>
        </w:rPr>
        <w:t xml:space="preserve">, </w:t>
      </w:r>
      <w:r w:rsidR="006D798C">
        <w:rPr>
          <w:rFonts w:ascii="Times New Roman" w:eastAsiaTheme="majorEastAsia" w:hAnsi="Times New Roman" w:cs="Times New Roman"/>
          <w:i/>
          <w:iCs/>
          <w:color w:val="2F5496" w:themeColor="accent1" w:themeShade="BF"/>
        </w:rPr>
        <w:t>Access,</w:t>
      </w:r>
      <w:r>
        <w:rPr>
          <w:rFonts w:ascii="Times New Roman" w:eastAsiaTheme="majorEastAsia" w:hAnsi="Times New Roman" w:cs="Times New Roman"/>
          <w:i/>
          <w:iCs/>
          <w:color w:val="2F5496" w:themeColor="accent1" w:themeShade="BF"/>
        </w:rPr>
        <w:t xml:space="preserve"> and Use of Internet</w:t>
      </w:r>
    </w:p>
    <w:p w14:paraId="0F2221D6" w14:textId="77777777" w:rsidR="00D01FC9" w:rsidRDefault="00D01FC9" w:rsidP="00D01FC9">
      <w:pPr>
        <w:autoSpaceDE w:val="0"/>
        <w:autoSpaceDN w:val="0"/>
        <w:adjustRightInd w:val="0"/>
        <w:spacing w:after="0" w:line="240" w:lineRule="auto"/>
        <w:jc w:val="both"/>
        <w:rPr>
          <w:rFonts w:ascii="Times New Roman" w:eastAsiaTheme="majorEastAsia" w:hAnsi="Times New Roman" w:cs="Times New Roman"/>
          <w:i/>
          <w:iCs/>
          <w:color w:val="2F5496" w:themeColor="accent1" w:themeShade="BF"/>
        </w:rPr>
      </w:pPr>
    </w:p>
    <w:p w14:paraId="1912DB6C" w14:textId="78774941" w:rsidR="0060210C" w:rsidRDefault="0060210C" w:rsidP="00D01FC9">
      <w:pPr>
        <w:autoSpaceDE w:val="0"/>
        <w:autoSpaceDN w:val="0"/>
        <w:adjustRightInd w:val="0"/>
        <w:spacing w:after="0" w:line="240" w:lineRule="auto"/>
        <w:jc w:val="both"/>
        <w:rPr>
          <w:rFonts w:ascii="Times New Roman" w:hAnsi="Times New Roman" w:cs="Times New Roman"/>
          <w:color w:val="000000"/>
        </w:rPr>
      </w:pPr>
      <w:r w:rsidRPr="0060210C">
        <w:rPr>
          <w:rFonts w:ascii="Times New Roman" w:hAnsi="Times New Roman" w:cs="Times New Roman"/>
          <w:b/>
          <w:bCs/>
          <w:color w:val="000000"/>
        </w:rPr>
        <w:t xml:space="preserve">Cabo Verde’s </w:t>
      </w:r>
      <w:r w:rsidR="00EF34CB" w:rsidRPr="0060210C">
        <w:rPr>
          <w:rFonts w:ascii="Times New Roman" w:hAnsi="Times New Roman" w:cs="Times New Roman"/>
          <w:b/>
          <w:bCs/>
          <w:color w:val="000000"/>
        </w:rPr>
        <w:t>internet penetration</w:t>
      </w:r>
      <w:r w:rsidR="00EF34CB" w:rsidRPr="0060210C" w:rsidDel="00EF34CB">
        <w:rPr>
          <w:rFonts w:ascii="Times New Roman" w:hAnsi="Times New Roman" w:cs="Times New Roman"/>
          <w:b/>
          <w:bCs/>
          <w:color w:val="000000"/>
        </w:rPr>
        <w:t xml:space="preserve"> </w:t>
      </w:r>
      <w:r w:rsidRPr="0060210C">
        <w:rPr>
          <w:rFonts w:ascii="Times New Roman" w:hAnsi="Times New Roman" w:cs="Times New Roman"/>
          <w:b/>
          <w:bCs/>
          <w:color w:val="000000"/>
        </w:rPr>
        <w:t>is above average, compared to its peers</w:t>
      </w:r>
      <w:r w:rsidR="00015A46">
        <w:rPr>
          <w:rFonts w:ascii="Times New Roman" w:hAnsi="Times New Roman" w:cs="Times New Roman"/>
          <w:b/>
          <w:bCs/>
          <w:color w:val="000000"/>
        </w:rPr>
        <w:t>,</w:t>
      </w:r>
      <w:r w:rsidR="00EF34CB">
        <w:rPr>
          <w:rFonts w:ascii="Times New Roman" w:hAnsi="Times New Roman" w:cs="Times New Roman"/>
          <w:b/>
          <w:bCs/>
          <w:color w:val="000000"/>
        </w:rPr>
        <w:t xml:space="preserve"> but</w:t>
      </w:r>
      <w:r w:rsidR="00EF34CB" w:rsidRPr="0060210C">
        <w:rPr>
          <w:rFonts w:ascii="Times New Roman" w:hAnsi="Times New Roman" w:cs="Times New Roman"/>
          <w:b/>
          <w:bCs/>
          <w:color w:val="000000"/>
        </w:rPr>
        <w:t xml:space="preserve"> </w:t>
      </w:r>
      <w:r w:rsidRPr="0060210C">
        <w:rPr>
          <w:rFonts w:ascii="Times New Roman" w:hAnsi="Times New Roman" w:cs="Times New Roman"/>
          <w:b/>
          <w:bCs/>
          <w:color w:val="000000"/>
        </w:rPr>
        <w:t>still has space to grow, driven by improved affordability and better connection quality.</w:t>
      </w:r>
      <w:r w:rsidRPr="0060210C">
        <w:rPr>
          <w:rFonts w:ascii="Times New Roman" w:hAnsi="Times New Roman" w:cs="Times New Roman"/>
          <w:color w:val="000000"/>
        </w:rPr>
        <w:t xml:space="preserve"> With around</w:t>
      </w:r>
      <w:r w:rsidRPr="0060210C">
        <w:rPr>
          <w:rFonts w:ascii="Times New Roman" w:hAnsi="Times New Roman" w:cs="Times New Roman"/>
          <w:i/>
          <w:iCs/>
          <w:color w:val="000000"/>
        </w:rPr>
        <w:t xml:space="preserve"> </w:t>
      </w:r>
      <w:r w:rsidRPr="0060210C">
        <w:rPr>
          <w:rFonts w:ascii="Times New Roman" w:hAnsi="Times New Roman" w:cs="Times New Roman"/>
          <w:color w:val="000000"/>
        </w:rPr>
        <w:t xml:space="preserve">62 percent of the population and 67 percent of households </w:t>
      </w:r>
      <w:r w:rsidR="00CE6449" w:rsidRPr="0060210C">
        <w:rPr>
          <w:rFonts w:ascii="Times New Roman" w:hAnsi="Times New Roman" w:cs="Times New Roman"/>
          <w:color w:val="000000"/>
        </w:rPr>
        <w:t>us</w:t>
      </w:r>
      <w:r w:rsidR="00CE6449">
        <w:rPr>
          <w:rFonts w:ascii="Times New Roman" w:hAnsi="Times New Roman" w:cs="Times New Roman"/>
          <w:color w:val="000000"/>
        </w:rPr>
        <w:t>ing the</w:t>
      </w:r>
      <w:r w:rsidR="00CE6449" w:rsidRPr="0060210C">
        <w:rPr>
          <w:rFonts w:ascii="Times New Roman" w:hAnsi="Times New Roman" w:cs="Times New Roman"/>
          <w:color w:val="000000"/>
        </w:rPr>
        <w:t xml:space="preserve"> </w:t>
      </w:r>
      <w:r w:rsidRPr="0060210C">
        <w:rPr>
          <w:rFonts w:ascii="Times New Roman" w:hAnsi="Times New Roman" w:cs="Times New Roman"/>
          <w:color w:val="000000"/>
        </w:rPr>
        <w:t xml:space="preserve">internet, the country is ahead of most peers and only behind Mauritius and Saint Kitts and Nevis. However, the </w:t>
      </w:r>
      <w:r w:rsidR="00024A67">
        <w:rPr>
          <w:rFonts w:ascii="Times New Roman" w:hAnsi="Times New Roman" w:cs="Times New Roman"/>
          <w:color w:val="000000"/>
        </w:rPr>
        <w:t xml:space="preserve">limited </w:t>
      </w:r>
      <w:r w:rsidRPr="0060210C">
        <w:rPr>
          <w:rFonts w:ascii="Times New Roman" w:hAnsi="Times New Roman" w:cs="Times New Roman"/>
          <w:color w:val="000000"/>
        </w:rPr>
        <w:t>international internet bandwidth</w:t>
      </w:r>
      <w:r w:rsidR="00473AB1">
        <w:rPr>
          <w:rFonts w:ascii="Times New Roman" w:hAnsi="Times New Roman" w:cs="Times New Roman"/>
          <w:color w:val="000000"/>
        </w:rPr>
        <w:t>,</w:t>
      </w:r>
      <w:r w:rsidRPr="0060210C">
        <w:rPr>
          <w:rFonts w:ascii="Times New Roman" w:hAnsi="Times New Roman" w:cs="Times New Roman"/>
          <w:color w:val="000000"/>
        </w:rPr>
        <w:t xml:space="preserve"> at 44 </w:t>
      </w:r>
      <w:r w:rsidRPr="0060210C">
        <w:rPr>
          <w:rFonts w:ascii="Times New Roman" w:hAnsi="Times New Roman" w:cs="Times New Roman"/>
          <w:color w:val="000000"/>
        </w:rPr>
        <w:lastRenderedPageBreak/>
        <w:t>kb per user</w:t>
      </w:r>
      <w:r w:rsidR="00473AB1">
        <w:rPr>
          <w:rFonts w:ascii="Times New Roman" w:hAnsi="Times New Roman" w:cs="Times New Roman"/>
          <w:color w:val="000000"/>
        </w:rPr>
        <w:t>,</w:t>
      </w:r>
      <w:r w:rsidRPr="0060210C">
        <w:rPr>
          <w:rFonts w:ascii="Times New Roman" w:hAnsi="Times New Roman" w:cs="Times New Roman"/>
          <w:color w:val="000000"/>
        </w:rPr>
        <w:t xml:space="preserve"> is </w:t>
      </w:r>
      <w:r w:rsidR="00024A67">
        <w:rPr>
          <w:rFonts w:ascii="Times New Roman" w:hAnsi="Times New Roman" w:cs="Times New Roman"/>
          <w:color w:val="000000"/>
        </w:rPr>
        <w:t>a</w:t>
      </w:r>
      <w:r w:rsidRPr="0060210C">
        <w:rPr>
          <w:rFonts w:ascii="Times New Roman" w:hAnsi="Times New Roman" w:cs="Times New Roman"/>
          <w:color w:val="000000"/>
        </w:rPr>
        <w:t xml:space="preserve"> </w:t>
      </w:r>
      <w:r w:rsidR="00E43027" w:rsidRPr="0060210C">
        <w:rPr>
          <w:rFonts w:ascii="Times New Roman" w:hAnsi="Times New Roman" w:cs="Times New Roman"/>
          <w:color w:val="000000"/>
        </w:rPr>
        <w:t>main weakness</w:t>
      </w:r>
      <w:r w:rsidRPr="0060210C">
        <w:rPr>
          <w:rFonts w:ascii="Times New Roman" w:hAnsi="Times New Roman" w:cs="Times New Roman"/>
          <w:color w:val="000000"/>
        </w:rPr>
        <w:t>, according to the Network Readiness Index (NRI). In addition, there are notable disparities in internet penetration among the rural and urban populations. For example, while 69 percent of residents of urban settlements use the internet, just 48 percent are internet users in rural settlements. Despite significant advancements, 2G technologies dominate the market of mobile broadband; the internet connection speed also demonstrates poor performance.</w:t>
      </w:r>
    </w:p>
    <w:p w14:paraId="32335AFE" w14:textId="77777777" w:rsidR="00D01FC9" w:rsidRPr="0060210C" w:rsidRDefault="00D01FC9" w:rsidP="00D01FC9">
      <w:pPr>
        <w:autoSpaceDE w:val="0"/>
        <w:autoSpaceDN w:val="0"/>
        <w:adjustRightInd w:val="0"/>
        <w:spacing w:after="0" w:line="240" w:lineRule="auto"/>
        <w:jc w:val="both"/>
        <w:rPr>
          <w:rFonts w:ascii="Times New Roman" w:hAnsi="Times New Roman" w:cs="Times New Roman"/>
          <w:color w:val="000000"/>
        </w:rPr>
      </w:pPr>
    </w:p>
    <w:p w14:paraId="037870D1" w14:textId="70456C70" w:rsidR="0060210C" w:rsidRDefault="0060210C" w:rsidP="0060210C">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r w:rsidRPr="0060210C">
        <w:rPr>
          <w:rFonts w:ascii="Times New Roman" w:eastAsiaTheme="majorEastAsia" w:hAnsi="Times New Roman" w:cs="Times New Roman"/>
          <w:i/>
          <w:iCs/>
          <w:color w:val="2F5496" w:themeColor="accent1" w:themeShade="BF"/>
        </w:rPr>
        <w:t>Digital Government</w:t>
      </w:r>
      <w:r w:rsidR="00824C48">
        <w:rPr>
          <w:rFonts w:ascii="Times New Roman" w:eastAsiaTheme="majorEastAsia" w:hAnsi="Times New Roman" w:cs="Times New Roman"/>
          <w:i/>
          <w:iCs/>
          <w:color w:val="2F5496" w:themeColor="accent1" w:themeShade="BF"/>
        </w:rPr>
        <w:t xml:space="preserve"> and Institutions</w:t>
      </w:r>
    </w:p>
    <w:p w14:paraId="325DF47B" w14:textId="77777777" w:rsidR="00D01FC9" w:rsidRPr="0060210C" w:rsidRDefault="00D01FC9" w:rsidP="0060210C">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p>
    <w:p w14:paraId="3E8CA657" w14:textId="7B3F33C3" w:rsidR="0060210C" w:rsidRPr="0060210C" w:rsidRDefault="00824C48" w:rsidP="0060210C">
      <w:pPr>
        <w:jc w:val="both"/>
        <w:rPr>
          <w:rFonts w:ascii="Times New Roman" w:hAnsi="Times New Roman" w:cs="Times New Roman"/>
          <w:color w:val="000000"/>
        </w:rPr>
      </w:pPr>
      <w:r w:rsidRPr="00824C48">
        <w:rPr>
          <w:rFonts w:ascii="Times New Roman" w:hAnsi="Times New Roman" w:cs="Times New Roman"/>
          <w:b/>
          <w:bCs/>
        </w:rPr>
        <w:t>Some foundational elements of digital government are in place and functioning.</w:t>
      </w:r>
      <w:r w:rsidR="0060210C" w:rsidRPr="0060210C">
        <w:rPr>
          <w:rFonts w:ascii="Times New Roman" w:hAnsi="Times New Roman" w:cs="Times New Roman"/>
          <w:b/>
          <w:bCs/>
        </w:rPr>
        <w:t xml:space="preserve"> </w:t>
      </w:r>
      <w:r w:rsidR="0060210C" w:rsidRPr="0060210C">
        <w:rPr>
          <w:rFonts w:ascii="Times New Roman" w:hAnsi="Times New Roman" w:cs="Times New Roman"/>
          <w:color w:val="000000"/>
        </w:rPr>
        <w:t xml:space="preserve">The digital transformation in government is led by strong institutions, such as </w:t>
      </w:r>
      <w:proofErr w:type="spellStart"/>
      <w:r w:rsidR="0060210C" w:rsidRPr="0060210C">
        <w:rPr>
          <w:rFonts w:ascii="Times New Roman" w:hAnsi="Times New Roman" w:cs="Times New Roman"/>
          <w:color w:val="000000"/>
        </w:rPr>
        <w:t>NOSi</w:t>
      </w:r>
      <w:proofErr w:type="spellEnd"/>
      <w:r w:rsidR="0060210C" w:rsidRPr="0060210C">
        <w:rPr>
          <w:rFonts w:ascii="Times New Roman" w:hAnsi="Times New Roman" w:cs="Times New Roman"/>
          <w:color w:val="000000"/>
        </w:rPr>
        <w:t xml:space="preserve"> and ARME.</w:t>
      </w:r>
      <w:r>
        <w:rPr>
          <w:rFonts w:ascii="Times New Roman" w:hAnsi="Times New Roman" w:cs="Times New Roman"/>
          <w:color w:val="000000"/>
        </w:rPr>
        <w:t xml:space="preserve"> The recently created Ministry of Digital Economy is expected to coordinate digital transformation in the government and broader economy.</w:t>
      </w:r>
      <w:r w:rsidR="0060210C" w:rsidRPr="0060210C">
        <w:rPr>
          <w:rFonts w:ascii="Times New Roman" w:hAnsi="Times New Roman" w:cs="Times New Roman"/>
          <w:color w:val="000000"/>
        </w:rPr>
        <w:t xml:space="preserve"> </w:t>
      </w:r>
      <w:r w:rsidR="00683F8F">
        <w:rPr>
          <w:rFonts w:ascii="Times New Roman" w:hAnsi="Times New Roman" w:cs="Times New Roman"/>
          <w:color w:val="000000"/>
        </w:rPr>
        <w:t>C</w:t>
      </w:r>
      <w:r w:rsidR="0060210C" w:rsidRPr="0060210C">
        <w:rPr>
          <w:rFonts w:ascii="Times New Roman" w:hAnsi="Times New Roman" w:cs="Times New Roman"/>
          <w:color w:val="000000"/>
        </w:rPr>
        <w:t xml:space="preserve">itizens can access multiple online government services through </w:t>
      </w:r>
      <w:r w:rsidR="00683F8F">
        <w:rPr>
          <w:rFonts w:ascii="Times New Roman" w:hAnsi="Times New Roman" w:cs="Times New Roman"/>
          <w:color w:val="000000"/>
        </w:rPr>
        <w:t xml:space="preserve">a </w:t>
      </w:r>
      <w:r w:rsidR="0060210C" w:rsidRPr="0060210C">
        <w:rPr>
          <w:rFonts w:ascii="Times New Roman" w:hAnsi="Times New Roman" w:cs="Times New Roman"/>
          <w:color w:val="000000"/>
        </w:rPr>
        <w:t>single window</w:t>
      </w:r>
      <w:r w:rsidR="00F94134">
        <w:rPr>
          <w:rFonts w:ascii="Times New Roman" w:hAnsi="Times New Roman" w:cs="Times New Roman"/>
          <w:color w:val="000000"/>
        </w:rPr>
        <w:t xml:space="preserve">; the </w:t>
      </w:r>
      <w:r w:rsidR="0060210C" w:rsidRPr="0060210C">
        <w:rPr>
          <w:rFonts w:ascii="Times New Roman" w:hAnsi="Times New Roman" w:cs="Times New Roman"/>
          <w:color w:val="000000"/>
        </w:rPr>
        <w:t>data exchange platform</w:t>
      </w:r>
      <w:r w:rsidR="00F94134">
        <w:rPr>
          <w:rFonts w:ascii="Times New Roman" w:hAnsi="Times New Roman" w:cs="Times New Roman"/>
          <w:color w:val="000000"/>
        </w:rPr>
        <w:t xml:space="preserve"> </w:t>
      </w:r>
      <w:r w:rsidR="0060210C" w:rsidRPr="0060210C">
        <w:rPr>
          <w:rFonts w:ascii="Times New Roman" w:hAnsi="Times New Roman" w:cs="Times New Roman"/>
          <w:color w:val="000000"/>
        </w:rPr>
        <w:t xml:space="preserve">will enable more end-to-end digital services. In addition, ongoing digital government projects, such as single external trade system JUCE, e-Embassy and others, promise accelerated digital development. However, e-government infrastructure </w:t>
      </w:r>
      <w:r w:rsidR="00965340">
        <w:rPr>
          <w:rFonts w:ascii="Times New Roman" w:hAnsi="Times New Roman" w:cs="Times New Roman"/>
          <w:color w:val="000000"/>
        </w:rPr>
        <w:t>is not developed enough to</w:t>
      </w:r>
      <w:r w:rsidR="0060210C" w:rsidRPr="0060210C">
        <w:rPr>
          <w:rFonts w:ascii="Times New Roman" w:hAnsi="Times New Roman" w:cs="Times New Roman"/>
          <w:color w:val="000000"/>
        </w:rPr>
        <w:t xml:space="preserve"> support resilient service delivery</w:t>
      </w:r>
      <w:r w:rsidR="00C11DFB">
        <w:rPr>
          <w:rFonts w:ascii="Times New Roman" w:hAnsi="Times New Roman" w:cs="Times New Roman"/>
          <w:color w:val="000000"/>
        </w:rPr>
        <w:t>, as highlighted by the</w:t>
      </w:r>
      <w:r w:rsidR="0060210C" w:rsidRPr="0060210C">
        <w:rPr>
          <w:rFonts w:ascii="Times New Roman" w:hAnsi="Times New Roman" w:cs="Times New Roman"/>
          <w:color w:val="000000"/>
        </w:rPr>
        <w:t xml:space="preserve"> 2020 </w:t>
      </w:r>
      <w:r w:rsidR="00965340">
        <w:rPr>
          <w:rFonts w:ascii="Times New Roman" w:hAnsi="Times New Roman" w:cs="Times New Roman"/>
          <w:color w:val="000000"/>
        </w:rPr>
        <w:t>UN</w:t>
      </w:r>
      <w:r w:rsidR="0060210C" w:rsidRPr="0060210C">
        <w:rPr>
          <w:rFonts w:ascii="Times New Roman" w:hAnsi="Times New Roman" w:cs="Times New Roman"/>
          <w:color w:val="000000"/>
        </w:rPr>
        <w:t xml:space="preserve"> Electronic Government Development Index (EGDI)</w:t>
      </w:r>
      <w:r w:rsidR="00C11DFB">
        <w:rPr>
          <w:rFonts w:ascii="Times New Roman" w:hAnsi="Times New Roman" w:cs="Times New Roman"/>
          <w:color w:val="000000"/>
        </w:rPr>
        <w:t xml:space="preserve"> that</w:t>
      </w:r>
      <w:r w:rsidR="0060210C" w:rsidRPr="0060210C">
        <w:rPr>
          <w:rFonts w:ascii="Times New Roman" w:hAnsi="Times New Roman" w:cs="Times New Roman"/>
          <w:color w:val="000000"/>
        </w:rPr>
        <w:t xml:space="preserve"> ranked the country 110th out of 193.</w:t>
      </w:r>
    </w:p>
    <w:p w14:paraId="34D63C16" w14:textId="6049F9F9" w:rsidR="0060210C" w:rsidRDefault="0060210C" w:rsidP="0060210C">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r w:rsidRPr="0060210C">
        <w:rPr>
          <w:rFonts w:ascii="Times New Roman" w:eastAsiaTheme="majorEastAsia" w:hAnsi="Times New Roman" w:cs="Times New Roman"/>
          <w:i/>
          <w:iCs/>
          <w:color w:val="2F5496" w:themeColor="accent1" w:themeShade="BF"/>
        </w:rPr>
        <w:t>Digital Development Policies and Regulations</w:t>
      </w:r>
    </w:p>
    <w:p w14:paraId="1107B8B3" w14:textId="77777777" w:rsidR="00D01FC9" w:rsidRPr="0060210C" w:rsidRDefault="00D01FC9" w:rsidP="0060210C">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p>
    <w:p w14:paraId="13DCD4E3" w14:textId="6C08C2C2" w:rsidR="00AF43A0" w:rsidRDefault="0060210C" w:rsidP="00AF43A0">
      <w:pPr>
        <w:jc w:val="both"/>
        <w:rPr>
          <w:rFonts w:ascii="Times New Roman" w:hAnsi="Times New Roman" w:cs="Times New Roman"/>
        </w:rPr>
      </w:pPr>
      <w:r w:rsidRPr="0060210C">
        <w:rPr>
          <w:rFonts w:ascii="Times New Roman" w:hAnsi="Times New Roman" w:cs="Times New Roman"/>
          <w:b/>
          <w:bCs/>
        </w:rPr>
        <w:t xml:space="preserve">In its efforts to promote the digital sector </w:t>
      </w:r>
      <w:r w:rsidR="00626502">
        <w:rPr>
          <w:rFonts w:ascii="Times New Roman" w:hAnsi="Times New Roman" w:cs="Times New Roman"/>
          <w:b/>
          <w:bCs/>
        </w:rPr>
        <w:t>for</w:t>
      </w:r>
      <w:r w:rsidRPr="0060210C">
        <w:rPr>
          <w:rFonts w:ascii="Times New Roman" w:hAnsi="Times New Roman" w:cs="Times New Roman"/>
          <w:b/>
          <w:bCs/>
        </w:rPr>
        <w:t xml:space="preserve"> economic diversification, the government </w:t>
      </w:r>
      <w:r w:rsidR="001A62D9">
        <w:rPr>
          <w:rFonts w:ascii="Times New Roman" w:hAnsi="Times New Roman" w:cs="Times New Roman"/>
          <w:b/>
          <w:bCs/>
        </w:rPr>
        <w:t xml:space="preserve">is </w:t>
      </w:r>
      <w:r w:rsidRPr="0060210C">
        <w:rPr>
          <w:rFonts w:ascii="Times New Roman" w:hAnsi="Times New Roman" w:cs="Times New Roman"/>
          <w:b/>
          <w:bCs/>
        </w:rPr>
        <w:t>enhanc</w:t>
      </w:r>
      <w:r w:rsidR="001A62D9">
        <w:rPr>
          <w:rFonts w:ascii="Times New Roman" w:hAnsi="Times New Roman" w:cs="Times New Roman"/>
          <w:b/>
          <w:bCs/>
        </w:rPr>
        <w:t>ing</w:t>
      </w:r>
      <w:r w:rsidRPr="0060210C">
        <w:rPr>
          <w:rFonts w:ascii="Times New Roman" w:hAnsi="Times New Roman" w:cs="Times New Roman"/>
          <w:b/>
          <w:bCs/>
        </w:rPr>
        <w:t xml:space="preserve"> sectoral policies, strengthen</w:t>
      </w:r>
      <w:r w:rsidR="001A62D9">
        <w:rPr>
          <w:rFonts w:ascii="Times New Roman" w:hAnsi="Times New Roman" w:cs="Times New Roman"/>
          <w:b/>
          <w:bCs/>
        </w:rPr>
        <w:t>ing</w:t>
      </w:r>
      <w:r w:rsidRPr="0060210C">
        <w:rPr>
          <w:rFonts w:ascii="Times New Roman" w:hAnsi="Times New Roman" w:cs="Times New Roman"/>
          <w:b/>
          <w:bCs/>
        </w:rPr>
        <w:t xml:space="preserve"> the regulatory framework, and </w:t>
      </w:r>
      <w:r w:rsidR="001A62D9" w:rsidRPr="0060210C">
        <w:rPr>
          <w:rFonts w:ascii="Times New Roman" w:hAnsi="Times New Roman" w:cs="Times New Roman"/>
          <w:b/>
          <w:bCs/>
        </w:rPr>
        <w:t>improv</w:t>
      </w:r>
      <w:r w:rsidR="001A62D9">
        <w:rPr>
          <w:rFonts w:ascii="Times New Roman" w:hAnsi="Times New Roman" w:cs="Times New Roman"/>
          <w:b/>
          <w:bCs/>
        </w:rPr>
        <w:t>ing</w:t>
      </w:r>
      <w:r w:rsidR="001A62D9" w:rsidRPr="0060210C">
        <w:rPr>
          <w:rFonts w:ascii="Times New Roman" w:hAnsi="Times New Roman" w:cs="Times New Roman"/>
          <w:b/>
          <w:bCs/>
        </w:rPr>
        <w:t xml:space="preserve"> </w:t>
      </w:r>
      <w:r w:rsidRPr="0060210C">
        <w:rPr>
          <w:rFonts w:ascii="Times New Roman" w:hAnsi="Times New Roman" w:cs="Times New Roman"/>
          <w:b/>
          <w:bCs/>
        </w:rPr>
        <w:t>the legal environment.</w:t>
      </w:r>
      <w:r w:rsidRPr="0060210C">
        <w:rPr>
          <w:rFonts w:ascii="Times New Roman" w:hAnsi="Times New Roman" w:cs="Times New Roman"/>
          <w:b/>
          <w:bCs/>
          <w:color w:val="002060"/>
        </w:rPr>
        <w:t xml:space="preserve"> </w:t>
      </w:r>
      <w:r w:rsidRPr="0060210C">
        <w:rPr>
          <w:rFonts w:ascii="Times New Roman" w:hAnsi="Times New Roman" w:cs="Times New Roman"/>
          <w:color w:val="000000"/>
        </w:rPr>
        <w:t xml:space="preserve">Digital development </w:t>
      </w:r>
      <w:r w:rsidR="00450717">
        <w:rPr>
          <w:rFonts w:ascii="Times New Roman" w:hAnsi="Times New Roman" w:cs="Times New Roman"/>
          <w:color w:val="000000"/>
        </w:rPr>
        <w:t>is central to</w:t>
      </w:r>
      <w:r w:rsidRPr="0060210C">
        <w:rPr>
          <w:rFonts w:ascii="Times New Roman" w:hAnsi="Times New Roman" w:cs="Times New Roman"/>
          <w:color w:val="000000"/>
        </w:rPr>
        <w:t xml:space="preserve"> the government’s </w:t>
      </w:r>
      <w:r w:rsidRPr="002D6F39">
        <w:rPr>
          <w:rFonts w:ascii="Times New Roman" w:hAnsi="Times New Roman" w:cs="Times New Roman"/>
          <w:i/>
          <w:iCs/>
          <w:color w:val="000000"/>
        </w:rPr>
        <w:t>Strategic Plan for Sustainable Development</w:t>
      </w:r>
      <w:r w:rsidR="00A97FF3">
        <w:rPr>
          <w:rFonts w:ascii="Times New Roman" w:hAnsi="Times New Roman" w:cs="Times New Roman"/>
          <w:color w:val="000000"/>
        </w:rPr>
        <w:t xml:space="preserve"> </w:t>
      </w:r>
      <w:r w:rsidR="00F63CBD">
        <w:rPr>
          <w:rFonts w:ascii="Times New Roman" w:hAnsi="Times New Roman" w:cs="Times New Roman"/>
          <w:color w:val="000000"/>
        </w:rPr>
        <w:t>(</w:t>
      </w:r>
      <w:r w:rsidR="00456D0E">
        <w:rPr>
          <w:rFonts w:ascii="Times New Roman" w:hAnsi="Times New Roman" w:cs="Times New Roman"/>
          <w:color w:val="000000"/>
        </w:rPr>
        <w:t xml:space="preserve">PEDS 22-26) </w:t>
      </w:r>
      <w:r w:rsidR="00A97FF3">
        <w:rPr>
          <w:rFonts w:ascii="Times New Roman" w:hAnsi="Times New Roman" w:cs="Times New Roman"/>
          <w:color w:val="000000"/>
        </w:rPr>
        <w:t xml:space="preserve">along with </w:t>
      </w:r>
      <w:r w:rsidR="00BC0ED5">
        <w:rPr>
          <w:rFonts w:ascii="Times New Roman" w:hAnsi="Times New Roman" w:cs="Times New Roman"/>
        </w:rPr>
        <w:t>the</w:t>
      </w:r>
      <w:r w:rsidRPr="0060210C">
        <w:rPr>
          <w:rFonts w:ascii="Times New Roman" w:hAnsi="Times New Roman" w:cs="Times New Roman"/>
        </w:rPr>
        <w:t xml:space="preserve"> dedicated </w:t>
      </w:r>
      <w:r w:rsidRPr="002D6F39">
        <w:rPr>
          <w:rFonts w:ascii="Times New Roman" w:hAnsi="Times New Roman" w:cs="Times New Roman"/>
          <w:i/>
          <w:iCs/>
        </w:rPr>
        <w:t>Cabo Verde Digital Strategy</w:t>
      </w:r>
      <w:r w:rsidRPr="0060210C">
        <w:rPr>
          <w:rFonts w:ascii="Times New Roman" w:hAnsi="Times New Roman" w:cs="Times New Roman"/>
        </w:rPr>
        <w:t xml:space="preserve"> (EDCV) – Agenda for 2019-2021. Some elements of the digital economy</w:t>
      </w:r>
      <w:r w:rsidR="00B44B62">
        <w:rPr>
          <w:rFonts w:ascii="Times New Roman" w:hAnsi="Times New Roman" w:cs="Times New Roman"/>
        </w:rPr>
        <w:t>’s</w:t>
      </w:r>
      <w:r w:rsidRPr="0060210C">
        <w:rPr>
          <w:rFonts w:ascii="Times New Roman" w:hAnsi="Times New Roman" w:cs="Times New Roman"/>
        </w:rPr>
        <w:t xml:space="preserve"> regulatory and legal framework are in place, but sector-related policies need to be enhanced to incentivize investments. </w:t>
      </w:r>
      <w:r w:rsidR="001A5F04">
        <w:rPr>
          <w:rFonts w:ascii="Times New Roman" w:hAnsi="Times New Roman" w:cs="Times New Roman"/>
        </w:rPr>
        <w:t>T</w:t>
      </w:r>
      <w:r w:rsidRPr="0060210C">
        <w:rPr>
          <w:rFonts w:ascii="Times New Roman" w:hAnsi="Times New Roman" w:cs="Times New Roman"/>
        </w:rPr>
        <w:t xml:space="preserve">elecom sector </w:t>
      </w:r>
      <w:r w:rsidR="00050691">
        <w:rPr>
          <w:rFonts w:ascii="Times New Roman" w:hAnsi="Times New Roman" w:cs="Times New Roman"/>
        </w:rPr>
        <w:t>has</w:t>
      </w:r>
      <w:r w:rsidR="008D5592">
        <w:rPr>
          <w:rFonts w:ascii="Times New Roman" w:hAnsi="Times New Roman" w:cs="Times New Roman"/>
        </w:rPr>
        <w:t xml:space="preserve"> been </w:t>
      </w:r>
      <w:r w:rsidR="00E3150E">
        <w:rPr>
          <w:rFonts w:ascii="Times New Roman" w:hAnsi="Times New Roman" w:cs="Times New Roman"/>
        </w:rPr>
        <w:t>developing;</w:t>
      </w:r>
      <w:r w:rsidR="00B2560C">
        <w:rPr>
          <w:rFonts w:ascii="Times New Roman" w:hAnsi="Times New Roman" w:cs="Times New Roman"/>
        </w:rPr>
        <w:t xml:space="preserve"> </w:t>
      </w:r>
      <w:r w:rsidRPr="0060210C">
        <w:rPr>
          <w:rFonts w:ascii="Times New Roman" w:hAnsi="Times New Roman" w:cs="Times New Roman"/>
        </w:rPr>
        <w:t xml:space="preserve">however, insufficient market competition is still limiting growth. With the development in e-government, data privacy, data protection, and sovereignty also started to gain </w:t>
      </w:r>
      <w:r w:rsidR="004F341B">
        <w:rPr>
          <w:rFonts w:ascii="Times New Roman" w:hAnsi="Times New Roman" w:cs="Times New Roman"/>
        </w:rPr>
        <w:t>prominence</w:t>
      </w:r>
      <w:r w:rsidRPr="0060210C">
        <w:rPr>
          <w:rFonts w:ascii="Times New Roman" w:hAnsi="Times New Roman" w:cs="Times New Roman"/>
        </w:rPr>
        <w:t xml:space="preserve">. The </w:t>
      </w:r>
      <w:r w:rsidRPr="002D6F39">
        <w:rPr>
          <w:rFonts w:ascii="Times New Roman" w:hAnsi="Times New Roman" w:cs="Times New Roman"/>
          <w:i/>
          <w:iCs/>
        </w:rPr>
        <w:t>National Cybersecurity Strategy 2016-2020</w:t>
      </w:r>
      <w:r w:rsidRPr="0060210C">
        <w:rPr>
          <w:rFonts w:ascii="Times New Roman" w:hAnsi="Times New Roman" w:cs="Times New Roman"/>
        </w:rPr>
        <w:t xml:space="preserve"> identified priority areas for the country's cybersecurity capacities. However, the Cybersecurity Capacity Review by the WB in 2019 assessed the country's capabilities in areas such as software quality, technical security controls, or incidence response to be insufficient. In addition, ITU's Global Cybersecurity Index 2020 </w:t>
      </w:r>
      <w:r w:rsidR="00A87A03" w:rsidRPr="0060210C">
        <w:rPr>
          <w:rFonts w:ascii="Times New Roman" w:hAnsi="Times New Roman" w:cs="Times New Roman"/>
        </w:rPr>
        <w:t>position</w:t>
      </w:r>
      <w:r w:rsidR="00A87A03">
        <w:rPr>
          <w:rFonts w:ascii="Times New Roman" w:hAnsi="Times New Roman" w:cs="Times New Roman"/>
        </w:rPr>
        <w:t>ed</w:t>
      </w:r>
      <w:r w:rsidR="00A87A03" w:rsidRPr="0060210C">
        <w:rPr>
          <w:rFonts w:ascii="Times New Roman" w:hAnsi="Times New Roman" w:cs="Times New Roman"/>
        </w:rPr>
        <w:t xml:space="preserve"> </w:t>
      </w:r>
      <w:r w:rsidRPr="0060210C">
        <w:rPr>
          <w:rFonts w:ascii="Times New Roman" w:hAnsi="Times New Roman" w:cs="Times New Roman"/>
        </w:rPr>
        <w:t>Cabo Verde 136</w:t>
      </w:r>
      <w:r w:rsidRPr="0060210C">
        <w:rPr>
          <w:rFonts w:ascii="Times New Roman" w:hAnsi="Times New Roman" w:cs="Times New Roman"/>
          <w:vertAlign w:val="superscript"/>
        </w:rPr>
        <w:t>th</w:t>
      </w:r>
      <w:r w:rsidRPr="0060210C">
        <w:rPr>
          <w:rFonts w:ascii="Times New Roman" w:hAnsi="Times New Roman" w:cs="Times New Roman"/>
        </w:rPr>
        <w:t xml:space="preserve"> in the world and 27</w:t>
      </w:r>
      <w:r w:rsidRPr="0060210C">
        <w:rPr>
          <w:rFonts w:ascii="Times New Roman" w:hAnsi="Times New Roman" w:cs="Times New Roman"/>
          <w:vertAlign w:val="superscript"/>
        </w:rPr>
        <w:t>th</w:t>
      </w:r>
      <w:r w:rsidRPr="0060210C">
        <w:rPr>
          <w:rFonts w:ascii="Times New Roman" w:hAnsi="Times New Roman" w:cs="Times New Roman"/>
        </w:rPr>
        <w:t xml:space="preserve"> in the Africa region </w:t>
      </w:r>
      <w:r w:rsidR="00A87A03">
        <w:rPr>
          <w:rFonts w:ascii="Times New Roman" w:hAnsi="Times New Roman" w:cs="Times New Roman"/>
        </w:rPr>
        <w:t>in terms of</w:t>
      </w:r>
      <w:r w:rsidR="00A87A03" w:rsidRPr="0060210C">
        <w:rPr>
          <w:rFonts w:ascii="Times New Roman" w:hAnsi="Times New Roman" w:cs="Times New Roman"/>
        </w:rPr>
        <w:t xml:space="preserve"> </w:t>
      </w:r>
      <w:r w:rsidRPr="0060210C">
        <w:rPr>
          <w:rFonts w:ascii="Times New Roman" w:hAnsi="Times New Roman" w:cs="Times New Roman"/>
        </w:rPr>
        <w:t>the resilience of its cybersecurity system.</w:t>
      </w:r>
    </w:p>
    <w:p w14:paraId="3D9F45DB" w14:textId="2978A19D" w:rsidR="0060210C" w:rsidRPr="0060210C" w:rsidRDefault="0060210C" w:rsidP="00AF43A0">
      <w:pPr>
        <w:jc w:val="both"/>
        <w:rPr>
          <w:rFonts w:ascii="Times New Roman" w:eastAsiaTheme="majorEastAsia" w:hAnsi="Times New Roman" w:cs="Times New Roman"/>
          <w:i/>
          <w:iCs/>
          <w:color w:val="2F5496" w:themeColor="accent1" w:themeShade="BF"/>
        </w:rPr>
      </w:pPr>
      <w:r w:rsidRPr="0060210C">
        <w:rPr>
          <w:rFonts w:ascii="Times New Roman" w:eastAsiaTheme="majorEastAsia" w:hAnsi="Times New Roman" w:cs="Times New Roman"/>
          <w:i/>
          <w:iCs/>
          <w:color w:val="2F5496" w:themeColor="accent1" w:themeShade="BF"/>
        </w:rPr>
        <w:t>Innovation and Entrepreneurship</w:t>
      </w:r>
    </w:p>
    <w:p w14:paraId="2247BF9F" w14:textId="74BC988A" w:rsidR="0060210C" w:rsidRPr="0060210C" w:rsidRDefault="0060210C" w:rsidP="0060210C">
      <w:pPr>
        <w:jc w:val="both"/>
        <w:rPr>
          <w:rFonts w:ascii="Times New Roman" w:hAnsi="Times New Roman" w:cs="Times New Roman"/>
        </w:rPr>
      </w:pPr>
      <w:r w:rsidRPr="0060210C">
        <w:rPr>
          <w:rFonts w:ascii="Times New Roman" w:hAnsi="Times New Roman" w:cs="Times New Roman"/>
          <w:b/>
          <w:bCs/>
        </w:rPr>
        <w:t xml:space="preserve">There is an emerging entrepreneurship scenery in Cabo Verde; however, the innovation ecosystem is still nascent. </w:t>
      </w:r>
      <w:r w:rsidRPr="0060210C">
        <w:rPr>
          <w:rFonts w:ascii="Times New Roman" w:hAnsi="Times New Roman" w:cs="Times New Roman"/>
        </w:rPr>
        <w:t>A variety of programs aim at cultivating digital entrepreneurship in Cabo Verde</w:t>
      </w:r>
      <w:r w:rsidR="008A0804">
        <w:rPr>
          <w:rFonts w:ascii="Times New Roman" w:hAnsi="Times New Roman" w:cs="Times New Roman"/>
        </w:rPr>
        <w:t>, but</w:t>
      </w:r>
      <w:r w:rsidRPr="0060210C">
        <w:rPr>
          <w:rFonts w:ascii="Times New Roman" w:hAnsi="Times New Roman" w:cs="Times New Roman"/>
        </w:rPr>
        <w:t xml:space="preserve"> startup activities are still limited. According to Global Innovation Index 2020 (GII), Cabo Verde's innovation performance ranked 100</w:t>
      </w:r>
      <w:r w:rsidRPr="0060210C">
        <w:rPr>
          <w:rFonts w:ascii="Times New Roman" w:hAnsi="Times New Roman" w:cs="Times New Roman"/>
          <w:vertAlign w:val="superscript"/>
        </w:rPr>
        <w:t>th</w:t>
      </w:r>
      <w:r w:rsidRPr="0060210C">
        <w:rPr>
          <w:rFonts w:ascii="Times New Roman" w:hAnsi="Times New Roman" w:cs="Times New Roman"/>
        </w:rPr>
        <w:t xml:space="preserve"> among 131 countries and 15</w:t>
      </w:r>
      <w:r w:rsidRPr="0060210C">
        <w:rPr>
          <w:rFonts w:ascii="Times New Roman" w:hAnsi="Times New Roman" w:cs="Times New Roman"/>
          <w:vertAlign w:val="superscript"/>
        </w:rPr>
        <w:t>th</w:t>
      </w:r>
      <w:r w:rsidRPr="0060210C">
        <w:rPr>
          <w:rFonts w:ascii="Times New Roman" w:hAnsi="Times New Roman" w:cs="Times New Roman"/>
        </w:rPr>
        <w:t xml:space="preserve"> among lower-middle-income countries, and 7</w:t>
      </w:r>
      <w:r w:rsidRPr="0060210C">
        <w:rPr>
          <w:rFonts w:ascii="Times New Roman" w:hAnsi="Times New Roman" w:cs="Times New Roman"/>
          <w:vertAlign w:val="superscript"/>
        </w:rPr>
        <w:t>th</w:t>
      </w:r>
      <w:r w:rsidRPr="0060210C">
        <w:rPr>
          <w:rFonts w:ascii="Times New Roman" w:hAnsi="Times New Roman" w:cs="Times New Roman"/>
        </w:rPr>
        <w:t xml:space="preserve"> in Sub-Saharan Africa. The Global Startup Ecosystem Index 2021 ranks it 87</w:t>
      </w:r>
      <w:r w:rsidRPr="0060210C">
        <w:rPr>
          <w:rFonts w:ascii="Times New Roman" w:hAnsi="Times New Roman" w:cs="Times New Roman"/>
          <w:vertAlign w:val="superscript"/>
        </w:rPr>
        <w:t>th</w:t>
      </w:r>
      <w:r w:rsidRPr="0060210C">
        <w:rPr>
          <w:rFonts w:ascii="Times New Roman" w:hAnsi="Times New Roman" w:cs="Times New Roman"/>
        </w:rPr>
        <w:t xml:space="preserve"> among 100 countries globally. With the growing trends, the ICT sector's </w:t>
      </w:r>
      <w:r w:rsidR="00860A8C">
        <w:rPr>
          <w:rFonts w:ascii="Times New Roman" w:hAnsi="Times New Roman" w:cs="Times New Roman"/>
        </w:rPr>
        <w:t>(telecommunications and postal services)</w:t>
      </w:r>
      <w:r w:rsidR="00860A8C" w:rsidRPr="00860A8C">
        <w:rPr>
          <w:rFonts w:ascii="Times New Roman" w:hAnsi="Times New Roman" w:cs="Times New Roman"/>
        </w:rPr>
        <w:t xml:space="preserve"> </w:t>
      </w:r>
      <w:r w:rsidR="00D11245">
        <w:rPr>
          <w:rFonts w:ascii="Times New Roman" w:hAnsi="Times New Roman" w:cs="Times New Roman"/>
        </w:rPr>
        <w:t>contribution to</w:t>
      </w:r>
      <w:r w:rsidRPr="0060210C">
        <w:rPr>
          <w:rFonts w:ascii="Times New Roman" w:hAnsi="Times New Roman" w:cs="Times New Roman"/>
        </w:rPr>
        <w:t xml:space="preserve"> the economy </w:t>
      </w:r>
      <w:r w:rsidR="003936E9">
        <w:rPr>
          <w:rFonts w:ascii="Times New Roman" w:hAnsi="Times New Roman" w:cs="Times New Roman"/>
        </w:rPr>
        <w:t>was</w:t>
      </w:r>
      <w:r w:rsidR="00F94134">
        <w:rPr>
          <w:rFonts w:ascii="Times New Roman" w:hAnsi="Times New Roman" w:cs="Times New Roman"/>
        </w:rPr>
        <w:t xml:space="preserve"> </w:t>
      </w:r>
      <w:r w:rsidRPr="0060210C">
        <w:rPr>
          <w:rFonts w:ascii="Times New Roman" w:hAnsi="Times New Roman" w:cs="Times New Roman"/>
        </w:rPr>
        <w:t>2.</w:t>
      </w:r>
      <w:r w:rsidR="00C9780A">
        <w:rPr>
          <w:rFonts w:ascii="Times New Roman" w:hAnsi="Times New Roman" w:cs="Times New Roman"/>
        </w:rPr>
        <w:t>7</w:t>
      </w:r>
      <w:r w:rsidRPr="0060210C">
        <w:rPr>
          <w:rFonts w:ascii="Times New Roman" w:hAnsi="Times New Roman" w:cs="Times New Roman"/>
        </w:rPr>
        <w:t xml:space="preserve"> percent of GDP</w:t>
      </w:r>
      <w:r w:rsidR="00F94134">
        <w:rPr>
          <w:rFonts w:ascii="Times New Roman" w:hAnsi="Times New Roman" w:cs="Times New Roman"/>
        </w:rPr>
        <w:t xml:space="preserve"> </w:t>
      </w:r>
      <w:r w:rsidR="00C9780A">
        <w:rPr>
          <w:rFonts w:ascii="Times New Roman" w:hAnsi="Times New Roman" w:cs="Times New Roman"/>
        </w:rPr>
        <w:t>in 2021</w:t>
      </w:r>
      <w:r w:rsidRPr="0060210C">
        <w:rPr>
          <w:rFonts w:ascii="Times New Roman" w:hAnsi="Times New Roman" w:cs="Times New Roman"/>
        </w:rPr>
        <w:t>.</w:t>
      </w:r>
    </w:p>
    <w:p w14:paraId="358F012B" w14:textId="77777777" w:rsidR="0060210C" w:rsidRPr="0060210C" w:rsidRDefault="0060210C" w:rsidP="0060210C">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r w:rsidRPr="0060210C">
        <w:rPr>
          <w:rFonts w:ascii="Times New Roman" w:eastAsiaTheme="majorEastAsia" w:hAnsi="Times New Roman" w:cs="Times New Roman"/>
          <w:i/>
          <w:iCs/>
          <w:color w:val="2F5496" w:themeColor="accent1" w:themeShade="BF"/>
        </w:rPr>
        <w:t>Digital Skills</w:t>
      </w:r>
    </w:p>
    <w:p w14:paraId="4A2C9042" w14:textId="0B0087A7" w:rsidR="0060210C" w:rsidRPr="0060210C" w:rsidRDefault="00F3044C" w:rsidP="0060210C">
      <w:pPr>
        <w:tabs>
          <w:tab w:val="left" w:pos="2150"/>
        </w:tabs>
        <w:spacing w:before="120" w:after="120"/>
        <w:jc w:val="both"/>
        <w:rPr>
          <w:rFonts w:ascii="Times New Roman" w:hAnsi="Times New Roman" w:cs="Times New Roman"/>
        </w:rPr>
      </w:pPr>
      <w:r>
        <w:rPr>
          <w:rFonts w:ascii="Times New Roman" w:hAnsi="Times New Roman" w:cs="Times New Roman"/>
          <w:b/>
          <w:bCs/>
        </w:rPr>
        <w:t>S</w:t>
      </w:r>
      <w:r w:rsidR="0060210C" w:rsidRPr="0060210C">
        <w:rPr>
          <w:rFonts w:ascii="Times New Roman" w:hAnsi="Times New Roman" w:cs="Times New Roman"/>
          <w:b/>
          <w:bCs/>
        </w:rPr>
        <w:t>ustained effort</w:t>
      </w:r>
      <w:r>
        <w:rPr>
          <w:rFonts w:ascii="Times New Roman" w:hAnsi="Times New Roman" w:cs="Times New Roman"/>
          <w:b/>
          <w:bCs/>
        </w:rPr>
        <w:t xml:space="preserve"> is needed</w:t>
      </w:r>
      <w:r w:rsidR="0060210C" w:rsidRPr="0060210C">
        <w:rPr>
          <w:rFonts w:ascii="Times New Roman" w:hAnsi="Times New Roman" w:cs="Times New Roman"/>
          <w:b/>
          <w:bCs/>
        </w:rPr>
        <w:t xml:space="preserve"> to promote the digital skills agenda</w:t>
      </w:r>
      <w:r w:rsidR="0060210C" w:rsidRPr="00E8118F">
        <w:rPr>
          <w:rFonts w:ascii="Times New Roman" w:hAnsi="Times New Roman" w:cs="Times New Roman"/>
        </w:rPr>
        <w:t>.</w:t>
      </w:r>
      <w:r w:rsidR="0060210C" w:rsidRPr="0060210C">
        <w:rPr>
          <w:rFonts w:ascii="Times New Roman" w:hAnsi="Times New Roman" w:cs="Times New Roman"/>
          <w:b/>
          <w:bCs/>
        </w:rPr>
        <w:t xml:space="preserve"> </w:t>
      </w:r>
      <w:r w:rsidR="0060210C" w:rsidRPr="0060210C">
        <w:rPr>
          <w:rFonts w:ascii="Times New Roman" w:hAnsi="Times New Roman" w:cs="Times New Roman"/>
        </w:rPr>
        <w:t xml:space="preserve">Modernization of the national school curriculum and enhancement of ICT laboratories in schools </w:t>
      </w:r>
      <w:r w:rsidR="00A0631F">
        <w:rPr>
          <w:rFonts w:ascii="Times New Roman" w:hAnsi="Times New Roman" w:cs="Times New Roman"/>
        </w:rPr>
        <w:t>could</w:t>
      </w:r>
      <w:r w:rsidR="0060210C" w:rsidRPr="0060210C">
        <w:rPr>
          <w:rFonts w:ascii="Times New Roman" w:hAnsi="Times New Roman" w:cs="Times New Roman"/>
        </w:rPr>
        <w:t xml:space="preserve"> produce tech-savvy graduates with higher rates going into ICT careers. The adoption of technologies in the education process is still hampered by </w:t>
      </w:r>
      <w:r w:rsidR="0060210C" w:rsidRPr="0060210C">
        <w:rPr>
          <w:rFonts w:ascii="Times New Roman" w:hAnsi="Times New Roman" w:cs="Times New Roman"/>
        </w:rPr>
        <w:lastRenderedPageBreak/>
        <w:t>limited</w:t>
      </w:r>
      <w:r w:rsidR="00F94134">
        <w:rPr>
          <w:rFonts w:ascii="Times New Roman" w:hAnsi="Times New Roman" w:cs="Times New Roman"/>
        </w:rPr>
        <w:t xml:space="preserve"> reliable high-speed</w:t>
      </w:r>
      <w:r w:rsidR="0060210C" w:rsidRPr="0060210C">
        <w:rPr>
          <w:rFonts w:ascii="Times New Roman" w:hAnsi="Times New Roman" w:cs="Times New Roman"/>
        </w:rPr>
        <w:t xml:space="preserve"> connectivity and lack of ICT skills among teachers. Several initiatives, such as </w:t>
      </w:r>
      <w:proofErr w:type="spellStart"/>
      <w:r w:rsidR="0060210C" w:rsidRPr="0060210C">
        <w:rPr>
          <w:rFonts w:ascii="Times New Roman" w:hAnsi="Times New Roman" w:cs="Times New Roman"/>
        </w:rPr>
        <w:t>NOSiakademia</w:t>
      </w:r>
      <w:proofErr w:type="spellEnd"/>
      <w:r w:rsidR="0060210C" w:rsidRPr="0060210C">
        <w:rPr>
          <w:rFonts w:ascii="Times New Roman" w:hAnsi="Times New Roman" w:cs="Times New Roman"/>
        </w:rPr>
        <w:t xml:space="preserve">, </w:t>
      </w:r>
      <w:proofErr w:type="spellStart"/>
      <w:r w:rsidR="0060210C" w:rsidRPr="0060210C">
        <w:rPr>
          <w:rFonts w:ascii="Times New Roman" w:hAnsi="Times New Roman" w:cs="Times New Roman"/>
        </w:rPr>
        <w:t>Outcode</w:t>
      </w:r>
      <w:proofErr w:type="spellEnd"/>
      <w:r w:rsidR="0060210C" w:rsidRPr="0060210C">
        <w:rPr>
          <w:rFonts w:ascii="Times New Roman" w:hAnsi="Times New Roman" w:cs="Times New Roman"/>
        </w:rPr>
        <w:t xml:space="preserve"> program and others aim at filling the </w:t>
      </w:r>
      <w:r w:rsidR="005A3C8E">
        <w:rPr>
          <w:rFonts w:ascii="Times New Roman" w:hAnsi="Times New Roman" w:cs="Times New Roman"/>
        </w:rPr>
        <w:t xml:space="preserve">ICT skills </w:t>
      </w:r>
      <w:r w:rsidR="0060210C" w:rsidRPr="0060210C">
        <w:rPr>
          <w:rFonts w:ascii="Times New Roman" w:hAnsi="Times New Roman" w:cs="Times New Roman"/>
        </w:rPr>
        <w:t>gap</w:t>
      </w:r>
      <w:r w:rsidR="00A747F8">
        <w:rPr>
          <w:rFonts w:ascii="Times New Roman" w:hAnsi="Times New Roman" w:cs="Times New Roman"/>
        </w:rPr>
        <w:t>s</w:t>
      </w:r>
      <w:r w:rsidR="0060210C" w:rsidRPr="0060210C">
        <w:rPr>
          <w:rFonts w:ascii="Times New Roman" w:hAnsi="Times New Roman" w:cs="Times New Roman"/>
        </w:rPr>
        <w:t xml:space="preserve"> </w:t>
      </w:r>
      <w:r w:rsidR="005A3C8E">
        <w:rPr>
          <w:rFonts w:ascii="Times New Roman" w:hAnsi="Times New Roman" w:cs="Times New Roman"/>
        </w:rPr>
        <w:t>i</w:t>
      </w:r>
      <w:r w:rsidR="0060210C" w:rsidRPr="0060210C">
        <w:rPr>
          <w:rFonts w:ascii="Times New Roman" w:hAnsi="Times New Roman" w:cs="Times New Roman"/>
        </w:rPr>
        <w:t xml:space="preserve">n the market. </w:t>
      </w:r>
    </w:p>
    <w:p w14:paraId="2AA71250" w14:textId="77777777" w:rsidR="0060210C" w:rsidRPr="0060210C" w:rsidRDefault="0060210C" w:rsidP="0060210C">
      <w:pPr>
        <w:keepNext/>
        <w:keepLines/>
        <w:tabs>
          <w:tab w:val="left" w:pos="2110"/>
        </w:tabs>
        <w:spacing w:before="40" w:after="0" w:line="276" w:lineRule="auto"/>
        <w:outlineLvl w:val="3"/>
        <w:rPr>
          <w:rFonts w:ascii="Times New Roman" w:eastAsiaTheme="majorEastAsia" w:hAnsi="Times New Roman" w:cs="Times New Roman"/>
          <w:i/>
          <w:iCs/>
          <w:color w:val="2F5496" w:themeColor="accent1" w:themeShade="BF"/>
        </w:rPr>
      </w:pPr>
      <w:r w:rsidRPr="0060210C">
        <w:rPr>
          <w:rFonts w:ascii="Times New Roman" w:eastAsiaTheme="majorEastAsia" w:hAnsi="Times New Roman" w:cs="Times New Roman"/>
          <w:i/>
          <w:iCs/>
          <w:color w:val="2F5496" w:themeColor="accent1" w:themeShade="BF"/>
        </w:rPr>
        <w:t>Policy Priorities and Reform Areas</w:t>
      </w:r>
    </w:p>
    <w:p w14:paraId="667654D6" w14:textId="5F333E6C" w:rsidR="0060210C" w:rsidRDefault="00996D15" w:rsidP="0060210C">
      <w:pPr>
        <w:tabs>
          <w:tab w:val="left" w:pos="2150"/>
        </w:tabs>
        <w:spacing w:before="120" w:after="120"/>
        <w:jc w:val="both"/>
        <w:rPr>
          <w:rFonts w:ascii="Times New Roman" w:hAnsi="Times New Roman" w:cs="Times New Roman"/>
        </w:rPr>
      </w:pPr>
      <w:r w:rsidRPr="00996D15">
        <w:rPr>
          <w:rFonts w:ascii="Times New Roman" w:hAnsi="Times New Roman" w:cs="Times New Roman"/>
          <w:b/>
          <w:bCs/>
        </w:rPr>
        <w:t xml:space="preserve">Further investments and policies are required to bolster the innovation ecosystem, increase the adoption of digital technologies across industries and create a favorable business environment to position Cabo Verde as a regional digital hub. </w:t>
      </w:r>
      <w:r w:rsidRPr="00A27DC3">
        <w:rPr>
          <w:rFonts w:ascii="Times New Roman" w:hAnsi="Times New Roman" w:cs="Times New Roman"/>
        </w:rPr>
        <w:t xml:space="preserve">The country has developed a relatively </w:t>
      </w:r>
      <w:r w:rsidR="00C13D4D">
        <w:rPr>
          <w:rFonts w:ascii="Times New Roman" w:hAnsi="Times New Roman" w:cs="Times New Roman"/>
        </w:rPr>
        <w:t>sound</w:t>
      </w:r>
      <w:r w:rsidR="00C13D4D" w:rsidRPr="00A27DC3" w:rsidDel="00C13D4D">
        <w:rPr>
          <w:rFonts w:ascii="Times New Roman" w:hAnsi="Times New Roman" w:cs="Times New Roman"/>
        </w:rPr>
        <w:t xml:space="preserve"> </w:t>
      </w:r>
      <w:r w:rsidRPr="00A27DC3">
        <w:rPr>
          <w:rFonts w:ascii="Times New Roman" w:hAnsi="Times New Roman" w:cs="Times New Roman"/>
        </w:rPr>
        <w:t xml:space="preserve">connectivity infrastructure and </w:t>
      </w:r>
      <w:r w:rsidR="00A36969">
        <w:rPr>
          <w:rFonts w:ascii="Times New Roman" w:hAnsi="Times New Roman" w:cs="Times New Roman"/>
        </w:rPr>
        <w:t xml:space="preserve">built the </w:t>
      </w:r>
      <w:r w:rsidRPr="00A27DC3">
        <w:rPr>
          <w:rFonts w:ascii="Times New Roman" w:hAnsi="Times New Roman" w:cs="Times New Roman"/>
        </w:rPr>
        <w:t>foundations for the digital economy. However, existing gaps and fundamental issues in all areas of the digital ecosystem prevent the country from fully realizing</w:t>
      </w:r>
      <w:r w:rsidR="00C26B92">
        <w:rPr>
          <w:rFonts w:ascii="Times New Roman" w:hAnsi="Times New Roman" w:cs="Times New Roman"/>
        </w:rPr>
        <w:t xml:space="preserve"> the potential</w:t>
      </w:r>
      <w:r w:rsidRPr="00A27DC3">
        <w:rPr>
          <w:rFonts w:ascii="Times New Roman" w:hAnsi="Times New Roman" w:cs="Times New Roman"/>
        </w:rPr>
        <w:t xml:space="preserve"> digital dividends.  Policy priorities for the national digital transformation agenda include enhancing the </w:t>
      </w:r>
      <w:r w:rsidR="00F94134">
        <w:rPr>
          <w:rFonts w:ascii="Times New Roman" w:hAnsi="Times New Roman" w:cs="Times New Roman"/>
        </w:rPr>
        <w:t>regulatory</w:t>
      </w:r>
      <w:r w:rsidR="00F94134" w:rsidRPr="00A27DC3">
        <w:rPr>
          <w:rFonts w:ascii="Times New Roman" w:hAnsi="Times New Roman" w:cs="Times New Roman"/>
        </w:rPr>
        <w:t xml:space="preserve"> </w:t>
      </w:r>
      <w:r w:rsidRPr="00A27DC3">
        <w:rPr>
          <w:rFonts w:ascii="Times New Roman" w:hAnsi="Times New Roman" w:cs="Times New Roman"/>
        </w:rPr>
        <w:t>framework for digital development, strengthening the digital foundations, including data ecosystem</w:t>
      </w:r>
      <w:r w:rsidR="00C26B92">
        <w:rPr>
          <w:rFonts w:ascii="Times New Roman" w:hAnsi="Times New Roman" w:cs="Times New Roman"/>
        </w:rPr>
        <w:t>s</w:t>
      </w:r>
      <w:r w:rsidRPr="00A27DC3">
        <w:rPr>
          <w:rFonts w:ascii="Times New Roman" w:hAnsi="Times New Roman" w:cs="Times New Roman"/>
        </w:rPr>
        <w:t xml:space="preserve"> and cybersecurity, and investing in human capital.</w:t>
      </w:r>
    </w:p>
    <w:p w14:paraId="0CD8C14B" w14:textId="77777777" w:rsidR="0047141D" w:rsidRDefault="0047141D" w:rsidP="0060210C">
      <w:pPr>
        <w:tabs>
          <w:tab w:val="left" w:pos="2150"/>
        </w:tabs>
        <w:spacing w:before="120" w:after="120"/>
        <w:jc w:val="both"/>
        <w:rPr>
          <w:rFonts w:ascii="Times New Roman" w:hAnsi="Times New Roman" w:cs="Times New Roman"/>
          <w:b/>
          <w:color w:val="FFFFFF" w:themeColor="background1"/>
        </w:rPr>
      </w:pPr>
    </w:p>
    <w:tbl>
      <w:tblPr>
        <w:tblW w:w="94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5"/>
        <w:gridCol w:w="1080"/>
      </w:tblGrid>
      <w:tr w:rsidR="00CB6710" w14:paraId="3F7FC6B1" w14:textId="77777777" w:rsidTr="00B125F3">
        <w:trPr>
          <w:trHeight w:val="116"/>
          <w:tblHeader/>
        </w:trPr>
        <w:tc>
          <w:tcPr>
            <w:tcW w:w="8365" w:type="dxa"/>
            <w:tcBorders>
              <w:top w:val="single" w:sz="4" w:space="0" w:color="auto"/>
              <w:left w:val="single" w:sz="4" w:space="0" w:color="auto"/>
              <w:bottom w:val="single" w:sz="4" w:space="0" w:color="auto"/>
              <w:right w:val="nil"/>
            </w:tcBorders>
            <w:shd w:val="clear" w:color="auto" w:fill="2E74B5" w:themeFill="accent5" w:themeFillShade="BF"/>
            <w:vAlign w:val="center"/>
            <w:hideMark/>
          </w:tcPr>
          <w:p w14:paraId="28030C93" w14:textId="77777777" w:rsidR="00CB6710" w:rsidRDefault="00CB6710" w:rsidP="00B125F3">
            <w:pPr>
              <w:spacing w:after="120" w:line="276" w:lineRule="auto"/>
              <w:jc w:val="center"/>
              <w:rPr>
                <w:rFonts w:ascii="Times New Roman" w:eastAsia="Cambria" w:hAnsi="Times New Roman" w:cs="Times New Roman"/>
                <w:b/>
                <w:color w:val="FFFFFF"/>
                <w:sz w:val="20"/>
                <w:szCs w:val="20"/>
              </w:rPr>
            </w:pPr>
            <w:r>
              <w:rPr>
                <w:rFonts w:ascii="Times New Roman" w:eastAsia="Cambria" w:hAnsi="Times New Roman" w:cs="Times New Roman"/>
                <w:b/>
                <w:color w:val="FFFFFF"/>
                <w:sz w:val="20"/>
                <w:szCs w:val="20"/>
              </w:rPr>
              <w:t xml:space="preserve">Policy Priorities </w:t>
            </w:r>
          </w:p>
        </w:tc>
        <w:tc>
          <w:tcPr>
            <w:tcW w:w="1080" w:type="dxa"/>
            <w:tcBorders>
              <w:top w:val="single" w:sz="4" w:space="0" w:color="auto"/>
              <w:left w:val="nil"/>
              <w:bottom w:val="single" w:sz="4" w:space="0" w:color="auto"/>
              <w:right w:val="single" w:sz="4" w:space="0" w:color="auto"/>
            </w:tcBorders>
            <w:shd w:val="clear" w:color="auto" w:fill="2E74B5" w:themeFill="accent5" w:themeFillShade="BF"/>
            <w:hideMark/>
          </w:tcPr>
          <w:p w14:paraId="180629D6" w14:textId="77777777" w:rsidR="00CB6710" w:rsidRDefault="00CB6710" w:rsidP="00B125F3">
            <w:pPr>
              <w:spacing w:after="120" w:line="276" w:lineRule="auto"/>
              <w:jc w:val="center"/>
              <w:rPr>
                <w:rFonts w:ascii="Times New Roman" w:eastAsia="Cambria" w:hAnsi="Times New Roman" w:cs="Times New Roman"/>
                <w:b/>
                <w:color w:val="FFFFFF"/>
                <w:sz w:val="20"/>
                <w:szCs w:val="20"/>
              </w:rPr>
            </w:pPr>
            <w:r>
              <w:rPr>
                <w:rFonts w:ascii="Times New Roman" w:eastAsia="Cambria" w:hAnsi="Times New Roman" w:cs="Times New Roman"/>
                <w:b/>
                <w:color w:val="FFFFFF"/>
                <w:sz w:val="20"/>
                <w:szCs w:val="20"/>
              </w:rPr>
              <w:t>Timeline</w:t>
            </w:r>
          </w:p>
        </w:tc>
      </w:tr>
      <w:tr w:rsidR="00CB6710" w14:paraId="3A09B94C" w14:textId="77777777" w:rsidTr="00B125F3">
        <w:tc>
          <w:tcPr>
            <w:tcW w:w="944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F646E0" w14:textId="77777777" w:rsidR="00CB6710" w:rsidRDefault="00CB6710" w:rsidP="00B125F3">
            <w:pPr>
              <w:spacing w:after="120" w:line="276" w:lineRule="auto"/>
              <w:rPr>
                <w:rFonts w:ascii="Times New Roman" w:eastAsia="Cambria" w:hAnsi="Times New Roman" w:cs="Times New Roman"/>
                <w:b/>
                <w:bCs/>
                <w:sz w:val="20"/>
                <w:szCs w:val="20"/>
              </w:rPr>
            </w:pPr>
            <w:r>
              <w:rPr>
                <w:rFonts w:ascii="Times New Roman" w:eastAsia="Cambria" w:hAnsi="Times New Roman" w:cs="Times New Roman"/>
                <w:b/>
                <w:bCs/>
                <w:sz w:val="20"/>
                <w:szCs w:val="20"/>
              </w:rPr>
              <w:t xml:space="preserve">Strengthen the regulatory framework for digital development </w:t>
            </w:r>
          </w:p>
        </w:tc>
      </w:tr>
      <w:tr w:rsidR="00CB6710" w14:paraId="4968FB4C" w14:textId="77777777" w:rsidTr="00312537">
        <w:trPr>
          <w:trHeight w:val="1007"/>
        </w:trPr>
        <w:tc>
          <w:tcPr>
            <w:tcW w:w="8365" w:type="dxa"/>
            <w:tcBorders>
              <w:top w:val="single" w:sz="4" w:space="0" w:color="auto"/>
              <w:left w:val="single" w:sz="4" w:space="0" w:color="auto"/>
              <w:bottom w:val="nil"/>
              <w:right w:val="nil"/>
            </w:tcBorders>
            <w:hideMark/>
          </w:tcPr>
          <w:p w14:paraId="22165BBF" w14:textId="24DC358A" w:rsidR="00CB6710" w:rsidRDefault="00CB6710" w:rsidP="00B125F3">
            <w:pPr>
              <w:spacing w:after="120" w:line="276" w:lineRule="auto"/>
              <w:jc w:val="both"/>
              <w:rPr>
                <w:rFonts w:ascii="Times New Roman" w:eastAsia="Cambria" w:hAnsi="Times New Roman" w:cs="Times New Roman"/>
                <w:sz w:val="20"/>
                <w:szCs w:val="20"/>
              </w:rPr>
            </w:pPr>
            <w:r>
              <w:rPr>
                <w:rFonts w:ascii="Times New Roman" w:eastAsia="Cambria" w:hAnsi="Times New Roman" w:cs="Times New Roman"/>
                <w:b/>
                <w:bCs/>
                <w:i/>
                <w:iCs/>
                <w:sz w:val="20"/>
                <w:szCs w:val="20"/>
              </w:rPr>
              <w:t xml:space="preserve">Conduct a regulatory gap analysis for </w:t>
            </w:r>
            <w:r w:rsidR="00C26B92">
              <w:rPr>
                <w:rFonts w:ascii="Times New Roman" w:eastAsia="Cambria" w:hAnsi="Times New Roman" w:cs="Times New Roman"/>
                <w:b/>
                <w:bCs/>
                <w:i/>
                <w:iCs/>
                <w:sz w:val="20"/>
                <w:szCs w:val="20"/>
              </w:rPr>
              <w:t xml:space="preserve">the </w:t>
            </w:r>
            <w:r>
              <w:rPr>
                <w:rFonts w:ascii="Times New Roman" w:eastAsia="Cambria" w:hAnsi="Times New Roman" w:cs="Times New Roman"/>
                <w:b/>
                <w:bCs/>
                <w:i/>
                <w:iCs/>
                <w:sz w:val="20"/>
                <w:szCs w:val="20"/>
              </w:rPr>
              <w:t>digital economy.</w:t>
            </w:r>
            <w:r>
              <w:rPr>
                <w:rFonts w:ascii="Times New Roman" w:eastAsia="Cambria" w:hAnsi="Times New Roman" w:cs="Times New Roman"/>
                <w:sz w:val="20"/>
                <w:szCs w:val="20"/>
              </w:rPr>
              <w:t xml:space="preserve"> This activity would include identifying gaps that hamper the development of digital businesses and digital entrepreneurship and studying global examples and </w:t>
            </w:r>
            <w:r w:rsidR="00E647C9">
              <w:rPr>
                <w:rFonts w:ascii="Times New Roman" w:eastAsia="Cambria" w:hAnsi="Times New Roman" w:cs="Times New Roman"/>
                <w:sz w:val="20"/>
                <w:szCs w:val="20"/>
              </w:rPr>
              <w:t xml:space="preserve">good </w:t>
            </w:r>
            <w:r>
              <w:rPr>
                <w:rFonts w:ascii="Times New Roman" w:eastAsia="Cambria" w:hAnsi="Times New Roman" w:cs="Times New Roman"/>
                <w:sz w:val="20"/>
                <w:szCs w:val="20"/>
              </w:rPr>
              <w:t xml:space="preserve">practices </w:t>
            </w:r>
            <w:r w:rsidR="00E647C9">
              <w:rPr>
                <w:rFonts w:ascii="Times New Roman" w:eastAsia="Cambria" w:hAnsi="Times New Roman" w:cs="Times New Roman"/>
                <w:sz w:val="20"/>
                <w:szCs w:val="20"/>
              </w:rPr>
              <w:t xml:space="preserve">in terms of </w:t>
            </w:r>
            <w:r>
              <w:rPr>
                <w:rFonts w:ascii="Times New Roman" w:eastAsia="Cambria" w:hAnsi="Times New Roman" w:cs="Times New Roman"/>
                <w:sz w:val="20"/>
                <w:szCs w:val="20"/>
              </w:rPr>
              <w:t xml:space="preserve">policies and regulations to close those gaps. </w:t>
            </w:r>
          </w:p>
        </w:tc>
        <w:tc>
          <w:tcPr>
            <w:tcW w:w="1080" w:type="dxa"/>
            <w:tcBorders>
              <w:top w:val="single" w:sz="4" w:space="0" w:color="auto"/>
              <w:left w:val="nil"/>
              <w:bottom w:val="nil"/>
              <w:right w:val="single" w:sz="4" w:space="0" w:color="auto"/>
            </w:tcBorders>
            <w:vAlign w:val="center"/>
            <w:hideMark/>
          </w:tcPr>
          <w:p w14:paraId="4ECA7EA2" w14:textId="77777777" w:rsidR="00CB6710" w:rsidRDefault="00CB6710" w:rsidP="00B125F3">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CB6710" w14:paraId="34512CD2" w14:textId="77777777" w:rsidTr="00B125F3">
        <w:tc>
          <w:tcPr>
            <w:tcW w:w="8365" w:type="dxa"/>
            <w:tcBorders>
              <w:top w:val="nil"/>
              <w:left w:val="single" w:sz="4" w:space="0" w:color="auto"/>
              <w:bottom w:val="nil"/>
              <w:right w:val="nil"/>
            </w:tcBorders>
            <w:hideMark/>
          </w:tcPr>
          <w:p w14:paraId="5B7D6268" w14:textId="16A6966E" w:rsidR="00CB6710" w:rsidRDefault="00CB6710" w:rsidP="00B125F3">
            <w:pPr>
              <w:spacing w:after="120" w:line="276" w:lineRule="auto"/>
              <w:jc w:val="both"/>
              <w:rPr>
                <w:rFonts w:ascii="Times New Roman" w:eastAsia="Cambria" w:hAnsi="Times New Roman" w:cs="Times New Roman"/>
                <w:sz w:val="20"/>
                <w:szCs w:val="20"/>
              </w:rPr>
            </w:pPr>
            <w:r>
              <w:rPr>
                <w:rFonts w:ascii="Times New Roman" w:eastAsia="Cambria" w:hAnsi="Times New Roman" w:cs="Times New Roman"/>
                <w:b/>
                <w:bCs/>
                <w:i/>
                <w:iCs/>
                <w:sz w:val="20"/>
                <w:szCs w:val="20"/>
              </w:rPr>
              <w:t>Create formal and non-formal dialogue platforms</w:t>
            </w:r>
            <w:r>
              <w:rPr>
                <w:rFonts w:ascii="Times New Roman" w:eastAsia="Cambria" w:hAnsi="Times New Roman" w:cs="Times New Roman"/>
                <w:sz w:val="20"/>
                <w:szCs w:val="20"/>
              </w:rPr>
              <w:t xml:space="preserve"> to engage the private sector, </w:t>
            </w:r>
            <w:proofErr w:type="gramStart"/>
            <w:r>
              <w:rPr>
                <w:rFonts w:ascii="Times New Roman" w:eastAsia="Cambria" w:hAnsi="Times New Roman" w:cs="Times New Roman"/>
                <w:sz w:val="20"/>
                <w:szCs w:val="20"/>
              </w:rPr>
              <w:t>academia</w:t>
            </w:r>
            <w:proofErr w:type="gramEnd"/>
            <w:r>
              <w:rPr>
                <w:rFonts w:ascii="Times New Roman" w:eastAsia="Cambria" w:hAnsi="Times New Roman" w:cs="Times New Roman"/>
                <w:sz w:val="20"/>
                <w:szCs w:val="20"/>
              </w:rPr>
              <w:t xml:space="preserve"> and </w:t>
            </w:r>
            <w:r w:rsidR="00E647C9">
              <w:rPr>
                <w:rFonts w:ascii="Times New Roman" w:eastAsia="Cambria" w:hAnsi="Times New Roman" w:cs="Times New Roman"/>
                <w:sz w:val="20"/>
                <w:szCs w:val="20"/>
              </w:rPr>
              <w:t xml:space="preserve">diaspora </w:t>
            </w:r>
            <w:r>
              <w:rPr>
                <w:rFonts w:ascii="Times New Roman" w:eastAsia="Cambria" w:hAnsi="Times New Roman" w:cs="Times New Roman"/>
                <w:sz w:val="20"/>
                <w:szCs w:val="20"/>
              </w:rPr>
              <w:t xml:space="preserve">networks in strategic discussions about sector-related policies and strategies. Such platforms and collaboration mechanisms could enable more precise identification of market failures and design of more targeted interventions to address those failures. </w:t>
            </w:r>
          </w:p>
        </w:tc>
        <w:tc>
          <w:tcPr>
            <w:tcW w:w="1080" w:type="dxa"/>
            <w:tcBorders>
              <w:top w:val="nil"/>
              <w:left w:val="nil"/>
              <w:bottom w:val="nil"/>
              <w:right w:val="single" w:sz="4" w:space="0" w:color="auto"/>
            </w:tcBorders>
            <w:vAlign w:val="center"/>
            <w:hideMark/>
          </w:tcPr>
          <w:p w14:paraId="74351AC7" w14:textId="77777777" w:rsidR="00CB6710" w:rsidRDefault="00CB6710" w:rsidP="00B125F3">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CB6710" w14:paraId="600E4202" w14:textId="77777777" w:rsidTr="00B125F3">
        <w:trPr>
          <w:trHeight w:val="197"/>
        </w:trPr>
        <w:tc>
          <w:tcPr>
            <w:tcW w:w="944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93136C1" w14:textId="77777777" w:rsidR="00CB6710" w:rsidRDefault="00CB6710" w:rsidP="00B125F3">
            <w:pPr>
              <w:spacing w:after="120" w:line="276" w:lineRule="auto"/>
              <w:rPr>
                <w:rFonts w:ascii="Times New Roman" w:eastAsia="Cambria" w:hAnsi="Times New Roman" w:cs="Times New Roman"/>
                <w:b/>
                <w:bCs/>
                <w:sz w:val="20"/>
                <w:szCs w:val="20"/>
              </w:rPr>
            </w:pPr>
            <w:r>
              <w:rPr>
                <w:rFonts w:ascii="Times New Roman" w:eastAsia="Cambria" w:hAnsi="Times New Roman" w:cs="Times New Roman"/>
                <w:b/>
                <w:bCs/>
                <w:sz w:val="20"/>
                <w:szCs w:val="20"/>
              </w:rPr>
              <w:t>Enhance digital foundations, including data ecosystem and cybersecurity</w:t>
            </w:r>
          </w:p>
        </w:tc>
      </w:tr>
      <w:tr w:rsidR="00CB6710" w14:paraId="709DE383" w14:textId="77777777" w:rsidTr="00B125F3">
        <w:tc>
          <w:tcPr>
            <w:tcW w:w="8365" w:type="dxa"/>
            <w:tcBorders>
              <w:top w:val="single" w:sz="4" w:space="0" w:color="auto"/>
              <w:left w:val="single" w:sz="4" w:space="0" w:color="auto"/>
              <w:bottom w:val="nil"/>
              <w:right w:val="nil"/>
            </w:tcBorders>
            <w:hideMark/>
          </w:tcPr>
          <w:p w14:paraId="1E0733E6" w14:textId="07C9EF3F" w:rsidR="00CB6710" w:rsidRDefault="00CB6710" w:rsidP="00B125F3">
            <w:pPr>
              <w:spacing w:after="120" w:line="276" w:lineRule="auto"/>
              <w:jc w:val="both"/>
              <w:rPr>
                <w:rFonts w:ascii="Times New Roman" w:eastAsia="Cambria" w:hAnsi="Times New Roman" w:cs="Times New Roman"/>
                <w:sz w:val="20"/>
                <w:szCs w:val="20"/>
              </w:rPr>
            </w:pPr>
            <w:r>
              <w:rPr>
                <w:rFonts w:ascii="Times New Roman" w:hAnsi="Times New Roman" w:cs="Times New Roman"/>
                <w:b/>
                <w:i/>
                <w:iCs/>
                <w:sz w:val="20"/>
                <w:szCs w:val="20"/>
              </w:rPr>
              <w:t>Build cyber resilience</w:t>
            </w:r>
            <w:r>
              <w:rPr>
                <w:rFonts w:ascii="Times New Roman" w:hAnsi="Times New Roman" w:cs="Times New Roman"/>
                <w:bCs/>
                <w:sz w:val="20"/>
                <w:szCs w:val="20"/>
              </w:rPr>
              <w:t xml:space="preserve"> by strengthening the infrastructure for trust</w:t>
            </w:r>
            <w:r w:rsidR="00E37EDA">
              <w:rPr>
                <w:rFonts w:ascii="Times New Roman" w:hAnsi="Times New Roman" w:cs="Times New Roman"/>
                <w:bCs/>
                <w:sz w:val="20"/>
                <w:szCs w:val="20"/>
              </w:rPr>
              <w:t>ed</w:t>
            </w:r>
            <w:r>
              <w:rPr>
                <w:rFonts w:ascii="Times New Roman" w:hAnsi="Times New Roman" w:cs="Times New Roman"/>
                <w:bCs/>
                <w:sz w:val="20"/>
                <w:szCs w:val="20"/>
              </w:rPr>
              <w:t xml:space="preserve"> ecosystem</w:t>
            </w:r>
            <w:r w:rsidR="00E37EDA">
              <w:rPr>
                <w:rFonts w:ascii="Times New Roman" w:hAnsi="Times New Roman" w:cs="Times New Roman"/>
                <w:bCs/>
                <w:sz w:val="20"/>
                <w:szCs w:val="20"/>
              </w:rPr>
              <w:t>s</w:t>
            </w:r>
            <w:r>
              <w:rPr>
                <w:rFonts w:ascii="Times New Roman" w:hAnsi="Times New Roman" w:cs="Times New Roman"/>
                <w:bCs/>
                <w:sz w:val="20"/>
                <w:szCs w:val="20"/>
              </w:rPr>
              <w:t xml:space="preserve"> coupled with programs to enhance the cybersecurity capacity among government entities, firms, and individuals. This would include conducting a national risk assessment and identifying Critical Infrastructure; designing and implementing cybersecurity awareness and literacy program</w:t>
            </w:r>
            <w:r w:rsidR="00441BCF">
              <w:rPr>
                <w:rFonts w:ascii="Times New Roman" w:hAnsi="Times New Roman" w:cs="Times New Roman"/>
                <w:bCs/>
                <w:sz w:val="20"/>
                <w:szCs w:val="20"/>
              </w:rPr>
              <w:t>s</w:t>
            </w:r>
            <w:r>
              <w:rPr>
                <w:rFonts w:ascii="Times New Roman" w:hAnsi="Times New Roman" w:cs="Times New Roman"/>
                <w:bCs/>
                <w:sz w:val="20"/>
                <w:szCs w:val="20"/>
              </w:rPr>
              <w:t xml:space="preserve">; and promoting adoption of international ICT and cybersecurity standards in the government and private sector. </w:t>
            </w:r>
          </w:p>
        </w:tc>
        <w:tc>
          <w:tcPr>
            <w:tcW w:w="1080" w:type="dxa"/>
            <w:tcBorders>
              <w:top w:val="single" w:sz="4" w:space="0" w:color="auto"/>
              <w:left w:val="nil"/>
              <w:bottom w:val="nil"/>
              <w:right w:val="single" w:sz="4" w:space="0" w:color="auto"/>
            </w:tcBorders>
            <w:hideMark/>
          </w:tcPr>
          <w:p w14:paraId="155ECAFC" w14:textId="77777777" w:rsidR="00CB6710" w:rsidRDefault="00CB6710" w:rsidP="00B125F3">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CB6710" w14:paraId="5082C4EC" w14:textId="77777777" w:rsidTr="00B125F3">
        <w:tc>
          <w:tcPr>
            <w:tcW w:w="8365" w:type="dxa"/>
            <w:tcBorders>
              <w:top w:val="nil"/>
              <w:left w:val="single" w:sz="4" w:space="0" w:color="auto"/>
              <w:bottom w:val="nil"/>
              <w:right w:val="nil"/>
            </w:tcBorders>
            <w:hideMark/>
          </w:tcPr>
          <w:p w14:paraId="742DFABE" w14:textId="77777777" w:rsidR="00CB6710" w:rsidRDefault="00CB6710" w:rsidP="00B125F3">
            <w:pPr>
              <w:spacing w:after="120" w:line="276" w:lineRule="auto"/>
              <w:jc w:val="both"/>
              <w:rPr>
                <w:rFonts w:ascii="Times New Roman" w:eastAsia="Cambria" w:hAnsi="Times New Roman" w:cs="Times New Roman"/>
                <w:sz w:val="20"/>
                <w:szCs w:val="20"/>
              </w:rPr>
            </w:pPr>
            <w:r>
              <w:rPr>
                <w:rFonts w:ascii="Times New Roman" w:eastAsia="Cambria" w:hAnsi="Times New Roman" w:cs="Times New Roman"/>
                <w:b/>
                <w:bCs/>
                <w:i/>
                <w:iCs/>
                <w:sz w:val="20"/>
                <w:szCs w:val="20"/>
              </w:rPr>
              <w:t>Develop a national data policy</w:t>
            </w:r>
            <w:r>
              <w:rPr>
                <w:rFonts w:ascii="Times New Roman" w:eastAsia="Cambria" w:hAnsi="Times New Roman" w:cs="Times New Roman"/>
                <w:sz w:val="20"/>
                <w:szCs w:val="20"/>
              </w:rPr>
              <w:t xml:space="preserve"> to promote the exchange and use of open government data by government agencies, private </w:t>
            </w:r>
            <w:proofErr w:type="gramStart"/>
            <w:r>
              <w:rPr>
                <w:rFonts w:ascii="Times New Roman" w:eastAsia="Cambria" w:hAnsi="Times New Roman" w:cs="Times New Roman"/>
                <w:sz w:val="20"/>
                <w:szCs w:val="20"/>
              </w:rPr>
              <w:t>sector</w:t>
            </w:r>
            <w:proofErr w:type="gramEnd"/>
            <w:r>
              <w:rPr>
                <w:rFonts w:ascii="Times New Roman" w:eastAsia="Cambria" w:hAnsi="Times New Roman" w:cs="Times New Roman"/>
                <w:sz w:val="20"/>
                <w:szCs w:val="20"/>
              </w:rPr>
              <w:t xml:space="preserve"> and academia. This work would include a legal and regulatory gap analysis, stocktaking of available data infrastructure, national databases, and their integration with the </w:t>
            </w:r>
            <w:r>
              <w:rPr>
                <w:rFonts w:ascii="Times New Roman" w:hAnsi="Times New Roman" w:cs="Times New Roman"/>
                <w:sz w:val="20"/>
                <w:szCs w:val="20"/>
              </w:rPr>
              <w:t xml:space="preserve">Data Platform Exchange Framework. The policy would also define national targets to develop a strong data ecosystem in </w:t>
            </w:r>
            <w:r>
              <w:rPr>
                <w:rFonts w:ascii="Times New Roman" w:eastAsia="Cambria" w:hAnsi="Times New Roman" w:cs="Times New Roman"/>
                <w:sz w:val="20"/>
                <w:szCs w:val="20"/>
              </w:rPr>
              <w:t xml:space="preserve">Cabo Verde and a roadmap on how to achieve those. </w:t>
            </w:r>
          </w:p>
        </w:tc>
        <w:tc>
          <w:tcPr>
            <w:tcW w:w="1080" w:type="dxa"/>
            <w:tcBorders>
              <w:top w:val="nil"/>
              <w:left w:val="nil"/>
              <w:bottom w:val="nil"/>
              <w:right w:val="single" w:sz="4" w:space="0" w:color="auto"/>
            </w:tcBorders>
            <w:hideMark/>
          </w:tcPr>
          <w:p w14:paraId="22F9496E" w14:textId="77777777" w:rsidR="00CB6710" w:rsidRDefault="00CB6710" w:rsidP="00B125F3">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MT</w:t>
            </w:r>
          </w:p>
        </w:tc>
      </w:tr>
      <w:tr w:rsidR="00CB6710" w14:paraId="1FBDE8C2" w14:textId="77777777" w:rsidTr="00B125F3">
        <w:tc>
          <w:tcPr>
            <w:tcW w:w="944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3C961E8" w14:textId="77777777" w:rsidR="00CB6710" w:rsidRDefault="00CB6710" w:rsidP="00B125F3">
            <w:pPr>
              <w:spacing w:after="120" w:line="276" w:lineRule="auto"/>
              <w:rPr>
                <w:rFonts w:ascii="Times New Roman" w:eastAsia="Cambria" w:hAnsi="Times New Roman" w:cs="Times New Roman"/>
                <w:b/>
                <w:bCs/>
                <w:sz w:val="20"/>
                <w:szCs w:val="20"/>
              </w:rPr>
            </w:pPr>
            <w:r>
              <w:rPr>
                <w:rFonts w:ascii="Times New Roman" w:eastAsia="Cambria" w:hAnsi="Times New Roman" w:cs="Times New Roman"/>
                <w:b/>
                <w:bCs/>
                <w:sz w:val="20"/>
                <w:szCs w:val="20"/>
              </w:rPr>
              <w:t>Invest in human capital</w:t>
            </w:r>
          </w:p>
        </w:tc>
      </w:tr>
      <w:tr w:rsidR="00CB6710" w14:paraId="2EE0C01C" w14:textId="77777777" w:rsidTr="00B125F3">
        <w:trPr>
          <w:trHeight w:val="359"/>
        </w:trPr>
        <w:tc>
          <w:tcPr>
            <w:tcW w:w="8365" w:type="dxa"/>
            <w:tcBorders>
              <w:top w:val="single" w:sz="4" w:space="0" w:color="auto"/>
              <w:left w:val="single" w:sz="4" w:space="0" w:color="auto"/>
              <w:bottom w:val="nil"/>
              <w:right w:val="nil"/>
            </w:tcBorders>
            <w:hideMark/>
          </w:tcPr>
          <w:p w14:paraId="53972E65" w14:textId="2C745AA8" w:rsidR="00CB6710" w:rsidRDefault="00CB6710" w:rsidP="00B125F3">
            <w:pPr>
              <w:jc w:val="both"/>
              <w:rPr>
                <w:rFonts w:ascii="Times New Roman" w:eastAsia="Cambria" w:hAnsi="Times New Roman" w:cs="Times New Roman"/>
                <w:sz w:val="20"/>
                <w:szCs w:val="20"/>
              </w:rPr>
            </w:pPr>
            <w:r>
              <w:rPr>
                <w:rFonts w:ascii="Times New Roman" w:hAnsi="Times New Roman" w:cs="Times New Roman"/>
                <w:b/>
                <w:i/>
                <w:iCs/>
                <w:sz w:val="20"/>
                <w:szCs w:val="20"/>
              </w:rPr>
              <w:t xml:space="preserve">Develop </w:t>
            </w:r>
            <w:r w:rsidR="0087289A">
              <w:rPr>
                <w:rFonts w:ascii="Times New Roman" w:hAnsi="Times New Roman" w:cs="Times New Roman"/>
                <w:b/>
                <w:i/>
                <w:iCs/>
                <w:sz w:val="20"/>
                <w:szCs w:val="20"/>
              </w:rPr>
              <w:t xml:space="preserve">a </w:t>
            </w:r>
            <w:r>
              <w:rPr>
                <w:rFonts w:ascii="Times New Roman" w:hAnsi="Times New Roman" w:cs="Times New Roman"/>
                <w:b/>
                <w:i/>
                <w:iCs/>
                <w:sz w:val="20"/>
                <w:szCs w:val="20"/>
              </w:rPr>
              <w:t>national digital skills agenda</w:t>
            </w:r>
            <w:r>
              <w:rPr>
                <w:rFonts w:ascii="Times New Roman" w:hAnsi="Times New Roman" w:cs="Times New Roman"/>
                <w:bCs/>
                <w:sz w:val="20"/>
                <w:szCs w:val="20"/>
              </w:rPr>
              <w:t xml:space="preserve"> as an </w:t>
            </w:r>
            <w:r>
              <w:rPr>
                <w:rFonts w:ascii="Times New Roman" w:hAnsi="Times New Roman" w:cs="Times New Roman"/>
                <w:sz w:val="20"/>
                <w:szCs w:val="20"/>
              </w:rPr>
              <w:t>overarching framework to help coordinate various programs in the field. It could help consolidate many available training programs, improve their relevance for the private sector, and ensure their long-term sustainability. It could also address existing gender gaps more effectively, as women continue to be underrepresented in technology-oriented education programs and jobs.</w:t>
            </w:r>
          </w:p>
        </w:tc>
        <w:tc>
          <w:tcPr>
            <w:tcW w:w="1080" w:type="dxa"/>
            <w:tcBorders>
              <w:top w:val="single" w:sz="4" w:space="0" w:color="auto"/>
              <w:left w:val="nil"/>
              <w:bottom w:val="nil"/>
              <w:right w:val="single" w:sz="4" w:space="0" w:color="auto"/>
            </w:tcBorders>
            <w:hideMark/>
          </w:tcPr>
          <w:p w14:paraId="69DBC350" w14:textId="77777777" w:rsidR="00CB6710" w:rsidRDefault="00CB6710" w:rsidP="00B125F3">
            <w:pPr>
              <w:spacing w:after="120"/>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CB6710" w14:paraId="13423A63" w14:textId="77777777" w:rsidTr="00B125F3">
        <w:trPr>
          <w:trHeight w:val="359"/>
        </w:trPr>
        <w:tc>
          <w:tcPr>
            <w:tcW w:w="8365" w:type="dxa"/>
            <w:tcBorders>
              <w:top w:val="single" w:sz="4" w:space="0" w:color="auto"/>
              <w:left w:val="single" w:sz="4" w:space="0" w:color="auto"/>
              <w:bottom w:val="single" w:sz="4" w:space="0" w:color="auto"/>
              <w:right w:val="nil"/>
            </w:tcBorders>
            <w:hideMark/>
          </w:tcPr>
          <w:p w14:paraId="7F36C929" w14:textId="4B8A3C9E" w:rsidR="00CB6710" w:rsidRDefault="00CB6710" w:rsidP="00B125F3">
            <w:pPr>
              <w:jc w:val="both"/>
              <w:rPr>
                <w:rFonts w:ascii="Times New Roman" w:hAnsi="Times New Roman" w:cs="Times New Roman"/>
                <w:bCs/>
                <w:sz w:val="20"/>
                <w:szCs w:val="20"/>
              </w:rPr>
            </w:pPr>
            <w:r>
              <w:rPr>
                <w:rFonts w:ascii="Times New Roman" w:hAnsi="Times New Roman" w:cs="Times New Roman"/>
                <w:b/>
                <w:i/>
                <w:iCs/>
                <w:sz w:val="20"/>
                <w:szCs w:val="20"/>
              </w:rPr>
              <w:t>Coordinate and streamline investments</w:t>
            </w:r>
            <w:r>
              <w:rPr>
                <w:rFonts w:ascii="Times New Roman" w:hAnsi="Times New Roman" w:cs="Times New Roman"/>
                <w:bCs/>
                <w:sz w:val="20"/>
                <w:szCs w:val="20"/>
              </w:rPr>
              <w:t xml:space="preserve"> of </w:t>
            </w:r>
            <w:r w:rsidR="00BD0510" w:rsidRPr="00BD0510">
              <w:rPr>
                <w:rFonts w:ascii="Times New Roman" w:hAnsi="Times New Roman" w:cs="Times New Roman"/>
                <w:bCs/>
                <w:sz w:val="20"/>
                <w:szCs w:val="20"/>
              </w:rPr>
              <w:t>Development Finance Institutions</w:t>
            </w:r>
            <w:r w:rsidR="00B763BB">
              <w:rPr>
                <w:rFonts w:ascii="Times New Roman" w:hAnsi="Times New Roman" w:cs="Times New Roman"/>
                <w:bCs/>
                <w:sz w:val="20"/>
                <w:szCs w:val="20"/>
              </w:rPr>
              <w:t xml:space="preserve"> (</w:t>
            </w:r>
            <w:r>
              <w:rPr>
                <w:rFonts w:ascii="Times New Roman" w:hAnsi="Times New Roman" w:cs="Times New Roman"/>
                <w:bCs/>
                <w:sz w:val="20"/>
                <w:szCs w:val="20"/>
              </w:rPr>
              <w:t>DFIs</w:t>
            </w:r>
            <w:r w:rsidR="00B763BB">
              <w:rPr>
                <w:rFonts w:ascii="Times New Roman" w:hAnsi="Times New Roman" w:cs="Times New Roman"/>
                <w:bCs/>
                <w:sz w:val="20"/>
                <w:szCs w:val="20"/>
              </w:rPr>
              <w:t>)</w:t>
            </w:r>
            <w:r>
              <w:rPr>
                <w:rFonts w:ascii="Times New Roman" w:hAnsi="Times New Roman" w:cs="Times New Roman"/>
                <w:bCs/>
                <w:sz w:val="20"/>
                <w:szCs w:val="20"/>
              </w:rPr>
              <w:t>, p</w:t>
            </w:r>
            <w:r w:rsidR="00800FD0">
              <w:rPr>
                <w:rFonts w:ascii="Times New Roman" w:hAnsi="Times New Roman" w:cs="Times New Roman"/>
                <w:bCs/>
                <w:sz w:val="20"/>
                <w:szCs w:val="20"/>
              </w:rPr>
              <w:t>ublic</w:t>
            </w:r>
            <w:r>
              <w:rPr>
                <w:rFonts w:ascii="Times New Roman" w:hAnsi="Times New Roman" w:cs="Times New Roman"/>
                <w:bCs/>
                <w:sz w:val="20"/>
                <w:szCs w:val="20"/>
              </w:rPr>
              <w:t xml:space="preserve"> sector participants and other stakeholders to align with the national digital skills agenda. </w:t>
            </w:r>
          </w:p>
        </w:tc>
        <w:tc>
          <w:tcPr>
            <w:tcW w:w="1080" w:type="dxa"/>
            <w:tcBorders>
              <w:top w:val="single" w:sz="4" w:space="0" w:color="auto"/>
              <w:left w:val="nil"/>
              <w:bottom w:val="single" w:sz="4" w:space="0" w:color="auto"/>
              <w:right w:val="single" w:sz="4" w:space="0" w:color="auto"/>
            </w:tcBorders>
            <w:hideMark/>
          </w:tcPr>
          <w:p w14:paraId="73D025AC" w14:textId="77777777" w:rsidR="00CB6710" w:rsidRDefault="00CB6710" w:rsidP="00B125F3">
            <w:pPr>
              <w:spacing w:after="120"/>
              <w:jc w:val="center"/>
              <w:rPr>
                <w:rFonts w:ascii="Times New Roman" w:eastAsia="Cambria" w:hAnsi="Times New Roman" w:cs="Times New Roman"/>
                <w:sz w:val="20"/>
                <w:szCs w:val="20"/>
              </w:rPr>
            </w:pPr>
            <w:r>
              <w:rPr>
                <w:rFonts w:ascii="Times New Roman" w:eastAsia="Cambria" w:hAnsi="Times New Roman" w:cs="Times New Roman"/>
                <w:sz w:val="20"/>
                <w:szCs w:val="20"/>
              </w:rPr>
              <w:t>MT</w:t>
            </w:r>
          </w:p>
        </w:tc>
      </w:tr>
    </w:tbl>
    <w:p w14:paraId="4B4B8421" w14:textId="3216809C" w:rsidR="003F2CDB" w:rsidRPr="00313103" w:rsidRDefault="003F2CDB" w:rsidP="00AF43A0"/>
    <w:p w14:paraId="4DDC5190" w14:textId="7EE2BA5A" w:rsidR="00750310" w:rsidRPr="00D50073" w:rsidRDefault="00750310" w:rsidP="00750310">
      <w:pPr>
        <w:keepNext/>
        <w:keepLines/>
        <w:spacing w:before="240" w:after="0"/>
        <w:jc w:val="center"/>
        <w:outlineLvl w:val="0"/>
        <w:rPr>
          <w:rFonts w:ascii="Times New Roman" w:eastAsiaTheme="majorEastAsia" w:hAnsi="Times New Roman" w:cs="Times New Roman"/>
          <w:b/>
          <w:color w:val="2F5496" w:themeColor="accent1" w:themeShade="BF"/>
          <w:sz w:val="32"/>
          <w:szCs w:val="32"/>
        </w:rPr>
      </w:pPr>
      <w:bookmarkStart w:id="22" w:name="_Toc105592803"/>
      <w:r w:rsidRPr="00D50073">
        <w:rPr>
          <w:rFonts w:ascii="Times New Roman" w:eastAsiaTheme="majorEastAsia" w:hAnsi="Times New Roman" w:cs="Times New Roman"/>
          <w:b/>
          <w:color w:val="2F5496" w:themeColor="accent1" w:themeShade="BF"/>
          <w:sz w:val="32"/>
          <w:szCs w:val="32"/>
        </w:rPr>
        <w:lastRenderedPageBreak/>
        <w:t>Part I –The State of the Economy</w:t>
      </w:r>
      <w:bookmarkEnd w:id="0"/>
      <w:bookmarkEnd w:id="22"/>
    </w:p>
    <w:p w14:paraId="1831D695" w14:textId="77777777" w:rsidR="00750310" w:rsidRPr="00750310" w:rsidRDefault="00750310" w:rsidP="00750310">
      <w:pPr>
        <w:keepNext/>
        <w:keepLines/>
        <w:numPr>
          <w:ilvl w:val="1"/>
          <w:numId w:val="1"/>
        </w:numPr>
        <w:spacing w:before="240" w:after="240"/>
        <w:ind w:left="720" w:hanging="360"/>
        <w:outlineLvl w:val="0"/>
        <w:rPr>
          <w:rFonts w:ascii="Times New Roman" w:eastAsiaTheme="majorEastAsia" w:hAnsi="Times New Roman" w:cs="Times New Roman"/>
          <w:bCs/>
          <w:color w:val="2F5496" w:themeColor="accent1" w:themeShade="BF"/>
          <w:sz w:val="32"/>
          <w:szCs w:val="32"/>
        </w:rPr>
      </w:pPr>
      <w:bookmarkStart w:id="23" w:name="_Toc22050535"/>
      <w:bookmarkStart w:id="24" w:name="_Toc66955825"/>
      <w:bookmarkStart w:id="25" w:name="_Toc70346642"/>
      <w:bookmarkStart w:id="26" w:name="_Toc105592804"/>
      <w:r w:rsidRPr="00750310">
        <w:rPr>
          <w:rFonts w:ascii="Times New Roman" w:eastAsiaTheme="majorEastAsia" w:hAnsi="Times New Roman" w:cs="Times New Roman"/>
          <w:bCs/>
          <w:color w:val="2F5496" w:themeColor="accent1" w:themeShade="BF"/>
          <w:sz w:val="32"/>
          <w:szCs w:val="32"/>
        </w:rPr>
        <w:t>Recent Developments</w:t>
      </w:r>
      <w:bookmarkEnd w:id="23"/>
      <w:bookmarkEnd w:id="24"/>
      <w:bookmarkEnd w:id="25"/>
      <w:bookmarkEnd w:id="26"/>
    </w:p>
    <w:p w14:paraId="4B01E0BA" w14:textId="77777777" w:rsidR="00750310" w:rsidRPr="00750310" w:rsidRDefault="00750310" w:rsidP="00750310">
      <w:pPr>
        <w:keepNext/>
        <w:keepLines/>
        <w:numPr>
          <w:ilvl w:val="0"/>
          <w:numId w:val="2"/>
        </w:numPr>
        <w:spacing w:before="40" w:after="240"/>
        <w:outlineLvl w:val="1"/>
        <w:rPr>
          <w:rFonts w:ascii="Times New Roman" w:eastAsiaTheme="majorEastAsia" w:hAnsi="Times New Roman" w:cs="Times New Roman"/>
          <w:color w:val="2F5496" w:themeColor="accent1" w:themeShade="BF"/>
          <w:sz w:val="26"/>
          <w:szCs w:val="26"/>
        </w:rPr>
      </w:pPr>
      <w:bookmarkStart w:id="27" w:name="_Toc66453794"/>
      <w:bookmarkStart w:id="28" w:name="_Toc70346643"/>
      <w:bookmarkStart w:id="29" w:name="_Toc105592805"/>
      <w:r w:rsidRPr="00750310">
        <w:rPr>
          <w:rFonts w:ascii="Times New Roman" w:eastAsiaTheme="majorEastAsia" w:hAnsi="Times New Roman" w:cs="Times New Roman"/>
          <w:color w:val="2F5496" w:themeColor="accent1" w:themeShade="BF"/>
          <w:sz w:val="26"/>
          <w:szCs w:val="26"/>
        </w:rPr>
        <w:t>Real Sector</w:t>
      </w:r>
      <w:bookmarkEnd w:id="27"/>
      <w:bookmarkEnd w:id="28"/>
      <w:bookmarkEnd w:id="29"/>
    </w:p>
    <w:p w14:paraId="758FFEAE" w14:textId="77777777" w:rsidR="00D5345D" w:rsidRDefault="00D5345D" w:rsidP="00145C16">
      <w:pPr>
        <w:pStyle w:val="ListParagraph"/>
        <w:spacing w:after="240"/>
        <w:ind w:left="0"/>
        <w:jc w:val="both"/>
        <w:rPr>
          <w:rFonts w:ascii="Times New Roman" w:hAnsi="Times New Roman" w:cs="Times New Roman"/>
          <w:b/>
          <w:bCs/>
          <w:sz w:val="22"/>
          <w:szCs w:val="22"/>
        </w:rPr>
      </w:pPr>
    </w:p>
    <w:p w14:paraId="1B3AFECB" w14:textId="73ED52F6" w:rsidR="00B4596C" w:rsidRPr="007270B8" w:rsidRDefault="00774B95" w:rsidP="00145C16">
      <w:pPr>
        <w:pStyle w:val="ListParagraph"/>
        <w:spacing w:after="240"/>
        <w:ind w:left="0"/>
        <w:jc w:val="both"/>
        <w:rPr>
          <w:rFonts w:ascii="Times New Roman" w:hAnsi="Times New Roman" w:cs="Times New Roman"/>
          <w:bCs/>
          <w:color w:val="auto"/>
          <w:sz w:val="22"/>
          <w:szCs w:val="22"/>
        </w:rPr>
      </w:pPr>
      <w:r>
        <w:rPr>
          <w:rFonts w:ascii="Times New Roman" w:hAnsi="Times New Roman" w:cs="Times New Roman"/>
          <w:b/>
          <w:bCs/>
          <w:sz w:val="22"/>
          <w:szCs w:val="22"/>
        </w:rPr>
        <w:t>1</w:t>
      </w:r>
      <w:r w:rsidR="005E49DB">
        <w:rPr>
          <w:rFonts w:ascii="Times New Roman" w:hAnsi="Times New Roman" w:cs="Times New Roman"/>
          <w:b/>
          <w:bCs/>
          <w:sz w:val="22"/>
          <w:szCs w:val="22"/>
        </w:rPr>
        <w:t xml:space="preserve">. </w:t>
      </w:r>
      <w:r w:rsidR="00A40E2A">
        <w:rPr>
          <w:rFonts w:ascii="Times New Roman" w:hAnsi="Times New Roman" w:cs="Times New Roman"/>
          <w:b/>
          <w:bCs/>
          <w:sz w:val="22"/>
          <w:szCs w:val="22"/>
        </w:rPr>
        <w:t>R</w:t>
      </w:r>
      <w:r w:rsidR="00A40E2A" w:rsidRPr="00A40E2A">
        <w:rPr>
          <w:rFonts w:ascii="Times New Roman" w:hAnsi="Times New Roman" w:cs="Times New Roman"/>
          <w:b/>
          <w:bCs/>
          <w:sz w:val="22"/>
          <w:szCs w:val="22"/>
        </w:rPr>
        <w:t xml:space="preserve">eflecting a </w:t>
      </w:r>
      <w:r w:rsidR="00A40E2A">
        <w:rPr>
          <w:rFonts w:ascii="Times New Roman" w:hAnsi="Times New Roman" w:cs="Times New Roman"/>
          <w:b/>
          <w:bCs/>
          <w:sz w:val="22"/>
          <w:szCs w:val="22"/>
        </w:rPr>
        <w:t xml:space="preserve">gradual </w:t>
      </w:r>
      <w:r w:rsidR="00A40E2A" w:rsidRPr="00A40E2A">
        <w:rPr>
          <w:rFonts w:ascii="Times New Roman" w:hAnsi="Times New Roman" w:cs="Times New Roman"/>
          <w:b/>
          <w:bCs/>
          <w:sz w:val="22"/>
          <w:szCs w:val="22"/>
        </w:rPr>
        <w:t xml:space="preserve">recovery of the economy </w:t>
      </w:r>
      <w:r w:rsidR="00BD0A15">
        <w:rPr>
          <w:rFonts w:ascii="Times New Roman" w:hAnsi="Times New Roman" w:cs="Times New Roman"/>
          <w:b/>
          <w:bCs/>
          <w:sz w:val="22"/>
          <w:szCs w:val="22"/>
        </w:rPr>
        <w:t xml:space="preserve">and </w:t>
      </w:r>
      <w:r w:rsidR="00A40E2A" w:rsidRPr="00A40E2A">
        <w:rPr>
          <w:rFonts w:ascii="Times New Roman" w:hAnsi="Times New Roman" w:cs="Times New Roman"/>
          <w:b/>
          <w:bCs/>
          <w:sz w:val="22"/>
          <w:szCs w:val="22"/>
        </w:rPr>
        <w:t>base effect</w:t>
      </w:r>
      <w:r w:rsidR="00BD0A15">
        <w:rPr>
          <w:rFonts w:ascii="Times New Roman" w:hAnsi="Times New Roman" w:cs="Times New Roman"/>
          <w:b/>
          <w:bCs/>
          <w:sz w:val="22"/>
          <w:szCs w:val="22"/>
        </w:rPr>
        <w:t>s</w:t>
      </w:r>
      <w:r w:rsidR="00A40E2A">
        <w:rPr>
          <w:rFonts w:ascii="Times New Roman" w:hAnsi="Times New Roman" w:cs="Times New Roman"/>
          <w:b/>
          <w:bCs/>
          <w:sz w:val="22"/>
          <w:szCs w:val="22"/>
        </w:rPr>
        <w:t xml:space="preserve">, </w:t>
      </w:r>
      <w:r w:rsidR="00D245EA" w:rsidRPr="007A5AFE">
        <w:rPr>
          <w:rFonts w:ascii="Times New Roman" w:hAnsi="Times New Roman" w:cs="Times New Roman"/>
          <w:b/>
          <w:bCs/>
          <w:sz w:val="22"/>
          <w:szCs w:val="22"/>
        </w:rPr>
        <w:t xml:space="preserve">real GDP </w:t>
      </w:r>
      <w:r w:rsidR="00F03027">
        <w:rPr>
          <w:rFonts w:ascii="Times New Roman" w:hAnsi="Times New Roman" w:cs="Times New Roman"/>
          <w:b/>
          <w:bCs/>
          <w:sz w:val="22"/>
          <w:szCs w:val="22"/>
        </w:rPr>
        <w:t xml:space="preserve">increased </w:t>
      </w:r>
      <w:r w:rsidR="00D245EA" w:rsidRPr="007A5AFE">
        <w:rPr>
          <w:rFonts w:ascii="Times New Roman" w:hAnsi="Times New Roman" w:cs="Times New Roman"/>
          <w:b/>
          <w:bCs/>
          <w:sz w:val="22"/>
          <w:szCs w:val="22"/>
        </w:rPr>
        <w:t>by 7 percent</w:t>
      </w:r>
      <w:r w:rsidR="007270B8" w:rsidRPr="007A5AFE">
        <w:rPr>
          <w:rFonts w:ascii="Times New Roman" w:hAnsi="Times New Roman" w:cs="Times New Roman"/>
          <w:b/>
          <w:bCs/>
          <w:sz w:val="22"/>
          <w:szCs w:val="22"/>
        </w:rPr>
        <w:t xml:space="preserve"> in 2021</w:t>
      </w:r>
      <w:r w:rsidR="00145C16" w:rsidRPr="007A5AFE">
        <w:rPr>
          <w:rFonts w:ascii="Times New Roman" w:hAnsi="Times New Roman" w:cs="Times New Roman"/>
          <w:b/>
          <w:bCs/>
          <w:sz w:val="22"/>
          <w:szCs w:val="22"/>
        </w:rPr>
        <w:t>.</w:t>
      </w:r>
      <w:r w:rsidR="00145C16" w:rsidRPr="007270B8">
        <w:rPr>
          <w:rFonts w:ascii="Times New Roman" w:hAnsi="Times New Roman" w:cs="Times New Roman"/>
          <w:sz w:val="22"/>
          <w:szCs w:val="22"/>
        </w:rPr>
        <w:t xml:space="preserve"> </w:t>
      </w:r>
      <w:r w:rsidR="007A5AFE" w:rsidRPr="007A5AFE">
        <w:rPr>
          <w:rFonts w:ascii="Times New Roman" w:hAnsi="Times New Roman" w:cs="Times New Roman"/>
          <w:sz w:val="22"/>
          <w:szCs w:val="22"/>
        </w:rPr>
        <w:t xml:space="preserve">After nine months of closure due to </w:t>
      </w:r>
      <w:r w:rsidR="00230394">
        <w:rPr>
          <w:rFonts w:ascii="Times New Roman" w:hAnsi="Times New Roman" w:cs="Times New Roman"/>
          <w:sz w:val="22"/>
          <w:szCs w:val="22"/>
        </w:rPr>
        <w:t xml:space="preserve">COVID-19 </w:t>
      </w:r>
      <w:r w:rsidR="007A5AFE" w:rsidRPr="007A5AFE">
        <w:rPr>
          <w:rFonts w:ascii="Times New Roman" w:hAnsi="Times New Roman" w:cs="Times New Roman"/>
          <w:sz w:val="22"/>
          <w:szCs w:val="22"/>
        </w:rPr>
        <w:t>restrictions, the country reopened to tourism at the end of December 2020</w:t>
      </w:r>
      <w:r w:rsidR="00A40E2A">
        <w:rPr>
          <w:rFonts w:ascii="Times New Roman" w:hAnsi="Times New Roman" w:cs="Times New Roman"/>
          <w:sz w:val="22"/>
          <w:szCs w:val="22"/>
        </w:rPr>
        <w:t>,</w:t>
      </w:r>
      <w:r w:rsidR="00A40E2A" w:rsidRPr="00A40E2A">
        <w:t xml:space="preserve"> </w:t>
      </w:r>
      <w:r w:rsidR="00A40E2A">
        <w:rPr>
          <w:rFonts w:ascii="Times New Roman" w:hAnsi="Times New Roman" w:cs="Times New Roman"/>
          <w:sz w:val="22"/>
          <w:szCs w:val="22"/>
        </w:rPr>
        <w:t>with posi</w:t>
      </w:r>
      <w:r w:rsidR="00A40E2A" w:rsidRPr="00A40E2A">
        <w:rPr>
          <w:rFonts w:ascii="Times New Roman" w:hAnsi="Times New Roman" w:cs="Times New Roman"/>
          <w:sz w:val="22"/>
          <w:szCs w:val="22"/>
        </w:rPr>
        <w:t xml:space="preserve">tive spillovers </w:t>
      </w:r>
      <w:r w:rsidR="003466FD">
        <w:rPr>
          <w:rFonts w:ascii="Times New Roman" w:hAnsi="Times New Roman" w:cs="Times New Roman"/>
          <w:sz w:val="22"/>
          <w:szCs w:val="22"/>
        </w:rPr>
        <w:t>else</w:t>
      </w:r>
      <w:r w:rsidR="00EE74C9">
        <w:rPr>
          <w:rFonts w:ascii="Times New Roman" w:hAnsi="Times New Roman" w:cs="Times New Roman"/>
          <w:sz w:val="22"/>
          <w:szCs w:val="22"/>
        </w:rPr>
        <w:t>where</w:t>
      </w:r>
      <w:r w:rsidR="00A40E2A" w:rsidRPr="00A40E2A">
        <w:rPr>
          <w:rFonts w:ascii="Times New Roman" w:hAnsi="Times New Roman" w:cs="Times New Roman"/>
          <w:sz w:val="22"/>
          <w:szCs w:val="22"/>
        </w:rPr>
        <w:t>.</w:t>
      </w:r>
      <w:r w:rsidR="00A40E2A">
        <w:rPr>
          <w:rFonts w:ascii="Times New Roman" w:hAnsi="Times New Roman" w:cs="Times New Roman"/>
          <w:sz w:val="22"/>
          <w:szCs w:val="22"/>
        </w:rPr>
        <w:t xml:space="preserve"> </w:t>
      </w:r>
      <w:r w:rsidR="00230394">
        <w:rPr>
          <w:rFonts w:ascii="Times New Roman" w:hAnsi="Times New Roman" w:cs="Times New Roman"/>
          <w:sz w:val="22"/>
          <w:szCs w:val="22"/>
        </w:rPr>
        <w:t xml:space="preserve">The </w:t>
      </w:r>
      <w:r w:rsidR="00230394" w:rsidRPr="00126DBF">
        <w:rPr>
          <w:rFonts w:ascii="Times New Roman" w:hAnsi="Times New Roman" w:cs="Times New Roman"/>
          <w:sz w:val="22"/>
          <w:szCs w:val="22"/>
        </w:rPr>
        <w:t>tourism sector</w:t>
      </w:r>
      <w:r w:rsidR="00230394">
        <w:rPr>
          <w:rFonts w:ascii="Times New Roman" w:hAnsi="Times New Roman" w:cs="Times New Roman"/>
          <w:sz w:val="22"/>
          <w:szCs w:val="22"/>
        </w:rPr>
        <w:t xml:space="preserve"> </w:t>
      </w:r>
      <w:r w:rsidR="00230394" w:rsidRPr="00126DBF">
        <w:rPr>
          <w:rFonts w:ascii="Times New Roman" w:hAnsi="Times New Roman" w:cs="Times New Roman"/>
          <w:sz w:val="22"/>
          <w:szCs w:val="22"/>
        </w:rPr>
        <w:t>represents 25 percent of GDP</w:t>
      </w:r>
      <w:r w:rsidR="00230394">
        <w:rPr>
          <w:rFonts w:ascii="Times New Roman" w:hAnsi="Times New Roman" w:cs="Times New Roman"/>
          <w:sz w:val="22"/>
          <w:szCs w:val="22"/>
        </w:rPr>
        <w:t xml:space="preserve"> and</w:t>
      </w:r>
      <w:r w:rsidR="00230394" w:rsidRPr="00126DBF">
        <w:rPr>
          <w:rFonts w:ascii="Times New Roman" w:hAnsi="Times New Roman" w:cs="Times New Roman"/>
          <w:sz w:val="22"/>
          <w:szCs w:val="22"/>
        </w:rPr>
        <w:t xml:space="preserve"> drives around 40 percent of overall economic activity</w:t>
      </w:r>
      <w:r w:rsidR="00230394">
        <w:rPr>
          <w:rFonts w:ascii="Times New Roman" w:hAnsi="Times New Roman" w:cs="Times New Roman"/>
          <w:sz w:val="22"/>
          <w:szCs w:val="22"/>
        </w:rPr>
        <w:t xml:space="preserve">. The sector is also the main recipient of most of Cabo Verde’s </w:t>
      </w:r>
      <w:r w:rsidR="00230394" w:rsidRPr="00126DBF">
        <w:rPr>
          <w:rFonts w:ascii="Times New Roman" w:hAnsi="Times New Roman" w:cs="Times New Roman"/>
          <w:sz w:val="22"/>
          <w:szCs w:val="22"/>
        </w:rPr>
        <w:t>FDI, a critical source of external finance.</w:t>
      </w:r>
      <w:r w:rsidR="00230394">
        <w:rPr>
          <w:rFonts w:ascii="Times New Roman" w:hAnsi="Times New Roman" w:cs="Times New Roman"/>
          <w:sz w:val="22"/>
          <w:szCs w:val="22"/>
        </w:rPr>
        <w:t xml:space="preserve"> </w:t>
      </w:r>
      <w:r w:rsidR="007270B8" w:rsidRPr="007270B8">
        <w:rPr>
          <w:rFonts w:ascii="Times New Roman" w:hAnsi="Times New Roman" w:cs="Times New Roman"/>
          <w:sz w:val="22"/>
          <w:szCs w:val="22"/>
        </w:rPr>
        <w:t xml:space="preserve">Overall, the services sector </w:t>
      </w:r>
      <w:r w:rsidR="00A40E2A">
        <w:rPr>
          <w:rFonts w:ascii="Times New Roman" w:hAnsi="Times New Roman" w:cs="Times New Roman"/>
          <w:sz w:val="22"/>
          <w:szCs w:val="22"/>
        </w:rPr>
        <w:t>grew</w:t>
      </w:r>
      <w:r w:rsidR="007270B8" w:rsidRPr="007270B8">
        <w:rPr>
          <w:rFonts w:ascii="Times New Roman" w:hAnsi="Times New Roman" w:cs="Times New Roman"/>
          <w:sz w:val="22"/>
          <w:szCs w:val="22"/>
        </w:rPr>
        <w:t xml:space="preserve"> by </w:t>
      </w:r>
      <w:r w:rsidR="00CD3357">
        <w:rPr>
          <w:rFonts w:ascii="Times New Roman" w:hAnsi="Times New Roman" w:cs="Times New Roman"/>
          <w:sz w:val="22"/>
          <w:szCs w:val="22"/>
        </w:rPr>
        <w:t>6.3</w:t>
      </w:r>
      <w:r w:rsidR="007270B8" w:rsidRPr="007270B8">
        <w:rPr>
          <w:rFonts w:ascii="Times New Roman" w:hAnsi="Times New Roman" w:cs="Times New Roman"/>
          <w:sz w:val="22"/>
          <w:szCs w:val="22"/>
        </w:rPr>
        <w:t xml:space="preserve"> percent </w:t>
      </w:r>
      <w:r w:rsidR="00230394">
        <w:rPr>
          <w:rFonts w:ascii="Times New Roman" w:hAnsi="Times New Roman" w:cs="Times New Roman"/>
          <w:sz w:val="22"/>
          <w:szCs w:val="22"/>
        </w:rPr>
        <w:t xml:space="preserve">in 2021, </w:t>
      </w:r>
      <w:r w:rsidR="007270B8" w:rsidRPr="007270B8">
        <w:rPr>
          <w:rFonts w:ascii="Times New Roman" w:hAnsi="Times New Roman" w:cs="Times New Roman"/>
          <w:sz w:val="22"/>
          <w:szCs w:val="22"/>
        </w:rPr>
        <w:t xml:space="preserve">while industrial output </w:t>
      </w:r>
      <w:r w:rsidR="00A40E2A">
        <w:rPr>
          <w:rFonts w:ascii="Times New Roman" w:hAnsi="Times New Roman" w:cs="Times New Roman"/>
          <w:sz w:val="22"/>
          <w:szCs w:val="22"/>
        </w:rPr>
        <w:t>increased</w:t>
      </w:r>
      <w:r w:rsidR="007270B8" w:rsidRPr="007270B8">
        <w:rPr>
          <w:rFonts w:ascii="Times New Roman" w:hAnsi="Times New Roman" w:cs="Times New Roman"/>
          <w:sz w:val="22"/>
          <w:szCs w:val="22"/>
        </w:rPr>
        <w:t xml:space="preserve"> by </w:t>
      </w:r>
      <w:r w:rsidR="0017203E">
        <w:rPr>
          <w:rFonts w:ascii="Times New Roman" w:hAnsi="Times New Roman" w:cs="Times New Roman"/>
          <w:sz w:val="22"/>
          <w:szCs w:val="22"/>
        </w:rPr>
        <w:t>9.5</w:t>
      </w:r>
      <w:r w:rsidR="007270B8" w:rsidRPr="007270B8">
        <w:rPr>
          <w:rFonts w:ascii="Times New Roman" w:hAnsi="Times New Roman" w:cs="Times New Roman"/>
          <w:sz w:val="22"/>
          <w:szCs w:val="22"/>
        </w:rPr>
        <w:t xml:space="preserve"> percent. </w:t>
      </w:r>
      <w:r w:rsidR="00A40E2A">
        <w:rPr>
          <w:rFonts w:ascii="Times New Roman" w:hAnsi="Times New Roman" w:cs="Times New Roman"/>
          <w:sz w:val="22"/>
          <w:szCs w:val="22"/>
        </w:rPr>
        <w:t>C</w:t>
      </w:r>
      <w:r w:rsidR="00C661D3">
        <w:rPr>
          <w:rFonts w:ascii="Times New Roman" w:hAnsi="Times New Roman" w:cs="Times New Roman"/>
          <w:sz w:val="22"/>
          <w:szCs w:val="22"/>
        </w:rPr>
        <w:t>onstr</w:t>
      </w:r>
      <w:r w:rsidR="00B97A3A">
        <w:rPr>
          <w:rFonts w:ascii="Times New Roman" w:hAnsi="Times New Roman" w:cs="Times New Roman"/>
          <w:sz w:val="22"/>
          <w:szCs w:val="22"/>
        </w:rPr>
        <w:t xml:space="preserve">uction and </w:t>
      </w:r>
      <w:r w:rsidR="00517398">
        <w:rPr>
          <w:rFonts w:ascii="Times New Roman" w:hAnsi="Times New Roman" w:cs="Times New Roman"/>
          <w:sz w:val="22"/>
          <w:szCs w:val="22"/>
        </w:rPr>
        <w:t>commerce increased</w:t>
      </w:r>
      <w:r w:rsidR="00ED30C7">
        <w:rPr>
          <w:rFonts w:ascii="Times New Roman" w:hAnsi="Times New Roman" w:cs="Times New Roman"/>
          <w:sz w:val="22"/>
          <w:szCs w:val="22"/>
        </w:rPr>
        <w:t xml:space="preserve"> by </w:t>
      </w:r>
      <w:r w:rsidR="00B97A3A">
        <w:rPr>
          <w:rFonts w:ascii="Times New Roman" w:hAnsi="Times New Roman" w:cs="Times New Roman"/>
          <w:sz w:val="22"/>
          <w:szCs w:val="22"/>
        </w:rPr>
        <w:t>8.6</w:t>
      </w:r>
      <w:r w:rsidR="00ED30C7">
        <w:rPr>
          <w:rFonts w:ascii="Times New Roman" w:hAnsi="Times New Roman" w:cs="Times New Roman"/>
          <w:sz w:val="22"/>
          <w:szCs w:val="22"/>
        </w:rPr>
        <w:t xml:space="preserve"> </w:t>
      </w:r>
      <w:r w:rsidR="00B96B7D">
        <w:rPr>
          <w:rFonts w:ascii="Times New Roman" w:hAnsi="Times New Roman" w:cs="Times New Roman"/>
          <w:sz w:val="22"/>
          <w:szCs w:val="22"/>
        </w:rPr>
        <w:t xml:space="preserve">percent </w:t>
      </w:r>
      <w:r w:rsidR="00ED30C7">
        <w:rPr>
          <w:rFonts w:ascii="Times New Roman" w:hAnsi="Times New Roman" w:cs="Times New Roman"/>
          <w:sz w:val="22"/>
          <w:szCs w:val="22"/>
        </w:rPr>
        <w:t xml:space="preserve">and </w:t>
      </w:r>
      <w:r w:rsidR="00896D2F">
        <w:rPr>
          <w:rFonts w:ascii="Times New Roman" w:hAnsi="Times New Roman" w:cs="Times New Roman"/>
          <w:sz w:val="22"/>
          <w:szCs w:val="22"/>
        </w:rPr>
        <w:t>4.2 percent</w:t>
      </w:r>
      <w:r w:rsidR="00ED30C7">
        <w:rPr>
          <w:rFonts w:ascii="Times New Roman" w:hAnsi="Times New Roman" w:cs="Times New Roman"/>
          <w:sz w:val="22"/>
          <w:szCs w:val="22"/>
        </w:rPr>
        <w:t xml:space="preserve">, respectively, </w:t>
      </w:r>
      <w:r w:rsidR="00B96B7D">
        <w:rPr>
          <w:rFonts w:ascii="Times New Roman" w:hAnsi="Times New Roman" w:cs="Times New Roman"/>
          <w:sz w:val="22"/>
          <w:szCs w:val="22"/>
        </w:rPr>
        <w:t>whereas</w:t>
      </w:r>
      <w:r w:rsidR="00ED30C7">
        <w:rPr>
          <w:rFonts w:ascii="Times New Roman" w:hAnsi="Times New Roman" w:cs="Times New Roman"/>
          <w:sz w:val="22"/>
          <w:szCs w:val="22"/>
        </w:rPr>
        <w:t xml:space="preserve"> h</w:t>
      </w:r>
      <w:r w:rsidR="007270B8" w:rsidRPr="007270B8">
        <w:rPr>
          <w:rFonts w:ascii="Times New Roman" w:hAnsi="Times New Roman" w:cs="Times New Roman"/>
          <w:sz w:val="22"/>
          <w:szCs w:val="22"/>
        </w:rPr>
        <w:t>ospitality and restaurants</w:t>
      </w:r>
      <w:r w:rsidR="004A41F2">
        <w:rPr>
          <w:rFonts w:ascii="Times New Roman" w:hAnsi="Times New Roman" w:cs="Times New Roman"/>
          <w:sz w:val="22"/>
          <w:szCs w:val="22"/>
        </w:rPr>
        <w:t xml:space="preserve"> remained </w:t>
      </w:r>
      <w:r w:rsidR="00FC7556">
        <w:rPr>
          <w:rFonts w:ascii="Times New Roman" w:hAnsi="Times New Roman" w:cs="Times New Roman"/>
          <w:sz w:val="22"/>
          <w:szCs w:val="22"/>
        </w:rPr>
        <w:t>depressed</w:t>
      </w:r>
      <w:r w:rsidR="00274B90">
        <w:rPr>
          <w:rFonts w:ascii="Times New Roman" w:hAnsi="Times New Roman" w:cs="Times New Roman"/>
          <w:sz w:val="22"/>
          <w:szCs w:val="22"/>
        </w:rPr>
        <w:t xml:space="preserve"> (Figure 1)</w:t>
      </w:r>
      <w:r w:rsidR="007270B8" w:rsidRPr="007270B8">
        <w:rPr>
          <w:rFonts w:ascii="Times New Roman" w:hAnsi="Times New Roman" w:cs="Times New Roman"/>
          <w:sz w:val="22"/>
          <w:szCs w:val="22"/>
        </w:rPr>
        <w:t>. The agriculture and fishing sector also perform</w:t>
      </w:r>
      <w:r w:rsidR="00EE74C9">
        <w:rPr>
          <w:rFonts w:ascii="Times New Roman" w:hAnsi="Times New Roman" w:cs="Times New Roman"/>
          <w:sz w:val="22"/>
          <w:szCs w:val="22"/>
        </w:rPr>
        <w:t>ed</w:t>
      </w:r>
      <w:r w:rsidR="00D00671">
        <w:rPr>
          <w:rFonts w:ascii="Times New Roman" w:hAnsi="Times New Roman" w:cs="Times New Roman"/>
          <w:sz w:val="22"/>
          <w:szCs w:val="22"/>
        </w:rPr>
        <w:t xml:space="preserve"> </w:t>
      </w:r>
      <w:r w:rsidR="00B70572">
        <w:rPr>
          <w:rFonts w:ascii="Times New Roman" w:hAnsi="Times New Roman" w:cs="Times New Roman"/>
          <w:sz w:val="22"/>
          <w:szCs w:val="22"/>
        </w:rPr>
        <w:t xml:space="preserve">relatively </w:t>
      </w:r>
      <w:r w:rsidR="00D00671">
        <w:rPr>
          <w:rFonts w:ascii="Times New Roman" w:hAnsi="Times New Roman" w:cs="Times New Roman"/>
          <w:sz w:val="22"/>
          <w:szCs w:val="22"/>
        </w:rPr>
        <w:t>well</w:t>
      </w:r>
      <w:r w:rsidR="007270B8" w:rsidRPr="007270B8">
        <w:rPr>
          <w:rFonts w:ascii="Times New Roman" w:hAnsi="Times New Roman" w:cs="Times New Roman"/>
          <w:sz w:val="22"/>
          <w:szCs w:val="22"/>
        </w:rPr>
        <w:t xml:space="preserve">, </w:t>
      </w:r>
      <w:r w:rsidR="00B96B7D">
        <w:rPr>
          <w:rFonts w:ascii="Times New Roman" w:hAnsi="Times New Roman" w:cs="Times New Roman"/>
          <w:sz w:val="22"/>
          <w:szCs w:val="22"/>
        </w:rPr>
        <w:t>increasing</w:t>
      </w:r>
      <w:r w:rsidR="007270B8" w:rsidRPr="007270B8">
        <w:rPr>
          <w:rFonts w:ascii="Times New Roman" w:hAnsi="Times New Roman" w:cs="Times New Roman"/>
          <w:sz w:val="22"/>
          <w:szCs w:val="22"/>
        </w:rPr>
        <w:t xml:space="preserve"> by </w:t>
      </w:r>
      <w:r w:rsidR="00B70572">
        <w:rPr>
          <w:rFonts w:ascii="Times New Roman" w:hAnsi="Times New Roman" w:cs="Times New Roman"/>
          <w:sz w:val="22"/>
          <w:szCs w:val="22"/>
        </w:rPr>
        <w:t>4</w:t>
      </w:r>
      <w:r w:rsidR="007270B8" w:rsidRPr="007270B8">
        <w:rPr>
          <w:rFonts w:ascii="Times New Roman" w:hAnsi="Times New Roman" w:cs="Times New Roman"/>
          <w:sz w:val="22"/>
          <w:szCs w:val="22"/>
        </w:rPr>
        <w:t xml:space="preserve"> percent and </w:t>
      </w:r>
      <w:r w:rsidR="00B96B7D">
        <w:rPr>
          <w:rFonts w:ascii="Times New Roman" w:hAnsi="Times New Roman" w:cs="Times New Roman"/>
          <w:sz w:val="22"/>
          <w:szCs w:val="22"/>
        </w:rPr>
        <w:t>1</w:t>
      </w:r>
      <w:r w:rsidR="00F60F75">
        <w:rPr>
          <w:rFonts w:ascii="Times New Roman" w:hAnsi="Times New Roman" w:cs="Times New Roman"/>
          <w:sz w:val="22"/>
          <w:szCs w:val="22"/>
        </w:rPr>
        <w:t>1.6</w:t>
      </w:r>
      <w:r w:rsidR="007270B8" w:rsidRPr="007270B8">
        <w:rPr>
          <w:rFonts w:ascii="Times New Roman" w:hAnsi="Times New Roman" w:cs="Times New Roman"/>
          <w:sz w:val="22"/>
          <w:szCs w:val="22"/>
        </w:rPr>
        <w:t xml:space="preserve"> percent, respectively</w:t>
      </w:r>
      <w:r w:rsidR="008541CA">
        <w:rPr>
          <w:rFonts w:ascii="Times New Roman" w:hAnsi="Times New Roman" w:cs="Times New Roman"/>
          <w:sz w:val="22"/>
          <w:szCs w:val="22"/>
        </w:rPr>
        <w:t xml:space="preserve">, </w:t>
      </w:r>
      <w:r w:rsidR="004064EB">
        <w:rPr>
          <w:rFonts w:ascii="Times New Roman" w:hAnsi="Times New Roman" w:cs="Times New Roman"/>
          <w:sz w:val="22"/>
          <w:szCs w:val="22"/>
        </w:rPr>
        <w:t>as</w:t>
      </w:r>
      <w:r w:rsidR="000F2757" w:rsidRPr="000F2757">
        <w:rPr>
          <w:rFonts w:ascii="Times New Roman" w:hAnsi="Times New Roman" w:cs="Times New Roman"/>
          <w:sz w:val="22"/>
          <w:szCs w:val="22"/>
        </w:rPr>
        <w:t xml:space="preserve"> agricultur</w:t>
      </w:r>
      <w:r w:rsidR="00F60F75">
        <w:rPr>
          <w:rFonts w:ascii="Times New Roman" w:hAnsi="Times New Roman" w:cs="Times New Roman"/>
          <w:sz w:val="22"/>
          <w:szCs w:val="22"/>
        </w:rPr>
        <w:t>e</w:t>
      </w:r>
      <w:r w:rsidR="000F2757" w:rsidRPr="000F2757">
        <w:rPr>
          <w:rFonts w:ascii="Times New Roman" w:hAnsi="Times New Roman" w:cs="Times New Roman"/>
          <w:sz w:val="22"/>
          <w:szCs w:val="22"/>
        </w:rPr>
        <w:t xml:space="preserve"> </w:t>
      </w:r>
      <w:r w:rsidR="004064EB">
        <w:rPr>
          <w:rFonts w:ascii="Times New Roman" w:hAnsi="Times New Roman" w:cs="Times New Roman"/>
          <w:sz w:val="22"/>
          <w:szCs w:val="22"/>
        </w:rPr>
        <w:t>recovered</w:t>
      </w:r>
      <w:r w:rsidR="00841EBA">
        <w:rPr>
          <w:rFonts w:ascii="Times New Roman" w:hAnsi="Times New Roman" w:cs="Times New Roman"/>
          <w:sz w:val="22"/>
          <w:szCs w:val="22"/>
        </w:rPr>
        <w:t xml:space="preserve"> from</w:t>
      </w:r>
      <w:r w:rsidR="000F2757" w:rsidRPr="000F2757">
        <w:rPr>
          <w:rFonts w:ascii="Times New Roman" w:hAnsi="Times New Roman" w:cs="Times New Roman"/>
          <w:sz w:val="22"/>
          <w:szCs w:val="22"/>
        </w:rPr>
        <w:t xml:space="preserve"> four years of drought and the external demand for fish</w:t>
      </w:r>
      <w:r w:rsidR="005245A7">
        <w:rPr>
          <w:rFonts w:ascii="Times New Roman" w:hAnsi="Times New Roman" w:cs="Times New Roman"/>
          <w:sz w:val="22"/>
          <w:szCs w:val="22"/>
        </w:rPr>
        <w:t xml:space="preserve"> returned to normal levels</w:t>
      </w:r>
      <w:r w:rsidR="007270B8" w:rsidRPr="007270B8">
        <w:rPr>
          <w:rFonts w:ascii="Times New Roman" w:hAnsi="Times New Roman" w:cs="Times New Roman"/>
          <w:sz w:val="22"/>
          <w:szCs w:val="22"/>
        </w:rPr>
        <w:t xml:space="preserve">. </w:t>
      </w:r>
    </w:p>
    <w:p w14:paraId="1A40DBBE" w14:textId="1CFC4E3A" w:rsidR="00C84A4C" w:rsidRPr="00926B73" w:rsidRDefault="00C84A4C" w:rsidP="00926B73">
      <w:pPr>
        <w:pStyle w:val="Caption"/>
        <w:keepNext/>
        <w:spacing w:after="0"/>
        <w:jc w:val="center"/>
        <w:rPr>
          <w:rFonts w:ascii="Times New Roman" w:hAnsi="Times New Roman" w:cs="Times New Roman"/>
          <w:b/>
          <w:bCs/>
          <w:i w:val="0"/>
          <w:iCs w:val="0"/>
          <w:color w:val="2F5496" w:themeColor="accent1" w:themeShade="BF"/>
          <w:sz w:val="20"/>
          <w:szCs w:val="20"/>
        </w:rPr>
      </w:pPr>
      <w:bookmarkStart w:id="30" w:name="_Toc103950875"/>
      <w:bookmarkStart w:id="31" w:name="_Toc70346657"/>
      <w:bookmarkStart w:id="32" w:name="_Toc97568436"/>
      <w:r w:rsidRPr="00926B7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w:t>
      </w:r>
      <w:r w:rsidR="009E2172">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 Annual Growth rates 2020-2021</w:t>
      </w:r>
      <w:bookmarkEnd w:id="30"/>
    </w:p>
    <w:bookmarkEnd w:id="31"/>
    <w:bookmarkEnd w:id="32"/>
    <w:p w14:paraId="224AA9C9" w14:textId="2592948F" w:rsidR="00747B25" w:rsidRDefault="00B96B7D" w:rsidP="00926B73">
      <w:pPr>
        <w:pStyle w:val="Caption"/>
        <w:spacing w:after="120"/>
        <w:jc w:val="center"/>
        <w:rPr>
          <w:rFonts w:ascii="Times New Roman" w:hAnsi="Times New Roman" w:cs="Times New Roman"/>
          <w:b/>
          <w:bCs/>
          <w:i w:val="0"/>
          <w:iCs w:val="0"/>
          <w:color w:val="2F5496" w:themeColor="accent1" w:themeShade="BF"/>
          <w:sz w:val="20"/>
          <w:szCs w:val="20"/>
        </w:rPr>
      </w:pPr>
      <w:r w:rsidRPr="00926B73">
        <w:rPr>
          <w:rFonts w:ascii="Times New Roman" w:hAnsi="Times New Roman" w:cs="Times New Roman"/>
          <w:b/>
          <w:bCs/>
          <w:i w:val="0"/>
          <w:iCs w:val="0"/>
          <w:color w:val="2F5496" w:themeColor="accent1" w:themeShade="BF"/>
          <w:sz w:val="20"/>
          <w:szCs w:val="20"/>
        </w:rPr>
        <w:t>(Percentage)</w:t>
      </w:r>
    </w:p>
    <w:p w14:paraId="6B5AE9C2" w14:textId="28ED28A3" w:rsidR="00C12B93" w:rsidRDefault="00D643A4" w:rsidP="00896D2F">
      <w:pPr>
        <w:jc w:val="center"/>
      </w:pPr>
      <w:r>
        <w:rPr>
          <w:noProof/>
        </w:rPr>
        <w:drawing>
          <wp:inline distT="0" distB="0" distL="0" distR="0" wp14:anchorId="634CCD61" wp14:editId="133A81B9">
            <wp:extent cx="3449048" cy="19943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961" cy="2075818"/>
                    </a:xfrm>
                    <a:prstGeom prst="rect">
                      <a:avLst/>
                    </a:prstGeom>
                    <a:noFill/>
                  </pic:spPr>
                </pic:pic>
              </a:graphicData>
            </a:graphic>
          </wp:inline>
        </w:drawing>
      </w:r>
    </w:p>
    <w:p w14:paraId="2E6EF351" w14:textId="04A6F647" w:rsidR="0049453E" w:rsidRDefault="0008331F" w:rsidP="000F71C2">
      <w:pPr>
        <w:overflowPunct w:val="0"/>
        <w:autoSpaceDE w:val="0"/>
        <w:autoSpaceDN w:val="0"/>
        <w:adjustRightInd w:val="0"/>
        <w:spacing w:before="240" w:after="240" w:line="276" w:lineRule="auto"/>
        <w:contextualSpacing/>
        <w:jc w:val="both"/>
        <w:textAlignment w:val="baseline"/>
        <w:rPr>
          <w:rFonts w:ascii="Times New Roman" w:hAnsi="Times New Roman" w:cs="Times New Roman"/>
          <w:b/>
          <w:bCs/>
        </w:rPr>
      </w:pPr>
      <w:r>
        <w:rPr>
          <w:rFonts w:ascii="Times New Roman" w:hAnsi="Times New Roman" w:cs="Times New Roman"/>
          <w:sz w:val="18"/>
          <w:szCs w:val="18"/>
        </w:rPr>
        <w:t xml:space="preserve">                      </w:t>
      </w:r>
      <w:r w:rsidR="0047141D">
        <w:rPr>
          <w:rFonts w:ascii="Times New Roman" w:hAnsi="Times New Roman" w:cs="Times New Roman"/>
          <w:sz w:val="18"/>
          <w:szCs w:val="18"/>
        </w:rPr>
        <w:t xml:space="preserve">             </w:t>
      </w:r>
      <w:r>
        <w:rPr>
          <w:rFonts w:ascii="Times New Roman" w:hAnsi="Times New Roman" w:cs="Times New Roman"/>
          <w:sz w:val="18"/>
          <w:szCs w:val="18"/>
        </w:rPr>
        <w:t xml:space="preserve"> </w:t>
      </w:r>
      <w:r w:rsidR="00023B85">
        <w:rPr>
          <w:rFonts w:ascii="Times New Roman" w:hAnsi="Times New Roman" w:cs="Times New Roman"/>
          <w:sz w:val="18"/>
          <w:szCs w:val="18"/>
        </w:rPr>
        <w:t xml:space="preserve">       </w:t>
      </w:r>
      <w:r w:rsidR="00EB1014">
        <w:rPr>
          <w:rFonts w:ascii="Times New Roman" w:hAnsi="Times New Roman" w:cs="Times New Roman"/>
          <w:sz w:val="18"/>
          <w:szCs w:val="18"/>
        </w:rPr>
        <w:t xml:space="preserve"> </w:t>
      </w:r>
      <w:r w:rsidRPr="0008331F">
        <w:rPr>
          <w:rFonts w:ascii="Times New Roman" w:hAnsi="Times New Roman" w:cs="Times New Roman"/>
          <w:sz w:val="18"/>
          <w:szCs w:val="18"/>
        </w:rPr>
        <w:t>Source: The World Bank Group</w:t>
      </w:r>
    </w:p>
    <w:p w14:paraId="1DB72BF2" w14:textId="77777777" w:rsidR="00B4596C" w:rsidRDefault="00B4596C" w:rsidP="008E1B20">
      <w:pPr>
        <w:overflowPunct w:val="0"/>
        <w:autoSpaceDE w:val="0"/>
        <w:autoSpaceDN w:val="0"/>
        <w:adjustRightInd w:val="0"/>
        <w:spacing w:before="240" w:after="240" w:line="276" w:lineRule="auto"/>
        <w:contextualSpacing/>
        <w:jc w:val="both"/>
        <w:textAlignment w:val="baseline"/>
        <w:rPr>
          <w:rFonts w:ascii="Times New Roman" w:hAnsi="Times New Roman" w:cs="Times New Roman"/>
          <w:b/>
          <w:bCs/>
        </w:rPr>
      </w:pPr>
    </w:p>
    <w:p w14:paraId="47A03378" w14:textId="09E9E082" w:rsidR="008E1B20" w:rsidRDefault="00F03527" w:rsidP="008E1B20">
      <w:pPr>
        <w:overflowPunct w:val="0"/>
        <w:autoSpaceDE w:val="0"/>
        <w:autoSpaceDN w:val="0"/>
        <w:adjustRightInd w:val="0"/>
        <w:spacing w:before="240" w:after="240" w:line="276" w:lineRule="auto"/>
        <w:contextualSpacing/>
        <w:jc w:val="both"/>
        <w:textAlignment w:val="baseline"/>
        <w:rPr>
          <w:rFonts w:ascii="Times New Roman" w:hAnsi="Times New Roman" w:cs="Times New Roman"/>
        </w:rPr>
      </w:pPr>
      <w:r>
        <w:rPr>
          <w:rFonts w:ascii="Times New Roman" w:hAnsi="Times New Roman" w:cs="Times New Roman"/>
          <w:b/>
          <w:bCs/>
        </w:rPr>
        <w:t>2</w:t>
      </w:r>
      <w:r w:rsidR="006A3549">
        <w:rPr>
          <w:rFonts w:ascii="Times New Roman" w:hAnsi="Times New Roman" w:cs="Times New Roman"/>
          <w:b/>
          <w:bCs/>
        </w:rPr>
        <w:t xml:space="preserve">. </w:t>
      </w:r>
      <w:r w:rsidR="006D6B61">
        <w:rPr>
          <w:rFonts w:ascii="Times New Roman" w:hAnsi="Times New Roman" w:cs="Times New Roman"/>
          <w:b/>
          <w:bCs/>
        </w:rPr>
        <w:t>P</w:t>
      </w:r>
      <w:r w:rsidR="00EC22D4">
        <w:rPr>
          <w:rFonts w:ascii="Times New Roman" w:hAnsi="Times New Roman" w:cs="Times New Roman"/>
          <w:b/>
          <w:bCs/>
        </w:rPr>
        <w:t xml:space="preserve">rivate </w:t>
      </w:r>
      <w:r w:rsidR="00FA0E4D">
        <w:rPr>
          <w:rFonts w:ascii="Times New Roman" w:hAnsi="Times New Roman" w:cs="Times New Roman"/>
          <w:b/>
          <w:bCs/>
        </w:rPr>
        <w:t>consum</w:t>
      </w:r>
      <w:r w:rsidR="00954C9A">
        <w:rPr>
          <w:rFonts w:ascii="Times New Roman" w:hAnsi="Times New Roman" w:cs="Times New Roman"/>
          <w:b/>
          <w:bCs/>
        </w:rPr>
        <w:t xml:space="preserve">ption </w:t>
      </w:r>
      <w:r w:rsidR="00EC22D4">
        <w:rPr>
          <w:rFonts w:ascii="Times New Roman" w:hAnsi="Times New Roman" w:cs="Times New Roman"/>
          <w:b/>
          <w:bCs/>
        </w:rPr>
        <w:t>led economic growth</w:t>
      </w:r>
      <w:r w:rsidR="00230394">
        <w:rPr>
          <w:rFonts w:ascii="Times New Roman" w:hAnsi="Times New Roman" w:cs="Times New Roman"/>
          <w:b/>
          <w:bCs/>
        </w:rPr>
        <w:t xml:space="preserve"> in 2021</w:t>
      </w:r>
      <w:r w:rsidR="00EC22D4">
        <w:rPr>
          <w:rFonts w:ascii="Times New Roman" w:hAnsi="Times New Roman" w:cs="Times New Roman"/>
          <w:b/>
          <w:bCs/>
        </w:rPr>
        <w:t>.</w:t>
      </w:r>
      <w:r w:rsidR="000F71C2" w:rsidRPr="000F71C2">
        <w:rPr>
          <w:rFonts w:ascii="Times New Roman" w:hAnsi="Times New Roman" w:cs="Times New Roman"/>
          <w:b/>
          <w:bCs/>
        </w:rPr>
        <w:t xml:space="preserve"> </w:t>
      </w:r>
      <w:r w:rsidR="00EC22D4" w:rsidRPr="00EC22D4">
        <w:rPr>
          <w:rFonts w:ascii="Times New Roman" w:hAnsi="Times New Roman" w:cs="Times New Roman"/>
        </w:rPr>
        <w:t xml:space="preserve">Private consumption increased with the easing of the restrictions imposed by COVID-19 </w:t>
      </w:r>
      <w:r w:rsidR="006F26BD">
        <w:rPr>
          <w:rFonts w:ascii="Times New Roman" w:hAnsi="Times New Roman" w:cs="Times New Roman"/>
        </w:rPr>
        <w:t xml:space="preserve">pandemic </w:t>
      </w:r>
      <w:r w:rsidR="00EC22D4" w:rsidRPr="00EC22D4">
        <w:rPr>
          <w:rFonts w:ascii="Times New Roman" w:hAnsi="Times New Roman" w:cs="Times New Roman"/>
        </w:rPr>
        <w:t>and the gradual reopening of the economy</w:t>
      </w:r>
      <w:r w:rsidR="002B2A86">
        <w:rPr>
          <w:rFonts w:ascii="Times New Roman" w:hAnsi="Times New Roman" w:cs="Times New Roman"/>
        </w:rPr>
        <w:t>,</w:t>
      </w:r>
      <w:r w:rsidR="00EC22D4" w:rsidRPr="00EC22D4">
        <w:rPr>
          <w:rFonts w:ascii="Times New Roman" w:hAnsi="Times New Roman" w:cs="Times New Roman"/>
          <w:b/>
          <w:bCs/>
        </w:rPr>
        <w:t xml:space="preserve"> </w:t>
      </w:r>
      <w:r w:rsidR="00EC22D4" w:rsidRPr="00EC22D4">
        <w:rPr>
          <w:rFonts w:ascii="Times New Roman" w:hAnsi="Times New Roman" w:cs="Times New Roman"/>
        </w:rPr>
        <w:t xml:space="preserve">contributing </w:t>
      </w:r>
      <w:r w:rsidR="006F26BD">
        <w:rPr>
          <w:rFonts w:ascii="Times New Roman" w:hAnsi="Times New Roman" w:cs="Times New Roman"/>
        </w:rPr>
        <w:t>6</w:t>
      </w:r>
      <w:r w:rsidR="00954C9A">
        <w:rPr>
          <w:rFonts w:ascii="Times New Roman" w:hAnsi="Times New Roman" w:cs="Times New Roman"/>
        </w:rPr>
        <w:t>.3</w:t>
      </w:r>
      <w:r w:rsidR="00EC22D4" w:rsidRPr="00EC22D4">
        <w:rPr>
          <w:rFonts w:ascii="Times New Roman" w:hAnsi="Times New Roman" w:cs="Times New Roman"/>
        </w:rPr>
        <w:t xml:space="preserve"> percentage points to GDP </w:t>
      </w:r>
      <w:r w:rsidR="006F26BD">
        <w:rPr>
          <w:rFonts w:ascii="Times New Roman" w:hAnsi="Times New Roman" w:cs="Times New Roman"/>
        </w:rPr>
        <w:t>growth</w:t>
      </w:r>
      <w:r w:rsidR="00EC22D4" w:rsidRPr="00EC22D4">
        <w:rPr>
          <w:rFonts w:ascii="Times New Roman" w:hAnsi="Times New Roman" w:cs="Times New Roman"/>
        </w:rPr>
        <w:t xml:space="preserve"> (Table 1).</w:t>
      </w:r>
      <w:r w:rsidR="006F26BD">
        <w:rPr>
          <w:rFonts w:ascii="Times New Roman" w:hAnsi="Times New Roman" w:cs="Times New Roman"/>
        </w:rPr>
        <w:t xml:space="preserve"> </w:t>
      </w:r>
      <w:r w:rsidR="006F26BD" w:rsidRPr="006F26BD">
        <w:rPr>
          <w:rFonts w:ascii="Times New Roman" w:hAnsi="Times New Roman" w:cs="Times New Roman"/>
        </w:rPr>
        <w:t>Likewise</w:t>
      </w:r>
      <w:r w:rsidR="006F26BD">
        <w:rPr>
          <w:rFonts w:ascii="Times New Roman" w:hAnsi="Times New Roman" w:cs="Times New Roman"/>
        </w:rPr>
        <w:t>,</w:t>
      </w:r>
      <w:r w:rsidR="006F26BD" w:rsidRPr="006F26BD">
        <w:rPr>
          <w:rFonts w:ascii="Times New Roman" w:hAnsi="Times New Roman" w:cs="Times New Roman"/>
        </w:rPr>
        <w:t xml:space="preserve"> </w:t>
      </w:r>
      <w:r w:rsidR="00C63A37" w:rsidRPr="00C63A37">
        <w:rPr>
          <w:rFonts w:ascii="Times New Roman" w:hAnsi="Times New Roman" w:cs="Times New Roman"/>
        </w:rPr>
        <w:t>public consumption contributed 6.2 percentage points, due to exceptional expenditures measures to respond to the pandemic. The contribution of total investment to growth was negative, driven by a reduction in public investment.</w:t>
      </w:r>
      <w:r w:rsidR="00C63A37">
        <w:rPr>
          <w:rFonts w:ascii="Times New Roman" w:hAnsi="Times New Roman" w:cs="Times New Roman"/>
        </w:rPr>
        <w:t xml:space="preserve"> </w:t>
      </w:r>
      <w:r w:rsidR="00212728">
        <w:rPr>
          <w:rFonts w:ascii="Times New Roman" w:hAnsi="Times New Roman" w:cs="Times New Roman"/>
        </w:rPr>
        <w:t xml:space="preserve">FDI inflows accounted for </w:t>
      </w:r>
      <w:r w:rsidR="00D44B86">
        <w:rPr>
          <w:rFonts w:ascii="Times New Roman" w:hAnsi="Times New Roman" w:cs="Times New Roman"/>
        </w:rPr>
        <w:t>5.</w:t>
      </w:r>
      <w:r w:rsidR="00A755DF">
        <w:rPr>
          <w:rFonts w:ascii="Times New Roman" w:hAnsi="Times New Roman" w:cs="Times New Roman"/>
        </w:rPr>
        <w:t>6</w:t>
      </w:r>
      <w:r w:rsidR="00212728">
        <w:rPr>
          <w:rFonts w:ascii="Times New Roman" w:hAnsi="Times New Roman" w:cs="Times New Roman"/>
        </w:rPr>
        <w:t xml:space="preserve"> percent of GDP, an increase of </w:t>
      </w:r>
      <w:r w:rsidR="00A755DF">
        <w:rPr>
          <w:rFonts w:ascii="Times New Roman" w:hAnsi="Times New Roman" w:cs="Times New Roman"/>
        </w:rPr>
        <w:t>1.9</w:t>
      </w:r>
      <w:r w:rsidR="00212728">
        <w:rPr>
          <w:rFonts w:ascii="Times New Roman" w:hAnsi="Times New Roman" w:cs="Times New Roman"/>
        </w:rPr>
        <w:t xml:space="preserve"> percentage points compared to 2020. </w:t>
      </w:r>
      <w:r w:rsidR="002530C5" w:rsidRPr="002530C5">
        <w:rPr>
          <w:rFonts w:ascii="Times New Roman" w:hAnsi="Times New Roman" w:cs="Times New Roman"/>
        </w:rPr>
        <w:t xml:space="preserve">Exports of goods and services increased </w:t>
      </w:r>
      <w:r w:rsidR="00234872">
        <w:rPr>
          <w:rFonts w:ascii="Times New Roman" w:hAnsi="Times New Roman" w:cs="Times New Roman"/>
        </w:rPr>
        <w:t>by 8.4 percent</w:t>
      </w:r>
      <w:r w:rsidR="002530C5" w:rsidRPr="002530C5">
        <w:rPr>
          <w:rFonts w:ascii="Times New Roman" w:hAnsi="Times New Roman" w:cs="Times New Roman"/>
        </w:rPr>
        <w:t xml:space="preserve"> due to some recovery in the tourism sector</w:t>
      </w:r>
      <w:r w:rsidR="0049453E">
        <w:rPr>
          <w:rFonts w:ascii="Times New Roman" w:hAnsi="Times New Roman" w:cs="Times New Roman"/>
        </w:rPr>
        <w:t xml:space="preserve"> </w:t>
      </w:r>
      <w:r w:rsidR="0049453E" w:rsidRPr="0049453E">
        <w:rPr>
          <w:rFonts w:ascii="Times New Roman" w:hAnsi="Times New Roman" w:cs="Times New Roman"/>
        </w:rPr>
        <w:t xml:space="preserve">in the </w:t>
      </w:r>
      <w:r w:rsidR="00A5121C" w:rsidRPr="00A5121C">
        <w:rPr>
          <w:rFonts w:ascii="Times New Roman" w:hAnsi="Times New Roman" w:cs="Times New Roman"/>
        </w:rPr>
        <w:t>second half of the year</w:t>
      </w:r>
      <w:r w:rsidR="00E44660">
        <w:rPr>
          <w:rFonts w:ascii="Times New Roman" w:hAnsi="Times New Roman" w:cs="Times New Roman"/>
        </w:rPr>
        <w:t xml:space="preserve"> and </w:t>
      </w:r>
      <w:r w:rsidR="00BB546A">
        <w:rPr>
          <w:rFonts w:ascii="Times New Roman" w:hAnsi="Times New Roman" w:cs="Times New Roman"/>
        </w:rPr>
        <w:t>a strong</w:t>
      </w:r>
      <w:r w:rsidR="00760428">
        <w:rPr>
          <w:rFonts w:ascii="Times New Roman" w:hAnsi="Times New Roman" w:cs="Times New Roman"/>
        </w:rPr>
        <w:t xml:space="preserve"> increase </w:t>
      </w:r>
      <w:r w:rsidR="001C40F9">
        <w:rPr>
          <w:rFonts w:ascii="Times New Roman" w:hAnsi="Times New Roman" w:cs="Times New Roman"/>
        </w:rPr>
        <w:t>in</w:t>
      </w:r>
      <w:r w:rsidR="00760428">
        <w:rPr>
          <w:rFonts w:ascii="Times New Roman" w:hAnsi="Times New Roman" w:cs="Times New Roman"/>
        </w:rPr>
        <w:t xml:space="preserve"> exports </w:t>
      </w:r>
      <w:r w:rsidR="004624A8">
        <w:rPr>
          <w:rFonts w:ascii="Times New Roman" w:hAnsi="Times New Roman" w:cs="Times New Roman"/>
        </w:rPr>
        <w:t>of goods,</w:t>
      </w:r>
      <w:r w:rsidR="00C9727A">
        <w:rPr>
          <w:rFonts w:ascii="Times New Roman" w:hAnsi="Times New Roman" w:cs="Times New Roman"/>
        </w:rPr>
        <w:t xml:space="preserve"> mainly fish and fishery</w:t>
      </w:r>
      <w:r w:rsidR="00C2607A">
        <w:rPr>
          <w:rFonts w:ascii="Times New Roman" w:hAnsi="Times New Roman" w:cs="Times New Roman"/>
        </w:rPr>
        <w:t xml:space="preserve"> products</w:t>
      </w:r>
      <w:r w:rsidR="0049453E">
        <w:rPr>
          <w:rFonts w:ascii="Times New Roman" w:hAnsi="Times New Roman" w:cs="Times New Roman"/>
        </w:rPr>
        <w:t xml:space="preserve">, contributing </w:t>
      </w:r>
      <w:r w:rsidR="00A755DF">
        <w:rPr>
          <w:rFonts w:ascii="Times New Roman" w:hAnsi="Times New Roman" w:cs="Times New Roman"/>
        </w:rPr>
        <w:t>1.4</w:t>
      </w:r>
      <w:r w:rsidR="0049453E">
        <w:rPr>
          <w:rFonts w:ascii="Times New Roman" w:hAnsi="Times New Roman" w:cs="Times New Roman"/>
        </w:rPr>
        <w:t xml:space="preserve"> percentage points to GDP growth. </w:t>
      </w:r>
      <w:r w:rsidR="00A755DF">
        <w:rPr>
          <w:rFonts w:ascii="Times New Roman" w:hAnsi="Times New Roman" w:cs="Times New Roman"/>
        </w:rPr>
        <w:t>At the same time</w:t>
      </w:r>
      <w:r w:rsidR="00503BF9">
        <w:rPr>
          <w:rFonts w:ascii="Times New Roman" w:hAnsi="Times New Roman" w:cs="Times New Roman"/>
        </w:rPr>
        <w:t>, i</w:t>
      </w:r>
      <w:r w:rsidR="000F71C2" w:rsidRPr="000F71C2">
        <w:rPr>
          <w:rFonts w:ascii="Times New Roman" w:hAnsi="Times New Roman" w:cs="Times New Roman"/>
        </w:rPr>
        <w:t xml:space="preserve">mports </w:t>
      </w:r>
      <w:r w:rsidR="0049453E">
        <w:rPr>
          <w:rFonts w:ascii="Times New Roman" w:hAnsi="Times New Roman" w:cs="Times New Roman"/>
        </w:rPr>
        <w:t xml:space="preserve">of goods </w:t>
      </w:r>
      <w:r w:rsidR="0049453E" w:rsidRPr="0049453E">
        <w:rPr>
          <w:rFonts w:ascii="Times New Roman" w:hAnsi="Times New Roman" w:cs="Times New Roman"/>
        </w:rPr>
        <w:t>and services increased</w:t>
      </w:r>
      <w:r w:rsidR="0049453E">
        <w:rPr>
          <w:rFonts w:ascii="Times New Roman" w:hAnsi="Times New Roman" w:cs="Times New Roman"/>
        </w:rPr>
        <w:t xml:space="preserve"> by </w:t>
      </w:r>
      <w:r w:rsidR="00503BF9">
        <w:rPr>
          <w:rFonts w:ascii="Times New Roman" w:hAnsi="Times New Roman" w:cs="Times New Roman"/>
        </w:rPr>
        <w:t>4.3</w:t>
      </w:r>
      <w:r w:rsidR="0049453E">
        <w:rPr>
          <w:rFonts w:ascii="Times New Roman" w:hAnsi="Times New Roman" w:cs="Times New Roman"/>
        </w:rPr>
        <w:t xml:space="preserve"> percent</w:t>
      </w:r>
      <w:r w:rsidR="0049453E" w:rsidRPr="0049453E">
        <w:rPr>
          <w:rFonts w:ascii="Times New Roman" w:hAnsi="Times New Roman" w:cs="Times New Roman"/>
        </w:rPr>
        <w:t xml:space="preserve">, </w:t>
      </w:r>
      <w:r w:rsidR="00D07E1F" w:rsidRPr="00D07E1F">
        <w:rPr>
          <w:rFonts w:ascii="Times New Roman" w:hAnsi="Times New Roman" w:cs="Times New Roman"/>
        </w:rPr>
        <w:t>making the contribution of net exports to growth for the year slightly negative.</w:t>
      </w:r>
      <w:r w:rsidR="00D07E1F">
        <w:rPr>
          <w:rFonts w:ascii="Times New Roman" w:hAnsi="Times New Roman" w:cs="Times New Roman"/>
        </w:rPr>
        <w:t xml:space="preserve"> </w:t>
      </w:r>
      <w:r w:rsidR="0049453E" w:rsidRPr="0049453E">
        <w:rPr>
          <w:rFonts w:ascii="Times New Roman" w:hAnsi="Times New Roman" w:cs="Times New Roman"/>
        </w:rPr>
        <w:t xml:space="preserve"> </w:t>
      </w:r>
    </w:p>
    <w:p w14:paraId="6C568FC0" w14:textId="77777777" w:rsidR="00192DCA" w:rsidRPr="008E1B20" w:rsidRDefault="00192DCA" w:rsidP="008E1B20">
      <w:pPr>
        <w:overflowPunct w:val="0"/>
        <w:autoSpaceDE w:val="0"/>
        <w:autoSpaceDN w:val="0"/>
        <w:adjustRightInd w:val="0"/>
        <w:spacing w:before="240" w:after="240" w:line="276" w:lineRule="auto"/>
        <w:contextualSpacing/>
        <w:jc w:val="both"/>
        <w:textAlignment w:val="baseline"/>
        <w:rPr>
          <w:rFonts w:ascii="Times New Roman" w:hAnsi="Times New Roman" w:cs="Times New Roman"/>
        </w:rPr>
      </w:pPr>
    </w:p>
    <w:p w14:paraId="66415081" w14:textId="0AD044CA" w:rsidR="000F71C2" w:rsidRPr="00C87120" w:rsidRDefault="00917762" w:rsidP="00926B73">
      <w:pPr>
        <w:pStyle w:val="Caption"/>
        <w:spacing w:after="0"/>
        <w:jc w:val="center"/>
        <w:rPr>
          <w:rFonts w:ascii="Times New Roman" w:hAnsi="Times New Roman" w:cs="Times New Roman"/>
          <w:b/>
          <w:bCs/>
          <w:color w:val="2F5496" w:themeColor="accent1" w:themeShade="BF"/>
          <w:sz w:val="22"/>
          <w:szCs w:val="22"/>
        </w:rPr>
      </w:pPr>
      <w:bookmarkStart w:id="33" w:name="_Ref68770052"/>
      <w:bookmarkStart w:id="34" w:name="_Toc70338314"/>
      <w:bookmarkStart w:id="35" w:name="_Toc105592170"/>
      <w:r w:rsidRPr="00C87120">
        <w:rPr>
          <w:rFonts w:ascii="Times New Roman" w:hAnsi="Times New Roman" w:cs="Times New Roman"/>
          <w:b/>
          <w:bCs/>
          <w:i w:val="0"/>
          <w:iCs w:val="0"/>
          <w:color w:val="2F5496" w:themeColor="accent1" w:themeShade="BF"/>
          <w:sz w:val="22"/>
          <w:szCs w:val="22"/>
        </w:rPr>
        <w:lastRenderedPageBreak/>
        <w:t xml:space="preserve">Table </w:t>
      </w:r>
      <w:r w:rsidRPr="00C87120">
        <w:rPr>
          <w:rFonts w:ascii="Times New Roman" w:hAnsi="Times New Roman" w:cs="Times New Roman"/>
          <w:b/>
          <w:bCs/>
          <w:i w:val="0"/>
          <w:iCs w:val="0"/>
          <w:color w:val="2F5496" w:themeColor="accent1" w:themeShade="BF"/>
          <w:sz w:val="22"/>
          <w:szCs w:val="22"/>
        </w:rPr>
        <w:fldChar w:fldCharType="begin"/>
      </w:r>
      <w:r w:rsidRPr="00C87120">
        <w:rPr>
          <w:rFonts w:ascii="Times New Roman" w:hAnsi="Times New Roman" w:cs="Times New Roman"/>
          <w:b/>
          <w:bCs/>
          <w:i w:val="0"/>
          <w:iCs w:val="0"/>
          <w:color w:val="2F5496" w:themeColor="accent1" w:themeShade="BF"/>
          <w:sz w:val="22"/>
          <w:szCs w:val="22"/>
        </w:rPr>
        <w:instrText xml:space="preserve"> SEQ Table \* ARABIC </w:instrText>
      </w:r>
      <w:r w:rsidRPr="00C87120">
        <w:rPr>
          <w:rFonts w:ascii="Times New Roman" w:hAnsi="Times New Roman" w:cs="Times New Roman"/>
          <w:b/>
          <w:bCs/>
          <w:i w:val="0"/>
          <w:iCs w:val="0"/>
          <w:color w:val="2F5496" w:themeColor="accent1" w:themeShade="BF"/>
          <w:sz w:val="22"/>
          <w:szCs w:val="22"/>
        </w:rPr>
        <w:fldChar w:fldCharType="separate"/>
      </w:r>
      <w:r w:rsidR="00C73FE1" w:rsidRPr="00C87120">
        <w:rPr>
          <w:rFonts w:ascii="Times New Roman" w:hAnsi="Times New Roman" w:cs="Times New Roman"/>
          <w:b/>
          <w:bCs/>
          <w:i w:val="0"/>
          <w:iCs w:val="0"/>
          <w:noProof/>
          <w:color w:val="2F5496" w:themeColor="accent1" w:themeShade="BF"/>
          <w:sz w:val="22"/>
          <w:szCs w:val="22"/>
        </w:rPr>
        <w:t>1</w:t>
      </w:r>
      <w:r w:rsidRPr="00C87120">
        <w:rPr>
          <w:rFonts w:ascii="Times New Roman" w:hAnsi="Times New Roman" w:cs="Times New Roman"/>
          <w:b/>
          <w:bCs/>
          <w:i w:val="0"/>
          <w:iCs w:val="0"/>
          <w:color w:val="2F5496" w:themeColor="accent1" w:themeShade="BF"/>
          <w:sz w:val="22"/>
          <w:szCs w:val="22"/>
        </w:rPr>
        <w:fldChar w:fldCharType="end"/>
      </w:r>
      <w:r w:rsidRPr="00C87120">
        <w:rPr>
          <w:rFonts w:ascii="Times New Roman" w:hAnsi="Times New Roman" w:cs="Times New Roman"/>
          <w:b/>
          <w:bCs/>
          <w:i w:val="0"/>
          <w:iCs w:val="0"/>
          <w:color w:val="2F5496" w:themeColor="accent1" w:themeShade="BF"/>
          <w:sz w:val="22"/>
          <w:szCs w:val="22"/>
        </w:rPr>
        <w:t>: Contribution to GDP Growth</w:t>
      </w:r>
      <w:bookmarkEnd w:id="33"/>
      <w:bookmarkEnd w:id="34"/>
      <w:bookmarkEnd w:id="35"/>
    </w:p>
    <w:p w14:paraId="0C5ED298" w14:textId="479B9D59" w:rsidR="004319E8" w:rsidRDefault="000F71C2" w:rsidP="004319E8">
      <w:pPr>
        <w:tabs>
          <w:tab w:val="left" w:pos="1510"/>
        </w:tabs>
        <w:jc w:val="center"/>
        <w:rPr>
          <w:rFonts w:ascii="Times New Roman" w:hAnsi="Times New Roman" w:cs="Times New Roman"/>
          <w:b/>
          <w:bCs/>
          <w:color w:val="2F5496" w:themeColor="accent1" w:themeShade="BF"/>
        </w:rPr>
      </w:pPr>
      <w:r w:rsidRPr="000F71C2">
        <w:rPr>
          <w:rFonts w:ascii="Times New Roman" w:hAnsi="Times New Roman" w:cs="Times New Roman"/>
          <w:b/>
          <w:bCs/>
          <w:color w:val="2F5496" w:themeColor="accent1" w:themeShade="BF"/>
        </w:rPr>
        <w:t>(</w:t>
      </w:r>
      <w:r w:rsidR="00006577">
        <w:rPr>
          <w:rFonts w:ascii="Times New Roman" w:hAnsi="Times New Roman" w:cs="Times New Roman"/>
          <w:b/>
          <w:bCs/>
          <w:color w:val="2F5496" w:themeColor="accent1" w:themeShade="BF"/>
        </w:rPr>
        <w:t>P</w:t>
      </w:r>
      <w:r w:rsidR="00006577" w:rsidRPr="000F71C2">
        <w:rPr>
          <w:rFonts w:ascii="Times New Roman" w:hAnsi="Times New Roman" w:cs="Times New Roman"/>
          <w:b/>
          <w:bCs/>
          <w:color w:val="2F5496" w:themeColor="accent1" w:themeShade="BF"/>
        </w:rPr>
        <w:t xml:space="preserve">ercentage </w:t>
      </w:r>
      <w:r w:rsidRPr="000F71C2">
        <w:rPr>
          <w:rFonts w:ascii="Times New Roman" w:hAnsi="Times New Roman" w:cs="Times New Roman"/>
          <w:b/>
          <w:bCs/>
          <w:color w:val="2F5496" w:themeColor="accent1" w:themeShade="BF"/>
        </w:rPr>
        <w:t>points)</w:t>
      </w:r>
    </w:p>
    <w:tbl>
      <w:tblPr>
        <w:tblW w:w="7752" w:type="dxa"/>
        <w:jc w:val="center"/>
        <w:tblLook w:val="04A0" w:firstRow="1" w:lastRow="0" w:firstColumn="1" w:lastColumn="0" w:noHBand="0" w:noVBand="1"/>
      </w:tblPr>
      <w:tblGrid>
        <w:gridCol w:w="1536"/>
        <w:gridCol w:w="1156"/>
        <w:gridCol w:w="1016"/>
        <w:gridCol w:w="1096"/>
        <w:gridCol w:w="1036"/>
        <w:gridCol w:w="936"/>
        <w:gridCol w:w="976"/>
      </w:tblGrid>
      <w:tr w:rsidR="00E67827" w:rsidRPr="00E67827" w14:paraId="7A9719DC" w14:textId="77777777" w:rsidTr="00C87120">
        <w:trPr>
          <w:trHeight w:val="310"/>
          <w:jc w:val="center"/>
        </w:trPr>
        <w:tc>
          <w:tcPr>
            <w:tcW w:w="1536" w:type="dxa"/>
            <w:tcBorders>
              <w:top w:val="double" w:sz="6" w:space="0" w:color="auto"/>
              <w:left w:val="nil"/>
              <w:bottom w:val="double" w:sz="6" w:space="0" w:color="auto"/>
              <w:right w:val="nil"/>
            </w:tcBorders>
            <w:shd w:val="clear" w:color="auto" w:fill="auto"/>
            <w:noWrap/>
            <w:vAlign w:val="center"/>
            <w:hideMark/>
          </w:tcPr>
          <w:p w14:paraId="03FBDA14"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 </w:t>
            </w:r>
          </w:p>
        </w:tc>
        <w:tc>
          <w:tcPr>
            <w:tcW w:w="1156" w:type="dxa"/>
            <w:tcBorders>
              <w:top w:val="double" w:sz="6" w:space="0" w:color="auto"/>
              <w:left w:val="nil"/>
              <w:bottom w:val="double" w:sz="6" w:space="0" w:color="auto"/>
              <w:right w:val="nil"/>
            </w:tcBorders>
            <w:shd w:val="clear" w:color="auto" w:fill="auto"/>
            <w:noWrap/>
            <w:vAlign w:val="center"/>
            <w:hideMark/>
          </w:tcPr>
          <w:p w14:paraId="6FE9DEAB"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2019</w:t>
            </w:r>
          </w:p>
        </w:tc>
        <w:tc>
          <w:tcPr>
            <w:tcW w:w="1016" w:type="dxa"/>
            <w:tcBorders>
              <w:top w:val="double" w:sz="6" w:space="0" w:color="auto"/>
              <w:left w:val="nil"/>
              <w:bottom w:val="double" w:sz="6" w:space="0" w:color="auto"/>
              <w:right w:val="nil"/>
            </w:tcBorders>
            <w:shd w:val="clear" w:color="auto" w:fill="auto"/>
            <w:noWrap/>
            <w:vAlign w:val="center"/>
            <w:hideMark/>
          </w:tcPr>
          <w:p w14:paraId="7A10492B"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2020</w:t>
            </w:r>
          </w:p>
        </w:tc>
        <w:tc>
          <w:tcPr>
            <w:tcW w:w="1096" w:type="dxa"/>
            <w:tcBorders>
              <w:top w:val="double" w:sz="6" w:space="0" w:color="auto"/>
              <w:left w:val="nil"/>
              <w:bottom w:val="double" w:sz="6" w:space="0" w:color="auto"/>
              <w:right w:val="nil"/>
            </w:tcBorders>
            <w:shd w:val="clear" w:color="000000" w:fill="FFFFFF"/>
            <w:noWrap/>
            <w:vAlign w:val="center"/>
            <w:hideMark/>
          </w:tcPr>
          <w:p w14:paraId="5DD3EAFC"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2021p</w:t>
            </w:r>
          </w:p>
        </w:tc>
        <w:tc>
          <w:tcPr>
            <w:tcW w:w="1036" w:type="dxa"/>
            <w:tcBorders>
              <w:top w:val="double" w:sz="6" w:space="0" w:color="auto"/>
              <w:left w:val="nil"/>
              <w:bottom w:val="double" w:sz="6" w:space="0" w:color="auto"/>
              <w:right w:val="nil"/>
            </w:tcBorders>
            <w:shd w:val="clear" w:color="auto" w:fill="auto"/>
            <w:noWrap/>
            <w:vAlign w:val="center"/>
            <w:hideMark/>
          </w:tcPr>
          <w:p w14:paraId="25EAA2D6"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2022p</w:t>
            </w:r>
          </w:p>
        </w:tc>
        <w:tc>
          <w:tcPr>
            <w:tcW w:w="936" w:type="dxa"/>
            <w:tcBorders>
              <w:top w:val="double" w:sz="6" w:space="0" w:color="auto"/>
              <w:left w:val="nil"/>
              <w:bottom w:val="double" w:sz="6" w:space="0" w:color="auto"/>
              <w:right w:val="nil"/>
            </w:tcBorders>
            <w:shd w:val="clear" w:color="000000" w:fill="FFFFFF"/>
            <w:noWrap/>
            <w:vAlign w:val="center"/>
            <w:hideMark/>
          </w:tcPr>
          <w:p w14:paraId="3575A4B0"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2023p</w:t>
            </w:r>
          </w:p>
        </w:tc>
        <w:tc>
          <w:tcPr>
            <w:tcW w:w="976" w:type="dxa"/>
            <w:tcBorders>
              <w:top w:val="double" w:sz="6" w:space="0" w:color="auto"/>
              <w:left w:val="nil"/>
              <w:bottom w:val="double" w:sz="6" w:space="0" w:color="auto"/>
              <w:right w:val="nil"/>
            </w:tcBorders>
            <w:shd w:val="clear" w:color="000000" w:fill="FFFFFF"/>
            <w:noWrap/>
            <w:vAlign w:val="center"/>
            <w:hideMark/>
          </w:tcPr>
          <w:p w14:paraId="7D3BCF92"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2024p</w:t>
            </w:r>
          </w:p>
        </w:tc>
      </w:tr>
      <w:tr w:rsidR="00E67827" w:rsidRPr="00E67827" w14:paraId="401C3C68" w14:textId="77777777" w:rsidTr="00C87120">
        <w:trPr>
          <w:trHeight w:val="300"/>
          <w:jc w:val="center"/>
        </w:trPr>
        <w:tc>
          <w:tcPr>
            <w:tcW w:w="1536" w:type="dxa"/>
            <w:tcBorders>
              <w:top w:val="nil"/>
              <w:left w:val="nil"/>
              <w:bottom w:val="nil"/>
              <w:right w:val="nil"/>
            </w:tcBorders>
            <w:shd w:val="clear" w:color="auto" w:fill="auto"/>
            <w:noWrap/>
            <w:vAlign w:val="center"/>
            <w:hideMark/>
          </w:tcPr>
          <w:p w14:paraId="11C7F6A6"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p>
        </w:tc>
        <w:tc>
          <w:tcPr>
            <w:tcW w:w="1156" w:type="dxa"/>
            <w:tcBorders>
              <w:top w:val="nil"/>
              <w:left w:val="nil"/>
              <w:bottom w:val="nil"/>
              <w:right w:val="nil"/>
            </w:tcBorders>
            <w:shd w:val="clear" w:color="auto" w:fill="auto"/>
            <w:noWrap/>
            <w:vAlign w:val="bottom"/>
            <w:hideMark/>
          </w:tcPr>
          <w:p w14:paraId="3F4DFD2B" w14:textId="77777777" w:rsidR="00E67827" w:rsidRPr="00E67827" w:rsidRDefault="00E67827" w:rsidP="00E67827">
            <w:pPr>
              <w:spacing w:after="0" w:line="240" w:lineRule="auto"/>
              <w:rPr>
                <w:rFonts w:ascii="Times New Roman" w:eastAsia="Times New Roman" w:hAnsi="Times New Roman" w:cs="Times New Roman"/>
                <w:sz w:val="20"/>
                <w:szCs w:val="20"/>
              </w:rPr>
            </w:pPr>
          </w:p>
        </w:tc>
        <w:tc>
          <w:tcPr>
            <w:tcW w:w="1016" w:type="dxa"/>
            <w:tcBorders>
              <w:top w:val="nil"/>
              <w:left w:val="nil"/>
              <w:bottom w:val="nil"/>
              <w:right w:val="nil"/>
            </w:tcBorders>
            <w:shd w:val="clear" w:color="auto" w:fill="auto"/>
            <w:noWrap/>
            <w:vAlign w:val="bottom"/>
            <w:hideMark/>
          </w:tcPr>
          <w:p w14:paraId="2DF643AC" w14:textId="77777777" w:rsidR="00E67827" w:rsidRPr="00E67827" w:rsidRDefault="00E67827" w:rsidP="00E67827">
            <w:pPr>
              <w:spacing w:after="0" w:line="240" w:lineRule="auto"/>
              <w:rPr>
                <w:rFonts w:ascii="Times New Roman" w:eastAsia="Times New Roman" w:hAnsi="Times New Roman" w:cs="Times New Roman"/>
                <w:sz w:val="20"/>
                <w:szCs w:val="20"/>
              </w:rPr>
            </w:pPr>
          </w:p>
        </w:tc>
        <w:tc>
          <w:tcPr>
            <w:tcW w:w="1096" w:type="dxa"/>
            <w:tcBorders>
              <w:top w:val="nil"/>
              <w:left w:val="nil"/>
              <w:bottom w:val="nil"/>
              <w:right w:val="nil"/>
            </w:tcBorders>
            <w:shd w:val="clear" w:color="auto" w:fill="auto"/>
            <w:noWrap/>
            <w:vAlign w:val="bottom"/>
            <w:hideMark/>
          </w:tcPr>
          <w:p w14:paraId="5B8EEA49" w14:textId="77777777" w:rsidR="00E67827" w:rsidRPr="00E67827" w:rsidRDefault="00E67827" w:rsidP="00E67827">
            <w:pPr>
              <w:spacing w:after="0" w:line="240" w:lineRule="auto"/>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14BED354" w14:textId="77777777" w:rsidR="00E67827" w:rsidRPr="00E67827" w:rsidRDefault="00E67827" w:rsidP="00E67827">
            <w:pPr>
              <w:spacing w:after="0"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noWrap/>
            <w:vAlign w:val="center"/>
            <w:hideMark/>
          </w:tcPr>
          <w:p w14:paraId="77BE0B10" w14:textId="77777777" w:rsidR="00E67827" w:rsidRPr="00E67827" w:rsidRDefault="00E67827" w:rsidP="00E67827">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center"/>
            <w:hideMark/>
          </w:tcPr>
          <w:p w14:paraId="50BB64F0" w14:textId="77777777" w:rsidR="00E67827" w:rsidRPr="00E67827" w:rsidRDefault="00E67827" w:rsidP="00E67827">
            <w:pPr>
              <w:spacing w:after="0" w:line="240" w:lineRule="auto"/>
              <w:rPr>
                <w:rFonts w:ascii="Times New Roman" w:eastAsia="Times New Roman" w:hAnsi="Times New Roman" w:cs="Times New Roman"/>
                <w:sz w:val="20"/>
                <w:szCs w:val="20"/>
              </w:rPr>
            </w:pPr>
          </w:p>
        </w:tc>
      </w:tr>
      <w:tr w:rsidR="00E67827" w:rsidRPr="00E67827" w14:paraId="6BEF56F3" w14:textId="77777777" w:rsidTr="00C87120">
        <w:trPr>
          <w:trHeight w:val="290"/>
          <w:jc w:val="center"/>
        </w:trPr>
        <w:tc>
          <w:tcPr>
            <w:tcW w:w="1536" w:type="dxa"/>
            <w:tcBorders>
              <w:top w:val="single" w:sz="4" w:space="0" w:color="auto"/>
              <w:left w:val="nil"/>
              <w:bottom w:val="single" w:sz="4" w:space="0" w:color="auto"/>
              <w:right w:val="nil"/>
            </w:tcBorders>
            <w:shd w:val="clear" w:color="auto" w:fill="auto"/>
            <w:noWrap/>
            <w:vAlign w:val="center"/>
            <w:hideMark/>
          </w:tcPr>
          <w:p w14:paraId="164626DE" w14:textId="77777777" w:rsidR="00E67827" w:rsidRPr="00E67827" w:rsidRDefault="00E67827" w:rsidP="00E67827">
            <w:pPr>
              <w:spacing w:after="0" w:line="240" w:lineRule="auto"/>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GDP Growth</w:t>
            </w:r>
          </w:p>
        </w:tc>
        <w:tc>
          <w:tcPr>
            <w:tcW w:w="1156" w:type="dxa"/>
            <w:tcBorders>
              <w:top w:val="single" w:sz="4" w:space="0" w:color="auto"/>
              <w:left w:val="nil"/>
              <w:bottom w:val="single" w:sz="4" w:space="0" w:color="auto"/>
              <w:right w:val="nil"/>
            </w:tcBorders>
            <w:shd w:val="clear" w:color="auto" w:fill="auto"/>
            <w:noWrap/>
            <w:vAlign w:val="center"/>
            <w:hideMark/>
          </w:tcPr>
          <w:p w14:paraId="1C4DD842"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5.7</w:t>
            </w:r>
          </w:p>
        </w:tc>
        <w:tc>
          <w:tcPr>
            <w:tcW w:w="1016" w:type="dxa"/>
            <w:tcBorders>
              <w:top w:val="single" w:sz="4" w:space="0" w:color="auto"/>
              <w:left w:val="nil"/>
              <w:bottom w:val="single" w:sz="4" w:space="0" w:color="auto"/>
              <w:right w:val="nil"/>
            </w:tcBorders>
            <w:shd w:val="clear" w:color="auto" w:fill="auto"/>
            <w:noWrap/>
            <w:vAlign w:val="center"/>
            <w:hideMark/>
          </w:tcPr>
          <w:p w14:paraId="716E2BFF"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-14.8</w:t>
            </w:r>
          </w:p>
        </w:tc>
        <w:tc>
          <w:tcPr>
            <w:tcW w:w="1096" w:type="dxa"/>
            <w:tcBorders>
              <w:top w:val="single" w:sz="4" w:space="0" w:color="auto"/>
              <w:left w:val="nil"/>
              <w:bottom w:val="single" w:sz="4" w:space="0" w:color="auto"/>
              <w:right w:val="nil"/>
            </w:tcBorders>
            <w:shd w:val="clear" w:color="000000" w:fill="FFFFFF"/>
            <w:noWrap/>
            <w:vAlign w:val="center"/>
            <w:hideMark/>
          </w:tcPr>
          <w:p w14:paraId="2A9AD58A"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7.0</w:t>
            </w:r>
          </w:p>
        </w:tc>
        <w:tc>
          <w:tcPr>
            <w:tcW w:w="1036" w:type="dxa"/>
            <w:tcBorders>
              <w:top w:val="single" w:sz="4" w:space="0" w:color="auto"/>
              <w:left w:val="nil"/>
              <w:bottom w:val="single" w:sz="4" w:space="0" w:color="auto"/>
              <w:right w:val="nil"/>
            </w:tcBorders>
            <w:shd w:val="clear" w:color="auto" w:fill="auto"/>
            <w:noWrap/>
            <w:vAlign w:val="center"/>
            <w:hideMark/>
          </w:tcPr>
          <w:p w14:paraId="10FEEB5F"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4.0</w:t>
            </w:r>
          </w:p>
        </w:tc>
        <w:tc>
          <w:tcPr>
            <w:tcW w:w="936" w:type="dxa"/>
            <w:tcBorders>
              <w:top w:val="single" w:sz="4" w:space="0" w:color="auto"/>
              <w:left w:val="nil"/>
              <w:bottom w:val="single" w:sz="4" w:space="0" w:color="auto"/>
              <w:right w:val="nil"/>
            </w:tcBorders>
            <w:shd w:val="clear" w:color="000000" w:fill="FFFFFF"/>
            <w:noWrap/>
            <w:vAlign w:val="center"/>
            <w:hideMark/>
          </w:tcPr>
          <w:p w14:paraId="1E9865FE"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4.7</w:t>
            </w:r>
          </w:p>
        </w:tc>
        <w:tc>
          <w:tcPr>
            <w:tcW w:w="976" w:type="dxa"/>
            <w:tcBorders>
              <w:top w:val="single" w:sz="4" w:space="0" w:color="auto"/>
              <w:left w:val="nil"/>
              <w:bottom w:val="single" w:sz="4" w:space="0" w:color="auto"/>
              <w:right w:val="nil"/>
            </w:tcBorders>
            <w:shd w:val="clear" w:color="000000" w:fill="FFFFFF"/>
            <w:noWrap/>
            <w:vAlign w:val="center"/>
            <w:hideMark/>
          </w:tcPr>
          <w:p w14:paraId="578D89E1"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5.7</w:t>
            </w:r>
          </w:p>
        </w:tc>
      </w:tr>
      <w:tr w:rsidR="00E67827" w:rsidRPr="00E67827" w14:paraId="6B76DC9A" w14:textId="77777777" w:rsidTr="00C87120">
        <w:trPr>
          <w:trHeight w:val="300"/>
          <w:jc w:val="center"/>
        </w:trPr>
        <w:tc>
          <w:tcPr>
            <w:tcW w:w="7752" w:type="dxa"/>
            <w:gridSpan w:val="7"/>
            <w:tcBorders>
              <w:top w:val="single" w:sz="4" w:space="0" w:color="auto"/>
              <w:left w:val="nil"/>
              <w:bottom w:val="nil"/>
              <w:right w:val="nil"/>
            </w:tcBorders>
            <w:shd w:val="clear" w:color="auto" w:fill="auto"/>
            <w:noWrap/>
            <w:vAlign w:val="center"/>
            <w:hideMark/>
          </w:tcPr>
          <w:p w14:paraId="57E79CCA"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Demand Side</w:t>
            </w:r>
          </w:p>
        </w:tc>
      </w:tr>
      <w:tr w:rsidR="00E67827" w:rsidRPr="00E67827" w14:paraId="57636CAD" w14:textId="77777777" w:rsidTr="00C87120">
        <w:trPr>
          <w:trHeight w:val="290"/>
          <w:jc w:val="center"/>
        </w:trPr>
        <w:tc>
          <w:tcPr>
            <w:tcW w:w="1536" w:type="dxa"/>
            <w:tcBorders>
              <w:top w:val="nil"/>
              <w:left w:val="nil"/>
              <w:bottom w:val="nil"/>
              <w:right w:val="nil"/>
            </w:tcBorders>
            <w:shd w:val="clear" w:color="auto" w:fill="auto"/>
            <w:noWrap/>
            <w:vAlign w:val="center"/>
            <w:hideMark/>
          </w:tcPr>
          <w:p w14:paraId="49F9FD60"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Consumption</w:t>
            </w:r>
          </w:p>
        </w:tc>
        <w:tc>
          <w:tcPr>
            <w:tcW w:w="1156" w:type="dxa"/>
            <w:tcBorders>
              <w:top w:val="nil"/>
              <w:left w:val="nil"/>
              <w:bottom w:val="nil"/>
              <w:right w:val="nil"/>
            </w:tcBorders>
            <w:shd w:val="clear" w:color="auto" w:fill="auto"/>
            <w:noWrap/>
            <w:vAlign w:val="center"/>
            <w:hideMark/>
          </w:tcPr>
          <w:p w14:paraId="167A286A"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4.6</w:t>
            </w:r>
          </w:p>
        </w:tc>
        <w:tc>
          <w:tcPr>
            <w:tcW w:w="1016" w:type="dxa"/>
            <w:tcBorders>
              <w:top w:val="nil"/>
              <w:left w:val="nil"/>
              <w:bottom w:val="nil"/>
              <w:right w:val="nil"/>
            </w:tcBorders>
            <w:shd w:val="clear" w:color="auto" w:fill="auto"/>
            <w:noWrap/>
            <w:vAlign w:val="center"/>
            <w:hideMark/>
          </w:tcPr>
          <w:p w14:paraId="676D2A7F"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-7.1</w:t>
            </w:r>
          </w:p>
        </w:tc>
        <w:tc>
          <w:tcPr>
            <w:tcW w:w="1096" w:type="dxa"/>
            <w:tcBorders>
              <w:top w:val="nil"/>
              <w:left w:val="nil"/>
              <w:bottom w:val="nil"/>
              <w:right w:val="nil"/>
            </w:tcBorders>
            <w:shd w:val="clear" w:color="auto" w:fill="auto"/>
            <w:noWrap/>
            <w:vAlign w:val="center"/>
            <w:hideMark/>
          </w:tcPr>
          <w:p w14:paraId="6204289F"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12.5</w:t>
            </w:r>
          </w:p>
        </w:tc>
        <w:tc>
          <w:tcPr>
            <w:tcW w:w="1036" w:type="dxa"/>
            <w:tcBorders>
              <w:top w:val="nil"/>
              <w:left w:val="nil"/>
              <w:bottom w:val="nil"/>
              <w:right w:val="nil"/>
            </w:tcBorders>
            <w:shd w:val="clear" w:color="auto" w:fill="auto"/>
            <w:noWrap/>
            <w:vAlign w:val="center"/>
            <w:hideMark/>
          </w:tcPr>
          <w:p w14:paraId="54973779"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3.2</w:t>
            </w:r>
          </w:p>
        </w:tc>
        <w:tc>
          <w:tcPr>
            <w:tcW w:w="936" w:type="dxa"/>
            <w:tcBorders>
              <w:top w:val="nil"/>
              <w:left w:val="nil"/>
              <w:bottom w:val="nil"/>
              <w:right w:val="nil"/>
            </w:tcBorders>
            <w:shd w:val="clear" w:color="auto" w:fill="auto"/>
            <w:noWrap/>
            <w:vAlign w:val="center"/>
            <w:hideMark/>
          </w:tcPr>
          <w:p w14:paraId="48380362"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3.6</w:t>
            </w:r>
          </w:p>
        </w:tc>
        <w:tc>
          <w:tcPr>
            <w:tcW w:w="976" w:type="dxa"/>
            <w:tcBorders>
              <w:top w:val="nil"/>
              <w:left w:val="nil"/>
              <w:bottom w:val="nil"/>
              <w:right w:val="nil"/>
            </w:tcBorders>
            <w:shd w:val="clear" w:color="auto" w:fill="auto"/>
            <w:noWrap/>
            <w:vAlign w:val="center"/>
            <w:hideMark/>
          </w:tcPr>
          <w:p w14:paraId="27E6AC0E"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4.1</w:t>
            </w:r>
          </w:p>
        </w:tc>
      </w:tr>
      <w:tr w:rsidR="00E67827" w:rsidRPr="00E67827" w14:paraId="31AD918B" w14:textId="77777777" w:rsidTr="00C87120">
        <w:trPr>
          <w:trHeight w:val="290"/>
          <w:jc w:val="center"/>
        </w:trPr>
        <w:tc>
          <w:tcPr>
            <w:tcW w:w="1536" w:type="dxa"/>
            <w:tcBorders>
              <w:top w:val="nil"/>
              <w:left w:val="nil"/>
              <w:bottom w:val="nil"/>
              <w:right w:val="nil"/>
            </w:tcBorders>
            <w:shd w:val="clear" w:color="auto" w:fill="auto"/>
            <w:noWrap/>
            <w:vAlign w:val="center"/>
            <w:hideMark/>
          </w:tcPr>
          <w:p w14:paraId="1C4D0FA7"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Investment</w:t>
            </w:r>
          </w:p>
        </w:tc>
        <w:tc>
          <w:tcPr>
            <w:tcW w:w="1156" w:type="dxa"/>
            <w:tcBorders>
              <w:top w:val="nil"/>
              <w:left w:val="nil"/>
              <w:bottom w:val="nil"/>
              <w:right w:val="nil"/>
            </w:tcBorders>
            <w:shd w:val="clear" w:color="auto" w:fill="auto"/>
            <w:noWrap/>
            <w:vAlign w:val="center"/>
            <w:hideMark/>
          </w:tcPr>
          <w:p w14:paraId="535E353C"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-2.4</w:t>
            </w:r>
          </w:p>
        </w:tc>
        <w:tc>
          <w:tcPr>
            <w:tcW w:w="1016" w:type="dxa"/>
            <w:tcBorders>
              <w:top w:val="nil"/>
              <w:left w:val="nil"/>
              <w:bottom w:val="nil"/>
              <w:right w:val="nil"/>
            </w:tcBorders>
            <w:shd w:val="clear" w:color="auto" w:fill="auto"/>
            <w:noWrap/>
            <w:vAlign w:val="center"/>
            <w:hideMark/>
          </w:tcPr>
          <w:p w14:paraId="602D2825"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6.7</w:t>
            </w:r>
          </w:p>
        </w:tc>
        <w:tc>
          <w:tcPr>
            <w:tcW w:w="1096" w:type="dxa"/>
            <w:tcBorders>
              <w:top w:val="nil"/>
              <w:left w:val="nil"/>
              <w:bottom w:val="nil"/>
              <w:right w:val="nil"/>
            </w:tcBorders>
            <w:shd w:val="clear" w:color="auto" w:fill="auto"/>
            <w:noWrap/>
            <w:vAlign w:val="center"/>
            <w:hideMark/>
          </w:tcPr>
          <w:p w14:paraId="3F69FC1E"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-4.3</w:t>
            </w:r>
          </w:p>
        </w:tc>
        <w:tc>
          <w:tcPr>
            <w:tcW w:w="1036" w:type="dxa"/>
            <w:tcBorders>
              <w:top w:val="nil"/>
              <w:left w:val="nil"/>
              <w:bottom w:val="nil"/>
              <w:right w:val="nil"/>
            </w:tcBorders>
            <w:shd w:val="clear" w:color="auto" w:fill="auto"/>
            <w:noWrap/>
            <w:vAlign w:val="center"/>
            <w:hideMark/>
          </w:tcPr>
          <w:p w14:paraId="5FF9DB38"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3.8</w:t>
            </w:r>
          </w:p>
        </w:tc>
        <w:tc>
          <w:tcPr>
            <w:tcW w:w="936" w:type="dxa"/>
            <w:tcBorders>
              <w:top w:val="nil"/>
              <w:left w:val="nil"/>
              <w:bottom w:val="nil"/>
              <w:right w:val="nil"/>
            </w:tcBorders>
            <w:shd w:val="clear" w:color="auto" w:fill="auto"/>
            <w:noWrap/>
            <w:vAlign w:val="center"/>
            <w:hideMark/>
          </w:tcPr>
          <w:p w14:paraId="0F5BE8C2"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2.2</w:t>
            </w:r>
          </w:p>
        </w:tc>
        <w:tc>
          <w:tcPr>
            <w:tcW w:w="976" w:type="dxa"/>
            <w:tcBorders>
              <w:top w:val="nil"/>
              <w:left w:val="nil"/>
              <w:bottom w:val="nil"/>
              <w:right w:val="nil"/>
            </w:tcBorders>
            <w:shd w:val="clear" w:color="auto" w:fill="auto"/>
            <w:noWrap/>
            <w:vAlign w:val="center"/>
            <w:hideMark/>
          </w:tcPr>
          <w:p w14:paraId="53FD262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3.1</w:t>
            </w:r>
          </w:p>
        </w:tc>
      </w:tr>
      <w:tr w:rsidR="00E67827" w:rsidRPr="00E67827" w14:paraId="17125294" w14:textId="77777777" w:rsidTr="00C87120">
        <w:trPr>
          <w:trHeight w:val="290"/>
          <w:jc w:val="center"/>
        </w:trPr>
        <w:tc>
          <w:tcPr>
            <w:tcW w:w="1536" w:type="dxa"/>
            <w:tcBorders>
              <w:top w:val="nil"/>
              <w:left w:val="nil"/>
              <w:bottom w:val="nil"/>
              <w:right w:val="nil"/>
            </w:tcBorders>
            <w:shd w:val="clear" w:color="auto" w:fill="auto"/>
            <w:noWrap/>
            <w:vAlign w:val="center"/>
            <w:hideMark/>
          </w:tcPr>
          <w:p w14:paraId="6AB54022"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Exports</w:t>
            </w:r>
          </w:p>
        </w:tc>
        <w:tc>
          <w:tcPr>
            <w:tcW w:w="1156" w:type="dxa"/>
            <w:tcBorders>
              <w:top w:val="nil"/>
              <w:left w:val="nil"/>
              <w:bottom w:val="nil"/>
              <w:right w:val="nil"/>
            </w:tcBorders>
            <w:shd w:val="clear" w:color="auto" w:fill="auto"/>
            <w:noWrap/>
            <w:vAlign w:val="center"/>
            <w:hideMark/>
          </w:tcPr>
          <w:p w14:paraId="466A52DC"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4.1</w:t>
            </w:r>
          </w:p>
        </w:tc>
        <w:tc>
          <w:tcPr>
            <w:tcW w:w="1016" w:type="dxa"/>
            <w:tcBorders>
              <w:top w:val="nil"/>
              <w:left w:val="nil"/>
              <w:bottom w:val="nil"/>
              <w:right w:val="nil"/>
            </w:tcBorders>
            <w:shd w:val="clear" w:color="auto" w:fill="auto"/>
            <w:noWrap/>
            <w:vAlign w:val="center"/>
            <w:hideMark/>
          </w:tcPr>
          <w:p w14:paraId="77F99B15"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-28.7</w:t>
            </w:r>
          </w:p>
        </w:tc>
        <w:tc>
          <w:tcPr>
            <w:tcW w:w="1096" w:type="dxa"/>
            <w:tcBorders>
              <w:top w:val="nil"/>
              <w:left w:val="nil"/>
              <w:bottom w:val="nil"/>
              <w:right w:val="nil"/>
            </w:tcBorders>
            <w:shd w:val="clear" w:color="000000" w:fill="FFFFFF"/>
            <w:noWrap/>
            <w:vAlign w:val="center"/>
            <w:hideMark/>
          </w:tcPr>
          <w:p w14:paraId="3DBF7AAD"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1.4</w:t>
            </w:r>
          </w:p>
        </w:tc>
        <w:tc>
          <w:tcPr>
            <w:tcW w:w="1036" w:type="dxa"/>
            <w:tcBorders>
              <w:top w:val="nil"/>
              <w:left w:val="nil"/>
              <w:bottom w:val="nil"/>
              <w:right w:val="nil"/>
            </w:tcBorders>
            <w:shd w:val="clear" w:color="auto" w:fill="auto"/>
            <w:noWrap/>
            <w:vAlign w:val="center"/>
            <w:hideMark/>
          </w:tcPr>
          <w:p w14:paraId="75D21709"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1.1</w:t>
            </w:r>
          </w:p>
        </w:tc>
        <w:tc>
          <w:tcPr>
            <w:tcW w:w="936" w:type="dxa"/>
            <w:tcBorders>
              <w:top w:val="nil"/>
              <w:left w:val="nil"/>
              <w:bottom w:val="nil"/>
              <w:right w:val="nil"/>
            </w:tcBorders>
            <w:shd w:val="clear" w:color="000000" w:fill="FFFFFF"/>
            <w:noWrap/>
            <w:vAlign w:val="center"/>
            <w:hideMark/>
          </w:tcPr>
          <w:p w14:paraId="17CAAC75"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7.0</w:t>
            </w:r>
          </w:p>
        </w:tc>
        <w:tc>
          <w:tcPr>
            <w:tcW w:w="976" w:type="dxa"/>
            <w:tcBorders>
              <w:top w:val="nil"/>
              <w:left w:val="nil"/>
              <w:bottom w:val="nil"/>
              <w:right w:val="nil"/>
            </w:tcBorders>
            <w:shd w:val="clear" w:color="000000" w:fill="FFFFFF"/>
            <w:noWrap/>
            <w:vAlign w:val="center"/>
            <w:hideMark/>
          </w:tcPr>
          <w:p w14:paraId="5546C57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2.0</w:t>
            </w:r>
          </w:p>
        </w:tc>
      </w:tr>
      <w:tr w:rsidR="00E67827" w:rsidRPr="00E67827" w14:paraId="2FA5A2F6" w14:textId="77777777" w:rsidTr="00C87120">
        <w:trPr>
          <w:trHeight w:val="290"/>
          <w:jc w:val="center"/>
        </w:trPr>
        <w:tc>
          <w:tcPr>
            <w:tcW w:w="1536" w:type="dxa"/>
            <w:tcBorders>
              <w:top w:val="nil"/>
              <w:left w:val="nil"/>
              <w:bottom w:val="nil"/>
              <w:right w:val="nil"/>
            </w:tcBorders>
            <w:shd w:val="clear" w:color="auto" w:fill="auto"/>
            <w:noWrap/>
            <w:vAlign w:val="center"/>
            <w:hideMark/>
          </w:tcPr>
          <w:p w14:paraId="34F6C445"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Imports</w:t>
            </w:r>
          </w:p>
        </w:tc>
        <w:tc>
          <w:tcPr>
            <w:tcW w:w="1156" w:type="dxa"/>
            <w:tcBorders>
              <w:top w:val="nil"/>
              <w:left w:val="nil"/>
              <w:bottom w:val="nil"/>
              <w:right w:val="nil"/>
            </w:tcBorders>
            <w:shd w:val="clear" w:color="auto" w:fill="auto"/>
            <w:noWrap/>
            <w:vAlign w:val="center"/>
            <w:hideMark/>
          </w:tcPr>
          <w:p w14:paraId="79D44FFF"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0.5</w:t>
            </w:r>
          </w:p>
        </w:tc>
        <w:tc>
          <w:tcPr>
            <w:tcW w:w="1016" w:type="dxa"/>
            <w:tcBorders>
              <w:top w:val="nil"/>
              <w:left w:val="nil"/>
              <w:bottom w:val="nil"/>
              <w:right w:val="nil"/>
            </w:tcBorders>
            <w:shd w:val="clear" w:color="auto" w:fill="auto"/>
            <w:noWrap/>
            <w:vAlign w:val="center"/>
            <w:hideMark/>
          </w:tcPr>
          <w:p w14:paraId="610DEE09"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-14.4</w:t>
            </w:r>
          </w:p>
        </w:tc>
        <w:tc>
          <w:tcPr>
            <w:tcW w:w="1096" w:type="dxa"/>
            <w:tcBorders>
              <w:top w:val="nil"/>
              <w:left w:val="nil"/>
              <w:bottom w:val="nil"/>
              <w:right w:val="nil"/>
            </w:tcBorders>
            <w:shd w:val="clear" w:color="000000" w:fill="FFFFFF"/>
            <w:noWrap/>
            <w:vAlign w:val="center"/>
            <w:hideMark/>
          </w:tcPr>
          <w:p w14:paraId="6E71A79C"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2.6</w:t>
            </w:r>
          </w:p>
        </w:tc>
        <w:tc>
          <w:tcPr>
            <w:tcW w:w="1036" w:type="dxa"/>
            <w:tcBorders>
              <w:top w:val="nil"/>
              <w:left w:val="nil"/>
              <w:bottom w:val="single" w:sz="4" w:space="0" w:color="auto"/>
              <w:right w:val="nil"/>
            </w:tcBorders>
            <w:shd w:val="clear" w:color="auto" w:fill="auto"/>
            <w:noWrap/>
            <w:vAlign w:val="center"/>
            <w:hideMark/>
          </w:tcPr>
          <w:p w14:paraId="1937EB6F"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4.2</w:t>
            </w:r>
          </w:p>
        </w:tc>
        <w:tc>
          <w:tcPr>
            <w:tcW w:w="936" w:type="dxa"/>
            <w:tcBorders>
              <w:top w:val="nil"/>
              <w:left w:val="nil"/>
              <w:bottom w:val="single" w:sz="4" w:space="0" w:color="auto"/>
              <w:right w:val="nil"/>
            </w:tcBorders>
            <w:shd w:val="clear" w:color="000000" w:fill="FFFFFF"/>
            <w:noWrap/>
            <w:vAlign w:val="center"/>
            <w:hideMark/>
          </w:tcPr>
          <w:p w14:paraId="114FBA33"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8.1</w:t>
            </w:r>
          </w:p>
        </w:tc>
        <w:tc>
          <w:tcPr>
            <w:tcW w:w="976" w:type="dxa"/>
            <w:tcBorders>
              <w:top w:val="nil"/>
              <w:left w:val="nil"/>
              <w:bottom w:val="single" w:sz="4" w:space="0" w:color="auto"/>
              <w:right w:val="nil"/>
            </w:tcBorders>
            <w:shd w:val="clear" w:color="000000" w:fill="FFFFFF"/>
            <w:noWrap/>
            <w:vAlign w:val="center"/>
            <w:hideMark/>
          </w:tcPr>
          <w:p w14:paraId="3AA6E4D5"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3.4</w:t>
            </w:r>
          </w:p>
        </w:tc>
      </w:tr>
      <w:tr w:rsidR="00E67827" w:rsidRPr="00E67827" w14:paraId="6981F7A0" w14:textId="77777777" w:rsidTr="00C87120">
        <w:trPr>
          <w:trHeight w:val="300"/>
          <w:jc w:val="center"/>
        </w:trPr>
        <w:tc>
          <w:tcPr>
            <w:tcW w:w="7752" w:type="dxa"/>
            <w:gridSpan w:val="7"/>
            <w:tcBorders>
              <w:top w:val="single" w:sz="4" w:space="0" w:color="auto"/>
              <w:left w:val="nil"/>
              <w:bottom w:val="nil"/>
              <w:right w:val="nil"/>
            </w:tcBorders>
            <w:shd w:val="clear" w:color="auto" w:fill="auto"/>
            <w:noWrap/>
            <w:vAlign w:val="center"/>
            <w:hideMark/>
          </w:tcPr>
          <w:p w14:paraId="00697A35" w14:textId="77777777" w:rsidR="00E67827" w:rsidRPr="00E67827" w:rsidRDefault="00E67827" w:rsidP="00E67827">
            <w:pPr>
              <w:spacing w:after="0" w:line="240" w:lineRule="auto"/>
              <w:jc w:val="center"/>
              <w:rPr>
                <w:rFonts w:ascii="Times New Roman" w:eastAsia="Times New Roman" w:hAnsi="Times New Roman" w:cs="Times New Roman"/>
                <w:b/>
                <w:bCs/>
                <w:color w:val="000000"/>
              </w:rPr>
            </w:pPr>
            <w:r w:rsidRPr="00E67827">
              <w:rPr>
                <w:rFonts w:ascii="Times New Roman" w:eastAsia="Times New Roman" w:hAnsi="Times New Roman" w:cs="Times New Roman"/>
                <w:b/>
                <w:bCs/>
                <w:color w:val="000000"/>
              </w:rPr>
              <w:t xml:space="preserve">Supply Side </w:t>
            </w:r>
          </w:p>
        </w:tc>
      </w:tr>
      <w:tr w:rsidR="00E67827" w:rsidRPr="00E67827" w14:paraId="50E29B43" w14:textId="77777777" w:rsidTr="00C87120">
        <w:trPr>
          <w:trHeight w:val="290"/>
          <w:jc w:val="center"/>
        </w:trPr>
        <w:tc>
          <w:tcPr>
            <w:tcW w:w="1536" w:type="dxa"/>
            <w:tcBorders>
              <w:top w:val="nil"/>
              <w:left w:val="nil"/>
              <w:bottom w:val="nil"/>
              <w:right w:val="nil"/>
            </w:tcBorders>
            <w:shd w:val="clear" w:color="auto" w:fill="auto"/>
            <w:noWrap/>
            <w:vAlign w:val="center"/>
            <w:hideMark/>
          </w:tcPr>
          <w:p w14:paraId="3A05B40E"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Agriculture</w:t>
            </w:r>
          </w:p>
        </w:tc>
        <w:tc>
          <w:tcPr>
            <w:tcW w:w="1156" w:type="dxa"/>
            <w:tcBorders>
              <w:top w:val="nil"/>
              <w:left w:val="nil"/>
              <w:bottom w:val="nil"/>
              <w:right w:val="nil"/>
            </w:tcBorders>
            <w:shd w:val="clear" w:color="auto" w:fill="auto"/>
            <w:noWrap/>
            <w:vAlign w:val="center"/>
            <w:hideMark/>
          </w:tcPr>
          <w:p w14:paraId="07D959C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-0.5</w:t>
            </w:r>
          </w:p>
        </w:tc>
        <w:tc>
          <w:tcPr>
            <w:tcW w:w="1016" w:type="dxa"/>
            <w:tcBorders>
              <w:top w:val="nil"/>
              <w:left w:val="nil"/>
              <w:bottom w:val="nil"/>
              <w:right w:val="nil"/>
            </w:tcBorders>
            <w:shd w:val="clear" w:color="auto" w:fill="auto"/>
            <w:noWrap/>
            <w:vAlign w:val="center"/>
            <w:hideMark/>
          </w:tcPr>
          <w:p w14:paraId="3855CEDB"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-0.4</w:t>
            </w:r>
          </w:p>
        </w:tc>
        <w:tc>
          <w:tcPr>
            <w:tcW w:w="1096" w:type="dxa"/>
            <w:tcBorders>
              <w:top w:val="nil"/>
              <w:left w:val="nil"/>
              <w:bottom w:val="nil"/>
              <w:right w:val="nil"/>
            </w:tcBorders>
            <w:shd w:val="clear" w:color="000000" w:fill="FFFFFF"/>
            <w:noWrap/>
            <w:vAlign w:val="center"/>
            <w:hideMark/>
          </w:tcPr>
          <w:p w14:paraId="4EED7DCD"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0.3</w:t>
            </w:r>
          </w:p>
        </w:tc>
        <w:tc>
          <w:tcPr>
            <w:tcW w:w="1036" w:type="dxa"/>
            <w:tcBorders>
              <w:top w:val="nil"/>
              <w:left w:val="nil"/>
              <w:bottom w:val="nil"/>
              <w:right w:val="nil"/>
            </w:tcBorders>
            <w:shd w:val="clear" w:color="auto" w:fill="auto"/>
            <w:noWrap/>
            <w:vAlign w:val="bottom"/>
            <w:hideMark/>
          </w:tcPr>
          <w:p w14:paraId="07FFFDF0"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0.2</w:t>
            </w:r>
          </w:p>
        </w:tc>
        <w:tc>
          <w:tcPr>
            <w:tcW w:w="936" w:type="dxa"/>
            <w:tcBorders>
              <w:top w:val="nil"/>
              <w:left w:val="nil"/>
              <w:bottom w:val="nil"/>
              <w:right w:val="nil"/>
            </w:tcBorders>
            <w:shd w:val="clear" w:color="auto" w:fill="auto"/>
            <w:noWrap/>
            <w:vAlign w:val="center"/>
            <w:hideMark/>
          </w:tcPr>
          <w:p w14:paraId="02BD9936"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0.3</w:t>
            </w:r>
          </w:p>
        </w:tc>
        <w:tc>
          <w:tcPr>
            <w:tcW w:w="976" w:type="dxa"/>
            <w:tcBorders>
              <w:top w:val="nil"/>
              <w:left w:val="nil"/>
              <w:bottom w:val="nil"/>
              <w:right w:val="nil"/>
            </w:tcBorders>
            <w:shd w:val="clear" w:color="auto" w:fill="auto"/>
            <w:noWrap/>
            <w:vAlign w:val="center"/>
            <w:hideMark/>
          </w:tcPr>
          <w:p w14:paraId="3EAB68DC"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0.3</w:t>
            </w:r>
          </w:p>
        </w:tc>
      </w:tr>
      <w:tr w:rsidR="00E67827" w:rsidRPr="00E67827" w14:paraId="7B235368" w14:textId="77777777" w:rsidTr="00C87120">
        <w:trPr>
          <w:trHeight w:val="290"/>
          <w:jc w:val="center"/>
        </w:trPr>
        <w:tc>
          <w:tcPr>
            <w:tcW w:w="1536" w:type="dxa"/>
            <w:tcBorders>
              <w:top w:val="nil"/>
              <w:left w:val="nil"/>
              <w:bottom w:val="nil"/>
              <w:right w:val="nil"/>
            </w:tcBorders>
            <w:shd w:val="clear" w:color="auto" w:fill="auto"/>
            <w:noWrap/>
            <w:vAlign w:val="center"/>
            <w:hideMark/>
          </w:tcPr>
          <w:p w14:paraId="206B33EE"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Industry</w:t>
            </w:r>
          </w:p>
        </w:tc>
        <w:tc>
          <w:tcPr>
            <w:tcW w:w="1156" w:type="dxa"/>
            <w:tcBorders>
              <w:top w:val="nil"/>
              <w:left w:val="nil"/>
              <w:bottom w:val="nil"/>
              <w:right w:val="nil"/>
            </w:tcBorders>
            <w:shd w:val="clear" w:color="auto" w:fill="auto"/>
            <w:noWrap/>
            <w:vAlign w:val="center"/>
            <w:hideMark/>
          </w:tcPr>
          <w:p w14:paraId="4BB3FC1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1.1</w:t>
            </w:r>
          </w:p>
        </w:tc>
        <w:tc>
          <w:tcPr>
            <w:tcW w:w="1016" w:type="dxa"/>
            <w:tcBorders>
              <w:top w:val="nil"/>
              <w:left w:val="nil"/>
              <w:bottom w:val="nil"/>
              <w:right w:val="nil"/>
            </w:tcBorders>
            <w:shd w:val="clear" w:color="auto" w:fill="auto"/>
            <w:noWrap/>
            <w:vAlign w:val="center"/>
            <w:hideMark/>
          </w:tcPr>
          <w:p w14:paraId="52DAD4E6"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-0.4</w:t>
            </w:r>
          </w:p>
        </w:tc>
        <w:tc>
          <w:tcPr>
            <w:tcW w:w="1096" w:type="dxa"/>
            <w:tcBorders>
              <w:top w:val="nil"/>
              <w:left w:val="nil"/>
              <w:bottom w:val="nil"/>
              <w:right w:val="nil"/>
            </w:tcBorders>
            <w:shd w:val="clear" w:color="000000" w:fill="FFFFFF"/>
            <w:noWrap/>
            <w:vAlign w:val="center"/>
            <w:hideMark/>
          </w:tcPr>
          <w:p w14:paraId="30264D8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2.3</w:t>
            </w:r>
          </w:p>
        </w:tc>
        <w:tc>
          <w:tcPr>
            <w:tcW w:w="1036" w:type="dxa"/>
            <w:tcBorders>
              <w:top w:val="nil"/>
              <w:left w:val="nil"/>
              <w:bottom w:val="nil"/>
              <w:right w:val="nil"/>
            </w:tcBorders>
            <w:shd w:val="clear" w:color="auto" w:fill="auto"/>
            <w:noWrap/>
            <w:vAlign w:val="bottom"/>
            <w:hideMark/>
          </w:tcPr>
          <w:p w14:paraId="487902F1"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1.6</w:t>
            </w:r>
          </w:p>
        </w:tc>
        <w:tc>
          <w:tcPr>
            <w:tcW w:w="936" w:type="dxa"/>
            <w:tcBorders>
              <w:top w:val="nil"/>
              <w:left w:val="nil"/>
              <w:bottom w:val="nil"/>
              <w:right w:val="nil"/>
            </w:tcBorders>
            <w:shd w:val="clear" w:color="auto" w:fill="auto"/>
            <w:noWrap/>
            <w:vAlign w:val="center"/>
            <w:hideMark/>
          </w:tcPr>
          <w:p w14:paraId="6572BBA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1.8</w:t>
            </w:r>
          </w:p>
        </w:tc>
        <w:tc>
          <w:tcPr>
            <w:tcW w:w="976" w:type="dxa"/>
            <w:tcBorders>
              <w:top w:val="nil"/>
              <w:left w:val="nil"/>
              <w:bottom w:val="nil"/>
              <w:right w:val="nil"/>
            </w:tcBorders>
            <w:shd w:val="clear" w:color="auto" w:fill="auto"/>
            <w:noWrap/>
            <w:vAlign w:val="center"/>
            <w:hideMark/>
          </w:tcPr>
          <w:p w14:paraId="7D95E94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2.0</w:t>
            </w:r>
          </w:p>
        </w:tc>
      </w:tr>
      <w:tr w:rsidR="00E67827" w:rsidRPr="00E67827" w14:paraId="321ECBB3" w14:textId="77777777" w:rsidTr="00C87120">
        <w:trPr>
          <w:trHeight w:val="300"/>
          <w:jc w:val="center"/>
        </w:trPr>
        <w:tc>
          <w:tcPr>
            <w:tcW w:w="1536" w:type="dxa"/>
            <w:tcBorders>
              <w:top w:val="nil"/>
              <w:left w:val="nil"/>
              <w:bottom w:val="double" w:sz="6" w:space="0" w:color="auto"/>
              <w:right w:val="nil"/>
            </w:tcBorders>
            <w:shd w:val="clear" w:color="auto" w:fill="auto"/>
            <w:noWrap/>
            <w:vAlign w:val="center"/>
            <w:hideMark/>
          </w:tcPr>
          <w:p w14:paraId="1543BE7C" w14:textId="77777777" w:rsidR="00E67827" w:rsidRPr="00E67827" w:rsidRDefault="00E67827" w:rsidP="00E67827">
            <w:pPr>
              <w:spacing w:after="0" w:line="240" w:lineRule="auto"/>
              <w:rPr>
                <w:rFonts w:ascii="Times New Roman" w:eastAsia="Times New Roman" w:hAnsi="Times New Roman" w:cs="Times New Roman"/>
                <w:color w:val="000000"/>
              </w:rPr>
            </w:pPr>
            <w:r w:rsidRPr="00E67827">
              <w:rPr>
                <w:rFonts w:ascii="Times New Roman" w:eastAsia="Times New Roman" w:hAnsi="Times New Roman" w:cs="Times New Roman"/>
                <w:color w:val="000000"/>
              </w:rPr>
              <w:t>Services</w:t>
            </w:r>
          </w:p>
        </w:tc>
        <w:tc>
          <w:tcPr>
            <w:tcW w:w="1156" w:type="dxa"/>
            <w:tcBorders>
              <w:top w:val="nil"/>
              <w:left w:val="nil"/>
              <w:bottom w:val="double" w:sz="6" w:space="0" w:color="auto"/>
              <w:right w:val="nil"/>
            </w:tcBorders>
            <w:shd w:val="clear" w:color="auto" w:fill="auto"/>
            <w:noWrap/>
            <w:vAlign w:val="bottom"/>
            <w:hideMark/>
          </w:tcPr>
          <w:p w14:paraId="62EF5EB5"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5.1</w:t>
            </w:r>
          </w:p>
        </w:tc>
        <w:tc>
          <w:tcPr>
            <w:tcW w:w="1016" w:type="dxa"/>
            <w:tcBorders>
              <w:top w:val="nil"/>
              <w:left w:val="nil"/>
              <w:bottom w:val="double" w:sz="6" w:space="0" w:color="auto"/>
              <w:right w:val="nil"/>
            </w:tcBorders>
            <w:shd w:val="clear" w:color="auto" w:fill="auto"/>
            <w:noWrap/>
            <w:vAlign w:val="bottom"/>
            <w:hideMark/>
          </w:tcPr>
          <w:p w14:paraId="1411206C"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-14.0</w:t>
            </w:r>
          </w:p>
        </w:tc>
        <w:tc>
          <w:tcPr>
            <w:tcW w:w="1096" w:type="dxa"/>
            <w:tcBorders>
              <w:top w:val="nil"/>
              <w:left w:val="nil"/>
              <w:bottom w:val="double" w:sz="6" w:space="0" w:color="auto"/>
              <w:right w:val="nil"/>
            </w:tcBorders>
            <w:shd w:val="clear" w:color="auto" w:fill="auto"/>
            <w:noWrap/>
            <w:vAlign w:val="bottom"/>
            <w:hideMark/>
          </w:tcPr>
          <w:p w14:paraId="70157A77"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rPr>
              <w:t>4.3</w:t>
            </w:r>
          </w:p>
        </w:tc>
        <w:tc>
          <w:tcPr>
            <w:tcW w:w="1036" w:type="dxa"/>
            <w:tcBorders>
              <w:top w:val="nil"/>
              <w:left w:val="nil"/>
              <w:bottom w:val="double" w:sz="6" w:space="0" w:color="auto"/>
              <w:right w:val="nil"/>
            </w:tcBorders>
            <w:shd w:val="clear" w:color="auto" w:fill="auto"/>
            <w:noWrap/>
            <w:vAlign w:val="bottom"/>
            <w:hideMark/>
          </w:tcPr>
          <w:p w14:paraId="03082005"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2.3</w:t>
            </w:r>
          </w:p>
        </w:tc>
        <w:tc>
          <w:tcPr>
            <w:tcW w:w="936" w:type="dxa"/>
            <w:tcBorders>
              <w:top w:val="nil"/>
              <w:left w:val="nil"/>
              <w:bottom w:val="double" w:sz="6" w:space="0" w:color="auto"/>
              <w:right w:val="nil"/>
            </w:tcBorders>
            <w:shd w:val="clear" w:color="auto" w:fill="auto"/>
            <w:noWrap/>
            <w:vAlign w:val="center"/>
            <w:hideMark/>
          </w:tcPr>
          <w:p w14:paraId="69C10BCC"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2.6</w:t>
            </w:r>
          </w:p>
        </w:tc>
        <w:tc>
          <w:tcPr>
            <w:tcW w:w="976" w:type="dxa"/>
            <w:tcBorders>
              <w:top w:val="nil"/>
              <w:left w:val="nil"/>
              <w:bottom w:val="double" w:sz="6" w:space="0" w:color="auto"/>
              <w:right w:val="nil"/>
            </w:tcBorders>
            <w:shd w:val="clear" w:color="auto" w:fill="auto"/>
            <w:noWrap/>
            <w:vAlign w:val="bottom"/>
            <w:hideMark/>
          </w:tcPr>
          <w:p w14:paraId="2DEE82DB" w14:textId="77777777" w:rsidR="00E67827" w:rsidRPr="00E67827" w:rsidRDefault="00E67827" w:rsidP="00E67827">
            <w:pPr>
              <w:spacing w:after="0" w:line="240" w:lineRule="auto"/>
              <w:jc w:val="center"/>
              <w:rPr>
                <w:rFonts w:ascii="Times New Roman" w:eastAsia="Times New Roman" w:hAnsi="Times New Roman" w:cs="Times New Roman"/>
                <w:color w:val="000000"/>
              </w:rPr>
            </w:pPr>
            <w:r w:rsidRPr="00E67827">
              <w:rPr>
                <w:rFonts w:ascii="Times New Roman" w:eastAsia="Times New Roman" w:hAnsi="Times New Roman" w:cs="Times New Roman"/>
                <w:color w:val="000000"/>
              </w:rPr>
              <w:t>3.4</w:t>
            </w:r>
          </w:p>
        </w:tc>
      </w:tr>
    </w:tbl>
    <w:p w14:paraId="081DF215" w14:textId="2C6627F6" w:rsidR="00192A51" w:rsidRDefault="00D2089C" w:rsidP="008564CE">
      <w:pPr>
        <w:spacing w:line="276" w:lineRule="auto"/>
        <w:rPr>
          <w:rFonts w:ascii="Times New Roman" w:hAnsi="Times New Roman" w:cs="Times New Roman"/>
          <w:sz w:val="18"/>
          <w:szCs w:val="18"/>
        </w:rPr>
      </w:pPr>
      <w:r>
        <w:rPr>
          <w:rFonts w:ascii="Times New Roman" w:hAnsi="Times New Roman" w:cs="Times New Roman"/>
          <w:sz w:val="18"/>
          <w:szCs w:val="18"/>
        </w:rPr>
        <w:t xml:space="preserve">                  </w:t>
      </w:r>
      <w:r w:rsidR="00D34B5C" w:rsidRPr="00D34B5C">
        <w:rPr>
          <w:rFonts w:ascii="Times New Roman" w:hAnsi="Times New Roman" w:cs="Times New Roman"/>
          <w:sz w:val="18"/>
          <w:szCs w:val="18"/>
        </w:rPr>
        <w:t>Source: Cabo Verdean authorities, IMF and WBG estimations (</w:t>
      </w:r>
      <w:r w:rsidR="00D34B5C">
        <w:rPr>
          <w:rFonts w:ascii="Times New Roman" w:hAnsi="Times New Roman" w:cs="Times New Roman"/>
          <w:sz w:val="18"/>
          <w:szCs w:val="18"/>
        </w:rPr>
        <w:t>February</w:t>
      </w:r>
      <w:r w:rsidR="00D34B5C" w:rsidRPr="00D34B5C">
        <w:rPr>
          <w:rFonts w:ascii="Times New Roman" w:hAnsi="Times New Roman" w:cs="Times New Roman"/>
          <w:sz w:val="18"/>
          <w:szCs w:val="18"/>
        </w:rPr>
        <w:t xml:space="preserve"> 202</w:t>
      </w:r>
      <w:r w:rsidR="00D34B5C">
        <w:rPr>
          <w:rFonts w:ascii="Times New Roman" w:hAnsi="Times New Roman" w:cs="Times New Roman"/>
          <w:sz w:val="18"/>
          <w:szCs w:val="18"/>
        </w:rPr>
        <w:t>2</w:t>
      </w:r>
      <w:r w:rsidR="00D34B5C" w:rsidRPr="00D34B5C">
        <w:rPr>
          <w:rFonts w:ascii="Times New Roman" w:hAnsi="Times New Roman" w:cs="Times New Roman"/>
          <w:sz w:val="18"/>
          <w:szCs w:val="18"/>
        </w:rPr>
        <w:t>)</w:t>
      </w:r>
    </w:p>
    <w:p w14:paraId="6617E234" w14:textId="77777777" w:rsidR="00D2089C" w:rsidRPr="00D34B5C" w:rsidRDefault="00D2089C" w:rsidP="008564CE">
      <w:pPr>
        <w:spacing w:line="276" w:lineRule="auto"/>
        <w:rPr>
          <w:rFonts w:ascii="Times New Roman" w:hAnsi="Times New Roman" w:cs="Times New Roman"/>
          <w:sz w:val="18"/>
          <w:szCs w:val="18"/>
        </w:rPr>
      </w:pPr>
    </w:p>
    <w:p w14:paraId="55A85849" w14:textId="1C0935E9" w:rsidR="00192A51" w:rsidRDefault="00F03527" w:rsidP="0049453E">
      <w:pPr>
        <w:spacing w:line="276" w:lineRule="auto"/>
        <w:jc w:val="both"/>
        <w:rPr>
          <w:rFonts w:ascii="Times New Roman" w:hAnsi="Times New Roman" w:cs="Times New Roman"/>
        </w:rPr>
      </w:pPr>
      <w:r>
        <w:rPr>
          <w:rFonts w:ascii="Times New Roman" w:hAnsi="Times New Roman" w:cs="Times New Roman"/>
          <w:b/>
          <w:bCs/>
        </w:rPr>
        <w:t>3</w:t>
      </w:r>
      <w:r w:rsidR="006A3549">
        <w:rPr>
          <w:rFonts w:ascii="Times New Roman" w:hAnsi="Times New Roman" w:cs="Times New Roman"/>
          <w:b/>
          <w:bCs/>
        </w:rPr>
        <w:t xml:space="preserve">. </w:t>
      </w:r>
      <w:r w:rsidR="00D3171A">
        <w:rPr>
          <w:rFonts w:ascii="Times New Roman" w:hAnsi="Times New Roman" w:cs="Times New Roman"/>
          <w:b/>
          <w:bCs/>
        </w:rPr>
        <w:t>M</w:t>
      </w:r>
      <w:r w:rsidR="0049453E" w:rsidRPr="0049453E">
        <w:rPr>
          <w:rFonts w:ascii="Times New Roman" w:hAnsi="Times New Roman" w:cs="Times New Roman"/>
          <w:b/>
          <w:bCs/>
        </w:rPr>
        <w:t>itigation measures</w:t>
      </w:r>
      <w:r w:rsidR="00837988">
        <w:rPr>
          <w:rFonts w:ascii="Times New Roman" w:hAnsi="Times New Roman" w:cs="Times New Roman"/>
          <w:b/>
          <w:bCs/>
        </w:rPr>
        <w:t xml:space="preserve"> in place until December 2021 </w:t>
      </w:r>
      <w:r w:rsidR="0049453E" w:rsidRPr="0049453E">
        <w:rPr>
          <w:rFonts w:ascii="Times New Roman" w:hAnsi="Times New Roman" w:cs="Times New Roman"/>
          <w:b/>
          <w:bCs/>
        </w:rPr>
        <w:t xml:space="preserve">played an important role in supporting </w:t>
      </w:r>
      <w:r w:rsidR="008F592C">
        <w:rPr>
          <w:rFonts w:ascii="Times New Roman" w:hAnsi="Times New Roman" w:cs="Times New Roman"/>
          <w:b/>
          <w:bCs/>
        </w:rPr>
        <w:t xml:space="preserve">vulnerable </w:t>
      </w:r>
      <w:r w:rsidR="0049453E" w:rsidRPr="0049453E">
        <w:rPr>
          <w:rFonts w:ascii="Times New Roman" w:hAnsi="Times New Roman" w:cs="Times New Roman"/>
          <w:b/>
          <w:bCs/>
        </w:rPr>
        <w:t>businesses</w:t>
      </w:r>
      <w:r w:rsidR="008F592C">
        <w:rPr>
          <w:rFonts w:ascii="Times New Roman" w:hAnsi="Times New Roman" w:cs="Times New Roman"/>
          <w:b/>
          <w:bCs/>
        </w:rPr>
        <w:t xml:space="preserve"> and</w:t>
      </w:r>
      <w:r w:rsidR="008F592C" w:rsidRPr="0049453E">
        <w:rPr>
          <w:rFonts w:ascii="Times New Roman" w:hAnsi="Times New Roman" w:cs="Times New Roman"/>
          <w:b/>
          <w:bCs/>
        </w:rPr>
        <w:t xml:space="preserve"> </w:t>
      </w:r>
      <w:r w:rsidR="0049453E" w:rsidRPr="0049453E">
        <w:rPr>
          <w:rFonts w:ascii="Times New Roman" w:hAnsi="Times New Roman" w:cs="Times New Roman"/>
          <w:b/>
          <w:bCs/>
        </w:rPr>
        <w:t xml:space="preserve">families affected by the </w:t>
      </w:r>
      <w:r w:rsidR="008F592C">
        <w:rPr>
          <w:rFonts w:ascii="Times New Roman" w:hAnsi="Times New Roman" w:cs="Times New Roman"/>
          <w:b/>
          <w:bCs/>
        </w:rPr>
        <w:t>crisis</w:t>
      </w:r>
      <w:r w:rsidR="0049453E" w:rsidRPr="0049453E">
        <w:rPr>
          <w:rFonts w:ascii="Times New Roman" w:hAnsi="Times New Roman" w:cs="Times New Roman"/>
          <w:b/>
          <w:bCs/>
        </w:rPr>
        <w:t>.</w:t>
      </w:r>
      <w:r w:rsidR="0049453E" w:rsidRPr="0049453E">
        <w:rPr>
          <w:rFonts w:ascii="Times New Roman" w:hAnsi="Times New Roman" w:cs="Times New Roman"/>
        </w:rPr>
        <w:t xml:space="preserve"> The credit lines provided to companies</w:t>
      </w:r>
      <w:r w:rsidR="00243B91" w:rsidRPr="00243B91">
        <w:t xml:space="preserve"> </w:t>
      </w:r>
      <w:r w:rsidR="00243B91" w:rsidRPr="00243B91">
        <w:rPr>
          <w:rFonts w:ascii="Times New Roman" w:hAnsi="Times New Roman" w:cs="Times New Roman"/>
        </w:rPr>
        <w:t>amount</w:t>
      </w:r>
      <w:r w:rsidR="008F592C">
        <w:rPr>
          <w:rFonts w:ascii="Times New Roman" w:hAnsi="Times New Roman" w:cs="Times New Roman"/>
        </w:rPr>
        <w:t>ed</w:t>
      </w:r>
      <w:r w:rsidR="00243B91" w:rsidRPr="00243B91">
        <w:rPr>
          <w:rFonts w:ascii="Times New Roman" w:hAnsi="Times New Roman" w:cs="Times New Roman"/>
        </w:rPr>
        <w:t xml:space="preserve"> to around US$41 million</w:t>
      </w:r>
      <w:r w:rsidR="008D75A7">
        <w:rPr>
          <w:rFonts w:ascii="Times New Roman" w:hAnsi="Times New Roman" w:cs="Times New Roman"/>
        </w:rPr>
        <w:t xml:space="preserve"> (</w:t>
      </w:r>
      <w:r w:rsidR="00E55933">
        <w:rPr>
          <w:rFonts w:ascii="Times New Roman" w:hAnsi="Times New Roman" w:cs="Times New Roman"/>
        </w:rPr>
        <w:t>2.6</w:t>
      </w:r>
      <w:r w:rsidR="008D75A7">
        <w:rPr>
          <w:rFonts w:ascii="Times New Roman" w:hAnsi="Times New Roman" w:cs="Times New Roman"/>
        </w:rPr>
        <w:t xml:space="preserve"> percent of GDP)</w:t>
      </w:r>
      <w:r w:rsidR="0049453E" w:rsidRPr="0049453E">
        <w:rPr>
          <w:rFonts w:ascii="Times New Roman" w:hAnsi="Times New Roman" w:cs="Times New Roman"/>
        </w:rPr>
        <w:t xml:space="preserve">, </w:t>
      </w:r>
      <w:r w:rsidR="00CF4BFC" w:rsidRPr="00CF4BFC">
        <w:rPr>
          <w:rFonts w:ascii="Times New Roman" w:hAnsi="Times New Roman" w:cs="Times New Roman"/>
        </w:rPr>
        <w:t>with preferential interest rate</w:t>
      </w:r>
      <w:r w:rsidR="00F56BCE">
        <w:rPr>
          <w:rFonts w:ascii="Times New Roman" w:hAnsi="Times New Roman" w:cs="Times New Roman"/>
        </w:rPr>
        <w:t>s</w:t>
      </w:r>
      <w:r w:rsidR="00CF4BFC" w:rsidRPr="00CF4BFC">
        <w:rPr>
          <w:rFonts w:ascii="Times New Roman" w:hAnsi="Times New Roman" w:cs="Times New Roman"/>
        </w:rPr>
        <w:t xml:space="preserve"> up to 3</w:t>
      </w:r>
      <w:r w:rsidR="00CF4BFC">
        <w:rPr>
          <w:rFonts w:ascii="Times New Roman" w:hAnsi="Times New Roman" w:cs="Times New Roman"/>
        </w:rPr>
        <w:t xml:space="preserve"> percent</w:t>
      </w:r>
      <w:r w:rsidR="00CF4BFC" w:rsidRPr="00CF4BFC">
        <w:rPr>
          <w:rFonts w:ascii="Times New Roman" w:hAnsi="Times New Roman" w:cs="Times New Roman"/>
        </w:rPr>
        <w:t xml:space="preserve"> and </w:t>
      </w:r>
      <w:r w:rsidR="00CF4BFC">
        <w:rPr>
          <w:rFonts w:ascii="Times New Roman" w:hAnsi="Times New Roman" w:cs="Times New Roman"/>
        </w:rPr>
        <w:t>s</w:t>
      </w:r>
      <w:r w:rsidR="00CF4BFC" w:rsidRPr="00CF4BFC">
        <w:rPr>
          <w:rFonts w:ascii="Times New Roman" w:hAnsi="Times New Roman" w:cs="Times New Roman"/>
        </w:rPr>
        <w:t>tate guarantee</w:t>
      </w:r>
      <w:r w:rsidR="00CF4BFC">
        <w:rPr>
          <w:rFonts w:ascii="Times New Roman" w:hAnsi="Times New Roman" w:cs="Times New Roman"/>
        </w:rPr>
        <w:t>s</w:t>
      </w:r>
      <w:r w:rsidR="00CF4BFC" w:rsidRPr="00CF4BFC">
        <w:rPr>
          <w:rFonts w:ascii="Times New Roman" w:hAnsi="Times New Roman" w:cs="Times New Roman"/>
        </w:rPr>
        <w:t xml:space="preserve"> up to 80</w:t>
      </w:r>
      <w:r w:rsidR="00CF4BFC">
        <w:rPr>
          <w:rFonts w:ascii="Times New Roman" w:hAnsi="Times New Roman" w:cs="Times New Roman"/>
        </w:rPr>
        <w:t xml:space="preserve"> percent</w:t>
      </w:r>
      <w:r w:rsidR="0005051C">
        <w:rPr>
          <w:rFonts w:ascii="Times New Roman" w:hAnsi="Times New Roman" w:cs="Times New Roman"/>
        </w:rPr>
        <w:t>.</w:t>
      </w:r>
      <w:r w:rsidR="0005051C" w:rsidRPr="0049453E">
        <w:rPr>
          <w:rFonts w:ascii="Times New Roman" w:hAnsi="Times New Roman" w:cs="Times New Roman"/>
        </w:rPr>
        <w:t xml:space="preserve"> </w:t>
      </w:r>
      <w:r w:rsidR="000C510E">
        <w:rPr>
          <w:rFonts w:ascii="Times New Roman" w:hAnsi="Times New Roman" w:cs="Times New Roman"/>
        </w:rPr>
        <w:t xml:space="preserve">This support is </w:t>
      </w:r>
      <w:r w:rsidR="0049453E" w:rsidRPr="0049453E">
        <w:rPr>
          <w:rFonts w:ascii="Times New Roman" w:hAnsi="Times New Roman" w:cs="Times New Roman"/>
        </w:rPr>
        <w:t xml:space="preserve">estimated to have </w:t>
      </w:r>
      <w:r w:rsidR="00467BED" w:rsidRPr="00467BED">
        <w:rPr>
          <w:rFonts w:ascii="Times New Roman" w:hAnsi="Times New Roman" w:cs="Times New Roman"/>
        </w:rPr>
        <w:t xml:space="preserve">benefited 633 </w:t>
      </w:r>
      <w:r w:rsidR="00816E13">
        <w:rPr>
          <w:rFonts w:ascii="Times New Roman" w:hAnsi="Times New Roman" w:cs="Times New Roman"/>
        </w:rPr>
        <w:t>c</w:t>
      </w:r>
      <w:r w:rsidR="00467BED" w:rsidRPr="00467BED">
        <w:rPr>
          <w:rFonts w:ascii="Times New Roman" w:hAnsi="Times New Roman" w:cs="Times New Roman"/>
        </w:rPr>
        <w:t xml:space="preserve">ompanies and </w:t>
      </w:r>
      <w:r w:rsidR="00816E13" w:rsidRPr="00816E13">
        <w:rPr>
          <w:rFonts w:ascii="Times New Roman" w:hAnsi="Times New Roman" w:cs="Times New Roman"/>
        </w:rPr>
        <w:t>protected</w:t>
      </w:r>
      <w:r w:rsidR="00467BED" w:rsidRPr="00467BED">
        <w:rPr>
          <w:rFonts w:ascii="Times New Roman" w:hAnsi="Times New Roman" w:cs="Times New Roman"/>
        </w:rPr>
        <w:t xml:space="preserve"> 13,300 </w:t>
      </w:r>
      <w:r w:rsidR="0049453E" w:rsidRPr="0049453E">
        <w:rPr>
          <w:rFonts w:ascii="Times New Roman" w:hAnsi="Times New Roman" w:cs="Times New Roman"/>
        </w:rPr>
        <w:t>jobs</w:t>
      </w:r>
      <w:r w:rsidR="00142CF0">
        <w:rPr>
          <w:rFonts w:ascii="Times New Roman" w:hAnsi="Times New Roman" w:cs="Times New Roman"/>
        </w:rPr>
        <w:t xml:space="preserve"> </w:t>
      </w:r>
      <w:r w:rsidR="000C510E">
        <w:rPr>
          <w:rFonts w:ascii="Times New Roman" w:hAnsi="Times New Roman" w:cs="Times New Roman"/>
        </w:rPr>
        <w:t xml:space="preserve">in </w:t>
      </w:r>
      <w:r w:rsidR="00142CF0">
        <w:rPr>
          <w:rFonts w:ascii="Times New Roman" w:hAnsi="Times New Roman" w:cs="Times New Roman"/>
        </w:rPr>
        <w:t>2021</w:t>
      </w:r>
      <w:r w:rsidR="0049453E" w:rsidRPr="0049453E">
        <w:rPr>
          <w:rFonts w:ascii="Times New Roman" w:hAnsi="Times New Roman" w:cs="Times New Roman"/>
        </w:rPr>
        <w:t>. The suspension of labor contracts, which cost the Government around US$</w:t>
      </w:r>
      <w:r w:rsidR="00B5158A">
        <w:rPr>
          <w:rFonts w:ascii="Times New Roman" w:hAnsi="Times New Roman" w:cs="Times New Roman"/>
        </w:rPr>
        <w:t>2</w:t>
      </w:r>
      <w:r w:rsidR="0049453E" w:rsidRPr="0049453E">
        <w:rPr>
          <w:rFonts w:ascii="Times New Roman" w:hAnsi="Times New Roman" w:cs="Times New Roman"/>
        </w:rPr>
        <w:t xml:space="preserve">5 million, is estimated to have avoided layoffs of additional </w:t>
      </w:r>
      <w:r w:rsidR="00D91365">
        <w:rPr>
          <w:rFonts w:ascii="Times New Roman" w:hAnsi="Times New Roman" w:cs="Times New Roman"/>
        </w:rPr>
        <w:t>18</w:t>
      </w:r>
      <w:r w:rsidR="00414D09">
        <w:rPr>
          <w:rFonts w:ascii="Times New Roman" w:hAnsi="Times New Roman" w:cs="Times New Roman"/>
        </w:rPr>
        <w:t>,</w:t>
      </w:r>
      <w:r w:rsidR="00D91365">
        <w:rPr>
          <w:rFonts w:ascii="Times New Roman" w:hAnsi="Times New Roman" w:cs="Times New Roman"/>
        </w:rPr>
        <w:t>265</w:t>
      </w:r>
      <w:r w:rsidR="0049453E" w:rsidRPr="0049453E">
        <w:rPr>
          <w:rFonts w:ascii="Times New Roman" w:hAnsi="Times New Roman" w:cs="Times New Roman"/>
        </w:rPr>
        <w:t xml:space="preserve"> workers. </w:t>
      </w:r>
      <w:r w:rsidR="00482C2C">
        <w:rPr>
          <w:rFonts w:ascii="Times New Roman" w:hAnsi="Times New Roman" w:cs="Times New Roman"/>
        </w:rPr>
        <w:t xml:space="preserve">This </w:t>
      </w:r>
      <w:r w:rsidR="003B71FD" w:rsidRPr="003B71FD">
        <w:rPr>
          <w:rFonts w:ascii="Times New Roman" w:hAnsi="Times New Roman" w:cs="Times New Roman"/>
        </w:rPr>
        <w:t xml:space="preserve">simplified lay-off regime under which the workers retain 70 percent of the </w:t>
      </w:r>
      <w:r w:rsidR="007B5CFF">
        <w:rPr>
          <w:rFonts w:ascii="Times New Roman" w:hAnsi="Times New Roman" w:cs="Times New Roman"/>
        </w:rPr>
        <w:t xml:space="preserve">gross </w:t>
      </w:r>
      <w:r w:rsidR="003B71FD" w:rsidRPr="003B71FD">
        <w:rPr>
          <w:rFonts w:ascii="Times New Roman" w:hAnsi="Times New Roman" w:cs="Times New Roman"/>
        </w:rPr>
        <w:t>salary</w:t>
      </w:r>
      <w:r w:rsidR="002223E7">
        <w:rPr>
          <w:rFonts w:ascii="Times New Roman" w:hAnsi="Times New Roman" w:cs="Times New Roman"/>
        </w:rPr>
        <w:t xml:space="preserve"> was first</w:t>
      </w:r>
      <w:r w:rsidR="00115FE6">
        <w:rPr>
          <w:rFonts w:ascii="Times New Roman" w:hAnsi="Times New Roman" w:cs="Times New Roman"/>
        </w:rPr>
        <w:t xml:space="preserve"> </w:t>
      </w:r>
      <w:r w:rsidR="00482C2C">
        <w:rPr>
          <w:rFonts w:ascii="Times New Roman" w:hAnsi="Times New Roman" w:cs="Times New Roman"/>
        </w:rPr>
        <w:t>implemented in April 2020</w:t>
      </w:r>
      <w:r w:rsidR="009D70ED">
        <w:rPr>
          <w:rFonts w:ascii="Times New Roman" w:hAnsi="Times New Roman" w:cs="Times New Roman"/>
        </w:rPr>
        <w:t xml:space="preserve"> </w:t>
      </w:r>
      <w:r w:rsidR="002223E7">
        <w:rPr>
          <w:rFonts w:ascii="Times New Roman" w:hAnsi="Times New Roman" w:cs="Times New Roman"/>
        </w:rPr>
        <w:t>and</w:t>
      </w:r>
      <w:r w:rsidR="009D70ED">
        <w:rPr>
          <w:rFonts w:ascii="Times New Roman" w:hAnsi="Times New Roman" w:cs="Times New Roman"/>
        </w:rPr>
        <w:t xml:space="preserve"> </w:t>
      </w:r>
      <w:r w:rsidR="004067AF">
        <w:rPr>
          <w:rFonts w:ascii="Times New Roman" w:hAnsi="Times New Roman" w:cs="Times New Roman"/>
        </w:rPr>
        <w:t xml:space="preserve">was </w:t>
      </w:r>
      <w:r w:rsidR="009D70ED">
        <w:rPr>
          <w:rFonts w:ascii="Times New Roman" w:hAnsi="Times New Roman" w:cs="Times New Roman"/>
        </w:rPr>
        <w:t>extended until</w:t>
      </w:r>
      <w:r w:rsidR="00132AF8">
        <w:rPr>
          <w:rFonts w:ascii="Times New Roman" w:hAnsi="Times New Roman" w:cs="Times New Roman"/>
        </w:rPr>
        <w:t xml:space="preserve"> </w:t>
      </w:r>
      <w:r w:rsidR="00EF00F8">
        <w:rPr>
          <w:rFonts w:ascii="Times New Roman" w:hAnsi="Times New Roman" w:cs="Times New Roman"/>
        </w:rPr>
        <w:t>December 31</w:t>
      </w:r>
      <w:r w:rsidR="002223E7">
        <w:rPr>
          <w:rFonts w:ascii="Times New Roman" w:hAnsi="Times New Roman" w:cs="Times New Roman"/>
        </w:rPr>
        <w:t xml:space="preserve">, 2021. </w:t>
      </w:r>
      <w:r w:rsidR="009B0D67">
        <w:rPr>
          <w:rFonts w:ascii="Times New Roman" w:hAnsi="Times New Roman" w:cs="Times New Roman"/>
        </w:rPr>
        <w:t xml:space="preserve">However, in its fourth </w:t>
      </w:r>
      <w:r w:rsidR="000072EA">
        <w:rPr>
          <w:rFonts w:ascii="Times New Roman" w:hAnsi="Times New Roman" w:cs="Times New Roman"/>
        </w:rPr>
        <w:t xml:space="preserve">extension, </w:t>
      </w:r>
      <w:r w:rsidR="000072EA" w:rsidRPr="000072EA">
        <w:rPr>
          <w:rFonts w:ascii="Times New Roman" w:hAnsi="Times New Roman" w:cs="Times New Roman"/>
        </w:rPr>
        <w:t>which began on January 1</w:t>
      </w:r>
      <w:r w:rsidR="000072EA" w:rsidRPr="006F1E8E">
        <w:rPr>
          <w:rFonts w:ascii="Times New Roman" w:hAnsi="Times New Roman" w:cs="Times New Roman"/>
          <w:vertAlign w:val="superscript"/>
        </w:rPr>
        <w:t>st</w:t>
      </w:r>
      <w:r w:rsidR="000072EA" w:rsidRPr="000072EA">
        <w:rPr>
          <w:rFonts w:ascii="Times New Roman" w:hAnsi="Times New Roman" w:cs="Times New Roman"/>
        </w:rPr>
        <w:t>, 2021</w:t>
      </w:r>
      <w:r w:rsidR="000072EA">
        <w:rPr>
          <w:rFonts w:ascii="Times New Roman" w:hAnsi="Times New Roman" w:cs="Times New Roman"/>
        </w:rPr>
        <w:t xml:space="preserve">, </w:t>
      </w:r>
      <w:r w:rsidR="007B5CFF" w:rsidRPr="007B5CFF">
        <w:rPr>
          <w:rFonts w:ascii="Times New Roman" w:hAnsi="Times New Roman" w:cs="Times New Roman"/>
        </w:rPr>
        <w:t>the companies</w:t>
      </w:r>
      <w:r w:rsidR="004067AF">
        <w:rPr>
          <w:rFonts w:ascii="Times New Roman" w:hAnsi="Times New Roman" w:cs="Times New Roman"/>
        </w:rPr>
        <w:t>’</w:t>
      </w:r>
      <w:r w:rsidR="007B5CFF" w:rsidRPr="007B5CFF">
        <w:rPr>
          <w:rFonts w:ascii="Times New Roman" w:hAnsi="Times New Roman" w:cs="Times New Roman"/>
        </w:rPr>
        <w:t xml:space="preserve"> </w:t>
      </w:r>
      <w:r w:rsidR="008237AA">
        <w:rPr>
          <w:rFonts w:ascii="Times New Roman" w:hAnsi="Times New Roman" w:cs="Times New Roman"/>
        </w:rPr>
        <w:t>cont</w:t>
      </w:r>
      <w:r w:rsidR="00F24DDA">
        <w:rPr>
          <w:rFonts w:ascii="Times New Roman" w:hAnsi="Times New Roman" w:cs="Times New Roman"/>
        </w:rPr>
        <w:t>ribution</w:t>
      </w:r>
      <w:r w:rsidR="007B5CFF" w:rsidRPr="007B5CFF">
        <w:rPr>
          <w:rFonts w:ascii="Times New Roman" w:hAnsi="Times New Roman" w:cs="Times New Roman"/>
        </w:rPr>
        <w:t xml:space="preserve"> </w:t>
      </w:r>
      <w:r w:rsidR="007B5CFF">
        <w:rPr>
          <w:rFonts w:ascii="Times New Roman" w:hAnsi="Times New Roman" w:cs="Times New Roman"/>
        </w:rPr>
        <w:t>w</w:t>
      </w:r>
      <w:r w:rsidR="00593C09">
        <w:rPr>
          <w:rFonts w:ascii="Times New Roman" w:hAnsi="Times New Roman" w:cs="Times New Roman"/>
        </w:rPr>
        <w:t>as</w:t>
      </w:r>
      <w:r w:rsidR="007B5CFF">
        <w:rPr>
          <w:rFonts w:ascii="Times New Roman" w:hAnsi="Times New Roman" w:cs="Times New Roman"/>
        </w:rPr>
        <w:t xml:space="preserve"> reduced </w:t>
      </w:r>
      <w:r w:rsidR="007B5CFF" w:rsidRPr="007B5CFF">
        <w:rPr>
          <w:rFonts w:ascii="Times New Roman" w:hAnsi="Times New Roman" w:cs="Times New Roman"/>
        </w:rPr>
        <w:t>from 35</w:t>
      </w:r>
      <w:r w:rsidR="00DF1421">
        <w:rPr>
          <w:rFonts w:ascii="Times New Roman" w:hAnsi="Times New Roman" w:cs="Times New Roman"/>
        </w:rPr>
        <w:t xml:space="preserve"> percent</w:t>
      </w:r>
      <w:r w:rsidR="007B5CFF" w:rsidRPr="007B5CFF">
        <w:rPr>
          <w:rFonts w:ascii="Times New Roman" w:hAnsi="Times New Roman" w:cs="Times New Roman"/>
        </w:rPr>
        <w:t xml:space="preserve"> to 25</w:t>
      </w:r>
      <w:r w:rsidR="00FC3490">
        <w:rPr>
          <w:rFonts w:ascii="Times New Roman" w:hAnsi="Times New Roman" w:cs="Times New Roman"/>
        </w:rPr>
        <w:t xml:space="preserve"> percent</w:t>
      </w:r>
      <w:r w:rsidR="007B5CFF" w:rsidRPr="007B5CFF">
        <w:rPr>
          <w:rFonts w:ascii="Times New Roman" w:hAnsi="Times New Roman" w:cs="Times New Roman"/>
        </w:rPr>
        <w:t xml:space="preserve"> of </w:t>
      </w:r>
      <w:r w:rsidR="00E42D00">
        <w:rPr>
          <w:rFonts w:ascii="Times New Roman" w:hAnsi="Times New Roman" w:cs="Times New Roman"/>
        </w:rPr>
        <w:t>the</w:t>
      </w:r>
      <w:r w:rsidR="007B5CFF" w:rsidRPr="007B5CFF">
        <w:rPr>
          <w:rFonts w:ascii="Times New Roman" w:hAnsi="Times New Roman" w:cs="Times New Roman"/>
        </w:rPr>
        <w:t xml:space="preserve"> total, with the </w:t>
      </w:r>
      <w:r w:rsidR="00E42D00">
        <w:rPr>
          <w:rFonts w:ascii="Times New Roman" w:hAnsi="Times New Roman" w:cs="Times New Roman"/>
        </w:rPr>
        <w:t xml:space="preserve">National Pension </w:t>
      </w:r>
      <w:r w:rsidR="00A61F30">
        <w:rPr>
          <w:rFonts w:ascii="Times New Roman" w:hAnsi="Times New Roman" w:cs="Times New Roman"/>
        </w:rPr>
        <w:t>Fund</w:t>
      </w:r>
      <w:r w:rsidR="00D570B8">
        <w:rPr>
          <w:rFonts w:ascii="Times New Roman" w:hAnsi="Times New Roman" w:cs="Times New Roman"/>
        </w:rPr>
        <w:t xml:space="preserve"> (INPS)</w:t>
      </w:r>
      <w:r w:rsidR="007B5CFF" w:rsidRPr="007B5CFF">
        <w:rPr>
          <w:rFonts w:ascii="Times New Roman" w:hAnsi="Times New Roman" w:cs="Times New Roman"/>
        </w:rPr>
        <w:t xml:space="preserve"> now contributing 45</w:t>
      </w:r>
      <w:r w:rsidR="00FC3490">
        <w:rPr>
          <w:rFonts w:ascii="Times New Roman" w:hAnsi="Times New Roman" w:cs="Times New Roman"/>
        </w:rPr>
        <w:t xml:space="preserve"> percent</w:t>
      </w:r>
      <w:r w:rsidR="00777A54">
        <w:rPr>
          <w:rFonts w:ascii="Times New Roman" w:hAnsi="Times New Roman" w:cs="Times New Roman"/>
        </w:rPr>
        <w:t xml:space="preserve"> instead of </w:t>
      </w:r>
      <w:r w:rsidR="00FC3490">
        <w:rPr>
          <w:rFonts w:ascii="Times New Roman" w:hAnsi="Times New Roman" w:cs="Times New Roman"/>
        </w:rPr>
        <w:t>35</w:t>
      </w:r>
      <w:r w:rsidR="00777A54">
        <w:rPr>
          <w:rFonts w:ascii="Times New Roman" w:hAnsi="Times New Roman" w:cs="Times New Roman"/>
        </w:rPr>
        <w:t xml:space="preserve"> percent</w:t>
      </w:r>
      <w:r w:rsidR="00D03C7A">
        <w:rPr>
          <w:rFonts w:ascii="Times New Roman" w:hAnsi="Times New Roman" w:cs="Times New Roman"/>
        </w:rPr>
        <w:t xml:space="preserve"> </w:t>
      </w:r>
      <w:r w:rsidR="00216FB6">
        <w:rPr>
          <w:rFonts w:ascii="Times New Roman" w:hAnsi="Times New Roman" w:cs="Times New Roman"/>
        </w:rPr>
        <w:t>out of 70 percent</w:t>
      </w:r>
      <w:r w:rsidR="007B5CFF" w:rsidRPr="007B5CFF">
        <w:rPr>
          <w:rFonts w:ascii="Times New Roman" w:hAnsi="Times New Roman" w:cs="Times New Roman"/>
        </w:rPr>
        <w:t>.</w:t>
      </w:r>
      <w:r w:rsidR="00D570B8">
        <w:rPr>
          <w:rFonts w:ascii="Times New Roman" w:hAnsi="Times New Roman" w:cs="Times New Roman"/>
        </w:rPr>
        <w:t xml:space="preserve"> </w:t>
      </w:r>
      <w:r w:rsidR="0049453E" w:rsidRPr="0049453E">
        <w:rPr>
          <w:rFonts w:ascii="Times New Roman" w:hAnsi="Times New Roman" w:cs="Times New Roman"/>
        </w:rPr>
        <w:t xml:space="preserve">Measures aimed at preserving </w:t>
      </w:r>
      <w:r w:rsidR="004067AF">
        <w:rPr>
          <w:rFonts w:ascii="Times New Roman" w:hAnsi="Times New Roman" w:cs="Times New Roman"/>
        </w:rPr>
        <w:t xml:space="preserve">the </w:t>
      </w:r>
      <w:r w:rsidR="0049453E" w:rsidRPr="0049453E">
        <w:rPr>
          <w:rFonts w:ascii="Times New Roman" w:hAnsi="Times New Roman" w:cs="Times New Roman"/>
        </w:rPr>
        <w:t xml:space="preserve">livelihood of the most vulnerable were successfully implemented. The Government quickly scaled up the existing safety net, using the social protection delivery systems already in place and provided emergency cash transfers to additional households, reaching approximately 24,000 people. </w:t>
      </w:r>
    </w:p>
    <w:tbl>
      <w:tblPr>
        <w:tblStyle w:val="none1"/>
        <w:tblW w:w="9473" w:type="dxa"/>
        <w:jc w:val="center"/>
        <w:shd w:val="clear" w:color="auto" w:fill="EFFBFF"/>
        <w:tblLook w:val="04A0" w:firstRow="1" w:lastRow="0" w:firstColumn="1" w:lastColumn="0" w:noHBand="0" w:noVBand="1"/>
      </w:tblPr>
      <w:tblGrid>
        <w:gridCol w:w="4926"/>
        <w:gridCol w:w="4656"/>
      </w:tblGrid>
      <w:tr w:rsidR="007241CB" w:rsidRPr="00145C16" w14:paraId="3B958FBE" w14:textId="77777777" w:rsidTr="007241CB">
        <w:trPr>
          <w:trHeight w:val="22"/>
          <w:jc w:val="center"/>
        </w:trPr>
        <w:tc>
          <w:tcPr>
            <w:tcW w:w="9473" w:type="dxa"/>
            <w:gridSpan w:val="2"/>
            <w:tcBorders>
              <w:bottom w:val="single" w:sz="4" w:space="0" w:color="auto"/>
            </w:tcBorders>
            <w:shd w:val="clear" w:color="auto" w:fill="DBE5F1"/>
          </w:tcPr>
          <w:p w14:paraId="6CE58112" w14:textId="77777777" w:rsidR="004A3505" w:rsidRPr="00926B73" w:rsidRDefault="004A3505" w:rsidP="00B42E40">
            <w:pPr>
              <w:pStyle w:val="Caption"/>
              <w:jc w:val="center"/>
              <w:rPr>
                <w:rFonts w:ascii="Times New Roman" w:hAnsi="Times New Roman" w:cs="Times New Roman"/>
                <w:b/>
                <w:bCs/>
                <w:i w:val="0"/>
                <w:iCs w:val="0"/>
                <w:color w:val="1F497D"/>
                <w:sz w:val="20"/>
                <w:szCs w:val="20"/>
              </w:rPr>
            </w:pPr>
            <w:r w:rsidRPr="00926B73">
              <w:rPr>
                <w:rFonts w:ascii="Times New Roman" w:hAnsi="Times New Roman" w:cs="Times New Roman"/>
                <w:b/>
                <w:bCs/>
                <w:i w:val="0"/>
                <w:iCs w:val="0"/>
                <w:color w:val="2F5496" w:themeColor="accent1" w:themeShade="BF"/>
                <w:sz w:val="20"/>
                <w:szCs w:val="20"/>
              </w:rPr>
              <w:t xml:space="preserve">Box </w:t>
            </w:r>
            <w:r w:rsidRPr="00926B73">
              <w:rPr>
                <w:rFonts w:ascii="Times New Roman" w:hAnsi="Times New Roman" w:cs="Times New Roman"/>
                <w:b/>
                <w:bCs/>
                <w:i w:val="0"/>
                <w:iCs w:val="0"/>
                <w:color w:val="2F5496" w:themeColor="accent1" w:themeShade="BF"/>
                <w:sz w:val="20"/>
                <w:szCs w:val="20"/>
              </w:rPr>
              <w:fldChar w:fldCharType="begin"/>
            </w:r>
            <w:r w:rsidRPr="00926B73">
              <w:rPr>
                <w:rFonts w:ascii="Times New Roman" w:hAnsi="Times New Roman" w:cs="Times New Roman"/>
                <w:b/>
                <w:bCs/>
                <w:i w:val="0"/>
                <w:iCs w:val="0"/>
                <w:color w:val="2F5496" w:themeColor="accent1" w:themeShade="BF"/>
                <w:sz w:val="20"/>
                <w:szCs w:val="20"/>
              </w:rPr>
              <w:instrText xml:space="preserve"> SEQ Box \* ARABIC </w:instrText>
            </w:r>
            <w:r w:rsidRPr="00926B73">
              <w:rPr>
                <w:rFonts w:ascii="Times New Roman" w:hAnsi="Times New Roman" w:cs="Times New Roman"/>
                <w:b/>
                <w:bCs/>
                <w:i w:val="0"/>
                <w:iCs w:val="0"/>
                <w:color w:val="2F5496" w:themeColor="accent1" w:themeShade="BF"/>
                <w:sz w:val="20"/>
                <w:szCs w:val="20"/>
              </w:rPr>
              <w:fldChar w:fldCharType="separate"/>
            </w:r>
            <w:r>
              <w:rPr>
                <w:rFonts w:ascii="Times New Roman" w:hAnsi="Times New Roman" w:cs="Times New Roman"/>
                <w:b/>
                <w:bCs/>
                <w:i w:val="0"/>
                <w:iCs w:val="0"/>
                <w:noProof/>
                <w:color w:val="2F5496" w:themeColor="accent1" w:themeShade="BF"/>
                <w:sz w:val="20"/>
                <w:szCs w:val="20"/>
              </w:rPr>
              <w:t>1</w:t>
            </w:r>
            <w:r w:rsidRPr="00926B73">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:The COVID-19 Pandemic in Cabo Verde</w:t>
            </w:r>
          </w:p>
        </w:tc>
      </w:tr>
      <w:tr w:rsidR="007241CB" w:rsidRPr="00145C16" w14:paraId="2845E45A" w14:textId="77777777" w:rsidTr="007241CB">
        <w:trPr>
          <w:trHeight w:val="4"/>
          <w:jc w:val="center"/>
        </w:trPr>
        <w:tc>
          <w:tcPr>
            <w:tcW w:w="9473" w:type="dxa"/>
            <w:gridSpan w:val="2"/>
            <w:tcBorders>
              <w:bottom w:val="nil"/>
            </w:tcBorders>
            <w:shd w:val="clear" w:color="auto" w:fill="DBE5F1"/>
          </w:tcPr>
          <w:p w14:paraId="73B83DC4" w14:textId="6FC4EA6A" w:rsidR="004A3505" w:rsidRDefault="004A3505" w:rsidP="00B42E40">
            <w:pPr>
              <w:spacing w:line="276" w:lineRule="auto"/>
              <w:jc w:val="both"/>
              <w:rPr>
                <w:rFonts w:ascii="Times New Roman" w:hAnsi="Times New Roman" w:cs="Times New Roman"/>
                <w:sz w:val="20"/>
                <w:szCs w:val="20"/>
              </w:rPr>
            </w:pPr>
            <w:r w:rsidRPr="00B42E40">
              <w:rPr>
                <w:rFonts w:ascii="Times New Roman" w:hAnsi="Times New Roman" w:cs="Times New Roman"/>
                <w:b/>
                <w:bCs/>
                <w:sz w:val="20"/>
                <w:szCs w:val="20"/>
              </w:rPr>
              <w:t xml:space="preserve">As of </w:t>
            </w:r>
            <w:r w:rsidR="00711554">
              <w:rPr>
                <w:rFonts w:ascii="Times New Roman" w:hAnsi="Times New Roman" w:cs="Times New Roman"/>
                <w:b/>
                <w:bCs/>
                <w:sz w:val="20"/>
                <w:szCs w:val="20"/>
              </w:rPr>
              <w:t>June 5</w:t>
            </w:r>
            <w:r w:rsidRPr="00B42E40">
              <w:rPr>
                <w:rFonts w:ascii="Times New Roman" w:hAnsi="Times New Roman" w:cs="Times New Roman"/>
                <w:b/>
                <w:bCs/>
                <w:sz w:val="20"/>
                <w:szCs w:val="20"/>
              </w:rPr>
              <w:t>, 2022, the country recorded an incidence of 5</w:t>
            </w:r>
            <w:r w:rsidR="00711554">
              <w:rPr>
                <w:rFonts w:ascii="Times New Roman" w:hAnsi="Times New Roman" w:cs="Times New Roman"/>
                <w:b/>
                <w:bCs/>
                <w:sz w:val="20"/>
                <w:szCs w:val="20"/>
              </w:rPr>
              <w:t>6,590</w:t>
            </w:r>
            <w:r w:rsidRPr="00B42E40">
              <w:rPr>
                <w:rFonts w:ascii="Times New Roman" w:hAnsi="Times New Roman" w:cs="Times New Roman"/>
                <w:b/>
                <w:bCs/>
                <w:sz w:val="20"/>
                <w:szCs w:val="20"/>
              </w:rPr>
              <w:t xml:space="preserve"> cases, with a recovery rate of 9</w:t>
            </w:r>
            <w:r w:rsidR="00711554">
              <w:rPr>
                <w:rFonts w:ascii="Times New Roman" w:hAnsi="Times New Roman" w:cs="Times New Roman"/>
                <w:b/>
                <w:bCs/>
                <w:sz w:val="20"/>
                <w:szCs w:val="20"/>
              </w:rPr>
              <w:t>8.8</w:t>
            </w:r>
            <w:r w:rsidRPr="00B42E40">
              <w:rPr>
                <w:rFonts w:ascii="Times New Roman" w:hAnsi="Times New Roman" w:cs="Times New Roman"/>
                <w:b/>
                <w:bCs/>
                <w:sz w:val="20"/>
                <w:szCs w:val="20"/>
              </w:rPr>
              <w:t xml:space="preserve"> percent (Figure B1.1). </w:t>
            </w:r>
            <w:r w:rsidRPr="00B42E40">
              <w:rPr>
                <w:rFonts w:ascii="Times New Roman" w:hAnsi="Times New Roman" w:cs="Times New Roman"/>
                <w:sz w:val="20"/>
                <w:szCs w:val="20"/>
              </w:rPr>
              <w:t>Like most countries, Cabo Verde suffered several waves of the COVID-19 pandemic,</w:t>
            </w:r>
            <w:r w:rsidRPr="00715019">
              <w:rPr>
                <w:rFonts w:ascii="Times New Roman" w:hAnsi="Times New Roman" w:cs="Times New Roman"/>
                <w:b/>
                <w:bCs/>
                <w:sz w:val="20"/>
                <w:szCs w:val="20"/>
              </w:rPr>
              <w:t xml:space="preserve"> </w:t>
            </w:r>
            <w:r w:rsidRPr="00FA1F58">
              <w:rPr>
                <w:rFonts w:ascii="Times New Roman" w:hAnsi="Times New Roman" w:cs="Times New Roman"/>
                <w:sz w:val="20"/>
                <w:szCs w:val="20"/>
              </w:rPr>
              <w:t>the most severe being the Omicron variant</w:t>
            </w:r>
            <w:r w:rsidRPr="00FA1F58" w:rsidDel="00FA1F58">
              <w:rPr>
                <w:rFonts w:ascii="Times New Roman" w:hAnsi="Times New Roman" w:cs="Times New Roman"/>
                <w:sz w:val="20"/>
                <w:szCs w:val="20"/>
              </w:rPr>
              <w:t xml:space="preserve"> </w:t>
            </w:r>
            <w:r w:rsidRPr="00D70562">
              <w:rPr>
                <w:rFonts w:ascii="Times New Roman" w:hAnsi="Times New Roman" w:cs="Times New Roman"/>
                <w:sz w:val="20"/>
                <w:szCs w:val="20"/>
              </w:rPr>
              <w:t xml:space="preserve">between late December 2021 and early January </w:t>
            </w:r>
            <w:r>
              <w:rPr>
                <w:rFonts w:ascii="Times New Roman" w:hAnsi="Times New Roman" w:cs="Times New Roman"/>
                <w:sz w:val="20"/>
                <w:szCs w:val="20"/>
              </w:rPr>
              <w:t>2022. After the Omicron variant</w:t>
            </w:r>
            <w:r w:rsidRPr="00D70562">
              <w:rPr>
                <w:rFonts w:ascii="Times New Roman" w:hAnsi="Times New Roman" w:cs="Times New Roman"/>
                <w:sz w:val="20"/>
                <w:szCs w:val="20"/>
              </w:rPr>
              <w:t>, cases decreased from 7,182 in the first week of January to 105 in the last week</w:t>
            </w:r>
            <w:r>
              <w:rPr>
                <w:rFonts w:ascii="Times New Roman" w:hAnsi="Times New Roman" w:cs="Times New Roman"/>
                <w:sz w:val="20"/>
                <w:szCs w:val="20"/>
              </w:rPr>
              <w:t xml:space="preserve"> of February</w:t>
            </w:r>
            <w:r w:rsidRPr="00D70562">
              <w:rPr>
                <w:rFonts w:ascii="Times New Roman" w:hAnsi="Times New Roman" w:cs="Times New Roman"/>
                <w:sz w:val="20"/>
                <w:szCs w:val="20"/>
              </w:rPr>
              <w:t xml:space="preserve">, </w:t>
            </w:r>
            <w:r>
              <w:rPr>
                <w:rFonts w:ascii="Times New Roman" w:hAnsi="Times New Roman" w:cs="Times New Roman"/>
                <w:sz w:val="20"/>
                <w:szCs w:val="20"/>
              </w:rPr>
              <w:t>and the</w:t>
            </w:r>
            <w:r w:rsidRPr="00D70562">
              <w:rPr>
                <w:rFonts w:ascii="Times New Roman" w:hAnsi="Times New Roman" w:cs="Times New Roman"/>
                <w:sz w:val="20"/>
                <w:szCs w:val="20"/>
              </w:rPr>
              <w:t xml:space="preserve"> rate of positive tests </w:t>
            </w:r>
            <w:r>
              <w:rPr>
                <w:rFonts w:ascii="Times New Roman" w:hAnsi="Times New Roman" w:cs="Times New Roman"/>
                <w:sz w:val="20"/>
                <w:szCs w:val="20"/>
              </w:rPr>
              <w:t>reduced from 45.8 percent to 2.5 percent. Despite the</w:t>
            </w:r>
            <w:r w:rsidRPr="002F0D0A">
              <w:rPr>
                <w:rFonts w:ascii="Times New Roman" w:hAnsi="Times New Roman" w:cs="Times New Roman"/>
                <w:sz w:val="20"/>
                <w:szCs w:val="20"/>
              </w:rPr>
              <w:t xml:space="preserve"> </w:t>
            </w:r>
            <w:r>
              <w:rPr>
                <w:rFonts w:ascii="Times New Roman" w:hAnsi="Times New Roman" w:cs="Times New Roman"/>
                <w:sz w:val="20"/>
                <w:szCs w:val="20"/>
              </w:rPr>
              <w:t>increase in the number of cases with the omicron variant,</w:t>
            </w:r>
            <w:r w:rsidRPr="00AC10BF">
              <w:rPr>
                <w:rFonts w:ascii="Times New Roman" w:hAnsi="Times New Roman" w:cs="Times New Roman"/>
                <w:sz w:val="20"/>
                <w:szCs w:val="20"/>
              </w:rPr>
              <w:t xml:space="preserve"> hospitals were not overwhelmed, and routine health services continued to function. The number of deaths was </w:t>
            </w:r>
            <w:r>
              <w:rPr>
                <w:rFonts w:ascii="Times New Roman" w:hAnsi="Times New Roman" w:cs="Times New Roman"/>
                <w:sz w:val="20"/>
                <w:szCs w:val="20"/>
              </w:rPr>
              <w:t>low</w:t>
            </w:r>
            <w:r w:rsidRPr="00AC10BF">
              <w:rPr>
                <w:rFonts w:ascii="Times New Roman" w:hAnsi="Times New Roman" w:cs="Times New Roman"/>
                <w:sz w:val="20"/>
                <w:szCs w:val="20"/>
              </w:rPr>
              <w:t>, with a lethality rate of around 0.7</w:t>
            </w:r>
            <w:r>
              <w:rPr>
                <w:rFonts w:ascii="Times New Roman" w:hAnsi="Times New Roman" w:cs="Times New Roman"/>
                <w:sz w:val="20"/>
                <w:szCs w:val="20"/>
              </w:rPr>
              <w:t xml:space="preserve"> percent.</w:t>
            </w:r>
          </w:p>
          <w:p w14:paraId="7E268EEC" w14:textId="77777777" w:rsidR="004A3505" w:rsidRPr="00145C16" w:rsidRDefault="004A3505" w:rsidP="00B42E40">
            <w:pPr>
              <w:spacing w:line="276" w:lineRule="auto"/>
              <w:jc w:val="both"/>
              <w:rPr>
                <w:rFonts w:ascii="Times New Roman" w:hAnsi="Times New Roman" w:cs="Times New Roman"/>
                <w:sz w:val="20"/>
                <w:szCs w:val="20"/>
              </w:rPr>
            </w:pPr>
            <w:r w:rsidRPr="00145C16">
              <w:rPr>
                <w:rFonts w:ascii="Times New Roman" w:hAnsi="Times New Roman" w:cs="Times New Roman"/>
                <w:sz w:val="20"/>
                <w:szCs w:val="20"/>
              </w:rPr>
              <w:t xml:space="preserve"> </w:t>
            </w:r>
          </w:p>
        </w:tc>
      </w:tr>
      <w:tr w:rsidR="007241CB" w:rsidRPr="00145C16" w14:paraId="5533BF00" w14:textId="77777777" w:rsidTr="007241CB">
        <w:trPr>
          <w:trHeight w:val="19"/>
          <w:jc w:val="center"/>
        </w:trPr>
        <w:tc>
          <w:tcPr>
            <w:tcW w:w="4736" w:type="dxa"/>
            <w:tcBorders>
              <w:top w:val="nil"/>
              <w:left w:val="single" w:sz="4" w:space="0" w:color="auto"/>
              <w:bottom w:val="nil"/>
              <w:right w:val="nil"/>
            </w:tcBorders>
            <w:shd w:val="clear" w:color="auto" w:fill="DBE5F1"/>
          </w:tcPr>
          <w:p w14:paraId="1C562AD6" w14:textId="77777777" w:rsidR="004A3505" w:rsidRPr="00145C16" w:rsidRDefault="004A3505" w:rsidP="00B42E40">
            <w:pPr>
              <w:jc w:val="center"/>
              <w:rPr>
                <w:rFonts w:ascii="Times New Roman" w:hAnsi="Times New Roman" w:cs="Times New Roman"/>
                <w:b/>
                <w:bCs/>
                <w:noProof/>
                <w:color w:val="1F497D"/>
                <w:sz w:val="20"/>
                <w:szCs w:val="20"/>
              </w:rPr>
            </w:pPr>
            <w:r w:rsidRPr="00145C16">
              <w:rPr>
                <w:rFonts w:ascii="Times New Roman" w:hAnsi="Times New Roman" w:cs="Times New Roman"/>
                <w:b/>
                <w:bCs/>
                <w:noProof/>
                <w:color w:val="1F497D"/>
                <w:sz w:val="20"/>
                <w:szCs w:val="20"/>
              </w:rPr>
              <w:t>Figure B1.1: Number of COVID-19 Cases</w:t>
            </w:r>
          </w:p>
        </w:tc>
        <w:tc>
          <w:tcPr>
            <w:tcW w:w="4736" w:type="dxa"/>
            <w:tcBorders>
              <w:top w:val="nil"/>
              <w:left w:val="nil"/>
              <w:bottom w:val="nil"/>
              <w:right w:val="single" w:sz="4" w:space="0" w:color="auto"/>
            </w:tcBorders>
            <w:shd w:val="clear" w:color="auto" w:fill="DBE5F1"/>
          </w:tcPr>
          <w:p w14:paraId="30B61AED" w14:textId="77777777" w:rsidR="004A3505" w:rsidRPr="00145C16" w:rsidRDefault="004A3505" w:rsidP="00B42E40">
            <w:pPr>
              <w:jc w:val="center"/>
              <w:rPr>
                <w:rFonts w:ascii="Times New Roman" w:hAnsi="Times New Roman" w:cs="Times New Roman"/>
                <w:b/>
                <w:bCs/>
                <w:noProof/>
                <w:color w:val="1F497D"/>
                <w:sz w:val="20"/>
                <w:szCs w:val="20"/>
              </w:rPr>
            </w:pPr>
            <w:r w:rsidRPr="00145C16">
              <w:rPr>
                <w:rFonts w:ascii="Times New Roman" w:hAnsi="Times New Roman" w:cs="Times New Roman"/>
                <w:b/>
                <w:bCs/>
                <w:noProof/>
                <w:color w:val="1F497D"/>
                <w:sz w:val="20"/>
                <w:szCs w:val="20"/>
              </w:rPr>
              <w:t xml:space="preserve">Figure B1.2: Number of COVID-19 </w:t>
            </w:r>
            <w:r>
              <w:rPr>
                <w:rFonts w:ascii="Times New Roman" w:hAnsi="Times New Roman" w:cs="Times New Roman"/>
                <w:b/>
                <w:bCs/>
                <w:noProof/>
                <w:color w:val="1F497D"/>
                <w:sz w:val="20"/>
                <w:szCs w:val="20"/>
              </w:rPr>
              <w:t>Vaccinations</w:t>
            </w:r>
            <w:r w:rsidRPr="00145C16">
              <w:rPr>
                <w:rFonts w:ascii="Times New Roman" w:hAnsi="Times New Roman" w:cs="Times New Roman"/>
                <w:b/>
                <w:bCs/>
                <w:noProof/>
                <w:color w:val="1F497D"/>
                <w:sz w:val="20"/>
                <w:szCs w:val="20"/>
              </w:rPr>
              <w:t xml:space="preserve"> </w:t>
            </w:r>
          </w:p>
        </w:tc>
      </w:tr>
      <w:tr w:rsidR="007241CB" w:rsidRPr="00145C16" w14:paraId="25E66514" w14:textId="77777777" w:rsidTr="007241CB">
        <w:trPr>
          <w:trHeight w:val="346"/>
          <w:jc w:val="center"/>
        </w:trPr>
        <w:tc>
          <w:tcPr>
            <w:tcW w:w="4736" w:type="dxa"/>
            <w:tcBorders>
              <w:top w:val="nil"/>
              <w:left w:val="single" w:sz="4" w:space="0" w:color="auto"/>
              <w:bottom w:val="nil"/>
              <w:right w:val="nil"/>
            </w:tcBorders>
            <w:shd w:val="clear" w:color="auto" w:fill="DBE5F1"/>
          </w:tcPr>
          <w:p w14:paraId="3D335916" w14:textId="72BA92BB" w:rsidR="004A3505" w:rsidRDefault="007241CB" w:rsidP="00B42E40">
            <w:pPr>
              <w:keepNext/>
              <w:jc w:val="center"/>
            </w:pPr>
            <w:r>
              <w:rPr>
                <w:noProof/>
                <w:lang w:val="es-BO"/>
              </w:rPr>
              <w:lastRenderedPageBreak/>
              <w:drawing>
                <wp:anchor distT="0" distB="0" distL="114300" distR="114300" simplePos="0" relativeHeight="251933696" behindDoc="0" locked="0" layoutInCell="1" allowOverlap="1" wp14:anchorId="62CBDC6B" wp14:editId="1FA59653">
                  <wp:simplePos x="0" y="0"/>
                  <wp:positionH relativeFrom="margin">
                    <wp:posOffset>28575</wp:posOffset>
                  </wp:positionH>
                  <wp:positionV relativeFrom="paragraph">
                    <wp:posOffset>30480</wp:posOffset>
                  </wp:positionV>
                  <wp:extent cx="2960370" cy="2324100"/>
                  <wp:effectExtent l="19050" t="19050" r="11430" b="190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60370" cy="2324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75ED8505" w14:textId="0466B1AB" w:rsidR="004A3505" w:rsidRPr="007241CB" w:rsidRDefault="004A3505" w:rsidP="007241CB">
            <w:pPr>
              <w:pStyle w:val="Caption"/>
              <w:rPr>
                <w:i w:val="0"/>
                <w:iCs w:val="0"/>
              </w:rPr>
            </w:pPr>
          </w:p>
        </w:tc>
        <w:tc>
          <w:tcPr>
            <w:tcW w:w="4736" w:type="dxa"/>
            <w:tcBorders>
              <w:top w:val="nil"/>
              <w:left w:val="nil"/>
              <w:bottom w:val="nil"/>
              <w:right w:val="single" w:sz="4" w:space="0" w:color="auto"/>
            </w:tcBorders>
            <w:shd w:val="clear" w:color="auto" w:fill="DBE5F1"/>
          </w:tcPr>
          <w:p w14:paraId="3414FD77" w14:textId="01DE3F65" w:rsidR="004A3505" w:rsidRDefault="007241CB" w:rsidP="00B42E40">
            <w:pPr>
              <w:keepNext/>
              <w:jc w:val="center"/>
            </w:pPr>
            <w:r>
              <w:rPr>
                <w:noProof/>
                <w:lang w:val="es-BO"/>
              </w:rPr>
              <w:drawing>
                <wp:anchor distT="0" distB="0" distL="114300" distR="114300" simplePos="0" relativeHeight="251921408" behindDoc="0" locked="0" layoutInCell="1" allowOverlap="1" wp14:anchorId="5B0F8466" wp14:editId="64FD8B88">
                  <wp:simplePos x="0" y="0"/>
                  <wp:positionH relativeFrom="margin">
                    <wp:posOffset>-19050</wp:posOffset>
                  </wp:positionH>
                  <wp:positionV relativeFrom="paragraph">
                    <wp:posOffset>19050</wp:posOffset>
                  </wp:positionV>
                  <wp:extent cx="2775585" cy="2324100"/>
                  <wp:effectExtent l="19050" t="19050" r="24765" b="190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75585" cy="2324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44C8065" w14:textId="405E6F3D" w:rsidR="004A3505" w:rsidRPr="007241CB" w:rsidRDefault="004A3505" w:rsidP="00B42E40">
            <w:pPr>
              <w:pStyle w:val="Caption"/>
              <w:jc w:val="center"/>
              <w:rPr>
                <w:i w:val="0"/>
                <w:iCs w:val="0"/>
              </w:rPr>
            </w:pPr>
          </w:p>
        </w:tc>
      </w:tr>
      <w:tr w:rsidR="007241CB" w:rsidRPr="00145C16" w14:paraId="5E9C3110" w14:textId="77777777" w:rsidTr="007241CB">
        <w:trPr>
          <w:trHeight w:val="21"/>
          <w:jc w:val="center"/>
        </w:trPr>
        <w:tc>
          <w:tcPr>
            <w:tcW w:w="9473" w:type="dxa"/>
            <w:gridSpan w:val="2"/>
            <w:tcBorders>
              <w:top w:val="nil"/>
              <w:left w:val="single" w:sz="4" w:space="0" w:color="auto"/>
              <w:bottom w:val="nil"/>
              <w:right w:val="single" w:sz="4" w:space="0" w:color="auto"/>
            </w:tcBorders>
            <w:shd w:val="clear" w:color="auto" w:fill="DBE5F1"/>
          </w:tcPr>
          <w:p w14:paraId="47F35F4F" w14:textId="76AC3B28" w:rsidR="004A3505" w:rsidRPr="00145C16" w:rsidRDefault="004A3505" w:rsidP="007241CB">
            <w:pPr>
              <w:jc w:val="both"/>
              <w:rPr>
                <w:rFonts w:ascii="Times New Roman" w:hAnsi="Times New Roman" w:cs="Times New Roman"/>
                <w:b/>
                <w:bCs/>
                <w:noProof/>
                <w:color w:val="1F497D"/>
                <w:sz w:val="20"/>
                <w:szCs w:val="20"/>
              </w:rPr>
            </w:pPr>
            <w:r>
              <w:rPr>
                <w:rFonts w:ascii="Times New Roman" w:hAnsi="Times New Roman" w:cs="Times New Roman"/>
                <w:b/>
                <w:bCs/>
                <w:sz w:val="20"/>
                <w:szCs w:val="20"/>
              </w:rPr>
              <w:t>A</w:t>
            </w:r>
            <w:r w:rsidRPr="00FA1F58">
              <w:rPr>
                <w:rFonts w:ascii="Times New Roman" w:hAnsi="Times New Roman" w:cs="Times New Roman"/>
                <w:b/>
                <w:bCs/>
                <w:sz w:val="20"/>
                <w:szCs w:val="20"/>
              </w:rPr>
              <w:t xml:space="preserve"> comprehensive vaccination campaign was fundamental for the recovery during the second half of 2021. </w:t>
            </w:r>
            <w:r w:rsidRPr="00B42E40">
              <w:rPr>
                <w:rFonts w:ascii="Times New Roman" w:hAnsi="Times New Roman" w:cs="Times New Roman"/>
                <w:sz w:val="20"/>
                <w:szCs w:val="20"/>
              </w:rPr>
              <w:t xml:space="preserve">The vaccination campaign started on </w:t>
            </w:r>
            <w:r w:rsidR="000D7271" w:rsidRPr="00B42E40">
              <w:rPr>
                <w:rFonts w:ascii="Times New Roman" w:hAnsi="Times New Roman" w:cs="Times New Roman"/>
                <w:sz w:val="20"/>
                <w:szCs w:val="20"/>
              </w:rPr>
              <w:t xml:space="preserve">March 18, </w:t>
            </w:r>
            <w:proofErr w:type="gramStart"/>
            <w:r w:rsidR="000D7271" w:rsidRPr="00B42E40">
              <w:rPr>
                <w:rFonts w:ascii="Times New Roman" w:hAnsi="Times New Roman" w:cs="Times New Roman"/>
                <w:sz w:val="20"/>
                <w:szCs w:val="20"/>
              </w:rPr>
              <w:t>2021</w:t>
            </w:r>
            <w:proofErr w:type="gramEnd"/>
            <w:r w:rsidR="000D7271" w:rsidRPr="00B42E40">
              <w:rPr>
                <w:rFonts w:ascii="Times New Roman" w:hAnsi="Times New Roman" w:cs="Times New Roman"/>
                <w:sz w:val="20"/>
                <w:szCs w:val="20"/>
              </w:rPr>
              <w:t xml:space="preserve"> and</w:t>
            </w:r>
            <w:r w:rsidRPr="00B42E40">
              <w:rPr>
                <w:rFonts w:ascii="Times New Roman" w:hAnsi="Times New Roman" w:cs="Times New Roman"/>
                <w:sz w:val="20"/>
                <w:szCs w:val="20"/>
              </w:rPr>
              <w:t xml:space="preserve"> progressed rapidly covering both adults and teenagers populations.</w:t>
            </w:r>
            <w:r w:rsidRPr="00145C16">
              <w:rPr>
                <w:rFonts w:ascii="Times New Roman" w:hAnsi="Times New Roman" w:cs="Times New Roman"/>
                <w:sz w:val="20"/>
                <w:szCs w:val="20"/>
              </w:rPr>
              <w:t xml:space="preserve"> </w:t>
            </w:r>
            <w:r w:rsidRPr="00F06288">
              <w:rPr>
                <w:rFonts w:ascii="Times New Roman" w:hAnsi="Times New Roman" w:cs="Times New Roman"/>
                <w:sz w:val="20"/>
                <w:szCs w:val="20"/>
              </w:rPr>
              <w:t xml:space="preserve">Cabo Verde received from March 12 to December 13, 2021, a total of 945,220 doses of vaccines from various manufacturers (AstraZeneca, Pfizer, Moderna and Sinopharm) through the COVAX mechanism and donations from partner countries. During this period, the country used 651,653 doses, equivalent to 69 percent of the total vaccines received. </w:t>
            </w:r>
            <w:r w:rsidRPr="00FA1F58">
              <w:rPr>
                <w:rFonts w:ascii="Times New Roman" w:hAnsi="Times New Roman" w:cs="Times New Roman"/>
                <w:sz w:val="20"/>
                <w:szCs w:val="20"/>
              </w:rPr>
              <w:t>Much of the progress was made between June and October with a substantially higher number of administered doses relative to world standards.</w:t>
            </w:r>
            <w:r>
              <w:rPr>
                <w:rFonts w:ascii="Times New Roman" w:hAnsi="Times New Roman" w:cs="Times New Roman"/>
                <w:sz w:val="20"/>
                <w:szCs w:val="20"/>
              </w:rPr>
              <w:t xml:space="preserve"> </w:t>
            </w:r>
            <w:r w:rsidRPr="00F06288">
              <w:rPr>
                <w:rFonts w:ascii="Times New Roman" w:hAnsi="Times New Roman" w:cs="Times New Roman"/>
                <w:sz w:val="20"/>
                <w:szCs w:val="20"/>
              </w:rPr>
              <w:t xml:space="preserve">As of </w:t>
            </w:r>
            <w:r w:rsidR="000D7271">
              <w:rPr>
                <w:rFonts w:ascii="Times New Roman" w:hAnsi="Times New Roman" w:cs="Times New Roman"/>
                <w:sz w:val="20"/>
                <w:szCs w:val="20"/>
              </w:rPr>
              <w:t>June 5,</w:t>
            </w:r>
            <w:r>
              <w:rPr>
                <w:rFonts w:ascii="Times New Roman" w:hAnsi="Times New Roman" w:cs="Times New Roman"/>
                <w:sz w:val="20"/>
                <w:szCs w:val="20"/>
              </w:rPr>
              <w:t xml:space="preserve"> 2022,</w:t>
            </w:r>
            <w:r w:rsidRPr="00F06288">
              <w:rPr>
                <w:rFonts w:ascii="Times New Roman" w:hAnsi="Times New Roman" w:cs="Times New Roman"/>
                <w:sz w:val="20"/>
                <w:szCs w:val="20"/>
              </w:rPr>
              <w:t xml:space="preserve"> </w:t>
            </w:r>
            <w:r w:rsidR="00711554">
              <w:rPr>
                <w:rFonts w:ascii="Times New Roman" w:hAnsi="Times New Roman" w:cs="Times New Roman"/>
                <w:sz w:val="20"/>
                <w:szCs w:val="20"/>
              </w:rPr>
              <w:t>85</w:t>
            </w:r>
            <w:r w:rsidRPr="00F06288">
              <w:rPr>
                <w:rFonts w:ascii="Times New Roman" w:hAnsi="Times New Roman" w:cs="Times New Roman"/>
                <w:sz w:val="20"/>
                <w:szCs w:val="20"/>
              </w:rPr>
              <w:t xml:space="preserve"> percent </w:t>
            </w:r>
            <w:r>
              <w:rPr>
                <w:rFonts w:ascii="Times New Roman" w:hAnsi="Times New Roman" w:cs="Times New Roman"/>
                <w:sz w:val="20"/>
                <w:szCs w:val="20"/>
              </w:rPr>
              <w:t>of the eligible adult population had received two doses of the vaccine.</w:t>
            </w:r>
            <w:r w:rsidRPr="00F06288">
              <w:rPr>
                <w:rFonts w:ascii="Times New Roman" w:hAnsi="Times New Roman" w:cs="Times New Roman"/>
                <w:sz w:val="20"/>
                <w:szCs w:val="20"/>
              </w:rPr>
              <w:t xml:space="preserve"> </w:t>
            </w:r>
            <w:r>
              <w:rPr>
                <w:rFonts w:ascii="Times New Roman" w:hAnsi="Times New Roman" w:cs="Times New Roman"/>
                <w:sz w:val="20"/>
                <w:szCs w:val="20"/>
              </w:rPr>
              <w:t>T</w:t>
            </w:r>
            <w:r w:rsidRPr="00F06288">
              <w:rPr>
                <w:rFonts w:ascii="Times New Roman" w:hAnsi="Times New Roman" w:cs="Times New Roman"/>
                <w:sz w:val="20"/>
                <w:szCs w:val="20"/>
              </w:rPr>
              <w:t xml:space="preserve">he booster dose has already been applied to </w:t>
            </w:r>
            <w:r w:rsidR="00711554">
              <w:rPr>
                <w:rFonts w:ascii="Times New Roman" w:hAnsi="Times New Roman" w:cs="Times New Roman"/>
                <w:sz w:val="20"/>
                <w:szCs w:val="20"/>
              </w:rPr>
              <w:t>24.2</w:t>
            </w:r>
            <w:r w:rsidRPr="00F06288">
              <w:rPr>
                <w:rFonts w:ascii="Times New Roman" w:hAnsi="Times New Roman" w:cs="Times New Roman"/>
                <w:sz w:val="20"/>
                <w:szCs w:val="20"/>
              </w:rPr>
              <w:t xml:space="preserve"> percent of </w:t>
            </w:r>
            <w:r>
              <w:rPr>
                <w:rFonts w:ascii="Times New Roman" w:hAnsi="Times New Roman" w:cs="Times New Roman"/>
                <w:sz w:val="20"/>
                <w:szCs w:val="20"/>
              </w:rPr>
              <w:t xml:space="preserve">eligible </w:t>
            </w:r>
            <w:r w:rsidRPr="00F06288">
              <w:rPr>
                <w:rFonts w:ascii="Times New Roman" w:hAnsi="Times New Roman" w:cs="Times New Roman"/>
                <w:sz w:val="20"/>
                <w:szCs w:val="20"/>
              </w:rPr>
              <w:t xml:space="preserve">adults. </w:t>
            </w:r>
            <w:r>
              <w:rPr>
                <w:rFonts w:ascii="Times New Roman" w:hAnsi="Times New Roman" w:cs="Times New Roman"/>
                <w:sz w:val="20"/>
                <w:szCs w:val="20"/>
              </w:rPr>
              <w:t xml:space="preserve">Additionally, </w:t>
            </w:r>
            <w:r w:rsidRPr="00F06288">
              <w:rPr>
                <w:rFonts w:ascii="Times New Roman" w:hAnsi="Times New Roman" w:cs="Times New Roman"/>
                <w:sz w:val="20"/>
                <w:szCs w:val="20"/>
              </w:rPr>
              <w:t xml:space="preserve">teenagers </w:t>
            </w:r>
            <w:r>
              <w:rPr>
                <w:rFonts w:ascii="Times New Roman" w:hAnsi="Times New Roman" w:cs="Times New Roman"/>
                <w:sz w:val="20"/>
                <w:szCs w:val="20"/>
              </w:rPr>
              <w:t xml:space="preserve">between the ages of 12 and 17 started being vaccinated on December 16, 2021. As of </w:t>
            </w:r>
            <w:r w:rsidR="00711554">
              <w:rPr>
                <w:rFonts w:ascii="Times New Roman" w:hAnsi="Times New Roman" w:cs="Times New Roman"/>
                <w:sz w:val="20"/>
                <w:szCs w:val="20"/>
              </w:rPr>
              <w:t>June 5</w:t>
            </w:r>
            <w:r>
              <w:rPr>
                <w:rFonts w:ascii="Times New Roman" w:hAnsi="Times New Roman" w:cs="Times New Roman"/>
                <w:sz w:val="20"/>
                <w:szCs w:val="20"/>
              </w:rPr>
              <w:t xml:space="preserve">, about </w:t>
            </w:r>
            <w:r w:rsidR="00711554">
              <w:rPr>
                <w:rFonts w:ascii="Times New Roman" w:hAnsi="Times New Roman" w:cs="Times New Roman"/>
                <w:sz w:val="20"/>
                <w:szCs w:val="20"/>
              </w:rPr>
              <w:t>85.8</w:t>
            </w:r>
            <w:r>
              <w:rPr>
                <w:rFonts w:ascii="Times New Roman" w:hAnsi="Times New Roman" w:cs="Times New Roman"/>
                <w:sz w:val="20"/>
                <w:szCs w:val="20"/>
              </w:rPr>
              <w:t xml:space="preserve"> percent of eligible teenagers have received at least one </w:t>
            </w:r>
            <w:r w:rsidRPr="00F06288">
              <w:rPr>
                <w:rFonts w:ascii="Times New Roman" w:hAnsi="Times New Roman" w:cs="Times New Roman"/>
                <w:sz w:val="20"/>
                <w:szCs w:val="20"/>
              </w:rPr>
              <w:t>dose of the vaccine</w:t>
            </w:r>
            <w:r w:rsidR="00711554">
              <w:rPr>
                <w:rFonts w:ascii="Times New Roman" w:hAnsi="Times New Roman" w:cs="Times New Roman"/>
                <w:sz w:val="20"/>
                <w:szCs w:val="20"/>
              </w:rPr>
              <w:t xml:space="preserve"> and </w:t>
            </w:r>
            <w:r w:rsidR="00711554" w:rsidRPr="00711554">
              <w:rPr>
                <w:rFonts w:ascii="Times New Roman" w:hAnsi="Times New Roman" w:cs="Times New Roman"/>
                <w:sz w:val="20"/>
                <w:szCs w:val="20"/>
              </w:rPr>
              <w:t>71</w:t>
            </w:r>
            <w:r w:rsidR="00711554">
              <w:rPr>
                <w:rFonts w:ascii="Times New Roman" w:hAnsi="Times New Roman" w:cs="Times New Roman"/>
                <w:sz w:val="20"/>
                <w:szCs w:val="20"/>
              </w:rPr>
              <w:t xml:space="preserve"> percent</w:t>
            </w:r>
            <w:r w:rsidR="00711554" w:rsidRPr="00711554">
              <w:rPr>
                <w:rFonts w:ascii="Times New Roman" w:hAnsi="Times New Roman" w:cs="Times New Roman"/>
                <w:sz w:val="20"/>
                <w:szCs w:val="20"/>
              </w:rPr>
              <w:t xml:space="preserve"> are already fully vaccinated</w:t>
            </w:r>
            <w:r w:rsidRPr="00F06288">
              <w:rPr>
                <w:rFonts w:ascii="Times New Roman" w:hAnsi="Times New Roman" w:cs="Times New Roman"/>
                <w:sz w:val="20"/>
                <w:szCs w:val="20"/>
              </w:rPr>
              <w:t>. Cabo Verde</w:t>
            </w:r>
            <w:r>
              <w:rPr>
                <w:rFonts w:ascii="Times New Roman" w:hAnsi="Times New Roman" w:cs="Times New Roman"/>
                <w:sz w:val="20"/>
                <w:szCs w:val="20"/>
              </w:rPr>
              <w:t xml:space="preserve">’s number of </w:t>
            </w:r>
            <w:r w:rsidRPr="006F3EE1">
              <w:rPr>
                <w:rFonts w:ascii="Times New Roman" w:hAnsi="Times New Roman" w:cs="Times New Roman"/>
                <w:sz w:val="20"/>
                <w:szCs w:val="20"/>
              </w:rPr>
              <w:t xml:space="preserve">administered vaccine doses </w:t>
            </w:r>
            <w:r>
              <w:rPr>
                <w:rFonts w:ascii="Times New Roman" w:hAnsi="Times New Roman" w:cs="Times New Roman"/>
                <w:sz w:val="20"/>
                <w:szCs w:val="20"/>
              </w:rPr>
              <w:t xml:space="preserve">is much higher than the world and SSA averages, </w:t>
            </w:r>
            <w:r w:rsidRPr="00F06288">
              <w:rPr>
                <w:rFonts w:ascii="Times New Roman" w:hAnsi="Times New Roman" w:cs="Times New Roman"/>
                <w:sz w:val="20"/>
                <w:szCs w:val="20"/>
              </w:rPr>
              <w:t>rank</w:t>
            </w:r>
            <w:r>
              <w:rPr>
                <w:rFonts w:ascii="Times New Roman" w:hAnsi="Times New Roman" w:cs="Times New Roman"/>
                <w:sz w:val="20"/>
                <w:szCs w:val="20"/>
              </w:rPr>
              <w:t>ing</w:t>
            </w:r>
            <w:r w:rsidRPr="00F06288">
              <w:rPr>
                <w:rFonts w:ascii="Times New Roman" w:hAnsi="Times New Roman" w:cs="Times New Roman"/>
                <w:sz w:val="20"/>
                <w:szCs w:val="20"/>
              </w:rPr>
              <w:t xml:space="preserve"> 4</w:t>
            </w:r>
            <w:r w:rsidRPr="00B542AA">
              <w:rPr>
                <w:rFonts w:ascii="Times New Roman" w:hAnsi="Times New Roman" w:cs="Times New Roman"/>
                <w:sz w:val="20"/>
                <w:szCs w:val="20"/>
                <w:vertAlign w:val="superscript"/>
              </w:rPr>
              <w:t>th</w:t>
            </w:r>
            <w:r w:rsidRPr="00F06288">
              <w:rPr>
                <w:rFonts w:ascii="Times New Roman" w:hAnsi="Times New Roman" w:cs="Times New Roman"/>
                <w:sz w:val="20"/>
                <w:szCs w:val="20"/>
              </w:rPr>
              <w:t xml:space="preserve"> in SSA with 108.85 </w:t>
            </w:r>
            <w:r>
              <w:rPr>
                <w:rFonts w:ascii="Times New Roman" w:hAnsi="Times New Roman" w:cs="Times New Roman"/>
                <w:sz w:val="20"/>
                <w:szCs w:val="20"/>
              </w:rPr>
              <w:t xml:space="preserve">doses </w:t>
            </w:r>
            <w:r w:rsidRPr="00F06288">
              <w:rPr>
                <w:rFonts w:ascii="Times New Roman" w:hAnsi="Times New Roman" w:cs="Times New Roman"/>
                <w:sz w:val="20"/>
                <w:szCs w:val="20"/>
              </w:rPr>
              <w:t>per 100 people (F</w:t>
            </w:r>
            <w:r>
              <w:rPr>
                <w:rFonts w:ascii="Times New Roman" w:hAnsi="Times New Roman" w:cs="Times New Roman"/>
                <w:sz w:val="20"/>
                <w:szCs w:val="20"/>
              </w:rPr>
              <w:t>igure B1.2)</w:t>
            </w:r>
            <w:r w:rsidRPr="00F06288">
              <w:rPr>
                <w:rFonts w:ascii="Times New Roman" w:hAnsi="Times New Roman" w:cs="Times New Roman"/>
                <w:sz w:val="20"/>
                <w:szCs w:val="20"/>
              </w:rPr>
              <w:t>.</w:t>
            </w:r>
            <w:r w:rsidR="007241CB">
              <w:rPr>
                <w:rFonts w:ascii="Times New Roman" w:hAnsi="Times New Roman" w:cs="Times New Roman"/>
                <w:sz w:val="20"/>
                <w:szCs w:val="20"/>
              </w:rPr>
              <w:t xml:space="preserve"> </w:t>
            </w:r>
            <w:r w:rsidR="00C21F34">
              <w:rPr>
                <w:rFonts w:ascii="Times New Roman" w:hAnsi="Times New Roman" w:cs="Times New Roman"/>
                <w:sz w:val="20"/>
                <w:szCs w:val="20"/>
              </w:rPr>
              <w:t xml:space="preserve">The </w:t>
            </w:r>
            <w:r w:rsidR="009E1FF5" w:rsidRPr="009E1FF5">
              <w:rPr>
                <w:rFonts w:ascii="Times New Roman" w:hAnsi="Times New Roman" w:cs="Times New Roman"/>
                <w:sz w:val="20"/>
                <w:szCs w:val="20"/>
              </w:rPr>
              <w:t xml:space="preserve">COVAX </w:t>
            </w:r>
            <w:r w:rsidR="00C21F34">
              <w:rPr>
                <w:rFonts w:ascii="Times New Roman" w:hAnsi="Times New Roman" w:cs="Times New Roman"/>
                <w:sz w:val="20"/>
                <w:szCs w:val="20"/>
              </w:rPr>
              <w:t xml:space="preserve">mechanism recently announced </w:t>
            </w:r>
            <w:r w:rsidR="009E1FF5" w:rsidRPr="009E1FF5">
              <w:rPr>
                <w:rFonts w:ascii="Times New Roman" w:hAnsi="Times New Roman" w:cs="Times New Roman"/>
                <w:sz w:val="20"/>
                <w:szCs w:val="20"/>
              </w:rPr>
              <w:t>the distribution of 52,000 doses of the pediatric vaccine, which should arrive in the country by the end of July to cover, in a first phase, 60,000 children between 5-11 years of age.</w:t>
            </w:r>
          </w:p>
        </w:tc>
      </w:tr>
      <w:tr w:rsidR="007241CB" w:rsidRPr="00145C16" w14:paraId="5F683FD5" w14:textId="77777777" w:rsidTr="007241CB">
        <w:trPr>
          <w:trHeight w:val="422"/>
          <w:jc w:val="center"/>
        </w:trPr>
        <w:tc>
          <w:tcPr>
            <w:tcW w:w="9473" w:type="dxa"/>
            <w:gridSpan w:val="2"/>
            <w:tcBorders>
              <w:top w:val="nil"/>
              <w:left w:val="single" w:sz="4" w:space="0" w:color="auto"/>
              <w:bottom w:val="nil"/>
              <w:right w:val="single" w:sz="4" w:space="0" w:color="auto"/>
            </w:tcBorders>
            <w:shd w:val="clear" w:color="auto" w:fill="DBE5F1"/>
          </w:tcPr>
          <w:p w14:paraId="29132B13" w14:textId="5775B9A9" w:rsidR="004A3505" w:rsidRPr="00145C16" w:rsidRDefault="004A3505" w:rsidP="00B42E40">
            <w:pPr>
              <w:keepNext/>
              <w:jc w:val="center"/>
              <w:rPr>
                <w:noProof/>
              </w:rPr>
            </w:pPr>
          </w:p>
        </w:tc>
      </w:tr>
      <w:tr w:rsidR="007241CB" w:rsidRPr="00145C16" w14:paraId="021B2530" w14:textId="77777777" w:rsidTr="007241CB">
        <w:trPr>
          <w:trHeight w:val="29"/>
          <w:jc w:val="center"/>
        </w:trPr>
        <w:tc>
          <w:tcPr>
            <w:tcW w:w="9473" w:type="dxa"/>
            <w:gridSpan w:val="2"/>
            <w:tcBorders>
              <w:top w:val="nil"/>
            </w:tcBorders>
            <w:shd w:val="clear" w:color="auto" w:fill="DBE5F1"/>
          </w:tcPr>
          <w:p w14:paraId="3D65B69B" w14:textId="77777777" w:rsidR="004A3505" w:rsidRPr="00145C16" w:rsidRDefault="004A3505" w:rsidP="00B42E40">
            <w:pPr>
              <w:spacing w:line="276" w:lineRule="auto"/>
              <w:jc w:val="both"/>
              <w:rPr>
                <w:rFonts w:ascii="Times New Roman" w:eastAsia="Times New Roman" w:hAnsi="Times New Roman" w:cs="Times New Roman"/>
                <w:sz w:val="20"/>
                <w:szCs w:val="20"/>
              </w:rPr>
            </w:pPr>
          </w:p>
        </w:tc>
      </w:tr>
    </w:tbl>
    <w:p w14:paraId="1C345BEF" w14:textId="77777777" w:rsidR="004A3505" w:rsidRDefault="004A3505" w:rsidP="0049453E">
      <w:pPr>
        <w:spacing w:line="276" w:lineRule="auto"/>
        <w:jc w:val="both"/>
        <w:rPr>
          <w:rFonts w:ascii="Times New Roman" w:hAnsi="Times New Roman" w:cs="Times New Roman"/>
        </w:rPr>
      </w:pPr>
    </w:p>
    <w:p w14:paraId="54DBB0E6" w14:textId="77777777" w:rsidR="00B55AF2" w:rsidRPr="00B55AF2" w:rsidRDefault="00B55AF2" w:rsidP="00B55AF2">
      <w:pPr>
        <w:keepNext/>
        <w:keepLines/>
        <w:numPr>
          <w:ilvl w:val="0"/>
          <w:numId w:val="2"/>
        </w:numPr>
        <w:spacing w:after="240"/>
        <w:jc w:val="both"/>
        <w:outlineLvl w:val="1"/>
        <w:rPr>
          <w:rFonts w:ascii="Times New Roman" w:eastAsiaTheme="majorEastAsia" w:hAnsi="Times New Roman" w:cs="Times New Roman"/>
          <w:color w:val="2F5496" w:themeColor="accent1" w:themeShade="BF"/>
          <w:sz w:val="26"/>
          <w:szCs w:val="26"/>
        </w:rPr>
      </w:pPr>
      <w:bookmarkStart w:id="36" w:name="_Toc70346644"/>
      <w:bookmarkStart w:id="37" w:name="_Toc105592806"/>
      <w:r w:rsidRPr="00B55AF2">
        <w:rPr>
          <w:rFonts w:ascii="Times New Roman" w:eastAsiaTheme="majorEastAsia" w:hAnsi="Times New Roman" w:cs="Times New Roman"/>
          <w:color w:val="2F5496" w:themeColor="accent1" w:themeShade="BF"/>
          <w:sz w:val="26"/>
          <w:szCs w:val="26"/>
        </w:rPr>
        <w:t>Fiscal and Debt Dynamics</w:t>
      </w:r>
      <w:bookmarkEnd w:id="36"/>
      <w:bookmarkEnd w:id="37"/>
    </w:p>
    <w:p w14:paraId="04CEF361" w14:textId="125B8631" w:rsidR="00610829" w:rsidRDefault="00610829" w:rsidP="00B55AF2">
      <w:pPr>
        <w:shd w:val="clear" w:color="auto" w:fill="FFFFFF" w:themeFill="background1"/>
        <w:overflowPunct w:val="0"/>
        <w:autoSpaceDE w:val="0"/>
        <w:autoSpaceDN w:val="0"/>
        <w:adjustRightInd w:val="0"/>
        <w:spacing w:after="0" w:line="276" w:lineRule="auto"/>
        <w:contextualSpacing/>
        <w:jc w:val="both"/>
        <w:textAlignment w:val="baseline"/>
        <w:rPr>
          <w:rFonts w:ascii="Times New Roman" w:hAnsi="Times New Roman" w:cs="Times New Roman"/>
        </w:rPr>
      </w:pPr>
    </w:p>
    <w:p w14:paraId="5C37B0E2" w14:textId="3F951CD7" w:rsidR="00610829" w:rsidRDefault="00F03527" w:rsidP="00B55AF2">
      <w:pPr>
        <w:shd w:val="clear" w:color="auto" w:fill="FFFFFF" w:themeFill="background1"/>
        <w:overflowPunct w:val="0"/>
        <w:autoSpaceDE w:val="0"/>
        <w:autoSpaceDN w:val="0"/>
        <w:adjustRightInd w:val="0"/>
        <w:spacing w:after="0" w:line="276" w:lineRule="auto"/>
        <w:contextualSpacing/>
        <w:jc w:val="both"/>
        <w:textAlignment w:val="baseline"/>
        <w:rPr>
          <w:rFonts w:ascii="Times New Roman" w:hAnsi="Times New Roman" w:cs="Times New Roman"/>
        </w:rPr>
      </w:pPr>
      <w:r>
        <w:rPr>
          <w:rFonts w:ascii="Times New Roman" w:hAnsi="Times New Roman" w:cs="Times New Roman"/>
          <w:b/>
          <w:bCs/>
        </w:rPr>
        <w:t>4</w:t>
      </w:r>
      <w:r w:rsidR="006A3549">
        <w:rPr>
          <w:rFonts w:ascii="Times New Roman" w:hAnsi="Times New Roman" w:cs="Times New Roman"/>
          <w:b/>
          <w:bCs/>
        </w:rPr>
        <w:t xml:space="preserve">. </w:t>
      </w:r>
      <w:r w:rsidR="0089041E">
        <w:rPr>
          <w:rFonts w:ascii="Times New Roman" w:hAnsi="Times New Roman" w:cs="Times New Roman"/>
          <w:b/>
          <w:bCs/>
        </w:rPr>
        <w:t>Driven by</w:t>
      </w:r>
      <w:r w:rsidR="00F73BCD" w:rsidRPr="00370386">
        <w:rPr>
          <w:rFonts w:ascii="Times New Roman" w:hAnsi="Times New Roman" w:cs="Times New Roman"/>
          <w:b/>
          <w:bCs/>
        </w:rPr>
        <w:t xml:space="preserve"> the </w:t>
      </w:r>
      <w:r w:rsidR="00610829" w:rsidRPr="00370386">
        <w:rPr>
          <w:rFonts w:ascii="Times New Roman" w:hAnsi="Times New Roman" w:cs="Times New Roman"/>
          <w:b/>
          <w:bCs/>
        </w:rPr>
        <w:t>gradual recovery of the economy</w:t>
      </w:r>
      <w:r w:rsidR="00F73BCD" w:rsidRPr="00370386">
        <w:rPr>
          <w:rFonts w:ascii="Times New Roman" w:hAnsi="Times New Roman" w:cs="Times New Roman"/>
          <w:b/>
          <w:bCs/>
        </w:rPr>
        <w:t xml:space="preserve"> in 2021</w:t>
      </w:r>
      <w:r w:rsidR="00370386" w:rsidRPr="00370386">
        <w:rPr>
          <w:rFonts w:ascii="Times New Roman" w:hAnsi="Times New Roman" w:cs="Times New Roman"/>
          <w:b/>
          <w:bCs/>
        </w:rPr>
        <w:t>,</w:t>
      </w:r>
      <w:r w:rsidR="00370386">
        <w:t xml:space="preserve"> </w:t>
      </w:r>
      <w:r w:rsidR="00370386" w:rsidRPr="0009236D">
        <w:rPr>
          <w:rFonts w:ascii="Times New Roman" w:hAnsi="Times New Roman" w:cs="Times New Roman"/>
          <w:b/>
          <w:bCs/>
        </w:rPr>
        <w:t>f</w:t>
      </w:r>
      <w:r w:rsidR="00F73BCD" w:rsidRPr="0009236D">
        <w:rPr>
          <w:rFonts w:ascii="Times New Roman" w:hAnsi="Times New Roman" w:cs="Times New Roman"/>
          <w:b/>
          <w:bCs/>
        </w:rPr>
        <w:t>iscal revenues</w:t>
      </w:r>
      <w:r w:rsidR="00F73BCD" w:rsidRPr="00F73BCD">
        <w:rPr>
          <w:rFonts w:ascii="Times New Roman" w:hAnsi="Times New Roman" w:cs="Times New Roman"/>
          <w:b/>
          <w:bCs/>
        </w:rPr>
        <w:t xml:space="preserve"> increased </w:t>
      </w:r>
      <w:r w:rsidR="00AD2856">
        <w:rPr>
          <w:rFonts w:ascii="Times New Roman" w:hAnsi="Times New Roman" w:cs="Times New Roman"/>
          <w:b/>
          <w:bCs/>
        </w:rPr>
        <w:t xml:space="preserve">by </w:t>
      </w:r>
      <w:r w:rsidR="00000A85">
        <w:rPr>
          <w:rFonts w:ascii="Times New Roman" w:hAnsi="Times New Roman" w:cs="Times New Roman"/>
          <w:b/>
          <w:bCs/>
        </w:rPr>
        <w:t>2.5</w:t>
      </w:r>
      <w:r w:rsidR="00795D30" w:rsidRPr="00982EFD">
        <w:rPr>
          <w:rFonts w:ascii="Times New Roman" w:hAnsi="Times New Roman" w:cs="Times New Roman"/>
          <w:b/>
          <w:bCs/>
        </w:rPr>
        <w:t xml:space="preserve"> </w:t>
      </w:r>
      <w:r w:rsidR="00795D30">
        <w:rPr>
          <w:rFonts w:ascii="Times New Roman" w:hAnsi="Times New Roman" w:cs="Times New Roman"/>
          <w:b/>
          <w:bCs/>
        </w:rPr>
        <w:t>percent</w:t>
      </w:r>
      <w:r w:rsidR="00610829" w:rsidRPr="00610829">
        <w:rPr>
          <w:rFonts w:ascii="Times New Roman" w:hAnsi="Times New Roman" w:cs="Times New Roman"/>
          <w:b/>
          <w:bCs/>
        </w:rPr>
        <w:t xml:space="preserve">, reaching </w:t>
      </w:r>
      <w:r w:rsidR="00610829" w:rsidRPr="00982EFD">
        <w:rPr>
          <w:rFonts w:ascii="Times New Roman" w:hAnsi="Times New Roman" w:cs="Times New Roman"/>
          <w:b/>
          <w:bCs/>
        </w:rPr>
        <w:t>2</w:t>
      </w:r>
      <w:r w:rsidR="00000A85">
        <w:rPr>
          <w:rFonts w:ascii="Times New Roman" w:hAnsi="Times New Roman" w:cs="Times New Roman"/>
          <w:b/>
          <w:bCs/>
        </w:rPr>
        <w:t>5.8</w:t>
      </w:r>
      <w:r w:rsidR="00610829" w:rsidRPr="00982EFD">
        <w:rPr>
          <w:rFonts w:ascii="Times New Roman" w:hAnsi="Times New Roman" w:cs="Times New Roman"/>
          <w:b/>
          <w:bCs/>
        </w:rPr>
        <w:t xml:space="preserve"> </w:t>
      </w:r>
      <w:r w:rsidR="00610829" w:rsidRPr="00610829">
        <w:rPr>
          <w:rFonts w:ascii="Times New Roman" w:hAnsi="Times New Roman" w:cs="Times New Roman"/>
          <w:b/>
          <w:bCs/>
        </w:rPr>
        <w:t>percent of GDP</w:t>
      </w:r>
      <w:r w:rsidR="00000A85">
        <w:rPr>
          <w:rFonts w:ascii="Times New Roman" w:hAnsi="Times New Roman" w:cs="Times New Roman"/>
          <w:b/>
          <w:bCs/>
        </w:rPr>
        <w:t>.</w:t>
      </w:r>
      <w:r w:rsidR="00610829" w:rsidRPr="00610829">
        <w:rPr>
          <w:rFonts w:ascii="Times New Roman" w:hAnsi="Times New Roman" w:cs="Times New Roman"/>
        </w:rPr>
        <w:t xml:space="preserve"> With the reopening of the country to tourism and </w:t>
      </w:r>
      <w:r w:rsidR="0065563D">
        <w:rPr>
          <w:rFonts w:ascii="Times New Roman" w:hAnsi="Times New Roman" w:cs="Times New Roman"/>
        </w:rPr>
        <w:t>its</w:t>
      </w:r>
      <w:r w:rsidR="006B5F57">
        <w:rPr>
          <w:rFonts w:ascii="Times New Roman" w:hAnsi="Times New Roman" w:cs="Times New Roman"/>
        </w:rPr>
        <w:t xml:space="preserve"> spillover effects in</w:t>
      </w:r>
      <w:r w:rsidR="001B0F68">
        <w:rPr>
          <w:rFonts w:ascii="Times New Roman" w:hAnsi="Times New Roman" w:cs="Times New Roman"/>
        </w:rPr>
        <w:t>to</w:t>
      </w:r>
      <w:r w:rsidR="006B5F57">
        <w:rPr>
          <w:rFonts w:ascii="Times New Roman" w:hAnsi="Times New Roman" w:cs="Times New Roman"/>
        </w:rPr>
        <w:t xml:space="preserve"> other se</w:t>
      </w:r>
      <w:r w:rsidR="00264A9B">
        <w:rPr>
          <w:rFonts w:ascii="Times New Roman" w:hAnsi="Times New Roman" w:cs="Times New Roman"/>
        </w:rPr>
        <w:t>ctors</w:t>
      </w:r>
      <w:r w:rsidR="00610829" w:rsidRPr="00610829">
        <w:rPr>
          <w:rFonts w:ascii="Times New Roman" w:hAnsi="Times New Roman" w:cs="Times New Roman"/>
        </w:rPr>
        <w:t xml:space="preserve">, </w:t>
      </w:r>
      <w:r w:rsidR="00264A9B">
        <w:rPr>
          <w:rFonts w:ascii="Times New Roman" w:hAnsi="Times New Roman" w:cs="Times New Roman"/>
        </w:rPr>
        <w:t>tax</w:t>
      </w:r>
      <w:r w:rsidR="00610829" w:rsidRPr="00610829">
        <w:rPr>
          <w:rFonts w:ascii="Times New Roman" w:hAnsi="Times New Roman" w:cs="Times New Roman"/>
        </w:rPr>
        <w:t xml:space="preserve"> revenues </w:t>
      </w:r>
      <w:r w:rsidR="00B717C9">
        <w:rPr>
          <w:rFonts w:ascii="Times New Roman" w:hAnsi="Times New Roman" w:cs="Times New Roman"/>
        </w:rPr>
        <w:t>reached</w:t>
      </w:r>
      <w:r w:rsidR="00610829" w:rsidRPr="00610829">
        <w:rPr>
          <w:rFonts w:ascii="Times New Roman" w:hAnsi="Times New Roman" w:cs="Times New Roman"/>
        </w:rPr>
        <w:t xml:space="preserve"> CVE </w:t>
      </w:r>
      <w:r w:rsidR="008860CA" w:rsidRPr="0042642A">
        <w:rPr>
          <w:rFonts w:ascii="Times New Roman" w:hAnsi="Times New Roman" w:cs="Times New Roman"/>
        </w:rPr>
        <w:t>3</w:t>
      </w:r>
      <w:r w:rsidR="00DD6C7F">
        <w:rPr>
          <w:rFonts w:ascii="Times New Roman" w:hAnsi="Times New Roman" w:cs="Times New Roman"/>
        </w:rPr>
        <w:t>3</w:t>
      </w:r>
      <w:r w:rsidR="00610829" w:rsidRPr="00EE5C53">
        <w:rPr>
          <w:rFonts w:ascii="Times New Roman" w:hAnsi="Times New Roman" w:cs="Times New Roman"/>
          <w:color w:val="FF0000"/>
        </w:rPr>
        <w:t xml:space="preserve"> </w:t>
      </w:r>
      <w:r w:rsidR="00610829" w:rsidRPr="00610829">
        <w:rPr>
          <w:rFonts w:ascii="Times New Roman" w:hAnsi="Times New Roman" w:cs="Times New Roman"/>
        </w:rPr>
        <w:t xml:space="preserve">billion (USD </w:t>
      </w:r>
      <w:r w:rsidR="008860CA" w:rsidRPr="00E34EF8">
        <w:rPr>
          <w:rFonts w:ascii="Times New Roman" w:hAnsi="Times New Roman" w:cs="Times New Roman"/>
        </w:rPr>
        <w:t>3</w:t>
      </w:r>
      <w:r w:rsidR="00BA2C4A">
        <w:rPr>
          <w:rFonts w:ascii="Times New Roman" w:hAnsi="Times New Roman" w:cs="Times New Roman"/>
        </w:rPr>
        <w:t>3</w:t>
      </w:r>
      <w:r w:rsidR="00E34EF8" w:rsidRPr="00E34EF8">
        <w:rPr>
          <w:rFonts w:ascii="Times New Roman" w:hAnsi="Times New Roman" w:cs="Times New Roman"/>
        </w:rPr>
        <w:t>9</w:t>
      </w:r>
      <w:r w:rsidR="00610829" w:rsidRPr="00610829">
        <w:rPr>
          <w:rFonts w:ascii="Times New Roman" w:hAnsi="Times New Roman" w:cs="Times New Roman"/>
        </w:rPr>
        <w:t xml:space="preserve"> million) in 2021, </w:t>
      </w:r>
      <w:r w:rsidR="005C5BF1">
        <w:rPr>
          <w:rFonts w:ascii="Times New Roman" w:hAnsi="Times New Roman" w:cs="Times New Roman"/>
        </w:rPr>
        <w:t xml:space="preserve">an increase of </w:t>
      </w:r>
      <w:r w:rsidR="001C3576">
        <w:rPr>
          <w:rFonts w:ascii="Times New Roman" w:hAnsi="Times New Roman" w:cs="Times New Roman"/>
        </w:rPr>
        <w:t>2.7</w:t>
      </w:r>
      <w:r w:rsidR="00610829" w:rsidRPr="00610829">
        <w:rPr>
          <w:rFonts w:ascii="Times New Roman" w:hAnsi="Times New Roman" w:cs="Times New Roman"/>
        </w:rPr>
        <w:t xml:space="preserve"> percent </w:t>
      </w:r>
      <w:r w:rsidR="005C5BF1">
        <w:rPr>
          <w:rFonts w:ascii="Times New Roman" w:hAnsi="Times New Roman" w:cs="Times New Roman"/>
        </w:rPr>
        <w:t xml:space="preserve">compared to </w:t>
      </w:r>
      <w:r w:rsidR="002C4389">
        <w:rPr>
          <w:rFonts w:ascii="Times New Roman" w:hAnsi="Times New Roman" w:cs="Times New Roman"/>
        </w:rPr>
        <w:t>2020</w:t>
      </w:r>
      <w:r w:rsidR="00610829" w:rsidRPr="00610829">
        <w:rPr>
          <w:rFonts w:ascii="Times New Roman" w:hAnsi="Times New Roman" w:cs="Times New Roman"/>
        </w:rPr>
        <w:t xml:space="preserve">. All sources of taxes increased, except taxes on income and profit, which continued with a poor performance due to </w:t>
      </w:r>
      <w:r w:rsidR="00B07A31">
        <w:rPr>
          <w:rFonts w:ascii="Times New Roman" w:hAnsi="Times New Roman" w:cs="Times New Roman"/>
        </w:rPr>
        <w:t>the</w:t>
      </w:r>
      <w:r w:rsidR="00610829" w:rsidRPr="00610829">
        <w:rPr>
          <w:rFonts w:ascii="Times New Roman" w:hAnsi="Times New Roman" w:cs="Times New Roman"/>
        </w:rPr>
        <w:t xml:space="preserve"> COVID-19 measures to protect companies, jobs, and income </w:t>
      </w:r>
      <w:r w:rsidR="00716E9D">
        <w:rPr>
          <w:rFonts w:ascii="Times New Roman" w:hAnsi="Times New Roman" w:cs="Times New Roman"/>
        </w:rPr>
        <w:t xml:space="preserve">still </w:t>
      </w:r>
      <w:r w:rsidR="00405586">
        <w:rPr>
          <w:rFonts w:ascii="Times New Roman" w:hAnsi="Times New Roman" w:cs="Times New Roman"/>
        </w:rPr>
        <w:t>in place in</w:t>
      </w:r>
      <w:r w:rsidR="00610829" w:rsidRPr="00610829">
        <w:rPr>
          <w:rFonts w:ascii="Times New Roman" w:hAnsi="Times New Roman" w:cs="Times New Roman"/>
        </w:rPr>
        <w:t xml:space="preserve"> 2021</w:t>
      </w:r>
      <w:r w:rsidR="004E73E6">
        <w:rPr>
          <w:rFonts w:ascii="Times New Roman" w:hAnsi="Times New Roman" w:cs="Times New Roman"/>
        </w:rPr>
        <w:t>(</w:t>
      </w:r>
      <w:r w:rsidR="00610829" w:rsidRPr="00610829">
        <w:rPr>
          <w:rFonts w:ascii="Times New Roman" w:hAnsi="Times New Roman" w:cs="Times New Roman"/>
        </w:rPr>
        <w:t>installment payments on taxes, suspension of coercive collection of taxes, and lay-off scheme</w:t>
      </w:r>
      <w:r w:rsidR="004E73E6">
        <w:rPr>
          <w:rFonts w:ascii="Times New Roman" w:hAnsi="Times New Roman" w:cs="Times New Roman"/>
        </w:rPr>
        <w:t>)</w:t>
      </w:r>
      <w:r w:rsidR="00610829" w:rsidRPr="00610829">
        <w:rPr>
          <w:rFonts w:ascii="Times New Roman" w:hAnsi="Times New Roman" w:cs="Times New Roman"/>
        </w:rPr>
        <w:t xml:space="preserve">. Decreased economic activity in 2020 also had a negative impact on the annual profit tax paid by firms in 2021. Taxes on goods and services and on international trade increased by </w:t>
      </w:r>
      <w:r w:rsidR="007A3D42">
        <w:rPr>
          <w:rFonts w:ascii="Times New Roman" w:hAnsi="Times New Roman" w:cs="Times New Roman"/>
        </w:rPr>
        <w:t>4.1</w:t>
      </w:r>
      <w:r w:rsidR="00610829" w:rsidRPr="00610829">
        <w:rPr>
          <w:rFonts w:ascii="Times New Roman" w:hAnsi="Times New Roman" w:cs="Times New Roman"/>
        </w:rPr>
        <w:t xml:space="preserve"> and </w:t>
      </w:r>
      <w:r w:rsidR="00610829" w:rsidRPr="00BC7CEB">
        <w:rPr>
          <w:rFonts w:ascii="Times New Roman" w:hAnsi="Times New Roman" w:cs="Times New Roman"/>
        </w:rPr>
        <w:t>1</w:t>
      </w:r>
      <w:r w:rsidR="00E36EDA">
        <w:rPr>
          <w:rFonts w:ascii="Times New Roman" w:hAnsi="Times New Roman" w:cs="Times New Roman"/>
        </w:rPr>
        <w:t>9.7</w:t>
      </w:r>
      <w:r w:rsidR="00610829" w:rsidRPr="00610829">
        <w:rPr>
          <w:rFonts w:ascii="Times New Roman" w:hAnsi="Times New Roman" w:cs="Times New Roman"/>
        </w:rPr>
        <w:t xml:space="preserve"> percent, respectively, compared to 2020, reflecting </w:t>
      </w:r>
      <w:r w:rsidR="00806B8E">
        <w:rPr>
          <w:rFonts w:ascii="Times New Roman" w:hAnsi="Times New Roman" w:cs="Times New Roman"/>
        </w:rPr>
        <w:t>the rebound</w:t>
      </w:r>
      <w:r w:rsidR="00610829" w:rsidRPr="00610829">
        <w:rPr>
          <w:rFonts w:ascii="Times New Roman" w:hAnsi="Times New Roman" w:cs="Times New Roman"/>
        </w:rPr>
        <w:t xml:space="preserve"> in economic activity and </w:t>
      </w:r>
      <w:r w:rsidR="00C55D8A">
        <w:rPr>
          <w:rFonts w:ascii="Times New Roman" w:hAnsi="Times New Roman" w:cs="Times New Roman"/>
        </w:rPr>
        <w:t xml:space="preserve">increase </w:t>
      </w:r>
      <w:r w:rsidR="00A43F0F">
        <w:rPr>
          <w:rFonts w:ascii="Times New Roman" w:hAnsi="Times New Roman" w:cs="Times New Roman"/>
        </w:rPr>
        <w:t xml:space="preserve">in </w:t>
      </w:r>
      <w:r w:rsidR="00610829" w:rsidRPr="00610829">
        <w:rPr>
          <w:rFonts w:ascii="Times New Roman" w:hAnsi="Times New Roman" w:cs="Times New Roman"/>
        </w:rPr>
        <w:t>imports</w:t>
      </w:r>
      <w:r w:rsidR="00D35F47">
        <w:rPr>
          <w:rFonts w:ascii="Times New Roman" w:hAnsi="Times New Roman" w:cs="Times New Roman"/>
        </w:rPr>
        <w:t xml:space="preserve"> (Annex 1)</w:t>
      </w:r>
      <w:r w:rsidR="00610829" w:rsidRPr="00610829">
        <w:rPr>
          <w:rFonts w:ascii="Times New Roman" w:hAnsi="Times New Roman" w:cs="Times New Roman"/>
        </w:rPr>
        <w:t>. Non-tax revenue increased</w:t>
      </w:r>
      <w:r w:rsidR="00766CF7">
        <w:rPr>
          <w:rFonts w:ascii="Times New Roman" w:hAnsi="Times New Roman" w:cs="Times New Roman"/>
        </w:rPr>
        <w:t xml:space="preserve"> </w:t>
      </w:r>
      <w:r w:rsidR="00E36EDA">
        <w:rPr>
          <w:rFonts w:ascii="Times New Roman" w:hAnsi="Times New Roman" w:cs="Times New Roman"/>
        </w:rPr>
        <w:t>by</w:t>
      </w:r>
      <w:r w:rsidR="00610829" w:rsidRPr="00610829">
        <w:rPr>
          <w:rFonts w:ascii="Times New Roman" w:hAnsi="Times New Roman" w:cs="Times New Roman"/>
        </w:rPr>
        <w:t xml:space="preserve"> </w:t>
      </w:r>
      <w:r w:rsidR="00DD0535">
        <w:rPr>
          <w:rFonts w:ascii="Times New Roman" w:hAnsi="Times New Roman" w:cs="Times New Roman"/>
        </w:rPr>
        <w:t>11.3</w:t>
      </w:r>
      <w:r w:rsidR="00610829" w:rsidRPr="00E23B0A">
        <w:rPr>
          <w:rFonts w:ascii="Times New Roman" w:hAnsi="Times New Roman" w:cs="Times New Roman"/>
        </w:rPr>
        <w:t xml:space="preserve"> </w:t>
      </w:r>
      <w:r w:rsidR="00610829" w:rsidRPr="00610829">
        <w:rPr>
          <w:rFonts w:ascii="Times New Roman" w:hAnsi="Times New Roman" w:cs="Times New Roman"/>
        </w:rPr>
        <w:t xml:space="preserve">percent of GDP, </w:t>
      </w:r>
      <w:r w:rsidR="00DD0535">
        <w:rPr>
          <w:rFonts w:ascii="Times New Roman" w:hAnsi="Times New Roman" w:cs="Times New Roman"/>
        </w:rPr>
        <w:t>reaching 4 percent of GDP</w:t>
      </w:r>
      <w:r w:rsidR="00CF1E8E">
        <w:rPr>
          <w:rFonts w:ascii="Times New Roman" w:hAnsi="Times New Roman" w:cs="Times New Roman"/>
        </w:rPr>
        <w:t xml:space="preserve">, </w:t>
      </w:r>
      <w:r w:rsidR="00610829" w:rsidRPr="00610829">
        <w:rPr>
          <w:rFonts w:ascii="Times New Roman" w:hAnsi="Times New Roman" w:cs="Times New Roman"/>
        </w:rPr>
        <w:t xml:space="preserve">mainly </w:t>
      </w:r>
      <w:r w:rsidR="00DB297D" w:rsidRPr="00623486">
        <w:rPr>
          <w:rFonts w:ascii="Times New Roman" w:hAnsi="Times New Roman" w:cs="Times New Roman"/>
        </w:rPr>
        <w:t xml:space="preserve">reflecting </w:t>
      </w:r>
      <w:r w:rsidR="00DB297D">
        <w:rPr>
          <w:rFonts w:ascii="Times New Roman" w:hAnsi="Times New Roman" w:cs="Times New Roman"/>
        </w:rPr>
        <w:t>an</w:t>
      </w:r>
      <w:r w:rsidR="009F13DF">
        <w:rPr>
          <w:rFonts w:ascii="Times New Roman" w:hAnsi="Times New Roman" w:cs="Times New Roman"/>
        </w:rPr>
        <w:t xml:space="preserve"> increase </w:t>
      </w:r>
      <w:r w:rsidR="00753B8E">
        <w:rPr>
          <w:rFonts w:ascii="Times New Roman" w:hAnsi="Times New Roman" w:cs="Times New Roman"/>
        </w:rPr>
        <w:t>in revenu</w:t>
      </w:r>
      <w:r w:rsidR="00943492">
        <w:rPr>
          <w:rFonts w:ascii="Times New Roman" w:hAnsi="Times New Roman" w:cs="Times New Roman"/>
        </w:rPr>
        <w:t>e</w:t>
      </w:r>
      <w:r w:rsidR="00AC16DB">
        <w:rPr>
          <w:rFonts w:ascii="Times New Roman" w:hAnsi="Times New Roman" w:cs="Times New Roman"/>
        </w:rPr>
        <w:t>s</w:t>
      </w:r>
      <w:r w:rsidR="00C11DA2">
        <w:rPr>
          <w:rFonts w:ascii="Times New Roman" w:hAnsi="Times New Roman" w:cs="Times New Roman"/>
        </w:rPr>
        <w:t xml:space="preserve"> from the specific </w:t>
      </w:r>
      <w:r w:rsidR="005529E4">
        <w:rPr>
          <w:rFonts w:ascii="Times New Roman" w:hAnsi="Times New Roman" w:cs="Times New Roman"/>
        </w:rPr>
        <w:t>fee</w:t>
      </w:r>
      <w:r w:rsidR="00C11DA2">
        <w:rPr>
          <w:rFonts w:ascii="Times New Roman" w:hAnsi="Times New Roman" w:cs="Times New Roman"/>
        </w:rPr>
        <w:t xml:space="preserve"> on tobacco, </w:t>
      </w:r>
      <w:r w:rsidR="007518EE">
        <w:rPr>
          <w:rFonts w:ascii="Times New Roman" w:hAnsi="Times New Roman" w:cs="Times New Roman"/>
        </w:rPr>
        <w:t>hospital medical services</w:t>
      </w:r>
      <w:r w:rsidR="00B015CD">
        <w:rPr>
          <w:rFonts w:ascii="Times New Roman" w:hAnsi="Times New Roman" w:cs="Times New Roman"/>
        </w:rPr>
        <w:t>,</w:t>
      </w:r>
      <w:r w:rsidR="007518EE">
        <w:rPr>
          <w:rFonts w:ascii="Times New Roman" w:hAnsi="Times New Roman" w:cs="Times New Roman"/>
        </w:rPr>
        <w:t xml:space="preserve"> and </w:t>
      </w:r>
      <w:r w:rsidR="00B12D9E">
        <w:rPr>
          <w:rFonts w:ascii="Times New Roman" w:hAnsi="Times New Roman" w:cs="Times New Roman"/>
        </w:rPr>
        <w:t xml:space="preserve">registry and notary </w:t>
      </w:r>
      <w:r w:rsidR="00B12D9E">
        <w:rPr>
          <w:rFonts w:ascii="Times New Roman" w:hAnsi="Times New Roman" w:cs="Times New Roman"/>
        </w:rPr>
        <w:lastRenderedPageBreak/>
        <w:t>fees</w:t>
      </w:r>
      <w:r w:rsidR="00CB0369" w:rsidRPr="00CB0369">
        <w:rPr>
          <w:rFonts w:ascii="Times New Roman" w:hAnsi="Times New Roman" w:cs="Times New Roman"/>
        </w:rPr>
        <w:t>.</w:t>
      </w:r>
      <w:r w:rsidR="00610829" w:rsidRPr="00610829">
        <w:rPr>
          <w:rFonts w:ascii="Times New Roman" w:hAnsi="Times New Roman" w:cs="Times New Roman"/>
        </w:rPr>
        <w:t xml:space="preserve"> Grants accounted for 2.</w:t>
      </w:r>
      <w:r w:rsidR="00CF1E8E">
        <w:rPr>
          <w:rFonts w:ascii="Times New Roman" w:hAnsi="Times New Roman" w:cs="Times New Roman"/>
        </w:rPr>
        <w:t>3</w:t>
      </w:r>
      <w:r w:rsidR="00610829" w:rsidRPr="00610829">
        <w:rPr>
          <w:rFonts w:ascii="Times New Roman" w:hAnsi="Times New Roman" w:cs="Times New Roman"/>
        </w:rPr>
        <w:t xml:space="preserve"> percent of GDP in 2021, </w:t>
      </w:r>
      <w:r w:rsidR="00CF1E8E">
        <w:rPr>
          <w:rFonts w:ascii="Times New Roman" w:hAnsi="Times New Roman" w:cs="Times New Roman"/>
        </w:rPr>
        <w:t>1</w:t>
      </w:r>
      <w:r w:rsidR="00610829" w:rsidRPr="00610829">
        <w:rPr>
          <w:rFonts w:ascii="Times New Roman" w:hAnsi="Times New Roman" w:cs="Times New Roman"/>
        </w:rPr>
        <w:t xml:space="preserve"> percentage points lower than in 2020</w:t>
      </w:r>
      <w:r w:rsidR="00BE3EB4">
        <w:rPr>
          <w:rFonts w:ascii="Times New Roman" w:hAnsi="Times New Roman" w:cs="Times New Roman"/>
        </w:rPr>
        <w:t xml:space="preserve">, </w:t>
      </w:r>
      <w:r w:rsidR="00BE3EB4" w:rsidRPr="00BE3EB4">
        <w:rPr>
          <w:rFonts w:ascii="Times New Roman" w:hAnsi="Times New Roman" w:cs="Times New Roman"/>
        </w:rPr>
        <w:t>since part of the grants were frontloaded in 2020 to help the country cope with the crisis</w:t>
      </w:r>
      <w:r w:rsidR="00610829" w:rsidRPr="00610829">
        <w:rPr>
          <w:rFonts w:ascii="Times New Roman" w:hAnsi="Times New Roman" w:cs="Times New Roman"/>
        </w:rPr>
        <w:t>.</w:t>
      </w:r>
    </w:p>
    <w:p w14:paraId="3C3B1DF6" w14:textId="15DF3BEF" w:rsidR="00AD137B" w:rsidRPr="00AD137B" w:rsidRDefault="00AD137B" w:rsidP="00AD137B">
      <w:pPr>
        <w:overflowPunct w:val="0"/>
        <w:autoSpaceDE w:val="0"/>
        <w:autoSpaceDN w:val="0"/>
        <w:adjustRightInd w:val="0"/>
        <w:spacing w:line="240" w:lineRule="auto"/>
        <w:contextualSpacing/>
        <w:jc w:val="both"/>
        <w:textAlignment w:val="baseline"/>
        <w:rPr>
          <w:rFonts w:ascii="Times New Roman" w:hAnsi="Times New Roman" w:cs="Times New Roman"/>
          <w:sz w:val="18"/>
          <w:szCs w:val="18"/>
        </w:rPr>
      </w:pPr>
    </w:p>
    <w:p w14:paraId="5AE7F7C7" w14:textId="3031A33E" w:rsidR="005E2EBD" w:rsidRDefault="005E2EBD" w:rsidP="00AD137B">
      <w:pPr>
        <w:shd w:val="clear" w:color="auto" w:fill="FFFFFF" w:themeFill="background1"/>
        <w:overflowPunct w:val="0"/>
        <w:autoSpaceDE w:val="0"/>
        <w:autoSpaceDN w:val="0"/>
        <w:adjustRightInd w:val="0"/>
        <w:spacing w:after="0" w:line="276" w:lineRule="auto"/>
        <w:contextualSpacing/>
        <w:textAlignment w:val="baseline"/>
        <w:rPr>
          <w:rFonts w:ascii="Times New Roman" w:hAnsi="Times New Roman" w:cs="Times New Roman"/>
          <w:b/>
          <w:bCs/>
          <w:color w:val="2F5496" w:themeColor="accent1" w:themeShade="BF"/>
        </w:rPr>
      </w:pPr>
    </w:p>
    <w:p w14:paraId="7EE566B8" w14:textId="6F9D4852" w:rsidR="00176960" w:rsidRDefault="00F03527" w:rsidP="00B55AF2">
      <w:pPr>
        <w:shd w:val="clear" w:color="auto" w:fill="FFFFFF" w:themeFill="background1"/>
        <w:overflowPunct w:val="0"/>
        <w:autoSpaceDE w:val="0"/>
        <w:autoSpaceDN w:val="0"/>
        <w:adjustRightInd w:val="0"/>
        <w:spacing w:after="0" w:line="276" w:lineRule="auto"/>
        <w:contextualSpacing/>
        <w:jc w:val="both"/>
        <w:textAlignment w:val="baseline"/>
        <w:rPr>
          <w:rFonts w:ascii="Times New Roman" w:hAnsi="Times New Roman" w:cs="Times New Roman"/>
        </w:rPr>
      </w:pPr>
      <w:r>
        <w:rPr>
          <w:rFonts w:ascii="Times New Roman" w:hAnsi="Times New Roman" w:cs="Times New Roman"/>
          <w:b/>
          <w:bCs/>
        </w:rPr>
        <w:t>5</w:t>
      </w:r>
      <w:r w:rsidR="006A3549">
        <w:rPr>
          <w:rFonts w:ascii="Times New Roman" w:hAnsi="Times New Roman" w:cs="Times New Roman"/>
          <w:b/>
          <w:bCs/>
        </w:rPr>
        <w:t xml:space="preserve">. </w:t>
      </w:r>
      <w:r w:rsidR="0086776F" w:rsidRPr="00176960">
        <w:rPr>
          <w:rFonts w:ascii="Times New Roman" w:hAnsi="Times New Roman" w:cs="Times New Roman"/>
          <w:b/>
          <w:bCs/>
        </w:rPr>
        <w:t xml:space="preserve">Total </w:t>
      </w:r>
      <w:r w:rsidR="0086776F">
        <w:rPr>
          <w:rFonts w:ascii="Times New Roman" w:hAnsi="Times New Roman" w:cs="Times New Roman"/>
          <w:b/>
          <w:bCs/>
        </w:rPr>
        <w:t>expenditure</w:t>
      </w:r>
      <w:r w:rsidR="00176960" w:rsidRPr="00176960">
        <w:rPr>
          <w:rFonts w:ascii="Times New Roman" w:hAnsi="Times New Roman" w:cs="Times New Roman"/>
          <w:b/>
          <w:bCs/>
        </w:rPr>
        <w:t xml:space="preserve"> increased by </w:t>
      </w:r>
      <w:r w:rsidR="00112305" w:rsidRPr="00022D49">
        <w:rPr>
          <w:rFonts w:ascii="Times New Roman" w:hAnsi="Times New Roman" w:cs="Times New Roman"/>
          <w:b/>
          <w:bCs/>
        </w:rPr>
        <w:t>3</w:t>
      </w:r>
      <w:r w:rsidR="00176960" w:rsidRPr="00022D49">
        <w:rPr>
          <w:rFonts w:ascii="Times New Roman" w:hAnsi="Times New Roman" w:cs="Times New Roman"/>
          <w:b/>
          <w:bCs/>
        </w:rPr>
        <w:t xml:space="preserve"> </w:t>
      </w:r>
      <w:r w:rsidR="00176960" w:rsidRPr="00176960">
        <w:rPr>
          <w:rFonts w:ascii="Times New Roman" w:hAnsi="Times New Roman" w:cs="Times New Roman"/>
          <w:b/>
          <w:bCs/>
        </w:rPr>
        <w:t>percent in 2021 due to additional measures put in place to address protracted effects of the COVID-19 crisis</w:t>
      </w:r>
      <w:r w:rsidR="00184C05">
        <w:rPr>
          <w:rFonts w:ascii="Times New Roman" w:hAnsi="Times New Roman" w:cs="Times New Roman"/>
          <w:b/>
          <w:bCs/>
        </w:rPr>
        <w:t xml:space="preserve">, reaching 34.6 percent </w:t>
      </w:r>
      <w:r w:rsidR="00E25B00">
        <w:rPr>
          <w:rFonts w:ascii="Times New Roman" w:hAnsi="Times New Roman" w:cs="Times New Roman"/>
          <w:b/>
          <w:bCs/>
        </w:rPr>
        <w:t>of GDP</w:t>
      </w:r>
      <w:r w:rsidR="00176960" w:rsidRPr="00176960">
        <w:rPr>
          <w:rFonts w:ascii="Times New Roman" w:hAnsi="Times New Roman" w:cs="Times New Roman"/>
          <w:b/>
          <w:bCs/>
        </w:rPr>
        <w:t>.</w:t>
      </w:r>
      <w:r w:rsidR="00176960" w:rsidRPr="00176960">
        <w:rPr>
          <w:rFonts w:ascii="Times New Roman" w:hAnsi="Times New Roman" w:cs="Times New Roman"/>
        </w:rPr>
        <w:t xml:space="preserve"> Current spending increased by </w:t>
      </w:r>
      <w:r w:rsidR="00E25B00">
        <w:rPr>
          <w:rFonts w:ascii="Times New Roman" w:hAnsi="Times New Roman" w:cs="Times New Roman"/>
        </w:rPr>
        <w:t>2.6</w:t>
      </w:r>
      <w:r w:rsidR="00176960" w:rsidRPr="00176960">
        <w:rPr>
          <w:rFonts w:ascii="Times New Roman" w:hAnsi="Times New Roman" w:cs="Times New Roman"/>
        </w:rPr>
        <w:t xml:space="preserve"> percent, reflect</w:t>
      </w:r>
      <w:r w:rsidR="00440C90">
        <w:rPr>
          <w:rFonts w:ascii="Times New Roman" w:hAnsi="Times New Roman" w:cs="Times New Roman"/>
        </w:rPr>
        <w:t>ing</w:t>
      </w:r>
      <w:r w:rsidR="00176960" w:rsidRPr="00176960">
        <w:rPr>
          <w:rFonts w:ascii="Times New Roman" w:hAnsi="Times New Roman" w:cs="Times New Roman"/>
        </w:rPr>
        <w:t xml:space="preserve"> </w:t>
      </w:r>
      <w:r w:rsidR="00CC0E44">
        <w:rPr>
          <w:rFonts w:ascii="Times New Roman" w:hAnsi="Times New Roman" w:cs="Times New Roman"/>
        </w:rPr>
        <w:t>continued</w:t>
      </w:r>
      <w:r w:rsidR="00176960" w:rsidRPr="00176960">
        <w:rPr>
          <w:rFonts w:ascii="Times New Roman" w:hAnsi="Times New Roman" w:cs="Times New Roman"/>
        </w:rPr>
        <w:t xml:space="preserve"> spending </w:t>
      </w:r>
      <w:r w:rsidR="00CC0E44">
        <w:rPr>
          <w:rFonts w:ascii="Times New Roman" w:hAnsi="Times New Roman" w:cs="Times New Roman"/>
        </w:rPr>
        <w:t>with</w:t>
      </w:r>
      <w:r w:rsidR="00176960" w:rsidRPr="00176960">
        <w:rPr>
          <w:rFonts w:ascii="Times New Roman" w:hAnsi="Times New Roman" w:cs="Times New Roman"/>
        </w:rPr>
        <w:t xml:space="preserve"> public health services, disease prevention and control, and support for hard-hit sectors. In addition, the increase in current spending also reflects the phased implementation of the </w:t>
      </w:r>
      <w:r w:rsidR="00AC1A82">
        <w:rPr>
          <w:rFonts w:ascii="Times New Roman" w:hAnsi="Times New Roman" w:cs="Times New Roman"/>
        </w:rPr>
        <w:t xml:space="preserve">Armed Forces </w:t>
      </w:r>
      <w:r w:rsidR="00176960" w:rsidRPr="00176960">
        <w:rPr>
          <w:rFonts w:ascii="Times New Roman" w:hAnsi="Times New Roman" w:cs="Times New Roman"/>
        </w:rPr>
        <w:t xml:space="preserve">Career and Salary Plan, the increase in the number of pensioners, and payment of arrears. Capital expenditure </w:t>
      </w:r>
      <w:r w:rsidR="00FD24CC">
        <w:rPr>
          <w:rFonts w:ascii="Times New Roman" w:hAnsi="Times New Roman" w:cs="Times New Roman"/>
        </w:rPr>
        <w:t>de</w:t>
      </w:r>
      <w:r w:rsidR="00176960" w:rsidRPr="00176960">
        <w:rPr>
          <w:rFonts w:ascii="Times New Roman" w:hAnsi="Times New Roman" w:cs="Times New Roman"/>
        </w:rPr>
        <w:t xml:space="preserve">creased by </w:t>
      </w:r>
      <w:r w:rsidR="00C656FD">
        <w:rPr>
          <w:rFonts w:ascii="Times New Roman" w:hAnsi="Times New Roman" w:cs="Times New Roman"/>
        </w:rPr>
        <w:t>3.1</w:t>
      </w:r>
      <w:r w:rsidR="00176960" w:rsidRPr="00E86A90">
        <w:rPr>
          <w:rFonts w:ascii="Times New Roman" w:hAnsi="Times New Roman" w:cs="Times New Roman"/>
          <w:color w:val="FF0000"/>
        </w:rPr>
        <w:t xml:space="preserve"> </w:t>
      </w:r>
      <w:r w:rsidR="00176960" w:rsidRPr="00176960">
        <w:rPr>
          <w:rFonts w:ascii="Times New Roman" w:hAnsi="Times New Roman" w:cs="Times New Roman"/>
        </w:rPr>
        <w:t>percent</w:t>
      </w:r>
      <w:r w:rsidR="00E05FBE">
        <w:rPr>
          <w:rFonts w:ascii="Times New Roman" w:hAnsi="Times New Roman" w:cs="Times New Roman"/>
        </w:rPr>
        <w:t xml:space="preserve"> </w:t>
      </w:r>
      <w:r w:rsidR="005E191E">
        <w:rPr>
          <w:rFonts w:ascii="Times New Roman" w:hAnsi="Times New Roman" w:cs="Times New Roman"/>
        </w:rPr>
        <w:t xml:space="preserve">due to </w:t>
      </w:r>
      <w:r w:rsidR="00176960" w:rsidRPr="00176960">
        <w:rPr>
          <w:rFonts w:ascii="Times New Roman" w:hAnsi="Times New Roman" w:cs="Times New Roman"/>
        </w:rPr>
        <w:t xml:space="preserve">the </w:t>
      </w:r>
      <w:r w:rsidR="00C656FD">
        <w:rPr>
          <w:rFonts w:ascii="Times New Roman" w:hAnsi="Times New Roman" w:cs="Times New Roman"/>
        </w:rPr>
        <w:t xml:space="preserve">delay </w:t>
      </w:r>
      <w:r w:rsidR="00176960" w:rsidRPr="00176960">
        <w:rPr>
          <w:rFonts w:ascii="Times New Roman" w:hAnsi="Times New Roman" w:cs="Times New Roman"/>
        </w:rPr>
        <w:t>of several public investment projects</w:t>
      </w:r>
      <w:r w:rsidR="00413524">
        <w:rPr>
          <w:rFonts w:ascii="Times New Roman" w:hAnsi="Times New Roman" w:cs="Times New Roman"/>
        </w:rPr>
        <w:t xml:space="preserve">, </w:t>
      </w:r>
      <w:r w:rsidR="00E1051C">
        <w:rPr>
          <w:rFonts w:ascii="Times New Roman" w:hAnsi="Times New Roman" w:cs="Times New Roman"/>
        </w:rPr>
        <w:t xml:space="preserve">mainly investments to improve </w:t>
      </w:r>
      <w:r w:rsidR="00413524" w:rsidRPr="00413524">
        <w:rPr>
          <w:rFonts w:ascii="Times New Roman" w:hAnsi="Times New Roman" w:cs="Times New Roman"/>
        </w:rPr>
        <w:t xml:space="preserve">housing conditions, </w:t>
      </w:r>
      <w:r w:rsidR="00483580" w:rsidRPr="00483580">
        <w:rPr>
          <w:rFonts w:ascii="Times New Roman" w:hAnsi="Times New Roman" w:cs="Times New Roman"/>
        </w:rPr>
        <w:t>strengthen infrastructure in education</w:t>
      </w:r>
      <w:r w:rsidR="00831819">
        <w:rPr>
          <w:rFonts w:ascii="Times New Roman" w:hAnsi="Times New Roman" w:cs="Times New Roman"/>
        </w:rPr>
        <w:t>,</w:t>
      </w:r>
      <w:r w:rsidR="00483580" w:rsidRPr="00483580">
        <w:rPr>
          <w:rFonts w:ascii="Times New Roman" w:hAnsi="Times New Roman" w:cs="Times New Roman"/>
        </w:rPr>
        <w:t xml:space="preserve"> health</w:t>
      </w:r>
      <w:r w:rsidR="00831819">
        <w:rPr>
          <w:rFonts w:ascii="Times New Roman" w:hAnsi="Times New Roman" w:cs="Times New Roman"/>
        </w:rPr>
        <w:t>,</w:t>
      </w:r>
      <w:r w:rsidR="00483580" w:rsidRPr="00483580">
        <w:rPr>
          <w:rFonts w:ascii="Times New Roman" w:hAnsi="Times New Roman" w:cs="Times New Roman"/>
        </w:rPr>
        <w:t xml:space="preserve"> and road</w:t>
      </w:r>
      <w:r w:rsidR="001D131B">
        <w:rPr>
          <w:rFonts w:ascii="Times New Roman" w:hAnsi="Times New Roman" w:cs="Times New Roman"/>
        </w:rPr>
        <w:t>s</w:t>
      </w:r>
      <w:r w:rsidR="00176960" w:rsidRPr="00176960">
        <w:rPr>
          <w:rFonts w:ascii="Times New Roman" w:hAnsi="Times New Roman" w:cs="Times New Roman"/>
        </w:rPr>
        <w:t>.</w:t>
      </w:r>
      <w:r w:rsidR="00666F17">
        <w:rPr>
          <w:rFonts w:ascii="Times New Roman" w:hAnsi="Times New Roman" w:cs="Times New Roman"/>
        </w:rPr>
        <w:t xml:space="preserve"> </w:t>
      </w:r>
      <w:r w:rsidR="004E195A">
        <w:rPr>
          <w:rFonts w:ascii="Times New Roman" w:hAnsi="Times New Roman" w:cs="Times New Roman"/>
        </w:rPr>
        <w:t xml:space="preserve">Social expenditure </w:t>
      </w:r>
      <w:r w:rsidR="004327C4">
        <w:rPr>
          <w:rFonts w:ascii="Times New Roman" w:hAnsi="Times New Roman" w:cs="Times New Roman"/>
        </w:rPr>
        <w:t xml:space="preserve">accounted </w:t>
      </w:r>
      <w:r w:rsidR="001316E8">
        <w:rPr>
          <w:rFonts w:ascii="Times New Roman" w:hAnsi="Times New Roman" w:cs="Times New Roman"/>
        </w:rPr>
        <w:t xml:space="preserve">for </w:t>
      </w:r>
      <w:r w:rsidR="001316E8" w:rsidRPr="00EA3B8D">
        <w:rPr>
          <w:rFonts w:ascii="Times New Roman" w:hAnsi="Times New Roman" w:cs="Times New Roman"/>
        </w:rPr>
        <w:t>47.7</w:t>
      </w:r>
      <w:r w:rsidR="004327C4">
        <w:rPr>
          <w:rFonts w:ascii="Times New Roman" w:hAnsi="Times New Roman" w:cs="Times New Roman"/>
        </w:rPr>
        <w:t xml:space="preserve"> percent of total</w:t>
      </w:r>
      <w:r w:rsidR="009C4B3C">
        <w:rPr>
          <w:rFonts w:ascii="Times New Roman" w:hAnsi="Times New Roman" w:cs="Times New Roman"/>
        </w:rPr>
        <w:t xml:space="preserve"> expenditures</w:t>
      </w:r>
      <w:r w:rsidR="00E91F1C">
        <w:rPr>
          <w:rFonts w:ascii="Times New Roman" w:hAnsi="Times New Roman" w:cs="Times New Roman"/>
        </w:rPr>
        <w:t>.</w:t>
      </w:r>
    </w:p>
    <w:p w14:paraId="4D57314E" w14:textId="250B51B5" w:rsidR="00637163" w:rsidRDefault="00637163" w:rsidP="00B55AF2">
      <w:pPr>
        <w:shd w:val="clear" w:color="auto" w:fill="FFFFFF" w:themeFill="background1"/>
        <w:overflowPunct w:val="0"/>
        <w:autoSpaceDE w:val="0"/>
        <w:autoSpaceDN w:val="0"/>
        <w:adjustRightInd w:val="0"/>
        <w:spacing w:after="0" w:line="276" w:lineRule="auto"/>
        <w:contextualSpacing/>
        <w:jc w:val="both"/>
        <w:textAlignment w:val="baseline"/>
        <w:rPr>
          <w:rFonts w:ascii="Times New Roman" w:hAnsi="Times New Roman" w:cs="Times New Roman"/>
        </w:rPr>
      </w:pPr>
    </w:p>
    <w:p w14:paraId="702EA851" w14:textId="63584079" w:rsidR="00A10BD1" w:rsidRPr="00FE0E80" w:rsidRDefault="00F03527" w:rsidP="00FE0E80">
      <w:pPr>
        <w:pStyle w:val="ListParagraph"/>
        <w:widowControl/>
        <w:spacing w:line="276" w:lineRule="auto"/>
        <w:ind w:left="0"/>
        <w:jc w:val="both"/>
        <w:rPr>
          <w:rFonts w:ascii="Times New Roman" w:eastAsiaTheme="minorHAnsi" w:hAnsi="Times New Roman" w:cs="Times New Roman"/>
          <w:color w:val="auto"/>
          <w:sz w:val="22"/>
          <w:szCs w:val="22"/>
        </w:rPr>
      </w:pPr>
      <w:r>
        <w:rPr>
          <w:rFonts w:ascii="Times New Roman" w:hAnsi="Times New Roman" w:cs="Times New Roman"/>
          <w:b/>
          <w:bCs/>
          <w:iCs/>
          <w:color w:val="auto"/>
          <w:sz w:val="22"/>
          <w:szCs w:val="22"/>
        </w:rPr>
        <w:t>6</w:t>
      </w:r>
      <w:r w:rsidR="006A3549">
        <w:rPr>
          <w:rFonts w:ascii="Times New Roman" w:hAnsi="Times New Roman" w:cs="Times New Roman"/>
          <w:b/>
          <w:bCs/>
          <w:iCs/>
          <w:color w:val="auto"/>
          <w:sz w:val="22"/>
          <w:szCs w:val="22"/>
        </w:rPr>
        <w:t>.</w:t>
      </w:r>
      <w:r w:rsidR="00A11EBE">
        <w:rPr>
          <w:rFonts w:ascii="Times New Roman" w:hAnsi="Times New Roman" w:cs="Times New Roman"/>
          <w:b/>
          <w:bCs/>
          <w:iCs/>
          <w:color w:val="auto"/>
          <w:sz w:val="22"/>
          <w:szCs w:val="22"/>
        </w:rPr>
        <w:t xml:space="preserve"> </w:t>
      </w:r>
      <w:r w:rsidR="00E91F1C">
        <w:rPr>
          <w:rFonts w:ascii="Times New Roman" w:hAnsi="Times New Roman" w:cs="Times New Roman"/>
          <w:b/>
          <w:bCs/>
          <w:iCs/>
          <w:color w:val="auto"/>
          <w:sz w:val="22"/>
          <w:szCs w:val="22"/>
        </w:rPr>
        <w:t xml:space="preserve">The </w:t>
      </w:r>
      <w:r w:rsidR="00283D2B">
        <w:rPr>
          <w:rFonts w:ascii="Times New Roman" w:hAnsi="Times New Roman" w:cs="Times New Roman"/>
          <w:b/>
          <w:bCs/>
          <w:iCs/>
          <w:color w:val="auto"/>
          <w:sz w:val="22"/>
          <w:szCs w:val="22"/>
        </w:rPr>
        <w:t>f</w:t>
      </w:r>
      <w:r w:rsidR="0059367D" w:rsidRPr="0059367D">
        <w:rPr>
          <w:rFonts w:ascii="Times New Roman" w:hAnsi="Times New Roman" w:cs="Times New Roman"/>
          <w:b/>
          <w:bCs/>
          <w:iCs/>
          <w:color w:val="auto"/>
          <w:sz w:val="22"/>
          <w:szCs w:val="22"/>
        </w:rPr>
        <w:t xml:space="preserve">iscal deficit and financing needs </w:t>
      </w:r>
      <w:r w:rsidR="006F2311">
        <w:rPr>
          <w:rFonts w:ascii="Times New Roman" w:hAnsi="Times New Roman" w:cs="Times New Roman"/>
          <w:b/>
          <w:bCs/>
          <w:iCs/>
          <w:color w:val="auto"/>
          <w:sz w:val="22"/>
          <w:szCs w:val="22"/>
        </w:rPr>
        <w:t>remained hi</w:t>
      </w:r>
      <w:r w:rsidR="0088057B">
        <w:rPr>
          <w:rFonts w:ascii="Times New Roman" w:hAnsi="Times New Roman" w:cs="Times New Roman"/>
          <w:b/>
          <w:bCs/>
          <w:iCs/>
          <w:color w:val="auto"/>
          <w:sz w:val="22"/>
          <w:szCs w:val="22"/>
        </w:rPr>
        <w:t xml:space="preserve">gh </w:t>
      </w:r>
      <w:r w:rsidR="0059367D" w:rsidRPr="0059367D">
        <w:rPr>
          <w:rFonts w:ascii="Times New Roman" w:hAnsi="Times New Roman" w:cs="Times New Roman"/>
          <w:b/>
          <w:bCs/>
          <w:iCs/>
          <w:color w:val="auto"/>
          <w:sz w:val="22"/>
          <w:szCs w:val="22"/>
        </w:rPr>
        <w:t>in 202</w:t>
      </w:r>
      <w:r w:rsidR="0088057B">
        <w:rPr>
          <w:rFonts w:ascii="Times New Roman" w:hAnsi="Times New Roman" w:cs="Times New Roman"/>
          <w:b/>
          <w:bCs/>
          <w:iCs/>
          <w:color w:val="auto"/>
          <w:sz w:val="22"/>
          <w:szCs w:val="22"/>
        </w:rPr>
        <w:t>1</w:t>
      </w:r>
      <w:r w:rsidR="00A11EBE" w:rsidRPr="00A11EBE">
        <w:t xml:space="preserve"> </w:t>
      </w:r>
      <w:r w:rsidR="00E4476B" w:rsidRPr="003274B1">
        <w:rPr>
          <w:rFonts w:ascii="Times New Roman" w:hAnsi="Times New Roman" w:cs="Times New Roman"/>
          <w:b/>
          <w:bCs/>
          <w:sz w:val="22"/>
          <w:szCs w:val="22"/>
        </w:rPr>
        <w:t>because</w:t>
      </w:r>
      <w:r w:rsidR="00E4476B">
        <w:rPr>
          <w:rFonts w:ascii="Times New Roman" w:hAnsi="Times New Roman" w:cs="Times New Roman"/>
          <w:sz w:val="22"/>
          <w:szCs w:val="22"/>
        </w:rPr>
        <w:t xml:space="preserve"> </w:t>
      </w:r>
      <w:r w:rsidR="00A11EBE" w:rsidRPr="00A11EBE">
        <w:rPr>
          <w:rFonts w:ascii="Times New Roman" w:hAnsi="Times New Roman" w:cs="Times New Roman"/>
          <w:b/>
          <w:bCs/>
          <w:iCs/>
          <w:color w:val="auto"/>
          <w:sz w:val="22"/>
          <w:szCs w:val="22"/>
        </w:rPr>
        <w:t>of sustained high current expenditure</w:t>
      </w:r>
      <w:r w:rsidR="0059367D" w:rsidRPr="0059367D">
        <w:rPr>
          <w:rFonts w:ascii="Times New Roman" w:hAnsi="Times New Roman" w:cs="Times New Roman"/>
          <w:b/>
          <w:bCs/>
          <w:iCs/>
          <w:color w:val="auto"/>
          <w:sz w:val="22"/>
          <w:szCs w:val="22"/>
        </w:rPr>
        <w:t xml:space="preserve">. </w:t>
      </w:r>
      <w:r w:rsidR="005E51AE" w:rsidRPr="00C87120">
        <w:rPr>
          <w:rFonts w:ascii="Times New Roman" w:hAnsi="Times New Roman" w:cs="Times New Roman"/>
          <w:iCs/>
          <w:color w:val="auto"/>
          <w:sz w:val="22"/>
          <w:szCs w:val="22"/>
        </w:rPr>
        <w:t>The revenue-driven fiscal consolidation program, in implementation since 2016, was halted in 2020 due to falling fiscal revenue and increasing COVID-19 related expenditure.</w:t>
      </w:r>
      <w:r w:rsidR="005E51AE" w:rsidRPr="005E51AE">
        <w:rPr>
          <w:rFonts w:ascii="Times New Roman" w:hAnsi="Times New Roman" w:cs="Times New Roman"/>
          <w:b/>
          <w:bCs/>
          <w:iCs/>
          <w:color w:val="auto"/>
          <w:sz w:val="22"/>
          <w:szCs w:val="22"/>
        </w:rPr>
        <w:t xml:space="preserve"> </w:t>
      </w:r>
      <w:r w:rsidR="00C269A2" w:rsidRPr="00C87120">
        <w:rPr>
          <w:rFonts w:ascii="Times New Roman" w:hAnsi="Times New Roman" w:cs="Times New Roman"/>
          <w:iCs/>
          <w:color w:val="auto"/>
          <w:sz w:val="22"/>
          <w:szCs w:val="22"/>
        </w:rPr>
        <w:t>The contraction of the economy in 2020 led to a decline in fiscal revenue by 23.9 percent in nominal terms, reaching 26.5 percent of GDP compared to 29.4 percent of GDP in 2019, while urgent needs brought upon by the pandemic increased public expenditure from 31.8 percent of GDP in 2019 to 35.4 percent in 2020.</w:t>
      </w:r>
      <w:r w:rsidR="0059367D" w:rsidRPr="00B547D8">
        <w:rPr>
          <w:rFonts w:ascii="Times New Roman" w:eastAsiaTheme="minorHAnsi" w:hAnsi="Times New Roman" w:cs="Times New Roman"/>
          <w:color w:val="auto"/>
          <w:sz w:val="22"/>
          <w:szCs w:val="22"/>
        </w:rPr>
        <w:t xml:space="preserve">The overall deficit (including grants) </w:t>
      </w:r>
      <w:r w:rsidR="00DA55CF">
        <w:rPr>
          <w:rFonts w:ascii="Times New Roman" w:eastAsiaTheme="minorHAnsi" w:hAnsi="Times New Roman" w:cs="Times New Roman"/>
          <w:color w:val="auto"/>
          <w:sz w:val="22"/>
          <w:szCs w:val="22"/>
        </w:rPr>
        <w:t xml:space="preserve">increased from 1.8 percent of GDP in 2019 to </w:t>
      </w:r>
      <w:r w:rsidR="002970C6">
        <w:rPr>
          <w:rFonts w:ascii="Times New Roman" w:eastAsiaTheme="minorHAnsi" w:hAnsi="Times New Roman" w:cs="Times New Roman"/>
          <w:color w:val="auto"/>
          <w:sz w:val="22"/>
          <w:szCs w:val="22"/>
        </w:rPr>
        <w:t>8.9 percent in 2020. It</w:t>
      </w:r>
      <w:r w:rsidR="00DA55CF" w:rsidRPr="00B547D8">
        <w:rPr>
          <w:rFonts w:ascii="Times New Roman" w:eastAsiaTheme="minorHAnsi" w:hAnsi="Times New Roman" w:cs="Times New Roman"/>
          <w:color w:val="auto"/>
          <w:sz w:val="22"/>
          <w:szCs w:val="22"/>
        </w:rPr>
        <w:t xml:space="preserve"> </w:t>
      </w:r>
      <w:r w:rsidR="00382192" w:rsidRPr="00B547D8">
        <w:rPr>
          <w:rFonts w:ascii="Times New Roman" w:eastAsiaTheme="minorHAnsi" w:hAnsi="Times New Roman" w:cs="Times New Roman"/>
          <w:color w:val="auto"/>
          <w:sz w:val="22"/>
          <w:szCs w:val="22"/>
        </w:rPr>
        <w:t>stood</w:t>
      </w:r>
      <w:r w:rsidR="00D9358A" w:rsidRPr="00B547D8">
        <w:rPr>
          <w:rFonts w:ascii="Times New Roman" w:eastAsiaTheme="minorHAnsi" w:hAnsi="Times New Roman" w:cs="Times New Roman"/>
          <w:color w:val="auto"/>
          <w:sz w:val="22"/>
          <w:szCs w:val="22"/>
        </w:rPr>
        <w:t xml:space="preserve"> </w:t>
      </w:r>
      <w:r w:rsidR="002970C6">
        <w:rPr>
          <w:rFonts w:ascii="Times New Roman" w:eastAsiaTheme="minorHAnsi" w:hAnsi="Times New Roman" w:cs="Times New Roman"/>
          <w:color w:val="auto"/>
          <w:sz w:val="22"/>
          <w:szCs w:val="22"/>
        </w:rPr>
        <w:t xml:space="preserve">high </w:t>
      </w:r>
      <w:r w:rsidR="00D9358A" w:rsidRPr="00B547D8">
        <w:rPr>
          <w:rFonts w:ascii="Times New Roman" w:eastAsiaTheme="minorHAnsi" w:hAnsi="Times New Roman" w:cs="Times New Roman"/>
          <w:color w:val="auto"/>
          <w:sz w:val="22"/>
          <w:szCs w:val="22"/>
        </w:rPr>
        <w:t xml:space="preserve">at </w:t>
      </w:r>
      <w:r w:rsidR="00F83761">
        <w:rPr>
          <w:rFonts w:ascii="Times New Roman" w:eastAsiaTheme="minorHAnsi" w:hAnsi="Times New Roman" w:cs="Times New Roman"/>
          <w:color w:val="auto"/>
          <w:sz w:val="22"/>
          <w:szCs w:val="22"/>
        </w:rPr>
        <w:t>8.8</w:t>
      </w:r>
      <w:r w:rsidR="0059367D" w:rsidRPr="00B547D8">
        <w:rPr>
          <w:rFonts w:ascii="Times New Roman" w:eastAsiaTheme="minorHAnsi" w:hAnsi="Times New Roman" w:cs="Times New Roman"/>
          <w:color w:val="auto"/>
          <w:sz w:val="22"/>
          <w:szCs w:val="22"/>
        </w:rPr>
        <w:t xml:space="preserve"> percent </w:t>
      </w:r>
      <w:r w:rsidR="00D9358A" w:rsidRPr="00B547D8">
        <w:rPr>
          <w:rFonts w:ascii="Times New Roman" w:eastAsiaTheme="minorHAnsi" w:hAnsi="Times New Roman" w:cs="Times New Roman"/>
          <w:color w:val="auto"/>
          <w:sz w:val="22"/>
          <w:szCs w:val="22"/>
        </w:rPr>
        <w:t>of GDP in 2021</w:t>
      </w:r>
      <w:r w:rsidR="0059367D" w:rsidRPr="00B547D8">
        <w:rPr>
          <w:rFonts w:ascii="Times New Roman" w:eastAsiaTheme="minorHAnsi" w:hAnsi="Times New Roman" w:cs="Times New Roman"/>
          <w:color w:val="auto"/>
          <w:sz w:val="22"/>
          <w:szCs w:val="22"/>
        </w:rPr>
        <w:t xml:space="preserve">. </w:t>
      </w:r>
      <w:r w:rsidR="0059367D" w:rsidRPr="0059367D">
        <w:rPr>
          <w:rFonts w:ascii="Times New Roman" w:eastAsiaTheme="minorHAnsi" w:hAnsi="Times New Roman" w:cs="Times New Roman"/>
          <w:color w:val="auto"/>
          <w:sz w:val="22"/>
          <w:szCs w:val="22"/>
        </w:rPr>
        <w:t xml:space="preserve"> </w:t>
      </w:r>
      <w:r w:rsidR="0059367D" w:rsidRPr="00B547D8">
        <w:rPr>
          <w:rFonts w:ascii="Times New Roman" w:eastAsiaTheme="minorHAnsi" w:hAnsi="Times New Roman" w:cs="Times New Roman"/>
          <w:color w:val="auto"/>
          <w:sz w:val="22"/>
          <w:szCs w:val="22"/>
        </w:rPr>
        <w:t>Consequently, fiscal financing needs for 202</w:t>
      </w:r>
      <w:r w:rsidR="00964BCE" w:rsidRPr="00B547D8">
        <w:rPr>
          <w:rFonts w:ascii="Times New Roman" w:eastAsiaTheme="minorHAnsi" w:hAnsi="Times New Roman" w:cs="Times New Roman"/>
          <w:color w:val="auto"/>
          <w:sz w:val="22"/>
          <w:szCs w:val="22"/>
        </w:rPr>
        <w:t>1</w:t>
      </w:r>
      <w:r w:rsidR="0059367D" w:rsidRPr="00B547D8">
        <w:rPr>
          <w:rFonts w:ascii="Times New Roman" w:eastAsiaTheme="minorHAnsi" w:hAnsi="Times New Roman" w:cs="Times New Roman"/>
          <w:color w:val="auto"/>
          <w:sz w:val="22"/>
          <w:szCs w:val="22"/>
        </w:rPr>
        <w:t xml:space="preserve"> </w:t>
      </w:r>
      <w:r w:rsidR="001C2C56" w:rsidRPr="00B547D8">
        <w:rPr>
          <w:rFonts w:ascii="Times New Roman" w:eastAsiaTheme="minorHAnsi" w:hAnsi="Times New Roman" w:cs="Times New Roman"/>
          <w:color w:val="auto"/>
          <w:sz w:val="22"/>
          <w:szCs w:val="22"/>
        </w:rPr>
        <w:t xml:space="preserve">remained </w:t>
      </w:r>
      <w:r w:rsidR="0046595F" w:rsidRPr="00B547D8">
        <w:rPr>
          <w:rFonts w:ascii="Times New Roman" w:eastAsiaTheme="minorHAnsi" w:hAnsi="Times New Roman" w:cs="Times New Roman"/>
          <w:color w:val="auto"/>
          <w:sz w:val="22"/>
          <w:szCs w:val="22"/>
        </w:rPr>
        <w:t>high at</w:t>
      </w:r>
      <w:r w:rsidR="0059367D" w:rsidRPr="00B547D8">
        <w:rPr>
          <w:rFonts w:ascii="Times New Roman" w:eastAsiaTheme="minorHAnsi" w:hAnsi="Times New Roman" w:cs="Times New Roman"/>
          <w:color w:val="auto"/>
          <w:sz w:val="22"/>
          <w:szCs w:val="22"/>
        </w:rPr>
        <w:t xml:space="preserve"> US$</w:t>
      </w:r>
      <w:r w:rsidR="000A1627" w:rsidRPr="00B547D8">
        <w:rPr>
          <w:rFonts w:ascii="Times New Roman" w:eastAsiaTheme="minorHAnsi" w:hAnsi="Times New Roman" w:cs="Times New Roman"/>
          <w:color w:val="auto"/>
          <w:sz w:val="22"/>
          <w:szCs w:val="22"/>
        </w:rPr>
        <w:t>1</w:t>
      </w:r>
      <w:r w:rsidR="00070244">
        <w:rPr>
          <w:rFonts w:ascii="Times New Roman" w:eastAsiaTheme="minorHAnsi" w:hAnsi="Times New Roman" w:cs="Times New Roman"/>
          <w:color w:val="auto"/>
          <w:sz w:val="22"/>
          <w:szCs w:val="22"/>
        </w:rPr>
        <w:t>53</w:t>
      </w:r>
      <w:r w:rsidR="0059367D" w:rsidRPr="00B547D8">
        <w:rPr>
          <w:rFonts w:ascii="Times New Roman" w:eastAsiaTheme="minorHAnsi" w:hAnsi="Times New Roman" w:cs="Times New Roman"/>
          <w:color w:val="auto"/>
          <w:sz w:val="22"/>
          <w:szCs w:val="22"/>
        </w:rPr>
        <w:t xml:space="preserve"> million</w:t>
      </w:r>
      <w:r w:rsidR="00070244">
        <w:rPr>
          <w:rFonts w:ascii="Times New Roman" w:eastAsiaTheme="minorHAnsi" w:hAnsi="Times New Roman" w:cs="Times New Roman"/>
          <w:color w:val="auto"/>
          <w:sz w:val="22"/>
          <w:szCs w:val="22"/>
        </w:rPr>
        <w:t>.</w:t>
      </w:r>
      <w:r w:rsidR="0059367D" w:rsidRPr="00B547D8">
        <w:rPr>
          <w:rFonts w:ascii="Times New Roman" w:eastAsiaTheme="minorHAnsi" w:hAnsi="Times New Roman" w:cs="Times New Roman"/>
          <w:color w:val="auto"/>
          <w:sz w:val="22"/>
          <w:szCs w:val="22"/>
        </w:rPr>
        <w:t xml:space="preserve"> </w:t>
      </w:r>
      <w:r w:rsidR="00CE0C51" w:rsidRPr="00B547D8">
        <w:rPr>
          <w:rFonts w:ascii="Times New Roman" w:eastAsiaTheme="minorHAnsi" w:hAnsi="Times New Roman" w:cs="Times New Roman"/>
          <w:color w:val="auto"/>
          <w:sz w:val="22"/>
          <w:szCs w:val="22"/>
        </w:rPr>
        <w:t>Extra financing needs</w:t>
      </w:r>
      <w:r w:rsidR="0059367D" w:rsidRPr="00B547D8">
        <w:rPr>
          <w:rFonts w:ascii="Times New Roman" w:eastAsiaTheme="minorHAnsi" w:hAnsi="Times New Roman" w:cs="Times New Roman"/>
          <w:color w:val="auto"/>
          <w:sz w:val="22"/>
          <w:szCs w:val="22"/>
        </w:rPr>
        <w:t xml:space="preserve"> were covered by concessional credits of US$</w:t>
      </w:r>
      <w:r w:rsidR="0012089E" w:rsidRPr="00B547D8">
        <w:rPr>
          <w:rFonts w:ascii="Times New Roman" w:eastAsiaTheme="minorHAnsi" w:hAnsi="Times New Roman" w:cs="Times New Roman"/>
          <w:color w:val="auto"/>
          <w:sz w:val="22"/>
          <w:szCs w:val="22"/>
        </w:rPr>
        <w:t>5</w:t>
      </w:r>
      <w:r w:rsidR="00A603F3">
        <w:rPr>
          <w:rFonts w:ascii="Times New Roman" w:eastAsiaTheme="minorHAnsi" w:hAnsi="Times New Roman" w:cs="Times New Roman"/>
          <w:color w:val="auto"/>
          <w:sz w:val="22"/>
          <w:szCs w:val="22"/>
        </w:rPr>
        <w:t>8.1</w:t>
      </w:r>
      <w:r w:rsidR="0059367D" w:rsidRPr="00B547D8">
        <w:rPr>
          <w:rFonts w:ascii="Times New Roman" w:eastAsiaTheme="minorHAnsi" w:hAnsi="Times New Roman" w:cs="Times New Roman"/>
          <w:color w:val="auto"/>
          <w:sz w:val="22"/>
          <w:szCs w:val="22"/>
        </w:rPr>
        <w:t xml:space="preserve"> million provided </w:t>
      </w:r>
      <w:r w:rsidR="00D22EEA" w:rsidRPr="00B547D8">
        <w:rPr>
          <w:rFonts w:ascii="Times New Roman" w:eastAsiaTheme="minorHAnsi" w:hAnsi="Times New Roman" w:cs="Times New Roman"/>
          <w:color w:val="auto"/>
          <w:sz w:val="22"/>
          <w:szCs w:val="22"/>
        </w:rPr>
        <w:t>by the</w:t>
      </w:r>
      <w:r w:rsidR="0059367D" w:rsidRPr="00B547D8">
        <w:rPr>
          <w:rFonts w:ascii="Times New Roman" w:eastAsiaTheme="minorHAnsi" w:hAnsi="Times New Roman" w:cs="Times New Roman"/>
          <w:color w:val="auto"/>
          <w:sz w:val="22"/>
          <w:szCs w:val="22"/>
        </w:rPr>
        <w:t xml:space="preserve"> World Bank, and the African Development Bank (AfDB). Grants amounting to US$</w:t>
      </w:r>
      <w:r w:rsidR="002815C8" w:rsidRPr="00B547D8">
        <w:rPr>
          <w:rFonts w:ascii="Times New Roman" w:eastAsiaTheme="minorHAnsi" w:hAnsi="Times New Roman" w:cs="Times New Roman"/>
          <w:color w:val="auto"/>
          <w:sz w:val="22"/>
          <w:szCs w:val="22"/>
        </w:rPr>
        <w:t>14</w:t>
      </w:r>
      <w:r w:rsidR="0059367D" w:rsidRPr="00B547D8">
        <w:rPr>
          <w:rFonts w:ascii="Times New Roman" w:eastAsiaTheme="minorHAnsi" w:hAnsi="Times New Roman" w:cs="Times New Roman"/>
          <w:color w:val="auto"/>
          <w:sz w:val="22"/>
          <w:szCs w:val="22"/>
        </w:rPr>
        <w:t xml:space="preserve"> million were provided by the European Union (EU), Luxemburg, and Portugal. The remaining financing gap was covered by government securities </w:t>
      </w:r>
      <w:r w:rsidR="00F41252" w:rsidRPr="00B547D8">
        <w:rPr>
          <w:rFonts w:ascii="Times New Roman" w:eastAsiaTheme="minorHAnsi" w:hAnsi="Times New Roman" w:cs="Times New Roman"/>
          <w:color w:val="auto"/>
          <w:sz w:val="22"/>
          <w:szCs w:val="22"/>
        </w:rPr>
        <w:t>(US$</w:t>
      </w:r>
      <w:r w:rsidR="00A603F3">
        <w:rPr>
          <w:rFonts w:ascii="Times New Roman" w:eastAsiaTheme="minorHAnsi" w:hAnsi="Times New Roman" w:cs="Times New Roman"/>
          <w:color w:val="auto"/>
          <w:sz w:val="22"/>
          <w:szCs w:val="22"/>
        </w:rPr>
        <w:t>38.7</w:t>
      </w:r>
      <w:r w:rsidR="00F41252" w:rsidRPr="00B547D8">
        <w:rPr>
          <w:rFonts w:ascii="Times New Roman" w:eastAsiaTheme="minorHAnsi" w:hAnsi="Times New Roman" w:cs="Times New Roman"/>
          <w:color w:val="auto"/>
          <w:sz w:val="22"/>
          <w:szCs w:val="22"/>
        </w:rPr>
        <w:t xml:space="preserve"> million) </w:t>
      </w:r>
      <w:r w:rsidR="0059367D" w:rsidRPr="00B547D8">
        <w:rPr>
          <w:rFonts w:ascii="Times New Roman" w:eastAsiaTheme="minorHAnsi" w:hAnsi="Times New Roman" w:cs="Times New Roman"/>
          <w:color w:val="auto"/>
          <w:sz w:val="22"/>
          <w:szCs w:val="22"/>
        </w:rPr>
        <w:t xml:space="preserve">and resources freed by the </w:t>
      </w:r>
      <w:r w:rsidR="00676046" w:rsidRPr="00B547D8">
        <w:rPr>
          <w:rFonts w:ascii="Times New Roman" w:eastAsiaTheme="minorHAnsi" w:hAnsi="Times New Roman" w:cs="Times New Roman"/>
          <w:color w:val="auto"/>
          <w:sz w:val="22"/>
          <w:szCs w:val="22"/>
        </w:rPr>
        <w:t xml:space="preserve">Debt Service Suspension Initiative </w:t>
      </w:r>
      <w:r w:rsidR="0059367D" w:rsidRPr="00B547D8">
        <w:rPr>
          <w:rFonts w:ascii="Times New Roman" w:eastAsiaTheme="minorHAnsi" w:hAnsi="Times New Roman" w:cs="Times New Roman"/>
          <w:color w:val="auto"/>
          <w:sz w:val="22"/>
          <w:szCs w:val="22"/>
        </w:rPr>
        <w:t>(US$</w:t>
      </w:r>
      <w:r w:rsidR="00467B68" w:rsidRPr="00B547D8">
        <w:rPr>
          <w:rFonts w:ascii="Times New Roman" w:eastAsiaTheme="minorHAnsi" w:hAnsi="Times New Roman" w:cs="Times New Roman"/>
          <w:color w:val="auto"/>
          <w:sz w:val="22"/>
          <w:szCs w:val="22"/>
        </w:rPr>
        <w:t>2</w:t>
      </w:r>
      <w:r w:rsidR="001F48BE">
        <w:rPr>
          <w:rFonts w:ascii="Times New Roman" w:eastAsiaTheme="minorHAnsi" w:hAnsi="Times New Roman" w:cs="Times New Roman"/>
          <w:color w:val="auto"/>
          <w:sz w:val="22"/>
          <w:szCs w:val="22"/>
        </w:rPr>
        <w:t>3.</w:t>
      </w:r>
      <w:r w:rsidR="00467B68" w:rsidRPr="00B547D8">
        <w:rPr>
          <w:rFonts w:ascii="Times New Roman" w:eastAsiaTheme="minorHAnsi" w:hAnsi="Times New Roman" w:cs="Times New Roman"/>
          <w:color w:val="auto"/>
          <w:sz w:val="22"/>
          <w:szCs w:val="22"/>
        </w:rPr>
        <w:t>2</w:t>
      </w:r>
      <w:r w:rsidR="0059367D" w:rsidRPr="00B547D8">
        <w:rPr>
          <w:rFonts w:ascii="Times New Roman" w:eastAsiaTheme="minorHAnsi" w:hAnsi="Times New Roman" w:cs="Times New Roman"/>
          <w:color w:val="auto"/>
          <w:sz w:val="22"/>
          <w:szCs w:val="22"/>
        </w:rPr>
        <w:t xml:space="preserve"> million). </w:t>
      </w:r>
    </w:p>
    <w:p w14:paraId="1126CC85" w14:textId="77777777" w:rsidR="0088064F" w:rsidRPr="0088064F" w:rsidRDefault="0088064F" w:rsidP="0059367D">
      <w:pPr>
        <w:pStyle w:val="ListParagraph"/>
        <w:widowControl/>
        <w:ind w:left="0"/>
        <w:jc w:val="both"/>
        <w:rPr>
          <w:rFonts w:ascii="Times New Roman" w:hAnsi="Times New Roman" w:cs="Times New Roman"/>
          <w:sz w:val="18"/>
          <w:szCs w:val="18"/>
        </w:rPr>
      </w:pPr>
    </w:p>
    <w:p w14:paraId="3CB0B054" w14:textId="46D8E584" w:rsidR="00DC6EE6" w:rsidRDefault="00F03527" w:rsidP="00986E60">
      <w:pPr>
        <w:overflowPunct w:val="0"/>
        <w:autoSpaceDE w:val="0"/>
        <w:autoSpaceDN w:val="0"/>
        <w:adjustRightInd w:val="0"/>
        <w:spacing w:before="240" w:line="276" w:lineRule="auto"/>
        <w:contextualSpacing/>
        <w:jc w:val="both"/>
        <w:textAlignment w:val="baseline"/>
        <w:rPr>
          <w:rFonts w:ascii="Times New Roman" w:hAnsi="Times New Roman" w:cs="Times New Roman"/>
        </w:rPr>
      </w:pPr>
      <w:r>
        <w:rPr>
          <w:rFonts w:ascii="Times New Roman" w:hAnsi="Times New Roman" w:cs="Times New Roman"/>
          <w:b/>
          <w:bCs/>
        </w:rPr>
        <w:t>7</w:t>
      </w:r>
      <w:r w:rsidR="006A3549">
        <w:rPr>
          <w:rFonts w:ascii="Times New Roman" w:hAnsi="Times New Roman" w:cs="Times New Roman"/>
          <w:b/>
          <w:bCs/>
        </w:rPr>
        <w:t xml:space="preserve">. </w:t>
      </w:r>
      <w:r w:rsidR="00986E60" w:rsidRPr="000E7FCE">
        <w:rPr>
          <w:rFonts w:ascii="Times New Roman" w:hAnsi="Times New Roman" w:cs="Times New Roman"/>
          <w:b/>
          <w:bCs/>
        </w:rPr>
        <w:t xml:space="preserve">The </w:t>
      </w:r>
      <w:r w:rsidR="001F48BE">
        <w:rPr>
          <w:rFonts w:ascii="Times New Roman" w:hAnsi="Times New Roman" w:cs="Times New Roman"/>
          <w:b/>
          <w:bCs/>
        </w:rPr>
        <w:t xml:space="preserve">COVID-19 </w:t>
      </w:r>
      <w:r w:rsidR="00986E60" w:rsidRPr="000E7FCE">
        <w:rPr>
          <w:rFonts w:ascii="Times New Roman" w:hAnsi="Times New Roman" w:cs="Times New Roman"/>
          <w:b/>
          <w:bCs/>
        </w:rPr>
        <w:t xml:space="preserve">crisis </w:t>
      </w:r>
      <w:r w:rsidR="001F48BE">
        <w:rPr>
          <w:rFonts w:ascii="Times New Roman" w:hAnsi="Times New Roman" w:cs="Times New Roman"/>
          <w:b/>
          <w:bCs/>
        </w:rPr>
        <w:t xml:space="preserve">continued to </w:t>
      </w:r>
      <w:r w:rsidR="00AE7985">
        <w:rPr>
          <w:rFonts w:ascii="Times New Roman" w:hAnsi="Times New Roman" w:cs="Times New Roman"/>
          <w:b/>
          <w:bCs/>
        </w:rPr>
        <w:t xml:space="preserve">undermine </w:t>
      </w:r>
      <w:r w:rsidR="00477917">
        <w:rPr>
          <w:rFonts w:ascii="Times New Roman" w:hAnsi="Times New Roman" w:cs="Times New Roman"/>
          <w:b/>
          <w:bCs/>
        </w:rPr>
        <w:t>the</w:t>
      </w:r>
      <w:r w:rsidR="00986E60" w:rsidRPr="000E7FCE">
        <w:rPr>
          <w:rFonts w:ascii="Times New Roman" w:hAnsi="Times New Roman" w:cs="Times New Roman"/>
          <w:b/>
          <w:bCs/>
        </w:rPr>
        <w:t xml:space="preserve"> SOE sector, </w:t>
      </w:r>
      <w:r w:rsidR="00AE7985">
        <w:rPr>
          <w:rFonts w:ascii="Times New Roman" w:hAnsi="Times New Roman" w:cs="Times New Roman"/>
          <w:b/>
          <w:bCs/>
        </w:rPr>
        <w:t xml:space="preserve">which required </w:t>
      </w:r>
      <w:r w:rsidR="00477917">
        <w:rPr>
          <w:rFonts w:ascii="Times New Roman" w:hAnsi="Times New Roman" w:cs="Times New Roman"/>
          <w:b/>
          <w:bCs/>
        </w:rPr>
        <w:t xml:space="preserve">additional </w:t>
      </w:r>
      <w:r w:rsidR="008C7B2D">
        <w:rPr>
          <w:rFonts w:ascii="Times New Roman" w:hAnsi="Times New Roman" w:cs="Times New Roman"/>
          <w:b/>
          <w:bCs/>
        </w:rPr>
        <w:t xml:space="preserve">fiscal support </w:t>
      </w:r>
      <w:r w:rsidR="00986E60" w:rsidRPr="000E7FCE">
        <w:rPr>
          <w:rFonts w:ascii="Times New Roman" w:hAnsi="Times New Roman" w:cs="Times New Roman"/>
          <w:b/>
          <w:bCs/>
        </w:rPr>
        <w:t>and le</w:t>
      </w:r>
      <w:r w:rsidR="00DA1DFE">
        <w:rPr>
          <w:rFonts w:ascii="Times New Roman" w:hAnsi="Times New Roman" w:cs="Times New Roman"/>
          <w:b/>
          <w:bCs/>
        </w:rPr>
        <w:t>a</w:t>
      </w:r>
      <w:r w:rsidR="00986E60" w:rsidRPr="000E7FCE">
        <w:rPr>
          <w:rFonts w:ascii="Times New Roman" w:hAnsi="Times New Roman" w:cs="Times New Roman"/>
          <w:b/>
          <w:bCs/>
        </w:rPr>
        <w:t>d to the reversal of the privatization of CVA</w:t>
      </w:r>
      <w:r w:rsidR="00434C23">
        <w:rPr>
          <w:rFonts w:ascii="Times New Roman" w:hAnsi="Times New Roman" w:cs="Times New Roman"/>
          <w:b/>
          <w:bCs/>
        </w:rPr>
        <w:t xml:space="preserve"> in 2021</w:t>
      </w:r>
      <w:r w:rsidR="00986E60" w:rsidRPr="000E7FCE">
        <w:rPr>
          <w:rFonts w:ascii="Times New Roman" w:hAnsi="Times New Roman" w:cs="Times New Roman"/>
          <w:b/>
          <w:bCs/>
        </w:rPr>
        <w:t>.</w:t>
      </w:r>
      <w:r w:rsidR="00986E60" w:rsidRPr="000E7FCE">
        <w:rPr>
          <w:rFonts w:ascii="Times New Roman" w:hAnsi="Times New Roman" w:cs="Times New Roman"/>
        </w:rPr>
        <w:t xml:space="preserve"> The authorities </w:t>
      </w:r>
      <w:r w:rsidR="00434C23">
        <w:rPr>
          <w:rFonts w:ascii="Times New Roman" w:hAnsi="Times New Roman" w:cs="Times New Roman"/>
        </w:rPr>
        <w:t xml:space="preserve">had </w:t>
      </w:r>
      <w:r w:rsidR="00986E60" w:rsidRPr="000E7FCE">
        <w:rPr>
          <w:rFonts w:ascii="Times New Roman" w:hAnsi="Times New Roman" w:cs="Times New Roman"/>
        </w:rPr>
        <w:t>extended loan guarantees amounting to US$5</w:t>
      </w:r>
      <w:r w:rsidR="00986E60">
        <w:rPr>
          <w:rFonts w:ascii="Times New Roman" w:hAnsi="Times New Roman" w:cs="Times New Roman"/>
        </w:rPr>
        <w:t>2.4</w:t>
      </w:r>
      <w:r w:rsidR="00986E60" w:rsidRPr="000E7FCE">
        <w:rPr>
          <w:rFonts w:ascii="Times New Roman" w:hAnsi="Times New Roman" w:cs="Times New Roman"/>
        </w:rPr>
        <w:t xml:space="preserve"> million in 2020 to support financially distressed SOEs, with CVA accounting for almost half of the loan guarantees (US$25 million). </w:t>
      </w:r>
      <w:r w:rsidR="00434C23">
        <w:rPr>
          <w:rFonts w:ascii="Times New Roman" w:hAnsi="Times New Roman" w:cs="Times New Roman"/>
        </w:rPr>
        <w:t>In</w:t>
      </w:r>
      <w:r w:rsidR="00986E60" w:rsidRPr="000E7FCE">
        <w:rPr>
          <w:rFonts w:ascii="Times New Roman" w:hAnsi="Times New Roman" w:cs="Times New Roman"/>
        </w:rPr>
        <w:t xml:space="preserve"> 2021, additional loan guarantees accounted for US$</w:t>
      </w:r>
      <w:r w:rsidR="00986E60">
        <w:rPr>
          <w:rFonts w:ascii="Times New Roman" w:hAnsi="Times New Roman" w:cs="Times New Roman"/>
        </w:rPr>
        <w:t>4</w:t>
      </w:r>
      <w:r w:rsidR="00006F42">
        <w:rPr>
          <w:rFonts w:ascii="Times New Roman" w:hAnsi="Times New Roman" w:cs="Times New Roman"/>
        </w:rPr>
        <w:t>3</w:t>
      </w:r>
      <w:r w:rsidR="00986E60">
        <w:rPr>
          <w:rFonts w:ascii="Times New Roman" w:hAnsi="Times New Roman" w:cs="Times New Roman"/>
        </w:rPr>
        <w:t>.6</w:t>
      </w:r>
      <w:r w:rsidR="00986E60" w:rsidRPr="000E7FCE">
        <w:rPr>
          <w:rFonts w:ascii="Times New Roman" w:hAnsi="Times New Roman" w:cs="Times New Roman"/>
        </w:rPr>
        <w:t xml:space="preserve"> million, driven </w:t>
      </w:r>
      <w:r w:rsidR="00006F42">
        <w:rPr>
          <w:rFonts w:ascii="Times New Roman" w:hAnsi="Times New Roman" w:cs="Times New Roman"/>
        </w:rPr>
        <w:t xml:space="preserve">again </w:t>
      </w:r>
      <w:r w:rsidR="00986E60" w:rsidRPr="000E7FCE">
        <w:rPr>
          <w:rFonts w:ascii="Times New Roman" w:hAnsi="Times New Roman" w:cs="Times New Roman"/>
        </w:rPr>
        <w:t>by CVA (US$20.</w:t>
      </w:r>
      <w:r w:rsidR="00006F42">
        <w:rPr>
          <w:rFonts w:ascii="Times New Roman" w:hAnsi="Times New Roman" w:cs="Times New Roman"/>
        </w:rPr>
        <w:t>1</w:t>
      </w:r>
      <w:r w:rsidR="00986E60" w:rsidRPr="000E7FCE">
        <w:rPr>
          <w:rFonts w:ascii="Times New Roman" w:hAnsi="Times New Roman" w:cs="Times New Roman"/>
        </w:rPr>
        <w:t xml:space="preserve"> million)</w:t>
      </w:r>
      <w:r w:rsidR="00245487">
        <w:rPr>
          <w:rFonts w:ascii="Times New Roman" w:hAnsi="Times New Roman" w:cs="Times New Roman"/>
        </w:rPr>
        <w:t xml:space="preserve"> (Figure 2)</w:t>
      </w:r>
      <w:r w:rsidR="00986E60" w:rsidRPr="000E7FCE">
        <w:rPr>
          <w:rFonts w:ascii="Times New Roman" w:hAnsi="Times New Roman" w:cs="Times New Roman"/>
        </w:rPr>
        <w:t>. Capitalization to SOEs accounted for US$</w:t>
      </w:r>
      <w:r w:rsidR="00006F42">
        <w:rPr>
          <w:rFonts w:ascii="Times New Roman" w:hAnsi="Times New Roman" w:cs="Times New Roman"/>
        </w:rPr>
        <w:t>8</w:t>
      </w:r>
      <w:r w:rsidR="00986E60">
        <w:rPr>
          <w:rFonts w:ascii="Times New Roman" w:hAnsi="Times New Roman" w:cs="Times New Roman"/>
        </w:rPr>
        <w:t xml:space="preserve"> million in 2021 (US$</w:t>
      </w:r>
      <w:r w:rsidR="00986E60" w:rsidRPr="000E7FCE">
        <w:rPr>
          <w:rFonts w:ascii="Times New Roman" w:hAnsi="Times New Roman" w:cs="Times New Roman"/>
        </w:rPr>
        <w:t>7.</w:t>
      </w:r>
      <w:r w:rsidR="00986E60">
        <w:rPr>
          <w:rFonts w:ascii="Times New Roman" w:hAnsi="Times New Roman" w:cs="Times New Roman"/>
        </w:rPr>
        <w:t>9</w:t>
      </w:r>
      <w:r w:rsidR="00986E60" w:rsidRPr="000E7FCE">
        <w:rPr>
          <w:rFonts w:ascii="Times New Roman" w:hAnsi="Times New Roman" w:cs="Times New Roman"/>
        </w:rPr>
        <w:t xml:space="preserve"> million in 2020</w:t>
      </w:r>
      <w:r w:rsidR="00986E60">
        <w:rPr>
          <w:rFonts w:ascii="Times New Roman" w:hAnsi="Times New Roman" w:cs="Times New Roman"/>
        </w:rPr>
        <w:t>)</w:t>
      </w:r>
      <w:r w:rsidR="00986E60" w:rsidRPr="000E7FCE">
        <w:rPr>
          <w:rFonts w:ascii="Times New Roman" w:hAnsi="Times New Roman" w:cs="Times New Roman"/>
        </w:rPr>
        <w:t xml:space="preserve">, with NEWCO (the Special Purpose Vehicle created to absorb CVA debt before privatization) being the largest recipient with </w:t>
      </w:r>
      <w:r w:rsidR="00986E60">
        <w:rPr>
          <w:rFonts w:ascii="Times New Roman" w:hAnsi="Times New Roman" w:cs="Times New Roman"/>
        </w:rPr>
        <w:t>US$</w:t>
      </w:r>
      <w:r w:rsidR="00CD4B6F">
        <w:rPr>
          <w:rFonts w:ascii="Times New Roman" w:hAnsi="Times New Roman" w:cs="Times New Roman"/>
        </w:rPr>
        <w:t>6</w:t>
      </w:r>
      <w:r w:rsidR="00986E60">
        <w:rPr>
          <w:rFonts w:ascii="Times New Roman" w:hAnsi="Times New Roman" w:cs="Times New Roman"/>
        </w:rPr>
        <w:t>.8 million</w:t>
      </w:r>
      <w:r w:rsidR="00742704">
        <w:rPr>
          <w:rFonts w:ascii="Times New Roman" w:hAnsi="Times New Roman" w:cs="Times New Roman"/>
        </w:rPr>
        <w:t xml:space="preserve"> (Figure 3)</w:t>
      </w:r>
      <w:r w:rsidR="00CD4B6F">
        <w:rPr>
          <w:rFonts w:ascii="Times New Roman" w:hAnsi="Times New Roman" w:cs="Times New Roman"/>
        </w:rPr>
        <w:t>.</w:t>
      </w:r>
      <w:r w:rsidR="00986E60">
        <w:rPr>
          <w:rFonts w:ascii="Times New Roman" w:hAnsi="Times New Roman" w:cs="Times New Roman"/>
        </w:rPr>
        <w:t xml:space="preserve"> </w:t>
      </w:r>
      <w:r w:rsidR="00986E60" w:rsidRPr="000E7FCE">
        <w:rPr>
          <w:rFonts w:ascii="Times New Roman" w:hAnsi="Times New Roman" w:cs="Times New Roman"/>
        </w:rPr>
        <w:t xml:space="preserve"> The exceptional negative impact of the pandemic on the aviation sector led to the reversal of the privatization of CVA in July 2021 (Box </w:t>
      </w:r>
      <w:r w:rsidR="00986E60">
        <w:rPr>
          <w:rFonts w:ascii="Times New Roman" w:hAnsi="Times New Roman" w:cs="Times New Roman"/>
        </w:rPr>
        <w:t>2</w:t>
      </w:r>
      <w:r w:rsidR="00986E60" w:rsidRPr="000E7FCE">
        <w:rPr>
          <w:rFonts w:ascii="Times New Roman" w:hAnsi="Times New Roman" w:cs="Times New Roman"/>
        </w:rPr>
        <w:t xml:space="preserve">). The increased exposure to contingent liabilities in 2020 </w:t>
      </w:r>
      <w:r w:rsidR="00986E60">
        <w:rPr>
          <w:rFonts w:ascii="Times New Roman" w:hAnsi="Times New Roman" w:cs="Times New Roman"/>
        </w:rPr>
        <w:t xml:space="preserve">and 2021 </w:t>
      </w:r>
      <w:r w:rsidR="00986E60" w:rsidRPr="000E7FCE">
        <w:rPr>
          <w:rFonts w:ascii="Times New Roman" w:hAnsi="Times New Roman" w:cs="Times New Roman"/>
        </w:rPr>
        <w:t xml:space="preserve">added to </w:t>
      </w:r>
      <w:r w:rsidR="0058402C">
        <w:rPr>
          <w:rFonts w:ascii="Times New Roman" w:hAnsi="Times New Roman" w:cs="Times New Roman"/>
        </w:rPr>
        <w:t xml:space="preserve">the </w:t>
      </w:r>
      <w:r w:rsidR="00986E60" w:rsidRPr="000E7FCE">
        <w:rPr>
          <w:rFonts w:ascii="Times New Roman" w:hAnsi="Times New Roman" w:cs="Times New Roman"/>
        </w:rPr>
        <w:t xml:space="preserve">already high fiscal risks. </w:t>
      </w:r>
      <w:r w:rsidR="00CD64AC" w:rsidRPr="00833BBB">
        <w:rPr>
          <w:rFonts w:ascii="Times New Roman" w:hAnsi="Times New Roman" w:cs="Times New Roman"/>
        </w:rPr>
        <w:t xml:space="preserve">These fiscal vulnerabilities may undermine Cabo Verde’s efforts to restore fiscal sustainability and return debt (as a share of GDP) to a declining trajectory in the </w:t>
      </w:r>
      <w:r w:rsidR="005A6BFC">
        <w:rPr>
          <w:rFonts w:ascii="Times New Roman" w:hAnsi="Times New Roman" w:cs="Times New Roman"/>
        </w:rPr>
        <w:t>medium term</w:t>
      </w:r>
      <w:r w:rsidR="00CD64AC" w:rsidRPr="00833BBB">
        <w:rPr>
          <w:rFonts w:ascii="Times New Roman" w:hAnsi="Times New Roman" w:cs="Times New Roman"/>
        </w:rPr>
        <w:t xml:space="preserve">. Improving the </w:t>
      </w:r>
      <w:r w:rsidR="006E2F22">
        <w:rPr>
          <w:rFonts w:ascii="Times New Roman" w:hAnsi="Times New Roman" w:cs="Times New Roman"/>
        </w:rPr>
        <w:t xml:space="preserve">management and </w:t>
      </w:r>
      <w:r w:rsidR="00CD64AC" w:rsidRPr="00833BBB">
        <w:rPr>
          <w:rFonts w:ascii="Times New Roman" w:hAnsi="Times New Roman" w:cs="Times New Roman"/>
        </w:rPr>
        <w:t>monitoring of fiscal risks is paramount.</w:t>
      </w:r>
    </w:p>
    <w:p w14:paraId="7E9CCC3D" w14:textId="0CE9B3DA" w:rsidR="00202D4D" w:rsidRDefault="00202D4D" w:rsidP="00926B73">
      <w:pPr>
        <w:pStyle w:val="Caption"/>
        <w:keepNext/>
      </w:pPr>
    </w:p>
    <w:tbl>
      <w:tblPr>
        <w:tblStyle w:val="TableGrid"/>
        <w:tblW w:w="0" w:type="auto"/>
        <w:tblLook w:val="04A0" w:firstRow="1" w:lastRow="0" w:firstColumn="1" w:lastColumn="0" w:noHBand="0" w:noVBand="1"/>
      </w:tblPr>
      <w:tblGrid>
        <w:gridCol w:w="4708"/>
        <w:gridCol w:w="4642"/>
      </w:tblGrid>
      <w:tr w:rsidR="00815FD6" w14:paraId="02540D05" w14:textId="77777777" w:rsidTr="00B21D02">
        <w:tc>
          <w:tcPr>
            <w:tcW w:w="4729" w:type="dxa"/>
          </w:tcPr>
          <w:p w14:paraId="56CC4D9D" w14:textId="12E33094" w:rsidR="00833ED5" w:rsidRDefault="00833ED5" w:rsidP="00926B73">
            <w:pPr>
              <w:pStyle w:val="Caption"/>
              <w:keepNext/>
              <w:spacing w:after="0"/>
              <w:jc w:val="center"/>
              <w:rPr>
                <w:rFonts w:ascii="Times New Roman" w:hAnsi="Times New Roman" w:cs="Times New Roman"/>
                <w:b/>
                <w:bCs/>
                <w:i w:val="0"/>
                <w:iCs w:val="0"/>
                <w:color w:val="2F5496" w:themeColor="accent1" w:themeShade="BF"/>
                <w:sz w:val="20"/>
                <w:szCs w:val="20"/>
              </w:rPr>
            </w:pPr>
            <w:bookmarkStart w:id="38" w:name="_Toc103950876"/>
            <w:r w:rsidRPr="00926B7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2</w:t>
            </w:r>
            <w:r w:rsidR="009E2172">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 Loan Guarantees to SOEs</w:t>
            </w:r>
            <w:bookmarkEnd w:id="38"/>
            <w:r>
              <w:rPr>
                <w:rFonts w:ascii="Times New Roman" w:hAnsi="Times New Roman" w:cs="Times New Roman"/>
                <w:b/>
                <w:bCs/>
                <w:i w:val="0"/>
                <w:iCs w:val="0"/>
                <w:color w:val="2F5496" w:themeColor="accent1" w:themeShade="BF"/>
                <w:sz w:val="20"/>
                <w:szCs w:val="20"/>
              </w:rPr>
              <w:t xml:space="preserve"> </w:t>
            </w:r>
          </w:p>
          <w:p w14:paraId="7C7F6D67" w14:textId="77A29F43" w:rsidR="00833ED5" w:rsidRDefault="00833ED5" w:rsidP="00926B73">
            <w:pPr>
              <w:pStyle w:val="Caption"/>
              <w:keepNext/>
              <w:jc w:val="center"/>
              <w:rPr>
                <w:rFonts w:ascii="Times New Roman" w:hAnsi="Times New Roman" w:cs="Times New Roman"/>
                <w:b/>
                <w:bCs/>
                <w:i w:val="0"/>
                <w:iCs w:val="0"/>
                <w:color w:val="2F5496" w:themeColor="accent1" w:themeShade="BF"/>
                <w:sz w:val="20"/>
                <w:szCs w:val="20"/>
              </w:rPr>
            </w:pPr>
            <w:r>
              <w:rPr>
                <w:rFonts w:ascii="Times New Roman" w:hAnsi="Times New Roman" w:cs="Times New Roman"/>
                <w:b/>
                <w:bCs/>
                <w:i w:val="0"/>
                <w:iCs w:val="0"/>
                <w:color w:val="2F5496" w:themeColor="accent1" w:themeShade="BF"/>
                <w:sz w:val="20"/>
                <w:szCs w:val="20"/>
              </w:rPr>
              <w:t>(Millions of USD)</w:t>
            </w:r>
          </w:p>
          <w:p w14:paraId="34C4C3BA" w14:textId="4965B13B" w:rsidR="00E8153A" w:rsidRPr="00E8153A" w:rsidRDefault="00E8153A" w:rsidP="009B3253">
            <w:pPr>
              <w:jc w:val="center"/>
            </w:pPr>
            <w:r>
              <w:rPr>
                <w:noProof/>
              </w:rPr>
              <w:drawing>
                <wp:inline distT="0" distB="0" distL="0" distR="0" wp14:anchorId="33C65E56" wp14:editId="5B32DD6E">
                  <wp:extent cx="2920365" cy="2097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0365" cy="2097405"/>
                          </a:xfrm>
                          <a:prstGeom prst="rect">
                            <a:avLst/>
                          </a:prstGeom>
                          <a:noFill/>
                        </pic:spPr>
                      </pic:pic>
                    </a:graphicData>
                  </a:graphic>
                </wp:inline>
              </w:drawing>
            </w:r>
          </w:p>
          <w:p w14:paraId="388C083F" w14:textId="620D8FE7" w:rsidR="0064069B" w:rsidRPr="002846DD" w:rsidRDefault="0064069B" w:rsidP="002846DD">
            <w:pPr>
              <w:keepNext/>
              <w:overflowPunct w:val="0"/>
              <w:autoSpaceDE w:val="0"/>
              <w:autoSpaceDN w:val="0"/>
              <w:adjustRightInd w:val="0"/>
              <w:spacing w:before="240" w:line="276" w:lineRule="auto"/>
              <w:contextualSpacing/>
              <w:jc w:val="both"/>
              <w:textAlignment w:val="baseline"/>
            </w:pPr>
          </w:p>
        </w:tc>
        <w:tc>
          <w:tcPr>
            <w:tcW w:w="4621" w:type="dxa"/>
          </w:tcPr>
          <w:p w14:paraId="353FF39D" w14:textId="2D2BBF6F" w:rsidR="00833ED5" w:rsidRDefault="00833ED5" w:rsidP="00926B73">
            <w:pPr>
              <w:pStyle w:val="Caption"/>
              <w:keepNext/>
              <w:spacing w:after="0"/>
              <w:jc w:val="center"/>
              <w:rPr>
                <w:rFonts w:ascii="Times New Roman" w:hAnsi="Times New Roman" w:cs="Times New Roman"/>
                <w:b/>
                <w:bCs/>
                <w:i w:val="0"/>
                <w:iCs w:val="0"/>
                <w:color w:val="2F5496" w:themeColor="accent1" w:themeShade="BF"/>
                <w:sz w:val="20"/>
                <w:szCs w:val="20"/>
              </w:rPr>
            </w:pPr>
            <w:bookmarkStart w:id="39" w:name="_Toc103950877"/>
            <w:r w:rsidRPr="00926B7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3</w:t>
            </w:r>
            <w:r w:rsidR="009E2172">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 Capitalization to SOEs</w:t>
            </w:r>
            <w:bookmarkEnd w:id="39"/>
          </w:p>
          <w:p w14:paraId="139C4DCF" w14:textId="1E7042CA" w:rsidR="00833ED5" w:rsidRDefault="00833ED5" w:rsidP="00833ED5">
            <w:pPr>
              <w:pStyle w:val="Caption"/>
              <w:keepNext/>
              <w:jc w:val="center"/>
              <w:rPr>
                <w:rFonts w:ascii="Times New Roman" w:hAnsi="Times New Roman" w:cs="Times New Roman"/>
                <w:b/>
                <w:bCs/>
                <w:i w:val="0"/>
                <w:iCs w:val="0"/>
                <w:color w:val="2F5496" w:themeColor="accent1" w:themeShade="BF"/>
                <w:sz w:val="20"/>
                <w:szCs w:val="20"/>
              </w:rPr>
            </w:pPr>
            <w:r>
              <w:rPr>
                <w:rFonts w:ascii="Times New Roman" w:hAnsi="Times New Roman" w:cs="Times New Roman"/>
                <w:b/>
                <w:bCs/>
                <w:i w:val="0"/>
                <w:iCs w:val="0"/>
                <w:color w:val="2F5496" w:themeColor="accent1" w:themeShade="BF"/>
                <w:sz w:val="20"/>
                <w:szCs w:val="20"/>
              </w:rPr>
              <w:t xml:space="preserve"> (Millions of USD)</w:t>
            </w:r>
          </w:p>
          <w:p w14:paraId="53BEFC39" w14:textId="50A96678" w:rsidR="00E8153A" w:rsidRPr="009B3253" w:rsidRDefault="00B73413" w:rsidP="009B3253">
            <w:pPr>
              <w:jc w:val="center"/>
            </w:pPr>
            <w:r>
              <w:rPr>
                <w:noProof/>
              </w:rPr>
              <w:drawing>
                <wp:inline distT="0" distB="0" distL="0" distR="0" wp14:anchorId="0699A1FA" wp14:editId="573CC048">
                  <wp:extent cx="2877820" cy="2072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7820" cy="2072640"/>
                          </a:xfrm>
                          <a:prstGeom prst="rect">
                            <a:avLst/>
                          </a:prstGeom>
                          <a:noFill/>
                        </pic:spPr>
                      </pic:pic>
                    </a:graphicData>
                  </a:graphic>
                </wp:inline>
              </w:drawing>
            </w:r>
          </w:p>
          <w:p w14:paraId="6F253AF7" w14:textId="1EC13ACF" w:rsidR="0064069B" w:rsidRPr="002846DD" w:rsidRDefault="0064069B" w:rsidP="00926B73">
            <w:pPr>
              <w:pStyle w:val="Caption"/>
              <w:keepNext/>
              <w:jc w:val="center"/>
            </w:pPr>
          </w:p>
        </w:tc>
      </w:tr>
    </w:tbl>
    <w:p w14:paraId="1F17E2FC" w14:textId="5AD95B6C" w:rsidR="00B547D8" w:rsidRPr="00B21D02" w:rsidRDefault="00B21D02" w:rsidP="00986E60">
      <w:pPr>
        <w:overflowPunct w:val="0"/>
        <w:autoSpaceDE w:val="0"/>
        <w:autoSpaceDN w:val="0"/>
        <w:adjustRightInd w:val="0"/>
        <w:spacing w:before="240" w:line="276" w:lineRule="auto"/>
        <w:contextualSpacing/>
        <w:jc w:val="both"/>
        <w:textAlignment w:val="baseline"/>
        <w:rPr>
          <w:rFonts w:ascii="Times New Roman" w:hAnsi="Times New Roman" w:cs="Times New Roman"/>
          <w:sz w:val="18"/>
          <w:szCs w:val="18"/>
        </w:rPr>
      </w:pPr>
      <w:r w:rsidRPr="00B21D02">
        <w:rPr>
          <w:rFonts w:ascii="Times New Roman" w:hAnsi="Times New Roman" w:cs="Times New Roman"/>
          <w:sz w:val="18"/>
          <w:szCs w:val="18"/>
        </w:rPr>
        <w:t>Source: Cabo Verde’s Ministry of Finance.</w:t>
      </w:r>
      <w:r w:rsidRPr="00B21D02">
        <w:rPr>
          <w:rFonts w:ascii="Times New Roman" w:hAnsi="Times New Roman" w:cs="Times New Roman"/>
          <w:sz w:val="18"/>
          <w:szCs w:val="18"/>
        </w:rPr>
        <w:tab/>
      </w:r>
      <w:r>
        <w:rPr>
          <w:rFonts w:ascii="Times New Roman" w:hAnsi="Times New Roman" w:cs="Times New Roman"/>
          <w:sz w:val="18"/>
          <w:szCs w:val="18"/>
        </w:rPr>
        <w:t xml:space="preserve">                          </w:t>
      </w:r>
      <w:r w:rsidRPr="00B21D02">
        <w:rPr>
          <w:rFonts w:ascii="Times New Roman" w:hAnsi="Times New Roman" w:cs="Times New Roman"/>
          <w:sz w:val="18"/>
          <w:szCs w:val="18"/>
        </w:rPr>
        <w:t>Source: Cabo Verde’s Ministry of Finance</w:t>
      </w:r>
    </w:p>
    <w:p w14:paraId="65FC67AC" w14:textId="08CDDA88" w:rsidR="006A3549" w:rsidRDefault="006A3549" w:rsidP="00986E60">
      <w:pPr>
        <w:overflowPunct w:val="0"/>
        <w:autoSpaceDE w:val="0"/>
        <w:autoSpaceDN w:val="0"/>
        <w:adjustRightInd w:val="0"/>
        <w:spacing w:before="240" w:line="276" w:lineRule="auto"/>
        <w:contextualSpacing/>
        <w:jc w:val="both"/>
        <w:textAlignment w:val="baseline"/>
        <w:rPr>
          <w:rFonts w:ascii="Times New Roman" w:hAnsi="Times New Roman" w:cs="Times New Roman"/>
        </w:rPr>
      </w:pPr>
    </w:p>
    <w:p w14:paraId="5C453C64" w14:textId="77777777" w:rsidR="002F6F89" w:rsidRDefault="002F6F89" w:rsidP="00986E60">
      <w:pPr>
        <w:overflowPunct w:val="0"/>
        <w:autoSpaceDE w:val="0"/>
        <w:autoSpaceDN w:val="0"/>
        <w:adjustRightInd w:val="0"/>
        <w:spacing w:before="240" w:line="276" w:lineRule="auto"/>
        <w:contextualSpacing/>
        <w:jc w:val="both"/>
        <w:textAlignment w:val="baseline"/>
        <w:rPr>
          <w:rFonts w:ascii="Times New Roman" w:hAnsi="Times New Roman" w:cs="Times New Roman"/>
        </w:rPr>
      </w:pPr>
    </w:p>
    <w:tbl>
      <w:tblPr>
        <w:tblStyle w:val="TableGrid"/>
        <w:tblW w:w="0" w:type="auto"/>
        <w:jc w:val="center"/>
        <w:tblBorders>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350"/>
      </w:tblGrid>
      <w:tr w:rsidR="0048412E" w14:paraId="751720C0" w14:textId="77777777" w:rsidTr="0064069B">
        <w:trPr>
          <w:jc w:val="center"/>
        </w:trPr>
        <w:tc>
          <w:tcPr>
            <w:tcW w:w="9350" w:type="dxa"/>
            <w:tcBorders>
              <w:top w:val="single" w:sz="4" w:space="0" w:color="auto"/>
              <w:bottom w:val="single" w:sz="4" w:space="0" w:color="auto"/>
            </w:tcBorders>
            <w:shd w:val="clear" w:color="auto" w:fill="DEEAF6" w:themeFill="accent5" w:themeFillTint="33"/>
          </w:tcPr>
          <w:p w14:paraId="09EA1AE9" w14:textId="232A02CB" w:rsidR="0048412E" w:rsidRPr="00926B73" w:rsidRDefault="002D013E" w:rsidP="00926B73">
            <w:pPr>
              <w:pStyle w:val="Caption"/>
              <w:jc w:val="center"/>
              <w:rPr>
                <w:rFonts w:ascii="Times New Roman" w:hAnsi="Times New Roman" w:cs="Times New Roman"/>
                <w:b/>
                <w:bCs/>
                <w:sz w:val="20"/>
                <w:szCs w:val="20"/>
              </w:rPr>
            </w:pPr>
            <w:bookmarkStart w:id="40" w:name="_Toc103808294"/>
            <w:r w:rsidRPr="00926B73">
              <w:rPr>
                <w:rFonts w:ascii="Times New Roman" w:hAnsi="Times New Roman" w:cs="Times New Roman"/>
                <w:b/>
                <w:bCs/>
                <w:i w:val="0"/>
                <w:iCs w:val="0"/>
                <w:color w:val="2F5496" w:themeColor="accent1" w:themeShade="BF"/>
                <w:sz w:val="20"/>
                <w:szCs w:val="20"/>
              </w:rPr>
              <w:t xml:space="preserve">Box </w:t>
            </w:r>
            <w:r w:rsidRPr="00926B73">
              <w:rPr>
                <w:rFonts w:ascii="Times New Roman" w:hAnsi="Times New Roman" w:cs="Times New Roman"/>
                <w:b/>
                <w:bCs/>
                <w:i w:val="0"/>
                <w:iCs w:val="0"/>
                <w:color w:val="2F5496" w:themeColor="accent1" w:themeShade="BF"/>
                <w:sz w:val="20"/>
                <w:szCs w:val="20"/>
              </w:rPr>
              <w:fldChar w:fldCharType="begin"/>
            </w:r>
            <w:r w:rsidRPr="00926B73">
              <w:rPr>
                <w:rFonts w:ascii="Times New Roman" w:hAnsi="Times New Roman" w:cs="Times New Roman"/>
                <w:b/>
                <w:bCs/>
                <w:i w:val="0"/>
                <w:iCs w:val="0"/>
                <w:color w:val="2F5496" w:themeColor="accent1" w:themeShade="BF"/>
                <w:sz w:val="20"/>
                <w:szCs w:val="20"/>
              </w:rPr>
              <w:instrText xml:space="preserve"> SEQ Box \* ARABIC </w:instrText>
            </w:r>
            <w:r w:rsidRPr="00926B73">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2</w:t>
            </w:r>
            <w:r w:rsidRPr="00926B73">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 The Reversal of the Privatization of CVA</w:t>
            </w:r>
            <w:bookmarkEnd w:id="40"/>
          </w:p>
        </w:tc>
      </w:tr>
      <w:tr w:rsidR="0048412E" w14:paraId="76FBB3E4" w14:textId="77777777" w:rsidTr="0064069B">
        <w:trPr>
          <w:jc w:val="center"/>
        </w:trPr>
        <w:tc>
          <w:tcPr>
            <w:tcW w:w="9350" w:type="dxa"/>
            <w:tcBorders>
              <w:top w:val="single" w:sz="4" w:space="0" w:color="auto"/>
            </w:tcBorders>
            <w:shd w:val="clear" w:color="auto" w:fill="DEEAF6" w:themeFill="accent5" w:themeFillTint="33"/>
          </w:tcPr>
          <w:p w14:paraId="13506A3A" w14:textId="0BA4D1C9" w:rsidR="0048412E" w:rsidRPr="001546D3" w:rsidRDefault="0048412E" w:rsidP="000A4556">
            <w:pPr>
              <w:jc w:val="both"/>
              <w:rPr>
                <w:rFonts w:ascii="Times New Roman" w:hAnsi="Times New Roman" w:cs="Times New Roman"/>
                <w:sz w:val="20"/>
                <w:szCs w:val="20"/>
              </w:rPr>
            </w:pPr>
            <w:r w:rsidRPr="001546D3">
              <w:rPr>
                <w:rFonts w:ascii="Times New Roman" w:hAnsi="Times New Roman" w:cs="Times New Roman"/>
                <w:b/>
                <w:bCs/>
                <w:sz w:val="20"/>
                <w:szCs w:val="20"/>
              </w:rPr>
              <w:t xml:space="preserve">With the goal of reducing the fiscal burden and increase service delivery and connectivity, the Government sold 51 percent of the CVA’s shares to </w:t>
            </w:r>
            <w:proofErr w:type="spellStart"/>
            <w:r w:rsidRPr="001546D3">
              <w:rPr>
                <w:rFonts w:ascii="Times New Roman" w:hAnsi="Times New Roman" w:cs="Times New Roman"/>
                <w:b/>
                <w:bCs/>
                <w:i/>
                <w:iCs/>
                <w:sz w:val="20"/>
                <w:szCs w:val="20"/>
              </w:rPr>
              <w:t>Loftleidir</w:t>
            </w:r>
            <w:proofErr w:type="spellEnd"/>
            <w:r w:rsidRPr="001546D3">
              <w:rPr>
                <w:rFonts w:ascii="Times New Roman" w:hAnsi="Times New Roman" w:cs="Times New Roman"/>
                <w:b/>
                <w:bCs/>
                <w:i/>
                <w:iCs/>
                <w:sz w:val="20"/>
                <w:szCs w:val="20"/>
              </w:rPr>
              <w:t xml:space="preserve"> Icelandic</w:t>
            </w:r>
            <w:r w:rsidRPr="001546D3">
              <w:rPr>
                <w:rFonts w:ascii="Times New Roman" w:hAnsi="Times New Roman" w:cs="Times New Roman"/>
                <w:b/>
                <w:bCs/>
                <w:sz w:val="20"/>
                <w:szCs w:val="20"/>
              </w:rPr>
              <w:t xml:space="preserve">, a subsidiary of </w:t>
            </w:r>
            <w:r w:rsidRPr="001546D3">
              <w:rPr>
                <w:rFonts w:ascii="Times New Roman" w:hAnsi="Times New Roman" w:cs="Times New Roman"/>
                <w:b/>
                <w:bCs/>
                <w:i/>
                <w:iCs/>
                <w:sz w:val="20"/>
                <w:szCs w:val="20"/>
              </w:rPr>
              <w:t>Icelandair</w:t>
            </w:r>
            <w:r w:rsidRPr="001546D3">
              <w:rPr>
                <w:rFonts w:ascii="Times New Roman" w:hAnsi="Times New Roman" w:cs="Times New Roman"/>
                <w:b/>
                <w:bCs/>
                <w:sz w:val="20"/>
                <w:szCs w:val="20"/>
              </w:rPr>
              <w:t>, in March 2019.</w:t>
            </w:r>
            <w:r w:rsidRPr="001546D3">
              <w:rPr>
                <w:rFonts w:ascii="Times New Roman" w:hAnsi="Times New Roman" w:cs="Times New Roman"/>
                <w:sz w:val="20"/>
                <w:szCs w:val="20"/>
              </w:rPr>
              <w:t xml:space="preserve"> The choice of the investor aimed at providing CVA with experienced management capacity based on an Air Hub business model capable of leveraging the strategic location of Cabo Verde into an international platform for business and tourism. The restructuring of the company before privatization involved the creation of a Special Purpose Vehicle entirely owned by the Government to absorb CVA’s debt, estimated at around US$100 million. In December 2019, an additional 10 percent of CVA shares were sold, 7.5 percent to the diaspora (44 people) and 2.5 percent to the workers</w:t>
            </w:r>
            <w:r w:rsidR="00683B8D">
              <w:rPr>
                <w:rFonts w:ascii="Times New Roman" w:hAnsi="Times New Roman" w:cs="Times New Roman"/>
                <w:sz w:val="20"/>
                <w:szCs w:val="20"/>
              </w:rPr>
              <w:t>.</w:t>
            </w:r>
            <w:r w:rsidRPr="001546D3">
              <w:rPr>
                <w:rFonts w:ascii="Times New Roman" w:hAnsi="Times New Roman" w:cs="Times New Roman"/>
                <w:sz w:val="20"/>
                <w:szCs w:val="20"/>
              </w:rPr>
              <w:t xml:space="preserve"> </w:t>
            </w:r>
          </w:p>
          <w:p w14:paraId="0F07EBF2" w14:textId="77777777" w:rsidR="0048412E" w:rsidRPr="001546D3" w:rsidRDefault="0048412E" w:rsidP="000A4556">
            <w:pPr>
              <w:jc w:val="both"/>
              <w:rPr>
                <w:rFonts w:ascii="Times New Roman" w:hAnsi="Times New Roman" w:cs="Times New Roman"/>
                <w:sz w:val="20"/>
                <w:szCs w:val="20"/>
              </w:rPr>
            </w:pPr>
          </w:p>
          <w:p w14:paraId="3DF35138" w14:textId="6BC8FC54" w:rsidR="0048412E" w:rsidRPr="001546D3" w:rsidRDefault="0048412E" w:rsidP="000A4556">
            <w:pPr>
              <w:jc w:val="both"/>
              <w:rPr>
                <w:rFonts w:ascii="Times New Roman" w:hAnsi="Times New Roman" w:cs="Times New Roman"/>
                <w:sz w:val="20"/>
                <w:szCs w:val="20"/>
              </w:rPr>
            </w:pPr>
            <w:r w:rsidRPr="001546D3">
              <w:rPr>
                <w:rFonts w:ascii="Times New Roman" w:hAnsi="Times New Roman" w:cs="Times New Roman"/>
                <w:b/>
                <w:bCs/>
                <w:sz w:val="20"/>
                <w:szCs w:val="20"/>
              </w:rPr>
              <w:t>CVA’s poor financial performance after privatization, exacerbated by the impact of the COVID-19 crisis in the aviation sector, led to an accumulation of debt of US$</w:t>
            </w:r>
            <w:r w:rsidR="00683B8D">
              <w:rPr>
                <w:rFonts w:ascii="Times New Roman" w:hAnsi="Times New Roman" w:cs="Times New Roman"/>
                <w:b/>
                <w:bCs/>
                <w:sz w:val="20"/>
                <w:szCs w:val="20"/>
              </w:rPr>
              <w:t>58.1</w:t>
            </w:r>
            <w:r w:rsidRPr="001546D3">
              <w:rPr>
                <w:rFonts w:ascii="Times New Roman" w:hAnsi="Times New Roman" w:cs="Times New Roman"/>
                <w:b/>
                <w:bCs/>
                <w:sz w:val="20"/>
                <w:szCs w:val="20"/>
              </w:rPr>
              <w:t xml:space="preserve"> million (</w:t>
            </w:r>
            <w:r w:rsidR="00683B8D">
              <w:rPr>
                <w:rFonts w:ascii="Times New Roman" w:hAnsi="Times New Roman" w:cs="Times New Roman"/>
                <w:b/>
                <w:bCs/>
                <w:sz w:val="20"/>
                <w:szCs w:val="20"/>
              </w:rPr>
              <w:t>3.3</w:t>
            </w:r>
            <w:r w:rsidRPr="001546D3">
              <w:rPr>
                <w:rFonts w:ascii="Times New Roman" w:hAnsi="Times New Roman" w:cs="Times New Roman"/>
                <w:b/>
                <w:bCs/>
                <w:sz w:val="20"/>
                <w:szCs w:val="20"/>
              </w:rPr>
              <w:t xml:space="preserve"> percent of GDP) and the accrual of arrears of US$17.8 million (1 percent of GDP)</w:t>
            </w:r>
            <w:r w:rsidR="00683B8D">
              <w:rPr>
                <w:rFonts w:ascii="Times New Roman" w:hAnsi="Times New Roman" w:cs="Times New Roman"/>
                <w:b/>
                <w:bCs/>
                <w:sz w:val="20"/>
                <w:szCs w:val="20"/>
              </w:rPr>
              <w:t xml:space="preserve"> in 2021</w:t>
            </w:r>
            <w:r w:rsidRPr="001546D3">
              <w:rPr>
                <w:rFonts w:ascii="Times New Roman" w:hAnsi="Times New Roman" w:cs="Times New Roman"/>
                <w:b/>
                <w:bCs/>
                <w:sz w:val="20"/>
                <w:szCs w:val="20"/>
              </w:rPr>
              <w:t xml:space="preserve">. </w:t>
            </w:r>
            <w:r w:rsidRPr="001546D3">
              <w:rPr>
                <w:rFonts w:ascii="Times New Roman" w:hAnsi="Times New Roman" w:cs="Times New Roman"/>
                <w:sz w:val="20"/>
                <w:szCs w:val="20"/>
              </w:rPr>
              <w:t>While</w:t>
            </w:r>
            <w:r w:rsidRPr="001546D3">
              <w:rPr>
                <w:rFonts w:ascii="Times New Roman" w:hAnsi="Times New Roman" w:cs="Times New Roman"/>
                <w:b/>
                <w:bCs/>
                <w:sz w:val="20"/>
                <w:szCs w:val="20"/>
              </w:rPr>
              <w:t xml:space="preserve"> </w:t>
            </w:r>
            <w:r w:rsidRPr="001546D3">
              <w:rPr>
                <w:rFonts w:ascii="Times New Roman" w:hAnsi="Times New Roman" w:cs="Times New Roman"/>
                <w:sz w:val="20"/>
                <w:szCs w:val="20"/>
              </w:rPr>
              <w:t>operational revenue increased after privatization, the company reported losses (EBITDA) of US$66.1 million and US$38.3 million in 2019 and 2020, respectively. The lion share of debt is fully guaranteed by the Government (US$</w:t>
            </w:r>
            <w:r w:rsidR="009E60F5">
              <w:rPr>
                <w:rFonts w:ascii="Times New Roman" w:hAnsi="Times New Roman" w:cs="Times New Roman"/>
                <w:sz w:val="20"/>
                <w:szCs w:val="20"/>
              </w:rPr>
              <w:t>5</w:t>
            </w:r>
            <w:r w:rsidRPr="001546D3">
              <w:rPr>
                <w:rFonts w:ascii="Times New Roman" w:hAnsi="Times New Roman" w:cs="Times New Roman"/>
                <w:sz w:val="20"/>
                <w:szCs w:val="20"/>
              </w:rPr>
              <w:t>7.</w:t>
            </w:r>
            <w:r w:rsidR="009E60F5">
              <w:rPr>
                <w:rFonts w:ascii="Times New Roman" w:hAnsi="Times New Roman" w:cs="Times New Roman"/>
                <w:sz w:val="20"/>
                <w:szCs w:val="20"/>
              </w:rPr>
              <w:t>4</w:t>
            </w:r>
            <w:r w:rsidRPr="001546D3">
              <w:rPr>
                <w:rFonts w:ascii="Times New Roman" w:hAnsi="Times New Roman" w:cs="Times New Roman"/>
                <w:sz w:val="20"/>
                <w:szCs w:val="20"/>
              </w:rPr>
              <w:t xml:space="preserve"> million). CVA was grounded in March 2020 because of the COVID-19 </w:t>
            </w:r>
            <w:r w:rsidR="009E60F5">
              <w:rPr>
                <w:rFonts w:ascii="Times New Roman" w:hAnsi="Times New Roman" w:cs="Times New Roman"/>
                <w:sz w:val="20"/>
                <w:szCs w:val="20"/>
              </w:rPr>
              <w:t>shock</w:t>
            </w:r>
            <w:r w:rsidRPr="001546D3">
              <w:rPr>
                <w:rFonts w:ascii="Times New Roman" w:hAnsi="Times New Roman" w:cs="Times New Roman"/>
                <w:sz w:val="20"/>
                <w:szCs w:val="20"/>
              </w:rPr>
              <w:t xml:space="preserve">. In March 2021, the Government and the investor agreed on a revised business plan to relaunch the airline. </w:t>
            </w:r>
            <w:r w:rsidR="005F0392">
              <w:rPr>
                <w:rFonts w:ascii="Times New Roman" w:hAnsi="Times New Roman" w:cs="Times New Roman"/>
                <w:sz w:val="20"/>
                <w:szCs w:val="20"/>
              </w:rPr>
              <w:t>However, d</w:t>
            </w:r>
            <w:r w:rsidRPr="001546D3">
              <w:rPr>
                <w:rFonts w:ascii="Times New Roman" w:hAnsi="Times New Roman" w:cs="Times New Roman"/>
                <w:sz w:val="20"/>
                <w:szCs w:val="20"/>
              </w:rPr>
              <w:t xml:space="preserve">ifficulties in the implementation of the business plan made impossible the restart of CVA operations. </w:t>
            </w:r>
          </w:p>
          <w:p w14:paraId="3A7FB4ED" w14:textId="77777777" w:rsidR="0048412E" w:rsidRPr="001546D3" w:rsidRDefault="0048412E" w:rsidP="000A4556">
            <w:pPr>
              <w:jc w:val="both"/>
              <w:rPr>
                <w:rFonts w:ascii="Times New Roman" w:hAnsi="Times New Roman" w:cs="Times New Roman"/>
                <w:b/>
                <w:bCs/>
                <w:sz w:val="20"/>
                <w:szCs w:val="20"/>
              </w:rPr>
            </w:pPr>
          </w:p>
          <w:p w14:paraId="292C1048" w14:textId="10E94AD5" w:rsidR="002428E4" w:rsidRPr="002428E4" w:rsidRDefault="002428E4" w:rsidP="002428E4">
            <w:pPr>
              <w:jc w:val="both"/>
              <w:rPr>
                <w:rFonts w:ascii="Times New Roman" w:hAnsi="Times New Roman" w:cs="Times New Roman"/>
                <w:sz w:val="20"/>
                <w:szCs w:val="20"/>
              </w:rPr>
            </w:pPr>
            <w:r w:rsidRPr="00880208">
              <w:rPr>
                <w:rFonts w:ascii="Times New Roman" w:hAnsi="Times New Roman" w:cs="Times New Roman"/>
                <w:b/>
                <w:bCs/>
                <w:sz w:val="20"/>
                <w:szCs w:val="20"/>
              </w:rPr>
              <w:t>In July 2021 the Government reversed the partial privatization of CVA on public interest grounds of fiscal responsibility, to manage risks that could trigger the loan guarantees and require further fiscal support</w:t>
            </w:r>
            <w:r w:rsidRPr="002428E4">
              <w:rPr>
                <w:rFonts w:ascii="Times New Roman" w:hAnsi="Times New Roman" w:cs="Times New Roman"/>
                <w:sz w:val="20"/>
                <w:szCs w:val="20"/>
              </w:rPr>
              <w:t xml:space="preserve">. The authorities’ announced </w:t>
            </w:r>
            <w:r w:rsidR="004F642F">
              <w:rPr>
                <w:rFonts w:ascii="Times New Roman" w:hAnsi="Times New Roman" w:cs="Times New Roman"/>
                <w:sz w:val="20"/>
                <w:szCs w:val="20"/>
              </w:rPr>
              <w:t>a three-stage</w:t>
            </w:r>
            <w:r w:rsidR="00207375">
              <w:rPr>
                <w:rFonts w:ascii="Times New Roman" w:hAnsi="Times New Roman" w:cs="Times New Roman"/>
                <w:sz w:val="20"/>
                <w:szCs w:val="20"/>
              </w:rPr>
              <w:t xml:space="preserve"> </w:t>
            </w:r>
            <w:r w:rsidRPr="002428E4">
              <w:rPr>
                <w:rFonts w:ascii="Times New Roman" w:hAnsi="Times New Roman" w:cs="Times New Roman"/>
                <w:sz w:val="20"/>
                <w:szCs w:val="20"/>
              </w:rPr>
              <w:t xml:space="preserve">plan to restructure </w:t>
            </w:r>
            <w:r w:rsidR="00207375">
              <w:rPr>
                <w:rFonts w:ascii="Times New Roman" w:hAnsi="Times New Roman" w:cs="Times New Roman"/>
                <w:sz w:val="20"/>
                <w:szCs w:val="20"/>
              </w:rPr>
              <w:t xml:space="preserve">the </w:t>
            </w:r>
            <w:r w:rsidR="0086776F">
              <w:rPr>
                <w:rFonts w:ascii="Times New Roman" w:hAnsi="Times New Roman" w:cs="Times New Roman"/>
                <w:sz w:val="20"/>
                <w:szCs w:val="20"/>
              </w:rPr>
              <w:t xml:space="preserve">airline </w:t>
            </w:r>
            <w:r w:rsidR="0086776F" w:rsidRPr="002428E4">
              <w:rPr>
                <w:rFonts w:ascii="Times New Roman" w:hAnsi="Times New Roman" w:cs="Times New Roman"/>
                <w:sz w:val="20"/>
                <w:szCs w:val="20"/>
              </w:rPr>
              <w:t>and</w:t>
            </w:r>
            <w:r w:rsidRPr="002428E4">
              <w:rPr>
                <w:rFonts w:ascii="Times New Roman" w:hAnsi="Times New Roman" w:cs="Times New Roman"/>
                <w:sz w:val="20"/>
                <w:szCs w:val="20"/>
              </w:rPr>
              <w:t xml:space="preserve"> prepare </w:t>
            </w:r>
            <w:r w:rsidR="00EE4B02">
              <w:rPr>
                <w:rFonts w:ascii="Times New Roman" w:hAnsi="Times New Roman" w:cs="Times New Roman"/>
                <w:sz w:val="20"/>
                <w:szCs w:val="20"/>
              </w:rPr>
              <w:t>it</w:t>
            </w:r>
            <w:r w:rsidRPr="002428E4">
              <w:rPr>
                <w:rFonts w:ascii="Times New Roman" w:hAnsi="Times New Roman" w:cs="Times New Roman"/>
                <w:sz w:val="20"/>
                <w:szCs w:val="20"/>
              </w:rPr>
              <w:t xml:space="preserve"> for re-privatization by 2024-2025. </w:t>
            </w:r>
            <w:r w:rsidR="00246BFE" w:rsidRPr="00246BFE">
              <w:rPr>
                <w:rFonts w:ascii="Times New Roman" w:hAnsi="Times New Roman" w:cs="Times New Roman"/>
                <w:sz w:val="20"/>
                <w:szCs w:val="20"/>
              </w:rPr>
              <w:t>The first stage, to be implemented in 2022, aims to link Cabo Verde to Portugal to ensure competitive connectivity and requires an estimated financing of US$ 17.6 million (1 percent of GDP). This phase includes restoring the operating license, training crews, and start operations under an ACMI leasing agreement. The second stage of the business plan, envisioned to be implemented in 2023-2024, aims to scale up operations and restore commercial credibility. The third stage, envisioned to be implemented in 2024, will stabilize operations and restore the carrier reputation to start the process for privatization.</w:t>
            </w:r>
          </w:p>
          <w:p w14:paraId="1A796935" w14:textId="77777777" w:rsidR="002428E4" w:rsidRPr="002428E4" w:rsidRDefault="002428E4" w:rsidP="002428E4">
            <w:pPr>
              <w:jc w:val="both"/>
              <w:rPr>
                <w:rFonts w:ascii="Times New Roman" w:hAnsi="Times New Roman" w:cs="Times New Roman"/>
                <w:sz w:val="20"/>
                <w:szCs w:val="20"/>
              </w:rPr>
            </w:pPr>
          </w:p>
          <w:p w14:paraId="10CE65E2" w14:textId="42D6D374" w:rsidR="003C1BF7" w:rsidRPr="009B3253" w:rsidRDefault="003C1BF7" w:rsidP="003C1BF7">
            <w:pPr>
              <w:jc w:val="both"/>
              <w:rPr>
                <w:rFonts w:ascii="Times New Roman" w:hAnsi="Times New Roman" w:cs="Times New Roman"/>
                <w:sz w:val="20"/>
                <w:szCs w:val="20"/>
              </w:rPr>
            </w:pPr>
            <w:r w:rsidRPr="003C1BF7">
              <w:rPr>
                <w:rFonts w:ascii="Times New Roman" w:hAnsi="Times New Roman" w:cs="Times New Roman"/>
                <w:b/>
                <w:bCs/>
                <w:sz w:val="20"/>
                <w:szCs w:val="20"/>
              </w:rPr>
              <w:lastRenderedPageBreak/>
              <w:t xml:space="preserve">Cabo Verde Airlines resumed operations in January 2022 with weekly connections from Santiago, Sal, and São Vicente to Lisbon. </w:t>
            </w:r>
            <w:r w:rsidRPr="009B3253">
              <w:rPr>
                <w:rFonts w:ascii="Times New Roman" w:hAnsi="Times New Roman" w:cs="Times New Roman"/>
                <w:sz w:val="20"/>
                <w:szCs w:val="20"/>
              </w:rPr>
              <w:t>The company operated under an ACMI leasing agreement with TAAG (</w:t>
            </w:r>
            <w:proofErr w:type="spellStart"/>
            <w:r w:rsidRPr="009B3253">
              <w:rPr>
                <w:rFonts w:ascii="Times New Roman" w:hAnsi="Times New Roman" w:cs="Times New Roman"/>
                <w:sz w:val="20"/>
                <w:szCs w:val="20"/>
              </w:rPr>
              <w:t>Transportes</w:t>
            </w:r>
            <w:proofErr w:type="spellEnd"/>
            <w:r w:rsidRPr="009B3253">
              <w:rPr>
                <w:rFonts w:ascii="Times New Roman" w:hAnsi="Times New Roman" w:cs="Times New Roman"/>
                <w:sz w:val="20"/>
                <w:szCs w:val="20"/>
              </w:rPr>
              <w:t xml:space="preserve"> </w:t>
            </w:r>
            <w:proofErr w:type="spellStart"/>
            <w:r w:rsidRPr="009B3253">
              <w:rPr>
                <w:rFonts w:ascii="Times New Roman" w:hAnsi="Times New Roman" w:cs="Times New Roman"/>
                <w:sz w:val="20"/>
                <w:szCs w:val="20"/>
              </w:rPr>
              <w:t>Aéreos</w:t>
            </w:r>
            <w:proofErr w:type="spellEnd"/>
            <w:r w:rsidRPr="009B3253">
              <w:rPr>
                <w:rFonts w:ascii="Times New Roman" w:hAnsi="Times New Roman" w:cs="Times New Roman"/>
                <w:sz w:val="20"/>
                <w:szCs w:val="20"/>
              </w:rPr>
              <w:t xml:space="preserve"> de Angola) that made available a </w:t>
            </w:r>
            <w:r w:rsidR="0086776F" w:rsidRPr="009B3253">
              <w:rPr>
                <w:rFonts w:ascii="Times New Roman" w:hAnsi="Times New Roman" w:cs="Times New Roman"/>
                <w:sz w:val="20"/>
                <w:szCs w:val="20"/>
              </w:rPr>
              <w:t>120-seat</w:t>
            </w:r>
            <w:r w:rsidRPr="009B3253">
              <w:rPr>
                <w:rFonts w:ascii="Times New Roman" w:hAnsi="Times New Roman" w:cs="Times New Roman"/>
                <w:sz w:val="20"/>
                <w:szCs w:val="20"/>
              </w:rPr>
              <w:t xml:space="preserve"> aircraft for CVA operations. By mid-March 2021, the airline had carried around 3,100 passengers. CVA plans to begin operating on a dry lease basis by the end of May, with national crews, maintenance, and insurance services provided directly by </w:t>
            </w:r>
            <w:r w:rsidR="006843A0">
              <w:rPr>
                <w:rFonts w:ascii="Times New Roman" w:hAnsi="Times New Roman" w:cs="Times New Roman"/>
                <w:sz w:val="20"/>
                <w:szCs w:val="20"/>
              </w:rPr>
              <w:t>CVA</w:t>
            </w:r>
            <w:r w:rsidRPr="009B3253">
              <w:rPr>
                <w:rFonts w:ascii="Times New Roman" w:hAnsi="Times New Roman" w:cs="Times New Roman"/>
                <w:sz w:val="20"/>
                <w:szCs w:val="20"/>
              </w:rPr>
              <w:t>. The Government plans to resume flights to Boston in mid-July, for which the leasing of a second aircraft will be negotiated with TAAG.</w:t>
            </w:r>
          </w:p>
          <w:p w14:paraId="59273983" w14:textId="77777777" w:rsidR="003C1BF7" w:rsidRPr="003C1BF7" w:rsidRDefault="003C1BF7" w:rsidP="003C1BF7">
            <w:pPr>
              <w:jc w:val="both"/>
              <w:rPr>
                <w:rFonts w:ascii="Times New Roman" w:hAnsi="Times New Roman" w:cs="Times New Roman"/>
                <w:b/>
                <w:bCs/>
                <w:sz w:val="20"/>
                <w:szCs w:val="20"/>
              </w:rPr>
            </w:pPr>
          </w:p>
          <w:p w14:paraId="110F484C" w14:textId="1E22055B" w:rsidR="00907F0B" w:rsidRDefault="003C1BF7" w:rsidP="0086776F">
            <w:pPr>
              <w:jc w:val="both"/>
            </w:pPr>
            <w:r w:rsidRPr="003C1BF7">
              <w:rPr>
                <w:rFonts w:ascii="Times New Roman" w:hAnsi="Times New Roman" w:cs="Times New Roman"/>
                <w:b/>
                <w:bCs/>
                <w:sz w:val="20"/>
                <w:szCs w:val="20"/>
              </w:rPr>
              <w:t>Financing needs are estimated at US$17.6 million (1 percent of GDP) in 2022 and to remain stable</w:t>
            </w:r>
            <w:r w:rsidR="00F83FCF">
              <w:rPr>
                <w:rFonts w:ascii="Times New Roman" w:hAnsi="Times New Roman" w:cs="Times New Roman"/>
                <w:b/>
                <w:bCs/>
                <w:sz w:val="20"/>
                <w:szCs w:val="20"/>
              </w:rPr>
              <w:t xml:space="preserve"> at around this level</w:t>
            </w:r>
            <w:r w:rsidRPr="003C1BF7">
              <w:rPr>
                <w:rFonts w:ascii="Times New Roman" w:hAnsi="Times New Roman" w:cs="Times New Roman"/>
                <w:b/>
                <w:bCs/>
                <w:sz w:val="20"/>
                <w:szCs w:val="20"/>
              </w:rPr>
              <w:t xml:space="preserve"> from 2023 to 2025. </w:t>
            </w:r>
            <w:r w:rsidRPr="009B3253">
              <w:rPr>
                <w:rFonts w:ascii="Times New Roman" w:hAnsi="Times New Roman" w:cs="Times New Roman"/>
                <w:sz w:val="20"/>
                <w:szCs w:val="20"/>
              </w:rPr>
              <w:t>Authorities plan to finance this requirement with a combination of direct capitalization and guarantees for domestic loans, which are included in the baseline scenario of the fiscal framework for this operation. In February 2022, the state granted a loan guarantee of US$1.6 million to CVA.</w:t>
            </w:r>
          </w:p>
          <w:p w14:paraId="0448C6B5" w14:textId="01D73D0B" w:rsidR="00917B63" w:rsidRPr="00E76D01" w:rsidRDefault="00917B63" w:rsidP="00926B73">
            <w:pPr>
              <w:keepNext/>
              <w:rPr>
                <w:rFonts w:ascii="Times New Roman" w:hAnsi="Times New Roman" w:cs="Times New Roman"/>
                <w:sz w:val="20"/>
                <w:szCs w:val="20"/>
              </w:rPr>
            </w:pPr>
          </w:p>
        </w:tc>
      </w:tr>
    </w:tbl>
    <w:p w14:paraId="49628DED" w14:textId="77777777" w:rsidR="00E76D01" w:rsidRDefault="00E76D01" w:rsidP="00225945">
      <w:pPr>
        <w:pStyle w:val="Caption"/>
        <w:jc w:val="both"/>
        <w:rPr>
          <w:rFonts w:ascii="Times New Roman" w:hAnsi="Times New Roman" w:cs="Times New Roman"/>
          <w:b/>
          <w:bCs/>
          <w:i w:val="0"/>
          <w:iCs w:val="0"/>
          <w:color w:val="auto"/>
          <w:sz w:val="22"/>
          <w:szCs w:val="22"/>
        </w:rPr>
      </w:pPr>
    </w:p>
    <w:p w14:paraId="1D101C70" w14:textId="2B316317" w:rsidR="00BC58D5" w:rsidRDefault="00F03527" w:rsidP="00A27DC3">
      <w:pPr>
        <w:pStyle w:val="Caption"/>
        <w:jc w:val="both"/>
        <w:rPr>
          <w:rFonts w:ascii="Times New Roman" w:hAnsi="Times New Roman" w:cs="Times New Roman"/>
          <w:i w:val="0"/>
          <w:iCs w:val="0"/>
          <w:color w:val="auto"/>
          <w:sz w:val="22"/>
          <w:szCs w:val="22"/>
        </w:rPr>
      </w:pPr>
      <w:r>
        <w:rPr>
          <w:rFonts w:ascii="Times New Roman" w:hAnsi="Times New Roman" w:cs="Times New Roman"/>
          <w:b/>
          <w:bCs/>
          <w:i w:val="0"/>
          <w:iCs w:val="0"/>
          <w:color w:val="auto"/>
          <w:sz w:val="22"/>
          <w:szCs w:val="22"/>
        </w:rPr>
        <w:t>8</w:t>
      </w:r>
      <w:r w:rsidR="006A3549" w:rsidRPr="00A27DC3">
        <w:rPr>
          <w:rFonts w:ascii="Times New Roman" w:hAnsi="Times New Roman" w:cs="Times New Roman"/>
          <w:b/>
          <w:bCs/>
          <w:i w:val="0"/>
          <w:iCs w:val="0"/>
          <w:color w:val="auto"/>
          <w:sz w:val="22"/>
          <w:szCs w:val="22"/>
        </w:rPr>
        <w:t xml:space="preserve">. </w:t>
      </w:r>
      <w:r w:rsidR="00584A62" w:rsidRPr="00584A62">
        <w:rPr>
          <w:rFonts w:ascii="Times New Roman" w:hAnsi="Times New Roman" w:cs="Times New Roman"/>
          <w:b/>
          <w:bCs/>
          <w:i w:val="0"/>
          <w:iCs w:val="0"/>
          <w:color w:val="auto"/>
          <w:sz w:val="22"/>
          <w:szCs w:val="22"/>
        </w:rPr>
        <w:t xml:space="preserve">Public debt increased further in 2021, reaching 155.3 percent of GDP, </w:t>
      </w:r>
      <w:r w:rsidR="0054251B">
        <w:rPr>
          <w:rFonts w:ascii="Times New Roman" w:hAnsi="Times New Roman" w:cs="Times New Roman"/>
          <w:b/>
          <w:bCs/>
          <w:i w:val="0"/>
          <w:iCs w:val="0"/>
          <w:color w:val="auto"/>
          <w:sz w:val="22"/>
          <w:szCs w:val="22"/>
        </w:rPr>
        <w:t>as the country</w:t>
      </w:r>
      <w:r w:rsidR="00584A62" w:rsidRPr="00584A62">
        <w:rPr>
          <w:rFonts w:ascii="Times New Roman" w:hAnsi="Times New Roman" w:cs="Times New Roman"/>
          <w:b/>
          <w:bCs/>
          <w:i w:val="0"/>
          <w:iCs w:val="0"/>
          <w:color w:val="auto"/>
          <w:sz w:val="22"/>
          <w:szCs w:val="22"/>
        </w:rPr>
        <w:t xml:space="preserve"> resort</w:t>
      </w:r>
      <w:r w:rsidR="0054251B">
        <w:rPr>
          <w:rFonts w:ascii="Times New Roman" w:hAnsi="Times New Roman" w:cs="Times New Roman"/>
          <w:b/>
          <w:bCs/>
          <w:i w:val="0"/>
          <w:iCs w:val="0"/>
          <w:color w:val="auto"/>
          <w:sz w:val="22"/>
          <w:szCs w:val="22"/>
        </w:rPr>
        <w:t>ed</w:t>
      </w:r>
      <w:r w:rsidR="00584A62" w:rsidRPr="00584A62">
        <w:rPr>
          <w:rFonts w:ascii="Times New Roman" w:hAnsi="Times New Roman" w:cs="Times New Roman"/>
          <w:b/>
          <w:bCs/>
          <w:i w:val="0"/>
          <w:iCs w:val="0"/>
          <w:color w:val="auto"/>
          <w:sz w:val="22"/>
          <w:szCs w:val="22"/>
        </w:rPr>
        <w:t xml:space="preserve"> to external concessional loans and the issuance of treasury bonds to cover fiscal financing needs. </w:t>
      </w:r>
      <w:r w:rsidR="003D690F" w:rsidRPr="00A27DC3">
        <w:rPr>
          <w:rFonts w:ascii="Times New Roman" w:hAnsi="Times New Roman" w:cs="Times New Roman"/>
          <w:i w:val="0"/>
          <w:iCs w:val="0"/>
          <w:color w:val="auto"/>
          <w:sz w:val="22"/>
          <w:szCs w:val="22"/>
        </w:rPr>
        <w:t xml:space="preserve">Public debt had been on a declining path since 2017, falling </w:t>
      </w:r>
      <w:r w:rsidR="003D690F">
        <w:rPr>
          <w:rFonts w:ascii="Times New Roman" w:hAnsi="Times New Roman" w:cs="Times New Roman"/>
          <w:i w:val="0"/>
          <w:iCs w:val="0"/>
          <w:color w:val="auto"/>
          <w:sz w:val="22"/>
          <w:szCs w:val="22"/>
        </w:rPr>
        <w:t xml:space="preserve">to </w:t>
      </w:r>
      <w:r w:rsidR="003D690F" w:rsidRPr="00A27DC3">
        <w:rPr>
          <w:rFonts w:ascii="Times New Roman" w:hAnsi="Times New Roman" w:cs="Times New Roman"/>
          <w:i w:val="0"/>
          <w:iCs w:val="0"/>
          <w:color w:val="auto"/>
          <w:sz w:val="22"/>
          <w:szCs w:val="22"/>
        </w:rPr>
        <w:t xml:space="preserve">124.1 percent </w:t>
      </w:r>
      <w:r w:rsidR="003D690F">
        <w:rPr>
          <w:rFonts w:ascii="Times New Roman" w:hAnsi="Times New Roman" w:cs="Times New Roman"/>
          <w:i w:val="0"/>
          <w:iCs w:val="0"/>
          <w:color w:val="auto"/>
          <w:sz w:val="22"/>
          <w:szCs w:val="22"/>
        </w:rPr>
        <w:t xml:space="preserve">of GDP in 2019. However, this progress was reversed during the pandemic, with increased borrowing </w:t>
      </w:r>
      <w:r w:rsidR="003D690F" w:rsidRPr="00A27DC3">
        <w:rPr>
          <w:rFonts w:ascii="Times New Roman" w:hAnsi="Times New Roman" w:cs="Times New Roman"/>
          <w:i w:val="0"/>
          <w:iCs w:val="0"/>
          <w:color w:val="auto"/>
          <w:sz w:val="22"/>
          <w:szCs w:val="22"/>
        </w:rPr>
        <w:t>(and the contraction of GDP)</w:t>
      </w:r>
      <w:r w:rsidR="003D690F">
        <w:rPr>
          <w:rFonts w:ascii="Times New Roman" w:hAnsi="Times New Roman" w:cs="Times New Roman"/>
          <w:i w:val="0"/>
          <w:iCs w:val="0"/>
          <w:color w:val="auto"/>
          <w:sz w:val="22"/>
          <w:szCs w:val="22"/>
        </w:rPr>
        <w:t>,</w:t>
      </w:r>
      <w:r w:rsidR="003D690F" w:rsidRPr="00A27DC3">
        <w:rPr>
          <w:rFonts w:ascii="Times New Roman" w:hAnsi="Times New Roman" w:cs="Times New Roman"/>
          <w:i w:val="0"/>
          <w:iCs w:val="0"/>
          <w:color w:val="auto"/>
          <w:sz w:val="22"/>
          <w:szCs w:val="22"/>
        </w:rPr>
        <w:t xml:space="preserve"> </w:t>
      </w:r>
      <w:r w:rsidR="003D690F">
        <w:rPr>
          <w:rFonts w:ascii="Times New Roman" w:hAnsi="Times New Roman" w:cs="Times New Roman"/>
          <w:i w:val="0"/>
          <w:iCs w:val="0"/>
          <w:color w:val="auto"/>
          <w:sz w:val="22"/>
          <w:szCs w:val="22"/>
        </w:rPr>
        <w:t xml:space="preserve">leading </w:t>
      </w:r>
      <w:r w:rsidR="003D690F" w:rsidRPr="00A27DC3">
        <w:rPr>
          <w:rFonts w:ascii="Times New Roman" w:hAnsi="Times New Roman" w:cs="Times New Roman"/>
          <w:i w:val="0"/>
          <w:iCs w:val="0"/>
          <w:color w:val="auto"/>
          <w:sz w:val="22"/>
          <w:szCs w:val="22"/>
        </w:rPr>
        <w:t xml:space="preserve">public debt to </w:t>
      </w:r>
      <w:r w:rsidR="003D690F">
        <w:rPr>
          <w:rFonts w:ascii="Times New Roman" w:hAnsi="Times New Roman" w:cs="Times New Roman"/>
          <w:i w:val="0"/>
          <w:iCs w:val="0"/>
          <w:color w:val="auto"/>
          <w:sz w:val="22"/>
          <w:szCs w:val="22"/>
        </w:rPr>
        <w:t xml:space="preserve">rise to </w:t>
      </w:r>
      <w:r w:rsidR="003D690F" w:rsidRPr="00A27DC3">
        <w:rPr>
          <w:rFonts w:ascii="Times New Roman" w:hAnsi="Times New Roman" w:cs="Times New Roman"/>
          <w:i w:val="0"/>
          <w:iCs w:val="0"/>
          <w:color w:val="auto"/>
          <w:sz w:val="22"/>
          <w:szCs w:val="22"/>
        </w:rPr>
        <w:t xml:space="preserve">154.9 percent of GDP </w:t>
      </w:r>
      <w:r w:rsidR="003D690F">
        <w:rPr>
          <w:rFonts w:ascii="Times New Roman" w:hAnsi="Times New Roman" w:cs="Times New Roman"/>
          <w:i w:val="0"/>
          <w:iCs w:val="0"/>
          <w:color w:val="auto"/>
          <w:sz w:val="22"/>
          <w:szCs w:val="22"/>
        </w:rPr>
        <w:t xml:space="preserve">in 2020 </w:t>
      </w:r>
      <w:r w:rsidR="003D690F" w:rsidRPr="00A27DC3">
        <w:rPr>
          <w:rFonts w:ascii="Times New Roman" w:hAnsi="Times New Roman" w:cs="Times New Roman"/>
          <w:i w:val="0"/>
          <w:iCs w:val="0"/>
          <w:color w:val="auto"/>
          <w:sz w:val="22"/>
          <w:szCs w:val="22"/>
        </w:rPr>
        <w:t>(Figure 4)</w:t>
      </w:r>
      <w:r w:rsidR="003D690F">
        <w:rPr>
          <w:rFonts w:ascii="Times New Roman" w:hAnsi="Times New Roman" w:cs="Times New Roman"/>
          <w:i w:val="0"/>
          <w:iCs w:val="0"/>
          <w:color w:val="auto"/>
          <w:sz w:val="22"/>
          <w:szCs w:val="22"/>
        </w:rPr>
        <w:t>. In 2021, debt increased slightly to 155.3 percent of GDP, with</w:t>
      </w:r>
      <w:r w:rsidR="0054251B">
        <w:rPr>
          <w:rFonts w:ascii="Times New Roman" w:hAnsi="Times New Roman" w:cs="Times New Roman"/>
          <w:b/>
          <w:bCs/>
          <w:i w:val="0"/>
          <w:iCs w:val="0"/>
          <w:color w:val="auto"/>
          <w:sz w:val="22"/>
          <w:szCs w:val="22"/>
        </w:rPr>
        <w:t xml:space="preserve"> </w:t>
      </w:r>
      <w:r w:rsidR="0054251B">
        <w:rPr>
          <w:rFonts w:ascii="Times New Roman" w:hAnsi="Times New Roman" w:cs="Times New Roman"/>
          <w:i w:val="0"/>
          <w:iCs w:val="0"/>
          <w:color w:val="auto"/>
          <w:sz w:val="22"/>
          <w:szCs w:val="22"/>
        </w:rPr>
        <w:t>t</w:t>
      </w:r>
      <w:r w:rsidR="005275F3" w:rsidRPr="00C87120">
        <w:rPr>
          <w:rFonts w:ascii="Times New Roman" w:hAnsi="Times New Roman" w:cs="Times New Roman"/>
          <w:i w:val="0"/>
          <w:iCs w:val="0"/>
          <w:color w:val="auto"/>
          <w:sz w:val="22"/>
          <w:szCs w:val="22"/>
        </w:rPr>
        <w:t>he stock of external debt represent</w:t>
      </w:r>
      <w:r w:rsidR="003D690F">
        <w:rPr>
          <w:rFonts w:ascii="Times New Roman" w:hAnsi="Times New Roman" w:cs="Times New Roman"/>
          <w:i w:val="0"/>
          <w:iCs w:val="0"/>
          <w:color w:val="auto"/>
          <w:sz w:val="22"/>
          <w:szCs w:val="22"/>
        </w:rPr>
        <w:t>ing</w:t>
      </w:r>
      <w:r w:rsidR="005275F3" w:rsidRPr="00C87120">
        <w:rPr>
          <w:rFonts w:ascii="Times New Roman" w:hAnsi="Times New Roman" w:cs="Times New Roman"/>
          <w:i w:val="0"/>
          <w:iCs w:val="0"/>
          <w:color w:val="auto"/>
          <w:sz w:val="22"/>
          <w:szCs w:val="22"/>
        </w:rPr>
        <w:t xml:space="preserve"> 110.1 percent of GDP </w:t>
      </w:r>
      <w:r w:rsidR="0054251B">
        <w:rPr>
          <w:rFonts w:ascii="Times New Roman" w:hAnsi="Times New Roman" w:cs="Times New Roman"/>
          <w:i w:val="0"/>
          <w:iCs w:val="0"/>
          <w:color w:val="auto"/>
          <w:sz w:val="22"/>
          <w:szCs w:val="22"/>
        </w:rPr>
        <w:t>and</w:t>
      </w:r>
      <w:r w:rsidR="005275F3" w:rsidRPr="00C87120">
        <w:rPr>
          <w:rFonts w:ascii="Times New Roman" w:hAnsi="Times New Roman" w:cs="Times New Roman"/>
          <w:i w:val="0"/>
          <w:iCs w:val="0"/>
          <w:color w:val="auto"/>
          <w:sz w:val="22"/>
          <w:szCs w:val="22"/>
        </w:rPr>
        <w:t xml:space="preserve"> domestic debt represent</w:t>
      </w:r>
      <w:r w:rsidR="003D690F">
        <w:rPr>
          <w:rFonts w:ascii="Times New Roman" w:hAnsi="Times New Roman" w:cs="Times New Roman"/>
          <w:i w:val="0"/>
          <w:iCs w:val="0"/>
          <w:color w:val="auto"/>
          <w:sz w:val="22"/>
          <w:szCs w:val="22"/>
        </w:rPr>
        <w:t>ing</w:t>
      </w:r>
      <w:r w:rsidR="005275F3" w:rsidRPr="00C87120">
        <w:rPr>
          <w:rFonts w:ascii="Times New Roman" w:hAnsi="Times New Roman" w:cs="Times New Roman"/>
          <w:i w:val="0"/>
          <w:iCs w:val="0"/>
          <w:color w:val="auto"/>
          <w:sz w:val="22"/>
          <w:szCs w:val="22"/>
        </w:rPr>
        <w:t xml:space="preserve"> 45.2 percent. However, approximately 95 percent of central government external debt is on concessional terms, which is characterized by low interest rates and long maturity profiles, mitigating</w:t>
      </w:r>
      <w:r w:rsidR="008C75FF">
        <w:rPr>
          <w:rFonts w:ascii="Times New Roman" w:hAnsi="Times New Roman" w:cs="Times New Roman"/>
          <w:i w:val="0"/>
          <w:iCs w:val="0"/>
          <w:color w:val="auto"/>
          <w:sz w:val="22"/>
          <w:szCs w:val="22"/>
        </w:rPr>
        <w:t xml:space="preserve"> the</w:t>
      </w:r>
      <w:r w:rsidR="005275F3" w:rsidRPr="00C87120">
        <w:rPr>
          <w:rFonts w:ascii="Times New Roman" w:hAnsi="Times New Roman" w:cs="Times New Roman"/>
          <w:i w:val="0"/>
          <w:iCs w:val="0"/>
          <w:color w:val="auto"/>
          <w:sz w:val="22"/>
          <w:szCs w:val="22"/>
        </w:rPr>
        <w:t xml:space="preserve"> impact on debt servicing. Debt service increased 26.1 percent in 2021, reaching 13.6 percent of GDP, due to the increase in domestic debt service, </w:t>
      </w:r>
      <w:r w:rsidR="003D690F">
        <w:rPr>
          <w:rFonts w:ascii="Times New Roman" w:hAnsi="Times New Roman" w:cs="Times New Roman"/>
          <w:i w:val="0"/>
          <w:iCs w:val="0"/>
          <w:color w:val="auto"/>
          <w:sz w:val="22"/>
          <w:szCs w:val="22"/>
        </w:rPr>
        <w:t>while</w:t>
      </w:r>
      <w:r w:rsidR="005275F3" w:rsidRPr="00C87120">
        <w:rPr>
          <w:rFonts w:ascii="Times New Roman" w:hAnsi="Times New Roman" w:cs="Times New Roman"/>
          <w:i w:val="0"/>
          <w:iCs w:val="0"/>
          <w:color w:val="auto"/>
          <w:sz w:val="22"/>
          <w:szCs w:val="22"/>
        </w:rPr>
        <w:t xml:space="preserve"> external debt service decreased with the moratorium granted by bilateral creditors.</w:t>
      </w:r>
      <w:r w:rsidR="007217BB">
        <w:rPr>
          <w:rFonts w:ascii="Times New Roman" w:hAnsi="Times New Roman" w:cs="Times New Roman"/>
          <w:i w:val="0"/>
          <w:iCs w:val="0"/>
          <w:color w:val="auto"/>
          <w:sz w:val="22"/>
          <w:szCs w:val="22"/>
        </w:rPr>
        <w:t xml:space="preserve"> </w:t>
      </w:r>
      <w:r w:rsidR="00CC5137" w:rsidRPr="00CC5137">
        <w:rPr>
          <w:rFonts w:ascii="Times New Roman" w:hAnsi="Times New Roman" w:cs="Times New Roman"/>
          <w:i w:val="0"/>
          <w:iCs w:val="0"/>
          <w:color w:val="auto"/>
          <w:sz w:val="22"/>
          <w:szCs w:val="22"/>
        </w:rPr>
        <w:t>The country registered the largest debt-to-GDP ratio within SIDS in 2021 (Figure 6).</w:t>
      </w:r>
      <w:r w:rsidR="00F91DEF" w:rsidRPr="00A27DC3">
        <w:rPr>
          <w:rFonts w:ascii="Times New Roman" w:hAnsi="Times New Roman" w:cs="Times New Roman"/>
          <w:i w:val="0"/>
          <w:iCs w:val="0"/>
          <w:color w:val="auto"/>
          <w:sz w:val="22"/>
          <w:szCs w:val="22"/>
        </w:rPr>
        <w:t xml:space="preserve"> </w:t>
      </w:r>
    </w:p>
    <w:p w14:paraId="219F1BFB" w14:textId="77777777" w:rsidR="00524285" w:rsidRPr="00524285" w:rsidRDefault="00524285" w:rsidP="00524285"/>
    <w:tbl>
      <w:tblPr>
        <w:tblStyle w:val="TableGrid"/>
        <w:tblW w:w="0" w:type="auto"/>
        <w:tblLook w:val="04A0" w:firstRow="1" w:lastRow="0" w:firstColumn="1" w:lastColumn="0" w:noHBand="0" w:noVBand="1"/>
      </w:tblPr>
      <w:tblGrid>
        <w:gridCol w:w="4796"/>
        <w:gridCol w:w="4554"/>
      </w:tblGrid>
      <w:tr w:rsidR="00A30CB0" w14:paraId="72D49B6C" w14:textId="77777777" w:rsidTr="00A30CB0">
        <w:trPr>
          <w:trHeight w:val="3482"/>
        </w:trPr>
        <w:tc>
          <w:tcPr>
            <w:tcW w:w="4585" w:type="dxa"/>
          </w:tcPr>
          <w:p w14:paraId="3ABBFE59" w14:textId="4267583A" w:rsidR="00C32B7E" w:rsidRDefault="00C32B7E" w:rsidP="00CC1547">
            <w:pPr>
              <w:spacing w:line="276" w:lineRule="auto"/>
              <w:jc w:val="center"/>
              <w:rPr>
                <w:rFonts w:ascii="Times New Roman" w:hAnsi="Times New Roman" w:cs="Times New Roman"/>
                <w:b/>
                <w:bCs/>
                <w:color w:val="2F5496" w:themeColor="accent1" w:themeShade="BF"/>
                <w:sz w:val="20"/>
                <w:szCs w:val="20"/>
              </w:rPr>
            </w:pPr>
            <w:bookmarkStart w:id="41" w:name="_Toc103950878"/>
            <w:r w:rsidRPr="00926B73">
              <w:rPr>
                <w:rFonts w:ascii="Times New Roman" w:hAnsi="Times New Roman" w:cs="Times New Roman"/>
                <w:b/>
                <w:bCs/>
                <w:color w:val="2F5496" w:themeColor="accent1" w:themeShade="BF"/>
                <w:sz w:val="20"/>
                <w:szCs w:val="20"/>
              </w:rPr>
              <w:t xml:space="preserve">Figure </w:t>
            </w:r>
            <w:r w:rsidR="009E2172">
              <w:rPr>
                <w:rFonts w:ascii="Times New Roman" w:hAnsi="Times New Roman" w:cs="Times New Roman"/>
                <w:b/>
                <w:bCs/>
                <w:color w:val="2F5496" w:themeColor="accent1" w:themeShade="BF"/>
                <w:sz w:val="20"/>
                <w:szCs w:val="20"/>
              </w:rPr>
              <w:fldChar w:fldCharType="begin"/>
            </w:r>
            <w:r w:rsidR="009E2172">
              <w:rPr>
                <w:rFonts w:ascii="Times New Roman" w:hAnsi="Times New Roman" w:cs="Times New Roman"/>
                <w:b/>
                <w:bCs/>
                <w:color w:val="2F5496" w:themeColor="accent1" w:themeShade="BF"/>
                <w:sz w:val="20"/>
                <w:szCs w:val="20"/>
              </w:rPr>
              <w:instrText xml:space="preserve"> SEQ Figure \* ARABIC </w:instrText>
            </w:r>
            <w:r w:rsidR="009E2172">
              <w:rPr>
                <w:rFonts w:ascii="Times New Roman" w:hAnsi="Times New Roman" w:cs="Times New Roman"/>
                <w:b/>
                <w:bCs/>
                <w:color w:val="2F5496" w:themeColor="accent1" w:themeShade="BF"/>
                <w:sz w:val="20"/>
                <w:szCs w:val="20"/>
              </w:rPr>
              <w:fldChar w:fldCharType="separate"/>
            </w:r>
            <w:r w:rsidR="00C73FE1">
              <w:rPr>
                <w:rFonts w:ascii="Times New Roman" w:hAnsi="Times New Roman" w:cs="Times New Roman"/>
                <w:b/>
                <w:bCs/>
                <w:noProof/>
                <w:color w:val="2F5496" w:themeColor="accent1" w:themeShade="BF"/>
                <w:sz w:val="20"/>
                <w:szCs w:val="20"/>
              </w:rPr>
              <w:t>4</w:t>
            </w:r>
            <w:r w:rsidR="009E2172">
              <w:rPr>
                <w:rFonts w:ascii="Times New Roman" w:hAnsi="Times New Roman" w:cs="Times New Roman"/>
                <w:b/>
                <w:bCs/>
                <w:color w:val="2F5496" w:themeColor="accent1" w:themeShade="BF"/>
                <w:sz w:val="20"/>
                <w:szCs w:val="20"/>
              </w:rPr>
              <w:fldChar w:fldCharType="end"/>
            </w:r>
            <w:r w:rsidRPr="00926B73">
              <w:rPr>
                <w:rFonts w:ascii="Times New Roman" w:hAnsi="Times New Roman" w:cs="Times New Roman"/>
                <w:b/>
                <w:bCs/>
                <w:color w:val="2F5496" w:themeColor="accent1" w:themeShade="BF"/>
                <w:sz w:val="20"/>
                <w:szCs w:val="20"/>
              </w:rPr>
              <w:t xml:space="preserve">: Debt and </w:t>
            </w:r>
            <w:r w:rsidR="00CC1547" w:rsidRPr="00926B73">
              <w:rPr>
                <w:rFonts w:ascii="Times New Roman" w:hAnsi="Times New Roman" w:cs="Times New Roman"/>
                <w:b/>
                <w:bCs/>
                <w:color w:val="2F5496" w:themeColor="accent1" w:themeShade="BF"/>
                <w:sz w:val="20"/>
                <w:szCs w:val="20"/>
              </w:rPr>
              <w:t xml:space="preserve">Real </w:t>
            </w:r>
            <w:r w:rsidRPr="00926B73">
              <w:rPr>
                <w:rFonts w:ascii="Times New Roman" w:hAnsi="Times New Roman" w:cs="Times New Roman"/>
                <w:b/>
                <w:bCs/>
                <w:color w:val="2F5496" w:themeColor="accent1" w:themeShade="BF"/>
                <w:sz w:val="20"/>
                <w:szCs w:val="20"/>
              </w:rPr>
              <w:t>GDP</w:t>
            </w:r>
            <w:bookmarkEnd w:id="41"/>
          </w:p>
          <w:p w14:paraId="424C1077" w14:textId="49FAB552" w:rsidR="0023057A" w:rsidRDefault="00E523A5" w:rsidP="00CC1547">
            <w:pPr>
              <w:spacing w:line="276" w:lineRule="auto"/>
              <w:jc w:val="center"/>
              <w:rPr>
                <w:rFonts w:ascii="Times New Roman" w:hAnsi="Times New Roman" w:cs="Times New Roman"/>
                <w:b/>
                <w:bCs/>
                <w:color w:val="2F5496" w:themeColor="accent1" w:themeShade="BF"/>
                <w:sz w:val="20"/>
                <w:szCs w:val="20"/>
              </w:rPr>
            </w:pPr>
            <w:r>
              <w:rPr>
                <w:rFonts w:ascii="Times New Roman" w:hAnsi="Times New Roman" w:cs="Times New Roman"/>
                <w:b/>
                <w:bCs/>
                <w:noProof/>
                <w:color w:val="2F5496" w:themeColor="accent1" w:themeShade="BF"/>
                <w:sz w:val="20"/>
                <w:szCs w:val="20"/>
              </w:rPr>
              <w:drawing>
                <wp:inline distT="0" distB="0" distL="0" distR="0" wp14:anchorId="50E1BA26" wp14:editId="7B4966D3">
                  <wp:extent cx="2956560" cy="2542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6560" cy="2542540"/>
                          </a:xfrm>
                          <a:prstGeom prst="rect">
                            <a:avLst/>
                          </a:prstGeom>
                          <a:noFill/>
                        </pic:spPr>
                      </pic:pic>
                    </a:graphicData>
                  </a:graphic>
                </wp:inline>
              </w:drawing>
            </w:r>
          </w:p>
          <w:p w14:paraId="785FC233" w14:textId="7F509504" w:rsidR="00BB2626" w:rsidRDefault="00BB2626" w:rsidP="003161EF">
            <w:pPr>
              <w:spacing w:line="276" w:lineRule="auto"/>
              <w:jc w:val="both"/>
              <w:rPr>
                <w:rFonts w:ascii="Times New Roman" w:hAnsi="Times New Roman" w:cs="Times New Roman"/>
                <w:b/>
                <w:bCs/>
              </w:rPr>
            </w:pPr>
          </w:p>
        </w:tc>
        <w:tc>
          <w:tcPr>
            <w:tcW w:w="4765" w:type="dxa"/>
          </w:tcPr>
          <w:p w14:paraId="0CAA0D80" w14:textId="4B7C8D4C" w:rsidR="00BB2626" w:rsidRDefault="00DC1F91" w:rsidP="003161EF">
            <w:pPr>
              <w:spacing w:line="276" w:lineRule="auto"/>
              <w:jc w:val="both"/>
              <w:rPr>
                <w:rFonts w:ascii="Times New Roman" w:hAnsi="Times New Roman" w:cs="Times New Roman"/>
                <w:b/>
                <w:bCs/>
              </w:rPr>
            </w:pPr>
            <w:r>
              <w:rPr>
                <w:noProof/>
              </w:rPr>
              <mc:AlternateContent>
                <mc:Choice Requires="wps">
                  <w:drawing>
                    <wp:anchor distT="0" distB="0" distL="114300" distR="114300" simplePos="0" relativeHeight="251405312" behindDoc="0" locked="0" layoutInCell="1" allowOverlap="1" wp14:anchorId="14763498" wp14:editId="7D18CDA2">
                      <wp:simplePos x="0" y="0"/>
                      <wp:positionH relativeFrom="column">
                        <wp:posOffset>30480</wp:posOffset>
                      </wp:positionH>
                      <wp:positionV relativeFrom="paragraph">
                        <wp:posOffset>2540</wp:posOffset>
                      </wp:positionV>
                      <wp:extent cx="2795905" cy="163195"/>
                      <wp:effectExtent l="0" t="0" r="4445" b="8255"/>
                      <wp:wrapSquare wrapText="bothSides"/>
                      <wp:docPr id="23" name="Text Box 23"/>
                      <wp:cNvGraphicFramePr/>
                      <a:graphic xmlns:a="http://schemas.openxmlformats.org/drawingml/2006/main">
                        <a:graphicData uri="http://schemas.microsoft.com/office/word/2010/wordprocessingShape">
                          <wps:wsp>
                            <wps:cNvSpPr txBox="1"/>
                            <wps:spPr>
                              <a:xfrm>
                                <a:off x="0" y="0"/>
                                <a:ext cx="2795905" cy="163195"/>
                              </a:xfrm>
                              <a:prstGeom prst="rect">
                                <a:avLst/>
                              </a:prstGeom>
                              <a:solidFill>
                                <a:prstClr val="white"/>
                              </a:solidFill>
                              <a:ln>
                                <a:noFill/>
                              </a:ln>
                            </wps:spPr>
                            <wps:txbx>
                              <w:txbxContent>
                                <w:p w14:paraId="77F10B82" w14:textId="21F29BE6" w:rsidR="0053260D" w:rsidRPr="00926B73" w:rsidRDefault="0053260D" w:rsidP="00926B73">
                                  <w:pPr>
                                    <w:pStyle w:val="Caption"/>
                                    <w:jc w:val="center"/>
                                    <w:rPr>
                                      <w:rFonts w:ascii="Times New Roman" w:hAnsi="Times New Roman" w:cs="Times New Roman"/>
                                      <w:b/>
                                      <w:bCs/>
                                      <w:noProof/>
                                      <w:color w:val="2F5496" w:themeColor="accent1" w:themeShade="BF"/>
                                      <w:sz w:val="20"/>
                                      <w:szCs w:val="20"/>
                                    </w:rPr>
                                  </w:pPr>
                                  <w:bookmarkStart w:id="42" w:name="_Toc103950879"/>
                                  <w:r w:rsidRPr="00926B7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5</w:t>
                                  </w:r>
                                  <w:r w:rsidR="009E2172">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 xml:space="preserve">: Debt-to-GDP </w:t>
                                  </w:r>
                                  <w:r w:rsidR="007E1773">
                                    <w:rPr>
                                      <w:rFonts w:ascii="Times New Roman" w:hAnsi="Times New Roman" w:cs="Times New Roman"/>
                                      <w:b/>
                                      <w:bCs/>
                                      <w:i w:val="0"/>
                                      <w:iCs w:val="0"/>
                                      <w:color w:val="2F5496" w:themeColor="accent1" w:themeShade="BF"/>
                                      <w:sz w:val="20"/>
                                      <w:szCs w:val="20"/>
                                    </w:rPr>
                                    <w:t>R</w:t>
                                  </w:r>
                                  <w:r w:rsidRPr="00926B73">
                                    <w:rPr>
                                      <w:rFonts w:ascii="Times New Roman" w:hAnsi="Times New Roman" w:cs="Times New Roman"/>
                                      <w:b/>
                                      <w:bCs/>
                                      <w:i w:val="0"/>
                                      <w:iCs w:val="0"/>
                                      <w:color w:val="2F5496" w:themeColor="accent1" w:themeShade="BF"/>
                                      <w:sz w:val="20"/>
                                      <w:szCs w:val="20"/>
                                    </w:rPr>
                                    <w:t>atio</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763498" id="_x0000_t202" coordsize="21600,21600" o:spt="202" path="m,l,21600r21600,l21600,xe">
                      <v:stroke joinstyle="miter"/>
                      <v:path gradientshapeok="t" o:connecttype="rect"/>
                    </v:shapetype>
                    <v:shape id="Text Box 23" o:spid="_x0000_s1026" type="#_x0000_t202" style="position:absolute;left:0;text-align:left;margin-left:2.4pt;margin-top:.2pt;width:220.15pt;height:12.85pt;z-index:25140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" stroked="f">
                      <v:textbox inset="0,0,0,0">
                        <w:txbxContent>
                          <w:p w14:paraId="77F10B82" w14:textId="21F29BE6" w:rsidR="0053260D" w:rsidRPr="00926B73" w:rsidRDefault="0053260D" w:rsidP="00926B73">
                            <w:pPr>
                              <w:pStyle w:val="Caption"/>
                              <w:jc w:val="center"/>
                              <w:rPr>
                                <w:rFonts w:ascii="Times New Roman" w:hAnsi="Times New Roman" w:cs="Times New Roman"/>
                                <w:b/>
                                <w:bCs/>
                                <w:noProof/>
                                <w:color w:val="2F5496" w:themeColor="accent1" w:themeShade="BF"/>
                                <w:sz w:val="20"/>
                                <w:szCs w:val="20"/>
                              </w:rPr>
                            </w:pPr>
                            <w:bookmarkStart w:id="43" w:name="_Toc103950879"/>
                            <w:r w:rsidRPr="00926B7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5</w:t>
                            </w:r>
                            <w:r w:rsidR="009E2172">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 xml:space="preserve">: Debt-to-GDP </w:t>
                            </w:r>
                            <w:r w:rsidR="007E1773">
                              <w:rPr>
                                <w:rFonts w:ascii="Times New Roman" w:hAnsi="Times New Roman" w:cs="Times New Roman"/>
                                <w:b/>
                                <w:bCs/>
                                <w:i w:val="0"/>
                                <w:iCs w:val="0"/>
                                <w:color w:val="2F5496" w:themeColor="accent1" w:themeShade="BF"/>
                                <w:sz w:val="20"/>
                                <w:szCs w:val="20"/>
                              </w:rPr>
                              <w:t>R</w:t>
                            </w:r>
                            <w:r w:rsidRPr="00926B73">
                              <w:rPr>
                                <w:rFonts w:ascii="Times New Roman" w:hAnsi="Times New Roman" w:cs="Times New Roman"/>
                                <w:b/>
                                <w:bCs/>
                                <w:i w:val="0"/>
                                <w:iCs w:val="0"/>
                                <w:color w:val="2F5496" w:themeColor="accent1" w:themeShade="BF"/>
                                <w:sz w:val="20"/>
                                <w:szCs w:val="20"/>
                              </w:rPr>
                              <w:t>atio</w:t>
                            </w:r>
                            <w:bookmarkEnd w:id="43"/>
                          </w:p>
                        </w:txbxContent>
                      </v:textbox>
                      <w10:wrap type="square"/>
                    </v:shape>
                  </w:pict>
                </mc:Fallback>
              </mc:AlternateContent>
            </w:r>
            <w:r w:rsidR="0065367E">
              <w:rPr>
                <w:rFonts w:ascii="Times New Roman" w:hAnsi="Times New Roman" w:cs="Times New Roman"/>
                <w:b/>
                <w:bCs/>
                <w:noProof/>
              </w:rPr>
              <w:drawing>
                <wp:inline distT="0" distB="0" distL="0" distR="0" wp14:anchorId="16A5811B" wp14:editId="1AF8E601">
                  <wp:extent cx="2700655" cy="2658110"/>
                  <wp:effectExtent l="0" t="0" r="444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655" cy="2658110"/>
                          </a:xfrm>
                          <a:prstGeom prst="rect">
                            <a:avLst/>
                          </a:prstGeom>
                          <a:noFill/>
                        </pic:spPr>
                      </pic:pic>
                    </a:graphicData>
                  </a:graphic>
                </wp:inline>
              </w:drawing>
            </w:r>
          </w:p>
        </w:tc>
      </w:tr>
    </w:tbl>
    <w:p w14:paraId="62A8EE77" w14:textId="036408D3" w:rsidR="00114DBA" w:rsidRPr="00926B73" w:rsidRDefault="00BB2626" w:rsidP="00A27DC3">
      <w:r w:rsidRPr="00AD2C0D">
        <w:rPr>
          <w:rFonts w:ascii="Times New Roman" w:hAnsi="Times New Roman" w:cs="Times New Roman"/>
          <w:sz w:val="18"/>
          <w:szCs w:val="18"/>
        </w:rPr>
        <w:t>Source: World Bank (2021)</w:t>
      </w:r>
      <w:r w:rsidRPr="00AD2C0D">
        <w:rPr>
          <w:rFonts w:ascii="Times New Roman" w:hAnsi="Times New Roman" w:cs="Times New Roman"/>
          <w:sz w:val="18"/>
          <w:szCs w:val="18"/>
        </w:rPr>
        <w:tab/>
        <w:t xml:space="preserve">                                 </w:t>
      </w:r>
      <w:r w:rsidR="00AD2C0D">
        <w:rPr>
          <w:rFonts w:ascii="Times New Roman" w:hAnsi="Times New Roman" w:cs="Times New Roman"/>
          <w:sz w:val="18"/>
          <w:szCs w:val="18"/>
        </w:rPr>
        <w:t xml:space="preserve">                       </w:t>
      </w:r>
      <w:r w:rsidR="00D7029B">
        <w:rPr>
          <w:rFonts w:ascii="Times New Roman" w:hAnsi="Times New Roman" w:cs="Times New Roman"/>
          <w:sz w:val="18"/>
          <w:szCs w:val="18"/>
        </w:rPr>
        <w:t xml:space="preserve">   </w:t>
      </w:r>
      <w:r w:rsidRPr="00AD2C0D">
        <w:rPr>
          <w:rFonts w:ascii="Times New Roman" w:hAnsi="Times New Roman" w:cs="Times New Roman"/>
          <w:sz w:val="18"/>
          <w:szCs w:val="18"/>
        </w:rPr>
        <w:t>Source: World Bank (2021)</w:t>
      </w:r>
    </w:p>
    <w:tbl>
      <w:tblPr>
        <w:tblStyle w:val="TableGrid"/>
        <w:tblW w:w="9355" w:type="dxa"/>
        <w:jc w:val="center"/>
        <w:tblLook w:val="04A0" w:firstRow="1" w:lastRow="0" w:firstColumn="1" w:lastColumn="0" w:noHBand="0" w:noVBand="1"/>
      </w:tblPr>
      <w:tblGrid>
        <w:gridCol w:w="9355"/>
      </w:tblGrid>
      <w:tr w:rsidR="00601EE7" w14:paraId="6C760941" w14:textId="77777777" w:rsidTr="00A27DC3">
        <w:trPr>
          <w:trHeight w:val="3230"/>
          <w:jc w:val="center"/>
        </w:trPr>
        <w:tc>
          <w:tcPr>
            <w:tcW w:w="9355" w:type="dxa"/>
          </w:tcPr>
          <w:p w14:paraId="050358E5" w14:textId="1A36CD58" w:rsidR="00601EE7" w:rsidRDefault="00DE5FB7" w:rsidP="00A27DC3">
            <w:pPr>
              <w:keepNext/>
              <w:spacing w:line="276" w:lineRule="auto"/>
              <w:jc w:val="both"/>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393024" behindDoc="0" locked="0" layoutInCell="1" allowOverlap="1" wp14:anchorId="36A10241" wp14:editId="4BA0726C">
                  <wp:simplePos x="0" y="0"/>
                  <wp:positionH relativeFrom="column">
                    <wp:posOffset>63500</wp:posOffset>
                  </wp:positionH>
                  <wp:positionV relativeFrom="paragraph">
                    <wp:posOffset>186055</wp:posOffset>
                  </wp:positionV>
                  <wp:extent cx="5678170" cy="23012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8170" cy="23012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17600" behindDoc="0" locked="0" layoutInCell="1" allowOverlap="1" wp14:anchorId="4ADB2C76" wp14:editId="0805C6BF">
                      <wp:simplePos x="0" y="0"/>
                      <wp:positionH relativeFrom="column">
                        <wp:posOffset>-65336</wp:posOffset>
                      </wp:positionH>
                      <wp:positionV relativeFrom="paragraph">
                        <wp:posOffset>162</wp:posOffset>
                      </wp:positionV>
                      <wp:extent cx="545211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452110" cy="635"/>
                              </a:xfrm>
                              <a:prstGeom prst="rect">
                                <a:avLst/>
                              </a:prstGeom>
                              <a:solidFill>
                                <a:prstClr val="white"/>
                              </a:solidFill>
                              <a:ln>
                                <a:noFill/>
                              </a:ln>
                            </wps:spPr>
                            <wps:txbx>
                              <w:txbxContent>
                                <w:p w14:paraId="271AE73D" w14:textId="405D6BEA" w:rsidR="00DE5FB7" w:rsidRPr="00A27DC3" w:rsidRDefault="00DE5FB7" w:rsidP="00A27DC3">
                                  <w:pPr>
                                    <w:pStyle w:val="Caption"/>
                                    <w:jc w:val="center"/>
                                    <w:rPr>
                                      <w:rFonts w:ascii="Times New Roman" w:hAnsi="Times New Roman" w:cs="Times New Roman"/>
                                      <w:b/>
                                      <w:bCs/>
                                      <w:i w:val="0"/>
                                      <w:iCs w:val="0"/>
                                      <w:noProof/>
                                      <w:color w:val="2F5496" w:themeColor="accent1" w:themeShade="BF"/>
                                      <w:sz w:val="20"/>
                                      <w:szCs w:val="20"/>
                                    </w:rPr>
                                  </w:pPr>
                                  <w:bookmarkStart w:id="44" w:name="_Toc103950880"/>
                                  <w:r w:rsidRPr="00A27DC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6</w:t>
                                  </w:r>
                                  <w:r w:rsidR="009E2172">
                                    <w:rPr>
                                      <w:rFonts w:ascii="Times New Roman" w:hAnsi="Times New Roman" w:cs="Times New Roman"/>
                                      <w:b/>
                                      <w:bCs/>
                                      <w:i w:val="0"/>
                                      <w:iCs w:val="0"/>
                                      <w:color w:val="2F5496" w:themeColor="accent1" w:themeShade="BF"/>
                                      <w:sz w:val="20"/>
                                      <w:szCs w:val="20"/>
                                    </w:rPr>
                                    <w:fldChar w:fldCharType="end"/>
                                  </w:r>
                                  <w:r w:rsidRPr="00A27DC3">
                                    <w:rPr>
                                      <w:rFonts w:ascii="Times New Roman" w:hAnsi="Times New Roman" w:cs="Times New Roman"/>
                                      <w:b/>
                                      <w:bCs/>
                                      <w:i w:val="0"/>
                                      <w:iCs w:val="0"/>
                                      <w:color w:val="2F5496" w:themeColor="accent1" w:themeShade="BF"/>
                                      <w:sz w:val="20"/>
                                      <w:szCs w:val="20"/>
                                    </w:rPr>
                                    <w:t>: Public Debt as share of GDP and GDP growth in 2021 -SIDS</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DB2C76" id="Text Box 3" o:spid="_x0000_s1027" type="#_x0000_t202" style="position:absolute;left:0;text-align:left;margin-left:-5.15pt;margin-top:0;width:429.3pt;height:.0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FcLQIAAGQEAAAOAAAAZHJzL2Uyb0RvYy54bWysVE1v2zAMvQ/YfxB0X5yPpRi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" stroked="f">
                      <v:textbox style="mso-fit-shape-to-text:t" inset="0,0,0,0">
                        <w:txbxContent>
                          <w:p w14:paraId="271AE73D" w14:textId="405D6BEA" w:rsidR="00DE5FB7" w:rsidRPr="00A27DC3" w:rsidRDefault="00DE5FB7" w:rsidP="00A27DC3">
                            <w:pPr>
                              <w:pStyle w:val="Caption"/>
                              <w:jc w:val="center"/>
                              <w:rPr>
                                <w:rFonts w:ascii="Times New Roman" w:hAnsi="Times New Roman" w:cs="Times New Roman"/>
                                <w:b/>
                                <w:bCs/>
                                <w:i w:val="0"/>
                                <w:iCs w:val="0"/>
                                <w:noProof/>
                                <w:color w:val="2F5496" w:themeColor="accent1" w:themeShade="BF"/>
                                <w:sz w:val="20"/>
                                <w:szCs w:val="20"/>
                              </w:rPr>
                            </w:pPr>
                            <w:bookmarkStart w:id="45" w:name="_Toc103950880"/>
                            <w:r w:rsidRPr="00A27DC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6</w:t>
                            </w:r>
                            <w:r w:rsidR="009E2172">
                              <w:rPr>
                                <w:rFonts w:ascii="Times New Roman" w:hAnsi="Times New Roman" w:cs="Times New Roman"/>
                                <w:b/>
                                <w:bCs/>
                                <w:i w:val="0"/>
                                <w:iCs w:val="0"/>
                                <w:color w:val="2F5496" w:themeColor="accent1" w:themeShade="BF"/>
                                <w:sz w:val="20"/>
                                <w:szCs w:val="20"/>
                              </w:rPr>
                              <w:fldChar w:fldCharType="end"/>
                            </w:r>
                            <w:r w:rsidRPr="00A27DC3">
                              <w:rPr>
                                <w:rFonts w:ascii="Times New Roman" w:hAnsi="Times New Roman" w:cs="Times New Roman"/>
                                <w:b/>
                                <w:bCs/>
                                <w:i w:val="0"/>
                                <w:iCs w:val="0"/>
                                <w:color w:val="2F5496" w:themeColor="accent1" w:themeShade="BF"/>
                                <w:sz w:val="20"/>
                                <w:szCs w:val="20"/>
                              </w:rPr>
                              <w:t>: Public Debt as share of GDP and GDP growth in 2021 -SIDS</w:t>
                            </w:r>
                            <w:bookmarkEnd w:id="45"/>
                          </w:p>
                        </w:txbxContent>
                      </v:textbox>
                      <w10:wrap type="square"/>
                    </v:shape>
                  </w:pict>
                </mc:Fallback>
              </mc:AlternateContent>
            </w:r>
          </w:p>
        </w:tc>
      </w:tr>
    </w:tbl>
    <w:p w14:paraId="62DB2249" w14:textId="045E4944" w:rsidR="003274B1" w:rsidRDefault="009E0D64" w:rsidP="009D0CF2">
      <w:p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 </w:t>
      </w:r>
      <w:r w:rsidR="00063B11" w:rsidRPr="00AD2C0D">
        <w:rPr>
          <w:rFonts w:ascii="Times New Roman" w:hAnsi="Times New Roman" w:cs="Times New Roman"/>
          <w:sz w:val="18"/>
          <w:szCs w:val="18"/>
        </w:rPr>
        <w:t>Source: World Bank Estimates</w:t>
      </w:r>
    </w:p>
    <w:p w14:paraId="302D7851" w14:textId="77777777" w:rsidR="00A741FF" w:rsidRDefault="00A741FF" w:rsidP="009D0CF2">
      <w:pPr>
        <w:spacing w:line="276" w:lineRule="auto"/>
        <w:jc w:val="both"/>
        <w:rPr>
          <w:rFonts w:ascii="Times New Roman" w:hAnsi="Times New Roman" w:cs="Times New Roman"/>
          <w:sz w:val="18"/>
          <w:szCs w:val="18"/>
        </w:rPr>
      </w:pPr>
    </w:p>
    <w:p w14:paraId="1237B58C" w14:textId="65EB0DAE" w:rsidR="003274B1" w:rsidRDefault="00F03527" w:rsidP="009D0CF2">
      <w:pPr>
        <w:spacing w:line="276" w:lineRule="auto"/>
        <w:jc w:val="both"/>
        <w:rPr>
          <w:rFonts w:ascii="Times New Roman" w:hAnsi="Times New Roman" w:cs="Times New Roman"/>
        </w:rPr>
      </w:pPr>
      <w:r>
        <w:rPr>
          <w:rFonts w:ascii="Times New Roman" w:hAnsi="Times New Roman" w:cs="Times New Roman"/>
          <w:b/>
          <w:bCs/>
        </w:rPr>
        <w:t>9</w:t>
      </w:r>
      <w:r w:rsidR="006A3549">
        <w:rPr>
          <w:rFonts w:ascii="Times New Roman" w:hAnsi="Times New Roman" w:cs="Times New Roman"/>
          <w:b/>
          <w:bCs/>
        </w:rPr>
        <w:t xml:space="preserve">. </w:t>
      </w:r>
      <w:r w:rsidR="003274B1" w:rsidRPr="003274B1">
        <w:rPr>
          <w:rFonts w:ascii="Times New Roman" w:hAnsi="Times New Roman" w:cs="Times New Roman"/>
          <w:b/>
          <w:bCs/>
        </w:rPr>
        <w:t xml:space="preserve">Cabo Verde’s risk of external and overall debt distress remains high, according to the </w:t>
      </w:r>
      <w:r w:rsidR="003F44CB">
        <w:rPr>
          <w:rFonts w:ascii="Times New Roman" w:hAnsi="Times New Roman" w:cs="Times New Roman"/>
          <w:b/>
          <w:bCs/>
        </w:rPr>
        <w:t>December 2021</w:t>
      </w:r>
      <w:r w:rsidR="003274B1" w:rsidRPr="003274B1">
        <w:rPr>
          <w:rFonts w:ascii="Times New Roman" w:hAnsi="Times New Roman" w:cs="Times New Roman"/>
          <w:b/>
          <w:bCs/>
        </w:rPr>
        <w:t xml:space="preserve"> joint WB/IMF Debt Sustainability Analysis. </w:t>
      </w:r>
      <w:r w:rsidR="003274B1" w:rsidRPr="003274B1">
        <w:rPr>
          <w:rFonts w:ascii="Times New Roman" w:hAnsi="Times New Roman" w:cs="Times New Roman"/>
        </w:rPr>
        <w:t xml:space="preserve">The present value (PV) of public and publicly guaranteed (PPG) external debt-to-GDP ratio breaches its threshold during 2021–25 under the baseline, and protractedly under stress test scenarios. The PV of total public debt-to-GDP ratio is projected to breach the threshold during 2021–31 under the baseline scenario and stress test. The external and overall debt outlook is assessed to be sustainable and is predicated on several assumptions, including the recovery of economic activity in 2021, reprofiling of debt service of all official bilateral creditors under the debt service suspension initiative (DSSI), a return to growth-friendly fiscal consolidation in the post-pandemic period as well as resumption of structural reforms, notably to restructure State-Owned Enterprises (SOEs) and improve the business environment. Prudent borrowing policies and strengthened debt management, as well as measures to enhance the functioning of the government securities market are critical to sustainable debt dynamics over time. In view of Cabo Verde’s vulnerability to exogenous shocks, continuous progress in export and output diversification are also needed for long-term debt sustainability. </w:t>
      </w:r>
    </w:p>
    <w:p w14:paraId="483F5DC8" w14:textId="77777777" w:rsidR="003274B1" w:rsidRPr="009D0CF2" w:rsidRDefault="003274B1" w:rsidP="009D0CF2">
      <w:pPr>
        <w:spacing w:line="276" w:lineRule="auto"/>
        <w:jc w:val="both"/>
        <w:rPr>
          <w:rFonts w:ascii="Times New Roman" w:hAnsi="Times New Roman" w:cs="Times New Roman"/>
        </w:rPr>
      </w:pPr>
    </w:p>
    <w:p w14:paraId="699CB4A6" w14:textId="4B2846A8" w:rsidR="00EE134C" w:rsidRDefault="00BE4968" w:rsidP="001214E7">
      <w:pPr>
        <w:keepNext/>
        <w:keepLines/>
        <w:numPr>
          <w:ilvl w:val="0"/>
          <w:numId w:val="2"/>
        </w:numPr>
        <w:spacing w:after="240"/>
        <w:jc w:val="both"/>
        <w:outlineLvl w:val="1"/>
        <w:rPr>
          <w:rFonts w:ascii="Times New Roman" w:eastAsiaTheme="majorEastAsia" w:hAnsi="Times New Roman" w:cs="Times New Roman"/>
          <w:color w:val="2F5496" w:themeColor="accent1" w:themeShade="BF"/>
          <w:sz w:val="26"/>
          <w:szCs w:val="26"/>
        </w:rPr>
      </w:pPr>
      <w:bookmarkStart w:id="46" w:name="_Toc105592807"/>
      <w:r>
        <w:rPr>
          <w:rFonts w:ascii="Times New Roman" w:eastAsiaTheme="majorEastAsia" w:hAnsi="Times New Roman" w:cs="Times New Roman"/>
          <w:color w:val="2F5496" w:themeColor="accent1" w:themeShade="BF"/>
          <w:sz w:val="26"/>
          <w:szCs w:val="26"/>
        </w:rPr>
        <w:t>External Sector</w:t>
      </w:r>
      <w:bookmarkEnd w:id="46"/>
    </w:p>
    <w:p w14:paraId="2CA30718" w14:textId="0578C06E" w:rsidR="007406F8" w:rsidRPr="003B2123" w:rsidRDefault="006A3549" w:rsidP="00A741FF">
      <w:pPr>
        <w:jc w:val="both"/>
        <w:rPr>
          <w:rFonts w:ascii="Times New Roman" w:hAnsi="Times New Roman" w:cs="Times New Roman"/>
          <w:sz w:val="18"/>
          <w:szCs w:val="18"/>
        </w:rPr>
      </w:pPr>
      <w:r>
        <w:rPr>
          <w:rFonts w:ascii="Times New Roman" w:hAnsi="Times New Roman" w:cs="Times New Roman"/>
          <w:b/>
          <w:bCs/>
        </w:rPr>
        <w:t>1</w:t>
      </w:r>
      <w:r w:rsidR="00F03527">
        <w:rPr>
          <w:rFonts w:ascii="Times New Roman" w:hAnsi="Times New Roman" w:cs="Times New Roman"/>
          <w:b/>
          <w:bCs/>
        </w:rPr>
        <w:t>0</w:t>
      </w:r>
      <w:r>
        <w:rPr>
          <w:rFonts w:ascii="Times New Roman" w:hAnsi="Times New Roman" w:cs="Times New Roman"/>
          <w:b/>
          <w:bCs/>
        </w:rPr>
        <w:t xml:space="preserve">. </w:t>
      </w:r>
      <w:r w:rsidR="00C155E5" w:rsidRPr="00304792">
        <w:rPr>
          <w:rFonts w:ascii="Times New Roman" w:hAnsi="Times New Roman" w:cs="Times New Roman"/>
          <w:b/>
          <w:bCs/>
        </w:rPr>
        <w:t xml:space="preserve">The </w:t>
      </w:r>
      <w:r w:rsidR="002054A1" w:rsidRPr="00304792">
        <w:rPr>
          <w:rFonts w:ascii="Times New Roman" w:hAnsi="Times New Roman" w:cs="Times New Roman"/>
          <w:b/>
          <w:bCs/>
        </w:rPr>
        <w:t>C</w:t>
      </w:r>
      <w:r w:rsidR="00C155E5" w:rsidRPr="00304792">
        <w:rPr>
          <w:rFonts w:ascii="Times New Roman" w:hAnsi="Times New Roman" w:cs="Times New Roman"/>
          <w:b/>
          <w:bCs/>
        </w:rPr>
        <w:t xml:space="preserve">urrent </w:t>
      </w:r>
      <w:r w:rsidR="002054A1" w:rsidRPr="00304792">
        <w:rPr>
          <w:rFonts w:ascii="Times New Roman" w:hAnsi="Times New Roman" w:cs="Times New Roman"/>
          <w:b/>
          <w:bCs/>
        </w:rPr>
        <w:t>A</w:t>
      </w:r>
      <w:r w:rsidR="00C155E5" w:rsidRPr="00304792">
        <w:rPr>
          <w:rFonts w:ascii="Times New Roman" w:hAnsi="Times New Roman" w:cs="Times New Roman"/>
          <w:b/>
          <w:bCs/>
        </w:rPr>
        <w:t xml:space="preserve">ccount </w:t>
      </w:r>
      <w:r w:rsidR="002054A1" w:rsidRPr="00304792">
        <w:rPr>
          <w:rFonts w:ascii="Times New Roman" w:hAnsi="Times New Roman" w:cs="Times New Roman"/>
          <w:b/>
          <w:bCs/>
        </w:rPr>
        <w:t>D</w:t>
      </w:r>
      <w:r w:rsidR="00C155E5" w:rsidRPr="00304792">
        <w:rPr>
          <w:rFonts w:ascii="Times New Roman" w:hAnsi="Times New Roman" w:cs="Times New Roman"/>
          <w:b/>
          <w:bCs/>
        </w:rPr>
        <w:t>eficit</w:t>
      </w:r>
      <w:r w:rsidR="002054A1" w:rsidRPr="00304792">
        <w:rPr>
          <w:rFonts w:ascii="Times New Roman" w:hAnsi="Times New Roman" w:cs="Times New Roman"/>
          <w:b/>
          <w:bCs/>
        </w:rPr>
        <w:t xml:space="preserve"> (CAD)</w:t>
      </w:r>
      <w:r w:rsidR="00C155E5" w:rsidRPr="00304792">
        <w:rPr>
          <w:rFonts w:ascii="Times New Roman" w:hAnsi="Times New Roman" w:cs="Times New Roman"/>
          <w:b/>
          <w:bCs/>
        </w:rPr>
        <w:t xml:space="preserve"> is estimated to have narrowed slightly in 2021</w:t>
      </w:r>
      <w:r w:rsidR="009F55AE">
        <w:rPr>
          <w:rFonts w:ascii="Times New Roman" w:hAnsi="Times New Roman" w:cs="Times New Roman"/>
          <w:b/>
          <w:bCs/>
        </w:rPr>
        <w:t xml:space="preserve">, </w:t>
      </w:r>
      <w:r w:rsidR="009F55AE" w:rsidRPr="009F55AE">
        <w:rPr>
          <w:rFonts w:ascii="Times New Roman" w:hAnsi="Times New Roman" w:cs="Times New Roman"/>
          <w:b/>
          <w:bCs/>
        </w:rPr>
        <w:t>from 1</w:t>
      </w:r>
      <w:r w:rsidR="00E06B49">
        <w:rPr>
          <w:rFonts w:ascii="Times New Roman" w:hAnsi="Times New Roman" w:cs="Times New Roman"/>
          <w:b/>
          <w:bCs/>
        </w:rPr>
        <w:t>6.</w:t>
      </w:r>
      <w:r w:rsidR="009F55AE" w:rsidRPr="009F55AE">
        <w:rPr>
          <w:rFonts w:ascii="Times New Roman" w:hAnsi="Times New Roman" w:cs="Times New Roman"/>
          <w:b/>
          <w:bCs/>
        </w:rPr>
        <w:t>5 percent of GDP in 2020 to 1</w:t>
      </w:r>
      <w:r w:rsidR="00641D4C">
        <w:rPr>
          <w:rFonts w:ascii="Times New Roman" w:hAnsi="Times New Roman" w:cs="Times New Roman"/>
          <w:b/>
          <w:bCs/>
        </w:rPr>
        <w:t>3.</w:t>
      </w:r>
      <w:r w:rsidR="00267473">
        <w:rPr>
          <w:rFonts w:ascii="Times New Roman" w:hAnsi="Times New Roman" w:cs="Times New Roman"/>
          <w:b/>
          <w:bCs/>
        </w:rPr>
        <w:t>2</w:t>
      </w:r>
      <w:r w:rsidR="009F55AE" w:rsidRPr="009F55AE">
        <w:rPr>
          <w:rFonts w:ascii="Times New Roman" w:hAnsi="Times New Roman" w:cs="Times New Roman"/>
          <w:b/>
          <w:bCs/>
        </w:rPr>
        <w:t xml:space="preserve"> percent</w:t>
      </w:r>
      <w:r w:rsidR="00C155E5">
        <w:rPr>
          <w:rFonts w:ascii="Times New Roman" w:hAnsi="Times New Roman" w:cs="Times New Roman"/>
        </w:rPr>
        <w:t>.</w:t>
      </w:r>
      <w:r w:rsidR="00D03DF7">
        <w:rPr>
          <w:rFonts w:ascii="Times New Roman" w:hAnsi="Times New Roman" w:cs="Times New Roman"/>
        </w:rPr>
        <w:t xml:space="preserve"> T</w:t>
      </w:r>
      <w:r w:rsidR="000B36B0" w:rsidRPr="000B36B0">
        <w:rPr>
          <w:rFonts w:ascii="Times New Roman" w:hAnsi="Times New Roman" w:cs="Times New Roman"/>
        </w:rPr>
        <w:t xml:space="preserve">he deficit in the goods and services account </w:t>
      </w:r>
      <w:r w:rsidR="00372338">
        <w:rPr>
          <w:rFonts w:ascii="Times New Roman" w:hAnsi="Times New Roman" w:cs="Times New Roman"/>
        </w:rPr>
        <w:t>widened</w:t>
      </w:r>
      <w:r w:rsidR="000B36B0" w:rsidRPr="000B36B0">
        <w:rPr>
          <w:rFonts w:ascii="Times New Roman" w:hAnsi="Times New Roman" w:cs="Times New Roman"/>
        </w:rPr>
        <w:t xml:space="preserve"> with the </w:t>
      </w:r>
      <w:r w:rsidR="000C030C">
        <w:rPr>
          <w:rFonts w:ascii="Times New Roman" w:hAnsi="Times New Roman" w:cs="Times New Roman"/>
        </w:rPr>
        <w:t>increase</w:t>
      </w:r>
      <w:r w:rsidR="000B36B0" w:rsidRPr="000B36B0">
        <w:rPr>
          <w:rFonts w:ascii="Times New Roman" w:hAnsi="Times New Roman" w:cs="Times New Roman"/>
        </w:rPr>
        <w:t xml:space="preserve"> </w:t>
      </w:r>
      <w:r w:rsidR="00743937" w:rsidRPr="00743937">
        <w:rPr>
          <w:rFonts w:ascii="Times New Roman" w:hAnsi="Times New Roman" w:cs="Times New Roman"/>
        </w:rPr>
        <w:t xml:space="preserve">in merchandise imports </w:t>
      </w:r>
      <w:r w:rsidR="000B36B0" w:rsidRPr="000B36B0">
        <w:rPr>
          <w:rFonts w:ascii="Times New Roman" w:hAnsi="Times New Roman" w:cs="Times New Roman"/>
        </w:rPr>
        <w:t xml:space="preserve">outweighing the </w:t>
      </w:r>
      <w:r w:rsidR="000C030C">
        <w:rPr>
          <w:rFonts w:ascii="Times New Roman" w:hAnsi="Times New Roman" w:cs="Times New Roman"/>
        </w:rPr>
        <w:t>increase</w:t>
      </w:r>
      <w:r w:rsidR="000B36B0" w:rsidRPr="000B36B0">
        <w:rPr>
          <w:rFonts w:ascii="Times New Roman" w:hAnsi="Times New Roman" w:cs="Times New Roman"/>
        </w:rPr>
        <w:t xml:space="preserve"> in </w:t>
      </w:r>
      <w:r w:rsidR="00CA7F80">
        <w:rPr>
          <w:rFonts w:ascii="Times New Roman" w:hAnsi="Times New Roman" w:cs="Times New Roman"/>
        </w:rPr>
        <w:t xml:space="preserve">goods and </w:t>
      </w:r>
      <w:r w:rsidR="00743937" w:rsidRPr="00743937">
        <w:rPr>
          <w:rFonts w:ascii="Times New Roman" w:hAnsi="Times New Roman" w:cs="Times New Roman"/>
        </w:rPr>
        <w:t>services exports</w:t>
      </w:r>
      <w:r w:rsidR="000B36B0" w:rsidRPr="000B36B0">
        <w:rPr>
          <w:rFonts w:ascii="Times New Roman" w:hAnsi="Times New Roman" w:cs="Times New Roman"/>
        </w:rPr>
        <w:t xml:space="preserve">. </w:t>
      </w:r>
      <w:r w:rsidR="00A40F7A">
        <w:rPr>
          <w:rFonts w:ascii="Times New Roman" w:hAnsi="Times New Roman" w:cs="Times New Roman"/>
        </w:rPr>
        <w:t>M</w:t>
      </w:r>
      <w:r w:rsidR="00A40F7A" w:rsidRPr="00A40F7A">
        <w:rPr>
          <w:rFonts w:ascii="Times New Roman" w:hAnsi="Times New Roman" w:cs="Times New Roman"/>
        </w:rPr>
        <w:t xml:space="preserve">erchandise imports </w:t>
      </w:r>
      <w:r w:rsidR="00D7414B">
        <w:rPr>
          <w:rFonts w:ascii="Times New Roman" w:hAnsi="Times New Roman" w:cs="Times New Roman"/>
        </w:rPr>
        <w:t>increase</w:t>
      </w:r>
      <w:r w:rsidR="003872F9">
        <w:rPr>
          <w:rFonts w:ascii="Times New Roman" w:hAnsi="Times New Roman" w:cs="Times New Roman"/>
        </w:rPr>
        <w:t>d</w:t>
      </w:r>
      <w:r w:rsidR="00D7414B">
        <w:rPr>
          <w:rFonts w:ascii="Times New Roman" w:hAnsi="Times New Roman" w:cs="Times New Roman"/>
        </w:rPr>
        <w:t xml:space="preserve"> by </w:t>
      </w:r>
      <w:r w:rsidR="00494F1E">
        <w:rPr>
          <w:rFonts w:ascii="Times New Roman" w:hAnsi="Times New Roman" w:cs="Times New Roman"/>
        </w:rPr>
        <w:t>8</w:t>
      </w:r>
      <w:r w:rsidR="00484391" w:rsidRPr="00A57F2D">
        <w:rPr>
          <w:rFonts w:ascii="Times New Roman" w:hAnsi="Times New Roman" w:cs="Times New Roman"/>
        </w:rPr>
        <w:t>.</w:t>
      </w:r>
      <w:r w:rsidR="00A40F7A" w:rsidRPr="00A57F2D">
        <w:rPr>
          <w:rFonts w:ascii="Times New Roman" w:hAnsi="Times New Roman" w:cs="Times New Roman"/>
        </w:rPr>
        <w:t xml:space="preserve">6 </w:t>
      </w:r>
      <w:r w:rsidR="00A40F7A" w:rsidRPr="00970926">
        <w:rPr>
          <w:rFonts w:ascii="Times New Roman" w:hAnsi="Times New Roman" w:cs="Times New Roman"/>
        </w:rPr>
        <w:t>percent</w:t>
      </w:r>
      <w:r w:rsidR="00F338E5" w:rsidRPr="00970926">
        <w:rPr>
          <w:rFonts w:ascii="Times New Roman" w:hAnsi="Times New Roman" w:cs="Times New Roman"/>
        </w:rPr>
        <w:t>, re</w:t>
      </w:r>
      <w:r w:rsidR="00970926" w:rsidRPr="00970926">
        <w:rPr>
          <w:rFonts w:ascii="Times New Roman" w:hAnsi="Times New Roman" w:cs="Times New Roman"/>
        </w:rPr>
        <w:t xml:space="preserve">flecting </w:t>
      </w:r>
      <w:r w:rsidR="00C3551E" w:rsidRPr="00C3551E">
        <w:rPr>
          <w:rFonts w:ascii="Times New Roman" w:hAnsi="Times New Roman" w:cs="Times New Roman"/>
        </w:rPr>
        <w:t>the increasing dynamic of economic activities.</w:t>
      </w:r>
      <w:r w:rsidR="00C3551E">
        <w:rPr>
          <w:rFonts w:ascii="Times New Roman" w:hAnsi="Times New Roman" w:cs="Times New Roman"/>
        </w:rPr>
        <w:t xml:space="preserve"> </w:t>
      </w:r>
      <w:r w:rsidR="00181D79">
        <w:rPr>
          <w:rFonts w:ascii="Times New Roman" w:hAnsi="Times New Roman" w:cs="Times New Roman"/>
        </w:rPr>
        <w:t xml:space="preserve">Export of goods led the </w:t>
      </w:r>
      <w:r w:rsidR="00103E8F">
        <w:rPr>
          <w:rFonts w:ascii="Times New Roman" w:hAnsi="Times New Roman" w:cs="Times New Roman"/>
        </w:rPr>
        <w:t>increase in total exports, with an increase of around 30 percent</w:t>
      </w:r>
      <w:r w:rsidR="008E6215">
        <w:rPr>
          <w:rFonts w:ascii="Times New Roman" w:hAnsi="Times New Roman" w:cs="Times New Roman"/>
        </w:rPr>
        <w:t xml:space="preserve">, mainly </w:t>
      </w:r>
      <w:r w:rsidR="002B4FCC" w:rsidRPr="002B4FCC">
        <w:rPr>
          <w:rFonts w:ascii="Times New Roman" w:hAnsi="Times New Roman" w:cs="Times New Roman"/>
        </w:rPr>
        <w:t>reflecting the upturn in external demand for fish and fishery products</w:t>
      </w:r>
      <w:r w:rsidR="002B4FCC">
        <w:rPr>
          <w:rFonts w:ascii="Times New Roman" w:hAnsi="Times New Roman" w:cs="Times New Roman"/>
        </w:rPr>
        <w:t>. T</w:t>
      </w:r>
      <w:r w:rsidR="00AD4CEB">
        <w:rPr>
          <w:rFonts w:ascii="Times New Roman" w:hAnsi="Times New Roman" w:cs="Times New Roman"/>
        </w:rPr>
        <w:t>ourism</w:t>
      </w:r>
      <w:r w:rsidR="000B36B0" w:rsidRPr="000B36B0">
        <w:rPr>
          <w:rFonts w:ascii="Times New Roman" w:hAnsi="Times New Roman" w:cs="Times New Roman"/>
        </w:rPr>
        <w:t xml:space="preserve"> receipts, which account for </w:t>
      </w:r>
      <w:r w:rsidR="00AA17C8">
        <w:rPr>
          <w:rFonts w:ascii="Times New Roman" w:hAnsi="Times New Roman" w:cs="Times New Roman"/>
        </w:rPr>
        <w:t xml:space="preserve">around </w:t>
      </w:r>
      <w:r w:rsidR="00513777">
        <w:rPr>
          <w:rFonts w:ascii="Times New Roman" w:hAnsi="Times New Roman" w:cs="Times New Roman"/>
        </w:rPr>
        <w:t>6</w:t>
      </w:r>
      <w:r w:rsidR="00FA3508">
        <w:rPr>
          <w:rFonts w:ascii="Times New Roman" w:hAnsi="Times New Roman" w:cs="Times New Roman"/>
        </w:rPr>
        <w:t>0 percent of</w:t>
      </w:r>
      <w:r w:rsidR="000B36B0" w:rsidRPr="000B36B0">
        <w:rPr>
          <w:rFonts w:ascii="Times New Roman" w:hAnsi="Times New Roman" w:cs="Times New Roman"/>
        </w:rPr>
        <w:t xml:space="preserve"> </w:t>
      </w:r>
      <w:r w:rsidR="00513777">
        <w:rPr>
          <w:rFonts w:ascii="Times New Roman" w:hAnsi="Times New Roman" w:cs="Times New Roman"/>
        </w:rPr>
        <w:t>services</w:t>
      </w:r>
      <w:r w:rsidR="000B36B0" w:rsidRPr="000B36B0">
        <w:rPr>
          <w:rFonts w:ascii="Times New Roman" w:hAnsi="Times New Roman" w:cs="Times New Roman"/>
        </w:rPr>
        <w:t xml:space="preserve"> exports, </w:t>
      </w:r>
      <w:r w:rsidR="00A4189C">
        <w:rPr>
          <w:rFonts w:ascii="Times New Roman" w:hAnsi="Times New Roman" w:cs="Times New Roman"/>
        </w:rPr>
        <w:t xml:space="preserve">declined by </w:t>
      </w:r>
      <w:r w:rsidR="00451AAE" w:rsidRPr="00100D3B">
        <w:rPr>
          <w:rFonts w:ascii="Times New Roman" w:hAnsi="Times New Roman" w:cs="Times New Roman"/>
        </w:rPr>
        <w:t>1</w:t>
      </w:r>
      <w:r w:rsidR="00E77BF2">
        <w:rPr>
          <w:rFonts w:ascii="Times New Roman" w:hAnsi="Times New Roman" w:cs="Times New Roman"/>
        </w:rPr>
        <w:t>1</w:t>
      </w:r>
      <w:r w:rsidR="00451AAE" w:rsidRPr="00100D3B">
        <w:rPr>
          <w:rFonts w:ascii="Times New Roman" w:hAnsi="Times New Roman" w:cs="Times New Roman"/>
        </w:rPr>
        <w:t>.</w:t>
      </w:r>
      <w:r w:rsidR="00E77BF2">
        <w:rPr>
          <w:rFonts w:ascii="Times New Roman" w:hAnsi="Times New Roman" w:cs="Times New Roman"/>
        </w:rPr>
        <w:t>6</w:t>
      </w:r>
      <w:r w:rsidR="000B36B0" w:rsidRPr="00100D3B">
        <w:rPr>
          <w:rFonts w:ascii="Times New Roman" w:hAnsi="Times New Roman" w:cs="Times New Roman"/>
        </w:rPr>
        <w:t xml:space="preserve"> </w:t>
      </w:r>
      <w:r w:rsidR="000B36B0" w:rsidRPr="000B36B0">
        <w:rPr>
          <w:rFonts w:ascii="Times New Roman" w:hAnsi="Times New Roman" w:cs="Times New Roman"/>
        </w:rPr>
        <w:t>percent</w:t>
      </w:r>
      <w:r w:rsidR="00AD1EE3">
        <w:rPr>
          <w:rFonts w:ascii="Times New Roman" w:hAnsi="Times New Roman" w:cs="Times New Roman"/>
        </w:rPr>
        <w:t xml:space="preserve"> </w:t>
      </w:r>
      <w:r w:rsidR="0011711E">
        <w:rPr>
          <w:rFonts w:ascii="Times New Roman" w:hAnsi="Times New Roman" w:cs="Times New Roman"/>
        </w:rPr>
        <w:t>(</w:t>
      </w:r>
      <w:r w:rsidR="0043215D">
        <w:rPr>
          <w:rFonts w:ascii="Times New Roman" w:hAnsi="Times New Roman" w:cs="Times New Roman"/>
        </w:rPr>
        <w:t xml:space="preserve">- </w:t>
      </w:r>
      <w:r w:rsidR="009F6BB1">
        <w:rPr>
          <w:rFonts w:ascii="Times New Roman" w:hAnsi="Times New Roman" w:cs="Times New Roman"/>
        </w:rPr>
        <w:t>70</w:t>
      </w:r>
      <w:r w:rsidR="008F3FB9">
        <w:rPr>
          <w:rFonts w:ascii="Times New Roman" w:hAnsi="Times New Roman" w:cs="Times New Roman"/>
        </w:rPr>
        <w:t>.1</w:t>
      </w:r>
      <w:r w:rsidR="009F6BB1">
        <w:rPr>
          <w:rFonts w:ascii="Times New Roman" w:hAnsi="Times New Roman" w:cs="Times New Roman"/>
        </w:rPr>
        <w:t xml:space="preserve"> percent in 2020</w:t>
      </w:r>
      <w:r w:rsidR="0011711E">
        <w:rPr>
          <w:rFonts w:ascii="Times New Roman" w:hAnsi="Times New Roman" w:cs="Times New Roman"/>
        </w:rPr>
        <w:t>)</w:t>
      </w:r>
      <w:r w:rsidR="004E5DB6">
        <w:rPr>
          <w:rFonts w:ascii="Times New Roman" w:hAnsi="Times New Roman" w:cs="Times New Roman"/>
        </w:rPr>
        <w:t xml:space="preserve">, </w:t>
      </w:r>
      <w:r w:rsidR="00814A50" w:rsidRPr="00814A50">
        <w:rPr>
          <w:rFonts w:ascii="Times New Roman" w:hAnsi="Times New Roman" w:cs="Times New Roman"/>
        </w:rPr>
        <w:t>despite a sustained increase in the number of tourists since the second half of 2021</w:t>
      </w:r>
      <w:r w:rsidR="00267473">
        <w:rPr>
          <w:rFonts w:ascii="Times New Roman" w:hAnsi="Times New Roman" w:cs="Times New Roman"/>
        </w:rPr>
        <w:t xml:space="preserve"> (Box 3)</w:t>
      </w:r>
      <w:r w:rsidR="000B36B0" w:rsidRPr="000B36B0">
        <w:rPr>
          <w:rFonts w:ascii="Times New Roman" w:hAnsi="Times New Roman" w:cs="Times New Roman"/>
        </w:rPr>
        <w:t>.</w:t>
      </w:r>
      <w:r w:rsidR="00DD1C9C">
        <w:rPr>
          <w:rFonts w:ascii="Times New Roman" w:hAnsi="Times New Roman" w:cs="Times New Roman"/>
        </w:rPr>
        <w:t xml:space="preserve"> N</w:t>
      </w:r>
      <w:r w:rsidR="000B36B0" w:rsidRPr="000B36B0">
        <w:rPr>
          <w:rFonts w:ascii="Times New Roman" w:hAnsi="Times New Roman" w:cs="Times New Roman"/>
        </w:rPr>
        <w:t xml:space="preserve">et outflows from the primary </w:t>
      </w:r>
      <w:r w:rsidR="00C23B6D">
        <w:rPr>
          <w:rFonts w:ascii="Times New Roman" w:hAnsi="Times New Roman" w:cs="Times New Roman"/>
        </w:rPr>
        <w:t xml:space="preserve">income </w:t>
      </w:r>
      <w:r w:rsidR="007D4019">
        <w:rPr>
          <w:rFonts w:ascii="Times New Roman" w:hAnsi="Times New Roman" w:cs="Times New Roman"/>
        </w:rPr>
        <w:t xml:space="preserve">account </w:t>
      </w:r>
      <w:r w:rsidR="00815CB1">
        <w:rPr>
          <w:rFonts w:ascii="Times New Roman" w:hAnsi="Times New Roman" w:cs="Times New Roman"/>
        </w:rPr>
        <w:t xml:space="preserve">decreased </w:t>
      </w:r>
      <w:r w:rsidR="00E45101">
        <w:rPr>
          <w:rFonts w:ascii="Times New Roman" w:hAnsi="Times New Roman" w:cs="Times New Roman"/>
        </w:rPr>
        <w:t xml:space="preserve">with </w:t>
      </w:r>
      <w:r w:rsidR="008869D9" w:rsidRPr="000B36B0">
        <w:rPr>
          <w:rFonts w:ascii="Times New Roman" w:hAnsi="Times New Roman" w:cs="Times New Roman"/>
        </w:rPr>
        <w:t>lower investment income, resulting in lower dividends</w:t>
      </w:r>
      <w:r w:rsidR="001A7F96">
        <w:rPr>
          <w:rFonts w:ascii="Times New Roman" w:hAnsi="Times New Roman" w:cs="Times New Roman"/>
        </w:rPr>
        <w:t xml:space="preserve">. In </w:t>
      </w:r>
      <w:r w:rsidR="00AF32E8">
        <w:rPr>
          <w:rFonts w:ascii="Times New Roman" w:hAnsi="Times New Roman" w:cs="Times New Roman"/>
        </w:rPr>
        <w:t xml:space="preserve">the </w:t>
      </w:r>
      <w:r w:rsidR="000B36B0" w:rsidRPr="000B36B0">
        <w:rPr>
          <w:rFonts w:ascii="Times New Roman" w:hAnsi="Times New Roman" w:cs="Times New Roman"/>
        </w:rPr>
        <w:t>secondary income account</w:t>
      </w:r>
      <w:r w:rsidR="001A7F96">
        <w:rPr>
          <w:rFonts w:ascii="Times New Roman" w:hAnsi="Times New Roman" w:cs="Times New Roman"/>
        </w:rPr>
        <w:t>, net inflows</w:t>
      </w:r>
      <w:r w:rsidR="00C23B6D">
        <w:rPr>
          <w:rFonts w:ascii="Times New Roman" w:hAnsi="Times New Roman" w:cs="Times New Roman"/>
        </w:rPr>
        <w:t xml:space="preserve"> </w:t>
      </w:r>
      <w:r w:rsidR="00FA2E31">
        <w:rPr>
          <w:rFonts w:ascii="Times New Roman" w:hAnsi="Times New Roman" w:cs="Times New Roman"/>
        </w:rPr>
        <w:t>increased</w:t>
      </w:r>
      <w:r w:rsidR="000B36B0" w:rsidRPr="000B36B0">
        <w:rPr>
          <w:rFonts w:ascii="Times New Roman" w:hAnsi="Times New Roman" w:cs="Times New Roman"/>
        </w:rPr>
        <w:t xml:space="preserve"> due to </w:t>
      </w:r>
      <w:r w:rsidR="000F06C7">
        <w:rPr>
          <w:rFonts w:ascii="Times New Roman" w:hAnsi="Times New Roman" w:cs="Times New Roman"/>
        </w:rPr>
        <w:t>higher</w:t>
      </w:r>
      <w:r w:rsidR="000B36B0" w:rsidRPr="000B36B0">
        <w:rPr>
          <w:rFonts w:ascii="Times New Roman" w:hAnsi="Times New Roman" w:cs="Times New Roman"/>
        </w:rPr>
        <w:t xml:space="preserve"> remittances </w:t>
      </w:r>
      <w:r w:rsidR="000F06C7">
        <w:rPr>
          <w:rFonts w:ascii="Times New Roman" w:hAnsi="Times New Roman" w:cs="Times New Roman"/>
        </w:rPr>
        <w:t>in</w:t>
      </w:r>
      <w:r w:rsidR="000B36B0" w:rsidRPr="000B36B0">
        <w:rPr>
          <w:rFonts w:ascii="Times New Roman" w:hAnsi="Times New Roman" w:cs="Times New Roman"/>
        </w:rPr>
        <w:t xml:space="preserve">flows, as </w:t>
      </w:r>
      <w:r w:rsidR="00C50110">
        <w:rPr>
          <w:rFonts w:ascii="Times New Roman" w:hAnsi="Times New Roman" w:cs="Times New Roman"/>
        </w:rPr>
        <w:t>European</w:t>
      </w:r>
      <w:r w:rsidR="00C72D61" w:rsidRPr="00C72D61">
        <w:rPr>
          <w:rFonts w:ascii="Times New Roman" w:hAnsi="Times New Roman" w:cs="Times New Roman"/>
        </w:rPr>
        <w:t xml:space="preserve"> countries</w:t>
      </w:r>
      <w:r w:rsidR="00C01DE3">
        <w:rPr>
          <w:rFonts w:ascii="Times New Roman" w:hAnsi="Times New Roman" w:cs="Times New Roman"/>
        </w:rPr>
        <w:t xml:space="preserve"> economies</w:t>
      </w:r>
      <w:r w:rsidR="00C72D61" w:rsidRPr="00C72D61">
        <w:rPr>
          <w:rFonts w:ascii="Times New Roman" w:hAnsi="Times New Roman" w:cs="Times New Roman"/>
        </w:rPr>
        <w:t xml:space="preserve">, </w:t>
      </w:r>
      <w:r w:rsidR="00807A9D" w:rsidRPr="00807A9D">
        <w:rPr>
          <w:rFonts w:ascii="Times New Roman" w:hAnsi="Times New Roman" w:cs="Times New Roman"/>
        </w:rPr>
        <w:t>which contribute around 70 percent of Cabo Verde’s inward remittances</w:t>
      </w:r>
      <w:r w:rsidR="00C72D61" w:rsidRPr="00C72D61">
        <w:rPr>
          <w:rFonts w:ascii="Times New Roman" w:hAnsi="Times New Roman" w:cs="Times New Roman"/>
        </w:rPr>
        <w:t>, begin to recover from the crisis</w:t>
      </w:r>
      <w:r w:rsidR="008F7AC2">
        <w:rPr>
          <w:rFonts w:ascii="Times New Roman" w:hAnsi="Times New Roman" w:cs="Times New Roman"/>
        </w:rPr>
        <w:t>.</w:t>
      </w:r>
    </w:p>
    <w:tbl>
      <w:tblPr>
        <w:tblStyle w:val="none12"/>
        <w:tblW w:w="9360" w:type="dxa"/>
        <w:jc w:val="center"/>
        <w:shd w:val="clear" w:color="auto" w:fill="EFFBFF"/>
        <w:tblLook w:val="04A0" w:firstRow="1" w:lastRow="0" w:firstColumn="1" w:lastColumn="0" w:noHBand="0" w:noVBand="1"/>
      </w:tblPr>
      <w:tblGrid>
        <w:gridCol w:w="4692"/>
        <w:gridCol w:w="4668"/>
      </w:tblGrid>
      <w:tr w:rsidR="007A53AE" w:rsidRPr="003129A4" w14:paraId="1E440D04" w14:textId="77777777" w:rsidTr="003129A4">
        <w:trPr>
          <w:trHeight w:val="182"/>
          <w:jc w:val="center"/>
        </w:trPr>
        <w:tc>
          <w:tcPr>
            <w:tcW w:w="9360" w:type="dxa"/>
            <w:gridSpan w:val="2"/>
            <w:tcBorders>
              <w:bottom w:val="single" w:sz="4" w:space="0" w:color="auto"/>
            </w:tcBorders>
            <w:shd w:val="clear" w:color="auto" w:fill="DBE5F1"/>
          </w:tcPr>
          <w:p w14:paraId="7159D4C2" w14:textId="047AE4E0" w:rsidR="003129A4" w:rsidRPr="00926B73" w:rsidRDefault="00CF66C0" w:rsidP="00926B73">
            <w:pPr>
              <w:pStyle w:val="Caption"/>
              <w:jc w:val="center"/>
              <w:rPr>
                <w:rFonts w:ascii="Times New Roman" w:hAnsi="Times New Roman" w:cs="Times New Roman"/>
                <w:b/>
                <w:bCs/>
                <w:iCs w:val="0"/>
                <w:color w:val="1F497D"/>
                <w:sz w:val="20"/>
                <w:szCs w:val="20"/>
              </w:rPr>
            </w:pPr>
            <w:bookmarkStart w:id="47" w:name="_Ref68876380"/>
            <w:bookmarkStart w:id="48" w:name="_Toc69378371"/>
            <w:bookmarkStart w:id="49" w:name="_Toc69833809"/>
            <w:bookmarkStart w:id="50" w:name="_Toc72315508"/>
            <w:bookmarkStart w:id="51" w:name="_Toc103808295"/>
            <w:r w:rsidRPr="00926B73">
              <w:rPr>
                <w:rFonts w:ascii="Times New Roman" w:hAnsi="Times New Roman" w:cs="Times New Roman"/>
                <w:b/>
                <w:bCs/>
                <w:i w:val="0"/>
                <w:iCs w:val="0"/>
                <w:color w:val="2F5496" w:themeColor="accent1" w:themeShade="BF"/>
                <w:sz w:val="20"/>
                <w:szCs w:val="20"/>
              </w:rPr>
              <w:lastRenderedPageBreak/>
              <w:t xml:space="preserve">Box </w:t>
            </w:r>
            <w:r w:rsidRPr="00926B73">
              <w:rPr>
                <w:rFonts w:ascii="Times New Roman" w:hAnsi="Times New Roman" w:cs="Times New Roman"/>
                <w:b/>
                <w:bCs/>
                <w:i w:val="0"/>
                <w:iCs w:val="0"/>
                <w:color w:val="2F5496" w:themeColor="accent1" w:themeShade="BF"/>
                <w:sz w:val="20"/>
                <w:szCs w:val="20"/>
              </w:rPr>
              <w:fldChar w:fldCharType="begin"/>
            </w:r>
            <w:r w:rsidRPr="00926B73">
              <w:rPr>
                <w:rFonts w:ascii="Times New Roman" w:hAnsi="Times New Roman" w:cs="Times New Roman"/>
                <w:b/>
                <w:bCs/>
                <w:i w:val="0"/>
                <w:iCs w:val="0"/>
                <w:color w:val="2F5496" w:themeColor="accent1" w:themeShade="BF"/>
                <w:sz w:val="20"/>
                <w:szCs w:val="20"/>
              </w:rPr>
              <w:instrText xml:space="preserve"> SEQ Box \* ARABIC </w:instrText>
            </w:r>
            <w:r w:rsidRPr="00926B73">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3</w:t>
            </w:r>
            <w:r w:rsidRPr="00926B73">
              <w:rPr>
                <w:rFonts w:ascii="Times New Roman" w:hAnsi="Times New Roman" w:cs="Times New Roman"/>
                <w:b/>
                <w:bCs/>
                <w:i w:val="0"/>
                <w:iCs w:val="0"/>
                <w:color w:val="2F5496" w:themeColor="accent1" w:themeShade="BF"/>
                <w:sz w:val="20"/>
                <w:szCs w:val="20"/>
              </w:rPr>
              <w:fldChar w:fldCharType="end"/>
            </w:r>
            <w:r w:rsidRPr="00926B73">
              <w:rPr>
                <w:rFonts w:ascii="Times New Roman" w:hAnsi="Times New Roman" w:cs="Times New Roman"/>
                <w:b/>
                <w:bCs/>
                <w:i w:val="0"/>
                <w:iCs w:val="0"/>
                <w:color w:val="2F5496" w:themeColor="accent1" w:themeShade="BF"/>
                <w:sz w:val="20"/>
                <w:szCs w:val="20"/>
              </w:rPr>
              <w:t xml:space="preserve">: Impact of the COVID-19 Crisis </w:t>
            </w:r>
            <w:r w:rsidR="00613C72">
              <w:rPr>
                <w:rFonts w:ascii="Times New Roman" w:hAnsi="Times New Roman" w:cs="Times New Roman"/>
                <w:b/>
                <w:bCs/>
                <w:i w:val="0"/>
                <w:iCs w:val="0"/>
                <w:color w:val="2F5496" w:themeColor="accent1" w:themeShade="BF"/>
                <w:sz w:val="20"/>
                <w:szCs w:val="20"/>
              </w:rPr>
              <w:t>on</w:t>
            </w:r>
            <w:r w:rsidRPr="00926B73">
              <w:rPr>
                <w:rFonts w:ascii="Times New Roman" w:hAnsi="Times New Roman" w:cs="Times New Roman"/>
                <w:b/>
                <w:bCs/>
                <w:i w:val="0"/>
                <w:iCs w:val="0"/>
                <w:color w:val="2F5496" w:themeColor="accent1" w:themeShade="BF"/>
                <w:sz w:val="20"/>
                <w:szCs w:val="20"/>
              </w:rPr>
              <w:t xml:space="preserve"> the Tourism Sector</w:t>
            </w:r>
            <w:bookmarkEnd w:id="47"/>
            <w:bookmarkEnd w:id="48"/>
            <w:bookmarkEnd w:id="49"/>
            <w:bookmarkEnd w:id="50"/>
            <w:bookmarkEnd w:id="51"/>
          </w:p>
        </w:tc>
      </w:tr>
      <w:tr w:rsidR="007A53AE" w:rsidRPr="003129A4" w14:paraId="1E653557" w14:textId="77777777" w:rsidTr="003129A4">
        <w:trPr>
          <w:trHeight w:val="1070"/>
          <w:jc w:val="center"/>
        </w:trPr>
        <w:tc>
          <w:tcPr>
            <w:tcW w:w="9360" w:type="dxa"/>
            <w:gridSpan w:val="2"/>
            <w:tcBorders>
              <w:top w:val="single" w:sz="4" w:space="0" w:color="auto"/>
              <w:left w:val="single" w:sz="4" w:space="0" w:color="auto"/>
              <w:bottom w:val="nil"/>
              <w:right w:val="single" w:sz="4" w:space="0" w:color="auto"/>
            </w:tcBorders>
            <w:shd w:val="clear" w:color="auto" w:fill="DBE5F1"/>
          </w:tcPr>
          <w:p w14:paraId="33B413B7" w14:textId="6D71A411" w:rsidR="003129A4" w:rsidRPr="003129A4" w:rsidRDefault="003129A4" w:rsidP="003129A4">
            <w:pPr>
              <w:spacing w:line="276" w:lineRule="auto"/>
              <w:jc w:val="both"/>
              <w:rPr>
                <w:rFonts w:ascii="Times New Roman" w:eastAsia="Times New Roman" w:hAnsi="Times New Roman" w:cs="Times New Roman"/>
                <w:b/>
                <w:bCs/>
                <w:sz w:val="20"/>
                <w:szCs w:val="20"/>
              </w:rPr>
            </w:pPr>
            <w:r w:rsidRPr="003129A4">
              <w:rPr>
                <w:rFonts w:ascii="Times New Roman" w:eastAsia="Times New Roman" w:hAnsi="Times New Roman" w:cs="Times New Roman"/>
                <w:b/>
                <w:bCs/>
                <w:sz w:val="20"/>
                <w:szCs w:val="20"/>
              </w:rPr>
              <w:t xml:space="preserve">The COVID-19 pandemic has created an unprecedented shock for tourism in Cabo Verde. </w:t>
            </w:r>
            <w:r w:rsidRPr="003129A4">
              <w:rPr>
                <w:rFonts w:ascii="Times New Roman" w:eastAsia="Times New Roman" w:hAnsi="Times New Roman" w:cs="Times New Roman"/>
                <w:sz w:val="20"/>
                <w:szCs w:val="20"/>
              </w:rPr>
              <w:t xml:space="preserve">Following the closure of international borders in March 2020 and the partial reopening in October 2020, the authorities estimated a reduction of around 75 percent in tourism arrivals in 2020 and 78 percent in overnight stays. </w:t>
            </w:r>
            <w:r w:rsidR="00DE2BC8" w:rsidRPr="00DE2BC8">
              <w:rPr>
                <w:rFonts w:ascii="Times New Roman" w:eastAsia="Times New Roman" w:hAnsi="Times New Roman" w:cs="Times New Roman"/>
                <w:sz w:val="20"/>
                <w:szCs w:val="20"/>
              </w:rPr>
              <w:t xml:space="preserve">Tourist arrivals began to rise </w:t>
            </w:r>
            <w:r w:rsidR="00BF4D4C">
              <w:rPr>
                <w:rFonts w:ascii="Times New Roman" w:eastAsia="Times New Roman" w:hAnsi="Times New Roman" w:cs="Times New Roman"/>
                <w:sz w:val="20"/>
                <w:szCs w:val="20"/>
              </w:rPr>
              <w:t>steadily</w:t>
            </w:r>
            <w:r w:rsidR="00DE2BC8" w:rsidRPr="00DE2BC8">
              <w:rPr>
                <w:rFonts w:ascii="Times New Roman" w:eastAsia="Times New Roman" w:hAnsi="Times New Roman" w:cs="Times New Roman"/>
                <w:sz w:val="20"/>
                <w:szCs w:val="20"/>
              </w:rPr>
              <w:t xml:space="preserve"> towards the end of 2020, reaching nearly </w:t>
            </w:r>
            <w:r w:rsidR="00B61EEC">
              <w:rPr>
                <w:rFonts w:ascii="Times New Roman" w:eastAsia="Times New Roman" w:hAnsi="Times New Roman" w:cs="Times New Roman"/>
                <w:sz w:val="20"/>
                <w:szCs w:val="20"/>
              </w:rPr>
              <w:t>169,068</w:t>
            </w:r>
            <w:r w:rsidR="00DE2BC8" w:rsidRPr="00DE2BC8">
              <w:rPr>
                <w:rFonts w:ascii="Times New Roman" w:eastAsia="Times New Roman" w:hAnsi="Times New Roman" w:cs="Times New Roman"/>
                <w:sz w:val="20"/>
                <w:szCs w:val="20"/>
              </w:rPr>
              <w:t xml:space="preserve"> visitors</w:t>
            </w:r>
            <w:r w:rsidR="00AA4EBB">
              <w:rPr>
                <w:rFonts w:ascii="Times New Roman" w:eastAsia="Times New Roman" w:hAnsi="Times New Roman" w:cs="Times New Roman"/>
                <w:sz w:val="20"/>
                <w:szCs w:val="20"/>
              </w:rPr>
              <w:t xml:space="preserve"> </w:t>
            </w:r>
            <w:r w:rsidR="008E0976">
              <w:rPr>
                <w:rFonts w:ascii="Times New Roman" w:eastAsia="Times New Roman" w:hAnsi="Times New Roman" w:cs="Times New Roman"/>
                <w:sz w:val="20"/>
                <w:szCs w:val="20"/>
              </w:rPr>
              <w:t>in</w:t>
            </w:r>
            <w:r w:rsidR="00DE2BC8" w:rsidRPr="00DE2BC8">
              <w:rPr>
                <w:rFonts w:ascii="Times New Roman" w:eastAsia="Times New Roman" w:hAnsi="Times New Roman" w:cs="Times New Roman"/>
                <w:sz w:val="20"/>
                <w:szCs w:val="20"/>
              </w:rPr>
              <w:t xml:space="preserve"> 2021</w:t>
            </w:r>
            <w:r w:rsidR="00C012AF">
              <w:rPr>
                <w:rFonts w:ascii="Times New Roman" w:eastAsia="Times New Roman" w:hAnsi="Times New Roman" w:cs="Times New Roman"/>
                <w:sz w:val="20"/>
                <w:szCs w:val="20"/>
              </w:rPr>
              <w:t xml:space="preserve">, which </w:t>
            </w:r>
            <w:r w:rsidR="00745D18">
              <w:rPr>
                <w:rFonts w:ascii="Times New Roman" w:eastAsia="Times New Roman" w:hAnsi="Times New Roman" w:cs="Times New Roman"/>
                <w:sz w:val="20"/>
                <w:szCs w:val="20"/>
              </w:rPr>
              <w:t xml:space="preserve">in absolute terms </w:t>
            </w:r>
            <w:r w:rsidRPr="003129A4">
              <w:rPr>
                <w:rFonts w:ascii="Times New Roman" w:eastAsia="Times New Roman" w:hAnsi="Times New Roman" w:cs="Times New Roman"/>
                <w:sz w:val="20"/>
                <w:szCs w:val="20"/>
              </w:rPr>
              <w:t>represent</w:t>
            </w:r>
            <w:r w:rsidR="00C012AF">
              <w:rPr>
                <w:rFonts w:ascii="Times New Roman" w:eastAsia="Times New Roman" w:hAnsi="Times New Roman" w:cs="Times New Roman"/>
                <w:sz w:val="20"/>
                <w:szCs w:val="20"/>
              </w:rPr>
              <w:t>s</w:t>
            </w:r>
            <w:r w:rsidRPr="003129A4">
              <w:rPr>
                <w:rFonts w:ascii="Times New Roman" w:eastAsia="Times New Roman" w:hAnsi="Times New Roman" w:cs="Times New Roman"/>
                <w:sz w:val="20"/>
                <w:szCs w:val="20"/>
              </w:rPr>
              <w:t xml:space="preserve"> </w:t>
            </w:r>
            <w:r w:rsidR="00485E9B">
              <w:rPr>
                <w:rFonts w:ascii="Times New Roman" w:eastAsia="Times New Roman" w:hAnsi="Times New Roman" w:cs="Times New Roman"/>
                <w:sz w:val="20"/>
                <w:szCs w:val="20"/>
              </w:rPr>
              <w:t>38,057</w:t>
            </w:r>
            <w:r w:rsidRPr="003129A4">
              <w:rPr>
                <w:rFonts w:ascii="Times New Roman" w:eastAsia="Times New Roman" w:hAnsi="Times New Roman" w:cs="Times New Roman"/>
                <w:sz w:val="20"/>
                <w:szCs w:val="20"/>
              </w:rPr>
              <w:t xml:space="preserve"> fewer guests and </w:t>
            </w:r>
            <w:r w:rsidR="009B5745">
              <w:rPr>
                <w:rFonts w:ascii="Times New Roman" w:eastAsia="Times New Roman" w:hAnsi="Times New Roman" w:cs="Times New Roman"/>
                <w:sz w:val="20"/>
                <w:szCs w:val="20"/>
              </w:rPr>
              <w:t>3</w:t>
            </w:r>
            <w:r w:rsidR="00485E9B">
              <w:rPr>
                <w:rFonts w:ascii="Times New Roman" w:eastAsia="Times New Roman" w:hAnsi="Times New Roman" w:cs="Times New Roman"/>
                <w:sz w:val="20"/>
                <w:szCs w:val="20"/>
              </w:rPr>
              <w:t>11,165</w:t>
            </w:r>
            <w:r w:rsidRPr="003129A4">
              <w:rPr>
                <w:rFonts w:ascii="Times New Roman" w:eastAsia="Times New Roman" w:hAnsi="Times New Roman" w:cs="Times New Roman"/>
                <w:sz w:val="20"/>
                <w:szCs w:val="20"/>
              </w:rPr>
              <w:t xml:space="preserve"> fewer overnight stays than in 20</w:t>
            </w:r>
            <w:r w:rsidR="009B5745">
              <w:rPr>
                <w:rFonts w:ascii="Times New Roman" w:eastAsia="Times New Roman" w:hAnsi="Times New Roman" w:cs="Times New Roman"/>
                <w:sz w:val="20"/>
                <w:szCs w:val="20"/>
              </w:rPr>
              <w:t>20</w:t>
            </w:r>
            <w:r w:rsidRPr="003129A4">
              <w:rPr>
                <w:rFonts w:ascii="Times New Roman" w:eastAsia="Times New Roman" w:hAnsi="Times New Roman" w:cs="Times New Roman"/>
                <w:sz w:val="20"/>
                <w:szCs w:val="20"/>
              </w:rPr>
              <w:t xml:space="preserve">. </w:t>
            </w:r>
            <w:r w:rsidR="00051FCF" w:rsidRPr="00051FCF">
              <w:rPr>
                <w:rFonts w:ascii="Times New Roman" w:eastAsia="Times New Roman" w:hAnsi="Times New Roman" w:cs="Times New Roman"/>
                <w:sz w:val="20"/>
                <w:szCs w:val="20"/>
              </w:rPr>
              <w:t>This year-on-year decrease reflect</w:t>
            </w:r>
            <w:r w:rsidR="007C3CA7">
              <w:rPr>
                <w:rFonts w:ascii="Times New Roman" w:eastAsia="Times New Roman" w:hAnsi="Times New Roman" w:cs="Times New Roman"/>
                <w:sz w:val="20"/>
                <w:szCs w:val="20"/>
              </w:rPr>
              <w:t>s</w:t>
            </w:r>
            <w:r w:rsidR="00051FCF" w:rsidRPr="00051FCF">
              <w:rPr>
                <w:rFonts w:ascii="Times New Roman" w:eastAsia="Times New Roman" w:hAnsi="Times New Roman" w:cs="Times New Roman"/>
                <w:sz w:val="20"/>
                <w:szCs w:val="20"/>
              </w:rPr>
              <w:t xml:space="preserve"> the strong first quarter of 2020, prior to the COVID-19 crisis, in which the country received </w:t>
            </w:r>
            <w:r w:rsidR="00792AF7">
              <w:rPr>
                <w:rFonts w:ascii="Times New Roman" w:eastAsia="Times New Roman" w:hAnsi="Times New Roman" w:cs="Times New Roman"/>
                <w:sz w:val="20"/>
                <w:szCs w:val="20"/>
              </w:rPr>
              <w:t>189,110</w:t>
            </w:r>
            <w:r w:rsidR="00051FCF" w:rsidRPr="00051FCF">
              <w:rPr>
                <w:rFonts w:ascii="Times New Roman" w:eastAsia="Times New Roman" w:hAnsi="Times New Roman" w:cs="Times New Roman"/>
                <w:sz w:val="20"/>
                <w:szCs w:val="20"/>
              </w:rPr>
              <w:t xml:space="preserve"> tourists</w:t>
            </w:r>
            <w:r w:rsidR="00085559">
              <w:rPr>
                <w:rFonts w:ascii="Times New Roman" w:eastAsia="Times New Roman" w:hAnsi="Times New Roman" w:cs="Times New Roman"/>
                <w:sz w:val="20"/>
                <w:szCs w:val="20"/>
              </w:rPr>
              <w:t xml:space="preserve"> and registered 1</w:t>
            </w:r>
            <w:r w:rsidR="00290A45">
              <w:rPr>
                <w:rFonts w:ascii="Times New Roman" w:eastAsia="Times New Roman" w:hAnsi="Times New Roman" w:cs="Times New Roman"/>
                <w:sz w:val="20"/>
                <w:szCs w:val="20"/>
              </w:rPr>
              <w:t>,102,883 overnight stays</w:t>
            </w:r>
            <w:r w:rsidR="00051FCF" w:rsidRPr="00051FCF">
              <w:rPr>
                <w:rFonts w:ascii="Times New Roman" w:eastAsia="Times New Roman" w:hAnsi="Times New Roman" w:cs="Times New Roman"/>
                <w:sz w:val="20"/>
                <w:szCs w:val="20"/>
              </w:rPr>
              <w:t>.</w:t>
            </w:r>
            <w:r w:rsidRPr="003129A4">
              <w:rPr>
                <w:rFonts w:ascii="Times New Roman" w:eastAsia="Times New Roman" w:hAnsi="Times New Roman" w:cs="Times New Roman"/>
                <w:sz w:val="20"/>
                <w:szCs w:val="20"/>
              </w:rPr>
              <w:t xml:space="preserve"> </w:t>
            </w:r>
            <w:r w:rsidR="006762F9" w:rsidRPr="006762F9">
              <w:rPr>
                <w:rFonts w:ascii="Times New Roman" w:eastAsia="Times New Roman" w:hAnsi="Times New Roman" w:cs="Times New Roman"/>
                <w:sz w:val="20"/>
                <w:szCs w:val="20"/>
              </w:rPr>
              <w:t xml:space="preserve">In </w:t>
            </w:r>
            <w:r w:rsidR="00A6784B">
              <w:rPr>
                <w:rFonts w:ascii="Times New Roman" w:eastAsia="Times New Roman" w:hAnsi="Times New Roman" w:cs="Times New Roman"/>
                <w:sz w:val="20"/>
                <w:szCs w:val="20"/>
              </w:rPr>
              <w:t>fact,</w:t>
            </w:r>
            <w:r w:rsidR="00A74B8C">
              <w:rPr>
                <w:rFonts w:ascii="Times New Roman" w:eastAsia="Times New Roman" w:hAnsi="Times New Roman" w:cs="Times New Roman"/>
                <w:sz w:val="20"/>
                <w:szCs w:val="20"/>
              </w:rPr>
              <w:t xml:space="preserve"> data from </w:t>
            </w:r>
            <w:r w:rsidR="006762F9" w:rsidRPr="006762F9">
              <w:rPr>
                <w:rFonts w:ascii="Times New Roman" w:eastAsia="Times New Roman" w:hAnsi="Times New Roman" w:cs="Times New Roman"/>
                <w:sz w:val="20"/>
                <w:szCs w:val="20"/>
              </w:rPr>
              <w:t xml:space="preserve">the third </w:t>
            </w:r>
            <w:r w:rsidR="009E0FC3">
              <w:rPr>
                <w:rFonts w:ascii="Times New Roman" w:eastAsia="Times New Roman" w:hAnsi="Times New Roman" w:cs="Times New Roman"/>
                <w:sz w:val="20"/>
                <w:szCs w:val="20"/>
              </w:rPr>
              <w:t xml:space="preserve">and fourth </w:t>
            </w:r>
            <w:r w:rsidR="006762F9" w:rsidRPr="006762F9">
              <w:rPr>
                <w:rFonts w:ascii="Times New Roman" w:eastAsia="Times New Roman" w:hAnsi="Times New Roman" w:cs="Times New Roman"/>
                <w:sz w:val="20"/>
                <w:szCs w:val="20"/>
              </w:rPr>
              <w:t>quarter</w:t>
            </w:r>
            <w:r w:rsidR="009E0FC3">
              <w:rPr>
                <w:rFonts w:ascii="Times New Roman" w:eastAsia="Times New Roman" w:hAnsi="Times New Roman" w:cs="Times New Roman"/>
                <w:sz w:val="20"/>
                <w:szCs w:val="20"/>
              </w:rPr>
              <w:t>s</w:t>
            </w:r>
            <w:r w:rsidR="006762F9" w:rsidRPr="006762F9">
              <w:rPr>
                <w:rFonts w:ascii="Times New Roman" w:eastAsia="Times New Roman" w:hAnsi="Times New Roman" w:cs="Times New Roman"/>
                <w:sz w:val="20"/>
                <w:szCs w:val="20"/>
              </w:rPr>
              <w:t xml:space="preserve"> of 2021</w:t>
            </w:r>
            <w:r w:rsidR="00A74B8C">
              <w:rPr>
                <w:rFonts w:ascii="Times New Roman" w:eastAsia="Times New Roman" w:hAnsi="Times New Roman" w:cs="Times New Roman"/>
                <w:sz w:val="20"/>
                <w:szCs w:val="20"/>
              </w:rPr>
              <w:t xml:space="preserve"> shows </w:t>
            </w:r>
            <w:r w:rsidR="00A477AB">
              <w:rPr>
                <w:rFonts w:ascii="Times New Roman" w:eastAsia="Times New Roman" w:hAnsi="Times New Roman" w:cs="Times New Roman"/>
                <w:sz w:val="20"/>
                <w:szCs w:val="20"/>
              </w:rPr>
              <w:t>that</w:t>
            </w:r>
            <w:r w:rsidR="006762F9" w:rsidRPr="006762F9">
              <w:rPr>
                <w:rFonts w:ascii="Times New Roman" w:eastAsia="Times New Roman" w:hAnsi="Times New Roman" w:cs="Times New Roman"/>
                <w:sz w:val="20"/>
                <w:szCs w:val="20"/>
              </w:rPr>
              <w:t xml:space="preserve"> hotel</w:t>
            </w:r>
            <w:r w:rsidR="00A477AB">
              <w:rPr>
                <w:rFonts w:ascii="Times New Roman" w:eastAsia="Times New Roman" w:hAnsi="Times New Roman" w:cs="Times New Roman"/>
                <w:sz w:val="20"/>
                <w:szCs w:val="20"/>
              </w:rPr>
              <w:t>s</w:t>
            </w:r>
            <w:r w:rsidR="006762F9" w:rsidRPr="006762F9">
              <w:rPr>
                <w:rFonts w:ascii="Times New Roman" w:eastAsia="Times New Roman" w:hAnsi="Times New Roman" w:cs="Times New Roman"/>
                <w:sz w:val="20"/>
                <w:szCs w:val="20"/>
              </w:rPr>
              <w:t xml:space="preserve"> welcomed about </w:t>
            </w:r>
            <w:r w:rsidR="0023517C">
              <w:rPr>
                <w:rFonts w:ascii="Times New Roman" w:eastAsia="Times New Roman" w:hAnsi="Times New Roman" w:cs="Times New Roman"/>
                <w:sz w:val="20"/>
                <w:szCs w:val="20"/>
              </w:rPr>
              <w:t>135,149</w:t>
            </w:r>
            <w:r w:rsidR="006762F9" w:rsidRPr="006762F9">
              <w:rPr>
                <w:rFonts w:ascii="Times New Roman" w:eastAsia="Times New Roman" w:hAnsi="Times New Roman" w:cs="Times New Roman"/>
                <w:sz w:val="20"/>
                <w:szCs w:val="20"/>
              </w:rPr>
              <w:t xml:space="preserve"> guests, </w:t>
            </w:r>
            <w:r w:rsidR="00AA4EBB" w:rsidRPr="006762F9">
              <w:rPr>
                <w:rFonts w:ascii="Times New Roman" w:eastAsia="Times New Roman" w:hAnsi="Times New Roman" w:cs="Times New Roman"/>
                <w:sz w:val="20"/>
                <w:szCs w:val="20"/>
              </w:rPr>
              <w:t>a</w:t>
            </w:r>
            <w:r w:rsidR="00AA4EBB">
              <w:rPr>
                <w:rFonts w:ascii="Times New Roman" w:eastAsia="Times New Roman" w:hAnsi="Times New Roman" w:cs="Times New Roman"/>
                <w:sz w:val="20"/>
                <w:szCs w:val="20"/>
              </w:rPr>
              <w:t>n</w:t>
            </w:r>
            <w:r w:rsidR="00AA4EBB" w:rsidRPr="006762F9">
              <w:rPr>
                <w:rFonts w:ascii="Times New Roman" w:eastAsia="Times New Roman" w:hAnsi="Times New Roman" w:cs="Times New Roman"/>
                <w:sz w:val="20"/>
                <w:szCs w:val="20"/>
              </w:rPr>
              <w:t xml:space="preserve"> </w:t>
            </w:r>
            <w:r w:rsidR="00AA4EBB">
              <w:rPr>
                <w:rFonts w:ascii="Times New Roman" w:eastAsia="Times New Roman" w:hAnsi="Times New Roman" w:cs="Times New Roman"/>
                <w:sz w:val="20"/>
                <w:szCs w:val="20"/>
              </w:rPr>
              <w:t>increase</w:t>
            </w:r>
            <w:r w:rsidR="006762F9" w:rsidRPr="006762F9">
              <w:rPr>
                <w:rFonts w:ascii="Times New Roman" w:eastAsia="Times New Roman" w:hAnsi="Times New Roman" w:cs="Times New Roman"/>
                <w:sz w:val="20"/>
                <w:szCs w:val="20"/>
              </w:rPr>
              <w:t xml:space="preserve"> </w:t>
            </w:r>
            <w:r w:rsidR="00270263">
              <w:rPr>
                <w:rFonts w:ascii="Times New Roman" w:eastAsia="Times New Roman" w:hAnsi="Times New Roman" w:cs="Times New Roman"/>
                <w:sz w:val="20"/>
                <w:szCs w:val="20"/>
              </w:rPr>
              <w:t xml:space="preserve">of 122,414 </w:t>
            </w:r>
            <w:r w:rsidR="00CD760E">
              <w:rPr>
                <w:rFonts w:ascii="Times New Roman" w:eastAsia="Times New Roman" w:hAnsi="Times New Roman" w:cs="Times New Roman"/>
                <w:sz w:val="20"/>
                <w:szCs w:val="20"/>
              </w:rPr>
              <w:t xml:space="preserve">guests </w:t>
            </w:r>
            <w:r w:rsidR="006762F9" w:rsidRPr="006762F9">
              <w:rPr>
                <w:rFonts w:ascii="Times New Roman" w:eastAsia="Times New Roman" w:hAnsi="Times New Roman" w:cs="Times New Roman"/>
                <w:sz w:val="20"/>
                <w:szCs w:val="20"/>
              </w:rPr>
              <w:t xml:space="preserve">compared to the same period last year. The number of overnight stays reached </w:t>
            </w:r>
            <w:r w:rsidR="00CD760E">
              <w:rPr>
                <w:rFonts w:ascii="Times New Roman" w:eastAsia="Times New Roman" w:hAnsi="Times New Roman" w:cs="Times New Roman"/>
                <w:sz w:val="20"/>
                <w:szCs w:val="20"/>
              </w:rPr>
              <w:t>722,845</w:t>
            </w:r>
            <w:r w:rsidR="006762F9" w:rsidRPr="006762F9">
              <w:rPr>
                <w:rFonts w:ascii="Times New Roman" w:eastAsia="Times New Roman" w:hAnsi="Times New Roman" w:cs="Times New Roman"/>
                <w:sz w:val="20"/>
                <w:szCs w:val="20"/>
              </w:rPr>
              <w:t xml:space="preserve"> in the same period, </w:t>
            </w:r>
            <w:r w:rsidR="001726D3">
              <w:rPr>
                <w:rFonts w:ascii="Times New Roman" w:eastAsia="Times New Roman" w:hAnsi="Times New Roman" w:cs="Times New Roman"/>
                <w:sz w:val="20"/>
                <w:szCs w:val="20"/>
              </w:rPr>
              <w:t xml:space="preserve">which represents an increase </w:t>
            </w:r>
            <w:r w:rsidR="003B6F02">
              <w:rPr>
                <w:rFonts w:ascii="Times New Roman" w:eastAsia="Times New Roman" w:hAnsi="Times New Roman" w:cs="Times New Roman"/>
                <w:sz w:val="20"/>
                <w:szCs w:val="20"/>
              </w:rPr>
              <w:t xml:space="preserve">of </w:t>
            </w:r>
            <w:r w:rsidR="003C352D">
              <w:rPr>
                <w:rFonts w:ascii="Times New Roman" w:eastAsia="Times New Roman" w:hAnsi="Times New Roman" w:cs="Times New Roman"/>
                <w:sz w:val="20"/>
                <w:szCs w:val="20"/>
              </w:rPr>
              <w:t xml:space="preserve">687,366 days </w:t>
            </w:r>
            <w:r w:rsidR="006762F9" w:rsidRPr="006762F9">
              <w:rPr>
                <w:rFonts w:ascii="Times New Roman" w:eastAsia="Times New Roman" w:hAnsi="Times New Roman" w:cs="Times New Roman"/>
                <w:sz w:val="20"/>
                <w:szCs w:val="20"/>
              </w:rPr>
              <w:t>compared to 2020.</w:t>
            </w:r>
          </w:p>
        </w:tc>
      </w:tr>
      <w:tr w:rsidR="007A53AE" w:rsidRPr="003129A4" w14:paraId="0D0AB3E7" w14:textId="77777777" w:rsidTr="00AA4EBB">
        <w:trPr>
          <w:trHeight w:val="162"/>
          <w:jc w:val="center"/>
        </w:trPr>
        <w:tc>
          <w:tcPr>
            <w:tcW w:w="4692" w:type="dxa"/>
            <w:tcBorders>
              <w:top w:val="nil"/>
              <w:left w:val="single" w:sz="4" w:space="0" w:color="auto"/>
              <w:bottom w:val="nil"/>
              <w:right w:val="nil"/>
            </w:tcBorders>
            <w:shd w:val="clear" w:color="auto" w:fill="DBE5F1"/>
          </w:tcPr>
          <w:p w14:paraId="6361B6EF" w14:textId="77777777" w:rsidR="003129A4" w:rsidRDefault="003129A4" w:rsidP="003129A4">
            <w:pPr>
              <w:spacing w:before="240"/>
              <w:jc w:val="center"/>
              <w:rPr>
                <w:rFonts w:ascii="Times New Roman" w:hAnsi="Times New Roman" w:cs="Times New Roman"/>
                <w:b/>
                <w:bCs/>
                <w:noProof/>
                <w:color w:val="1F497D"/>
                <w:sz w:val="20"/>
                <w:szCs w:val="20"/>
              </w:rPr>
            </w:pPr>
            <w:r w:rsidRPr="003129A4">
              <w:rPr>
                <w:rFonts w:ascii="Times New Roman" w:hAnsi="Times New Roman" w:cs="Times New Roman"/>
                <w:b/>
                <w:bCs/>
                <w:noProof/>
                <w:color w:val="1F497D"/>
                <w:sz w:val="20"/>
                <w:szCs w:val="20"/>
              </w:rPr>
              <w:t>Figure B</w:t>
            </w:r>
            <w:r w:rsidR="004A44B5">
              <w:rPr>
                <w:rFonts w:ascii="Times New Roman" w:hAnsi="Times New Roman" w:cs="Times New Roman"/>
                <w:b/>
                <w:bCs/>
                <w:noProof/>
                <w:color w:val="1F497D"/>
                <w:sz w:val="20"/>
                <w:szCs w:val="20"/>
              </w:rPr>
              <w:t>3</w:t>
            </w:r>
            <w:r w:rsidRPr="003129A4">
              <w:rPr>
                <w:rFonts w:ascii="Times New Roman" w:hAnsi="Times New Roman" w:cs="Times New Roman"/>
                <w:b/>
                <w:bCs/>
                <w:noProof/>
                <w:color w:val="1F497D"/>
                <w:sz w:val="20"/>
                <w:szCs w:val="20"/>
              </w:rPr>
              <w:t>.1: Tourism Receipts</w:t>
            </w:r>
          </w:p>
          <w:p w14:paraId="2BBC06A0" w14:textId="185BDDA6" w:rsidR="00AA4EBB" w:rsidRPr="003129A4" w:rsidRDefault="00187B3F" w:rsidP="00AA4EBB">
            <w:pPr>
              <w:spacing w:before="240"/>
              <w:rPr>
                <w:rFonts w:ascii="Times New Roman" w:hAnsi="Times New Roman" w:cs="Times New Roman"/>
                <w:b/>
                <w:bCs/>
                <w:noProof/>
                <w:color w:val="1F497D"/>
                <w:sz w:val="20"/>
                <w:szCs w:val="20"/>
              </w:rPr>
            </w:pPr>
            <w:r>
              <w:rPr>
                <w:rFonts w:ascii="Times New Roman" w:hAnsi="Times New Roman" w:cs="Times New Roman"/>
                <w:b/>
                <w:bCs/>
                <w:noProof/>
                <w:color w:val="1F497D"/>
                <w:sz w:val="20"/>
                <w:szCs w:val="20"/>
              </w:rPr>
              <w:drawing>
                <wp:inline distT="0" distB="0" distL="0" distR="0" wp14:anchorId="51DAA867" wp14:editId="741FEFAE">
                  <wp:extent cx="2842357" cy="216689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1531" cy="2212010"/>
                          </a:xfrm>
                          <a:prstGeom prst="rect">
                            <a:avLst/>
                          </a:prstGeom>
                          <a:noFill/>
                        </pic:spPr>
                      </pic:pic>
                    </a:graphicData>
                  </a:graphic>
                </wp:inline>
              </w:drawing>
            </w:r>
            <w:r w:rsidR="00AA4EBB" w:rsidRPr="001214E7">
              <w:rPr>
                <w:rFonts w:ascii="Times New Roman" w:hAnsi="Times New Roman" w:cs="Times New Roman"/>
                <w:noProof/>
                <w:sz w:val="16"/>
                <w:szCs w:val="16"/>
              </w:rPr>
              <w:t>Source: Cabo Verde Central Bank, 2021.</w:t>
            </w:r>
          </w:p>
        </w:tc>
        <w:tc>
          <w:tcPr>
            <w:tcW w:w="4668" w:type="dxa"/>
            <w:tcBorders>
              <w:top w:val="nil"/>
              <w:left w:val="nil"/>
              <w:bottom w:val="nil"/>
              <w:right w:val="single" w:sz="4" w:space="0" w:color="auto"/>
            </w:tcBorders>
            <w:shd w:val="clear" w:color="auto" w:fill="DBE5F1"/>
          </w:tcPr>
          <w:p w14:paraId="3A22A6B8" w14:textId="1F06D68B" w:rsidR="003129A4" w:rsidRDefault="003129A4" w:rsidP="003129A4">
            <w:pPr>
              <w:spacing w:before="240"/>
              <w:jc w:val="center"/>
              <w:rPr>
                <w:rFonts w:ascii="Times New Roman" w:hAnsi="Times New Roman" w:cs="Times New Roman"/>
                <w:b/>
                <w:bCs/>
                <w:noProof/>
                <w:color w:val="1F497D"/>
                <w:sz w:val="20"/>
                <w:szCs w:val="20"/>
              </w:rPr>
            </w:pPr>
            <w:r w:rsidRPr="003129A4">
              <w:rPr>
                <w:rFonts w:ascii="Times New Roman" w:hAnsi="Times New Roman" w:cs="Times New Roman"/>
                <w:b/>
                <w:bCs/>
                <w:noProof/>
                <w:color w:val="1F497D"/>
                <w:sz w:val="20"/>
                <w:szCs w:val="20"/>
              </w:rPr>
              <w:t>Figure B</w:t>
            </w:r>
            <w:r w:rsidR="004A44B5">
              <w:rPr>
                <w:rFonts w:ascii="Times New Roman" w:hAnsi="Times New Roman" w:cs="Times New Roman"/>
                <w:b/>
                <w:bCs/>
                <w:noProof/>
                <w:color w:val="1F497D"/>
                <w:sz w:val="20"/>
                <w:szCs w:val="20"/>
              </w:rPr>
              <w:t>3</w:t>
            </w:r>
            <w:r w:rsidRPr="003129A4">
              <w:rPr>
                <w:rFonts w:ascii="Times New Roman" w:hAnsi="Times New Roman" w:cs="Times New Roman"/>
                <w:b/>
                <w:bCs/>
                <w:noProof/>
                <w:color w:val="1F497D"/>
                <w:sz w:val="20"/>
                <w:szCs w:val="20"/>
              </w:rPr>
              <w:t>.</w:t>
            </w:r>
            <w:r w:rsidR="004A44B5">
              <w:rPr>
                <w:rFonts w:ascii="Times New Roman" w:hAnsi="Times New Roman" w:cs="Times New Roman"/>
                <w:b/>
                <w:bCs/>
                <w:noProof/>
                <w:color w:val="1F497D"/>
                <w:sz w:val="20"/>
                <w:szCs w:val="20"/>
              </w:rPr>
              <w:t>2</w:t>
            </w:r>
            <w:r w:rsidRPr="003129A4">
              <w:rPr>
                <w:rFonts w:ascii="Times New Roman" w:hAnsi="Times New Roman" w:cs="Times New Roman"/>
                <w:b/>
                <w:bCs/>
                <w:noProof/>
                <w:color w:val="1F497D"/>
                <w:sz w:val="20"/>
                <w:szCs w:val="20"/>
              </w:rPr>
              <w:t>: Tourism Arriva</w:t>
            </w:r>
            <w:r w:rsidR="00807579">
              <w:rPr>
                <w:rFonts w:ascii="Times New Roman" w:hAnsi="Times New Roman" w:cs="Times New Roman"/>
                <w:b/>
                <w:bCs/>
                <w:noProof/>
                <w:color w:val="1F497D"/>
                <w:sz w:val="20"/>
                <w:szCs w:val="20"/>
              </w:rPr>
              <w:t>l</w:t>
            </w:r>
            <w:r w:rsidRPr="003129A4">
              <w:rPr>
                <w:rFonts w:ascii="Times New Roman" w:hAnsi="Times New Roman" w:cs="Times New Roman"/>
                <w:b/>
                <w:bCs/>
                <w:noProof/>
                <w:color w:val="1F497D"/>
                <w:sz w:val="20"/>
                <w:szCs w:val="20"/>
              </w:rPr>
              <w:t xml:space="preserve">s and Occupancy Rate </w:t>
            </w:r>
          </w:p>
          <w:p w14:paraId="4D96C2EC" w14:textId="77777777" w:rsidR="009B1E44" w:rsidRDefault="007A53AE" w:rsidP="003129A4">
            <w:pPr>
              <w:spacing w:before="240"/>
              <w:jc w:val="center"/>
              <w:rPr>
                <w:rFonts w:ascii="Times New Roman" w:hAnsi="Times New Roman" w:cs="Times New Roman"/>
                <w:b/>
                <w:bCs/>
                <w:noProof/>
                <w:color w:val="1F497D"/>
                <w:sz w:val="20"/>
                <w:szCs w:val="20"/>
              </w:rPr>
            </w:pPr>
            <w:r>
              <w:rPr>
                <w:rFonts w:ascii="Times New Roman" w:hAnsi="Times New Roman" w:cs="Times New Roman"/>
                <w:b/>
                <w:bCs/>
                <w:noProof/>
                <w:color w:val="1F497D"/>
                <w:sz w:val="20"/>
                <w:szCs w:val="20"/>
              </w:rPr>
              <w:drawing>
                <wp:inline distT="0" distB="0" distL="0" distR="0" wp14:anchorId="0EC5D726" wp14:editId="5FBC8473">
                  <wp:extent cx="2772572" cy="2174582"/>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3196" cy="2206444"/>
                          </a:xfrm>
                          <a:prstGeom prst="rect">
                            <a:avLst/>
                          </a:prstGeom>
                          <a:noFill/>
                        </pic:spPr>
                      </pic:pic>
                    </a:graphicData>
                  </a:graphic>
                </wp:inline>
              </w:drawing>
            </w:r>
          </w:p>
          <w:p w14:paraId="5179D97A" w14:textId="77777777" w:rsidR="00AA4EBB" w:rsidRDefault="00AA4EBB" w:rsidP="00AA4EBB">
            <w:pPr>
              <w:rPr>
                <w:rFonts w:ascii="Times New Roman" w:hAnsi="Times New Roman" w:cs="Times New Roman"/>
                <w:sz w:val="16"/>
                <w:szCs w:val="16"/>
              </w:rPr>
            </w:pPr>
            <w:r w:rsidRPr="00AA4EBB">
              <w:rPr>
                <w:rFonts w:ascii="Times New Roman" w:hAnsi="Times New Roman" w:cs="Times New Roman"/>
                <w:sz w:val="16"/>
                <w:szCs w:val="16"/>
              </w:rPr>
              <w:t>Source: Cabo Verde National Institute of Statistics, 2021.</w:t>
            </w:r>
          </w:p>
          <w:p w14:paraId="6756EE8E" w14:textId="6BAFC733" w:rsidR="001214E7" w:rsidRPr="00AA4EBB" w:rsidRDefault="001214E7" w:rsidP="00AA4EBB">
            <w:pPr>
              <w:rPr>
                <w:rFonts w:ascii="Times New Roman" w:hAnsi="Times New Roman" w:cs="Times New Roman"/>
                <w:sz w:val="16"/>
                <w:szCs w:val="16"/>
              </w:rPr>
            </w:pPr>
          </w:p>
        </w:tc>
      </w:tr>
      <w:tr w:rsidR="007A53AE" w:rsidRPr="003129A4" w14:paraId="3685EB41" w14:textId="77777777" w:rsidTr="003129A4">
        <w:trPr>
          <w:trHeight w:val="1394"/>
          <w:jc w:val="center"/>
        </w:trPr>
        <w:tc>
          <w:tcPr>
            <w:tcW w:w="9360" w:type="dxa"/>
            <w:gridSpan w:val="2"/>
            <w:tcBorders>
              <w:top w:val="nil"/>
              <w:left w:val="single" w:sz="4" w:space="0" w:color="auto"/>
              <w:bottom w:val="single" w:sz="4" w:space="0" w:color="auto"/>
              <w:right w:val="single" w:sz="4" w:space="0" w:color="auto"/>
            </w:tcBorders>
            <w:shd w:val="clear" w:color="auto" w:fill="DBE5F1"/>
          </w:tcPr>
          <w:p w14:paraId="3BC959C7" w14:textId="20B60D76" w:rsidR="003129A4" w:rsidRPr="003129A4" w:rsidRDefault="003129A4" w:rsidP="00926B73">
            <w:pPr>
              <w:keepNext/>
              <w:jc w:val="both"/>
              <w:rPr>
                <w:rFonts w:ascii="Times New Roman" w:hAnsi="Times New Roman" w:cs="Times New Roman"/>
                <w:sz w:val="20"/>
                <w:szCs w:val="20"/>
              </w:rPr>
            </w:pPr>
            <w:r w:rsidRPr="003129A4">
              <w:rPr>
                <w:rFonts w:ascii="Times New Roman" w:hAnsi="Times New Roman" w:cs="Times New Roman"/>
                <w:b/>
                <w:bCs/>
                <w:sz w:val="20"/>
                <w:szCs w:val="20"/>
              </w:rPr>
              <w:t>Authorities pursue</w:t>
            </w:r>
            <w:r w:rsidR="00203603">
              <w:rPr>
                <w:rFonts w:ascii="Times New Roman" w:hAnsi="Times New Roman" w:cs="Times New Roman"/>
                <w:b/>
                <w:bCs/>
                <w:sz w:val="20"/>
                <w:szCs w:val="20"/>
              </w:rPr>
              <w:t xml:space="preserve">d </w:t>
            </w:r>
            <w:r w:rsidRPr="003129A4">
              <w:rPr>
                <w:rFonts w:ascii="Times New Roman" w:hAnsi="Times New Roman" w:cs="Times New Roman"/>
                <w:b/>
                <w:bCs/>
                <w:sz w:val="20"/>
                <w:szCs w:val="20"/>
              </w:rPr>
              <w:t>needed reforms to relaunch the tourism sector.</w:t>
            </w:r>
            <w:r w:rsidRPr="003129A4">
              <w:rPr>
                <w:rFonts w:ascii="Times New Roman" w:hAnsi="Times New Roman" w:cs="Times New Roman"/>
                <w:sz w:val="20"/>
                <w:szCs w:val="20"/>
              </w:rPr>
              <w:t xml:space="preserve"> The authorities enacted immediate response measures to support MSMEs across the economy and announced a tourism recovery plan to support the revitalization of the economy in the short term. The plan </w:t>
            </w:r>
            <w:r w:rsidR="00713CAF">
              <w:rPr>
                <w:rFonts w:ascii="Times New Roman" w:hAnsi="Times New Roman" w:cs="Times New Roman"/>
                <w:sz w:val="20"/>
                <w:szCs w:val="20"/>
              </w:rPr>
              <w:t>was</w:t>
            </w:r>
            <w:r w:rsidRPr="003129A4">
              <w:rPr>
                <w:rFonts w:ascii="Times New Roman" w:hAnsi="Times New Roman" w:cs="Times New Roman"/>
                <w:sz w:val="20"/>
                <w:szCs w:val="20"/>
              </w:rPr>
              <w:t xml:space="preserve"> based on four pillars. First, health safety, which aim</w:t>
            </w:r>
            <w:r w:rsidR="00713CAF">
              <w:rPr>
                <w:rFonts w:ascii="Times New Roman" w:hAnsi="Times New Roman" w:cs="Times New Roman"/>
                <w:sz w:val="20"/>
                <w:szCs w:val="20"/>
              </w:rPr>
              <w:t>ed</w:t>
            </w:r>
            <w:r w:rsidRPr="003129A4">
              <w:rPr>
                <w:rFonts w:ascii="Times New Roman" w:hAnsi="Times New Roman" w:cs="Times New Roman"/>
                <w:sz w:val="20"/>
                <w:szCs w:val="20"/>
              </w:rPr>
              <w:t xml:space="preserve"> at restoring tourist confidence and stimulating demand by implementing training and sanitary certification programs for tourism operators. Second, tourism diversification, which intend</w:t>
            </w:r>
            <w:r w:rsidR="00E263E8">
              <w:rPr>
                <w:rFonts w:ascii="Times New Roman" w:hAnsi="Times New Roman" w:cs="Times New Roman"/>
                <w:sz w:val="20"/>
                <w:szCs w:val="20"/>
              </w:rPr>
              <w:t>ed</w:t>
            </w:r>
            <w:r w:rsidRPr="003129A4">
              <w:rPr>
                <w:rFonts w:ascii="Times New Roman" w:hAnsi="Times New Roman" w:cs="Times New Roman"/>
                <w:sz w:val="20"/>
                <w:szCs w:val="20"/>
              </w:rPr>
              <w:t xml:space="preserve"> to position other tourist attractions nationwide while still promoting the well-established sun and beach destinations of Sal and Boa Vista islands. Third, culture, which focuse</w:t>
            </w:r>
            <w:r w:rsidR="00E263E8">
              <w:rPr>
                <w:rFonts w:ascii="Times New Roman" w:hAnsi="Times New Roman" w:cs="Times New Roman"/>
                <w:sz w:val="20"/>
                <w:szCs w:val="20"/>
              </w:rPr>
              <w:t>d</w:t>
            </w:r>
            <w:r w:rsidRPr="003129A4">
              <w:rPr>
                <w:rFonts w:ascii="Times New Roman" w:hAnsi="Times New Roman" w:cs="Times New Roman"/>
                <w:sz w:val="20"/>
                <w:szCs w:val="20"/>
              </w:rPr>
              <w:t xml:space="preserve"> on the rehabilitation of cultural heritage. Finally, the fourth pillar is strengthening support mechanisms to businesses and workers in tourism to build crisis resilience. In addition, Cabo Verde Ambition 2030 Plan opens a new opportunity for pursuing medium-term reform to promote sustainable tourism, diversified across more niches and islands, and better linked to the natural and cultural assets of the country.</w:t>
            </w:r>
            <w:r w:rsidR="00B85FA7" w:rsidRPr="00B85FA7">
              <w:rPr>
                <w:rFonts w:asciiTheme="minorHAnsi" w:eastAsiaTheme="minorHAnsi" w:hAnsiTheme="minorHAnsi" w:cstheme="minorBidi"/>
              </w:rPr>
              <w:t xml:space="preserve"> </w:t>
            </w:r>
            <w:r w:rsidR="00330759" w:rsidRPr="00275543">
              <w:rPr>
                <w:rFonts w:ascii="Times New Roman" w:eastAsiaTheme="minorHAnsi" w:hAnsi="Times New Roman" w:cs="Times New Roman"/>
                <w:sz w:val="20"/>
                <w:szCs w:val="20"/>
              </w:rPr>
              <w:t>The</w:t>
            </w:r>
            <w:r w:rsidR="00330759" w:rsidRPr="00275543">
              <w:rPr>
                <w:rFonts w:asciiTheme="minorHAnsi" w:eastAsiaTheme="minorHAnsi" w:hAnsiTheme="minorHAnsi" w:cstheme="minorBidi"/>
              </w:rPr>
              <w:t xml:space="preserve"> </w:t>
            </w:r>
            <w:r w:rsidR="00B85FA7" w:rsidRPr="00275543">
              <w:rPr>
                <w:rFonts w:ascii="Times New Roman" w:hAnsi="Times New Roman" w:cs="Times New Roman"/>
                <w:sz w:val="20"/>
                <w:szCs w:val="20"/>
              </w:rPr>
              <w:t xml:space="preserve">national economic development strategy for 2022 – 2026 (Plano </w:t>
            </w:r>
            <w:proofErr w:type="spellStart"/>
            <w:r w:rsidR="00B85FA7" w:rsidRPr="00275543">
              <w:rPr>
                <w:rFonts w:ascii="Times New Roman" w:hAnsi="Times New Roman" w:cs="Times New Roman"/>
                <w:sz w:val="20"/>
                <w:szCs w:val="20"/>
              </w:rPr>
              <w:t>Estratégico</w:t>
            </w:r>
            <w:proofErr w:type="spellEnd"/>
            <w:r w:rsidR="00B85FA7" w:rsidRPr="00275543">
              <w:rPr>
                <w:rFonts w:ascii="Times New Roman" w:hAnsi="Times New Roman" w:cs="Times New Roman"/>
                <w:sz w:val="20"/>
                <w:szCs w:val="20"/>
              </w:rPr>
              <w:t xml:space="preserve"> de </w:t>
            </w:r>
            <w:proofErr w:type="spellStart"/>
            <w:r w:rsidR="00B85FA7" w:rsidRPr="00275543">
              <w:rPr>
                <w:rFonts w:ascii="Times New Roman" w:hAnsi="Times New Roman" w:cs="Times New Roman"/>
                <w:sz w:val="20"/>
                <w:szCs w:val="20"/>
              </w:rPr>
              <w:t>Desenvolvimento</w:t>
            </w:r>
            <w:proofErr w:type="spellEnd"/>
            <w:r w:rsidR="00B85FA7" w:rsidRPr="00275543">
              <w:rPr>
                <w:rFonts w:ascii="Times New Roman" w:hAnsi="Times New Roman" w:cs="Times New Roman"/>
                <w:sz w:val="20"/>
                <w:szCs w:val="20"/>
              </w:rPr>
              <w:t xml:space="preserve"> </w:t>
            </w:r>
            <w:proofErr w:type="spellStart"/>
            <w:r w:rsidR="00B85FA7" w:rsidRPr="00275543">
              <w:rPr>
                <w:rFonts w:ascii="Times New Roman" w:hAnsi="Times New Roman" w:cs="Times New Roman"/>
                <w:sz w:val="20"/>
                <w:szCs w:val="20"/>
              </w:rPr>
              <w:t>Sustentavel</w:t>
            </w:r>
            <w:proofErr w:type="spellEnd"/>
            <w:r w:rsidR="00B85FA7" w:rsidRPr="00275543">
              <w:rPr>
                <w:rFonts w:ascii="Times New Roman" w:hAnsi="Times New Roman" w:cs="Times New Roman"/>
                <w:sz w:val="20"/>
                <w:szCs w:val="20"/>
              </w:rPr>
              <w:t xml:space="preserve"> - PEDS)</w:t>
            </w:r>
            <w:r w:rsidR="00603886">
              <w:rPr>
                <w:rFonts w:ascii="Times New Roman" w:hAnsi="Times New Roman" w:cs="Times New Roman"/>
                <w:sz w:val="20"/>
                <w:szCs w:val="20"/>
              </w:rPr>
              <w:t>,</w:t>
            </w:r>
            <w:r w:rsidR="00E52A69" w:rsidRPr="00275543">
              <w:rPr>
                <w:rFonts w:ascii="Times New Roman" w:hAnsi="Times New Roman" w:cs="Times New Roman"/>
                <w:sz w:val="20"/>
                <w:szCs w:val="20"/>
              </w:rPr>
              <w:t xml:space="preserve"> </w:t>
            </w:r>
            <w:r w:rsidR="00D06981" w:rsidRPr="00D06981">
              <w:rPr>
                <w:rFonts w:ascii="Times New Roman" w:hAnsi="Times New Roman" w:cs="Times New Roman"/>
                <w:sz w:val="20"/>
                <w:szCs w:val="20"/>
              </w:rPr>
              <w:t>under preparation</w:t>
            </w:r>
            <w:r w:rsidR="00603886">
              <w:rPr>
                <w:rFonts w:ascii="Times New Roman" w:hAnsi="Times New Roman" w:cs="Times New Roman"/>
                <w:sz w:val="20"/>
                <w:szCs w:val="20"/>
              </w:rPr>
              <w:t>,</w:t>
            </w:r>
            <w:r w:rsidR="00D06981" w:rsidRPr="00D06981">
              <w:rPr>
                <w:rFonts w:ascii="Times New Roman" w:hAnsi="Times New Roman" w:cs="Times New Roman"/>
                <w:sz w:val="20"/>
                <w:szCs w:val="20"/>
              </w:rPr>
              <w:t xml:space="preserve"> </w:t>
            </w:r>
            <w:r w:rsidR="0007110B" w:rsidRPr="0007110B">
              <w:rPr>
                <w:rFonts w:ascii="Times New Roman" w:hAnsi="Times New Roman" w:cs="Times New Roman"/>
                <w:sz w:val="20"/>
                <w:szCs w:val="20"/>
              </w:rPr>
              <w:t xml:space="preserve">envisages </w:t>
            </w:r>
            <w:r w:rsidR="00830165">
              <w:rPr>
                <w:rFonts w:ascii="Times New Roman" w:hAnsi="Times New Roman" w:cs="Times New Roman"/>
                <w:sz w:val="20"/>
                <w:szCs w:val="20"/>
              </w:rPr>
              <w:t>to prioriti</w:t>
            </w:r>
            <w:r w:rsidR="009C33A0">
              <w:rPr>
                <w:rFonts w:ascii="Times New Roman" w:hAnsi="Times New Roman" w:cs="Times New Roman"/>
                <w:sz w:val="20"/>
                <w:szCs w:val="20"/>
              </w:rPr>
              <w:t xml:space="preserve">ze </w:t>
            </w:r>
            <w:r w:rsidR="00D06981" w:rsidRPr="00D06981">
              <w:rPr>
                <w:rFonts w:ascii="Times New Roman" w:hAnsi="Times New Roman" w:cs="Times New Roman"/>
                <w:sz w:val="20"/>
                <w:szCs w:val="20"/>
              </w:rPr>
              <w:t>measures aimed at recovering and accelerating sustainable growth in tourism.</w:t>
            </w:r>
          </w:p>
        </w:tc>
      </w:tr>
    </w:tbl>
    <w:p w14:paraId="05EFA3E9" w14:textId="79AB1F97" w:rsidR="003129A4" w:rsidRPr="006D1FB3" w:rsidRDefault="006A3549" w:rsidP="006D1FB3">
      <w:pPr>
        <w:spacing w:before="240" w:line="276" w:lineRule="auto"/>
        <w:jc w:val="both"/>
        <w:rPr>
          <w:rFonts w:ascii="Times New Roman" w:hAnsi="Times New Roman" w:cs="Times New Roman"/>
        </w:rPr>
      </w:pPr>
      <w:r>
        <w:rPr>
          <w:rFonts w:ascii="Times New Roman" w:hAnsi="Times New Roman" w:cs="Times New Roman"/>
          <w:b/>
          <w:bCs/>
        </w:rPr>
        <w:t>1</w:t>
      </w:r>
      <w:r w:rsidR="00F03527">
        <w:rPr>
          <w:rFonts w:ascii="Times New Roman" w:hAnsi="Times New Roman" w:cs="Times New Roman"/>
          <w:b/>
          <w:bCs/>
        </w:rPr>
        <w:t>1</w:t>
      </w:r>
      <w:r>
        <w:rPr>
          <w:rFonts w:ascii="Times New Roman" w:hAnsi="Times New Roman" w:cs="Times New Roman"/>
          <w:b/>
          <w:bCs/>
        </w:rPr>
        <w:t xml:space="preserve">. </w:t>
      </w:r>
      <w:r w:rsidR="004C4CA0" w:rsidRPr="004C4CA0">
        <w:rPr>
          <w:rFonts w:ascii="Times New Roman" w:hAnsi="Times New Roman" w:cs="Times New Roman"/>
          <w:b/>
          <w:bCs/>
        </w:rPr>
        <w:t xml:space="preserve">The CAD was financed </w:t>
      </w:r>
      <w:r w:rsidR="008F14DC" w:rsidRPr="008F14DC">
        <w:rPr>
          <w:rFonts w:ascii="Times New Roman" w:hAnsi="Times New Roman" w:cs="Times New Roman"/>
          <w:b/>
          <w:bCs/>
        </w:rPr>
        <w:t xml:space="preserve">primarily by FDI </w:t>
      </w:r>
      <w:r w:rsidR="00F42ADE">
        <w:rPr>
          <w:rFonts w:ascii="Times New Roman" w:hAnsi="Times New Roman" w:cs="Times New Roman"/>
          <w:b/>
          <w:bCs/>
        </w:rPr>
        <w:t xml:space="preserve">and </w:t>
      </w:r>
      <w:r w:rsidR="00F42ADE" w:rsidRPr="008F14DC">
        <w:rPr>
          <w:rFonts w:ascii="Times New Roman" w:hAnsi="Times New Roman" w:cs="Times New Roman"/>
          <w:b/>
          <w:bCs/>
        </w:rPr>
        <w:t xml:space="preserve">concessional loans </w:t>
      </w:r>
      <w:r w:rsidR="004C4CA0" w:rsidRPr="004C4CA0">
        <w:rPr>
          <w:rFonts w:ascii="Times New Roman" w:hAnsi="Times New Roman" w:cs="Times New Roman"/>
          <w:b/>
          <w:bCs/>
        </w:rPr>
        <w:t>in 202</w:t>
      </w:r>
      <w:r w:rsidR="008F14DC">
        <w:rPr>
          <w:rFonts w:ascii="Times New Roman" w:hAnsi="Times New Roman" w:cs="Times New Roman"/>
          <w:b/>
          <w:bCs/>
        </w:rPr>
        <w:t>1</w:t>
      </w:r>
      <w:r w:rsidR="004C4CA0" w:rsidRPr="004C4CA0">
        <w:rPr>
          <w:rFonts w:ascii="Times New Roman" w:hAnsi="Times New Roman" w:cs="Times New Roman"/>
          <w:b/>
          <w:bCs/>
        </w:rPr>
        <w:t>.</w:t>
      </w:r>
      <w:r w:rsidR="004C4CA0" w:rsidRPr="004C4CA0">
        <w:rPr>
          <w:rFonts w:ascii="Times New Roman" w:hAnsi="Times New Roman" w:cs="Times New Roman"/>
        </w:rPr>
        <w:t xml:space="preserve"> The financial account </w:t>
      </w:r>
      <w:r w:rsidR="0056529D">
        <w:rPr>
          <w:rFonts w:ascii="Times New Roman" w:hAnsi="Times New Roman" w:cs="Times New Roman"/>
        </w:rPr>
        <w:t>widened</w:t>
      </w:r>
      <w:r w:rsidR="004C4CA0" w:rsidRPr="004C4CA0">
        <w:rPr>
          <w:rFonts w:ascii="Times New Roman" w:hAnsi="Times New Roman" w:cs="Times New Roman"/>
        </w:rPr>
        <w:t xml:space="preserve"> by </w:t>
      </w:r>
      <w:r w:rsidR="00331415">
        <w:rPr>
          <w:rFonts w:ascii="Times New Roman" w:hAnsi="Times New Roman" w:cs="Times New Roman"/>
        </w:rPr>
        <w:t>around 70</w:t>
      </w:r>
      <w:r w:rsidR="004C4CA0" w:rsidRPr="00683175">
        <w:rPr>
          <w:rFonts w:ascii="Times New Roman" w:hAnsi="Times New Roman" w:cs="Times New Roman"/>
        </w:rPr>
        <w:t xml:space="preserve"> </w:t>
      </w:r>
      <w:r w:rsidR="004C4CA0" w:rsidRPr="004C4CA0">
        <w:rPr>
          <w:rFonts w:ascii="Times New Roman" w:hAnsi="Times New Roman" w:cs="Times New Roman"/>
        </w:rPr>
        <w:t>percent, mainly reflecting a</w:t>
      </w:r>
      <w:r w:rsidR="00085F12">
        <w:rPr>
          <w:rFonts w:ascii="Times New Roman" w:hAnsi="Times New Roman" w:cs="Times New Roman"/>
        </w:rPr>
        <w:t xml:space="preserve"> strong </w:t>
      </w:r>
      <w:r w:rsidR="00C24B66">
        <w:rPr>
          <w:rFonts w:ascii="Times New Roman" w:hAnsi="Times New Roman" w:cs="Times New Roman"/>
        </w:rPr>
        <w:t>increase</w:t>
      </w:r>
      <w:r w:rsidR="004C4CA0" w:rsidRPr="004C4CA0">
        <w:rPr>
          <w:rFonts w:ascii="Times New Roman" w:hAnsi="Times New Roman" w:cs="Times New Roman"/>
        </w:rPr>
        <w:t xml:space="preserve"> in FDI due to the </w:t>
      </w:r>
      <w:r w:rsidR="00924F95">
        <w:rPr>
          <w:rFonts w:ascii="Times New Roman" w:hAnsi="Times New Roman" w:cs="Times New Roman"/>
        </w:rPr>
        <w:t>re</w:t>
      </w:r>
      <w:r w:rsidR="00213E71">
        <w:rPr>
          <w:rFonts w:ascii="Times New Roman" w:hAnsi="Times New Roman" w:cs="Times New Roman"/>
        </w:rPr>
        <w:t xml:space="preserve">sumption </w:t>
      </w:r>
      <w:r w:rsidR="004C4CA0" w:rsidRPr="004C4CA0">
        <w:rPr>
          <w:rFonts w:ascii="Times New Roman" w:hAnsi="Times New Roman" w:cs="Times New Roman"/>
        </w:rPr>
        <w:t xml:space="preserve">of planned investment projects. FDI accounted for </w:t>
      </w:r>
      <w:r w:rsidR="00977C0C">
        <w:rPr>
          <w:rFonts w:ascii="Times New Roman" w:hAnsi="Times New Roman" w:cs="Times New Roman"/>
        </w:rPr>
        <w:t>5.</w:t>
      </w:r>
      <w:r w:rsidR="0062665D">
        <w:rPr>
          <w:rFonts w:ascii="Times New Roman" w:hAnsi="Times New Roman" w:cs="Times New Roman"/>
        </w:rPr>
        <w:t>6</w:t>
      </w:r>
      <w:r w:rsidR="004C4CA0" w:rsidRPr="004C4CA0">
        <w:rPr>
          <w:rFonts w:ascii="Times New Roman" w:hAnsi="Times New Roman" w:cs="Times New Roman"/>
        </w:rPr>
        <w:t xml:space="preserve"> percent of GDP in 202</w:t>
      </w:r>
      <w:r w:rsidR="00FA57C6">
        <w:rPr>
          <w:rFonts w:ascii="Times New Roman" w:hAnsi="Times New Roman" w:cs="Times New Roman"/>
        </w:rPr>
        <w:t>1</w:t>
      </w:r>
      <w:r w:rsidR="004C4CA0" w:rsidRPr="004C4CA0">
        <w:rPr>
          <w:rFonts w:ascii="Times New Roman" w:hAnsi="Times New Roman" w:cs="Times New Roman"/>
        </w:rPr>
        <w:t xml:space="preserve">. Gross international reserves </w:t>
      </w:r>
      <w:r w:rsidR="00B33062">
        <w:rPr>
          <w:rFonts w:ascii="Times New Roman" w:hAnsi="Times New Roman" w:cs="Times New Roman"/>
        </w:rPr>
        <w:t>in</w:t>
      </w:r>
      <w:r w:rsidR="004C4CA0" w:rsidRPr="004C4CA0">
        <w:rPr>
          <w:rFonts w:ascii="Times New Roman" w:hAnsi="Times New Roman" w:cs="Times New Roman"/>
        </w:rPr>
        <w:t xml:space="preserve">creased by </w:t>
      </w:r>
      <w:r w:rsidR="004C5135">
        <w:rPr>
          <w:rFonts w:ascii="Times New Roman" w:hAnsi="Times New Roman" w:cs="Times New Roman"/>
        </w:rPr>
        <w:t>EUR 10</w:t>
      </w:r>
      <w:r w:rsidR="004C4CA0" w:rsidRPr="00A27DC3">
        <w:rPr>
          <w:rFonts w:ascii="Times New Roman" w:hAnsi="Times New Roman" w:cs="Times New Roman"/>
        </w:rPr>
        <w:t xml:space="preserve"> million</w:t>
      </w:r>
      <w:r w:rsidR="004C4CA0" w:rsidRPr="000C3EAB">
        <w:rPr>
          <w:rFonts w:ascii="Times New Roman" w:hAnsi="Times New Roman" w:cs="Times New Roman"/>
        </w:rPr>
        <w:t xml:space="preserve">, reaching approximately </w:t>
      </w:r>
      <w:r w:rsidR="004C5135">
        <w:rPr>
          <w:rFonts w:ascii="Times New Roman" w:hAnsi="Times New Roman" w:cs="Times New Roman"/>
        </w:rPr>
        <w:t>EUR 595</w:t>
      </w:r>
      <w:r w:rsidR="004C4CA0" w:rsidRPr="00A27DC3">
        <w:rPr>
          <w:rFonts w:ascii="Times New Roman" w:hAnsi="Times New Roman" w:cs="Times New Roman"/>
        </w:rPr>
        <w:t xml:space="preserve"> million</w:t>
      </w:r>
      <w:r w:rsidR="004C4CA0" w:rsidRPr="000C3EAB">
        <w:rPr>
          <w:rFonts w:ascii="Times New Roman" w:hAnsi="Times New Roman" w:cs="Times New Roman"/>
        </w:rPr>
        <w:t xml:space="preserve"> and covering about </w:t>
      </w:r>
      <w:r w:rsidR="006835A8" w:rsidRPr="00A27DC3">
        <w:rPr>
          <w:rFonts w:ascii="Times New Roman" w:hAnsi="Times New Roman" w:cs="Times New Roman"/>
        </w:rPr>
        <w:t>7.</w:t>
      </w:r>
      <w:r w:rsidR="004C5135">
        <w:rPr>
          <w:rFonts w:ascii="Times New Roman" w:hAnsi="Times New Roman" w:cs="Times New Roman"/>
        </w:rPr>
        <w:t>5</w:t>
      </w:r>
      <w:r w:rsidR="004C4CA0" w:rsidRPr="00A27DC3">
        <w:rPr>
          <w:rFonts w:ascii="Times New Roman" w:hAnsi="Times New Roman" w:cs="Times New Roman"/>
        </w:rPr>
        <w:t xml:space="preserve"> months of imports</w:t>
      </w:r>
      <w:r w:rsidR="004C4CA0" w:rsidRPr="004C4CA0">
        <w:rPr>
          <w:rFonts w:ascii="Times New Roman" w:hAnsi="Times New Roman" w:cs="Times New Roman"/>
        </w:rPr>
        <w:t>, well above the level of 3.6 months recommended by the IMF 2019 External Stability Assessment (ESA).</w:t>
      </w:r>
      <w:r w:rsidR="00627217" w:rsidRPr="00627217">
        <w:t xml:space="preserve"> </w:t>
      </w:r>
      <w:r w:rsidR="00627217" w:rsidRPr="00627217">
        <w:rPr>
          <w:rFonts w:ascii="Times New Roman" w:hAnsi="Times New Roman" w:cs="Times New Roman"/>
        </w:rPr>
        <w:t xml:space="preserve">As such, </w:t>
      </w:r>
      <w:r w:rsidR="004C5135">
        <w:rPr>
          <w:rFonts w:ascii="Times New Roman" w:hAnsi="Times New Roman" w:cs="Times New Roman"/>
        </w:rPr>
        <w:t>reserves</w:t>
      </w:r>
      <w:r w:rsidR="00627217" w:rsidRPr="00627217">
        <w:rPr>
          <w:rFonts w:ascii="Times New Roman" w:hAnsi="Times New Roman" w:cs="Times New Roman"/>
        </w:rPr>
        <w:t xml:space="preserve"> have helped support the accommodative monetary policy response to the COVID-19 shock.</w:t>
      </w:r>
    </w:p>
    <w:p w14:paraId="6DC913F0" w14:textId="6739491B" w:rsidR="00291579" w:rsidRDefault="00291579" w:rsidP="00291579">
      <w:pPr>
        <w:pStyle w:val="Heading2"/>
        <w:numPr>
          <w:ilvl w:val="0"/>
          <w:numId w:val="2"/>
        </w:numPr>
        <w:rPr>
          <w:rFonts w:ascii="Times New Roman" w:hAnsi="Times New Roman" w:cs="Times New Roman"/>
        </w:rPr>
      </w:pPr>
      <w:bookmarkStart w:id="52" w:name="_Toc66453797"/>
      <w:bookmarkStart w:id="53" w:name="_Toc70346646"/>
      <w:bookmarkStart w:id="54" w:name="_Toc105592808"/>
      <w:bookmarkStart w:id="55" w:name="_Hlk99115603"/>
      <w:r w:rsidRPr="005B60B7">
        <w:rPr>
          <w:rFonts w:ascii="Times New Roman" w:hAnsi="Times New Roman" w:cs="Times New Roman"/>
        </w:rPr>
        <w:lastRenderedPageBreak/>
        <w:t xml:space="preserve">Monetary </w:t>
      </w:r>
      <w:r>
        <w:rPr>
          <w:rFonts w:ascii="Times New Roman" w:hAnsi="Times New Roman" w:cs="Times New Roman"/>
        </w:rPr>
        <w:t>Policy and Inflation</w:t>
      </w:r>
      <w:bookmarkEnd w:id="52"/>
      <w:bookmarkEnd w:id="53"/>
      <w:bookmarkEnd w:id="54"/>
    </w:p>
    <w:bookmarkEnd w:id="55"/>
    <w:p w14:paraId="6460420D" w14:textId="1AC1B0BB" w:rsidR="00F64710" w:rsidRPr="00C87120" w:rsidRDefault="006A3549" w:rsidP="00B87C41">
      <w:pPr>
        <w:spacing w:before="240" w:line="276" w:lineRule="auto"/>
        <w:jc w:val="both"/>
        <w:rPr>
          <w:rFonts w:ascii="Times New Roman" w:hAnsi="Times New Roman" w:cs="Times New Roman"/>
        </w:rPr>
      </w:pPr>
      <w:r>
        <w:rPr>
          <w:rFonts w:ascii="Times New Roman" w:hAnsi="Times New Roman" w:cs="Times New Roman"/>
          <w:b/>
          <w:bCs/>
        </w:rPr>
        <w:t>1</w:t>
      </w:r>
      <w:r w:rsidR="00F03527">
        <w:rPr>
          <w:rFonts w:ascii="Times New Roman" w:hAnsi="Times New Roman" w:cs="Times New Roman"/>
          <w:b/>
          <w:bCs/>
        </w:rPr>
        <w:t>2</w:t>
      </w:r>
      <w:r>
        <w:rPr>
          <w:rFonts w:ascii="Times New Roman" w:hAnsi="Times New Roman" w:cs="Times New Roman"/>
          <w:b/>
          <w:bCs/>
        </w:rPr>
        <w:t xml:space="preserve">. </w:t>
      </w:r>
      <w:r w:rsidR="00904E3E" w:rsidRPr="00904E3E">
        <w:rPr>
          <w:rFonts w:ascii="Times New Roman" w:hAnsi="Times New Roman" w:cs="Times New Roman"/>
          <w:b/>
          <w:bCs/>
        </w:rPr>
        <w:t xml:space="preserve">Inflationary pressures </w:t>
      </w:r>
      <w:r w:rsidR="00095CF9">
        <w:rPr>
          <w:rFonts w:ascii="Times New Roman" w:hAnsi="Times New Roman" w:cs="Times New Roman"/>
          <w:b/>
          <w:bCs/>
        </w:rPr>
        <w:t xml:space="preserve">emerged </w:t>
      </w:r>
      <w:r w:rsidR="00904E3E" w:rsidRPr="00904E3E">
        <w:rPr>
          <w:rFonts w:ascii="Times New Roman" w:hAnsi="Times New Roman" w:cs="Times New Roman"/>
          <w:b/>
          <w:bCs/>
        </w:rPr>
        <w:t>in 2021</w:t>
      </w:r>
      <w:r w:rsidR="00095CF9">
        <w:rPr>
          <w:rFonts w:ascii="Times New Roman" w:hAnsi="Times New Roman" w:cs="Times New Roman"/>
          <w:b/>
          <w:bCs/>
        </w:rPr>
        <w:t>,</w:t>
      </w:r>
      <w:r w:rsidR="0047305D">
        <w:rPr>
          <w:rFonts w:ascii="Times New Roman" w:hAnsi="Times New Roman" w:cs="Times New Roman"/>
          <w:b/>
          <w:bCs/>
        </w:rPr>
        <w:t xml:space="preserve"> fueled by high</w:t>
      </w:r>
      <w:r w:rsidR="00904E3E" w:rsidRPr="00904E3E">
        <w:rPr>
          <w:rFonts w:ascii="Times New Roman" w:hAnsi="Times New Roman" w:cs="Times New Roman"/>
          <w:b/>
          <w:bCs/>
        </w:rPr>
        <w:t xml:space="preserve"> international oil prices and </w:t>
      </w:r>
      <w:r w:rsidR="004A6749">
        <w:rPr>
          <w:rFonts w:ascii="Times New Roman" w:hAnsi="Times New Roman" w:cs="Times New Roman"/>
          <w:b/>
          <w:bCs/>
        </w:rPr>
        <w:t>disrupted</w:t>
      </w:r>
      <w:r w:rsidR="00950B4A">
        <w:rPr>
          <w:rFonts w:ascii="Times New Roman" w:hAnsi="Times New Roman" w:cs="Times New Roman"/>
          <w:b/>
          <w:bCs/>
        </w:rPr>
        <w:t xml:space="preserve"> </w:t>
      </w:r>
      <w:r w:rsidR="00904E3E" w:rsidRPr="00904E3E">
        <w:rPr>
          <w:rFonts w:ascii="Times New Roman" w:hAnsi="Times New Roman" w:cs="Times New Roman"/>
          <w:b/>
          <w:bCs/>
        </w:rPr>
        <w:t xml:space="preserve">global supply </w:t>
      </w:r>
      <w:r w:rsidR="00950B4A">
        <w:rPr>
          <w:rFonts w:ascii="Times New Roman" w:hAnsi="Times New Roman" w:cs="Times New Roman"/>
          <w:b/>
          <w:bCs/>
        </w:rPr>
        <w:t>chains</w:t>
      </w:r>
      <w:r w:rsidR="00904E3E" w:rsidRPr="00904E3E">
        <w:rPr>
          <w:rFonts w:ascii="Times New Roman" w:hAnsi="Times New Roman" w:cs="Times New Roman"/>
          <w:b/>
          <w:bCs/>
        </w:rPr>
        <w:t>.</w:t>
      </w:r>
      <w:r w:rsidR="00904E3E" w:rsidRPr="00904E3E">
        <w:rPr>
          <w:rFonts w:ascii="Times New Roman" w:hAnsi="Times New Roman" w:cs="Times New Roman"/>
        </w:rPr>
        <w:t xml:space="preserve"> Prices increased by 1.9 percent y</w:t>
      </w:r>
      <w:r w:rsidR="00E43AB7">
        <w:rPr>
          <w:rFonts w:ascii="Times New Roman" w:hAnsi="Times New Roman" w:cs="Times New Roman"/>
        </w:rPr>
        <w:t>/</w:t>
      </w:r>
      <w:r w:rsidR="00904E3E" w:rsidRPr="00904E3E">
        <w:rPr>
          <w:rFonts w:ascii="Times New Roman" w:hAnsi="Times New Roman" w:cs="Times New Roman"/>
        </w:rPr>
        <w:t xml:space="preserve">y, on average, in 2021, compared to 0.6 percent in 2020. This rise in prices was </w:t>
      </w:r>
      <w:r w:rsidR="00FB5840">
        <w:rPr>
          <w:rFonts w:ascii="Times New Roman" w:hAnsi="Times New Roman" w:cs="Times New Roman"/>
        </w:rPr>
        <w:t>pri</w:t>
      </w:r>
      <w:r w:rsidR="00601F74">
        <w:rPr>
          <w:rFonts w:ascii="Times New Roman" w:hAnsi="Times New Roman" w:cs="Times New Roman"/>
        </w:rPr>
        <w:t xml:space="preserve">marily </w:t>
      </w:r>
      <w:r w:rsidR="00904E3E" w:rsidRPr="00904E3E">
        <w:rPr>
          <w:rFonts w:ascii="Times New Roman" w:hAnsi="Times New Roman" w:cs="Times New Roman"/>
        </w:rPr>
        <w:t>driven by a</w:t>
      </w:r>
      <w:r w:rsidR="00E12E47">
        <w:rPr>
          <w:rFonts w:ascii="Times New Roman" w:hAnsi="Times New Roman" w:cs="Times New Roman"/>
        </w:rPr>
        <w:t>n</w:t>
      </w:r>
      <w:r w:rsidR="00904E3E" w:rsidRPr="00904E3E">
        <w:rPr>
          <w:rFonts w:ascii="Times New Roman" w:hAnsi="Times New Roman" w:cs="Times New Roman"/>
        </w:rPr>
        <w:t xml:space="preserve"> 8 percent increase in alcoholic beverages and tobacco prices, 6.2 percent increase in transport prices, </w:t>
      </w:r>
      <w:r w:rsidR="00CD59D0">
        <w:rPr>
          <w:rFonts w:ascii="Times New Roman" w:hAnsi="Times New Roman" w:cs="Times New Roman"/>
        </w:rPr>
        <w:t>and</w:t>
      </w:r>
      <w:r w:rsidR="00E1135E">
        <w:rPr>
          <w:rFonts w:ascii="Times New Roman" w:hAnsi="Times New Roman" w:cs="Times New Roman"/>
        </w:rPr>
        <w:t xml:space="preserve"> </w:t>
      </w:r>
      <w:r w:rsidR="00E32CD2">
        <w:rPr>
          <w:rFonts w:ascii="Times New Roman" w:hAnsi="Times New Roman" w:cs="Times New Roman"/>
        </w:rPr>
        <w:t>a</w:t>
      </w:r>
      <w:r w:rsidR="00E1135E">
        <w:rPr>
          <w:rFonts w:ascii="Times New Roman" w:hAnsi="Times New Roman" w:cs="Times New Roman"/>
        </w:rPr>
        <w:t xml:space="preserve"> </w:t>
      </w:r>
      <w:r w:rsidR="00904E3E" w:rsidRPr="00904E3E">
        <w:rPr>
          <w:rFonts w:ascii="Times New Roman" w:hAnsi="Times New Roman" w:cs="Times New Roman"/>
        </w:rPr>
        <w:t xml:space="preserve">4.8 percent increase </w:t>
      </w:r>
      <w:r w:rsidR="00D26712">
        <w:rPr>
          <w:rFonts w:ascii="Times New Roman" w:hAnsi="Times New Roman" w:cs="Times New Roman"/>
        </w:rPr>
        <w:t xml:space="preserve">in </w:t>
      </w:r>
      <w:r w:rsidR="000C3841">
        <w:rPr>
          <w:rFonts w:ascii="Times New Roman" w:hAnsi="Times New Roman" w:cs="Times New Roman"/>
        </w:rPr>
        <w:t>a</w:t>
      </w:r>
      <w:r w:rsidR="000C3841" w:rsidRPr="000C3841">
        <w:rPr>
          <w:rFonts w:ascii="Times New Roman" w:hAnsi="Times New Roman" w:cs="Times New Roman"/>
        </w:rPr>
        <w:t>ccessories, household equipment and home maintenance</w:t>
      </w:r>
      <w:r w:rsidR="00D26712">
        <w:rPr>
          <w:rFonts w:ascii="Times New Roman" w:hAnsi="Times New Roman" w:cs="Times New Roman"/>
        </w:rPr>
        <w:t xml:space="preserve"> prices</w:t>
      </w:r>
      <w:r w:rsidR="00D95D5D">
        <w:rPr>
          <w:rFonts w:ascii="Times New Roman" w:hAnsi="Times New Roman" w:cs="Times New Roman"/>
        </w:rPr>
        <w:t>.</w:t>
      </w:r>
      <w:r w:rsidR="00904E3E" w:rsidRPr="00904E3E">
        <w:rPr>
          <w:rFonts w:ascii="Times New Roman" w:hAnsi="Times New Roman" w:cs="Times New Roman"/>
        </w:rPr>
        <w:t xml:space="preserve"> On the other hand, prices</w:t>
      </w:r>
      <w:r w:rsidR="00713F64">
        <w:rPr>
          <w:rFonts w:ascii="Times New Roman" w:hAnsi="Times New Roman" w:cs="Times New Roman"/>
        </w:rPr>
        <w:t xml:space="preserve"> of</w:t>
      </w:r>
      <w:r w:rsidR="00904E3E" w:rsidRPr="00904E3E">
        <w:rPr>
          <w:rFonts w:ascii="Times New Roman" w:hAnsi="Times New Roman" w:cs="Times New Roman"/>
        </w:rPr>
        <w:t xml:space="preserve"> education</w:t>
      </w:r>
      <w:r w:rsidR="00713F64">
        <w:rPr>
          <w:rFonts w:ascii="Times New Roman" w:hAnsi="Times New Roman" w:cs="Times New Roman"/>
        </w:rPr>
        <w:t xml:space="preserve"> </w:t>
      </w:r>
      <w:r w:rsidR="00904E3E" w:rsidRPr="00904E3E">
        <w:rPr>
          <w:rFonts w:ascii="Times New Roman" w:hAnsi="Times New Roman" w:cs="Times New Roman"/>
        </w:rPr>
        <w:t>(-1.3 percent) and health</w:t>
      </w:r>
      <w:r w:rsidR="00713F64">
        <w:rPr>
          <w:rFonts w:ascii="Times New Roman" w:hAnsi="Times New Roman" w:cs="Times New Roman"/>
        </w:rPr>
        <w:t xml:space="preserve"> services</w:t>
      </w:r>
      <w:r w:rsidR="00904E3E" w:rsidRPr="00904E3E">
        <w:rPr>
          <w:rFonts w:ascii="Times New Roman" w:hAnsi="Times New Roman" w:cs="Times New Roman"/>
        </w:rPr>
        <w:t xml:space="preserve"> (-0.5 percent) declined in 2021, the latter reflecting the ease in demand for health services.</w:t>
      </w:r>
      <w:r w:rsidR="00A63004" w:rsidRPr="00A63004">
        <w:t xml:space="preserve"> </w:t>
      </w:r>
      <w:r w:rsidR="00A63004" w:rsidRPr="00A63004">
        <w:rPr>
          <w:rFonts w:ascii="Times New Roman" w:hAnsi="Times New Roman" w:cs="Times New Roman"/>
        </w:rPr>
        <w:t xml:space="preserve">Core inflation (overall index excluding unprocessed food and energy products) reached </w:t>
      </w:r>
      <w:r w:rsidR="00096F53">
        <w:rPr>
          <w:rFonts w:ascii="Times New Roman" w:hAnsi="Times New Roman" w:cs="Times New Roman"/>
        </w:rPr>
        <w:t>1.7</w:t>
      </w:r>
      <w:r w:rsidR="00A63004" w:rsidRPr="00A63004">
        <w:rPr>
          <w:rFonts w:ascii="Times New Roman" w:hAnsi="Times New Roman" w:cs="Times New Roman"/>
        </w:rPr>
        <w:t xml:space="preserve"> percent </w:t>
      </w:r>
      <w:r w:rsidR="00DB2DB2">
        <w:rPr>
          <w:rFonts w:ascii="Times New Roman" w:hAnsi="Times New Roman" w:cs="Times New Roman"/>
        </w:rPr>
        <w:t xml:space="preserve">y/y, </w:t>
      </w:r>
      <w:r w:rsidR="003202AA">
        <w:rPr>
          <w:rFonts w:ascii="Times New Roman" w:hAnsi="Times New Roman" w:cs="Times New Roman"/>
        </w:rPr>
        <w:t>on average</w:t>
      </w:r>
      <w:r w:rsidR="00A63004" w:rsidRPr="00A63004">
        <w:rPr>
          <w:rFonts w:ascii="Times New Roman" w:hAnsi="Times New Roman" w:cs="Times New Roman"/>
        </w:rPr>
        <w:t>, compare</w:t>
      </w:r>
      <w:r w:rsidR="003836D4">
        <w:rPr>
          <w:rFonts w:ascii="Times New Roman" w:hAnsi="Times New Roman" w:cs="Times New Roman"/>
        </w:rPr>
        <w:t>d</w:t>
      </w:r>
      <w:r w:rsidR="00A63004" w:rsidRPr="00A63004">
        <w:rPr>
          <w:rFonts w:ascii="Times New Roman" w:hAnsi="Times New Roman" w:cs="Times New Roman"/>
        </w:rPr>
        <w:t xml:space="preserve"> to 1.</w:t>
      </w:r>
      <w:r w:rsidR="00E467C5">
        <w:rPr>
          <w:rFonts w:ascii="Times New Roman" w:hAnsi="Times New Roman" w:cs="Times New Roman"/>
        </w:rPr>
        <w:t>3</w:t>
      </w:r>
      <w:r w:rsidR="00A63004" w:rsidRPr="00A63004">
        <w:rPr>
          <w:rFonts w:ascii="Times New Roman" w:hAnsi="Times New Roman" w:cs="Times New Roman"/>
        </w:rPr>
        <w:t xml:space="preserve"> percent in December 20</w:t>
      </w:r>
      <w:r w:rsidR="00E467C5">
        <w:rPr>
          <w:rFonts w:ascii="Times New Roman" w:hAnsi="Times New Roman" w:cs="Times New Roman"/>
        </w:rPr>
        <w:t>20</w:t>
      </w:r>
      <w:r w:rsidR="0029773B">
        <w:rPr>
          <w:rFonts w:ascii="Times New Roman" w:hAnsi="Times New Roman" w:cs="Times New Roman"/>
        </w:rPr>
        <w:t xml:space="preserve"> (Figure </w:t>
      </w:r>
      <w:r w:rsidR="007F7C12">
        <w:rPr>
          <w:rFonts w:ascii="Times New Roman" w:hAnsi="Times New Roman" w:cs="Times New Roman"/>
        </w:rPr>
        <w:t>7</w:t>
      </w:r>
      <w:r w:rsidR="0029773B">
        <w:rPr>
          <w:rFonts w:ascii="Times New Roman" w:hAnsi="Times New Roman" w:cs="Times New Roman"/>
        </w:rPr>
        <w:t>)</w:t>
      </w:r>
      <w:r w:rsidR="00E467C5">
        <w:rPr>
          <w:rFonts w:ascii="Times New Roman" w:hAnsi="Times New Roman" w:cs="Times New Roman"/>
        </w:rPr>
        <w:t>.</w:t>
      </w:r>
      <w:r w:rsidR="00674319">
        <w:rPr>
          <w:rFonts w:ascii="Times New Roman" w:hAnsi="Times New Roman" w:cs="Times New Roman"/>
        </w:rPr>
        <w:t xml:space="preserve"> </w:t>
      </w:r>
      <w:r w:rsidR="003A3CED" w:rsidRPr="00C87120">
        <w:rPr>
          <w:rFonts w:ascii="Times New Roman" w:hAnsi="Times New Roman" w:cs="Times New Roman"/>
        </w:rPr>
        <w:t>Cabo Verde’s monetary policy is fully aligned with the European Central Bank as the Escudo is pegged to the Euro, with the Portuguese Treasury providing access to a short-term credit facility to support foreign exchange reserves.</w:t>
      </w:r>
      <w:r w:rsidR="00F64710" w:rsidRPr="00C87120">
        <w:rPr>
          <w:rFonts w:ascii="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4675"/>
        <w:gridCol w:w="4675"/>
      </w:tblGrid>
      <w:tr w:rsidR="00B9795C" w14:paraId="548905B1" w14:textId="77777777" w:rsidTr="001214E7">
        <w:tc>
          <w:tcPr>
            <w:tcW w:w="4675" w:type="dxa"/>
          </w:tcPr>
          <w:p w14:paraId="1F039BEE" w14:textId="05DA40CD" w:rsidR="00B9795C" w:rsidRPr="00B87C41" w:rsidRDefault="00D87A00" w:rsidP="002846DD">
            <w:pPr>
              <w:keepNext/>
              <w:rPr>
                <w:rFonts w:ascii="Times New Roman" w:hAnsi="Times New Roman" w:cs="Times New Roman"/>
                <w:b/>
                <w:bCs/>
                <w:color w:val="2F5496" w:themeColor="accent1" w:themeShade="BF"/>
                <w:sz w:val="20"/>
                <w:szCs w:val="20"/>
              </w:rPr>
            </w:pPr>
            <w:r w:rsidRPr="00B87C41">
              <w:rPr>
                <w:rFonts w:ascii="Times New Roman" w:hAnsi="Times New Roman" w:cs="Times New Roman"/>
                <w:b/>
                <w:bCs/>
                <w:noProof/>
                <w:color w:val="2F5496" w:themeColor="accent1" w:themeShade="BF"/>
                <w:sz w:val="20"/>
                <w:szCs w:val="20"/>
              </w:rPr>
              <w:drawing>
                <wp:anchor distT="0" distB="0" distL="114300" distR="114300" simplePos="0" relativeHeight="251466752" behindDoc="0" locked="0" layoutInCell="1" allowOverlap="1" wp14:anchorId="46C78F4B" wp14:editId="52A88F3E">
                  <wp:simplePos x="0" y="0"/>
                  <wp:positionH relativeFrom="column">
                    <wp:posOffset>-1270</wp:posOffset>
                  </wp:positionH>
                  <wp:positionV relativeFrom="paragraph">
                    <wp:posOffset>390525</wp:posOffset>
                  </wp:positionV>
                  <wp:extent cx="2840990" cy="2205990"/>
                  <wp:effectExtent l="0" t="0" r="0" b="381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0990" cy="2205990"/>
                          </a:xfrm>
                          <a:prstGeom prst="rect">
                            <a:avLst/>
                          </a:prstGeom>
                          <a:noFill/>
                        </pic:spPr>
                      </pic:pic>
                    </a:graphicData>
                  </a:graphic>
                  <wp14:sizeRelV relativeFrom="margin">
                    <wp14:pctHeight>0</wp14:pctHeight>
                  </wp14:sizeRelV>
                </wp:anchor>
              </w:drawing>
            </w:r>
            <w:r w:rsidR="00E32CD2" w:rsidRPr="00B87C41">
              <w:rPr>
                <w:rFonts w:ascii="Times New Roman" w:hAnsi="Times New Roman" w:cs="Times New Roman"/>
                <w:b/>
                <w:bCs/>
                <w:noProof/>
                <w:color w:val="2F5496" w:themeColor="accent1" w:themeShade="BF"/>
                <w:sz w:val="20"/>
                <w:szCs w:val="20"/>
              </w:rPr>
              <mc:AlternateContent>
                <mc:Choice Requires="wps">
                  <w:drawing>
                    <wp:anchor distT="0" distB="0" distL="114300" distR="114300" simplePos="0" relativeHeight="251429888" behindDoc="0" locked="0" layoutInCell="1" allowOverlap="1" wp14:anchorId="1DFD62C9" wp14:editId="151F7CE3">
                      <wp:simplePos x="0" y="0"/>
                      <wp:positionH relativeFrom="column">
                        <wp:posOffset>-1905</wp:posOffset>
                      </wp:positionH>
                      <wp:positionV relativeFrom="paragraph">
                        <wp:posOffset>17452</wp:posOffset>
                      </wp:positionV>
                      <wp:extent cx="2845435" cy="19748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2845435" cy="197485"/>
                              </a:xfrm>
                              <a:prstGeom prst="rect">
                                <a:avLst/>
                              </a:prstGeom>
                              <a:solidFill>
                                <a:prstClr val="white"/>
                              </a:solidFill>
                              <a:ln>
                                <a:noFill/>
                              </a:ln>
                            </wps:spPr>
                            <wps:txbx>
                              <w:txbxContent>
                                <w:p w14:paraId="30A07C80" w14:textId="7E510448" w:rsidR="00EA05A9" w:rsidRPr="00B87C41" w:rsidRDefault="00EA05A9" w:rsidP="00B87C41">
                                  <w:pPr>
                                    <w:pStyle w:val="Caption"/>
                                    <w:keepNext/>
                                    <w:jc w:val="center"/>
                                    <w:rPr>
                                      <w:rFonts w:ascii="Times New Roman" w:hAnsi="Times New Roman" w:cs="Times New Roman"/>
                                      <w:b/>
                                      <w:bCs/>
                                      <w:i w:val="0"/>
                                      <w:iCs w:val="0"/>
                                      <w:color w:val="2F5496" w:themeColor="accent1" w:themeShade="BF"/>
                                      <w:sz w:val="20"/>
                                      <w:szCs w:val="20"/>
                                    </w:rPr>
                                  </w:pPr>
                                  <w:bookmarkStart w:id="56" w:name="_Toc103950881"/>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7</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Inflation (Percentage)</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D62C9" id="Text Box 30" o:spid="_x0000_s1028" type="#_x0000_t202" style="position:absolute;margin-left:-.15pt;margin-top:1.35pt;width:224.05pt;height:15.55pt;z-index:2514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" stroked="f">
                      <v:textbox inset="0,0,0,0">
                        <w:txbxContent>
                          <w:p w14:paraId="30A07C80" w14:textId="7E510448" w:rsidR="00EA05A9" w:rsidRPr="00B87C41" w:rsidRDefault="00EA05A9" w:rsidP="00B87C41">
                            <w:pPr>
                              <w:pStyle w:val="Caption"/>
                              <w:keepNext/>
                              <w:jc w:val="center"/>
                              <w:rPr>
                                <w:rFonts w:ascii="Times New Roman" w:hAnsi="Times New Roman" w:cs="Times New Roman"/>
                                <w:b/>
                                <w:bCs/>
                                <w:i w:val="0"/>
                                <w:iCs w:val="0"/>
                                <w:color w:val="2F5496" w:themeColor="accent1" w:themeShade="BF"/>
                                <w:sz w:val="20"/>
                                <w:szCs w:val="20"/>
                              </w:rPr>
                            </w:pPr>
                            <w:bookmarkStart w:id="57" w:name="_Toc103950881"/>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7</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Inflation (Percentage)</w:t>
                            </w:r>
                            <w:bookmarkEnd w:id="57"/>
                          </w:p>
                        </w:txbxContent>
                      </v:textbox>
                      <w10:wrap type="topAndBottom"/>
                    </v:shape>
                  </w:pict>
                </mc:Fallback>
              </mc:AlternateContent>
            </w:r>
          </w:p>
        </w:tc>
        <w:tc>
          <w:tcPr>
            <w:tcW w:w="4675" w:type="dxa"/>
          </w:tcPr>
          <w:p w14:paraId="6881BEFE" w14:textId="5B8E0D5D" w:rsidR="00B9795C" w:rsidRDefault="00E32CD2" w:rsidP="002846DD">
            <w:pPr>
              <w:keepNext/>
            </w:pPr>
            <w:r>
              <w:rPr>
                <w:noProof/>
              </w:rPr>
              <mc:AlternateContent>
                <mc:Choice Requires="wps">
                  <w:drawing>
                    <wp:anchor distT="0" distB="0" distL="114300" distR="114300" simplePos="0" relativeHeight="251454464" behindDoc="0" locked="0" layoutInCell="1" allowOverlap="1" wp14:anchorId="38619353" wp14:editId="254FD68C">
                      <wp:simplePos x="0" y="0"/>
                      <wp:positionH relativeFrom="column">
                        <wp:posOffset>-13489</wp:posOffset>
                      </wp:positionH>
                      <wp:positionV relativeFrom="paragraph">
                        <wp:posOffset>460</wp:posOffset>
                      </wp:positionV>
                      <wp:extent cx="284543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845435" cy="635"/>
                              </a:xfrm>
                              <a:prstGeom prst="rect">
                                <a:avLst/>
                              </a:prstGeom>
                              <a:solidFill>
                                <a:prstClr val="white"/>
                              </a:solidFill>
                              <a:ln>
                                <a:noFill/>
                              </a:ln>
                            </wps:spPr>
                            <wps:txbx>
                              <w:txbxContent>
                                <w:p w14:paraId="2C5BC227" w14:textId="6407FACF" w:rsidR="00D87A00" w:rsidRDefault="00E32CD2" w:rsidP="006F0CF3">
                                  <w:pPr>
                                    <w:pStyle w:val="Caption"/>
                                    <w:keepNext/>
                                    <w:jc w:val="center"/>
                                    <w:rPr>
                                      <w:noProof/>
                                    </w:rPr>
                                  </w:pPr>
                                  <w:bookmarkStart w:id="58" w:name="_Toc103950882"/>
                                  <w:r w:rsidRPr="006F0CF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8</w:t>
                                  </w:r>
                                  <w:r w:rsidR="009E2172">
                                    <w:rPr>
                                      <w:rFonts w:ascii="Times New Roman" w:hAnsi="Times New Roman" w:cs="Times New Roman"/>
                                      <w:b/>
                                      <w:bCs/>
                                      <w:i w:val="0"/>
                                      <w:iCs w:val="0"/>
                                      <w:color w:val="2F5496" w:themeColor="accent1" w:themeShade="BF"/>
                                      <w:sz w:val="20"/>
                                      <w:szCs w:val="20"/>
                                    </w:rPr>
                                    <w:fldChar w:fldCharType="end"/>
                                  </w:r>
                                  <w:r w:rsidRPr="006F0CF3">
                                    <w:rPr>
                                      <w:rFonts w:ascii="Times New Roman" w:hAnsi="Times New Roman" w:cs="Times New Roman"/>
                                      <w:b/>
                                      <w:bCs/>
                                      <w:i w:val="0"/>
                                      <w:iCs w:val="0"/>
                                      <w:color w:val="2F5496" w:themeColor="accent1" w:themeShade="BF"/>
                                      <w:sz w:val="20"/>
                                      <w:szCs w:val="20"/>
                                    </w:rPr>
                                    <w:t>: Food and Non-alcoholic Beverages Inflation (Percentage)</w:t>
                                  </w:r>
                                  <w:bookmarkEnd w:id="58"/>
                                  <w:r w:rsidR="006F0CF3" w:rsidRPr="006F0CF3">
                                    <w:rPr>
                                      <w:noProof/>
                                    </w:rPr>
                                    <w:t xml:space="preserve"> </w:t>
                                  </w:r>
                                </w:p>
                                <w:p w14:paraId="7810C7A2" w14:textId="766C1B2F" w:rsidR="00E32CD2" w:rsidRPr="006F0CF3" w:rsidRDefault="006F0CF3" w:rsidP="006F0CF3">
                                  <w:pPr>
                                    <w:pStyle w:val="Caption"/>
                                    <w:keepNext/>
                                    <w:jc w:val="center"/>
                                    <w:rPr>
                                      <w:rFonts w:ascii="Times New Roman" w:hAnsi="Times New Roman" w:cs="Times New Roman"/>
                                      <w:b/>
                                      <w:bCs/>
                                      <w:i w:val="0"/>
                                      <w:iCs w:val="0"/>
                                      <w:color w:val="2F5496" w:themeColor="accent1" w:themeShade="BF"/>
                                      <w:sz w:val="20"/>
                                      <w:szCs w:val="20"/>
                                    </w:rPr>
                                  </w:pPr>
                                  <w:r>
                                    <w:rPr>
                                      <w:noProof/>
                                    </w:rPr>
                                    <w:drawing>
                                      <wp:inline distT="0" distB="0" distL="0" distR="0" wp14:anchorId="20915306" wp14:editId="12776B74">
                                        <wp:extent cx="2842863" cy="21362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5415" cy="2183231"/>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19353" id="Text Box 1" o:spid="_x0000_s1029" type="#_x0000_t202" style="position:absolute;margin-left:-1.05pt;margin-top:.05pt;width:224.05pt;height:.0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" stroked="f">
                      <v:textbox style="mso-fit-shape-to-text:t" inset="0,0,0,0">
                        <w:txbxContent>
                          <w:p w14:paraId="2C5BC227" w14:textId="6407FACF" w:rsidR="00D87A00" w:rsidRDefault="00E32CD2" w:rsidP="006F0CF3">
                            <w:pPr>
                              <w:pStyle w:val="Caption"/>
                              <w:keepNext/>
                              <w:jc w:val="center"/>
                              <w:rPr>
                                <w:noProof/>
                              </w:rPr>
                            </w:pPr>
                            <w:bookmarkStart w:id="59" w:name="_Toc103950882"/>
                            <w:r w:rsidRPr="006F0CF3">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8</w:t>
                            </w:r>
                            <w:r w:rsidR="009E2172">
                              <w:rPr>
                                <w:rFonts w:ascii="Times New Roman" w:hAnsi="Times New Roman" w:cs="Times New Roman"/>
                                <w:b/>
                                <w:bCs/>
                                <w:i w:val="0"/>
                                <w:iCs w:val="0"/>
                                <w:color w:val="2F5496" w:themeColor="accent1" w:themeShade="BF"/>
                                <w:sz w:val="20"/>
                                <w:szCs w:val="20"/>
                              </w:rPr>
                              <w:fldChar w:fldCharType="end"/>
                            </w:r>
                            <w:r w:rsidRPr="006F0CF3">
                              <w:rPr>
                                <w:rFonts w:ascii="Times New Roman" w:hAnsi="Times New Roman" w:cs="Times New Roman"/>
                                <w:b/>
                                <w:bCs/>
                                <w:i w:val="0"/>
                                <w:iCs w:val="0"/>
                                <w:color w:val="2F5496" w:themeColor="accent1" w:themeShade="BF"/>
                                <w:sz w:val="20"/>
                                <w:szCs w:val="20"/>
                              </w:rPr>
                              <w:t>: Food and Non-alcoholic Beverages Inflation (Percentage)</w:t>
                            </w:r>
                            <w:bookmarkEnd w:id="59"/>
                            <w:r w:rsidR="006F0CF3" w:rsidRPr="006F0CF3">
                              <w:rPr>
                                <w:noProof/>
                              </w:rPr>
                              <w:t xml:space="preserve"> </w:t>
                            </w:r>
                          </w:p>
                          <w:p w14:paraId="7810C7A2" w14:textId="766C1B2F" w:rsidR="00E32CD2" w:rsidRPr="006F0CF3" w:rsidRDefault="006F0CF3" w:rsidP="006F0CF3">
                            <w:pPr>
                              <w:pStyle w:val="Caption"/>
                              <w:keepNext/>
                              <w:jc w:val="center"/>
                              <w:rPr>
                                <w:rFonts w:ascii="Times New Roman" w:hAnsi="Times New Roman" w:cs="Times New Roman"/>
                                <w:b/>
                                <w:bCs/>
                                <w:i w:val="0"/>
                                <w:iCs w:val="0"/>
                                <w:color w:val="2F5496" w:themeColor="accent1" w:themeShade="BF"/>
                                <w:sz w:val="20"/>
                                <w:szCs w:val="20"/>
                              </w:rPr>
                            </w:pPr>
                            <w:r>
                              <w:rPr>
                                <w:noProof/>
                              </w:rPr>
                              <w:drawing>
                                <wp:inline distT="0" distB="0" distL="0" distR="0" wp14:anchorId="20915306" wp14:editId="12776B74">
                                  <wp:extent cx="2842863" cy="21362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5415" cy="2183231"/>
                                          </a:xfrm>
                                          <a:prstGeom prst="rect">
                                            <a:avLst/>
                                          </a:prstGeom>
                                          <a:noFill/>
                                        </pic:spPr>
                                      </pic:pic>
                                    </a:graphicData>
                                  </a:graphic>
                                </wp:inline>
                              </w:drawing>
                            </w:r>
                          </w:p>
                        </w:txbxContent>
                      </v:textbox>
                      <w10:wrap type="topAndBottom"/>
                    </v:shape>
                  </w:pict>
                </mc:Fallback>
              </mc:AlternateContent>
            </w:r>
          </w:p>
        </w:tc>
      </w:tr>
    </w:tbl>
    <w:p w14:paraId="0C553B3C" w14:textId="44DBA641" w:rsidR="009E0D64" w:rsidRDefault="00030903" w:rsidP="00926B73">
      <w:pPr>
        <w:tabs>
          <w:tab w:val="center" w:pos="4680"/>
        </w:tabs>
        <w:rPr>
          <w:rFonts w:ascii="Times New Roman" w:hAnsi="Times New Roman" w:cs="Times New Roman"/>
          <w:sz w:val="18"/>
          <w:szCs w:val="18"/>
        </w:rPr>
      </w:pPr>
      <w:r>
        <w:rPr>
          <w:rFonts w:ascii="Times New Roman" w:hAnsi="Times New Roman" w:cs="Times New Roman"/>
          <w:sz w:val="18"/>
          <w:szCs w:val="18"/>
        </w:rPr>
        <w:t>S</w:t>
      </w:r>
      <w:r w:rsidRPr="00DE34E4">
        <w:rPr>
          <w:rFonts w:ascii="Times New Roman" w:hAnsi="Times New Roman" w:cs="Times New Roman"/>
          <w:sz w:val="18"/>
          <w:szCs w:val="18"/>
        </w:rPr>
        <w:t xml:space="preserve">ource: </w:t>
      </w:r>
      <w:r w:rsidRPr="002B567C">
        <w:rPr>
          <w:rFonts w:ascii="Times New Roman" w:hAnsi="Times New Roman" w:cs="Times New Roman"/>
          <w:sz w:val="18"/>
          <w:szCs w:val="18"/>
        </w:rPr>
        <w:t>Cabo Verde’s National Institute of Statistics</w:t>
      </w:r>
      <w:r>
        <w:rPr>
          <w:rFonts w:ascii="Times New Roman" w:hAnsi="Times New Roman" w:cs="Times New Roman"/>
          <w:sz w:val="18"/>
          <w:szCs w:val="18"/>
        </w:rPr>
        <w:tab/>
        <w:t xml:space="preserve">                    </w:t>
      </w:r>
      <w:r w:rsidRPr="00DE34E4">
        <w:rPr>
          <w:rFonts w:ascii="Times New Roman" w:hAnsi="Times New Roman" w:cs="Times New Roman"/>
          <w:sz w:val="18"/>
          <w:szCs w:val="18"/>
        </w:rPr>
        <w:t xml:space="preserve"> </w:t>
      </w:r>
      <w:r w:rsidRPr="002B567C">
        <w:rPr>
          <w:rFonts w:ascii="Times New Roman" w:hAnsi="Times New Roman" w:cs="Times New Roman"/>
          <w:sz w:val="18"/>
          <w:szCs w:val="18"/>
        </w:rPr>
        <w:t>Source: Cabo Verde’s National Institute of Statistics</w:t>
      </w:r>
    </w:p>
    <w:p w14:paraId="3985DCC3" w14:textId="77777777" w:rsidR="001214E7" w:rsidRDefault="001214E7" w:rsidP="00926B73">
      <w:pPr>
        <w:tabs>
          <w:tab w:val="center" w:pos="4680"/>
        </w:tabs>
        <w:rPr>
          <w:rFonts w:ascii="Times New Roman" w:hAnsi="Times New Roman" w:cs="Times New Roman"/>
          <w:b/>
          <w:bCs/>
        </w:rPr>
      </w:pPr>
    </w:p>
    <w:p w14:paraId="215E6A63" w14:textId="1D37FC3D" w:rsidR="00B36081" w:rsidRPr="003B58EE" w:rsidRDefault="006A3549" w:rsidP="003B58EE">
      <w:pPr>
        <w:jc w:val="both"/>
        <w:rPr>
          <w:rFonts w:ascii="Times New Roman" w:hAnsi="Times New Roman" w:cs="Times New Roman"/>
        </w:rPr>
      </w:pPr>
      <w:r>
        <w:rPr>
          <w:rFonts w:ascii="Times New Roman" w:hAnsi="Times New Roman" w:cs="Times New Roman"/>
          <w:b/>
          <w:bCs/>
        </w:rPr>
        <w:t>1</w:t>
      </w:r>
      <w:r w:rsidR="00F03527">
        <w:rPr>
          <w:rFonts w:ascii="Times New Roman" w:hAnsi="Times New Roman" w:cs="Times New Roman"/>
          <w:b/>
          <w:bCs/>
        </w:rPr>
        <w:t>3</w:t>
      </w:r>
      <w:r>
        <w:rPr>
          <w:rFonts w:ascii="Times New Roman" w:hAnsi="Times New Roman" w:cs="Times New Roman"/>
          <w:b/>
          <w:bCs/>
        </w:rPr>
        <w:t xml:space="preserve">. </w:t>
      </w:r>
      <w:r w:rsidR="003B58EE" w:rsidRPr="003B58EE">
        <w:rPr>
          <w:rFonts w:ascii="Times New Roman" w:hAnsi="Times New Roman" w:cs="Times New Roman"/>
          <w:b/>
          <w:bCs/>
        </w:rPr>
        <w:t>Food prices remained under control in 2021, although presenting a rising trend.</w:t>
      </w:r>
      <w:r w:rsidR="003B58EE" w:rsidRPr="003B58EE">
        <w:rPr>
          <w:rFonts w:ascii="Times New Roman" w:hAnsi="Times New Roman" w:cs="Times New Roman"/>
        </w:rPr>
        <w:t xml:space="preserve"> Food price inflation has been a concern globally due to supply disruptions caused by the COVID-19 pandemic. In Cabo Verde, </w:t>
      </w:r>
      <w:r w:rsidR="003B58EE" w:rsidRPr="008A6B0C">
        <w:rPr>
          <w:rFonts w:ascii="Times New Roman" w:hAnsi="Times New Roman" w:cs="Times New Roman"/>
        </w:rPr>
        <w:t xml:space="preserve">prices </w:t>
      </w:r>
      <w:r w:rsidR="00082366" w:rsidRPr="008A6B0C">
        <w:rPr>
          <w:rFonts w:ascii="Times New Roman" w:hAnsi="Times New Roman" w:cs="Times New Roman"/>
        </w:rPr>
        <w:t>in</w:t>
      </w:r>
      <w:r w:rsidR="003B58EE" w:rsidRPr="008A6B0C">
        <w:rPr>
          <w:rFonts w:ascii="Times New Roman" w:hAnsi="Times New Roman" w:cs="Times New Roman"/>
        </w:rPr>
        <w:t xml:space="preserve"> food</w:t>
      </w:r>
      <w:r w:rsidR="0067438A" w:rsidRPr="00A27DC3">
        <w:rPr>
          <w:rFonts w:ascii="Times New Roman" w:hAnsi="Times New Roman" w:cs="Times New Roman"/>
        </w:rPr>
        <w:t xml:space="preserve"> and </w:t>
      </w:r>
      <w:r w:rsidR="0067438A" w:rsidRPr="008A6B0C">
        <w:rPr>
          <w:rFonts w:ascii="Times New Roman" w:hAnsi="Times New Roman" w:cs="Times New Roman"/>
        </w:rPr>
        <w:t>non-alcoholic</w:t>
      </w:r>
      <w:r w:rsidR="0067438A" w:rsidRPr="0067438A">
        <w:rPr>
          <w:rFonts w:ascii="Times New Roman" w:hAnsi="Times New Roman" w:cs="Times New Roman"/>
        </w:rPr>
        <w:t xml:space="preserve"> beverages</w:t>
      </w:r>
      <w:r w:rsidR="003B58EE" w:rsidRPr="003B58EE">
        <w:rPr>
          <w:rFonts w:ascii="Times New Roman" w:hAnsi="Times New Roman" w:cs="Times New Roman"/>
        </w:rPr>
        <w:t xml:space="preserve"> </w:t>
      </w:r>
      <w:r w:rsidR="00082366">
        <w:rPr>
          <w:rFonts w:ascii="Times New Roman" w:hAnsi="Times New Roman" w:cs="Times New Roman"/>
        </w:rPr>
        <w:t>class</w:t>
      </w:r>
      <w:r w:rsidR="003B58EE" w:rsidRPr="003B58EE">
        <w:rPr>
          <w:rFonts w:ascii="Times New Roman" w:hAnsi="Times New Roman" w:cs="Times New Roman"/>
        </w:rPr>
        <w:t xml:space="preserve">, which account for around 25 percent of the CPI basket, </w:t>
      </w:r>
      <w:r w:rsidR="0056613E">
        <w:rPr>
          <w:rFonts w:ascii="Times New Roman" w:hAnsi="Times New Roman" w:cs="Times New Roman"/>
        </w:rPr>
        <w:t xml:space="preserve">increased on average </w:t>
      </w:r>
      <w:r w:rsidR="003B58EE" w:rsidRPr="003B58EE">
        <w:rPr>
          <w:rFonts w:ascii="Times New Roman" w:hAnsi="Times New Roman" w:cs="Times New Roman"/>
        </w:rPr>
        <w:t>by 0.</w:t>
      </w:r>
      <w:r w:rsidR="00182AE8">
        <w:rPr>
          <w:rFonts w:ascii="Times New Roman" w:hAnsi="Times New Roman" w:cs="Times New Roman"/>
        </w:rPr>
        <w:t>5</w:t>
      </w:r>
      <w:r w:rsidR="003B58EE" w:rsidRPr="003B58EE">
        <w:rPr>
          <w:rFonts w:ascii="Times New Roman" w:hAnsi="Times New Roman" w:cs="Times New Roman"/>
        </w:rPr>
        <w:t xml:space="preserve"> percent y/y in 2021. The government's subsidization of wheat operators, avoiding the rise in the price of </w:t>
      </w:r>
      <w:r w:rsidR="00057182">
        <w:rPr>
          <w:rFonts w:ascii="Times New Roman" w:hAnsi="Times New Roman" w:cs="Times New Roman"/>
        </w:rPr>
        <w:t>this staple</w:t>
      </w:r>
      <w:r w:rsidR="003B58EE" w:rsidRPr="003B58EE">
        <w:rPr>
          <w:rFonts w:ascii="Times New Roman" w:hAnsi="Times New Roman" w:cs="Times New Roman"/>
        </w:rPr>
        <w:t xml:space="preserve"> and its derivatives, contributed to </w:t>
      </w:r>
      <w:r w:rsidR="00057182">
        <w:rPr>
          <w:rFonts w:ascii="Times New Roman" w:hAnsi="Times New Roman" w:cs="Times New Roman"/>
        </w:rPr>
        <w:t xml:space="preserve">control </w:t>
      </w:r>
      <w:r w:rsidR="002D2E03">
        <w:rPr>
          <w:rFonts w:ascii="Times New Roman" w:hAnsi="Times New Roman" w:cs="Times New Roman"/>
        </w:rPr>
        <w:t>inflation</w:t>
      </w:r>
      <w:r w:rsidR="003B58EE" w:rsidRPr="003B58EE">
        <w:rPr>
          <w:rFonts w:ascii="Times New Roman" w:hAnsi="Times New Roman" w:cs="Times New Roman"/>
        </w:rPr>
        <w:t xml:space="preserve">. However, despite this </w:t>
      </w:r>
      <w:r w:rsidR="002210F2">
        <w:rPr>
          <w:rFonts w:ascii="Times New Roman" w:hAnsi="Times New Roman" w:cs="Times New Roman"/>
        </w:rPr>
        <w:t>support</w:t>
      </w:r>
      <w:r w:rsidR="003B58EE" w:rsidRPr="003B58EE">
        <w:rPr>
          <w:rFonts w:ascii="Times New Roman" w:hAnsi="Times New Roman" w:cs="Times New Roman"/>
        </w:rPr>
        <w:t xml:space="preserve">, </w:t>
      </w:r>
      <w:r w:rsidR="00C620C1" w:rsidRPr="00C620C1">
        <w:rPr>
          <w:rFonts w:ascii="Times New Roman" w:hAnsi="Times New Roman" w:cs="Times New Roman"/>
        </w:rPr>
        <w:t xml:space="preserve">the total price change </w:t>
      </w:r>
      <w:r w:rsidR="00B77C4B">
        <w:rPr>
          <w:rFonts w:ascii="Times New Roman" w:hAnsi="Times New Roman" w:cs="Times New Roman"/>
        </w:rPr>
        <w:t xml:space="preserve">in </w:t>
      </w:r>
      <w:r w:rsidR="003B58EE" w:rsidRPr="003B58EE">
        <w:rPr>
          <w:rFonts w:ascii="Times New Roman" w:hAnsi="Times New Roman" w:cs="Times New Roman"/>
        </w:rPr>
        <w:t xml:space="preserve">food </w:t>
      </w:r>
      <w:r w:rsidR="000C3017" w:rsidRPr="000C3017">
        <w:rPr>
          <w:rFonts w:ascii="Times New Roman" w:hAnsi="Times New Roman" w:cs="Times New Roman"/>
        </w:rPr>
        <w:t xml:space="preserve">and non-alcoholic beverages </w:t>
      </w:r>
      <w:r w:rsidR="00E4263B">
        <w:rPr>
          <w:rFonts w:ascii="Times New Roman" w:hAnsi="Times New Roman" w:cs="Times New Roman"/>
        </w:rPr>
        <w:t>class was</w:t>
      </w:r>
      <w:r w:rsidR="003B58EE" w:rsidRPr="003B58EE">
        <w:rPr>
          <w:rFonts w:ascii="Times New Roman" w:hAnsi="Times New Roman" w:cs="Times New Roman"/>
        </w:rPr>
        <w:t xml:space="preserve"> </w:t>
      </w:r>
      <w:r w:rsidR="00976758">
        <w:rPr>
          <w:rFonts w:ascii="Times New Roman" w:hAnsi="Times New Roman" w:cs="Times New Roman"/>
        </w:rPr>
        <w:t>6.9</w:t>
      </w:r>
      <w:r w:rsidR="003B58EE" w:rsidRPr="003B58EE">
        <w:rPr>
          <w:rFonts w:ascii="Times New Roman" w:hAnsi="Times New Roman" w:cs="Times New Roman"/>
        </w:rPr>
        <w:t xml:space="preserve"> percent </w:t>
      </w:r>
      <w:r w:rsidR="00E63CE8">
        <w:rPr>
          <w:rFonts w:ascii="Times New Roman" w:hAnsi="Times New Roman" w:cs="Times New Roman"/>
        </w:rPr>
        <w:t>y</w:t>
      </w:r>
      <w:r w:rsidR="007F4983">
        <w:rPr>
          <w:rFonts w:ascii="Times New Roman" w:hAnsi="Times New Roman" w:cs="Times New Roman"/>
        </w:rPr>
        <w:t>/</w:t>
      </w:r>
      <w:r w:rsidR="00CE5AEE">
        <w:rPr>
          <w:rFonts w:ascii="Times New Roman" w:hAnsi="Times New Roman" w:cs="Times New Roman"/>
        </w:rPr>
        <w:t>y</w:t>
      </w:r>
      <w:r w:rsidR="00647D6F">
        <w:rPr>
          <w:rFonts w:ascii="Times New Roman" w:hAnsi="Times New Roman" w:cs="Times New Roman"/>
        </w:rPr>
        <w:t xml:space="preserve"> </w:t>
      </w:r>
      <w:r w:rsidR="007F4983">
        <w:rPr>
          <w:rFonts w:ascii="Times New Roman" w:hAnsi="Times New Roman" w:cs="Times New Roman"/>
        </w:rPr>
        <w:t>in</w:t>
      </w:r>
      <w:r w:rsidR="003B58EE" w:rsidRPr="003B58EE">
        <w:rPr>
          <w:rFonts w:ascii="Times New Roman" w:hAnsi="Times New Roman" w:cs="Times New Roman"/>
        </w:rPr>
        <w:t xml:space="preserve"> December 2021, putting increasing pressure on households</w:t>
      </w:r>
      <w:r w:rsidR="00E33C9A">
        <w:rPr>
          <w:rFonts w:ascii="Times New Roman" w:hAnsi="Times New Roman" w:cs="Times New Roman"/>
        </w:rPr>
        <w:t xml:space="preserve"> (Figure 8)</w:t>
      </w:r>
      <w:r w:rsidR="003B58EE" w:rsidRPr="003B58EE">
        <w:rPr>
          <w:rFonts w:ascii="Times New Roman" w:hAnsi="Times New Roman" w:cs="Times New Roman"/>
        </w:rPr>
        <w:t xml:space="preserve">. </w:t>
      </w:r>
      <w:r w:rsidR="009B38CD" w:rsidRPr="009B38CD">
        <w:t xml:space="preserve"> </w:t>
      </w:r>
      <w:r w:rsidR="003E7B1C">
        <w:rPr>
          <w:rFonts w:ascii="Times New Roman" w:hAnsi="Times New Roman" w:cs="Times New Roman"/>
          <w:sz w:val="18"/>
          <w:szCs w:val="18"/>
        </w:rPr>
        <w:t xml:space="preserve">                              </w:t>
      </w:r>
      <w:r w:rsidR="00841554">
        <w:rPr>
          <w:rFonts w:ascii="Times New Roman" w:hAnsi="Times New Roman" w:cs="Times New Roman"/>
          <w:sz w:val="18"/>
          <w:szCs w:val="18"/>
        </w:rPr>
        <w:t xml:space="preserve">             </w:t>
      </w:r>
      <w:r w:rsidR="002E1A83">
        <w:rPr>
          <w:rFonts w:ascii="Times New Roman" w:hAnsi="Times New Roman" w:cs="Times New Roman"/>
          <w:sz w:val="18"/>
          <w:szCs w:val="18"/>
        </w:rPr>
        <w:t xml:space="preserve">  </w:t>
      </w:r>
    </w:p>
    <w:p w14:paraId="13A4C7F9" w14:textId="07D472A0" w:rsidR="00A01A98" w:rsidRDefault="00EA563A" w:rsidP="00A01A98">
      <w:pPr>
        <w:spacing w:before="240" w:line="276" w:lineRule="auto"/>
        <w:jc w:val="both"/>
        <w:rPr>
          <w:rFonts w:ascii="Times New Roman" w:hAnsi="Times New Roman" w:cs="Times New Roman"/>
        </w:rPr>
      </w:pPr>
      <w:r>
        <w:rPr>
          <w:rFonts w:ascii="Times New Roman" w:hAnsi="Times New Roman" w:cs="Times New Roman"/>
          <w:b/>
          <w:bCs/>
        </w:rPr>
        <w:t>1</w:t>
      </w:r>
      <w:r w:rsidR="00F03527">
        <w:rPr>
          <w:rFonts w:ascii="Times New Roman" w:hAnsi="Times New Roman" w:cs="Times New Roman"/>
          <w:b/>
          <w:bCs/>
        </w:rPr>
        <w:t>4</w:t>
      </w:r>
      <w:r>
        <w:rPr>
          <w:rFonts w:ascii="Times New Roman" w:hAnsi="Times New Roman" w:cs="Times New Roman"/>
          <w:b/>
          <w:bCs/>
        </w:rPr>
        <w:t xml:space="preserve">. </w:t>
      </w:r>
      <w:r w:rsidR="00A01A98" w:rsidRPr="009640FA">
        <w:rPr>
          <w:rFonts w:ascii="Times New Roman" w:hAnsi="Times New Roman" w:cs="Times New Roman"/>
          <w:b/>
          <w:bCs/>
        </w:rPr>
        <w:t>Despite the COVID-19 crisis, the financial system remained resilient in 202</w:t>
      </w:r>
      <w:r w:rsidR="00385F80">
        <w:rPr>
          <w:rFonts w:ascii="Times New Roman" w:hAnsi="Times New Roman" w:cs="Times New Roman"/>
          <w:b/>
          <w:bCs/>
        </w:rPr>
        <w:t>1</w:t>
      </w:r>
      <w:r w:rsidR="00A01A98" w:rsidRPr="009640FA">
        <w:rPr>
          <w:rFonts w:ascii="Times New Roman" w:hAnsi="Times New Roman" w:cs="Times New Roman"/>
          <w:b/>
          <w:bCs/>
        </w:rPr>
        <w:t>, supported by the monetary policy measures adopted by the Central Bank to maintain market liquidity.</w:t>
      </w:r>
      <w:r w:rsidR="00A01A98" w:rsidRPr="00A5632B">
        <w:rPr>
          <w:rFonts w:ascii="Times New Roman" w:hAnsi="Times New Roman" w:cs="Times New Roman"/>
        </w:rPr>
        <w:t xml:space="preserve"> The financial soundness indicators of the banking sector evolved positively in 202</w:t>
      </w:r>
      <w:r w:rsidR="00942DBA">
        <w:rPr>
          <w:rFonts w:ascii="Times New Roman" w:hAnsi="Times New Roman" w:cs="Times New Roman"/>
        </w:rPr>
        <w:t>1</w:t>
      </w:r>
      <w:r w:rsidR="00A01A98" w:rsidRPr="00A5632B">
        <w:rPr>
          <w:rFonts w:ascii="Times New Roman" w:hAnsi="Times New Roman" w:cs="Times New Roman"/>
        </w:rPr>
        <w:t>. The regulatory capital-to-risk weighted assets increased from 1</w:t>
      </w:r>
      <w:r w:rsidR="00CB1D44">
        <w:rPr>
          <w:rFonts w:ascii="Times New Roman" w:hAnsi="Times New Roman" w:cs="Times New Roman"/>
        </w:rPr>
        <w:t>9.4</w:t>
      </w:r>
      <w:r w:rsidR="00A01A98" w:rsidRPr="00A5632B">
        <w:rPr>
          <w:rFonts w:ascii="Times New Roman" w:hAnsi="Times New Roman" w:cs="Times New Roman"/>
        </w:rPr>
        <w:t xml:space="preserve"> percent in 20</w:t>
      </w:r>
      <w:r w:rsidR="00CB1D44">
        <w:rPr>
          <w:rFonts w:ascii="Times New Roman" w:hAnsi="Times New Roman" w:cs="Times New Roman"/>
        </w:rPr>
        <w:t>20</w:t>
      </w:r>
      <w:r w:rsidR="00A01A98" w:rsidRPr="00A5632B">
        <w:rPr>
          <w:rFonts w:ascii="Times New Roman" w:hAnsi="Times New Roman" w:cs="Times New Roman"/>
        </w:rPr>
        <w:t xml:space="preserve"> to </w:t>
      </w:r>
      <w:r w:rsidR="00664D68">
        <w:rPr>
          <w:rFonts w:ascii="Times New Roman" w:hAnsi="Times New Roman" w:cs="Times New Roman"/>
        </w:rPr>
        <w:t>2</w:t>
      </w:r>
      <w:r w:rsidR="00CB16A5">
        <w:rPr>
          <w:rFonts w:ascii="Times New Roman" w:hAnsi="Times New Roman" w:cs="Times New Roman"/>
        </w:rPr>
        <w:t>1.1</w:t>
      </w:r>
      <w:r w:rsidR="00A01A98" w:rsidRPr="00A5632B">
        <w:rPr>
          <w:rFonts w:ascii="Times New Roman" w:hAnsi="Times New Roman" w:cs="Times New Roman"/>
        </w:rPr>
        <w:t xml:space="preserve"> percent at end-</w:t>
      </w:r>
      <w:r w:rsidR="00472B36">
        <w:rPr>
          <w:rFonts w:ascii="Times New Roman" w:hAnsi="Times New Roman" w:cs="Times New Roman"/>
        </w:rPr>
        <w:t>December</w:t>
      </w:r>
      <w:r w:rsidR="00A01A98" w:rsidRPr="00A5632B">
        <w:rPr>
          <w:rFonts w:ascii="Times New Roman" w:hAnsi="Times New Roman" w:cs="Times New Roman"/>
        </w:rPr>
        <w:t xml:space="preserve"> 202</w:t>
      </w:r>
      <w:r w:rsidR="00664D68">
        <w:rPr>
          <w:rFonts w:ascii="Times New Roman" w:hAnsi="Times New Roman" w:cs="Times New Roman"/>
        </w:rPr>
        <w:t>1</w:t>
      </w:r>
      <w:r w:rsidR="00A01A98" w:rsidRPr="00A5632B">
        <w:rPr>
          <w:rFonts w:ascii="Times New Roman" w:hAnsi="Times New Roman" w:cs="Times New Roman"/>
        </w:rPr>
        <w:t>. Return on assets stood at 1</w:t>
      </w:r>
      <w:r w:rsidR="006B7178">
        <w:rPr>
          <w:rFonts w:ascii="Times New Roman" w:hAnsi="Times New Roman" w:cs="Times New Roman"/>
        </w:rPr>
        <w:t>.5</w:t>
      </w:r>
      <w:r w:rsidR="00A01A98" w:rsidRPr="00A5632B">
        <w:rPr>
          <w:rFonts w:ascii="Times New Roman" w:hAnsi="Times New Roman" w:cs="Times New Roman"/>
        </w:rPr>
        <w:t xml:space="preserve"> percent, while return on equity </w:t>
      </w:r>
      <w:r w:rsidR="00A01A98">
        <w:rPr>
          <w:rFonts w:ascii="Times New Roman" w:hAnsi="Times New Roman" w:cs="Times New Roman"/>
        </w:rPr>
        <w:t xml:space="preserve">at </w:t>
      </w:r>
      <w:r w:rsidR="009574D2">
        <w:rPr>
          <w:rFonts w:ascii="Times New Roman" w:hAnsi="Times New Roman" w:cs="Times New Roman"/>
        </w:rPr>
        <w:t>15.9</w:t>
      </w:r>
      <w:r w:rsidR="00A01A98" w:rsidRPr="00A5632B">
        <w:rPr>
          <w:rFonts w:ascii="Times New Roman" w:hAnsi="Times New Roman" w:cs="Times New Roman"/>
        </w:rPr>
        <w:t xml:space="preserve"> percent. The banking sector remained liquid and credit to the economy increased by </w:t>
      </w:r>
      <w:r w:rsidR="00765593">
        <w:rPr>
          <w:rFonts w:ascii="Times New Roman" w:hAnsi="Times New Roman" w:cs="Times New Roman"/>
        </w:rPr>
        <w:t>6</w:t>
      </w:r>
      <w:r w:rsidR="00A01A98" w:rsidRPr="00A5632B">
        <w:rPr>
          <w:rFonts w:ascii="Times New Roman" w:hAnsi="Times New Roman" w:cs="Times New Roman"/>
        </w:rPr>
        <w:t xml:space="preserve"> percent (y-o-y) at end-December 202</w:t>
      </w:r>
      <w:r w:rsidR="0039350A">
        <w:rPr>
          <w:rFonts w:ascii="Times New Roman" w:hAnsi="Times New Roman" w:cs="Times New Roman"/>
        </w:rPr>
        <w:t>1</w:t>
      </w:r>
      <w:r w:rsidR="00A01A98" w:rsidRPr="00A5632B">
        <w:rPr>
          <w:rFonts w:ascii="Times New Roman" w:hAnsi="Times New Roman" w:cs="Times New Roman"/>
        </w:rPr>
        <w:t xml:space="preserve">, supported by credit lines and </w:t>
      </w:r>
      <w:r w:rsidR="00A01A98" w:rsidRPr="00A5632B">
        <w:rPr>
          <w:rFonts w:ascii="Times New Roman" w:hAnsi="Times New Roman" w:cs="Times New Roman"/>
        </w:rPr>
        <w:lastRenderedPageBreak/>
        <w:t>moratori</w:t>
      </w:r>
      <w:r w:rsidR="00A01A98">
        <w:rPr>
          <w:rFonts w:ascii="Times New Roman" w:hAnsi="Times New Roman" w:cs="Times New Roman"/>
        </w:rPr>
        <w:t>a</w:t>
      </w:r>
      <w:r w:rsidR="00A01A98" w:rsidRPr="00A5632B">
        <w:rPr>
          <w:rFonts w:ascii="Times New Roman" w:hAnsi="Times New Roman" w:cs="Times New Roman"/>
        </w:rPr>
        <w:t xml:space="preserve"> on loan payments provided in response to the COVID-10 crisis</w:t>
      </w:r>
      <w:r w:rsidR="0039350A">
        <w:rPr>
          <w:rFonts w:ascii="Times New Roman" w:hAnsi="Times New Roman" w:cs="Times New Roman"/>
        </w:rPr>
        <w:t xml:space="preserve"> </w:t>
      </w:r>
      <w:r w:rsidR="009E59FE">
        <w:rPr>
          <w:rFonts w:ascii="Times New Roman" w:hAnsi="Times New Roman" w:cs="Times New Roman"/>
        </w:rPr>
        <w:t xml:space="preserve">that were </w:t>
      </w:r>
      <w:r w:rsidR="0039350A">
        <w:rPr>
          <w:rFonts w:ascii="Times New Roman" w:hAnsi="Times New Roman" w:cs="Times New Roman"/>
        </w:rPr>
        <w:t>extended until March 2022</w:t>
      </w:r>
      <w:r w:rsidR="00A01A98" w:rsidRPr="00A5632B">
        <w:rPr>
          <w:rFonts w:ascii="Times New Roman" w:hAnsi="Times New Roman" w:cs="Times New Roman"/>
        </w:rPr>
        <w:t xml:space="preserve">. The facility for long-term financing provided to banks, and reduction of the central bank’s reference rates and reserve requirements supported the liquidity in the economy. </w:t>
      </w:r>
    </w:p>
    <w:p w14:paraId="04895BD0" w14:textId="7C3E1C05" w:rsidR="00354CB8" w:rsidRPr="00C87120" w:rsidRDefault="00F03527" w:rsidP="00502614">
      <w:pPr>
        <w:spacing w:line="276" w:lineRule="auto"/>
        <w:jc w:val="both"/>
        <w:rPr>
          <w:rFonts w:ascii="Times New Roman" w:hAnsi="Times New Roman" w:cs="Times New Roman"/>
        </w:rPr>
      </w:pPr>
      <w:r>
        <w:rPr>
          <w:rFonts w:ascii="Times New Roman" w:hAnsi="Times New Roman" w:cs="Times New Roman"/>
          <w:b/>
          <w:bCs/>
        </w:rPr>
        <w:t>15</w:t>
      </w:r>
      <w:r w:rsidR="00EA563A" w:rsidRPr="00C87120">
        <w:rPr>
          <w:rFonts w:ascii="Times New Roman" w:hAnsi="Times New Roman" w:cs="Times New Roman"/>
          <w:b/>
          <w:bCs/>
        </w:rPr>
        <w:t xml:space="preserve">. </w:t>
      </w:r>
      <w:r w:rsidR="00A01A98" w:rsidRPr="00C87120">
        <w:rPr>
          <w:rFonts w:ascii="Times New Roman" w:hAnsi="Times New Roman" w:cs="Times New Roman"/>
          <w:b/>
          <w:bCs/>
        </w:rPr>
        <w:t xml:space="preserve">The financial sector continues to display structural weaknesses and risk aversion due to high levels of </w:t>
      </w:r>
      <w:r w:rsidR="008B4FF9" w:rsidRPr="00C87120">
        <w:rPr>
          <w:rFonts w:ascii="Times New Roman" w:hAnsi="Times New Roman" w:cs="Times New Roman"/>
          <w:b/>
          <w:bCs/>
        </w:rPr>
        <w:t>n</w:t>
      </w:r>
      <w:r w:rsidR="00A01A98" w:rsidRPr="00C87120">
        <w:rPr>
          <w:rFonts w:ascii="Times New Roman" w:hAnsi="Times New Roman" w:cs="Times New Roman"/>
          <w:b/>
          <w:bCs/>
        </w:rPr>
        <w:t xml:space="preserve">on-performing </w:t>
      </w:r>
      <w:r w:rsidR="00CE2E86" w:rsidRPr="00C87120">
        <w:rPr>
          <w:rFonts w:ascii="Times New Roman" w:hAnsi="Times New Roman" w:cs="Times New Roman"/>
          <w:b/>
          <w:bCs/>
        </w:rPr>
        <w:t>l</w:t>
      </w:r>
      <w:r w:rsidR="00A01A98" w:rsidRPr="00C87120">
        <w:rPr>
          <w:rFonts w:ascii="Times New Roman" w:hAnsi="Times New Roman" w:cs="Times New Roman"/>
          <w:b/>
          <w:bCs/>
        </w:rPr>
        <w:t xml:space="preserve">oans (NPLs). </w:t>
      </w:r>
      <w:r w:rsidR="00A01A98" w:rsidRPr="00C87120">
        <w:rPr>
          <w:rFonts w:ascii="Times New Roman" w:hAnsi="Times New Roman" w:cs="Times New Roman"/>
        </w:rPr>
        <w:t xml:space="preserve">High liquidity levels reflect risk aversion in an environment of persistently high NPLs (a ratio of </w:t>
      </w:r>
      <w:r w:rsidR="00ED7032" w:rsidRPr="00C87120">
        <w:rPr>
          <w:rFonts w:ascii="Times New Roman" w:hAnsi="Times New Roman" w:cs="Times New Roman"/>
        </w:rPr>
        <w:t>8</w:t>
      </w:r>
      <w:r w:rsidR="00A01A98" w:rsidRPr="00C87120">
        <w:rPr>
          <w:rFonts w:ascii="Times New Roman" w:hAnsi="Times New Roman" w:cs="Times New Roman"/>
        </w:rPr>
        <w:t>.1 percent at end-</w:t>
      </w:r>
      <w:r w:rsidR="00E907E2" w:rsidRPr="00C87120">
        <w:rPr>
          <w:rFonts w:ascii="Times New Roman" w:hAnsi="Times New Roman" w:cs="Times New Roman"/>
        </w:rPr>
        <w:t>December</w:t>
      </w:r>
      <w:r w:rsidR="00A01A98" w:rsidRPr="00C87120">
        <w:rPr>
          <w:rFonts w:ascii="Times New Roman" w:hAnsi="Times New Roman" w:cs="Times New Roman"/>
        </w:rPr>
        <w:t xml:space="preserve"> 202</w:t>
      </w:r>
      <w:r w:rsidR="005252FF" w:rsidRPr="00C87120">
        <w:rPr>
          <w:rFonts w:ascii="Times New Roman" w:hAnsi="Times New Roman" w:cs="Times New Roman"/>
        </w:rPr>
        <w:t>1</w:t>
      </w:r>
      <w:r w:rsidR="00A01A98" w:rsidRPr="00C87120">
        <w:rPr>
          <w:rFonts w:ascii="Times New Roman" w:hAnsi="Times New Roman" w:cs="Times New Roman"/>
        </w:rPr>
        <w:t>), as well as limited investment opportunities meeting acceptable credit standards. The sector is struggling with low asset quality, and despite a relatively strong capital adequacy ratio, banks in Cabo Verde are potentially vulnerable to high NPL ratios. High debt levels of public enterprises, non-financial corporations, and households compound the problem. The sector remains highly concentrated with two (of the seven active) commercial banks holding 64 percent and 68 percent of credit and deposit market shares.</w:t>
      </w:r>
    </w:p>
    <w:tbl>
      <w:tblPr>
        <w:tblStyle w:val="TableGrid"/>
        <w:tblW w:w="0" w:type="auto"/>
        <w:tblLook w:val="04A0" w:firstRow="1" w:lastRow="0" w:firstColumn="1" w:lastColumn="0" w:noHBand="0" w:noVBand="1"/>
      </w:tblPr>
      <w:tblGrid>
        <w:gridCol w:w="9350"/>
      </w:tblGrid>
      <w:tr w:rsidR="006A6652" w:rsidRPr="00F16EE2" w14:paraId="3CD3CCF2" w14:textId="77777777" w:rsidTr="003854A9">
        <w:tc>
          <w:tcPr>
            <w:tcW w:w="9350" w:type="dxa"/>
          </w:tcPr>
          <w:p w14:paraId="05EBACDB" w14:textId="4ACE1F18" w:rsidR="005214D5" w:rsidRPr="00C87120" w:rsidRDefault="007336CD" w:rsidP="005214D5">
            <w:pPr>
              <w:pStyle w:val="Caption"/>
              <w:keepNext/>
              <w:jc w:val="center"/>
              <w:rPr>
                <w:rFonts w:ascii="Times New Roman" w:hAnsi="Times New Roman" w:cs="Times New Roman"/>
                <w:b/>
                <w:bCs/>
                <w:i w:val="0"/>
                <w:iCs w:val="0"/>
                <w:color w:val="2F5496" w:themeColor="accent1" w:themeShade="BF"/>
                <w:sz w:val="22"/>
                <w:szCs w:val="22"/>
              </w:rPr>
            </w:pPr>
            <w:bookmarkStart w:id="60" w:name="_Toc103950883"/>
            <w:bookmarkStart w:id="61" w:name="_Hlk103868375"/>
            <w:r w:rsidRPr="00C87120">
              <w:rPr>
                <w:rFonts w:ascii="Times New Roman" w:hAnsi="Times New Roman" w:cs="Times New Roman"/>
                <w:b/>
                <w:bCs/>
                <w:noProof/>
                <w:color w:val="2F5496" w:themeColor="accent1" w:themeShade="BF"/>
                <w:sz w:val="22"/>
                <w:szCs w:val="22"/>
              </w:rPr>
              <w:lastRenderedPageBreak/>
              <mc:AlternateContent>
                <mc:Choice Requires="wps">
                  <w:drawing>
                    <wp:anchor distT="0" distB="0" distL="114300" distR="114300" simplePos="0" relativeHeight="251552768" behindDoc="0" locked="0" layoutInCell="1" allowOverlap="1" wp14:anchorId="2220D717" wp14:editId="1BC019ED">
                      <wp:simplePos x="0" y="0"/>
                      <wp:positionH relativeFrom="column">
                        <wp:posOffset>3365128</wp:posOffset>
                      </wp:positionH>
                      <wp:positionV relativeFrom="paragraph">
                        <wp:posOffset>245898</wp:posOffset>
                      </wp:positionV>
                      <wp:extent cx="2286000" cy="425253"/>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286000" cy="425253"/>
                              </a:xfrm>
                              <a:prstGeom prst="rect">
                                <a:avLst/>
                              </a:prstGeom>
                              <a:solidFill>
                                <a:sysClr val="window" lastClr="FFFFFF"/>
                              </a:solidFill>
                              <a:ln w="6350">
                                <a:noFill/>
                              </a:ln>
                            </wps:spPr>
                            <wps:txbx>
                              <w:txbxContent>
                                <w:p w14:paraId="6AB58850" w14:textId="00451323" w:rsidR="00CB41A5" w:rsidRPr="00B11F36" w:rsidRDefault="003C6646"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 xml:space="preserve">… </w:t>
                                  </w:r>
                                  <w:r w:rsidR="00C72E77" w:rsidRPr="00B11F36">
                                    <w:rPr>
                                      <w:rFonts w:ascii="Times New Roman" w:hAnsi="Times New Roman" w:cs="Times New Roman"/>
                                      <w:i/>
                                      <w:iCs/>
                                      <w:sz w:val="20"/>
                                      <w:szCs w:val="20"/>
                                    </w:rPr>
                                    <w:t>s</w:t>
                                  </w:r>
                                  <w:r w:rsidR="007336CD" w:rsidRPr="00B11F36">
                                    <w:rPr>
                                      <w:rFonts w:ascii="Times New Roman" w:hAnsi="Times New Roman" w:cs="Times New Roman"/>
                                      <w:i/>
                                      <w:iCs/>
                                      <w:sz w:val="20"/>
                                      <w:szCs w:val="20"/>
                                    </w:rPr>
                                    <w:t>upported by the gradual reopening of the economy</w:t>
                                  </w:r>
                                  <w:r w:rsidR="008B5AB1" w:rsidRPr="00B11F36">
                                    <w:rPr>
                                      <w:rFonts w:ascii="Times New Roman" w:hAnsi="Times New Roman" w:cs="Times New Roman"/>
                                      <w:i/>
                                      <w:iCs/>
                                      <w:sz w:val="20"/>
                                      <w:szCs w:val="20"/>
                                    </w:rPr>
                                    <w:t>.</w:t>
                                  </w:r>
                                  <w:r w:rsidRPr="00B11F36">
                                    <w:rPr>
                                      <w:rFonts w:ascii="Times New Roman" w:hAnsi="Times New Roman" w:cs="Times New Roman"/>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0D717" id="Text Box 32" o:spid="_x0000_s1030" type="#_x0000_t202" style="position:absolute;left:0;text-align:left;margin-left:264.95pt;margin-top:19.35pt;width:180pt;height:33.5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" fillcolor="window" stroked="f" strokeweight=".5pt">
                      <v:textbox>
                        <w:txbxContent>
                          <w:p w14:paraId="6AB58850" w14:textId="00451323" w:rsidR="00CB41A5" w:rsidRPr="00B11F36" w:rsidRDefault="003C6646"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 xml:space="preserve">… </w:t>
                            </w:r>
                            <w:r w:rsidR="00C72E77" w:rsidRPr="00B11F36">
                              <w:rPr>
                                <w:rFonts w:ascii="Times New Roman" w:hAnsi="Times New Roman" w:cs="Times New Roman"/>
                                <w:i/>
                                <w:iCs/>
                                <w:sz w:val="20"/>
                                <w:szCs w:val="20"/>
                              </w:rPr>
                              <w:t>s</w:t>
                            </w:r>
                            <w:r w:rsidR="007336CD" w:rsidRPr="00B11F36">
                              <w:rPr>
                                <w:rFonts w:ascii="Times New Roman" w:hAnsi="Times New Roman" w:cs="Times New Roman"/>
                                <w:i/>
                                <w:iCs/>
                                <w:sz w:val="20"/>
                                <w:szCs w:val="20"/>
                              </w:rPr>
                              <w:t>upported by the gradual reopening of the economy</w:t>
                            </w:r>
                            <w:r w:rsidR="008B5AB1" w:rsidRPr="00B11F36">
                              <w:rPr>
                                <w:rFonts w:ascii="Times New Roman" w:hAnsi="Times New Roman" w:cs="Times New Roman"/>
                                <w:i/>
                                <w:iCs/>
                                <w:sz w:val="20"/>
                                <w:szCs w:val="20"/>
                              </w:rPr>
                              <w:t>.</w:t>
                            </w:r>
                            <w:r w:rsidRPr="00B11F36">
                              <w:rPr>
                                <w:rFonts w:ascii="Times New Roman" w:hAnsi="Times New Roman" w:cs="Times New Roman"/>
                                <w:i/>
                                <w:iCs/>
                                <w:sz w:val="20"/>
                                <w:szCs w:val="20"/>
                              </w:rPr>
                              <w:t xml:space="preserve"> </w:t>
                            </w:r>
                          </w:p>
                        </w:txbxContent>
                      </v:textbox>
                    </v:shape>
                  </w:pict>
                </mc:Fallback>
              </mc:AlternateContent>
            </w:r>
            <w:r w:rsidR="00056B18" w:rsidRPr="00C87120">
              <w:rPr>
                <w:rFonts w:ascii="Times New Roman" w:hAnsi="Times New Roman" w:cs="Times New Roman"/>
                <w:b/>
                <w:bCs/>
                <w:i w:val="0"/>
                <w:iCs w:val="0"/>
                <w:noProof/>
                <w:color w:val="2F5496" w:themeColor="accent1" w:themeShade="BF"/>
                <w:sz w:val="22"/>
                <w:szCs w:val="22"/>
              </w:rPr>
              <mc:AlternateContent>
                <mc:Choice Requires="wps">
                  <w:drawing>
                    <wp:anchor distT="0" distB="0" distL="114300" distR="114300" simplePos="0" relativeHeight="251528192" behindDoc="0" locked="0" layoutInCell="1" allowOverlap="1" wp14:anchorId="2523060C" wp14:editId="12023A3F">
                      <wp:simplePos x="0" y="0"/>
                      <wp:positionH relativeFrom="column">
                        <wp:posOffset>409093</wp:posOffset>
                      </wp:positionH>
                      <wp:positionV relativeFrom="paragraph">
                        <wp:posOffset>277429</wp:posOffset>
                      </wp:positionV>
                      <wp:extent cx="2286000" cy="29166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86000" cy="291662"/>
                              </a:xfrm>
                              <a:prstGeom prst="rect">
                                <a:avLst/>
                              </a:prstGeom>
                              <a:solidFill>
                                <a:schemeClr val="lt1"/>
                              </a:solidFill>
                              <a:ln w="6350">
                                <a:noFill/>
                              </a:ln>
                            </wps:spPr>
                            <wps:txbx>
                              <w:txbxContent>
                                <w:p w14:paraId="19D8DBA0" w14:textId="1261042B" w:rsidR="00056B18" w:rsidRPr="00B11F36" w:rsidRDefault="00D50F16"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The economy has strengthened…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3060C" id="Text Box 29" o:spid="_x0000_s1031" type="#_x0000_t202" style="position:absolute;left:0;text-align:left;margin-left:32.2pt;margin-top:21.85pt;width:180pt;height:22.95pt;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" fillcolor="white [3201]" stroked="f" strokeweight=".5pt">
                      <v:textbox>
                        <w:txbxContent>
                          <w:p w14:paraId="19D8DBA0" w14:textId="1261042B" w:rsidR="00056B18" w:rsidRPr="00B11F36" w:rsidRDefault="00D50F16"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The economy has strengthened…</w:t>
                            </w:r>
                          </w:p>
                        </w:txbxContent>
                      </v:textbox>
                    </v:shape>
                  </w:pict>
                </mc:Fallback>
              </mc:AlternateContent>
            </w:r>
            <w:r w:rsidR="005214D5" w:rsidRPr="00C87120">
              <w:rPr>
                <w:rFonts w:ascii="Times New Roman" w:hAnsi="Times New Roman" w:cs="Times New Roman"/>
                <w:b/>
                <w:bCs/>
                <w:i w:val="0"/>
                <w:iCs w:val="0"/>
                <w:color w:val="2F5496" w:themeColor="accent1" w:themeShade="BF"/>
                <w:sz w:val="22"/>
                <w:szCs w:val="22"/>
              </w:rPr>
              <w:t xml:space="preserve">Figure </w:t>
            </w:r>
            <w:r w:rsidR="005214D5" w:rsidRPr="00C87120">
              <w:rPr>
                <w:rFonts w:ascii="Times New Roman" w:hAnsi="Times New Roman" w:cs="Times New Roman"/>
                <w:b/>
                <w:bCs/>
                <w:i w:val="0"/>
                <w:iCs w:val="0"/>
                <w:color w:val="2F5496" w:themeColor="accent1" w:themeShade="BF"/>
                <w:sz w:val="22"/>
                <w:szCs w:val="22"/>
              </w:rPr>
              <w:fldChar w:fldCharType="begin"/>
            </w:r>
            <w:r w:rsidR="005214D5" w:rsidRPr="00C87120">
              <w:rPr>
                <w:rFonts w:ascii="Times New Roman" w:hAnsi="Times New Roman" w:cs="Times New Roman"/>
                <w:b/>
                <w:bCs/>
                <w:i w:val="0"/>
                <w:iCs w:val="0"/>
                <w:color w:val="2F5496" w:themeColor="accent1" w:themeShade="BF"/>
                <w:sz w:val="22"/>
                <w:szCs w:val="22"/>
              </w:rPr>
              <w:instrText xml:space="preserve"> SEQ Figure \* ARABIC </w:instrText>
            </w:r>
            <w:r w:rsidR="005214D5" w:rsidRPr="00C87120">
              <w:rPr>
                <w:rFonts w:ascii="Times New Roman" w:hAnsi="Times New Roman" w:cs="Times New Roman"/>
                <w:b/>
                <w:bCs/>
                <w:i w:val="0"/>
                <w:iCs w:val="0"/>
                <w:color w:val="2F5496" w:themeColor="accent1" w:themeShade="BF"/>
                <w:sz w:val="22"/>
                <w:szCs w:val="22"/>
              </w:rPr>
              <w:fldChar w:fldCharType="separate"/>
            </w:r>
            <w:r w:rsidR="00C73FE1" w:rsidRPr="00C87120">
              <w:rPr>
                <w:rFonts w:ascii="Times New Roman" w:hAnsi="Times New Roman" w:cs="Times New Roman"/>
                <w:b/>
                <w:bCs/>
                <w:i w:val="0"/>
                <w:iCs w:val="0"/>
                <w:noProof/>
                <w:color w:val="2F5496" w:themeColor="accent1" w:themeShade="BF"/>
                <w:sz w:val="22"/>
                <w:szCs w:val="22"/>
              </w:rPr>
              <w:t>9</w:t>
            </w:r>
            <w:r w:rsidR="005214D5" w:rsidRPr="00C87120">
              <w:rPr>
                <w:rFonts w:ascii="Times New Roman" w:hAnsi="Times New Roman" w:cs="Times New Roman"/>
                <w:b/>
                <w:bCs/>
                <w:i w:val="0"/>
                <w:iCs w:val="0"/>
                <w:color w:val="2F5496" w:themeColor="accent1" w:themeShade="BF"/>
                <w:sz w:val="22"/>
                <w:szCs w:val="22"/>
              </w:rPr>
              <w:fldChar w:fldCharType="end"/>
            </w:r>
            <w:r w:rsidR="005214D5" w:rsidRPr="00C87120">
              <w:rPr>
                <w:rFonts w:ascii="Times New Roman" w:hAnsi="Times New Roman" w:cs="Times New Roman"/>
                <w:b/>
                <w:bCs/>
                <w:i w:val="0"/>
                <w:iCs w:val="0"/>
                <w:color w:val="2F5496" w:themeColor="accent1" w:themeShade="BF"/>
                <w:sz w:val="22"/>
                <w:szCs w:val="22"/>
              </w:rPr>
              <w:t>: Recent Economic Developments</w:t>
            </w:r>
            <w:bookmarkEnd w:id="60"/>
          </w:p>
          <w:p w14:paraId="284641C4" w14:textId="4D11F696" w:rsidR="005214D5" w:rsidRPr="00B87C41" w:rsidRDefault="00682DD6" w:rsidP="00B87C41">
            <w:pPr>
              <w:jc w:val="right"/>
            </w:pPr>
            <w:r>
              <w:t xml:space="preserve">          </w:t>
            </w:r>
          </w:p>
          <w:p w14:paraId="59B0A7DE" w14:textId="1FACA7E8" w:rsidR="00AE2373" w:rsidRPr="00B87C41" w:rsidRDefault="008D1DA5" w:rsidP="00B87C41">
            <w:pPr>
              <w:rPr>
                <w:rFonts w:ascii="Times New Roman" w:hAnsi="Times New Roman" w:cs="Times New Roman"/>
              </w:rPr>
            </w:pPr>
            <w:r w:rsidRPr="001643B2">
              <w:rPr>
                <w:rFonts w:ascii="Times New Roman" w:hAnsi="Times New Roman" w:cs="Times New Roman"/>
                <w:noProof/>
                <w:sz w:val="18"/>
                <w:szCs w:val="18"/>
              </w:rPr>
              <w:drawing>
                <wp:anchor distT="0" distB="0" distL="114300" distR="114300" simplePos="0" relativeHeight="251565056" behindDoc="0" locked="0" layoutInCell="1" allowOverlap="1" wp14:anchorId="25A2395E" wp14:editId="4D5634A6">
                  <wp:simplePos x="0" y="0"/>
                  <wp:positionH relativeFrom="column">
                    <wp:posOffset>2900045</wp:posOffset>
                  </wp:positionH>
                  <wp:positionV relativeFrom="paragraph">
                    <wp:posOffset>195580</wp:posOffset>
                  </wp:positionV>
                  <wp:extent cx="2875915" cy="2466975"/>
                  <wp:effectExtent l="0" t="0" r="635" b="0"/>
                  <wp:wrapSquare wrapText="bothSides"/>
                  <wp:docPr id="42" name="Chart 42">
                    <a:extLst xmlns:a="http://schemas.openxmlformats.org/drawingml/2006/main">
                      <a:ext uri="{FF2B5EF4-FFF2-40B4-BE49-F238E27FC236}">
                        <a16:creationId xmlns:a16="http://schemas.microsoft.com/office/drawing/2014/main" id="{C5C87359-EF1C-4A70-8FB2-75134C327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B87C41">
              <w:rPr>
                <w:rFonts w:ascii="Times New Roman" w:hAnsi="Times New Roman" w:cs="Times New Roman"/>
                <w:noProof/>
                <w:sz w:val="18"/>
                <w:szCs w:val="18"/>
              </w:rPr>
              <w:drawing>
                <wp:anchor distT="0" distB="0" distL="114300" distR="114300" simplePos="0" relativeHeight="251540480" behindDoc="0" locked="0" layoutInCell="1" allowOverlap="1" wp14:anchorId="66506E13" wp14:editId="1B2A9E3C">
                  <wp:simplePos x="0" y="0"/>
                  <wp:positionH relativeFrom="column">
                    <wp:posOffset>-1270</wp:posOffset>
                  </wp:positionH>
                  <wp:positionV relativeFrom="paragraph">
                    <wp:posOffset>187960</wp:posOffset>
                  </wp:positionV>
                  <wp:extent cx="2837180" cy="2498725"/>
                  <wp:effectExtent l="0" t="0" r="1270" b="0"/>
                  <wp:wrapTopAndBottom/>
                  <wp:docPr id="22" name="Chart 22">
                    <a:extLst xmlns:a="http://schemas.openxmlformats.org/drawingml/2006/main">
                      <a:ext uri="{FF2B5EF4-FFF2-40B4-BE49-F238E27FC236}">
                        <a16:creationId xmlns:a16="http://schemas.microsoft.com/office/drawing/2014/main" id="{797BF339-53E5-480B-9A15-B9618601C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4638E7C0" w14:textId="00952445" w:rsidR="007E3144" w:rsidRDefault="00A84CA0" w:rsidP="009E2172">
            <w:pPr>
              <w:keepNext/>
              <w:spacing w:line="276" w:lineRule="auto"/>
              <w:jc w:val="center"/>
              <w:rPr>
                <w:rFonts w:asciiTheme="majorBidi" w:hAnsiTheme="majorBidi" w:cstheme="majorBidi"/>
              </w:rPr>
            </w:pPr>
            <w:r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589632" behindDoc="0" locked="0" layoutInCell="1" allowOverlap="1" wp14:anchorId="582AE673" wp14:editId="6921DDA5">
                      <wp:simplePos x="0" y="0"/>
                      <wp:positionH relativeFrom="column">
                        <wp:posOffset>3157220</wp:posOffset>
                      </wp:positionH>
                      <wp:positionV relativeFrom="paragraph">
                        <wp:posOffset>2651125</wp:posOffset>
                      </wp:positionV>
                      <wp:extent cx="2585085" cy="642026"/>
                      <wp:effectExtent l="0" t="0" r="5715" b="5715"/>
                      <wp:wrapNone/>
                      <wp:docPr id="51" name="Text Box 51"/>
                      <wp:cNvGraphicFramePr/>
                      <a:graphic xmlns:a="http://schemas.openxmlformats.org/drawingml/2006/main">
                        <a:graphicData uri="http://schemas.microsoft.com/office/word/2010/wordprocessingShape">
                          <wps:wsp>
                            <wps:cNvSpPr txBox="1"/>
                            <wps:spPr>
                              <a:xfrm>
                                <a:off x="0" y="0"/>
                                <a:ext cx="2585085" cy="642026"/>
                              </a:xfrm>
                              <a:prstGeom prst="rect">
                                <a:avLst/>
                              </a:prstGeom>
                              <a:solidFill>
                                <a:sysClr val="window" lastClr="FFFFFF"/>
                              </a:solidFill>
                              <a:ln w="6350">
                                <a:noFill/>
                              </a:ln>
                            </wps:spPr>
                            <wps:txbx>
                              <w:txbxContent>
                                <w:p w14:paraId="719138FB" w14:textId="5F9840A7" w:rsidR="002B1E0D" w:rsidRPr="00B11F36" w:rsidRDefault="0057336B"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Head</w:t>
                                  </w:r>
                                  <w:r w:rsidR="00256D7F" w:rsidRPr="00B11F36">
                                    <w:rPr>
                                      <w:rFonts w:ascii="Times New Roman" w:hAnsi="Times New Roman" w:cs="Times New Roman"/>
                                      <w:i/>
                                      <w:iCs/>
                                      <w:sz w:val="20"/>
                                      <w:szCs w:val="20"/>
                                    </w:rPr>
                                    <w:t xml:space="preserve">line </w:t>
                                  </w:r>
                                  <w:r w:rsidR="00D508C8" w:rsidRPr="00B11F36">
                                    <w:rPr>
                                      <w:rFonts w:ascii="Times New Roman" w:hAnsi="Times New Roman" w:cs="Times New Roman"/>
                                      <w:i/>
                                      <w:iCs/>
                                      <w:sz w:val="20"/>
                                      <w:szCs w:val="20"/>
                                    </w:rPr>
                                    <w:t>inflation increased</w:t>
                                  </w:r>
                                  <w:r w:rsidR="00256D7F" w:rsidRPr="00B11F36">
                                    <w:rPr>
                                      <w:rFonts w:ascii="Times New Roman" w:hAnsi="Times New Roman" w:cs="Times New Roman"/>
                                      <w:i/>
                                      <w:iCs/>
                                      <w:sz w:val="20"/>
                                      <w:szCs w:val="20"/>
                                    </w:rPr>
                                    <w:t xml:space="preserve"> </w:t>
                                  </w:r>
                                  <w:r w:rsidR="00EE06A2" w:rsidRPr="00B11F36">
                                    <w:rPr>
                                      <w:rFonts w:ascii="Times New Roman" w:hAnsi="Times New Roman" w:cs="Times New Roman"/>
                                      <w:i/>
                                      <w:iCs/>
                                      <w:sz w:val="20"/>
                                      <w:szCs w:val="20"/>
                                    </w:rPr>
                                    <w:t>fueled by high international oil prices and disru</w:t>
                                  </w:r>
                                  <w:r w:rsidR="009327F0" w:rsidRPr="00B11F36">
                                    <w:rPr>
                                      <w:rFonts w:ascii="Times New Roman" w:hAnsi="Times New Roman" w:cs="Times New Roman"/>
                                      <w:i/>
                                      <w:iCs/>
                                      <w:sz w:val="20"/>
                                      <w:szCs w:val="20"/>
                                    </w:rPr>
                                    <w:t>pted global supply chains.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E673" id="Text Box 51" o:spid="_x0000_s1032" type="#_x0000_t202" style="position:absolute;left:0;text-align:left;margin-left:248.6pt;margin-top:208.75pt;width:203.55pt;height:50.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" fillcolor="window" stroked="f" strokeweight=".5pt">
                      <v:textbox>
                        <w:txbxContent>
                          <w:p w14:paraId="719138FB" w14:textId="5F9840A7" w:rsidR="002B1E0D" w:rsidRPr="00B11F36" w:rsidRDefault="0057336B"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Head</w:t>
                            </w:r>
                            <w:r w:rsidR="00256D7F" w:rsidRPr="00B11F36">
                              <w:rPr>
                                <w:rFonts w:ascii="Times New Roman" w:hAnsi="Times New Roman" w:cs="Times New Roman"/>
                                <w:i/>
                                <w:iCs/>
                                <w:sz w:val="20"/>
                                <w:szCs w:val="20"/>
                              </w:rPr>
                              <w:t xml:space="preserve">line </w:t>
                            </w:r>
                            <w:r w:rsidR="00D508C8" w:rsidRPr="00B11F36">
                              <w:rPr>
                                <w:rFonts w:ascii="Times New Roman" w:hAnsi="Times New Roman" w:cs="Times New Roman"/>
                                <w:i/>
                                <w:iCs/>
                                <w:sz w:val="20"/>
                                <w:szCs w:val="20"/>
                              </w:rPr>
                              <w:t>inflation increased</w:t>
                            </w:r>
                            <w:r w:rsidR="00256D7F" w:rsidRPr="00B11F36">
                              <w:rPr>
                                <w:rFonts w:ascii="Times New Roman" w:hAnsi="Times New Roman" w:cs="Times New Roman"/>
                                <w:i/>
                                <w:iCs/>
                                <w:sz w:val="20"/>
                                <w:szCs w:val="20"/>
                              </w:rPr>
                              <w:t xml:space="preserve"> </w:t>
                            </w:r>
                            <w:r w:rsidR="00EE06A2" w:rsidRPr="00B11F36">
                              <w:rPr>
                                <w:rFonts w:ascii="Times New Roman" w:hAnsi="Times New Roman" w:cs="Times New Roman"/>
                                <w:i/>
                                <w:iCs/>
                                <w:sz w:val="20"/>
                                <w:szCs w:val="20"/>
                              </w:rPr>
                              <w:t>fueled by high international oil prices and disru</w:t>
                            </w:r>
                            <w:r w:rsidR="009327F0" w:rsidRPr="00B11F36">
                              <w:rPr>
                                <w:rFonts w:ascii="Times New Roman" w:hAnsi="Times New Roman" w:cs="Times New Roman"/>
                                <w:i/>
                                <w:iCs/>
                                <w:sz w:val="20"/>
                                <w:szCs w:val="20"/>
                              </w:rPr>
                              <w:t>pted global supply chains.</w:t>
                            </w:r>
                          </w:p>
                        </w:txbxContent>
                      </v:textbox>
                    </v:shape>
                  </w:pict>
                </mc:Fallback>
              </mc:AlternateContent>
            </w:r>
            <w:r w:rsidR="00D508C8"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577344" behindDoc="0" locked="0" layoutInCell="1" allowOverlap="1" wp14:anchorId="5F507CF3" wp14:editId="519F773F">
                      <wp:simplePos x="0" y="0"/>
                      <wp:positionH relativeFrom="column">
                        <wp:posOffset>219557</wp:posOffset>
                      </wp:positionH>
                      <wp:positionV relativeFrom="paragraph">
                        <wp:posOffset>2721041</wp:posOffset>
                      </wp:positionV>
                      <wp:extent cx="2601311" cy="417786"/>
                      <wp:effectExtent l="0" t="0" r="8890" b="1905"/>
                      <wp:wrapNone/>
                      <wp:docPr id="50" name="Text Box 50"/>
                      <wp:cNvGraphicFramePr/>
                      <a:graphic xmlns:a="http://schemas.openxmlformats.org/drawingml/2006/main">
                        <a:graphicData uri="http://schemas.microsoft.com/office/word/2010/wordprocessingShape">
                          <wps:wsp>
                            <wps:cNvSpPr txBox="1"/>
                            <wps:spPr>
                              <a:xfrm>
                                <a:off x="0" y="0"/>
                                <a:ext cx="2601311" cy="417786"/>
                              </a:xfrm>
                              <a:prstGeom prst="rect">
                                <a:avLst/>
                              </a:prstGeom>
                              <a:solidFill>
                                <a:sysClr val="window" lastClr="FFFFFF"/>
                              </a:solidFill>
                              <a:ln w="6350">
                                <a:noFill/>
                              </a:ln>
                            </wps:spPr>
                            <wps:txbx>
                              <w:txbxContent>
                                <w:p w14:paraId="6B437CDD" w14:textId="0381844A" w:rsidR="002B1E0D" w:rsidRPr="00B11F36" w:rsidRDefault="00126789"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Private</w:t>
                                  </w:r>
                                  <w:r w:rsidR="002B1E0D" w:rsidRPr="00B11F36">
                                    <w:rPr>
                                      <w:rFonts w:ascii="Times New Roman" w:hAnsi="Times New Roman" w:cs="Times New Roman"/>
                                      <w:i/>
                                      <w:iCs/>
                                      <w:sz w:val="20"/>
                                      <w:szCs w:val="20"/>
                                    </w:rPr>
                                    <w:t xml:space="preserve"> </w:t>
                                  </w:r>
                                  <w:r w:rsidRPr="00B11F36">
                                    <w:rPr>
                                      <w:rFonts w:ascii="Times New Roman" w:hAnsi="Times New Roman" w:cs="Times New Roman"/>
                                      <w:i/>
                                      <w:iCs/>
                                      <w:sz w:val="20"/>
                                      <w:szCs w:val="20"/>
                                    </w:rPr>
                                    <w:t>and public consumption led economic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7CF3" id="Text Box 50" o:spid="_x0000_s1033" type="#_x0000_t202" style="position:absolute;left:0;text-align:left;margin-left:17.3pt;margin-top:214.25pt;width:204.85pt;height:32.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" fillcolor="window" stroked="f" strokeweight=".5pt">
                      <v:textbox>
                        <w:txbxContent>
                          <w:p w14:paraId="6B437CDD" w14:textId="0381844A" w:rsidR="002B1E0D" w:rsidRPr="00B11F36" w:rsidRDefault="00126789" w:rsidP="00B87C41">
                            <w:pPr>
                              <w:jc w:val="center"/>
                              <w:rPr>
                                <w:rFonts w:ascii="Times New Roman" w:hAnsi="Times New Roman" w:cs="Times New Roman"/>
                                <w:i/>
                                <w:iCs/>
                                <w:sz w:val="20"/>
                                <w:szCs w:val="20"/>
                              </w:rPr>
                            </w:pPr>
                            <w:r w:rsidRPr="00B11F36">
                              <w:rPr>
                                <w:rFonts w:ascii="Times New Roman" w:hAnsi="Times New Roman" w:cs="Times New Roman"/>
                                <w:i/>
                                <w:iCs/>
                                <w:sz w:val="20"/>
                                <w:szCs w:val="20"/>
                              </w:rPr>
                              <w:t>Private</w:t>
                            </w:r>
                            <w:r w:rsidR="002B1E0D" w:rsidRPr="00B11F36">
                              <w:rPr>
                                <w:rFonts w:ascii="Times New Roman" w:hAnsi="Times New Roman" w:cs="Times New Roman"/>
                                <w:i/>
                                <w:iCs/>
                                <w:sz w:val="20"/>
                                <w:szCs w:val="20"/>
                              </w:rPr>
                              <w:t xml:space="preserve"> </w:t>
                            </w:r>
                            <w:r w:rsidRPr="00B11F36">
                              <w:rPr>
                                <w:rFonts w:ascii="Times New Roman" w:hAnsi="Times New Roman" w:cs="Times New Roman"/>
                                <w:i/>
                                <w:iCs/>
                                <w:sz w:val="20"/>
                                <w:szCs w:val="20"/>
                              </w:rPr>
                              <w:t>and public consumption led economic growth.</w:t>
                            </w:r>
                          </w:p>
                        </w:txbxContent>
                      </v:textbox>
                    </v:shape>
                  </w:pict>
                </mc:Fallback>
              </mc:AlternateContent>
            </w:r>
          </w:p>
          <w:p w14:paraId="4F4616D6" w14:textId="72E7C9ED" w:rsidR="00255F2D" w:rsidRDefault="00255F2D">
            <w:pPr>
              <w:keepNext/>
              <w:spacing w:line="276" w:lineRule="auto"/>
              <w:jc w:val="center"/>
              <w:rPr>
                <w:rFonts w:asciiTheme="majorBidi" w:hAnsiTheme="majorBidi" w:cstheme="majorBidi"/>
              </w:rPr>
            </w:pPr>
          </w:p>
          <w:p w14:paraId="0745260A" w14:textId="1EDFE076" w:rsidR="001B013A" w:rsidRPr="00C87120" w:rsidRDefault="008D1DA5" w:rsidP="001B013A">
            <w:pPr>
              <w:keepNext/>
              <w:spacing w:line="276" w:lineRule="auto"/>
              <w:rPr>
                <w:rFonts w:ascii="Times New Roman" w:hAnsi="Times New Roman" w:cs="Times New Roman"/>
                <w:sz w:val="18"/>
                <w:szCs w:val="18"/>
              </w:rPr>
            </w:pPr>
            <w:r>
              <w:rPr>
                <w:noProof/>
              </w:rPr>
              <w:drawing>
                <wp:anchor distT="0" distB="0" distL="114300" distR="114300" simplePos="0" relativeHeight="251614208" behindDoc="0" locked="0" layoutInCell="1" allowOverlap="1" wp14:anchorId="0D5BB8FA" wp14:editId="204C95F0">
                  <wp:simplePos x="0" y="0"/>
                  <wp:positionH relativeFrom="margin">
                    <wp:posOffset>2947035</wp:posOffset>
                  </wp:positionH>
                  <wp:positionV relativeFrom="paragraph">
                    <wp:posOffset>238125</wp:posOffset>
                  </wp:positionV>
                  <wp:extent cx="2908300" cy="3011170"/>
                  <wp:effectExtent l="0" t="0" r="6350" b="0"/>
                  <wp:wrapTopAndBottom/>
                  <wp:docPr id="53" name="Chart 53">
                    <a:extLst xmlns:a="http://schemas.openxmlformats.org/drawingml/2006/main">
                      <a:ext uri="{FF2B5EF4-FFF2-40B4-BE49-F238E27FC236}">
                        <a16:creationId xmlns:a16="http://schemas.microsoft.com/office/drawing/2014/main" id="{C41470E1-0B45-4378-9EE9-7DBF45040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1920" behindDoc="0" locked="0" layoutInCell="1" allowOverlap="1" wp14:anchorId="1C2D2238" wp14:editId="01890A13">
                  <wp:simplePos x="0" y="0"/>
                  <wp:positionH relativeFrom="column">
                    <wp:posOffset>-64135</wp:posOffset>
                  </wp:positionH>
                  <wp:positionV relativeFrom="paragraph">
                    <wp:posOffset>230505</wp:posOffset>
                  </wp:positionV>
                  <wp:extent cx="3026410" cy="3050540"/>
                  <wp:effectExtent l="0" t="0" r="2540" b="0"/>
                  <wp:wrapTopAndBottom/>
                  <wp:docPr id="52" name="Chart 52">
                    <a:extLst xmlns:a="http://schemas.openxmlformats.org/drawingml/2006/main">
                      <a:ext uri="{FF2B5EF4-FFF2-40B4-BE49-F238E27FC236}">
                        <a16:creationId xmlns:a16="http://schemas.microsoft.com/office/drawing/2014/main" id="{E03666EA-C47B-474A-9689-1734CA4E3F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anchor>
              </w:drawing>
            </w:r>
          </w:p>
          <w:p w14:paraId="7F1752E3" w14:textId="25397EF2" w:rsidR="001B013A" w:rsidRPr="00C9656F" w:rsidRDefault="00C9656F" w:rsidP="00B87C41">
            <w:pPr>
              <w:keepNext/>
              <w:spacing w:line="276" w:lineRule="auto"/>
              <w:rPr>
                <w:rFonts w:ascii="Times New Roman" w:hAnsi="Times New Roman" w:cs="Times New Roman"/>
                <w:sz w:val="18"/>
                <w:szCs w:val="18"/>
              </w:rPr>
            </w:pPr>
            <w:r>
              <w:rPr>
                <w:rFonts w:ascii="Times New Roman" w:hAnsi="Times New Roman" w:cs="Times New Roman"/>
                <w:sz w:val="18"/>
                <w:szCs w:val="18"/>
              </w:rPr>
              <w:t xml:space="preserve">       </w:t>
            </w:r>
            <w:r w:rsidRPr="00C9656F">
              <w:rPr>
                <w:rFonts w:ascii="Times New Roman" w:hAnsi="Times New Roman" w:cs="Times New Roman"/>
                <w:sz w:val="18"/>
                <w:szCs w:val="18"/>
              </w:rPr>
              <w:t>Source: Author's calculations using authorities’ data</w:t>
            </w:r>
          </w:p>
        </w:tc>
      </w:tr>
      <w:bookmarkEnd w:id="61"/>
    </w:tbl>
    <w:p w14:paraId="7060F62B" w14:textId="0186F21D" w:rsidR="00C554D8" w:rsidRDefault="00C554D8" w:rsidP="00502614">
      <w:pPr>
        <w:spacing w:line="276" w:lineRule="auto"/>
        <w:jc w:val="both"/>
      </w:pPr>
    </w:p>
    <w:tbl>
      <w:tblPr>
        <w:tblStyle w:val="TableGrid"/>
        <w:tblW w:w="0" w:type="auto"/>
        <w:tblLook w:val="04A0" w:firstRow="1" w:lastRow="0" w:firstColumn="1" w:lastColumn="0" w:noHBand="0" w:noVBand="1"/>
      </w:tblPr>
      <w:tblGrid>
        <w:gridCol w:w="9350"/>
      </w:tblGrid>
      <w:tr w:rsidR="000F4139" w14:paraId="30ED7065" w14:textId="77777777" w:rsidTr="00516779">
        <w:tc>
          <w:tcPr>
            <w:tcW w:w="9350" w:type="dxa"/>
          </w:tcPr>
          <w:p w14:paraId="516A189F" w14:textId="2094E974" w:rsidR="000F4139" w:rsidRPr="00C87120" w:rsidRDefault="00B11F36" w:rsidP="00B87C41">
            <w:pPr>
              <w:pStyle w:val="Caption"/>
              <w:keepNext/>
              <w:jc w:val="center"/>
              <w:rPr>
                <w:rFonts w:ascii="Times New Roman" w:hAnsi="Times New Roman" w:cs="Times New Roman"/>
                <w:b/>
                <w:bCs/>
                <w:i w:val="0"/>
                <w:iCs w:val="0"/>
                <w:color w:val="2F5496" w:themeColor="accent1" w:themeShade="BF"/>
                <w:sz w:val="22"/>
                <w:szCs w:val="22"/>
              </w:rPr>
            </w:pPr>
            <w:bookmarkStart w:id="62" w:name="_Toc103950884"/>
            <w:r w:rsidRPr="00C87120">
              <w:rPr>
                <w:rFonts w:ascii="Times New Roman" w:hAnsi="Times New Roman" w:cs="Times New Roman"/>
                <w:b/>
                <w:bCs/>
                <w:noProof/>
                <w:color w:val="2F5496" w:themeColor="accent1" w:themeShade="BF"/>
                <w:sz w:val="22"/>
                <w:szCs w:val="22"/>
              </w:rPr>
              <w:lastRenderedPageBreak/>
              <mc:AlternateContent>
                <mc:Choice Requires="wps">
                  <w:drawing>
                    <wp:anchor distT="0" distB="0" distL="114300" distR="114300" simplePos="0" relativeHeight="251638784" behindDoc="0" locked="0" layoutInCell="1" allowOverlap="1" wp14:anchorId="7037F6DF" wp14:editId="12E4871F">
                      <wp:simplePos x="0" y="0"/>
                      <wp:positionH relativeFrom="column">
                        <wp:posOffset>3177283</wp:posOffset>
                      </wp:positionH>
                      <wp:positionV relativeFrom="paragraph">
                        <wp:posOffset>201173</wp:posOffset>
                      </wp:positionV>
                      <wp:extent cx="2593340" cy="512324"/>
                      <wp:effectExtent l="0" t="0" r="0" b="2540"/>
                      <wp:wrapNone/>
                      <wp:docPr id="65" name="Text Box 65"/>
                      <wp:cNvGraphicFramePr/>
                      <a:graphic xmlns:a="http://schemas.openxmlformats.org/drawingml/2006/main">
                        <a:graphicData uri="http://schemas.microsoft.com/office/word/2010/wordprocessingShape">
                          <wps:wsp>
                            <wps:cNvSpPr txBox="1"/>
                            <wps:spPr>
                              <a:xfrm>
                                <a:off x="0" y="0"/>
                                <a:ext cx="2593340" cy="512324"/>
                              </a:xfrm>
                              <a:prstGeom prst="rect">
                                <a:avLst/>
                              </a:prstGeom>
                              <a:solidFill>
                                <a:sysClr val="window" lastClr="FFFFFF"/>
                              </a:solidFill>
                              <a:ln w="6350">
                                <a:noFill/>
                              </a:ln>
                            </wps:spPr>
                            <wps:txbx>
                              <w:txbxContent>
                                <w:p w14:paraId="45F45126" w14:textId="1AE34C70" w:rsidR="000F4139" w:rsidRPr="00C87120" w:rsidRDefault="00983B9C" w:rsidP="000F4139">
                                  <w:pPr>
                                    <w:jc w:val="center"/>
                                    <w:rPr>
                                      <w:rFonts w:ascii="Times New Roman" w:hAnsi="Times New Roman" w:cs="Times New Roman"/>
                                      <w:i/>
                                      <w:iCs/>
                                      <w:sz w:val="20"/>
                                      <w:szCs w:val="20"/>
                                    </w:rPr>
                                  </w:pPr>
                                  <w:r w:rsidRPr="00C87120">
                                    <w:rPr>
                                      <w:rFonts w:ascii="Times New Roman" w:hAnsi="Times New Roman" w:cs="Times New Roman"/>
                                      <w:i/>
                                      <w:iCs/>
                                      <w:sz w:val="20"/>
                                      <w:szCs w:val="20"/>
                                    </w:rPr>
                                    <w:t xml:space="preserve">The deficit </w:t>
                                  </w:r>
                                  <w:r w:rsidR="00E51681" w:rsidRPr="00C87120">
                                    <w:rPr>
                                      <w:rFonts w:ascii="Times New Roman" w:hAnsi="Times New Roman" w:cs="Times New Roman"/>
                                      <w:i/>
                                      <w:iCs/>
                                      <w:sz w:val="20"/>
                                      <w:szCs w:val="20"/>
                                    </w:rPr>
                                    <w:t xml:space="preserve">was financed </w:t>
                                  </w:r>
                                  <w:r w:rsidR="007D4C2D" w:rsidRPr="00C87120">
                                    <w:rPr>
                                      <w:rFonts w:ascii="Times New Roman" w:hAnsi="Times New Roman" w:cs="Times New Roman"/>
                                      <w:i/>
                                      <w:iCs/>
                                      <w:sz w:val="20"/>
                                      <w:szCs w:val="20"/>
                                    </w:rPr>
                                    <w:t xml:space="preserve">mainly by foreign direct investment </w:t>
                                  </w:r>
                                  <w:r w:rsidR="00C05818" w:rsidRPr="00C87120">
                                    <w:rPr>
                                      <w:rFonts w:ascii="Times New Roman" w:hAnsi="Times New Roman" w:cs="Times New Roman"/>
                                      <w:i/>
                                      <w:iCs/>
                                      <w:sz w:val="20"/>
                                      <w:szCs w:val="20"/>
                                    </w:rPr>
                                    <w:t xml:space="preserve">and </w:t>
                                  </w:r>
                                  <w:r w:rsidR="00446E49" w:rsidRPr="00C87120">
                                    <w:rPr>
                                      <w:rFonts w:ascii="Times New Roman" w:hAnsi="Times New Roman" w:cs="Times New Roman"/>
                                      <w:i/>
                                      <w:iCs/>
                                      <w:sz w:val="20"/>
                                      <w:szCs w:val="20"/>
                                    </w:rPr>
                                    <w:t xml:space="preserve">concessional </w:t>
                                  </w:r>
                                  <w:r w:rsidR="00F50732" w:rsidRPr="00C87120">
                                    <w:rPr>
                                      <w:rFonts w:ascii="Times New Roman" w:hAnsi="Times New Roman" w:cs="Times New Roman"/>
                                      <w:i/>
                                      <w:iCs/>
                                      <w:sz w:val="20"/>
                                      <w:szCs w:val="20"/>
                                    </w:rPr>
                                    <w:t>loans.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F6DF" id="Text Box 65" o:spid="_x0000_s1034" type="#_x0000_t202" style="position:absolute;left:0;text-align:left;margin-left:250.2pt;margin-top:15.85pt;width:204.2pt;height:40.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" fillcolor="window" stroked="f" strokeweight=".5pt">
                      <v:textbox>
                        <w:txbxContent>
                          <w:p w14:paraId="45F45126" w14:textId="1AE34C70" w:rsidR="000F4139" w:rsidRPr="00C87120" w:rsidRDefault="00983B9C" w:rsidP="000F4139">
                            <w:pPr>
                              <w:jc w:val="center"/>
                              <w:rPr>
                                <w:rFonts w:ascii="Times New Roman" w:hAnsi="Times New Roman" w:cs="Times New Roman"/>
                                <w:i/>
                                <w:iCs/>
                                <w:sz w:val="20"/>
                                <w:szCs w:val="20"/>
                              </w:rPr>
                            </w:pPr>
                            <w:r w:rsidRPr="00C87120">
                              <w:rPr>
                                <w:rFonts w:ascii="Times New Roman" w:hAnsi="Times New Roman" w:cs="Times New Roman"/>
                                <w:i/>
                                <w:iCs/>
                                <w:sz w:val="20"/>
                                <w:szCs w:val="20"/>
                              </w:rPr>
                              <w:t xml:space="preserve">The deficit </w:t>
                            </w:r>
                            <w:r w:rsidR="00E51681" w:rsidRPr="00C87120">
                              <w:rPr>
                                <w:rFonts w:ascii="Times New Roman" w:hAnsi="Times New Roman" w:cs="Times New Roman"/>
                                <w:i/>
                                <w:iCs/>
                                <w:sz w:val="20"/>
                                <w:szCs w:val="20"/>
                              </w:rPr>
                              <w:t xml:space="preserve">was financed </w:t>
                            </w:r>
                            <w:r w:rsidR="007D4C2D" w:rsidRPr="00C87120">
                              <w:rPr>
                                <w:rFonts w:ascii="Times New Roman" w:hAnsi="Times New Roman" w:cs="Times New Roman"/>
                                <w:i/>
                                <w:iCs/>
                                <w:sz w:val="20"/>
                                <w:szCs w:val="20"/>
                              </w:rPr>
                              <w:t xml:space="preserve">mainly by foreign direct investment </w:t>
                            </w:r>
                            <w:r w:rsidR="00C05818" w:rsidRPr="00C87120">
                              <w:rPr>
                                <w:rFonts w:ascii="Times New Roman" w:hAnsi="Times New Roman" w:cs="Times New Roman"/>
                                <w:i/>
                                <w:iCs/>
                                <w:sz w:val="20"/>
                                <w:szCs w:val="20"/>
                              </w:rPr>
                              <w:t xml:space="preserve">and </w:t>
                            </w:r>
                            <w:r w:rsidR="00446E49" w:rsidRPr="00C87120">
                              <w:rPr>
                                <w:rFonts w:ascii="Times New Roman" w:hAnsi="Times New Roman" w:cs="Times New Roman"/>
                                <w:i/>
                                <w:iCs/>
                                <w:sz w:val="20"/>
                                <w:szCs w:val="20"/>
                              </w:rPr>
                              <w:t xml:space="preserve">concessional </w:t>
                            </w:r>
                            <w:r w:rsidR="00F50732" w:rsidRPr="00C87120">
                              <w:rPr>
                                <w:rFonts w:ascii="Times New Roman" w:hAnsi="Times New Roman" w:cs="Times New Roman"/>
                                <w:i/>
                                <w:iCs/>
                                <w:sz w:val="20"/>
                                <w:szCs w:val="20"/>
                              </w:rPr>
                              <w:t>loans.</w:t>
                            </w:r>
                          </w:p>
                        </w:txbxContent>
                      </v:textbox>
                    </v:shape>
                  </w:pict>
                </mc:Fallback>
              </mc:AlternateContent>
            </w:r>
            <w:r w:rsidR="00C05818" w:rsidRPr="00C87120">
              <w:rPr>
                <w:rFonts w:ascii="Times New Roman" w:hAnsi="Times New Roman" w:cs="Times New Roman"/>
                <w:b/>
                <w:bCs/>
                <w:i w:val="0"/>
                <w:iCs w:val="0"/>
                <w:noProof/>
                <w:color w:val="2F5496" w:themeColor="accent1" w:themeShade="BF"/>
                <w:sz w:val="22"/>
                <w:szCs w:val="22"/>
              </w:rPr>
              <mc:AlternateContent>
                <mc:Choice Requires="wps">
                  <w:drawing>
                    <wp:anchor distT="0" distB="0" distL="114300" distR="114300" simplePos="0" relativeHeight="251626496" behindDoc="0" locked="0" layoutInCell="1" allowOverlap="1" wp14:anchorId="1F18DE36" wp14:editId="46EA89DA">
                      <wp:simplePos x="0" y="0"/>
                      <wp:positionH relativeFrom="column">
                        <wp:posOffset>135768</wp:posOffset>
                      </wp:positionH>
                      <wp:positionV relativeFrom="paragraph">
                        <wp:posOffset>194688</wp:posOffset>
                      </wp:positionV>
                      <wp:extent cx="2813882" cy="551234"/>
                      <wp:effectExtent l="0" t="0" r="5715" b="1270"/>
                      <wp:wrapNone/>
                      <wp:docPr id="64" name="Text Box 64"/>
                      <wp:cNvGraphicFramePr/>
                      <a:graphic xmlns:a="http://schemas.openxmlformats.org/drawingml/2006/main">
                        <a:graphicData uri="http://schemas.microsoft.com/office/word/2010/wordprocessingShape">
                          <wps:wsp>
                            <wps:cNvSpPr txBox="1"/>
                            <wps:spPr>
                              <a:xfrm>
                                <a:off x="0" y="0"/>
                                <a:ext cx="2813882" cy="551234"/>
                              </a:xfrm>
                              <a:prstGeom prst="rect">
                                <a:avLst/>
                              </a:prstGeom>
                              <a:solidFill>
                                <a:schemeClr val="lt1"/>
                              </a:solidFill>
                              <a:ln w="6350">
                                <a:noFill/>
                              </a:ln>
                            </wps:spPr>
                            <wps:txbx>
                              <w:txbxContent>
                                <w:p w14:paraId="3C09259A" w14:textId="463F5C1B" w:rsidR="000F4139" w:rsidRPr="00B87C41" w:rsidRDefault="003E6F1B" w:rsidP="00B87C41">
                                  <w:pPr>
                                    <w:rPr>
                                      <w:rFonts w:ascii="Times New Roman" w:hAnsi="Times New Roman" w:cs="Times New Roman"/>
                                      <w:i/>
                                      <w:iCs/>
                                      <w:sz w:val="18"/>
                                      <w:szCs w:val="18"/>
                                    </w:rPr>
                                  </w:pPr>
                                  <w:r w:rsidRPr="00C87120">
                                    <w:rPr>
                                      <w:rFonts w:ascii="Times New Roman" w:hAnsi="Times New Roman" w:cs="Times New Roman"/>
                                      <w:i/>
                                      <w:iCs/>
                                      <w:sz w:val="20"/>
                                      <w:szCs w:val="20"/>
                                    </w:rPr>
                                    <w:t>Current account deficit sli</w:t>
                                  </w:r>
                                  <w:r w:rsidR="001F586E" w:rsidRPr="00C87120">
                                    <w:rPr>
                                      <w:rFonts w:ascii="Times New Roman" w:hAnsi="Times New Roman" w:cs="Times New Roman"/>
                                      <w:i/>
                                      <w:iCs/>
                                      <w:sz w:val="20"/>
                                      <w:szCs w:val="20"/>
                                    </w:rPr>
                                    <w:t>ghtly narrowed in 202</w:t>
                                  </w:r>
                                  <w:r w:rsidR="00A24AB9" w:rsidRPr="00C87120">
                                    <w:rPr>
                                      <w:rFonts w:ascii="Times New Roman" w:hAnsi="Times New Roman" w:cs="Times New Roman"/>
                                      <w:i/>
                                      <w:iCs/>
                                      <w:sz w:val="20"/>
                                      <w:szCs w:val="20"/>
                                    </w:rPr>
                                    <w:t>2</w:t>
                                  </w:r>
                                  <w:r w:rsidR="00892AE9" w:rsidRPr="00C87120">
                                    <w:rPr>
                                      <w:rFonts w:ascii="Times New Roman" w:hAnsi="Times New Roman" w:cs="Times New Roman"/>
                                      <w:i/>
                                      <w:iCs/>
                                      <w:sz w:val="20"/>
                                      <w:szCs w:val="20"/>
                                    </w:rPr>
                                    <w:t>, mainly due</w:t>
                                  </w:r>
                                  <w:r w:rsidR="001F586E" w:rsidRPr="00C87120">
                                    <w:rPr>
                                      <w:rFonts w:ascii="Times New Roman" w:hAnsi="Times New Roman" w:cs="Times New Roman"/>
                                      <w:i/>
                                      <w:iCs/>
                                      <w:sz w:val="20"/>
                                      <w:szCs w:val="20"/>
                                    </w:rPr>
                                    <w:t xml:space="preserve"> to an increase in </w:t>
                                  </w:r>
                                  <w:r w:rsidR="000846C4" w:rsidRPr="00C87120">
                                    <w:rPr>
                                      <w:rFonts w:ascii="Times New Roman" w:hAnsi="Times New Roman" w:cs="Times New Roman"/>
                                      <w:i/>
                                      <w:iCs/>
                                      <w:sz w:val="20"/>
                                      <w:szCs w:val="20"/>
                                    </w:rPr>
                                    <w:t>goods</w:t>
                                  </w:r>
                                  <w:r w:rsidR="0026268E" w:rsidRPr="00C87120">
                                    <w:rPr>
                                      <w:rFonts w:ascii="Times New Roman" w:hAnsi="Times New Roman" w:cs="Times New Roman"/>
                                      <w:i/>
                                      <w:iCs/>
                                      <w:sz w:val="20"/>
                                      <w:szCs w:val="20"/>
                                    </w:rPr>
                                    <w:t xml:space="preserve"> </w:t>
                                  </w:r>
                                  <w:r w:rsidR="001F586E" w:rsidRPr="00C87120">
                                    <w:rPr>
                                      <w:rFonts w:ascii="Times New Roman" w:hAnsi="Times New Roman" w:cs="Times New Roman"/>
                                      <w:i/>
                                      <w:iCs/>
                                      <w:sz w:val="20"/>
                                      <w:szCs w:val="20"/>
                                    </w:rPr>
                                    <w:t>exports and</w:t>
                                  </w:r>
                                  <w:r w:rsidR="001F586E" w:rsidRPr="00B87C41">
                                    <w:rPr>
                                      <w:rFonts w:ascii="Times New Roman" w:hAnsi="Times New Roman" w:cs="Times New Roman"/>
                                      <w:i/>
                                      <w:iCs/>
                                      <w:sz w:val="18"/>
                                      <w:szCs w:val="18"/>
                                    </w:rPr>
                                    <w:t xml:space="preserve"> </w:t>
                                  </w:r>
                                  <w:r w:rsidR="0026268E" w:rsidRPr="00C87120">
                                    <w:rPr>
                                      <w:rFonts w:ascii="Times New Roman" w:hAnsi="Times New Roman" w:cs="Times New Roman"/>
                                      <w:i/>
                                      <w:iCs/>
                                      <w:sz w:val="20"/>
                                      <w:szCs w:val="20"/>
                                    </w:rPr>
                                    <w:t>remittances</w:t>
                                  </w:r>
                                  <w:r w:rsidR="00E114DD" w:rsidRPr="00C87120">
                                    <w:rPr>
                                      <w:rFonts w:ascii="Times New Roman" w:hAnsi="Times New Roman" w:cs="Times New Roman"/>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DE36" id="Text Box 64" o:spid="_x0000_s1035" type="#_x0000_t202" style="position:absolute;left:0;text-align:left;margin-left:10.7pt;margin-top:15.35pt;width:221.55pt;height:4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" fillcolor="white [3201]" stroked="f" strokeweight=".5pt">
                      <v:textbox>
                        <w:txbxContent>
                          <w:p w14:paraId="3C09259A" w14:textId="463F5C1B" w:rsidR="000F4139" w:rsidRPr="00B87C41" w:rsidRDefault="003E6F1B" w:rsidP="00B87C41">
                            <w:pPr>
                              <w:rPr>
                                <w:rFonts w:ascii="Times New Roman" w:hAnsi="Times New Roman" w:cs="Times New Roman"/>
                                <w:i/>
                                <w:iCs/>
                                <w:sz w:val="18"/>
                                <w:szCs w:val="18"/>
                              </w:rPr>
                            </w:pPr>
                            <w:r w:rsidRPr="00C87120">
                              <w:rPr>
                                <w:rFonts w:ascii="Times New Roman" w:hAnsi="Times New Roman" w:cs="Times New Roman"/>
                                <w:i/>
                                <w:iCs/>
                                <w:sz w:val="20"/>
                                <w:szCs w:val="20"/>
                              </w:rPr>
                              <w:t>Current account deficit sli</w:t>
                            </w:r>
                            <w:r w:rsidR="001F586E" w:rsidRPr="00C87120">
                              <w:rPr>
                                <w:rFonts w:ascii="Times New Roman" w:hAnsi="Times New Roman" w:cs="Times New Roman"/>
                                <w:i/>
                                <w:iCs/>
                                <w:sz w:val="20"/>
                                <w:szCs w:val="20"/>
                              </w:rPr>
                              <w:t>ghtly narrowed in 202</w:t>
                            </w:r>
                            <w:r w:rsidR="00A24AB9" w:rsidRPr="00C87120">
                              <w:rPr>
                                <w:rFonts w:ascii="Times New Roman" w:hAnsi="Times New Roman" w:cs="Times New Roman"/>
                                <w:i/>
                                <w:iCs/>
                                <w:sz w:val="20"/>
                                <w:szCs w:val="20"/>
                              </w:rPr>
                              <w:t>2</w:t>
                            </w:r>
                            <w:r w:rsidR="00892AE9" w:rsidRPr="00C87120">
                              <w:rPr>
                                <w:rFonts w:ascii="Times New Roman" w:hAnsi="Times New Roman" w:cs="Times New Roman"/>
                                <w:i/>
                                <w:iCs/>
                                <w:sz w:val="20"/>
                                <w:szCs w:val="20"/>
                              </w:rPr>
                              <w:t>, mainly due</w:t>
                            </w:r>
                            <w:r w:rsidR="001F586E" w:rsidRPr="00C87120">
                              <w:rPr>
                                <w:rFonts w:ascii="Times New Roman" w:hAnsi="Times New Roman" w:cs="Times New Roman"/>
                                <w:i/>
                                <w:iCs/>
                                <w:sz w:val="20"/>
                                <w:szCs w:val="20"/>
                              </w:rPr>
                              <w:t xml:space="preserve"> to an increase in </w:t>
                            </w:r>
                            <w:r w:rsidR="000846C4" w:rsidRPr="00C87120">
                              <w:rPr>
                                <w:rFonts w:ascii="Times New Roman" w:hAnsi="Times New Roman" w:cs="Times New Roman"/>
                                <w:i/>
                                <w:iCs/>
                                <w:sz w:val="20"/>
                                <w:szCs w:val="20"/>
                              </w:rPr>
                              <w:t>goods</w:t>
                            </w:r>
                            <w:r w:rsidR="0026268E" w:rsidRPr="00C87120">
                              <w:rPr>
                                <w:rFonts w:ascii="Times New Roman" w:hAnsi="Times New Roman" w:cs="Times New Roman"/>
                                <w:i/>
                                <w:iCs/>
                                <w:sz w:val="20"/>
                                <w:szCs w:val="20"/>
                              </w:rPr>
                              <w:t xml:space="preserve"> </w:t>
                            </w:r>
                            <w:r w:rsidR="001F586E" w:rsidRPr="00C87120">
                              <w:rPr>
                                <w:rFonts w:ascii="Times New Roman" w:hAnsi="Times New Roman" w:cs="Times New Roman"/>
                                <w:i/>
                                <w:iCs/>
                                <w:sz w:val="20"/>
                                <w:szCs w:val="20"/>
                              </w:rPr>
                              <w:t>exports and</w:t>
                            </w:r>
                            <w:r w:rsidR="001F586E" w:rsidRPr="00B87C41">
                              <w:rPr>
                                <w:rFonts w:ascii="Times New Roman" w:hAnsi="Times New Roman" w:cs="Times New Roman"/>
                                <w:i/>
                                <w:iCs/>
                                <w:sz w:val="18"/>
                                <w:szCs w:val="18"/>
                              </w:rPr>
                              <w:t xml:space="preserve"> </w:t>
                            </w:r>
                            <w:r w:rsidR="0026268E" w:rsidRPr="00C87120">
                              <w:rPr>
                                <w:rFonts w:ascii="Times New Roman" w:hAnsi="Times New Roman" w:cs="Times New Roman"/>
                                <w:i/>
                                <w:iCs/>
                                <w:sz w:val="20"/>
                                <w:szCs w:val="20"/>
                              </w:rPr>
                              <w:t>remittances</w:t>
                            </w:r>
                            <w:r w:rsidR="00E114DD" w:rsidRPr="00C87120">
                              <w:rPr>
                                <w:rFonts w:ascii="Times New Roman" w:hAnsi="Times New Roman" w:cs="Times New Roman"/>
                                <w:i/>
                                <w:iCs/>
                                <w:sz w:val="20"/>
                                <w:szCs w:val="20"/>
                              </w:rPr>
                              <w:t>.</w:t>
                            </w:r>
                          </w:p>
                        </w:txbxContent>
                      </v:textbox>
                    </v:shape>
                  </w:pict>
                </mc:Fallback>
              </mc:AlternateContent>
            </w:r>
            <w:r w:rsidR="00E24408" w:rsidRPr="00C87120">
              <w:rPr>
                <w:rFonts w:ascii="Times New Roman" w:hAnsi="Times New Roman" w:cs="Times New Roman"/>
                <w:b/>
                <w:bCs/>
                <w:i w:val="0"/>
                <w:iCs w:val="0"/>
                <w:color w:val="2F5496" w:themeColor="accent1" w:themeShade="BF"/>
                <w:sz w:val="22"/>
                <w:szCs w:val="22"/>
              </w:rPr>
              <w:t xml:space="preserve">Figure </w:t>
            </w:r>
            <w:r w:rsidR="00E24408" w:rsidRPr="00C87120">
              <w:rPr>
                <w:rFonts w:ascii="Times New Roman" w:hAnsi="Times New Roman" w:cs="Times New Roman"/>
                <w:b/>
                <w:bCs/>
                <w:i w:val="0"/>
                <w:iCs w:val="0"/>
                <w:color w:val="2F5496" w:themeColor="accent1" w:themeShade="BF"/>
                <w:sz w:val="22"/>
                <w:szCs w:val="22"/>
              </w:rPr>
              <w:fldChar w:fldCharType="begin"/>
            </w:r>
            <w:r w:rsidR="00E24408" w:rsidRPr="00C87120">
              <w:rPr>
                <w:rFonts w:ascii="Times New Roman" w:hAnsi="Times New Roman" w:cs="Times New Roman"/>
                <w:b/>
                <w:bCs/>
                <w:i w:val="0"/>
                <w:iCs w:val="0"/>
                <w:color w:val="2F5496" w:themeColor="accent1" w:themeShade="BF"/>
                <w:sz w:val="22"/>
                <w:szCs w:val="22"/>
              </w:rPr>
              <w:instrText xml:space="preserve"> SEQ Figure \* ARABIC </w:instrText>
            </w:r>
            <w:r w:rsidR="00E24408" w:rsidRPr="00C87120">
              <w:rPr>
                <w:rFonts w:ascii="Times New Roman" w:hAnsi="Times New Roman" w:cs="Times New Roman"/>
                <w:b/>
                <w:bCs/>
                <w:i w:val="0"/>
                <w:iCs w:val="0"/>
                <w:color w:val="2F5496" w:themeColor="accent1" w:themeShade="BF"/>
                <w:sz w:val="22"/>
                <w:szCs w:val="22"/>
              </w:rPr>
              <w:fldChar w:fldCharType="separate"/>
            </w:r>
            <w:r w:rsidR="00C73FE1" w:rsidRPr="00C87120">
              <w:rPr>
                <w:rFonts w:ascii="Times New Roman" w:hAnsi="Times New Roman" w:cs="Times New Roman"/>
                <w:b/>
                <w:bCs/>
                <w:i w:val="0"/>
                <w:iCs w:val="0"/>
                <w:noProof/>
                <w:color w:val="2F5496" w:themeColor="accent1" w:themeShade="BF"/>
                <w:sz w:val="22"/>
                <w:szCs w:val="22"/>
              </w:rPr>
              <w:t>10</w:t>
            </w:r>
            <w:r w:rsidR="00E24408" w:rsidRPr="00C87120">
              <w:rPr>
                <w:rFonts w:ascii="Times New Roman" w:hAnsi="Times New Roman" w:cs="Times New Roman"/>
                <w:b/>
                <w:bCs/>
                <w:i w:val="0"/>
                <w:iCs w:val="0"/>
                <w:color w:val="2F5496" w:themeColor="accent1" w:themeShade="BF"/>
                <w:sz w:val="22"/>
                <w:szCs w:val="22"/>
              </w:rPr>
              <w:fldChar w:fldCharType="end"/>
            </w:r>
            <w:r w:rsidR="00E24408" w:rsidRPr="00C87120">
              <w:rPr>
                <w:rFonts w:ascii="Times New Roman" w:hAnsi="Times New Roman" w:cs="Times New Roman"/>
                <w:b/>
                <w:bCs/>
                <w:i w:val="0"/>
                <w:iCs w:val="0"/>
                <w:color w:val="2F5496" w:themeColor="accent1" w:themeShade="BF"/>
                <w:sz w:val="22"/>
                <w:szCs w:val="22"/>
              </w:rPr>
              <w:t>: External Sector Developments</w:t>
            </w:r>
            <w:bookmarkEnd w:id="62"/>
          </w:p>
          <w:p w14:paraId="352F1DBA" w14:textId="77777777" w:rsidR="009A268C" w:rsidRPr="00C87120" w:rsidRDefault="009A268C" w:rsidP="00C87120"/>
          <w:p w14:paraId="13237FDC" w14:textId="334F6863" w:rsidR="000F4139" w:rsidRPr="00461F56" w:rsidRDefault="009A268C" w:rsidP="000F4139">
            <w:pPr>
              <w:jc w:val="both"/>
              <w:rPr>
                <w:rFonts w:ascii="Times New Roman" w:hAnsi="Times New Roman" w:cs="Times New Roman"/>
                <w:sz w:val="18"/>
                <w:szCs w:val="18"/>
              </w:rPr>
            </w:pPr>
            <w:r>
              <w:rPr>
                <w:noProof/>
              </w:rPr>
              <w:drawing>
                <wp:anchor distT="0" distB="0" distL="114300" distR="114300" simplePos="0" relativeHeight="251773952" behindDoc="0" locked="0" layoutInCell="1" allowOverlap="1" wp14:anchorId="386007CF" wp14:editId="2DB99B14">
                  <wp:simplePos x="0" y="0"/>
                  <wp:positionH relativeFrom="column">
                    <wp:posOffset>-26670</wp:posOffset>
                  </wp:positionH>
                  <wp:positionV relativeFrom="paragraph">
                    <wp:posOffset>282575</wp:posOffset>
                  </wp:positionV>
                  <wp:extent cx="2947670" cy="2800985"/>
                  <wp:effectExtent l="0" t="0" r="5080" b="0"/>
                  <wp:wrapTopAndBottom/>
                  <wp:docPr id="88" name="Chart 88">
                    <a:extLst xmlns:a="http://schemas.openxmlformats.org/drawingml/2006/main">
                      <a:ext uri="{FF2B5EF4-FFF2-40B4-BE49-F238E27FC236}">
                        <a16:creationId xmlns:a16="http://schemas.microsoft.com/office/drawing/2014/main" id="{47D14FFC-0D61-4A97-BD03-20D4B14AD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62C2723D" wp14:editId="2FCA8543">
                  <wp:simplePos x="0" y="0"/>
                  <wp:positionH relativeFrom="column">
                    <wp:posOffset>2913056</wp:posOffset>
                  </wp:positionH>
                  <wp:positionV relativeFrom="paragraph">
                    <wp:posOffset>299490</wp:posOffset>
                  </wp:positionV>
                  <wp:extent cx="2946400" cy="2773680"/>
                  <wp:effectExtent l="0" t="0" r="6350" b="0"/>
                  <wp:wrapTopAndBottom/>
                  <wp:docPr id="90" name="Chart 90">
                    <a:extLst xmlns:a="http://schemas.openxmlformats.org/drawingml/2006/main">
                      <a:ext uri="{FF2B5EF4-FFF2-40B4-BE49-F238E27FC236}">
                        <a16:creationId xmlns:a16="http://schemas.microsoft.com/office/drawing/2014/main" id="{EA1D635A-E4B4-4B2B-B708-9ACAC188D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0F4139">
              <w:t xml:space="preserve">          </w:t>
            </w:r>
          </w:p>
          <w:p w14:paraId="53ECD1B2" w14:textId="08647A81" w:rsidR="000F4139" w:rsidRDefault="00691635" w:rsidP="000F4139">
            <w:pPr>
              <w:keepNext/>
              <w:spacing w:line="276" w:lineRule="auto"/>
              <w:jc w:val="both"/>
              <w:rPr>
                <w:rFonts w:asciiTheme="majorBidi" w:hAnsiTheme="majorBidi" w:cstheme="majorBidi"/>
              </w:rPr>
            </w:pPr>
            <w:r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651072" behindDoc="0" locked="0" layoutInCell="1" allowOverlap="1" wp14:anchorId="36E1AA3C" wp14:editId="4C89A3FB">
                      <wp:simplePos x="0" y="0"/>
                      <wp:positionH relativeFrom="column">
                        <wp:posOffset>415613</wp:posOffset>
                      </wp:positionH>
                      <wp:positionV relativeFrom="paragraph">
                        <wp:posOffset>2982216</wp:posOffset>
                      </wp:positionV>
                      <wp:extent cx="2286000" cy="417195"/>
                      <wp:effectExtent l="0" t="0" r="0" b="1905"/>
                      <wp:wrapNone/>
                      <wp:docPr id="67" name="Text Box 67"/>
                      <wp:cNvGraphicFramePr/>
                      <a:graphic xmlns:a="http://schemas.openxmlformats.org/drawingml/2006/main">
                        <a:graphicData uri="http://schemas.microsoft.com/office/word/2010/wordprocessingShape">
                          <wps:wsp>
                            <wps:cNvSpPr txBox="1"/>
                            <wps:spPr>
                              <a:xfrm>
                                <a:off x="0" y="0"/>
                                <a:ext cx="2286000" cy="417195"/>
                              </a:xfrm>
                              <a:prstGeom prst="rect">
                                <a:avLst/>
                              </a:prstGeom>
                              <a:solidFill>
                                <a:sysClr val="window" lastClr="FFFFFF"/>
                              </a:solidFill>
                              <a:ln w="6350">
                                <a:noFill/>
                              </a:ln>
                            </wps:spPr>
                            <wps:txbx>
                              <w:txbxContent>
                                <w:p w14:paraId="6B951596" w14:textId="31D72489" w:rsidR="000F4139" w:rsidRPr="00E52AEA" w:rsidRDefault="00CD45AB" w:rsidP="000F4139">
                                  <w:pPr>
                                    <w:jc w:val="center"/>
                                    <w:rPr>
                                      <w:rFonts w:ascii="Times New Roman" w:hAnsi="Times New Roman" w:cs="Times New Roman"/>
                                      <w:i/>
                                      <w:iCs/>
                                      <w:sz w:val="20"/>
                                      <w:szCs w:val="20"/>
                                    </w:rPr>
                                  </w:pPr>
                                  <w:r>
                                    <w:rPr>
                                      <w:rFonts w:ascii="Times New Roman" w:hAnsi="Times New Roman" w:cs="Times New Roman"/>
                                      <w:i/>
                                      <w:iCs/>
                                      <w:sz w:val="20"/>
                                      <w:szCs w:val="20"/>
                                    </w:rPr>
                                    <w:t xml:space="preserve">Remittances </w:t>
                                  </w:r>
                                  <w:r w:rsidR="00D0563F">
                                    <w:rPr>
                                      <w:rFonts w:ascii="Times New Roman" w:hAnsi="Times New Roman" w:cs="Times New Roman"/>
                                      <w:i/>
                                      <w:iCs/>
                                      <w:sz w:val="20"/>
                                      <w:szCs w:val="20"/>
                                    </w:rPr>
                                    <w:t>continue to be</w:t>
                                  </w:r>
                                  <w:r w:rsidR="00853B85">
                                    <w:rPr>
                                      <w:rFonts w:ascii="Times New Roman" w:hAnsi="Times New Roman" w:cs="Times New Roman"/>
                                      <w:i/>
                                      <w:iCs/>
                                      <w:sz w:val="20"/>
                                      <w:szCs w:val="20"/>
                                    </w:rPr>
                                    <w:t xml:space="preserve"> an important source of foreign currency…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1AA3C" id="Text Box 67" o:spid="_x0000_s1036" type="#_x0000_t202" style="position:absolute;left:0;text-align:left;margin-left:32.75pt;margin-top:234.8pt;width:180pt;height:32.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" fillcolor="window" stroked="f" strokeweight=".5pt">
                      <v:textbox>
                        <w:txbxContent>
                          <w:p w14:paraId="6B951596" w14:textId="31D72489" w:rsidR="000F4139" w:rsidRPr="00E52AEA" w:rsidRDefault="00CD45AB" w:rsidP="000F4139">
                            <w:pPr>
                              <w:jc w:val="center"/>
                              <w:rPr>
                                <w:rFonts w:ascii="Times New Roman" w:hAnsi="Times New Roman" w:cs="Times New Roman"/>
                                <w:i/>
                                <w:iCs/>
                                <w:sz w:val="20"/>
                                <w:szCs w:val="20"/>
                              </w:rPr>
                            </w:pPr>
                            <w:r>
                              <w:rPr>
                                <w:rFonts w:ascii="Times New Roman" w:hAnsi="Times New Roman" w:cs="Times New Roman"/>
                                <w:i/>
                                <w:iCs/>
                                <w:sz w:val="20"/>
                                <w:szCs w:val="20"/>
                              </w:rPr>
                              <w:t xml:space="preserve">Remittances </w:t>
                            </w:r>
                            <w:r w:rsidR="00D0563F">
                              <w:rPr>
                                <w:rFonts w:ascii="Times New Roman" w:hAnsi="Times New Roman" w:cs="Times New Roman"/>
                                <w:i/>
                                <w:iCs/>
                                <w:sz w:val="20"/>
                                <w:szCs w:val="20"/>
                              </w:rPr>
                              <w:t>continue to be</w:t>
                            </w:r>
                            <w:r w:rsidR="00853B85">
                              <w:rPr>
                                <w:rFonts w:ascii="Times New Roman" w:hAnsi="Times New Roman" w:cs="Times New Roman"/>
                                <w:i/>
                                <w:iCs/>
                                <w:sz w:val="20"/>
                                <w:szCs w:val="20"/>
                              </w:rPr>
                              <w:t xml:space="preserve"> an important source of foreign currency…</w:t>
                            </w:r>
                          </w:p>
                        </w:txbxContent>
                      </v:textbox>
                    </v:shape>
                  </w:pict>
                </mc:Fallback>
              </mc:AlternateContent>
            </w:r>
            <w:r w:rsidR="009A268C"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663360" behindDoc="0" locked="0" layoutInCell="1" allowOverlap="1" wp14:anchorId="4C246796" wp14:editId="1E50287B">
                      <wp:simplePos x="0" y="0"/>
                      <wp:positionH relativeFrom="column">
                        <wp:posOffset>3358731</wp:posOffset>
                      </wp:positionH>
                      <wp:positionV relativeFrom="paragraph">
                        <wp:posOffset>3014494</wp:posOffset>
                      </wp:positionV>
                      <wp:extent cx="2286000" cy="425078"/>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286000" cy="425078"/>
                              </a:xfrm>
                              <a:prstGeom prst="rect">
                                <a:avLst/>
                              </a:prstGeom>
                              <a:solidFill>
                                <a:sysClr val="window" lastClr="FFFFFF"/>
                              </a:solidFill>
                              <a:ln w="6350">
                                <a:noFill/>
                              </a:ln>
                            </wps:spPr>
                            <wps:txbx>
                              <w:txbxContent>
                                <w:p w14:paraId="48D9EE3A" w14:textId="164D62E2" w:rsidR="000F4139" w:rsidRPr="00E52AEA" w:rsidRDefault="000F4139" w:rsidP="000F4139">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657A70">
                                    <w:rPr>
                                      <w:rFonts w:ascii="Times New Roman" w:hAnsi="Times New Roman" w:cs="Times New Roman"/>
                                      <w:i/>
                                      <w:iCs/>
                                      <w:sz w:val="20"/>
                                      <w:szCs w:val="20"/>
                                    </w:rPr>
                                    <w:t>supporting the country’s strong reserve position</w:t>
                                  </w:r>
                                  <w:r w:rsidR="00F1765F">
                                    <w:rPr>
                                      <w:rFonts w:ascii="Times New Roman" w:hAnsi="Times New Roman" w:cs="Times New Roman"/>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46796" id="Text Box 66" o:spid="_x0000_s1037" type="#_x0000_t202" style="position:absolute;left:0;text-align:left;margin-left:264.45pt;margin-top:237.35pt;width:180pt;height:3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" fillcolor="window" stroked="f" strokeweight=".5pt">
                      <v:textbox>
                        <w:txbxContent>
                          <w:p w14:paraId="48D9EE3A" w14:textId="164D62E2" w:rsidR="000F4139" w:rsidRPr="00E52AEA" w:rsidRDefault="000F4139" w:rsidP="000F4139">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657A70">
                              <w:rPr>
                                <w:rFonts w:ascii="Times New Roman" w:hAnsi="Times New Roman" w:cs="Times New Roman"/>
                                <w:i/>
                                <w:iCs/>
                                <w:sz w:val="20"/>
                                <w:szCs w:val="20"/>
                              </w:rPr>
                              <w:t>supporting the country’s strong reserve position</w:t>
                            </w:r>
                            <w:r w:rsidR="00F1765F">
                              <w:rPr>
                                <w:rFonts w:ascii="Times New Roman" w:hAnsi="Times New Roman" w:cs="Times New Roman"/>
                                <w:i/>
                                <w:iCs/>
                                <w:sz w:val="20"/>
                                <w:szCs w:val="20"/>
                              </w:rPr>
                              <w:t>.</w:t>
                            </w:r>
                          </w:p>
                        </w:txbxContent>
                      </v:textbox>
                    </v:shape>
                  </w:pict>
                </mc:Fallback>
              </mc:AlternateContent>
            </w:r>
          </w:p>
          <w:p w14:paraId="56EAE6A8" w14:textId="77777777" w:rsidR="00691635" w:rsidRDefault="00B11F36" w:rsidP="00691635">
            <w:pPr>
              <w:keepNext/>
              <w:spacing w:line="276" w:lineRule="auto"/>
              <w:rPr>
                <w:rFonts w:asciiTheme="majorBidi" w:hAnsiTheme="majorBidi" w:cstheme="majorBidi"/>
                <w:sz w:val="18"/>
                <w:szCs w:val="18"/>
              </w:rPr>
            </w:pPr>
            <w:r>
              <w:rPr>
                <w:noProof/>
              </w:rPr>
              <w:drawing>
                <wp:anchor distT="0" distB="0" distL="114300" distR="114300" simplePos="0" relativeHeight="251798528" behindDoc="0" locked="0" layoutInCell="1" allowOverlap="1" wp14:anchorId="28BA21D3" wp14:editId="3AA95E6F">
                  <wp:simplePos x="0" y="0"/>
                  <wp:positionH relativeFrom="column">
                    <wp:posOffset>3063173</wp:posOffset>
                  </wp:positionH>
                  <wp:positionV relativeFrom="paragraph">
                    <wp:posOffset>256554</wp:posOffset>
                  </wp:positionV>
                  <wp:extent cx="2792730" cy="2567940"/>
                  <wp:effectExtent l="0" t="0" r="7620" b="0"/>
                  <wp:wrapTopAndBottom/>
                  <wp:docPr id="92" name="Chart 92">
                    <a:extLst xmlns:a="http://schemas.openxmlformats.org/drawingml/2006/main">
                      <a:ext uri="{FF2B5EF4-FFF2-40B4-BE49-F238E27FC236}">
                        <a16:creationId xmlns:a16="http://schemas.microsoft.com/office/drawing/2014/main" id="{2C5485E6-556B-4F20-9C7C-93FD3A223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9120" behindDoc="0" locked="0" layoutInCell="1" allowOverlap="1" wp14:anchorId="1C853D70" wp14:editId="59A44B7A">
                  <wp:simplePos x="0" y="0"/>
                  <wp:positionH relativeFrom="column">
                    <wp:posOffset>-6985</wp:posOffset>
                  </wp:positionH>
                  <wp:positionV relativeFrom="paragraph">
                    <wp:posOffset>267970</wp:posOffset>
                  </wp:positionV>
                  <wp:extent cx="2927985" cy="2509520"/>
                  <wp:effectExtent l="0" t="0" r="5715" b="0"/>
                  <wp:wrapTopAndBottom/>
                  <wp:docPr id="2" name="Chart 2">
                    <a:extLst xmlns:a="http://schemas.openxmlformats.org/drawingml/2006/main">
                      <a:ext uri="{FF2B5EF4-FFF2-40B4-BE49-F238E27FC236}">
                        <a16:creationId xmlns:a16="http://schemas.microsoft.com/office/drawing/2014/main" id="{5BD9DC51-C151-4AE2-8603-314EB3525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2559D4">
              <w:rPr>
                <w:rFonts w:asciiTheme="majorBidi" w:hAnsiTheme="majorBidi" w:cstheme="majorBidi"/>
                <w:sz w:val="18"/>
                <w:szCs w:val="18"/>
              </w:rPr>
              <w:t xml:space="preserve">     </w:t>
            </w:r>
          </w:p>
          <w:p w14:paraId="23966867" w14:textId="332DAC41" w:rsidR="00691635" w:rsidRPr="00C87120" w:rsidRDefault="008B2EEF" w:rsidP="00691635">
            <w:pPr>
              <w:keepNext/>
              <w:spacing w:line="276" w:lineRule="auto"/>
              <w:rPr>
                <w:rFonts w:ascii="Times New Roman" w:hAnsi="Times New Roman" w:cs="Times New Roman"/>
                <w:sz w:val="18"/>
                <w:szCs w:val="18"/>
              </w:rPr>
            </w:pPr>
            <w:r>
              <w:rPr>
                <w:rFonts w:asciiTheme="majorBidi" w:hAnsiTheme="majorBidi" w:cstheme="majorBidi"/>
                <w:sz w:val="18"/>
                <w:szCs w:val="18"/>
              </w:rPr>
              <w:t xml:space="preserve">    </w:t>
            </w:r>
            <w:r w:rsidR="00691635" w:rsidRPr="00C87120">
              <w:rPr>
                <w:rFonts w:ascii="Times New Roman" w:hAnsi="Times New Roman" w:cs="Times New Roman"/>
                <w:sz w:val="18"/>
                <w:szCs w:val="18"/>
              </w:rPr>
              <w:t>Source: Author's calculations using authorities’ data.</w:t>
            </w:r>
          </w:p>
          <w:p w14:paraId="02F5F610" w14:textId="504FFBA7" w:rsidR="000F4139" w:rsidRDefault="000F4139" w:rsidP="00691635">
            <w:pPr>
              <w:keepNext/>
              <w:spacing w:line="276" w:lineRule="auto"/>
            </w:pPr>
          </w:p>
        </w:tc>
      </w:tr>
    </w:tbl>
    <w:p w14:paraId="7C6B30EA" w14:textId="16441DDE" w:rsidR="00C506E7" w:rsidRDefault="00C506E7" w:rsidP="00C506E7"/>
    <w:p w14:paraId="218C3C4F" w14:textId="5D49288B" w:rsidR="00C506E7" w:rsidRDefault="00C506E7" w:rsidP="00C506E7"/>
    <w:p w14:paraId="5AA53F8D" w14:textId="72A3C335" w:rsidR="00C459DE" w:rsidRDefault="00C459DE" w:rsidP="00C506E7"/>
    <w:tbl>
      <w:tblPr>
        <w:tblStyle w:val="TableGrid"/>
        <w:tblW w:w="0" w:type="auto"/>
        <w:tblLook w:val="04A0" w:firstRow="1" w:lastRow="0" w:firstColumn="1" w:lastColumn="0" w:noHBand="0" w:noVBand="1"/>
      </w:tblPr>
      <w:tblGrid>
        <w:gridCol w:w="9350"/>
      </w:tblGrid>
      <w:tr w:rsidR="00C459DE" w14:paraId="6FB5F9DD" w14:textId="77777777" w:rsidTr="0086677A">
        <w:tc>
          <w:tcPr>
            <w:tcW w:w="9350" w:type="dxa"/>
          </w:tcPr>
          <w:p w14:paraId="79617612" w14:textId="684D272F" w:rsidR="00C459DE" w:rsidRPr="00C87120" w:rsidRDefault="002E75AB" w:rsidP="00B87C41">
            <w:pPr>
              <w:pStyle w:val="Caption"/>
              <w:keepNext/>
              <w:jc w:val="center"/>
              <w:rPr>
                <w:rFonts w:ascii="Times New Roman" w:hAnsi="Times New Roman" w:cs="Times New Roman"/>
                <w:b/>
                <w:bCs/>
                <w:i w:val="0"/>
                <w:iCs w:val="0"/>
                <w:color w:val="2F5496" w:themeColor="accent1" w:themeShade="BF"/>
                <w:sz w:val="22"/>
                <w:szCs w:val="22"/>
              </w:rPr>
            </w:pPr>
            <w:bookmarkStart w:id="63" w:name="_Toc103950885"/>
            <w:r w:rsidRPr="00C87120">
              <w:rPr>
                <w:rFonts w:ascii="Times New Roman" w:hAnsi="Times New Roman" w:cs="Times New Roman"/>
                <w:b/>
                <w:bCs/>
                <w:noProof/>
                <w:color w:val="2F5496" w:themeColor="accent1" w:themeShade="BF"/>
                <w:sz w:val="22"/>
                <w:szCs w:val="22"/>
              </w:rPr>
              <w:lastRenderedPageBreak/>
              <mc:AlternateContent>
                <mc:Choice Requires="wps">
                  <w:drawing>
                    <wp:anchor distT="0" distB="0" distL="114300" distR="114300" simplePos="0" relativeHeight="251687936" behindDoc="0" locked="0" layoutInCell="1" allowOverlap="1" wp14:anchorId="1D6F2930" wp14:editId="576175F2">
                      <wp:simplePos x="0" y="0"/>
                      <wp:positionH relativeFrom="column">
                        <wp:posOffset>3152293</wp:posOffset>
                      </wp:positionH>
                      <wp:positionV relativeFrom="paragraph">
                        <wp:posOffset>188748</wp:posOffset>
                      </wp:positionV>
                      <wp:extent cx="2585085" cy="409707"/>
                      <wp:effectExtent l="0" t="0" r="5715" b="9525"/>
                      <wp:wrapNone/>
                      <wp:docPr id="73" name="Text Box 73"/>
                      <wp:cNvGraphicFramePr/>
                      <a:graphic xmlns:a="http://schemas.openxmlformats.org/drawingml/2006/main">
                        <a:graphicData uri="http://schemas.microsoft.com/office/word/2010/wordprocessingShape">
                          <wps:wsp>
                            <wps:cNvSpPr txBox="1"/>
                            <wps:spPr>
                              <a:xfrm>
                                <a:off x="0" y="0"/>
                                <a:ext cx="2585085" cy="409707"/>
                              </a:xfrm>
                              <a:prstGeom prst="rect">
                                <a:avLst/>
                              </a:prstGeom>
                              <a:solidFill>
                                <a:sysClr val="window" lastClr="FFFFFF"/>
                              </a:solidFill>
                              <a:ln w="6350">
                                <a:noFill/>
                              </a:ln>
                            </wps:spPr>
                            <wps:txbx>
                              <w:txbxContent>
                                <w:p w14:paraId="3726112E" w14:textId="75E1411D" w:rsidR="00C459DE" w:rsidRPr="00E52AEA" w:rsidRDefault="00C459DE" w:rsidP="00C459DE">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B94D66">
                                    <w:rPr>
                                      <w:rFonts w:ascii="Times New Roman" w:hAnsi="Times New Roman" w:cs="Times New Roman"/>
                                      <w:i/>
                                      <w:iCs/>
                                      <w:sz w:val="20"/>
                                      <w:szCs w:val="20"/>
                                    </w:rPr>
                                    <w:t>o</w:t>
                                  </w:r>
                                  <w:r w:rsidR="002E75AB">
                                    <w:rPr>
                                      <w:rFonts w:ascii="Times New Roman" w:hAnsi="Times New Roman" w:cs="Times New Roman"/>
                                      <w:i/>
                                      <w:iCs/>
                                      <w:sz w:val="20"/>
                                      <w:szCs w:val="20"/>
                                    </w:rPr>
                                    <w:t xml:space="preserve">wing </w:t>
                                  </w:r>
                                  <w:r w:rsidR="000659EF">
                                    <w:rPr>
                                      <w:rFonts w:ascii="Times New Roman" w:hAnsi="Times New Roman" w:cs="Times New Roman"/>
                                      <w:i/>
                                      <w:iCs/>
                                      <w:sz w:val="20"/>
                                      <w:szCs w:val="20"/>
                                    </w:rPr>
                                    <w:t xml:space="preserve">mainly </w:t>
                                  </w:r>
                                  <w:r w:rsidR="002E75AB">
                                    <w:rPr>
                                      <w:rFonts w:ascii="Times New Roman" w:hAnsi="Times New Roman" w:cs="Times New Roman"/>
                                      <w:i/>
                                      <w:iCs/>
                                      <w:sz w:val="20"/>
                                      <w:szCs w:val="20"/>
                                    </w:rPr>
                                    <w:t>to an increase in current expenditur</w:t>
                                  </w:r>
                                  <w:r w:rsidR="000B5F9B">
                                    <w:rPr>
                                      <w:rFonts w:ascii="Times New Roman" w:hAnsi="Times New Roman" w:cs="Times New Roman"/>
                                      <w:i/>
                                      <w:iCs/>
                                      <w:sz w:val="20"/>
                                      <w:szCs w:val="20"/>
                                    </w:rPr>
                                    <w:t>e…</w:t>
                                  </w:r>
                                  <w:r w:rsidR="002E75AB">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F2930" id="Text Box 73" o:spid="_x0000_s1038" type="#_x0000_t202" style="position:absolute;left:0;text-align:left;margin-left:248.2pt;margin-top:14.85pt;width:203.5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" fillcolor="window" stroked="f" strokeweight=".5pt">
                      <v:textbox>
                        <w:txbxContent>
                          <w:p w14:paraId="3726112E" w14:textId="75E1411D" w:rsidR="00C459DE" w:rsidRPr="00E52AEA" w:rsidRDefault="00C459DE" w:rsidP="00C459DE">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B94D66">
                              <w:rPr>
                                <w:rFonts w:ascii="Times New Roman" w:hAnsi="Times New Roman" w:cs="Times New Roman"/>
                                <w:i/>
                                <w:iCs/>
                                <w:sz w:val="20"/>
                                <w:szCs w:val="20"/>
                              </w:rPr>
                              <w:t>o</w:t>
                            </w:r>
                            <w:r w:rsidR="002E75AB">
                              <w:rPr>
                                <w:rFonts w:ascii="Times New Roman" w:hAnsi="Times New Roman" w:cs="Times New Roman"/>
                                <w:i/>
                                <w:iCs/>
                                <w:sz w:val="20"/>
                                <w:szCs w:val="20"/>
                              </w:rPr>
                              <w:t xml:space="preserve">wing </w:t>
                            </w:r>
                            <w:r w:rsidR="000659EF">
                              <w:rPr>
                                <w:rFonts w:ascii="Times New Roman" w:hAnsi="Times New Roman" w:cs="Times New Roman"/>
                                <w:i/>
                                <w:iCs/>
                                <w:sz w:val="20"/>
                                <w:szCs w:val="20"/>
                              </w:rPr>
                              <w:t xml:space="preserve">mainly </w:t>
                            </w:r>
                            <w:r w:rsidR="002E75AB">
                              <w:rPr>
                                <w:rFonts w:ascii="Times New Roman" w:hAnsi="Times New Roman" w:cs="Times New Roman"/>
                                <w:i/>
                                <w:iCs/>
                                <w:sz w:val="20"/>
                                <w:szCs w:val="20"/>
                              </w:rPr>
                              <w:t>to an increase in current expenditur</w:t>
                            </w:r>
                            <w:r w:rsidR="000B5F9B">
                              <w:rPr>
                                <w:rFonts w:ascii="Times New Roman" w:hAnsi="Times New Roman" w:cs="Times New Roman"/>
                                <w:i/>
                                <w:iCs/>
                                <w:sz w:val="20"/>
                                <w:szCs w:val="20"/>
                              </w:rPr>
                              <w:t>e…</w:t>
                            </w:r>
                            <w:r w:rsidR="002E75AB">
                              <w:rPr>
                                <w:rFonts w:ascii="Times New Roman" w:hAnsi="Times New Roman" w:cs="Times New Roman"/>
                                <w:i/>
                                <w:iCs/>
                                <w:sz w:val="20"/>
                                <w:szCs w:val="20"/>
                              </w:rPr>
                              <w:t xml:space="preserve"> </w:t>
                            </w:r>
                            <w:r>
                              <w:rPr>
                                <w:rFonts w:ascii="Times New Roman" w:hAnsi="Times New Roman" w:cs="Times New Roman"/>
                                <w:i/>
                                <w:iCs/>
                                <w:sz w:val="20"/>
                                <w:szCs w:val="20"/>
                              </w:rPr>
                              <w:t xml:space="preserve"> </w:t>
                            </w:r>
                          </w:p>
                        </w:txbxContent>
                      </v:textbox>
                    </v:shape>
                  </w:pict>
                </mc:Fallback>
              </mc:AlternateContent>
            </w:r>
            <w:r w:rsidR="00FD0397" w:rsidRPr="00C87120">
              <w:rPr>
                <w:rFonts w:ascii="Times New Roman" w:hAnsi="Times New Roman" w:cs="Times New Roman"/>
                <w:b/>
                <w:bCs/>
                <w:i w:val="0"/>
                <w:iCs w:val="0"/>
                <w:noProof/>
                <w:color w:val="2F5496" w:themeColor="accent1" w:themeShade="BF"/>
                <w:sz w:val="22"/>
                <w:szCs w:val="22"/>
              </w:rPr>
              <mc:AlternateContent>
                <mc:Choice Requires="wps">
                  <w:drawing>
                    <wp:anchor distT="0" distB="0" distL="114300" distR="114300" simplePos="0" relativeHeight="251675648" behindDoc="0" locked="0" layoutInCell="1" allowOverlap="1" wp14:anchorId="3A22B4FF" wp14:editId="33DDB620">
                      <wp:simplePos x="0" y="0"/>
                      <wp:positionH relativeFrom="column">
                        <wp:posOffset>180493</wp:posOffset>
                      </wp:positionH>
                      <wp:positionV relativeFrom="paragraph">
                        <wp:posOffset>172983</wp:posOffset>
                      </wp:positionV>
                      <wp:extent cx="2758703" cy="393941"/>
                      <wp:effectExtent l="0" t="0" r="3810" b="6350"/>
                      <wp:wrapNone/>
                      <wp:docPr id="72" name="Text Box 72"/>
                      <wp:cNvGraphicFramePr/>
                      <a:graphic xmlns:a="http://schemas.openxmlformats.org/drawingml/2006/main">
                        <a:graphicData uri="http://schemas.microsoft.com/office/word/2010/wordprocessingShape">
                          <wps:wsp>
                            <wps:cNvSpPr txBox="1"/>
                            <wps:spPr>
                              <a:xfrm>
                                <a:off x="0" y="0"/>
                                <a:ext cx="2758703" cy="393941"/>
                              </a:xfrm>
                              <a:prstGeom prst="rect">
                                <a:avLst/>
                              </a:prstGeom>
                              <a:solidFill>
                                <a:schemeClr val="lt1"/>
                              </a:solidFill>
                              <a:ln w="6350">
                                <a:noFill/>
                              </a:ln>
                            </wps:spPr>
                            <wps:txbx>
                              <w:txbxContent>
                                <w:p w14:paraId="62461F27" w14:textId="229B6BD1" w:rsidR="00C459DE" w:rsidRPr="00E52AEA" w:rsidRDefault="001548FA" w:rsidP="00C459DE">
                                  <w:pPr>
                                    <w:jc w:val="center"/>
                                    <w:rPr>
                                      <w:rFonts w:ascii="Times New Roman" w:hAnsi="Times New Roman" w:cs="Times New Roman"/>
                                      <w:i/>
                                      <w:iCs/>
                                      <w:sz w:val="20"/>
                                      <w:szCs w:val="20"/>
                                    </w:rPr>
                                  </w:pPr>
                                  <w:r>
                                    <w:rPr>
                                      <w:rFonts w:ascii="Times New Roman" w:hAnsi="Times New Roman" w:cs="Times New Roman"/>
                                      <w:i/>
                                      <w:iCs/>
                                      <w:sz w:val="20"/>
                                      <w:szCs w:val="20"/>
                                    </w:rPr>
                                    <w:t>F</w:t>
                                  </w:r>
                                  <w:r w:rsidR="00291F0F">
                                    <w:rPr>
                                      <w:rFonts w:ascii="Times New Roman" w:hAnsi="Times New Roman" w:cs="Times New Roman"/>
                                      <w:i/>
                                      <w:iCs/>
                                      <w:sz w:val="20"/>
                                      <w:szCs w:val="20"/>
                                    </w:rPr>
                                    <w:t>i</w:t>
                                  </w:r>
                                  <w:r w:rsidR="00EE7FBE">
                                    <w:rPr>
                                      <w:rFonts w:ascii="Times New Roman" w:hAnsi="Times New Roman" w:cs="Times New Roman"/>
                                      <w:i/>
                                      <w:iCs/>
                                      <w:sz w:val="20"/>
                                      <w:szCs w:val="20"/>
                                    </w:rPr>
                                    <w:t>scal perfo</w:t>
                                  </w:r>
                                  <w:r w:rsidR="00FD0397">
                                    <w:rPr>
                                      <w:rFonts w:ascii="Times New Roman" w:hAnsi="Times New Roman" w:cs="Times New Roman"/>
                                      <w:i/>
                                      <w:iCs/>
                                      <w:sz w:val="20"/>
                                      <w:szCs w:val="20"/>
                                    </w:rPr>
                                    <w:t>rmance remained depressed in 2021…</w:t>
                                  </w:r>
                                  <w:r w:rsidR="00291F0F">
                                    <w:rPr>
                                      <w:rFonts w:ascii="Times New Roman" w:hAnsi="Times New Roman" w:cs="Times New Roman"/>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B4FF" id="Text Box 72" o:spid="_x0000_s1039" type="#_x0000_t202" style="position:absolute;left:0;text-align:left;margin-left:14.2pt;margin-top:13.6pt;width:217.2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" fillcolor="white [3201]" stroked="f" strokeweight=".5pt">
                      <v:textbox>
                        <w:txbxContent>
                          <w:p w14:paraId="62461F27" w14:textId="229B6BD1" w:rsidR="00C459DE" w:rsidRPr="00E52AEA" w:rsidRDefault="001548FA" w:rsidP="00C459DE">
                            <w:pPr>
                              <w:jc w:val="center"/>
                              <w:rPr>
                                <w:rFonts w:ascii="Times New Roman" w:hAnsi="Times New Roman" w:cs="Times New Roman"/>
                                <w:i/>
                                <w:iCs/>
                                <w:sz w:val="20"/>
                                <w:szCs w:val="20"/>
                              </w:rPr>
                            </w:pPr>
                            <w:r>
                              <w:rPr>
                                <w:rFonts w:ascii="Times New Roman" w:hAnsi="Times New Roman" w:cs="Times New Roman"/>
                                <w:i/>
                                <w:iCs/>
                                <w:sz w:val="20"/>
                                <w:szCs w:val="20"/>
                              </w:rPr>
                              <w:t>F</w:t>
                            </w:r>
                            <w:r w:rsidR="00291F0F">
                              <w:rPr>
                                <w:rFonts w:ascii="Times New Roman" w:hAnsi="Times New Roman" w:cs="Times New Roman"/>
                                <w:i/>
                                <w:iCs/>
                                <w:sz w:val="20"/>
                                <w:szCs w:val="20"/>
                              </w:rPr>
                              <w:t>i</w:t>
                            </w:r>
                            <w:r w:rsidR="00EE7FBE">
                              <w:rPr>
                                <w:rFonts w:ascii="Times New Roman" w:hAnsi="Times New Roman" w:cs="Times New Roman"/>
                                <w:i/>
                                <w:iCs/>
                                <w:sz w:val="20"/>
                                <w:szCs w:val="20"/>
                              </w:rPr>
                              <w:t>scal perfo</w:t>
                            </w:r>
                            <w:r w:rsidR="00FD0397">
                              <w:rPr>
                                <w:rFonts w:ascii="Times New Roman" w:hAnsi="Times New Roman" w:cs="Times New Roman"/>
                                <w:i/>
                                <w:iCs/>
                                <w:sz w:val="20"/>
                                <w:szCs w:val="20"/>
                              </w:rPr>
                              <w:t>rmance remained depressed in 2021…</w:t>
                            </w:r>
                            <w:r w:rsidR="00291F0F">
                              <w:rPr>
                                <w:rFonts w:ascii="Times New Roman" w:hAnsi="Times New Roman" w:cs="Times New Roman"/>
                                <w:i/>
                                <w:iCs/>
                                <w:sz w:val="20"/>
                                <w:szCs w:val="20"/>
                              </w:rPr>
                              <w:t xml:space="preserve"> </w:t>
                            </w:r>
                          </w:p>
                        </w:txbxContent>
                      </v:textbox>
                    </v:shape>
                  </w:pict>
                </mc:Fallback>
              </mc:AlternateContent>
            </w:r>
            <w:r w:rsidR="00964BDE" w:rsidRPr="00C87120">
              <w:rPr>
                <w:rFonts w:ascii="Times New Roman" w:hAnsi="Times New Roman" w:cs="Times New Roman"/>
                <w:b/>
                <w:bCs/>
                <w:i w:val="0"/>
                <w:iCs w:val="0"/>
                <w:color w:val="2F5496" w:themeColor="accent1" w:themeShade="BF"/>
                <w:sz w:val="22"/>
                <w:szCs w:val="22"/>
              </w:rPr>
              <w:t xml:space="preserve">Figure </w:t>
            </w:r>
            <w:r w:rsidR="00964BDE" w:rsidRPr="00C87120">
              <w:rPr>
                <w:rFonts w:ascii="Times New Roman" w:hAnsi="Times New Roman" w:cs="Times New Roman"/>
                <w:b/>
                <w:bCs/>
                <w:i w:val="0"/>
                <w:iCs w:val="0"/>
                <w:color w:val="2F5496" w:themeColor="accent1" w:themeShade="BF"/>
                <w:sz w:val="22"/>
                <w:szCs w:val="22"/>
              </w:rPr>
              <w:fldChar w:fldCharType="begin"/>
            </w:r>
            <w:r w:rsidR="00964BDE" w:rsidRPr="00C87120">
              <w:rPr>
                <w:rFonts w:ascii="Times New Roman" w:hAnsi="Times New Roman" w:cs="Times New Roman"/>
                <w:b/>
                <w:bCs/>
                <w:i w:val="0"/>
                <w:iCs w:val="0"/>
                <w:color w:val="2F5496" w:themeColor="accent1" w:themeShade="BF"/>
                <w:sz w:val="22"/>
                <w:szCs w:val="22"/>
              </w:rPr>
              <w:instrText xml:space="preserve"> SEQ Figure \* ARABIC </w:instrText>
            </w:r>
            <w:r w:rsidR="00964BDE" w:rsidRPr="00C87120">
              <w:rPr>
                <w:rFonts w:ascii="Times New Roman" w:hAnsi="Times New Roman" w:cs="Times New Roman"/>
                <w:b/>
                <w:bCs/>
                <w:i w:val="0"/>
                <w:iCs w:val="0"/>
                <w:color w:val="2F5496" w:themeColor="accent1" w:themeShade="BF"/>
                <w:sz w:val="22"/>
                <w:szCs w:val="22"/>
              </w:rPr>
              <w:fldChar w:fldCharType="separate"/>
            </w:r>
            <w:r w:rsidR="00C73FE1" w:rsidRPr="00C87120">
              <w:rPr>
                <w:rFonts w:ascii="Times New Roman" w:hAnsi="Times New Roman" w:cs="Times New Roman"/>
                <w:b/>
                <w:bCs/>
                <w:i w:val="0"/>
                <w:iCs w:val="0"/>
                <w:noProof/>
                <w:color w:val="2F5496" w:themeColor="accent1" w:themeShade="BF"/>
                <w:sz w:val="22"/>
                <w:szCs w:val="22"/>
              </w:rPr>
              <w:t>11</w:t>
            </w:r>
            <w:r w:rsidR="00964BDE" w:rsidRPr="00C87120">
              <w:rPr>
                <w:rFonts w:ascii="Times New Roman" w:hAnsi="Times New Roman" w:cs="Times New Roman"/>
                <w:b/>
                <w:bCs/>
                <w:i w:val="0"/>
                <w:iCs w:val="0"/>
                <w:color w:val="2F5496" w:themeColor="accent1" w:themeShade="BF"/>
                <w:sz w:val="22"/>
                <w:szCs w:val="22"/>
              </w:rPr>
              <w:fldChar w:fldCharType="end"/>
            </w:r>
            <w:r w:rsidR="00964BDE" w:rsidRPr="00C87120">
              <w:rPr>
                <w:rFonts w:ascii="Times New Roman" w:hAnsi="Times New Roman" w:cs="Times New Roman"/>
                <w:b/>
                <w:bCs/>
                <w:i w:val="0"/>
                <w:iCs w:val="0"/>
                <w:color w:val="2F5496" w:themeColor="accent1" w:themeShade="BF"/>
                <w:sz w:val="22"/>
                <w:szCs w:val="22"/>
              </w:rPr>
              <w:t>: Fiscal Sector Developments</w:t>
            </w:r>
            <w:bookmarkEnd w:id="63"/>
          </w:p>
          <w:p w14:paraId="2AFB84C1" w14:textId="67E52A60" w:rsidR="00C459DE" w:rsidRPr="00E52AEA" w:rsidRDefault="005D3033" w:rsidP="00C459DE">
            <w:r>
              <w:rPr>
                <w:noProof/>
              </w:rPr>
              <w:drawing>
                <wp:anchor distT="0" distB="0" distL="114300" distR="114300" simplePos="0" relativeHeight="251810816" behindDoc="0" locked="0" layoutInCell="1" allowOverlap="1" wp14:anchorId="52E50BDA" wp14:editId="7301B1B2">
                  <wp:simplePos x="0" y="0"/>
                  <wp:positionH relativeFrom="column">
                    <wp:posOffset>-40640</wp:posOffset>
                  </wp:positionH>
                  <wp:positionV relativeFrom="paragraph">
                    <wp:posOffset>269875</wp:posOffset>
                  </wp:positionV>
                  <wp:extent cx="2979420" cy="2829560"/>
                  <wp:effectExtent l="0" t="0" r="0" b="0"/>
                  <wp:wrapTopAndBottom/>
                  <wp:docPr id="93" name="Chart 93">
                    <a:extLst xmlns:a="http://schemas.openxmlformats.org/drawingml/2006/main">
                      <a:ext uri="{FF2B5EF4-FFF2-40B4-BE49-F238E27FC236}">
                        <a16:creationId xmlns:a16="http://schemas.microsoft.com/office/drawing/2014/main" id="{62AC6286-E264-47A3-8F02-D1DCE72E2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0B5F9B">
              <w:rPr>
                <w:noProof/>
              </w:rPr>
              <w:drawing>
                <wp:anchor distT="0" distB="0" distL="114300" distR="114300" simplePos="0" relativeHeight="251823104" behindDoc="0" locked="0" layoutInCell="1" allowOverlap="1" wp14:anchorId="05E05A9A" wp14:editId="0917EC77">
                  <wp:simplePos x="0" y="0"/>
                  <wp:positionH relativeFrom="column">
                    <wp:posOffset>2939415</wp:posOffset>
                  </wp:positionH>
                  <wp:positionV relativeFrom="paragraph">
                    <wp:posOffset>271780</wp:posOffset>
                  </wp:positionV>
                  <wp:extent cx="2924175" cy="2829560"/>
                  <wp:effectExtent l="0" t="0" r="0" b="0"/>
                  <wp:wrapTopAndBottom/>
                  <wp:docPr id="95" name="Chart 95">
                    <a:extLst xmlns:a="http://schemas.openxmlformats.org/drawingml/2006/main">
                      <a:ext uri="{FF2B5EF4-FFF2-40B4-BE49-F238E27FC236}">
                        <a16:creationId xmlns:a16="http://schemas.microsoft.com/office/drawing/2014/main" id="{E47DDDFE-05D0-44FE-BAA6-0FCC61BB5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C459DE">
              <w:t xml:space="preserve">          </w:t>
            </w:r>
          </w:p>
          <w:p w14:paraId="0E20AF77" w14:textId="24934B4E" w:rsidR="00C459DE" w:rsidRPr="00E52AEA" w:rsidRDefault="00C459DE" w:rsidP="00C459DE">
            <w:pPr>
              <w:rPr>
                <w:rFonts w:ascii="Times New Roman" w:hAnsi="Times New Roman" w:cs="Times New Roman"/>
                <w:sz w:val="18"/>
                <w:szCs w:val="18"/>
              </w:rPr>
            </w:pPr>
          </w:p>
          <w:p w14:paraId="16F8296C" w14:textId="19EC8F38" w:rsidR="00C459DE" w:rsidRDefault="009A268C" w:rsidP="00C459DE">
            <w:pPr>
              <w:keepNext/>
              <w:spacing w:line="276" w:lineRule="auto"/>
              <w:rPr>
                <w:rFonts w:asciiTheme="majorBidi" w:hAnsiTheme="majorBidi" w:cstheme="majorBidi"/>
              </w:rPr>
            </w:pPr>
            <w:r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712512" behindDoc="0" locked="0" layoutInCell="1" allowOverlap="1" wp14:anchorId="1B75C51A" wp14:editId="054B705E">
                      <wp:simplePos x="0" y="0"/>
                      <wp:positionH relativeFrom="column">
                        <wp:posOffset>3264710</wp:posOffset>
                      </wp:positionH>
                      <wp:positionV relativeFrom="paragraph">
                        <wp:posOffset>174598</wp:posOffset>
                      </wp:positionV>
                      <wp:extent cx="2328672" cy="353568"/>
                      <wp:effectExtent l="0" t="0" r="0" b="8890"/>
                      <wp:wrapNone/>
                      <wp:docPr id="74" name="Text Box 74"/>
                      <wp:cNvGraphicFramePr/>
                      <a:graphic xmlns:a="http://schemas.openxmlformats.org/drawingml/2006/main">
                        <a:graphicData uri="http://schemas.microsoft.com/office/word/2010/wordprocessingShape">
                          <wps:wsp>
                            <wps:cNvSpPr txBox="1"/>
                            <wps:spPr>
                              <a:xfrm>
                                <a:off x="0" y="0"/>
                                <a:ext cx="2328672" cy="353568"/>
                              </a:xfrm>
                              <a:prstGeom prst="rect">
                                <a:avLst/>
                              </a:prstGeom>
                              <a:solidFill>
                                <a:sysClr val="window" lastClr="FFFFFF"/>
                              </a:solidFill>
                              <a:ln w="6350">
                                <a:noFill/>
                              </a:ln>
                            </wps:spPr>
                            <wps:txbx>
                              <w:txbxContent>
                                <w:p w14:paraId="4A6DEEC6" w14:textId="639F39C0" w:rsidR="00C459DE" w:rsidRPr="00E52AEA" w:rsidRDefault="00536299" w:rsidP="00B87C41">
                                  <w:pPr>
                                    <w:rPr>
                                      <w:rFonts w:ascii="Times New Roman" w:hAnsi="Times New Roman" w:cs="Times New Roman"/>
                                      <w:i/>
                                      <w:iCs/>
                                      <w:sz w:val="20"/>
                                      <w:szCs w:val="20"/>
                                    </w:rPr>
                                  </w:pPr>
                                  <w:r>
                                    <w:rPr>
                                      <w:rFonts w:ascii="Times New Roman" w:hAnsi="Times New Roman" w:cs="Times New Roman"/>
                                      <w:i/>
                                      <w:iCs/>
                                      <w:sz w:val="20"/>
                                      <w:szCs w:val="20"/>
                                    </w:rPr>
                                    <w:t>Fi</w:t>
                                  </w:r>
                                  <w:r w:rsidR="005E6D70">
                                    <w:rPr>
                                      <w:rFonts w:ascii="Times New Roman" w:hAnsi="Times New Roman" w:cs="Times New Roman"/>
                                      <w:i/>
                                      <w:iCs/>
                                      <w:sz w:val="20"/>
                                      <w:szCs w:val="20"/>
                                    </w:rPr>
                                    <w:t xml:space="preserve">scal revenue </w:t>
                                  </w:r>
                                  <w:r w:rsidR="00F15D3F" w:rsidRPr="00F15D3F">
                                    <w:rPr>
                                      <w:rFonts w:ascii="Times New Roman" w:hAnsi="Times New Roman" w:cs="Times New Roman"/>
                                      <w:i/>
                                      <w:iCs/>
                                      <w:sz w:val="20"/>
                                      <w:szCs w:val="20"/>
                                    </w:rPr>
                                    <w:t>slight</w:t>
                                  </w:r>
                                  <w:r w:rsidR="00F34EE7">
                                    <w:rPr>
                                      <w:rFonts w:ascii="Times New Roman" w:hAnsi="Times New Roman" w:cs="Times New Roman"/>
                                      <w:i/>
                                      <w:iCs/>
                                      <w:sz w:val="20"/>
                                      <w:szCs w:val="20"/>
                                    </w:rPr>
                                    <w:t>ly</w:t>
                                  </w:r>
                                  <w:r w:rsidR="00F15D3F" w:rsidRPr="00F15D3F">
                                    <w:rPr>
                                      <w:rFonts w:ascii="Times New Roman" w:hAnsi="Times New Roman" w:cs="Times New Roman"/>
                                      <w:i/>
                                      <w:iCs/>
                                      <w:sz w:val="20"/>
                                      <w:szCs w:val="20"/>
                                    </w:rPr>
                                    <w:t xml:space="preserve"> increase</w:t>
                                  </w:r>
                                  <w:r w:rsidR="005E6D70">
                                    <w:rPr>
                                      <w:rFonts w:ascii="Times New Roman" w:hAnsi="Times New Roman" w:cs="Times New Roman"/>
                                      <w:i/>
                                      <w:iCs/>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C51A" id="Text Box 74" o:spid="_x0000_s1040" type="#_x0000_t202" style="position:absolute;margin-left:257.05pt;margin-top:13.75pt;width:183.3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" fillcolor="window" stroked="f" strokeweight=".5pt">
                      <v:textbox>
                        <w:txbxContent>
                          <w:p w14:paraId="4A6DEEC6" w14:textId="639F39C0" w:rsidR="00C459DE" w:rsidRPr="00E52AEA" w:rsidRDefault="00536299" w:rsidP="00B87C41">
                            <w:pPr>
                              <w:rPr>
                                <w:rFonts w:ascii="Times New Roman" w:hAnsi="Times New Roman" w:cs="Times New Roman"/>
                                <w:i/>
                                <w:iCs/>
                                <w:sz w:val="20"/>
                                <w:szCs w:val="20"/>
                              </w:rPr>
                            </w:pPr>
                            <w:r>
                              <w:rPr>
                                <w:rFonts w:ascii="Times New Roman" w:hAnsi="Times New Roman" w:cs="Times New Roman"/>
                                <w:i/>
                                <w:iCs/>
                                <w:sz w:val="20"/>
                                <w:szCs w:val="20"/>
                              </w:rPr>
                              <w:t>Fi</w:t>
                            </w:r>
                            <w:r w:rsidR="005E6D70">
                              <w:rPr>
                                <w:rFonts w:ascii="Times New Roman" w:hAnsi="Times New Roman" w:cs="Times New Roman"/>
                                <w:i/>
                                <w:iCs/>
                                <w:sz w:val="20"/>
                                <w:szCs w:val="20"/>
                              </w:rPr>
                              <w:t xml:space="preserve">scal revenue </w:t>
                            </w:r>
                            <w:r w:rsidR="00F15D3F" w:rsidRPr="00F15D3F">
                              <w:rPr>
                                <w:rFonts w:ascii="Times New Roman" w:hAnsi="Times New Roman" w:cs="Times New Roman"/>
                                <w:i/>
                                <w:iCs/>
                                <w:sz w:val="20"/>
                                <w:szCs w:val="20"/>
                              </w:rPr>
                              <w:t>slight</w:t>
                            </w:r>
                            <w:r w:rsidR="00F34EE7">
                              <w:rPr>
                                <w:rFonts w:ascii="Times New Roman" w:hAnsi="Times New Roman" w:cs="Times New Roman"/>
                                <w:i/>
                                <w:iCs/>
                                <w:sz w:val="20"/>
                                <w:szCs w:val="20"/>
                              </w:rPr>
                              <w:t>ly</w:t>
                            </w:r>
                            <w:r w:rsidR="00F15D3F" w:rsidRPr="00F15D3F">
                              <w:rPr>
                                <w:rFonts w:ascii="Times New Roman" w:hAnsi="Times New Roman" w:cs="Times New Roman"/>
                                <w:i/>
                                <w:iCs/>
                                <w:sz w:val="20"/>
                                <w:szCs w:val="20"/>
                              </w:rPr>
                              <w:t xml:space="preserve"> increase</w:t>
                            </w:r>
                            <w:r w:rsidR="005E6D70">
                              <w:rPr>
                                <w:rFonts w:ascii="Times New Roman" w:hAnsi="Times New Roman" w:cs="Times New Roman"/>
                                <w:i/>
                                <w:iCs/>
                                <w:sz w:val="20"/>
                                <w:szCs w:val="20"/>
                              </w:rPr>
                              <w:t>d.</w:t>
                            </w:r>
                          </w:p>
                        </w:txbxContent>
                      </v:textbox>
                    </v:shape>
                  </w:pict>
                </mc:Fallback>
              </mc:AlternateContent>
            </w:r>
            <w:r w:rsidR="00173ECC"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700224" behindDoc="0" locked="0" layoutInCell="1" allowOverlap="1" wp14:anchorId="62EC9D33" wp14:editId="21395079">
                      <wp:simplePos x="0" y="0"/>
                      <wp:positionH relativeFrom="column">
                        <wp:posOffset>196260</wp:posOffset>
                      </wp:positionH>
                      <wp:positionV relativeFrom="paragraph">
                        <wp:posOffset>133963</wp:posOffset>
                      </wp:positionV>
                      <wp:extent cx="2680138" cy="402021"/>
                      <wp:effectExtent l="0" t="0" r="6350" b="0"/>
                      <wp:wrapNone/>
                      <wp:docPr id="75" name="Text Box 75"/>
                      <wp:cNvGraphicFramePr/>
                      <a:graphic xmlns:a="http://schemas.openxmlformats.org/drawingml/2006/main">
                        <a:graphicData uri="http://schemas.microsoft.com/office/word/2010/wordprocessingShape">
                          <wps:wsp>
                            <wps:cNvSpPr txBox="1"/>
                            <wps:spPr>
                              <a:xfrm>
                                <a:off x="0" y="0"/>
                                <a:ext cx="2680138" cy="402021"/>
                              </a:xfrm>
                              <a:prstGeom prst="rect">
                                <a:avLst/>
                              </a:prstGeom>
                              <a:solidFill>
                                <a:sysClr val="window" lastClr="FFFFFF"/>
                              </a:solidFill>
                              <a:ln w="6350">
                                <a:noFill/>
                              </a:ln>
                            </wps:spPr>
                            <wps:txbx>
                              <w:txbxContent>
                                <w:p w14:paraId="766DEC55" w14:textId="3F83FB2E" w:rsidR="00C459DE" w:rsidRPr="00E52AEA" w:rsidRDefault="00C459DE" w:rsidP="00C459DE">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BC09CF">
                                    <w:rPr>
                                      <w:rFonts w:ascii="Times New Roman" w:hAnsi="Times New Roman" w:cs="Times New Roman"/>
                                      <w:i/>
                                      <w:iCs/>
                                      <w:sz w:val="20"/>
                                      <w:szCs w:val="20"/>
                                    </w:rPr>
                                    <w:t>Wage bill and current transfers</w:t>
                                  </w:r>
                                  <w:r w:rsidR="009C10AD">
                                    <w:rPr>
                                      <w:rFonts w:ascii="Times New Roman" w:hAnsi="Times New Roman" w:cs="Times New Roman"/>
                                      <w:i/>
                                      <w:iCs/>
                                      <w:sz w:val="20"/>
                                      <w:szCs w:val="20"/>
                                    </w:rPr>
                                    <w:t xml:space="preserve"> continue to be</w:t>
                                  </w:r>
                                  <w:r w:rsidR="00B17B8F">
                                    <w:rPr>
                                      <w:rFonts w:ascii="Times New Roman" w:hAnsi="Times New Roman" w:cs="Times New Roman"/>
                                      <w:i/>
                                      <w:iCs/>
                                      <w:sz w:val="20"/>
                                      <w:szCs w:val="20"/>
                                    </w:rPr>
                                    <w:t xml:space="preserve"> the largest components.</w:t>
                                  </w:r>
                                  <w:r w:rsidR="00BC09CF">
                                    <w:rPr>
                                      <w:rFonts w:ascii="Times New Roman" w:hAnsi="Times New Roman" w:cs="Times New Roman"/>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9D33" id="Text Box 75" o:spid="_x0000_s1041" type="#_x0000_t202" style="position:absolute;margin-left:15.45pt;margin-top:10.55pt;width:211.05pt;height:3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" fillcolor="window" stroked="f" strokeweight=".5pt">
                      <v:textbox>
                        <w:txbxContent>
                          <w:p w14:paraId="766DEC55" w14:textId="3F83FB2E" w:rsidR="00C459DE" w:rsidRPr="00E52AEA" w:rsidRDefault="00C459DE" w:rsidP="00C459DE">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BC09CF">
                              <w:rPr>
                                <w:rFonts w:ascii="Times New Roman" w:hAnsi="Times New Roman" w:cs="Times New Roman"/>
                                <w:i/>
                                <w:iCs/>
                                <w:sz w:val="20"/>
                                <w:szCs w:val="20"/>
                              </w:rPr>
                              <w:t>Wage bill and current transfers</w:t>
                            </w:r>
                            <w:r w:rsidR="009C10AD">
                              <w:rPr>
                                <w:rFonts w:ascii="Times New Roman" w:hAnsi="Times New Roman" w:cs="Times New Roman"/>
                                <w:i/>
                                <w:iCs/>
                                <w:sz w:val="20"/>
                                <w:szCs w:val="20"/>
                              </w:rPr>
                              <w:t xml:space="preserve"> continue to be</w:t>
                            </w:r>
                            <w:r w:rsidR="00B17B8F">
                              <w:rPr>
                                <w:rFonts w:ascii="Times New Roman" w:hAnsi="Times New Roman" w:cs="Times New Roman"/>
                                <w:i/>
                                <w:iCs/>
                                <w:sz w:val="20"/>
                                <w:szCs w:val="20"/>
                              </w:rPr>
                              <w:t xml:space="preserve"> the largest components.</w:t>
                            </w:r>
                            <w:r w:rsidR="00BC09CF">
                              <w:rPr>
                                <w:rFonts w:ascii="Times New Roman" w:hAnsi="Times New Roman" w:cs="Times New Roman"/>
                                <w:i/>
                                <w:iCs/>
                                <w:sz w:val="20"/>
                                <w:szCs w:val="20"/>
                              </w:rPr>
                              <w:t xml:space="preserve"> </w:t>
                            </w:r>
                          </w:p>
                        </w:txbxContent>
                      </v:textbox>
                    </v:shape>
                  </w:pict>
                </mc:Fallback>
              </mc:AlternateContent>
            </w:r>
          </w:p>
          <w:p w14:paraId="4959C8C2" w14:textId="6C01BE40" w:rsidR="00C459DE" w:rsidRDefault="00C459DE" w:rsidP="00C459DE">
            <w:pPr>
              <w:keepNext/>
              <w:spacing w:line="276" w:lineRule="auto"/>
              <w:rPr>
                <w:rFonts w:asciiTheme="majorBidi" w:hAnsiTheme="majorBidi" w:cstheme="majorBidi"/>
              </w:rPr>
            </w:pPr>
          </w:p>
          <w:p w14:paraId="02BE5151" w14:textId="7A788E53" w:rsidR="00E703AA" w:rsidRDefault="00D00FFD" w:rsidP="00E703AA">
            <w:pPr>
              <w:keepNext/>
              <w:spacing w:line="276" w:lineRule="auto"/>
              <w:rPr>
                <w:rFonts w:asciiTheme="majorBidi" w:hAnsiTheme="majorBidi" w:cstheme="majorBidi"/>
                <w:sz w:val="18"/>
                <w:szCs w:val="18"/>
              </w:rPr>
            </w:pPr>
            <w:r>
              <w:rPr>
                <w:noProof/>
              </w:rPr>
              <w:drawing>
                <wp:anchor distT="0" distB="0" distL="114300" distR="114300" simplePos="0" relativeHeight="251896832" behindDoc="0" locked="0" layoutInCell="1" allowOverlap="1" wp14:anchorId="419B7977" wp14:editId="7374031C">
                  <wp:simplePos x="0" y="0"/>
                  <wp:positionH relativeFrom="column">
                    <wp:posOffset>2820670</wp:posOffset>
                  </wp:positionH>
                  <wp:positionV relativeFrom="paragraph">
                    <wp:posOffset>219710</wp:posOffset>
                  </wp:positionV>
                  <wp:extent cx="3024505" cy="2900045"/>
                  <wp:effectExtent l="0" t="0" r="4445" b="0"/>
                  <wp:wrapTopAndBottom/>
                  <wp:docPr id="94" name="Chart 94">
                    <a:extLst xmlns:a="http://schemas.openxmlformats.org/drawingml/2006/main">
                      <a:ext uri="{FF2B5EF4-FFF2-40B4-BE49-F238E27FC236}">
                        <a16:creationId xmlns:a16="http://schemas.microsoft.com/office/drawing/2014/main" id="{3F5FBCA3-59F1-4B35-ABF8-1D152E89B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F15D3F">
              <w:rPr>
                <w:noProof/>
              </w:rPr>
              <w:drawing>
                <wp:anchor distT="0" distB="0" distL="114300" distR="114300" simplePos="0" relativeHeight="251835392" behindDoc="0" locked="0" layoutInCell="1" allowOverlap="1" wp14:anchorId="4D3579A3" wp14:editId="650DD23B">
                  <wp:simplePos x="0" y="0"/>
                  <wp:positionH relativeFrom="column">
                    <wp:posOffset>-33020</wp:posOffset>
                  </wp:positionH>
                  <wp:positionV relativeFrom="paragraph">
                    <wp:posOffset>221615</wp:posOffset>
                  </wp:positionV>
                  <wp:extent cx="2908300" cy="2916555"/>
                  <wp:effectExtent l="0" t="0" r="6350" b="0"/>
                  <wp:wrapTopAndBottom/>
                  <wp:docPr id="96" name="Chart 96">
                    <a:extLst xmlns:a="http://schemas.openxmlformats.org/drawingml/2006/main">
                      <a:ext uri="{FF2B5EF4-FFF2-40B4-BE49-F238E27FC236}">
                        <a16:creationId xmlns:a16="http://schemas.microsoft.com/office/drawing/2014/main" id="{B9BB36DC-E436-4638-9569-E24205071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3B394F82" w14:textId="63F51BAE" w:rsidR="00E703AA" w:rsidRPr="00C87120" w:rsidRDefault="00E703AA" w:rsidP="00E703AA">
            <w:pPr>
              <w:keepNext/>
              <w:spacing w:line="276" w:lineRule="auto"/>
              <w:rPr>
                <w:rFonts w:ascii="Times New Roman" w:hAnsi="Times New Roman" w:cs="Times New Roman"/>
                <w:sz w:val="18"/>
                <w:szCs w:val="18"/>
              </w:rPr>
            </w:pPr>
            <w:r w:rsidRPr="00C87120">
              <w:rPr>
                <w:rFonts w:ascii="Times New Roman" w:hAnsi="Times New Roman" w:cs="Times New Roman"/>
                <w:sz w:val="18"/>
                <w:szCs w:val="18"/>
              </w:rPr>
              <w:t xml:space="preserve">      Source: Author's calculations using authorities’ data.</w:t>
            </w:r>
          </w:p>
          <w:p w14:paraId="7FDA2B24" w14:textId="77777777" w:rsidR="00C459DE" w:rsidRDefault="00C459DE" w:rsidP="00B87C41">
            <w:pPr>
              <w:keepNext/>
            </w:pPr>
          </w:p>
        </w:tc>
      </w:tr>
    </w:tbl>
    <w:p w14:paraId="27C24EE2" w14:textId="7E452EB8" w:rsidR="00C459DE" w:rsidRDefault="00C459DE" w:rsidP="00C506E7"/>
    <w:tbl>
      <w:tblPr>
        <w:tblStyle w:val="TableGrid"/>
        <w:tblW w:w="0" w:type="auto"/>
        <w:tblLook w:val="04A0" w:firstRow="1" w:lastRow="0" w:firstColumn="1" w:lastColumn="0" w:noHBand="0" w:noVBand="1"/>
      </w:tblPr>
      <w:tblGrid>
        <w:gridCol w:w="9350"/>
      </w:tblGrid>
      <w:tr w:rsidR="00C459DE" w14:paraId="2F28182F" w14:textId="77777777" w:rsidTr="002A755C">
        <w:tc>
          <w:tcPr>
            <w:tcW w:w="9350" w:type="dxa"/>
          </w:tcPr>
          <w:p w14:paraId="4394517A" w14:textId="41470995" w:rsidR="00D143A1" w:rsidRPr="00C87120" w:rsidRDefault="00105B4C" w:rsidP="00B87C41">
            <w:pPr>
              <w:pStyle w:val="Caption"/>
              <w:keepNext/>
              <w:jc w:val="center"/>
              <w:rPr>
                <w:rFonts w:ascii="Times New Roman" w:hAnsi="Times New Roman" w:cs="Times New Roman"/>
                <w:b/>
                <w:bCs/>
                <w:i w:val="0"/>
                <w:iCs w:val="0"/>
                <w:color w:val="2F5496" w:themeColor="accent1" w:themeShade="BF"/>
                <w:sz w:val="22"/>
                <w:szCs w:val="22"/>
              </w:rPr>
            </w:pPr>
            <w:bookmarkStart w:id="64" w:name="_Toc103950886"/>
            <w:r w:rsidRPr="00C87120">
              <w:rPr>
                <w:rFonts w:ascii="Times New Roman" w:hAnsi="Times New Roman" w:cs="Times New Roman"/>
                <w:b/>
                <w:bCs/>
                <w:i w:val="0"/>
                <w:iCs w:val="0"/>
                <w:noProof/>
                <w:color w:val="2F5496" w:themeColor="accent1" w:themeShade="BF"/>
                <w:sz w:val="22"/>
                <w:szCs w:val="22"/>
              </w:rPr>
              <w:lastRenderedPageBreak/>
              <mc:AlternateContent>
                <mc:Choice Requires="wps">
                  <w:drawing>
                    <wp:anchor distT="0" distB="0" distL="114300" distR="114300" simplePos="0" relativeHeight="251724800" behindDoc="0" locked="0" layoutInCell="1" allowOverlap="1" wp14:anchorId="38815989" wp14:editId="3B82EB2B">
                      <wp:simplePos x="0" y="0"/>
                      <wp:positionH relativeFrom="column">
                        <wp:posOffset>440624</wp:posOffset>
                      </wp:positionH>
                      <wp:positionV relativeFrom="paragraph">
                        <wp:posOffset>277429</wp:posOffset>
                      </wp:positionV>
                      <wp:extent cx="2506499" cy="369592"/>
                      <wp:effectExtent l="0" t="0" r="8255" b="0"/>
                      <wp:wrapNone/>
                      <wp:docPr id="80" name="Text Box 80"/>
                      <wp:cNvGraphicFramePr/>
                      <a:graphic xmlns:a="http://schemas.openxmlformats.org/drawingml/2006/main">
                        <a:graphicData uri="http://schemas.microsoft.com/office/word/2010/wordprocessingShape">
                          <wps:wsp>
                            <wps:cNvSpPr txBox="1"/>
                            <wps:spPr>
                              <a:xfrm>
                                <a:off x="0" y="0"/>
                                <a:ext cx="2506499" cy="369592"/>
                              </a:xfrm>
                              <a:prstGeom prst="rect">
                                <a:avLst/>
                              </a:prstGeom>
                              <a:solidFill>
                                <a:schemeClr val="lt1"/>
                              </a:solidFill>
                              <a:ln w="6350">
                                <a:noFill/>
                              </a:ln>
                            </wps:spPr>
                            <wps:txbx>
                              <w:txbxContent>
                                <w:p w14:paraId="00B80995" w14:textId="5346F7F6" w:rsidR="00D143A1" w:rsidRPr="00E52AEA" w:rsidRDefault="00D143A1" w:rsidP="00B87C41">
                                  <w:pPr>
                                    <w:rPr>
                                      <w:rFonts w:ascii="Times New Roman" w:hAnsi="Times New Roman" w:cs="Times New Roman"/>
                                      <w:i/>
                                      <w:iCs/>
                                      <w:sz w:val="20"/>
                                      <w:szCs w:val="20"/>
                                    </w:rPr>
                                  </w:pPr>
                                  <w:r w:rsidRPr="00E52AEA">
                                    <w:rPr>
                                      <w:rFonts w:ascii="Times New Roman" w:hAnsi="Times New Roman" w:cs="Times New Roman"/>
                                      <w:i/>
                                      <w:iCs/>
                                      <w:sz w:val="20"/>
                                      <w:szCs w:val="20"/>
                                    </w:rPr>
                                    <w:t xml:space="preserve">The </w:t>
                                  </w:r>
                                  <w:r w:rsidR="00DB6EAC">
                                    <w:rPr>
                                      <w:rFonts w:ascii="Times New Roman" w:hAnsi="Times New Roman" w:cs="Times New Roman"/>
                                      <w:i/>
                                      <w:iCs/>
                                      <w:sz w:val="20"/>
                                      <w:szCs w:val="20"/>
                                    </w:rPr>
                                    <w:t>financial</w:t>
                                  </w:r>
                                  <w:r w:rsidR="00985AC0">
                                    <w:rPr>
                                      <w:rFonts w:ascii="Times New Roman" w:hAnsi="Times New Roman" w:cs="Times New Roman"/>
                                      <w:i/>
                                      <w:iCs/>
                                      <w:sz w:val="20"/>
                                      <w:szCs w:val="20"/>
                                    </w:rPr>
                                    <w:t xml:space="preserve"> system remained resilient</w:t>
                                  </w:r>
                                  <w:r w:rsidR="007F62AD">
                                    <w:rPr>
                                      <w:rFonts w:ascii="Times New Roman" w:hAnsi="Times New Roman" w:cs="Times New Roman"/>
                                      <w:i/>
                                      <w:iCs/>
                                      <w:sz w:val="20"/>
                                      <w:szCs w:val="20"/>
                                    </w:rPr>
                                    <w:t>.</w:t>
                                  </w:r>
                                  <w:r w:rsidRPr="00E52AEA">
                                    <w:rPr>
                                      <w:rFonts w:ascii="Times New Roman" w:hAnsi="Times New Roman" w:cs="Times New Roman"/>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5989" id="Text Box 80" o:spid="_x0000_s1042" type="#_x0000_t202" style="position:absolute;left:0;text-align:left;margin-left:34.7pt;margin-top:21.85pt;width:197.35pt;height:29.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" fillcolor="white [3201]" stroked="f" strokeweight=".5pt">
                      <v:textbox>
                        <w:txbxContent>
                          <w:p w14:paraId="00B80995" w14:textId="5346F7F6" w:rsidR="00D143A1" w:rsidRPr="00E52AEA" w:rsidRDefault="00D143A1" w:rsidP="00B87C41">
                            <w:pPr>
                              <w:rPr>
                                <w:rFonts w:ascii="Times New Roman" w:hAnsi="Times New Roman" w:cs="Times New Roman"/>
                                <w:i/>
                                <w:iCs/>
                                <w:sz w:val="20"/>
                                <w:szCs w:val="20"/>
                              </w:rPr>
                            </w:pPr>
                            <w:r w:rsidRPr="00E52AEA">
                              <w:rPr>
                                <w:rFonts w:ascii="Times New Roman" w:hAnsi="Times New Roman" w:cs="Times New Roman"/>
                                <w:i/>
                                <w:iCs/>
                                <w:sz w:val="20"/>
                                <w:szCs w:val="20"/>
                              </w:rPr>
                              <w:t xml:space="preserve">The </w:t>
                            </w:r>
                            <w:r w:rsidR="00DB6EAC">
                              <w:rPr>
                                <w:rFonts w:ascii="Times New Roman" w:hAnsi="Times New Roman" w:cs="Times New Roman"/>
                                <w:i/>
                                <w:iCs/>
                                <w:sz w:val="20"/>
                                <w:szCs w:val="20"/>
                              </w:rPr>
                              <w:t>financial</w:t>
                            </w:r>
                            <w:r w:rsidR="00985AC0">
                              <w:rPr>
                                <w:rFonts w:ascii="Times New Roman" w:hAnsi="Times New Roman" w:cs="Times New Roman"/>
                                <w:i/>
                                <w:iCs/>
                                <w:sz w:val="20"/>
                                <w:szCs w:val="20"/>
                              </w:rPr>
                              <w:t xml:space="preserve"> system remained resilient</w:t>
                            </w:r>
                            <w:r w:rsidR="007F62AD">
                              <w:rPr>
                                <w:rFonts w:ascii="Times New Roman" w:hAnsi="Times New Roman" w:cs="Times New Roman"/>
                                <w:i/>
                                <w:iCs/>
                                <w:sz w:val="20"/>
                                <w:szCs w:val="20"/>
                              </w:rPr>
                              <w:t>.</w:t>
                            </w:r>
                            <w:r w:rsidRPr="00E52AEA">
                              <w:rPr>
                                <w:rFonts w:ascii="Times New Roman" w:hAnsi="Times New Roman" w:cs="Times New Roman"/>
                                <w:i/>
                                <w:iCs/>
                                <w:sz w:val="20"/>
                                <w:szCs w:val="20"/>
                              </w:rPr>
                              <w:t xml:space="preserve"> </w:t>
                            </w:r>
                          </w:p>
                        </w:txbxContent>
                      </v:textbox>
                    </v:shape>
                  </w:pict>
                </mc:Fallback>
              </mc:AlternateContent>
            </w:r>
            <w:r w:rsidR="00B11109" w:rsidRPr="00C87120">
              <w:rPr>
                <w:rFonts w:ascii="Times New Roman" w:hAnsi="Times New Roman" w:cs="Times New Roman"/>
                <w:b/>
                <w:bCs/>
                <w:noProof/>
                <w:color w:val="2F5496" w:themeColor="accent1" w:themeShade="BF"/>
                <w:sz w:val="22"/>
                <w:szCs w:val="22"/>
              </w:rPr>
              <mc:AlternateContent>
                <mc:Choice Requires="wps">
                  <w:drawing>
                    <wp:anchor distT="0" distB="0" distL="114300" distR="114300" simplePos="0" relativeHeight="251737088" behindDoc="0" locked="0" layoutInCell="1" allowOverlap="1" wp14:anchorId="2B115153" wp14:editId="2C65BEDD">
                      <wp:simplePos x="0" y="0"/>
                      <wp:positionH relativeFrom="column">
                        <wp:posOffset>3152293</wp:posOffset>
                      </wp:positionH>
                      <wp:positionV relativeFrom="paragraph">
                        <wp:posOffset>190718</wp:posOffset>
                      </wp:positionV>
                      <wp:extent cx="2569210" cy="440909"/>
                      <wp:effectExtent l="0" t="0" r="2540" b="0"/>
                      <wp:wrapNone/>
                      <wp:docPr id="81" name="Text Box 81"/>
                      <wp:cNvGraphicFramePr/>
                      <a:graphic xmlns:a="http://schemas.openxmlformats.org/drawingml/2006/main">
                        <a:graphicData uri="http://schemas.microsoft.com/office/word/2010/wordprocessingShape">
                          <wps:wsp>
                            <wps:cNvSpPr txBox="1"/>
                            <wps:spPr>
                              <a:xfrm>
                                <a:off x="0" y="0"/>
                                <a:ext cx="2569210" cy="440909"/>
                              </a:xfrm>
                              <a:prstGeom prst="rect">
                                <a:avLst/>
                              </a:prstGeom>
                              <a:solidFill>
                                <a:sysClr val="window" lastClr="FFFFFF"/>
                              </a:solidFill>
                              <a:ln w="6350">
                                <a:noFill/>
                              </a:ln>
                            </wps:spPr>
                            <wps:txbx>
                              <w:txbxContent>
                                <w:p w14:paraId="2F545B38" w14:textId="64A37FEB" w:rsidR="00D143A1" w:rsidRPr="00E52AEA" w:rsidRDefault="00ED5935" w:rsidP="00D143A1">
                                  <w:pPr>
                                    <w:jc w:val="center"/>
                                    <w:rPr>
                                      <w:rFonts w:ascii="Times New Roman" w:hAnsi="Times New Roman" w:cs="Times New Roman"/>
                                      <w:i/>
                                      <w:iCs/>
                                      <w:sz w:val="20"/>
                                      <w:szCs w:val="20"/>
                                    </w:rPr>
                                  </w:pPr>
                                  <w:r>
                                    <w:rPr>
                                      <w:rFonts w:ascii="Times New Roman" w:hAnsi="Times New Roman" w:cs="Times New Roman"/>
                                      <w:i/>
                                      <w:iCs/>
                                      <w:sz w:val="20"/>
                                      <w:szCs w:val="20"/>
                                    </w:rPr>
                                    <w:t xml:space="preserve">The banking sector remained liquid and credit to </w:t>
                                  </w:r>
                                  <w:r w:rsidR="000410E2">
                                    <w:rPr>
                                      <w:rFonts w:ascii="Times New Roman" w:hAnsi="Times New Roman" w:cs="Times New Roman"/>
                                      <w:i/>
                                      <w:iCs/>
                                      <w:sz w:val="20"/>
                                      <w:szCs w:val="20"/>
                                    </w:rPr>
                                    <w:t>the economy increased.</w:t>
                                  </w:r>
                                  <w:r w:rsidR="00D143A1">
                                    <w:rPr>
                                      <w:rFonts w:ascii="Times New Roman" w:hAnsi="Times New Roman" w:cs="Times New Roman"/>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5153" id="Text Box 81" o:spid="_x0000_s1043" type="#_x0000_t202" style="position:absolute;left:0;text-align:left;margin-left:248.2pt;margin-top:15pt;width:202.3pt;height:34.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" fillcolor="window" stroked="f" strokeweight=".5pt">
                      <v:textbox>
                        <w:txbxContent>
                          <w:p w14:paraId="2F545B38" w14:textId="64A37FEB" w:rsidR="00D143A1" w:rsidRPr="00E52AEA" w:rsidRDefault="00ED5935" w:rsidP="00D143A1">
                            <w:pPr>
                              <w:jc w:val="center"/>
                              <w:rPr>
                                <w:rFonts w:ascii="Times New Roman" w:hAnsi="Times New Roman" w:cs="Times New Roman"/>
                                <w:i/>
                                <w:iCs/>
                                <w:sz w:val="20"/>
                                <w:szCs w:val="20"/>
                              </w:rPr>
                            </w:pPr>
                            <w:r>
                              <w:rPr>
                                <w:rFonts w:ascii="Times New Roman" w:hAnsi="Times New Roman" w:cs="Times New Roman"/>
                                <w:i/>
                                <w:iCs/>
                                <w:sz w:val="20"/>
                                <w:szCs w:val="20"/>
                              </w:rPr>
                              <w:t xml:space="preserve">The banking sector remained liquid and credit to </w:t>
                            </w:r>
                            <w:r w:rsidR="000410E2">
                              <w:rPr>
                                <w:rFonts w:ascii="Times New Roman" w:hAnsi="Times New Roman" w:cs="Times New Roman"/>
                                <w:i/>
                                <w:iCs/>
                                <w:sz w:val="20"/>
                                <w:szCs w:val="20"/>
                              </w:rPr>
                              <w:t>the economy increased.</w:t>
                            </w:r>
                            <w:r w:rsidR="00D143A1">
                              <w:rPr>
                                <w:rFonts w:ascii="Times New Roman" w:hAnsi="Times New Roman" w:cs="Times New Roman"/>
                                <w:i/>
                                <w:iCs/>
                                <w:sz w:val="20"/>
                                <w:szCs w:val="20"/>
                              </w:rPr>
                              <w:t xml:space="preserve"> </w:t>
                            </w:r>
                          </w:p>
                        </w:txbxContent>
                      </v:textbox>
                    </v:shape>
                  </w:pict>
                </mc:Fallback>
              </mc:AlternateContent>
            </w:r>
            <w:r w:rsidR="00D47DF7" w:rsidRPr="00C87120">
              <w:rPr>
                <w:rFonts w:ascii="Times New Roman" w:hAnsi="Times New Roman" w:cs="Times New Roman"/>
                <w:b/>
                <w:bCs/>
                <w:i w:val="0"/>
                <w:iCs w:val="0"/>
                <w:color w:val="2F5496" w:themeColor="accent1" w:themeShade="BF"/>
                <w:sz w:val="22"/>
                <w:szCs w:val="22"/>
              </w:rPr>
              <w:t xml:space="preserve">Figure </w:t>
            </w:r>
            <w:r w:rsidR="00D47DF7" w:rsidRPr="00C87120">
              <w:rPr>
                <w:rFonts w:ascii="Times New Roman" w:hAnsi="Times New Roman" w:cs="Times New Roman"/>
                <w:b/>
                <w:bCs/>
                <w:i w:val="0"/>
                <w:iCs w:val="0"/>
                <w:color w:val="2F5496" w:themeColor="accent1" w:themeShade="BF"/>
                <w:sz w:val="22"/>
                <w:szCs w:val="22"/>
              </w:rPr>
              <w:fldChar w:fldCharType="begin"/>
            </w:r>
            <w:r w:rsidR="00D47DF7" w:rsidRPr="00C87120">
              <w:rPr>
                <w:rFonts w:ascii="Times New Roman" w:hAnsi="Times New Roman" w:cs="Times New Roman"/>
                <w:b/>
                <w:bCs/>
                <w:i w:val="0"/>
                <w:iCs w:val="0"/>
                <w:color w:val="2F5496" w:themeColor="accent1" w:themeShade="BF"/>
                <w:sz w:val="22"/>
                <w:szCs w:val="22"/>
              </w:rPr>
              <w:instrText xml:space="preserve"> SEQ Figure \* ARABIC </w:instrText>
            </w:r>
            <w:r w:rsidR="00D47DF7" w:rsidRPr="00C87120">
              <w:rPr>
                <w:rFonts w:ascii="Times New Roman" w:hAnsi="Times New Roman" w:cs="Times New Roman"/>
                <w:b/>
                <w:bCs/>
                <w:i w:val="0"/>
                <w:iCs w:val="0"/>
                <w:color w:val="2F5496" w:themeColor="accent1" w:themeShade="BF"/>
                <w:sz w:val="22"/>
                <w:szCs w:val="22"/>
              </w:rPr>
              <w:fldChar w:fldCharType="separate"/>
            </w:r>
            <w:r w:rsidR="00C73FE1" w:rsidRPr="00C87120">
              <w:rPr>
                <w:rFonts w:ascii="Times New Roman" w:hAnsi="Times New Roman" w:cs="Times New Roman"/>
                <w:b/>
                <w:bCs/>
                <w:i w:val="0"/>
                <w:iCs w:val="0"/>
                <w:noProof/>
                <w:color w:val="2F5496" w:themeColor="accent1" w:themeShade="BF"/>
                <w:sz w:val="22"/>
                <w:szCs w:val="22"/>
              </w:rPr>
              <w:t>12</w:t>
            </w:r>
            <w:r w:rsidR="00D47DF7" w:rsidRPr="00C87120">
              <w:rPr>
                <w:rFonts w:ascii="Times New Roman" w:hAnsi="Times New Roman" w:cs="Times New Roman"/>
                <w:b/>
                <w:bCs/>
                <w:i w:val="0"/>
                <w:iCs w:val="0"/>
                <w:color w:val="2F5496" w:themeColor="accent1" w:themeShade="BF"/>
                <w:sz w:val="22"/>
                <w:szCs w:val="22"/>
              </w:rPr>
              <w:fldChar w:fldCharType="end"/>
            </w:r>
            <w:r w:rsidR="00D47DF7" w:rsidRPr="00C87120">
              <w:rPr>
                <w:rFonts w:ascii="Times New Roman" w:hAnsi="Times New Roman" w:cs="Times New Roman"/>
                <w:b/>
                <w:bCs/>
                <w:i w:val="0"/>
                <w:iCs w:val="0"/>
                <w:color w:val="2F5496" w:themeColor="accent1" w:themeShade="BF"/>
                <w:sz w:val="22"/>
                <w:szCs w:val="22"/>
              </w:rPr>
              <w:t>: Monetary Developments</w:t>
            </w:r>
            <w:bookmarkEnd w:id="64"/>
          </w:p>
          <w:p w14:paraId="2C068D70" w14:textId="47984BA1" w:rsidR="00D143A1" w:rsidRPr="00E52AEA" w:rsidRDefault="007D7B03" w:rsidP="00D143A1">
            <w:r>
              <w:rPr>
                <w:noProof/>
              </w:rPr>
              <w:drawing>
                <wp:anchor distT="0" distB="0" distL="114300" distR="114300" simplePos="0" relativeHeight="251859968" behindDoc="0" locked="0" layoutInCell="1" allowOverlap="1" wp14:anchorId="61392813" wp14:editId="7F45874E">
                  <wp:simplePos x="0" y="0"/>
                  <wp:positionH relativeFrom="column">
                    <wp:posOffset>2986405</wp:posOffset>
                  </wp:positionH>
                  <wp:positionV relativeFrom="paragraph">
                    <wp:posOffset>319405</wp:posOffset>
                  </wp:positionV>
                  <wp:extent cx="2837180" cy="3129280"/>
                  <wp:effectExtent l="0" t="0" r="1270" b="0"/>
                  <wp:wrapTopAndBottom/>
                  <wp:docPr id="98" name="Chart 98">
                    <a:extLst xmlns:a="http://schemas.openxmlformats.org/drawingml/2006/main">
                      <a:ext uri="{FF2B5EF4-FFF2-40B4-BE49-F238E27FC236}">
                        <a16:creationId xmlns:a16="http://schemas.microsoft.com/office/drawing/2014/main" id="{E7F445E4-FCCE-4EFB-A621-34BD89B09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1B2F8CC0" wp14:editId="713F4F0A">
                  <wp:simplePos x="0" y="0"/>
                  <wp:positionH relativeFrom="column">
                    <wp:posOffset>-64135</wp:posOffset>
                  </wp:positionH>
                  <wp:positionV relativeFrom="paragraph">
                    <wp:posOffset>295910</wp:posOffset>
                  </wp:positionV>
                  <wp:extent cx="3089910" cy="3286760"/>
                  <wp:effectExtent l="0" t="0" r="0" b="0"/>
                  <wp:wrapTopAndBottom/>
                  <wp:docPr id="97" name="Chart 97">
                    <a:extLst xmlns:a="http://schemas.openxmlformats.org/drawingml/2006/main">
                      <a:ext uri="{FF2B5EF4-FFF2-40B4-BE49-F238E27FC236}">
                        <a16:creationId xmlns:a16="http://schemas.microsoft.com/office/drawing/2014/main" id="{E2BF0875-7E71-40B3-9B6C-558E49774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2A755C">
              <w:rPr>
                <w:noProof/>
              </w:rPr>
              <w:drawing>
                <wp:anchor distT="0" distB="0" distL="114300" distR="114300" simplePos="0" relativeHeight="251872256" behindDoc="0" locked="0" layoutInCell="1" allowOverlap="1" wp14:anchorId="1ABF3289" wp14:editId="186DDA11">
                  <wp:simplePos x="0" y="0"/>
                  <wp:positionH relativeFrom="column">
                    <wp:posOffset>2986405</wp:posOffset>
                  </wp:positionH>
                  <wp:positionV relativeFrom="paragraph">
                    <wp:posOffset>4050665</wp:posOffset>
                  </wp:positionV>
                  <wp:extent cx="2837180" cy="3183890"/>
                  <wp:effectExtent l="0" t="0" r="1270" b="0"/>
                  <wp:wrapTopAndBottom/>
                  <wp:docPr id="100" name="Chart 100">
                    <a:extLst xmlns:a="http://schemas.openxmlformats.org/drawingml/2006/main">
                      <a:ext uri="{FF2B5EF4-FFF2-40B4-BE49-F238E27FC236}">
                        <a16:creationId xmlns:a16="http://schemas.microsoft.com/office/drawing/2014/main" id="{843AC3E4-4DE1-446A-A115-5512A0B63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2A755C">
              <w:rPr>
                <w:noProof/>
              </w:rPr>
              <w:drawing>
                <wp:anchor distT="0" distB="0" distL="114300" distR="114300" simplePos="0" relativeHeight="251884544" behindDoc="0" locked="0" layoutInCell="1" allowOverlap="1" wp14:anchorId="44C77713" wp14:editId="3A29B15F">
                  <wp:simplePos x="0" y="0"/>
                  <wp:positionH relativeFrom="column">
                    <wp:posOffset>-32385</wp:posOffset>
                  </wp:positionH>
                  <wp:positionV relativeFrom="paragraph">
                    <wp:posOffset>4050665</wp:posOffset>
                  </wp:positionV>
                  <wp:extent cx="3042285" cy="3334385"/>
                  <wp:effectExtent l="0" t="0" r="5715" b="0"/>
                  <wp:wrapTopAndBottom/>
                  <wp:docPr id="99" name="Chart 99">
                    <a:extLst xmlns:a="http://schemas.openxmlformats.org/drawingml/2006/main">
                      <a:ext uri="{FF2B5EF4-FFF2-40B4-BE49-F238E27FC236}">
                        <a16:creationId xmlns:a16="http://schemas.microsoft.com/office/drawing/2014/main" id="{03DF8603-060D-4290-80E5-53D028891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00D143A1">
              <w:t xml:space="preserve">          </w:t>
            </w:r>
          </w:p>
          <w:p w14:paraId="63F3A841" w14:textId="5973F155" w:rsidR="00293DE7" w:rsidRDefault="003E14CB" w:rsidP="0049740D">
            <w:pPr>
              <w:keepNext/>
              <w:spacing w:line="276" w:lineRule="auto"/>
              <w:rPr>
                <w:rFonts w:ascii="Times New Roman" w:hAnsi="Times New Roman" w:cs="Times New Roman"/>
                <w:sz w:val="18"/>
                <w:szCs w:val="18"/>
              </w:rPr>
            </w:pPr>
            <w:r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761664" behindDoc="0" locked="0" layoutInCell="1" allowOverlap="1" wp14:anchorId="03A00CD1" wp14:editId="10E28136">
                      <wp:simplePos x="0" y="0"/>
                      <wp:positionH relativeFrom="column">
                        <wp:posOffset>3136528</wp:posOffset>
                      </wp:positionH>
                      <wp:positionV relativeFrom="paragraph">
                        <wp:posOffset>3459634</wp:posOffset>
                      </wp:positionV>
                      <wp:extent cx="2467303" cy="464536"/>
                      <wp:effectExtent l="0" t="0" r="9525" b="0"/>
                      <wp:wrapNone/>
                      <wp:docPr id="82" name="Text Box 82"/>
                      <wp:cNvGraphicFramePr/>
                      <a:graphic xmlns:a="http://schemas.openxmlformats.org/drawingml/2006/main">
                        <a:graphicData uri="http://schemas.microsoft.com/office/word/2010/wordprocessingShape">
                          <wps:wsp>
                            <wps:cNvSpPr txBox="1"/>
                            <wps:spPr>
                              <a:xfrm>
                                <a:off x="0" y="0"/>
                                <a:ext cx="2467303" cy="464536"/>
                              </a:xfrm>
                              <a:prstGeom prst="rect">
                                <a:avLst/>
                              </a:prstGeom>
                              <a:solidFill>
                                <a:sysClr val="window" lastClr="FFFFFF"/>
                              </a:solidFill>
                              <a:ln w="6350">
                                <a:noFill/>
                              </a:ln>
                            </wps:spPr>
                            <wps:txbx>
                              <w:txbxContent>
                                <w:p w14:paraId="523C2EC3" w14:textId="77D433BD" w:rsidR="00D143A1" w:rsidRPr="00E52AEA" w:rsidRDefault="003E14CB" w:rsidP="00B87C41">
                                  <w:pPr>
                                    <w:rPr>
                                      <w:rFonts w:ascii="Times New Roman" w:hAnsi="Times New Roman" w:cs="Times New Roman"/>
                                      <w:i/>
                                      <w:iCs/>
                                      <w:sz w:val="20"/>
                                      <w:szCs w:val="20"/>
                                    </w:rPr>
                                  </w:pPr>
                                  <w:r w:rsidRPr="003E14CB">
                                    <w:rPr>
                                      <w:rFonts w:ascii="Times New Roman" w:hAnsi="Times New Roman" w:cs="Times New Roman"/>
                                      <w:i/>
                                      <w:iCs/>
                                      <w:sz w:val="20"/>
                                      <w:szCs w:val="20"/>
                                    </w:rPr>
                                    <w:t>NPLs have been gradually decreasing but remain high</w:t>
                                  </w:r>
                                  <w:r>
                                    <w:rPr>
                                      <w:rFonts w:ascii="Times New Roman" w:hAnsi="Times New Roman" w:cs="Times New Roman"/>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0CD1" id="Text Box 82" o:spid="_x0000_s1044" type="#_x0000_t202" style="position:absolute;margin-left:246.95pt;margin-top:272.4pt;width:194.3pt;height:3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" fillcolor="window" stroked="f" strokeweight=".5pt">
                      <v:textbox>
                        <w:txbxContent>
                          <w:p w14:paraId="523C2EC3" w14:textId="77D433BD" w:rsidR="00D143A1" w:rsidRPr="00E52AEA" w:rsidRDefault="003E14CB" w:rsidP="00B87C41">
                            <w:pPr>
                              <w:rPr>
                                <w:rFonts w:ascii="Times New Roman" w:hAnsi="Times New Roman" w:cs="Times New Roman"/>
                                <w:i/>
                                <w:iCs/>
                                <w:sz w:val="20"/>
                                <w:szCs w:val="20"/>
                              </w:rPr>
                            </w:pPr>
                            <w:r w:rsidRPr="003E14CB">
                              <w:rPr>
                                <w:rFonts w:ascii="Times New Roman" w:hAnsi="Times New Roman" w:cs="Times New Roman"/>
                                <w:i/>
                                <w:iCs/>
                                <w:sz w:val="20"/>
                                <w:szCs w:val="20"/>
                              </w:rPr>
                              <w:t>NPLs have been gradually decreasing but remain high</w:t>
                            </w:r>
                            <w:r>
                              <w:rPr>
                                <w:rFonts w:ascii="Times New Roman" w:hAnsi="Times New Roman" w:cs="Times New Roman"/>
                                <w:i/>
                                <w:iCs/>
                                <w:sz w:val="20"/>
                                <w:szCs w:val="20"/>
                              </w:rPr>
                              <w:t>.</w:t>
                            </w:r>
                          </w:p>
                        </w:txbxContent>
                      </v:textbox>
                    </v:shape>
                  </w:pict>
                </mc:Fallback>
              </mc:AlternateContent>
            </w:r>
            <w:r w:rsidR="008B7493" w:rsidRPr="002B1E0D">
              <w:rPr>
                <w:rFonts w:ascii="Times New Roman" w:hAnsi="Times New Roman" w:cs="Times New Roman"/>
                <w:b/>
                <w:bCs/>
                <w:i/>
                <w:iCs/>
                <w:noProof/>
                <w:color w:val="2F5496" w:themeColor="accent1" w:themeShade="BF"/>
                <w:sz w:val="20"/>
                <w:szCs w:val="20"/>
              </w:rPr>
              <mc:AlternateContent>
                <mc:Choice Requires="wps">
                  <w:drawing>
                    <wp:anchor distT="0" distB="0" distL="114300" distR="114300" simplePos="0" relativeHeight="251749376" behindDoc="0" locked="0" layoutInCell="1" allowOverlap="1" wp14:anchorId="76AE517C" wp14:editId="5B243E3B">
                      <wp:simplePos x="0" y="0"/>
                      <wp:positionH relativeFrom="column">
                        <wp:posOffset>235673</wp:posOffset>
                      </wp:positionH>
                      <wp:positionV relativeFrom="paragraph">
                        <wp:posOffset>3499047</wp:posOffset>
                      </wp:positionV>
                      <wp:extent cx="2711450" cy="433552"/>
                      <wp:effectExtent l="0" t="0" r="0" b="5080"/>
                      <wp:wrapNone/>
                      <wp:docPr id="83" name="Text Box 83"/>
                      <wp:cNvGraphicFramePr/>
                      <a:graphic xmlns:a="http://schemas.openxmlformats.org/drawingml/2006/main">
                        <a:graphicData uri="http://schemas.microsoft.com/office/word/2010/wordprocessingShape">
                          <wps:wsp>
                            <wps:cNvSpPr txBox="1"/>
                            <wps:spPr>
                              <a:xfrm>
                                <a:off x="0" y="0"/>
                                <a:ext cx="2711450" cy="433552"/>
                              </a:xfrm>
                              <a:prstGeom prst="rect">
                                <a:avLst/>
                              </a:prstGeom>
                              <a:solidFill>
                                <a:sysClr val="window" lastClr="FFFFFF"/>
                              </a:solidFill>
                              <a:ln w="6350">
                                <a:noFill/>
                              </a:ln>
                            </wps:spPr>
                            <wps:txbx>
                              <w:txbxContent>
                                <w:p w14:paraId="69DAD5C0" w14:textId="22D1D37F" w:rsidR="00D143A1" w:rsidRPr="00E52AEA" w:rsidRDefault="00D143A1" w:rsidP="00D143A1">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293DE7" w:rsidRPr="00293DE7">
                                    <w:rPr>
                                      <w:rFonts w:ascii="Times New Roman" w:hAnsi="Times New Roman" w:cs="Times New Roman"/>
                                      <w:i/>
                                      <w:iCs/>
                                      <w:sz w:val="20"/>
                                      <w:szCs w:val="20"/>
                                    </w:rPr>
                                    <w:t>supported by</w:t>
                                  </w:r>
                                  <w:r w:rsidR="008B7493">
                                    <w:rPr>
                                      <w:rFonts w:ascii="Times New Roman" w:hAnsi="Times New Roman" w:cs="Times New Roman"/>
                                      <w:i/>
                                      <w:iCs/>
                                      <w:sz w:val="20"/>
                                      <w:szCs w:val="20"/>
                                    </w:rPr>
                                    <w:t xml:space="preserve"> the</w:t>
                                  </w:r>
                                  <w:r w:rsidR="00293DE7" w:rsidRPr="00293DE7">
                                    <w:rPr>
                                      <w:rFonts w:ascii="Times New Roman" w:hAnsi="Times New Roman" w:cs="Times New Roman"/>
                                      <w:i/>
                                      <w:iCs/>
                                      <w:sz w:val="20"/>
                                      <w:szCs w:val="20"/>
                                    </w:rPr>
                                    <w:t xml:space="preserve"> policy measures adopted by the Central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517C" id="Text Box 83" o:spid="_x0000_s1045" type="#_x0000_t202" style="position:absolute;margin-left:18.55pt;margin-top:275.5pt;width:213.5pt;height:34.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" fillcolor="window" stroked="f" strokeweight=".5pt">
                      <v:textbox>
                        <w:txbxContent>
                          <w:p w14:paraId="69DAD5C0" w14:textId="22D1D37F" w:rsidR="00D143A1" w:rsidRPr="00E52AEA" w:rsidRDefault="00D143A1" w:rsidP="00D143A1">
                            <w:pPr>
                              <w:jc w:val="center"/>
                              <w:rPr>
                                <w:rFonts w:ascii="Times New Roman" w:hAnsi="Times New Roman" w:cs="Times New Roman"/>
                                <w:i/>
                                <w:iCs/>
                                <w:sz w:val="20"/>
                                <w:szCs w:val="20"/>
                              </w:rPr>
                            </w:pPr>
                            <w:r>
                              <w:rPr>
                                <w:rFonts w:ascii="Times New Roman" w:hAnsi="Times New Roman" w:cs="Times New Roman"/>
                                <w:i/>
                                <w:iCs/>
                                <w:sz w:val="20"/>
                                <w:szCs w:val="20"/>
                              </w:rPr>
                              <w:t xml:space="preserve">… </w:t>
                            </w:r>
                            <w:r w:rsidR="00293DE7" w:rsidRPr="00293DE7">
                              <w:rPr>
                                <w:rFonts w:ascii="Times New Roman" w:hAnsi="Times New Roman" w:cs="Times New Roman"/>
                                <w:i/>
                                <w:iCs/>
                                <w:sz w:val="20"/>
                                <w:szCs w:val="20"/>
                              </w:rPr>
                              <w:t>supported by</w:t>
                            </w:r>
                            <w:r w:rsidR="008B7493">
                              <w:rPr>
                                <w:rFonts w:ascii="Times New Roman" w:hAnsi="Times New Roman" w:cs="Times New Roman"/>
                                <w:i/>
                                <w:iCs/>
                                <w:sz w:val="20"/>
                                <w:szCs w:val="20"/>
                              </w:rPr>
                              <w:t xml:space="preserve"> the</w:t>
                            </w:r>
                            <w:r w:rsidR="00293DE7" w:rsidRPr="00293DE7">
                              <w:rPr>
                                <w:rFonts w:ascii="Times New Roman" w:hAnsi="Times New Roman" w:cs="Times New Roman"/>
                                <w:i/>
                                <w:iCs/>
                                <w:sz w:val="20"/>
                                <w:szCs w:val="20"/>
                              </w:rPr>
                              <w:t xml:space="preserve"> policy measures adopted by the Central Bank.</w:t>
                            </w:r>
                          </w:p>
                        </w:txbxContent>
                      </v:textbox>
                    </v:shape>
                  </w:pict>
                </mc:Fallback>
              </mc:AlternateContent>
            </w:r>
            <w:r w:rsidR="0049740D">
              <w:rPr>
                <w:rFonts w:ascii="Times New Roman" w:hAnsi="Times New Roman" w:cs="Times New Roman"/>
                <w:sz w:val="18"/>
                <w:szCs w:val="18"/>
              </w:rPr>
              <w:t xml:space="preserve">        </w:t>
            </w:r>
          </w:p>
          <w:p w14:paraId="02C34EED" w14:textId="29D032AB" w:rsidR="00293DE7" w:rsidRDefault="00293DE7" w:rsidP="0049740D">
            <w:pPr>
              <w:keepNext/>
              <w:spacing w:line="276" w:lineRule="auto"/>
              <w:rPr>
                <w:rFonts w:ascii="Times New Roman" w:hAnsi="Times New Roman" w:cs="Times New Roman"/>
                <w:sz w:val="18"/>
                <w:szCs w:val="18"/>
              </w:rPr>
            </w:pPr>
          </w:p>
          <w:p w14:paraId="3440153D" w14:textId="77777777" w:rsidR="00293DE7" w:rsidRDefault="00293DE7" w:rsidP="0049740D">
            <w:pPr>
              <w:keepNext/>
              <w:spacing w:line="276" w:lineRule="auto"/>
              <w:rPr>
                <w:rFonts w:ascii="Times New Roman" w:hAnsi="Times New Roman" w:cs="Times New Roman"/>
                <w:sz w:val="18"/>
                <w:szCs w:val="18"/>
              </w:rPr>
            </w:pPr>
          </w:p>
          <w:p w14:paraId="236D2ACF" w14:textId="20A68FC6" w:rsidR="00C97DA8" w:rsidRDefault="007D7B03" w:rsidP="0049740D">
            <w:pPr>
              <w:keepNext/>
              <w:spacing w:line="276" w:lineRule="auto"/>
              <w:rPr>
                <w:rFonts w:ascii="Times New Roman" w:hAnsi="Times New Roman" w:cs="Times New Roman"/>
                <w:sz w:val="18"/>
                <w:szCs w:val="18"/>
              </w:rPr>
            </w:pPr>
            <w:r>
              <w:rPr>
                <w:rFonts w:ascii="Times New Roman" w:hAnsi="Times New Roman" w:cs="Times New Roman"/>
                <w:sz w:val="18"/>
                <w:szCs w:val="18"/>
              </w:rPr>
              <w:t xml:space="preserve">     </w:t>
            </w:r>
            <w:r w:rsidR="0049740D" w:rsidRPr="00B87C41">
              <w:rPr>
                <w:rFonts w:ascii="Times New Roman" w:hAnsi="Times New Roman" w:cs="Times New Roman"/>
                <w:sz w:val="18"/>
                <w:szCs w:val="18"/>
              </w:rPr>
              <w:t>Source: Author's calculations using authorities’ data.</w:t>
            </w:r>
          </w:p>
          <w:p w14:paraId="0CF2D6EE" w14:textId="77777777" w:rsidR="006A6E65" w:rsidRDefault="006A6E65" w:rsidP="0049740D">
            <w:pPr>
              <w:keepNext/>
              <w:spacing w:line="276" w:lineRule="auto"/>
              <w:rPr>
                <w:rFonts w:ascii="Times New Roman" w:hAnsi="Times New Roman" w:cs="Times New Roman"/>
                <w:sz w:val="18"/>
                <w:szCs w:val="18"/>
              </w:rPr>
            </w:pPr>
          </w:p>
          <w:p w14:paraId="3EE9ECA4" w14:textId="33B6F572" w:rsidR="006A6E65" w:rsidRPr="00B87C41" w:rsidRDefault="006A6E65" w:rsidP="00B87C41">
            <w:pPr>
              <w:keepNext/>
              <w:spacing w:line="276" w:lineRule="auto"/>
              <w:rPr>
                <w:rFonts w:ascii="Times New Roman" w:hAnsi="Times New Roman" w:cs="Times New Roman"/>
                <w:sz w:val="18"/>
                <w:szCs w:val="18"/>
              </w:rPr>
            </w:pPr>
          </w:p>
        </w:tc>
      </w:tr>
    </w:tbl>
    <w:p w14:paraId="4CF3001D" w14:textId="7806FBAF" w:rsidR="000030B1" w:rsidRDefault="000030B1" w:rsidP="000030B1">
      <w:pPr>
        <w:pStyle w:val="Heading2"/>
        <w:numPr>
          <w:ilvl w:val="0"/>
          <w:numId w:val="2"/>
        </w:numPr>
        <w:rPr>
          <w:rFonts w:ascii="Times New Roman" w:hAnsi="Times New Roman" w:cs="Times New Roman"/>
        </w:rPr>
      </w:pPr>
      <w:bookmarkStart w:id="65" w:name="_Toc105592809"/>
      <w:bookmarkStart w:id="66" w:name="_Toc66453798"/>
      <w:bookmarkStart w:id="67" w:name="_Toc70346647"/>
      <w:r>
        <w:rPr>
          <w:rFonts w:ascii="Times New Roman" w:hAnsi="Times New Roman" w:cs="Times New Roman"/>
        </w:rPr>
        <w:lastRenderedPageBreak/>
        <w:t>Poverty</w:t>
      </w:r>
      <w:bookmarkEnd w:id="65"/>
    </w:p>
    <w:p w14:paraId="3EF24F73" w14:textId="77777777" w:rsidR="00502614" w:rsidRPr="00C554D8" w:rsidRDefault="00502614" w:rsidP="00C554D8"/>
    <w:p w14:paraId="2990B4FF" w14:textId="632B0F79" w:rsidR="00247579" w:rsidRDefault="00F03527" w:rsidP="005314C0">
      <w:pPr>
        <w:jc w:val="both"/>
        <w:rPr>
          <w:rFonts w:ascii="Times New Roman" w:hAnsi="Times New Roman" w:cs="Times New Roman"/>
        </w:rPr>
      </w:pPr>
      <w:bookmarkStart w:id="68" w:name="_Toc99115519"/>
      <w:bookmarkEnd w:id="66"/>
      <w:bookmarkEnd w:id="67"/>
      <w:bookmarkEnd w:id="68"/>
      <w:r>
        <w:rPr>
          <w:rFonts w:ascii="Times New Roman" w:hAnsi="Times New Roman" w:cs="Times New Roman"/>
          <w:b/>
          <w:bCs/>
        </w:rPr>
        <w:t>16</w:t>
      </w:r>
      <w:r w:rsidR="000901D0" w:rsidRPr="00C87120">
        <w:rPr>
          <w:rFonts w:ascii="Times New Roman" w:hAnsi="Times New Roman" w:cs="Times New Roman"/>
          <w:b/>
          <w:bCs/>
        </w:rPr>
        <w:t xml:space="preserve">. </w:t>
      </w:r>
      <w:r w:rsidR="005314C0" w:rsidRPr="00C87120">
        <w:rPr>
          <w:rFonts w:ascii="Times New Roman" w:hAnsi="Times New Roman" w:cs="Times New Roman"/>
          <w:b/>
          <w:bCs/>
        </w:rPr>
        <w:t>The</w:t>
      </w:r>
      <w:r w:rsidR="005314C0" w:rsidRPr="009954DF">
        <w:rPr>
          <w:rFonts w:ascii="Times New Roman" w:hAnsi="Times New Roman" w:cs="Times New Roman"/>
          <w:b/>
          <w:bCs/>
        </w:rPr>
        <w:t xml:space="preserve"> economic recovery that took place during the post-COVID period caused a slight </w:t>
      </w:r>
      <w:r w:rsidR="005314C0" w:rsidRPr="004A3505">
        <w:rPr>
          <w:rFonts w:ascii="Times New Roman" w:hAnsi="Times New Roman" w:cs="Times New Roman"/>
          <w:b/>
          <w:bCs/>
        </w:rPr>
        <w:t>reduction in poverty.</w:t>
      </w:r>
      <w:r w:rsidR="005314C0" w:rsidRPr="005314C0">
        <w:rPr>
          <w:rFonts w:ascii="Times New Roman" w:hAnsi="Times New Roman" w:cs="Times New Roman"/>
        </w:rPr>
        <w:t xml:space="preserve"> </w:t>
      </w:r>
      <w:r w:rsidR="00AB5F66" w:rsidRPr="00AB5F66">
        <w:rPr>
          <w:rFonts w:ascii="Times New Roman" w:hAnsi="Times New Roman" w:cs="Times New Roman"/>
        </w:rPr>
        <w:t>The recovery of tourism activities, the revival of agriculture and the secondary sector, and certain services such as trade, favored economic growth that increased from -14.8 percent in 2020 to 7.4 percent in 2021. This resulted in a 6.5 percent drop in poverty, which stood at 33 percent in 2021</w:t>
      </w:r>
      <w:r w:rsidR="00857068">
        <w:rPr>
          <w:rFonts w:ascii="Times New Roman" w:hAnsi="Times New Roman" w:cs="Times New Roman"/>
        </w:rPr>
        <w:t>,</w:t>
      </w:r>
      <w:r w:rsidR="00857068" w:rsidRPr="00857068">
        <w:t xml:space="preserve"> </w:t>
      </w:r>
      <w:r w:rsidR="00857068" w:rsidRPr="00857068">
        <w:rPr>
          <w:rFonts w:ascii="Times New Roman" w:hAnsi="Times New Roman" w:cs="Times New Roman"/>
        </w:rPr>
        <w:t xml:space="preserve">using the national poverty line equivalent to US$5.4 in purchasing power parity (PPP) terms per person per day in 2015 prices. </w:t>
      </w:r>
      <w:r w:rsidR="00AB5F66" w:rsidRPr="00AB5F66">
        <w:rPr>
          <w:rFonts w:ascii="Times New Roman" w:hAnsi="Times New Roman" w:cs="Times New Roman"/>
        </w:rPr>
        <w:t>In rural areas, thanks to the resumption of growth in agriculture (7 percent) and fishing (15 percent), poverty fell by 3 percentage points from its level of 45 percent in 202</w:t>
      </w:r>
      <w:r w:rsidR="00900712">
        <w:rPr>
          <w:rFonts w:ascii="Times New Roman" w:hAnsi="Times New Roman" w:cs="Times New Roman"/>
        </w:rPr>
        <w:t>0</w:t>
      </w:r>
      <w:r w:rsidR="00AB5F66" w:rsidRPr="00AB5F66">
        <w:rPr>
          <w:rFonts w:ascii="Times New Roman" w:hAnsi="Times New Roman" w:cs="Times New Roman"/>
        </w:rPr>
        <w:t>. Urban poverty also declined by 2 percentage points reflecting the revival of service activities (</w:t>
      </w:r>
      <w:proofErr w:type="gramStart"/>
      <w:r w:rsidR="00AB5F66" w:rsidRPr="00AB5F66">
        <w:rPr>
          <w:rFonts w:ascii="Times New Roman" w:hAnsi="Times New Roman" w:cs="Times New Roman"/>
        </w:rPr>
        <w:t>in particular trade</w:t>
      </w:r>
      <w:proofErr w:type="gramEnd"/>
      <w:r w:rsidR="00AB5F66" w:rsidRPr="00AB5F66">
        <w:rPr>
          <w:rFonts w:ascii="Times New Roman" w:hAnsi="Times New Roman" w:cs="Times New Roman"/>
        </w:rPr>
        <w:t xml:space="preserve"> with 17</w:t>
      </w:r>
      <w:r w:rsidR="009C291B">
        <w:rPr>
          <w:rFonts w:ascii="Times New Roman" w:hAnsi="Times New Roman" w:cs="Times New Roman"/>
        </w:rPr>
        <w:t xml:space="preserve"> percent increase</w:t>
      </w:r>
      <w:r w:rsidR="00AB5F66" w:rsidRPr="00AB5F66">
        <w:rPr>
          <w:rFonts w:ascii="Times New Roman" w:hAnsi="Times New Roman" w:cs="Times New Roman"/>
        </w:rPr>
        <w:t>), financial services (8.9</w:t>
      </w:r>
      <w:r w:rsidR="00C21C9D">
        <w:rPr>
          <w:rFonts w:ascii="Times New Roman" w:hAnsi="Times New Roman" w:cs="Times New Roman"/>
        </w:rPr>
        <w:t xml:space="preserve"> percent</w:t>
      </w:r>
      <w:r w:rsidR="00AB5F66" w:rsidRPr="00AB5F66">
        <w:rPr>
          <w:rFonts w:ascii="Times New Roman" w:hAnsi="Times New Roman" w:cs="Times New Roman"/>
        </w:rPr>
        <w:t>), transport (8.6</w:t>
      </w:r>
      <w:r w:rsidR="00C21C9D">
        <w:rPr>
          <w:rFonts w:ascii="Times New Roman" w:hAnsi="Times New Roman" w:cs="Times New Roman"/>
        </w:rPr>
        <w:t xml:space="preserve"> percent</w:t>
      </w:r>
      <w:r w:rsidR="00AB5F66" w:rsidRPr="00AB5F66">
        <w:rPr>
          <w:rFonts w:ascii="Times New Roman" w:hAnsi="Times New Roman" w:cs="Times New Roman"/>
        </w:rPr>
        <w:t>) and public services (7.</w:t>
      </w:r>
      <w:r w:rsidR="00C21C9D">
        <w:rPr>
          <w:rFonts w:ascii="Times New Roman" w:hAnsi="Times New Roman" w:cs="Times New Roman"/>
        </w:rPr>
        <w:t>9 percent</w:t>
      </w:r>
      <w:r w:rsidR="00AB5F66" w:rsidRPr="00AB5F66">
        <w:rPr>
          <w:rFonts w:ascii="Times New Roman" w:hAnsi="Times New Roman" w:cs="Times New Roman"/>
        </w:rPr>
        <w:t>). On the other hand, the slow recovery of tourism activities (-</w:t>
      </w:r>
      <w:r w:rsidR="00C21C9D">
        <w:rPr>
          <w:rFonts w:ascii="Times New Roman" w:hAnsi="Times New Roman" w:cs="Times New Roman"/>
        </w:rPr>
        <w:t xml:space="preserve"> </w:t>
      </w:r>
      <w:r w:rsidR="00AB5F66" w:rsidRPr="00AB5F66">
        <w:rPr>
          <w:rFonts w:ascii="Times New Roman" w:hAnsi="Times New Roman" w:cs="Times New Roman"/>
        </w:rPr>
        <w:t>49 percent in 2021 versus -</w:t>
      </w:r>
      <w:r w:rsidR="00C21C9D">
        <w:rPr>
          <w:rFonts w:ascii="Times New Roman" w:hAnsi="Times New Roman" w:cs="Times New Roman"/>
        </w:rPr>
        <w:t xml:space="preserve"> </w:t>
      </w:r>
      <w:r w:rsidR="00AB5F66" w:rsidRPr="00AB5F66">
        <w:rPr>
          <w:rFonts w:ascii="Times New Roman" w:hAnsi="Times New Roman" w:cs="Times New Roman"/>
        </w:rPr>
        <w:t>71 percent in 2020) is an explanatory factor for the slight decrease in poverty.</w:t>
      </w:r>
    </w:p>
    <w:p w14:paraId="12D881F6" w14:textId="77777777" w:rsidR="00F02D93" w:rsidRDefault="00F02D93" w:rsidP="005314C0">
      <w:pPr>
        <w:jc w:val="both"/>
        <w:rPr>
          <w:rFonts w:ascii="Times New Roman" w:hAnsi="Times New Roman" w:cs="Times New Roman"/>
        </w:rPr>
      </w:pPr>
    </w:p>
    <w:tbl>
      <w:tblPr>
        <w:tblStyle w:val="TableGrid"/>
        <w:tblW w:w="0" w:type="auto"/>
        <w:tblLook w:val="04A0" w:firstRow="1" w:lastRow="0" w:firstColumn="1" w:lastColumn="0" w:noHBand="0" w:noVBand="1"/>
      </w:tblPr>
      <w:tblGrid>
        <w:gridCol w:w="4733"/>
        <w:gridCol w:w="4617"/>
      </w:tblGrid>
      <w:tr w:rsidR="00736A88" w14:paraId="68C86D1C" w14:textId="77777777" w:rsidTr="00A27DC3">
        <w:trPr>
          <w:trHeight w:val="3311"/>
        </w:trPr>
        <w:tc>
          <w:tcPr>
            <w:tcW w:w="4725" w:type="dxa"/>
          </w:tcPr>
          <w:p w14:paraId="1E047513" w14:textId="54B03D39" w:rsidR="00736A88" w:rsidRPr="002846DD" w:rsidRDefault="00F26962" w:rsidP="00A27DC3">
            <w:pPr>
              <w:keepNext/>
              <w:jc w:val="both"/>
            </w:pPr>
            <w:r>
              <w:rPr>
                <w:noProof/>
              </w:rPr>
              <mc:AlternateContent>
                <mc:Choice Requires="wps">
                  <w:drawing>
                    <wp:anchor distT="0" distB="0" distL="114300" distR="114300" simplePos="0" relativeHeight="251479040" behindDoc="0" locked="0" layoutInCell="1" allowOverlap="1" wp14:anchorId="7466DD26" wp14:editId="009202AE">
                      <wp:simplePos x="0" y="0"/>
                      <wp:positionH relativeFrom="column">
                        <wp:posOffset>25290</wp:posOffset>
                      </wp:positionH>
                      <wp:positionV relativeFrom="paragraph">
                        <wp:posOffset>35560</wp:posOffset>
                      </wp:positionV>
                      <wp:extent cx="288290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2882900" cy="635"/>
                              </a:xfrm>
                              <a:prstGeom prst="rect">
                                <a:avLst/>
                              </a:prstGeom>
                              <a:solidFill>
                                <a:prstClr val="white"/>
                              </a:solidFill>
                              <a:ln>
                                <a:noFill/>
                              </a:ln>
                            </wps:spPr>
                            <wps:txbx>
                              <w:txbxContent>
                                <w:p w14:paraId="15A642E5" w14:textId="57CC138B" w:rsidR="00F26962" w:rsidRPr="00B87C41" w:rsidRDefault="00F26962" w:rsidP="00B87C41">
                                  <w:pPr>
                                    <w:pStyle w:val="Caption"/>
                                    <w:jc w:val="center"/>
                                    <w:rPr>
                                      <w:rFonts w:ascii="Times New Roman" w:hAnsi="Times New Roman" w:cs="Times New Roman"/>
                                      <w:b/>
                                      <w:bCs/>
                                      <w:color w:val="2F5496" w:themeColor="accent1" w:themeShade="BF"/>
                                      <w:sz w:val="20"/>
                                      <w:szCs w:val="20"/>
                                    </w:rPr>
                                  </w:pPr>
                                  <w:bookmarkStart w:id="69" w:name="_Toc103950887"/>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13</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Poverty headcount ratio trends by strata (%)</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66DD26" id="Text Box 10" o:spid="_x0000_s1046" type="#_x0000_t202" style="position:absolute;left:0;text-align:left;margin-left:2pt;margin-top:2.8pt;width:227pt;height:.0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" stroked="f">
                      <v:textbox style="mso-fit-shape-to-text:t" inset="0,0,0,0">
                        <w:txbxContent>
                          <w:p w14:paraId="15A642E5" w14:textId="57CC138B" w:rsidR="00F26962" w:rsidRPr="00B87C41" w:rsidRDefault="00F26962" w:rsidP="00B87C41">
                            <w:pPr>
                              <w:pStyle w:val="Caption"/>
                              <w:jc w:val="center"/>
                              <w:rPr>
                                <w:rFonts w:ascii="Times New Roman" w:hAnsi="Times New Roman" w:cs="Times New Roman"/>
                                <w:b/>
                                <w:bCs/>
                                <w:color w:val="2F5496" w:themeColor="accent1" w:themeShade="BF"/>
                                <w:sz w:val="20"/>
                                <w:szCs w:val="20"/>
                              </w:rPr>
                            </w:pPr>
                            <w:bookmarkStart w:id="70" w:name="_Toc103950887"/>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13</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Poverty headcount ratio trends by strata (%)</w:t>
                            </w:r>
                            <w:bookmarkEnd w:id="70"/>
                          </w:p>
                        </w:txbxContent>
                      </v:textbox>
                      <w10:wrap type="topAndBottom"/>
                    </v:shape>
                  </w:pict>
                </mc:Fallback>
              </mc:AlternateContent>
            </w:r>
            <w:r w:rsidR="00E3239D">
              <w:rPr>
                <w:noProof/>
              </w:rPr>
              <w:drawing>
                <wp:inline distT="0" distB="0" distL="0" distR="0" wp14:anchorId="66381963" wp14:editId="395CA7C6">
                  <wp:extent cx="2883535" cy="2215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7653" cy="2218218"/>
                          </a:xfrm>
                          <a:prstGeom prst="rect">
                            <a:avLst/>
                          </a:prstGeom>
                          <a:noFill/>
                        </pic:spPr>
                      </pic:pic>
                    </a:graphicData>
                  </a:graphic>
                </wp:inline>
              </w:drawing>
            </w:r>
          </w:p>
        </w:tc>
        <w:tc>
          <w:tcPr>
            <w:tcW w:w="4625" w:type="dxa"/>
          </w:tcPr>
          <w:p w14:paraId="2C0C23DC" w14:textId="62C994E8" w:rsidR="00736A88" w:rsidRPr="002846DD" w:rsidRDefault="00647D6B" w:rsidP="00B87C41">
            <w:pPr>
              <w:keepNext/>
              <w:jc w:val="both"/>
            </w:pPr>
            <w:r>
              <w:rPr>
                <w:noProof/>
              </w:rPr>
              <w:drawing>
                <wp:inline distT="0" distB="0" distL="0" distR="0" wp14:anchorId="4B1AD643" wp14:editId="4841C392">
                  <wp:extent cx="2809875" cy="2167759"/>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3531" cy="2170580"/>
                          </a:xfrm>
                          <a:prstGeom prst="rect">
                            <a:avLst/>
                          </a:prstGeom>
                          <a:noFill/>
                        </pic:spPr>
                      </pic:pic>
                    </a:graphicData>
                  </a:graphic>
                </wp:inline>
              </w:drawing>
            </w:r>
            <w:r w:rsidR="003B7FED">
              <w:rPr>
                <w:noProof/>
              </w:rPr>
              <mc:AlternateContent>
                <mc:Choice Requires="wps">
                  <w:drawing>
                    <wp:anchor distT="0" distB="0" distL="114300" distR="114300" simplePos="0" relativeHeight="251491328" behindDoc="0" locked="0" layoutInCell="1" allowOverlap="1" wp14:anchorId="56002CA1" wp14:editId="32106FAD">
                      <wp:simplePos x="0" y="0"/>
                      <wp:positionH relativeFrom="column">
                        <wp:posOffset>7620</wp:posOffset>
                      </wp:positionH>
                      <wp:positionV relativeFrom="paragraph">
                        <wp:posOffset>54325</wp:posOffset>
                      </wp:positionV>
                      <wp:extent cx="2809875"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wps:spPr>
                            <wps:txbx>
                              <w:txbxContent>
                                <w:p w14:paraId="7B51427A" w14:textId="1623BEC8" w:rsidR="00264725" w:rsidRPr="00B87C41" w:rsidRDefault="00264725" w:rsidP="00B87C41">
                                  <w:pPr>
                                    <w:pStyle w:val="Caption"/>
                                    <w:jc w:val="center"/>
                                    <w:rPr>
                                      <w:rFonts w:ascii="Times New Roman" w:hAnsi="Times New Roman" w:cs="Times New Roman"/>
                                      <w:b/>
                                      <w:bCs/>
                                      <w:color w:val="2F5496" w:themeColor="accent1" w:themeShade="BF"/>
                                      <w:sz w:val="20"/>
                                      <w:szCs w:val="20"/>
                                    </w:rPr>
                                  </w:pPr>
                                  <w:bookmarkStart w:id="71" w:name="_Toc103950888"/>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14</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Annual GDP Growth and Poverty change (%)</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002CA1" id="Text Box 11" o:spid="_x0000_s1047" type="#_x0000_t202" style="position:absolute;left:0;text-align:left;margin-left:.6pt;margin-top:4.3pt;width:221.25pt;height:.05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" stroked="f">
                      <v:textbox style="mso-fit-shape-to-text:t" inset="0,0,0,0">
                        <w:txbxContent>
                          <w:p w14:paraId="7B51427A" w14:textId="1623BEC8" w:rsidR="00264725" w:rsidRPr="00B87C41" w:rsidRDefault="00264725" w:rsidP="00B87C41">
                            <w:pPr>
                              <w:pStyle w:val="Caption"/>
                              <w:jc w:val="center"/>
                              <w:rPr>
                                <w:rFonts w:ascii="Times New Roman" w:hAnsi="Times New Roman" w:cs="Times New Roman"/>
                                <w:b/>
                                <w:bCs/>
                                <w:color w:val="2F5496" w:themeColor="accent1" w:themeShade="BF"/>
                                <w:sz w:val="20"/>
                                <w:szCs w:val="20"/>
                              </w:rPr>
                            </w:pPr>
                            <w:bookmarkStart w:id="72" w:name="_Toc103950888"/>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14</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Annual GDP Growth and Poverty change (%)</w:t>
                            </w:r>
                            <w:bookmarkEnd w:id="72"/>
                          </w:p>
                        </w:txbxContent>
                      </v:textbox>
                      <w10:wrap type="topAndBottom"/>
                    </v:shape>
                  </w:pict>
                </mc:Fallback>
              </mc:AlternateContent>
            </w:r>
          </w:p>
        </w:tc>
      </w:tr>
    </w:tbl>
    <w:p w14:paraId="2F3B5C09" w14:textId="400EF291" w:rsidR="00FF5F54" w:rsidRDefault="007763CF" w:rsidP="005314C0">
      <w:pPr>
        <w:jc w:val="both"/>
        <w:rPr>
          <w:rFonts w:ascii="Times New Roman" w:hAnsi="Times New Roman" w:cs="Times New Roman"/>
          <w:sz w:val="18"/>
          <w:szCs w:val="18"/>
        </w:rPr>
      </w:pPr>
      <w:r w:rsidRPr="007763CF">
        <w:rPr>
          <w:rFonts w:ascii="Times New Roman" w:hAnsi="Times New Roman" w:cs="Times New Roman"/>
          <w:sz w:val="18"/>
          <w:szCs w:val="18"/>
        </w:rPr>
        <w:t>Source: Author’s calculation using IDRF2015 and national account and CPI data</w:t>
      </w:r>
    </w:p>
    <w:p w14:paraId="187C6FFB" w14:textId="77777777" w:rsidR="00F02D93" w:rsidRPr="00907CF0" w:rsidRDefault="00F02D93" w:rsidP="005314C0">
      <w:pPr>
        <w:jc w:val="both"/>
        <w:rPr>
          <w:rFonts w:ascii="Times New Roman" w:hAnsi="Times New Roman" w:cs="Times New Roman"/>
          <w:sz w:val="18"/>
          <w:szCs w:val="18"/>
        </w:rPr>
      </w:pPr>
    </w:p>
    <w:p w14:paraId="3044049E" w14:textId="45E9D13F" w:rsidR="00FF5F54" w:rsidRDefault="00F03527" w:rsidP="005314C0">
      <w:pPr>
        <w:jc w:val="both"/>
        <w:rPr>
          <w:rFonts w:ascii="Times New Roman" w:hAnsi="Times New Roman" w:cs="Times New Roman"/>
        </w:rPr>
      </w:pPr>
      <w:r>
        <w:rPr>
          <w:rFonts w:ascii="Times New Roman" w:hAnsi="Times New Roman" w:cs="Times New Roman"/>
          <w:b/>
          <w:bCs/>
        </w:rPr>
        <w:t>17</w:t>
      </w:r>
      <w:r w:rsidR="00FD4A8F">
        <w:rPr>
          <w:rFonts w:ascii="Times New Roman" w:hAnsi="Times New Roman" w:cs="Times New Roman"/>
          <w:b/>
          <w:bCs/>
        </w:rPr>
        <w:t xml:space="preserve">. </w:t>
      </w:r>
      <w:r w:rsidR="00A273BB" w:rsidRPr="00A273BB">
        <w:rPr>
          <w:rFonts w:ascii="Times New Roman" w:hAnsi="Times New Roman" w:cs="Times New Roman"/>
          <w:b/>
          <w:bCs/>
        </w:rPr>
        <w:t>Inequalities remain high and have increased with the pandemic.</w:t>
      </w:r>
      <w:r w:rsidR="00A273BB" w:rsidRPr="00A273BB">
        <w:rPr>
          <w:rFonts w:ascii="Times New Roman" w:hAnsi="Times New Roman" w:cs="Times New Roman"/>
        </w:rPr>
        <w:t xml:space="preserve"> The strong consumption inequalities observed in 2015 continue to grow. The global Gini index increased by two points in 2020 and then by one point in 2021. In addition, more than 80</w:t>
      </w:r>
      <w:r w:rsidR="00F27F97">
        <w:rPr>
          <w:rFonts w:ascii="Times New Roman" w:hAnsi="Times New Roman" w:cs="Times New Roman"/>
        </w:rPr>
        <w:t xml:space="preserve"> percent</w:t>
      </w:r>
      <w:r w:rsidR="00A273BB" w:rsidRPr="00A273BB">
        <w:rPr>
          <w:rFonts w:ascii="Times New Roman" w:hAnsi="Times New Roman" w:cs="Times New Roman"/>
        </w:rPr>
        <w:t xml:space="preserve"> of consumption is concentrated among less than 10</w:t>
      </w:r>
      <w:r w:rsidR="00F27F97">
        <w:rPr>
          <w:rFonts w:ascii="Times New Roman" w:hAnsi="Times New Roman" w:cs="Times New Roman"/>
        </w:rPr>
        <w:t xml:space="preserve"> percent </w:t>
      </w:r>
      <w:r w:rsidR="00A273BB" w:rsidRPr="00A273BB">
        <w:rPr>
          <w:rFonts w:ascii="Times New Roman" w:hAnsi="Times New Roman" w:cs="Times New Roman"/>
        </w:rPr>
        <w:t>of the population. Inequalities are more present in urban areas, whose Gini index reached 45.2 in 2021 after an increase of 2 points during the pandemic. They become worrying in rural areas where the Gini smacks of the threshold of 40 considered very high.</w:t>
      </w:r>
    </w:p>
    <w:p w14:paraId="48B850F6" w14:textId="77777777" w:rsidR="00B870D2" w:rsidRDefault="00B870D2" w:rsidP="005314C0">
      <w:pPr>
        <w:jc w:val="both"/>
        <w:rPr>
          <w:rFonts w:ascii="Times New Roman" w:hAnsi="Times New Roman" w:cs="Times New Roman"/>
        </w:rPr>
      </w:pPr>
    </w:p>
    <w:tbl>
      <w:tblPr>
        <w:tblStyle w:val="TableGrid"/>
        <w:tblW w:w="0" w:type="auto"/>
        <w:tblLook w:val="04A0" w:firstRow="1" w:lastRow="0" w:firstColumn="1" w:lastColumn="0" w:noHBand="0" w:noVBand="1"/>
      </w:tblPr>
      <w:tblGrid>
        <w:gridCol w:w="4690"/>
        <w:gridCol w:w="4660"/>
      </w:tblGrid>
      <w:tr w:rsidR="004C0E68" w14:paraId="4532E10F" w14:textId="77777777" w:rsidTr="00A27DC3">
        <w:trPr>
          <w:trHeight w:val="3428"/>
        </w:trPr>
        <w:tc>
          <w:tcPr>
            <w:tcW w:w="4690" w:type="dxa"/>
          </w:tcPr>
          <w:p w14:paraId="63C2B377" w14:textId="7BB521DF" w:rsidR="00882CE1" w:rsidRPr="00B87C41" w:rsidRDefault="00882CE1" w:rsidP="00B87C41">
            <w:pPr>
              <w:pStyle w:val="Caption"/>
              <w:jc w:val="center"/>
              <w:rPr>
                <w:rFonts w:ascii="Times New Roman" w:hAnsi="Times New Roman" w:cs="Times New Roman"/>
                <w:b/>
                <w:bCs/>
                <w:i w:val="0"/>
                <w:iCs w:val="0"/>
                <w:color w:val="2F5496" w:themeColor="accent1" w:themeShade="BF"/>
                <w:sz w:val="20"/>
                <w:szCs w:val="20"/>
              </w:rPr>
            </w:pPr>
            <w:bookmarkStart w:id="73" w:name="_Toc103950889"/>
            <w:r w:rsidRPr="00A27DC3">
              <w:rPr>
                <w:rFonts w:ascii="Times New Roman" w:hAnsi="Times New Roman" w:cs="Times New Roman"/>
                <w:b/>
                <w:bCs/>
                <w:i w:val="0"/>
                <w:iCs w:val="0"/>
                <w:noProof/>
                <w:sz w:val="20"/>
                <w:szCs w:val="20"/>
              </w:rPr>
              <w:lastRenderedPageBreak/>
              <w:drawing>
                <wp:anchor distT="0" distB="0" distL="114300" distR="114300" simplePos="0" relativeHeight="251442176" behindDoc="0" locked="0" layoutInCell="1" allowOverlap="1" wp14:anchorId="3A0B3DA1" wp14:editId="3B7D0EFC">
                  <wp:simplePos x="0" y="0"/>
                  <wp:positionH relativeFrom="column">
                    <wp:posOffset>6985</wp:posOffset>
                  </wp:positionH>
                  <wp:positionV relativeFrom="paragraph">
                    <wp:posOffset>304800</wp:posOffset>
                  </wp:positionV>
                  <wp:extent cx="2851150" cy="2206625"/>
                  <wp:effectExtent l="0" t="0" r="6350" b="317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1150" cy="2206625"/>
                          </a:xfrm>
                          <a:prstGeom prst="rect">
                            <a:avLst/>
                          </a:prstGeom>
                          <a:noFill/>
                        </pic:spPr>
                      </pic:pic>
                    </a:graphicData>
                  </a:graphic>
                  <wp14:sizeRelV relativeFrom="margin">
                    <wp14:pctHeight>0</wp14:pctHeight>
                  </wp14:sizeRelV>
                </wp:anchor>
              </w:drawing>
            </w:r>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15</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Gini by area of residence</w:t>
            </w:r>
            <w:bookmarkEnd w:id="73"/>
          </w:p>
          <w:p w14:paraId="0CCB8D29" w14:textId="0823903F" w:rsidR="004C0E68" w:rsidRPr="00A27DC3" w:rsidRDefault="004C0E68" w:rsidP="00B87C41">
            <w:pPr>
              <w:pStyle w:val="Caption"/>
              <w:rPr>
                <w:rFonts w:ascii="Times New Roman" w:hAnsi="Times New Roman" w:cs="Times New Roman"/>
                <w:b/>
                <w:bCs/>
                <w:i w:val="0"/>
                <w:iCs w:val="0"/>
                <w:sz w:val="20"/>
                <w:szCs w:val="20"/>
              </w:rPr>
            </w:pPr>
          </w:p>
        </w:tc>
        <w:tc>
          <w:tcPr>
            <w:tcW w:w="4660" w:type="dxa"/>
          </w:tcPr>
          <w:p w14:paraId="77F32081" w14:textId="210729C3" w:rsidR="004C0E68" w:rsidRPr="00877EA9" w:rsidRDefault="00FA27B5" w:rsidP="00B87C41">
            <w:pPr>
              <w:keepNext/>
              <w:jc w:val="both"/>
            </w:pPr>
            <w:r>
              <w:rPr>
                <w:rFonts w:ascii="Times New Roman" w:hAnsi="Times New Roman" w:cs="Times New Roman"/>
                <w:noProof/>
              </w:rPr>
              <w:drawing>
                <wp:anchor distT="0" distB="0" distL="114300" distR="114300" simplePos="0" relativeHeight="251503616" behindDoc="0" locked="0" layoutInCell="1" allowOverlap="1" wp14:anchorId="7C52A3D3" wp14:editId="0F93DBAE">
                  <wp:simplePos x="0" y="0"/>
                  <wp:positionH relativeFrom="column">
                    <wp:posOffset>635</wp:posOffset>
                  </wp:positionH>
                  <wp:positionV relativeFrom="paragraph">
                    <wp:posOffset>344170</wp:posOffset>
                  </wp:positionV>
                  <wp:extent cx="2837180" cy="2166620"/>
                  <wp:effectExtent l="0" t="0" r="1270" b="5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7180" cy="2166620"/>
                          </a:xfrm>
                          <a:prstGeom prst="rect">
                            <a:avLst/>
                          </a:prstGeom>
                          <a:noFill/>
                        </pic:spPr>
                      </pic:pic>
                    </a:graphicData>
                  </a:graphic>
                  <wp14:sizeRelV relativeFrom="margin">
                    <wp14:pctHeight>0</wp14:pctHeight>
                  </wp14:sizeRelV>
                </wp:anchor>
              </w:drawing>
            </w:r>
            <w:r>
              <w:rPr>
                <w:noProof/>
              </w:rPr>
              <mc:AlternateContent>
                <mc:Choice Requires="wps">
                  <w:drawing>
                    <wp:anchor distT="0" distB="0" distL="114300" distR="114300" simplePos="0" relativeHeight="251515904" behindDoc="0" locked="0" layoutInCell="1" allowOverlap="1" wp14:anchorId="78B20874" wp14:editId="78113093">
                      <wp:simplePos x="0" y="0"/>
                      <wp:positionH relativeFrom="column">
                        <wp:posOffset>-3022</wp:posOffset>
                      </wp:positionH>
                      <wp:positionV relativeFrom="paragraph">
                        <wp:posOffset>18043</wp:posOffset>
                      </wp:positionV>
                      <wp:extent cx="283845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wps:spPr>
                            <wps:txbx>
                              <w:txbxContent>
                                <w:p w14:paraId="0A888D52" w14:textId="129ED92E" w:rsidR="00FA27B5" w:rsidRPr="00B87C41" w:rsidRDefault="00FA27B5" w:rsidP="00B87C41">
                                  <w:pPr>
                                    <w:pStyle w:val="Caption"/>
                                    <w:jc w:val="center"/>
                                    <w:rPr>
                                      <w:rFonts w:ascii="Times New Roman" w:hAnsi="Times New Roman" w:cs="Times New Roman"/>
                                      <w:b/>
                                      <w:bCs/>
                                      <w:color w:val="2F5496" w:themeColor="accent1" w:themeShade="BF"/>
                                      <w:sz w:val="20"/>
                                      <w:szCs w:val="20"/>
                                    </w:rPr>
                                  </w:pPr>
                                  <w:bookmarkStart w:id="74" w:name="_Toc103950890"/>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16</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Lorenz curve of per capita consumption</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B20874" id="Text Box 14" o:spid="_x0000_s1048" type="#_x0000_t202" style="position:absolute;left:0;text-align:left;margin-left:-.25pt;margin-top:1.4pt;width:223.5pt;height:.0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" stroked="f">
                      <v:textbox style="mso-fit-shape-to-text:t" inset="0,0,0,0">
                        <w:txbxContent>
                          <w:p w14:paraId="0A888D52" w14:textId="129ED92E" w:rsidR="00FA27B5" w:rsidRPr="00B87C41" w:rsidRDefault="00FA27B5" w:rsidP="00B87C41">
                            <w:pPr>
                              <w:pStyle w:val="Caption"/>
                              <w:jc w:val="center"/>
                              <w:rPr>
                                <w:rFonts w:ascii="Times New Roman" w:hAnsi="Times New Roman" w:cs="Times New Roman"/>
                                <w:b/>
                                <w:bCs/>
                                <w:color w:val="2F5496" w:themeColor="accent1" w:themeShade="BF"/>
                                <w:sz w:val="20"/>
                                <w:szCs w:val="20"/>
                              </w:rPr>
                            </w:pPr>
                            <w:bookmarkStart w:id="75" w:name="_Toc103950890"/>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16</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Lorenz curve of per capita consumption</w:t>
                            </w:r>
                            <w:bookmarkEnd w:id="75"/>
                          </w:p>
                        </w:txbxContent>
                      </v:textbox>
                      <w10:wrap type="topAndBottom"/>
                    </v:shape>
                  </w:pict>
                </mc:Fallback>
              </mc:AlternateContent>
            </w:r>
          </w:p>
        </w:tc>
      </w:tr>
    </w:tbl>
    <w:p w14:paraId="1BA64119" w14:textId="2AC9336B" w:rsidR="00DB6E0C" w:rsidRDefault="008547A8" w:rsidP="005314C0">
      <w:pPr>
        <w:jc w:val="both"/>
        <w:rPr>
          <w:rFonts w:ascii="Times New Roman" w:hAnsi="Times New Roman" w:cs="Times New Roman"/>
          <w:sz w:val="18"/>
          <w:szCs w:val="18"/>
        </w:rPr>
      </w:pPr>
      <w:r w:rsidRPr="008547A8">
        <w:rPr>
          <w:rFonts w:ascii="Times New Roman" w:hAnsi="Times New Roman" w:cs="Times New Roman"/>
          <w:sz w:val="18"/>
          <w:szCs w:val="18"/>
        </w:rPr>
        <w:t>Source: Author’s calculation using IDRF2015</w:t>
      </w:r>
    </w:p>
    <w:p w14:paraId="03C661EC" w14:textId="77777777" w:rsidR="00B96C51" w:rsidRPr="008547A8" w:rsidRDefault="00B96C51" w:rsidP="005314C0">
      <w:pPr>
        <w:jc w:val="both"/>
        <w:rPr>
          <w:rFonts w:ascii="Times New Roman" w:hAnsi="Times New Roman" w:cs="Times New Roman"/>
          <w:sz w:val="18"/>
          <w:szCs w:val="18"/>
        </w:rPr>
      </w:pPr>
    </w:p>
    <w:p w14:paraId="5625B4BF" w14:textId="5E238D3B" w:rsidR="00DB6E0C" w:rsidRPr="00DB6E0C" w:rsidRDefault="00B714F3" w:rsidP="00DB6E0C">
      <w:pPr>
        <w:keepNext/>
        <w:keepLines/>
        <w:numPr>
          <w:ilvl w:val="1"/>
          <w:numId w:val="1"/>
        </w:numPr>
        <w:spacing w:before="240" w:after="240"/>
        <w:outlineLvl w:val="0"/>
        <w:rPr>
          <w:rFonts w:ascii="Times New Roman" w:eastAsiaTheme="majorEastAsia" w:hAnsi="Times New Roman" w:cs="Times New Roman"/>
          <w:bCs/>
          <w:color w:val="2F5496" w:themeColor="accent1" w:themeShade="BF"/>
          <w:sz w:val="32"/>
          <w:szCs w:val="32"/>
        </w:rPr>
      </w:pPr>
      <w:bookmarkStart w:id="76" w:name="_Toc66453799"/>
      <w:bookmarkStart w:id="77" w:name="_Toc70346648"/>
      <w:bookmarkStart w:id="78" w:name="_Toc105592810"/>
      <w:r w:rsidRPr="00B714F3">
        <w:rPr>
          <w:rFonts w:ascii="Times New Roman" w:eastAsiaTheme="majorEastAsia" w:hAnsi="Times New Roman" w:cs="Times New Roman"/>
          <w:bCs/>
          <w:color w:val="2F5496" w:themeColor="accent1" w:themeShade="BF"/>
          <w:sz w:val="32"/>
          <w:szCs w:val="32"/>
        </w:rPr>
        <w:t>Outlook and Risks</w:t>
      </w:r>
      <w:bookmarkEnd w:id="76"/>
      <w:bookmarkEnd w:id="77"/>
      <w:bookmarkEnd w:id="78"/>
    </w:p>
    <w:p w14:paraId="15B267BD" w14:textId="360D3388" w:rsidR="00130776" w:rsidRPr="009B3253" w:rsidRDefault="00F03527" w:rsidP="0087039C">
      <w:pPr>
        <w:spacing w:line="276" w:lineRule="auto"/>
        <w:jc w:val="both"/>
        <w:rPr>
          <w:rFonts w:ascii="Times New Roman" w:hAnsi="Times New Roman" w:cs="Times New Roman"/>
        </w:rPr>
      </w:pPr>
      <w:r>
        <w:rPr>
          <w:rFonts w:ascii="Times New Roman" w:hAnsi="Times New Roman" w:cs="Times New Roman"/>
          <w:b/>
          <w:bCs/>
        </w:rPr>
        <w:t>18</w:t>
      </w:r>
      <w:r w:rsidR="00FD4A8F">
        <w:rPr>
          <w:rFonts w:ascii="Times New Roman" w:hAnsi="Times New Roman" w:cs="Times New Roman"/>
          <w:b/>
          <w:bCs/>
        </w:rPr>
        <w:t xml:space="preserve">. </w:t>
      </w:r>
      <w:r w:rsidR="00742800" w:rsidRPr="00742800">
        <w:rPr>
          <w:rFonts w:ascii="Times New Roman" w:hAnsi="Times New Roman" w:cs="Times New Roman"/>
          <w:b/>
          <w:bCs/>
        </w:rPr>
        <w:t xml:space="preserve">The strong post-COVID-19 economy recovery was set to continue in 2022 underpinned by the reactivation of the tourism sector, but the impact of the Ukraine war reduced growth perspectives in the short term. </w:t>
      </w:r>
      <w:r w:rsidR="00742800" w:rsidRPr="009B3253">
        <w:rPr>
          <w:rFonts w:ascii="Times New Roman" w:hAnsi="Times New Roman" w:cs="Times New Roman"/>
        </w:rPr>
        <w:t>Real GDP growth was set to remain high, while public debt as a share of GDP was set to start decreasing driven by fiscal consolidation and economic growth. However, the war in Ukraine substantially impacted the short-term outlook due to significant higher oil and food prices. The fiscal measures taken by the government to alleviate the impact of inflation on the poor will increase fiscal financing needs in 2022, thereby increasing public debt. Tourism flows can also be impacted as economic conditions in Europe tighten and air transportation costs increase.</w:t>
      </w:r>
    </w:p>
    <w:p w14:paraId="274B5ECF" w14:textId="337EB37C" w:rsidR="0087039C" w:rsidRDefault="00F03527" w:rsidP="0087039C">
      <w:pPr>
        <w:spacing w:line="276" w:lineRule="auto"/>
        <w:jc w:val="both"/>
        <w:rPr>
          <w:rFonts w:ascii="Times New Roman" w:hAnsi="Times New Roman" w:cs="Times New Roman"/>
        </w:rPr>
      </w:pPr>
      <w:r>
        <w:rPr>
          <w:rFonts w:ascii="Times New Roman" w:hAnsi="Times New Roman" w:cs="Times New Roman"/>
          <w:b/>
          <w:bCs/>
        </w:rPr>
        <w:t>19</w:t>
      </w:r>
      <w:r w:rsidR="00AA2CC9">
        <w:rPr>
          <w:rFonts w:ascii="Times New Roman" w:hAnsi="Times New Roman" w:cs="Times New Roman"/>
          <w:b/>
          <w:bCs/>
        </w:rPr>
        <w:t xml:space="preserve">. </w:t>
      </w:r>
      <w:r w:rsidR="0087039C" w:rsidRPr="00685843">
        <w:rPr>
          <w:rFonts w:ascii="Times New Roman" w:hAnsi="Times New Roman" w:cs="Times New Roman"/>
          <w:b/>
          <w:bCs/>
        </w:rPr>
        <w:t xml:space="preserve">Real GDP </w:t>
      </w:r>
      <w:r w:rsidR="008615A9" w:rsidRPr="00685843">
        <w:rPr>
          <w:rFonts w:ascii="Times New Roman" w:hAnsi="Times New Roman" w:cs="Times New Roman"/>
          <w:b/>
          <w:bCs/>
        </w:rPr>
        <w:t xml:space="preserve">growth </w:t>
      </w:r>
      <w:r w:rsidR="0087039C" w:rsidRPr="00685843">
        <w:rPr>
          <w:rFonts w:ascii="Times New Roman" w:hAnsi="Times New Roman" w:cs="Times New Roman"/>
          <w:b/>
          <w:bCs/>
        </w:rPr>
        <w:t xml:space="preserve">is </w:t>
      </w:r>
      <w:r w:rsidR="00AE3F9B">
        <w:rPr>
          <w:rFonts w:ascii="Times New Roman" w:hAnsi="Times New Roman" w:cs="Times New Roman"/>
          <w:b/>
          <w:bCs/>
        </w:rPr>
        <w:t xml:space="preserve">expected to reach </w:t>
      </w:r>
      <w:r w:rsidR="00D117F6">
        <w:rPr>
          <w:rFonts w:ascii="Times New Roman" w:hAnsi="Times New Roman" w:cs="Times New Roman"/>
          <w:b/>
          <w:bCs/>
        </w:rPr>
        <w:t>4</w:t>
      </w:r>
      <w:r w:rsidR="008615A9" w:rsidRPr="00685843">
        <w:rPr>
          <w:rFonts w:ascii="Times New Roman" w:hAnsi="Times New Roman" w:cs="Times New Roman"/>
          <w:b/>
          <w:bCs/>
        </w:rPr>
        <w:t xml:space="preserve"> </w:t>
      </w:r>
      <w:r w:rsidR="00F60627" w:rsidRPr="00685843">
        <w:rPr>
          <w:rFonts w:ascii="Times New Roman" w:hAnsi="Times New Roman" w:cs="Times New Roman"/>
          <w:b/>
          <w:bCs/>
        </w:rPr>
        <w:t>percent in</w:t>
      </w:r>
      <w:r w:rsidR="0087039C" w:rsidRPr="00685843">
        <w:rPr>
          <w:rFonts w:ascii="Times New Roman" w:hAnsi="Times New Roman" w:cs="Times New Roman"/>
          <w:b/>
          <w:bCs/>
        </w:rPr>
        <w:t xml:space="preserve"> 202</w:t>
      </w:r>
      <w:r w:rsidR="00F60627" w:rsidRPr="00685843">
        <w:rPr>
          <w:rFonts w:ascii="Times New Roman" w:hAnsi="Times New Roman" w:cs="Times New Roman"/>
          <w:b/>
          <w:bCs/>
        </w:rPr>
        <w:t>2</w:t>
      </w:r>
      <w:r w:rsidR="0087039C" w:rsidRPr="00685843">
        <w:rPr>
          <w:rFonts w:ascii="Times New Roman" w:hAnsi="Times New Roman" w:cs="Times New Roman"/>
          <w:b/>
          <w:bCs/>
        </w:rPr>
        <w:t xml:space="preserve"> </w:t>
      </w:r>
      <w:r w:rsidR="00135E8F">
        <w:rPr>
          <w:rFonts w:ascii="Times New Roman" w:hAnsi="Times New Roman" w:cs="Times New Roman"/>
          <w:b/>
          <w:bCs/>
        </w:rPr>
        <w:t>due to inflationar</w:t>
      </w:r>
      <w:r w:rsidR="0061256B">
        <w:rPr>
          <w:rFonts w:ascii="Times New Roman" w:hAnsi="Times New Roman" w:cs="Times New Roman"/>
          <w:b/>
          <w:bCs/>
        </w:rPr>
        <w:t xml:space="preserve">y headwinds from the Ukraine war but is expected to </w:t>
      </w:r>
      <w:r w:rsidR="001E1333">
        <w:rPr>
          <w:rFonts w:ascii="Times New Roman" w:hAnsi="Times New Roman" w:cs="Times New Roman"/>
          <w:b/>
          <w:bCs/>
        </w:rPr>
        <w:t xml:space="preserve">gradually increase thereafter. </w:t>
      </w:r>
      <w:r w:rsidR="00BD3E5B">
        <w:rPr>
          <w:rFonts w:ascii="Times New Roman" w:hAnsi="Times New Roman" w:cs="Times New Roman"/>
        </w:rPr>
        <w:t>G</w:t>
      </w:r>
      <w:r w:rsidR="0087039C" w:rsidRPr="00685843">
        <w:rPr>
          <w:rFonts w:ascii="Times New Roman" w:hAnsi="Times New Roman" w:cs="Times New Roman"/>
        </w:rPr>
        <w:t xml:space="preserve">rowth </w:t>
      </w:r>
      <w:r w:rsidR="00E33907" w:rsidRPr="00685843">
        <w:rPr>
          <w:rFonts w:ascii="Times New Roman" w:hAnsi="Times New Roman" w:cs="Times New Roman"/>
        </w:rPr>
        <w:t xml:space="preserve">will be supported </w:t>
      </w:r>
      <w:r w:rsidR="00145BFE" w:rsidRPr="00685843">
        <w:rPr>
          <w:rFonts w:ascii="Times New Roman" w:hAnsi="Times New Roman" w:cs="Times New Roman"/>
        </w:rPr>
        <w:t xml:space="preserve">by the </w:t>
      </w:r>
      <w:r w:rsidR="00650182" w:rsidRPr="00685843">
        <w:rPr>
          <w:rFonts w:ascii="Times New Roman" w:hAnsi="Times New Roman" w:cs="Times New Roman"/>
        </w:rPr>
        <w:t>continued recovery of the tourism sector</w:t>
      </w:r>
      <w:r w:rsidR="00FD3A00" w:rsidRPr="00685843">
        <w:t xml:space="preserve"> </w:t>
      </w:r>
      <w:r w:rsidR="00FD3A00" w:rsidRPr="00685843">
        <w:rPr>
          <w:rFonts w:ascii="Times New Roman" w:hAnsi="Times New Roman" w:cs="Times New Roman"/>
        </w:rPr>
        <w:t>as the impact of the</w:t>
      </w:r>
      <w:r w:rsidR="00FD3A00" w:rsidRPr="00FD3A00">
        <w:rPr>
          <w:rFonts w:ascii="Times New Roman" w:hAnsi="Times New Roman" w:cs="Times New Roman"/>
        </w:rPr>
        <w:t xml:space="preserve"> pandemic fades</w:t>
      </w:r>
      <w:r w:rsidR="00A55455">
        <w:rPr>
          <w:rFonts w:ascii="Times New Roman" w:hAnsi="Times New Roman" w:cs="Times New Roman"/>
        </w:rPr>
        <w:t xml:space="preserve"> and</w:t>
      </w:r>
      <w:r w:rsidR="00FD3A00" w:rsidRPr="00FD3A00">
        <w:rPr>
          <w:rFonts w:ascii="Times New Roman" w:hAnsi="Times New Roman" w:cs="Times New Roman"/>
        </w:rPr>
        <w:t xml:space="preserve"> vaccination coverage increases</w:t>
      </w:r>
      <w:r w:rsidR="007D3FCA">
        <w:rPr>
          <w:rFonts w:ascii="Times New Roman" w:hAnsi="Times New Roman" w:cs="Times New Roman"/>
        </w:rPr>
        <w:t xml:space="preserve">. </w:t>
      </w:r>
      <w:r w:rsidR="00E03471" w:rsidRPr="00E03471">
        <w:rPr>
          <w:rFonts w:ascii="Times New Roman" w:hAnsi="Times New Roman" w:cs="Times New Roman"/>
        </w:rPr>
        <w:t>Growth is expected to average 5.3 percent between 2023 and 2025, led by the recovery of tourism and investments in the ICT, energy, and fishery sectors</w:t>
      </w:r>
      <w:r w:rsidR="00DB6534" w:rsidRPr="00DB6534">
        <w:rPr>
          <w:rFonts w:ascii="Times New Roman" w:hAnsi="Times New Roman" w:cs="Times New Roman"/>
        </w:rPr>
        <w:t>.</w:t>
      </w:r>
      <w:r w:rsidR="00DB6534">
        <w:rPr>
          <w:rFonts w:ascii="Times New Roman" w:hAnsi="Times New Roman" w:cs="Times New Roman"/>
        </w:rPr>
        <w:t xml:space="preserve"> </w:t>
      </w:r>
      <w:r w:rsidR="004857D9" w:rsidRPr="004857D9">
        <w:rPr>
          <w:rFonts w:ascii="Times New Roman" w:hAnsi="Times New Roman" w:cs="Times New Roman"/>
        </w:rPr>
        <w:t>Newly opened hotels have increased capacity and will support a sustained increase in tourist arrivals</w:t>
      </w:r>
      <w:r w:rsidR="005C6031">
        <w:rPr>
          <w:rFonts w:ascii="Times New Roman" w:hAnsi="Times New Roman" w:cs="Times New Roman"/>
        </w:rPr>
        <w:t>.</w:t>
      </w:r>
      <w:r w:rsidR="004857D9" w:rsidRPr="004857D9">
        <w:rPr>
          <w:rFonts w:ascii="Times New Roman" w:hAnsi="Times New Roman" w:cs="Times New Roman"/>
        </w:rPr>
        <w:t xml:space="preserve"> </w:t>
      </w:r>
      <w:r w:rsidR="00283896">
        <w:rPr>
          <w:rFonts w:ascii="Times New Roman" w:hAnsi="Times New Roman" w:cs="Times New Roman"/>
        </w:rPr>
        <w:t>A</w:t>
      </w:r>
      <w:r w:rsidR="00B414FB">
        <w:rPr>
          <w:rFonts w:ascii="Times New Roman" w:hAnsi="Times New Roman" w:cs="Times New Roman"/>
        </w:rPr>
        <w:t>s</w:t>
      </w:r>
      <w:r w:rsidR="00283896">
        <w:rPr>
          <w:rFonts w:ascii="Times New Roman" w:hAnsi="Times New Roman" w:cs="Times New Roman"/>
        </w:rPr>
        <w:t xml:space="preserve"> </w:t>
      </w:r>
      <w:r w:rsidR="00B414FB">
        <w:rPr>
          <w:rFonts w:ascii="Times New Roman" w:hAnsi="Times New Roman" w:cs="Times New Roman"/>
        </w:rPr>
        <w:t>t</w:t>
      </w:r>
      <w:r w:rsidR="0087039C" w:rsidRPr="0087039C">
        <w:rPr>
          <w:rFonts w:ascii="Times New Roman" w:hAnsi="Times New Roman" w:cs="Times New Roman"/>
        </w:rPr>
        <w:t xml:space="preserve">he Government </w:t>
      </w:r>
      <w:r w:rsidR="00630504">
        <w:rPr>
          <w:rFonts w:ascii="Times New Roman" w:hAnsi="Times New Roman" w:cs="Times New Roman"/>
        </w:rPr>
        <w:t xml:space="preserve">restructures </w:t>
      </w:r>
      <w:r w:rsidR="00D26150" w:rsidRPr="00D26150">
        <w:rPr>
          <w:rFonts w:ascii="Times New Roman" w:hAnsi="Times New Roman" w:cs="Times New Roman"/>
        </w:rPr>
        <w:t>the operation of several important SOEs through public-private partnerships (PPPs), direct sale and concession arrangements</w:t>
      </w:r>
      <w:r w:rsidR="008C6E5D">
        <w:rPr>
          <w:rFonts w:ascii="Times New Roman" w:hAnsi="Times New Roman" w:cs="Times New Roman"/>
        </w:rPr>
        <w:t>,</w:t>
      </w:r>
      <w:r w:rsidR="0087039C" w:rsidRPr="0087039C">
        <w:rPr>
          <w:rFonts w:ascii="Times New Roman" w:hAnsi="Times New Roman" w:cs="Times New Roman"/>
        </w:rPr>
        <w:t xml:space="preserve"> </w:t>
      </w:r>
      <w:r w:rsidR="00E76508">
        <w:rPr>
          <w:rFonts w:ascii="Times New Roman" w:hAnsi="Times New Roman" w:cs="Times New Roman"/>
        </w:rPr>
        <w:t xml:space="preserve">and </w:t>
      </w:r>
      <w:r w:rsidR="00E76508" w:rsidRPr="00E76508">
        <w:rPr>
          <w:rFonts w:ascii="Times New Roman" w:hAnsi="Times New Roman" w:cs="Times New Roman"/>
        </w:rPr>
        <w:t>implements structural reforms under the strategic plan for sustainable development (PEDS 22-26)</w:t>
      </w:r>
      <w:r w:rsidR="00E76508">
        <w:rPr>
          <w:rFonts w:ascii="Times New Roman" w:hAnsi="Times New Roman" w:cs="Times New Roman"/>
        </w:rPr>
        <w:t xml:space="preserve">, </w:t>
      </w:r>
      <w:r w:rsidR="00101B41">
        <w:rPr>
          <w:rFonts w:ascii="Times New Roman" w:hAnsi="Times New Roman" w:cs="Times New Roman"/>
        </w:rPr>
        <w:t xml:space="preserve">further </w:t>
      </w:r>
      <w:r w:rsidR="0087039C" w:rsidRPr="0087039C">
        <w:rPr>
          <w:rFonts w:ascii="Times New Roman" w:hAnsi="Times New Roman" w:cs="Times New Roman"/>
        </w:rPr>
        <w:t>private investment will be mobilized</w:t>
      </w:r>
      <w:r w:rsidR="00FD2FB2">
        <w:rPr>
          <w:rFonts w:ascii="Times New Roman" w:hAnsi="Times New Roman" w:cs="Times New Roman"/>
        </w:rPr>
        <w:t xml:space="preserve"> </w:t>
      </w:r>
      <w:r w:rsidR="00556A7A">
        <w:rPr>
          <w:rFonts w:ascii="Times New Roman" w:hAnsi="Times New Roman" w:cs="Times New Roman"/>
        </w:rPr>
        <w:t xml:space="preserve">to </w:t>
      </w:r>
      <w:r w:rsidR="009739F0">
        <w:rPr>
          <w:rFonts w:ascii="Times New Roman" w:hAnsi="Times New Roman" w:cs="Times New Roman"/>
        </w:rPr>
        <w:t>support growth</w:t>
      </w:r>
      <w:r w:rsidR="0087039C" w:rsidRPr="0087039C">
        <w:rPr>
          <w:rFonts w:ascii="Times New Roman" w:hAnsi="Times New Roman" w:cs="Times New Roman"/>
        </w:rPr>
        <w:t xml:space="preserve">. </w:t>
      </w:r>
    </w:p>
    <w:p w14:paraId="18476BE3" w14:textId="1CDA9F27" w:rsidR="0087039C" w:rsidRPr="0087039C" w:rsidRDefault="00FD4A8F" w:rsidP="0087039C">
      <w:pPr>
        <w:spacing w:line="276" w:lineRule="auto"/>
        <w:jc w:val="both"/>
        <w:rPr>
          <w:rFonts w:ascii="Times New Roman" w:hAnsi="Times New Roman" w:cs="Times New Roman"/>
        </w:rPr>
      </w:pPr>
      <w:r>
        <w:rPr>
          <w:rFonts w:ascii="Times New Roman" w:hAnsi="Times New Roman" w:cs="Times New Roman"/>
          <w:b/>
          <w:bCs/>
        </w:rPr>
        <w:t>2</w:t>
      </w:r>
      <w:r w:rsidR="00F03527">
        <w:rPr>
          <w:rFonts w:ascii="Times New Roman" w:hAnsi="Times New Roman" w:cs="Times New Roman"/>
          <w:b/>
          <w:bCs/>
        </w:rPr>
        <w:t>0</w:t>
      </w:r>
      <w:r>
        <w:rPr>
          <w:rFonts w:ascii="Times New Roman" w:hAnsi="Times New Roman" w:cs="Times New Roman"/>
          <w:b/>
          <w:bCs/>
        </w:rPr>
        <w:t xml:space="preserve">. </w:t>
      </w:r>
      <w:r w:rsidR="0087039C" w:rsidRPr="00DC58F9">
        <w:rPr>
          <w:rFonts w:ascii="Times New Roman" w:hAnsi="Times New Roman" w:cs="Times New Roman"/>
          <w:b/>
          <w:bCs/>
        </w:rPr>
        <w:t>Inflation</w:t>
      </w:r>
      <w:r w:rsidR="00151D0A" w:rsidRPr="00DC58F9">
        <w:rPr>
          <w:rFonts w:ascii="Times New Roman" w:hAnsi="Times New Roman" w:cs="Times New Roman"/>
          <w:b/>
          <w:bCs/>
        </w:rPr>
        <w:t xml:space="preserve"> </w:t>
      </w:r>
      <w:r w:rsidR="0087039C" w:rsidRPr="00DC58F9">
        <w:rPr>
          <w:rFonts w:ascii="Times New Roman" w:hAnsi="Times New Roman" w:cs="Times New Roman"/>
          <w:b/>
          <w:bCs/>
        </w:rPr>
        <w:t xml:space="preserve">is expected </w:t>
      </w:r>
      <w:r w:rsidR="00770070" w:rsidRPr="00DC58F9">
        <w:rPr>
          <w:rFonts w:ascii="Times New Roman" w:hAnsi="Times New Roman" w:cs="Times New Roman"/>
          <w:b/>
          <w:bCs/>
        </w:rPr>
        <w:t>to peak in 2022</w:t>
      </w:r>
      <w:r w:rsidR="00E01410">
        <w:rPr>
          <w:rFonts w:ascii="Times New Roman" w:hAnsi="Times New Roman" w:cs="Times New Roman"/>
          <w:b/>
          <w:bCs/>
        </w:rPr>
        <w:t>, reaching 6.5 percent</w:t>
      </w:r>
      <w:r w:rsidR="00497F65" w:rsidRPr="00DC58F9">
        <w:rPr>
          <w:rFonts w:ascii="Times New Roman" w:hAnsi="Times New Roman" w:cs="Times New Roman"/>
          <w:b/>
          <w:bCs/>
        </w:rPr>
        <w:t xml:space="preserve"> </w:t>
      </w:r>
      <w:r w:rsidR="00C57334" w:rsidRPr="00DC58F9">
        <w:rPr>
          <w:rFonts w:ascii="Times New Roman" w:hAnsi="Times New Roman" w:cs="Times New Roman"/>
          <w:b/>
          <w:bCs/>
        </w:rPr>
        <w:t>in line with</w:t>
      </w:r>
      <w:r w:rsidR="009A05F8" w:rsidRPr="00DC58F9">
        <w:rPr>
          <w:rFonts w:ascii="Times New Roman" w:hAnsi="Times New Roman" w:cs="Times New Roman"/>
          <w:b/>
          <w:bCs/>
        </w:rPr>
        <w:t xml:space="preserve"> worldwide</w:t>
      </w:r>
      <w:r w:rsidR="00980D89" w:rsidRPr="00980D89">
        <w:rPr>
          <w:rFonts w:ascii="Times New Roman" w:hAnsi="Times New Roman" w:cs="Times New Roman"/>
          <w:b/>
          <w:bCs/>
        </w:rPr>
        <w:t xml:space="preserve"> </w:t>
      </w:r>
      <w:r w:rsidR="00980D89" w:rsidRPr="00DC58F9">
        <w:rPr>
          <w:rFonts w:ascii="Times New Roman" w:hAnsi="Times New Roman" w:cs="Times New Roman"/>
          <w:b/>
          <w:bCs/>
        </w:rPr>
        <w:t>trend</w:t>
      </w:r>
      <w:r w:rsidR="0037497C">
        <w:rPr>
          <w:rFonts w:ascii="Times New Roman" w:hAnsi="Times New Roman" w:cs="Times New Roman"/>
          <w:b/>
          <w:bCs/>
        </w:rPr>
        <w:t>s</w:t>
      </w:r>
      <w:r w:rsidR="009A05F8" w:rsidRPr="00DC58F9">
        <w:rPr>
          <w:rFonts w:ascii="Times New Roman" w:hAnsi="Times New Roman" w:cs="Times New Roman"/>
          <w:b/>
          <w:bCs/>
        </w:rPr>
        <w:t xml:space="preserve"> and particularly in the euro </w:t>
      </w:r>
      <w:r w:rsidR="00F8370E" w:rsidRPr="00DC58F9">
        <w:rPr>
          <w:rFonts w:ascii="Times New Roman" w:hAnsi="Times New Roman" w:cs="Times New Roman"/>
          <w:b/>
          <w:bCs/>
        </w:rPr>
        <w:t>zone</w:t>
      </w:r>
      <w:r w:rsidR="0037497C">
        <w:rPr>
          <w:rFonts w:ascii="Times New Roman" w:hAnsi="Times New Roman" w:cs="Times New Roman"/>
          <w:b/>
          <w:bCs/>
        </w:rPr>
        <w:t>,</w:t>
      </w:r>
      <w:r w:rsidR="00F8370E">
        <w:rPr>
          <w:rFonts w:ascii="Times New Roman" w:hAnsi="Times New Roman" w:cs="Times New Roman"/>
          <w:b/>
          <w:bCs/>
        </w:rPr>
        <w:t xml:space="preserve"> aggravated by the </w:t>
      </w:r>
      <w:r w:rsidR="00F8370E" w:rsidRPr="00F8370E">
        <w:rPr>
          <w:rFonts w:ascii="Times New Roman" w:hAnsi="Times New Roman" w:cs="Times New Roman"/>
          <w:b/>
          <w:bCs/>
        </w:rPr>
        <w:t>Russia-Ukraine conflict</w:t>
      </w:r>
      <w:r w:rsidR="009A05F8" w:rsidRPr="00DC58F9">
        <w:rPr>
          <w:rFonts w:ascii="Times New Roman" w:hAnsi="Times New Roman" w:cs="Times New Roman"/>
          <w:b/>
          <w:bCs/>
        </w:rPr>
        <w:t>.</w:t>
      </w:r>
      <w:r w:rsidR="007C52B7">
        <w:rPr>
          <w:rFonts w:ascii="Times New Roman" w:hAnsi="Times New Roman" w:cs="Times New Roman"/>
        </w:rPr>
        <w:t xml:space="preserve"> </w:t>
      </w:r>
      <w:r w:rsidR="00102D8D" w:rsidRPr="00102D8D">
        <w:rPr>
          <w:rFonts w:ascii="Times New Roman" w:hAnsi="Times New Roman" w:cs="Times New Roman"/>
        </w:rPr>
        <w:t>High international oil prices will drive increases in the domestic price of fuels and grains, with a negative impact on various sectors of economic activity. Inflationary pressures in energy, coupled with rising food import prices, can increase food insecurity, and have a significantly negative impact on the poor.</w:t>
      </w:r>
      <w:r w:rsidR="001F4284" w:rsidRPr="001F4284">
        <w:rPr>
          <w:rFonts w:ascii="Times New Roman" w:hAnsi="Times New Roman" w:cs="Times New Roman"/>
        </w:rPr>
        <w:t xml:space="preserve"> </w:t>
      </w:r>
      <w:r w:rsidR="002E40D2" w:rsidRPr="002E40D2">
        <w:rPr>
          <w:rFonts w:ascii="Times New Roman" w:hAnsi="Times New Roman" w:cs="Times New Roman"/>
        </w:rPr>
        <w:t xml:space="preserve"> </w:t>
      </w:r>
      <w:r w:rsidR="00AA2B15">
        <w:rPr>
          <w:rFonts w:ascii="Times New Roman" w:hAnsi="Times New Roman" w:cs="Times New Roman"/>
        </w:rPr>
        <w:t xml:space="preserve">Inflation </w:t>
      </w:r>
      <w:r w:rsidR="00C904DE">
        <w:rPr>
          <w:rFonts w:ascii="Times New Roman" w:hAnsi="Times New Roman" w:cs="Times New Roman"/>
        </w:rPr>
        <w:t xml:space="preserve">is projected to </w:t>
      </w:r>
      <w:r w:rsidR="001055E2">
        <w:rPr>
          <w:rFonts w:ascii="Times New Roman" w:hAnsi="Times New Roman" w:cs="Times New Roman"/>
        </w:rPr>
        <w:t xml:space="preserve">start stabilizing in 2023 as </w:t>
      </w:r>
      <w:r w:rsidR="00B415EA">
        <w:rPr>
          <w:rFonts w:ascii="Times New Roman" w:hAnsi="Times New Roman" w:cs="Times New Roman"/>
        </w:rPr>
        <w:t>the shock</w:t>
      </w:r>
      <w:r w:rsidR="009A65FB">
        <w:rPr>
          <w:rFonts w:ascii="Times New Roman" w:hAnsi="Times New Roman" w:cs="Times New Roman"/>
        </w:rPr>
        <w:t xml:space="preserve"> from the Ukraine conflict is </w:t>
      </w:r>
      <w:r w:rsidR="009B0BBD">
        <w:rPr>
          <w:rFonts w:ascii="Times New Roman" w:hAnsi="Times New Roman" w:cs="Times New Roman"/>
        </w:rPr>
        <w:t xml:space="preserve">fully absorbed, </w:t>
      </w:r>
      <w:r w:rsidR="001055E2">
        <w:rPr>
          <w:rFonts w:ascii="Times New Roman" w:hAnsi="Times New Roman" w:cs="Times New Roman"/>
        </w:rPr>
        <w:t>supply disr</w:t>
      </w:r>
      <w:r w:rsidR="00E13AAC">
        <w:rPr>
          <w:rFonts w:ascii="Times New Roman" w:hAnsi="Times New Roman" w:cs="Times New Roman"/>
        </w:rPr>
        <w:t xml:space="preserve">uptions abate and </w:t>
      </w:r>
      <w:r w:rsidR="00E13AAC">
        <w:rPr>
          <w:rFonts w:ascii="Times New Roman" w:hAnsi="Times New Roman" w:cs="Times New Roman"/>
        </w:rPr>
        <w:lastRenderedPageBreak/>
        <w:t>energy prices stabilize.</w:t>
      </w:r>
      <w:r w:rsidR="004950E5">
        <w:rPr>
          <w:rStyle w:val="FootnoteReference"/>
          <w:rFonts w:ascii="Times New Roman" w:hAnsi="Times New Roman" w:cs="Times New Roman"/>
        </w:rPr>
        <w:footnoteReference w:id="3"/>
      </w:r>
      <w:r w:rsidR="00E13AAC">
        <w:rPr>
          <w:rFonts w:ascii="Times New Roman" w:hAnsi="Times New Roman" w:cs="Times New Roman"/>
        </w:rPr>
        <w:t xml:space="preserve"> </w:t>
      </w:r>
      <w:r w:rsidR="003522B3">
        <w:rPr>
          <w:rFonts w:ascii="Times New Roman" w:hAnsi="Times New Roman" w:cs="Times New Roman"/>
        </w:rPr>
        <w:t>In</w:t>
      </w:r>
      <w:r w:rsidR="0087039C" w:rsidRPr="0087039C">
        <w:rPr>
          <w:rFonts w:ascii="Times New Roman" w:hAnsi="Times New Roman" w:cs="Times New Roman"/>
        </w:rPr>
        <w:t xml:space="preserve"> the medium term, the strong nominal anchor provided by the peg with the Euro and the return to fiscal consolidation will keep inflation contained</w:t>
      </w:r>
      <w:r w:rsidR="00737E92">
        <w:rPr>
          <w:rFonts w:ascii="Times New Roman" w:hAnsi="Times New Roman" w:cs="Times New Roman"/>
        </w:rPr>
        <w:t>, converging to 2 percent</w:t>
      </w:r>
      <w:r w:rsidR="0087039C" w:rsidRPr="0087039C">
        <w:rPr>
          <w:rFonts w:ascii="Times New Roman" w:hAnsi="Times New Roman" w:cs="Times New Roman"/>
        </w:rPr>
        <w:t>. Monetary policy will continue to focus on improving transmission channels, including the low turnover in the interbank market, excess liquidity in the banking system, and limited development of the government securities market. The authorities plan to resume the recapitalization plan of the Central Bank, which started in 2019 but was halted in 2020 because of the crisis.</w:t>
      </w:r>
    </w:p>
    <w:p w14:paraId="0702945C" w14:textId="259516E1" w:rsidR="0087039C" w:rsidRDefault="00FD4A8F" w:rsidP="0087039C">
      <w:pPr>
        <w:spacing w:line="276" w:lineRule="auto"/>
        <w:jc w:val="both"/>
        <w:rPr>
          <w:rFonts w:ascii="Times New Roman" w:hAnsi="Times New Roman" w:cs="Times New Roman"/>
        </w:rPr>
      </w:pPr>
      <w:r>
        <w:rPr>
          <w:rFonts w:ascii="Times New Roman" w:hAnsi="Times New Roman" w:cs="Times New Roman"/>
          <w:b/>
          <w:bCs/>
        </w:rPr>
        <w:t>2</w:t>
      </w:r>
      <w:r w:rsidR="00F03527">
        <w:rPr>
          <w:rFonts w:ascii="Times New Roman" w:hAnsi="Times New Roman" w:cs="Times New Roman"/>
          <w:b/>
          <w:bCs/>
        </w:rPr>
        <w:t>1</w:t>
      </w:r>
      <w:r>
        <w:rPr>
          <w:rFonts w:ascii="Times New Roman" w:hAnsi="Times New Roman" w:cs="Times New Roman"/>
          <w:b/>
          <w:bCs/>
        </w:rPr>
        <w:t xml:space="preserve">. </w:t>
      </w:r>
      <w:r w:rsidR="002146C7">
        <w:rPr>
          <w:rFonts w:ascii="Times New Roman" w:hAnsi="Times New Roman" w:cs="Times New Roman"/>
          <w:b/>
          <w:bCs/>
        </w:rPr>
        <w:t>While export</w:t>
      </w:r>
      <w:r w:rsidR="00CC288C">
        <w:rPr>
          <w:rFonts w:ascii="Times New Roman" w:hAnsi="Times New Roman" w:cs="Times New Roman"/>
          <w:b/>
          <w:bCs/>
        </w:rPr>
        <w:t xml:space="preserve"> of services will continue rebounding in 2022, </w:t>
      </w:r>
      <w:r w:rsidR="0087039C" w:rsidRPr="00F030BB">
        <w:rPr>
          <w:rFonts w:ascii="Times New Roman" w:hAnsi="Times New Roman" w:cs="Times New Roman"/>
          <w:b/>
          <w:bCs/>
        </w:rPr>
        <w:t xml:space="preserve">the </w:t>
      </w:r>
      <w:r w:rsidR="00A652DB">
        <w:rPr>
          <w:rFonts w:ascii="Times New Roman" w:hAnsi="Times New Roman" w:cs="Times New Roman"/>
          <w:b/>
          <w:bCs/>
        </w:rPr>
        <w:t>CAD</w:t>
      </w:r>
      <w:r w:rsidR="0087039C" w:rsidRPr="00F030BB">
        <w:rPr>
          <w:rFonts w:ascii="Times New Roman" w:hAnsi="Times New Roman" w:cs="Times New Roman"/>
          <w:b/>
          <w:bCs/>
        </w:rPr>
        <w:t xml:space="preserve"> is </w:t>
      </w:r>
      <w:r w:rsidR="00235D9B" w:rsidRPr="00F030BB">
        <w:rPr>
          <w:rFonts w:ascii="Times New Roman" w:hAnsi="Times New Roman" w:cs="Times New Roman"/>
          <w:b/>
          <w:bCs/>
        </w:rPr>
        <w:t>projected</w:t>
      </w:r>
      <w:r w:rsidR="0087039C" w:rsidRPr="00F030BB">
        <w:rPr>
          <w:rFonts w:ascii="Times New Roman" w:hAnsi="Times New Roman" w:cs="Times New Roman"/>
          <w:b/>
          <w:bCs/>
        </w:rPr>
        <w:t xml:space="preserve"> to </w:t>
      </w:r>
      <w:r w:rsidR="004A6FB0">
        <w:rPr>
          <w:rFonts w:ascii="Times New Roman" w:hAnsi="Times New Roman" w:cs="Times New Roman"/>
          <w:b/>
          <w:bCs/>
        </w:rPr>
        <w:t xml:space="preserve">increase to 16.2 percent </w:t>
      </w:r>
      <w:r w:rsidR="00424905">
        <w:rPr>
          <w:rFonts w:ascii="Times New Roman" w:hAnsi="Times New Roman" w:cs="Times New Roman"/>
          <w:b/>
          <w:bCs/>
        </w:rPr>
        <w:t xml:space="preserve">of GDP due to the recovery in consumption </w:t>
      </w:r>
      <w:r w:rsidR="00BE3776">
        <w:rPr>
          <w:rFonts w:ascii="Times New Roman" w:hAnsi="Times New Roman" w:cs="Times New Roman"/>
          <w:b/>
          <w:bCs/>
        </w:rPr>
        <w:t>and the increase in import prices.</w:t>
      </w:r>
      <w:r w:rsidR="00753B6B">
        <w:rPr>
          <w:rFonts w:ascii="Times New Roman" w:hAnsi="Times New Roman" w:cs="Times New Roman"/>
          <w:b/>
          <w:bCs/>
        </w:rPr>
        <w:t xml:space="preserve"> </w:t>
      </w:r>
      <w:r w:rsidR="0087039C" w:rsidRPr="0087039C">
        <w:rPr>
          <w:rFonts w:ascii="Times New Roman" w:hAnsi="Times New Roman" w:cs="Times New Roman"/>
        </w:rPr>
        <w:t xml:space="preserve">The CAD is </w:t>
      </w:r>
      <w:r w:rsidR="00753B6B">
        <w:rPr>
          <w:rFonts w:ascii="Times New Roman" w:hAnsi="Times New Roman" w:cs="Times New Roman"/>
        </w:rPr>
        <w:t xml:space="preserve">expected </w:t>
      </w:r>
      <w:r w:rsidR="0087039C" w:rsidRPr="0087039C">
        <w:rPr>
          <w:rFonts w:ascii="Times New Roman" w:hAnsi="Times New Roman" w:cs="Times New Roman"/>
        </w:rPr>
        <w:t xml:space="preserve">to </w:t>
      </w:r>
      <w:r w:rsidR="00FE2CE1">
        <w:rPr>
          <w:rFonts w:ascii="Times New Roman" w:hAnsi="Times New Roman" w:cs="Times New Roman"/>
        </w:rPr>
        <w:t xml:space="preserve">decline to </w:t>
      </w:r>
      <w:r w:rsidR="00753B6B">
        <w:rPr>
          <w:rFonts w:ascii="Times New Roman" w:hAnsi="Times New Roman" w:cs="Times New Roman"/>
        </w:rPr>
        <w:t>9.1</w:t>
      </w:r>
      <w:r w:rsidR="00FE2CE1">
        <w:rPr>
          <w:rFonts w:ascii="Times New Roman" w:hAnsi="Times New Roman" w:cs="Times New Roman"/>
        </w:rPr>
        <w:t xml:space="preserve"> percent of GDP</w:t>
      </w:r>
      <w:r w:rsidR="0087039C" w:rsidRPr="0087039C">
        <w:rPr>
          <w:rFonts w:ascii="Times New Roman" w:hAnsi="Times New Roman" w:cs="Times New Roman"/>
        </w:rPr>
        <w:t xml:space="preserve"> in 202</w:t>
      </w:r>
      <w:r w:rsidR="00280D8B">
        <w:rPr>
          <w:rFonts w:ascii="Times New Roman" w:hAnsi="Times New Roman" w:cs="Times New Roman"/>
        </w:rPr>
        <w:t>3</w:t>
      </w:r>
      <w:r w:rsidR="0087039C" w:rsidRPr="0087039C">
        <w:rPr>
          <w:rFonts w:ascii="Times New Roman" w:hAnsi="Times New Roman" w:cs="Times New Roman"/>
        </w:rPr>
        <w:t xml:space="preserve"> underpinned by the increase in tourism receipts </w:t>
      </w:r>
      <w:r w:rsidR="003C14AA">
        <w:rPr>
          <w:rFonts w:ascii="Times New Roman" w:hAnsi="Times New Roman" w:cs="Times New Roman"/>
        </w:rPr>
        <w:t>and the stabilization</w:t>
      </w:r>
      <w:r w:rsidR="00502793">
        <w:rPr>
          <w:rFonts w:ascii="Times New Roman" w:hAnsi="Times New Roman" w:cs="Times New Roman"/>
        </w:rPr>
        <w:t xml:space="preserve"> of consumption import prices.</w:t>
      </w:r>
      <w:r w:rsidR="00C5142D">
        <w:rPr>
          <w:rFonts w:ascii="Times New Roman" w:hAnsi="Times New Roman" w:cs="Times New Roman"/>
        </w:rPr>
        <w:t xml:space="preserve"> It will </w:t>
      </w:r>
      <w:r w:rsidR="00516253">
        <w:rPr>
          <w:rFonts w:ascii="Times New Roman" w:hAnsi="Times New Roman" w:cs="Times New Roman"/>
        </w:rPr>
        <w:t>decrease further</w:t>
      </w:r>
      <w:r w:rsidR="0011285E">
        <w:rPr>
          <w:rFonts w:ascii="Times New Roman" w:hAnsi="Times New Roman" w:cs="Times New Roman"/>
        </w:rPr>
        <w:t xml:space="preserve"> </w:t>
      </w:r>
      <w:r w:rsidR="005D453E">
        <w:rPr>
          <w:rFonts w:ascii="Times New Roman" w:hAnsi="Times New Roman" w:cs="Times New Roman"/>
        </w:rPr>
        <w:t>reaching</w:t>
      </w:r>
      <w:r w:rsidR="0011285E">
        <w:rPr>
          <w:rFonts w:ascii="Times New Roman" w:hAnsi="Times New Roman" w:cs="Times New Roman"/>
        </w:rPr>
        <w:t xml:space="preserve"> </w:t>
      </w:r>
      <w:r w:rsidR="00DC7C4A">
        <w:rPr>
          <w:rFonts w:ascii="Times New Roman" w:hAnsi="Times New Roman" w:cs="Times New Roman"/>
        </w:rPr>
        <w:t>8.5</w:t>
      </w:r>
      <w:r w:rsidR="0011285E">
        <w:rPr>
          <w:rFonts w:ascii="Times New Roman" w:hAnsi="Times New Roman" w:cs="Times New Roman"/>
        </w:rPr>
        <w:t xml:space="preserve"> percent of GDP in 2024</w:t>
      </w:r>
      <w:r w:rsidR="001A0CE8">
        <w:rPr>
          <w:rFonts w:ascii="Times New Roman" w:hAnsi="Times New Roman" w:cs="Times New Roman"/>
        </w:rPr>
        <w:t xml:space="preserve"> </w:t>
      </w:r>
      <w:r w:rsidR="0090439C">
        <w:rPr>
          <w:rFonts w:ascii="Times New Roman" w:hAnsi="Times New Roman" w:cs="Times New Roman"/>
        </w:rPr>
        <w:t xml:space="preserve">supported </w:t>
      </w:r>
      <w:r w:rsidR="005D453E" w:rsidRPr="005D453E">
        <w:rPr>
          <w:rFonts w:ascii="Times New Roman" w:hAnsi="Times New Roman" w:cs="Times New Roman"/>
        </w:rPr>
        <w:t xml:space="preserve">by </w:t>
      </w:r>
      <w:r w:rsidR="00CA1936">
        <w:rPr>
          <w:rFonts w:ascii="Times New Roman" w:hAnsi="Times New Roman" w:cs="Times New Roman"/>
        </w:rPr>
        <w:t xml:space="preserve">the </w:t>
      </w:r>
      <w:r w:rsidR="00CA1936" w:rsidRPr="00CA1936">
        <w:rPr>
          <w:rFonts w:ascii="Times New Roman" w:hAnsi="Times New Roman" w:cs="Times New Roman"/>
        </w:rPr>
        <w:t xml:space="preserve">ongoing investments in the tourism sector </w:t>
      </w:r>
      <w:r w:rsidR="00CA1936">
        <w:rPr>
          <w:rFonts w:ascii="Times New Roman" w:hAnsi="Times New Roman" w:cs="Times New Roman"/>
        </w:rPr>
        <w:t xml:space="preserve">and </w:t>
      </w:r>
      <w:r w:rsidR="005D453E" w:rsidRPr="005D453E">
        <w:rPr>
          <w:rFonts w:ascii="Times New Roman" w:hAnsi="Times New Roman" w:cs="Times New Roman"/>
        </w:rPr>
        <w:t>continued recovery in the sector</w:t>
      </w:r>
      <w:r w:rsidR="0071647E">
        <w:rPr>
          <w:rFonts w:ascii="Times New Roman" w:hAnsi="Times New Roman" w:cs="Times New Roman"/>
        </w:rPr>
        <w:t xml:space="preserve">. </w:t>
      </w:r>
      <w:r w:rsidR="00D838CF">
        <w:rPr>
          <w:rFonts w:ascii="Times New Roman" w:hAnsi="Times New Roman" w:cs="Times New Roman"/>
        </w:rPr>
        <w:t xml:space="preserve">The </w:t>
      </w:r>
      <w:r w:rsidR="00FA0247" w:rsidRPr="005D453E">
        <w:rPr>
          <w:rFonts w:ascii="Times New Roman" w:hAnsi="Times New Roman" w:cs="Times New Roman"/>
        </w:rPr>
        <w:t>stable</w:t>
      </w:r>
      <w:r w:rsidR="005D453E" w:rsidRPr="005D453E">
        <w:rPr>
          <w:rFonts w:ascii="Times New Roman" w:hAnsi="Times New Roman" w:cs="Times New Roman"/>
        </w:rPr>
        <w:t xml:space="preserve"> growth in remittances</w:t>
      </w:r>
      <w:r w:rsidR="003535F6">
        <w:rPr>
          <w:rFonts w:ascii="Times New Roman" w:hAnsi="Times New Roman" w:cs="Times New Roman"/>
        </w:rPr>
        <w:t xml:space="preserve">, </w:t>
      </w:r>
      <w:r w:rsidR="004D6B26" w:rsidRPr="004D6B26">
        <w:rPr>
          <w:rFonts w:ascii="Times New Roman" w:hAnsi="Times New Roman" w:cs="Times New Roman"/>
        </w:rPr>
        <w:t>reflecting improved conditions in the European labor market</w:t>
      </w:r>
      <w:r w:rsidR="004D6B26">
        <w:rPr>
          <w:rFonts w:ascii="Times New Roman" w:hAnsi="Times New Roman" w:cs="Times New Roman"/>
        </w:rPr>
        <w:t>,</w:t>
      </w:r>
      <w:r w:rsidR="005D453E" w:rsidRPr="005D453E">
        <w:rPr>
          <w:rFonts w:ascii="Times New Roman" w:hAnsi="Times New Roman" w:cs="Times New Roman"/>
        </w:rPr>
        <w:t xml:space="preserve"> </w:t>
      </w:r>
      <w:r w:rsidR="00D838CF">
        <w:rPr>
          <w:rFonts w:ascii="Times New Roman" w:hAnsi="Times New Roman" w:cs="Times New Roman"/>
        </w:rPr>
        <w:t xml:space="preserve">will also support the decline in the CAD. </w:t>
      </w:r>
      <w:r w:rsidR="0087039C" w:rsidRPr="00C37A27">
        <w:rPr>
          <w:rFonts w:ascii="Times New Roman" w:hAnsi="Times New Roman" w:cs="Times New Roman"/>
        </w:rPr>
        <w:t xml:space="preserve">Higher public debt amortization outflows are expected to increase external financing needs, which are projected to be met primarily by official borrowing and FDI. Despite the COVID-19 crisis, the Government has signed several investment establishment agreements for projects in the tourism sector, amounting to EUR </w:t>
      </w:r>
      <w:r w:rsidR="0087039C" w:rsidRPr="005412E6">
        <w:rPr>
          <w:rFonts w:ascii="Times New Roman" w:hAnsi="Times New Roman" w:cs="Times New Roman"/>
        </w:rPr>
        <w:t>1,</w:t>
      </w:r>
      <w:r w:rsidR="005412E6" w:rsidRPr="005412E6">
        <w:rPr>
          <w:rFonts w:ascii="Times New Roman" w:hAnsi="Times New Roman" w:cs="Times New Roman"/>
        </w:rPr>
        <w:t>716</w:t>
      </w:r>
      <w:r w:rsidR="0087039C" w:rsidRPr="005412E6">
        <w:rPr>
          <w:rFonts w:ascii="Times New Roman" w:hAnsi="Times New Roman" w:cs="Times New Roman"/>
        </w:rPr>
        <w:t xml:space="preserve"> million</w:t>
      </w:r>
      <w:r w:rsidR="00C72D97">
        <w:rPr>
          <w:rFonts w:ascii="Times New Roman" w:hAnsi="Times New Roman" w:cs="Times New Roman"/>
        </w:rPr>
        <w:t>,</w:t>
      </w:r>
      <w:r w:rsidR="0087039C" w:rsidRPr="00C37A27">
        <w:rPr>
          <w:rFonts w:ascii="Times New Roman" w:hAnsi="Times New Roman" w:cs="Times New Roman"/>
        </w:rPr>
        <w:t xml:space="preserve"> which will contribute to finance the CAD over the medium term. </w:t>
      </w:r>
      <w:r w:rsidR="00886816" w:rsidRPr="00886816">
        <w:rPr>
          <w:rFonts w:ascii="Times New Roman" w:hAnsi="Times New Roman" w:cs="Times New Roman"/>
        </w:rPr>
        <w:t xml:space="preserve">Robust export growth and rising remittances, </w:t>
      </w:r>
      <w:r w:rsidR="008B5014">
        <w:rPr>
          <w:rFonts w:ascii="Times New Roman" w:hAnsi="Times New Roman" w:cs="Times New Roman"/>
        </w:rPr>
        <w:t>coupled</w:t>
      </w:r>
      <w:r w:rsidR="00886816" w:rsidRPr="00886816">
        <w:rPr>
          <w:rFonts w:ascii="Times New Roman" w:hAnsi="Times New Roman" w:cs="Times New Roman"/>
        </w:rPr>
        <w:t xml:space="preserve"> with higher FDI inflows, </w:t>
      </w:r>
      <w:r w:rsidR="00BE3860">
        <w:rPr>
          <w:rFonts w:ascii="Times New Roman" w:hAnsi="Times New Roman" w:cs="Times New Roman"/>
        </w:rPr>
        <w:t>are expected</w:t>
      </w:r>
      <w:r w:rsidR="00AE3F9E">
        <w:rPr>
          <w:rFonts w:ascii="Times New Roman" w:hAnsi="Times New Roman" w:cs="Times New Roman"/>
        </w:rPr>
        <w:t xml:space="preserve"> to</w:t>
      </w:r>
      <w:r w:rsidR="00886816" w:rsidRPr="00886816">
        <w:rPr>
          <w:rFonts w:ascii="Times New Roman" w:hAnsi="Times New Roman" w:cs="Times New Roman"/>
        </w:rPr>
        <w:t xml:space="preserve"> keep international reserves</w:t>
      </w:r>
      <w:r w:rsidR="005C6A64">
        <w:rPr>
          <w:rFonts w:ascii="Times New Roman" w:hAnsi="Times New Roman" w:cs="Times New Roman"/>
        </w:rPr>
        <w:t xml:space="preserve"> </w:t>
      </w:r>
      <w:r w:rsidR="007D3C44">
        <w:rPr>
          <w:rFonts w:ascii="Times New Roman" w:hAnsi="Times New Roman" w:cs="Times New Roman"/>
        </w:rPr>
        <w:t xml:space="preserve">strong </w:t>
      </w:r>
      <w:r w:rsidR="0087039C" w:rsidRPr="00C37A27">
        <w:rPr>
          <w:rFonts w:ascii="Times New Roman" w:hAnsi="Times New Roman" w:cs="Times New Roman"/>
        </w:rPr>
        <w:t xml:space="preserve">at </w:t>
      </w:r>
      <w:r w:rsidR="00AE3F9E">
        <w:rPr>
          <w:rFonts w:ascii="Times New Roman" w:hAnsi="Times New Roman" w:cs="Times New Roman"/>
        </w:rPr>
        <w:t xml:space="preserve">around </w:t>
      </w:r>
      <w:r w:rsidR="008836CA">
        <w:rPr>
          <w:rFonts w:ascii="Times New Roman" w:hAnsi="Times New Roman" w:cs="Times New Roman"/>
        </w:rPr>
        <w:t xml:space="preserve">6 </w:t>
      </w:r>
      <w:r w:rsidR="0087039C" w:rsidRPr="00C37A27">
        <w:rPr>
          <w:rFonts w:ascii="Times New Roman" w:hAnsi="Times New Roman" w:cs="Times New Roman"/>
        </w:rPr>
        <w:t xml:space="preserve">months of prospective imports over the medium term. </w:t>
      </w:r>
    </w:p>
    <w:p w14:paraId="5B944231" w14:textId="00E62B51" w:rsidR="00EB6949" w:rsidRDefault="001C4E6E" w:rsidP="00BA18E3">
      <w:pPr>
        <w:spacing w:line="276" w:lineRule="auto"/>
        <w:jc w:val="both"/>
        <w:rPr>
          <w:rFonts w:ascii="Times New Roman" w:hAnsi="Times New Roman" w:cs="Times New Roman"/>
        </w:rPr>
      </w:pPr>
      <w:r w:rsidRPr="009B3253">
        <w:rPr>
          <w:rFonts w:ascii="Times New Roman" w:hAnsi="Times New Roman" w:cs="Times New Roman"/>
          <w:b/>
          <w:bCs/>
        </w:rPr>
        <w:t>2</w:t>
      </w:r>
      <w:r w:rsidR="00F03527">
        <w:rPr>
          <w:rFonts w:ascii="Times New Roman" w:hAnsi="Times New Roman" w:cs="Times New Roman"/>
          <w:b/>
          <w:bCs/>
        </w:rPr>
        <w:t>2</w:t>
      </w:r>
      <w:r w:rsidRPr="009B3253">
        <w:rPr>
          <w:rFonts w:ascii="Times New Roman" w:hAnsi="Times New Roman" w:cs="Times New Roman"/>
          <w:b/>
          <w:bCs/>
        </w:rPr>
        <w:t>.</w:t>
      </w:r>
      <w:r>
        <w:rPr>
          <w:rFonts w:ascii="Times New Roman" w:hAnsi="Times New Roman" w:cs="Times New Roman"/>
        </w:rPr>
        <w:t xml:space="preserve"> </w:t>
      </w:r>
      <w:r w:rsidRPr="009B3253">
        <w:rPr>
          <w:rFonts w:ascii="Times New Roman" w:hAnsi="Times New Roman" w:cs="Times New Roman"/>
          <w:b/>
          <w:bCs/>
        </w:rPr>
        <w:t>The Ukraine war will reduce the pace of poverty reduction in 2022.</w:t>
      </w:r>
      <w:r w:rsidRPr="001C4E6E">
        <w:rPr>
          <w:rFonts w:ascii="Times New Roman" w:hAnsi="Times New Roman" w:cs="Times New Roman"/>
        </w:rPr>
        <w:t xml:space="preserve"> Poverty is projected to reach 26.9 percent in 2022, compared to the 26.2 percent expected before the war. As a result, poverty is projected to fall by 4 percent</w:t>
      </w:r>
      <w:r w:rsidR="00904058">
        <w:rPr>
          <w:rFonts w:ascii="Times New Roman" w:hAnsi="Times New Roman" w:cs="Times New Roman"/>
        </w:rPr>
        <w:t>,</w:t>
      </w:r>
      <w:r w:rsidRPr="001C4E6E">
        <w:rPr>
          <w:rFonts w:ascii="Times New Roman" w:hAnsi="Times New Roman" w:cs="Times New Roman"/>
        </w:rPr>
        <w:t xml:space="preserve"> compared to 2021, </w:t>
      </w:r>
      <w:r w:rsidR="00904058">
        <w:rPr>
          <w:rFonts w:ascii="Times New Roman" w:hAnsi="Times New Roman" w:cs="Times New Roman"/>
        </w:rPr>
        <w:t>lifting</w:t>
      </w:r>
      <w:r w:rsidRPr="001C4E6E">
        <w:rPr>
          <w:rFonts w:ascii="Times New Roman" w:hAnsi="Times New Roman" w:cs="Times New Roman"/>
        </w:rPr>
        <w:t xml:space="preserve"> around 6,700 people out of poverty. Moreover, the conflict would affect disproportionately urban areas as they are more vulnerable to the increase </w:t>
      </w:r>
      <w:r w:rsidR="00904058">
        <w:rPr>
          <w:rFonts w:ascii="Times New Roman" w:hAnsi="Times New Roman" w:cs="Times New Roman"/>
        </w:rPr>
        <w:t>in</w:t>
      </w:r>
      <w:r w:rsidR="00904058" w:rsidRPr="001C4E6E">
        <w:rPr>
          <w:rFonts w:ascii="Times New Roman" w:hAnsi="Times New Roman" w:cs="Times New Roman"/>
        </w:rPr>
        <w:t xml:space="preserve"> </w:t>
      </w:r>
      <w:r w:rsidRPr="001C4E6E">
        <w:rPr>
          <w:rFonts w:ascii="Times New Roman" w:hAnsi="Times New Roman" w:cs="Times New Roman"/>
        </w:rPr>
        <w:t>oil prices and are more dependent on imported food.</w:t>
      </w:r>
    </w:p>
    <w:p w14:paraId="05B5111E" w14:textId="60928170" w:rsidR="00AF28E9" w:rsidRPr="00C37A27" w:rsidRDefault="002B5FB8" w:rsidP="00BA18E3">
      <w:pPr>
        <w:spacing w:line="276" w:lineRule="auto"/>
        <w:jc w:val="both"/>
        <w:rPr>
          <w:rFonts w:ascii="Times New Roman" w:hAnsi="Times New Roman" w:cs="Times New Roman"/>
        </w:rPr>
      </w:pPr>
      <w:r w:rsidRPr="009B3253">
        <w:rPr>
          <w:rFonts w:ascii="Times New Roman" w:hAnsi="Times New Roman" w:cs="Times New Roman"/>
          <w:b/>
          <w:bCs/>
        </w:rPr>
        <w:t>2</w:t>
      </w:r>
      <w:r w:rsidR="00F03527">
        <w:rPr>
          <w:rFonts w:ascii="Times New Roman" w:hAnsi="Times New Roman" w:cs="Times New Roman"/>
          <w:b/>
          <w:bCs/>
        </w:rPr>
        <w:t>3</w:t>
      </w:r>
      <w:r w:rsidRPr="009B3253">
        <w:rPr>
          <w:rFonts w:ascii="Times New Roman" w:hAnsi="Times New Roman" w:cs="Times New Roman"/>
          <w:b/>
          <w:bCs/>
        </w:rPr>
        <w:t>. The authorities are committed to returning to fiscal consolidation over the medium term and to placing the debt-to-GDP ratio decisively on a downward trend.</w:t>
      </w:r>
      <w:r w:rsidRPr="002B5FB8">
        <w:rPr>
          <w:rFonts w:ascii="Times New Roman" w:hAnsi="Times New Roman" w:cs="Times New Roman"/>
        </w:rPr>
        <w:t xml:space="preserve"> The Government intends to support enhanced macroeconomic stability as an important condition for boosting private investment over the medium term. Given the public expenditure structural rigidity, fiscal consolidation will be mainly revenue-driven, supported by the (i) steady recovery of the economy; (ii) improvement in tax systems efficiency; (iii) streamlining of tax incentives; (iv) increase in environmental and health taxation; (v) and broadening of the tax base to cover e-commerce. On the expenditure side, the Government is reprogramming external disbursements under the Multi-annual Public Investment Plan and containing non-priority expenditure. The primary deficit should improve from 5.4 percent of GDP in 2021 to 0.5 percent in 2024, reflecting increased domestic revenue mobilization and expenditure restraint. As such, the overall fiscal deficit is projected to slightly decline from 8.8 percent of GDP in 2021 to 7.2 percent in 2022, and gradually decline to 4 percent by 2024. Consequently, the stock of public debt is projected to increase from 155.3 percent of GDP in 2021 to 158.5 percent in 2022 and decline to 144 percent by 2024.</w:t>
      </w:r>
    </w:p>
    <w:p w14:paraId="489F39EA" w14:textId="6F7C90C2" w:rsidR="0087039C" w:rsidRDefault="0059561A" w:rsidP="0087039C">
      <w:pPr>
        <w:spacing w:line="276" w:lineRule="auto"/>
        <w:jc w:val="both"/>
        <w:rPr>
          <w:rFonts w:ascii="Times New Roman" w:hAnsi="Times New Roman" w:cs="Times New Roman"/>
        </w:rPr>
      </w:pPr>
      <w:r>
        <w:rPr>
          <w:rFonts w:ascii="Times New Roman" w:hAnsi="Times New Roman" w:cs="Times New Roman"/>
          <w:b/>
          <w:bCs/>
        </w:rPr>
        <w:t>2</w:t>
      </w:r>
      <w:r w:rsidR="00F03527">
        <w:rPr>
          <w:rFonts w:ascii="Times New Roman" w:hAnsi="Times New Roman" w:cs="Times New Roman"/>
          <w:b/>
          <w:bCs/>
        </w:rPr>
        <w:t>4</w:t>
      </w:r>
      <w:r w:rsidR="00FD4A8F">
        <w:rPr>
          <w:rFonts w:ascii="Times New Roman" w:hAnsi="Times New Roman" w:cs="Times New Roman"/>
          <w:b/>
          <w:bCs/>
        </w:rPr>
        <w:t xml:space="preserve">. </w:t>
      </w:r>
      <w:r w:rsidR="0087039C" w:rsidRPr="00715579">
        <w:rPr>
          <w:rFonts w:ascii="Times New Roman" w:hAnsi="Times New Roman" w:cs="Times New Roman"/>
          <w:b/>
          <w:bCs/>
        </w:rPr>
        <w:t>The Government aims at maintaining the strong level of total revenue over the medium term, with a progressive increase in tax revenue in lieu of grants.</w:t>
      </w:r>
      <w:r w:rsidR="0087039C" w:rsidRPr="00C37A27">
        <w:rPr>
          <w:rFonts w:ascii="Times New Roman" w:hAnsi="Times New Roman" w:cs="Times New Roman"/>
        </w:rPr>
        <w:t xml:space="preserve"> </w:t>
      </w:r>
      <w:r w:rsidR="003B5CD8" w:rsidRPr="003B5CD8">
        <w:rPr>
          <w:rFonts w:ascii="Times New Roman" w:hAnsi="Times New Roman" w:cs="Times New Roman"/>
        </w:rPr>
        <w:t xml:space="preserve">Fiscal revenue is expected to increase </w:t>
      </w:r>
      <w:r w:rsidR="00FE6BD5">
        <w:rPr>
          <w:rFonts w:ascii="Times New Roman" w:hAnsi="Times New Roman" w:cs="Times New Roman"/>
        </w:rPr>
        <w:t>driven by</w:t>
      </w:r>
      <w:r w:rsidR="003B5CD8" w:rsidRPr="003B5CD8">
        <w:rPr>
          <w:rFonts w:ascii="Times New Roman" w:hAnsi="Times New Roman" w:cs="Times New Roman"/>
        </w:rPr>
        <w:t xml:space="preserve"> higher tax collection</w:t>
      </w:r>
      <w:r w:rsidR="00C5607B">
        <w:rPr>
          <w:rFonts w:ascii="Times New Roman" w:hAnsi="Times New Roman" w:cs="Times New Roman"/>
        </w:rPr>
        <w:t xml:space="preserve"> and better tax administration</w:t>
      </w:r>
      <w:r w:rsidR="00A53B67">
        <w:rPr>
          <w:rFonts w:ascii="Times New Roman" w:hAnsi="Times New Roman" w:cs="Times New Roman"/>
        </w:rPr>
        <w:t xml:space="preserve">, including </w:t>
      </w:r>
      <w:r w:rsidR="0087039C" w:rsidRPr="00C37A27">
        <w:rPr>
          <w:rFonts w:ascii="Times New Roman" w:hAnsi="Times New Roman" w:cs="Times New Roman"/>
        </w:rPr>
        <w:t xml:space="preserve">strengthening the tax and customs units to improve tax collection efficiency and fight tax evasion. This includes developing a data-matching platform </w:t>
      </w:r>
      <w:r w:rsidR="0087039C" w:rsidRPr="00C37A27">
        <w:rPr>
          <w:rFonts w:ascii="Times New Roman" w:hAnsi="Times New Roman" w:cs="Times New Roman"/>
        </w:rPr>
        <w:lastRenderedPageBreak/>
        <w:t xml:space="preserve">to detect tax fraud, reinforcing tax arrears recovery, and strengthening technical skills and capacity of the units. The adoption of the ECOWAS Common External Tariff, which was postponed to 2022 due to the COVID-19 crisis, is projected to increase trade tax revenue over the medium term. </w:t>
      </w:r>
      <w:r w:rsidR="001736BB" w:rsidRPr="001736BB">
        <w:rPr>
          <w:rFonts w:ascii="Times New Roman" w:hAnsi="Times New Roman" w:cs="Times New Roman"/>
        </w:rPr>
        <w:t>These measures will lead to</w:t>
      </w:r>
      <w:r w:rsidR="001736BB">
        <w:rPr>
          <w:rFonts w:ascii="Times New Roman" w:hAnsi="Times New Roman" w:cs="Times New Roman"/>
        </w:rPr>
        <w:t xml:space="preserve"> an increase in t</w:t>
      </w:r>
      <w:r w:rsidR="0087039C" w:rsidRPr="00C37A27">
        <w:rPr>
          <w:rFonts w:ascii="Times New Roman" w:hAnsi="Times New Roman" w:cs="Times New Roman"/>
        </w:rPr>
        <w:t>ax revenue from 1</w:t>
      </w:r>
      <w:r w:rsidR="00D801CC">
        <w:rPr>
          <w:rFonts w:ascii="Times New Roman" w:hAnsi="Times New Roman" w:cs="Times New Roman"/>
        </w:rPr>
        <w:t>8.</w:t>
      </w:r>
      <w:r w:rsidR="00DF5C10">
        <w:rPr>
          <w:rFonts w:ascii="Times New Roman" w:hAnsi="Times New Roman" w:cs="Times New Roman"/>
        </w:rPr>
        <w:t>9</w:t>
      </w:r>
      <w:r w:rsidR="0087039C" w:rsidRPr="00C37A27">
        <w:rPr>
          <w:rFonts w:ascii="Times New Roman" w:hAnsi="Times New Roman" w:cs="Times New Roman"/>
        </w:rPr>
        <w:t xml:space="preserve"> percent of GDP in 202</w:t>
      </w:r>
      <w:r w:rsidR="00454E78">
        <w:rPr>
          <w:rFonts w:ascii="Times New Roman" w:hAnsi="Times New Roman" w:cs="Times New Roman"/>
        </w:rPr>
        <w:t>1</w:t>
      </w:r>
      <w:r w:rsidR="0087039C" w:rsidRPr="00C37A27">
        <w:rPr>
          <w:rFonts w:ascii="Times New Roman" w:hAnsi="Times New Roman" w:cs="Times New Roman"/>
        </w:rPr>
        <w:t xml:space="preserve"> to 20.</w:t>
      </w:r>
      <w:r w:rsidR="008E69BA">
        <w:rPr>
          <w:rFonts w:ascii="Times New Roman" w:hAnsi="Times New Roman" w:cs="Times New Roman"/>
        </w:rPr>
        <w:t>8</w:t>
      </w:r>
      <w:r w:rsidR="0087039C" w:rsidRPr="00C37A27">
        <w:rPr>
          <w:rFonts w:ascii="Times New Roman" w:hAnsi="Times New Roman" w:cs="Times New Roman"/>
        </w:rPr>
        <w:t xml:space="preserve"> percent in 202</w:t>
      </w:r>
      <w:r w:rsidR="00730E51">
        <w:rPr>
          <w:rFonts w:ascii="Times New Roman" w:hAnsi="Times New Roman" w:cs="Times New Roman"/>
        </w:rPr>
        <w:t>2</w:t>
      </w:r>
      <w:r w:rsidR="0087039C" w:rsidRPr="00C37A27">
        <w:rPr>
          <w:rFonts w:ascii="Times New Roman" w:hAnsi="Times New Roman" w:cs="Times New Roman"/>
        </w:rPr>
        <w:t xml:space="preserve"> and </w:t>
      </w:r>
      <w:r w:rsidR="00A823F0">
        <w:rPr>
          <w:rFonts w:ascii="Times New Roman" w:hAnsi="Times New Roman" w:cs="Times New Roman"/>
        </w:rPr>
        <w:t>to</w:t>
      </w:r>
      <w:r w:rsidR="00730E51">
        <w:rPr>
          <w:rFonts w:ascii="Times New Roman" w:hAnsi="Times New Roman" w:cs="Times New Roman"/>
        </w:rPr>
        <w:t xml:space="preserve"> </w:t>
      </w:r>
      <w:r w:rsidR="0087039C" w:rsidRPr="00C37A27">
        <w:rPr>
          <w:rFonts w:ascii="Times New Roman" w:hAnsi="Times New Roman" w:cs="Times New Roman"/>
        </w:rPr>
        <w:t>2</w:t>
      </w:r>
      <w:r w:rsidR="008E69BA">
        <w:rPr>
          <w:rFonts w:ascii="Times New Roman" w:hAnsi="Times New Roman" w:cs="Times New Roman"/>
        </w:rPr>
        <w:t>3</w:t>
      </w:r>
      <w:r w:rsidR="00730E51">
        <w:rPr>
          <w:rFonts w:ascii="Times New Roman" w:hAnsi="Times New Roman" w:cs="Times New Roman"/>
        </w:rPr>
        <w:t>.3</w:t>
      </w:r>
      <w:r w:rsidR="0087039C" w:rsidRPr="00C37A27">
        <w:rPr>
          <w:rFonts w:ascii="Times New Roman" w:hAnsi="Times New Roman" w:cs="Times New Roman"/>
        </w:rPr>
        <w:t xml:space="preserve"> percent in 202</w:t>
      </w:r>
      <w:r w:rsidR="00730E51">
        <w:rPr>
          <w:rFonts w:ascii="Times New Roman" w:hAnsi="Times New Roman" w:cs="Times New Roman"/>
        </w:rPr>
        <w:t>4</w:t>
      </w:r>
      <w:r w:rsidR="0087039C" w:rsidRPr="00C37A27">
        <w:rPr>
          <w:rFonts w:ascii="Times New Roman" w:hAnsi="Times New Roman" w:cs="Times New Roman"/>
        </w:rPr>
        <w:t xml:space="preserve">. In parallel, grants should decline from </w:t>
      </w:r>
      <w:r w:rsidR="00545C20">
        <w:rPr>
          <w:rFonts w:ascii="Times New Roman" w:hAnsi="Times New Roman" w:cs="Times New Roman"/>
        </w:rPr>
        <w:t>2.</w:t>
      </w:r>
      <w:r w:rsidR="008E69BA">
        <w:rPr>
          <w:rFonts w:ascii="Times New Roman" w:hAnsi="Times New Roman" w:cs="Times New Roman"/>
        </w:rPr>
        <w:t>3</w:t>
      </w:r>
      <w:r w:rsidR="0087039C" w:rsidRPr="00C37A27">
        <w:rPr>
          <w:rFonts w:ascii="Times New Roman" w:hAnsi="Times New Roman" w:cs="Times New Roman"/>
        </w:rPr>
        <w:t xml:space="preserve"> percent of GDP in 202</w:t>
      </w:r>
      <w:r w:rsidR="00EF7406">
        <w:rPr>
          <w:rFonts w:ascii="Times New Roman" w:hAnsi="Times New Roman" w:cs="Times New Roman"/>
        </w:rPr>
        <w:t>1</w:t>
      </w:r>
      <w:r w:rsidR="0087039C" w:rsidRPr="00C37A27">
        <w:rPr>
          <w:rFonts w:ascii="Times New Roman" w:hAnsi="Times New Roman" w:cs="Times New Roman"/>
        </w:rPr>
        <w:t xml:space="preserve"> to 1.</w:t>
      </w:r>
      <w:r w:rsidR="008E69BA">
        <w:rPr>
          <w:rFonts w:ascii="Times New Roman" w:hAnsi="Times New Roman" w:cs="Times New Roman"/>
        </w:rPr>
        <w:t>7</w:t>
      </w:r>
      <w:r w:rsidR="0087039C" w:rsidRPr="00C37A27">
        <w:rPr>
          <w:rFonts w:ascii="Times New Roman" w:hAnsi="Times New Roman" w:cs="Times New Roman"/>
        </w:rPr>
        <w:t xml:space="preserve"> percent in 202</w:t>
      </w:r>
      <w:r w:rsidR="00EF7406">
        <w:rPr>
          <w:rFonts w:ascii="Times New Roman" w:hAnsi="Times New Roman" w:cs="Times New Roman"/>
        </w:rPr>
        <w:t>4</w:t>
      </w:r>
      <w:r w:rsidR="0087039C" w:rsidRPr="00C37A27">
        <w:rPr>
          <w:rFonts w:ascii="Times New Roman" w:hAnsi="Times New Roman" w:cs="Times New Roman"/>
        </w:rPr>
        <w:t>.</w:t>
      </w:r>
    </w:p>
    <w:p w14:paraId="2F6A7086" w14:textId="24B77BB9" w:rsidR="0087039C" w:rsidRDefault="00F03527" w:rsidP="0087039C">
      <w:pPr>
        <w:spacing w:line="276" w:lineRule="auto"/>
        <w:jc w:val="both"/>
        <w:rPr>
          <w:rFonts w:ascii="Times New Roman" w:hAnsi="Times New Roman" w:cs="Times New Roman"/>
        </w:rPr>
      </w:pPr>
      <w:r>
        <w:rPr>
          <w:rFonts w:ascii="Times New Roman" w:hAnsi="Times New Roman" w:cs="Times New Roman"/>
          <w:b/>
          <w:bCs/>
        </w:rPr>
        <w:t>25</w:t>
      </w:r>
      <w:r w:rsidR="00FD4A8F">
        <w:rPr>
          <w:rFonts w:ascii="Times New Roman" w:hAnsi="Times New Roman" w:cs="Times New Roman"/>
          <w:b/>
          <w:bCs/>
        </w:rPr>
        <w:t xml:space="preserve">. </w:t>
      </w:r>
      <w:r w:rsidR="00E749B4" w:rsidRPr="003C2A47">
        <w:rPr>
          <w:rFonts w:ascii="Times New Roman" w:hAnsi="Times New Roman" w:cs="Times New Roman"/>
          <w:b/>
          <w:bCs/>
        </w:rPr>
        <w:t xml:space="preserve">Total expenditure </w:t>
      </w:r>
      <w:r w:rsidR="007D10FD">
        <w:rPr>
          <w:rFonts w:ascii="Times New Roman" w:hAnsi="Times New Roman" w:cs="Times New Roman"/>
          <w:b/>
          <w:bCs/>
        </w:rPr>
        <w:t>is</w:t>
      </w:r>
      <w:r w:rsidR="00E749B4" w:rsidRPr="003C2A47">
        <w:rPr>
          <w:rFonts w:ascii="Times New Roman" w:hAnsi="Times New Roman" w:cs="Times New Roman"/>
          <w:b/>
          <w:bCs/>
        </w:rPr>
        <w:t xml:space="preserve"> projected to </w:t>
      </w:r>
      <w:r w:rsidR="007D10FD">
        <w:rPr>
          <w:rFonts w:ascii="Times New Roman" w:hAnsi="Times New Roman" w:cs="Times New Roman"/>
          <w:b/>
          <w:bCs/>
        </w:rPr>
        <w:t>remain high in 2022</w:t>
      </w:r>
      <w:r w:rsidR="006D25B1">
        <w:rPr>
          <w:rFonts w:ascii="Times New Roman" w:hAnsi="Times New Roman" w:cs="Times New Roman"/>
          <w:b/>
          <w:bCs/>
        </w:rPr>
        <w:t xml:space="preserve">, at 36.4 percent of GDP, and </w:t>
      </w:r>
      <w:r w:rsidR="00E749B4" w:rsidRPr="003C2A47">
        <w:rPr>
          <w:rFonts w:ascii="Times New Roman" w:hAnsi="Times New Roman" w:cs="Times New Roman"/>
          <w:b/>
          <w:bCs/>
        </w:rPr>
        <w:t xml:space="preserve">gradually decline </w:t>
      </w:r>
      <w:r w:rsidR="003E5C1C">
        <w:rPr>
          <w:rFonts w:ascii="Times New Roman" w:hAnsi="Times New Roman" w:cs="Times New Roman"/>
          <w:b/>
          <w:bCs/>
        </w:rPr>
        <w:t xml:space="preserve">with </w:t>
      </w:r>
      <w:r w:rsidR="00581133">
        <w:rPr>
          <w:rFonts w:ascii="Times New Roman" w:hAnsi="Times New Roman" w:cs="Times New Roman"/>
          <w:b/>
          <w:bCs/>
        </w:rPr>
        <w:t>improved efficiency of public spending and</w:t>
      </w:r>
      <w:r w:rsidR="00CC5B2D">
        <w:rPr>
          <w:rFonts w:ascii="Times New Roman" w:hAnsi="Times New Roman" w:cs="Times New Roman"/>
          <w:b/>
          <w:bCs/>
        </w:rPr>
        <w:t xml:space="preserve"> </w:t>
      </w:r>
      <w:r w:rsidR="000479A3">
        <w:rPr>
          <w:rFonts w:ascii="Times New Roman" w:hAnsi="Times New Roman" w:cs="Times New Roman"/>
          <w:b/>
          <w:bCs/>
        </w:rPr>
        <w:t>the gradual phase out of the</w:t>
      </w:r>
      <w:r w:rsidR="0007672D" w:rsidRPr="003C2A47">
        <w:rPr>
          <w:rFonts w:ascii="Times New Roman" w:hAnsi="Times New Roman" w:cs="Times New Roman"/>
          <w:b/>
          <w:bCs/>
        </w:rPr>
        <w:t xml:space="preserve"> </w:t>
      </w:r>
      <w:r w:rsidR="0011345C" w:rsidRPr="003C2A47">
        <w:rPr>
          <w:rFonts w:ascii="Times New Roman" w:hAnsi="Times New Roman" w:cs="Times New Roman"/>
          <w:b/>
          <w:bCs/>
        </w:rPr>
        <w:t>exceptional fiscal expenditure measures</w:t>
      </w:r>
      <w:r w:rsidR="000479A3">
        <w:rPr>
          <w:rFonts w:ascii="Times New Roman" w:hAnsi="Times New Roman" w:cs="Times New Roman"/>
          <w:b/>
          <w:bCs/>
        </w:rPr>
        <w:t>.</w:t>
      </w:r>
      <w:r w:rsidR="0011345C" w:rsidRPr="003C2A47">
        <w:rPr>
          <w:rFonts w:ascii="Times New Roman" w:hAnsi="Times New Roman" w:cs="Times New Roman"/>
          <w:b/>
          <w:bCs/>
        </w:rPr>
        <w:t xml:space="preserve"> </w:t>
      </w:r>
      <w:r w:rsidR="0007672D">
        <w:rPr>
          <w:rFonts w:ascii="Times New Roman" w:hAnsi="Times New Roman" w:cs="Times New Roman"/>
        </w:rPr>
        <w:t>C</w:t>
      </w:r>
      <w:r w:rsidR="0087039C" w:rsidRPr="00C37A27">
        <w:rPr>
          <w:rFonts w:ascii="Times New Roman" w:hAnsi="Times New Roman" w:cs="Times New Roman"/>
        </w:rPr>
        <w:t xml:space="preserve">urrent expenditure </w:t>
      </w:r>
      <w:r w:rsidR="001E4A20">
        <w:rPr>
          <w:rFonts w:ascii="Times New Roman" w:hAnsi="Times New Roman" w:cs="Times New Roman"/>
        </w:rPr>
        <w:t>is</w:t>
      </w:r>
      <w:r w:rsidR="0087039C" w:rsidRPr="00C37A27">
        <w:rPr>
          <w:rFonts w:ascii="Times New Roman" w:hAnsi="Times New Roman" w:cs="Times New Roman"/>
        </w:rPr>
        <w:t xml:space="preserve"> expected to</w:t>
      </w:r>
      <w:r w:rsidR="00E420A4">
        <w:rPr>
          <w:rFonts w:ascii="Times New Roman" w:hAnsi="Times New Roman" w:cs="Times New Roman"/>
        </w:rPr>
        <w:t xml:space="preserve"> </w:t>
      </w:r>
      <w:r w:rsidR="001E4A20">
        <w:rPr>
          <w:rFonts w:ascii="Times New Roman" w:hAnsi="Times New Roman" w:cs="Times New Roman"/>
        </w:rPr>
        <w:t>increase</w:t>
      </w:r>
      <w:r w:rsidR="0087039C" w:rsidRPr="00C37A27">
        <w:rPr>
          <w:rFonts w:ascii="Times New Roman" w:hAnsi="Times New Roman" w:cs="Times New Roman"/>
        </w:rPr>
        <w:t xml:space="preserve"> from 3</w:t>
      </w:r>
      <w:r w:rsidR="00E420A4">
        <w:rPr>
          <w:rFonts w:ascii="Times New Roman" w:hAnsi="Times New Roman" w:cs="Times New Roman"/>
        </w:rPr>
        <w:t>1.2</w:t>
      </w:r>
      <w:r w:rsidR="0087039C" w:rsidRPr="00C37A27">
        <w:rPr>
          <w:rFonts w:ascii="Times New Roman" w:hAnsi="Times New Roman" w:cs="Times New Roman"/>
        </w:rPr>
        <w:t xml:space="preserve"> percent of GDP in 202</w:t>
      </w:r>
      <w:r w:rsidR="00D53767">
        <w:rPr>
          <w:rFonts w:ascii="Times New Roman" w:hAnsi="Times New Roman" w:cs="Times New Roman"/>
        </w:rPr>
        <w:t>1</w:t>
      </w:r>
      <w:r w:rsidR="0087039C" w:rsidRPr="00C37A27">
        <w:rPr>
          <w:rFonts w:ascii="Times New Roman" w:hAnsi="Times New Roman" w:cs="Times New Roman"/>
        </w:rPr>
        <w:t xml:space="preserve"> to </w:t>
      </w:r>
      <w:r w:rsidR="00D53767">
        <w:rPr>
          <w:rFonts w:ascii="Times New Roman" w:hAnsi="Times New Roman" w:cs="Times New Roman"/>
        </w:rPr>
        <w:t>3</w:t>
      </w:r>
      <w:r w:rsidR="00274FC4">
        <w:rPr>
          <w:rFonts w:ascii="Times New Roman" w:hAnsi="Times New Roman" w:cs="Times New Roman"/>
        </w:rPr>
        <w:t>2.2</w:t>
      </w:r>
      <w:r w:rsidR="0087039C" w:rsidRPr="00C37A27">
        <w:rPr>
          <w:rFonts w:ascii="Times New Roman" w:hAnsi="Times New Roman" w:cs="Times New Roman"/>
        </w:rPr>
        <w:t xml:space="preserve"> percent in 202</w:t>
      </w:r>
      <w:r w:rsidR="00274FC4">
        <w:rPr>
          <w:rFonts w:ascii="Times New Roman" w:hAnsi="Times New Roman" w:cs="Times New Roman"/>
        </w:rPr>
        <w:t>2</w:t>
      </w:r>
      <w:r w:rsidR="007F4CB2">
        <w:rPr>
          <w:rFonts w:ascii="Times New Roman" w:hAnsi="Times New Roman" w:cs="Times New Roman"/>
        </w:rPr>
        <w:t xml:space="preserve"> </w:t>
      </w:r>
      <w:r w:rsidR="00EB1EBB" w:rsidRPr="00EB1EBB">
        <w:rPr>
          <w:rFonts w:ascii="Times New Roman" w:hAnsi="Times New Roman" w:cs="Times New Roman"/>
        </w:rPr>
        <w:t>because of the measures taken by the Government to alleviate the impact of the Ukrainian crisis.</w:t>
      </w:r>
      <w:r w:rsidR="006B00D0">
        <w:rPr>
          <w:rFonts w:ascii="Times New Roman" w:hAnsi="Times New Roman" w:cs="Times New Roman"/>
        </w:rPr>
        <w:t xml:space="preserve"> Over the medium term</w:t>
      </w:r>
      <w:r w:rsidR="0087039C" w:rsidRPr="00C37A27">
        <w:rPr>
          <w:rFonts w:ascii="Times New Roman" w:hAnsi="Times New Roman" w:cs="Times New Roman"/>
        </w:rPr>
        <w:t xml:space="preserve">, </w:t>
      </w:r>
      <w:r w:rsidR="00581133" w:rsidRPr="00581133">
        <w:rPr>
          <w:rFonts w:ascii="Times New Roman" w:hAnsi="Times New Roman" w:cs="Times New Roman"/>
        </w:rPr>
        <w:t>lower spending on goods and services</w:t>
      </w:r>
      <w:r w:rsidR="008E06EE">
        <w:rPr>
          <w:rFonts w:ascii="Times New Roman" w:hAnsi="Times New Roman" w:cs="Times New Roman"/>
        </w:rPr>
        <w:t>,</w:t>
      </w:r>
      <w:r w:rsidR="00581133" w:rsidRPr="00581133">
        <w:rPr>
          <w:rFonts w:ascii="Times New Roman" w:hAnsi="Times New Roman" w:cs="Times New Roman"/>
        </w:rPr>
        <w:t xml:space="preserve"> reduction on the wage bill</w:t>
      </w:r>
      <w:r w:rsidR="006B00D0">
        <w:rPr>
          <w:rFonts w:ascii="Times New Roman" w:hAnsi="Times New Roman" w:cs="Times New Roman"/>
        </w:rPr>
        <w:t>,</w:t>
      </w:r>
      <w:r w:rsidR="008E06EE">
        <w:rPr>
          <w:rFonts w:ascii="Times New Roman" w:hAnsi="Times New Roman" w:cs="Times New Roman"/>
        </w:rPr>
        <w:t xml:space="preserve"> and </w:t>
      </w:r>
      <w:r w:rsidR="0087039C" w:rsidRPr="00C37A27">
        <w:rPr>
          <w:rFonts w:ascii="Times New Roman" w:hAnsi="Times New Roman" w:cs="Times New Roman"/>
        </w:rPr>
        <w:t xml:space="preserve">the progressive </w:t>
      </w:r>
      <w:r w:rsidR="004A173E">
        <w:rPr>
          <w:rFonts w:ascii="Times New Roman" w:hAnsi="Times New Roman" w:cs="Times New Roman"/>
        </w:rPr>
        <w:t>phase out</w:t>
      </w:r>
      <w:r w:rsidR="004E3C5F">
        <w:rPr>
          <w:rFonts w:ascii="Times New Roman" w:hAnsi="Times New Roman" w:cs="Times New Roman"/>
        </w:rPr>
        <w:t xml:space="preserve"> of COVID-19 emergency support </w:t>
      </w:r>
      <w:r w:rsidR="00E04F70">
        <w:rPr>
          <w:rFonts w:ascii="Times New Roman" w:hAnsi="Times New Roman" w:cs="Times New Roman"/>
        </w:rPr>
        <w:t>will gradually reduce current expenditures</w:t>
      </w:r>
      <w:r w:rsidR="0079777B">
        <w:rPr>
          <w:rFonts w:ascii="Times New Roman" w:hAnsi="Times New Roman" w:cs="Times New Roman"/>
        </w:rPr>
        <w:t xml:space="preserve">, which are expected to reach 31 percent </w:t>
      </w:r>
      <w:r w:rsidR="0057137A">
        <w:rPr>
          <w:rFonts w:ascii="Times New Roman" w:hAnsi="Times New Roman" w:cs="Times New Roman"/>
        </w:rPr>
        <w:t xml:space="preserve">of GDP by 2024. </w:t>
      </w:r>
      <w:r w:rsidR="0087039C" w:rsidRPr="00C37A27">
        <w:rPr>
          <w:rFonts w:ascii="Times New Roman" w:hAnsi="Times New Roman" w:cs="Times New Roman"/>
        </w:rPr>
        <w:t xml:space="preserve">Capital expenditure is projected to </w:t>
      </w:r>
      <w:r w:rsidR="00B71F0D">
        <w:rPr>
          <w:rFonts w:ascii="Times New Roman" w:hAnsi="Times New Roman" w:cs="Times New Roman"/>
        </w:rPr>
        <w:t xml:space="preserve">remain at </w:t>
      </w:r>
      <w:r w:rsidR="00B27C87">
        <w:rPr>
          <w:rFonts w:ascii="Times New Roman" w:hAnsi="Times New Roman" w:cs="Times New Roman"/>
        </w:rPr>
        <w:t>3.</w:t>
      </w:r>
      <w:r w:rsidR="00E8388C">
        <w:rPr>
          <w:rFonts w:ascii="Times New Roman" w:hAnsi="Times New Roman" w:cs="Times New Roman"/>
        </w:rPr>
        <w:t>1</w:t>
      </w:r>
      <w:r w:rsidR="0087039C" w:rsidRPr="00C37A27">
        <w:rPr>
          <w:rFonts w:ascii="Times New Roman" w:hAnsi="Times New Roman" w:cs="Times New Roman"/>
        </w:rPr>
        <w:t xml:space="preserve"> percent of GDP </w:t>
      </w:r>
      <w:r w:rsidR="00E8388C">
        <w:rPr>
          <w:rFonts w:ascii="Times New Roman" w:hAnsi="Times New Roman" w:cs="Times New Roman"/>
        </w:rPr>
        <w:t>through</w:t>
      </w:r>
      <w:r w:rsidR="005C06C1">
        <w:rPr>
          <w:rFonts w:ascii="Times New Roman" w:hAnsi="Times New Roman" w:cs="Times New Roman"/>
        </w:rPr>
        <w:t xml:space="preserve"> 2024</w:t>
      </w:r>
      <w:r w:rsidR="0087039C" w:rsidRPr="00C37A27">
        <w:rPr>
          <w:rFonts w:ascii="Times New Roman" w:hAnsi="Times New Roman" w:cs="Times New Roman"/>
        </w:rPr>
        <w:t xml:space="preserve"> as new investment projects are subject to stricter selection criteria consistent with the use of the new public investment management system. </w:t>
      </w:r>
      <w:r w:rsidR="00E346E1">
        <w:rPr>
          <w:rFonts w:ascii="Times New Roman" w:hAnsi="Times New Roman" w:cs="Times New Roman"/>
        </w:rPr>
        <w:t>T</w:t>
      </w:r>
      <w:r w:rsidR="0087039C" w:rsidRPr="00C37A27">
        <w:rPr>
          <w:rFonts w:ascii="Times New Roman" w:hAnsi="Times New Roman" w:cs="Times New Roman"/>
        </w:rPr>
        <w:t xml:space="preserve">otal expenditure will account for </w:t>
      </w:r>
      <w:r w:rsidR="00E346E1">
        <w:rPr>
          <w:rFonts w:ascii="Times New Roman" w:hAnsi="Times New Roman" w:cs="Times New Roman"/>
        </w:rPr>
        <w:t>approxi</w:t>
      </w:r>
      <w:r w:rsidR="00011CD7">
        <w:rPr>
          <w:rFonts w:ascii="Times New Roman" w:hAnsi="Times New Roman" w:cs="Times New Roman"/>
        </w:rPr>
        <w:t xml:space="preserve">mately </w:t>
      </w:r>
      <w:r w:rsidR="0087039C" w:rsidRPr="00C37A27">
        <w:rPr>
          <w:rFonts w:ascii="Times New Roman" w:hAnsi="Times New Roman" w:cs="Times New Roman"/>
        </w:rPr>
        <w:t>3</w:t>
      </w:r>
      <w:r w:rsidR="00011CD7">
        <w:rPr>
          <w:rFonts w:ascii="Times New Roman" w:hAnsi="Times New Roman" w:cs="Times New Roman"/>
        </w:rPr>
        <w:t>5</w:t>
      </w:r>
      <w:r w:rsidR="0087039C" w:rsidRPr="00C37A27">
        <w:rPr>
          <w:rFonts w:ascii="Times New Roman" w:hAnsi="Times New Roman" w:cs="Times New Roman"/>
        </w:rPr>
        <w:t xml:space="preserve"> percent of GDP in 202</w:t>
      </w:r>
      <w:r w:rsidR="00011CD7">
        <w:rPr>
          <w:rFonts w:ascii="Times New Roman" w:hAnsi="Times New Roman" w:cs="Times New Roman"/>
        </w:rPr>
        <w:t>4.</w:t>
      </w:r>
    </w:p>
    <w:p w14:paraId="394E1EBF" w14:textId="0D293BC9" w:rsidR="0087039C" w:rsidRDefault="00F03527" w:rsidP="0087039C">
      <w:pPr>
        <w:spacing w:line="276" w:lineRule="auto"/>
        <w:jc w:val="both"/>
        <w:rPr>
          <w:rFonts w:ascii="Times New Roman" w:hAnsi="Times New Roman" w:cs="Times New Roman"/>
        </w:rPr>
      </w:pPr>
      <w:r>
        <w:rPr>
          <w:rFonts w:ascii="Times New Roman" w:hAnsi="Times New Roman" w:cs="Times New Roman"/>
          <w:b/>
          <w:bCs/>
        </w:rPr>
        <w:t>26</w:t>
      </w:r>
      <w:r w:rsidR="0042142C">
        <w:rPr>
          <w:rFonts w:ascii="Times New Roman" w:hAnsi="Times New Roman" w:cs="Times New Roman"/>
          <w:b/>
          <w:bCs/>
        </w:rPr>
        <w:t>.</w:t>
      </w:r>
      <w:r w:rsidR="00685CA2">
        <w:rPr>
          <w:rFonts w:ascii="Times New Roman" w:hAnsi="Times New Roman" w:cs="Times New Roman"/>
          <w:b/>
          <w:bCs/>
        </w:rPr>
        <w:t xml:space="preserve"> </w:t>
      </w:r>
      <w:r w:rsidR="00EB3D08" w:rsidRPr="00E07EB9">
        <w:rPr>
          <w:rFonts w:ascii="Times New Roman" w:hAnsi="Times New Roman" w:cs="Times New Roman"/>
          <w:b/>
          <w:bCs/>
        </w:rPr>
        <w:t>F</w:t>
      </w:r>
      <w:r w:rsidR="00DF393B" w:rsidRPr="00E07EB9">
        <w:rPr>
          <w:rFonts w:ascii="Times New Roman" w:hAnsi="Times New Roman" w:cs="Times New Roman"/>
          <w:b/>
          <w:bCs/>
        </w:rPr>
        <w:t xml:space="preserve">inancing needs </w:t>
      </w:r>
      <w:r w:rsidR="00AC43A7" w:rsidRPr="00E07EB9">
        <w:rPr>
          <w:rFonts w:ascii="Times New Roman" w:hAnsi="Times New Roman" w:cs="Times New Roman"/>
          <w:b/>
          <w:bCs/>
        </w:rPr>
        <w:t xml:space="preserve">is expected to </w:t>
      </w:r>
      <w:r w:rsidR="007E33D3">
        <w:rPr>
          <w:rFonts w:ascii="Times New Roman" w:hAnsi="Times New Roman" w:cs="Times New Roman"/>
          <w:b/>
          <w:bCs/>
        </w:rPr>
        <w:t>increase in 2022</w:t>
      </w:r>
      <w:r w:rsidR="00AC43A7" w:rsidRPr="00E07EB9">
        <w:rPr>
          <w:rFonts w:ascii="Times New Roman" w:hAnsi="Times New Roman" w:cs="Times New Roman"/>
          <w:b/>
          <w:bCs/>
        </w:rPr>
        <w:t xml:space="preserve"> as</w:t>
      </w:r>
      <w:r w:rsidR="00DF393B" w:rsidRPr="00E07EB9">
        <w:rPr>
          <w:rFonts w:ascii="Times New Roman" w:hAnsi="Times New Roman" w:cs="Times New Roman"/>
          <w:b/>
          <w:bCs/>
        </w:rPr>
        <w:t xml:space="preserve"> on</w:t>
      </w:r>
      <w:r w:rsidR="00866FBD">
        <w:rPr>
          <w:rFonts w:ascii="Times New Roman" w:hAnsi="Times New Roman" w:cs="Times New Roman"/>
          <w:b/>
          <w:bCs/>
        </w:rPr>
        <w:t>-</w:t>
      </w:r>
      <w:r w:rsidR="00DF393B" w:rsidRPr="00E07EB9">
        <w:rPr>
          <w:rFonts w:ascii="Times New Roman" w:hAnsi="Times New Roman" w:cs="Times New Roman"/>
          <w:b/>
          <w:bCs/>
        </w:rPr>
        <w:t xml:space="preserve">lending to and recapitalization of </w:t>
      </w:r>
      <w:r w:rsidR="00555B15" w:rsidRPr="00E07EB9">
        <w:rPr>
          <w:rFonts w:ascii="Times New Roman" w:hAnsi="Times New Roman" w:cs="Times New Roman"/>
          <w:b/>
          <w:bCs/>
        </w:rPr>
        <w:t>SOE</w:t>
      </w:r>
      <w:r w:rsidR="008E4719">
        <w:rPr>
          <w:rFonts w:ascii="Times New Roman" w:hAnsi="Times New Roman" w:cs="Times New Roman"/>
          <w:b/>
          <w:bCs/>
        </w:rPr>
        <w:t>s</w:t>
      </w:r>
      <w:r w:rsidR="005A3CF8" w:rsidRPr="00E07EB9">
        <w:rPr>
          <w:rFonts w:ascii="Times New Roman" w:hAnsi="Times New Roman" w:cs="Times New Roman"/>
          <w:b/>
          <w:bCs/>
        </w:rPr>
        <w:t xml:space="preserve"> </w:t>
      </w:r>
      <w:r w:rsidR="00E07EB9" w:rsidRPr="00E07EB9">
        <w:rPr>
          <w:rFonts w:ascii="Times New Roman" w:hAnsi="Times New Roman" w:cs="Times New Roman"/>
          <w:b/>
          <w:bCs/>
        </w:rPr>
        <w:t>increase</w:t>
      </w:r>
      <w:r w:rsidR="007E33D3">
        <w:rPr>
          <w:rFonts w:ascii="Times New Roman" w:hAnsi="Times New Roman" w:cs="Times New Roman"/>
          <w:b/>
          <w:bCs/>
        </w:rPr>
        <w:t xml:space="preserve">, but </w:t>
      </w:r>
      <w:r w:rsidR="001A01D3">
        <w:rPr>
          <w:rFonts w:ascii="Times New Roman" w:hAnsi="Times New Roman" w:cs="Times New Roman"/>
          <w:b/>
          <w:bCs/>
        </w:rPr>
        <w:t xml:space="preserve">to </w:t>
      </w:r>
      <w:r w:rsidR="007E33D3">
        <w:rPr>
          <w:rFonts w:ascii="Times New Roman" w:hAnsi="Times New Roman" w:cs="Times New Roman"/>
          <w:b/>
          <w:bCs/>
        </w:rPr>
        <w:t xml:space="preserve">gradually decline over the medium term </w:t>
      </w:r>
      <w:r w:rsidR="003A57AF">
        <w:rPr>
          <w:rFonts w:ascii="Times New Roman" w:hAnsi="Times New Roman" w:cs="Times New Roman"/>
          <w:b/>
          <w:bCs/>
        </w:rPr>
        <w:t xml:space="preserve">with the resumption of </w:t>
      </w:r>
      <w:r w:rsidR="00F378CA">
        <w:rPr>
          <w:rFonts w:ascii="Times New Roman" w:hAnsi="Times New Roman" w:cs="Times New Roman"/>
          <w:b/>
          <w:bCs/>
        </w:rPr>
        <w:t>the SOE reform agenda</w:t>
      </w:r>
      <w:r w:rsidR="00DF393B" w:rsidRPr="00E07EB9">
        <w:rPr>
          <w:rFonts w:ascii="Times New Roman" w:hAnsi="Times New Roman" w:cs="Times New Roman"/>
          <w:b/>
          <w:bCs/>
        </w:rPr>
        <w:t>.</w:t>
      </w:r>
      <w:r w:rsidR="00DF393B" w:rsidRPr="00E07EB9">
        <w:rPr>
          <w:rFonts w:ascii="Times New Roman" w:hAnsi="Times New Roman" w:cs="Times New Roman"/>
        </w:rPr>
        <w:t xml:space="preserve"> </w:t>
      </w:r>
      <w:r w:rsidR="00D32690">
        <w:rPr>
          <w:rFonts w:ascii="Times New Roman" w:hAnsi="Times New Roman" w:cs="Times New Roman"/>
        </w:rPr>
        <w:t>Financing</w:t>
      </w:r>
      <w:r w:rsidR="00DF393B" w:rsidRPr="00E07EB9">
        <w:rPr>
          <w:rFonts w:ascii="Times New Roman" w:hAnsi="Times New Roman" w:cs="Times New Roman"/>
        </w:rPr>
        <w:t xml:space="preserve"> needs w</w:t>
      </w:r>
      <w:r w:rsidR="00347862">
        <w:rPr>
          <w:rFonts w:ascii="Times New Roman" w:hAnsi="Times New Roman" w:cs="Times New Roman"/>
        </w:rPr>
        <w:t>ill</w:t>
      </w:r>
      <w:r w:rsidR="00DF393B" w:rsidRPr="00E07EB9">
        <w:rPr>
          <w:rFonts w:ascii="Times New Roman" w:hAnsi="Times New Roman" w:cs="Times New Roman"/>
        </w:rPr>
        <w:t xml:space="preserve"> be covered </w:t>
      </w:r>
      <w:r w:rsidR="00347862">
        <w:rPr>
          <w:rFonts w:ascii="Times New Roman" w:hAnsi="Times New Roman" w:cs="Times New Roman"/>
        </w:rPr>
        <w:t xml:space="preserve">largely by </w:t>
      </w:r>
      <w:r w:rsidR="00DF393B" w:rsidRPr="00E07EB9">
        <w:rPr>
          <w:rFonts w:ascii="Times New Roman" w:hAnsi="Times New Roman" w:cs="Times New Roman"/>
        </w:rPr>
        <w:t xml:space="preserve">domestic </w:t>
      </w:r>
      <w:r w:rsidR="00E52CF4">
        <w:rPr>
          <w:rFonts w:ascii="Times New Roman" w:hAnsi="Times New Roman" w:cs="Times New Roman"/>
        </w:rPr>
        <w:t xml:space="preserve">sources, and to a lesser </w:t>
      </w:r>
      <w:r w:rsidR="00F11E64">
        <w:rPr>
          <w:rFonts w:ascii="Times New Roman" w:hAnsi="Times New Roman" w:cs="Times New Roman"/>
        </w:rPr>
        <w:t>extent</w:t>
      </w:r>
      <w:r w:rsidR="00E52CF4">
        <w:rPr>
          <w:rFonts w:ascii="Times New Roman" w:hAnsi="Times New Roman" w:cs="Times New Roman"/>
        </w:rPr>
        <w:t xml:space="preserve"> </w:t>
      </w:r>
      <w:r w:rsidR="006A0CA0">
        <w:rPr>
          <w:rFonts w:ascii="Times New Roman" w:hAnsi="Times New Roman" w:cs="Times New Roman"/>
        </w:rPr>
        <w:t>by concessional external loans</w:t>
      </w:r>
      <w:r w:rsidR="00DF393B" w:rsidRPr="00E07EB9">
        <w:rPr>
          <w:rFonts w:ascii="Times New Roman" w:hAnsi="Times New Roman" w:cs="Times New Roman"/>
        </w:rPr>
        <w:t xml:space="preserve">. </w:t>
      </w:r>
      <w:r w:rsidR="00F11E64">
        <w:rPr>
          <w:rFonts w:ascii="Times New Roman" w:hAnsi="Times New Roman" w:cs="Times New Roman"/>
        </w:rPr>
        <w:t>Th</w:t>
      </w:r>
      <w:r w:rsidR="0087039C" w:rsidRPr="00C37A27">
        <w:rPr>
          <w:rFonts w:ascii="Times New Roman" w:hAnsi="Times New Roman" w:cs="Times New Roman"/>
        </w:rPr>
        <w:t>e proactive restructuring and privatization of SOEs in 202</w:t>
      </w:r>
      <w:r w:rsidR="00352A1D">
        <w:rPr>
          <w:rFonts w:ascii="Times New Roman" w:hAnsi="Times New Roman" w:cs="Times New Roman"/>
        </w:rPr>
        <w:t>2</w:t>
      </w:r>
      <w:r w:rsidR="000C4BF8">
        <w:rPr>
          <w:rFonts w:ascii="Times New Roman" w:hAnsi="Times New Roman" w:cs="Times New Roman"/>
        </w:rPr>
        <w:t>,</w:t>
      </w:r>
      <w:r w:rsidR="0087039C" w:rsidRPr="00C37A27">
        <w:rPr>
          <w:rFonts w:ascii="Times New Roman" w:hAnsi="Times New Roman" w:cs="Times New Roman"/>
        </w:rPr>
        <w:t xml:space="preserve"> including the airport management company and the electricity utility company</w:t>
      </w:r>
      <w:r w:rsidR="0070087F">
        <w:rPr>
          <w:rFonts w:ascii="Times New Roman" w:hAnsi="Times New Roman" w:cs="Times New Roman"/>
        </w:rPr>
        <w:t>,</w:t>
      </w:r>
      <w:r w:rsidR="000C4BF8">
        <w:rPr>
          <w:rFonts w:ascii="Times New Roman" w:hAnsi="Times New Roman" w:cs="Times New Roman"/>
        </w:rPr>
        <w:t xml:space="preserve"> will </w:t>
      </w:r>
      <w:r w:rsidR="002822A5">
        <w:rPr>
          <w:rFonts w:ascii="Times New Roman" w:hAnsi="Times New Roman" w:cs="Times New Roman"/>
        </w:rPr>
        <w:t>reduce the</w:t>
      </w:r>
      <w:r w:rsidR="00AB21C3">
        <w:rPr>
          <w:rFonts w:ascii="Times New Roman" w:hAnsi="Times New Roman" w:cs="Times New Roman"/>
        </w:rPr>
        <w:t xml:space="preserve"> </w:t>
      </w:r>
      <w:r w:rsidR="002822A5">
        <w:rPr>
          <w:rFonts w:ascii="Times New Roman" w:hAnsi="Times New Roman" w:cs="Times New Roman"/>
        </w:rPr>
        <w:t>f</w:t>
      </w:r>
      <w:r w:rsidR="0087039C" w:rsidRPr="00C37A27">
        <w:rPr>
          <w:rFonts w:ascii="Times New Roman" w:hAnsi="Times New Roman" w:cs="Times New Roman"/>
        </w:rPr>
        <w:t>inancial support to the SOE sector over the medium term. On-lending to SOEs for investment purposes is expected to reach only 0.</w:t>
      </w:r>
      <w:r w:rsidR="00840B1F">
        <w:rPr>
          <w:rFonts w:ascii="Times New Roman" w:hAnsi="Times New Roman" w:cs="Times New Roman"/>
        </w:rPr>
        <w:t>2</w:t>
      </w:r>
      <w:r w:rsidR="0087039C" w:rsidRPr="00C37A27">
        <w:rPr>
          <w:rFonts w:ascii="Times New Roman" w:hAnsi="Times New Roman" w:cs="Times New Roman"/>
        </w:rPr>
        <w:t xml:space="preserve"> percent of GDP by 202</w:t>
      </w:r>
      <w:r w:rsidR="0045155D">
        <w:rPr>
          <w:rFonts w:ascii="Times New Roman" w:hAnsi="Times New Roman" w:cs="Times New Roman"/>
        </w:rPr>
        <w:t>4</w:t>
      </w:r>
      <w:r w:rsidR="0087039C" w:rsidRPr="00C37A27">
        <w:rPr>
          <w:rFonts w:ascii="Times New Roman" w:hAnsi="Times New Roman" w:cs="Times New Roman"/>
        </w:rPr>
        <w:t xml:space="preserve">. </w:t>
      </w:r>
    </w:p>
    <w:p w14:paraId="354DA5E9" w14:textId="2060CFF5" w:rsidR="00841554" w:rsidRDefault="00F03527" w:rsidP="0087039C">
      <w:pPr>
        <w:spacing w:line="276" w:lineRule="auto"/>
        <w:jc w:val="both"/>
        <w:rPr>
          <w:rFonts w:ascii="Times New Roman" w:hAnsi="Times New Roman" w:cs="Times New Roman"/>
        </w:rPr>
      </w:pPr>
      <w:r>
        <w:rPr>
          <w:rFonts w:ascii="Times New Roman" w:hAnsi="Times New Roman" w:cs="Times New Roman"/>
          <w:b/>
          <w:bCs/>
        </w:rPr>
        <w:t>27</w:t>
      </w:r>
      <w:r w:rsidR="00685CA2">
        <w:rPr>
          <w:rFonts w:ascii="Times New Roman" w:hAnsi="Times New Roman" w:cs="Times New Roman"/>
          <w:b/>
          <w:bCs/>
        </w:rPr>
        <w:t xml:space="preserve">. </w:t>
      </w:r>
      <w:r w:rsidR="000E7262" w:rsidRPr="000E7262">
        <w:rPr>
          <w:rFonts w:ascii="Times New Roman" w:hAnsi="Times New Roman" w:cs="Times New Roman"/>
          <w:b/>
          <w:bCs/>
        </w:rPr>
        <w:t xml:space="preserve">The outlook </w:t>
      </w:r>
      <w:r w:rsidR="00503FB2" w:rsidRPr="00503FB2">
        <w:rPr>
          <w:rFonts w:ascii="Times New Roman" w:hAnsi="Times New Roman" w:cs="Times New Roman"/>
          <w:b/>
          <w:bCs/>
        </w:rPr>
        <w:t xml:space="preserve">is subject to downside risks stemming from new COVID-19 variants, the Ukraine war, and climatic shocks. </w:t>
      </w:r>
      <w:r w:rsidR="00503FB2" w:rsidRPr="009B3253">
        <w:rPr>
          <w:rFonts w:ascii="Times New Roman" w:hAnsi="Times New Roman" w:cs="Times New Roman"/>
        </w:rPr>
        <w:t>While the COVID-19 vaccination rollout is among the highest in Africa, the country remains vulnerable to new variants. An increase in the size or duration of the terms of trade shock emanating from the Ukraine war could lead to higher inflationary pressures and the continuation of policy support to ameliorate its impact, which in turn could deteriorate fiscal and debt sustainability. Social tensions and poverty could increase after allowing for the passthrough of higher energy prices on electricity bills. Political pressures against continued fiscal consolidation in the aftermath of the crisis could also derail SOE reform efforts. However, the authorities remain committed to continuing to improve fiscal and debt management, with a view to lowering the debt burden and enhancing the provision of public services over the medium term. In addition, the country remains significantly exposed to natural disasters, including those related to climate change.</w:t>
      </w:r>
      <w:r w:rsidR="00503FB2">
        <w:rPr>
          <w:rFonts w:ascii="Times New Roman" w:hAnsi="Times New Roman" w:cs="Times New Roman"/>
        </w:rPr>
        <w:t xml:space="preserve"> </w:t>
      </w:r>
    </w:p>
    <w:p w14:paraId="6EE4FD31" w14:textId="1CE7668C" w:rsidR="00284CF8" w:rsidRPr="00A31CF2" w:rsidRDefault="00284CF8" w:rsidP="006D39C7">
      <w:pPr>
        <w:spacing w:line="276" w:lineRule="auto"/>
        <w:jc w:val="both"/>
        <w:rPr>
          <w:rFonts w:ascii="Times New Roman" w:hAnsi="Times New Roman" w:cs="Times New Roman"/>
          <w:b/>
          <w:bCs/>
        </w:rPr>
      </w:pPr>
    </w:p>
    <w:p w14:paraId="6C069514" w14:textId="1E81DB75" w:rsidR="00515F75" w:rsidRDefault="00515F75" w:rsidP="0049453E">
      <w:pPr>
        <w:spacing w:line="276" w:lineRule="auto"/>
        <w:jc w:val="both"/>
        <w:rPr>
          <w:rFonts w:ascii="Times New Roman" w:hAnsi="Times New Roman" w:cs="Times New Roman"/>
          <w:b/>
          <w:bCs/>
        </w:rPr>
      </w:pPr>
    </w:p>
    <w:p w14:paraId="1FD3EC5E" w14:textId="01982B4C" w:rsidR="00385462" w:rsidRPr="00750310" w:rsidRDefault="00BA3F12" w:rsidP="00A27DC3">
      <w:pPr>
        <w:keepNext/>
        <w:keepLines/>
        <w:spacing w:before="240" w:after="0"/>
        <w:jc w:val="center"/>
        <w:outlineLvl w:val="0"/>
        <w:rPr>
          <w:rFonts w:asciiTheme="majorHAnsi" w:eastAsiaTheme="majorEastAsia" w:hAnsiTheme="majorHAnsi" w:cstheme="majorBidi"/>
          <w:b/>
          <w:color w:val="2F5496" w:themeColor="accent1" w:themeShade="BF"/>
          <w:sz w:val="32"/>
          <w:szCs w:val="32"/>
        </w:rPr>
      </w:pPr>
      <w:r>
        <w:rPr>
          <w:rFonts w:ascii="Times New Roman" w:hAnsi="Times New Roman" w:cs="Times New Roman"/>
          <w:b/>
          <w:bCs/>
        </w:rPr>
        <w:br w:type="page"/>
      </w:r>
      <w:bookmarkStart w:id="79" w:name="_Toc105592811"/>
      <w:r w:rsidR="00385462" w:rsidRPr="007F06FD">
        <w:rPr>
          <w:rFonts w:ascii="Times New Roman" w:eastAsiaTheme="majorEastAsia" w:hAnsi="Times New Roman" w:cs="Times New Roman"/>
          <w:b/>
          <w:color w:val="2F5496" w:themeColor="accent1" w:themeShade="BF"/>
          <w:sz w:val="32"/>
          <w:szCs w:val="32"/>
        </w:rPr>
        <w:lastRenderedPageBreak/>
        <w:t>Part II</w:t>
      </w:r>
      <w:r w:rsidR="00385462" w:rsidRPr="00A27DC3">
        <w:rPr>
          <w:rFonts w:ascii="Times New Roman" w:eastAsiaTheme="majorEastAsia" w:hAnsi="Times New Roman" w:cs="Times New Roman"/>
          <w:b/>
          <w:color w:val="2F5496" w:themeColor="accent1" w:themeShade="BF"/>
          <w:sz w:val="32"/>
          <w:szCs w:val="32"/>
        </w:rPr>
        <w:t xml:space="preserve"> –</w:t>
      </w:r>
      <w:r w:rsidR="00C36ED9" w:rsidRPr="00A27DC3">
        <w:rPr>
          <w:rFonts w:ascii="Times New Roman" w:eastAsiaTheme="majorEastAsia" w:hAnsi="Times New Roman" w:cs="Times New Roman"/>
          <w:b/>
          <w:color w:val="2F5496" w:themeColor="accent1" w:themeShade="BF"/>
          <w:sz w:val="32"/>
          <w:szCs w:val="32"/>
        </w:rPr>
        <w:t xml:space="preserve"> </w:t>
      </w:r>
      <w:r w:rsidR="00C36ED9" w:rsidRPr="007F06FD">
        <w:rPr>
          <w:rFonts w:ascii="Times New Roman" w:eastAsiaTheme="majorEastAsia" w:hAnsi="Times New Roman" w:cs="Times New Roman"/>
          <w:b/>
          <w:color w:val="2F5496" w:themeColor="accent1" w:themeShade="BF"/>
          <w:sz w:val="32"/>
          <w:szCs w:val="32"/>
        </w:rPr>
        <w:t>Digital Development Outlook: Challenges and Prospects</w:t>
      </w:r>
      <w:bookmarkEnd w:id="79"/>
    </w:p>
    <w:p w14:paraId="633E7C4E" w14:textId="47C61078" w:rsidR="003346E3" w:rsidRDefault="003346E3" w:rsidP="0049453E">
      <w:pPr>
        <w:spacing w:line="276" w:lineRule="auto"/>
        <w:jc w:val="both"/>
        <w:rPr>
          <w:rFonts w:ascii="Times New Roman" w:hAnsi="Times New Roman" w:cs="Times New Roman"/>
          <w:b/>
          <w:bCs/>
        </w:rPr>
      </w:pPr>
    </w:p>
    <w:p w14:paraId="5039F4C9" w14:textId="6C8E184F" w:rsidR="007057B9" w:rsidRPr="007057B9" w:rsidRDefault="007057B9" w:rsidP="007057B9">
      <w:pPr>
        <w:jc w:val="both"/>
        <w:rPr>
          <w:rFonts w:ascii="Times New Roman" w:hAnsi="Times New Roman" w:cs="Times New Roman"/>
          <w:b/>
          <w:bCs/>
          <w:color w:val="2F5496" w:themeColor="accent1" w:themeShade="BF"/>
        </w:rPr>
      </w:pPr>
      <w:r w:rsidRPr="007057B9">
        <w:rPr>
          <w:rFonts w:ascii="Times New Roman" w:hAnsi="Times New Roman" w:cs="Times New Roman"/>
          <w:b/>
          <w:bCs/>
          <w:color w:val="2F5496" w:themeColor="accent1" w:themeShade="BF"/>
        </w:rPr>
        <w:t xml:space="preserve">Digital technologies have become an intrinsic part of sustainable growth agenda in many countries around the world. </w:t>
      </w:r>
    </w:p>
    <w:p w14:paraId="5A70912B" w14:textId="26BA2AC5" w:rsidR="007057B9" w:rsidRPr="007057B9" w:rsidRDefault="00F03527" w:rsidP="007057B9">
      <w:pPr>
        <w:jc w:val="both"/>
        <w:rPr>
          <w:rFonts w:ascii="Times New Roman" w:hAnsi="Times New Roman" w:cs="Times New Roman"/>
        </w:rPr>
      </w:pPr>
      <w:r>
        <w:rPr>
          <w:rFonts w:ascii="Times New Roman" w:hAnsi="Times New Roman" w:cs="Times New Roman"/>
          <w:b/>
          <w:bCs/>
        </w:rPr>
        <w:t>28</w:t>
      </w:r>
      <w:r w:rsidR="002D7BA9">
        <w:rPr>
          <w:rFonts w:ascii="Times New Roman" w:hAnsi="Times New Roman" w:cs="Times New Roman"/>
          <w:b/>
          <w:bCs/>
        </w:rPr>
        <w:t xml:space="preserve">. </w:t>
      </w:r>
      <w:r w:rsidR="007057B9" w:rsidRPr="007057B9">
        <w:rPr>
          <w:rFonts w:ascii="Times New Roman" w:hAnsi="Times New Roman" w:cs="Times New Roman"/>
          <w:b/>
          <w:bCs/>
        </w:rPr>
        <w:t xml:space="preserve">With unprecedented economic disruptions caused by COVID-19, governments acknowledge that digital development is no longer a choice. </w:t>
      </w:r>
      <w:r w:rsidR="007057B9" w:rsidRPr="007057B9">
        <w:rPr>
          <w:rFonts w:ascii="Times New Roman" w:hAnsi="Times New Roman" w:cs="Times New Roman"/>
        </w:rPr>
        <w:t xml:space="preserve">Technologies and digitization of processes are given a central role in policies and strategies of economic recovery from pandemic and building resilience. Digital readiness defined not only the severity of the COVID-19 impact on various economies, but also the speed of their recovery. With existing digital divides, including disparities in the access to internet and mobile devices, many people have been unable to access vital public services online, such as education and health, deepening inequalities and undermining inclusive development prospects. </w:t>
      </w:r>
    </w:p>
    <w:p w14:paraId="2B7E09C5" w14:textId="71F04E26" w:rsidR="007057B9" w:rsidRPr="007057B9" w:rsidRDefault="00F03527" w:rsidP="007057B9">
      <w:pPr>
        <w:jc w:val="both"/>
        <w:rPr>
          <w:rFonts w:ascii="Times New Roman" w:hAnsi="Times New Roman" w:cs="Times New Roman"/>
          <w:b/>
          <w:bCs/>
        </w:rPr>
      </w:pPr>
      <w:r>
        <w:rPr>
          <w:rFonts w:ascii="Times New Roman" w:hAnsi="Times New Roman" w:cs="Times New Roman"/>
          <w:b/>
          <w:bCs/>
        </w:rPr>
        <w:t>29</w:t>
      </w:r>
      <w:r w:rsidR="002D7BA9">
        <w:rPr>
          <w:rFonts w:ascii="Times New Roman" w:hAnsi="Times New Roman" w:cs="Times New Roman"/>
          <w:b/>
          <w:bCs/>
        </w:rPr>
        <w:t xml:space="preserve">. </w:t>
      </w:r>
      <w:r w:rsidR="007057B9" w:rsidRPr="007057B9">
        <w:rPr>
          <w:rFonts w:ascii="Times New Roman" w:hAnsi="Times New Roman" w:cs="Times New Roman"/>
          <w:b/>
          <w:bCs/>
        </w:rPr>
        <w:t>Cabo Verde, as a service-led economy, highly dependent on tourism, was hit hard by the lockdown.</w:t>
      </w:r>
      <w:r w:rsidR="007057B9" w:rsidRPr="007057B9">
        <w:rPr>
          <w:rFonts w:ascii="Times New Roman" w:hAnsi="Times New Roman" w:cs="Times New Roman"/>
        </w:rPr>
        <w:t xml:space="preserve"> The pandemic underscored the importance of ICT in increasing the productivity and resilience of various economic sectors. In addition, the development of the digital economy in Cabo Verde is expected to boost the ICT services sector and foster economic diversification. This chapter discusses the foundations of Cabo Verde’s digital ecosystem, including digital infrastructure, digital government, digital </w:t>
      </w:r>
      <w:proofErr w:type="gramStart"/>
      <w:r w:rsidR="007057B9" w:rsidRPr="007057B9">
        <w:rPr>
          <w:rFonts w:ascii="Times New Roman" w:hAnsi="Times New Roman" w:cs="Times New Roman"/>
        </w:rPr>
        <w:t>skills</w:t>
      </w:r>
      <w:proofErr w:type="gramEnd"/>
      <w:r w:rsidR="007057B9" w:rsidRPr="007057B9">
        <w:rPr>
          <w:rFonts w:ascii="Times New Roman" w:hAnsi="Times New Roman" w:cs="Times New Roman"/>
        </w:rPr>
        <w:t xml:space="preserve"> and entrepreneurship, as well as digital enablers, such as policies, regulatory environment and trust ecosystem.</w:t>
      </w:r>
    </w:p>
    <w:p w14:paraId="40BE9E1F" w14:textId="77777777" w:rsidR="007057B9" w:rsidRDefault="007057B9" w:rsidP="0049453E">
      <w:pPr>
        <w:spacing w:line="276" w:lineRule="auto"/>
        <w:jc w:val="both"/>
        <w:rPr>
          <w:rFonts w:ascii="Times New Roman" w:hAnsi="Times New Roman" w:cs="Times New Roman"/>
          <w:b/>
          <w:bCs/>
        </w:rPr>
      </w:pPr>
    </w:p>
    <w:p w14:paraId="297B6CB4" w14:textId="5FB7D718" w:rsidR="00C56E1B" w:rsidRPr="00877EA9" w:rsidRDefault="00F51D31" w:rsidP="00C56E1B">
      <w:pPr>
        <w:keepNext/>
        <w:keepLines/>
        <w:numPr>
          <w:ilvl w:val="0"/>
          <w:numId w:val="15"/>
        </w:numPr>
        <w:spacing w:before="40" w:after="240"/>
        <w:outlineLvl w:val="1"/>
        <w:rPr>
          <w:rFonts w:ascii="Times New Roman" w:eastAsia="Times New Roman" w:hAnsi="Times New Roman" w:cs="Times New Roman"/>
          <w:bCs/>
          <w:color w:val="2F5496"/>
          <w:sz w:val="26"/>
          <w:szCs w:val="26"/>
        </w:rPr>
      </w:pPr>
      <w:bookmarkStart w:id="80" w:name="_Toc66955828"/>
      <w:bookmarkStart w:id="81" w:name="_Toc70346650"/>
      <w:bookmarkStart w:id="82" w:name="_Hlk97569501"/>
      <w:bookmarkStart w:id="83" w:name="_Toc105592812"/>
      <w:r w:rsidRPr="00C12B93">
        <w:rPr>
          <w:rFonts w:ascii="Times New Roman" w:eastAsiaTheme="majorEastAsia" w:hAnsi="Times New Roman" w:cs="Times New Roman"/>
          <w:color w:val="2F5496" w:themeColor="accent1" w:themeShade="BF"/>
          <w:sz w:val="26"/>
          <w:szCs w:val="26"/>
        </w:rPr>
        <w:t xml:space="preserve">Digital </w:t>
      </w:r>
      <w:r w:rsidR="00AD2393">
        <w:rPr>
          <w:rFonts w:ascii="Times New Roman" w:eastAsiaTheme="majorEastAsia" w:hAnsi="Times New Roman" w:cs="Times New Roman"/>
          <w:color w:val="2F5496" w:themeColor="accent1" w:themeShade="BF"/>
          <w:sz w:val="26"/>
          <w:szCs w:val="26"/>
        </w:rPr>
        <w:t>I</w:t>
      </w:r>
      <w:r w:rsidRPr="00C12B93">
        <w:rPr>
          <w:rFonts w:ascii="Times New Roman" w:eastAsiaTheme="majorEastAsia" w:hAnsi="Times New Roman" w:cs="Times New Roman"/>
          <w:color w:val="2F5496" w:themeColor="accent1" w:themeShade="BF"/>
          <w:sz w:val="26"/>
          <w:szCs w:val="26"/>
        </w:rPr>
        <w:t>nfrastructure</w:t>
      </w:r>
      <w:bookmarkEnd w:id="80"/>
      <w:bookmarkEnd w:id="81"/>
      <w:bookmarkEnd w:id="82"/>
      <w:bookmarkEnd w:id="83"/>
    </w:p>
    <w:p w14:paraId="22CBF29B" w14:textId="1C648DD5" w:rsidR="005010DB" w:rsidRPr="005010DB" w:rsidRDefault="005010DB" w:rsidP="005010DB">
      <w:pPr>
        <w:jc w:val="both"/>
        <w:rPr>
          <w:rFonts w:ascii="Times New Roman" w:hAnsi="Times New Roman" w:cs="Times New Roman"/>
          <w:b/>
          <w:bCs/>
          <w:color w:val="002060"/>
        </w:rPr>
      </w:pPr>
      <w:r w:rsidRPr="005010DB">
        <w:rPr>
          <w:rFonts w:ascii="Times New Roman" w:hAnsi="Times New Roman" w:cs="Times New Roman"/>
          <w:b/>
          <w:bCs/>
          <w:color w:val="002060"/>
        </w:rPr>
        <w:t>Cabo Verde has a</w:t>
      </w:r>
      <w:r w:rsidR="00440169">
        <w:rPr>
          <w:rFonts w:ascii="Times New Roman" w:hAnsi="Times New Roman" w:cs="Times New Roman"/>
          <w:b/>
          <w:bCs/>
          <w:color w:val="002060"/>
        </w:rPr>
        <w:t>n</w:t>
      </w:r>
      <w:r w:rsidRPr="005010DB">
        <w:rPr>
          <w:rFonts w:ascii="Times New Roman" w:hAnsi="Times New Roman" w:cs="Times New Roman"/>
          <w:b/>
          <w:bCs/>
          <w:color w:val="002060"/>
        </w:rPr>
        <w:t xml:space="preserve"> adequate connectivity infrastructure; however, user adoption and internet services market </w:t>
      </w:r>
      <w:r w:rsidR="00440169" w:rsidRPr="005010DB">
        <w:rPr>
          <w:rFonts w:ascii="Times New Roman" w:hAnsi="Times New Roman" w:cs="Times New Roman"/>
          <w:b/>
          <w:bCs/>
          <w:color w:val="002060"/>
        </w:rPr>
        <w:t xml:space="preserve">sophistication </w:t>
      </w:r>
      <w:r w:rsidR="00440169">
        <w:rPr>
          <w:rFonts w:ascii="Times New Roman" w:hAnsi="Times New Roman" w:cs="Times New Roman"/>
          <w:b/>
          <w:bCs/>
          <w:color w:val="002060"/>
        </w:rPr>
        <w:t>has</w:t>
      </w:r>
      <w:r w:rsidR="004A22BA">
        <w:rPr>
          <w:rFonts w:ascii="Times New Roman" w:hAnsi="Times New Roman" w:cs="Times New Roman"/>
          <w:b/>
          <w:bCs/>
          <w:color w:val="002060"/>
        </w:rPr>
        <w:t xml:space="preserve"> room for improvement</w:t>
      </w:r>
      <w:r w:rsidRPr="005010DB">
        <w:rPr>
          <w:rFonts w:ascii="Times New Roman" w:hAnsi="Times New Roman" w:cs="Times New Roman"/>
          <w:b/>
          <w:bCs/>
          <w:color w:val="002060"/>
        </w:rPr>
        <w:t>.</w:t>
      </w:r>
    </w:p>
    <w:p w14:paraId="0526E1D4" w14:textId="2AF309BB" w:rsidR="005010DB" w:rsidRPr="005010DB" w:rsidRDefault="002D7BA9" w:rsidP="005010DB">
      <w:pPr>
        <w:tabs>
          <w:tab w:val="left" w:pos="2150"/>
        </w:tabs>
        <w:jc w:val="both"/>
        <w:rPr>
          <w:rFonts w:ascii="Times New Roman" w:hAnsi="Times New Roman" w:cs="Times New Roman"/>
          <w:b/>
          <w:bCs/>
        </w:rPr>
      </w:pPr>
      <w:r>
        <w:rPr>
          <w:rFonts w:ascii="Times New Roman" w:hAnsi="Times New Roman" w:cs="Times New Roman"/>
          <w:b/>
          <w:bCs/>
        </w:rPr>
        <w:t>3</w:t>
      </w:r>
      <w:r w:rsidR="00F03527">
        <w:rPr>
          <w:rFonts w:ascii="Times New Roman" w:hAnsi="Times New Roman" w:cs="Times New Roman"/>
          <w:b/>
          <w:bCs/>
        </w:rPr>
        <w:t>0</w:t>
      </w:r>
      <w:r>
        <w:rPr>
          <w:rFonts w:ascii="Times New Roman" w:hAnsi="Times New Roman" w:cs="Times New Roman"/>
          <w:b/>
          <w:bCs/>
        </w:rPr>
        <w:t xml:space="preserve">. </w:t>
      </w:r>
      <w:r w:rsidR="005010DB" w:rsidRPr="005010DB">
        <w:rPr>
          <w:rFonts w:ascii="Times New Roman" w:hAnsi="Times New Roman" w:cs="Times New Roman"/>
          <w:b/>
          <w:bCs/>
        </w:rPr>
        <w:t xml:space="preserve">As an archipelago and an island country, Cabo Verde has consistently recognized the role of international and inter-island connectivity. </w:t>
      </w:r>
      <w:r w:rsidR="005010DB" w:rsidRPr="005010DB">
        <w:rPr>
          <w:rFonts w:ascii="Times New Roman" w:hAnsi="Times New Roman" w:cs="Times New Roman"/>
        </w:rPr>
        <w:t xml:space="preserve">Digital connectivity has been an intrinsic part of the connectivity agenda since the initiation of the Public Infrastructure Network (PIN) in 1995. CV Telecom, which </w:t>
      </w:r>
      <w:r w:rsidR="00FF3102">
        <w:rPr>
          <w:rFonts w:ascii="Times New Roman" w:hAnsi="Times New Roman" w:cs="Times New Roman"/>
        </w:rPr>
        <w:t>has been managing</w:t>
      </w:r>
      <w:r w:rsidR="005010DB" w:rsidRPr="005010DB">
        <w:rPr>
          <w:rFonts w:ascii="Times New Roman" w:hAnsi="Times New Roman" w:cs="Times New Roman"/>
        </w:rPr>
        <w:t xml:space="preserve"> the PIN under a concession agreement</w:t>
      </w:r>
      <w:r w:rsidR="00FF3102">
        <w:rPr>
          <w:rFonts w:ascii="Times New Roman" w:hAnsi="Times New Roman" w:cs="Times New Roman"/>
        </w:rPr>
        <w:t xml:space="preserve">, </w:t>
      </w:r>
      <w:r w:rsidR="005010DB" w:rsidRPr="005010DB">
        <w:rPr>
          <w:rFonts w:ascii="Times New Roman" w:hAnsi="Times New Roman" w:cs="Times New Roman"/>
        </w:rPr>
        <w:t xml:space="preserve">has made sizable investments in the development of digital infrastructure within the country, with the first greenfield investment into Cabo Verde's fiber-optic submarine cable, Atlantis II, in 1996. Later, multiple development projects followed, including a national inter-island fiber-optic ring connecting all the islands, intra-island fiber-optic rings within all the islands, and a new connection to the international submarine fiber-optic cable, </w:t>
      </w:r>
      <w:r w:rsidR="005010DB" w:rsidRPr="005010DB">
        <w:rPr>
          <w:rFonts w:ascii="Times New Roman" w:hAnsi="Times New Roman" w:cs="Times New Roman"/>
          <w:color w:val="4D5156"/>
          <w:shd w:val="clear" w:color="auto" w:fill="FFFFFF"/>
        </w:rPr>
        <w:t>West Africa </w:t>
      </w:r>
      <w:r w:rsidR="005010DB" w:rsidRPr="005010DB">
        <w:rPr>
          <w:rStyle w:val="Emphasis"/>
          <w:rFonts w:ascii="Times New Roman" w:hAnsi="Times New Roman" w:cs="Times New Roman"/>
          <w:color w:val="5F6368"/>
          <w:shd w:val="clear" w:color="auto" w:fill="FFFFFF"/>
        </w:rPr>
        <w:t>Cable</w:t>
      </w:r>
      <w:r w:rsidR="005010DB" w:rsidRPr="005010DB">
        <w:rPr>
          <w:rFonts w:ascii="Times New Roman" w:hAnsi="Times New Roman" w:cs="Times New Roman"/>
          <w:color w:val="4D5156"/>
          <w:shd w:val="clear" w:color="auto" w:fill="FFFFFF"/>
        </w:rPr>
        <w:t> System</w:t>
      </w:r>
      <w:r w:rsidR="005010DB" w:rsidRPr="005010DB">
        <w:rPr>
          <w:rFonts w:ascii="Times New Roman" w:hAnsi="Times New Roman" w:cs="Times New Roman"/>
        </w:rPr>
        <w:t xml:space="preserve"> (WACS) - a new generation fiber-optic submarine cable with considerable capacity.</w:t>
      </w:r>
    </w:p>
    <w:p w14:paraId="3FB23A5D" w14:textId="48C92393" w:rsidR="005010DB" w:rsidRPr="005010DB" w:rsidRDefault="002D7BA9" w:rsidP="005010DB">
      <w:pPr>
        <w:tabs>
          <w:tab w:val="left" w:pos="2150"/>
        </w:tabs>
        <w:jc w:val="both"/>
        <w:rPr>
          <w:rFonts w:ascii="Times New Roman" w:hAnsi="Times New Roman" w:cs="Times New Roman"/>
        </w:rPr>
      </w:pPr>
      <w:r>
        <w:rPr>
          <w:rFonts w:ascii="Times New Roman" w:hAnsi="Times New Roman" w:cs="Times New Roman"/>
          <w:b/>
          <w:bCs/>
        </w:rPr>
        <w:t>3</w:t>
      </w:r>
      <w:r w:rsidR="00F03527">
        <w:rPr>
          <w:rFonts w:ascii="Times New Roman" w:hAnsi="Times New Roman" w:cs="Times New Roman"/>
          <w:b/>
          <w:bCs/>
        </w:rPr>
        <w:t>1</w:t>
      </w:r>
      <w:r>
        <w:rPr>
          <w:rFonts w:ascii="Times New Roman" w:hAnsi="Times New Roman" w:cs="Times New Roman"/>
          <w:b/>
          <w:bCs/>
        </w:rPr>
        <w:t xml:space="preserve">. </w:t>
      </w:r>
      <w:r w:rsidR="005010DB" w:rsidRPr="005010DB">
        <w:rPr>
          <w:rFonts w:ascii="Times New Roman" w:hAnsi="Times New Roman" w:cs="Times New Roman"/>
          <w:b/>
          <w:bCs/>
        </w:rPr>
        <w:t>As a result of these developments, currently, 99.3 percent of the population in Cabo Verde has access to a mobile-cellular network.</w:t>
      </w:r>
      <w:r w:rsidR="005010DB" w:rsidRPr="005010DB">
        <w:rPr>
          <w:rFonts w:ascii="Times New Roman" w:hAnsi="Times New Roman" w:cs="Times New Roman"/>
        </w:rPr>
        <w:t xml:space="preserve"> The mobile broadband-capable connection penetration reaches 87.2 percent, and 43.5 percent of the people are mobile internet subscribers. Yet, Cabo Verde </w:t>
      </w:r>
      <w:r w:rsidR="002A4D98">
        <w:rPr>
          <w:rFonts w:ascii="Times New Roman" w:hAnsi="Times New Roman" w:cs="Times New Roman"/>
        </w:rPr>
        <w:t>needs to leapfrog to achieve</w:t>
      </w:r>
      <w:r w:rsidR="005010DB" w:rsidRPr="005010DB">
        <w:rPr>
          <w:rFonts w:ascii="Times New Roman" w:hAnsi="Times New Roman" w:cs="Times New Roman"/>
        </w:rPr>
        <w:t xml:space="preserve"> global and regional best performance. The GSMA (</w:t>
      </w:r>
      <w:r w:rsidR="005010DB" w:rsidRPr="005010DB">
        <w:rPr>
          <w:rFonts w:ascii="Times New Roman" w:hAnsi="Times New Roman" w:cs="Times New Roman"/>
          <w:color w:val="4D5156"/>
          <w:shd w:val="clear" w:color="auto" w:fill="FFFFFF"/>
        </w:rPr>
        <w:t xml:space="preserve">Groupe </w:t>
      </w:r>
      <w:proofErr w:type="spellStart"/>
      <w:r w:rsidR="005010DB" w:rsidRPr="005010DB">
        <w:rPr>
          <w:rFonts w:ascii="Times New Roman" w:hAnsi="Times New Roman" w:cs="Times New Roman"/>
          <w:color w:val="4D5156"/>
          <w:shd w:val="clear" w:color="auto" w:fill="FFFFFF"/>
        </w:rPr>
        <w:t>Speciale</w:t>
      </w:r>
      <w:proofErr w:type="spellEnd"/>
      <w:r w:rsidR="005010DB" w:rsidRPr="005010DB">
        <w:rPr>
          <w:rFonts w:ascii="Times New Roman" w:hAnsi="Times New Roman" w:cs="Times New Roman"/>
          <w:color w:val="4D5156"/>
          <w:shd w:val="clear" w:color="auto" w:fill="FFFFFF"/>
        </w:rPr>
        <w:t xml:space="preserve"> Mobile (GSM) Association</w:t>
      </w:r>
      <w:r w:rsidR="005010DB" w:rsidRPr="005010DB">
        <w:rPr>
          <w:rFonts w:ascii="Times New Roman" w:hAnsi="Times New Roman" w:cs="Times New Roman"/>
        </w:rPr>
        <w:t>) scores the country the third lowest among</w:t>
      </w:r>
      <w:r w:rsidR="002A4D98">
        <w:rPr>
          <w:rFonts w:ascii="Times New Roman" w:hAnsi="Times New Roman" w:cs="Times New Roman"/>
        </w:rPr>
        <w:t xml:space="preserve"> aspirational top performing</w:t>
      </w:r>
      <w:r w:rsidR="00440169">
        <w:rPr>
          <w:rFonts w:ascii="Times New Roman" w:hAnsi="Times New Roman" w:cs="Times New Roman"/>
        </w:rPr>
        <w:t xml:space="preserve"> </w:t>
      </w:r>
      <w:r w:rsidR="005010DB" w:rsidRPr="005010DB">
        <w:rPr>
          <w:rFonts w:ascii="Times New Roman" w:hAnsi="Times New Roman" w:cs="Times New Roman"/>
        </w:rPr>
        <w:t>peer countries.</w:t>
      </w:r>
      <w:r w:rsidR="005010DB" w:rsidRPr="005010DB">
        <w:rPr>
          <w:rStyle w:val="FootnoteReference"/>
          <w:rFonts w:ascii="Times New Roman" w:hAnsi="Times New Roman" w:cs="Times New Roman"/>
        </w:rPr>
        <w:footnoteReference w:id="4"/>
      </w:r>
      <w:r w:rsidR="005010DB" w:rsidRPr="005010DB">
        <w:rPr>
          <w:rFonts w:ascii="Times New Roman" w:hAnsi="Times New Roman" w:cs="Times New Roman"/>
        </w:rPr>
        <w:t xml:space="preserve"> GSMA Mobile Connectivity Index 2020, which consists of 4 sub-indices on Infrastructure; Affordability; Consumer Readiness and Content and Services; Cabo Verde's overall score is 48.7 (Table </w:t>
      </w:r>
      <w:r w:rsidR="00FD0FB1">
        <w:rPr>
          <w:rFonts w:ascii="Times New Roman" w:hAnsi="Times New Roman" w:cs="Times New Roman"/>
        </w:rPr>
        <w:t>3</w:t>
      </w:r>
      <w:r w:rsidR="005010DB" w:rsidRPr="005010DB">
        <w:rPr>
          <w:rFonts w:ascii="Times New Roman" w:hAnsi="Times New Roman" w:cs="Times New Roman"/>
        </w:rPr>
        <w:t>).</w:t>
      </w:r>
    </w:p>
    <w:p w14:paraId="3375CC0A" w14:textId="03AD74E7" w:rsidR="005010DB" w:rsidRPr="00A27DC3" w:rsidRDefault="00335F0F">
      <w:pPr>
        <w:pStyle w:val="Caption"/>
        <w:jc w:val="center"/>
        <w:rPr>
          <w:rFonts w:ascii="Times New Roman" w:hAnsi="Times New Roman" w:cs="Times New Roman"/>
          <w:b/>
          <w:bCs/>
          <w:i w:val="0"/>
          <w:iCs w:val="0"/>
          <w:color w:val="2F5496" w:themeColor="accent1" w:themeShade="BF"/>
          <w:sz w:val="20"/>
          <w:szCs w:val="20"/>
        </w:rPr>
      </w:pPr>
      <w:bookmarkStart w:id="84" w:name="_Toc105592171"/>
      <w:r w:rsidRPr="00B87C41">
        <w:rPr>
          <w:rFonts w:ascii="Times New Roman" w:hAnsi="Times New Roman" w:cs="Times New Roman"/>
          <w:b/>
          <w:bCs/>
          <w:i w:val="0"/>
          <w:iCs w:val="0"/>
          <w:color w:val="2F5496" w:themeColor="accent1" w:themeShade="BF"/>
          <w:sz w:val="20"/>
          <w:szCs w:val="20"/>
        </w:rPr>
        <w:lastRenderedPageBreak/>
        <w:t xml:space="preserve">Table </w:t>
      </w:r>
      <w:r w:rsidRPr="00B87C41">
        <w:rPr>
          <w:rFonts w:ascii="Times New Roman" w:hAnsi="Times New Roman" w:cs="Times New Roman"/>
          <w:b/>
          <w:bCs/>
          <w:i w:val="0"/>
          <w:iCs w:val="0"/>
          <w:color w:val="2F5496" w:themeColor="accent1" w:themeShade="BF"/>
          <w:sz w:val="20"/>
          <w:szCs w:val="20"/>
        </w:rPr>
        <w:fldChar w:fldCharType="begin"/>
      </w:r>
      <w:r w:rsidRPr="00B87C41">
        <w:rPr>
          <w:rFonts w:ascii="Times New Roman" w:hAnsi="Times New Roman" w:cs="Times New Roman"/>
          <w:b/>
          <w:bCs/>
          <w:i w:val="0"/>
          <w:iCs w:val="0"/>
          <w:color w:val="2F5496" w:themeColor="accent1" w:themeShade="BF"/>
          <w:sz w:val="20"/>
          <w:szCs w:val="20"/>
        </w:rPr>
        <w:instrText xml:space="preserve"> SEQ Table \* ARABIC </w:instrText>
      </w:r>
      <w:r w:rsidRPr="00B87C41">
        <w:rPr>
          <w:rFonts w:ascii="Times New Roman" w:hAnsi="Times New Roman" w:cs="Times New Roman"/>
          <w:b/>
          <w:bCs/>
          <w:i w:val="0"/>
          <w:iCs w:val="0"/>
          <w:color w:val="2F5496" w:themeColor="accent1" w:themeShade="BF"/>
          <w:sz w:val="20"/>
          <w:szCs w:val="20"/>
        </w:rPr>
        <w:fldChar w:fldCharType="separate"/>
      </w:r>
      <w:r w:rsidR="0033433C">
        <w:rPr>
          <w:rFonts w:ascii="Times New Roman" w:hAnsi="Times New Roman" w:cs="Times New Roman"/>
          <w:b/>
          <w:bCs/>
          <w:i w:val="0"/>
          <w:iCs w:val="0"/>
          <w:noProof/>
          <w:color w:val="2F5496" w:themeColor="accent1" w:themeShade="BF"/>
          <w:sz w:val="20"/>
          <w:szCs w:val="20"/>
        </w:rPr>
        <w:t>2</w:t>
      </w:r>
      <w:r w:rsidRPr="00B87C41">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GSMA Mobile connectivity index, score 1-100, 2020</w:t>
      </w:r>
      <w:bookmarkEnd w:id="84"/>
      <w:r w:rsidRPr="00B87C41">
        <w:rPr>
          <w:rFonts w:ascii="Times New Roman" w:hAnsi="Times New Roman" w:cs="Times New Roman"/>
          <w:b/>
          <w:bCs/>
          <w:i w:val="0"/>
          <w:iCs w:val="0"/>
          <w:color w:val="2F5496" w:themeColor="accent1" w:themeShade="BF"/>
          <w:sz w:val="20"/>
          <w:szCs w:val="20"/>
        </w:rPr>
        <w:t xml:space="preserve"> </w:t>
      </w:r>
    </w:p>
    <w:tbl>
      <w:tblPr>
        <w:tblStyle w:val="GridTable5Dark-Accent3"/>
        <w:tblW w:w="10167" w:type="dxa"/>
        <w:tblLook w:val="04A0" w:firstRow="1" w:lastRow="0" w:firstColumn="1" w:lastColumn="0" w:noHBand="0" w:noVBand="1"/>
      </w:tblPr>
      <w:tblGrid>
        <w:gridCol w:w="1795"/>
        <w:gridCol w:w="1889"/>
        <w:gridCol w:w="1629"/>
        <w:gridCol w:w="1455"/>
        <w:gridCol w:w="1693"/>
        <w:gridCol w:w="1706"/>
      </w:tblGrid>
      <w:tr w:rsidR="005010DB" w:rsidRPr="001844E5" w14:paraId="64AAD144" w14:textId="77777777" w:rsidTr="00E7375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92175B2" w14:textId="77777777" w:rsidR="005010DB" w:rsidRPr="001844E5" w:rsidRDefault="005010DB" w:rsidP="00E73756">
            <w:pPr>
              <w:rPr>
                <w:rFonts w:ascii="Times New Roman" w:eastAsia="Times New Roman" w:hAnsi="Times New Roman" w:cs="Times New Roman"/>
                <w:color w:val="FFFFFF"/>
                <w:sz w:val="20"/>
                <w:szCs w:val="20"/>
              </w:rPr>
            </w:pPr>
          </w:p>
        </w:tc>
        <w:tc>
          <w:tcPr>
            <w:tcW w:w="1889" w:type="dxa"/>
            <w:noWrap/>
            <w:hideMark/>
          </w:tcPr>
          <w:p w14:paraId="23AD143E" w14:textId="77777777" w:rsidR="005010DB" w:rsidRPr="001844E5" w:rsidRDefault="005010DB" w:rsidP="00E7375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1844E5">
              <w:rPr>
                <w:rFonts w:ascii="Times New Roman" w:eastAsia="Times New Roman" w:hAnsi="Times New Roman" w:cs="Times New Roman"/>
                <w:sz w:val="20"/>
                <w:szCs w:val="20"/>
              </w:rPr>
              <w:t>GSMA Mobile Connectivity Index</w:t>
            </w:r>
          </w:p>
        </w:tc>
        <w:tc>
          <w:tcPr>
            <w:tcW w:w="1629" w:type="dxa"/>
            <w:noWrap/>
            <w:hideMark/>
          </w:tcPr>
          <w:p w14:paraId="41EE5B8D" w14:textId="77777777" w:rsidR="005010DB" w:rsidRPr="001844E5" w:rsidRDefault="005010DB" w:rsidP="00E7375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1844E5">
              <w:rPr>
                <w:rFonts w:ascii="Times New Roman" w:eastAsia="Times New Roman" w:hAnsi="Times New Roman" w:cs="Times New Roman"/>
                <w:sz w:val="20"/>
                <w:szCs w:val="20"/>
              </w:rPr>
              <w:t>Infrastructure</w:t>
            </w:r>
          </w:p>
        </w:tc>
        <w:tc>
          <w:tcPr>
            <w:tcW w:w="1455" w:type="dxa"/>
            <w:noWrap/>
            <w:hideMark/>
          </w:tcPr>
          <w:p w14:paraId="703AFF92" w14:textId="77777777" w:rsidR="005010DB" w:rsidRPr="001844E5" w:rsidRDefault="005010DB" w:rsidP="00E7375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1844E5">
              <w:rPr>
                <w:rFonts w:ascii="Times New Roman" w:eastAsia="Times New Roman" w:hAnsi="Times New Roman" w:cs="Times New Roman"/>
                <w:sz w:val="20"/>
                <w:szCs w:val="20"/>
              </w:rPr>
              <w:t>Affordability</w:t>
            </w:r>
          </w:p>
        </w:tc>
        <w:tc>
          <w:tcPr>
            <w:tcW w:w="1693" w:type="dxa"/>
            <w:noWrap/>
            <w:hideMark/>
          </w:tcPr>
          <w:p w14:paraId="226B6B98" w14:textId="77777777" w:rsidR="005010DB" w:rsidRPr="001844E5" w:rsidRDefault="005010DB" w:rsidP="00E7375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1844E5">
              <w:rPr>
                <w:rFonts w:ascii="Times New Roman" w:eastAsia="Times New Roman" w:hAnsi="Times New Roman" w:cs="Times New Roman"/>
                <w:sz w:val="20"/>
                <w:szCs w:val="20"/>
              </w:rPr>
              <w:t>Consumer Readiness</w:t>
            </w:r>
          </w:p>
        </w:tc>
        <w:tc>
          <w:tcPr>
            <w:tcW w:w="1706" w:type="dxa"/>
            <w:noWrap/>
            <w:hideMark/>
          </w:tcPr>
          <w:p w14:paraId="0E0B5AE6" w14:textId="77777777" w:rsidR="005010DB" w:rsidRPr="001844E5" w:rsidRDefault="005010DB" w:rsidP="00E7375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0"/>
                <w:szCs w:val="20"/>
              </w:rPr>
            </w:pPr>
            <w:r w:rsidRPr="001844E5">
              <w:rPr>
                <w:rFonts w:ascii="Times New Roman" w:eastAsia="Times New Roman" w:hAnsi="Times New Roman" w:cs="Times New Roman"/>
                <w:sz w:val="20"/>
                <w:szCs w:val="20"/>
              </w:rPr>
              <w:t>Content and Services</w:t>
            </w:r>
          </w:p>
        </w:tc>
      </w:tr>
      <w:tr w:rsidR="005010DB" w:rsidRPr="001844E5" w14:paraId="1CD90A57" w14:textId="77777777" w:rsidTr="00E7375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82B01E3"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Mauritius</w:t>
            </w:r>
          </w:p>
        </w:tc>
        <w:tc>
          <w:tcPr>
            <w:tcW w:w="1889" w:type="dxa"/>
            <w:noWrap/>
            <w:hideMark/>
          </w:tcPr>
          <w:p w14:paraId="74F40F51"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65.7</w:t>
            </w:r>
          </w:p>
        </w:tc>
        <w:tc>
          <w:tcPr>
            <w:tcW w:w="1629" w:type="dxa"/>
            <w:noWrap/>
            <w:hideMark/>
          </w:tcPr>
          <w:p w14:paraId="51FC9CEC"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56.4</w:t>
            </w:r>
          </w:p>
        </w:tc>
        <w:tc>
          <w:tcPr>
            <w:tcW w:w="1455" w:type="dxa"/>
            <w:noWrap/>
            <w:hideMark/>
          </w:tcPr>
          <w:p w14:paraId="631CE55F"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63.9</w:t>
            </w:r>
          </w:p>
        </w:tc>
        <w:tc>
          <w:tcPr>
            <w:tcW w:w="1693" w:type="dxa"/>
            <w:noWrap/>
            <w:hideMark/>
          </w:tcPr>
          <w:p w14:paraId="66984CF8"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72.1</w:t>
            </w:r>
          </w:p>
        </w:tc>
        <w:tc>
          <w:tcPr>
            <w:tcW w:w="1706" w:type="dxa"/>
            <w:noWrap/>
            <w:hideMark/>
          </w:tcPr>
          <w:p w14:paraId="7BCDAFAA"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71.8</w:t>
            </w:r>
          </w:p>
        </w:tc>
      </w:tr>
      <w:tr w:rsidR="005010DB" w:rsidRPr="001844E5" w14:paraId="50998347" w14:textId="77777777" w:rsidTr="00E73756">
        <w:trPr>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D6E6F91"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Saint Vincent and the Grenadines</w:t>
            </w:r>
          </w:p>
        </w:tc>
        <w:tc>
          <w:tcPr>
            <w:tcW w:w="1889" w:type="dxa"/>
            <w:noWrap/>
            <w:hideMark/>
          </w:tcPr>
          <w:p w14:paraId="20BADDDA"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61.0</w:t>
            </w:r>
          </w:p>
        </w:tc>
        <w:tc>
          <w:tcPr>
            <w:tcW w:w="1629" w:type="dxa"/>
            <w:noWrap/>
            <w:hideMark/>
          </w:tcPr>
          <w:p w14:paraId="3BDDB54F"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58.9</w:t>
            </w:r>
          </w:p>
        </w:tc>
        <w:tc>
          <w:tcPr>
            <w:tcW w:w="1455" w:type="dxa"/>
            <w:noWrap/>
            <w:hideMark/>
          </w:tcPr>
          <w:p w14:paraId="43816B9E"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43.6</w:t>
            </w:r>
          </w:p>
        </w:tc>
        <w:tc>
          <w:tcPr>
            <w:tcW w:w="1693" w:type="dxa"/>
            <w:noWrap/>
            <w:hideMark/>
          </w:tcPr>
          <w:p w14:paraId="570A7705"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73.6</w:t>
            </w:r>
          </w:p>
        </w:tc>
        <w:tc>
          <w:tcPr>
            <w:tcW w:w="1706" w:type="dxa"/>
            <w:noWrap/>
            <w:hideMark/>
          </w:tcPr>
          <w:p w14:paraId="4784E6DD"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73.4</w:t>
            </w:r>
          </w:p>
        </w:tc>
      </w:tr>
      <w:tr w:rsidR="005010DB" w:rsidRPr="001844E5" w14:paraId="629862F3" w14:textId="77777777" w:rsidTr="00E7375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C4E1036"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Samoa</w:t>
            </w:r>
          </w:p>
        </w:tc>
        <w:tc>
          <w:tcPr>
            <w:tcW w:w="1889" w:type="dxa"/>
            <w:noWrap/>
            <w:hideMark/>
          </w:tcPr>
          <w:p w14:paraId="49D0C427"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60.2</w:t>
            </w:r>
          </w:p>
        </w:tc>
        <w:tc>
          <w:tcPr>
            <w:tcW w:w="1629" w:type="dxa"/>
            <w:noWrap/>
            <w:hideMark/>
          </w:tcPr>
          <w:p w14:paraId="6901F285"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60.2</w:t>
            </w:r>
          </w:p>
        </w:tc>
        <w:tc>
          <w:tcPr>
            <w:tcW w:w="1455" w:type="dxa"/>
            <w:noWrap/>
            <w:hideMark/>
          </w:tcPr>
          <w:p w14:paraId="0AC1B6CE"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51.7</w:t>
            </w:r>
          </w:p>
        </w:tc>
        <w:tc>
          <w:tcPr>
            <w:tcW w:w="1693" w:type="dxa"/>
            <w:noWrap/>
            <w:hideMark/>
          </w:tcPr>
          <w:p w14:paraId="448EB22F"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71.4</w:t>
            </w:r>
          </w:p>
        </w:tc>
        <w:tc>
          <w:tcPr>
            <w:tcW w:w="1706" w:type="dxa"/>
            <w:noWrap/>
            <w:hideMark/>
          </w:tcPr>
          <w:p w14:paraId="31569B81"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59.1</w:t>
            </w:r>
          </w:p>
        </w:tc>
      </w:tr>
      <w:tr w:rsidR="005010DB" w:rsidRPr="001844E5" w14:paraId="0060E3A1" w14:textId="77777777" w:rsidTr="00E73756">
        <w:trPr>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B19023C"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Saint Lucia</w:t>
            </w:r>
          </w:p>
        </w:tc>
        <w:tc>
          <w:tcPr>
            <w:tcW w:w="1889" w:type="dxa"/>
            <w:noWrap/>
            <w:hideMark/>
          </w:tcPr>
          <w:p w14:paraId="5977783C"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57.7</w:t>
            </w:r>
          </w:p>
        </w:tc>
        <w:tc>
          <w:tcPr>
            <w:tcW w:w="1629" w:type="dxa"/>
            <w:noWrap/>
            <w:hideMark/>
          </w:tcPr>
          <w:p w14:paraId="574C77BA"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47.6</w:t>
            </w:r>
          </w:p>
        </w:tc>
        <w:tc>
          <w:tcPr>
            <w:tcW w:w="1455" w:type="dxa"/>
            <w:noWrap/>
            <w:hideMark/>
          </w:tcPr>
          <w:p w14:paraId="2B9A03EC"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47.5</w:t>
            </w:r>
          </w:p>
        </w:tc>
        <w:tc>
          <w:tcPr>
            <w:tcW w:w="1693" w:type="dxa"/>
            <w:noWrap/>
            <w:hideMark/>
          </w:tcPr>
          <w:p w14:paraId="4E95370C"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74.6</w:t>
            </w:r>
          </w:p>
        </w:tc>
        <w:tc>
          <w:tcPr>
            <w:tcW w:w="1706" w:type="dxa"/>
            <w:noWrap/>
            <w:hideMark/>
          </w:tcPr>
          <w:p w14:paraId="4D6D97AF"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65.7</w:t>
            </w:r>
          </w:p>
        </w:tc>
      </w:tr>
      <w:tr w:rsidR="005010DB" w:rsidRPr="001844E5" w14:paraId="3A46B406" w14:textId="77777777" w:rsidTr="00E7375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0093CCE"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Bhutan</w:t>
            </w:r>
          </w:p>
        </w:tc>
        <w:tc>
          <w:tcPr>
            <w:tcW w:w="1889" w:type="dxa"/>
            <w:noWrap/>
            <w:hideMark/>
          </w:tcPr>
          <w:p w14:paraId="1D6E6FD9"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53.3</w:t>
            </w:r>
          </w:p>
        </w:tc>
        <w:tc>
          <w:tcPr>
            <w:tcW w:w="1629" w:type="dxa"/>
            <w:noWrap/>
            <w:hideMark/>
          </w:tcPr>
          <w:p w14:paraId="30C5A4DC"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65.6</w:t>
            </w:r>
          </w:p>
        </w:tc>
        <w:tc>
          <w:tcPr>
            <w:tcW w:w="1455" w:type="dxa"/>
            <w:noWrap/>
            <w:hideMark/>
          </w:tcPr>
          <w:p w14:paraId="29525B46"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54.0</w:t>
            </w:r>
          </w:p>
        </w:tc>
        <w:tc>
          <w:tcPr>
            <w:tcW w:w="1693" w:type="dxa"/>
            <w:noWrap/>
            <w:hideMark/>
          </w:tcPr>
          <w:p w14:paraId="57844D9E"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54.1</w:t>
            </w:r>
          </w:p>
        </w:tc>
        <w:tc>
          <w:tcPr>
            <w:tcW w:w="1706" w:type="dxa"/>
            <w:noWrap/>
            <w:hideMark/>
          </w:tcPr>
          <w:p w14:paraId="09A2814A"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42.1</w:t>
            </w:r>
          </w:p>
        </w:tc>
      </w:tr>
      <w:tr w:rsidR="005010DB" w:rsidRPr="001844E5" w14:paraId="66BA73F5" w14:textId="77777777" w:rsidTr="00E73756">
        <w:trPr>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575103D"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Ghana</w:t>
            </w:r>
          </w:p>
        </w:tc>
        <w:tc>
          <w:tcPr>
            <w:tcW w:w="1889" w:type="dxa"/>
            <w:noWrap/>
            <w:hideMark/>
          </w:tcPr>
          <w:p w14:paraId="36FCC7A2"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52.0</w:t>
            </w:r>
          </w:p>
        </w:tc>
        <w:tc>
          <w:tcPr>
            <w:tcW w:w="1629" w:type="dxa"/>
            <w:noWrap/>
            <w:hideMark/>
          </w:tcPr>
          <w:p w14:paraId="1A8352AB"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49.1</w:t>
            </w:r>
          </w:p>
        </w:tc>
        <w:tc>
          <w:tcPr>
            <w:tcW w:w="1455" w:type="dxa"/>
            <w:noWrap/>
            <w:hideMark/>
          </w:tcPr>
          <w:p w14:paraId="3B07222B"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48.4</w:t>
            </w:r>
          </w:p>
        </w:tc>
        <w:tc>
          <w:tcPr>
            <w:tcW w:w="1693" w:type="dxa"/>
            <w:noWrap/>
            <w:hideMark/>
          </w:tcPr>
          <w:p w14:paraId="1BB6A05E"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59.5</w:t>
            </w:r>
          </w:p>
        </w:tc>
        <w:tc>
          <w:tcPr>
            <w:tcW w:w="1706" w:type="dxa"/>
            <w:noWrap/>
            <w:hideMark/>
          </w:tcPr>
          <w:p w14:paraId="4832FA55"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51.8</w:t>
            </w:r>
          </w:p>
        </w:tc>
      </w:tr>
      <w:tr w:rsidR="005010DB" w:rsidRPr="001844E5" w14:paraId="23537F5F" w14:textId="77777777" w:rsidTr="00E7375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5" w:type="dxa"/>
            <w:shd w:val="clear" w:color="auto" w:fill="0070C0"/>
            <w:noWrap/>
            <w:hideMark/>
          </w:tcPr>
          <w:p w14:paraId="19FF591F"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Cabo Verde</w:t>
            </w:r>
          </w:p>
        </w:tc>
        <w:tc>
          <w:tcPr>
            <w:tcW w:w="1889" w:type="dxa"/>
            <w:shd w:val="clear" w:color="auto" w:fill="0070C0"/>
            <w:noWrap/>
            <w:hideMark/>
          </w:tcPr>
          <w:p w14:paraId="740AA8F0"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1844E5">
              <w:rPr>
                <w:rFonts w:ascii="Times New Roman" w:hAnsi="Times New Roman" w:cs="Times New Roman"/>
                <w:b/>
                <w:bCs/>
                <w:color w:val="FFFFFF" w:themeColor="background1"/>
                <w:sz w:val="20"/>
                <w:szCs w:val="20"/>
              </w:rPr>
              <w:t>48.7</w:t>
            </w:r>
          </w:p>
        </w:tc>
        <w:tc>
          <w:tcPr>
            <w:tcW w:w="1629" w:type="dxa"/>
            <w:shd w:val="clear" w:color="auto" w:fill="0070C0"/>
            <w:noWrap/>
            <w:hideMark/>
          </w:tcPr>
          <w:p w14:paraId="5800059C"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1844E5">
              <w:rPr>
                <w:rFonts w:ascii="Times New Roman" w:hAnsi="Times New Roman" w:cs="Times New Roman"/>
                <w:b/>
                <w:bCs/>
                <w:color w:val="FFFFFF" w:themeColor="background1"/>
                <w:sz w:val="20"/>
                <w:szCs w:val="20"/>
              </w:rPr>
              <w:t>37.8</w:t>
            </w:r>
          </w:p>
        </w:tc>
        <w:tc>
          <w:tcPr>
            <w:tcW w:w="1455" w:type="dxa"/>
            <w:shd w:val="clear" w:color="auto" w:fill="0070C0"/>
            <w:noWrap/>
            <w:hideMark/>
          </w:tcPr>
          <w:p w14:paraId="13E4066B"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1844E5">
              <w:rPr>
                <w:rFonts w:ascii="Times New Roman" w:hAnsi="Times New Roman" w:cs="Times New Roman"/>
                <w:b/>
                <w:bCs/>
                <w:color w:val="FFFFFF" w:themeColor="background1"/>
                <w:sz w:val="20"/>
                <w:szCs w:val="20"/>
              </w:rPr>
              <w:t>42.3</w:t>
            </w:r>
          </w:p>
        </w:tc>
        <w:tc>
          <w:tcPr>
            <w:tcW w:w="1693" w:type="dxa"/>
            <w:shd w:val="clear" w:color="auto" w:fill="0070C0"/>
            <w:noWrap/>
            <w:hideMark/>
          </w:tcPr>
          <w:p w14:paraId="2DD6FB0F"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1844E5">
              <w:rPr>
                <w:rFonts w:ascii="Times New Roman" w:hAnsi="Times New Roman" w:cs="Times New Roman"/>
                <w:b/>
                <w:bCs/>
                <w:color w:val="FFFFFF" w:themeColor="background1"/>
                <w:sz w:val="20"/>
                <w:szCs w:val="20"/>
              </w:rPr>
              <w:t>67.3</w:t>
            </w:r>
          </w:p>
        </w:tc>
        <w:tc>
          <w:tcPr>
            <w:tcW w:w="1706" w:type="dxa"/>
            <w:shd w:val="clear" w:color="auto" w:fill="0070C0"/>
            <w:noWrap/>
            <w:hideMark/>
          </w:tcPr>
          <w:p w14:paraId="2B6A2D2A"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0"/>
                <w:szCs w:val="20"/>
              </w:rPr>
            </w:pPr>
            <w:r w:rsidRPr="001844E5">
              <w:rPr>
                <w:rFonts w:ascii="Times New Roman" w:hAnsi="Times New Roman" w:cs="Times New Roman"/>
                <w:b/>
                <w:bCs/>
                <w:color w:val="FFFFFF" w:themeColor="background1"/>
                <w:sz w:val="20"/>
                <w:szCs w:val="20"/>
              </w:rPr>
              <w:t>52.4</w:t>
            </w:r>
          </w:p>
        </w:tc>
      </w:tr>
      <w:tr w:rsidR="005010DB" w:rsidRPr="001844E5" w14:paraId="0D3DB827" w14:textId="77777777" w:rsidTr="00E73756">
        <w:trPr>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54A348E"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Senegal</w:t>
            </w:r>
          </w:p>
        </w:tc>
        <w:tc>
          <w:tcPr>
            <w:tcW w:w="1889" w:type="dxa"/>
            <w:noWrap/>
            <w:hideMark/>
          </w:tcPr>
          <w:p w14:paraId="1ACF0BA6"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41.3</w:t>
            </w:r>
          </w:p>
        </w:tc>
        <w:tc>
          <w:tcPr>
            <w:tcW w:w="1629" w:type="dxa"/>
            <w:noWrap/>
            <w:hideMark/>
          </w:tcPr>
          <w:p w14:paraId="13FE8D8A"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49.7</w:t>
            </w:r>
          </w:p>
        </w:tc>
        <w:tc>
          <w:tcPr>
            <w:tcW w:w="1455" w:type="dxa"/>
            <w:noWrap/>
            <w:hideMark/>
          </w:tcPr>
          <w:p w14:paraId="27889D62"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44.6</w:t>
            </w:r>
          </w:p>
        </w:tc>
        <w:tc>
          <w:tcPr>
            <w:tcW w:w="1693" w:type="dxa"/>
            <w:noWrap/>
            <w:hideMark/>
          </w:tcPr>
          <w:p w14:paraId="3F0A7F8F"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43.7</w:t>
            </w:r>
          </w:p>
        </w:tc>
        <w:tc>
          <w:tcPr>
            <w:tcW w:w="1706" w:type="dxa"/>
            <w:noWrap/>
            <w:hideMark/>
          </w:tcPr>
          <w:p w14:paraId="10CC6B51" w14:textId="77777777" w:rsidR="005010DB" w:rsidRPr="001844E5" w:rsidRDefault="005010DB" w:rsidP="00E7375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30.1</w:t>
            </w:r>
          </w:p>
        </w:tc>
      </w:tr>
      <w:tr w:rsidR="005010DB" w:rsidRPr="001844E5" w14:paraId="2E57B059" w14:textId="77777777" w:rsidTr="00E7375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3CE6CB7" w14:textId="77777777" w:rsidR="005010DB" w:rsidRPr="001844E5" w:rsidRDefault="005010DB" w:rsidP="00E73756">
            <w:pPr>
              <w:rPr>
                <w:rFonts w:ascii="Times New Roman" w:eastAsia="Times New Roman" w:hAnsi="Times New Roman" w:cs="Times New Roman"/>
                <w:sz w:val="20"/>
                <w:szCs w:val="20"/>
              </w:rPr>
            </w:pPr>
            <w:r w:rsidRPr="001844E5">
              <w:rPr>
                <w:rFonts w:ascii="Times New Roman" w:hAnsi="Times New Roman" w:cs="Times New Roman"/>
                <w:sz w:val="20"/>
                <w:szCs w:val="20"/>
              </w:rPr>
              <w:t>Gambia</w:t>
            </w:r>
          </w:p>
        </w:tc>
        <w:tc>
          <w:tcPr>
            <w:tcW w:w="1889" w:type="dxa"/>
            <w:noWrap/>
            <w:hideMark/>
          </w:tcPr>
          <w:p w14:paraId="712D52F6"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30.3</w:t>
            </w:r>
          </w:p>
        </w:tc>
        <w:tc>
          <w:tcPr>
            <w:tcW w:w="1629" w:type="dxa"/>
            <w:noWrap/>
            <w:hideMark/>
          </w:tcPr>
          <w:p w14:paraId="72D4A731"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39.4</w:t>
            </w:r>
          </w:p>
        </w:tc>
        <w:tc>
          <w:tcPr>
            <w:tcW w:w="1455" w:type="dxa"/>
            <w:noWrap/>
            <w:hideMark/>
          </w:tcPr>
          <w:p w14:paraId="631EFE81"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29.8</w:t>
            </w:r>
          </w:p>
        </w:tc>
        <w:tc>
          <w:tcPr>
            <w:tcW w:w="1693" w:type="dxa"/>
            <w:noWrap/>
            <w:hideMark/>
          </w:tcPr>
          <w:p w14:paraId="371696DF" w14:textId="77777777" w:rsidR="005010DB" w:rsidRPr="001844E5" w:rsidRDefault="005010DB" w:rsidP="00E7375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42.9</w:t>
            </w:r>
          </w:p>
        </w:tc>
        <w:tc>
          <w:tcPr>
            <w:tcW w:w="1706" w:type="dxa"/>
            <w:noWrap/>
            <w:hideMark/>
          </w:tcPr>
          <w:p w14:paraId="78A6B416" w14:textId="77777777" w:rsidR="005010DB" w:rsidRPr="001844E5" w:rsidRDefault="005010DB" w:rsidP="004B1FD5">
            <w:pPr>
              <w:keepNext/>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844E5">
              <w:rPr>
                <w:rFonts w:ascii="Times New Roman" w:hAnsi="Times New Roman" w:cs="Times New Roman"/>
                <w:sz w:val="20"/>
                <w:szCs w:val="20"/>
              </w:rPr>
              <w:t>16.7</w:t>
            </w:r>
          </w:p>
        </w:tc>
      </w:tr>
    </w:tbl>
    <w:p w14:paraId="7514FFA6" w14:textId="77777777" w:rsidR="005010DB" w:rsidRPr="00A27DC3" w:rsidRDefault="005010DB" w:rsidP="005010DB">
      <w:pPr>
        <w:spacing w:after="0" w:line="240" w:lineRule="auto"/>
        <w:rPr>
          <w:rFonts w:ascii="Times New Roman" w:hAnsi="Times New Roman" w:cs="Times New Roman"/>
          <w:sz w:val="18"/>
          <w:szCs w:val="18"/>
        </w:rPr>
      </w:pPr>
      <w:r w:rsidRPr="00A27DC3">
        <w:rPr>
          <w:rFonts w:ascii="Times New Roman" w:hAnsi="Times New Roman" w:cs="Times New Roman"/>
          <w:sz w:val="18"/>
          <w:szCs w:val="18"/>
        </w:rPr>
        <w:t>Source: GSMA Mobile Connectivity Index</w:t>
      </w:r>
    </w:p>
    <w:p w14:paraId="41A081C9" w14:textId="676693AB" w:rsidR="005010DB" w:rsidRPr="00FF3102" w:rsidRDefault="002D7BA9" w:rsidP="005010DB">
      <w:pPr>
        <w:tabs>
          <w:tab w:val="left" w:pos="2150"/>
        </w:tabs>
        <w:spacing w:before="240"/>
        <w:jc w:val="both"/>
        <w:rPr>
          <w:rFonts w:ascii="Times New Roman" w:hAnsi="Times New Roman" w:cs="Times New Roman"/>
        </w:rPr>
      </w:pPr>
      <w:r>
        <w:rPr>
          <w:rFonts w:ascii="Times New Roman" w:hAnsi="Times New Roman" w:cs="Times New Roman"/>
          <w:b/>
          <w:bCs/>
        </w:rPr>
        <w:t>3</w:t>
      </w:r>
      <w:r w:rsidR="0021054F">
        <w:rPr>
          <w:rFonts w:ascii="Times New Roman" w:hAnsi="Times New Roman" w:cs="Times New Roman"/>
          <w:b/>
          <w:bCs/>
        </w:rPr>
        <w:t>2</w:t>
      </w:r>
      <w:r>
        <w:rPr>
          <w:rFonts w:ascii="Times New Roman" w:hAnsi="Times New Roman" w:cs="Times New Roman"/>
          <w:b/>
          <w:bCs/>
        </w:rPr>
        <w:t xml:space="preserve">. </w:t>
      </w:r>
      <w:r w:rsidR="005010DB" w:rsidRPr="00756953">
        <w:rPr>
          <w:rFonts w:ascii="Times New Roman" w:hAnsi="Times New Roman" w:cs="Times New Roman"/>
          <w:b/>
          <w:bCs/>
        </w:rPr>
        <w:t xml:space="preserve">Going forward, several infrastructure projects in the pipeline promise significant improvements in the existing digital divide and in promoting universal access to connectivity. </w:t>
      </w:r>
      <w:r w:rsidR="005010DB" w:rsidRPr="00756953">
        <w:rPr>
          <w:rStyle w:val="FootnoteReference"/>
          <w:rFonts w:ascii="Times New Roman" w:hAnsi="Times New Roman" w:cs="Times New Roman"/>
          <w:b/>
          <w:bCs/>
        </w:rPr>
        <w:footnoteReference w:id="5"/>
      </w:r>
      <w:r w:rsidR="005010DB" w:rsidRPr="00756953">
        <w:rPr>
          <w:rFonts w:ascii="Times New Roman" w:hAnsi="Times New Roman" w:cs="Times New Roman"/>
        </w:rPr>
        <w:t xml:space="preserve"> </w:t>
      </w:r>
      <w:r w:rsidR="005010DB" w:rsidRPr="00756953">
        <w:rPr>
          <w:rFonts w:ascii="Times New Roman" w:hAnsi="Times New Roman" w:cs="Times New Roman"/>
          <w:lang w:val="en"/>
        </w:rPr>
        <w:t xml:space="preserve">The ongoing </w:t>
      </w:r>
      <w:hyperlink r:id="rId55" w:history="1">
        <w:proofErr w:type="spellStart"/>
        <w:r w:rsidR="005010DB" w:rsidRPr="00756953">
          <w:rPr>
            <w:rStyle w:val="Hyperlink"/>
            <w:rFonts w:ascii="Times New Roman" w:hAnsi="Times New Roman" w:cs="Times New Roman"/>
            <w:lang w:val="en"/>
          </w:rPr>
          <w:t>EllaLink</w:t>
        </w:r>
        <w:proofErr w:type="spellEnd"/>
        <w:r w:rsidR="005010DB" w:rsidRPr="00756953">
          <w:rPr>
            <w:rStyle w:val="Hyperlink"/>
            <w:rFonts w:ascii="Times New Roman" w:hAnsi="Times New Roman" w:cs="Times New Roman"/>
            <w:lang w:val="en"/>
          </w:rPr>
          <w:t xml:space="preserve"> project</w:t>
        </w:r>
      </w:hyperlink>
      <w:r w:rsidR="005010DB" w:rsidRPr="00756953">
        <w:rPr>
          <w:rFonts w:ascii="Times New Roman" w:hAnsi="Times New Roman" w:cs="Times New Roman"/>
          <w:lang w:val="en"/>
        </w:rPr>
        <w:t>, which is a submarine cable connecting Brazil and Portugal via Cabo Verde, is expected to solve the problem of redundancy of internet connectivity in Cabo Verde given the current dependence on WACS infrastructure, and bring an additional 40 Gbps of capacity.</w:t>
      </w:r>
      <w:r w:rsidR="005010DB" w:rsidRPr="00756953">
        <w:rPr>
          <w:rStyle w:val="FootnoteReference"/>
          <w:rFonts w:ascii="Times New Roman" w:hAnsi="Times New Roman" w:cs="Times New Roman"/>
          <w:lang w:val="en"/>
        </w:rPr>
        <w:footnoteReference w:id="6"/>
      </w:r>
      <w:r w:rsidR="005010DB" w:rsidRPr="00756953">
        <w:rPr>
          <w:rFonts w:ascii="Times New Roman" w:hAnsi="Times New Roman" w:cs="Times New Roman"/>
          <w:lang w:val="en"/>
        </w:rPr>
        <w:t xml:space="preserve"> In addition, the government has promoted Public-Private Partnerships (PPP) and Private Sector Direct Investments, in key projects such as the launch of the "</w:t>
      </w:r>
      <w:proofErr w:type="spellStart"/>
      <w:r w:rsidR="005010DB" w:rsidRPr="00756953">
        <w:rPr>
          <w:rFonts w:ascii="Times New Roman" w:hAnsi="Times New Roman" w:cs="Times New Roman"/>
          <w:lang w:val="en"/>
        </w:rPr>
        <w:t>Amílcar</w:t>
      </w:r>
      <w:proofErr w:type="spellEnd"/>
      <w:r w:rsidR="005010DB" w:rsidRPr="00756953">
        <w:rPr>
          <w:rFonts w:ascii="Times New Roman" w:hAnsi="Times New Roman" w:cs="Times New Roman"/>
          <w:lang w:val="en"/>
        </w:rPr>
        <w:t xml:space="preserve"> Cabral" network consisting of fiber optic cables </w:t>
      </w:r>
      <w:r w:rsidR="005010DB" w:rsidRPr="00FF3102">
        <w:rPr>
          <w:rFonts w:ascii="Times New Roman" w:hAnsi="Times New Roman" w:cs="Times New Roman"/>
          <w:lang w:val="en"/>
        </w:rPr>
        <w:t>to sub regional capitals: Nouakchott, Dakar, Banjul, Bissau, Conakry, Freetown and Monrovia (ECOWAS, Economic Community of West African States)</w:t>
      </w:r>
      <w:r w:rsidR="00613B03">
        <w:rPr>
          <w:rFonts w:ascii="Times New Roman" w:hAnsi="Times New Roman" w:cs="Times New Roman"/>
          <w:lang w:val="en"/>
        </w:rPr>
        <w:t>,</w:t>
      </w:r>
      <w:r w:rsidR="00A11BE7">
        <w:rPr>
          <w:rFonts w:ascii="Times New Roman" w:hAnsi="Times New Roman" w:cs="Times New Roman"/>
          <w:lang w:val="en"/>
        </w:rPr>
        <w:t xml:space="preserve"> </w:t>
      </w:r>
      <w:r w:rsidR="00A11BE7">
        <w:rPr>
          <w:rStyle w:val="FootnoteReference"/>
          <w:rFonts w:ascii="Times New Roman" w:hAnsi="Times New Roman" w:cs="Times New Roman"/>
          <w:lang w:val="en"/>
        </w:rPr>
        <w:footnoteReference w:id="7"/>
      </w:r>
      <w:r w:rsidR="005010DB" w:rsidRPr="00FF3102">
        <w:rPr>
          <w:rFonts w:ascii="Times New Roman" w:hAnsi="Times New Roman" w:cs="Times New Roman"/>
          <w:lang w:val="en"/>
        </w:rPr>
        <w:t>the connection to the PEACE (</w:t>
      </w:r>
      <w:r w:rsidR="005010DB" w:rsidRPr="009B3253">
        <w:rPr>
          <w:rFonts w:ascii="Times New Roman" w:hAnsi="Times New Roman" w:cs="Times New Roman"/>
          <w:shd w:val="clear" w:color="auto" w:fill="FFFFFF"/>
        </w:rPr>
        <w:t>Pakistan and East Africa Connecting Europe)</w:t>
      </w:r>
      <w:r w:rsidR="005010DB" w:rsidRPr="00FF3102">
        <w:rPr>
          <w:rFonts w:ascii="Times New Roman" w:hAnsi="Times New Roman" w:cs="Times New Roman"/>
          <w:lang w:val="en"/>
        </w:rPr>
        <w:t xml:space="preserve"> fiber optic cable, through South Africa and Mozambique</w:t>
      </w:r>
      <w:r w:rsidR="00FB309F">
        <w:rPr>
          <w:rFonts w:ascii="Times New Roman" w:hAnsi="Times New Roman" w:cs="Times New Roman"/>
          <w:lang w:val="en"/>
        </w:rPr>
        <w:t xml:space="preserve"> </w:t>
      </w:r>
      <w:r w:rsidR="00FB309F">
        <w:rPr>
          <w:rStyle w:val="FootnoteReference"/>
          <w:rFonts w:ascii="Times New Roman" w:hAnsi="Times New Roman" w:cs="Times New Roman"/>
          <w:lang w:val="en"/>
        </w:rPr>
        <w:footnoteReference w:id="8"/>
      </w:r>
      <w:r w:rsidR="005010DB" w:rsidRPr="00FF3102">
        <w:rPr>
          <w:rFonts w:ascii="Times New Roman" w:hAnsi="Times New Roman" w:cs="Times New Roman"/>
          <w:lang w:val="en"/>
        </w:rPr>
        <w:t xml:space="preserve"> and others.</w:t>
      </w:r>
    </w:p>
    <w:p w14:paraId="459FC6DF" w14:textId="653BFC15" w:rsidR="005010DB" w:rsidRPr="00756953" w:rsidRDefault="002D7BA9" w:rsidP="005010DB">
      <w:pPr>
        <w:tabs>
          <w:tab w:val="left" w:pos="2150"/>
        </w:tabs>
        <w:spacing w:before="240"/>
        <w:jc w:val="both"/>
        <w:rPr>
          <w:rFonts w:ascii="Times New Roman" w:hAnsi="Times New Roman" w:cs="Times New Roman"/>
          <w:i/>
          <w:iCs/>
          <w:color w:val="0070C0"/>
        </w:rPr>
      </w:pPr>
      <w:r>
        <w:rPr>
          <w:rFonts w:ascii="Times New Roman" w:hAnsi="Times New Roman" w:cs="Times New Roman"/>
          <w:b/>
          <w:bCs/>
        </w:rPr>
        <w:t>3</w:t>
      </w:r>
      <w:r w:rsidR="0021054F">
        <w:rPr>
          <w:rFonts w:ascii="Times New Roman" w:hAnsi="Times New Roman" w:cs="Times New Roman"/>
          <w:b/>
          <w:bCs/>
        </w:rPr>
        <w:t>3</w:t>
      </w:r>
      <w:r>
        <w:rPr>
          <w:rFonts w:ascii="Times New Roman" w:hAnsi="Times New Roman" w:cs="Times New Roman"/>
          <w:b/>
          <w:bCs/>
        </w:rPr>
        <w:t xml:space="preserve">. </w:t>
      </w:r>
      <w:r w:rsidR="005010DB" w:rsidRPr="00756953">
        <w:rPr>
          <w:rFonts w:ascii="Times New Roman" w:hAnsi="Times New Roman" w:cs="Times New Roman"/>
          <w:b/>
          <w:bCs/>
        </w:rPr>
        <w:t>Most Cabo Verdeans are online.</w:t>
      </w:r>
      <w:r w:rsidR="005010DB" w:rsidRPr="00756953">
        <w:rPr>
          <w:rFonts w:ascii="Times New Roman" w:hAnsi="Times New Roman" w:cs="Times New Roman"/>
          <w:i/>
          <w:iCs/>
        </w:rPr>
        <w:t xml:space="preserve"> </w:t>
      </w:r>
      <w:r w:rsidR="005010DB" w:rsidRPr="00756953">
        <w:rPr>
          <w:rFonts w:ascii="Times New Roman" w:hAnsi="Times New Roman" w:cs="Times New Roman"/>
        </w:rPr>
        <w:t>Around</w:t>
      </w:r>
      <w:r w:rsidR="005010DB" w:rsidRPr="00756953">
        <w:rPr>
          <w:rFonts w:ascii="Times New Roman" w:hAnsi="Times New Roman" w:cs="Times New Roman"/>
          <w:i/>
          <w:iCs/>
        </w:rPr>
        <w:t xml:space="preserve"> </w:t>
      </w:r>
      <w:r w:rsidR="005010DB" w:rsidRPr="00756953">
        <w:rPr>
          <w:rFonts w:ascii="Times New Roman" w:hAnsi="Times New Roman" w:cs="Times New Roman"/>
        </w:rPr>
        <w:t>62 percent of the population and 67 percent of households use internet, positioning the country ahead of most peers and only behind Mauritius and Saint Kitts and Nevis. With an increased number of users, the market is far from saturation in terms of bandwidth volume. The international internet bandwidth is relatively low at 44 kb per user. According to the Network Readiness Index (NRI), the limited bandwidth is one of Cabo Verde's main weaknesses positioning the country 82</w:t>
      </w:r>
      <w:r w:rsidR="005010DB" w:rsidRPr="00756953">
        <w:rPr>
          <w:rFonts w:ascii="Times New Roman" w:hAnsi="Times New Roman" w:cs="Times New Roman"/>
          <w:vertAlign w:val="superscript"/>
        </w:rPr>
        <w:t>nd</w:t>
      </w:r>
      <w:r w:rsidR="005010DB" w:rsidRPr="00756953">
        <w:rPr>
          <w:rFonts w:ascii="Times New Roman" w:hAnsi="Times New Roman" w:cs="Times New Roman"/>
        </w:rPr>
        <w:t xml:space="preserve"> globally (Figure 1</w:t>
      </w:r>
      <w:r w:rsidR="007A258E">
        <w:rPr>
          <w:rFonts w:ascii="Times New Roman" w:hAnsi="Times New Roman" w:cs="Times New Roman"/>
        </w:rPr>
        <w:t>7</w:t>
      </w:r>
      <w:r w:rsidR="005010DB" w:rsidRPr="00756953">
        <w:rPr>
          <w:rFonts w:ascii="Times New Roman" w:hAnsi="Times New Roman" w:cs="Times New Roman"/>
        </w:rPr>
        <w:t xml:space="preserve">). </w:t>
      </w:r>
    </w:p>
    <w:p w14:paraId="1D9D4476" w14:textId="4942A039" w:rsidR="005010DB" w:rsidRDefault="0059561A" w:rsidP="005010DB">
      <w:pPr>
        <w:tabs>
          <w:tab w:val="left" w:pos="2150"/>
        </w:tabs>
        <w:jc w:val="both"/>
        <w:rPr>
          <w:rFonts w:ascii="Times New Roman" w:hAnsi="Times New Roman" w:cs="Times New Roman"/>
        </w:rPr>
      </w:pPr>
      <w:r>
        <w:rPr>
          <w:rFonts w:ascii="Times New Roman" w:hAnsi="Times New Roman" w:cs="Times New Roman"/>
          <w:b/>
          <w:bCs/>
        </w:rPr>
        <w:t>3</w:t>
      </w:r>
      <w:r w:rsidR="0021054F">
        <w:rPr>
          <w:rFonts w:ascii="Times New Roman" w:hAnsi="Times New Roman" w:cs="Times New Roman"/>
          <w:b/>
          <w:bCs/>
        </w:rPr>
        <w:t>4</w:t>
      </w:r>
      <w:r w:rsidR="003D6950">
        <w:rPr>
          <w:rFonts w:ascii="Times New Roman" w:hAnsi="Times New Roman" w:cs="Times New Roman"/>
          <w:b/>
          <w:bCs/>
        </w:rPr>
        <w:t>.</w:t>
      </w:r>
      <w:r w:rsidR="002D7BA9">
        <w:rPr>
          <w:rFonts w:ascii="Times New Roman" w:hAnsi="Times New Roman" w:cs="Times New Roman"/>
          <w:b/>
          <w:bCs/>
        </w:rPr>
        <w:t xml:space="preserve"> </w:t>
      </w:r>
      <w:r w:rsidR="005010DB" w:rsidRPr="00756953">
        <w:rPr>
          <w:rFonts w:ascii="Times New Roman" w:hAnsi="Times New Roman" w:cs="Times New Roman"/>
          <w:b/>
          <w:bCs/>
        </w:rPr>
        <w:t>The gender divide in internet use is negligent, but there are again substantial differences between rural and urban areas.</w:t>
      </w:r>
      <w:r w:rsidR="005010DB" w:rsidRPr="00756953">
        <w:rPr>
          <w:rFonts w:ascii="Times New Roman" w:hAnsi="Times New Roman" w:cs="Times New Roman"/>
        </w:rPr>
        <w:t xml:space="preserve"> While many countries are disadvantaged with a significant digital gender divide, Cabo Verde provides its women and men relatively equal opportunities to reap the digital dividends of the economy, including in the job markets, learning opportunities, and access to vital services online. However, there are notable disparities in internet penetration among the rural and urban populations. For example, while 69 percent of residents of urban settlements use the internet, just up to 48 percent are internet users in rural settlements (Figure </w:t>
      </w:r>
      <w:r w:rsidR="00AB3900">
        <w:rPr>
          <w:rFonts w:ascii="Times New Roman" w:hAnsi="Times New Roman" w:cs="Times New Roman"/>
        </w:rPr>
        <w:t>1</w:t>
      </w:r>
      <w:r w:rsidR="007A258E">
        <w:rPr>
          <w:rFonts w:ascii="Times New Roman" w:hAnsi="Times New Roman" w:cs="Times New Roman"/>
        </w:rPr>
        <w:t>8</w:t>
      </w:r>
      <w:r w:rsidR="005010DB" w:rsidRPr="00756953">
        <w:rPr>
          <w:rFonts w:ascii="Times New Roman" w:hAnsi="Times New Roman" w:cs="Times New Roman"/>
        </w:rPr>
        <w:t>).</w:t>
      </w:r>
    </w:p>
    <w:p w14:paraId="3DC6572C" w14:textId="77777777" w:rsidR="00891E0D" w:rsidRDefault="00891E0D" w:rsidP="005010DB">
      <w:pPr>
        <w:tabs>
          <w:tab w:val="left" w:pos="2150"/>
        </w:tabs>
        <w:jc w:val="both"/>
        <w:rPr>
          <w:rFonts w:ascii="Times New Roman" w:hAnsi="Times New Roman" w:cs="Times New Roman"/>
        </w:rPr>
      </w:pPr>
    </w:p>
    <w:p w14:paraId="263AEA70" w14:textId="504EC735" w:rsidR="00A679E9" w:rsidRDefault="00A679E9" w:rsidP="00B87C41">
      <w:pPr>
        <w:pStyle w:val="Caption"/>
        <w:keepNext/>
      </w:pPr>
    </w:p>
    <w:tbl>
      <w:tblPr>
        <w:tblStyle w:val="TableGrid"/>
        <w:tblW w:w="0" w:type="auto"/>
        <w:tblLook w:val="04A0" w:firstRow="1" w:lastRow="0" w:firstColumn="1" w:lastColumn="0" w:noHBand="0" w:noVBand="1"/>
      </w:tblPr>
      <w:tblGrid>
        <w:gridCol w:w="4795"/>
        <w:gridCol w:w="4555"/>
      </w:tblGrid>
      <w:tr w:rsidR="00336D93" w14:paraId="1D85B3C1" w14:textId="77777777" w:rsidTr="00B87C41">
        <w:trPr>
          <w:trHeight w:val="508"/>
        </w:trPr>
        <w:tc>
          <w:tcPr>
            <w:tcW w:w="4795" w:type="dxa"/>
          </w:tcPr>
          <w:p w14:paraId="2A037804" w14:textId="49EE7C7B" w:rsidR="00B51E2B" w:rsidRPr="00B87C41" w:rsidRDefault="00B51E2B" w:rsidP="00B87C41">
            <w:pPr>
              <w:pStyle w:val="Caption"/>
              <w:keepNext/>
              <w:jc w:val="center"/>
              <w:rPr>
                <w:rFonts w:ascii="Times New Roman" w:hAnsi="Times New Roman" w:cs="Times New Roman"/>
                <w:b/>
                <w:bCs/>
                <w:i w:val="0"/>
                <w:iCs w:val="0"/>
                <w:color w:val="2F5496" w:themeColor="accent1" w:themeShade="BF"/>
                <w:sz w:val="20"/>
                <w:szCs w:val="20"/>
              </w:rPr>
            </w:pPr>
            <w:bookmarkStart w:id="85" w:name="_Toc103950891"/>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17</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Use of Internet in Cabo Verde</w:t>
            </w:r>
            <w:bookmarkEnd w:id="85"/>
          </w:p>
          <w:p w14:paraId="6CA20F6D" w14:textId="5029193E" w:rsidR="00336D93" w:rsidRPr="00542D33" w:rsidRDefault="00336D93" w:rsidP="00336D93">
            <w:pPr>
              <w:rPr>
                <w:rFonts w:ascii="Arial" w:hAnsi="Arial" w:cs="Arial"/>
                <w:i/>
                <w:iCs/>
                <w:sz w:val="16"/>
                <w:szCs w:val="16"/>
              </w:rPr>
            </w:pPr>
            <w:r w:rsidRPr="00542D33">
              <w:rPr>
                <w:rFonts w:ascii="Arial" w:hAnsi="Arial" w:cs="Arial"/>
                <w:i/>
                <w:iCs/>
                <w:sz w:val="16"/>
                <w:szCs w:val="16"/>
              </w:rPr>
              <w:t>X axis: Percentage of population using Internet,</w:t>
            </w:r>
            <w:r>
              <w:rPr>
                <w:rFonts w:ascii="Arial" w:hAnsi="Arial" w:cs="Arial"/>
                <w:i/>
                <w:iCs/>
                <w:sz w:val="16"/>
                <w:szCs w:val="16"/>
              </w:rPr>
              <w:t xml:space="preserve"> %,</w:t>
            </w:r>
            <w:r w:rsidRPr="00542D33">
              <w:rPr>
                <w:rFonts w:ascii="Arial" w:hAnsi="Arial" w:cs="Arial"/>
                <w:i/>
                <w:iCs/>
                <w:sz w:val="16"/>
                <w:szCs w:val="16"/>
              </w:rPr>
              <w:t xml:space="preserve"> 2019</w:t>
            </w:r>
          </w:p>
          <w:p w14:paraId="280A509E" w14:textId="4DFF5803" w:rsidR="00336D93" w:rsidRPr="00336D93" w:rsidRDefault="00336D93" w:rsidP="00336D93">
            <w:pPr>
              <w:rPr>
                <w:rFonts w:ascii="Arial" w:hAnsi="Arial" w:cs="Arial"/>
                <w:sz w:val="18"/>
                <w:szCs w:val="18"/>
              </w:rPr>
            </w:pPr>
            <w:r w:rsidRPr="00752F49">
              <w:rPr>
                <w:rFonts w:ascii="Arial" w:hAnsi="Arial" w:cs="Arial"/>
                <w:i/>
                <w:iCs/>
                <w:sz w:val="16"/>
                <w:szCs w:val="16"/>
              </w:rPr>
              <w:t>Y axis: International Internet bandwidth per user, kbps, 2019</w:t>
            </w:r>
            <w:r w:rsidRPr="00215670">
              <w:rPr>
                <w:rFonts w:ascii="Arial" w:hAnsi="Arial" w:cs="Arial"/>
                <w:sz w:val="18"/>
                <w:szCs w:val="18"/>
              </w:rPr>
              <w:t xml:space="preserve"> </w:t>
            </w:r>
          </w:p>
        </w:tc>
        <w:tc>
          <w:tcPr>
            <w:tcW w:w="4555" w:type="dxa"/>
          </w:tcPr>
          <w:p w14:paraId="11F3ECCD" w14:textId="4D5B327E" w:rsidR="00B51E2B" w:rsidRPr="00B87C41" w:rsidRDefault="00B51E2B" w:rsidP="00B87C41">
            <w:pPr>
              <w:pStyle w:val="Caption"/>
              <w:keepNext/>
              <w:jc w:val="center"/>
              <w:rPr>
                <w:rFonts w:ascii="Times New Roman" w:hAnsi="Times New Roman" w:cs="Times New Roman"/>
                <w:b/>
                <w:bCs/>
                <w:i w:val="0"/>
                <w:iCs w:val="0"/>
                <w:color w:val="2F5496" w:themeColor="accent1" w:themeShade="BF"/>
                <w:sz w:val="20"/>
                <w:szCs w:val="20"/>
              </w:rPr>
            </w:pPr>
            <w:bookmarkStart w:id="86" w:name="_Toc103950892"/>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18</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Use of Internet in Cabo Verde</w:t>
            </w:r>
            <w:bookmarkEnd w:id="86"/>
          </w:p>
          <w:p w14:paraId="2EC38302" w14:textId="24715EB8" w:rsidR="00336D93" w:rsidRDefault="00336D93" w:rsidP="00B87C41">
            <w:pPr>
              <w:rPr>
                <w:rFonts w:ascii="Times New Roman" w:hAnsi="Times New Roman" w:cs="Times New Roman"/>
              </w:rPr>
            </w:pPr>
            <w:r>
              <w:rPr>
                <w:rFonts w:ascii="Arial" w:hAnsi="Arial" w:cs="Arial"/>
                <w:i/>
                <w:iCs/>
                <w:sz w:val="16"/>
                <w:szCs w:val="16"/>
              </w:rPr>
              <w:t xml:space="preserve">% </w:t>
            </w:r>
            <w:proofErr w:type="gramStart"/>
            <w:r>
              <w:rPr>
                <w:rFonts w:ascii="Arial" w:hAnsi="Arial" w:cs="Arial"/>
                <w:i/>
                <w:iCs/>
                <w:sz w:val="16"/>
                <w:szCs w:val="16"/>
              </w:rPr>
              <w:t>of</w:t>
            </w:r>
            <w:proofErr w:type="gramEnd"/>
            <w:r>
              <w:rPr>
                <w:rFonts w:ascii="Arial" w:hAnsi="Arial" w:cs="Arial"/>
                <w:i/>
                <w:iCs/>
                <w:sz w:val="16"/>
                <w:szCs w:val="16"/>
              </w:rPr>
              <w:t xml:space="preserve"> population using internet, by population groups: % among males, females, residents of urban and rural settlements, 2019</w:t>
            </w:r>
          </w:p>
        </w:tc>
      </w:tr>
      <w:tr w:rsidR="00336D93" w14:paraId="069CB381" w14:textId="77777777" w:rsidTr="00B87C41">
        <w:trPr>
          <w:trHeight w:val="2700"/>
        </w:trPr>
        <w:tc>
          <w:tcPr>
            <w:tcW w:w="4795" w:type="dxa"/>
          </w:tcPr>
          <w:p w14:paraId="2D4DA64A" w14:textId="2EBD1749" w:rsidR="00336D93" w:rsidRDefault="006A39B4" w:rsidP="00CB7AB5">
            <w:pPr>
              <w:keepNext/>
              <w:jc w:val="both"/>
            </w:pPr>
            <w:r w:rsidRPr="001D09A6">
              <w:rPr>
                <w:noProof/>
              </w:rPr>
              <w:drawing>
                <wp:inline distT="0" distB="0" distL="0" distR="0" wp14:anchorId="27332463" wp14:editId="6C0FC163">
                  <wp:extent cx="2936076" cy="158184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5534" cy="1640818"/>
                          </a:xfrm>
                          <a:prstGeom prst="rect">
                            <a:avLst/>
                          </a:prstGeom>
                          <a:noFill/>
                          <a:ln>
                            <a:noFill/>
                          </a:ln>
                        </pic:spPr>
                      </pic:pic>
                    </a:graphicData>
                  </a:graphic>
                </wp:inline>
              </w:drawing>
            </w:r>
          </w:p>
          <w:p w14:paraId="18DCE776" w14:textId="5AA977A6" w:rsidR="00336D93" w:rsidRPr="00A27DC3" w:rsidRDefault="00336D93" w:rsidP="00A27DC3">
            <w:pPr>
              <w:pStyle w:val="Caption"/>
              <w:keepNext/>
              <w:jc w:val="both"/>
              <w:rPr>
                <w:rFonts w:ascii="Times New Roman" w:hAnsi="Times New Roman" w:cs="Times New Roman"/>
                <w:i w:val="0"/>
                <w:iCs w:val="0"/>
                <w:color w:val="auto"/>
              </w:rPr>
            </w:pPr>
            <w:r w:rsidRPr="00A27DC3">
              <w:rPr>
                <w:rFonts w:ascii="Times New Roman" w:hAnsi="Times New Roman" w:cs="Times New Roman"/>
                <w:i w:val="0"/>
                <w:iCs w:val="0"/>
                <w:color w:val="auto"/>
              </w:rPr>
              <w:t>Sources:</w:t>
            </w:r>
            <w:r w:rsidR="001D57A6" w:rsidRPr="00A27DC3">
              <w:rPr>
                <w:rFonts w:ascii="Times New Roman" w:hAnsi="Times New Roman" w:cs="Times New Roman"/>
                <w:i w:val="0"/>
                <w:iCs w:val="0"/>
                <w:color w:val="auto"/>
              </w:rPr>
              <w:t xml:space="preserve"> </w:t>
            </w:r>
            <w:r w:rsidRPr="00A27DC3">
              <w:rPr>
                <w:rFonts w:ascii="Times New Roman" w:hAnsi="Times New Roman" w:cs="Times New Roman"/>
                <w:i w:val="0"/>
                <w:iCs w:val="0"/>
                <w:color w:val="auto"/>
              </w:rPr>
              <w:t>GSMA Mobile Connectivity</w:t>
            </w:r>
            <w:r w:rsidR="00F3412F">
              <w:rPr>
                <w:rFonts w:ascii="Times New Roman" w:hAnsi="Times New Roman" w:cs="Times New Roman"/>
                <w:i w:val="0"/>
                <w:iCs w:val="0"/>
                <w:color w:val="auto"/>
              </w:rPr>
              <w:t xml:space="preserve"> Index</w:t>
            </w:r>
            <w:r w:rsidRPr="00A27DC3">
              <w:rPr>
                <w:rFonts w:ascii="Times New Roman" w:hAnsi="Times New Roman" w:cs="Times New Roman"/>
                <w:i w:val="0"/>
                <w:iCs w:val="0"/>
                <w:color w:val="auto"/>
              </w:rPr>
              <w:t>; International Telecommunication Union (ITU) ICT-Eye, ICT Data Portal</w:t>
            </w:r>
          </w:p>
          <w:p w14:paraId="16F1410C" w14:textId="3E5D1E4A" w:rsidR="00336D93" w:rsidRPr="00336D93" w:rsidRDefault="00336D93" w:rsidP="00336D93"/>
        </w:tc>
        <w:tc>
          <w:tcPr>
            <w:tcW w:w="4555" w:type="dxa"/>
          </w:tcPr>
          <w:p w14:paraId="40592CDF" w14:textId="06227BBA" w:rsidR="00336D93" w:rsidRDefault="00365852" w:rsidP="00CB7AB5">
            <w:pPr>
              <w:keepNext/>
              <w:jc w:val="both"/>
            </w:pPr>
            <w:r w:rsidRPr="00C95192">
              <w:rPr>
                <w:noProof/>
              </w:rPr>
              <w:drawing>
                <wp:inline distT="0" distB="0" distL="0" distR="0" wp14:anchorId="73F13FDF" wp14:editId="088EFBDF">
                  <wp:extent cx="2777114" cy="158178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7510" cy="1621881"/>
                          </a:xfrm>
                          <a:prstGeom prst="rect">
                            <a:avLst/>
                          </a:prstGeom>
                          <a:noFill/>
                          <a:ln>
                            <a:noFill/>
                          </a:ln>
                        </pic:spPr>
                      </pic:pic>
                    </a:graphicData>
                  </a:graphic>
                </wp:inline>
              </w:drawing>
            </w:r>
          </w:p>
          <w:p w14:paraId="56D1E9B3" w14:textId="246CF7B5" w:rsidR="00336D93" w:rsidRPr="00A27DC3" w:rsidRDefault="00336D93" w:rsidP="00A27DC3">
            <w:pPr>
              <w:pStyle w:val="Caption"/>
              <w:rPr>
                <w:rFonts w:ascii="Times New Roman" w:hAnsi="Times New Roman" w:cs="Times New Roman"/>
                <w:i w:val="0"/>
                <w:iCs w:val="0"/>
                <w:color w:val="auto"/>
              </w:rPr>
            </w:pPr>
            <w:r w:rsidRPr="00A27DC3">
              <w:rPr>
                <w:rFonts w:ascii="Times New Roman" w:hAnsi="Times New Roman" w:cs="Times New Roman"/>
                <w:i w:val="0"/>
                <w:iCs w:val="0"/>
                <w:color w:val="auto"/>
              </w:rPr>
              <w:t>Sources: GSMA Intelligence</w:t>
            </w:r>
            <w:r w:rsidR="00F3412F" w:rsidRPr="00A27DC3">
              <w:rPr>
                <w:rFonts w:ascii="Times New Roman" w:hAnsi="Times New Roman" w:cs="Times New Roman"/>
                <w:color w:val="auto"/>
              </w:rPr>
              <w:t xml:space="preserve"> Data</w:t>
            </w:r>
          </w:p>
          <w:p w14:paraId="381B33BD" w14:textId="0FEB5A32" w:rsidR="00336D93" w:rsidRPr="00336D93" w:rsidRDefault="00336D93">
            <w:pPr>
              <w:keepNext/>
            </w:pPr>
          </w:p>
        </w:tc>
      </w:tr>
    </w:tbl>
    <w:p w14:paraId="0283F3EB" w14:textId="77777777" w:rsidR="00FB6EA0" w:rsidRDefault="00FB6EA0" w:rsidP="008B5AD0">
      <w:pPr>
        <w:tabs>
          <w:tab w:val="left" w:pos="2150"/>
        </w:tabs>
        <w:jc w:val="both"/>
        <w:rPr>
          <w:rFonts w:ascii="Times New Roman" w:hAnsi="Times New Roman" w:cs="Times New Roman"/>
          <w:b/>
          <w:bCs/>
        </w:rPr>
      </w:pPr>
    </w:p>
    <w:p w14:paraId="0FC44844" w14:textId="34C439CF" w:rsidR="00FF1CE5" w:rsidRDefault="00075087" w:rsidP="00B87C41">
      <w:pPr>
        <w:tabs>
          <w:tab w:val="left" w:pos="2150"/>
        </w:tabs>
        <w:jc w:val="both"/>
      </w:pPr>
      <w:r>
        <w:rPr>
          <w:rFonts w:ascii="Times New Roman" w:hAnsi="Times New Roman" w:cs="Times New Roman"/>
          <w:b/>
          <w:bCs/>
        </w:rPr>
        <w:t>35</w:t>
      </w:r>
      <w:r w:rsidR="002D7BA9">
        <w:rPr>
          <w:rFonts w:ascii="Times New Roman" w:hAnsi="Times New Roman" w:cs="Times New Roman"/>
          <w:b/>
          <w:bCs/>
        </w:rPr>
        <w:t xml:space="preserve">. </w:t>
      </w:r>
      <w:r w:rsidR="008B5AD0" w:rsidRPr="008B5AD0">
        <w:rPr>
          <w:rFonts w:ascii="Times New Roman" w:hAnsi="Times New Roman" w:cs="Times New Roman"/>
          <w:b/>
          <w:bCs/>
        </w:rPr>
        <w:t xml:space="preserve">By internet penetration, Cabo Verde’s performance is above average, compared to its peers. </w:t>
      </w:r>
      <w:r w:rsidR="008B5AD0" w:rsidRPr="008B5AD0">
        <w:rPr>
          <w:rFonts w:ascii="Times New Roman" w:hAnsi="Times New Roman" w:cs="Times New Roman"/>
        </w:rPr>
        <w:t xml:space="preserve">By mobile internet usage, the country displays an average performance among lower-middle-income countries and reports 41.5 percent unique mobile internet subscribers, while fixed broadband is at a low level of 4.5 percent. Accordingly, this indicator is as high as 25 percent and 36 percent in Mauritius and Seychelles. The rest of the peer countries perform very poorly in comparison by fixed broadband subscriptions rates at just 0.3 percent and 0.4 percent in Ghana and Bhutan; and 1.1 percent in Senegal and Sao Tome and Principe (Figure </w:t>
      </w:r>
      <w:r w:rsidR="0033418B">
        <w:rPr>
          <w:rFonts w:ascii="Times New Roman" w:hAnsi="Times New Roman" w:cs="Times New Roman"/>
        </w:rPr>
        <w:t>1</w:t>
      </w:r>
      <w:r w:rsidR="00627D42">
        <w:rPr>
          <w:rFonts w:ascii="Times New Roman" w:hAnsi="Times New Roman" w:cs="Times New Roman"/>
        </w:rPr>
        <w:t>7</w:t>
      </w:r>
      <w:r w:rsidR="008B5AD0" w:rsidRPr="008B5AD0">
        <w:rPr>
          <w:rFonts w:ascii="Times New Roman" w:hAnsi="Times New Roman" w:cs="Times New Roman"/>
        </w:rPr>
        <w:t>). According to Data</w:t>
      </w:r>
      <w:r w:rsidR="007C7DF5">
        <w:rPr>
          <w:rFonts w:ascii="Times New Roman" w:hAnsi="Times New Roman" w:cs="Times New Roman"/>
        </w:rPr>
        <w:t>-</w:t>
      </w:r>
      <w:proofErr w:type="spellStart"/>
      <w:r w:rsidR="008B5AD0" w:rsidRPr="008B5AD0">
        <w:rPr>
          <w:rFonts w:ascii="Times New Roman" w:hAnsi="Times New Roman" w:cs="Times New Roman"/>
        </w:rPr>
        <w:t>Reportal</w:t>
      </w:r>
      <w:proofErr w:type="spellEnd"/>
      <w:r w:rsidR="008B5AD0" w:rsidRPr="008B5AD0">
        <w:rPr>
          <w:rFonts w:ascii="Times New Roman" w:hAnsi="Times New Roman" w:cs="Times New Roman"/>
        </w:rPr>
        <w:t xml:space="preserve">, which provides data on internet and social media use, almost half of the population in Cabo Verde are active social media users, and 99 percent of those access social media via mobile phones. </w:t>
      </w:r>
      <w:r w:rsidR="008B5AD0" w:rsidRPr="008B5AD0">
        <w:rPr>
          <w:rStyle w:val="FootnoteReference"/>
          <w:rFonts w:ascii="Times New Roman" w:hAnsi="Times New Roman" w:cs="Times New Roman"/>
        </w:rPr>
        <w:footnoteReference w:id="9"/>
      </w:r>
    </w:p>
    <w:tbl>
      <w:tblPr>
        <w:tblStyle w:val="TableGrid"/>
        <w:tblW w:w="0" w:type="auto"/>
        <w:tblLook w:val="04A0" w:firstRow="1" w:lastRow="0" w:firstColumn="1" w:lastColumn="0" w:noHBand="0" w:noVBand="1"/>
      </w:tblPr>
      <w:tblGrid>
        <w:gridCol w:w="4735"/>
        <w:gridCol w:w="4615"/>
      </w:tblGrid>
      <w:tr w:rsidR="00461D0B" w14:paraId="0EEB292E" w14:textId="77777777" w:rsidTr="00B87C41">
        <w:trPr>
          <w:trHeight w:val="926"/>
        </w:trPr>
        <w:tc>
          <w:tcPr>
            <w:tcW w:w="4735" w:type="dxa"/>
          </w:tcPr>
          <w:p w14:paraId="2EB8DEE6" w14:textId="48B49548" w:rsidR="00273BD9" w:rsidRPr="00B87C41" w:rsidRDefault="00273BD9" w:rsidP="00B87C41">
            <w:pPr>
              <w:jc w:val="center"/>
              <w:rPr>
                <w:rFonts w:ascii="Times New Roman" w:hAnsi="Times New Roman" w:cs="Times New Roman"/>
                <w:b/>
                <w:bCs/>
                <w:color w:val="2F5496" w:themeColor="accent1" w:themeShade="BF"/>
                <w:sz w:val="20"/>
                <w:szCs w:val="20"/>
              </w:rPr>
            </w:pPr>
            <w:bookmarkStart w:id="87" w:name="_Toc103950893"/>
            <w:r w:rsidRPr="00B87C41">
              <w:rPr>
                <w:rFonts w:ascii="Times New Roman" w:hAnsi="Times New Roman" w:cs="Times New Roman"/>
                <w:b/>
                <w:bCs/>
                <w:color w:val="2F5496" w:themeColor="accent1" w:themeShade="BF"/>
                <w:sz w:val="20"/>
                <w:szCs w:val="20"/>
              </w:rPr>
              <w:t xml:space="preserve">Figure </w:t>
            </w:r>
            <w:r w:rsidR="009E2172">
              <w:rPr>
                <w:rFonts w:ascii="Times New Roman" w:hAnsi="Times New Roman" w:cs="Times New Roman"/>
                <w:b/>
                <w:bCs/>
                <w:color w:val="2F5496" w:themeColor="accent1" w:themeShade="BF"/>
                <w:sz w:val="20"/>
                <w:szCs w:val="20"/>
              </w:rPr>
              <w:fldChar w:fldCharType="begin"/>
            </w:r>
            <w:r w:rsidR="009E2172">
              <w:rPr>
                <w:rFonts w:ascii="Times New Roman" w:hAnsi="Times New Roman" w:cs="Times New Roman"/>
                <w:b/>
                <w:bCs/>
                <w:color w:val="2F5496" w:themeColor="accent1" w:themeShade="BF"/>
                <w:sz w:val="20"/>
                <w:szCs w:val="20"/>
              </w:rPr>
              <w:instrText xml:space="preserve"> SEQ Figure \* ARABIC </w:instrText>
            </w:r>
            <w:r w:rsidR="009E2172">
              <w:rPr>
                <w:rFonts w:ascii="Times New Roman" w:hAnsi="Times New Roman" w:cs="Times New Roman"/>
                <w:b/>
                <w:bCs/>
                <w:color w:val="2F5496" w:themeColor="accent1" w:themeShade="BF"/>
                <w:sz w:val="20"/>
                <w:szCs w:val="20"/>
              </w:rPr>
              <w:fldChar w:fldCharType="separate"/>
            </w:r>
            <w:r w:rsidR="00C73FE1">
              <w:rPr>
                <w:rFonts w:ascii="Times New Roman" w:hAnsi="Times New Roman" w:cs="Times New Roman"/>
                <w:b/>
                <w:bCs/>
                <w:noProof/>
                <w:color w:val="2F5496" w:themeColor="accent1" w:themeShade="BF"/>
                <w:sz w:val="20"/>
                <w:szCs w:val="20"/>
              </w:rPr>
              <w:t>19</w:t>
            </w:r>
            <w:r w:rsidR="009E2172">
              <w:rPr>
                <w:rFonts w:ascii="Times New Roman" w:hAnsi="Times New Roman" w:cs="Times New Roman"/>
                <w:b/>
                <w:bCs/>
                <w:color w:val="2F5496" w:themeColor="accent1" w:themeShade="BF"/>
                <w:sz w:val="20"/>
                <w:szCs w:val="20"/>
              </w:rPr>
              <w:fldChar w:fldCharType="end"/>
            </w:r>
            <w:r w:rsidRPr="00B87C41">
              <w:rPr>
                <w:rFonts w:ascii="Times New Roman" w:hAnsi="Times New Roman" w:cs="Times New Roman"/>
                <w:b/>
                <w:bCs/>
                <w:color w:val="2F5496" w:themeColor="accent1" w:themeShade="BF"/>
                <w:sz w:val="20"/>
                <w:szCs w:val="20"/>
              </w:rPr>
              <w:t>: Mobile Internet Users</w:t>
            </w:r>
            <w:bookmarkEnd w:id="87"/>
          </w:p>
          <w:p w14:paraId="10A1899D" w14:textId="2262F924" w:rsidR="00336D93" w:rsidRPr="00F34D61" w:rsidRDefault="00336D93" w:rsidP="00336D93">
            <w:pPr>
              <w:rPr>
                <w:rFonts w:ascii="Arial" w:hAnsi="Arial" w:cs="Arial"/>
                <w:i/>
                <w:iCs/>
                <w:sz w:val="16"/>
                <w:szCs w:val="16"/>
              </w:rPr>
            </w:pPr>
            <w:r w:rsidRPr="00F34D61">
              <w:rPr>
                <w:rFonts w:ascii="Arial" w:hAnsi="Arial" w:cs="Arial"/>
                <w:i/>
                <w:iCs/>
                <w:sz w:val="16"/>
                <w:szCs w:val="16"/>
              </w:rPr>
              <w:t>X axis: Market penetration; unique mobile internet subscribers, 2020</w:t>
            </w:r>
          </w:p>
          <w:p w14:paraId="3180A710" w14:textId="3B9D0680" w:rsidR="00336D93" w:rsidRPr="00336D93" w:rsidRDefault="00336D93">
            <w:pPr>
              <w:rPr>
                <w:rFonts w:ascii="Arial" w:hAnsi="Arial" w:cs="Arial"/>
                <w:sz w:val="18"/>
                <w:szCs w:val="18"/>
              </w:rPr>
            </w:pPr>
            <w:r w:rsidRPr="00F34D61">
              <w:rPr>
                <w:rFonts w:ascii="Arial" w:hAnsi="Arial" w:cs="Arial"/>
                <w:i/>
                <w:iCs/>
                <w:sz w:val="16"/>
                <w:szCs w:val="16"/>
              </w:rPr>
              <w:t>Y axis: GDP per capita, PPP (current international $), 2020</w:t>
            </w:r>
            <w:r w:rsidRPr="00215670">
              <w:rPr>
                <w:rFonts w:ascii="Arial" w:hAnsi="Arial" w:cs="Arial"/>
                <w:sz w:val="18"/>
                <w:szCs w:val="18"/>
              </w:rPr>
              <w:t xml:space="preserve"> </w:t>
            </w:r>
          </w:p>
        </w:tc>
        <w:tc>
          <w:tcPr>
            <w:tcW w:w="4615" w:type="dxa"/>
          </w:tcPr>
          <w:p w14:paraId="2DED633D" w14:textId="09742025" w:rsidR="00683BFF" w:rsidRPr="00B87C41" w:rsidRDefault="00683BFF" w:rsidP="00B87C41">
            <w:pPr>
              <w:jc w:val="center"/>
              <w:rPr>
                <w:rFonts w:ascii="Times New Roman" w:hAnsi="Times New Roman" w:cs="Times New Roman"/>
                <w:b/>
                <w:bCs/>
                <w:color w:val="2F5496" w:themeColor="accent1" w:themeShade="BF"/>
                <w:sz w:val="20"/>
                <w:szCs w:val="20"/>
              </w:rPr>
            </w:pPr>
            <w:bookmarkStart w:id="88" w:name="_Toc103950894"/>
            <w:r w:rsidRPr="00B87C41">
              <w:rPr>
                <w:rFonts w:ascii="Times New Roman" w:hAnsi="Times New Roman" w:cs="Times New Roman"/>
                <w:b/>
                <w:bCs/>
                <w:color w:val="2F5496" w:themeColor="accent1" w:themeShade="BF"/>
                <w:sz w:val="20"/>
                <w:szCs w:val="20"/>
              </w:rPr>
              <w:t xml:space="preserve">Figure </w:t>
            </w:r>
            <w:r w:rsidR="009E2172">
              <w:rPr>
                <w:rFonts w:ascii="Times New Roman" w:hAnsi="Times New Roman" w:cs="Times New Roman"/>
                <w:b/>
                <w:bCs/>
                <w:color w:val="2F5496" w:themeColor="accent1" w:themeShade="BF"/>
                <w:sz w:val="20"/>
                <w:szCs w:val="20"/>
              </w:rPr>
              <w:fldChar w:fldCharType="begin"/>
            </w:r>
            <w:r w:rsidR="009E2172">
              <w:rPr>
                <w:rFonts w:ascii="Times New Roman" w:hAnsi="Times New Roman" w:cs="Times New Roman"/>
                <w:b/>
                <w:bCs/>
                <w:color w:val="2F5496" w:themeColor="accent1" w:themeShade="BF"/>
                <w:sz w:val="20"/>
                <w:szCs w:val="20"/>
              </w:rPr>
              <w:instrText xml:space="preserve"> SEQ Figure \* ARABIC </w:instrText>
            </w:r>
            <w:r w:rsidR="009E2172">
              <w:rPr>
                <w:rFonts w:ascii="Times New Roman" w:hAnsi="Times New Roman" w:cs="Times New Roman"/>
                <w:b/>
                <w:bCs/>
                <w:color w:val="2F5496" w:themeColor="accent1" w:themeShade="BF"/>
                <w:sz w:val="20"/>
                <w:szCs w:val="20"/>
              </w:rPr>
              <w:fldChar w:fldCharType="separate"/>
            </w:r>
            <w:r w:rsidR="00C73FE1">
              <w:rPr>
                <w:rFonts w:ascii="Times New Roman" w:hAnsi="Times New Roman" w:cs="Times New Roman"/>
                <w:b/>
                <w:bCs/>
                <w:noProof/>
                <w:color w:val="2F5496" w:themeColor="accent1" w:themeShade="BF"/>
                <w:sz w:val="20"/>
                <w:szCs w:val="20"/>
              </w:rPr>
              <w:t>20</w:t>
            </w:r>
            <w:r w:rsidR="009E2172">
              <w:rPr>
                <w:rFonts w:ascii="Times New Roman" w:hAnsi="Times New Roman" w:cs="Times New Roman"/>
                <w:b/>
                <w:bCs/>
                <w:color w:val="2F5496" w:themeColor="accent1" w:themeShade="BF"/>
                <w:sz w:val="20"/>
                <w:szCs w:val="20"/>
              </w:rPr>
              <w:fldChar w:fldCharType="end"/>
            </w:r>
            <w:r w:rsidRPr="00B87C41">
              <w:rPr>
                <w:rFonts w:ascii="Times New Roman" w:hAnsi="Times New Roman" w:cs="Times New Roman"/>
                <w:b/>
                <w:bCs/>
                <w:color w:val="2F5496" w:themeColor="accent1" w:themeShade="BF"/>
                <w:sz w:val="20"/>
                <w:szCs w:val="20"/>
              </w:rPr>
              <w:t>: Fixed</w:t>
            </w:r>
            <w:r w:rsidR="003D31E6" w:rsidRPr="00B87C41">
              <w:rPr>
                <w:rFonts w:ascii="Times New Roman" w:hAnsi="Times New Roman" w:cs="Times New Roman"/>
                <w:b/>
                <w:bCs/>
                <w:color w:val="2F5496" w:themeColor="accent1" w:themeShade="BF"/>
                <w:sz w:val="20"/>
                <w:szCs w:val="20"/>
              </w:rPr>
              <w:t xml:space="preserve"> </w:t>
            </w:r>
            <w:r w:rsidR="00D343C9" w:rsidRPr="00B87C41">
              <w:rPr>
                <w:rFonts w:ascii="Times New Roman" w:hAnsi="Times New Roman" w:cs="Times New Roman"/>
                <w:b/>
                <w:bCs/>
                <w:color w:val="2F5496" w:themeColor="accent1" w:themeShade="BF"/>
                <w:sz w:val="20"/>
                <w:szCs w:val="20"/>
              </w:rPr>
              <w:t>Broadband Users</w:t>
            </w:r>
            <w:bookmarkEnd w:id="88"/>
          </w:p>
          <w:p w14:paraId="3468C495" w14:textId="14D74AE7" w:rsidR="00B3117A" w:rsidRPr="00A27DC3" w:rsidRDefault="00336D93" w:rsidP="00A27DC3">
            <w:pPr>
              <w:pStyle w:val="Caption"/>
              <w:rPr>
                <w:rFonts w:ascii="Arial" w:hAnsi="Arial" w:cs="Arial"/>
                <w:i w:val="0"/>
                <w:iCs w:val="0"/>
                <w:color w:val="auto"/>
                <w:sz w:val="16"/>
                <w:szCs w:val="16"/>
              </w:rPr>
            </w:pPr>
            <w:r w:rsidRPr="00A27DC3">
              <w:rPr>
                <w:rFonts w:ascii="Arial" w:hAnsi="Arial" w:cs="Arial"/>
                <w:color w:val="auto"/>
                <w:sz w:val="16"/>
                <w:szCs w:val="16"/>
              </w:rPr>
              <w:t>X axis: Fixed broadband subscriptions (per 100 people), 2020</w:t>
            </w:r>
          </w:p>
          <w:p w14:paraId="47BB37EE" w14:textId="77777777" w:rsidR="00336D93" w:rsidRDefault="00336D93" w:rsidP="00336D93">
            <w:pPr>
              <w:rPr>
                <w:noProof/>
              </w:rPr>
            </w:pPr>
            <w:r w:rsidRPr="00D77FB0">
              <w:rPr>
                <w:rFonts w:ascii="Arial" w:hAnsi="Arial" w:cs="Arial"/>
                <w:i/>
                <w:iCs/>
                <w:sz w:val="16"/>
                <w:szCs w:val="16"/>
              </w:rPr>
              <w:t>Y axis: GDP per capita, PPP (current international $), 2020</w:t>
            </w:r>
          </w:p>
          <w:p w14:paraId="6C4785F6" w14:textId="77777777" w:rsidR="00336D93" w:rsidRDefault="00336D93" w:rsidP="00CB7AB5">
            <w:pPr>
              <w:jc w:val="center"/>
              <w:rPr>
                <w:rFonts w:ascii="Times New Roman" w:hAnsi="Times New Roman" w:cs="Times New Roman"/>
              </w:rPr>
            </w:pPr>
          </w:p>
        </w:tc>
      </w:tr>
      <w:tr w:rsidR="00461D0B" w14:paraId="2C4BFB63" w14:textId="77777777" w:rsidTr="00B87C41">
        <w:trPr>
          <w:trHeight w:val="926"/>
        </w:trPr>
        <w:tc>
          <w:tcPr>
            <w:tcW w:w="4735" w:type="dxa"/>
          </w:tcPr>
          <w:p w14:paraId="6E47B1CD" w14:textId="77777777" w:rsidR="00461D0B" w:rsidRDefault="00461D0B" w:rsidP="00CF37B1">
            <w:pPr>
              <w:jc w:val="center"/>
              <w:rPr>
                <w:rFonts w:ascii="Times New Roman" w:hAnsi="Times New Roman" w:cs="Times New Roman"/>
                <w:b/>
                <w:bCs/>
                <w:color w:val="2F5496" w:themeColor="accent1" w:themeShade="BF"/>
                <w:sz w:val="20"/>
                <w:szCs w:val="20"/>
              </w:rPr>
            </w:pPr>
            <w:r>
              <w:rPr>
                <w:rFonts w:ascii="Times New Roman" w:hAnsi="Times New Roman" w:cs="Times New Roman"/>
                <w:b/>
                <w:bCs/>
                <w:noProof/>
                <w:color w:val="2F5496" w:themeColor="accent1" w:themeShade="BF"/>
                <w:sz w:val="20"/>
                <w:szCs w:val="20"/>
              </w:rPr>
              <w:drawing>
                <wp:inline distT="0" distB="0" distL="0" distR="0" wp14:anchorId="567420FD" wp14:editId="5050922B">
                  <wp:extent cx="2871470" cy="19812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1470" cy="1981200"/>
                          </a:xfrm>
                          <a:prstGeom prst="rect">
                            <a:avLst/>
                          </a:prstGeom>
                          <a:noFill/>
                        </pic:spPr>
                      </pic:pic>
                    </a:graphicData>
                  </a:graphic>
                </wp:inline>
              </w:drawing>
            </w:r>
          </w:p>
          <w:p w14:paraId="13E8B432" w14:textId="3D8FD8CE" w:rsidR="00461D0B" w:rsidRPr="00A27DC3" w:rsidRDefault="00461D0B" w:rsidP="00A27DC3">
            <w:pPr>
              <w:rPr>
                <w:rFonts w:ascii="Times New Roman" w:hAnsi="Times New Roman" w:cs="Times New Roman"/>
                <w:color w:val="2F5496" w:themeColor="accent1" w:themeShade="BF"/>
                <w:sz w:val="18"/>
                <w:szCs w:val="18"/>
              </w:rPr>
            </w:pPr>
            <w:r w:rsidRPr="00A27DC3">
              <w:rPr>
                <w:rFonts w:ascii="Times New Roman" w:hAnsi="Times New Roman" w:cs="Times New Roman"/>
                <w:sz w:val="18"/>
                <w:szCs w:val="18"/>
              </w:rPr>
              <w:t>Sources: GSMA Intelligence; World Bank, World Development Indicators (WB WDI)</w:t>
            </w:r>
          </w:p>
        </w:tc>
        <w:tc>
          <w:tcPr>
            <w:tcW w:w="4615" w:type="dxa"/>
          </w:tcPr>
          <w:p w14:paraId="2E398502" w14:textId="77777777" w:rsidR="00461D0B" w:rsidRDefault="00461D0B" w:rsidP="00CF37B1">
            <w:pPr>
              <w:jc w:val="center"/>
              <w:rPr>
                <w:rFonts w:ascii="Times New Roman" w:hAnsi="Times New Roman" w:cs="Times New Roman"/>
                <w:b/>
                <w:bCs/>
                <w:noProof/>
                <w:color w:val="2F5496" w:themeColor="accent1" w:themeShade="BF"/>
                <w:sz w:val="20"/>
                <w:szCs w:val="20"/>
              </w:rPr>
            </w:pPr>
            <w:r>
              <w:rPr>
                <w:rFonts w:ascii="Times New Roman" w:hAnsi="Times New Roman" w:cs="Times New Roman"/>
                <w:b/>
                <w:bCs/>
                <w:noProof/>
                <w:color w:val="2F5496" w:themeColor="accent1" w:themeShade="BF"/>
                <w:sz w:val="20"/>
                <w:szCs w:val="20"/>
              </w:rPr>
              <w:drawing>
                <wp:inline distT="0" distB="0" distL="0" distR="0" wp14:anchorId="4090D429" wp14:editId="20176576">
                  <wp:extent cx="2798445" cy="196913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8445" cy="1969135"/>
                          </a:xfrm>
                          <a:prstGeom prst="rect">
                            <a:avLst/>
                          </a:prstGeom>
                          <a:noFill/>
                        </pic:spPr>
                      </pic:pic>
                    </a:graphicData>
                  </a:graphic>
                </wp:inline>
              </w:drawing>
            </w:r>
          </w:p>
          <w:p w14:paraId="61559BEF" w14:textId="02D9C61C" w:rsidR="00461D0B" w:rsidRPr="00A27DC3" w:rsidRDefault="00461D0B" w:rsidP="00A27DC3">
            <w:pPr>
              <w:tabs>
                <w:tab w:val="left" w:pos="2806"/>
              </w:tabs>
              <w:jc w:val="both"/>
              <w:rPr>
                <w:rFonts w:ascii="Times New Roman" w:hAnsi="Times New Roman" w:cs="Times New Roman"/>
                <w:sz w:val="18"/>
                <w:szCs w:val="18"/>
              </w:rPr>
            </w:pPr>
            <w:r w:rsidRPr="00A27DC3">
              <w:rPr>
                <w:rFonts w:ascii="Times New Roman" w:hAnsi="Times New Roman" w:cs="Times New Roman"/>
                <w:sz w:val="18"/>
                <w:szCs w:val="18"/>
              </w:rPr>
              <w:t>Sources: WB WDI</w:t>
            </w:r>
          </w:p>
        </w:tc>
      </w:tr>
    </w:tbl>
    <w:p w14:paraId="59591031" w14:textId="77777777" w:rsidR="00336D93" w:rsidRPr="008B5AD0" w:rsidRDefault="00336D93" w:rsidP="008B5AD0">
      <w:pPr>
        <w:tabs>
          <w:tab w:val="left" w:pos="2150"/>
        </w:tabs>
        <w:jc w:val="both"/>
        <w:rPr>
          <w:rFonts w:ascii="Times New Roman" w:hAnsi="Times New Roman" w:cs="Times New Roman"/>
          <w:b/>
          <w:bCs/>
        </w:rPr>
      </w:pPr>
    </w:p>
    <w:p w14:paraId="503C68BB" w14:textId="4CCE7CE1" w:rsidR="00461D0B" w:rsidRPr="002002DB" w:rsidRDefault="00075087" w:rsidP="002002DB">
      <w:pPr>
        <w:tabs>
          <w:tab w:val="left" w:pos="2150"/>
        </w:tabs>
        <w:jc w:val="both"/>
        <w:rPr>
          <w:rFonts w:ascii="Times New Roman" w:hAnsi="Times New Roman" w:cs="Times New Roman"/>
        </w:rPr>
      </w:pPr>
      <w:r>
        <w:rPr>
          <w:rFonts w:ascii="Times New Roman" w:hAnsi="Times New Roman" w:cs="Times New Roman"/>
          <w:b/>
          <w:bCs/>
        </w:rPr>
        <w:t>36</w:t>
      </w:r>
      <w:r w:rsidR="002D7BA9">
        <w:rPr>
          <w:rFonts w:ascii="Times New Roman" w:hAnsi="Times New Roman" w:cs="Times New Roman"/>
          <w:b/>
          <w:bCs/>
        </w:rPr>
        <w:t xml:space="preserve">. </w:t>
      </w:r>
      <w:r w:rsidR="002002DB" w:rsidRPr="002002DB">
        <w:rPr>
          <w:rFonts w:ascii="Times New Roman" w:hAnsi="Times New Roman" w:cs="Times New Roman"/>
          <w:b/>
          <w:bCs/>
        </w:rPr>
        <w:t>Improved coverage and affordability can further boost internet adoption.</w:t>
      </w:r>
      <w:r w:rsidR="002002DB" w:rsidRPr="002002DB">
        <w:rPr>
          <w:rFonts w:ascii="Times New Roman" w:hAnsi="Times New Roman" w:cs="Times New Roman"/>
        </w:rPr>
        <w:t xml:space="preserve"> The competition limited to duopoly led to the lack of universal broadband coverage and internet services that are unaffordable to many. According to ITU, in 2020, Cabo Verdeans paid US$ 8.2 for mobile broadband</w:t>
      </w:r>
      <w:r w:rsidR="00852753">
        <w:rPr>
          <w:rFonts w:ascii="Times New Roman" w:hAnsi="Times New Roman" w:cs="Times New Roman"/>
        </w:rPr>
        <w:t xml:space="preserve"> </w:t>
      </w:r>
      <w:r w:rsidR="002002DB" w:rsidRPr="002002DB">
        <w:rPr>
          <w:rStyle w:val="FootnoteReference"/>
          <w:rFonts w:ascii="Times New Roman" w:hAnsi="Times New Roman" w:cs="Times New Roman"/>
        </w:rPr>
        <w:footnoteReference w:id="10"/>
      </w:r>
      <w:r w:rsidR="002002DB" w:rsidRPr="002002DB">
        <w:rPr>
          <w:rFonts w:ascii="Times New Roman" w:hAnsi="Times New Roman" w:cs="Times New Roman"/>
        </w:rPr>
        <w:t xml:space="preserve"> (down by 10 percent from 2019 price) and US$ 7.7 for fixed broadband</w:t>
      </w:r>
      <w:r w:rsidR="002002DB" w:rsidRPr="002002DB">
        <w:rPr>
          <w:rStyle w:val="FootnoteReference"/>
          <w:rFonts w:ascii="Times New Roman" w:hAnsi="Times New Roman" w:cs="Times New Roman"/>
        </w:rPr>
        <w:footnoteReference w:id="11"/>
      </w:r>
      <w:r w:rsidR="002002DB" w:rsidRPr="002002DB">
        <w:rPr>
          <w:rFonts w:ascii="Times New Roman" w:hAnsi="Times New Roman" w:cs="Times New Roman"/>
        </w:rPr>
        <w:t xml:space="preserve"> (down by 27 percent from 2019 price). This constitutes 2.6 percent and 2.8 percent of Gross National Income (GNI) per capita (</w:t>
      </w:r>
      <w:proofErr w:type="spellStart"/>
      <w:r w:rsidR="002002DB" w:rsidRPr="002002DB">
        <w:rPr>
          <w:rFonts w:ascii="Times New Roman" w:hAnsi="Times New Roman" w:cs="Times New Roman"/>
        </w:rPr>
        <w:t>GNIpc</w:t>
      </w:r>
      <w:proofErr w:type="spellEnd"/>
      <w:r w:rsidR="002002DB" w:rsidRPr="002002DB">
        <w:rPr>
          <w:rFonts w:ascii="Times New Roman" w:hAnsi="Times New Roman" w:cs="Times New Roman"/>
        </w:rPr>
        <w:t xml:space="preserve">), higher than acceptable levels recommended by the United Nations (UN) Broadband Commission. </w:t>
      </w:r>
      <w:r w:rsidR="002002DB" w:rsidRPr="002002DB">
        <w:rPr>
          <w:rStyle w:val="FootnoteReference"/>
          <w:rFonts w:ascii="Times New Roman" w:hAnsi="Times New Roman" w:cs="Times New Roman"/>
        </w:rPr>
        <w:footnoteReference w:id="12"/>
      </w:r>
      <w:r w:rsidR="002002DB" w:rsidRPr="002002DB">
        <w:rPr>
          <w:rFonts w:ascii="Times New Roman" w:hAnsi="Times New Roman" w:cs="Times New Roman"/>
        </w:rPr>
        <w:t xml:space="preserve"> Among peer countries, Mauritius leads the list by affordable pricing at just 0.8 percent of </w:t>
      </w:r>
      <w:proofErr w:type="spellStart"/>
      <w:r w:rsidR="002002DB" w:rsidRPr="002002DB">
        <w:rPr>
          <w:rFonts w:ascii="Times New Roman" w:hAnsi="Times New Roman" w:cs="Times New Roman"/>
        </w:rPr>
        <w:t>GNI</w:t>
      </w:r>
      <w:r w:rsidR="00387730">
        <w:rPr>
          <w:rFonts w:ascii="Times New Roman" w:hAnsi="Times New Roman" w:cs="Times New Roman"/>
        </w:rPr>
        <w:t>pc</w:t>
      </w:r>
      <w:proofErr w:type="spellEnd"/>
      <w:r w:rsidR="00BB38B9">
        <w:rPr>
          <w:rFonts w:ascii="Times New Roman" w:hAnsi="Times New Roman" w:cs="Times New Roman"/>
        </w:rPr>
        <w:t xml:space="preserve"> </w:t>
      </w:r>
      <w:r w:rsidR="002002DB" w:rsidRPr="002002DB">
        <w:rPr>
          <w:rFonts w:ascii="Times New Roman" w:hAnsi="Times New Roman" w:cs="Times New Roman"/>
        </w:rPr>
        <w:t xml:space="preserve">for mobile and 1.4 percent of </w:t>
      </w:r>
      <w:proofErr w:type="spellStart"/>
      <w:r w:rsidR="002002DB" w:rsidRPr="002002DB">
        <w:rPr>
          <w:rFonts w:ascii="Times New Roman" w:hAnsi="Times New Roman" w:cs="Times New Roman"/>
        </w:rPr>
        <w:t>GNIpc</w:t>
      </w:r>
      <w:proofErr w:type="spellEnd"/>
      <w:r w:rsidR="002002DB" w:rsidRPr="002002DB">
        <w:rPr>
          <w:rFonts w:ascii="Times New Roman" w:hAnsi="Times New Roman" w:cs="Times New Roman"/>
        </w:rPr>
        <w:t xml:space="preserve"> for fixed broadband connectivity (Figure </w:t>
      </w:r>
      <w:r w:rsidR="00E44E96">
        <w:rPr>
          <w:rFonts w:ascii="Times New Roman" w:hAnsi="Times New Roman" w:cs="Times New Roman"/>
        </w:rPr>
        <w:t>2</w:t>
      </w:r>
      <w:r w:rsidR="0033418B">
        <w:rPr>
          <w:rFonts w:ascii="Times New Roman" w:hAnsi="Times New Roman" w:cs="Times New Roman"/>
        </w:rPr>
        <w:t>1</w:t>
      </w:r>
      <w:r w:rsidR="002002DB" w:rsidRPr="002002DB">
        <w:rPr>
          <w:rFonts w:ascii="Times New Roman" w:hAnsi="Times New Roman" w:cs="Times New Roman"/>
        </w:rPr>
        <w:t xml:space="preserve">). Seychelles, Bhutan, and Saint Kitts and Nevis are also comparably reasonable priced economies. However, the levels of internet prices reach as high as 18.8 percent of </w:t>
      </w:r>
      <w:proofErr w:type="spellStart"/>
      <w:r w:rsidR="002002DB" w:rsidRPr="002002DB">
        <w:rPr>
          <w:rFonts w:ascii="Times New Roman" w:hAnsi="Times New Roman" w:cs="Times New Roman"/>
        </w:rPr>
        <w:t>GNIpc</w:t>
      </w:r>
      <w:proofErr w:type="spellEnd"/>
      <w:r w:rsidR="002002DB" w:rsidRPr="002002DB">
        <w:rPr>
          <w:rFonts w:ascii="Times New Roman" w:hAnsi="Times New Roman" w:cs="Times New Roman"/>
        </w:rPr>
        <w:t xml:space="preserve"> for fixed broadband in Senegal</w:t>
      </w:r>
      <w:r w:rsidR="00800404">
        <w:rPr>
          <w:rFonts w:ascii="Times New Roman" w:hAnsi="Times New Roman" w:cs="Times New Roman"/>
        </w:rPr>
        <w:t>;</w:t>
      </w:r>
      <w:r w:rsidR="002002DB" w:rsidRPr="002002DB">
        <w:rPr>
          <w:rFonts w:ascii="Times New Roman" w:hAnsi="Times New Roman" w:cs="Times New Roman"/>
        </w:rPr>
        <w:t xml:space="preserve"> 8.4 percent of </w:t>
      </w:r>
      <w:proofErr w:type="spellStart"/>
      <w:r w:rsidR="002002DB" w:rsidRPr="002002DB">
        <w:rPr>
          <w:rFonts w:ascii="Times New Roman" w:hAnsi="Times New Roman" w:cs="Times New Roman"/>
        </w:rPr>
        <w:t>GNIpc</w:t>
      </w:r>
      <w:proofErr w:type="spellEnd"/>
      <w:r w:rsidR="002002DB" w:rsidRPr="002002DB">
        <w:rPr>
          <w:rFonts w:ascii="Times New Roman" w:hAnsi="Times New Roman" w:cs="Times New Roman"/>
        </w:rPr>
        <w:t xml:space="preserve"> for mobile broadband in Ghana (Figure </w:t>
      </w:r>
      <w:r w:rsidR="0033418B">
        <w:rPr>
          <w:rFonts w:ascii="Times New Roman" w:hAnsi="Times New Roman" w:cs="Times New Roman"/>
        </w:rPr>
        <w:t>2</w:t>
      </w:r>
      <w:r w:rsidR="008510F2">
        <w:rPr>
          <w:rFonts w:ascii="Times New Roman" w:hAnsi="Times New Roman" w:cs="Times New Roman"/>
        </w:rPr>
        <w:t>2</w:t>
      </w:r>
      <w:r w:rsidR="002002DB" w:rsidRPr="002002DB">
        <w:rPr>
          <w:rFonts w:ascii="Times New Roman" w:hAnsi="Times New Roman" w:cs="Times New Roman"/>
        </w:rPr>
        <w:t>).</w:t>
      </w:r>
    </w:p>
    <w:p w14:paraId="752D955E" w14:textId="277011C0" w:rsidR="00461D0B" w:rsidRPr="00562F7E" w:rsidRDefault="00075087" w:rsidP="00562F7E">
      <w:pPr>
        <w:tabs>
          <w:tab w:val="left" w:pos="2150"/>
        </w:tabs>
        <w:jc w:val="both"/>
        <w:rPr>
          <w:rFonts w:ascii="Times New Roman" w:hAnsi="Times New Roman" w:cs="Times New Roman"/>
        </w:rPr>
      </w:pPr>
      <w:r>
        <w:rPr>
          <w:rFonts w:ascii="Times New Roman" w:hAnsi="Times New Roman" w:cs="Times New Roman"/>
          <w:b/>
          <w:bCs/>
        </w:rPr>
        <w:t>37</w:t>
      </w:r>
      <w:r w:rsidR="002D7BA9">
        <w:rPr>
          <w:rFonts w:ascii="Times New Roman" w:hAnsi="Times New Roman" w:cs="Times New Roman"/>
          <w:b/>
          <w:bCs/>
        </w:rPr>
        <w:t xml:space="preserve">. </w:t>
      </w:r>
      <w:r w:rsidR="002002DB" w:rsidRPr="002002DB">
        <w:rPr>
          <w:rFonts w:ascii="Times New Roman" w:hAnsi="Times New Roman" w:cs="Times New Roman"/>
          <w:b/>
          <w:bCs/>
        </w:rPr>
        <w:t xml:space="preserve">Recent pro-competitive reforms in the sectors, supported by the World bank, </w:t>
      </w:r>
      <w:r w:rsidR="00311BE8">
        <w:rPr>
          <w:rFonts w:ascii="Times New Roman" w:hAnsi="Times New Roman" w:cs="Times New Roman"/>
          <w:b/>
          <w:bCs/>
        </w:rPr>
        <w:t xml:space="preserve">improved wholesale </w:t>
      </w:r>
      <w:r w:rsidR="002002DB" w:rsidRPr="002002DB">
        <w:rPr>
          <w:rFonts w:ascii="Times New Roman" w:hAnsi="Times New Roman" w:cs="Times New Roman"/>
          <w:b/>
          <w:bCs/>
        </w:rPr>
        <w:t xml:space="preserve">internet </w:t>
      </w:r>
      <w:r w:rsidR="0026124A">
        <w:rPr>
          <w:rFonts w:ascii="Times New Roman" w:hAnsi="Times New Roman" w:cs="Times New Roman"/>
          <w:b/>
          <w:bCs/>
        </w:rPr>
        <w:t xml:space="preserve">prices, </w:t>
      </w:r>
      <w:r w:rsidR="00EB4051">
        <w:rPr>
          <w:rFonts w:ascii="Times New Roman" w:hAnsi="Times New Roman" w:cs="Times New Roman"/>
          <w:b/>
          <w:bCs/>
        </w:rPr>
        <w:t xml:space="preserve">but are </w:t>
      </w:r>
      <w:r w:rsidR="0026124A">
        <w:rPr>
          <w:rFonts w:ascii="Times New Roman" w:hAnsi="Times New Roman" w:cs="Times New Roman"/>
          <w:b/>
          <w:bCs/>
        </w:rPr>
        <w:t>yet to translate into affordable services for end consumers</w:t>
      </w:r>
      <w:r w:rsidR="002002DB" w:rsidRPr="002002DB">
        <w:rPr>
          <w:rFonts w:ascii="Times New Roman" w:hAnsi="Times New Roman" w:cs="Times New Roman"/>
          <w:b/>
          <w:bCs/>
        </w:rPr>
        <w:t>.</w:t>
      </w:r>
      <w:r w:rsidR="002002DB" w:rsidRPr="002002DB">
        <w:rPr>
          <w:rFonts w:ascii="Times New Roman" w:hAnsi="Times New Roman" w:cs="Times New Roman"/>
        </w:rPr>
        <w:t xml:space="preserve"> The Government of Cabo Verde adopted a decree implementing regional ECOWAS directives (C-REG-06-06-12) and stipulated conditions for accessing landing stations for international submarine fiber optic cables. The adoption of new regulations by the regulator ARME (</w:t>
      </w:r>
      <w:proofErr w:type="spellStart"/>
      <w:r w:rsidR="002002DB" w:rsidRPr="002002DB">
        <w:rPr>
          <w:rFonts w:ascii="Times New Roman" w:hAnsi="Times New Roman" w:cs="Times New Roman"/>
        </w:rPr>
        <w:t>Agência</w:t>
      </w:r>
      <w:proofErr w:type="spellEnd"/>
      <w:r w:rsidR="002002DB" w:rsidRPr="002002DB">
        <w:rPr>
          <w:rFonts w:ascii="Times New Roman" w:hAnsi="Times New Roman" w:cs="Times New Roman"/>
        </w:rPr>
        <w:t xml:space="preserve"> de </w:t>
      </w:r>
      <w:proofErr w:type="spellStart"/>
      <w:r w:rsidR="002002DB" w:rsidRPr="002002DB">
        <w:rPr>
          <w:rFonts w:ascii="Times New Roman" w:hAnsi="Times New Roman" w:cs="Times New Roman"/>
        </w:rPr>
        <w:t>Regulação</w:t>
      </w:r>
      <w:proofErr w:type="spellEnd"/>
      <w:r w:rsidR="002002DB" w:rsidRPr="002002DB">
        <w:rPr>
          <w:rFonts w:ascii="Times New Roman" w:hAnsi="Times New Roman" w:cs="Times New Roman"/>
        </w:rPr>
        <w:t xml:space="preserve"> </w:t>
      </w:r>
      <w:proofErr w:type="spellStart"/>
      <w:r w:rsidR="002002DB" w:rsidRPr="002002DB">
        <w:rPr>
          <w:rFonts w:ascii="Times New Roman" w:hAnsi="Times New Roman" w:cs="Times New Roman"/>
        </w:rPr>
        <w:t>Multissectorial</w:t>
      </w:r>
      <w:proofErr w:type="spellEnd"/>
      <w:r w:rsidR="002002DB" w:rsidRPr="002002DB">
        <w:rPr>
          <w:rFonts w:ascii="Times New Roman" w:hAnsi="Times New Roman" w:cs="Times New Roman"/>
        </w:rPr>
        <w:t xml:space="preserve"> da Economia) resulted</w:t>
      </w:r>
      <w:r w:rsidR="002002DB" w:rsidRPr="00241EA9">
        <w:rPr>
          <w:rFonts w:ascii="Arial" w:hAnsi="Arial" w:cs="Arial"/>
        </w:rPr>
        <w:t xml:space="preserve"> </w:t>
      </w:r>
      <w:r w:rsidR="002002DB" w:rsidRPr="002002DB">
        <w:rPr>
          <w:rFonts w:ascii="Times New Roman" w:hAnsi="Times New Roman" w:cs="Times New Roman"/>
        </w:rPr>
        <w:t>in remarkable effects on the prices of the international connection lines (including Internet)</w:t>
      </w:r>
      <w:r w:rsidR="0034505A">
        <w:rPr>
          <w:rFonts w:ascii="Times New Roman" w:hAnsi="Times New Roman" w:cs="Times New Roman"/>
        </w:rPr>
        <w:t xml:space="preserve">, which </w:t>
      </w:r>
      <w:r w:rsidR="002002DB" w:rsidRPr="002002DB">
        <w:rPr>
          <w:rFonts w:ascii="Times New Roman" w:hAnsi="Times New Roman" w:cs="Times New Roman"/>
        </w:rPr>
        <w:t>were initially 3,500 CVE/Mb</w:t>
      </w:r>
      <w:r w:rsidR="0034505A">
        <w:rPr>
          <w:rFonts w:ascii="Times New Roman" w:hAnsi="Times New Roman" w:cs="Times New Roman"/>
        </w:rPr>
        <w:t xml:space="preserve">. </w:t>
      </w:r>
      <w:r w:rsidR="0034505A">
        <w:rPr>
          <w:rStyle w:val="FootnoteReference"/>
          <w:rFonts w:ascii="Times New Roman" w:hAnsi="Times New Roman" w:cs="Times New Roman"/>
        </w:rPr>
        <w:footnoteReference w:id="13"/>
      </w:r>
      <w:r w:rsidR="0034505A">
        <w:rPr>
          <w:rFonts w:ascii="Times New Roman" w:hAnsi="Times New Roman" w:cs="Times New Roman"/>
        </w:rPr>
        <w:t xml:space="preserve">These prices </w:t>
      </w:r>
      <w:r w:rsidR="00562F7E" w:rsidRPr="00562F7E">
        <w:rPr>
          <w:rFonts w:ascii="Times New Roman" w:hAnsi="Times New Roman" w:cs="Times New Roman"/>
        </w:rPr>
        <w:t xml:space="preserve">were then reduced to 1,596 CVE/Mb, then reduced again down to 413 CVE/Mb and co-installation was permitted. </w:t>
      </w:r>
      <w:r w:rsidR="00562F7E" w:rsidRPr="00562F7E">
        <w:rPr>
          <w:rStyle w:val="FootnoteReference"/>
          <w:rFonts w:ascii="Times New Roman" w:hAnsi="Times New Roman" w:cs="Times New Roman"/>
        </w:rPr>
        <w:footnoteReference w:id="14"/>
      </w:r>
    </w:p>
    <w:p w14:paraId="388B0CBC" w14:textId="07CE60E5" w:rsidR="00BD6AA7" w:rsidRDefault="00075087" w:rsidP="00BD6AA7">
      <w:pPr>
        <w:tabs>
          <w:tab w:val="left" w:pos="2150"/>
        </w:tabs>
        <w:jc w:val="both"/>
        <w:rPr>
          <w:rFonts w:ascii="Times New Roman" w:hAnsi="Times New Roman" w:cs="Times New Roman"/>
        </w:rPr>
      </w:pPr>
      <w:r>
        <w:rPr>
          <w:rFonts w:ascii="Times New Roman" w:hAnsi="Times New Roman" w:cs="Times New Roman"/>
          <w:b/>
          <w:bCs/>
        </w:rPr>
        <w:t>38</w:t>
      </w:r>
      <w:r w:rsidR="002D7BA9">
        <w:rPr>
          <w:rFonts w:ascii="Times New Roman" w:hAnsi="Times New Roman" w:cs="Times New Roman"/>
          <w:b/>
          <w:bCs/>
        </w:rPr>
        <w:t xml:space="preserve">. </w:t>
      </w:r>
      <w:r w:rsidR="00BD6AA7" w:rsidRPr="001F7D97">
        <w:rPr>
          <w:rFonts w:ascii="Times New Roman" w:hAnsi="Times New Roman" w:cs="Times New Roman"/>
          <w:b/>
          <w:bCs/>
        </w:rPr>
        <w:t xml:space="preserve">In terms of download speeds, the quality of the connection in Cabo Verde is also comparatively </w:t>
      </w:r>
      <w:r w:rsidR="0069519A">
        <w:rPr>
          <w:rFonts w:ascii="Times New Roman" w:hAnsi="Times New Roman" w:cs="Times New Roman"/>
          <w:b/>
          <w:bCs/>
        </w:rPr>
        <w:t>low</w:t>
      </w:r>
      <w:r w:rsidR="00BD6AA7" w:rsidRPr="001F7D97">
        <w:rPr>
          <w:rFonts w:ascii="Times New Roman" w:hAnsi="Times New Roman" w:cs="Times New Roman"/>
          <w:b/>
          <w:bCs/>
        </w:rPr>
        <w:t>.</w:t>
      </w:r>
      <w:r w:rsidR="00BD6AA7" w:rsidRPr="001F7D97">
        <w:rPr>
          <w:rFonts w:ascii="Times New Roman" w:hAnsi="Times New Roman" w:cs="Times New Roman"/>
        </w:rPr>
        <w:t xml:space="preserve"> With 13.3 Mbps mobile broadband download speed for a price equivalent to 3.16 percent of GNI per capita and 16.3 Mbps fixed broadband speed for 2.59 percent of GNI per capita, Cabo Verdeans also raise concerns about the price/quality ratio. This indicates that consumers in Cabo Verde are receiving comparatively low value for money, especially for mobile internet services. For example, higher mobile broadband download speeds are available at considerably lower prices in Bhutan (35 Mbps for 1.13 percent of </w:t>
      </w:r>
      <w:proofErr w:type="spellStart"/>
      <w:r w:rsidR="00BD6AA7" w:rsidRPr="001F7D97">
        <w:rPr>
          <w:rFonts w:ascii="Times New Roman" w:hAnsi="Times New Roman" w:cs="Times New Roman"/>
        </w:rPr>
        <w:t>GNIpc</w:t>
      </w:r>
      <w:proofErr w:type="spellEnd"/>
      <w:r w:rsidR="00BD6AA7" w:rsidRPr="001F7D97">
        <w:rPr>
          <w:rFonts w:ascii="Times New Roman" w:hAnsi="Times New Roman" w:cs="Times New Roman"/>
        </w:rPr>
        <w:t xml:space="preserve">), Mauritius (30 Mbps for 0.72 percent of </w:t>
      </w:r>
      <w:proofErr w:type="spellStart"/>
      <w:r w:rsidR="00BD6AA7" w:rsidRPr="001F7D97">
        <w:rPr>
          <w:rFonts w:ascii="Times New Roman" w:hAnsi="Times New Roman" w:cs="Times New Roman"/>
        </w:rPr>
        <w:t>GNIpc</w:t>
      </w:r>
      <w:proofErr w:type="spellEnd"/>
      <w:r w:rsidR="00BD6AA7" w:rsidRPr="001F7D97">
        <w:rPr>
          <w:rFonts w:ascii="Times New Roman" w:hAnsi="Times New Roman" w:cs="Times New Roman"/>
        </w:rPr>
        <w:t xml:space="preserve">), Saint Lucia (27 Mbps for 2.82 percent of </w:t>
      </w:r>
      <w:proofErr w:type="spellStart"/>
      <w:r w:rsidR="00BD6AA7" w:rsidRPr="001F7D97">
        <w:rPr>
          <w:rFonts w:ascii="Times New Roman" w:hAnsi="Times New Roman" w:cs="Times New Roman"/>
        </w:rPr>
        <w:t>GNIpc</w:t>
      </w:r>
      <w:proofErr w:type="spellEnd"/>
      <w:r w:rsidR="00BD6AA7" w:rsidRPr="001F7D97">
        <w:rPr>
          <w:rFonts w:ascii="Times New Roman" w:hAnsi="Times New Roman" w:cs="Times New Roman"/>
        </w:rPr>
        <w:t xml:space="preserve">) and Senegal (20 Mbps for 3.06 percent of </w:t>
      </w:r>
      <w:proofErr w:type="spellStart"/>
      <w:r w:rsidR="00BD6AA7" w:rsidRPr="001F7D97">
        <w:rPr>
          <w:rFonts w:ascii="Times New Roman" w:hAnsi="Times New Roman" w:cs="Times New Roman"/>
        </w:rPr>
        <w:t>GNIpc</w:t>
      </w:r>
      <w:proofErr w:type="spellEnd"/>
      <w:r w:rsidR="00BD6AA7" w:rsidRPr="001F7D97">
        <w:rPr>
          <w:rFonts w:ascii="Times New Roman" w:hAnsi="Times New Roman" w:cs="Times New Roman"/>
        </w:rPr>
        <w:t>).</w:t>
      </w:r>
    </w:p>
    <w:p w14:paraId="7D86D31B" w14:textId="0820834F" w:rsidR="00461D0B" w:rsidRDefault="00461D0B" w:rsidP="00BD6AA7">
      <w:pPr>
        <w:tabs>
          <w:tab w:val="left" w:pos="2150"/>
        </w:tabs>
        <w:jc w:val="both"/>
        <w:rPr>
          <w:rFonts w:ascii="Times New Roman" w:hAnsi="Times New Roman" w:cs="Times New Roman"/>
        </w:rPr>
      </w:pPr>
    </w:p>
    <w:p w14:paraId="625A340E" w14:textId="3A870023" w:rsidR="00461D0B" w:rsidRDefault="00461D0B" w:rsidP="00BD6AA7">
      <w:pPr>
        <w:tabs>
          <w:tab w:val="left" w:pos="2150"/>
        </w:tabs>
        <w:jc w:val="both"/>
        <w:rPr>
          <w:rFonts w:ascii="Times New Roman" w:hAnsi="Times New Roman" w:cs="Times New Roman"/>
        </w:rPr>
      </w:pPr>
    </w:p>
    <w:p w14:paraId="681D1362" w14:textId="0B736217" w:rsidR="00461D0B" w:rsidRDefault="00461D0B" w:rsidP="00BD6AA7">
      <w:pPr>
        <w:tabs>
          <w:tab w:val="left" w:pos="2150"/>
        </w:tabs>
        <w:jc w:val="both"/>
        <w:rPr>
          <w:rFonts w:ascii="Times New Roman" w:hAnsi="Times New Roman" w:cs="Times New Roman"/>
        </w:rPr>
      </w:pPr>
    </w:p>
    <w:p w14:paraId="6486B929" w14:textId="3F530A0E" w:rsidR="00461D0B" w:rsidRDefault="00461D0B" w:rsidP="00BD6AA7">
      <w:pPr>
        <w:tabs>
          <w:tab w:val="left" w:pos="2150"/>
        </w:tabs>
        <w:jc w:val="both"/>
        <w:rPr>
          <w:rFonts w:ascii="Times New Roman" w:hAnsi="Times New Roman" w:cs="Times New Roman"/>
        </w:rPr>
      </w:pPr>
    </w:p>
    <w:p w14:paraId="6FB59A78" w14:textId="4B47F3BC" w:rsidR="00461D0B" w:rsidRDefault="00461D0B" w:rsidP="00BD6AA7">
      <w:pPr>
        <w:tabs>
          <w:tab w:val="left" w:pos="2150"/>
        </w:tabs>
        <w:jc w:val="both"/>
        <w:rPr>
          <w:rFonts w:ascii="Times New Roman" w:hAnsi="Times New Roman" w:cs="Times New Roman"/>
        </w:rPr>
      </w:pPr>
    </w:p>
    <w:p w14:paraId="225E445F" w14:textId="3AC17B6C" w:rsidR="00461D0B" w:rsidRDefault="00461D0B" w:rsidP="00BD6AA7">
      <w:pPr>
        <w:tabs>
          <w:tab w:val="left" w:pos="2150"/>
        </w:tabs>
        <w:jc w:val="both"/>
        <w:rPr>
          <w:rFonts w:ascii="Times New Roman" w:hAnsi="Times New Roman" w:cs="Times New Roman"/>
        </w:rPr>
      </w:pPr>
    </w:p>
    <w:p w14:paraId="486132CA" w14:textId="7BE3D973" w:rsidR="002339F1" w:rsidRDefault="002339F1" w:rsidP="00B87C41">
      <w:pPr>
        <w:pStyle w:val="Caption"/>
        <w:keepNext/>
      </w:pPr>
    </w:p>
    <w:tbl>
      <w:tblPr>
        <w:tblStyle w:val="TableGrid"/>
        <w:tblW w:w="0" w:type="auto"/>
        <w:tblLook w:val="04A0" w:firstRow="1" w:lastRow="0" w:firstColumn="1" w:lastColumn="0" w:noHBand="0" w:noVBand="1"/>
      </w:tblPr>
      <w:tblGrid>
        <w:gridCol w:w="4754"/>
        <w:gridCol w:w="4596"/>
      </w:tblGrid>
      <w:tr w:rsidR="00336D93" w14:paraId="1A544E0A" w14:textId="77777777" w:rsidTr="00B87C41">
        <w:tc>
          <w:tcPr>
            <w:tcW w:w="4754" w:type="dxa"/>
          </w:tcPr>
          <w:p w14:paraId="0B658C8C" w14:textId="04405045" w:rsidR="002339F1" w:rsidRPr="00B87C41" w:rsidRDefault="002339F1" w:rsidP="00B87C41">
            <w:pPr>
              <w:pStyle w:val="Caption"/>
              <w:keepNext/>
              <w:jc w:val="center"/>
              <w:rPr>
                <w:rFonts w:ascii="Times New Roman" w:hAnsi="Times New Roman" w:cs="Times New Roman"/>
                <w:b/>
                <w:bCs/>
                <w:i w:val="0"/>
                <w:iCs w:val="0"/>
                <w:color w:val="2F5496" w:themeColor="accent1" w:themeShade="BF"/>
                <w:sz w:val="20"/>
                <w:szCs w:val="20"/>
              </w:rPr>
            </w:pPr>
            <w:bookmarkStart w:id="89" w:name="_Toc103950895"/>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21</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Mobile Broadband Prices and Speeds</w:t>
            </w:r>
            <w:bookmarkEnd w:id="89"/>
          </w:p>
          <w:p w14:paraId="1C7211C9" w14:textId="77777777" w:rsidR="00D20C83" w:rsidRPr="008A15E7" w:rsidRDefault="00D20C83" w:rsidP="00D20C83">
            <w:pPr>
              <w:rPr>
                <w:rFonts w:ascii="Arial" w:hAnsi="Arial" w:cs="Arial"/>
                <w:i/>
                <w:iCs/>
                <w:sz w:val="16"/>
                <w:szCs w:val="16"/>
              </w:rPr>
            </w:pPr>
            <w:r w:rsidRPr="008A15E7">
              <w:rPr>
                <w:rFonts w:ascii="Arial" w:hAnsi="Arial" w:cs="Arial"/>
                <w:i/>
                <w:iCs/>
                <w:sz w:val="16"/>
                <w:szCs w:val="16"/>
              </w:rPr>
              <w:t xml:space="preserve">Primary axis: Mobile broadband download speed, </w:t>
            </w:r>
            <w:proofErr w:type="spellStart"/>
            <w:r w:rsidRPr="008A15E7">
              <w:rPr>
                <w:rFonts w:ascii="Arial" w:hAnsi="Arial" w:cs="Arial"/>
                <w:i/>
                <w:iCs/>
                <w:sz w:val="16"/>
                <w:szCs w:val="16"/>
              </w:rPr>
              <w:t>mbps</w:t>
            </w:r>
            <w:proofErr w:type="spellEnd"/>
            <w:r w:rsidRPr="008A15E7">
              <w:rPr>
                <w:rFonts w:ascii="Arial" w:hAnsi="Arial" w:cs="Arial"/>
                <w:i/>
                <w:iCs/>
                <w:sz w:val="16"/>
                <w:szCs w:val="16"/>
              </w:rPr>
              <w:t>, 2019</w:t>
            </w:r>
          </w:p>
          <w:p w14:paraId="5F20FF92" w14:textId="77777777" w:rsidR="00D20C83" w:rsidRDefault="00D20C83" w:rsidP="00D20C83">
            <w:pPr>
              <w:rPr>
                <w:rFonts w:ascii="Arial" w:hAnsi="Arial" w:cs="Arial"/>
                <w:sz w:val="18"/>
                <w:szCs w:val="18"/>
              </w:rPr>
            </w:pPr>
            <w:r w:rsidRPr="008A15E7">
              <w:rPr>
                <w:rFonts w:ascii="Arial" w:hAnsi="Arial" w:cs="Arial"/>
                <w:i/>
                <w:iCs/>
                <w:sz w:val="16"/>
                <w:szCs w:val="16"/>
              </w:rPr>
              <w:t>Secondary axis: Monthly subscription cost for data-only mobile broadband basket (1.5G), % of GNI per capita, 2019</w:t>
            </w:r>
            <w:r w:rsidRPr="00215670">
              <w:rPr>
                <w:rFonts w:ascii="Arial" w:hAnsi="Arial" w:cs="Arial"/>
                <w:sz w:val="18"/>
                <w:szCs w:val="18"/>
              </w:rPr>
              <w:t xml:space="preserve"> </w:t>
            </w:r>
          </w:p>
          <w:p w14:paraId="55ECFFAE" w14:textId="77777777" w:rsidR="00336D93" w:rsidRPr="00336D93" w:rsidRDefault="00336D93" w:rsidP="00CB7AB5">
            <w:pPr>
              <w:rPr>
                <w:rFonts w:ascii="Arial" w:hAnsi="Arial" w:cs="Arial"/>
                <w:sz w:val="18"/>
                <w:szCs w:val="18"/>
              </w:rPr>
            </w:pPr>
          </w:p>
        </w:tc>
        <w:tc>
          <w:tcPr>
            <w:tcW w:w="4596" w:type="dxa"/>
          </w:tcPr>
          <w:p w14:paraId="6E060FCC" w14:textId="127C1F6A" w:rsidR="002339F1" w:rsidRPr="00B87C41" w:rsidRDefault="002339F1" w:rsidP="00B87C41">
            <w:pPr>
              <w:pStyle w:val="Caption"/>
              <w:keepNext/>
              <w:jc w:val="center"/>
              <w:rPr>
                <w:rFonts w:ascii="Times New Roman" w:hAnsi="Times New Roman" w:cs="Times New Roman"/>
                <w:b/>
                <w:bCs/>
                <w:i w:val="0"/>
                <w:iCs w:val="0"/>
                <w:color w:val="2F5496" w:themeColor="accent1" w:themeShade="BF"/>
                <w:sz w:val="20"/>
                <w:szCs w:val="20"/>
              </w:rPr>
            </w:pPr>
            <w:bookmarkStart w:id="90" w:name="_Toc103950896"/>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22</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Fixed Broadband Prices and Speeds</w:t>
            </w:r>
            <w:bookmarkEnd w:id="90"/>
          </w:p>
          <w:p w14:paraId="5A44E45B" w14:textId="7DD57B71" w:rsidR="00D20C83" w:rsidRPr="00A87322" w:rsidRDefault="00D20C83" w:rsidP="00D20C83">
            <w:pPr>
              <w:rPr>
                <w:rFonts w:ascii="Arial" w:hAnsi="Arial" w:cs="Arial"/>
                <w:i/>
                <w:iCs/>
                <w:sz w:val="16"/>
                <w:szCs w:val="16"/>
              </w:rPr>
            </w:pPr>
            <w:r w:rsidRPr="00A87322">
              <w:rPr>
                <w:rFonts w:ascii="Arial" w:hAnsi="Arial" w:cs="Arial"/>
                <w:i/>
                <w:iCs/>
                <w:sz w:val="16"/>
                <w:szCs w:val="16"/>
              </w:rPr>
              <w:t xml:space="preserve">Primary axis: Fixed broadband download speed, </w:t>
            </w:r>
            <w:proofErr w:type="spellStart"/>
            <w:r w:rsidRPr="00A87322">
              <w:rPr>
                <w:rFonts w:ascii="Arial" w:hAnsi="Arial" w:cs="Arial"/>
                <w:i/>
                <w:iCs/>
                <w:sz w:val="16"/>
                <w:szCs w:val="16"/>
              </w:rPr>
              <w:t>mbps</w:t>
            </w:r>
            <w:proofErr w:type="spellEnd"/>
            <w:r w:rsidRPr="00A87322">
              <w:rPr>
                <w:rFonts w:ascii="Arial" w:hAnsi="Arial" w:cs="Arial"/>
                <w:i/>
                <w:iCs/>
                <w:sz w:val="16"/>
                <w:szCs w:val="16"/>
              </w:rPr>
              <w:t>, 2021</w:t>
            </w:r>
          </w:p>
          <w:p w14:paraId="1FF955B2" w14:textId="77777777" w:rsidR="00D20C83" w:rsidRDefault="00D20C83" w:rsidP="00D20C83">
            <w:pPr>
              <w:rPr>
                <w:noProof/>
              </w:rPr>
            </w:pPr>
            <w:r w:rsidRPr="00A87322">
              <w:rPr>
                <w:rFonts w:ascii="Arial" w:hAnsi="Arial" w:cs="Arial"/>
                <w:i/>
                <w:iCs/>
                <w:sz w:val="16"/>
                <w:szCs w:val="16"/>
              </w:rPr>
              <w:t>Secondary axis: Monthly subscription cost for fixed broadband basket (5G), % of GNI per capita, 2020</w:t>
            </w:r>
          </w:p>
          <w:p w14:paraId="0F4D0F65" w14:textId="77777777" w:rsidR="00336D93" w:rsidRDefault="00336D93" w:rsidP="00CB7AB5">
            <w:pPr>
              <w:jc w:val="center"/>
              <w:rPr>
                <w:rFonts w:ascii="Times New Roman" w:hAnsi="Times New Roman" w:cs="Times New Roman"/>
              </w:rPr>
            </w:pPr>
          </w:p>
        </w:tc>
      </w:tr>
      <w:tr w:rsidR="00336D93" w14:paraId="29131019" w14:textId="77777777" w:rsidTr="00B87C41">
        <w:tc>
          <w:tcPr>
            <w:tcW w:w="4754" w:type="dxa"/>
          </w:tcPr>
          <w:p w14:paraId="2F429FE3" w14:textId="77777777" w:rsidR="00336D93" w:rsidRDefault="00336D93" w:rsidP="00CB7AB5">
            <w:pPr>
              <w:keepNext/>
              <w:jc w:val="both"/>
            </w:pPr>
          </w:p>
          <w:p w14:paraId="2B5042BC" w14:textId="28E0D86A" w:rsidR="00336D93" w:rsidRPr="00A27DC3" w:rsidRDefault="00D20C83" w:rsidP="00A27DC3">
            <w:pPr>
              <w:pStyle w:val="Caption"/>
              <w:rPr>
                <w:rFonts w:ascii="Times New Roman" w:hAnsi="Times New Roman" w:cs="Times New Roman"/>
                <w:iCs w:val="0"/>
              </w:rPr>
            </w:pPr>
            <w:r w:rsidRPr="00CE2495">
              <w:rPr>
                <w:noProof/>
              </w:rPr>
              <w:drawing>
                <wp:inline distT="0" distB="0" distL="0" distR="0" wp14:anchorId="3FF5A2CB" wp14:editId="4865E18A">
                  <wp:extent cx="2835275" cy="174625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7382" cy="1747548"/>
                          </a:xfrm>
                          <a:prstGeom prst="rect">
                            <a:avLst/>
                          </a:prstGeom>
                          <a:noFill/>
                          <a:ln>
                            <a:noFill/>
                          </a:ln>
                        </pic:spPr>
                      </pic:pic>
                    </a:graphicData>
                  </a:graphic>
                </wp:inline>
              </w:drawing>
            </w:r>
            <w:r w:rsidRPr="00A27DC3">
              <w:rPr>
                <w:rFonts w:ascii="Times New Roman" w:hAnsi="Times New Roman" w:cs="Times New Roman"/>
                <w:i w:val="0"/>
                <w:color w:val="auto"/>
              </w:rPr>
              <w:t>Sources: GSMA Mobile Connectivity</w:t>
            </w:r>
            <w:r w:rsidR="00647001">
              <w:rPr>
                <w:rFonts w:ascii="Times New Roman" w:hAnsi="Times New Roman" w:cs="Times New Roman"/>
                <w:i w:val="0"/>
                <w:color w:val="auto"/>
              </w:rPr>
              <w:t xml:space="preserve"> Index</w:t>
            </w:r>
            <w:r w:rsidRPr="00A27DC3">
              <w:rPr>
                <w:rFonts w:ascii="Times New Roman" w:hAnsi="Times New Roman" w:cs="Times New Roman"/>
                <w:i w:val="0"/>
                <w:color w:val="auto"/>
              </w:rPr>
              <w:t>; ITU, ICT Price Baskets</w:t>
            </w:r>
          </w:p>
        </w:tc>
        <w:tc>
          <w:tcPr>
            <w:tcW w:w="4596" w:type="dxa"/>
          </w:tcPr>
          <w:p w14:paraId="411CE78F" w14:textId="77777777" w:rsidR="00336D93" w:rsidRDefault="00336D93" w:rsidP="00CB7AB5">
            <w:pPr>
              <w:keepNext/>
              <w:jc w:val="both"/>
            </w:pPr>
          </w:p>
          <w:p w14:paraId="1EA94D5A" w14:textId="0E56DADB" w:rsidR="00D20C83" w:rsidRPr="00A27DC3" w:rsidRDefault="00D20C83" w:rsidP="00A27DC3">
            <w:pPr>
              <w:pStyle w:val="Caption"/>
              <w:rPr>
                <w:rFonts w:ascii="Times New Roman" w:hAnsi="Times New Roman" w:cs="Times New Roman"/>
                <w:i w:val="0"/>
                <w:iCs w:val="0"/>
                <w:color w:val="auto"/>
              </w:rPr>
            </w:pPr>
            <w:r w:rsidRPr="00956C2E">
              <w:rPr>
                <w:noProof/>
              </w:rPr>
              <w:drawing>
                <wp:inline distT="0" distB="0" distL="0" distR="0" wp14:anchorId="4CB1C8F3" wp14:editId="5B7702D1">
                  <wp:extent cx="2781300" cy="17541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87913" cy="1758366"/>
                          </a:xfrm>
                          <a:prstGeom prst="rect">
                            <a:avLst/>
                          </a:prstGeom>
                          <a:noFill/>
                          <a:ln>
                            <a:noFill/>
                          </a:ln>
                        </pic:spPr>
                      </pic:pic>
                    </a:graphicData>
                  </a:graphic>
                </wp:inline>
              </w:drawing>
            </w:r>
            <w:r w:rsidRPr="00A27DC3">
              <w:rPr>
                <w:rFonts w:ascii="Times New Roman" w:hAnsi="Times New Roman" w:cs="Times New Roman"/>
                <w:i w:val="0"/>
                <w:iCs w:val="0"/>
                <w:color w:val="auto"/>
              </w:rPr>
              <w:t xml:space="preserve">Sources: </w:t>
            </w:r>
            <w:proofErr w:type="spellStart"/>
            <w:r w:rsidRPr="00A27DC3">
              <w:rPr>
                <w:rFonts w:ascii="Times New Roman" w:hAnsi="Times New Roman" w:cs="Times New Roman"/>
                <w:i w:val="0"/>
                <w:iCs w:val="0"/>
                <w:color w:val="auto"/>
              </w:rPr>
              <w:t>Ookla</w:t>
            </w:r>
            <w:proofErr w:type="spellEnd"/>
            <w:r w:rsidR="00334D27">
              <w:rPr>
                <w:rFonts w:ascii="Times New Roman" w:hAnsi="Times New Roman" w:cs="Times New Roman"/>
                <w:i w:val="0"/>
                <w:iCs w:val="0"/>
                <w:color w:val="auto"/>
              </w:rPr>
              <w:t>;</w:t>
            </w:r>
            <w:r w:rsidRPr="00A27DC3">
              <w:rPr>
                <w:rFonts w:ascii="Times New Roman" w:hAnsi="Times New Roman" w:cs="Times New Roman"/>
                <w:i w:val="0"/>
                <w:iCs w:val="0"/>
                <w:color w:val="auto"/>
              </w:rPr>
              <w:t xml:space="preserve"> ITU, ICT Price Baskets</w:t>
            </w:r>
          </w:p>
          <w:p w14:paraId="53DB8F3E" w14:textId="77777777" w:rsidR="00336D93" w:rsidRPr="00336D93" w:rsidRDefault="00336D93" w:rsidP="00CB7AB5"/>
        </w:tc>
      </w:tr>
    </w:tbl>
    <w:p w14:paraId="5BBA900C" w14:textId="77777777" w:rsidR="00461D0B" w:rsidRPr="001F7D97" w:rsidRDefault="00461D0B" w:rsidP="00BD6AA7">
      <w:pPr>
        <w:tabs>
          <w:tab w:val="left" w:pos="2150"/>
        </w:tabs>
        <w:jc w:val="both"/>
        <w:rPr>
          <w:rFonts w:ascii="Times New Roman" w:hAnsi="Times New Roman" w:cs="Times New Roman"/>
        </w:rPr>
      </w:pPr>
    </w:p>
    <w:p w14:paraId="7DA7C0F3" w14:textId="1520B5C2" w:rsidR="001F7D97" w:rsidRPr="001F7D97" w:rsidRDefault="00075087" w:rsidP="001F7D97">
      <w:pPr>
        <w:tabs>
          <w:tab w:val="left" w:pos="2150"/>
        </w:tabs>
        <w:jc w:val="both"/>
        <w:rPr>
          <w:rFonts w:ascii="Times New Roman" w:hAnsi="Times New Roman" w:cs="Times New Roman"/>
          <w:b/>
          <w:bCs/>
        </w:rPr>
      </w:pPr>
      <w:r>
        <w:rPr>
          <w:rFonts w:ascii="Times New Roman" w:hAnsi="Times New Roman" w:cs="Times New Roman"/>
          <w:b/>
          <w:bCs/>
        </w:rPr>
        <w:t>39</w:t>
      </w:r>
      <w:r w:rsidR="002D7BA9">
        <w:rPr>
          <w:rFonts w:ascii="Times New Roman" w:hAnsi="Times New Roman" w:cs="Times New Roman"/>
          <w:b/>
          <w:bCs/>
        </w:rPr>
        <w:t xml:space="preserve">. </w:t>
      </w:r>
      <w:r w:rsidR="001F7D97" w:rsidRPr="001F7D97">
        <w:rPr>
          <w:rFonts w:ascii="Times New Roman" w:hAnsi="Times New Roman" w:cs="Times New Roman"/>
          <w:b/>
          <w:bCs/>
        </w:rPr>
        <w:t xml:space="preserve">Despite significant advancements, the mobile broadband market structure </w:t>
      </w:r>
      <w:r w:rsidR="0041038A">
        <w:rPr>
          <w:rFonts w:ascii="Times New Roman" w:hAnsi="Times New Roman" w:cs="Times New Roman"/>
          <w:b/>
          <w:bCs/>
        </w:rPr>
        <w:t xml:space="preserve">is </w:t>
      </w:r>
      <w:r w:rsidR="001F7D97" w:rsidRPr="001F7D97">
        <w:rPr>
          <w:rFonts w:ascii="Times New Roman" w:hAnsi="Times New Roman" w:cs="Times New Roman"/>
          <w:b/>
          <w:bCs/>
        </w:rPr>
        <w:t xml:space="preserve">relatively disadvantaged. </w:t>
      </w:r>
      <w:r w:rsidR="001F7D97" w:rsidRPr="001F7D97">
        <w:rPr>
          <w:rFonts w:ascii="Times New Roman" w:hAnsi="Times New Roman" w:cs="Times New Roman"/>
        </w:rPr>
        <w:t xml:space="preserve">With the liberalization of the market and the subsequent emergence of competition, mobile network coverage grew significantly, resulting in an accelerated growth of the consumer base. The country currently stands at 43.5 percent penetration of unique mobile internet subscriptions, 75.8 percent mobile phone ownership, and 48.5 percent mobile social media penetration. However, the structure of the market by connections is not advanced. Cabo Verde was one of the latest countries in the region and peers to launch 4G services. After the regulatory framework for LTE/4G was introduced in 2019, the 4G market connections grew to 65,400 in 2021. </w:t>
      </w:r>
    </w:p>
    <w:p w14:paraId="58EC0CD6" w14:textId="22E9A094" w:rsidR="00A479ED" w:rsidRDefault="002D7BA9" w:rsidP="007223CF">
      <w:pPr>
        <w:tabs>
          <w:tab w:val="left" w:pos="2150"/>
        </w:tabs>
        <w:jc w:val="both"/>
        <w:rPr>
          <w:rFonts w:ascii="Times New Roman" w:hAnsi="Times New Roman" w:cs="Times New Roman"/>
        </w:rPr>
      </w:pPr>
      <w:r>
        <w:rPr>
          <w:rFonts w:ascii="Times New Roman" w:hAnsi="Times New Roman" w:cs="Times New Roman"/>
          <w:b/>
          <w:bCs/>
        </w:rPr>
        <w:t>4</w:t>
      </w:r>
      <w:r w:rsidR="00075087">
        <w:rPr>
          <w:rFonts w:ascii="Times New Roman" w:hAnsi="Times New Roman" w:cs="Times New Roman"/>
          <w:b/>
          <w:bCs/>
        </w:rPr>
        <w:t>0</w:t>
      </w:r>
      <w:r>
        <w:rPr>
          <w:rFonts w:ascii="Times New Roman" w:hAnsi="Times New Roman" w:cs="Times New Roman"/>
          <w:b/>
          <w:bCs/>
        </w:rPr>
        <w:t xml:space="preserve">. </w:t>
      </w:r>
      <w:r w:rsidR="001F7D97" w:rsidRPr="001F7D97">
        <w:rPr>
          <w:rFonts w:ascii="Times New Roman" w:hAnsi="Times New Roman" w:cs="Times New Roman"/>
          <w:b/>
          <w:bCs/>
        </w:rPr>
        <w:t>Almost 34 percent of the population in Cabo Verde is not covered by 4G networks.</w:t>
      </w:r>
      <w:r w:rsidR="001F7D97" w:rsidRPr="001F7D97">
        <w:rPr>
          <w:rFonts w:ascii="Times New Roman" w:hAnsi="Times New Roman" w:cs="Times New Roman"/>
        </w:rPr>
        <w:t xml:space="preserve"> The country has the second biggest 4G coverage gaps after the Gambia among peer countries (Figure </w:t>
      </w:r>
      <w:r w:rsidR="001B42E0">
        <w:rPr>
          <w:rFonts w:ascii="Times New Roman" w:hAnsi="Times New Roman" w:cs="Times New Roman"/>
        </w:rPr>
        <w:t>2</w:t>
      </w:r>
      <w:r w:rsidR="00F24762">
        <w:rPr>
          <w:rFonts w:ascii="Times New Roman" w:hAnsi="Times New Roman" w:cs="Times New Roman"/>
        </w:rPr>
        <w:t>3</w:t>
      </w:r>
      <w:r w:rsidR="001F7D97" w:rsidRPr="001F7D97">
        <w:rPr>
          <w:rFonts w:ascii="Times New Roman" w:hAnsi="Times New Roman" w:cs="Times New Roman"/>
        </w:rPr>
        <w:t xml:space="preserve">). In addition, the 4G market penetration rates are quite low. With only 11.6 percent 4G market penetration, 54 percent of the population are covered but do not use 4G services in Cabo Verde. In comparison, the 4G market penetration is over 70 percent in Bhutan and Seychelles; the only country with slightly lower 4G market penetration compared to Cabo Verde is Saint Kitts and Nevis at 10.9 percent (Figure </w:t>
      </w:r>
      <w:r w:rsidR="001B42E0">
        <w:rPr>
          <w:rFonts w:ascii="Times New Roman" w:hAnsi="Times New Roman" w:cs="Times New Roman"/>
        </w:rPr>
        <w:t>2</w:t>
      </w:r>
      <w:r w:rsidR="002B53D2">
        <w:rPr>
          <w:rFonts w:ascii="Times New Roman" w:hAnsi="Times New Roman" w:cs="Times New Roman"/>
        </w:rPr>
        <w:t>4</w:t>
      </w:r>
      <w:r w:rsidR="001F7D97" w:rsidRPr="001F7D97">
        <w:rPr>
          <w:rFonts w:ascii="Times New Roman" w:hAnsi="Times New Roman" w:cs="Times New Roman"/>
        </w:rPr>
        <w:t xml:space="preserve">). </w:t>
      </w:r>
      <w:r w:rsidR="007223CF" w:rsidRPr="007223CF">
        <w:rPr>
          <w:rFonts w:ascii="Times New Roman" w:hAnsi="Times New Roman" w:cs="Times New Roman"/>
        </w:rPr>
        <w:t>Seychelles, Bhutan, and Mauritius have already launched commercial 5G services and reached 1.1 percent, 0.2 percent, and 0.2 percent market penetration in 2021, respectively.</w:t>
      </w:r>
    </w:p>
    <w:p w14:paraId="2E2544EA" w14:textId="1DDC838C" w:rsidR="000C36AC" w:rsidRDefault="000C36AC" w:rsidP="007223CF">
      <w:pPr>
        <w:tabs>
          <w:tab w:val="left" w:pos="2150"/>
        </w:tabs>
        <w:jc w:val="both"/>
        <w:rPr>
          <w:rFonts w:ascii="Times New Roman" w:hAnsi="Times New Roman" w:cs="Times New Roman"/>
        </w:rPr>
      </w:pPr>
    </w:p>
    <w:p w14:paraId="2FAF5F1D" w14:textId="26E7F495" w:rsidR="000C36AC" w:rsidRDefault="000C36AC" w:rsidP="007223CF">
      <w:pPr>
        <w:tabs>
          <w:tab w:val="left" w:pos="2150"/>
        </w:tabs>
        <w:jc w:val="both"/>
        <w:rPr>
          <w:rFonts w:ascii="Times New Roman" w:hAnsi="Times New Roman" w:cs="Times New Roman"/>
        </w:rPr>
      </w:pPr>
    </w:p>
    <w:p w14:paraId="2B9EC754" w14:textId="0939B1A2" w:rsidR="00461D0B" w:rsidRDefault="00461D0B" w:rsidP="007223CF">
      <w:pPr>
        <w:tabs>
          <w:tab w:val="left" w:pos="2150"/>
        </w:tabs>
        <w:jc w:val="both"/>
        <w:rPr>
          <w:rFonts w:ascii="Times New Roman" w:hAnsi="Times New Roman" w:cs="Times New Roman"/>
        </w:rPr>
      </w:pPr>
    </w:p>
    <w:p w14:paraId="05604768" w14:textId="6747987B" w:rsidR="00461D0B" w:rsidRDefault="00461D0B" w:rsidP="007223CF">
      <w:pPr>
        <w:tabs>
          <w:tab w:val="left" w:pos="2150"/>
        </w:tabs>
        <w:jc w:val="both"/>
        <w:rPr>
          <w:rFonts w:ascii="Times New Roman" w:hAnsi="Times New Roman" w:cs="Times New Roman"/>
        </w:rPr>
      </w:pPr>
    </w:p>
    <w:p w14:paraId="24AE921D" w14:textId="3625A42C" w:rsidR="00151BC8" w:rsidRDefault="00151BC8" w:rsidP="00B87C41">
      <w:pPr>
        <w:pStyle w:val="Caption"/>
        <w:keepNext/>
      </w:pPr>
    </w:p>
    <w:tbl>
      <w:tblPr>
        <w:tblStyle w:val="TableGrid"/>
        <w:tblW w:w="0" w:type="auto"/>
        <w:tblLook w:val="04A0" w:firstRow="1" w:lastRow="0" w:firstColumn="1" w:lastColumn="0" w:noHBand="0" w:noVBand="1"/>
      </w:tblPr>
      <w:tblGrid>
        <w:gridCol w:w="4754"/>
        <w:gridCol w:w="4596"/>
      </w:tblGrid>
      <w:tr w:rsidR="00D20C83" w14:paraId="47D30742" w14:textId="77777777" w:rsidTr="00B87C41">
        <w:tc>
          <w:tcPr>
            <w:tcW w:w="4754" w:type="dxa"/>
          </w:tcPr>
          <w:p w14:paraId="110F83FE" w14:textId="5B4AE8C7" w:rsidR="00151BC8" w:rsidRPr="00B87C41" w:rsidRDefault="00151BC8" w:rsidP="00B87C41">
            <w:pPr>
              <w:pStyle w:val="Caption"/>
              <w:jc w:val="center"/>
              <w:rPr>
                <w:rFonts w:ascii="Times New Roman" w:hAnsi="Times New Roman" w:cs="Times New Roman"/>
                <w:b/>
                <w:bCs/>
                <w:i w:val="0"/>
                <w:iCs w:val="0"/>
                <w:color w:val="2F5496" w:themeColor="accent1" w:themeShade="BF"/>
                <w:sz w:val="20"/>
                <w:szCs w:val="20"/>
              </w:rPr>
            </w:pPr>
            <w:bookmarkStart w:id="91" w:name="_Toc103950897"/>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23</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Mobile connections by generation</w:t>
            </w:r>
            <w:bookmarkEnd w:id="91"/>
          </w:p>
          <w:p w14:paraId="1AB3C1C0" w14:textId="0828D098" w:rsidR="00D20C83" w:rsidRDefault="00D20C83" w:rsidP="00A27DC3">
            <w:pPr>
              <w:jc w:val="center"/>
              <w:rPr>
                <w:rFonts w:ascii="Arial" w:hAnsi="Arial" w:cs="Arial"/>
                <w:sz w:val="18"/>
                <w:szCs w:val="18"/>
              </w:rPr>
            </w:pPr>
            <w:r>
              <w:rPr>
                <w:rFonts w:ascii="Arial" w:hAnsi="Arial" w:cs="Arial"/>
                <w:i/>
                <w:iCs/>
                <w:sz w:val="16"/>
                <w:szCs w:val="16"/>
              </w:rPr>
              <w:t>Share of mobile connections by generation</w:t>
            </w:r>
            <w:r w:rsidRPr="008A15E7">
              <w:rPr>
                <w:rFonts w:ascii="Arial" w:hAnsi="Arial" w:cs="Arial"/>
                <w:i/>
                <w:iCs/>
                <w:sz w:val="16"/>
                <w:szCs w:val="16"/>
              </w:rPr>
              <w:t>, 20</w:t>
            </w:r>
            <w:r>
              <w:rPr>
                <w:rFonts w:ascii="Arial" w:hAnsi="Arial" w:cs="Arial"/>
                <w:i/>
                <w:iCs/>
                <w:sz w:val="16"/>
                <w:szCs w:val="16"/>
              </w:rPr>
              <w:t>21</w:t>
            </w:r>
          </w:p>
          <w:p w14:paraId="560803DB" w14:textId="77777777" w:rsidR="00D20C83" w:rsidRPr="00336D93" w:rsidRDefault="00D20C83" w:rsidP="00CB7AB5">
            <w:pPr>
              <w:rPr>
                <w:rFonts w:ascii="Arial" w:hAnsi="Arial" w:cs="Arial"/>
                <w:sz w:val="18"/>
                <w:szCs w:val="18"/>
              </w:rPr>
            </w:pPr>
          </w:p>
        </w:tc>
        <w:tc>
          <w:tcPr>
            <w:tcW w:w="4596" w:type="dxa"/>
          </w:tcPr>
          <w:p w14:paraId="74336A68" w14:textId="7A7C069D" w:rsidR="00151BC8" w:rsidRPr="00B87C41" w:rsidRDefault="00151BC8" w:rsidP="00B87C41">
            <w:pPr>
              <w:pStyle w:val="Caption"/>
              <w:jc w:val="center"/>
              <w:rPr>
                <w:rFonts w:ascii="Times New Roman" w:hAnsi="Times New Roman" w:cs="Times New Roman"/>
                <w:b/>
                <w:bCs/>
                <w:i w:val="0"/>
                <w:iCs w:val="0"/>
                <w:color w:val="2F5496" w:themeColor="accent1" w:themeShade="BF"/>
                <w:sz w:val="20"/>
                <w:szCs w:val="20"/>
              </w:rPr>
            </w:pPr>
            <w:bookmarkStart w:id="92" w:name="_Toc103950898"/>
            <w:r w:rsidRPr="00B87C41">
              <w:rPr>
                <w:rFonts w:ascii="Times New Roman" w:hAnsi="Times New Roman" w:cs="Times New Roman"/>
                <w:b/>
                <w:bCs/>
                <w:i w:val="0"/>
                <w:iCs w:val="0"/>
                <w:color w:val="2F5496" w:themeColor="accent1" w:themeShade="BF"/>
                <w:sz w:val="20"/>
                <w:szCs w:val="20"/>
              </w:rPr>
              <w:t xml:space="preserve">Figure </w:t>
            </w:r>
            <w:r w:rsidR="009E2172">
              <w:rPr>
                <w:rFonts w:ascii="Times New Roman" w:hAnsi="Times New Roman" w:cs="Times New Roman"/>
                <w:b/>
                <w:bCs/>
                <w:i w:val="0"/>
                <w:iCs w:val="0"/>
                <w:color w:val="2F5496" w:themeColor="accent1" w:themeShade="BF"/>
                <w:sz w:val="20"/>
                <w:szCs w:val="20"/>
              </w:rPr>
              <w:fldChar w:fldCharType="begin"/>
            </w:r>
            <w:r w:rsidR="009E2172">
              <w:rPr>
                <w:rFonts w:ascii="Times New Roman" w:hAnsi="Times New Roman" w:cs="Times New Roman"/>
                <w:b/>
                <w:bCs/>
                <w:i w:val="0"/>
                <w:iCs w:val="0"/>
                <w:color w:val="2F5496" w:themeColor="accent1" w:themeShade="BF"/>
                <w:sz w:val="20"/>
                <w:szCs w:val="20"/>
              </w:rPr>
              <w:instrText xml:space="preserve"> SEQ Figure \* ARABIC </w:instrText>
            </w:r>
            <w:r w:rsidR="009E2172">
              <w:rPr>
                <w:rFonts w:ascii="Times New Roman" w:hAnsi="Times New Roman" w:cs="Times New Roman"/>
                <w:b/>
                <w:bCs/>
                <w:i w:val="0"/>
                <w:iCs w:val="0"/>
                <w:color w:val="2F5496" w:themeColor="accent1" w:themeShade="BF"/>
                <w:sz w:val="20"/>
                <w:szCs w:val="20"/>
              </w:rPr>
              <w:fldChar w:fldCharType="separate"/>
            </w:r>
            <w:r w:rsidR="00C73FE1">
              <w:rPr>
                <w:rFonts w:ascii="Times New Roman" w:hAnsi="Times New Roman" w:cs="Times New Roman"/>
                <w:b/>
                <w:bCs/>
                <w:i w:val="0"/>
                <w:iCs w:val="0"/>
                <w:noProof/>
                <w:color w:val="2F5496" w:themeColor="accent1" w:themeShade="BF"/>
                <w:sz w:val="20"/>
                <w:szCs w:val="20"/>
              </w:rPr>
              <w:t>24</w:t>
            </w:r>
            <w:r w:rsidR="009E2172">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Network availability and penetration</w:t>
            </w:r>
            <w:bookmarkEnd w:id="92"/>
          </w:p>
          <w:p w14:paraId="2696C926" w14:textId="44BA0125" w:rsidR="00D20C83" w:rsidRDefault="00D20C83" w:rsidP="00A27DC3">
            <w:pPr>
              <w:jc w:val="center"/>
            </w:pPr>
            <w:r>
              <w:rPr>
                <w:rFonts w:ascii="Arial" w:hAnsi="Arial" w:cs="Arial"/>
                <w:i/>
                <w:iCs/>
                <w:sz w:val="16"/>
                <w:szCs w:val="16"/>
              </w:rPr>
              <w:t xml:space="preserve">Network coverage by connections, % of population, </w:t>
            </w:r>
            <w:r w:rsidRPr="00A87322">
              <w:rPr>
                <w:rFonts w:ascii="Arial" w:hAnsi="Arial" w:cs="Arial"/>
                <w:i/>
                <w:iCs/>
                <w:sz w:val="16"/>
                <w:szCs w:val="16"/>
              </w:rPr>
              <w:t>202</w:t>
            </w:r>
            <w:r>
              <w:rPr>
                <w:rFonts w:ascii="Arial" w:hAnsi="Arial" w:cs="Arial"/>
                <w:i/>
                <w:iCs/>
                <w:sz w:val="16"/>
                <w:szCs w:val="16"/>
              </w:rPr>
              <w:t>1</w:t>
            </w:r>
          </w:p>
          <w:p w14:paraId="557D6D32" w14:textId="77777777" w:rsidR="00D20C83" w:rsidRDefault="00D20C83" w:rsidP="00CB7AB5">
            <w:pPr>
              <w:jc w:val="center"/>
              <w:rPr>
                <w:rFonts w:ascii="Times New Roman" w:hAnsi="Times New Roman" w:cs="Times New Roman"/>
              </w:rPr>
            </w:pPr>
          </w:p>
        </w:tc>
      </w:tr>
      <w:tr w:rsidR="00D20C83" w14:paraId="57165A12" w14:textId="77777777" w:rsidTr="00B87C41">
        <w:tc>
          <w:tcPr>
            <w:tcW w:w="4754" w:type="dxa"/>
          </w:tcPr>
          <w:p w14:paraId="05CA3EA1" w14:textId="206A94C4" w:rsidR="00D20C83" w:rsidRDefault="002A0ECB" w:rsidP="00CB7AB5">
            <w:pPr>
              <w:keepNext/>
              <w:jc w:val="both"/>
            </w:pPr>
            <w:r w:rsidRPr="005B785E">
              <w:rPr>
                <w:noProof/>
              </w:rPr>
              <w:drawing>
                <wp:inline distT="0" distB="0" distL="0" distR="0" wp14:anchorId="33D9E61D" wp14:editId="2165B744">
                  <wp:extent cx="2777490" cy="1708660"/>
                  <wp:effectExtent l="0" t="0" r="381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3031" cy="1712069"/>
                          </a:xfrm>
                          <a:prstGeom prst="rect">
                            <a:avLst/>
                          </a:prstGeom>
                          <a:noFill/>
                          <a:ln>
                            <a:noFill/>
                          </a:ln>
                        </pic:spPr>
                      </pic:pic>
                    </a:graphicData>
                  </a:graphic>
                </wp:inline>
              </w:drawing>
            </w:r>
          </w:p>
          <w:p w14:paraId="3DFA1717" w14:textId="644C89B0" w:rsidR="00D20C83" w:rsidRPr="00A27DC3" w:rsidRDefault="00D20C83" w:rsidP="00A27DC3">
            <w:pPr>
              <w:pStyle w:val="Caption"/>
              <w:rPr>
                <w:rFonts w:ascii="Times New Roman" w:hAnsi="Times New Roman" w:cs="Times New Roman"/>
                <w:i w:val="0"/>
                <w:iCs w:val="0"/>
                <w:color w:val="auto"/>
              </w:rPr>
            </w:pPr>
            <w:r w:rsidRPr="00A27DC3">
              <w:rPr>
                <w:rFonts w:ascii="Times New Roman" w:hAnsi="Times New Roman" w:cs="Times New Roman"/>
                <w:i w:val="0"/>
                <w:iCs w:val="0"/>
                <w:color w:val="auto"/>
              </w:rPr>
              <w:t>Sources: GSMA Intelligence</w:t>
            </w:r>
            <w:r w:rsidR="00E02B1A">
              <w:rPr>
                <w:rFonts w:ascii="Times New Roman" w:hAnsi="Times New Roman" w:cs="Times New Roman"/>
                <w:i w:val="0"/>
                <w:iCs w:val="0"/>
                <w:color w:val="auto"/>
              </w:rPr>
              <w:t xml:space="preserve"> Data</w:t>
            </w:r>
          </w:p>
          <w:p w14:paraId="0BBC541C" w14:textId="22E172B4" w:rsidR="00D20C83" w:rsidRPr="00D20C83" w:rsidRDefault="00D20C83" w:rsidP="00CB7AB5">
            <w:pPr>
              <w:rPr>
                <w:rFonts w:ascii="Arial" w:hAnsi="Arial" w:cs="Arial"/>
                <w:i/>
                <w:iCs/>
                <w:sz w:val="16"/>
                <w:szCs w:val="16"/>
              </w:rPr>
            </w:pPr>
          </w:p>
        </w:tc>
        <w:tc>
          <w:tcPr>
            <w:tcW w:w="4596" w:type="dxa"/>
          </w:tcPr>
          <w:p w14:paraId="52F36E24" w14:textId="636B6057" w:rsidR="00D20C83" w:rsidRDefault="0031340C" w:rsidP="00CB7AB5">
            <w:pPr>
              <w:keepNext/>
              <w:jc w:val="both"/>
            </w:pPr>
            <w:r w:rsidRPr="002921AB">
              <w:rPr>
                <w:noProof/>
              </w:rPr>
              <w:drawing>
                <wp:inline distT="0" distB="0" distL="0" distR="0" wp14:anchorId="295BC4A5" wp14:editId="511685D9">
                  <wp:extent cx="2777490" cy="1688637"/>
                  <wp:effectExtent l="0" t="0" r="381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84486" cy="1692890"/>
                          </a:xfrm>
                          <a:prstGeom prst="rect">
                            <a:avLst/>
                          </a:prstGeom>
                          <a:noFill/>
                          <a:ln>
                            <a:noFill/>
                          </a:ln>
                        </pic:spPr>
                      </pic:pic>
                    </a:graphicData>
                  </a:graphic>
                </wp:inline>
              </w:drawing>
            </w:r>
          </w:p>
          <w:p w14:paraId="3E54B3EF" w14:textId="283C310F" w:rsidR="00D20C83" w:rsidRPr="00A27DC3" w:rsidRDefault="00D20C83" w:rsidP="00A27DC3">
            <w:pPr>
              <w:pStyle w:val="Caption"/>
              <w:rPr>
                <w:rFonts w:ascii="Times New Roman" w:hAnsi="Times New Roman" w:cs="Times New Roman"/>
                <w:i w:val="0"/>
                <w:color w:val="auto"/>
              </w:rPr>
            </w:pPr>
            <w:r w:rsidRPr="00A27DC3">
              <w:rPr>
                <w:rFonts w:ascii="Times New Roman" w:hAnsi="Times New Roman" w:cs="Times New Roman"/>
                <w:i w:val="0"/>
                <w:color w:val="auto"/>
              </w:rPr>
              <w:t>Sources: GSMA Intelligence</w:t>
            </w:r>
            <w:r w:rsidR="00E02B1A">
              <w:rPr>
                <w:rFonts w:ascii="Times New Roman" w:hAnsi="Times New Roman" w:cs="Times New Roman"/>
                <w:i w:val="0"/>
                <w:color w:val="auto"/>
              </w:rPr>
              <w:t xml:space="preserve"> Data</w:t>
            </w:r>
          </w:p>
          <w:p w14:paraId="6E01D35C" w14:textId="77777777" w:rsidR="00D20C83" w:rsidRPr="00336D93" w:rsidRDefault="00D20C83" w:rsidP="00CB7AB5"/>
        </w:tc>
      </w:tr>
    </w:tbl>
    <w:p w14:paraId="1239B39E" w14:textId="77777777" w:rsidR="0089292D" w:rsidRDefault="0089292D" w:rsidP="0049453E">
      <w:pPr>
        <w:spacing w:line="276" w:lineRule="auto"/>
        <w:jc w:val="both"/>
        <w:rPr>
          <w:rFonts w:ascii="Times New Roman" w:hAnsi="Times New Roman" w:cs="Times New Roman"/>
          <w:b/>
          <w:bCs/>
        </w:rPr>
      </w:pPr>
    </w:p>
    <w:p w14:paraId="530F6424" w14:textId="4BCE89F0" w:rsidR="00810280" w:rsidRPr="00866641" w:rsidRDefault="001844E5" w:rsidP="00810280">
      <w:pPr>
        <w:keepNext/>
        <w:keepLines/>
        <w:numPr>
          <w:ilvl w:val="0"/>
          <w:numId w:val="15"/>
        </w:numPr>
        <w:spacing w:before="40" w:after="240"/>
        <w:outlineLvl w:val="1"/>
        <w:rPr>
          <w:rFonts w:ascii="Times New Roman" w:eastAsiaTheme="majorEastAsia" w:hAnsi="Times New Roman" w:cs="Times New Roman"/>
          <w:color w:val="2F5496" w:themeColor="accent1" w:themeShade="BF"/>
          <w:sz w:val="26"/>
          <w:szCs w:val="26"/>
        </w:rPr>
      </w:pPr>
      <w:bookmarkStart w:id="93" w:name="_Hlk97569717"/>
      <w:bookmarkStart w:id="94" w:name="_Toc105592813"/>
      <w:r w:rsidRPr="00C12B93">
        <w:rPr>
          <w:rFonts w:ascii="Times New Roman" w:eastAsiaTheme="majorEastAsia" w:hAnsi="Times New Roman" w:cs="Times New Roman"/>
          <w:color w:val="2F5496" w:themeColor="accent1" w:themeShade="BF"/>
          <w:sz w:val="26"/>
          <w:szCs w:val="26"/>
        </w:rPr>
        <w:t xml:space="preserve">Digital </w:t>
      </w:r>
      <w:r w:rsidR="00AD2393">
        <w:rPr>
          <w:rFonts w:ascii="Times New Roman" w:eastAsiaTheme="majorEastAsia" w:hAnsi="Times New Roman" w:cs="Times New Roman"/>
          <w:color w:val="2F5496" w:themeColor="accent1" w:themeShade="BF"/>
          <w:sz w:val="26"/>
          <w:szCs w:val="26"/>
        </w:rPr>
        <w:t>G</w:t>
      </w:r>
      <w:r w:rsidRPr="00C12B93">
        <w:rPr>
          <w:rFonts w:ascii="Times New Roman" w:eastAsiaTheme="majorEastAsia" w:hAnsi="Times New Roman" w:cs="Times New Roman"/>
          <w:color w:val="2F5496" w:themeColor="accent1" w:themeShade="BF"/>
          <w:sz w:val="26"/>
          <w:szCs w:val="26"/>
        </w:rPr>
        <w:t>overnment</w:t>
      </w:r>
      <w:bookmarkEnd w:id="93"/>
      <w:r w:rsidR="00383E01">
        <w:rPr>
          <w:rFonts w:ascii="Times New Roman" w:eastAsiaTheme="majorEastAsia" w:hAnsi="Times New Roman" w:cs="Times New Roman"/>
          <w:color w:val="2F5496" w:themeColor="accent1" w:themeShade="BF"/>
          <w:sz w:val="26"/>
          <w:szCs w:val="26"/>
        </w:rPr>
        <w:t xml:space="preserve"> and </w:t>
      </w:r>
      <w:r w:rsidR="00AD2393">
        <w:rPr>
          <w:rFonts w:ascii="Times New Roman" w:eastAsiaTheme="majorEastAsia" w:hAnsi="Times New Roman" w:cs="Times New Roman"/>
          <w:color w:val="2F5496" w:themeColor="accent1" w:themeShade="BF"/>
          <w:sz w:val="26"/>
          <w:szCs w:val="26"/>
        </w:rPr>
        <w:t>I</w:t>
      </w:r>
      <w:r w:rsidR="00383E01">
        <w:rPr>
          <w:rFonts w:ascii="Times New Roman" w:eastAsiaTheme="majorEastAsia" w:hAnsi="Times New Roman" w:cs="Times New Roman"/>
          <w:color w:val="2F5496" w:themeColor="accent1" w:themeShade="BF"/>
          <w:sz w:val="26"/>
          <w:szCs w:val="26"/>
        </w:rPr>
        <w:t xml:space="preserve">nstitutions for </w:t>
      </w:r>
      <w:r w:rsidR="00AD2393">
        <w:rPr>
          <w:rFonts w:ascii="Times New Roman" w:eastAsiaTheme="majorEastAsia" w:hAnsi="Times New Roman" w:cs="Times New Roman"/>
          <w:color w:val="2F5496" w:themeColor="accent1" w:themeShade="BF"/>
          <w:sz w:val="26"/>
          <w:szCs w:val="26"/>
        </w:rPr>
        <w:t>D</w:t>
      </w:r>
      <w:r w:rsidR="00383E01">
        <w:rPr>
          <w:rFonts w:ascii="Times New Roman" w:eastAsiaTheme="majorEastAsia" w:hAnsi="Times New Roman" w:cs="Times New Roman"/>
          <w:color w:val="2F5496" w:themeColor="accent1" w:themeShade="BF"/>
          <w:sz w:val="26"/>
          <w:szCs w:val="26"/>
        </w:rPr>
        <w:t xml:space="preserve">igital </w:t>
      </w:r>
      <w:r w:rsidR="00AD2393">
        <w:rPr>
          <w:rFonts w:ascii="Times New Roman" w:eastAsiaTheme="majorEastAsia" w:hAnsi="Times New Roman" w:cs="Times New Roman"/>
          <w:color w:val="2F5496" w:themeColor="accent1" w:themeShade="BF"/>
          <w:sz w:val="26"/>
          <w:szCs w:val="26"/>
        </w:rPr>
        <w:t>D</w:t>
      </w:r>
      <w:r w:rsidR="00383E01">
        <w:rPr>
          <w:rFonts w:ascii="Times New Roman" w:eastAsiaTheme="majorEastAsia" w:hAnsi="Times New Roman" w:cs="Times New Roman"/>
          <w:color w:val="2F5496" w:themeColor="accent1" w:themeShade="BF"/>
          <w:sz w:val="26"/>
          <w:szCs w:val="26"/>
        </w:rPr>
        <w:t>evelopment</w:t>
      </w:r>
      <w:bookmarkEnd w:id="94"/>
    </w:p>
    <w:p w14:paraId="455BBE2B" w14:textId="5B18EB3F" w:rsidR="00CF5A88" w:rsidRPr="00CF5A88" w:rsidRDefault="00CF5A88" w:rsidP="00CF5A88">
      <w:pPr>
        <w:jc w:val="both"/>
        <w:rPr>
          <w:rFonts w:ascii="Times New Roman" w:hAnsi="Times New Roman" w:cs="Times New Roman"/>
          <w:b/>
          <w:bCs/>
          <w:color w:val="002060"/>
        </w:rPr>
      </w:pPr>
      <w:bookmarkStart w:id="95" w:name="_Hlk103292408"/>
      <w:r w:rsidRPr="00CF5A88">
        <w:rPr>
          <w:rFonts w:ascii="Times New Roman" w:hAnsi="Times New Roman" w:cs="Times New Roman"/>
          <w:b/>
          <w:bCs/>
          <w:color w:val="002060"/>
        </w:rPr>
        <w:t>Some foundational elements of digital government are in place and functioning.</w:t>
      </w:r>
      <w:bookmarkEnd w:id="95"/>
      <w:r w:rsidRPr="00CF5A88">
        <w:rPr>
          <w:rFonts w:ascii="Times New Roman" w:hAnsi="Times New Roman" w:cs="Times New Roman"/>
          <w:b/>
          <w:bCs/>
          <w:color w:val="002060"/>
        </w:rPr>
        <w:t xml:space="preserve"> </w:t>
      </w:r>
    </w:p>
    <w:p w14:paraId="6B9B525B" w14:textId="77C22414" w:rsidR="00CF5A88" w:rsidRPr="00CF5A88" w:rsidRDefault="003B7234" w:rsidP="00CF5A88">
      <w:pPr>
        <w:tabs>
          <w:tab w:val="left" w:pos="2150"/>
        </w:tabs>
        <w:jc w:val="both"/>
        <w:rPr>
          <w:rFonts w:ascii="Times New Roman" w:hAnsi="Times New Roman" w:cs="Times New Roman"/>
          <w:b/>
          <w:bCs/>
        </w:rPr>
      </w:pPr>
      <w:r>
        <w:rPr>
          <w:rFonts w:ascii="Times New Roman" w:hAnsi="Times New Roman" w:cs="Times New Roman"/>
          <w:b/>
          <w:bCs/>
        </w:rPr>
        <w:t>4</w:t>
      </w:r>
      <w:r w:rsidR="00075087">
        <w:rPr>
          <w:rFonts w:ascii="Times New Roman" w:hAnsi="Times New Roman" w:cs="Times New Roman"/>
          <w:b/>
          <w:bCs/>
        </w:rPr>
        <w:t>1</w:t>
      </w:r>
      <w:r>
        <w:rPr>
          <w:rFonts w:ascii="Times New Roman" w:hAnsi="Times New Roman" w:cs="Times New Roman"/>
          <w:b/>
          <w:bCs/>
        </w:rPr>
        <w:t xml:space="preserve">. </w:t>
      </w:r>
      <w:r w:rsidR="00682AF5">
        <w:rPr>
          <w:rFonts w:ascii="Times New Roman" w:hAnsi="Times New Roman" w:cs="Times New Roman"/>
          <w:b/>
          <w:bCs/>
        </w:rPr>
        <w:t xml:space="preserve">Strong institutions in policy making and implementation </w:t>
      </w:r>
      <w:r w:rsidR="00966394">
        <w:rPr>
          <w:rFonts w:ascii="Times New Roman" w:hAnsi="Times New Roman" w:cs="Times New Roman"/>
          <w:b/>
          <w:bCs/>
        </w:rPr>
        <w:t xml:space="preserve">are among </w:t>
      </w:r>
      <w:r w:rsidR="00682AF5">
        <w:rPr>
          <w:rFonts w:ascii="Times New Roman" w:hAnsi="Times New Roman" w:cs="Times New Roman"/>
          <w:b/>
          <w:bCs/>
        </w:rPr>
        <w:t>the cornerstones of digital government ecosystem in Cabo Verde.</w:t>
      </w:r>
      <w:r w:rsidR="00CF5A88" w:rsidRPr="00CF5A88">
        <w:rPr>
          <w:rFonts w:ascii="Times New Roman" w:hAnsi="Times New Roman" w:cs="Times New Roman"/>
          <w:b/>
          <w:bCs/>
        </w:rPr>
        <w:t xml:space="preserve"> </w:t>
      </w:r>
      <w:r w:rsidR="00CF5A88" w:rsidRPr="00CF5A88">
        <w:rPr>
          <w:rFonts w:ascii="Times New Roman" w:hAnsi="Times New Roman" w:cs="Times New Roman"/>
        </w:rPr>
        <w:t xml:space="preserve">The establishment of Information Society Operational Nucleus </w:t>
      </w:r>
      <w:r w:rsidR="00966394">
        <w:rPr>
          <w:rFonts w:ascii="Times New Roman" w:hAnsi="Times New Roman" w:cs="Times New Roman"/>
        </w:rPr>
        <w:t>–</w:t>
      </w:r>
      <w:r w:rsidR="00CF5A88" w:rsidRPr="00CF5A88">
        <w:rPr>
          <w:rFonts w:ascii="Times New Roman" w:hAnsi="Times New Roman" w:cs="Times New Roman"/>
        </w:rPr>
        <w:t xml:space="preserve"> </w:t>
      </w:r>
      <w:proofErr w:type="spellStart"/>
      <w:r w:rsidR="00CF5A88" w:rsidRPr="00CF5A88">
        <w:rPr>
          <w:rFonts w:ascii="Times New Roman" w:hAnsi="Times New Roman" w:cs="Times New Roman"/>
        </w:rPr>
        <w:t>NOSi</w:t>
      </w:r>
      <w:proofErr w:type="spellEnd"/>
      <w:r w:rsidR="00CF5A88" w:rsidRPr="00CF5A88">
        <w:rPr>
          <w:rFonts w:ascii="Times New Roman" w:hAnsi="Times New Roman" w:cs="Times New Roman"/>
        </w:rPr>
        <w:t xml:space="preserve"> (</w:t>
      </w:r>
      <w:proofErr w:type="spellStart"/>
      <w:r w:rsidR="00CF5A88" w:rsidRPr="00CF5A88">
        <w:rPr>
          <w:rFonts w:ascii="Times New Roman" w:hAnsi="Times New Roman" w:cs="Times New Roman"/>
        </w:rPr>
        <w:t>Núcleo</w:t>
      </w:r>
      <w:proofErr w:type="spellEnd"/>
      <w:r w:rsidR="00CF5A88" w:rsidRPr="00CF5A88">
        <w:rPr>
          <w:rFonts w:ascii="Times New Roman" w:hAnsi="Times New Roman" w:cs="Times New Roman"/>
        </w:rPr>
        <w:t xml:space="preserve"> </w:t>
      </w:r>
      <w:proofErr w:type="spellStart"/>
      <w:r w:rsidR="00CF5A88" w:rsidRPr="00CF5A88">
        <w:rPr>
          <w:rFonts w:ascii="Times New Roman" w:hAnsi="Times New Roman" w:cs="Times New Roman"/>
        </w:rPr>
        <w:t>Operacional</w:t>
      </w:r>
      <w:proofErr w:type="spellEnd"/>
      <w:r w:rsidR="00CF5A88" w:rsidRPr="00CF5A88">
        <w:rPr>
          <w:rFonts w:ascii="Times New Roman" w:hAnsi="Times New Roman" w:cs="Times New Roman"/>
        </w:rPr>
        <w:t xml:space="preserve"> para a </w:t>
      </w:r>
      <w:proofErr w:type="spellStart"/>
      <w:r w:rsidR="00CF5A88" w:rsidRPr="00CF5A88">
        <w:rPr>
          <w:rFonts w:ascii="Times New Roman" w:hAnsi="Times New Roman" w:cs="Times New Roman"/>
        </w:rPr>
        <w:t>Sociedade</w:t>
      </w:r>
      <w:proofErr w:type="spellEnd"/>
      <w:r w:rsidR="00CF5A88" w:rsidRPr="00CF5A88">
        <w:rPr>
          <w:rFonts w:ascii="Times New Roman" w:hAnsi="Times New Roman" w:cs="Times New Roman"/>
        </w:rPr>
        <w:t xml:space="preserve"> de </w:t>
      </w:r>
      <w:proofErr w:type="spellStart"/>
      <w:r w:rsidR="00CF5A88" w:rsidRPr="00CF5A88">
        <w:rPr>
          <w:rFonts w:ascii="Times New Roman" w:hAnsi="Times New Roman" w:cs="Times New Roman"/>
        </w:rPr>
        <w:t>Informação</w:t>
      </w:r>
      <w:proofErr w:type="spellEnd"/>
      <w:r w:rsidR="00CF5A88" w:rsidRPr="00CF5A88">
        <w:rPr>
          <w:rFonts w:ascii="Times New Roman" w:hAnsi="Times New Roman" w:cs="Times New Roman"/>
        </w:rPr>
        <w:t>) in 2003, as the government</w:t>
      </w:r>
      <w:r w:rsidR="00966394">
        <w:rPr>
          <w:rFonts w:ascii="Times New Roman" w:hAnsi="Times New Roman" w:cs="Times New Roman"/>
        </w:rPr>
        <w:t>’</w:t>
      </w:r>
      <w:r w:rsidR="00CF5A88" w:rsidRPr="00CF5A88">
        <w:rPr>
          <w:rFonts w:ascii="Times New Roman" w:hAnsi="Times New Roman" w:cs="Times New Roman"/>
        </w:rPr>
        <w:t xml:space="preserve">s ICT services and infrastructure development agency, gave a start to the e-government development in Cabo Verde. Since its creation, </w:t>
      </w:r>
      <w:proofErr w:type="spellStart"/>
      <w:r w:rsidR="00CF5A88" w:rsidRPr="00CF5A88">
        <w:rPr>
          <w:rFonts w:ascii="Times New Roman" w:hAnsi="Times New Roman" w:cs="Times New Roman"/>
        </w:rPr>
        <w:t>NOSi</w:t>
      </w:r>
      <w:proofErr w:type="spellEnd"/>
      <w:r w:rsidR="00CF5A88" w:rsidRPr="00CF5A88">
        <w:rPr>
          <w:rFonts w:ascii="Times New Roman" w:hAnsi="Times New Roman" w:cs="Times New Roman"/>
        </w:rPr>
        <w:t xml:space="preserve"> grew to be the country</w:t>
      </w:r>
      <w:r w:rsidR="00966394">
        <w:rPr>
          <w:rFonts w:ascii="Times New Roman" w:hAnsi="Times New Roman" w:cs="Times New Roman"/>
        </w:rPr>
        <w:t>’</w:t>
      </w:r>
      <w:r w:rsidR="00CF5A88" w:rsidRPr="00CF5A88">
        <w:rPr>
          <w:rFonts w:ascii="Times New Roman" w:hAnsi="Times New Roman" w:cs="Times New Roman"/>
        </w:rPr>
        <w:t xml:space="preserve">s most prominent ICT institution. As a SOE, the company has developed e-government applications, automation tools for internal government </w:t>
      </w:r>
      <w:r w:rsidR="00824C48">
        <w:rPr>
          <w:rFonts w:ascii="Times New Roman" w:hAnsi="Times New Roman" w:cs="Times New Roman"/>
        </w:rPr>
        <w:t>p</w:t>
      </w:r>
      <w:r w:rsidR="00966394">
        <w:rPr>
          <w:rFonts w:ascii="Times New Roman" w:hAnsi="Times New Roman" w:cs="Times New Roman"/>
        </w:rPr>
        <w:t>rocesses</w:t>
      </w:r>
      <w:r w:rsidR="00CF5A88" w:rsidRPr="00CF5A88">
        <w:rPr>
          <w:rFonts w:ascii="Times New Roman" w:hAnsi="Times New Roman" w:cs="Times New Roman"/>
        </w:rPr>
        <w:t>, digital platforms for G2C and G2B interactions, and operat</w:t>
      </w:r>
      <w:r w:rsidR="009C5F85">
        <w:rPr>
          <w:rFonts w:ascii="Times New Roman" w:hAnsi="Times New Roman" w:cs="Times New Roman"/>
        </w:rPr>
        <w:t>es</w:t>
      </w:r>
      <w:r w:rsidR="00CF5A88" w:rsidRPr="00CF5A88">
        <w:rPr>
          <w:rFonts w:ascii="Times New Roman" w:hAnsi="Times New Roman" w:cs="Times New Roman"/>
        </w:rPr>
        <w:t xml:space="preserve"> as an ISP (internet service provider) for the government. Currently, </w:t>
      </w:r>
      <w:proofErr w:type="spellStart"/>
      <w:r w:rsidR="00CF5A88" w:rsidRPr="00CF5A88">
        <w:rPr>
          <w:rFonts w:ascii="Times New Roman" w:hAnsi="Times New Roman" w:cs="Times New Roman"/>
        </w:rPr>
        <w:t>NOSi</w:t>
      </w:r>
      <w:proofErr w:type="spellEnd"/>
      <w:r w:rsidR="00CF5A88" w:rsidRPr="00CF5A88">
        <w:rPr>
          <w:rFonts w:ascii="Times New Roman" w:hAnsi="Times New Roman" w:cs="Times New Roman"/>
        </w:rPr>
        <w:t xml:space="preserve"> employs over 230 technicians, has developed several hundred applications hosted in its Hybrid Cloud Datacenter, and serves over 13,000 workstations in 800 government agencies connected to the State</w:t>
      </w:r>
      <w:r w:rsidR="00966394">
        <w:rPr>
          <w:rFonts w:ascii="Times New Roman" w:hAnsi="Times New Roman" w:cs="Times New Roman"/>
        </w:rPr>
        <w:t>’</w:t>
      </w:r>
      <w:r w:rsidR="00CF5A88" w:rsidRPr="00CF5A88">
        <w:rPr>
          <w:rFonts w:ascii="Times New Roman" w:hAnsi="Times New Roman" w:cs="Times New Roman"/>
        </w:rPr>
        <w:t xml:space="preserve">s Private Telecommunication Network. With a recently adopted new strategy for 2019-2022, </w:t>
      </w:r>
      <w:proofErr w:type="spellStart"/>
      <w:r w:rsidR="00CF5A88" w:rsidRPr="00CF5A88">
        <w:rPr>
          <w:rFonts w:ascii="Times New Roman" w:hAnsi="Times New Roman" w:cs="Times New Roman"/>
        </w:rPr>
        <w:t>NOSi</w:t>
      </w:r>
      <w:proofErr w:type="spellEnd"/>
      <w:r w:rsidR="00CF5A88" w:rsidRPr="00CF5A88">
        <w:rPr>
          <w:rFonts w:ascii="Times New Roman" w:hAnsi="Times New Roman" w:cs="Times New Roman"/>
        </w:rPr>
        <w:t xml:space="preserve"> envisages fundamental organizational restructuring</w:t>
      </w:r>
      <w:r w:rsidR="00421529">
        <w:rPr>
          <w:rFonts w:ascii="Times New Roman" w:hAnsi="Times New Roman" w:cs="Times New Roman"/>
        </w:rPr>
        <w:t xml:space="preserve"> in </w:t>
      </w:r>
      <w:r w:rsidR="00265FD7">
        <w:rPr>
          <w:rFonts w:ascii="Times New Roman" w:hAnsi="Times New Roman" w:cs="Times New Roman"/>
        </w:rPr>
        <w:t>pursuit of transitioning to a more sustainable business model</w:t>
      </w:r>
      <w:r w:rsidR="00CF5A88" w:rsidRPr="00CF5A88">
        <w:rPr>
          <w:rFonts w:ascii="Times New Roman" w:hAnsi="Times New Roman" w:cs="Times New Roman"/>
        </w:rPr>
        <w:t xml:space="preserve">. </w:t>
      </w:r>
    </w:p>
    <w:p w14:paraId="40B36BFD" w14:textId="6DEF1D0E" w:rsidR="00CF5A88" w:rsidRPr="00CF5A88" w:rsidRDefault="003B7234" w:rsidP="00CF5A88">
      <w:pPr>
        <w:tabs>
          <w:tab w:val="left" w:pos="2150"/>
        </w:tabs>
        <w:jc w:val="both"/>
        <w:rPr>
          <w:rFonts w:ascii="Times New Roman" w:hAnsi="Times New Roman" w:cs="Times New Roman"/>
        </w:rPr>
      </w:pPr>
      <w:r>
        <w:rPr>
          <w:rFonts w:ascii="Times New Roman" w:hAnsi="Times New Roman" w:cs="Times New Roman"/>
          <w:b/>
          <w:bCs/>
        </w:rPr>
        <w:t>4</w:t>
      </w:r>
      <w:r w:rsidR="00075087">
        <w:rPr>
          <w:rFonts w:ascii="Times New Roman" w:hAnsi="Times New Roman" w:cs="Times New Roman"/>
          <w:b/>
          <w:bCs/>
        </w:rPr>
        <w:t>2</w:t>
      </w:r>
      <w:r>
        <w:rPr>
          <w:rFonts w:ascii="Times New Roman" w:hAnsi="Times New Roman" w:cs="Times New Roman"/>
          <w:b/>
          <w:bCs/>
        </w:rPr>
        <w:t xml:space="preserve">. </w:t>
      </w:r>
      <w:r w:rsidR="00682AF5">
        <w:rPr>
          <w:rFonts w:ascii="Times New Roman" w:hAnsi="Times New Roman" w:cs="Times New Roman"/>
          <w:b/>
          <w:bCs/>
        </w:rPr>
        <w:t xml:space="preserve">Several institutions have mandates of policy making </w:t>
      </w:r>
      <w:r w:rsidR="00F85B1D">
        <w:rPr>
          <w:rFonts w:ascii="Times New Roman" w:hAnsi="Times New Roman" w:cs="Times New Roman"/>
          <w:b/>
          <w:bCs/>
        </w:rPr>
        <w:t xml:space="preserve">in digital economy-related aspects. </w:t>
      </w:r>
      <w:r w:rsidR="00966394" w:rsidRPr="009B3253">
        <w:rPr>
          <w:rFonts w:ascii="Times New Roman" w:hAnsi="Times New Roman" w:cs="Times New Roman"/>
        </w:rPr>
        <w:t>The recently</w:t>
      </w:r>
      <w:r w:rsidR="00966394">
        <w:rPr>
          <w:rFonts w:ascii="Times New Roman" w:hAnsi="Times New Roman" w:cs="Times New Roman"/>
        </w:rPr>
        <w:t xml:space="preserve"> established Ministry of Digital Economy is mandated to drive the digital transformation of the public sector and foster the broader digital economy.</w:t>
      </w:r>
      <w:r w:rsidR="00966394">
        <w:rPr>
          <w:rFonts w:ascii="Times New Roman" w:hAnsi="Times New Roman" w:cs="Times New Roman"/>
          <w:b/>
          <w:bCs/>
        </w:rPr>
        <w:t xml:space="preserve"> </w:t>
      </w:r>
      <w:r w:rsidR="00CF5A88" w:rsidRPr="009B3253">
        <w:rPr>
          <w:rFonts w:ascii="Times New Roman" w:hAnsi="Times New Roman" w:cs="Times New Roman"/>
        </w:rPr>
        <w:t xml:space="preserve">The Multi-Sector Regulatory Agency </w:t>
      </w:r>
      <w:r w:rsidR="00966394">
        <w:rPr>
          <w:rFonts w:ascii="Times New Roman" w:hAnsi="Times New Roman" w:cs="Times New Roman"/>
        </w:rPr>
        <w:t>–</w:t>
      </w:r>
      <w:r w:rsidR="00CF5A88" w:rsidRPr="009B3253">
        <w:rPr>
          <w:rFonts w:ascii="Times New Roman" w:hAnsi="Times New Roman" w:cs="Times New Roman"/>
        </w:rPr>
        <w:t xml:space="preserve"> ARME, is a strong institution, which has made noticeable improvements in the regulatory and competition framework in the telecommunications sector.</w:t>
      </w:r>
      <w:r w:rsidR="00CF5A88" w:rsidRPr="00F85B1D">
        <w:rPr>
          <w:rFonts w:ascii="Times New Roman" w:hAnsi="Times New Roman" w:cs="Times New Roman"/>
        </w:rPr>
        <w:t xml:space="preserve"> </w:t>
      </w:r>
      <w:r w:rsidR="00CF5A88" w:rsidRPr="00CF5A88">
        <w:rPr>
          <w:rFonts w:ascii="Times New Roman" w:hAnsi="Times New Roman" w:cs="Times New Roman"/>
        </w:rPr>
        <w:t xml:space="preserve">ARME has taken initiatives to improve the investment environment and attract more private investments in the sector. </w:t>
      </w:r>
      <w:r w:rsidR="00F85B1D">
        <w:rPr>
          <w:rFonts w:ascii="Times New Roman" w:hAnsi="Times New Roman" w:cs="Times New Roman"/>
        </w:rPr>
        <w:t xml:space="preserve"> Ministry of State Optimization and Public Administration is responsible </w:t>
      </w:r>
      <w:r w:rsidR="00265FD7">
        <w:rPr>
          <w:rFonts w:ascii="Times New Roman" w:hAnsi="Times New Roman" w:cs="Times New Roman"/>
        </w:rPr>
        <w:t xml:space="preserve">for implementing public administration reforms, simplifying business processes within government </w:t>
      </w:r>
      <w:proofErr w:type="gramStart"/>
      <w:r w:rsidR="00265FD7">
        <w:rPr>
          <w:rFonts w:ascii="Times New Roman" w:hAnsi="Times New Roman" w:cs="Times New Roman"/>
        </w:rPr>
        <w:t>operations</w:t>
      </w:r>
      <w:proofErr w:type="gramEnd"/>
      <w:r w:rsidR="00265FD7">
        <w:rPr>
          <w:rFonts w:ascii="Times New Roman" w:hAnsi="Times New Roman" w:cs="Times New Roman"/>
        </w:rPr>
        <w:t xml:space="preserve"> and improving public service delivery, also through digital platforms. Involvement of multiple agencies in the digital development domain is often accompanied with a lack of clarity on the roles and responsibilities which</w:t>
      </w:r>
      <w:r w:rsidR="00C9548E">
        <w:rPr>
          <w:rFonts w:ascii="Times New Roman" w:hAnsi="Times New Roman" w:cs="Times New Roman"/>
        </w:rPr>
        <w:t xml:space="preserve"> leads to overlapping functions and duplication of resources and efforts in the institutional governance.</w:t>
      </w:r>
    </w:p>
    <w:p w14:paraId="3E42975C" w14:textId="093AA3CA" w:rsidR="00CF5A88" w:rsidRPr="00CF5A88" w:rsidRDefault="003B7234" w:rsidP="00CF5A88">
      <w:pPr>
        <w:tabs>
          <w:tab w:val="left" w:pos="2150"/>
        </w:tabs>
        <w:jc w:val="both"/>
        <w:rPr>
          <w:rFonts w:ascii="Times New Roman" w:hAnsi="Times New Roman" w:cs="Times New Roman"/>
        </w:rPr>
      </w:pPr>
      <w:r>
        <w:rPr>
          <w:rFonts w:ascii="Times New Roman" w:hAnsi="Times New Roman" w:cs="Times New Roman"/>
          <w:b/>
          <w:bCs/>
        </w:rPr>
        <w:lastRenderedPageBreak/>
        <w:t>4</w:t>
      </w:r>
      <w:r w:rsidR="00075087">
        <w:rPr>
          <w:rFonts w:ascii="Times New Roman" w:hAnsi="Times New Roman" w:cs="Times New Roman"/>
          <w:b/>
          <w:bCs/>
        </w:rPr>
        <w:t>3</w:t>
      </w:r>
      <w:r>
        <w:rPr>
          <w:rFonts w:ascii="Times New Roman" w:hAnsi="Times New Roman" w:cs="Times New Roman"/>
          <w:b/>
          <w:bCs/>
        </w:rPr>
        <w:t xml:space="preserve">. </w:t>
      </w:r>
      <w:r w:rsidR="00CF5A88" w:rsidRPr="00CF5A88">
        <w:rPr>
          <w:rFonts w:ascii="Times New Roman" w:hAnsi="Times New Roman" w:cs="Times New Roman"/>
          <w:b/>
          <w:bCs/>
        </w:rPr>
        <w:t xml:space="preserve">House of the Citizen </w:t>
      </w:r>
      <w:r w:rsidR="00CF5A88" w:rsidRPr="00CF5A88">
        <w:rPr>
          <w:rFonts w:ascii="Times New Roman" w:hAnsi="Times New Roman" w:cs="Times New Roman"/>
          <w:b/>
          <w:bCs/>
          <w:i/>
          <w:iCs/>
        </w:rPr>
        <w:t xml:space="preserve">(Casa do </w:t>
      </w:r>
      <w:proofErr w:type="spellStart"/>
      <w:r w:rsidR="00CF5A88" w:rsidRPr="00CF5A88">
        <w:rPr>
          <w:rFonts w:ascii="Times New Roman" w:hAnsi="Times New Roman" w:cs="Times New Roman"/>
          <w:b/>
          <w:bCs/>
          <w:i/>
          <w:iCs/>
        </w:rPr>
        <w:t>Cidadão</w:t>
      </w:r>
      <w:proofErr w:type="spellEnd"/>
      <w:r w:rsidR="00CF5A88" w:rsidRPr="00CF5A88">
        <w:rPr>
          <w:rFonts w:ascii="Times New Roman" w:hAnsi="Times New Roman" w:cs="Times New Roman"/>
          <w:b/>
          <w:bCs/>
        </w:rPr>
        <w:t xml:space="preserve">) and System of Civil Identification and Authentication Program (SNIAC </w:t>
      </w:r>
      <w:r w:rsidR="00966394">
        <w:rPr>
          <w:rFonts w:ascii="Times New Roman" w:hAnsi="Times New Roman" w:cs="Times New Roman"/>
          <w:b/>
          <w:bCs/>
        </w:rPr>
        <w:t>–</w:t>
      </w:r>
      <w:r w:rsidR="00CF5A88" w:rsidRPr="00CF5A88">
        <w:rPr>
          <w:rFonts w:ascii="Times New Roman" w:hAnsi="Times New Roman" w:cs="Times New Roman"/>
          <w:b/>
          <w:bCs/>
        </w:rPr>
        <w:t xml:space="preserve"> </w:t>
      </w:r>
      <w:r w:rsidR="00CF5A88" w:rsidRPr="00CF5A88">
        <w:rPr>
          <w:rFonts w:ascii="Times New Roman" w:hAnsi="Times New Roman" w:cs="Times New Roman"/>
          <w:b/>
          <w:bCs/>
          <w:i/>
          <w:iCs/>
        </w:rPr>
        <w:t xml:space="preserve">Sistema Nacional de </w:t>
      </w:r>
      <w:proofErr w:type="spellStart"/>
      <w:r w:rsidR="00CF5A88" w:rsidRPr="00CF5A88">
        <w:rPr>
          <w:rFonts w:ascii="Times New Roman" w:hAnsi="Times New Roman" w:cs="Times New Roman"/>
          <w:b/>
          <w:bCs/>
          <w:i/>
          <w:iCs/>
        </w:rPr>
        <w:t>Identificação</w:t>
      </w:r>
      <w:proofErr w:type="spellEnd"/>
      <w:r w:rsidR="00CF5A88" w:rsidRPr="00CF5A88">
        <w:rPr>
          <w:rFonts w:ascii="Times New Roman" w:hAnsi="Times New Roman" w:cs="Times New Roman"/>
          <w:b/>
          <w:bCs/>
          <w:i/>
          <w:iCs/>
        </w:rPr>
        <w:t xml:space="preserve"> e </w:t>
      </w:r>
      <w:proofErr w:type="spellStart"/>
      <w:r w:rsidR="00CF5A88" w:rsidRPr="00CF5A88">
        <w:rPr>
          <w:rFonts w:ascii="Times New Roman" w:hAnsi="Times New Roman" w:cs="Times New Roman"/>
          <w:b/>
          <w:bCs/>
          <w:i/>
          <w:iCs/>
        </w:rPr>
        <w:t>Autenticação</w:t>
      </w:r>
      <w:proofErr w:type="spellEnd"/>
      <w:r w:rsidR="00CF5A88" w:rsidRPr="00CF5A88">
        <w:rPr>
          <w:rFonts w:ascii="Times New Roman" w:hAnsi="Times New Roman" w:cs="Times New Roman"/>
          <w:b/>
          <w:bCs/>
          <w:i/>
          <w:iCs/>
        </w:rPr>
        <w:t xml:space="preserve"> Civil</w:t>
      </w:r>
      <w:r w:rsidR="00CF5A88" w:rsidRPr="00CF5A88">
        <w:rPr>
          <w:rFonts w:ascii="Times New Roman" w:hAnsi="Times New Roman" w:cs="Times New Roman"/>
          <w:b/>
          <w:bCs/>
        </w:rPr>
        <w:t>) are also vital foundations of the digital government.</w:t>
      </w:r>
      <w:r w:rsidR="00CF5A88" w:rsidRPr="00CF5A88">
        <w:rPr>
          <w:rFonts w:ascii="Times New Roman" w:hAnsi="Times New Roman" w:cs="Times New Roman"/>
        </w:rPr>
        <w:t xml:space="preserve"> Casa do </w:t>
      </w:r>
      <w:proofErr w:type="spellStart"/>
      <w:r w:rsidR="00CF5A88" w:rsidRPr="00CF5A88">
        <w:rPr>
          <w:rFonts w:ascii="Times New Roman" w:hAnsi="Times New Roman" w:cs="Times New Roman"/>
        </w:rPr>
        <w:t>Cidadão</w:t>
      </w:r>
      <w:proofErr w:type="spellEnd"/>
      <w:r w:rsidR="00CF5A88" w:rsidRPr="00CF5A88">
        <w:rPr>
          <w:rFonts w:ascii="Times New Roman" w:hAnsi="Times New Roman" w:cs="Times New Roman"/>
        </w:rPr>
        <w:t xml:space="preserve"> is a single window platform for citizens and businesses to access public administration services. The program, launched by </w:t>
      </w:r>
      <w:proofErr w:type="spellStart"/>
      <w:r w:rsidR="00CF5A88" w:rsidRPr="00CF5A88">
        <w:rPr>
          <w:rFonts w:ascii="Times New Roman" w:hAnsi="Times New Roman" w:cs="Times New Roman"/>
        </w:rPr>
        <w:t>NOSi</w:t>
      </w:r>
      <w:proofErr w:type="spellEnd"/>
      <w:r w:rsidR="00CF5A88" w:rsidRPr="00CF5A88">
        <w:rPr>
          <w:rFonts w:ascii="Times New Roman" w:hAnsi="Times New Roman" w:cs="Times New Roman"/>
        </w:rPr>
        <w:t xml:space="preserve"> and the Ministry of Justice in 2007, provides a unified and centralized approach for physical, digital, and telephone interactions. As a result, Cabo Verdean Government issued digital passports since 2016. Based on the upgraded infrastructure, e-IDs have been distributed to 35,000 residents since 2018. Still, the e-ID system is operating only partially, with several significant issues. Due to logistical problems, the e-IDs are available for distribution in selected settlements only. In addition, digital signatures are not fully enabled since digital government applications are not upgraded to allow digital signing during online transactions. In addition, the CNIs come with concerns over security issues, impeding the rapid roll-out and adoption of digital authentication in Cabo Verde. </w:t>
      </w:r>
    </w:p>
    <w:p w14:paraId="1BB58515" w14:textId="29AA400B" w:rsidR="00CF5A88" w:rsidRPr="00CF5A88" w:rsidRDefault="0059561A" w:rsidP="00CF5A88">
      <w:pPr>
        <w:tabs>
          <w:tab w:val="left" w:pos="2150"/>
        </w:tabs>
        <w:jc w:val="both"/>
        <w:rPr>
          <w:rFonts w:ascii="Times New Roman" w:hAnsi="Times New Roman" w:cs="Times New Roman"/>
        </w:rPr>
      </w:pPr>
      <w:r>
        <w:rPr>
          <w:rFonts w:ascii="Times New Roman" w:hAnsi="Times New Roman" w:cs="Times New Roman"/>
          <w:b/>
          <w:bCs/>
        </w:rPr>
        <w:t>4</w:t>
      </w:r>
      <w:r w:rsidR="00075087">
        <w:rPr>
          <w:rFonts w:ascii="Times New Roman" w:hAnsi="Times New Roman" w:cs="Times New Roman"/>
          <w:b/>
          <w:bCs/>
        </w:rPr>
        <w:t>4</w:t>
      </w:r>
      <w:r w:rsidR="003B7234">
        <w:rPr>
          <w:rFonts w:ascii="Times New Roman" w:hAnsi="Times New Roman" w:cs="Times New Roman"/>
          <w:b/>
          <w:bCs/>
        </w:rPr>
        <w:t xml:space="preserve">. </w:t>
      </w:r>
      <w:r w:rsidR="00CF5A88" w:rsidRPr="00CF5A88">
        <w:rPr>
          <w:rFonts w:ascii="Times New Roman" w:hAnsi="Times New Roman" w:cs="Times New Roman"/>
          <w:b/>
          <w:bCs/>
        </w:rPr>
        <w:t>Data exchange practices, still in inception, have good prospects of rapid development.</w:t>
      </w:r>
      <w:r w:rsidR="00CF5A88" w:rsidRPr="00CF5A88">
        <w:rPr>
          <w:rFonts w:ascii="Times New Roman" w:hAnsi="Times New Roman" w:cs="Times New Roman"/>
        </w:rPr>
        <w:t xml:space="preserve"> A Platform for Data Exchange, PDEX, </w:t>
      </w:r>
      <w:r w:rsidR="0075193E">
        <w:rPr>
          <w:rFonts w:ascii="Times New Roman" w:hAnsi="Times New Roman" w:cs="Times New Roman"/>
        </w:rPr>
        <w:t xml:space="preserve">allows </w:t>
      </w:r>
      <w:r w:rsidR="00CF5A88" w:rsidRPr="00CF5A88">
        <w:rPr>
          <w:rFonts w:ascii="Times New Roman" w:hAnsi="Times New Roman" w:cs="Times New Roman"/>
        </w:rPr>
        <w:t xml:space="preserve">operators/users from different sectors, such as finance, health, and others, </w:t>
      </w:r>
      <w:r w:rsidR="0075193E">
        <w:rPr>
          <w:rFonts w:ascii="Times New Roman" w:hAnsi="Times New Roman" w:cs="Times New Roman"/>
        </w:rPr>
        <w:t xml:space="preserve">to </w:t>
      </w:r>
      <w:r w:rsidR="00CF5A88" w:rsidRPr="00CF5A88">
        <w:rPr>
          <w:rFonts w:ascii="Times New Roman" w:hAnsi="Times New Roman" w:cs="Times New Roman"/>
        </w:rPr>
        <w:t xml:space="preserve">access open government data through </w:t>
      </w:r>
      <w:r w:rsidR="00036328" w:rsidRPr="00036328">
        <w:rPr>
          <w:rFonts w:ascii="Times New Roman" w:hAnsi="Times New Roman" w:cs="Times New Roman"/>
        </w:rPr>
        <w:t xml:space="preserve">Application Programming Interface </w:t>
      </w:r>
      <w:r w:rsidR="00036328">
        <w:rPr>
          <w:rFonts w:ascii="Times New Roman" w:hAnsi="Times New Roman" w:cs="Times New Roman"/>
        </w:rPr>
        <w:t>(</w:t>
      </w:r>
      <w:r w:rsidR="00CF5A88" w:rsidRPr="00CF5A88">
        <w:rPr>
          <w:rFonts w:ascii="Times New Roman" w:hAnsi="Times New Roman" w:cs="Times New Roman"/>
        </w:rPr>
        <w:t>APIs</w:t>
      </w:r>
      <w:r w:rsidR="00036328">
        <w:rPr>
          <w:rFonts w:ascii="Times New Roman" w:hAnsi="Times New Roman" w:cs="Times New Roman"/>
        </w:rPr>
        <w:t>)</w:t>
      </w:r>
      <w:r w:rsidR="00CF5A88" w:rsidRPr="00CF5A88">
        <w:rPr>
          <w:rFonts w:ascii="Times New Roman" w:hAnsi="Times New Roman" w:cs="Times New Roman"/>
        </w:rPr>
        <w:t xml:space="preserve"> directly. </w:t>
      </w:r>
      <w:r w:rsidR="0075193E">
        <w:rPr>
          <w:rFonts w:ascii="Times New Roman" w:hAnsi="Times New Roman" w:cs="Times New Roman"/>
        </w:rPr>
        <w:t>T</w:t>
      </w:r>
      <w:r w:rsidR="00CF5A88" w:rsidRPr="00CF5A88">
        <w:rPr>
          <w:rFonts w:ascii="Times New Roman" w:hAnsi="Times New Roman" w:cs="Times New Roman"/>
        </w:rPr>
        <w:t xml:space="preserve">he framework will help Cabo Verde adopt and implement an open government data policy. </w:t>
      </w:r>
    </w:p>
    <w:p w14:paraId="1DBF363F" w14:textId="3E56E4FE" w:rsidR="00CF5A88" w:rsidRPr="00CF5A88" w:rsidRDefault="00075087" w:rsidP="00CF5A88">
      <w:pPr>
        <w:tabs>
          <w:tab w:val="left" w:pos="2150"/>
        </w:tabs>
        <w:spacing w:before="240"/>
        <w:jc w:val="both"/>
        <w:rPr>
          <w:rFonts w:ascii="Times New Roman" w:hAnsi="Times New Roman" w:cs="Times New Roman"/>
          <w:b/>
          <w:bCs/>
        </w:rPr>
      </w:pPr>
      <w:r>
        <w:rPr>
          <w:rFonts w:ascii="Times New Roman" w:hAnsi="Times New Roman" w:cs="Times New Roman"/>
          <w:b/>
          <w:bCs/>
        </w:rPr>
        <w:t>45</w:t>
      </w:r>
      <w:r w:rsidR="003B7234">
        <w:rPr>
          <w:rFonts w:ascii="Times New Roman" w:hAnsi="Times New Roman" w:cs="Times New Roman"/>
          <w:b/>
          <w:bCs/>
        </w:rPr>
        <w:t xml:space="preserve">. </w:t>
      </w:r>
      <w:r w:rsidR="00CF5A88" w:rsidRPr="00CF5A88">
        <w:rPr>
          <w:rFonts w:ascii="Times New Roman" w:hAnsi="Times New Roman" w:cs="Times New Roman"/>
          <w:b/>
          <w:bCs/>
        </w:rPr>
        <w:t xml:space="preserve">Through an online service delivery platform, the Government of Cabo Verde provides numerous public administration services for all life events, accessible also for Diaspora residents. </w:t>
      </w:r>
      <w:r w:rsidR="00CF5A88" w:rsidRPr="00CF5A88">
        <w:rPr>
          <w:rFonts w:ascii="Times New Roman" w:hAnsi="Times New Roman" w:cs="Times New Roman"/>
        </w:rPr>
        <w:t xml:space="preserve">The unified e-government website </w:t>
      </w:r>
      <w:r w:rsidR="00966394">
        <w:rPr>
          <w:rFonts w:ascii="Times New Roman" w:hAnsi="Times New Roman" w:cs="Times New Roman"/>
        </w:rPr>
        <w:t>–</w:t>
      </w:r>
      <w:r w:rsidR="00CF5A88" w:rsidRPr="00CF5A88">
        <w:rPr>
          <w:rFonts w:ascii="Times New Roman" w:hAnsi="Times New Roman" w:cs="Times New Roman"/>
        </w:rPr>
        <w:t xml:space="preserve"> </w:t>
      </w:r>
      <w:r w:rsidR="00966394">
        <w:rPr>
          <w:rFonts w:ascii="Times New Roman" w:hAnsi="Times New Roman" w:cs="Times New Roman"/>
        </w:rPr>
        <w:t>“</w:t>
      </w:r>
      <w:proofErr w:type="spellStart"/>
      <w:r w:rsidR="00CF5A88" w:rsidRPr="00CF5A88">
        <w:rPr>
          <w:rFonts w:ascii="Times New Roman" w:hAnsi="Times New Roman" w:cs="Times New Roman"/>
        </w:rPr>
        <w:t>Porton</w:t>
      </w:r>
      <w:proofErr w:type="spellEnd"/>
      <w:r w:rsidR="00CF5A88" w:rsidRPr="00CF5A88">
        <w:rPr>
          <w:rFonts w:ascii="Times New Roman" w:hAnsi="Times New Roman" w:cs="Times New Roman"/>
        </w:rPr>
        <w:t xml:space="preserve"> Di Nos </w:t>
      </w:r>
      <w:proofErr w:type="spellStart"/>
      <w:r w:rsidR="00CF5A88" w:rsidRPr="00CF5A88">
        <w:rPr>
          <w:rFonts w:ascii="Times New Roman" w:hAnsi="Times New Roman" w:cs="Times New Roman"/>
        </w:rPr>
        <w:t>Ilha</w:t>
      </w:r>
      <w:proofErr w:type="spellEnd"/>
      <w:r w:rsidR="00966394">
        <w:rPr>
          <w:rFonts w:ascii="Times New Roman" w:hAnsi="Times New Roman" w:cs="Times New Roman"/>
        </w:rPr>
        <w:t>”</w:t>
      </w:r>
      <w:r w:rsidR="00CF5A88" w:rsidRPr="00CF5A88">
        <w:rPr>
          <w:rFonts w:ascii="Times New Roman" w:hAnsi="Times New Roman" w:cs="Times New Roman"/>
        </w:rPr>
        <w:t xml:space="preserve"> (The Gate to our Islands), provides information and access to online public services</w:t>
      </w:r>
      <w:r w:rsidR="00CF5A88" w:rsidRPr="00CF5A88" w:rsidDel="0055731C">
        <w:rPr>
          <w:rFonts w:ascii="Times New Roman" w:hAnsi="Times New Roman" w:cs="Times New Roman"/>
        </w:rPr>
        <w:t>.</w:t>
      </w:r>
      <w:r w:rsidR="00CF5A88" w:rsidRPr="00CF5A88">
        <w:rPr>
          <w:rStyle w:val="FootnoteReference"/>
          <w:rFonts w:ascii="Times New Roman" w:hAnsi="Times New Roman" w:cs="Times New Roman"/>
        </w:rPr>
        <w:t xml:space="preserve"> </w:t>
      </w:r>
      <w:r w:rsidR="00CF5A88" w:rsidRPr="00CF5A88">
        <w:rPr>
          <w:rStyle w:val="FootnoteReference"/>
          <w:rFonts w:ascii="Times New Roman" w:hAnsi="Times New Roman" w:cs="Times New Roman"/>
        </w:rPr>
        <w:footnoteReference w:id="15"/>
      </w:r>
      <w:r w:rsidR="00CF5A88" w:rsidRPr="00CF5A88">
        <w:rPr>
          <w:rFonts w:ascii="Times New Roman" w:hAnsi="Times New Roman" w:cs="Times New Roman"/>
        </w:rPr>
        <w:t xml:space="preserve"> Despite contemplating to become an online single window, the website does not include all existing digital government services. The Ministry of Family and Social Inclusion uses its own website to provide its online services to the citizens. Currently, </w:t>
      </w:r>
      <w:r w:rsidR="00966394">
        <w:rPr>
          <w:rFonts w:ascii="Times New Roman" w:hAnsi="Times New Roman" w:cs="Times New Roman"/>
        </w:rPr>
        <w:t>“</w:t>
      </w:r>
      <w:proofErr w:type="spellStart"/>
      <w:r w:rsidR="00CF5A88" w:rsidRPr="00CF5A88">
        <w:rPr>
          <w:rFonts w:ascii="Times New Roman" w:hAnsi="Times New Roman" w:cs="Times New Roman"/>
        </w:rPr>
        <w:t>Porton</w:t>
      </w:r>
      <w:proofErr w:type="spellEnd"/>
      <w:r w:rsidR="00CF5A88" w:rsidRPr="00CF5A88">
        <w:rPr>
          <w:rFonts w:ascii="Times New Roman" w:hAnsi="Times New Roman" w:cs="Times New Roman"/>
        </w:rPr>
        <w:t xml:space="preserve"> Di Nos </w:t>
      </w:r>
      <w:proofErr w:type="spellStart"/>
      <w:r w:rsidR="00CF5A88" w:rsidRPr="00CF5A88">
        <w:rPr>
          <w:rFonts w:ascii="Times New Roman" w:hAnsi="Times New Roman" w:cs="Times New Roman"/>
        </w:rPr>
        <w:t>Ilha</w:t>
      </w:r>
      <w:proofErr w:type="spellEnd"/>
      <w:r w:rsidR="00966394">
        <w:rPr>
          <w:rFonts w:ascii="Times New Roman" w:hAnsi="Times New Roman" w:cs="Times New Roman"/>
        </w:rPr>
        <w:t>”</w:t>
      </w:r>
      <w:r w:rsidR="00CF5A88" w:rsidRPr="00CF5A88">
        <w:rPr>
          <w:rFonts w:ascii="Times New Roman" w:hAnsi="Times New Roman" w:cs="Times New Roman"/>
        </w:rPr>
        <w:t xml:space="preserve"> lists about 100 services under doing business, tax and </w:t>
      </w:r>
      <w:r w:rsidR="00CF5A88" w:rsidRPr="00CF5A88" w:rsidDel="007D5464">
        <w:rPr>
          <w:rFonts w:ascii="Times New Roman" w:hAnsi="Times New Roman" w:cs="Times New Roman"/>
        </w:rPr>
        <w:t xml:space="preserve">customs administration, education, employment, health, </w:t>
      </w:r>
      <w:r w:rsidR="00CF5A88" w:rsidRPr="00CF5A88">
        <w:rPr>
          <w:rFonts w:ascii="Times New Roman" w:hAnsi="Times New Roman" w:cs="Times New Roman"/>
        </w:rPr>
        <w:t xml:space="preserve">housing, family-related, and elections categories. Twenty of the available online services are transactional. In addition, the government links and provides unified access to the same services through physical and mobile </w:t>
      </w:r>
      <w:r w:rsidR="00966394">
        <w:rPr>
          <w:rFonts w:ascii="Times New Roman" w:hAnsi="Times New Roman" w:cs="Times New Roman"/>
        </w:rPr>
        <w:t>“</w:t>
      </w:r>
      <w:r w:rsidR="00CF5A88" w:rsidRPr="00CF5A88">
        <w:rPr>
          <w:rFonts w:ascii="Times New Roman" w:hAnsi="Times New Roman" w:cs="Times New Roman"/>
        </w:rPr>
        <w:t xml:space="preserve">Casa do </w:t>
      </w:r>
      <w:proofErr w:type="spellStart"/>
      <w:r w:rsidR="00CF5A88" w:rsidRPr="00CF5A88">
        <w:rPr>
          <w:rFonts w:ascii="Times New Roman" w:hAnsi="Times New Roman" w:cs="Times New Roman"/>
        </w:rPr>
        <w:t>Cidadão</w:t>
      </w:r>
      <w:proofErr w:type="spellEnd"/>
      <w:r w:rsidR="00966394">
        <w:rPr>
          <w:rFonts w:ascii="Times New Roman" w:hAnsi="Times New Roman" w:cs="Times New Roman"/>
        </w:rPr>
        <w:t>”</w:t>
      </w:r>
      <w:r w:rsidR="00CF5A88" w:rsidRPr="00CF5A88">
        <w:rPr>
          <w:rFonts w:ascii="Times New Roman" w:hAnsi="Times New Roman" w:cs="Times New Roman"/>
        </w:rPr>
        <w:t xml:space="preserve"> (House of the Citizen) locations. The </w:t>
      </w:r>
      <w:proofErr w:type="spellStart"/>
      <w:r w:rsidR="00CF5A88" w:rsidRPr="00CF5A88">
        <w:rPr>
          <w:rFonts w:ascii="Times New Roman" w:hAnsi="Times New Roman" w:cs="Times New Roman"/>
        </w:rPr>
        <w:t>Porton</w:t>
      </w:r>
      <w:proofErr w:type="spellEnd"/>
      <w:r w:rsidR="00CF5A88" w:rsidRPr="00CF5A88">
        <w:rPr>
          <w:rFonts w:ascii="Times New Roman" w:hAnsi="Times New Roman" w:cs="Times New Roman"/>
        </w:rPr>
        <w:t xml:space="preserve"> Di Nos </w:t>
      </w:r>
      <w:proofErr w:type="spellStart"/>
      <w:r w:rsidR="00CF5A88" w:rsidRPr="00CF5A88">
        <w:rPr>
          <w:rFonts w:ascii="Times New Roman" w:hAnsi="Times New Roman" w:cs="Times New Roman"/>
        </w:rPr>
        <w:t>Ilha</w:t>
      </w:r>
      <w:proofErr w:type="spellEnd"/>
      <w:r w:rsidR="00CF5A88" w:rsidRPr="00CF5A88">
        <w:rPr>
          <w:rFonts w:ascii="Times New Roman" w:hAnsi="Times New Roman" w:cs="Times New Roman"/>
        </w:rPr>
        <w:t xml:space="preserve"> also includes platforms for </w:t>
      </w:r>
      <w:proofErr w:type="spellStart"/>
      <w:r w:rsidR="00CF5A88" w:rsidRPr="00CF5A88">
        <w:rPr>
          <w:rFonts w:ascii="Times New Roman" w:hAnsi="Times New Roman" w:cs="Times New Roman"/>
        </w:rPr>
        <w:t>eParticipation</w:t>
      </w:r>
      <w:proofErr w:type="spellEnd"/>
      <w:r w:rsidR="00CF5A88" w:rsidRPr="00CF5A88">
        <w:rPr>
          <w:rFonts w:ascii="Times New Roman" w:hAnsi="Times New Roman" w:cs="Times New Roman"/>
        </w:rPr>
        <w:t xml:space="preserve"> and citizen engagement through feedback mechanisms. The integration among online, physical, and mobile modalities has been through the single government network and information database developed and operated by </w:t>
      </w:r>
      <w:proofErr w:type="spellStart"/>
      <w:r w:rsidR="00CF5A88" w:rsidRPr="00CF5A88">
        <w:rPr>
          <w:rFonts w:ascii="Times New Roman" w:hAnsi="Times New Roman" w:cs="Times New Roman"/>
        </w:rPr>
        <w:t>NOSi</w:t>
      </w:r>
      <w:proofErr w:type="spellEnd"/>
      <w:r w:rsidR="00CF5A88" w:rsidRPr="00CF5A88">
        <w:rPr>
          <w:rFonts w:ascii="Times New Roman" w:hAnsi="Times New Roman" w:cs="Times New Roman"/>
        </w:rPr>
        <w:t xml:space="preserve">. </w:t>
      </w:r>
    </w:p>
    <w:p w14:paraId="652AD778" w14:textId="3EBC9D03" w:rsidR="0089292D" w:rsidRDefault="00075087" w:rsidP="00CF5A88">
      <w:pPr>
        <w:tabs>
          <w:tab w:val="left" w:pos="2150"/>
        </w:tabs>
        <w:spacing w:before="240"/>
        <w:jc w:val="both"/>
        <w:rPr>
          <w:rFonts w:ascii="Times New Roman" w:hAnsi="Times New Roman" w:cs="Times New Roman"/>
        </w:rPr>
      </w:pPr>
      <w:r>
        <w:rPr>
          <w:rFonts w:ascii="Times New Roman" w:hAnsi="Times New Roman" w:cs="Times New Roman"/>
          <w:b/>
          <w:bCs/>
        </w:rPr>
        <w:t>46</w:t>
      </w:r>
      <w:r w:rsidR="003B7234">
        <w:rPr>
          <w:rFonts w:ascii="Times New Roman" w:hAnsi="Times New Roman" w:cs="Times New Roman"/>
          <w:b/>
          <w:bCs/>
        </w:rPr>
        <w:t xml:space="preserve">. </w:t>
      </w:r>
      <w:r w:rsidR="00CF5A88" w:rsidRPr="00CF5A88">
        <w:rPr>
          <w:rFonts w:ascii="Times New Roman" w:hAnsi="Times New Roman" w:cs="Times New Roman"/>
          <w:b/>
          <w:bCs/>
        </w:rPr>
        <w:t xml:space="preserve">The e-government infrastructure is not competitive enough to support resilient service delivery. </w:t>
      </w:r>
      <w:r w:rsidR="00CF5A88" w:rsidRPr="00CF5A88">
        <w:rPr>
          <w:rFonts w:ascii="Times New Roman" w:hAnsi="Times New Roman" w:cs="Times New Roman"/>
        </w:rPr>
        <w:t>The 2020 United Nations Electronic Government Development Index (EGDI) ranked the country 110</w:t>
      </w:r>
      <w:r w:rsidR="00CF5A88" w:rsidRPr="00CF5A88">
        <w:rPr>
          <w:rFonts w:ascii="Times New Roman" w:hAnsi="Times New Roman" w:cs="Times New Roman"/>
          <w:vertAlign w:val="superscript"/>
        </w:rPr>
        <w:t>th</w:t>
      </w:r>
      <w:r w:rsidR="00CF5A88" w:rsidRPr="00CF5A88">
        <w:rPr>
          <w:rFonts w:ascii="Times New Roman" w:hAnsi="Times New Roman" w:cs="Times New Roman"/>
        </w:rPr>
        <w:t xml:space="preserve"> out of 193 (Table </w:t>
      </w:r>
      <w:r w:rsidR="00385597">
        <w:rPr>
          <w:rFonts w:ascii="Times New Roman" w:hAnsi="Times New Roman" w:cs="Times New Roman"/>
        </w:rPr>
        <w:t>4</w:t>
      </w:r>
      <w:r w:rsidR="00CF5A88" w:rsidRPr="00CF5A88">
        <w:rPr>
          <w:rFonts w:ascii="Times New Roman" w:hAnsi="Times New Roman" w:cs="Times New Roman"/>
        </w:rPr>
        <w:t>). The EGDI is a composite measure of three dimensions of e-government, including provision of online services, telecommunication connectivity and human capacity. The leaders of the e-government system sophistication among the peer countries are Mauritius (63</w:t>
      </w:r>
      <w:r w:rsidR="00CF5A88" w:rsidRPr="00CF5A88">
        <w:rPr>
          <w:rFonts w:ascii="Times New Roman" w:hAnsi="Times New Roman" w:cs="Times New Roman"/>
          <w:vertAlign w:val="superscript"/>
        </w:rPr>
        <w:t>rd</w:t>
      </w:r>
      <w:r w:rsidR="00CF5A88" w:rsidRPr="00CF5A88">
        <w:rPr>
          <w:rFonts w:ascii="Times New Roman" w:hAnsi="Times New Roman" w:cs="Times New Roman"/>
        </w:rPr>
        <w:t>), Seychelles (76</w:t>
      </w:r>
      <w:r w:rsidR="00CF5A88" w:rsidRPr="00CF5A88">
        <w:rPr>
          <w:rFonts w:ascii="Times New Roman" w:hAnsi="Times New Roman" w:cs="Times New Roman"/>
          <w:vertAlign w:val="superscript"/>
        </w:rPr>
        <w:t>th</w:t>
      </w:r>
      <w:r w:rsidR="00CF5A88" w:rsidRPr="00CF5A88">
        <w:rPr>
          <w:rFonts w:ascii="Times New Roman" w:hAnsi="Times New Roman" w:cs="Times New Roman"/>
        </w:rPr>
        <w:t>), and Saint Kitts and Nevis (95</w:t>
      </w:r>
      <w:r w:rsidR="00CF5A88" w:rsidRPr="00CF5A88">
        <w:rPr>
          <w:rFonts w:ascii="Times New Roman" w:hAnsi="Times New Roman" w:cs="Times New Roman"/>
          <w:vertAlign w:val="superscript"/>
        </w:rPr>
        <w:t>th</w:t>
      </w:r>
      <w:r w:rsidR="00CF5A88" w:rsidRPr="00CF5A88">
        <w:rPr>
          <w:rFonts w:ascii="Times New Roman" w:hAnsi="Times New Roman" w:cs="Times New Roman"/>
        </w:rPr>
        <w:t>). According to EGDI, Cabo Verde</w:t>
      </w:r>
      <w:r w:rsidR="00966394">
        <w:rPr>
          <w:rFonts w:ascii="Times New Roman" w:hAnsi="Times New Roman" w:cs="Times New Roman"/>
        </w:rPr>
        <w:t>’</w:t>
      </w:r>
      <w:r w:rsidR="00CF5A88" w:rsidRPr="00CF5A88">
        <w:rPr>
          <w:rFonts w:ascii="Times New Roman" w:hAnsi="Times New Roman" w:cs="Times New Roman"/>
        </w:rPr>
        <w:t xml:space="preserve">s performance is also behind Ghana, Bhutan and Saint Vincent and the Grenadines. The Telecommunication Infrastructure scored the highest among subindices, and Human Capital was assessed as the weakest area for Cabo Verde. </w:t>
      </w:r>
    </w:p>
    <w:p w14:paraId="503A8FC8" w14:textId="71AAD2C1" w:rsidR="00247579" w:rsidRDefault="00247579" w:rsidP="00CF5A88">
      <w:pPr>
        <w:tabs>
          <w:tab w:val="left" w:pos="2150"/>
        </w:tabs>
        <w:spacing w:before="240"/>
        <w:jc w:val="both"/>
        <w:rPr>
          <w:rFonts w:ascii="Times New Roman" w:hAnsi="Times New Roman" w:cs="Times New Roman"/>
        </w:rPr>
      </w:pPr>
    </w:p>
    <w:p w14:paraId="416433EB" w14:textId="77777777" w:rsidR="00247579" w:rsidRDefault="00247579" w:rsidP="00CF5A88">
      <w:pPr>
        <w:tabs>
          <w:tab w:val="left" w:pos="2150"/>
        </w:tabs>
        <w:spacing w:before="240"/>
        <w:jc w:val="both"/>
        <w:rPr>
          <w:rFonts w:ascii="Times New Roman" w:hAnsi="Times New Roman" w:cs="Times New Roman"/>
        </w:rPr>
      </w:pPr>
    </w:p>
    <w:p w14:paraId="1A56784D" w14:textId="77777777" w:rsidR="0031340C" w:rsidRPr="00A27DC3" w:rsidRDefault="0031340C" w:rsidP="00CF5A88">
      <w:pPr>
        <w:tabs>
          <w:tab w:val="left" w:pos="2150"/>
        </w:tabs>
        <w:spacing w:before="240"/>
        <w:jc w:val="both"/>
        <w:rPr>
          <w:rFonts w:ascii="Times New Roman" w:hAnsi="Times New Roman" w:cs="Times New Roman"/>
        </w:rPr>
      </w:pPr>
    </w:p>
    <w:p w14:paraId="65F63CE4" w14:textId="6E1FADCC" w:rsidR="005A1732" w:rsidRPr="00A27DC3" w:rsidRDefault="002E2B3E">
      <w:pPr>
        <w:pStyle w:val="Caption"/>
        <w:jc w:val="center"/>
        <w:rPr>
          <w:rFonts w:ascii="Times New Roman" w:hAnsi="Times New Roman" w:cs="Times New Roman"/>
          <w:b/>
          <w:bCs/>
          <w:i w:val="0"/>
          <w:iCs w:val="0"/>
          <w:color w:val="2F5496" w:themeColor="accent1" w:themeShade="BF"/>
          <w:sz w:val="20"/>
          <w:szCs w:val="20"/>
        </w:rPr>
      </w:pPr>
      <w:bookmarkStart w:id="96" w:name="_Toc105592172"/>
      <w:r w:rsidRPr="00B87C41">
        <w:rPr>
          <w:rFonts w:ascii="Times New Roman" w:hAnsi="Times New Roman" w:cs="Times New Roman"/>
          <w:b/>
          <w:bCs/>
          <w:i w:val="0"/>
          <w:iCs w:val="0"/>
          <w:color w:val="2F5496" w:themeColor="accent1" w:themeShade="BF"/>
          <w:sz w:val="20"/>
          <w:szCs w:val="20"/>
        </w:rPr>
        <w:lastRenderedPageBreak/>
        <w:t xml:space="preserve">Table </w:t>
      </w:r>
      <w:r w:rsidRPr="00B87C41">
        <w:rPr>
          <w:rFonts w:ascii="Times New Roman" w:hAnsi="Times New Roman" w:cs="Times New Roman"/>
          <w:b/>
          <w:bCs/>
          <w:i w:val="0"/>
          <w:iCs w:val="0"/>
          <w:color w:val="2F5496" w:themeColor="accent1" w:themeShade="BF"/>
          <w:sz w:val="20"/>
          <w:szCs w:val="20"/>
        </w:rPr>
        <w:fldChar w:fldCharType="begin"/>
      </w:r>
      <w:r w:rsidRPr="00B87C41">
        <w:rPr>
          <w:rFonts w:ascii="Times New Roman" w:hAnsi="Times New Roman" w:cs="Times New Roman"/>
          <w:b/>
          <w:bCs/>
          <w:i w:val="0"/>
          <w:iCs w:val="0"/>
          <w:color w:val="2F5496" w:themeColor="accent1" w:themeShade="BF"/>
          <w:sz w:val="20"/>
          <w:szCs w:val="20"/>
        </w:rPr>
        <w:instrText xml:space="preserve"> SEQ Table \* ARABIC </w:instrText>
      </w:r>
      <w:r w:rsidRPr="00B87C41">
        <w:rPr>
          <w:rFonts w:ascii="Times New Roman" w:hAnsi="Times New Roman" w:cs="Times New Roman"/>
          <w:b/>
          <w:bCs/>
          <w:i w:val="0"/>
          <w:iCs w:val="0"/>
          <w:color w:val="2F5496" w:themeColor="accent1" w:themeShade="BF"/>
          <w:sz w:val="20"/>
          <w:szCs w:val="20"/>
        </w:rPr>
        <w:fldChar w:fldCharType="separate"/>
      </w:r>
      <w:r w:rsidR="0033433C">
        <w:rPr>
          <w:rFonts w:ascii="Times New Roman" w:hAnsi="Times New Roman" w:cs="Times New Roman"/>
          <w:b/>
          <w:bCs/>
          <w:i w:val="0"/>
          <w:iCs w:val="0"/>
          <w:noProof/>
          <w:color w:val="2F5496" w:themeColor="accent1" w:themeShade="BF"/>
          <w:sz w:val="20"/>
          <w:szCs w:val="20"/>
        </w:rPr>
        <w:t>3</w:t>
      </w:r>
      <w:r w:rsidRPr="00B87C41">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E-Government Development Index and Subindices</w:t>
      </w:r>
      <w:bookmarkEnd w:id="96"/>
      <w:r>
        <w:t xml:space="preserve"> </w:t>
      </w:r>
    </w:p>
    <w:tbl>
      <w:tblPr>
        <w:tblW w:w="9360" w:type="dxa"/>
        <w:tblLook w:val="04A0" w:firstRow="1" w:lastRow="0" w:firstColumn="1" w:lastColumn="0" w:noHBand="0" w:noVBand="1"/>
      </w:tblPr>
      <w:tblGrid>
        <w:gridCol w:w="2103"/>
        <w:gridCol w:w="1171"/>
        <w:gridCol w:w="1171"/>
        <w:gridCol w:w="1211"/>
        <w:gridCol w:w="996"/>
        <w:gridCol w:w="996"/>
        <w:gridCol w:w="1712"/>
      </w:tblGrid>
      <w:tr w:rsidR="00A94F50" w:rsidRPr="008F4B36" w14:paraId="73C1187A" w14:textId="77777777" w:rsidTr="008F4B36">
        <w:trPr>
          <w:trHeight w:val="290"/>
        </w:trPr>
        <w:tc>
          <w:tcPr>
            <w:tcW w:w="2345" w:type="dxa"/>
            <w:tcBorders>
              <w:top w:val="nil"/>
              <w:left w:val="nil"/>
              <w:bottom w:val="single" w:sz="12" w:space="0" w:color="FFFFFF" w:themeColor="background1"/>
              <w:right w:val="single" w:sz="4" w:space="0" w:color="FFFFFF" w:themeColor="background1"/>
            </w:tcBorders>
            <w:shd w:val="clear" w:color="auto" w:fill="A5A5A5" w:themeFill="accent3"/>
            <w:noWrap/>
            <w:vAlign w:val="bottom"/>
          </w:tcPr>
          <w:p w14:paraId="39C73997" w14:textId="77777777" w:rsidR="00A94F50" w:rsidRPr="008F4B36" w:rsidRDefault="00A94F50" w:rsidP="00E73756">
            <w:pPr>
              <w:spacing w:after="0" w:line="240" w:lineRule="auto"/>
              <w:rPr>
                <w:rFonts w:ascii="Times New Roman" w:eastAsia="Times New Roman" w:hAnsi="Times New Roman" w:cs="Times New Roman"/>
                <w:b/>
                <w:bCs/>
                <w:color w:val="FFFFFF"/>
                <w:sz w:val="20"/>
                <w:szCs w:val="20"/>
              </w:rPr>
            </w:pPr>
          </w:p>
        </w:tc>
        <w:tc>
          <w:tcPr>
            <w:tcW w:w="1097"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vAlign w:val="bottom"/>
            <w:hideMark/>
          </w:tcPr>
          <w:p w14:paraId="2AF92402" w14:textId="77777777" w:rsidR="00A94F50" w:rsidRPr="008F4B36" w:rsidRDefault="00A94F50" w:rsidP="00E73756">
            <w:pPr>
              <w:spacing w:after="0" w:line="240" w:lineRule="auto"/>
              <w:rPr>
                <w:rFonts w:ascii="Times New Roman" w:eastAsia="Times New Roman" w:hAnsi="Times New Roman" w:cs="Times New Roman"/>
                <w:b/>
                <w:bCs/>
                <w:color w:val="FFFFFF"/>
                <w:sz w:val="20"/>
                <w:szCs w:val="20"/>
              </w:rPr>
            </w:pPr>
            <w:r w:rsidRPr="008F4B36">
              <w:rPr>
                <w:rFonts w:ascii="Times New Roman" w:eastAsia="Times New Roman" w:hAnsi="Times New Roman" w:cs="Times New Roman"/>
                <w:b/>
                <w:bCs/>
                <w:color w:val="FFFFFF" w:themeColor="background1"/>
                <w:sz w:val="20"/>
                <w:szCs w:val="20"/>
              </w:rPr>
              <w:t>E-Government Rank</w:t>
            </w:r>
          </w:p>
        </w:tc>
        <w:tc>
          <w:tcPr>
            <w:tcW w:w="1097"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vAlign w:val="bottom"/>
            <w:hideMark/>
          </w:tcPr>
          <w:p w14:paraId="32E72583" w14:textId="77777777" w:rsidR="00A94F50" w:rsidRPr="008F4B36" w:rsidRDefault="00A94F50" w:rsidP="00E73756">
            <w:pPr>
              <w:spacing w:after="0" w:line="240" w:lineRule="auto"/>
              <w:rPr>
                <w:rFonts w:ascii="Times New Roman" w:eastAsia="Times New Roman" w:hAnsi="Times New Roman" w:cs="Times New Roman"/>
                <w:b/>
                <w:bCs/>
                <w:color w:val="FFFFFF"/>
                <w:sz w:val="20"/>
                <w:szCs w:val="20"/>
              </w:rPr>
            </w:pPr>
            <w:r w:rsidRPr="008F4B36">
              <w:rPr>
                <w:rFonts w:ascii="Times New Roman" w:eastAsia="Times New Roman" w:hAnsi="Times New Roman" w:cs="Times New Roman"/>
                <w:b/>
                <w:bCs/>
                <w:color w:val="FFFFFF" w:themeColor="background1"/>
                <w:sz w:val="20"/>
                <w:szCs w:val="20"/>
              </w:rPr>
              <w:t>E-Government Index</w:t>
            </w:r>
          </w:p>
        </w:tc>
        <w:tc>
          <w:tcPr>
            <w:tcW w:w="1097"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vAlign w:val="bottom"/>
            <w:hideMark/>
          </w:tcPr>
          <w:p w14:paraId="6896E2B0" w14:textId="77777777" w:rsidR="00A94F50" w:rsidRPr="008F4B36" w:rsidRDefault="00A94F50" w:rsidP="00E73756">
            <w:pPr>
              <w:spacing w:after="0" w:line="240" w:lineRule="auto"/>
              <w:rPr>
                <w:rFonts w:ascii="Times New Roman" w:eastAsia="Times New Roman" w:hAnsi="Times New Roman" w:cs="Times New Roman"/>
                <w:b/>
                <w:bCs/>
                <w:color w:val="FFFFFF"/>
                <w:sz w:val="20"/>
                <w:szCs w:val="20"/>
              </w:rPr>
            </w:pPr>
            <w:r w:rsidRPr="008F4B36">
              <w:rPr>
                <w:rFonts w:ascii="Times New Roman" w:eastAsia="Times New Roman" w:hAnsi="Times New Roman" w:cs="Times New Roman"/>
                <w:b/>
                <w:bCs/>
                <w:color w:val="FFFFFF" w:themeColor="background1"/>
                <w:sz w:val="20"/>
                <w:szCs w:val="20"/>
              </w:rPr>
              <w:t>E-Participation Index</w:t>
            </w:r>
          </w:p>
        </w:tc>
        <w:tc>
          <w:tcPr>
            <w:tcW w:w="1097"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vAlign w:val="bottom"/>
            <w:hideMark/>
          </w:tcPr>
          <w:p w14:paraId="7F835A71" w14:textId="77777777" w:rsidR="00A94F50" w:rsidRPr="008F4B36" w:rsidRDefault="00A94F50" w:rsidP="00E73756">
            <w:pPr>
              <w:spacing w:after="0" w:line="240" w:lineRule="auto"/>
              <w:rPr>
                <w:rFonts w:ascii="Times New Roman" w:eastAsia="Times New Roman" w:hAnsi="Times New Roman" w:cs="Times New Roman"/>
                <w:b/>
                <w:bCs/>
                <w:color w:val="FFFFFF"/>
                <w:sz w:val="20"/>
                <w:szCs w:val="20"/>
              </w:rPr>
            </w:pPr>
            <w:r w:rsidRPr="008F4B36">
              <w:rPr>
                <w:rFonts w:ascii="Times New Roman" w:eastAsia="Times New Roman" w:hAnsi="Times New Roman" w:cs="Times New Roman"/>
                <w:b/>
                <w:bCs/>
                <w:color w:val="FFFFFF" w:themeColor="background1"/>
                <w:sz w:val="20"/>
                <w:szCs w:val="20"/>
              </w:rPr>
              <w:t>Online Service Index</w:t>
            </w:r>
          </w:p>
        </w:tc>
        <w:tc>
          <w:tcPr>
            <w:tcW w:w="1097"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vAlign w:val="bottom"/>
            <w:hideMark/>
          </w:tcPr>
          <w:p w14:paraId="6D319F74" w14:textId="77777777" w:rsidR="00A94F50" w:rsidRPr="008F4B36" w:rsidRDefault="00A94F50" w:rsidP="00E73756">
            <w:pPr>
              <w:spacing w:after="0" w:line="240" w:lineRule="auto"/>
              <w:rPr>
                <w:rFonts w:ascii="Times New Roman" w:eastAsia="Times New Roman" w:hAnsi="Times New Roman" w:cs="Times New Roman"/>
                <w:b/>
                <w:bCs/>
                <w:color w:val="FFFFFF"/>
                <w:sz w:val="20"/>
                <w:szCs w:val="20"/>
              </w:rPr>
            </w:pPr>
            <w:r w:rsidRPr="008F4B36">
              <w:rPr>
                <w:rFonts w:ascii="Times New Roman" w:eastAsia="Times New Roman" w:hAnsi="Times New Roman" w:cs="Times New Roman"/>
                <w:b/>
                <w:bCs/>
                <w:color w:val="FFFFFF" w:themeColor="background1"/>
                <w:sz w:val="20"/>
                <w:szCs w:val="20"/>
              </w:rPr>
              <w:t>Human Capital Index</w:t>
            </w:r>
          </w:p>
        </w:tc>
        <w:tc>
          <w:tcPr>
            <w:tcW w:w="1530" w:type="dxa"/>
            <w:tcBorders>
              <w:top w:val="nil"/>
              <w:left w:val="single" w:sz="4" w:space="0" w:color="FFFFFF" w:themeColor="background1"/>
              <w:bottom w:val="single" w:sz="12" w:space="0" w:color="FFFFFF" w:themeColor="background1"/>
              <w:right w:val="nil"/>
            </w:tcBorders>
            <w:shd w:val="clear" w:color="auto" w:fill="A5A5A5" w:themeFill="accent3"/>
            <w:noWrap/>
            <w:vAlign w:val="bottom"/>
            <w:hideMark/>
          </w:tcPr>
          <w:p w14:paraId="23BF0F77" w14:textId="77777777" w:rsidR="00A94F50" w:rsidRPr="008F4B36" w:rsidRDefault="00A94F50" w:rsidP="00E73756">
            <w:pPr>
              <w:spacing w:after="0" w:line="240" w:lineRule="auto"/>
              <w:rPr>
                <w:rFonts w:ascii="Times New Roman" w:eastAsia="Times New Roman" w:hAnsi="Times New Roman" w:cs="Times New Roman"/>
                <w:b/>
                <w:bCs/>
                <w:color w:val="FFFFFF"/>
                <w:sz w:val="20"/>
                <w:szCs w:val="20"/>
              </w:rPr>
            </w:pPr>
            <w:r w:rsidRPr="008F4B36">
              <w:rPr>
                <w:rFonts w:ascii="Times New Roman" w:eastAsia="Times New Roman" w:hAnsi="Times New Roman" w:cs="Times New Roman"/>
                <w:b/>
                <w:bCs/>
                <w:color w:val="FFFFFF" w:themeColor="background1"/>
                <w:sz w:val="20"/>
                <w:szCs w:val="20"/>
              </w:rPr>
              <w:t>Telecommunication Infrastructure Index</w:t>
            </w:r>
          </w:p>
        </w:tc>
      </w:tr>
      <w:tr w:rsidR="00A94F50" w:rsidRPr="008F4B36" w14:paraId="0A7AAAAC"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DBDBDB" w:themeFill="accent3" w:themeFillTint="66"/>
            <w:noWrap/>
            <w:vAlign w:val="bottom"/>
            <w:hideMark/>
          </w:tcPr>
          <w:p w14:paraId="51D4EEC4"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Mauritius</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70D8A526"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63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42449BBD"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5D178217"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69E6A3CA"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50266AC0"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0.70</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DBDBDB" w:themeFill="accent3" w:themeFillTint="66"/>
            <w:noWrap/>
            <w:vAlign w:val="bottom"/>
            <w:hideMark/>
          </w:tcPr>
          <w:p w14:paraId="6CDA36F1"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0.79</w:t>
            </w:r>
          </w:p>
        </w:tc>
      </w:tr>
      <w:tr w:rsidR="00A94F50" w:rsidRPr="008F4B36" w14:paraId="5111B3E5"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EDEDED" w:themeFill="accent3" w:themeFillTint="33"/>
            <w:noWrap/>
            <w:vAlign w:val="bottom"/>
            <w:hideMark/>
          </w:tcPr>
          <w:p w14:paraId="1EF24A59"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Seychelles</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501B0535"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76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37A3AA08"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0.69</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1CBEBE57"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0.69</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5C98C361"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0.57</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6B8C4DC8"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0.62</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EDEDED" w:themeFill="accent3" w:themeFillTint="33"/>
            <w:noWrap/>
            <w:vAlign w:val="bottom"/>
            <w:hideMark/>
          </w:tcPr>
          <w:p w14:paraId="0090E0EE"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0.77</w:t>
            </w:r>
          </w:p>
        </w:tc>
      </w:tr>
      <w:tr w:rsidR="00A94F50" w:rsidRPr="008F4B36" w14:paraId="49AC4729"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DBDBDB" w:themeFill="accent3" w:themeFillTint="66"/>
            <w:noWrap/>
            <w:vAlign w:val="bottom"/>
            <w:hideMark/>
          </w:tcPr>
          <w:p w14:paraId="2F2F4331"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Saint Kitts and Nevis</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43317C6D"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95</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5C7F4254"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19207D77"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0E79F5C1"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0.33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77D5B770"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0.39</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DBDBDB" w:themeFill="accent3" w:themeFillTint="66"/>
            <w:noWrap/>
            <w:vAlign w:val="bottom"/>
            <w:hideMark/>
          </w:tcPr>
          <w:p w14:paraId="5CEB4B15"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0.80</w:t>
            </w:r>
          </w:p>
        </w:tc>
      </w:tr>
      <w:tr w:rsidR="00A94F50" w:rsidRPr="008F4B36" w14:paraId="2A49B159"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EDEDED" w:themeFill="accent3" w:themeFillTint="33"/>
            <w:noWrap/>
            <w:vAlign w:val="bottom"/>
            <w:hideMark/>
          </w:tcPr>
          <w:p w14:paraId="7132C443"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Ghana</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43A02C69"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101</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72D48B89"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0.60</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5EFA0D57"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0.60</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39DEA523"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2D720416"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0.64</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EDEDED" w:themeFill="accent3" w:themeFillTint="33"/>
            <w:noWrap/>
            <w:vAlign w:val="bottom"/>
            <w:hideMark/>
          </w:tcPr>
          <w:p w14:paraId="0A1387B4"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0.59</w:t>
            </w:r>
          </w:p>
        </w:tc>
      </w:tr>
      <w:tr w:rsidR="00A94F50" w:rsidRPr="008F4B36" w14:paraId="318BEAB4"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DBDBDB" w:themeFill="accent3" w:themeFillTint="66"/>
            <w:noWrap/>
            <w:vAlign w:val="bottom"/>
            <w:hideMark/>
          </w:tcPr>
          <w:p w14:paraId="68257C92"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Bhutan</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0128D3B2"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103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164E014C"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0.58</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49948BD7"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0.58</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62C5842B"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0.63</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4E6C4BAC"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0.68</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DBDBDB" w:themeFill="accent3" w:themeFillTint="66"/>
            <w:noWrap/>
            <w:vAlign w:val="bottom"/>
            <w:hideMark/>
          </w:tcPr>
          <w:p w14:paraId="2B9FEE76"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0.51</w:t>
            </w:r>
          </w:p>
        </w:tc>
      </w:tr>
      <w:tr w:rsidR="00A94F50" w:rsidRPr="008F4B36" w14:paraId="45080050"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EDEDED" w:themeFill="accent3" w:themeFillTint="33"/>
            <w:noWrap/>
            <w:vAlign w:val="bottom"/>
            <w:hideMark/>
          </w:tcPr>
          <w:p w14:paraId="5FB7B9F4"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Saint Vincent and the Grenadines</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2665B92F"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109</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277DF700"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267973F3"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1C61E68E"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72D68EAE"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0.47</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EDEDED" w:themeFill="accent3" w:themeFillTint="33"/>
            <w:noWrap/>
            <w:vAlign w:val="bottom"/>
            <w:hideMark/>
          </w:tcPr>
          <w:p w14:paraId="2C2C92C9"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0.72</w:t>
            </w:r>
          </w:p>
        </w:tc>
      </w:tr>
      <w:tr w:rsidR="00A94F50" w:rsidRPr="008F4B36" w14:paraId="00A3ABA9"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0070C0"/>
            <w:noWrap/>
            <w:vAlign w:val="bottom"/>
            <w:hideMark/>
          </w:tcPr>
          <w:p w14:paraId="5F00C7FD" w14:textId="77777777" w:rsidR="00A94F50" w:rsidRPr="008F4B36" w:rsidRDefault="00A94F50" w:rsidP="00E73756">
            <w:pPr>
              <w:spacing w:after="0" w:line="240" w:lineRule="auto"/>
              <w:rPr>
                <w:rFonts w:ascii="Times New Roman" w:eastAsia="Times New Roman" w:hAnsi="Times New Roman" w:cs="Times New Roman"/>
                <w:b/>
                <w:bCs/>
                <w:color w:val="FFFFFF" w:themeColor="background1"/>
                <w:sz w:val="20"/>
                <w:szCs w:val="20"/>
              </w:rPr>
            </w:pPr>
            <w:r w:rsidRPr="008F4B36">
              <w:rPr>
                <w:rFonts w:ascii="Times New Roman" w:eastAsia="Times New Roman" w:hAnsi="Times New Roman" w:cs="Times New Roman"/>
                <w:b/>
                <w:bCs/>
                <w:color w:val="FFFFFF" w:themeColor="background1"/>
                <w:sz w:val="20"/>
                <w:szCs w:val="20"/>
              </w:rPr>
              <w:t>Cabo Verde</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bottom"/>
            <w:hideMark/>
          </w:tcPr>
          <w:p w14:paraId="3C052754" w14:textId="77777777" w:rsidR="00A94F50" w:rsidRPr="008F4B36" w:rsidRDefault="00A94F50" w:rsidP="00E73756">
            <w:pPr>
              <w:spacing w:after="0" w:line="240" w:lineRule="auto"/>
              <w:jc w:val="right"/>
              <w:rPr>
                <w:rFonts w:ascii="Times New Roman" w:eastAsia="Times New Roman" w:hAnsi="Times New Roman" w:cs="Times New Roman"/>
                <w:b/>
                <w:bCs/>
                <w:color w:val="FFFFFF" w:themeColor="background1"/>
                <w:sz w:val="20"/>
                <w:szCs w:val="20"/>
              </w:rPr>
            </w:pPr>
            <w:r w:rsidRPr="008F4B36">
              <w:rPr>
                <w:rFonts w:ascii="Times New Roman" w:eastAsia="Times New Roman" w:hAnsi="Times New Roman" w:cs="Times New Roman"/>
                <w:b/>
                <w:bCs/>
                <w:color w:val="FFFFFF" w:themeColor="background1"/>
                <w:sz w:val="20"/>
                <w:szCs w:val="20"/>
              </w:rPr>
              <w:t>110</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bottom"/>
            <w:hideMark/>
          </w:tcPr>
          <w:p w14:paraId="2CC28301" w14:textId="77777777" w:rsidR="00A94F50" w:rsidRPr="008F4B36" w:rsidRDefault="00A94F50" w:rsidP="00E73756">
            <w:pPr>
              <w:spacing w:after="0" w:line="240" w:lineRule="auto"/>
              <w:jc w:val="right"/>
              <w:rPr>
                <w:rFonts w:ascii="Times New Roman" w:eastAsia="Times New Roman" w:hAnsi="Times New Roman" w:cs="Times New Roman"/>
                <w:b/>
                <w:bCs/>
                <w:color w:val="FFFFFF" w:themeColor="background1"/>
                <w:sz w:val="20"/>
                <w:szCs w:val="20"/>
              </w:rPr>
            </w:pPr>
            <w:r w:rsidRPr="008F4B36">
              <w:rPr>
                <w:rFonts w:ascii="Times New Roman" w:eastAsia="Times New Roman" w:hAnsi="Times New Roman" w:cs="Times New Roman"/>
                <w:b/>
                <w:bCs/>
                <w:color w:val="FFFFFF" w:themeColor="background1"/>
                <w:sz w:val="20"/>
                <w:szCs w:val="20"/>
              </w:rPr>
              <w:t>0.56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bottom"/>
            <w:hideMark/>
          </w:tcPr>
          <w:p w14:paraId="3D288DC3" w14:textId="77777777" w:rsidR="00A94F50" w:rsidRPr="008F4B36" w:rsidRDefault="00A94F50" w:rsidP="00E73756">
            <w:pPr>
              <w:spacing w:after="0" w:line="240" w:lineRule="auto"/>
              <w:jc w:val="right"/>
              <w:rPr>
                <w:rFonts w:ascii="Times New Roman" w:eastAsia="Times New Roman" w:hAnsi="Times New Roman" w:cs="Times New Roman"/>
                <w:b/>
                <w:bCs/>
                <w:color w:val="FFFFFF" w:themeColor="background1"/>
                <w:sz w:val="20"/>
                <w:szCs w:val="20"/>
              </w:rPr>
            </w:pPr>
            <w:r w:rsidRPr="008F4B36">
              <w:rPr>
                <w:rFonts w:ascii="Times New Roman" w:eastAsia="Times New Roman" w:hAnsi="Times New Roman" w:cs="Times New Roman"/>
                <w:b/>
                <w:bCs/>
                <w:color w:val="FFFFFF" w:themeColor="background1"/>
                <w:sz w:val="20"/>
                <w:szCs w:val="20"/>
              </w:rPr>
              <w:t>0.56</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bottom"/>
            <w:hideMark/>
          </w:tcPr>
          <w:p w14:paraId="57D347DB" w14:textId="77777777" w:rsidR="00A94F50" w:rsidRPr="008F4B36" w:rsidRDefault="00A94F50" w:rsidP="00E73756">
            <w:pPr>
              <w:spacing w:after="0" w:line="240" w:lineRule="auto"/>
              <w:jc w:val="right"/>
              <w:rPr>
                <w:rFonts w:ascii="Times New Roman" w:eastAsia="Times New Roman" w:hAnsi="Times New Roman" w:cs="Times New Roman"/>
                <w:b/>
                <w:bCs/>
                <w:color w:val="FFFFFF" w:themeColor="background1"/>
                <w:sz w:val="20"/>
                <w:szCs w:val="20"/>
              </w:rPr>
            </w:pPr>
            <w:r w:rsidRPr="008F4B36">
              <w:rPr>
                <w:rFonts w:ascii="Times New Roman" w:eastAsia="Times New Roman" w:hAnsi="Times New Roman" w:cs="Times New Roman"/>
                <w:b/>
                <w:bCs/>
                <w:color w:val="FFFFFF" w:themeColor="background1"/>
                <w:sz w:val="20"/>
                <w:szCs w:val="20"/>
              </w:rPr>
              <w:t>0.42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noWrap/>
            <w:vAlign w:val="bottom"/>
            <w:hideMark/>
          </w:tcPr>
          <w:p w14:paraId="5F788A7A" w14:textId="77777777" w:rsidR="00A94F50" w:rsidRPr="008F4B36" w:rsidRDefault="00A94F50" w:rsidP="00E73756">
            <w:pPr>
              <w:spacing w:after="0" w:line="240" w:lineRule="auto"/>
              <w:jc w:val="right"/>
              <w:rPr>
                <w:rFonts w:ascii="Times New Roman" w:eastAsia="Times New Roman" w:hAnsi="Times New Roman" w:cs="Times New Roman"/>
                <w:b/>
                <w:bCs/>
                <w:color w:val="FFFFFF" w:themeColor="background1"/>
                <w:sz w:val="20"/>
                <w:szCs w:val="20"/>
              </w:rPr>
            </w:pPr>
            <w:r w:rsidRPr="008F4B36">
              <w:rPr>
                <w:rFonts w:ascii="Times New Roman" w:eastAsia="Times New Roman" w:hAnsi="Times New Roman" w:cs="Times New Roman"/>
                <w:b/>
                <w:bCs/>
                <w:color w:val="FFFFFF" w:themeColor="background1"/>
                <w:sz w:val="20"/>
                <w:szCs w:val="20"/>
              </w:rPr>
              <w:t>0.50</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70C0"/>
            <w:noWrap/>
            <w:vAlign w:val="bottom"/>
            <w:hideMark/>
          </w:tcPr>
          <w:p w14:paraId="2E655612" w14:textId="77777777" w:rsidR="00A94F50" w:rsidRPr="008F4B36" w:rsidRDefault="00A94F50" w:rsidP="00E73756">
            <w:pPr>
              <w:spacing w:after="0" w:line="240" w:lineRule="auto"/>
              <w:jc w:val="right"/>
              <w:rPr>
                <w:rFonts w:ascii="Times New Roman" w:eastAsia="Times New Roman" w:hAnsi="Times New Roman" w:cs="Times New Roman"/>
                <w:b/>
                <w:bCs/>
                <w:color w:val="FFFFFF" w:themeColor="background1"/>
                <w:sz w:val="20"/>
                <w:szCs w:val="20"/>
              </w:rPr>
            </w:pPr>
            <w:r w:rsidRPr="008F4B36">
              <w:rPr>
                <w:rFonts w:ascii="Times New Roman" w:eastAsia="Times New Roman" w:hAnsi="Times New Roman" w:cs="Times New Roman"/>
                <w:b/>
                <w:bCs/>
                <w:color w:val="FFFFFF" w:themeColor="background1"/>
                <w:sz w:val="20"/>
                <w:szCs w:val="20"/>
              </w:rPr>
              <w:t>0.63</w:t>
            </w:r>
          </w:p>
        </w:tc>
      </w:tr>
      <w:tr w:rsidR="00A94F50" w:rsidRPr="008F4B36" w14:paraId="48B7208F"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EDEDED" w:themeFill="accent3" w:themeFillTint="33"/>
            <w:noWrap/>
            <w:vAlign w:val="bottom"/>
            <w:hideMark/>
          </w:tcPr>
          <w:p w14:paraId="21FD31F0"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Saint Lucia</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097178DE"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112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61368FDC"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0539DDC1"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0.54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17FCE36C"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0.39</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5BAD6373"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0.38</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EDEDED" w:themeFill="accent3" w:themeFillTint="33"/>
            <w:noWrap/>
            <w:vAlign w:val="bottom"/>
            <w:hideMark/>
          </w:tcPr>
          <w:p w14:paraId="25CD1BFB"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0.72</w:t>
            </w:r>
          </w:p>
        </w:tc>
      </w:tr>
      <w:tr w:rsidR="00A94F50" w:rsidRPr="008F4B36" w14:paraId="4C5A1B4D"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DBDBDB" w:themeFill="accent3" w:themeFillTint="66"/>
            <w:noWrap/>
            <w:vAlign w:val="bottom"/>
            <w:hideMark/>
          </w:tcPr>
          <w:p w14:paraId="3468E684"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Samoa</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37602441"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149</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7E5BA455"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1CBC3F1A"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7CCD8369"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0.25</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73375179"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0.26</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DBDBDB" w:themeFill="accent3" w:themeFillTint="66"/>
            <w:noWrap/>
            <w:vAlign w:val="bottom"/>
            <w:hideMark/>
          </w:tcPr>
          <w:p w14:paraId="2C3D7263"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0.74</w:t>
            </w:r>
          </w:p>
        </w:tc>
      </w:tr>
      <w:tr w:rsidR="00A94F50" w:rsidRPr="008F4B36" w14:paraId="4A5AC2F0"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EDEDED" w:themeFill="accent3" w:themeFillTint="33"/>
            <w:noWrap/>
            <w:vAlign w:val="bottom"/>
            <w:hideMark/>
          </w:tcPr>
          <w:p w14:paraId="37D642EC"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Senegal</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31D22B6E"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150</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66D8F0AD"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2B961542"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0.42</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37BA5AD8"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0.44</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vAlign w:val="bottom"/>
            <w:hideMark/>
          </w:tcPr>
          <w:p w14:paraId="033BF075"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0.49</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EDEDED" w:themeFill="accent3" w:themeFillTint="33"/>
            <w:noWrap/>
            <w:vAlign w:val="bottom"/>
            <w:hideMark/>
          </w:tcPr>
          <w:p w14:paraId="2D845FC5"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0.33</w:t>
            </w:r>
          </w:p>
        </w:tc>
      </w:tr>
      <w:tr w:rsidR="00A94F50" w:rsidRPr="008F4B36" w14:paraId="39C64423" w14:textId="77777777" w:rsidTr="008F4B36">
        <w:trPr>
          <w:trHeight w:val="290"/>
        </w:trPr>
        <w:tc>
          <w:tcPr>
            <w:tcW w:w="2345" w:type="dxa"/>
            <w:tcBorders>
              <w:top w:val="single" w:sz="4" w:space="0" w:color="FFFFFF" w:themeColor="background1"/>
              <w:left w:val="nil"/>
              <w:bottom w:val="single" w:sz="4" w:space="0" w:color="FFFFFF" w:themeColor="background1"/>
              <w:right w:val="single" w:sz="4" w:space="0" w:color="FFFFFF" w:themeColor="background1"/>
            </w:tcBorders>
            <w:shd w:val="clear" w:color="auto" w:fill="DBDBDB" w:themeFill="accent3" w:themeFillTint="66"/>
            <w:noWrap/>
            <w:vAlign w:val="bottom"/>
            <w:hideMark/>
          </w:tcPr>
          <w:p w14:paraId="16F54EC7"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Sao Tome and Principe</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5BDBD6BF"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155</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1BCA4EE8"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0.41</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3B41D4E0"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0.41</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679070DC"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0.20</w:t>
            </w:r>
          </w:p>
        </w:tc>
        <w:tc>
          <w:tcPr>
            <w:tcW w:w="10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vAlign w:val="bottom"/>
            <w:hideMark/>
          </w:tcPr>
          <w:p w14:paraId="2B469FCF"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0.25</w:t>
            </w:r>
          </w:p>
        </w:tc>
        <w:tc>
          <w:tcPr>
            <w:tcW w:w="1530" w:type="dxa"/>
            <w:tcBorders>
              <w:top w:val="single" w:sz="4" w:space="0" w:color="FFFFFF" w:themeColor="background1"/>
              <w:left w:val="single" w:sz="4" w:space="0" w:color="FFFFFF" w:themeColor="background1"/>
              <w:bottom w:val="single" w:sz="4" w:space="0" w:color="FFFFFF" w:themeColor="background1"/>
              <w:right w:val="nil"/>
            </w:tcBorders>
            <w:shd w:val="clear" w:color="auto" w:fill="DBDBDB" w:themeFill="accent3" w:themeFillTint="66"/>
            <w:noWrap/>
            <w:vAlign w:val="bottom"/>
            <w:hideMark/>
          </w:tcPr>
          <w:p w14:paraId="4F6D93A7"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0.67</w:t>
            </w:r>
          </w:p>
        </w:tc>
      </w:tr>
      <w:tr w:rsidR="00A94F50" w:rsidRPr="008F4B36" w14:paraId="61F10847" w14:textId="77777777" w:rsidTr="008F4B36">
        <w:trPr>
          <w:trHeight w:val="290"/>
        </w:trPr>
        <w:tc>
          <w:tcPr>
            <w:tcW w:w="2345" w:type="dxa"/>
            <w:tcBorders>
              <w:top w:val="single" w:sz="4" w:space="0" w:color="FFFFFF" w:themeColor="background1"/>
              <w:left w:val="nil"/>
              <w:bottom w:val="nil"/>
              <w:right w:val="single" w:sz="4" w:space="0" w:color="FFFFFF" w:themeColor="background1"/>
            </w:tcBorders>
            <w:shd w:val="clear" w:color="auto" w:fill="EDEDED" w:themeFill="accent3" w:themeFillTint="33"/>
            <w:noWrap/>
            <w:vAlign w:val="bottom"/>
            <w:hideMark/>
          </w:tcPr>
          <w:p w14:paraId="0630BDB9" w14:textId="77777777" w:rsidR="00A94F50" w:rsidRPr="008F4B36" w:rsidRDefault="00A94F50" w:rsidP="00E73756">
            <w:pPr>
              <w:spacing w:after="0" w:line="240" w:lineRule="auto"/>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Gambia</w:t>
            </w:r>
          </w:p>
        </w:tc>
        <w:tc>
          <w:tcPr>
            <w:tcW w:w="1097" w:type="dxa"/>
            <w:tcBorders>
              <w:top w:val="single" w:sz="4" w:space="0" w:color="FFFFFF" w:themeColor="background1"/>
              <w:left w:val="single" w:sz="4" w:space="0" w:color="FFFFFF" w:themeColor="background1"/>
              <w:bottom w:val="nil"/>
              <w:right w:val="single" w:sz="4" w:space="0" w:color="FFFFFF" w:themeColor="background1"/>
            </w:tcBorders>
            <w:shd w:val="clear" w:color="auto" w:fill="EDEDED" w:themeFill="accent3" w:themeFillTint="33"/>
            <w:noWrap/>
            <w:vAlign w:val="bottom"/>
            <w:hideMark/>
          </w:tcPr>
          <w:p w14:paraId="16EB0EDE"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181</w:t>
            </w:r>
          </w:p>
        </w:tc>
        <w:tc>
          <w:tcPr>
            <w:tcW w:w="1097" w:type="dxa"/>
            <w:tcBorders>
              <w:top w:val="single" w:sz="4" w:space="0" w:color="FFFFFF" w:themeColor="background1"/>
              <w:left w:val="single" w:sz="4" w:space="0" w:color="FFFFFF" w:themeColor="background1"/>
              <w:bottom w:val="nil"/>
              <w:right w:val="single" w:sz="4" w:space="0" w:color="FFFFFF" w:themeColor="background1"/>
            </w:tcBorders>
            <w:shd w:val="clear" w:color="auto" w:fill="EDEDED" w:themeFill="accent3" w:themeFillTint="33"/>
            <w:noWrap/>
            <w:vAlign w:val="bottom"/>
            <w:hideMark/>
          </w:tcPr>
          <w:p w14:paraId="52A61804"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0.26</w:t>
            </w:r>
          </w:p>
        </w:tc>
        <w:tc>
          <w:tcPr>
            <w:tcW w:w="1097" w:type="dxa"/>
            <w:tcBorders>
              <w:top w:val="single" w:sz="4" w:space="0" w:color="FFFFFF" w:themeColor="background1"/>
              <w:left w:val="single" w:sz="4" w:space="0" w:color="FFFFFF" w:themeColor="background1"/>
              <w:bottom w:val="nil"/>
              <w:right w:val="single" w:sz="4" w:space="0" w:color="FFFFFF" w:themeColor="background1"/>
            </w:tcBorders>
            <w:shd w:val="clear" w:color="auto" w:fill="EDEDED" w:themeFill="accent3" w:themeFillTint="33"/>
            <w:noWrap/>
            <w:vAlign w:val="bottom"/>
            <w:hideMark/>
          </w:tcPr>
          <w:p w14:paraId="48F4223A"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0.26</w:t>
            </w:r>
          </w:p>
        </w:tc>
        <w:tc>
          <w:tcPr>
            <w:tcW w:w="1097" w:type="dxa"/>
            <w:tcBorders>
              <w:top w:val="single" w:sz="4" w:space="0" w:color="FFFFFF" w:themeColor="background1"/>
              <w:left w:val="single" w:sz="4" w:space="0" w:color="FFFFFF" w:themeColor="background1"/>
              <w:bottom w:val="nil"/>
              <w:right w:val="single" w:sz="4" w:space="0" w:color="FFFFFF" w:themeColor="background1"/>
            </w:tcBorders>
            <w:shd w:val="clear" w:color="auto" w:fill="EDEDED" w:themeFill="accent3" w:themeFillTint="33"/>
            <w:noWrap/>
            <w:vAlign w:val="bottom"/>
            <w:hideMark/>
          </w:tcPr>
          <w:p w14:paraId="58D1DD91"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0.04</w:t>
            </w:r>
          </w:p>
        </w:tc>
        <w:tc>
          <w:tcPr>
            <w:tcW w:w="1097" w:type="dxa"/>
            <w:tcBorders>
              <w:top w:val="single" w:sz="4" w:space="0" w:color="FFFFFF" w:themeColor="background1"/>
              <w:left w:val="single" w:sz="4" w:space="0" w:color="FFFFFF" w:themeColor="background1"/>
              <w:bottom w:val="nil"/>
              <w:right w:val="single" w:sz="4" w:space="0" w:color="FFFFFF" w:themeColor="background1"/>
            </w:tcBorders>
            <w:shd w:val="clear" w:color="auto" w:fill="EDEDED" w:themeFill="accent3" w:themeFillTint="33"/>
            <w:noWrap/>
            <w:vAlign w:val="bottom"/>
            <w:hideMark/>
          </w:tcPr>
          <w:p w14:paraId="062DDCFF" w14:textId="77777777" w:rsidR="00A94F50" w:rsidRPr="008F4B36" w:rsidRDefault="00A94F50" w:rsidP="00E73756">
            <w:pPr>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0.03</w:t>
            </w:r>
          </w:p>
        </w:tc>
        <w:tc>
          <w:tcPr>
            <w:tcW w:w="1530" w:type="dxa"/>
            <w:tcBorders>
              <w:top w:val="single" w:sz="4" w:space="0" w:color="FFFFFF" w:themeColor="background1"/>
              <w:left w:val="single" w:sz="4" w:space="0" w:color="FFFFFF" w:themeColor="background1"/>
              <w:bottom w:val="nil"/>
              <w:right w:val="nil"/>
            </w:tcBorders>
            <w:shd w:val="clear" w:color="auto" w:fill="EDEDED" w:themeFill="accent3" w:themeFillTint="33"/>
            <w:noWrap/>
            <w:vAlign w:val="bottom"/>
            <w:hideMark/>
          </w:tcPr>
          <w:p w14:paraId="2883C388" w14:textId="77777777" w:rsidR="00A94F50" w:rsidRPr="008F4B36" w:rsidRDefault="00A94F50" w:rsidP="004B1FD5">
            <w:pPr>
              <w:keepNext/>
              <w:spacing w:after="0" w:line="240" w:lineRule="auto"/>
              <w:jc w:val="right"/>
              <w:rPr>
                <w:rFonts w:ascii="Times New Roman" w:eastAsia="Times New Roman" w:hAnsi="Times New Roman" w:cs="Times New Roman"/>
                <w:color w:val="000000"/>
                <w:sz w:val="20"/>
                <w:szCs w:val="20"/>
              </w:rPr>
            </w:pPr>
            <w:r w:rsidRPr="008F4B36">
              <w:rPr>
                <w:rFonts w:ascii="Times New Roman" w:eastAsia="Times New Roman" w:hAnsi="Times New Roman" w:cs="Times New Roman"/>
                <w:color w:val="000000" w:themeColor="text1"/>
                <w:sz w:val="20"/>
                <w:szCs w:val="20"/>
              </w:rPr>
              <w:t>0.36</w:t>
            </w:r>
          </w:p>
        </w:tc>
      </w:tr>
    </w:tbl>
    <w:p w14:paraId="296CEFEC" w14:textId="77777777" w:rsidR="008F4B36" w:rsidRPr="00A27DC3" w:rsidRDefault="008F4B36" w:rsidP="008F4B36">
      <w:pPr>
        <w:autoSpaceDE w:val="0"/>
        <w:autoSpaceDN w:val="0"/>
        <w:adjustRightInd w:val="0"/>
        <w:spacing w:after="0" w:line="240" w:lineRule="auto"/>
        <w:rPr>
          <w:rFonts w:ascii="Times New Roman" w:hAnsi="Times New Roman" w:cs="Times New Roman"/>
          <w:sz w:val="18"/>
          <w:szCs w:val="18"/>
        </w:rPr>
      </w:pPr>
      <w:r w:rsidRPr="00A27DC3">
        <w:rPr>
          <w:rFonts w:ascii="Times New Roman" w:hAnsi="Times New Roman" w:cs="Times New Roman"/>
          <w:sz w:val="18"/>
          <w:szCs w:val="18"/>
        </w:rPr>
        <w:t>Source: UN EGDI 2020</w:t>
      </w:r>
    </w:p>
    <w:p w14:paraId="1889E240" w14:textId="1F3C85D1" w:rsidR="00810280" w:rsidRPr="00A27DC3" w:rsidRDefault="00810280" w:rsidP="00810280">
      <w:pPr>
        <w:rPr>
          <w:rFonts w:ascii="Times New Roman" w:eastAsia="Times New Roman" w:hAnsi="Times New Roman" w:cs="Times New Roman"/>
          <w:bCs/>
          <w:color w:val="2F5496"/>
          <w:sz w:val="18"/>
          <w:szCs w:val="18"/>
        </w:rPr>
      </w:pPr>
    </w:p>
    <w:p w14:paraId="07365B1A" w14:textId="0B229619" w:rsidR="00BC1CFB" w:rsidRPr="00BC1CFB" w:rsidRDefault="00075087" w:rsidP="00BC1CFB">
      <w:pPr>
        <w:autoSpaceDE w:val="0"/>
        <w:autoSpaceDN w:val="0"/>
        <w:adjustRightInd w:val="0"/>
        <w:spacing w:before="120" w:after="120" w:line="240" w:lineRule="auto"/>
        <w:jc w:val="both"/>
        <w:rPr>
          <w:rFonts w:ascii="Times New Roman" w:hAnsi="Times New Roman" w:cs="Times New Roman"/>
        </w:rPr>
      </w:pPr>
      <w:r>
        <w:rPr>
          <w:rFonts w:ascii="Times New Roman" w:hAnsi="Times New Roman" w:cs="Times New Roman"/>
          <w:b/>
          <w:bCs/>
        </w:rPr>
        <w:t>47</w:t>
      </w:r>
      <w:r w:rsidR="003B7234">
        <w:rPr>
          <w:rFonts w:ascii="Times New Roman" w:hAnsi="Times New Roman" w:cs="Times New Roman"/>
          <w:b/>
          <w:bCs/>
        </w:rPr>
        <w:t xml:space="preserve">. </w:t>
      </w:r>
      <w:r w:rsidR="00BC1CFB" w:rsidRPr="00BC1CFB">
        <w:rPr>
          <w:rFonts w:ascii="Times New Roman" w:hAnsi="Times New Roman" w:cs="Times New Roman"/>
          <w:b/>
          <w:bCs/>
        </w:rPr>
        <w:t xml:space="preserve">The evaluation of the maturity of Government technology in Cabo Verde shows a positive outlook. </w:t>
      </w:r>
      <w:r w:rsidR="00BC1CFB" w:rsidRPr="00BC1CFB">
        <w:rPr>
          <w:rFonts w:ascii="Times New Roman" w:hAnsi="Times New Roman" w:cs="Times New Roman"/>
        </w:rPr>
        <w:t xml:space="preserve">The WB’s recent assessment of </w:t>
      </w:r>
      <w:proofErr w:type="spellStart"/>
      <w:r w:rsidR="00BC1CFB" w:rsidRPr="00BC1CFB">
        <w:rPr>
          <w:rFonts w:ascii="Times New Roman" w:hAnsi="Times New Roman" w:cs="Times New Roman"/>
        </w:rPr>
        <w:t>GovTech</w:t>
      </w:r>
      <w:proofErr w:type="spellEnd"/>
      <w:r w:rsidR="00BC1CFB" w:rsidRPr="00BC1CFB">
        <w:rPr>
          <w:rFonts w:ascii="Times New Roman" w:hAnsi="Times New Roman" w:cs="Times New Roman"/>
        </w:rPr>
        <w:t xml:space="preserve"> Maturity Index among 198 economies positioned Cabo Verde in the group of countries with “High” level of </w:t>
      </w:r>
      <w:proofErr w:type="spellStart"/>
      <w:r w:rsidR="00BC1CFB" w:rsidRPr="00BC1CFB">
        <w:rPr>
          <w:rFonts w:ascii="Times New Roman" w:hAnsi="Times New Roman" w:cs="Times New Roman"/>
        </w:rPr>
        <w:t>govtech</w:t>
      </w:r>
      <w:proofErr w:type="spellEnd"/>
      <w:r w:rsidR="00BC1CFB" w:rsidRPr="00BC1CFB">
        <w:rPr>
          <w:rFonts w:ascii="Times New Roman" w:hAnsi="Times New Roman" w:cs="Times New Roman"/>
        </w:rPr>
        <w:t xml:space="preserve"> maturity, which include “Governments with significant </w:t>
      </w:r>
      <w:proofErr w:type="spellStart"/>
      <w:r w:rsidR="00BC1CFB" w:rsidRPr="00BC1CFB">
        <w:rPr>
          <w:rFonts w:ascii="Times New Roman" w:hAnsi="Times New Roman" w:cs="Times New Roman"/>
        </w:rPr>
        <w:t>GovTech</w:t>
      </w:r>
      <w:proofErr w:type="spellEnd"/>
      <w:r w:rsidR="00BC1CFB" w:rsidRPr="00BC1CFB">
        <w:rPr>
          <w:rFonts w:ascii="Times New Roman" w:hAnsi="Times New Roman" w:cs="Times New Roman"/>
        </w:rPr>
        <w:t xml:space="preserve"> investments and good practices in most of the focus areas”. </w:t>
      </w:r>
      <w:r w:rsidR="00BC1CFB" w:rsidRPr="00BC1CFB">
        <w:rPr>
          <w:rFonts w:ascii="Times New Roman" w:hAnsi="Times New Roman" w:cs="Times New Roman"/>
          <w:vertAlign w:val="superscript"/>
        </w:rPr>
        <w:footnoteReference w:id="16"/>
      </w:r>
      <w:r w:rsidR="00BC1CFB" w:rsidRPr="00BC1CFB">
        <w:rPr>
          <w:rFonts w:ascii="Times New Roman" w:hAnsi="Times New Roman" w:cs="Times New Roman"/>
        </w:rPr>
        <w:t xml:space="preserve"> However, the country is behind the average performance in its peer group. With impressive achievements under Public Services Delivery and </w:t>
      </w:r>
      <w:proofErr w:type="spellStart"/>
      <w:r w:rsidR="00BC1CFB" w:rsidRPr="00BC1CFB">
        <w:rPr>
          <w:rFonts w:ascii="Times New Roman" w:hAnsi="Times New Roman" w:cs="Times New Roman"/>
        </w:rPr>
        <w:t>GovTech</w:t>
      </w:r>
      <w:proofErr w:type="spellEnd"/>
      <w:r w:rsidR="00BC1CFB" w:rsidRPr="00BC1CFB">
        <w:rPr>
          <w:rFonts w:ascii="Times New Roman" w:hAnsi="Times New Roman" w:cs="Times New Roman"/>
        </w:rPr>
        <w:t xml:space="preserve"> Enablers subindices, the assessment ranks Cabo Verde’s performance by Citizen Engagement particularly poorly. </w:t>
      </w:r>
    </w:p>
    <w:p w14:paraId="4B51A081" w14:textId="1052621E" w:rsidR="00BC1CFB" w:rsidRPr="00BC1CFB" w:rsidRDefault="00075087" w:rsidP="00BC1CFB">
      <w:pPr>
        <w:autoSpaceDE w:val="0"/>
        <w:autoSpaceDN w:val="0"/>
        <w:adjustRightInd w:val="0"/>
        <w:spacing w:before="120" w:after="120" w:line="240" w:lineRule="auto"/>
        <w:jc w:val="both"/>
        <w:rPr>
          <w:rFonts w:ascii="Times New Roman" w:eastAsia="CIDFont+F3" w:hAnsi="Times New Roman" w:cs="Times New Roman"/>
          <w:color w:val="0D0D0D"/>
        </w:rPr>
      </w:pPr>
      <w:bookmarkStart w:id="97" w:name="_Hlk97316567"/>
      <w:r>
        <w:rPr>
          <w:rFonts w:ascii="Times New Roman" w:hAnsi="Times New Roman" w:cs="Times New Roman"/>
          <w:b/>
          <w:bCs/>
        </w:rPr>
        <w:t>48</w:t>
      </w:r>
      <w:r w:rsidR="003B7234">
        <w:rPr>
          <w:rFonts w:ascii="Times New Roman" w:hAnsi="Times New Roman" w:cs="Times New Roman"/>
          <w:b/>
          <w:bCs/>
        </w:rPr>
        <w:t xml:space="preserve">. </w:t>
      </w:r>
      <w:r w:rsidR="00BC1CFB" w:rsidRPr="00BC1CFB">
        <w:rPr>
          <w:rFonts w:ascii="Times New Roman" w:hAnsi="Times New Roman" w:cs="Times New Roman"/>
          <w:b/>
          <w:bCs/>
        </w:rPr>
        <w:t xml:space="preserve">Ongoing digital government development projects hold a great promise of accelerated digital development in Cabo Verde. </w:t>
      </w:r>
      <w:bookmarkEnd w:id="97"/>
      <w:r w:rsidR="00BC1CFB" w:rsidRPr="00BC1CFB">
        <w:rPr>
          <w:rFonts w:ascii="Times New Roman" w:hAnsi="Times New Roman" w:cs="Times New Roman"/>
        </w:rPr>
        <w:t xml:space="preserve">In 2019 the Government of Cabo Verde commenced a World Bank-financed program that supports the strengthening of various elements of the digital government ecosystem in the country. The main components of the US$ 20 million project include: i) </w:t>
      </w:r>
      <w:r w:rsidR="00BC1CFB" w:rsidRPr="00BC1CFB">
        <w:rPr>
          <w:rFonts w:ascii="Times New Roman" w:eastAsia="CIDFont+F2" w:hAnsi="Times New Roman" w:cs="Times New Roman"/>
          <w:color w:val="0D0D0D" w:themeColor="text1" w:themeTint="F2"/>
        </w:rPr>
        <w:t xml:space="preserve">Single External Trade System </w:t>
      </w:r>
      <w:r w:rsidR="00BC1CFB" w:rsidRPr="00BC1CFB">
        <w:rPr>
          <w:rFonts w:ascii="Times New Roman" w:eastAsia="CIDFont+F3" w:hAnsi="Times New Roman" w:cs="Times New Roman"/>
          <w:color w:val="0D0D0D" w:themeColor="text1" w:themeTint="F2"/>
        </w:rPr>
        <w:t>(</w:t>
      </w:r>
      <w:proofErr w:type="spellStart"/>
      <w:r w:rsidR="00BC1CFB" w:rsidRPr="00BC1CFB">
        <w:rPr>
          <w:rFonts w:ascii="Times New Roman" w:eastAsia="CIDFont+F2" w:hAnsi="Times New Roman" w:cs="Times New Roman"/>
          <w:color w:val="000000" w:themeColor="text1"/>
        </w:rPr>
        <w:t>Janela</w:t>
      </w:r>
      <w:proofErr w:type="spellEnd"/>
      <w:r w:rsidR="00BC1CFB" w:rsidRPr="00BC1CFB">
        <w:rPr>
          <w:rFonts w:ascii="Times New Roman" w:eastAsia="CIDFont+F2" w:hAnsi="Times New Roman" w:cs="Times New Roman"/>
          <w:color w:val="000000" w:themeColor="text1"/>
        </w:rPr>
        <w:t xml:space="preserve"> </w:t>
      </w:r>
      <w:proofErr w:type="spellStart"/>
      <w:r w:rsidR="00BC1CFB" w:rsidRPr="00BC1CFB">
        <w:rPr>
          <w:rFonts w:ascii="Times New Roman" w:eastAsia="CIDFont+F2" w:hAnsi="Times New Roman" w:cs="Times New Roman"/>
          <w:color w:val="000000" w:themeColor="text1"/>
        </w:rPr>
        <w:t>Única</w:t>
      </w:r>
      <w:proofErr w:type="spellEnd"/>
      <w:r w:rsidR="00BC1CFB" w:rsidRPr="00BC1CFB">
        <w:rPr>
          <w:rFonts w:ascii="Times New Roman" w:eastAsia="CIDFont+F2" w:hAnsi="Times New Roman" w:cs="Times New Roman"/>
          <w:color w:val="000000" w:themeColor="text1"/>
        </w:rPr>
        <w:t xml:space="preserve"> de </w:t>
      </w:r>
      <w:proofErr w:type="spellStart"/>
      <w:r w:rsidR="00BC1CFB" w:rsidRPr="00BC1CFB">
        <w:rPr>
          <w:rFonts w:ascii="Times New Roman" w:eastAsia="CIDFont+F2" w:hAnsi="Times New Roman" w:cs="Times New Roman"/>
          <w:color w:val="000000" w:themeColor="text1"/>
        </w:rPr>
        <w:t>Comércio</w:t>
      </w:r>
      <w:proofErr w:type="spellEnd"/>
      <w:r w:rsidR="00BC1CFB" w:rsidRPr="00BC1CFB">
        <w:rPr>
          <w:rFonts w:ascii="Times New Roman" w:eastAsia="CIDFont+F2" w:hAnsi="Times New Roman" w:cs="Times New Roman"/>
          <w:color w:val="000000" w:themeColor="text1"/>
        </w:rPr>
        <w:t xml:space="preserve"> </w:t>
      </w:r>
      <w:proofErr w:type="spellStart"/>
      <w:r w:rsidR="00BC1CFB" w:rsidRPr="00BC1CFB">
        <w:rPr>
          <w:rFonts w:ascii="Times New Roman" w:eastAsia="CIDFont+F2" w:hAnsi="Times New Roman" w:cs="Times New Roman"/>
          <w:color w:val="000000" w:themeColor="text1"/>
        </w:rPr>
        <w:t>Externo</w:t>
      </w:r>
      <w:proofErr w:type="spellEnd"/>
      <w:r w:rsidR="00BC1CFB" w:rsidRPr="00BC1CFB">
        <w:rPr>
          <w:rFonts w:ascii="Times New Roman" w:eastAsia="CIDFont+F2" w:hAnsi="Times New Roman" w:cs="Times New Roman"/>
          <w:color w:val="000000" w:themeColor="text1"/>
        </w:rPr>
        <w:t xml:space="preserve">, </w:t>
      </w:r>
      <w:r w:rsidR="00BC1CFB" w:rsidRPr="00BC1CFB">
        <w:rPr>
          <w:rFonts w:ascii="Times New Roman" w:eastAsia="CIDFont+F3" w:hAnsi="Times New Roman" w:cs="Times New Roman"/>
          <w:color w:val="0D0D0D" w:themeColor="text1" w:themeTint="F2"/>
        </w:rPr>
        <w:t xml:space="preserve">JUCE) </w:t>
      </w:r>
      <w:r w:rsidR="00966394">
        <w:rPr>
          <w:rFonts w:ascii="Times New Roman" w:eastAsia="CIDFont+F3" w:hAnsi="Times New Roman" w:cs="Times New Roman"/>
          <w:color w:val="0D0D0D" w:themeColor="text1" w:themeTint="F2"/>
        </w:rPr>
        <w:t>–</w:t>
      </w:r>
      <w:r w:rsidR="00BC1CFB" w:rsidRPr="00BC1CFB">
        <w:rPr>
          <w:rFonts w:ascii="Times New Roman" w:eastAsia="CIDFont+F3" w:hAnsi="Times New Roman" w:cs="Times New Roman"/>
          <w:color w:val="0D0D0D" w:themeColor="text1" w:themeTint="F2"/>
        </w:rPr>
        <w:t xml:space="preserve"> to integrate information databases of various external trade players, ii) </w:t>
      </w:r>
      <w:r w:rsidR="00BC1CFB" w:rsidRPr="00BC1CFB">
        <w:rPr>
          <w:rFonts w:ascii="Times New Roman" w:eastAsia="CIDFont+F2" w:hAnsi="Times New Roman" w:cs="Times New Roman"/>
          <w:color w:val="0D0D0D" w:themeColor="text1" w:themeTint="F2"/>
        </w:rPr>
        <w:t xml:space="preserve">e-Embassy (or Digital Consulate) and </w:t>
      </w:r>
      <w:proofErr w:type="spellStart"/>
      <w:r w:rsidR="00BC1CFB" w:rsidRPr="00BC1CFB">
        <w:rPr>
          <w:rFonts w:ascii="Times New Roman" w:eastAsia="CIDFont+F2" w:hAnsi="Times New Roman" w:cs="Times New Roman"/>
          <w:color w:val="0D0D0D" w:themeColor="text1" w:themeTint="F2"/>
        </w:rPr>
        <w:t>ComVida</w:t>
      </w:r>
      <w:proofErr w:type="spellEnd"/>
      <w:r w:rsidR="00BC1CFB" w:rsidRPr="00BC1CFB">
        <w:rPr>
          <w:rFonts w:ascii="Times New Roman" w:eastAsia="CIDFont+F2" w:hAnsi="Times New Roman" w:cs="Times New Roman"/>
          <w:color w:val="0D0D0D" w:themeColor="text1" w:themeTint="F2"/>
        </w:rPr>
        <w:t xml:space="preserve"> platform </w:t>
      </w:r>
      <w:r w:rsidR="00BC1CFB" w:rsidRPr="00BC1CFB">
        <w:rPr>
          <w:rFonts w:ascii="Times New Roman" w:eastAsia="CIDFont+F3" w:hAnsi="Times New Roman" w:cs="Times New Roman"/>
          <w:color w:val="0D0D0D" w:themeColor="text1" w:themeTint="F2"/>
        </w:rPr>
        <w:t xml:space="preserve">to develop the e-Embassy service (digitizing databases of all </w:t>
      </w:r>
      <w:r w:rsidR="00BC1CFB" w:rsidRPr="00BC1CFB">
        <w:rPr>
          <w:rFonts w:ascii="Times New Roman" w:eastAsia="CIDFont+F3" w:hAnsi="Times New Roman" w:cs="Times New Roman"/>
          <w:color w:val="000000" w:themeColor="text1"/>
        </w:rPr>
        <w:t xml:space="preserve">embassies </w:t>
      </w:r>
      <w:r w:rsidR="00BC1CFB" w:rsidRPr="00BC1CFB">
        <w:rPr>
          <w:rFonts w:ascii="Times New Roman" w:eastAsia="CIDFont+F3" w:hAnsi="Times New Roman" w:cs="Times New Roman"/>
          <w:color w:val="0D0D0D" w:themeColor="text1" w:themeTint="F2"/>
        </w:rPr>
        <w:t xml:space="preserve">and consulates and making their services available online) and to continue development of the </w:t>
      </w:r>
      <w:proofErr w:type="spellStart"/>
      <w:r w:rsidR="00BC1CFB" w:rsidRPr="00BC1CFB">
        <w:rPr>
          <w:rFonts w:ascii="Times New Roman" w:eastAsia="CIDFont+F3" w:hAnsi="Times New Roman" w:cs="Times New Roman"/>
          <w:color w:val="0D0D0D" w:themeColor="text1" w:themeTint="F2"/>
        </w:rPr>
        <w:t>ComVida</w:t>
      </w:r>
      <w:proofErr w:type="spellEnd"/>
      <w:r w:rsidR="00BC1CFB" w:rsidRPr="00BC1CFB">
        <w:rPr>
          <w:rFonts w:ascii="Times New Roman" w:eastAsia="CIDFont+F3" w:hAnsi="Times New Roman" w:cs="Times New Roman"/>
          <w:color w:val="0D0D0D" w:themeColor="text1" w:themeTint="F2"/>
        </w:rPr>
        <w:t xml:space="preserve"> platform to monitor the impact of COVID-19 and provide information to the general public on available resources, government response program, and disease awareness, iii) </w:t>
      </w:r>
      <w:r w:rsidR="00BC1CFB" w:rsidRPr="00BC1CFB">
        <w:rPr>
          <w:rFonts w:ascii="Times New Roman" w:eastAsia="CIDFont+F2" w:hAnsi="Times New Roman" w:cs="Times New Roman"/>
          <w:color w:val="0D0D0D" w:themeColor="text1" w:themeTint="F2"/>
        </w:rPr>
        <w:t xml:space="preserve">Cloud blockchain platform – </w:t>
      </w:r>
      <w:r w:rsidR="00BC1CFB" w:rsidRPr="00BC1CFB">
        <w:rPr>
          <w:rFonts w:ascii="Times New Roman" w:eastAsia="CIDFont+F3" w:hAnsi="Times New Roman" w:cs="Times New Roman"/>
          <w:color w:val="0D0D0D" w:themeColor="text1" w:themeTint="F2"/>
        </w:rPr>
        <w:t xml:space="preserve">to update various legacy systems of the public administration to blockchain technology, iv) </w:t>
      </w:r>
      <w:r w:rsidR="00BC1CFB" w:rsidRPr="00BC1CFB">
        <w:rPr>
          <w:rFonts w:ascii="Times New Roman" w:eastAsia="CIDFont+F2" w:hAnsi="Times New Roman" w:cs="Times New Roman"/>
          <w:color w:val="0D0D0D" w:themeColor="text1" w:themeTint="F2"/>
        </w:rPr>
        <w:t xml:space="preserve">Integrated e-ID – to </w:t>
      </w:r>
      <w:r w:rsidR="00BC1CFB" w:rsidRPr="00BC1CFB">
        <w:rPr>
          <w:rFonts w:ascii="Times New Roman" w:eastAsia="CIDFont+F3" w:hAnsi="Times New Roman" w:cs="Times New Roman"/>
          <w:color w:val="0D0D0D" w:themeColor="text1" w:themeTint="F2"/>
        </w:rPr>
        <w:t xml:space="preserve">fully consolidate databases of the national system of identification and civil authentication (Sistema Nacional de </w:t>
      </w:r>
      <w:proofErr w:type="spellStart"/>
      <w:r w:rsidR="00BC1CFB" w:rsidRPr="00BC1CFB">
        <w:rPr>
          <w:rFonts w:ascii="Times New Roman" w:eastAsia="CIDFont+F3" w:hAnsi="Times New Roman" w:cs="Times New Roman"/>
          <w:color w:val="0D0D0D" w:themeColor="text1" w:themeTint="F2"/>
        </w:rPr>
        <w:t>Identificação</w:t>
      </w:r>
      <w:proofErr w:type="spellEnd"/>
      <w:r w:rsidR="00BC1CFB" w:rsidRPr="00BC1CFB">
        <w:rPr>
          <w:rFonts w:ascii="Times New Roman" w:eastAsia="CIDFont+F3" w:hAnsi="Times New Roman" w:cs="Times New Roman"/>
          <w:color w:val="0D0D0D" w:themeColor="text1" w:themeTint="F2"/>
        </w:rPr>
        <w:t xml:space="preserve"> e </w:t>
      </w:r>
      <w:proofErr w:type="spellStart"/>
      <w:r w:rsidR="00BC1CFB" w:rsidRPr="00BC1CFB">
        <w:rPr>
          <w:rFonts w:ascii="Times New Roman" w:eastAsia="CIDFont+F3" w:hAnsi="Times New Roman" w:cs="Times New Roman"/>
          <w:color w:val="0D0D0D" w:themeColor="text1" w:themeTint="F2"/>
        </w:rPr>
        <w:t>Autenticação</w:t>
      </w:r>
      <w:proofErr w:type="spellEnd"/>
      <w:r w:rsidR="00BC1CFB" w:rsidRPr="00BC1CFB">
        <w:rPr>
          <w:rFonts w:ascii="Times New Roman" w:eastAsia="CIDFont+F3" w:hAnsi="Times New Roman" w:cs="Times New Roman"/>
          <w:color w:val="0D0D0D" w:themeColor="text1" w:themeTint="F2"/>
        </w:rPr>
        <w:t xml:space="preserve"> Civil, SNIAC),</w:t>
      </w:r>
      <w:r w:rsidR="00BC1CFB" w:rsidRPr="00BC1CFB">
        <w:rPr>
          <w:rFonts w:ascii="Times New Roman" w:eastAsia="CIDFont+F3" w:hAnsi="Times New Roman" w:cs="Times New Roman"/>
          <w:color w:val="0D0D0D" w:themeColor="text1" w:themeTint="F2"/>
          <w:sz w:val="14"/>
          <w:szCs w:val="14"/>
        </w:rPr>
        <w:t xml:space="preserve"> </w:t>
      </w:r>
      <w:r w:rsidR="00BC1CFB" w:rsidRPr="00BC1CFB">
        <w:rPr>
          <w:rFonts w:ascii="Times New Roman" w:eastAsia="CIDFont+F3" w:hAnsi="Times New Roman" w:cs="Times New Roman"/>
          <w:color w:val="0D0D0D" w:themeColor="text1" w:themeTint="F2"/>
        </w:rPr>
        <w:t xml:space="preserve">registries, and voters, and v) </w:t>
      </w:r>
      <w:r w:rsidR="00BC1CFB" w:rsidRPr="00BC1CFB">
        <w:rPr>
          <w:rFonts w:ascii="Times New Roman" w:eastAsia="CIDFont+F2" w:hAnsi="Times New Roman" w:cs="Times New Roman"/>
          <w:color w:val="0D0D0D" w:themeColor="text1" w:themeTint="F2"/>
        </w:rPr>
        <w:t xml:space="preserve">Digital one-stop-shop to develop a </w:t>
      </w:r>
      <w:r w:rsidR="00BC1CFB" w:rsidRPr="00BC1CFB">
        <w:rPr>
          <w:rFonts w:ascii="Times New Roman" w:eastAsia="CIDFont+F3" w:hAnsi="Times New Roman" w:cs="Times New Roman"/>
          <w:color w:val="0D0D0D" w:themeColor="text1" w:themeTint="F2"/>
        </w:rPr>
        <w:t>one-stop-shop for investors looking to do business in Cabo Verde, and to improve digital licensing for tourism, construction, and commercial enterprises, among others, and upgrade of the unique public services portal.</w:t>
      </w:r>
      <w:r w:rsidR="00BC1CFB" w:rsidRPr="00BC1CFB">
        <w:rPr>
          <w:rFonts w:ascii="Times New Roman" w:eastAsia="CIDFont+F3" w:hAnsi="Times New Roman" w:cs="Times New Roman"/>
          <w:color w:val="0D0D0D"/>
        </w:rPr>
        <w:t xml:space="preserve"> </w:t>
      </w:r>
      <w:r w:rsidR="00BC1CFB" w:rsidRPr="00BC1CFB">
        <w:rPr>
          <w:rFonts w:ascii="Times New Roman" w:hAnsi="Times New Roman" w:cs="Times New Roman"/>
        </w:rPr>
        <w:t xml:space="preserve">The project aims to increase the number of 3G users, the share of the online government service users, enhance digital skills, and support firms creating digital solutions. </w:t>
      </w:r>
    </w:p>
    <w:p w14:paraId="6FE66503" w14:textId="77777777" w:rsidR="00BC1CFB" w:rsidRPr="00CF5A88" w:rsidRDefault="00BC1CFB" w:rsidP="00810280">
      <w:pPr>
        <w:rPr>
          <w:rFonts w:ascii="Times New Roman" w:eastAsia="Times New Roman" w:hAnsi="Times New Roman" w:cs="Times New Roman"/>
          <w:bCs/>
          <w:color w:val="2F5496"/>
        </w:rPr>
      </w:pPr>
    </w:p>
    <w:p w14:paraId="39891B7A" w14:textId="73EC866B" w:rsidR="007C3A7E" w:rsidRPr="007C3A7E" w:rsidRDefault="00BC1CFB" w:rsidP="00C12B93">
      <w:pPr>
        <w:keepNext/>
        <w:keepLines/>
        <w:numPr>
          <w:ilvl w:val="0"/>
          <w:numId w:val="15"/>
        </w:numPr>
        <w:spacing w:before="40" w:after="240"/>
        <w:outlineLvl w:val="1"/>
        <w:rPr>
          <w:rFonts w:ascii="Times New Roman" w:eastAsia="Times New Roman" w:hAnsi="Times New Roman" w:cs="Times New Roman"/>
          <w:bCs/>
          <w:color w:val="2F5496"/>
          <w:sz w:val="26"/>
          <w:szCs w:val="26"/>
        </w:rPr>
      </w:pPr>
      <w:bookmarkStart w:id="98" w:name="_Toc105592814"/>
      <w:r w:rsidRPr="00C12B93">
        <w:rPr>
          <w:rFonts w:ascii="Times New Roman" w:eastAsiaTheme="majorEastAsia" w:hAnsi="Times New Roman" w:cs="Times New Roman"/>
          <w:color w:val="2F5496" w:themeColor="accent1" w:themeShade="BF"/>
          <w:sz w:val="26"/>
          <w:szCs w:val="26"/>
        </w:rPr>
        <w:lastRenderedPageBreak/>
        <w:t xml:space="preserve">Digital </w:t>
      </w:r>
      <w:r w:rsidR="00AD2393">
        <w:rPr>
          <w:rFonts w:ascii="Times New Roman" w:eastAsiaTheme="majorEastAsia" w:hAnsi="Times New Roman" w:cs="Times New Roman"/>
          <w:color w:val="2F5496" w:themeColor="accent1" w:themeShade="BF"/>
          <w:sz w:val="26"/>
          <w:szCs w:val="26"/>
        </w:rPr>
        <w:t>D</w:t>
      </w:r>
      <w:r w:rsidR="007C3A7E" w:rsidRPr="00C12B93">
        <w:rPr>
          <w:rFonts w:ascii="Times New Roman" w:eastAsiaTheme="majorEastAsia" w:hAnsi="Times New Roman" w:cs="Times New Roman"/>
          <w:color w:val="2F5496" w:themeColor="accent1" w:themeShade="BF"/>
          <w:sz w:val="26"/>
          <w:szCs w:val="26"/>
        </w:rPr>
        <w:t xml:space="preserve">evelopment </w:t>
      </w:r>
      <w:r w:rsidR="00C944C2">
        <w:rPr>
          <w:rFonts w:ascii="Times New Roman" w:eastAsiaTheme="majorEastAsia" w:hAnsi="Times New Roman" w:cs="Times New Roman"/>
          <w:color w:val="2F5496" w:themeColor="accent1" w:themeShade="BF"/>
          <w:sz w:val="26"/>
          <w:szCs w:val="26"/>
        </w:rPr>
        <w:t>P</w:t>
      </w:r>
      <w:r w:rsidR="007C3A7E" w:rsidRPr="00C12B93">
        <w:rPr>
          <w:rFonts w:ascii="Times New Roman" w:eastAsiaTheme="majorEastAsia" w:hAnsi="Times New Roman" w:cs="Times New Roman"/>
          <w:color w:val="2F5496" w:themeColor="accent1" w:themeShade="BF"/>
          <w:sz w:val="26"/>
          <w:szCs w:val="26"/>
        </w:rPr>
        <w:t xml:space="preserve">olicies and </w:t>
      </w:r>
      <w:r w:rsidR="00C944C2">
        <w:rPr>
          <w:rFonts w:ascii="Times New Roman" w:eastAsiaTheme="majorEastAsia" w:hAnsi="Times New Roman" w:cs="Times New Roman"/>
          <w:color w:val="2F5496" w:themeColor="accent1" w:themeShade="BF"/>
          <w:sz w:val="26"/>
          <w:szCs w:val="26"/>
        </w:rPr>
        <w:t>R</w:t>
      </w:r>
      <w:r w:rsidR="007C3A7E" w:rsidRPr="00C12B93">
        <w:rPr>
          <w:rFonts w:ascii="Times New Roman" w:eastAsiaTheme="majorEastAsia" w:hAnsi="Times New Roman" w:cs="Times New Roman"/>
          <w:color w:val="2F5496" w:themeColor="accent1" w:themeShade="BF"/>
          <w:sz w:val="26"/>
          <w:szCs w:val="26"/>
        </w:rPr>
        <w:t>egulations</w:t>
      </w:r>
      <w:bookmarkEnd w:id="98"/>
    </w:p>
    <w:p w14:paraId="6CFD7807" w14:textId="77777777" w:rsidR="00007ADC" w:rsidRPr="00007ADC" w:rsidRDefault="00007ADC" w:rsidP="00007ADC">
      <w:pPr>
        <w:jc w:val="both"/>
        <w:rPr>
          <w:rFonts w:ascii="Times New Roman" w:hAnsi="Times New Roman" w:cs="Times New Roman"/>
          <w:b/>
          <w:bCs/>
          <w:color w:val="002060"/>
        </w:rPr>
      </w:pPr>
      <w:r w:rsidRPr="00007ADC">
        <w:rPr>
          <w:rFonts w:ascii="Times New Roman" w:hAnsi="Times New Roman" w:cs="Times New Roman"/>
          <w:b/>
          <w:bCs/>
          <w:color w:val="002060"/>
        </w:rPr>
        <w:t xml:space="preserve">In its efforts to promote the digital sector as a source of economic diversification, the government has undertaken initiatives to enhance sectoral policies, strengthen the regulatory framework, and improve the legal environment. </w:t>
      </w:r>
    </w:p>
    <w:p w14:paraId="52F2A498" w14:textId="40D1D966" w:rsidR="00007ADC" w:rsidRPr="00007ADC" w:rsidRDefault="00075087" w:rsidP="00007ADC">
      <w:pPr>
        <w:tabs>
          <w:tab w:val="left" w:pos="2150"/>
        </w:tabs>
        <w:jc w:val="both"/>
        <w:rPr>
          <w:rFonts w:ascii="Times New Roman" w:hAnsi="Times New Roman" w:cs="Times New Roman"/>
          <w:b/>
          <w:bCs/>
        </w:rPr>
      </w:pPr>
      <w:r>
        <w:rPr>
          <w:rFonts w:ascii="Times New Roman" w:hAnsi="Times New Roman" w:cs="Times New Roman"/>
          <w:b/>
          <w:bCs/>
        </w:rPr>
        <w:t>49</w:t>
      </w:r>
      <w:r w:rsidR="003B7234">
        <w:rPr>
          <w:rFonts w:ascii="Times New Roman" w:hAnsi="Times New Roman" w:cs="Times New Roman"/>
          <w:b/>
          <w:bCs/>
        </w:rPr>
        <w:t xml:space="preserve">. </w:t>
      </w:r>
      <w:r w:rsidR="00007ADC" w:rsidRPr="00007ADC">
        <w:rPr>
          <w:rFonts w:ascii="Times New Roman" w:hAnsi="Times New Roman" w:cs="Times New Roman"/>
          <w:b/>
          <w:bCs/>
        </w:rPr>
        <w:t xml:space="preserve">Cabo Verde has an ambitious strategy to become a hub for ICT-enabled services. </w:t>
      </w:r>
      <w:r w:rsidR="00007ADC" w:rsidRPr="00007ADC">
        <w:rPr>
          <w:rFonts w:ascii="Times New Roman" w:hAnsi="Times New Roman" w:cs="Times New Roman"/>
        </w:rPr>
        <w:t>Cabo Verde was largely affected by the COVID-19 pandemic, given the heavy reliance on the tourism sector. With the highlighted vulnerabilities of the low diversified economy, the ICT sector presents an opportunity to generate new sources of income and jobs.</w:t>
      </w:r>
      <w:r w:rsidR="00007ADC" w:rsidRPr="00007ADC">
        <w:rPr>
          <w:rFonts w:ascii="Times New Roman" w:hAnsi="Times New Roman" w:cs="Times New Roman"/>
          <w:b/>
          <w:bCs/>
        </w:rPr>
        <w:t xml:space="preserve"> </w:t>
      </w:r>
      <w:r w:rsidR="00007ADC" w:rsidRPr="00007ADC">
        <w:rPr>
          <w:rFonts w:ascii="Times New Roman" w:hAnsi="Times New Roman" w:cs="Times New Roman"/>
        </w:rPr>
        <w:t xml:space="preserve">In its Strategic Plan for Sustainable Development 2017-2021 (Plano </w:t>
      </w:r>
      <w:proofErr w:type="spellStart"/>
      <w:r w:rsidR="00007ADC" w:rsidRPr="00007ADC">
        <w:rPr>
          <w:rFonts w:ascii="Times New Roman" w:hAnsi="Times New Roman" w:cs="Times New Roman"/>
        </w:rPr>
        <w:t>Estratégico</w:t>
      </w:r>
      <w:proofErr w:type="spellEnd"/>
      <w:r w:rsidR="00007ADC" w:rsidRPr="00007ADC">
        <w:rPr>
          <w:rFonts w:ascii="Times New Roman" w:hAnsi="Times New Roman" w:cs="Times New Roman"/>
        </w:rPr>
        <w:t xml:space="preserve"> de </w:t>
      </w:r>
      <w:proofErr w:type="spellStart"/>
      <w:r w:rsidR="00007ADC" w:rsidRPr="00007ADC">
        <w:rPr>
          <w:rFonts w:ascii="Times New Roman" w:hAnsi="Times New Roman" w:cs="Times New Roman"/>
        </w:rPr>
        <w:t>Desenvolvimento</w:t>
      </w:r>
      <w:proofErr w:type="spellEnd"/>
      <w:r w:rsidR="00007ADC" w:rsidRPr="00007ADC">
        <w:rPr>
          <w:rFonts w:ascii="Times New Roman" w:hAnsi="Times New Roman" w:cs="Times New Roman"/>
        </w:rPr>
        <w:t xml:space="preserve"> </w:t>
      </w:r>
      <w:proofErr w:type="spellStart"/>
      <w:r w:rsidR="00007ADC" w:rsidRPr="00007ADC">
        <w:rPr>
          <w:rFonts w:ascii="Times New Roman" w:hAnsi="Times New Roman" w:cs="Times New Roman"/>
        </w:rPr>
        <w:t>Sustentável</w:t>
      </w:r>
      <w:proofErr w:type="spellEnd"/>
      <w:r w:rsidR="00007ADC" w:rsidRPr="00007ADC">
        <w:rPr>
          <w:rFonts w:ascii="Times New Roman" w:hAnsi="Times New Roman" w:cs="Times New Roman"/>
        </w:rPr>
        <w:t>, PEDS), the</w:t>
      </w:r>
      <w:r w:rsidR="00007ADC" w:rsidRPr="2564B900">
        <w:rPr>
          <w:rFonts w:ascii="Arial" w:hAnsi="Arial" w:cs="Arial"/>
        </w:rPr>
        <w:t xml:space="preserve"> </w:t>
      </w:r>
      <w:r w:rsidR="00007ADC" w:rsidRPr="00007ADC">
        <w:rPr>
          <w:rFonts w:ascii="Times New Roman" w:hAnsi="Times New Roman" w:cs="Times New Roman"/>
        </w:rPr>
        <w:t>government outlines seven strategic sectors, including digital services and innovation, as sources of sustainable and diversified growth that would enable Cabo Verde to develop an ICT-driven economy. Enhancement of technology education and digital skills and development of the entrepreneurial workforce is an eminent part of this agenda – to help Cabo Verde realize opportunities of digital transformation. The government is currently in the process of revising the Strategic Plan for 2022-2026 – PEDS II, to be published by June 2022. The document, in the concept stage at present, envisages covering also digital and ICT sector in the overall sustainable development plan. Several sectoral strategies will be developed in parallel to PEDS II revision program, including Strategic Plan for Digital Economy and Innovation 2022-2026; National Research Agenda 2022-2026; and National Agenda for Modernization of the State and Public Administration 2022-2026. The strategic frameworks and development targets of these efforts will be aligned with PEDS II.</w:t>
      </w:r>
    </w:p>
    <w:p w14:paraId="41A14564" w14:textId="4D8DEEAD" w:rsidR="00007ADC" w:rsidRPr="00007ADC" w:rsidRDefault="003B7234" w:rsidP="00007ADC">
      <w:pPr>
        <w:tabs>
          <w:tab w:val="left" w:pos="2150"/>
        </w:tabs>
        <w:jc w:val="both"/>
        <w:rPr>
          <w:rFonts w:ascii="Times New Roman" w:hAnsi="Times New Roman" w:cs="Times New Roman"/>
        </w:rPr>
      </w:pPr>
      <w:r>
        <w:rPr>
          <w:rFonts w:ascii="Times New Roman" w:hAnsi="Times New Roman" w:cs="Times New Roman"/>
          <w:b/>
          <w:bCs/>
        </w:rPr>
        <w:t>5</w:t>
      </w:r>
      <w:r w:rsidR="00075087">
        <w:rPr>
          <w:rFonts w:ascii="Times New Roman" w:hAnsi="Times New Roman" w:cs="Times New Roman"/>
          <w:b/>
          <w:bCs/>
        </w:rPr>
        <w:t>0</w:t>
      </w:r>
      <w:r>
        <w:rPr>
          <w:rFonts w:ascii="Times New Roman" w:hAnsi="Times New Roman" w:cs="Times New Roman"/>
          <w:b/>
          <w:bCs/>
        </w:rPr>
        <w:t xml:space="preserve">. </w:t>
      </w:r>
      <w:r w:rsidR="00007ADC" w:rsidRPr="00007ADC">
        <w:rPr>
          <w:rFonts w:ascii="Times New Roman" w:hAnsi="Times New Roman" w:cs="Times New Roman"/>
          <w:b/>
          <w:bCs/>
        </w:rPr>
        <w:t>Recognizing the increasing role of digital development, the government launched a consultative process to develop a dedicated and holistic Cabo Verde Digital Strategy (EDCV) – Agenda for 2019- 2021.</w:t>
      </w:r>
      <w:r w:rsidR="00007ADC" w:rsidRPr="00007ADC">
        <w:rPr>
          <w:rFonts w:ascii="Times New Roman" w:hAnsi="Times New Roman" w:cs="Times New Roman"/>
        </w:rPr>
        <w:t xml:space="preserve"> </w:t>
      </w:r>
      <w:r w:rsidR="00007ADC" w:rsidRPr="00007ADC">
        <w:rPr>
          <w:rStyle w:val="FootnoteReference"/>
          <w:rFonts w:ascii="Times New Roman" w:hAnsi="Times New Roman" w:cs="Times New Roman"/>
        </w:rPr>
        <w:footnoteReference w:id="17"/>
      </w:r>
      <w:r w:rsidR="00007ADC" w:rsidRPr="00007ADC">
        <w:rPr>
          <w:rFonts w:ascii="Times New Roman" w:hAnsi="Times New Roman" w:cs="Times New Roman"/>
        </w:rPr>
        <w:t xml:space="preserve"> The strategy anchors on four main foundations to help the country transform into a Regional ICT Hub, including Connectivity, Capacity Building, Service Provision, and Governance.</w:t>
      </w:r>
      <w:r w:rsidR="00022E14">
        <w:rPr>
          <w:rFonts w:ascii="Times New Roman" w:hAnsi="Times New Roman" w:cs="Times New Roman"/>
        </w:rPr>
        <w:t xml:space="preserve"> S</w:t>
      </w:r>
      <w:r w:rsidR="00022E14" w:rsidRPr="00007ADC">
        <w:rPr>
          <w:rFonts w:ascii="Times New Roman" w:hAnsi="Times New Roman" w:cs="Times New Roman"/>
        </w:rPr>
        <w:t xml:space="preserve">everal international </w:t>
      </w:r>
      <w:r w:rsidR="00022E14">
        <w:rPr>
          <w:rFonts w:ascii="Times New Roman" w:hAnsi="Times New Roman" w:cs="Times New Roman"/>
        </w:rPr>
        <w:t>partners contributed to the design of the</w:t>
      </w:r>
      <w:r w:rsidR="00966394">
        <w:rPr>
          <w:rFonts w:ascii="Times New Roman" w:hAnsi="Times New Roman" w:cs="Times New Roman"/>
        </w:rPr>
        <w:t xml:space="preserve"> </w:t>
      </w:r>
      <w:r w:rsidR="00007ADC" w:rsidRPr="00007ADC">
        <w:rPr>
          <w:rFonts w:ascii="Times New Roman" w:hAnsi="Times New Roman" w:cs="Times New Roman"/>
        </w:rPr>
        <w:t xml:space="preserve">Digital Strategy. </w:t>
      </w:r>
    </w:p>
    <w:p w14:paraId="62EFF5ED" w14:textId="590A4DC5" w:rsidR="00007ADC" w:rsidRPr="00007ADC" w:rsidRDefault="003B7234" w:rsidP="00007ADC">
      <w:pPr>
        <w:tabs>
          <w:tab w:val="left" w:pos="2150"/>
        </w:tabs>
        <w:jc w:val="both"/>
        <w:rPr>
          <w:rFonts w:ascii="Times New Roman" w:hAnsi="Times New Roman" w:cs="Times New Roman"/>
          <w:b/>
          <w:bCs/>
        </w:rPr>
      </w:pPr>
      <w:r>
        <w:rPr>
          <w:rFonts w:ascii="Times New Roman" w:hAnsi="Times New Roman" w:cs="Times New Roman"/>
          <w:b/>
          <w:bCs/>
        </w:rPr>
        <w:t>5</w:t>
      </w:r>
      <w:r w:rsidR="00075087">
        <w:rPr>
          <w:rFonts w:ascii="Times New Roman" w:hAnsi="Times New Roman" w:cs="Times New Roman"/>
          <w:b/>
          <w:bCs/>
        </w:rPr>
        <w:t>1</w:t>
      </w:r>
      <w:r>
        <w:rPr>
          <w:rFonts w:ascii="Times New Roman" w:hAnsi="Times New Roman" w:cs="Times New Roman"/>
          <w:b/>
          <w:bCs/>
        </w:rPr>
        <w:t xml:space="preserve">. </w:t>
      </w:r>
      <w:r w:rsidR="00007ADC" w:rsidRPr="00007ADC">
        <w:rPr>
          <w:rFonts w:ascii="Times New Roman" w:hAnsi="Times New Roman" w:cs="Times New Roman"/>
          <w:b/>
          <w:bCs/>
        </w:rPr>
        <w:t xml:space="preserve">Some elements of the digital economy regulatory and legal framework are in place, but sector-related policies need to be enhanced to incentivize investments into the sector. </w:t>
      </w:r>
      <w:r w:rsidR="00007ADC" w:rsidRPr="00007ADC">
        <w:rPr>
          <w:rFonts w:ascii="Times New Roman" w:hAnsi="Times New Roman" w:cs="Times New Roman"/>
        </w:rPr>
        <w:t>Overall, the Network Readiness Index ranks Cabo Verde's ICT regulatory environment below the global average, ranking 81</w:t>
      </w:r>
      <w:r w:rsidR="00007ADC" w:rsidRPr="00007ADC">
        <w:rPr>
          <w:rFonts w:ascii="Times New Roman" w:hAnsi="Times New Roman" w:cs="Times New Roman"/>
          <w:vertAlign w:val="superscript"/>
        </w:rPr>
        <w:t>st</w:t>
      </w:r>
      <w:r w:rsidR="00007ADC" w:rsidRPr="00007ADC">
        <w:rPr>
          <w:rFonts w:ascii="Times New Roman" w:hAnsi="Times New Roman" w:cs="Times New Roman"/>
        </w:rPr>
        <w:t xml:space="preserve"> among 130 countries. In addition, the Adaptability of the existing legal framework to emerging technologies, which is instrumental in supporting the creation of digital business models, platform economies, and other applications of disruptive technologies, is also scored substantially low, positioning the country 93</w:t>
      </w:r>
      <w:r w:rsidR="00007ADC" w:rsidRPr="00007ADC">
        <w:rPr>
          <w:rFonts w:ascii="Times New Roman" w:hAnsi="Times New Roman" w:cs="Times New Roman"/>
          <w:vertAlign w:val="superscript"/>
        </w:rPr>
        <w:t>rd</w:t>
      </w:r>
      <w:r w:rsidR="00007ADC" w:rsidRPr="00007ADC">
        <w:rPr>
          <w:rFonts w:ascii="Times New Roman" w:hAnsi="Times New Roman" w:cs="Times New Roman"/>
        </w:rPr>
        <w:t>. According to the ITU's ICT Regulatory Tracker,</w:t>
      </w:r>
      <w:r w:rsidR="0084640C">
        <w:rPr>
          <w:rFonts w:ascii="Times New Roman" w:hAnsi="Times New Roman" w:cs="Times New Roman"/>
        </w:rPr>
        <w:t xml:space="preserve"> </w:t>
      </w:r>
      <w:r w:rsidR="00007ADC" w:rsidRPr="00007ADC">
        <w:rPr>
          <w:rStyle w:val="FootnoteReference"/>
          <w:rFonts w:ascii="Times New Roman" w:hAnsi="Times New Roman" w:cs="Times New Roman"/>
        </w:rPr>
        <w:footnoteReference w:id="18"/>
      </w:r>
      <w:r w:rsidR="00007ADC" w:rsidRPr="00007ADC">
        <w:rPr>
          <w:rFonts w:ascii="Times New Roman" w:hAnsi="Times New Roman" w:cs="Times New Roman"/>
        </w:rPr>
        <w:t xml:space="preserve"> Cabo Verde recorded a drastic improvement in ICT regulatory environment since 2007 and achieved an overall score of 78.3 in 2020. The progress has been substantial in the competition framework and regulatory regime.</w:t>
      </w:r>
    </w:p>
    <w:p w14:paraId="2ABA74D1" w14:textId="7B56601F" w:rsidR="00007ADC" w:rsidRPr="00007ADC" w:rsidRDefault="003B7234" w:rsidP="00007ADC">
      <w:pPr>
        <w:tabs>
          <w:tab w:val="left" w:pos="2150"/>
        </w:tabs>
        <w:jc w:val="both"/>
        <w:rPr>
          <w:rFonts w:ascii="Times New Roman" w:hAnsi="Times New Roman" w:cs="Times New Roman"/>
        </w:rPr>
      </w:pPr>
      <w:r>
        <w:rPr>
          <w:rFonts w:ascii="Times New Roman" w:hAnsi="Times New Roman" w:cs="Times New Roman"/>
          <w:b/>
          <w:bCs/>
        </w:rPr>
        <w:t>5</w:t>
      </w:r>
      <w:r w:rsidR="00075087">
        <w:rPr>
          <w:rFonts w:ascii="Times New Roman" w:hAnsi="Times New Roman" w:cs="Times New Roman"/>
          <w:b/>
          <w:bCs/>
        </w:rPr>
        <w:t>2</w:t>
      </w:r>
      <w:r w:rsidR="00CA27F8">
        <w:rPr>
          <w:rFonts w:ascii="Times New Roman" w:hAnsi="Times New Roman" w:cs="Times New Roman"/>
          <w:b/>
          <w:bCs/>
        </w:rPr>
        <w:t>.</w:t>
      </w:r>
      <w:r>
        <w:rPr>
          <w:rFonts w:ascii="Times New Roman" w:hAnsi="Times New Roman" w:cs="Times New Roman"/>
          <w:b/>
          <w:bCs/>
        </w:rPr>
        <w:t xml:space="preserve"> </w:t>
      </w:r>
      <w:r w:rsidR="00007ADC" w:rsidRPr="00007ADC">
        <w:rPr>
          <w:rFonts w:ascii="Times New Roman" w:hAnsi="Times New Roman" w:cs="Times New Roman"/>
          <w:b/>
          <w:bCs/>
        </w:rPr>
        <w:t xml:space="preserve">The telecom sector reforms started with the sector's liberalization; however, insufficient market competition is still a central issue </w:t>
      </w:r>
      <w:r w:rsidR="00007ADC" w:rsidRPr="00007ADC">
        <w:rPr>
          <w:rFonts w:ascii="Times New Roman" w:hAnsi="Times New Roman" w:cs="Times New Roman"/>
        </w:rPr>
        <w:t>lead</w:t>
      </w:r>
      <w:r w:rsidR="00874AEC">
        <w:rPr>
          <w:rFonts w:ascii="Times New Roman" w:hAnsi="Times New Roman" w:cs="Times New Roman"/>
        </w:rPr>
        <w:t>ing</w:t>
      </w:r>
      <w:r w:rsidR="00007ADC" w:rsidRPr="00007ADC">
        <w:rPr>
          <w:rFonts w:ascii="Times New Roman" w:hAnsi="Times New Roman" w:cs="Times New Roman"/>
        </w:rPr>
        <w:t xml:space="preserve"> to low incentives to invest in better infrastructure and services. A duopoly operates the market of mobile services. Furthermore, the incumbent ISP – CVT, solely manages the Public Infrastructure Network (PIN) under a concession contract and gives access to the other broadband and mobile provider - </w:t>
      </w:r>
      <w:proofErr w:type="spellStart"/>
      <w:r w:rsidR="00007ADC" w:rsidRPr="00007ADC">
        <w:rPr>
          <w:rFonts w:ascii="Times New Roman" w:hAnsi="Times New Roman" w:cs="Times New Roman"/>
        </w:rPr>
        <w:t>Unitel</w:t>
      </w:r>
      <w:proofErr w:type="spellEnd"/>
      <w:r w:rsidR="00007ADC" w:rsidRPr="00007ADC">
        <w:rPr>
          <w:rFonts w:ascii="Times New Roman" w:hAnsi="Times New Roman" w:cs="Times New Roman"/>
        </w:rPr>
        <w:t xml:space="preserve"> T+. This leads CVT to have a dominant market position. The competitor ISP has numerously raised concerns about the unfair regulatory practices underpinning the business environment and investment climate in the telecom sector in Cabo Verde. Although primary efforts of regulatory development have gone into the telecom sector, some initiatives in parallel were undertaken to </w:t>
      </w:r>
      <w:r w:rsidR="00007ADC" w:rsidRPr="00007ADC">
        <w:rPr>
          <w:rFonts w:ascii="Times New Roman" w:hAnsi="Times New Roman" w:cs="Times New Roman"/>
        </w:rPr>
        <w:lastRenderedPageBreak/>
        <w:t>introduce and enable necessary legal oversight mechanisms for financial transactions, private key infrastructure, internet domain regulations and other aspects to support the digital development in the country. At present, Cabo Verde has elements of legislation in the main areas of the digital economy, including E-Commerce legislation, Electronic Transactions, Consumer Protection, Privacy and Data Protection, and Cybercrime.</w:t>
      </w:r>
      <w:r w:rsidR="00A82B45">
        <w:rPr>
          <w:rFonts w:ascii="Times New Roman" w:hAnsi="Times New Roman" w:cs="Times New Roman"/>
        </w:rPr>
        <w:t xml:space="preserve"> </w:t>
      </w:r>
      <w:r w:rsidR="00007ADC" w:rsidRPr="00007ADC">
        <w:rPr>
          <w:rStyle w:val="FootnoteReference"/>
          <w:rFonts w:ascii="Times New Roman" w:hAnsi="Times New Roman" w:cs="Times New Roman"/>
        </w:rPr>
        <w:footnoteReference w:id="19"/>
      </w:r>
    </w:p>
    <w:p w14:paraId="4E204918" w14:textId="3BB27222" w:rsidR="00007ADC" w:rsidRPr="00007ADC" w:rsidRDefault="003B7234" w:rsidP="00007ADC">
      <w:pPr>
        <w:tabs>
          <w:tab w:val="left" w:pos="2150"/>
        </w:tabs>
        <w:jc w:val="both"/>
        <w:rPr>
          <w:rFonts w:ascii="Times New Roman" w:hAnsi="Times New Roman" w:cs="Times New Roman"/>
        </w:rPr>
      </w:pPr>
      <w:r>
        <w:rPr>
          <w:rFonts w:ascii="Times New Roman" w:hAnsi="Times New Roman" w:cs="Times New Roman"/>
          <w:b/>
          <w:bCs/>
        </w:rPr>
        <w:t>5</w:t>
      </w:r>
      <w:r w:rsidR="00075087">
        <w:rPr>
          <w:rFonts w:ascii="Times New Roman" w:hAnsi="Times New Roman" w:cs="Times New Roman"/>
          <w:b/>
          <w:bCs/>
        </w:rPr>
        <w:t>3</w:t>
      </w:r>
      <w:r>
        <w:rPr>
          <w:rFonts w:ascii="Times New Roman" w:hAnsi="Times New Roman" w:cs="Times New Roman"/>
          <w:b/>
          <w:bCs/>
        </w:rPr>
        <w:t xml:space="preserve">. </w:t>
      </w:r>
      <w:r w:rsidR="00007ADC" w:rsidRPr="00007ADC">
        <w:rPr>
          <w:rFonts w:ascii="Times New Roman" w:hAnsi="Times New Roman" w:cs="Times New Roman"/>
          <w:b/>
          <w:bCs/>
        </w:rPr>
        <w:t>With the development in the e-government arena, issues concerning data privacy, data protection, and sovereignty also started to gain rising acknowledgment and importance.</w:t>
      </w:r>
      <w:r w:rsidR="00007ADC" w:rsidRPr="00007ADC">
        <w:rPr>
          <w:rFonts w:ascii="Times New Roman" w:hAnsi="Times New Roman" w:cs="Times New Roman"/>
        </w:rPr>
        <w:t xml:space="preserve"> In 2013, the National Center of Data Protection (CNPD - Centro Nacional de </w:t>
      </w:r>
      <w:proofErr w:type="spellStart"/>
      <w:r w:rsidR="00007ADC" w:rsidRPr="00007ADC">
        <w:rPr>
          <w:rFonts w:ascii="Times New Roman" w:hAnsi="Times New Roman" w:cs="Times New Roman"/>
        </w:rPr>
        <w:t>Proteção</w:t>
      </w:r>
      <w:proofErr w:type="spellEnd"/>
      <w:r w:rsidR="00007ADC" w:rsidRPr="00007ADC">
        <w:rPr>
          <w:rFonts w:ascii="Times New Roman" w:hAnsi="Times New Roman" w:cs="Times New Roman"/>
        </w:rPr>
        <w:t xml:space="preserve"> de Dados) was established to provide oversight of these issues. The protection of individuals' privacy rights has been the agency's focus so far. There is a law on the Protection of Personal Data, but the data regulatory framework is underdeveloped. For example, third parties' data (organizations or foreign governments) is not subject to regulation in Cabo Verde, which can become a significant impediment to attracting foreign companies to outsource services entailing work with data. </w:t>
      </w:r>
    </w:p>
    <w:p w14:paraId="47A10F63" w14:textId="47D15958" w:rsidR="00007ADC" w:rsidRPr="00007ADC" w:rsidRDefault="0059561A" w:rsidP="00007ADC">
      <w:pPr>
        <w:tabs>
          <w:tab w:val="left" w:pos="2150"/>
        </w:tabs>
        <w:jc w:val="both"/>
        <w:rPr>
          <w:rFonts w:ascii="Times New Roman" w:hAnsi="Times New Roman" w:cs="Times New Roman"/>
          <w:b/>
          <w:bCs/>
        </w:rPr>
      </w:pPr>
      <w:r>
        <w:rPr>
          <w:rFonts w:ascii="Times New Roman" w:hAnsi="Times New Roman" w:cs="Times New Roman"/>
          <w:b/>
          <w:bCs/>
        </w:rPr>
        <w:t>5</w:t>
      </w:r>
      <w:r w:rsidR="00075087">
        <w:rPr>
          <w:rFonts w:ascii="Times New Roman" w:hAnsi="Times New Roman" w:cs="Times New Roman"/>
          <w:b/>
          <w:bCs/>
        </w:rPr>
        <w:t>4</w:t>
      </w:r>
      <w:r w:rsidR="003B7234">
        <w:rPr>
          <w:rFonts w:ascii="Times New Roman" w:hAnsi="Times New Roman" w:cs="Times New Roman"/>
          <w:b/>
          <w:bCs/>
        </w:rPr>
        <w:t xml:space="preserve">. </w:t>
      </w:r>
      <w:r w:rsidR="00007ADC" w:rsidRPr="00007ADC">
        <w:rPr>
          <w:rFonts w:ascii="Times New Roman" w:hAnsi="Times New Roman" w:cs="Times New Roman"/>
          <w:b/>
          <w:bCs/>
        </w:rPr>
        <w:t xml:space="preserve">With the expanding digital economy, the trust ecosystem has become an essential part of the digital development agenda in Cabo Verde. </w:t>
      </w:r>
      <w:r w:rsidR="00007ADC" w:rsidRPr="00007ADC">
        <w:rPr>
          <w:rFonts w:ascii="Times New Roman" w:hAnsi="Times New Roman" w:cs="Times New Roman"/>
        </w:rPr>
        <w:t>The National Cybersecurity Strategy 2016-2020 identified priority areas for the country's cybersecurity capacities. However, the Cybersecurity Capacity Review by the WB in 2019 assessed the country's capabilities in areas such as software quality, technical security controls, or incidence response to be at an insufficient level. To implement the National Cybersecurity Strategy, a new institutional unit was set up in 2019. The National Cybersecurity Council chaired by the National Security Advisor has been responsible for implementing national cybersecurity efforts. In addition, the government introduced a Decree to establish the National Cybersecurity Center, which will be mandated to promote the continuous improvement of national cybersecurity and international cooperation and define and implement measures and instruments to anticipate, detect, and address incidents and threats.</w:t>
      </w:r>
      <w:r w:rsidR="00007ADC" w:rsidRPr="00007ADC">
        <w:rPr>
          <w:rFonts w:ascii="Times New Roman" w:hAnsi="Times New Roman" w:cs="Times New Roman"/>
          <w:b/>
          <w:bCs/>
        </w:rPr>
        <w:t xml:space="preserve"> </w:t>
      </w:r>
      <w:r w:rsidR="00007ADC" w:rsidRPr="00007ADC">
        <w:rPr>
          <w:rFonts w:ascii="Times New Roman" w:hAnsi="Times New Roman" w:cs="Times New Roman"/>
        </w:rPr>
        <w:t xml:space="preserve">As a more recent development, Cabo Verde was selected as a pilot country for a project on the establishment of a Computer Security Incident Response Team (CSIRT) in the African sub-region. The program initiated jointly by </w:t>
      </w:r>
      <w:proofErr w:type="gramStart"/>
      <w:r w:rsidR="00007ADC" w:rsidRPr="00007ADC">
        <w:rPr>
          <w:rFonts w:ascii="Times New Roman" w:hAnsi="Times New Roman" w:cs="Times New Roman"/>
          <w:color w:val="333333"/>
        </w:rPr>
        <w:t>ARME</w:t>
      </w:r>
      <w:proofErr w:type="gramEnd"/>
      <w:r w:rsidR="00007ADC" w:rsidRPr="00007ADC">
        <w:rPr>
          <w:rFonts w:ascii="Times New Roman" w:hAnsi="Times New Roman" w:cs="Times New Roman"/>
          <w:color w:val="333333"/>
        </w:rPr>
        <w:t xml:space="preserve"> and the West African Response Team on Cybersecurity and the Fight against Cybercrime (OCWAR-C) intends to </w:t>
      </w:r>
      <w:r w:rsidR="00007ADC" w:rsidRPr="00007ADC">
        <w:rPr>
          <w:rFonts w:ascii="Times New Roman" w:hAnsi="Times New Roman" w:cs="Times New Roman"/>
        </w:rPr>
        <w:t xml:space="preserve">raise awareness about the computer security issues and create a cybercrime monitoring center. </w:t>
      </w:r>
      <w:r w:rsidR="00007ADC" w:rsidRPr="00007ADC">
        <w:rPr>
          <w:rStyle w:val="FootnoteReference"/>
          <w:rFonts w:ascii="Times New Roman" w:hAnsi="Times New Roman" w:cs="Times New Roman"/>
        </w:rPr>
        <w:footnoteReference w:id="20"/>
      </w:r>
    </w:p>
    <w:p w14:paraId="08D81180" w14:textId="29616481" w:rsidR="00007ADC" w:rsidRPr="00007ADC" w:rsidRDefault="00075087" w:rsidP="00007ADC">
      <w:pPr>
        <w:tabs>
          <w:tab w:val="left" w:pos="2150"/>
        </w:tabs>
        <w:jc w:val="both"/>
        <w:rPr>
          <w:rFonts w:ascii="Times New Roman" w:hAnsi="Times New Roman" w:cs="Times New Roman"/>
        </w:rPr>
      </w:pPr>
      <w:r>
        <w:rPr>
          <w:rFonts w:ascii="Times New Roman" w:hAnsi="Times New Roman" w:cs="Times New Roman"/>
          <w:b/>
          <w:bCs/>
        </w:rPr>
        <w:t>55</w:t>
      </w:r>
      <w:r w:rsidR="003B7234">
        <w:rPr>
          <w:rFonts w:ascii="Times New Roman" w:hAnsi="Times New Roman" w:cs="Times New Roman"/>
          <w:b/>
          <w:bCs/>
        </w:rPr>
        <w:t xml:space="preserve">. </w:t>
      </w:r>
      <w:r w:rsidR="00007ADC" w:rsidRPr="00007ADC">
        <w:rPr>
          <w:rFonts w:ascii="Times New Roman" w:hAnsi="Times New Roman" w:cs="Times New Roman"/>
          <w:b/>
          <w:bCs/>
        </w:rPr>
        <w:t>Still, Cabo Verde has much to accomplish to ensure safe and secure cyberspace for its citizens, gaining growing exposure to various cyber risks and threats with increased use of online services.</w:t>
      </w:r>
      <w:r w:rsidR="00007ADC" w:rsidRPr="00007ADC">
        <w:rPr>
          <w:rFonts w:ascii="Times New Roman" w:hAnsi="Times New Roman" w:cs="Times New Roman"/>
        </w:rPr>
        <w:t xml:space="preserve"> These measures are especially vital </w:t>
      </w:r>
      <w:proofErr w:type="gramStart"/>
      <w:r w:rsidR="00007ADC" w:rsidRPr="00007ADC">
        <w:rPr>
          <w:rFonts w:ascii="Times New Roman" w:hAnsi="Times New Roman" w:cs="Times New Roman"/>
        </w:rPr>
        <w:t>in light of</w:t>
      </w:r>
      <w:proofErr w:type="gramEnd"/>
      <w:r w:rsidR="00007ADC" w:rsidRPr="00007ADC">
        <w:rPr>
          <w:rFonts w:ascii="Times New Roman" w:hAnsi="Times New Roman" w:cs="Times New Roman"/>
        </w:rPr>
        <w:t xml:space="preserve"> the recent increase in cyberattacks during the COVID-19 crisis. For example, the data shows that globally phishing attacks have grown seven times since the pandemic. In November 2020 Cabo Verde itself suffered malware attack. The damage was considerable and affected not only state ICT network but also customers’ local networks. Most government services were suspended as a result, including vital areas such as health, notary, identification and else. </w:t>
      </w:r>
      <w:r w:rsidR="00007ADC" w:rsidRPr="00007ADC">
        <w:rPr>
          <w:rStyle w:val="FootnoteReference"/>
          <w:rFonts w:ascii="Times New Roman" w:hAnsi="Times New Roman" w:cs="Times New Roman"/>
        </w:rPr>
        <w:footnoteReference w:id="21"/>
      </w:r>
      <w:r w:rsidR="00007ADC" w:rsidRPr="00007ADC">
        <w:rPr>
          <w:rFonts w:ascii="Times New Roman" w:hAnsi="Times New Roman" w:cs="Times New Roman"/>
        </w:rPr>
        <w:t xml:space="preserve"> ITU's Global Cybersecurity Index 2020 positions Cabo Verde 136</w:t>
      </w:r>
      <w:r w:rsidR="00007ADC" w:rsidRPr="00007ADC">
        <w:rPr>
          <w:rFonts w:ascii="Times New Roman" w:hAnsi="Times New Roman" w:cs="Times New Roman"/>
          <w:vertAlign w:val="superscript"/>
        </w:rPr>
        <w:t>th</w:t>
      </w:r>
      <w:r w:rsidR="00007ADC" w:rsidRPr="00007ADC">
        <w:rPr>
          <w:rFonts w:ascii="Times New Roman" w:hAnsi="Times New Roman" w:cs="Times New Roman"/>
        </w:rPr>
        <w:t xml:space="preserve"> in the world and 27</w:t>
      </w:r>
      <w:r w:rsidR="00007ADC" w:rsidRPr="00007ADC">
        <w:rPr>
          <w:rFonts w:ascii="Times New Roman" w:hAnsi="Times New Roman" w:cs="Times New Roman"/>
          <w:vertAlign w:val="superscript"/>
        </w:rPr>
        <w:t>th</w:t>
      </w:r>
      <w:r w:rsidR="00007ADC" w:rsidRPr="00007ADC">
        <w:rPr>
          <w:rFonts w:ascii="Times New Roman" w:hAnsi="Times New Roman" w:cs="Times New Roman"/>
        </w:rPr>
        <w:t xml:space="preserve"> in the Africa region by the resilience of its cybersecurity system. The Technical Measures subcomponent is the weakest area of cyberspace, scored 0 by ITU's assessment. The Network Readiness Index's assessment of the cybersecurity capacities also reinforces </w:t>
      </w:r>
      <w:r w:rsidR="003E2A3E" w:rsidRPr="00007ADC">
        <w:rPr>
          <w:rFonts w:ascii="Times New Roman" w:hAnsi="Times New Roman" w:cs="Times New Roman"/>
        </w:rPr>
        <w:t>this</w:t>
      </w:r>
      <w:r w:rsidR="003E2A3E">
        <w:rPr>
          <w:rFonts w:ascii="Times New Roman" w:hAnsi="Times New Roman" w:cs="Times New Roman"/>
        </w:rPr>
        <w:t xml:space="preserve">, </w:t>
      </w:r>
      <w:r w:rsidR="003E2A3E" w:rsidRPr="00007ADC">
        <w:rPr>
          <w:rFonts w:ascii="Times New Roman" w:hAnsi="Times New Roman" w:cs="Times New Roman"/>
        </w:rPr>
        <w:t>placing</w:t>
      </w:r>
      <w:r w:rsidR="00007ADC" w:rsidRPr="00007ADC">
        <w:rPr>
          <w:rFonts w:ascii="Times New Roman" w:hAnsi="Times New Roman" w:cs="Times New Roman"/>
        </w:rPr>
        <w:t xml:space="preserve"> Cabo Verde i</w:t>
      </w:r>
      <w:r w:rsidR="006C1997">
        <w:rPr>
          <w:rFonts w:ascii="Times New Roman" w:hAnsi="Times New Roman" w:cs="Times New Roman"/>
        </w:rPr>
        <w:t>n</w:t>
      </w:r>
      <w:r w:rsidR="00007ADC" w:rsidRPr="00007ADC">
        <w:rPr>
          <w:rFonts w:ascii="Times New Roman" w:hAnsi="Times New Roman" w:cs="Times New Roman"/>
        </w:rPr>
        <w:t xml:space="preserve"> 118</w:t>
      </w:r>
      <w:r w:rsidR="00007ADC" w:rsidRPr="00007ADC">
        <w:rPr>
          <w:rFonts w:ascii="Times New Roman" w:hAnsi="Times New Roman" w:cs="Times New Roman"/>
          <w:vertAlign w:val="superscript"/>
        </w:rPr>
        <w:t>th</w:t>
      </w:r>
      <w:r w:rsidR="00007ADC" w:rsidRPr="00007ADC">
        <w:rPr>
          <w:rFonts w:ascii="Times New Roman" w:hAnsi="Times New Roman" w:cs="Times New Roman"/>
        </w:rPr>
        <w:t xml:space="preserve"> among 130 countries. </w:t>
      </w:r>
    </w:p>
    <w:p w14:paraId="66B872A4" w14:textId="24DC5222" w:rsidR="00461D0B" w:rsidRDefault="00075087" w:rsidP="004B1FD5">
      <w:pPr>
        <w:tabs>
          <w:tab w:val="left" w:pos="2150"/>
        </w:tabs>
        <w:jc w:val="both"/>
        <w:rPr>
          <w:rFonts w:ascii="Times New Roman" w:hAnsi="Times New Roman" w:cs="Times New Roman"/>
        </w:rPr>
      </w:pPr>
      <w:r>
        <w:rPr>
          <w:rFonts w:ascii="Times New Roman" w:hAnsi="Times New Roman" w:cs="Times New Roman"/>
          <w:b/>
          <w:bCs/>
        </w:rPr>
        <w:t>5</w:t>
      </w:r>
      <w:r w:rsidR="003B7234">
        <w:rPr>
          <w:rFonts w:ascii="Times New Roman" w:hAnsi="Times New Roman" w:cs="Times New Roman"/>
          <w:b/>
          <w:bCs/>
        </w:rPr>
        <w:t xml:space="preserve">6. </w:t>
      </w:r>
      <w:r w:rsidR="00007ADC" w:rsidRPr="00007ADC">
        <w:rPr>
          <w:rFonts w:ascii="Times New Roman" w:hAnsi="Times New Roman" w:cs="Times New Roman"/>
          <w:b/>
          <w:bCs/>
        </w:rPr>
        <w:t xml:space="preserve">With significant advancements and reforms, there are still regulatory gaps </w:t>
      </w:r>
      <w:r w:rsidR="00AD6B92">
        <w:rPr>
          <w:rFonts w:ascii="Times New Roman" w:hAnsi="Times New Roman" w:cs="Times New Roman"/>
          <w:b/>
          <w:bCs/>
        </w:rPr>
        <w:t xml:space="preserve">in </w:t>
      </w:r>
      <w:r w:rsidR="00007ADC" w:rsidRPr="00007ADC">
        <w:rPr>
          <w:rFonts w:ascii="Times New Roman" w:hAnsi="Times New Roman" w:cs="Times New Roman"/>
          <w:b/>
          <w:bCs/>
        </w:rPr>
        <w:t xml:space="preserve">the digital economy </w:t>
      </w:r>
      <w:r w:rsidR="00AD6B92">
        <w:rPr>
          <w:rFonts w:ascii="Times New Roman" w:hAnsi="Times New Roman" w:cs="Times New Roman"/>
          <w:b/>
          <w:bCs/>
        </w:rPr>
        <w:t>to address</w:t>
      </w:r>
      <w:r w:rsidR="00007ADC" w:rsidRPr="00007ADC">
        <w:rPr>
          <w:rFonts w:ascii="Times New Roman" w:hAnsi="Times New Roman" w:cs="Times New Roman"/>
          <w:b/>
          <w:bCs/>
        </w:rPr>
        <w:t xml:space="preserve">.  </w:t>
      </w:r>
      <w:r w:rsidR="00007ADC" w:rsidRPr="00007ADC">
        <w:rPr>
          <w:rFonts w:ascii="Times New Roman" w:hAnsi="Times New Roman" w:cs="Times New Roman"/>
        </w:rPr>
        <w:t xml:space="preserve">A recent assessment done by the WB's Regulatory Watch Initiative identified areas of strengths and weaknesses of Cabo Verde in telecom sector regulation. The work measures the extent to which best </w:t>
      </w:r>
      <w:r w:rsidR="00007ADC" w:rsidRPr="00007ADC">
        <w:rPr>
          <w:rFonts w:ascii="Times New Roman" w:hAnsi="Times New Roman" w:cs="Times New Roman"/>
        </w:rPr>
        <w:lastRenderedPageBreak/>
        <w:t xml:space="preserve">practice has been achieved in Cabo Verde across five regulatory themes, including Licensing and Authorizations; Fair Markets; International Access; Spectrum Management, and Regulatory governance (Table </w:t>
      </w:r>
      <w:r w:rsidR="00E00E0E">
        <w:rPr>
          <w:rFonts w:ascii="Times New Roman" w:hAnsi="Times New Roman" w:cs="Times New Roman"/>
        </w:rPr>
        <w:t>5</w:t>
      </w:r>
      <w:r w:rsidR="00007ADC" w:rsidRPr="00007ADC">
        <w:rPr>
          <w:rFonts w:ascii="Times New Roman" w:hAnsi="Times New Roman" w:cs="Times New Roman"/>
        </w:rPr>
        <w:t xml:space="preserve">). </w:t>
      </w:r>
      <w:r w:rsidR="00AD6B92">
        <w:rPr>
          <w:rFonts w:ascii="Times New Roman" w:hAnsi="Times New Roman" w:cs="Times New Roman"/>
        </w:rPr>
        <w:t xml:space="preserve">Cabo Verde has shown comparatively strong performance on several aspects, including </w:t>
      </w:r>
      <w:r w:rsidR="000C70F6" w:rsidRPr="000C70F6">
        <w:rPr>
          <w:rFonts w:ascii="Times New Roman" w:hAnsi="Times New Roman" w:cs="Times New Roman"/>
        </w:rPr>
        <w:t xml:space="preserve">Reference Interconnect Offer </w:t>
      </w:r>
      <w:r w:rsidR="000C70F6">
        <w:rPr>
          <w:rFonts w:ascii="Times New Roman" w:hAnsi="Times New Roman" w:cs="Times New Roman"/>
        </w:rPr>
        <w:t>(</w:t>
      </w:r>
      <w:r w:rsidR="00AD6B92">
        <w:rPr>
          <w:rFonts w:ascii="Times New Roman" w:hAnsi="Times New Roman" w:cs="Times New Roman"/>
        </w:rPr>
        <w:t>RIO</w:t>
      </w:r>
      <w:r w:rsidR="000C70F6">
        <w:rPr>
          <w:rFonts w:ascii="Times New Roman" w:hAnsi="Times New Roman" w:cs="Times New Roman"/>
        </w:rPr>
        <w:t>)</w:t>
      </w:r>
      <w:r w:rsidR="00AD6B92">
        <w:rPr>
          <w:rFonts w:ascii="Times New Roman" w:hAnsi="Times New Roman" w:cs="Times New Roman"/>
        </w:rPr>
        <w:t xml:space="preserve"> availability, absence of international traffic taxes and regulation of international access. </w:t>
      </w:r>
      <w:r w:rsidR="00007ADC" w:rsidRPr="00007ADC">
        <w:rPr>
          <w:rFonts w:ascii="Times New Roman" w:hAnsi="Times New Roman" w:cs="Times New Roman"/>
        </w:rPr>
        <w:t xml:space="preserve">One of the most prominent identified issues is the universal service, which is defined by the law but not enacted. Other issues include the lack of technological neutrality, lack of regulatory provisions for </w:t>
      </w:r>
      <w:r w:rsidR="00A86CB1" w:rsidRPr="00A86CB1">
        <w:rPr>
          <w:rFonts w:ascii="Times New Roman" w:hAnsi="Times New Roman" w:cs="Times New Roman"/>
        </w:rPr>
        <w:t xml:space="preserve">Over-The-Top </w:t>
      </w:r>
      <w:r w:rsidR="00A86CB1">
        <w:rPr>
          <w:rFonts w:ascii="Times New Roman" w:hAnsi="Times New Roman" w:cs="Times New Roman"/>
        </w:rPr>
        <w:t xml:space="preserve">(OTTs) </w:t>
      </w:r>
      <w:r w:rsidR="00A86CB1" w:rsidRPr="00A86CB1">
        <w:rPr>
          <w:rFonts w:ascii="Times New Roman" w:hAnsi="Times New Roman" w:cs="Times New Roman"/>
        </w:rPr>
        <w:t>telecom operators</w:t>
      </w:r>
      <w:r w:rsidR="00007ADC" w:rsidRPr="00007ADC">
        <w:rPr>
          <w:rFonts w:ascii="Times New Roman" w:hAnsi="Times New Roman" w:cs="Times New Roman"/>
        </w:rPr>
        <w:t>, sole oversight of the incumbent ISP over submarine cable landing stations and national and international transmission, and others.</w:t>
      </w:r>
    </w:p>
    <w:p w14:paraId="33479621" w14:textId="77777777" w:rsidR="00DF749E" w:rsidRPr="004B1FD5" w:rsidRDefault="00DF749E" w:rsidP="004B1FD5">
      <w:pPr>
        <w:tabs>
          <w:tab w:val="left" w:pos="2150"/>
        </w:tabs>
        <w:jc w:val="both"/>
        <w:rPr>
          <w:rFonts w:ascii="Times New Roman" w:hAnsi="Times New Roman" w:cs="Times New Roman"/>
        </w:rPr>
      </w:pPr>
    </w:p>
    <w:p w14:paraId="1B687A28" w14:textId="08FCC2A8" w:rsidR="007C3A7E" w:rsidRPr="00A27DC3" w:rsidRDefault="00815E9C">
      <w:pPr>
        <w:pStyle w:val="Caption"/>
        <w:jc w:val="center"/>
        <w:rPr>
          <w:rFonts w:ascii="Times New Roman" w:eastAsia="Times New Roman" w:hAnsi="Times New Roman" w:cs="Times New Roman"/>
          <w:b/>
          <w:bCs/>
          <w:i w:val="0"/>
          <w:iCs w:val="0"/>
          <w:color w:val="2F5496" w:themeColor="accent1" w:themeShade="BF"/>
          <w:sz w:val="20"/>
          <w:szCs w:val="20"/>
        </w:rPr>
      </w:pPr>
      <w:bookmarkStart w:id="99" w:name="_Toc105592173"/>
      <w:r w:rsidRPr="00B87C41">
        <w:rPr>
          <w:rFonts w:ascii="Times New Roman" w:hAnsi="Times New Roman" w:cs="Times New Roman"/>
          <w:b/>
          <w:bCs/>
          <w:i w:val="0"/>
          <w:iCs w:val="0"/>
          <w:color w:val="2F5496" w:themeColor="accent1" w:themeShade="BF"/>
          <w:sz w:val="20"/>
          <w:szCs w:val="20"/>
        </w:rPr>
        <w:t xml:space="preserve">Table </w:t>
      </w:r>
      <w:r w:rsidRPr="00B87C41">
        <w:rPr>
          <w:rFonts w:ascii="Times New Roman" w:hAnsi="Times New Roman" w:cs="Times New Roman"/>
          <w:b/>
          <w:bCs/>
          <w:i w:val="0"/>
          <w:iCs w:val="0"/>
          <w:color w:val="2F5496" w:themeColor="accent1" w:themeShade="BF"/>
          <w:sz w:val="20"/>
          <w:szCs w:val="20"/>
        </w:rPr>
        <w:fldChar w:fldCharType="begin"/>
      </w:r>
      <w:r w:rsidRPr="00B87C41">
        <w:rPr>
          <w:rFonts w:ascii="Times New Roman" w:hAnsi="Times New Roman" w:cs="Times New Roman"/>
          <w:b/>
          <w:bCs/>
          <w:i w:val="0"/>
          <w:iCs w:val="0"/>
          <w:color w:val="2F5496" w:themeColor="accent1" w:themeShade="BF"/>
          <w:sz w:val="20"/>
          <w:szCs w:val="20"/>
        </w:rPr>
        <w:instrText xml:space="preserve"> SEQ Table \* ARABIC </w:instrText>
      </w:r>
      <w:r w:rsidRPr="00B87C41">
        <w:rPr>
          <w:rFonts w:ascii="Times New Roman" w:hAnsi="Times New Roman" w:cs="Times New Roman"/>
          <w:b/>
          <w:bCs/>
          <w:i w:val="0"/>
          <w:iCs w:val="0"/>
          <w:color w:val="2F5496" w:themeColor="accent1" w:themeShade="BF"/>
          <w:sz w:val="20"/>
          <w:szCs w:val="20"/>
        </w:rPr>
        <w:fldChar w:fldCharType="separate"/>
      </w:r>
      <w:r w:rsidR="0033433C">
        <w:rPr>
          <w:rFonts w:ascii="Times New Roman" w:hAnsi="Times New Roman" w:cs="Times New Roman"/>
          <w:b/>
          <w:bCs/>
          <w:i w:val="0"/>
          <w:iCs w:val="0"/>
          <w:noProof/>
          <w:color w:val="2F5496" w:themeColor="accent1" w:themeShade="BF"/>
          <w:sz w:val="20"/>
          <w:szCs w:val="20"/>
        </w:rPr>
        <w:t>4</w:t>
      </w:r>
      <w:r w:rsidRPr="00B87C41">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Results of Regulatory Watch Initiative for Cabo Verde</w:t>
      </w:r>
      <w:bookmarkEnd w:id="99"/>
      <w:r w:rsidR="006C29C5" w:rsidRPr="00B87C41">
        <w:rPr>
          <w:rFonts w:ascii="Times New Roman" w:hAnsi="Times New Roman" w:cs="Times New Roman"/>
          <w:b/>
          <w:bCs/>
          <w:i w:val="0"/>
          <w:iCs w:val="0"/>
          <w:color w:val="2F5496" w:themeColor="accent1" w:themeShade="BF"/>
          <w:sz w:val="20"/>
          <w:szCs w:val="20"/>
        </w:rPr>
        <w:t xml:space="preserve"> </w:t>
      </w:r>
    </w:p>
    <w:p w14:paraId="7873CDD7" w14:textId="77777777" w:rsidR="004B1FD5" w:rsidRDefault="00FD084B" w:rsidP="00A27DC3">
      <w:pPr>
        <w:keepNext/>
        <w:tabs>
          <w:tab w:val="left" w:pos="2150"/>
        </w:tabs>
        <w:jc w:val="center"/>
      </w:pPr>
      <w:r>
        <w:rPr>
          <w:noProof/>
        </w:rPr>
        <w:drawing>
          <wp:inline distT="0" distB="0" distL="0" distR="0" wp14:anchorId="1B04DDCF" wp14:editId="24BE1FA6">
            <wp:extent cx="4457143" cy="3085714"/>
            <wp:effectExtent l="0" t="0" r="635" b="635"/>
            <wp:docPr id="4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64">
                      <a:extLst>
                        <a:ext uri="{28A0092B-C50C-407E-A947-70E740481C1C}">
                          <a14:useLocalDpi xmlns:a14="http://schemas.microsoft.com/office/drawing/2010/main" val="0"/>
                        </a:ext>
                      </a:extLst>
                    </a:blip>
                    <a:stretch>
                      <a:fillRect/>
                    </a:stretch>
                  </pic:blipFill>
                  <pic:spPr>
                    <a:xfrm>
                      <a:off x="0" y="0"/>
                      <a:ext cx="4457143" cy="3085714"/>
                    </a:xfrm>
                    <a:prstGeom prst="rect">
                      <a:avLst/>
                    </a:prstGeom>
                  </pic:spPr>
                </pic:pic>
              </a:graphicData>
            </a:graphic>
          </wp:inline>
        </w:drawing>
      </w:r>
    </w:p>
    <w:p w14:paraId="0686D5DF" w14:textId="33EEA130" w:rsidR="00FD084B" w:rsidRPr="00A27DC3" w:rsidRDefault="00FD084B" w:rsidP="00A27DC3">
      <w:pPr>
        <w:tabs>
          <w:tab w:val="left" w:pos="2150"/>
        </w:tabs>
        <w:jc w:val="center"/>
        <w:rPr>
          <w:rFonts w:ascii="Times New Roman" w:hAnsi="Times New Roman" w:cs="Times New Roman"/>
          <w:sz w:val="18"/>
          <w:szCs w:val="18"/>
        </w:rPr>
      </w:pPr>
      <w:r w:rsidRPr="00A27DC3">
        <w:rPr>
          <w:rFonts w:ascii="Times New Roman" w:hAnsi="Times New Roman" w:cs="Times New Roman"/>
          <w:sz w:val="18"/>
          <w:szCs w:val="18"/>
        </w:rPr>
        <w:t xml:space="preserve">Source: </w:t>
      </w:r>
      <w:r w:rsidR="00581F75" w:rsidRPr="00581F75">
        <w:rPr>
          <w:rFonts w:ascii="Times New Roman" w:hAnsi="Times New Roman" w:cs="Times New Roman"/>
          <w:sz w:val="18"/>
          <w:szCs w:val="18"/>
        </w:rPr>
        <w:t>World Bank. (2021). “Regulatory Watch Initiative. Country Profiles. Ca</w:t>
      </w:r>
      <w:r w:rsidR="002A4043">
        <w:rPr>
          <w:rFonts w:ascii="Times New Roman" w:hAnsi="Times New Roman" w:cs="Times New Roman"/>
          <w:sz w:val="18"/>
          <w:szCs w:val="18"/>
        </w:rPr>
        <w:t>bo</w:t>
      </w:r>
      <w:r w:rsidR="00581F75" w:rsidRPr="00581F75">
        <w:rPr>
          <w:rFonts w:ascii="Times New Roman" w:hAnsi="Times New Roman" w:cs="Times New Roman"/>
          <w:sz w:val="18"/>
          <w:szCs w:val="18"/>
        </w:rPr>
        <w:t xml:space="preserve"> Verde”. WBG </w:t>
      </w:r>
      <w:r w:rsidR="00B21F2E" w:rsidRPr="00581F75">
        <w:rPr>
          <w:rFonts w:ascii="Times New Roman" w:hAnsi="Times New Roman" w:cs="Times New Roman"/>
          <w:sz w:val="18"/>
          <w:szCs w:val="18"/>
        </w:rPr>
        <w:t xml:space="preserve">Digital </w:t>
      </w:r>
      <w:r w:rsidR="00B21F2E">
        <w:rPr>
          <w:rFonts w:ascii="Times New Roman" w:hAnsi="Times New Roman" w:cs="Times New Roman"/>
          <w:sz w:val="18"/>
          <w:szCs w:val="18"/>
        </w:rPr>
        <w:t>Development</w:t>
      </w:r>
      <w:r w:rsidR="00581F75" w:rsidRPr="00581F75">
        <w:rPr>
          <w:rFonts w:ascii="Times New Roman" w:hAnsi="Times New Roman" w:cs="Times New Roman"/>
          <w:sz w:val="18"/>
          <w:szCs w:val="18"/>
        </w:rPr>
        <w:t xml:space="preserve"> Partnership</w:t>
      </w:r>
    </w:p>
    <w:p w14:paraId="4D76D607" w14:textId="77777777" w:rsidR="00461D0B" w:rsidRPr="004B1FD5" w:rsidRDefault="00461D0B" w:rsidP="00FD084B">
      <w:pPr>
        <w:tabs>
          <w:tab w:val="left" w:pos="2150"/>
        </w:tabs>
        <w:rPr>
          <w:rFonts w:ascii="Times New Roman" w:hAnsi="Times New Roman" w:cs="Times New Roman"/>
          <w:sz w:val="16"/>
          <w:szCs w:val="16"/>
        </w:rPr>
      </w:pPr>
    </w:p>
    <w:p w14:paraId="418F5215" w14:textId="6AD859BC" w:rsidR="00ED30CA" w:rsidRPr="004B1FD5" w:rsidRDefault="00FD084B" w:rsidP="00ED30CA">
      <w:pPr>
        <w:keepNext/>
        <w:keepLines/>
        <w:numPr>
          <w:ilvl w:val="0"/>
          <w:numId w:val="15"/>
        </w:numPr>
        <w:spacing w:before="40" w:after="240"/>
        <w:outlineLvl w:val="1"/>
        <w:rPr>
          <w:rFonts w:ascii="Times New Roman" w:eastAsiaTheme="majorEastAsia" w:hAnsi="Times New Roman" w:cs="Times New Roman"/>
          <w:color w:val="2F5496" w:themeColor="accent1" w:themeShade="BF"/>
          <w:sz w:val="26"/>
          <w:szCs w:val="26"/>
        </w:rPr>
      </w:pPr>
      <w:bookmarkStart w:id="100" w:name="_Hlk97570097"/>
      <w:bookmarkStart w:id="101" w:name="_Toc105592815"/>
      <w:r w:rsidRPr="00C12B93">
        <w:rPr>
          <w:rFonts w:ascii="Times New Roman" w:eastAsiaTheme="majorEastAsia" w:hAnsi="Times New Roman" w:cs="Times New Roman"/>
          <w:color w:val="2F5496" w:themeColor="accent1" w:themeShade="BF"/>
          <w:sz w:val="26"/>
          <w:szCs w:val="26"/>
        </w:rPr>
        <w:t>Innovation and</w:t>
      </w:r>
      <w:r w:rsidR="008B7B03" w:rsidRPr="00C12B93">
        <w:rPr>
          <w:rFonts w:ascii="Times New Roman" w:eastAsiaTheme="majorEastAsia" w:hAnsi="Times New Roman" w:cs="Times New Roman"/>
          <w:color w:val="2F5496" w:themeColor="accent1" w:themeShade="BF"/>
          <w:sz w:val="26"/>
          <w:szCs w:val="26"/>
        </w:rPr>
        <w:t xml:space="preserve"> </w:t>
      </w:r>
      <w:r w:rsidR="00362E02">
        <w:rPr>
          <w:rFonts w:ascii="Times New Roman" w:eastAsiaTheme="majorEastAsia" w:hAnsi="Times New Roman" w:cs="Times New Roman"/>
          <w:color w:val="2F5496" w:themeColor="accent1" w:themeShade="BF"/>
          <w:sz w:val="26"/>
          <w:szCs w:val="26"/>
        </w:rPr>
        <w:t>E</w:t>
      </w:r>
      <w:r w:rsidR="008B7B03" w:rsidRPr="00C12B93">
        <w:rPr>
          <w:rFonts w:ascii="Times New Roman" w:eastAsiaTheme="majorEastAsia" w:hAnsi="Times New Roman" w:cs="Times New Roman"/>
          <w:color w:val="2F5496" w:themeColor="accent1" w:themeShade="BF"/>
          <w:sz w:val="26"/>
          <w:szCs w:val="26"/>
        </w:rPr>
        <w:t>ntrepreneurship</w:t>
      </w:r>
      <w:bookmarkEnd w:id="100"/>
      <w:bookmarkEnd w:id="101"/>
    </w:p>
    <w:p w14:paraId="69A69525" w14:textId="77777777" w:rsidR="00095640" w:rsidRPr="00095640" w:rsidRDefault="00095640" w:rsidP="00095640">
      <w:pPr>
        <w:jc w:val="both"/>
        <w:rPr>
          <w:rFonts w:ascii="Times New Roman" w:hAnsi="Times New Roman" w:cs="Times New Roman"/>
          <w:b/>
          <w:bCs/>
          <w:color w:val="002060"/>
        </w:rPr>
      </w:pPr>
      <w:r w:rsidRPr="00095640">
        <w:rPr>
          <w:rFonts w:ascii="Times New Roman" w:hAnsi="Times New Roman" w:cs="Times New Roman"/>
          <w:b/>
          <w:bCs/>
          <w:color w:val="002060"/>
        </w:rPr>
        <w:t>There is an emerging entrepreneurship scenery in Cabo Verde; however, the innovation ecosystem is still nascent.</w:t>
      </w:r>
    </w:p>
    <w:p w14:paraId="36B4AAC5" w14:textId="75025BEC" w:rsidR="00095640" w:rsidRPr="00095640" w:rsidRDefault="00075087" w:rsidP="00095640">
      <w:pPr>
        <w:tabs>
          <w:tab w:val="left" w:pos="2150"/>
        </w:tabs>
        <w:jc w:val="both"/>
        <w:rPr>
          <w:rFonts w:ascii="Times New Roman" w:hAnsi="Times New Roman" w:cs="Times New Roman"/>
          <w:i/>
          <w:iCs/>
          <w:color w:val="0070C0"/>
        </w:rPr>
      </w:pPr>
      <w:r>
        <w:rPr>
          <w:rFonts w:ascii="Times New Roman" w:hAnsi="Times New Roman" w:cs="Times New Roman"/>
          <w:b/>
          <w:bCs/>
        </w:rPr>
        <w:t>57</w:t>
      </w:r>
      <w:r w:rsidR="003B7234">
        <w:rPr>
          <w:rFonts w:ascii="Times New Roman" w:hAnsi="Times New Roman" w:cs="Times New Roman"/>
          <w:b/>
          <w:bCs/>
        </w:rPr>
        <w:t xml:space="preserve">. </w:t>
      </w:r>
      <w:r w:rsidR="00095640" w:rsidRPr="00095640">
        <w:rPr>
          <w:rFonts w:ascii="Times New Roman" w:hAnsi="Times New Roman" w:cs="Times New Roman"/>
          <w:b/>
          <w:bCs/>
        </w:rPr>
        <w:t>A variety of programs aim at cultivating digital entrepreneurship in Cabo Verde.</w:t>
      </w:r>
      <w:r w:rsidR="00095640" w:rsidRPr="00095640">
        <w:rPr>
          <w:rFonts w:ascii="Times New Roman" w:hAnsi="Times New Roman" w:cs="Times New Roman"/>
          <w:i/>
          <w:iCs/>
        </w:rPr>
        <w:t xml:space="preserve"> </w:t>
      </w:r>
      <w:r w:rsidR="00095640" w:rsidRPr="00095640">
        <w:rPr>
          <w:rFonts w:ascii="Times New Roman" w:hAnsi="Times New Roman" w:cs="Times New Roman"/>
        </w:rPr>
        <w:t>The government established Cabo Verde Digital (CVD)</w:t>
      </w:r>
      <w:r w:rsidR="002231EA">
        <w:rPr>
          <w:rFonts w:ascii="Times New Roman" w:hAnsi="Times New Roman" w:cs="Times New Roman"/>
        </w:rPr>
        <w:t xml:space="preserve"> </w:t>
      </w:r>
      <w:r w:rsidR="002231EA">
        <w:rPr>
          <w:rStyle w:val="FootnoteReference"/>
          <w:rFonts w:ascii="Times New Roman" w:hAnsi="Times New Roman" w:cs="Times New Roman"/>
        </w:rPr>
        <w:footnoteReference w:id="22"/>
      </w:r>
      <w:r w:rsidR="00095640" w:rsidRPr="00095640">
        <w:rPr>
          <w:rFonts w:ascii="Times New Roman" w:hAnsi="Times New Roman" w:cs="Times New Roman"/>
        </w:rPr>
        <w:t xml:space="preserve"> as a public agency to introduce targeted interventions across the startup development value chain focusing on three main areas – community development, </w:t>
      </w:r>
      <w:proofErr w:type="gramStart"/>
      <w:r w:rsidR="00095640" w:rsidRPr="00095640">
        <w:rPr>
          <w:rFonts w:ascii="Times New Roman" w:hAnsi="Times New Roman" w:cs="Times New Roman"/>
        </w:rPr>
        <w:t>trainings</w:t>
      </w:r>
      <w:proofErr w:type="gramEnd"/>
      <w:r w:rsidR="00095640" w:rsidRPr="00095640">
        <w:rPr>
          <w:rFonts w:ascii="Times New Roman" w:hAnsi="Times New Roman" w:cs="Times New Roman"/>
        </w:rPr>
        <w:t xml:space="preserve"> and acceleration. The Digital4Covid platform</w:t>
      </w:r>
      <w:r w:rsidR="00095640" w:rsidRPr="00095640">
        <w:rPr>
          <w:rStyle w:val="FootnoteReference"/>
          <w:rFonts w:ascii="Times New Roman" w:eastAsiaTheme="majorEastAsia" w:hAnsi="Times New Roman" w:cs="Times New Roman"/>
          <w:color w:val="002060"/>
        </w:rPr>
        <w:t xml:space="preserve"> </w:t>
      </w:r>
      <w:r w:rsidR="00095640" w:rsidRPr="00095640">
        <w:rPr>
          <w:rStyle w:val="FootnoteReference"/>
          <w:rFonts w:ascii="Times New Roman" w:eastAsiaTheme="majorEastAsia" w:hAnsi="Times New Roman" w:cs="Times New Roman"/>
          <w:b/>
          <w:color w:val="002060"/>
        </w:rPr>
        <w:footnoteReference w:id="23"/>
      </w:r>
      <w:r w:rsidR="00095640" w:rsidRPr="00095640">
        <w:rPr>
          <w:rFonts w:ascii="Times New Roman" w:hAnsi="Times New Roman" w:cs="Times New Roman"/>
        </w:rPr>
        <w:t xml:space="preserve"> address</w:t>
      </w:r>
      <w:r w:rsidR="00810C8E">
        <w:rPr>
          <w:rFonts w:ascii="Times New Roman" w:hAnsi="Times New Roman" w:cs="Times New Roman"/>
        </w:rPr>
        <w:t>es</w:t>
      </w:r>
      <w:r w:rsidR="00095640" w:rsidRPr="00095640">
        <w:rPr>
          <w:rFonts w:ascii="Times New Roman" w:hAnsi="Times New Roman" w:cs="Times New Roman"/>
        </w:rPr>
        <w:t xml:space="preserve"> pandemic-imposed challenges, including solutions for online shopping, digital payments, </w:t>
      </w:r>
      <w:proofErr w:type="gramStart"/>
      <w:r w:rsidR="00095640" w:rsidRPr="00095640">
        <w:rPr>
          <w:rFonts w:ascii="Times New Roman" w:hAnsi="Times New Roman" w:cs="Times New Roman"/>
        </w:rPr>
        <w:t>delivery</w:t>
      </w:r>
      <w:proofErr w:type="gramEnd"/>
      <w:r w:rsidR="00095640" w:rsidRPr="00095640">
        <w:rPr>
          <w:rFonts w:ascii="Times New Roman" w:hAnsi="Times New Roman" w:cs="Times New Roman"/>
        </w:rPr>
        <w:t xml:space="preserve"> and transport services, as well as remote education tools. </w:t>
      </w:r>
      <w:r w:rsidR="00095640" w:rsidRPr="00095640">
        <w:rPr>
          <w:rFonts w:ascii="Times New Roman" w:eastAsia="Times New Roman" w:hAnsi="Times New Roman" w:cs="Times New Roman"/>
          <w:color w:val="222222"/>
        </w:rPr>
        <w:t xml:space="preserve">Several public-funded initiatives are designed to foster entrepreneurship and help technology startups, </w:t>
      </w:r>
      <w:r w:rsidR="00095640" w:rsidRPr="00095640">
        <w:rPr>
          <w:rFonts w:ascii="Times New Roman" w:eastAsia="Times New Roman" w:hAnsi="Times New Roman" w:cs="Times New Roman"/>
          <w:color w:val="222222"/>
        </w:rPr>
        <w:lastRenderedPageBreak/>
        <w:t xml:space="preserve">including </w:t>
      </w:r>
      <w:proofErr w:type="spellStart"/>
      <w:r w:rsidR="00095640" w:rsidRPr="00095640">
        <w:rPr>
          <w:rFonts w:ascii="Times New Roman" w:eastAsia="CIDFont+F2" w:hAnsi="Times New Roman" w:cs="Times New Roman"/>
        </w:rPr>
        <w:t>Pró-Empresa</w:t>
      </w:r>
      <w:proofErr w:type="spellEnd"/>
      <w:r w:rsidR="00095640" w:rsidRPr="00095640">
        <w:rPr>
          <w:rFonts w:ascii="Times New Roman" w:eastAsia="CIDFont+F2" w:hAnsi="Times New Roman" w:cs="Times New Roman"/>
        </w:rPr>
        <w:t xml:space="preserve">, which </w:t>
      </w:r>
      <w:r w:rsidR="00095640" w:rsidRPr="00095640">
        <w:rPr>
          <w:rFonts w:ascii="Times New Roman" w:eastAsia="CIDFont+F3" w:hAnsi="Times New Roman" w:cs="Times New Roman"/>
        </w:rPr>
        <w:t xml:space="preserve">provides entrepreneurs coaching and training, and manages a matching grant scheme facilitating access of startups to a range of business development services; </w:t>
      </w:r>
      <w:proofErr w:type="spellStart"/>
      <w:r w:rsidR="00095640" w:rsidRPr="00095640">
        <w:rPr>
          <w:rFonts w:ascii="Times New Roman" w:eastAsia="CIDFont+F3" w:hAnsi="Times New Roman" w:cs="Times New Roman"/>
        </w:rPr>
        <w:t>Pró-Garante</w:t>
      </w:r>
      <w:proofErr w:type="spellEnd"/>
      <w:r w:rsidR="00095640" w:rsidRPr="00095640">
        <w:rPr>
          <w:rFonts w:ascii="Times New Roman" w:eastAsia="CIDFont+F3" w:hAnsi="Times New Roman" w:cs="Times New Roman"/>
        </w:rPr>
        <w:t xml:space="preserve">, which works with local financial institutions to reduce credit risks for entrepreneurs through a partial credit guarantee facility; and </w:t>
      </w:r>
      <w:proofErr w:type="spellStart"/>
      <w:r w:rsidR="00095640" w:rsidRPr="00095640">
        <w:rPr>
          <w:rFonts w:ascii="Times New Roman" w:eastAsia="CIDFont+F3" w:hAnsi="Times New Roman" w:cs="Times New Roman"/>
        </w:rPr>
        <w:t>Pró</w:t>
      </w:r>
      <w:proofErr w:type="spellEnd"/>
      <w:r w:rsidR="00095640" w:rsidRPr="00095640">
        <w:rPr>
          <w:rFonts w:ascii="Times New Roman" w:eastAsia="CIDFont+F3" w:hAnsi="Times New Roman" w:cs="Times New Roman"/>
        </w:rPr>
        <w:t xml:space="preserve">-Capital, a public venture capital fund deploying seed and equity capital to support eligible micro, small, and medium enterprises (MSMEs) in sectors deemed strategic for the economy. </w:t>
      </w:r>
    </w:p>
    <w:p w14:paraId="4C082AD9" w14:textId="26BC316D" w:rsidR="00095640" w:rsidRPr="00095640" w:rsidRDefault="00075087" w:rsidP="00095640">
      <w:pPr>
        <w:tabs>
          <w:tab w:val="left" w:pos="2150"/>
        </w:tabs>
        <w:jc w:val="both"/>
        <w:rPr>
          <w:rFonts w:ascii="Times New Roman" w:hAnsi="Times New Roman" w:cs="Times New Roman"/>
        </w:rPr>
      </w:pPr>
      <w:r>
        <w:rPr>
          <w:rFonts w:ascii="Times New Roman" w:hAnsi="Times New Roman" w:cs="Times New Roman"/>
          <w:b/>
          <w:bCs/>
        </w:rPr>
        <w:t>58</w:t>
      </w:r>
      <w:r w:rsidR="003B7234">
        <w:rPr>
          <w:rFonts w:ascii="Times New Roman" w:hAnsi="Times New Roman" w:cs="Times New Roman"/>
          <w:b/>
          <w:bCs/>
        </w:rPr>
        <w:t xml:space="preserve">. </w:t>
      </w:r>
      <w:r w:rsidR="00095640" w:rsidRPr="00095640">
        <w:rPr>
          <w:rFonts w:ascii="Times New Roman" w:hAnsi="Times New Roman" w:cs="Times New Roman"/>
          <w:b/>
          <w:bCs/>
        </w:rPr>
        <w:t>UNDP Cabo Verde Accelerator Lab</w:t>
      </w:r>
      <w:r w:rsidR="00564851">
        <w:rPr>
          <w:rFonts w:ascii="Times New Roman" w:hAnsi="Times New Roman" w:cs="Times New Roman"/>
          <w:b/>
          <w:bCs/>
        </w:rPr>
        <w:t xml:space="preserve"> </w:t>
      </w:r>
      <w:r w:rsidR="00095640" w:rsidRPr="00095640">
        <w:rPr>
          <w:rStyle w:val="FootnoteReference"/>
          <w:rFonts w:ascii="Times New Roman" w:eastAsiaTheme="majorEastAsia" w:hAnsi="Times New Roman" w:cs="Times New Roman"/>
          <w:b/>
          <w:bCs/>
          <w:color w:val="002060"/>
        </w:rPr>
        <w:footnoteReference w:id="24"/>
      </w:r>
      <w:r w:rsidR="00095640" w:rsidRPr="00095640">
        <w:rPr>
          <w:rFonts w:ascii="Times New Roman" w:eastAsiaTheme="majorEastAsia" w:hAnsi="Times New Roman" w:cs="Times New Roman"/>
          <w:b/>
          <w:bCs/>
          <w:color w:val="002060"/>
        </w:rPr>
        <w:t xml:space="preserve"> </w:t>
      </w:r>
      <w:r w:rsidR="00095640" w:rsidRPr="00095640">
        <w:rPr>
          <w:rFonts w:ascii="Times New Roman" w:hAnsi="Times New Roman" w:cs="Times New Roman"/>
          <w:b/>
          <w:bCs/>
        </w:rPr>
        <w:t xml:space="preserve">is part of a network of laboratories in different countries established to create solutions to local issues and contribute knowledge to the global community with the potential of scaling up the local solutions. </w:t>
      </w:r>
      <w:r w:rsidR="00095640" w:rsidRPr="00095640">
        <w:rPr>
          <w:rFonts w:ascii="Times New Roman" w:hAnsi="Times New Roman" w:cs="Times New Roman"/>
        </w:rPr>
        <w:t xml:space="preserve">The Lab in Cabo Verde focuses on three main areas of interventions, including i) tourism, ii) blue economy, and iii) digital economy. Examples of programs and pilots implemented via this platform in Cabo Verde include Citizens Feedback, Waste Management </w:t>
      </w:r>
      <w:r w:rsidR="00A40FBD" w:rsidRPr="00A40FBD">
        <w:rPr>
          <w:rFonts w:ascii="Times New Roman" w:hAnsi="Times New Roman" w:cs="Times New Roman"/>
        </w:rPr>
        <w:t>Commercial &amp; Industrial</w:t>
      </w:r>
      <w:r w:rsidR="00095640" w:rsidRPr="00095640">
        <w:rPr>
          <w:rFonts w:ascii="Times New Roman" w:hAnsi="Times New Roman" w:cs="Times New Roman"/>
        </w:rPr>
        <w:t xml:space="preserve"> in clean beaches, Lab Open Days online innovation forums, COMVIDA Platform (including solutions for mobility tracking and health screening), Business Platform NEGOCIA, Tourism Recovery Landing page, Served by Drones (technological solution for street disinfection), </w:t>
      </w:r>
      <w:proofErr w:type="spellStart"/>
      <w:r w:rsidR="00095640" w:rsidRPr="00095640">
        <w:rPr>
          <w:rFonts w:ascii="Times New Roman" w:hAnsi="Times New Roman" w:cs="Times New Roman"/>
        </w:rPr>
        <w:t>ReInventa</w:t>
      </w:r>
      <w:proofErr w:type="spellEnd"/>
      <w:r w:rsidR="00095640" w:rsidRPr="00095640">
        <w:rPr>
          <w:rFonts w:ascii="Times New Roman" w:hAnsi="Times New Roman" w:cs="Times New Roman"/>
        </w:rPr>
        <w:t xml:space="preserve"> Turismo 2020 online Hackathon and else. Most of these ideas were in response to COVID-19 challenges. </w:t>
      </w:r>
    </w:p>
    <w:p w14:paraId="70609428" w14:textId="2D99604C" w:rsidR="00095640" w:rsidRPr="00095640" w:rsidRDefault="00075087" w:rsidP="00095640">
      <w:pPr>
        <w:jc w:val="both"/>
        <w:rPr>
          <w:rFonts w:ascii="Times New Roman" w:eastAsia="Times New Roman" w:hAnsi="Times New Roman" w:cs="Times New Roman"/>
          <w:color w:val="222222"/>
        </w:rPr>
      </w:pPr>
      <w:r>
        <w:rPr>
          <w:rFonts w:ascii="Times New Roman" w:hAnsi="Times New Roman" w:cs="Times New Roman"/>
          <w:b/>
          <w:bCs/>
          <w:color w:val="222222"/>
        </w:rPr>
        <w:t>59</w:t>
      </w:r>
      <w:r w:rsidR="003B7234">
        <w:rPr>
          <w:rFonts w:ascii="Times New Roman" w:hAnsi="Times New Roman" w:cs="Times New Roman"/>
          <w:b/>
          <w:bCs/>
          <w:color w:val="222222"/>
        </w:rPr>
        <w:t xml:space="preserve">. </w:t>
      </w:r>
      <w:r w:rsidR="00095640" w:rsidRPr="00095640">
        <w:rPr>
          <w:rFonts w:ascii="Times New Roman" w:hAnsi="Times New Roman" w:cs="Times New Roman"/>
          <w:b/>
          <w:bCs/>
          <w:color w:val="222222"/>
        </w:rPr>
        <w:t>The "Remote Working Cabo Verde – Digital Nomads" program was introduced in December 2020.</w:t>
      </w:r>
      <w:r w:rsidR="00095640" w:rsidRPr="00095640">
        <w:rPr>
          <w:rFonts w:ascii="Times New Roman" w:hAnsi="Times New Roman" w:cs="Times New Roman"/>
          <w:color w:val="222222"/>
        </w:rPr>
        <w:t xml:space="preserve"> The country has already identified the first "villages" to host digital nomads from </w:t>
      </w:r>
      <w:r w:rsidR="00095640" w:rsidRPr="00095640">
        <w:rPr>
          <w:rFonts w:ascii="Times New Roman" w:eastAsia="Times New Roman" w:hAnsi="Times New Roman" w:cs="Times New Roman"/>
          <w:color w:val="222222"/>
        </w:rPr>
        <w:t>Europe, North America, the Community of Portuguese-Speaking Countries (CPLP), and the Economic Community of West African States (ECOWAS).</w:t>
      </w:r>
      <w:r w:rsidR="00095640" w:rsidRPr="00095640">
        <w:rPr>
          <w:rFonts w:ascii="Times New Roman" w:hAnsi="Times New Roman" w:cs="Times New Roman"/>
          <w:color w:val="222222"/>
        </w:rPr>
        <w:t xml:space="preserve"> With this program, the government intends to attract 4,000 professionals to settle and work from Cabo Verde</w:t>
      </w:r>
      <w:r w:rsidR="00095640" w:rsidRPr="00095640">
        <w:rPr>
          <w:rFonts w:ascii="Times New Roman" w:eastAsia="Times New Roman" w:hAnsi="Times New Roman" w:cs="Times New Roman"/>
          <w:color w:val="222222"/>
        </w:rPr>
        <w:t xml:space="preserve">. </w:t>
      </w:r>
    </w:p>
    <w:p w14:paraId="4420ADC1" w14:textId="701021CB" w:rsidR="00095640" w:rsidRPr="00095640" w:rsidRDefault="003B7234" w:rsidP="00095640">
      <w:pPr>
        <w:jc w:val="both"/>
        <w:rPr>
          <w:rFonts w:ascii="Times New Roman" w:eastAsia="CIDFont+F3" w:hAnsi="Times New Roman" w:cs="Times New Roman"/>
        </w:rPr>
      </w:pPr>
      <w:r>
        <w:rPr>
          <w:rFonts w:ascii="Times New Roman" w:eastAsia="CIDFont+F3" w:hAnsi="Times New Roman" w:cs="Times New Roman"/>
          <w:b/>
          <w:bCs/>
        </w:rPr>
        <w:t>6</w:t>
      </w:r>
      <w:r w:rsidR="00075087">
        <w:rPr>
          <w:rFonts w:ascii="Times New Roman" w:eastAsia="CIDFont+F3" w:hAnsi="Times New Roman" w:cs="Times New Roman"/>
          <w:b/>
          <w:bCs/>
        </w:rPr>
        <w:t>0</w:t>
      </w:r>
      <w:r>
        <w:rPr>
          <w:rFonts w:ascii="Times New Roman" w:eastAsia="CIDFont+F3" w:hAnsi="Times New Roman" w:cs="Times New Roman"/>
          <w:b/>
          <w:bCs/>
        </w:rPr>
        <w:t xml:space="preserve">. </w:t>
      </w:r>
      <w:r w:rsidR="00095640" w:rsidRPr="00095640">
        <w:rPr>
          <w:rFonts w:ascii="Times New Roman" w:eastAsia="CIDFont+F3" w:hAnsi="Times New Roman" w:cs="Times New Roman"/>
          <w:b/>
          <w:bCs/>
        </w:rPr>
        <w:t xml:space="preserve">Cabo Verde Technology Park Project </w:t>
      </w:r>
      <w:r w:rsidR="00095640" w:rsidRPr="00095640">
        <w:rPr>
          <w:rStyle w:val="FootnoteReference"/>
          <w:rFonts w:ascii="Times New Roman" w:eastAsia="CIDFont+F3" w:hAnsi="Times New Roman" w:cs="Times New Roman"/>
          <w:b/>
          <w:bCs/>
        </w:rPr>
        <w:footnoteReference w:id="25"/>
      </w:r>
      <w:r w:rsidR="00095640" w:rsidRPr="00095640">
        <w:rPr>
          <w:rFonts w:ascii="Times New Roman" w:eastAsia="CIDFont+F3" w:hAnsi="Times New Roman" w:cs="Times New Roman"/>
          <w:b/>
          <w:bCs/>
        </w:rPr>
        <w:t xml:space="preserve"> is a vital innovation ecosystem development project currently under implementation.</w:t>
      </w:r>
      <w:r w:rsidR="00095640" w:rsidRPr="00095640">
        <w:rPr>
          <w:rFonts w:ascii="Times New Roman" w:eastAsia="CIDFont+F3" w:hAnsi="Times New Roman" w:cs="Times New Roman"/>
        </w:rPr>
        <w:t xml:space="preserve"> The EUR 35.9 million financed by the African Development Bank (AfDB) includes the construction and equipment of a data center, business center, incubation center, and Training and Qualification center with ICT facilities. Aiming to promote a regionally based ecosystem of technological innovation and entrepreneurship, the Cabo Verde Technology Park has an ambitious goal of becoming a “gateway to Africa digital transformation”. </w:t>
      </w:r>
      <w:r w:rsidR="00095640" w:rsidRPr="00095640">
        <w:rPr>
          <w:rFonts w:ascii="Times New Roman" w:hAnsi="Times New Roman" w:cs="Times New Roman"/>
        </w:rPr>
        <w:t>Some other notable initiatives supporting entrepreneurship development by Cabo Verde Digital include “Bolsa Cabo Verde Digital” - a pre-incubation program for technology-based projects with components of training and financial support; and “Go Global” market development program to help the startups make connections in foreign markets through capacity building and participation in international technology events.</w:t>
      </w:r>
    </w:p>
    <w:p w14:paraId="5C954CF7" w14:textId="35ED4EF3" w:rsidR="00095640" w:rsidRPr="00095640" w:rsidRDefault="003B7234" w:rsidP="00095640">
      <w:pPr>
        <w:tabs>
          <w:tab w:val="left" w:pos="2150"/>
        </w:tabs>
        <w:jc w:val="both"/>
        <w:rPr>
          <w:rFonts w:ascii="Times New Roman" w:hAnsi="Times New Roman" w:cs="Times New Roman"/>
        </w:rPr>
      </w:pPr>
      <w:r>
        <w:rPr>
          <w:rFonts w:ascii="Times New Roman" w:hAnsi="Times New Roman" w:cs="Times New Roman"/>
          <w:b/>
          <w:bCs/>
        </w:rPr>
        <w:t>6</w:t>
      </w:r>
      <w:r w:rsidR="00075087">
        <w:rPr>
          <w:rFonts w:ascii="Times New Roman" w:hAnsi="Times New Roman" w:cs="Times New Roman"/>
          <w:b/>
          <w:bCs/>
        </w:rPr>
        <w:t>1</w:t>
      </w:r>
      <w:r>
        <w:rPr>
          <w:rFonts w:ascii="Times New Roman" w:hAnsi="Times New Roman" w:cs="Times New Roman"/>
          <w:b/>
          <w:bCs/>
        </w:rPr>
        <w:t xml:space="preserve">. </w:t>
      </w:r>
      <w:r w:rsidR="00095640" w:rsidRPr="00095640">
        <w:rPr>
          <w:rFonts w:ascii="Times New Roman" w:hAnsi="Times New Roman" w:cs="Times New Roman"/>
          <w:b/>
          <w:bCs/>
        </w:rPr>
        <w:t>The recent emergence of online and mobile solutions has activated the use of digital payments, e-marketplaces, and consumer engagement platforms by local enterprises.</w:t>
      </w:r>
      <w:r w:rsidR="00095640" w:rsidRPr="00095640">
        <w:rPr>
          <w:rFonts w:ascii="Times New Roman" w:hAnsi="Times New Roman" w:cs="Times New Roman"/>
        </w:rPr>
        <w:t xml:space="preserve"> However, Cabo Verde is very unfavorably positioned by the share of firms having/operating a website – 112</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in the world. The penetration of mobile money is limited – at 11.6 percent of population, </w:t>
      </w:r>
      <w:r w:rsidR="00095640" w:rsidRPr="00095640">
        <w:rPr>
          <w:rStyle w:val="FootnoteReference"/>
          <w:rFonts w:ascii="Times New Roman" w:hAnsi="Times New Roman" w:cs="Times New Roman"/>
        </w:rPr>
        <w:footnoteReference w:id="26"/>
      </w:r>
      <w:r w:rsidR="00095640" w:rsidRPr="00095640">
        <w:rPr>
          <w:rFonts w:ascii="Times New Roman" w:hAnsi="Times New Roman" w:cs="Times New Roman"/>
        </w:rPr>
        <w:t xml:space="preserve"> and mobile money transactions count just up to 0.9 percent of GDP. </w:t>
      </w:r>
      <w:r w:rsidR="00095640" w:rsidRPr="00095640">
        <w:rPr>
          <w:rStyle w:val="FootnoteReference"/>
          <w:rFonts w:ascii="Times New Roman" w:hAnsi="Times New Roman" w:cs="Times New Roman"/>
        </w:rPr>
        <w:footnoteReference w:id="27"/>
      </w:r>
      <w:r w:rsidR="00095640" w:rsidRPr="00095640">
        <w:rPr>
          <w:rFonts w:ascii="Times New Roman" w:hAnsi="Times New Roman" w:cs="Times New Roman"/>
        </w:rPr>
        <w:t xml:space="preserve"> The pandemic </w:t>
      </w:r>
      <w:r w:rsidR="00F72434">
        <w:rPr>
          <w:rFonts w:ascii="Times New Roman" w:hAnsi="Times New Roman" w:cs="Times New Roman"/>
        </w:rPr>
        <w:t xml:space="preserve">highlighted </w:t>
      </w:r>
      <w:r w:rsidR="00095640" w:rsidRPr="00095640">
        <w:rPr>
          <w:rFonts w:ascii="Times New Roman" w:hAnsi="Times New Roman" w:cs="Times New Roman"/>
        </w:rPr>
        <w:t xml:space="preserve">the severe lack of digital preparedness by businesses in Cabo Verde. According to a recent survey by Women Entrepreneurs of Cabo Verde, only within the first month of COVID-19 outbreak, 65 percent of enterprises suspended their activities, with 46 percent of them not planning to reopen. </w:t>
      </w:r>
      <w:r w:rsidR="00095640" w:rsidRPr="00095640">
        <w:rPr>
          <w:rStyle w:val="FootnoteReference"/>
          <w:rFonts w:ascii="Times New Roman" w:hAnsi="Times New Roman" w:cs="Times New Roman"/>
        </w:rPr>
        <w:footnoteReference w:id="28"/>
      </w:r>
      <w:r w:rsidR="00095640" w:rsidRPr="00095640">
        <w:rPr>
          <w:rFonts w:ascii="Times New Roman" w:hAnsi="Times New Roman" w:cs="Times New Roman"/>
        </w:rPr>
        <w:t xml:space="preserve"> This was also explained by low usage of ICT tools to continue delivering their services.</w:t>
      </w:r>
      <w:r w:rsidR="00C445D5">
        <w:rPr>
          <w:rFonts w:ascii="Times New Roman" w:hAnsi="Times New Roman" w:cs="Times New Roman"/>
        </w:rPr>
        <w:t xml:space="preserve"> In addition, t</w:t>
      </w:r>
      <w:r w:rsidR="00C445D5" w:rsidRPr="00095640">
        <w:rPr>
          <w:rFonts w:ascii="Times New Roman" w:hAnsi="Times New Roman" w:cs="Times New Roman"/>
        </w:rPr>
        <w:t xml:space="preserve">he Network Readiness assessment shows quite a low level of </w:t>
      </w:r>
      <w:r w:rsidR="00C445D5" w:rsidRPr="00095640">
        <w:rPr>
          <w:rFonts w:ascii="Times New Roman" w:hAnsi="Times New Roman" w:cs="Times New Roman"/>
        </w:rPr>
        <w:lastRenderedPageBreak/>
        <w:t>technology use and ICT investments in different domains of the economy</w:t>
      </w:r>
      <w:r w:rsidR="00C445D5">
        <w:rPr>
          <w:rFonts w:ascii="Times New Roman" w:hAnsi="Times New Roman" w:cs="Times New Roman"/>
        </w:rPr>
        <w:t>, ranking the country 101</w:t>
      </w:r>
      <w:r w:rsidR="00C445D5" w:rsidRPr="009B3253">
        <w:rPr>
          <w:rFonts w:ascii="Times New Roman" w:hAnsi="Times New Roman" w:cs="Times New Roman"/>
          <w:vertAlign w:val="superscript"/>
        </w:rPr>
        <w:t>st</w:t>
      </w:r>
      <w:r w:rsidR="00C445D5">
        <w:rPr>
          <w:rFonts w:ascii="Times New Roman" w:hAnsi="Times New Roman" w:cs="Times New Roman"/>
        </w:rPr>
        <w:t xml:space="preserve"> by </w:t>
      </w:r>
      <w:r w:rsidR="00C445D5" w:rsidRPr="00095640">
        <w:rPr>
          <w:rFonts w:ascii="Times New Roman" w:hAnsi="Times New Roman" w:cs="Times New Roman"/>
        </w:rPr>
        <w:t xml:space="preserve">the adoption of emerging technologies by businesses. </w:t>
      </w:r>
    </w:p>
    <w:p w14:paraId="66B69A63" w14:textId="6BFA90D3" w:rsidR="00095640" w:rsidRPr="00095640" w:rsidRDefault="003B7234" w:rsidP="00095640">
      <w:pPr>
        <w:tabs>
          <w:tab w:val="left" w:pos="2150"/>
        </w:tabs>
        <w:jc w:val="both"/>
        <w:rPr>
          <w:rFonts w:ascii="Times New Roman" w:hAnsi="Times New Roman" w:cs="Times New Roman"/>
        </w:rPr>
      </w:pPr>
      <w:r>
        <w:rPr>
          <w:rFonts w:ascii="Times New Roman" w:hAnsi="Times New Roman" w:cs="Times New Roman"/>
          <w:b/>
          <w:bCs/>
        </w:rPr>
        <w:t>6</w:t>
      </w:r>
      <w:r w:rsidR="00075087">
        <w:rPr>
          <w:rFonts w:ascii="Times New Roman" w:hAnsi="Times New Roman" w:cs="Times New Roman"/>
          <w:b/>
          <w:bCs/>
        </w:rPr>
        <w:t>2</w:t>
      </w:r>
      <w:r>
        <w:rPr>
          <w:rFonts w:ascii="Times New Roman" w:hAnsi="Times New Roman" w:cs="Times New Roman"/>
          <w:b/>
          <w:bCs/>
        </w:rPr>
        <w:t xml:space="preserve">. </w:t>
      </w:r>
      <w:r w:rsidR="00095640" w:rsidRPr="00095640">
        <w:rPr>
          <w:rFonts w:ascii="Times New Roman" w:hAnsi="Times New Roman" w:cs="Times New Roman"/>
          <w:b/>
          <w:bCs/>
        </w:rPr>
        <w:t xml:space="preserve">There are positive development dynamics in the innovation ecosystem, yet limited startup activities. </w:t>
      </w:r>
      <w:r w:rsidR="00095640" w:rsidRPr="00095640">
        <w:rPr>
          <w:rFonts w:ascii="Times New Roman" w:hAnsi="Times New Roman" w:cs="Times New Roman"/>
        </w:rPr>
        <w:t>According to Global Innovation Index 2020 (GII), Cabo Verde's innovation performance aligns with countries from its income group (lower middle income). It is ranked 100</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among 131 countries and 15</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among lower-middle-income countries, and 7</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in the Sub-Saharan Africa.</w:t>
      </w:r>
      <w:r w:rsidR="00095640" w:rsidRPr="00095640">
        <w:rPr>
          <w:rFonts w:ascii="Times New Roman" w:hAnsi="Times New Roman" w:cs="Times New Roman"/>
          <w:b/>
          <w:bCs/>
        </w:rPr>
        <w:t xml:space="preserve"> </w:t>
      </w:r>
      <w:r w:rsidR="00095640" w:rsidRPr="00095640">
        <w:rPr>
          <w:rFonts w:ascii="Times New Roman" w:hAnsi="Times New Roman" w:cs="Times New Roman"/>
        </w:rPr>
        <w:t>There is a vibrant startup scenery in Cabo Verde. According to GII, the country stands out with the rate of creation of new businesses, which positions it 36</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in the world. The Global Startup Ecosystem Index 2021 ranks it 87</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among 100 countries globally – an improvement of 4 spots in its rank compared to the previous year. </w:t>
      </w:r>
    </w:p>
    <w:p w14:paraId="064DAF12" w14:textId="0692D29C" w:rsidR="00095640" w:rsidRPr="00095640" w:rsidRDefault="003B7234" w:rsidP="00095640">
      <w:pPr>
        <w:tabs>
          <w:tab w:val="left" w:pos="2150"/>
        </w:tabs>
        <w:jc w:val="both"/>
        <w:rPr>
          <w:rFonts w:ascii="Times New Roman" w:hAnsi="Times New Roman" w:cs="Times New Roman"/>
          <w:b/>
          <w:bCs/>
        </w:rPr>
      </w:pPr>
      <w:r>
        <w:rPr>
          <w:rFonts w:ascii="Times New Roman" w:hAnsi="Times New Roman" w:cs="Times New Roman"/>
          <w:b/>
          <w:bCs/>
        </w:rPr>
        <w:t>6</w:t>
      </w:r>
      <w:r w:rsidR="00075087">
        <w:rPr>
          <w:rFonts w:ascii="Times New Roman" w:hAnsi="Times New Roman" w:cs="Times New Roman"/>
          <w:b/>
          <w:bCs/>
        </w:rPr>
        <w:t>3</w:t>
      </w:r>
      <w:r>
        <w:rPr>
          <w:rFonts w:ascii="Times New Roman" w:hAnsi="Times New Roman" w:cs="Times New Roman"/>
          <w:b/>
          <w:bCs/>
        </w:rPr>
        <w:t xml:space="preserve">. </w:t>
      </w:r>
      <w:r w:rsidR="00095640" w:rsidRPr="00095640">
        <w:rPr>
          <w:rFonts w:ascii="Times New Roman" w:hAnsi="Times New Roman" w:cs="Times New Roman"/>
          <w:b/>
          <w:bCs/>
        </w:rPr>
        <w:t>With the birth of many technology startups, especially with the pandemic, the country is ranked 3</w:t>
      </w:r>
      <w:r w:rsidR="00095640" w:rsidRPr="00095640">
        <w:rPr>
          <w:rFonts w:ascii="Times New Roman" w:hAnsi="Times New Roman" w:cs="Times New Roman"/>
          <w:b/>
          <w:bCs/>
          <w:vertAlign w:val="superscript"/>
        </w:rPr>
        <w:t>rd</w:t>
      </w:r>
      <w:r w:rsidR="00095640" w:rsidRPr="00095640">
        <w:rPr>
          <w:rFonts w:ascii="Times New Roman" w:hAnsi="Times New Roman" w:cs="Times New Roman"/>
          <w:b/>
          <w:bCs/>
        </w:rPr>
        <w:t xml:space="preserve"> by its startup ecosystem performance among West African countries.</w:t>
      </w:r>
      <w:r w:rsidR="00095640" w:rsidRPr="00095640">
        <w:rPr>
          <w:rFonts w:ascii="Times New Roman" w:hAnsi="Times New Roman" w:cs="Times New Roman"/>
        </w:rPr>
        <w:t xml:space="preserve"> Although there are missing foundational elements and limited access to finances, acceleration programs, talent, and markets, the ecosystem has already seen successful startups in different fields, including </w:t>
      </w:r>
      <w:proofErr w:type="spellStart"/>
      <w:r w:rsidR="00095640" w:rsidRPr="00095640">
        <w:rPr>
          <w:rFonts w:ascii="Times New Roman" w:hAnsi="Times New Roman" w:cs="Times New Roman"/>
        </w:rPr>
        <w:t>iFome</w:t>
      </w:r>
      <w:proofErr w:type="spellEnd"/>
      <w:r w:rsidR="00095640" w:rsidRPr="00095640">
        <w:rPr>
          <w:rFonts w:ascii="Times New Roman" w:hAnsi="Times New Roman" w:cs="Times New Roman"/>
        </w:rPr>
        <w:t xml:space="preserve">, </w:t>
      </w:r>
      <w:proofErr w:type="spellStart"/>
      <w:r w:rsidR="00095640" w:rsidRPr="00095640">
        <w:rPr>
          <w:rFonts w:ascii="Times New Roman" w:hAnsi="Times New Roman" w:cs="Times New Roman"/>
        </w:rPr>
        <w:t>LestoPay</w:t>
      </w:r>
      <w:proofErr w:type="spellEnd"/>
      <w:r w:rsidR="00095640" w:rsidRPr="00095640">
        <w:rPr>
          <w:rFonts w:ascii="Times New Roman" w:hAnsi="Times New Roman" w:cs="Times New Roman"/>
        </w:rPr>
        <w:t xml:space="preserve">, </w:t>
      </w:r>
      <w:proofErr w:type="spellStart"/>
      <w:r w:rsidR="00095640" w:rsidRPr="00095640">
        <w:rPr>
          <w:rFonts w:ascii="Times New Roman" w:hAnsi="Times New Roman" w:cs="Times New Roman"/>
        </w:rPr>
        <w:t>iDeia</w:t>
      </w:r>
      <w:proofErr w:type="spellEnd"/>
      <w:r w:rsidR="00095640" w:rsidRPr="00095640">
        <w:rPr>
          <w:rFonts w:ascii="Times New Roman" w:hAnsi="Times New Roman" w:cs="Times New Roman"/>
        </w:rPr>
        <w:t xml:space="preserve"> Cabo Verde, </w:t>
      </w:r>
      <w:proofErr w:type="spellStart"/>
      <w:r w:rsidR="00095640" w:rsidRPr="00095640">
        <w:rPr>
          <w:rFonts w:ascii="Times New Roman" w:hAnsi="Times New Roman" w:cs="Times New Roman"/>
        </w:rPr>
        <w:t>Faxi</w:t>
      </w:r>
      <w:proofErr w:type="spellEnd"/>
      <w:r w:rsidR="00095640" w:rsidRPr="00095640">
        <w:rPr>
          <w:rFonts w:ascii="Times New Roman" w:hAnsi="Times New Roman" w:cs="Times New Roman"/>
        </w:rPr>
        <w:t xml:space="preserve">, </w:t>
      </w:r>
      <w:proofErr w:type="spellStart"/>
      <w:r w:rsidR="00095640" w:rsidRPr="00095640">
        <w:rPr>
          <w:rFonts w:ascii="Times New Roman" w:hAnsi="Times New Roman" w:cs="Times New Roman"/>
        </w:rPr>
        <w:t>Flexbundle</w:t>
      </w:r>
      <w:proofErr w:type="spellEnd"/>
      <w:r w:rsidR="00095640" w:rsidRPr="00095640">
        <w:rPr>
          <w:rFonts w:ascii="Times New Roman" w:hAnsi="Times New Roman" w:cs="Times New Roman"/>
        </w:rPr>
        <w:t xml:space="preserve">, </w:t>
      </w:r>
      <w:proofErr w:type="spellStart"/>
      <w:r w:rsidR="00095640" w:rsidRPr="00095640">
        <w:rPr>
          <w:rFonts w:ascii="Times New Roman" w:hAnsi="Times New Roman" w:cs="Times New Roman"/>
        </w:rPr>
        <w:t>Cartaz</w:t>
      </w:r>
      <w:proofErr w:type="spellEnd"/>
      <w:r w:rsidR="00095640" w:rsidRPr="00095640">
        <w:rPr>
          <w:rFonts w:ascii="Times New Roman" w:hAnsi="Times New Roman" w:cs="Times New Roman"/>
        </w:rPr>
        <w:t>, and others.</w:t>
      </w:r>
      <w:r w:rsidR="00095640" w:rsidRPr="00095640">
        <w:rPr>
          <w:rFonts w:ascii="Times New Roman" w:hAnsi="Times New Roman" w:cs="Times New Roman"/>
          <w:b/>
          <w:bCs/>
        </w:rPr>
        <w:t xml:space="preserve"> </w:t>
      </w:r>
      <w:r w:rsidR="00095640" w:rsidRPr="00095640">
        <w:rPr>
          <w:rFonts w:ascii="Times New Roman" w:hAnsi="Times New Roman" w:cs="Times New Roman"/>
        </w:rPr>
        <w:t>By the number of new mobile apps developed, Cabo Verde is ranked 80</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by Network Readiness Index (NRI), and the prevalence of the gig economy has been assessed to position the country 82</w:t>
      </w:r>
      <w:r w:rsidR="00095640" w:rsidRPr="00095640">
        <w:rPr>
          <w:rFonts w:ascii="Times New Roman" w:hAnsi="Times New Roman" w:cs="Times New Roman"/>
          <w:vertAlign w:val="superscript"/>
        </w:rPr>
        <w:t>nd</w:t>
      </w:r>
      <w:r w:rsidR="00095640" w:rsidRPr="00095640">
        <w:rPr>
          <w:rFonts w:ascii="Times New Roman" w:hAnsi="Times New Roman" w:cs="Times New Roman"/>
        </w:rPr>
        <w:t>. With its contributions to GitHub the local ICT community is ranked 99</w:t>
      </w:r>
      <w:r w:rsidR="00095640" w:rsidRPr="00095640">
        <w:rPr>
          <w:rFonts w:ascii="Times New Roman" w:hAnsi="Times New Roman" w:cs="Times New Roman"/>
          <w:vertAlign w:val="superscript"/>
        </w:rPr>
        <w:t>th</w:t>
      </w:r>
      <w:r w:rsidR="00095640" w:rsidRPr="00095640">
        <w:rPr>
          <w:rFonts w:ascii="Times New Roman" w:hAnsi="Times New Roman" w:cs="Times New Roman"/>
        </w:rPr>
        <w:t xml:space="preserve">. </w:t>
      </w:r>
    </w:p>
    <w:p w14:paraId="47A64755" w14:textId="6275CE41" w:rsidR="00AE1406" w:rsidRPr="00095640" w:rsidRDefault="0059561A" w:rsidP="00095640">
      <w:pPr>
        <w:tabs>
          <w:tab w:val="left" w:pos="2150"/>
        </w:tabs>
        <w:jc w:val="both"/>
        <w:rPr>
          <w:rFonts w:ascii="Times New Roman" w:hAnsi="Times New Roman" w:cs="Times New Roman"/>
          <w:b/>
          <w:bCs/>
        </w:rPr>
      </w:pPr>
      <w:r>
        <w:rPr>
          <w:rFonts w:ascii="Times New Roman" w:hAnsi="Times New Roman" w:cs="Times New Roman"/>
          <w:b/>
          <w:bCs/>
        </w:rPr>
        <w:t>6</w:t>
      </w:r>
      <w:r w:rsidR="00075087">
        <w:rPr>
          <w:rFonts w:ascii="Times New Roman" w:hAnsi="Times New Roman" w:cs="Times New Roman"/>
          <w:b/>
          <w:bCs/>
        </w:rPr>
        <w:t>4</w:t>
      </w:r>
      <w:r w:rsidR="003B7234">
        <w:rPr>
          <w:rFonts w:ascii="Times New Roman" w:hAnsi="Times New Roman" w:cs="Times New Roman"/>
          <w:b/>
          <w:bCs/>
        </w:rPr>
        <w:t xml:space="preserve">. </w:t>
      </w:r>
      <w:r w:rsidR="00095640" w:rsidRPr="00095640">
        <w:rPr>
          <w:rFonts w:ascii="Times New Roman" w:hAnsi="Times New Roman" w:cs="Times New Roman"/>
          <w:b/>
          <w:bCs/>
        </w:rPr>
        <w:t xml:space="preserve">ICT sector's participation in the economy </w:t>
      </w:r>
      <w:r w:rsidR="00F164BC">
        <w:rPr>
          <w:rFonts w:ascii="Times New Roman" w:hAnsi="Times New Roman" w:cs="Times New Roman"/>
          <w:b/>
          <w:bCs/>
        </w:rPr>
        <w:t>is growing</w:t>
      </w:r>
      <w:r w:rsidR="00095640" w:rsidRPr="00095640">
        <w:rPr>
          <w:rFonts w:ascii="Times New Roman" w:hAnsi="Times New Roman" w:cs="Times New Roman"/>
          <w:b/>
          <w:bCs/>
        </w:rPr>
        <w:t xml:space="preserve">. </w:t>
      </w:r>
      <w:r w:rsidR="002F4A65">
        <w:rPr>
          <w:rFonts w:ascii="Times New Roman" w:hAnsi="Times New Roman" w:cs="Times New Roman"/>
        </w:rPr>
        <w:t>In</w:t>
      </w:r>
      <w:r w:rsidR="00095640" w:rsidRPr="00095640">
        <w:rPr>
          <w:rFonts w:ascii="Times New Roman" w:hAnsi="Times New Roman" w:cs="Times New Roman"/>
        </w:rPr>
        <w:t xml:space="preserve"> 2021, the share of telecommunications and postal services comprised 2.</w:t>
      </w:r>
      <w:r w:rsidR="00A53562">
        <w:rPr>
          <w:rFonts w:ascii="Times New Roman" w:hAnsi="Times New Roman" w:cs="Times New Roman"/>
        </w:rPr>
        <w:t>7</w:t>
      </w:r>
      <w:r w:rsidR="00095640" w:rsidRPr="00095640">
        <w:rPr>
          <w:rFonts w:ascii="Times New Roman" w:hAnsi="Times New Roman" w:cs="Times New Roman"/>
        </w:rPr>
        <w:t xml:space="preserve"> percent of GDP. </w:t>
      </w:r>
      <w:r w:rsidR="00095640" w:rsidRPr="00095640">
        <w:rPr>
          <w:rStyle w:val="FootnoteReference"/>
          <w:rFonts w:ascii="Times New Roman" w:hAnsi="Times New Roman" w:cs="Times New Roman"/>
        </w:rPr>
        <w:footnoteReference w:id="29"/>
      </w:r>
      <w:r w:rsidR="00095640" w:rsidRPr="00095640">
        <w:rPr>
          <w:rFonts w:ascii="Times New Roman" w:hAnsi="Times New Roman" w:cs="Times New Roman"/>
        </w:rPr>
        <w:t xml:space="preserve">  The National Council of Statistics counted 122 companies involved in activities categorized under Information and Communication sector in 2019 (Table </w:t>
      </w:r>
      <w:r w:rsidR="00E00E0E">
        <w:rPr>
          <w:rFonts w:ascii="Times New Roman" w:hAnsi="Times New Roman" w:cs="Times New Roman"/>
        </w:rPr>
        <w:t>6</w:t>
      </w:r>
      <w:r w:rsidR="00095640" w:rsidRPr="00095640">
        <w:rPr>
          <w:rFonts w:ascii="Times New Roman" w:hAnsi="Times New Roman" w:cs="Times New Roman"/>
        </w:rPr>
        <w:t>). This constitutes 1.1 percent of the total number of active business entities in Cabo Verde. According to the official statistics information</w:t>
      </w:r>
      <w:r w:rsidR="00F94712">
        <w:rPr>
          <w:rFonts w:ascii="Times New Roman" w:hAnsi="Times New Roman" w:cs="Times New Roman"/>
        </w:rPr>
        <w:t>,</w:t>
      </w:r>
      <w:r w:rsidR="00095640" w:rsidRPr="00095640">
        <w:rPr>
          <w:rFonts w:ascii="Times New Roman" w:hAnsi="Times New Roman" w:cs="Times New Roman"/>
        </w:rPr>
        <w:t xml:space="preserve"> communication companies employ 670 persons –2.5 percent of officially registered employees across the economy. Only 18 percent of the ICT companies are owned by women. The average share of women-led business in the economy is 33 percent, which shows that women entrepreneurship is nascent especially in technology-related sectors. Driven with gender stereotypes, less women pursue careers in ICT sector and count for 37 percent of workforce in the sector - </w:t>
      </w:r>
      <w:proofErr w:type="gramStart"/>
      <w:r w:rsidR="00095640" w:rsidRPr="00095640">
        <w:rPr>
          <w:rFonts w:ascii="Times New Roman" w:hAnsi="Times New Roman" w:cs="Times New Roman"/>
        </w:rPr>
        <w:t>similar to</w:t>
      </w:r>
      <w:proofErr w:type="gramEnd"/>
      <w:r w:rsidR="00095640" w:rsidRPr="00095640">
        <w:rPr>
          <w:rFonts w:ascii="Times New Roman" w:hAnsi="Times New Roman" w:cs="Times New Roman"/>
        </w:rPr>
        <w:t xml:space="preserve"> gender gap in participation in various STEM (Science, Technology, Engineering and Mathematics) trainings.</w:t>
      </w:r>
    </w:p>
    <w:p w14:paraId="5185E338" w14:textId="4C493E5A" w:rsidR="00CB41B7" w:rsidRPr="00A27DC3" w:rsidRDefault="00543834">
      <w:pPr>
        <w:pStyle w:val="Caption"/>
        <w:jc w:val="center"/>
        <w:rPr>
          <w:rFonts w:ascii="Times New Roman" w:hAnsi="Times New Roman" w:cs="Times New Roman"/>
          <w:b/>
          <w:bCs/>
          <w:i w:val="0"/>
          <w:iCs w:val="0"/>
          <w:color w:val="2F5496" w:themeColor="accent1" w:themeShade="BF"/>
          <w:sz w:val="20"/>
          <w:szCs w:val="20"/>
        </w:rPr>
      </w:pPr>
      <w:bookmarkStart w:id="102" w:name="_Toc105592174"/>
      <w:r w:rsidRPr="00B87C41">
        <w:rPr>
          <w:rFonts w:ascii="Times New Roman" w:hAnsi="Times New Roman" w:cs="Times New Roman"/>
          <w:b/>
          <w:bCs/>
          <w:i w:val="0"/>
          <w:iCs w:val="0"/>
          <w:color w:val="2F5496" w:themeColor="accent1" w:themeShade="BF"/>
          <w:sz w:val="20"/>
          <w:szCs w:val="20"/>
        </w:rPr>
        <w:t xml:space="preserve">Table </w:t>
      </w:r>
      <w:r w:rsidRPr="00B87C41">
        <w:rPr>
          <w:rFonts w:ascii="Times New Roman" w:hAnsi="Times New Roman" w:cs="Times New Roman"/>
          <w:b/>
          <w:bCs/>
          <w:i w:val="0"/>
          <w:iCs w:val="0"/>
          <w:color w:val="2F5496" w:themeColor="accent1" w:themeShade="BF"/>
          <w:sz w:val="20"/>
          <w:szCs w:val="20"/>
        </w:rPr>
        <w:fldChar w:fldCharType="begin"/>
      </w:r>
      <w:r w:rsidRPr="00B87C41">
        <w:rPr>
          <w:rFonts w:ascii="Times New Roman" w:hAnsi="Times New Roman" w:cs="Times New Roman"/>
          <w:b/>
          <w:bCs/>
          <w:i w:val="0"/>
          <w:iCs w:val="0"/>
          <w:color w:val="2F5496" w:themeColor="accent1" w:themeShade="BF"/>
          <w:sz w:val="20"/>
          <w:szCs w:val="20"/>
        </w:rPr>
        <w:instrText xml:space="preserve"> SEQ Table \* ARABIC </w:instrText>
      </w:r>
      <w:r w:rsidRPr="00B87C41">
        <w:rPr>
          <w:rFonts w:ascii="Times New Roman" w:hAnsi="Times New Roman" w:cs="Times New Roman"/>
          <w:b/>
          <w:bCs/>
          <w:i w:val="0"/>
          <w:iCs w:val="0"/>
          <w:color w:val="2F5496" w:themeColor="accent1" w:themeShade="BF"/>
          <w:sz w:val="20"/>
          <w:szCs w:val="20"/>
        </w:rPr>
        <w:fldChar w:fldCharType="separate"/>
      </w:r>
      <w:r w:rsidR="0033433C">
        <w:rPr>
          <w:rFonts w:ascii="Times New Roman" w:hAnsi="Times New Roman" w:cs="Times New Roman"/>
          <w:b/>
          <w:bCs/>
          <w:i w:val="0"/>
          <w:iCs w:val="0"/>
          <w:noProof/>
          <w:color w:val="2F5496" w:themeColor="accent1" w:themeShade="BF"/>
          <w:sz w:val="20"/>
          <w:szCs w:val="20"/>
        </w:rPr>
        <w:t>5</w:t>
      </w:r>
      <w:r w:rsidRPr="00B87C41">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Number of active companies and persons employed, 2019</w:t>
      </w:r>
      <w:bookmarkEnd w:id="102"/>
      <w:r w:rsidRPr="00B87C41">
        <w:rPr>
          <w:rFonts w:ascii="Times New Roman" w:hAnsi="Times New Roman" w:cs="Times New Roman"/>
          <w:b/>
          <w:bCs/>
          <w:i w:val="0"/>
          <w:iCs w:val="0"/>
          <w:color w:val="2F5496" w:themeColor="accent1" w:themeShade="BF"/>
          <w:sz w:val="20"/>
          <w:szCs w:val="20"/>
        </w:rPr>
        <w:t xml:space="preserve"> </w:t>
      </w:r>
    </w:p>
    <w:tbl>
      <w:tblPr>
        <w:tblW w:w="9789" w:type="dxa"/>
        <w:tblLook w:val="04A0" w:firstRow="1" w:lastRow="0" w:firstColumn="1" w:lastColumn="0" w:noHBand="0" w:noVBand="1"/>
      </w:tblPr>
      <w:tblGrid>
        <w:gridCol w:w="3510"/>
        <w:gridCol w:w="2970"/>
        <w:gridCol w:w="1549"/>
        <w:gridCol w:w="1760"/>
      </w:tblGrid>
      <w:tr w:rsidR="00CB41B7" w:rsidRPr="004F7914" w14:paraId="2C8CF373" w14:textId="77777777" w:rsidTr="00E73756">
        <w:trPr>
          <w:trHeight w:val="222"/>
        </w:trPr>
        <w:tc>
          <w:tcPr>
            <w:tcW w:w="3510" w:type="dxa"/>
            <w:tcBorders>
              <w:top w:val="nil"/>
              <w:left w:val="nil"/>
              <w:bottom w:val="single" w:sz="12" w:space="0" w:color="FFFFFF" w:themeColor="background1"/>
              <w:right w:val="single" w:sz="4" w:space="0" w:color="FFFFFF" w:themeColor="background1"/>
            </w:tcBorders>
            <w:shd w:val="clear" w:color="auto" w:fill="A5A5A5" w:themeFill="accent3"/>
            <w:noWrap/>
            <w:hideMark/>
          </w:tcPr>
          <w:p w14:paraId="186ACAFD" w14:textId="77777777" w:rsidR="00CB41B7" w:rsidRPr="004F7914" w:rsidRDefault="00CB41B7" w:rsidP="00E73756">
            <w:pPr>
              <w:spacing w:after="0" w:line="240" w:lineRule="auto"/>
              <w:rPr>
                <w:rFonts w:ascii="Times New Roman" w:eastAsia="Times New Roman" w:hAnsi="Times New Roman" w:cs="Times New Roman"/>
                <w:b/>
                <w:bCs/>
                <w:color w:val="FFFFFF" w:themeColor="background1"/>
                <w:sz w:val="18"/>
                <w:szCs w:val="18"/>
              </w:rPr>
            </w:pPr>
          </w:p>
        </w:tc>
        <w:tc>
          <w:tcPr>
            <w:tcW w:w="2970"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hideMark/>
          </w:tcPr>
          <w:p w14:paraId="53FA181D" w14:textId="77777777" w:rsidR="00CB41B7" w:rsidRPr="004F7914" w:rsidRDefault="00CB41B7" w:rsidP="00E73756">
            <w:pPr>
              <w:spacing w:after="0" w:line="240" w:lineRule="auto"/>
              <w:rPr>
                <w:rFonts w:ascii="Times New Roman" w:eastAsia="Times New Roman" w:hAnsi="Times New Roman" w:cs="Times New Roman"/>
                <w:b/>
                <w:bCs/>
                <w:color w:val="FFFFFF" w:themeColor="background1"/>
                <w:sz w:val="18"/>
                <w:szCs w:val="18"/>
              </w:rPr>
            </w:pPr>
            <w:r w:rsidRPr="004F7914">
              <w:rPr>
                <w:rFonts w:ascii="Times New Roman" w:hAnsi="Times New Roman" w:cs="Times New Roman"/>
                <w:b/>
                <w:bCs/>
                <w:color w:val="FFFFFF" w:themeColor="background1"/>
                <w:sz w:val="18"/>
                <w:szCs w:val="18"/>
              </w:rPr>
              <w:t xml:space="preserve">Information and communication services sector </w:t>
            </w:r>
          </w:p>
        </w:tc>
        <w:tc>
          <w:tcPr>
            <w:tcW w:w="1549"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hideMark/>
          </w:tcPr>
          <w:p w14:paraId="3C7BDFF6" w14:textId="77777777" w:rsidR="00CB41B7" w:rsidRPr="004F7914" w:rsidRDefault="00CB41B7" w:rsidP="00E73756">
            <w:pPr>
              <w:spacing w:after="0" w:line="240" w:lineRule="auto"/>
              <w:rPr>
                <w:rFonts w:ascii="Times New Roman" w:eastAsia="Times New Roman" w:hAnsi="Times New Roman" w:cs="Times New Roman"/>
                <w:b/>
                <w:bCs/>
                <w:color w:val="FFFFFF" w:themeColor="background1"/>
                <w:sz w:val="18"/>
                <w:szCs w:val="18"/>
              </w:rPr>
            </w:pPr>
            <w:r w:rsidRPr="004F7914">
              <w:rPr>
                <w:rFonts w:ascii="Times New Roman" w:hAnsi="Times New Roman" w:cs="Times New Roman"/>
                <w:b/>
                <w:bCs/>
                <w:color w:val="FFFFFF" w:themeColor="background1"/>
                <w:sz w:val="18"/>
                <w:szCs w:val="18"/>
              </w:rPr>
              <w:t xml:space="preserve">Total in the economy </w:t>
            </w:r>
          </w:p>
        </w:tc>
        <w:tc>
          <w:tcPr>
            <w:tcW w:w="1760" w:type="dxa"/>
            <w:tcBorders>
              <w:top w:val="nil"/>
              <w:left w:val="single" w:sz="4" w:space="0" w:color="FFFFFF" w:themeColor="background1"/>
              <w:bottom w:val="single" w:sz="12" w:space="0" w:color="FFFFFF" w:themeColor="background1"/>
              <w:right w:val="single" w:sz="4" w:space="0" w:color="FFFFFF" w:themeColor="background1"/>
            </w:tcBorders>
            <w:shd w:val="clear" w:color="auto" w:fill="A5A5A5" w:themeFill="accent3"/>
            <w:noWrap/>
            <w:hideMark/>
          </w:tcPr>
          <w:p w14:paraId="774BA885" w14:textId="77777777" w:rsidR="00CB41B7" w:rsidRPr="004F7914" w:rsidRDefault="00CB41B7" w:rsidP="00E73756">
            <w:pPr>
              <w:spacing w:after="0" w:line="240" w:lineRule="auto"/>
              <w:rPr>
                <w:rFonts w:ascii="Times New Roman" w:eastAsia="Times New Roman" w:hAnsi="Times New Roman" w:cs="Times New Roman"/>
                <w:b/>
                <w:bCs/>
                <w:color w:val="FFFFFF" w:themeColor="background1"/>
                <w:sz w:val="18"/>
                <w:szCs w:val="18"/>
              </w:rPr>
            </w:pPr>
            <w:r w:rsidRPr="004F7914">
              <w:rPr>
                <w:rFonts w:ascii="Times New Roman" w:hAnsi="Times New Roman" w:cs="Times New Roman"/>
                <w:b/>
                <w:bCs/>
                <w:color w:val="FFFFFF" w:themeColor="background1"/>
                <w:sz w:val="18"/>
                <w:szCs w:val="18"/>
              </w:rPr>
              <w:t xml:space="preserve">Share of ICT sector in total, % </w:t>
            </w:r>
          </w:p>
        </w:tc>
      </w:tr>
      <w:tr w:rsidR="00CB41B7" w:rsidRPr="004F7914" w14:paraId="692CD1B5" w14:textId="77777777" w:rsidTr="00E73756">
        <w:trPr>
          <w:trHeight w:val="222"/>
        </w:trPr>
        <w:tc>
          <w:tcPr>
            <w:tcW w:w="3510" w:type="dxa"/>
            <w:tcBorders>
              <w:top w:val="single" w:sz="4" w:space="0" w:color="FFFFFF" w:themeColor="background1"/>
              <w:left w:val="nil"/>
              <w:bottom w:val="single" w:sz="4" w:space="0" w:color="FFFFFF" w:themeColor="background1"/>
              <w:right w:val="single" w:sz="4" w:space="0" w:color="FFFFFF" w:themeColor="background1"/>
            </w:tcBorders>
            <w:shd w:val="clear" w:color="auto" w:fill="DBDBDB" w:themeFill="accent3" w:themeFillTint="66"/>
            <w:noWrap/>
            <w:hideMark/>
          </w:tcPr>
          <w:p w14:paraId="36644371" w14:textId="77777777" w:rsidR="00CB41B7" w:rsidRPr="004F7914" w:rsidRDefault="00CB41B7" w:rsidP="00E73756">
            <w:pPr>
              <w:spacing w:after="0" w:line="240" w:lineRule="auto"/>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Number of active companies, including:</w:t>
            </w: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3F7C1686"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122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1678EFAB"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11,174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388F368F"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1.09</w:t>
            </w:r>
          </w:p>
        </w:tc>
      </w:tr>
      <w:tr w:rsidR="00CB41B7" w:rsidRPr="004F7914" w14:paraId="51317EFB" w14:textId="77777777" w:rsidTr="00E73756">
        <w:trPr>
          <w:trHeight w:val="222"/>
        </w:trPr>
        <w:tc>
          <w:tcPr>
            <w:tcW w:w="3510" w:type="dxa"/>
            <w:tcBorders>
              <w:top w:val="single" w:sz="4" w:space="0" w:color="FFFFFF" w:themeColor="background1"/>
              <w:left w:val="nil"/>
              <w:bottom w:val="single" w:sz="4" w:space="0" w:color="FFFFFF" w:themeColor="background1"/>
              <w:right w:val="single" w:sz="4" w:space="0" w:color="FFFFFF" w:themeColor="background1"/>
            </w:tcBorders>
            <w:shd w:val="clear" w:color="auto" w:fill="EDEDED" w:themeFill="accent3" w:themeFillTint="33"/>
            <w:noWrap/>
            <w:hideMark/>
          </w:tcPr>
          <w:p w14:paraId="7775EAB6"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Owned by women</w:t>
            </w: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hideMark/>
          </w:tcPr>
          <w:p w14:paraId="01BA3FC8"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22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hideMark/>
          </w:tcPr>
          <w:p w14:paraId="612D9247"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3,699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hideMark/>
          </w:tcPr>
          <w:p w14:paraId="2C519798"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0.59</w:t>
            </w:r>
          </w:p>
        </w:tc>
      </w:tr>
      <w:tr w:rsidR="00CB41B7" w:rsidRPr="004F7914" w14:paraId="080D043F" w14:textId="77777777" w:rsidTr="00E73756">
        <w:trPr>
          <w:trHeight w:val="222"/>
        </w:trPr>
        <w:tc>
          <w:tcPr>
            <w:tcW w:w="3510" w:type="dxa"/>
            <w:tcBorders>
              <w:top w:val="single" w:sz="4" w:space="0" w:color="FFFFFF" w:themeColor="background1"/>
              <w:left w:val="nil"/>
              <w:bottom w:val="single" w:sz="4" w:space="0" w:color="FFFFFF" w:themeColor="background1"/>
              <w:right w:val="single" w:sz="4" w:space="0" w:color="FFFFFF" w:themeColor="background1"/>
            </w:tcBorders>
            <w:shd w:val="clear" w:color="auto" w:fill="DBDBDB" w:themeFill="accent3" w:themeFillTint="66"/>
            <w:noWrap/>
            <w:hideMark/>
          </w:tcPr>
          <w:p w14:paraId="72E13813" w14:textId="77777777" w:rsidR="00CB41B7" w:rsidRPr="004F7914" w:rsidRDefault="00CB41B7" w:rsidP="00E73756">
            <w:pPr>
              <w:spacing w:after="0" w:line="240" w:lineRule="auto"/>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Number of persons employed, including:</w:t>
            </w: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45312963"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1,824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0A0D97CE"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71,874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DBDB" w:themeFill="accent3" w:themeFillTint="66"/>
            <w:noWrap/>
            <w:hideMark/>
          </w:tcPr>
          <w:p w14:paraId="46856F56"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2.54</w:t>
            </w:r>
          </w:p>
        </w:tc>
      </w:tr>
      <w:tr w:rsidR="00CB41B7" w:rsidRPr="004F7914" w14:paraId="6BB2631E" w14:textId="77777777" w:rsidTr="00E73756">
        <w:trPr>
          <w:trHeight w:val="222"/>
        </w:trPr>
        <w:tc>
          <w:tcPr>
            <w:tcW w:w="3510" w:type="dxa"/>
            <w:tcBorders>
              <w:top w:val="single" w:sz="4" w:space="0" w:color="FFFFFF" w:themeColor="background1"/>
              <w:left w:val="nil"/>
              <w:bottom w:val="single" w:sz="4" w:space="0" w:color="FFFFFF" w:themeColor="background1"/>
              <w:right w:val="single" w:sz="4" w:space="0" w:color="FFFFFF" w:themeColor="background1"/>
            </w:tcBorders>
            <w:shd w:val="clear" w:color="auto" w:fill="EDEDED" w:themeFill="accent3" w:themeFillTint="33"/>
            <w:noWrap/>
            <w:hideMark/>
          </w:tcPr>
          <w:p w14:paraId="76689BBB"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Women</w:t>
            </w:r>
          </w:p>
        </w:tc>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hideMark/>
          </w:tcPr>
          <w:p w14:paraId="262B53A4"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670 </w:t>
            </w:r>
          </w:p>
        </w:tc>
        <w:tc>
          <w:tcPr>
            <w:tcW w:w="15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hideMark/>
          </w:tcPr>
          <w:p w14:paraId="6734740C" w14:textId="77777777" w:rsidR="00CB41B7" w:rsidRPr="004F7914" w:rsidRDefault="00CB41B7" w:rsidP="00E73756">
            <w:pPr>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 xml:space="preserve"> 30,887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noWrap/>
            <w:hideMark/>
          </w:tcPr>
          <w:p w14:paraId="6254D669" w14:textId="77777777" w:rsidR="00CB41B7" w:rsidRPr="004F7914" w:rsidRDefault="00CB41B7" w:rsidP="004B1FD5">
            <w:pPr>
              <w:keepNext/>
              <w:spacing w:after="0" w:line="240" w:lineRule="auto"/>
              <w:jc w:val="right"/>
              <w:rPr>
                <w:rFonts w:ascii="Times New Roman" w:eastAsia="Times New Roman" w:hAnsi="Times New Roman" w:cs="Times New Roman"/>
                <w:color w:val="000000"/>
                <w:sz w:val="18"/>
                <w:szCs w:val="18"/>
              </w:rPr>
            </w:pPr>
            <w:r w:rsidRPr="004F7914">
              <w:rPr>
                <w:rFonts w:ascii="Times New Roman" w:hAnsi="Times New Roman" w:cs="Times New Roman"/>
                <w:sz w:val="18"/>
                <w:szCs w:val="18"/>
              </w:rPr>
              <w:t>2.17</w:t>
            </w:r>
          </w:p>
        </w:tc>
      </w:tr>
    </w:tbl>
    <w:p w14:paraId="35916219" w14:textId="27C98B38" w:rsidR="00CB41B7" w:rsidRPr="00A27DC3" w:rsidRDefault="00CB41B7" w:rsidP="00CB41B7">
      <w:pPr>
        <w:autoSpaceDE w:val="0"/>
        <w:autoSpaceDN w:val="0"/>
        <w:adjustRightInd w:val="0"/>
        <w:spacing w:after="0" w:line="240" w:lineRule="auto"/>
        <w:rPr>
          <w:rFonts w:ascii="Times New Roman" w:hAnsi="Times New Roman" w:cs="Times New Roman"/>
          <w:sz w:val="18"/>
          <w:szCs w:val="18"/>
        </w:rPr>
      </w:pPr>
      <w:r w:rsidRPr="00A27DC3">
        <w:rPr>
          <w:rFonts w:ascii="Times New Roman" w:hAnsi="Times New Roman" w:cs="Times New Roman"/>
          <w:sz w:val="18"/>
          <w:szCs w:val="18"/>
        </w:rPr>
        <w:t xml:space="preserve">Source: </w:t>
      </w:r>
      <w:r w:rsidR="003D1220" w:rsidRPr="003D1220">
        <w:rPr>
          <w:rFonts w:ascii="Times New Roman" w:hAnsi="Times New Roman" w:cs="Times New Roman"/>
          <w:sz w:val="18"/>
          <w:szCs w:val="18"/>
        </w:rPr>
        <w:t>National Statistics Institute, Cabo Verde - INE-CV. (2019). “Annual Survey of Companies 2019</w:t>
      </w:r>
      <w:r w:rsidR="003D1220">
        <w:rPr>
          <w:rFonts w:ascii="Times New Roman" w:hAnsi="Times New Roman" w:cs="Times New Roman"/>
          <w:sz w:val="18"/>
          <w:szCs w:val="18"/>
        </w:rPr>
        <w:t>”</w:t>
      </w:r>
      <w:r w:rsidR="003D1220" w:rsidRPr="003D1220" w:rsidDel="003D1220">
        <w:rPr>
          <w:rFonts w:ascii="Times New Roman" w:hAnsi="Times New Roman" w:cs="Times New Roman"/>
          <w:sz w:val="18"/>
          <w:szCs w:val="18"/>
        </w:rPr>
        <w:t xml:space="preserve"> </w:t>
      </w:r>
    </w:p>
    <w:p w14:paraId="638C4861" w14:textId="77777777" w:rsidR="00AE1406" w:rsidRPr="00A27DC3" w:rsidRDefault="00AE1406" w:rsidP="00ED30CA">
      <w:pPr>
        <w:rPr>
          <w:rFonts w:ascii="Times New Roman" w:eastAsia="Times New Roman" w:hAnsi="Times New Roman" w:cs="Times New Roman"/>
          <w:bCs/>
          <w:color w:val="2F5496"/>
          <w:sz w:val="18"/>
          <w:szCs w:val="18"/>
        </w:rPr>
      </w:pPr>
    </w:p>
    <w:p w14:paraId="0B8A8551" w14:textId="2A9E0598" w:rsidR="00CB41B7" w:rsidRDefault="00CB41B7" w:rsidP="00C12B93">
      <w:pPr>
        <w:keepNext/>
        <w:keepLines/>
        <w:numPr>
          <w:ilvl w:val="0"/>
          <w:numId w:val="15"/>
        </w:numPr>
        <w:spacing w:before="40" w:after="240"/>
        <w:outlineLvl w:val="1"/>
        <w:rPr>
          <w:rFonts w:ascii="Times New Roman" w:eastAsia="Times New Roman" w:hAnsi="Times New Roman" w:cs="Times New Roman"/>
          <w:bCs/>
          <w:color w:val="2F5496"/>
          <w:sz w:val="26"/>
          <w:szCs w:val="26"/>
        </w:rPr>
      </w:pPr>
      <w:bookmarkStart w:id="103" w:name="_Toc105592816"/>
      <w:r w:rsidRPr="00C12B93">
        <w:rPr>
          <w:rFonts w:ascii="Times New Roman" w:eastAsiaTheme="majorEastAsia" w:hAnsi="Times New Roman" w:cs="Times New Roman"/>
          <w:color w:val="2F5496" w:themeColor="accent1" w:themeShade="BF"/>
          <w:sz w:val="26"/>
          <w:szCs w:val="26"/>
        </w:rPr>
        <w:t>Digital Skills</w:t>
      </w:r>
      <w:bookmarkEnd w:id="103"/>
    </w:p>
    <w:p w14:paraId="5385A7BA" w14:textId="51CB3C6D" w:rsidR="00C3110D" w:rsidRPr="00C3110D" w:rsidRDefault="006621EB" w:rsidP="00C3110D">
      <w:pPr>
        <w:tabs>
          <w:tab w:val="left" w:pos="2150"/>
        </w:tabs>
        <w:spacing w:before="120" w:after="120"/>
        <w:jc w:val="both"/>
        <w:rPr>
          <w:rFonts w:ascii="Times New Roman" w:hAnsi="Times New Roman" w:cs="Times New Roman"/>
          <w:b/>
          <w:bCs/>
          <w:color w:val="002060"/>
        </w:rPr>
      </w:pPr>
      <w:r>
        <w:rPr>
          <w:rFonts w:ascii="Times New Roman" w:hAnsi="Times New Roman" w:cs="Times New Roman"/>
          <w:b/>
          <w:bCs/>
          <w:color w:val="002060"/>
        </w:rPr>
        <w:t xml:space="preserve">Multiple educational programs target the </w:t>
      </w:r>
      <w:r w:rsidR="00C3110D" w:rsidRPr="00C3110D">
        <w:rPr>
          <w:rFonts w:ascii="Times New Roman" w:hAnsi="Times New Roman" w:cs="Times New Roman"/>
          <w:b/>
          <w:bCs/>
          <w:color w:val="002060"/>
        </w:rPr>
        <w:t xml:space="preserve">digital skills </w:t>
      </w:r>
      <w:r>
        <w:rPr>
          <w:rFonts w:ascii="Times New Roman" w:hAnsi="Times New Roman" w:cs="Times New Roman"/>
          <w:b/>
          <w:bCs/>
          <w:color w:val="002060"/>
        </w:rPr>
        <w:t>gaps in the country.</w:t>
      </w:r>
      <w:r w:rsidR="00C3110D" w:rsidRPr="00C3110D">
        <w:rPr>
          <w:rFonts w:ascii="Times New Roman" w:hAnsi="Times New Roman" w:cs="Times New Roman"/>
          <w:b/>
          <w:bCs/>
          <w:color w:val="002060"/>
        </w:rPr>
        <w:t xml:space="preserve"> </w:t>
      </w:r>
    </w:p>
    <w:p w14:paraId="49806D40" w14:textId="6552B537" w:rsidR="00C3110D" w:rsidRPr="00C3110D" w:rsidRDefault="00075087" w:rsidP="00C3110D">
      <w:pPr>
        <w:tabs>
          <w:tab w:val="left" w:pos="2150"/>
        </w:tabs>
        <w:spacing w:before="120" w:after="120"/>
        <w:jc w:val="both"/>
        <w:rPr>
          <w:rFonts w:ascii="Times New Roman" w:hAnsi="Times New Roman" w:cs="Times New Roman"/>
          <w:b/>
          <w:bCs/>
        </w:rPr>
      </w:pPr>
      <w:r>
        <w:rPr>
          <w:rFonts w:ascii="Times New Roman" w:hAnsi="Times New Roman" w:cs="Times New Roman"/>
          <w:b/>
          <w:bCs/>
        </w:rPr>
        <w:t>65</w:t>
      </w:r>
      <w:r w:rsidR="003B7234">
        <w:rPr>
          <w:rFonts w:ascii="Times New Roman" w:hAnsi="Times New Roman" w:cs="Times New Roman"/>
          <w:b/>
          <w:bCs/>
        </w:rPr>
        <w:t xml:space="preserve">. </w:t>
      </w:r>
      <w:r w:rsidR="00C3110D" w:rsidRPr="00C3110D">
        <w:rPr>
          <w:rFonts w:ascii="Times New Roman" w:hAnsi="Times New Roman" w:cs="Times New Roman"/>
          <w:b/>
          <w:bCs/>
        </w:rPr>
        <w:t xml:space="preserve">Modernization of the national school curriculum and enhancement of ICT laboratories in schools vow to produce tech-savvy school graduates with higher rates of going into ICT careers among them.  </w:t>
      </w:r>
      <w:r w:rsidR="00C3110D" w:rsidRPr="00C3110D">
        <w:rPr>
          <w:rFonts w:ascii="Times New Roman" w:eastAsia="CIDFont+F3" w:hAnsi="Times New Roman" w:cs="Times New Roman"/>
        </w:rPr>
        <w:t xml:space="preserve">As provisioned in its Education Sector Plan (2017–2021), the government introduced new mandatory subjects with focus on digital skills, including computer programming and robotics in the national school curriculum starting in Grade 5 (primary level). The ongoing plan is to extend the inclusion of STEM </w:t>
      </w:r>
      <w:r w:rsidR="00C3110D" w:rsidRPr="00C3110D">
        <w:rPr>
          <w:rFonts w:ascii="Times New Roman" w:eastAsia="CIDFont+F3" w:hAnsi="Times New Roman" w:cs="Times New Roman"/>
        </w:rPr>
        <w:lastRenderedPageBreak/>
        <w:t xml:space="preserve">subjects in the curriculum of all grades, until 12. However, several challenges have been reducing the potential learning outcomes, including educational content and resources for the new subjects, required classroom technologies and connectivity, and, most importantly, the teachers’ preparedness. </w:t>
      </w:r>
      <w:proofErr w:type="spellStart"/>
      <w:r w:rsidR="00C3110D" w:rsidRPr="00C3110D">
        <w:rPr>
          <w:rFonts w:ascii="Times New Roman" w:eastAsia="CIDFont+F3" w:hAnsi="Times New Roman" w:cs="Times New Roman"/>
        </w:rPr>
        <w:t>WebLabs</w:t>
      </w:r>
      <w:proofErr w:type="spellEnd"/>
      <w:r w:rsidR="00C3110D" w:rsidRPr="00C3110D">
        <w:rPr>
          <w:rFonts w:ascii="Times New Roman" w:eastAsia="CIDFont+F3" w:hAnsi="Times New Roman" w:cs="Times New Roman"/>
        </w:rPr>
        <w:t xml:space="preserve"> program by </w:t>
      </w:r>
      <w:proofErr w:type="spellStart"/>
      <w:r w:rsidR="00C3110D" w:rsidRPr="00C3110D">
        <w:rPr>
          <w:rFonts w:ascii="Times New Roman" w:eastAsia="CIDFont+F3" w:hAnsi="Times New Roman" w:cs="Times New Roman"/>
        </w:rPr>
        <w:t>NOSi</w:t>
      </w:r>
      <w:proofErr w:type="spellEnd"/>
      <w:r w:rsidR="00C3110D" w:rsidRPr="00C3110D">
        <w:rPr>
          <w:rFonts w:ascii="Times New Roman" w:eastAsia="CIDFont+F3" w:hAnsi="Times New Roman" w:cs="Times New Roman"/>
        </w:rPr>
        <w:t xml:space="preserve"> has been </w:t>
      </w:r>
      <w:r w:rsidR="00587DE1">
        <w:rPr>
          <w:rFonts w:ascii="Times New Roman" w:eastAsia="CIDFont+F3" w:hAnsi="Times New Roman" w:cs="Times New Roman"/>
        </w:rPr>
        <w:t xml:space="preserve">one </w:t>
      </w:r>
      <w:r w:rsidR="00C3110D" w:rsidRPr="00C3110D">
        <w:rPr>
          <w:rFonts w:ascii="Times New Roman" w:eastAsia="CIDFont+F3" w:hAnsi="Times New Roman" w:cs="Times New Roman"/>
        </w:rPr>
        <w:t xml:space="preserve">of the prominent initiatives in the STEM education in Cabo Verde. The program installed ICT laboratories in 43 secondary schools – in the form of equipped and connected containers. 7,000 students enrolled in the program nation-wide undergo courses in robotics, information technology (IT) equipment maintenance, and applications development. </w:t>
      </w:r>
      <w:r w:rsidR="00E62C75">
        <w:rPr>
          <w:rFonts w:ascii="Times New Roman" w:eastAsia="CIDFont+F3" w:hAnsi="Times New Roman" w:cs="Times New Roman"/>
        </w:rPr>
        <w:t xml:space="preserve">Currently the WB’s Digital Cabo Verde project </w:t>
      </w:r>
      <w:r w:rsidR="00E62C75" w:rsidRPr="00E62C75">
        <w:rPr>
          <w:rFonts w:ascii="Times New Roman" w:eastAsia="CIDFont+F3" w:hAnsi="Times New Roman" w:cs="Times New Roman"/>
        </w:rPr>
        <w:t xml:space="preserve">is working on scaling </w:t>
      </w:r>
      <w:proofErr w:type="spellStart"/>
      <w:r w:rsidR="00E62C75">
        <w:rPr>
          <w:rFonts w:ascii="Times New Roman" w:eastAsia="CIDFont+F3" w:hAnsi="Times New Roman" w:cs="Times New Roman"/>
        </w:rPr>
        <w:t>W</w:t>
      </w:r>
      <w:r w:rsidR="00E62C75" w:rsidRPr="00E62C75">
        <w:rPr>
          <w:rFonts w:ascii="Times New Roman" w:eastAsia="CIDFont+F3" w:hAnsi="Times New Roman" w:cs="Times New Roman"/>
        </w:rPr>
        <w:t>eb</w:t>
      </w:r>
      <w:r w:rsidR="00E62C75">
        <w:rPr>
          <w:rFonts w:ascii="Times New Roman" w:eastAsia="CIDFont+F3" w:hAnsi="Times New Roman" w:cs="Times New Roman"/>
        </w:rPr>
        <w:t>L</w:t>
      </w:r>
      <w:r w:rsidR="00E62C75" w:rsidRPr="00E62C75">
        <w:rPr>
          <w:rFonts w:ascii="Times New Roman" w:eastAsia="CIDFont+F3" w:hAnsi="Times New Roman" w:cs="Times New Roman"/>
        </w:rPr>
        <w:t>abs</w:t>
      </w:r>
      <w:proofErr w:type="spellEnd"/>
      <w:r w:rsidR="00E62C75" w:rsidRPr="00E62C75">
        <w:rPr>
          <w:rFonts w:ascii="Times New Roman" w:eastAsia="CIDFont+F3" w:hAnsi="Times New Roman" w:cs="Times New Roman"/>
        </w:rPr>
        <w:t xml:space="preserve">, improving </w:t>
      </w:r>
      <w:r w:rsidR="00E62C75">
        <w:rPr>
          <w:rFonts w:ascii="Times New Roman" w:eastAsia="CIDFont+F3" w:hAnsi="Times New Roman" w:cs="Times New Roman"/>
        </w:rPr>
        <w:t>ICT</w:t>
      </w:r>
      <w:r w:rsidR="00E62C75" w:rsidRPr="00E62C75">
        <w:rPr>
          <w:rFonts w:ascii="Times New Roman" w:eastAsia="CIDFont+F3" w:hAnsi="Times New Roman" w:cs="Times New Roman"/>
        </w:rPr>
        <w:t xml:space="preserve"> </w:t>
      </w:r>
      <w:r w:rsidR="00E62C75">
        <w:rPr>
          <w:rFonts w:ascii="Times New Roman" w:eastAsia="CIDFont+F3" w:hAnsi="Times New Roman" w:cs="Times New Roman"/>
        </w:rPr>
        <w:t>c</w:t>
      </w:r>
      <w:r w:rsidR="00E62C75" w:rsidRPr="00E62C75">
        <w:rPr>
          <w:rFonts w:ascii="Times New Roman" w:eastAsia="CIDFont+F3" w:hAnsi="Times New Roman" w:cs="Times New Roman"/>
        </w:rPr>
        <w:t>urriculum</w:t>
      </w:r>
      <w:r w:rsidR="00E62C75">
        <w:rPr>
          <w:rFonts w:ascii="Times New Roman" w:eastAsia="CIDFont+F3" w:hAnsi="Times New Roman" w:cs="Times New Roman"/>
        </w:rPr>
        <w:t xml:space="preserve"> in </w:t>
      </w:r>
      <w:proofErr w:type="gramStart"/>
      <w:r w:rsidR="00E62C75">
        <w:rPr>
          <w:rFonts w:ascii="Times New Roman" w:eastAsia="CIDFont+F3" w:hAnsi="Times New Roman" w:cs="Times New Roman"/>
        </w:rPr>
        <w:t>schools</w:t>
      </w:r>
      <w:proofErr w:type="gramEnd"/>
      <w:r w:rsidR="00E62C75" w:rsidRPr="00E62C75">
        <w:rPr>
          <w:rFonts w:ascii="Times New Roman" w:eastAsia="CIDFont+F3" w:hAnsi="Times New Roman" w:cs="Times New Roman"/>
        </w:rPr>
        <w:t xml:space="preserve"> and making the program part of the formal education system</w:t>
      </w:r>
    </w:p>
    <w:p w14:paraId="34E67221" w14:textId="3D4F10C3" w:rsidR="00652E3B" w:rsidRDefault="00075087" w:rsidP="00C3110D">
      <w:pPr>
        <w:jc w:val="both"/>
        <w:rPr>
          <w:rFonts w:ascii="Times New Roman" w:hAnsi="Times New Roman" w:cs="Times New Roman"/>
        </w:rPr>
      </w:pPr>
      <w:r>
        <w:rPr>
          <w:rFonts w:ascii="Times New Roman" w:hAnsi="Times New Roman" w:cs="Times New Roman"/>
          <w:b/>
          <w:bCs/>
        </w:rPr>
        <w:t>66</w:t>
      </w:r>
      <w:r w:rsidR="00FC1B58">
        <w:rPr>
          <w:rFonts w:ascii="Times New Roman" w:hAnsi="Times New Roman" w:cs="Times New Roman"/>
          <w:b/>
          <w:bCs/>
        </w:rPr>
        <w:t xml:space="preserve">. </w:t>
      </w:r>
      <w:r w:rsidR="00C3110D" w:rsidRPr="00C3110D">
        <w:rPr>
          <w:rFonts w:ascii="Times New Roman" w:hAnsi="Times New Roman" w:cs="Times New Roman"/>
          <w:b/>
          <w:bCs/>
        </w:rPr>
        <w:t xml:space="preserve">With limited data available, it is obvious that Cabo Verde has still much to catch up on digital skills development agenda to ensure higher adoption of digital services and produce ICT workforce. </w:t>
      </w:r>
      <w:r w:rsidR="00C3110D" w:rsidRPr="00C3110D">
        <w:rPr>
          <w:rFonts w:ascii="Times New Roman" w:hAnsi="Times New Roman" w:cs="Times New Roman"/>
        </w:rPr>
        <w:t>The percentage of tertiary graduates from Science, Technology, Engineering and Mathematics (STEM) programs in Cabo Verde was 16 percent in 2018.</w:t>
      </w:r>
      <w:r w:rsidR="00DF1A03">
        <w:rPr>
          <w:rFonts w:ascii="Times New Roman" w:hAnsi="Times New Roman" w:cs="Times New Roman"/>
        </w:rPr>
        <w:t xml:space="preserve"> </w:t>
      </w:r>
      <w:r w:rsidR="00C3110D" w:rsidRPr="00C3110D">
        <w:rPr>
          <w:rStyle w:val="FootnoteReference"/>
          <w:rFonts w:ascii="Times New Roman" w:hAnsi="Times New Roman" w:cs="Times New Roman"/>
        </w:rPr>
        <w:footnoteReference w:id="30"/>
      </w:r>
      <w:r w:rsidR="00C3110D" w:rsidRPr="00C3110D">
        <w:rPr>
          <w:rFonts w:ascii="Times New Roman" w:hAnsi="Times New Roman" w:cs="Times New Roman"/>
        </w:rPr>
        <w:t xml:space="preserve"> This is below the global average of the share of STEM graduates – 23 percent in 2018 and 26 percent in 2020;</w:t>
      </w:r>
      <w:r w:rsidR="00DF1A03">
        <w:rPr>
          <w:rFonts w:ascii="Times New Roman" w:hAnsi="Times New Roman" w:cs="Times New Roman"/>
        </w:rPr>
        <w:t xml:space="preserve"> </w:t>
      </w:r>
      <w:r w:rsidR="00C3110D" w:rsidRPr="00C3110D">
        <w:rPr>
          <w:rStyle w:val="FootnoteReference"/>
          <w:rFonts w:ascii="Times New Roman" w:hAnsi="Times New Roman" w:cs="Times New Roman"/>
        </w:rPr>
        <w:footnoteReference w:id="31"/>
      </w:r>
      <w:r w:rsidR="00C3110D" w:rsidRPr="00C3110D">
        <w:rPr>
          <w:rFonts w:ascii="Times New Roman" w:hAnsi="Times New Roman" w:cs="Times New Roman"/>
        </w:rPr>
        <w:t xml:space="preserve"> and far behind countries with developed industries and ICT outsourcing markets, such as Malaysia (39 percent, 2019), Iran (39 percent, 2020), Germany (37 percent, 2019), Belarus (36 percent, 2020), Singapore (35 percent, 2019), India (34 percent, 2020) and others. </w:t>
      </w:r>
      <w:proofErr w:type="gramStart"/>
      <w:r w:rsidR="00C3110D" w:rsidRPr="00C3110D">
        <w:rPr>
          <w:rFonts w:ascii="Times New Roman" w:hAnsi="Times New Roman" w:cs="Times New Roman"/>
        </w:rPr>
        <w:t>By the use of</w:t>
      </w:r>
      <w:proofErr w:type="gramEnd"/>
      <w:r w:rsidR="00C3110D" w:rsidRPr="00C3110D">
        <w:rPr>
          <w:rFonts w:ascii="Times New Roman" w:hAnsi="Times New Roman" w:cs="Times New Roman"/>
        </w:rPr>
        <w:t xml:space="preserve"> ICT for everyday activities, Cabo Verdeans were comparable to global average users as of 2015. Approximately 40 percent of population reported to be able to copy files, use copy and paste tools and transfer files between devices (Table </w:t>
      </w:r>
      <w:r w:rsidR="009C7393">
        <w:rPr>
          <w:rFonts w:ascii="Times New Roman" w:hAnsi="Times New Roman" w:cs="Times New Roman"/>
        </w:rPr>
        <w:t>7</w:t>
      </w:r>
      <w:r w:rsidR="00C3110D" w:rsidRPr="00C3110D">
        <w:rPr>
          <w:rFonts w:ascii="Times New Roman" w:hAnsi="Times New Roman" w:cs="Times New Roman"/>
        </w:rPr>
        <w:t>). The use of ICT for other activities was much lower.</w:t>
      </w:r>
    </w:p>
    <w:p w14:paraId="4A57EEA7" w14:textId="5CB54CA2" w:rsidR="00EA50F1" w:rsidRPr="00A27DC3" w:rsidRDefault="00652E3B" w:rsidP="00B87C41">
      <w:pPr>
        <w:pStyle w:val="Caption"/>
        <w:jc w:val="center"/>
        <w:rPr>
          <w:rFonts w:ascii="Times New Roman" w:eastAsia="Times New Roman" w:hAnsi="Times New Roman" w:cs="Times New Roman"/>
          <w:b/>
          <w:bCs/>
          <w:i w:val="0"/>
          <w:iCs w:val="0"/>
          <w:color w:val="2F5496" w:themeColor="accent1" w:themeShade="BF"/>
          <w:sz w:val="20"/>
          <w:szCs w:val="20"/>
        </w:rPr>
      </w:pPr>
      <w:bookmarkStart w:id="104" w:name="_Toc105592175"/>
      <w:r w:rsidRPr="00B87C41">
        <w:rPr>
          <w:rFonts w:ascii="Times New Roman" w:hAnsi="Times New Roman" w:cs="Times New Roman"/>
          <w:b/>
          <w:bCs/>
          <w:i w:val="0"/>
          <w:iCs w:val="0"/>
          <w:color w:val="2F5496" w:themeColor="accent1" w:themeShade="BF"/>
          <w:sz w:val="20"/>
          <w:szCs w:val="20"/>
        </w:rPr>
        <w:t xml:space="preserve">Table </w:t>
      </w:r>
      <w:r w:rsidRPr="00B87C41">
        <w:rPr>
          <w:rFonts w:ascii="Times New Roman" w:hAnsi="Times New Roman" w:cs="Times New Roman"/>
          <w:b/>
          <w:bCs/>
          <w:i w:val="0"/>
          <w:iCs w:val="0"/>
          <w:color w:val="2F5496" w:themeColor="accent1" w:themeShade="BF"/>
          <w:sz w:val="20"/>
          <w:szCs w:val="20"/>
        </w:rPr>
        <w:fldChar w:fldCharType="begin"/>
      </w:r>
      <w:r w:rsidRPr="00B87C41">
        <w:rPr>
          <w:rFonts w:ascii="Times New Roman" w:hAnsi="Times New Roman" w:cs="Times New Roman"/>
          <w:b/>
          <w:bCs/>
          <w:i w:val="0"/>
          <w:iCs w:val="0"/>
          <w:color w:val="2F5496" w:themeColor="accent1" w:themeShade="BF"/>
          <w:sz w:val="20"/>
          <w:szCs w:val="20"/>
        </w:rPr>
        <w:instrText xml:space="preserve"> SEQ Table \* ARABIC </w:instrText>
      </w:r>
      <w:r w:rsidRPr="00B87C41">
        <w:rPr>
          <w:rFonts w:ascii="Times New Roman" w:hAnsi="Times New Roman" w:cs="Times New Roman"/>
          <w:b/>
          <w:bCs/>
          <w:i w:val="0"/>
          <w:iCs w:val="0"/>
          <w:color w:val="2F5496" w:themeColor="accent1" w:themeShade="BF"/>
          <w:sz w:val="20"/>
          <w:szCs w:val="20"/>
        </w:rPr>
        <w:fldChar w:fldCharType="separate"/>
      </w:r>
      <w:r w:rsidR="0033433C">
        <w:rPr>
          <w:rFonts w:ascii="Times New Roman" w:hAnsi="Times New Roman" w:cs="Times New Roman"/>
          <w:b/>
          <w:bCs/>
          <w:i w:val="0"/>
          <w:iCs w:val="0"/>
          <w:noProof/>
          <w:color w:val="2F5496" w:themeColor="accent1" w:themeShade="BF"/>
          <w:sz w:val="20"/>
          <w:szCs w:val="20"/>
        </w:rPr>
        <w:t>6</w:t>
      </w:r>
      <w:r w:rsidRPr="00B87C41">
        <w:rPr>
          <w:rFonts w:ascii="Times New Roman" w:hAnsi="Times New Roman" w:cs="Times New Roman"/>
          <w:b/>
          <w:bCs/>
          <w:i w:val="0"/>
          <w:iCs w:val="0"/>
          <w:color w:val="2F5496" w:themeColor="accent1" w:themeShade="BF"/>
          <w:sz w:val="20"/>
          <w:szCs w:val="20"/>
        </w:rPr>
        <w:fldChar w:fldCharType="end"/>
      </w:r>
      <w:r w:rsidRPr="00B87C41">
        <w:rPr>
          <w:rFonts w:ascii="Times New Roman" w:hAnsi="Times New Roman" w:cs="Times New Roman"/>
          <w:b/>
          <w:bCs/>
          <w:i w:val="0"/>
          <w:iCs w:val="0"/>
          <w:color w:val="2F5496" w:themeColor="accent1" w:themeShade="BF"/>
          <w:sz w:val="20"/>
          <w:szCs w:val="20"/>
        </w:rPr>
        <w:t>: Use of ICT by individuals, % among surveyed, 2015</w:t>
      </w:r>
      <w:bookmarkEnd w:id="104"/>
      <w:r>
        <w:t xml:space="preserve"> </w:t>
      </w:r>
    </w:p>
    <w:p w14:paraId="43D43026" w14:textId="396042D9" w:rsidR="0065289B" w:rsidRPr="004F7914" w:rsidRDefault="0065289B" w:rsidP="0065289B">
      <w:pPr>
        <w:autoSpaceDE w:val="0"/>
        <w:autoSpaceDN w:val="0"/>
        <w:adjustRightInd w:val="0"/>
        <w:spacing w:after="0" w:line="240" w:lineRule="auto"/>
        <w:rPr>
          <w:rFonts w:ascii="Times New Roman" w:hAnsi="Times New Roman" w:cs="Times New Roman"/>
          <w:b/>
          <w:bCs/>
          <w:sz w:val="18"/>
          <w:szCs w:val="18"/>
        </w:rPr>
      </w:pPr>
    </w:p>
    <w:tbl>
      <w:tblPr>
        <w:tblStyle w:val="GridTable4-Accent3"/>
        <w:tblW w:w="9350" w:type="dxa"/>
        <w:tblLook w:val="04A0" w:firstRow="1" w:lastRow="0" w:firstColumn="1" w:lastColumn="0" w:noHBand="0" w:noVBand="1"/>
      </w:tblPr>
      <w:tblGrid>
        <w:gridCol w:w="7346"/>
        <w:gridCol w:w="973"/>
        <w:gridCol w:w="1031"/>
      </w:tblGrid>
      <w:tr w:rsidR="0065289B" w:rsidRPr="00986110" w14:paraId="335A6AEE" w14:textId="77777777" w:rsidTr="003C517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3E47E8D6" w14:textId="77777777" w:rsidR="0065289B" w:rsidRPr="00986110" w:rsidRDefault="0065289B" w:rsidP="00E73756">
            <w:pPr>
              <w:rPr>
                <w:rFonts w:ascii="Arial" w:eastAsia="Times New Roman" w:hAnsi="Arial" w:cs="Arial"/>
                <w:sz w:val="18"/>
                <w:szCs w:val="18"/>
              </w:rPr>
            </w:pPr>
            <w:r w:rsidRPr="00986110">
              <w:rPr>
                <w:rFonts w:ascii="Arial" w:eastAsia="Times New Roman" w:hAnsi="Arial" w:cs="Arial"/>
                <w:sz w:val="18"/>
                <w:szCs w:val="18"/>
              </w:rPr>
              <w:t xml:space="preserve">Proportion of youth and adults who: </w:t>
            </w:r>
          </w:p>
        </w:tc>
        <w:tc>
          <w:tcPr>
            <w:tcW w:w="973" w:type="dxa"/>
            <w:noWrap/>
            <w:hideMark/>
          </w:tcPr>
          <w:p w14:paraId="67BC3B12" w14:textId="77777777" w:rsidR="0065289B" w:rsidRPr="00986110" w:rsidRDefault="0065289B" w:rsidP="00E7375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86110">
              <w:rPr>
                <w:rFonts w:ascii="Arial" w:eastAsia="Times New Roman" w:hAnsi="Arial" w:cs="Arial"/>
                <w:sz w:val="18"/>
                <w:szCs w:val="18"/>
              </w:rPr>
              <w:t>Cabo Verde</w:t>
            </w:r>
          </w:p>
        </w:tc>
        <w:tc>
          <w:tcPr>
            <w:tcW w:w="1031" w:type="dxa"/>
            <w:noWrap/>
            <w:hideMark/>
          </w:tcPr>
          <w:p w14:paraId="3B331FDE" w14:textId="77777777" w:rsidR="0065289B" w:rsidRPr="00986110" w:rsidRDefault="0065289B" w:rsidP="00E7375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986110">
              <w:rPr>
                <w:rFonts w:ascii="Arial" w:eastAsia="Times New Roman" w:hAnsi="Arial" w:cs="Arial"/>
                <w:sz w:val="18"/>
                <w:szCs w:val="18"/>
              </w:rPr>
              <w:t>Global average</w:t>
            </w:r>
            <w:r>
              <w:rPr>
                <w:rStyle w:val="FootnoteReference"/>
                <w:rFonts w:ascii="Arial" w:eastAsia="Times New Roman" w:hAnsi="Arial" w:cs="Arial"/>
                <w:sz w:val="18"/>
                <w:szCs w:val="18"/>
              </w:rPr>
              <w:footnoteReference w:id="32"/>
            </w:r>
          </w:p>
        </w:tc>
      </w:tr>
      <w:tr w:rsidR="0065289B" w:rsidRPr="00986110" w14:paraId="53A1313E" w14:textId="77777777" w:rsidTr="003C517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2EC4F9CA"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copied or moved a file or folder</w:t>
            </w:r>
          </w:p>
        </w:tc>
        <w:tc>
          <w:tcPr>
            <w:tcW w:w="973" w:type="dxa"/>
            <w:noWrap/>
            <w:hideMark/>
          </w:tcPr>
          <w:p w14:paraId="55AF7F3E"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41.5</w:t>
            </w:r>
          </w:p>
        </w:tc>
        <w:tc>
          <w:tcPr>
            <w:tcW w:w="1031" w:type="dxa"/>
            <w:noWrap/>
            <w:hideMark/>
          </w:tcPr>
          <w:p w14:paraId="48B14497"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50.8</w:t>
            </w:r>
          </w:p>
        </w:tc>
      </w:tr>
      <w:tr w:rsidR="0065289B" w:rsidRPr="00986110" w14:paraId="0151A6B8" w14:textId="77777777" w:rsidTr="003C5174">
        <w:trPr>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69EAEFF0"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connected and installed new devices</w:t>
            </w:r>
          </w:p>
        </w:tc>
        <w:tc>
          <w:tcPr>
            <w:tcW w:w="973" w:type="dxa"/>
            <w:noWrap/>
            <w:hideMark/>
          </w:tcPr>
          <w:p w14:paraId="7503B0E9"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19.2</w:t>
            </w:r>
          </w:p>
        </w:tc>
        <w:tc>
          <w:tcPr>
            <w:tcW w:w="1031" w:type="dxa"/>
            <w:noWrap/>
            <w:hideMark/>
          </w:tcPr>
          <w:p w14:paraId="29A6DBF9"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19.8</w:t>
            </w:r>
          </w:p>
        </w:tc>
      </w:tr>
      <w:tr w:rsidR="0065289B" w:rsidRPr="00986110" w14:paraId="1B02C263" w14:textId="77777777" w:rsidTr="003C517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34758A5B"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created electronic presentations with presentation software</w:t>
            </w:r>
          </w:p>
        </w:tc>
        <w:tc>
          <w:tcPr>
            <w:tcW w:w="973" w:type="dxa"/>
            <w:noWrap/>
            <w:hideMark/>
          </w:tcPr>
          <w:p w14:paraId="1C4990AA"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19.6</w:t>
            </w:r>
          </w:p>
        </w:tc>
        <w:tc>
          <w:tcPr>
            <w:tcW w:w="1031" w:type="dxa"/>
            <w:noWrap/>
            <w:hideMark/>
          </w:tcPr>
          <w:p w14:paraId="4D3F934D"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26.2</w:t>
            </w:r>
          </w:p>
        </w:tc>
      </w:tr>
      <w:tr w:rsidR="0065289B" w:rsidRPr="00986110" w14:paraId="672D1599" w14:textId="77777777" w:rsidTr="003C5174">
        <w:trPr>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53E7FDD2"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used copy and paste tools to duplicate or move information within a document</w:t>
            </w:r>
          </w:p>
        </w:tc>
        <w:tc>
          <w:tcPr>
            <w:tcW w:w="973" w:type="dxa"/>
            <w:noWrap/>
            <w:hideMark/>
          </w:tcPr>
          <w:p w14:paraId="0601416D"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38.5</w:t>
            </w:r>
          </w:p>
        </w:tc>
        <w:tc>
          <w:tcPr>
            <w:tcW w:w="1031" w:type="dxa"/>
            <w:noWrap/>
            <w:hideMark/>
          </w:tcPr>
          <w:p w14:paraId="7937A7CB"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45.6</w:t>
            </w:r>
          </w:p>
        </w:tc>
      </w:tr>
      <w:tr w:rsidR="0065289B" w:rsidRPr="00986110" w14:paraId="2C3CFBA6" w14:textId="77777777" w:rsidTr="003C517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47A27C5A"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sent e-mails with attached files (</w:t>
            </w:r>
            <w:proofErr w:type="gramStart"/>
            <w:r w:rsidRPr="2564B900">
              <w:rPr>
                <w:rFonts w:ascii="Arial" w:eastAsia="Times New Roman" w:hAnsi="Arial" w:cs="Arial"/>
                <w:b w:val="0"/>
                <w:color w:val="000000" w:themeColor="text1"/>
                <w:sz w:val="18"/>
                <w:szCs w:val="18"/>
              </w:rPr>
              <w:t>e.g.</w:t>
            </w:r>
            <w:proofErr w:type="gramEnd"/>
            <w:r w:rsidRPr="2564B900">
              <w:rPr>
                <w:rFonts w:ascii="Arial" w:eastAsia="Times New Roman" w:hAnsi="Arial" w:cs="Arial"/>
                <w:b w:val="0"/>
                <w:color w:val="000000" w:themeColor="text1"/>
                <w:sz w:val="18"/>
                <w:szCs w:val="18"/>
              </w:rPr>
              <w:t xml:space="preserve"> document, picture, video)</w:t>
            </w:r>
          </w:p>
        </w:tc>
        <w:tc>
          <w:tcPr>
            <w:tcW w:w="973" w:type="dxa"/>
            <w:noWrap/>
            <w:hideMark/>
          </w:tcPr>
          <w:p w14:paraId="3F896682"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31" w:type="dxa"/>
            <w:noWrap/>
            <w:hideMark/>
          </w:tcPr>
          <w:p w14:paraId="152E4C97"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41.3</w:t>
            </w:r>
          </w:p>
        </w:tc>
      </w:tr>
      <w:tr w:rsidR="0065289B" w:rsidRPr="00986110" w14:paraId="58C5BFCF" w14:textId="77777777" w:rsidTr="003C5174">
        <w:trPr>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3A8ECB06"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used basic arithmetic formulae in a spreadsheet</w:t>
            </w:r>
          </w:p>
        </w:tc>
        <w:tc>
          <w:tcPr>
            <w:tcW w:w="973" w:type="dxa"/>
            <w:noWrap/>
            <w:hideMark/>
          </w:tcPr>
          <w:p w14:paraId="130F761B"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22.5</w:t>
            </w:r>
          </w:p>
        </w:tc>
        <w:tc>
          <w:tcPr>
            <w:tcW w:w="1031" w:type="dxa"/>
            <w:noWrap/>
            <w:hideMark/>
          </w:tcPr>
          <w:p w14:paraId="5332A3E1"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31.2</w:t>
            </w:r>
          </w:p>
        </w:tc>
      </w:tr>
      <w:tr w:rsidR="0065289B" w:rsidRPr="00986110" w14:paraId="627E2D5A" w14:textId="77777777" w:rsidTr="003C517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355C5692"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 xml:space="preserve">have found, downloaded, </w:t>
            </w:r>
            <w:proofErr w:type="gramStart"/>
            <w:r w:rsidRPr="2564B900">
              <w:rPr>
                <w:rFonts w:ascii="Arial" w:eastAsia="Times New Roman" w:hAnsi="Arial" w:cs="Arial"/>
                <w:b w:val="0"/>
                <w:color w:val="000000" w:themeColor="text1"/>
                <w:sz w:val="18"/>
                <w:szCs w:val="18"/>
              </w:rPr>
              <w:t>installed</w:t>
            </w:r>
            <w:proofErr w:type="gramEnd"/>
            <w:r w:rsidRPr="2564B900">
              <w:rPr>
                <w:rFonts w:ascii="Arial" w:eastAsia="Times New Roman" w:hAnsi="Arial" w:cs="Arial"/>
                <w:b w:val="0"/>
                <w:color w:val="000000" w:themeColor="text1"/>
                <w:sz w:val="18"/>
                <w:szCs w:val="18"/>
              </w:rPr>
              <w:t xml:space="preserve"> and configured software</w:t>
            </w:r>
          </w:p>
        </w:tc>
        <w:tc>
          <w:tcPr>
            <w:tcW w:w="973" w:type="dxa"/>
            <w:noWrap/>
            <w:hideMark/>
          </w:tcPr>
          <w:p w14:paraId="3271E7DF"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p>
        </w:tc>
        <w:tc>
          <w:tcPr>
            <w:tcW w:w="1031" w:type="dxa"/>
            <w:noWrap/>
            <w:hideMark/>
          </w:tcPr>
          <w:p w14:paraId="56D91EC4"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33.3</w:t>
            </w:r>
          </w:p>
        </w:tc>
      </w:tr>
      <w:tr w:rsidR="0065289B" w:rsidRPr="00986110" w14:paraId="28A9C33C" w14:textId="77777777" w:rsidTr="003C5174">
        <w:trPr>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1D9EC1F8"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transferred files between a computer and other devices</w:t>
            </w:r>
          </w:p>
        </w:tc>
        <w:tc>
          <w:tcPr>
            <w:tcW w:w="973" w:type="dxa"/>
            <w:noWrap/>
            <w:hideMark/>
          </w:tcPr>
          <w:p w14:paraId="6E840CA0"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36.7</w:t>
            </w:r>
          </w:p>
        </w:tc>
        <w:tc>
          <w:tcPr>
            <w:tcW w:w="1031" w:type="dxa"/>
            <w:noWrap/>
            <w:hideMark/>
          </w:tcPr>
          <w:p w14:paraId="5AE5458B" w14:textId="77777777" w:rsidR="0065289B" w:rsidRPr="00986110" w:rsidRDefault="0065289B" w:rsidP="00E73756">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44.0</w:t>
            </w:r>
          </w:p>
        </w:tc>
      </w:tr>
      <w:tr w:rsidR="0065289B" w:rsidRPr="00986110" w14:paraId="1D50DD19" w14:textId="77777777" w:rsidTr="003C517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346" w:type="dxa"/>
            <w:noWrap/>
            <w:hideMark/>
          </w:tcPr>
          <w:p w14:paraId="13B39131" w14:textId="77777777" w:rsidR="0065289B" w:rsidRPr="00986110" w:rsidRDefault="0065289B" w:rsidP="00E73756">
            <w:pPr>
              <w:jc w:val="right"/>
              <w:rPr>
                <w:rFonts w:ascii="Arial" w:eastAsia="Times New Roman" w:hAnsi="Arial" w:cs="Arial"/>
                <w:b w:val="0"/>
                <w:bCs w:val="0"/>
                <w:color w:val="000000"/>
                <w:sz w:val="18"/>
                <w:szCs w:val="18"/>
              </w:rPr>
            </w:pPr>
            <w:r w:rsidRPr="2564B900">
              <w:rPr>
                <w:rFonts w:ascii="Arial" w:eastAsia="Times New Roman" w:hAnsi="Arial" w:cs="Arial"/>
                <w:b w:val="0"/>
                <w:color w:val="000000" w:themeColor="text1"/>
                <w:sz w:val="18"/>
                <w:szCs w:val="18"/>
              </w:rPr>
              <w:t>have wrote a computer program using a specialized programming language</w:t>
            </w:r>
          </w:p>
        </w:tc>
        <w:tc>
          <w:tcPr>
            <w:tcW w:w="973" w:type="dxa"/>
            <w:noWrap/>
            <w:hideMark/>
          </w:tcPr>
          <w:p w14:paraId="6AD5C7B6" w14:textId="77777777" w:rsidR="0065289B" w:rsidRPr="00986110" w:rsidRDefault="0065289B" w:rsidP="00E737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5.3</w:t>
            </w:r>
          </w:p>
        </w:tc>
        <w:tc>
          <w:tcPr>
            <w:tcW w:w="1031" w:type="dxa"/>
            <w:noWrap/>
            <w:hideMark/>
          </w:tcPr>
          <w:p w14:paraId="265B72D3" w14:textId="77777777" w:rsidR="0065289B" w:rsidRPr="00986110" w:rsidRDefault="0065289B" w:rsidP="004B1FD5">
            <w:pPr>
              <w:keepNext/>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2564B900">
              <w:rPr>
                <w:rFonts w:ascii="Arial" w:eastAsia="Times New Roman" w:hAnsi="Arial" w:cs="Arial"/>
                <w:color w:val="000000" w:themeColor="text1"/>
                <w:sz w:val="18"/>
                <w:szCs w:val="18"/>
              </w:rPr>
              <w:t>5.0</w:t>
            </w:r>
          </w:p>
        </w:tc>
      </w:tr>
    </w:tbl>
    <w:p w14:paraId="179301A4" w14:textId="7AA14DDF" w:rsidR="003C5174" w:rsidRDefault="003C5174" w:rsidP="003C5174">
      <w:pPr>
        <w:autoSpaceDE w:val="0"/>
        <w:autoSpaceDN w:val="0"/>
        <w:adjustRightInd w:val="0"/>
        <w:spacing w:after="0" w:line="240" w:lineRule="auto"/>
        <w:rPr>
          <w:rFonts w:ascii="Times New Roman" w:hAnsi="Times New Roman" w:cs="Times New Roman"/>
          <w:sz w:val="18"/>
          <w:szCs w:val="18"/>
        </w:rPr>
      </w:pPr>
      <w:r w:rsidRPr="00A27DC3">
        <w:rPr>
          <w:rFonts w:ascii="Times New Roman" w:hAnsi="Times New Roman" w:cs="Times New Roman"/>
          <w:sz w:val="18"/>
          <w:szCs w:val="18"/>
        </w:rPr>
        <w:t xml:space="preserve">Source: UNESCO Institute </w:t>
      </w:r>
      <w:r w:rsidR="0087399E">
        <w:rPr>
          <w:rFonts w:ascii="Times New Roman" w:hAnsi="Times New Roman" w:cs="Times New Roman"/>
          <w:sz w:val="18"/>
          <w:szCs w:val="18"/>
        </w:rPr>
        <w:t>for</w:t>
      </w:r>
      <w:r w:rsidRPr="00A27DC3">
        <w:rPr>
          <w:rFonts w:ascii="Times New Roman" w:hAnsi="Times New Roman" w:cs="Times New Roman"/>
          <w:sz w:val="18"/>
          <w:szCs w:val="18"/>
        </w:rPr>
        <w:t xml:space="preserve"> Statistics</w:t>
      </w:r>
      <w:r w:rsidR="0087399E">
        <w:rPr>
          <w:rFonts w:ascii="Times New Roman" w:hAnsi="Times New Roman" w:cs="Times New Roman"/>
          <w:sz w:val="18"/>
          <w:szCs w:val="18"/>
        </w:rPr>
        <w:t xml:space="preserve"> (UIS)</w:t>
      </w:r>
    </w:p>
    <w:p w14:paraId="193552FC" w14:textId="77777777" w:rsidR="00D83B21" w:rsidRPr="00A27DC3" w:rsidRDefault="00D83B21" w:rsidP="003C5174">
      <w:pPr>
        <w:autoSpaceDE w:val="0"/>
        <w:autoSpaceDN w:val="0"/>
        <w:adjustRightInd w:val="0"/>
        <w:spacing w:after="0" w:line="240" w:lineRule="auto"/>
        <w:rPr>
          <w:rFonts w:ascii="Times New Roman" w:hAnsi="Times New Roman" w:cs="Times New Roman"/>
          <w:sz w:val="18"/>
          <w:szCs w:val="18"/>
        </w:rPr>
      </w:pPr>
    </w:p>
    <w:p w14:paraId="7DB2BD00" w14:textId="77777777" w:rsidR="003C5174" w:rsidRPr="00DE116F" w:rsidRDefault="003C5174" w:rsidP="003C5174">
      <w:pPr>
        <w:autoSpaceDE w:val="0"/>
        <w:autoSpaceDN w:val="0"/>
        <w:adjustRightInd w:val="0"/>
        <w:spacing w:after="0" w:line="240" w:lineRule="auto"/>
        <w:rPr>
          <w:rFonts w:ascii="Arial" w:hAnsi="Arial" w:cs="Arial"/>
          <w:i/>
          <w:iCs/>
          <w:sz w:val="16"/>
          <w:szCs w:val="16"/>
        </w:rPr>
      </w:pPr>
    </w:p>
    <w:p w14:paraId="43D5AB82" w14:textId="1D42D738" w:rsidR="00780434" w:rsidRPr="00780434" w:rsidRDefault="00075087" w:rsidP="00780434">
      <w:pPr>
        <w:tabs>
          <w:tab w:val="left" w:pos="2150"/>
        </w:tabs>
        <w:jc w:val="both"/>
        <w:rPr>
          <w:rFonts w:ascii="Times New Roman" w:hAnsi="Times New Roman" w:cs="Times New Roman"/>
          <w:b/>
          <w:bCs/>
        </w:rPr>
      </w:pPr>
      <w:r>
        <w:rPr>
          <w:rFonts w:ascii="Times New Roman" w:hAnsi="Times New Roman" w:cs="Times New Roman"/>
          <w:b/>
          <w:bCs/>
        </w:rPr>
        <w:t>6</w:t>
      </w:r>
      <w:r w:rsidR="00FC1B58">
        <w:rPr>
          <w:rFonts w:ascii="Times New Roman" w:hAnsi="Times New Roman" w:cs="Times New Roman"/>
          <w:b/>
          <w:bCs/>
        </w:rPr>
        <w:t xml:space="preserve">7. </w:t>
      </w:r>
      <w:r w:rsidR="00780434" w:rsidRPr="00780434">
        <w:rPr>
          <w:rFonts w:ascii="Times New Roman" w:hAnsi="Times New Roman" w:cs="Times New Roman"/>
          <w:b/>
          <w:bCs/>
        </w:rPr>
        <w:t xml:space="preserve">The adoption of technologies in the education process is still hampered by </w:t>
      </w:r>
      <w:r w:rsidR="00052618">
        <w:rPr>
          <w:rFonts w:ascii="Times New Roman" w:hAnsi="Times New Roman" w:cs="Times New Roman"/>
          <w:b/>
          <w:bCs/>
        </w:rPr>
        <w:t>the low availability of stable, high-speed</w:t>
      </w:r>
      <w:r w:rsidR="00052618" w:rsidRPr="00780434">
        <w:rPr>
          <w:rFonts w:ascii="Times New Roman" w:hAnsi="Times New Roman" w:cs="Times New Roman"/>
          <w:b/>
          <w:bCs/>
        </w:rPr>
        <w:t xml:space="preserve"> </w:t>
      </w:r>
      <w:r w:rsidR="00780434" w:rsidRPr="00780434">
        <w:rPr>
          <w:rFonts w:ascii="Times New Roman" w:hAnsi="Times New Roman" w:cs="Times New Roman"/>
          <w:b/>
          <w:bCs/>
        </w:rPr>
        <w:t xml:space="preserve">connectivity and lack of ICT skills among the teachers. </w:t>
      </w:r>
      <w:r w:rsidR="00780434" w:rsidRPr="00780434">
        <w:rPr>
          <w:rFonts w:ascii="Times New Roman" w:hAnsi="Times New Roman" w:cs="Times New Roman"/>
        </w:rPr>
        <w:t xml:space="preserve">Cabo Verde is quite advanced by internet access in schools, it is positioned 55th among 130 countries according to NRI. Currently all secondary schools are part of the government connectivity network and are provided internet services by </w:t>
      </w:r>
      <w:proofErr w:type="spellStart"/>
      <w:r w:rsidR="00780434" w:rsidRPr="00780434">
        <w:rPr>
          <w:rFonts w:ascii="Times New Roman" w:hAnsi="Times New Roman" w:cs="Times New Roman"/>
        </w:rPr>
        <w:t>NOSi</w:t>
      </w:r>
      <w:proofErr w:type="spellEnd"/>
      <w:r w:rsidR="00780434" w:rsidRPr="00780434">
        <w:rPr>
          <w:rFonts w:ascii="Times New Roman" w:hAnsi="Times New Roman" w:cs="Times New Roman"/>
        </w:rPr>
        <w:t xml:space="preserve">. However, the quality of connection varies significantly. To serve the growing demand for quality internet services for education the government intends to connect 441 elementary and secondary schools with fiber optic connection through an ongoing program.  </w:t>
      </w:r>
    </w:p>
    <w:p w14:paraId="77216E11" w14:textId="4E6FB438" w:rsidR="00780434" w:rsidRPr="00780434" w:rsidRDefault="00075087" w:rsidP="00780434">
      <w:pPr>
        <w:tabs>
          <w:tab w:val="left" w:pos="2150"/>
        </w:tabs>
        <w:spacing w:before="120" w:after="120"/>
        <w:jc w:val="both"/>
        <w:rPr>
          <w:rFonts w:ascii="Times New Roman" w:hAnsi="Times New Roman" w:cs="Times New Roman"/>
          <w:b/>
          <w:bCs/>
        </w:rPr>
      </w:pPr>
      <w:r>
        <w:rPr>
          <w:rFonts w:ascii="Times New Roman" w:hAnsi="Times New Roman" w:cs="Times New Roman"/>
          <w:b/>
          <w:bCs/>
        </w:rPr>
        <w:lastRenderedPageBreak/>
        <w:t>68</w:t>
      </w:r>
      <w:r w:rsidR="00FC1B58">
        <w:rPr>
          <w:rFonts w:ascii="Times New Roman" w:hAnsi="Times New Roman" w:cs="Times New Roman"/>
          <w:b/>
          <w:bCs/>
        </w:rPr>
        <w:t xml:space="preserve">. </w:t>
      </w:r>
      <w:r w:rsidR="00780434" w:rsidRPr="00780434">
        <w:rPr>
          <w:rFonts w:ascii="Times New Roman" w:hAnsi="Times New Roman" w:cs="Times New Roman"/>
          <w:b/>
          <w:bCs/>
        </w:rPr>
        <w:t>In pursuit of positioning Cabo Verde as an attractive destination for global ICT businesses, the Government has been investing substantial resources in t</w:t>
      </w:r>
      <w:r w:rsidR="00780434" w:rsidRPr="00780434">
        <w:rPr>
          <w:rFonts w:ascii="Times New Roman" w:hAnsi="Times New Roman" w:cs="Times New Roman"/>
          <w:b/>
          <w:bCs/>
          <w:lang w:val="hy-AM"/>
        </w:rPr>
        <w:t>հ</w:t>
      </w:r>
      <w:r w:rsidR="00780434" w:rsidRPr="00780434">
        <w:rPr>
          <w:rFonts w:ascii="Times New Roman" w:hAnsi="Times New Roman" w:cs="Times New Roman"/>
          <w:b/>
          <w:bCs/>
        </w:rPr>
        <w:t xml:space="preserve">e development of professional ICT skills. </w:t>
      </w:r>
      <w:proofErr w:type="spellStart"/>
      <w:r w:rsidR="00780434" w:rsidRPr="00780434">
        <w:rPr>
          <w:rFonts w:ascii="Times New Roman" w:hAnsi="Times New Roman" w:cs="Times New Roman"/>
        </w:rPr>
        <w:t>NOSiakademia</w:t>
      </w:r>
      <w:proofErr w:type="spellEnd"/>
      <w:r w:rsidR="00780434" w:rsidRPr="00780434">
        <w:rPr>
          <w:rFonts w:ascii="Times New Roman" w:hAnsi="Times New Roman" w:cs="Times New Roman"/>
        </w:rPr>
        <w:t xml:space="preserve"> is an initiative designed and subsidized by the government to close the existing gap between the demand (by the private sector) and supply (by higher educational institutions) of ICT workforce in Cabo Verde. The </w:t>
      </w:r>
      <w:proofErr w:type="spellStart"/>
      <w:r w:rsidR="00780434" w:rsidRPr="00780434">
        <w:rPr>
          <w:rFonts w:ascii="Times New Roman" w:hAnsi="Times New Roman" w:cs="Times New Roman"/>
        </w:rPr>
        <w:t>Outcode</w:t>
      </w:r>
      <w:proofErr w:type="spellEnd"/>
      <w:r w:rsidR="00780434" w:rsidRPr="00780434">
        <w:rPr>
          <w:rFonts w:ascii="Times New Roman" w:hAnsi="Times New Roman" w:cs="Times New Roman"/>
        </w:rPr>
        <w:t xml:space="preserve"> program of </w:t>
      </w:r>
      <w:proofErr w:type="spellStart"/>
      <w:r w:rsidR="00780434" w:rsidRPr="00780434">
        <w:rPr>
          <w:rFonts w:ascii="Times New Roman" w:hAnsi="Times New Roman" w:cs="Times New Roman"/>
        </w:rPr>
        <w:t>NOSiakademia</w:t>
      </w:r>
      <w:proofErr w:type="spellEnd"/>
      <w:r w:rsidR="00780434" w:rsidRPr="00780434">
        <w:rPr>
          <w:rFonts w:ascii="Times New Roman" w:hAnsi="Times New Roman" w:cs="Times New Roman"/>
        </w:rPr>
        <w:t xml:space="preserve"> provides an opportunity to the graduates of its programming track to intern and be mentored at </w:t>
      </w:r>
      <w:proofErr w:type="spellStart"/>
      <w:r w:rsidR="00780434" w:rsidRPr="00780434">
        <w:rPr>
          <w:rFonts w:ascii="Times New Roman" w:hAnsi="Times New Roman" w:cs="Times New Roman"/>
        </w:rPr>
        <w:t>NOSi</w:t>
      </w:r>
      <w:proofErr w:type="spellEnd"/>
      <w:r w:rsidR="00780434" w:rsidRPr="00780434">
        <w:rPr>
          <w:rFonts w:ascii="Times New Roman" w:hAnsi="Times New Roman" w:cs="Times New Roman"/>
        </w:rPr>
        <w:t xml:space="preserve">, and at the same time be involved in coding outsourcing for external clients of the program. </w:t>
      </w:r>
    </w:p>
    <w:p w14:paraId="58888C31" w14:textId="73C2A94B" w:rsidR="00780434" w:rsidRPr="00780434" w:rsidRDefault="007B6B78" w:rsidP="00780434">
      <w:pPr>
        <w:tabs>
          <w:tab w:val="left" w:pos="2150"/>
        </w:tabs>
        <w:spacing w:before="120" w:after="120"/>
        <w:jc w:val="both"/>
        <w:rPr>
          <w:rFonts w:ascii="Times New Roman" w:hAnsi="Times New Roman" w:cs="Times New Roman"/>
          <w:b/>
          <w:bCs/>
        </w:rPr>
      </w:pPr>
      <w:r>
        <w:rPr>
          <w:rFonts w:ascii="Times New Roman" w:hAnsi="Times New Roman" w:cs="Times New Roman"/>
          <w:b/>
          <w:bCs/>
        </w:rPr>
        <w:t>69</w:t>
      </w:r>
      <w:r w:rsidR="00FC1B58">
        <w:rPr>
          <w:rFonts w:ascii="Times New Roman" w:hAnsi="Times New Roman" w:cs="Times New Roman"/>
          <w:b/>
          <w:bCs/>
        </w:rPr>
        <w:t xml:space="preserve">. </w:t>
      </w:r>
      <w:r w:rsidR="00780434" w:rsidRPr="00780434">
        <w:rPr>
          <w:rFonts w:ascii="Times New Roman" w:hAnsi="Times New Roman" w:cs="Times New Roman"/>
          <w:b/>
          <w:bCs/>
        </w:rPr>
        <w:t xml:space="preserve">Other scattered and non-systemic trainings and short-term courses are conducted through international platforms, such as Microsoft academy, Oracle academy, Google academy, Amazon academy and else. </w:t>
      </w:r>
      <w:r w:rsidR="00780434" w:rsidRPr="00780434">
        <w:rPr>
          <w:rFonts w:ascii="Times New Roman" w:hAnsi="Times New Roman" w:cs="Times New Roman"/>
        </w:rPr>
        <w:t>A major awaited development is the launch of “01 Founders” international coding school in Cabo Verde. The format envisages training students in engineering, programming and other ICT related disciplines and placing the graduates in private companies. The school will be a joint initiative of the UK-based “01 Founders” and the government of Cabo Verde, which will provide a land and 18-months of remuneration for the students as its contribution in the project. The school will be based in Cabo Verde Technology Park. It plans to recruit 120 students per each batch, including participants from other African countries.</w:t>
      </w:r>
    </w:p>
    <w:p w14:paraId="6954F0A8" w14:textId="0DE59B69" w:rsidR="00D83B21" w:rsidRDefault="00FC1B58" w:rsidP="00780434">
      <w:pPr>
        <w:jc w:val="both"/>
        <w:rPr>
          <w:rFonts w:ascii="Times New Roman" w:hAnsi="Times New Roman" w:cs="Times New Roman"/>
        </w:rPr>
      </w:pPr>
      <w:r>
        <w:rPr>
          <w:rFonts w:ascii="Times New Roman" w:hAnsi="Times New Roman" w:cs="Times New Roman"/>
          <w:b/>
          <w:bCs/>
        </w:rPr>
        <w:t>7</w:t>
      </w:r>
      <w:r w:rsidR="007B6B78">
        <w:rPr>
          <w:rFonts w:ascii="Times New Roman" w:hAnsi="Times New Roman" w:cs="Times New Roman"/>
          <w:b/>
          <w:bCs/>
        </w:rPr>
        <w:t>0</w:t>
      </w:r>
      <w:r>
        <w:rPr>
          <w:rFonts w:ascii="Times New Roman" w:hAnsi="Times New Roman" w:cs="Times New Roman"/>
          <w:b/>
          <w:bCs/>
        </w:rPr>
        <w:t xml:space="preserve">. </w:t>
      </w:r>
      <w:r w:rsidR="00ED08ED">
        <w:rPr>
          <w:rFonts w:ascii="Times New Roman" w:hAnsi="Times New Roman" w:cs="Times New Roman"/>
          <w:b/>
          <w:bCs/>
        </w:rPr>
        <w:t xml:space="preserve">Both demand-side and supply-side constraints are observed in </w:t>
      </w:r>
      <w:r w:rsidR="00F8789D">
        <w:rPr>
          <w:rFonts w:ascii="Times New Roman" w:hAnsi="Times New Roman" w:cs="Times New Roman"/>
          <w:b/>
          <w:bCs/>
        </w:rPr>
        <w:t xml:space="preserve">the </w:t>
      </w:r>
      <w:r w:rsidR="00ED08ED">
        <w:rPr>
          <w:rFonts w:ascii="Times New Roman" w:hAnsi="Times New Roman" w:cs="Times New Roman"/>
          <w:b/>
          <w:bCs/>
        </w:rPr>
        <w:t>ICT labor market.</w:t>
      </w:r>
      <w:r w:rsidR="00780434" w:rsidRPr="00780434">
        <w:rPr>
          <w:rFonts w:ascii="Times New Roman" w:hAnsi="Times New Roman" w:cs="Times New Roman"/>
          <w:b/>
          <w:bCs/>
        </w:rPr>
        <w:t xml:space="preserve"> </w:t>
      </w:r>
      <w:r w:rsidR="00DD35C6">
        <w:rPr>
          <w:rFonts w:ascii="Times New Roman" w:hAnsi="Times New Roman" w:cs="Times New Roman"/>
        </w:rPr>
        <w:t xml:space="preserve">As the biggest ICT services company in Cabo Verde, </w:t>
      </w:r>
      <w:proofErr w:type="spellStart"/>
      <w:r w:rsidR="00780434" w:rsidRPr="00780434">
        <w:rPr>
          <w:rFonts w:ascii="Times New Roman" w:hAnsi="Times New Roman" w:cs="Times New Roman"/>
        </w:rPr>
        <w:t>NOSi</w:t>
      </w:r>
      <w:proofErr w:type="spellEnd"/>
      <w:r w:rsidR="00DD35C6">
        <w:rPr>
          <w:rFonts w:ascii="Times New Roman" w:hAnsi="Times New Roman" w:cs="Times New Roman"/>
        </w:rPr>
        <w:t xml:space="preserve"> provides competitive remuneration and </w:t>
      </w:r>
      <w:r w:rsidR="00DD35C6" w:rsidRPr="00780434">
        <w:rPr>
          <w:rFonts w:ascii="Times New Roman" w:hAnsi="Times New Roman" w:cs="Times New Roman"/>
        </w:rPr>
        <w:t>“consumes” most of local ICT professionals</w:t>
      </w:r>
      <w:r w:rsidR="00780434" w:rsidRPr="00780434">
        <w:rPr>
          <w:rFonts w:ascii="Times New Roman" w:hAnsi="Times New Roman" w:cs="Times New Roman"/>
        </w:rPr>
        <w:t xml:space="preserve">. </w:t>
      </w:r>
      <w:r w:rsidR="00DD35C6">
        <w:rPr>
          <w:rFonts w:ascii="Times New Roman" w:hAnsi="Times New Roman" w:cs="Times New Roman"/>
        </w:rPr>
        <w:t>T</w:t>
      </w:r>
      <w:r w:rsidR="00780434" w:rsidRPr="00780434">
        <w:rPr>
          <w:rFonts w:ascii="Times New Roman" w:hAnsi="Times New Roman" w:cs="Times New Roman"/>
        </w:rPr>
        <w:t xml:space="preserve">echnology professionals strive for jobs in the government which provides safe and long-term employment terms. </w:t>
      </w:r>
      <w:r w:rsidR="00DD35C6">
        <w:rPr>
          <w:rFonts w:ascii="Times New Roman" w:hAnsi="Times New Roman" w:cs="Times New Roman"/>
        </w:rPr>
        <w:t>T</w:t>
      </w:r>
      <w:r w:rsidR="00780434" w:rsidRPr="00780434">
        <w:rPr>
          <w:rFonts w:ascii="Times New Roman" w:hAnsi="Times New Roman" w:cs="Times New Roman"/>
        </w:rPr>
        <w:t>he underdeveloped entrepreneurship ecosystem does not cultivate adequate number of startups which can create jobs and hire local ICT specialists. Dedicated policies are needed to promote the local industry of ICT services by creating demand for ICT solutions internally and by positioning Cabo Verde as an outsourcing destination</w:t>
      </w:r>
      <w:r w:rsidR="00780434">
        <w:rPr>
          <w:rFonts w:ascii="Times New Roman" w:hAnsi="Times New Roman" w:cs="Times New Roman"/>
        </w:rPr>
        <w:t>.</w:t>
      </w:r>
    </w:p>
    <w:p w14:paraId="30DD0C32" w14:textId="77777777" w:rsidR="00EA473E" w:rsidRDefault="00EA473E" w:rsidP="00780434">
      <w:pPr>
        <w:jc w:val="both"/>
        <w:rPr>
          <w:rFonts w:ascii="Times New Roman" w:hAnsi="Times New Roman" w:cs="Times New Roman"/>
        </w:rPr>
      </w:pPr>
    </w:p>
    <w:p w14:paraId="36C167D3" w14:textId="7D9F928B" w:rsidR="00EF51A1" w:rsidRPr="00EF51A1" w:rsidRDefault="00780434" w:rsidP="00EF51A1">
      <w:pPr>
        <w:keepNext/>
        <w:keepLines/>
        <w:numPr>
          <w:ilvl w:val="0"/>
          <w:numId w:val="15"/>
        </w:numPr>
        <w:spacing w:before="40" w:after="240"/>
        <w:outlineLvl w:val="1"/>
        <w:rPr>
          <w:rFonts w:ascii="Times New Roman" w:eastAsiaTheme="majorEastAsia" w:hAnsi="Times New Roman" w:cs="Times New Roman"/>
          <w:color w:val="2F5496" w:themeColor="accent1" w:themeShade="BF"/>
          <w:sz w:val="26"/>
          <w:szCs w:val="26"/>
        </w:rPr>
      </w:pPr>
      <w:bookmarkStart w:id="105" w:name="_Toc105592817"/>
      <w:r w:rsidRPr="00C12B93">
        <w:rPr>
          <w:rFonts w:ascii="Times New Roman" w:eastAsiaTheme="majorEastAsia" w:hAnsi="Times New Roman" w:cs="Times New Roman"/>
          <w:color w:val="2F5496" w:themeColor="accent1" w:themeShade="BF"/>
          <w:sz w:val="26"/>
          <w:szCs w:val="26"/>
        </w:rPr>
        <w:t xml:space="preserve">Policy Priorities </w:t>
      </w:r>
      <w:r w:rsidR="006E5D2D" w:rsidRPr="00C12B93">
        <w:rPr>
          <w:rFonts w:ascii="Times New Roman" w:eastAsiaTheme="majorEastAsia" w:hAnsi="Times New Roman" w:cs="Times New Roman"/>
          <w:color w:val="2F5496" w:themeColor="accent1" w:themeShade="BF"/>
          <w:sz w:val="26"/>
          <w:szCs w:val="26"/>
        </w:rPr>
        <w:t>and Reform Areas</w:t>
      </w:r>
      <w:bookmarkEnd w:id="105"/>
    </w:p>
    <w:p w14:paraId="22B3EAB6" w14:textId="57034769" w:rsidR="008C1E9C" w:rsidRDefault="00215F94" w:rsidP="008C1E9C">
      <w:pPr>
        <w:jc w:val="both"/>
        <w:rPr>
          <w:rFonts w:ascii="Times New Roman" w:hAnsi="Times New Roman" w:cs="Times New Roman"/>
          <w:b/>
          <w:bCs/>
          <w:color w:val="002060"/>
        </w:rPr>
      </w:pPr>
      <w:r>
        <w:rPr>
          <w:rFonts w:ascii="Times New Roman" w:hAnsi="Times New Roman" w:cs="Times New Roman"/>
          <w:b/>
          <w:bCs/>
          <w:color w:val="002060"/>
        </w:rPr>
        <w:t>Sustained p</w:t>
      </w:r>
      <w:r w:rsidR="00BD5C62" w:rsidRPr="00BD5C62">
        <w:rPr>
          <w:rFonts w:ascii="Times New Roman" w:hAnsi="Times New Roman" w:cs="Times New Roman"/>
          <w:b/>
          <w:bCs/>
          <w:color w:val="002060"/>
        </w:rPr>
        <w:t xml:space="preserve">olicies and reforms throughout the digital ecosystem are needed for Cabo Verde to realize its potential of becoming a “digital hub” for the region. </w:t>
      </w:r>
    </w:p>
    <w:p w14:paraId="2E04FB26" w14:textId="3C87B3AE" w:rsidR="0003183C" w:rsidRDefault="000F2431" w:rsidP="00EF51A1">
      <w:pPr>
        <w:jc w:val="both"/>
        <w:rPr>
          <w:rFonts w:ascii="Times New Roman" w:hAnsi="Times New Roman" w:cs="Times New Roman"/>
        </w:rPr>
      </w:pPr>
      <w:r w:rsidRPr="00A27DC3">
        <w:rPr>
          <w:rFonts w:ascii="Times New Roman" w:hAnsi="Times New Roman" w:cs="Times New Roman"/>
          <w:b/>
          <w:bCs/>
        </w:rPr>
        <w:t>7</w:t>
      </w:r>
      <w:r w:rsidR="007B6B78">
        <w:rPr>
          <w:rFonts w:ascii="Times New Roman" w:hAnsi="Times New Roman" w:cs="Times New Roman"/>
          <w:b/>
          <w:bCs/>
        </w:rPr>
        <w:t>1</w:t>
      </w:r>
      <w:r w:rsidRPr="00A27DC3">
        <w:rPr>
          <w:rFonts w:ascii="Times New Roman" w:hAnsi="Times New Roman" w:cs="Times New Roman"/>
          <w:b/>
          <w:bCs/>
        </w:rPr>
        <w:t>.</w:t>
      </w:r>
      <w:r>
        <w:t xml:space="preserve"> </w:t>
      </w:r>
      <w:r w:rsidRPr="00A27DC3">
        <w:rPr>
          <w:rFonts w:ascii="Times New Roman" w:hAnsi="Times New Roman" w:cs="Times New Roman"/>
          <w:b/>
          <w:bCs/>
        </w:rPr>
        <w:t xml:space="preserve">Cabo Verde has developed </w:t>
      </w:r>
      <w:r w:rsidR="00215F94" w:rsidRPr="00A27DC3">
        <w:rPr>
          <w:rFonts w:ascii="Times New Roman" w:hAnsi="Times New Roman" w:cs="Times New Roman"/>
          <w:b/>
          <w:bCs/>
        </w:rPr>
        <w:t>s</w:t>
      </w:r>
      <w:r w:rsidR="00215F94">
        <w:rPr>
          <w:rFonts w:ascii="Times New Roman" w:hAnsi="Times New Roman" w:cs="Times New Roman"/>
          <w:b/>
          <w:bCs/>
        </w:rPr>
        <w:t>trong</w:t>
      </w:r>
      <w:r w:rsidR="00215F94" w:rsidRPr="00A27DC3">
        <w:rPr>
          <w:rFonts w:ascii="Times New Roman" w:hAnsi="Times New Roman" w:cs="Times New Roman"/>
          <w:b/>
          <w:bCs/>
        </w:rPr>
        <w:t xml:space="preserve"> </w:t>
      </w:r>
      <w:r w:rsidRPr="00A27DC3">
        <w:rPr>
          <w:rFonts w:ascii="Times New Roman" w:hAnsi="Times New Roman" w:cs="Times New Roman"/>
          <w:b/>
          <w:bCs/>
        </w:rPr>
        <w:t>foundations for digital development and accomplished notable progress in digital infrastructure and online government services, yet issues persist.</w:t>
      </w:r>
      <w:r w:rsidRPr="000F2431">
        <w:rPr>
          <w:rFonts w:ascii="Times New Roman" w:hAnsi="Times New Roman" w:cs="Times New Roman"/>
        </w:rPr>
        <w:t xml:space="preserve"> The adoption of digital technologies is scanty in providing and receiving services, learning and value creation, and realizing other socio-economic benefits. Despite significant progress, the country is still vulnerable to cyber threats and needs to develop a robust ecosystem to enable safe and secure online transactions for its citizens and businesses. The culture of innovation can be further spurred among the high-level policy makers of digital development. </w:t>
      </w:r>
      <w:r w:rsidR="008C1E9C">
        <w:rPr>
          <w:rFonts w:ascii="Times New Roman" w:hAnsi="Times New Roman" w:cs="Times New Roman"/>
        </w:rPr>
        <w:t xml:space="preserve"> </w:t>
      </w:r>
    </w:p>
    <w:p w14:paraId="0CA8BD5F" w14:textId="3D04FE51" w:rsidR="0003183C" w:rsidRDefault="0003183C" w:rsidP="00EF51A1">
      <w:pPr>
        <w:jc w:val="both"/>
        <w:rPr>
          <w:rFonts w:ascii="Times New Roman" w:hAnsi="Times New Roman" w:cs="Times New Roman"/>
        </w:rPr>
      </w:pPr>
      <w:r w:rsidRPr="00A27DC3">
        <w:rPr>
          <w:rFonts w:ascii="Times New Roman" w:hAnsi="Times New Roman" w:cs="Times New Roman"/>
          <w:b/>
          <w:bCs/>
        </w:rPr>
        <w:t>7</w:t>
      </w:r>
      <w:r w:rsidR="00521453">
        <w:rPr>
          <w:rFonts w:ascii="Times New Roman" w:hAnsi="Times New Roman" w:cs="Times New Roman"/>
          <w:b/>
          <w:bCs/>
        </w:rPr>
        <w:t>2</w:t>
      </w:r>
      <w:r w:rsidRPr="00A27DC3">
        <w:rPr>
          <w:rFonts w:ascii="Times New Roman" w:hAnsi="Times New Roman" w:cs="Times New Roman"/>
          <w:b/>
          <w:bCs/>
        </w:rPr>
        <w:t xml:space="preserve">. A holistic approach towards the development of overall digital ecosystem is required for Cabo Verde to make the next leap in digital development. </w:t>
      </w:r>
      <w:r w:rsidRPr="00A27DC3">
        <w:rPr>
          <w:rFonts w:ascii="Times New Roman" w:hAnsi="Times New Roman" w:cs="Times New Roman"/>
        </w:rPr>
        <w:t xml:space="preserve">Priority areas of policy interventions and reforms for the short and medium terms include enhancing the </w:t>
      </w:r>
      <w:r w:rsidR="00F94134">
        <w:rPr>
          <w:rFonts w:ascii="Times New Roman" w:hAnsi="Times New Roman" w:cs="Times New Roman"/>
        </w:rPr>
        <w:t>regulatory</w:t>
      </w:r>
      <w:r w:rsidR="00F94134" w:rsidRPr="00A27DC3">
        <w:rPr>
          <w:rFonts w:ascii="Times New Roman" w:hAnsi="Times New Roman" w:cs="Times New Roman"/>
        </w:rPr>
        <w:t xml:space="preserve"> </w:t>
      </w:r>
      <w:r w:rsidRPr="00A27DC3">
        <w:rPr>
          <w:rFonts w:ascii="Times New Roman" w:hAnsi="Times New Roman" w:cs="Times New Roman"/>
        </w:rPr>
        <w:t>framework for digital development, strengthening the digital foundations, including data ecosystem and cybersecurity, and investing in human capital.</w:t>
      </w:r>
    </w:p>
    <w:p w14:paraId="50859413" w14:textId="2F8E83EE" w:rsidR="00D83B21" w:rsidRDefault="00D83B21" w:rsidP="00EF51A1">
      <w:pPr>
        <w:jc w:val="both"/>
        <w:rPr>
          <w:rFonts w:ascii="Times New Roman" w:hAnsi="Times New Roman" w:cs="Times New Roman"/>
        </w:rPr>
      </w:pPr>
    </w:p>
    <w:p w14:paraId="096811F0" w14:textId="77777777" w:rsidR="00D83B21" w:rsidRDefault="00D83B21" w:rsidP="00EF51A1">
      <w:pPr>
        <w:jc w:val="both"/>
        <w:rPr>
          <w:rFonts w:ascii="Times New Roman" w:hAnsi="Times New Roman" w:cs="Times New Roman"/>
        </w:rPr>
      </w:pPr>
    </w:p>
    <w:tbl>
      <w:tblPr>
        <w:tblW w:w="94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5"/>
        <w:gridCol w:w="1080"/>
      </w:tblGrid>
      <w:tr w:rsidR="004848AB" w14:paraId="59A6F337" w14:textId="77777777" w:rsidTr="004848AB">
        <w:trPr>
          <w:trHeight w:val="116"/>
          <w:tblHeader/>
        </w:trPr>
        <w:tc>
          <w:tcPr>
            <w:tcW w:w="8365" w:type="dxa"/>
            <w:tcBorders>
              <w:top w:val="single" w:sz="4" w:space="0" w:color="auto"/>
              <w:left w:val="single" w:sz="4" w:space="0" w:color="auto"/>
              <w:bottom w:val="single" w:sz="4" w:space="0" w:color="auto"/>
              <w:right w:val="nil"/>
            </w:tcBorders>
            <w:shd w:val="clear" w:color="auto" w:fill="2E74B5" w:themeFill="accent5" w:themeFillShade="BF"/>
            <w:vAlign w:val="center"/>
            <w:hideMark/>
          </w:tcPr>
          <w:p w14:paraId="2311302C" w14:textId="77777777" w:rsidR="004848AB" w:rsidRDefault="004848AB">
            <w:pPr>
              <w:spacing w:after="120" w:line="276" w:lineRule="auto"/>
              <w:jc w:val="center"/>
              <w:rPr>
                <w:rFonts w:ascii="Times New Roman" w:eastAsia="Cambria" w:hAnsi="Times New Roman" w:cs="Times New Roman"/>
                <w:b/>
                <w:color w:val="FFFFFF"/>
                <w:sz w:val="20"/>
                <w:szCs w:val="20"/>
              </w:rPr>
            </w:pPr>
            <w:r>
              <w:rPr>
                <w:rFonts w:ascii="Times New Roman" w:eastAsia="Cambria" w:hAnsi="Times New Roman" w:cs="Times New Roman"/>
                <w:b/>
                <w:color w:val="FFFFFF"/>
                <w:sz w:val="20"/>
                <w:szCs w:val="20"/>
              </w:rPr>
              <w:lastRenderedPageBreak/>
              <w:t xml:space="preserve">Policy Priorities </w:t>
            </w:r>
          </w:p>
        </w:tc>
        <w:tc>
          <w:tcPr>
            <w:tcW w:w="1080" w:type="dxa"/>
            <w:tcBorders>
              <w:top w:val="single" w:sz="4" w:space="0" w:color="auto"/>
              <w:left w:val="nil"/>
              <w:bottom w:val="single" w:sz="4" w:space="0" w:color="auto"/>
              <w:right w:val="single" w:sz="4" w:space="0" w:color="auto"/>
            </w:tcBorders>
            <w:shd w:val="clear" w:color="auto" w:fill="2E74B5" w:themeFill="accent5" w:themeFillShade="BF"/>
            <w:hideMark/>
          </w:tcPr>
          <w:p w14:paraId="6571CBDE" w14:textId="77777777" w:rsidR="004848AB" w:rsidRDefault="004848AB">
            <w:pPr>
              <w:spacing w:after="120" w:line="276" w:lineRule="auto"/>
              <w:jc w:val="center"/>
              <w:rPr>
                <w:rFonts w:ascii="Times New Roman" w:eastAsia="Cambria" w:hAnsi="Times New Roman" w:cs="Times New Roman"/>
                <w:b/>
                <w:color w:val="FFFFFF"/>
                <w:sz w:val="20"/>
                <w:szCs w:val="20"/>
              </w:rPr>
            </w:pPr>
            <w:r>
              <w:rPr>
                <w:rFonts w:ascii="Times New Roman" w:eastAsia="Cambria" w:hAnsi="Times New Roman" w:cs="Times New Roman"/>
                <w:b/>
                <w:color w:val="FFFFFF"/>
                <w:sz w:val="20"/>
                <w:szCs w:val="20"/>
              </w:rPr>
              <w:t>Timeline</w:t>
            </w:r>
          </w:p>
        </w:tc>
      </w:tr>
      <w:tr w:rsidR="004848AB" w14:paraId="0864B150" w14:textId="77777777" w:rsidTr="004848AB">
        <w:tc>
          <w:tcPr>
            <w:tcW w:w="944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4CD7093" w14:textId="520F0910" w:rsidR="004848AB" w:rsidRDefault="004848AB">
            <w:pPr>
              <w:spacing w:after="120" w:line="276" w:lineRule="auto"/>
              <w:rPr>
                <w:rFonts w:ascii="Times New Roman" w:eastAsia="Cambria" w:hAnsi="Times New Roman" w:cs="Times New Roman"/>
                <w:b/>
                <w:bCs/>
                <w:sz w:val="20"/>
                <w:szCs w:val="20"/>
              </w:rPr>
            </w:pPr>
            <w:r>
              <w:rPr>
                <w:rFonts w:ascii="Times New Roman" w:eastAsia="Cambria" w:hAnsi="Times New Roman" w:cs="Times New Roman"/>
                <w:b/>
                <w:bCs/>
                <w:sz w:val="20"/>
                <w:szCs w:val="20"/>
              </w:rPr>
              <w:t xml:space="preserve">Strengthen the </w:t>
            </w:r>
            <w:r w:rsidR="00DD35C6">
              <w:rPr>
                <w:rFonts w:ascii="Times New Roman" w:eastAsia="Cambria" w:hAnsi="Times New Roman" w:cs="Times New Roman"/>
                <w:b/>
                <w:bCs/>
                <w:sz w:val="20"/>
                <w:szCs w:val="20"/>
              </w:rPr>
              <w:t xml:space="preserve">regulatory </w:t>
            </w:r>
            <w:r>
              <w:rPr>
                <w:rFonts w:ascii="Times New Roman" w:eastAsia="Cambria" w:hAnsi="Times New Roman" w:cs="Times New Roman"/>
                <w:b/>
                <w:bCs/>
                <w:sz w:val="20"/>
                <w:szCs w:val="20"/>
              </w:rPr>
              <w:t xml:space="preserve">framework for digital development </w:t>
            </w:r>
          </w:p>
        </w:tc>
      </w:tr>
      <w:tr w:rsidR="004848AB" w14:paraId="2193027D" w14:textId="77777777" w:rsidTr="00A53562">
        <w:trPr>
          <w:trHeight w:val="1007"/>
        </w:trPr>
        <w:tc>
          <w:tcPr>
            <w:tcW w:w="8365" w:type="dxa"/>
            <w:tcBorders>
              <w:top w:val="single" w:sz="4" w:space="0" w:color="auto"/>
              <w:left w:val="single" w:sz="4" w:space="0" w:color="auto"/>
              <w:bottom w:val="nil"/>
              <w:right w:val="nil"/>
            </w:tcBorders>
            <w:hideMark/>
          </w:tcPr>
          <w:p w14:paraId="19F311EC" w14:textId="7A81BA6F" w:rsidR="004848AB" w:rsidRDefault="00E557BA">
            <w:pPr>
              <w:spacing w:after="120" w:line="276" w:lineRule="auto"/>
              <w:jc w:val="both"/>
              <w:rPr>
                <w:rFonts w:ascii="Times New Roman" w:eastAsia="Cambria" w:hAnsi="Times New Roman" w:cs="Times New Roman"/>
                <w:sz w:val="20"/>
                <w:szCs w:val="20"/>
              </w:rPr>
            </w:pPr>
            <w:r>
              <w:rPr>
                <w:rFonts w:ascii="Times New Roman" w:eastAsia="Cambria" w:hAnsi="Times New Roman" w:cs="Times New Roman"/>
                <w:b/>
                <w:bCs/>
                <w:i/>
                <w:iCs/>
                <w:sz w:val="20"/>
                <w:szCs w:val="20"/>
              </w:rPr>
              <w:t xml:space="preserve">Conduct a regulatory gap analysis for </w:t>
            </w:r>
            <w:r w:rsidR="00283D9F">
              <w:rPr>
                <w:rFonts w:ascii="Times New Roman" w:eastAsia="Cambria" w:hAnsi="Times New Roman" w:cs="Times New Roman"/>
                <w:b/>
                <w:bCs/>
                <w:i/>
                <w:iCs/>
                <w:sz w:val="20"/>
                <w:szCs w:val="20"/>
              </w:rPr>
              <w:t xml:space="preserve">the </w:t>
            </w:r>
            <w:r>
              <w:rPr>
                <w:rFonts w:ascii="Times New Roman" w:eastAsia="Cambria" w:hAnsi="Times New Roman" w:cs="Times New Roman"/>
                <w:b/>
                <w:bCs/>
                <w:i/>
                <w:iCs/>
                <w:sz w:val="20"/>
                <w:szCs w:val="20"/>
              </w:rPr>
              <w:t>digital economy.</w:t>
            </w:r>
            <w:r w:rsidR="004848AB">
              <w:rPr>
                <w:rFonts w:ascii="Times New Roman" w:eastAsia="Cambria" w:hAnsi="Times New Roman" w:cs="Times New Roman"/>
                <w:sz w:val="20"/>
                <w:szCs w:val="20"/>
              </w:rPr>
              <w:t xml:space="preserve"> </w:t>
            </w:r>
            <w:r>
              <w:rPr>
                <w:rFonts w:ascii="Times New Roman" w:eastAsia="Cambria" w:hAnsi="Times New Roman" w:cs="Times New Roman"/>
                <w:sz w:val="20"/>
                <w:szCs w:val="20"/>
              </w:rPr>
              <w:t xml:space="preserve">This activity would </w:t>
            </w:r>
            <w:r w:rsidR="00E62C75">
              <w:rPr>
                <w:rFonts w:ascii="Times New Roman" w:eastAsia="Cambria" w:hAnsi="Times New Roman" w:cs="Times New Roman"/>
                <w:sz w:val="20"/>
                <w:szCs w:val="20"/>
              </w:rPr>
              <w:t xml:space="preserve">include identifying gaps that hamper the development of digital businesses and digital entrepreneurship and </w:t>
            </w:r>
            <w:r w:rsidR="004848AB">
              <w:rPr>
                <w:rFonts w:ascii="Times New Roman" w:eastAsia="Cambria" w:hAnsi="Times New Roman" w:cs="Times New Roman"/>
                <w:sz w:val="20"/>
                <w:szCs w:val="20"/>
              </w:rPr>
              <w:t xml:space="preserve">studying global examples and </w:t>
            </w:r>
            <w:r w:rsidR="00283D9F">
              <w:rPr>
                <w:rFonts w:ascii="Times New Roman" w:eastAsia="Cambria" w:hAnsi="Times New Roman" w:cs="Times New Roman"/>
                <w:sz w:val="20"/>
                <w:szCs w:val="20"/>
              </w:rPr>
              <w:t xml:space="preserve">good </w:t>
            </w:r>
            <w:r w:rsidR="004848AB">
              <w:rPr>
                <w:rFonts w:ascii="Times New Roman" w:eastAsia="Cambria" w:hAnsi="Times New Roman" w:cs="Times New Roman"/>
                <w:sz w:val="20"/>
                <w:szCs w:val="20"/>
              </w:rPr>
              <w:t xml:space="preserve">practices </w:t>
            </w:r>
            <w:r w:rsidR="00283D9F">
              <w:rPr>
                <w:rFonts w:ascii="Times New Roman" w:eastAsia="Cambria" w:hAnsi="Times New Roman" w:cs="Times New Roman"/>
                <w:sz w:val="20"/>
                <w:szCs w:val="20"/>
              </w:rPr>
              <w:t>in terms of</w:t>
            </w:r>
            <w:r w:rsidR="00E62C75">
              <w:rPr>
                <w:rFonts w:ascii="Times New Roman" w:eastAsia="Cambria" w:hAnsi="Times New Roman" w:cs="Times New Roman"/>
                <w:sz w:val="20"/>
                <w:szCs w:val="20"/>
              </w:rPr>
              <w:t xml:space="preserve"> policies and regulations to close those gaps.</w:t>
            </w:r>
            <w:r w:rsidR="004848AB">
              <w:rPr>
                <w:rFonts w:ascii="Times New Roman" w:eastAsia="Cambria" w:hAnsi="Times New Roman" w:cs="Times New Roman"/>
                <w:sz w:val="20"/>
                <w:szCs w:val="20"/>
              </w:rPr>
              <w:t xml:space="preserve"> </w:t>
            </w:r>
          </w:p>
        </w:tc>
        <w:tc>
          <w:tcPr>
            <w:tcW w:w="1080" w:type="dxa"/>
            <w:tcBorders>
              <w:top w:val="single" w:sz="4" w:space="0" w:color="auto"/>
              <w:left w:val="nil"/>
              <w:bottom w:val="nil"/>
              <w:right w:val="single" w:sz="4" w:space="0" w:color="auto"/>
            </w:tcBorders>
            <w:vAlign w:val="center"/>
            <w:hideMark/>
          </w:tcPr>
          <w:p w14:paraId="1D0345A1" w14:textId="77777777" w:rsidR="004848AB" w:rsidRDefault="004848AB">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4848AB" w14:paraId="0376D13A" w14:textId="77777777" w:rsidTr="004848AB">
        <w:tc>
          <w:tcPr>
            <w:tcW w:w="8365" w:type="dxa"/>
            <w:tcBorders>
              <w:top w:val="nil"/>
              <w:left w:val="single" w:sz="4" w:space="0" w:color="auto"/>
              <w:bottom w:val="nil"/>
              <w:right w:val="nil"/>
            </w:tcBorders>
            <w:hideMark/>
          </w:tcPr>
          <w:p w14:paraId="194C14BD" w14:textId="172F3004" w:rsidR="004848AB" w:rsidRDefault="004848AB">
            <w:pPr>
              <w:spacing w:after="120" w:line="276" w:lineRule="auto"/>
              <w:jc w:val="both"/>
              <w:rPr>
                <w:rFonts w:ascii="Times New Roman" w:eastAsia="Cambria" w:hAnsi="Times New Roman" w:cs="Times New Roman"/>
                <w:sz w:val="20"/>
                <w:szCs w:val="20"/>
              </w:rPr>
            </w:pPr>
            <w:r>
              <w:rPr>
                <w:rFonts w:ascii="Times New Roman" w:eastAsia="Cambria" w:hAnsi="Times New Roman" w:cs="Times New Roman"/>
                <w:b/>
                <w:bCs/>
                <w:i/>
                <w:iCs/>
                <w:sz w:val="20"/>
                <w:szCs w:val="20"/>
              </w:rPr>
              <w:t>Create formal and non-formal dialogue platforms</w:t>
            </w:r>
            <w:r>
              <w:rPr>
                <w:rFonts w:ascii="Times New Roman" w:eastAsia="Cambria" w:hAnsi="Times New Roman" w:cs="Times New Roman"/>
                <w:sz w:val="20"/>
                <w:szCs w:val="20"/>
              </w:rPr>
              <w:t xml:space="preserve"> to engage the private sector, </w:t>
            </w:r>
            <w:proofErr w:type="gramStart"/>
            <w:r>
              <w:rPr>
                <w:rFonts w:ascii="Times New Roman" w:eastAsia="Cambria" w:hAnsi="Times New Roman" w:cs="Times New Roman"/>
                <w:sz w:val="20"/>
                <w:szCs w:val="20"/>
              </w:rPr>
              <w:t>academia</w:t>
            </w:r>
            <w:proofErr w:type="gramEnd"/>
            <w:r>
              <w:rPr>
                <w:rFonts w:ascii="Times New Roman" w:eastAsia="Cambria" w:hAnsi="Times New Roman" w:cs="Times New Roman"/>
                <w:sz w:val="20"/>
                <w:szCs w:val="20"/>
              </w:rPr>
              <w:t xml:space="preserve"> and </w:t>
            </w:r>
            <w:r w:rsidR="00283D9F">
              <w:rPr>
                <w:rFonts w:ascii="Times New Roman" w:eastAsia="Cambria" w:hAnsi="Times New Roman" w:cs="Times New Roman"/>
                <w:sz w:val="20"/>
                <w:szCs w:val="20"/>
              </w:rPr>
              <w:t>d</w:t>
            </w:r>
            <w:r>
              <w:rPr>
                <w:rFonts w:ascii="Times New Roman" w:eastAsia="Cambria" w:hAnsi="Times New Roman" w:cs="Times New Roman"/>
                <w:sz w:val="20"/>
                <w:szCs w:val="20"/>
              </w:rPr>
              <w:t xml:space="preserve">iaspora networks in strategic discussions about sector-related policies and strategies. Such platforms and collaboration mechanisms could enable more precise identification of market failures and design of more targeted interventions to address those failures. </w:t>
            </w:r>
          </w:p>
        </w:tc>
        <w:tc>
          <w:tcPr>
            <w:tcW w:w="1080" w:type="dxa"/>
            <w:tcBorders>
              <w:top w:val="nil"/>
              <w:left w:val="nil"/>
              <w:bottom w:val="nil"/>
              <w:right w:val="single" w:sz="4" w:space="0" w:color="auto"/>
            </w:tcBorders>
            <w:vAlign w:val="center"/>
            <w:hideMark/>
          </w:tcPr>
          <w:p w14:paraId="16C44AD0" w14:textId="2E5B6F18" w:rsidR="004848AB" w:rsidRDefault="00E557BA">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4848AB" w14:paraId="7E75D81B" w14:textId="77777777" w:rsidTr="004848AB">
        <w:trPr>
          <w:trHeight w:val="197"/>
        </w:trPr>
        <w:tc>
          <w:tcPr>
            <w:tcW w:w="944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0455260" w14:textId="77777777" w:rsidR="004848AB" w:rsidRDefault="004848AB">
            <w:pPr>
              <w:spacing w:after="120" w:line="276" w:lineRule="auto"/>
              <w:rPr>
                <w:rFonts w:ascii="Times New Roman" w:eastAsia="Cambria" w:hAnsi="Times New Roman" w:cs="Times New Roman"/>
                <w:b/>
                <w:bCs/>
                <w:sz w:val="20"/>
                <w:szCs w:val="20"/>
              </w:rPr>
            </w:pPr>
            <w:r>
              <w:rPr>
                <w:rFonts w:ascii="Times New Roman" w:eastAsia="Cambria" w:hAnsi="Times New Roman" w:cs="Times New Roman"/>
                <w:b/>
                <w:bCs/>
                <w:sz w:val="20"/>
                <w:szCs w:val="20"/>
              </w:rPr>
              <w:t>Enhance digital foundations, including data ecosystem and cybersecurity</w:t>
            </w:r>
          </w:p>
        </w:tc>
      </w:tr>
      <w:tr w:rsidR="004848AB" w14:paraId="1F4C5E3A" w14:textId="77777777" w:rsidTr="004848AB">
        <w:tc>
          <w:tcPr>
            <w:tcW w:w="8365" w:type="dxa"/>
            <w:tcBorders>
              <w:top w:val="single" w:sz="4" w:space="0" w:color="auto"/>
              <w:left w:val="single" w:sz="4" w:space="0" w:color="auto"/>
              <w:bottom w:val="nil"/>
              <w:right w:val="nil"/>
            </w:tcBorders>
            <w:hideMark/>
          </w:tcPr>
          <w:p w14:paraId="09F07C99" w14:textId="738B2D34" w:rsidR="004848AB" w:rsidRDefault="004848AB" w:rsidP="00A27DC3">
            <w:pPr>
              <w:spacing w:after="120" w:line="276" w:lineRule="auto"/>
              <w:jc w:val="both"/>
              <w:rPr>
                <w:rFonts w:ascii="Times New Roman" w:eastAsia="Cambria" w:hAnsi="Times New Roman" w:cs="Times New Roman"/>
                <w:sz w:val="20"/>
                <w:szCs w:val="20"/>
              </w:rPr>
            </w:pPr>
            <w:r>
              <w:rPr>
                <w:rFonts w:ascii="Times New Roman" w:hAnsi="Times New Roman" w:cs="Times New Roman"/>
                <w:b/>
                <w:i/>
                <w:iCs/>
                <w:sz w:val="20"/>
                <w:szCs w:val="20"/>
              </w:rPr>
              <w:t>Build cyber resilience</w:t>
            </w:r>
            <w:r>
              <w:rPr>
                <w:rFonts w:ascii="Times New Roman" w:hAnsi="Times New Roman" w:cs="Times New Roman"/>
                <w:bCs/>
                <w:sz w:val="20"/>
                <w:szCs w:val="20"/>
              </w:rPr>
              <w:t xml:space="preserve"> by strengthening the infrastructure for trust</w:t>
            </w:r>
            <w:r w:rsidR="00EC1B0D">
              <w:rPr>
                <w:rFonts w:ascii="Times New Roman" w:hAnsi="Times New Roman" w:cs="Times New Roman"/>
                <w:bCs/>
                <w:sz w:val="20"/>
                <w:szCs w:val="20"/>
              </w:rPr>
              <w:t>ed</w:t>
            </w:r>
            <w:r>
              <w:rPr>
                <w:rFonts w:ascii="Times New Roman" w:hAnsi="Times New Roman" w:cs="Times New Roman"/>
                <w:bCs/>
                <w:sz w:val="20"/>
                <w:szCs w:val="20"/>
              </w:rPr>
              <w:t xml:space="preserve"> ecosystem</w:t>
            </w:r>
            <w:r w:rsidR="00EC1B0D">
              <w:rPr>
                <w:rFonts w:ascii="Times New Roman" w:hAnsi="Times New Roman" w:cs="Times New Roman"/>
                <w:bCs/>
                <w:sz w:val="20"/>
                <w:szCs w:val="20"/>
              </w:rPr>
              <w:t>s</w:t>
            </w:r>
            <w:r>
              <w:rPr>
                <w:rFonts w:ascii="Times New Roman" w:hAnsi="Times New Roman" w:cs="Times New Roman"/>
                <w:bCs/>
                <w:sz w:val="20"/>
                <w:szCs w:val="20"/>
              </w:rPr>
              <w:t xml:space="preserve"> coupled with programs to enhance the cybersecurity capacity among government entities, firms, and individuals. This would include conducting a national risk assessment and identifying Critical Infrastructure; designing and implementing cybersecurity awareness and literacy program</w:t>
            </w:r>
            <w:r w:rsidR="00EC1B0D">
              <w:rPr>
                <w:rFonts w:ascii="Times New Roman" w:hAnsi="Times New Roman" w:cs="Times New Roman"/>
                <w:bCs/>
                <w:sz w:val="20"/>
                <w:szCs w:val="20"/>
              </w:rPr>
              <w:t>s</w:t>
            </w:r>
            <w:r>
              <w:rPr>
                <w:rFonts w:ascii="Times New Roman" w:hAnsi="Times New Roman" w:cs="Times New Roman"/>
                <w:bCs/>
                <w:sz w:val="20"/>
                <w:szCs w:val="20"/>
              </w:rPr>
              <w:t xml:space="preserve">; and promoting adoption of international ICT and cybersecurity standards in the government and private sector. </w:t>
            </w:r>
          </w:p>
        </w:tc>
        <w:tc>
          <w:tcPr>
            <w:tcW w:w="1080" w:type="dxa"/>
            <w:tcBorders>
              <w:top w:val="single" w:sz="4" w:space="0" w:color="auto"/>
              <w:left w:val="nil"/>
              <w:bottom w:val="nil"/>
              <w:right w:val="single" w:sz="4" w:space="0" w:color="auto"/>
            </w:tcBorders>
            <w:hideMark/>
          </w:tcPr>
          <w:p w14:paraId="69E8B3F3" w14:textId="77777777" w:rsidR="004848AB" w:rsidRDefault="004848AB">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4848AB" w14:paraId="281806E5" w14:textId="77777777" w:rsidTr="004848AB">
        <w:tc>
          <w:tcPr>
            <w:tcW w:w="8365" w:type="dxa"/>
            <w:tcBorders>
              <w:top w:val="nil"/>
              <w:left w:val="single" w:sz="4" w:space="0" w:color="auto"/>
              <w:bottom w:val="nil"/>
              <w:right w:val="nil"/>
            </w:tcBorders>
            <w:hideMark/>
          </w:tcPr>
          <w:p w14:paraId="4FC78E97" w14:textId="77777777" w:rsidR="004848AB" w:rsidRDefault="004848AB" w:rsidP="00A27DC3">
            <w:pPr>
              <w:spacing w:after="120" w:line="276" w:lineRule="auto"/>
              <w:jc w:val="both"/>
              <w:rPr>
                <w:rFonts w:ascii="Times New Roman" w:eastAsia="Cambria" w:hAnsi="Times New Roman" w:cs="Times New Roman"/>
                <w:sz w:val="20"/>
                <w:szCs w:val="20"/>
              </w:rPr>
            </w:pPr>
            <w:r>
              <w:rPr>
                <w:rFonts w:ascii="Times New Roman" w:eastAsia="Cambria" w:hAnsi="Times New Roman" w:cs="Times New Roman"/>
                <w:b/>
                <w:bCs/>
                <w:i/>
                <w:iCs/>
                <w:sz w:val="20"/>
                <w:szCs w:val="20"/>
              </w:rPr>
              <w:t>Develop a national data policy</w:t>
            </w:r>
            <w:r>
              <w:rPr>
                <w:rFonts w:ascii="Times New Roman" w:eastAsia="Cambria" w:hAnsi="Times New Roman" w:cs="Times New Roman"/>
                <w:sz w:val="20"/>
                <w:szCs w:val="20"/>
              </w:rPr>
              <w:t xml:space="preserve"> to promote the exchange and use of open government data by government agencies, private </w:t>
            </w:r>
            <w:proofErr w:type="gramStart"/>
            <w:r>
              <w:rPr>
                <w:rFonts w:ascii="Times New Roman" w:eastAsia="Cambria" w:hAnsi="Times New Roman" w:cs="Times New Roman"/>
                <w:sz w:val="20"/>
                <w:szCs w:val="20"/>
              </w:rPr>
              <w:t>sector</w:t>
            </w:r>
            <w:proofErr w:type="gramEnd"/>
            <w:r>
              <w:rPr>
                <w:rFonts w:ascii="Times New Roman" w:eastAsia="Cambria" w:hAnsi="Times New Roman" w:cs="Times New Roman"/>
                <w:sz w:val="20"/>
                <w:szCs w:val="20"/>
              </w:rPr>
              <w:t xml:space="preserve"> and academia. This work would include a legal and regulatory gap analysis, stocktaking of available data infrastructure, national databases, and their integration with the </w:t>
            </w:r>
            <w:r>
              <w:rPr>
                <w:rFonts w:ascii="Times New Roman" w:hAnsi="Times New Roman" w:cs="Times New Roman"/>
                <w:sz w:val="20"/>
                <w:szCs w:val="20"/>
              </w:rPr>
              <w:t xml:space="preserve">Data Platform Exchange Framework. The policy would also define national targets to develop a strong data ecosystem in </w:t>
            </w:r>
            <w:r>
              <w:rPr>
                <w:rFonts w:ascii="Times New Roman" w:eastAsia="Cambria" w:hAnsi="Times New Roman" w:cs="Times New Roman"/>
                <w:sz w:val="20"/>
                <w:szCs w:val="20"/>
              </w:rPr>
              <w:t xml:space="preserve">Cabo Verde and a roadmap on how to achieve those. </w:t>
            </w:r>
          </w:p>
        </w:tc>
        <w:tc>
          <w:tcPr>
            <w:tcW w:w="1080" w:type="dxa"/>
            <w:tcBorders>
              <w:top w:val="nil"/>
              <w:left w:val="nil"/>
              <w:bottom w:val="nil"/>
              <w:right w:val="single" w:sz="4" w:space="0" w:color="auto"/>
            </w:tcBorders>
            <w:hideMark/>
          </w:tcPr>
          <w:p w14:paraId="35B6278C" w14:textId="77777777" w:rsidR="004848AB" w:rsidRDefault="004848AB">
            <w:pPr>
              <w:spacing w:after="120" w:line="276" w:lineRule="auto"/>
              <w:jc w:val="center"/>
              <w:rPr>
                <w:rFonts w:ascii="Times New Roman" w:eastAsia="Cambria" w:hAnsi="Times New Roman" w:cs="Times New Roman"/>
                <w:sz w:val="20"/>
                <w:szCs w:val="20"/>
              </w:rPr>
            </w:pPr>
            <w:r>
              <w:rPr>
                <w:rFonts w:ascii="Times New Roman" w:eastAsia="Cambria" w:hAnsi="Times New Roman" w:cs="Times New Roman"/>
                <w:sz w:val="20"/>
                <w:szCs w:val="20"/>
              </w:rPr>
              <w:t>MT</w:t>
            </w:r>
          </w:p>
        </w:tc>
      </w:tr>
      <w:tr w:rsidR="004848AB" w14:paraId="28682CEC" w14:textId="77777777" w:rsidTr="004848AB">
        <w:tc>
          <w:tcPr>
            <w:tcW w:w="9445"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CCD3B49" w14:textId="77777777" w:rsidR="004848AB" w:rsidRDefault="004848AB">
            <w:pPr>
              <w:spacing w:after="120" w:line="276" w:lineRule="auto"/>
              <w:rPr>
                <w:rFonts w:ascii="Times New Roman" w:eastAsia="Cambria" w:hAnsi="Times New Roman" w:cs="Times New Roman"/>
                <w:b/>
                <w:bCs/>
                <w:sz w:val="20"/>
                <w:szCs w:val="20"/>
              </w:rPr>
            </w:pPr>
            <w:r>
              <w:rPr>
                <w:rFonts w:ascii="Times New Roman" w:eastAsia="Cambria" w:hAnsi="Times New Roman" w:cs="Times New Roman"/>
                <w:b/>
                <w:bCs/>
                <w:sz w:val="20"/>
                <w:szCs w:val="20"/>
              </w:rPr>
              <w:t>Invest in human capital</w:t>
            </w:r>
          </w:p>
        </w:tc>
      </w:tr>
      <w:tr w:rsidR="004848AB" w14:paraId="005E38BE" w14:textId="77777777" w:rsidTr="004848AB">
        <w:trPr>
          <w:trHeight w:val="359"/>
        </w:trPr>
        <w:tc>
          <w:tcPr>
            <w:tcW w:w="8365" w:type="dxa"/>
            <w:tcBorders>
              <w:top w:val="single" w:sz="4" w:space="0" w:color="auto"/>
              <w:left w:val="single" w:sz="4" w:space="0" w:color="auto"/>
              <w:bottom w:val="nil"/>
              <w:right w:val="nil"/>
            </w:tcBorders>
            <w:hideMark/>
          </w:tcPr>
          <w:p w14:paraId="3F902590" w14:textId="0E0F4636" w:rsidR="004848AB" w:rsidRDefault="004848AB">
            <w:pPr>
              <w:jc w:val="both"/>
              <w:rPr>
                <w:rFonts w:ascii="Times New Roman" w:eastAsia="Cambria" w:hAnsi="Times New Roman" w:cs="Times New Roman"/>
                <w:sz w:val="20"/>
                <w:szCs w:val="20"/>
              </w:rPr>
            </w:pPr>
            <w:r>
              <w:rPr>
                <w:rFonts w:ascii="Times New Roman" w:hAnsi="Times New Roman" w:cs="Times New Roman"/>
                <w:b/>
                <w:i/>
                <w:iCs/>
                <w:sz w:val="20"/>
                <w:szCs w:val="20"/>
              </w:rPr>
              <w:t xml:space="preserve">Develop </w:t>
            </w:r>
            <w:r w:rsidR="00B91EE7">
              <w:rPr>
                <w:rFonts w:ascii="Times New Roman" w:hAnsi="Times New Roman" w:cs="Times New Roman"/>
                <w:b/>
                <w:i/>
                <w:iCs/>
                <w:sz w:val="20"/>
                <w:szCs w:val="20"/>
              </w:rPr>
              <w:t xml:space="preserve">a </w:t>
            </w:r>
            <w:r>
              <w:rPr>
                <w:rFonts w:ascii="Times New Roman" w:hAnsi="Times New Roman" w:cs="Times New Roman"/>
                <w:b/>
                <w:i/>
                <w:iCs/>
                <w:sz w:val="20"/>
                <w:szCs w:val="20"/>
              </w:rPr>
              <w:t>national digital skills agenda</w:t>
            </w:r>
            <w:r>
              <w:rPr>
                <w:rFonts w:ascii="Times New Roman" w:hAnsi="Times New Roman" w:cs="Times New Roman"/>
                <w:bCs/>
                <w:sz w:val="20"/>
                <w:szCs w:val="20"/>
              </w:rPr>
              <w:t xml:space="preserve"> as an </w:t>
            </w:r>
            <w:r>
              <w:rPr>
                <w:rFonts w:ascii="Times New Roman" w:hAnsi="Times New Roman" w:cs="Times New Roman"/>
                <w:sz w:val="20"/>
                <w:szCs w:val="20"/>
              </w:rPr>
              <w:t>overarching framework to help coordinate various programs in the field. It could help consolidate many available training programs, improve their relevance for the private sector, and ensure their long-term sustainability. It could also address existing gender gaps more effectively, as women continue to be underrepresented in technology-oriented education programs and jobs.</w:t>
            </w:r>
          </w:p>
        </w:tc>
        <w:tc>
          <w:tcPr>
            <w:tcW w:w="1080" w:type="dxa"/>
            <w:tcBorders>
              <w:top w:val="single" w:sz="4" w:space="0" w:color="auto"/>
              <w:left w:val="nil"/>
              <w:bottom w:val="nil"/>
              <w:right w:val="single" w:sz="4" w:space="0" w:color="auto"/>
            </w:tcBorders>
            <w:hideMark/>
          </w:tcPr>
          <w:p w14:paraId="17FDD843" w14:textId="77777777" w:rsidR="004848AB" w:rsidRDefault="004848AB">
            <w:pPr>
              <w:spacing w:after="120"/>
              <w:jc w:val="center"/>
              <w:rPr>
                <w:rFonts w:ascii="Times New Roman" w:eastAsia="Cambria" w:hAnsi="Times New Roman" w:cs="Times New Roman"/>
                <w:sz w:val="20"/>
                <w:szCs w:val="20"/>
              </w:rPr>
            </w:pPr>
            <w:r>
              <w:rPr>
                <w:rFonts w:ascii="Times New Roman" w:eastAsia="Cambria" w:hAnsi="Times New Roman" w:cs="Times New Roman"/>
                <w:sz w:val="20"/>
                <w:szCs w:val="20"/>
              </w:rPr>
              <w:t>ST</w:t>
            </w:r>
          </w:p>
        </w:tc>
      </w:tr>
      <w:tr w:rsidR="004848AB" w14:paraId="19F2D6FB" w14:textId="77777777" w:rsidTr="004848AB">
        <w:trPr>
          <w:trHeight w:val="359"/>
        </w:trPr>
        <w:tc>
          <w:tcPr>
            <w:tcW w:w="8365" w:type="dxa"/>
            <w:tcBorders>
              <w:top w:val="single" w:sz="4" w:space="0" w:color="auto"/>
              <w:left w:val="single" w:sz="4" w:space="0" w:color="auto"/>
              <w:bottom w:val="single" w:sz="4" w:space="0" w:color="auto"/>
              <w:right w:val="nil"/>
            </w:tcBorders>
            <w:hideMark/>
          </w:tcPr>
          <w:p w14:paraId="39B37F8E" w14:textId="5F5BB927" w:rsidR="004848AB" w:rsidRDefault="004848AB">
            <w:pPr>
              <w:jc w:val="both"/>
              <w:rPr>
                <w:rFonts w:ascii="Times New Roman" w:hAnsi="Times New Roman" w:cs="Times New Roman"/>
                <w:bCs/>
                <w:sz w:val="20"/>
                <w:szCs w:val="20"/>
              </w:rPr>
            </w:pPr>
            <w:r>
              <w:rPr>
                <w:rFonts w:ascii="Times New Roman" w:hAnsi="Times New Roman" w:cs="Times New Roman"/>
                <w:b/>
                <w:i/>
                <w:iCs/>
                <w:sz w:val="20"/>
                <w:szCs w:val="20"/>
              </w:rPr>
              <w:t>Coordinate and streamline investments</w:t>
            </w:r>
            <w:r>
              <w:rPr>
                <w:rFonts w:ascii="Times New Roman" w:hAnsi="Times New Roman" w:cs="Times New Roman"/>
                <w:bCs/>
                <w:sz w:val="20"/>
                <w:szCs w:val="20"/>
              </w:rPr>
              <w:t xml:space="preserve"> of DFIs, p</w:t>
            </w:r>
            <w:r w:rsidR="00B91EE7">
              <w:rPr>
                <w:rFonts w:ascii="Times New Roman" w:hAnsi="Times New Roman" w:cs="Times New Roman"/>
                <w:bCs/>
                <w:sz w:val="20"/>
                <w:szCs w:val="20"/>
              </w:rPr>
              <w:t xml:space="preserve">ublic </w:t>
            </w:r>
            <w:r>
              <w:rPr>
                <w:rFonts w:ascii="Times New Roman" w:hAnsi="Times New Roman" w:cs="Times New Roman"/>
                <w:bCs/>
                <w:sz w:val="20"/>
                <w:szCs w:val="20"/>
              </w:rPr>
              <w:t xml:space="preserve">sector participants and other stakeholders to align with the national digital skills agenda. </w:t>
            </w:r>
          </w:p>
        </w:tc>
        <w:tc>
          <w:tcPr>
            <w:tcW w:w="1080" w:type="dxa"/>
            <w:tcBorders>
              <w:top w:val="single" w:sz="4" w:space="0" w:color="auto"/>
              <w:left w:val="nil"/>
              <w:bottom w:val="single" w:sz="4" w:space="0" w:color="auto"/>
              <w:right w:val="single" w:sz="4" w:space="0" w:color="auto"/>
            </w:tcBorders>
            <w:hideMark/>
          </w:tcPr>
          <w:p w14:paraId="36313CB6" w14:textId="77777777" w:rsidR="004848AB" w:rsidRDefault="004848AB">
            <w:pPr>
              <w:spacing w:after="120"/>
              <w:jc w:val="center"/>
              <w:rPr>
                <w:rFonts w:ascii="Times New Roman" w:eastAsia="Cambria" w:hAnsi="Times New Roman" w:cs="Times New Roman"/>
                <w:sz w:val="20"/>
                <w:szCs w:val="20"/>
              </w:rPr>
            </w:pPr>
            <w:r>
              <w:rPr>
                <w:rFonts w:ascii="Times New Roman" w:eastAsia="Cambria" w:hAnsi="Times New Roman" w:cs="Times New Roman"/>
                <w:sz w:val="20"/>
                <w:szCs w:val="20"/>
              </w:rPr>
              <w:t>MT</w:t>
            </w:r>
          </w:p>
        </w:tc>
      </w:tr>
    </w:tbl>
    <w:p w14:paraId="053A3E34" w14:textId="77777777" w:rsidR="008639EA" w:rsidRPr="00A27DC3" w:rsidRDefault="008639EA" w:rsidP="00EF51A1">
      <w:pPr>
        <w:jc w:val="both"/>
        <w:rPr>
          <w:rFonts w:ascii="Times New Roman" w:hAnsi="Times New Roman" w:cs="Times New Roman"/>
        </w:rPr>
      </w:pPr>
    </w:p>
    <w:p w14:paraId="629E0A5F" w14:textId="62FCB59F" w:rsidR="00EF51A1" w:rsidRDefault="004D5AE2" w:rsidP="00EF51A1">
      <w:pPr>
        <w:jc w:val="both"/>
        <w:rPr>
          <w:rFonts w:ascii="Times New Roman" w:hAnsi="Times New Roman" w:cs="Times New Roman"/>
          <w:b/>
          <w:bCs/>
        </w:rPr>
      </w:pPr>
      <w:r w:rsidRPr="00A27DC3">
        <w:rPr>
          <w:rFonts w:ascii="Times New Roman" w:hAnsi="Times New Roman" w:cs="Times New Roman"/>
          <w:b/>
          <w:bCs/>
        </w:rPr>
        <w:t xml:space="preserve">With timely interventions and strategic investments in digital development space, Cabo Verde has a solid potential to build strong foundations for national digital transformation supporting a long-term, </w:t>
      </w:r>
      <w:proofErr w:type="gramStart"/>
      <w:r w:rsidRPr="00A27DC3">
        <w:rPr>
          <w:rFonts w:ascii="Times New Roman" w:hAnsi="Times New Roman" w:cs="Times New Roman"/>
          <w:b/>
          <w:bCs/>
        </w:rPr>
        <w:t>sustainable</w:t>
      </w:r>
      <w:proofErr w:type="gramEnd"/>
      <w:r w:rsidRPr="00A27DC3">
        <w:rPr>
          <w:rFonts w:ascii="Times New Roman" w:hAnsi="Times New Roman" w:cs="Times New Roman"/>
          <w:b/>
          <w:bCs/>
        </w:rPr>
        <w:t xml:space="preserve"> and inclusive growth. Digital dividends for the country include improving governance and public service delivery, creating new sources of income, </w:t>
      </w:r>
      <w:proofErr w:type="gramStart"/>
      <w:r w:rsidRPr="00A27DC3">
        <w:rPr>
          <w:rFonts w:ascii="Times New Roman" w:hAnsi="Times New Roman" w:cs="Times New Roman"/>
          <w:b/>
          <w:bCs/>
        </w:rPr>
        <w:t>jobs</w:t>
      </w:r>
      <w:proofErr w:type="gramEnd"/>
      <w:r w:rsidRPr="00A27DC3">
        <w:rPr>
          <w:rFonts w:ascii="Times New Roman" w:hAnsi="Times New Roman" w:cs="Times New Roman"/>
          <w:b/>
          <w:bCs/>
        </w:rPr>
        <w:t xml:space="preserve"> and economic diversification, and developing competitive workforce for the future economy.</w:t>
      </w:r>
    </w:p>
    <w:p w14:paraId="13D08B27" w14:textId="42770A58" w:rsidR="00A86610" w:rsidRDefault="00A86610" w:rsidP="00EF51A1">
      <w:pPr>
        <w:jc w:val="both"/>
        <w:rPr>
          <w:rFonts w:ascii="Times New Roman" w:hAnsi="Times New Roman" w:cs="Times New Roman"/>
          <w:b/>
          <w:bCs/>
        </w:rPr>
      </w:pPr>
    </w:p>
    <w:p w14:paraId="6BD4AE21" w14:textId="592911DC" w:rsidR="00A86610" w:rsidRDefault="00A86610" w:rsidP="00EF51A1">
      <w:pPr>
        <w:jc w:val="both"/>
        <w:rPr>
          <w:rFonts w:ascii="Times New Roman" w:hAnsi="Times New Roman" w:cs="Times New Roman"/>
          <w:b/>
          <w:bCs/>
        </w:rPr>
      </w:pPr>
    </w:p>
    <w:p w14:paraId="179F1817" w14:textId="4D6BE4CD" w:rsidR="00A86610" w:rsidRDefault="00A86610" w:rsidP="00EF51A1">
      <w:pPr>
        <w:jc w:val="both"/>
        <w:rPr>
          <w:rFonts w:ascii="Times New Roman" w:hAnsi="Times New Roman" w:cs="Times New Roman"/>
          <w:b/>
          <w:bCs/>
        </w:rPr>
      </w:pPr>
    </w:p>
    <w:p w14:paraId="3F355A06" w14:textId="7CCB71F1" w:rsidR="00A86610" w:rsidRDefault="00A86610" w:rsidP="00EF51A1">
      <w:pPr>
        <w:jc w:val="both"/>
        <w:rPr>
          <w:rFonts w:ascii="Times New Roman" w:hAnsi="Times New Roman" w:cs="Times New Roman"/>
          <w:b/>
          <w:bCs/>
        </w:rPr>
      </w:pPr>
    </w:p>
    <w:p w14:paraId="37F96C58" w14:textId="77777777" w:rsidR="00A86610" w:rsidRPr="00C87120" w:rsidRDefault="00A86610" w:rsidP="00240042">
      <w:pPr>
        <w:rPr>
          <w:rFonts w:ascii="Times New Roman" w:eastAsia="Times New Roman" w:hAnsi="Times New Roman" w:cs="Times New Roman"/>
          <w:b/>
          <w:color w:val="2F5496"/>
        </w:rPr>
      </w:pPr>
    </w:p>
    <w:p w14:paraId="46367310" w14:textId="77777777" w:rsidR="00DC40F5" w:rsidRPr="00A27DC3" w:rsidRDefault="00DC40F5" w:rsidP="00DC40F5">
      <w:pPr>
        <w:pStyle w:val="Heading1"/>
        <w:spacing w:after="240"/>
        <w:rPr>
          <w:rFonts w:ascii="Times New Roman" w:hAnsi="Times New Roman" w:cs="Times New Roman"/>
          <w:b/>
          <w:lang w:val="pt-PT"/>
        </w:rPr>
      </w:pPr>
      <w:bookmarkStart w:id="106" w:name="_Toc66955833"/>
      <w:bookmarkStart w:id="107" w:name="_Toc70346655"/>
      <w:bookmarkStart w:id="108" w:name="_Toc105592818"/>
      <w:r w:rsidRPr="00A27DC3">
        <w:rPr>
          <w:rFonts w:ascii="Times New Roman" w:hAnsi="Times New Roman" w:cs="Times New Roman"/>
          <w:b/>
          <w:lang w:val="pt-PT"/>
        </w:rPr>
        <w:lastRenderedPageBreak/>
        <w:t>References</w:t>
      </w:r>
      <w:bookmarkEnd w:id="106"/>
      <w:bookmarkEnd w:id="107"/>
      <w:bookmarkEnd w:id="108"/>
    </w:p>
    <w:p w14:paraId="72AF128B" w14:textId="77777777" w:rsidR="002005B0" w:rsidRDefault="002005B0" w:rsidP="00A27DC3">
      <w:pPr>
        <w:jc w:val="both"/>
        <w:rPr>
          <w:color w:val="000000" w:themeColor="text1"/>
          <w:u w:val="single"/>
        </w:rPr>
      </w:pPr>
      <w:r>
        <w:rPr>
          <w:rFonts w:ascii="Times New Roman" w:hAnsi="Times New Roman" w:cs="Times New Roman"/>
          <w:color w:val="000000" w:themeColor="text1"/>
          <w:lang w:val="pt-PT"/>
        </w:rPr>
        <w:t xml:space="preserve">Cabo Verde Digital Strategy (EDCV) [Information portal]. </w:t>
      </w:r>
      <w:hyperlink r:id="rId65" w:history="1">
        <w:r>
          <w:rPr>
            <w:rStyle w:val="Hyperlink"/>
            <w:rFonts w:ascii="Times New Roman" w:hAnsi="Times New Roman" w:cs="Times New Roman"/>
          </w:rPr>
          <w:t>https://estrategiadigital.gov.cv/index.php/en/</w:t>
        </w:r>
      </w:hyperlink>
      <w:r>
        <w:rPr>
          <w:rFonts w:ascii="Times New Roman" w:hAnsi="Times New Roman" w:cs="Times New Roman"/>
          <w:color w:val="000000" w:themeColor="text1"/>
        </w:rPr>
        <w:t xml:space="preserve"> </w:t>
      </w:r>
    </w:p>
    <w:p w14:paraId="41674479"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Cornell University, INSEAD, the World Intellectual Property Organization (WIPO). (2020). “Global Innovation Index 2020. Who will Finance Innovation?” </w:t>
      </w:r>
    </w:p>
    <w:p w14:paraId="31BAB80A" w14:textId="77777777" w:rsidR="002005B0" w:rsidRDefault="002005B0" w:rsidP="00A27DC3">
      <w:pPr>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DataReportal</w:t>
      </w:r>
      <w:proofErr w:type="spellEnd"/>
      <w:r>
        <w:rPr>
          <w:rFonts w:ascii="Times New Roman" w:hAnsi="Times New Roman" w:cs="Times New Roman"/>
          <w:color w:val="000000" w:themeColor="text1"/>
          <w:lang w:val="hy-AM"/>
        </w:rPr>
        <w:t xml:space="preserve"> </w:t>
      </w:r>
      <w:r>
        <w:rPr>
          <w:rFonts w:ascii="Times New Roman" w:hAnsi="Times New Roman" w:cs="Times New Roman"/>
          <w:color w:val="000000" w:themeColor="text1"/>
        </w:rPr>
        <w:t xml:space="preserve">(2020). “Digital 2020 Cabo Verde” </w:t>
      </w:r>
    </w:p>
    <w:p w14:paraId="6333288E" w14:textId="77777777" w:rsidR="002005B0" w:rsidRDefault="002005B0" w:rsidP="00A27DC3">
      <w:pPr>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Dener</w:t>
      </w:r>
      <w:proofErr w:type="spellEnd"/>
      <w:r>
        <w:rPr>
          <w:rFonts w:ascii="Times New Roman" w:hAnsi="Times New Roman" w:cs="Times New Roman"/>
          <w:color w:val="000000" w:themeColor="text1"/>
        </w:rPr>
        <w:t xml:space="preserve"> C., </w:t>
      </w:r>
      <w:proofErr w:type="spellStart"/>
      <w:r>
        <w:rPr>
          <w:rFonts w:ascii="Times New Roman" w:hAnsi="Times New Roman" w:cs="Times New Roman"/>
          <w:color w:val="000000" w:themeColor="text1"/>
        </w:rPr>
        <w:t>Nii-Aponsah</w:t>
      </w:r>
      <w:proofErr w:type="spellEnd"/>
      <w:r>
        <w:rPr>
          <w:rFonts w:ascii="Times New Roman" w:hAnsi="Times New Roman" w:cs="Times New Roman"/>
          <w:color w:val="000000" w:themeColor="text1"/>
        </w:rPr>
        <w:t xml:space="preserve"> H., </w:t>
      </w:r>
      <w:proofErr w:type="spellStart"/>
      <w:r>
        <w:rPr>
          <w:rFonts w:ascii="Times New Roman" w:hAnsi="Times New Roman" w:cs="Times New Roman"/>
          <w:color w:val="000000" w:themeColor="text1"/>
        </w:rPr>
        <w:t>Ghunney</w:t>
      </w:r>
      <w:proofErr w:type="spellEnd"/>
      <w:r>
        <w:rPr>
          <w:rFonts w:ascii="Times New Roman" w:hAnsi="Times New Roman" w:cs="Times New Roman"/>
          <w:color w:val="000000" w:themeColor="text1"/>
        </w:rPr>
        <w:t xml:space="preserve"> L. E., Johns K. D. (2021). “</w:t>
      </w:r>
      <w:proofErr w:type="spellStart"/>
      <w:r>
        <w:rPr>
          <w:rFonts w:ascii="Times New Roman" w:hAnsi="Times New Roman" w:cs="Times New Roman"/>
          <w:color w:val="000000" w:themeColor="text1"/>
        </w:rPr>
        <w:t>GovTech</w:t>
      </w:r>
      <w:proofErr w:type="spellEnd"/>
      <w:r>
        <w:rPr>
          <w:rFonts w:ascii="Times New Roman" w:hAnsi="Times New Roman" w:cs="Times New Roman"/>
          <w:color w:val="000000" w:themeColor="text1"/>
        </w:rPr>
        <w:t xml:space="preserve"> Maturity Index. The State of Public Sector Digital Transformation”. World Bank Group</w:t>
      </w:r>
    </w:p>
    <w:p w14:paraId="3CA7B005"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Fernandes A. J. (2019). “Brief Overview of Cape Verde Digital Strategy” </w:t>
      </w:r>
    </w:p>
    <w:p w14:paraId="081880E4"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Government of Cabo Verde, Ministry of Finance and Business Development, National Planning Directorate. (2022). “Strategic Plan for Sustainable Development 2022-2026. PEDS II”. Concept Note </w:t>
      </w:r>
    </w:p>
    <w:p w14:paraId="2F1572D6"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Government of Cabo Verde, Ministry of Finance and Business Development, National Planning Directorate. (2022). “PEDS. Strategic Plan for Sustainable Development 2017/2021 – Cabo Verde” </w:t>
      </w:r>
    </w:p>
    <w:p w14:paraId="64E34492" w14:textId="77777777" w:rsidR="002005B0" w:rsidRDefault="002005B0" w:rsidP="00A27DC3">
      <w:pPr>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Grigoriou</w:t>
      </w:r>
      <w:proofErr w:type="spellEnd"/>
      <w:r>
        <w:rPr>
          <w:rFonts w:ascii="Times New Roman" w:hAnsi="Times New Roman" w:cs="Times New Roman"/>
          <w:color w:val="000000" w:themeColor="text1"/>
        </w:rPr>
        <w:t xml:space="preserve"> C. (2022). “Workshop on </w:t>
      </w:r>
      <w:proofErr w:type="spellStart"/>
      <w:r>
        <w:rPr>
          <w:rFonts w:ascii="Times New Roman" w:hAnsi="Times New Roman" w:cs="Times New Roman"/>
          <w:color w:val="000000" w:themeColor="text1"/>
        </w:rPr>
        <w:t>eTrade</w:t>
      </w:r>
      <w:proofErr w:type="spellEnd"/>
      <w:r>
        <w:rPr>
          <w:rFonts w:ascii="Times New Roman" w:hAnsi="Times New Roman" w:cs="Times New Roman"/>
          <w:color w:val="000000" w:themeColor="text1"/>
        </w:rPr>
        <w:t xml:space="preserve"> readiness in Cabo Verde”. Presentation</w:t>
      </w:r>
    </w:p>
    <w:p w14:paraId="7DCA8427" w14:textId="77777777" w:rsidR="002005B0" w:rsidRDefault="002005B0" w:rsidP="00A27DC3">
      <w:pPr>
        <w:jc w:val="both"/>
        <w:rPr>
          <w:rFonts w:ascii="Times New Roman" w:hAnsi="Times New Roman" w:cs="Times New Roman"/>
          <w:color w:val="000000" w:themeColor="text1"/>
        </w:rPr>
      </w:pPr>
      <w:r w:rsidRPr="00A27DC3">
        <w:rPr>
          <w:rFonts w:ascii="Times New Roman" w:hAnsi="Times New Roman" w:cs="Times New Roman"/>
          <w:color w:val="000000" w:themeColor="text1"/>
        </w:rPr>
        <w:t xml:space="preserve">GSMA. GSMA Intelligence Data [Data set]. </w:t>
      </w:r>
      <w:hyperlink r:id="rId66" w:history="1">
        <w:r>
          <w:rPr>
            <w:rStyle w:val="Hyperlink"/>
            <w:rFonts w:ascii="Times New Roman" w:hAnsi="Times New Roman" w:cs="Times New Roman"/>
          </w:rPr>
          <w:t>https://www.gsmaintelligence.com/data/</w:t>
        </w:r>
      </w:hyperlink>
      <w:r>
        <w:rPr>
          <w:rFonts w:ascii="Times New Roman" w:hAnsi="Times New Roman" w:cs="Times New Roman"/>
          <w:color w:val="000000" w:themeColor="text1"/>
        </w:rPr>
        <w:t xml:space="preserve"> </w:t>
      </w:r>
    </w:p>
    <w:p w14:paraId="5D3CDAAE" w14:textId="77777777" w:rsidR="002005B0" w:rsidRDefault="002005B0" w:rsidP="00FB4C20">
      <w:pPr>
        <w:rPr>
          <w:rFonts w:ascii="Times New Roman" w:hAnsi="Times New Roman" w:cs="Times New Roman"/>
          <w:color w:val="000000" w:themeColor="text1"/>
        </w:rPr>
      </w:pPr>
      <w:r>
        <w:rPr>
          <w:rFonts w:ascii="Times New Roman" w:hAnsi="Times New Roman" w:cs="Times New Roman"/>
          <w:color w:val="000000" w:themeColor="text1"/>
        </w:rPr>
        <w:t xml:space="preserve">GSMA. GSMA Mobile Connectivity Index [Data set]. </w:t>
      </w:r>
      <w:hyperlink r:id="rId67" w:anchor="year=2019" w:history="1">
        <w:r>
          <w:rPr>
            <w:rStyle w:val="Hyperlink"/>
            <w:rFonts w:ascii="Times New Roman" w:hAnsi="Times New Roman" w:cs="Times New Roman"/>
          </w:rPr>
          <w:t>https://www.mobileconnectivityindex.com/#year=2019</w:t>
        </w:r>
      </w:hyperlink>
      <w:r>
        <w:rPr>
          <w:rFonts w:ascii="Times New Roman" w:hAnsi="Times New Roman" w:cs="Times New Roman"/>
          <w:color w:val="000000" w:themeColor="text1"/>
        </w:rPr>
        <w:t xml:space="preserve"> </w:t>
      </w:r>
    </w:p>
    <w:p w14:paraId="029E31A3"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Handem, A. (2018). “The Vision to Become an Engine of Transformation Towards Building a Digital Society in Africa”</w:t>
      </w:r>
    </w:p>
    <w:p w14:paraId="09E2E753" w14:textId="77777777" w:rsidR="002005B0" w:rsidRDefault="002005B0" w:rsidP="002005B0">
      <w:pPr>
        <w:rPr>
          <w:rFonts w:ascii="Times New Roman" w:hAnsi="Times New Roman" w:cs="Times New Roman"/>
          <w:color w:val="000000" w:themeColor="text1"/>
          <w:lang w:val="pt-PT"/>
        </w:rPr>
      </w:pPr>
      <w:r>
        <w:rPr>
          <w:rFonts w:ascii="Times New Roman" w:hAnsi="Times New Roman" w:cs="Times New Roman"/>
          <w:color w:val="000000" w:themeColor="text1"/>
        </w:rPr>
        <w:t xml:space="preserve">International Monetary Fund. (2021). Financial Access Survey [Data set]. </w:t>
      </w:r>
      <w:hyperlink r:id="rId68" w:history="1">
        <w:r>
          <w:rPr>
            <w:rStyle w:val="Hyperlink"/>
            <w:rFonts w:ascii="Times New Roman" w:hAnsi="Times New Roman" w:cs="Times New Roman"/>
            <w:lang w:val="pt-PT"/>
          </w:rPr>
          <w:t>https://data.imf.org/?sk=E5DCAB7E-A5CA-4892-A6EA-598B5463A34C</w:t>
        </w:r>
      </w:hyperlink>
      <w:r>
        <w:rPr>
          <w:rFonts w:ascii="Times New Roman" w:hAnsi="Times New Roman" w:cs="Times New Roman"/>
          <w:color w:val="000000" w:themeColor="text1"/>
          <w:lang w:val="pt-PT"/>
        </w:rPr>
        <w:t xml:space="preserve"> </w:t>
      </w:r>
    </w:p>
    <w:p w14:paraId="60D11BF7"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lang w:val="pt-PT"/>
        </w:rPr>
        <w:t xml:space="preserve">ITU. (2020). </w:t>
      </w:r>
      <w:r>
        <w:rPr>
          <w:rFonts w:ascii="Times New Roman" w:hAnsi="Times New Roman" w:cs="Times New Roman"/>
          <w:color w:val="000000" w:themeColor="text1"/>
        </w:rPr>
        <w:t>“Global ICT Regulatory Outlook 2020. Pointing the way forward to collaborative regulation”</w:t>
      </w:r>
    </w:p>
    <w:p w14:paraId="512AC822"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 xml:space="preserve">ITU. (2021). “Global Cybersecurity Index 2020. Measuring commitment to cybersecurity” </w:t>
      </w:r>
    </w:p>
    <w:p w14:paraId="714CA31B"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 xml:space="preserve">ITU. (2021). World Telecommunication/ICT Indicators Database </w:t>
      </w:r>
      <w:r>
        <w:rPr>
          <w:rFonts w:ascii="Times New Roman" w:hAnsi="Times New Roman" w:cs="Times New Roman"/>
        </w:rPr>
        <w:t>[</w:t>
      </w:r>
      <w:r>
        <w:rPr>
          <w:rFonts w:ascii="Times New Roman" w:hAnsi="Times New Roman" w:cs="Times New Roman"/>
          <w:color w:val="000000" w:themeColor="text1"/>
        </w:rPr>
        <w:t xml:space="preserve">Data set]. </w:t>
      </w:r>
      <w:hyperlink r:id="rId69" w:history="1">
        <w:r>
          <w:rPr>
            <w:rStyle w:val="Hyperlink"/>
            <w:rFonts w:ascii="Times New Roman" w:hAnsi="Times New Roman" w:cs="Times New Roman"/>
          </w:rPr>
          <w:t>https://www.itu.int/en/ITU-D/Statistics/Pages/publications/wtid.aspx</w:t>
        </w:r>
      </w:hyperlink>
      <w:r>
        <w:rPr>
          <w:rFonts w:ascii="Times New Roman" w:hAnsi="Times New Roman" w:cs="Times New Roman"/>
          <w:color w:val="000000" w:themeColor="text1"/>
        </w:rPr>
        <w:t xml:space="preserve"> </w:t>
      </w:r>
    </w:p>
    <w:p w14:paraId="241A2C16" w14:textId="2BF98EBF" w:rsidR="002005B0" w:rsidRDefault="002005B0" w:rsidP="00FB4C20">
      <w:pPr>
        <w:rPr>
          <w:rFonts w:ascii="Times New Roman" w:hAnsi="Times New Roman" w:cs="Times New Roman"/>
          <w:color w:val="000000" w:themeColor="text1"/>
        </w:rPr>
      </w:pPr>
      <w:r>
        <w:rPr>
          <w:rFonts w:ascii="Times New Roman" w:hAnsi="Times New Roman" w:cs="Times New Roman"/>
          <w:color w:val="000000" w:themeColor="text1"/>
        </w:rPr>
        <w:t xml:space="preserve">ITU. ICT Price Baskets (IPB) [Data set]. </w:t>
      </w:r>
      <w:hyperlink r:id="rId70" w:history="1">
        <w:r w:rsidR="007B7EB8">
          <w:rPr>
            <w:rStyle w:val="Hyperlink"/>
            <w:rFonts w:ascii="Times New Roman" w:hAnsi="Times New Roman" w:cs="Times New Roman"/>
          </w:rPr>
          <w:t>https://www.itu.int/en/ITUD/Statistics/Dashboards/Pages/IPB.aspx</w:t>
        </w:r>
      </w:hyperlink>
    </w:p>
    <w:p w14:paraId="1B1A036A"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 xml:space="preserve">ITU. ICT Regulatory Tracker [Data set]. </w:t>
      </w:r>
      <w:hyperlink r:id="rId71" w:history="1">
        <w:r>
          <w:rPr>
            <w:rStyle w:val="Hyperlink"/>
            <w:rFonts w:ascii="Times New Roman" w:hAnsi="Times New Roman" w:cs="Times New Roman"/>
          </w:rPr>
          <w:t>https://app.gen5.digital/tracker/country-cards/Cabo%20Verde</w:t>
        </w:r>
      </w:hyperlink>
      <w:r>
        <w:rPr>
          <w:rFonts w:ascii="Times New Roman" w:hAnsi="Times New Roman" w:cs="Times New Roman"/>
          <w:color w:val="000000" w:themeColor="text1"/>
        </w:rPr>
        <w:t xml:space="preserve"> </w:t>
      </w:r>
    </w:p>
    <w:p w14:paraId="5001AE8E" w14:textId="77777777" w:rsidR="002005B0" w:rsidRDefault="002005B0" w:rsidP="002005B0">
      <w:pPr>
        <w:pStyle w:val="Caption"/>
        <w:jc w:val="both"/>
        <w:rPr>
          <w:rFonts w:ascii="Times New Roman" w:hAnsi="Times New Roman" w:cs="Times New Roman"/>
          <w:i w:val="0"/>
          <w:iCs w:val="0"/>
          <w:color w:val="000000" w:themeColor="text1"/>
          <w:sz w:val="22"/>
          <w:szCs w:val="22"/>
          <w:lang w:val="hy-AM"/>
        </w:rPr>
      </w:pPr>
      <w:r>
        <w:rPr>
          <w:rFonts w:ascii="Times New Roman" w:hAnsi="Times New Roman" w:cs="Times New Roman"/>
          <w:i w:val="0"/>
          <w:iCs w:val="0"/>
          <w:color w:val="000000" w:themeColor="text1"/>
          <w:sz w:val="22"/>
          <w:szCs w:val="22"/>
        </w:rPr>
        <w:t>ITU</w:t>
      </w:r>
      <w:r>
        <w:rPr>
          <w:rFonts w:ascii="Times New Roman" w:hAnsi="Times New Roman" w:cs="Times New Roman"/>
          <w:i w:val="0"/>
          <w:iCs w:val="0"/>
          <w:color w:val="000000" w:themeColor="text1"/>
          <w:sz w:val="22"/>
          <w:szCs w:val="22"/>
          <w:lang w:val="hy-AM"/>
        </w:rPr>
        <w:t xml:space="preserve">․ </w:t>
      </w:r>
      <w:r>
        <w:rPr>
          <w:rFonts w:ascii="Times New Roman" w:hAnsi="Times New Roman" w:cs="Times New Roman"/>
          <w:i w:val="0"/>
          <w:iCs w:val="0"/>
          <w:color w:val="000000" w:themeColor="text1"/>
          <w:sz w:val="22"/>
          <w:szCs w:val="22"/>
        </w:rPr>
        <w:t>ITUICT-Eye ICT Data Portal</w:t>
      </w:r>
      <w:r>
        <w:rPr>
          <w:rFonts w:ascii="Times New Roman" w:hAnsi="Times New Roman" w:cs="Times New Roman"/>
          <w:i w:val="0"/>
          <w:iCs w:val="0"/>
          <w:color w:val="000000" w:themeColor="text1"/>
          <w:sz w:val="22"/>
          <w:szCs w:val="22"/>
          <w:lang w:val="hy-AM"/>
        </w:rPr>
        <w:t xml:space="preserve"> </w:t>
      </w:r>
      <w:r>
        <w:rPr>
          <w:rFonts w:ascii="Times New Roman" w:hAnsi="Times New Roman" w:cs="Times New Roman"/>
          <w:i w:val="0"/>
          <w:iCs w:val="0"/>
          <w:color w:val="000000" w:themeColor="text1"/>
          <w:sz w:val="22"/>
          <w:szCs w:val="22"/>
        </w:rPr>
        <w:t xml:space="preserve">[Data </w:t>
      </w:r>
      <w:proofErr w:type="gramStart"/>
      <w:r>
        <w:rPr>
          <w:rFonts w:ascii="Times New Roman" w:hAnsi="Times New Roman" w:cs="Times New Roman"/>
          <w:i w:val="0"/>
          <w:iCs w:val="0"/>
          <w:color w:val="000000" w:themeColor="text1"/>
          <w:sz w:val="22"/>
          <w:szCs w:val="22"/>
        </w:rPr>
        <w:t>set]</w:t>
      </w:r>
      <w:r>
        <w:rPr>
          <w:rFonts w:ascii="Times New Roman" w:hAnsi="Times New Roman" w:cs="Times New Roman"/>
          <w:i w:val="0"/>
          <w:iCs w:val="0"/>
          <w:color w:val="000000" w:themeColor="text1"/>
          <w:sz w:val="22"/>
          <w:szCs w:val="22"/>
          <w:lang w:val="hy-AM"/>
        </w:rPr>
        <w:t>․</w:t>
      </w:r>
      <w:proofErr w:type="gramEnd"/>
      <w:r>
        <w:rPr>
          <w:rFonts w:ascii="Times New Roman" w:hAnsi="Times New Roman" w:cs="Times New Roman"/>
          <w:i w:val="0"/>
          <w:iCs w:val="0"/>
          <w:color w:val="000000" w:themeColor="text1"/>
          <w:sz w:val="22"/>
          <w:szCs w:val="22"/>
          <w:lang w:val="hy-AM"/>
        </w:rPr>
        <w:t xml:space="preserve"> </w:t>
      </w:r>
      <w:hyperlink r:id="rId72" w:anchor="/" w:history="1">
        <w:r>
          <w:rPr>
            <w:rStyle w:val="Hyperlink"/>
            <w:rFonts w:ascii="Times New Roman" w:hAnsi="Times New Roman" w:cs="Times New Roman"/>
            <w:i w:val="0"/>
            <w:iCs w:val="0"/>
            <w:sz w:val="22"/>
            <w:szCs w:val="22"/>
            <w:lang w:val="hy-AM"/>
          </w:rPr>
          <w:t>https://www.itu.int/net4/itu-d/icteye#/</w:t>
        </w:r>
      </w:hyperlink>
      <w:r>
        <w:rPr>
          <w:rFonts w:ascii="Times New Roman" w:hAnsi="Times New Roman" w:cs="Times New Roman"/>
          <w:i w:val="0"/>
          <w:iCs w:val="0"/>
          <w:color w:val="000000" w:themeColor="text1"/>
          <w:sz w:val="22"/>
          <w:szCs w:val="22"/>
          <w:lang w:val="hy-AM"/>
        </w:rPr>
        <w:t xml:space="preserve"> </w:t>
      </w:r>
    </w:p>
    <w:p w14:paraId="6B926E80"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National Statistics Institute, Cabo Verde - INE-CV. (2019). “Annual Survey of Companies 2019”</w:t>
      </w:r>
    </w:p>
    <w:p w14:paraId="6BA61A6F"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 xml:space="preserve">National Statistics Institute, Cabo Verde - INE-CV. National Accounts </w:t>
      </w:r>
    </w:p>
    <w:p w14:paraId="5E5110EE" w14:textId="77777777" w:rsidR="002005B0" w:rsidRDefault="002005B0" w:rsidP="002005B0">
      <w:pPr>
        <w:rPr>
          <w:rFonts w:ascii="Times New Roman" w:hAnsi="Times New Roman" w:cs="Times New Roman"/>
          <w:color w:val="000000" w:themeColor="text1"/>
          <w:lang w:val="hy-AM"/>
        </w:rPr>
      </w:pPr>
      <w:proofErr w:type="spellStart"/>
      <w:r>
        <w:rPr>
          <w:rFonts w:ascii="Times New Roman" w:hAnsi="Times New Roman" w:cs="Times New Roman"/>
          <w:shd w:val="clear" w:color="auto" w:fill="FFFFFF"/>
        </w:rPr>
        <w:t>Ookla</w:t>
      </w:r>
      <w:proofErr w:type="spellEnd"/>
      <w:r>
        <w:rPr>
          <w:rFonts w:ascii="Times New Roman" w:hAnsi="Times New Roman" w:cs="Times New Roman"/>
          <w:shd w:val="clear" w:color="auto" w:fill="FFFFFF"/>
          <w:lang w:val="hy-AM"/>
        </w:rPr>
        <w:t xml:space="preserve">․ </w:t>
      </w:r>
      <w:r>
        <w:rPr>
          <w:rFonts w:ascii="Times New Roman" w:hAnsi="Times New Roman" w:cs="Times New Roman"/>
          <w:shd w:val="clear" w:color="auto" w:fill="FFFFFF"/>
        </w:rPr>
        <w:t xml:space="preserve">(2021). </w:t>
      </w:r>
      <w:proofErr w:type="spellStart"/>
      <w:r>
        <w:rPr>
          <w:rFonts w:ascii="Times New Roman" w:hAnsi="Times New Roman" w:cs="Times New Roman"/>
          <w:shd w:val="clear" w:color="auto" w:fill="FFFFFF"/>
        </w:rPr>
        <w:t>Speedtest</w:t>
      </w:r>
      <w:proofErr w:type="spellEnd"/>
      <w:r>
        <w:rPr>
          <w:rFonts w:ascii="Times New Roman" w:hAnsi="Times New Roman" w:cs="Times New Roman"/>
          <w:shd w:val="clear" w:color="auto" w:fill="FFFFFF"/>
        </w:rPr>
        <w:t xml:space="preserve"> Global Index </w:t>
      </w:r>
      <w:r>
        <w:rPr>
          <w:rFonts w:ascii="Times New Roman" w:hAnsi="Times New Roman" w:cs="Times New Roman"/>
        </w:rPr>
        <w:t>[</w:t>
      </w:r>
      <w:r>
        <w:rPr>
          <w:rFonts w:ascii="Times New Roman" w:hAnsi="Times New Roman" w:cs="Times New Roman"/>
          <w:color w:val="000000" w:themeColor="text1"/>
        </w:rPr>
        <w:t xml:space="preserve">Data set]. </w:t>
      </w:r>
      <w:hyperlink r:id="rId73" w:history="1">
        <w:r>
          <w:rPr>
            <w:rStyle w:val="Hyperlink"/>
            <w:rFonts w:ascii="Times New Roman" w:hAnsi="Times New Roman" w:cs="Times New Roman"/>
          </w:rPr>
          <w:t>https://www.speedtest.net/global-index</w:t>
        </w:r>
      </w:hyperlink>
      <w:r>
        <w:rPr>
          <w:rFonts w:ascii="Times New Roman" w:hAnsi="Times New Roman" w:cs="Times New Roman"/>
          <w:color w:val="000000" w:themeColor="text1"/>
        </w:rPr>
        <w:t xml:space="preserve"> </w:t>
      </w:r>
    </w:p>
    <w:p w14:paraId="670356FF" w14:textId="77777777" w:rsidR="002005B0" w:rsidRDefault="002005B0" w:rsidP="00A27DC3">
      <w:pPr>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Portulans</w:t>
      </w:r>
      <w:proofErr w:type="spellEnd"/>
      <w:r>
        <w:rPr>
          <w:rFonts w:ascii="Times New Roman" w:hAnsi="Times New Roman" w:cs="Times New Roman"/>
          <w:color w:val="000000" w:themeColor="text1"/>
        </w:rPr>
        <w:t xml:space="preserve"> Institute. (2021). “The Network Readiness Index 2021. Shaping the Global Recovery. How digital technologies can make the post-COVID world more equal” </w:t>
      </w:r>
    </w:p>
    <w:p w14:paraId="062D5AFE" w14:textId="77777777" w:rsidR="002005B0" w:rsidRDefault="002005B0" w:rsidP="002005B0">
      <w:pPr>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StartupBlink</w:t>
      </w:r>
      <w:proofErr w:type="spellEnd"/>
      <w:r>
        <w:rPr>
          <w:rFonts w:ascii="Times New Roman" w:hAnsi="Times New Roman" w:cs="Times New Roman"/>
          <w:color w:val="000000" w:themeColor="text1"/>
        </w:rPr>
        <w:t>. (2021). “Global Startup Ecosystem Index 2021”</w:t>
      </w:r>
    </w:p>
    <w:p w14:paraId="15087A66" w14:textId="77777777" w:rsidR="002005B0" w:rsidRDefault="002005B0" w:rsidP="002005B0">
      <w:pPr>
        <w:rPr>
          <w:rStyle w:val="Hyperlink"/>
          <w:color w:val="000000" w:themeColor="text1"/>
        </w:rPr>
      </w:pPr>
      <w:r>
        <w:rPr>
          <w:rFonts w:ascii="Times New Roman" w:hAnsi="Times New Roman" w:cs="Times New Roman"/>
          <w:color w:val="000000" w:themeColor="text1"/>
        </w:rPr>
        <w:t xml:space="preserve">UNCTAD. Cyberlaw Tracker [Data set]. </w:t>
      </w:r>
      <w:hyperlink r:id="rId74" w:history="1">
        <w:r>
          <w:rPr>
            <w:rStyle w:val="Hyperlink"/>
            <w:rFonts w:ascii="Times New Roman" w:hAnsi="Times New Roman" w:cs="Times New Roman"/>
            <w:color w:val="000000" w:themeColor="text1"/>
          </w:rPr>
          <w:t>https://unctad.org/page/data-protection-and-privacy-legislation-worldwide</w:t>
        </w:r>
      </w:hyperlink>
    </w:p>
    <w:p w14:paraId="014C5068" w14:textId="77777777" w:rsidR="002005B0" w:rsidRDefault="002005B0" w:rsidP="002005B0">
      <w:r>
        <w:rPr>
          <w:rFonts w:ascii="Times New Roman" w:hAnsi="Times New Roman" w:cs="Times New Roman"/>
          <w:color w:val="000000" w:themeColor="text1"/>
        </w:rPr>
        <w:t>UNESCO Institute for Statistics (UIS)</w:t>
      </w:r>
      <w:r>
        <w:rPr>
          <w:rFonts w:ascii="Times New Roman" w:hAnsi="Times New Roman" w:cs="Times New Roman"/>
          <w:color w:val="000000" w:themeColor="text1"/>
          <w:lang w:val="hy-AM"/>
        </w:rPr>
        <w:t>․</w:t>
      </w:r>
      <w:r>
        <w:rPr>
          <w:rFonts w:ascii="Times New Roman" w:hAnsi="Times New Roman" w:cs="Times New Roman"/>
          <w:color w:val="000000" w:themeColor="text1"/>
        </w:rPr>
        <w:t xml:space="preserve"> UIS Database [Data set]. </w:t>
      </w:r>
      <w:hyperlink r:id="rId75" w:history="1">
        <w:r>
          <w:rPr>
            <w:rStyle w:val="Hyperlink"/>
            <w:rFonts w:ascii="Times New Roman" w:hAnsi="Times New Roman" w:cs="Times New Roman"/>
          </w:rPr>
          <w:t>http://data.uis.unesco.org/</w:t>
        </w:r>
      </w:hyperlink>
      <w:r>
        <w:rPr>
          <w:rFonts w:ascii="Times New Roman" w:hAnsi="Times New Roman" w:cs="Times New Roman"/>
          <w:color w:val="000000" w:themeColor="text1"/>
        </w:rPr>
        <w:t xml:space="preserve"> </w:t>
      </w:r>
    </w:p>
    <w:p w14:paraId="67B565D8"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United Nations Industrial Development Organization. (2019). “Cabo Verde National System of Innovation Measurement, Analysis &amp; Policy Recommendations”</w:t>
      </w:r>
    </w:p>
    <w:p w14:paraId="3510F4EC" w14:textId="77777777" w:rsidR="002005B0" w:rsidRDefault="002005B0" w:rsidP="002005B0">
      <w:pPr>
        <w:rPr>
          <w:rFonts w:ascii="Times New Roman" w:hAnsi="Times New Roman" w:cs="Times New Roman"/>
          <w:color w:val="000000" w:themeColor="text1"/>
          <w:lang w:val="pt-PT"/>
        </w:rPr>
      </w:pPr>
      <w:r>
        <w:rPr>
          <w:rFonts w:ascii="Times New Roman" w:hAnsi="Times New Roman" w:cs="Times New Roman"/>
          <w:color w:val="000000" w:themeColor="text1"/>
        </w:rPr>
        <w:t xml:space="preserve">United Nations University, UNU-E-GOV. </w:t>
      </w:r>
      <w:r>
        <w:rPr>
          <w:rFonts w:ascii="Times New Roman" w:hAnsi="Times New Roman" w:cs="Times New Roman"/>
          <w:color w:val="000000" w:themeColor="text1"/>
          <w:lang w:val="pt-PT"/>
        </w:rPr>
        <w:t>(2021). “ESTRATÉGIA PARA A GOVERNAÇÃO DIGITAL DE CABO VERDE”</w:t>
      </w:r>
    </w:p>
    <w:p w14:paraId="6690E4CA" w14:textId="2937ACE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 xml:space="preserve">United Nations. UN E-Government Knowledgebase [Data set]. </w:t>
      </w:r>
      <w:hyperlink r:id="rId76" w:history="1">
        <w:r w:rsidRPr="002005B0">
          <w:rPr>
            <w:rStyle w:val="Hyperlink"/>
            <w:rFonts w:ascii="Times New Roman" w:hAnsi="Times New Roman" w:cs="Times New Roman"/>
          </w:rPr>
          <w:t>https://publicadministration.un.org/egovkb/en-us/Data-Center</w:t>
        </w:r>
      </w:hyperlink>
    </w:p>
    <w:p w14:paraId="5FA5F82A"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Women Entrepreneurs of Cabo Verde (AME-CV). (2020). Survey of firms on COVID-19 impact on businesses. </w:t>
      </w:r>
      <w:hyperlink r:id="rId77" w:history="1">
        <w:r>
          <w:rPr>
            <w:rStyle w:val="Hyperlink"/>
            <w:rFonts w:ascii="Times New Roman" w:hAnsi="Times New Roman" w:cs="Times New Roman"/>
          </w:rPr>
          <w:t>https://e-global.pt/noticias/lusofonia/cabo-verde/cabo-verde-seis-em-cada-dez-empresas-suspenderam-atividades-durante-covid-19/</w:t>
        </w:r>
      </w:hyperlink>
      <w:r>
        <w:rPr>
          <w:rFonts w:ascii="Times New Roman" w:hAnsi="Times New Roman" w:cs="Times New Roman"/>
          <w:color w:val="000000" w:themeColor="text1"/>
        </w:rPr>
        <w:t xml:space="preserve"> </w:t>
      </w:r>
    </w:p>
    <w:p w14:paraId="7D2E5AD7"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World Bank. (2019). “Cybersecurity Capacity Review. Cape Verde”. WBG Digital Development Partnership</w:t>
      </w:r>
    </w:p>
    <w:p w14:paraId="765FE669"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World Bank. (2019). “Positioning Cabo Verde as a Regional Digital Hub”. Policy Note</w:t>
      </w:r>
    </w:p>
    <w:p w14:paraId="5817312B"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 xml:space="preserve">World Bank. (2020). “Digital Cabo Verde Project”. Project Appraisal Document </w:t>
      </w:r>
    </w:p>
    <w:p w14:paraId="0CC63589" w14:textId="77777777" w:rsidR="002005B0" w:rsidRDefault="002005B0" w:rsidP="002005B0">
      <w:pPr>
        <w:rPr>
          <w:rFonts w:ascii="Times New Roman" w:hAnsi="Times New Roman" w:cs="Times New Roman"/>
          <w:color w:val="000000" w:themeColor="text1"/>
        </w:rPr>
      </w:pPr>
      <w:r>
        <w:rPr>
          <w:rFonts w:ascii="Times New Roman" w:hAnsi="Times New Roman" w:cs="Times New Roman"/>
          <w:color w:val="000000" w:themeColor="text1"/>
        </w:rPr>
        <w:t>World Bank. (2021). “Regulatory Watch Initiative. Country Profiles. Cape Verde”. WBG Digital Development Partnership</w:t>
      </w:r>
    </w:p>
    <w:p w14:paraId="2B00865D" w14:textId="77777777" w:rsidR="002005B0" w:rsidRDefault="002005B0" w:rsidP="00A27DC3">
      <w:pPr>
        <w:jc w:val="both"/>
        <w:rPr>
          <w:rFonts w:ascii="Times New Roman" w:hAnsi="Times New Roman" w:cs="Times New Roman"/>
          <w:color w:val="000000" w:themeColor="text1"/>
        </w:rPr>
      </w:pPr>
      <w:r>
        <w:rPr>
          <w:rFonts w:ascii="Times New Roman" w:hAnsi="Times New Roman" w:cs="Times New Roman"/>
          <w:color w:val="000000" w:themeColor="text1"/>
        </w:rPr>
        <w:t xml:space="preserve">World Bank. World Development Indicators [Data set]. </w:t>
      </w:r>
      <w:hyperlink r:id="rId78" w:history="1">
        <w:r>
          <w:rPr>
            <w:rStyle w:val="Hyperlink"/>
            <w:rFonts w:ascii="Times New Roman" w:hAnsi="Times New Roman" w:cs="Times New Roman"/>
          </w:rPr>
          <w:t>https://databank.worldbank.org/source/world-development-indicators</w:t>
        </w:r>
      </w:hyperlink>
      <w:r>
        <w:rPr>
          <w:rFonts w:ascii="Times New Roman" w:hAnsi="Times New Roman" w:cs="Times New Roman"/>
          <w:color w:val="000000" w:themeColor="text1"/>
        </w:rPr>
        <w:t xml:space="preserve"> </w:t>
      </w:r>
    </w:p>
    <w:p w14:paraId="22968761" w14:textId="73648DF7" w:rsidR="00780434" w:rsidRPr="00E37229" w:rsidRDefault="00780434" w:rsidP="00780434">
      <w:pPr>
        <w:jc w:val="both"/>
        <w:rPr>
          <w:rFonts w:ascii="Times New Roman" w:eastAsia="Times New Roman" w:hAnsi="Times New Roman" w:cs="Times New Roman"/>
          <w:bCs/>
          <w:color w:val="2F5496"/>
        </w:rPr>
      </w:pPr>
    </w:p>
    <w:p w14:paraId="15149B22" w14:textId="52902F57" w:rsidR="003346E3" w:rsidRPr="00C3110D" w:rsidRDefault="003346E3" w:rsidP="00C3110D">
      <w:pPr>
        <w:spacing w:line="276" w:lineRule="auto"/>
        <w:jc w:val="both"/>
        <w:rPr>
          <w:rFonts w:ascii="Times New Roman" w:hAnsi="Times New Roman" w:cs="Times New Roman"/>
          <w:b/>
          <w:bCs/>
        </w:rPr>
      </w:pPr>
    </w:p>
    <w:p w14:paraId="7B8ADD37" w14:textId="19557504" w:rsidR="003346E3" w:rsidRPr="00007ADC" w:rsidRDefault="003346E3" w:rsidP="00C12B93">
      <w:pPr>
        <w:keepNext/>
        <w:keepLines/>
        <w:spacing w:before="40" w:after="240"/>
        <w:outlineLvl w:val="1"/>
        <w:rPr>
          <w:rFonts w:ascii="Times New Roman" w:hAnsi="Times New Roman" w:cs="Times New Roman"/>
          <w:b/>
          <w:bCs/>
        </w:rPr>
      </w:pPr>
    </w:p>
    <w:p w14:paraId="7E76D737" w14:textId="302B6519" w:rsidR="003346E3" w:rsidRDefault="003346E3" w:rsidP="0049453E">
      <w:pPr>
        <w:spacing w:line="276" w:lineRule="auto"/>
        <w:jc w:val="both"/>
        <w:rPr>
          <w:rFonts w:ascii="Times New Roman" w:hAnsi="Times New Roman" w:cs="Times New Roman"/>
          <w:b/>
          <w:bCs/>
        </w:rPr>
      </w:pPr>
    </w:p>
    <w:p w14:paraId="0BD23D56" w14:textId="1B87CA23" w:rsidR="003346E3" w:rsidRDefault="003346E3" w:rsidP="0049453E">
      <w:pPr>
        <w:spacing w:line="276" w:lineRule="auto"/>
        <w:jc w:val="both"/>
        <w:rPr>
          <w:rFonts w:ascii="Times New Roman" w:hAnsi="Times New Roman" w:cs="Times New Roman"/>
          <w:b/>
          <w:bCs/>
        </w:rPr>
      </w:pPr>
    </w:p>
    <w:p w14:paraId="4362558A" w14:textId="2E786B25" w:rsidR="003346E3" w:rsidRDefault="003346E3" w:rsidP="0049453E">
      <w:pPr>
        <w:spacing w:line="276" w:lineRule="auto"/>
        <w:jc w:val="both"/>
        <w:rPr>
          <w:rFonts w:ascii="Times New Roman" w:hAnsi="Times New Roman" w:cs="Times New Roman"/>
          <w:b/>
          <w:bCs/>
        </w:rPr>
      </w:pPr>
    </w:p>
    <w:p w14:paraId="5CB34661" w14:textId="649FCC34" w:rsidR="003346E3" w:rsidRDefault="003346E3" w:rsidP="0049453E">
      <w:pPr>
        <w:spacing w:line="276" w:lineRule="auto"/>
        <w:jc w:val="both"/>
        <w:rPr>
          <w:rFonts w:ascii="Times New Roman" w:hAnsi="Times New Roman" w:cs="Times New Roman"/>
          <w:b/>
          <w:bCs/>
        </w:rPr>
      </w:pPr>
    </w:p>
    <w:p w14:paraId="6169E658" w14:textId="420A7A35" w:rsidR="003346E3" w:rsidRDefault="003346E3" w:rsidP="0049453E">
      <w:pPr>
        <w:spacing w:line="276" w:lineRule="auto"/>
        <w:jc w:val="both"/>
        <w:rPr>
          <w:rFonts w:ascii="Times New Roman" w:hAnsi="Times New Roman" w:cs="Times New Roman"/>
          <w:b/>
          <w:bCs/>
        </w:rPr>
      </w:pPr>
    </w:p>
    <w:p w14:paraId="7F06FCAA" w14:textId="0CDA9A2E" w:rsidR="00491324" w:rsidRDefault="00491324" w:rsidP="0049453E">
      <w:pPr>
        <w:spacing w:line="276" w:lineRule="auto"/>
        <w:jc w:val="both"/>
        <w:rPr>
          <w:rFonts w:ascii="Times New Roman" w:hAnsi="Times New Roman" w:cs="Times New Roman"/>
          <w:b/>
          <w:bCs/>
        </w:rPr>
      </w:pPr>
    </w:p>
    <w:p w14:paraId="39598145" w14:textId="77777777" w:rsidR="00240042" w:rsidRDefault="00240042" w:rsidP="0049453E">
      <w:pPr>
        <w:spacing w:line="276" w:lineRule="auto"/>
        <w:jc w:val="both"/>
        <w:rPr>
          <w:rFonts w:ascii="Times New Roman" w:hAnsi="Times New Roman" w:cs="Times New Roman"/>
          <w:b/>
          <w:bCs/>
        </w:rPr>
      </w:pPr>
    </w:p>
    <w:p w14:paraId="06A33F0E" w14:textId="77777777" w:rsidR="00491324" w:rsidRPr="00060CE2" w:rsidRDefault="00491324" w:rsidP="00491324">
      <w:pPr>
        <w:pStyle w:val="Heading1"/>
        <w:spacing w:after="240"/>
        <w:jc w:val="center"/>
        <w:rPr>
          <w:rFonts w:ascii="Times New Roman" w:hAnsi="Times New Roman" w:cs="Times New Roman"/>
          <w:b/>
        </w:rPr>
      </w:pPr>
      <w:bookmarkStart w:id="109" w:name="_Toc105592819"/>
      <w:r w:rsidRPr="00060CE2">
        <w:rPr>
          <w:rFonts w:ascii="Times New Roman" w:hAnsi="Times New Roman" w:cs="Times New Roman"/>
          <w:b/>
        </w:rPr>
        <w:lastRenderedPageBreak/>
        <w:t>Annex 1: Key Fiscal Indicators</w:t>
      </w:r>
      <w:bookmarkEnd w:id="109"/>
    </w:p>
    <w:p w14:paraId="41522005" w14:textId="4E5729C2" w:rsidR="00491324" w:rsidRDefault="00491324" w:rsidP="00491324">
      <w:pPr>
        <w:spacing w:line="276" w:lineRule="auto"/>
        <w:jc w:val="both"/>
        <w:rPr>
          <w:rFonts w:ascii="Times New Roman" w:eastAsia="Times New Roman" w:hAnsi="Times New Roman" w:cs="Times New Roman"/>
          <w:b/>
          <w:color w:val="2F5496"/>
        </w:rPr>
      </w:pPr>
      <w:r>
        <w:rPr>
          <w:rFonts w:ascii="Times New Roman" w:eastAsia="Times New Roman" w:hAnsi="Times New Roman" w:cs="Times New Roman"/>
          <w:b/>
          <w:color w:val="2F5496"/>
        </w:rPr>
        <w:t xml:space="preserve">                                                                   </w:t>
      </w:r>
      <w:r w:rsidRPr="00C87120">
        <w:rPr>
          <w:rFonts w:ascii="Times New Roman" w:eastAsia="Times New Roman" w:hAnsi="Times New Roman" w:cs="Times New Roman"/>
          <w:b/>
          <w:color w:val="2F5496"/>
        </w:rPr>
        <w:t>(Percentage of GDP)</w:t>
      </w:r>
    </w:p>
    <w:tbl>
      <w:tblPr>
        <w:tblW w:w="8614" w:type="dxa"/>
        <w:jc w:val="center"/>
        <w:tblLook w:val="04A0" w:firstRow="1" w:lastRow="0" w:firstColumn="1" w:lastColumn="0" w:noHBand="0" w:noVBand="1"/>
      </w:tblPr>
      <w:tblGrid>
        <w:gridCol w:w="2445"/>
        <w:gridCol w:w="345"/>
        <w:gridCol w:w="666"/>
        <w:gridCol w:w="666"/>
        <w:gridCol w:w="666"/>
        <w:gridCol w:w="666"/>
        <w:gridCol w:w="222"/>
        <w:gridCol w:w="754"/>
        <w:gridCol w:w="728"/>
        <w:gridCol w:w="728"/>
        <w:gridCol w:w="728"/>
      </w:tblGrid>
      <w:tr w:rsidR="00491324" w:rsidRPr="00997026" w14:paraId="0F338FC8" w14:textId="77777777" w:rsidTr="00491324">
        <w:trPr>
          <w:trHeight w:val="300"/>
          <w:jc w:val="center"/>
        </w:trPr>
        <w:tc>
          <w:tcPr>
            <w:tcW w:w="2790" w:type="dxa"/>
            <w:gridSpan w:val="2"/>
            <w:tcBorders>
              <w:top w:val="double" w:sz="6" w:space="0" w:color="auto"/>
              <w:left w:val="nil"/>
              <w:bottom w:val="nil"/>
              <w:right w:val="nil"/>
            </w:tcBorders>
            <w:shd w:val="clear" w:color="000000" w:fill="FFFFFF"/>
            <w:noWrap/>
            <w:vAlign w:val="bottom"/>
            <w:hideMark/>
          </w:tcPr>
          <w:p w14:paraId="25775D72"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2664" w:type="dxa"/>
            <w:gridSpan w:val="4"/>
            <w:tcBorders>
              <w:top w:val="double" w:sz="6" w:space="0" w:color="auto"/>
              <w:left w:val="nil"/>
              <w:bottom w:val="single" w:sz="4" w:space="0" w:color="auto"/>
              <w:right w:val="single" w:sz="4" w:space="0" w:color="000000"/>
            </w:tcBorders>
            <w:shd w:val="clear" w:color="000000" w:fill="FFFFFF"/>
            <w:noWrap/>
            <w:vAlign w:val="bottom"/>
            <w:hideMark/>
          </w:tcPr>
          <w:p w14:paraId="6F489689"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Actual</w:t>
            </w:r>
          </w:p>
        </w:tc>
        <w:tc>
          <w:tcPr>
            <w:tcW w:w="222" w:type="dxa"/>
            <w:tcBorders>
              <w:top w:val="double" w:sz="6" w:space="0" w:color="auto"/>
              <w:left w:val="nil"/>
              <w:bottom w:val="single" w:sz="4" w:space="0" w:color="auto"/>
              <w:right w:val="nil"/>
            </w:tcBorders>
            <w:shd w:val="clear" w:color="000000" w:fill="FFFFFF"/>
          </w:tcPr>
          <w:p w14:paraId="4EC3ECFC"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p>
        </w:tc>
        <w:tc>
          <w:tcPr>
            <w:tcW w:w="2938" w:type="dxa"/>
            <w:gridSpan w:val="4"/>
            <w:tcBorders>
              <w:top w:val="double" w:sz="6" w:space="0" w:color="auto"/>
              <w:left w:val="nil"/>
              <w:bottom w:val="single" w:sz="4" w:space="0" w:color="auto"/>
              <w:right w:val="nil"/>
            </w:tcBorders>
            <w:shd w:val="clear" w:color="000000" w:fill="FFFFFF"/>
            <w:noWrap/>
            <w:vAlign w:val="bottom"/>
            <w:hideMark/>
          </w:tcPr>
          <w:p w14:paraId="4D674E4C"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Baseline</w:t>
            </w:r>
          </w:p>
        </w:tc>
      </w:tr>
      <w:tr w:rsidR="00491324" w:rsidRPr="00997026" w14:paraId="3A12DE2A" w14:textId="77777777" w:rsidTr="00491324">
        <w:trPr>
          <w:trHeight w:val="270"/>
          <w:jc w:val="center"/>
        </w:trPr>
        <w:tc>
          <w:tcPr>
            <w:tcW w:w="2790" w:type="dxa"/>
            <w:gridSpan w:val="2"/>
            <w:tcBorders>
              <w:top w:val="nil"/>
              <w:left w:val="nil"/>
              <w:bottom w:val="double" w:sz="6" w:space="0" w:color="auto"/>
              <w:right w:val="nil"/>
            </w:tcBorders>
            <w:shd w:val="clear" w:color="000000" w:fill="FFFFFF"/>
            <w:noWrap/>
            <w:vAlign w:val="bottom"/>
            <w:hideMark/>
          </w:tcPr>
          <w:p w14:paraId="481F9AC9"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double" w:sz="6" w:space="0" w:color="auto"/>
              <w:right w:val="nil"/>
            </w:tcBorders>
            <w:shd w:val="clear" w:color="000000" w:fill="FFFFFF"/>
            <w:noWrap/>
            <w:vAlign w:val="bottom"/>
            <w:hideMark/>
          </w:tcPr>
          <w:p w14:paraId="7F81F485"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2017</w:t>
            </w:r>
          </w:p>
        </w:tc>
        <w:tc>
          <w:tcPr>
            <w:tcW w:w="666" w:type="dxa"/>
            <w:tcBorders>
              <w:top w:val="nil"/>
              <w:left w:val="nil"/>
              <w:bottom w:val="double" w:sz="6" w:space="0" w:color="auto"/>
              <w:right w:val="nil"/>
            </w:tcBorders>
            <w:shd w:val="clear" w:color="000000" w:fill="FFFFFF"/>
            <w:noWrap/>
            <w:vAlign w:val="bottom"/>
            <w:hideMark/>
          </w:tcPr>
          <w:p w14:paraId="378E9AE9"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2018</w:t>
            </w:r>
          </w:p>
        </w:tc>
        <w:tc>
          <w:tcPr>
            <w:tcW w:w="666" w:type="dxa"/>
            <w:tcBorders>
              <w:top w:val="nil"/>
              <w:left w:val="nil"/>
              <w:bottom w:val="double" w:sz="6" w:space="0" w:color="auto"/>
              <w:right w:val="nil"/>
            </w:tcBorders>
            <w:shd w:val="clear" w:color="000000" w:fill="FFFFFF"/>
            <w:noWrap/>
            <w:vAlign w:val="bottom"/>
            <w:hideMark/>
          </w:tcPr>
          <w:p w14:paraId="74D9BB93"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2019</w:t>
            </w:r>
          </w:p>
        </w:tc>
        <w:tc>
          <w:tcPr>
            <w:tcW w:w="666" w:type="dxa"/>
            <w:tcBorders>
              <w:top w:val="nil"/>
              <w:left w:val="nil"/>
              <w:bottom w:val="double" w:sz="6" w:space="0" w:color="auto"/>
              <w:right w:val="single" w:sz="4" w:space="0" w:color="auto"/>
            </w:tcBorders>
            <w:shd w:val="clear" w:color="000000" w:fill="FFFFFF"/>
            <w:noWrap/>
            <w:vAlign w:val="bottom"/>
            <w:hideMark/>
          </w:tcPr>
          <w:p w14:paraId="5FFDFBEC"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2020</w:t>
            </w:r>
          </w:p>
        </w:tc>
        <w:tc>
          <w:tcPr>
            <w:tcW w:w="222" w:type="dxa"/>
            <w:tcBorders>
              <w:top w:val="nil"/>
              <w:left w:val="nil"/>
              <w:bottom w:val="double" w:sz="6" w:space="0" w:color="auto"/>
              <w:right w:val="nil"/>
            </w:tcBorders>
            <w:shd w:val="clear" w:color="000000" w:fill="FFFFFF"/>
          </w:tcPr>
          <w:p w14:paraId="2DB680F3"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p>
        </w:tc>
        <w:tc>
          <w:tcPr>
            <w:tcW w:w="754" w:type="dxa"/>
            <w:tcBorders>
              <w:top w:val="nil"/>
              <w:left w:val="nil"/>
              <w:bottom w:val="double" w:sz="6" w:space="0" w:color="auto"/>
              <w:right w:val="nil"/>
            </w:tcBorders>
            <w:shd w:val="clear" w:color="000000" w:fill="FFFFFF"/>
            <w:noWrap/>
            <w:vAlign w:val="bottom"/>
            <w:hideMark/>
          </w:tcPr>
          <w:p w14:paraId="4D7DB98D"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2021</w:t>
            </w:r>
            <w:r>
              <w:rPr>
                <w:rFonts w:ascii="Times New Roman" w:eastAsia="Times New Roman" w:hAnsi="Times New Roman" w:cs="Times New Roman"/>
                <w:b/>
                <w:bCs/>
                <w:color w:val="000000"/>
                <w:sz w:val="20"/>
                <w:szCs w:val="20"/>
              </w:rPr>
              <w:t>e</w:t>
            </w:r>
          </w:p>
        </w:tc>
        <w:tc>
          <w:tcPr>
            <w:tcW w:w="728" w:type="dxa"/>
            <w:tcBorders>
              <w:top w:val="nil"/>
              <w:left w:val="nil"/>
              <w:bottom w:val="double" w:sz="6" w:space="0" w:color="auto"/>
              <w:right w:val="nil"/>
            </w:tcBorders>
            <w:shd w:val="clear" w:color="000000" w:fill="FFFFFF"/>
            <w:noWrap/>
            <w:vAlign w:val="bottom"/>
            <w:hideMark/>
          </w:tcPr>
          <w:p w14:paraId="6B4436CE"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2022p</w:t>
            </w:r>
          </w:p>
        </w:tc>
        <w:tc>
          <w:tcPr>
            <w:tcW w:w="728" w:type="dxa"/>
            <w:tcBorders>
              <w:top w:val="nil"/>
              <w:left w:val="nil"/>
              <w:bottom w:val="double" w:sz="6" w:space="0" w:color="auto"/>
              <w:right w:val="nil"/>
            </w:tcBorders>
            <w:shd w:val="clear" w:color="000000" w:fill="FFFFFF"/>
            <w:noWrap/>
            <w:vAlign w:val="bottom"/>
            <w:hideMark/>
          </w:tcPr>
          <w:p w14:paraId="32F75BD9"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2023p</w:t>
            </w:r>
          </w:p>
        </w:tc>
        <w:tc>
          <w:tcPr>
            <w:tcW w:w="728" w:type="dxa"/>
            <w:tcBorders>
              <w:top w:val="nil"/>
              <w:left w:val="nil"/>
              <w:bottom w:val="double" w:sz="6" w:space="0" w:color="auto"/>
              <w:right w:val="nil"/>
            </w:tcBorders>
            <w:shd w:val="clear" w:color="000000" w:fill="FFFFFF"/>
            <w:noWrap/>
            <w:vAlign w:val="bottom"/>
            <w:hideMark/>
          </w:tcPr>
          <w:p w14:paraId="568B5398" w14:textId="77777777" w:rsidR="00491324" w:rsidRPr="00997026" w:rsidRDefault="00491324" w:rsidP="00B42E40">
            <w:pPr>
              <w:spacing w:after="0" w:line="240" w:lineRule="auto"/>
              <w:jc w:val="center"/>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2024p</w:t>
            </w:r>
          </w:p>
        </w:tc>
      </w:tr>
      <w:tr w:rsidR="00491324" w:rsidRPr="00997026" w14:paraId="0A2447B7" w14:textId="77777777" w:rsidTr="00491324">
        <w:trPr>
          <w:trHeight w:val="270"/>
          <w:jc w:val="center"/>
        </w:trPr>
        <w:tc>
          <w:tcPr>
            <w:tcW w:w="2445" w:type="dxa"/>
            <w:tcBorders>
              <w:top w:val="double" w:sz="6" w:space="0" w:color="auto"/>
              <w:left w:val="nil"/>
              <w:bottom w:val="nil"/>
              <w:right w:val="nil"/>
            </w:tcBorders>
            <w:shd w:val="clear" w:color="000000" w:fill="FFFFFF"/>
          </w:tcPr>
          <w:p w14:paraId="00E1B2F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6169" w:type="dxa"/>
            <w:gridSpan w:val="10"/>
            <w:tcBorders>
              <w:top w:val="double" w:sz="6" w:space="0" w:color="auto"/>
              <w:left w:val="nil"/>
              <w:bottom w:val="nil"/>
              <w:right w:val="nil"/>
            </w:tcBorders>
            <w:shd w:val="clear" w:color="000000" w:fill="FFFFFF"/>
            <w:noWrap/>
            <w:vAlign w:val="bottom"/>
            <w:hideMark/>
          </w:tcPr>
          <w:p w14:paraId="6D9BB96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(In percent of GDP)</w:t>
            </w:r>
          </w:p>
        </w:tc>
      </w:tr>
      <w:tr w:rsidR="00491324" w:rsidRPr="00997026" w14:paraId="20217DDF"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2CDFE56A"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Total Revenues</w:t>
            </w:r>
          </w:p>
        </w:tc>
        <w:tc>
          <w:tcPr>
            <w:tcW w:w="666" w:type="dxa"/>
            <w:tcBorders>
              <w:top w:val="nil"/>
              <w:left w:val="nil"/>
              <w:bottom w:val="nil"/>
              <w:right w:val="nil"/>
            </w:tcBorders>
            <w:shd w:val="clear" w:color="000000" w:fill="FFFFFF"/>
            <w:noWrap/>
            <w:vAlign w:val="bottom"/>
            <w:hideMark/>
          </w:tcPr>
          <w:p w14:paraId="2470D43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28.6</w:t>
            </w:r>
          </w:p>
        </w:tc>
        <w:tc>
          <w:tcPr>
            <w:tcW w:w="666" w:type="dxa"/>
            <w:tcBorders>
              <w:top w:val="nil"/>
              <w:left w:val="nil"/>
              <w:bottom w:val="nil"/>
              <w:right w:val="nil"/>
            </w:tcBorders>
            <w:shd w:val="clear" w:color="000000" w:fill="FFFFFF"/>
            <w:noWrap/>
            <w:vAlign w:val="bottom"/>
            <w:hideMark/>
          </w:tcPr>
          <w:p w14:paraId="178B4C5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28.</w:t>
            </w:r>
            <w:r>
              <w:rPr>
                <w:rFonts w:ascii="Times New Roman" w:eastAsia="Times New Roman" w:hAnsi="Times New Roman" w:cs="Times New Roman"/>
                <w:color w:val="000000"/>
                <w:sz w:val="20"/>
                <w:szCs w:val="20"/>
              </w:rPr>
              <w:t>2</w:t>
            </w:r>
          </w:p>
        </w:tc>
        <w:tc>
          <w:tcPr>
            <w:tcW w:w="666" w:type="dxa"/>
            <w:tcBorders>
              <w:top w:val="nil"/>
              <w:left w:val="nil"/>
              <w:bottom w:val="nil"/>
              <w:right w:val="nil"/>
            </w:tcBorders>
            <w:shd w:val="clear" w:color="000000" w:fill="FFFFFF"/>
            <w:noWrap/>
            <w:vAlign w:val="bottom"/>
            <w:hideMark/>
          </w:tcPr>
          <w:p w14:paraId="55FC0B6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29.4</w:t>
            </w:r>
          </w:p>
        </w:tc>
        <w:tc>
          <w:tcPr>
            <w:tcW w:w="666" w:type="dxa"/>
            <w:tcBorders>
              <w:top w:val="nil"/>
              <w:left w:val="nil"/>
              <w:bottom w:val="nil"/>
              <w:right w:val="nil"/>
            </w:tcBorders>
            <w:shd w:val="clear" w:color="000000" w:fill="FFFFFF"/>
            <w:noWrap/>
            <w:vAlign w:val="bottom"/>
            <w:hideMark/>
          </w:tcPr>
          <w:p w14:paraId="414D726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26.5</w:t>
            </w:r>
          </w:p>
        </w:tc>
        <w:tc>
          <w:tcPr>
            <w:tcW w:w="222" w:type="dxa"/>
            <w:tcBorders>
              <w:top w:val="nil"/>
              <w:left w:val="nil"/>
              <w:bottom w:val="nil"/>
              <w:right w:val="nil"/>
            </w:tcBorders>
            <w:shd w:val="clear" w:color="000000" w:fill="FFFFFF"/>
          </w:tcPr>
          <w:p w14:paraId="532B0EB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35E17EB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5.8</w:t>
            </w:r>
          </w:p>
        </w:tc>
        <w:tc>
          <w:tcPr>
            <w:tcW w:w="728" w:type="dxa"/>
            <w:tcBorders>
              <w:top w:val="nil"/>
              <w:left w:val="nil"/>
              <w:bottom w:val="nil"/>
              <w:right w:val="nil"/>
            </w:tcBorders>
            <w:shd w:val="clear" w:color="000000" w:fill="FFFFFF"/>
            <w:noWrap/>
            <w:vAlign w:val="bottom"/>
            <w:hideMark/>
          </w:tcPr>
          <w:p w14:paraId="26C8123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29.</w:t>
            </w:r>
            <w:r>
              <w:rPr>
                <w:rFonts w:ascii="Times New Roman" w:eastAsia="Times New Roman" w:hAnsi="Times New Roman" w:cs="Times New Roman"/>
                <w:color w:val="000000"/>
                <w:sz w:val="20"/>
                <w:szCs w:val="20"/>
              </w:rPr>
              <w:t>2</w:t>
            </w:r>
          </w:p>
        </w:tc>
        <w:tc>
          <w:tcPr>
            <w:tcW w:w="728" w:type="dxa"/>
            <w:tcBorders>
              <w:top w:val="nil"/>
              <w:left w:val="nil"/>
              <w:bottom w:val="nil"/>
              <w:right w:val="nil"/>
            </w:tcBorders>
            <w:shd w:val="clear" w:color="000000" w:fill="FFFFFF"/>
            <w:noWrap/>
            <w:vAlign w:val="bottom"/>
            <w:hideMark/>
          </w:tcPr>
          <w:p w14:paraId="646ED37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w:t>
            </w:r>
          </w:p>
        </w:tc>
        <w:tc>
          <w:tcPr>
            <w:tcW w:w="728" w:type="dxa"/>
            <w:tcBorders>
              <w:top w:val="nil"/>
              <w:left w:val="nil"/>
              <w:bottom w:val="nil"/>
              <w:right w:val="nil"/>
            </w:tcBorders>
            <w:shd w:val="clear" w:color="000000" w:fill="FFFFFF"/>
            <w:noWrap/>
            <w:vAlign w:val="bottom"/>
            <w:hideMark/>
          </w:tcPr>
          <w:p w14:paraId="0AB36B2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31.2</w:t>
            </w:r>
          </w:p>
        </w:tc>
      </w:tr>
      <w:tr w:rsidR="00491324" w:rsidRPr="00997026" w14:paraId="1456AFEA"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3FE6A649"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Tax revenues</w:t>
            </w:r>
          </w:p>
        </w:tc>
        <w:tc>
          <w:tcPr>
            <w:tcW w:w="666" w:type="dxa"/>
            <w:tcBorders>
              <w:top w:val="nil"/>
              <w:left w:val="nil"/>
              <w:bottom w:val="nil"/>
              <w:right w:val="nil"/>
            </w:tcBorders>
            <w:shd w:val="clear" w:color="000000" w:fill="FFFFFF"/>
            <w:noWrap/>
            <w:vAlign w:val="bottom"/>
            <w:hideMark/>
          </w:tcPr>
          <w:p w14:paraId="0E8602E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20.8</w:t>
            </w:r>
          </w:p>
        </w:tc>
        <w:tc>
          <w:tcPr>
            <w:tcW w:w="666" w:type="dxa"/>
            <w:tcBorders>
              <w:top w:val="nil"/>
              <w:left w:val="nil"/>
              <w:bottom w:val="nil"/>
              <w:right w:val="nil"/>
            </w:tcBorders>
            <w:shd w:val="clear" w:color="000000" w:fill="FFFFFF"/>
            <w:noWrap/>
            <w:vAlign w:val="bottom"/>
            <w:hideMark/>
          </w:tcPr>
          <w:p w14:paraId="462B381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22.1</w:t>
            </w:r>
          </w:p>
        </w:tc>
        <w:tc>
          <w:tcPr>
            <w:tcW w:w="666" w:type="dxa"/>
            <w:tcBorders>
              <w:top w:val="nil"/>
              <w:left w:val="nil"/>
              <w:bottom w:val="nil"/>
              <w:right w:val="nil"/>
            </w:tcBorders>
            <w:shd w:val="clear" w:color="000000" w:fill="FFFFFF"/>
            <w:noWrap/>
            <w:vAlign w:val="bottom"/>
            <w:hideMark/>
          </w:tcPr>
          <w:p w14:paraId="03134C6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21.5</w:t>
            </w:r>
          </w:p>
        </w:tc>
        <w:tc>
          <w:tcPr>
            <w:tcW w:w="666" w:type="dxa"/>
            <w:tcBorders>
              <w:top w:val="nil"/>
              <w:left w:val="nil"/>
              <w:bottom w:val="nil"/>
              <w:right w:val="nil"/>
            </w:tcBorders>
            <w:shd w:val="clear" w:color="000000" w:fill="FFFFFF"/>
            <w:noWrap/>
            <w:vAlign w:val="bottom"/>
            <w:hideMark/>
          </w:tcPr>
          <w:p w14:paraId="1665FB6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19.3</w:t>
            </w:r>
          </w:p>
        </w:tc>
        <w:tc>
          <w:tcPr>
            <w:tcW w:w="222" w:type="dxa"/>
            <w:tcBorders>
              <w:top w:val="nil"/>
              <w:left w:val="nil"/>
              <w:bottom w:val="nil"/>
              <w:right w:val="nil"/>
            </w:tcBorders>
            <w:shd w:val="clear" w:color="000000" w:fill="FFFFFF"/>
          </w:tcPr>
          <w:p w14:paraId="616A9A4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51AD69F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18.</w:t>
            </w:r>
            <w:r>
              <w:rPr>
                <w:rFonts w:ascii="Times New Roman" w:eastAsia="Times New Roman" w:hAnsi="Times New Roman" w:cs="Times New Roman"/>
                <w:color w:val="000000"/>
                <w:sz w:val="20"/>
                <w:szCs w:val="20"/>
              </w:rPr>
              <w:t>9</w:t>
            </w:r>
          </w:p>
        </w:tc>
        <w:tc>
          <w:tcPr>
            <w:tcW w:w="728" w:type="dxa"/>
            <w:tcBorders>
              <w:top w:val="nil"/>
              <w:left w:val="nil"/>
              <w:bottom w:val="nil"/>
              <w:right w:val="nil"/>
            </w:tcBorders>
            <w:shd w:val="clear" w:color="000000" w:fill="FFFFFF"/>
            <w:noWrap/>
            <w:vAlign w:val="bottom"/>
            <w:hideMark/>
          </w:tcPr>
          <w:p w14:paraId="04C5F55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0.8</w:t>
            </w:r>
          </w:p>
        </w:tc>
        <w:tc>
          <w:tcPr>
            <w:tcW w:w="728" w:type="dxa"/>
            <w:tcBorders>
              <w:top w:val="nil"/>
              <w:left w:val="nil"/>
              <w:bottom w:val="nil"/>
              <w:right w:val="nil"/>
            </w:tcBorders>
            <w:shd w:val="clear" w:color="000000" w:fill="FFFFFF"/>
            <w:noWrap/>
            <w:vAlign w:val="bottom"/>
            <w:hideMark/>
          </w:tcPr>
          <w:p w14:paraId="39625D6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2.1</w:t>
            </w:r>
          </w:p>
        </w:tc>
        <w:tc>
          <w:tcPr>
            <w:tcW w:w="728" w:type="dxa"/>
            <w:tcBorders>
              <w:top w:val="nil"/>
              <w:left w:val="nil"/>
              <w:bottom w:val="nil"/>
              <w:right w:val="nil"/>
            </w:tcBorders>
            <w:shd w:val="clear" w:color="000000" w:fill="FFFFFF"/>
            <w:noWrap/>
            <w:vAlign w:val="bottom"/>
            <w:hideMark/>
          </w:tcPr>
          <w:p w14:paraId="0DA52A5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3</w:t>
            </w:r>
            <w:r w:rsidRPr="00997026">
              <w:rPr>
                <w:rFonts w:ascii="Times New Roman" w:eastAsia="Times New Roman" w:hAnsi="Times New Roman" w:cs="Times New Roman"/>
                <w:color w:val="000000"/>
                <w:sz w:val="20"/>
                <w:szCs w:val="20"/>
              </w:rPr>
              <w:t>.3</w:t>
            </w:r>
          </w:p>
        </w:tc>
      </w:tr>
      <w:tr w:rsidR="00491324" w:rsidRPr="00997026" w14:paraId="3F47269A"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5CA76917"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Tax on income and profit</w:t>
            </w:r>
          </w:p>
        </w:tc>
        <w:tc>
          <w:tcPr>
            <w:tcW w:w="666" w:type="dxa"/>
            <w:tcBorders>
              <w:top w:val="nil"/>
              <w:left w:val="nil"/>
              <w:bottom w:val="nil"/>
              <w:right w:val="nil"/>
            </w:tcBorders>
            <w:shd w:val="clear" w:color="000000" w:fill="FFFFFF"/>
            <w:noWrap/>
            <w:vAlign w:val="bottom"/>
            <w:hideMark/>
          </w:tcPr>
          <w:p w14:paraId="1D77835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6.5</w:t>
            </w:r>
          </w:p>
        </w:tc>
        <w:tc>
          <w:tcPr>
            <w:tcW w:w="666" w:type="dxa"/>
            <w:tcBorders>
              <w:top w:val="nil"/>
              <w:left w:val="nil"/>
              <w:bottom w:val="nil"/>
              <w:right w:val="nil"/>
            </w:tcBorders>
            <w:shd w:val="clear" w:color="000000" w:fill="FFFFFF"/>
            <w:noWrap/>
            <w:vAlign w:val="bottom"/>
            <w:hideMark/>
          </w:tcPr>
          <w:p w14:paraId="0CF5FD8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6.7</w:t>
            </w:r>
          </w:p>
        </w:tc>
        <w:tc>
          <w:tcPr>
            <w:tcW w:w="666" w:type="dxa"/>
            <w:tcBorders>
              <w:top w:val="nil"/>
              <w:left w:val="nil"/>
              <w:bottom w:val="nil"/>
              <w:right w:val="nil"/>
            </w:tcBorders>
            <w:shd w:val="clear" w:color="000000" w:fill="FFFFFF"/>
            <w:noWrap/>
            <w:vAlign w:val="bottom"/>
            <w:hideMark/>
          </w:tcPr>
          <w:p w14:paraId="540C70A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6.5</w:t>
            </w:r>
          </w:p>
        </w:tc>
        <w:tc>
          <w:tcPr>
            <w:tcW w:w="666" w:type="dxa"/>
            <w:tcBorders>
              <w:top w:val="nil"/>
              <w:left w:val="nil"/>
              <w:bottom w:val="nil"/>
              <w:right w:val="nil"/>
            </w:tcBorders>
            <w:shd w:val="clear" w:color="000000" w:fill="FFFFFF"/>
            <w:noWrap/>
            <w:vAlign w:val="bottom"/>
            <w:hideMark/>
          </w:tcPr>
          <w:p w14:paraId="7C4B52A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5.9</w:t>
            </w:r>
          </w:p>
        </w:tc>
        <w:tc>
          <w:tcPr>
            <w:tcW w:w="222" w:type="dxa"/>
            <w:tcBorders>
              <w:top w:val="nil"/>
              <w:left w:val="nil"/>
              <w:bottom w:val="nil"/>
              <w:right w:val="nil"/>
            </w:tcBorders>
            <w:shd w:val="clear" w:color="000000" w:fill="FFFFFF"/>
          </w:tcPr>
          <w:p w14:paraId="70AE6DD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6EB7B7B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0</w:t>
            </w:r>
          </w:p>
        </w:tc>
        <w:tc>
          <w:tcPr>
            <w:tcW w:w="728" w:type="dxa"/>
            <w:tcBorders>
              <w:top w:val="nil"/>
              <w:left w:val="nil"/>
              <w:bottom w:val="nil"/>
              <w:right w:val="nil"/>
            </w:tcBorders>
            <w:shd w:val="clear" w:color="000000" w:fill="FFFFFF"/>
            <w:noWrap/>
            <w:vAlign w:val="bottom"/>
            <w:hideMark/>
          </w:tcPr>
          <w:p w14:paraId="19103B7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w:t>
            </w:r>
          </w:p>
        </w:tc>
        <w:tc>
          <w:tcPr>
            <w:tcW w:w="728" w:type="dxa"/>
            <w:tcBorders>
              <w:top w:val="nil"/>
              <w:left w:val="nil"/>
              <w:bottom w:val="nil"/>
              <w:right w:val="nil"/>
            </w:tcBorders>
            <w:shd w:val="clear" w:color="000000" w:fill="FFFFFF"/>
            <w:noWrap/>
            <w:vAlign w:val="bottom"/>
            <w:hideMark/>
          </w:tcPr>
          <w:p w14:paraId="1EC5A5B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c>
          <w:tcPr>
            <w:tcW w:w="728" w:type="dxa"/>
            <w:tcBorders>
              <w:top w:val="nil"/>
              <w:left w:val="nil"/>
              <w:bottom w:val="nil"/>
              <w:right w:val="nil"/>
            </w:tcBorders>
            <w:shd w:val="clear" w:color="000000" w:fill="FFFFFF"/>
            <w:noWrap/>
            <w:vAlign w:val="bottom"/>
            <w:hideMark/>
          </w:tcPr>
          <w:p w14:paraId="1F73F9E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5.7</w:t>
            </w:r>
          </w:p>
        </w:tc>
      </w:tr>
      <w:tr w:rsidR="00491324" w:rsidRPr="00997026" w14:paraId="015C1023"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27A0BC50"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Tax on Goods and Services </w:t>
            </w:r>
          </w:p>
        </w:tc>
        <w:tc>
          <w:tcPr>
            <w:tcW w:w="666" w:type="dxa"/>
            <w:tcBorders>
              <w:top w:val="nil"/>
              <w:left w:val="nil"/>
              <w:bottom w:val="nil"/>
              <w:right w:val="nil"/>
            </w:tcBorders>
            <w:shd w:val="clear" w:color="000000" w:fill="FFFFFF"/>
            <w:noWrap/>
            <w:vAlign w:val="bottom"/>
            <w:hideMark/>
          </w:tcPr>
          <w:p w14:paraId="5C64FEC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9.7</w:t>
            </w:r>
          </w:p>
        </w:tc>
        <w:tc>
          <w:tcPr>
            <w:tcW w:w="666" w:type="dxa"/>
            <w:tcBorders>
              <w:top w:val="nil"/>
              <w:left w:val="nil"/>
              <w:bottom w:val="nil"/>
              <w:right w:val="nil"/>
            </w:tcBorders>
            <w:shd w:val="clear" w:color="000000" w:fill="FFFFFF"/>
            <w:noWrap/>
            <w:vAlign w:val="bottom"/>
            <w:hideMark/>
          </w:tcPr>
          <w:p w14:paraId="298F47E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10.8</w:t>
            </w:r>
          </w:p>
        </w:tc>
        <w:tc>
          <w:tcPr>
            <w:tcW w:w="666" w:type="dxa"/>
            <w:tcBorders>
              <w:top w:val="nil"/>
              <w:left w:val="nil"/>
              <w:bottom w:val="nil"/>
              <w:right w:val="nil"/>
            </w:tcBorders>
            <w:shd w:val="clear" w:color="000000" w:fill="FFFFFF"/>
            <w:noWrap/>
            <w:vAlign w:val="bottom"/>
            <w:hideMark/>
          </w:tcPr>
          <w:p w14:paraId="78C71FF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10.6</w:t>
            </w:r>
          </w:p>
        </w:tc>
        <w:tc>
          <w:tcPr>
            <w:tcW w:w="666" w:type="dxa"/>
            <w:tcBorders>
              <w:top w:val="nil"/>
              <w:left w:val="nil"/>
              <w:bottom w:val="nil"/>
              <w:right w:val="nil"/>
            </w:tcBorders>
            <w:shd w:val="clear" w:color="000000" w:fill="FFFFFF"/>
            <w:noWrap/>
            <w:vAlign w:val="bottom"/>
            <w:hideMark/>
          </w:tcPr>
          <w:p w14:paraId="0A21606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9.2</w:t>
            </w:r>
          </w:p>
        </w:tc>
        <w:tc>
          <w:tcPr>
            <w:tcW w:w="222" w:type="dxa"/>
            <w:tcBorders>
              <w:top w:val="nil"/>
              <w:left w:val="nil"/>
              <w:bottom w:val="nil"/>
              <w:right w:val="nil"/>
            </w:tcBorders>
            <w:shd w:val="clear" w:color="000000" w:fill="FFFFFF"/>
          </w:tcPr>
          <w:p w14:paraId="3D7B3E9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3C1CAFB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w:t>
            </w:r>
          </w:p>
        </w:tc>
        <w:tc>
          <w:tcPr>
            <w:tcW w:w="728" w:type="dxa"/>
            <w:tcBorders>
              <w:top w:val="nil"/>
              <w:left w:val="nil"/>
              <w:bottom w:val="nil"/>
              <w:right w:val="nil"/>
            </w:tcBorders>
            <w:shd w:val="clear" w:color="000000" w:fill="FFFFFF"/>
            <w:noWrap/>
            <w:vAlign w:val="bottom"/>
            <w:hideMark/>
          </w:tcPr>
          <w:p w14:paraId="338D2A2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3</w:t>
            </w:r>
          </w:p>
        </w:tc>
        <w:tc>
          <w:tcPr>
            <w:tcW w:w="728" w:type="dxa"/>
            <w:tcBorders>
              <w:top w:val="nil"/>
              <w:left w:val="nil"/>
              <w:bottom w:val="nil"/>
              <w:right w:val="nil"/>
            </w:tcBorders>
            <w:shd w:val="clear" w:color="000000" w:fill="FFFFFF"/>
            <w:noWrap/>
            <w:vAlign w:val="bottom"/>
            <w:hideMark/>
          </w:tcPr>
          <w:p w14:paraId="49965ED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1.0</w:t>
            </w:r>
          </w:p>
        </w:tc>
        <w:tc>
          <w:tcPr>
            <w:tcW w:w="728" w:type="dxa"/>
            <w:tcBorders>
              <w:top w:val="nil"/>
              <w:left w:val="nil"/>
              <w:bottom w:val="nil"/>
              <w:right w:val="nil"/>
            </w:tcBorders>
            <w:shd w:val="clear" w:color="000000" w:fill="FFFFFF"/>
            <w:noWrap/>
            <w:vAlign w:val="bottom"/>
            <w:hideMark/>
          </w:tcPr>
          <w:p w14:paraId="28C0A3E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1.8</w:t>
            </w:r>
          </w:p>
        </w:tc>
      </w:tr>
      <w:tr w:rsidR="00491324" w:rsidRPr="00997026" w14:paraId="38B3D52C"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43E3CBEE"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Tax on trade</w:t>
            </w:r>
          </w:p>
        </w:tc>
        <w:tc>
          <w:tcPr>
            <w:tcW w:w="666" w:type="dxa"/>
            <w:tcBorders>
              <w:top w:val="nil"/>
              <w:left w:val="nil"/>
              <w:bottom w:val="nil"/>
              <w:right w:val="nil"/>
            </w:tcBorders>
            <w:shd w:val="clear" w:color="000000" w:fill="FFFFFF"/>
            <w:noWrap/>
            <w:vAlign w:val="bottom"/>
            <w:hideMark/>
          </w:tcPr>
          <w:p w14:paraId="151352A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4.2</w:t>
            </w:r>
          </w:p>
        </w:tc>
        <w:tc>
          <w:tcPr>
            <w:tcW w:w="666" w:type="dxa"/>
            <w:tcBorders>
              <w:top w:val="nil"/>
              <w:left w:val="nil"/>
              <w:bottom w:val="nil"/>
              <w:right w:val="nil"/>
            </w:tcBorders>
            <w:shd w:val="clear" w:color="000000" w:fill="FFFFFF"/>
            <w:noWrap/>
            <w:vAlign w:val="bottom"/>
            <w:hideMark/>
          </w:tcPr>
          <w:p w14:paraId="2157039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4.2</w:t>
            </w:r>
          </w:p>
        </w:tc>
        <w:tc>
          <w:tcPr>
            <w:tcW w:w="666" w:type="dxa"/>
            <w:tcBorders>
              <w:top w:val="nil"/>
              <w:left w:val="nil"/>
              <w:bottom w:val="nil"/>
              <w:right w:val="nil"/>
            </w:tcBorders>
            <w:shd w:val="clear" w:color="000000" w:fill="FFFFFF"/>
            <w:noWrap/>
            <w:vAlign w:val="bottom"/>
            <w:hideMark/>
          </w:tcPr>
          <w:p w14:paraId="2231D52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4.1</w:t>
            </w:r>
          </w:p>
        </w:tc>
        <w:tc>
          <w:tcPr>
            <w:tcW w:w="666" w:type="dxa"/>
            <w:tcBorders>
              <w:top w:val="nil"/>
              <w:left w:val="nil"/>
              <w:bottom w:val="nil"/>
              <w:right w:val="nil"/>
            </w:tcBorders>
            <w:shd w:val="clear" w:color="000000" w:fill="FFFFFF"/>
            <w:noWrap/>
            <w:vAlign w:val="bottom"/>
            <w:hideMark/>
          </w:tcPr>
          <w:p w14:paraId="6CCA36F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4.0</w:t>
            </w:r>
          </w:p>
        </w:tc>
        <w:tc>
          <w:tcPr>
            <w:tcW w:w="222" w:type="dxa"/>
            <w:tcBorders>
              <w:top w:val="nil"/>
              <w:left w:val="nil"/>
              <w:bottom w:val="nil"/>
              <w:right w:val="nil"/>
            </w:tcBorders>
            <w:shd w:val="clear" w:color="000000" w:fill="FFFFFF"/>
          </w:tcPr>
          <w:p w14:paraId="24AAA13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40F81AA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6</w:t>
            </w:r>
          </w:p>
        </w:tc>
        <w:tc>
          <w:tcPr>
            <w:tcW w:w="728" w:type="dxa"/>
            <w:tcBorders>
              <w:top w:val="nil"/>
              <w:left w:val="nil"/>
              <w:bottom w:val="nil"/>
              <w:right w:val="nil"/>
            </w:tcBorders>
            <w:shd w:val="clear" w:color="000000" w:fill="FFFFFF"/>
            <w:noWrap/>
            <w:vAlign w:val="bottom"/>
            <w:hideMark/>
          </w:tcPr>
          <w:p w14:paraId="0922E6F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728" w:type="dxa"/>
            <w:tcBorders>
              <w:top w:val="nil"/>
              <w:left w:val="nil"/>
              <w:bottom w:val="nil"/>
              <w:right w:val="nil"/>
            </w:tcBorders>
            <w:shd w:val="clear" w:color="000000" w:fill="FFFFFF"/>
            <w:noWrap/>
            <w:vAlign w:val="bottom"/>
            <w:hideMark/>
          </w:tcPr>
          <w:p w14:paraId="1B04307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5.1</w:t>
            </w:r>
          </w:p>
        </w:tc>
        <w:tc>
          <w:tcPr>
            <w:tcW w:w="728" w:type="dxa"/>
            <w:tcBorders>
              <w:top w:val="nil"/>
              <w:left w:val="nil"/>
              <w:bottom w:val="nil"/>
              <w:right w:val="nil"/>
            </w:tcBorders>
            <w:shd w:val="clear" w:color="000000" w:fill="FFFFFF"/>
            <w:noWrap/>
            <w:vAlign w:val="bottom"/>
            <w:hideMark/>
          </w:tcPr>
          <w:p w14:paraId="0AC4BDD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5</w:t>
            </w:r>
          </w:p>
        </w:tc>
      </w:tr>
      <w:tr w:rsidR="00491324" w:rsidRPr="00997026" w14:paraId="326EFBC7"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6605BA52"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Other tax</w:t>
            </w:r>
          </w:p>
        </w:tc>
        <w:tc>
          <w:tcPr>
            <w:tcW w:w="666" w:type="dxa"/>
            <w:tcBorders>
              <w:top w:val="nil"/>
              <w:left w:val="nil"/>
              <w:bottom w:val="nil"/>
              <w:right w:val="nil"/>
            </w:tcBorders>
            <w:shd w:val="clear" w:color="000000" w:fill="FFFFFF"/>
            <w:noWrap/>
            <w:vAlign w:val="bottom"/>
            <w:hideMark/>
          </w:tcPr>
          <w:p w14:paraId="04C9C49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0.3</w:t>
            </w:r>
          </w:p>
        </w:tc>
        <w:tc>
          <w:tcPr>
            <w:tcW w:w="666" w:type="dxa"/>
            <w:tcBorders>
              <w:top w:val="nil"/>
              <w:left w:val="nil"/>
              <w:bottom w:val="nil"/>
              <w:right w:val="nil"/>
            </w:tcBorders>
            <w:shd w:val="clear" w:color="000000" w:fill="FFFFFF"/>
            <w:noWrap/>
            <w:vAlign w:val="bottom"/>
            <w:hideMark/>
          </w:tcPr>
          <w:p w14:paraId="4B88994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0.4</w:t>
            </w:r>
          </w:p>
        </w:tc>
        <w:tc>
          <w:tcPr>
            <w:tcW w:w="666" w:type="dxa"/>
            <w:tcBorders>
              <w:top w:val="nil"/>
              <w:left w:val="nil"/>
              <w:bottom w:val="nil"/>
              <w:right w:val="nil"/>
            </w:tcBorders>
            <w:shd w:val="clear" w:color="000000" w:fill="FFFFFF"/>
            <w:noWrap/>
            <w:vAlign w:val="bottom"/>
            <w:hideMark/>
          </w:tcPr>
          <w:p w14:paraId="526DBF6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0.3</w:t>
            </w:r>
          </w:p>
        </w:tc>
        <w:tc>
          <w:tcPr>
            <w:tcW w:w="666" w:type="dxa"/>
            <w:tcBorders>
              <w:top w:val="nil"/>
              <w:left w:val="nil"/>
              <w:bottom w:val="nil"/>
              <w:right w:val="nil"/>
            </w:tcBorders>
            <w:shd w:val="clear" w:color="000000" w:fill="FFFFFF"/>
            <w:noWrap/>
            <w:vAlign w:val="bottom"/>
            <w:hideMark/>
          </w:tcPr>
          <w:p w14:paraId="5755384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0.3</w:t>
            </w:r>
          </w:p>
        </w:tc>
        <w:tc>
          <w:tcPr>
            <w:tcW w:w="222" w:type="dxa"/>
            <w:tcBorders>
              <w:top w:val="nil"/>
              <w:left w:val="nil"/>
              <w:bottom w:val="nil"/>
              <w:right w:val="nil"/>
            </w:tcBorders>
            <w:shd w:val="clear" w:color="000000" w:fill="FFFFFF"/>
          </w:tcPr>
          <w:p w14:paraId="7B5D9FE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51CD9C5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w:t>
            </w:r>
          </w:p>
        </w:tc>
        <w:tc>
          <w:tcPr>
            <w:tcW w:w="728" w:type="dxa"/>
            <w:tcBorders>
              <w:top w:val="nil"/>
              <w:left w:val="nil"/>
              <w:bottom w:val="nil"/>
              <w:right w:val="nil"/>
            </w:tcBorders>
            <w:shd w:val="clear" w:color="000000" w:fill="FFFFFF"/>
            <w:noWrap/>
            <w:vAlign w:val="bottom"/>
            <w:hideMark/>
          </w:tcPr>
          <w:p w14:paraId="57F3B40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0.3</w:t>
            </w:r>
          </w:p>
        </w:tc>
        <w:tc>
          <w:tcPr>
            <w:tcW w:w="728" w:type="dxa"/>
            <w:tcBorders>
              <w:top w:val="nil"/>
              <w:left w:val="nil"/>
              <w:bottom w:val="nil"/>
              <w:right w:val="nil"/>
            </w:tcBorders>
            <w:shd w:val="clear" w:color="000000" w:fill="FFFFFF"/>
            <w:noWrap/>
            <w:vAlign w:val="bottom"/>
            <w:hideMark/>
          </w:tcPr>
          <w:p w14:paraId="3B4D9AF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0.3</w:t>
            </w:r>
          </w:p>
        </w:tc>
        <w:tc>
          <w:tcPr>
            <w:tcW w:w="728" w:type="dxa"/>
            <w:tcBorders>
              <w:top w:val="nil"/>
              <w:left w:val="nil"/>
              <w:bottom w:val="nil"/>
              <w:right w:val="nil"/>
            </w:tcBorders>
            <w:shd w:val="clear" w:color="000000" w:fill="FFFFFF"/>
            <w:noWrap/>
            <w:vAlign w:val="bottom"/>
            <w:hideMark/>
          </w:tcPr>
          <w:p w14:paraId="2B3F320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w:t>
            </w:r>
          </w:p>
        </w:tc>
      </w:tr>
      <w:tr w:rsidR="00491324" w:rsidRPr="00997026" w14:paraId="44DA3D44"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66BDD4D6"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Non-Tax revenues</w:t>
            </w:r>
          </w:p>
        </w:tc>
        <w:tc>
          <w:tcPr>
            <w:tcW w:w="666" w:type="dxa"/>
            <w:tcBorders>
              <w:top w:val="nil"/>
              <w:left w:val="nil"/>
              <w:bottom w:val="nil"/>
              <w:right w:val="nil"/>
            </w:tcBorders>
            <w:shd w:val="clear" w:color="000000" w:fill="FFFFFF"/>
            <w:noWrap/>
            <w:vAlign w:val="bottom"/>
            <w:hideMark/>
          </w:tcPr>
          <w:p w14:paraId="1B9B03E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4.2</w:t>
            </w:r>
          </w:p>
        </w:tc>
        <w:tc>
          <w:tcPr>
            <w:tcW w:w="666" w:type="dxa"/>
            <w:tcBorders>
              <w:top w:val="nil"/>
              <w:left w:val="nil"/>
              <w:bottom w:val="nil"/>
              <w:right w:val="nil"/>
            </w:tcBorders>
            <w:shd w:val="clear" w:color="000000" w:fill="FFFFFF"/>
            <w:noWrap/>
            <w:vAlign w:val="bottom"/>
            <w:hideMark/>
          </w:tcPr>
          <w:p w14:paraId="24F0F5C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4.7</w:t>
            </w:r>
          </w:p>
        </w:tc>
        <w:tc>
          <w:tcPr>
            <w:tcW w:w="666" w:type="dxa"/>
            <w:tcBorders>
              <w:top w:val="nil"/>
              <w:left w:val="nil"/>
              <w:bottom w:val="nil"/>
              <w:right w:val="nil"/>
            </w:tcBorders>
            <w:shd w:val="clear" w:color="000000" w:fill="FFFFFF"/>
            <w:noWrap/>
            <w:vAlign w:val="bottom"/>
            <w:hideMark/>
          </w:tcPr>
          <w:p w14:paraId="4B10C23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4.9</w:t>
            </w:r>
          </w:p>
        </w:tc>
        <w:tc>
          <w:tcPr>
            <w:tcW w:w="666" w:type="dxa"/>
            <w:tcBorders>
              <w:top w:val="nil"/>
              <w:left w:val="nil"/>
              <w:bottom w:val="nil"/>
              <w:right w:val="nil"/>
            </w:tcBorders>
            <w:shd w:val="clear" w:color="000000" w:fill="FFFFFF"/>
            <w:noWrap/>
            <w:vAlign w:val="bottom"/>
            <w:hideMark/>
          </w:tcPr>
          <w:p w14:paraId="5CF8387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3.8</w:t>
            </w:r>
          </w:p>
        </w:tc>
        <w:tc>
          <w:tcPr>
            <w:tcW w:w="222" w:type="dxa"/>
            <w:tcBorders>
              <w:top w:val="nil"/>
              <w:left w:val="nil"/>
              <w:bottom w:val="nil"/>
              <w:right w:val="nil"/>
            </w:tcBorders>
            <w:shd w:val="clear" w:color="000000" w:fill="FFFFFF"/>
          </w:tcPr>
          <w:p w14:paraId="399AD75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0444019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728" w:type="dxa"/>
            <w:tcBorders>
              <w:top w:val="nil"/>
              <w:left w:val="nil"/>
              <w:bottom w:val="nil"/>
              <w:right w:val="nil"/>
            </w:tcBorders>
            <w:shd w:val="clear" w:color="000000" w:fill="FFFFFF"/>
            <w:noWrap/>
            <w:vAlign w:val="bottom"/>
            <w:hideMark/>
          </w:tcPr>
          <w:p w14:paraId="3FFDE7A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997026">
              <w:rPr>
                <w:rFonts w:ascii="Times New Roman" w:eastAsia="Times New Roman" w:hAnsi="Times New Roman" w:cs="Times New Roman"/>
                <w:color w:val="000000"/>
                <w:sz w:val="20"/>
                <w:szCs w:val="20"/>
              </w:rPr>
              <w:t>.6</w:t>
            </w:r>
          </w:p>
        </w:tc>
        <w:tc>
          <w:tcPr>
            <w:tcW w:w="728" w:type="dxa"/>
            <w:tcBorders>
              <w:top w:val="nil"/>
              <w:left w:val="nil"/>
              <w:bottom w:val="nil"/>
              <w:right w:val="nil"/>
            </w:tcBorders>
            <w:shd w:val="clear" w:color="000000" w:fill="FFFFFF"/>
            <w:noWrap/>
            <w:vAlign w:val="bottom"/>
            <w:hideMark/>
          </w:tcPr>
          <w:p w14:paraId="0AACDDC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728" w:type="dxa"/>
            <w:tcBorders>
              <w:top w:val="nil"/>
              <w:left w:val="nil"/>
              <w:bottom w:val="nil"/>
              <w:right w:val="nil"/>
            </w:tcBorders>
            <w:shd w:val="clear" w:color="000000" w:fill="FFFFFF"/>
            <w:noWrap/>
            <w:vAlign w:val="bottom"/>
            <w:hideMark/>
          </w:tcPr>
          <w:p w14:paraId="24C56C5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997026">
              <w:rPr>
                <w:rFonts w:ascii="Times New Roman" w:eastAsia="Times New Roman" w:hAnsi="Times New Roman" w:cs="Times New Roman"/>
                <w:color w:val="000000"/>
                <w:sz w:val="20"/>
                <w:szCs w:val="20"/>
              </w:rPr>
              <w:t>6</w:t>
            </w:r>
          </w:p>
        </w:tc>
      </w:tr>
      <w:tr w:rsidR="00491324" w:rsidRPr="00997026" w14:paraId="02BD350A"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036D369E"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Grants</w:t>
            </w:r>
          </w:p>
        </w:tc>
        <w:tc>
          <w:tcPr>
            <w:tcW w:w="666" w:type="dxa"/>
            <w:tcBorders>
              <w:top w:val="nil"/>
              <w:left w:val="nil"/>
              <w:bottom w:val="nil"/>
              <w:right w:val="nil"/>
            </w:tcBorders>
            <w:shd w:val="clear" w:color="000000" w:fill="FFFFFF"/>
            <w:noWrap/>
            <w:vAlign w:val="bottom"/>
            <w:hideMark/>
          </w:tcPr>
          <w:p w14:paraId="0FD507D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3.6</w:t>
            </w:r>
          </w:p>
        </w:tc>
        <w:tc>
          <w:tcPr>
            <w:tcW w:w="666" w:type="dxa"/>
            <w:tcBorders>
              <w:top w:val="nil"/>
              <w:left w:val="nil"/>
              <w:bottom w:val="nil"/>
              <w:right w:val="nil"/>
            </w:tcBorders>
            <w:shd w:val="clear" w:color="000000" w:fill="FFFFFF"/>
            <w:noWrap/>
            <w:vAlign w:val="bottom"/>
            <w:hideMark/>
          </w:tcPr>
          <w:p w14:paraId="7A9B998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1.7</w:t>
            </w:r>
          </w:p>
        </w:tc>
        <w:tc>
          <w:tcPr>
            <w:tcW w:w="666" w:type="dxa"/>
            <w:tcBorders>
              <w:top w:val="nil"/>
              <w:left w:val="nil"/>
              <w:bottom w:val="nil"/>
              <w:right w:val="nil"/>
            </w:tcBorders>
            <w:shd w:val="clear" w:color="000000" w:fill="FFFFFF"/>
            <w:noWrap/>
            <w:vAlign w:val="bottom"/>
            <w:hideMark/>
          </w:tcPr>
          <w:p w14:paraId="3E5DADA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3.2</w:t>
            </w:r>
          </w:p>
        </w:tc>
        <w:tc>
          <w:tcPr>
            <w:tcW w:w="666" w:type="dxa"/>
            <w:tcBorders>
              <w:top w:val="nil"/>
              <w:left w:val="nil"/>
              <w:bottom w:val="nil"/>
              <w:right w:val="nil"/>
            </w:tcBorders>
            <w:shd w:val="clear" w:color="000000" w:fill="FFFFFF"/>
            <w:noWrap/>
            <w:vAlign w:val="bottom"/>
            <w:hideMark/>
          </w:tcPr>
          <w:p w14:paraId="2ADACE6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3.2</w:t>
            </w:r>
          </w:p>
        </w:tc>
        <w:tc>
          <w:tcPr>
            <w:tcW w:w="222" w:type="dxa"/>
            <w:tcBorders>
              <w:top w:val="nil"/>
              <w:left w:val="nil"/>
              <w:bottom w:val="nil"/>
              <w:right w:val="nil"/>
            </w:tcBorders>
            <w:shd w:val="clear" w:color="000000" w:fill="FFFFFF"/>
          </w:tcPr>
          <w:p w14:paraId="272C57B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6B2E310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3</w:t>
            </w:r>
          </w:p>
        </w:tc>
        <w:tc>
          <w:tcPr>
            <w:tcW w:w="728" w:type="dxa"/>
            <w:tcBorders>
              <w:top w:val="nil"/>
              <w:left w:val="nil"/>
              <w:bottom w:val="nil"/>
              <w:right w:val="nil"/>
            </w:tcBorders>
            <w:shd w:val="clear" w:color="000000" w:fill="FFFFFF"/>
            <w:noWrap/>
            <w:vAlign w:val="bottom"/>
            <w:hideMark/>
          </w:tcPr>
          <w:p w14:paraId="661C4ED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2</w:t>
            </w:r>
          </w:p>
        </w:tc>
        <w:tc>
          <w:tcPr>
            <w:tcW w:w="728" w:type="dxa"/>
            <w:tcBorders>
              <w:top w:val="nil"/>
              <w:left w:val="nil"/>
              <w:bottom w:val="nil"/>
              <w:right w:val="nil"/>
            </w:tcBorders>
            <w:shd w:val="clear" w:color="000000" w:fill="FFFFFF"/>
            <w:noWrap/>
            <w:vAlign w:val="bottom"/>
            <w:hideMark/>
          </w:tcPr>
          <w:p w14:paraId="670A1C1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8</w:t>
            </w:r>
          </w:p>
        </w:tc>
        <w:tc>
          <w:tcPr>
            <w:tcW w:w="728" w:type="dxa"/>
            <w:tcBorders>
              <w:top w:val="nil"/>
              <w:left w:val="nil"/>
              <w:bottom w:val="nil"/>
              <w:right w:val="nil"/>
            </w:tcBorders>
            <w:shd w:val="clear" w:color="000000" w:fill="FFFFFF"/>
            <w:noWrap/>
            <w:vAlign w:val="bottom"/>
            <w:hideMark/>
          </w:tcPr>
          <w:p w14:paraId="09E3C9B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7</w:t>
            </w:r>
          </w:p>
        </w:tc>
      </w:tr>
      <w:tr w:rsidR="00491324" w:rsidRPr="00997026" w14:paraId="66E2B0B9"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2FA87AC7"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Total Expenditure</w:t>
            </w:r>
          </w:p>
        </w:tc>
        <w:tc>
          <w:tcPr>
            <w:tcW w:w="666" w:type="dxa"/>
            <w:tcBorders>
              <w:top w:val="nil"/>
              <w:left w:val="nil"/>
              <w:bottom w:val="nil"/>
              <w:right w:val="nil"/>
            </w:tcBorders>
            <w:shd w:val="clear" w:color="000000" w:fill="FFFFFF"/>
            <w:noWrap/>
            <w:vAlign w:val="bottom"/>
            <w:hideMark/>
          </w:tcPr>
          <w:p w14:paraId="6D7AFC5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31.6</w:t>
            </w:r>
          </w:p>
        </w:tc>
        <w:tc>
          <w:tcPr>
            <w:tcW w:w="666" w:type="dxa"/>
            <w:tcBorders>
              <w:top w:val="nil"/>
              <w:left w:val="nil"/>
              <w:bottom w:val="nil"/>
              <w:right w:val="nil"/>
            </w:tcBorders>
            <w:shd w:val="clear" w:color="000000" w:fill="FFFFFF"/>
            <w:noWrap/>
            <w:vAlign w:val="bottom"/>
            <w:hideMark/>
          </w:tcPr>
          <w:p w14:paraId="222F4A2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30.9</w:t>
            </w:r>
          </w:p>
        </w:tc>
        <w:tc>
          <w:tcPr>
            <w:tcW w:w="666" w:type="dxa"/>
            <w:tcBorders>
              <w:top w:val="nil"/>
              <w:left w:val="nil"/>
              <w:bottom w:val="nil"/>
              <w:right w:val="nil"/>
            </w:tcBorders>
            <w:shd w:val="clear" w:color="000000" w:fill="FFFFFF"/>
            <w:noWrap/>
            <w:vAlign w:val="bottom"/>
            <w:hideMark/>
          </w:tcPr>
          <w:p w14:paraId="0B3BBA9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31.8</w:t>
            </w:r>
          </w:p>
        </w:tc>
        <w:tc>
          <w:tcPr>
            <w:tcW w:w="666" w:type="dxa"/>
            <w:tcBorders>
              <w:top w:val="nil"/>
              <w:left w:val="nil"/>
              <w:bottom w:val="nil"/>
              <w:right w:val="nil"/>
            </w:tcBorders>
            <w:shd w:val="clear" w:color="000000" w:fill="FFFFFF"/>
            <w:noWrap/>
            <w:vAlign w:val="bottom"/>
            <w:hideMark/>
          </w:tcPr>
          <w:p w14:paraId="0D7119B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5.4</w:t>
            </w:r>
          </w:p>
        </w:tc>
        <w:tc>
          <w:tcPr>
            <w:tcW w:w="222" w:type="dxa"/>
            <w:tcBorders>
              <w:top w:val="nil"/>
              <w:left w:val="nil"/>
              <w:bottom w:val="nil"/>
              <w:right w:val="nil"/>
            </w:tcBorders>
            <w:shd w:val="clear" w:color="000000" w:fill="FFFFFF"/>
          </w:tcPr>
          <w:p w14:paraId="46F3DDB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148E833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4.6</w:t>
            </w:r>
          </w:p>
        </w:tc>
        <w:tc>
          <w:tcPr>
            <w:tcW w:w="728" w:type="dxa"/>
            <w:tcBorders>
              <w:top w:val="nil"/>
              <w:left w:val="nil"/>
              <w:bottom w:val="nil"/>
              <w:right w:val="nil"/>
            </w:tcBorders>
            <w:shd w:val="clear" w:color="000000" w:fill="FFFFFF"/>
            <w:noWrap/>
            <w:vAlign w:val="bottom"/>
            <w:hideMark/>
          </w:tcPr>
          <w:p w14:paraId="3A4C898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6.4</w:t>
            </w:r>
          </w:p>
        </w:tc>
        <w:tc>
          <w:tcPr>
            <w:tcW w:w="728" w:type="dxa"/>
            <w:tcBorders>
              <w:top w:val="nil"/>
              <w:left w:val="nil"/>
              <w:bottom w:val="nil"/>
              <w:right w:val="nil"/>
            </w:tcBorders>
            <w:shd w:val="clear" w:color="000000" w:fill="FFFFFF"/>
            <w:noWrap/>
            <w:vAlign w:val="bottom"/>
            <w:hideMark/>
          </w:tcPr>
          <w:p w14:paraId="2544005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5.9</w:t>
            </w:r>
          </w:p>
        </w:tc>
        <w:tc>
          <w:tcPr>
            <w:tcW w:w="728" w:type="dxa"/>
            <w:tcBorders>
              <w:top w:val="nil"/>
              <w:left w:val="nil"/>
              <w:bottom w:val="nil"/>
              <w:right w:val="nil"/>
            </w:tcBorders>
            <w:shd w:val="clear" w:color="000000" w:fill="FFFFFF"/>
            <w:noWrap/>
            <w:vAlign w:val="bottom"/>
            <w:hideMark/>
          </w:tcPr>
          <w:p w14:paraId="3CCEDC3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35.</w:t>
            </w:r>
            <w:r>
              <w:rPr>
                <w:rFonts w:ascii="Times New Roman" w:eastAsia="Times New Roman" w:hAnsi="Times New Roman" w:cs="Times New Roman"/>
                <w:color w:val="000000"/>
                <w:sz w:val="20"/>
                <w:szCs w:val="20"/>
              </w:rPr>
              <w:t>2</w:t>
            </w:r>
          </w:p>
        </w:tc>
      </w:tr>
      <w:tr w:rsidR="00491324" w:rsidRPr="00997026" w14:paraId="5A98BE97"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21A29063"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Current expenditure</w:t>
            </w:r>
          </w:p>
        </w:tc>
        <w:tc>
          <w:tcPr>
            <w:tcW w:w="666" w:type="dxa"/>
            <w:tcBorders>
              <w:top w:val="nil"/>
              <w:left w:val="nil"/>
              <w:bottom w:val="nil"/>
              <w:right w:val="nil"/>
            </w:tcBorders>
            <w:shd w:val="clear" w:color="000000" w:fill="FFFFFF"/>
            <w:noWrap/>
            <w:vAlign w:val="bottom"/>
            <w:hideMark/>
          </w:tcPr>
          <w:p w14:paraId="7489DE0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26.3</w:t>
            </w:r>
          </w:p>
        </w:tc>
        <w:tc>
          <w:tcPr>
            <w:tcW w:w="666" w:type="dxa"/>
            <w:tcBorders>
              <w:top w:val="nil"/>
              <w:left w:val="nil"/>
              <w:bottom w:val="nil"/>
              <w:right w:val="nil"/>
            </w:tcBorders>
            <w:shd w:val="clear" w:color="000000" w:fill="FFFFFF"/>
            <w:noWrap/>
            <w:vAlign w:val="bottom"/>
            <w:hideMark/>
          </w:tcPr>
          <w:p w14:paraId="6816EDD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26.4</w:t>
            </w:r>
          </w:p>
        </w:tc>
        <w:tc>
          <w:tcPr>
            <w:tcW w:w="666" w:type="dxa"/>
            <w:tcBorders>
              <w:top w:val="nil"/>
              <w:left w:val="nil"/>
              <w:bottom w:val="nil"/>
              <w:right w:val="nil"/>
            </w:tcBorders>
            <w:shd w:val="clear" w:color="000000" w:fill="FFFFFF"/>
            <w:noWrap/>
            <w:vAlign w:val="bottom"/>
            <w:hideMark/>
          </w:tcPr>
          <w:p w14:paraId="52AEEF0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27.3</w:t>
            </w:r>
          </w:p>
        </w:tc>
        <w:tc>
          <w:tcPr>
            <w:tcW w:w="666" w:type="dxa"/>
            <w:tcBorders>
              <w:top w:val="nil"/>
              <w:left w:val="nil"/>
              <w:bottom w:val="nil"/>
              <w:right w:val="nil"/>
            </w:tcBorders>
            <w:shd w:val="clear" w:color="000000" w:fill="FFFFFF"/>
            <w:noWrap/>
            <w:vAlign w:val="bottom"/>
            <w:hideMark/>
          </w:tcPr>
          <w:p w14:paraId="1C13BF0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32.</w:t>
            </w:r>
            <w:r>
              <w:rPr>
                <w:rFonts w:ascii="Times New Roman" w:eastAsia="Times New Roman" w:hAnsi="Times New Roman" w:cs="Times New Roman"/>
                <w:color w:val="000000"/>
                <w:sz w:val="20"/>
                <w:szCs w:val="20"/>
              </w:rPr>
              <w:t>0</w:t>
            </w:r>
          </w:p>
        </w:tc>
        <w:tc>
          <w:tcPr>
            <w:tcW w:w="222" w:type="dxa"/>
            <w:tcBorders>
              <w:top w:val="nil"/>
              <w:left w:val="nil"/>
              <w:bottom w:val="nil"/>
              <w:right w:val="nil"/>
            </w:tcBorders>
            <w:shd w:val="clear" w:color="000000" w:fill="FFFFFF"/>
          </w:tcPr>
          <w:p w14:paraId="3C95065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3C21801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1.2</w:t>
            </w:r>
          </w:p>
        </w:tc>
        <w:tc>
          <w:tcPr>
            <w:tcW w:w="728" w:type="dxa"/>
            <w:tcBorders>
              <w:top w:val="nil"/>
              <w:left w:val="nil"/>
              <w:bottom w:val="nil"/>
              <w:right w:val="nil"/>
            </w:tcBorders>
            <w:shd w:val="clear" w:color="000000" w:fill="FFFFFF"/>
            <w:noWrap/>
            <w:vAlign w:val="bottom"/>
            <w:hideMark/>
          </w:tcPr>
          <w:p w14:paraId="6C3CB51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32.</w:t>
            </w:r>
            <w:r>
              <w:rPr>
                <w:rFonts w:ascii="Times New Roman" w:eastAsia="Times New Roman" w:hAnsi="Times New Roman" w:cs="Times New Roman"/>
                <w:color w:val="000000"/>
                <w:sz w:val="20"/>
                <w:szCs w:val="20"/>
              </w:rPr>
              <w:t>2</w:t>
            </w:r>
          </w:p>
        </w:tc>
        <w:tc>
          <w:tcPr>
            <w:tcW w:w="728" w:type="dxa"/>
            <w:tcBorders>
              <w:top w:val="nil"/>
              <w:left w:val="nil"/>
              <w:bottom w:val="nil"/>
              <w:right w:val="nil"/>
            </w:tcBorders>
            <w:shd w:val="clear" w:color="000000" w:fill="FFFFFF"/>
            <w:noWrap/>
            <w:vAlign w:val="bottom"/>
            <w:hideMark/>
          </w:tcPr>
          <w:p w14:paraId="6FFB59E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w:t>
            </w:r>
            <w:r>
              <w:rPr>
                <w:rFonts w:ascii="Times New Roman" w:eastAsia="Times New Roman" w:hAnsi="Times New Roman" w:cs="Times New Roman"/>
                <w:color w:val="000000"/>
                <w:sz w:val="20"/>
                <w:szCs w:val="20"/>
              </w:rPr>
              <w:t>6</w:t>
            </w:r>
          </w:p>
        </w:tc>
        <w:tc>
          <w:tcPr>
            <w:tcW w:w="728" w:type="dxa"/>
            <w:tcBorders>
              <w:top w:val="nil"/>
              <w:left w:val="nil"/>
              <w:bottom w:val="nil"/>
              <w:right w:val="nil"/>
            </w:tcBorders>
            <w:shd w:val="clear" w:color="000000" w:fill="FFFFFF"/>
            <w:noWrap/>
            <w:vAlign w:val="bottom"/>
            <w:hideMark/>
          </w:tcPr>
          <w:p w14:paraId="18B45E7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w:t>
            </w:r>
            <w:r w:rsidRPr="00997026">
              <w:rPr>
                <w:rFonts w:ascii="Times New Roman" w:eastAsia="Times New Roman" w:hAnsi="Times New Roman" w:cs="Times New Roman"/>
                <w:color w:val="000000"/>
                <w:sz w:val="20"/>
                <w:szCs w:val="20"/>
              </w:rPr>
              <w:t>0</w:t>
            </w:r>
          </w:p>
        </w:tc>
      </w:tr>
      <w:tr w:rsidR="00491324" w:rsidRPr="00997026" w14:paraId="60EE89C5"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30D48C03"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Compensation to employees</w:t>
            </w:r>
          </w:p>
        </w:tc>
        <w:tc>
          <w:tcPr>
            <w:tcW w:w="666" w:type="dxa"/>
            <w:tcBorders>
              <w:top w:val="nil"/>
              <w:left w:val="nil"/>
              <w:bottom w:val="nil"/>
              <w:right w:val="nil"/>
            </w:tcBorders>
            <w:shd w:val="clear" w:color="000000" w:fill="FFFFFF"/>
            <w:noWrap/>
            <w:vAlign w:val="bottom"/>
            <w:hideMark/>
          </w:tcPr>
          <w:p w14:paraId="650C0AC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10.7</w:t>
            </w:r>
          </w:p>
        </w:tc>
        <w:tc>
          <w:tcPr>
            <w:tcW w:w="666" w:type="dxa"/>
            <w:tcBorders>
              <w:top w:val="nil"/>
              <w:left w:val="nil"/>
              <w:bottom w:val="nil"/>
              <w:right w:val="nil"/>
            </w:tcBorders>
            <w:shd w:val="clear" w:color="000000" w:fill="FFFFFF"/>
            <w:noWrap/>
            <w:vAlign w:val="bottom"/>
            <w:hideMark/>
          </w:tcPr>
          <w:p w14:paraId="1A07782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10.6</w:t>
            </w:r>
          </w:p>
        </w:tc>
        <w:tc>
          <w:tcPr>
            <w:tcW w:w="666" w:type="dxa"/>
            <w:tcBorders>
              <w:top w:val="nil"/>
              <w:left w:val="nil"/>
              <w:bottom w:val="nil"/>
              <w:right w:val="nil"/>
            </w:tcBorders>
            <w:shd w:val="clear" w:color="000000" w:fill="FFFFFF"/>
            <w:noWrap/>
            <w:vAlign w:val="bottom"/>
            <w:hideMark/>
          </w:tcPr>
          <w:p w14:paraId="2B981DB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10.6</w:t>
            </w:r>
          </w:p>
        </w:tc>
        <w:tc>
          <w:tcPr>
            <w:tcW w:w="666" w:type="dxa"/>
            <w:tcBorders>
              <w:top w:val="nil"/>
              <w:left w:val="nil"/>
              <w:bottom w:val="nil"/>
              <w:right w:val="nil"/>
            </w:tcBorders>
            <w:shd w:val="clear" w:color="000000" w:fill="FFFFFF"/>
            <w:noWrap/>
            <w:vAlign w:val="bottom"/>
            <w:hideMark/>
          </w:tcPr>
          <w:p w14:paraId="05B806B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12.9</w:t>
            </w:r>
          </w:p>
        </w:tc>
        <w:tc>
          <w:tcPr>
            <w:tcW w:w="222" w:type="dxa"/>
            <w:tcBorders>
              <w:top w:val="nil"/>
              <w:left w:val="nil"/>
              <w:bottom w:val="nil"/>
              <w:right w:val="nil"/>
            </w:tcBorders>
            <w:shd w:val="clear" w:color="000000" w:fill="FFFFFF"/>
          </w:tcPr>
          <w:p w14:paraId="7FE748A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66DB90F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12.</w:t>
            </w:r>
            <w:r>
              <w:rPr>
                <w:rFonts w:ascii="Times New Roman" w:eastAsia="Times New Roman" w:hAnsi="Times New Roman" w:cs="Times New Roman"/>
                <w:color w:val="000000"/>
                <w:sz w:val="20"/>
                <w:szCs w:val="20"/>
              </w:rPr>
              <w:t>5</w:t>
            </w:r>
          </w:p>
        </w:tc>
        <w:tc>
          <w:tcPr>
            <w:tcW w:w="728" w:type="dxa"/>
            <w:tcBorders>
              <w:top w:val="nil"/>
              <w:left w:val="nil"/>
              <w:bottom w:val="nil"/>
              <w:right w:val="nil"/>
            </w:tcBorders>
            <w:shd w:val="clear" w:color="000000" w:fill="FFFFFF"/>
            <w:noWrap/>
            <w:vAlign w:val="bottom"/>
            <w:hideMark/>
          </w:tcPr>
          <w:p w14:paraId="1054A96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12.</w:t>
            </w:r>
            <w:r>
              <w:rPr>
                <w:rFonts w:ascii="Times New Roman" w:eastAsia="Times New Roman" w:hAnsi="Times New Roman" w:cs="Times New Roman"/>
                <w:color w:val="000000"/>
                <w:sz w:val="20"/>
                <w:szCs w:val="20"/>
              </w:rPr>
              <w:t>8</w:t>
            </w:r>
          </w:p>
        </w:tc>
        <w:tc>
          <w:tcPr>
            <w:tcW w:w="728" w:type="dxa"/>
            <w:tcBorders>
              <w:top w:val="nil"/>
              <w:left w:val="nil"/>
              <w:bottom w:val="nil"/>
              <w:right w:val="nil"/>
            </w:tcBorders>
            <w:shd w:val="clear" w:color="000000" w:fill="FFFFFF"/>
            <w:noWrap/>
            <w:vAlign w:val="bottom"/>
            <w:hideMark/>
          </w:tcPr>
          <w:p w14:paraId="1AF36FD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2.3</w:t>
            </w:r>
          </w:p>
        </w:tc>
        <w:tc>
          <w:tcPr>
            <w:tcW w:w="728" w:type="dxa"/>
            <w:tcBorders>
              <w:top w:val="nil"/>
              <w:left w:val="nil"/>
              <w:bottom w:val="nil"/>
              <w:right w:val="nil"/>
            </w:tcBorders>
            <w:shd w:val="clear" w:color="000000" w:fill="FFFFFF"/>
            <w:noWrap/>
            <w:vAlign w:val="bottom"/>
            <w:hideMark/>
          </w:tcPr>
          <w:p w14:paraId="0816776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2.0</w:t>
            </w:r>
          </w:p>
        </w:tc>
      </w:tr>
      <w:tr w:rsidR="00491324" w:rsidRPr="00997026" w14:paraId="2993562B"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3A2839FC"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Goods and services</w:t>
            </w:r>
          </w:p>
        </w:tc>
        <w:tc>
          <w:tcPr>
            <w:tcW w:w="666" w:type="dxa"/>
            <w:tcBorders>
              <w:top w:val="nil"/>
              <w:left w:val="nil"/>
              <w:bottom w:val="nil"/>
              <w:right w:val="nil"/>
            </w:tcBorders>
            <w:shd w:val="clear" w:color="000000" w:fill="FFFFFF"/>
            <w:noWrap/>
            <w:vAlign w:val="bottom"/>
            <w:hideMark/>
          </w:tcPr>
          <w:p w14:paraId="3445563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4.0</w:t>
            </w:r>
          </w:p>
        </w:tc>
        <w:tc>
          <w:tcPr>
            <w:tcW w:w="666" w:type="dxa"/>
            <w:tcBorders>
              <w:top w:val="nil"/>
              <w:left w:val="nil"/>
              <w:bottom w:val="nil"/>
              <w:right w:val="nil"/>
            </w:tcBorders>
            <w:shd w:val="clear" w:color="000000" w:fill="FFFFFF"/>
            <w:noWrap/>
            <w:vAlign w:val="bottom"/>
            <w:hideMark/>
          </w:tcPr>
          <w:p w14:paraId="63090B0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3.9</w:t>
            </w:r>
          </w:p>
        </w:tc>
        <w:tc>
          <w:tcPr>
            <w:tcW w:w="666" w:type="dxa"/>
            <w:tcBorders>
              <w:top w:val="nil"/>
              <w:left w:val="nil"/>
              <w:bottom w:val="nil"/>
              <w:right w:val="nil"/>
            </w:tcBorders>
            <w:shd w:val="clear" w:color="000000" w:fill="FFFFFF"/>
            <w:noWrap/>
            <w:vAlign w:val="bottom"/>
            <w:hideMark/>
          </w:tcPr>
          <w:p w14:paraId="6CF96C0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4.1</w:t>
            </w:r>
          </w:p>
        </w:tc>
        <w:tc>
          <w:tcPr>
            <w:tcW w:w="666" w:type="dxa"/>
            <w:tcBorders>
              <w:top w:val="nil"/>
              <w:left w:val="nil"/>
              <w:bottom w:val="nil"/>
              <w:right w:val="nil"/>
            </w:tcBorders>
            <w:shd w:val="clear" w:color="000000" w:fill="FFFFFF"/>
            <w:noWrap/>
            <w:vAlign w:val="bottom"/>
            <w:hideMark/>
          </w:tcPr>
          <w:p w14:paraId="37B229E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6.1</w:t>
            </w:r>
          </w:p>
        </w:tc>
        <w:tc>
          <w:tcPr>
            <w:tcW w:w="222" w:type="dxa"/>
            <w:tcBorders>
              <w:top w:val="nil"/>
              <w:left w:val="nil"/>
              <w:bottom w:val="nil"/>
              <w:right w:val="nil"/>
            </w:tcBorders>
            <w:shd w:val="clear" w:color="000000" w:fill="FFFFFF"/>
          </w:tcPr>
          <w:p w14:paraId="48FD4E6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38B622C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w:t>
            </w:r>
          </w:p>
        </w:tc>
        <w:tc>
          <w:tcPr>
            <w:tcW w:w="728" w:type="dxa"/>
            <w:tcBorders>
              <w:top w:val="nil"/>
              <w:left w:val="nil"/>
              <w:bottom w:val="nil"/>
              <w:right w:val="nil"/>
            </w:tcBorders>
            <w:shd w:val="clear" w:color="000000" w:fill="FFFFFF"/>
            <w:noWrap/>
            <w:vAlign w:val="bottom"/>
            <w:hideMark/>
          </w:tcPr>
          <w:p w14:paraId="3E6035A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1</w:t>
            </w:r>
          </w:p>
        </w:tc>
        <w:tc>
          <w:tcPr>
            <w:tcW w:w="728" w:type="dxa"/>
            <w:tcBorders>
              <w:top w:val="nil"/>
              <w:left w:val="nil"/>
              <w:bottom w:val="nil"/>
              <w:right w:val="nil"/>
            </w:tcBorders>
            <w:shd w:val="clear" w:color="000000" w:fill="FFFFFF"/>
            <w:noWrap/>
            <w:vAlign w:val="bottom"/>
            <w:hideMark/>
          </w:tcPr>
          <w:p w14:paraId="0BF83FD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728" w:type="dxa"/>
            <w:tcBorders>
              <w:top w:val="nil"/>
              <w:left w:val="nil"/>
              <w:bottom w:val="nil"/>
              <w:right w:val="nil"/>
            </w:tcBorders>
            <w:shd w:val="clear" w:color="000000" w:fill="FFFFFF"/>
            <w:noWrap/>
            <w:vAlign w:val="bottom"/>
            <w:hideMark/>
          </w:tcPr>
          <w:p w14:paraId="4DB4BBB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7</w:t>
            </w:r>
          </w:p>
        </w:tc>
      </w:tr>
      <w:tr w:rsidR="00491324" w:rsidRPr="00997026" w14:paraId="55527E5D"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145D89EA"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Interest payments</w:t>
            </w:r>
          </w:p>
        </w:tc>
        <w:tc>
          <w:tcPr>
            <w:tcW w:w="666" w:type="dxa"/>
            <w:tcBorders>
              <w:top w:val="nil"/>
              <w:left w:val="nil"/>
              <w:bottom w:val="nil"/>
              <w:right w:val="nil"/>
            </w:tcBorders>
            <w:shd w:val="clear" w:color="000000" w:fill="FFFFFF"/>
            <w:noWrap/>
            <w:vAlign w:val="bottom"/>
            <w:hideMark/>
          </w:tcPr>
          <w:p w14:paraId="638084C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2.6</w:t>
            </w:r>
          </w:p>
        </w:tc>
        <w:tc>
          <w:tcPr>
            <w:tcW w:w="666" w:type="dxa"/>
            <w:tcBorders>
              <w:top w:val="nil"/>
              <w:left w:val="nil"/>
              <w:bottom w:val="nil"/>
              <w:right w:val="nil"/>
            </w:tcBorders>
            <w:shd w:val="clear" w:color="000000" w:fill="FFFFFF"/>
            <w:noWrap/>
            <w:vAlign w:val="bottom"/>
            <w:hideMark/>
          </w:tcPr>
          <w:p w14:paraId="547213D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2.6</w:t>
            </w:r>
          </w:p>
        </w:tc>
        <w:tc>
          <w:tcPr>
            <w:tcW w:w="666" w:type="dxa"/>
            <w:tcBorders>
              <w:top w:val="nil"/>
              <w:left w:val="nil"/>
              <w:bottom w:val="nil"/>
              <w:right w:val="nil"/>
            </w:tcBorders>
            <w:shd w:val="clear" w:color="000000" w:fill="FFFFFF"/>
            <w:noWrap/>
            <w:vAlign w:val="bottom"/>
            <w:hideMark/>
          </w:tcPr>
          <w:p w14:paraId="3770FC1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2.6</w:t>
            </w:r>
          </w:p>
        </w:tc>
        <w:tc>
          <w:tcPr>
            <w:tcW w:w="666" w:type="dxa"/>
            <w:tcBorders>
              <w:top w:val="nil"/>
              <w:left w:val="nil"/>
              <w:bottom w:val="nil"/>
              <w:right w:val="nil"/>
            </w:tcBorders>
            <w:shd w:val="clear" w:color="000000" w:fill="FFFFFF"/>
            <w:noWrap/>
            <w:vAlign w:val="bottom"/>
            <w:hideMark/>
          </w:tcPr>
          <w:p w14:paraId="04850E4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2.9</w:t>
            </w:r>
          </w:p>
        </w:tc>
        <w:tc>
          <w:tcPr>
            <w:tcW w:w="222" w:type="dxa"/>
            <w:tcBorders>
              <w:top w:val="nil"/>
              <w:left w:val="nil"/>
              <w:bottom w:val="nil"/>
              <w:right w:val="nil"/>
            </w:tcBorders>
            <w:shd w:val="clear" w:color="000000" w:fill="FFFFFF"/>
          </w:tcPr>
          <w:p w14:paraId="7F8070A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7D6FD5B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728" w:type="dxa"/>
            <w:tcBorders>
              <w:top w:val="nil"/>
              <w:left w:val="nil"/>
              <w:bottom w:val="nil"/>
              <w:right w:val="nil"/>
            </w:tcBorders>
            <w:shd w:val="clear" w:color="000000" w:fill="FFFFFF"/>
            <w:noWrap/>
            <w:vAlign w:val="bottom"/>
            <w:hideMark/>
          </w:tcPr>
          <w:p w14:paraId="4665EBB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6</w:t>
            </w:r>
          </w:p>
        </w:tc>
        <w:tc>
          <w:tcPr>
            <w:tcW w:w="728" w:type="dxa"/>
            <w:tcBorders>
              <w:top w:val="nil"/>
              <w:left w:val="nil"/>
              <w:bottom w:val="nil"/>
              <w:right w:val="nil"/>
            </w:tcBorders>
            <w:shd w:val="clear" w:color="000000" w:fill="FFFFFF"/>
            <w:noWrap/>
            <w:vAlign w:val="bottom"/>
            <w:hideMark/>
          </w:tcPr>
          <w:p w14:paraId="4F100A5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7</w:t>
            </w:r>
          </w:p>
        </w:tc>
        <w:tc>
          <w:tcPr>
            <w:tcW w:w="728" w:type="dxa"/>
            <w:tcBorders>
              <w:top w:val="nil"/>
              <w:left w:val="nil"/>
              <w:bottom w:val="nil"/>
              <w:right w:val="nil"/>
            </w:tcBorders>
            <w:shd w:val="clear" w:color="000000" w:fill="FFFFFF"/>
            <w:noWrap/>
            <w:vAlign w:val="bottom"/>
            <w:hideMark/>
          </w:tcPr>
          <w:p w14:paraId="356A97E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3.5</w:t>
            </w:r>
          </w:p>
        </w:tc>
      </w:tr>
      <w:tr w:rsidR="00491324" w:rsidRPr="00997026" w14:paraId="41F56E0A"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58C6A2E1"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Subsidies</w:t>
            </w:r>
          </w:p>
        </w:tc>
        <w:tc>
          <w:tcPr>
            <w:tcW w:w="666" w:type="dxa"/>
            <w:tcBorders>
              <w:top w:val="nil"/>
              <w:left w:val="nil"/>
              <w:bottom w:val="nil"/>
              <w:right w:val="nil"/>
            </w:tcBorders>
            <w:shd w:val="clear" w:color="000000" w:fill="FFFFFF"/>
            <w:noWrap/>
            <w:vAlign w:val="bottom"/>
            <w:hideMark/>
          </w:tcPr>
          <w:p w14:paraId="57637D8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0.1</w:t>
            </w:r>
          </w:p>
        </w:tc>
        <w:tc>
          <w:tcPr>
            <w:tcW w:w="666" w:type="dxa"/>
            <w:tcBorders>
              <w:top w:val="nil"/>
              <w:left w:val="nil"/>
              <w:bottom w:val="nil"/>
              <w:right w:val="nil"/>
            </w:tcBorders>
            <w:shd w:val="clear" w:color="000000" w:fill="FFFFFF"/>
            <w:noWrap/>
            <w:vAlign w:val="bottom"/>
            <w:hideMark/>
          </w:tcPr>
          <w:p w14:paraId="1ED4BF6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0.1</w:t>
            </w:r>
          </w:p>
        </w:tc>
        <w:tc>
          <w:tcPr>
            <w:tcW w:w="666" w:type="dxa"/>
            <w:tcBorders>
              <w:top w:val="nil"/>
              <w:left w:val="nil"/>
              <w:bottom w:val="nil"/>
              <w:right w:val="nil"/>
            </w:tcBorders>
            <w:shd w:val="clear" w:color="000000" w:fill="FFFFFF"/>
            <w:noWrap/>
            <w:vAlign w:val="bottom"/>
            <w:hideMark/>
          </w:tcPr>
          <w:p w14:paraId="62BF8DD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0.1</w:t>
            </w:r>
          </w:p>
        </w:tc>
        <w:tc>
          <w:tcPr>
            <w:tcW w:w="666" w:type="dxa"/>
            <w:tcBorders>
              <w:top w:val="nil"/>
              <w:left w:val="nil"/>
              <w:bottom w:val="nil"/>
              <w:right w:val="nil"/>
            </w:tcBorders>
            <w:shd w:val="clear" w:color="000000" w:fill="FFFFFF"/>
            <w:noWrap/>
            <w:vAlign w:val="bottom"/>
            <w:hideMark/>
          </w:tcPr>
          <w:p w14:paraId="69B1262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w:t>
            </w:r>
          </w:p>
        </w:tc>
        <w:tc>
          <w:tcPr>
            <w:tcW w:w="222" w:type="dxa"/>
            <w:tcBorders>
              <w:top w:val="nil"/>
              <w:left w:val="nil"/>
              <w:bottom w:val="nil"/>
              <w:right w:val="nil"/>
            </w:tcBorders>
            <w:shd w:val="clear" w:color="000000" w:fill="FFFFFF"/>
          </w:tcPr>
          <w:p w14:paraId="4C11971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59DDF69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w:t>
            </w:r>
          </w:p>
        </w:tc>
        <w:tc>
          <w:tcPr>
            <w:tcW w:w="728" w:type="dxa"/>
            <w:tcBorders>
              <w:top w:val="nil"/>
              <w:left w:val="nil"/>
              <w:bottom w:val="nil"/>
              <w:right w:val="nil"/>
            </w:tcBorders>
            <w:shd w:val="clear" w:color="000000" w:fill="FFFFFF"/>
            <w:noWrap/>
            <w:vAlign w:val="bottom"/>
            <w:hideMark/>
          </w:tcPr>
          <w:p w14:paraId="3348EEC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w:t>
            </w:r>
          </w:p>
        </w:tc>
        <w:tc>
          <w:tcPr>
            <w:tcW w:w="728" w:type="dxa"/>
            <w:tcBorders>
              <w:top w:val="nil"/>
              <w:left w:val="nil"/>
              <w:bottom w:val="nil"/>
              <w:right w:val="nil"/>
            </w:tcBorders>
            <w:shd w:val="clear" w:color="000000" w:fill="FFFFFF"/>
            <w:noWrap/>
            <w:vAlign w:val="bottom"/>
            <w:hideMark/>
          </w:tcPr>
          <w:p w14:paraId="0FFCCA1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w:t>
            </w:r>
          </w:p>
        </w:tc>
        <w:tc>
          <w:tcPr>
            <w:tcW w:w="728" w:type="dxa"/>
            <w:tcBorders>
              <w:top w:val="nil"/>
              <w:left w:val="nil"/>
              <w:bottom w:val="nil"/>
              <w:right w:val="nil"/>
            </w:tcBorders>
            <w:shd w:val="clear" w:color="000000" w:fill="FFFFFF"/>
            <w:noWrap/>
            <w:vAlign w:val="bottom"/>
            <w:hideMark/>
          </w:tcPr>
          <w:p w14:paraId="6FE1BBF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1</w:t>
            </w:r>
          </w:p>
        </w:tc>
      </w:tr>
      <w:tr w:rsidR="00491324" w:rsidRPr="00997026" w14:paraId="02365F16"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7F8B5829"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Current transfers</w:t>
            </w:r>
          </w:p>
        </w:tc>
        <w:tc>
          <w:tcPr>
            <w:tcW w:w="666" w:type="dxa"/>
            <w:tcBorders>
              <w:top w:val="nil"/>
              <w:left w:val="nil"/>
              <w:bottom w:val="nil"/>
              <w:right w:val="nil"/>
            </w:tcBorders>
            <w:shd w:val="clear" w:color="000000" w:fill="FFFFFF"/>
            <w:noWrap/>
            <w:vAlign w:val="bottom"/>
            <w:hideMark/>
          </w:tcPr>
          <w:p w14:paraId="1FC217A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3.0</w:t>
            </w:r>
          </w:p>
        </w:tc>
        <w:tc>
          <w:tcPr>
            <w:tcW w:w="666" w:type="dxa"/>
            <w:tcBorders>
              <w:top w:val="nil"/>
              <w:left w:val="nil"/>
              <w:bottom w:val="nil"/>
              <w:right w:val="nil"/>
            </w:tcBorders>
            <w:shd w:val="clear" w:color="000000" w:fill="FFFFFF"/>
            <w:noWrap/>
            <w:vAlign w:val="bottom"/>
            <w:hideMark/>
          </w:tcPr>
          <w:p w14:paraId="7411435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3.4</w:t>
            </w:r>
          </w:p>
        </w:tc>
        <w:tc>
          <w:tcPr>
            <w:tcW w:w="666" w:type="dxa"/>
            <w:tcBorders>
              <w:top w:val="nil"/>
              <w:left w:val="nil"/>
              <w:bottom w:val="nil"/>
              <w:right w:val="nil"/>
            </w:tcBorders>
            <w:shd w:val="clear" w:color="000000" w:fill="FFFFFF"/>
            <w:noWrap/>
            <w:vAlign w:val="bottom"/>
            <w:hideMark/>
          </w:tcPr>
          <w:p w14:paraId="5551683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w:t>
            </w:r>
          </w:p>
        </w:tc>
        <w:tc>
          <w:tcPr>
            <w:tcW w:w="666" w:type="dxa"/>
            <w:tcBorders>
              <w:top w:val="nil"/>
              <w:left w:val="nil"/>
              <w:bottom w:val="nil"/>
              <w:right w:val="nil"/>
            </w:tcBorders>
            <w:shd w:val="clear" w:color="000000" w:fill="FFFFFF"/>
            <w:noWrap/>
            <w:vAlign w:val="bottom"/>
            <w:hideMark/>
          </w:tcPr>
          <w:p w14:paraId="2F184A3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3.9</w:t>
            </w:r>
          </w:p>
        </w:tc>
        <w:tc>
          <w:tcPr>
            <w:tcW w:w="222" w:type="dxa"/>
            <w:tcBorders>
              <w:top w:val="nil"/>
              <w:left w:val="nil"/>
              <w:bottom w:val="nil"/>
              <w:right w:val="nil"/>
            </w:tcBorders>
            <w:shd w:val="clear" w:color="000000" w:fill="FFFFFF"/>
          </w:tcPr>
          <w:p w14:paraId="51E4155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3612AF8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4.0</w:t>
            </w:r>
          </w:p>
        </w:tc>
        <w:tc>
          <w:tcPr>
            <w:tcW w:w="728" w:type="dxa"/>
            <w:tcBorders>
              <w:top w:val="nil"/>
              <w:left w:val="nil"/>
              <w:bottom w:val="nil"/>
              <w:right w:val="nil"/>
            </w:tcBorders>
            <w:shd w:val="clear" w:color="000000" w:fill="FFFFFF"/>
            <w:noWrap/>
            <w:vAlign w:val="bottom"/>
            <w:hideMark/>
          </w:tcPr>
          <w:p w14:paraId="05E38AA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w:t>
            </w:r>
          </w:p>
        </w:tc>
        <w:tc>
          <w:tcPr>
            <w:tcW w:w="728" w:type="dxa"/>
            <w:tcBorders>
              <w:top w:val="nil"/>
              <w:left w:val="nil"/>
              <w:bottom w:val="nil"/>
              <w:right w:val="nil"/>
            </w:tcBorders>
            <w:shd w:val="clear" w:color="000000" w:fill="FFFFFF"/>
            <w:noWrap/>
            <w:vAlign w:val="bottom"/>
            <w:hideMark/>
          </w:tcPr>
          <w:p w14:paraId="054A271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w:t>
            </w:r>
          </w:p>
        </w:tc>
        <w:tc>
          <w:tcPr>
            <w:tcW w:w="728" w:type="dxa"/>
            <w:tcBorders>
              <w:top w:val="nil"/>
              <w:left w:val="nil"/>
              <w:bottom w:val="nil"/>
              <w:right w:val="nil"/>
            </w:tcBorders>
            <w:shd w:val="clear" w:color="000000" w:fill="FFFFFF"/>
            <w:noWrap/>
            <w:vAlign w:val="bottom"/>
            <w:hideMark/>
          </w:tcPr>
          <w:p w14:paraId="08CB819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w:t>
            </w:r>
          </w:p>
        </w:tc>
      </w:tr>
      <w:tr w:rsidR="00491324" w:rsidRPr="00997026" w14:paraId="78400784"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7AEA8670"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Social benefits</w:t>
            </w:r>
          </w:p>
        </w:tc>
        <w:tc>
          <w:tcPr>
            <w:tcW w:w="666" w:type="dxa"/>
            <w:tcBorders>
              <w:top w:val="nil"/>
              <w:left w:val="nil"/>
              <w:bottom w:val="nil"/>
              <w:right w:val="nil"/>
            </w:tcBorders>
            <w:shd w:val="clear" w:color="000000" w:fill="FFFFFF"/>
            <w:noWrap/>
            <w:vAlign w:val="bottom"/>
            <w:hideMark/>
          </w:tcPr>
          <w:p w14:paraId="1234606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3.2</w:t>
            </w:r>
          </w:p>
        </w:tc>
        <w:tc>
          <w:tcPr>
            <w:tcW w:w="666" w:type="dxa"/>
            <w:tcBorders>
              <w:top w:val="nil"/>
              <w:left w:val="nil"/>
              <w:bottom w:val="nil"/>
              <w:right w:val="nil"/>
            </w:tcBorders>
            <w:shd w:val="clear" w:color="000000" w:fill="FFFFFF"/>
            <w:noWrap/>
            <w:vAlign w:val="bottom"/>
            <w:hideMark/>
          </w:tcPr>
          <w:p w14:paraId="7E63984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3.1</w:t>
            </w:r>
          </w:p>
        </w:tc>
        <w:tc>
          <w:tcPr>
            <w:tcW w:w="666" w:type="dxa"/>
            <w:tcBorders>
              <w:top w:val="nil"/>
              <w:left w:val="nil"/>
              <w:bottom w:val="nil"/>
              <w:right w:val="nil"/>
            </w:tcBorders>
            <w:shd w:val="clear" w:color="000000" w:fill="FFFFFF"/>
            <w:noWrap/>
            <w:vAlign w:val="bottom"/>
            <w:hideMark/>
          </w:tcPr>
          <w:p w14:paraId="4DD69AF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3.7</w:t>
            </w:r>
          </w:p>
        </w:tc>
        <w:tc>
          <w:tcPr>
            <w:tcW w:w="666" w:type="dxa"/>
            <w:tcBorders>
              <w:top w:val="nil"/>
              <w:left w:val="nil"/>
              <w:bottom w:val="nil"/>
              <w:right w:val="nil"/>
            </w:tcBorders>
            <w:shd w:val="clear" w:color="000000" w:fill="FFFFFF"/>
            <w:noWrap/>
            <w:vAlign w:val="bottom"/>
            <w:hideMark/>
          </w:tcPr>
          <w:p w14:paraId="3D04ADA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5.0</w:t>
            </w:r>
          </w:p>
        </w:tc>
        <w:tc>
          <w:tcPr>
            <w:tcW w:w="222" w:type="dxa"/>
            <w:tcBorders>
              <w:top w:val="nil"/>
              <w:left w:val="nil"/>
              <w:bottom w:val="nil"/>
              <w:right w:val="nil"/>
            </w:tcBorders>
            <w:shd w:val="clear" w:color="000000" w:fill="FFFFFF"/>
          </w:tcPr>
          <w:p w14:paraId="7786E66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0D41547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4</w:t>
            </w:r>
          </w:p>
        </w:tc>
        <w:tc>
          <w:tcPr>
            <w:tcW w:w="728" w:type="dxa"/>
            <w:tcBorders>
              <w:top w:val="nil"/>
              <w:left w:val="nil"/>
              <w:bottom w:val="nil"/>
              <w:right w:val="nil"/>
            </w:tcBorders>
            <w:shd w:val="clear" w:color="000000" w:fill="FFFFFF"/>
            <w:noWrap/>
            <w:vAlign w:val="bottom"/>
            <w:hideMark/>
          </w:tcPr>
          <w:p w14:paraId="1E50F28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8</w:t>
            </w:r>
          </w:p>
        </w:tc>
        <w:tc>
          <w:tcPr>
            <w:tcW w:w="728" w:type="dxa"/>
            <w:tcBorders>
              <w:top w:val="nil"/>
              <w:left w:val="nil"/>
              <w:bottom w:val="nil"/>
              <w:right w:val="nil"/>
            </w:tcBorders>
            <w:shd w:val="clear" w:color="000000" w:fill="FFFFFF"/>
            <w:noWrap/>
            <w:vAlign w:val="bottom"/>
            <w:hideMark/>
          </w:tcPr>
          <w:p w14:paraId="2274F47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9</w:t>
            </w:r>
          </w:p>
        </w:tc>
        <w:tc>
          <w:tcPr>
            <w:tcW w:w="728" w:type="dxa"/>
            <w:tcBorders>
              <w:top w:val="nil"/>
              <w:left w:val="nil"/>
              <w:bottom w:val="nil"/>
              <w:right w:val="nil"/>
            </w:tcBorders>
            <w:shd w:val="clear" w:color="000000" w:fill="FFFFFF"/>
            <w:noWrap/>
            <w:vAlign w:val="bottom"/>
            <w:hideMark/>
          </w:tcPr>
          <w:p w14:paraId="7BD367B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9</w:t>
            </w:r>
          </w:p>
        </w:tc>
      </w:tr>
      <w:tr w:rsidR="00491324" w:rsidRPr="00997026" w14:paraId="3AA058A8"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4B6D39FB"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Other expenses</w:t>
            </w:r>
          </w:p>
        </w:tc>
        <w:tc>
          <w:tcPr>
            <w:tcW w:w="666" w:type="dxa"/>
            <w:tcBorders>
              <w:top w:val="nil"/>
              <w:left w:val="nil"/>
              <w:bottom w:val="nil"/>
              <w:right w:val="nil"/>
            </w:tcBorders>
            <w:shd w:val="clear" w:color="000000" w:fill="FFFFFF"/>
            <w:noWrap/>
            <w:vAlign w:val="bottom"/>
            <w:hideMark/>
          </w:tcPr>
          <w:p w14:paraId="385622B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1.9</w:t>
            </w:r>
          </w:p>
        </w:tc>
        <w:tc>
          <w:tcPr>
            <w:tcW w:w="666" w:type="dxa"/>
            <w:tcBorders>
              <w:top w:val="nil"/>
              <w:left w:val="nil"/>
              <w:bottom w:val="nil"/>
              <w:right w:val="nil"/>
            </w:tcBorders>
            <w:shd w:val="clear" w:color="000000" w:fill="FFFFFF"/>
            <w:noWrap/>
            <w:vAlign w:val="bottom"/>
            <w:hideMark/>
          </w:tcPr>
          <w:p w14:paraId="5B7F43E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2.5</w:t>
            </w:r>
          </w:p>
        </w:tc>
        <w:tc>
          <w:tcPr>
            <w:tcW w:w="666" w:type="dxa"/>
            <w:tcBorders>
              <w:top w:val="nil"/>
              <w:left w:val="nil"/>
              <w:bottom w:val="nil"/>
              <w:right w:val="nil"/>
            </w:tcBorders>
            <w:shd w:val="clear" w:color="000000" w:fill="FFFFFF"/>
            <w:noWrap/>
            <w:vAlign w:val="bottom"/>
            <w:hideMark/>
          </w:tcPr>
          <w:p w14:paraId="3C5C412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3.2</w:t>
            </w:r>
          </w:p>
        </w:tc>
        <w:tc>
          <w:tcPr>
            <w:tcW w:w="666" w:type="dxa"/>
            <w:tcBorders>
              <w:top w:val="nil"/>
              <w:left w:val="nil"/>
              <w:bottom w:val="nil"/>
              <w:right w:val="nil"/>
            </w:tcBorders>
            <w:shd w:val="clear" w:color="000000" w:fill="FFFFFF"/>
            <w:noWrap/>
            <w:vAlign w:val="bottom"/>
            <w:hideMark/>
          </w:tcPr>
          <w:p w14:paraId="3A3BEE9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1.4</w:t>
            </w:r>
          </w:p>
        </w:tc>
        <w:tc>
          <w:tcPr>
            <w:tcW w:w="222" w:type="dxa"/>
            <w:tcBorders>
              <w:top w:val="nil"/>
              <w:left w:val="nil"/>
              <w:bottom w:val="nil"/>
              <w:right w:val="nil"/>
            </w:tcBorders>
            <w:shd w:val="clear" w:color="000000" w:fill="FFFFFF"/>
          </w:tcPr>
          <w:p w14:paraId="283C57D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2E02B62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c>
          <w:tcPr>
            <w:tcW w:w="728" w:type="dxa"/>
            <w:tcBorders>
              <w:top w:val="nil"/>
              <w:left w:val="nil"/>
              <w:bottom w:val="nil"/>
              <w:right w:val="nil"/>
            </w:tcBorders>
            <w:shd w:val="clear" w:color="000000" w:fill="FFFFFF"/>
            <w:noWrap/>
            <w:vAlign w:val="bottom"/>
            <w:hideMark/>
          </w:tcPr>
          <w:p w14:paraId="391321A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728" w:type="dxa"/>
            <w:tcBorders>
              <w:top w:val="nil"/>
              <w:left w:val="nil"/>
              <w:bottom w:val="nil"/>
              <w:right w:val="nil"/>
            </w:tcBorders>
            <w:shd w:val="clear" w:color="000000" w:fill="FFFFFF"/>
            <w:noWrap/>
            <w:vAlign w:val="bottom"/>
            <w:hideMark/>
          </w:tcPr>
          <w:p w14:paraId="2DFFE16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728" w:type="dxa"/>
            <w:tcBorders>
              <w:top w:val="nil"/>
              <w:left w:val="nil"/>
              <w:bottom w:val="nil"/>
              <w:right w:val="nil"/>
            </w:tcBorders>
            <w:shd w:val="clear" w:color="000000" w:fill="FFFFFF"/>
            <w:noWrap/>
            <w:vAlign w:val="bottom"/>
            <w:hideMark/>
          </w:tcPr>
          <w:p w14:paraId="4C78354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491324" w:rsidRPr="00997026" w14:paraId="1A3189BF"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3475EE89"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Net acquisition of nonfinancial assets</w:t>
            </w:r>
          </w:p>
        </w:tc>
        <w:tc>
          <w:tcPr>
            <w:tcW w:w="666" w:type="dxa"/>
            <w:tcBorders>
              <w:top w:val="nil"/>
              <w:left w:val="nil"/>
              <w:bottom w:val="nil"/>
              <w:right w:val="nil"/>
            </w:tcBorders>
            <w:shd w:val="clear" w:color="000000" w:fill="FFFFFF"/>
            <w:noWrap/>
            <w:vAlign w:val="bottom"/>
            <w:hideMark/>
          </w:tcPr>
          <w:p w14:paraId="2B4CDEE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5.7</w:t>
            </w:r>
          </w:p>
        </w:tc>
        <w:tc>
          <w:tcPr>
            <w:tcW w:w="666" w:type="dxa"/>
            <w:tcBorders>
              <w:top w:val="nil"/>
              <w:left w:val="nil"/>
              <w:bottom w:val="nil"/>
              <w:right w:val="nil"/>
            </w:tcBorders>
            <w:shd w:val="clear" w:color="000000" w:fill="FFFFFF"/>
            <w:noWrap/>
            <w:vAlign w:val="bottom"/>
            <w:hideMark/>
          </w:tcPr>
          <w:p w14:paraId="3F0F20C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4.4</w:t>
            </w:r>
          </w:p>
        </w:tc>
        <w:tc>
          <w:tcPr>
            <w:tcW w:w="666" w:type="dxa"/>
            <w:tcBorders>
              <w:top w:val="nil"/>
              <w:left w:val="nil"/>
              <w:bottom w:val="nil"/>
              <w:right w:val="nil"/>
            </w:tcBorders>
            <w:shd w:val="clear" w:color="000000" w:fill="FFFFFF"/>
            <w:noWrap/>
            <w:vAlign w:val="bottom"/>
            <w:hideMark/>
          </w:tcPr>
          <w:p w14:paraId="426A21C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3.9</w:t>
            </w:r>
          </w:p>
        </w:tc>
        <w:tc>
          <w:tcPr>
            <w:tcW w:w="666" w:type="dxa"/>
            <w:tcBorders>
              <w:top w:val="nil"/>
              <w:left w:val="nil"/>
              <w:bottom w:val="nil"/>
              <w:right w:val="nil"/>
            </w:tcBorders>
            <w:shd w:val="clear" w:color="000000" w:fill="FFFFFF"/>
            <w:noWrap/>
            <w:vAlign w:val="bottom"/>
            <w:hideMark/>
          </w:tcPr>
          <w:p w14:paraId="7C9DB55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3.4</w:t>
            </w:r>
          </w:p>
        </w:tc>
        <w:tc>
          <w:tcPr>
            <w:tcW w:w="222" w:type="dxa"/>
            <w:tcBorders>
              <w:top w:val="nil"/>
              <w:left w:val="nil"/>
              <w:bottom w:val="nil"/>
              <w:right w:val="nil"/>
            </w:tcBorders>
            <w:shd w:val="clear" w:color="000000" w:fill="FFFFFF"/>
          </w:tcPr>
          <w:p w14:paraId="4941B3D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789D7A5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w:t>
            </w:r>
          </w:p>
        </w:tc>
        <w:tc>
          <w:tcPr>
            <w:tcW w:w="728" w:type="dxa"/>
            <w:tcBorders>
              <w:top w:val="nil"/>
              <w:left w:val="nil"/>
              <w:bottom w:val="nil"/>
              <w:right w:val="nil"/>
            </w:tcBorders>
            <w:shd w:val="clear" w:color="000000" w:fill="FFFFFF"/>
            <w:noWrap/>
            <w:vAlign w:val="bottom"/>
            <w:hideMark/>
          </w:tcPr>
          <w:p w14:paraId="4C6BA57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728" w:type="dxa"/>
            <w:tcBorders>
              <w:top w:val="nil"/>
              <w:left w:val="nil"/>
              <w:bottom w:val="nil"/>
              <w:right w:val="nil"/>
            </w:tcBorders>
            <w:shd w:val="clear" w:color="000000" w:fill="FFFFFF"/>
            <w:noWrap/>
            <w:vAlign w:val="bottom"/>
            <w:hideMark/>
          </w:tcPr>
          <w:p w14:paraId="58B786E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728" w:type="dxa"/>
            <w:tcBorders>
              <w:top w:val="nil"/>
              <w:left w:val="nil"/>
              <w:bottom w:val="nil"/>
              <w:right w:val="nil"/>
            </w:tcBorders>
            <w:shd w:val="clear" w:color="000000" w:fill="FFFFFF"/>
            <w:noWrap/>
            <w:vAlign w:val="bottom"/>
            <w:hideMark/>
          </w:tcPr>
          <w:p w14:paraId="13BECFA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r>
      <w:tr w:rsidR="00491324" w:rsidRPr="00997026" w14:paraId="0F0B0C9F"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797E27D2"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77CA8F6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30EC8D2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7DF0F60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201C307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222" w:type="dxa"/>
            <w:tcBorders>
              <w:top w:val="nil"/>
              <w:left w:val="nil"/>
              <w:bottom w:val="nil"/>
              <w:right w:val="nil"/>
            </w:tcBorders>
            <w:shd w:val="clear" w:color="000000" w:fill="FFFFFF"/>
          </w:tcPr>
          <w:p w14:paraId="747CBDE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708EB50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2DC4245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58B3D4A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05F1245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r>
      <w:tr w:rsidR="00491324" w:rsidRPr="00997026" w14:paraId="6F7F8CE9"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35EFF765"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Primary fiscal balance</w:t>
            </w:r>
          </w:p>
        </w:tc>
        <w:tc>
          <w:tcPr>
            <w:tcW w:w="666" w:type="dxa"/>
            <w:tcBorders>
              <w:top w:val="nil"/>
              <w:left w:val="nil"/>
              <w:bottom w:val="nil"/>
              <w:right w:val="nil"/>
            </w:tcBorders>
            <w:shd w:val="clear" w:color="000000" w:fill="FFFFFF"/>
            <w:noWrap/>
            <w:vAlign w:val="bottom"/>
            <w:hideMark/>
          </w:tcPr>
          <w:p w14:paraId="51F2AA0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-0.4</w:t>
            </w:r>
          </w:p>
        </w:tc>
        <w:tc>
          <w:tcPr>
            <w:tcW w:w="666" w:type="dxa"/>
            <w:tcBorders>
              <w:top w:val="nil"/>
              <w:left w:val="nil"/>
              <w:bottom w:val="nil"/>
              <w:right w:val="nil"/>
            </w:tcBorders>
            <w:shd w:val="clear" w:color="000000" w:fill="FFFFFF"/>
            <w:noWrap/>
            <w:vAlign w:val="bottom"/>
            <w:hideMark/>
          </w:tcPr>
          <w:p w14:paraId="6572455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-0.2</w:t>
            </w:r>
          </w:p>
        </w:tc>
        <w:tc>
          <w:tcPr>
            <w:tcW w:w="666" w:type="dxa"/>
            <w:tcBorders>
              <w:top w:val="nil"/>
              <w:left w:val="nil"/>
              <w:bottom w:val="nil"/>
              <w:right w:val="nil"/>
            </w:tcBorders>
            <w:shd w:val="clear" w:color="000000" w:fill="FFFFFF"/>
            <w:noWrap/>
            <w:vAlign w:val="bottom"/>
            <w:hideMark/>
          </w:tcPr>
          <w:p w14:paraId="6BDB9A5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0.2</w:t>
            </w:r>
          </w:p>
        </w:tc>
        <w:tc>
          <w:tcPr>
            <w:tcW w:w="666" w:type="dxa"/>
            <w:tcBorders>
              <w:top w:val="nil"/>
              <w:left w:val="nil"/>
              <w:bottom w:val="nil"/>
              <w:right w:val="nil"/>
            </w:tcBorders>
            <w:shd w:val="clear" w:color="000000" w:fill="FFFFFF"/>
            <w:noWrap/>
            <w:vAlign w:val="bottom"/>
            <w:hideMark/>
          </w:tcPr>
          <w:p w14:paraId="62BCACC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6.0</w:t>
            </w:r>
          </w:p>
        </w:tc>
        <w:tc>
          <w:tcPr>
            <w:tcW w:w="222" w:type="dxa"/>
            <w:tcBorders>
              <w:top w:val="nil"/>
              <w:left w:val="nil"/>
              <w:bottom w:val="nil"/>
              <w:right w:val="nil"/>
            </w:tcBorders>
            <w:shd w:val="clear" w:color="000000" w:fill="FFFFFF"/>
          </w:tcPr>
          <w:p w14:paraId="7B3C6E4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5860B2C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5.4</w:t>
            </w:r>
          </w:p>
        </w:tc>
        <w:tc>
          <w:tcPr>
            <w:tcW w:w="728" w:type="dxa"/>
            <w:tcBorders>
              <w:top w:val="nil"/>
              <w:left w:val="nil"/>
              <w:bottom w:val="nil"/>
              <w:right w:val="nil"/>
            </w:tcBorders>
            <w:shd w:val="clear" w:color="000000" w:fill="FFFFFF"/>
            <w:noWrap/>
            <w:vAlign w:val="bottom"/>
            <w:hideMark/>
          </w:tcPr>
          <w:p w14:paraId="10B658E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3.6</w:t>
            </w:r>
          </w:p>
        </w:tc>
        <w:tc>
          <w:tcPr>
            <w:tcW w:w="728" w:type="dxa"/>
            <w:tcBorders>
              <w:top w:val="nil"/>
              <w:left w:val="nil"/>
              <w:bottom w:val="nil"/>
              <w:right w:val="nil"/>
            </w:tcBorders>
            <w:shd w:val="clear" w:color="000000" w:fill="FFFFFF"/>
            <w:noWrap/>
            <w:vAlign w:val="bottom"/>
            <w:hideMark/>
          </w:tcPr>
          <w:p w14:paraId="3E7C5D2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2.1</w:t>
            </w:r>
          </w:p>
        </w:tc>
        <w:tc>
          <w:tcPr>
            <w:tcW w:w="728" w:type="dxa"/>
            <w:tcBorders>
              <w:top w:val="nil"/>
              <w:left w:val="nil"/>
              <w:bottom w:val="nil"/>
              <w:right w:val="nil"/>
            </w:tcBorders>
            <w:shd w:val="clear" w:color="000000" w:fill="FFFFFF"/>
            <w:noWrap/>
            <w:vAlign w:val="bottom"/>
            <w:hideMark/>
          </w:tcPr>
          <w:p w14:paraId="440E312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0.5</w:t>
            </w:r>
          </w:p>
        </w:tc>
      </w:tr>
      <w:tr w:rsidR="00491324" w:rsidRPr="00997026" w14:paraId="4D5CF105"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0B4DC341"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Overall fiscal balance</w:t>
            </w:r>
          </w:p>
        </w:tc>
        <w:tc>
          <w:tcPr>
            <w:tcW w:w="666" w:type="dxa"/>
            <w:tcBorders>
              <w:top w:val="nil"/>
              <w:left w:val="nil"/>
              <w:bottom w:val="nil"/>
              <w:right w:val="nil"/>
            </w:tcBorders>
            <w:shd w:val="clear" w:color="000000" w:fill="FFFFFF"/>
            <w:noWrap/>
            <w:vAlign w:val="bottom"/>
            <w:hideMark/>
          </w:tcPr>
          <w:p w14:paraId="41484AC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-3.0</w:t>
            </w:r>
          </w:p>
        </w:tc>
        <w:tc>
          <w:tcPr>
            <w:tcW w:w="666" w:type="dxa"/>
            <w:tcBorders>
              <w:top w:val="nil"/>
              <w:left w:val="nil"/>
              <w:bottom w:val="nil"/>
              <w:right w:val="nil"/>
            </w:tcBorders>
            <w:shd w:val="clear" w:color="000000" w:fill="FFFFFF"/>
            <w:noWrap/>
            <w:vAlign w:val="bottom"/>
            <w:hideMark/>
          </w:tcPr>
          <w:p w14:paraId="0D69E76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-2.7</w:t>
            </w:r>
          </w:p>
        </w:tc>
        <w:tc>
          <w:tcPr>
            <w:tcW w:w="666" w:type="dxa"/>
            <w:tcBorders>
              <w:top w:val="nil"/>
              <w:left w:val="nil"/>
              <w:bottom w:val="nil"/>
              <w:right w:val="nil"/>
            </w:tcBorders>
            <w:shd w:val="clear" w:color="000000" w:fill="FFFFFF"/>
            <w:noWrap/>
            <w:vAlign w:val="bottom"/>
            <w:hideMark/>
          </w:tcPr>
          <w:p w14:paraId="32DE05F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-2.4</w:t>
            </w:r>
          </w:p>
        </w:tc>
        <w:tc>
          <w:tcPr>
            <w:tcW w:w="666" w:type="dxa"/>
            <w:tcBorders>
              <w:top w:val="nil"/>
              <w:left w:val="nil"/>
              <w:bottom w:val="nil"/>
              <w:right w:val="nil"/>
            </w:tcBorders>
            <w:shd w:val="clear" w:color="000000" w:fill="FFFFFF"/>
            <w:noWrap/>
            <w:vAlign w:val="bottom"/>
            <w:hideMark/>
          </w:tcPr>
          <w:p w14:paraId="0A98E35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8.9</w:t>
            </w:r>
          </w:p>
        </w:tc>
        <w:tc>
          <w:tcPr>
            <w:tcW w:w="222" w:type="dxa"/>
            <w:tcBorders>
              <w:top w:val="nil"/>
              <w:left w:val="nil"/>
              <w:bottom w:val="nil"/>
              <w:right w:val="nil"/>
            </w:tcBorders>
            <w:shd w:val="clear" w:color="000000" w:fill="FFFFFF"/>
          </w:tcPr>
          <w:p w14:paraId="2656B3C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673AFEE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8.8</w:t>
            </w:r>
          </w:p>
        </w:tc>
        <w:tc>
          <w:tcPr>
            <w:tcW w:w="728" w:type="dxa"/>
            <w:tcBorders>
              <w:top w:val="nil"/>
              <w:left w:val="nil"/>
              <w:bottom w:val="nil"/>
              <w:right w:val="nil"/>
            </w:tcBorders>
            <w:shd w:val="clear" w:color="000000" w:fill="FFFFFF"/>
            <w:noWrap/>
            <w:vAlign w:val="bottom"/>
            <w:hideMark/>
          </w:tcPr>
          <w:p w14:paraId="5D52C80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7.2</w:t>
            </w:r>
          </w:p>
        </w:tc>
        <w:tc>
          <w:tcPr>
            <w:tcW w:w="728" w:type="dxa"/>
            <w:tcBorders>
              <w:top w:val="nil"/>
              <w:left w:val="nil"/>
              <w:bottom w:val="nil"/>
              <w:right w:val="nil"/>
            </w:tcBorders>
            <w:shd w:val="clear" w:color="000000" w:fill="FFFFFF"/>
            <w:noWrap/>
            <w:vAlign w:val="bottom"/>
            <w:hideMark/>
          </w:tcPr>
          <w:p w14:paraId="4BD1818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5.8</w:t>
            </w:r>
          </w:p>
        </w:tc>
        <w:tc>
          <w:tcPr>
            <w:tcW w:w="728" w:type="dxa"/>
            <w:tcBorders>
              <w:top w:val="nil"/>
              <w:left w:val="nil"/>
              <w:bottom w:val="nil"/>
              <w:right w:val="nil"/>
            </w:tcBorders>
            <w:shd w:val="clear" w:color="000000" w:fill="FFFFFF"/>
            <w:noWrap/>
            <w:vAlign w:val="bottom"/>
            <w:hideMark/>
          </w:tcPr>
          <w:p w14:paraId="3F62D39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4.0</w:t>
            </w:r>
          </w:p>
        </w:tc>
      </w:tr>
      <w:tr w:rsidR="00491324" w:rsidRPr="00997026" w14:paraId="40E3C61C" w14:textId="77777777" w:rsidTr="00491324">
        <w:trPr>
          <w:trHeight w:val="260"/>
          <w:jc w:val="center"/>
        </w:trPr>
        <w:tc>
          <w:tcPr>
            <w:tcW w:w="2790" w:type="dxa"/>
            <w:gridSpan w:val="2"/>
            <w:tcBorders>
              <w:top w:val="nil"/>
              <w:left w:val="nil"/>
              <w:bottom w:val="nil"/>
              <w:right w:val="nil"/>
            </w:tcBorders>
            <w:shd w:val="clear" w:color="000000" w:fill="FFFFFF"/>
            <w:vAlign w:val="bottom"/>
            <w:hideMark/>
          </w:tcPr>
          <w:p w14:paraId="0197357F"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 xml:space="preserve">Net other liabilities </w:t>
            </w:r>
          </w:p>
        </w:tc>
        <w:tc>
          <w:tcPr>
            <w:tcW w:w="666" w:type="dxa"/>
            <w:tcBorders>
              <w:top w:val="nil"/>
              <w:left w:val="nil"/>
              <w:bottom w:val="nil"/>
              <w:right w:val="nil"/>
            </w:tcBorders>
            <w:shd w:val="clear" w:color="000000" w:fill="FFFFFF"/>
            <w:noWrap/>
            <w:vAlign w:val="bottom"/>
            <w:hideMark/>
          </w:tcPr>
          <w:p w14:paraId="20EBF31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-0.4</w:t>
            </w:r>
          </w:p>
        </w:tc>
        <w:tc>
          <w:tcPr>
            <w:tcW w:w="666" w:type="dxa"/>
            <w:tcBorders>
              <w:top w:val="nil"/>
              <w:left w:val="nil"/>
              <w:bottom w:val="nil"/>
              <w:right w:val="nil"/>
            </w:tcBorders>
            <w:shd w:val="clear" w:color="000000" w:fill="FFFFFF"/>
            <w:noWrap/>
            <w:vAlign w:val="bottom"/>
            <w:hideMark/>
          </w:tcPr>
          <w:p w14:paraId="16D9D52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w:t>
            </w:r>
          </w:p>
        </w:tc>
        <w:tc>
          <w:tcPr>
            <w:tcW w:w="666" w:type="dxa"/>
            <w:tcBorders>
              <w:top w:val="nil"/>
              <w:left w:val="nil"/>
              <w:bottom w:val="nil"/>
              <w:right w:val="nil"/>
            </w:tcBorders>
            <w:shd w:val="clear" w:color="000000" w:fill="FFFFFF"/>
            <w:noWrap/>
            <w:vAlign w:val="bottom"/>
            <w:hideMark/>
          </w:tcPr>
          <w:p w14:paraId="3DD2508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-3.3</w:t>
            </w:r>
          </w:p>
        </w:tc>
        <w:tc>
          <w:tcPr>
            <w:tcW w:w="666" w:type="dxa"/>
            <w:tcBorders>
              <w:top w:val="nil"/>
              <w:left w:val="nil"/>
              <w:bottom w:val="nil"/>
              <w:right w:val="nil"/>
            </w:tcBorders>
            <w:shd w:val="clear" w:color="000000" w:fill="FFFFFF"/>
            <w:noWrap/>
            <w:vAlign w:val="bottom"/>
            <w:hideMark/>
          </w:tcPr>
          <w:p w14:paraId="4868451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-1.1</w:t>
            </w:r>
          </w:p>
        </w:tc>
        <w:tc>
          <w:tcPr>
            <w:tcW w:w="222" w:type="dxa"/>
            <w:tcBorders>
              <w:top w:val="nil"/>
              <w:left w:val="nil"/>
              <w:bottom w:val="nil"/>
              <w:right w:val="nil"/>
            </w:tcBorders>
            <w:shd w:val="clear" w:color="000000" w:fill="FFFFFF"/>
          </w:tcPr>
          <w:p w14:paraId="632E5C4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0496744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9</w:t>
            </w:r>
          </w:p>
        </w:tc>
        <w:tc>
          <w:tcPr>
            <w:tcW w:w="728" w:type="dxa"/>
            <w:tcBorders>
              <w:top w:val="nil"/>
              <w:left w:val="nil"/>
              <w:bottom w:val="nil"/>
              <w:right w:val="nil"/>
            </w:tcBorders>
            <w:shd w:val="clear" w:color="000000" w:fill="FFFFFF"/>
            <w:noWrap/>
            <w:vAlign w:val="bottom"/>
            <w:hideMark/>
          </w:tcPr>
          <w:p w14:paraId="1AF8480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0</w:t>
            </w:r>
          </w:p>
        </w:tc>
        <w:tc>
          <w:tcPr>
            <w:tcW w:w="728" w:type="dxa"/>
            <w:tcBorders>
              <w:top w:val="nil"/>
              <w:left w:val="nil"/>
              <w:bottom w:val="nil"/>
              <w:right w:val="nil"/>
            </w:tcBorders>
            <w:shd w:val="clear" w:color="000000" w:fill="FFFFFF"/>
            <w:noWrap/>
            <w:vAlign w:val="bottom"/>
            <w:hideMark/>
          </w:tcPr>
          <w:p w14:paraId="41F0D64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-0.4</w:t>
            </w:r>
          </w:p>
        </w:tc>
        <w:tc>
          <w:tcPr>
            <w:tcW w:w="728" w:type="dxa"/>
            <w:tcBorders>
              <w:top w:val="nil"/>
              <w:left w:val="nil"/>
              <w:bottom w:val="nil"/>
              <w:right w:val="nil"/>
            </w:tcBorders>
            <w:shd w:val="clear" w:color="000000" w:fill="FFFFFF"/>
            <w:noWrap/>
            <w:vAlign w:val="bottom"/>
            <w:hideMark/>
          </w:tcPr>
          <w:p w14:paraId="4F59BE3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-0.2</w:t>
            </w:r>
          </w:p>
        </w:tc>
      </w:tr>
      <w:tr w:rsidR="00491324" w:rsidRPr="00997026" w14:paraId="18F8875D" w14:textId="77777777" w:rsidTr="00491324">
        <w:trPr>
          <w:trHeight w:val="260"/>
          <w:jc w:val="center"/>
        </w:trPr>
        <w:tc>
          <w:tcPr>
            <w:tcW w:w="2790" w:type="dxa"/>
            <w:gridSpan w:val="2"/>
            <w:tcBorders>
              <w:top w:val="nil"/>
              <w:left w:val="nil"/>
              <w:bottom w:val="nil"/>
              <w:right w:val="nil"/>
            </w:tcBorders>
            <w:shd w:val="clear" w:color="000000" w:fill="FFFFFF"/>
            <w:vAlign w:val="bottom"/>
            <w:hideMark/>
          </w:tcPr>
          <w:p w14:paraId="7D33F07E"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proofErr w:type="spellStart"/>
            <w:r w:rsidRPr="00997026">
              <w:rPr>
                <w:rFonts w:ascii="Times New Roman" w:eastAsia="Times New Roman" w:hAnsi="Times New Roman" w:cs="Times New Roman"/>
                <w:color w:val="000000"/>
                <w:sz w:val="20"/>
                <w:szCs w:val="20"/>
              </w:rPr>
              <w:t>Onlending</w:t>
            </w:r>
            <w:proofErr w:type="spellEnd"/>
            <w:r w:rsidRPr="00997026">
              <w:rPr>
                <w:rFonts w:ascii="Times New Roman" w:eastAsia="Times New Roman" w:hAnsi="Times New Roman" w:cs="Times New Roman"/>
                <w:color w:val="000000"/>
                <w:sz w:val="20"/>
                <w:szCs w:val="20"/>
              </w:rPr>
              <w:t xml:space="preserve"> </w:t>
            </w:r>
          </w:p>
        </w:tc>
        <w:tc>
          <w:tcPr>
            <w:tcW w:w="666" w:type="dxa"/>
            <w:tcBorders>
              <w:top w:val="nil"/>
              <w:left w:val="nil"/>
              <w:bottom w:val="nil"/>
              <w:right w:val="nil"/>
            </w:tcBorders>
            <w:shd w:val="clear" w:color="000000" w:fill="FFFFFF"/>
            <w:noWrap/>
            <w:vAlign w:val="bottom"/>
            <w:hideMark/>
          </w:tcPr>
          <w:p w14:paraId="4C9E073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0.2</w:t>
            </w:r>
          </w:p>
        </w:tc>
        <w:tc>
          <w:tcPr>
            <w:tcW w:w="666" w:type="dxa"/>
            <w:tcBorders>
              <w:top w:val="nil"/>
              <w:left w:val="nil"/>
              <w:bottom w:val="nil"/>
              <w:right w:val="nil"/>
            </w:tcBorders>
            <w:shd w:val="clear" w:color="000000" w:fill="FFFFFF"/>
            <w:noWrap/>
            <w:vAlign w:val="bottom"/>
            <w:hideMark/>
          </w:tcPr>
          <w:p w14:paraId="6586883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0.2</w:t>
            </w:r>
          </w:p>
        </w:tc>
        <w:tc>
          <w:tcPr>
            <w:tcW w:w="666" w:type="dxa"/>
            <w:tcBorders>
              <w:top w:val="nil"/>
              <w:left w:val="nil"/>
              <w:bottom w:val="nil"/>
              <w:right w:val="nil"/>
            </w:tcBorders>
            <w:shd w:val="clear" w:color="000000" w:fill="FFFFFF"/>
            <w:noWrap/>
            <w:vAlign w:val="bottom"/>
            <w:hideMark/>
          </w:tcPr>
          <w:p w14:paraId="75238BC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-1.1</w:t>
            </w:r>
          </w:p>
        </w:tc>
        <w:tc>
          <w:tcPr>
            <w:tcW w:w="666" w:type="dxa"/>
            <w:tcBorders>
              <w:top w:val="nil"/>
              <w:left w:val="nil"/>
              <w:bottom w:val="nil"/>
              <w:right w:val="nil"/>
            </w:tcBorders>
            <w:shd w:val="clear" w:color="000000" w:fill="FFFFFF"/>
            <w:noWrap/>
            <w:vAlign w:val="bottom"/>
            <w:hideMark/>
          </w:tcPr>
          <w:p w14:paraId="6FB6322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8</w:t>
            </w:r>
          </w:p>
        </w:tc>
        <w:tc>
          <w:tcPr>
            <w:tcW w:w="222" w:type="dxa"/>
            <w:tcBorders>
              <w:top w:val="nil"/>
              <w:left w:val="nil"/>
              <w:bottom w:val="nil"/>
              <w:right w:val="nil"/>
            </w:tcBorders>
            <w:shd w:val="clear" w:color="000000" w:fill="FFFFFF"/>
          </w:tcPr>
          <w:p w14:paraId="3BAFBCF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5FF0463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7</w:t>
            </w:r>
          </w:p>
        </w:tc>
        <w:tc>
          <w:tcPr>
            <w:tcW w:w="728" w:type="dxa"/>
            <w:tcBorders>
              <w:top w:val="nil"/>
              <w:left w:val="nil"/>
              <w:bottom w:val="nil"/>
              <w:right w:val="nil"/>
            </w:tcBorders>
            <w:shd w:val="clear" w:color="000000" w:fill="FFFFFF"/>
            <w:noWrap/>
            <w:vAlign w:val="bottom"/>
            <w:hideMark/>
          </w:tcPr>
          <w:p w14:paraId="1FC3601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3</w:t>
            </w:r>
          </w:p>
        </w:tc>
        <w:tc>
          <w:tcPr>
            <w:tcW w:w="728" w:type="dxa"/>
            <w:tcBorders>
              <w:top w:val="nil"/>
              <w:left w:val="nil"/>
              <w:bottom w:val="nil"/>
              <w:right w:val="nil"/>
            </w:tcBorders>
            <w:shd w:val="clear" w:color="000000" w:fill="FFFFFF"/>
            <w:noWrap/>
            <w:vAlign w:val="bottom"/>
            <w:hideMark/>
          </w:tcPr>
          <w:p w14:paraId="254A023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w:t>
            </w:r>
          </w:p>
        </w:tc>
        <w:tc>
          <w:tcPr>
            <w:tcW w:w="728" w:type="dxa"/>
            <w:tcBorders>
              <w:top w:val="nil"/>
              <w:left w:val="nil"/>
              <w:bottom w:val="nil"/>
              <w:right w:val="nil"/>
            </w:tcBorders>
            <w:shd w:val="clear" w:color="000000" w:fill="FFFFFF"/>
            <w:noWrap/>
            <w:vAlign w:val="bottom"/>
            <w:hideMark/>
          </w:tcPr>
          <w:p w14:paraId="2344944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2</w:t>
            </w:r>
          </w:p>
        </w:tc>
      </w:tr>
      <w:tr w:rsidR="00491324" w:rsidRPr="00997026" w14:paraId="66490B09"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116DB708"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Capitalization </w:t>
            </w:r>
          </w:p>
        </w:tc>
        <w:tc>
          <w:tcPr>
            <w:tcW w:w="666" w:type="dxa"/>
            <w:tcBorders>
              <w:top w:val="nil"/>
              <w:left w:val="nil"/>
              <w:bottom w:val="nil"/>
              <w:right w:val="nil"/>
            </w:tcBorders>
            <w:shd w:val="clear" w:color="000000" w:fill="FFFFFF"/>
            <w:noWrap/>
            <w:vAlign w:val="bottom"/>
            <w:hideMark/>
          </w:tcPr>
          <w:p w14:paraId="391362E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-0.7</w:t>
            </w:r>
          </w:p>
        </w:tc>
        <w:tc>
          <w:tcPr>
            <w:tcW w:w="666" w:type="dxa"/>
            <w:tcBorders>
              <w:top w:val="nil"/>
              <w:left w:val="nil"/>
              <w:bottom w:val="nil"/>
              <w:right w:val="nil"/>
            </w:tcBorders>
            <w:shd w:val="clear" w:color="000000" w:fill="FFFFFF"/>
            <w:noWrap/>
            <w:vAlign w:val="bottom"/>
            <w:hideMark/>
          </w:tcPr>
          <w:p w14:paraId="37C53BB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-2.2</w:t>
            </w:r>
          </w:p>
        </w:tc>
        <w:tc>
          <w:tcPr>
            <w:tcW w:w="666" w:type="dxa"/>
            <w:tcBorders>
              <w:top w:val="nil"/>
              <w:left w:val="nil"/>
              <w:bottom w:val="nil"/>
              <w:right w:val="nil"/>
            </w:tcBorders>
            <w:shd w:val="clear" w:color="000000" w:fill="FFFFFF"/>
            <w:noWrap/>
            <w:vAlign w:val="bottom"/>
            <w:hideMark/>
          </w:tcPr>
          <w:p w14:paraId="248FA2A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-2.3</w:t>
            </w:r>
          </w:p>
        </w:tc>
        <w:tc>
          <w:tcPr>
            <w:tcW w:w="666" w:type="dxa"/>
            <w:tcBorders>
              <w:top w:val="nil"/>
              <w:left w:val="nil"/>
              <w:bottom w:val="nil"/>
              <w:right w:val="nil"/>
            </w:tcBorders>
            <w:shd w:val="clear" w:color="000000" w:fill="FFFFFF"/>
            <w:noWrap/>
            <w:vAlign w:val="bottom"/>
            <w:hideMark/>
          </w:tcPr>
          <w:p w14:paraId="355EF69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3</w:t>
            </w:r>
          </w:p>
        </w:tc>
        <w:tc>
          <w:tcPr>
            <w:tcW w:w="222" w:type="dxa"/>
            <w:tcBorders>
              <w:top w:val="nil"/>
              <w:left w:val="nil"/>
              <w:bottom w:val="nil"/>
              <w:right w:val="nil"/>
            </w:tcBorders>
            <w:shd w:val="clear" w:color="000000" w:fill="FFFFFF"/>
          </w:tcPr>
          <w:p w14:paraId="1726111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2A6A4ED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2</w:t>
            </w:r>
          </w:p>
        </w:tc>
        <w:tc>
          <w:tcPr>
            <w:tcW w:w="728" w:type="dxa"/>
            <w:tcBorders>
              <w:top w:val="nil"/>
              <w:left w:val="nil"/>
              <w:bottom w:val="nil"/>
              <w:right w:val="nil"/>
            </w:tcBorders>
            <w:shd w:val="clear" w:color="000000" w:fill="FFFFFF"/>
            <w:noWrap/>
            <w:vAlign w:val="bottom"/>
            <w:hideMark/>
          </w:tcPr>
          <w:p w14:paraId="4B602DE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0.7</w:t>
            </w:r>
          </w:p>
        </w:tc>
        <w:tc>
          <w:tcPr>
            <w:tcW w:w="728" w:type="dxa"/>
            <w:tcBorders>
              <w:top w:val="nil"/>
              <w:left w:val="nil"/>
              <w:bottom w:val="nil"/>
              <w:right w:val="nil"/>
            </w:tcBorders>
            <w:shd w:val="clear" w:color="000000" w:fill="FFFFFF"/>
            <w:noWrap/>
            <w:vAlign w:val="bottom"/>
            <w:hideMark/>
          </w:tcPr>
          <w:p w14:paraId="43CDEAE8"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0.0</w:t>
            </w:r>
          </w:p>
        </w:tc>
        <w:tc>
          <w:tcPr>
            <w:tcW w:w="728" w:type="dxa"/>
            <w:tcBorders>
              <w:top w:val="nil"/>
              <w:left w:val="nil"/>
              <w:bottom w:val="nil"/>
              <w:right w:val="nil"/>
            </w:tcBorders>
            <w:shd w:val="clear" w:color="000000" w:fill="FFFFFF"/>
            <w:noWrap/>
            <w:vAlign w:val="bottom"/>
            <w:hideMark/>
          </w:tcPr>
          <w:p w14:paraId="4DB9A70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0.0</w:t>
            </w:r>
          </w:p>
        </w:tc>
      </w:tr>
      <w:tr w:rsidR="00491324" w:rsidRPr="00997026" w14:paraId="262DDF94"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1B393628"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Financing Needs</w:t>
            </w:r>
          </w:p>
        </w:tc>
        <w:tc>
          <w:tcPr>
            <w:tcW w:w="666" w:type="dxa"/>
            <w:tcBorders>
              <w:top w:val="nil"/>
              <w:left w:val="nil"/>
              <w:bottom w:val="nil"/>
              <w:right w:val="nil"/>
            </w:tcBorders>
            <w:shd w:val="clear" w:color="000000" w:fill="FFFFFF"/>
            <w:noWrap/>
            <w:vAlign w:val="bottom"/>
            <w:hideMark/>
          </w:tcPr>
          <w:p w14:paraId="7CDF66D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3.3</w:t>
            </w:r>
          </w:p>
        </w:tc>
        <w:tc>
          <w:tcPr>
            <w:tcW w:w="666" w:type="dxa"/>
            <w:tcBorders>
              <w:top w:val="nil"/>
              <w:left w:val="nil"/>
              <w:bottom w:val="nil"/>
              <w:right w:val="nil"/>
            </w:tcBorders>
            <w:shd w:val="clear" w:color="000000" w:fill="FFFFFF"/>
            <w:noWrap/>
            <w:vAlign w:val="bottom"/>
            <w:hideMark/>
          </w:tcPr>
          <w:p w14:paraId="2179E6F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3.7</w:t>
            </w:r>
          </w:p>
        </w:tc>
        <w:tc>
          <w:tcPr>
            <w:tcW w:w="666" w:type="dxa"/>
            <w:tcBorders>
              <w:top w:val="nil"/>
              <w:left w:val="nil"/>
              <w:bottom w:val="nil"/>
              <w:right w:val="nil"/>
            </w:tcBorders>
            <w:shd w:val="clear" w:color="000000" w:fill="FFFFFF"/>
            <w:noWrap/>
            <w:vAlign w:val="bottom"/>
            <w:hideMark/>
          </w:tcPr>
          <w:p w14:paraId="5C9E012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5.7</w:t>
            </w:r>
          </w:p>
        </w:tc>
        <w:tc>
          <w:tcPr>
            <w:tcW w:w="666" w:type="dxa"/>
            <w:tcBorders>
              <w:top w:val="nil"/>
              <w:left w:val="nil"/>
              <w:bottom w:val="nil"/>
              <w:right w:val="nil"/>
            </w:tcBorders>
            <w:shd w:val="clear" w:color="000000" w:fill="FFFFFF"/>
            <w:noWrap/>
            <w:vAlign w:val="bottom"/>
            <w:hideMark/>
          </w:tcPr>
          <w:p w14:paraId="349FC95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0.0</w:t>
            </w:r>
          </w:p>
        </w:tc>
        <w:tc>
          <w:tcPr>
            <w:tcW w:w="222" w:type="dxa"/>
            <w:tcBorders>
              <w:top w:val="nil"/>
              <w:left w:val="nil"/>
              <w:bottom w:val="nil"/>
              <w:right w:val="nil"/>
            </w:tcBorders>
            <w:shd w:val="clear" w:color="000000" w:fill="FFFFFF"/>
          </w:tcPr>
          <w:p w14:paraId="70FC6FC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1F58858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c>
          <w:tcPr>
            <w:tcW w:w="728" w:type="dxa"/>
            <w:tcBorders>
              <w:top w:val="nil"/>
              <w:left w:val="nil"/>
              <w:bottom w:val="nil"/>
              <w:right w:val="nil"/>
            </w:tcBorders>
            <w:shd w:val="clear" w:color="000000" w:fill="FFFFFF"/>
            <w:noWrap/>
            <w:vAlign w:val="bottom"/>
            <w:hideMark/>
          </w:tcPr>
          <w:p w14:paraId="22073EE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Pr="00997026">
              <w:rPr>
                <w:rFonts w:ascii="Times New Roman" w:eastAsia="Times New Roman" w:hAnsi="Times New Roman" w:cs="Times New Roman"/>
                <w:color w:val="000000"/>
                <w:sz w:val="20"/>
                <w:szCs w:val="20"/>
              </w:rPr>
              <w:t>.2</w:t>
            </w:r>
          </w:p>
        </w:tc>
        <w:tc>
          <w:tcPr>
            <w:tcW w:w="728" w:type="dxa"/>
            <w:tcBorders>
              <w:top w:val="nil"/>
              <w:left w:val="nil"/>
              <w:bottom w:val="nil"/>
              <w:right w:val="nil"/>
            </w:tcBorders>
            <w:shd w:val="clear" w:color="000000" w:fill="FFFFFF"/>
            <w:noWrap/>
            <w:vAlign w:val="bottom"/>
            <w:hideMark/>
          </w:tcPr>
          <w:p w14:paraId="0B05A40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728" w:type="dxa"/>
            <w:tcBorders>
              <w:top w:val="nil"/>
              <w:left w:val="nil"/>
              <w:bottom w:val="nil"/>
              <w:right w:val="nil"/>
            </w:tcBorders>
            <w:shd w:val="clear" w:color="000000" w:fill="FFFFFF"/>
            <w:noWrap/>
            <w:vAlign w:val="bottom"/>
            <w:hideMark/>
          </w:tcPr>
          <w:p w14:paraId="72724E2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r>
      <w:tr w:rsidR="00491324" w:rsidRPr="00997026" w14:paraId="11CF6FA0"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48E6F254"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 xml:space="preserve">Total financing </w:t>
            </w:r>
          </w:p>
        </w:tc>
        <w:tc>
          <w:tcPr>
            <w:tcW w:w="666" w:type="dxa"/>
            <w:tcBorders>
              <w:top w:val="nil"/>
              <w:left w:val="nil"/>
              <w:bottom w:val="nil"/>
              <w:right w:val="nil"/>
            </w:tcBorders>
            <w:shd w:val="clear" w:color="000000" w:fill="FFFFFF"/>
            <w:noWrap/>
            <w:vAlign w:val="bottom"/>
            <w:hideMark/>
          </w:tcPr>
          <w:p w14:paraId="5EEB57E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4.2</w:t>
            </w:r>
          </w:p>
        </w:tc>
        <w:tc>
          <w:tcPr>
            <w:tcW w:w="666" w:type="dxa"/>
            <w:tcBorders>
              <w:top w:val="nil"/>
              <w:left w:val="nil"/>
              <w:bottom w:val="nil"/>
              <w:right w:val="nil"/>
            </w:tcBorders>
            <w:shd w:val="clear" w:color="000000" w:fill="FFFFFF"/>
            <w:noWrap/>
            <w:vAlign w:val="bottom"/>
            <w:hideMark/>
          </w:tcPr>
          <w:p w14:paraId="05974B0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2.9</w:t>
            </w:r>
          </w:p>
        </w:tc>
        <w:tc>
          <w:tcPr>
            <w:tcW w:w="666" w:type="dxa"/>
            <w:tcBorders>
              <w:top w:val="nil"/>
              <w:left w:val="nil"/>
              <w:bottom w:val="nil"/>
              <w:right w:val="nil"/>
            </w:tcBorders>
            <w:shd w:val="clear" w:color="000000" w:fill="FFFFFF"/>
            <w:noWrap/>
            <w:vAlign w:val="bottom"/>
            <w:hideMark/>
          </w:tcPr>
          <w:p w14:paraId="182506E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5.7</w:t>
            </w:r>
          </w:p>
        </w:tc>
        <w:tc>
          <w:tcPr>
            <w:tcW w:w="666" w:type="dxa"/>
            <w:tcBorders>
              <w:top w:val="nil"/>
              <w:left w:val="nil"/>
              <w:bottom w:val="nil"/>
              <w:right w:val="nil"/>
            </w:tcBorders>
            <w:shd w:val="clear" w:color="000000" w:fill="FFFFFF"/>
            <w:noWrap/>
            <w:vAlign w:val="bottom"/>
            <w:hideMark/>
          </w:tcPr>
          <w:p w14:paraId="5F87C0A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0.0</w:t>
            </w:r>
          </w:p>
        </w:tc>
        <w:tc>
          <w:tcPr>
            <w:tcW w:w="222" w:type="dxa"/>
            <w:tcBorders>
              <w:top w:val="nil"/>
              <w:left w:val="nil"/>
              <w:bottom w:val="nil"/>
              <w:right w:val="nil"/>
            </w:tcBorders>
            <w:shd w:val="clear" w:color="000000" w:fill="FFFFFF"/>
          </w:tcPr>
          <w:p w14:paraId="75F7ECD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4344CF5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c>
          <w:tcPr>
            <w:tcW w:w="728" w:type="dxa"/>
            <w:tcBorders>
              <w:top w:val="nil"/>
              <w:left w:val="nil"/>
              <w:bottom w:val="nil"/>
              <w:right w:val="nil"/>
            </w:tcBorders>
            <w:shd w:val="clear" w:color="000000" w:fill="FFFFFF"/>
            <w:noWrap/>
            <w:vAlign w:val="bottom"/>
            <w:hideMark/>
          </w:tcPr>
          <w:p w14:paraId="41D3061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728" w:type="dxa"/>
            <w:tcBorders>
              <w:top w:val="nil"/>
              <w:left w:val="nil"/>
              <w:bottom w:val="nil"/>
              <w:right w:val="nil"/>
            </w:tcBorders>
            <w:shd w:val="clear" w:color="000000" w:fill="FFFFFF"/>
            <w:noWrap/>
            <w:vAlign w:val="bottom"/>
            <w:hideMark/>
          </w:tcPr>
          <w:p w14:paraId="579E414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w:t>
            </w:r>
          </w:p>
        </w:tc>
        <w:tc>
          <w:tcPr>
            <w:tcW w:w="728" w:type="dxa"/>
            <w:tcBorders>
              <w:top w:val="nil"/>
              <w:left w:val="nil"/>
              <w:bottom w:val="nil"/>
              <w:right w:val="nil"/>
            </w:tcBorders>
            <w:shd w:val="clear" w:color="000000" w:fill="FFFFFF"/>
            <w:noWrap/>
            <w:vAlign w:val="bottom"/>
            <w:hideMark/>
          </w:tcPr>
          <w:p w14:paraId="6D3B2A3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w:t>
            </w:r>
          </w:p>
        </w:tc>
      </w:tr>
      <w:tr w:rsidR="00491324" w:rsidRPr="00997026" w14:paraId="472D6905"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5DFA197A"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Net domestic financing </w:t>
            </w:r>
          </w:p>
        </w:tc>
        <w:tc>
          <w:tcPr>
            <w:tcW w:w="666" w:type="dxa"/>
            <w:tcBorders>
              <w:top w:val="nil"/>
              <w:left w:val="nil"/>
              <w:bottom w:val="nil"/>
              <w:right w:val="nil"/>
            </w:tcBorders>
            <w:shd w:val="clear" w:color="000000" w:fill="FFFFFF"/>
            <w:noWrap/>
            <w:vAlign w:val="bottom"/>
            <w:hideMark/>
          </w:tcPr>
          <w:p w14:paraId="5EB03AA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0.2</w:t>
            </w:r>
          </w:p>
        </w:tc>
        <w:tc>
          <w:tcPr>
            <w:tcW w:w="666" w:type="dxa"/>
            <w:tcBorders>
              <w:top w:val="nil"/>
              <w:left w:val="nil"/>
              <w:bottom w:val="nil"/>
              <w:right w:val="nil"/>
            </w:tcBorders>
            <w:shd w:val="clear" w:color="000000" w:fill="FFFFFF"/>
            <w:noWrap/>
            <w:vAlign w:val="bottom"/>
            <w:hideMark/>
          </w:tcPr>
          <w:p w14:paraId="29C80B7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1.4</w:t>
            </w:r>
          </w:p>
        </w:tc>
        <w:tc>
          <w:tcPr>
            <w:tcW w:w="666" w:type="dxa"/>
            <w:tcBorders>
              <w:top w:val="nil"/>
              <w:left w:val="nil"/>
              <w:bottom w:val="nil"/>
              <w:right w:val="nil"/>
            </w:tcBorders>
            <w:shd w:val="clear" w:color="000000" w:fill="FFFFFF"/>
            <w:noWrap/>
            <w:vAlign w:val="bottom"/>
            <w:hideMark/>
          </w:tcPr>
          <w:p w14:paraId="7A6D91E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1.4</w:t>
            </w:r>
          </w:p>
        </w:tc>
        <w:tc>
          <w:tcPr>
            <w:tcW w:w="666" w:type="dxa"/>
            <w:tcBorders>
              <w:top w:val="nil"/>
              <w:left w:val="nil"/>
              <w:bottom w:val="nil"/>
              <w:right w:val="nil"/>
            </w:tcBorders>
            <w:shd w:val="clear" w:color="000000" w:fill="FFFFFF"/>
            <w:noWrap/>
            <w:vAlign w:val="bottom"/>
            <w:hideMark/>
          </w:tcPr>
          <w:p w14:paraId="588410E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1</w:t>
            </w:r>
          </w:p>
        </w:tc>
        <w:tc>
          <w:tcPr>
            <w:tcW w:w="222" w:type="dxa"/>
            <w:tcBorders>
              <w:top w:val="nil"/>
              <w:left w:val="nil"/>
              <w:bottom w:val="nil"/>
              <w:right w:val="nil"/>
            </w:tcBorders>
            <w:shd w:val="clear" w:color="000000" w:fill="FFFFFF"/>
          </w:tcPr>
          <w:p w14:paraId="5D8A609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20A84A7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0</w:t>
            </w:r>
          </w:p>
        </w:tc>
        <w:tc>
          <w:tcPr>
            <w:tcW w:w="728" w:type="dxa"/>
            <w:tcBorders>
              <w:top w:val="nil"/>
              <w:left w:val="nil"/>
              <w:bottom w:val="nil"/>
              <w:right w:val="nil"/>
            </w:tcBorders>
            <w:shd w:val="clear" w:color="000000" w:fill="FFFFFF"/>
            <w:noWrap/>
            <w:vAlign w:val="bottom"/>
            <w:hideMark/>
          </w:tcPr>
          <w:p w14:paraId="733C6C6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997026">
              <w:rPr>
                <w:rFonts w:ascii="Times New Roman" w:eastAsia="Times New Roman" w:hAnsi="Times New Roman" w:cs="Times New Roman"/>
                <w:color w:val="000000"/>
                <w:sz w:val="20"/>
                <w:szCs w:val="20"/>
              </w:rPr>
              <w:t>.4</w:t>
            </w:r>
          </w:p>
        </w:tc>
        <w:tc>
          <w:tcPr>
            <w:tcW w:w="728" w:type="dxa"/>
            <w:tcBorders>
              <w:top w:val="nil"/>
              <w:left w:val="nil"/>
              <w:bottom w:val="nil"/>
              <w:right w:val="nil"/>
            </w:tcBorders>
            <w:shd w:val="clear" w:color="000000" w:fill="FFFFFF"/>
            <w:noWrap/>
            <w:vAlign w:val="bottom"/>
            <w:hideMark/>
          </w:tcPr>
          <w:p w14:paraId="70176A5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728" w:type="dxa"/>
            <w:tcBorders>
              <w:top w:val="nil"/>
              <w:left w:val="nil"/>
              <w:bottom w:val="nil"/>
              <w:right w:val="nil"/>
            </w:tcBorders>
            <w:shd w:val="clear" w:color="000000" w:fill="FFFFFF"/>
            <w:noWrap/>
            <w:vAlign w:val="bottom"/>
            <w:hideMark/>
          </w:tcPr>
          <w:p w14:paraId="4D58151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r>
      <w:tr w:rsidR="00491324" w:rsidRPr="00997026" w14:paraId="55B8E3BA" w14:textId="77777777" w:rsidTr="00491324">
        <w:trPr>
          <w:trHeight w:val="260"/>
          <w:jc w:val="center"/>
        </w:trPr>
        <w:tc>
          <w:tcPr>
            <w:tcW w:w="2790" w:type="dxa"/>
            <w:gridSpan w:val="2"/>
            <w:tcBorders>
              <w:top w:val="nil"/>
              <w:left w:val="nil"/>
              <w:bottom w:val="nil"/>
              <w:right w:val="nil"/>
            </w:tcBorders>
            <w:shd w:val="clear" w:color="000000" w:fill="FFFFFF"/>
            <w:vAlign w:val="bottom"/>
            <w:hideMark/>
          </w:tcPr>
          <w:p w14:paraId="3422CCF8"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Net external financing</w:t>
            </w:r>
          </w:p>
        </w:tc>
        <w:tc>
          <w:tcPr>
            <w:tcW w:w="666" w:type="dxa"/>
            <w:tcBorders>
              <w:top w:val="nil"/>
              <w:left w:val="nil"/>
              <w:bottom w:val="nil"/>
              <w:right w:val="nil"/>
            </w:tcBorders>
            <w:shd w:val="clear" w:color="000000" w:fill="FFFFFF"/>
            <w:noWrap/>
            <w:vAlign w:val="bottom"/>
            <w:hideMark/>
          </w:tcPr>
          <w:p w14:paraId="361E0C0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4.0</w:t>
            </w:r>
          </w:p>
        </w:tc>
        <w:tc>
          <w:tcPr>
            <w:tcW w:w="666" w:type="dxa"/>
            <w:tcBorders>
              <w:top w:val="nil"/>
              <w:left w:val="nil"/>
              <w:bottom w:val="nil"/>
              <w:right w:val="nil"/>
            </w:tcBorders>
            <w:shd w:val="clear" w:color="000000" w:fill="FFFFFF"/>
            <w:noWrap/>
            <w:vAlign w:val="bottom"/>
            <w:hideMark/>
          </w:tcPr>
          <w:p w14:paraId="39BF47E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1.5</w:t>
            </w:r>
          </w:p>
        </w:tc>
        <w:tc>
          <w:tcPr>
            <w:tcW w:w="666" w:type="dxa"/>
            <w:tcBorders>
              <w:top w:val="nil"/>
              <w:left w:val="nil"/>
              <w:bottom w:val="nil"/>
              <w:right w:val="nil"/>
            </w:tcBorders>
            <w:shd w:val="clear" w:color="000000" w:fill="FFFFFF"/>
            <w:noWrap/>
            <w:vAlign w:val="bottom"/>
            <w:hideMark/>
          </w:tcPr>
          <w:p w14:paraId="7A360B9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4.3</w:t>
            </w:r>
          </w:p>
        </w:tc>
        <w:tc>
          <w:tcPr>
            <w:tcW w:w="666" w:type="dxa"/>
            <w:tcBorders>
              <w:top w:val="nil"/>
              <w:left w:val="nil"/>
              <w:bottom w:val="nil"/>
              <w:right w:val="nil"/>
            </w:tcBorders>
            <w:shd w:val="clear" w:color="000000" w:fill="FFFFFF"/>
            <w:noWrap/>
            <w:vAlign w:val="bottom"/>
            <w:hideMark/>
          </w:tcPr>
          <w:p w14:paraId="06683D5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w:t>
            </w:r>
          </w:p>
        </w:tc>
        <w:tc>
          <w:tcPr>
            <w:tcW w:w="222" w:type="dxa"/>
            <w:tcBorders>
              <w:top w:val="nil"/>
              <w:left w:val="nil"/>
              <w:bottom w:val="nil"/>
              <w:right w:val="nil"/>
            </w:tcBorders>
            <w:shd w:val="clear" w:color="000000" w:fill="FFFFFF"/>
          </w:tcPr>
          <w:p w14:paraId="6805C1D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3FE943E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5.9</w:t>
            </w:r>
          </w:p>
        </w:tc>
        <w:tc>
          <w:tcPr>
            <w:tcW w:w="728" w:type="dxa"/>
            <w:tcBorders>
              <w:top w:val="nil"/>
              <w:left w:val="nil"/>
              <w:bottom w:val="nil"/>
              <w:right w:val="nil"/>
            </w:tcBorders>
            <w:shd w:val="clear" w:color="000000" w:fill="FFFFFF"/>
            <w:noWrap/>
            <w:vAlign w:val="bottom"/>
            <w:hideMark/>
          </w:tcPr>
          <w:p w14:paraId="72DE814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728" w:type="dxa"/>
            <w:tcBorders>
              <w:top w:val="nil"/>
              <w:left w:val="nil"/>
              <w:bottom w:val="nil"/>
              <w:right w:val="nil"/>
            </w:tcBorders>
            <w:shd w:val="clear" w:color="000000" w:fill="FFFFFF"/>
            <w:noWrap/>
            <w:vAlign w:val="bottom"/>
            <w:hideMark/>
          </w:tcPr>
          <w:p w14:paraId="5D127FD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728" w:type="dxa"/>
            <w:tcBorders>
              <w:top w:val="nil"/>
              <w:left w:val="nil"/>
              <w:bottom w:val="nil"/>
              <w:right w:val="nil"/>
            </w:tcBorders>
            <w:shd w:val="clear" w:color="000000" w:fill="FFFFFF"/>
            <w:noWrap/>
            <w:vAlign w:val="bottom"/>
            <w:hideMark/>
          </w:tcPr>
          <w:p w14:paraId="29C06A4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r>
      <w:tr w:rsidR="00491324" w:rsidRPr="00997026" w14:paraId="609FDCA2" w14:textId="77777777" w:rsidTr="00491324">
        <w:trPr>
          <w:trHeight w:val="260"/>
          <w:jc w:val="center"/>
        </w:trPr>
        <w:tc>
          <w:tcPr>
            <w:tcW w:w="2790" w:type="dxa"/>
            <w:gridSpan w:val="2"/>
            <w:tcBorders>
              <w:top w:val="nil"/>
              <w:left w:val="nil"/>
              <w:bottom w:val="nil"/>
              <w:right w:val="nil"/>
            </w:tcBorders>
            <w:shd w:val="clear" w:color="000000" w:fill="FFFFFF"/>
            <w:vAlign w:val="bottom"/>
            <w:hideMark/>
          </w:tcPr>
          <w:p w14:paraId="3105458A"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xml:space="preserve">     Exceptional financing (DSSI)</w:t>
            </w:r>
          </w:p>
        </w:tc>
        <w:tc>
          <w:tcPr>
            <w:tcW w:w="666" w:type="dxa"/>
            <w:tcBorders>
              <w:top w:val="nil"/>
              <w:left w:val="nil"/>
              <w:bottom w:val="nil"/>
              <w:right w:val="nil"/>
            </w:tcBorders>
            <w:shd w:val="clear" w:color="000000" w:fill="FFFFFF"/>
            <w:noWrap/>
            <w:vAlign w:val="bottom"/>
            <w:hideMark/>
          </w:tcPr>
          <w:p w14:paraId="3249995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4C8CB97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4DB48ED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22D8517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0.9</w:t>
            </w:r>
          </w:p>
        </w:tc>
        <w:tc>
          <w:tcPr>
            <w:tcW w:w="222" w:type="dxa"/>
            <w:tcBorders>
              <w:top w:val="nil"/>
              <w:left w:val="nil"/>
              <w:bottom w:val="nil"/>
              <w:right w:val="nil"/>
            </w:tcBorders>
            <w:shd w:val="clear" w:color="000000" w:fill="FFFFFF"/>
          </w:tcPr>
          <w:p w14:paraId="5FBA95D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1412BE0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1.2</w:t>
            </w:r>
          </w:p>
        </w:tc>
        <w:tc>
          <w:tcPr>
            <w:tcW w:w="728" w:type="dxa"/>
            <w:tcBorders>
              <w:top w:val="nil"/>
              <w:left w:val="nil"/>
              <w:bottom w:val="nil"/>
              <w:right w:val="nil"/>
            </w:tcBorders>
            <w:shd w:val="clear" w:color="000000" w:fill="FFFFFF"/>
            <w:noWrap/>
            <w:vAlign w:val="bottom"/>
            <w:hideMark/>
          </w:tcPr>
          <w:p w14:paraId="2E12095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04FCF17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76C78E0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r>
      <w:tr w:rsidR="00491324" w:rsidRPr="00997026" w14:paraId="56412FE7"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6FE02112"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 xml:space="preserve">Net errors and omissions </w:t>
            </w:r>
          </w:p>
        </w:tc>
        <w:tc>
          <w:tcPr>
            <w:tcW w:w="666" w:type="dxa"/>
            <w:tcBorders>
              <w:top w:val="nil"/>
              <w:left w:val="nil"/>
              <w:bottom w:val="nil"/>
              <w:right w:val="nil"/>
            </w:tcBorders>
            <w:shd w:val="clear" w:color="000000" w:fill="FFFFFF"/>
            <w:noWrap/>
            <w:vAlign w:val="bottom"/>
            <w:hideMark/>
          </w:tcPr>
          <w:p w14:paraId="046190CD"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0.8</w:t>
            </w:r>
          </w:p>
        </w:tc>
        <w:tc>
          <w:tcPr>
            <w:tcW w:w="666" w:type="dxa"/>
            <w:tcBorders>
              <w:top w:val="nil"/>
              <w:left w:val="nil"/>
              <w:bottom w:val="nil"/>
              <w:right w:val="nil"/>
            </w:tcBorders>
            <w:shd w:val="clear" w:color="000000" w:fill="FFFFFF"/>
            <w:noWrap/>
            <w:vAlign w:val="bottom"/>
            <w:hideMark/>
          </w:tcPr>
          <w:p w14:paraId="2DFCB34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-0.8</w:t>
            </w:r>
          </w:p>
        </w:tc>
        <w:tc>
          <w:tcPr>
            <w:tcW w:w="666" w:type="dxa"/>
            <w:tcBorders>
              <w:top w:val="nil"/>
              <w:left w:val="nil"/>
              <w:bottom w:val="nil"/>
              <w:right w:val="nil"/>
            </w:tcBorders>
            <w:shd w:val="clear" w:color="000000" w:fill="FFFFFF"/>
            <w:noWrap/>
            <w:vAlign w:val="bottom"/>
            <w:hideMark/>
          </w:tcPr>
          <w:p w14:paraId="5275B9F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0.0</w:t>
            </w:r>
          </w:p>
        </w:tc>
        <w:tc>
          <w:tcPr>
            <w:tcW w:w="666" w:type="dxa"/>
            <w:tcBorders>
              <w:top w:val="nil"/>
              <w:left w:val="nil"/>
              <w:bottom w:val="nil"/>
              <w:right w:val="nil"/>
            </w:tcBorders>
            <w:shd w:val="clear" w:color="000000" w:fill="FFFFFF"/>
            <w:noWrap/>
            <w:vAlign w:val="bottom"/>
            <w:hideMark/>
          </w:tcPr>
          <w:p w14:paraId="096B8A5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-0.8</w:t>
            </w:r>
          </w:p>
        </w:tc>
        <w:tc>
          <w:tcPr>
            <w:tcW w:w="222" w:type="dxa"/>
            <w:tcBorders>
              <w:top w:val="nil"/>
              <w:left w:val="nil"/>
              <w:bottom w:val="nil"/>
              <w:right w:val="nil"/>
            </w:tcBorders>
            <w:shd w:val="clear" w:color="000000" w:fill="FFFFFF"/>
          </w:tcPr>
          <w:p w14:paraId="7DA767D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1A46EE4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997026">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5</w:t>
            </w:r>
          </w:p>
        </w:tc>
        <w:tc>
          <w:tcPr>
            <w:tcW w:w="728" w:type="dxa"/>
            <w:tcBorders>
              <w:top w:val="nil"/>
              <w:left w:val="nil"/>
              <w:bottom w:val="nil"/>
              <w:right w:val="nil"/>
            </w:tcBorders>
            <w:shd w:val="clear" w:color="000000" w:fill="FFFFFF"/>
            <w:noWrap/>
            <w:vAlign w:val="bottom"/>
            <w:hideMark/>
          </w:tcPr>
          <w:p w14:paraId="2E3017E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0.0</w:t>
            </w:r>
          </w:p>
        </w:tc>
        <w:tc>
          <w:tcPr>
            <w:tcW w:w="728" w:type="dxa"/>
            <w:tcBorders>
              <w:top w:val="nil"/>
              <w:left w:val="nil"/>
              <w:bottom w:val="nil"/>
              <w:right w:val="nil"/>
            </w:tcBorders>
            <w:shd w:val="clear" w:color="000000" w:fill="FFFFFF"/>
            <w:noWrap/>
            <w:vAlign w:val="bottom"/>
            <w:hideMark/>
          </w:tcPr>
          <w:p w14:paraId="0611A0E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0.0</w:t>
            </w:r>
          </w:p>
        </w:tc>
        <w:tc>
          <w:tcPr>
            <w:tcW w:w="728" w:type="dxa"/>
            <w:tcBorders>
              <w:top w:val="nil"/>
              <w:left w:val="nil"/>
              <w:bottom w:val="nil"/>
              <w:right w:val="nil"/>
            </w:tcBorders>
            <w:shd w:val="clear" w:color="000000" w:fill="FFFFFF"/>
            <w:noWrap/>
            <w:vAlign w:val="bottom"/>
            <w:hideMark/>
          </w:tcPr>
          <w:p w14:paraId="6D57A426"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0.0</w:t>
            </w:r>
          </w:p>
        </w:tc>
      </w:tr>
      <w:tr w:rsidR="00491324" w:rsidRPr="00997026" w14:paraId="4E7F6C65"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1DD7928D"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721DF8B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02DABDD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1CB1168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50BB035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222" w:type="dxa"/>
            <w:tcBorders>
              <w:top w:val="nil"/>
              <w:left w:val="nil"/>
              <w:bottom w:val="nil"/>
              <w:right w:val="nil"/>
            </w:tcBorders>
            <w:shd w:val="clear" w:color="000000" w:fill="FFFFFF"/>
          </w:tcPr>
          <w:p w14:paraId="317B91C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6C940DC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06E0812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6DC6848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c>
          <w:tcPr>
            <w:tcW w:w="728" w:type="dxa"/>
            <w:tcBorders>
              <w:top w:val="nil"/>
              <w:left w:val="nil"/>
              <w:bottom w:val="nil"/>
              <w:right w:val="nil"/>
            </w:tcBorders>
            <w:shd w:val="clear" w:color="000000" w:fill="FFFFFF"/>
            <w:noWrap/>
            <w:vAlign w:val="bottom"/>
            <w:hideMark/>
          </w:tcPr>
          <w:p w14:paraId="73D85D4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 </w:t>
            </w:r>
          </w:p>
        </w:tc>
      </w:tr>
      <w:tr w:rsidR="00491324" w:rsidRPr="00997026" w14:paraId="79C15FAC"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096E456C" w14:textId="77777777" w:rsidR="00491324" w:rsidRPr="00997026" w:rsidRDefault="00491324" w:rsidP="00B42E40">
            <w:pPr>
              <w:spacing w:after="0" w:line="240" w:lineRule="auto"/>
              <w:rPr>
                <w:rFonts w:ascii="Times New Roman" w:eastAsia="Times New Roman" w:hAnsi="Times New Roman" w:cs="Times New Roman"/>
                <w:b/>
                <w:bCs/>
                <w:color w:val="000000"/>
                <w:sz w:val="20"/>
                <w:szCs w:val="20"/>
              </w:rPr>
            </w:pPr>
            <w:r w:rsidRPr="00997026">
              <w:rPr>
                <w:rFonts w:ascii="Times New Roman" w:eastAsia="Times New Roman" w:hAnsi="Times New Roman" w:cs="Times New Roman"/>
                <w:b/>
                <w:bCs/>
                <w:color w:val="000000"/>
                <w:sz w:val="20"/>
                <w:szCs w:val="20"/>
              </w:rPr>
              <w:t>Public Debt</w:t>
            </w:r>
          </w:p>
        </w:tc>
        <w:tc>
          <w:tcPr>
            <w:tcW w:w="666" w:type="dxa"/>
            <w:tcBorders>
              <w:top w:val="nil"/>
              <w:left w:val="nil"/>
              <w:bottom w:val="nil"/>
              <w:right w:val="nil"/>
            </w:tcBorders>
            <w:shd w:val="clear" w:color="000000" w:fill="FFFFFF"/>
            <w:noWrap/>
            <w:vAlign w:val="bottom"/>
            <w:hideMark/>
          </w:tcPr>
          <w:p w14:paraId="6669F4D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125.9</w:t>
            </w:r>
          </w:p>
        </w:tc>
        <w:tc>
          <w:tcPr>
            <w:tcW w:w="666" w:type="dxa"/>
            <w:tcBorders>
              <w:top w:val="nil"/>
              <w:left w:val="nil"/>
              <w:bottom w:val="nil"/>
              <w:right w:val="nil"/>
            </w:tcBorders>
            <w:shd w:val="clear" w:color="000000" w:fill="FFFFFF"/>
            <w:noWrap/>
            <w:vAlign w:val="bottom"/>
            <w:hideMark/>
          </w:tcPr>
          <w:p w14:paraId="09E27CD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124.7</w:t>
            </w:r>
          </w:p>
        </w:tc>
        <w:tc>
          <w:tcPr>
            <w:tcW w:w="666" w:type="dxa"/>
            <w:tcBorders>
              <w:top w:val="nil"/>
              <w:left w:val="nil"/>
              <w:bottom w:val="nil"/>
              <w:right w:val="nil"/>
            </w:tcBorders>
            <w:shd w:val="clear" w:color="000000" w:fill="FFFFFF"/>
            <w:noWrap/>
            <w:vAlign w:val="bottom"/>
            <w:hideMark/>
          </w:tcPr>
          <w:p w14:paraId="50DC792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124.1</w:t>
            </w:r>
          </w:p>
        </w:tc>
        <w:tc>
          <w:tcPr>
            <w:tcW w:w="666" w:type="dxa"/>
            <w:tcBorders>
              <w:top w:val="nil"/>
              <w:left w:val="nil"/>
              <w:bottom w:val="nil"/>
              <w:right w:val="nil"/>
            </w:tcBorders>
            <w:shd w:val="clear" w:color="000000" w:fill="FFFFFF"/>
            <w:noWrap/>
            <w:vAlign w:val="bottom"/>
            <w:hideMark/>
          </w:tcPr>
          <w:p w14:paraId="351FE133"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154.9</w:t>
            </w:r>
          </w:p>
        </w:tc>
        <w:tc>
          <w:tcPr>
            <w:tcW w:w="222" w:type="dxa"/>
            <w:tcBorders>
              <w:top w:val="nil"/>
              <w:left w:val="nil"/>
              <w:bottom w:val="nil"/>
              <w:right w:val="nil"/>
            </w:tcBorders>
            <w:shd w:val="clear" w:color="000000" w:fill="FFFFFF"/>
          </w:tcPr>
          <w:p w14:paraId="230F1ED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161E281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15</w:t>
            </w:r>
            <w:r>
              <w:rPr>
                <w:rFonts w:ascii="Times New Roman" w:eastAsia="Times New Roman" w:hAnsi="Times New Roman" w:cs="Times New Roman"/>
                <w:color w:val="000000"/>
                <w:sz w:val="20"/>
                <w:szCs w:val="20"/>
              </w:rPr>
              <w:t>5.3</w:t>
            </w:r>
          </w:p>
        </w:tc>
        <w:tc>
          <w:tcPr>
            <w:tcW w:w="728" w:type="dxa"/>
            <w:tcBorders>
              <w:top w:val="nil"/>
              <w:left w:val="nil"/>
              <w:bottom w:val="nil"/>
              <w:right w:val="nil"/>
            </w:tcBorders>
            <w:shd w:val="clear" w:color="000000" w:fill="FFFFFF"/>
            <w:noWrap/>
            <w:vAlign w:val="bottom"/>
            <w:hideMark/>
          </w:tcPr>
          <w:p w14:paraId="1DF4F75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15</w:t>
            </w:r>
            <w:r>
              <w:rPr>
                <w:rFonts w:ascii="Times New Roman" w:eastAsia="Times New Roman" w:hAnsi="Times New Roman" w:cs="Times New Roman"/>
                <w:color w:val="000000"/>
                <w:sz w:val="20"/>
                <w:szCs w:val="20"/>
              </w:rPr>
              <w:t>8.5</w:t>
            </w:r>
          </w:p>
        </w:tc>
        <w:tc>
          <w:tcPr>
            <w:tcW w:w="728" w:type="dxa"/>
            <w:tcBorders>
              <w:top w:val="nil"/>
              <w:left w:val="nil"/>
              <w:bottom w:val="nil"/>
              <w:right w:val="nil"/>
            </w:tcBorders>
            <w:shd w:val="clear" w:color="000000" w:fill="FFFFFF"/>
            <w:noWrap/>
            <w:vAlign w:val="bottom"/>
            <w:hideMark/>
          </w:tcPr>
          <w:p w14:paraId="59C1772E"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51.9</w:t>
            </w:r>
          </w:p>
        </w:tc>
        <w:tc>
          <w:tcPr>
            <w:tcW w:w="728" w:type="dxa"/>
            <w:tcBorders>
              <w:top w:val="nil"/>
              <w:left w:val="nil"/>
              <w:bottom w:val="nil"/>
              <w:right w:val="nil"/>
            </w:tcBorders>
            <w:shd w:val="clear" w:color="000000" w:fill="FFFFFF"/>
            <w:noWrap/>
            <w:vAlign w:val="bottom"/>
            <w:hideMark/>
          </w:tcPr>
          <w:p w14:paraId="6E0610D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14</w:t>
            </w:r>
            <w:r>
              <w:rPr>
                <w:rFonts w:ascii="Times New Roman" w:eastAsia="Times New Roman" w:hAnsi="Times New Roman" w:cs="Times New Roman"/>
                <w:color w:val="000000"/>
                <w:sz w:val="20"/>
                <w:szCs w:val="20"/>
              </w:rPr>
              <w:t>4.</w:t>
            </w:r>
            <w:r w:rsidRPr="00997026">
              <w:rPr>
                <w:rFonts w:ascii="Times New Roman" w:eastAsia="Times New Roman" w:hAnsi="Times New Roman" w:cs="Times New Roman"/>
                <w:color w:val="000000"/>
                <w:sz w:val="20"/>
                <w:szCs w:val="20"/>
              </w:rPr>
              <w:t>0</w:t>
            </w:r>
          </w:p>
        </w:tc>
      </w:tr>
      <w:tr w:rsidR="00491324" w:rsidRPr="00997026" w14:paraId="716F7EFF" w14:textId="77777777" w:rsidTr="00491324">
        <w:trPr>
          <w:trHeight w:val="260"/>
          <w:jc w:val="center"/>
        </w:trPr>
        <w:tc>
          <w:tcPr>
            <w:tcW w:w="2790" w:type="dxa"/>
            <w:gridSpan w:val="2"/>
            <w:tcBorders>
              <w:top w:val="nil"/>
              <w:left w:val="nil"/>
              <w:bottom w:val="nil"/>
              <w:right w:val="nil"/>
            </w:tcBorders>
            <w:shd w:val="clear" w:color="000000" w:fill="FFFFFF"/>
            <w:noWrap/>
            <w:vAlign w:val="bottom"/>
            <w:hideMark/>
          </w:tcPr>
          <w:p w14:paraId="0A8039A8"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External debt</w:t>
            </w:r>
          </w:p>
        </w:tc>
        <w:tc>
          <w:tcPr>
            <w:tcW w:w="666" w:type="dxa"/>
            <w:tcBorders>
              <w:top w:val="nil"/>
              <w:left w:val="nil"/>
              <w:bottom w:val="nil"/>
              <w:right w:val="nil"/>
            </w:tcBorders>
            <w:shd w:val="clear" w:color="000000" w:fill="FFFFFF"/>
            <w:noWrap/>
            <w:vAlign w:val="bottom"/>
            <w:hideMark/>
          </w:tcPr>
          <w:p w14:paraId="7430925B"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93.8</w:t>
            </w:r>
          </w:p>
        </w:tc>
        <w:tc>
          <w:tcPr>
            <w:tcW w:w="666" w:type="dxa"/>
            <w:tcBorders>
              <w:top w:val="nil"/>
              <w:left w:val="nil"/>
              <w:bottom w:val="nil"/>
              <w:right w:val="nil"/>
            </w:tcBorders>
            <w:shd w:val="clear" w:color="000000" w:fill="FFFFFF"/>
            <w:noWrap/>
            <w:vAlign w:val="bottom"/>
            <w:hideMark/>
          </w:tcPr>
          <w:p w14:paraId="066BB35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91.4</w:t>
            </w:r>
          </w:p>
        </w:tc>
        <w:tc>
          <w:tcPr>
            <w:tcW w:w="666" w:type="dxa"/>
            <w:tcBorders>
              <w:top w:val="nil"/>
              <w:left w:val="nil"/>
              <w:bottom w:val="nil"/>
              <w:right w:val="nil"/>
            </w:tcBorders>
            <w:shd w:val="clear" w:color="000000" w:fill="FFFFFF"/>
            <w:noWrap/>
            <w:vAlign w:val="bottom"/>
            <w:hideMark/>
          </w:tcPr>
          <w:p w14:paraId="6CCB8A8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90.6</w:t>
            </w:r>
          </w:p>
        </w:tc>
        <w:tc>
          <w:tcPr>
            <w:tcW w:w="666" w:type="dxa"/>
            <w:tcBorders>
              <w:top w:val="nil"/>
              <w:left w:val="nil"/>
              <w:bottom w:val="nil"/>
              <w:right w:val="nil"/>
            </w:tcBorders>
            <w:shd w:val="clear" w:color="000000" w:fill="FFFFFF"/>
            <w:noWrap/>
            <w:vAlign w:val="bottom"/>
            <w:hideMark/>
          </w:tcPr>
          <w:p w14:paraId="578E8E9F"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111.6</w:t>
            </w:r>
          </w:p>
        </w:tc>
        <w:tc>
          <w:tcPr>
            <w:tcW w:w="222" w:type="dxa"/>
            <w:tcBorders>
              <w:top w:val="nil"/>
              <w:left w:val="nil"/>
              <w:bottom w:val="nil"/>
              <w:right w:val="nil"/>
            </w:tcBorders>
            <w:shd w:val="clear" w:color="000000" w:fill="FFFFFF"/>
          </w:tcPr>
          <w:p w14:paraId="1302567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nil"/>
              <w:right w:val="nil"/>
            </w:tcBorders>
            <w:shd w:val="clear" w:color="000000" w:fill="FFFFFF"/>
            <w:noWrap/>
            <w:vAlign w:val="bottom"/>
            <w:hideMark/>
          </w:tcPr>
          <w:p w14:paraId="5BBC9C07"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z w:val="20"/>
                <w:szCs w:val="20"/>
              </w:rPr>
              <w:t>0.</w:t>
            </w:r>
            <w:r w:rsidRPr="00997026">
              <w:rPr>
                <w:rFonts w:ascii="Times New Roman" w:eastAsia="Times New Roman" w:hAnsi="Times New Roman" w:cs="Times New Roman"/>
                <w:color w:val="000000"/>
                <w:sz w:val="20"/>
                <w:szCs w:val="20"/>
              </w:rPr>
              <w:t>1</w:t>
            </w:r>
          </w:p>
        </w:tc>
        <w:tc>
          <w:tcPr>
            <w:tcW w:w="728" w:type="dxa"/>
            <w:tcBorders>
              <w:top w:val="nil"/>
              <w:left w:val="nil"/>
              <w:bottom w:val="nil"/>
              <w:right w:val="nil"/>
            </w:tcBorders>
            <w:shd w:val="clear" w:color="000000" w:fill="FFFFFF"/>
            <w:noWrap/>
            <w:vAlign w:val="bottom"/>
            <w:hideMark/>
          </w:tcPr>
          <w:p w14:paraId="6DBA8F3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9</w:t>
            </w:r>
            <w:r w:rsidRPr="0099702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p>
        </w:tc>
        <w:tc>
          <w:tcPr>
            <w:tcW w:w="728" w:type="dxa"/>
            <w:tcBorders>
              <w:top w:val="nil"/>
              <w:left w:val="nil"/>
              <w:bottom w:val="nil"/>
              <w:right w:val="nil"/>
            </w:tcBorders>
            <w:shd w:val="clear" w:color="000000" w:fill="FFFFFF"/>
            <w:noWrap/>
            <w:vAlign w:val="bottom"/>
            <w:hideMark/>
          </w:tcPr>
          <w:p w14:paraId="2915D0B5"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Pr="00997026">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5</w:t>
            </w:r>
          </w:p>
        </w:tc>
        <w:tc>
          <w:tcPr>
            <w:tcW w:w="728" w:type="dxa"/>
            <w:tcBorders>
              <w:top w:val="nil"/>
              <w:left w:val="nil"/>
              <w:bottom w:val="nil"/>
              <w:right w:val="nil"/>
            </w:tcBorders>
            <w:shd w:val="clear" w:color="000000" w:fill="FFFFFF"/>
            <w:noWrap/>
            <w:vAlign w:val="bottom"/>
            <w:hideMark/>
          </w:tcPr>
          <w:p w14:paraId="44F47669"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104.2</w:t>
            </w:r>
          </w:p>
        </w:tc>
      </w:tr>
      <w:tr w:rsidR="00491324" w:rsidRPr="00997026" w14:paraId="7ABBCBF2" w14:textId="77777777" w:rsidTr="00491324">
        <w:trPr>
          <w:trHeight w:val="270"/>
          <w:jc w:val="center"/>
        </w:trPr>
        <w:tc>
          <w:tcPr>
            <w:tcW w:w="2790" w:type="dxa"/>
            <w:gridSpan w:val="2"/>
            <w:tcBorders>
              <w:top w:val="nil"/>
              <w:left w:val="nil"/>
              <w:bottom w:val="double" w:sz="6" w:space="0" w:color="auto"/>
              <w:right w:val="nil"/>
            </w:tcBorders>
            <w:shd w:val="clear" w:color="000000" w:fill="FFFFFF"/>
            <w:noWrap/>
            <w:vAlign w:val="bottom"/>
            <w:hideMark/>
          </w:tcPr>
          <w:p w14:paraId="5D67E935" w14:textId="77777777" w:rsidR="00491324" w:rsidRPr="00997026" w:rsidRDefault="00491324" w:rsidP="00B42E40">
            <w:pPr>
              <w:spacing w:after="0" w:line="240" w:lineRule="auto"/>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Domestic debt</w:t>
            </w:r>
          </w:p>
        </w:tc>
        <w:tc>
          <w:tcPr>
            <w:tcW w:w="666" w:type="dxa"/>
            <w:tcBorders>
              <w:top w:val="nil"/>
              <w:left w:val="nil"/>
              <w:bottom w:val="double" w:sz="6" w:space="0" w:color="auto"/>
              <w:right w:val="nil"/>
            </w:tcBorders>
            <w:shd w:val="clear" w:color="000000" w:fill="FFFFFF"/>
            <w:noWrap/>
            <w:vAlign w:val="bottom"/>
            <w:hideMark/>
          </w:tcPr>
          <w:p w14:paraId="766A77BC"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32.2</w:t>
            </w:r>
          </w:p>
        </w:tc>
        <w:tc>
          <w:tcPr>
            <w:tcW w:w="666" w:type="dxa"/>
            <w:tcBorders>
              <w:top w:val="nil"/>
              <w:left w:val="nil"/>
              <w:bottom w:val="double" w:sz="6" w:space="0" w:color="auto"/>
              <w:right w:val="nil"/>
            </w:tcBorders>
            <w:shd w:val="clear" w:color="000000" w:fill="FFFFFF"/>
            <w:noWrap/>
            <w:vAlign w:val="bottom"/>
            <w:hideMark/>
          </w:tcPr>
          <w:p w14:paraId="6D804D32"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33.3</w:t>
            </w:r>
          </w:p>
        </w:tc>
        <w:tc>
          <w:tcPr>
            <w:tcW w:w="666" w:type="dxa"/>
            <w:tcBorders>
              <w:top w:val="nil"/>
              <w:left w:val="nil"/>
              <w:bottom w:val="double" w:sz="6" w:space="0" w:color="auto"/>
              <w:right w:val="nil"/>
            </w:tcBorders>
            <w:shd w:val="clear" w:color="000000" w:fill="FFFFFF"/>
            <w:noWrap/>
            <w:vAlign w:val="bottom"/>
            <w:hideMark/>
          </w:tcPr>
          <w:p w14:paraId="6E1E7890"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33.5</w:t>
            </w:r>
          </w:p>
        </w:tc>
        <w:tc>
          <w:tcPr>
            <w:tcW w:w="666" w:type="dxa"/>
            <w:tcBorders>
              <w:top w:val="nil"/>
              <w:left w:val="nil"/>
              <w:bottom w:val="double" w:sz="6" w:space="0" w:color="auto"/>
              <w:right w:val="nil"/>
            </w:tcBorders>
            <w:shd w:val="clear" w:color="000000" w:fill="FFFFFF"/>
            <w:noWrap/>
            <w:vAlign w:val="bottom"/>
            <w:hideMark/>
          </w:tcPr>
          <w:p w14:paraId="220420D4"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43.3</w:t>
            </w:r>
          </w:p>
        </w:tc>
        <w:tc>
          <w:tcPr>
            <w:tcW w:w="222" w:type="dxa"/>
            <w:tcBorders>
              <w:top w:val="nil"/>
              <w:left w:val="nil"/>
              <w:bottom w:val="double" w:sz="6" w:space="0" w:color="auto"/>
              <w:right w:val="nil"/>
            </w:tcBorders>
            <w:shd w:val="clear" w:color="000000" w:fill="FFFFFF"/>
          </w:tcPr>
          <w:p w14:paraId="136C29E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p>
        </w:tc>
        <w:tc>
          <w:tcPr>
            <w:tcW w:w="754" w:type="dxa"/>
            <w:tcBorders>
              <w:top w:val="nil"/>
              <w:left w:val="nil"/>
              <w:bottom w:val="double" w:sz="6" w:space="0" w:color="auto"/>
              <w:right w:val="nil"/>
            </w:tcBorders>
            <w:shd w:val="clear" w:color="000000" w:fill="FFFFFF"/>
            <w:noWrap/>
            <w:vAlign w:val="bottom"/>
            <w:hideMark/>
          </w:tcPr>
          <w:p w14:paraId="378F4D7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45.</w:t>
            </w:r>
            <w:r>
              <w:rPr>
                <w:rFonts w:ascii="Times New Roman" w:eastAsia="Times New Roman" w:hAnsi="Times New Roman" w:cs="Times New Roman"/>
                <w:color w:val="000000"/>
                <w:sz w:val="20"/>
                <w:szCs w:val="20"/>
              </w:rPr>
              <w:t>2</w:t>
            </w:r>
          </w:p>
        </w:tc>
        <w:tc>
          <w:tcPr>
            <w:tcW w:w="728" w:type="dxa"/>
            <w:tcBorders>
              <w:top w:val="nil"/>
              <w:left w:val="nil"/>
              <w:bottom w:val="double" w:sz="6" w:space="0" w:color="auto"/>
              <w:right w:val="nil"/>
            </w:tcBorders>
            <w:shd w:val="clear" w:color="000000" w:fill="FFFFFF"/>
            <w:noWrap/>
            <w:vAlign w:val="bottom"/>
            <w:hideMark/>
          </w:tcPr>
          <w:p w14:paraId="0F9AC471"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2.4</w:t>
            </w:r>
          </w:p>
        </w:tc>
        <w:tc>
          <w:tcPr>
            <w:tcW w:w="728" w:type="dxa"/>
            <w:tcBorders>
              <w:top w:val="nil"/>
              <w:left w:val="nil"/>
              <w:bottom w:val="double" w:sz="6" w:space="0" w:color="auto"/>
              <w:right w:val="nil"/>
            </w:tcBorders>
            <w:shd w:val="clear" w:color="000000" w:fill="FFFFFF"/>
            <w:noWrap/>
            <w:vAlign w:val="bottom"/>
            <w:hideMark/>
          </w:tcPr>
          <w:p w14:paraId="3F6ED51A" w14:textId="77777777" w:rsidR="00491324" w:rsidRPr="00997026" w:rsidRDefault="00491324" w:rsidP="00B42E40">
            <w:pPr>
              <w:spacing w:after="0" w:line="240" w:lineRule="auto"/>
              <w:jc w:val="center"/>
              <w:rPr>
                <w:rFonts w:ascii="Times New Roman" w:eastAsia="Times New Roman" w:hAnsi="Times New Roman" w:cs="Times New Roman"/>
                <w:color w:val="000000"/>
                <w:sz w:val="20"/>
                <w:szCs w:val="20"/>
              </w:rPr>
            </w:pPr>
            <w:r w:rsidRPr="00997026">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2.4</w:t>
            </w:r>
          </w:p>
        </w:tc>
        <w:tc>
          <w:tcPr>
            <w:tcW w:w="728" w:type="dxa"/>
            <w:tcBorders>
              <w:top w:val="nil"/>
              <w:left w:val="nil"/>
              <w:bottom w:val="double" w:sz="6" w:space="0" w:color="auto"/>
              <w:right w:val="nil"/>
            </w:tcBorders>
            <w:shd w:val="clear" w:color="000000" w:fill="FFFFFF"/>
            <w:noWrap/>
            <w:vAlign w:val="bottom"/>
            <w:hideMark/>
          </w:tcPr>
          <w:p w14:paraId="19F22D2D" w14:textId="77777777" w:rsidR="00491324" w:rsidRPr="00997026" w:rsidRDefault="00491324" w:rsidP="00B42E40">
            <w:pPr>
              <w:keepNext/>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w:t>
            </w:r>
          </w:p>
        </w:tc>
      </w:tr>
    </w:tbl>
    <w:p w14:paraId="58CA18F3" w14:textId="2CCAA0EC" w:rsidR="00240042" w:rsidRPr="00967883" w:rsidRDefault="00240042" w:rsidP="00240042">
      <w:pPr>
        <w:pStyle w:val="ListParagraph"/>
        <w:ind w:left="0"/>
        <w:jc w:val="both"/>
        <w:rPr>
          <w:rFonts w:ascii="Times New Roman" w:hAnsi="Times New Roman" w:cs="Times New Roman"/>
          <w:sz w:val="18"/>
          <w:szCs w:val="18"/>
        </w:rPr>
      </w:pPr>
      <w:r>
        <w:rPr>
          <w:rFonts w:ascii="Times New Roman" w:hAnsi="Times New Roman" w:cs="Times New Roman"/>
          <w:b/>
          <w:bCs/>
        </w:rPr>
        <w:t xml:space="preserve">        </w:t>
      </w:r>
      <w:r w:rsidRPr="00967883">
        <w:rPr>
          <w:rFonts w:ascii="Times New Roman" w:hAnsi="Times New Roman" w:cs="Times New Roman"/>
          <w:sz w:val="18"/>
          <w:szCs w:val="18"/>
          <w:lang w:eastAsia="ar-SA"/>
        </w:rPr>
        <w:t xml:space="preserve">Source: </w:t>
      </w:r>
      <w:r w:rsidRPr="00967883">
        <w:rPr>
          <w:rFonts w:ascii="Times New Roman" w:hAnsi="Times New Roman" w:cs="Times New Roman"/>
          <w:sz w:val="18"/>
          <w:szCs w:val="18"/>
        </w:rPr>
        <w:t>Cabo Verdean authorities and WBG estimates and projections (April 2022).</w:t>
      </w:r>
    </w:p>
    <w:p w14:paraId="00E9D404" w14:textId="5C2BF872" w:rsidR="00491324" w:rsidRDefault="00491324" w:rsidP="00491324">
      <w:pPr>
        <w:spacing w:line="276" w:lineRule="auto"/>
        <w:jc w:val="both"/>
        <w:rPr>
          <w:rFonts w:ascii="Times New Roman" w:hAnsi="Times New Roman" w:cs="Times New Roman"/>
          <w:b/>
          <w:bCs/>
        </w:rPr>
      </w:pPr>
    </w:p>
    <w:sectPr w:rsidR="00491324">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DBB76" w14:textId="77777777" w:rsidR="004516AA" w:rsidRDefault="004516AA" w:rsidP="00750310">
      <w:pPr>
        <w:spacing w:after="0" w:line="240" w:lineRule="auto"/>
      </w:pPr>
      <w:r>
        <w:separator/>
      </w:r>
    </w:p>
  </w:endnote>
  <w:endnote w:type="continuationSeparator" w:id="0">
    <w:p w14:paraId="5038ED17" w14:textId="77777777" w:rsidR="004516AA" w:rsidRDefault="004516AA" w:rsidP="0075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297625"/>
      <w:docPartObj>
        <w:docPartGallery w:val="Page Numbers (Bottom of Page)"/>
        <w:docPartUnique/>
      </w:docPartObj>
    </w:sdtPr>
    <w:sdtEndPr>
      <w:rPr>
        <w:noProof/>
      </w:rPr>
    </w:sdtEndPr>
    <w:sdtContent>
      <w:p w14:paraId="1DB94CD9" w14:textId="08888B36" w:rsidR="00413F6D" w:rsidRDefault="00413F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0276AC" w14:textId="77777777" w:rsidR="00413F6D" w:rsidRDefault="00413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D6C69" w14:textId="77777777" w:rsidR="004516AA" w:rsidRDefault="004516AA" w:rsidP="00750310">
      <w:pPr>
        <w:spacing w:after="0" w:line="240" w:lineRule="auto"/>
      </w:pPr>
      <w:r>
        <w:separator/>
      </w:r>
    </w:p>
  </w:footnote>
  <w:footnote w:type="continuationSeparator" w:id="0">
    <w:p w14:paraId="639BA88E" w14:textId="77777777" w:rsidR="004516AA" w:rsidRDefault="004516AA" w:rsidP="00750310">
      <w:pPr>
        <w:spacing w:after="0" w:line="240" w:lineRule="auto"/>
      </w:pPr>
      <w:r>
        <w:continuationSeparator/>
      </w:r>
    </w:p>
  </w:footnote>
  <w:footnote w:id="1">
    <w:p w14:paraId="6DB1251B" w14:textId="350518B3" w:rsidR="007A1717" w:rsidRPr="00D50D91" w:rsidRDefault="007A1717" w:rsidP="00D50D91">
      <w:pPr>
        <w:pStyle w:val="FootnoteText"/>
        <w:jc w:val="both"/>
        <w:rPr>
          <w:rFonts w:ascii="Times New Roman" w:hAnsi="Times New Roman" w:cs="Times New Roman"/>
          <w:sz w:val="18"/>
          <w:szCs w:val="18"/>
        </w:rPr>
      </w:pPr>
      <w:r>
        <w:rPr>
          <w:rStyle w:val="FootnoteReference"/>
        </w:rPr>
        <w:footnoteRef/>
      </w:r>
      <w:r>
        <w:t xml:space="preserve"> </w:t>
      </w:r>
      <w:r w:rsidR="00252A2B" w:rsidRPr="00D50D91">
        <w:rPr>
          <w:rFonts w:ascii="Times New Roman" w:hAnsi="Times New Roman" w:cs="Times New Roman"/>
          <w:sz w:val="18"/>
          <w:szCs w:val="18"/>
        </w:rPr>
        <w:t>The DSSI is an initiative of the G20 group to help countries cope with the fallout of the COVID-19 crisis. It offered a temporary suspension of official sector debt payments, with repayment period of five years and a one-year grace period. The DSSI was approved in April 2020 for eight months, it was subsequently extended until December 2021.</w:t>
      </w:r>
    </w:p>
  </w:footnote>
  <w:footnote w:id="2">
    <w:p w14:paraId="53024086" w14:textId="77777777" w:rsidR="00223E37" w:rsidRPr="00DF6936" w:rsidRDefault="00223E37" w:rsidP="00223E37">
      <w:pPr>
        <w:pStyle w:val="FootnoteText"/>
        <w:rPr>
          <w:rFonts w:ascii="Times New Roman" w:hAnsi="Times New Roman" w:cs="Times New Roman"/>
          <w:sz w:val="18"/>
          <w:szCs w:val="18"/>
        </w:rPr>
      </w:pPr>
      <w:r w:rsidRPr="00DF6936">
        <w:rPr>
          <w:rStyle w:val="FootnoteReference"/>
          <w:rFonts w:ascii="Times New Roman" w:hAnsi="Times New Roman" w:cs="Times New Roman"/>
          <w:sz w:val="18"/>
          <w:szCs w:val="18"/>
        </w:rPr>
        <w:footnoteRef/>
      </w:r>
      <w:r w:rsidRPr="00DF6936">
        <w:rPr>
          <w:rFonts w:ascii="Times New Roman" w:hAnsi="Times New Roman" w:cs="Times New Roman"/>
          <w:sz w:val="18"/>
          <w:szCs w:val="18"/>
        </w:rPr>
        <w:t xml:space="preserve"> </w:t>
      </w:r>
      <w:hyperlink r:id="rId1" w:history="1">
        <w:r w:rsidRPr="00DF6936">
          <w:rPr>
            <w:rStyle w:val="Hyperlink"/>
            <w:rFonts w:ascii="Times New Roman" w:hAnsi="Times New Roman" w:cs="Times New Roman"/>
            <w:sz w:val="18"/>
            <w:szCs w:val="18"/>
          </w:rPr>
          <w:t>https://www.itu.int/hub/2020/12/connecting-continents-how-cabo-verde-plans-to-become-a-digital-hub/</w:t>
        </w:r>
      </w:hyperlink>
      <w:r w:rsidRPr="00DF6936">
        <w:rPr>
          <w:rFonts w:ascii="Times New Roman" w:hAnsi="Times New Roman" w:cs="Times New Roman"/>
          <w:sz w:val="18"/>
          <w:szCs w:val="18"/>
        </w:rPr>
        <w:t xml:space="preserve"> </w:t>
      </w:r>
    </w:p>
  </w:footnote>
  <w:footnote w:id="3">
    <w:p w14:paraId="67C44B85" w14:textId="1A546F49" w:rsidR="004950E5" w:rsidRPr="009B3253" w:rsidRDefault="004950E5">
      <w:pPr>
        <w:pStyle w:val="FootnoteText"/>
        <w:rPr>
          <w:rFonts w:ascii="Times New Roman" w:hAnsi="Times New Roman" w:cs="Times New Roman"/>
          <w:sz w:val="18"/>
          <w:szCs w:val="18"/>
        </w:rPr>
      </w:pPr>
      <w:r>
        <w:rPr>
          <w:rStyle w:val="FootnoteReference"/>
        </w:rPr>
        <w:footnoteRef/>
      </w:r>
      <w:r>
        <w:t xml:space="preserve"> </w:t>
      </w:r>
      <w:r w:rsidRPr="009B3253">
        <w:rPr>
          <w:rFonts w:ascii="Times New Roman" w:hAnsi="Times New Roman" w:cs="Times New Roman"/>
          <w:sz w:val="18"/>
          <w:szCs w:val="18"/>
        </w:rPr>
        <w:t>Sanctions on Russia may have a lasting impact on international oil and gas prices.</w:t>
      </w:r>
    </w:p>
  </w:footnote>
  <w:footnote w:id="4">
    <w:p w14:paraId="3558287A" w14:textId="77777777" w:rsidR="005010DB" w:rsidRPr="00756953" w:rsidRDefault="005010DB" w:rsidP="00756953">
      <w:pPr>
        <w:pStyle w:val="FootnoteText"/>
        <w:jc w:val="both"/>
        <w:rPr>
          <w:rFonts w:ascii="Times New Roman" w:hAnsi="Times New Roman" w:cs="Times New Roman"/>
          <w:sz w:val="16"/>
          <w:szCs w:val="16"/>
        </w:rPr>
      </w:pPr>
      <w:r w:rsidRPr="0097585D">
        <w:rPr>
          <w:rStyle w:val="FootnoteReference"/>
          <w:rFonts w:ascii="Arial" w:hAnsi="Arial" w:cs="Arial"/>
          <w:sz w:val="16"/>
          <w:szCs w:val="16"/>
        </w:rPr>
        <w:footnoteRef/>
      </w:r>
      <w:r w:rsidRPr="0097585D">
        <w:rPr>
          <w:rFonts w:ascii="Arial" w:hAnsi="Arial" w:cs="Arial"/>
          <w:sz w:val="16"/>
          <w:szCs w:val="16"/>
        </w:rPr>
        <w:t xml:space="preserve"> </w:t>
      </w:r>
      <w:r w:rsidRPr="00756953">
        <w:rPr>
          <w:rFonts w:ascii="Times New Roman" w:hAnsi="Times New Roman" w:cs="Times New Roman"/>
          <w:sz w:val="16"/>
          <w:szCs w:val="16"/>
        </w:rPr>
        <w:t xml:space="preserve">In the scope of this report the list of peer countries includes 11 states from different categories – </w:t>
      </w:r>
      <w:r w:rsidRPr="00756953">
        <w:rPr>
          <w:rFonts w:ascii="Times New Roman" w:hAnsi="Times New Roman" w:cs="Times New Roman"/>
          <w:b/>
          <w:bCs/>
          <w:sz w:val="16"/>
          <w:szCs w:val="16"/>
        </w:rPr>
        <w:t>Structural peers</w:t>
      </w:r>
      <w:r w:rsidRPr="00756953">
        <w:rPr>
          <w:rFonts w:ascii="Times New Roman" w:hAnsi="Times New Roman" w:cs="Times New Roman"/>
          <w:sz w:val="16"/>
          <w:szCs w:val="16"/>
        </w:rPr>
        <w:t xml:space="preserve">: Bhutan; Sao Tome and Principe and Samoa; </w:t>
      </w:r>
      <w:r w:rsidRPr="00756953">
        <w:rPr>
          <w:rFonts w:ascii="Times New Roman" w:hAnsi="Times New Roman" w:cs="Times New Roman"/>
          <w:b/>
          <w:bCs/>
          <w:sz w:val="16"/>
          <w:szCs w:val="16"/>
        </w:rPr>
        <w:t>Aspirational peers</w:t>
      </w:r>
      <w:r w:rsidRPr="00756953">
        <w:rPr>
          <w:rFonts w:ascii="Times New Roman" w:hAnsi="Times New Roman" w:cs="Times New Roman"/>
          <w:sz w:val="16"/>
          <w:szCs w:val="16"/>
        </w:rPr>
        <w:t xml:space="preserve">: Mauritius; Seychelles; Saint Lucia; Saint Kitts and Nevis; Saint Vincent and the Grenadines; and </w:t>
      </w:r>
      <w:proofErr w:type="gramStart"/>
      <w:r w:rsidRPr="00756953">
        <w:rPr>
          <w:rFonts w:ascii="Times New Roman" w:hAnsi="Times New Roman" w:cs="Times New Roman"/>
          <w:b/>
          <w:bCs/>
          <w:sz w:val="16"/>
          <w:szCs w:val="16"/>
        </w:rPr>
        <w:t>Regional</w:t>
      </w:r>
      <w:proofErr w:type="gramEnd"/>
      <w:r w:rsidRPr="00756953">
        <w:rPr>
          <w:rFonts w:ascii="Times New Roman" w:hAnsi="Times New Roman" w:cs="Times New Roman"/>
          <w:b/>
          <w:bCs/>
          <w:sz w:val="16"/>
          <w:szCs w:val="16"/>
        </w:rPr>
        <w:t xml:space="preserve"> comparators</w:t>
      </w:r>
      <w:r w:rsidRPr="00756953">
        <w:rPr>
          <w:rFonts w:ascii="Times New Roman" w:hAnsi="Times New Roman" w:cs="Times New Roman"/>
          <w:sz w:val="16"/>
          <w:szCs w:val="16"/>
        </w:rPr>
        <w:t>: Ghana; Senegal and Gambia.</w:t>
      </w:r>
    </w:p>
  </w:footnote>
  <w:footnote w:id="5">
    <w:p w14:paraId="1215A059" w14:textId="77777777" w:rsidR="005010DB" w:rsidRPr="00BF31AC" w:rsidRDefault="005010DB" w:rsidP="00756953">
      <w:pPr>
        <w:pStyle w:val="FootnoteText"/>
        <w:jc w:val="both"/>
        <w:rPr>
          <w:rFonts w:ascii="Times New Roman" w:hAnsi="Times New Roman" w:cs="Times New Roman"/>
          <w:sz w:val="16"/>
          <w:szCs w:val="16"/>
        </w:rPr>
      </w:pPr>
      <w:r w:rsidRPr="008E2C10">
        <w:rPr>
          <w:rStyle w:val="FootnoteReference"/>
          <w:rFonts w:ascii="Arial" w:hAnsi="Arial" w:cs="Arial"/>
          <w:sz w:val="16"/>
          <w:szCs w:val="16"/>
        </w:rPr>
        <w:footnoteRef/>
      </w:r>
      <w:r w:rsidRPr="008E2C10">
        <w:rPr>
          <w:rFonts w:ascii="Arial" w:hAnsi="Arial" w:cs="Arial"/>
          <w:sz w:val="16"/>
          <w:szCs w:val="16"/>
        </w:rPr>
        <w:t xml:space="preserve"> </w:t>
      </w:r>
      <w:r w:rsidRPr="00BF31AC">
        <w:rPr>
          <w:rFonts w:ascii="Times New Roman" w:hAnsi="Times New Roman" w:cs="Times New Roman"/>
          <w:sz w:val="16"/>
          <w:szCs w:val="16"/>
        </w:rPr>
        <w:t>Digital divide is</w:t>
      </w:r>
      <w:r w:rsidRPr="00A27DC3">
        <w:rPr>
          <w:rFonts w:ascii="Times New Roman" w:hAnsi="Times New Roman" w:cs="Times New Roman"/>
          <w:sz w:val="16"/>
          <w:szCs w:val="16"/>
          <w:shd w:val="clear" w:color="auto" w:fill="FFFFFF"/>
        </w:rPr>
        <w:t> the gap between people who have access to modern information and communications technology and those who don't.</w:t>
      </w:r>
    </w:p>
  </w:footnote>
  <w:footnote w:id="6">
    <w:p w14:paraId="62B52982" w14:textId="0C837313" w:rsidR="005010DB" w:rsidRPr="00BF31AC" w:rsidRDefault="005010DB" w:rsidP="00756953">
      <w:pPr>
        <w:pStyle w:val="FootnoteText"/>
        <w:jc w:val="both"/>
        <w:rPr>
          <w:rFonts w:ascii="Times New Roman" w:hAnsi="Times New Roman" w:cs="Times New Roman"/>
          <w:sz w:val="16"/>
          <w:szCs w:val="16"/>
        </w:rPr>
      </w:pPr>
      <w:r w:rsidRPr="00BF31AC">
        <w:rPr>
          <w:rStyle w:val="FootnoteReference"/>
          <w:rFonts w:ascii="Times New Roman" w:hAnsi="Times New Roman" w:cs="Times New Roman"/>
          <w:sz w:val="16"/>
          <w:szCs w:val="16"/>
        </w:rPr>
        <w:footnoteRef/>
      </w:r>
      <w:r w:rsidRPr="00BF31AC">
        <w:rPr>
          <w:rFonts w:ascii="Times New Roman" w:hAnsi="Times New Roman" w:cs="Times New Roman"/>
          <w:sz w:val="16"/>
          <w:szCs w:val="16"/>
        </w:rPr>
        <w:t xml:space="preserve"> </w:t>
      </w:r>
      <w:r w:rsidRPr="00A27DC3">
        <w:rPr>
          <w:rFonts w:ascii="Times New Roman" w:hAnsi="Times New Roman" w:cs="Times New Roman"/>
          <w:sz w:val="16"/>
          <w:szCs w:val="16"/>
          <w:shd w:val="clear" w:color="auto" w:fill="FFFFFF"/>
        </w:rPr>
        <w:t xml:space="preserve">Internet Redundancy is having a secondary connection that runs on a different backbone than the primary connection. </w:t>
      </w:r>
      <w:r w:rsidR="00756953" w:rsidRPr="00A27DC3">
        <w:rPr>
          <w:rFonts w:ascii="Times New Roman" w:hAnsi="Times New Roman" w:cs="Times New Roman"/>
          <w:sz w:val="16"/>
          <w:szCs w:val="16"/>
          <w:shd w:val="clear" w:color="auto" w:fill="FFFFFF"/>
        </w:rPr>
        <w:t>This backup</w:t>
      </w:r>
      <w:r w:rsidRPr="00A27DC3">
        <w:rPr>
          <w:rFonts w:ascii="Times New Roman" w:hAnsi="Times New Roman" w:cs="Times New Roman"/>
          <w:sz w:val="16"/>
          <w:szCs w:val="16"/>
          <w:shd w:val="clear" w:color="auto" w:fill="FFFFFF"/>
        </w:rPr>
        <w:t xml:space="preserve"> internet connection activates when the primary connection fails.</w:t>
      </w:r>
    </w:p>
  </w:footnote>
  <w:footnote w:id="7">
    <w:p w14:paraId="1533EEB1" w14:textId="2259E3A4" w:rsidR="00A11BE7" w:rsidRDefault="00A11BE7">
      <w:pPr>
        <w:pStyle w:val="FootnoteText"/>
      </w:pPr>
      <w:r>
        <w:rPr>
          <w:rStyle w:val="FootnoteReference"/>
        </w:rPr>
        <w:footnoteRef/>
      </w:r>
      <w:r>
        <w:t xml:space="preserve"> </w:t>
      </w:r>
      <w:r w:rsidRPr="009B3253">
        <w:rPr>
          <w:rFonts w:ascii="Times New Roman" w:hAnsi="Times New Roman" w:cs="Times New Roman"/>
          <w:sz w:val="16"/>
          <w:szCs w:val="16"/>
          <w:shd w:val="clear" w:color="auto" w:fill="FFFFFF"/>
        </w:rPr>
        <w:t>https://www.mf.gov.cv/documents/89288/208073/09_UGPE_2020_Termos_de_Refer%C3%AAncia.pdf</w:t>
      </w:r>
    </w:p>
  </w:footnote>
  <w:footnote w:id="8">
    <w:p w14:paraId="2F9BC580" w14:textId="7E1C93D5" w:rsidR="00FB309F" w:rsidRPr="009B3253" w:rsidRDefault="00FB309F">
      <w:pPr>
        <w:pStyle w:val="FootnoteText"/>
        <w:rPr>
          <w:lang w:val="pt-PT"/>
        </w:rPr>
      </w:pPr>
      <w:r>
        <w:rPr>
          <w:rStyle w:val="FootnoteReference"/>
        </w:rPr>
        <w:footnoteRef/>
      </w:r>
      <w:r w:rsidRPr="009B3253">
        <w:rPr>
          <w:lang w:val="pt-PT"/>
        </w:rPr>
        <w:t xml:space="preserve"> </w:t>
      </w:r>
      <w:r w:rsidRPr="009B3253">
        <w:rPr>
          <w:rFonts w:ascii="Times New Roman" w:hAnsi="Times New Roman" w:cs="Times New Roman"/>
          <w:sz w:val="16"/>
          <w:szCs w:val="16"/>
          <w:shd w:val="clear" w:color="auto" w:fill="FFFFFF"/>
          <w:lang w:val="pt-PT"/>
        </w:rPr>
        <w:t>http://www.peacecable.net/</w:t>
      </w:r>
    </w:p>
  </w:footnote>
  <w:footnote w:id="9">
    <w:p w14:paraId="5BDAD2E2" w14:textId="71B9CFEA" w:rsidR="008B5AD0" w:rsidRPr="002002DB" w:rsidRDefault="008B5AD0" w:rsidP="008B5AD0">
      <w:pPr>
        <w:pStyle w:val="FootnoteText"/>
        <w:rPr>
          <w:rFonts w:ascii="Times New Roman" w:hAnsi="Times New Roman" w:cs="Times New Roman"/>
          <w:sz w:val="16"/>
          <w:szCs w:val="16"/>
        </w:rPr>
      </w:pPr>
      <w:r w:rsidRPr="002002DB">
        <w:rPr>
          <w:rStyle w:val="FootnoteReference"/>
          <w:rFonts w:ascii="Times New Roman" w:hAnsi="Times New Roman" w:cs="Times New Roman"/>
          <w:sz w:val="16"/>
          <w:szCs w:val="16"/>
        </w:rPr>
        <w:footnoteRef/>
      </w:r>
      <w:r w:rsidRPr="009B3253">
        <w:rPr>
          <w:rFonts w:ascii="Times New Roman" w:hAnsi="Times New Roman" w:cs="Times New Roman"/>
          <w:sz w:val="16"/>
          <w:szCs w:val="16"/>
          <w:lang w:val="pt-PT"/>
        </w:rPr>
        <w:t xml:space="preserve"> </w:t>
      </w:r>
      <w:r w:rsidR="00E45D70" w:rsidRPr="009B3253">
        <w:rPr>
          <w:rFonts w:ascii="Times New Roman" w:hAnsi="Times New Roman" w:cs="Times New Roman"/>
          <w:sz w:val="16"/>
          <w:szCs w:val="16"/>
          <w:lang w:val="pt-PT"/>
        </w:rPr>
        <w:t xml:space="preserve">DataReportal (2020). </w:t>
      </w:r>
      <w:r w:rsidR="00E45D70" w:rsidRPr="00E45D70">
        <w:rPr>
          <w:rFonts w:ascii="Times New Roman" w:hAnsi="Times New Roman" w:cs="Times New Roman"/>
          <w:sz w:val="16"/>
          <w:szCs w:val="16"/>
        </w:rPr>
        <w:t>“Digital 2020 Cabo Verde”</w:t>
      </w:r>
      <w:r w:rsidR="007874AB">
        <w:rPr>
          <w:rFonts w:ascii="Times New Roman" w:hAnsi="Times New Roman" w:cs="Times New Roman"/>
          <w:sz w:val="16"/>
          <w:szCs w:val="16"/>
        </w:rPr>
        <w:t>.</w:t>
      </w:r>
    </w:p>
  </w:footnote>
  <w:footnote w:id="10">
    <w:p w14:paraId="5E9BA878" w14:textId="77777777" w:rsidR="002002DB" w:rsidRPr="00717245" w:rsidRDefault="002002DB" w:rsidP="002002DB">
      <w:pPr>
        <w:pStyle w:val="FootnoteText"/>
        <w:rPr>
          <w:rFonts w:ascii="Times New Roman" w:hAnsi="Times New Roman" w:cs="Times New Roman"/>
          <w:sz w:val="16"/>
          <w:szCs w:val="16"/>
        </w:rPr>
      </w:pPr>
      <w:r w:rsidRPr="002002DB">
        <w:rPr>
          <w:rStyle w:val="FootnoteReference"/>
          <w:rFonts w:ascii="Times New Roman" w:hAnsi="Times New Roman" w:cs="Times New Roman"/>
          <w:sz w:val="16"/>
          <w:szCs w:val="16"/>
        </w:rPr>
        <w:footnoteRef/>
      </w:r>
      <w:r w:rsidRPr="002002DB">
        <w:rPr>
          <w:rFonts w:ascii="Times New Roman" w:hAnsi="Times New Roman" w:cs="Times New Roman"/>
          <w:sz w:val="16"/>
          <w:szCs w:val="16"/>
        </w:rPr>
        <w:t xml:space="preserve"> </w:t>
      </w:r>
      <w:r w:rsidRPr="00717245">
        <w:rPr>
          <w:rFonts w:ascii="Times New Roman" w:hAnsi="Times New Roman" w:cs="Times New Roman"/>
          <w:sz w:val="16"/>
          <w:szCs w:val="16"/>
        </w:rPr>
        <w:t>Data-only mobile broadband basket (1.5GB)</w:t>
      </w:r>
    </w:p>
  </w:footnote>
  <w:footnote w:id="11">
    <w:p w14:paraId="149AEC7F" w14:textId="77777777" w:rsidR="002002DB" w:rsidRPr="00717245" w:rsidRDefault="002002DB" w:rsidP="002002DB">
      <w:pPr>
        <w:pStyle w:val="FootnoteText"/>
        <w:rPr>
          <w:rFonts w:ascii="Times New Roman" w:hAnsi="Times New Roman" w:cs="Times New Roman"/>
          <w:sz w:val="16"/>
          <w:szCs w:val="16"/>
        </w:rPr>
      </w:pPr>
      <w:r w:rsidRPr="00717245">
        <w:rPr>
          <w:rStyle w:val="FootnoteReference"/>
          <w:rFonts w:ascii="Times New Roman" w:hAnsi="Times New Roman" w:cs="Times New Roman"/>
          <w:sz w:val="16"/>
          <w:szCs w:val="16"/>
        </w:rPr>
        <w:footnoteRef/>
      </w:r>
      <w:r w:rsidRPr="00717245">
        <w:rPr>
          <w:rFonts w:ascii="Times New Roman" w:hAnsi="Times New Roman" w:cs="Times New Roman"/>
          <w:sz w:val="16"/>
          <w:szCs w:val="16"/>
        </w:rPr>
        <w:t xml:space="preserve"> Fixed broadband basket (5G)</w:t>
      </w:r>
    </w:p>
  </w:footnote>
  <w:footnote w:id="12">
    <w:p w14:paraId="166F8301" w14:textId="006A4ACF" w:rsidR="002002DB" w:rsidRPr="00717245" w:rsidRDefault="002002DB" w:rsidP="002002DB">
      <w:pPr>
        <w:pStyle w:val="FootnoteText"/>
        <w:rPr>
          <w:rFonts w:ascii="Times New Roman" w:hAnsi="Times New Roman" w:cs="Times New Roman"/>
          <w:sz w:val="16"/>
          <w:szCs w:val="16"/>
        </w:rPr>
      </w:pPr>
      <w:r w:rsidRPr="00717245">
        <w:rPr>
          <w:rStyle w:val="FootnoteReference"/>
          <w:rFonts w:ascii="Times New Roman" w:hAnsi="Times New Roman" w:cs="Times New Roman"/>
          <w:sz w:val="16"/>
          <w:szCs w:val="16"/>
        </w:rPr>
        <w:footnoteRef/>
      </w:r>
      <w:r w:rsidRPr="00717245">
        <w:rPr>
          <w:rFonts w:ascii="Times New Roman" w:hAnsi="Times New Roman" w:cs="Times New Roman"/>
          <w:sz w:val="16"/>
          <w:szCs w:val="16"/>
        </w:rPr>
        <w:t xml:space="preserve"> The United Nations Broadband Commission for Sustainable Development’s target is as follows: “By 2025, entry-level broadband services should be made affordable in developing countries, at less than 2 percent of monthly gross national income per capita.”</w:t>
      </w:r>
    </w:p>
  </w:footnote>
  <w:footnote w:id="13">
    <w:p w14:paraId="462B36EB" w14:textId="0F87F9C2" w:rsidR="0034505A" w:rsidRPr="009B3253" w:rsidRDefault="0034505A">
      <w:pPr>
        <w:pStyle w:val="FootnoteText"/>
        <w:rPr>
          <w:rFonts w:ascii="Times New Roman" w:hAnsi="Times New Roman" w:cs="Times New Roman"/>
          <w:sz w:val="16"/>
          <w:szCs w:val="16"/>
        </w:rPr>
      </w:pPr>
      <w:r w:rsidRPr="009B3253">
        <w:rPr>
          <w:rStyle w:val="FootnoteReference"/>
          <w:sz w:val="16"/>
          <w:szCs w:val="16"/>
        </w:rPr>
        <w:footnoteRef/>
      </w:r>
      <w:r w:rsidRPr="009B3253">
        <w:rPr>
          <w:rStyle w:val="FootnoteReference"/>
        </w:rPr>
        <w:t xml:space="preserve"> </w:t>
      </w:r>
      <w:r>
        <w:rPr>
          <w:rFonts w:ascii="Times New Roman" w:hAnsi="Times New Roman" w:cs="Times New Roman"/>
          <w:sz w:val="16"/>
          <w:szCs w:val="16"/>
        </w:rPr>
        <w:t xml:space="preserve">The given price considers </w:t>
      </w:r>
      <w:r w:rsidRPr="009B3253">
        <w:rPr>
          <w:rFonts w:ascii="Times New Roman" w:hAnsi="Times New Roman" w:cs="Times New Roman"/>
          <w:sz w:val="16"/>
          <w:szCs w:val="16"/>
        </w:rPr>
        <w:t>co-installation at the landing station of the international submarine fiber optic cables</w:t>
      </w:r>
      <w:r>
        <w:rPr>
          <w:rFonts w:ascii="Times New Roman" w:hAnsi="Times New Roman" w:cs="Times New Roman"/>
          <w:sz w:val="16"/>
          <w:szCs w:val="16"/>
        </w:rPr>
        <w:t xml:space="preserve">. </w:t>
      </w:r>
    </w:p>
  </w:footnote>
  <w:footnote w:id="14">
    <w:p w14:paraId="69F31BE3" w14:textId="77777777" w:rsidR="00562F7E" w:rsidRPr="00A27DC3" w:rsidRDefault="00562F7E" w:rsidP="00562F7E">
      <w:pPr>
        <w:pStyle w:val="FootnoteText"/>
        <w:rPr>
          <w:rFonts w:ascii="Times New Roman" w:hAnsi="Times New Roman" w:cs="Times New Roman"/>
          <w:lang w:val="pt-PT"/>
        </w:rPr>
      </w:pPr>
      <w:r w:rsidRPr="00A27DC3">
        <w:rPr>
          <w:rStyle w:val="FootnoteReference"/>
          <w:rFonts w:ascii="Times New Roman" w:hAnsi="Times New Roman" w:cs="Times New Roman"/>
          <w:sz w:val="16"/>
          <w:szCs w:val="16"/>
        </w:rPr>
        <w:footnoteRef/>
      </w:r>
      <w:r w:rsidRPr="00A27DC3">
        <w:rPr>
          <w:rFonts w:ascii="Times New Roman" w:hAnsi="Times New Roman" w:cs="Times New Roman"/>
          <w:sz w:val="16"/>
          <w:szCs w:val="16"/>
          <w:lang w:val="pt-PT"/>
        </w:rPr>
        <w:t xml:space="preserve"> ARME</w:t>
      </w:r>
    </w:p>
  </w:footnote>
  <w:footnote w:id="15">
    <w:p w14:paraId="0CB68D5D" w14:textId="77777777" w:rsidR="00CF5A88" w:rsidRPr="00A27DC3" w:rsidRDefault="00CF5A88" w:rsidP="00CF5A88">
      <w:pPr>
        <w:pStyle w:val="FootnoteText"/>
        <w:rPr>
          <w:rFonts w:ascii="Times New Roman" w:hAnsi="Times New Roman" w:cs="Times New Roman"/>
          <w:sz w:val="16"/>
          <w:szCs w:val="16"/>
          <w:lang w:val="pt-PT"/>
        </w:rPr>
      </w:pPr>
      <w:r w:rsidRPr="0097585D">
        <w:rPr>
          <w:rStyle w:val="FootnoteReference"/>
          <w:rFonts w:ascii="Arial" w:hAnsi="Arial" w:cs="Arial"/>
          <w:sz w:val="16"/>
          <w:szCs w:val="16"/>
        </w:rPr>
        <w:footnoteRef/>
      </w:r>
      <w:r w:rsidRPr="005520DF">
        <w:rPr>
          <w:rFonts w:ascii="Arial" w:hAnsi="Arial" w:cs="Arial"/>
          <w:sz w:val="16"/>
          <w:szCs w:val="16"/>
          <w:lang w:val="pt-PT"/>
        </w:rPr>
        <w:t xml:space="preserve"> </w:t>
      </w:r>
      <w:hyperlink r:id="rId2" w:history="1">
        <w:r w:rsidRPr="00A27DC3">
          <w:rPr>
            <w:rStyle w:val="Hyperlink"/>
            <w:rFonts w:ascii="Times New Roman" w:hAnsi="Times New Roman" w:cs="Times New Roman"/>
            <w:sz w:val="16"/>
            <w:szCs w:val="16"/>
            <w:lang w:val="pt-PT"/>
          </w:rPr>
          <w:t>https://portondinosilhas.gov.cv/portonprd/porton.portoncv_v3?p=B7B0B2BAC4C4C4</w:t>
        </w:r>
      </w:hyperlink>
      <w:r w:rsidRPr="00A27DC3">
        <w:rPr>
          <w:rFonts w:ascii="Times New Roman" w:hAnsi="Times New Roman" w:cs="Times New Roman"/>
          <w:sz w:val="16"/>
          <w:szCs w:val="16"/>
          <w:lang w:val="pt-PT"/>
        </w:rPr>
        <w:t xml:space="preserve"> </w:t>
      </w:r>
    </w:p>
  </w:footnote>
  <w:footnote w:id="16">
    <w:p w14:paraId="15874736" w14:textId="2E8EC7E4" w:rsidR="00BC1CFB" w:rsidRPr="00A27DC3" w:rsidRDefault="00BC1CFB" w:rsidP="00BC1CFB">
      <w:pPr>
        <w:pStyle w:val="FootnoteText"/>
        <w:rPr>
          <w:rFonts w:ascii="Times New Roman" w:hAnsi="Times New Roman" w:cs="Times New Roman"/>
          <w:sz w:val="16"/>
          <w:szCs w:val="16"/>
        </w:rPr>
      </w:pPr>
      <w:r w:rsidRPr="00A27DC3">
        <w:rPr>
          <w:rStyle w:val="FootnoteReference"/>
          <w:rFonts w:ascii="Times New Roman" w:hAnsi="Times New Roman" w:cs="Times New Roman"/>
          <w:sz w:val="16"/>
          <w:szCs w:val="16"/>
        </w:rPr>
        <w:footnoteRef/>
      </w:r>
      <w:r w:rsidRPr="00A27DC3">
        <w:rPr>
          <w:rFonts w:ascii="Times New Roman" w:hAnsi="Times New Roman" w:cs="Times New Roman"/>
          <w:sz w:val="16"/>
          <w:szCs w:val="16"/>
        </w:rPr>
        <w:t xml:space="preserve"> </w:t>
      </w:r>
      <w:proofErr w:type="spellStart"/>
      <w:r w:rsidR="00761609" w:rsidRPr="00A27DC3">
        <w:rPr>
          <w:rFonts w:ascii="Times New Roman" w:hAnsi="Times New Roman" w:cs="Times New Roman"/>
          <w:sz w:val="16"/>
          <w:szCs w:val="16"/>
        </w:rPr>
        <w:t>Dener</w:t>
      </w:r>
      <w:proofErr w:type="spellEnd"/>
      <w:r w:rsidR="00761609" w:rsidRPr="00A27DC3">
        <w:rPr>
          <w:rFonts w:ascii="Times New Roman" w:hAnsi="Times New Roman" w:cs="Times New Roman"/>
          <w:sz w:val="16"/>
          <w:szCs w:val="16"/>
        </w:rPr>
        <w:t xml:space="preserve"> C., </w:t>
      </w:r>
      <w:proofErr w:type="spellStart"/>
      <w:r w:rsidR="00761609" w:rsidRPr="00A27DC3">
        <w:rPr>
          <w:rFonts w:ascii="Times New Roman" w:hAnsi="Times New Roman" w:cs="Times New Roman"/>
          <w:sz w:val="16"/>
          <w:szCs w:val="16"/>
        </w:rPr>
        <w:t>Nii-Aponsah</w:t>
      </w:r>
      <w:proofErr w:type="spellEnd"/>
      <w:r w:rsidR="00761609" w:rsidRPr="00A27DC3">
        <w:rPr>
          <w:rFonts w:ascii="Times New Roman" w:hAnsi="Times New Roman" w:cs="Times New Roman"/>
          <w:sz w:val="16"/>
          <w:szCs w:val="16"/>
        </w:rPr>
        <w:t xml:space="preserve"> H., </w:t>
      </w:r>
      <w:proofErr w:type="spellStart"/>
      <w:r w:rsidR="00761609" w:rsidRPr="00A27DC3">
        <w:rPr>
          <w:rFonts w:ascii="Times New Roman" w:hAnsi="Times New Roman" w:cs="Times New Roman"/>
          <w:sz w:val="16"/>
          <w:szCs w:val="16"/>
        </w:rPr>
        <w:t>Ghunney</w:t>
      </w:r>
      <w:proofErr w:type="spellEnd"/>
      <w:r w:rsidR="00761609" w:rsidRPr="00A27DC3">
        <w:rPr>
          <w:rFonts w:ascii="Times New Roman" w:hAnsi="Times New Roman" w:cs="Times New Roman"/>
          <w:sz w:val="16"/>
          <w:szCs w:val="16"/>
        </w:rPr>
        <w:t xml:space="preserve"> L. E., Johns K. D. (2021). “</w:t>
      </w:r>
      <w:proofErr w:type="spellStart"/>
      <w:r w:rsidR="00761609" w:rsidRPr="00A27DC3">
        <w:rPr>
          <w:rFonts w:ascii="Times New Roman" w:hAnsi="Times New Roman" w:cs="Times New Roman"/>
          <w:sz w:val="16"/>
          <w:szCs w:val="16"/>
        </w:rPr>
        <w:t>GovTech</w:t>
      </w:r>
      <w:proofErr w:type="spellEnd"/>
      <w:r w:rsidR="00761609" w:rsidRPr="00A27DC3">
        <w:rPr>
          <w:rFonts w:ascii="Times New Roman" w:hAnsi="Times New Roman" w:cs="Times New Roman"/>
          <w:sz w:val="16"/>
          <w:szCs w:val="16"/>
        </w:rPr>
        <w:t xml:space="preserve"> Maturity Index. The State of Public Sector Digital Transformation”. World Bank Group</w:t>
      </w:r>
      <w:r w:rsidRPr="00A27DC3">
        <w:rPr>
          <w:rFonts w:ascii="Times New Roman" w:hAnsi="Times New Roman" w:cs="Times New Roman"/>
          <w:sz w:val="16"/>
          <w:szCs w:val="16"/>
        </w:rPr>
        <w:t xml:space="preserve">. </w:t>
      </w:r>
    </w:p>
  </w:footnote>
  <w:footnote w:id="17">
    <w:p w14:paraId="556269DF" w14:textId="77777777" w:rsidR="00007ADC" w:rsidRPr="00007ADC" w:rsidRDefault="00007ADC" w:rsidP="00007ADC">
      <w:pPr>
        <w:pStyle w:val="FootnoteText"/>
        <w:rPr>
          <w:rFonts w:ascii="Times New Roman" w:hAnsi="Times New Roman" w:cs="Times New Roman"/>
          <w:sz w:val="16"/>
          <w:szCs w:val="16"/>
        </w:rPr>
      </w:pPr>
      <w:r w:rsidRPr="00877E87">
        <w:rPr>
          <w:rStyle w:val="FootnoteReference"/>
          <w:rFonts w:ascii="Arial" w:hAnsi="Arial" w:cs="Arial"/>
          <w:sz w:val="16"/>
          <w:szCs w:val="16"/>
        </w:rPr>
        <w:footnoteRef/>
      </w:r>
      <w:r w:rsidRPr="00877E87">
        <w:rPr>
          <w:rFonts w:ascii="Arial" w:hAnsi="Arial" w:cs="Arial"/>
          <w:sz w:val="16"/>
          <w:szCs w:val="16"/>
        </w:rPr>
        <w:t xml:space="preserve"> </w:t>
      </w:r>
      <w:hyperlink r:id="rId3" w:history="1">
        <w:r w:rsidRPr="00007ADC">
          <w:rPr>
            <w:rStyle w:val="Hyperlink"/>
            <w:rFonts w:ascii="Times New Roman" w:hAnsi="Times New Roman" w:cs="Times New Roman"/>
            <w:sz w:val="16"/>
            <w:szCs w:val="16"/>
          </w:rPr>
          <w:t>https://estrategiadigital.gov.cv/index.php/en/</w:t>
        </w:r>
      </w:hyperlink>
      <w:r w:rsidRPr="00007ADC">
        <w:rPr>
          <w:rFonts w:ascii="Times New Roman" w:hAnsi="Times New Roman" w:cs="Times New Roman"/>
          <w:sz w:val="16"/>
          <w:szCs w:val="16"/>
        </w:rPr>
        <w:t xml:space="preserve"> </w:t>
      </w:r>
    </w:p>
  </w:footnote>
  <w:footnote w:id="18">
    <w:p w14:paraId="3B847AC9" w14:textId="0865E5CA" w:rsidR="00007ADC" w:rsidRPr="00007ADC" w:rsidRDefault="00007ADC" w:rsidP="00007ADC">
      <w:pPr>
        <w:pStyle w:val="FootnoteText"/>
        <w:rPr>
          <w:rFonts w:ascii="Times New Roman" w:hAnsi="Times New Roman" w:cs="Times New Roman"/>
          <w:sz w:val="16"/>
          <w:szCs w:val="16"/>
        </w:rPr>
      </w:pPr>
      <w:r w:rsidRPr="00007ADC">
        <w:rPr>
          <w:rStyle w:val="FootnoteReference"/>
          <w:rFonts w:ascii="Times New Roman" w:hAnsi="Times New Roman" w:cs="Times New Roman"/>
          <w:sz w:val="16"/>
          <w:szCs w:val="16"/>
        </w:rPr>
        <w:footnoteRef/>
      </w:r>
      <w:r w:rsidRPr="00007ADC">
        <w:rPr>
          <w:rFonts w:ascii="Times New Roman" w:hAnsi="Times New Roman" w:cs="Times New Roman"/>
          <w:sz w:val="16"/>
          <w:szCs w:val="16"/>
        </w:rPr>
        <w:t xml:space="preserve"> </w:t>
      </w:r>
      <w:r w:rsidR="00676B34" w:rsidRPr="00676B34">
        <w:rPr>
          <w:rFonts w:ascii="Times New Roman" w:hAnsi="Times New Roman" w:cs="Times New Roman"/>
          <w:sz w:val="16"/>
          <w:szCs w:val="16"/>
        </w:rPr>
        <w:t xml:space="preserve">ITU. ICT Regulatory Tracker. </w:t>
      </w:r>
      <w:hyperlink r:id="rId4" w:history="1">
        <w:r w:rsidRPr="00007ADC">
          <w:rPr>
            <w:rStyle w:val="Hyperlink"/>
            <w:rFonts w:ascii="Times New Roman" w:hAnsi="Times New Roman" w:cs="Times New Roman"/>
            <w:sz w:val="16"/>
            <w:szCs w:val="16"/>
          </w:rPr>
          <w:t>https://app.gen5.digital/tracker/country-cards/Cabo%20Verde</w:t>
        </w:r>
      </w:hyperlink>
      <w:r w:rsidRPr="00007ADC">
        <w:rPr>
          <w:rFonts w:ascii="Times New Roman" w:hAnsi="Times New Roman" w:cs="Times New Roman"/>
          <w:sz w:val="16"/>
          <w:szCs w:val="16"/>
        </w:rPr>
        <w:t xml:space="preserve"> </w:t>
      </w:r>
    </w:p>
  </w:footnote>
  <w:footnote w:id="19">
    <w:p w14:paraId="646744A3" w14:textId="77777777" w:rsidR="00007ADC" w:rsidRDefault="00007ADC" w:rsidP="00007ADC">
      <w:pPr>
        <w:pStyle w:val="FootnoteText"/>
      </w:pPr>
      <w:r w:rsidRPr="00007ADC">
        <w:rPr>
          <w:rStyle w:val="FootnoteReference"/>
          <w:rFonts w:ascii="Times New Roman" w:hAnsi="Times New Roman" w:cs="Times New Roman"/>
          <w:sz w:val="16"/>
          <w:szCs w:val="16"/>
        </w:rPr>
        <w:footnoteRef/>
      </w:r>
      <w:r w:rsidRPr="00007ADC">
        <w:rPr>
          <w:rFonts w:ascii="Times New Roman" w:hAnsi="Times New Roman" w:cs="Times New Roman"/>
          <w:sz w:val="16"/>
          <w:szCs w:val="16"/>
        </w:rPr>
        <w:t xml:space="preserve"> UNCTAD Cyberlaw Tracker: </w:t>
      </w:r>
      <w:hyperlink r:id="rId5" w:history="1">
        <w:r w:rsidRPr="00007ADC">
          <w:rPr>
            <w:rStyle w:val="Hyperlink"/>
            <w:rFonts w:ascii="Times New Roman" w:hAnsi="Times New Roman" w:cs="Times New Roman"/>
            <w:sz w:val="16"/>
            <w:szCs w:val="16"/>
          </w:rPr>
          <w:t>https://unctad.org/page/data-protection-and-privacy-legislation-worldwide</w:t>
        </w:r>
      </w:hyperlink>
      <w:r w:rsidRPr="0097585D">
        <w:rPr>
          <w:rFonts w:ascii="Arial" w:hAnsi="Arial" w:cs="Arial"/>
          <w:sz w:val="16"/>
          <w:szCs w:val="16"/>
        </w:rPr>
        <w:t xml:space="preserve"> </w:t>
      </w:r>
    </w:p>
  </w:footnote>
  <w:footnote w:id="20">
    <w:p w14:paraId="68C11653" w14:textId="77777777" w:rsidR="00007ADC" w:rsidRPr="00EB1FC8" w:rsidRDefault="00007ADC" w:rsidP="00007ADC">
      <w:pPr>
        <w:pStyle w:val="NormalWeb"/>
        <w:shd w:val="clear" w:color="auto" w:fill="FFFFFF" w:themeFill="background1"/>
        <w:spacing w:before="0" w:beforeAutospacing="0" w:after="0" w:afterAutospacing="0"/>
        <w:rPr>
          <w:color w:val="333333"/>
          <w:sz w:val="16"/>
          <w:szCs w:val="16"/>
        </w:rPr>
      </w:pPr>
      <w:r w:rsidRPr="00877E87">
        <w:rPr>
          <w:rStyle w:val="FootnoteReference"/>
          <w:rFonts w:ascii="Arial" w:hAnsi="Arial" w:cs="Arial"/>
          <w:sz w:val="16"/>
          <w:szCs w:val="16"/>
        </w:rPr>
        <w:footnoteRef/>
      </w:r>
      <w:r w:rsidRPr="00877E87">
        <w:rPr>
          <w:rFonts w:ascii="Arial" w:hAnsi="Arial" w:cs="Arial"/>
          <w:sz w:val="16"/>
          <w:szCs w:val="16"/>
        </w:rPr>
        <w:t xml:space="preserve"> </w:t>
      </w:r>
      <w:hyperlink r:id="rId6" w:history="1">
        <w:r w:rsidRPr="00EB1FC8">
          <w:rPr>
            <w:rStyle w:val="Hyperlink"/>
            <w:sz w:val="16"/>
            <w:szCs w:val="16"/>
          </w:rPr>
          <w:t>https://plataformamedia.com/en/2021/11/23/cape-verde-wants-international-partnership-to-fight-cybercrime/</w:t>
        </w:r>
      </w:hyperlink>
      <w:r w:rsidRPr="00EB1FC8">
        <w:rPr>
          <w:color w:val="333333"/>
          <w:sz w:val="16"/>
          <w:szCs w:val="16"/>
        </w:rPr>
        <w:t xml:space="preserve"> </w:t>
      </w:r>
    </w:p>
  </w:footnote>
  <w:footnote w:id="21">
    <w:p w14:paraId="52826AAF" w14:textId="77777777" w:rsidR="00007ADC" w:rsidRPr="00EB1FC8" w:rsidRDefault="00007ADC" w:rsidP="00007ADC">
      <w:pPr>
        <w:pStyle w:val="FootnoteText"/>
        <w:rPr>
          <w:rFonts w:ascii="Times New Roman" w:hAnsi="Times New Roman" w:cs="Times New Roman"/>
          <w:sz w:val="16"/>
          <w:szCs w:val="16"/>
        </w:rPr>
      </w:pPr>
      <w:r w:rsidRPr="00EB1FC8">
        <w:rPr>
          <w:rStyle w:val="FootnoteReference"/>
          <w:rFonts w:ascii="Times New Roman" w:hAnsi="Times New Roman" w:cs="Times New Roman"/>
          <w:sz w:val="16"/>
          <w:szCs w:val="16"/>
        </w:rPr>
        <w:footnoteRef/>
      </w:r>
      <w:r w:rsidRPr="00EB1FC8">
        <w:rPr>
          <w:rFonts w:ascii="Times New Roman" w:hAnsi="Times New Roman" w:cs="Times New Roman"/>
          <w:sz w:val="16"/>
          <w:szCs w:val="16"/>
        </w:rPr>
        <w:t xml:space="preserve"> https://inforpress.cv/nosi-starts-today-replacement-of-suspended-services-due-to-cyber-attack-on-the-state-network/</w:t>
      </w:r>
    </w:p>
  </w:footnote>
  <w:footnote w:id="22">
    <w:p w14:paraId="2565AB08" w14:textId="688D02DC" w:rsidR="002231EA" w:rsidRPr="009B3253" w:rsidRDefault="002231EA">
      <w:pPr>
        <w:pStyle w:val="FootnoteText"/>
        <w:rPr>
          <w:rStyle w:val="Hyperlink"/>
          <w:rFonts w:ascii="Times New Roman" w:hAnsi="Times New Roman" w:cs="Times New Roman"/>
          <w:sz w:val="16"/>
          <w:szCs w:val="16"/>
        </w:rPr>
      </w:pPr>
      <w:r>
        <w:rPr>
          <w:rStyle w:val="FootnoteReference"/>
        </w:rPr>
        <w:footnoteRef/>
      </w:r>
      <w:r>
        <w:t xml:space="preserve"> </w:t>
      </w:r>
      <w:r w:rsidRPr="009B3253">
        <w:rPr>
          <w:rStyle w:val="Hyperlink"/>
          <w:rFonts w:ascii="Times New Roman" w:hAnsi="Times New Roman" w:cs="Times New Roman"/>
          <w:sz w:val="16"/>
          <w:szCs w:val="16"/>
        </w:rPr>
        <w:t>https://www.digital.cv/index.php/pt/</w:t>
      </w:r>
    </w:p>
  </w:footnote>
  <w:footnote w:id="23">
    <w:p w14:paraId="169EE444" w14:textId="77777777" w:rsidR="00095640" w:rsidRPr="009B3253" w:rsidRDefault="00095640" w:rsidP="00095640">
      <w:pPr>
        <w:pStyle w:val="FootnoteText"/>
        <w:rPr>
          <w:rStyle w:val="Hyperlink"/>
          <w:rFonts w:ascii="Times New Roman" w:hAnsi="Times New Roman" w:cs="Times New Roman"/>
        </w:rPr>
      </w:pPr>
      <w:r w:rsidRPr="0097585D">
        <w:rPr>
          <w:rStyle w:val="FootnoteReference"/>
          <w:rFonts w:ascii="Arial" w:hAnsi="Arial" w:cs="Arial"/>
          <w:sz w:val="16"/>
          <w:szCs w:val="16"/>
        </w:rPr>
        <w:footnoteRef/>
      </w:r>
      <w:r w:rsidRPr="0097585D">
        <w:rPr>
          <w:rFonts w:ascii="Arial" w:hAnsi="Arial" w:cs="Arial"/>
          <w:sz w:val="16"/>
          <w:szCs w:val="16"/>
        </w:rPr>
        <w:t xml:space="preserve"> </w:t>
      </w:r>
      <w:hyperlink r:id="rId7" w:history="1">
        <w:r w:rsidRPr="009B3253">
          <w:rPr>
            <w:rStyle w:val="Hyperlink"/>
            <w:rFonts w:ascii="Times New Roman" w:hAnsi="Times New Roman" w:cs="Times New Roman"/>
            <w:sz w:val="16"/>
            <w:szCs w:val="16"/>
          </w:rPr>
          <w:t>http://digital.cv/digital4covid19/</w:t>
        </w:r>
      </w:hyperlink>
      <w:r w:rsidRPr="009B3253">
        <w:rPr>
          <w:rStyle w:val="Hyperlink"/>
          <w:rFonts w:ascii="Times New Roman" w:hAnsi="Times New Roman" w:cs="Times New Roman"/>
        </w:rPr>
        <w:t xml:space="preserve"> </w:t>
      </w:r>
    </w:p>
  </w:footnote>
  <w:footnote w:id="24">
    <w:p w14:paraId="68A7C8A9" w14:textId="77777777" w:rsidR="00095640" w:rsidRPr="00A27DC3" w:rsidRDefault="00095640" w:rsidP="00095640">
      <w:pPr>
        <w:pStyle w:val="FootnoteText"/>
        <w:rPr>
          <w:rFonts w:ascii="Times New Roman" w:hAnsi="Times New Roman" w:cs="Times New Roman"/>
          <w:sz w:val="16"/>
          <w:szCs w:val="16"/>
        </w:rPr>
      </w:pPr>
      <w:r w:rsidRPr="00E50829">
        <w:rPr>
          <w:rStyle w:val="FootnoteReference"/>
          <w:rFonts w:ascii="Arial" w:hAnsi="Arial" w:cs="Arial"/>
          <w:sz w:val="16"/>
          <w:szCs w:val="16"/>
        </w:rPr>
        <w:footnoteRef/>
      </w:r>
      <w:r w:rsidRPr="00E50829">
        <w:rPr>
          <w:rFonts w:ascii="Arial" w:hAnsi="Arial" w:cs="Arial"/>
          <w:sz w:val="16"/>
          <w:szCs w:val="16"/>
        </w:rPr>
        <w:t xml:space="preserve"> </w:t>
      </w:r>
      <w:hyperlink r:id="rId8" w:history="1">
        <w:r w:rsidRPr="00A27DC3">
          <w:rPr>
            <w:rStyle w:val="Hyperlink"/>
            <w:rFonts w:ascii="Times New Roman" w:hAnsi="Times New Roman" w:cs="Times New Roman"/>
            <w:sz w:val="16"/>
            <w:szCs w:val="16"/>
          </w:rPr>
          <w:t>https://acceleratorlabs.undp.org/content/acceleratorlabs/en/home/locations/Cabo-Verde.html</w:t>
        </w:r>
      </w:hyperlink>
      <w:r w:rsidRPr="00A27DC3">
        <w:rPr>
          <w:rFonts w:ascii="Times New Roman" w:hAnsi="Times New Roman" w:cs="Times New Roman"/>
          <w:sz w:val="16"/>
          <w:szCs w:val="16"/>
        </w:rPr>
        <w:t xml:space="preserve"> </w:t>
      </w:r>
    </w:p>
  </w:footnote>
  <w:footnote w:id="25">
    <w:p w14:paraId="07C9F1EF" w14:textId="77777777" w:rsidR="00095640" w:rsidRPr="00A235CA" w:rsidRDefault="00095640" w:rsidP="00095640">
      <w:pPr>
        <w:pStyle w:val="FootnoteText"/>
        <w:rPr>
          <w:rFonts w:ascii="Times New Roman" w:hAnsi="Times New Roman" w:cs="Times New Roman"/>
          <w:sz w:val="16"/>
          <w:szCs w:val="16"/>
        </w:rPr>
      </w:pPr>
      <w:r w:rsidRPr="00A235CA">
        <w:rPr>
          <w:rStyle w:val="FootnoteReference"/>
          <w:rFonts w:ascii="Times New Roman" w:hAnsi="Times New Roman" w:cs="Times New Roman"/>
          <w:sz w:val="16"/>
          <w:szCs w:val="16"/>
        </w:rPr>
        <w:footnoteRef/>
      </w:r>
      <w:r w:rsidRPr="00A235CA">
        <w:rPr>
          <w:rFonts w:ascii="Times New Roman" w:hAnsi="Times New Roman" w:cs="Times New Roman"/>
          <w:sz w:val="16"/>
          <w:szCs w:val="16"/>
        </w:rPr>
        <w:t xml:space="preserve"> </w:t>
      </w:r>
      <w:hyperlink r:id="rId9" w:history="1">
        <w:r w:rsidRPr="00A235CA">
          <w:rPr>
            <w:rStyle w:val="Hyperlink"/>
            <w:rFonts w:ascii="Times New Roman" w:hAnsi="Times New Roman" w:cs="Times New Roman"/>
            <w:sz w:val="16"/>
            <w:szCs w:val="16"/>
          </w:rPr>
          <w:t>https://www.techpark.cv/pt/home-defaultpt/</w:t>
        </w:r>
      </w:hyperlink>
      <w:r w:rsidRPr="00A235CA">
        <w:rPr>
          <w:rFonts w:ascii="Times New Roman" w:hAnsi="Times New Roman" w:cs="Times New Roman"/>
          <w:sz w:val="16"/>
          <w:szCs w:val="16"/>
        </w:rPr>
        <w:t xml:space="preserve"> </w:t>
      </w:r>
    </w:p>
  </w:footnote>
  <w:footnote w:id="26">
    <w:p w14:paraId="69531EEF" w14:textId="77777777" w:rsidR="00095640" w:rsidRPr="00A235CA" w:rsidRDefault="00095640" w:rsidP="00095640">
      <w:pPr>
        <w:pStyle w:val="FootnoteText"/>
        <w:rPr>
          <w:rFonts w:ascii="Times New Roman" w:hAnsi="Times New Roman" w:cs="Times New Roman"/>
          <w:sz w:val="16"/>
          <w:szCs w:val="16"/>
        </w:rPr>
      </w:pPr>
      <w:r w:rsidRPr="00A235CA">
        <w:rPr>
          <w:rStyle w:val="FootnoteReference"/>
          <w:rFonts w:ascii="Times New Roman" w:hAnsi="Times New Roman" w:cs="Times New Roman"/>
          <w:sz w:val="16"/>
          <w:szCs w:val="16"/>
        </w:rPr>
        <w:footnoteRef/>
      </w:r>
      <w:r w:rsidRPr="00A235CA">
        <w:rPr>
          <w:rFonts w:ascii="Times New Roman" w:hAnsi="Times New Roman" w:cs="Times New Roman"/>
          <w:sz w:val="16"/>
          <w:szCs w:val="16"/>
        </w:rPr>
        <w:t xml:space="preserve"> Share in population of 15 years and older who hold active mobile money accounts, 2020.</w:t>
      </w:r>
    </w:p>
  </w:footnote>
  <w:footnote w:id="27">
    <w:p w14:paraId="34D6B11C" w14:textId="36974DB8" w:rsidR="00095640" w:rsidRPr="00A235CA" w:rsidRDefault="00095640" w:rsidP="00095640">
      <w:pPr>
        <w:pStyle w:val="FootnoteText"/>
        <w:rPr>
          <w:rFonts w:ascii="Times New Roman" w:hAnsi="Times New Roman" w:cs="Times New Roman"/>
          <w:sz w:val="16"/>
          <w:szCs w:val="16"/>
        </w:rPr>
      </w:pPr>
      <w:r w:rsidRPr="00A235CA">
        <w:rPr>
          <w:rStyle w:val="FootnoteReference"/>
          <w:rFonts w:ascii="Times New Roman" w:hAnsi="Times New Roman" w:cs="Times New Roman"/>
          <w:sz w:val="16"/>
          <w:szCs w:val="16"/>
        </w:rPr>
        <w:footnoteRef/>
      </w:r>
      <w:r w:rsidRPr="00A235CA">
        <w:rPr>
          <w:rFonts w:ascii="Times New Roman" w:hAnsi="Times New Roman" w:cs="Times New Roman"/>
          <w:sz w:val="16"/>
          <w:szCs w:val="16"/>
        </w:rPr>
        <w:t xml:space="preserve"> </w:t>
      </w:r>
      <w:r w:rsidR="00135555" w:rsidRPr="00A235CA">
        <w:rPr>
          <w:rFonts w:ascii="Times New Roman" w:hAnsi="Times New Roman" w:cs="Times New Roman"/>
          <w:sz w:val="16"/>
          <w:szCs w:val="16"/>
        </w:rPr>
        <w:t>International Monetary Fund. (2021). Financial Access Survey</w:t>
      </w:r>
      <w:r w:rsidR="00983B2A" w:rsidRPr="00A235CA">
        <w:rPr>
          <w:rFonts w:ascii="Times New Roman" w:hAnsi="Times New Roman" w:cs="Times New Roman"/>
          <w:sz w:val="16"/>
          <w:szCs w:val="16"/>
        </w:rPr>
        <w:t>.</w:t>
      </w:r>
    </w:p>
  </w:footnote>
  <w:footnote w:id="28">
    <w:p w14:paraId="2B55436F" w14:textId="3E6E9B51" w:rsidR="00095640" w:rsidRPr="004F7914" w:rsidRDefault="00095640" w:rsidP="00A27DC3">
      <w:pPr>
        <w:pStyle w:val="FootnoteText"/>
        <w:jc w:val="both"/>
        <w:rPr>
          <w:rFonts w:ascii="Times New Roman" w:hAnsi="Times New Roman" w:cs="Times New Roman"/>
          <w:sz w:val="16"/>
          <w:szCs w:val="16"/>
        </w:rPr>
      </w:pPr>
      <w:r w:rsidRPr="004F7914">
        <w:rPr>
          <w:rStyle w:val="FootnoteReference"/>
          <w:rFonts w:ascii="Times New Roman" w:hAnsi="Times New Roman" w:cs="Times New Roman"/>
          <w:sz w:val="16"/>
          <w:szCs w:val="16"/>
        </w:rPr>
        <w:footnoteRef/>
      </w:r>
      <w:r w:rsidRPr="004F7914">
        <w:rPr>
          <w:rFonts w:ascii="Times New Roman" w:hAnsi="Times New Roman" w:cs="Times New Roman"/>
          <w:sz w:val="16"/>
          <w:szCs w:val="16"/>
        </w:rPr>
        <w:t xml:space="preserve"> </w:t>
      </w:r>
      <w:r w:rsidR="00532DA1" w:rsidRPr="00532DA1">
        <w:rPr>
          <w:rFonts w:ascii="Times New Roman" w:hAnsi="Times New Roman" w:cs="Times New Roman"/>
          <w:sz w:val="16"/>
          <w:szCs w:val="16"/>
        </w:rPr>
        <w:t>Women Entrepreneurs of Cabo Verde (AME-CV). (2020). Survey of firms on COVID-19 impact on businesses</w:t>
      </w:r>
      <w:r w:rsidR="00532DA1">
        <w:rPr>
          <w:rFonts w:ascii="Times New Roman" w:hAnsi="Times New Roman" w:cs="Times New Roman"/>
          <w:sz w:val="16"/>
          <w:szCs w:val="16"/>
        </w:rPr>
        <w:t xml:space="preserve">. </w:t>
      </w:r>
      <w:hyperlink r:id="rId10" w:history="1">
        <w:r w:rsidR="00532DA1" w:rsidRPr="00532DA1">
          <w:rPr>
            <w:rStyle w:val="Hyperlink"/>
            <w:rFonts w:ascii="Times New Roman" w:hAnsi="Times New Roman" w:cs="Times New Roman"/>
            <w:sz w:val="16"/>
            <w:szCs w:val="16"/>
          </w:rPr>
          <w:t>https://e-global.pt/noticias/lusofonia/cabo-verde/cabo-verde-seis-em-cada-dez-empresas-suspenderam-atividades-durante-covid-19/</w:t>
        </w:r>
      </w:hyperlink>
      <w:r w:rsidRPr="004F7914">
        <w:rPr>
          <w:rFonts w:ascii="Times New Roman" w:hAnsi="Times New Roman" w:cs="Times New Roman"/>
          <w:sz w:val="16"/>
          <w:szCs w:val="16"/>
        </w:rPr>
        <w:t xml:space="preserve"> </w:t>
      </w:r>
    </w:p>
  </w:footnote>
  <w:footnote w:id="29">
    <w:p w14:paraId="0108BF03" w14:textId="00D5C391" w:rsidR="00095640" w:rsidRPr="004F7914" w:rsidRDefault="00095640" w:rsidP="00A27DC3">
      <w:pPr>
        <w:pStyle w:val="FootnoteText"/>
        <w:jc w:val="both"/>
        <w:rPr>
          <w:rFonts w:ascii="Times New Roman" w:hAnsi="Times New Roman" w:cs="Times New Roman"/>
        </w:rPr>
      </w:pPr>
      <w:r w:rsidRPr="004F7914">
        <w:rPr>
          <w:rStyle w:val="FootnoteReference"/>
          <w:rFonts w:ascii="Times New Roman" w:hAnsi="Times New Roman" w:cs="Times New Roman"/>
          <w:sz w:val="16"/>
          <w:szCs w:val="16"/>
        </w:rPr>
        <w:footnoteRef/>
      </w:r>
      <w:r w:rsidRPr="004F7914">
        <w:rPr>
          <w:rFonts w:ascii="Times New Roman" w:hAnsi="Times New Roman" w:cs="Times New Roman"/>
          <w:sz w:val="16"/>
          <w:szCs w:val="16"/>
        </w:rPr>
        <w:t xml:space="preserve"> </w:t>
      </w:r>
      <w:r w:rsidR="00383DE3" w:rsidRPr="00383DE3">
        <w:rPr>
          <w:rFonts w:ascii="Times New Roman" w:hAnsi="Times New Roman" w:cs="Times New Roman"/>
          <w:sz w:val="16"/>
          <w:szCs w:val="16"/>
        </w:rPr>
        <w:t>Reporting period: 1-3 quarters</w:t>
      </w:r>
      <w:r w:rsidR="00383DE3">
        <w:rPr>
          <w:rFonts w:ascii="Times New Roman" w:hAnsi="Times New Roman" w:cs="Times New Roman"/>
          <w:sz w:val="16"/>
          <w:szCs w:val="16"/>
        </w:rPr>
        <w:t xml:space="preserve"> of</w:t>
      </w:r>
      <w:r w:rsidRPr="004F7914">
        <w:rPr>
          <w:rFonts w:ascii="Times New Roman" w:hAnsi="Times New Roman" w:cs="Times New Roman"/>
          <w:sz w:val="16"/>
          <w:szCs w:val="16"/>
        </w:rPr>
        <w:t xml:space="preserve"> 2021</w:t>
      </w:r>
      <w:r w:rsidR="0033011B">
        <w:rPr>
          <w:rFonts w:ascii="Times New Roman" w:hAnsi="Times New Roman" w:cs="Times New Roman"/>
          <w:sz w:val="16"/>
          <w:szCs w:val="16"/>
        </w:rPr>
        <w:t xml:space="preserve">, </w:t>
      </w:r>
      <w:r w:rsidR="0033011B" w:rsidRPr="0033011B">
        <w:rPr>
          <w:rFonts w:ascii="Times New Roman" w:hAnsi="Times New Roman" w:cs="Times New Roman"/>
          <w:sz w:val="16"/>
          <w:szCs w:val="16"/>
        </w:rPr>
        <w:t>National Statistics Institute, Cabo Verde - INE-CV</w:t>
      </w:r>
      <w:r w:rsidRPr="004F7914">
        <w:rPr>
          <w:rFonts w:ascii="Times New Roman" w:hAnsi="Times New Roman" w:cs="Times New Roman"/>
          <w:sz w:val="16"/>
          <w:szCs w:val="16"/>
        </w:rPr>
        <w:t xml:space="preserve">. </w:t>
      </w:r>
    </w:p>
  </w:footnote>
  <w:footnote w:id="30">
    <w:p w14:paraId="2190B76A" w14:textId="6CFDCF3D" w:rsidR="00C3110D" w:rsidRPr="00B82900" w:rsidRDefault="00C3110D" w:rsidP="00C3110D">
      <w:pPr>
        <w:pStyle w:val="FootnoteText"/>
        <w:rPr>
          <w:rFonts w:ascii="Times New Roman" w:hAnsi="Times New Roman" w:cs="Times New Roman"/>
          <w:sz w:val="16"/>
          <w:szCs w:val="16"/>
        </w:rPr>
      </w:pPr>
      <w:r w:rsidRPr="00877E87">
        <w:rPr>
          <w:rStyle w:val="FootnoteReference"/>
          <w:rFonts w:ascii="Arial" w:hAnsi="Arial" w:cs="Arial"/>
          <w:sz w:val="16"/>
          <w:szCs w:val="16"/>
        </w:rPr>
        <w:footnoteRef/>
      </w:r>
      <w:r w:rsidRPr="00877E87">
        <w:rPr>
          <w:rFonts w:ascii="Arial" w:hAnsi="Arial" w:cs="Arial"/>
          <w:sz w:val="16"/>
          <w:szCs w:val="16"/>
        </w:rPr>
        <w:t xml:space="preserve"> </w:t>
      </w:r>
      <w:r w:rsidR="00B82900" w:rsidRPr="00A27DC3">
        <w:rPr>
          <w:rFonts w:ascii="Times New Roman" w:hAnsi="Times New Roman" w:cs="Times New Roman"/>
          <w:sz w:val="16"/>
          <w:szCs w:val="16"/>
        </w:rPr>
        <w:t>UNESCO Institute for Statistics (UIS)․ UIS Database. http://data.uis.unesco.org/</w:t>
      </w:r>
      <w:r w:rsidRPr="00B82900">
        <w:rPr>
          <w:rFonts w:ascii="Times New Roman" w:hAnsi="Times New Roman" w:cs="Times New Roman"/>
          <w:sz w:val="16"/>
          <w:szCs w:val="16"/>
        </w:rPr>
        <w:t>.</w:t>
      </w:r>
    </w:p>
  </w:footnote>
  <w:footnote w:id="31">
    <w:p w14:paraId="47D93194" w14:textId="77777777" w:rsidR="00C3110D" w:rsidRPr="00B82900" w:rsidRDefault="00C3110D" w:rsidP="00C3110D">
      <w:pPr>
        <w:pStyle w:val="FootnoteText"/>
        <w:rPr>
          <w:rFonts w:ascii="Times New Roman" w:hAnsi="Times New Roman" w:cs="Times New Roman"/>
        </w:rPr>
      </w:pPr>
      <w:r w:rsidRPr="00B82900">
        <w:rPr>
          <w:rStyle w:val="FootnoteReference"/>
          <w:rFonts w:ascii="Times New Roman" w:hAnsi="Times New Roman" w:cs="Times New Roman"/>
          <w:sz w:val="16"/>
          <w:szCs w:val="16"/>
        </w:rPr>
        <w:footnoteRef/>
      </w:r>
      <w:r w:rsidRPr="00B82900">
        <w:rPr>
          <w:rFonts w:ascii="Times New Roman" w:hAnsi="Times New Roman" w:cs="Times New Roman"/>
          <w:sz w:val="16"/>
          <w:szCs w:val="16"/>
        </w:rPr>
        <w:t xml:space="preserve"> Simple average of percentages is used, not weighted by the number of graduates. </w:t>
      </w:r>
    </w:p>
  </w:footnote>
  <w:footnote w:id="32">
    <w:p w14:paraId="423ED6C2" w14:textId="77777777" w:rsidR="0065289B" w:rsidRPr="00780434" w:rsidRDefault="0065289B" w:rsidP="0065289B">
      <w:pPr>
        <w:pStyle w:val="FootnoteText"/>
        <w:rPr>
          <w:rFonts w:ascii="Times New Roman" w:hAnsi="Times New Roman" w:cs="Times New Roman"/>
        </w:rPr>
      </w:pPr>
      <w:r w:rsidRPr="00B82900">
        <w:rPr>
          <w:rStyle w:val="FootnoteReference"/>
          <w:rFonts w:ascii="Times New Roman" w:hAnsi="Times New Roman" w:cs="Times New Roman"/>
          <w:sz w:val="16"/>
          <w:szCs w:val="16"/>
        </w:rPr>
        <w:footnoteRef/>
      </w:r>
      <w:r w:rsidRPr="00B82900">
        <w:rPr>
          <w:rFonts w:ascii="Times New Roman" w:hAnsi="Times New Roman" w:cs="Times New Roman"/>
          <w:sz w:val="16"/>
          <w:szCs w:val="16"/>
        </w:rPr>
        <w:t xml:space="preserve"> Simple average of percentages is used, not weighted by the number of graduates.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379"/>
    <w:multiLevelType w:val="hybridMultilevel"/>
    <w:tmpl w:val="2E0A7C88"/>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908A1"/>
    <w:multiLevelType w:val="hybridMultilevel"/>
    <w:tmpl w:val="65D4DFBA"/>
    <w:lvl w:ilvl="0" w:tplc="8F02BAEC">
      <w:start w:val="1"/>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D25A44"/>
    <w:multiLevelType w:val="multilevel"/>
    <w:tmpl w:val="077EE146"/>
    <w:lvl w:ilvl="0">
      <w:start w:val="1"/>
      <w:numFmt w:val="decimal"/>
      <w:lvlText w:val="%1."/>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14:ligatures w14:val="none"/>
        <w14:numForm w14:val="default"/>
        <w14:numSpacing w14:val="default"/>
        <w14:stylisticSets/>
        <w14:cntxtAlts w14:val="0"/>
      </w:rPr>
    </w:lvl>
    <w:lvl w:ilvl="1">
      <w:start w:val="5"/>
      <w:numFmt w:val="upperLetter"/>
      <w:lvlText w:val="%2."/>
      <w:lvlJc w:val="center"/>
      <w:pPr>
        <w:ind w:left="0" w:firstLine="0"/>
      </w:pPr>
      <w:rPr>
        <w:rFonts w:hint="default"/>
      </w:rPr>
    </w:lvl>
    <w:lvl w:ilvl="2">
      <w:start w:val="1"/>
      <w:numFmt w:val="none"/>
      <w:lvlText w:val=""/>
      <w:lvlJc w:val="right"/>
      <w:pPr>
        <w:ind w:left="0" w:firstLine="0"/>
      </w:pPr>
      <w:rPr>
        <w:rFonts w:hint="default"/>
      </w:rPr>
    </w:lvl>
    <w:lvl w:ilvl="3">
      <w:start w:val="1"/>
      <w:numFmt w:val="decimal"/>
      <w:lvlRestart w:val="0"/>
      <w:lvlText w:val="%1.%4"/>
      <w:lvlJc w:val="left"/>
      <w:pPr>
        <w:ind w:left="6390" w:firstLine="0"/>
      </w:pPr>
      <w:rPr>
        <w:rFonts w:hint="default"/>
        <w:b w:val="0"/>
        <w:i w:val="0"/>
        <w:sz w:val="24"/>
        <w:szCs w:val="24"/>
      </w:rPr>
    </w:lvl>
    <w:lvl w:ilvl="4">
      <w:start w:val="10"/>
      <w:numFmt w:val="decimal"/>
      <w:lvlText w:val="%5."/>
      <w:lvlJc w:val="left"/>
      <w:pPr>
        <w:ind w:left="0" w:firstLine="0"/>
      </w:pPr>
      <w:rPr>
        <w:rFonts w:asciiTheme="minorHAnsi" w:hAnsiTheme="minorHAnsi" w:cstheme="minorHAnsi" w:hint="default"/>
        <w:b w:val="0"/>
        <w:i w:val="0"/>
        <w:sz w:val="22"/>
        <w:szCs w:val="22"/>
      </w:rPr>
    </w:lvl>
    <w:lvl w:ilvl="5">
      <w:start w:val="1"/>
      <w:numFmt w:val="decimal"/>
      <w:lvlText w:val="%6."/>
      <w:lvlJc w:val="lef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1E3930D6"/>
    <w:multiLevelType w:val="hybridMultilevel"/>
    <w:tmpl w:val="020490F8"/>
    <w:lvl w:ilvl="0" w:tplc="8F02BAEC">
      <w:start w:val="1"/>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535A1F"/>
    <w:multiLevelType w:val="multilevel"/>
    <w:tmpl w:val="6374B1AA"/>
    <w:lvl w:ilvl="0">
      <w:start w:val="1"/>
      <w:numFmt w:val="decimal"/>
      <w:lvlText w:val="%1."/>
      <w:lvlJc w:val="left"/>
      <w:pPr>
        <w:ind w:left="360" w:hanging="360"/>
      </w:p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D96F08"/>
    <w:multiLevelType w:val="hybridMultilevel"/>
    <w:tmpl w:val="FCFC0870"/>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74FE6"/>
    <w:multiLevelType w:val="hybridMultilevel"/>
    <w:tmpl w:val="020490F8"/>
    <w:lvl w:ilvl="0" w:tplc="8F02BAEC">
      <w:start w:val="1"/>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823758"/>
    <w:multiLevelType w:val="hybridMultilevel"/>
    <w:tmpl w:val="5EDEEB4C"/>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228A0"/>
    <w:multiLevelType w:val="hybridMultilevel"/>
    <w:tmpl w:val="BBB478B6"/>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B7322"/>
    <w:multiLevelType w:val="hybridMultilevel"/>
    <w:tmpl w:val="C3D6722E"/>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E860EE"/>
    <w:multiLevelType w:val="hybridMultilevel"/>
    <w:tmpl w:val="448C05C6"/>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C331B1"/>
    <w:multiLevelType w:val="multilevel"/>
    <w:tmpl w:val="6374B1AA"/>
    <w:lvl w:ilvl="0">
      <w:start w:val="1"/>
      <w:numFmt w:val="decimal"/>
      <w:lvlText w:val="%1."/>
      <w:lvlJc w:val="left"/>
      <w:pPr>
        <w:ind w:left="360" w:hanging="360"/>
      </w:p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5C257A"/>
    <w:multiLevelType w:val="hybridMultilevel"/>
    <w:tmpl w:val="D92C0E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E0FA5"/>
    <w:multiLevelType w:val="hybridMultilevel"/>
    <w:tmpl w:val="CB8665BC"/>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41B30"/>
    <w:multiLevelType w:val="hybridMultilevel"/>
    <w:tmpl w:val="064A98A4"/>
    <w:lvl w:ilvl="0" w:tplc="8F02BAEC">
      <w:start w:val="1"/>
      <w:numFmt w:val="decimal"/>
      <w:lvlText w:val="%1."/>
      <w:lvlJc w:val="left"/>
      <w:pPr>
        <w:ind w:left="720" w:hanging="360"/>
      </w:pPr>
      <w:rPr>
        <w:rFonts w:hint="default"/>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E47D75"/>
    <w:multiLevelType w:val="hybridMultilevel"/>
    <w:tmpl w:val="7CFC5FA6"/>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28317E"/>
    <w:multiLevelType w:val="hybridMultilevel"/>
    <w:tmpl w:val="5DA861F8"/>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BF1D0A"/>
    <w:multiLevelType w:val="hybridMultilevel"/>
    <w:tmpl w:val="60A059B8"/>
    <w:lvl w:ilvl="0" w:tplc="0E9A9B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C50E7C"/>
    <w:multiLevelType w:val="hybridMultilevel"/>
    <w:tmpl w:val="BEEA8984"/>
    <w:lvl w:ilvl="0" w:tplc="A91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2"/>
  </w:num>
  <w:num w:numId="4">
    <w:abstractNumId w:val="7"/>
  </w:num>
  <w:num w:numId="5">
    <w:abstractNumId w:val="12"/>
  </w:num>
  <w:num w:numId="6">
    <w:abstractNumId w:val="13"/>
  </w:num>
  <w:num w:numId="7">
    <w:abstractNumId w:val="4"/>
  </w:num>
  <w:num w:numId="8">
    <w:abstractNumId w:val="15"/>
  </w:num>
  <w:num w:numId="9">
    <w:abstractNumId w:val="18"/>
  </w:num>
  <w:num w:numId="10">
    <w:abstractNumId w:val="0"/>
  </w:num>
  <w:num w:numId="11">
    <w:abstractNumId w:val="10"/>
  </w:num>
  <w:num w:numId="12">
    <w:abstractNumId w:val="8"/>
  </w:num>
  <w:num w:numId="13">
    <w:abstractNumId w:val="16"/>
  </w:num>
  <w:num w:numId="14">
    <w:abstractNumId w:val="5"/>
  </w:num>
  <w:num w:numId="15">
    <w:abstractNumId w:val="9"/>
  </w:num>
  <w:num w:numId="16">
    <w:abstractNumId w:val="1"/>
  </w:num>
  <w:num w:numId="17">
    <w:abstractNumId w:val="3"/>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trackRevisions/>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ztDQ3MDM3MzazNDVX0lEKTi0uzszPAykwrAUAR0mjjiwAAAA="/>
  </w:docVars>
  <w:rsids>
    <w:rsidRoot w:val="00750310"/>
    <w:rsid w:val="00000397"/>
    <w:rsid w:val="00000551"/>
    <w:rsid w:val="00000A85"/>
    <w:rsid w:val="0000106D"/>
    <w:rsid w:val="000010F8"/>
    <w:rsid w:val="000011F4"/>
    <w:rsid w:val="00001A61"/>
    <w:rsid w:val="000030B1"/>
    <w:rsid w:val="00005E20"/>
    <w:rsid w:val="00006577"/>
    <w:rsid w:val="0000662F"/>
    <w:rsid w:val="00006703"/>
    <w:rsid w:val="00006C88"/>
    <w:rsid w:val="00006F42"/>
    <w:rsid w:val="000072EA"/>
    <w:rsid w:val="00007ADC"/>
    <w:rsid w:val="000111AD"/>
    <w:rsid w:val="00011304"/>
    <w:rsid w:val="000114EE"/>
    <w:rsid w:val="00011CD7"/>
    <w:rsid w:val="00011D2A"/>
    <w:rsid w:val="00012170"/>
    <w:rsid w:val="0001318E"/>
    <w:rsid w:val="0001461B"/>
    <w:rsid w:val="00014D79"/>
    <w:rsid w:val="00015A46"/>
    <w:rsid w:val="0001628B"/>
    <w:rsid w:val="00016F59"/>
    <w:rsid w:val="00020017"/>
    <w:rsid w:val="00022188"/>
    <w:rsid w:val="00022D49"/>
    <w:rsid w:val="00022E14"/>
    <w:rsid w:val="0002303E"/>
    <w:rsid w:val="00023B85"/>
    <w:rsid w:val="00023EB2"/>
    <w:rsid w:val="0002499F"/>
    <w:rsid w:val="00024A67"/>
    <w:rsid w:val="000261DA"/>
    <w:rsid w:val="00026D17"/>
    <w:rsid w:val="00026EC2"/>
    <w:rsid w:val="00027651"/>
    <w:rsid w:val="000278C5"/>
    <w:rsid w:val="00027A9A"/>
    <w:rsid w:val="000301A0"/>
    <w:rsid w:val="00030903"/>
    <w:rsid w:val="00030E05"/>
    <w:rsid w:val="0003183C"/>
    <w:rsid w:val="00032310"/>
    <w:rsid w:val="0003391D"/>
    <w:rsid w:val="00035C19"/>
    <w:rsid w:val="00036328"/>
    <w:rsid w:val="00041099"/>
    <w:rsid w:val="000410E2"/>
    <w:rsid w:val="00041A82"/>
    <w:rsid w:val="00044CF2"/>
    <w:rsid w:val="0004697F"/>
    <w:rsid w:val="000479A3"/>
    <w:rsid w:val="0005051C"/>
    <w:rsid w:val="00050691"/>
    <w:rsid w:val="00050EB6"/>
    <w:rsid w:val="00051376"/>
    <w:rsid w:val="00051401"/>
    <w:rsid w:val="00051FCF"/>
    <w:rsid w:val="00052618"/>
    <w:rsid w:val="00053335"/>
    <w:rsid w:val="00054884"/>
    <w:rsid w:val="00054F04"/>
    <w:rsid w:val="00054F65"/>
    <w:rsid w:val="00056B18"/>
    <w:rsid w:val="00056CFB"/>
    <w:rsid w:val="00057182"/>
    <w:rsid w:val="00057B99"/>
    <w:rsid w:val="00057D57"/>
    <w:rsid w:val="00060CE2"/>
    <w:rsid w:val="0006287F"/>
    <w:rsid w:val="00062A58"/>
    <w:rsid w:val="000631E5"/>
    <w:rsid w:val="00063236"/>
    <w:rsid w:val="0006382D"/>
    <w:rsid w:val="000638E7"/>
    <w:rsid w:val="00063993"/>
    <w:rsid w:val="00063B11"/>
    <w:rsid w:val="0006402D"/>
    <w:rsid w:val="0006419D"/>
    <w:rsid w:val="00065668"/>
    <w:rsid w:val="000659EF"/>
    <w:rsid w:val="00066104"/>
    <w:rsid w:val="00067278"/>
    <w:rsid w:val="0006757C"/>
    <w:rsid w:val="00070244"/>
    <w:rsid w:val="00070FDB"/>
    <w:rsid w:val="0007110B"/>
    <w:rsid w:val="00072211"/>
    <w:rsid w:val="0007394F"/>
    <w:rsid w:val="00074D23"/>
    <w:rsid w:val="00074ECF"/>
    <w:rsid w:val="00075087"/>
    <w:rsid w:val="0007672D"/>
    <w:rsid w:val="00080489"/>
    <w:rsid w:val="00080E7C"/>
    <w:rsid w:val="0008216D"/>
    <w:rsid w:val="00082366"/>
    <w:rsid w:val="0008237F"/>
    <w:rsid w:val="0008331F"/>
    <w:rsid w:val="000846C4"/>
    <w:rsid w:val="0008471D"/>
    <w:rsid w:val="0008510A"/>
    <w:rsid w:val="00085559"/>
    <w:rsid w:val="00085CA7"/>
    <w:rsid w:val="00085F12"/>
    <w:rsid w:val="000901D0"/>
    <w:rsid w:val="00090BE8"/>
    <w:rsid w:val="0009107F"/>
    <w:rsid w:val="00091E67"/>
    <w:rsid w:val="0009236D"/>
    <w:rsid w:val="000939D7"/>
    <w:rsid w:val="00093DF1"/>
    <w:rsid w:val="00094A55"/>
    <w:rsid w:val="0009507A"/>
    <w:rsid w:val="00095640"/>
    <w:rsid w:val="00095CF9"/>
    <w:rsid w:val="0009674F"/>
    <w:rsid w:val="00096F53"/>
    <w:rsid w:val="000A0256"/>
    <w:rsid w:val="000A094F"/>
    <w:rsid w:val="000A1402"/>
    <w:rsid w:val="000A1627"/>
    <w:rsid w:val="000A2805"/>
    <w:rsid w:val="000A3900"/>
    <w:rsid w:val="000A3A38"/>
    <w:rsid w:val="000A3E4A"/>
    <w:rsid w:val="000A4440"/>
    <w:rsid w:val="000A48DA"/>
    <w:rsid w:val="000A5151"/>
    <w:rsid w:val="000A6317"/>
    <w:rsid w:val="000A64EF"/>
    <w:rsid w:val="000A671C"/>
    <w:rsid w:val="000A6E06"/>
    <w:rsid w:val="000A7D75"/>
    <w:rsid w:val="000A7DF9"/>
    <w:rsid w:val="000B0763"/>
    <w:rsid w:val="000B0A05"/>
    <w:rsid w:val="000B0AD8"/>
    <w:rsid w:val="000B0BCB"/>
    <w:rsid w:val="000B0CF1"/>
    <w:rsid w:val="000B12F3"/>
    <w:rsid w:val="000B15B4"/>
    <w:rsid w:val="000B17BD"/>
    <w:rsid w:val="000B2250"/>
    <w:rsid w:val="000B260A"/>
    <w:rsid w:val="000B36B0"/>
    <w:rsid w:val="000B3A36"/>
    <w:rsid w:val="000B4F2C"/>
    <w:rsid w:val="000B54DC"/>
    <w:rsid w:val="000B5F9B"/>
    <w:rsid w:val="000B64D8"/>
    <w:rsid w:val="000B6605"/>
    <w:rsid w:val="000B7AB1"/>
    <w:rsid w:val="000C030C"/>
    <w:rsid w:val="000C0BF0"/>
    <w:rsid w:val="000C1281"/>
    <w:rsid w:val="000C2E29"/>
    <w:rsid w:val="000C3017"/>
    <w:rsid w:val="000C36AC"/>
    <w:rsid w:val="000C3841"/>
    <w:rsid w:val="000C3EAB"/>
    <w:rsid w:val="000C4BF8"/>
    <w:rsid w:val="000C4C35"/>
    <w:rsid w:val="000C510E"/>
    <w:rsid w:val="000C540E"/>
    <w:rsid w:val="000C634C"/>
    <w:rsid w:val="000C688B"/>
    <w:rsid w:val="000C6CBC"/>
    <w:rsid w:val="000C70F6"/>
    <w:rsid w:val="000C755C"/>
    <w:rsid w:val="000C7DC0"/>
    <w:rsid w:val="000D2391"/>
    <w:rsid w:val="000D264A"/>
    <w:rsid w:val="000D2CF9"/>
    <w:rsid w:val="000D3808"/>
    <w:rsid w:val="000D45D1"/>
    <w:rsid w:val="000D4838"/>
    <w:rsid w:val="000D4D21"/>
    <w:rsid w:val="000D5A20"/>
    <w:rsid w:val="000D5D81"/>
    <w:rsid w:val="000D7271"/>
    <w:rsid w:val="000D7427"/>
    <w:rsid w:val="000E0AF5"/>
    <w:rsid w:val="000E14F5"/>
    <w:rsid w:val="000E17DD"/>
    <w:rsid w:val="000E20D9"/>
    <w:rsid w:val="000E22C0"/>
    <w:rsid w:val="000E2671"/>
    <w:rsid w:val="000E3981"/>
    <w:rsid w:val="000E3A64"/>
    <w:rsid w:val="000E3AAE"/>
    <w:rsid w:val="000E3DD5"/>
    <w:rsid w:val="000E45FD"/>
    <w:rsid w:val="000E4A3C"/>
    <w:rsid w:val="000E6885"/>
    <w:rsid w:val="000E6B2D"/>
    <w:rsid w:val="000E7262"/>
    <w:rsid w:val="000E7D85"/>
    <w:rsid w:val="000E7FCE"/>
    <w:rsid w:val="000F06C7"/>
    <w:rsid w:val="000F2271"/>
    <w:rsid w:val="000F2431"/>
    <w:rsid w:val="000F2757"/>
    <w:rsid w:val="000F2EFE"/>
    <w:rsid w:val="000F4139"/>
    <w:rsid w:val="000F4946"/>
    <w:rsid w:val="000F5BDB"/>
    <w:rsid w:val="000F5C94"/>
    <w:rsid w:val="000F667C"/>
    <w:rsid w:val="000F6B9D"/>
    <w:rsid w:val="000F71C2"/>
    <w:rsid w:val="00100D3B"/>
    <w:rsid w:val="0010153C"/>
    <w:rsid w:val="00101B41"/>
    <w:rsid w:val="00102D01"/>
    <w:rsid w:val="00102D8D"/>
    <w:rsid w:val="00103955"/>
    <w:rsid w:val="00103E8F"/>
    <w:rsid w:val="00104405"/>
    <w:rsid w:val="00104D7B"/>
    <w:rsid w:val="001055E2"/>
    <w:rsid w:val="0010582D"/>
    <w:rsid w:val="00105B4C"/>
    <w:rsid w:val="00105D6F"/>
    <w:rsid w:val="00105EAC"/>
    <w:rsid w:val="0010607B"/>
    <w:rsid w:val="00107424"/>
    <w:rsid w:val="00107F8C"/>
    <w:rsid w:val="00110279"/>
    <w:rsid w:val="001106BE"/>
    <w:rsid w:val="00110787"/>
    <w:rsid w:val="001107C7"/>
    <w:rsid w:val="00112305"/>
    <w:rsid w:val="0011285E"/>
    <w:rsid w:val="0011345C"/>
    <w:rsid w:val="00114B19"/>
    <w:rsid w:val="00114DBA"/>
    <w:rsid w:val="00114DFC"/>
    <w:rsid w:val="00115FE6"/>
    <w:rsid w:val="00116098"/>
    <w:rsid w:val="00116CCB"/>
    <w:rsid w:val="0011711E"/>
    <w:rsid w:val="001171F8"/>
    <w:rsid w:val="001174C3"/>
    <w:rsid w:val="00117B6E"/>
    <w:rsid w:val="00117B73"/>
    <w:rsid w:val="0012089E"/>
    <w:rsid w:val="00120E9F"/>
    <w:rsid w:val="001214E7"/>
    <w:rsid w:val="0012232C"/>
    <w:rsid w:val="0012361B"/>
    <w:rsid w:val="00123A4D"/>
    <w:rsid w:val="00125688"/>
    <w:rsid w:val="001265E1"/>
    <w:rsid w:val="00126789"/>
    <w:rsid w:val="00126DBF"/>
    <w:rsid w:val="001274ED"/>
    <w:rsid w:val="001275FF"/>
    <w:rsid w:val="00127D25"/>
    <w:rsid w:val="00130776"/>
    <w:rsid w:val="00130B1E"/>
    <w:rsid w:val="001316E8"/>
    <w:rsid w:val="0013197E"/>
    <w:rsid w:val="001322AF"/>
    <w:rsid w:val="001326F2"/>
    <w:rsid w:val="00132AF8"/>
    <w:rsid w:val="00132CD2"/>
    <w:rsid w:val="0013491F"/>
    <w:rsid w:val="00134A84"/>
    <w:rsid w:val="001352F0"/>
    <w:rsid w:val="00135555"/>
    <w:rsid w:val="00135E8F"/>
    <w:rsid w:val="00136801"/>
    <w:rsid w:val="00137A30"/>
    <w:rsid w:val="0014094E"/>
    <w:rsid w:val="00140BBC"/>
    <w:rsid w:val="00142CF0"/>
    <w:rsid w:val="00143508"/>
    <w:rsid w:val="00143598"/>
    <w:rsid w:val="00144030"/>
    <w:rsid w:val="001452B8"/>
    <w:rsid w:val="00145505"/>
    <w:rsid w:val="001458B7"/>
    <w:rsid w:val="00145BFE"/>
    <w:rsid w:val="00145C16"/>
    <w:rsid w:val="00146794"/>
    <w:rsid w:val="0014766B"/>
    <w:rsid w:val="00147928"/>
    <w:rsid w:val="00147E38"/>
    <w:rsid w:val="00147F30"/>
    <w:rsid w:val="00151207"/>
    <w:rsid w:val="00151BC8"/>
    <w:rsid w:val="00151D0A"/>
    <w:rsid w:val="001546D3"/>
    <w:rsid w:val="001548FA"/>
    <w:rsid w:val="00154B1A"/>
    <w:rsid w:val="00154D34"/>
    <w:rsid w:val="00154FB9"/>
    <w:rsid w:val="0015537F"/>
    <w:rsid w:val="001558EC"/>
    <w:rsid w:val="00155A26"/>
    <w:rsid w:val="00155D89"/>
    <w:rsid w:val="00155FAC"/>
    <w:rsid w:val="001575BD"/>
    <w:rsid w:val="00160BE1"/>
    <w:rsid w:val="0016154D"/>
    <w:rsid w:val="001617EC"/>
    <w:rsid w:val="00161918"/>
    <w:rsid w:val="00162579"/>
    <w:rsid w:val="00164613"/>
    <w:rsid w:val="0016481F"/>
    <w:rsid w:val="00165172"/>
    <w:rsid w:val="00170243"/>
    <w:rsid w:val="001717DD"/>
    <w:rsid w:val="001719B8"/>
    <w:rsid w:val="00171A1A"/>
    <w:rsid w:val="00171E3B"/>
    <w:rsid w:val="0017203E"/>
    <w:rsid w:val="001724B5"/>
    <w:rsid w:val="001726D3"/>
    <w:rsid w:val="0017323A"/>
    <w:rsid w:val="001736BB"/>
    <w:rsid w:val="00173ECC"/>
    <w:rsid w:val="001744D0"/>
    <w:rsid w:val="0017450F"/>
    <w:rsid w:val="001757D9"/>
    <w:rsid w:val="0017596D"/>
    <w:rsid w:val="00175A82"/>
    <w:rsid w:val="00176735"/>
    <w:rsid w:val="0017680B"/>
    <w:rsid w:val="00176960"/>
    <w:rsid w:val="00176B9C"/>
    <w:rsid w:val="00176CB5"/>
    <w:rsid w:val="001819F5"/>
    <w:rsid w:val="00181D79"/>
    <w:rsid w:val="00182AE8"/>
    <w:rsid w:val="00183736"/>
    <w:rsid w:val="00183F53"/>
    <w:rsid w:val="001844E5"/>
    <w:rsid w:val="00184847"/>
    <w:rsid w:val="00184BA9"/>
    <w:rsid w:val="00184C05"/>
    <w:rsid w:val="00186185"/>
    <w:rsid w:val="001865FA"/>
    <w:rsid w:val="00186686"/>
    <w:rsid w:val="00187B3F"/>
    <w:rsid w:val="00191189"/>
    <w:rsid w:val="00192A51"/>
    <w:rsid w:val="00192DCA"/>
    <w:rsid w:val="00193009"/>
    <w:rsid w:val="001937E9"/>
    <w:rsid w:val="00194B18"/>
    <w:rsid w:val="00195A28"/>
    <w:rsid w:val="0019696E"/>
    <w:rsid w:val="00197EF8"/>
    <w:rsid w:val="001A01D3"/>
    <w:rsid w:val="001A03D1"/>
    <w:rsid w:val="001A06C1"/>
    <w:rsid w:val="001A0CE8"/>
    <w:rsid w:val="001A0D1B"/>
    <w:rsid w:val="001A13A1"/>
    <w:rsid w:val="001A2436"/>
    <w:rsid w:val="001A28ED"/>
    <w:rsid w:val="001A2C35"/>
    <w:rsid w:val="001A44F4"/>
    <w:rsid w:val="001A56B5"/>
    <w:rsid w:val="001A5AB4"/>
    <w:rsid w:val="001A5F04"/>
    <w:rsid w:val="001A62D9"/>
    <w:rsid w:val="001A6824"/>
    <w:rsid w:val="001A76D0"/>
    <w:rsid w:val="001A7C73"/>
    <w:rsid w:val="001A7E73"/>
    <w:rsid w:val="001A7F96"/>
    <w:rsid w:val="001B013A"/>
    <w:rsid w:val="001B0F68"/>
    <w:rsid w:val="001B16BF"/>
    <w:rsid w:val="001B170A"/>
    <w:rsid w:val="001B2015"/>
    <w:rsid w:val="001B2B42"/>
    <w:rsid w:val="001B2DB2"/>
    <w:rsid w:val="001B30F7"/>
    <w:rsid w:val="001B3701"/>
    <w:rsid w:val="001B42E0"/>
    <w:rsid w:val="001B4B5C"/>
    <w:rsid w:val="001B7B1A"/>
    <w:rsid w:val="001C00BC"/>
    <w:rsid w:val="001C0223"/>
    <w:rsid w:val="001C0287"/>
    <w:rsid w:val="001C0336"/>
    <w:rsid w:val="001C0D8B"/>
    <w:rsid w:val="001C1802"/>
    <w:rsid w:val="001C2C56"/>
    <w:rsid w:val="001C3576"/>
    <w:rsid w:val="001C40F9"/>
    <w:rsid w:val="001C445C"/>
    <w:rsid w:val="001C46A7"/>
    <w:rsid w:val="001C4D4B"/>
    <w:rsid w:val="001C4E6E"/>
    <w:rsid w:val="001C7750"/>
    <w:rsid w:val="001C7AE9"/>
    <w:rsid w:val="001D03E6"/>
    <w:rsid w:val="001D131B"/>
    <w:rsid w:val="001D144E"/>
    <w:rsid w:val="001D166A"/>
    <w:rsid w:val="001D183E"/>
    <w:rsid w:val="001D1A5F"/>
    <w:rsid w:val="001D288F"/>
    <w:rsid w:val="001D2B42"/>
    <w:rsid w:val="001D57A6"/>
    <w:rsid w:val="001D61C6"/>
    <w:rsid w:val="001D6449"/>
    <w:rsid w:val="001D67D0"/>
    <w:rsid w:val="001D7CB8"/>
    <w:rsid w:val="001E0831"/>
    <w:rsid w:val="001E0935"/>
    <w:rsid w:val="001E1333"/>
    <w:rsid w:val="001E19C3"/>
    <w:rsid w:val="001E1B49"/>
    <w:rsid w:val="001E43DC"/>
    <w:rsid w:val="001E4A20"/>
    <w:rsid w:val="001E4C98"/>
    <w:rsid w:val="001E4EFB"/>
    <w:rsid w:val="001E53B4"/>
    <w:rsid w:val="001F085A"/>
    <w:rsid w:val="001F09B6"/>
    <w:rsid w:val="001F154B"/>
    <w:rsid w:val="001F23E7"/>
    <w:rsid w:val="001F2922"/>
    <w:rsid w:val="001F3C82"/>
    <w:rsid w:val="001F4284"/>
    <w:rsid w:val="001F48BE"/>
    <w:rsid w:val="001F4EAD"/>
    <w:rsid w:val="001F5335"/>
    <w:rsid w:val="001F5603"/>
    <w:rsid w:val="001F586E"/>
    <w:rsid w:val="001F68D4"/>
    <w:rsid w:val="001F6ABD"/>
    <w:rsid w:val="001F6EB0"/>
    <w:rsid w:val="001F7510"/>
    <w:rsid w:val="001F7906"/>
    <w:rsid w:val="001F7D97"/>
    <w:rsid w:val="002002DB"/>
    <w:rsid w:val="002005B0"/>
    <w:rsid w:val="002015DC"/>
    <w:rsid w:val="002020A0"/>
    <w:rsid w:val="00202560"/>
    <w:rsid w:val="00202590"/>
    <w:rsid w:val="00202D4D"/>
    <w:rsid w:val="00203603"/>
    <w:rsid w:val="002037C0"/>
    <w:rsid w:val="00204127"/>
    <w:rsid w:val="00204E81"/>
    <w:rsid w:val="00204FCA"/>
    <w:rsid w:val="0020533A"/>
    <w:rsid w:val="002053D4"/>
    <w:rsid w:val="002054A1"/>
    <w:rsid w:val="00205A68"/>
    <w:rsid w:val="00205F66"/>
    <w:rsid w:val="002068D8"/>
    <w:rsid w:val="00206A59"/>
    <w:rsid w:val="00206AE4"/>
    <w:rsid w:val="0020707A"/>
    <w:rsid w:val="00207375"/>
    <w:rsid w:val="0021054F"/>
    <w:rsid w:val="002123D4"/>
    <w:rsid w:val="00212728"/>
    <w:rsid w:val="00213809"/>
    <w:rsid w:val="00213E71"/>
    <w:rsid w:val="002146C7"/>
    <w:rsid w:val="0021511F"/>
    <w:rsid w:val="00215189"/>
    <w:rsid w:val="00215F94"/>
    <w:rsid w:val="00216306"/>
    <w:rsid w:val="00216ED9"/>
    <w:rsid w:val="00216FB6"/>
    <w:rsid w:val="00217C49"/>
    <w:rsid w:val="00217C9E"/>
    <w:rsid w:val="002210F2"/>
    <w:rsid w:val="00221A36"/>
    <w:rsid w:val="002223E7"/>
    <w:rsid w:val="002231EA"/>
    <w:rsid w:val="00223E37"/>
    <w:rsid w:val="00225945"/>
    <w:rsid w:val="00225A0C"/>
    <w:rsid w:val="002265C2"/>
    <w:rsid w:val="00226B0D"/>
    <w:rsid w:val="0022772F"/>
    <w:rsid w:val="00230394"/>
    <w:rsid w:val="0023057A"/>
    <w:rsid w:val="00230CB8"/>
    <w:rsid w:val="0023307A"/>
    <w:rsid w:val="002339F1"/>
    <w:rsid w:val="00234872"/>
    <w:rsid w:val="0023517C"/>
    <w:rsid w:val="00235979"/>
    <w:rsid w:val="00235D9B"/>
    <w:rsid w:val="00237219"/>
    <w:rsid w:val="00237FC5"/>
    <w:rsid w:val="00240042"/>
    <w:rsid w:val="00242583"/>
    <w:rsid w:val="002428E4"/>
    <w:rsid w:val="00243563"/>
    <w:rsid w:val="00243B91"/>
    <w:rsid w:val="00243D36"/>
    <w:rsid w:val="00245044"/>
    <w:rsid w:val="00245487"/>
    <w:rsid w:val="00246386"/>
    <w:rsid w:val="00246BFE"/>
    <w:rsid w:val="00247579"/>
    <w:rsid w:val="00250B44"/>
    <w:rsid w:val="00250EE6"/>
    <w:rsid w:val="00252A2B"/>
    <w:rsid w:val="002530C5"/>
    <w:rsid w:val="00253892"/>
    <w:rsid w:val="0025440B"/>
    <w:rsid w:val="0025523A"/>
    <w:rsid w:val="002553BF"/>
    <w:rsid w:val="002559D4"/>
    <w:rsid w:val="00255F2D"/>
    <w:rsid w:val="00256D7F"/>
    <w:rsid w:val="002611AE"/>
    <w:rsid w:val="0026124A"/>
    <w:rsid w:val="0026268E"/>
    <w:rsid w:val="002636F3"/>
    <w:rsid w:val="002646FC"/>
    <w:rsid w:val="00264725"/>
    <w:rsid w:val="00264A9B"/>
    <w:rsid w:val="002652BD"/>
    <w:rsid w:val="00265D9C"/>
    <w:rsid w:val="00265E66"/>
    <w:rsid w:val="00265FD7"/>
    <w:rsid w:val="00267473"/>
    <w:rsid w:val="00270263"/>
    <w:rsid w:val="002702B7"/>
    <w:rsid w:val="00270E27"/>
    <w:rsid w:val="00272ACF"/>
    <w:rsid w:val="00272DD7"/>
    <w:rsid w:val="002734CB"/>
    <w:rsid w:val="00273BD9"/>
    <w:rsid w:val="00274B90"/>
    <w:rsid w:val="00274DB2"/>
    <w:rsid w:val="00274FC4"/>
    <w:rsid w:val="00275005"/>
    <w:rsid w:val="00275543"/>
    <w:rsid w:val="00275723"/>
    <w:rsid w:val="0027686A"/>
    <w:rsid w:val="00280405"/>
    <w:rsid w:val="00280D8B"/>
    <w:rsid w:val="00280E9F"/>
    <w:rsid w:val="002815C8"/>
    <w:rsid w:val="002818DA"/>
    <w:rsid w:val="002822A5"/>
    <w:rsid w:val="00283896"/>
    <w:rsid w:val="00283D2B"/>
    <w:rsid w:val="00283D9F"/>
    <w:rsid w:val="00284609"/>
    <w:rsid w:val="002846DD"/>
    <w:rsid w:val="00284997"/>
    <w:rsid w:val="00284CF8"/>
    <w:rsid w:val="00284EA5"/>
    <w:rsid w:val="002862C9"/>
    <w:rsid w:val="00290196"/>
    <w:rsid w:val="00290A45"/>
    <w:rsid w:val="0029138F"/>
    <w:rsid w:val="00291579"/>
    <w:rsid w:val="00291EE5"/>
    <w:rsid w:val="00291F0F"/>
    <w:rsid w:val="00292645"/>
    <w:rsid w:val="00293DE7"/>
    <w:rsid w:val="00293F93"/>
    <w:rsid w:val="00296033"/>
    <w:rsid w:val="002970C6"/>
    <w:rsid w:val="0029773B"/>
    <w:rsid w:val="002A089C"/>
    <w:rsid w:val="002A0ECB"/>
    <w:rsid w:val="002A1EAC"/>
    <w:rsid w:val="002A2D66"/>
    <w:rsid w:val="002A3946"/>
    <w:rsid w:val="002A4043"/>
    <w:rsid w:val="002A4D98"/>
    <w:rsid w:val="002A511E"/>
    <w:rsid w:val="002A535E"/>
    <w:rsid w:val="002A6579"/>
    <w:rsid w:val="002A71A7"/>
    <w:rsid w:val="002A755C"/>
    <w:rsid w:val="002A7DDA"/>
    <w:rsid w:val="002B0DB6"/>
    <w:rsid w:val="002B0E3F"/>
    <w:rsid w:val="002B1E0D"/>
    <w:rsid w:val="002B1EE1"/>
    <w:rsid w:val="002B2151"/>
    <w:rsid w:val="002B290B"/>
    <w:rsid w:val="002B2A86"/>
    <w:rsid w:val="002B3189"/>
    <w:rsid w:val="002B31C0"/>
    <w:rsid w:val="002B4620"/>
    <w:rsid w:val="002B4FCC"/>
    <w:rsid w:val="002B510B"/>
    <w:rsid w:val="002B53D2"/>
    <w:rsid w:val="002B59B4"/>
    <w:rsid w:val="002B5FB8"/>
    <w:rsid w:val="002B60A5"/>
    <w:rsid w:val="002C02CF"/>
    <w:rsid w:val="002C0613"/>
    <w:rsid w:val="002C0C36"/>
    <w:rsid w:val="002C0FD3"/>
    <w:rsid w:val="002C123C"/>
    <w:rsid w:val="002C16D6"/>
    <w:rsid w:val="002C19B2"/>
    <w:rsid w:val="002C1AB8"/>
    <w:rsid w:val="002C20F4"/>
    <w:rsid w:val="002C2A87"/>
    <w:rsid w:val="002C2FF1"/>
    <w:rsid w:val="002C34A3"/>
    <w:rsid w:val="002C418D"/>
    <w:rsid w:val="002C4389"/>
    <w:rsid w:val="002C44CA"/>
    <w:rsid w:val="002C561E"/>
    <w:rsid w:val="002C7DD7"/>
    <w:rsid w:val="002D013E"/>
    <w:rsid w:val="002D1AB9"/>
    <w:rsid w:val="002D210E"/>
    <w:rsid w:val="002D2BB0"/>
    <w:rsid w:val="002D2E03"/>
    <w:rsid w:val="002D3420"/>
    <w:rsid w:val="002D3F46"/>
    <w:rsid w:val="002D416C"/>
    <w:rsid w:val="002D4B8E"/>
    <w:rsid w:val="002D54C4"/>
    <w:rsid w:val="002D67E0"/>
    <w:rsid w:val="002D6973"/>
    <w:rsid w:val="002D6F39"/>
    <w:rsid w:val="002D7BA9"/>
    <w:rsid w:val="002E0437"/>
    <w:rsid w:val="002E1A83"/>
    <w:rsid w:val="002E1F4A"/>
    <w:rsid w:val="002E2296"/>
    <w:rsid w:val="002E2B3E"/>
    <w:rsid w:val="002E4094"/>
    <w:rsid w:val="002E40D2"/>
    <w:rsid w:val="002E5409"/>
    <w:rsid w:val="002E610D"/>
    <w:rsid w:val="002E6765"/>
    <w:rsid w:val="002E75AB"/>
    <w:rsid w:val="002E7EE2"/>
    <w:rsid w:val="002F0BD1"/>
    <w:rsid w:val="002F0D0A"/>
    <w:rsid w:val="002F16FB"/>
    <w:rsid w:val="002F262F"/>
    <w:rsid w:val="002F40DE"/>
    <w:rsid w:val="002F4A65"/>
    <w:rsid w:val="002F6592"/>
    <w:rsid w:val="002F6F89"/>
    <w:rsid w:val="003022B8"/>
    <w:rsid w:val="0030234A"/>
    <w:rsid w:val="00302E41"/>
    <w:rsid w:val="00302FD8"/>
    <w:rsid w:val="0030410B"/>
    <w:rsid w:val="0030462F"/>
    <w:rsid w:val="00304792"/>
    <w:rsid w:val="00304B75"/>
    <w:rsid w:val="0030501E"/>
    <w:rsid w:val="00305A20"/>
    <w:rsid w:val="003064FC"/>
    <w:rsid w:val="00306C33"/>
    <w:rsid w:val="00310D27"/>
    <w:rsid w:val="00311469"/>
    <w:rsid w:val="0031196A"/>
    <w:rsid w:val="00311BE8"/>
    <w:rsid w:val="00312537"/>
    <w:rsid w:val="0031259F"/>
    <w:rsid w:val="003129A4"/>
    <w:rsid w:val="00313103"/>
    <w:rsid w:val="0031340C"/>
    <w:rsid w:val="003141DC"/>
    <w:rsid w:val="003148DA"/>
    <w:rsid w:val="00316676"/>
    <w:rsid w:val="00316BDC"/>
    <w:rsid w:val="00317D21"/>
    <w:rsid w:val="003202AA"/>
    <w:rsid w:val="0032158A"/>
    <w:rsid w:val="00322A7E"/>
    <w:rsid w:val="0032375C"/>
    <w:rsid w:val="00326F67"/>
    <w:rsid w:val="003274B1"/>
    <w:rsid w:val="00327C5E"/>
    <w:rsid w:val="0033011B"/>
    <w:rsid w:val="0033045E"/>
    <w:rsid w:val="00330549"/>
    <w:rsid w:val="00330759"/>
    <w:rsid w:val="00330FC2"/>
    <w:rsid w:val="00331415"/>
    <w:rsid w:val="00331D18"/>
    <w:rsid w:val="003320BB"/>
    <w:rsid w:val="00333879"/>
    <w:rsid w:val="0033418B"/>
    <w:rsid w:val="0033433C"/>
    <w:rsid w:val="003346E3"/>
    <w:rsid w:val="00334B6A"/>
    <w:rsid w:val="00334CF8"/>
    <w:rsid w:val="00334D27"/>
    <w:rsid w:val="00334F8D"/>
    <w:rsid w:val="00335F0F"/>
    <w:rsid w:val="00336AD1"/>
    <w:rsid w:val="00336D93"/>
    <w:rsid w:val="00337504"/>
    <w:rsid w:val="0034005A"/>
    <w:rsid w:val="0034044C"/>
    <w:rsid w:val="00340745"/>
    <w:rsid w:val="00340B3C"/>
    <w:rsid w:val="00340D61"/>
    <w:rsid w:val="00341ACE"/>
    <w:rsid w:val="00341FA7"/>
    <w:rsid w:val="003427B5"/>
    <w:rsid w:val="0034305D"/>
    <w:rsid w:val="003440FC"/>
    <w:rsid w:val="0034505A"/>
    <w:rsid w:val="00345FFD"/>
    <w:rsid w:val="003466FD"/>
    <w:rsid w:val="00346B03"/>
    <w:rsid w:val="003472B4"/>
    <w:rsid w:val="00347862"/>
    <w:rsid w:val="003521A5"/>
    <w:rsid w:val="003522B3"/>
    <w:rsid w:val="00352A1D"/>
    <w:rsid w:val="00352B90"/>
    <w:rsid w:val="003535F6"/>
    <w:rsid w:val="003539F4"/>
    <w:rsid w:val="00354CB8"/>
    <w:rsid w:val="00357CCF"/>
    <w:rsid w:val="00360D07"/>
    <w:rsid w:val="00360DDA"/>
    <w:rsid w:val="00361531"/>
    <w:rsid w:val="00361DE9"/>
    <w:rsid w:val="003628BA"/>
    <w:rsid w:val="00362902"/>
    <w:rsid w:val="003629C3"/>
    <w:rsid w:val="00362E02"/>
    <w:rsid w:val="003632A2"/>
    <w:rsid w:val="00364FCD"/>
    <w:rsid w:val="003653A4"/>
    <w:rsid w:val="00365852"/>
    <w:rsid w:val="003659AD"/>
    <w:rsid w:val="00365A9A"/>
    <w:rsid w:val="003662D5"/>
    <w:rsid w:val="00370386"/>
    <w:rsid w:val="0037174A"/>
    <w:rsid w:val="003720DC"/>
    <w:rsid w:val="00372338"/>
    <w:rsid w:val="003728B1"/>
    <w:rsid w:val="003735D9"/>
    <w:rsid w:val="00373CD1"/>
    <w:rsid w:val="00374719"/>
    <w:rsid w:val="0037497C"/>
    <w:rsid w:val="0037552F"/>
    <w:rsid w:val="003756FC"/>
    <w:rsid w:val="0037589C"/>
    <w:rsid w:val="00376A78"/>
    <w:rsid w:val="0037728E"/>
    <w:rsid w:val="00377A36"/>
    <w:rsid w:val="00377A68"/>
    <w:rsid w:val="00380866"/>
    <w:rsid w:val="0038141D"/>
    <w:rsid w:val="00381AEA"/>
    <w:rsid w:val="00382192"/>
    <w:rsid w:val="0038226F"/>
    <w:rsid w:val="00382647"/>
    <w:rsid w:val="0038275B"/>
    <w:rsid w:val="00382A25"/>
    <w:rsid w:val="00383057"/>
    <w:rsid w:val="003836D4"/>
    <w:rsid w:val="00383DE3"/>
    <w:rsid w:val="00383E01"/>
    <w:rsid w:val="003847DD"/>
    <w:rsid w:val="00384A5F"/>
    <w:rsid w:val="00385346"/>
    <w:rsid w:val="00385462"/>
    <w:rsid w:val="003854A9"/>
    <w:rsid w:val="00385597"/>
    <w:rsid w:val="00385A1F"/>
    <w:rsid w:val="00385F80"/>
    <w:rsid w:val="00386CB1"/>
    <w:rsid w:val="00387167"/>
    <w:rsid w:val="003872F9"/>
    <w:rsid w:val="00387565"/>
    <w:rsid w:val="00387730"/>
    <w:rsid w:val="00391BB3"/>
    <w:rsid w:val="00391DC2"/>
    <w:rsid w:val="00392422"/>
    <w:rsid w:val="0039350A"/>
    <w:rsid w:val="003935A9"/>
    <w:rsid w:val="003936E9"/>
    <w:rsid w:val="00393BE4"/>
    <w:rsid w:val="00393C10"/>
    <w:rsid w:val="0039404B"/>
    <w:rsid w:val="0039462F"/>
    <w:rsid w:val="0039470A"/>
    <w:rsid w:val="00394F30"/>
    <w:rsid w:val="003953E6"/>
    <w:rsid w:val="003958DD"/>
    <w:rsid w:val="003962D7"/>
    <w:rsid w:val="0039672F"/>
    <w:rsid w:val="00396BD3"/>
    <w:rsid w:val="00396DCC"/>
    <w:rsid w:val="00396F65"/>
    <w:rsid w:val="00397B46"/>
    <w:rsid w:val="00397D4B"/>
    <w:rsid w:val="003A0D58"/>
    <w:rsid w:val="003A160F"/>
    <w:rsid w:val="003A1BD3"/>
    <w:rsid w:val="003A22E7"/>
    <w:rsid w:val="003A290A"/>
    <w:rsid w:val="003A2A07"/>
    <w:rsid w:val="003A3CED"/>
    <w:rsid w:val="003A57AF"/>
    <w:rsid w:val="003A5D2F"/>
    <w:rsid w:val="003A64CD"/>
    <w:rsid w:val="003A68A1"/>
    <w:rsid w:val="003A7886"/>
    <w:rsid w:val="003A7C0D"/>
    <w:rsid w:val="003B0453"/>
    <w:rsid w:val="003B10F3"/>
    <w:rsid w:val="003B13CB"/>
    <w:rsid w:val="003B17C2"/>
    <w:rsid w:val="003B1C69"/>
    <w:rsid w:val="003B2123"/>
    <w:rsid w:val="003B21F7"/>
    <w:rsid w:val="003B2216"/>
    <w:rsid w:val="003B442E"/>
    <w:rsid w:val="003B4499"/>
    <w:rsid w:val="003B4517"/>
    <w:rsid w:val="003B58EE"/>
    <w:rsid w:val="003B5B5C"/>
    <w:rsid w:val="003B5CD8"/>
    <w:rsid w:val="003B6878"/>
    <w:rsid w:val="003B6969"/>
    <w:rsid w:val="003B6E55"/>
    <w:rsid w:val="003B6F02"/>
    <w:rsid w:val="003B71FD"/>
    <w:rsid w:val="003B7234"/>
    <w:rsid w:val="003B766A"/>
    <w:rsid w:val="003B7FED"/>
    <w:rsid w:val="003B7FF2"/>
    <w:rsid w:val="003C091E"/>
    <w:rsid w:val="003C10D4"/>
    <w:rsid w:val="003C14AA"/>
    <w:rsid w:val="003C1BF7"/>
    <w:rsid w:val="003C2383"/>
    <w:rsid w:val="003C2A47"/>
    <w:rsid w:val="003C352D"/>
    <w:rsid w:val="003C365D"/>
    <w:rsid w:val="003C4569"/>
    <w:rsid w:val="003C5174"/>
    <w:rsid w:val="003C591A"/>
    <w:rsid w:val="003C6646"/>
    <w:rsid w:val="003C7ACE"/>
    <w:rsid w:val="003D1220"/>
    <w:rsid w:val="003D1A80"/>
    <w:rsid w:val="003D25F2"/>
    <w:rsid w:val="003D31E6"/>
    <w:rsid w:val="003D448E"/>
    <w:rsid w:val="003D5961"/>
    <w:rsid w:val="003D63A8"/>
    <w:rsid w:val="003D690F"/>
    <w:rsid w:val="003D6950"/>
    <w:rsid w:val="003D6E9E"/>
    <w:rsid w:val="003D6F10"/>
    <w:rsid w:val="003E0A64"/>
    <w:rsid w:val="003E14CB"/>
    <w:rsid w:val="003E2902"/>
    <w:rsid w:val="003E2A3E"/>
    <w:rsid w:val="003E2D88"/>
    <w:rsid w:val="003E2E47"/>
    <w:rsid w:val="003E3A3B"/>
    <w:rsid w:val="003E5C1C"/>
    <w:rsid w:val="003E66F0"/>
    <w:rsid w:val="003E6F1B"/>
    <w:rsid w:val="003E7B1C"/>
    <w:rsid w:val="003F0105"/>
    <w:rsid w:val="003F132F"/>
    <w:rsid w:val="003F13DA"/>
    <w:rsid w:val="003F193C"/>
    <w:rsid w:val="003F2765"/>
    <w:rsid w:val="003F2B39"/>
    <w:rsid w:val="003F2CDB"/>
    <w:rsid w:val="003F2E29"/>
    <w:rsid w:val="003F386B"/>
    <w:rsid w:val="003F44CB"/>
    <w:rsid w:val="003F4CBA"/>
    <w:rsid w:val="003F621F"/>
    <w:rsid w:val="003F6373"/>
    <w:rsid w:val="003F64AF"/>
    <w:rsid w:val="003F66AE"/>
    <w:rsid w:val="0040024C"/>
    <w:rsid w:val="00400663"/>
    <w:rsid w:val="004009FB"/>
    <w:rsid w:val="004012D6"/>
    <w:rsid w:val="0040288D"/>
    <w:rsid w:val="004049BF"/>
    <w:rsid w:val="00405586"/>
    <w:rsid w:val="004064EB"/>
    <w:rsid w:val="0040662F"/>
    <w:rsid w:val="004067AF"/>
    <w:rsid w:val="00406D45"/>
    <w:rsid w:val="00407770"/>
    <w:rsid w:val="00407B3A"/>
    <w:rsid w:val="0041038A"/>
    <w:rsid w:val="0041152F"/>
    <w:rsid w:val="0041219D"/>
    <w:rsid w:val="00412A51"/>
    <w:rsid w:val="00412F6C"/>
    <w:rsid w:val="004130BB"/>
    <w:rsid w:val="00413524"/>
    <w:rsid w:val="00413867"/>
    <w:rsid w:val="00413E14"/>
    <w:rsid w:val="00413F6D"/>
    <w:rsid w:val="00414AB0"/>
    <w:rsid w:val="00414D09"/>
    <w:rsid w:val="00415BE1"/>
    <w:rsid w:val="0041631C"/>
    <w:rsid w:val="0041646A"/>
    <w:rsid w:val="00417333"/>
    <w:rsid w:val="004212CC"/>
    <w:rsid w:val="0042142C"/>
    <w:rsid w:val="00421529"/>
    <w:rsid w:val="004219A4"/>
    <w:rsid w:val="00421E04"/>
    <w:rsid w:val="004246F4"/>
    <w:rsid w:val="00424905"/>
    <w:rsid w:val="00425420"/>
    <w:rsid w:val="00425C31"/>
    <w:rsid w:val="0042642A"/>
    <w:rsid w:val="00426D58"/>
    <w:rsid w:val="0042709C"/>
    <w:rsid w:val="00430A64"/>
    <w:rsid w:val="004319E8"/>
    <w:rsid w:val="0043215D"/>
    <w:rsid w:val="0043217A"/>
    <w:rsid w:val="0043223F"/>
    <w:rsid w:val="00432730"/>
    <w:rsid w:val="004327C4"/>
    <w:rsid w:val="00432B8E"/>
    <w:rsid w:val="00434C23"/>
    <w:rsid w:val="00434DFA"/>
    <w:rsid w:val="00435A94"/>
    <w:rsid w:val="00435DEE"/>
    <w:rsid w:val="00436D99"/>
    <w:rsid w:val="00440169"/>
    <w:rsid w:val="00440C90"/>
    <w:rsid w:val="00441BCF"/>
    <w:rsid w:val="004435A3"/>
    <w:rsid w:val="004459A1"/>
    <w:rsid w:val="00446202"/>
    <w:rsid w:val="00446E49"/>
    <w:rsid w:val="004471DF"/>
    <w:rsid w:val="004475EC"/>
    <w:rsid w:val="00450105"/>
    <w:rsid w:val="004501A4"/>
    <w:rsid w:val="00450717"/>
    <w:rsid w:val="0045155D"/>
    <w:rsid w:val="004516AA"/>
    <w:rsid w:val="00451AAE"/>
    <w:rsid w:val="00452F64"/>
    <w:rsid w:val="00454809"/>
    <w:rsid w:val="00454DB1"/>
    <w:rsid w:val="00454E78"/>
    <w:rsid w:val="00455233"/>
    <w:rsid w:val="00456157"/>
    <w:rsid w:val="00456D0E"/>
    <w:rsid w:val="00456E48"/>
    <w:rsid w:val="00456E4E"/>
    <w:rsid w:val="00457099"/>
    <w:rsid w:val="004572EB"/>
    <w:rsid w:val="00460720"/>
    <w:rsid w:val="00461D0B"/>
    <w:rsid w:val="00461F56"/>
    <w:rsid w:val="004620D3"/>
    <w:rsid w:val="004624A8"/>
    <w:rsid w:val="00462E67"/>
    <w:rsid w:val="004638CF"/>
    <w:rsid w:val="0046595F"/>
    <w:rsid w:val="00465B6F"/>
    <w:rsid w:val="00466263"/>
    <w:rsid w:val="004671A7"/>
    <w:rsid w:val="00467B68"/>
    <w:rsid w:val="00467BED"/>
    <w:rsid w:val="004704CA"/>
    <w:rsid w:val="0047141D"/>
    <w:rsid w:val="00472B36"/>
    <w:rsid w:val="0047305D"/>
    <w:rsid w:val="0047315B"/>
    <w:rsid w:val="00473463"/>
    <w:rsid w:val="00473AB1"/>
    <w:rsid w:val="0047423B"/>
    <w:rsid w:val="00474B1E"/>
    <w:rsid w:val="00476858"/>
    <w:rsid w:val="00476E8E"/>
    <w:rsid w:val="00476FF1"/>
    <w:rsid w:val="00477917"/>
    <w:rsid w:val="004803C0"/>
    <w:rsid w:val="00482749"/>
    <w:rsid w:val="00482C2C"/>
    <w:rsid w:val="00483580"/>
    <w:rsid w:val="004839AC"/>
    <w:rsid w:val="0048412E"/>
    <w:rsid w:val="00484391"/>
    <w:rsid w:val="004848AB"/>
    <w:rsid w:val="004857D9"/>
    <w:rsid w:val="004859B2"/>
    <w:rsid w:val="00485E88"/>
    <w:rsid w:val="00485E9B"/>
    <w:rsid w:val="004861A6"/>
    <w:rsid w:val="004878DD"/>
    <w:rsid w:val="00487A96"/>
    <w:rsid w:val="00487FE9"/>
    <w:rsid w:val="004904E3"/>
    <w:rsid w:val="00490965"/>
    <w:rsid w:val="004909F9"/>
    <w:rsid w:val="00490D2C"/>
    <w:rsid w:val="00490F47"/>
    <w:rsid w:val="00491324"/>
    <w:rsid w:val="004923D5"/>
    <w:rsid w:val="004925EC"/>
    <w:rsid w:val="00492C5D"/>
    <w:rsid w:val="00493A5C"/>
    <w:rsid w:val="0049453E"/>
    <w:rsid w:val="00494EDA"/>
    <w:rsid w:val="00494F1E"/>
    <w:rsid w:val="004950E5"/>
    <w:rsid w:val="00496D10"/>
    <w:rsid w:val="0049740D"/>
    <w:rsid w:val="00497F65"/>
    <w:rsid w:val="004A0F42"/>
    <w:rsid w:val="004A173E"/>
    <w:rsid w:val="004A2066"/>
    <w:rsid w:val="004A22BA"/>
    <w:rsid w:val="004A2D62"/>
    <w:rsid w:val="004A3505"/>
    <w:rsid w:val="004A41F2"/>
    <w:rsid w:val="004A44B5"/>
    <w:rsid w:val="004A45AF"/>
    <w:rsid w:val="004A55DE"/>
    <w:rsid w:val="004A60DD"/>
    <w:rsid w:val="004A6749"/>
    <w:rsid w:val="004A6FB0"/>
    <w:rsid w:val="004B1FD5"/>
    <w:rsid w:val="004B2005"/>
    <w:rsid w:val="004B444D"/>
    <w:rsid w:val="004B45AF"/>
    <w:rsid w:val="004B5CAD"/>
    <w:rsid w:val="004B7419"/>
    <w:rsid w:val="004C0E68"/>
    <w:rsid w:val="004C0F91"/>
    <w:rsid w:val="004C0FFD"/>
    <w:rsid w:val="004C26E5"/>
    <w:rsid w:val="004C3798"/>
    <w:rsid w:val="004C4CA0"/>
    <w:rsid w:val="004C5135"/>
    <w:rsid w:val="004C54E3"/>
    <w:rsid w:val="004C659C"/>
    <w:rsid w:val="004C68A5"/>
    <w:rsid w:val="004C72A3"/>
    <w:rsid w:val="004C769D"/>
    <w:rsid w:val="004C7DFE"/>
    <w:rsid w:val="004D0212"/>
    <w:rsid w:val="004D0A00"/>
    <w:rsid w:val="004D157E"/>
    <w:rsid w:val="004D1E16"/>
    <w:rsid w:val="004D2692"/>
    <w:rsid w:val="004D2EBF"/>
    <w:rsid w:val="004D34DB"/>
    <w:rsid w:val="004D37F3"/>
    <w:rsid w:val="004D4031"/>
    <w:rsid w:val="004D556D"/>
    <w:rsid w:val="004D5AE2"/>
    <w:rsid w:val="004D5FA5"/>
    <w:rsid w:val="004D6585"/>
    <w:rsid w:val="004D6B26"/>
    <w:rsid w:val="004D6EAD"/>
    <w:rsid w:val="004D6F8F"/>
    <w:rsid w:val="004D6FB4"/>
    <w:rsid w:val="004D79FA"/>
    <w:rsid w:val="004D7F14"/>
    <w:rsid w:val="004E0FB0"/>
    <w:rsid w:val="004E195A"/>
    <w:rsid w:val="004E1BCB"/>
    <w:rsid w:val="004E25E0"/>
    <w:rsid w:val="004E2E38"/>
    <w:rsid w:val="004E3C5F"/>
    <w:rsid w:val="004E4433"/>
    <w:rsid w:val="004E4574"/>
    <w:rsid w:val="004E4AEA"/>
    <w:rsid w:val="004E5DB6"/>
    <w:rsid w:val="004E717C"/>
    <w:rsid w:val="004E73E6"/>
    <w:rsid w:val="004E7DE6"/>
    <w:rsid w:val="004F0F23"/>
    <w:rsid w:val="004F2078"/>
    <w:rsid w:val="004F2FA2"/>
    <w:rsid w:val="004F341B"/>
    <w:rsid w:val="004F4817"/>
    <w:rsid w:val="004F642F"/>
    <w:rsid w:val="004F68B2"/>
    <w:rsid w:val="004F6DF6"/>
    <w:rsid w:val="004F710F"/>
    <w:rsid w:val="004F755C"/>
    <w:rsid w:val="004F7914"/>
    <w:rsid w:val="005010DB"/>
    <w:rsid w:val="00502614"/>
    <w:rsid w:val="00502793"/>
    <w:rsid w:val="0050326A"/>
    <w:rsid w:val="005032ED"/>
    <w:rsid w:val="00503BF9"/>
    <w:rsid w:val="00503FB2"/>
    <w:rsid w:val="00504422"/>
    <w:rsid w:val="00504776"/>
    <w:rsid w:val="0050574D"/>
    <w:rsid w:val="00506390"/>
    <w:rsid w:val="005070FC"/>
    <w:rsid w:val="00507A27"/>
    <w:rsid w:val="005112F8"/>
    <w:rsid w:val="005118B2"/>
    <w:rsid w:val="005125DD"/>
    <w:rsid w:val="00513777"/>
    <w:rsid w:val="00514105"/>
    <w:rsid w:val="005142D5"/>
    <w:rsid w:val="00514CFB"/>
    <w:rsid w:val="005150D9"/>
    <w:rsid w:val="00515B35"/>
    <w:rsid w:val="00515F75"/>
    <w:rsid w:val="00516253"/>
    <w:rsid w:val="00516779"/>
    <w:rsid w:val="00516845"/>
    <w:rsid w:val="00516B9F"/>
    <w:rsid w:val="00516E33"/>
    <w:rsid w:val="00517398"/>
    <w:rsid w:val="00520557"/>
    <w:rsid w:val="0052123E"/>
    <w:rsid w:val="00521453"/>
    <w:rsid w:val="005214D5"/>
    <w:rsid w:val="005219F4"/>
    <w:rsid w:val="00521BD7"/>
    <w:rsid w:val="00521C8A"/>
    <w:rsid w:val="00522097"/>
    <w:rsid w:val="00524285"/>
    <w:rsid w:val="005245A7"/>
    <w:rsid w:val="005252FF"/>
    <w:rsid w:val="00526516"/>
    <w:rsid w:val="00526C56"/>
    <w:rsid w:val="00526CBB"/>
    <w:rsid w:val="00526EAD"/>
    <w:rsid w:val="005275F3"/>
    <w:rsid w:val="005278D7"/>
    <w:rsid w:val="005314C0"/>
    <w:rsid w:val="0053260D"/>
    <w:rsid w:val="00532DA1"/>
    <w:rsid w:val="005341BE"/>
    <w:rsid w:val="005360CC"/>
    <w:rsid w:val="00536299"/>
    <w:rsid w:val="0053749E"/>
    <w:rsid w:val="00540C20"/>
    <w:rsid w:val="00540CD9"/>
    <w:rsid w:val="005412E6"/>
    <w:rsid w:val="0054177B"/>
    <w:rsid w:val="005419D2"/>
    <w:rsid w:val="00541C0F"/>
    <w:rsid w:val="00541D2E"/>
    <w:rsid w:val="0054251B"/>
    <w:rsid w:val="0054290F"/>
    <w:rsid w:val="00542A1C"/>
    <w:rsid w:val="0054364E"/>
    <w:rsid w:val="00543834"/>
    <w:rsid w:val="00543F30"/>
    <w:rsid w:val="0054445E"/>
    <w:rsid w:val="00545A71"/>
    <w:rsid w:val="00545C20"/>
    <w:rsid w:val="005464C1"/>
    <w:rsid w:val="00546AEF"/>
    <w:rsid w:val="00546FCF"/>
    <w:rsid w:val="00547874"/>
    <w:rsid w:val="00550D4C"/>
    <w:rsid w:val="005515A5"/>
    <w:rsid w:val="00551DE2"/>
    <w:rsid w:val="005520DF"/>
    <w:rsid w:val="00552176"/>
    <w:rsid w:val="005529C8"/>
    <w:rsid w:val="005529E4"/>
    <w:rsid w:val="005530D2"/>
    <w:rsid w:val="00554146"/>
    <w:rsid w:val="005545AD"/>
    <w:rsid w:val="0055469D"/>
    <w:rsid w:val="00555B15"/>
    <w:rsid w:val="00556A7A"/>
    <w:rsid w:val="0055754A"/>
    <w:rsid w:val="00557ED6"/>
    <w:rsid w:val="005614F1"/>
    <w:rsid w:val="00562977"/>
    <w:rsid w:val="00562F7E"/>
    <w:rsid w:val="00564851"/>
    <w:rsid w:val="00564A5E"/>
    <w:rsid w:val="00564C2B"/>
    <w:rsid w:val="00564FA8"/>
    <w:rsid w:val="0056529D"/>
    <w:rsid w:val="005659BA"/>
    <w:rsid w:val="00565DF5"/>
    <w:rsid w:val="0056613E"/>
    <w:rsid w:val="00567B11"/>
    <w:rsid w:val="00570EBB"/>
    <w:rsid w:val="0057137A"/>
    <w:rsid w:val="0057207F"/>
    <w:rsid w:val="0057336B"/>
    <w:rsid w:val="005734DC"/>
    <w:rsid w:val="00574138"/>
    <w:rsid w:val="0057413C"/>
    <w:rsid w:val="00574703"/>
    <w:rsid w:val="00574C0F"/>
    <w:rsid w:val="00575480"/>
    <w:rsid w:val="00576010"/>
    <w:rsid w:val="00576A4E"/>
    <w:rsid w:val="00581133"/>
    <w:rsid w:val="00581879"/>
    <w:rsid w:val="005819E3"/>
    <w:rsid w:val="00581E7C"/>
    <w:rsid w:val="00581ECF"/>
    <w:rsid w:val="00581F75"/>
    <w:rsid w:val="005839AB"/>
    <w:rsid w:val="00583EFE"/>
    <w:rsid w:val="0058402C"/>
    <w:rsid w:val="00584768"/>
    <w:rsid w:val="00584A62"/>
    <w:rsid w:val="00584F93"/>
    <w:rsid w:val="00586103"/>
    <w:rsid w:val="0058635A"/>
    <w:rsid w:val="00586A7F"/>
    <w:rsid w:val="005870E2"/>
    <w:rsid w:val="005875B2"/>
    <w:rsid w:val="00587DE1"/>
    <w:rsid w:val="00591150"/>
    <w:rsid w:val="00591CD1"/>
    <w:rsid w:val="0059367D"/>
    <w:rsid w:val="00593C09"/>
    <w:rsid w:val="00594312"/>
    <w:rsid w:val="005944EB"/>
    <w:rsid w:val="0059561A"/>
    <w:rsid w:val="00596D05"/>
    <w:rsid w:val="0059725E"/>
    <w:rsid w:val="00597818"/>
    <w:rsid w:val="00597BC0"/>
    <w:rsid w:val="00597D3D"/>
    <w:rsid w:val="005A04C5"/>
    <w:rsid w:val="005A0778"/>
    <w:rsid w:val="005A0EFD"/>
    <w:rsid w:val="005A102C"/>
    <w:rsid w:val="005A1732"/>
    <w:rsid w:val="005A3C8E"/>
    <w:rsid w:val="005A3CF8"/>
    <w:rsid w:val="005A458A"/>
    <w:rsid w:val="005A4CE4"/>
    <w:rsid w:val="005A57A0"/>
    <w:rsid w:val="005A6BFC"/>
    <w:rsid w:val="005A7E2D"/>
    <w:rsid w:val="005B0606"/>
    <w:rsid w:val="005B0E6E"/>
    <w:rsid w:val="005B32D3"/>
    <w:rsid w:val="005B3620"/>
    <w:rsid w:val="005B3BE1"/>
    <w:rsid w:val="005B3E37"/>
    <w:rsid w:val="005B4039"/>
    <w:rsid w:val="005B4282"/>
    <w:rsid w:val="005B4690"/>
    <w:rsid w:val="005B47D1"/>
    <w:rsid w:val="005B4ACB"/>
    <w:rsid w:val="005B512D"/>
    <w:rsid w:val="005B5696"/>
    <w:rsid w:val="005B5B28"/>
    <w:rsid w:val="005B75B3"/>
    <w:rsid w:val="005B789A"/>
    <w:rsid w:val="005B7FD2"/>
    <w:rsid w:val="005C06C1"/>
    <w:rsid w:val="005C1783"/>
    <w:rsid w:val="005C3468"/>
    <w:rsid w:val="005C392A"/>
    <w:rsid w:val="005C484B"/>
    <w:rsid w:val="005C5BF1"/>
    <w:rsid w:val="005C6031"/>
    <w:rsid w:val="005C615A"/>
    <w:rsid w:val="005C6A64"/>
    <w:rsid w:val="005C72CA"/>
    <w:rsid w:val="005D00A3"/>
    <w:rsid w:val="005D070C"/>
    <w:rsid w:val="005D195C"/>
    <w:rsid w:val="005D281B"/>
    <w:rsid w:val="005D3033"/>
    <w:rsid w:val="005D3D0B"/>
    <w:rsid w:val="005D4422"/>
    <w:rsid w:val="005D453E"/>
    <w:rsid w:val="005D46E2"/>
    <w:rsid w:val="005D529B"/>
    <w:rsid w:val="005D7664"/>
    <w:rsid w:val="005E0B04"/>
    <w:rsid w:val="005E191E"/>
    <w:rsid w:val="005E1E76"/>
    <w:rsid w:val="005E2864"/>
    <w:rsid w:val="005E2EBD"/>
    <w:rsid w:val="005E3229"/>
    <w:rsid w:val="005E389F"/>
    <w:rsid w:val="005E3F35"/>
    <w:rsid w:val="005E49DB"/>
    <w:rsid w:val="005E51AE"/>
    <w:rsid w:val="005E566F"/>
    <w:rsid w:val="005E6D70"/>
    <w:rsid w:val="005E7D05"/>
    <w:rsid w:val="005F0392"/>
    <w:rsid w:val="005F0E90"/>
    <w:rsid w:val="005F153F"/>
    <w:rsid w:val="005F170A"/>
    <w:rsid w:val="005F22DE"/>
    <w:rsid w:val="005F2514"/>
    <w:rsid w:val="005F25FB"/>
    <w:rsid w:val="005F2F55"/>
    <w:rsid w:val="005F4683"/>
    <w:rsid w:val="005F545A"/>
    <w:rsid w:val="005F5606"/>
    <w:rsid w:val="005F568D"/>
    <w:rsid w:val="0060152E"/>
    <w:rsid w:val="006019FC"/>
    <w:rsid w:val="00601D47"/>
    <w:rsid w:val="00601EE7"/>
    <w:rsid w:val="00601F74"/>
    <w:rsid w:val="0060210C"/>
    <w:rsid w:val="00603360"/>
    <w:rsid w:val="00603886"/>
    <w:rsid w:val="00604CE5"/>
    <w:rsid w:val="00605B60"/>
    <w:rsid w:val="00606BA3"/>
    <w:rsid w:val="00607231"/>
    <w:rsid w:val="00610829"/>
    <w:rsid w:val="0061165A"/>
    <w:rsid w:val="0061256B"/>
    <w:rsid w:val="00612E25"/>
    <w:rsid w:val="00613862"/>
    <w:rsid w:val="00613B03"/>
    <w:rsid w:val="00613C72"/>
    <w:rsid w:val="006143A0"/>
    <w:rsid w:val="00617D7D"/>
    <w:rsid w:val="006211BA"/>
    <w:rsid w:val="00621740"/>
    <w:rsid w:val="00623486"/>
    <w:rsid w:val="00624DBD"/>
    <w:rsid w:val="006254C4"/>
    <w:rsid w:val="00625760"/>
    <w:rsid w:val="006257C8"/>
    <w:rsid w:val="006262F8"/>
    <w:rsid w:val="00626502"/>
    <w:rsid w:val="0062665D"/>
    <w:rsid w:val="00627217"/>
    <w:rsid w:val="00627D42"/>
    <w:rsid w:val="00630044"/>
    <w:rsid w:val="00630504"/>
    <w:rsid w:val="00630D75"/>
    <w:rsid w:val="00630F15"/>
    <w:rsid w:val="0063418E"/>
    <w:rsid w:val="00635009"/>
    <w:rsid w:val="006357B9"/>
    <w:rsid w:val="00635975"/>
    <w:rsid w:val="0063658D"/>
    <w:rsid w:val="00636BF4"/>
    <w:rsid w:val="00636CF9"/>
    <w:rsid w:val="00636D1F"/>
    <w:rsid w:val="00637163"/>
    <w:rsid w:val="00637B96"/>
    <w:rsid w:val="0064069B"/>
    <w:rsid w:val="00640EA0"/>
    <w:rsid w:val="006411BE"/>
    <w:rsid w:val="00641331"/>
    <w:rsid w:val="00641D4C"/>
    <w:rsid w:val="00642A9E"/>
    <w:rsid w:val="00642B7A"/>
    <w:rsid w:val="00643C4F"/>
    <w:rsid w:val="00644E77"/>
    <w:rsid w:val="00645476"/>
    <w:rsid w:val="006459F8"/>
    <w:rsid w:val="00645C60"/>
    <w:rsid w:val="00647001"/>
    <w:rsid w:val="00647D6B"/>
    <w:rsid w:val="00647D6F"/>
    <w:rsid w:val="00650054"/>
    <w:rsid w:val="00650182"/>
    <w:rsid w:val="006503DE"/>
    <w:rsid w:val="00650B9F"/>
    <w:rsid w:val="00650F1E"/>
    <w:rsid w:val="006513F2"/>
    <w:rsid w:val="0065289B"/>
    <w:rsid w:val="00652E3B"/>
    <w:rsid w:val="00653267"/>
    <w:rsid w:val="006533AD"/>
    <w:rsid w:val="0065367E"/>
    <w:rsid w:val="006536C9"/>
    <w:rsid w:val="0065563D"/>
    <w:rsid w:val="00656451"/>
    <w:rsid w:val="00656F40"/>
    <w:rsid w:val="006572F4"/>
    <w:rsid w:val="00657A70"/>
    <w:rsid w:val="00657F96"/>
    <w:rsid w:val="0066177C"/>
    <w:rsid w:val="00661A90"/>
    <w:rsid w:val="00661EC8"/>
    <w:rsid w:val="006621EB"/>
    <w:rsid w:val="00662836"/>
    <w:rsid w:val="0066347A"/>
    <w:rsid w:val="00664D68"/>
    <w:rsid w:val="0066627C"/>
    <w:rsid w:val="0066631C"/>
    <w:rsid w:val="00666F17"/>
    <w:rsid w:val="006671E7"/>
    <w:rsid w:val="00667A85"/>
    <w:rsid w:val="00671638"/>
    <w:rsid w:val="00673A5A"/>
    <w:rsid w:val="00673D8E"/>
    <w:rsid w:val="00674319"/>
    <w:rsid w:val="0067438A"/>
    <w:rsid w:val="00675ED3"/>
    <w:rsid w:val="00676046"/>
    <w:rsid w:val="006762F9"/>
    <w:rsid w:val="006763F9"/>
    <w:rsid w:val="00676759"/>
    <w:rsid w:val="00676B34"/>
    <w:rsid w:val="00677DB9"/>
    <w:rsid w:val="00681453"/>
    <w:rsid w:val="00682860"/>
    <w:rsid w:val="00682AF5"/>
    <w:rsid w:val="00682DD6"/>
    <w:rsid w:val="00683175"/>
    <w:rsid w:val="006835A8"/>
    <w:rsid w:val="006837AF"/>
    <w:rsid w:val="00683B8D"/>
    <w:rsid w:val="00683BFF"/>
    <w:rsid w:val="00683F8F"/>
    <w:rsid w:val="006843A0"/>
    <w:rsid w:val="00684B14"/>
    <w:rsid w:val="00685102"/>
    <w:rsid w:val="006851C6"/>
    <w:rsid w:val="00685843"/>
    <w:rsid w:val="006858EC"/>
    <w:rsid w:val="00685A26"/>
    <w:rsid w:val="00685CA2"/>
    <w:rsid w:val="00686030"/>
    <w:rsid w:val="00686440"/>
    <w:rsid w:val="006866BA"/>
    <w:rsid w:val="00690B9E"/>
    <w:rsid w:val="0069113F"/>
    <w:rsid w:val="00691635"/>
    <w:rsid w:val="00692397"/>
    <w:rsid w:val="006924E6"/>
    <w:rsid w:val="00692C52"/>
    <w:rsid w:val="00692CFE"/>
    <w:rsid w:val="00692F9A"/>
    <w:rsid w:val="006933D4"/>
    <w:rsid w:val="0069374B"/>
    <w:rsid w:val="00693ED0"/>
    <w:rsid w:val="0069414A"/>
    <w:rsid w:val="006948D2"/>
    <w:rsid w:val="00694A1A"/>
    <w:rsid w:val="006950C2"/>
    <w:rsid w:val="0069519A"/>
    <w:rsid w:val="0069593D"/>
    <w:rsid w:val="006959A5"/>
    <w:rsid w:val="00696362"/>
    <w:rsid w:val="0069647F"/>
    <w:rsid w:val="006A0941"/>
    <w:rsid w:val="006A0CA0"/>
    <w:rsid w:val="006A0F67"/>
    <w:rsid w:val="006A1C11"/>
    <w:rsid w:val="006A1C7A"/>
    <w:rsid w:val="006A2BEE"/>
    <w:rsid w:val="006A3549"/>
    <w:rsid w:val="006A35BC"/>
    <w:rsid w:val="006A39B4"/>
    <w:rsid w:val="006A464C"/>
    <w:rsid w:val="006A5066"/>
    <w:rsid w:val="006A6652"/>
    <w:rsid w:val="006A6681"/>
    <w:rsid w:val="006A6A61"/>
    <w:rsid w:val="006A6DA2"/>
    <w:rsid w:val="006A6E65"/>
    <w:rsid w:val="006A70C0"/>
    <w:rsid w:val="006A7520"/>
    <w:rsid w:val="006A78D8"/>
    <w:rsid w:val="006B00D0"/>
    <w:rsid w:val="006B0613"/>
    <w:rsid w:val="006B0DC5"/>
    <w:rsid w:val="006B22F6"/>
    <w:rsid w:val="006B3939"/>
    <w:rsid w:val="006B3E89"/>
    <w:rsid w:val="006B3EFC"/>
    <w:rsid w:val="006B5F57"/>
    <w:rsid w:val="006B60DC"/>
    <w:rsid w:val="006B6385"/>
    <w:rsid w:val="006B7178"/>
    <w:rsid w:val="006B79D5"/>
    <w:rsid w:val="006C1558"/>
    <w:rsid w:val="006C1997"/>
    <w:rsid w:val="006C23D2"/>
    <w:rsid w:val="006C291B"/>
    <w:rsid w:val="006C29C5"/>
    <w:rsid w:val="006C2B88"/>
    <w:rsid w:val="006C3153"/>
    <w:rsid w:val="006C3229"/>
    <w:rsid w:val="006C38FD"/>
    <w:rsid w:val="006C4C8B"/>
    <w:rsid w:val="006C6FF5"/>
    <w:rsid w:val="006C75DA"/>
    <w:rsid w:val="006C7CA6"/>
    <w:rsid w:val="006D0155"/>
    <w:rsid w:val="006D1FB3"/>
    <w:rsid w:val="006D22BF"/>
    <w:rsid w:val="006D25B1"/>
    <w:rsid w:val="006D39C7"/>
    <w:rsid w:val="006D43C9"/>
    <w:rsid w:val="006D472A"/>
    <w:rsid w:val="006D64E6"/>
    <w:rsid w:val="006D6B61"/>
    <w:rsid w:val="006D798C"/>
    <w:rsid w:val="006E01A8"/>
    <w:rsid w:val="006E0414"/>
    <w:rsid w:val="006E055A"/>
    <w:rsid w:val="006E05C5"/>
    <w:rsid w:val="006E0B91"/>
    <w:rsid w:val="006E0C47"/>
    <w:rsid w:val="006E2587"/>
    <w:rsid w:val="006E2F22"/>
    <w:rsid w:val="006E31FA"/>
    <w:rsid w:val="006E4645"/>
    <w:rsid w:val="006E5248"/>
    <w:rsid w:val="006E5A27"/>
    <w:rsid w:val="006E5CC0"/>
    <w:rsid w:val="006E5D2D"/>
    <w:rsid w:val="006E77FE"/>
    <w:rsid w:val="006F09F8"/>
    <w:rsid w:val="006F0CF3"/>
    <w:rsid w:val="006F0EA5"/>
    <w:rsid w:val="006F1010"/>
    <w:rsid w:val="006F145F"/>
    <w:rsid w:val="006F17D7"/>
    <w:rsid w:val="006F1E8E"/>
    <w:rsid w:val="006F2311"/>
    <w:rsid w:val="006F26BD"/>
    <w:rsid w:val="006F2EA9"/>
    <w:rsid w:val="006F3EE1"/>
    <w:rsid w:val="006F4773"/>
    <w:rsid w:val="006F58E2"/>
    <w:rsid w:val="006F6C6C"/>
    <w:rsid w:val="006F7E97"/>
    <w:rsid w:val="0070045B"/>
    <w:rsid w:val="0070087F"/>
    <w:rsid w:val="007019DC"/>
    <w:rsid w:val="00701CDB"/>
    <w:rsid w:val="007046F0"/>
    <w:rsid w:val="007053F0"/>
    <w:rsid w:val="007054DA"/>
    <w:rsid w:val="007057B9"/>
    <w:rsid w:val="007072EE"/>
    <w:rsid w:val="00711554"/>
    <w:rsid w:val="007120B9"/>
    <w:rsid w:val="007120C9"/>
    <w:rsid w:val="0071341D"/>
    <w:rsid w:val="00713556"/>
    <w:rsid w:val="00713CAF"/>
    <w:rsid w:val="00713F64"/>
    <w:rsid w:val="00715019"/>
    <w:rsid w:val="00715579"/>
    <w:rsid w:val="0071647E"/>
    <w:rsid w:val="007168E3"/>
    <w:rsid w:val="00716E9D"/>
    <w:rsid w:val="00717069"/>
    <w:rsid w:val="00717135"/>
    <w:rsid w:val="00717245"/>
    <w:rsid w:val="00720ED5"/>
    <w:rsid w:val="00721699"/>
    <w:rsid w:val="007217BB"/>
    <w:rsid w:val="007217D1"/>
    <w:rsid w:val="007223CF"/>
    <w:rsid w:val="00722ACD"/>
    <w:rsid w:val="00722B49"/>
    <w:rsid w:val="007241CB"/>
    <w:rsid w:val="00724714"/>
    <w:rsid w:val="00724A28"/>
    <w:rsid w:val="0072513B"/>
    <w:rsid w:val="00725C7D"/>
    <w:rsid w:val="00726AA6"/>
    <w:rsid w:val="007270B8"/>
    <w:rsid w:val="007277DB"/>
    <w:rsid w:val="00730BF7"/>
    <w:rsid w:val="00730E51"/>
    <w:rsid w:val="00732226"/>
    <w:rsid w:val="00732542"/>
    <w:rsid w:val="0073327B"/>
    <w:rsid w:val="007336CD"/>
    <w:rsid w:val="00734388"/>
    <w:rsid w:val="00734B13"/>
    <w:rsid w:val="00734EFF"/>
    <w:rsid w:val="00735714"/>
    <w:rsid w:val="00735A7A"/>
    <w:rsid w:val="00736A88"/>
    <w:rsid w:val="00737C7C"/>
    <w:rsid w:val="00737E92"/>
    <w:rsid w:val="00737FB3"/>
    <w:rsid w:val="007406F8"/>
    <w:rsid w:val="0074189E"/>
    <w:rsid w:val="00742704"/>
    <w:rsid w:val="00742779"/>
    <w:rsid w:val="00742800"/>
    <w:rsid w:val="00742EFD"/>
    <w:rsid w:val="007434C9"/>
    <w:rsid w:val="00743937"/>
    <w:rsid w:val="00744F71"/>
    <w:rsid w:val="00745CAA"/>
    <w:rsid w:val="00745D18"/>
    <w:rsid w:val="0074676E"/>
    <w:rsid w:val="00746D9C"/>
    <w:rsid w:val="00747974"/>
    <w:rsid w:val="00747B25"/>
    <w:rsid w:val="00750310"/>
    <w:rsid w:val="007518EE"/>
    <w:rsid w:val="0075193E"/>
    <w:rsid w:val="007529FE"/>
    <w:rsid w:val="00752E01"/>
    <w:rsid w:val="00753912"/>
    <w:rsid w:val="00753B6B"/>
    <w:rsid w:val="00753B8E"/>
    <w:rsid w:val="007546CE"/>
    <w:rsid w:val="00755FBA"/>
    <w:rsid w:val="007562D8"/>
    <w:rsid w:val="00756953"/>
    <w:rsid w:val="007575A6"/>
    <w:rsid w:val="00760428"/>
    <w:rsid w:val="0076062D"/>
    <w:rsid w:val="00760CB4"/>
    <w:rsid w:val="00761329"/>
    <w:rsid w:val="00761609"/>
    <w:rsid w:val="0076250C"/>
    <w:rsid w:val="00762960"/>
    <w:rsid w:val="00762962"/>
    <w:rsid w:val="00762C42"/>
    <w:rsid w:val="007646C7"/>
    <w:rsid w:val="00764DAF"/>
    <w:rsid w:val="00765593"/>
    <w:rsid w:val="007667C0"/>
    <w:rsid w:val="00766CF7"/>
    <w:rsid w:val="00766E04"/>
    <w:rsid w:val="00767D56"/>
    <w:rsid w:val="00770070"/>
    <w:rsid w:val="00771CDC"/>
    <w:rsid w:val="00774B95"/>
    <w:rsid w:val="00774C4E"/>
    <w:rsid w:val="00775AEA"/>
    <w:rsid w:val="00775DAD"/>
    <w:rsid w:val="007763CF"/>
    <w:rsid w:val="0077676E"/>
    <w:rsid w:val="00777369"/>
    <w:rsid w:val="0077795C"/>
    <w:rsid w:val="00777A54"/>
    <w:rsid w:val="007801A2"/>
    <w:rsid w:val="00780434"/>
    <w:rsid w:val="007816D4"/>
    <w:rsid w:val="007824B6"/>
    <w:rsid w:val="00783C9C"/>
    <w:rsid w:val="00784AB9"/>
    <w:rsid w:val="007856D9"/>
    <w:rsid w:val="00785F83"/>
    <w:rsid w:val="00786C1F"/>
    <w:rsid w:val="007874AB"/>
    <w:rsid w:val="00790D0C"/>
    <w:rsid w:val="007922A2"/>
    <w:rsid w:val="00792AF7"/>
    <w:rsid w:val="0079423C"/>
    <w:rsid w:val="00795D30"/>
    <w:rsid w:val="007976A7"/>
    <w:rsid w:val="0079777B"/>
    <w:rsid w:val="007A0325"/>
    <w:rsid w:val="007A1717"/>
    <w:rsid w:val="007A1981"/>
    <w:rsid w:val="007A237D"/>
    <w:rsid w:val="007A258E"/>
    <w:rsid w:val="007A2C6E"/>
    <w:rsid w:val="007A3D42"/>
    <w:rsid w:val="007A4729"/>
    <w:rsid w:val="007A53AE"/>
    <w:rsid w:val="007A5AFE"/>
    <w:rsid w:val="007A6A51"/>
    <w:rsid w:val="007B0063"/>
    <w:rsid w:val="007B044D"/>
    <w:rsid w:val="007B1D12"/>
    <w:rsid w:val="007B2254"/>
    <w:rsid w:val="007B23F9"/>
    <w:rsid w:val="007B298C"/>
    <w:rsid w:val="007B455E"/>
    <w:rsid w:val="007B5152"/>
    <w:rsid w:val="007B555E"/>
    <w:rsid w:val="007B5CFF"/>
    <w:rsid w:val="007B6100"/>
    <w:rsid w:val="007B6367"/>
    <w:rsid w:val="007B6B78"/>
    <w:rsid w:val="007B7640"/>
    <w:rsid w:val="007B7EB8"/>
    <w:rsid w:val="007C18D7"/>
    <w:rsid w:val="007C18F0"/>
    <w:rsid w:val="007C3A7E"/>
    <w:rsid w:val="007C3AD6"/>
    <w:rsid w:val="007C3CA7"/>
    <w:rsid w:val="007C4311"/>
    <w:rsid w:val="007C478F"/>
    <w:rsid w:val="007C52B7"/>
    <w:rsid w:val="007C7DF5"/>
    <w:rsid w:val="007D055A"/>
    <w:rsid w:val="007D10FD"/>
    <w:rsid w:val="007D138B"/>
    <w:rsid w:val="007D15B1"/>
    <w:rsid w:val="007D1BF3"/>
    <w:rsid w:val="007D1F47"/>
    <w:rsid w:val="007D2E97"/>
    <w:rsid w:val="007D3C44"/>
    <w:rsid w:val="007D3FCA"/>
    <w:rsid w:val="007D4019"/>
    <w:rsid w:val="007D49DF"/>
    <w:rsid w:val="007D4C2D"/>
    <w:rsid w:val="007D5169"/>
    <w:rsid w:val="007D5397"/>
    <w:rsid w:val="007D60A8"/>
    <w:rsid w:val="007D71B0"/>
    <w:rsid w:val="007D7679"/>
    <w:rsid w:val="007D7B03"/>
    <w:rsid w:val="007E1386"/>
    <w:rsid w:val="007E1773"/>
    <w:rsid w:val="007E2218"/>
    <w:rsid w:val="007E3144"/>
    <w:rsid w:val="007E33D3"/>
    <w:rsid w:val="007E3E42"/>
    <w:rsid w:val="007E4A35"/>
    <w:rsid w:val="007E5794"/>
    <w:rsid w:val="007E5E84"/>
    <w:rsid w:val="007F06FD"/>
    <w:rsid w:val="007F4193"/>
    <w:rsid w:val="007F4983"/>
    <w:rsid w:val="007F4CB2"/>
    <w:rsid w:val="007F6249"/>
    <w:rsid w:val="007F62AD"/>
    <w:rsid w:val="007F65AC"/>
    <w:rsid w:val="007F6702"/>
    <w:rsid w:val="007F77C7"/>
    <w:rsid w:val="007F7C12"/>
    <w:rsid w:val="007F7F43"/>
    <w:rsid w:val="00800404"/>
    <w:rsid w:val="00800B9E"/>
    <w:rsid w:val="00800FD0"/>
    <w:rsid w:val="0080185C"/>
    <w:rsid w:val="0080534D"/>
    <w:rsid w:val="00805630"/>
    <w:rsid w:val="008056E5"/>
    <w:rsid w:val="0080687A"/>
    <w:rsid w:val="00806B8E"/>
    <w:rsid w:val="00807579"/>
    <w:rsid w:val="00807A9D"/>
    <w:rsid w:val="00810280"/>
    <w:rsid w:val="008103C8"/>
    <w:rsid w:val="008106A3"/>
    <w:rsid w:val="008108C9"/>
    <w:rsid w:val="0081098E"/>
    <w:rsid w:val="00810A69"/>
    <w:rsid w:val="00810C8E"/>
    <w:rsid w:val="00812E0D"/>
    <w:rsid w:val="00813A1A"/>
    <w:rsid w:val="00814A50"/>
    <w:rsid w:val="008152C4"/>
    <w:rsid w:val="00815CB1"/>
    <w:rsid w:val="00815E9C"/>
    <w:rsid w:val="00815FD6"/>
    <w:rsid w:val="00816E13"/>
    <w:rsid w:val="0081746D"/>
    <w:rsid w:val="0081754E"/>
    <w:rsid w:val="00817912"/>
    <w:rsid w:val="00817CCA"/>
    <w:rsid w:val="008237AA"/>
    <w:rsid w:val="00823B73"/>
    <w:rsid w:val="008240F0"/>
    <w:rsid w:val="0082499E"/>
    <w:rsid w:val="00824C48"/>
    <w:rsid w:val="00824C8A"/>
    <w:rsid w:val="00824F08"/>
    <w:rsid w:val="0082526D"/>
    <w:rsid w:val="008255D1"/>
    <w:rsid w:val="00825FFD"/>
    <w:rsid w:val="00826A26"/>
    <w:rsid w:val="00826D21"/>
    <w:rsid w:val="00827CE7"/>
    <w:rsid w:val="00830165"/>
    <w:rsid w:val="00830635"/>
    <w:rsid w:val="00830733"/>
    <w:rsid w:val="008313E5"/>
    <w:rsid w:val="00831466"/>
    <w:rsid w:val="00831540"/>
    <w:rsid w:val="008317F2"/>
    <w:rsid w:val="00831819"/>
    <w:rsid w:val="0083232A"/>
    <w:rsid w:val="008323F1"/>
    <w:rsid w:val="008326C9"/>
    <w:rsid w:val="00832ECD"/>
    <w:rsid w:val="008338B9"/>
    <w:rsid w:val="00833BBB"/>
    <w:rsid w:val="00833ED5"/>
    <w:rsid w:val="00835012"/>
    <w:rsid w:val="00835A4A"/>
    <w:rsid w:val="00836146"/>
    <w:rsid w:val="00836178"/>
    <w:rsid w:val="00836606"/>
    <w:rsid w:val="008366AB"/>
    <w:rsid w:val="0083786D"/>
    <w:rsid w:val="00837988"/>
    <w:rsid w:val="00840B1F"/>
    <w:rsid w:val="00841554"/>
    <w:rsid w:val="00841B57"/>
    <w:rsid w:val="00841EBA"/>
    <w:rsid w:val="00842641"/>
    <w:rsid w:val="00843337"/>
    <w:rsid w:val="008441C8"/>
    <w:rsid w:val="0084640C"/>
    <w:rsid w:val="00847777"/>
    <w:rsid w:val="00847813"/>
    <w:rsid w:val="00847ED1"/>
    <w:rsid w:val="00850A34"/>
    <w:rsid w:val="008510F2"/>
    <w:rsid w:val="008514E8"/>
    <w:rsid w:val="008520AB"/>
    <w:rsid w:val="008523D0"/>
    <w:rsid w:val="00852753"/>
    <w:rsid w:val="00852A40"/>
    <w:rsid w:val="00853B85"/>
    <w:rsid w:val="00854167"/>
    <w:rsid w:val="008541CA"/>
    <w:rsid w:val="008547A8"/>
    <w:rsid w:val="00855A8E"/>
    <w:rsid w:val="00855EF1"/>
    <w:rsid w:val="00856285"/>
    <w:rsid w:val="008564CE"/>
    <w:rsid w:val="00857068"/>
    <w:rsid w:val="00860073"/>
    <w:rsid w:val="008600A4"/>
    <w:rsid w:val="008601D7"/>
    <w:rsid w:val="00860804"/>
    <w:rsid w:val="00860A8C"/>
    <w:rsid w:val="00860CE4"/>
    <w:rsid w:val="00861027"/>
    <w:rsid w:val="008615A9"/>
    <w:rsid w:val="00861861"/>
    <w:rsid w:val="00861BE9"/>
    <w:rsid w:val="00862261"/>
    <w:rsid w:val="008639EA"/>
    <w:rsid w:val="0086497A"/>
    <w:rsid w:val="00864B7C"/>
    <w:rsid w:val="008653A9"/>
    <w:rsid w:val="008654B5"/>
    <w:rsid w:val="00866641"/>
    <w:rsid w:val="0086677A"/>
    <w:rsid w:val="0086690C"/>
    <w:rsid w:val="00866FBD"/>
    <w:rsid w:val="0086776F"/>
    <w:rsid w:val="0086785A"/>
    <w:rsid w:val="0087039C"/>
    <w:rsid w:val="008705D1"/>
    <w:rsid w:val="008712F9"/>
    <w:rsid w:val="00871665"/>
    <w:rsid w:val="00871F1A"/>
    <w:rsid w:val="00872495"/>
    <w:rsid w:val="0087289A"/>
    <w:rsid w:val="0087399E"/>
    <w:rsid w:val="00874AEC"/>
    <w:rsid w:val="00874DB7"/>
    <w:rsid w:val="00875E86"/>
    <w:rsid w:val="008763F0"/>
    <w:rsid w:val="00876586"/>
    <w:rsid w:val="008765F7"/>
    <w:rsid w:val="00876F22"/>
    <w:rsid w:val="00877EA9"/>
    <w:rsid w:val="00880208"/>
    <w:rsid w:val="0088057B"/>
    <w:rsid w:val="0088064F"/>
    <w:rsid w:val="00881CEF"/>
    <w:rsid w:val="008820C6"/>
    <w:rsid w:val="00882CE1"/>
    <w:rsid w:val="008835FC"/>
    <w:rsid w:val="008836CA"/>
    <w:rsid w:val="00883937"/>
    <w:rsid w:val="00883ABA"/>
    <w:rsid w:val="008860CA"/>
    <w:rsid w:val="00886353"/>
    <w:rsid w:val="00886816"/>
    <w:rsid w:val="008869D9"/>
    <w:rsid w:val="00890313"/>
    <w:rsid w:val="0089041E"/>
    <w:rsid w:val="008904E0"/>
    <w:rsid w:val="00890C76"/>
    <w:rsid w:val="0089170D"/>
    <w:rsid w:val="00891E0D"/>
    <w:rsid w:val="0089292D"/>
    <w:rsid w:val="00892AE9"/>
    <w:rsid w:val="00893C22"/>
    <w:rsid w:val="0089461D"/>
    <w:rsid w:val="00895355"/>
    <w:rsid w:val="0089541C"/>
    <w:rsid w:val="00895F5A"/>
    <w:rsid w:val="00896A61"/>
    <w:rsid w:val="00896D2F"/>
    <w:rsid w:val="00896EEE"/>
    <w:rsid w:val="008A0804"/>
    <w:rsid w:val="008A08A0"/>
    <w:rsid w:val="008A121C"/>
    <w:rsid w:val="008A356B"/>
    <w:rsid w:val="008A35C7"/>
    <w:rsid w:val="008A5817"/>
    <w:rsid w:val="008A61A5"/>
    <w:rsid w:val="008A6B0C"/>
    <w:rsid w:val="008B010A"/>
    <w:rsid w:val="008B1ADE"/>
    <w:rsid w:val="008B2635"/>
    <w:rsid w:val="008B2EEF"/>
    <w:rsid w:val="008B31E9"/>
    <w:rsid w:val="008B4FF9"/>
    <w:rsid w:val="008B5014"/>
    <w:rsid w:val="008B5920"/>
    <w:rsid w:val="008B5AB1"/>
    <w:rsid w:val="008B5AD0"/>
    <w:rsid w:val="008B6078"/>
    <w:rsid w:val="008B7493"/>
    <w:rsid w:val="008B7583"/>
    <w:rsid w:val="008B79D1"/>
    <w:rsid w:val="008B7B03"/>
    <w:rsid w:val="008B7B8E"/>
    <w:rsid w:val="008C080F"/>
    <w:rsid w:val="008C1E9C"/>
    <w:rsid w:val="008C2039"/>
    <w:rsid w:val="008C217F"/>
    <w:rsid w:val="008C2337"/>
    <w:rsid w:val="008C233B"/>
    <w:rsid w:val="008C585A"/>
    <w:rsid w:val="008C5C89"/>
    <w:rsid w:val="008C601C"/>
    <w:rsid w:val="008C6E5D"/>
    <w:rsid w:val="008C75FF"/>
    <w:rsid w:val="008C7B2D"/>
    <w:rsid w:val="008C7FEE"/>
    <w:rsid w:val="008D0320"/>
    <w:rsid w:val="008D138B"/>
    <w:rsid w:val="008D1C78"/>
    <w:rsid w:val="008D1DA5"/>
    <w:rsid w:val="008D2192"/>
    <w:rsid w:val="008D2A53"/>
    <w:rsid w:val="008D321D"/>
    <w:rsid w:val="008D3D9D"/>
    <w:rsid w:val="008D5592"/>
    <w:rsid w:val="008D55E4"/>
    <w:rsid w:val="008D6BCE"/>
    <w:rsid w:val="008D75A7"/>
    <w:rsid w:val="008E06EE"/>
    <w:rsid w:val="008E0795"/>
    <w:rsid w:val="008E0976"/>
    <w:rsid w:val="008E0EFC"/>
    <w:rsid w:val="008E1127"/>
    <w:rsid w:val="008E1B20"/>
    <w:rsid w:val="008E1BCF"/>
    <w:rsid w:val="008E1CB2"/>
    <w:rsid w:val="008E2EE4"/>
    <w:rsid w:val="008E2F3C"/>
    <w:rsid w:val="008E32E1"/>
    <w:rsid w:val="008E3DD3"/>
    <w:rsid w:val="008E4719"/>
    <w:rsid w:val="008E5C56"/>
    <w:rsid w:val="008E5F4B"/>
    <w:rsid w:val="008E60CB"/>
    <w:rsid w:val="008E6215"/>
    <w:rsid w:val="008E69BA"/>
    <w:rsid w:val="008E7064"/>
    <w:rsid w:val="008E73C6"/>
    <w:rsid w:val="008F0825"/>
    <w:rsid w:val="008F14DC"/>
    <w:rsid w:val="008F28B1"/>
    <w:rsid w:val="008F3FB9"/>
    <w:rsid w:val="008F4391"/>
    <w:rsid w:val="008F4B36"/>
    <w:rsid w:val="008F50FA"/>
    <w:rsid w:val="008F527F"/>
    <w:rsid w:val="008F52D8"/>
    <w:rsid w:val="008F52DB"/>
    <w:rsid w:val="008F592C"/>
    <w:rsid w:val="008F7AC2"/>
    <w:rsid w:val="00900324"/>
    <w:rsid w:val="00900712"/>
    <w:rsid w:val="00900988"/>
    <w:rsid w:val="00901BD6"/>
    <w:rsid w:val="00904058"/>
    <w:rsid w:val="0090439C"/>
    <w:rsid w:val="0090472C"/>
    <w:rsid w:val="00904B6E"/>
    <w:rsid w:val="00904E3E"/>
    <w:rsid w:val="009060A2"/>
    <w:rsid w:val="00906E1B"/>
    <w:rsid w:val="0090713C"/>
    <w:rsid w:val="00907CF0"/>
    <w:rsid w:val="00907F0B"/>
    <w:rsid w:val="00910BF3"/>
    <w:rsid w:val="009120FE"/>
    <w:rsid w:val="009122FE"/>
    <w:rsid w:val="0091489F"/>
    <w:rsid w:val="00917762"/>
    <w:rsid w:val="00917B63"/>
    <w:rsid w:val="0092112A"/>
    <w:rsid w:val="00921CF7"/>
    <w:rsid w:val="00922216"/>
    <w:rsid w:val="00922374"/>
    <w:rsid w:val="00923744"/>
    <w:rsid w:val="00924379"/>
    <w:rsid w:val="00924F95"/>
    <w:rsid w:val="00926B73"/>
    <w:rsid w:val="00926D61"/>
    <w:rsid w:val="009278F4"/>
    <w:rsid w:val="00927E14"/>
    <w:rsid w:val="00927F42"/>
    <w:rsid w:val="00931172"/>
    <w:rsid w:val="00931C49"/>
    <w:rsid w:val="0093266F"/>
    <w:rsid w:val="009327DD"/>
    <w:rsid w:val="009327F0"/>
    <w:rsid w:val="009338CB"/>
    <w:rsid w:val="00935667"/>
    <w:rsid w:val="00935FAB"/>
    <w:rsid w:val="009364A9"/>
    <w:rsid w:val="0094016B"/>
    <w:rsid w:val="00942560"/>
    <w:rsid w:val="009426D7"/>
    <w:rsid w:val="009429C1"/>
    <w:rsid w:val="00942A52"/>
    <w:rsid w:val="00942AB5"/>
    <w:rsid w:val="00942DBA"/>
    <w:rsid w:val="00943492"/>
    <w:rsid w:val="0094418D"/>
    <w:rsid w:val="00945B9A"/>
    <w:rsid w:val="009462E8"/>
    <w:rsid w:val="00950B4A"/>
    <w:rsid w:val="00950CDF"/>
    <w:rsid w:val="00950EAE"/>
    <w:rsid w:val="00951756"/>
    <w:rsid w:val="00951883"/>
    <w:rsid w:val="00951E1F"/>
    <w:rsid w:val="00953154"/>
    <w:rsid w:val="009534D1"/>
    <w:rsid w:val="00954C9A"/>
    <w:rsid w:val="00955CFD"/>
    <w:rsid w:val="00956314"/>
    <w:rsid w:val="0095653E"/>
    <w:rsid w:val="00957384"/>
    <w:rsid w:val="009574D2"/>
    <w:rsid w:val="00957A70"/>
    <w:rsid w:val="00957D27"/>
    <w:rsid w:val="00957FEA"/>
    <w:rsid w:val="00960391"/>
    <w:rsid w:val="00961D51"/>
    <w:rsid w:val="0096338D"/>
    <w:rsid w:val="0096351C"/>
    <w:rsid w:val="00963933"/>
    <w:rsid w:val="0096446D"/>
    <w:rsid w:val="00964BCE"/>
    <w:rsid w:val="00964BDE"/>
    <w:rsid w:val="00965340"/>
    <w:rsid w:val="00965714"/>
    <w:rsid w:val="00965DC0"/>
    <w:rsid w:val="00966394"/>
    <w:rsid w:val="009677E7"/>
    <w:rsid w:val="00967883"/>
    <w:rsid w:val="009679D0"/>
    <w:rsid w:val="00970926"/>
    <w:rsid w:val="0097125F"/>
    <w:rsid w:val="00972480"/>
    <w:rsid w:val="009739F0"/>
    <w:rsid w:val="00973ED2"/>
    <w:rsid w:val="009747D6"/>
    <w:rsid w:val="00974F15"/>
    <w:rsid w:val="00976758"/>
    <w:rsid w:val="009770FE"/>
    <w:rsid w:val="00977C0C"/>
    <w:rsid w:val="00980365"/>
    <w:rsid w:val="00980651"/>
    <w:rsid w:val="0098087F"/>
    <w:rsid w:val="00980D89"/>
    <w:rsid w:val="00982EFD"/>
    <w:rsid w:val="00983B2A"/>
    <w:rsid w:val="00983B9C"/>
    <w:rsid w:val="00983BBB"/>
    <w:rsid w:val="00984E97"/>
    <w:rsid w:val="009851D5"/>
    <w:rsid w:val="00985AC0"/>
    <w:rsid w:val="00985AD6"/>
    <w:rsid w:val="00986E60"/>
    <w:rsid w:val="00990229"/>
    <w:rsid w:val="00990393"/>
    <w:rsid w:val="009906ED"/>
    <w:rsid w:val="00990733"/>
    <w:rsid w:val="00990BC9"/>
    <w:rsid w:val="0099216B"/>
    <w:rsid w:val="00992A5C"/>
    <w:rsid w:val="00992AE5"/>
    <w:rsid w:val="00993DDE"/>
    <w:rsid w:val="009954DF"/>
    <w:rsid w:val="009959BD"/>
    <w:rsid w:val="00996D15"/>
    <w:rsid w:val="00997026"/>
    <w:rsid w:val="009A022E"/>
    <w:rsid w:val="009A05F8"/>
    <w:rsid w:val="009A0BCE"/>
    <w:rsid w:val="009A1801"/>
    <w:rsid w:val="009A20E9"/>
    <w:rsid w:val="009A268C"/>
    <w:rsid w:val="009A3DE0"/>
    <w:rsid w:val="009A488D"/>
    <w:rsid w:val="009A48F1"/>
    <w:rsid w:val="009A4AD1"/>
    <w:rsid w:val="009A52A2"/>
    <w:rsid w:val="009A5416"/>
    <w:rsid w:val="009A65FB"/>
    <w:rsid w:val="009A7791"/>
    <w:rsid w:val="009A79D5"/>
    <w:rsid w:val="009A7B99"/>
    <w:rsid w:val="009B0BBD"/>
    <w:rsid w:val="009B0D67"/>
    <w:rsid w:val="009B1E44"/>
    <w:rsid w:val="009B2B5F"/>
    <w:rsid w:val="009B3253"/>
    <w:rsid w:val="009B38CD"/>
    <w:rsid w:val="009B4A5F"/>
    <w:rsid w:val="009B5745"/>
    <w:rsid w:val="009B5A09"/>
    <w:rsid w:val="009B7503"/>
    <w:rsid w:val="009B7D28"/>
    <w:rsid w:val="009B7D91"/>
    <w:rsid w:val="009C0B3F"/>
    <w:rsid w:val="009C10AD"/>
    <w:rsid w:val="009C190F"/>
    <w:rsid w:val="009C291B"/>
    <w:rsid w:val="009C2B30"/>
    <w:rsid w:val="009C307B"/>
    <w:rsid w:val="009C33A0"/>
    <w:rsid w:val="009C33D2"/>
    <w:rsid w:val="009C3FCD"/>
    <w:rsid w:val="009C4651"/>
    <w:rsid w:val="009C4B3C"/>
    <w:rsid w:val="009C5F85"/>
    <w:rsid w:val="009C631B"/>
    <w:rsid w:val="009C70CB"/>
    <w:rsid w:val="009C7393"/>
    <w:rsid w:val="009C743B"/>
    <w:rsid w:val="009C75B9"/>
    <w:rsid w:val="009C76C5"/>
    <w:rsid w:val="009C7ACC"/>
    <w:rsid w:val="009D003C"/>
    <w:rsid w:val="009D0BE5"/>
    <w:rsid w:val="009D0CF2"/>
    <w:rsid w:val="009D19AB"/>
    <w:rsid w:val="009D29EA"/>
    <w:rsid w:val="009D4139"/>
    <w:rsid w:val="009D4D19"/>
    <w:rsid w:val="009D55C7"/>
    <w:rsid w:val="009D70ED"/>
    <w:rsid w:val="009D7A30"/>
    <w:rsid w:val="009D7C70"/>
    <w:rsid w:val="009E0752"/>
    <w:rsid w:val="009E0AEC"/>
    <w:rsid w:val="009E0D64"/>
    <w:rsid w:val="009E0FC3"/>
    <w:rsid w:val="009E107D"/>
    <w:rsid w:val="009E116D"/>
    <w:rsid w:val="009E1FF5"/>
    <w:rsid w:val="009E2172"/>
    <w:rsid w:val="009E3724"/>
    <w:rsid w:val="009E421A"/>
    <w:rsid w:val="009E5835"/>
    <w:rsid w:val="009E59FE"/>
    <w:rsid w:val="009E5C41"/>
    <w:rsid w:val="009E5DAF"/>
    <w:rsid w:val="009E60F5"/>
    <w:rsid w:val="009E6177"/>
    <w:rsid w:val="009E6EDB"/>
    <w:rsid w:val="009E7607"/>
    <w:rsid w:val="009F13DF"/>
    <w:rsid w:val="009F1507"/>
    <w:rsid w:val="009F1BDF"/>
    <w:rsid w:val="009F20DB"/>
    <w:rsid w:val="009F2CE6"/>
    <w:rsid w:val="009F3923"/>
    <w:rsid w:val="009F4783"/>
    <w:rsid w:val="009F55AE"/>
    <w:rsid w:val="009F5BD9"/>
    <w:rsid w:val="009F6AB8"/>
    <w:rsid w:val="009F6BB1"/>
    <w:rsid w:val="009F7232"/>
    <w:rsid w:val="009F7923"/>
    <w:rsid w:val="009F79CF"/>
    <w:rsid w:val="00A01A98"/>
    <w:rsid w:val="00A02129"/>
    <w:rsid w:val="00A03BA3"/>
    <w:rsid w:val="00A0461C"/>
    <w:rsid w:val="00A0631F"/>
    <w:rsid w:val="00A06AAA"/>
    <w:rsid w:val="00A07242"/>
    <w:rsid w:val="00A0729F"/>
    <w:rsid w:val="00A072D1"/>
    <w:rsid w:val="00A10175"/>
    <w:rsid w:val="00A10388"/>
    <w:rsid w:val="00A10BD1"/>
    <w:rsid w:val="00A11735"/>
    <w:rsid w:val="00A11BE7"/>
    <w:rsid w:val="00A11CA3"/>
    <w:rsid w:val="00A11EBE"/>
    <w:rsid w:val="00A12D2A"/>
    <w:rsid w:val="00A12EC7"/>
    <w:rsid w:val="00A142B4"/>
    <w:rsid w:val="00A144F3"/>
    <w:rsid w:val="00A1515B"/>
    <w:rsid w:val="00A156F9"/>
    <w:rsid w:val="00A1571A"/>
    <w:rsid w:val="00A158F8"/>
    <w:rsid w:val="00A17BD0"/>
    <w:rsid w:val="00A17C32"/>
    <w:rsid w:val="00A17FE2"/>
    <w:rsid w:val="00A22411"/>
    <w:rsid w:val="00A226C2"/>
    <w:rsid w:val="00A23432"/>
    <w:rsid w:val="00A235CA"/>
    <w:rsid w:val="00A23C2F"/>
    <w:rsid w:val="00A24AB9"/>
    <w:rsid w:val="00A24FDD"/>
    <w:rsid w:val="00A26918"/>
    <w:rsid w:val="00A26D02"/>
    <w:rsid w:val="00A273BB"/>
    <w:rsid w:val="00A27DC3"/>
    <w:rsid w:val="00A30267"/>
    <w:rsid w:val="00A30CB0"/>
    <w:rsid w:val="00A30F20"/>
    <w:rsid w:val="00A318FE"/>
    <w:rsid w:val="00A31CF2"/>
    <w:rsid w:val="00A32788"/>
    <w:rsid w:val="00A32DE9"/>
    <w:rsid w:val="00A34574"/>
    <w:rsid w:val="00A34DAA"/>
    <w:rsid w:val="00A35720"/>
    <w:rsid w:val="00A360D6"/>
    <w:rsid w:val="00A36969"/>
    <w:rsid w:val="00A3738A"/>
    <w:rsid w:val="00A377FC"/>
    <w:rsid w:val="00A40E2A"/>
    <w:rsid w:val="00A40F04"/>
    <w:rsid w:val="00A40F7A"/>
    <w:rsid w:val="00A40FBD"/>
    <w:rsid w:val="00A4189C"/>
    <w:rsid w:val="00A41B54"/>
    <w:rsid w:val="00A41CC3"/>
    <w:rsid w:val="00A422C2"/>
    <w:rsid w:val="00A42A67"/>
    <w:rsid w:val="00A43A69"/>
    <w:rsid w:val="00A43F0F"/>
    <w:rsid w:val="00A4405C"/>
    <w:rsid w:val="00A47176"/>
    <w:rsid w:val="00A477AB"/>
    <w:rsid w:val="00A47884"/>
    <w:rsid w:val="00A479ED"/>
    <w:rsid w:val="00A47DFD"/>
    <w:rsid w:val="00A50B48"/>
    <w:rsid w:val="00A5121C"/>
    <w:rsid w:val="00A520FA"/>
    <w:rsid w:val="00A53562"/>
    <w:rsid w:val="00A53B67"/>
    <w:rsid w:val="00A53DA5"/>
    <w:rsid w:val="00A53EA4"/>
    <w:rsid w:val="00A55015"/>
    <w:rsid w:val="00A5526B"/>
    <w:rsid w:val="00A55455"/>
    <w:rsid w:val="00A57F2D"/>
    <w:rsid w:val="00A603F3"/>
    <w:rsid w:val="00A61BAE"/>
    <w:rsid w:val="00A61BC3"/>
    <w:rsid w:val="00A61F30"/>
    <w:rsid w:val="00A6219C"/>
    <w:rsid w:val="00A629C9"/>
    <w:rsid w:val="00A63004"/>
    <w:rsid w:val="00A63438"/>
    <w:rsid w:val="00A652DB"/>
    <w:rsid w:val="00A6749C"/>
    <w:rsid w:val="00A6784B"/>
    <w:rsid w:val="00A679E9"/>
    <w:rsid w:val="00A7069C"/>
    <w:rsid w:val="00A70B66"/>
    <w:rsid w:val="00A70C8F"/>
    <w:rsid w:val="00A70CC7"/>
    <w:rsid w:val="00A721C1"/>
    <w:rsid w:val="00A73A28"/>
    <w:rsid w:val="00A741FF"/>
    <w:rsid w:val="00A747F8"/>
    <w:rsid w:val="00A7499C"/>
    <w:rsid w:val="00A74AAB"/>
    <w:rsid w:val="00A74B8C"/>
    <w:rsid w:val="00A755DF"/>
    <w:rsid w:val="00A75D92"/>
    <w:rsid w:val="00A766FE"/>
    <w:rsid w:val="00A76CC7"/>
    <w:rsid w:val="00A77550"/>
    <w:rsid w:val="00A80D0C"/>
    <w:rsid w:val="00A823F0"/>
    <w:rsid w:val="00A824D0"/>
    <w:rsid w:val="00A82B45"/>
    <w:rsid w:val="00A830E6"/>
    <w:rsid w:val="00A84CA0"/>
    <w:rsid w:val="00A85D56"/>
    <w:rsid w:val="00A86303"/>
    <w:rsid w:val="00A86610"/>
    <w:rsid w:val="00A86B80"/>
    <w:rsid w:val="00A86CB1"/>
    <w:rsid w:val="00A87547"/>
    <w:rsid w:val="00A8785F"/>
    <w:rsid w:val="00A87893"/>
    <w:rsid w:val="00A87A03"/>
    <w:rsid w:val="00A903A1"/>
    <w:rsid w:val="00A91CF8"/>
    <w:rsid w:val="00A9328B"/>
    <w:rsid w:val="00A93490"/>
    <w:rsid w:val="00A935B9"/>
    <w:rsid w:val="00A93A02"/>
    <w:rsid w:val="00A942CE"/>
    <w:rsid w:val="00A942DD"/>
    <w:rsid w:val="00A94F50"/>
    <w:rsid w:val="00A95BD2"/>
    <w:rsid w:val="00A9603E"/>
    <w:rsid w:val="00A96322"/>
    <w:rsid w:val="00A97877"/>
    <w:rsid w:val="00A97FF3"/>
    <w:rsid w:val="00AA02FB"/>
    <w:rsid w:val="00AA150E"/>
    <w:rsid w:val="00AA16B7"/>
    <w:rsid w:val="00AA17C8"/>
    <w:rsid w:val="00AA2B15"/>
    <w:rsid w:val="00AA2C5A"/>
    <w:rsid w:val="00AA2CC9"/>
    <w:rsid w:val="00AA3558"/>
    <w:rsid w:val="00AA4EBB"/>
    <w:rsid w:val="00AA7CE6"/>
    <w:rsid w:val="00AB1D75"/>
    <w:rsid w:val="00AB21C3"/>
    <w:rsid w:val="00AB2338"/>
    <w:rsid w:val="00AB2B23"/>
    <w:rsid w:val="00AB3900"/>
    <w:rsid w:val="00AB53D4"/>
    <w:rsid w:val="00AB56B9"/>
    <w:rsid w:val="00AB573E"/>
    <w:rsid w:val="00AB5F66"/>
    <w:rsid w:val="00AB6357"/>
    <w:rsid w:val="00AB7279"/>
    <w:rsid w:val="00AB7F7D"/>
    <w:rsid w:val="00AC0127"/>
    <w:rsid w:val="00AC0C99"/>
    <w:rsid w:val="00AC10BF"/>
    <w:rsid w:val="00AC112D"/>
    <w:rsid w:val="00AC16DB"/>
    <w:rsid w:val="00AC1A76"/>
    <w:rsid w:val="00AC1A82"/>
    <w:rsid w:val="00AC1A89"/>
    <w:rsid w:val="00AC2418"/>
    <w:rsid w:val="00AC2DDB"/>
    <w:rsid w:val="00AC342B"/>
    <w:rsid w:val="00AC3A00"/>
    <w:rsid w:val="00AC3A72"/>
    <w:rsid w:val="00AC43A7"/>
    <w:rsid w:val="00AC483A"/>
    <w:rsid w:val="00AC4B77"/>
    <w:rsid w:val="00AC4BE4"/>
    <w:rsid w:val="00AC4CF7"/>
    <w:rsid w:val="00AC6DFC"/>
    <w:rsid w:val="00AC6F2A"/>
    <w:rsid w:val="00AD09F8"/>
    <w:rsid w:val="00AD137B"/>
    <w:rsid w:val="00AD1481"/>
    <w:rsid w:val="00AD15F5"/>
    <w:rsid w:val="00AD1943"/>
    <w:rsid w:val="00AD1EE3"/>
    <w:rsid w:val="00AD2393"/>
    <w:rsid w:val="00AD2856"/>
    <w:rsid w:val="00AD2C0D"/>
    <w:rsid w:val="00AD3BA4"/>
    <w:rsid w:val="00AD4CEB"/>
    <w:rsid w:val="00AD635E"/>
    <w:rsid w:val="00AD6B92"/>
    <w:rsid w:val="00AD709A"/>
    <w:rsid w:val="00AD7544"/>
    <w:rsid w:val="00AD780B"/>
    <w:rsid w:val="00AD79D2"/>
    <w:rsid w:val="00AE07C7"/>
    <w:rsid w:val="00AE1406"/>
    <w:rsid w:val="00AE203E"/>
    <w:rsid w:val="00AE221E"/>
    <w:rsid w:val="00AE2373"/>
    <w:rsid w:val="00AE23F6"/>
    <w:rsid w:val="00AE2758"/>
    <w:rsid w:val="00AE37E2"/>
    <w:rsid w:val="00AE385B"/>
    <w:rsid w:val="00AE3F9B"/>
    <w:rsid w:val="00AE3F9E"/>
    <w:rsid w:val="00AE4658"/>
    <w:rsid w:val="00AE4A49"/>
    <w:rsid w:val="00AE4C05"/>
    <w:rsid w:val="00AE5822"/>
    <w:rsid w:val="00AE5860"/>
    <w:rsid w:val="00AE671F"/>
    <w:rsid w:val="00AE7741"/>
    <w:rsid w:val="00AE7985"/>
    <w:rsid w:val="00AE7F54"/>
    <w:rsid w:val="00AF0437"/>
    <w:rsid w:val="00AF28E9"/>
    <w:rsid w:val="00AF2ADD"/>
    <w:rsid w:val="00AF2D11"/>
    <w:rsid w:val="00AF32E8"/>
    <w:rsid w:val="00AF43A0"/>
    <w:rsid w:val="00AF4BD9"/>
    <w:rsid w:val="00AF6F01"/>
    <w:rsid w:val="00AF7C05"/>
    <w:rsid w:val="00B000B1"/>
    <w:rsid w:val="00B015CD"/>
    <w:rsid w:val="00B0189F"/>
    <w:rsid w:val="00B03371"/>
    <w:rsid w:val="00B03C25"/>
    <w:rsid w:val="00B03E41"/>
    <w:rsid w:val="00B04E3E"/>
    <w:rsid w:val="00B07A31"/>
    <w:rsid w:val="00B106A1"/>
    <w:rsid w:val="00B11109"/>
    <w:rsid w:val="00B11BBB"/>
    <w:rsid w:val="00B11F36"/>
    <w:rsid w:val="00B126DB"/>
    <w:rsid w:val="00B12D9E"/>
    <w:rsid w:val="00B16329"/>
    <w:rsid w:val="00B16966"/>
    <w:rsid w:val="00B16A47"/>
    <w:rsid w:val="00B173ED"/>
    <w:rsid w:val="00B17B8F"/>
    <w:rsid w:val="00B2025E"/>
    <w:rsid w:val="00B21D02"/>
    <w:rsid w:val="00B21F2E"/>
    <w:rsid w:val="00B21F5C"/>
    <w:rsid w:val="00B226F2"/>
    <w:rsid w:val="00B227CC"/>
    <w:rsid w:val="00B229A9"/>
    <w:rsid w:val="00B22B75"/>
    <w:rsid w:val="00B22E74"/>
    <w:rsid w:val="00B24349"/>
    <w:rsid w:val="00B2560C"/>
    <w:rsid w:val="00B25E19"/>
    <w:rsid w:val="00B26457"/>
    <w:rsid w:val="00B2684B"/>
    <w:rsid w:val="00B26C05"/>
    <w:rsid w:val="00B27C87"/>
    <w:rsid w:val="00B3069B"/>
    <w:rsid w:val="00B308B7"/>
    <w:rsid w:val="00B3117A"/>
    <w:rsid w:val="00B31307"/>
    <w:rsid w:val="00B31737"/>
    <w:rsid w:val="00B31942"/>
    <w:rsid w:val="00B327A2"/>
    <w:rsid w:val="00B33062"/>
    <w:rsid w:val="00B35255"/>
    <w:rsid w:val="00B35586"/>
    <w:rsid w:val="00B357D3"/>
    <w:rsid w:val="00B36081"/>
    <w:rsid w:val="00B37D35"/>
    <w:rsid w:val="00B414FB"/>
    <w:rsid w:val="00B415EA"/>
    <w:rsid w:val="00B416F6"/>
    <w:rsid w:val="00B4338D"/>
    <w:rsid w:val="00B4373C"/>
    <w:rsid w:val="00B4399D"/>
    <w:rsid w:val="00B43D6F"/>
    <w:rsid w:val="00B444F5"/>
    <w:rsid w:val="00B44B62"/>
    <w:rsid w:val="00B44FF7"/>
    <w:rsid w:val="00B4596C"/>
    <w:rsid w:val="00B472E1"/>
    <w:rsid w:val="00B4777C"/>
    <w:rsid w:val="00B5058D"/>
    <w:rsid w:val="00B507F5"/>
    <w:rsid w:val="00B51259"/>
    <w:rsid w:val="00B5138F"/>
    <w:rsid w:val="00B5158A"/>
    <w:rsid w:val="00B51E2B"/>
    <w:rsid w:val="00B542AA"/>
    <w:rsid w:val="00B547D8"/>
    <w:rsid w:val="00B5489B"/>
    <w:rsid w:val="00B54CBF"/>
    <w:rsid w:val="00B55322"/>
    <w:rsid w:val="00B55AF2"/>
    <w:rsid w:val="00B5610F"/>
    <w:rsid w:val="00B5642D"/>
    <w:rsid w:val="00B56773"/>
    <w:rsid w:val="00B56AD9"/>
    <w:rsid w:val="00B56BA4"/>
    <w:rsid w:val="00B56EA1"/>
    <w:rsid w:val="00B5779C"/>
    <w:rsid w:val="00B615BE"/>
    <w:rsid w:val="00B61EEC"/>
    <w:rsid w:val="00B6348A"/>
    <w:rsid w:val="00B6353D"/>
    <w:rsid w:val="00B64017"/>
    <w:rsid w:val="00B6462E"/>
    <w:rsid w:val="00B65764"/>
    <w:rsid w:val="00B67D8E"/>
    <w:rsid w:val="00B702E7"/>
    <w:rsid w:val="00B70572"/>
    <w:rsid w:val="00B710F3"/>
    <w:rsid w:val="00B71429"/>
    <w:rsid w:val="00B714F3"/>
    <w:rsid w:val="00B717C9"/>
    <w:rsid w:val="00B71F0D"/>
    <w:rsid w:val="00B72126"/>
    <w:rsid w:val="00B73413"/>
    <w:rsid w:val="00B7432F"/>
    <w:rsid w:val="00B763BB"/>
    <w:rsid w:val="00B767A8"/>
    <w:rsid w:val="00B76BE6"/>
    <w:rsid w:val="00B76C5A"/>
    <w:rsid w:val="00B771D2"/>
    <w:rsid w:val="00B77C4B"/>
    <w:rsid w:val="00B77E8E"/>
    <w:rsid w:val="00B8018C"/>
    <w:rsid w:val="00B80CAF"/>
    <w:rsid w:val="00B82101"/>
    <w:rsid w:val="00B82900"/>
    <w:rsid w:val="00B8510D"/>
    <w:rsid w:val="00B85FA7"/>
    <w:rsid w:val="00B8648C"/>
    <w:rsid w:val="00B86B2B"/>
    <w:rsid w:val="00B870D2"/>
    <w:rsid w:val="00B871CD"/>
    <w:rsid w:val="00B873C2"/>
    <w:rsid w:val="00B876B4"/>
    <w:rsid w:val="00B87C41"/>
    <w:rsid w:val="00B87C47"/>
    <w:rsid w:val="00B91EE7"/>
    <w:rsid w:val="00B923E3"/>
    <w:rsid w:val="00B92C66"/>
    <w:rsid w:val="00B931AA"/>
    <w:rsid w:val="00B94353"/>
    <w:rsid w:val="00B94D66"/>
    <w:rsid w:val="00B9621F"/>
    <w:rsid w:val="00B96B7D"/>
    <w:rsid w:val="00B96C51"/>
    <w:rsid w:val="00B96F1E"/>
    <w:rsid w:val="00B9708B"/>
    <w:rsid w:val="00B9795C"/>
    <w:rsid w:val="00B97A3A"/>
    <w:rsid w:val="00BA09A3"/>
    <w:rsid w:val="00BA0FF6"/>
    <w:rsid w:val="00BA1439"/>
    <w:rsid w:val="00BA16BC"/>
    <w:rsid w:val="00BA18E3"/>
    <w:rsid w:val="00BA2B18"/>
    <w:rsid w:val="00BA2C4A"/>
    <w:rsid w:val="00BA2C8D"/>
    <w:rsid w:val="00BA2DB4"/>
    <w:rsid w:val="00BA3D83"/>
    <w:rsid w:val="00BA3F12"/>
    <w:rsid w:val="00BA7D1D"/>
    <w:rsid w:val="00BB19CF"/>
    <w:rsid w:val="00BB1E35"/>
    <w:rsid w:val="00BB24C2"/>
    <w:rsid w:val="00BB2626"/>
    <w:rsid w:val="00BB2958"/>
    <w:rsid w:val="00BB38B9"/>
    <w:rsid w:val="00BB3D34"/>
    <w:rsid w:val="00BB546A"/>
    <w:rsid w:val="00BB7594"/>
    <w:rsid w:val="00BB77FA"/>
    <w:rsid w:val="00BC09CF"/>
    <w:rsid w:val="00BC0ED5"/>
    <w:rsid w:val="00BC1CFB"/>
    <w:rsid w:val="00BC1EEE"/>
    <w:rsid w:val="00BC284D"/>
    <w:rsid w:val="00BC2A34"/>
    <w:rsid w:val="00BC2A51"/>
    <w:rsid w:val="00BC3568"/>
    <w:rsid w:val="00BC58D5"/>
    <w:rsid w:val="00BC5F65"/>
    <w:rsid w:val="00BC6147"/>
    <w:rsid w:val="00BC7CEB"/>
    <w:rsid w:val="00BD0510"/>
    <w:rsid w:val="00BD0A15"/>
    <w:rsid w:val="00BD0E65"/>
    <w:rsid w:val="00BD0EDE"/>
    <w:rsid w:val="00BD36B3"/>
    <w:rsid w:val="00BD38F8"/>
    <w:rsid w:val="00BD3E5B"/>
    <w:rsid w:val="00BD56FD"/>
    <w:rsid w:val="00BD5C62"/>
    <w:rsid w:val="00BD5C93"/>
    <w:rsid w:val="00BD6AA7"/>
    <w:rsid w:val="00BD6CF2"/>
    <w:rsid w:val="00BD747D"/>
    <w:rsid w:val="00BD793A"/>
    <w:rsid w:val="00BD79FB"/>
    <w:rsid w:val="00BE001F"/>
    <w:rsid w:val="00BE004A"/>
    <w:rsid w:val="00BE1237"/>
    <w:rsid w:val="00BE1E8F"/>
    <w:rsid w:val="00BE1F46"/>
    <w:rsid w:val="00BE281B"/>
    <w:rsid w:val="00BE2D86"/>
    <w:rsid w:val="00BE340E"/>
    <w:rsid w:val="00BE3776"/>
    <w:rsid w:val="00BE3860"/>
    <w:rsid w:val="00BE39CE"/>
    <w:rsid w:val="00BE3EB4"/>
    <w:rsid w:val="00BE42CE"/>
    <w:rsid w:val="00BE4968"/>
    <w:rsid w:val="00BE5E0C"/>
    <w:rsid w:val="00BE64A4"/>
    <w:rsid w:val="00BE7C26"/>
    <w:rsid w:val="00BF007D"/>
    <w:rsid w:val="00BF0A35"/>
    <w:rsid w:val="00BF1D79"/>
    <w:rsid w:val="00BF31AC"/>
    <w:rsid w:val="00BF33FC"/>
    <w:rsid w:val="00BF34DF"/>
    <w:rsid w:val="00BF3C1F"/>
    <w:rsid w:val="00BF4D32"/>
    <w:rsid w:val="00BF4D4C"/>
    <w:rsid w:val="00BF6B61"/>
    <w:rsid w:val="00C00671"/>
    <w:rsid w:val="00C00D54"/>
    <w:rsid w:val="00C00DEB"/>
    <w:rsid w:val="00C00FD5"/>
    <w:rsid w:val="00C012AF"/>
    <w:rsid w:val="00C01AA8"/>
    <w:rsid w:val="00C01C52"/>
    <w:rsid w:val="00C01DE3"/>
    <w:rsid w:val="00C02A22"/>
    <w:rsid w:val="00C036FC"/>
    <w:rsid w:val="00C03BBB"/>
    <w:rsid w:val="00C04612"/>
    <w:rsid w:val="00C04F10"/>
    <w:rsid w:val="00C05378"/>
    <w:rsid w:val="00C05818"/>
    <w:rsid w:val="00C05E21"/>
    <w:rsid w:val="00C06332"/>
    <w:rsid w:val="00C06998"/>
    <w:rsid w:val="00C06AF5"/>
    <w:rsid w:val="00C070B1"/>
    <w:rsid w:val="00C112F7"/>
    <w:rsid w:val="00C11CB0"/>
    <w:rsid w:val="00C11DA2"/>
    <w:rsid w:val="00C11DFB"/>
    <w:rsid w:val="00C126C0"/>
    <w:rsid w:val="00C12B93"/>
    <w:rsid w:val="00C12F6C"/>
    <w:rsid w:val="00C13B81"/>
    <w:rsid w:val="00C13C7D"/>
    <w:rsid w:val="00C13D4D"/>
    <w:rsid w:val="00C14A13"/>
    <w:rsid w:val="00C14C55"/>
    <w:rsid w:val="00C14CEE"/>
    <w:rsid w:val="00C15513"/>
    <w:rsid w:val="00C155E5"/>
    <w:rsid w:val="00C163D4"/>
    <w:rsid w:val="00C1723C"/>
    <w:rsid w:val="00C1735C"/>
    <w:rsid w:val="00C174A1"/>
    <w:rsid w:val="00C21C9D"/>
    <w:rsid w:val="00C21E45"/>
    <w:rsid w:val="00C21F34"/>
    <w:rsid w:val="00C23B6D"/>
    <w:rsid w:val="00C2440C"/>
    <w:rsid w:val="00C244F4"/>
    <w:rsid w:val="00C24B66"/>
    <w:rsid w:val="00C2607A"/>
    <w:rsid w:val="00C26766"/>
    <w:rsid w:val="00C269A2"/>
    <w:rsid w:val="00C26B92"/>
    <w:rsid w:val="00C27D38"/>
    <w:rsid w:val="00C304AB"/>
    <w:rsid w:val="00C3110D"/>
    <w:rsid w:val="00C31328"/>
    <w:rsid w:val="00C318BC"/>
    <w:rsid w:val="00C321CA"/>
    <w:rsid w:val="00C32B7E"/>
    <w:rsid w:val="00C34DB7"/>
    <w:rsid w:val="00C3517C"/>
    <w:rsid w:val="00C3551E"/>
    <w:rsid w:val="00C36ED9"/>
    <w:rsid w:val="00C3700F"/>
    <w:rsid w:val="00C3797F"/>
    <w:rsid w:val="00C37A27"/>
    <w:rsid w:val="00C400BB"/>
    <w:rsid w:val="00C406FB"/>
    <w:rsid w:val="00C40F92"/>
    <w:rsid w:val="00C413E0"/>
    <w:rsid w:val="00C41A01"/>
    <w:rsid w:val="00C42BD0"/>
    <w:rsid w:val="00C444E4"/>
    <w:rsid w:val="00C445D5"/>
    <w:rsid w:val="00C448E0"/>
    <w:rsid w:val="00C459DE"/>
    <w:rsid w:val="00C45DA7"/>
    <w:rsid w:val="00C46312"/>
    <w:rsid w:val="00C4631D"/>
    <w:rsid w:val="00C46634"/>
    <w:rsid w:val="00C50110"/>
    <w:rsid w:val="00C506E7"/>
    <w:rsid w:val="00C51057"/>
    <w:rsid w:val="00C5142D"/>
    <w:rsid w:val="00C52113"/>
    <w:rsid w:val="00C52D96"/>
    <w:rsid w:val="00C55104"/>
    <w:rsid w:val="00C554D8"/>
    <w:rsid w:val="00C5585C"/>
    <w:rsid w:val="00C55D8A"/>
    <w:rsid w:val="00C5607B"/>
    <w:rsid w:val="00C5641C"/>
    <w:rsid w:val="00C56612"/>
    <w:rsid w:val="00C56829"/>
    <w:rsid w:val="00C56E1B"/>
    <w:rsid w:val="00C57334"/>
    <w:rsid w:val="00C57C3C"/>
    <w:rsid w:val="00C618F3"/>
    <w:rsid w:val="00C61D17"/>
    <w:rsid w:val="00C620C1"/>
    <w:rsid w:val="00C63A37"/>
    <w:rsid w:val="00C656FD"/>
    <w:rsid w:val="00C661D3"/>
    <w:rsid w:val="00C67005"/>
    <w:rsid w:val="00C70F39"/>
    <w:rsid w:val="00C7186D"/>
    <w:rsid w:val="00C72D61"/>
    <w:rsid w:val="00C72D97"/>
    <w:rsid w:val="00C72E77"/>
    <w:rsid w:val="00C73FE1"/>
    <w:rsid w:val="00C740B9"/>
    <w:rsid w:val="00C74745"/>
    <w:rsid w:val="00C7726E"/>
    <w:rsid w:val="00C77FE7"/>
    <w:rsid w:val="00C82A4D"/>
    <w:rsid w:val="00C82CFB"/>
    <w:rsid w:val="00C84A4C"/>
    <w:rsid w:val="00C84C94"/>
    <w:rsid w:val="00C87120"/>
    <w:rsid w:val="00C87504"/>
    <w:rsid w:val="00C87E74"/>
    <w:rsid w:val="00C904DE"/>
    <w:rsid w:val="00C90760"/>
    <w:rsid w:val="00C92BCA"/>
    <w:rsid w:val="00C944C2"/>
    <w:rsid w:val="00C948EB"/>
    <w:rsid w:val="00C9548E"/>
    <w:rsid w:val="00C9656F"/>
    <w:rsid w:val="00C9727A"/>
    <w:rsid w:val="00C9780A"/>
    <w:rsid w:val="00C97DA8"/>
    <w:rsid w:val="00CA10EF"/>
    <w:rsid w:val="00CA136D"/>
    <w:rsid w:val="00CA1615"/>
    <w:rsid w:val="00CA1936"/>
    <w:rsid w:val="00CA221A"/>
    <w:rsid w:val="00CA2663"/>
    <w:rsid w:val="00CA27F8"/>
    <w:rsid w:val="00CA29D4"/>
    <w:rsid w:val="00CA3A26"/>
    <w:rsid w:val="00CA7B2B"/>
    <w:rsid w:val="00CA7F69"/>
    <w:rsid w:val="00CA7F80"/>
    <w:rsid w:val="00CB0369"/>
    <w:rsid w:val="00CB16A5"/>
    <w:rsid w:val="00CB1D44"/>
    <w:rsid w:val="00CB2073"/>
    <w:rsid w:val="00CB209A"/>
    <w:rsid w:val="00CB24A0"/>
    <w:rsid w:val="00CB280F"/>
    <w:rsid w:val="00CB31E6"/>
    <w:rsid w:val="00CB41A5"/>
    <w:rsid w:val="00CB41B7"/>
    <w:rsid w:val="00CB5041"/>
    <w:rsid w:val="00CB53B8"/>
    <w:rsid w:val="00CB57ED"/>
    <w:rsid w:val="00CB5C20"/>
    <w:rsid w:val="00CB61D6"/>
    <w:rsid w:val="00CB6710"/>
    <w:rsid w:val="00CB6B34"/>
    <w:rsid w:val="00CB7BA2"/>
    <w:rsid w:val="00CC0E44"/>
    <w:rsid w:val="00CC1547"/>
    <w:rsid w:val="00CC1BC0"/>
    <w:rsid w:val="00CC288C"/>
    <w:rsid w:val="00CC28FF"/>
    <w:rsid w:val="00CC3CD2"/>
    <w:rsid w:val="00CC5137"/>
    <w:rsid w:val="00CC5B2D"/>
    <w:rsid w:val="00CC7535"/>
    <w:rsid w:val="00CC7AA0"/>
    <w:rsid w:val="00CC7FA3"/>
    <w:rsid w:val="00CD0566"/>
    <w:rsid w:val="00CD1140"/>
    <w:rsid w:val="00CD1FFF"/>
    <w:rsid w:val="00CD3357"/>
    <w:rsid w:val="00CD405A"/>
    <w:rsid w:val="00CD4372"/>
    <w:rsid w:val="00CD45AB"/>
    <w:rsid w:val="00CD4B6F"/>
    <w:rsid w:val="00CD4D32"/>
    <w:rsid w:val="00CD4E4D"/>
    <w:rsid w:val="00CD59D0"/>
    <w:rsid w:val="00CD64AC"/>
    <w:rsid w:val="00CD6797"/>
    <w:rsid w:val="00CD760E"/>
    <w:rsid w:val="00CE052C"/>
    <w:rsid w:val="00CE0C51"/>
    <w:rsid w:val="00CE0D3A"/>
    <w:rsid w:val="00CE13C5"/>
    <w:rsid w:val="00CE26F2"/>
    <w:rsid w:val="00CE290B"/>
    <w:rsid w:val="00CE2E86"/>
    <w:rsid w:val="00CE3F77"/>
    <w:rsid w:val="00CE49B5"/>
    <w:rsid w:val="00CE4A26"/>
    <w:rsid w:val="00CE57A4"/>
    <w:rsid w:val="00CE5AEE"/>
    <w:rsid w:val="00CE61A9"/>
    <w:rsid w:val="00CE6449"/>
    <w:rsid w:val="00CE6991"/>
    <w:rsid w:val="00CE7B36"/>
    <w:rsid w:val="00CE7B7C"/>
    <w:rsid w:val="00CE7EAE"/>
    <w:rsid w:val="00CF1E8E"/>
    <w:rsid w:val="00CF37B1"/>
    <w:rsid w:val="00CF40FB"/>
    <w:rsid w:val="00CF49A0"/>
    <w:rsid w:val="00CF4BFC"/>
    <w:rsid w:val="00CF4DA6"/>
    <w:rsid w:val="00CF5A88"/>
    <w:rsid w:val="00CF5B50"/>
    <w:rsid w:val="00CF66C0"/>
    <w:rsid w:val="00CF6F06"/>
    <w:rsid w:val="00CF7382"/>
    <w:rsid w:val="00CF7C38"/>
    <w:rsid w:val="00D00671"/>
    <w:rsid w:val="00D00FFD"/>
    <w:rsid w:val="00D01FC9"/>
    <w:rsid w:val="00D03C7A"/>
    <w:rsid w:val="00D03DF7"/>
    <w:rsid w:val="00D0563F"/>
    <w:rsid w:val="00D05B3F"/>
    <w:rsid w:val="00D05F7D"/>
    <w:rsid w:val="00D06981"/>
    <w:rsid w:val="00D070E7"/>
    <w:rsid w:val="00D07526"/>
    <w:rsid w:val="00D07E1F"/>
    <w:rsid w:val="00D10106"/>
    <w:rsid w:val="00D11245"/>
    <w:rsid w:val="00D117F6"/>
    <w:rsid w:val="00D11F6C"/>
    <w:rsid w:val="00D125AB"/>
    <w:rsid w:val="00D12FC2"/>
    <w:rsid w:val="00D143A1"/>
    <w:rsid w:val="00D15ADE"/>
    <w:rsid w:val="00D2057B"/>
    <w:rsid w:val="00D2089C"/>
    <w:rsid w:val="00D20C83"/>
    <w:rsid w:val="00D21D7E"/>
    <w:rsid w:val="00D21F4F"/>
    <w:rsid w:val="00D22075"/>
    <w:rsid w:val="00D22EEA"/>
    <w:rsid w:val="00D2392C"/>
    <w:rsid w:val="00D23E8E"/>
    <w:rsid w:val="00D245EA"/>
    <w:rsid w:val="00D24A5C"/>
    <w:rsid w:val="00D25549"/>
    <w:rsid w:val="00D26150"/>
    <w:rsid w:val="00D26712"/>
    <w:rsid w:val="00D27F36"/>
    <w:rsid w:val="00D30845"/>
    <w:rsid w:val="00D30D61"/>
    <w:rsid w:val="00D30E9F"/>
    <w:rsid w:val="00D3171A"/>
    <w:rsid w:val="00D32690"/>
    <w:rsid w:val="00D3286F"/>
    <w:rsid w:val="00D343C9"/>
    <w:rsid w:val="00D34772"/>
    <w:rsid w:val="00D34B4B"/>
    <w:rsid w:val="00D34B5C"/>
    <w:rsid w:val="00D35452"/>
    <w:rsid w:val="00D35F47"/>
    <w:rsid w:val="00D402F4"/>
    <w:rsid w:val="00D41753"/>
    <w:rsid w:val="00D41955"/>
    <w:rsid w:val="00D42381"/>
    <w:rsid w:val="00D42870"/>
    <w:rsid w:val="00D43195"/>
    <w:rsid w:val="00D43813"/>
    <w:rsid w:val="00D44B1C"/>
    <w:rsid w:val="00D44B86"/>
    <w:rsid w:val="00D45105"/>
    <w:rsid w:val="00D474AA"/>
    <w:rsid w:val="00D47DF7"/>
    <w:rsid w:val="00D47E7D"/>
    <w:rsid w:val="00D50073"/>
    <w:rsid w:val="00D508C8"/>
    <w:rsid w:val="00D50D08"/>
    <w:rsid w:val="00D50D91"/>
    <w:rsid w:val="00D50F16"/>
    <w:rsid w:val="00D52199"/>
    <w:rsid w:val="00D5345D"/>
    <w:rsid w:val="00D53767"/>
    <w:rsid w:val="00D5454A"/>
    <w:rsid w:val="00D562F3"/>
    <w:rsid w:val="00D5681B"/>
    <w:rsid w:val="00D568D4"/>
    <w:rsid w:val="00D570B8"/>
    <w:rsid w:val="00D57505"/>
    <w:rsid w:val="00D575AE"/>
    <w:rsid w:val="00D60DC4"/>
    <w:rsid w:val="00D60F46"/>
    <w:rsid w:val="00D60FEE"/>
    <w:rsid w:val="00D62946"/>
    <w:rsid w:val="00D62EFA"/>
    <w:rsid w:val="00D63903"/>
    <w:rsid w:val="00D643A4"/>
    <w:rsid w:val="00D65049"/>
    <w:rsid w:val="00D65A63"/>
    <w:rsid w:val="00D66BCA"/>
    <w:rsid w:val="00D670FD"/>
    <w:rsid w:val="00D67A91"/>
    <w:rsid w:val="00D7029B"/>
    <w:rsid w:val="00D70562"/>
    <w:rsid w:val="00D70F8F"/>
    <w:rsid w:val="00D71CB4"/>
    <w:rsid w:val="00D7294A"/>
    <w:rsid w:val="00D7414B"/>
    <w:rsid w:val="00D74B20"/>
    <w:rsid w:val="00D74BB3"/>
    <w:rsid w:val="00D75853"/>
    <w:rsid w:val="00D75EEA"/>
    <w:rsid w:val="00D76F45"/>
    <w:rsid w:val="00D801CC"/>
    <w:rsid w:val="00D816CD"/>
    <w:rsid w:val="00D81976"/>
    <w:rsid w:val="00D8197D"/>
    <w:rsid w:val="00D81D6D"/>
    <w:rsid w:val="00D8250F"/>
    <w:rsid w:val="00D82E8A"/>
    <w:rsid w:val="00D838CF"/>
    <w:rsid w:val="00D83B21"/>
    <w:rsid w:val="00D83BEB"/>
    <w:rsid w:val="00D8425F"/>
    <w:rsid w:val="00D849CA"/>
    <w:rsid w:val="00D84B76"/>
    <w:rsid w:val="00D85E91"/>
    <w:rsid w:val="00D87A00"/>
    <w:rsid w:val="00D87E39"/>
    <w:rsid w:val="00D911A7"/>
    <w:rsid w:val="00D91365"/>
    <w:rsid w:val="00D92600"/>
    <w:rsid w:val="00D9271E"/>
    <w:rsid w:val="00D92B35"/>
    <w:rsid w:val="00D9358A"/>
    <w:rsid w:val="00D93B86"/>
    <w:rsid w:val="00D93BB1"/>
    <w:rsid w:val="00D95764"/>
    <w:rsid w:val="00D95D5D"/>
    <w:rsid w:val="00D9650B"/>
    <w:rsid w:val="00D96CF9"/>
    <w:rsid w:val="00D97360"/>
    <w:rsid w:val="00D97F27"/>
    <w:rsid w:val="00DA0734"/>
    <w:rsid w:val="00DA1DFE"/>
    <w:rsid w:val="00DA1F8B"/>
    <w:rsid w:val="00DA27F9"/>
    <w:rsid w:val="00DA3678"/>
    <w:rsid w:val="00DA3FB2"/>
    <w:rsid w:val="00DA434C"/>
    <w:rsid w:val="00DA50E8"/>
    <w:rsid w:val="00DA55CF"/>
    <w:rsid w:val="00DB297D"/>
    <w:rsid w:val="00DB2A24"/>
    <w:rsid w:val="00DB2DB2"/>
    <w:rsid w:val="00DB2F91"/>
    <w:rsid w:val="00DB6534"/>
    <w:rsid w:val="00DB6E0C"/>
    <w:rsid w:val="00DB6EAC"/>
    <w:rsid w:val="00DB796E"/>
    <w:rsid w:val="00DC1F91"/>
    <w:rsid w:val="00DC2922"/>
    <w:rsid w:val="00DC3532"/>
    <w:rsid w:val="00DC3E4C"/>
    <w:rsid w:val="00DC40F5"/>
    <w:rsid w:val="00DC4531"/>
    <w:rsid w:val="00DC4C3C"/>
    <w:rsid w:val="00DC51C7"/>
    <w:rsid w:val="00DC58F9"/>
    <w:rsid w:val="00DC64B6"/>
    <w:rsid w:val="00DC6EE6"/>
    <w:rsid w:val="00DC7C4A"/>
    <w:rsid w:val="00DD0535"/>
    <w:rsid w:val="00DD15E7"/>
    <w:rsid w:val="00DD165B"/>
    <w:rsid w:val="00DD1B83"/>
    <w:rsid w:val="00DD1C9C"/>
    <w:rsid w:val="00DD2AD4"/>
    <w:rsid w:val="00DD2FB7"/>
    <w:rsid w:val="00DD35C6"/>
    <w:rsid w:val="00DD3B2E"/>
    <w:rsid w:val="00DD41E9"/>
    <w:rsid w:val="00DD4BC0"/>
    <w:rsid w:val="00DD4F7A"/>
    <w:rsid w:val="00DD53E1"/>
    <w:rsid w:val="00DD58ED"/>
    <w:rsid w:val="00DD5BC1"/>
    <w:rsid w:val="00DD6C7F"/>
    <w:rsid w:val="00DE1A8B"/>
    <w:rsid w:val="00DE2BC8"/>
    <w:rsid w:val="00DE2D87"/>
    <w:rsid w:val="00DE31BC"/>
    <w:rsid w:val="00DE4C0D"/>
    <w:rsid w:val="00DE4CFC"/>
    <w:rsid w:val="00DE524A"/>
    <w:rsid w:val="00DE5D6C"/>
    <w:rsid w:val="00DE5DAE"/>
    <w:rsid w:val="00DE5FB7"/>
    <w:rsid w:val="00DE77EC"/>
    <w:rsid w:val="00DF1421"/>
    <w:rsid w:val="00DF1A03"/>
    <w:rsid w:val="00DF2E78"/>
    <w:rsid w:val="00DF393B"/>
    <w:rsid w:val="00DF3C28"/>
    <w:rsid w:val="00DF3F20"/>
    <w:rsid w:val="00DF48EC"/>
    <w:rsid w:val="00DF5C10"/>
    <w:rsid w:val="00DF5CB0"/>
    <w:rsid w:val="00DF5E84"/>
    <w:rsid w:val="00DF6CAD"/>
    <w:rsid w:val="00DF749E"/>
    <w:rsid w:val="00DF7DF5"/>
    <w:rsid w:val="00E00245"/>
    <w:rsid w:val="00E005F8"/>
    <w:rsid w:val="00E00E0E"/>
    <w:rsid w:val="00E01410"/>
    <w:rsid w:val="00E024CC"/>
    <w:rsid w:val="00E0252A"/>
    <w:rsid w:val="00E0253E"/>
    <w:rsid w:val="00E02B1A"/>
    <w:rsid w:val="00E03471"/>
    <w:rsid w:val="00E0385F"/>
    <w:rsid w:val="00E03B20"/>
    <w:rsid w:val="00E03CB4"/>
    <w:rsid w:val="00E04B62"/>
    <w:rsid w:val="00E04F70"/>
    <w:rsid w:val="00E04F86"/>
    <w:rsid w:val="00E05FBE"/>
    <w:rsid w:val="00E0640F"/>
    <w:rsid w:val="00E065A4"/>
    <w:rsid w:val="00E06B49"/>
    <w:rsid w:val="00E07EB9"/>
    <w:rsid w:val="00E102FD"/>
    <w:rsid w:val="00E1051C"/>
    <w:rsid w:val="00E1135E"/>
    <w:rsid w:val="00E114DD"/>
    <w:rsid w:val="00E1179C"/>
    <w:rsid w:val="00E1288A"/>
    <w:rsid w:val="00E12E47"/>
    <w:rsid w:val="00E13817"/>
    <w:rsid w:val="00E13AAC"/>
    <w:rsid w:val="00E14056"/>
    <w:rsid w:val="00E14287"/>
    <w:rsid w:val="00E14A04"/>
    <w:rsid w:val="00E160A3"/>
    <w:rsid w:val="00E17CC9"/>
    <w:rsid w:val="00E21C03"/>
    <w:rsid w:val="00E226A0"/>
    <w:rsid w:val="00E238FB"/>
    <w:rsid w:val="00E23B0A"/>
    <w:rsid w:val="00E23CF8"/>
    <w:rsid w:val="00E24408"/>
    <w:rsid w:val="00E246CA"/>
    <w:rsid w:val="00E24E08"/>
    <w:rsid w:val="00E25B00"/>
    <w:rsid w:val="00E263E8"/>
    <w:rsid w:val="00E26F00"/>
    <w:rsid w:val="00E27401"/>
    <w:rsid w:val="00E27C98"/>
    <w:rsid w:val="00E30CAA"/>
    <w:rsid w:val="00E30CD9"/>
    <w:rsid w:val="00E3150E"/>
    <w:rsid w:val="00E31E37"/>
    <w:rsid w:val="00E32112"/>
    <w:rsid w:val="00E3239D"/>
    <w:rsid w:val="00E32CD2"/>
    <w:rsid w:val="00E3313A"/>
    <w:rsid w:val="00E33907"/>
    <w:rsid w:val="00E33C9A"/>
    <w:rsid w:val="00E346E1"/>
    <w:rsid w:val="00E34EF8"/>
    <w:rsid w:val="00E3524E"/>
    <w:rsid w:val="00E358E0"/>
    <w:rsid w:val="00E36EDA"/>
    <w:rsid w:val="00E37229"/>
    <w:rsid w:val="00E376A1"/>
    <w:rsid w:val="00E37EDA"/>
    <w:rsid w:val="00E41B26"/>
    <w:rsid w:val="00E420A4"/>
    <w:rsid w:val="00E4263B"/>
    <w:rsid w:val="00E42D00"/>
    <w:rsid w:val="00E43027"/>
    <w:rsid w:val="00E4386A"/>
    <w:rsid w:val="00E43AB7"/>
    <w:rsid w:val="00E43C64"/>
    <w:rsid w:val="00E43CDA"/>
    <w:rsid w:val="00E44660"/>
    <w:rsid w:val="00E4476B"/>
    <w:rsid w:val="00E44E96"/>
    <w:rsid w:val="00E45101"/>
    <w:rsid w:val="00E45D70"/>
    <w:rsid w:val="00E46055"/>
    <w:rsid w:val="00E4654A"/>
    <w:rsid w:val="00E467C5"/>
    <w:rsid w:val="00E47B79"/>
    <w:rsid w:val="00E51681"/>
    <w:rsid w:val="00E51CF1"/>
    <w:rsid w:val="00E523A5"/>
    <w:rsid w:val="00E52433"/>
    <w:rsid w:val="00E52A69"/>
    <w:rsid w:val="00E52CF4"/>
    <w:rsid w:val="00E52F83"/>
    <w:rsid w:val="00E539F8"/>
    <w:rsid w:val="00E5415E"/>
    <w:rsid w:val="00E5453D"/>
    <w:rsid w:val="00E557BA"/>
    <w:rsid w:val="00E55916"/>
    <w:rsid w:val="00E55933"/>
    <w:rsid w:val="00E563B7"/>
    <w:rsid w:val="00E56528"/>
    <w:rsid w:val="00E56F8C"/>
    <w:rsid w:val="00E57511"/>
    <w:rsid w:val="00E61EC4"/>
    <w:rsid w:val="00E6232E"/>
    <w:rsid w:val="00E62C75"/>
    <w:rsid w:val="00E63302"/>
    <w:rsid w:val="00E63CE8"/>
    <w:rsid w:val="00E6454C"/>
    <w:rsid w:val="00E647C9"/>
    <w:rsid w:val="00E64CB2"/>
    <w:rsid w:val="00E653A7"/>
    <w:rsid w:val="00E664AB"/>
    <w:rsid w:val="00E67827"/>
    <w:rsid w:val="00E67C80"/>
    <w:rsid w:val="00E67ED7"/>
    <w:rsid w:val="00E703AA"/>
    <w:rsid w:val="00E71DB4"/>
    <w:rsid w:val="00E73480"/>
    <w:rsid w:val="00E736AE"/>
    <w:rsid w:val="00E7409A"/>
    <w:rsid w:val="00E74176"/>
    <w:rsid w:val="00E749B4"/>
    <w:rsid w:val="00E74A66"/>
    <w:rsid w:val="00E76508"/>
    <w:rsid w:val="00E76D01"/>
    <w:rsid w:val="00E7763E"/>
    <w:rsid w:val="00E77BF2"/>
    <w:rsid w:val="00E805C9"/>
    <w:rsid w:val="00E8118F"/>
    <w:rsid w:val="00E8153A"/>
    <w:rsid w:val="00E81B38"/>
    <w:rsid w:val="00E81CE8"/>
    <w:rsid w:val="00E8388C"/>
    <w:rsid w:val="00E838AD"/>
    <w:rsid w:val="00E83BC4"/>
    <w:rsid w:val="00E83C93"/>
    <w:rsid w:val="00E83F9E"/>
    <w:rsid w:val="00E865D0"/>
    <w:rsid w:val="00E86A8E"/>
    <w:rsid w:val="00E86A90"/>
    <w:rsid w:val="00E86EB3"/>
    <w:rsid w:val="00E907E2"/>
    <w:rsid w:val="00E909CA"/>
    <w:rsid w:val="00E90E2B"/>
    <w:rsid w:val="00E914CB"/>
    <w:rsid w:val="00E91F1C"/>
    <w:rsid w:val="00E92397"/>
    <w:rsid w:val="00E92D1C"/>
    <w:rsid w:val="00E941C5"/>
    <w:rsid w:val="00E94C46"/>
    <w:rsid w:val="00E94FA0"/>
    <w:rsid w:val="00E95AF8"/>
    <w:rsid w:val="00E95DED"/>
    <w:rsid w:val="00E968A9"/>
    <w:rsid w:val="00E97256"/>
    <w:rsid w:val="00E97375"/>
    <w:rsid w:val="00E97564"/>
    <w:rsid w:val="00E97E61"/>
    <w:rsid w:val="00EA05A9"/>
    <w:rsid w:val="00EA0A1C"/>
    <w:rsid w:val="00EA0C5C"/>
    <w:rsid w:val="00EA0DEA"/>
    <w:rsid w:val="00EA1C2E"/>
    <w:rsid w:val="00EA21FB"/>
    <w:rsid w:val="00EA2C47"/>
    <w:rsid w:val="00EA315A"/>
    <w:rsid w:val="00EA3418"/>
    <w:rsid w:val="00EA3B8D"/>
    <w:rsid w:val="00EA41EB"/>
    <w:rsid w:val="00EA473E"/>
    <w:rsid w:val="00EA50F1"/>
    <w:rsid w:val="00EA5291"/>
    <w:rsid w:val="00EA563A"/>
    <w:rsid w:val="00EA5764"/>
    <w:rsid w:val="00EA6B41"/>
    <w:rsid w:val="00EA7162"/>
    <w:rsid w:val="00EA7263"/>
    <w:rsid w:val="00EA7F6F"/>
    <w:rsid w:val="00EB05C8"/>
    <w:rsid w:val="00EB0FAF"/>
    <w:rsid w:val="00EB1014"/>
    <w:rsid w:val="00EB1EBB"/>
    <w:rsid w:val="00EB1FC8"/>
    <w:rsid w:val="00EB3D08"/>
    <w:rsid w:val="00EB4051"/>
    <w:rsid w:val="00EB45F8"/>
    <w:rsid w:val="00EB5090"/>
    <w:rsid w:val="00EB64E9"/>
    <w:rsid w:val="00EB66EE"/>
    <w:rsid w:val="00EB6949"/>
    <w:rsid w:val="00EB7352"/>
    <w:rsid w:val="00EC06AB"/>
    <w:rsid w:val="00EC1B0D"/>
    <w:rsid w:val="00EC22D4"/>
    <w:rsid w:val="00EC2370"/>
    <w:rsid w:val="00EC2EEA"/>
    <w:rsid w:val="00EC3DF0"/>
    <w:rsid w:val="00EC3FD9"/>
    <w:rsid w:val="00EC5472"/>
    <w:rsid w:val="00EC61D7"/>
    <w:rsid w:val="00EC6715"/>
    <w:rsid w:val="00EC6C0B"/>
    <w:rsid w:val="00EC6F0B"/>
    <w:rsid w:val="00EC7D7C"/>
    <w:rsid w:val="00ED055C"/>
    <w:rsid w:val="00ED0701"/>
    <w:rsid w:val="00ED08ED"/>
    <w:rsid w:val="00ED268C"/>
    <w:rsid w:val="00ED30C7"/>
    <w:rsid w:val="00ED30CA"/>
    <w:rsid w:val="00ED41B2"/>
    <w:rsid w:val="00ED5935"/>
    <w:rsid w:val="00ED5CAE"/>
    <w:rsid w:val="00ED63F1"/>
    <w:rsid w:val="00ED7032"/>
    <w:rsid w:val="00ED7CDB"/>
    <w:rsid w:val="00EE06A2"/>
    <w:rsid w:val="00EE134C"/>
    <w:rsid w:val="00EE161D"/>
    <w:rsid w:val="00EE32FD"/>
    <w:rsid w:val="00EE496B"/>
    <w:rsid w:val="00EE4B02"/>
    <w:rsid w:val="00EE4DAB"/>
    <w:rsid w:val="00EE522B"/>
    <w:rsid w:val="00EE52AA"/>
    <w:rsid w:val="00EE5C53"/>
    <w:rsid w:val="00EE5DEB"/>
    <w:rsid w:val="00EE5FBD"/>
    <w:rsid w:val="00EE74C9"/>
    <w:rsid w:val="00EE7569"/>
    <w:rsid w:val="00EE7615"/>
    <w:rsid w:val="00EE7DC3"/>
    <w:rsid w:val="00EE7FBE"/>
    <w:rsid w:val="00EF00F8"/>
    <w:rsid w:val="00EF036A"/>
    <w:rsid w:val="00EF1F73"/>
    <w:rsid w:val="00EF272D"/>
    <w:rsid w:val="00EF2B19"/>
    <w:rsid w:val="00EF34CB"/>
    <w:rsid w:val="00EF4075"/>
    <w:rsid w:val="00EF4B70"/>
    <w:rsid w:val="00EF4D15"/>
    <w:rsid w:val="00EF50AE"/>
    <w:rsid w:val="00EF51A1"/>
    <w:rsid w:val="00EF5644"/>
    <w:rsid w:val="00EF5A0F"/>
    <w:rsid w:val="00EF5D8C"/>
    <w:rsid w:val="00EF6554"/>
    <w:rsid w:val="00EF7406"/>
    <w:rsid w:val="00F0010F"/>
    <w:rsid w:val="00F0180F"/>
    <w:rsid w:val="00F02437"/>
    <w:rsid w:val="00F02D93"/>
    <w:rsid w:val="00F03027"/>
    <w:rsid w:val="00F030BB"/>
    <w:rsid w:val="00F03527"/>
    <w:rsid w:val="00F043A1"/>
    <w:rsid w:val="00F044C5"/>
    <w:rsid w:val="00F0450F"/>
    <w:rsid w:val="00F04968"/>
    <w:rsid w:val="00F059CC"/>
    <w:rsid w:val="00F05A1C"/>
    <w:rsid w:val="00F06288"/>
    <w:rsid w:val="00F1003D"/>
    <w:rsid w:val="00F116F3"/>
    <w:rsid w:val="00F11A0A"/>
    <w:rsid w:val="00F11B43"/>
    <w:rsid w:val="00F11E64"/>
    <w:rsid w:val="00F11FB4"/>
    <w:rsid w:val="00F124ED"/>
    <w:rsid w:val="00F145B2"/>
    <w:rsid w:val="00F14EE7"/>
    <w:rsid w:val="00F15308"/>
    <w:rsid w:val="00F15503"/>
    <w:rsid w:val="00F15CE8"/>
    <w:rsid w:val="00F15D3F"/>
    <w:rsid w:val="00F15E99"/>
    <w:rsid w:val="00F164BC"/>
    <w:rsid w:val="00F16D3B"/>
    <w:rsid w:val="00F16EE2"/>
    <w:rsid w:val="00F17010"/>
    <w:rsid w:val="00F173E6"/>
    <w:rsid w:val="00F1765F"/>
    <w:rsid w:val="00F21D5E"/>
    <w:rsid w:val="00F223C6"/>
    <w:rsid w:val="00F22F3C"/>
    <w:rsid w:val="00F233CA"/>
    <w:rsid w:val="00F2397D"/>
    <w:rsid w:val="00F23A7D"/>
    <w:rsid w:val="00F24762"/>
    <w:rsid w:val="00F24BC2"/>
    <w:rsid w:val="00F24DDA"/>
    <w:rsid w:val="00F26962"/>
    <w:rsid w:val="00F26D5E"/>
    <w:rsid w:val="00F271C3"/>
    <w:rsid w:val="00F2794C"/>
    <w:rsid w:val="00F27F97"/>
    <w:rsid w:val="00F3044C"/>
    <w:rsid w:val="00F304AF"/>
    <w:rsid w:val="00F31FD1"/>
    <w:rsid w:val="00F32E4E"/>
    <w:rsid w:val="00F338E5"/>
    <w:rsid w:val="00F33B80"/>
    <w:rsid w:val="00F33E9B"/>
    <w:rsid w:val="00F3407E"/>
    <w:rsid w:val="00F3412F"/>
    <w:rsid w:val="00F34EE7"/>
    <w:rsid w:val="00F35969"/>
    <w:rsid w:val="00F3685E"/>
    <w:rsid w:val="00F36A48"/>
    <w:rsid w:val="00F37283"/>
    <w:rsid w:val="00F378CA"/>
    <w:rsid w:val="00F37AFD"/>
    <w:rsid w:val="00F40293"/>
    <w:rsid w:val="00F41252"/>
    <w:rsid w:val="00F414D6"/>
    <w:rsid w:val="00F423C9"/>
    <w:rsid w:val="00F42424"/>
    <w:rsid w:val="00F42ADE"/>
    <w:rsid w:val="00F42BE3"/>
    <w:rsid w:val="00F448D6"/>
    <w:rsid w:val="00F44FAC"/>
    <w:rsid w:val="00F45507"/>
    <w:rsid w:val="00F47119"/>
    <w:rsid w:val="00F4723F"/>
    <w:rsid w:val="00F47DD6"/>
    <w:rsid w:val="00F47EC4"/>
    <w:rsid w:val="00F50732"/>
    <w:rsid w:val="00F51382"/>
    <w:rsid w:val="00F51BE2"/>
    <w:rsid w:val="00F51D31"/>
    <w:rsid w:val="00F51E9A"/>
    <w:rsid w:val="00F529EC"/>
    <w:rsid w:val="00F52C79"/>
    <w:rsid w:val="00F52DF3"/>
    <w:rsid w:val="00F53910"/>
    <w:rsid w:val="00F540C6"/>
    <w:rsid w:val="00F54556"/>
    <w:rsid w:val="00F56BCE"/>
    <w:rsid w:val="00F56D1F"/>
    <w:rsid w:val="00F605B4"/>
    <w:rsid w:val="00F60627"/>
    <w:rsid w:val="00F60F75"/>
    <w:rsid w:val="00F61C1D"/>
    <w:rsid w:val="00F6226B"/>
    <w:rsid w:val="00F632DA"/>
    <w:rsid w:val="00F63CBD"/>
    <w:rsid w:val="00F64710"/>
    <w:rsid w:val="00F649F9"/>
    <w:rsid w:val="00F64E69"/>
    <w:rsid w:val="00F66C70"/>
    <w:rsid w:val="00F67181"/>
    <w:rsid w:val="00F67936"/>
    <w:rsid w:val="00F7049D"/>
    <w:rsid w:val="00F70C09"/>
    <w:rsid w:val="00F72434"/>
    <w:rsid w:val="00F726DB"/>
    <w:rsid w:val="00F72D69"/>
    <w:rsid w:val="00F73779"/>
    <w:rsid w:val="00F73BCD"/>
    <w:rsid w:val="00F74356"/>
    <w:rsid w:val="00F7494A"/>
    <w:rsid w:val="00F75B53"/>
    <w:rsid w:val="00F767FE"/>
    <w:rsid w:val="00F775B3"/>
    <w:rsid w:val="00F7767E"/>
    <w:rsid w:val="00F81130"/>
    <w:rsid w:val="00F81C67"/>
    <w:rsid w:val="00F82AE5"/>
    <w:rsid w:val="00F8370E"/>
    <w:rsid w:val="00F83761"/>
    <w:rsid w:val="00F83FCF"/>
    <w:rsid w:val="00F8421C"/>
    <w:rsid w:val="00F858EC"/>
    <w:rsid w:val="00F85B1D"/>
    <w:rsid w:val="00F863F3"/>
    <w:rsid w:val="00F86A9B"/>
    <w:rsid w:val="00F86C24"/>
    <w:rsid w:val="00F86E33"/>
    <w:rsid w:val="00F86F28"/>
    <w:rsid w:val="00F872BB"/>
    <w:rsid w:val="00F8789D"/>
    <w:rsid w:val="00F914A1"/>
    <w:rsid w:val="00F91C3D"/>
    <w:rsid w:val="00F91DEF"/>
    <w:rsid w:val="00F91E45"/>
    <w:rsid w:val="00F92E3E"/>
    <w:rsid w:val="00F93918"/>
    <w:rsid w:val="00F93F61"/>
    <w:rsid w:val="00F94134"/>
    <w:rsid w:val="00F94712"/>
    <w:rsid w:val="00F96DEC"/>
    <w:rsid w:val="00F96F4C"/>
    <w:rsid w:val="00F97A1C"/>
    <w:rsid w:val="00FA0247"/>
    <w:rsid w:val="00FA0E4D"/>
    <w:rsid w:val="00FA13E7"/>
    <w:rsid w:val="00FA17FC"/>
    <w:rsid w:val="00FA1F58"/>
    <w:rsid w:val="00FA27B5"/>
    <w:rsid w:val="00FA29A5"/>
    <w:rsid w:val="00FA2E31"/>
    <w:rsid w:val="00FA3508"/>
    <w:rsid w:val="00FA4719"/>
    <w:rsid w:val="00FA4CCB"/>
    <w:rsid w:val="00FA4F09"/>
    <w:rsid w:val="00FA57C6"/>
    <w:rsid w:val="00FA642F"/>
    <w:rsid w:val="00FA7E44"/>
    <w:rsid w:val="00FB0724"/>
    <w:rsid w:val="00FB18BA"/>
    <w:rsid w:val="00FB309F"/>
    <w:rsid w:val="00FB3A38"/>
    <w:rsid w:val="00FB4C20"/>
    <w:rsid w:val="00FB51EE"/>
    <w:rsid w:val="00FB520E"/>
    <w:rsid w:val="00FB5804"/>
    <w:rsid w:val="00FB5840"/>
    <w:rsid w:val="00FB5ADD"/>
    <w:rsid w:val="00FB5E57"/>
    <w:rsid w:val="00FB658B"/>
    <w:rsid w:val="00FB6EA0"/>
    <w:rsid w:val="00FB786E"/>
    <w:rsid w:val="00FC0063"/>
    <w:rsid w:val="00FC102E"/>
    <w:rsid w:val="00FC10D4"/>
    <w:rsid w:val="00FC1B58"/>
    <w:rsid w:val="00FC1BC0"/>
    <w:rsid w:val="00FC2083"/>
    <w:rsid w:val="00FC3490"/>
    <w:rsid w:val="00FC4F15"/>
    <w:rsid w:val="00FC4FC8"/>
    <w:rsid w:val="00FC7556"/>
    <w:rsid w:val="00FD0397"/>
    <w:rsid w:val="00FD081F"/>
    <w:rsid w:val="00FD084B"/>
    <w:rsid w:val="00FD08B4"/>
    <w:rsid w:val="00FD0D5D"/>
    <w:rsid w:val="00FD0FB1"/>
    <w:rsid w:val="00FD1467"/>
    <w:rsid w:val="00FD1C54"/>
    <w:rsid w:val="00FD23D1"/>
    <w:rsid w:val="00FD24CC"/>
    <w:rsid w:val="00FD2F1C"/>
    <w:rsid w:val="00FD2FB2"/>
    <w:rsid w:val="00FD3A00"/>
    <w:rsid w:val="00FD3E22"/>
    <w:rsid w:val="00FD3F03"/>
    <w:rsid w:val="00FD4A8F"/>
    <w:rsid w:val="00FD512B"/>
    <w:rsid w:val="00FD5F8B"/>
    <w:rsid w:val="00FE0B8C"/>
    <w:rsid w:val="00FE0D13"/>
    <w:rsid w:val="00FE0E80"/>
    <w:rsid w:val="00FE1EBE"/>
    <w:rsid w:val="00FE285D"/>
    <w:rsid w:val="00FE2CE1"/>
    <w:rsid w:val="00FE3ADE"/>
    <w:rsid w:val="00FE3D1C"/>
    <w:rsid w:val="00FE46DD"/>
    <w:rsid w:val="00FE471E"/>
    <w:rsid w:val="00FE47ED"/>
    <w:rsid w:val="00FE5735"/>
    <w:rsid w:val="00FE57FD"/>
    <w:rsid w:val="00FE6BC6"/>
    <w:rsid w:val="00FE6BD5"/>
    <w:rsid w:val="00FF14C2"/>
    <w:rsid w:val="00FF1CE5"/>
    <w:rsid w:val="00FF24C2"/>
    <w:rsid w:val="00FF2A13"/>
    <w:rsid w:val="00FF2BD1"/>
    <w:rsid w:val="00FF2D4C"/>
    <w:rsid w:val="00FF2DA9"/>
    <w:rsid w:val="00FF3102"/>
    <w:rsid w:val="00FF3272"/>
    <w:rsid w:val="00FF4F5F"/>
    <w:rsid w:val="00FF5F54"/>
    <w:rsid w:val="00FF753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85F88F"/>
  <w15:chartTrackingRefBased/>
  <w15:docId w15:val="{79F89543-EE70-4DD4-9FC2-24A4E9538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34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15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text,fn,ft,single space,FOOTNOTES,footnote text,ADB,WB-Fußnotentext,Fußnote,WB-Fuﬂnotentext,Fuﬂnote,Note de bas de page Car,ALTS FOOTNOTE,Footnote Text Char Char Char Char Char Char,f,Car,Cha,Footnote text,Fußnotentextr,Char,Car1"/>
    <w:basedOn w:val="Normal"/>
    <w:link w:val="FootnoteTextChar"/>
    <w:uiPriority w:val="99"/>
    <w:unhideWhenUsed/>
    <w:qFormat/>
    <w:rsid w:val="00750310"/>
    <w:pPr>
      <w:spacing w:after="0" w:line="240" w:lineRule="auto"/>
    </w:pPr>
    <w:rPr>
      <w:sz w:val="20"/>
      <w:szCs w:val="20"/>
    </w:rPr>
  </w:style>
  <w:style w:type="character" w:customStyle="1" w:styleId="FootnoteTextChar">
    <w:name w:val="Footnote Text Char"/>
    <w:aliases w:val="Footnote Char,text Char,fn Char,ft Char,single space Char,FOOTNOTES Char,footnote text Char,ADB Char,WB-Fußnotentext Char,Fußnote Char,WB-Fuﬂnotentext Char,Fuﬂnote Char,Note de bas de page Car Char,ALTS FOOTNOTE Char,f Char,Car Char"/>
    <w:basedOn w:val="DefaultParagraphFont"/>
    <w:link w:val="FootnoteText"/>
    <w:uiPriority w:val="99"/>
    <w:qFormat/>
    <w:rsid w:val="00750310"/>
    <w:rPr>
      <w:sz w:val="20"/>
      <w:szCs w:val="20"/>
    </w:rPr>
  </w:style>
  <w:style w:type="character" w:styleId="FootnoteReference">
    <w:name w:val="footnote reference"/>
    <w:aliases w:val="ftref,Char Char Char Char Car Char,Ref,de nota al pie,16 Point,Superscript 6 Point,BVI fnr,Estilo de nota al pie de Africa,Footnote Reference1,Error-Fußnotenzeichen5,Error-Fußnotenzeichen6,Error-Fußnotenzeichen3,referencia nota al pi"/>
    <w:basedOn w:val="DefaultParagraphFont"/>
    <w:link w:val="CharChar1CharCharCharChar1CharCharCharCharCharCharCharChar"/>
    <w:uiPriority w:val="99"/>
    <w:unhideWhenUsed/>
    <w:qFormat/>
    <w:rsid w:val="00750310"/>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750310"/>
    <w:pPr>
      <w:spacing w:line="240" w:lineRule="exact"/>
    </w:pPr>
    <w:rPr>
      <w:vertAlign w:val="superscript"/>
    </w:rPr>
  </w:style>
  <w:style w:type="table" w:customStyle="1" w:styleId="none1">
    <w:name w:val="none1"/>
    <w:basedOn w:val="TableNormal"/>
    <w:next w:val="TableGrid"/>
    <w:uiPriority w:val="39"/>
    <w:rsid w:val="00145C16"/>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CV table,CV1,EY Table,TabelEcorys,Table long document,Table style,mtbs,none"/>
    <w:basedOn w:val="TableNormal"/>
    <w:rsid w:val="00145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Bullets,Celula,List Paragraph (numbered (a)),List Paragraph nowy,List Paragraph1,List_Paragraph,Liste 1,Multilevel para_II,Normal 2,Numbered List Paragraph,References,ReferencesCxSpLast,TCI Cursive,WB List Paragraph,lp1"/>
    <w:basedOn w:val="Normal"/>
    <w:link w:val="ListParagraphChar"/>
    <w:uiPriority w:val="34"/>
    <w:qFormat/>
    <w:rsid w:val="00145C16"/>
    <w:pPr>
      <w:widowControl w:val="0"/>
      <w:autoSpaceDE w:val="0"/>
      <w:autoSpaceDN w:val="0"/>
      <w:adjustRightInd w:val="0"/>
      <w:spacing w:after="0" w:line="240" w:lineRule="auto"/>
      <w:ind w:left="720"/>
      <w:contextualSpacing/>
    </w:pPr>
    <w:rPr>
      <w:rFonts w:ascii="Arial" w:eastAsiaTheme="minorEastAsia" w:hAnsi="Arial" w:cs="Arial"/>
      <w:color w:val="000000"/>
      <w:sz w:val="24"/>
      <w:szCs w:val="24"/>
    </w:rPr>
  </w:style>
  <w:style w:type="character" w:customStyle="1" w:styleId="ListParagraphChar">
    <w:name w:val="List Paragraph Char"/>
    <w:aliases w:val="123 List Paragraph Char,Bullets Char,Celula Char,List Paragraph (numbered (a)) Char,List Paragraph nowy Char,List Paragraph1 Char,List_Paragraph Char,Liste 1 Char,Multilevel para_II Char,Normal 2 Char,Numbered List Paragraph Char"/>
    <w:basedOn w:val="DefaultParagraphFont"/>
    <w:link w:val="ListParagraph"/>
    <w:uiPriority w:val="34"/>
    <w:qFormat/>
    <w:locked/>
    <w:rsid w:val="00145C16"/>
    <w:rPr>
      <w:rFonts w:ascii="Arial" w:eastAsiaTheme="minorEastAsia" w:hAnsi="Arial" w:cs="Arial"/>
      <w:color w:val="000000"/>
      <w:sz w:val="24"/>
      <w:szCs w:val="24"/>
    </w:rPr>
  </w:style>
  <w:style w:type="table" w:customStyle="1" w:styleId="none11">
    <w:name w:val="none11"/>
    <w:basedOn w:val="TableNormal"/>
    <w:next w:val="TableGrid"/>
    <w:uiPriority w:val="39"/>
    <w:rsid w:val="00597D3D"/>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ne12">
    <w:name w:val="none12"/>
    <w:basedOn w:val="TableNormal"/>
    <w:next w:val="TableGrid"/>
    <w:uiPriority w:val="39"/>
    <w:rsid w:val="003129A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91579"/>
    <w:rPr>
      <w:rFonts w:asciiTheme="majorHAnsi" w:eastAsiaTheme="majorEastAsia" w:hAnsiTheme="majorHAnsi" w:cstheme="majorBidi"/>
      <w:color w:val="2F5496" w:themeColor="accent1" w:themeShade="BF"/>
      <w:sz w:val="26"/>
      <w:szCs w:val="26"/>
    </w:rPr>
  </w:style>
  <w:style w:type="paragraph" w:customStyle="1" w:styleId="Figure">
    <w:name w:val="Figure"/>
    <w:basedOn w:val="Caption"/>
    <w:link w:val="FigureChar"/>
    <w:qFormat/>
    <w:rsid w:val="00EF6554"/>
    <w:rPr>
      <w:rFonts w:ascii="Times New Roman" w:eastAsia="Calibri" w:hAnsi="Times New Roman" w:cs="Calibri"/>
      <w:b/>
      <w:i w:val="0"/>
      <w:sz w:val="20"/>
    </w:rPr>
  </w:style>
  <w:style w:type="character" w:customStyle="1" w:styleId="FigureChar">
    <w:name w:val="Figure Char"/>
    <w:basedOn w:val="DefaultParagraphFont"/>
    <w:link w:val="Figure"/>
    <w:rsid w:val="00EF6554"/>
    <w:rPr>
      <w:rFonts w:ascii="Times New Roman" w:eastAsia="Calibri" w:hAnsi="Times New Roman" w:cs="Calibri"/>
      <w:b/>
      <w:iCs/>
      <w:color w:val="44546A" w:themeColor="text2"/>
      <w:sz w:val="20"/>
      <w:szCs w:val="18"/>
    </w:rPr>
  </w:style>
  <w:style w:type="paragraph" w:styleId="Caption">
    <w:name w:val="caption"/>
    <w:basedOn w:val="Normal"/>
    <w:next w:val="Normal"/>
    <w:uiPriority w:val="35"/>
    <w:unhideWhenUsed/>
    <w:qFormat/>
    <w:rsid w:val="00EF6554"/>
    <w:pPr>
      <w:spacing w:after="200" w:line="240" w:lineRule="auto"/>
    </w:pPr>
    <w:rPr>
      <w:i/>
      <w:iCs/>
      <w:color w:val="44546A" w:themeColor="text2"/>
      <w:sz w:val="18"/>
      <w:szCs w:val="18"/>
    </w:rPr>
  </w:style>
  <w:style w:type="paragraph" w:customStyle="1" w:styleId="Default">
    <w:name w:val="Default"/>
    <w:rsid w:val="00F11FB4"/>
    <w:pPr>
      <w:autoSpaceDE w:val="0"/>
      <w:autoSpaceDN w:val="0"/>
      <w:adjustRightInd w:val="0"/>
      <w:spacing w:after="0" w:line="240" w:lineRule="auto"/>
    </w:pPr>
    <w:rPr>
      <w:rFonts w:ascii="Segoe UI" w:hAnsi="Segoe UI" w:cs="Segoe UI"/>
      <w:color w:val="000000"/>
      <w:sz w:val="24"/>
      <w:szCs w:val="24"/>
    </w:rPr>
  </w:style>
  <w:style w:type="paragraph" w:styleId="Header">
    <w:name w:val="header"/>
    <w:basedOn w:val="Normal"/>
    <w:link w:val="HeaderChar"/>
    <w:uiPriority w:val="99"/>
    <w:unhideWhenUsed/>
    <w:rsid w:val="00625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760"/>
  </w:style>
  <w:style w:type="paragraph" w:styleId="Footer">
    <w:name w:val="footer"/>
    <w:basedOn w:val="Normal"/>
    <w:link w:val="FooterChar"/>
    <w:uiPriority w:val="99"/>
    <w:unhideWhenUsed/>
    <w:rsid w:val="00625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760"/>
  </w:style>
  <w:style w:type="character" w:styleId="CommentReference">
    <w:name w:val="annotation reference"/>
    <w:basedOn w:val="DefaultParagraphFont"/>
    <w:uiPriority w:val="99"/>
    <w:semiHidden/>
    <w:unhideWhenUsed/>
    <w:rsid w:val="0002499F"/>
    <w:rPr>
      <w:sz w:val="16"/>
      <w:szCs w:val="16"/>
    </w:rPr>
  </w:style>
  <w:style w:type="paragraph" w:styleId="CommentText">
    <w:name w:val="annotation text"/>
    <w:basedOn w:val="Normal"/>
    <w:link w:val="CommentTextChar"/>
    <w:uiPriority w:val="99"/>
    <w:semiHidden/>
    <w:unhideWhenUsed/>
    <w:rsid w:val="0002499F"/>
    <w:pPr>
      <w:spacing w:line="240" w:lineRule="auto"/>
    </w:pPr>
    <w:rPr>
      <w:sz w:val="20"/>
      <w:szCs w:val="20"/>
    </w:rPr>
  </w:style>
  <w:style w:type="character" w:customStyle="1" w:styleId="CommentTextChar">
    <w:name w:val="Comment Text Char"/>
    <w:basedOn w:val="DefaultParagraphFont"/>
    <w:link w:val="CommentText"/>
    <w:uiPriority w:val="99"/>
    <w:semiHidden/>
    <w:rsid w:val="0002499F"/>
    <w:rPr>
      <w:sz w:val="20"/>
      <w:szCs w:val="20"/>
    </w:rPr>
  </w:style>
  <w:style w:type="paragraph" w:styleId="CommentSubject">
    <w:name w:val="annotation subject"/>
    <w:basedOn w:val="CommentText"/>
    <w:next w:val="CommentText"/>
    <w:link w:val="CommentSubjectChar"/>
    <w:uiPriority w:val="99"/>
    <w:semiHidden/>
    <w:unhideWhenUsed/>
    <w:rsid w:val="0002499F"/>
    <w:rPr>
      <w:b/>
      <w:bCs/>
    </w:rPr>
  </w:style>
  <w:style w:type="character" w:customStyle="1" w:styleId="CommentSubjectChar">
    <w:name w:val="Comment Subject Char"/>
    <w:basedOn w:val="CommentTextChar"/>
    <w:link w:val="CommentSubject"/>
    <w:uiPriority w:val="99"/>
    <w:semiHidden/>
    <w:rsid w:val="0002499F"/>
    <w:rPr>
      <w:b/>
      <w:bCs/>
      <w:sz w:val="20"/>
      <w:szCs w:val="20"/>
    </w:rPr>
  </w:style>
  <w:style w:type="table" w:styleId="GridTable5Dark-Accent3">
    <w:name w:val="Grid Table 5 Dark Accent 3"/>
    <w:basedOn w:val="TableNormal"/>
    <w:uiPriority w:val="50"/>
    <w:rsid w:val="005010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Hyperlink">
    <w:name w:val="Hyperlink"/>
    <w:basedOn w:val="DefaultParagraphFont"/>
    <w:uiPriority w:val="99"/>
    <w:unhideWhenUsed/>
    <w:rsid w:val="005010DB"/>
    <w:rPr>
      <w:color w:val="0563C1" w:themeColor="hyperlink"/>
      <w:u w:val="single"/>
    </w:rPr>
  </w:style>
  <w:style w:type="character" w:styleId="Emphasis">
    <w:name w:val="Emphasis"/>
    <w:basedOn w:val="DefaultParagraphFont"/>
    <w:uiPriority w:val="20"/>
    <w:qFormat/>
    <w:rsid w:val="005010DB"/>
    <w:rPr>
      <w:i/>
      <w:iCs/>
    </w:rPr>
  </w:style>
  <w:style w:type="paragraph" w:styleId="NormalWeb">
    <w:name w:val="Normal (Web)"/>
    <w:basedOn w:val="Normal"/>
    <w:uiPriority w:val="99"/>
    <w:unhideWhenUsed/>
    <w:rsid w:val="00007ADC"/>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3">
    <w:name w:val="Grid Table 4 Accent 3"/>
    <w:basedOn w:val="TableNormal"/>
    <w:uiPriority w:val="49"/>
    <w:rsid w:val="0065289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3659AD"/>
    <w:pPr>
      <w:spacing w:after="0" w:line="240" w:lineRule="auto"/>
    </w:pPr>
  </w:style>
  <w:style w:type="paragraph" w:styleId="Title">
    <w:name w:val="Title"/>
    <w:basedOn w:val="Normal"/>
    <w:next w:val="Normal"/>
    <w:link w:val="TitleChar"/>
    <w:uiPriority w:val="10"/>
    <w:qFormat/>
    <w:rsid w:val="00001A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A6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2343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65668"/>
    <w:pPr>
      <w:outlineLvl w:val="9"/>
    </w:pPr>
  </w:style>
  <w:style w:type="paragraph" w:styleId="TOC1">
    <w:name w:val="toc 1"/>
    <w:basedOn w:val="Normal"/>
    <w:next w:val="Normal"/>
    <w:autoRedefine/>
    <w:uiPriority w:val="39"/>
    <w:unhideWhenUsed/>
    <w:rsid w:val="00775AEA"/>
    <w:pPr>
      <w:tabs>
        <w:tab w:val="right" w:leader="dot" w:pos="9350"/>
      </w:tabs>
      <w:spacing w:after="100"/>
    </w:pPr>
  </w:style>
  <w:style w:type="paragraph" w:styleId="TOC2">
    <w:name w:val="toc 2"/>
    <w:basedOn w:val="Normal"/>
    <w:next w:val="Normal"/>
    <w:autoRedefine/>
    <w:uiPriority w:val="39"/>
    <w:unhideWhenUsed/>
    <w:rsid w:val="003B5B5C"/>
    <w:pPr>
      <w:tabs>
        <w:tab w:val="left" w:pos="660"/>
        <w:tab w:val="right" w:leader="dot" w:pos="9350"/>
      </w:tabs>
      <w:spacing w:after="100"/>
      <w:ind w:left="220"/>
    </w:pPr>
  </w:style>
  <w:style w:type="paragraph" w:styleId="TableofFigures">
    <w:name w:val="table of figures"/>
    <w:basedOn w:val="Normal"/>
    <w:next w:val="Normal"/>
    <w:uiPriority w:val="99"/>
    <w:unhideWhenUsed/>
    <w:rsid w:val="00C12B93"/>
    <w:pPr>
      <w:spacing w:after="0"/>
    </w:pPr>
  </w:style>
  <w:style w:type="table" w:customStyle="1" w:styleId="none2">
    <w:name w:val="none2"/>
    <w:basedOn w:val="TableNormal"/>
    <w:next w:val="TableGrid"/>
    <w:rsid w:val="00C4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ne3">
    <w:name w:val="none3"/>
    <w:basedOn w:val="TableNormal"/>
    <w:next w:val="TableGrid"/>
    <w:rsid w:val="000C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D055A"/>
    <w:pPr>
      <w:spacing w:after="0" w:line="240" w:lineRule="auto"/>
    </w:pPr>
  </w:style>
  <w:style w:type="character" w:styleId="UnresolvedMention">
    <w:name w:val="Unresolved Mention"/>
    <w:basedOn w:val="DefaultParagraphFont"/>
    <w:uiPriority w:val="99"/>
    <w:semiHidden/>
    <w:unhideWhenUsed/>
    <w:rsid w:val="00532DA1"/>
    <w:rPr>
      <w:color w:val="605E5C"/>
      <w:shd w:val="clear" w:color="auto" w:fill="E1DFDD"/>
    </w:rPr>
  </w:style>
  <w:style w:type="character" w:styleId="FollowedHyperlink">
    <w:name w:val="FollowedHyperlink"/>
    <w:basedOn w:val="DefaultParagraphFont"/>
    <w:uiPriority w:val="99"/>
    <w:semiHidden/>
    <w:unhideWhenUsed/>
    <w:rsid w:val="007D60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7778">
      <w:bodyDiv w:val="1"/>
      <w:marLeft w:val="0"/>
      <w:marRight w:val="0"/>
      <w:marTop w:val="0"/>
      <w:marBottom w:val="0"/>
      <w:divBdr>
        <w:top w:val="none" w:sz="0" w:space="0" w:color="auto"/>
        <w:left w:val="none" w:sz="0" w:space="0" w:color="auto"/>
        <w:bottom w:val="none" w:sz="0" w:space="0" w:color="auto"/>
        <w:right w:val="none" w:sz="0" w:space="0" w:color="auto"/>
      </w:divBdr>
    </w:div>
    <w:div w:id="28381394">
      <w:bodyDiv w:val="1"/>
      <w:marLeft w:val="0"/>
      <w:marRight w:val="0"/>
      <w:marTop w:val="0"/>
      <w:marBottom w:val="0"/>
      <w:divBdr>
        <w:top w:val="none" w:sz="0" w:space="0" w:color="auto"/>
        <w:left w:val="none" w:sz="0" w:space="0" w:color="auto"/>
        <w:bottom w:val="none" w:sz="0" w:space="0" w:color="auto"/>
        <w:right w:val="none" w:sz="0" w:space="0" w:color="auto"/>
      </w:divBdr>
    </w:div>
    <w:div w:id="32123583">
      <w:bodyDiv w:val="1"/>
      <w:marLeft w:val="0"/>
      <w:marRight w:val="0"/>
      <w:marTop w:val="0"/>
      <w:marBottom w:val="0"/>
      <w:divBdr>
        <w:top w:val="none" w:sz="0" w:space="0" w:color="auto"/>
        <w:left w:val="none" w:sz="0" w:space="0" w:color="auto"/>
        <w:bottom w:val="none" w:sz="0" w:space="0" w:color="auto"/>
        <w:right w:val="none" w:sz="0" w:space="0" w:color="auto"/>
      </w:divBdr>
    </w:div>
    <w:div w:id="103696231">
      <w:bodyDiv w:val="1"/>
      <w:marLeft w:val="0"/>
      <w:marRight w:val="0"/>
      <w:marTop w:val="0"/>
      <w:marBottom w:val="0"/>
      <w:divBdr>
        <w:top w:val="none" w:sz="0" w:space="0" w:color="auto"/>
        <w:left w:val="none" w:sz="0" w:space="0" w:color="auto"/>
        <w:bottom w:val="none" w:sz="0" w:space="0" w:color="auto"/>
        <w:right w:val="none" w:sz="0" w:space="0" w:color="auto"/>
      </w:divBdr>
    </w:div>
    <w:div w:id="160589266">
      <w:bodyDiv w:val="1"/>
      <w:marLeft w:val="0"/>
      <w:marRight w:val="0"/>
      <w:marTop w:val="0"/>
      <w:marBottom w:val="0"/>
      <w:divBdr>
        <w:top w:val="none" w:sz="0" w:space="0" w:color="auto"/>
        <w:left w:val="none" w:sz="0" w:space="0" w:color="auto"/>
        <w:bottom w:val="none" w:sz="0" w:space="0" w:color="auto"/>
        <w:right w:val="none" w:sz="0" w:space="0" w:color="auto"/>
      </w:divBdr>
    </w:div>
    <w:div w:id="466508558">
      <w:bodyDiv w:val="1"/>
      <w:marLeft w:val="0"/>
      <w:marRight w:val="0"/>
      <w:marTop w:val="0"/>
      <w:marBottom w:val="0"/>
      <w:divBdr>
        <w:top w:val="none" w:sz="0" w:space="0" w:color="auto"/>
        <w:left w:val="none" w:sz="0" w:space="0" w:color="auto"/>
        <w:bottom w:val="none" w:sz="0" w:space="0" w:color="auto"/>
        <w:right w:val="none" w:sz="0" w:space="0" w:color="auto"/>
      </w:divBdr>
    </w:div>
    <w:div w:id="561644252">
      <w:bodyDiv w:val="1"/>
      <w:marLeft w:val="0"/>
      <w:marRight w:val="0"/>
      <w:marTop w:val="0"/>
      <w:marBottom w:val="0"/>
      <w:divBdr>
        <w:top w:val="none" w:sz="0" w:space="0" w:color="auto"/>
        <w:left w:val="none" w:sz="0" w:space="0" w:color="auto"/>
        <w:bottom w:val="none" w:sz="0" w:space="0" w:color="auto"/>
        <w:right w:val="none" w:sz="0" w:space="0" w:color="auto"/>
      </w:divBdr>
    </w:div>
    <w:div w:id="629558775">
      <w:bodyDiv w:val="1"/>
      <w:marLeft w:val="0"/>
      <w:marRight w:val="0"/>
      <w:marTop w:val="0"/>
      <w:marBottom w:val="0"/>
      <w:divBdr>
        <w:top w:val="none" w:sz="0" w:space="0" w:color="auto"/>
        <w:left w:val="none" w:sz="0" w:space="0" w:color="auto"/>
        <w:bottom w:val="none" w:sz="0" w:space="0" w:color="auto"/>
        <w:right w:val="none" w:sz="0" w:space="0" w:color="auto"/>
      </w:divBdr>
    </w:div>
    <w:div w:id="662466968">
      <w:bodyDiv w:val="1"/>
      <w:marLeft w:val="0"/>
      <w:marRight w:val="0"/>
      <w:marTop w:val="0"/>
      <w:marBottom w:val="0"/>
      <w:divBdr>
        <w:top w:val="none" w:sz="0" w:space="0" w:color="auto"/>
        <w:left w:val="none" w:sz="0" w:space="0" w:color="auto"/>
        <w:bottom w:val="none" w:sz="0" w:space="0" w:color="auto"/>
        <w:right w:val="none" w:sz="0" w:space="0" w:color="auto"/>
      </w:divBdr>
    </w:div>
    <w:div w:id="705064544">
      <w:bodyDiv w:val="1"/>
      <w:marLeft w:val="0"/>
      <w:marRight w:val="0"/>
      <w:marTop w:val="0"/>
      <w:marBottom w:val="0"/>
      <w:divBdr>
        <w:top w:val="none" w:sz="0" w:space="0" w:color="auto"/>
        <w:left w:val="none" w:sz="0" w:space="0" w:color="auto"/>
        <w:bottom w:val="none" w:sz="0" w:space="0" w:color="auto"/>
        <w:right w:val="none" w:sz="0" w:space="0" w:color="auto"/>
      </w:divBdr>
    </w:div>
    <w:div w:id="844826477">
      <w:bodyDiv w:val="1"/>
      <w:marLeft w:val="0"/>
      <w:marRight w:val="0"/>
      <w:marTop w:val="0"/>
      <w:marBottom w:val="0"/>
      <w:divBdr>
        <w:top w:val="none" w:sz="0" w:space="0" w:color="auto"/>
        <w:left w:val="none" w:sz="0" w:space="0" w:color="auto"/>
        <w:bottom w:val="none" w:sz="0" w:space="0" w:color="auto"/>
        <w:right w:val="none" w:sz="0" w:space="0" w:color="auto"/>
      </w:divBdr>
    </w:div>
    <w:div w:id="1480030068">
      <w:bodyDiv w:val="1"/>
      <w:marLeft w:val="0"/>
      <w:marRight w:val="0"/>
      <w:marTop w:val="0"/>
      <w:marBottom w:val="0"/>
      <w:divBdr>
        <w:top w:val="none" w:sz="0" w:space="0" w:color="auto"/>
        <w:left w:val="none" w:sz="0" w:space="0" w:color="auto"/>
        <w:bottom w:val="none" w:sz="0" w:space="0" w:color="auto"/>
        <w:right w:val="none" w:sz="0" w:space="0" w:color="auto"/>
      </w:divBdr>
    </w:div>
    <w:div w:id="1528104908">
      <w:bodyDiv w:val="1"/>
      <w:marLeft w:val="0"/>
      <w:marRight w:val="0"/>
      <w:marTop w:val="0"/>
      <w:marBottom w:val="0"/>
      <w:divBdr>
        <w:top w:val="none" w:sz="0" w:space="0" w:color="auto"/>
        <w:left w:val="none" w:sz="0" w:space="0" w:color="auto"/>
        <w:bottom w:val="none" w:sz="0" w:space="0" w:color="auto"/>
        <w:right w:val="none" w:sz="0" w:space="0" w:color="auto"/>
      </w:divBdr>
    </w:div>
    <w:div w:id="1658924720">
      <w:bodyDiv w:val="1"/>
      <w:marLeft w:val="0"/>
      <w:marRight w:val="0"/>
      <w:marTop w:val="0"/>
      <w:marBottom w:val="0"/>
      <w:divBdr>
        <w:top w:val="none" w:sz="0" w:space="0" w:color="auto"/>
        <w:left w:val="none" w:sz="0" w:space="0" w:color="auto"/>
        <w:bottom w:val="none" w:sz="0" w:space="0" w:color="auto"/>
        <w:right w:val="none" w:sz="0" w:space="0" w:color="auto"/>
      </w:divBdr>
    </w:div>
    <w:div w:id="1744181366">
      <w:bodyDiv w:val="1"/>
      <w:marLeft w:val="0"/>
      <w:marRight w:val="0"/>
      <w:marTop w:val="0"/>
      <w:marBottom w:val="0"/>
      <w:divBdr>
        <w:top w:val="none" w:sz="0" w:space="0" w:color="auto"/>
        <w:left w:val="none" w:sz="0" w:space="0" w:color="auto"/>
        <w:bottom w:val="none" w:sz="0" w:space="0" w:color="auto"/>
        <w:right w:val="none" w:sz="0" w:space="0" w:color="auto"/>
      </w:divBdr>
    </w:div>
    <w:div w:id="194576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42" Type="http://schemas.openxmlformats.org/officeDocument/2006/relationships/chart" Target="charts/chart8.xml"/><Relationship Id="rId47" Type="http://schemas.openxmlformats.org/officeDocument/2006/relationships/chart" Target="charts/chart13.xml"/><Relationship Id="rId63" Type="http://schemas.openxmlformats.org/officeDocument/2006/relationships/image" Target="media/image25.wmf"/><Relationship Id="rId68" Type="http://schemas.openxmlformats.org/officeDocument/2006/relationships/hyperlink" Target="https://data.imf.org/?sk=E5DCAB7E-A5CA-4892-A6EA-598B5463A34C" TargetMode="External"/><Relationship Id="rId16" Type="http://schemas.openxmlformats.org/officeDocument/2006/relationships/hyperlink" Target="https://worldbankgroup-my.sharepoint.com/personal/rbdelgado_worldbank_org/Documents/Documents/Economic%20Update%20FY22/DM%20Docs/Cabo%20Verde%20-%20Potential%20Digital%20Dividends%20_05202022_clean.docx" TargetMode="External"/><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chart" Target="charts/chart3.xml"/><Relationship Id="rId53" Type="http://schemas.openxmlformats.org/officeDocument/2006/relationships/image" Target="media/image16.png"/><Relationship Id="rId58" Type="http://schemas.openxmlformats.org/officeDocument/2006/relationships/image" Target="media/image20.png"/><Relationship Id="rId74" Type="http://schemas.openxmlformats.org/officeDocument/2006/relationships/hyperlink" Target="https://unctad.org/page/data-protection-and-privacy-legislation-worldwide" TargetMode="External"/><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23.wmf"/><Relationship Id="rId19" Type="http://schemas.openxmlformats.org/officeDocument/2006/relationships/hyperlink" Target="https://worldbankgroup-my.sharepoint.com/personal/rbdelgado_worldbank_org/Documents/Documents/Economic%20Update%20FY22/DM%20Docs/Cabo%20Verde%20-%20Potential%20Digital%20Dividends%20_05202022_clean.docx" TargetMode="External"/><Relationship Id="rId14" Type="http://schemas.openxmlformats.org/officeDocument/2006/relationships/hyperlink" Target="https://worldbankgroup-my.sharepoint.com/personal/rbdelgado_worldbank_org/Documents/Documents/Economic%20Update%20FY22/DM%20Docs/Cabo%20Verde%20-%20Potential%20Digital%20Dividends%20_05202022_clean.docx"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image" Target="media/image18.wmf"/><Relationship Id="rId64" Type="http://schemas.openxmlformats.org/officeDocument/2006/relationships/image" Target="media/image26.png"/><Relationship Id="rId69" Type="http://schemas.openxmlformats.org/officeDocument/2006/relationships/hyperlink" Target="https://www.itu.int/en/ITU-D/Statistics/Pages/publications/wtid.aspx" TargetMode="External"/><Relationship Id="rId77" Type="http://schemas.openxmlformats.org/officeDocument/2006/relationships/hyperlink" Target="https://e-global.pt/noticias/lusofonia/cabo-verde/cabo-verde-seis-em-cada-dez-empresas-suspenderam-atividades-durante-covid-19/" TargetMode="Externa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hyperlink" Target="https://www.itu.int/net4/itu-d/icteye"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orldbankgroup-my.sharepoint.com/personal/rbdelgado_worldbank_org/Documents/Documents/Economic%20Update%20FY22/DM%20Docs/Cabo%20Verde%20-%20Potential%20Digital%20Dividends%20_05202022_clean.docx" TargetMode="External"/><Relationship Id="rId25" Type="http://schemas.openxmlformats.org/officeDocument/2006/relationships/image" Target="cid:image003.png@01D87A73.148248E0" TargetMode="External"/><Relationship Id="rId33" Type="http://schemas.openxmlformats.org/officeDocument/2006/relationships/image" Target="media/image12.png"/><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image" Target="media/image21.png"/><Relationship Id="rId67" Type="http://schemas.openxmlformats.org/officeDocument/2006/relationships/hyperlink" Target="https://www.mobileconnectivityindex.com/" TargetMode="External"/><Relationship Id="rId20" Type="http://schemas.openxmlformats.org/officeDocument/2006/relationships/hyperlink" Target="https://worldbankgroup-my.sharepoint.com/personal/rbdelgado_worldbank_org/Documents/Documents/Economic%20Update%20FY22/DM%20Docs/Cabo%20Verde%20-%20Potential%20Digital%20Dividends%20_05202022_clean.docx" TargetMode="External"/><Relationship Id="rId41" Type="http://schemas.openxmlformats.org/officeDocument/2006/relationships/chart" Target="charts/chart7.xml"/><Relationship Id="rId54" Type="http://schemas.openxmlformats.org/officeDocument/2006/relationships/image" Target="media/image17.png"/><Relationship Id="rId62" Type="http://schemas.openxmlformats.org/officeDocument/2006/relationships/image" Target="media/image24.wmf"/><Relationship Id="rId70" Type="http://schemas.openxmlformats.org/officeDocument/2006/relationships/hyperlink" Target="https://www.itu.int/en/ITU-D/Statistics/Dashboards/Pages/IPB.aspx" TargetMode="External"/><Relationship Id="rId75" Type="http://schemas.openxmlformats.org/officeDocument/2006/relationships/hyperlink" Target="http://data.uis.unesco.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orldbankgroup-my.sharepoint.com/personal/rbdelgado_worldbank_org/Documents/Documents/Economic%20Update%20FY22/DM%20Docs/Cabo%20Verde%20-%20Potential%20Digital%20Dividends%20_05202022_clean.docx" TargetMode="External"/><Relationship Id="rId23" Type="http://schemas.openxmlformats.org/officeDocument/2006/relationships/image" Target="cid:image004.png@01D87A73.148248E0" TargetMode="External"/><Relationship Id="rId28" Type="http://schemas.openxmlformats.org/officeDocument/2006/relationships/image" Target="media/image7.png"/><Relationship Id="rId36" Type="http://schemas.openxmlformats.org/officeDocument/2006/relationships/chart" Target="charts/chart2.xml"/><Relationship Id="rId49" Type="http://schemas.openxmlformats.org/officeDocument/2006/relationships/chart" Target="charts/chart15.xml"/><Relationship Id="rId57" Type="http://schemas.openxmlformats.org/officeDocument/2006/relationships/image" Target="media/image19.wmf"/><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chart" Target="charts/chart10.xml"/><Relationship Id="rId52" Type="http://schemas.openxmlformats.org/officeDocument/2006/relationships/image" Target="media/image15.png"/><Relationship Id="rId60" Type="http://schemas.openxmlformats.org/officeDocument/2006/relationships/image" Target="media/image22.wmf"/><Relationship Id="rId65" Type="http://schemas.openxmlformats.org/officeDocument/2006/relationships/hyperlink" Target="https://estrategiadigital.gov.cv/index.php/en/" TargetMode="External"/><Relationship Id="rId73" Type="http://schemas.openxmlformats.org/officeDocument/2006/relationships/hyperlink" Target="https://www.speedtest.net/global-index" TargetMode="External"/><Relationship Id="rId78" Type="http://schemas.openxmlformats.org/officeDocument/2006/relationships/hyperlink" Target="https://databank.worldbank.org/source/world-development-indicators"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copyright.com/" TargetMode="External"/><Relationship Id="rId18" Type="http://schemas.openxmlformats.org/officeDocument/2006/relationships/hyperlink" Target="https://worldbankgroup-my.sharepoint.com/personal/rbdelgado_worldbank_org/Documents/Documents/Economic%20Update%20FY22/DM%20Docs/Cabo%20Verde%20-%20Potential%20Digital%20Dividends%20_05202022_clean.docx" TargetMode="External"/><Relationship Id="rId39" Type="http://schemas.openxmlformats.org/officeDocument/2006/relationships/chart" Target="charts/chart5.xml"/><Relationship Id="rId34" Type="http://schemas.openxmlformats.org/officeDocument/2006/relationships/image" Target="media/image13.png"/><Relationship Id="rId50" Type="http://schemas.openxmlformats.org/officeDocument/2006/relationships/chart" Target="charts/chart16.xml"/><Relationship Id="rId55" Type="http://schemas.openxmlformats.org/officeDocument/2006/relationships/hyperlink" Target="https://www.submarinenetworks.com/en/systems/trans-atlantic/ellalink/ellalink-cable-lands-in-cape-verde" TargetMode="External"/><Relationship Id="rId76" Type="http://schemas.openxmlformats.org/officeDocument/2006/relationships/hyperlink" Target="https://publicadministration.un.org/egovkb/en-us/Data-Center" TargetMode="External"/><Relationship Id="rId7" Type="http://schemas.openxmlformats.org/officeDocument/2006/relationships/styles" Target="styles.xml"/><Relationship Id="rId71" Type="http://schemas.openxmlformats.org/officeDocument/2006/relationships/hyperlink" Target="https://app.gen5.digital/tracker/country-cards/Cabo%20Verde"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chart" Target="charts/chart6.xml"/><Relationship Id="rId45" Type="http://schemas.openxmlformats.org/officeDocument/2006/relationships/chart" Target="charts/chart11.xml"/><Relationship Id="rId66" Type="http://schemas.openxmlformats.org/officeDocument/2006/relationships/hyperlink" Target="https://www.gsmaintelligence.com/dat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cceleratorlabs.undp.org/content/acceleratorlabs/en/home/locations/Cabo-Verde.html" TargetMode="External"/><Relationship Id="rId3" Type="http://schemas.openxmlformats.org/officeDocument/2006/relationships/hyperlink" Target="https://estrategiadigital.gov.cv/index.php/en/" TargetMode="External"/><Relationship Id="rId7" Type="http://schemas.openxmlformats.org/officeDocument/2006/relationships/hyperlink" Target="http://digital.cv/digital4covid19/" TargetMode="External"/><Relationship Id="rId2" Type="http://schemas.openxmlformats.org/officeDocument/2006/relationships/hyperlink" Target="https://portondinosilhas.gov.cv/portonprd/porton.portoncv_v3?p=B7B0B2BAC4C4C4" TargetMode="External"/><Relationship Id="rId1" Type="http://schemas.openxmlformats.org/officeDocument/2006/relationships/hyperlink" Target="https://www.itu.int/hub/2020/12/connecting-continents-how-cabo-verde-plans-to-become-a-digital-hub/" TargetMode="External"/><Relationship Id="rId6" Type="http://schemas.openxmlformats.org/officeDocument/2006/relationships/hyperlink" Target="https://plataformamedia.com/en/2021/11/23/cape-verde-wants-international-partnership-to-fight-cybercrime/" TargetMode="External"/><Relationship Id="rId5" Type="http://schemas.openxmlformats.org/officeDocument/2006/relationships/hyperlink" Target="https://unctad.org/page/data-protection-and-privacy-legislation-worldwide" TargetMode="External"/><Relationship Id="rId10" Type="http://schemas.openxmlformats.org/officeDocument/2006/relationships/hyperlink" Target="https://e-global.pt/noticias/lusofonia/cabo-verde/cabo-verde-seis-em-cada-dez-empresas-suspenderam-atividades-durante-covid-19/" TargetMode="External"/><Relationship Id="rId4" Type="http://schemas.openxmlformats.org/officeDocument/2006/relationships/hyperlink" Target="https://app.gen5.digital/tracker/country-cards/Cabo%20Verde" TargetMode="External"/><Relationship Id="rId9" Type="http://schemas.openxmlformats.org/officeDocument/2006/relationships/hyperlink" Target="https://www.techpark.cv/pt/home-defaultp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Tourism Arrivals</a:t>
            </a:r>
          </a:p>
        </c:rich>
      </c:tx>
      <c:layout>
        <c:manualLayout>
          <c:xMode val="edge"/>
          <c:yMode val="edge"/>
          <c:x val="0.22207221418942516"/>
          <c:y val="6.0409034208899093E-2"/>
        </c:manualLayout>
      </c:layout>
      <c:overlay val="0"/>
    </c:title>
    <c:autoTitleDeleted val="0"/>
    <c:plotArea>
      <c:layout>
        <c:manualLayout>
          <c:layoutTarget val="inner"/>
          <c:xMode val="edge"/>
          <c:yMode val="edge"/>
          <c:x val="5.0346281213680018E-2"/>
          <c:y val="2.9289705120428874E-2"/>
          <c:w val="0.84284065984675105"/>
          <c:h val="0.89586906229755636"/>
        </c:manualLayout>
      </c:layout>
      <c:barChart>
        <c:barDir val="col"/>
        <c:grouping val="clustered"/>
        <c:varyColors val="0"/>
        <c:ser>
          <c:idx val="2"/>
          <c:order val="0"/>
          <c:tx>
            <c:strRef>
              <c:f>'Real Sector'!$A$3</c:f>
              <c:strCache>
                <c:ptCount val="1"/>
                <c:pt idx="0">
                  <c:v>Arrivals</c:v>
                </c:pt>
              </c:strCache>
            </c:strRef>
          </c:tx>
          <c:spPr>
            <a:solidFill>
              <a:srgbClr val="0070C0"/>
            </a:solidFill>
            <a:ln>
              <a:solidFill>
                <a:srgbClr val="0070C0"/>
              </a:solidFill>
            </a:ln>
          </c:spPr>
          <c:invertIfNegative val="0"/>
          <c:dPt>
            <c:idx val="7"/>
            <c:invertIfNegative val="0"/>
            <c:bubble3D val="0"/>
            <c:spPr>
              <a:solidFill>
                <a:srgbClr val="0070C0"/>
              </a:solidFill>
              <a:ln>
                <a:solidFill>
                  <a:srgbClr val="0070C0"/>
                </a:solidFill>
              </a:ln>
            </c:spPr>
            <c:extLst>
              <c:ext xmlns:c16="http://schemas.microsoft.com/office/drawing/2014/chart" uri="{C3380CC4-5D6E-409C-BE32-E72D297353CC}">
                <c16:uniqueId val="{00000001-6C83-4112-AA6A-A1ACDF07F39D}"/>
              </c:ext>
            </c:extLst>
          </c:dPt>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Sector'!$B$3:$K$3</c:f>
              <c:numCache>
                <c:formatCode>#,##0</c:formatCode>
                <c:ptCount val="10"/>
                <c:pt idx="0">
                  <c:v>533877</c:v>
                </c:pt>
                <c:pt idx="1">
                  <c:v>552144</c:v>
                </c:pt>
                <c:pt idx="2">
                  <c:v>539621</c:v>
                </c:pt>
                <c:pt idx="3">
                  <c:v>569387</c:v>
                </c:pt>
                <c:pt idx="4">
                  <c:v>644429</c:v>
                </c:pt>
                <c:pt idx="5">
                  <c:v>716775</c:v>
                </c:pt>
                <c:pt idx="6">
                  <c:v>765696</c:v>
                </c:pt>
                <c:pt idx="7">
                  <c:v>819308</c:v>
                </c:pt>
                <c:pt idx="8">
                  <c:v>207125</c:v>
                </c:pt>
                <c:pt idx="9">
                  <c:v>169068</c:v>
                </c:pt>
              </c:numCache>
            </c:numRef>
          </c:val>
          <c:extLst xmlns:c15="http://schemas.microsoft.com/office/drawing/2012/chart">
            <c:ext xmlns:c16="http://schemas.microsoft.com/office/drawing/2014/chart" uri="{C3380CC4-5D6E-409C-BE32-E72D297353CC}">
              <c16:uniqueId val="{00000002-6C83-4112-AA6A-A1ACDF07F39D}"/>
            </c:ext>
          </c:extLst>
        </c:ser>
        <c:dLbls>
          <c:showLegendKey val="0"/>
          <c:showVal val="0"/>
          <c:showCatName val="0"/>
          <c:showSerName val="0"/>
          <c:showPercent val="0"/>
          <c:showBubbleSize val="0"/>
        </c:dLbls>
        <c:gapWidth val="150"/>
        <c:axId val="129606576"/>
        <c:axId val="1"/>
      </c:bar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vert="horz"/>
          <a:lstStyle/>
          <a:p>
            <a:pPr>
              <a:defRPr/>
            </a:pPr>
            <a:endParaRPr lang="en-US"/>
          </a:p>
        </c:txPr>
        <c:crossAx val="129606576"/>
        <c:crosses val="autoZero"/>
        <c:crossBetween val="between"/>
      </c:valAx>
      <c:spPr>
        <a:solidFill>
          <a:srgbClr val="FFFFFF"/>
        </a:solidFill>
        <a:ln w="3175">
          <a:solidFill>
            <a:srgbClr val="000000"/>
          </a:solidFill>
          <a:prstDash val="solid"/>
        </a:ln>
      </c:spPr>
    </c:plotArea>
    <c:plotVisOnly val="1"/>
    <c:dispBlanksAs val="gap"/>
    <c:showDLblsOverMax val="0"/>
  </c:chart>
  <c:spPr>
    <a:noFill/>
    <a:ln w="6350">
      <a:noFill/>
    </a:ln>
  </c:spPr>
  <c:txPr>
    <a:bodyPr/>
    <a:lstStyle/>
    <a:p>
      <a:pPr>
        <a:defRPr sz="900">
          <a:solidFill>
            <a:srgbClr val="000000"/>
          </a:solidFill>
          <a:latin typeface="Times New Roman" panose="02020603050405020304" pitchFamily="18" charset="0"/>
          <a:ea typeface="Segoe UI"/>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latin typeface="Times New Roman" panose="02020603050405020304" pitchFamily="18" charset="0"/>
                <a:cs typeface="Times New Roman" panose="02020603050405020304" pitchFamily="18" charset="0"/>
              </a:rPr>
              <a:t>Expenditure Performance </a:t>
            </a:r>
            <a:r>
              <a:rPr lang="en-US" sz="900" b="0">
                <a:latin typeface="Times New Roman" panose="02020603050405020304" pitchFamily="18" charset="0"/>
                <a:cs typeface="Times New Roman" panose="02020603050405020304" pitchFamily="18" charset="0"/>
              </a:rPr>
              <a:t>(Percent</a:t>
            </a:r>
            <a:r>
              <a:rPr lang="en-US" sz="900" b="0" baseline="0">
                <a:latin typeface="Times New Roman" panose="02020603050405020304" pitchFamily="18" charset="0"/>
                <a:cs typeface="Times New Roman" panose="02020603050405020304" pitchFamily="18" charset="0"/>
              </a:rPr>
              <a:t> of GDP)</a:t>
            </a:r>
            <a:endParaRPr lang="en-US" sz="900" b="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5.0346281213680018E-2"/>
          <c:y val="2.9289705120428874E-2"/>
          <c:w val="0.90432623667098411"/>
          <c:h val="0.89586906229755636"/>
        </c:manualLayout>
      </c:layout>
      <c:barChart>
        <c:barDir val="col"/>
        <c:grouping val="clustered"/>
        <c:varyColors val="0"/>
        <c:ser>
          <c:idx val="2"/>
          <c:order val="0"/>
          <c:tx>
            <c:strRef>
              <c:f>'Fiscal Sector'!$A$10</c:f>
              <c:strCache>
                <c:ptCount val="1"/>
                <c:pt idx="0">
                  <c:v>Current expenditure</c:v>
                </c:pt>
              </c:strCache>
            </c:strRef>
          </c:tx>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Sector'!$B$10:$K$10</c:f>
              <c:numCache>
                <c:formatCode>#,##0.0</c:formatCode>
                <c:ptCount val="10"/>
                <c:pt idx="0">
                  <c:v>22.703379999999999</c:v>
                </c:pt>
                <c:pt idx="1">
                  <c:v>22.978339999999999</c:v>
                </c:pt>
                <c:pt idx="2">
                  <c:v>24.24044</c:v>
                </c:pt>
                <c:pt idx="3">
                  <c:v>25.776350000000001</c:v>
                </c:pt>
                <c:pt idx="4">
                  <c:v>26.169840000000001</c:v>
                </c:pt>
                <c:pt idx="5">
                  <c:v>26.342369999999999</c:v>
                </c:pt>
                <c:pt idx="6">
                  <c:v>26.388470000000002</c:v>
                </c:pt>
                <c:pt idx="7">
                  <c:v>27.33446</c:v>
                </c:pt>
                <c:pt idx="8">
                  <c:v>32.00956</c:v>
                </c:pt>
                <c:pt idx="9">
                  <c:v>31.233799999999999</c:v>
                </c:pt>
              </c:numCache>
            </c:numRef>
          </c:val>
          <c:extLst xmlns:c15="http://schemas.microsoft.com/office/drawing/2012/chart">
            <c:ext xmlns:c16="http://schemas.microsoft.com/office/drawing/2014/chart" uri="{C3380CC4-5D6E-409C-BE32-E72D297353CC}">
              <c16:uniqueId val="{00000000-ED84-499B-9EED-9089CBF51993}"/>
            </c:ext>
          </c:extLst>
        </c:ser>
        <c:ser>
          <c:idx val="0"/>
          <c:order val="1"/>
          <c:tx>
            <c:strRef>
              <c:f>'Fiscal Sector'!$A$11</c:f>
              <c:strCache>
                <c:ptCount val="1"/>
                <c:pt idx="0">
                  <c:v>Capital expenditure</c:v>
                </c:pt>
              </c:strCache>
            </c:strRef>
          </c:tx>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Sector'!$B$11:$K$11</c:f>
              <c:numCache>
                <c:formatCode>#,##0.0</c:formatCode>
                <c:ptCount val="10"/>
                <c:pt idx="0">
                  <c:v>11.80036</c:v>
                </c:pt>
                <c:pt idx="1">
                  <c:v>10.79927</c:v>
                </c:pt>
                <c:pt idx="2">
                  <c:v>6.1778300000000002</c:v>
                </c:pt>
                <c:pt idx="3">
                  <c:v>5.5694400000000002</c:v>
                </c:pt>
                <c:pt idx="4">
                  <c:v>3.3609200000000001</c:v>
                </c:pt>
                <c:pt idx="5">
                  <c:v>5.7136199999999997</c:v>
                </c:pt>
                <c:pt idx="6">
                  <c:v>4.3989700000000003</c:v>
                </c:pt>
                <c:pt idx="7">
                  <c:v>3.90001</c:v>
                </c:pt>
                <c:pt idx="8">
                  <c:v>3.3763700000000001</c:v>
                </c:pt>
                <c:pt idx="9">
                  <c:v>3.1102400000000001</c:v>
                </c:pt>
              </c:numCache>
            </c:numRef>
          </c:val>
          <c:extLst>
            <c:ext xmlns:c16="http://schemas.microsoft.com/office/drawing/2014/chart" uri="{C3380CC4-5D6E-409C-BE32-E72D297353CC}">
              <c16:uniqueId val="{00000001-ED84-499B-9EED-9089CBF51993}"/>
            </c:ext>
          </c:extLst>
        </c:ser>
        <c:dLbls>
          <c:showLegendKey val="0"/>
          <c:showVal val="0"/>
          <c:showCatName val="0"/>
          <c:showSerName val="0"/>
          <c:showPercent val="0"/>
          <c:showBubbleSize val="0"/>
        </c:dLbls>
        <c:gapWidth val="150"/>
        <c:axId val="129606576"/>
        <c:axId val="1"/>
      </c:bar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0.15569280224336779"/>
          <c:y val="0.11893439262641542"/>
          <c:w val="0.57402792870830677"/>
          <c:h val="8.392724986937912E-2"/>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Revenue Composition (Percent of GDP)</a:t>
            </a:r>
          </a:p>
        </c:rich>
      </c:tx>
      <c:layout>
        <c:manualLayout>
          <c:xMode val="edge"/>
          <c:yMode val="edge"/>
          <c:x val="0.1872557658195308"/>
          <c:y val="2.6708212775428446E-2"/>
        </c:manualLayout>
      </c:layout>
      <c:overlay val="0"/>
    </c:title>
    <c:autoTitleDeleted val="0"/>
    <c:plotArea>
      <c:layout>
        <c:manualLayout>
          <c:layoutTarget val="inner"/>
          <c:xMode val="edge"/>
          <c:yMode val="edge"/>
          <c:x val="0.10563017750011985"/>
          <c:y val="2.242344515343727E-2"/>
          <c:w val="0.86532275529384151"/>
          <c:h val="0.90191641211365225"/>
        </c:manualLayout>
      </c:layout>
      <c:barChart>
        <c:barDir val="col"/>
        <c:grouping val="clustered"/>
        <c:varyColors val="0"/>
        <c:ser>
          <c:idx val="2"/>
          <c:order val="0"/>
          <c:tx>
            <c:strRef>
              <c:f>'Fiscal Sector'!$A$7</c:f>
              <c:strCache>
                <c:ptCount val="1"/>
                <c:pt idx="0">
                  <c:v>Tax revenue</c:v>
                </c:pt>
              </c:strCache>
            </c:strRef>
          </c:tx>
          <c:spPr>
            <a:solidFill>
              <a:srgbClr val="C00000"/>
            </a:solidFill>
          </c:spPr>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Sector'!$B$7:$K$7</c:f>
              <c:numCache>
                <c:formatCode>#,##0.0</c:formatCode>
                <c:ptCount val="10"/>
                <c:pt idx="0">
                  <c:v>18.366389999999999</c:v>
                </c:pt>
                <c:pt idx="1">
                  <c:v>18.30735</c:v>
                </c:pt>
                <c:pt idx="2">
                  <c:v>17.55828</c:v>
                </c:pt>
                <c:pt idx="3">
                  <c:v>19.257940000000001</c:v>
                </c:pt>
                <c:pt idx="4">
                  <c:v>19.501850000000001</c:v>
                </c:pt>
                <c:pt idx="5">
                  <c:v>20.776949999999999</c:v>
                </c:pt>
                <c:pt idx="6">
                  <c:v>22.075220000000002</c:v>
                </c:pt>
                <c:pt idx="7">
                  <c:v>21.549160000000001</c:v>
                </c:pt>
                <c:pt idx="8">
                  <c:v>19.328320000000001</c:v>
                </c:pt>
                <c:pt idx="9">
                  <c:v>18.872119999999999</c:v>
                </c:pt>
              </c:numCache>
            </c:numRef>
          </c:val>
          <c:extLst xmlns:c15="http://schemas.microsoft.com/office/drawing/2012/chart">
            <c:ext xmlns:c16="http://schemas.microsoft.com/office/drawing/2014/chart" uri="{C3380CC4-5D6E-409C-BE32-E72D297353CC}">
              <c16:uniqueId val="{00000000-0B39-4310-A5EF-D2596B56E61C}"/>
            </c:ext>
          </c:extLst>
        </c:ser>
        <c:ser>
          <c:idx val="0"/>
          <c:order val="1"/>
          <c:tx>
            <c:strRef>
              <c:f>'Fiscal Sector'!$A$8</c:f>
              <c:strCache>
                <c:ptCount val="1"/>
                <c:pt idx="0">
                  <c:v>Non-tax revenue</c:v>
                </c:pt>
              </c:strCache>
            </c:strRef>
          </c:tx>
          <c:spPr>
            <a:solidFill>
              <a:srgbClr val="0070C0"/>
            </a:solidFill>
          </c:spPr>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Sector'!$B$8:$K$8</c:f>
              <c:numCache>
                <c:formatCode>#,##0.0</c:formatCode>
                <c:ptCount val="10"/>
                <c:pt idx="0">
                  <c:v>3.2401300000000002</c:v>
                </c:pt>
                <c:pt idx="1">
                  <c:v>3.6105</c:v>
                </c:pt>
                <c:pt idx="2">
                  <c:v>3.5122900000000001</c:v>
                </c:pt>
                <c:pt idx="3">
                  <c:v>5.14</c:v>
                </c:pt>
                <c:pt idx="4">
                  <c:v>4.3850699999999998</c:v>
                </c:pt>
                <c:pt idx="5">
                  <c:v>4.1980500000000003</c:v>
                </c:pt>
                <c:pt idx="6">
                  <c:v>4.7084900000000003</c:v>
                </c:pt>
                <c:pt idx="7">
                  <c:v>4.8590099999999996</c:v>
                </c:pt>
                <c:pt idx="8">
                  <c:v>3.76627</c:v>
                </c:pt>
                <c:pt idx="9">
                  <c:v>3.9849899999999998</c:v>
                </c:pt>
              </c:numCache>
            </c:numRef>
          </c:val>
          <c:extLst>
            <c:ext xmlns:c16="http://schemas.microsoft.com/office/drawing/2014/chart" uri="{C3380CC4-5D6E-409C-BE32-E72D297353CC}">
              <c16:uniqueId val="{00000001-0B39-4310-A5EF-D2596B56E61C}"/>
            </c:ext>
          </c:extLst>
        </c:ser>
        <c:ser>
          <c:idx val="1"/>
          <c:order val="2"/>
          <c:tx>
            <c:strRef>
              <c:f>'Fiscal Sector'!$A$9</c:f>
              <c:strCache>
                <c:ptCount val="1"/>
                <c:pt idx="0">
                  <c:v>Grants</c:v>
                </c:pt>
              </c:strCache>
            </c:strRef>
          </c:tx>
          <c:spPr>
            <a:solidFill>
              <a:srgbClr val="00B050"/>
            </a:solidFill>
          </c:spPr>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Sector'!$B$9:$K$9</c:f>
              <c:numCache>
                <c:formatCode>#,##0.0</c:formatCode>
                <c:ptCount val="10"/>
                <c:pt idx="0">
                  <c:v>2.79515</c:v>
                </c:pt>
                <c:pt idx="1">
                  <c:v>2.6174599999999999</c:v>
                </c:pt>
                <c:pt idx="2">
                  <c:v>1.8045500000000001</c:v>
                </c:pt>
                <c:pt idx="3">
                  <c:v>2.4942600000000001</c:v>
                </c:pt>
                <c:pt idx="4">
                  <c:v>2.71875</c:v>
                </c:pt>
                <c:pt idx="5">
                  <c:v>3.5540500000000002</c:v>
                </c:pt>
                <c:pt idx="6">
                  <c:v>1.67353</c:v>
                </c:pt>
                <c:pt idx="7">
                  <c:v>3.2</c:v>
                </c:pt>
                <c:pt idx="8">
                  <c:v>3.1845300000000001</c:v>
                </c:pt>
                <c:pt idx="9">
                  <c:v>2.3098900000000002</c:v>
                </c:pt>
              </c:numCache>
            </c:numRef>
          </c:val>
          <c:extLst>
            <c:ext xmlns:c16="http://schemas.microsoft.com/office/drawing/2014/chart" uri="{C3380CC4-5D6E-409C-BE32-E72D297353CC}">
              <c16:uniqueId val="{00000002-0B39-4310-A5EF-D2596B56E61C}"/>
            </c:ext>
          </c:extLst>
        </c:ser>
        <c:dLbls>
          <c:showLegendKey val="0"/>
          <c:showVal val="0"/>
          <c:showCatName val="0"/>
          <c:showSerName val="0"/>
          <c:showPercent val="0"/>
          <c:showBubbleSize val="0"/>
        </c:dLbls>
        <c:gapWidth val="150"/>
        <c:axId val="129606576"/>
        <c:axId val="1"/>
      </c:bar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0.13006491971413506"/>
          <c:y val="7.7125397161989517E-2"/>
          <c:w val="0.76360643604862721"/>
          <c:h val="7.2949020070965001E-2"/>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latin typeface="Times New Roman" panose="02020603050405020304" pitchFamily="18" charset="0"/>
                <a:cs typeface="Times New Roman" panose="02020603050405020304" pitchFamily="18" charset="0"/>
              </a:rPr>
              <a:t>Current Expenditure </a:t>
            </a:r>
            <a:r>
              <a:rPr lang="en-US" sz="900" b="0">
                <a:latin typeface="Times New Roman" panose="02020603050405020304" pitchFamily="18" charset="0"/>
                <a:cs typeface="Times New Roman" panose="02020603050405020304" pitchFamily="18" charset="0"/>
              </a:rPr>
              <a:t>(Percent</a:t>
            </a:r>
            <a:r>
              <a:rPr lang="en-US" sz="900" b="0" baseline="0">
                <a:latin typeface="Times New Roman" panose="02020603050405020304" pitchFamily="18" charset="0"/>
                <a:cs typeface="Times New Roman" panose="02020603050405020304" pitchFamily="18" charset="0"/>
              </a:rPr>
              <a:t> of GDP)</a:t>
            </a:r>
            <a:endParaRPr lang="en-US" sz="900" b="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5.0346281213680018E-2"/>
          <c:y val="2.9289705120428874E-2"/>
          <c:w val="0.91306168033233737"/>
          <c:h val="0.89689412862909146"/>
        </c:manualLayout>
      </c:layout>
      <c:barChart>
        <c:barDir val="col"/>
        <c:grouping val="stacked"/>
        <c:varyColors val="0"/>
        <c:ser>
          <c:idx val="0"/>
          <c:order val="0"/>
          <c:tx>
            <c:strRef>
              <c:f>'Fiscal Sector'!$A$12</c:f>
              <c:strCache>
                <c:ptCount val="1"/>
                <c:pt idx="0">
                  <c:v>Wages and compensation</c:v>
                </c:pt>
              </c:strCache>
            </c:strRef>
          </c:tx>
          <c:spPr>
            <a:solidFill>
              <a:srgbClr val="C00000"/>
            </a:solidFill>
            <a:ln>
              <a:noFill/>
            </a:ln>
          </c:spPr>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Sector'!$B$12:$K$12</c:f>
              <c:numCache>
                <c:formatCode>0.00</c:formatCode>
                <c:ptCount val="10"/>
                <c:pt idx="0">
                  <c:v>10.565910000000001</c:v>
                </c:pt>
                <c:pt idx="1">
                  <c:v>10.79907</c:v>
                </c:pt>
                <c:pt idx="2">
                  <c:v>11.118869999999999</c:v>
                </c:pt>
                <c:pt idx="3">
                  <c:v>11.04602</c:v>
                </c:pt>
                <c:pt idx="4">
                  <c:v>11.07762</c:v>
                </c:pt>
                <c:pt idx="5">
                  <c:v>10.742710000000001</c:v>
                </c:pt>
                <c:pt idx="6">
                  <c:v>10.59751</c:v>
                </c:pt>
                <c:pt idx="7">
                  <c:v>10.600009999999999</c:v>
                </c:pt>
                <c:pt idx="8">
                  <c:v>12.92747</c:v>
                </c:pt>
                <c:pt idx="9">
                  <c:v>12.451739999999999</c:v>
                </c:pt>
              </c:numCache>
            </c:numRef>
          </c:val>
          <c:extLst>
            <c:ext xmlns:c16="http://schemas.microsoft.com/office/drawing/2014/chart" uri="{C3380CC4-5D6E-409C-BE32-E72D297353CC}">
              <c16:uniqueId val="{00000000-CAAB-46A7-89EB-DCE9D8FB6818}"/>
            </c:ext>
          </c:extLst>
        </c:ser>
        <c:ser>
          <c:idx val="2"/>
          <c:order val="1"/>
          <c:tx>
            <c:strRef>
              <c:f>'Fiscal Sector'!$A$13</c:f>
              <c:strCache>
                <c:ptCount val="1"/>
                <c:pt idx="0">
                  <c:v>Interest payments</c:v>
                </c:pt>
              </c:strCache>
            </c:strRef>
          </c:tx>
          <c:spPr>
            <a:ln w="38100"/>
          </c:spPr>
          <c:invertIfNegative val="0"/>
          <c:val>
            <c:numRef>
              <c:f>'Fiscal Sector'!$B$13:$K$13</c:f>
              <c:numCache>
                <c:formatCode>0.00</c:formatCode>
                <c:ptCount val="10"/>
                <c:pt idx="0">
                  <c:v>1.9007000000000001</c:v>
                </c:pt>
                <c:pt idx="1">
                  <c:v>2.2008999999999999</c:v>
                </c:pt>
                <c:pt idx="2">
                  <c:v>2.23007</c:v>
                </c:pt>
                <c:pt idx="3">
                  <c:v>2.6050499999999999</c:v>
                </c:pt>
                <c:pt idx="4">
                  <c:v>2.5473499999999998</c:v>
                </c:pt>
                <c:pt idx="5">
                  <c:v>2.6132499999999999</c:v>
                </c:pt>
                <c:pt idx="6">
                  <c:v>2.55172</c:v>
                </c:pt>
                <c:pt idx="7">
                  <c:v>2.63388</c:v>
                </c:pt>
                <c:pt idx="8">
                  <c:v>2.8746299999999998</c:v>
                </c:pt>
                <c:pt idx="9">
                  <c:v>3.4418199999999999</c:v>
                </c:pt>
              </c:numCache>
            </c:numRef>
          </c:val>
          <c:extLst xmlns:c15="http://schemas.microsoft.com/office/drawing/2012/chart">
            <c:ext xmlns:c16="http://schemas.microsoft.com/office/drawing/2014/chart" uri="{C3380CC4-5D6E-409C-BE32-E72D297353CC}">
              <c16:uniqueId val="{00000001-CAAB-46A7-89EB-DCE9D8FB6818}"/>
            </c:ext>
          </c:extLst>
        </c:ser>
        <c:ser>
          <c:idx val="1"/>
          <c:order val="2"/>
          <c:tx>
            <c:strRef>
              <c:f>'Fiscal Sector'!$A$14</c:f>
              <c:strCache>
                <c:ptCount val="1"/>
                <c:pt idx="0">
                  <c:v>Current transfers</c:v>
                </c:pt>
              </c:strCache>
            </c:strRef>
          </c:tx>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Sector'!$B$14:$K$14</c:f>
              <c:numCache>
                <c:formatCode>0.00</c:formatCode>
                <c:ptCount val="10"/>
                <c:pt idx="0">
                  <c:v>6.9146299999999998</c:v>
                </c:pt>
                <c:pt idx="1">
                  <c:v>6.68574</c:v>
                </c:pt>
                <c:pt idx="2">
                  <c:v>7.1720899999999999</c:v>
                </c:pt>
                <c:pt idx="3">
                  <c:v>7.4413999999999998</c:v>
                </c:pt>
                <c:pt idx="4">
                  <c:v>7.9830199999999998</c:v>
                </c:pt>
                <c:pt idx="5">
                  <c:v>8.9652100000000008</c:v>
                </c:pt>
                <c:pt idx="6">
                  <c:v>9.3401499999999995</c:v>
                </c:pt>
                <c:pt idx="7">
                  <c:v>10.00001</c:v>
                </c:pt>
                <c:pt idx="8">
                  <c:v>10.1</c:v>
                </c:pt>
                <c:pt idx="9">
                  <c:v>9.4575300000000002</c:v>
                </c:pt>
              </c:numCache>
            </c:numRef>
          </c:val>
          <c:extLst>
            <c:ext xmlns:c16="http://schemas.microsoft.com/office/drawing/2014/chart" uri="{C3380CC4-5D6E-409C-BE32-E72D297353CC}">
              <c16:uniqueId val="{00000002-CAAB-46A7-89EB-DCE9D8FB6818}"/>
            </c:ext>
          </c:extLst>
        </c:ser>
        <c:ser>
          <c:idx val="3"/>
          <c:order val="3"/>
          <c:tx>
            <c:strRef>
              <c:f>'Fiscal Sector'!$A$15</c:f>
              <c:strCache>
                <c:ptCount val="1"/>
                <c:pt idx="0">
                  <c:v>Goods and services</c:v>
                </c:pt>
              </c:strCache>
            </c:strRef>
          </c:tx>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Sector'!$B$15:$K$15</c:f>
              <c:numCache>
                <c:formatCode>0.00</c:formatCode>
                <c:ptCount val="10"/>
                <c:pt idx="0">
                  <c:v>3.3221400000000001</c:v>
                </c:pt>
                <c:pt idx="1">
                  <c:v>3.2926299999999999</c:v>
                </c:pt>
                <c:pt idx="2">
                  <c:v>3.7194199999999999</c:v>
                </c:pt>
                <c:pt idx="3">
                  <c:v>4.6838800000000003</c:v>
                </c:pt>
                <c:pt idx="4">
                  <c:v>4.5618499999999997</c:v>
                </c:pt>
                <c:pt idx="5">
                  <c:v>4.02121</c:v>
                </c:pt>
                <c:pt idx="6">
                  <c:v>3.8990800000000001</c:v>
                </c:pt>
                <c:pt idx="7">
                  <c:v>4.1005500000000001</c:v>
                </c:pt>
                <c:pt idx="8">
                  <c:v>6.1074700000000002</c:v>
                </c:pt>
                <c:pt idx="9">
                  <c:v>5.8827100000000003</c:v>
                </c:pt>
              </c:numCache>
            </c:numRef>
          </c:val>
          <c:extLst>
            <c:ext xmlns:c16="http://schemas.microsoft.com/office/drawing/2014/chart" uri="{C3380CC4-5D6E-409C-BE32-E72D297353CC}">
              <c16:uniqueId val="{00000003-CAAB-46A7-89EB-DCE9D8FB6818}"/>
            </c:ext>
          </c:extLst>
        </c:ser>
        <c:ser>
          <c:idx val="4"/>
          <c:order val="4"/>
          <c:tx>
            <c:strRef>
              <c:f>'Fiscal Sector'!$A$16</c:f>
              <c:strCache>
                <c:ptCount val="1"/>
                <c:pt idx="0">
                  <c:v>Social assistance</c:v>
                </c:pt>
              </c:strCache>
            </c:strRef>
          </c:tx>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Sector'!$B$16:$K$16</c:f>
              <c:numCache>
                <c:formatCode>General</c:formatCode>
                <c:ptCount val="10"/>
                <c:pt idx="0">
                  <c:v>2.6058500000000002</c:v>
                </c:pt>
                <c:pt idx="1">
                  <c:v>2.6999</c:v>
                </c:pt>
                <c:pt idx="2">
                  <c:v>2.8153700000000002</c:v>
                </c:pt>
                <c:pt idx="3">
                  <c:v>2.9835199999999999</c:v>
                </c:pt>
                <c:pt idx="4">
                  <c:v>3.11551</c:v>
                </c:pt>
                <c:pt idx="5">
                  <c:v>3.2009099999999999</c:v>
                </c:pt>
                <c:pt idx="6">
                  <c:v>3.1030600000000002</c:v>
                </c:pt>
                <c:pt idx="7">
                  <c:v>3.7000099999999998</c:v>
                </c:pt>
                <c:pt idx="8">
                  <c:v>5.0336100000000004</c:v>
                </c:pt>
                <c:pt idx="9">
                  <c:v>5.3642000000000003</c:v>
                </c:pt>
              </c:numCache>
            </c:numRef>
          </c:val>
          <c:extLst>
            <c:ext xmlns:c16="http://schemas.microsoft.com/office/drawing/2014/chart" uri="{C3380CC4-5D6E-409C-BE32-E72D297353CC}">
              <c16:uniqueId val="{00000004-CAAB-46A7-89EB-DCE9D8FB6818}"/>
            </c:ext>
          </c:extLst>
        </c:ser>
        <c:ser>
          <c:idx val="5"/>
          <c:order val="5"/>
          <c:tx>
            <c:strRef>
              <c:f>'Fiscal Sector'!$A$17</c:f>
              <c:strCache>
                <c:ptCount val="1"/>
                <c:pt idx="0">
                  <c:v>Other current transfers</c:v>
                </c:pt>
              </c:strCache>
            </c:strRef>
          </c:tx>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Sector'!$B$17:$K$17</c:f>
              <c:numCache>
                <c:formatCode>General</c:formatCode>
                <c:ptCount val="10"/>
                <c:pt idx="0">
                  <c:v>4.3087799999999996</c:v>
                </c:pt>
                <c:pt idx="1">
                  <c:v>3.98583</c:v>
                </c:pt>
                <c:pt idx="2">
                  <c:v>4.3567200000000001</c:v>
                </c:pt>
                <c:pt idx="3">
                  <c:v>4.4578800000000003</c:v>
                </c:pt>
                <c:pt idx="4">
                  <c:v>4.8675100000000002</c:v>
                </c:pt>
                <c:pt idx="5">
                  <c:v>5.7643000000000004</c:v>
                </c:pt>
                <c:pt idx="6">
                  <c:v>6.2370900000000002</c:v>
                </c:pt>
                <c:pt idx="7">
                  <c:v>6.3</c:v>
                </c:pt>
                <c:pt idx="8">
                  <c:v>5.0663900000000002</c:v>
                </c:pt>
                <c:pt idx="9">
                  <c:v>4.0933299999999999</c:v>
                </c:pt>
              </c:numCache>
            </c:numRef>
          </c:val>
          <c:extLst>
            <c:ext xmlns:c16="http://schemas.microsoft.com/office/drawing/2014/chart" uri="{C3380CC4-5D6E-409C-BE32-E72D297353CC}">
              <c16:uniqueId val="{00000005-CAAB-46A7-89EB-DCE9D8FB6818}"/>
            </c:ext>
          </c:extLst>
        </c:ser>
        <c:dLbls>
          <c:showLegendKey val="0"/>
          <c:showVal val="0"/>
          <c:showCatName val="0"/>
          <c:showSerName val="0"/>
          <c:showPercent val="0"/>
          <c:showBubbleSize val="0"/>
        </c:dLbls>
        <c:gapWidth val="150"/>
        <c:overlap val="100"/>
        <c:axId val="129606576"/>
        <c:axId val="1"/>
      </c:bar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50"/>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8.2715296606669986E-2"/>
          <c:y val="7.7249026377102445E-2"/>
          <c:w val="0.4383463336888736"/>
          <c:h val="0.24445128484209452"/>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900">
                <a:latin typeface="Times New Roman" panose="02020603050405020304" pitchFamily="18" charset="0"/>
                <a:cs typeface="Times New Roman" panose="02020603050405020304" pitchFamily="18" charset="0"/>
              </a:rPr>
              <a:t>Credit to the Economy</a:t>
            </a:r>
            <a:r>
              <a:rPr lang="en-US" sz="800">
                <a:latin typeface="Times New Roman" panose="02020603050405020304" pitchFamily="18" charset="0"/>
                <a:cs typeface="Times New Roman" panose="02020603050405020304" pitchFamily="18" charset="0"/>
              </a:rPr>
              <a:t> </a:t>
            </a:r>
            <a:r>
              <a:rPr lang="en-US" sz="800" b="0">
                <a:latin typeface="Times New Roman" panose="02020603050405020304" pitchFamily="18" charset="0"/>
                <a:cs typeface="Times New Roman" panose="02020603050405020304" pitchFamily="18" charset="0"/>
              </a:rPr>
              <a:t>(Percent</a:t>
            </a:r>
            <a:r>
              <a:rPr lang="en-US" sz="800" b="0" baseline="0">
                <a:latin typeface="Times New Roman" panose="02020603050405020304" pitchFamily="18" charset="0"/>
                <a:cs typeface="Times New Roman" panose="02020603050405020304" pitchFamily="18" charset="0"/>
              </a:rPr>
              <a:t> change Y-o-Y)</a:t>
            </a:r>
            <a:endParaRPr lang="en-US" sz="800" b="0">
              <a:latin typeface="Times New Roman" panose="02020603050405020304" pitchFamily="18" charset="0"/>
              <a:cs typeface="Times New Roman" panose="02020603050405020304" pitchFamily="18" charset="0"/>
            </a:endParaRPr>
          </a:p>
        </c:rich>
      </c:tx>
      <c:layout>
        <c:manualLayout>
          <c:xMode val="edge"/>
          <c:yMode val="edge"/>
          <c:x val="0.16365300984206912"/>
          <c:y val="2.7110766847405113E-2"/>
        </c:manualLayout>
      </c:layout>
      <c:overlay val="0"/>
    </c:title>
    <c:autoTitleDeleted val="0"/>
    <c:plotArea>
      <c:layout>
        <c:manualLayout>
          <c:layoutTarget val="inner"/>
          <c:xMode val="edge"/>
          <c:yMode val="edge"/>
          <c:x val="5.0346281213680018E-2"/>
          <c:y val="1.929713278481553E-2"/>
          <c:w val="0.90991999507404153"/>
          <c:h val="0.84384503253901932"/>
        </c:manualLayout>
      </c:layout>
      <c:barChart>
        <c:barDir val="col"/>
        <c:grouping val="stacked"/>
        <c:varyColors val="0"/>
        <c:ser>
          <c:idx val="0"/>
          <c:order val="1"/>
          <c:tx>
            <c:strRef>
              <c:f>'Monetary Sector'!$A$11</c:f>
              <c:strCache>
                <c:ptCount val="1"/>
                <c:pt idx="0">
                  <c:v>Credit to the private sector</c:v>
                </c:pt>
              </c:strCache>
            </c:strRef>
          </c:tx>
          <c:spPr>
            <a:solidFill>
              <a:srgbClr val="0070C0"/>
            </a:solidFill>
          </c:spPr>
          <c:invertIfNegative val="0"/>
          <c:cat>
            <c:numRef>
              <c:f>'Monetary Sector'!$N$1:$DR$1</c:f>
              <c:numCache>
                <c:formatCode>[$-409]mmm\-yy;@</c:formatCode>
                <c:ptCount val="109"/>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numCache>
            </c:numRef>
          </c:cat>
          <c:val>
            <c:numRef>
              <c:f>'Monetary Sector'!$N$11:$DR$11</c:f>
              <c:numCache>
                <c:formatCode>#,##0.00</c:formatCode>
                <c:ptCount val="109"/>
                <c:pt idx="0">
                  <c:v>0.19203163006866752</c:v>
                </c:pt>
                <c:pt idx="1">
                  <c:v>0.25074937104818673</c:v>
                </c:pt>
                <c:pt idx="2">
                  <c:v>-0.76472845579749205</c:v>
                </c:pt>
                <c:pt idx="3">
                  <c:v>-0.78838856556362469</c:v>
                </c:pt>
                <c:pt idx="4">
                  <c:v>-0.27333524642033646</c:v>
                </c:pt>
                <c:pt idx="5">
                  <c:v>1.3363933233457415</c:v>
                </c:pt>
                <c:pt idx="6">
                  <c:v>0.38367346168637351</c:v>
                </c:pt>
                <c:pt idx="7">
                  <c:v>1.419964837856158</c:v>
                </c:pt>
                <c:pt idx="8">
                  <c:v>1.130146608107796</c:v>
                </c:pt>
                <c:pt idx="9">
                  <c:v>-0.16461267516211242</c:v>
                </c:pt>
                <c:pt idx="10">
                  <c:v>1.9701926432606154</c:v>
                </c:pt>
                <c:pt idx="11">
                  <c:v>0.98549815581951972</c:v>
                </c:pt>
                <c:pt idx="12">
                  <c:v>1.7058030988376993</c:v>
                </c:pt>
                <c:pt idx="13">
                  <c:v>1.4971963484712969</c:v>
                </c:pt>
                <c:pt idx="14">
                  <c:v>1.6446302076702279</c:v>
                </c:pt>
                <c:pt idx="15">
                  <c:v>1.7874959755237896</c:v>
                </c:pt>
                <c:pt idx="16">
                  <c:v>1.4372982823150027</c:v>
                </c:pt>
                <c:pt idx="17">
                  <c:v>0.26464669543926345</c:v>
                </c:pt>
                <c:pt idx="18">
                  <c:v>0.99058260354969452</c:v>
                </c:pt>
                <c:pt idx="19">
                  <c:v>-1.4898339605645017</c:v>
                </c:pt>
                <c:pt idx="20">
                  <c:v>-0.29009718015174935</c:v>
                </c:pt>
                <c:pt idx="21">
                  <c:v>-0.46222195851658432</c:v>
                </c:pt>
                <c:pt idx="22">
                  <c:v>-1.7102069401096598</c:v>
                </c:pt>
                <c:pt idx="23">
                  <c:v>-0.62963618071741889</c:v>
                </c:pt>
                <c:pt idx="24">
                  <c:v>0.27806380239365769</c:v>
                </c:pt>
                <c:pt idx="25">
                  <c:v>-0.10884254105790747</c:v>
                </c:pt>
                <c:pt idx="26">
                  <c:v>-0.28483492619894024</c:v>
                </c:pt>
                <c:pt idx="27">
                  <c:v>-0.71834036160509651</c:v>
                </c:pt>
                <c:pt idx="28">
                  <c:v>0.27218993619193554</c:v>
                </c:pt>
                <c:pt idx="29">
                  <c:v>-1.0151237090870624</c:v>
                </c:pt>
                <c:pt idx="30">
                  <c:v>-1.3154031162304403</c:v>
                </c:pt>
                <c:pt idx="31">
                  <c:v>-0.13244871347135589</c:v>
                </c:pt>
                <c:pt idx="32">
                  <c:v>-0.61590404656926001</c:v>
                </c:pt>
                <c:pt idx="33">
                  <c:v>-0.28638021255195101</c:v>
                </c:pt>
                <c:pt idx="34">
                  <c:v>0.68511603988059555</c:v>
                </c:pt>
                <c:pt idx="35">
                  <c:v>0.69141554452032405</c:v>
                </c:pt>
                <c:pt idx="36">
                  <c:v>0.2827905632269534</c:v>
                </c:pt>
                <c:pt idx="37">
                  <c:v>0.59074144743964663</c:v>
                </c:pt>
                <c:pt idx="38">
                  <c:v>1.4223645919061445</c:v>
                </c:pt>
                <c:pt idx="39">
                  <c:v>1.66365432927853</c:v>
                </c:pt>
                <c:pt idx="40">
                  <c:v>0.6599134050554456</c:v>
                </c:pt>
                <c:pt idx="41">
                  <c:v>1.890955787970916</c:v>
                </c:pt>
                <c:pt idx="42">
                  <c:v>2.8672695923772418</c:v>
                </c:pt>
                <c:pt idx="43">
                  <c:v>3.5321052633057626</c:v>
                </c:pt>
                <c:pt idx="44">
                  <c:v>4.1463913870873448</c:v>
                </c:pt>
                <c:pt idx="45">
                  <c:v>4.1896142926322932</c:v>
                </c:pt>
                <c:pt idx="46">
                  <c:v>3.5575470197132031</c:v>
                </c:pt>
                <c:pt idx="47">
                  <c:v>5.195053300152308</c:v>
                </c:pt>
                <c:pt idx="48">
                  <c:v>3.5069208873244939</c:v>
                </c:pt>
                <c:pt idx="49">
                  <c:v>3.965333674252336</c:v>
                </c:pt>
                <c:pt idx="50">
                  <c:v>3.4371887837304715</c:v>
                </c:pt>
                <c:pt idx="51">
                  <c:v>6.8255450072344237</c:v>
                </c:pt>
                <c:pt idx="52">
                  <c:v>4.4685754093726437</c:v>
                </c:pt>
                <c:pt idx="53">
                  <c:v>5.3020466570789404</c:v>
                </c:pt>
                <c:pt idx="54">
                  <c:v>5.52534136939975</c:v>
                </c:pt>
                <c:pt idx="55">
                  <c:v>4.9973883265054697</c:v>
                </c:pt>
                <c:pt idx="56">
                  <c:v>5.3109442662407247</c:v>
                </c:pt>
                <c:pt idx="57">
                  <c:v>5.4355397729132449</c:v>
                </c:pt>
                <c:pt idx="58">
                  <c:v>5.8769776145943808</c:v>
                </c:pt>
                <c:pt idx="59">
                  <c:v>4.3455727050781601</c:v>
                </c:pt>
                <c:pt idx="60">
                  <c:v>6.7547302733076187</c:v>
                </c:pt>
                <c:pt idx="61">
                  <c:v>2.7718898287323102</c:v>
                </c:pt>
                <c:pt idx="62">
                  <c:v>3.2380468857972966</c:v>
                </c:pt>
                <c:pt idx="63">
                  <c:v>0.9368352930613888</c:v>
                </c:pt>
                <c:pt idx="64">
                  <c:v>4.3001597832918348</c:v>
                </c:pt>
                <c:pt idx="65">
                  <c:v>4.333407150357993</c:v>
                </c:pt>
                <c:pt idx="66">
                  <c:v>3.7810755731265688</c:v>
                </c:pt>
                <c:pt idx="67">
                  <c:v>3.3060989076496128</c:v>
                </c:pt>
                <c:pt idx="68">
                  <c:v>3.0844768902847708</c:v>
                </c:pt>
                <c:pt idx="69">
                  <c:v>2.6192592327890729</c:v>
                </c:pt>
                <c:pt idx="70">
                  <c:v>1.922206394349768</c:v>
                </c:pt>
                <c:pt idx="71">
                  <c:v>1.8311164910392641</c:v>
                </c:pt>
                <c:pt idx="72">
                  <c:v>1.8981196993838489</c:v>
                </c:pt>
                <c:pt idx="73">
                  <c:v>5.5943041518102365</c:v>
                </c:pt>
                <c:pt idx="74">
                  <c:v>4.492067264443822</c:v>
                </c:pt>
                <c:pt idx="75">
                  <c:v>3.4118281630562075</c:v>
                </c:pt>
                <c:pt idx="76">
                  <c:v>2.8179243113629404</c:v>
                </c:pt>
                <c:pt idx="77">
                  <c:v>2.3049561693467835</c:v>
                </c:pt>
                <c:pt idx="78">
                  <c:v>0.9810975139837419</c:v>
                </c:pt>
                <c:pt idx="79">
                  <c:v>1.5967679050610029</c:v>
                </c:pt>
                <c:pt idx="80">
                  <c:v>2.4263999625732113</c:v>
                </c:pt>
                <c:pt idx="81">
                  <c:v>2.5238611695935109</c:v>
                </c:pt>
                <c:pt idx="82">
                  <c:v>3.4867177675654171</c:v>
                </c:pt>
                <c:pt idx="83">
                  <c:v>4.3576781196082548</c:v>
                </c:pt>
                <c:pt idx="84">
                  <c:v>3.8526696110549929</c:v>
                </c:pt>
                <c:pt idx="85">
                  <c:v>5.0659659571261617</c:v>
                </c:pt>
                <c:pt idx="86">
                  <c:v>6.3941841295940938</c:v>
                </c:pt>
                <c:pt idx="87">
                  <c:v>6.1369860673309962</c:v>
                </c:pt>
                <c:pt idx="88">
                  <c:v>5.6916890493522887</c:v>
                </c:pt>
                <c:pt idx="89">
                  <c:v>6.1128863269254152</c:v>
                </c:pt>
                <c:pt idx="90">
                  <c:v>7.0511122481540678</c:v>
                </c:pt>
                <c:pt idx="91">
                  <c:v>6.5483030189321667</c:v>
                </c:pt>
                <c:pt idx="92">
                  <c:v>4.9591628402700927</c:v>
                </c:pt>
                <c:pt idx="93">
                  <c:v>6.208497858065698</c:v>
                </c:pt>
                <c:pt idx="94">
                  <c:v>5.9164236593049591</c:v>
                </c:pt>
                <c:pt idx="95">
                  <c:v>4.831878418318758</c:v>
                </c:pt>
                <c:pt idx="96">
                  <c:v>5.3068871144333896</c:v>
                </c:pt>
                <c:pt idx="97">
                  <c:v>4.4998160943888532</c:v>
                </c:pt>
                <c:pt idx="98">
                  <c:v>4.3881443253376506</c:v>
                </c:pt>
                <c:pt idx="99">
                  <c:v>5.5798866982983197</c:v>
                </c:pt>
                <c:pt idx="100">
                  <c:v>6.9630542027451447</c:v>
                </c:pt>
                <c:pt idx="101">
                  <c:v>6.3222657636964774</c:v>
                </c:pt>
                <c:pt idx="102">
                  <c:v>6.6604412991784656</c:v>
                </c:pt>
                <c:pt idx="103">
                  <c:v>7.6695458366921709</c:v>
                </c:pt>
                <c:pt idx="104">
                  <c:v>8.7377191857854299</c:v>
                </c:pt>
                <c:pt idx="105">
                  <c:v>8.0575408171245968</c:v>
                </c:pt>
                <c:pt idx="106">
                  <c:v>7.8073480705220133</c:v>
                </c:pt>
                <c:pt idx="107">
                  <c:v>6.8682987383956728</c:v>
                </c:pt>
                <c:pt idx="108">
                  <c:v>6.2472643641787728</c:v>
                </c:pt>
              </c:numCache>
            </c:numRef>
          </c:val>
          <c:extLst>
            <c:ext xmlns:c16="http://schemas.microsoft.com/office/drawing/2014/chart" uri="{C3380CC4-5D6E-409C-BE32-E72D297353CC}">
              <c16:uniqueId val="{00000000-2E04-4FB9-A59F-6FE93F92DF45}"/>
            </c:ext>
          </c:extLst>
        </c:ser>
        <c:ser>
          <c:idx val="1"/>
          <c:order val="2"/>
          <c:tx>
            <c:strRef>
              <c:f>'Monetary Sector'!$A$12</c:f>
              <c:strCache>
                <c:ptCount val="1"/>
                <c:pt idx="0">
                  <c:v>Total deposits</c:v>
                </c:pt>
              </c:strCache>
            </c:strRef>
          </c:tx>
          <c:spPr>
            <a:solidFill>
              <a:srgbClr val="C00000"/>
            </a:solidFill>
          </c:spPr>
          <c:invertIfNegative val="0"/>
          <c:cat>
            <c:numRef>
              <c:f>'Monetary Sector'!$N$1:$DR$1</c:f>
              <c:numCache>
                <c:formatCode>[$-409]mmm\-yy;@</c:formatCode>
                <c:ptCount val="109"/>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numCache>
            </c:numRef>
          </c:cat>
          <c:val>
            <c:numRef>
              <c:f>'Monetary Sector'!$N$12:$DR$12</c:f>
              <c:numCache>
                <c:formatCode>#,##0.00</c:formatCode>
                <c:ptCount val="109"/>
                <c:pt idx="0">
                  <c:v>6.9867914288423982</c:v>
                </c:pt>
                <c:pt idx="1">
                  <c:v>4.3793746294803704</c:v>
                </c:pt>
                <c:pt idx="2">
                  <c:v>3.804882289574496</c:v>
                </c:pt>
                <c:pt idx="3">
                  <c:v>5.7981549151513212</c:v>
                </c:pt>
                <c:pt idx="4">
                  <c:v>7.0162829005147476</c:v>
                </c:pt>
                <c:pt idx="5">
                  <c:v>4.8543529939255148</c:v>
                </c:pt>
                <c:pt idx="6">
                  <c:v>4.7832396744789119</c:v>
                </c:pt>
                <c:pt idx="7">
                  <c:v>4.9033384498026411</c:v>
                </c:pt>
                <c:pt idx="8">
                  <c:v>3.3599931263951666</c:v>
                </c:pt>
                <c:pt idx="9">
                  <c:v>5.8380522636770849</c:v>
                </c:pt>
                <c:pt idx="10">
                  <c:v>6.7078937114923409</c:v>
                </c:pt>
                <c:pt idx="11">
                  <c:v>7.8267216682534224</c:v>
                </c:pt>
                <c:pt idx="12">
                  <c:v>7.8541186973229093</c:v>
                </c:pt>
                <c:pt idx="13">
                  <c:v>10.457759164579361</c:v>
                </c:pt>
                <c:pt idx="14">
                  <c:v>9.9301899819442152</c:v>
                </c:pt>
                <c:pt idx="15">
                  <c:v>9.53145882268287</c:v>
                </c:pt>
                <c:pt idx="16">
                  <c:v>8.0056854782407427</c:v>
                </c:pt>
                <c:pt idx="17">
                  <c:v>7.710922617086724</c:v>
                </c:pt>
                <c:pt idx="18">
                  <c:v>5.2412889938411089</c:v>
                </c:pt>
                <c:pt idx="19">
                  <c:v>5.341448259261572</c:v>
                </c:pt>
                <c:pt idx="20">
                  <c:v>7.8226281313984236</c:v>
                </c:pt>
                <c:pt idx="21">
                  <c:v>6.5360138874189344</c:v>
                </c:pt>
                <c:pt idx="22">
                  <c:v>5.6960614712980417</c:v>
                </c:pt>
                <c:pt idx="23">
                  <c:v>4.7098202362176878</c:v>
                </c:pt>
                <c:pt idx="24">
                  <c:v>4.4490151225309971</c:v>
                </c:pt>
                <c:pt idx="25">
                  <c:v>4.1504014593495286</c:v>
                </c:pt>
                <c:pt idx="26">
                  <c:v>2.3389920653266172</c:v>
                </c:pt>
                <c:pt idx="27">
                  <c:v>4.2345594015148036</c:v>
                </c:pt>
                <c:pt idx="28">
                  <c:v>5.7905293954561454</c:v>
                </c:pt>
                <c:pt idx="29">
                  <c:v>8.1074383373101799</c:v>
                </c:pt>
                <c:pt idx="30">
                  <c:v>9.022882805582654</c:v>
                </c:pt>
                <c:pt idx="31">
                  <c:v>8.0749729017357552</c:v>
                </c:pt>
                <c:pt idx="32">
                  <c:v>7.4101503211401853</c:v>
                </c:pt>
                <c:pt idx="33">
                  <c:v>5.9252839110541577</c:v>
                </c:pt>
                <c:pt idx="34">
                  <c:v>6.4253070343514684</c:v>
                </c:pt>
                <c:pt idx="35">
                  <c:v>6.2870042783815583</c:v>
                </c:pt>
                <c:pt idx="36">
                  <c:v>6.8447341823564489</c:v>
                </c:pt>
                <c:pt idx="37">
                  <c:v>5.8458086612477533</c:v>
                </c:pt>
                <c:pt idx="38">
                  <c:v>7.6884915769622975</c:v>
                </c:pt>
                <c:pt idx="39">
                  <c:v>6.5630943193266678</c:v>
                </c:pt>
                <c:pt idx="40">
                  <c:v>6.1541814564916031</c:v>
                </c:pt>
                <c:pt idx="41">
                  <c:v>5.8862961676961367</c:v>
                </c:pt>
                <c:pt idx="42">
                  <c:v>6.6787788697565409</c:v>
                </c:pt>
                <c:pt idx="43">
                  <c:v>7.1442385429433042</c:v>
                </c:pt>
                <c:pt idx="44">
                  <c:v>6.0860177197635812</c:v>
                </c:pt>
                <c:pt idx="45">
                  <c:v>6.9121617968056936</c:v>
                </c:pt>
                <c:pt idx="46">
                  <c:v>5.7836151312397499</c:v>
                </c:pt>
                <c:pt idx="47">
                  <c:v>6.7135758192089057</c:v>
                </c:pt>
                <c:pt idx="48">
                  <c:v>5.9895673802818683</c:v>
                </c:pt>
                <c:pt idx="49">
                  <c:v>5.6170698736532465</c:v>
                </c:pt>
                <c:pt idx="50">
                  <c:v>5.367119707931467</c:v>
                </c:pt>
                <c:pt idx="51">
                  <c:v>3.8642934269371487</c:v>
                </c:pt>
                <c:pt idx="52">
                  <c:v>0.84800094346901833</c:v>
                </c:pt>
                <c:pt idx="53">
                  <c:v>0.52654952953123946</c:v>
                </c:pt>
                <c:pt idx="54">
                  <c:v>0.12384706338761653</c:v>
                </c:pt>
                <c:pt idx="55">
                  <c:v>-0.35556471117974553</c:v>
                </c:pt>
                <c:pt idx="56">
                  <c:v>-0.24809953948409236</c:v>
                </c:pt>
                <c:pt idx="57">
                  <c:v>-1.7587226002352074</c:v>
                </c:pt>
                <c:pt idx="58">
                  <c:v>-0.94828189251334738</c:v>
                </c:pt>
                <c:pt idx="59">
                  <c:v>-0.28712659422316378</c:v>
                </c:pt>
                <c:pt idx="60">
                  <c:v>-0.31122714797582329</c:v>
                </c:pt>
                <c:pt idx="61">
                  <c:v>5.853264144939363E-2</c:v>
                </c:pt>
                <c:pt idx="62">
                  <c:v>-0.27214038257658002</c:v>
                </c:pt>
                <c:pt idx="63">
                  <c:v>-0.35657435511287083</c:v>
                </c:pt>
                <c:pt idx="64">
                  <c:v>1.245601954797726</c:v>
                </c:pt>
                <c:pt idx="65">
                  <c:v>0.20922427690408529</c:v>
                </c:pt>
                <c:pt idx="66">
                  <c:v>-6.49786849468037E-2</c:v>
                </c:pt>
                <c:pt idx="67">
                  <c:v>0.21980861544974584</c:v>
                </c:pt>
                <c:pt idx="68">
                  <c:v>0.96023193498850912</c:v>
                </c:pt>
                <c:pt idx="69">
                  <c:v>0.48319175778175349</c:v>
                </c:pt>
                <c:pt idx="70">
                  <c:v>0.17786295010031594</c:v>
                </c:pt>
                <c:pt idx="71">
                  <c:v>-0.93652056332657052</c:v>
                </c:pt>
                <c:pt idx="72">
                  <c:v>-0.78220513840133732</c:v>
                </c:pt>
                <c:pt idx="73">
                  <c:v>-0.43246072642075806</c:v>
                </c:pt>
                <c:pt idx="74">
                  <c:v>0.14410537767546305</c:v>
                </c:pt>
                <c:pt idx="75">
                  <c:v>-0.10761599016713141</c:v>
                </c:pt>
                <c:pt idx="76">
                  <c:v>3.715248898127399</c:v>
                </c:pt>
                <c:pt idx="77">
                  <c:v>4.5190730393140921</c:v>
                </c:pt>
                <c:pt idx="78">
                  <c:v>4.7493493699107159</c:v>
                </c:pt>
                <c:pt idx="79">
                  <c:v>4.5638774747744693</c:v>
                </c:pt>
                <c:pt idx="80">
                  <c:v>3.6878502407964975</c:v>
                </c:pt>
                <c:pt idx="81">
                  <c:v>4.9534831346959241</c:v>
                </c:pt>
                <c:pt idx="82">
                  <c:v>5.9218022569823114</c:v>
                </c:pt>
                <c:pt idx="83">
                  <c:v>5.0503405870264473</c:v>
                </c:pt>
                <c:pt idx="84">
                  <c:v>5.2354071279951064</c:v>
                </c:pt>
                <c:pt idx="85">
                  <c:v>5.2529164219633273</c:v>
                </c:pt>
                <c:pt idx="86">
                  <c:v>4.7469184890637672</c:v>
                </c:pt>
                <c:pt idx="87">
                  <c:v>4.6961400153077593</c:v>
                </c:pt>
                <c:pt idx="88">
                  <c:v>1.6101504784284515</c:v>
                </c:pt>
                <c:pt idx="89">
                  <c:v>1.2444221512686537</c:v>
                </c:pt>
                <c:pt idx="90">
                  <c:v>0.91521773943246121</c:v>
                </c:pt>
                <c:pt idx="91">
                  <c:v>1.0428315317660086</c:v>
                </c:pt>
                <c:pt idx="92">
                  <c:v>1.2032119405543718</c:v>
                </c:pt>
                <c:pt idx="93">
                  <c:v>2.8025130247538277</c:v>
                </c:pt>
                <c:pt idx="94">
                  <c:v>2.4667280310360029</c:v>
                </c:pt>
                <c:pt idx="95">
                  <c:v>2.1390569795664449</c:v>
                </c:pt>
                <c:pt idx="96">
                  <c:v>1.981853418566959</c:v>
                </c:pt>
                <c:pt idx="97">
                  <c:v>0.62903117539687692</c:v>
                </c:pt>
                <c:pt idx="98">
                  <c:v>0.90299327330887191</c:v>
                </c:pt>
                <c:pt idx="99">
                  <c:v>0.55735856443899223</c:v>
                </c:pt>
                <c:pt idx="100">
                  <c:v>0.56857590948484749</c:v>
                </c:pt>
                <c:pt idx="101">
                  <c:v>0.7813817165309267</c:v>
                </c:pt>
                <c:pt idx="102">
                  <c:v>4.6083428871937171</c:v>
                </c:pt>
                <c:pt idx="103">
                  <c:v>1.6775375802214887</c:v>
                </c:pt>
                <c:pt idx="104">
                  <c:v>4.532981700507932</c:v>
                </c:pt>
                <c:pt idx="105">
                  <c:v>3.3239124575900947</c:v>
                </c:pt>
                <c:pt idx="106">
                  <c:v>3.1204144681549861</c:v>
                </c:pt>
                <c:pt idx="107">
                  <c:v>2.5196994885351431</c:v>
                </c:pt>
                <c:pt idx="108">
                  <c:v>3.176276495846575</c:v>
                </c:pt>
              </c:numCache>
            </c:numRef>
          </c:val>
          <c:extLst>
            <c:ext xmlns:c16="http://schemas.microsoft.com/office/drawing/2014/chart" uri="{C3380CC4-5D6E-409C-BE32-E72D297353CC}">
              <c16:uniqueId val="{00000001-2E04-4FB9-A59F-6FE93F92DF45}"/>
            </c:ext>
          </c:extLst>
        </c:ser>
        <c:dLbls>
          <c:showLegendKey val="0"/>
          <c:showVal val="0"/>
          <c:showCatName val="0"/>
          <c:showSerName val="0"/>
          <c:showPercent val="0"/>
          <c:showBubbleSize val="0"/>
        </c:dLbls>
        <c:gapWidth val="150"/>
        <c:overlap val="100"/>
        <c:axId val="129606576"/>
        <c:axId val="1"/>
      </c:barChart>
      <c:lineChart>
        <c:grouping val="standard"/>
        <c:varyColors val="0"/>
        <c:ser>
          <c:idx val="2"/>
          <c:order val="0"/>
          <c:tx>
            <c:strRef>
              <c:f>'Monetary Sector'!$A$10</c:f>
              <c:strCache>
                <c:ptCount val="1"/>
                <c:pt idx="0">
                  <c:v>Credit to the economy</c:v>
                </c:pt>
              </c:strCache>
            </c:strRef>
          </c:tx>
          <c:spPr>
            <a:ln w="25400">
              <a:solidFill>
                <a:schemeClr val="tx1"/>
              </a:solidFill>
            </a:ln>
          </c:spPr>
          <c:marker>
            <c:symbol val="none"/>
          </c:marker>
          <c:cat>
            <c:numRef>
              <c:f>'Monetary Sector'!$N$1:$DR$1</c:f>
              <c:numCache>
                <c:formatCode>[$-409]mmm\-yy;@</c:formatCode>
                <c:ptCount val="109"/>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numCache>
            </c:numRef>
          </c:cat>
          <c:val>
            <c:numRef>
              <c:f>'Monetary Sector'!$N$10:$DR$10</c:f>
              <c:numCache>
                <c:formatCode>#,##0.00</c:formatCode>
                <c:ptCount val="109"/>
                <c:pt idx="0">
                  <c:v>0.3272846825940201</c:v>
                </c:pt>
                <c:pt idx="1">
                  <c:v>0.37645247020678951</c:v>
                </c:pt>
                <c:pt idx="2">
                  <c:v>-0.63398431764465357</c:v>
                </c:pt>
                <c:pt idx="3">
                  <c:v>-0.65450067287682323</c:v>
                </c:pt>
                <c:pt idx="4">
                  <c:v>-0.14637746084130709</c:v>
                </c:pt>
                <c:pt idx="5">
                  <c:v>1.4276182656255632</c:v>
                </c:pt>
                <c:pt idx="6">
                  <c:v>0.47866155974007896</c:v>
                </c:pt>
                <c:pt idx="7">
                  <c:v>1.4460651269086133</c:v>
                </c:pt>
                <c:pt idx="8">
                  <c:v>0.91637269815971756</c:v>
                </c:pt>
                <c:pt idx="9">
                  <c:v>-0.38509363003951247</c:v>
                </c:pt>
                <c:pt idx="10">
                  <c:v>2.0203781278306687</c:v>
                </c:pt>
                <c:pt idx="11">
                  <c:v>1.0256410355422574</c:v>
                </c:pt>
                <c:pt idx="12">
                  <c:v>1.5526513098245154</c:v>
                </c:pt>
                <c:pt idx="13">
                  <c:v>1.4230867545531378</c:v>
                </c:pt>
                <c:pt idx="14">
                  <c:v>1.5370401818850965</c:v>
                </c:pt>
                <c:pt idx="15">
                  <c:v>1.6565616517479675</c:v>
                </c:pt>
                <c:pt idx="16">
                  <c:v>1.312191838979393</c:v>
                </c:pt>
                <c:pt idx="17">
                  <c:v>0.1709353522667767</c:v>
                </c:pt>
                <c:pt idx="18">
                  <c:v>0.9037205945979121</c:v>
                </c:pt>
                <c:pt idx="19">
                  <c:v>-1.5534804572051808</c:v>
                </c:pt>
                <c:pt idx="20">
                  <c:v>-0.35909339917074012</c:v>
                </c:pt>
                <c:pt idx="21">
                  <c:v>-0.57144281200475211</c:v>
                </c:pt>
                <c:pt idx="22">
                  <c:v>-1.7804352038304105</c:v>
                </c:pt>
                <c:pt idx="23">
                  <c:v>-0.70108768004594202</c:v>
                </c:pt>
                <c:pt idx="24">
                  <c:v>0.24916559873229271</c:v>
                </c:pt>
                <c:pt idx="25">
                  <c:v>-0.20840687638296052</c:v>
                </c:pt>
                <c:pt idx="26">
                  <c:v>9.9650535524342665E-2</c:v>
                </c:pt>
                <c:pt idx="27">
                  <c:v>0.34577813487342013</c:v>
                </c:pt>
                <c:pt idx="28">
                  <c:v>1.2528735176052352</c:v>
                </c:pt>
                <c:pt idx="29">
                  <c:v>0.14687656849519115</c:v>
                </c:pt>
                <c:pt idx="30">
                  <c:v>0.18347784276973034</c:v>
                </c:pt>
                <c:pt idx="31">
                  <c:v>1.3732455424445345</c:v>
                </c:pt>
                <c:pt idx="32">
                  <c:v>1.096757333310161</c:v>
                </c:pt>
                <c:pt idx="33">
                  <c:v>1.513203999762025</c:v>
                </c:pt>
                <c:pt idx="34">
                  <c:v>2.102581635273193</c:v>
                </c:pt>
                <c:pt idx="35">
                  <c:v>3.213890207142911</c:v>
                </c:pt>
                <c:pt idx="36">
                  <c:v>2.7317338290283155</c:v>
                </c:pt>
                <c:pt idx="37">
                  <c:v>3.0507072137675673</c:v>
                </c:pt>
                <c:pt idx="38">
                  <c:v>3.3669106801009097</c:v>
                </c:pt>
                <c:pt idx="39">
                  <c:v>2.9302644877970518</c:v>
                </c:pt>
                <c:pt idx="40">
                  <c:v>2.0441327348253102</c:v>
                </c:pt>
                <c:pt idx="41">
                  <c:v>3.0866951800162301</c:v>
                </c:pt>
                <c:pt idx="42">
                  <c:v>3.6668127955634677</c:v>
                </c:pt>
                <c:pt idx="43">
                  <c:v>4.3006909360252976</c:v>
                </c:pt>
                <c:pt idx="44">
                  <c:v>4.660791254352592</c:v>
                </c:pt>
                <c:pt idx="45">
                  <c:v>4.686215556299711</c:v>
                </c:pt>
                <c:pt idx="46">
                  <c:v>4.4372605839396062</c:v>
                </c:pt>
                <c:pt idx="47">
                  <c:v>5.1880972126814306</c:v>
                </c:pt>
                <c:pt idx="48">
                  <c:v>3.5900665114165786</c:v>
                </c:pt>
                <c:pt idx="49">
                  <c:v>4.1106830579608289</c:v>
                </c:pt>
                <c:pt idx="50">
                  <c:v>3.7023574638028744</c:v>
                </c:pt>
                <c:pt idx="51">
                  <c:v>7.0223114159017275</c:v>
                </c:pt>
                <c:pt idx="52">
                  <c:v>4.6108022723826192</c:v>
                </c:pt>
                <c:pt idx="53">
                  <c:v>5.4488110693212466</c:v>
                </c:pt>
                <c:pt idx="54">
                  <c:v>5.7339851482570259</c:v>
                </c:pt>
                <c:pt idx="55">
                  <c:v>5.309804935665885</c:v>
                </c:pt>
                <c:pt idx="56">
                  <c:v>5.5658581599905999</c:v>
                </c:pt>
                <c:pt idx="57">
                  <c:v>6.052322737248117</c:v>
                </c:pt>
                <c:pt idx="58">
                  <c:v>6.3925597032424841</c:v>
                </c:pt>
                <c:pt idx="59">
                  <c:v>5.2559704344711911</c:v>
                </c:pt>
                <c:pt idx="60">
                  <c:v>7.4689513273024755</c:v>
                </c:pt>
                <c:pt idx="61">
                  <c:v>3.761704039281466</c:v>
                </c:pt>
                <c:pt idx="62">
                  <c:v>4.2100680469046248</c:v>
                </c:pt>
                <c:pt idx="63">
                  <c:v>1.8991990428682159</c:v>
                </c:pt>
                <c:pt idx="64">
                  <c:v>5.1903246170101669</c:v>
                </c:pt>
                <c:pt idx="65">
                  <c:v>5.9890975048318529</c:v>
                </c:pt>
                <c:pt idx="66">
                  <c:v>5.5407293137348379</c:v>
                </c:pt>
                <c:pt idx="67">
                  <c:v>4.9610986269434276</c:v>
                </c:pt>
                <c:pt idx="68">
                  <c:v>4.8557572486263689</c:v>
                </c:pt>
                <c:pt idx="69">
                  <c:v>4.0648309222041545</c:v>
                </c:pt>
                <c:pt idx="70">
                  <c:v>3.3887250099629451</c:v>
                </c:pt>
                <c:pt idx="71">
                  <c:v>2.6848942944452725</c:v>
                </c:pt>
                <c:pt idx="72">
                  <c:v>2.8359762944437872</c:v>
                </c:pt>
                <c:pt idx="73">
                  <c:v>6.1617247599054403</c:v>
                </c:pt>
                <c:pt idx="74">
                  <c:v>5.0506197963593902</c:v>
                </c:pt>
                <c:pt idx="75">
                  <c:v>4.4216025503448941</c:v>
                </c:pt>
                <c:pt idx="76">
                  <c:v>3.8763102462584964</c:v>
                </c:pt>
                <c:pt idx="77">
                  <c:v>2.6593331383506058</c:v>
                </c:pt>
                <c:pt idx="78">
                  <c:v>1.2612709391267352</c:v>
                </c:pt>
                <c:pt idx="79">
                  <c:v>1.7620978816499155</c:v>
                </c:pt>
                <c:pt idx="80">
                  <c:v>2.5659283305859981</c:v>
                </c:pt>
                <c:pt idx="81">
                  <c:v>2.5408089223923458</c:v>
                </c:pt>
                <c:pt idx="82">
                  <c:v>3.5195406540186269</c:v>
                </c:pt>
                <c:pt idx="83">
                  <c:v>4.2989480549449288</c:v>
                </c:pt>
                <c:pt idx="84">
                  <c:v>3.8708239339388051</c:v>
                </c:pt>
                <c:pt idx="85">
                  <c:v>5.027792865835945</c:v>
                </c:pt>
                <c:pt idx="86">
                  <c:v>6.2606043534894962</c:v>
                </c:pt>
                <c:pt idx="87">
                  <c:v>5.5954119460332574</c:v>
                </c:pt>
                <c:pt idx="88">
                  <c:v>5.2226395945563997</c:v>
                </c:pt>
                <c:pt idx="89">
                  <c:v>5.5154918481528314</c:v>
                </c:pt>
                <c:pt idx="90">
                  <c:v>6.3734817135708166</c:v>
                </c:pt>
                <c:pt idx="91">
                  <c:v>6.0064410062472762</c:v>
                </c:pt>
                <c:pt idx="92">
                  <c:v>4.3969797575190483</c:v>
                </c:pt>
                <c:pt idx="93">
                  <c:v>5.6345404807294441</c:v>
                </c:pt>
                <c:pt idx="94">
                  <c:v>5.3870672674882325</c:v>
                </c:pt>
                <c:pt idx="95">
                  <c:v>4.3609699775406519</c:v>
                </c:pt>
                <c:pt idx="96">
                  <c:v>4.8350878704555011</c:v>
                </c:pt>
                <c:pt idx="97">
                  <c:v>4.0908070102171568</c:v>
                </c:pt>
                <c:pt idx="98">
                  <c:v>4.0158357556413948</c:v>
                </c:pt>
                <c:pt idx="99">
                  <c:v>5.1800883907807904</c:v>
                </c:pt>
                <c:pt idx="100">
                  <c:v>6.5119036284954301</c:v>
                </c:pt>
                <c:pt idx="101">
                  <c:v>6.0001789576958675</c:v>
                </c:pt>
                <c:pt idx="102">
                  <c:v>6.2595965290187516</c:v>
                </c:pt>
                <c:pt idx="103">
                  <c:v>7.3620313682301708</c:v>
                </c:pt>
                <c:pt idx="104">
                  <c:v>8.3909768814731223</c:v>
                </c:pt>
                <c:pt idx="105">
                  <c:v>7.7427182695852803</c:v>
                </c:pt>
                <c:pt idx="106">
                  <c:v>7.4624706481656311</c:v>
                </c:pt>
                <c:pt idx="107">
                  <c:v>6.6052192420000155</c:v>
                </c:pt>
                <c:pt idx="108">
                  <c:v>6.0035394103078676</c:v>
                </c:pt>
              </c:numCache>
            </c:numRef>
          </c:val>
          <c:smooth val="0"/>
          <c:extLst xmlns:c15="http://schemas.microsoft.com/office/drawing/2012/chart">
            <c:ext xmlns:c16="http://schemas.microsoft.com/office/drawing/2014/chart" uri="{C3380CC4-5D6E-409C-BE32-E72D297353CC}">
              <c16:uniqueId val="{00000002-2E04-4FB9-A59F-6FE93F92DF45}"/>
            </c:ext>
          </c:extLst>
        </c:ser>
        <c:dLbls>
          <c:showLegendKey val="0"/>
          <c:showVal val="0"/>
          <c:showCatName val="0"/>
          <c:showSerName val="0"/>
          <c:showPercent val="0"/>
          <c:showBubbleSize val="0"/>
        </c:dLbls>
        <c:marker val="1"/>
        <c:smooth val="0"/>
        <c:axId val="129606576"/>
        <c:axId val="1"/>
      </c:lineChart>
      <c:dateAx>
        <c:axId val="129606576"/>
        <c:scaling>
          <c:orientation val="minMax"/>
        </c:scaling>
        <c:delete val="0"/>
        <c:axPos val="b"/>
        <c:numFmt formatCode="[$-409]mmm\-yy;@"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Offset val="100"/>
        <c:baseTimeUnit val="months"/>
      </c:date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7.6191500010573884E-2"/>
          <c:y val="7.764118263626138E-2"/>
          <c:w val="0.75232575763043363"/>
          <c:h val="0.1066322628961399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latin typeface="Times New Roman" panose="02020603050405020304" pitchFamily="18" charset="0"/>
                <a:cs typeface="Times New Roman" panose="02020603050405020304" pitchFamily="18" charset="0"/>
              </a:rPr>
              <a:t>Monetary Aggregates </a:t>
            </a:r>
            <a:r>
              <a:rPr lang="en-US" sz="900" b="0">
                <a:latin typeface="Times New Roman" panose="02020603050405020304" pitchFamily="18" charset="0"/>
                <a:cs typeface="Times New Roman" panose="02020603050405020304" pitchFamily="18" charset="0"/>
              </a:rPr>
              <a:t>(Millions of CVE)</a:t>
            </a:r>
          </a:p>
        </c:rich>
      </c:tx>
      <c:layout>
        <c:manualLayout>
          <c:xMode val="edge"/>
          <c:yMode val="edge"/>
          <c:x val="0.23110151187904968"/>
          <c:y val="2.3423121967542246E-2"/>
        </c:manualLayout>
      </c:layout>
      <c:overlay val="0"/>
    </c:title>
    <c:autoTitleDeleted val="0"/>
    <c:plotArea>
      <c:layout>
        <c:manualLayout>
          <c:layoutTarget val="inner"/>
          <c:xMode val="edge"/>
          <c:yMode val="edge"/>
          <c:x val="0.15785378862167507"/>
          <c:y val="1.9251224180882359E-2"/>
          <c:w val="0.82005754212905879"/>
          <c:h val="0.80099124974138669"/>
        </c:manualLayout>
      </c:layout>
      <c:barChart>
        <c:barDir val="col"/>
        <c:grouping val="clustered"/>
        <c:varyColors val="0"/>
        <c:ser>
          <c:idx val="2"/>
          <c:order val="0"/>
          <c:tx>
            <c:strRef>
              <c:f>'Monetary Sector'!$A$2</c:f>
              <c:strCache>
                <c:ptCount val="1"/>
                <c:pt idx="0">
                  <c:v>Net foreign assets</c:v>
                </c:pt>
              </c:strCache>
            </c:strRef>
          </c:tx>
          <c:spPr>
            <a:solidFill>
              <a:srgbClr val="C00000"/>
            </a:solidFill>
          </c:spPr>
          <c:invertIfNegative val="0"/>
          <c:cat>
            <c:numRef>
              <c:f>'Monetary Sector'!$B$1:$DR$1</c:f>
              <c:numCache>
                <c:formatCode>[$-409]mmm\-yy;@</c:formatCode>
                <c:ptCount val="12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numCache>
            </c:numRef>
          </c:cat>
          <c:val>
            <c:numRef>
              <c:f>'Monetary Sector'!$B$2:$DR$2</c:f>
              <c:numCache>
                <c:formatCode>#,##0</c:formatCode>
                <c:ptCount val="121"/>
                <c:pt idx="0">
                  <c:v>21295.741541699994</c:v>
                </c:pt>
                <c:pt idx="1">
                  <c:v>22131.178284113597</c:v>
                </c:pt>
                <c:pt idx="2">
                  <c:v>21964.202157551277</c:v>
                </c:pt>
                <c:pt idx="3">
                  <c:v>21380.443220447021</c:v>
                </c:pt>
                <c:pt idx="4">
                  <c:v>22271.914955929475</c:v>
                </c:pt>
                <c:pt idx="5">
                  <c:v>22437.586790455134</c:v>
                </c:pt>
                <c:pt idx="6">
                  <c:v>22184.775778398536</c:v>
                </c:pt>
                <c:pt idx="7">
                  <c:v>22475.260354411908</c:v>
                </c:pt>
                <c:pt idx="8">
                  <c:v>23275.108394218536</c:v>
                </c:pt>
                <c:pt idx="9">
                  <c:v>23313.680380555801</c:v>
                </c:pt>
                <c:pt idx="10">
                  <c:v>23650.547706408026</c:v>
                </c:pt>
                <c:pt idx="11">
                  <c:v>24324.521936776549</c:v>
                </c:pt>
                <c:pt idx="12">
                  <c:v>26197.166701693423</c:v>
                </c:pt>
                <c:pt idx="13">
                  <c:v>26177.249107157324</c:v>
                </c:pt>
                <c:pt idx="14">
                  <c:v>27070.554405149029</c:v>
                </c:pt>
                <c:pt idx="15">
                  <c:v>26612.005676101988</c:v>
                </c:pt>
                <c:pt idx="16">
                  <c:v>27537.535464594781</c:v>
                </c:pt>
                <c:pt idx="17">
                  <c:v>26516.713470836752</c:v>
                </c:pt>
                <c:pt idx="18">
                  <c:v>29644.919226304009</c:v>
                </c:pt>
                <c:pt idx="19">
                  <c:v>30702.995710407122</c:v>
                </c:pt>
                <c:pt idx="20">
                  <c:v>29703.840851512272</c:v>
                </c:pt>
                <c:pt idx="21">
                  <c:v>31190.432376188139</c:v>
                </c:pt>
                <c:pt idx="22">
                  <c:v>30403.839098808679</c:v>
                </c:pt>
                <c:pt idx="23">
                  <c:v>32044.530890704551</c:v>
                </c:pt>
                <c:pt idx="24">
                  <c:v>36066.622734988137</c:v>
                </c:pt>
                <c:pt idx="25">
                  <c:v>36749.786030355288</c:v>
                </c:pt>
                <c:pt idx="26">
                  <c:v>36624.992671202614</c:v>
                </c:pt>
                <c:pt idx="27">
                  <c:v>37131.530712360014</c:v>
                </c:pt>
                <c:pt idx="28">
                  <c:v>37357.522828172157</c:v>
                </c:pt>
                <c:pt idx="29">
                  <c:v>35418.202118666901</c:v>
                </c:pt>
                <c:pt idx="30">
                  <c:v>34044.163842755406</c:v>
                </c:pt>
                <c:pt idx="31">
                  <c:v>36290.706439469992</c:v>
                </c:pt>
                <c:pt idx="32">
                  <c:v>37529.398730574379</c:v>
                </c:pt>
                <c:pt idx="33">
                  <c:v>37284.20863067438</c:v>
                </c:pt>
                <c:pt idx="34">
                  <c:v>39501.645119763773</c:v>
                </c:pt>
                <c:pt idx="35">
                  <c:v>41337.870791327085</c:v>
                </c:pt>
                <c:pt idx="36">
                  <c:v>44061.48848884031</c:v>
                </c:pt>
                <c:pt idx="37">
                  <c:v>46723.60993017978</c:v>
                </c:pt>
                <c:pt idx="38">
                  <c:v>47788.54552580951</c:v>
                </c:pt>
                <c:pt idx="39">
                  <c:v>46271.794178996606</c:v>
                </c:pt>
                <c:pt idx="40">
                  <c:v>46427.770095299216</c:v>
                </c:pt>
                <c:pt idx="41">
                  <c:v>46170.502536628366</c:v>
                </c:pt>
                <c:pt idx="42">
                  <c:v>44933.343466592036</c:v>
                </c:pt>
                <c:pt idx="43">
                  <c:v>45338.646136671181</c:v>
                </c:pt>
                <c:pt idx="44">
                  <c:v>44353.349526151695</c:v>
                </c:pt>
                <c:pt idx="45">
                  <c:v>43095.480372691629</c:v>
                </c:pt>
                <c:pt idx="46">
                  <c:v>42601.66110039749</c:v>
                </c:pt>
                <c:pt idx="47">
                  <c:v>44398.317842658871</c:v>
                </c:pt>
                <c:pt idx="48">
                  <c:v>49949.513418593669</c:v>
                </c:pt>
                <c:pt idx="49">
                  <c:v>50575.838581390344</c:v>
                </c:pt>
                <c:pt idx="50">
                  <c:v>50084.309574102677</c:v>
                </c:pt>
                <c:pt idx="51">
                  <c:v>51009.50053063855</c:v>
                </c:pt>
                <c:pt idx="52">
                  <c:v>51772.595249452082</c:v>
                </c:pt>
                <c:pt idx="53">
                  <c:v>53008.208787913529</c:v>
                </c:pt>
                <c:pt idx="54">
                  <c:v>53431.324348635273</c:v>
                </c:pt>
                <c:pt idx="55">
                  <c:v>53229.623823233356</c:v>
                </c:pt>
                <c:pt idx="56">
                  <c:v>55162.949775633359</c:v>
                </c:pt>
                <c:pt idx="57">
                  <c:v>53528.407757153698</c:v>
                </c:pt>
                <c:pt idx="58">
                  <c:v>53899.940466829888</c:v>
                </c:pt>
                <c:pt idx="59">
                  <c:v>55352.100933865739</c:v>
                </c:pt>
                <c:pt idx="60">
                  <c:v>59264.442624309704</c:v>
                </c:pt>
                <c:pt idx="61">
                  <c:v>58902.446991530211</c:v>
                </c:pt>
                <c:pt idx="62">
                  <c:v>59509.771463120625</c:v>
                </c:pt>
                <c:pt idx="63">
                  <c:v>58237.962655854491</c:v>
                </c:pt>
                <c:pt idx="64">
                  <c:v>58202.478439029263</c:v>
                </c:pt>
                <c:pt idx="65">
                  <c:v>54812.689367467654</c:v>
                </c:pt>
                <c:pt idx="66">
                  <c:v>53634.146887313276</c:v>
                </c:pt>
                <c:pt idx="67">
                  <c:v>53815.197398431017</c:v>
                </c:pt>
                <c:pt idx="68">
                  <c:v>56052.936981492203</c:v>
                </c:pt>
                <c:pt idx="69">
                  <c:v>54432.985249647179</c:v>
                </c:pt>
                <c:pt idx="70">
                  <c:v>54304.137070897501</c:v>
                </c:pt>
                <c:pt idx="71">
                  <c:v>54732.588299050214</c:v>
                </c:pt>
                <c:pt idx="72">
                  <c:v>60600.483288333533</c:v>
                </c:pt>
                <c:pt idx="73">
                  <c:v>60119.455622709473</c:v>
                </c:pt>
                <c:pt idx="74">
                  <c:v>60584.564896445292</c:v>
                </c:pt>
                <c:pt idx="75">
                  <c:v>60071.231372483002</c:v>
                </c:pt>
                <c:pt idx="76">
                  <c:v>60402.81334117458</c:v>
                </c:pt>
                <c:pt idx="77">
                  <c:v>59952.078707510576</c:v>
                </c:pt>
                <c:pt idx="78">
                  <c:v>60371.886397843693</c:v>
                </c:pt>
                <c:pt idx="79">
                  <c:v>58954.227880096245</c:v>
                </c:pt>
                <c:pt idx="80">
                  <c:v>57892.561270133112</c:v>
                </c:pt>
                <c:pt idx="81">
                  <c:v>57168.290287097036</c:v>
                </c:pt>
                <c:pt idx="82">
                  <c:v>57904.351875355111</c:v>
                </c:pt>
                <c:pt idx="83">
                  <c:v>59160.904331989208</c:v>
                </c:pt>
                <c:pt idx="84">
                  <c:v>56649.236870434615</c:v>
                </c:pt>
                <c:pt idx="85">
                  <c:v>57833.240916616007</c:v>
                </c:pt>
                <c:pt idx="86">
                  <c:v>60681.621592139789</c:v>
                </c:pt>
                <c:pt idx="87">
                  <c:v>62036.37805219915</c:v>
                </c:pt>
                <c:pt idx="88">
                  <c:v>61829.530434892738</c:v>
                </c:pt>
                <c:pt idx="89">
                  <c:v>59324.269822457114</c:v>
                </c:pt>
                <c:pt idx="90">
                  <c:v>62833.423024225915</c:v>
                </c:pt>
                <c:pt idx="91">
                  <c:v>63130.676967075509</c:v>
                </c:pt>
                <c:pt idx="92">
                  <c:v>67947.977498741428</c:v>
                </c:pt>
                <c:pt idx="93">
                  <c:v>68194.31176428101</c:v>
                </c:pt>
                <c:pt idx="94">
                  <c:v>65688.903357922856</c:v>
                </c:pt>
                <c:pt idx="95">
                  <c:v>64825.435167697353</c:v>
                </c:pt>
                <c:pt idx="96">
                  <c:v>70714.193874076431</c:v>
                </c:pt>
                <c:pt idx="97">
                  <c:v>71697.623714753499</c:v>
                </c:pt>
                <c:pt idx="98">
                  <c:v>72978.032237758191</c:v>
                </c:pt>
                <c:pt idx="99">
                  <c:v>70046.372207819601</c:v>
                </c:pt>
                <c:pt idx="100">
                  <c:v>72303.394447066647</c:v>
                </c:pt>
                <c:pt idx="101">
                  <c:v>71457.657127068189</c:v>
                </c:pt>
                <c:pt idx="102">
                  <c:v>68838.219134358529</c:v>
                </c:pt>
                <c:pt idx="103">
                  <c:v>71928.92401727484</c:v>
                </c:pt>
                <c:pt idx="104">
                  <c:v>69860.647213738484</c:v>
                </c:pt>
                <c:pt idx="105">
                  <c:v>67043.298692182085</c:v>
                </c:pt>
                <c:pt idx="106">
                  <c:v>68626.520792772833</c:v>
                </c:pt>
                <c:pt idx="107">
                  <c:v>62053.923997603044</c:v>
                </c:pt>
                <c:pt idx="108">
                  <c:v>63697.888408883664</c:v>
                </c:pt>
                <c:pt idx="109">
                  <c:v>63184.763815992163</c:v>
                </c:pt>
                <c:pt idx="110">
                  <c:v>59933.171206335799</c:v>
                </c:pt>
                <c:pt idx="111">
                  <c:v>58571.076443246064</c:v>
                </c:pt>
                <c:pt idx="112">
                  <c:v>56677.166226515925</c:v>
                </c:pt>
                <c:pt idx="113">
                  <c:v>56785.877844880008</c:v>
                </c:pt>
                <c:pt idx="114">
                  <c:v>56191.991518000003</c:v>
                </c:pt>
                <c:pt idx="115">
                  <c:v>56737.362672607655</c:v>
                </c:pt>
                <c:pt idx="116">
                  <c:v>58199.956455599997</c:v>
                </c:pt>
                <c:pt idx="117">
                  <c:v>57887.678296629994</c:v>
                </c:pt>
                <c:pt idx="118">
                  <c:v>58861.033966300005</c:v>
                </c:pt>
                <c:pt idx="119">
                  <c:v>61210.961339870002</c:v>
                </c:pt>
                <c:pt idx="120">
                  <c:v>70058.779659329986</c:v>
                </c:pt>
              </c:numCache>
            </c:numRef>
          </c:val>
          <c:extLst xmlns:c15="http://schemas.microsoft.com/office/drawing/2012/chart">
            <c:ext xmlns:c16="http://schemas.microsoft.com/office/drawing/2014/chart" uri="{C3380CC4-5D6E-409C-BE32-E72D297353CC}">
              <c16:uniqueId val="{00000000-181F-47E5-926F-23794AB48E88}"/>
            </c:ext>
          </c:extLst>
        </c:ser>
        <c:ser>
          <c:idx val="0"/>
          <c:order val="1"/>
          <c:tx>
            <c:strRef>
              <c:f>'Monetary Sector'!$A$3</c:f>
              <c:strCache>
                <c:ptCount val="1"/>
                <c:pt idx="0">
                  <c:v>Net domestic assets (credit)</c:v>
                </c:pt>
              </c:strCache>
            </c:strRef>
          </c:tx>
          <c:spPr>
            <a:solidFill>
              <a:schemeClr val="tx1"/>
            </a:solidFill>
          </c:spPr>
          <c:invertIfNegative val="0"/>
          <c:cat>
            <c:numRef>
              <c:f>'Monetary Sector'!$B$1:$DR$1</c:f>
              <c:numCache>
                <c:formatCode>[$-409]mmm\-yy;@</c:formatCode>
                <c:ptCount val="12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numCache>
            </c:numRef>
          </c:cat>
          <c:val>
            <c:numRef>
              <c:f>'Monetary Sector'!$B$3:$DR$3</c:f>
              <c:numCache>
                <c:formatCode>#,##0</c:formatCode>
                <c:ptCount val="121"/>
                <c:pt idx="0">
                  <c:v>112308.5544439409</c:v>
                </c:pt>
                <c:pt idx="1">
                  <c:v>112036.7731913701</c:v>
                </c:pt>
                <c:pt idx="2">
                  <c:v>112766.33487799932</c:v>
                </c:pt>
                <c:pt idx="3">
                  <c:v>114083.00580490055</c:v>
                </c:pt>
                <c:pt idx="4">
                  <c:v>113834.16824132131</c:v>
                </c:pt>
                <c:pt idx="5">
                  <c:v>112752.33593787414</c:v>
                </c:pt>
                <c:pt idx="6">
                  <c:v>114565.27139808708</c:v>
                </c:pt>
                <c:pt idx="7">
                  <c:v>114778.9268395401</c:v>
                </c:pt>
                <c:pt idx="8">
                  <c:v>113930.51065394153</c:v>
                </c:pt>
                <c:pt idx="9">
                  <c:v>114649.59201436501</c:v>
                </c:pt>
                <c:pt idx="10">
                  <c:v>113628.49948641144</c:v>
                </c:pt>
                <c:pt idx="11">
                  <c:v>113895.73795138589</c:v>
                </c:pt>
                <c:pt idx="12">
                  <c:v>116443.68252586278</c:v>
                </c:pt>
                <c:pt idx="13">
                  <c:v>115505.75881010477</c:v>
                </c:pt>
                <c:pt idx="14">
                  <c:v>114919.13460133551</c:v>
                </c:pt>
                <c:pt idx="15">
                  <c:v>117251.78496595111</c:v>
                </c:pt>
                <c:pt idx="16">
                  <c:v>117531.91293115223</c:v>
                </c:pt>
                <c:pt idx="17">
                  <c:v>117648.91046454225</c:v>
                </c:pt>
                <c:pt idx="18">
                  <c:v>118953.19793816202</c:v>
                </c:pt>
                <c:pt idx="19">
                  <c:v>119515.54421200498</c:v>
                </c:pt>
                <c:pt idx="20">
                  <c:v>119599.33839926962</c:v>
                </c:pt>
                <c:pt idx="21">
                  <c:v>119669.82488675418</c:v>
                </c:pt>
                <c:pt idx="22">
                  <c:v>122050.82204694544</c:v>
                </c:pt>
                <c:pt idx="23">
                  <c:v>121584.38623115445</c:v>
                </c:pt>
                <c:pt idx="24">
                  <c:v>120301.92426821371</c:v>
                </c:pt>
                <c:pt idx="25">
                  <c:v>120971.21667155798</c:v>
                </c:pt>
                <c:pt idx="26">
                  <c:v>121532.52081829653</c:v>
                </c:pt>
                <c:pt idx="27">
                  <c:v>121842.75336735854</c:v>
                </c:pt>
                <c:pt idx="28">
                  <c:v>122558.07680440751</c:v>
                </c:pt>
                <c:pt idx="29">
                  <c:v>122940.81522650595</c:v>
                </c:pt>
                <c:pt idx="30">
                  <c:v>124835.17530445455</c:v>
                </c:pt>
                <c:pt idx="31">
                  <c:v>123663.75397200818</c:v>
                </c:pt>
                <c:pt idx="32">
                  <c:v>124534.61129830108</c:v>
                </c:pt>
                <c:pt idx="33">
                  <c:v>124048.73157291525</c:v>
                </c:pt>
                <c:pt idx="34">
                  <c:v>124548.97257013782</c:v>
                </c:pt>
                <c:pt idx="35">
                  <c:v>124590.02234454853</c:v>
                </c:pt>
                <c:pt idx="36">
                  <c:v>123688.73197631458</c:v>
                </c:pt>
                <c:pt idx="37">
                  <c:v>123415.92735996626</c:v>
                </c:pt>
                <c:pt idx="38">
                  <c:v>122652.18961321452</c:v>
                </c:pt>
                <c:pt idx="39">
                  <c:v>123164.35893915067</c:v>
                </c:pt>
                <c:pt idx="40">
                  <c:v>123831.13934721169</c:v>
                </c:pt>
                <c:pt idx="41">
                  <c:v>123920.82153685758</c:v>
                </c:pt>
                <c:pt idx="42">
                  <c:v>124658.45170163712</c:v>
                </c:pt>
                <c:pt idx="43">
                  <c:v>126046.86703572306</c:v>
                </c:pt>
                <c:pt idx="44">
                  <c:v>127043.56631051778</c:v>
                </c:pt>
                <c:pt idx="45">
                  <c:v>127322.28444390466</c:v>
                </c:pt>
                <c:pt idx="46">
                  <c:v>127651.85206767864</c:v>
                </c:pt>
                <c:pt idx="47">
                  <c:v>128600.50401234656</c:v>
                </c:pt>
                <c:pt idx="48">
                  <c:v>126412.96720831942</c:v>
                </c:pt>
                <c:pt idx="49">
                  <c:v>126227.44578194228</c:v>
                </c:pt>
                <c:pt idx="50">
                  <c:v>126377.52407444136</c:v>
                </c:pt>
                <c:pt idx="51">
                  <c:v>126077.50446037778</c:v>
                </c:pt>
                <c:pt idx="52">
                  <c:v>127294.77994482015</c:v>
                </c:pt>
                <c:pt idx="53">
                  <c:v>128441.09419777535</c:v>
                </c:pt>
                <c:pt idx="54">
                  <c:v>129201.55033520765</c:v>
                </c:pt>
                <c:pt idx="55">
                  <c:v>130127.4765591397</c:v>
                </c:pt>
                <c:pt idx="56">
                  <c:v>129984.22761099362</c:v>
                </c:pt>
                <c:pt idx="57">
                  <c:v>130603.87344634984</c:v>
                </c:pt>
                <c:pt idx="58">
                  <c:v>131221.76872999175</c:v>
                </c:pt>
                <c:pt idx="59">
                  <c:v>132809.77381571248</c:v>
                </c:pt>
                <c:pt idx="60">
                  <c:v>131082.80501538917</c:v>
                </c:pt>
                <c:pt idx="61">
                  <c:v>131468.73267072887</c:v>
                </c:pt>
                <c:pt idx="62">
                  <c:v>131795.13451717445</c:v>
                </c:pt>
                <c:pt idx="63">
                  <c:v>134854.56901431107</c:v>
                </c:pt>
                <c:pt idx="64">
                  <c:v>132317.35321050807</c:v>
                </c:pt>
                <c:pt idx="65">
                  <c:v>134450.75114840872</c:v>
                </c:pt>
                <c:pt idx="66">
                  <c:v>135078.01813591371</c:v>
                </c:pt>
                <c:pt idx="67">
                  <c:v>135857.61569687483</c:v>
                </c:pt>
                <c:pt idx="68">
                  <c:v>134065.74882043866</c:v>
                </c:pt>
                <c:pt idx="69">
                  <c:v>135994.87657226995</c:v>
                </c:pt>
                <c:pt idx="70">
                  <c:v>137706.50984667393</c:v>
                </c:pt>
                <c:pt idx="71">
                  <c:v>139418.84313152812</c:v>
                </c:pt>
                <c:pt idx="72">
                  <c:v>139328.22115033845</c:v>
                </c:pt>
                <c:pt idx="73">
                  <c:v>134740.75824658398</c:v>
                </c:pt>
                <c:pt idx="74">
                  <c:v>134965.74065448073</c:v>
                </c:pt>
                <c:pt idx="75">
                  <c:v>135375.53111030321</c:v>
                </c:pt>
                <c:pt idx="76">
                  <c:v>136430.02525571783</c:v>
                </c:pt>
                <c:pt idx="77">
                  <c:v>137858.89998513804</c:v>
                </c:pt>
                <c:pt idx="78">
                  <c:v>138823.62585543407</c:v>
                </c:pt>
                <c:pt idx="79">
                  <c:v>140340.76151135229</c:v>
                </c:pt>
                <c:pt idx="80">
                  <c:v>142510.4857112586</c:v>
                </c:pt>
                <c:pt idx="81">
                  <c:v>141775.7404410172</c:v>
                </c:pt>
                <c:pt idx="82">
                  <c:v>141562.11096798722</c:v>
                </c:pt>
                <c:pt idx="83">
                  <c:v>142346.18428081137</c:v>
                </c:pt>
                <c:pt idx="84">
                  <c:v>143299.1749068881</c:v>
                </c:pt>
                <c:pt idx="85">
                  <c:v>142299.36764674555</c:v>
                </c:pt>
                <c:pt idx="86">
                  <c:v>141727.77719431958</c:v>
                </c:pt>
                <c:pt idx="87">
                  <c:v>141897.73201362029</c:v>
                </c:pt>
                <c:pt idx="88">
                  <c:v>142328.88281228949</c:v>
                </c:pt>
                <c:pt idx="89">
                  <c:v>142453.31963746299</c:v>
                </c:pt>
                <c:pt idx="90">
                  <c:v>143159.60308401467</c:v>
                </c:pt>
                <c:pt idx="91">
                  <c:v>143516.62658842944</c:v>
                </c:pt>
                <c:pt idx="92">
                  <c:v>133745.61507727022</c:v>
                </c:pt>
                <c:pt idx="93">
                  <c:v>134931.07822494226</c:v>
                </c:pt>
                <c:pt idx="94">
                  <c:v>136722.5830413411</c:v>
                </c:pt>
                <c:pt idx="95">
                  <c:v>138933.21710083695</c:v>
                </c:pt>
                <c:pt idx="96">
                  <c:v>140348.7536136522</c:v>
                </c:pt>
                <c:pt idx="97">
                  <c:v>141868.07910160895</c:v>
                </c:pt>
                <c:pt idx="98">
                  <c:v>143239.72550529908</c:v>
                </c:pt>
                <c:pt idx="99">
                  <c:v>142768.89634890811</c:v>
                </c:pt>
                <c:pt idx="100">
                  <c:v>139052.88400733145</c:v>
                </c:pt>
                <c:pt idx="101">
                  <c:v>140711.91171225492</c:v>
                </c:pt>
                <c:pt idx="102">
                  <c:v>140208.68599382628</c:v>
                </c:pt>
                <c:pt idx="103">
                  <c:v>138595.22364946353</c:v>
                </c:pt>
                <c:pt idx="104">
                  <c:v>140809.4505252761</c:v>
                </c:pt>
                <c:pt idx="105">
                  <c:v>145560.05415604793</c:v>
                </c:pt>
                <c:pt idx="106">
                  <c:v>145902.47028155159</c:v>
                </c:pt>
                <c:pt idx="107">
                  <c:v>150463.51201485633</c:v>
                </c:pt>
                <c:pt idx="108">
                  <c:v>149744.01898270714</c:v>
                </c:pt>
                <c:pt idx="109">
                  <c:v>149024.25461885511</c:v>
                </c:pt>
                <c:pt idx="110">
                  <c:v>150547.1990301816</c:v>
                </c:pt>
                <c:pt idx="111">
                  <c:v>147513.76526159834</c:v>
                </c:pt>
                <c:pt idx="112">
                  <c:v>150525.69359636129</c:v>
                </c:pt>
                <c:pt idx="113">
                  <c:v>149892.36942281868</c:v>
                </c:pt>
                <c:pt idx="114">
                  <c:v>155249.74171509873</c:v>
                </c:pt>
                <c:pt idx="115">
                  <c:v>152935.92137720005</c:v>
                </c:pt>
                <c:pt idx="116">
                  <c:v>154968.16172442466</c:v>
                </c:pt>
                <c:pt idx="117">
                  <c:v>155621.65034199154</c:v>
                </c:pt>
                <c:pt idx="118">
                  <c:v>154533.6028713659</c:v>
                </c:pt>
                <c:pt idx="119">
                  <c:v>151768.06212716564</c:v>
                </c:pt>
                <c:pt idx="120">
                  <c:v>156816.64653111255</c:v>
                </c:pt>
              </c:numCache>
            </c:numRef>
          </c:val>
          <c:extLst>
            <c:ext xmlns:c16="http://schemas.microsoft.com/office/drawing/2014/chart" uri="{C3380CC4-5D6E-409C-BE32-E72D297353CC}">
              <c16:uniqueId val="{00000001-181F-47E5-926F-23794AB48E88}"/>
            </c:ext>
          </c:extLst>
        </c:ser>
        <c:dLbls>
          <c:showLegendKey val="0"/>
          <c:showVal val="0"/>
          <c:showCatName val="0"/>
          <c:showSerName val="0"/>
          <c:showPercent val="0"/>
          <c:showBubbleSize val="0"/>
        </c:dLbls>
        <c:gapWidth val="150"/>
        <c:axId val="129606576"/>
        <c:axId val="1"/>
      </c:barChart>
      <c:lineChart>
        <c:grouping val="standard"/>
        <c:varyColors val="0"/>
        <c:ser>
          <c:idx val="1"/>
          <c:order val="2"/>
          <c:tx>
            <c:strRef>
              <c:f>'Monetary Sector'!$A$4</c:f>
              <c:strCache>
                <c:ptCount val="1"/>
                <c:pt idx="0">
                  <c:v>Money Supply</c:v>
                </c:pt>
              </c:strCache>
            </c:strRef>
          </c:tx>
          <c:spPr>
            <a:ln w="25400">
              <a:solidFill>
                <a:srgbClr val="0070C0"/>
              </a:solidFill>
            </a:ln>
          </c:spPr>
          <c:marker>
            <c:symbol val="none"/>
          </c:marker>
          <c:cat>
            <c:numRef>
              <c:f>'Monetary Sector'!$B$1:$DR$1</c:f>
              <c:numCache>
                <c:formatCode>[$-409]mmm\-yy;@</c:formatCode>
                <c:ptCount val="12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numCache>
            </c:numRef>
          </c:cat>
          <c:val>
            <c:numRef>
              <c:f>'Monetary Sector'!$B$4:$DR$4</c:f>
              <c:numCache>
                <c:formatCode>#,##0</c:formatCode>
                <c:ptCount val="121"/>
                <c:pt idx="0">
                  <c:v>115325.10295848997</c:v>
                </c:pt>
                <c:pt idx="1">
                  <c:v>116843.15858983004</c:v>
                </c:pt>
                <c:pt idx="2">
                  <c:v>117439.84696234003</c:v>
                </c:pt>
                <c:pt idx="3">
                  <c:v>116418.24636343759</c:v>
                </c:pt>
                <c:pt idx="4">
                  <c:v>117244.8919906354</c:v>
                </c:pt>
                <c:pt idx="5">
                  <c:v>116261.95485012335</c:v>
                </c:pt>
                <c:pt idx="6">
                  <c:v>118359.64254753568</c:v>
                </c:pt>
                <c:pt idx="7">
                  <c:v>118644.5892668944</c:v>
                </c:pt>
                <c:pt idx="8">
                  <c:v>118202.17474432293</c:v>
                </c:pt>
                <c:pt idx="9">
                  <c:v>118598.15287995954</c:v>
                </c:pt>
                <c:pt idx="10">
                  <c:v>117759.9303535808</c:v>
                </c:pt>
                <c:pt idx="11">
                  <c:v>119279.6733836949</c:v>
                </c:pt>
                <c:pt idx="12">
                  <c:v>122590.21192608064</c:v>
                </c:pt>
                <c:pt idx="13">
                  <c:v>121962.76767200835</c:v>
                </c:pt>
                <c:pt idx="14">
                  <c:v>122099.70083296188</c:v>
                </c:pt>
                <c:pt idx="15">
                  <c:v>123757.22976750541</c:v>
                </c:pt>
                <c:pt idx="16">
                  <c:v>125074.51295016224</c:v>
                </c:pt>
                <c:pt idx="17">
                  <c:v>123734.36988880995</c:v>
                </c:pt>
                <c:pt idx="18">
                  <c:v>127420.10685726732</c:v>
                </c:pt>
                <c:pt idx="19">
                  <c:v>129739.02236606824</c:v>
                </c:pt>
                <c:pt idx="20">
                  <c:v>128859.71309737256</c:v>
                </c:pt>
                <c:pt idx="21">
                  <c:v>130024.79964274197</c:v>
                </c:pt>
                <c:pt idx="22">
                  <c:v>131506.7486174448</c:v>
                </c:pt>
                <c:pt idx="23">
                  <c:v>132781.67368896148</c:v>
                </c:pt>
                <c:pt idx="24">
                  <c:v>135484.49203200836</c:v>
                </c:pt>
                <c:pt idx="25">
                  <c:v>136249.08389529728</c:v>
                </c:pt>
                <c:pt idx="26">
                  <c:v>137708.91851851155</c:v>
                </c:pt>
                <c:pt idx="27">
                  <c:v>138337.0317239881</c:v>
                </c:pt>
                <c:pt idx="28">
                  <c:v>138688.90666098174</c:v>
                </c:pt>
                <c:pt idx="29">
                  <c:v>136826.78336477006</c:v>
                </c:pt>
                <c:pt idx="30">
                  <c:v>137394.65605817994</c:v>
                </c:pt>
                <c:pt idx="31">
                  <c:v>137763.24453368</c:v>
                </c:pt>
                <c:pt idx="32">
                  <c:v>140074.25042335986</c:v>
                </c:pt>
                <c:pt idx="33">
                  <c:v>139047.58389169979</c:v>
                </c:pt>
                <c:pt idx="34">
                  <c:v>141591.46898412314</c:v>
                </c:pt>
                <c:pt idx="35">
                  <c:v>143320.2689088918</c:v>
                </c:pt>
                <c:pt idx="36">
                  <c:v>146005.02590541524</c:v>
                </c:pt>
                <c:pt idx="37">
                  <c:v>146889.0674020095</c:v>
                </c:pt>
                <c:pt idx="38">
                  <c:v>147742.40601749334</c:v>
                </c:pt>
                <c:pt idx="39">
                  <c:v>145944.91450050264</c:v>
                </c:pt>
                <c:pt idx="40">
                  <c:v>147291.95899252099</c:v>
                </c:pt>
                <c:pt idx="41">
                  <c:v>147604.88615483689</c:v>
                </c:pt>
                <c:pt idx="42">
                  <c:v>147558.08825800649</c:v>
                </c:pt>
                <c:pt idx="43">
                  <c:v>149132.9039866582</c:v>
                </c:pt>
                <c:pt idx="44">
                  <c:v>149899.93324167779</c:v>
                </c:pt>
                <c:pt idx="45">
                  <c:v>148980.42838496144</c:v>
                </c:pt>
                <c:pt idx="46">
                  <c:v>149341.70830778478</c:v>
                </c:pt>
                <c:pt idx="47">
                  <c:v>150935.27821153717</c:v>
                </c:pt>
                <c:pt idx="48">
                  <c:v>154586.40575194525</c:v>
                </c:pt>
                <c:pt idx="49">
                  <c:v>155700.31884298398</c:v>
                </c:pt>
                <c:pt idx="50">
                  <c:v>155399.61454122531</c:v>
                </c:pt>
                <c:pt idx="51">
                  <c:v>156999.99007813231</c:v>
                </c:pt>
                <c:pt idx="52">
                  <c:v>158886.17486754828</c:v>
                </c:pt>
                <c:pt idx="53">
                  <c:v>160298.09886447588</c:v>
                </c:pt>
                <c:pt idx="54">
                  <c:v>161391.12917202775</c:v>
                </c:pt>
                <c:pt idx="55">
                  <c:v>162184.48496503939</c:v>
                </c:pt>
                <c:pt idx="56">
                  <c:v>162884.10023601199</c:v>
                </c:pt>
                <c:pt idx="57">
                  <c:v>162351.37322763936</c:v>
                </c:pt>
                <c:pt idx="58">
                  <c:v>162487.06368499514</c:v>
                </c:pt>
                <c:pt idx="59">
                  <c:v>164756.85279215983</c:v>
                </c:pt>
                <c:pt idx="60">
                  <c:v>167509.62793338179</c:v>
                </c:pt>
                <c:pt idx="61">
                  <c:v>168175.24862983072</c:v>
                </c:pt>
                <c:pt idx="62">
                  <c:v>168882.45074805774</c:v>
                </c:pt>
                <c:pt idx="63">
                  <c:v>170170.12617650878</c:v>
                </c:pt>
                <c:pt idx="64">
                  <c:v>167660.51517365535</c:v>
                </c:pt>
                <c:pt idx="65">
                  <c:v>167855.19802695856</c:v>
                </c:pt>
                <c:pt idx="66">
                  <c:v>166783.2742703878</c:v>
                </c:pt>
                <c:pt idx="67">
                  <c:v>168693.07763455674</c:v>
                </c:pt>
                <c:pt idx="68">
                  <c:v>168765.98252234861</c:v>
                </c:pt>
                <c:pt idx="69">
                  <c:v>167437.9641363245</c:v>
                </c:pt>
                <c:pt idx="70">
                  <c:v>169796.22290885262</c:v>
                </c:pt>
                <c:pt idx="71">
                  <c:v>172868.38337587068</c:v>
                </c:pt>
                <c:pt idx="72">
                  <c:v>178568.11870594762</c:v>
                </c:pt>
                <c:pt idx="73">
                  <c:v>175355.41894952813</c:v>
                </c:pt>
                <c:pt idx="74">
                  <c:v>176409.8088223816</c:v>
                </c:pt>
                <c:pt idx="75">
                  <c:v>175919.74910604645</c:v>
                </c:pt>
                <c:pt idx="76">
                  <c:v>176662.01181399968</c:v>
                </c:pt>
                <c:pt idx="77">
                  <c:v>177048.77521229174</c:v>
                </c:pt>
                <c:pt idx="78">
                  <c:v>179136.81314057962</c:v>
                </c:pt>
                <c:pt idx="79">
                  <c:v>180191.46352271625</c:v>
                </c:pt>
                <c:pt idx="80">
                  <c:v>181024.92776215464</c:v>
                </c:pt>
                <c:pt idx="81">
                  <c:v>179159.21015684109</c:v>
                </c:pt>
                <c:pt idx="82">
                  <c:v>180190.96700110545</c:v>
                </c:pt>
                <c:pt idx="83">
                  <c:v>181787.00273626301</c:v>
                </c:pt>
                <c:pt idx="84">
                  <c:v>181593.84611483157</c:v>
                </c:pt>
                <c:pt idx="85">
                  <c:v>181413.41397356059</c:v>
                </c:pt>
                <c:pt idx="86">
                  <c:v>183661.78041129338</c:v>
                </c:pt>
                <c:pt idx="87">
                  <c:v>183582.54718448356</c:v>
                </c:pt>
                <c:pt idx="88">
                  <c:v>184710.14566939106</c:v>
                </c:pt>
                <c:pt idx="89">
                  <c:v>182091.20301475207</c:v>
                </c:pt>
                <c:pt idx="90">
                  <c:v>186329.65355766218</c:v>
                </c:pt>
                <c:pt idx="91">
                  <c:v>186589.88445979066</c:v>
                </c:pt>
                <c:pt idx="92">
                  <c:v>187429.98026422021</c:v>
                </c:pt>
                <c:pt idx="93">
                  <c:v>189326.94553977542</c:v>
                </c:pt>
                <c:pt idx="94">
                  <c:v>189608.62940019011</c:v>
                </c:pt>
                <c:pt idx="95">
                  <c:v>191137.87644488629</c:v>
                </c:pt>
                <c:pt idx="96">
                  <c:v>196281.76996540197</c:v>
                </c:pt>
                <c:pt idx="97">
                  <c:v>198217.02386005601</c:v>
                </c:pt>
                <c:pt idx="98">
                  <c:v>200199.06908128827</c:v>
                </c:pt>
                <c:pt idx="99">
                  <c:v>197696.3402677936</c:v>
                </c:pt>
                <c:pt idx="100">
                  <c:v>196397.62281946995</c:v>
                </c:pt>
                <c:pt idx="101">
                  <c:v>196615.68970869284</c:v>
                </c:pt>
                <c:pt idx="102">
                  <c:v>194829.78135779063</c:v>
                </c:pt>
                <c:pt idx="103">
                  <c:v>196731.4171957052</c:v>
                </c:pt>
                <c:pt idx="104">
                  <c:v>198683.82536051003</c:v>
                </c:pt>
                <c:pt idx="105">
                  <c:v>199820.47675509367</c:v>
                </c:pt>
                <c:pt idx="106">
                  <c:v>201324.33041788646</c:v>
                </c:pt>
                <c:pt idx="107">
                  <c:v>200312.63279817137</c:v>
                </c:pt>
                <c:pt idx="108">
                  <c:v>204379.62570254505</c:v>
                </c:pt>
                <c:pt idx="109">
                  <c:v>203392.38354013982</c:v>
                </c:pt>
                <c:pt idx="110">
                  <c:v>202526.72524917545</c:v>
                </c:pt>
                <c:pt idx="111">
                  <c:v>202364.12808371696</c:v>
                </c:pt>
                <c:pt idx="112">
                  <c:v>201320.93538959179</c:v>
                </c:pt>
                <c:pt idx="113">
                  <c:v>201332.95049084001</c:v>
                </c:pt>
                <c:pt idx="114">
                  <c:v>205180.54553458997</c:v>
                </c:pt>
                <c:pt idx="115">
                  <c:v>202006.13413867372</c:v>
                </c:pt>
                <c:pt idx="116">
                  <c:v>201970.13904459999</c:v>
                </c:pt>
                <c:pt idx="117">
                  <c:v>200827.10979175003</c:v>
                </c:pt>
                <c:pt idx="118">
                  <c:v>201964.86976177996</c:v>
                </c:pt>
                <c:pt idx="119">
                  <c:v>203031.39114821999</c:v>
                </c:pt>
                <c:pt idx="120">
                  <c:v>210723.20029753001</c:v>
                </c:pt>
              </c:numCache>
            </c:numRef>
          </c:val>
          <c:smooth val="0"/>
          <c:extLst>
            <c:ext xmlns:c16="http://schemas.microsoft.com/office/drawing/2014/chart" uri="{C3380CC4-5D6E-409C-BE32-E72D297353CC}">
              <c16:uniqueId val="{00000002-181F-47E5-926F-23794AB48E88}"/>
            </c:ext>
          </c:extLst>
        </c:ser>
        <c:dLbls>
          <c:showLegendKey val="0"/>
          <c:showVal val="0"/>
          <c:showCatName val="0"/>
          <c:showSerName val="0"/>
          <c:showPercent val="0"/>
          <c:showBubbleSize val="0"/>
        </c:dLbls>
        <c:marker val="1"/>
        <c:smooth val="0"/>
        <c:axId val="129606576"/>
        <c:axId val="1"/>
      </c:lineChart>
      <c:dateAx>
        <c:axId val="129606576"/>
        <c:scaling>
          <c:orientation val="minMax"/>
        </c:scaling>
        <c:delete val="0"/>
        <c:axPos val="b"/>
        <c:numFmt formatCode="[$-409]mmm\-yy;@"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Offset val="100"/>
        <c:baseTimeUnit val="months"/>
      </c:date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0.18778864305028825"/>
          <c:y val="8.6805457666461597E-2"/>
          <c:w val="0.66487542728865157"/>
          <c:h val="0.16440871108277266"/>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346281213680018E-2"/>
          <c:y val="2.9289705120428874E-2"/>
          <c:w val="0.84284065984675105"/>
          <c:h val="0.83563818785659993"/>
        </c:manualLayout>
      </c:layout>
      <c:barChart>
        <c:barDir val="col"/>
        <c:grouping val="clustered"/>
        <c:varyColors val="0"/>
        <c:ser>
          <c:idx val="0"/>
          <c:order val="0"/>
          <c:tx>
            <c:strRef>
              <c:f>'Monetary Sector'!$A$20</c:f>
              <c:strCache>
                <c:ptCount val="1"/>
                <c:pt idx="0">
                  <c:v>NPLs/Total Loans</c:v>
                </c:pt>
              </c:strCache>
            </c:strRef>
          </c:tx>
          <c:invertIfNegative val="0"/>
          <c:cat>
            <c:numRef>
              <c:f>'Monetary Sector'!$B$19:$AP$19</c:f>
              <c:numCache>
                <c:formatCode>mmm\-yy</c:formatCode>
                <c:ptCount val="4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pt idx="21">
                  <c:v>42795</c:v>
                </c:pt>
                <c:pt idx="22">
                  <c:v>42887</c:v>
                </c:pt>
                <c:pt idx="23">
                  <c:v>42979</c:v>
                </c:pt>
                <c:pt idx="24">
                  <c:v>43070</c:v>
                </c:pt>
                <c:pt idx="25">
                  <c:v>43160</c:v>
                </c:pt>
                <c:pt idx="26">
                  <c:v>43252</c:v>
                </c:pt>
                <c:pt idx="27">
                  <c:v>43344</c:v>
                </c:pt>
                <c:pt idx="28">
                  <c:v>43435</c:v>
                </c:pt>
                <c:pt idx="29">
                  <c:v>43525</c:v>
                </c:pt>
                <c:pt idx="30">
                  <c:v>43617</c:v>
                </c:pt>
                <c:pt idx="31">
                  <c:v>43709</c:v>
                </c:pt>
                <c:pt idx="32">
                  <c:v>43800</c:v>
                </c:pt>
                <c:pt idx="33">
                  <c:v>43891</c:v>
                </c:pt>
                <c:pt idx="34">
                  <c:v>43983</c:v>
                </c:pt>
                <c:pt idx="35">
                  <c:v>44075</c:v>
                </c:pt>
                <c:pt idx="36">
                  <c:v>44166</c:v>
                </c:pt>
                <c:pt idx="37">
                  <c:v>44256</c:v>
                </c:pt>
                <c:pt idx="38">
                  <c:v>44348</c:v>
                </c:pt>
                <c:pt idx="39">
                  <c:v>44440</c:v>
                </c:pt>
                <c:pt idx="40">
                  <c:v>44531</c:v>
                </c:pt>
              </c:numCache>
            </c:numRef>
          </c:cat>
          <c:val>
            <c:numRef>
              <c:f>'Monetary Sector'!$B$20:$AP$20</c:f>
              <c:numCache>
                <c:formatCode>#,##0.0</c:formatCode>
                <c:ptCount val="41"/>
                <c:pt idx="0">
                  <c:v>6.9151040024338792</c:v>
                </c:pt>
                <c:pt idx="1">
                  <c:v>7.8358159483408141</c:v>
                </c:pt>
                <c:pt idx="2">
                  <c:v>9.8166923629850995</c:v>
                </c:pt>
                <c:pt idx="3">
                  <c:v>10.829425437065872</c:v>
                </c:pt>
                <c:pt idx="4">
                  <c:v>8.9401214575158505</c:v>
                </c:pt>
                <c:pt idx="5">
                  <c:v>10.285762621791772</c:v>
                </c:pt>
                <c:pt idx="6">
                  <c:v>11.527582695755159</c:v>
                </c:pt>
                <c:pt idx="7">
                  <c:v>13.328140567912083</c:v>
                </c:pt>
                <c:pt idx="8">
                  <c:v>11.713204660744541</c:v>
                </c:pt>
                <c:pt idx="9">
                  <c:v>12.736466033497489</c:v>
                </c:pt>
                <c:pt idx="10">
                  <c:v>14.411128478975776</c:v>
                </c:pt>
                <c:pt idx="11">
                  <c:v>15.338602796047986</c:v>
                </c:pt>
                <c:pt idx="12">
                  <c:v>14.336418214602196</c:v>
                </c:pt>
                <c:pt idx="13">
                  <c:v>14.736667534860551</c:v>
                </c:pt>
                <c:pt idx="14">
                  <c:v>15.255106486556386</c:v>
                </c:pt>
                <c:pt idx="15">
                  <c:v>14.872503325069783</c:v>
                </c:pt>
                <c:pt idx="16">
                  <c:v>13.325760773272727</c:v>
                </c:pt>
                <c:pt idx="17">
                  <c:v>13.515664087735635</c:v>
                </c:pt>
                <c:pt idx="18">
                  <c:v>13.861391656419981</c:v>
                </c:pt>
                <c:pt idx="19">
                  <c:v>14.584144157297221</c:v>
                </c:pt>
                <c:pt idx="20">
                  <c:v>14.246901493514002</c:v>
                </c:pt>
                <c:pt idx="21">
                  <c:v>14.590657350167508</c:v>
                </c:pt>
                <c:pt idx="22">
                  <c:v>14.475015218462426</c:v>
                </c:pt>
                <c:pt idx="23">
                  <c:v>14.630818375936725</c:v>
                </c:pt>
                <c:pt idx="24">
                  <c:v>13.166728609880355</c:v>
                </c:pt>
                <c:pt idx="25">
                  <c:v>13.669775894206076</c:v>
                </c:pt>
                <c:pt idx="26">
                  <c:v>13.611770737699311</c:v>
                </c:pt>
                <c:pt idx="27">
                  <c:v>13.416205732786771</c:v>
                </c:pt>
                <c:pt idx="28">
                  <c:v>12.209528241215473</c:v>
                </c:pt>
                <c:pt idx="29">
                  <c:v>12.230753220512067</c:v>
                </c:pt>
                <c:pt idx="30">
                  <c:v>12.294903004582567</c:v>
                </c:pt>
                <c:pt idx="31">
                  <c:v>12.083553797308941</c:v>
                </c:pt>
                <c:pt idx="32">
                  <c:v>10.361392881919226</c:v>
                </c:pt>
                <c:pt idx="33">
                  <c:v>10.055352260405595</c:v>
                </c:pt>
                <c:pt idx="34">
                  <c:v>10.999677759569918</c:v>
                </c:pt>
                <c:pt idx="35">
                  <c:v>10.517822344896267</c:v>
                </c:pt>
                <c:pt idx="36">
                  <c:v>9.5244561087201358</c:v>
                </c:pt>
                <c:pt idx="37">
                  <c:v>9.5238441163671439</c:v>
                </c:pt>
                <c:pt idx="38">
                  <c:v>9.1132306038112088</c:v>
                </c:pt>
                <c:pt idx="39">
                  <c:v>8.9646955834518529</c:v>
                </c:pt>
                <c:pt idx="40">
                  <c:v>8.1147102505607087</c:v>
                </c:pt>
              </c:numCache>
            </c:numRef>
          </c:val>
          <c:extLst>
            <c:ext xmlns:c16="http://schemas.microsoft.com/office/drawing/2014/chart" uri="{C3380CC4-5D6E-409C-BE32-E72D297353CC}">
              <c16:uniqueId val="{00000000-426A-4620-8C06-9DBA588BCF62}"/>
            </c:ext>
          </c:extLst>
        </c:ser>
        <c:dLbls>
          <c:showLegendKey val="0"/>
          <c:showVal val="0"/>
          <c:showCatName val="0"/>
          <c:showSerName val="0"/>
          <c:showPercent val="0"/>
          <c:showBubbleSize val="0"/>
        </c:dLbls>
        <c:gapWidth val="0"/>
        <c:overlap val="100"/>
        <c:axId val="129606576"/>
        <c:axId val="1"/>
      </c:barChart>
      <c:lineChart>
        <c:grouping val="standard"/>
        <c:varyColors val="0"/>
        <c:ser>
          <c:idx val="2"/>
          <c:order val="1"/>
          <c:tx>
            <c:strRef>
              <c:f>'Monetary Sector'!$A$21</c:f>
              <c:strCache>
                <c:ptCount val="1"/>
                <c:pt idx="0">
                  <c:v>Provisions to NPLs (RHS)</c:v>
                </c:pt>
              </c:strCache>
            </c:strRef>
          </c:tx>
          <c:spPr>
            <a:ln w="25400">
              <a:solidFill>
                <a:srgbClr val="FF0000"/>
              </a:solidFill>
            </a:ln>
          </c:spPr>
          <c:marker>
            <c:symbol val="none"/>
          </c:marker>
          <c:cat>
            <c:numRef>
              <c:f>'Monetary Sector'!$B$19:$AP$19</c:f>
              <c:numCache>
                <c:formatCode>mmm\-yy</c:formatCode>
                <c:ptCount val="41"/>
                <c:pt idx="0">
                  <c:v>40878</c:v>
                </c:pt>
                <c:pt idx="1">
                  <c:v>40969</c:v>
                </c:pt>
                <c:pt idx="2">
                  <c:v>41061</c:v>
                </c:pt>
                <c:pt idx="3">
                  <c:v>41153</c:v>
                </c:pt>
                <c:pt idx="4">
                  <c:v>41244</c:v>
                </c:pt>
                <c:pt idx="5">
                  <c:v>41334</c:v>
                </c:pt>
                <c:pt idx="6">
                  <c:v>41426</c:v>
                </c:pt>
                <c:pt idx="7">
                  <c:v>41518</c:v>
                </c:pt>
                <c:pt idx="8">
                  <c:v>41609</c:v>
                </c:pt>
                <c:pt idx="9">
                  <c:v>41699</c:v>
                </c:pt>
                <c:pt idx="10">
                  <c:v>41791</c:v>
                </c:pt>
                <c:pt idx="11">
                  <c:v>41883</c:v>
                </c:pt>
                <c:pt idx="12">
                  <c:v>41974</c:v>
                </c:pt>
                <c:pt idx="13">
                  <c:v>42064</c:v>
                </c:pt>
                <c:pt idx="14">
                  <c:v>42156</c:v>
                </c:pt>
                <c:pt idx="15">
                  <c:v>42248</c:v>
                </c:pt>
                <c:pt idx="16">
                  <c:v>42339</c:v>
                </c:pt>
                <c:pt idx="17">
                  <c:v>42430</c:v>
                </c:pt>
                <c:pt idx="18">
                  <c:v>42522</c:v>
                </c:pt>
                <c:pt idx="19">
                  <c:v>42614</c:v>
                </c:pt>
                <c:pt idx="20">
                  <c:v>42705</c:v>
                </c:pt>
                <c:pt idx="21">
                  <c:v>42795</c:v>
                </c:pt>
                <c:pt idx="22">
                  <c:v>42887</c:v>
                </c:pt>
                <c:pt idx="23">
                  <c:v>42979</c:v>
                </c:pt>
                <c:pt idx="24">
                  <c:v>43070</c:v>
                </c:pt>
                <c:pt idx="25">
                  <c:v>43160</c:v>
                </c:pt>
                <c:pt idx="26">
                  <c:v>43252</c:v>
                </c:pt>
                <c:pt idx="27">
                  <c:v>43344</c:v>
                </c:pt>
                <c:pt idx="28">
                  <c:v>43435</c:v>
                </c:pt>
                <c:pt idx="29">
                  <c:v>43525</c:v>
                </c:pt>
                <c:pt idx="30">
                  <c:v>43617</c:v>
                </c:pt>
                <c:pt idx="31">
                  <c:v>43709</c:v>
                </c:pt>
                <c:pt idx="32">
                  <c:v>43800</c:v>
                </c:pt>
                <c:pt idx="33">
                  <c:v>43891</c:v>
                </c:pt>
                <c:pt idx="34">
                  <c:v>43983</c:v>
                </c:pt>
                <c:pt idx="35">
                  <c:v>44075</c:v>
                </c:pt>
                <c:pt idx="36">
                  <c:v>44166</c:v>
                </c:pt>
                <c:pt idx="37">
                  <c:v>44256</c:v>
                </c:pt>
                <c:pt idx="38">
                  <c:v>44348</c:v>
                </c:pt>
                <c:pt idx="39">
                  <c:v>44440</c:v>
                </c:pt>
                <c:pt idx="40">
                  <c:v>44531</c:v>
                </c:pt>
              </c:numCache>
            </c:numRef>
          </c:cat>
          <c:val>
            <c:numRef>
              <c:f>'Monetary Sector'!$B$21:$AP$21</c:f>
              <c:numCache>
                <c:formatCode>#,##0.0</c:formatCode>
                <c:ptCount val="41"/>
                <c:pt idx="0">
                  <c:v>32.279369342239988</c:v>
                </c:pt>
                <c:pt idx="1">
                  <c:v>26.503530990073344</c:v>
                </c:pt>
                <c:pt idx="2">
                  <c:v>30.849440407923378</c:v>
                </c:pt>
                <c:pt idx="3">
                  <c:v>22.534833496316466</c:v>
                </c:pt>
                <c:pt idx="4">
                  <c:v>84.161257292632499</c:v>
                </c:pt>
                <c:pt idx="5">
                  <c:v>80.432527946443884</c:v>
                </c:pt>
                <c:pt idx="6">
                  <c:v>72.666572947479651</c:v>
                </c:pt>
                <c:pt idx="7">
                  <c:v>69.419071247823794</c:v>
                </c:pt>
                <c:pt idx="8">
                  <c:v>75.312365427227917</c:v>
                </c:pt>
                <c:pt idx="9">
                  <c:v>76.04152428248301</c:v>
                </c:pt>
                <c:pt idx="10">
                  <c:v>68.948093090420784</c:v>
                </c:pt>
                <c:pt idx="11">
                  <c:v>66.983324407850091</c:v>
                </c:pt>
                <c:pt idx="12">
                  <c:v>68.366306976368918</c:v>
                </c:pt>
                <c:pt idx="13">
                  <c:v>67.353920422103627</c:v>
                </c:pt>
                <c:pt idx="14">
                  <c:v>64.734248171072281</c:v>
                </c:pt>
                <c:pt idx="15">
                  <c:v>65.434111820189827</c:v>
                </c:pt>
                <c:pt idx="16">
                  <c:v>73.853038064023181</c:v>
                </c:pt>
                <c:pt idx="17">
                  <c:v>74.755550502289822</c:v>
                </c:pt>
                <c:pt idx="18">
                  <c:v>71.396499874980307</c:v>
                </c:pt>
                <c:pt idx="19">
                  <c:v>68.566600700043637</c:v>
                </c:pt>
                <c:pt idx="20">
                  <c:v>65.776043518530813</c:v>
                </c:pt>
                <c:pt idx="21">
                  <c:v>67.569140131872857</c:v>
                </c:pt>
                <c:pt idx="22">
                  <c:v>67.52040251659038</c:v>
                </c:pt>
                <c:pt idx="23">
                  <c:v>66.176306363377378</c:v>
                </c:pt>
                <c:pt idx="24">
                  <c:v>69.53502111237394</c:v>
                </c:pt>
                <c:pt idx="25">
                  <c:v>67.82402846886653</c:v>
                </c:pt>
                <c:pt idx="26">
                  <c:v>67.71704775647207</c:v>
                </c:pt>
                <c:pt idx="27">
                  <c:v>67.802302440294397</c:v>
                </c:pt>
                <c:pt idx="28">
                  <c:v>66.953378234062683</c:v>
                </c:pt>
                <c:pt idx="29">
                  <c:v>70.450097876944128</c:v>
                </c:pt>
                <c:pt idx="30">
                  <c:v>75.117296124420506</c:v>
                </c:pt>
                <c:pt idx="31">
                  <c:v>71.413942625501249</c:v>
                </c:pt>
                <c:pt idx="32">
                  <c:v>79.950043535969201</c:v>
                </c:pt>
                <c:pt idx="33">
                  <c:v>83.79423982264494</c:v>
                </c:pt>
                <c:pt idx="34">
                  <c:v>76.661977200504168</c:v>
                </c:pt>
                <c:pt idx="35">
                  <c:v>77.984667295212688</c:v>
                </c:pt>
                <c:pt idx="36">
                  <c:v>83.937689672253697</c:v>
                </c:pt>
                <c:pt idx="37">
                  <c:v>82.271124999459573</c:v>
                </c:pt>
                <c:pt idx="38">
                  <c:v>81.418577384174583</c:v>
                </c:pt>
                <c:pt idx="39">
                  <c:v>80.489379979067451</c:v>
                </c:pt>
                <c:pt idx="40">
                  <c:v>71.97956185525787</c:v>
                </c:pt>
              </c:numCache>
            </c:numRef>
          </c:val>
          <c:smooth val="0"/>
          <c:extLst xmlns:c15="http://schemas.microsoft.com/office/drawing/2012/chart">
            <c:ext xmlns:c16="http://schemas.microsoft.com/office/drawing/2014/chart" uri="{C3380CC4-5D6E-409C-BE32-E72D297353CC}">
              <c16:uniqueId val="{00000001-426A-4620-8C06-9DBA588BCF62}"/>
            </c:ext>
          </c:extLst>
        </c:ser>
        <c:dLbls>
          <c:showLegendKey val="0"/>
          <c:showVal val="0"/>
          <c:showCatName val="0"/>
          <c:showSerName val="0"/>
          <c:showPercent val="0"/>
          <c:showBubbleSize val="0"/>
        </c:dLbls>
        <c:marker val="1"/>
        <c:smooth val="0"/>
        <c:axId val="855593247"/>
        <c:axId val="855618207"/>
      </c:lineChart>
      <c:dateAx>
        <c:axId val="129606576"/>
        <c:scaling>
          <c:orientation val="minMax"/>
        </c:scaling>
        <c:delete val="0"/>
        <c:axPos val="b"/>
        <c:numFmt formatCode="mmm\-yy"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Offset val="100"/>
        <c:baseTimeUnit val="months"/>
      </c:date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valAx>
        <c:axId val="855618207"/>
        <c:scaling>
          <c:orientation val="minMax"/>
        </c:scaling>
        <c:delete val="0"/>
        <c:axPos val="r"/>
        <c:numFmt formatCode="#,##0"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855593247"/>
        <c:crosses val="max"/>
        <c:crossBetween val="between"/>
      </c:valAx>
      <c:dateAx>
        <c:axId val="855593247"/>
        <c:scaling>
          <c:orientation val="minMax"/>
        </c:scaling>
        <c:delete val="1"/>
        <c:axPos val="b"/>
        <c:numFmt formatCode="mmm\-yy" sourceLinked="1"/>
        <c:majorTickMark val="out"/>
        <c:minorTickMark val="none"/>
        <c:tickLblPos val="nextTo"/>
        <c:crossAx val="855618207"/>
        <c:crosses val="autoZero"/>
        <c:auto val="1"/>
        <c:lblOffset val="100"/>
        <c:baseTimeUnit val="months"/>
        <c:majorUnit val="1"/>
        <c:minorUnit val="1"/>
      </c:dateAx>
      <c:spPr>
        <a:solidFill>
          <a:srgbClr val="FFFFFF"/>
        </a:solidFill>
        <a:ln w="3175">
          <a:solidFill>
            <a:srgbClr val="000000"/>
          </a:solidFill>
          <a:prstDash val="solid"/>
        </a:ln>
      </c:spPr>
    </c:plotArea>
    <c:legend>
      <c:legendPos val="r"/>
      <c:legendEntry>
        <c:idx val="0"/>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800">
                <a:latin typeface="Times New Roman" panose="02020603050405020304" pitchFamily="18" charset="0"/>
                <a:cs typeface="Times New Roman" panose="02020603050405020304" pitchFamily="18" charset="0"/>
              </a:defRPr>
            </a:pPr>
            <a:endParaRPr lang="en-US"/>
          </a:p>
        </c:txPr>
      </c:legendEntry>
      <c:layout>
        <c:manualLayout>
          <c:xMode val="edge"/>
          <c:yMode val="edge"/>
          <c:x val="9.0211054638761029E-2"/>
          <c:y val="2.1421908420202959E-2"/>
          <c:w val="0.74434734619669973"/>
          <c:h val="0.12989676150872045"/>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latin typeface="Times New Roman" panose="02020603050405020304" pitchFamily="18" charset="0"/>
                <a:cs typeface="Times New Roman" panose="02020603050405020304" pitchFamily="18" charset="0"/>
              </a:rPr>
              <a:t>Policy, Lending, and Deposit Rates </a:t>
            </a:r>
            <a:r>
              <a:rPr lang="en-US" sz="900" b="0">
                <a:latin typeface="Times New Roman" panose="02020603050405020304" pitchFamily="18" charset="0"/>
                <a:cs typeface="Times New Roman" panose="02020603050405020304" pitchFamily="18" charset="0"/>
              </a:rPr>
              <a:t>(Percent)</a:t>
            </a:r>
          </a:p>
        </c:rich>
      </c:tx>
      <c:layout>
        <c:manualLayout>
          <c:xMode val="edge"/>
          <c:yMode val="edge"/>
          <c:x val="0.16043962445508123"/>
          <c:y val="2.2852789944772425E-2"/>
        </c:manualLayout>
      </c:layout>
      <c:overlay val="0"/>
    </c:title>
    <c:autoTitleDeleted val="0"/>
    <c:plotArea>
      <c:layout>
        <c:manualLayout>
          <c:layoutTarget val="inner"/>
          <c:xMode val="edge"/>
          <c:yMode val="edge"/>
          <c:x val="5.0346281213680018E-2"/>
          <c:y val="2.9289705120428874E-2"/>
          <c:w val="0.90754860999517917"/>
          <c:h val="0.79196420206146922"/>
        </c:manualLayout>
      </c:layout>
      <c:lineChart>
        <c:grouping val="standard"/>
        <c:varyColors val="0"/>
        <c:ser>
          <c:idx val="2"/>
          <c:order val="0"/>
          <c:tx>
            <c:strRef>
              <c:f>'Monetary Sector'!$A$15</c:f>
              <c:strCache>
                <c:ptCount val="1"/>
                <c:pt idx="0">
                  <c:v>Policy Rate</c:v>
                </c:pt>
              </c:strCache>
            </c:strRef>
          </c:tx>
          <c:spPr>
            <a:ln w="25400"/>
          </c:spPr>
          <c:marker>
            <c:symbol val="none"/>
          </c:marker>
          <c:cat>
            <c:numRef>
              <c:f>'Monetary Sector'!$B$1:$DR$1</c:f>
              <c:numCache>
                <c:formatCode>[$-409]mmm\-yy;@</c:formatCode>
                <c:ptCount val="12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numCache>
            </c:numRef>
          </c:cat>
          <c:val>
            <c:numRef>
              <c:f>'Monetary Sector'!$B$15:$DR$15</c:f>
              <c:numCache>
                <c:formatCode>#,##0.0</c:formatCode>
                <c:ptCount val="121"/>
                <c:pt idx="0">
                  <c:v>4.25</c:v>
                </c:pt>
                <c:pt idx="1">
                  <c:v>5.75</c:v>
                </c:pt>
                <c:pt idx="2">
                  <c:v>5.75</c:v>
                </c:pt>
                <c:pt idx="3">
                  <c:v>5.75</c:v>
                </c:pt>
                <c:pt idx="4">
                  <c:v>5.75</c:v>
                </c:pt>
                <c:pt idx="5">
                  <c:v>5.75</c:v>
                </c:pt>
                <c:pt idx="6">
                  <c:v>5.75</c:v>
                </c:pt>
                <c:pt idx="7">
                  <c:v>5.75</c:v>
                </c:pt>
                <c:pt idx="8">
                  <c:v>5.75</c:v>
                </c:pt>
                <c:pt idx="9">
                  <c:v>5.75</c:v>
                </c:pt>
                <c:pt idx="10">
                  <c:v>5.75</c:v>
                </c:pt>
                <c:pt idx="11">
                  <c:v>5.75</c:v>
                </c:pt>
                <c:pt idx="12">
                  <c:v>5.75</c:v>
                </c:pt>
                <c:pt idx="13">
                  <c:v>5.75</c:v>
                </c:pt>
                <c:pt idx="14">
                  <c:v>5.75</c:v>
                </c:pt>
                <c:pt idx="15">
                  <c:v>5.75</c:v>
                </c:pt>
                <c:pt idx="16">
                  <c:v>5.75</c:v>
                </c:pt>
                <c:pt idx="17">
                  <c:v>5.75</c:v>
                </c:pt>
                <c:pt idx="18">
                  <c:v>5.75</c:v>
                </c:pt>
                <c:pt idx="19">
                  <c:v>5.75</c:v>
                </c:pt>
                <c:pt idx="20">
                  <c:v>5.75</c:v>
                </c:pt>
                <c:pt idx="21">
                  <c:v>5.75</c:v>
                </c:pt>
                <c:pt idx="22">
                  <c:v>5.75</c:v>
                </c:pt>
                <c:pt idx="23">
                  <c:v>5.75</c:v>
                </c:pt>
                <c:pt idx="24">
                  <c:v>5.75</c:v>
                </c:pt>
                <c:pt idx="25">
                  <c:v>5.75</c:v>
                </c:pt>
                <c:pt idx="26">
                  <c:v>5.75</c:v>
                </c:pt>
                <c:pt idx="27">
                  <c:v>4.25</c:v>
                </c:pt>
                <c:pt idx="28">
                  <c:v>4.25</c:v>
                </c:pt>
                <c:pt idx="29">
                  <c:v>4.25</c:v>
                </c:pt>
                <c:pt idx="30">
                  <c:v>4.25</c:v>
                </c:pt>
                <c:pt idx="31">
                  <c:v>4.25</c:v>
                </c:pt>
                <c:pt idx="32">
                  <c:v>3.75</c:v>
                </c:pt>
                <c:pt idx="33">
                  <c:v>3.75</c:v>
                </c:pt>
                <c:pt idx="34">
                  <c:v>3.75</c:v>
                </c:pt>
                <c:pt idx="35">
                  <c:v>3.75</c:v>
                </c:pt>
                <c:pt idx="36">
                  <c:v>3.75</c:v>
                </c:pt>
                <c:pt idx="37">
                  <c:v>3.75</c:v>
                </c:pt>
                <c:pt idx="38">
                  <c:v>3.5</c:v>
                </c:pt>
                <c:pt idx="39">
                  <c:v>3.5</c:v>
                </c:pt>
                <c:pt idx="40">
                  <c:v>3.5</c:v>
                </c:pt>
                <c:pt idx="41">
                  <c:v>3.5</c:v>
                </c:pt>
                <c:pt idx="42">
                  <c:v>3.5</c:v>
                </c:pt>
                <c:pt idx="43">
                  <c:v>3.5</c:v>
                </c:pt>
                <c:pt idx="44">
                  <c:v>3.5</c:v>
                </c:pt>
                <c:pt idx="45">
                  <c:v>3.5</c:v>
                </c:pt>
                <c:pt idx="46">
                  <c:v>3.5</c:v>
                </c:pt>
                <c:pt idx="47">
                  <c:v>3.5</c:v>
                </c:pt>
                <c:pt idx="48">
                  <c:v>3.5</c:v>
                </c:pt>
                <c:pt idx="49">
                  <c:v>3.5</c:v>
                </c:pt>
                <c:pt idx="50">
                  <c:v>3.5</c:v>
                </c:pt>
                <c:pt idx="51">
                  <c:v>3.5</c:v>
                </c:pt>
                <c:pt idx="52">
                  <c:v>3.5</c:v>
                </c:pt>
                <c:pt idx="53">
                  <c:v>3.5</c:v>
                </c:pt>
                <c:pt idx="54">
                  <c:v>3.5</c:v>
                </c:pt>
                <c:pt idx="55">
                  <c:v>3.5</c:v>
                </c:pt>
                <c:pt idx="56">
                  <c:v>3.5</c:v>
                </c:pt>
                <c:pt idx="57">
                  <c:v>3.5</c:v>
                </c:pt>
                <c:pt idx="58">
                  <c:v>3.5</c:v>
                </c:pt>
                <c:pt idx="59">
                  <c:v>3.5</c:v>
                </c:pt>
                <c:pt idx="60">
                  <c:v>3.5</c:v>
                </c:pt>
                <c:pt idx="61">
                  <c:v>3.5</c:v>
                </c:pt>
                <c:pt idx="62">
                  <c:v>3.5</c:v>
                </c:pt>
                <c:pt idx="63">
                  <c:v>3.5</c:v>
                </c:pt>
                <c:pt idx="64">
                  <c:v>3.5</c:v>
                </c:pt>
                <c:pt idx="65">
                  <c:v>3.5</c:v>
                </c:pt>
                <c:pt idx="66">
                  <c:v>1.5</c:v>
                </c:pt>
                <c:pt idx="67">
                  <c:v>1.5</c:v>
                </c:pt>
                <c:pt idx="68">
                  <c:v>1.5</c:v>
                </c:pt>
                <c:pt idx="69">
                  <c:v>1.5</c:v>
                </c:pt>
                <c:pt idx="70">
                  <c:v>1.5</c:v>
                </c:pt>
                <c:pt idx="71">
                  <c:v>1.5</c:v>
                </c:pt>
                <c:pt idx="72">
                  <c:v>1.5</c:v>
                </c:pt>
                <c:pt idx="73">
                  <c:v>1.5</c:v>
                </c:pt>
                <c:pt idx="74">
                  <c:v>1.5</c:v>
                </c:pt>
                <c:pt idx="75">
                  <c:v>1.5</c:v>
                </c:pt>
                <c:pt idx="76">
                  <c:v>1.5</c:v>
                </c:pt>
                <c:pt idx="77">
                  <c:v>1.5</c:v>
                </c:pt>
                <c:pt idx="78">
                  <c:v>1.5</c:v>
                </c:pt>
                <c:pt idx="79">
                  <c:v>1.5</c:v>
                </c:pt>
                <c:pt idx="80">
                  <c:v>1.5</c:v>
                </c:pt>
                <c:pt idx="81">
                  <c:v>1.5</c:v>
                </c:pt>
                <c:pt idx="82">
                  <c:v>1.5</c:v>
                </c:pt>
                <c:pt idx="83">
                  <c:v>1.5</c:v>
                </c:pt>
                <c:pt idx="84">
                  <c:v>1.5</c:v>
                </c:pt>
                <c:pt idx="85">
                  <c:v>1.5</c:v>
                </c:pt>
                <c:pt idx="86">
                  <c:v>1.5</c:v>
                </c:pt>
                <c:pt idx="87">
                  <c:v>1.5</c:v>
                </c:pt>
                <c:pt idx="88">
                  <c:v>1.5</c:v>
                </c:pt>
                <c:pt idx="89">
                  <c:v>1.5</c:v>
                </c:pt>
                <c:pt idx="90">
                  <c:v>1.5</c:v>
                </c:pt>
                <c:pt idx="91">
                  <c:v>1.5</c:v>
                </c:pt>
                <c:pt idx="92">
                  <c:v>1.5</c:v>
                </c:pt>
                <c:pt idx="93">
                  <c:v>1.5</c:v>
                </c:pt>
                <c:pt idx="94">
                  <c:v>1.5</c:v>
                </c:pt>
                <c:pt idx="95">
                  <c:v>1.5</c:v>
                </c:pt>
                <c:pt idx="96">
                  <c:v>1.5</c:v>
                </c:pt>
                <c:pt idx="97">
                  <c:v>1.5</c:v>
                </c:pt>
                <c:pt idx="98">
                  <c:v>1.5</c:v>
                </c:pt>
                <c:pt idx="99">
                  <c:v>1.5</c:v>
                </c:pt>
                <c:pt idx="100">
                  <c:v>0.25</c:v>
                </c:pt>
                <c:pt idx="101">
                  <c:v>0.25</c:v>
                </c:pt>
                <c:pt idx="102">
                  <c:v>0.25</c:v>
                </c:pt>
                <c:pt idx="103">
                  <c:v>0.25</c:v>
                </c:pt>
                <c:pt idx="104">
                  <c:v>0.25</c:v>
                </c:pt>
                <c:pt idx="105">
                  <c:v>0.25</c:v>
                </c:pt>
                <c:pt idx="106">
                  <c:v>0.25</c:v>
                </c:pt>
                <c:pt idx="107">
                  <c:v>0.25</c:v>
                </c:pt>
                <c:pt idx="108">
                  <c:v>0.25</c:v>
                </c:pt>
                <c:pt idx="109">
                  <c:v>0.25</c:v>
                </c:pt>
                <c:pt idx="110">
                  <c:v>0.25</c:v>
                </c:pt>
                <c:pt idx="111">
                  <c:v>0.25</c:v>
                </c:pt>
                <c:pt idx="112">
                  <c:v>0.25</c:v>
                </c:pt>
                <c:pt idx="113">
                  <c:v>0.25</c:v>
                </c:pt>
                <c:pt idx="114">
                  <c:v>0.25</c:v>
                </c:pt>
                <c:pt idx="115">
                  <c:v>0.25</c:v>
                </c:pt>
                <c:pt idx="116">
                  <c:v>0.25</c:v>
                </c:pt>
                <c:pt idx="117">
                  <c:v>0.25</c:v>
                </c:pt>
                <c:pt idx="118">
                  <c:v>0.25</c:v>
                </c:pt>
                <c:pt idx="119">
                  <c:v>0.25</c:v>
                </c:pt>
                <c:pt idx="120">
                  <c:v>0.25</c:v>
                </c:pt>
              </c:numCache>
            </c:numRef>
          </c:val>
          <c:smooth val="0"/>
          <c:extLst xmlns:c15="http://schemas.microsoft.com/office/drawing/2012/chart">
            <c:ext xmlns:c16="http://schemas.microsoft.com/office/drawing/2014/chart" uri="{C3380CC4-5D6E-409C-BE32-E72D297353CC}">
              <c16:uniqueId val="{00000000-E053-464C-94A2-9D5C93D7BA9C}"/>
            </c:ext>
          </c:extLst>
        </c:ser>
        <c:ser>
          <c:idx val="0"/>
          <c:order val="1"/>
          <c:tx>
            <c:strRef>
              <c:f>'Monetary Sector'!$A$16</c:f>
              <c:strCache>
                <c:ptCount val="1"/>
                <c:pt idx="0">
                  <c:v>Bank Lending Rate</c:v>
                </c:pt>
              </c:strCache>
            </c:strRef>
          </c:tx>
          <c:spPr>
            <a:ln w="25400"/>
          </c:spPr>
          <c:marker>
            <c:symbol val="none"/>
          </c:marker>
          <c:cat>
            <c:numRef>
              <c:f>'Monetary Sector'!$B$1:$DR$1</c:f>
              <c:numCache>
                <c:formatCode>[$-409]mmm\-yy;@</c:formatCode>
                <c:ptCount val="12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numCache>
            </c:numRef>
          </c:cat>
          <c:val>
            <c:numRef>
              <c:f>'Monetary Sector'!$B$16:$DR$16</c:f>
              <c:numCache>
                <c:formatCode>#,##0.0</c:formatCode>
                <c:ptCount val="121"/>
                <c:pt idx="0">
                  <c:v>10.278512668399076</c:v>
                </c:pt>
                <c:pt idx="1">
                  <c:v>10.562089000514503</c:v>
                </c:pt>
                <c:pt idx="2">
                  <c:v>10.758521370763981</c:v>
                </c:pt>
                <c:pt idx="3">
                  <c:v>10.83414172718876</c:v>
                </c:pt>
                <c:pt idx="4">
                  <c:v>10.946296665273499</c:v>
                </c:pt>
                <c:pt idx="5">
                  <c:v>10.43090779826939</c:v>
                </c:pt>
                <c:pt idx="6">
                  <c:v>11.290309353060696</c:v>
                </c:pt>
                <c:pt idx="7">
                  <c:v>11.698067640134655</c:v>
                </c:pt>
                <c:pt idx="8">
                  <c:v>10.666335037117992</c:v>
                </c:pt>
                <c:pt idx="9">
                  <c:v>10.648436351081877</c:v>
                </c:pt>
                <c:pt idx="10">
                  <c:v>10.648436351081877</c:v>
                </c:pt>
                <c:pt idx="11">
                  <c:v>10.912629983795123</c:v>
                </c:pt>
                <c:pt idx="12">
                  <c:v>10.836597936932687</c:v>
                </c:pt>
                <c:pt idx="13">
                  <c:v>10.983759188107223</c:v>
                </c:pt>
                <c:pt idx="14">
                  <c:v>10.905587962639549</c:v>
                </c:pt>
                <c:pt idx="15">
                  <c:v>11.052469784132258</c:v>
                </c:pt>
                <c:pt idx="16">
                  <c:v>11.041678199892843</c:v>
                </c:pt>
                <c:pt idx="17">
                  <c:v>10.75339158044615</c:v>
                </c:pt>
                <c:pt idx="18">
                  <c:v>10.968119396003097</c:v>
                </c:pt>
                <c:pt idx="19">
                  <c:v>11.105789003778053</c:v>
                </c:pt>
                <c:pt idx="20">
                  <c:v>10.883883491060857</c:v>
                </c:pt>
                <c:pt idx="21">
                  <c:v>11.270525455016767</c:v>
                </c:pt>
                <c:pt idx="22">
                  <c:v>11.184785785392224</c:v>
                </c:pt>
                <c:pt idx="23">
                  <c:v>11.262573537194399</c:v>
                </c:pt>
                <c:pt idx="24">
                  <c:v>11.225965230232873</c:v>
                </c:pt>
                <c:pt idx="25">
                  <c:v>11.209912714169738</c:v>
                </c:pt>
                <c:pt idx="26">
                  <c:v>11.323316312810748</c:v>
                </c:pt>
                <c:pt idx="27">
                  <c:v>11.153205940478868</c:v>
                </c:pt>
                <c:pt idx="28">
                  <c:v>11.590338018663521</c:v>
                </c:pt>
                <c:pt idx="29">
                  <c:v>11.322823309415634</c:v>
                </c:pt>
                <c:pt idx="30">
                  <c:v>11.640819934708135</c:v>
                </c:pt>
                <c:pt idx="31">
                  <c:v>11.627092849894764</c:v>
                </c:pt>
                <c:pt idx="32">
                  <c:v>11.523101883226792</c:v>
                </c:pt>
                <c:pt idx="33">
                  <c:v>11.409366252314573</c:v>
                </c:pt>
                <c:pt idx="34">
                  <c:v>11.542353821883774</c:v>
                </c:pt>
                <c:pt idx="35">
                  <c:v>11.420572395305241</c:v>
                </c:pt>
                <c:pt idx="36">
                  <c:v>11.059969159156417</c:v>
                </c:pt>
                <c:pt idx="37">
                  <c:v>11.037149950953037</c:v>
                </c:pt>
                <c:pt idx="38">
                  <c:v>11.253537737700951</c:v>
                </c:pt>
                <c:pt idx="39">
                  <c:v>11.116738146972205</c:v>
                </c:pt>
                <c:pt idx="40">
                  <c:v>10.917746057285708</c:v>
                </c:pt>
                <c:pt idx="41">
                  <c:v>10.843145820841787</c:v>
                </c:pt>
                <c:pt idx="42">
                  <c:v>11.052273821542492</c:v>
                </c:pt>
                <c:pt idx="43">
                  <c:v>10.871481178377932</c:v>
                </c:pt>
                <c:pt idx="44">
                  <c:v>10.547302858915163</c:v>
                </c:pt>
                <c:pt idx="45">
                  <c:v>11.039509264047572</c:v>
                </c:pt>
                <c:pt idx="46">
                  <c:v>10.680914931183558</c:v>
                </c:pt>
                <c:pt idx="47">
                  <c:v>10.713865592467267</c:v>
                </c:pt>
                <c:pt idx="48">
                  <c:v>10.524775411853165</c:v>
                </c:pt>
                <c:pt idx="49">
                  <c:v>10.578732958845848</c:v>
                </c:pt>
                <c:pt idx="50">
                  <c:v>10.383401318316675</c:v>
                </c:pt>
                <c:pt idx="51">
                  <c:v>10.104565344812139</c:v>
                </c:pt>
                <c:pt idx="52">
                  <c:v>10.365683894776121</c:v>
                </c:pt>
                <c:pt idx="53">
                  <c:v>10.37751390572085</c:v>
                </c:pt>
                <c:pt idx="54">
                  <c:v>10.262623592026458</c:v>
                </c:pt>
                <c:pt idx="55">
                  <c:v>10.323337922520908</c:v>
                </c:pt>
                <c:pt idx="56">
                  <c:v>10.36298404070331</c:v>
                </c:pt>
                <c:pt idx="57">
                  <c:v>10.300108401745584</c:v>
                </c:pt>
                <c:pt idx="58">
                  <c:v>10.300108401745584</c:v>
                </c:pt>
                <c:pt idx="59">
                  <c:v>10.511217758479287</c:v>
                </c:pt>
                <c:pt idx="60">
                  <c:v>10.300438298969619</c:v>
                </c:pt>
                <c:pt idx="61">
                  <c:v>10.458538849175396</c:v>
                </c:pt>
                <c:pt idx="62">
                  <c:v>10.354589233808923</c:v>
                </c:pt>
                <c:pt idx="63">
                  <c:v>10.429262856649567</c:v>
                </c:pt>
                <c:pt idx="64">
                  <c:v>10.170578745235133</c:v>
                </c:pt>
                <c:pt idx="65">
                  <c:v>10.503826832172242</c:v>
                </c:pt>
                <c:pt idx="66">
                  <c:v>10.272885424650315</c:v>
                </c:pt>
                <c:pt idx="67">
                  <c:v>10.236796707577536</c:v>
                </c:pt>
                <c:pt idx="68">
                  <c:v>10.374055347360599</c:v>
                </c:pt>
                <c:pt idx="69">
                  <c:v>9.8932212751429667</c:v>
                </c:pt>
                <c:pt idx="70">
                  <c:v>9.9583196162900069</c:v>
                </c:pt>
                <c:pt idx="71">
                  <c:v>9.9061787398290129</c:v>
                </c:pt>
                <c:pt idx="72">
                  <c:v>9.6766917484397847</c:v>
                </c:pt>
                <c:pt idx="73">
                  <c:v>9.9184617619230924</c:v>
                </c:pt>
                <c:pt idx="74">
                  <c:v>9.9162901739758258</c:v>
                </c:pt>
                <c:pt idx="75">
                  <c:v>9.7118129583277284</c:v>
                </c:pt>
                <c:pt idx="76">
                  <c:v>10.075025036876809</c:v>
                </c:pt>
                <c:pt idx="77">
                  <c:v>9.6870795288787797</c:v>
                </c:pt>
                <c:pt idx="78">
                  <c:v>10.336101229881763</c:v>
                </c:pt>
                <c:pt idx="79">
                  <c:v>9.9218703580872063</c:v>
                </c:pt>
                <c:pt idx="80">
                  <c:v>10.486544413254933</c:v>
                </c:pt>
                <c:pt idx="81">
                  <c:v>10.557535948142972</c:v>
                </c:pt>
                <c:pt idx="82">
                  <c:v>10.009694513544213</c:v>
                </c:pt>
                <c:pt idx="83">
                  <c:v>10.478731815521035</c:v>
                </c:pt>
                <c:pt idx="84">
                  <c:v>10.246782863072255</c:v>
                </c:pt>
                <c:pt idx="85">
                  <c:v>10.297189536885529</c:v>
                </c:pt>
                <c:pt idx="86">
                  <c:v>10.746511324962544</c:v>
                </c:pt>
                <c:pt idx="87">
                  <c:v>10.662267311420576</c:v>
                </c:pt>
                <c:pt idx="88">
                  <c:v>10.401657333945865</c:v>
                </c:pt>
                <c:pt idx="89">
                  <c:v>10.702420138543872</c:v>
                </c:pt>
                <c:pt idx="90">
                  <c:v>9.9616651606277316</c:v>
                </c:pt>
                <c:pt idx="91">
                  <c:v>10.281731207598442</c:v>
                </c:pt>
                <c:pt idx="92">
                  <c:v>9.715512865959619</c:v>
                </c:pt>
                <c:pt idx="93">
                  <c:v>9.5155715184955554</c:v>
                </c:pt>
                <c:pt idx="94">
                  <c:v>9.6384053251374393</c:v>
                </c:pt>
                <c:pt idx="95">
                  <c:v>10.142293329325229</c:v>
                </c:pt>
                <c:pt idx="96">
                  <c:v>10.386832286102059</c:v>
                </c:pt>
                <c:pt idx="97">
                  <c:v>9.8041563832366965</c:v>
                </c:pt>
                <c:pt idx="98">
                  <c:v>9.0836650636765164</c:v>
                </c:pt>
                <c:pt idx="99">
                  <c:v>10.407395724502971</c:v>
                </c:pt>
                <c:pt idx="100">
                  <c:v>9.752724181812642</c:v>
                </c:pt>
                <c:pt idx="101">
                  <c:v>9.5806507240250234</c:v>
                </c:pt>
                <c:pt idx="102">
                  <c:v>9.3839912512154697</c:v>
                </c:pt>
                <c:pt idx="103">
                  <c:v>9.689081899180648</c:v>
                </c:pt>
                <c:pt idx="104">
                  <c:v>9.4571535237443669</c:v>
                </c:pt>
                <c:pt idx="105">
                  <c:v>9.9468238784507239</c:v>
                </c:pt>
                <c:pt idx="106">
                  <c:v>9.8722000649013548</c:v>
                </c:pt>
                <c:pt idx="107">
                  <c:v>10.241866380903355</c:v>
                </c:pt>
                <c:pt idx="108">
                  <c:v>9.7644404080970215</c:v>
                </c:pt>
                <c:pt idx="109">
                  <c:v>9.7964613587561846</c:v>
                </c:pt>
                <c:pt idx="110">
                  <c:v>9.3858278574395495</c:v>
                </c:pt>
                <c:pt idx="111">
                  <c:v>9.5608866095007148</c:v>
                </c:pt>
                <c:pt idx="112">
                  <c:v>9.7877937652502069</c:v>
                </c:pt>
                <c:pt idx="113">
                  <c:v>9.3379822064642042</c:v>
                </c:pt>
                <c:pt idx="114">
                  <c:v>9.1982921626549352</c:v>
                </c:pt>
                <c:pt idx="115">
                  <c:v>9.2660461110829875</c:v>
                </c:pt>
                <c:pt idx="116">
                  <c:v>9.081921795010798</c:v>
                </c:pt>
                <c:pt idx="117">
                  <c:v>9.2624627740269965</c:v>
                </c:pt>
                <c:pt idx="118">
                  <c:v>9.4222922269263538</c:v>
                </c:pt>
                <c:pt idx="119">
                  <c:v>10.313759409059525</c:v>
                </c:pt>
                <c:pt idx="120">
                  <c:v>10.3</c:v>
                </c:pt>
              </c:numCache>
            </c:numRef>
          </c:val>
          <c:smooth val="0"/>
          <c:extLst>
            <c:ext xmlns:c16="http://schemas.microsoft.com/office/drawing/2014/chart" uri="{C3380CC4-5D6E-409C-BE32-E72D297353CC}">
              <c16:uniqueId val="{00000001-E053-464C-94A2-9D5C93D7BA9C}"/>
            </c:ext>
          </c:extLst>
        </c:ser>
        <c:ser>
          <c:idx val="1"/>
          <c:order val="2"/>
          <c:tx>
            <c:strRef>
              <c:f>'Monetary Sector'!$A$17</c:f>
              <c:strCache>
                <c:ptCount val="1"/>
                <c:pt idx="0">
                  <c:v>Bank Deposit Rate</c:v>
                </c:pt>
              </c:strCache>
            </c:strRef>
          </c:tx>
          <c:spPr>
            <a:ln w="25400"/>
          </c:spPr>
          <c:marker>
            <c:symbol val="none"/>
          </c:marker>
          <c:cat>
            <c:numRef>
              <c:f>'Monetary Sector'!$B$1:$DR$1</c:f>
              <c:numCache>
                <c:formatCode>[$-409]mmm\-yy;@</c:formatCode>
                <c:ptCount val="121"/>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numCache>
            </c:numRef>
          </c:cat>
          <c:val>
            <c:numRef>
              <c:f>'Monetary Sector'!$B$17:$DR$17</c:f>
              <c:numCache>
                <c:formatCode>#,##0.0</c:formatCode>
                <c:ptCount val="121"/>
                <c:pt idx="0">
                  <c:v>3.8476011355561632</c:v>
                </c:pt>
                <c:pt idx="1">
                  <c:v>3.860461221686541</c:v>
                </c:pt>
                <c:pt idx="2">
                  <c:v>3.8443221722367804</c:v>
                </c:pt>
                <c:pt idx="3">
                  <c:v>3.8633842602100286</c:v>
                </c:pt>
                <c:pt idx="4">
                  <c:v>3.8584783477819649</c:v>
                </c:pt>
                <c:pt idx="5">
                  <c:v>3.8539857696055848</c:v>
                </c:pt>
                <c:pt idx="6">
                  <c:v>4.1943229326589053</c:v>
                </c:pt>
                <c:pt idx="7">
                  <c:v>3.9204493426565499</c:v>
                </c:pt>
                <c:pt idx="8">
                  <c:v>4.2156628783386534</c:v>
                </c:pt>
                <c:pt idx="9">
                  <c:v>4.3827069160052297</c:v>
                </c:pt>
                <c:pt idx="10">
                  <c:v>4.3827069160052297</c:v>
                </c:pt>
                <c:pt idx="11">
                  <c:v>4.0992161451560216</c:v>
                </c:pt>
                <c:pt idx="12">
                  <c:v>4.0412030086128405</c:v>
                </c:pt>
                <c:pt idx="13">
                  <c:v>4.2168984307958057</c:v>
                </c:pt>
                <c:pt idx="14">
                  <c:v>4.2598666545088131</c:v>
                </c:pt>
                <c:pt idx="15">
                  <c:v>4.2551082756562071</c:v>
                </c:pt>
                <c:pt idx="16">
                  <c:v>4.2039720427316336</c:v>
                </c:pt>
                <c:pt idx="17">
                  <c:v>4.2665162689858693</c:v>
                </c:pt>
                <c:pt idx="18">
                  <c:v>4.2491559523607991</c:v>
                </c:pt>
                <c:pt idx="19">
                  <c:v>4.3333845449700865</c:v>
                </c:pt>
                <c:pt idx="20">
                  <c:v>4.3439216547758202</c:v>
                </c:pt>
                <c:pt idx="21">
                  <c:v>4.4331328963323804</c:v>
                </c:pt>
                <c:pt idx="22">
                  <c:v>4.3672075095601794</c:v>
                </c:pt>
                <c:pt idx="23">
                  <c:v>4.4459446165459982</c:v>
                </c:pt>
                <c:pt idx="24">
                  <c:v>4.408507252199616</c:v>
                </c:pt>
                <c:pt idx="25">
                  <c:v>4.4080601241778856</c:v>
                </c:pt>
                <c:pt idx="26">
                  <c:v>4.3929752504505686</c:v>
                </c:pt>
                <c:pt idx="27">
                  <c:v>3.8280539440189871</c:v>
                </c:pt>
                <c:pt idx="28">
                  <c:v>3.8945433438862391</c:v>
                </c:pt>
                <c:pt idx="29">
                  <c:v>3.8419361543323522</c:v>
                </c:pt>
                <c:pt idx="30">
                  <c:v>3.7045363777440041</c:v>
                </c:pt>
                <c:pt idx="31">
                  <c:v>3.6584699952166044</c:v>
                </c:pt>
                <c:pt idx="32">
                  <c:v>3.6174834859845237</c:v>
                </c:pt>
                <c:pt idx="33">
                  <c:v>3.6082907101356221</c:v>
                </c:pt>
                <c:pt idx="34">
                  <c:v>3.625427028992219</c:v>
                </c:pt>
                <c:pt idx="35">
                  <c:v>3.6169059351379635</c:v>
                </c:pt>
                <c:pt idx="36">
                  <c:v>3.619203055288585</c:v>
                </c:pt>
                <c:pt idx="37">
                  <c:v>3.5952811588511984</c:v>
                </c:pt>
                <c:pt idx="38">
                  <c:v>3.615349261420822</c:v>
                </c:pt>
                <c:pt idx="39">
                  <c:v>3.5738289786541912</c:v>
                </c:pt>
                <c:pt idx="40">
                  <c:v>3.5559049235140581</c:v>
                </c:pt>
                <c:pt idx="41">
                  <c:v>3.602822329365337</c:v>
                </c:pt>
                <c:pt idx="42">
                  <c:v>3.5013918341726304</c:v>
                </c:pt>
                <c:pt idx="43">
                  <c:v>3.4889822766981644</c:v>
                </c:pt>
                <c:pt idx="44">
                  <c:v>3.4808357413886255</c:v>
                </c:pt>
                <c:pt idx="45">
                  <c:v>3.431984221487991</c:v>
                </c:pt>
                <c:pt idx="46">
                  <c:v>3.4327051641365314</c:v>
                </c:pt>
                <c:pt idx="47">
                  <c:v>3.4457257355468602</c:v>
                </c:pt>
                <c:pt idx="48">
                  <c:v>3.4064579543851594</c:v>
                </c:pt>
                <c:pt idx="49">
                  <c:v>3.334652423897154</c:v>
                </c:pt>
                <c:pt idx="50">
                  <c:v>3.3232004229471519</c:v>
                </c:pt>
                <c:pt idx="51">
                  <c:v>3.2586396174754761</c:v>
                </c:pt>
                <c:pt idx="52">
                  <c:v>3.2294694248371578</c:v>
                </c:pt>
                <c:pt idx="53">
                  <c:v>3.2137802471776431</c:v>
                </c:pt>
                <c:pt idx="54">
                  <c:v>3.2112487434839228</c:v>
                </c:pt>
                <c:pt idx="55">
                  <c:v>3.228570079885086</c:v>
                </c:pt>
                <c:pt idx="56">
                  <c:v>3.2173579760454638</c:v>
                </c:pt>
                <c:pt idx="57">
                  <c:v>3.1894068248566532</c:v>
                </c:pt>
                <c:pt idx="58">
                  <c:v>3.1894068248566532</c:v>
                </c:pt>
                <c:pt idx="59">
                  <c:v>3.1762549077696711</c:v>
                </c:pt>
                <c:pt idx="60">
                  <c:v>3.1535949881900063</c:v>
                </c:pt>
                <c:pt idx="61">
                  <c:v>3.0910959775345295</c:v>
                </c:pt>
                <c:pt idx="62">
                  <c:v>2.9181269513339938</c:v>
                </c:pt>
                <c:pt idx="63">
                  <c:v>2.8169304390511996</c:v>
                </c:pt>
                <c:pt idx="64">
                  <c:v>2.796525469063833</c:v>
                </c:pt>
                <c:pt idx="65">
                  <c:v>2.7207784604700551</c:v>
                </c:pt>
                <c:pt idx="66">
                  <c:v>2.6493746944118408</c:v>
                </c:pt>
                <c:pt idx="67">
                  <c:v>2.8204497147334178</c:v>
                </c:pt>
                <c:pt idx="68">
                  <c:v>2.7522555009991421</c:v>
                </c:pt>
                <c:pt idx="69">
                  <c:v>2.6474168718357483</c:v>
                </c:pt>
                <c:pt idx="70">
                  <c:v>2.5956957731404597</c:v>
                </c:pt>
                <c:pt idx="71">
                  <c:v>2.5626587556830942</c:v>
                </c:pt>
                <c:pt idx="72">
                  <c:v>2.3708616920956129</c:v>
                </c:pt>
                <c:pt idx="73">
                  <c:v>2.3094240835116757</c:v>
                </c:pt>
                <c:pt idx="74">
                  <c:v>2.2924870425229131</c:v>
                </c:pt>
                <c:pt idx="75">
                  <c:v>2.3230754401736164</c:v>
                </c:pt>
                <c:pt idx="76">
                  <c:v>2.2988011210093036</c:v>
                </c:pt>
                <c:pt idx="77">
                  <c:v>2.3004783404251561</c:v>
                </c:pt>
                <c:pt idx="78">
                  <c:v>2.2877612754064378</c:v>
                </c:pt>
                <c:pt idx="79">
                  <c:v>2.2941659917578656</c:v>
                </c:pt>
                <c:pt idx="80">
                  <c:v>2.2403439127572087</c:v>
                </c:pt>
                <c:pt idx="81">
                  <c:v>2.1991497273941358</c:v>
                </c:pt>
                <c:pt idx="82">
                  <c:v>1.9471670889892445</c:v>
                </c:pt>
                <c:pt idx="83">
                  <c:v>1.989153837980933</c:v>
                </c:pt>
                <c:pt idx="84">
                  <c:v>1.9862712359375294</c:v>
                </c:pt>
                <c:pt idx="85">
                  <c:v>1.9427357288727298</c:v>
                </c:pt>
                <c:pt idx="86">
                  <c:v>1.8592444887501898</c:v>
                </c:pt>
                <c:pt idx="87">
                  <c:v>1.85254476075421</c:v>
                </c:pt>
                <c:pt idx="88">
                  <c:v>1.8376711419980183</c:v>
                </c:pt>
                <c:pt idx="89">
                  <c:v>1.8197162274191894</c:v>
                </c:pt>
                <c:pt idx="90">
                  <c:v>1.7742344221151267</c:v>
                </c:pt>
                <c:pt idx="91">
                  <c:v>1.8017311198698274</c:v>
                </c:pt>
                <c:pt idx="92">
                  <c:v>1.8024970501979889</c:v>
                </c:pt>
                <c:pt idx="93">
                  <c:v>1.7929751533696063</c:v>
                </c:pt>
                <c:pt idx="94">
                  <c:v>1.8320086678031862</c:v>
                </c:pt>
                <c:pt idx="95">
                  <c:v>1.8133997968388722</c:v>
                </c:pt>
                <c:pt idx="96">
                  <c:v>1.8893849860880412</c:v>
                </c:pt>
                <c:pt idx="97">
                  <c:v>1.7897178357252408</c:v>
                </c:pt>
                <c:pt idx="98">
                  <c:v>1.7816123462258058</c:v>
                </c:pt>
                <c:pt idx="99">
                  <c:v>1.6721038256591849</c:v>
                </c:pt>
                <c:pt idx="100">
                  <c:v>1.6675154124854696</c:v>
                </c:pt>
                <c:pt idx="101">
                  <c:v>1.4841011383141656</c:v>
                </c:pt>
                <c:pt idx="102">
                  <c:v>1.37167455871185</c:v>
                </c:pt>
                <c:pt idx="103">
                  <c:v>1.4728395449442133</c:v>
                </c:pt>
                <c:pt idx="104">
                  <c:v>1.4685956801625863</c:v>
                </c:pt>
                <c:pt idx="105">
                  <c:v>1.4453007239353999</c:v>
                </c:pt>
                <c:pt idx="106">
                  <c:v>1.4417693946229553</c:v>
                </c:pt>
                <c:pt idx="107">
                  <c:v>1.4336222395448786</c:v>
                </c:pt>
                <c:pt idx="108">
                  <c:v>1.3939277992814969</c:v>
                </c:pt>
                <c:pt idx="109">
                  <c:v>1.258803862544194</c:v>
                </c:pt>
                <c:pt idx="110">
                  <c:v>1.2671606891286258</c:v>
                </c:pt>
                <c:pt idx="111">
                  <c:v>1.2620097370513794</c:v>
                </c:pt>
                <c:pt idx="112">
                  <c:v>1.2300765768761182</c:v>
                </c:pt>
                <c:pt idx="113">
                  <c:v>1.2224941727262379</c:v>
                </c:pt>
                <c:pt idx="114">
                  <c:v>1.2091589794337336</c:v>
                </c:pt>
                <c:pt idx="115">
                  <c:v>1.2067513404541508</c:v>
                </c:pt>
                <c:pt idx="116">
                  <c:v>1.200197551630398</c:v>
                </c:pt>
                <c:pt idx="117">
                  <c:v>1.2001780260284978</c:v>
                </c:pt>
                <c:pt idx="118">
                  <c:v>1.2020327745734436</c:v>
                </c:pt>
                <c:pt idx="119">
                  <c:v>1.2026934282450672</c:v>
                </c:pt>
                <c:pt idx="120">
                  <c:v>1.2</c:v>
                </c:pt>
              </c:numCache>
            </c:numRef>
          </c:val>
          <c:smooth val="0"/>
          <c:extLst>
            <c:ext xmlns:c16="http://schemas.microsoft.com/office/drawing/2014/chart" uri="{C3380CC4-5D6E-409C-BE32-E72D297353CC}">
              <c16:uniqueId val="{00000002-E053-464C-94A2-9D5C93D7BA9C}"/>
            </c:ext>
          </c:extLst>
        </c:ser>
        <c:dLbls>
          <c:showLegendKey val="0"/>
          <c:showVal val="0"/>
          <c:showCatName val="0"/>
          <c:showSerName val="0"/>
          <c:showPercent val="0"/>
          <c:showBubbleSize val="0"/>
        </c:dLbls>
        <c:smooth val="0"/>
        <c:axId val="129606576"/>
        <c:axId val="1"/>
      </c:lineChart>
      <c:dateAx>
        <c:axId val="129606576"/>
        <c:scaling>
          <c:orientation val="minMax"/>
        </c:scaling>
        <c:delete val="0"/>
        <c:axPos val="b"/>
        <c:numFmt formatCode="[$-409]mmm\-yy;@"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Offset val="100"/>
        <c:baseTimeUnit val="months"/>
      </c:date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6.8603180279402542E-2"/>
          <c:y val="7.8699670254034848E-2"/>
          <c:w val="0.8695277034000447"/>
          <c:h val="7.199798463584739E-2"/>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sz="900"/>
              <a:t>Real GDP growth</a:t>
            </a:r>
          </a:p>
          <a:p>
            <a:pPr>
              <a:defRPr sz="900"/>
            </a:pPr>
            <a:r>
              <a:rPr lang="en-US" sz="900"/>
              <a:t>(Percent)</a:t>
            </a:r>
          </a:p>
        </c:rich>
      </c:tx>
      <c:layout>
        <c:manualLayout>
          <c:xMode val="edge"/>
          <c:yMode val="edge"/>
          <c:x val="0.13588674364486142"/>
          <c:y val="6.5407843437046101E-2"/>
        </c:manualLayout>
      </c:layout>
      <c:overlay val="0"/>
    </c:title>
    <c:autoTitleDeleted val="0"/>
    <c:plotArea>
      <c:layout>
        <c:manualLayout>
          <c:layoutTarget val="inner"/>
          <c:xMode val="edge"/>
          <c:yMode val="edge"/>
          <c:x val="5.0346281213680018E-2"/>
          <c:y val="2.9289705120428874E-2"/>
          <c:w val="0.90991999507404153"/>
          <c:h val="0.89586906229755636"/>
        </c:manualLayout>
      </c:layout>
      <c:lineChart>
        <c:grouping val="standard"/>
        <c:varyColors val="0"/>
        <c:ser>
          <c:idx val="2"/>
          <c:order val="0"/>
          <c:tx>
            <c:strRef>
              <c:f>'Real Sector'!$A$2</c:f>
              <c:strCache>
                <c:ptCount val="1"/>
                <c:pt idx="0">
                  <c:v>Real GDP growth</c:v>
                </c:pt>
              </c:strCache>
            </c:strRef>
          </c:tx>
          <c:spPr>
            <a:ln w="25400">
              <a:solidFill>
                <a:srgbClr val="0070C0"/>
              </a:solidFill>
            </a:ln>
          </c:spPr>
          <c:marker>
            <c:symbol val="none"/>
          </c:marker>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Sector'!$B$2:$K$2</c:f>
              <c:numCache>
                <c:formatCode>#,##0.0</c:formatCode>
                <c:ptCount val="10"/>
                <c:pt idx="0">
                  <c:v>1.0819182920780435</c:v>
                </c:pt>
                <c:pt idx="1">
                  <c:v>0.80279754503265188</c:v>
                </c:pt>
                <c:pt idx="2">
                  <c:v>0.61121268338188983</c:v>
                </c:pt>
                <c:pt idx="3">
                  <c:v>1.0068637329398111</c:v>
                </c:pt>
                <c:pt idx="4">
                  <c:v>4.7057914653346744</c:v>
                </c:pt>
                <c:pt idx="5">
                  <c:v>3.7020392094874621</c:v>
                </c:pt>
                <c:pt idx="6">
                  <c:v>4.531161683332674</c:v>
                </c:pt>
                <c:pt idx="7">
                  <c:v>5.667752459558395</c:v>
                </c:pt>
                <c:pt idx="8">
                  <c:v>-14.783405036948061</c:v>
                </c:pt>
                <c:pt idx="9">
                  <c:v>6.9522715287781311</c:v>
                </c:pt>
              </c:numCache>
            </c:numRef>
          </c:val>
          <c:smooth val="0"/>
          <c:extLst xmlns:c15="http://schemas.microsoft.com/office/drawing/2012/chart">
            <c:ext xmlns:c16="http://schemas.microsoft.com/office/drawing/2014/chart" uri="{C3380CC4-5D6E-409C-BE32-E72D297353CC}">
              <c16:uniqueId val="{00000000-8868-4BC4-B049-506E712A321A}"/>
            </c:ext>
          </c:extLst>
        </c:ser>
        <c:dLbls>
          <c:showLegendKey val="0"/>
          <c:showVal val="0"/>
          <c:showCatName val="0"/>
          <c:showSerName val="0"/>
          <c:showPercent val="0"/>
          <c:showBubbleSize val="0"/>
        </c:dLbls>
        <c:smooth val="0"/>
        <c:axId val="129606576"/>
        <c:axId val="1"/>
      </c:line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vert="horz"/>
          <a:lstStyle/>
          <a:p>
            <a:pPr>
              <a:defRPr/>
            </a:pPr>
            <a:endParaRPr lang="en-US"/>
          </a:p>
        </c:txPr>
        <c:crossAx val="129606576"/>
        <c:crosses val="autoZero"/>
        <c:crossBetween val="between"/>
        <c:majorUnit val="2"/>
      </c:valAx>
      <c:spPr>
        <a:solidFill>
          <a:srgbClr val="FFFFFF"/>
        </a:solidFill>
        <a:ln w="3175">
          <a:solidFill>
            <a:srgbClr val="000000"/>
          </a:solidFill>
          <a:prstDash val="solid"/>
        </a:ln>
      </c:spPr>
    </c:plotArea>
    <c:plotVisOnly val="1"/>
    <c:dispBlanksAs val="gap"/>
    <c:showDLblsOverMax val="0"/>
  </c:chart>
  <c:spPr>
    <a:solidFill>
      <a:schemeClr val="bg1"/>
    </a:solidFill>
    <a:ln w="6350">
      <a:noFill/>
    </a:ln>
  </c:spPr>
  <c:txPr>
    <a:bodyPr/>
    <a:lstStyle/>
    <a:p>
      <a:pPr>
        <a:defRPr sz="900">
          <a:solidFill>
            <a:srgbClr val="000000"/>
          </a:solidFill>
          <a:latin typeface="Times New Roman" panose="02020603050405020304" pitchFamily="18" charset="0"/>
          <a:ea typeface="Segoe UI"/>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latin typeface="Times New Roman" panose="02020603050405020304" pitchFamily="18" charset="0"/>
                <a:cs typeface="Times New Roman" panose="02020603050405020304" pitchFamily="18" charset="0"/>
              </a:rPr>
              <a:t>Inflation</a:t>
            </a:r>
          </a:p>
          <a:p>
            <a:pPr>
              <a:defRPr/>
            </a:pPr>
            <a:r>
              <a:rPr lang="en-US" sz="900" b="0">
                <a:latin typeface="Times New Roman" panose="02020603050405020304" pitchFamily="18" charset="0"/>
                <a:cs typeface="Times New Roman" panose="02020603050405020304" pitchFamily="18" charset="0"/>
              </a:rPr>
              <a:t>(Percent)</a:t>
            </a:r>
          </a:p>
        </c:rich>
      </c:tx>
      <c:layout>
        <c:manualLayout>
          <c:xMode val="edge"/>
          <c:yMode val="edge"/>
          <c:x val="0.41324210019599078"/>
          <c:y val="5.0611556305356388E-2"/>
        </c:manualLayout>
      </c:layout>
      <c:overlay val="0"/>
    </c:title>
    <c:autoTitleDeleted val="0"/>
    <c:plotArea>
      <c:layout>
        <c:manualLayout>
          <c:layoutTarget val="inner"/>
          <c:xMode val="edge"/>
          <c:yMode val="edge"/>
          <c:x val="5.0346281213680018E-2"/>
          <c:y val="2.9289705120428874E-2"/>
          <c:w val="0.8956789189560912"/>
          <c:h val="0.89586906229755636"/>
        </c:manualLayout>
      </c:layout>
      <c:lineChart>
        <c:grouping val="standard"/>
        <c:varyColors val="0"/>
        <c:ser>
          <c:idx val="0"/>
          <c:order val="1"/>
          <c:tx>
            <c:strRef>
              <c:f>'Real Sector'!$A$12</c:f>
              <c:strCache>
                <c:ptCount val="1"/>
                <c:pt idx="0">
                  <c:v>Inflation, end of period consumer prices</c:v>
                </c:pt>
              </c:strCache>
            </c:strRef>
          </c:tx>
          <c:spPr>
            <a:ln w="25400">
              <a:solidFill>
                <a:srgbClr val="C00000"/>
              </a:solidFill>
            </a:ln>
          </c:spPr>
          <c:marker>
            <c:symbol val="none"/>
          </c:marker>
          <c:val>
            <c:numRef>
              <c:f>'Real Sector'!$B$12:$K$12</c:f>
              <c:numCache>
                <c:formatCode>General</c:formatCode>
                <c:ptCount val="10"/>
                <c:pt idx="0">
                  <c:v>4.1399999999999997</c:v>
                </c:pt>
                <c:pt idx="1">
                  <c:v>6.5000000000000002E-2</c:v>
                </c:pt>
                <c:pt idx="2">
                  <c:v>-0.33900000000000002</c:v>
                </c:pt>
                <c:pt idx="3">
                  <c:v>-0.52500000000000002</c:v>
                </c:pt>
                <c:pt idx="4">
                  <c:v>-0.25</c:v>
                </c:pt>
                <c:pt idx="5">
                  <c:v>0.26900000000000002</c:v>
                </c:pt>
                <c:pt idx="6">
                  <c:v>1.0029999999999999</c:v>
                </c:pt>
                <c:pt idx="7">
                  <c:v>1.9359999999999999</c:v>
                </c:pt>
                <c:pt idx="8">
                  <c:v>-0.85299999999999998</c:v>
                </c:pt>
                <c:pt idx="9">
                  <c:v>5.375</c:v>
                </c:pt>
              </c:numCache>
            </c:numRef>
          </c:val>
          <c:smooth val="0"/>
          <c:extLst>
            <c:ext xmlns:c16="http://schemas.microsoft.com/office/drawing/2014/chart" uri="{C3380CC4-5D6E-409C-BE32-E72D297353CC}">
              <c16:uniqueId val="{00000000-4F2C-4DCC-865F-BB756901DF92}"/>
            </c:ext>
          </c:extLst>
        </c:ser>
        <c:ser>
          <c:idx val="2"/>
          <c:order val="0"/>
          <c:tx>
            <c:strRef>
              <c:f>'Real Sector'!$A$11</c:f>
              <c:strCache>
                <c:ptCount val="1"/>
                <c:pt idx="0">
                  <c:v>Inflation, average consumer prices</c:v>
                </c:pt>
              </c:strCache>
            </c:strRef>
          </c:tx>
          <c:spPr>
            <a:ln w="25400">
              <a:solidFill>
                <a:srgbClr val="0070C0"/>
              </a:solidFill>
            </a:ln>
          </c:spPr>
          <c:marker>
            <c:symbol val="none"/>
          </c:marker>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Sector'!$B$11:$K$11</c:f>
              <c:numCache>
                <c:formatCode>General</c:formatCode>
                <c:ptCount val="10"/>
                <c:pt idx="0">
                  <c:v>2.5430000000000001</c:v>
                </c:pt>
                <c:pt idx="1">
                  <c:v>1.506</c:v>
                </c:pt>
                <c:pt idx="2">
                  <c:v>-0.23799999999999999</c:v>
                </c:pt>
                <c:pt idx="3">
                  <c:v>0.14299999999999999</c:v>
                </c:pt>
                <c:pt idx="4">
                  <c:v>-1.4359999999999999</c:v>
                </c:pt>
                <c:pt idx="5">
                  <c:v>0.78300000000000003</c:v>
                </c:pt>
                <c:pt idx="6">
                  <c:v>1.2749999999999999</c:v>
                </c:pt>
                <c:pt idx="7">
                  <c:v>1.1060000000000001</c:v>
                </c:pt>
                <c:pt idx="8">
                  <c:v>0.60499999999999998</c:v>
                </c:pt>
                <c:pt idx="9">
                  <c:v>1.863</c:v>
                </c:pt>
              </c:numCache>
            </c:numRef>
          </c:val>
          <c:smooth val="0"/>
          <c:extLst xmlns:c15="http://schemas.microsoft.com/office/drawing/2012/chart">
            <c:ext xmlns:c16="http://schemas.microsoft.com/office/drawing/2014/chart" uri="{C3380CC4-5D6E-409C-BE32-E72D297353CC}">
              <c16:uniqueId val="{00000001-4F2C-4DCC-865F-BB756901DF92}"/>
            </c:ext>
          </c:extLst>
        </c:ser>
        <c:dLbls>
          <c:showLegendKey val="0"/>
          <c:showVal val="0"/>
          <c:showCatName val="0"/>
          <c:showSerName val="0"/>
          <c:showPercent val="0"/>
          <c:showBubbleSize val="0"/>
        </c:dLbls>
        <c:smooth val="0"/>
        <c:axId val="129606576"/>
        <c:axId val="1"/>
      </c:line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0.18425265619090189"/>
          <c:y val="0.24118100273315687"/>
          <c:w val="0.66749447044497212"/>
          <c:h val="0.19690529920580968"/>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Growth</a:t>
            </a:r>
            <a:r>
              <a:rPr lang="en-US" sz="900" baseline="0">
                <a:latin typeface="Times New Roman" panose="02020603050405020304" pitchFamily="18" charset="0"/>
                <a:cs typeface="Times New Roman" panose="02020603050405020304" pitchFamily="18" charset="0"/>
              </a:rPr>
              <a:t> Contributions</a:t>
            </a:r>
          </a:p>
          <a:p>
            <a:pPr>
              <a:defRPr sz="900">
                <a:latin typeface="Times New Roman" panose="02020603050405020304" pitchFamily="18" charset="0"/>
                <a:cs typeface="Times New Roman" panose="02020603050405020304" pitchFamily="18" charset="0"/>
              </a:defRPr>
            </a:pPr>
            <a:r>
              <a:rPr lang="en-US" sz="900" b="0" baseline="0">
                <a:latin typeface="Times New Roman" panose="02020603050405020304" pitchFamily="18" charset="0"/>
                <a:cs typeface="Times New Roman" panose="02020603050405020304" pitchFamily="18" charset="0"/>
              </a:rPr>
              <a:t>(Percentage points)</a:t>
            </a:r>
            <a:endParaRPr lang="en-US" sz="900" b="0">
              <a:latin typeface="Times New Roman" panose="02020603050405020304" pitchFamily="18" charset="0"/>
              <a:cs typeface="Times New Roman" panose="02020603050405020304" pitchFamily="18" charset="0"/>
            </a:endParaRPr>
          </a:p>
        </c:rich>
      </c:tx>
      <c:layout>
        <c:manualLayout>
          <c:xMode val="edge"/>
          <c:yMode val="edge"/>
          <c:x val="0.16882959949538259"/>
          <c:y val="2.5980973860365707E-2"/>
        </c:manualLayout>
      </c:layout>
      <c:overlay val="0"/>
    </c:title>
    <c:autoTitleDeleted val="0"/>
    <c:plotArea>
      <c:layout>
        <c:manualLayout>
          <c:layoutTarget val="inner"/>
          <c:xMode val="edge"/>
          <c:yMode val="edge"/>
          <c:x val="9.4391705023443601E-2"/>
          <c:y val="2.0743212677099793E-2"/>
          <c:w val="0.88480443826183497"/>
          <c:h val="0.89586906229755636"/>
        </c:manualLayout>
      </c:layout>
      <c:barChart>
        <c:barDir val="col"/>
        <c:grouping val="stacked"/>
        <c:varyColors val="0"/>
        <c:ser>
          <c:idx val="2"/>
          <c:order val="0"/>
          <c:tx>
            <c:strRef>
              <c:f>'Real Sector'!$A$5</c:f>
              <c:strCache>
                <c:ptCount val="1"/>
                <c:pt idx="0">
                  <c:v>Private Consumption</c:v>
                </c:pt>
              </c:strCache>
            </c:strRef>
          </c:tx>
          <c:invertIfNegative val="0"/>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Sector'!$B$5:$K$5</c:f>
              <c:numCache>
                <c:formatCode>#,##0.00</c:formatCode>
                <c:ptCount val="10"/>
                <c:pt idx="0">
                  <c:v>2.0643332067280746</c:v>
                </c:pt>
                <c:pt idx="1">
                  <c:v>1.1334392571770551</c:v>
                </c:pt>
                <c:pt idx="2">
                  <c:v>0.75640090948906236</c:v>
                </c:pt>
                <c:pt idx="3">
                  <c:v>2.0356854140489915</c:v>
                </c:pt>
                <c:pt idx="4">
                  <c:v>1.6018033942832841</c:v>
                </c:pt>
                <c:pt idx="5">
                  <c:v>4.5677211076417574</c:v>
                </c:pt>
                <c:pt idx="6">
                  <c:v>0.98676883134452331</c:v>
                </c:pt>
                <c:pt idx="7">
                  <c:v>3.7717868809453883</c:v>
                </c:pt>
                <c:pt idx="8">
                  <c:v>-7.276115529598413</c:v>
                </c:pt>
                <c:pt idx="9">
                  <c:v>6.3136742485762909</c:v>
                </c:pt>
              </c:numCache>
            </c:numRef>
          </c:val>
          <c:extLst xmlns:c15="http://schemas.microsoft.com/office/drawing/2012/chart">
            <c:ext xmlns:c16="http://schemas.microsoft.com/office/drawing/2014/chart" uri="{C3380CC4-5D6E-409C-BE32-E72D297353CC}">
              <c16:uniqueId val="{00000000-5845-4476-B5F0-B3F3179DCA6B}"/>
            </c:ext>
          </c:extLst>
        </c:ser>
        <c:ser>
          <c:idx val="0"/>
          <c:order val="1"/>
          <c:tx>
            <c:strRef>
              <c:f>'Real Sector'!$A$6</c:f>
              <c:strCache>
                <c:ptCount val="1"/>
                <c:pt idx="0">
                  <c:v>Total GFCF (I)</c:v>
                </c:pt>
              </c:strCache>
            </c:strRef>
          </c:tx>
          <c:invertIfNegative val="0"/>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Sector'!$B$6:$K$6</c:f>
              <c:numCache>
                <c:formatCode>#,##0.00</c:formatCode>
                <c:ptCount val="10"/>
                <c:pt idx="0">
                  <c:v>-1.1225604539621892</c:v>
                </c:pt>
                <c:pt idx="1">
                  <c:v>0.3413597171356198</c:v>
                </c:pt>
                <c:pt idx="2">
                  <c:v>0.91938961766766281</c:v>
                </c:pt>
                <c:pt idx="3">
                  <c:v>0.70209993076222932</c:v>
                </c:pt>
                <c:pt idx="4">
                  <c:v>6.6094998765021877</c:v>
                </c:pt>
                <c:pt idx="5">
                  <c:v>4.3919904270897119</c:v>
                </c:pt>
                <c:pt idx="6">
                  <c:v>1.6679481721503724</c:v>
                </c:pt>
                <c:pt idx="7">
                  <c:v>-2.4425264907108293</c:v>
                </c:pt>
                <c:pt idx="8">
                  <c:v>6.7223046387065191</c:v>
                </c:pt>
                <c:pt idx="9">
                  <c:v>-3.970450662567008</c:v>
                </c:pt>
              </c:numCache>
            </c:numRef>
          </c:val>
          <c:extLst>
            <c:ext xmlns:c16="http://schemas.microsoft.com/office/drawing/2014/chart" uri="{C3380CC4-5D6E-409C-BE32-E72D297353CC}">
              <c16:uniqueId val="{00000001-5845-4476-B5F0-B3F3179DCA6B}"/>
            </c:ext>
          </c:extLst>
        </c:ser>
        <c:ser>
          <c:idx val="1"/>
          <c:order val="2"/>
          <c:tx>
            <c:strRef>
              <c:f>'Real Sector'!$A$7</c:f>
              <c:strCache>
                <c:ptCount val="1"/>
                <c:pt idx="0">
                  <c:v>Government Consumption</c:v>
                </c:pt>
              </c:strCache>
            </c:strRef>
          </c:tx>
          <c:invertIfNegative val="0"/>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Sector'!$B$7:$K$7</c:f>
              <c:numCache>
                <c:formatCode>#,##0.00</c:formatCode>
                <c:ptCount val="10"/>
                <c:pt idx="0">
                  <c:v>-9.7324881172982849</c:v>
                </c:pt>
                <c:pt idx="1">
                  <c:v>-4.7580593085157847</c:v>
                </c:pt>
                <c:pt idx="2">
                  <c:v>5.6048715804588953</c:v>
                </c:pt>
                <c:pt idx="3">
                  <c:v>-6.7044727219590703</c:v>
                </c:pt>
                <c:pt idx="4">
                  <c:v>-1.0579597982759019</c:v>
                </c:pt>
                <c:pt idx="5">
                  <c:v>1.3259683548189676</c:v>
                </c:pt>
                <c:pt idx="6">
                  <c:v>0.387586009296848</c:v>
                </c:pt>
                <c:pt idx="7">
                  <c:v>0.84289015137554846</c:v>
                </c:pt>
                <c:pt idx="8">
                  <c:v>0.13896508294493562</c:v>
                </c:pt>
                <c:pt idx="9">
                  <c:v>6.1840367675309595</c:v>
                </c:pt>
              </c:numCache>
            </c:numRef>
          </c:val>
          <c:extLst>
            <c:ext xmlns:c16="http://schemas.microsoft.com/office/drawing/2014/chart" uri="{C3380CC4-5D6E-409C-BE32-E72D297353CC}">
              <c16:uniqueId val="{00000002-5845-4476-B5F0-B3F3179DCA6B}"/>
            </c:ext>
          </c:extLst>
        </c:ser>
        <c:ser>
          <c:idx val="3"/>
          <c:order val="3"/>
          <c:tx>
            <c:strRef>
              <c:f>'Real Sector'!$A$8</c:f>
              <c:strCache>
                <c:ptCount val="1"/>
                <c:pt idx="0">
                  <c:v>Change in Inventories</c:v>
                </c:pt>
              </c:strCache>
            </c:strRef>
          </c:tx>
          <c:invertIfNegative val="0"/>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Sector'!$B$8:$K$8</c:f>
              <c:numCache>
                <c:formatCode>#,##0.00</c:formatCode>
                <c:ptCount val="10"/>
                <c:pt idx="0">
                  <c:v>0.322850613898997</c:v>
                </c:pt>
                <c:pt idx="1">
                  <c:v>0.22775964353723252</c:v>
                </c:pt>
                <c:pt idx="2">
                  <c:v>-0.33634669609989221</c:v>
                </c:pt>
                <c:pt idx="3">
                  <c:v>0.45833902267460913</c:v>
                </c:pt>
                <c:pt idx="4">
                  <c:v>-1.7661950549319176E-2</c:v>
                </c:pt>
                <c:pt idx="5">
                  <c:v>9.1689456056790561E-2</c:v>
                </c:pt>
                <c:pt idx="6">
                  <c:v>0.16349498148902825</c:v>
                </c:pt>
                <c:pt idx="7">
                  <c:v>-9.2186446744933842E-2</c:v>
                </c:pt>
                <c:pt idx="8">
                  <c:v>-0.48957502710190559</c:v>
                </c:pt>
                <c:pt idx="9">
                  <c:v>-0.40730740151757383</c:v>
                </c:pt>
              </c:numCache>
            </c:numRef>
          </c:val>
          <c:extLst>
            <c:ext xmlns:c16="http://schemas.microsoft.com/office/drawing/2014/chart" uri="{C3380CC4-5D6E-409C-BE32-E72D297353CC}">
              <c16:uniqueId val="{00000003-5845-4476-B5F0-B3F3179DCA6B}"/>
            </c:ext>
          </c:extLst>
        </c:ser>
        <c:ser>
          <c:idx val="4"/>
          <c:order val="4"/>
          <c:tx>
            <c:strRef>
              <c:f>'Real Sector'!$A$9</c:f>
              <c:strCache>
                <c:ptCount val="1"/>
                <c:pt idx="0">
                  <c:v>Net Exports (NX)</c:v>
                </c:pt>
              </c:strCache>
            </c:strRef>
          </c:tx>
          <c:invertIfNegative val="0"/>
          <c:cat>
            <c:numRef>
              <c:f>'Real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'Real Sector'!$B$9:$K$9</c:f>
              <c:numCache>
                <c:formatCode>#,##0.00</c:formatCode>
                <c:ptCount val="10"/>
                <c:pt idx="0">
                  <c:v>9.5497830427114554</c:v>
                </c:pt>
                <c:pt idx="1">
                  <c:v>3.8582982356985198</c:v>
                </c:pt>
                <c:pt idx="2">
                  <c:v>-6.3331027281338343</c:v>
                </c:pt>
                <c:pt idx="3">
                  <c:v>4.5152120874130475</c:v>
                </c:pt>
                <c:pt idx="4">
                  <c:v>-2.4298900566255752</c:v>
                </c:pt>
                <c:pt idx="5">
                  <c:v>-6.6753301361197792</c:v>
                </c:pt>
                <c:pt idx="6">
                  <c:v>1.3253636890519207</c:v>
                </c:pt>
                <c:pt idx="7">
                  <c:v>3.5877883646932331</c:v>
                </c:pt>
                <c:pt idx="8">
                  <c:v>-13.878984201899202</c:v>
                </c:pt>
                <c:pt idx="9">
                  <c:v>-1.1676814232445258</c:v>
                </c:pt>
              </c:numCache>
            </c:numRef>
          </c:val>
          <c:extLst>
            <c:ext xmlns:c16="http://schemas.microsoft.com/office/drawing/2014/chart" uri="{C3380CC4-5D6E-409C-BE32-E72D297353CC}">
              <c16:uniqueId val="{00000004-5845-4476-B5F0-B3F3179DCA6B}"/>
            </c:ext>
          </c:extLst>
        </c:ser>
        <c:dLbls>
          <c:showLegendKey val="0"/>
          <c:showVal val="0"/>
          <c:showCatName val="0"/>
          <c:showSerName val="0"/>
          <c:showPercent val="0"/>
          <c:showBubbleSize val="0"/>
        </c:dLbls>
        <c:gapWidth val="150"/>
        <c:overlap val="100"/>
        <c:axId val="129606576"/>
        <c:axId val="1"/>
      </c:bar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8.7521283384715376E-2"/>
          <c:y val="0.64642893568595028"/>
          <c:w val="0.75483074420443308"/>
          <c:h val="0.23207892038714037"/>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Current Account</a:t>
            </a:r>
          </a:p>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 </a:t>
            </a:r>
            <a:r>
              <a:rPr lang="en-US" sz="800" b="0">
                <a:latin typeface="Times New Roman" panose="02020603050405020304" pitchFamily="18" charset="0"/>
                <a:cs typeface="Times New Roman" panose="02020603050405020304" pitchFamily="18" charset="0"/>
              </a:rPr>
              <a:t>(Percent of GDP)</a:t>
            </a:r>
          </a:p>
        </c:rich>
      </c:tx>
      <c:layout>
        <c:manualLayout>
          <c:xMode val="edge"/>
          <c:yMode val="edge"/>
          <c:x val="0.24136623163379894"/>
          <c:y val="0.81706763504312296"/>
        </c:manualLayout>
      </c:layout>
      <c:overlay val="0"/>
    </c:title>
    <c:autoTitleDeleted val="0"/>
    <c:plotArea>
      <c:layout>
        <c:manualLayout>
          <c:layoutTarget val="inner"/>
          <c:xMode val="edge"/>
          <c:yMode val="edge"/>
          <c:x val="9.1128247056149428E-2"/>
          <c:y val="2.7818543789606871E-2"/>
          <c:w val="0.90991999507404153"/>
          <c:h val="0.8958689117559806"/>
        </c:manualLayout>
      </c:layout>
      <c:barChart>
        <c:barDir val="col"/>
        <c:grouping val="stacked"/>
        <c:varyColors val="0"/>
        <c:ser>
          <c:idx val="0"/>
          <c:order val="1"/>
          <c:tx>
            <c:strRef>
              <c:f>'External Sector'!$A$17</c:f>
              <c:strCache>
                <c:ptCount val="1"/>
                <c:pt idx="0">
                  <c:v>Goods</c:v>
                </c:pt>
              </c:strCache>
            </c:strRef>
          </c:tx>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Sector'!$B$17:$K$17</c:f>
              <c:numCache>
                <c:formatCode>#,##0.0</c:formatCode>
                <c:ptCount val="10"/>
                <c:pt idx="0">
                  <c:v>-37.367604995694698</c:v>
                </c:pt>
                <c:pt idx="1">
                  <c:v>-33.340881099801159</c:v>
                </c:pt>
                <c:pt idx="2">
                  <c:v>-32.384506514296582</c:v>
                </c:pt>
                <c:pt idx="3">
                  <c:v>-29.673712307532163</c:v>
                </c:pt>
                <c:pt idx="4">
                  <c:v>-32.004621215192245</c:v>
                </c:pt>
                <c:pt idx="5">
                  <c:v>-37.111456505761076</c:v>
                </c:pt>
                <c:pt idx="6">
                  <c:v>-34.921248589118733</c:v>
                </c:pt>
                <c:pt idx="7">
                  <c:v>-33.618004887322975</c:v>
                </c:pt>
                <c:pt idx="8">
                  <c:v>-38.70720349433202</c:v>
                </c:pt>
                <c:pt idx="9">
                  <c:v>-36.930261381933342</c:v>
                </c:pt>
              </c:numCache>
            </c:numRef>
          </c:val>
          <c:extLst>
            <c:ext xmlns:c16="http://schemas.microsoft.com/office/drawing/2014/chart" uri="{C3380CC4-5D6E-409C-BE32-E72D297353CC}">
              <c16:uniqueId val="{00000000-D3F2-423F-BAE0-F0092F1170DA}"/>
            </c:ext>
          </c:extLst>
        </c:ser>
        <c:ser>
          <c:idx val="1"/>
          <c:order val="2"/>
          <c:tx>
            <c:strRef>
              <c:f>'External Sector'!$A$18</c:f>
              <c:strCache>
                <c:ptCount val="1"/>
                <c:pt idx="0">
                  <c:v>Services</c:v>
                </c:pt>
              </c:strCache>
            </c:strRef>
          </c:tx>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Sector'!$B$18:$K$18</c:f>
              <c:numCache>
                <c:formatCode>#,##0.0</c:formatCode>
                <c:ptCount val="10"/>
                <c:pt idx="0">
                  <c:v>12.778529695732319</c:v>
                </c:pt>
                <c:pt idx="1">
                  <c:v>16.152769048104574</c:v>
                </c:pt>
                <c:pt idx="2">
                  <c:v>14.053239890629946</c:v>
                </c:pt>
                <c:pt idx="3">
                  <c:v>14.115022053303239</c:v>
                </c:pt>
                <c:pt idx="4">
                  <c:v>15.020393500426804</c:v>
                </c:pt>
                <c:pt idx="5">
                  <c:v>15.576130088000205</c:v>
                </c:pt>
                <c:pt idx="6">
                  <c:v>15.850894301286672</c:v>
                </c:pt>
                <c:pt idx="7">
                  <c:v>19.347145497366551</c:v>
                </c:pt>
                <c:pt idx="8">
                  <c:v>4.4103880368945383</c:v>
                </c:pt>
                <c:pt idx="9">
                  <c:v>3.5367048809031112</c:v>
                </c:pt>
              </c:numCache>
            </c:numRef>
          </c:val>
          <c:extLst>
            <c:ext xmlns:c16="http://schemas.microsoft.com/office/drawing/2014/chart" uri="{C3380CC4-5D6E-409C-BE32-E72D297353CC}">
              <c16:uniqueId val="{00000001-D3F2-423F-BAE0-F0092F1170DA}"/>
            </c:ext>
          </c:extLst>
        </c:ser>
        <c:ser>
          <c:idx val="3"/>
          <c:order val="3"/>
          <c:tx>
            <c:strRef>
              <c:f>'External Sector'!$A$19</c:f>
              <c:strCache>
                <c:ptCount val="1"/>
                <c:pt idx="0">
                  <c:v>Primary income</c:v>
                </c:pt>
              </c:strCache>
            </c:strRef>
          </c:tx>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Sector'!$B$19:$K$19</c:f>
              <c:numCache>
                <c:formatCode>#,##0.0</c:formatCode>
                <c:ptCount val="10"/>
                <c:pt idx="0">
                  <c:v>-4.2817447221496607</c:v>
                </c:pt>
                <c:pt idx="1">
                  <c:v>-3.4911787388408286</c:v>
                </c:pt>
                <c:pt idx="2">
                  <c:v>-4.9806996930799521</c:v>
                </c:pt>
                <c:pt idx="3">
                  <c:v>-3.6985374467161622</c:v>
                </c:pt>
                <c:pt idx="4">
                  <c:v>-3.5743413341231887</c:v>
                </c:pt>
                <c:pt idx="5">
                  <c:v>-3.4498651986507314</c:v>
                </c:pt>
                <c:pt idx="6">
                  <c:v>-2.3779159832059777</c:v>
                </c:pt>
                <c:pt idx="7">
                  <c:v>-2.1275033590672789</c:v>
                </c:pt>
                <c:pt idx="8">
                  <c:v>-2.4032427773402834</c:v>
                </c:pt>
                <c:pt idx="9">
                  <c:v>-1.9487104848216918</c:v>
                </c:pt>
              </c:numCache>
            </c:numRef>
          </c:val>
          <c:extLst>
            <c:ext xmlns:c16="http://schemas.microsoft.com/office/drawing/2014/chart" uri="{C3380CC4-5D6E-409C-BE32-E72D297353CC}">
              <c16:uniqueId val="{00000002-D3F2-423F-BAE0-F0092F1170DA}"/>
            </c:ext>
          </c:extLst>
        </c:ser>
        <c:ser>
          <c:idx val="4"/>
          <c:order val="4"/>
          <c:tx>
            <c:strRef>
              <c:f>'External Sector'!$A$20</c:f>
              <c:strCache>
                <c:ptCount val="1"/>
                <c:pt idx="0">
                  <c:v>Secondary income</c:v>
                </c:pt>
              </c:strCache>
            </c:strRef>
          </c:tx>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Sector'!$B$20:$K$20</c:f>
              <c:numCache>
                <c:formatCode>#,##0.0</c:formatCode>
                <c:ptCount val="10"/>
                <c:pt idx="0">
                  <c:v>14.83699587673852</c:v>
                </c:pt>
                <c:pt idx="1">
                  <c:v>14.828593834988279</c:v>
                </c:pt>
                <c:pt idx="2">
                  <c:v>14.27092461184723</c:v>
                </c:pt>
                <c:pt idx="3">
                  <c:v>15.907052206200076</c:v>
                </c:pt>
                <c:pt idx="4">
                  <c:v>16.796382851565127</c:v>
                </c:pt>
                <c:pt idx="5">
                  <c:v>17.141556877472631</c:v>
                </c:pt>
                <c:pt idx="6">
                  <c:v>16.096090056637305</c:v>
                </c:pt>
                <c:pt idx="7">
                  <c:v>16.625925038865667</c:v>
                </c:pt>
                <c:pt idx="8">
                  <c:v>20.24736411179698</c:v>
                </c:pt>
                <c:pt idx="9">
                  <c:v>22.170915139088908</c:v>
                </c:pt>
              </c:numCache>
            </c:numRef>
          </c:val>
          <c:extLst>
            <c:ext xmlns:c16="http://schemas.microsoft.com/office/drawing/2014/chart" uri="{C3380CC4-5D6E-409C-BE32-E72D297353CC}">
              <c16:uniqueId val="{00000003-D3F2-423F-BAE0-F0092F1170DA}"/>
            </c:ext>
          </c:extLst>
        </c:ser>
        <c:dLbls>
          <c:showLegendKey val="0"/>
          <c:showVal val="0"/>
          <c:showCatName val="0"/>
          <c:showSerName val="0"/>
          <c:showPercent val="0"/>
          <c:showBubbleSize val="0"/>
        </c:dLbls>
        <c:gapWidth val="150"/>
        <c:overlap val="100"/>
        <c:axId val="129606576"/>
        <c:axId val="1"/>
      </c:barChart>
      <c:lineChart>
        <c:grouping val="standard"/>
        <c:varyColors val="0"/>
        <c:ser>
          <c:idx val="2"/>
          <c:order val="0"/>
          <c:tx>
            <c:strRef>
              <c:f>'External Sector'!$A$16</c:f>
              <c:strCache>
                <c:ptCount val="1"/>
                <c:pt idx="0">
                  <c:v>Current account</c:v>
                </c:pt>
              </c:strCache>
            </c:strRef>
          </c:tx>
          <c:spPr>
            <a:ln>
              <a:solidFill>
                <a:schemeClr val="tx1"/>
              </a:solidFill>
            </a:ln>
          </c:spPr>
          <c:marker>
            <c:symbol val="none"/>
          </c:marker>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Sector'!$B$16:$K$16</c:f>
              <c:numCache>
                <c:formatCode>#,##0.0</c:formatCode>
                <c:ptCount val="10"/>
                <c:pt idx="0">
                  <c:v>-14.033824145373524</c:v>
                </c:pt>
                <c:pt idx="1">
                  <c:v>-5.8506969555491271</c:v>
                </c:pt>
                <c:pt idx="2">
                  <c:v>-9.0410417048993601</c:v>
                </c:pt>
                <c:pt idx="3">
                  <c:v>-3.3501754947449989</c:v>
                </c:pt>
                <c:pt idx="4">
                  <c:v>-3.7621861973235018</c:v>
                </c:pt>
                <c:pt idx="5">
                  <c:v>-7.8436347389389676</c:v>
                </c:pt>
                <c:pt idx="6">
                  <c:v>-5.3521802144007289</c:v>
                </c:pt>
                <c:pt idx="7">
                  <c:v>0.22756228984196922</c:v>
                </c:pt>
                <c:pt idx="8">
                  <c:v>-16.452694122980784</c:v>
                </c:pt>
                <c:pt idx="9">
                  <c:v>-13.17135184676301</c:v>
                </c:pt>
              </c:numCache>
            </c:numRef>
          </c:val>
          <c:smooth val="0"/>
          <c:extLst xmlns:c15="http://schemas.microsoft.com/office/drawing/2012/chart">
            <c:ext xmlns:c16="http://schemas.microsoft.com/office/drawing/2014/chart" uri="{C3380CC4-5D6E-409C-BE32-E72D297353CC}">
              <c16:uniqueId val="{00000004-D3F2-423F-BAE0-F0092F1170DA}"/>
            </c:ext>
          </c:extLst>
        </c:ser>
        <c:dLbls>
          <c:showLegendKey val="0"/>
          <c:showVal val="0"/>
          <c:showCatName val="0"/>
          <c:showSerName val="0"/>
          <c:showPercent val="0"/>
          <c:showBubbleSize val="0"/>
        </c:dLbls>
        <c:marker val="1"/>
        <c:smooth val="0"/>
        <c:axId val="129606576"/>
        <c:axId val="1"/>
      </c:line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max val="50"/>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0.10271008364785439"/>
          <c:y val="4.1908135291531597E-2"/>
          <c:w val="0.85964512666525394"/>
          <c:h val="0.11949058114136535"/>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Financial Account </a:t>
            </a:r>
          </a:p>
          <a:p>
            <a:pPr>
              <a:defRPr sz="80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(Percentage of GDP)</a:t>
            </a:r>
          </a:p>
        </c:rich>
      </c:tx>
      <c:layout>
        <c:manualLayout>
          <c:xMode val="edge"/>
          <c:yMode val="edge"/>
          <c:x val="0.10088786315503666"/>
          <c:y val="3.3394623748954459E-2"/>
        </c:manualLayout>
      </c:layout>
      <c:overlay val="0"/>
    </c:title>
    <c:autoTitleDeleted val="0"/>
    <c:plotArea>
      <c:layout>
        <c:manualLayout>
          <c:layoutTarget val="inner"/>
          <c:xMode val="edge"/>
          <c:yMode val="edge"/>
          <c:x val="8.8491080345860743E-2"/>
          <c:y val="2.9289705120428874E-2"/>
          <c:w val="0.87626124957926155"/>
          <c:h val="0.89586902598713625"/>
        </c:manualLayout>
      </c:layout>
      <c:barChart>
        <c:barDir val="col"/>
        <c:grouping val="stacked"/>
        <c:varyColors val="0"/>
        <c:ser>
          <c:idx val="0"/>
          <c:order val="1"/>
          <c:tx>
            <c:strRef>
              <c:f>'External Sector'!$A$23</c:f>
              <c:strCache>
                <c:ptCount val="1"/>
                <c:pt idx="0">
                  <c:v>FDI</c:v>
                </c:pt>
              </c:strCache>
            </c:strRef>
          </c:tx>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Sector'!$B$23:$K$23</c:f>
              <c:numCache>
                <c:formatCode>#,##0.0</c:formatCode>
                <c:ptCount val="10"/>
                <c:pt idx="0">
                  <c:v>-6.7307375976000898</c:v>
                </c:pt>
                <c:pt idx="1">
                  <c:v>-3.010213333861627</c:v>
                </c:pt>
                <c:pt idx="2">
                  <c:v>-9.2615439386319451</c:v>
                </c:pt>
                <c:pt idx="3">
                  <c:v>-7.008630179968196</c:v>
                </c:pt>
                <c:pt idx="4">
                  <c:v>-7.1022259456890211</c:v>
                </c:pt>
                <c:pt idx="5">
                  <c:v>-5.3756190571350748</c:v>
                </c:pt>
                <c:pt idx="6">
                  <c:v>-4.6839100214777529</c:v>
                </c:pt>
                <c:pt idx="7">
                  <c:v>-4.73060136092547</c:v>
                </c:pt>
                <c:pt idx="8">
                  <c:v>-3.6522475303505657</c:v>
                </c:pt>
                <c:pt idx="9">
                  <c:v>-5.6278213619863386</c:v>
                </c:pt>
              </c:numCache>
            </c:numRef>
          </c:val>
          <c:extLst>
            <c:ext xmlns:c16="http://schemas.microsoft.com/office/drawing/2014/chart" uri="{C3380CC4-5D6E-409C-BE32-E72D297353CC}">
              <c16:uniqueId val="{00000000-2B38-487C-AA91-019930D99FD7}"/>
            </c:ext>
          </c:extLst>
        </c:ser>
        <c:ser>
          <c:idx val="1"/>
          <c:order val="2"/>
          <c:tx>
            <c:strRef>
              <c:f>'External Sector'!$A$24</c:f>
              <c:strCache>
                <c:ptCount val="1"/>
                <c:pt idx="0">
                  <c:v>Portfolio investment</c:v>
                </c:pt>
              </c:strCache>
            </c:strRef>
          </c:tx>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Sector'!$B$24:$K$24</c:f>
              <c:numCache>
                <c:formatCode>#,##0.0</c:formatCode>
                <c:ptCount val="10"/>
                <c:pt idx="0">
                  <c:v>1.1266394947411562</c:v>
                </c:pt>
                <c:pt idx="1">
                  <c:v>1.4839530384183224</c:v>
                </c:pt>
                <c:pt idx="2">
                  <c:v>1.1108484605183366</c:v>
                </c:pt>
                <c:pt idx="3">
                  <c:v>2.2331789275083112</c:v>
                </c:pt>
                <c:pt idx="4">
                  <c:v>2.5464521713353734</c:v>
                </c:pt>
                <c:pt idx="5">
                  <c:v>2.9871359817583922</c:v>
                </c:pt>
                <c:pt idx="6">
                  <c:v>2.6540792953236005</c:v>
                </c:pt>
                <c:pt idx="7">
                  <c:v>5.5859700397790861E-2</c:v>
                </c:pt>
                <c:pt idx="8">
                  <c:v>1.2795941660534322E-2</c:v>
                </c:pt>
                <c:pt idx="9">
                  <c:v>-3.5275035134973255E-4</c:v>
                </c:pt>
              </c:numCache>
            </c:numRef>
          </c:val>
          <c:extLst>
            <c:ext xmlns:c16="http://schemas.microsoft.com/office/drawing/2014/chart" uri="{C3380CC4-5D6E-409C-BE32-E72D297353CC}">
              <c16:uniqueId val="{00000001-2B38-487C-AA91-019930D99FD7}"/>
            </c:ext>
          </c:extLst>
        </c:ser>
        <c:ser>
          <c:idx val="3"/>
          <c:order val="3"/>
          <c:tx>
            <c:strRef>
              <c:f>'External Sector'!$A$25</c:f>
              <c:strCache>
                <c:ptCount val="1"/>
                <c:pt idx="0">
                  <c:v>Other investments</c:v>
                </c:pt>
              </c:strCache>
            </c:strRef>
          </c:tx>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Sector'!$B$25:$K$25</c:f>
              <c:numCache>
                <c:formatCode>#,##0.0</c:formatCode>
                <c:ptCount val="10"/>
                <c:pt idx="0">
                  <c:v>-12.158081390061135</c:v>
                </c:pt>
                <c:pt idx="1">
                  <c:v>-8.8852132897065541</c:v>
                </c:pt>
                <c:pt idx="2">
                  <c:v>-5.5745358807112293</c:v>
                </c:pt>
                <c:pt idx="3">
                  <c:v>-2.741834379990157</c:v>
                </c:pt>
                <c:pt idx="4">
                  <c:v>-4.1163672605549131</c:v>
                </c:pt>
                <c:pt idx="5">
                  <c:v>-2.8764772049651883</c:v>
                </c:pt>
                <c:pt idx="6">
                  <c:v>-3.9590996010876847</c:v>
                </c:pt>
                <c:pt idx="7">
                  <c:v>-3.3558458083602201</c:v>
                </c:pt>
                <c:pt idx="8">
                  <c:v>-4.6512759073561414</c:v>
                </c:pt>
                <c:pt idx="9">
                  <c:v>-7.1591292184950879</c:v>
                </c:pt>
              </c:numCache>
            </c:numRef>
          </c:val>
          <c:extLst>
            <c:ext xmlns:c16="http://schemas.microsoft.com/office/drawing/2014/chart" uri="{C3380CC4-5D6E-409C-BE32-E72D297353CC}">
              <c16:uniqueId val="{00000002-2B38-487C-AA91-019930D99FD7}"/>
            </c:ext>
          </c:extLst>
        </c:ser>
        <c:dLbls>
          <c:showLegendKey val="0"/>
          <c:showVal val="0"/>
          <c:showCatName val="0"/>
          <c:showSerName val="0"/>
          <c:showPercent val="0"/>
          <c:showBubbleSize val="0"/>
        </c:dLbls>
        <c:gapWidth val="150"/>
        <c:overlap val="100"/>
        <c:axId val="129606576"/>
        <c:axId val="1"/>
      </c:barChart>
      <c:lineChart>
        <c:grouping val="standard"/>
        <c:varyColors val="0"/>
        <c:ser>
          <c:idx val="2"/>
          <c:order val="0"/>
          <c:tx>
            <c:strRef>
              <c:f>'External Sector'!$A$22</c:f>
              <c:strCache>
                <c:ptCount val="1"/>
                <c:pt idx="0">
                  <c:v>Financial account</c:v>
                </c:pt>
              </c:strCache>
            </c:strRef>
          </c:tx>
          <c:spPr>
            <a:ln>
              <a:solidFill>
                <a:schemeClr val="tx1"/>
              </a:solidFill>
            </a:ln>
          </c:spPr>
          <c:marker>
            <c:symbol val="none"/>
          </c:marker>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Sector'!$B$22:$K$22</c:f>
              <c:numCache>
                <c:formatCode>#,##0.0</c:formatCode>
                <c:ptCount val="10"/>
                <c:pt idx="0">
                  <c:v>-17.762179492920069</c:v>
                </c:pt>
                <c:pt idx="1">
                  <c:v>-10.411473585149858</c:v>
                </c:pt>
                <c:pt idx="2">
                  <c:v>-13.725231358824841</c:v>
                </c:pt>
                <c:pt idx="3">
                  <c:v>-7.5172856324500419</c:v>
                </c:pt>
                <c:pt idx="4">
                  <c:v>-8.6721410349085613</c:v>
                </c:pt>
                <c:pt idx="5">
                  <c:v>-5.26496028034187</c:v>
                </c:pt>
                <c:pt idx="6">
                  <c:v>-5.9889303272418388</c:v>
                </c:pt>
                <c:pt idx="7">
                  <c:v>-8.0305874688878998</c:v>
                </c:pt>
                <c:pt idx="8">
                  <c:v>-8.2907274960461734</c:v>
                </c:pt>
                <c:pt idx="9">
                  <c:v>-12.787303330832774</c:v>
                </c:pt>
              </c:numCache>
            </c:numRef>
          </c:val>
          <c:smooth val="0"/>
          <c:extLst xmlns:c15="http://schemas.microsoft.com/office/drawing/2012/chart">
            <c:ext xmlns:c16="http://schemas.microsoft.com/office/drawing/2014/chart" uri="{C3380CC4-5D6E-409C-BE32-E72D297353CC}">
              <c16:uniqueId val="{00000003-2B38-487C-AA91-019930D99FD7}"/>
            </c:ext>
          </c:extLst>
        </c:ser>
        <c:dLbls>
          <c:showLegendKey val="0"/>
          <c:showVal val="0"/>
          <c:showCatName val="0"/>
          <c:showSerName val="0"/>
          <c:showPercent val="0"/>
          <c:showBubbleSize val="0"/>
        </c:dLbls>
        <c:marker val="1"/>
        <c:smooth val="0"/>
        <c:axId val="129606576"/>
        <c:axId val="1"/>
      </c:line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0.30822461308715726"/>
          <c:y val="0.72725909261342336"/>
          <c:w val="0.64320323106163457"/>
          <c:h val="0.1652782584869199"/>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53719885275604E-2"/>
          <c:y val="2.9289705120428874E-2"/>
          <c:w val="0.84188263207791381"/>
          <c:h val="0.89586906229755636"/>
        </c:manualLayout>
      </c:layout>
      <c:barChart>
        <c:barDir val="col"/>
        <c:grouping val="clustered"/>
        <c:varyColors val="0"/>
        <c:ser>
          <c:idx val="2"/>
          <c:order val="1"/>
          <c:tx>
            <c:strRef>
              <c:f>'External Sector'!$A$27</c:f>
              <c:strCache>
                <c:ptCount val="1"/>
                <c:pt idx="0">
                  <c:v>Reserves in Millions of Euro</c:v>
                </c:pt>
              </c:strCache>
            </c:strRef>
          </c:tx>
          <c:spPr>
            <a:solidFill>
              <a:srgbClr val="C00000"/>
            </a:solidFill>
            <a:ln>
              <a:solidFill>
                <a:srgbClr val="C00000"/>
              </a:solidFill>
            </a:ln>
          </c:spPr>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Sector'!$B$27:$K$27</c:f>
              <c:numCache>
                <c:formatCode>General</c:formatCode>
                <c:ptCount val="10"/>
                <c:pt idx="0">
                  <c:v>297.26171656355172</c:v>
                </c:pt>
                <c:pt idx="1">
                  <c:v>347.1483906859462</c:v>
                </c:pt>
                <c:pt idx="2">
                  <c:v>421.04600376338726</c:v>
                </c:pt>
                <c:pt idx="3">
                  <c:v>453.71528237723243</c:v>
                </c:pt>
                <c:pt idx="4">
                  <c:v>541.31712915188291</c:v>
                </c:pt>
                <c:pt idx="5">
                  <c:v>517.6530038370488</c:v>
                </c:pt>
                <c:pt idx="6">
                  <c:v>528.40399544946865</c:v>
                </c:pt>
                <c:pt idx="7">
                  <c:v>661.25800285028026</c:v>
                </c:pt>
                <c:pt idx="8">
                  <c:v>577.85360844799538</c:v>
                </c:pt>
                <c:pt idx="9">
                  <c:v>621.16888953770865</c:v>
                </c:pt>
              </c:numCache>
            </c:numRef>
          </c:val>
          <c:extLst xmlns:c15="http://schemas.microsoft.com/office/drawing/2012/chart">
            <c:ext xmlns:c16="http://schemas.microsoft.com/office/drawing/2014/chart" uri="{C3380CC4-5D6E-409C-BE32-E72D297353CC}">
              <c16:uniqueId val="{00000000-7D48-46B8-9D3E-038EB988F9E6}"/>
            </c:ext>
          </c:extLst>
        </c:ser>
        <c:dLbls>
          <c:showLegendKey val="0"/>
          <c:showVal val="0"/>
          <c:showCatName val="0"/>
          <c:showSerName val="0"/>
          <c:showPercent val="0"/>
          <c:showBubbleSize val="0"/>
        </c:dLbls>
        <c:gapWidth val="150"/>
        <c:axId val="129606576"/>
        <c:axId val="1"/>
      </c:barChart>
      <c:lineChart>
        <c:grouping val="standard"/>
        <c:varyColors val="0"/>
        <c:ser>
          <c:idx val="0"/>
          <c:order val="0"/>
          <c:tx>
            <c:strRef>
              <c:f>'External Sector'!$A$28</c:f>
              <c:strCache>
                <c:ptCount val="1"/>
                <c:pt idx="0">
                  <c:v>Reserves in months of current year imports (RHS)</c:v>
                </c:pt>
              </c:strCache>
            </c:strRef>
          </c:tx>
          <c:spPr>
            <a:ln w="38100"/>
          </c:spPr>
          <c:marker>
            <c:symbol val="none"/>
          </c:marker>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Sector'!$B$28:$K$28</c:f>
              <c:numCache>
                <c:formatCode>General</c:formatCode>
                <c:ptCount val="10"/>
                <c:pt idx="0">
                  <c:v>3.8251410040124272</c:v>
                </c:pt>
                <c:pt idx="1">
                  <c:v>4.7739304400729443</c:v>
                </c:pt>
                <c:pt idx="2">
                  <c:v>5.4280670536624891</c:v>
                </c:pt>
                <c:pt idx="3">
                  <c:v>6.6676311814390177</c:v>
                </c:pt>
                <c:pt idx="4">
                  <c:v>7.1818270628240803</c:v>
                </c:pt>
                <c:pt idx="5">
                  <c:v>5.8431751708513779</c:v>
                </c:pt>
                <c:pt idx="6">
                  <c:v>5.6079706757853511</c:v>
                </c:pt>
                <c:pt idx="7">
                  <c:v>6.8373409848227276</c:v>
                </c:pt>
                <c:pt idx="8">
                  <c:v>7.5543237217054005</c:v>
                </c:pt>
                <c:pt idx="9">
                  <c:v>7.8123702728484661</c:v>
                </c:pt>
              </c:numCache>
            </c:numRef>
          </c:val>
          <c:smooth val="0"/>
          <c:extLst>
            <c:ext xmlns:c16="http://schemas.microsoft.com/office/drawing/2014/chart" uri="{C3380CC4-5D6E-409C-BE32-E72D297353CC}">
              <c16:uniqueId val="{00000001-7D48-46B8-9D3E-038EB988F9E6}"/>
            </c:ext>
          </c:extLst>
        </c:ser>
        <c:dLbls>
          <c:showLegendKey val="0"/>
          <c:showVal val="0"/>
          <c:showCatName val="0"/>
          <c:showSerName val="0"/>
          <c:showPercent val="0"/>
          <c:showBubbleSize val="0"/>
        </c:dLbls>
        <c:marker val="1"/>
        <c:smooth val="0"/>
        <c:axId val="95859904"/>
        <c:axId val="95859072"/>
      </c:line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valAx>
        <c:axId val="95859072"/>
        <c:scaling>
          <c:orientation val="minMax"/>
        </c:scaling>
        <c:delete val="0"/>
        <c:axPos val="r"/>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95859904"/>
        <c:crosses val="max"/>
        <c:crossBetween val="between"/>
      </c:valAx>
      <c:catAx>
        <c:axId val="95859904"/>
        <c:scaling>
          <c:orientation val="minMax"/>
        </c:scaling>
        <c:delete val="1"/>
        <c:axPos val="b"/>
        <c:numFmt formatCode="General" sourceLinked="1"/>
        <c:majorTickMark val="out"/>
        <c:minorTickMark val="none"/>
        <c:tickLblPos val="nextTo"/>
        <c:crossAx val="95859072"/>
        <c:crosses val="autoZero"/>
        <c:auto val="1"/>
        <c:lblAlgn val="ctr"/>
        <c:lblOffset val="100"/>
        <c:noMultiLvlLbl val="0"/>
      </c:catAx>
      <c:spPr>
        <a:solidFill>
          <a:srgbClr val="FFFFFF"/>
        </a:solidFill>
        <a:ln w="3175">
          <a:solidFill>
            <a:srgbClr val="000000"/>
          </a:solidFill>
          <a:prstDash val="solid"/>
        </a:ln>
      </c:spPr>
    </c:plotArea>
    <c:legend>
      <c:legendPos val="r"/>
      <c:legendEntry>
        <c:idx val="0"/>
        <c:txPr>
          <a:bodyPr/>
          <a:lstStyle/>
          <a:p>
            <a:pPr>
              <a:defRPr sz="80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800">
                <a:latin typeface="Times New Roman" panose="02020603050405020304" pitchFamily="18" charset="0"/>
                <a:cs typeface="Times New Roman" panose="02020603050405020304" pitchFamily="18" charset="0"/>
              </a:defRPr>
            </a:pPr>
            <a:endParaRPr lang="en-US"/>
          </a:p>
        </c:txPr>
      </c:legendEntry>
      <c:layout>
        <c:manualLayout>
          <c:xMode val="edge"/>
          <c:yMode val="edge"/>
          <c:x val="0.10015240583496625"/>
          <c:y val="4.061307065810961E-2"/>
          <c:w val="0.57953201636862672"/>
          <c:h val="0.17178633457168002"/>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Remittances </a:t>
            </a:r>
          </a:p>
          <a:p>
            <a:pPr algn="ctr">
              <a:defRPr sz="800">
                <a:latin typeface="Times New Roman" panose="02020603050405020304" pitchFamily="18" charset="0"/>
                <a:cs typeface="Times New Roman" panose="02020603050405020304" pitchFamily="18" charset="0"/>
              </a:defRPr>
            </a:pPr>
            <a:r>
              <a:rPr lang="en-US" sz="800" b="0">
                <a:latin typeface="Times New Roman" panose="02020603050405020304" pitchFamily="18" charset="0"/>
                <a:cs typeface="Times New Roman" panose="02020603050405020304" pitchFamily="18" charset="0"/>
              </a:rPr>
              <a:t>(Percentage of GDP)</a:t>
            </a:r>
          </a:p>
        </c:rich>
      </c:tx>
      <c:layout>
        <c:manualLayout>
          <c:xMode val="edge"/>
          <c:yMode val="edge"/>
          <c:x val="0.35320982464119594"/>
          <c:y val="7.5454997689795009E-2"/>
        </c:manualLayout>
      </c:layout>
      <c:overlay val="0"/>
    </c:title>
    <c:autoTitleDeleted val="0"/>
    <c:plotArea>
      <c:layout>
        <c:manualLayout>
          <c:layoutTarget val="inner"/>
          <c:xMode val="edge"/>
          <c:yMode val="edge"/>
          <c:x val="8.0140518774907965E-2"/>
          <c:y val="2.2969394211125368E-2"/>
          <c:w val="0.89756793532567425"/>
          <c:h val="0.88970560107112118"/>
        </c:manualLayout>
      </c:layout>
      <c:barChart>
        <c:barDir val="col"/>
        <c:grouping val="clustered"/>
        <c:varyColors val="0"/>
        <c:ser>
          <c:idx val="2"/>
          <c:order val="0"/>
          <c:tx>
            <c:strRef>
              <c:f>'External Sector'!$A$21</c:f>
              <c:strCache>
                <c:ptCount val="1"/>
                <c:pt idx="0">
                  <c:v>Remittances</c:v>
                </c:pt>
              </c:strCache>
            </c:strRef>
          </c:tx>
          <c:spPr>
            <a:solidFill>
              <a:srgbClr val="0070C0"/>
            </a:solidFill>
            <a:ln>
              <a:solidFill>
                <a:srgbClr val="0070C0"/>
              </a:solidFill>
            </a:ln>
          </c:spPr>
          <c:invertIfNegative val="0"/>
          <c:cat>
            <c:numRef>
              <c:f>'External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'External Sector'!$B$21:$K$21</c:f>
              <c:numCache>
                <c:formatCode>#,##0.0</c:formatCode>
                <c:ptCount val="10"/>
                <c:pt idx="0">
                  <c:v>9.5642446706583009</c:v>
                </c:pt>
                <c:pt idx="1">
                  <c:v>8.9637801829182475</c:v>
                </c:pt>
                <c:pt idx="2">
                  <c:v>10.026968103321423</c:v>
                </c:pt>
                <c:pt idx="3">
                  <c:v>11.716074068746579</c:v>
                </c:pt>
                <c:pt idx="4">
                  <c:v>10.066263936510435</c:v>
                </c:pt>
                <c:pt idx="5">
                  <c:v>9.3358687793969821</c:v>
                </c:pt>
                <c:pt idx="6">
                  <c:v>9.3091356084607533</c:v>
                </c:pt>
                <c:pt idx="7">
                  <c:v>9.7188054211198889</c:v>
                </c:pt>
                <c:pt idx="8">
                  <c:v>11.929107409021118</c:v>
                </c:pt>
                <c:pt idx="9">
                  <c:v>13.848595360848414</c:v>
                </c:pt>
              </c:numCache>
            </c:numRef>
          </c:val>
          <c:extLst xmlns:c15="http://schemas.microsoft.com/office/drawing/2012/chart">
            <c:ext xmlns:c16="http://schemas.microsoft.com/office/drawing/2014/chart" uri="{C3380CC4-5D6E-409C-BE32-E72D297353CC}">
              <c16:uniqueId val="{00000000-CFE4-49BE-9B72-6878B6C1F291}"/>
            </c:ext>
          </c:extLst>
        </c:ser>
        <c:dLbls>
          <c:showLegendKey val="0"/>
          <c:showVal val="0"/>
          <c:showCatName val="0"/>
          <c:showSerName val="0"/>
          <c:showPercent val="0"/>
          <c:showBubbleSize val="0"/>
        </c:dLbls>
        <c:gapWidth val="150"/>
        <c:axId val="129606576"/>
        <c:axId val="1"/>
      </c:bar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900">
                <a:latin typeface="Times New Roman" panose="02020603050405020304" pitchFamily="18" charset="0"/>
                <a:cs typeface="Times New Roman" panose="02020603050405020304" pitchFamily="18" charset="0"/>
              </a:rPr>
              <a:t>Fiscal Sector Performance</a:t>
            </a:r>
          </a:p>
          <a:p>
            <a:pPr>
              <a:defRPr/>
            </a:pPr>
            <a:r>
              <a:rPr lang="en-US" sz="900">
                <a:latin typeface="Times New Roman" panose="02020603050405020304" pitchFamily="18" charset="0"/>
                <a:cs typeface="Times New Roman" panose="02020603050405020304" pitchFamily="18" charset="0"/>
              </a:rPr>
              <a:t> </a:t>
            </a:r>
            <a:r>
              <a:rPr lang="en-US" sz="900" b="0">
                <a:latin typeface="Times New Roman" panose="02020603050405020304" pitchFamily="18" charset="0"/>
                <a:cs typeface="Times New Roman" panose="02020603050405020304" pitchFamily="18" charset="0"/>
              </a:rPr>
              <a:t>(Percent of GDP)</a:t>
            </a:r>
          </a:p>
        </c:rich>
      </c:tx>
      <c:overlay val="0"/>
    </c:title>
    <c:autoTitleDeleted val="0"/>
    <c:plotArea>
      <c:layout>
        <c:manualLayout>
          <c:layoutTarget val="inner"/>
          <c:xMode val="edge"/>
          <c:yMode val="edge"/>
          <c:x val="9.3360698043400053E-2"/>
          <c:y val="2.9289705120428874E-2"/>
          <c:w val="0.89042866551855371"/>
          <c:h val="0.89586906229755636"/>
        </c:manualLayout>
      </c:layout>
      <c:barChart>
        <c:barDir val="col"/>
        <c:grouping val="clustered"/>
        <c:varyColors val="0"/>
        <c:ser>
          <c:idx val="0"/>
          <c:order val="1"/>
          <c:tx>
            <c:strRef>
              <c:f>'Fiscal Sector'!$A$4</c:f>
              <c:strCache>
                <c:ptCount val="1"/>
                <c:pt idx="0">
                  <c:v>Revenues and grants</c:v>
                </c:pt>
              </c:strCache>
            </c:strRef>
          </c:tx>
          <c:spPr>
            <a:solidFill>
              <a:srgbClr val="0070C0"/>
            </a:solidFill>
          </c:spPr>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Sector'!$B$4:$K$4</c:f>
              <c:numCache>
                <c:formatCode>#,##0.0</c:formatCode>
                <c:ptCount val="10"/>
                <c:pt idx="0">
                  <c:v>24.40166</c:v>
                </c:pt>
                <c:pt idx="1">
                  <c:v>24.53492</c:v>
                </c:pt>
                <c:pt idx="2">
                  <c:v>22.874639999999999</c:v>
                </c:pt>
                <c:pt idx="3">
                  <c:v>26.892160000000001</c:v>
                </c:pt>
                <c:pt idx="4">
                  <c:v>26.60567</c:v>
                </c:pt>
                <c:pt idx="5">
                  <c:v>28.59928</c:v>
                </c:pt>
                <c:pt idx="6">
                  <c:v>28.185379999999999</c:v>
                </c:pt>
                <c:pt idx="7">
                  <c:v>29.396899999999999</c:v>
                </c:pt>
                <c:pt idx="8">
                  <c:v>26.479120000000002</c:v>
                </c:pt>
                <c:pt idx="9">
                  <c:v>25.797599999999999</c:v>
                </c:pt>
              </c:numCache>
            </c:numRef>
          </c:val>
          <c:extLst>
            <c:ext xmlns:c16="http://schemas.microsoft.com/office/drawing/2014/chart" uri="{C3380CC4-5D6E-409C-BE32-E72D297353CC}">
              <c16:uniqueId val="{00000000-0960-47E6-9B5E-A79890236185}"/>
            </c:ext>
          </c:extLst>
        </c:ser>
        <c:ser>
          <c:idx val="1"/>
          <c:order val="2"/>
          <c:tx>
            <c:strRef>
              <c:f>'Fiscal Sector'!$A$5</c:f>
              <c:strCache>
                <c:ptCount val="1"/>
                <c:pt idx="0">
                  <c:v>Expenditures</c:v>
                </c:pt>
              </c:strCache>
            </c:strRef>
          </c:tx>
          <c:invertIfNegative val="0"/>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Sector'!$B$5:$K$5</c:f>
              <c:numCache>
                <c:formatCode>#,##0.0</c:formatCode>
                <c:ptCount val="10"/>
                <c:pt idx="0">
                  <c:v>34.686279999999996</c:v>
                </c:pt>
                <c:pt idx="1">
                  <c:v>33.843330000000002</c:v>
                </c:pt>
                <c:pt idx="2">
                  <c:v>30.487259999999999</c:v>
                </c:pt>
                <c:pt idx="3">
                  <c:v>31.447610000000001</c:v>
                </c:pt>
                <c:pt idx="4">
                  <c:v>29.640550000000001</c:v>
                </c:pt>
                <c:pt idx="5">
                  <c:v>31.5717</c:v>
                </c:pt>
                <c:pt idx="6">
                  <c:v>30.887409999999999</c:v>
                </c:pt>
                <c:pt idx="7">
                  <c:v>31.83447</c:v>
                </c:pt>
                <c:pt idx="8">
                  <c:v>35.385930000000002</c:v>
                </c:pt>
                <c:pt idx="9">
                  <c:v>34.644039999999997</c:v>
                </c:pt>
              </c:numCache>
            </c:numRef>
          </c:val>
          <c:extLst>
            <c:ext xmlns:c16="http://schemas.microsoft.com/office/drawing/2014/chart" uri="{C3380CC4-5D6E-409C-BE32-E72D297353CC}">
              <c16:uniqueId val="{00000001-0960-47E6-9B5E-A79890236185}"/>
            </c:ext>
          </c:extLst>
        </c:ser>
        <c:dLbls>
          <c:showLegendKey val="0"/>
          <c:showVal val="0"/>
          <c:showCatName val="0"/>
          <c:showSerName val="0"/>
          <c:showPercent val="0"/>
          <c:showBubbleSize val="0"/>
        </c:dLbls>
        <c:gapWidth val="150"/>
        <c:axId val="129606576"/>
        <c:axId val="1"/>
      </c:barChart>
      <c:lineChart>
        <c:grouping val="standard"/>
        <c:varyColors val="0"/>
        <c:ser>
          <c:idx val="2"/>
          <c:order val="0"/>
          <c:tx>
            <c:strRef>
              <c:f>'Fiscal Sector'!$A$3</c:f>
              <c:strCache>
                <c:ptCount val="1"/>
                <c:pt idx="0">
                  <c:v>Overall balance</c:v>
                </c:pt>
              </c:strCache>
            </c:strRef>
          </c:tx>
          <c:spPr>
            <a:ln w="25400">
              <a:solidFill>
                <a:schemeClr val="tx1"/>
              </a:solidFill>
            </a:ln>
          </c:spPr>
          <c:marker>
            <c:symbol val="none"/>
          </c:marker>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Sector'!$B$3:$K$3</c:f>
              <c:numCache>
                <c:formatCode>#,##0.0</c:formatCode>
                <c:ptCount val="10"/>
                <c:pt idx="0">
                  <c:v>-10.28462</c:v>
                </c:pt>
                <c:pt idx="1">
                  <c:v>-9.3084100000000003</c:v>
                </c:pt>
                <c:pt idx="2">
                  <c:v>-7.6126199999999997</c:v>
                </c:pt>
                <c:pt idx="3">
                  <c:v>-4.5554600000000001</c:v>
                </c:pt>
                <c:pt idx="4">
                  <c:v>-3.0348700000000002</c:v>
                </c:pt>
                <c:pt idx="5">
                  <c:v>-2.9724200000000001</c:v>
                </c:pt>
                <c:pt idx="6">
                  <c:v>-2.7020300000000002</c:v>
                </c:pt>
                <c:pt idx="7">
                  <c:v>-2.43757</c:v>
                </c:pt>
                <c:pt idx="8">
                  <c:v>-8.9068100000000001</c:v>
                </c:pt>
                <c:pt idx="9">
                  <c:v>-8.8464399999999994</c:v>
                </c:pt>
              </c:numCache>
            </c:numRef>
          </c:val>
          <c:smooth val="0"/>
          <c:extLst xmlns:c15="http://schemas.microsoft.com/office/drawing/2012/chart">
            <c:ext xmlns:c16="http://schemas.microsoft.com/office/drawing/2014/chart" uri="{C3380CC4-5D6E-409C-BE32-E72D297353CC}">
              <c16:uniqueId val="{00000002-0960-47E6-9B5E-A79890236185}"/>
            </c:ext>
          </c:extLst>
        </c:ser>
        <c:ser>
          <c:idx val="3"/>
          <c:order val="3"/>
          <c:tx>
            <c:strRef>
              <c:f>'Fiscal Sector'!$A$6</c:f>
              <c:strCache>
                <c:ptCount val="1"/>
                <c:pt idx="0">
                  <c:v>Primary balance</c:v>
                </c:pt>
              </c:strCache>
            </c:strRef>
          </c:tx>
          <c:spPr>
            <a:ln w="25400">
              <a:solidFill>
                <a:srgbClr val="C00000"/>
              </a:solidFill>
            </a:ln>
          </c:spPr>
          <c:marker>
            <c:symbol val="none"/>
          </c:marker>
          <c:cat>
            <c:numRef>
              <c:f>'Fiscal Sector'!$B$1:$K$1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'Fiscal Sector'!$B$6:$K$6</c:f>
              <c:numCache>
                <c:formatCode>#,##0.0</c:formatCode>
                <c:ptCount val="10"/>
                <c:pt idx="0">
                  <c:v>-8.3839199999999998</c:v>
                </c:pt>
                <c:pt idx="1">
                  <c:v>-7.1074999999999999</c:v>
                </c:pt>
                <c:pt idx="2">
                  <c:v>-5.3825500000000002</c:v>
                </c:pt>
                <c:pt idx="3">
                  <c:v>-1.95041</c:v>
                </c:pt>
                <c:pt idx="4">
                  <c:v>-0.48753000000000002</c:v>
                </c:pt>
                <c:pt idx="5">
                  <c:v>-0.35918</c:v>
                </c:pt>
                <c:pt idx="6">
                  <c:v>-0.15031</c:v>
                </c:pt>
                <c:pt idx="7">
                  <c:v>0.19631000000000001</c:v>
                </c:pt>
                <c:pt idx="8">
                  <c:v>-6.0321800000000003</c:v>
                </c:pt>
                <c:pt idx="9">
                  <c:v>-5.4046200000000004</c:v>
                </c:pt>
              </c:numCache>
            </c:numRef>
          </c:val>
          <c:smooth val="0"/>
          <c:extLst>
            <c:ext xmlns:c16="http://schemas.microsoft.com/office/drawing/2014/chart" uri="{C3380CC4-5D6E-409C-BE32-E72D297353CC}">
              <c16:uniqueId val="{00000003-0960-47E6-9B5E-A79890236185}"/>
            </c:ext>
          </c:extLst>
        </c:ser>
        <c:dLbls>
          <c:showLegendKey val="0"/>
          <c:showVal val="0"/>
          <c:showCatName val="0"/>
          <c:showSerName val="0"/>
          <c:showPercent val="0"/>
          <c:showBubbleSize val="0"/>
        </c:dLbls>
        <c:marker val="1"/>
        <c:smooth val="0"/>
        <c:axId val="129606576"/>
        <c:axId val="1"/>
      </c:lineChart>
      <c:catAx>
        <c:axId val="129606576"/>
        <c:scaling>
          <c:orientation val="minMax"/>
        </c:scaling>
        <c:delete val="0"/>
        <c:axPos val="b"/>
        <c:numFmt formatCode="General" sourceLinked="1"/>
        <c:majorTickMark val="none"/>
        <c:minorTickMark val="none"/>
        <c:tickLblPos val="low"/>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
        <c:crosses val="autoZero"/>
        <c:auto val="1"/>
        <c:lblAlgn val="ctr"/>
        <c:lblOffset val="100"/>
        <c:noMultiLvlLbl val="0"/>
      </c:catAx>
      <c:valAx>
        <c:axId val="1"/>
        <c:scaling>
          <c:orientation val="minMax"/>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900" b="0" i="0" u="none" strike="noStrike" kern="1200" baseline="0">
                <a:solidFill>
                  <a:srgbClr val="000000"/>
                </a:solidFill>
                <a:latin typeface="Times New Roman" panose="02020603050405020304" pitchFamily="18" charset="0"/>
                <a:ea typeface="Segoe UI"/>
                <a:cs typeface="Times New Roman" panose="02020603050405020304" pitchFamily="18" charset="0"/>
              </a:defRPr>
            </a:pPr>
            <a:endParaRPr lang="en-US"/>
          </a:p>
        </c:txPr>
        <c:crossAx val="129606576"/>
        <c:crosses val="autoZero"/>
        <c:crossBetween val="between"/>
      </c:valAx>
      <c:spPr>
        <a:solidFill>
          <a:srgbClr val="FFFFFF"/>
        </a:solidFill>
        <a:ln w="3175">
          <a:solidFill>
            <a:srgbClr val="000000"/>
          </a:solidFill>
          <a:prstDash val="solid"/>
        </a:ln>
      </c:spPr>
    </c:plotArea>
    <c:legend>
      <c:legendPos val="r"/>
      <c:layout>
        <c:manualLayout>
          <c:xMode val="edge"/>
          <c:yMode val="edge"/>
          <c:x val="0.10162677322363618"/>
          <c:y val="0.79911969977683273"/>
          <c:w val="0.85221626459205058"/>
          <c:h val="0.11949058114136535"/>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a:ln w="6350">
      <a:noFill/>
    </a:ln>
  </c:spPr>
  <c:txPr>
    <a:bodyPr/>
    <a:lstStyle/>
    <a:p>
      <a:pPr>
        <a:defRPr sz="700">
          <a:solidFill>
            <a:srgbClr val="000000"/>
          </a:solidFill>
          <a:latin typeface="Segoe UI"/>
          <a:ea typeface="Segoe UI"/>
          <a:cs typeface="Segoe U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A44B572E43692D489BEB719EA47463C3" ma:contentTypeVersion="3" ma:contentTypeDescription="" ma:contentTypeScope="" ma:versionID="306d160c2ab0a6214e330f164b32917c">
  <xsd:schema xmlns:xsd="http://www.w3.org/2001/XMLSchema" xmlns:xs="http://www.w3.org/2001/XMLSchema" xmlns:p="http://schemas.microsoft.com/office/2006/metadata/properties" xmlns:ns2="b99a068c-3844-4a16-badd-77233eea0529" targetNamespace="http://schemas.microsoft.com/office/2006/metadata/properties" ma:root="true" ma:fieldsID="9e5c391b06ffd9c02d8abc9ac69e1a4e"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Authors xmlns="b99a068c-3844-4a16-badd-77233eea0529">000178373:Theresa Adobea Bampoe:tbampoe@worldbank.org;</DocAuthors>
    <Authors xmlns="b99a068c-3844-4a16-badd-77233eea0529">
      <UserInfo>
        <DisplayName>i:0#.w|wb\wb178373</DisplayName>
        <AccountId>2082</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PE09:9.Deliberative;</PolicyExceptions>
    <IsTemplate xmlns="b99a068c-3844-4a16-badd-77233eea0529">false</IsTemplate>
    <HasUserUploaded xmlns="b99a068c-3844-4a16-badd-77233eea0529">true</HasUserUploaded>
    <DocumentDate xmlns="b99a068c-3844-4a16-badd-77233eea0529">2022-03-28T04:00:00+00:00</DocumentDate>
    <WBDocType xmlns="b99a068c-3844-4a16-badd-77233eea0529">Report</WBDocType>
    <SecurityClassification xmlns="b99a068c-3844-4a16-badd-77233eea0529">Official use only</SecurityClassification>
    <DeliverableID xmlns="b99a068c-3844-4a16-badd-77233eea0529">DLV0539576</DeliverableID>
    <ProjectID xmlns="b99a068c-3844-4a16-badd-77233eea0529">P177423</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37CFDABF-1338-446D-8A86-86EE2DDECC9B}">
  <ds:schemaRefs>
    <ds:schemaRef ds:uri="http://schemas.microsoft.com/sharepoint/v3/contenttype/forms"/>
  </ds:schemaRefs>
</ds:datastoreItem>
</file>

<file path=customXml/itemProps2.xml><?xml version="1.0" encoding="utf-8"?>
<ds:datastoreItem xmlns:ds="http://schemas.openxmlformats.org/officeDocument/2006/customXml" ds:itemID="{56411859-B1B3-4AAE-9314-513328B4B105}">
  <ds:schemaRefs>
    <ds:schemaRef ds:uri="http://schemas.openxmlformats.org/officeDocument/2006/bibliography"/>
  </ds:schemaRefs>
</ds:datastoreItem>
</file>

<file path=customXml/itemProps3.xml><?xml version="1.0" encoding="utf-8"?>
<ds:datastoreItem xmlns:ds="http://schemas.openxmlformats.org/officeDocument/2006/customXml" ds:itemID="{ACD19EB0-21F6-4E92-825B-71F10D232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6197C-AD55-43BA-8CA7-FDE28E4810B0}">
  <ds:schemaRefs>
    <ds:schemaRef ds:uri="http://schemas.microsoft.com/office/2006/metadata/properties"/>
    <ds:schemaRef ds:uri="http://schemas.microsoft.com/office/infopath/2007/PartnerControls"/>
    <ds:schemaRef ds:uri="b99a068c-3844-4a16-badd-77233eea0529"/>
  </ds:schemaRefs>
</ds:datastoreItem>
</file>

<file path=customXml/itemProps5.xml><?xml version="1.0" encoding="utf-8"?>
<ds:datastoreItem xmlns:ds="http://schemas.openxmlformats.org/officeDocument/2006/customXml" ds:itemID="{BF097737-F4B9-4D14-8F8E-F6ECE55D020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18621</Words>
  <Characters>106145</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Cabo Verde - Potential Digital Dividends</vt:lpstr>
    </vt:vector>
  </TitlesOfParts>
  <Company/>
  <LinksUpToDate>false</LinksUpToDate>
  <CharactersWithSpaces>124517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Cabo Verde - Potential Digital Dividends</dc:title>
  <dc:subject/>
  <dc:creator>Rosa Brito Delgado</dc:creator>
  <cp:keywords/>
  <dc:description/>
  <cp:lastModifiedBy>Rosa Oteldina Delgado De Brito Delgado</cp:lastModifiedBy>
  <cp:revision>2</cp:revision>
  <cp:lastPrinted>2022-05-24T23:08:00Z</cp:lastPrinted>
  <dcterms:created xsi:type="dcterms:W3CDTF">2022-06-24T11:47:00Z</dcterms:created>
  <dcterms:modified xsi:type="dcterms:W3CDTF">2022-06-24T11:47:00Z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0x01010054E0FEF4951F9D49A6F48A35419983C700A44B572E43692D489BEB719EA47463C3</vt:lpwstr>
  </property>
  <property fmtid="{D5CDD505-2E9C-101B-9397-08002B2CF9AE}" pid="3" name="WbDocsObjectId">
    <vt:lpwstr/>
  </property>
  <property fmtid="{D5CDD505-2E9C-101B-9397-08002B2CF9AE}" pid="4" name="RatedBy">
    <vt:lpwstr/>
  </property>
  <property fmtid="{D5CDD505-2E9C-101B-9397-08002B2CF9AE}" pid="5" name="IsDocumentTagged">
    <vt:lpwstr/>
  </property>
  <property fmtid="{D5CDD505-2E9C-101B-9397-08002B2CF9AE}" pid="6" name="LikedBy">
    <vt:lpwstr/>
  </property>
</Properties>
</file>