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C6C46" w14:textId="73C24D7B" w:rsidR="009732EA" w:rsidRDefault="00CA74D4" w:rsidP="00A4299E">
      <w:pPr>
        <w:jc w:val="center"/>
        <w:rPr>
          <w:rFonts w:ascii="Times New Roman" w:hAnsi="Times New Roman" w:cs="Times New Roman"/>
          <w:b/>
          <w:sz w:val="24"/>
          <w:szCs w:val="24"/>
        </w:rPr>
      </w:pPr>
      <w:r w:rsidRPr="005E2B16">
        <w:rPr>
          <w:rFonts w:ascii="Times New Roman" w:hAnsi="Times New Roman" w:cs="Times New Roman"/>
          <w:b/>
          <w:sz w:val="24"/>
          <w:szCs w:val="24"/>
        </w:rPr>
        <w:t>E</w:t>
      </w:r>
      <w:r w:rsidR="00CC0F6E" w:rsidRPr="005E2B16">
        <w:rPr>
          <w:rFonts w:ascii="Times New Roman" w:hAnsi="Times New Roman" w:cs="Times New Roman"/>
          <w:b/>
          <w:sz w:val="24"/>
          <w:szCs w:val="24"/>
        </w:rPr>
        <w:t xml:space="preserve">xploring Multidimensional Fiscal Incentives </w:t>
      </w:r>
      <w:r w:rsidR="0067630F">
        <w:rPr>
          <w:rFonts w:ascii="Times New Roman" w:hAnsi="Times New Roman" w:cs="Times New Roman"/>
          <w:b/>
          <w:sz w:val="24"/>
          <w:szCs w:val="24"/>
        </w:rPr>
        <w:t xml:space="preserve">and </w:t>
      </w:r>
      <w:r w:rsidR="0067630F" w:rsidRPr="005E2B16">
        <w:rPr>
          <w:rFonts w:ascii="Times New Roman" w:hAnsi="Times New Roman" w:cs="Times New Roman"/>
          <w:b/>
          <w:sz w:val="24"/>
          <w:szCs w:val="24"/>
        </w:rPr>
        <w:t xml:space="preserve">Firms’ Productivity </w:t>
      </w:r>
      <w:r w:rsidR="00CC0F6E" w:rsidRPr="005E2B16">
        <w:rPr>
          <w:rFonts w:ascii="Times New Roman" w:hAnsi="Times New Roman" w:cs="Times New Roman"/>
          <w:b/>
          <w:sz w:val="24"/>
          <w:szCs w:val="24"/>
        </w:rPr>
        <w:t>in a Developing Country</w:t>
      </w:r>
    </w:p>
    <w:p w14:paraId="78F09644" w14:textId="7007EA68" w:rsidR="00BE7F60" w:rsidRPr="00DD6638" w:rsidRDefault="00BE7F60" w:rsidP="00BE7F60">
      <w:pPr>
        <w:autoSpaceDE w:val="0"/>
        <w:autoSpaceDN w:val="0"/>
        <w:adjustRightInd w:val="0"/>
        <w:spacing w:after="0" w:line="240" w:lineRule="auto"/>
        <w:jc w:val="center"/>
        <w:rPr>
          <w:rFonts w:ascii="Times New Roman" w:hAnsi="Times New Roman" w:cs="Times New Roman"/>
          <w:b/>
          <w:sz w:val="24"/>
          <w:szCs w:val="24"/>
        </w:rPr>
      </w:pPr>
      <w:r w:rsidRPr="00BB5233">
        <w:rPr>
          <w:rFonts w:ascii="Times New Roman" w:hAnsi="Times New Roman" w:cs="Times New Roman"/>
          <w:b/>
          <w:sz w:val="24"/>
          <w:szCs w:val="24"/>
        </w:rPr>
        <w:t>EFOBI UCHENNA Rapuluchukwu</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TANANKEM VOUFO Belmondo</w:t>
      </w:r>
      <w:r>
        <w:rPr>
          <w:rStyle w:val="FootnoteReference"/>
          <w:rFonts w:ascii="Times New Roman" w:hAnsi="Times New Roman" w:cs="Times New Roman"/>
          <w:b/>
          <w:sz w:val="24"/>
          <w:szCs w:val="24"/>
        </w:rPr>
        <w:footnoteReference w:id="2"/>
      </w:r>
      <w:r>
        <w:rPr>
          <w:rFonts w:ascii="Times New Roman" w:hAnsi="Times New Roman" w:cs="Times New Roman"/>
          <w:b/>
          <w:sz w:val="24"/>
          <w:szCs w:val="24"/>
        </w:rPr>
        <w:t xml:space="preserve"> and BEECROFT Ibukun</w:t>
      </w:r>
      <w:r w:rsidRPr="004038DC">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p>
    <w:p w14:paraId="440E03BD" w14:textId="77777777" w:rsidR="00BE7F60" w:rsidRPr="005E2B16" w:rsidRDefault="00BE7F60" w:rsidP="00A4299E">
      <w:pPr>
        <w:jc w:val="center"/>
        <w:rPr>
          <w:rFonts w:ascii="Times New Roman" w:hAnsi="Times New Roman" w:cs="Times New Roman"/>
          <w:b/>
          <w:sz w:val="24"/>
          <w:szCs w:val="24"/>
        </w:rPr>
      </w:pPr>
    </w:p>
    <w:p w14:paraId="6FA4F34E" w14:textId="77777777" w:rsidR="005E2B16" w:rsidRPr="005E2B16" w:rsidRDefault="005E2B16" w:rsidP="005E2B16">
      <w:pPr>
        <w:spacing w:after="0"/>
        <w:rPr>
          <w:rFonts w:ascii="Times New Roman" w:hAnsi="Times New Roman" w:cs="Times New Roman"/>
          <w:b/>
          <w:sz w:val="24"/>
          <w:szCs w:val="24"/>
        </w:rPr>
      </w:pPr>
      <w:r w:rsidRPr="005E2B16">
        <w:rPr>
          <w:rFonts w:ascii="Times New Roman" w:hAnsi="Times New Roman" w:cs="Times New Roman"/>
          <w:b/>
          <w:sz w:val="24"/>
          <w:szCs w:val="24"/>
        </w:rPr>
        <w:t>Abstract</w:t>
      </w:r>
    </w:p>
    <w:p w14:paraId="2616D79F" w14:textId="100704FA" w:rsidR="005E2B16" w:rsidRPr="005E2B16" w:rsidRDefault="005E2B16" w:rsidP="005E2B16">
      <w:pPr>
        <w:autoSpaceDE w:val="0"/>
        <w:autoSpaceDN w:val="0"/>
        <w:adjustRightInd w:val="0"/>
        <w:spacing w:after="0" w:line="240" w:lineRule="auto"/>
        <w:jc w:val="both"/>
        <w:rPr>
          <w:rFonts w:ascii="Times New Roman" w:hAnsi="Times New Roman" w:cs="Times New Roman"/>
          <w:color w:val="292526"/>
          <w:sz w:val="24"/>
          <w:szCs w:val="24"/>
        </w:rPr>
      </w:pPr>
      <w:r w:rsidRPr="005E2B16">
        <w:rPr>
          <w:rFonts w:ascii="Times New Roman" w:hAnsi="Times New Roman" w:cs="Times New Roman"/>
          <w:color w:val="292526"/>
          <w:sz w:val="24"/>
          <w:szCs w:val="24"/>
        </w:rPr>
        <w:t>This paper investigates the impact of fiscal incentives on firms’ productivity using Cameroonian firms as a case. We use data from the World Bank Enterprise Survey for over 300 firms to calculate the productivity of firms. The Enterprise Survey also contain</w:t>
      </w:r>
      <w:r w:rsidR="009A05F8">
        <w:rPr>
          <w:rFonts w:ascii="Times New Roman" w:hAnsi="Times New Roman" w:cs="Times New Roman"/>
          <w:color w:val="292526"/>
          <w:sz w:val="24"/>
          <w:szCs w:val="24"/>
        </w:rPr>
        <w:t>s</w:t>
      </w:r>
      <w:bookmarkStart w:id="0" w:name="_GoBack"/>
      <w:bookmarkEnd w:id="0"/>
      <w:r w:rsidRPr="005E2B16">
        <w:rPr>
          <w:rFonts w:ascii="Times New Roman" w:hAnsi="Times New Roman" w:cs="Times New Roman"/>
          <w:color w:val="292526"/>
          <w:sz w:val="24"/>
          <w:szCs w:val="24"/>
        </w:rPr>
        <w:t xml:space="preserve"> unique measures of assessing firms’ beneficiary status from different categories of fiscal incentives such as import duty exemption, profit tax exemption and export financing</w:t>
      </w:r>
      <w:r w:rsidR="00BD5FD0">
        <w:rPr>
          <w:rFonts w:ascii="Times New Roman" w:hAnsi="Times New Roman" w:cs="Times New Roman"/>
          <w:color w:val="292526"/>
          <w:sz w:val="24"/>
          <w:szCs w:val="24"/>
        </w:rPr>
        <w:t>, which we then used t</w:t>
      </w:r>
      <w:r w:rsidRPr="005E2B16">
        <w:rPr>
          <w:rFonts w:ascii="Times New Roman" w:hAnsi="Times New Roman" w:cs="Times New Roman"/>
          <w:color w:val="292526"/>
          <w:sz w:val="24"/>
          <w:szCs w:val="24"/>
        </w:rPr>
        <w:t>he propensity score matching technique</w:t>
      </w:r>
      <w:r w:rsidR="00BD5FD0">
        <w:rPr>
          <w:rFonts w:ascii="Times New Roman" w:hAnsi="Times New Roman" w:cs="Times New Roman"/>
          <w:color w:val="292526"/>
          <w:sz w:val="24"/>
          <w:szCs w:val="24"/>
        </w:rPr>
        <w:t xml:space="preserve"> to compute the impact on productivity</w:t>
      </w:r>
      <w:r w:rsidRPr="005E2B16">
        <w:rPr>
          <w:rFonts w:ascii="Times New Roman" w:hAnsi="Times New Roman" w:cs="Times New Roman"/>
          <w:color w:val="292526"/>
          <w:sz w:val="24"/>
          <w:szCs w:val="24"/>
        </w:rPr>
        <w:t xml:space="preserve">. Our results show a significant and positive impact of the productivity of firms that benefit from profit tax exemption and export financing. However, when considering import duty exemption, the significance of this variable was not consistent. The paper thus provides support for the argument that the government’s involvement in the firm should be targeted at rewarding outputs and not supporting processes, and thus </w:t>
      </w:r>
      <w:r w:rsidR="00207320">
        <w:rPr>
          <w:rFonts w:ascii="Times New Roman" w:hAnsi="Times New Roman" w:cs="Times New Roman"/>
          <w:color w:val="292526"/>
          <w:sz w:val="24"/>
          <w:szCs w:val="24"/>
        </w:rPr>
        <w:t>provides an essential element for</w:t>
      </w:r>
      <w:r w:rsidRPr="005E2B16">
        <w:rPr>
          <w:rFonts w:ascii="Times New Roman" w:hAnsi="Times New Roman" w:cs="Times New Roman"/>
          <w:color w:val="292526"/>
          <w:sz w:val="24"/>
          <w:szCs w:val="24"/>
        </w:rPr>
        <w:t xml:space="preserve"> a</w:t>
      </w:r>
      <w:r w:rsidR="00C5083F">
        <w:rPr>
          <w:rFonts w:ascii="Times New Roman" w:hAnsi="Times New Roman" w:cs="Times New Roman"/>
          <w:color w:val="292526"/>
          <w:sz w:val="24"/>
          <w:szCs w:val="24"/>
        </w:rPr>
        <w:t>n effective</w:t>
      </w:r>
      <w:r w:rsidRPr="005E2B16">
        <w:rPr>
          <w:rFonts w:ascii="Times New Roman" w:hAnsi="Times New Roman" w:cs="Times New Roman"/>
          <w:color w:val="292526"/>
          <w:sz w:val="24"/>
          <w:szCs w:val="24"/>
        </w:rPr>
        <w:t xml:space="preserve"> industrialisation</w:t>
      </w:r>
      <w:r w:rsidR="00C5083F">
        <w:rPr>
          <w:rFonts w:ascii="Times New Roman" w:hAnsi="Times New Roman" w:cs="Times New Roman"/>
          <w:color w:val="292526"/>
          <w:sz w:val="24"/>
          <w:szCs w:val="24"/>
        </w:rPr>
        <w:t xml:space="preserve"> strategy</w:t>
      </w:r>
      <w:r w:rsidRPr="005E2B16">
        <w:rPr>
          <w:rFonts w:ascii="Times New Roman" w:hAnsi="Times New Roman" w:cs="Times New Roman"/>
          <w:color w:val="292526"/>
          <w:sz w:val="24"/>
          <w:szCs w:val="24"/>
        </w:rPr>
        <w:t>.</w:t>
      </w:r>
    </w:p>
    <w:p w14:paraId="555AC8E6" w14:textId="77777777" w:rsidR="005E2B16" w:rsidRDefault="005E2B16" w:rsidP="005E2B16">
      <w:pPr>
        <w:autoSpaceDE w:val="0"/>
        <w:autoSpaceDN w:val="0"/>
        <w:adjustRightInd w:val="0"/>
        <w:spacing w:after="0" w:line="240" w:lineRule="auto"/>
        <w:jc w:val="both"/>
        <w:rPr>
          <w:rFonts w:ascii="Times New Roman" w:hAnsi="Times New Roman" w:cs="Times New Roman"/>
          <w:color w:val="292526"/>
          <w:sz w:val="24"/>
          <w:szCs w:val="24"/>
        </w:rPr>
      </w:pPr>
    </w:p>
    <w:p w14:paraId="65AF223E" w14:textId="77777777" w:rsidR="0067630F" w:rsidRPr="005E2B16" w:rsidRDefault="0067630F" w:rsidP="005E2B16">
      <w:pPr>
        <w:autoSpaceDE w:val="0"/>
        <w:autoSpaceDN w:val="0"/>
        <w:adjustRightInd w:val="0"/>
        <w:spacing w:after="0" w:line="240" w:lineRule="auto"/>
        <w:jc w:val="both"/>
        <w:rPr>
          <w:rFonts w:ascii="Times New Roman" w:hAnsi="Times New Roman" w:cs="Times New Roman"/>
          <w:color w:val="292526"/>
          <w:sz w:val="24"/>
          <w:szCs w:val="24"/>
        </w:rPr>
      </w:pPr>
    </w:p>
    <w:p w14:paraId="4B5FB0FC" w14:textId="62BD58A8" w:rsidR="00062803" w:rsidRPr="00062803" w:rsidRDefault="00062803" w:rsidP="005E2B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Key Words: Developing Countries; Firm Analysis; Fiscal Incentives; Productivity</w:t>
      </w:r>
    </w:p>
    <w:p w14:paraId="349939F2" w14:textId="77777777" w:rsidR="00D27CFB" w:rsidRDefault="005E2B16" w:rsidP="005E2B16">
      <w:pPr>
        <w:autoSpaceDE w:val="0"/>
        <w:autoSpaceDN w:val="0"/>
        <w:adjustRightInd w:val="0"/>
        <w:spacing w:after="0" w:line="240" w:lineRule="auto"/>
        <w:jc w:val="both"/>
        <w:rPr>
          <w:rFonts w:ascii="Times New Roman" w:hAnsi="Times New Roman" w:cs="Times New Roman"/>
          <w:sz w:val="24"/>
          <w:szCs w:val="24"/>
        </w:rPr>
      </w:pPr>
      <w:r w:rsidRPr="005E2B16">
        <w:rPr>
          <w:rFonts w:ascii="Times New Roman" w:hAnsi="Times New Roman" w:cs="Times New Roman"/>
          <w:color w:val="292526"/>
          <w:sz w:val="24"/>
          <w:szCs w:val="24"/>
        </w:rPr>
        <w:t xml:space="preserve">JEL Code: </w:t>
      </w:r>
      <w:r w:rsidRPr="005E2B16">
        <w:rPr>
          <w:rFonts w:ascii="Times New Roman" w:hAnsi="Times New Roman" w:cs="Times New Roman"/>
          <w:sz w:val="24"/>
          <w:szCs w:val="24"/>
        </w:rPr>
        <w:t>F13. 038. 053</w:t>
      </w:r>
    </w:p>
    <w:p w14:paraId="35B56A30" w14:textId="77777777" w:rsidR="00D27CFB" w:rsidRDefault="00D27CFB" w:rsidP="005E2B16">
      <w:pPr>
        <w:autoSpaceDE w:val="0"/>
        <w:autoSpaceDN w:val="0"/>
        <w:adjustRightInd w:val="0"/>
        <w:spacing w:after="0" w:line="240" w:lineRule="auto"/>
        <w:jc w:val="both"/>
        <w:rPr>
          <w:rFonts w:ascii="Times New Roman" w:hAnsi="Times New Roman" w:cs="Times New Roman"/>
          <w:sz w:val="24"/>
          <w:szCs w:val="24"/>
        </w:rPr>
      </w:pPr>
    </w:p>
    <w:p w14:paraId="49605E74" w14:textId="77777777" w:rsidR="00D27CFB" w:rsidRDefault="00D27CFB" w:rsidP="00D27CFB">
      <w:pPr>
        <w:jc w:val="center"/>
        <w:rPr>
          <w:rFonts w:ascii="Times New Roman" w:hAnsi="Times New Roman" w:cs="Times New Roman"/>
          <w:b/>
          <w:sz w:val="24"/>
          <w:szCs w:val="24"/>
        </w:rPr>
      </w:pPr>
    </w:p>
    <w:p w14:paraId="1114735E" w14:textId="77777777" w:rsidR="00D27CFB" w:rsidRDefault="00D27CFB" w:rsidP="00D27CFB">
      <w:pPr>
        <w:jc w:val="center"/>
        <w:rPr>
          <w:rFonts w:ascii="Times New Roman" w:hAnsi="Times New Roman" w:cs="Times New Roman"/>
          <w:b/>
          <w:sz w:val="24"/>
          <w:szCs w:val="24"/>
        </w:rPr>
      </w:pPr>
    </w:p>
    <w:p w14:paraId="7187C6BD" w14:textId="00234F8A" w:rsidR="00E562A6" w:rsidRPr="005E2B16" w:rsidRDefault="00E562A6" w:rsidP="005E2B16">
      <w:pPr>
        <w:autoSpaceDE w:val="0"/>
        <w:autoSpaceDN w:val="0"/>
        <w:adjustRightInd w:val="0"/>
        <w:spacing w:after="0" w:line="240" w:lineRule="auto"/>
        <w:jc w:val="both"/>
        <w:rPr>
          <w:rFonts w:ascii="Times New Roman" w:hAnsi="Times New Roman" w:cs="Times New Roman"/>
          <w:color w:val="292526"/>
          <w:sz w:val="24"/>
          <w:szCs w:val="24"/>
        </w:rPr>
      </w:pPr>
      <w:r w:rsidRPr="005E2B16">
        <w:rPr>
          <w:rFonts w:ascii="Times New Roman" w:hAnsi="Times New Roman" w:cs="Times New Roman"/>
          <w:sz w:val="24"/>
          <w:szCs w:val="24"/>
        </w:rPr>
        <w:br w:type="page"/>
      </w:r>
    </w:p>
    <w:p w14:paraId="00E03E78" w14:textId="1B50BDD3" w:rsidR="00E562A6" w:rsidRPr="005E2B16" w:rsidRDefault="007F1848" w:rsidP="00CE6336">
      <w:pPr>
        <w:spacing w:after="0"/>
        <w:jc w:val="both"/>
        <w:rPr>
          <w:rFonts w:ascii="Times New Roman" w:hAnsi="Times New Roman" w:cs="Times New Roman"/>
          <w:b/>
          <w:sz w:val="24"/>
          <w:szCs w:val="24"/>
        </w:rPr>
      </w:pPr>
      <w:r w:rsidRPr="005E2B16">
        <w:rPr>
          <w:rFonts w:ascii="Times New Roman" w:hAnsi="Times New Roman" w:cs="Times New Roman"/>
          <w:b/>
          <w:sz w:val="24"/>
          <w:szCs w:val="24"/>
        </w:rPr>
        <w:lastRenderedPageBreak/>
        <w:t>1.</w:t>
      </w:r>
      <w:r w:rsidRPr="005E2B16">
        <w:rPr>
          <w:rFonts w:ascii="Times New Roman" w:hAnsi="Times New Roman" w:cs="Times New Roman"/>
          <w:b/>
          <w:sz w:val="24"/>
          <w:szCs w:val="24"/>
        </w:rPr>
        <w:tab/>
      </w:r>
      <w:r w:rsidR="00E562A6" w:rsidRPr="005E2B16">
        <w:rPr>
          <w:rFonts w:ascii="Times New Roman" w:hAnsi="Times New Roman" w:cs="Times New Roman"/>
          <w:b/>
          <w:sz w:val="24"/>
          <w:szCs w:val="24"/>
        </w:rPr>
        <w:t>Introduction</w:t>
      </w:r>
    </w:p>
    <w:p w14:paraId="24C87AAF" w14:textId="40F8F2DB" w:rsidR="00147EB6" w:rsidRDefault="002B0389" w:rsidP="00EE3EAA">
      <w:pPr>
        <w:spacing w:after="0"/>
        <w:jc w:val="both"/>
        <w:rPr>
          <w:rFonts w:ascii="Times New Roman" w:hAnsi="Times New Roman" w:cs="Times New Roman"/>
          <w:sz w:val="24"/>
          <w:szCs w:val="24"/>
        </w:rPr>
      </w:pPr>
      <w:r>
        <w:rPr>
          <w:rFonts w:ascii="Times New Roman" w:hAnsi="Times New Roman" w:cs="Times New Roman"/>
          <w:sz w:val="24"/>
          <w:szCs w:val="24"/>
        </w:rPr>
        <w:t>Firms’ productivity is determined by firm specific characteristics and external factors that are peculiar to the environment where the firm operates. The impact of fiscal incentives (which is an important external factor that is peculiar to the environment where the business operates) on firms’ productivity, especially in developing countries</w:t>
      </w:r>
      <w:r w:rsidR="00CB2A14">
        <w:rPr>
          <w:rFonts w:ascii="Times New Roman" w:hAnsi="Times New Roman" w:cs="Times New Roman"/>
          <w:sz w:val="24"/>
          <w:szCs w:val="24"/>
        </w:rPr>
        <w:t>,</w:t>
      </w:r>
      <w:r>
        <w:rPr>
          <w:rFonts w:ascii="Times New Roman" w:hAnsi="Times New Roman" w:cs="Times New Roman"/>
          <w:sz w:val="24"/>
          <w:szCs w:val="24"/>
        </w:rPr>
        <w:t xml:space="preserve"> has not reached consensus. </w:t>
      </w:r>
      <w:r w:rsidR="00147EB6" w:rsidRPr="005E2B16">
        <w:rPr>
          <w:rFonts w:ascii="Times New Roman" w:hAnsi="Times New Roman" w:cs="Times New Roman"/>
          <w:sz w:val="24"/>
          <w:szCs w:val="24"/>
        </w:rPr>
        <w:t xml:space="preserve">In this </w:t>
      </w:r>
      <w:r w:rsidR="00147EB6">
        <w:rPr>
          <w:rFonts w:ascii="Times New Roman" w:hAnsi="Times New Roman" w:cs="Times New Roman"/>
          <w:sz w:val="24"/>
          <w:szCs w:val="24"/>
        </w:rPr>
        <w:t xml:space="preserve">paper </w:t>
      </w:r>
      <w:r w:rsidR="00147EB6" w:rsidRPr="005E2B16">
        <w:rPr>
          <w:rFonts w:ascii="Times New Roman" w:hAnsi="Times New Roman" w:cs="Times New Roman"/>
          <w:sz w:val="24"/>
          <w:szCs w:val="24"/>
        </w:rPr>
        <w:t xml:space="preserve">we investigate </w:t>
      </w:r>
      <w:r w:rsidR="00147EB6">
        <w:rPr>
          <w:rFonts w:ascii="Times New Roman" w:hAnsi="Times New Roman" w:cs="Times New Roman"/>
          <w:sz w:val="24"/>
          <w:szCs w:val="24"/>
        </w:rPr>
        <w:t xml:space="preserve">the impact of different forms of </w:t>
      </w:r>
      <w:r w:rsidR="00147EB6" w:rsidRPr="005E2B16">
        <w:rPr>
          <w:rFonts w:ascii="Times New Roman" w:hAnsi="Times New Roman" w:cs="Times New Roman"/>
          <w:sz w:val="24"/>
          <w:szCs w:val="24"/>
        </w:rPr>
        <w:t xml:space="preserve">fiscal incentives </w:t>
      </w:r>
      <w:r w:rsidR="00147EB6">
        <w:rPr>
          <w:rFonts w:ascii="Times New Roman" w:hAnsi="Times New Roman" w:cs="Times New Roman"/>
          <w:sz w:val="24"/>
          <w:szCs w:val="24"/>
        </w:rPr>
        <w:t xml:space="preserve">on </w:t>
      </w:r>
      <w:r w:rsidR="00147EB6" w:rsidRPr="005E2B16">
        <w:rPr>
          <w:rFonts w:ascii="Times New Roman" w:hAnsi="Times New Roman" w:cs="Times New Roman"/>
          <w:sz w:val="24"/>
          <w:szCs w:val="24"/>
        </w:rPr>
        <w:t>firms’ productivity</w:t>
      </w:r>
      <w:r w:rsidR="00147EB6">
        <w:rPr>
          <w:rFonts w:ascii="Times New Roman" w:hAnsi="Times New Roman" w:cs="Times New Roman"/>
          <w:sz w:val="24"/>
          <w:szCs w:val="24"/>
        </w:rPr>
        <w:t xml:space="preserve"> in Cameroon</w:t>
      </w:r>
      <w:r w:rsidR="00147EB6" w:rsidRPr="005E2B16">
        <w:rPr>
          <w:rFonts w:ascii="Times New Roman" w:hAnsi="Times New Roman" w:cs="Times New Roman"/>
          <w:sz w:val="24"/>
          <w:szCs w:val="24"/>
        </w:rPr>
        <w:t xml:space="preserve">. </w:t>
      </w:r>
      <w:r w:rsidR="00147EB6">
        <w:rPr>
          <w:rFonts w:ascii="Times New Roman" w:hAnsi="Times New Roman" w:cs="Times New Roman"/>
          <w:sz w:val="24"/>
          <w:szCs w:val="24"/>
        </w:rPr>
        <w:t>F</w:t>
      </w:r>
      <w:r w:rsidR="00147EB6" w:rsidRPr="005E2B16">
        <w:rPr>
          <w:rFonts w:ascii="Times New Roman" w:hAnsi="Times New Roman" w:cs="Times New Roman"/>
          <w:sz w:val="24"/>
          <w:szCs w:val="24"/>
        </w:rPr>
        <w:t>irm level data from the World Bank Enterprise Surveys data</w:t>
      </w:r>
      <w:r w:rsidR="00147EB6">
        <w:rPr>
          <w:rFonts w:ascii="Times New Roman" w:hAnsi="Times New Roman" w:cs="Times New Roman"/>
          <w:sz w:val="24"/>
          <w:szCs w:val="24"/>
        </w:rPr>
        <w:t xml:space="preserve"> were used to achieve our objective. The </w:t>
      </w:r>
      <w:r w:rsidR="00147EB6" w:rsidRPr="005E2B16">
        <w:rPr>
          <w:rFonts w:ascii="Times New Roman" w:hAnsi="Times New Roman" w:cs="Times New Roman"/>
          <w:sz w:val="24"/>
          <w:szCs w:val="24"/>
        </w:rPr>
        <w:t xml:space="preserve">survey </w:t>
      </w:r>
      <w:r w:rsidR="00147EB6">
        <w:rPr>
          <w:rFonts w:ascii="Times New Roman" w:hAnsi="Times New Roman" w:cs="Times New Roman"/>
          <w:sz w:val="24"/>
          <w:szCs w:val="24"/>
        </w:rPr>
        <w:t xml:space="preserve">consist of </w:t>
      </w:r>
      <w:r w:rsidR="00147EB6" w:rsidRPr="005E2B16">
        <w:rPr>
          <w:rFonts w:ascii="Times New Roman" w:hAnsi="Times New Roman" w:cs="Times New Roman"/>
          <w:sz w:val="24"/>
          <w:szCs w:val="24"/>
        </w:rPr>
        <w:t xml:space="preserve">over 300 manufacturing firms </w:t>
      </w:r>
      <w:r w:rsidR="00147EB6">
        <w:rPr>
          <w:rFonts w:ascii="Times New Roman" w:hAnsi="Times New Roman" w:cs="Times New Roman"/>
          <w:sz w:val="24"/>
          <w:szCs w:val="24"/>
        </w:rPr>
        <w:t>and w</w:t>
      </w:r>
      <w:r w:rsidR="00147EB6" w:rsidRPr="005E2B16">
        <w:rPr>
          <w:rFonts w:ascii="Times New Roman" w:hAnsi="Times New Roman" w:cs="Times New Roman"/>
          <w:sz w:val="24"/>
          <w:szCs w:val="24"/>
        </w:rPr>
        <w:t>e use information on firm</w:t>
      </w:r>
      <w:r w:rsidR="00147EB6">
        <w:rPr>
          <w:rFonts w:ascii="Times New Roman" w:hAnsi="Times New Roman" w:cs="Times New Roman"/>
          <w:sz w:val="24"/>
          <w:szCs w:val="24"/>
        </w:rPr>
        <w:t>s’ input and output</w:t>
      </w:r>
      <w:r w:rsidR="00147EB6" w:rsidRPr="005E2B16">
        <w:rPr>
          <w:rFonts w:ascii="Times New Roman" w:hAnsi="Times New Roman" w:cs="Times New Roman"/>
          <w:sz w:val="24"/>
          <w:szCs w:val="24"/>
        </w:rPr>
        <w:t xml:space="preserve"> to c</w:t>
      </w:r>
      <w:r w:rsidR="00147EB6">
        <w:rPr>
          <w:rFonts w:ascii="Times New Roman" w:hAnsi="Times New Roman" w:cs="Times New Roman"/>
          <w:sz w:val="24"/>
          <w:szCs w:val="24"/>
        </w:rPr>
        <w:t xml:space="preserve">ompute the </w:t>
      </w:r>
      <w:r w:rsidR="00147EB6" w:rsidRPr="005E2B16">
        <w:rPr>
          <w:rFonts w:ascii="Times New Roman" w:hAnsi="Times New Roman" w:cs="Times New Roman"/>
          <w:sz w:val="24"/>
          <w:szCs w:val="24"/>
        </w:rPr>
        <w:t xml:space="preserve">productivity of firms. The enterprise survey also contains unique measures </w:t>
      </w:r>
      <w:r w:rsidR="00147EB6">
        <w:rPr>
          <w:rFonts w:ascii="Times New Roman" w:hAnsi="Times New Roman" w:cs="Times New Roman"/>
          <w:sz w:val="24"/>
          <w:szCs w:val="24"/>
        </w:rPr>
        <w:t>of fiscal incentives such as firms’</w:t>
      </w:r>
      <w:r w:rsidR="00147EB6" w:rsidRPr="005E2B16">
        <w:rPr>
          <w:rFonts w:ascii="Times New Roman" w:hAnsi="Times New Roman" w:cs="Times New Roman"/>
          <w:sz w:val="24"/>
          <w:szCs w:val="24"/>
        </w:rPr>
        <w:t xml:space="preserve"> </w:t>
      </w:r>
      <w:r w:rsidR="00147EB6">
        <w:rPr>
          <w:rFonts w:ascii="Times New Roman" w:hAnsi="Times New Roman" w:cs="Times New Roman"/>
          <w:sz w:val="24"/>
          <w:szCs w:val="24"/>
        </w:rPr>
        <w:t>exemption</w:t>
      </w:r>
      <w:r w:rsidR="00147EB6" w:rsidRPr="005E2B16">
        <w:rPr>
          <w:rFonts w:ascii="Times New Roman" w:hAnsi="Times New Roman" w:cs="Times New Roman"/>
          <w:sz w:val="24"/>
          <w:szCs w:val="24"/>
        </w:rPr>
        <w:t xml:space="preserve"> from </w:t>
      </w:r>
      <w:r w:rsidR="00147EB6">
        <w:rPr>
          <w:rFonts w:ascii="Times New Roman" w:hAnsi="Times New Roman" w:cs="Times New Roman"/>
          <w:sz w:val="24"/>
          <w:szCs w:val="24"/>
        </w:rPr>
        <w:t>import</w:t>
      </w:r>
      <w:r w:rsidR="00147EB6" w:rsidRPr="005E2B16">
        <w:rPr>
          <w:rFonts w:ascii="Times New Roman" w:hAnsi="Times New Roman" w:cs="Times New Roman"/>
          <w:sz w:val="24"/>
          <w:szCs w:val="24"/>
        </w:rPr>
        <w:t xml:space="preserve"> </w:t>
      </w:r>
      <w:r w:rsidR="00147EB6">
        <w:rPr>
          <w:rFonts w:ascii="Times New Roman" w:hAnsi="Times New Roman" w:cs="Times New Roman"/>
          <w:sz w:val="24"/>
          <w:szCs w:val="24"/>
        </w:rPr>
        <w:t>duties</w:t>
      </w:r>
      <w:r w:rsidR="00147EB6" w:rsidRPr="005E2B16">
        <w:rPr>
          <w:rFonts w:ascii="Times New Roman" w:hAnsi="Times New Roman" w:cs="Times New Roman"/>
          <w:sz w:val="24"/>
          <w:szCs w:val="24"/>
        </w:rPr>
        <w:t>, profit tax exemptions, VAT reimbursement, benefits from export financing scheme</w:t>
      </w:r>
      <w:r w:rsidR="00410686">
        <w:rPr>
          <w:rFonts w:ascii="Times New Roman" w:hAnsi="Times New Roman" w:cs="Times New Roman"/>
          <w:sz w:val="24"/>
          <w:szCs w:val="24"/>
        </w:rPr>
        <w:t>,</w:t>
      </w:r>
      <w:r w:rsidR="00147EB6" w:rsidRPr="005E2B16">
        <w:rPr>
          <w:rFonts w:ascii="Times New Roman" w:hAnsi="Times New Roman" w:cs="Times New Roman"/>
          <w:sz w:val="24"/>
          <w:szCs w:val="24"/>
        </w:rPr>
        <w:t xml:space="preserve"> and benefits from other export/investment incentive scheme. The availability of these measures at the firm level, both as subjective and objective indicators, allows us to exploit the variation in fiscal incentives at the sub-national level </w:t>
      </w:r>
      <w:r w:rsidR="00410686">
        <w:rPr>
          <w:rFonts w:ascii="Times New Roman" w:hAnsi="Times New Roman" w:cs="Times New Roman"/>
          <w:sz w:val="24"/>
          <w:szCs w:val="24"/>
        </w:rPr>
        <w:t>with a focus on manufacturing firms</w:t>
      </w:r>
      <w:r w:rsidR="00147EB6" w:rsidRPr="00A55EC9">
        <w:rPr>
          <w:rFonts w:ascii="Times New Roman" w:hAnsi="Times New Roman" w:cs="Times New Roman"/>
          <w:sz w:val="24"/>
          <w:szCs w:val="24"/>
        </w:rPr>
        <w:t xml:space="preserve">. Our findings include, among others, that fiscal incentives are </w:t>
      </w:r>
      <w:r w:rsidR="00147EB6">
        <w:rPr>
          <w:rFonts w:ascii="Times New Roman" w:hAnsi="Times New Roman" w:cs="Times New Roman"/>
          <w:sz w:val="24"/>
          <w:szCs w:val="24"/>
        </w:rPr>
        <w:t xml:space="preserve">beneficial for industrialisation </w:t>
      </w:r>
      <w:r w:rsidR="00147EB6" w:rsidRPr="00A55EC9">
        <w:rPr>
          <w:rFonts w:ascii="Times New Roman" w:hAnsi="Times New Roman" w:cs="Times New Roman"/>
          <w:sz w:val="24"/>
          <w:szCs w:val="24"/>
        </w:rPr>
        <w:t>in Cameroon</w:t>
      </w:r>
      <w:r w:rsidR="00147EB6">
        <w:rPr>
          <w:rFonts w:ascii="Times New Roman" w:hAnsi="Times New Roman" w:cs="Times New Roman"/>
          <w:sz w:val="24"/>
          <w:szCs w:val="24"/>
        </w:rPr>
        <w:t>, however, the impact vary</w:t>
      </w:r>
      <w:r w:rsidR="00147EB6" w:rsidRPr="00A55EC9">
        <w:rPr>
          <w:rFonts w:ascii="Times New Roman" w:hAnsi="Times New Roman" w:cs="Times New Roman"/>
          <w:sz w:val="24"/>
          <w:szCs w:val="24"/>
        </w:rPr>
        <w:t xml:space="preserve"> across the type of fiscal incentive </w:t>
      </w:r>
      <w:r w:rsidR="00147EB6">
        <w:rPr>
          <w:rFonts w:ascii="Times New Roman" w:hAnsi="Times New Roman" w:cs="Times New Roman"/>
          <w:sz w:val="24"/>
          <w:szCs w:val="24"/>
        </w:rPr>
        <w:t xml:space="preserve">being </w:t>
      </w:r>
      <w:r w:rsidR="00147EB6" w:rsidRPr="00A55EC9">
        <w:rPr>
          <w:rFonts w:ascii="Times New Roman" w:hAnsi="Times New Roman" w:cs="Times New Roman"/>
          <w:sz w:val="24"/>
          <w:szCs w:val="24"/>
        </w:rPr>
        <w:t>observed.</w:t>
      </w:r>
    </w:p>
    <w:p w14:paraId="2D75325F" w14:textId="77777777" w:rsidR="00147EB6" w:rsidRDefault="00147EB6" w:rsidP="00EE3EAA">
      <w:pPr>
        <w:spacing w:after="0"/>
        <w:jc w:val="both"/>
        <w:rPr>
          <w:rFonts w:ascii="Times New Roman" w:hAnsi="Times New Roman" w:cs="Times New Roman"/>
          <w:sz w:val="24"/>
          <w:szCs w:val="24"/>
        </w:rPr>
      </w:pPr>
    </w:p>
    <w:p w14:paraId="605F7A82" w14:textId="3A175DC5" w:rsidR="00AE31FC" w:rsidRPr="005E2B16" w:rsidRDefault="0067630F" w:rsidP="00EE3EAA">
      <w:pPr>
        <w:spacing w:after="0"/>
        <w:jc w:val="both"/>
        <w:rPr>
          <w:rFonts w:ascii="Times New Roman" w:hAnsi="Times New Roman" w:cs="Times New Roman"/>
          <w:sz w:val="24"/>
          <w:szCs w:val="24"/>
        </w:rPr>
      </w:pPr>
      <w:r>
        <w:rPr>
          <w:rFonts w:ascii="Times New Roman" w:hAnsi="Times New Roman" w:cs="Times New Roman"/>
          <w:sz w:val="24"/>
          <w:szCs w:val="24"/>
        </w:rPr>
        <w:t xml:space="preserve">There are immense benefit from industrialisation, including job </w:t>
      </w:r>
      <w:r w:rsidRPr="005E2B16">
        <w:rPr>
          <w:rFonts w:ascii="Times New Roman" w:hAnsi="Times New Roman" w:cs="Times New Roman"/>
          <w:sz w:val="24"/>
          <w:szCs w:val="24"/>
        </w:rPr>
        <w:t>creation</w:t>
      </w:r>
      <w:r w:rsidR="00272132" w:rsidRPr="005E2B16">
        <w:rPr>
          <w:rFonts w:ascii="Times New Roman" w:hAnsi="Times New Roman" w:cs="Times New Roman"/>
          <w:sz w:val="24"/>
          <w:szCs w:val="24"/>
        </w:rPr>
        <w:t xml:space="preserve"> for sustained growth</w:t>
      </w:r>
      <w:r w:rsidR="00B925CB" w:rsidRPr="005E2B16">
        <w:rPr>
          <w:rFonts w:ascii="Times New Roman" w:hAnsi="Times New Roman" w:cs="Times New Roman"/>
          <w:sz w:val="24"/>
          <w:szCs w:val="24"/>
        </w:rPr>
        <w:t xml:space="preserve"> </w:t>
      </w:r>
      <w:r w:rsidR="00D2181B" w:rsidRPr="005E2B16">
        <w:rPr>
          <w:rFonts w:ascii="Times New Roman" w:hAnsi="Times New Roman" w:cs="Times New Roman"/>
          <w:sz w:val="24"/>
          <w:szCs w:val="24"/>
        </w:rPr>
        <w:t>and economic diversification</w:t>
      </w:r>
      <w:r>
        <w:rPr>
          <w:rFonts w:ascii="Times New Roman" w:hAnsi="Times New Roman" w:cs="Times New Roman"/>
          <w:sz w:val="24"/>
          <w:szCs w:val="24"/>
        </w:rPr>
        <w:t xml:space="preserve">, </w:t>
      </w:r>
      <w:r w:rsidR="00CF29D1" w:rsidRPr="005E2B16">
        <w:rPr>
          <w:rFonts w:ascii="Times New Roman" w:hAnsi="Times New Roman" w:cs="Times New Roman"/>
          <w:sz w:val="24"/>
          <w:szCs w:val="24"/>
        </w:rPr>
        <w:t xml:space="preserve">increased household consumption through improvement in the value of product and price efficiency, and the development of other primary sectors through backward linkages that come with the demand for intermediate goods. </w:t>
      </w:r>
      <w:r w:rsidR="004946D0" w:rsidRPr="005E2B16">
        <w:rPr>
          <w:rFonts w:ascii="Times New Roman" w:hAnsi="Times New Roman" w:cs="Times New Roman"/>
          <w:sz w:val="24"/>
          <w:szCs w:val="24"/>
        </w:rPr>
        <w:t xml:space="preserve">Despite these identified benefits, most African countries have relied heavily on </w:t>
      </w:r>
      <w:r w:rsidR="00147EB6">
        <w:rPr>
          <w:rFonts w:ascii="Times New Roman" w:hAnsi="Times New Roman" w:cs="Times New Roman"/>
          <w:sz w:val="24"/>
          <w:szCs w:val="24"/>
        </w:rPr>
        <w:t xml:space="preserve">the trade of low value added </w:t>
      </w:r>
      <w:r w:rsidR="004946D0" w:rsidRPr="005E2B16">
        <w:rPr>
          <w:rFonts w:ascii="Times New Roman" w:hAnsi="Times New Roman" w:cs="Times New Roman"/>
          <w:sz w:val="24"/>
          <w:szCs w:val="24"/>
        </w:rPr>
        <w:t>primary products as their main export commodity</w:t>
      </w:r>
      <w:r w:rsidR="00BA3FED" w:rsidRPr="005E2B16">
        <w:rPr>
          <w:rFonts w:ascii="Times New Roman" w:hAnsi="Times New Roman" w:cs="Times New Roman"/>
          <w:sz w:val="24"/>
          <w:szCs w:val="24"/>
        </w:rPr>
        <w:t xml:space="preserve"> (IMF, 2012</w:t>
      </w:r>
      <w:r w:rsidR="00147EB6">
        <w:rPr>
          <w:rFonts w:ascii="Times New Roman" w:hAnsi="Times New Roman" w:cs="Times New Roman"/>
          <w:sz w:val="24"/>
          <w:szCs w:val="24"/>
        </w:rPr>
        <w:t>; UNECA, 2013</w:t>
      </w:r>
      <w:r w:rsidR="00BA3FED" w:rsidRPr="005E2B16">
        <w:rPr>
          <w:rFonts w:ascii="Times New Roman" w:hAnsi="Times New Roman" w:cs="Times New Roman"/>
          <w:sz w:val="24"/>
          <w:szCs w:val="24"/>
        </w:rPr>
        <w:t xml:space="preserve">). </w:t>
      </w:r>
      <w:r w:rsidR="00147EB6">
        <w:rPr>
          <w:rFonts w:ascii="Times New Roman" w:hAnsi="Times New Roman" w:cs="Times New Roman"/>
          <w:sz w:val="24"/>
          <w:szCs w:val="24"/>
        </w:rPr>
        <w:t xml:space="preserve">Some important issues in Africa’s industrialisation is the need for </w:t>
      </w:r>
      <w:r w:rsidR="00BA3FED" w:rsidRPr="005E2B16">
        <w:rPr>
          <w:rFonts w:ascii="Times New Roman" w:hAnsi="Times New Roman" w:cs="Times New Roman"/>
          <w:sz w:val="24"/>
          <w:szCs w:val="24"/>
        </w:rPr>
        <w:t>appropriate and alternative source of funding (see Gui-Diby and Renard, 2015)</w:t>
      </w:r>
      <w:r w:rsidR="00113518" w:rsidRPr="005E2B16">
        <w:rPr>
          <w:rFonts w:ascii="Times New Roman" w:hAnsi="Times New Roman" w:cs="Times New Roman"/>
          <w:sz w:val="24"/>
          <w:szCs w:val="24"/>
        </w:rPr>
        <w:t xml:space="preserve">, </w:t>
      </w:r>
      <w:r w:rsidR="00601988" w:rsidRPr="005E2B16">
        <w:rPr>
          <w:rFonts w:ascii="Times New Roman" w:hAnsi="Times New Roman" w:cs="Times New Roman"/>
          <w:sz w:val="24"/>
          <w:szCs w:val="24"/>
        </w:rPr>
        <w:t xml:space="preserve">focus on improving </w:t>
      </w:r>
      <w:r w:rsidR="00113518" w:rsidRPr="005E2B16">
        <w:rPr>
          <w:rFonts w:ascii="Times New Roman" w:hAnsi="Times New Roman" w:cs="Times New Roman"/>
          <w:sz w:val="24"/>
          <w:szCs w:val="24"/>
        </w:rPr>
        <w:t xml:space="preserve">the institutional structure – in terms of corruption (McArthur and Teal, 2002), </w:t>
      </w:r>
      <w:r w:rsidR="00601988" w:rsidRPr="005E2B16">
        <w:rPr>
          <w:rFonts w:ascii="Times New Roman" w:hAnsi="Times New Roman" w:cs="Times New Roman"/>
          <w:sz w:val="24"/>
          <w:szCs w:val="24"/>
        </w:rPr>
        <w:t>as well as encouraging infrastructural development (Arnold, Mattoo and Narciso, 2008; Escribano, Guasch and Pena, 2010).</w:t>
      </w:r>
      <w:r w:rsidR="00BA3FED" w:rsidRPr="005E2B16">
        <w:rPr>
          <w:rFonts w:ascii="Times New Roman" w:hAnsi="Times New Roman" w:cs="Times New Roman"/>
          <w:sz w:val="24"/>
          <w:szCs w:val="24"/>
        </w:rPr>
        <w:t xml:space="preserve"> </w:t>
      </w:r>
      <w:r w:rsidR="00147EB6">
        <w:rPr>
          <w:rFonts w:ascii="Times New Roman" w:hAnsi="Times New Roman" w:cs="Times New Roman"/>
          <w:sz w:val="24"/>
          <w:szCs w:val="24"/>
        </w:rPr>
        <w:t xml:space="preserve">However, </w:t>
      </w:r>
      <w:r w:rsidR="00EE3EAA" w:rsidRPr="005E2B16">
        <w:rPr>
          <w:rFonts w:ascii="Times New Roman" w:hAnsi="Times New Roman" w:cs="Times New Roman"/>
          <w:sz w:val="24"/>
          <w:szCs w:val="24"/>
        </w:rPr>
        <w:t xml:space="preserve">government </w:t>
      </w:r>
      <w:r w:rsidR="00B925CB" w:rsidRPr="005E2B16">
        <w:rPr>
          <w:rFonts w:ascii="Times New Roman" w:hAnsi="Times New Roman" w:cs="Times New Roman"/>
          <w:sz w:val="24"/>
          <w:szCs w:val="24"/>
        </w:rPr>
        <w:t>support</w:t>
      </w:r>
      <w:r w:rsidR="00147EB6">
        <w:rPr>
          <w:rFonts w:ascii="Times New Roman" w:hAnsi="Times New Roman" w:cs="Times New Roman"/>
          <w:sz w:val="24"/>
          <w:szCs w:val="24"/>
        </w:rPr>
        <w:t xml:space="preserve"> for the private sector in Africa </w:t>
      </w:r>
      <w:r w:rsidR="00B925CB" w:rsidRPr="005E2B16">
        <w:rPr>
          <w:rFonts w:ascii="Times New Roman" w:hAnsi="Times New Roman" w:cs="Times New Roman"/>
          <w:sz w:val="24"/>
          <w:szCs w:val="24"/>
        </w:rPr>
        <w:t xml:space="preserve">is slack and </w:t>
      </w:r>
      <w:r w:rsidR="00EE3EAA" w:rsidRPr="005E2B16">
        <w:rPr>
          <w:rFonts w:ascii="Times New Roman" w:hAnsi="Times New Roman" w:cs="Times New Roman"/>
          <w:sz w:val="24"/>
          <w:szCs w:val="24"/>
        </w:rPr>
        <w:t>has failed to establish an enabling environment</w:t>
      </w:r>
      <w:r w:rsidR="00147EB6">
        <w:rPr>
          <w:rFonts w:ascii="Times New Roman" w:hAnsi="Times New Roman" w:cs="Times New Roman"/>
          <w:sz w:val="24"/>
          <w:szCs w:val="24"/>
        </w:rPr>
        <w:t xml:space="preserve"> for industrialisation</w:t>
      </w:r>
      <w:r w:rsidR="00EE3EAA" w:rsidRPr="005E2B16">
        <w:rPr>
          <w:rFonts w:ascii="Times New Roman" w:hAnsi="Times New Roman" w:cs="Times New Roman"/>
          <w:sz w:val="24"/>
          <w:szCs w:val="24"/>
        </w:rPr>
        <w:t xml:space="preserve"> (Gui-Diby and Renard, 2015). </w:t>
      </w:r>
    </w:p>
    <w:p w14:paraId="72DC2D2B" w14:textId="77777777" w:rsidR="00AE31FC" w:rsidRPr="005E2B16" w:rsidRDefault="00AE31FC" w:rsidP="00EE3EAA">
      <w:pPr>
        <w:spacing w:after="0"/>
        <w:jc w:val="both"/>
        <w:rPr>
          <w:rFonts w:ascii="Times New Roman" w:hAnsi="Times New Roman" w:cs="Times New Roman"/>
          <w:sz w:val="24"/>
          <w:szCs w:val="24"/>
        </w:rPr>
      </w:pPr>
    </w:p>
    <w:p w14:paraId="71BE283D" w14:textId="501D8AC9" w:rsidR="00F962C2" w:rsidRPr="005E2B16" w:rsidRDefault="00410686" w:rsidP="00F962C2">
      <w:pPr>
        <w:spacing w:after="0"/>
        <w:jc w:val="both"/>
        <w:rPr>
          <w:rFonts w:ascii="Times New Roman" w:hAnsi="Times New Roman" w:cs="Times New Roman"/>
          <w:sz w:val="24"/>
          <w:szCs w:val="24"/>
        </w:rPr>
      </w:pPr>
      <w:r w:rsidRPr="005E2B16">
        <w:rPr>
          <w:rFonts w:ascii="Times New Roman" w:hAnsi="Times New Roman" w:cs="Times New Roman"/>
          <w:sz w:val="24"/>
          <w:szCs w:val="24"/>
        </w:rPr>
        <w:t>An important asp</w:t>
      </w:r>
      <w:r>
        <w:rPr>
          <w:rFonts w:ascii="Times New Roman" w:hAnsi="Times New Roman" w:cs="Times New Roman"/>
          <w:sz w:val="24"/>
          <w:szCs w:val="24"/>
        </w:rPr>
        <w:t>ect of government involvement is</w:t>
      </w:r>
      <w:r w:rsidR="00B925CB" w:rsidRPr="005E2B16">
        <w:rPr>
          <w:rFonts w:ascii="Times New Roman" w:hAnsi="Times New Roman" w:cs="Times New Roman"/>
          <w:sz w:val="24"/>
          <w:szCs w:val="24"/>
        </w:rPr>
        <w:t xml:space="preserve"> incentives, which can either be fiscal or non-fiscal. </w:t>
      </w:r>
      <w:r w:rsidR="00147EB6">
        <w:rPr>
          <w:rFonts w:ascii="Times New Roman" w:hAnsi="Times New Roman" w:cs="Times New Roman"/>
          <w:sz w:val="24"/>
          <w:szCs w:val="24"/>
        </w:rPr>
        <w:t xml:space="preserve">We focus on fiscal incentives since they are those </w:t>
      </w:r>
      <w:r w:rsidR="006A514F" w:rsidRPr="005E2B16">
        <w:rPr>
          <w:rFonts w:ascii="Times New Roman" w:hAnsi="Times New Roman" w:cs="Times New Roman"/>
          <w:sz w:val="24"/>
          <w:szCs w:val="24"/>
        </w:rPr>
        <w:t xml:space="preserve">fiscal measures used by the government to extend some measurable advantages to specific firms or categories of firms (UNCTAD, 2000; Fletcher, 2002). They can be in the form of tax holidays, investment allowances and tax credits, reduced corporate income taxes, exemption from indirect taxes and export processing zones. </w:t>
      </w:r>
      <w:r w:rsidR="00147EB6">
        <w:rPr>
          <w:rFonts w:ascii="Times New Roman" w:hAnsi="Times New Roman" w:cs="Times New Roman"/>
          <w:sz w:val="24"/>
          <w:szCs w:val="24"/>
        </w:rPr>
        <w:t xml:space="preserve">More so, </w:t>
      </w:r>
      <w:r w:rsidR="006A514F" w:rsidRPr="005E2B16">
        <w:rPr>
          <w:rFonts w:ascii="Times New Roman" w:hAnsi="Times New Roman" w:cs="Times New Roman"/>
          <w:sz w:val="24"/>
          <w:szCs w:val="24"/>
        </w:rPr>
        <w:t xml:space="preserve">proponents </w:t>
      </w:r>
      <w:r w:rsidR="00147EB6">
        <w:rPr>
          <w:rFonts w:ascii="Times New Roman" w:hAnsi="Times New Roman" w:cs="Times New Roman"/>
          <w:sz w:val="24"/>
          <w:szCs w:val="24"/>
        </w:rPr>
        <w:t xml:space="preserve">of fiscal incentive </w:t>
      </w:r>
      <w:r w:rsidR="006A514F" w:rsidRPr="005E2B16">
        <w:rPr>
          <w:rFonts w:ascii="Times New Roman" w:hAnsi="Times New Roman" w:cs="Times New Roman"/>
          <w:sz w:val="24"/>
          <w:szCs w:val="24"/>
        </w:rPr>
        <w:t>argue that under certain conditions, they improve investment, create jobs and other socio-economic benefits (Bora, 2002)</w:t>
      </w:r>
      <w:r w:rsidR="00147EB6">
        <w:rPr>
          <w:rStyle w:val="FootnoteReference"/>
          <w:rFonts w:ascii="Times New Roman" w:hAnsi="Times New Roman" w:cs="Times New Roman"/>
          <w:sz w:val="24"/>
          <w:szCs w:val="24"/>
        </w:rPr>
        <w:footnoteReference w:id="4"/>
      </w:r>
      <w:r w:rsidR="006A514F" w:rsidRPr="005E2B16">
        <w:rPr>
          <w:rFonts w:ascii="Times New Roman" w:hAnsi="Times New Roman" w:cs="Times New Roman"/>
          <w:sz w:val="24"/>
          <w:szCs w:val="24"/>
        </w:rPr>
        <w:t xml:space="preserve">. </w:t>
      </w:r>
      <w:r w:rsidR="00147EB6">
        <w:rPr>
          <w:rFonts w:ascii="Times New Roman" w:hAnsi="Times New Roman" w:cs="Times New Roman"/>
          <w:sz w:val="24"/>
          <w:szCs w:val="24"/>
        </w:rPr>
        <w:t xml:space="preserve">Also, </w:t>
      </w:r>
      <w:r w:rsidR="00981686" w:rsidRPr="005E2B16">
        <w:rPr>
          <w:rFonts w:ascii="Times New Roman" w:hAnsi="Times New Roman" w:cs="Times New Roman"/>
          <w:sz w:val="24"/>
          <w:szCs w:val="24"/>
        </w:rPr>
        <w:t xml:space="preserve">fiscal incentives can compensate for possible market failures, and can easily be implemented by African government for achieving </w:t>
      </w:r>
      <w:r w:rsidR="00147EB6">
        <w:rPr>
          <w:rFonts w:ascii="Times New Roman" w:hAnsi="Times New Roman" w:cs="Times New Roman"/>
          <w:sz w:val="24"/>
          <w:szCs w:val="24"/>
        </w:rPr>
        <w:t xml:space="preserve">the </w:t>
      </w:r>
      <w:r w:rsidR="00981686" w:rsidRPr="005E2B16">
        <w:rPr>
          <w:rFonts w:ascii="Times New Roman" w:hAnsi="Times New Roman" w:cs="Times New Roman"/>
          <w:sz w:val="24"/>
          <w:szCs w:val="24"/>
        </w:rPr>
        <w:t>industrialisation drive</w:t>
      </w:r>
      <w:r w:rsidR="00147EB6">
        <w:rPr>
          <w:rFonts w:ascii="Times New Roman" w:hAnsi="Times New Roman" w:cs="Times New Roman"/>
          <w:sz w:val="24"/>
          <w:szCs w:val="24"/>
        </w:rPr>
        <w:t xml:space="preserve">: some </w:t>
      </w:r>
      <w:r w:rsidR="00F962C2" w:rsidRPr="005E2B16">
        <w:rPr>
          <w:rFonts w:ascii="Times New Roman" w:hAnsi="Times New Roman" w:cs="Times New Roman"/>
          <w:sz w:val="24"/>
          <w:szCs w:val="24"/>
        </w:rPr>
        <w:t xml:space="preserve">African countries are </w:t>
      </w:r>
      <w:r w:rsidR="00677CA5" w:rsidRPr="005E2B16">
        <w:rPr>
          <w:rFonts w:ascii="Times New Roman" w:hAnsi="Times New Roman" w:cs="Times New Roman"/>
          <w:sz w:val="24"/>
          <w:szCs w:val="24"/>
        </w:rPr>
        <w:t xml:space="preserve">already </w:t>
      </w:r>
      <w:r w:rsidR="00F962C2" w:rsidRPr="005E2B16">
        <w:rPr>
          <w:rFonts w:ascii="Times New Roman" w:hAnsi="Times New Roman" w:cs="Times New Roman"/>
          <w:sz w:val="24"/>
          <w:szCs w:val="24"/>
        </w:rPr>
        <w:t xml:space="preserve">considering this </w:t>
      </w:r>
      <w:r w:rsidR="00147EB6">
        <w:rPr>
          <w:rFonts w:ascii="Times New Roman" w:hAnsi="Times New Roman" w:cs="Times New Roman"/>
          <w:sz w:val="24"/>
          <w:szCs w:val="24"/>
        </w:rPr>
        <w:t xml:space="preserve">form of incentive </w:t>
      </w:r>
      <w:r w:rsidR="00F962C2" w:rsidRPr="005E2B16">
        <w:rPr>
          <w:rFonts w:ascii="Times New Roman" w:hAnsi="Times New Roman" w:cs="Times New Roman"/>
          <w:sz w:val="24"/>
          <w:szCs w:val="24"/>
        </w:rPr>
        <w:t>as a viable policy option. For instance, the Nigerian Government has continued over the years to provide</w:t>
      </w:r>
      <w:r w:rsidR="00CD53B4" w:rsidRPr="005E2B16">
        <w:rPr>
          <w:rFonts w:ascii="Times New Roman" w:hAnsi="Times New Roman" w:cs="Times New Roman"/>
          <w:sz w:val="24"/>
          <w:szCs w:val="24"/>
        </w:rPr>
        <w:t xml:space="preserve"> some tax</w:t>
      </w:r>
      <w:r w:rsidR="00F962C2" w:rsidRPr="005E2B16">
        <w:rPr>
          <w:rFonts w:ascii="Times New Roman" w:hAnsi="Times New Roman" w:cs="Times New Roman"/>
          <w:sz w:val="24"/>
          <w:szCs w:val="24"/>
        </w:rPr>
        <w:t xml:space="preserve"> incentives to </w:t>
      </w:r>
      <w:r w:rsidR="00CD53B4" w:rsidRPr="005E2B16">
        <w:rPr>
          <w:rFonts w:ascii="Times New Roman" w:hAnsi="Times New Roman" w:cs="Times New Roman"/>
          <w:sz w:val="24"/>
          <w:szCs w:val="24"/>
        </w:rPr>
        <w:t xml:space="preserve">improve </w:t>
      </w:r>
      <w:r w:rsidR="00F962C2" w:rsidRPr="005E2B16">
        <w:rPr>
          <w:rFonts w:ascii="Times New Roman" w:hAnsi="Times New Roman" w:cs="Times New Roman"/>
          <w:sz w:val="24"/>
          <w:szCs w:val="24"/>
        </w:rPr>
        <w:t>investments into various sectors of the economy (Central Bank of Nigeria</w:t>
      </w:r>
      <w:r w:rsidR="006E3826" w:rsidRPr="005E2B16">
        <w:rPr>
          <w:rFonts w:ascii="Times New Roman" w:hAnsi="Times New Roman" w:cs="Times New Roman"/>
          <w:sz w:val="24"/>
          <w:szCs w:val="24"/>
        </w:rPr>
        <w:t>-CBN</w:t>
      </w:r>
      <w:r w:rsidR="00F962C2" w:rsidRPr="005E2B16">
        <w:rPr>
          <w:rFonts w:ascii="Times New Roman" w:hAnsi="Times New Roman" w:cs="Times New Roman"/>
          <w:sz w:val="24"/>
          <w:szCs w:val="24"/>
        </w:rPr>
        <w:t xml:space="preserve">, 2013). </w:t>
      </w:r>
      <w:r w:rsidR="0097520A" w:rsidRPr="005E2B16">
        <w:rPr>
          <w:rFonts w:ascii="Times New Roman" w:hAnsi="Times New Roman" w:cs="Times New Roman"/>
          <w:sz w:val="24"/>
          <w:szCs w:val="24"/>
        </w:rPr>
        <w:t xml:space="preserve">The </w:t>
      </w:r>
      <w:r w:rsidR="00CD53B4" w:rsidRPr="005E2B16">
        <w:rPr>
          <w:rFonts w:ascii="Times New Roman" w:hAnsi="Times New Roman" w:cs="Times New Roman"/>
          <w:sz w:val="24"/>
          <w:szCs w:val="24"/>
        </w:rPr>
        <w:t xml:space="preserve">Ghanaian Government is involved in granting rebates for corporate </w:t>
      </w:r>
      <w:r w:rsidR="00CD53B4" w:rsidRPr="005E2B16">
        <w:rPr>
          <w:rFonts w:ascii="Times New Roman" w:hAnsi="Times New Roman" w:cs="Times New Roman"/>
          <w:sz w:val="24"/>
          <w:szCs w:val="24"/>
        </w:rPr>
        <w:lastRenderedPageBreak/>
        <w:t xml:space="preserve">income tax of manufacturing firms located in some specific regions of the country, carry-forward losses for up to five years, investment guarantees and exemption of import duties (Action Aid, 2014). Also, </w:t>
      </w:r>
      <w:r w:rsidR="00F962C2" w:rsidRPr="005E2B16">
        <w:rPr>
          <w:rFonts w:ascii="Times New Roman" w:hAnsi="Times New Roman" w:cs="Times New Roman"/>
          <w:sz w:val="24"/>
          <w:szCs w:val="24"/>
        </w:rPr>
        <w:t>South Africa, Cameroon, and a host of others</w:t>
      </w:r>
      <w:r w:rsidR="00CD53B4" w:rsidRPr="005E2B16">
        <w:rPr>
          <w:rFonts w:ascii="Times New Roman" w:hAnsi="Times New Roman" w:cs="Times New Roman"/>
          <w:sz w:val="24"/>
          <w:szCs w:val="24"/>
        </w:rPr>
        <w:t xml:space="preserve"> apply specific fiscal incentives</w:t>
      </w:r>
      <w:r w:rsidR="00F962C2" w:rsidRPr="005E2B16">
        <w:rPr>
          <w:rFonts w:ascii="Times New Roman" w:hAnsi="Times New Roman" w:cs="Times New Roman"/>
          <w:sz w:val="24"/>
          <w:szCs w:val="24"/>
        </w:rPr>
        <w:t>.</w:t>
      </w:r>
      <w:r>
        <w:rPr>
          <w:rFonts w:ascii="Times New Roman" w:hAnsi="Times New Roman" w:cs="Times New Roman"/>
          <w:sz w:val="24"/>
          <w:szCs w:val="24"/>
        </w:rPr>
        <w:t xml:space="preserve"> Noting the revamped interest of African government to industrialise and the attention directed at including fiscal incentive as a viable policy option, our study therefore examines its impact on productivity</w:t>
      </w:r>
      <w:r w:rsidR="00476C42">
        <w:rPr>
          <w:rFonts w:ascii="Times New Roman" w:hAnsi="Times New Roman" w:cs="Times New Roman"/>
          <w:sz w:val="24"/>
          <w:szCs w:val="24"/>
        </w:rPr>
        <w:t xml:space="preserve"> by using case studies from Cameroon.</w:t>
      </w:r>
    </w:p>
    <w:p w14:paraId="6FA8E8EB" w14:textId="77777777" w:rsidR="008F15FE" w:rsidRPr="005E2B16" w:rsidRDefault="008F15FE" w:rsidP="00F962C2">
      <w:pPr>
        <w:spacing w:after="0"/>
        <w:jc w:val="both"/>
        <w:rPr>
          <w:rFonts w:ascii="Times New Roman" w:hAnsi="Times New Roman" w:cs="Times New Roman"/>
          <w:sz w:val="24"/>
          <w:szCs w:val="24"/>
        </w:rPr>
      </w:pPr>
    </w:p>
    <w:p w14:paraId="2D0559A2" w14:textId="7865C7FE" w:rsidR="009B3196" w:rsidRPr="005E2B16" w:rsidRDefault="009B3196" w:rsidP="009B31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Cameroon i</w:t>
      </w:r>
      <w:r w:rsidRPr="00A55EC9">
        <w:rPr>
          <w:rFonts w:ascii="Times New Roman" w:hAnsi="Times New Roman" w:cs="Times New Roman"/>
          <w:sz w:val="24"/>
          <w:szCs w:val="24"/>
        </w:rPr>
        <w:t>s a</w:t>
      </w:r>
      <w:r>
        <w:rPr>
          <w:rFonts w:ascii="Times New Roman" w:hAnsi="Times New Roman" w:cs="Times New Roman"/>
          <w:sz w:val="24"/>
          <w:szCs w:val="24"/>
        </w:rPr>
        <w:t>n important</w:t>
      </w:r>
      <w:r w:rsidRPr="00A55EC9">
        <w:rPr>
          <w:rFonts w:ascii="Times New Roman" w:hAnsi="Times New Roman" w:cs="Times New Roman"/>
          <w:sz w:val="24"/>
          <w:szCs w:val="24"/>
        </w:rPr>
        <w:t xml:space="preserve"> case </w:t>
      </w:r>
      <w:r>
        <w:rPr>
          <w:rFonts w:ascii="Times New Roman" w:hAnsi="Times New Roman" w:cs="Times New Roman"/>
          <w:sz w:val="24"/>
          <w:szCs w:val="24"/>
        </w:rPr>
        <w:t xml:space="preserve">considering that </w:t>
      </w:r>
      <w:r w:rsidRPr="00A55EC9">
        <w:rPr>
          <w:rFonts w:ascii="Times New Roman" w:hAnsi="Times New Roman" w:cs="Times New Roman"/>
          <w:sz w:val="24"/>
          <w:szCs w:val="24"/>
        </w:rPr>
        <w:t xml:space="preserve">in </w:t>
      </w:r>
      <w:r>
        <w:rPr>
          <w:rFonts w:ascii="Times New Roman" w:hAnsi="Times New Roman" w:cs="Times New Roman"/>
          <w:sz w:val="24"/>
          <w:szCs w:val="24"/>
        </w:rPr>
        <w:t>2013</w:t>
      </w:r>
      <w:r w:rsidRPr="00A55EC9">
        <w:rPr>
          <w:rFonts w:ascii="Times New Roman" w:hAnsi="Times New Roman" w:cs="Times New Roman"/>
          <w:sz w:val="24"/>
          <w:szCs w:val="24"/>
        </w:rPr>
        <w:t xml:space="preserve"> the government </w:t>
      </w:r>
      <w:r>
        <w:rPr>
          <w:rFonts w:ascii="Times New Roman" w:hAnsi="Times New Roman" w:cs="Times New Roman"/>
          <w:sz w:val="24"/>
          <w:szCs w:val="24"/>
        </w:rPr>
        <w:t>enacted</w:t>
      </w:r>
      <w:r w:rsidRPr="00A55EC9">
        <w:rPr>
          <w:rFonts w:ascii="Times New Roman" w:hAnsi="Times New Roman" w:cs="Times New Roman"/>
          <w:sz w:val="24"/>
          <w:szCs w:val="24"/>
        </w:rPr>
        <w:t xml:space="preserve"> the investment incentive law No. 2013/004, which establishes the government’s commitment towards </w:t>
      </w:r>
      <w:r>
        <w:rPr>
          <w:rFonts w:ascii="Times New Roman" w:hAnsi="Times New Roman" w:cs="Times New Roman"/>
          <w:sz w:val="24"/>
          <w:szCs w:val="24"/>
        </w:rPr>
        <w:t xml:space="preserve">enhancing fiscal incentives for an improved </w:t>
      </w:r>
      <w:r w:rsidRPr="00A55EC9">
        <w:rPr>
          <w:rFonts w:ascii="Times New Roman" w:hAnsi="Times New Roman" w:cs="Times New Roman"/>
          <w:sz w:val="24"/>
          <w:szCs w:val="24"/>
        </w:rPr>
        <w:t>investment climate</w:t>
      </w:r>
      <w:r w:rsidRPr="005E2B16">
        <w:rPr>
          <w:rFonts w:ascii="Times New Roman" w:hAnsi="Times New Roman" w:cs="Times New Roman"/>
          <w:sz w:val="24"/>
          <w:szCs w:val="24"/>
        </w:rPr>
        <w:t xml:space="preserve">. </w:t>
      </w:r>
      <w:r>
        <w:rPr>
          <w:rFonts w:ascii="Times New Roman" w:hAnsi="Times New Roman" w:cs="Times New Roman"/>
          <w:sz w:val="24"/>
          <w:szCs w:val="24"/>
        </w:rPr>
        <w:t xml:space="preserve">Which was the latest legislation by an African government (as at the time of this study) that was directed at using fiscal incentive for </w:t>
      </w:r>
      <w:r w:rsidR="000B2184">
        <w:rPr>
          <w:rFonts w:ascii="Times New Roman" w:hAnsi="Times New Roman" w:cs="Times New Roman"/>
          <w:sz w:val="24"/>
          <w:szCs w:val="24"/>
        </w:rPr>
        <w:t xml:space="preserve">improved investment. </w:t>
      </w:r>
      <w:r>
        <w:rPr>
          <w:rFonts w:ascii="Times New Roman" w:hAnsi="Times New Roman" w:cs="Times New Roman"/>
          <w:sz w:val="24"/>
          <w:szCs w:val="24"/>
        </w:rPr>
        <w:t>Hence</w:t>
      </w:r>
      <w:r w:rsidRPr="005E2B16">
        <w:rPr>
          <w:rFonts w:ascii="Times New Roman" w:hAnsi="Times New Roman" w:cs="Times New Roman"/>
          <w:sz w:val="24"/>
          <w:szCs w:val="24"/>
        </w:rPr>
        <w:t xml:space="preserve">, it </w:t>
      </w:r>
      <w:r>
        <w:rPr>
          <w:rFonts w:ascii="Times New Roman" w:hAnsi="Times New Roman" w:cs="Times New Roman"/>
          <w:sz w:val="24"/>
          <w:szCs w:val="24"/>
        </w:rPr>
        <w:t xml:space="preserve">is </w:t>
      </w:r>
      <w:r w:rsidRPr="005E2B16">
        <w:rPr>
          <w:rFonts w:ascii="Times New Roman" w:hAnsi="Times New Roman" w:cs="Times New Roman"/>
          <w:sz w:val="24"/>
          <w:szCs w:val="24"/>
        </w:rPr>
        <w:t xml:space="preserve">worth </w:t>
      </w:r>
      <w:r>
        <w:rPr>
          <w:rFonts w:ascii="Times New Roman" w:hAnsi="Times New Roman" w:cs="Times New Roman"/>
          <w:sz w:val="24"/>
          <w:szCs w:val="24"/>
        </w:rPr>
        <w:t xml:space="preserve">considering an </w:t>
      </w:r>
      <w:r w:rsidRPr="005E2B16">
        <w:rPr>
          <w:rFonts w:ascii="Times New Roman" w:hAnsi="Times New Roman" w:cs="Times New Roman"/>
          <w:sz w:val="24"/>
          <w:szCs w:val="24"/>
        </w:rPr>
        <w:t>impact evaluation</w:t>
      </w:r>
      <w:r>
        <w:rPr>
          <w:rFonts w:ascii="Times New Roman" w:hAnsi="Times New Roman" w:cs="Times New Roman"/>
          <w:sz w:val="24"/>
          <w:szCs w:val="24"/>
        </w:rPr>
        <w:t xml:space="preserve"> on </w:t>
      </w:r>
      <w:r w:rsidRPr="005E2B16">
        <w:rPr>
          <w:rFonts w:ascii="Times New Roman" w:hAnsi="Times New Roman" w:cs="Times New Roman"/>
          <w:sz w:val="24"/>
          <w:szCs w:val="24"/>
        </w:rPr>
        <w:t xml:space="preserve">which new generation of </w:t>
      </w:r>
      <w:r>
        <w:rPr>
          <w:rFonts w:ascii="Times New Roman" w:hAnsi="Times New Roman" w:cs="Times New Roman"/>
          <w:sz w:val="24"/>
          <w:szCs w:val="24"/>
        </w:rPr>
        <w:t xml:space="preserve">industrialization </w:t>
      </w:r>
      <w:r w:rsidRPr="005E2B16">
        <w:rPr>
          <w:rFonts w:ascii="Times New Roman" w:hAnsi="Times New Roman" w:cs="Times New Roman"/>
          <w:sz w:val="24"/>
          <w:szCs w:val="24"/>
        </w:rPr>
        <w:t>policies</w:t>
      </w:r>
      <w:r>
        <w:rPr>
          <w:rFonts w:ascii="Times New Roman" w:hAnsi="Times New Roman" w:cs="Times New Roman"/>
          <w:sz w:val="24"/>
          <w:szCs w:val="24"/>
        </w:rPr>
        <w:t xml:space="preserve"> can be based upon</w:t>
      </w:r>
      <w:r w:rsidRPr="005E2B16">
        <w:rPr>
          <w:rFonts w:ascii="Times New Roman" w:hAnsi="Times New Roman" w:cs="Times New Roman"/>
          <w:sz w:val="24"/>
          <w:szCs w:val="24"/>
        </w:rPr>
        <w:t xml:space="preserve">, provided that the political leaders desire to sustain this momentum and move in </w:t>
      </w:r>
      <w:r>
        <w:rPr>
          <w:rFonts w:ascii="Times New Roman" w:hAnsi="Times New Roman" w:cs="Times New Roman"/>
          <w:sz w:val="24"/>
          <w:szCs w:val="24"/>
        </w:rPr>
        <w:t xml:space="preserve">such </w:t>
      </w:r>
      <w:r w:rsidRPr="005E2B16">
        <w:rPr>
          <w:rFonts w:ascii="Times New Roman" w:hAnsi="Times New Roman" w:cs="Times New Roman"/>
          <w:sz w:val="24"/>
          <w:szCs w:val="24"/>
        </w:rPr>
        <w:t xml:space="preserve">direction.        </w:t>
      </w:r>
    </w:p>
    <w:p w14:paraId="5B78313A" w14:textId="77777777" w:rsidR="009B3196" w:rsidRDefault="009B3196" w:rsidP="008E199B">
      <w:pPr>
        <w:autoSpaceDE w:val="0"/>
        <w:autoSpaceDN w:val="0"/>
        <w:adjustRightInd w:val="0"/>
        <w:spacing w:after="0" w:line="240" w:lineRule="auto"/>
        <w:jc w:val="both"/>
        <w:rPr>
          <w:rFonts w:ascii="Times New Roman" w:hAnsi="Times New Roman" w:cs="Times New Roman"/>
          <w:sz w:val="24"/>
          <w:szCs w:val="24"/>
        </w:rPr>
      </w:pPr>
    </w:p>
    <w:p w14:paraId="64EB51A3" w14:textId="47C28753" w:rsidR="008E199B" w:rsidRPr="005E2B16" w:rsidRDefault="00147EB6" w:rsidP="008E1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Focusing on</w:t>
      </w:r>
      <w:r w:rsidR="00641970" w:rsidRPr="005E2B16">
        <w:rPr>
          <w:rFonts w:ascii="Times New Roman" w:hAnsi="Times New Roman" w:cs="Times New Roman"/>
          <w:sz w:val="24"/>
          <w:szCs w:val="24"/>
        </w:rPr>
        <w:t xml:space="preserve"> </w:t>
      </w:r>
      <w:r>
        <w:rPr>
          <w:rFonts w:ascii="Times New Roman" w:hAnsi="Times New Roman" w:cs="Times New Roman"/>
          <w:sz w:val="24"/>
          <w:szCs w:val="24"/>
        </w:rPr>
        <w:t xml:space="preserve">fiscal incentive and firm productivity is </w:t>
      </w:r>
      <w:r w:rsidR="000B2184">
        <w:rPr>
          <w:rFonts w:ascii="Times New Roman" w:hAnsi="Times New Roman" w:cs="Times New Roman"/>
          <w:sz w:val="24"/>
          <w:szCs w:val="24"/>
        </w:rPr>
        <w:t xml:space="preserve">also </w:t>
      </w:r>
      <w:r>
        <w:rPr>
          <w:rFonts w:ascii="Times New Roman" w:hAnsi="Times New Roman" w:cs="Times New Roman"/>
          <w:sz w:val="24"/>
          <w:szCs w:val="24"/>
        </w:rPr>
        <w:t>important for the following reasons</w:t>
      </w:r>
      <w:r w:rsidR="00641970" w:rsidRPr="005E2B16">
        <w:rPr>
          <w:rFonts w:ascii="Times New Roman" w:hAnsi="Times New Roman" w:cs="Times New Roman"/>
          <w:sz w:val="24"/>
          <w:szCs w:val="24"/>
        </w:rPr>
        <w:t>: first, to our knowledge, there is a lack of econometric studies that analyse the impact of government in</w:t>
      </w:r>
      <w:r>
        <w:rPr>
          <w:rFonts w:ascii="Times New Roman" w:hAnsi="Times New Roman" w:cs="Times New Roman"/>
          <w:sz w:val="24"/>
          <w:szCs w:val="24"/>
        </w:rPr>
        <w:t>centives on firms’ productivity in Africa</w:t>
      </w:r>
      <w:r w:rsidR="00641970" w:rsidRPr="005E2B16">
        <w:rPr>
          <w:rFonts w:ascii="Times New Roman" w:hAnsi="Times New Roman" w:cs="Times New Roman"/>
          <w:sz w:val="24"/>
          <w:szCs w:val="24"/>
        </w:rPr>
        <w:t xml:space="preserve">. </w:t>
      </w:r>
      <w:r>
        <w:rPr>
          <w:rFonts w:ascii="Times New Roman" w:hAnsi="Times New Roman" w:cs="Times New Roman"/>
          <w:sz w:val="24"/>
          <w:szCs w:val="24"/>
        </w:rPr>
        <w:t xml:space="preserve">Some studies </w:t>
      </w:r>
      <w:r w:rsidR="00641970" w:rsidRPr="005E2B16">
        <w:rPr>
          <w:rFonts w:ascii="Times New Roman" w:hAnsi="Times New Roman" w:cs="Times New Roman"/>
          <w:sz w:val="24"/>
          <w:szCs w:val="24"/>
        </w:rPr>
        <w:t>closest to our</w:t>
      </w:r>
      <w:r>
        <w:rPr>
          <w:rFonts w:ascii="Times New Roman" w:hAnsi="Times New Roman" w:cs="Times New Roman"/>
          <w:sz w:val="24"/>
          <w:szCs w:val="24"/>
        </w:rPr>
        <w:t>s include Cleeve</w:t>
      </w:r>
      <w:r w:rsidR="00641970" w:rsidRPr="005E2B16">
        <w:rPr>
          <w:rFonts w:ascii="Times New Roman" w:hAnsi="Times New Roman" w:cs="Times New Roman"/>
          <w:sz w:val="24"/>
          <w:szCs w:val="24"/>
        </w:rPr>
        <w:t xml:space="preserve"> </w:t>
      </w:r>
      <w:r>
        <w:rPr>
          <w:rFonts w:ascii="Times New Roman" w:hAnsi="Times New Roman" w:cs="Times New Roman"/>
          <w:sz w:val="24"/>
          <w:szCs w:val="24"/>
        </w:rPr>
        <w:t>(</w:t>
      </w:r>
      <w:r w:rsidR="00641970" w:rsidRPr="005E2B16">
        <w:rPr>
          <w:rFonts w:ascii="Times New Roman" w:hAnsi="Times New Roman" w:cs="Times New Roman"/>
          <w:sz w:val="24"/>
          <w:szCs w:val="24"/>
        </w:rPr>
        <w:t>2008)</w:t>
      </w:r>
      <w:r>
        <w:rPr>
          <w:rFonts w:ascii="Times New Roman" w:hAnsi="Times New Roman" w:cs="Times New Roman"/>
          <w:sz w:val="24"/>
          <w:szCs w:val="24"/>
        </w:rPr>
        <w:t xml:space="preserve"> who used </w:t>
      </w:r>
      <w:r w:rsidRPr="005E2B16">
        <w:rPr>
          <w:rFonts w:ascii="Times New Roman" w:hAnsi="Times New Roman" w:cs="Times New Roman"/>
          <w:sz w:val="24"/>
          <w:szCs w:val="24"/>
        </w:rPr>
        <w:t xml:space="preserve">macro data analysis </w:t>
      </w:r>
      <w:r>
        <w:rPr>
          <w:rFonts w:ascii="Times New Roman" w:hAnsi="Times New Roman" w:cs="Times New Roman"/>
          <w:sz w:val="24"/>
          <w:szCs w:val="24"/>
        </w:rPr>
        <w:t xml:space="preserve">to underscore the importance of </w:t>
      </w:r>
      <w:r w:rsidRPr="005E2B16">
        <w:rPr>
          <w:rFonts w:ascii="Times New Roman" w:hAnsi="Times New Roman" w:cs="Times New Roman"/>
          <w:sz w:val="24"/>
          <w:szCs w:val="24"/>
        </w:rPr>
        <w:t>fiscal in</w:t>
      </w:r>
      <w:r>
        <w:rPr>
          <w:rFonts w:ascii="Times New Roman" w:hAnsi="Times New Roman" w:cs="Times New Roman"/>
          <w:sz w:val="24"/>
          <w:szCs w:val="24"/>
        </w:rPr>
        <w:t>centive</w:t>
      </w:r>
      <w:r w:rsidRPr="005E2B16">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5E2B16">
        <w:rPr>
          <w:rFonts w:ascii="Times New Roman" w:hAnsi="Times New Roman" w:cs="Times New Roman"/>
          <w:sz w:val="24"/>
          <w:szCs w:val="24"/>
        </w:rPr>
        <w:t xml:space="preserve">foreign investment </w:t>
      </w:r>
      <w:r>
        <w:rPr>
          <w:rFonts w:ascii="Times New Roman" w:hAnsi="Times New Roman" w:cs="Times New Roman"/>
          <w:sz w:val="24"/>
          <w:szCs w:val="24"/>
        </w:rPr>
        <w:t>in Africa</w:t>
      </w:r>
      <w:r w:rsidR="00641970" w:rsidRPr="005E2B16">
        <w:rPr>
          <w:rFonts w:ascii="Times New Roman" w:hAnsi="Times New Roman" w:cs="Times New Roman"/>
          <w:sz w:val="24"/>
          <w:szCs w:val="24"/>
        </w:rPr>
        <w:t xml:space="preserve">. </w:t>
      </w:r>
      <w:r w:rsidR="00971B8F" w:rsidRPr="005E2B16">
        <w:rPr>
          <w:rFonts w:ascii="Times New Roman" w:hAnsi="Times New Roman" w:cs="Times New Roman"/>
          <w:sz w:val="24"/>
          <w:szCs w:val="24"/>
        </w:rPr>
        <w:t>Arnold, Mattoo and Narciso (2008) consider</w:t>
      </w:r>
      <w:r>
        <w:rPr>
          <w:rFonts w:ascii="Times New Roman" w:hAnsi="Times New Roman" w:cs="Times New Roman"/>
          <w:sz w:val="24"/>
          <w:szCs w:val="24"/>
        </w:rPr>
        <w:t>s</w:t>
      </w:r>
      <w:r w:rsidR="00971B8F" w:rsidRPr="005E2B16">
        <w:rPr>
          <w:rFonts w:ascii="Times New Roman" w:hAnsi="Times New Roman" w:cs="Times New Roman"/>
          <w:sz w:val="24"/>
          <w:szCs w:val="24"/>
        </w:rPr>
        <w:t xml:space="preserve"> firm-level data, but focused on services inputs</w:t>
      </w:r>
      <w:r w:rsidR="0097520A" w:rsidRPr="005E2B16">
        <w:rPr>
          <w:rFonts w:ascii="Times New Roman" w:hAnsi="Times New Roman" w:cs="Times New Roman"/>
          <w:sz w:val="24"/>
          <w:szCs w:val="24"/>
        </w:rPr>
        <w:t xml:space="preserve">. </w:t>
      </w:r>
      <w:r w:rsidR="006E3826" w:rsidRPr="005E2B16">
        <w:rPr>
          <w:rFonts w:ascii="Times New Roman" w:hAnsi="Times New Roman" w:cs="Times New Roman"/>
          <w:sz w:val="24"/>
          <w:szCs w:val="24"/>
        </w:rPr>
        <w:t>At best, there has been policy documents</w:t>
      </w:r>
      <w:r>
        <w:rPr>
          <w:rFonts w:ascii="Times New Roman" w:hAnsi="Times New Roman" w:cs="Times New Roman"/>
          <w:sz w:val="24"/>
          <w:szCs w:val="24"/>
        </w:rPr>
        <w:t xml:space="preserve"> with country specific cases</w:t>
      </w:r>
      <w:r w:rsidR="006E3826" w:rsidRPr="005E2B16">
        <w:rPr>
          <w:rFonts w:ascii="Times New Roman" w:hAnsi="Times New Roman" w:cs="Times New Roman"/>
          <w:sz w:val="24"/>
          <w:szCs w:val="24"/>
        </w:rPr>
        <w:t xml:space="preserve"> that has emphasised on the importance of fiscal incentives on productivity of firms in Africa. They include the CBN (2013) that focused on Ni</w:t>
      </w:r>
      <w:r>
        <w:rPr>
          <w:rFonts w:ascii="Times New Roman" w:hAnsi="Times New Roman" w:cs="Times New Roman"/>
          <w:sz w:val="24"/>
          <w:szCs w:val="24"/>
        </w:rPr>
        <w:t>geria;</w:t>
      </w:r>
      <w:r w:rsidR="006E3826" w:rsidRPr="005E2B16">
        <w:rPr>
          <w:rFonts w:ascii="Times New Roman" w:hAnsi="Times New Roman" w:cs="Times New Roman"/>
          <w:sz w:val="24"/>
          <w:szCs w:val="24"/>
        </w:rPr>
        <w:t xml:space="preserve"> the OECD (2007) document that focused, in p</w:t>
      </w:r>
      <w:r>
        <w:rPr>
          <w:rFonts w:ascii="Times New Roman" w:hAnsi="Times New Roman" w:cs="Times New Roman"/>
          <w:sz w:val="24"/>
          <w:szCs w:val="24"/>
        </w:rPr>
        <w:t>art, on North African countries;</w:t>
      </w:r>
      <w:r w:rsidR="006E3826" w:rsidRPr="005E2B16">
        <w:rPr>
          <w:rFonts w:ascii="Times New Roman" w:hAnsi="Times New Roman" w:cs="Times New Roman"/>
          <w:sz w:val="24"/>
          <w:szCs w:val="24"/>
        </w:rPr>
        <w:t xml:space="preserve"> and the IMF (2012) </w:t>
      </w:r>
      <w:r>
        <w:rPr>
          <w:rFonts w:ascii="Times New Roman" w:hAnsi="Times New Roman" w:cs="Times New Roman"/>
          <w:sz w:val="24"/>
          <w:szCs w:val="24"/>
        </w:rPr>
        <w:t xml:space="preserve">study </w:t>
      </w:r>
      <w:r w:rsidR="006E3826" w:rsidRPr="005E2B16">
        <w:rPr>
          <w:rFonts w:ascii="Times New Roman" w:hAnsi="Times New Roman" w:cs="Times New Roman"/>
          <w:sz w:val="24"/>
          <w:szCs w:val="24"/>
        </w:rPr>
        <w:t xml:space="preserve">that focused on </w:t>
      </w:r>
      <w:r w:rsidR="006560BC" w:rsidRPr="005E2B16">
        <w:rPr>
          <w:rFonts w:ascii="Times New Roman" w:hAnsi="Times New Roman" w:cs="Times New Roman"/>
          <w:sz w:val="24"/>
          <w:szCs w:val="24"/>
        </w:rPr>
        <w:t>growth sustenance of Af</w:t>
      </w:r>
      <w:r w:rsidR="00B770E6" w:rsidRPr="005E2B16">
        <w:rPr>
          <w:rFonts w:ascii="Times New Roman" w:hAnsi="Times New Roman" w:cs="Times New Roman"/>
          <w:sz w:val="24"/>
          <w:szCs w:val="24"/>
        </w:rPr>
        <w:t xml:space="preserve">rican countries. </w:t>
      </w:r>
      <w:r w:rsidR="00CC0F6E" w:rsidRPr="005E2B16">
        <w:rPr>
          <w:rFonts w:ascii="Times New Roman" w:hAnsi="Times New Roman" w:cs="Times New Roman"/>
          <w:sz w:val="24"/>
          <w:szCs w:val="24"/>
        </w:rPr>
        <w:t xml:space="preserve">Second, our study complements the growing theoretical and policy literature on the importance of developing countries’ government involvement with the private sector </w:t>
      </w:r>
      <w:r w:rsidR="00177545">
        <w:rPr>
          <w:rFonts w:ascii="Times New Roman" w:hAnsi="Times New Roman" w:cs="Times New Roman"/>
          <w:sz w:val="24"/>
          <w:szCs w:val="24"/>
        </w:rPr>
        <w:t>to provide</w:t>
      </w:r>
      <w:r w:rsidR="00CC0F6E" w:rsidRPr="005E2B16">
        <w:rPr>
          <w:rFonts w:ascii="Times New Roman" w:hAnsi="Times New Roman" w:cs="Times New Roman"/>
          <w:sz w:val="24"/>
          <w:szCs w:val="24"/>
        </w:rPr>
        <w:t xml:space="preserve"> incentives that will offset the shortcomings of the</w:t>
      </w:r>
      <w:r w:rsidR="00177545">
        <w:rPr>
          <w:rFonts w:ascii="Times New Roman" w:hAnsi="Times New Roman" w:cs="Times New Roman"/>
          <w:sz w:val="24"/>
          <w:szCs w:val="24"/>
        </w:rPr>
        <w:t xml:space="preserve"> impending </w:t>
      </w:r>
      <w:r w:rsidR="00CC0F6E" w:rsidRPr="005E2B16">
        <w:rPr>
          <w:rFonts w:ascii="Times New Roman" w:hAnsi="Times New Roman" w:cs="Times New Roman"/>
          <w:sz w:val="24"/>
          <w:szCs w:val="24"/>
        </w:rPr>
        <w:t xml:space="preserve">business environment (see </w:t>
      </w:r>
      <w:r w:rsidR="00AD0DDE" w:rsidRPr="005E2B16">
        <w:rPr>
          <w:rFonts w:ascii="Times New Roman" w:hAnsi="Times New Roman" w:cs="Times New Roman"/>
          <w:sz w:val="24"/>
          <w:szCs w:val="24"/>
        </w:rPr>
        <w:t xml:space="preserve">UNCTAD, 2000; </w:t>
      </w:r>
      <w:r w:rsidR="00CC0F6E" w:rsidRPr="005E2B16">
        <w:rPr>
          <w:rFonts w:ascii="Times New Roman" w:hAnsi="Times New Roman" w:cs="Times New Roman"/>
          <w:sz w:val="24"/>
          <w:szCs w:val="24"/>
        </w:rPr>
        <w:t xml:space="preserve">UNCTAD, 2004; </w:t>
      </w:r>
      <w:r w:rsidR="00AD0DDE" w:rsidRPr="005E2B16">
        <w:rPr>
          <w:rFonts w:ascii="Times New Roman" w:hAnsi="Times New Roman" w:cs="Times New Roman"/>
          <w:sz w:val="24"/>
          <w:szCs w:val="24"/>
        </w:rPr>
        <w:t>Cleeve, 2008; IMF, 2012; UNCTAD, 2015</w:t>
      </w:r>
      <w:r w:rsidR="00CC0F6E" w:rsidRPr="005E2B16">
        <w:rPr>
          <w:rFonts w:ascii="Times New Roman" w:hAnsi="Times New Roman" w:cs="Times New Roman"/>
          <w:sz w:val="24"/>
          <w:szCs w:val="24"/>
        </w:rPr>
        <w:t>).</w:t>
      </w:r>
      <w:r w:rsidR="00AD0DDE" w:rsidRPr="005E2B16">
        <w:rPr>
          <w:rFonts w:ascii="Times New Roman" w:hAnsi="Times New Roman" w:cs="Times New Roman"/>
          <w:sz w:val="24"/>
          <w:szCs w:val="24"/>
        </w:rPr>
        <w:t xml:space="preserve"> </w:t>
      </w:r>
      <w:r w:rsidR="00177545">
        <w:rPr>
          <w:rFonts w:ascii="Times New Roman" w:hAnsi="Times New Roman" w:cs="Times New Roman"/>
          <w:sz w:val="24"/>
          <w:szCs w:val="24"/>
        </w:rPr>
        <w:t>A</w:t>
      </w:r>
      <w:r w:rsidR="00FA0249" w:rsidRPr="005E2B16">
        <w:rPr>
          <w:rFonts w:ascii="Times New Roman" w:hAnsi="Times New Roman" w:cs="Times New Roman"/>
          <w:sz w:val="24"/>
          <w:szCs w:val="24"/>
        </w:rPr>
        <w:t xml:space="preserve">part from considering multidimensional measures of incentives, </w:t>
      </w:r>
      <w:r w:rsidR="00AD0DDE" w:rsidRPr="005E2B16">
        <w:rPr>
          <w:rFonts w:ascii="Times New Roman" w:hAnsi="Times New Roman" w:cs="Times New Roman"/>
          <w:sz w:val="24"/>
          <w:szCs w:val="24"/>
        </w:rPr>
        <w:t xml:space="preserve">we </w:t>
      </w:r>
      <w:r w:rsidR="00FA0249" w:rsidRPr="005E2B16">
        <w:rPr>
          <w:rFonts w:ascii="Times New Roman" w:hAnsi="Times New Roman" w:cs="Times New Roman"/>
          <w:sz w:val="24"/>
          <w:szCs w:val="24"/>
        </w:rPr>
        <w:t xml:space="preserve">apply the impact evaluation </w:t>
      </w:r>
      <w:r w:rsidR="000B2184" w:rsidRPr="005E2B16">
        <w:rPr>
          <w:rFonts w:ascii="Times New Roman" w:hAnsi="Times New Roman" w:cs="Times New Roman"/>
          <w:sz w:val="24"/>
          <w:szCs w:val="24"/>
        </w:rPr>
        <w:t>methodology, which</w:t>
      </w:r>
      <w:r w:rsidR="00FA0249" w:rsidRPr="005E2B16">
        <w:rPr>
          <w:rFonts w:ascii="Times New Roman" w:hAnsi="Times New Roman" w:cs="Times New Roman"/>
          <w:sz w:val="24"/>
          <w:szCs w:val="24"/>
        </w:rPr>
        <w:t xml:space="preserve"> has sparsely been introduced in studies of this nature. </w:t>
      </w:r>
      <w:r w:rsidR="006649F6" w:rsidRPr="005E2B16">
        <w:rPr>
          <w:rFonts w:ascii="Times New Roman" w:hAnsi="Times New Roman" w:cs="Times New Roman"/>
          <w:sz w:val="24"/>
          <w:szCs w:val="24"/>
        </w:rPr>
        <w:t>This approach is relevant</w:t>
      </w:r>
      <w:r w:rsidR="002E6C30">
        <w:rPr>
          <w:rFonts w:ascii="Times New Roman" w:hAnsi="Times New Roman" w:cs="Times New Roman"/>
          <w:sz w:val="24"/>
          <w:szCs w:val="24"/>
        </w:rPr>
        <w:t>,</w:t>
      </w:r>
      <w:r w:rsidR="006649F6" w:rsidRPr="005E2B16">
        <w:rPr>
          <w:rFonts w:ascii="Times New Roman" w:hAnsi="Times New Roman" w:cs="Times New Roman"/>
          <w:sz w:val="24"/>
          <w:szCs w:val="24"/>
        </w:rPr>
        <w:t xml:space="preserve"> since it goes beyond showing the linear impact of fiscal in</w:t>
      </w:r>
      <w:r w:rsidR="002E6C30">
        <w:rPr>
          <w:rFonts w:ascii="Times New Roman" w:hAnsi="Times New Roman" w:cs="Times New Roman"/>
          <w:sz w:val="24"/>
          <w:szCs w:val="24"/>
        </w:rPr>
        <w:t>centives on firms’ productivity</w:t>
      </w:r>
      <w:r w:rsidR="000B2184">
        <w:rPr>
          <w:rFonts w:ascii="Times New Roman" w:hAnsi="Times New Roman" w:cs="Times New Roman"/>
          <w:sz w:val="24"/>
          <w:szCs w:val="24"/>
        </w:rPr>
        <w:t>,</w:t>
      </w:r>
      <w:r w:rsidR="006649F6" w:rsidRPr="005E2B16">
        <w:rPr>
          <w:rFonts w:ascii="Times New Roman" w:hAnsi="Times New Roman" w:cs="Times New Roman"/>
          <w:sz w:val="24"/>
          <w:szCs w:val="24"/>
        </w:rPr>
        <w:t xml:space="preserve"> to </w:t>
      </w:r>
      <w:r w:rsidR="002E6C30">
        <w:rPr>
          <w:rFonts w:ascii="Times New Roman" w:hAnsi="Times New Roman" w:cs="Times New Roman"/>
          <w:sz w:val="24"/>
          <w:szCs w:val="24"/>
        </w:rPr>
        <w:t xml:space="preserve">understanding the counterfactual effect - </w:t>
      </w:r>
      <w:r w:rsidR="00FA0249" w:rsidRPr="005E2B16">
        <w:rPr>
          <w:rFonts w:ascii="Times New Roman" w:hAnsi="Times New Roman" w:cs="Times New Roman"/>
          <w:sz w:val="24"/>
          <w:szCs w:val="24"/>
        </w:rPr>
        <w:t xml:space="preserve">what could have been the </w:t>
      </w:r>
      <w:r w:rsidR="006649F6" w:rsidRPr="005E2B16">
        <w:rPr>
          <w:rFonts w:ascii="Times New Roman" w:hAnsi="Times New Roman" w:cs="Times New Roman"/>
          <w:sz w:val="24"/>
          <w:szCs w:val="24"/>
        </w:rPr>
        <w:t>productivity</w:t>
      </w:r>
      <w:r w:rsidR="00FA0249" w:rsidRPr="005E2B16">
        <w:rPr>
          <w:rFonts w:ascii="Times New Roman" w:hAnsi="Times New Roman" w:cs="Times New Roman"/>
          <w:sz w:val="24"/>
          <w:szCs w:val="24"/>
        </w:rPr>
        <w:t xml:space="preserve"> </w:t>
      </w:r>
      <w:r w:rsidR="008E1B85">
        <w:rPr>
          <w:rFonts w:ascii="Times New Roman" w:hAnsi="Times New Roman" w:cs="Times New Roman"/>
          <w:sz w:val="24"/>
          <w:szCs w:val="24"/>
        </w:rPr>
        <w:t xml:space="preserve">of firms </w:t>
      </w:r>
      <w:r w:rsidR="00FA0249" w:rsidRPr="005E2B16">
        <w:rPr>
          <w:rFonts w:ascii="Times New Roman" w:hAnsi="Times New Roman" w:cs="Times New Roman"/>
          <w:sz w:val="24"/>
          <w:szCs w:val="24"/>
        </w:rPr>
        <w:t xml:space="preserve">assuming </w:t>
      </w:r>
      <w:r w:rsidR="008E1B85">
        <w:rPr>
          <w:rFonts w:ascii="Times New Roman" w:hAnsi="Times New Roman" w:cs="Times New Roman"/>
          <w:sz w:val="24"/>
          <w:szCs w:val="24"/>
        </w:rPr>
        <w:t xml:space="preserve">they </w:t>
      </w:r>
      <w:r w:rsidR="00FA0249" w:rsidRPr="005E2B16">
        <w:rPr>
          <w:rFonts w:ascii="Times New Roman" w:hAnsi="Times New Roman" w:cs="Times New Roman"/>
          <w:sz w:val="24"/>
          <w:szCs w:val="24"/>
        </w:rPr>
        <w:t xml:space="preserve">did not benefit from the introduction of the incentives. </w:t>
      </w:r>
    </w:p>
    <w:p w14:paraId="71AD1F0F" w14:textId="77777777" w:rsidR="008E199B" w:rsidRPr="005E2B16" w:rsidRDefault="008E199B" w:rsidP="00971B8F">
      <w:pPr>
        <w:autoSpaceDE w:val="0"/>
        <w:autoSpaceDN w:val="0"/>
        <w:adjustRightInd w:val="0"/>
        <w:spacing w:after="0" w:line="240" w:lineRule="auto"/>
        <w:jc w:val="both"/>
        <w:rPr>
          <w:rFonts w:ascii="Times New Roman" w:hAnsi="Times New Roman" w:cs="Times New Roman"/>
          <w:sz w:val="24"/>
          <w:szCs w:val="24"/>
        </w:rPr>
      </w:pPr>
    </w:p>
    <w:p w14:paraId="2A7E4E3E" w14:textId="1C7C6EE9" w:rsidR="00585AA8" w:rsidRPr="005E2B16" w:rsidRDefault="002103C7" w:rsidP="00585AA8">
      <w:pPr>
        <w:spacing w:after="0"/>
        <w:jc w:val="both"/>
        <w:rPr>
          <w:rFonts w:ascii="Times New Roman" w:hAnsi="Times New Roman" w:cs="Times New Roman"/>
          <w:sz w:val="24"/>
          <w:szCs w:val="24"/>
        </w:rPr>
      </w:pPr>
      <w:r w:rsidRPr="005E2B16">
        <w:rPr>
          <w:rFonts w:ascii="Times New Roman" w:hAnsi="Times New Roman" w:cs="Times New Roman"/>
          <w:sz w:val="24"/>
          <w:szCs w:val="24"/>
        </w:rPr>
        <w:t xml:space="preserve">The </w:t>
      </w:r>
      <w:r w:rsidR="00585AA8" w:rsidRPr="005E2B16">
        <w:rPr>
          <w:rFonts w:ascii="Times New Roman" w:hAnsi="Times New Roman" w:cs="Times New Roman"/>
          <w:sz w:val="24"/>
          <w:szCs w:val="24"/>
        </w:rPr>
        <w:t xml:space="preserve">remainder of the </w:t>
      </w:r>
      <w:r w:rsidRPr="005E2B16">
        <w:rPr>
          <w:rFonts w:ascii="Times New Roman" w:hAnsi="Times New Roman" w:cs="Times New Roman"/>
          <w:sz w:val="24"/>
          <w:szCs w:val="24"/>
        </w:rPr>
        <w:t xml:space="preserve">paper </w:t>
      </w:r>
      <w:r w:rsidR="00585AA8" w:rsidRPr="005E2B16">
        <w:rPr>
          <w:rFonts w:ascii="Times New Roman" w:hAnsi="Times New Roman" w:cs="Times New Roman"/>
          <w:sz w:val="24"/>
          <w:szCs w:val="24"/>
        </w:rPr>
        <w:t>is organised as follows: the next</w:t>
      </w:r>
      <w:r w:rsidR="0097520A" w:rsidRPr="005E2B16">
        <w:rPr>
          <w:rFonts w:ascii="Times New Roman" w:hAnsi="Times New Roman" w:cs="Times New Roman"/>
          <w:sz w:val="24"/>
          <w:szCs w:val="24"/>
        </w:rPr>
        <w:t xml:space="preserve"> session</w:t>
      </w:r>
      <w:r w:rsidR="002E6C30">
        <w:rPr>
          <w:rFonts w:ascii="Times New Roman" w:hAnsi="Times New Roman" w:cs="Times New Roman"/>
          <w:sz w:val="24"/>
          <w:szCs w:val="24"/>
        </w:rPr>
        <w:t xml:space="preserve"> discuss</w:t>
      </w:r>
      <w:r w:rsidR="005E2B16" w:rsidRPr="005E2B16">
        <w:rPr>
          <w:rFonts w:ascii="Times New Roman" w:hAnsi="Times New Roman" w:cs="Times New Roman"/>
          <w:sz w:val="24"/>
          <w:szCs w:val="24"/>
        </w:rPr>
        <w:t xml:space="preserve"> the review of literature and</w:t>
      </w:r>
      <w:r w:rsidR="00585AA8" w:rsidRPr="005E2B16">
        <w:rPr>
          <w:rFonts w:ascii="Times New Roman" w:hAnsi="Times New Roman" w:cs="Times New Roman"/>
          <w:sz w:val="24"/>
          <w:szCs w:val="24"/>
        </w:rPr>
        <w:t xml:space="preserve"> </w:t>
      </w:r>
      <w:r w:rsidR="005E2B16" w:rsidRPr="005E2B16">
        <w:rPr>
          <w:rFonts w:ascii="Times New Roman" w:hAnsi="Times New Roman" w:cs="Times New Roman"/>
          <w:sz w:val="24"/>
          <w:szCs w:val="24"/>
        </w:rPr>
        <w:t xml:space="preserve">presents stylised facts. </w:t>
      </w:r>
      <w:r w:rsidR="00585AA8" w:rsidRPr="005E2B16">
        <w:rPr>
          <w:rFonts w:ascii="Times New Roman" w:hAnsi="Times New Roman" w:cs="Times New Roman"/>
          <w:sz w:val="24"/>
          <w:szCs w:val="24"/>
        </w:rPr>
        <w:t>Following immediately is the third section that presents an overview of the data used and addresses econometric and methodological issues, while the f</w:t>
      </w:r>
      <w:r w:rsidR="005E2B16" w:rsidRPr="005E2B16">
        <w:rPr>
          <w:rFonts w:ascii="Times New Roman" w:hAnsi="Times New Roman" w:cs="Times New Roman"/>
          <w:sz w:val="24"/>
          <w:szCs w:val="24"/>
        </w:rPr>
        <w:t>our</w:t>
      </w:r>
      <w:r w:rsidR="00585AA8" w:rsidRPr="005E2B16">
        <w:rPr>
          <w:rFonts w:ascii="Times New Roman" w:hAnsi="Times New Roman" w:cs="Times New Roman"/>
          <w:sz w:val="24"/>
          <w:szCs w:val="24"/>
        </w:rPr>
        <w:t xml:space="preserve">th </w:t>
      </w:r>
      <w:r w:rsidR="005E2B16" w:rsidRPr="005E2B16">
        <w:rPr>
          <w:rFonts w:ascii="Times New Roman" w:hAnsi="Times New Roman" w:cs="Times New Roman"/>
          <w:sz w:val="24"/>
          <w:szCs w:val="24"/>
        </w:rPr>
        <w:t xml:space="preserve">and fifth </w:t>
      </w:r>
      <w:r w:rsidR="00585AA8" w:rsidRPr="005E2B16">
        <w:rPr>
          <w:rFonts w:ascii="Times New Roman" w:hAnsi="Times New Roman" w:cs="Times New Roman"/>
          <w:sz w:val="24"/>
          <w:szCs w:val="24"/>
        </w:rPr>
        <w:t>sectio</w:t>
      </w:r>
      <w:r w:rsidR="0083749A" w:rsidRPr="005E2B16">
        <w:rPr>
          <w:rFonts w:ascii="Times New Roman" w:hAnsi="Times New Roman" w:cs="Times New Roman"/>
          <w:sz w:val="24"/>
          <w:szCs w:val="24"/>
        </w:rPr>
        <w:t>n</w:t>
      </w:r>
      <w:r w:rsidR="005E2B16" w:rsidRPr="005E2B16">
        <w:rPr>
          <w:rFonts w:ascii="Times New Roman" w:hAnsi="Times New Roman" w:cs="Times New Roman"/>
          <w:sz w:val="24"/>
          <w:szCs w:val="24"/>
        </w:rPr>
        <w:t>s are concerned with the de</w:t>
      </w:r>
      <w:r w:rsidR="00A55EC9">
        <w:rPr>
          <w:rFonts w:ascii="Times New Roman" w:hAnsi="Times New Roman" w:cs="Times New Roman"/>
          <w:sz w:val="24"/>
          <w:szCs w:val="24"/>
        </w:rPr>
        <w:t>scriptive statistics and econom</w:t>
      </w:r>
      <w:r w:rsidR="005E2B16" w:rsidRPr="005E2B16">
        <w:rPr>
          <w:rFonts w:ascii="Times New Roman" w:hAnsi="Times New Roman" w:cs="Times New Roman"/>
          <w:sz w:val="24"/>
          <w:szCs w:val="24"/>
        </w:rPr>
        <w:t>etric results.</w:t>
      </w:r>
      <w:r w:rsidR="0083749A" w:rsidRPr="005E2B16">
        <w:rPr>
          <w:rFonts w:ascii="Times New Roman" w:hAnsi="Times New Roman" w:cs="Times New Roman"/>
          <w:sz w:val="24"/>
          <w:szCs w:val="24"/>
        </w:rPr>
        <w:t xml:space="preserve"> </w:t>
      </w:r>
      <w:r w:rsidR="00585AA8" w:rsidRPr="005E2B16">
        <w:rPr>
          <w:rFonts w:ascii="Times New Roman" w:hAnsi="Times New Roman" w:cs="Times New Roman"/>
          <w:sz w:val="24"/>
          <w:szCs w:val="24"/>
        </w:rPr>
        <w:t>The conclusion</w:t>
      </w:r>
      <w:r w:rsidR="0083749A" w:rsidRPr="005E2B16">
        <w:rPr>
          <w:rFonts w:ascii="Times New Roman" w:hAnsi="Times New Roman" w:cs="Times New Roman"/>
          <w:sz w:val="24"/>
          <w:szCs w:val="24"/>
        </w:rPr>
        <w:t>s</w:t>
      </w:r>
      <w:r w:rsidR="00585AA8" w:rsidRPr="005E2B16">
        <w:rPr>
          <w:rFonts w:ascii="Times New Roman" w:hAnsi="Times New Roman" w:cs="Times New Roman"/>
          <w:sz w:val="24"/>
          <w:szCs w:val="24"/>
        </w:rPr>
        <w:t xml:space="preserve"> </w:t>
      </w:r>
      <w:r w:rsidR="0083749A" w:rsidRPr="005E2B16">
        <w:rPr>
          <w:rFonts w:ascii="Times New Roman" w:hAnsi="Times New Roman" w:cs="Times New Roman"/>
          <w:sz w:val="24"/>
          <w:szCs w:val="24"/>
        </w:rPr>
        <w:t>of the result</w:t>
      </w:r>
      <w:r w:rsidR="00585AA8" w:rsidRPr="005E2B16">
        <w:rPr>
          <w:rFonts w:ascii="Times New Roman" w:hAnsi="Times New Roman" w:cs="Times New Roman"/>
          <w:sz w:val="24"/>
          <w:szCs w:val="24"/>
        </w:rPr>
        <w:t xml:space="preserve"> are included in the </w:t>
      </w:r>
      <w:r w:rsidR="005E2B16" w:rsidRPr="005E2B16">
        <w:rPr>
          <w:rFonts w:ascii="Times New Roman" w:hAnsi="Times New Roman" w:cs="Times New Roman"/>
          <w:sz w:val="24"/>
          <w:szCs w:val="24"/>
        </w:rPr>
        <w:t>sixt</w:t>
      </w:r>
      <w:r w:rsidR="00585AA8" w:rsidRPr="005E2B16">
        <w:rPr>
          <w:rFonts w:ascii="Times New Roman" w:hAnsi="Times New Roman" w:cs="Times New Roman"/>
          <w:sz w:val="24"/>
          <w:szCs w:val="24"/>
        </w:rPr>
        <w:t xml:space="preserve">h section. </w:t>
      </w:r>
    </w:p>
    <w:p w14:paraId="00475A4A" w14:textId="77777777" w:rsidR="0017386A" w:rsidRPr="005E2B16" w:rsidRDefault="0017386A" w:rsidP="00585AA8">
      <w:pPr>
        <w:spacing w:after="0"/>
        <w:jc w:val="both"/>
        <w:rPr>
          <w:rFonts w:ascii="Times New Roman" w:hAnsi="Times New Roman" w:cs="Times New Roman"/>
          <w:b/>
          <w:sz w:val="24"/>
          <w:szCs w:val="24"/>
        </w:rPr>
      </w:pPr>
    </w:p>
    <w:p w14:paraId="4A735366" w14:textId="77777777" w:rsidR="0067634B" w:rsidRPr="005E2B16" w:rsidRDefault="00165E84" w:rsidP="00585AA8">
      <w:pPr>
        <w:spacing w:after="0"/>
        <w:jc w:val="both"/>
        <w:rPr>
          <w:rFonts w:ascii="Times New Roman" w:hAnsi="Times New Roman" w:cs="Times New Roman"/>
          <w:b/>
          <w:sz w:val="24"/>
          <w:szCs w:val="24"/>
        </w:rPr>
      </w:pPr>
      <w:r w:rsidRPr="005E2B16">
        <w:rPr>
          <w:rFonts w:ascii="Times New Roman" w:hAnsi="Times New Roman" w:cs="Times New Roman"/>
          <w:b/>
          <w:sz w:val="24"/>
          <w:szCs w:val="24"/>
        </w:rPr>
        <w:t>2.</w:t>
      </w:r>
      <w:r w:rsidRPr="005E2B16">
        <w:rPr>
          <w:rFonts w:ascii="Times New Roman" w:hAnsi="Times New Roman" w:cs="Times New Roman"/>
          <w:b/>
          <w:sz w:val="24"/>
          <w:szCs w:val="24"/>
        </w:rPr>
        <w:tab/>
      </w:r>
      <w:r w:rsidR="0067634B" w:rsidRPr="005E2B16">
        <w:rPr>
          <w:rFonts w:ascii="Times New Roman" w:hAnsi="Times New Roman" w:cs="Times New Roman"/>
          <w:b/>
          <w:sz w:val="24"/>
          <w:szCs w:val="24"/>
        </w:rPr>
        <w:t>Review of Literature and Stylized Facts</w:t>
      </w:r>
    </w:p>
    <w:p w14:paraId="0D7CA749" w14:textId="274C15BC" w:rsidR="0067634B" w:rsidRPr="005E2B16" w:rsidRDefault="0067634B" w:rsidP="0067634B">
      <w:pPr>
        <w:spacing w:after="0"/>
        <w:jc w:val="both"/>
        <w:rPr>
          <w:rFonts w:ascii="Times New Roman" w:hAnsi="Times New Roman" w:cs="Times New Roman"/>
          <w:sz w:val="24"/>
          <w:szCs w:val="24"/>
        </w:rPr>
      </w:pPr>
      <w:r w:rsidRPr="005E2B16">
        <w:rPr>
          <w:rFonts w:ascii="Times New Roman" w:hAnsi="Times New Roman" w:cs="Times New Roman"/>
          <w:sz w:val="24"/>
          <w:szCs w:val="24"/>
        </w:rPr>
        <w:t xml:space="preserve">Lee (1996) studied the role of government intervention in enhancing the productivity of manufacturing firms in Korea. The author found that government policies such as tax incentives and subsidized credit were not correlated with total factor productivity of sampled firms. However, they found that government involvement in trade leads to higher productivity. Arnold, Mattoo and Narciso (2008) linked the productivity of firms to service delivery in Africa and concluded that </w:t>
      </w:r>
      <w:r w:rsidR="00110402" w:rsidRPr="005E2B16">
        <w:rPr>
          <w:rFonts w:ascii="Times New Roman" w:hAnsi="Times New Roman" w:cs="Times New Roman"/>
          <w:sz w:val="24"/>
          <w:szCs w:val="24"/>
        </w:rPr>
        <w:t>improve</w:t>
      </w:r>
      <w:r w:rsidR="00110402">
        <w:rPr>
          <w:rFonts w:ascii="Times New Roman" w:hAnsi="Times New Roman" w:cs="Times New Roman"/>
          <w:sz w:val="24"/>
          <w:szCs w:val="24"/>
        </w:rPr>
        <w:t>d</w:t>
      </w:r>
      <w:r w:rsidR="00110402" w:rsidRPr="005E2B16">
        <w:rPr>
          <w:rFonts w:ascii="Times New Roman" w:hAnsi="Times New Roman" w:cs="Times New Roman"/>
          <w:sz w:val="24"/>
          <w:szCs w:val="24"/>
        </w:rPr>
        <w:t xml:space="preserve"> service industries </w:t>
      </w:r>
      <w:r w:rsidR="00110402">
        <w:rPr>
          <w:rFonts w:ascii="Times New Roman" w:hAnsi="Times New Roman" w:cs="Times New Roman"/>
          <w:sz w:val="24"/>
          <w:szCs w:val="24"/>
        </w:rPr>
        <w:t xml:space="preserve">enhances firms’ </w:t>
      </w:r>
      <w:r w:rsidRPr="005E2B16">
        <w:rPr>
          <w:rFonts w:ascii="Times New Roman" w:hAnsi="Times New Roman" w:cs="Times New Roman"/>
          <w:sz w:val="24"/>
          <w:szCs w:val="24"/>
        </w:rPr>
        <w:lastRenderedPageBreak/>
        <w:t xml:space="preserve">productivity. Closely related to </w:t>
      </w:r>
      <w:r w:rsidR="00110402">
        <w:rPr>
          <w:rFonts w:ascii="Times New Roman" w:hAnsi="Times New Roman" w:cs="Times New Roman"/>
          <w:sz w:val="24"/>
          <w:szCs w:val="24"/>
        </w:rPr>
        <w:t>our study – but with a different</w:t>
      </w:r>
      <w:r w:rsidRPr="005E2B16">
        <w:rPr>
          <w:rFonts w:ascii="Times New Roman" w:hAnsi="Times New Roman" w:cs="Times New Roman"/>
          <w:sz w:val="24"/>
          <w:szCs w:val="24"/>
        </w:rPr>
        <w:t xml:space="preserve"> focus – is Escribano, Guasch and Pena (2010), who observed that African manufacturing firms will require an improve</w:t>
      </w:r>
      <w:r w:rsidR="00110402">
        <w:rPr>
          <w:rFonts w:ascii="Times New Roman" w:hAnsi="Times New Roman" w:cs="Times New Roman"/>
          <w:sz w:val="24"/>
          <w:szCs w:val="24"/>
        </w:rPr>
        <w:t xml:space="preserve">d </w:t>
      </w:r>
      <w:r w:rsidRPr="005E2B16">
        <w:rPr>
          <w:rFonts w:ascii="Times New Roman" w:hAnsi="Times New Roman" w:cs="Times New Roman"/>
          <w:sz w:val="24"/>
          <w:szCs w:val="24"/>
        </w:rPr>
        <w:t xml:space="preserve">government commitment to </w:t>
      </w:r>
      <w:r w:rsidR="00110402">
        <w:rPr>
          <w:rFonts w:ascii="Times New Roman" w:hAnsi="Times New Roman" w:cs="Times New Roman"/>
          <w:sz w:val="24"/>
          <w:szCs w:val="24"/>
        </w:rPr>
        <w:t>infrastructural provision</w:t>
      </w:r>
      <w:r w:rsidRPr="005E2B16">
        <w:rPr>
          <w:rFonts w:ascii="Times New Roman" w:hAnsi="Times New Roman" w:cs="Times New Roman"/>
          <w:sz w:val="24"/>
          <w:szCs w:val="24"/>
        </w:rPr>
        <w:t xml:space="preserve"> to enhance </w:t>
      </w:r>
      <w:r w:rsidR="00110402">
        <w:rPr>
          <w:rFonts w:ascii="Times New Roman" w:hAnsi="Times New Roman" w:cs="Times New Roman"/>
          <w:sz w:val="24"/>
          <w:szCs w:val="24"/>
        </w:rPr>
        <w:t xml:space="preserve">firm </w:t>
      </w:r>
      <w:r w:rsidRPr="005E2B16">
        <w:rPr>
          <w:rFonts w:ascii="Times New Roman" w:hAnsi="Times New Roman" w:cs="Times New Roman"/>
          <w:sz w:val="24"/>
          <w:szCs w:val="24"/>
        </w:rPr>
        <w:t xml:space="preserve">productivity. </w:t>
      </w:r>
    </w:p>
    <w:p w14:paraId="022A59A4" w14:textId="77777777" w:rsidR="0067634B" w:rsidRPr="005E2B16" w:rsidRDefault="0067634B" w:rsidP="0067634B">
      <w:pPr>
        <w:spacing w:after="0"/>
        <w:jc w:val="both"/>
        <w:rPr>
          <w:rFonts w:ascii="Times New Roman" w:hAnsi="Times New Roman" w:cs="Times New Roman"/>
          <w:sz w:val="24"/>
          <w:szCs w:val="24"/>
        </w:rPr>
      </w:pPr>
    </w:p>
    <w:p w14:paraId="2DBD8BF2" w14:textId="656D22D3" w:rsidR="0067634B" w:rsidRPr="005E2B16" w:rsidRDefault="00110402" w:rsidP="0067634B">
      <w:pPr>
        <w:spacing w:after="0"/>
        <w:jc w:val="both"/>
        <w:rPr>
          <w:rFonts w:ascii="Times New Roman" w:hAnsi="Times New Roman" w:cs="Times New Roman"/>
          <w:sz w:val="24"/>
          <w:szCs w:val="24"/>
        </w:rPr>
      </w:pPr>
      <w:r>
        <w:rPr>
          <w:rFonts w:ascii="Times New Roman" w:hAnsi="Times New Roman" w:cs="Times New Roman"/>
          <w:sz w:val="24"/>
          <w:szCs w:val="24"/>
        </w:rPr>
        <w:t>T</w:t>
      </w:r>
      <w:r w:rsidRPr="005E2B16">
        <w:rPr>
          <w:rFonts w:ascii="Times New Roman" w:hAnsi="Times New Roman" w:cs="Times New Roman"/>
          <w:sz w:val="24"/>
          <w:szCs w:val="24"/>
        </w:rPr>
        <w:t xml:space="preserve">he issue of firms’ productivity is </w:t>
      </w:r>
      <w:r>
        <w:rPr>
          <w:rFonts w:ascii="Times New Roman" w:hAnsi="Times New Roman" w:cs="Times New Roman"/>
          <w:sz w:val="24"/>
          <w:szCs w:val="24"/>
        </w:rPr>
        <w:t xml:space="preserve">also </w:t>
      </w:r>
      <w:r w:rsidRPr="005E2B16">
        <w:rPr>
          <w:rFonts w:ascii="Times New Roman" w:hAnsi="Times New Roman" w:cs="Times New Roman"/>
          <w:sz w:val="24"/>
          <w:szCs w:val="24"/>
        </w:rPr>
        <w:t>of importance</w:t>
      </w:r>
      <w:r>
        <w:rPr>
          <w:rFonts w:ascii="Times New Roman" w:hAnsi="Times New Roman" w:cs="Times New Roman"/>
          <w:sz w:val="24"/>
          <w:szCs w:val="24"/>
        </w:rPr>
        <w:t xml:space="preserve"> f</w:t>
      </w:r>
      <w:r w:rsidR="0067634B" w:rsidRPr="005E2B16">
        <w:rPr>
          <w:rFonts w:ascii="Times New Roman" w:hAnsi="Times New Roman" w:cs="Times New Roman"/>
          <w:sz w:val="24"/>
          <w:szCs w:val="24"/>
        </w:rPr>
        <w:t xml:space="preserve">rom </w:t>
      </w:r>
      <w:r>
        <w:rPr>
          <w:rFonts w:ascii="Times New Roman" w:hAnsi="Times New Roman" w:cs="Times New Roman"/>
          <w:sz w:val="24"/>
          <w:szCs w:val="24"/>
        </w:rPr>
        <w:t xml:space="preserve">a </w:t>
      </w:r>
      <w:r w:rsidR="0067634B" w:rsidRPr="005E2B16">
        <w:rPr>
          <w:rFonts w:ascii="Times New Roman" w:hAnsi="Times New Roman" w:cs="Times New Roman"/>
          <w:sz w:val="24"/>
          <w:szCs w:val="24"/>
        </w:rPr>
        <w:t xml:space="preserve">policy perspective. As noted by UNCTAD (2015), the improvement of </w:t>
      </w:r>
      <w:r>
        <w:rPr>
          <w:rFonts w:ascii="Times New Roman" w:hAnsi="Times New Roman" w:cs="Times New Roman"/>
          <w:sz w:val="24"/>
          <w:szCs w:val="24"/>
        </w:rPr>
        <w:t xml:space="preserve">firms’ </w:t>
      </w:r>
      <w:r w:rsidR="0067634B" w:rsidRPr="005E2B16">
        <w:rPr>
          <w:rFonts w:ascii="Times New Roman" w:hAnsi="Times New Roman" w:cs="Times New Roman"/>
          <w:sz w:val="24"/>
          <w:szCs w:val="24"/>
        </w:rPr>
        <w:t xml:space="preserve">productivity is one possible way for developing countries to attain sustainable industrial development. As a result of this, there is an urgent call to relate this phenomenon with government commitment </w:t>
      </w:r>
      <w:r>
        <w:rPr>
          <w:rFonts w:ascii="Times New Roman" w:hAnsi="Times New Roman" w:cs="Times New Roman"/>
          <w:sz w:val="24"/>
          <w:szCs w:val="24"/>
        </w:rPr>
        <w:t>to provide</w:t>
      </w:r>
      <w:r w:rsidR="0067634B" w:rsidRPr="005E2B16">
        <w:rPr>
          <w:rFonts w:ascii="Times New Roman" w:hAnsi="Times New Roman" w:cs="Times New Roman"/>
          <w:sz w:val="24"/>
          <w:szCs w:val="24"/>
        </w:rPr>
        <w:t xml:space="preserve"> fiscal incentives to firms </w:t>
      </w:r>
      <w:r>
        <w:rPr>
          <w:rFonts w:ascii="Times New Roman" w:hAnsi="Times New Roman" w:cs="Times New Roman"/>
          <w:sz w:val="24"/>
          <w:szCs w:val="24"/>
        </w:rPr>
        <w:t>in order to offset</w:t>
      </w:r>
      <w:r w:rsidR="0067634B" w:rsidRPr="005E2B16">
        <w:rPr>
          <w:rFonts w:ascii="Times New Roman" w:hAnsi="Times New Roman" w:cs="Times New Roman"/>
          <w:sz w:val="24"/>
          <w:szCs w:val="24"/>
        </w:rPr>
        <w:t xml:space="preserve"> some unfavourable conditions in the business environment (see Gui-Diby and Renard, 2015; UNCTAD, 2015). </w:t>
      </w:r>
      <w:r>
        <w:rPr>
          <w:rFonts w:ascii="Times New Roman" w:hAnsi="Times New Roman" w:cs="Times New Roman"/>
          <w:sz w:val="24"/>
          <w:szCs w:val="24"/>
        </w:rPr>
        <w:t xml:space="preserve">Despite the need for enhanced fiscal incentives, some of its </w:t>
      </w:r>
      <w:r w:rsidR="0067634B" w:rsidRPr="005E2B16">
        <w:rPr>
          <w:rFonts w:ascii="Times New Roman" w:hAnsi="Times New Roman" w:cs="Times New Roman"/>
          <w:sz w:val="24"/>
          <w:szCs w:val="24"/>
        </w:rPr>
        <w:t>adverse consequence</w:t>
      </w:r>
      <w:r>
        <w:rPr>
          <w:rFonts w:ascii="Times New Roman" w:hAnsi="Times New Roman" w:cs="Times New Roman"/>
          <w:sz w:val="24"/>
          <w:szCs w:val="24"/>
        </w:rPr>
        <w:t>s are highlighted in the literature</w:t>
      </w:r>
      <w:r w:rsidR="0067634B" w:rsidRPr="005E2B16">
        <w:rPr>
          <w:rFonts w:ascii="Times New Roman" w:hAnsi="Times New Roman" w:cs="Times New Roman"/>
          <w:sz w:val="24"/>
          <w:szCs w:val="24"/>
        </w:rPr>
        <w:t xml:space="preserve">. </w:t>
      </w:r>
      <w:r>
        <w:rPr>
          <w:rFonts w:ascii="Times New Roman" w:hAnsi="Times New Roman" w:cs="Times New Roman"/>
          <w:sz w:val="24"/>
          <w:szCs w:val="24"/>
        </w:rPr>
        <w:t xml:space="preserve">For instance, </w:t>
      </w:r>
      <w:r w:rsidR="0067634B" w:rsidRPr="005E2B16">
        <w:rPr>
          <w:rFonts w:ascii="Times New Roman" w:hAnsi="Times New Roman" w:cs="Times New Roman"/>
          <w:sz w:val="24"/>
          <w:szCs w:val="24"/>
        </w:rPr>
        <w:t>it is seen as wasteful and propelling corruption due to lack of transparency in its administration</w:t>
      </w:r>
      <w:r>
        <w:rPr>
          <w:rFonts w:ascii="Times New Roman" w:hAnsi="Times New Roman" w:cs="Times New Roman"/>
          <w:sz w:val="24"/>
          <w:szCs w:val="24"/>
        </w:rPr>
        <w:t xml:space="preserve"> </w:t>
      </w:r>
      <w:r w:rsidRPr="005E2B16">
        <w:rPr>
          <w:rFonts w:ascii="Times New Roman" w:hAnsi="Times New Roman" w:cs="Times New Roman"/>
          <w:sz w:val="24"/>
          <w:szCs w:val="24"/>
        </w:rPr>
        <w:t>(see Cleeve, 2008)</w:t>
      </w:r>
      <w:r w:rsidR="0067634B" w:rsidRPr="005E2B16">
        <w:rPr>
          <w:rFonts w:ascii="Times New Roman" w:hAnsi="Times New Roman" w:cs="Times New Roman"/>
          <w:sz w:val="24"/>
          <w:szCs w:val="24"/>
        </w:rPr>
        <w:t xml:space="preserve">. </w:t>
      </w:r>
      <w:r w:rsidR="00A138C7" w:rsidRPr="005E2B16">
        <w:rPr>
          <w:rFonts w:ascii="Times New Roman" w:hAnsi="Times New Roman" w:cs="Times New Roman"/>
          <w:sz w:val="24"/>
          <w:szCs w:val="24"/>
        </w:rPr>
        <w:t>Notwithstanding</w:t>
      </w:r>
      <w:r w:rsidR="0067634B" w:rsidRPr="005E2B16">
        <w:rPr>
          <w:rFonts w:ascii="Times New Roman" w:hAnsi="Times New Roman" w:cs="Times New Roman"/>
          <w:sz w:val="24"/>
          <w:szCs w:val="24"/>
        </w:rPr>
        <w:t xml:space="preserve"> the </w:t>
      </w:r>
      <w:r w:rsidR="00C07552">
        <w:rPr>
          <w:rFonts w:ascii="Times New Roman" w:hAnsi="Times New Roman" w:cs="Times New Roman"/>
          <w:sz w:val="24"/>
          <w:szCs w:val="24"/>
        </w:rPr>
        <w:t>highlighted adverse effect</w:t>
      </w:r>
      <w:r w:rsidR="0067634B" w:rsidRPr="005E2B16">
        <w:rPr>
          <w:rFonts w:ascii="Times New Roman" w:hAnsi="Times New Roman" w:cs="Times New Roman"/>
          <w:sz w:val="24"/>
          <w:szCs w:val="24"/>
        </w:rPr>
        <w:t xml:space="preserve"> from incentives, it is seen as a viable tool for attracting and sustaining investment. </w:t>
      </w:r>
      <w:r w:rsidR="00C07552">
        <w:rPr>
          <w:rFonts w:ascii="Times New Roman" w:hAnsi="Times New Roman" w:cs="Times New Roman"/>
          <w:sz w:val="24"/>
          <w:szCs w:val="24"/>
        </w:rPr>
        <w:t>I</w:t>
      </w:r>
      <w:r w:rsidR="0067634B" w:rsidRPr="005E2B16">
        <w:rPr>
          <w:rFonts w:ascii="Times New Roman" w:hAnsi="Times New Roman" w:cs="Times New Roman"/>
          <w:sz w:val="24"/>
          <w:szCs w:val="24"/>
        </w:rPr>
        <w:t>t is suggested that the effectiveness of incentives can be enhanced by</w:t>
      </w:r>
      <w:r w:rsidR="0067634B" w:rsidRPr="005E2B16">
        <w:rPr>
          <w:rFonts w:ascii="Times New Roman" w:hAnsi="Times New Roman" w:cs="Times New Roman"/>
          <w:sz w:val="23"/>
          <w:szCs w:val="23"/>
        </w:rPr>
        <w:t xml:space="preserve"> </w:t>
      </w:r>
      <w:r w:rsidR="00C07552">
        <w:rPr>
          <w:rFonts w:ascii="Times New Roman" w:hAnsi="Times New Roman" w:cs="Times New Roman"/>
          <w:sz w:val="23"/>
          <w:szCs w:val="23"/>
        </w:rPr>
        <w:t xml:space="preserve">focusing it </w:t>
      </w:r>
      <w:r w:rsidR="0067634B" w:rsidRPr="005E2B16">
        <w:rPr>
          <w:rFonts w:ascii="Times New Roman" w:hAnsi="Times New Roman" w:cs="Times New Roman"/>
          <w:sz w:val="24"/>
          <w:szCs w:val="24"/>
        </w:rPr>
        <w:t xml:space="preserve">to </w:t>
      </w:r>
      <w:r w:rsidR="00C07552">
        <w:rPr>
          <w:rFonts w:ascii="Times New Roman" w:hAnsi="Times New Roman" w:cs="Times New Roman"/>
          <w:sz w:val="24"/>
          <w:szCs w:val="24"/>
        </w:rPr>
        <w:t>reward firm’ performance</w:t>
      </w:r>
      <w:r w:rsidR="0067634B" w:rsidRPr="005E2B16">
        <w:rPr>
          <w:rFonts w:ascii="Times New Roman" w:hAnsi="Times New Roman" w:cs="Times New Roman"/>
          <w:sz w:val="24"/>
          <w:szCs w:val="24"/>
        </w:rPr>
        <w:t xml:space="preserve"> and more development-oriented goals (UNCTAD, 2004). </w:t>
      </w:r>
    </w:p>
    <w:p w14:paraId="5BAE9290" w14:textId="77777777" w:rsidR="0067634B" w:rsidRPr="005E2B16" w:rsidRDefault="0067634B" w:rsidP="00585AA8">
      <w:pPr>
        <w:spacing w:after="0"/>
        <w:jc w:val="both"/>
        <w:rPr>
          <w:rFonts w:ascii="Times New Roman" w:hAnsi="Times New Roman" w:cs="Times New Roman"/>
          <w:b/>
          <w:i/>
          <w:sz w:val="24"/>
          <w:szCs w:val="24"/>
        </w:rPr>
      </w:pPr>
    </w:p>
    <w:p w14:paraId="3E8AC120" w14:textId="015095D5" w:rsidR="00D26C08" w:rsidRPr="005E2B16" w:rsidRDefault="00A138C7" w:rsidP="00D26C08">
      <w:pPr>
        <w:spacing w:after="0"/>
        <w:jc w:val="both"/>
        <w:rPr>
          <w:rFonts w:ascii="Times New Roman" w:hAnsi="Times New Roman" w:cs="Times New Roman"/>
          <w:sz w:val="24"/>
          <w:szCs w:val="24"/>
        </w:rPr>
      </w:pPr>
      <w:r w:rsidRPr="005E2B16">
        <w:rPr>
          <w:rFonts w:ascii="Times New Roman" w:hAnsi="Times New Roman" w:cs="Times New Roman"/>
          <w:sz w:val="24"/>
          <w:szCs w:val="24"/>
        </w:rPr>
        <w:t>Fiscal incentives</w:t>
      </w:r>
      <w:r>
        <w:rPr>
          <w:rFonts w:ascii="Times New Roman" w:hAnsi="Times New Roman" w:cs="Times New Roman"/>
          <w:sz w:val="24"/>
          <w:szCs w:val="24"/>
        </w:rPr>
        <w:t xml:space="preserve"> in Cameroon are</w:t>
      </w:r>
      <w:r w:rsidR="00DC2C00" w:rsidRPr="005E2B16">
        <w:rPr>
          <w:rFonts w:ascii="Times New Roman" w:hAnsi="Times New Roman" w:cs="Times New Roman"/>
          <w:sz w:val="24"/>
          <w:szCs w:val="24"/>
        </w:rPr>
        <w:t xml:space="preserve"> </w:t>
      </w:r>
      <w:r w:rsidR="00C07552">
        <w:rPr>
          <w:rFonts w:ascii="Times New Roman" w:hAnsi="Times New Roman" w:cs="Times New Roman"/>
          <w:sz w:val="24"/>
          <w:szCs w:val="24"/>
        </w:rPr>
        <w:t>evolving</w:t>
      </w:r>
      <w:r w:rsidR="008F0F7F" w:rsidRPr="005E2B16">
        <w:rPr>
          <w:rFonts w:ascii="Times New Roman" w:hAnsi="Times New Roman" w:cs="Times New Roman"/>
          <w:sz w:val="24"/>
          <w:szCs w:val="24"/>
        </w:rPr>
        <w:t>.</w:t>
      </w:r>
      <w:r w:rsidR="00B76D13" w:rsidRPr="005E2B16">
        <w:rPr>
          <w:rFonts w:ascii="Times New Roman" w:hAnsi="Times New Roman" w:cs="Times New Roman"/>
          <w:sz w:val="24"/>
          <w:szCs w:val="24"/>
        </w:rPr>
        <w:t xml:space="preserve"> </w:t>
      </w:r>
      <w:r w:rsidR="0032770B" w:rsidRPr="005E2B16">
        <w:rPr>
          <w:rFonts w:ascii="Times New Roman" w:hAnsi="Times New Roman" w:cs="Times New Roman"/>
          <w:sz w:val="24"/>
          <w:szCs w:val="24"/>
        </w:rPr>
        <w:t xml:space="preserve">In 1990, the investment code in Cameroon </w:t>
      </w:r>
      <w:r w:rsidR="00C07552">
        <w:rPr>
          <w:rFonts w:ascii="Times New Roman" w:hAnsi="Times New Roman" w:cs="Times New Roman"/>
          <w:sz w:val="24"/>
          <w:szCs w:val="24"/>
        </w:rPr>
        <w:t>was established to grant</w:t>
      </w:r>
      <w:r w:rsidR="0032770B" w:rsidRPr="005E2B16">
        <w:rPr>
          <w:rFonts w:ascii="Times New Roman" w:hAnsi="Times New Roman" w:cs="Times New Roman"/>
          <w:sz w:val="24"/>
          <w:szCs w:val="24"/>
        </w:rPr>
        <w:t xml:space="preserve"> financial concessions to firms </w:t>
      </w:r>
      <w:r w:rsidR="00C07552">
        <w:rPr>
          <w:rFonts w:ascii="Times New Roman" w:hAnsi="Times New Roman" w:cs="Times New Roman"/>
          <w:sz w:val="24"/>
          <w:szCs w:val="24"/>
        </w:rPr>
        <w:t>(</w:t>
      </w:r>
      <w:r w:rsidR="0032770B" w:rsidRPr="005E2B16">
        <w:rPr>
          <w:rFonts w:ascii="Times New Roman" w:hAnsi="Times New Roman" w:cs="Times New Roman"/>
          <w:sz w:val="24"/>
          <w:szCs w:val="24"/>
        </w:rPr>
        <w:t>such as free transfer of proceeds from investment capital</w:t>
      </w:r>
      <w:r w:rsidR="00C07552">
        <w:rPr>
          <w:rFonts w:ascii="Times New Roman" w:hAnsi="Times New Roman" w:cs="Times New Roman"/>
          <w:sz w:val="24"/>
          <w:szCs w:val="24"/>
        </w:rPr>
        <w:t>) in order to encourage and promote investments in Cameroon</w:t>
      </w:r>
      <w:r w:rsidR="0032770B" w:rsidRPr="005E2B16">
        <w:rPr>
          <w:rFonts w:ascii="Times New Roman" w:hAnsi="Times New Roman" w:cs="Times New Roman"/>
          <w:sz w:val="24"/>
          <w:szCs w:val="24"/>
        </w:rPr>
        <w:t xml:space="preserve">. This act also granted exemption from export duties and other export related expenses, and a rebate from the taxable income of firms that are involved in the production of finished or semi-finished products for export. </w:t>
      </w:r>
      <w:r w:rsidR="00D26C08" w:rsidRPr="005E2B16">
        <w:rPr>
          <w:rFonts w:ascii="Times New Roman" w:hAnsi="Times New Roman" w:cs="Times New Roman"/>
          <w:sz w:val="24"/>
          <w:szCs w:val="24"/>
        </w:rPr>
        <w:t xml:space="preserve">Another important incentive that is granted by the Cameroonian government is the free zone regime, which exempts firms from custom duties and paying of taxes for a period of 10 years of operation. Also, firms in </w:t>
      </w:r>
      <w:r w:rsidR="00191FE1" w:rsidRPr="005E2B16">
        <w:rPr>
          <w:rFonts w:ascii="Times New Roman" w:hAnsi="Times New Roman" w:cs="Times New Roman"/>
          <w:sz w:val="24"/>
          <w:szCs w:val="24"/>
        </w:rPr>
        <w:t xml:space="preserve">this zone </w:t>
      </w:r>
      <w:r w:rsidR="00D26C08" w:rsidRPr="005E2B16">
        <w:rPr>
          <w:rFonts w:ascii="Times New Roman" w:hAnsi="Times New Roman" w:cs="Times New Roman"/>
          <w:sz w:val="24"/>
          <w:szCs w:val="24"/>
        </w:rPr>
        <w:t>can freely undertake any industrial and commercial activity like installing own power and telecommunication systems, replacing national security scheme with an equal or better valued private scheme, as well as freely negotiate wages</w:t>
      </w:r>
      <w:r w:rsidR="0032385A" w:rsidRPr="005E2B16">
        <w:rPr>
          <w:rFonts w:ascii="Times New Roman" w:hAnsi="Times New Roman" w:cs="Times New Roman"/>
          <w:sz w:val="24"/>
          <w:szCs w:val="24"/>
        </w:rPr>
        <w:t xml:space="preserve"> </w:t>
      </w:r>
      <w:r w:rsidRPr="005E2B16">
        <w:rPr>
          <w:rFonts w:ascii="Times New Roman" w:hAnsi="Times New Roman" w:cs="Times New Roman"/>
          <w:sz w:val="24"/>
          <w:szCs w:val="24"/>
        </w:rPr>
        <w:t>of employees</w:t>
      </w:r>
      <w:r w:rsidR="00D26C08" w:rsidRPr="005E2B16">
        <w:rPr>
          <w:rFonts w:ascii="Times New Roman" w:hAnsi="Times New Roman" w:cs="Times New Roman"/>
          <w:sz w:val="24"/>
          <w:szCs w:val="24"/>
        </w:rPr>
        <w:t xml:space="preserve">. </w:t>
      </w:r>
      <w:r w:rsidR="00191FE1" w:rsidRPr="005E2B16">
        <w:rPr>
          <w:rFonts w:ascii="Times New Roman" w:hAnsi="Times New Roman" w:cs="Times New Roman"/>
          <w:sz w:val="24"/>
          <w:szCs w:val="24"/>
        </w:rPr>
        <w:t xml:space="preserve">However, a major drawback of this form of incentive is the precarious condition that for firms to benefit from this form of incentive, 80 percent of their production must be for foreign consumption – i.e. export (Bureau of Economic and Business Affairs, 2013). </w:t>
      </w:r>
    </w:p>
    <w:p w14:paraId="7255E579" w14:textId="77777777" w:rsidR="0032770B" w:rsidRPr="005E2B16" w:rsidRDefault="0032770B" w:rsidP="004920F5">
      <w:pPr>
        <w:spacing w:after="0"/>
        <w:jc w:val="both"/>
        <w:rPr>
          <w:rFonts w:ascii="Times New Roman" w:hAnsi="Times New Roman" w:cs="Times New Roman"/>
          <w:sz w:val="24"/>
          <w:szCs w:val="24"/>
        </w:rPr>
      </w:pPr>
    </w:p>
    <w:p w14:paraId="653A67B5" w14:textId="61AEEC09" w:rsidR="004920F5" w:rsidRPr="005E2B16" w:rsidRDefault="007D273B" w:rsidP="004920F5">
      <w:pPr>
        <w:spacing w:after="0"/>
        <w:jc w:val="both"/>
        <w:rPr>
          <w:rFonts w:ascii="Times New Roman" w:eastAsia="Times New Roman" w:hAnsi="Times New Roman" w:cs="Times New Roman"/>
          <w:sz w:val="24"/>
          <w:szCs w:val="24"/>
          <w:lang w:eastAsia="en-GB"/>
        </w:rPr>
      </w:pPr>
      <w:r w:rsidRPr="005E2B16">
        <w:rPr>
          <w:rFonts w:ascii="Times New Roman" w:hAnsi="Times New Roman" w:cs="Times New Roman"/>
          <w:sz w:val="24"/>
          <w:szCs w:val="24"/>
        </w:rPr>
        <w:t>In 2002 a new investment charter was enacted to replace the 1990 investment code. A major improvement of the 2002 investment</w:t>
      </w:r>
      <w:r w:rsidR="00C07552">
        <w:rPr>
          <w:rFonts w:ascii="Times New Roman" w:hAnsi="Times New Roman" w:cs="Times New Roman"/>
          <w:sz w:val="24"/>
          <w:szCs w:val="24"/>
        </w:rPr>
        <w:t xml:space="preserve"> code</w:t>
      </w:r>
      <w:r w:rsidRPr="005E2B16">
        <w:rPr>
          <w:rFonts w:ascii="Times New Roman" w:hAnsi="Times New Roman" w:cs="Times New Roman"/>
          <w:sz w:val="24"/>
          <w:szCs w:val="24"/>
        </w:rPr>
        <w:t>, way beyond the earlier one in 1990</w:t>
      </w:r>
      <w:r w:rsidR="00C07552">
        <w:rPr>
          <w:rFonts w:ascii="Times New Roman" w:hAnsi="Times New Roman" w:cs="Times New Roman"/>
          <w:sz w:val="24"/>
          <w:szCs w:val="24"/>
        </w:rPr>
        <w:t>,</w:t>
      </w:r>
      <w:r w:rsidRPr="005E2B16">
        <w:rPr>
          <w:rFonts w:ascii="Times New Roman" w:hAnsi="Times New Roman" w:cs="Times New Roman"/>
          <w:sz w:val="24"/>
          <w:szCs w:val="24"/>
        </w:rPr>
        <w:t xml:space="preserve"> is that it permits 100 percent foreign equity ownership. This is unlike the 1990 code that had some restrictions on foreign ownership. However, this new charter was not implemented for a long time. </w:t>
      </w:r>
      <w:r w:rsidR="0032385A" w:rsidRPr="005E2B16">
        <w:rPr>
          <w:rFonts w:ascii="Times New Roman" w:hAnsi="Times New Roman" w:cs="Times New Roman"/>
          <w:sz w:val="24"/>
          <w:szCs w:val="24"/>
        </w:rPr>
        <w:t>I</w:t>
      </w:r>
      <w:r w:rsidRPr="005E2B16">
        <w:rPr>
          <w:rFonts w:ascii="Times New Roman" w:hAnsi="Times New Roman" w:cs="Times New Roman"/>
          <w:sz w:val="24"/>
          <w:szCs w:val="24"/>
        </w:rPr>
        <w:t xml:space="preserve">n </w:t>
      </w:r>
      <w:r w:rsidR="00BA5D70" w:rsidRPr="005E2B16">
        <w:rPr>
          <w:rFonts w:ascii="Times New Roman" w:hAnsi="Times New Roman" w:cs="Times New Roman"/>
          <w:sz w:val="24"/>
          <w:szCs w:val="24"/>
        </w:rPr>
        <w:t>2013, a new investment incentive law was enacted - law No.2013/004, which is very applicable to</w:t>
      </w:r>
      <w:r w:rsidR="00B76D13" w:rsidRPr="005E2B16">
        <w:rPr>
          <w:rFonts w:ascii="Times New Roman" w:hAnsi="Times New Roman" w:cs="Times New Roman"/>
          <w:sz w:val="24"/>
          <w:szCs w:val="24"/>
        </w:rPr>
        <w:t xml:space="preserve"> private investors</w:t>
      </w:r>
      <w:r w:rsidR="00BA5D70" w:rsidRPr="005E2B16">
        <w:rPr>
          <w:rFonts w:ascii="Times New Roman" w:hAnsi="Times New Roman" w:cs="Times New Roman"/>
          <w:sz w:val="24"/>
          <w:szCs w:val="24"/>
        </w:rPr>
        <w:t>. This law</w:t>
      </w:r>
      <w:r w:rsidR="00B76D13" w:rsidRPr="005E2B16">
        <w:rPr>
          <w:rFonts w:ascii="Times New Roman" w:hAnsi="Times New Roman" w:cs="Times New Roman"/>
          <w:sz w:val="24"/>
          <w:szCs w:val="24"/>
        </w:rPr>
        <w:t xml:space="preserve"> provides two categories of incentives: common incentives and special incentives. </w:t>
      </w:r>
      <w:r w:rsidR="009B2429" w:rsidRPr="005E2B16">
        <w:rPr>
          <w:rFonts w:ascii="Times New Roman" w:hAnsi="Times New Roman" w:cs="Times New Roman"/>
          <w:sz w:val="24"/>
          <w:szCs w:val="24"/>
        </w:rPr>
        <w:t xml:space="preserve">The common incentives include those benefits that are </w:t>
      </w:r>
      <w:r w:rsidR="00C07552">
        <w:rPr>
          <w:rFonts w:ascii="Times New Roman" w:hAnsi="Times New Roman" w:cs="Times New Roman"/>
          <w:sz w:val="24"/>
          <w:szCs w:val="24"/>
        </w:rPr>
        <w:t xml:space="preserve">directed at </w:t>
      </w:r>
      <w:r w:rsidR="009B2429" w:rsidRPr="005E2B16">
        <w:rPr>
          <w:rFonts w:ascii="Times New Roman" w:hAnsi="Times New Roman" w:cs="Times New Roman"/>
          <w:sz w:val="24"/>
          <w:szCs w:val="24"/>
        </w:rPr>
        <w:t>firms to promote their productivity and performance. They inc</w:t>
      </w:r>
      <w:r w:rsidR="001406C7">
        <w:rPr>
          <w:rFonts w:ascii="Times New Roman" w:hAnsi="Times New Roman" w:cs="Times New Roman"/>
          <w:sz w:val="24"/>
          <w:szCs w:val="24"/>
        </w:rPr>
        <w:t>lude tax and custom duty</w:t>
      </w:r>
      <w:r w:rsidR="004920F5" w:rsidRPr="005E2B16">
        <w:rPr>
          <w:rFonts w:ascii="Times New Roman" w:hAnsi="Times New Roman" w:cs="Times New Roman"/>
          <w:sz w:val="24"/>
          <w:szCs w:val="24"/>
        </w:rPr>
        <w:t xml:space="preserve"> incentives such as e</w:t>
      </w:r>
      <w:r w:rsidR="004920F5" w:rsidRPr="005E2B16">
        <w:rPr>
          <w:rFonts w:ascii="Times New Roman" w:eastAsia="Times New Roman" w:hAnsi="Times New Roman" w:cs="Times New Roman"/>
          <w:sz w:val="24"/>
          <w:szCs w:val="24"/>
          <w:lang w:eastAsia="en-GB"/>
        </w:rPr>
        <w:t xml:space="preserve">xemption from registration duties, exemption from transfer taxes, exemption from VAT on different categories of provisions, exemption from business licence tax, direct clearing of equipment and materials related to the investment program, among others. </w:t>
      </w:r>
    </w:p>
    <w:p w14:paraId="32B97803" w14:textId="77777777" w:rsidR="004920F5" w:rsidRPr="005E2B16" w:rsidRDefault="004920F5" w:rsidP="004920F5">
      <w:pPr>
        <w:spacing w:after="0"/>
        <w:jc w:val="both"/>
        <w:rPr>
          <w:rFonts w:ascii="Times New Roman" w:eastAsia="Times New Roman" w:hAnsi="Times New Roman" w:cs="Times New Roman"/>
          <w:sz w:val="24"/>
          <w:szCs w:val="24"/>
          <w:lang w:eastAsia="en-GB"/>
        </w:rPr>
      </w:pPr>
    </w:p>
    <w:p w14:paraId="06FDCD64" w14:textId="19DD490C" w:rsidR="004920F5" w:rsidRPr="005E2B16" w:rsidRDefault="004920F5" w:rsidP="004920F5">
      <w:pPr>
        <w:spacing w:after="0"/>
        <w:jc w:val="both"/>
        <w:rPr>
          <w:rFonts w:ascii="Times New Roman" w:hAnsi="Times New Roman" w:cs="Times New Roman"/>
          <w:sz w:val="24"/>
          <w:szCs w:val="24"/>
          <w:shd w:val="clear" w:color="auto" w:fill="FFFFFF"/>
        </w:rPr>
      </w:pPr>
      <w:r w:rsidRPr="005E2B16">
        <w:rPr>
          <w:rFonts w:ascii="Times New Roman" w:eastAsia="Times New Roman" w:hAnsi="Times New Roman" w:cs="Times New Roman"/>
          <w:sz w:val="24"/>
          <w:szCs w:val="24"/>
          <w:lang w:eastAsia="en-GB"/>
        </w:rPr>
        <w:lastRenderedPageBreak/>
        <w:t>The special incentives are those forms that involve benefits granted to firms that invest in certain government priority sectors like</w:t>
      </w:r>
      <w:r w:rsidR="00643876">
        <w:rPr>
          <w:rFonts w:ascii="Times New Roman" w:eastAsia="Times New Roman" w:hAnsi="Times New Roman" w:cs="Times New Roman"/>
          <w:sz w:val="24"/>
          <w:szCs w:val="24"/>
          <w:lang w:eastAsia="en-GB"/>
        </w:rPr>
        <w:t xml:space="preserve"> the development of integrated a</w:t>
      </w:r>
      <w:r w:rsidRPr="005E2B16">
        <w:rPr>
          <w:rFonts w:ascii="Times New Roman" w:eastAsia="Times New Roman" w:hAnsi="Times New Roman" w:cs="Times New Roman"/>
          <w:sz w:val="24"/>
          <w:szCs w:val="24"/>
          <w:lang w:eastAsia="en-GB"/>
        </w:rPr>
        <w:t xml:space="preserve">griculture, real estate development and social housing projects, agro-industry, manufacturing and construction, regional development and decentralisation projects, firms that promote innovation and export, among others.  Some of the incentives that these firms benefit </w:t>
      </w:r>
      <w:r w:rsidR="0032385A" w:rsidRPr="005E2B16">
        <w:rPr>
          <w:rFonts w:ascii="Times New Roman" w:eastAsia="Times New Roman" w:hAnsi="Times New Roman" w:cs="Times New Roman"/>
          <w:sz w:val="24"/>
          <w:szCs w:val="24"/>
          <w:lang w:eastAsia="en-GB"/>
        </w:rPr>
        <w:t xml:space="preserve">from </w:t>
      </w:r>
      <w:r w:rsidRPr="005E2B16">
        <w:rPr>
          <w:rFonts w:ascii="Times New Roman" w:eastAsia="Times New Roman" w:hAnsi="Times New Roman" w:cs="Times New Roman"/>
          <w:sz w:val="24"/>
          <w:szCs w:val="24"/>
          <w:lang w:eastAsia="en-GB"/>
        </w:rPr>
        <w:t>include: exemption from export duty on locally manufactured products, e</w:t>
      </w:r>
      <w:r w:rsidRPr="005E2B16">
        <w:rPr>
          <w:rFonts w:ascii="Times New Roman" w:hAnsi="Times New Roman" w:cs="Times New Roman"/>
          <w:sz w:val="24"/>
          <w:szCs w:val="24"/>
          <w:shd w:val="clear" w:color="auto" w:fill="FFFFFF"/>
        </w:rPr>
        <w:t xml:space="preserve">xemption from </w:t>
      </w:r>
      <w:r w:rsidR="0032385A" w:rsidRPr="005E2B16">
        <w:rPr>
          <w:rFonts w:ascii="Times New Roman" w:hAnsi="Times New Roman" w:cs="Times New Roman"/>
          <w:sz w:val="24"/>
          <w:szCs w:val="24"/>
          <w:shd w:val="clear" w:color="auto" w:fill="FFFFFF"/>
        </w:rPr>
        <w:t>c</w:t>
      </w:r>
      <w:r w:rsidRPr="005E2B16">
        <w:rPr>
          <w:rFonts w:ascii="Times New Roman" w:hAnsi="Times New Roman" w:cs="Times New Roman"/>
          <w:sz w:val="24"/>
          <w:szCs w:val="24"/>
          <w:shd w:val="clear" w:color="auto" w:fill="FFFFFF"/>
        </w:rPr>
        <w:t>ustom duties for temporary importation of industrial equipment and materials likely to be re-exported, as well as direct customs clearance at investor</w:t>
      </w:r>
      <w:r w:rsidR="00D97BED" w:rsidRPr="005E2B16">
        <w:rPr>
          <w:rFonts w:ascii="Times New Roman" w:hAnsi="Times New Roman" w:cs="Times New Roman"/>
          <w:sz w:val="24"/>
          <w:szCs w:val="24"/>
          <w:shd w:val="clear" w:color="auto" w:fill="FFFFFF"/>
        </w:rPr>
        <w:t>’s request.</w:t>
      </w:r>
    </w:p>
    <w:p w14:paraId="3371B902" w14:textId="77777777" w:rsidR="00D97BED" w:rsidRPr="005E2B16" w:rsidRDefault="00D97BED" w:rsidP="004920F5">
      <w:pPr>
        <w:spacing w:after="0"/>
        <w:jc w:val="both"/>
        <w:rPr>
          <w:rFonts w:ascii="Times New Roman" w:hAnsi="Times New Roman" w:cs="Times New Roman"/>
          <w:sz w:val="24"/>
          <w:szCs w:val="24"/>
          <w:shd w:val="clear" w:color="auto" w:fill="FFFFFF"/>
        </w:rPr>
      </w:pPr>
    </w:p>
    <w:p w14:paraId="2F2BC9CA" w14:textId="771FB39E" w:rsidR="00B76D13" w:rsidRPr="005E2B16" w:rsidRDefault="00D97BED" w:rsidP="00B76D13">
      <w:pPr>
        <w:spacing w:after="0"/>
        <w:jc w:val="both"/>
        <w:rPr>
          <w:rFonts w:ascii="Times New Roman" w:hAnsi="Times New Roman" w:cs="Times New Roman"/>
          <w:sz w:val="24"/>
          <w:szCs w:val="24"/>
        </w:rPr>
      </w:pPr>
      <w:r w:rsidRPr="005E2B16">
        <w:rPr>
          <w:rFonts w:ascii="Times New Roman" w:hAnsi="Times New Roman" w:cs="Times New Roman"/>
          <w:sz w:val="24"/>
          <w:szCs w:val="24"/>
          <w:shd w:val="clear" w:color="auto" w:fill="FFFFFF"/>
        </w:rPr>
        <w:t xml:space="preserve">To benefit from any of these incentives, however, </w:t>
      </w:r>
      <w:r w:rsidR="00B76D13" w:rsidRPr="005E2B16">
        <w:rPr>
          <w:rFonts w:ascii="Times New Roman" w:hAnsi="Times New Roman" w:cs="Times New Roman"/>
          <w:sz w:val="24"/>
          <w:szCs w:val="24"/>
        </w:rPr>
        <w:t>some criteria</w:t>
      </w:r>
      <w:r w:rsidRPr="005E2B16">
        <w:rPr>
          <w:rFonts w:ascii="Times New Roman" w:hAnsi="Times New Roman" w:cs="Times New Roman"/>
          <w:sz w:val="24"/>
          <w:szCs w:val="24"/>
        </w:rPr>
        <w:t xml:space="preserve"> are</w:t>
      </w:r>
      <w:r w:rsidR="00B76D13" w:rsidRPr="005E2B16">
        <w:rPr>
          <w:rFonts w:ascii="Times New Roman" w:hAnsi="Times New Roman" w:cs="Times New Roman"/>
          <w:sz w:val="24"/>
          <w:szCs w:val="24"/>
        </w:rPr>
        <w:t xml:space="preserve"> </w:t>
      </w:r>
      <w:r w:rsidR="00643876">
        <w:rPr>
          <w:rFonts w:ascii="Times New Roman" w:hAnsi="Times New Roman" w:cs="Times New Roman"/>
          <w:sz w:val="24"/>
          <w:szCs w:val="24"/>
        </w:rPr>
        <w:t xml:space="preserve">to be met, </w:t>
      </w:r>
      <w:r w:rsidRPr="005E2B16">
        <w:rPr>
          <w:rFonts w:ascii="Times New Roman" w:hAnsi="Times New Roman" w:cs="Times New Roman"/>
          <w:sz w:val="24"/>
          <w:szCs w:val="24"/>
        </w:rPr>
        <w:t>which</w:t>
      </w:r>
      <w:r w:rsidR="00B76D13" w:rsidRPr="005E2B16">
        <w:rPr>
          <w:rFonts w:ascii="Times New Roman" w:hAnsi="Times New Roman" w:cs="Times New Roman"/>
          <w:sz w:val="24"/>
          <w:szCs w:val="24"/>
        </w:rPr>
        <w:t xml:space="preserve"> include</w:t>
      </w:r>
      <w:r w:rsidR="00643876">
        <w:rPr>
          <w:rFonts w:ascii="Times New Roman" w:hAnsi="Times New Roman" w:cs="Times New Roman"/>
          <w:sz w:val="24"/>
          <w:szCs w:val="24"/>
        </w:rPr>
        <w:t>s</w:t>
      </w:r>
      <w:r w:rsidR="0032385A" w:rsidRPr="005E2B16">
        <w:rPr>
          <w:rFonts w:ascii="Times New Roman" w:hAnsi="Times New Roman" w:cs="Times New Roman"/>
          <w:sz w:val="24"/>
          <w:szCs w:val="24"/>
        </w:rPr>
        <w:t>:</w:t>
      </w:r>
      <w:r w:rsidR="00B76D13" w:rsidRPr="005E2B16">
        <w:rPr>
          <w:rFonts w:ascii="Times New Roman" w:hAnsi="Times New Roman" w:cs="Times New Roman"/>
          <w:sz w:val="24"/>
          <w:szCs w:val="24"/>
        </w:rPr>
        <w:t xml:space="preserve"> the beneficiary firm </w:t>
      </w:r>
      <w:r w:rsidRPr="005E2B16">
        <w:rPr>
          <w:rFonts w:ascii="Times New Roman" w:hAnsi="Times New Roman" w:cs="Times New Roman"/>
          <w:sz w:val="24"/>
          <w:szCs w:val="24"/>
        </w:rPr>
        <w:t xml:space="preserve">should be </w:t>
      </w:r>
      <w:r w:rsidR="00643876">
        <w:rPr>
          <w:rFonts w:ascii="Times New Roman" w:hAnsi="Times New Roman" w:cs="Times New Roman"/>
          <w:sz w:val="24"/>
          <w:szCs w:val="24"/>
        </w:rPr>
        <w:t xml:space="preserve">involved in </w:t>
      </w:r>
      <w:r w:rsidR="00B76D13" w:rsidRPr="005E2B16">
        <w:rPr>
          <w:rFonts w:ascii="Times New Roman" w:hAnsi="Times New Roman" w:cs="Times New Roman"/>
          <w:sz w:val="24"/>
          <w:szCs w:val="24"/>
        </w:rPr>
        <w:t>export activit</w:t>
      </w:r>
      <w:r w:rsidR="0032385A" w:rsidRPr="005E2B16">
        <w:rPr>
          <w:rFonts w:ascii="Times New Roman" w:hAnsi="Times New Roman" w:cs="Times New Roman"/>
          <w:sz w:val="24"/>
          <w:szCs w:val="24"/>
        </w:rPr>
        <w:t>ies</w:t>
      </w:r>
      <w:r w:rsidR="00B76D13" w:rsidRPr="005E2B16">
        <w:rPr>
          <w:rFonts w:ascii="Times New Roman" w:hAnsi="Times New Roman" w:cs="Times New Roman"/>
          <w:sz w:val="24"/>
          <w:szCs w:val="24"/>
        </w:rPr>
        <w:t xml:space="preserve"> ranging from 10 to 25 percent of sales</w:t>
      </w:r>
      <w:r w:rsidRPr="005E2B16">
        <w:rPr>
          <w:rFonts w:ascii="Times New Roman" w:hAnsi="Times New Roman" w:cs="Times New Roman"/>
          <w:sz w:val="24"/>
          <w:szCs w:val="24"/>
        </w:rPr>
        <w:t xml:space="preserve">, rule of local capacity utilisation, as well as contribute to value addition. Another important aspect of the Cameroonian incentives, just like those of some other developing country, is that it is tied to a period of time. For instance, some of the common incentives are valid for a period of 5 years during the installation stage, and 10 years maximum during the operational stage. </w:t>
      </w:r>
      <w:r w:rsidR="00643876">
        <w:rPr>
          <w:rFonts w:ascii="Times New Roman" w:hAnsi="Times New Roman" w:cs="Times New Roman"/>
          <w:sz w:val="24"/>
          <w:szCs w:val="24"/>
        </w:rPr>
        <w:t>T</w:t>
      </w:r>
      <w:r w:rsidR="00B76D13" w:rsidRPr="005E2B16">
        <w:rPr>
          <w:rFonts w:ascii="Times New Roman" w:hAnsi="Times New Roman" w:cs="Times New Roman"/>
          <w:sz w:val="24"/>
          <w:szCs w:val="24"/>
        </w:rPr>
        <w:t xml:space="preserve">he government’s main intention </w:t>
      </w:r>
      <w:r w:rsidR="00643876">
        <w:rPr>
          <w:rFonts w:ascii="Times New Roman" w:hAnsi="Times New Roman" w:cs="Times New Roman"/>
          <w:sz w:val="24"/>
          <w:szCs w:val="24"/>
        </w:rPr>
        <w:t xml:space="preserve">with these rules </w:t>
      </w:r>
      <w:r w:rsidR="00B76D13" w:rsidRPr="005E2B16">
        <w:rPr>
          <w:rFonts w:ascii="Times New Roman" w:hAnsi="Times New Roman" w:cs="Times New Roman"/>
          <w:sz w:val="24"/>
          <w:szCs w:val="24"/>
        </w:rPr>
        <w:t>is to enhance industrialisation and strengthen competitiveness of firms</w:t>
      </w:r>
      <w:r w:rsidRPr="005E2B16">
        <w:rPr>
          <w:rFonts w:ascii="Times New Roman" w:hAnsi="Times New Roman" w:cs="Times New Roman"/>
          <w:sz w:val="24"/>
          <w:szCs w:val="24"/>
        </w:rPr>
        <w:t xml:space="preserve"> </w:t>
      </w:r>
      <w:r w:rsidR="003B502B" w:rsidRPr="005E2B16">
        <w:rPr>
          <w:rFonts w:ascii="Times New Roman" w:hAnsi="Times New Roman" w:cs="Times New Roman"/>
          <w:sz w:val="24"/>
          <w:szCs w:val="24"/>
        </w:rPr>
        <w:t xml:space="preserve">(resident or non-resident) </w:t>
      </w:r>
      <w:r w:rsidRPr="005E2B16">
        <w:rPr>
          <w:rFonts w:ascii="Times New Roman" w:hAnsi="Times New Roman" w:cs="Times New Roman"/>
          <w:sz w:val="24"/>
          <w:szCs w:val="24"/>
        </w:rPr>
        <w:t xml:space="preserve">during these key stages of </w:t>
      </w:r>
      <w:r w:rsidR="00643876">
        <w:rPr>
          <w:rFonts w:ascii="Times New Roman" w:hAnsi="Times New Roman" w:cs="Times New Roman"/>
          <w:sz w:val="24"/>
          <w:szCs w:val="24"/>
        </w:rPr>
        <w:t xml:space="preserve">investment venture’s </w:t>
      </w:r>
      <w:r w:rsidRPr="005E2B16">
        <w:rPr>
          <w:rFonts w:ascii="Times New Roman" w:hAnsi="Times New Roman" w:cs="Times New Roman"/>
          <w:sz w:val="24"/>
          <w:szCs w:val="24"/>
        </w:rPr>
        <w:t xml:space="preserve">lifecycle </w:t>
      </w:r>
      <w:r w:rsidR="00B76D13" w:rsidRPr="005E2B16">
        <w:rPr>
          <w:rFonts w:ascii="Times New Roman" w:hAnsi="Times New Roman" w:cs="Times New Roman"/>
          <w:sz w:val="24"/>
          <w:szCs w:val="24"/>
        </w:rPr>
        <w:t>(</w:t>
      </w:r>
      <w:r w:rsidR="002A1500" w:rsidRPr="005E2B16">
        <w:rPr>
          <w:rFonts w:ascii="Times New Roman" w:hAnsi="Times New Roman" w:cs="Times New Roman"/>
          <w:sz w:val="24"/>
          <w:szCs w:val="24"/>
        </w:rPr>
        <w:t>see Tabi, 2005</w:t>
      </w:r>
      <w:r w:rsidR="009A365B" w:rsidRPr="005E2B16">
        <w:rPr>
          <w:rFonts w:ascii="Times New Roman" w:hAnsi="Times New Roman" w:cs="Times New Roman"/>
          <w:sz w:val="24"/>
          <w:szCs w:val="24"/>
        </w:rPr>
        <w:t>; Biya, 2013</w:t>
      </w:r>
      <w:r w:rsidR="002A1500" w:rsidRPr="005E2B16">
        <w:rPr>
          <w:rFonts w:ascii="Times New Roman" w:hAnsi="Times New Roman" w:cs="Times New Roman"/>
          <w:sz w:val="24"/>
          <w:szCs w:val="24"/>
        </w:rPr>
        <w:t xml:space="preserve">). </w:t>
      </w:r>
    </w:p>
    <w:p w14:paraId="72DB500B" w14:textId="77777777" w:rsidR="008F0F7F" w:rsidRPr="005E2B16" w:rsidRDefault="008F0F7F" w:rsidP="00585AA8">
      <w:pPr>
        <w:spacing w:after="0"/>
        <w:jc w:val="both"/>
        <w:rPr>
          <w:rFonts w:ascii="Times New Roman" w:hAnsi="Times New Roman" w:cs="Times New Roman"/>
          <w:sz w:val="24"/>
          <w:szCs w:val="24"/>
        </w:rPr>
      </w:pPr>
    </w:p>
    <w:p w14:paraId="6749D0E3" w14:textId="4B7354D0" w:rsidR="00D26C08" w:rsidRPr="005E2B16" w:rsidRDefault="00662046" w:rsidP="00585AA8">
      <w:pPr>
        <w:spacing w:after="0"/>
        <w:jc w:val="both"/>
        <w:rPr>
          <w:rFonts w:ascii="Times New Roman" w:hAnsi="Times New Roman" w:cs="Times New Roman"/>
          <w:sz w:val="24"/>
          <w:szCs w:val="24"/>
        </w:rPr>
      </w:pPr>
      <w:r>
        <w:rPr>
          <w:rFonts w:ascii="Times New Roman" w:hAnsi="Times New Roman" w:cs="Times New Roman"/>
          <w:sz w:val="24"/>
          <w:szCs w:val="24"/>
        </w:rPr>
        <w:t>T</w:t>
      </w:r>
      <w:r w:rsidR="005F22A8" w:rsidRPr="005E2B16">
        <w:rPr>
          <w:rFonts w:ascii="Times New Roman" w:hAnsi="Times New Roman" w:cs="Times New Roman"/>
          <w:sz w:val="24"/>
          <w:szCs w:val="24"/>
        </w:rPr>
        <w:t>he trend of manufacturing value added</w:t>
      </w:r>
      <w:r>
        <w:rPr>
          <w:rFonts w:ascii="Times New Roman" w:hAnsi="Times New Roman" w:cs="Times New Roman"/>
          <w:sz w:val="24"/>
          <w:szCs w:val="24"/>
        </w:rPr>
        <w:t xml:space="preserve"> as a percentage of GDP for Cameroon is presented in Figure 2.1 </w:t>
      </w:r>
      <w:r w:rsidR="005F22A8" w:rsidRPr="005E2B16">
        <w:rPr>
          <w:rFonts w:ascii="Times New Roman" w:hAnsi="Times New Roman" w:cs="Times New Roman"/>
          <w:sz w:val="24"/>
          <w:szCs w:val="24"/>
        </w:rPr>
        <w:t xml:space="preserve">to </w:t>
      </w:r>
      <w:r>
        <w:rPr>
          <w:rFonts w:ascii="Times New Roman" w:hAnsi="Times New Roman" w:cs="Times New Roman"/>
          <w:sz w:val="24"/>
          <w:szCs w:val="24"/>
        </w:rPr>
        <w:t xml:space="preserve">understand </w:t>
      </w:r>
      <w:r w:rsidR="005F22A8" w:rsidRPr="005E2B16">
        <w:rPr>
          <w:rFonts w:ascii="Times New Roman" w:hAnsi="Times New Roman" w:cs="Times New Roman"/>
          <w:sz w:val="24"/>
          <w:szCs w:val="24"/>
        </w:rPr>
        <w:t xml:space="preserve">the productivity of the manufacturing sector </w:t>
      </w:r>
      <w:r>
        <w:rPr>
          <w:rFonts w:ascii="Times New Roman" w:hAnsi="Times New Roman" w:cs="Times New Roman"/>
          <w:sz w:val="24"/>
          <w:szCs w:val="24"/>
        </w:rPr>
        <w:t>from 1990 to 2015</w:t>
      </w:r>
      <w:r w:rsidR="003E0CBF" w:rsidRPr="005E2B16">
        <w:rPr>
          <w:rFonts w:ascii="Times New Roman" w:hAnsi="Times New Roman" w:cs="Times New Roman"/>
          <w:sz w:val="24"/>
          <w:szCs w:val="24"/>
        </w:rPr>
        <w:t>.</w:t>
      </w:r>
      <w:r>
        <w:rPr>
          <w:rFonts w:ascii="Times New Roman" w:hAnsi="Times New Roman" w:cs="Times New Roman"/>
          <w:sz w:val="24"/>
          <w:szCs w:val="24"/>
        </w:rPr>
        <w:t xml:space="preserve"> The aim of this (and subsequent) stylized facts is to further emphasise the need for government interest (through incentive) in the industrialisation of our sampled country.</w:t>
      </w:r>
      <w:r w:rsidR="003E0CBF" w:rsidRPr="005E2B16">
        <w:rPr>
          <w:rFonts w:ascii="Times New Roman" w:hAnsi="Times New Roman" w:cs="Times New Roman"/>
          <w:sz w:val="24"/>
          <w:szCs w:val="24"/>
        </w:rPr>
        <w:t xml:space="preserve"> </w:t>
      </w:r>
      <w:r w:rsidR="00E71D33" w:rsidRPr="005E2B16">
        <w:rPr>
          <w:rFonts w:ascii="Times New Roman" w:hAnsi="Times New Roman" w:cs="Times New Roman"/>
          <w:sz w:val="24"/>
          <w:szCs w:val="24"/>
        </w:rPr>
        <w:t>Figure 2.1 shows that Cameroon ha</w:t>
      </w:r>
      <w:r w:rsidR="0032385A" w:rsidRPr="005E2B16">
        <w:rPr>
          <w:rFonts w:ascii="Times New Roman" w:hAnsi="Times New Roman" w:cs="Times New Roman"/>
          <w:sz w:val="24"/>
          <w:szCs w:val="24"/>
        </w:rPr>
        <w:t>s</w:t>
      </w:r>
      <w:r w:rsidR="00E71D33" w:rsidRPr="005E2B16">
        <w:rPr>
          <w:rFonts w:ascii="Times New Roman" w:hAnsi="Times New Roman" w:cs="Times New Roman"/>
          <w:sz w:val="24"/>
          <w:szCs w:val="24"/>
        </w:rPr>
        <w:t xml:space="preserve"> consistently maintained a manufacturing value added growth rate of </w:t>
      </w:r>
      <w:r>
        <w:rPr>
          <w:rFonts w:ascii="Times New Roman" w:hAnsi="Times New Roman" w:cs="Times New Roman"/>
          <w:sz w:val="24"/>
          <w:szCs w:val="24"/>
        </w:rPr>
        <w:t xml:space="preserve">less </w:t>
      </w:r>
      <w:r w:rsidR="00E71D33" w:rsidRPr="005E2B16">
        <w:rPr>
          <w:rFonts w:ascii="Times New Roman" w:hAnsi="Times New Roman" w:cs="Times New Roman"/>
          <w:sz w:val="24"/>
          <w:szCs w:val="24"/>
        </w:rPr>
        <w:t>than 5 percent. This is except for f</w:t>
      </w:r>
      <w:r>
        <w:rPr>
          <w:rFonts w:ascii="Times New Roman" w:hAnsi="Times New Roman" w:cs="Times New Roman"/>
          <w:sz w:val="24"/>
          <w:szCs w:val="24"/>
        </w:rPr>
        <w:t>ew shocks between 1997 and 2000,</w:t>
      </w:r>
      <w:r w:rsidR="00E71D33" w:rsidRPr="005E2B16">
        <w:rPr>
          <w:rFonts w:ascii="Times New Roman" w:hAnsi="Times New Roman" w:cs="Times New Roman"/>
          <w:sz w:val="24"/>
          <w:szCs w:val="24"/>
        </w:rPr>
        <w:t xml:space="preserve"> where the growth rate increased higher than 5 percent. </w:t>
      </w:r>
      <w:r w:rsidR="008977F4" w:rsidRPr="005E2B16">
        <w:rPr>
          <w:rFonts w:ascii="Times New Roman" w:hAnsi="Times New Roman" w:cs="Times New Roman"/>
          <w:sz w:val="24"/>
          <w:szCs w:val="24"/>
        </w:rPr>
        <w:t>Compared to the World average that was along the boundary of 5 percent in most of the year</w:t>
      </w:r>
      <w:r w:rsidR="008977F4" w:rsidRPr="005E2B16">
        <w:rPr>
          <w:rStyle w:val="FootnoteReference"/>
          <w:rFonts w:ascii="Times New Roman" w:hAnsi="Times New Roman" w:cs="Times New Roman"/>
          <w:sz w:val="24"/>
          <w:szCs w:val="24"/>
        </w:rPr>
        <w:footnoteReference w:id="5"/>
      </w:r>
      <w:r w:rsidR="008977F4" w:rsidRPr="005E2B16">
        <w:rPr>
          <w:rFonts w:ascii="Times New Roman" w:hAnsi="Times New Roman" w:cs="Times New Roman"/>
          <w:sz w:val="24"/>
          <w:szCs w:val="24"/>
        </w:rPr>
        <w:t>, Cameroon has not performed poorly in this regard. Likewise, the S</w:t>
      </w:r>
      <w:r w:rsidR="004763A6" w:rsidRPr="005E2B16">
        <w:rPr>
          <w:rFonts w:ascii="Times New Roman" w:hAnsi="Times New Roman" w:cs="Times New Roman"/>
          <w:sz w:val="24"/>
          <w:szCs w:val="24"/>
        </w:rPr>
        <w:t xml:space="preserve">ub </w:t>
      </w:r>
      <w:r w:rsidR="008977F4" w:rsidRPr="005E2B16">
        <w:rPr>
          <w:rFonts w:ascii="Times New Roman" w:hAnsi="Times New Roman" w:cs="Times New Roman"/>
          <w:sz w:val="24"/>
          <w:szCs w:val="24"/>
        </w:rPr>
        <w:t>S</w:t>
      </w:r>
      <w:r w:rsidR="004763A6" w:rsidRPr="005E2B16">
        <w:rPr>
          <w:rFonts w:ascii="Times New Roman" w:hAnsi="Times New Roman" w:cs="Times New Roman"/>
          <w:sz w:val="24"/>
          <w:szCs w:val="24"/>
        </w:rPr>
        <w:t xml:space="preserve">aharan </w:t>
      </w:r>
      <w:r w:rsidR="008977F4" w:rsidRPr="005E2B16">
        <w:rPr>
          <w:rFonts w:ascii="Times New Roman" w:hAnsi="Times New Roman" w:cs="Times New Roman"/>
          <w:sz w:val="24"/>
          <w:szCs w:val="24"/>
        </w:rPr>
        <w:t>A</w:t>
      </w:r>
      <w:r w:rsidR="004763A6" w:rsidRPr="005E2B16">
        <w:rPr>
          <w:rFonts w:ascii="Times New Roman" w:hAnsi="Times New Roman" w:cs="Times New Roman"/>
          <w:sz w:val="24"/>
          <w:szCs w:val="24"/>
        </w:rPr>
        <w:t>frica (SSA)</w:t>
      </w:r>
      <w:r w:rsidR="008977F4" w:rsidRPr="005E2B16">
        <w:rPr>
          <w:rFonts w:ascii="Times New Roman" w:hAnsi="Times New Roman" w:cs="Times New Roman"/>
          <w:sz w:val="24"/>
          <w:szCs w:val="24"/>
        </w:rPr>
        <w:t xml:space="preserve"> average was similar to the World average. </w:t>
      </w:r>
    </w:p>
    <w:p w14:paraId="178B1163" w14:textId="77777777" w:rsidR="001F4E01" w:rsidRPr="005E2B16" w:rsidRDefault="001F4E01" w:rsidP="00585AA8">
      <w:pPr>
        <w:spacing w:after="0"/>
        <w:jc w:val="both"/>
        <w:rPr>
          <w:rFonts w:ascii="Times New Roman" w:hAnsi="Times New Roman" w:cs="Times New Roman"/>
          <w:sz w:val="24"/>
          <w:szCs w:val="24"/>
        </w:rPr>
      </w:pPr>
    </w:p>
    <w:p w14:paraId="33129672" w14:textId="1FAFABDA" w:rsidR="001F4E01" w:rsidRPr="005E2B16" w:rsidRDefault="001F4E01" w:rsidP="001F4E01">
      <w:pPr>
        <w:spacing w:after="0"/>
        <w:jc w:val="center"/>
        <w:rPr>
          <w:rFonts w:ascii="Times New Roman" w:hAnsi="Times New Roman" w:cs="Times New Roman"/>
          <w:b/>
          <w:sz w:val="20"/>
          <w:szCs w:val="20"/>
        </w:rPr>
      </w:pPr>
      <w:r w:rsidRPr="005E2B16">
        <w:rPr>
          <w:rFonts w:ascii="Times New Roman" w:hAnsi="Times New Roman" w:cs="Times New Roman"/>
          <w:b/>
          <w:sz w:val="20"/>
          <w:szCs w:val="20"/>
        </w:rPr>
        <w:t>Figure 2.1:</w:t>
      </w:r>
      <w:r w:rsidRPr="005E2B16">
        <w:rPr>
          <w:rFonts w:ascii="Times New Roman" w:hAnsi="Times New Roman" w:cs="Times New Roman"/>
          <w:b/>
          <w:sz w:val="20"/>
          <w:szCs w:val="20"/>
        </w:rPr>
        <w:tab/>
        <w:t>Manufacturing Value Added as a Percentage of GDP</w:t>
      </w:r>
    </w:p>
    <w:p w14:paraId="4D26BB3C" w14:textId="2D622056" w:rsidR="001F4E01" w:rsidRPr="005E2B16" w:rsidRDefault="001F4E01" w:rsidP="00585AA8">
      <w:pPr>
        <w:spacing w:after="0"/>
        <w:jc w:val="both"/>
        <w:rPr>
          <w:rFonts w:ascii="Times New Roman" w:hAnsi="Times New Roman" w:cs="Times New Roman"/>
          <w:sz w:val="24"/>
          <w:szCs w:val="24"/>
        </w:rPr>
      </w:pPr>
      <w:r w:rsidRPr="005E2B16">
        <w:rPr>
          <w:noProof/>
          <w:lang w:val="en-US"/>
        </w:rPr>
        <w:drawing>
          <wp:inline distT="0" distB="0" distL="0" distR="0" wp14:anchorId="287F40AF" wp14:editId="2FD63F4E">
            <wp:extent cx="5772150" cy="2510913"/>
            <wp:effectExtent l="0" t="0" r="19050" b="292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08EF3D" w14:textId="13F88D39" w:rsidR="008F15FE" w:rsidRPr="005E2B16" w:rsidRDefault="00B80E41" w:rsidP="00B80E41">
      <w:pPr>
        <w:spacing w:after="0"/>
        <w:jc w:val="center"/>
        <w:rPr>
          <w:rFonts w:ascii="Times New Roman" w:hAnsi="Times New Roman" w:cs="Times New Roman"/>
          <w:sz w:val="20"/>
          <w:szCs w:val="20"/>
        </w:rPr>
      </w:pPr>
      <w:r w:rsidRPr="005E2B16">
        <w:rPr>
          <w:rFonts w:ascii="Times New Roman" w:hAnsi="Times New Roman" w:cs="Times New Roman"/>
          <w:sz w:val="20"/>
          <w:szCs w:val="20"/>
        </w:rPr>
        <w:t>Source: Authors’ Computation from WDI (2015)</w:t>
      </w:r>
    </w:p>
    <w:p w14:paraId="414E8438" w14:textId="77777777" w:rsidR="00B80E41" w:rsidRPr="005E2B16" w:rsidRDefault="00B80E41" w:rsidP="00585AA8">
      <w:pPr>
        <w:spacing w:after="0"/>
        <w:jc w:val="both"/>
        <w:rPr>
          <w:rFonts w:ascii="Times New Roman" w:hAnsi="Times New Roman" w:cs="Times New Roman"/>
          <w:sz w:val="24"/>
          <w:szCs w:val="24"/>
        </w:rPr>
      </w:pPr>
    </w:p>
    <w:p w14:paraId="7F59B152" w14:textId="31D61705" w:rsidR="00A56461" w:rsidRPr="005E2B16" w:rsidRDefault="00F46D64" w:rsidP="00585AA8">
      <w:pPr>
        <w:spacing w:after="0"/>
        <w:jc w:val="both"/>
        <w:rPr>
          <w:rFonts w:ascii="Times New Roman" w:hAnsi="Times New Roman" w:cs="Times New Roman"/>
          <w:sz w:val="24"/>
          <w:szCs w:val="24"/>
        </w:rPr>
      </w:pPr>
      <w:r>
        <w:rPr>
          <w:rFonts w:ascii="Times New Roman" w:hAnsi="Times New Roman" w:cs="Times New Roman"/>
          <w:sz w:val="24"/>
          <w:szCs w:val="24"/>
        </w:rPr>
        <w:t>T</w:t>
      </w:r>
      <w:r w:rsidR="00B80E41" w:rsidRPr="005E2B16">
        <w:rPr>
          <w:rFonts w:ascii="Times New Roman" w:hAnsi="Times New Roman" w:cs="Times New Roman"/>
          <w:sz w:val="24"/>
          <w:szCs w:val="24"/>
        </w:rPr>
        <w:t>he data for the contribution of the manufacturing value added to the economy of Cameroon as well as the world and SSA average</w:t>
      </w:r>
      <w:r>
        <w:rPr>
          <w:rFonts w:ascii="Times New Roman" w:hAnsi="Times New Roman" w:cs="Times New Roman"/>
          <w:sz w:val="24"/>
          <w:szCs w:val="24"/>
        </w:rPr>
        <w:t xml:space="preserve"> are presented in Table 2.1</w:t>
      </w:r>
      <w:r w:rsidR="00B80E41" w:rsidRPr="005E2B16">
        <w:rPr>
          <w:rFonts w:ascii="Times New Roman" w:hAnsi="Times New Roman" w:cs="Times New Roman"/>
          <w:sz w:val="24"/>
          <w:szCs w:val="24"/>
        </w:rPr>
        <w:t xml:space="preserve">. </w:t>
      </w:r>
      <w:r w:rsidR="004763A6" w:rsidRPr="005E2B16">
        <w:rPr>
          <w:rFonts w:ascii="Times New Roman" w:hAnsi="Times New Roman" w:cs="Times New Roman"/>
          <w:sz w:val="24"/>
          <w:szCs w:val="24"/>
        </w:rPr>
        <w:t>From the Tab</w:t>
      </w:r>
      <w:r>
        <w:rPr>
          <w:rFonts w:ascii="Times New Roman" w:hAnsi="Times New Roman" w:cs="Times New Roman"/>
          <w:sz w:val="24"/>
          <w:szCs w:val="24"/>
        </w:rPr>
        <w:t>le, we observe</w:t>
      </w:r>
      <w:r w:rsidR="004763A6" w:rsidRPr="005E2B16">
        <w:rPr>
          <w:rFonts w:ascii="Times New Roman" w:hAnsi="Times New Roman" w:cs="Times New Roman"/>
          <w:sz w:val="24"/>
          <w:szCs w:val="24"/>
        </w:rPr>
        <w:t xml:space="preserve"> that there has been equivalent contribution of the manufacturing sector </w:t>
      </w:r>
      <w:r>
        <w:rPr>
          <w:rFonts w:ascii="Times New Roman" w:hAnsi="Times New Roman" w:cs="Times New Roman"/>
          <w:sz w:val="24"/>
          <w:szCs w:val="24"/>
        </w:rPr>
        <w:t xml:space="preserve">to the economy of </w:t>
      </w:r>
      <w:r w:rsidR="004763A6" w:rsidRPr="005E2B16">
        <w:rPr>
          <w:rFonts w:ascii="Times New Roman" w:hAnsi="Times New Roman" w:cs="Times New Roman"/>
          <w:sz w:val="24"/>
          <w:szCs w:val="24"/>
        </w:rPr>
        <w:t xml:space="preserve">Cameroon when compared with the average of the SSA countries as well as the World average. </w:t>
      </w:r>
      <w:r>
        <w:rPr>
          <w:rFonts w:ascii="Times New Roman" w:hAnsi="Times New Roman" w:cs="Times New Roman"/>
          <w:sz w:val="24"/>
          <w:szCs w:val="24"/>
        </w:rPr>
        <w:t>T</w:t>
      </w:r>
      <w:r w:rsidR="004763A6" w:rsidRPr="005E2B16">
        <w:rPr>
          <w:rFonts w:ascii="Times New Roman" w:hAnsi="Times New Roman" w:cs="Times New Roman"/>
          <w:sz w:val="24"/>
          <w:szCs w:val="24"/>
        </w:rPr>
        <w:t xml:space="preserve">he manufacturing sector contributed about 20.4 and 19.9 percent </w:t>
      </w:r>
      <w:r>
        <w:rPr>
          <w:rFonts w:ascii="Times New Roman" w:hAnsi="Times New Roman" w:cs="Times New Roman"/>
          <w:sz w:val="24"/>
          <w:szCs w:val="24"/>
        </w:rPr>
        <w:t xml:space="preserve">for </w:t>
      </w:r>
      <w:r w:rsidR="004763A6" w:rsidRPr="005E2B16">
        <w:rPr>
          <w:rFonts w:ascii="Times New Roman" w:hAnsi="Times New Roman" w:cs="Times New Roman"/>
          <w:sz w:val="24"/>
          <w:szCs w:val="24"/>
        </w:rPr>
        <w:t>the period 1996-2005. However, in later years, the trend remained on the decrease</w:t>
      </w:r>
      <w:r>
        <w:rPr>
          <w:rFonts w:ascii="Times New Roman" w:hAnsi="Times New Roman" w:cs="Times New Roman"/>
          <w:sz w:val="24"/>
          <w:szCs w:val="24"/>
        </w:rPr>
        <w:t xml:space="preserve"> and this may not be conducive for </w:t>
      </w:r>
      <w:r w:rsidR="004763A6" w:rsidRPr="005E2B16">
        <w:rPr>
          <w:rFonts w:ascii="Times New Roman" w:hAnsi="Times New Roman" w:cs="Times New Roman"/>
          <w:sz w:val="24"/>
          <w:szCs w:val="24"/>
        </w:rPr>
        <w:t>industrial policy.</w:t>
      </w:r>
      <w:r w:rsidR="00CC1C37" w:rsidRPr="005E2B16">
        <w:rPr>
          <w:rFonts w:ascii="Times New Roman" w:hAnsi="Times New Roman" w:cs="Times New Roman"/>
          <w:sz w:val="24"/>
          <w:szCs w:val="24"/>
        </w:rPr>
        <w:t xml:space="preserve"> Although this decrease is not peculiar to Cameroon, however, it suggest</w:t>
      </w:r>
      <w:r w:rsidR="007819ED" w:rsidRPr="005E2B16">
        <w:rPr>
          <w:rFonts w:ascii="Times New Roman" w:hAnsi="Times New Roman" w:cs="Times New Roman"/>
          <w:sz w:val="24"/>
          <w:szCs w:val="24"/>
        </w:rPr>
        <w:t>s</w:t>
      </w:r>
      <w:r w:rsidR="00CC1C37" w:rsidRPr="005E2B16">
        <w:rPr>
          <w:rFonts w:ascii="Times New Roman" w:hAnsi="Times New Roman" w:cs="Times New Roman"/>
          <w:sz w:val="24"/>
          <w:szCs w:val="24"/>
        </w:rPr>
        <w:t xml:space="preserve"> that the manufacturing sector is becoming less productive</w:t>
      </w:r>
      <w:r w:rsidR="007819ED" w:rsidRPr="005E2B16">
        <w:rPr>
          <w:rFonts w:ascii="Times New Roman" w:hAnsi="Times New Roman" w:cs="Times New Roman"/>
          <w:sz w:val="24"/>
          <w:szCs w:val="24"/>
        </w:rPr>
        <w:t>.</w:t>
      </w:r>
      <w:r w:rsidR="00CC1C37" w:rsidRPr="005E2B16">
        <w:rPr>
          <w:rFonts w:ascii="Times New Roman" w:hAnsi="Times New Roman" w:cs="Times New Roman"/>
          <w:sz w:val="24"/>
          <w:szCs w:val="24"/>
        </w:rPr>
        <w:t xml:space="preserve"> </w:t>
      </w:r>
      <w:r w:rsidR="007819ED" w:rsidRPr="005E2B16">
        <w:rPr>
          <w:rFonts w:ascii="Times New Roman" w:hAnsi="Times New Roman" w:cs="Times New Roman"/>
          <w:sz w:val="24"/>
          <w:szCs w:val="24"/>
        </w:rPr>
        <w:t>T</w:t>
      </w:r>
      <w:r w:rsidR="002A2D2E" w:rsidRPr="005E2B16">
        <w:rPr>
          <w:rFonts w:ascii="Times New Roman" w:hAnsi="Times New Roman" w:cs="Times New Roman"/>
          <w:sz w:val="24"/>
          <w:szCs w:val="24"/>
        </w:rPr>
        <w:t>his tr</w:t>
      </w:r>
      <w:r>
        <w:rPr>
          <w:rFonts w:ascii="Times New Roman" w:hAnsi="Times New Roman" w:cs="Times New Roman"/>
          <w:sz w:val="24"/>
          <w:szCs w:val="24"/>
        </w:rPr>
        <w:t>end is also similar with Figure 2.1</w:t>
      </w:r>
      <w:r w:rsidR="002A2D2E" w:rsidRPr="005E2B16">
        <w:rPr>
          <w:rFonts w:ascii="Times New Roman" w:hAnsi="Times New Roman" w:cs="Times New Roman"/>
          <w:sz w:val="24"/>
          <w:szCs w:val="24"/>
        </w:rPr>
        <w:t xml:space="preserve">. </w:t>
      </w:r>
      <w:r w:rsidR="004763A6" w:rsidRPr="005E2B16">
        <w:rPr>
          <w:rFonts w:ascii="Times New Roman" w:hAnsi="Times New Roman" w:cs="Times New Roman"/>
          <w:sz w:val="24"/>
          <w:szCs w:val="24"/>
        </w:rPr>
        <w:t xml:space="preserve"> </w:t>
      </w:r>
    </w:p>
    <w:p w14:paraId="7A3621C1" w14:textId="5824C6EA" w:rsidR="00B80E41" w:rsidRPr="005E2B16" w:rsidRDefault="00B80E41" w:rsidP="00B80E41">
      <w:pPr>
        <w:spacing w:after="0"/>
        <w:jc w:val="center"/>
        <w:rPr>
          <w:rFonts w:ascii="Times New Roman" w:hAnsi="Times New Roman" w:cs="Times New Roman"/>
          <w:b/>
          <w:sz w:val="20"/>
          <w:szCs w:val="20"/>
        </w:rPr>
      </w:pPr>
      <w:r w:rsidRPr="005E2B16">
        <w:rPr>
          <w:rFonts w:ascii="Times New Roman" w:hAnsi="Times New Roman" w:cs="Times New Roman"/>
          <w:b/>
          <w:sz w:val="20"/>
          <w:szCs w:val="20"/>
        </w:rPr>
        <w:t>Table 2.1:</w:t>
      </w:r>
      <w:r w:rsidRPr="005E2B16">
        <w:rPr>
          <w:rFonts w:ascii="Times New Roman" w:hAnsi="Times New Roman" w:cs="Times New Roman"/>
          <w:b/>
          <w:sz w:val="20"/>
          <w:szCs w:val="20"/>
        </w:rPr>
        <w:tab/>
        <w:t>Manufacturing Value Added as a Percentage of GDP</w:t>
      </w:r>
    </w:p>
    <w:tbl>
      <w:tblPr>
        <w:tblW w:w="8931" w:type="dxa"/>
        <w:tblLook w:val="04A0" w:firstRow="1" w:lastRow="0" w:firstColumn="1" w:lastColumn="0" w:noHBand="0" w:noVBand="1"/>
      </w:tblPr>
      <w:tblGrid>
        <w:gridCol w:w="3380"/>
        <w:gridCol w:w="1015"/>
        <w:gridCol w:w="1134"/>
        <w:gridCol w:w="1134"/>
        <w:gridCol w:w="1134"/>
        <w:gridCol w:w="1134"/>
      </w:tblGrid>
      <w:tr w:rsidR="00B80E41" w:rsidRPr="005E2B16" w14:paraId="5370FF0D" w14:textId="77777777" w:rsidTr="00B80E41">
        <w:trPr>
          <w:trHeight w:val="300"/>
        </w:trPr>
        <w:tc>
          <w:tcPr>
            <w:tcW w:w="3380" w:type="dxa"/>
            <w:tcBorders>
              <w:top w:val="single" w:sz="4" w:space="0" w:color="auto"/>
              <w:left w:val="nil"/>
              <w:bottom w:val="nil"/>
              <w:right w:val="nil"/>
            </w:tcBorders>
            <w:shd w:val="clear" w:color="auto" w:fill="auto"/>
            <w:noWrap/>
            <w:vAlign w:val="bottom"/>
            <w:hideMark/>
          </w:tcPr>
          <w:p w14:paraId="4341BA3D" w14:textId="77777777" w:rsidR="00B80E41" w:rsidRPr="005E2B16" w:rsidRDefault="00B80E41" w:rsidP="00B80E41">
            <w:pPr>
              <w:spacing w:after="0" w:line="240" w:lineRule="auto"/>
              <w:rPr>
                <w:rFonts w:ascii="Times New Roman" w:eastAsia="Times New Roman" w:hAnsi="Times New Roman" w:cs="Times New Roman"/>
                <w:sz w:val="20"/>
                <w:szCs w:val="20"/>
                <w:lang w:eastAsia="en-GB"/>
              </w:rPr>
            </w:pPr>
          </w:p>
        </w:tc>
        <w:tc>
          <w:tcPr>
            <w:tcW w:w="1015" w:type="dxa"/>
            <w:tcBorders>
              <w:top w:val="single" w:sz="4" w:space="0" w:color="auto"/>
              <w:left w:val="nil"/>
              <w:bottom w:val="single" w:sz="4" w:space="0" w:color="auto"/>
              <w:right w:val="nil"/>
            </w:tcBorders>
            <w:shd w:val="clear" w:color="auto" w:fill="auto"/>
            <w:noWrap/>
            <w:vAlign w:val="bottom"/>
            <w:hideMark/>
          </w:tcPr>
          <w:p w14:paraId="4B928C8D"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1991-95</w:t>
            </w:r>
          </w:p>
        </w:tc>
        <w:tc>
          <w:tcPr>
            <w:tcW w:w="1134" w:type="dxa"/>
            <w:tcBorders>
              <w:top w:val="single" w:sz="4" w:space="0" w:color="auto"/>
              <w:left w:val="nil"/>
              <w:bottom w:val="single" w:sz="4" w:space="0" w:color="auto"/>
              <w:right w:val="nil"/>
            </w:tcBorders>
            <w:shd w:val="clear" w:color="auto" w:fill="auto"/>
            <w:noWrap/>
            <w:vAlign w:val="bottom"/>
            <w:hideMark/>
          </w:tcPr>
          <w:p w14:paraId="5026E79F"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1996-00</w:t>
            </w:r>
          </w:p>
        </w:tc>
        <w:tc>
          <w:tcPr>
            <w:tcW w:w="1134" w:type="dxa"/>
            <w:tcBorders>
              <w:top w:val="single" w:sz="4" w:space="0" w:color="auto"/>
              <w:left w:val="nil"/>
              <w:bottom w:val="single" w:sz="4" w:space="0" w:color="auto"/>
              <w:right w:val="nil"/>
            </w:tcBorders>
            <w:shd w:val="clear" w:color="auto" w:fill="auto"/>
            <w:noWrap/>
            <w:vAlign w:val="bottom"/>
            <w:hideMark/>
          </w:tcPr>
          <w:p w14:paraId="7F9095E6"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2001-05</w:t>
            </w:r>
          </w:p>
        </w:tc>
        <w:tc>
          <w:tcPr>
            <w:tcW w:w="1134" w:type="dxa"/>
            <w:tcBorders>
              <w:top w:val="single" w:sz="4" w:space="0" w:color="auto"/>
              <w:left w:val="nil"/>
              <w:bottom w:val="single" w:sz="4" w:space="0" w:color="auto"/>
              <w:right w:val="nil"/>
            </w:tcBorders>
            <w:shd w:val="clear" w:color="auto" w:fill="auto"/>
            <w:noWrap/>
            <w:vAlign w:val="bottom"/>
            <w:hideMark/>
          </w:tcPr>
          <w:p w14:paraId="68D3A245"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2006-10</w:t>
            </w:r>
          </w:p>
        </w:tc>
        <w:tc>
          <w:tcPr>
            <w:tcW w:w="1134" w:type="dxa"/>
            <w:tcBorders>
              <w:top w:val="single" w:sz="4" w:space="0" w:color="auto"/>
              <w:left w:val="nil"/>
              <w:bottom w:val="single" w:sz="4" w:space="0" w:color="auto"/>
              <w:right w:val="nil"/>
            </w:tcBorders>
            <w:shd w:val="clear" w:color="auto" w:fill="auto"/>
            <w:noWrap/>
            <w:vAlign w:val="bottom"/>
            <w:hideMark/>
          </w:tcPr>
          <w:p w14:paraId="1A052BE0"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2011-15</w:t>
            </w:r>
          </w:p>
        </w:tc>
      </w:tr>
      <w:tr w:rsidR="00B80E41" w:rsidRPr="005E2B16" w14:paraId="4EBD5760" w14:textId="77777777" w:rsidTr="00B80E41">
        <w:trPr>
          <w:trHeight w:val="300"/>
        </w:trPr>
        <w:tc>
          <w:tcPr>
            <w:tcW w:w="3380" w:type="dxa"/>
            <w:tcBorders>
              <w:top w:val="nil"/>
              <w:left w:val="nil"/>
              <w:bottom w:val="nil"/>
              <w:right w:val="nil"/>
            </w:tcBorders>
            <w:shd w:val="clear" w:color="auto" w:fill="auto"/>
            <w:noWrap/>
            <w:vAlign w:val="bottom"/>
            <w:hideMark/>
          </w:tcPr>
          <w:p w14:paraId="30F564EC" w14:textId="77777777" w:rsidR="00B80E41" w:rsidRPr="005E2B16" w:rsidRDefault="00B80E41" w:rsidP="00B80E41">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Cameroon</w:t>
            </w:r>
          </w:p>
        </w:tc>
        <w:tc>
          <w:tcPr>
            <w:tcW w:w="1015" w:type="dxa"/>
            <w:tcBorders>
              <w:top w:val="single" w:sz="4" w:space="0" w:color="auto"/>
              <w:left w:val="nil"/>
              <w:bottom w:val="nil"/>
              <w:right w:val="nil"/>
            </w:tcBorders>
            <w:shd w:val="clear" w:color="auto" w:fill="auto"/>
            <w:noWrap/>
            <w:vAlign w:val="bottom"/>
            <w:hideMark/>
          </w:tcPr>
          <w:p w14:paraId="512D8B59"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18.837</w:t>
            </w:r>
          </w:p>
        </w:tc>
        <w:tc>
          <w:tcPr>
            <w:tcW w:w="1134" w:type="dxa"/>
            <w:tcBorders>
              <w:top w:val="single" w:sz="4" w:space="0" w:color="auto"/>
              <w:left w:val="nil"/>
              <w:bottom w:val="nil"/>
              <w:right w:val="nil"/>
            </w:tcBorders>
            <w:shd w:val="clear" w:color="auto" w:fill="auto"/>
            <w:noWrap/>
            <w:vAlign w:val="bottom"/>
            <w:hideMark/>
          </w:tcPr>
          <w:p w14:paraId="5B47B876"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20.426</w:t>
            </w:r>
          </w:p>
        </w:tc>
        <w:tc>
          <w:tcPr>
            <w:tcW w:w="1134" w:type="dxa"/>
            <w:tcBorders>
              <w:top w:val="single" w:sz="4" w:space="0" w:color="auto"/>
              <w:left w:val="nil"/>
              <w:bottom w:val="nil"/>
              <w:right w:val="nil"/>
            </w:tcBorders>
            <w:shd w:val="clear" w:color="auto" w:fill="auto"/>
            <w:noWrap/>
            <w:vAlign w:val="bottom"/>
            <w:hideMark/>
          </w:tcPr>
          <w:p w14:paraId="697C6C9E"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19.946</w:t>
            </w:r>
          </w:p>
        </w:tc>
        <w:tc>
          <w:tcPr>
            <w:tcW w:w="1134" w:type="dxa"/>
            <w:tcBorders>
              <w:top w:val="single" w:sz="4" w:space="0" w:color="auto"/>
              <w:left w:val="nil"/>
              <w:bottom w:val="nil"/>
              <w:right w:val="nil"/>
            </w:tcBorders>
            <w:shd w:val="clear" w:color="auto" w:fill="auto"/>
            <w:noWrap/>
            <w:vAlign w:val="bottom"/>
            <w:hideMark/>
          </w:tcPr>
          <w:p w14:paraId="655FDCDC"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16.018</w:t>
            </w:r>
          </w:p>
        </w:tc>
        <w:tc>
          <w:tcPr>
            <w:tcW w:w="1134" w:type="dxa"/>
            <w:tcBorders>
              <w:top w:val="single" w:sz="4" w:space="0" w:color="auto"/>
              <w:left w:val="nil"/>
              <w:bottom w:val="nil"/>
              <w:right w:val="nil"/>
            </w:tcBorders>
            <w:shd w:val="clear" w:color="auto" w:fill="auto"/>
            <w:noWrap/>
            <w:vAlign w:val="bottom"/>
            <w:hideMark/>
          </w:tcPr>
          <w:p w14:paraId="29A8E09B"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14.446</w:t>
            </w:r>
          </w:p>
        </w:tc>
      </w:tr>
      <w:tr w:rsidR="00B80E41" w:rsidRPr="005E2B16" w14:paraId="461575F1" w14:textId="77777777" w:rsidTr="00B80E41">
        <w:trPr>
          <w:trHeight w:val="300"/>
        </w:trPr>
        <w:tc>
          <w:tcPr>
            <w:tcW w:w="3380" w:type="dxa"/>
            <w:tcBorders>
              <w:top w:val="nil"/>
              <w:left w:val="nil"/>
              <w:right w:val="nil"/>
            </w:tcBorders>
            <w:shd w:val="clear" w:color="auto" w:fill="auto"/>
            <w:noWrap/>
            <w:vAlign w:val="bottom"/>
            <w:hideMark/>
          </w:tcPr>
          <w:p w14:paraId="50CDD923" w14:textId="5639ECB0" w:rsidR="00B80E41" w:rsidRPr="005E2B16" w:rsidRDefault="00B80E41" w:rsidP="00B80E41">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Sub-Saharan Africa</w:t>
            </w:r>
          </w:p>
        </w:tc>
        <w:tc>
          <w:tcPr>
            <w:tcW w:w="1015" w:type="dxa"/>
            <w:tcBorders>
              <w:top w:val="nil"/>
              <w:left w:val="nil"/>
              <w:right w:val="nil"/>
            </w:tcBorders>
            <w:shd w:val="clear" w:color="auto" w:fill="auto"/>
            <w:noWrap/>
            <w:vAlign w:val="bottom"/>
            <w:hideMark/>
          </w:tcPr>
          <w:p w14:paraId="040FF6B3"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14.410</w:t>
            </w:r>
          </w:p>
        </w:tc>
        <w:tc>
          <w:tcPr>
            <w:tcW w:w="1134" w:type="dxa"/>
            <w:tcBorders>
              <w:top w:val="nil"/>
              <w:left w:val="nil"/>
              <w:right w:val="nil"/>
            </w:tcBorders>
            <w:shd w:val="clear" w:color="auto" w:fill="auto"/>
            <w:noWrap/>
            <w:vAlign w:val="bottom"/>
            <w:hideMark/>
          </w:tcPr>
          <w:p w14:paraId="7377E27A"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13.437</w:t>
            </w:r>
          </w:p>
        </w:tc>
        <w:tc>
          <w:tcPr>
            <w:tcW w:w="1134" w:type="dxa"/>
            <w:tcBorders>
              <w:top w:val="nil"/>
              <w:left w:val="nil"/>
              <w:right w:val="nil"/>
            </w:tcBorders>
            <w:shd w:val="clear" w:color="auto" w:fill="auto"/>
            <w:noWrap/>
            <w:vAlign w:val="bottom"/>
            <w:hideMark/>
          </w:tcPr>
          <w:p w14:paraId="59385E07"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12.875</w:t>
            </w:r>
          </w:p>
        </w:tc>
        <w:tc>
          <w:tcPr>
            <w:tcW w:w="1134" w:type="dxa"/>
            <w:tcBorders>
              <w:top w:val="nil"/>
              <w:left w:val="nil"/>
              <w:right w:val="nil"/>
            </w:tcBorders>
            <w:shd w:val="clear" w:color="auto" w:fill="auto"/>
            <w:noWrap/>
            <w:vAlign w:val="bottom"/>
            <w:hideMark/>
          </w:tcPr>
          <w:p w14:paraId="627C082F"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11.304</w:t>
            </w:r>
          </w:p>
        </w:tc>
        <w:tc>
          <w:tcPr>
            <w:tcW w:w="1134" w:type="dxa"/>
            <w:tcBorders>
              <w:top w:val="nil"/>
              <w:left w:val="nil"/>
              <w:right w:val="nil"/>
            </w:tcBorders>
            <w:shd w:val="clear" w:color="auto" w:fill="auto"/>
            <w:noWrap/>
            <w:vAlign w:val="bottom"/>
            <w:hideMark/>
          </w:tcPr>
          <w:p w14:paraId="4B52E484"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10.848</w:t>
            </w:r>
          </w:p>
        </w:tc>
      </w:tr>
      <w:tr w:rsidR="00B80E41" w:rsidRPr="005E2B16" w14:paraId="37ABD5E8" w14:textId="77777777" w:rsidTr="00B80E41">
        <w:trPr>
          <w:trHeight w:val="300"/>
        </w:trPr>
        <w:tc>
          <w:tcPr>
            <w:tcW w:w="3380" w:type="dxa"/>
            <w:tcBorders>
              <w:top w:val="nil"/>
              <w:left w:val="nil"/>
              <w:bottom w:val="single" w:sz="4" w:space="0" w:color="auto"/>
              <w:right w:val="nil"/>
            </w:tcBorders>
            <w:shd w:val="clear" w:color="auto" w:fill="auto"/>
            <w:noWrap/>
            <w:vAlign w:val="bottom"/>
            <w:hideMark/>
          </w:tcPr>
          <w:p w14:paraId="405A7E29" w14:textId="77777777" w:rsidR="00B80E41" w:rsidRPr="005E2B16" w:rsidRDefault="00B80E41" w:rsidP="00B80E41">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World</w:t>
            </w:r>
          </w:p>
        </w:tc>
        <w:tc>
          <w:tcPr>
            <w:tcW w:w="1015" w:type="dxa"/>
            <w:tcBorders>
              <w:top w:val="nil"/>
              <w:left w:val="nil"/>
              <w:bottom w:val="single" w:sz="4" w:space="0" w:color="auto"/>
              <w:right w:val="nil"/>
            </w:tcBorders>
            <w:shd w:val="clear" w:color="auto" w:fill="auto"/>
            <w:noWrap/>
            <w:vAlign w:val="bottom"/>
            <w:hideMark/>
          </w:tcPr>
          <w:p w14:paraId="6AA6BC0A"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0.000</w:t>
            </w:r>
          </w:p>
        </w:tc>
        <w:tc>
          <w:tcPr>
            <w:tcW w:w="1134" w:type="dxa"/>
            <w:tcBorders>
              <w:top w:val="nil"/>
              <w:left w:val="nil"/>
              <w:bottom w:val="single" w:sz="4" w:space="0" w:color="auto"/>
              <w:right w:val="nil"/>
            </w:tcBorders>
            <w:shd w:val="clear" w:color="auto" w:fill="auto"/>
            <w:noWrap/>
            <w:vAlign w:val="bottom"/>
            <w:hideMark/>
          </w:tcPr>
          <w:p w14:paraId="1988C0F9"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19.059</w:t>
            </w:r>
          </w:p>
        </w:tc>
        <w:tc>
          <w:tcPr>
            <w:tcW w:w="1134" w:type="dxa"/>
            <w:tcBorders>
              <w:top w:val="nil"/>
              <w:left w:val="nil"/>
              <w:bottom w:val="single" w:sz="4" w:space="0" w:color="auto"/>
              <w:right w:val="nil"/>
            </w:tcBorders>
            <w:shd w:val="clear" w:color="auto" w:fill="auto"/>
            <w:noWrap/>
            <w:vAlign w:val="bottom"/>
            <w:hideMark/>
          </w:tcPr>
          <w:p w14:paraId="2E5FD52B"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17.484</w:t>
            </w:r>
          </w:p>
        </w:tc>
        <w:tc>
          <w:tcPr>
            <w:tcW w:w="1134" w:type="dxa"/>
            <w:tcBorders>
              <w:top w:val="nil"/>
              <w:left w:val="nil"/>
              <w:bottom w:val="single" w:sz="4" w:space="0" w:color="auto"/>
              <w:right w:val="nil"/>
            </w:tcBorders>
            <w:shd w:val="clear" w:color="auto" w:fill="auto"/>
            <w:noWrap/>
            <w:vAlign w:val="bottom"/>
            <w:hideMark/>
          </w:tcPr>
          <w:p w14:paraId="2D819BC1"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16.426</w:t>
            </w:r>
          </w:p>
        </w:tc>
        <w:tc>
          <w:tcPr>
            <w:tcW w:w="1134" w:type="dxa"/>
            <w:tcBorders>
              <w:top w:val="nil"/>
              <w:left w:val="nil"/>
              <w:bottom w:val="single" w:sz="4" w:space="0" w:color="auto"/>
              <w:right w:val="nil"/>
            </w:tcBorders>
            <w:shd w:val="clear" w:color="auto" w:fill="auto"/>
            <w:noWrap/>
            <w:vAlign w:val="bottom"/>
            <w:hideMark/>
          </w:tcPr>
          <w:p w14:paraId="6040F961" w14:textId="77777777" w:rsidR="00B80E41" w:rsidRPr="005E2B16" w:rsidRDefault="00B80E41" w:rsidP="00B80E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15.943</w:t>
            </w:r>
          </w:p>
        </w:tc>
      </w:tr>
    </w:tbl>
    <w:p w14:paraId="09B9D4B7" w14:textId="335DEBCA" w:rsidR="00B80E41" w:rsidRPr="005E2B16" w:rsidRDefault="00B80E41" w:rsidP="00B80E41">
      <w:pPr>
        <w:spacing w:after="0"/>
        <w:jc w:val="center"/>
        <w:rPr>
          <w:rFonts w:ascii="Times New Roman" w:hAnsi="Times New Roman" w:cs="Times New Roman"/>
          <w:sz w:val="24"/>
          <w:szCs w:val="24"/>
        </w:rPr>
      </w:pPr>
      <w:r w:rsidRPr="005E2B16">
        <w:rPr>
          <w:rFonts w:ascii="Times New Roman" w:hAnsi="Times New Roman" w:cs="Times New Roman"/>
          <w:sz w:val="20"/>
          <w:szCs w:val="20"/>
        </w:rPr>
        <w:t>Source: Authors’ Computation from WDI (2015)</w:t>
      </w:r>
    </w:p>
    <w:p w14:paraId="295E6C70" w14:textId="77777777" w:rsidR="003D7078" w:rsidRPr="005E2B16" w:rsidRDefault="003D7078" w:rsidP="00585AA8">
      <w:pPr>
        <w:spacing w:after="0"/>
        <w:jc w:val="both"/>
        <w:rPr>
          <w:rFonts w:ascii="Times New Roman" w:hAnsi="Times New Roman" w:cs="Times New Roman"/>
          <w:sz w:val="24"/>
          <w:szCs w:val="24"/>
        </w:rPr>
      </w:pPr>
    </w:p>
    <w:p w14:paraId="7097D2A9" w14:textId="6EDF04D2" w:rsidR="0083749A" w:rsidRPr="005E2B16" w:rsidRDefault="0067634B" w:rsidP="001B64E4">
      <w:pPr>
        <w:autoSpaceDE w:val="0"/>
        <w:autoSpaceDN w:val="0"/>
        <w:adjustRightInd w:val="0"/>
        <w:spacing w:after="0" w:line="240" w:lineRule="auto"/>
        <w:rPr>
          <w:rFonts w:ascii="Times New Roman" w:hAnsi="Times New Roman" w:cs="Times New Roman"/>
          <w:b/>
          <w:sz w:val="24"/>
          <w:szCs w:val="24"/>
        </w:rPr>
      </w:pPr>
      <w:r w:rsidRPr="005E2B16">
        <w:rPr>
          <w:rFonts w:ascii="Times New Roman" w:hAnsi="Times New Roman" w:cs="Times New Roman"/>
          <w:b/>
          <w:sz w:val="24"/>
          <w:szCs w:val="24"/>
        </w:rPr>
        <w:t>3</w:t>
      </w:r>
      <w:r w:rsidR="00165E84" w:rsidRPr="005E2B16">
        <w:rPr>
          <w:rFonts w:ascii="Times New Roman" w:hAnsi="Times New Roman" w:cs="Times New Roman"/>
          <w:b/>
          <w:sz w:val="24"/>
          <w:szCs w:val="24"/>
        </w:rPr>
        <w:t>.</w:t>
      </w:r>
      <w:r w:rsidR="00165E84" w:rsidRPr="005E2B16">
        <w:rPr>
          <w:rFonts w:ascii="Times New Roman" w:hAnsi="Times New Roman" w:cs="Times New Roman"/>
          <w:b/>
          <w:sz w:val="24"/>
          <w:szCs w:val="24"/>
        </w:rPr>
        <w:tab/>
      </w:r>
      <w:r w:rsidR="0083749A" w:rsidRPr="005E2B16">
        <w:rPr>
          <w:rFonts w:ascii="Times New Roman" w:hAnsi="Times New Roman" w:cs="Times New Roman"/>
          <w:b/>
          <w:sz w:val="24"/>
          <w:szCs w:val="24"/>
        </w:rPr>
        <w:t>Data and Empirical Strategy</w:t>
      </w:r>
    </w:p>
    <w:p w14:paraId="0B79962F" w14:textId="77777777" w:rsidR="00FB5092" w:rsidRPr="005E2B16" w:rsidRDefault="00FB5092" w:rsidP="00E859CB">
      <w:pPr>
        <w:autoSpaceDE w:val="0"/>
        <w:autoSpaceDN w:val="0"/>
        <w:adjustRightInd w:val="0"/>
        <w:spacing w:after="0" w:line="240" w:lineRule="auto"/>
        <w:jc w:val="both"/>
        <w:rPr>
          <w:rFonts w:ascii="Times New Roman" w:hAnsi="Times New Roman" w:cs="Times New Roman"/>
          <w:i/>
          <w:sz w:val="24"/>
          <w:szCs w:val="24"/>
        </w:rPr>
      </w:pPr>
      <w:r w:rsidRPr="005E2B16">
        <w:rPr>
          <w:rFonts w:ascii="Times New Roman" w:hAnsi="Times New Roman" w:cs="Times New Roman"/>
          <w:i/>
          <w:sz w:val="24"/>
          <w:szCs w:val="24"/>
        </w:rPr>
        <w:t>Data and Variables</w:t>
      </w:r>
    </w:p>
    <w:p w14:paraId="5283350E" w14:textId="62A6C272" w:rsidR="00B67073" w:rsidRPr="005E2B16" w:rsidRDefault="00263DA9" w:rsidP="00B67073">
      <w:pPr>
        <w:autoSpaceDE w:val="0"/>
        <w:autoSpaceDN w:val="0"/>
        <w:adjustRightInd w:val="0"/>
        <w:spacing w:after="0" w:line="240" w:lineRule="auto"/>
        <w:jc w:val="both"/>
        <w:rPr>
          <w:rFonts w:ascii="Times New Roman" w:hAnsi="Times New Roman" w:cs="Times New Roman"/>
          <w:sz w:val="24"/>
          <w:szCs w:val="24"/>
        </w:rPr>
      </w:pPr>
      <w:r w:rsidRPr="005E2B16">
        <w:rPr>
          <w:rFonts w:ascii="Times New Roman" w:hAnsi="Times New Roman" w:cs="Times New Roman"/>
          <w:sz w:val="24"/>
          <w:szCs w:val="24"/>
        </w:rPr>
        <w:t xml:space="preserve">Data </w:t>
      </w:r>
      <w:r w:rsidR="008C531F" w:rsidRPr="005E2B16">
        <w:rPr>
          <w:rFonts w:ascii="Times New Roman" w:hAnsi="Times New Roman" w:cs="Times New Roman"/>
          <w:sz w:val="24"/>
          <w:szCs w:val="24"/>
        </w:rPr>
        <w:t xml:space="preserve">for the study </w:t>
      </w:r>
      <w:r w:rsidR="00E944E9" w:rsidRPr="005E2B16">
        <w:rPr>
          <w:rFonts w:ascii="Times New Roman" w:hAnsi="Times New Roman" w:cs="Times New Roman"/>
          <w:sz w:val="24"/>
          <w:szCs w:val="24"/>
        </w:rPr>
        <w:t xml:space="preserve">is </w:t>
      </w:r>
      <w:r w:rsidR="008C531F" w:rsidRPr="005E2B16">
        <w:rPr>
          <w:rFonts w:ascii="Times New Roman" w:hAnsi="Times New Roman" w:cs="Times New Roman"/>
          <w:sz w:val="24"/>
          <w:szCs w:val="24"/>
        </w:rPr>
        <w:t xml:space="preserve">from the </w:t>
      </w:r>
      <w:r w:rsidR="007526D4">
        <w:rPr>
          <w:rFonts w:ascii="Times New Roman" w:hAnsi="Times New Roman" w:cs="Times New Roman"/>
          <w:sz w:val="24"/>
          <w:szCs w:val="24"/>
        </w:rPr>
        <w:t xml:space="preserve">firm-level </w:t>
      </w:r>
      <w:r w:rsidR="008C531F" w:rsidRPr="005E2B16">
        <w:rPr>
          <w:rFonts w:ascii="Times New Roman" w:hAnsi="Times New Roman" w:cs="Times New Roman"/>
          <w:sz w:val="24"/>
          <w:szCs w:val="24"/>
        </w:rPr>
        <w:t xml:space="preserve">panel </w:t>
      </w:r>
      <w:r w:rsidR="007526D4">
        <w:rPr>
          <w:rFonts w:ascii="Times New Roman" w:hAnsi="Times New Roman" w:cs="Times New Roman"/>
          <w:sz w:val="24"/>
          <w:szCs w:val="24"/>
        </w:rPr>
        <w:t>survey</w:t>
      </w:r>
      <w:r w:rsidR="007526D4" w:rsidRPr="00A55EC9">
        <w:rPr>
          <w:rFonts w:ascii="Times New Roman" w:hAnsi="Times New Roman" w:cs="Times New Roman"/>
          <w:sz w:val="24"/>
          <w:szCs w:val="24"/>
        </w:rPr>
        <w:t xml:space="preserve"> </w:t>
      </w:r>
      <w:r w:rsidR="008C531F" w:rsidRPr="00A55EC9">
        <w:rPr>
          <w:rFonts w:ascii="Times New Roman" w:hAnsi="Times New Roman" w:cs="Times New Roman"/>
          <w:sz w:val="24"/>
          <w:szCs w:val="24"/>
        </w:rPr>
        <w:t>(20</w:t>
      </w:r>
      <w:r w:rsidR="00EA2E16" w:rsidRPr="00A55EC9">
        <w:rPr>
          <w:rFonts w:ascii="Times New Roman" w:hAnsi="Times New Roman" w:cs="Times New Roman"/>
          <w:sz w:val="24"/>
          <w:szCs w:val="24"/>
        </w:rPr>
        <w:t>07</w:t>
      </w:r>
      <w:r w:rsidR="008C531F" w:rsidRPr="00A55EC9">
        <w:rPr>
          <w:rFonts w:ascii="Times New Roman" w:hAnsi="Times New Roman" w:cs="Times New Roman"/>
          <w:sz w:val="24"/>
          <w:szCs w:val="24"/>
        </w:rPr>
        <w:t xml:space="preserve"> </w:t>
      </w:r>
      <w:r w:rsidRPr="00A55EC9">
        <w:rPr>
          <w:rFonts w:ascii="Times New Roman" w:hAnsi="Times New Roman" w:cs="Times New Roman"/>
          <w:sz w:val="24"/>
          <w:szCs w:val="24"/>
        </w:rPr>
        <w:t xml:space="preserve">to </w:t>
      </w:r>
      <w:r w:rsidR="008C531F" w:rsidRPr="00A55EC9">
        <w:rPr>
          <w:rFonts w:ascii="Times New Roman" w:hAnsi="Times New Roman" w:cs="Times New Roman"/>
          <w:sz w:val="24"/>
          <w:szCs w:val="24"/>
        </w:rPr>
        <w:t>20</w:t>
      </w:r>
      <w:r w:rsidR="00EA2E16" w:rsidRPr="00A55EC9">
        <w:rPr>
          <w:rFonts w:ascii="Times New Roman" w:hAnsi="Times New Roman" w:cs="Times New Roman"/>
          <w:sz w:val="24"/>
          <w:szCs w:val="24"/>
        </w:rPr>
        <w:t>09</w:t>
      </w:r>
      <w:r w:rsidR="008C531F" w:rsidRPr="00A55EC9">
        <w:rPr>
          <w:rFonts w:ascii="Times New Roman" w:hAnsi="Times New Roman" w:cs="Times New Roman"/>
          <w:sz w:val="24"/>
          <w:szCs w:val="24"/>
        </w:rPr>
        <w:t>)</w:t>
      </w:r>
      <w:r w:rsidR="008C531F" w:rsidRPr="005E2B16">
        <w:rPr>
          <w:rFonts w:ascii="Times New Roman" w:hAnsi="Times New Roman" w:cs="Times New Roman"/>
          <w:sz w:val="24"/>
          <w:szCs w:val="24"/>
        </w:rPr>
        <w:t xml:space="preserve"> of the World Bank’s </w:t>
      </w:r>
      <w:r w:rsidR="008C531F" w:rsidRPr="005E2B16">
        <w:rPr>
          <w:rFonts w:ascii="Times New Roman" w:hAnsi="Times New Roman" w:cs="Times New Roman"/>
          <w:i/>
          <w:sz w:val="24"/>
          <w:szCs w:val="24"/>
        </w:rPr>
        <w:t>Enterprise Survey</w:t>
      </w:r>
      <w:r w:rsidR="008C531F" w:rsidRPr="005E2B16">
        <w:rPr>
          <w:rFonts w:ascii="Times New Roman" w:hAnsi="Times New Roman" w:cs="Times New Roman"/>
          <w:sz w:val="24"/>
          <w:szCs w:val="24"/>
        </w:rPr>
        <w:t xml:space="preserve"> project</w:t>
      </w:r>
      <w:r w:rsidRPr="005E2B16">
        <w:rPr>
          <w:rFonts w:ascii="Times New Roman" w:hAnsi="Times New Roman" w:cs="Times New Roman"/>
          <w:sz w:val="24"/>
          <w:szCs w:val="24"/>
        </w:rPr>
        <w:t xml:space="preserve"> for Cameroon</w:t>
      </w:r>
      <w:r w:rsidR="008C531F" w:rsidRPr="005E2B16">
        <w:rPr>
          <w:rFonts w:ascii="Times New Roman" w:hAnsi="Times New Roman" w:cs="Times New Roman"/>
          <w:sz w:val="24"/>
          <w:szCs w:val="24"/>
        </w:rPr>
        <w:t xml:space="preserve">. </w:t>
      </w:r>
      <w:r w:rsidR="00531090" w:rsidRPr="005E2B16">
        <w:rPr>
          <w:rFonts w:ascii="Times New Roman" w:hAnsi="Times New Roman" w:cs="Times New Roman"/>
          <w:sz w:val="24"/>
          <w:szCs w:val="24"/>
        </w:rPr>
        <w:t>The survey data contains di</w:t>
      </w:r>
      <w:r w:rsidR="007526D4">
        <w:rPr>
          <w:rFonts w:ascii="Times New Roman" w:hAnsi="Times New Roman" w:cs="Times New Roman"/>
          <w:sz w:val="24"/>
          <w:szCs w:val="24"/>
        </w:rPr>
        <w:t xml:space="preserve">fferent </w:t>
      </w:r>
      <w:r w:rsidR="00531090" w:rsidRPr="005E2B16">
        <w:rPr>
          <w:rFonts w:ascii="Times New Roman" w:hAnsi="Times New Roman" w:cs="Times New Roman"/>
          <w:sz w:val="24"/>
          <w:szCs w:val="24"/>
        </w:rPr>
        <w:t xml:space="preserve">information </w:t>
      </w:r>
      <w:r w:rsidR="007526D4">
        <w:rPr>
          <w:rFonts w:ascii="Times New Roman" w:hAnsi="Times New Roman" w:cs="Times New Roman"/>
          <w:sz w:val="24"/>
          <w:szCs w:val="24"/>
        </w:rPr>
        <w:t xml:space="preserve">about </w:t>
      </w:r>
      <w:r w:rsidR="00531090" w:rsidRPr="005E2B16">
        <w:rPr>
          <w:rFonts w:ascii="Times New Roman" w:hAnsi="Times New Roman" w:cs="Times New Roman"/>
          <w:sz w:val="24"/>
          <w:szCs w:val="24"/>
        </w:rPr>
        <w:t xml:space="preserve">the </w:t>
      </w:r>
      <w:r w:rsidR="00C0444D" w:rsidRPr="005E2B16">
        <w:rPr>
          <w:rFonts w:ascii="Times New Roman" w:hAnsi="Times New Roman" w:cs="Times New Roman"/>
          <w:sz w:val="24"/>
          <w:szCs w:val="24"/>
        </w:rPr>
        <w:t>management, ownership and capital structure, performance and other external factors that affect</w:t>
      </w:r>
      <w:r w:rsidR="007526D4">
        <w:rPr>
          <w:rFonts w:ascii="Times New Roman" w:hAnsi="Times New Roman" w:cs="Times New Roman"/>
          <w:sz w:val="24"/>
          <w:szCs w:val="24"/>
        </w:rPr>
        <w:t>s</w:t>
      </w:r>
      <w:r w:rsidR="00C0444D" w:rsidRPr="005E2B16">
        <w:rPr>
          <w:rFonts w:ascii="Times New Roman" w:hAnsi="Times New Roman" w:cs="Times New Roman"/>
          <w:sz w:val="24"/>
          <w:szCs w:val="24"/>
        </w:rPr>
        <w:t xml:space="preserve"> the firm</w:t>
      </w:r>
      <w:r w:rsidR="007526D4">
        <w:rPr>
          <w:rFonts w:ascii="Times New Roman" w:hAnsi="Times New Roman" w:cs="Times New Roman"/>
          <w:sz w:val="24"/>
          <w:szCs w:val="24"/>
        </w:rPr>
        <w:t>’</w:t>
      </w:r>
      <w:r w:rsidR="00C0444D" w:rsidRPr="005E2B16">
        <w:rPr>
          <w:rFonts w:ascii="Times New Roman" w:hAnsi="Times New Roman" w:cs="Times New Roman"/>
          <w:sz w:val="24"/>
          <w:szCs w:val="24"/>
        </w:rPr>
        <w:t>s</w:t>
      </w:r>
      <w:r w:rsidR="007526D4">
        <w:rPr>
          <w:rFonts w:ascii="Times New Roman" w:hAnsi="Times New Roman" w:cs="Times New Roman"/>
          <w:sz w:val="24"/>
          <w:szCs w:val="24"/>
        </w:rPr>
        <w:t xml:space="preserve"> operation</w:t>
      </w:r>
      <w:r w:rsidR="00C0444D" w:rsidRPr="005E2B16">
        <w:rPr>
          <w:rFonts w:ascii="Times New Roman" w:hAnsi="Times New Roman" w:cs="Times New Roman"/>
          <w:sz w:val="24"/>
          <w:szCs w:val="24"/>
        </w:rPr>
        <w:t xml:space="preserve"> such as infrastructure facility, government incentives and other institutional bottlenecks like corruption. </w:t>
      </w:r>
      <w:r w:rsidR="00B67073" w:rsidRPr="005E2B16">
        <w:rPr>
          <w:rFonts w:ascii="Times New Roman" w:hAnsi="Times New Roman" w:cs="Times New Roman"/>
          <w:sz w:val="24"/>
          <w:szCs w:val="24"/>
        </w:rPr>
        <w:t xml:space="preserve">We </w:t>
      </w:r>
      <w:r w:rsidR="007526D4">
        <w:rPr>
          <w:rFonts w:ascii="Times New Roman" w:hAnsi="Times New Roman" w:cs="Times New Roman"/>
          <w:sz w:val="24"/>
          <w:szCs w:val="24"/>
        </w:rPr>
        <w:t xml:space="preserve">focus on </w:t>
      </w:r>
      <w:r w:rsidR="00B67073" w:rsidRPr="005E2B16">
        <w:rPr>
          <w:rFonts w:ascii="Times New Roman" w:hAnsi="Times New Roman" w:cs="Times New Roman"/>
          <w:sz w:val="24"/>
          <w:szCs w:val="24"/>
        </w:rPr>
        <w:t xml:space="preserve">manufacturing firms </w:t>
      </w:r>
      <w:r w:rsidRPr="005E2B16">
        <w:rPr>
          <w:rFonts w:ascii="Times New Roman" w:hAnsi="Times New Roman" w:cs="Times New Roman"/>
          <w:sz w:val="24"/>
          <w:szCs w:val="24"/>
        </w:rPr>
        <w:t xml:space="preserve">that are involved in some form of cross-border trading. This is </w:t>
      </w:r>
      <w:r w:rsidR="00B67073" w:rsidRPr="005E2B16">
        <w:rPr>
          <w:rFonts w:ascii="Times New Roman" w:hAnsi="Times New Roman" w:cs="Times New Roman"/>
          <w:sz w:val="24"/>
          <w:szCs w:val="24"/>
        </w:rPr>
        <w:t>because: (i) accounting data is generally collected for only manufactured firms in the Enterprise Survey program; (ii) these firms are involved in the real sector and their productivity is what drives the industrialisation process of countr</w:t>
      </w:r>
      <w:r w:rsidRPr="005E2B16">
        <w:rPr>
          <w:rFonts w:ascii="Times New Roman" w:hAnsi="Times New Roman" w:cs="Times New Roman"/>
          <w:sz w:val="24"/>
          <w:szCs w:val="24"/>
        </w:rPr>
        <w:t xml:space="preserve">ies (Gui-Diby and Renard, 2015); (iii) finally, our incentives measures are </w:t>
      </w:r>
      <w:r w:rsidR="007036A4">
        <w:rPr>
          <w:rFonts w:ascii="Times New Roman" w:hAnsi="Times New Roman" w:cs="Times New Roman"/>
          <w:sz w:val="24"/>
          <w:szCs w:val="24"/>
        </w:rPr>
        <w:t xml:space="preserve">such </w:t>
      </w:r>
      <w:r w:rsidRPr="005E2B16">
        <w:rPr>
          <w:rFonts w:ascii="Times New Roman" w:hAnsi="Times New Roman" w:cs="Times New Roman"/>
          <w:sz w:val="24"/>
          <w:szCs w:val="24"/>
        </w:rPr>
        <w:t xml:space="preserve">that support import and export, as well as profit. </w:t>
      </w:r>
      <w:r w:rsidR="007036A4">
        <w:rPr>
          <w:rFonts w:ascii="Times New Roman" w:hAnsi="Times New Roman" w:cs="Times New Roman"/>
          <w:sz w:val="24"/>
          <w:szCs w:val="24"/>
        </w:rPr>
        <w:t xml:space="preserve">Hence, </w:t>
      </w:r>
      <w:r w:rsidRPr="005E2B16">
        <w:rPr>
          <w:rFonts w:ascii="Times New Roman" w:hAnsi="Times New Roman" w:cs="Times New Roman"/>
          <w:sz w:val="24"/>
          <w:szCs w:val="24"/>
        </w:rPr>
        <w:t xml:space="preserve">the focus on manufacturing firms that are involved in cross-border trade will be most suitable for our type of analysis. </w:t>
      </w:r>
      <w:r w:rsidR="00B67073" w:rsidRPr="005E2B16">
        <w:rPr>
          <w:rFonts w:ascii="Times New Roman" w:hAnsi="Times New Roman" w:cs="Times New Roman"/>
          <w:sz w:val="24"/>
          <w:szCs w:val="24"/>
        </w:rPr>
        <w:t>Also, following the wisdom of Clarke (2011), we omit micro-enterprises and i</w:t>
      </w:r>
      <w:r w:rsidR="007036A4">
        <w:rPr>
          <w:rFonts w:ascii="Times New Roman" w:hAnsi="Times New Roman" w:cs="Times New Roman"/>
          <w:sz w:val="24"/>
          <w:szCs w:val="24"/>
        </w:rPr>
        <w:t>nformal enterprises</w:t>
      </w:r>
      <w:r w:rsidR="00B67073" w:rsidRPr="005E2B16">
        <w:rPr>
          <w:rFonts w:ascii="Times New Roman" w:hAnsi="Times New Roman" w:cs="Times New Roman"/>
          <w:sz w:val="24"/>
          <w:szCs w:val="24"/>
        </w:rPr>
        <w:t xml:space="preserve"> and focus on manufacturing firms with over 5 employees</w:t>
      </w:r>
      <w:r w:rsidR="007036A4">
        <w:rPr>
          <w:rFonts w:ascii="Times New Roman" w:hAnsi="Times New Roman" w:cs="Times New Roman"/>
          <w:sz w:val="24"/>
          <w:szCs w:val="24"/>
        </w:rPr>
        <w:t>.</w:t>
      </w:r>
      <w:r w:rsidR="00B67073" w:rsidRPr="005E2B16">
        <w:rPr>
          <w:rFonts w:ascii="Times New Roman" w:hAnsi="Times New Roman" w:cs="Times New Roman"/>
          <w:sz w:val="24"/>
          <w:szCs w:val="24"/>
        </w:rPr>
        <w:t xml:space="preserve"> </w:t>
      </w:r>
      <w:r w:rsidR="007036A4">
        <w:rPr>
          <w:rFonts w:ascii="Times New Roman" w:hAnsi="Times New Roman" w:cs="Times New Roman"/>
          <w:sz w:val="24"/>
          <w:szCs w:val="24"/>
        </w:rPr>
        <w:t>T</w:t>
      </w:r>
      <w:r w:rsidR="00B67073" w:rsidRPr="005E2B16">
        <w:rPr>
          <w:rFonts w:ascii="Times New Roman" w:hAnsi="Times New Roman" w:cs="Times New Roman"/>
          <w:sz w:val="24"/>
          <w:szCs w:val="24"/>
        </w:rPr>
        <w:t xml:space="preserve">hese categories </w:t>
      </w:r>
      <w:r w:rsidR="007036A4">
        <w:rPr>
          <w:rFonts w:ascii="Times New Roman" w:hAnsi="Times New Roman" w:cs="Times New Roman"/>
          <w:sz w:val="24"/>
          <w:szCs w:val="24"/>
        </w:rPr>
        <w:t xml:space="preserve">of firms </w:t>
      </w:r>
      <w:r w:rsidR="00B67073" w:rsidRPr="005E2B16">
        <w:rPr>
          <w:rFonts w:ascii="Times New Roman" w:hAnsi="Times New Roman" w:cs="Times New Roman"/>
          <w:sz w:val="24"/>
          <w:szCs w:val="24"/>
        </w:rPr>
        <w:t>are involved in international trade (i.e. export and import)</w:t>
      </w:r>
      <w:r w:rsidR="003144D6" w:rsidRPr="005E2B16">
        <w:rPr>
          <w:rFonts w:ascii="Times New Roman" w:hAnsi="Times New Roman" w:cs="Times New Roman"/>
          <w:sz w:val="24"/>
          <w:szCs w:val="24"/>
        </w:rPr>
        <w:t xml:space="preserve"> and their productivity have significant impact</w:t>
      </w:r>
      <w:r w:rsidR="007036A4">
        <w:rPr>
          <w:rFonts w:ascii="Times New Roman" w:hAnsi="Times New Roman" w:cs="Times New Roman"/>
          <w:sz w:val="24"/>
          <w:szCs w:val="24"/>
        </w:rPr>
        <w:t>s</w:t>
      </w:r>
      <w:r w:rsidR="003144D6" w:rsidRPr="005E2B16">
        <w:rPr>
          <w:rFonts w:ascii="Times New Roman" w:hAnsi="Times New Roman" w:cs="Times New Roman"/>
          <w:sz w:val="24"/>
          <w:szCs w:val="24"/>
        </w:rPr>
        <w:t xml:space="preserve"> on the economy </w:t>
      </w:r>
      <w:r w:rsidR="001D1CBF" w:rsidRPr="005E2B16">
        <w:rPr>
          <w:rFonts w:ascii="Times New Roman" w:hAnsi="Times New Roman" w:cs="Times New Roman"/>
          <w:sz w:val="24"/>
          <w:szCs w:val="24"/>
        </w:rPr>
        <w:t>in terms of job creation and economic diversification (see UNECA, 2013)</w:t>
      </w:r>
      <w:r w:rsidR="00B67073" w:rsidRPr="005E2B16">
        <w:rPr>
          <w:rFonts w:ascii="Times New Roman" w:hAnsi="Times New Roman" w:cs="Times New Roman"/>
          <w:sz w:val="24"/>
          <w:szCs w:val="24"/>
        </w:rPr>
        <w:t xml:space="preserve">. </w:t>
      </w:r>
    </w:p>
    <w:p w14:paraId="0E974BD5" w14:textId="77777777" w:rsidR="00B67073" w:rsidRPr="005E2B16" w:rsidRDefault="00B67073" w:rsidP="00E859CB">
      <w:pPr>
        <w:autoSpaceDE w:val="0"/>
        <w:autoSpaceDN w:val="0"/>
        <w:adjustRightInd w:val="0"/>
        <w:spacing w:after="0" w:line="240" w:lineRule="auto"/>
        <w:jc w:val="both"/>
        <w:rPr>
          <w:rFonts w:ascii="Times New Roman" w:hAnsi="Times New Roman" w:cs="Times New Roman"/>
          <w:sz w:val="24"/>
          <w:szCs w:val="24"/>
        </w:rPr>
      </w:pPr>
    </w:p>
    <w:p w14:paraId="442157E9" w14:textId="142DECC3" w:rsidR="00165E84" w:rsidRPr="005E2B16" w:rsidRDefault="00623DB2" w:rsidP="00E859CB">
      <w:pPr>
        <w:autoSpaceDE w:val="0"/>
        <w:autoSpaceDN w:val="0"/>
        <w:adjustRightInd w:val="0"/>
        <w:spacing w:after="0" w:line="240" w:lineRule="auto"/>
        <w:jc w:val="both"/>
        <w:rPr>
          <w:rFonts w:ascii="Times New Roman" w:hAnsi="Times New Roman" w:cs="Times New Roman"/>
          <w:sz w:val="24"/>
          <w:szCs w:val="24"/>
        </w:rPr>
      </w:pPr>
      <w:r w:rsidRPr="005E2B16">
        <w:rPr>
          <w:rFonts w:ascii="Times New Roman" w:hAnsi="Times New Roman" w:cs="Times New Roman"/>
          <w:sz w:val="24"/>
          <w:szCs w:val="24"/>
        </w:rPr>
        <w:t xml:space="preserve">We identified </w:t>
      </w:r>
      <w:r w:rsidR="00C0444D" w:rsidRPr="005E2B16">
        <w:rPr>
          <w:rFonts w:ascii="Times New Roman" w:hAnsi="Times New Roman" w:cs="Times New Roman"/>
          <w:sz w:val="24"/>
          <w:szCs w:val="24"/>
        </w:rPr>
        <w:t xml:space="preserve">information on firms’ </w:t>
      </w:r>
      <w:r w:rsidR="00485D6B" w:rsidRPr="005E2B16">
        <w:rPr>
          <w:rFonts w:ascii="Times New Roman" w:hAnsi="Times New Roman" w:cs="Times New Roman"/>
          <w:sz w:val="24"/>
          <w:szCs w:val="24"/>
        </w:rPr>
        <w:t xml:space="preserve">output (using annual </w:t>
      </w:r>
      <w:r w:rsidR="00C0444D" w:rsidRPr="005E2B16">
        <w:rPr>
          <w:rFonts w:ascii="Times New Roman" w:hAnsi="Times New Roman" w:cs="Times New Roman"/>
          <w:sz w:val="24"/>
          <w:szCs w:val="24"/>
        </w:rPr>
        <w:t>sales</w:t>
      </w:r>
      <w:r w:rsidR="00485D6B" w:rsidRPr="005E2B16">
        <w:rPr>
          <w:rFonts w:ascii="Times New Roman" w:hAnsi="Times New Roman" w:cs="Times New Roman"/>
          <w:sz w:val="24"/>
          <w:szCs w:val="24"/>
        </w:rPr>
        <w:t>)</w:t>
      </w:r>
      <w:r w:rsidR="00C0444D" w:rsidRPr="005E2B16">
        <w:rPr>
          <w:rFonts w:ascii="Times New Roman" w:hAnsi="Times New Roman" w:cs="Times New Roman"/>
          <w:sz w:val="24"/>
          <w:szCs w:val="24"/>
        </w:rPr>
        <w:t xml:space="preserve"> and recorded </w:t>
      </w:r>
      <w:r w:rsidR="000851D9" w:rsidRPr="005E2B16">
        <w:rPr>
          <w:rFonts w:ascii="Times New Roman" w:hAnsi="Times New Roman" w:cs="Times New Roman"/>
          <w:sz w:val="24"/>
          <w:szCs w:val="24"/>
        </w:rPr>
        <w:t xml:space="preserve">the </w:t>
      </w:r>
      <w:r w:rsidR="00C0444D" w:rsidRPr="005E2B16">
        <w:rPr>
          <w:rFonts w:ascii="Times New Roman" w:hAnsi="Times New Roman" w:cs="Times New Roman"/>
          <w:sz w:val="24"/>
          <w:szCs w:val="24"/>
        </w:rPr>
        <w:t xml:space="preserve">value of </w:t>
      </w:r>
      <w:r w:rsidR="00485D6B" w:rsidRPr="005E2B16">
        <w:rPr>
          <w:rFonts w:ascii="Times New Roman" w:hAnsi="Times New Roman" w:cs="Times New Roman"/>
          <w:sz w:val="24"/>
          <w:szCs w:val="24"/>
        </w:rPr>
        <w:t>firms</w:t>
      </w:r>
      <w:r w:rsidR="00E944E9" w:rsidRPr="005E2B16">
        <w:rPr>
          <w:rFonts w:ascii="Times New Roman" w:hAnsi="Times New Roman" w:cs="Times New Roman"/>
          <w:sz w:val="24"/>
          <w:szCs w:val="24"/>
        </w:rPr>
        <w:t>’</w:t>
      </w:r>
      <w:r w:rsidR="00485D6B" w:rsidRPr="005E2B16">
        <w:rPr>
          <w:rFonts w:ascii="Times New Roman" w:hAnsi="Times New Roman" w:cs="Times New Roman"/>
          <w:sz w:val="24"/>
          <w:szCs w:val="24"/>
        </w:rPr>
        <w:t xml:space="preserve"> </w:t>
      </w:r>
      <w:r w:rsidR="00C0444D" w:rsidRPr="005E2B16">
        <w:rPr>
          <w:rFonts w:ascii="Times New Roman" w:hAnsi="Times New Roman" w:cs="Times New Roman"/>
          <w:sz w:val="24"/>
          <w:szCs w:val="24"/>
        </w:rPr>
        <w:t>assets</w:t>
      </w:r>
      <w:r w:rsidR="00485D6B" w:rsidRPr="005E2B16">
        <w:rPr>
          <w:rFonts w:ascii="Times New Roman" w:hAnsi="Times New Roman" w:cs="Times New Roman"/>
          <w:sz w:val="24"/>
          <w:szCs w:val="24"/>
        </w:rPr>
        <w:t xml:space="preserve"> (input)</w:t>
      </w:r>
      <w:r w:rsidRPr="005E2B16">
        <w:rPr>
          <w:rFonts w:ascii="Times New Roman" w:hAnsi="Times New Roman" w:cs="Times New Roman"/>
          <w:sz w:val="24"/>
          <w:szCs w:val="24"/>
        </w:rPr>
        <w:t>, which enable</w:t>
      </w:r>
      <w:r w:rsidR="007036A4">
        <w:rPr>
          <w:rFonts w:ascii="Times New Roman" w:hAnsi="Times New Roman" w:cs="Times New Roman"/>
          <w:sz w:val="24"/>
          <w:szCs w:val="24"/>
        </w:rPr>
        <w:t>s</w:t>
      </w:r>
      <w:r w:rsidR="00C0444D" w:rsidRPr="005E2B16">
        <w:rPr>
          <w:rFonts w:ascii="Times New Roman" w:hAnsi="Times New Roman" w:cs="Times New Roman"/>
          <w:sz w:val="24"/>
          <w:szCs w:val="24"/>
        </w:rPr>
        <w:t xml:space="preserve"> us to compute the measure of firms’ productivity</w:t>
      </w:r>
      <w:r w:rsidR="00485D6B" w:rsidRPr="005E2B16">
        <w:rPr>
          <w:rFonts w:ascii="Times New Roman" w:hAnsi="Times New Roman" w:cs="Times New Roman"/>
          <w:sz w:val="24"/>
          <w:szCs w:val="24"/>
        </w:rPr>
        <w:t xml:space="preserve"> </w:t>
      </w:r>
      <w:r w:rsidR="007036A4">
        <w:rPr>
          <w:rFonts w:ascii="Times New Roman" w:hAnsi="Times New Roman" w:cs="Times New Roman"/>
          <w:sz w:val="24"/>
          <w:szCs w:val="24"/>
        </w:rPr>
        <w:t xml:space="preserve">(i.e. </w:t>
      </w:r>
      <w:r w:rsidR="00485D6B" w:rsidRPr="005E2B16">
        <w:rPr>
          <w:rFonts w:ascii="Times New Roman" w:hAnsi="Times New Roman" w:cs="Times New Roman"/>
          <w:sz w:val="24"/>
          <w:szCs w:val="24"/>
        </w:rPr>
        <w:t>ratio of firms’ output to input</w:t>
      </w:r>
      <w:r w:rsidR="007036A4">
        <w:rPr>
          <w:rFonts w:ascii="Times New Roman" w:hAnsi="Times New Roman" w:cs="Times New Roman"/>
          <w:sz w:val="24"/>
          <w:szCs w:val="24"/>
        </w:rPr>
        <w:t>)</w:t>
      </w:r>
      <w:r w:rsidR="00C0444D" w:rsidRPr="005E2B16">
        <w:rPr>
          <w:rFonts w:ascii="Times New Roman" w:hAnsi="Times New Roman" w:cs="Times New Roman"/>
          <w:sz w:val="24"/>
          <w:szCs w:val="24"/>
        </w:rPr>
        <w:t xml:space="preserve">. </w:t>
      </w:r>
      <w:r w:rsidR="00485D6B" w:rsidRPr="005E2B16">
        <w:rPr>
          <w:rFonts w:ascii="Times New Roman" w:hAnsi="Times New Roman" w:cs="Times New Roman"/>
          <w:sz w:val="24"/>
          <w:szCs w:val="24"/>
        </w:rPr>
        <w:t xml:space="preserve">The values were converted to US Dollars using the prevailing exchange rate as at the period of the survey. </w:t>
      </w:r>
      <w:r w:rsidR="00B935C2" w:rsidRPr="005E2B16">
        <w:rPr>
          <w:rFonts w:ascii="Times New Roman" w:hAnsi="Times New Roman" w:cs="Times New Roman"/>
          <w:sz w:val="24"/>
          <w:szCs w:val="24"/>
        </w:rPr>
        <w:t>I</w:t>
      </w:r>
      <w:r w:rsidR="00C0444D" w:rsidRPr="005E2B16">
        <w:rPr>
          <w:rFonts w:ascii="Times New Roman" w:hAnsi="Times New Roman" w:cs="Times New Roman"/>
          <w:sz w:val="24"/>
          <w:szCs w:val="24"/>
        </w:rPr>
        <w:t xml:space="preserve">nformation regarding fiscal incentives by the government to specific firms </w:t>
      </w:r>
      <w:r w:rsidR="000851D9" w:rsidRPr="005E2B16">
        <w:rPr>
          <w:rFonts w:ascii="Times New Roman" w:hAnsi="Times New Roman" w:cs="Times New Roman"/>
          <w:sz w:val="24"/>
          <w:szCs w:val="24"/>
        </w:rPr>
        <w:t>is</w:t>
      </w:r>
      <w:r w:rsidR="00C0444D" w:rsidRPr="005E2B16">
        <w:rPr>
          <w:rFonts w:ascii="Times New Roman" w:hAnsi="Times New Roman" w:cs="Times New Roman"/>
          <w:sz w:val="24"/>
          <w:szCs w:val="24"/>
        </w:rPr>
        <w:t xml:space="preserve"> also captured in the survey. There are five categories of these incentives that are identified in the survey. They include: </w:t>
      </w:r>
      <w:r w:rsidR="00E859CB" w:rsidRPr="005E2B16">
        <w:rPr>
          <w:rFonts w:ascii="Times New Roman" w:hAnsi="Times New Roman" w:cs="Times New Roman"/>
          <w:sz w:val="24"/>
          <w:szCs w:val="24"/>
        </w:rPr>
        <w:t xml:space="preserve">exemptions from duties on imported inputs, profit tax exemption, </w:t>
      </w:r>
      <w:r w:rsidR="007036A4">
        <w:rPr>
          <w:rFonts w:ascii="Times New Roman" w:hAnsi="Times New Roman" w:cs="Times New Roman"/>
          <w:sz w:val="24"/>
          <w:szCs w:val="24"/>
        </w:rPr>
        <w:t>value added tax (VAT)</w:t>
      </w:r>
      <w:r w:rsidR="000851D9" w:rsidRPr="005E2B16">
        <w:rPr>
          <w:rFonts w:ascii="Times New Roman" w:hAnsi="Times New Roman" w:cs="Times New Roman"/>
          <w:sz w:val="24"/>
          <w:szCs w:val="24"/>
        </w:rPr>
        <w:t xml:space="preserve"> </w:t>
      </w:r>
      <w:r w:rsidR="00E859CB" w:rsidRPr="005E2B16">
        <w:rPr>
          <w:rFonts w:ascii="Times New Roman" w:hAnsi="Times New Roman" w:cs="Times New Roman"/>
          <w:sz w:val="24"/>
          <w:szCs w:val="24"/>
        </w:rPr>
        <w:t xml:space="preserve">reimbursement, export financing scheme and export/investment incentive scheme. The impact of each of these incentives </w:t>
      </w:r>
      <w:r w:rsidR="007036A4">
        <w:rPr>
          <w:rFonts w:ascii="Times New Roman" w:hAnsi="Times New Roman" w:cs="Times New Roman"/>
          <w:sz w:val="24"/>
          <w:szCs w:val="24"/>
        </w:rPr>
        <w:t xml:space="preserve">are </w:t>
      </w:r>
      <w:r w:rsidR="00E859CB" w:rsidRPr="005E2B16">
        <w:rPr>
          <w:rFonts w:ascii="Times New Roman" w:hAnsi="Times New Roman" w:cs="Times New Roman"/>
          <w:sz w:val="24"/>
          <w:szCs w:val="24"/>
        </w:rPr>
        <w:t xml:space="preserve">separately </w:t>
      </w:r>
      <w:r w:rsidR="007036A4">
        <w:rPr>
          <w:rFonts w:ascii="Times New Roman" w:hAnsi="Times New Roman" w:cs="Times New Roman"/>
          <w:sz w:val="24"/>
          <w:szCs w:val="24"/>
        </w:rPr>
        <w:t xml:space="preserve">examined </w:t>
      </w:r>
      <w:r w:rsidR="00E859CB" w:rsidRPr="005E2B16">
        <w:rPr>
          <w:rFonts w:ascii="Times New Roman" w:hAnsi="Times New Roman" w:cs="Times New Roman"/>
          <w:sz w:val="24"/>
          <w:szCs w:val="24"/>
        </w:rPr>
        <w:t xml:space="preserve">to </w:t>
      </w:r>
      <w:r w:rsidR="007036A4">
        <w:rPr>
          <w:rFonts w:ascii="Times New Roman" w:hAnsi="Times New Roman" w:cs="Times New Roman"/>
          <w:sz w:val="24"/>
          <w:szCs w:val="24"/>
        </w:rPr>
        <w:t>underscore the</w:t>
      </w:r>
      <w:r w:rsidR="00E859CB" w:rsidRPr="005E2B16">
        <w:rPr>
          <w:rFonts w:ascii="Times New Roman" w:hAnsi="Times New Roman" w:cs="Times New Roman"/>
          <w:sz w:val="24"/>
          <w:szCs w:val="24"/>
        </w:rPr>
        <w:t xml:space="preserve"> individual effect</w:t>
      </w:r>
      <w:r w:rsidR="000851D9" w:rsidRPr="005E2B16">
        <w:rPr>
          <w:rFonts w:ascii="Times New Roman" w:hAnsi="Times New Roman" w:cs="Times New Roman"/>
          <w:sz w:val="24"/>
          <w:szCs w:val="24"/>
        </w:rPr>
        <w:t>s</w:t>
      </w:r>
      <w:r w:rsidR="00E859CB" w:rsidRPr="005E2B16">
        <w:rPr>
          <w:rFonts w:ascii="Times New Roman" w:hAnsi="Times New Roman" w:cs="Times New Roman"/>
          <w:sz w:val="24"/>
          <w:szCs w:val="24"/>
        </w:rPr>
        <w:t xml:space="preserve"> on productivity</w:t>
      </w:r>
      <w:r w:rsidR="007036A4">
        <w:rPr>
          <w:rFonts w:ascii="Times New Roman" w:hAnsi="Times New Roman" w:cs="Times New Roman"/>
          <w:sz w:val="24"/>
          <w:szCs w:val="24"/>
        </w:rPr>
        <w:t>,</w:t>
      </w:r>
      <w:r w:rsidR="00E859CB" w:rsidRPr="005E2B16">
        <w:rPr>
          <w:rFonts w:ascii="Times New Roman" w:hAnsi="Times New Roman" w:cs="Times New Roman"/>
          <w:sz w:val="24"/>
          <w:szCs w:val="24"/>
        </w:rPr>
        <w:t xml:space="preserve"> and to enhance our policy recommendations.</w:t>
      </w:r>
      <w:r w:rsidR="00715E95" w:rsidRPr="005E2B16">
        <w:rPr>
          <w:rFonts w:ascii="Times New Roman" w:hAnsi="Times New Roman" w:cs="Times New Roman"/>
          <w:sz w:val="24"/>
          <w:szCs w:val="24"/>
        </w:rPr>
        <w:t xml:space="preserve"> </w:t>
      </w:r>
      <w:r w:rsidR="00433D5A" w:rsidRPr="005E2B16">
        <w:rPr>
          <w:rFonts w:ascii="Times New Roman" w:hAnsi="Times New Roman" w:cs="Times New Roman"/>
          <w:sz w:val="24"/>
          <w:szCs w:val="24"/>
        </w:rPr>
        <w:t xml:space="preserve">It is important to state that these </w:t>
      </w:r>
      <w:r w:rsidR="007036A4">
        <w:rPr>
          <w:rFonts w:ascii="Times New Roman" w:hAnsi="Times New Roman" w:cs="Times New Roman"/>
          <w:sz w:val="24"/>
          <w:szCs w:val="24"/>
        </w:rPr>
        <w:t xml:space="preserve">measures of incentives are </w:t>
      </w:r>
      <w:r w:rsidR="00433D5A" w:rsidRPr="005E2B16">
        <w:rPr>
          <w:rFonts w:ascii="Times New Roman" w:hAnsi="Times New Roman" w:cs="Times New Roman"/>
          <w:sz w:val="24"/>
          <w:szCs w:val="24"/>
        </w:rPr>
        <w:t>popular</w:t>
      </w:r>
      <w:r w:rsidR="007036A4">
        <w:rPr>
          <w:rFonts w:ascii="Times New Roman" w:hAnsi="Times New Roman" w:cs="Times New Roman"/>
          <w:sz w:val="24"/>
          <w:szCs w:val="24"/>
        </w:rPr>
        <w:t xml:space="preserve"> in Africa</w:t>
      </w:r>
      <w:r w:rsidR="00EA2E16" w:rsidRPr="005E2B16">
        <w:rPr>
          <w:rFonts w:ascii="Times New Roman" w:hAnsi="Times New Roman" w:cs="Times New Roman"/>
          <w:sz w:val="24"/>
          <w:szCs w:val="24"/>
        </w:rPr>
        <w:t xml:space="preserve">, especially </w:t>
      </w:r>
      <w:r w:rsidR="007036A4">
        <w:rPr>
          <w:rFonts w:ascii="Times New Roman" w:hAnsi="Times New Roman" w:cs="Times New Roman"/>
          <w:sz w:val="24"/>
          <w:szCs w:val="24"/>
        </w:rPr>
        <w:t xml:space="preserve">for </w:t>
      </w:r>
      <w:r w:rsidR="00EA2E16" w:rsidRPr="005E2B16">
        <w:rPr>
          <w:rFonts w:ascii="Times New Roman" w:hAnsi="Times New Roman" w:cs="Times New Roman"/>
          <w:sz w:val="24"/>
          <w:szCs w:val="24"/>
        </w:rPr>
        <w:t>Cameroon</w:t>
      </w:r>
      <w:r w:rsidR="00433D5A" w:rsidRPr="005E2B16">
        <w:rPr>
          <w:rFonts w:ascii="Times New Roman" w:hAnsi="Times New Roman" w:cs="Times New Roman"/>
          <w:sz w:val="24"/>
          <w:szCs w:val="24"/>
        </w:rPr>
        <w:t xml:space="preserve">. </w:t>
      </w:r>
    </w:p>
    <w:p w14:paraId="4E366CE5" w14:textId="77777777" w:rsidR="00165E84" w:rsidRPr="005E2B16" w:rsidRDefault="00165E84" w:rsidP="001B64E4">
      <w:pPr>
        <w:autoSpaceDE w:val="0"/>
        <w:autoSpaceDN w:val="0"/>
        <w:adjustRightInd w:val="0"/>
        <w:spacing w:after="0" w:line="240" w:lineRule="auto"/>
        <w:rPr>
          <w:rFonts w:ascii="Times New Roman" w:hAnsi="Times New Roman" w:cs="Times New Roman"/>
          <w:sz w:val="24"/>
          <w:szCs w:val="24"/>
        </w:rPr>
      </w:pPr>
    </w:p>
    <w:p w14:paraId="29660D52" w14:textId="4A491DD1" w:rsidR="00910825" w:rsidRPr="005E2B16" w:rsidRDefault="007036A4" w:rsidP="0042164F">
      <w:pPr>
        <w:autoSpaceDE w:val="0"/>
        <w:autoSpaceDN w:val="0"/>
        <w:adjustRightInd w:val="0"/>
        <w:spacing w:after="0" w:line="240" w:lineRule="auto"/>
        <w:jc w:val="both"/>
        <w:rPr>
          <w:rFonts w:ascii="Times New Roman" w:hAnsi="Times New Roman" w:cs="Times New Roman"/>
          <w:color w:val="292526"/>
          <w:sz w:val="24"/>
          <w:szCs w:val="24"/>
        </w:rPr>
      </w:pPr>
      <w:r>
        <w:rPr>
          <w:rFonts w:ascii="Times New Roman" w:hAnsi="Times New Roman" w:cs="Times New Roman"/>
          <w:sz w:val="24"/>
          <w:szCs w:val="24"/>
        </w:rPr>
        <w:lastRenderedPageBreak/>
        <w:t xml:space="preserve">Some other variables in the econometric analysis include </w:t>
      </w:r>
      <w:r w:rsidR="00FB5092" w:rsidRPr="005E2B16">
        <w:rPr>
          <w:rFonts w:ascii="Times New Roman" w:hAnsi="Times New Roman" w:cs="Times New Roman"/>
          <w:sz w:val="24"/>
          <w:szCs w:val="24"/>
        </w:rPr>
        <w:t xml:space="preserve">the </w:t>
      </w:r>
      <w:r w:rsidR="00D144B5" w:rsidRPr="005E2B16">
        <w:rPr>
          <w:rFonts w:ascii="Times New Roman" w:hAnsi="Times New Roman" w:cs="Times New Roman"/>
          <w:sz w:val="24"/>
          <w:szCs w:val="24"/>
        </w:rPr>
        <w:t>productive capacity</w:t>
      </w:r>
      <w:r w:rsidR="00FB5092" w:rsidRPr="005E2B16">
        <w:rPr>
          <w:rFonts w:ascii="Times New Roman" w:hAnsi="Times New Roman" w:cs="Times New Roman"/>
          <w:sz w:val="24"/>
          <w:szCs w:val="24"/>
        </w:rPr>
        <w:t xml:space="preserve"> of the firm</w:t>
      </w:r>
      <w:r w:rsidR="00D144B5" w:rsidRPr="005E2B16">
        <w:rPr>
          <w:rFonts w:ascii="Times New Roman" w:hAnsi="Times New Roman" w:cs="Times New Roman"/>
          <w:sz w:val="24"/>
          <w:szCs w:val="24"/>
        </w:rPr>
        <w:t>, the size of the firm</w:t>
      </w:r>
      <w:r w:rsidR="0042164F" w:rsidRPr="005E2B16">
        <w:rPr>
          <w:rFonts w:ascii="Times New Roman" w:hAnsi="Times New Roman" w:cs="Times New Roman"/>
          <w:sz w:val="24"/>
          <w:szCs w:val="24"/>
        </w:rPr>
        <w:t xml:space="preserve">, </w:t>
      </w:r>
      <w:r w:rsidR="00FB5092" w:rsidRPr="005E2B16">
        <w:rPr>
          <w:rFonts w:ascii="Times New Roman" w:hAnsi="Times New Roman" w:cs="Times New Roman"/>
          <w:sz w:val="24"/>
          <w:szCs w:val="24"/>
        </w:rPr>
        <w:t xml:space="preserve">the </w:t>
      </w:r>
      <w:r w:rsidR="00EA2E16" w:rsidRPr="005E2B16">
        <w:rPr>
          <w:rFonts w:ascii="Times New Roman" w:hAnsi="Times New Roman" w:cs="Times New Roman"/>
          <w:sz w:val="24"/>
          <w:szCs w:val="24"/>
        </w:rPr>
        <w:t xml:space="preserve">labour </w:t>
      </w:r>
      <w:r w:rsidR="00D144B5" w:rsidRPr="005E2B16">
        <w:rPr>
          <w:rFonts w:ascii="Times New Roman" w:hAnsi="Times New Roman" w:cs="Times New Roman"/>
          <w:sz w:val="24"/>
          <w:szCs w:val="24"/>
        </w:rPr>
        <w:t xml:space="preserve">input </w:t>
      </w:r>
      <w:r w:rsidR="008E28DF" w:rsidRPr="005E2B16">
        <w:rPr>
          <w:rFonts w:ascii="Times New Roman" w:hAnsi="Times New Roman" w:cs="Times New Roman"/>
          <w:sz w:val="24"/>
          <w:szCs w:val="24"/>
        </w:rPr>
        <w:t xml:space="preserve">of </w:t>
      </w:r>
      <w:r w:rsidR="00D144B5" w:rsidRPr="005E2B16">
        <w:rPr>
          <w:rFonts w:ascii="Times New Roman" w:hAnsi="Times New Roman" w:cs="Times New Roman"/>
          <w:sz w:val="24"/>
          <w:szCs w:val="24"/>
        </w:rPr>
        <w:t>the firm</w:t>
      </w:r>
      <w:r w:rsidR="008E28DF" w:rsidRPr="005E2B16">
        <w:rPr>
          <w:rFonts w:ascii="Times New Roman" w:hAnsi="Times New Roman" w:cs="Times New Roman"/>
          <w:sz w:val="24"/>
          <w:szCs w:val="24"/>
        </w:rPr>
        <w:t>,</w:t>
      </w:r>
      <w:r w:rsidR="00D144B5" w:rsidRPr="005E2B16">
        <w:rPr>
          <w:rFonts w:ascii="Times New Roman" w:hAnsi="Times New Roman" w:cs="Times New Roman"/>
          <w:sz w:val="24"/>
          <w:szCs w:val="24"/>
        </w:rPr>
        <w:t xml:space="preserve"> </w:t>
      </w:r>
      <w:r w:rsidR="00EA2E16" w:rsidRPr="005E2B16">
        <w:rPr>
          <w:rFonts w:ascii="Times New Roman" w:hAnsi="Times New Roman" w:cs="Times New Roman"/>
          <w:sz w:val="24"/>
          <w:szCs w:val="24"/>
        </w:rPr>
        <w:t>and the running cost of the business in generating electricity</w:t>
      </w:r>
      <w:r w:rsidR="0042164F" w:rsidRPr="005E2B16">
        <w:rPr>
          <w:rFonts w:ascii="Times New Roman" w:hAnsi="Times New Roman" w:cs="Times New Roman"/>
          <w:sz w:val="24"/>
          <w:szCs w:val="24"/>
        </w:rPr>
        <w:t xml:space="preserve">. </w:t>
      </w:r>
      <w:r w:rsidR="00185F91" w:rsidRPr="005E2B16">
        <w:rPr>
          <w:rFonts w:ascii="Times New Roman" w:hAnsi="Times New Roman" w:cs="Times New Roman"/>
          <w:sz w:val="24"/>
          <w:szCs w:val="24"/>
        </w:rPr>
        <w:t xml:space="preserve">The </w:t>
      </w:r>
      <w:r w:rsidR="00591B7C">
        <w:rPr>
          <w:rFonts w:ascii="Times New Roman" w:hAnsi="Times New Roman" w:cs="Times New Roman"/>
          <w:sz w:val="24"/>
          <w:szCs w:val="24"/>
        </w:rPr>
        <w:t xml:space="preserve">productive capacity of the firm is measured as the </w:t>
      </w:r>
      <w:r w:rsidR="00284AE3" w:rsidRPr="005E2B16">
        <w:rPr>
          <w:rFonts w:ascii="Times New Roman" w:hAnsi="Times New Roman" w:cs="Times New Roman"/>
          <w:color w:val="292526"/>
          <w:sz w:val="24"/>
          <w:szCs w:val="24"/>
        </w:rPr>
        <w:t>current resale value of the machinery and equipment</w:t>
      </w:r>
      <w:r w:rsidR="00591B7C">
        <w:rPr>
          <w:rFonts w:ascii="Times New Roman" w:hAnsi="Times New Roman" w:cs="Times New Roman"/>
          <w:color w:val="292526"/>
          <w:sz w:val="24"/>
          <w:szCs w:val="24"/>
        </w:rPr>
        <w:t xml:space="preserve"> (see </w:t>
      </w:r>
      <w:r w:rsidR="00591B7C">
        <w:rPr>
          <w:rFonts w:ascii="Times New Roman" w:hAnsi="Times New Roman" w:cs="Times New Roman"/>
          <w:sz w:val="24"/>
          <w:szCs w:val="24"/>
        </w:rPr>
        <w:t xml:space="preserve">Arnold, Mattoo and Narciso, </w:t>
      </w:r>
      <w:r w:rsidR="0063344B" w:rsidRPr="005E2B16">
        <w:rPr>
          <w:rFonts w:ascii="Times New Roman" w:hAnsi="Times New Roman" w:cs="Times New Roman"/>
          <w:sz w:val="24"/>
          <w:szCs w:val="24"/>
        </w:rPr>
        <w:t>2008</w:t>
      </w:r>
      <w:r w:rsidR="00591B7C">
        <w:rPr>
          <w:rFonts w:ascii="Times New Roman" w:hAnsi="Times New Roman" w:cs="Times New Roman"/>
          <w:sz w:val="24"/>
          <w:szCs w:val="24"/>
        </w:rPr>
        <w:t xml:space="preserve">; </w:t>
      </w:r>
      <w:r w:rsidR="00591B7C">
        <w:rPr>
          <w:rFonts w:ascii="Times New Roman" w:hAnsi="Times New Roman" w:cs="Times New Roman"/>
          <w:color w:val="292526"/>
          <w:sz w:val="24"/>
          <w:szCs w:val="24"/>
        </w:rPr>
        <w:t xml:space="preserve">Clarke, </w:t>
      </w:r>
      <w:r w:rsidR="0063344B" w:rsidRPr="005E2B16">
        <w:rPr>
          <w:rFonts w:ascii="Times New Roman" w:hAnsi="Times New Roman" w:cs="Times New Roman"/>
          <w:color w:val="292526"/>
          <w:sz w:val="24"/>
          <w:szCs w:val="24"/>
        </w:rPr>
        <w:t>2011).</w:t>
      </w:r>
      <w:r w:rsidR="00591B7C">
        <w:rPr>
          <w:rFonts w:ascii="Times New Roman" w:hAnsi="Times New Roman" w:cs="Times New Roman"/>
          <w:color w:val="292526"/>
          <w:sz w:val="24"/>
          <w:szCs w:val="24"/>
        </w:rPr>
        <w:t xml:space="preserve"> </w:t>
      </w:r>
      <w:r w:rsidR="003D32D2" w:rsidRPr="005E2B16">
        <w:rPr>
          <w:rFonts w:ascii="Times New Roman" w:hAnsi="Times New Roman" w:cs="Times New Roman"/>
          <w:color w:val="292526"/>
          <w:sz w:val="24"/>
          <w:szCs w:val="24"/>
        </w:rPr>
        <w:t xml:space="preserve">The </w:t>
      </w:r>
      <w:r w:rsidR="00D144B5" w:rsidRPr="005E2B16">
        <w:rPr>
          <w:rFonts w:ascii="Times New Roman" w:hAnsi="Times New Roman" w:cs="Times New Roman"/>
          <w:color w:val="292526"/>
          <w:sz w:val="24"/>
          <w:szCs w:val="24"/>
        </w:rPr>
        <w:t xml:space="preserve">size of the firm is measured </w:t>
      </w:r>
      <w:r w:rsidR="00591B7C">
        <w:rPr>
          <w:rFonts w:ascii="Times New Roman" w:hAnsi="Times New Roman" w:cs="Times New Roman"/>
          <w:color w:val="292526"/>
          <w:sz w:val="24"/>
          <w:szCs w:val="24"/>
        </w:rPr>
        <w:t xml:space="preserve">as </w:t>
      </w:r>
      <w:r w:rsidR="00D144B5" w:rsidRPr="005E2B16">
        <w:rPr>
          <w:rFonts w:ascii="Times New Roman" w:hAnsi="Times New Roman" w:cs="Times New Roman"/>
          <w:color w:val="292526"/>
          <w:sz w:val="24"/>
          <w:szCs w:val="24"/>
        </w:rPr>
        <w:t xml:space="preserve">the </w:t>
      </w:r>
      <w:r w:rsidR="00EA2E16" w:rsidRPr="005E2B16">
        <w:rPr>
          <w:rFonts w:ascii="Times New Roman" w:hAnsi="Times New Roman" w:cs="Times New Roman"/>
          <w:color w:val="292526"/>
          <w:sz w:val="24"/>
          <w:szCs w:val="24"/>
        </w:rPr>
        <w:t xml:space="preserve">value of land </w:t>
      </w:r>
      <w:r w:rsidR="00591B7C">
        <w:rPr>
          <w:rFonts w:ascii="Times New Roman" w:hAnsi="Times New Roman" w:cs="Times New Roman"/>
          <w:color w:val="292526"/>
          <w:sz w:val="24"/>
          <w:szCs w:val="24"/>
        </w:rPr>
        <w:t xml:space="preserve">owned by the firm </w:t>
      </w:r>
      <w:r w:rsidR="00EA2E16" w:rsidRPr="005E2B16">
        <w:rPr>
          <w:rFonts w:ascii="Times New Roman" w:hAnsi="Times New Roman" w:cs="Times New Roman"/>
          <w:color w:val="292526"/>
          <w:sz w:val="24"/>
          <w:szCs w:val="24"/>
        </w:rPr>
        <w:t xml:space="preserve">(see </w:t>
      </w:r>
      <w:r w:rsidR="00A11EA5" w:rsidRPr="005E2B16">
        <w:rPr>
          <w:rFonts w:ascii="Times New Roman" w:hAnsi="Times New Roman" w:cs="Times New Roman"/>
          <w:color w:val="292526"/>
          <w:sz w:val="24"/>
          <w:szCs w:val="24"/>
        </w:rPr>
        <w:t xml:space="preserve">Cotula </w:t>
      </w:r>
      <w:r w:rsidR="00A11EA5" w:rsidRPr="00A55EC9">
        <w:rPr>
          <w:rFonts w:ascii="Times New Roman" w:hAnsi="Times New Roman" w:cs="Times New Roman"/>
          <w:i/>
          <w:color w:val="292526"/>
          <w:sz w:val="24"/>
          <w:szCs w:val="24"/>
        </w:rPr>
        <w:t>et al</w:t>
      </w:r>
      <w:r w:rsidR="00A55EC9">
        <w:rPr>
          <w:rFonts w:ascii="Times New Roman" w:hAnsi="Times New Roman" w:cs="Times New Roman"/>
          <w:color w:val="292526"/>
          <w:sz w:val="24"/>
          <w:szCs w:val="24"/>
        </w:rPr>
        <w:t>.</w:t>
      </w:r>
      <w:r w:rsidR="00A11EA5" w:rsidRPr="005E2B16">
        <w:rPr>
          <w:rFonts w:ascii="Times New Roman" w:hAnsi="Times New Roman" w:cs="Times New Roman"/>
          <w:color w:val="292526"/>
          <w:sz w:val="24"/>
          <w:szCs w:val="24"/>
        </w:rPr>
        <w:t xml:space="preserve">, 2009). </w:t>
      </w:r>
      <w:r w:rsidR="0063344B" w:rsidRPr="005E2B16">
        <w:rPr>
          <w:rFonts w:ascii="Times New Roman" w:hAnsi="Times New Roman" w:cs="Times New Roman"/>
          <w:color w:val="292526"/>
          <w:sz w:val="24"/>
          <w:szCs w:val="24"/>
        </w:rPr>
        <w:t xml:space="preserve">Labour input is measured </w:t>
      </w:r>
      <w:r w:rsidR="00591B7C">
        <w:rPr>
          <w:rFonts w:ascii="Times New Roman" w:hAnsi="Times New Roman" w:cs="Times New Roman"/>
          <w:color w:val="292526"/>
          <w:sz w:val="24"/>
          <w:szCs w:val="24"/>
        </w:rPr>
        <w:t xml:space="preserve">as </w:t>
      </w:r>
      <w:r w:rsidR="0063344B" w:rsidRPr="005E2B16">
        <w:rPr>
          <w:rFonts w:ascii="Times New Roman" w:hAnsi="Times New Roman" w:cs="Times New Roman"/>
          <w:color w:val="292526"/>
          <w:sz w:val="24"/>
          <w:szCs w:val="24"/>
        </w:rPr>
        <w:t xml:space="preserve">the </w:t>
      </w:r>
      <w:r w:rsidR="00A11EA5" w:rsidRPr="005E2B16">
        <w:rPr>
          <w:rFonts w:ascii="Times New Roman" w:hAnsi="Times New Roman" w:cs="Times New Roman"/>
          <w:color w:val="292526"/>
          <w:sz w:val="24"/>
          <w:szCs w:val="24"/>
        </w:rPr>
        <w:t xml:space="preserve">cost of labour </w:t>
      </w:r>
      <w:r w:rsidR="0063344B" w:rsidRPr="005E2B16">
        <w:rPr>
          <w:rFonts w:ascii="Times New Roman" w:hAnsi="Times New Roman" w:cs="Times New Roman"/>
          <w:color w:val="292526"/>
          <w:sz w:val="24"/>
          <w:szCs w:val="24"/>
        </w:rPr>
        <w:t>(including wages, salaries and bonuses)</w:t>
      </w:r>
      <w:r w:rsidR="00A11EA5" w:rsidRPr="005E2B16">
        <w:rPr>
          <w:rFonts w:ascii="Times New Roman" w:hAnsi="Times New Roman" w:cs="Times New Roman"/>
          <w:color w:val="292526"/>
          <w:sz w:val="24"/>
          <w:szCs w:val="24"/>
        </w:rPr>
        <w:t xml:space="preserve">. </w:t>
      </w:r>
      <w:r w:rsidR="00591B7C">
        <w:rPr>
          <w:rFonts w:ascii="Times New Roman" w:hAnsi="Times New Roman" w:cs="Times New Roman"/>
          <w:color w:val="292526"/>
          <w:sz w:val="24"/>
          <w:szCs w:val="24"/>
        </w:rPr>
        <w:t>F</w:t>
      </w:r>
      <w:r w:rsidR="00591B7C">
        <w:rPr>
          <w:rFonts w:ascii="Times New Roman" w:hAnsi="Times New Roman" w:cs="Times New Roman"/>
          <w:sz w:val="24"/>
          <w:szCs w:val="24"/>
        </w:rPr>
        <w:t>irm</w:t>
      </w:r>
      <w:r w:rsidR="0063344B" w:rsidRPr="005E2B16">
        <w:rPr>
          <w:rFonts w:ascii="Times New Roman" w:hAnsi="Times New Roman" w:cs="Times New Roman"/>
          <w:sz w:val="24"/>
          <w:szCs w:val="24"/>
        </w:rPr>
        <w:t>s</w:t>
      </w:r>
      <w:r w:rsidR="00591B7C">
        <w:rPr>
          <w:rFonts w:ascii="Times New Roman" w:hAnsi="Times New Roman" w:cs="Times New Roman"/>
          <w:sz w:val="24"/>
          <w:szCs w:val="24"/>
        </w:rPr>
        <w:t>’</w:t>
      </w:r>
      <w:r w:rsidR="0063344B" w:rsidRPr="005E2B16">
        <w:rPr>
          <w:rFonts w:ascii="Times New Roman" w:hAnsi="Times New Roman" w:cs="Times New Roman"/>
          <w:sz w:val="24"/>
          <w:szCs w:val="24"/>
        </w:rPr>
        <w:t xml:space="preserve"> overhead cost of generating electricity </w:t>
      </w:r>
      <w:r w:rsidR="00591B7C">
        <w:rPr>
          <w:rFonts w:ascii="Times New Roman" w:hAnsi="Times New Roman" w:cs="Times New Roman"/>
          <w:sz w:val="24"/>
          <w:szCs w:val="24"/>
        </w:rPr>
        <w:t xml:space="preserve">through </w:t>
      </w:r>
      <w:r w:rsidR="00C21D8A" w:rsidRPr="005E2B16">
        <w:rPr>
          <w:rFonts w:ascii="Times New Roman" w:hAnsi="Times New Roman" w:cs="Times New Roman"/>
          <w:sz w:val="24"/>
          <w:szCs w:val="24"/>
        </w:rPr>
        <w:t xml:space="preserve">yearly expenses on fuel to generate </w:t>
      </w:r>
      <w:r w:rsidR="0063344B" w:rsidRPr="005E2B16">
        <w:rPr>
          <w:rFonts w:ascii="Times New Roman" w:hAnsi="Times New Roman" w:cs="Times New Roman"/>
          <w:sz w:val="24"/>
          <w:szCs w:val="24"/>
        </w:rPr>
        <w:t>power</w:t>
      </w:r>
      <w:r w:rsidR="00591B7C">
        <w:rPr>
          <w:rFonts w:ascii="Times New Roman" w:hAnsi="Times New Roman" w:cs="Times New Roman"/>
          <w:sz w:val="24"/>
          <w:szCs w:val="24"/>
        </w:rPr>
        <w:t xml:space="preserve"> is another important variable that is included in the econometric estimation</w:t>
      </w:r>
      <w:r w:rsidR="00072B22" w:rsidRPr="005E2B16">
        <w:rPr>
          <w:rFonts w:ascii="Times New Roman" w:hAnsi="Times New Roman" w:cs="Times New Roman"/>
          <w:sz w:val="24"/>
          <w:szCs w:val="24"/>
        </w:rPr>
        <w:t xml:space="preserve"> </w:t>
      </w:r>
      <w:r w:rsidR="00072B22" w:rsidRPr="00A55EC9">
        <w:rPr>
          <w:rFonts w:ascii="Times New Roman" w:hAnsi="Times New Roman" w:cs="Times New Roman"/>
          <w:sz w:val="24"/>
          <w:szCs w:val="24"/>
        </w:rPr>
        <w:t>(see</w:t>
      </w:r>
      <w:r w:rsidR="007F1848" w:rsidRPr="00A55EC9">
        <w:rPr>
          <w:rFonts w:ascii="Times New Roman" w:hAnsi="Times New Roman" w:cs="Times New Roman"/>
          <w:sz w:val="24"/>
          <w:szCs w:val="24"/>
        </w:rPr>
        <w:t xml:space="preserve"> Ndichu </w:t>
      </w:r>
      <w:r w:rsidR="007F1848" w:rsidRPr="00A55EC9">
        <w:rPr>
          <w:rFonts w:ascii="Times New Roman" w:hAnsi="Times New Roman" w:cs="Times New Roman"/>
          <w:i/>
          <w:sz w:val="24"/>
          <w:szCs w:val="24"/>
        </w:rPr>
        <w:t>et al</w:t>
      </w:r>
      <w:r w:rsidR="009039BF" w:rsidRPr="00A55EC9">
        <w:rPr>
          <w:rFonts w:ascii="Times New Roman" w:hAnsi="Times New Roman" w:cs="Times New Roman"/>
          <w:sz w:val="24"/>
          <w:szCs w:val="24"/>
        </w:rPr>
        <w:t>.</w:t>
      </w:r>
      <w:r w:rsidR="007F1848" w:rsidRPr="00A55EC9">
        <w:rPr>
          <w:rFonts w:ascii="Times New Roman" w:hAnsi="Times New Roman" w:cs="Times New Roman"/>
          <w:sz w:val="24"/>
          <w:szCs w:val="24"/>
        </w:rPr>
        <w:t>, 2015</w:t>
      </w:r>
      <w:r w:rsidR="00072B22" w:rsidRPr="00A55EC9">
        <w:rPr>
          <w:rFonts w:ascii="Times New Roman" w:hAnsi="Times New Roman" w:cs="Times New Roman"/>
          <w:sz w:val="24"/>
          <w:szCs w:val="24"/>
        </w:rPr>
        <w:t>)</w:t>
      </w:r>
      <w:r w:rsidR="00072B22" w:rsidRPr="005E2B16">
        <w:rPr>
          <w:rFonts w:ascii="Times New Roman" w:hAnsi="Times New Roman" w:cs="Times New Roman"/>
          <w:sz w:val="24"/>
          <w:szCs w:val="24"/>
        </w:rPr>
        <w:t xml:space="preserve">. </w:t>
      </w:r>
      <w:r w:rsidR="007412E0" w:rsidRPr="00A55EC9">
        <w:rPr>
          <w:rFonts w:ascii="Times New Roman" w:hAnsi="Times New Roman" w:cs="Times New Roman"/>
          <w:sz w:val="24"/>
          <w:szCs w:val="24"/>
        </w:rPr>
        <w:t xml:space="preserve">Table </w:t>
      </w:r>
      <w:r w:rsidR="0067634B" w:rsidRPr="00A55EC9">
        <w:rPr>
          <w:rFonts w:ascii="Times New Roman" w:hAnsi="Times New Roman" w:cs="Times New Roman"/>
          <w:sz w:val="24"/>
          <w:szCs w:val="24"/>
        </w:rPr>
        <w:t>3</w:t>
      </w:r>
      <w:r w:rsidR="00311393" w:rsidRPr="00A55EC9">
        <w:rPr>
          <w:rFonts w:ascii="Times New Roman" w:hAnsi="Times New Roman" w:cs="Times New Roman"/>
          <w:sz w:val="24"/>
          <w:szCs w:val="24"/>
        </w:rPr>
        <w:t>.1</w:t>
      </w:r>
      <w:r w:rsidR="007412E0" w:rsidRPr="005E2B16">
        <w:rPr>
          <w:rFonts w:ascii="Times New Roman" w:hAnsi="Times New Roman" w:cs="Times New Roman"/>
          <w:sz w:val="24"/>
          <w:szCs w:val="24"/>
        </w:rPr>
        <w:t xml:space="preserve"> </w:t>
      </w:r>
      <w:r w:rsidR="00591B7C">
        <w:rPr>
          <w:rFonts w:ascii="Times New Roman" w:hAnsi="Times New Roman" w:cs="Times New Roman"/>
          <w:sz w:val="24"/>
          <w:szCs w:val="24"/>
        </w:rPr>
        <w:t xml:space="preserve">presents </w:t>
      </w:r>
      <w:r w:rsidR="00D52834" w:rsidRPr="005E2B16">
        <w:rPr>
          <w:rFonts w:ascii="Times New Roman" w:hAnsi="Times New Roman" w:cs="Times New Roman"/>
          <w:sz w:val="24"/>
          <w:szCs w:val="24"/>
        </w:rPr>
        <w:t xml:space="preserve">a summarised overview of the variables </w:t>
      </w:r>
      <w:r w:rsidR="000F5935" w:rsidRPr="005E2B16">
        <w:rPr>
          <w:rFonts w:ascii="Times New Roman" w:hAnsi="Times New Roman" w:cs="Times New Roman"/>
          <w:sz w:val="24"/>
          <w:szCs w:val="24"/>
        </w:rPr>
        <w:t xml:space="preserve">in </w:t>
      </w:r>
      <w:r w:rsidR="00F72E0E">
        <w:rPr>
          <w:rFonts w:ascii="Times New Roman" w:hAnsi="Times New Roman" w:cs="Times New Roman"/>
          <w:sz w:val="24"/>
          <w:szCs w:val="24"/>
        </w:rPr>
        <w:t xml:space="preserve">the </w:t>
      </w:r>
      <w:r w:rsidR="00591B7C">
        <w:rPr>
          <w:rFonts w:ascii="Times New Roman" w:hAnsi="Times New Roman" w:cs="Times New Roman"/>
          <w:sz w:val="24"/>
          <w:szCs w:val="24"/>
        </w:rPr>
        <w:t>estimations</w:t>
      </w:r>
      <w:r w:rsidR="007412E0" w:rsidRPr="005E2B16">
        <w:rPr>
          <w:rFonts w:ascii="Times New Roman" w:hAnsi="Times New Roman" w:cs="Times New Roman"/>
          <w:sz w:val="24"/>
          <w:szCs w:val="24"/>
        </w:rPr>
        <w:t>.</w:t>
      </w:r>
    </w:p>
    <w:p w14:paraId="7D0BA355" w14:textId="77777777" w:rsidR="004B7066" w:rsidRPr="005E2B16" w:rsidRDefault="004B7066" w:rsidP="0042164F">
      <w:pPr>
        <w:autoSpaceDE w:val="0"/>
        <w:autoSpaceDN w:val="0"/>
        <w:adjustRightInd w:val="0"/>
        <w:spacing w:after="0" w:line="240" w:lineRule="auto"/>
        <w:jc w:val="both"/>
        <w:rPr>
          <w:rFonts w:ascii="Times New Roman" w:hAnsi="Times New Roman" w:cs="Times New Roman"/>
          <w:sz w:val="24"/>
          <w:szCs w:val="24"/>
        </w:rPr>
      </w:pPr>
    </w:p>
    <w:p w14:paraId="4E11A89D" w14:textId="454F837C" w:rsidR="004B7066" w:rsidRPr="005E2B16" w:rsidRDefault="004B7066" w:rsidP="004B7066">
      <w:pPr>
        <w:autoSpaceDE w:val="0"/>
        <w:autoSpaceDN w:val="0"/>
        <w:adjustRightInd w:val="0"/>
        <w:spacing w:after="0" w:line="240" w:lineRule="auto"/>
        <w:jc w:val="center"/>
        <w:rPr>
          <w:rFonts w:ascii="Times New Roman" w:hAnsi="Times New Roman" w:cs="Times New Roman"/>
          <w:b/>
          <w:sz w:val="20"/>
          <w:szCs w:val="20"/>
        </w:rPr>
      </w:pPr>
      <w:r w:rsidRPr="005E2B16">
        <w:rPr>
          <w:rFonts w:ascii="Times New Roman" w:hAnsi="Times New Roman" w:cs="Times New Roman"/>
          <w:b/>
          <w:sz w:val="20"/>
          <w:szCs w:val="20"/>
        </w:rPr>
        <w:t xml:space="preserve">Table </w:t>
      </w:r>
      <w:r w:rsidR="0067634B" w:rsidRPr="005E2B16">
        <w:rPr>
          <w:rFonts w:ascii="Times New Roman" w:hAnsi="Times New Roman" w:cs="Times New Roman"/>
          <w:b/>
          <w:sz w:val="20"/>
          <w:szCs w:val="20"/>
        </w:rPr>
        <w:t>3</w:t>
      </w:r>
      <w:r w:rsidRPr="005E2B16">
        <w:rPr>
          <w:rFonts w:ascii="Times New Roman" w:hAnsi="Times New Roman" w:cs="Times New Roman"/>
          <w:b/>
          <w:sz w:val="20"/>
          <w:szCs w:val="20"/>
        </w:rPr>
        <w:t xml:space="preserve">.1: </w:t>
      </w:r>
      <w:r w:rsidR="004C7A05" w:rsidRPr="005E2B16">
        <w:rPr>
          <w:rFonts w:ascii="Times New Roman" w:hAnsi="Times New Roman" w:cs="Times New Roman"/>
          <w:b/>
          <w:sz w:val="20"/>
          <w:szCs w:val="20"/>
        </w:rPr>
        <w:t xml:space="preserve">Main Variable </w:t>
      </w:r>
      <w:r w:rsidRPr="005E2B16">
        <w:rPr>
          <w:rFonts w:ascii="Times New Roman" w:hAnsi="Times New Roman" w:cs="Times New Roman"/>
          <w:b/>
          <w:sz w:val="20"/>
          <w:szCs w:val="20"/>
        </w:rPr>
        <w:t>Description</w:t>
      </w:r>
    </w:p>
    <w:tbl>
      <w:tblPr>
        <w:tblW w:w="9351" w:type="dxa"/>
        <w:jc w:val="center"/>
        <w:tblBorders>
          <w:bottom w:val="single" w:sz="4" w:space="0" w:color="auto"/>
        </w:tblBorders>
        <w:tblLook w:val="04A0" w:firstRow="1" w:lastRow="0" w:firstColumn="1" w:lastColumn="0" w:noHBand="0" w:noVBand="1"/>
      </w:tblPr>
      <w:tblGrid>
        <w:gridCol w:w="1838"/>
        <w:gridCol w:w="7513"/>
      </w:tblGrid>
      <w:tr w:rsidR="00D144B5" w:rsidRPr="005E2B16" w14:paraId="0522B73F" w14:textId="77777777" w:rsidTr="006848D7">
        <w:trPr>
          <w:trHeight w:val="300"/>
          <w:jc w:val="center"/>
        </w:trPr>
        <w:tc>
          <w:tcPr>
            <w:tcW w:w="1838" w:type="dxa"/>
            <w:tcBorders>
              <w:top w:val="single" w:sz="4" w:space="0" w:color="auto"/>
              <w:bottom w:val="single" w:sz="4" w:space="0" w:color="auto"/>
            </w:tcBorders>
            <w:shd w:val="clear" w:color="auto" w:fill="auto"/>
            <w:noWrap/>
            <w:vAlign w:val="bottom"/>
            <w:hideMark/>
          </w:tcPr>
          <w:p w14:paraId="6FBC79D4" w14:textId="33932823" w:rsidR="00D144B5" w:rsidRPr="005E2B16" w:rsidRDefault="00D144B5" w:rsidP="004B7066">
            <w:pPr>
              <w:spacing w:after="0" w:line="240" w:lineRule="auto"/>
              <w:rPr>
                <w:rFonts w:ascii="Times New Roman" w:eastAsia="Times New Roman" w:hAnsi="Times New Roman" w:cs="Times New Roman"/>
                <w:b/>
                <w:sz w:val="20"/>
                <w:szCs w:val="20"/>
                <w:lang w:eastAsia="en-GB"/>
              </w:rPr>
            </w:pPr>
            <w:r w:rsidRPr="005E2B16">
              <w:rPr>
                <w:rFonts w:ascii="Times New Roman" w:eastAsia="Times New Roman" w:hAnsi="Times New Roman" w:cs="Times New Roman"/>
                <w:b/>
                <w:sz w:val="20"/>
                <w:szCs w:val="20"/>
                <w:lang w:eastAsia="en-GB"/>
              </w:rPr>
              <w:t>Variable</w:t>
            </w:r>
          </w:p>
        </w:tc>
        <w:tc>
          <w:tcPr>
            <w:tcW w:w="7513" w:type="dxa"/>
            <w:tcBorders>
              <w:top w:val="single" w:sz="4" w:space="0" w:color="auto"/>
              <w:bottom w:val="single" w:sz="4" w:space="0" w:color="auto"/>
            </w:tcBorders>
            <w:shd w:val="clear" w:color="auto" w:fill="auto"/>
            <w:noWrap/>
            <w:vAlign w:val="bottom"/>
            <w:hideMark/>
          </w:tcPr>
          <w:p w14:paraId="2C9AB460" w14:textId="2F77A593" w:rsidR="00D144B5" w:rsidRPr="005E2B16" w:rsidRDefault="00D144B5" w:rsidP="00D144B5">
            <w:pPr>
              <w:spacing w:after="0" w:line="240" w:lineRule="auto"/>
              <w:jc w:val="center"/>
              <w:rPr>
                <w:rFonts w:ascii="Times New Roman" w:eastAsia="Times New Roman" w:hAnsi="Times New Roman" w:cs="Times New Roman"/>
                <w:b/>
                <w:sz w:val="20"/>
                <w:szCs w:val="20"/>
                <w:lang w:eastAsia="en-GB"/>
              </w:rPr>
            </w:pPr>
            <w:r w:rsidRPr="005E2B16">
              <w:rPr>
                <w:rFonts w:ascii="Times New Roman" w:eastAsia="Times New Roman" w:hAnsi="Times New Roman" w:cs="Times New Roman"/>
                <w:b/>
                <w:sz w:val="20"/>
                <w:szCs w:val="20"/>
                <w:lang w:eastAsia="en-GB"/>
              </w:rPr>
              <w:t>Description</w:t>
            </w:r>
          </w:p>
        </w:tc>
      </w:tr>
      <w:tr w:rsidR="00D144B5" w:rsidRPr="005E2B16" w14:paraId="65686EA5" w14:textId="77777777" w:rsidTr="006848D7">
        <w:trPr>
          <w:trHeight w:val="300"/>
          <w:jc w:val="center"/>
        </w:trPr>
        <w:tc>
          <w:tcPr>
            <w:tcW w:w="1838" w:type="dxa"/>
            <w:tcBorders>
              <w:top w:val="single" w:sz="4" w:space="0" w:color="auto"/>
            </w:tcBorders>
            <w:shd w:val="clear" w:color="auto" w:fill="auto"/>
            <w:noWrap/>
            <w:vAlign w:val="bottom"/>
            <w:hideMark/>
          </w:tcPr>
          <w:p w14:paraId="1FDC98C5" w14:textId="77EB7E4D" w:rsidR="00D144B5" w:rsidRPr="005E2B16" w:rsidRDefault="00D144B5" w:rsidP="004B7066">
            <w:pPr>
              <w:spacing w:after="0" w:line="240" w:lineRule="auto"/>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Productivity</w:t>
            </w:r>
          </w:p>
        </w:tc>
        <w:tc>
          <w:tcPr>
            <w:tcW w:w="7513" w:type="dxa"/>
            <w:tcBorders>
              <w:top w:val="single" w:sz="4" w:space="0" w:color="auto"/>
            </w:tcBorders>
            <w:shd w:val="clear" w:color="auto" w:fill="auto"/>
            <w:noWrap/>
            <w:vAlign w:val="bottom"/>
            <w:hideMark/>
          </w:tcPr>
          <w:p w14:paraId="6CDD8FD6" w14:textId="440A2614" w:rsidR="00D144B5" w:rsidRPr="005E2B16" w:rsidRDefault="00D144B5" w:rsidP="00D144B5">
            <w:pPr>
              <w:spacing w:after="0" w:line="240" w:lineRule="auto"/>
              <w:jc w:val="both"/>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 xml:space="preserve">The ratio of firms’ output (sales) to firms’ input (total asset available to the firm). This is a ratio measured in the respective year’s exchange rate in USD. </w:t>
            </w:r>
          </w:p>
        </w:tc>
      </w:tr>
      <w:tr w:rsidR="00D144B5" w:rsidRPr="005E2B16" w14:paraId="58F7390A" w14:textId="77777777" w:rsidTr="006848D7">
        <w:trPr>
          <w:trHeight w:val="300"/>
          <w:jc w:val="center"/>
        </w:trPr>
        <w:tc>
          <w:tcPr>
            <w:tcW w:w="1838" w:type="dxa"/>
            <w:shd w:val="clear" w:color="auto" w:fill="auto"/>
            <w:noWrap/>
            <w:vAlign w:val="bottom"/>
            <w:hideMark/>
          </w:tcPr>
          <w:p w14:paraId="7269AC05" w14:textId="7292E32F" w:rsidR="00D144B5" w:rsidRPr="005E2B16" w:rsidRDefault="00D144B5" w:rsidP="004B7066">
            <w:pPr>
              <w:spacing w:after="0" w:line="240" w:lineRule="auto"/>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Fiscal Incentives</w:t>
            </w:r>
          </w:p>
        </w:tc>
        <w:tc>
          <w:tcPr>
            <w:tcW w:w="7513" w:type="dxa"/>
            <w:shd w:val="clear" w:color="auto" w:fill="auto"/>
            <w:noWrap/>
            <w:vAlign w:val="bottom"/>
            <w:hideMark/>
          </w:tcPr>
          <w:p w14:paraId="5AF9343A" w14:textId="3091D4D0" w:rsidR="00D144B5" w:rsidRPr="005E2B16" w:rsidRDefault="00D144B5" w:rsidP="00D144B5">
            <w:pPr>
              <w:spacing w:after="0" w:line="240" w:lineRule="auto"/>
              <w:jc w:val="both"/>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Three measures are used including</w:t>
            </w:r>
            <w:r w:rsidR="009039BF" w:rsidRPr="005E2B16">
              <w:rPr>
                <w:rFonts w:ascii="Times New Roman" w:eastAsia="Times New Roman" w:hAnsi="Times New Roman" w:cs="Times New Roman"/>
                <w:sz w:val="20"/>
                <w:szCs w:val="20"/>
                <w:lang w:eastAsia="en-GB"/>
              </w:rPr>
              <w:t>:</w:t>
            </w:r>
            <w:r w:rsidRPr="005E2B16">
              <w:rPr>
                <w:rFonts w:ascii="Times New Roman" w:eastAsia="Times New Roman" w:hAnsi="Times New Roman" w:cs="Times New Roman"/>
                <w:sz w:val="20"/>
                <w:szCs w:val="20"/>
                <w:lang w:eastAsia="en-GB"/>
              </w:rPr>
              <w:t xml:space="preserve"> import duty exemption, profit tax exemption and export financing. Firms that benefit from each of the incentives are recorded as “1”, and “0” otherwise. </w:t>
            </w:r>
          </w:p>
        </w:tc>
      </w:tr>
      <w:tr w:rsidR="00D144B5" w:rsidRPr="005E2B16" w14:paraId="017F27A8" w14:textId="77777777" w:rsidTr="006848D7">
        <w:trPr>
          <w:trHeight w:val="300"/>
          <w:jc w:val="center"/>
        </w:trPr>
        <w:tc>
          <w:tcPr>
            <w:tcW w:w="1838" w:type="dxa"/>
            <w:shd w:val="clear" w:color="auto" w:fill="auto"/>
            <w:noWrap/>
            <w:vAlign w:val="bottom"/>
            <w:hideMark/>
          </w:tcPr>
          <w:p w14:paraId="1F542481" w14:textId="45B017BB" w:rsidR="00D144B5" w:rsidRPr="005E2B16" w:rsidRDefault="0063344B" w:rsidP="004B7066">
            <w:pPr>
              <w:spacing w:after="0" w:line="240" w:lineRule="auto"/>
              <w:rPr>
                <w:rFonts w:ascii="Times New Roman" w:eastAsia="Times New Roman" w:hAnsi="Times New Roman" w:cs="Times New Roman"/>
                <w:sz w:val="20"/>
                <w:szCs w:val="20"/>
                <w:lang w:eastAsia="en-GB"/>
              </w:rPr>
            </w:pPr>
            <w:r w:rsidRPr="005E2B16">
              <w:rPr>
                <w:rFonts w:ascii="Times New Roman" w:hAnsi="Times New Roman" w:cs="Times New Roman"/>
                <w:sz w:val="20"/>
                <w:szCs w:val="20"/>
              </w:rPr>
              <w:t>Productive capacity</w:t>
            </w:r>
          </w:p>
        </w:tc>
        <w:tc>
          <w:tcPr>
            <w:tcW w:w="7513" w:type="dxa"/>
            <w:shd w:val="clear" w:color="auto" w:fill="auto"/>
            <w:noWrap/>
            <w:vAlign w:val="bottom"/>
            <w:hideMark/>
          </w:tcPr>
          <w:p w14:paraId="7A09239B" w14:textId="5042A4A2" w:rsidR="00D144B5" w:rsidRPr="005E2B16" w:rsidRDefault="0063344B" w:rsidP="0063344B">
            <w:pPr>
              <w:spacing w:after="0" w:line="240" w:lineRule="auto"/>
              <w:rPr>
                <w:rFonts w:ascii="Times New Roman" w:eastAsia="Times New Roman" w:hAnsi="Times New Roman" w:cs="Times New Roman"/>
                <w:sz w:val="20"/>
                <w:szCs w:val="20"/>
                <w:lang w:eastAsia="en-GB"/>
              </w:rPr>
            </w:pPr>
            <w:r w:rsidRPr="005E2B16">
              <w:rPr>
                <w:rFonts w:ascii="Times New Roman" w:hAnsi="Times New Roman" w:cs="Times New Roman"/>
                <w:sz w:val="20"/>
                <w:szCs w:val="20"/>
              </w:rPr>
              <w:t xml:space="preserve">The </w:t>
            </w:r>
            <w:r w:rsidRPr="005E2B16">
              <w:rPr>
                <w:rFonts w:ascii="Times New Roman" w:hAnsi="Times New Roman" w:cs="Times New Roman"/>
                <w:color w:val="292526"/>
                <w:sz w:val="20"/>
                <w:szCs w:val="20"/>
              </w:rPr>
              <w:t xml:space="preserve">current resale value of the machinery and equipment. </w:t>
            </w:r>
            <w:r w:rsidR="007D0118" w:rsidRPr="005E2B16">
              <w:rPr>
                <w:rFonts w:ascii="Times New Roman" w:hAnsi="Times New Roman" w:cs="Times New Roman"/>
                <w:color w:val="292526"/>
                <w:sz w:val="20"/>
                <w:szCs w:val="20"/>
              </w:rPr>
              <w:t>This variable is converted to the respective year’s exchange rate in USD.</w:t>
            </w:r>
          </w:p>
        </w:tc>
      </w:tr>
      <w:tr w:rsidR="00D144B5" w:rsidRPr="005E2B16" w14:paraId="36273146" w14:textId="77777777" w:rsidTr="006848D7">
        <w:trPr>
          <w:trHeight w:val="300"/>
          <w:jc w:val="center"/>
        </w:trPr>
        <w:tc>
          <w:tcPr>
            <w:tcW w:w="1838" w:type="dxa"/>
            <w:shd w:val="clear" w:color="auto" w:fill="auto"/>
            <w:noWrap/>
            <w:vAlign w:val="bottom"/>
            <w:hideMark/>
          </w:tcPr>
          <w:p w14:paraId="062104D8" w14:textId="27B2AE53" w:rsidR="00D144B5" w:rsidRPr="005E2B16" w:rsidRDefault="007D0118" w:rsidP="004B7066">
            <w:pPr>
              <w:spacing w:after="0" w:line="240" w:lineRule="auto"/>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Size</w:t>
            </w:r>
          </w:p>
        </w:tc>
        <w:tc>
          <w:tcPr>
            <w:tcW w:w="7513" w:type="dxa"/>
            <w:shd w:val="clear" w:color="auto" w:fill="auto"/>
            <w:noWrap/>
            <w:vAlign w:val="bottom"/>
            <w:hideMark/>
          </w:tcPr>
          <w:p w14:paraId="3BC37769" w14:textId="7509C2B0" w:rsidR="00D144B5" w:rsidRPr="005E2B16" w:rsidRDefault="007D0118" w:rsidP="004B7066">
            <w:pPr>
              <w:spacing w:after="0" w:line="240" w:lineRule="auto"/>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The value of the firm’s landed asset. This variable is converted to the respective year’s exchange rate in USD.</w:t>
            </w:r>
          </w:p>
        </w:tc>
      </w:tr>
      <w:tr w:rsidR="00D144B5" w:rsidRPr="005E2B16" w14:paraId="0E9D1C54" w14:textId="77777777" w:rsidTr="006848D7">
        <w:trPr>
          <w:trHeight w:val="300"/>
          <w:jc w:val="center"/>
        </w:trPr>
        <w:tc>
          <w:tcPr>
            <w:tcW w:w="1838" w:type="dxa"/>
            <w:shd w:val="clear" w:color="auto" w:fill="auto"/>
            <w:noWrap/>
            <w:vAlign w:val="bottom"/>
            <w:hideMark/>
          </w:tcPr>
          <w:p w14:paraId="189A1F8D" w14:textId="127EDCEA" w:rsidR="00D144B5" w:rsidRPr="005E2B16" w:rsidRDefault="007D0118" w:rsidP="004B7066">
            <w:pPr>
              <w:spacing w:after="0" w:line="240" w:lineRule="auto"/>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Labour input</w:t>
            </w:r>
          </w:p>
        </w:tc>
        <w:tc>
          <w:tcPr>
            <w:tcW w:w="7513" w:type="dxa"/>
            <w:shd w:val="clear" w:color="auto" w:fill="auto"/>
            <w:noWrap/>
            <w:vAlign w:val="bottom"/>
            <w:hideMark/>
          </w:tcPr>
          <w:p w14:paraId="6BB924E2" w14:textId="3831160C" w:rsidR="00D144B5" w:rsidRPr="005E2B16" w:rsidRDefault="007D0118" w:rsidP="004B7066">
            <w:pPr>
              <w:spacing w:after="0" w:line="240" w:lineRule="auto"/>
              <w:rPr>
                <w:rFonts w:ascii="Times New Roman" w:eastAsia="Times New Roman" w:hAnsi="Times New Roman" w:cs="Times New Roman"/>
                <w:sz w:val="20"/>
                <w:szCs w:val="20"/>
                <w:lang w:eastAsia="en-GB"/>
              </w:rPr>
            </w:pPr>
            <w:r w:rsidRPr="005E2B16">
              <w:rPr>
                <w:rFonts w:ascii="Times New Roman" w:hAnsi="Times New Roman" w:cs="Times New Roman"/>
                <w:color w:val="292526"/>
                <w:sz w:val="20"/>
                <w:szCs w:val="20"/>
              </w:rPr>
              <w:t>The cost of labour (including wages, salaries and bonuses) measured in the respective year’s exchange rate in USD.</w:t>
            </w:r>
          </w:p>
        </w:tc>
      </w:tr>
      <w:tr w:rsidR="00D144B5" w:rsidRPr="005E2B16" w14:paraId="33AC92A6" w14:textId="77777777" w:rsidTr="006848D7">
        <w:trPr>
          <w:trHeight w:val="300"/>
          <w:jc w:val="center"/>
        </w:trPr>
        <w:tc>
          <w:tcPr>
            <w:tcW w:w="1838" w:type="dxa"/>
            <w:shd w:val="clear" w:color="auto" w:fill="auto"/>
            <w:noWrap/>
            <w:vAlign w:val="bottom"/>
            <w:hideMark/>
          </w:tcPr>
          <w:p w14:paraId="3C546D86" w14:textId="32B5A993" w:rsidR="00D144B5" w:rsidRPr="005E2B16" w:rsidRDefault="00ED365C" w:rsidP="004B7066">
            <w:pPr>
              <w:spacing w:after="0" w:line="240" w:lineRule="auto"/>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Cost on</w:t>
            </w:r>
            <w:r w:rsidR="007D0118" w:rsidRPr="005E2B16">
              <w:rPr>
                <w:rFonts w:ascii="Times New Roman" w:eastAsia="Times New Roman" w:hAnsi="Times New Roman" w:cs="Times New Roman"/>
                <w:sz w:val="20"/>
                <w:szCs w:val="20"/>
                <w:lang w:eastAsia="en-GB"/>
              </w:rPr>
              <w:t xml:space="preserve"> power</w:t>
            </w:r>
          </w:p>
        </w:tc>
        <w:tc>
          <w:tcPr>
            <w:tcW w:w="7513" w:type="dxa"/>
            <w:shd w:val="clear" w:color="auto" w:fill="auto"/>
            <w:noWrap/>
            <w:vAlign w:val="bottom"/>
            <w:hideMark/>
          </w:tcPr>
          <w:p w14:paraId="0DFA9190" w14:textId="7068C993" w:rsidR="00D144B5" w:rsidRPr="005E2B16" w:rsidRDefault="007D0118" w:rsidP="004B7066">
            <w:pPr>
              <w:spacing w:after="0" w:line="240" w:lineRule="auto"/>
              <w:rPr>
                <w:rFonts w:ascii="Times New Roman" w:eastAsia="Times New Roman" w:hAnsi="Times New Roman" w:cs="Times New Roman"/>
                <w:sz w:val="20"/>
                <w:szCs w:val="20"/>
                <w:lang w:eastAsia="en-GB"/>
              </w:rPr>
            </w:pPr>
            <w:r w:rsidRPr="005E2B16">
              <w:rPr>
                <w:rFonts w:ascii="Times New Roman" w:hAnsi="Times New Roman" w:cs="Times New Roman"/>
                <w:sz w:val="20"/>
                <w:szCs w:val="20"/>
              </w:rPr>
              <w:t>The firms’ average yearly expenses on fuel to generate power, measured in the respective year’s exchange rate in USD.</w:t>
            </w:r>
          </w:p>
        </w:tc>
      </w:tr>
    </w:tbl>
    <w:p w14:paraId="28C80062" w14:textId="77777777" w:rsidR="000775A8" w:rsidRPr="005E2B16" w:rsidRDefault="000775A8" w:rsidP="006574F7">
      <w:pPr>
        <w:spacing w:after="0" w:line="240" w:lineRule="auto"/>
        <w:rPr>
          <w:rFonts w:ascii="Times New Roman" w:eastAsia="Times New Roman" w:hAnsi="Times New Roman" w:cs="Times New Roman"/>
          <w:sz w:val="24"/>
          <w:szCs w:val="24"/>
          <w:lang w:eastAsia="en-GB"/>
        </w:rPr>
      </w:pPr>
    </w:p>
    <w:p w14:paraId="515F1F3D" w14:textId="19D48811" w:rsidR="003A66C5" w:rsidRPr="005E2B16" w:rsidRDefault="003A66C5" w:rsidP="003A66C5">
      <w:pPr>
        <w:autoSpaceDE w:val="0"/>
        <w:autoSpaceDN w:val="0"/>
        <w:adjustRightInd w:val="0"/>
        <w:spacing w:after="0" w:line="240" w:lineRule="auto"/>
        <w:jc w:val="both"/>
        <w:rPr>
          <w:rFonts w:ascii="Times New Roman" w:hAnsi="Times New Roman" w:cs="Times New Roman"/>
          <w:i/>
          <w:sz w:val="24"/>
          <w:szCs w:val="24"/>
        </w:rPr>
      </w:pPr>
      <w:r w:rsidRPr="005E2B16">
        <w:rPr>
          <w:rFonts w:ascii="Times New Roman" w:hAnsi="Times New Roman" w:cs="Times New Roman"/>
          <w:i/>
          <w:sz w:val="24"/>
          <w:szCs w:val="24"/>
        </w:rPr>
        <w:t>Empirical Strategy</w:t>
      </w:r>
      <w:r w:rsidR="00F66410" w:rsidRPr="005E2B16">
        <w:rPr>
          <w:rStyle w:val="FootnoteReference"/>
          <w:rFonts w:ascii="Times New Roman" w:hAnsi="Times New Roman" w:cs="Times New Roman"/>
          <w:i/>
          <w:sz w:val="24"/>
          <w:szCs w:val="24"/>
        </w:rPr>
        <w:footnoteReference w:id="6"/>
      </w:r>
    </w:p>
    <w:p w14:paraId="1892B328" w14:textId="587EFC60" w:rsidR="00937E60" w:rsidRPr="005E2B16" w:rsidRDefault="00F72E0E" w:rsidP="00F72E0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Basic d</w:t>
      </w:r>
      <w:r w:rsidR="00ED2910" w:rsidRPr="005E2B16">
        <w:rPr>
          <w:rFonts w:ascii="Times New Roman" w:hAnsi="Times New Roman" w:cs="Times New Roman"/>
          <w:sz w:val="24"/>
          <w:szCs w:val="24"/>
        </w:rPr>
        <w:t>escriptive statistics</w:t>
      </w:r>
      <w:r>
        <w:rPr>
          <w:rFonts w:ascii="Times New Roman" w:hAnsi="Times New Roman" w:cs="Times New Roman"/>
          <w:sz w:val="24"/>
          <w:szCs w:val="24"/>
        </w:rPr>
        <w:t xml:space="preserve"> and </w:t>
      </w:r>
      <w:r w:rsidR="00ED2910" w:rsidRPr="005E2B16">
        <w:rPr>
          <w:rFonts w:ascii="Times New Roman" w:hAnsi="Times New Roman" w:cs="Times New Roman"/>
          <w:sz w:val="24"/>
          <w:szCs w:val="24"/>
        </w:rPr>
        <w:t>kernel density plot</w:t>
      </w:r>
      <w:r>
        <w:rPr>
          <w:rFonts w:ascii="Times New Roman" w:hAnsi="Times New Roman" w:cs="Times New Roman"/>
          <w:sz w:val="24"/>
          <w:szCs w:val="24"/>
        </w:rPr>
        <w:t>s</w:t>
      </w:r>
      <w:r w:rsidR="00ED2910" w:rsidRPr="005E2B16">
        <w:rPr>
          <w:rFonts w:ascii="Times New Roman" w:hAnsi="Times New Roman" w:cs="Times New Roman"/>
          <w:sz w:val="24"/>
          <w:szCs w:val="24"/>
        </w:rPr>
        <w:t xml:space="preserve"> w</w:t>
      </w:r>
      <w:r>
        <w:rPr>
          <w:rFonts w:ascii="Times New Roman" w:hAnsi="Times New Roman" w:cs="Times New Roman"/>
          <w:sz w:val="24"/>
          <w:szCs w:val="24"/>
        </w:rPr>
        <w:t xml:space="preserve">ere presented to familiarise with </w:t>
      </w:r>
      <w:r w:rsidR="00ED2910" w:rsidRPr="005E2B16">
        <w:rPr>
          <w:rFonts w:ascii="Times New Roman" w:hAnsi="Times New Roman" w:cs="Times New Roman"/>
          <w:sz w:val="24"/>
          <w:szCs w:val="24"/>
        </w:rPr>
        <w:t xml:space="preserve">the data and </w:t>
      </w:r>
      <w:r>
        <w:rPr>
          <w:rFonts w:ascii="Times New Roman" w:hAnsi="Times New Roman" w:cs="Times New Roman"/>
          <w:sz w:val="24"/>
          <w:szCs w:val="24"/>
        </w:rPr>
        <w:t xml:space="preserve">briefly </w:t>
      </w:r>
      <w:r w:rsidR="00ED2910" w:rsidRPr="005E2B16">
        <w:rPr>
          <w:rFonts w:ascii="Times New Roman" w:hAnsi="Times New Roman" w:cs="Times New Roman"/>
          <w:sz w:val="24"/>
          <w:szCs w:val="24"/>
        </w:rPr>
        <w:t>evaluate the expected relationships.</w:t>
      </w:r>
      <w:r>
        <w:rPr>
          <w:rFonts w:ascii="Times New Roman" w:hAnsi="Times New Roman" w:cs="Times New Roman"/>
          <w:sz w:val="24"/>
          <w:szCs w:val="24"/>
        </w:rPr>
        <w:t xml:space="preserve"> </w:t>
      </w:r>
      <w:r w:rsidR="005D4F02" w:rsidRPr="005E2B1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quasi-experimental method of propensity score matching was used to evaluate the relationship of interest, </w:t>
      </w:r>
      <w:r w:rsidR="005D4F02" w:rsidRPr="005E2B16">
        <w:rPr>
          <w:rFonts w:ascii="Times New Roman" w:hAnsi="Times New Roman" w:cs="Times New Roman"/>
          <w:sz w:val="24"/>
          <w:szCs w:val="24"/>
          <w:lang w:val="en-US"/>
        </w:rPr>
        <w:t xml:space="preserve">such that </w:t>
      </w:r>
      <w:r>
        <w:rPr>
          <w:rFonts w:ascii="Times New Roman" w:hAnsi="Times New Roman" w:cs="Times New Roman"/>
          <w:sz w:val="24"/>
          <w:szCs w:val="24"/>
          <w:lang w:val="en-US"/>
        </w:rPr>
        <w:t xml:space="preserve">it </w:t>
      </w:r>
      <w:r w:rsidR="005D4F02" w:rsidRPr="005E2B16">
        <w:rPr>
          <w:rFonts w:ascii="Times New Roman" w:hAnsi="Times New Roman" w:cs="Times New Roman"/>
          <w:sz w:val="24"/>
          <w:szCs w:val="24"/>
          <w:lang w:val="en-US"/>
        </w:rPr>
        <w:t>estimates the mean effect of benefiting from fiscal incentives on firms</w:t>
      </w:r>
      <w:r>
        <w:rPr>
          <w:rFonts w:ascii="Times New Roman" w:hAnsi="Times New Roman" w:cs="Times New Roman"/>
          <w:sz w:val="24"/>
          <w:szCs w:val="24"/>
          <w:lang w:val="en-US"/>
        </w:rPr>
        <w:t>’</w:t>
      </w:r>
      <w:r w:rsidR="005D4F02" w:rsidRPr="005E2B16">
        <w:rPr>
          <w:rFonts w:ascii="Times New Roman" w:hAnsi="Times New Roman" w:cs="Times New Roman"/>
          <w:sz w:val="24"/>
          <w:szCs w:val="24"/>
          <w:lang w:val="en-US"/>
        </w:rPr>
        <w:t xml:space="preserve"> productivity. The main advantage of this form of empirical strategy is its ability to generate a control group that has similar distribution of characteristics as the </w:t>
      </w:r>
      <w:r w:rsidR="0081734D">
        <w:rPr>
          <w:rFonts w:ascii="Times New Roman" w:hAnsi="Times New Roman" w:cs="Times New Roman"/>
          <w:sz w:val="24"/>
          <w:szCs w:val="24"/>
          <w:lang w:val="en-US"/>
        </w:rPr>
        <w:t>‘</w:t>
      </w:r>
      <w:r w:rsidR="005D4F02" w:rsidRPr="005E2B16">
        <w:rPr>
          <w:rFonts w:ascii="Times New Roman" w:hAnsi="Times New Roman" w:cs="Times New Roman"/>
          <w:sz w:val="24"/>
          <w:szCs w:val="24"/>
          <w:lang w:val="en-US"/>
        </w:rPr>
        <w:t>treatment</w:t>
      </w:r>
      <w:r w:rsidR="0081734D">
        <w:rPr>
          <w:rFonts w:ascii="Times New Roman" w:hAnsi="Times New Roman" w:cs="Times New Roman"/>
          <w:sz w:val="24"/>
          <w:szCs w:val="24"/>
          <w:lang w:val="en-US"/>
        </w:rPr>
        <w:t>’</w:t>
      </w:r>
      <w:r w:rsidR="005D4F02" w:rsidRPr="005E2B16">
        <w:rPr>
          <w:rFonts w:ascii="Times New Roman" w:hAnsi="Times New Roman" w:cs="Times New Roman"/>
          <w:sz w:val="24"/>
          <w:szCs w:val="24"/>
          <w:lang w:val="en-US"/>
        </w:rPr>
        <w:t xml:space="preserve"> group. </w:t>
      </w:r>
      <w:r>
        <w:rPr>
          <w:rFonts w:ascii="Times New Roman" w:hAnsi="Times New Roman" w:cs="Times New Roman"/>
          <w:sz w:val="24"/>
          <w:szCs w:val="24"/>
          <w:lang w:val="en-US"/>
        </w:rPr>
        <w:t xml:space="preserve">Hence, </w:t>
      </w:r>
      <w:r w:rsidR="005D4F02" w:rsidRPr="005E2B16">
        <w:rPr>
          <w:rFonts w:ascii="Times New Roman" w:hAnsi="Times New Roman" w:cs="Times New Roman"/>
          <w:sz w:val="24"/>
          <w:szCs w:val="24"/>
          <w:lang w:val="en-US"/>
        </w:rPr>
        <w:t xml:space="preserve">the actual effect of the program on the </w:t>
      </w:r>
      <w:r w:rsidR="0081734D">
        <w:rPr>
          <w:rFonts w:ascii="Times New Roman" w:hAnsi="Times New Roman" w:cs="Times New Roman"/>
          <w:sz w:val="24"/>
          <w:szCs w:val="24"/>
          <w:lang w:val="en-US"/>
        </w:rPr>
        <w:t>‘</w:t>
      </w:r>
      <w:r w:rsidR="005D4F02" w:rsidRPr="005E2B16">
        <w:rPr>
          <w:rFonts w:ascii="Times New Roman" w:hAnsi="Times New Roman" w:cs="Times New Roman"/>
          <w:sz w:val="24"/>
          <w:szCs w:val="24"/>
          <w:lang w:val="en-US"/>
        </w:rPr>
        <w:t>treated</w:t>
      </w:r>
      <w:r w:rsidR="0081734D">
        <w:rPr>
          <w:rFonts w:ascii="Times New Roman" w:hAnsi="Times New Roman" w:cs="Times New Roman"/>
          <w:sz w:val="24"/>
          <w:szCs w:val="24"/>
          <w:lang w:val="en-US"/>
        </w:rPr>
        <w:t>’</w:t>
      </w:r>
      <w:r w:rsidR="005D4F02" w:rsidRPr="005E2B16">
        <w:rPr>
          <w:rFonts w:ascii="Times New Roman" w:hAnsi="Times New Roman" w:cs="Times New Roman"/>
          <w:sz w:val="24"/>
          <w:szCs w:val="24"/>
          <w:lang w:val="en-US"/>
        </w:rPr>
        <w:t xml:space="preserve"> groups</w:t>
      </w:r>
      <w:r>
        <w:rPr>
          <w:rFonts w:ascii="Times New Roman" w:hAnsi="Times New Roman" w:cs="Times New Roman"/>
          <w:sz w:val="24"/>
          <w:szCs w:val="24"/>
          <w:lang w:val="en-US"/>
        </w:rPr>
        <w:t xml:space="preserve"> can be computed by comparing the outcome of similar group that did not benefit from fiscal incentive</w:t>
      </w:r>
      <w:r w:rsidR="005D4F02" w:rsidRPr="005E2B16">
        <w:rPr>
          <w:rFonts w:ascii="Times New Roman" w:hAnsi="Times New Roman" w:cs="Times New Roman"/>
          <w:sz w:val="24"/>
          <w:szCs w:val="24"/>
          <w:lang w:val="en-US"/>
        </w:rPr>
        <w:t>.</w:t>
      </w:r>
      <w:r w:rsidR="00C953E6" w:rsidRPr="005E2B16">
        <w:rPr>
          <w:rFonts w:ascii="Times New Roman" w:hAnsi="Times New Roman" w:cs="Times New Roman"/>
          <w:sz w:val="24"/>
          <w:szCs w:val="24"/>
        </w:rPr>
        <w:t xml:space="preserve"> The treatment effect is therefore calculated as the difference of the mean outcomes.</w:t>
      </w:r>
    </w:p>
    <w:p w14:paraId="7E8D0F82" w14:textId="77777777" w:rsidR="005D4F02" w:rsidRPr="005E2B16" w:rsidRDefault="005D4F02" w:rsidP="00000028">
      <w:pPr>
        <w:spacing w:after="0" w:line="240" w:lineRule="auto"/>
        <w:jc w:val="both"/>
        <w:rPr>
          <w:rFonts w:ascii="Times New Roman" w:hAnsi="Times New Roman" w:cs="Times New Roman"/>
          <w:sz w:val="24"/>
          <w:szCs w:val="24"/>
          <w:lang w:val="en-US"/>
        </w:rPr>
      </w:pPr>
    </w:p>
    <w:p w14:paraId="46764FA9" w14:textId="659F6288" w:rsidR="00267D0E" w:rsidRPr="005E2B16" w:rsidRDefault="00267D0E" w:rsidP="00000028">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Explaining this process in mathematical terms, we assume</w:t>
      </w:r>
      <w:r w:rsidR="00F93030">
        <w:rPr>
          <w:rFonts w:ascii="Times New Roman" w:hAnsi="Times New Roman" w:cs="Times New Roman"/>
          <w:sz w:val="24"/>
          <w:szCs w:val="24"/>
          <w:lang w:val="en-US"/>
        </w:rPr>
        <w:t xml:space="preserve"> that </w:t>
      </w:r>
      <w:r w:rsidRPr="005E2B16">
        <w:rPr>
          <w:rFonts w:ascii="Times New Roman" w:hAnsi="Times New Roman" w:cs="Times New Roman"/>
          <w:sz w:val="24"/>
          <w:szCs w:val="24"/>
          <w:lang w:val="en-US"/>
        </w:rPr>
        <w:t xml:space="preserve">there are two groups of firms that are indexed by </w:t>
      </w:r>
      <w:r w:rsidR="00F93030">
        <w:rPr>
          <w:rFonts w:ascii="Times New Roman" w:hAnsi="Times New Roman" w:cs="Times New Roman"/>
          <w:sz w:val="24"/>
          <w:szCs w:val="24"/>
          <w:lang w:val="en-US"/>
        </w:rPr>
        <w:t xml:space="preserve">their fiscal incentives beneficiary </w:t>
      </w:r>
      <w:r w:rsidRPr="005E2B16">
        <w:rPr>
          <w:rFonts w:ascii="Times New Roman" w:hAnsi="Times New Roman" w:cs="Times New Roman"/>
          <w:sz w:val="24"/>
          <w:szCs w:val="24"/>
          <w:lang w:val="en-US"/>
        </w:rPr>
        <w:t>status</w:t>
      </w:r>
      <w:r w:rsidR="00F93030">
        <w:rPr>
          <w:rFonts w:ascii="Times New Roman" w:hAnsi="Times New Roman" w:cs="Times New Roman"/>
          <w:sz w:val="24"/>
          <w:szCs w:val="24"/>
          <w:lang w:val="en-US"/>
        </w:rPr>
        <w:t xml:space="preserve"> –</w:t>
      </w:r>
      <w:r w:rsidRPr="005E2B16">
        <w:rPr>
          <w:rFonts w:ascii="Times New Roman" w:hAnsi="Times New Roman" w:cs="Times New Roman"/>
          <w:sz w:val="24"/>
          <w:szCs w:val="24"/>
          <w:lang w:val="en-US"/>
        </w:rPr>
        <w:t xml:space="preserve"> such</w:t>
      </w:r>
      <w:r w:rsidR="00F93030">
        <w:rPr>
          <w:rFonts w:ascii="Times New Roman" w:hAnsi="Times New Roman" w:cs="Times New Roman"/>
          <w:sz w:val="24"/>
          <w:szCs w:val="24"/>
          <w:lang w:val="en-US"/>
        </w:rPr>
        <w:t xml:space="preserve"> that P=0/1</w:t>
      </w:r>
      <w:r w:rsidRPr="005E2B16">
        <w:rPr>
          <w:rFonts w:ascii="Times New Roman" w:hAnsi="Times New Roman" w:cs="Times New Roman"/>
          <w:sz w:val="24"/>
          <w:szCs w:val="24"/>
          <w:lang w:val="en-US"/>
        </w:rPr>
        <w:t xml:space="preserve"> </w:t>
      </w:r>
      <w:r w:rsidR="00F93030">
        <w:rPr>
          <w:rFonts w:ascii="Times New Roman" w:hAnsi="Times New Roman" w:cs="Times New Roman"/>
          <w:sz w:val="24"/>
          <w:szCs w:val="24"/>
          <w:lang w:val="en-US"/>
        </w:rPr>
        <w:t>(</w:t>
      </w:r>
      <w:r w:rsidRPr="005E2B16">
        <w:rPr>
          <w:rFonts w:ascii="Times New Roman" w:hAnsi="Times New Roman" w:cs="Times New Roman"/>
          <w:sz w:val="24"/>
          <w:szCs w:val="24"/>
          <w:lang w:val="en-US"/>
        </w:rPr>
        <w:t>where 1 (0) indicates that the firm did (did not) benefit from the incentive</w:t>
      </w:r>
      <w:r w:rsidR="00F93030">
        <w:rPr>
          <w:rFonts w:ascii="Times New Roman" w:hAnsi="Times New Roman" w:cs="Times New Roman"/>
          <w:sz w:val="24"/>
          <w:szCs w:val="24"/>
          <w:lang w:val="en-US"/>
        </w:rPr>
        <w:t>)</w:t>
      </w:r>
      <w:r w:rsidRPr="005E2B16">
        <w:rPr>
          <w:rFonts w:ascii="Times New Roman" w:hAnsi="Times New Roman" w:cs="Times New Roman"/>
          <w:sz w:val="24"/>
          <w:szCs w:val="24"/>
          <w:lang w:val="en-US"/>
        </w:rPr>
        <w:t xml:space="preserve">. </w:t>
      </w:r>
      <w:r w:rsidR="00F93030">
        <w:rPr>
          <w:rFonts w:ascii="Times New Roman" w:hAnsi="Times New Roman" w:cs="Times New Roman"/>
          <w:sz w:val="24"/>
          <w:szCs w:val="24"/>
          <w:lang w:val="en-US"/>
        </w:rPr>
        <w:t xml:space="preserve">Benefiting from the incentives </w:t>
      </w:r>
      <w:r w:rsidRPr="005E2B16">
        <w:rPr>
          <w:rFonts w:ascii="Times New Roman" w:hAnsi="Times New Roman" w:cs="Times New Roman"/>
          <w:sz w:val="24"/>
          <w:szCs w:val="24"/>
          <w:lang w:val="en-US"/>
        </w:rPr>
        <w:t xml:space="preserve">is expected to yield an outcome: </w:t>
      </w:r>
    </w:p>
    <w:p w14:paraId="3E5D9508" w14:textId="77777777" w:rsidR="00267D0E" w:rsidRPr="005E2B16" w:rsidRDefault="00267D0E" w:rsidP="00000028">
      <w:pPr>
        <w:spacing w:after="0" w:line="240" w:lineRule="auto"/>
        <w:jc w:val="both"/>
        <w:rPr>
          <w:rFonts w:ascii="Times New Roman" w:hAnsi="Times New Roman" w:cs="Times New Roman"/>
          <w:sz w:val="24"/>
          <w:szCs w:val="24"/>
          <w:lang w:val="en-US"/>
        </w:rPr>
      </w:pPr>
    </w:p>
    <w:p w14:paraId="387F3338" w14:textId="7CAD3674" w:rsidR="00851576" w:rsidRPr="005E2B16" w:rsidRDefault="00E4253B" w:rsidP="00267D0E">
      <w:pPr>
        <w:spacing w:after="0" w:line="240" w:lineRule="auto"/>
        <w:rPr>
          <w:rFonts w:ascii="Times New Roman" w:eastAsiaTheme="minorEastAsia" w:hAnsi="Times New Roman" w:cs="Times New Roman"/>
          <w:sz w:val="24"/>
          <w:szCs w:val="24"/>
          <w:lang w:val="en-US"/>
        </w:rPr>
      </w:pPr>
      <m:oMath>
        <m:sSubSup>
          <m:sSubSupPr>
            <m:ctrlPr>
              <w:rPr>
                <w:rFonts w:ascii="Cambria Math" w:hAnsi="Cambria Math" w:cs="Times New Roman"/>
                <w:i/>
                <w:sz w:val="24"/>
                <w:szCs w:val="24"/>
                <w:lang w:val="en-US"/>
              </w:rPr>
            </m:ctrlPr>
          </m:sSubSupPr>
          <m:e>
            <m:r>
              <m:rPr>
                <m:sty m:val="p"/>
              </m:rP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1</m:t>
            </m:r>
          </m:sup>
        </m:sSubSup>
      </m:oMath>
      <w:r w:rsidR="00267D0E" w:rsidRPr="005E2B16">
        <w:rPr>
          <w:rFonts w:ascii="Times New Roman" w:eastAsiaTheme="minorEastAsia" w:hAnsi="Times New Roman" w:cs="Times New Roman"/>
          <w:sz w:val="24"/>
          <w:szCs w:val="24"/>
          <w:lang w:val="en-US"/>
        </w:rPr>
        <w:t xml:space="preserve"> : which is the productivity of the firm conditional on benefiting from the fiscal incentives (i.e. P=1) or</w:t>
      </w:r>
    </w:p>
    <w:p w14:paraId="12B4CD5B" w14:textId="77777777" w:rsidR="00267D0E" w:rsidRPr="005E2B16" w:rsidRDefault="00267D0E" w:rsidP="00267D0E">
      <w:pPr>
        <w:spacing w:after="0" w:line="240" w:lineRule="auto"/>
        <w:rPr>
          <w:rFonts w:ascii="Times New Roman" w:eastAsiaTheme="minorEastAsia" w:hAnsi="Times New Roman" w:cs="Times New Roman"/>
          <w:sz w:val="24"/>
          <w:szCs w:val="24"/>
          <w:lang w:val="en-US"/>
        </w:rPr>
      </w:pPr>
    </w:p>
    <w:p w14:paraId="1C05C126" w14:textId="25AE7463" w:rsidR="00267D0E" w:rsidRPr="005E2B16" w:rsidRDefault="00E4253B" w:rsidP="00267D0E">
      <w:pPr>
        <w:spacing w:after="0" w:line="240" w:lineRule="auto"/>
        <w:rPr>
          <w:rFonts w:ascii="Times New Roman" w:eastAsiaTheme="minorEastAsia" w:hAnsi="Times New Roman" w:cs="Times New Roman"/>
          <w:sz w:val="24"/>
          <w:szCs w:val="24"/>
          <w:lang w:val="en-US"/>
        </w:rPr>
      </w:pPr>
      <m:oMath>
        <m:sSubSup>
          <m:sSubSupPr>
            <m:ctrlPr>
              <w:rPr>
                <w:rFonts w:ascii="Cambria Math" w:hAnsi="Cambria Math" w:cs="Times New Roman"/>
                <w:i/>
                <w:sz w:val="24"/>
                <w:szCs w:val="24"/>
                <w:lang w:val="en-US"/>
              </w:rPr>
            </m:ctrlPr>
          </m:sSubSupPr>
          <m:e>
            <m:r>
              <m:rPr>
                <m:sty m:val="p"/>
              </m:rP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0</m:t>
            </m:r>
          </m:sup>
        </m:sSubSup>
      </m:oMath>
      <w:r w:rsidR="00267D0E" w:rsidRPr="005E2B16">
        <w:rPr>
          <w:rFonts w:ascii="Times New Roman" w:eastAsiaTheme="minorEastAsia" w:hAnsi="Times New Roman" w:cs="Times New Roman"/>
          <w:sz w:val="24"/>
          <w:szCs w:val="24"/>
          <w:lang w:val="en-US"/>
        </w:rPr>
        <w:t xml:space="preserve"> : which is the productivity of the firm </w:t>
      </w:r>
      <w:r w:rsidR="00C71C8B" w:rsidRPr="005E2B16">
        <w:rPr>
          <w:rFonts w:ascii="Times New Roman" w:eastAsiaTheme="minorEastAsia" w:hAnsi="Times New Roman" w:cs="Times New Roman"/>
          <w:sz w:val="24"/>
          <w:szCs w:val="24"/>
          <w:lang w:val="en-US"/>
        </w:rPr>
        <w:t>if the firm did not benefit</w:t>
      </w:r>
      <w:r w:rsidR="00267D0E" w:rsidRPr="005E2B16">
        <w:rPr>
          <w:rFonts w:ascii="Times New Roman" w:eastAsiaTheme="minorEastAsia" w:hAnsi="Times New Roman" w:cs="Times New Roman"/>
          <w:sz w:val="24"/>
          <w:szCs w:val="24"/>
          <w:lang w:val="en-US"/>
        </w:rPr>
        <w:t xml:space="preserve"> from</w:t>
      </w:r>
      <w:r w:rsidR="00C71C8B" w:rsidRPr="005E2B16">
        <w:rPr>
          <w:rFonts w:ascii="Times New Roman" w:eastAsiaTheme="minorEastAsia" w:hAnsi="Times New Roman" w:cs="Times New Roman"/>
          <w:sz w:val="24"/>
          <w:szCs w:val="24"/>
          <w:lang w:val="en-US"/>
        </w:rPr>
        <w:t xml:space="preserve"> the fiscal incentives (i.e. P=0</w:t>
      </w:r>
      <w:r w:rsidR="00267D0E" w:rsidRPr="005E2B16">
        <w:rPr>
          <w:rFonts w:ascii="Times New Roman" w:eastAsiaTheme="minorEastAsia" w:hAnsi="Times New Roman" w:cs="Times New Roman"/>
          <w:sz w:val="24"/>
          <w:szCs w:val="24"/>
          <w:lang w:val="en-US"/>
        </w:rPr>
        <w:t>)</w:t>
      </w:r>
      <w:r w:rsidR="00C71C8B" w:rsidRPr="005E2B16">
        <w:rPr>
          <w:rFonts w:ascii="Times New Roman" w:eastAsiaTheme="minorEastAsia" w:hAnsi="Times New Roman" w:cs="Times New Roman"/>
          <w:sz w:val="24"/>
          <w:szCs w:val="24"/>
          <w:lang w:val="en-US"/>
        </w:rPr>
        <w:t>.</w:t>
      </w:r>
    </w:p>
    <w:p w14:paraId="02DCB334" w14:textId="77777777" w:rsidR="00851576" w:rsidRPr="005E2B16" w:rsidRDefault="00851576" w:rsidP="00000028">
      <w:pPr>
        <w:spacing w:after="0" w:line="240" w:lineRule="auto"/>
        <w:jc w:val="both"/>
        <w:rPr>
          <w:rFonts w:ascii="Times New Roman" w:hAnsi="Times New Roman" w:cs="Times New Roman"/>
          <w:sz w:val="24"/>
          <w:szCs w:val="24"/>
          <w:lang w:val="en-US"/>
        </w:rPr>
      </w:pPr>
    </w:p>
    <w:p w14:paraId="67D38CC8" w14:textId="2E93F3F8" w:rsidR="00851576" w:rsidRPr="005E2B16" w:rsidRDefault="00C71C8B" w:rsidP="00000028">
      <w:pPr>
        <w:spacing w:after="0" w:line="240" w:lineRule="auto"/>
        <w:jc w:val="both"/>
        <w:rPr>
          <w:rFonts w:ascii="Times New Roman" w:hAnsi="Times New Roman" w:cs="Times New Roman"/>
          <w:sz w:val="24"/>
          <w:szCs w:val="24"/>
        </w:rPr>
      </w:pPr>
      <w:r w:rsidRPr="005E2B16">
        <w:rPr>
          <w:rFonts w:ascii="Times New Roman" w:hAnsi="Times New Roman" w:cs="Times New Roman"/>
          <w:sz w:val="24"/>
          <w:szCs w:val="24"/>
          <w:lang w:val="en-US"/>
        </w:rPr>
        <w:t xml:space="preserve">Therefore the </w:t>
      </w:r>
      <w:r w:rsidR="00CE55FA" w:rsidRPr="005E2B16">
        <w:rPr>
          <w:rFonts w:ascii="Times New Roman" w:hAnsi="Times New Roman" w:cs="Times New Roman"/>
          <w:sz w:val="24"/>
          <w:szCs w:val="24"/>
        </w:rPr>
        <w:t xml:space="preserve">Average Treatment on the Treated Effect </w:t>
      </w:r>
      <w:r w:rsidRPr="005E2B16">
        <w:rPr>
          <w:rFonts w:ascii="Times New Roman" w:hAnsi="Times New Roman" w:cs="Times New Roman"/>
          <w:sz w:val="24"/>
          <w:szCs w:val="24"/>
        </w:rPr>
        <w:t>(ATT) will be:</w:t>
      </w:r>
    </w:p>
    <w:p w14:paraId="69E2CF3E" w14:textId="77777777" w:rsidR="00C71C8B" w:rsidRPr="005E2B16" w:rsidRDefault="00C71C8B" w:rsidP="00000028">
      <w:pPr>
        <w:spacing w:after="0" w:line="240" w:lineRule="auto"/>
        <w:jc w:val="both"/>
        <w:rPr>
          <w:rFonts w:ascii="Times New Roman" w:hAnsi="Times New Roman" w:cs="Times New Roman"/>
          <w:sz w:val="24"/>
          <w:szCs w:val="24"/>
        </w:rPr>
      </w:pPr>
    </w:p>
    <w:p w14:paraId="56F7DE21" w14:textId="0AF8FAD3" w:rsidR="00C71C8B" w:rsidRPr="005E2B16" w:rsidRDefault="00C71C8B" w:rsidP="00F93030">
      <w:pPr>
        <w:spacing w:after="0" w:line="240" w:lineRule="auto"/>
        <w:jc w:val="center"/>
        <w:rPr>
          <w:rFonts w:ascii="Times New Roman" w:hAnsi="Times New Roman" w:cs="Times New Roman"/>
          <w:i/>
          <w:sz w:val="24"/>
          <w:szCs w:val="24"/>
        </w:rPr>
      </w:pPr>
      <m:oMath>
        <m:r>
          <w:rPr>
            <w:rFonts w:ascii="Cambria Math" w:hAnsi="Cambria Math" w:cs="Times New Roman"/>
            <w:sz w:val="24"/>
            <w:szCs w:val="24"/>
          </w:rPr>
          <m:t>ATT</m:t>
        </m:r>
        <m:r>
          <w:rPr>
            <w:rFonts w:ascii="Cambria Math" w:hAnsi="Times New Roman" w:cs="Times New Roman"/>
            <w:sz w:val="24"/>
            <w:szCs w:val="24"/>
          </w:rPr>
          <m:t>=E(</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1</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0</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r>
          <w:rPr>
            <w:rFonts w:ascii="Cambria Math" w:hAnsi="Cambria Math" w:cs="Times New Roman"/>
            <w:sz w:val="24"/>
            <w:szCs w:val="24"/>
            <w:lang w:val="en-US"/>
          </w:rPr>
          <m:t>=1)</m:t>
        </m:r>
      </m:oMath>
      <w:r w:rsidR="00F93030">
        <w:rPr>
          <w:rFonts w:ascii="Times New Roman" w:eastAsiaTheme="minorEastAsia" w:hAnsi="Times New Roman" w:cs="Times New Roman"/>
          <w:i/>
          <w:sz w:val="24"/>
          <w:szCs w:val="24"/>
          <w:lang w:val="en-US"/>
        </w:rPr>
        <w:tab/>
      </w:r>
      <w:r w:rsidR="00F93030">
        <w:rPr>
          <w:rFonts w:ascii="Times New Roman" w:eastAsiaTheme="minorEastAsia" w:hAnsi="Times New Roman" w:cs="Times New Roman"/>
          <w:i/>
          <w:sz w:val="24"/>
          <w:szCs w:val="24"/>
          <w:lang w:val="en-US"/>
        </w:rPr>
        <w:tab/>
      </w:r>
      <w:r w:rsidR="00F93030">
        <w:rPr>
          <w:rFonts w:ascii="Times New Roman" w:eastAsiaTheme="minorEastAsia" w:hAnsi="Times New Roman" w:cs="Times New Roman"/>
          <w:i/>
          <w:sz w:val="24"/>
          <w:szCs w:val="24"/>
          <w:lang w:val="en-US"/>
        </w:rPr>
        <w:tab/>
      </w:r>
      <w:r w:rsidR="00F93030">
        <w:rPr>
          <w:rFonts w:ascii="Times New Roman" w:eastAsiaTheme="minorEastAsia" w:hAnsi="Times New Roman" w:cs="Times New Roman"/>
          <w:i/>
          <w:sz w:val="24"/>
          <w:szCs w:val="24"/>
          <w:lang w:val="en-US"/>
        </w:rPr>
        <w:tab/>
      </w:r>
      <w:r w:rsidR="00F93030" w:rsidRPr="00F93030">
        <w:rPr>
          <w:rFonts w:ascii="Times New Roman" w:eastAsiaTheme="minorEastAsia" w:hAnsi="Times New Roman" w:cs="Times New Roman"/>
          <w:sz w:val="24"/>
          <w:szCs w:val="24"/>
          <w:lang w:val="en-US"/>
        </w:rPr>
        <w:t>(</w:t>
      </w:r>
      <w:r w:rsidR="00F93030">
        <w:rPr>
          <w:rFonts w:ascii="Times New Roman" w:eastAsiaTheme="minorEastAsia" w:hAnsi="Times New Roman" w:cs="Times New Roman"/>
          <w:sz w:val="24"/>
          <w:szCs w:val="24"/>
          <w:lang w:val="en-US"/>
        </w:rPr>
        <w:t>1</w:t>
      </w:r>
      <w:r w:rsidR="00F93030" w:rsidRPr="00F93030">
        <w:rPr>
          <w:rFonts w:ascii="Times New Roman" w:eastAsiaTheme="minorEastAsia" w:hAnsi="Times New Roman" w:cs="Times New Roman"/>
          <w:sz w:val="24"/>
          <w:szCs w:val="24"/>
          <w:lang w:val="en-US"/>
        </w:rPr>
        <w:t>)</w:t>
      </w:r>
    </w:p>
    <w:p w14:paraId="34C25E9D" w14:textId="77777777" w:rsidR="00C71C8B" w:rsidRPr="005E2B16" w:rsidRDefault="00C71C8B" w:rsidP="00C71C8B">
      <w:pPr>
        <w:spacing w:after="0" w:line="240" w:lineRule="auto"/>
        <w:jc w:val="both"/>
        <w:rPr>
          <w:rFonts w:ascii="Times New Roman" w:hAnsi="Times New Roman" w:cs="Times New Roman"/>
        </w:rPr>
      </w:pPr>
    </w:p>
    <w:p w14:paraId="4BE8BA6A" w14:textId="2B8EF47C" w:rsidR="00C71C8B" w:rsidRPr="005E2B16" w:rsidRDefault="00C71C8B" w:rsidP="00C71C8B">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rPr>
        <w:t xml:space="preserve">Further </w:t>
      </w:r>
      <w:r w:rsidRPr="005E2B16">
        <w:rPr>
          <w:rFonts w:ascii="Times New Roman" w:hAnsi="Times New Roman" w:cs="Times New Roman"/>
          <w:sz w:val="24"/>
          <w:szCs w:val="24"/>
          <w:lang w:val="en-US"/>
        </w:rPr>
        <w:t>disintegrat</w:t>
      </w:r>
      <w:r w:rsidR="003673A7" w:rsidRPr="005E2B16">
        <w:rPr>
          <w:rFonts w:ascii="Times New Roman" w:hAnsi="Times New Roman" w:cs="Times New Roman"/>
          <w:sz w:val="24"/>
          <w:szCs w:val="24"/>
          <w:lang w:val="en-US"/>
        </w:rPr>
        <w:t>ing</w:t>
      </w:r>
      <w:r w:rsidRPr="005E2B16">
        <w:rPr>
          <w:rFonts w:ascii="Times New Roman" w:hAnsi="Times New Roman" w:cs="Times New Roman"/>
          <w:sz w:val="24"/>
          <w:szCs w:val="24"/>
          <w:lang w:val="en-US"/>
        </w:rPr>
        <w:t xml:space="preserve"> this equation, we derive:</w:t>
      </w:r>
    </w:p>
    <w:p w14:paraId="6848EF7D" w14:textId="77777777" w:rsidR="00C71C8B" w:rsidRPr="005E2B16" w:rsidRDefault="00C71C8B" w:rsidP="00C71C8B">
      <w:pPr>
        <w:spacing w:after="0" w:line="240" w:lineRule="auto"/>
        <w:jc w:val="both"/>
        <w:rPr>
          <w:rFonts w:ascii="Times New Roman" w:hAnsi="Times New Roman" w:cs="Times New Roman"/>
          <w:sz w:val="24"/>
          <w:szCs w:val="24"/>
          <w:lang w:val="en-US"/>
        </w:rPr>
      </w:pPr>
    </w:p>
    <w:p w14:paraId="6CCF23B9" w14:textId="039A15A1" w:rsidR="00C71C8B" w:rsidRPr="00F93030" w:rsidRDefault="00C71C8B" w:rsidP="00F93030">
      <w:pPr>
        <w:spacing w:after="0" w:line="240" w:lineRule="auto"/>
        <w:jc w:val="center"/>
        <w:rPr>
          <w:rFonts w:ascii="Times New Roman" w:eastAsiaTheme="minorEastAsia" w:hAnsi="Times New Roman" w:cs="Times New Roman"/>
          <w:sz w:val="24"/>
          <w:szCs w:val="24"/>
          <w:lang w:val="en-US"/>
        </w:rPr>
      </w:pPr>
      <m:oMath>
        <m:r>
          <w:rPr>
            <w:rFonts w:ascii="Cambria Math" w:hAnsi="Cambria Math" w:cs="Times New Roman"/>
            <w:sz w:val="24"/>
            <w:szCs w:val="24"/>
          </w:rPr>
          <m:t>ATT</m:t>
        </m:r>
        <m:r>
          <w:rPr>
            <w:rFonts w:ascii="Cambria Math" w:hAnsi="Times New Roman" w:cs="Times New Roman"/>
            <w:sz w:val="24"/>
            <w:szCs w:val="24"/>
          </w:rPr>
          <m:t>=E(</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1</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r>
          <w:rPr>
            <w:rFonts w:ascii="Cambria Math" w:hAnsi="Cambria Math" w:cs="Times New Roman"/>
            <w:sz w:val="24"/>
            <w:szCs w:val="24"/>
            <w:lang w:val="en-US"/>
          </w:rPr>
          <m:t>=1)-</m:t>
        </m:r>
        <m:r>
          <w:rPr>
            <w:rFonts w:ascii="Cambria Math" w:hAnsi="Times New Roman" w:cs="Times New Roman"/>
            <w:sz w:val="24"/>
            <w:szCs w:val="24"/>
          </w:rPr>
          <m:t>E(</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0</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r>
          <w:rPr>
            <w:rFonts w:ascii="Cambria Math" w:hAnsi="Cambria Math" w:cs="Times New Roman"/>
            <w:sz w:val="24"/>
            <w:szCs w:val="24"/>
            <w:lang w:val="en-US"/>
          </w:rPr>
          <m:t>=1)</m:t>
        </m:r>
      </m:oMath>
      <w:r w:rsidR="00F93030">
        <w:rPr>
          <w:rFonts w:ascii="Times New Roman" w:eastAsiaTheme="minorEastAsia" w:hAnsi="Times New Roman" w:cs="Times New Roman"/>
          <w:sz w:val="24"/>
          <w:szCs w:val="24"/>
          <w:lang w:val="en-US"/>
        </w:rPr>
        <w:tab/>
      </w:r>
      <w:r w:rsidR="00F93030">
        <w:rPr>
          <w:rFonts w:ascii="Times New Roman" w:eastAsiaTheme="minorEastAsia" w:hAnsi="Times New Roman" w:cs="Times New Roman"/>
          <w:sz w:val="24"/>
          <w:szCs w:val="24"/>
          <w:lang w:val="en-US"/>
        </w:rPr>
        <w:tab/>
        <w:t>(2)</w:t>
      </w:r>
    </w:p>
    <w:p w14:paraId="618CFE80" w14:textId="77777777" w:rsidR="00B93579" w:rsidRPr="005E2B16" w:rsidRDefault="00B93579" w:rsidP="00C71C8B">
      <w:pPr>
        <w:spacing w:after="0" w:line="240" w:lineRule="auto"/>
        <w:jc w:val="both"/>
        <w:rPr>
          <w:rFonts w:ascii="Times New Roman" w:eastAsiaTheme="minorEastAsia" w:hAnsi="Times New Roman" w:cs="Times New Roman"/>
          <w:sz w:val="24"/>
          <w:szCs w:val="24"/>
          <w:lang w:val="en-US"/>
        </w:rPr>
      </w:pPr>
    </w:p>
    <w:p w14:paraId="4BE5452A" w14:textId="46E31A2E" w:rsidR="00C71C8B" w:rsidRPr="005E2B16" w:rsidRDefault="00B93579" w:rsidP="00B93579">
      <w:pPr>
        <w:spacing w:after="0" w:line="240" w:lineRule="auto"/>
        <w:jc w:val="both"/>
        <w:rPr>
          <w:rFonts w:ascii="Times New Roman" w:hAnsi="Times New Roman" w:cs="Times New Roman"/>
          <w:sz w:val="24"/>
          <w:szCs w:val="24"/>
        </w:rPr>
      </w:pPr>
      <w:r w:rsidRPr="005E2B16">
        <w:rPr>
          <w:rFonts w:ascii="TimesNewRomanPSMT" w:hAnsi="TimesNewRomanPSMT" w:cs="TimesNewRomanPSMT"/>
          <w:sz w:val="24"/>
          <w:szCs w:val="24"/>
        </w:rPr>
        <w:t xml:space="preserve">Where </w:t>
      </w:r>
      <w:r w:rsidRPr="005E2B16">
        <w:rPr>
          <w:rFonts w:ascii="TimesNewRomanPS-ItalicMT" w:hAnsi="TimesNewRomanPS-ItalicMT" w:cs="TimesNewRomanPS-ItalicMT"/>
          <w:i/>
          <w:iCs/>
          <w:sz w:val="24"/>
          <w:szCs w:val="24"/>
        </w:rPr>
        <w:t>E</w:t>
      </w:r>
      <w:r w:rsidRPr="005E2B16">
        <w:rPr>
          <w:rFonts w:ascii="TimesNewRomanPSMT" w:hAnsi="TimesNewRomanPSMT" w:cs="TimesNewRomanPSMT"/>
          <w:sz w:val="24"/>
          <w:szCs w:val="24"/>
        </w:rPr>
        <w:t xml:space="preserve">(.) represents the average (or the </w:t>
      </w:r>
      <w:r w:rsidRPr="005E2B16">
        <w:rPr>
          <w:rFonts w:ascii="TimesNewRomanPS-ItalicMT" w:hAnsi="TimesNewRomanPS-ItalicMT" w:cs="TimesNewRomanPS-ItalicMT"/>
          <w:i/>
          <w:iCs/>
          <w:sz w:val="24"/>
          <w:szCs w:val="24"/>
        </w:rPr>
        <w:t>expected value</w:t>
      </w:r>
      <w:r w:rsidRPr="005E2B16">
        <w:rPr>
          <w:rFonts w:ascii="TimesNewRomanPSMT" w:hAnsi="TimesNewRomanPSMT" w:cs="TimesNewRomanPSMT"/>
          <w:sz w:val="24"/>
          <w:szCs w:val="24"/>
        </w:rPr>
        <w:t xml:space="preserve">). </w:t>
      </w:r>
      <w:r w:rsidR="00F93030">
        <w:rPr>
          <w:rFonts w:ascii="Times New Roman" w:hAnsi="Times New Roman" w:cs="Times New Roman"/>
          <w:sz w:val="24"/>
          <w:szCs w:val="24"/>
        </w:rPr>
        <w:t>E</w:t>
      </w:r>
      <w:r w:rsidR="009B22AB" w:rsidRPr="005E2B16">
        <w:rPr>
          <w:rFonts w:ascii="Times New Roman" w:hAnsi="Times New Roman" w:cs="Times New Roman"/>
          <w:sz w:val="24"/>
          <w:szCs w:val="24"/>
        </w:rPr>
        <w:t xml:space="preserve">quation </w:t>
      </w:r>
      <w:r w:rsidR="00F93030">
        <w:rPr>
          <w:rFonts w:ascii="Times New Roman" w:hAnsi="Times New Roman" w:cs="Times New Roman"/>
          <w:sz w:val="24"/>
          <w:szCs w:val="24"/>
        </w:rPr>
        <w:t xml:space="preserve">(2) </w:t>
      </w:r>
      <w:r w:rsidR="009B22AB" w:rsidRPr="005E2B16">
        <w:rPr>
          <w:rFonts w:ascii="Times New Roman" w:hAnsi="Times New Roman" w:cs="Times New Roman"/>
          <w:sz w:val="24"/>
          <w:szCs w:val="24"/>
        </w:rPr>
        <w:t xml:space="preserve">tends to answer the important question “how much would be the productivity of firms that benefited from fiscal incentives compared to what they would have experienced </w:t>
      </w:r>
      <w:r w:rsidR="007A5164">
        <w:rPr>
          <w:rFonts w:ascii="Times New Roman" w:hAnsi="Times New Roman" w:cs="Times New Roman"/>
          <w:sz w:val="24"/>
          <w:szCs w:val="24"/>
        </w:rPr>
        <w:t>assuming they did not benefit.</w:t>
      </w:r>
      <w:r w:rsidR="00F003B9" w:rsidRPr="005E2B16">
        <w:rPr>
          <w:rFonts w:ascii="Times New Roman" w:hAnsi="Times New Roman" w:cs="Times New Roman"/>
          <w:sz w:val="24"/>
          <w:szCs w:val="24"/>
        </w:rPr>
        <w:t xml:space="preserve"> This is an important policy question that our estimation technique answer</w:t>
      </w:r>
      <w:r w:rsidR="00F93030">
        <w:rPr>
          <w:rFonts w:ascii="Times New Roman" w:hAnsi="Times New Roman" w:cs="Times New Roman"/>
          <w:sz w:val="24"/>
          <w:szCs w:val="24"/>
        </w:rPr>
        <w:t>s</w:t>
      </w:r>
      <w:r w:rsidR="00F003B9" w:rsidRPr="005E2B16">
        <w:rPr>
          <w:rFonts w:ascii="Times New Roman" w:hAnsi="Times New Roman" w:cs="Times New Roman"/>
          <w:sz w:val="24"/>
          <w:szCs w:val="24"/>
        </w:rPr>
        <w:t xml:space="preserve">. </w:t>
      </w:r>
    </w:p>
    <w:p w14:paraId="359B2D55" w14:textId="77777777" w:rsidR="00C71C8B" w:rsidRPr="005E2B16" w:rsidRDefault="00C71C8B" w:rsidP="00851576">
      <w:pPr>
        <w:autoSpaceDE w:val="0"/>
        <w:autoSpaceDN w:val="0"/>
        <w:adjustRightInd w:val="0"/>
        <w:spacing w:after="0" w:line="240" w:lineRule="auto"/>
        <w:rPr>
          <w:rFonts w:ascii="Times New Roman" w:hAnsi="Times New Roman" w:cs="Times New Roman"/>
          <w:sz w:val="24"/>
          <w:szCs w:val="24"/>
        </w:rPr>
      </w:pPr>
    </w:p>
    <w:p w14:paraId="2987D5FD" w14:textId="6BB6F8EE" w:rsidR="00845150" w:rsidRPr="005E2B16" w:rsidRDefault="00F66410" w:rsidP="00845150">
      <w:pPr>
        <w:autoSpaceDE w:val="0"/>
        <w:autoSpaceDN w:val="0"/>
        <w:adjustRightInd w:val="0"/>
        <w:spacing w:after="0" w:line="240" w:lineRule="auto"/>
        <w:jc w:val="both"/>
        <w:rPr>
          <w:rFonts w:ascii="Times New Roman" w:hAnsi="Times New Roman" w:cs="Times New Roman"/>
          <w:color w:val="000000" w:themeColor="text1"/>
          <w:lang w:val="en-US"/>
        </w:rPr>
      </w:pPr>
      <w:r w:rsidRPr="005E2B16">
        <w:rPr>
          <w:rFonts w:ascii="Times New Roman" w:hAnsi="Times New Roman" w:cs="Times New Roman"/>
          <w:sz w:val="24"/>
          <w:szCs w:val="24"/>
        </w:rPr>
        <w:t xml:space="preserve">From our dataset, we are able to access the data on </w:t>
      </w:r>
      <m:oMath>
        <m:r>
          <w:rPr>
            <w:rFonts w:ascii="Cambria Math" w:hAnsi="Times New Roman" w:cs="Times New Roman"/>
            <w:sz w:val="24"/>
            <w:szCs w:val="24"/>
          </w:rPr>
          <m:t>E(</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1</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r>
          <w:rPr>
            <w:rFonts w:ascii="Cambria Math" w:hAnsi="Cambria Math" w:cs="Times New Roman"/>
            <w:sz w:val="24"/>
            <w:szCs w:val="24"/>
            <w:lang w:val="en-US"/>
          </w:rPr>
          <m:t>=1)</m:t>
        </m:r>
      </m:oMath>
      <w:r w:rsidRPr="005E2B16">
        <w:rPr>
          <w:rFonts w:ascii="Times New Roman" w:eastAsiaTheme="minorEastAsia" w:hAnsi="Times New Roman" w:cs="Times New Roman"/>
          <w:sz w:val="24"/>
          <w:szCs w:val="24"/>
          <w:lang w:val="en-US"/>
        </w:rPr>
        <w:t xml:space="preserve">, </w:t>
      </w:r>
      <w:r w:rsidR="00F93030">
        <w:rPr>
          <w:rFonts w:ascii="Times New Roman" w:eastAsiaTheme="minorEastAsia" w:hAnsi="Times New Roman" w:cs="Times New Roman"/>
          <w:sz w:val="24"/>
          <w:szCs w:val="24"/>
          <w:lang w:val="en-US"/>
        </w:rPr>
        <w:t xml:space="preserve">however </w:t>
      </w:r>
      <w:r w:rsidRPr="005E2B16">
        <w:rPr>
          <w:rFonts w:ascii="Times New Roman" w:eastAsiaTheme="minorEastAsia" w:hAnsi="Times New Roman" w:cs="Times New Roman"/>
          <w:sz w:val="24"/>
          <w:szCs w:val="24"/>
          <w:lang w:val="en-US"/>
        </w:rPr>
        <w:t xml:space="preserve">we are constrained with accessing the equivalent data for </w:t>
      </w:r>
      <m:oMath>
        <m:r>
          <w:rPr>
            <w:rFonts w:ascii="Cambria Math" w:hAnsi="Times New Roman" w:cs="Times New Roman"/>
            <w:sz w:val="24"/>
            <w:szCs w:val="24"/>
          </w:rPr>
          <m:t>E(</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0</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r>
          <w:rPr>
            <w:rFonts w:ascii="Cambria Math" w:hAnsi="Cambria Math" w:cs="Times New Roman"/>
            <w:sz w:val="24"/>
            <w:szCs w:val="24"/>
            <w:lang w:val="en-US"/>
          </w:rPr>
          <m:t>=1)</m:t>
        </m:r>
      </m:oMath>
      <w:r w:rsidRPr="005E2B16">
        <w:rPr>
          <w:rFonts w:ascii="Times New Roman" w:eastAsiaTheme="minorEastAsia" w:hAnsi="Times New Roman" w:cs="Times New Roman"/>
          <w:sz w:val="24"/>
          <w:szCs w:val="24"/>
          <w:lang w:val="en-US"/>
        </w:rPr>
        <w:t xml:space="preserve">. </w:t>
      </w:r>
      <w:r w:rsidR="00845150" w:rsidRPr="005E2B16">
        <w:rPr>
          <w:rFonts w:ascii="Times New Roman" w:eastAsiaTheme="minorEastAsia" w:hAnsi="Times New Roman" w:cs="Times New Roman"/>
          <w:sz w:val="24"/>
          <w:szCs w:val="24"/>
          <w:lang w:val="en-US"/>
        </w:rPr>
        <w:t xml:space="preserve">To derive this data, we will </w:t>
      </w:r>
      <w:r w:rsidR="00845150" w:rsidRPr="005E2B16">
        <w:rPr>
          <w:rFonts w:ascii="Times New Roman" w:hAnsi="Times New Roman" w:cs="Times New Roman"/>
          <w:sz w:val="24"/>
          <w:szCs w:val="24"/>
          <w:lang w:val="en-US"/>
        </w:rPr>
        <w:t xml:space="preserve">require matching to clearly estimate the average effect of the treatment on the firms that </w:t>
      </w:r>
      <w:r w:rsidR="00F93030">
        <w:rPr>
          <w:rFonts w:ascii="Times New Roman" w:hAnsi="Times New Roman" w:cs="Times New Roman"/>
          <w:sz w:val="24"/>
          <w:szCs w:val="24"/>
          <w:lang w:val="en-US"/>
        </w:rPr>
        <w:t xml:space="preserve">benefited from incentives assuming the specific firms </w:t>
      </w:r>
      <w:r w:rsidR="00247D3C">
        <w:rPr>
          <w:rFonts w:ascii="Times New Roman" w:hAnsi="Times New Roman" w:cs="Times New Roman"/>
          <w:sz w:val="24"/>
          <w:szCs w:val="24"/>
          <w:lang w:val="en-US"/>
        </w:rPr>
        <w:t>had not</w:t>
      </w:r>
      <w:r w:rsidR="00845150" w:rsidRPr="005E2B16">
        <w:rPr>
          <w:rFonts w:ascii="Times New Roman" w:hAnsi="Times New Roman" w:cs="Times New Roman"/>
          <w:sz w:val="24"/>
          <w:szCs w:val="24"/>
          <w:lang w:val="en-US"/>
        </w:rPr>
        <w:t xml:space="preserve"> </w:t>
      </w:r>
      <w:r w:rsidR="00F93030">
        <w:rPr>
          <w:rFonts w:ascii="Times New Roman" w:hAnsi="Times New Roman" w:cs="Times New Roman"/>
          <w:sz w:val="24"/>
          <w:szCs w:val="24"/>
          <w:lang w:val="en-US"/>
        </w:rPr>
        <w:t>benefited</w:t>
      </w:r>
      <w:r w:rsidR="00845150" w:rsidRPr="005E2B16">
        <w:rPr>
          <w:rFonts w:ascii="Times New Roman" w:hAnsi="Times New Roman" w:cs="Times New Roman"/>
          <w:sz w:val="24"/>
          <w:szCs w:val="24"/>
          <w:lang w:val="en-US"/>
        </w:rPr>
        <w:t xml:space="preserve">. This approach compares the effect of incentives on firms’ productivity with those of matched non-participants (those that did not benefit from the incentives) where the matches are chosen on the basis of observed characteristics. </w:t>
      </w:r>
      <w:r w:rsidR="00F93030">
        <w:rPr>
          <w:rFonts w:ascii="Times New Roman" w:hAnsi="Times New Roman" w:cs="Times New Roman"/>
          <w:sz w:val="24"/>
          <w:szCs w:val="24"/>
          <w:lang w:val="en-US"/>
        </w:rPr>
        <w:t>T</w:t>
      </w:r>
      <w:r w:rsidR="00845150" w:rsidRPr="005E2B16">
        <w:rPr>
          <w:rFonts w:ascii="Times New Roman" w:hAnsi="Times New Roman" w:cs="Times New Roman"/>
          <w:sz w:val="24"/>
          <w:szCs w:val="24"/>
          <w:lang w:val="en-US"/>
        </w:rPr>
        <w:t xml:space="preserve">he covariates earlier discussed will </w:t>
      </w:r>
      <w:r w:rsidR="00F93030">
        <w:rPr>
          <w:rFonts w:ascii="Times New Roman" w:hAnsi="Times New Roman" w:cs="Times New Roman"/>
          <w:sz w:val="24"/>
          <w:szCs w:val="24"/>
          <w:lang w:val="en-US"/>
        </w:rPr>
        <w:t>be included as the observed variables for the matching process</w:t>
      </w:r>
      <w:r w:rsidR="00247D3C">
        <w:rPr>
          <w:rFonts w:ascii="Times New Roman" w:hAnsi="Times New Roman" w:cs="Times New Roman"/>
          <w:sz w:val="24"/>
          <w:szCs w:val="24"/>
          <w:lang w:val="en-US"/>
        </w:rPr>
        <w:t xml:space="preserve"> as </w:t>
      </w:r>
      <w:r w:rsidR="00856C27" w:rsidRPr="005E2B16">
        <w:rPr>
          <w:rFonts w:ascii="Times New Roman" w:hAnsi="Times New Roman" w:cs="Times New Roman"/>
          <w:sz w:val="24"/>
          <w:szCs w:val="24"/>
          <w:lang w:val="en-US"/>
        </w:rPr>
        <w:t xml:space="preserve">advanced by </w:t>
      </w:r>
      <w:r w:rsidR="00CD7534">
        <w:rPr>
          <w:rFonts w:ascii="Times New Roman" w:hAnsi="Times New Roman" w:cs="Times New Roman"/>
          <w:color w:val="000000" w:themeColor="text1"/>
          <w:sz w:val="24"/>
          <w:szCs w:val="24"/>
          <w:lang w:val="en-US"/>
        </w:rPr>
        <w:t>Rosenbaum and Rubin (1986) and</w:t>
      </w:r>
      <w:r w:rsidR="00CD7534" w:rsidRPr="00CD7534">
        <w:rPr>
          <w:rFonts w:ascii="Times New Roman" w:hAnsi="Times New Roman" w:cs="Times New Roman"/>
          <w:color w:val="000000" w:themeColor="text1"/>
          <w:sz w:val="24"/>
          <w:szCs w:val="24"/>
          <w:lang w:val="en-US"/>
        </w:rPr>
        <w:t xml:space="preserve"> </w:t>
      </w:r>
      <w:r w:rsidR="00CD7534" w:rsidRPr="005E2B16">
        <w:rPr>
          <w:rFonts w:ascii="Times New Roman" w:hAnsi="Times New Roman" w:cs="Times New Roman"/>
          <w:color w:val="000000" w:themeColor="text1"/>
          <w:sz w:val="24"/>
          <w:szCs w:val="24"/>
          <w:lang w:val="en-US"/>
        </w:rPr>
        <w:t>Caliendo and Kopeneig, 2008</w:t>
      </w:r>
    </w:p>
    <w:p w14:paraId="7F9FCE78" w14:textId="77777777" w:rsidR="00856C27" w:rsidRPr="005E2B16" w:rsidRDefault="00856C27" w:rsidP="00845150">
      <w:pPr>
        <w:autoSpaceDE w:val="0"/>
        <w:autoSpaceDN w:val="0"/>
        <w:adjustRightInd w:val="0"/>
        <w:spacing w:after="0" w:line="240" w:lineRule="auto"/>
        <w:jc w:val="both"/>
        <w:rPr>
          <w:rFonts w:ascii="Times New Roman" w:hAnsi="Times New Roman" w:cs="Times New Roman"/>
          <w:color w:val="000000" w:themeColor="text1"/>
          <w:lang w:val="en-US"/>
        </w:rPr>
      </w:pPr>
    </w:p>
    <w:p w14:paraId="76C66B84" w14:textId="197392F8" w:rsidR="00C5170C" w:rsidRPr="005E2B16" w:rsidRDefault="000719B7" w:rsidP="0084515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5E2B16">
        <w:rPr>
          <w:rFonts w:ascii="Times New Roman" w:hAnsi="Times New Roman" w:cs="Times New Roman"/>
          <w:color w:val="000000" w:themeColor="text1"/>
          <w:sz w:val="24"/>
          <w:szCs w:val="24"/>
          <w:lang w:val="en-US"/>
        </w:rPr>
        <w:t>A propensity score is</w:t>
      </w:r>
      <w:r w:rsidR="00CD7534">
        <w:rPr>
          <w:rFonts w:ascii="Times New Roman" w:hAnsi="Times New Roman" w:cs="Times New Roman"/>
          <w:color w:val="000000" w:themeColor="text1"/>
          <w:sz w:val="24"/>
          <w:szCs w:val="24"/>
          <w:lang w:val="en-US"/>
        </w:rPr>
        <w:t xml:space="preserve"> then</w:t>
      </w:r>
      <w:r w:rsidRPr="005E2B16">
        <w:rPr>
          <w:rFonts w:ascii="Times New Roman" w:hAnsi="Times New Roman" w:cs="Times New Roman"/>
          <w:color w:val="000000" w:themeColor="text1"/>
          <w:sz w:val="24"/>
          <w:szCs w:val="24"/>
          <w:lang w:val="en-US"/>
        </w:rPr>
        <w:t xml:space="preserve"> developed</w:t>
      </w:r>
      <w:r w:rsidR="00090B4A">
        <w:rPr>
          <w:rFonts w:ascii="Times New Roman" w:hAnsi="Times New Roman" w:cs="Times New Roman"/>
          <w:color w:val="000000" w:themeColor="text1"/>
          <w:sz w:val="24"/>
          <w:szCs w:val="24"/>
          <w:lang w:val="en-US"/>
        </w:rPr>
        <w:t xml:space="preserve"> based on the observed characteristics</w:t>
      </w:r>
      <w:r w:rsidRPr="005E2B16">
        <w:rPr>
          <w:rFonts w:ascii="Times New Roman" w:hAnsi="Times New Roman" w:cs="Times New Roman"/>
          <w:color w:val="000000" w:themeColor="text1"/>
          <w:sz w:val="24"/>
          <w:szCs w:val="24"/>
          <w:lang w:val="en-US"/>
        </w:rPr>
        <w:t xml:space="preserve">, </w:t>
      </w:r>
      <w:r w:rsidR="00090B4A">
        <w:rPr>
          <w:rFonts w:ascii="Times New Roman" w:hAnsi="Times New Roman" w:cs="Times New Roman"/>
          <w:color w:val="000000" w:themeColor="text1"/>
          <w:sz w:val="24"/>
          <w:szCs w:val="24"/>
          <w:lang w:val="en-US"/>
        </w:rPr>
        <w:t>such that the non-beneficiary firms that are similar to the beneficiaries are selected based on the similarity of their propensity scores</w:t>
      </w:r>
      <w:r w:rsidRPr="005E2B16">
        <w:rPr>
          <w:rFonts w:ascii="Times New Roman" w:hAnsi="Times New Roman" w:cs="Times New Roman"/>
          <w:color w:val="000000" w:themeColor="text1"/>
          <w:sz w:val="24"/>
          <w:szCs w:val="24"/>
          <w:lang w:val="en-US"/>
        </w:rPr>
        <w:t xml:space="preserve">. The propensity score is </w:t>
      </w:r>
      <w:r w:rsidR="00090B4A">
        <w:rPr>
          <w:rFonts w:ascii="Times New Roman" w:hAnsi="Times New Roman" w:cs="Times New Roman"/>
          <w:color w:val="000000" w:themeColor="text1"/>
          <w:sz w:val="24"/>
          <w:szCs w:val="24"/>
          <w:lang w:val="en-US"/>
        </w:rPr>
        <w:t xml:space="preserve">computed </w:t>
      </w:r>
      <w:r w:rsidRPr="005E2B16">
        <w:rPr>
          <w:rFonts w:ascii="Times New Roman" w:hAnsi="Times New Roman" w:cs="Times New Roman"/>
          <w:color w:val="000000" w:themeColor="text1"/>
          <w:sz w:val="24"/>
          <w:szCs w:val="24"/>
          <w:lang w:val="en-US"/>
        </w:rPr>
        <w:t xml:space="preserve">based on a firm’s probability to </w:t>
      </w:r>
      <w:r w:rsidR="00775A99">
        <w:rPr>
          <w:rFonts w:ascii="Times New Roman" w:hAnsi="Times New Roman" w:cs="Times New Roman"/>
          <w:color w:val="000000" w:themeColor="text1"/>
          <w:sz w:val="24"/>
          <w:szCs w:val="24"/>
          <w:lang w:val="en-US"/>
        </w:rPr>
        <w:t>benefit from fiscal incentives,</w:t>
      </w:r>
      <w:r w:rsidRPr="005E2B16">
        <w:rPr>
          <w:rFonts w:ascii="Times New Roman" w:hAnsi="Times New Roman" w:cs="Times New Roman"/>
          <w:color w:val="000000" w:themeColor="text1"/>
          <w:sz w:val="24"/>
          <w:szCs w:val="24"/>
          <w:lang w:val="en-US"/>
        </w:rPr>
        <w:t xml:space="preserve"> which is estimated using a </w:t>
      </w:r>
      <w:r w:rsidR="00090B4A">
        <w:rPr>
          <w:rFonts w:ascii="Times New Roman" w:hAnsi="Times New Roman" w:cs="Times New Roman"/>
          <w:color w:val="000000" w:themeColor="text1"/>
          <w:sz w:val="24"/>
          <w:szCs w:val="24"/>
          <w:lang w:val="en-US"/>
        </w:rPr>
        <w:t xml:space="preserve">logistic regression </w:t>
      </w:r>
      <w:r w:rsidRPr="005E2B16">
        <w:rPr>
          <w:rFonts w:ascii="Times New Roman" w:hAnsi="Times New Roman" w:cs="Times New Roman"/>
          <w:color w:val="000000" w:themeColor="text1"/>
          <w:sz w:val="24"/>
          <w:szCs w:val="24"/>
          <w:lang w:val="en-US"/>
        </w:rPr>
        <w:t xml:space="preserve">model. </w:t>
      </w:r>
    </w:p>
    <w:p w14:paraId="64891CE7" w14:textId="77777777" w:rsidR="00C5170C" w:rsidRPr="005E2B16" w:rsidRDefault="00C5170C" w:rsidP="0084515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251B4BD1" w14:textId="6902DBF8" w:rsidR="00C5170C" w:rsidRPr="005E2B16" w:rsidRDefault="000719B7" w:rsidP="0084515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5E2B16">
        <w:rPr>
          <w:rFonts w:ascii="Times New Roman" w:hAnsi="Times New Roman" w:cs="Times New Roman"/>
          <w:color w:val="000000" w:themeColor="text1"/>
          <w:sz w:val="24"/>
          <w:szCs w:val="24"/>
          <w:lang w:val="en-US"/>
        </w:rPr>
        <w:t>It is important to state th</w:t>
      </w:r>
      <w:r w:rsidR="00090B4A">
        <w:rPr>
          <w:rFonts w:ascii="Times New Roman" w:hAnsi="Times New Roman" w:cs="Times New Roman"/>
          <w:color w:val="000000" w:themeColor="text1"/>
          <w:sz w:val="24"/>
          <w:szCs w:val="24"/>
          <w:lang w:val="en-US"/>
        </w:rPr>
        <w:t xml:space="preserve">at the </w:t>
      </w:r>
      <w:r w:rsidRPr="005E2B16">
        <w:rPr>
          <w:rFonts w:ascii="Times New Roman" w:hAnsi="Times New Roman" w:cs="Times New Roman"/>
          <w:color w:val="000000" w:themeColor="text1"/>
          <w:sz w:val="24"/>
          <w:szCs w:val="24"/>
          <w:lang w:val="en-US"/>
        </w:rPr>
        <w:t xml:space="preserve">underlining </w:t>
      </w:r>
      <w:r w:rsidR="00606727" w:rsidRPr="005E2B16">
        <w:rPr>
          <w:rFonts w:ascii="Times New Roman" w:hAnsi="Times New Roman" w:cs="Times New Roman"/>
          <w:color w:val="000000" w:themeColor="text1"/>
          <w:sz w:val="24"/>
          <w:szCs w:val="24"/>
          <w:lang w:val="en-US"/>
        </w:rPr>
        <w:t>assumptions guiding the PSM analysis</w:t>
      </w:r>
      <w:r w:rsidR="00606727">
        <w:rPr>
          <w:rFonts w:ascii="Times New Roman" w:hAnsi="Times New Roman" w:cs="Times New Roman"/>
          <w:color w:val="000000" w:themeColor="text1"/>
          <w:sz w:val="24"/>
          <w:szCs w:val="24"/>
          <w:lang w:val="en-US"/>
        </w:rPr>
        <w:t xml:space="preserve"> include</w:t>
      </w:r>
      <w:r w:rsidR="00090B4A">
        <w:rPr>
          <w:rFonts w:ascii="Times New Roman" w:hAnsi="Times New Roman" w:cs="Times New Roman"/>
          <w:color w:val="000000" w:themeColor="text1"/>
          <w:sz w:val="24"/>
          <w:szCs w:val="24"/>
          <w:lang w:val="en-US"/>
        </w:rPr>
        <w:t xml:space="preserve">: </w:t>
      </w:r>
      <w:r w:rsidR="00C5170C" w:rsidRPr="005E2B16">
        <w:rPr>
          <w:rFonts w:ascii="Times New Roman" w:hAnsi="Times New Roman" w:cs="Times New Roman"/>
          <w:color w:val="000000" w:themeColor="text1"/>
          <w:sz w:val="24"/>
          <w:szCs w:val="24"/>
          <w:lang w:val="en-US"/>
        </w:rPr>
        <w:t>the cond</w:t>
      </w:r>
      <w:r w:rsidR="00C5169F" w:rsidRPr="005E2B16">
        <w:rPr>
          <w:rFonts w:ascii="Times New Roman" w:hAnsi="Times New Roman" w:cs="Times New Roman"/>
          <w:color w:val="000000" w:themeColor="text1"/>
          <w:sz w:val="24"/>
          <w:szCs w:val="24"/>
          <w:lang w:val="en-US"/>
        </w:rPr>
        <w:t>itional independence assumption, which</w:t>
      </w:r>
      <w:r w:rsidR="00C5170C" w:rsidRPr="005E2B16">
        <w:rPr>
          <w:rFonts w:ascii="Times New Roman" w:hAnsi="Times New Roman" w:cs="Times New Roman"/>
          <w:color w:val="000000" w:themeColor="text1"/>
          <w:sz w:val="24"/>
          <w:szCs w:val="24"/>
          <w:lang w:val="en-US"/>
        </w:rPr>
        <w:t xml:space="preserve"> </w:t>
      </w:r>
      <w:r w:rsidR="00090B4A">
        <w:rPr>
          <w:rFonts w:ascii="Times New Roman" w:hAnsi="Times New Roman" w:cs="Times New Roman"/>
          <w:color w:val="000000" w:themeColor="text1"/>
          <w:sz w:val="24"/>
          <w:szCs w:val="24"/>
          <w:lang w:val="en-US"/>
        </w:rPr>
        <w:t xml:space="preserve">states </w:t>
      </w:r>
      <w:r w:rsidR="00C5170C" w:rsidRPr="005E2B16">
        <w:rPr>
          <w:rFonts w:ascii="Times New Roman" w:hAnsi="Times New Roman" w:cs="Times New Roman"/>
          <w:color w:val="000000" w:themeColor="text1"/>
          <w:sz w:val="24"/>
          <w:szCs w:val="24"/>
          <w:lang w:val="en-US"/>
        </w:rPr>
        <w:t>that potential outcomes for non-</w:t>
      </w:r>
      <w:r w:rsidR="00090B4A">
        <w:rPr>
          <w:rFonts w:ascii="Times New Roman" w:hAnsi="Times New Roman" w:cs="Times New Roman"/>
          <w:color w:val="000000" w:themeColor="text1"/>
          <w:sz w:val="24"/>
          <w:szCs w:val="24"/>
          <w:lang w:val="en-US"/>
        </w:rPr>
        <w:t xml:space="preserve">beneficiary firms </w:t>
      </w:r>
      <w:r w:rsidR="00C5170C" w:rsidRPr="005E2B16">
        <w:rPr>
          <w:rFonts w:ascii="Times New Roman" w:hAnsi="Times New Roman" w:cs="Times New Roman"/>
          <w:color w:val="000000" w:themeColor="text1"/>
          <w:sz w:val="24"/>
          <w:szCs w:val="24"/>
          <w:lang w:val="en-US"/>
        </w:rPr>
        <w:t>are independent of the</w:t>
      </w:r>
      <w:r w:rsidR="00090B4A">
        <w:rPr>
          <w:rFonts w:ascii="Times New Roman" w:hAnsi="Times New Roman" w:cs="Times New Roman"/>
          <w:color w:val="000000" w:themeColor="text1"/>
          <w:sz w:val="24"/>
          <w:szCs w:val="24"/>
          <w:lang w:val="en-US"/>
        </w:rPr>
        <w:t>ir</w:t>
      </w:r>
      <w:r w:rsidR="00C5170C" w:rsidRPr="005E2B16">
        <w:rPr>
          <w:rFonts w:ascii="Times New Roman" w:hAnsi="Times New Roman" w:cs="Times New Roman"/>
          <w:color w:val="000000" w:themeColor="text1"/>
          <w:sz w:val="24"/>
          <w:szCs w:val="24"/>
          <w:lang w:val="en-US"/>
        </w:rPr>
        <w:t xml:space="preserve"> participation status</w:t>
      </w:r>
      <w:r w:rsidR="00090B4A">
        <w:rPr>
          <w:rFonts w:ascii="Times New Roman" w:hAnsi="Times New Roman" w:cs="Times New Roman"/>
          <w:color w:val="000000" w:themeColor="text1"/>
          <w:sz w:val="24"/>
          <w:szCs w:val="24"/>
          <w:lang w:val="en-US"/>
        </w:rPr>
        <w:t>,</w:t>
      </w:r>
      <w:r w:rsidR="00C5170C" w:rsidRPr="005E2B16">
        <w:rPr>
          <w:rFonts w:ascii="Times New Roman" w:hAnsi="Times New Roman" w:cs="Times New Roman"/>
          <w:color w:val="000000" w:themeColor="text1"/>
          <w:sz w:val="24"/>
          <w:szCs w:val="24"/>
          <w:lang w:val="en-US"/>
        </w:rPr>
        <w:t xml:space="preserve"> given a set of observable covariates “X”. </w:t>
      </w:r>
    </w:p>
    <w:p w14:paraId="39EA8C1E" w14:textId="77777777" w:rsidR="00C5170C" w:rsidRPr="005E2B16" w:rsidRDefault="00C5170C" w:rsidP="0084515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760E3509" w14:textId="6B101050" w:rsidR="00C5170C" w:rsidRPr="005E2B16" w:rsidRDefault="00C5170C" w:rsidP="00C5169F">
      <w:pPr>
        <w:autoSpaceDE w:val="0"/>
        <w:autoSpaceDN w:val="0"/>
        <w:adjustRightInd w:val="0"/>
        <w:spacing w:after="0" w:line="240" w:lineRule="auto"/>
        <w:jc w:val="center"/>
        <w:rPr>
          <w:rFonts w:ascii="Times New Roman" w:hAnsi="Times New Roman" w:cs="Times New Roman"/>
          <w:i/>
          <w:color w:val="000000" w:themeColor="text1"/>
          <w:sz w:val="24"/>
          <w:szCs w:val="24"/>
          <w:lang w:val="en-US"/>
        </w:rPr>
      </w:pPr>
      <w:r w:rsidRPr="005E2B16">
        <w:rPr>
          <w:rFonts w:ascii="Times New Roman" w:hAnsi="Times New Roman" w:cs="Times New Roman"/>
          <w:i/>
          <w:color w:val="000000" w:themeColor="text1"/>
          <w:sz w:val="24"/>
          <w:szCs w:val="24"/>
          <w:lang w:val="en-US"/>
        </w:rPr>
        <w:t xml:space="preserve">i.e.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0</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r>
          <w:rPr>
            <w:rFonts w:ascii="Cambria Math" w:hAnsi="Cambria Math" w:cs="Times New Roman"/>
            <w:sz w:val="24"/>
            <w:szCs w:val="24"/>
            <w:lang w:val="en-US"/>
          </w:rPr>
          <m:t>|X</m:t>
        </m:r>
      </m:oMath>
    </w:p>
    <w:p w14:paraId="4456AA8B" w14:textId="77777777" w:rsidR="00C5170C" w:rsidRPr="005E2B16" w:rsidRDefault="00C5170C" w:rsidP="0084515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225BF4B7" w14:textId="4D6CFCBE" w:rsidR="00305880" w:rsidRPr="005E2B16" w:rsidRDefault="00C5170C" w:rsidP="00845150">
      <w:pPr>
        <w:autoSpaceDE w:val="0"/>
        <w:autoSpaceDN w:val="0"/>
        <w:adjustRightInd w:val="0"/>
        <w:spacing w:after="0" w:line="240" w:lineRule="auto"/>
        <w:jc w:val="both"/>
        <w:rPr>
          <w:rFonts w:ascii="Times New Roman" w:hAnsi="Times New Roman" w:cs="Times New Roman"/>
          <w:sz w:val="24"/>
          <w:szCs w:val="24"/>
        </w:rPr>
      </w:pPr>
      <w:r w:rsidRPr="005E2B16">
        <w:rPr>
          <w:rFonts w:ascii="Times New Roman" w:hAnsi="Times New Roman" w:cs="Times New Roman"/>
          <w:color w:val="000000" w:themeColor="text1"/>
          <w:sz w:val="24"/>
          <w:szCs w:val="24"/>
          <w:lang w:val="en-US"/>
        </w:rPr>
        <w:t>Hence</w:t>
      </w:r>
      <w:r w:rsidR="00305880" w:rsidRPr="005E2B16">
        <w:rPr>
          <w:rFonts w:ascii="Times New Roman" w:hAnsi="Times New Roman" w:cs="Times New Roman"/>
          <w:color w:val="000000" w:themeColor="text1"/>
          <w:sz w:val="24"/>
          <w:szCs w:val="24"/>
          <w:lang w:val="en-US"/>
        </w:rPr>
        <w:t>, a</w:t>
      </w:r>
      <w:r w:rsidRPr="005E2B16">
        <w:rPr>
          <w:rFonts w:ascii="Times New Roman" w:hAnsi="Times New Roman" w:cs="Times New Roman"/>
          <w:color w:val="000000" w:themeColor="text1"/>
          <w:sz w:val="24"/>
          <w:szCs w:val="24"/>
          <w:lang w:val="en-US"/>
        </w:rPr>
        <w:t xml:space="preserve">fter adjusting for observable differences, the mean of the potential </w:t>
      </w:r>
      <w:r w:rsidR="00305880" w:rsidRPr="005E2B16">
        <w:rPr>
          <w:rFonts w:ascii="Times New Roman" w:hAnsi="Times New Roman" w:cs="Times New Roman"/>
          <w:color w:val="000000" w:themeColor="text1"/>
          <w:sz w:val="24"/>
          <w:szCs w:val="24"/>
          <w:lang w:val="en-US"/>
        </w:rPr>
        <w:t xml:space="preserve">outcome (i.e. productivity of the firm) is the same for both the participating and non-participating group (i.e. </w:t>
      </w:r>
      <w:r w:rsidR="00305880" w:rsidRPr="005E2B16">
        <w:rPr>
          <w:rFonts w:ascii="Times New Roman" w:hAnsi="Times New Roman" w:cs="Times New Roman"/>
          <w:sz w:val="24"/>
          <w:szCs w:val="24"/>
        </w:rPr>
        <w:t xml:space="preserve">P = 1 and P = 0). This condition </w:t>
      </w:r>
      <w:r w:rsidR="00090B4A">
        <w:rPr>
          <w:rFonts w:ascii="Times New Roman" w:hAnsi="Times New Roman" w:cs="Times New Roman"/>
          <w:sz w:val="24"/>
          <w:szCs w:val="24"/>
        </w:rPr>
        <w:t xml:space="preserve">allows </w:t>
      </w:r>
      <w:r w:rsidR="00305880" w:rsidRPr="005E2B16">
        <w:rPr>
          <w:rFonts w:ascii="Times New Roman" w:hAnsi="Times New Roman" w:cs="Times New Roman"/>
          <w:sz w:val="24"/>
          <w:szCs w:val="24"/>
        </w:rPr>
        <w:t>for the use of matched non-</w:t>
      </w:r>
      <w:r w:rsidR="00090B4A">
        <w:rPr>
          <w:rFonts w:ascii="Times New Roman" w:hAnsi="Times New Roman" w:cs="Times New Roman"/>
          <w:sz w:val="24"/>
          <w:szCs w:val="24"/>
        </w:rPr>
        <w:t xml:space="preserve">beneficiary </w:t>
      </w:r>
      <w:r w:rsidR="00305880" w:rsidRPr="005E2B16">
        <w:rPr>
          <w:rFonts w:ascii="Times New Roman" w:hAnsi="Times New Roman" w:cs="Times New Roman"/>
          <w:sz w:val="24"/>
          <w:szCs w:val="24"/>
        </w:rPr>
        <w:t xml:space="preserve">firms to measure outcome of </w:t>
      </w:r>
      <w:r w:rsidR="00090B4A">
        <w:rPr>
          <w:rFonts w:ascii="Times New Roman" w:hAnsi="Times New Roman" w:cs="Times New Roman"/>
          <w:sz w:val="24"/>
          <w:szCs w:val="24"/>
        </w:rPr>
        <w:t xml:space="preserve">beneficiary </w:t>
      </w:r>
      <w:r w:rsidR="00305880" w:rsidRPr="005E2B16">
        <w:rPr>
          <w:rFonts w:ascii="Times New Roman" w:hAnsi="Times New Roman" w:cs="Times New Roman"/>
          <w:sz w:val="24"/>
          <w:szCs w:val="24"/>
        </w:rPr>
        <w:t>firms</w:t>
      </w:r>
      <w:r w:rsidR="00090B4A">
        <w:rPr>
          <w:rFonts w:ascii="Times New Roman" w:hAnsi="Times New Roman" w:cs="Times New Roman"/>
          <w:sz w:val="24"/>
          <w:szCs w:val="24"/>
        </w:rPr>
        <w:t>,</w:t>
      </w:r>
      <w:r w:rsidR="00305880" w:rsidRPr="005E2B16">
        <w:rPr>
          <w:rFonts w:ascii="Times New Roman" w:hAnsi="Times New Roman" w:cs="Times New Roman"/>
          <w:sz w:val="24"/>
          <w:szCs w:val="24"/>
        </w:rPr>
        <w:t xml:space="preserve"> had they not </w:t>
      </w:r>
      <w:r w:rsidR="00090B4A">
        <w:rPr>
          <w:rFonts w:ascii="Times New Roman" w:hAnsi="Times New Roman" w:cs="Times New Roman"/>
          <w:sz w:val="24"/>
          <w:szCs w:val="24"/>
        </w:rPr>
        <w:t>benefited from the programme</w:t>
      </w:r>
      <w:r w:rsidR="00305880" w:rsidRPr="005E2B16">
        <w:rPr>
          <w:rFonts w:ascii="Times New Roman" w:hAnsi="Times New Roman" w:cs="Times New Roman"/>
          <w:sz w:val="24"/>
          <w:szCs w:val="24"/>
        </w:rPr>
        <w:t xml:space="preserve">. </w:t>
      </w:r>
    </w:p>
    <w:p w14:paraId="67197E5D" w14:textId="77777777" w:rsidR="00305880" w:rsidRPr="005E2B16" w:rsidRDefault="00305880" w:rsidP="00845150">
      <w:pPr>
        <w:autoSpaceDE w:val="0"/>
        <w:autoSpaceDN w:val="0"/>
        <w:adjustRightInd w:val="0"/>
        <w:spacing w:after="0" w:line="240" w:lineRule="auto"/>
        <w:jc w:val="both"/>
        <w:rPr>
          <w:rFonts w:ascii="Times New Roman" w:hAnsi="Times New Roman" w:cs="Times New Roman"/>
          <w:sz w:val="24"/>
          <w:szCs w:val="24"/>
        </w:rPr>
      </w:pPr>
    </w:p>
    <w:p w14:paraId="5811ADE5" w14:textId="5147D165" w:rsidR="00305880" w:rsidRPr="005E2B16" w:rsidRDefault="00305880" w:rsidP="00845150">
      <w:pPr>
        <w:autoSpaceDE w:val="0"/>
        <w:autoSpaceDN w:val="0"/>
        <w:adjustRightInd w:val="0"/>
        <w:spacing w:after="0" w:line="240" w:lineRule="auto"/>
        <w:jc w:val="both"/>
        <w:rPr>
          <w:rFonts w:ascii="Times New Roman" w:hAnsi="Times New Roman" w:cs="Times New Roman"/>
          <w:sz w:val="24"/>
          <w:szCs w:val="24"/>
        </w:rPr>
      </w:pPr>
      <w:r w:rsidRPr="005E2B16">
        <w:rPr>
          <w:rFonts w:ascii="Times New Roman" w:hAnsi="Times New Roman" w:cs="Times New Roman"/>
          <w:sz w:val="24"/>
          <w:szCs w:val="24"/>
        </w:rPr>
        <w:t xml:space="preserve">Hence, </w:t>
      </w:r>
    </w:p>
    <w:p w14:paraId="6391FFE9" w14:textId="4425047D" w:rsidR="00305880" w:rsidRPr="005E2B16" w:rsidRDefault="00C5169F" w:rsidP="00845150">
      <w:pPr>
        <w:autoSpaceDE w:val="0"/>
        <w:autoSpaceDN w:val="0"/>
        <w:adjustRightInd w:val="0"/>
        <w:spacing w:after="0" w:line="240" w:lineRule="auto"/>
        <w:jc w:val="both"/>
        <w:rPr>
          <w:rFonts w:ascii="Times New Roman" w:hAnsi="Times New Roman" w:cs="Times New Roman"/>
        </w:rPr>
      </w:pPr>
      <m:oMathPara>
        <m:oMath>
          <m:r>
            <w:rPr>
              <w:rFonts w:ascii="Cambria Math" w:hAnsi="Times New Roman" w:cs="Times New Roman"/>
              <w:sz w:val="24"/>
              <w:szCs w:val="24"/>
            </w:rPr>
            <m:t>(E</m:t>
          </m:r>
          <m:d>
            <m:dPr>
              <m:ctrlPr>
                <w:rPr>
                  <w:rFonts w:ascii="Cambria Math" w:hAnsi="Times New Roman"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0</m:t>
                  </m:r>
                </m:sup>
              </m:sSubSup>
              <m:ctrlPr>
                <w:rPr>
                  <w:rFonts w:ascii="Cambria Math" w:hAnsi="Cambria Math" w:cs="Times New Roman"/>
                  <w:i/>
                  <w:sz w:val="24"/>
                  <w:szCs w:val="24"/>
                  <w:lang w:val="en-US"/>
                </w:rPr>
              </m:ctrlPr>
            </m:e>
            <m:e>
              <m:r>
                <w:rPr>
                  <w:rFonts w:ascii="Cambria Math" w:hAnsi="Cambria Math" w:cs="Times New Roman"/>
                  <w:sz w:val="24"/>
                  <w:szCs w:val="24"/>
                  <w:lang w:val="en-US"/>
                </w:rPr>
                <m:t>P=1, X</m:t>
              </m:r>
              <m:ctrlPr>
                <w:rPr>
                  <w:rFonts w:ascii="Cambria Math" w:hAnsi="Cambria Math" w:cs="Times New Roman"/>
                  <w:i/>
                  <w:sz w:val="24"/>
                  <w:szCs w:val="24"/>
                  <w:lang w:val="en-US"/>
                </w:rPr>
              </m:ctrlPr>
            </m:e>
          </m:d>
          <m:r>
            <w:rPr>
              <w:rFonts w:ascii="Cambria Math" w:hAnsi="Cambria Math" w:cs="Times New Roman"/>
              <w:sz w:val="24"/>
              <w:szCs w:val="24"/>
              <w:lang w:val="en-US"/>
            </w:rPr>
            <m:t>=</m:t>
          </m:r>
          <m:r>
            <w:rPr>
              <w:rFonts w:ascii="Cambria Math" w:hAnsi="Times New Roman" w:cs="Times New Roman"/>
              <w:sz w:val="24"/>
              <w:szCs w:val="24"/>
            </w:rPr>
            <m:t>E</m:t>
          </m:r>
          <m:d>
            <m:dPr>
              <m:ctrlPr>
                <w:rPr>
                  <w:rFonts w:ascii="Cambria Math" w:hAnsi="Times New Roman"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i</m:t>
                  </m:r>
                </m:sub>
                <m:sup>
                  <m:r>
                    <w:rPr>
                      <w:rFonts w:ascii="Cambria Math" w:hAnsi="Cambria Math" w:cs="Times New Roman"/>
                      <w:sz w:val="24"/>
                      <w:szCs w:val="24"/>
                      <w:lang w:val="en-US"/>
                    </w:rPr>
                    <m:t>0</m:t>
                  </m:r>
                </m:sup>
              </m:sSubSup>
              <m:ctrlPr>
                <w:rPr>
                  <w:rFonts w:ascii="Cambria Math" w:hAnsi="Cambria Math" w:cs="Times New Roman"/>
                  <w:i/>
                  <w:sz w:val="24"/>
                  <w:szCs w:val="24"/>
                  <w:lang w:val="en-US"/>
                </w:rPr>
              </m:ctrlPr>
            </m:e>
            <m:e>
              <m:r>
                <w:rPr>
                  <w:rFonts w:ascii="Cambria Math" w:hAnsi="Cambria Math" w:cs="Times New Roman"/>
                  <w:sz w:val="24"/>
                  <w:szCs w:val="24"/>
                  <w:lang w:val="en-US"/>
                </w:rPr>
                <m:t>P=0, X</m:t>
              </m:r>
              <m:ctrlPr>
                <w:rPr>
                  <w:rFonts w:ascii="Cambria Math" w:hAnsi="Cambria Math" w:cs="Times New Roman"/>
                  <w:i/>
                  <w:sz w:val="24"/>
                  <w:szCs w:val="24"/>
                  <w:lang w:val="en-US"/>
                </w:rPr>
              </m:ctrlPr>
            </m:e>
          </m:d>
          <m:r>
            <w:rPr>
              <w:rFonts w:ascii="Cambria Math" w:hAnsi="Cambria Math" w:cs="Times New Roman"/>
              <w:sz w:val="24"/>
              <w:szCs w:val="24"/>
              <w:lang w:val="en-US"/>
            </w:rPr>
            <m:t>)</m:t>
          </m:r>
        </m:oMath>
      </m:oMathPara>
    </w:p>
    <w:p w14:paraId="731374F8" w14:textId="77777777" w:rsidR="00305880" w:rsidRPr="005E2B16" w:rsidRDefault="00305880" w:rsidP="00845150">
      <w:pPr>
        <w:autoSpaceDE w:val="0"/>
        <w:autoSpaceDN w:val="0"/>
        <w:adjustRightInd w:val="0"/>
        <w:spacing w:after="0" w:line="240" w:lineRule="auto"/>
        <w:jc w:val="both"/>
        <w:rPr>
          <w:rFonts w:ascii="Times New Roman" w:hAnsi="Times New Roman" w:cs="Times New Roman"/>
        </w:rPr>
      </w:pPr>
    </w:p>
    <w:p w14:paraId="2BFACE64" w14:textId="35F207A8" w:rsidR="000719B7" w:rsidRPr="005E2B16" w:rsidRDefault="00C5169F" w:rsidP="0084515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5E2B16">
        <w:rPr>
          <w:rFonts w:ascii="Times New Roman" w:hAnsi="Times New Roman" w:cs="Times New Roman"/>
          <w:color w:val="000000" w:themeColor="text1"/>
          <w:sz w:val="24"/>
          <w:szCs w:val="24"/>
          <w:lang w:val="en-US"/>
        </w:rPr>
        <w:t xml:space="preserve">The second assumption is the common support condition, which is based on the expectation that for each value of “X”, there is a positive probability of either being treated or untreated. </w:t>
      </w:r>
      <w:r w:rsidR="009379E1" w:rsidRPr="005E2B16">
        <w:rPr>
          <w:rFonts w:ascii="Times New Roman" w:hAnsi="Times New Roman" w:cs="Times New Roman"/>
          <w:color w:val="000000" w:themeColor="text1"/>
          <w:sz w:val="24"/>
          <w:szCs w:val="24"/>
          <w:lang w:val="en-US"/>
        </w:rPr>
        <w:t xml:space="preserve">This assumption supports the overlap </w:t>
      </w:r>
      <w:r w:rsidR="009F52C3" w:rsidRPr="005E2B16">
        <w:rPr>
          <w:rFonts w:ascii="Times New Roman" w:hAnsi="Times New Roman" w:cs="Times New Roman"/>
          <w:color w:val="000000" w:themeColor="text1"/>
          <w:sz w:val="24"/>
          <w:szCs w:val="24"/>
          <w:lang w:val="en-US"/>
        </w:rPr>
        <w:t>condition</w:t>
      </w:r>
      <w:r w:rsidR="009F52C3">
        <w:rPr>
          <w:rFonts w:ascii="Times New Roman" w:hAnsi="Times New Roman" w:cs="Times New Roman"/>
          <w:color w:val="000000" w:themeColor="text1"/>
          <w:sz w:val="24"/>
          <w:szCs w:val="24"/>
          <w:lang w:val="en-US"/>
        </w:rPr>
        <w:t>;</w:t>
      </w:r>
      <w:r w:rsidR="009379E1" w:rsidRPr="005E2B16">
        <w:rPr>
          <w:rFonts w:ascii="Times New Roman" w:hAnsi="Times New Roman" w:cs="Times New Roman"/>
          <w:color w:val="000000" w:themeColor="text1"/>
          <w:sz w:val="24"/>
          <w:szCs w:val="24"/>
          <w:lang w:val="en-US"/>
        </w:rPr>
        <w:t xml:space="preserve"> such that the proportion of treated and untreated firms must be greater than “0”</w:t>
      </w:r>
      <w:r w:rsidR="00D56822" w:rsidRPr="005E2B16">
        <w:rPr>
          <w:rFonts w:ascii="Times New Roman" w:hAnsi="Times New Roman" w:cs="Times New Roman"/>
          <w:color w:val="000000" w:themeColor="text1"/>
          <w:sz w:val="24"/>
          <w:szCs w:val="24"/>
          <w:lang w:val="en-US"/>
        </w:rPr>
        <w:t xml:space="preserve"> </w:t>
      </w:r>
      <w:r w:rsidR="009379E1" w:rsidRPr="005E2B16">
        <w:rPr>
          <w:rFonts w:ascii="Times New Roman" w:hAnsi="Times New Roman" w:cs="Times New Roman"/>
          <w:color w:val="000000" w:themeColor="text1"/>
          <w:sz w:val="24"/>
          <w:szCs w:val="24"/>
          <w:lang w:val="en-US"/>
        </w:rPr>
        <w:t>for every possible value of “X”.</w:t>
      </w:r>
      <w:r w:rsidR="003241CD" w:rsidRPr="005E2B16">
        <w:rPr>
          <w:rFonts w:ascii="Times New Roman" w:hAnsi="Times New Roman" w:cs="Times New Roman"/>
          <w:color w:val="000000" w:themeColor="text1"/>
          <w:sz w:val="24"/>
          <w:szCs w:val="24"/>
          <w:lang w:val="en-US"/>
        </w:rPr>
        <w:t xml:space="preserve"> Hence, it ensures that there is a sufficient overlap in the characteristics of the treated and untreated firms to find adequate matches. </w:t>
      </w:r>
      <w:r w:rsidR="004D60EB" w:rsidRPr="005E2B16">
        <w:rPr>
          <w:rFonts w:ascii="TimesNewRomanPSMT" w:hAnsi="TimesNewRomanPSMT" w:cs="TimesNewRomanPSMT"/>
          <w:sz w:val="24"/>
          <w:szCs w:val="24"/>
        </w:rPr>
        <w:t xml:space="preserve">Once these two conditions are satisfied, the </w:t>
      </w:r>
      <w:r w:rsidR="00090B4A">
        <w:rPr>
          <w:rFonts w:ascii="TimesNewRomanPSMT" w:hAnsi="TimesNewRomanPSMT" w:cs="TimesNewRomanPSMT"/>
          <w:sz w:val="24"/>
          <w:szCs w:val="24"/>
        </w:rPr>
        <w:t xml:space="preserve">efficiency of the </w:t>
      </w:r>
      <w:r w:rsidR="004D60EB" w:rsidRPr="005E2B16">
        <w:rPr>
          <w:rFonts w:ascii="TimesNewRomanPSMT" w:hAnsi="TimesNewRomanPSMT" w:cs="TimesNewRomanPSMT"/>
          <w:sz w:val="24"/>
          <w:szCs w:val="24"/>
        </w:rPr>
        <w:t xml:space="preserve">treatment assignment </w:t>
      </w:r>
      <w:r w:rsidR="00090B4A">
        <w:rPr>
          <w:rFonts w:ascii="TimesNewRomanPSMT" w:hAnsi="TimesNewRomanPSMT" w:cs="TimesNewRomanPSMT"/>
          <w:sz w:val="24"/>
          <w:szCs w:val="24"/>
        </w:rPr>
        <w:t xml:space="preserve">is certain </w:t>
      </w:r>
      <w:r w:rsidR="00955604" w:rsidRPr="005E2B16">
        <w:rPr>
          <w:rFonts w:ascii="TimesNewRomanPSMT" w:hAnsi="TimesNewRomanPSMT" w:cs="TimesNewRomanPSMT"/>
          <w:sz w:val="24"/>
          <w:szCs w:val="24"/>
        </w:rPr>
        <w:t>(Rosenbaum and</w:t>
      </w:r>
      <w:r w:rsidR="004D60EB" w:rsidRPr="005E2B16">
        <w:rPr>
          <w:rFonts w:ascii="TimesNewRomanPSMT" w:hAnsi="TimesNewRomanPSMT" w:cs="TimesNewRomanPSMT"/>
          <w:sz w:val="24"/>
          <w:szCs w:val="24"/>
        </w:rPr>
        <w:t xml:space="preserve"> Rubin, 1983</w:t>
      </w:r>
      <w:r w:rsidR="00090B4A">
        <w:rPr>
          <w:rFonts w:ascii="TimesNewRomanPSMT" w:hAnsi="TimesNewRomanPSMT" w:cs="TimesNewRomanPSMT"/>
          <w:sz w:val="24"/>
          <w:szCs w:val="24"/>
        </w:rPr>
        <w:t xml:space="preserve">; </w:t>
      </w:r>
      <w:r w:rsidR="00090B4A">
        <w:rPr>
          <w:rFonts w:ascii="Times New Roman" w:hAnsi="Times New Roman" w:cs="Times New Roman"/>
          <w:color w:val="000000" w:themeColor="text1"/>
          <w:sz w:val="24"/>
          <w:szCs w:val="24"/>
          <w:lang w:val="en-US"/>
        </w:rPr>
        <w:t xml:space="preserve">Nkhata, Jumbe and Mwabumba, </w:t>
      </w:r>
      <w:r w:rsidR="00090B4A" w:rsidRPr="005E2B16">
        <w:rPr>
          <w:rFonts w:ascii="Times New Roman" w:hAnsi="Times New Roman" w:cs="Times New Roman"/>
          <w:color w:val="000000" w:themeColor="text1"/>
          <w:sz w:val="24"/>
          <w:szCs w:val="24"/>
          <w:lang w:val="en-US"/>
        </w:rPr>
        <w:t>2014</w:t>
      </w:r>
      <w:r w:rsidR="004D60EB" w:rsidRPr="005E2B16">
        <w:rPr>
          <w:rFonts w:ascii="TimesNewRomanPSMT" w:hAnsi="TimesNewRomanPSMT" w:cs="TimesNewRomanPSMT"/>
          <w:sz w:val="24"/>
          <w:szCs w:val="24"/>
        </w:rPr>
        <w:t>)</w:t>
      </w:r>
      <w:r w:rsidR="00E26C37" w:rsidRPr="005E2B16">
        <w:rPr>
          <w:rFonts w:ascii="TimesNewRomanPSMT" w:hAnsi="TimesNewRomanPSMT" w:cs="TimesNewRomanPSMT"/>
          <w:sz w:val="20"/>
          <w:szCs w:val="20"/>
        </w:rPr>
        <w:t xml:space="preserve">. </w:t>
      </w:r>
    </w:p>
    <w:p w14:paraId="5751D832" w14:textId="77777777" w:rsidR="006B5505" w:rsidRPr="005E2B16" w:rsidRDefault="006B5505" w:rsidP="0084515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3D5B39A8" w14:textId="707D0508" w:rsidR="00727B48" w:rsidRPr="005E2B16" w:rsidRDefault="00090B4A" w:rsidP="00090B4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apply different matching algorithms for robustness. They include </w:t>
      </w:r>
      <w:r w:rsidR="006B5505" w:rsidRPr="005E2B16">
        <w:rPr>
          <w:rFonts w:ascii="Times New Roman" w:hAnsi="Times New Roman" w:cs="Times New Roman"/>
          <w:sz w:val="24"/>
          <w:szCs w:val="24"/>
          <w:lang w:val="en-US"/>
        </w:rPr>
        <w:t>the nearest neighbor matching (NNM), the radius matching (RM</w:t>
      </w:r>
      <w:r w:rsidR="00A1002A" w:rsidRPr="005E2B16">
        <w:rPr>
          <w:rFonts w:ascii="Times New Roman" w:hAnsi="Times New Roman" w:cs="Times New Roman"/>
          <w:sz w:val="24"/>
          <w:szCs w:val="24"/>
          <w:lang w:val="en-US"/>
        </w:rPr>
        <w:t>)</w:t>
      </w:r>
      <w:r w:rsidR="00614B12" w:rsidRPr="005E2B16">
        <w:rPr>
          <w:rFonts w:ascii="Times New Roman" w:hAnsi="Times New Roman" w:cs="Times New Roman"/>
          <w:sz w:val="24"/>
          <w:szCs w:val="24"/>
          <w:lang w:val="en-US"/>
        </w:rPr>
        <w:t>,</w:t>
      </w:r>
      <w:r w:rsidR="00A1002A" w:rsidRPr="005E2B16">
        <w:rPr>
          <w:rFonts w:ascii="Times New Roman" w:hAnsi="Times New Roman" w:cs="Times New Roman"/>
          <w:sz w:val="24"/>
          <w:szCs w:val="24"/>
          <w:lang w:val="en-US"/>
        </w:rPr>
        <w:t xml:space="preserve"> </w:t>
      </w:r>
      <w:r w:rsidR="00612E58" w:rsidRPr="005E2B16">
        <w:rPr>
          <w:rFonts w:ascii="Times New Roman" w:hAnsi="Times New Roman" w:cs="Times New Roman"/>
          <w:sz w:val="24"/>
          <w:szCs w:val="24"/>
          <w:lang w:val="en-US"/>
        </w:rPr>
        <w:t>the kernel matching (KM)</w:t>
      </w:r>
      <w:r w:rsidR="00D56822" w:rsidRPr="005E2B16">
        <w:rPr>
          <w:rFonts w:ascii="Times New Roman" w:hAnsi="Times New Roman" w:cs="Times New Roman"/>
          <w:sz w:val="24"/>
          <w:szCs w:val="24"/>
          <w:lang w:val="en-US"/>
        </w:rPr>
        <w:t>,</w:t>
      </w:r>
      <w:r w:rsidR="00A1002A" w:rsidRPr="005E2B16">
        <w:rPr>
          <w:rFonts w:ascii="Times New Roman" w:hAnsi="Times New Roman" w:cs="Times New Roman"/>
          <w:sz w:val="24"/>
          <w:szCs w:val="24"/>
          <w:lang w:val="en-US"/>
        </w:rPr>
        <w:t xml:space="preserve"> and the stratification method (SM)</w:t>
      </w:r>
      <w:r w:rsidR="006B5505" w:rsidRPr="005E2B16">
        <w:rPr>
          <w:rFonts w:ascii="Times New Roman" w:hAnsi="Times New Roman" w:cs="Times New Roman"/>
          <w:sz w:val="24"/>
          <w:szCs w:val="24"/>
          <w:lang w:val="en-US"/>
        </w:rPr>
        <w:t xml:space="preserve">. The NNM </w:t>
      </w:r>
      <w:r>
        <w:rPr>
          <w:rFonts w:ascii="Times New Roman" w:hAnsi="Times New Roman" w:cs="Times New Roman"/>
          <w:sz w:val="24"/>
          <w:szCs w:val="24"/>
          <w:lang w:val="en-US"/>
        </w:rPr>
        <w:t>is focused</w:t>
      </w:r>
      <w:r w:rsidR="006B5505" w:rsidRPr="005E2B16">
        <w:rPr>
          <w:rFonts w:ascii="Times New Roman" w:hAnsi="Times New Roman" w:cs="Times New Roman"/>
          <w:sz w:val="24"/>
          <w:szCs w:val="24"/>
          <w:lang w:val="en-US"/>
        </w:rPr>
        <w:t xml:space="preserve"> on </w:t>
      </w:r>
      <w:r>
        <w:rPr>
          <w:rFonts w:ascii="Times New Roman" w:hAnsi="Times New Roman" w:cs="Times New Roman"/>
          <w:sz w:val="24"/>
          <w:szCs w:val="24"/>
          <w:lang w:val="en-US"/>
        </w:rPr>
        <w:t xml:space="preserve">comparing </w:t>
      </w:r>
      <w:r w:rsidR="006B5505" w:rsidRPr="005E2B16">
        <w:rPr>
          <w:rFonts w:ascii="Times New Roman" w:hAnsi="Times New Roman" w:cs="Times New Roman"/>
          <w:sz w:val="24"/>
          <w:szCs w:val="24"/>
          <w:lang w:val="en-US"/>
        </w:rPr>
        <w:t xml:space="preserve">the outcome of the </w:t>
      </w:r>
      <w:r>
        <w:rPr>
          <w:rFonts w:ascii="Times New Roman" w:hAnsi="Times New Roman" w:cs="Times New Roman"/>
          <w:sz w:val="24"/>
          <w:szCs w:val="24"/>
          <w:lang w:val="en-US"/>
        </w:rPr>
        <w:t xml:space="preserve">beneficiary firms </w:t>
      </w:r>
      <w:r w:rsidR="006B5505" w:rsidRPr="005E2B16">
        <w:rPr>
          <w:rFonts w:ascii="Times New Roman" w:hAnsi="Times New Roman" w:cs="Times New Roman"/>
          <w:sz w:val="24"/>
          <w:szCs w:val="24"/>
          <w:lang w:val="en-US"/>
        </w:rPr>
        <w:t>with the closest and most similar non-</w:t>
      </w:r>
      <w:r>
        <w:rPr>
          <w:rFonts w:ascii="Times New Roman" w:hAnsi="Times New Roman" w:cs="Times New Roman"/>
          <w:sz w:val="24"/>
          <w:szCs w:val="24"/>
          <w:lang w:val="en-US"/>
        </w:rPr>
        <w:t xml:space="preserve">beneficiary firms, based on their </w:t>
      </w:r>
      <w:r w:rsidR="006B5505" w:rsidRPr="005E2B16">
        <w:rPr>
          <w:rFonts w:ascii="Times New Roman" w:hAnsi="Times New Roman" w:cs="Times New Roman"/>
          <w:sz w:val="24"/>
          <w:szCs w:val="24"/>
          <w:lang w:val="en-US"/>
        </w:rPr>
        <w:t xml:space="preserve">propensity scores. </w:t>
      </w:r>
      <w:r>
        <w:rPr>
          <w:rFonts w:ascii="Times New Roman" w:hAnsi="Times New Roman" w:cs="Times New Roman"/>
          <w:sz w:val="24"/>
          <w:szCs w:val="24"/>
          <w:lang w:val="en-US"/>
        </w:rPr>
        <w:t>T</w:t>
      </w:r>
      <w:r w:rsidR="00612E58" w:rsidRPr="005E2B16">
        <w:rPr>
          <w:rFonts w:ascii="Times New Roman" w:hAnsi="Times New Roman" w:cs="Times New Roman"/>
          <w:sz w:val="24"/>
          <w:szCs w:val="24"/>
          <w:lang w:val="en-US"/>
        </w:rPr>
        <w:t xml:space="preserve">he </w:t>
      </w:r>
      <w:r w:rsidR="00232D8C" w:rsidRPr="005E2B16">
        <w:rPr>
          <w:rFonts w:ascii="Times New Roman" w:hAnsi="Times New Roman" w:cs="Times New Roman"/>
          <w:sz w:val="24"/>
          <w:szCs w:val="24"/>
          <w:lang w:val="en-US"/>
        </w:rPr>
        <w:t>RM</w:t>
      </w:r>
      <w:r w:rsidR="00612E58" w:rsidRPr="005E2B16">
        <w:rPr>
          <w:rFonts w:ascii="Times New Roman" w:hAnsi="Times New Roman" w:cs="Times New Roman"/>
          <w:sz w:val="24"/>
          <w:szCs w:val="24"/>
          <w:lang w:val="en-US"/>
        </w:rPr>
        <w:t xml:space="preserve"> is such that the distance between the treated observation and the control observation should fall within a specified radius (r). </w:t>
      </w:r>
      <w:r w:rsidR="007E7F28" w:rsidRPr="005E2B16">
        <w:rPr>
          <w:rFonts w:ascii="Times New Roman" w:hAnsi="Times New Roman" w:cs="Times New Roman"/>
          <w:sz w:val="24"/>
          <w:szCs w:val="24"/>
          <w:lang w:val="en-US"/>
        </w:rPr>
        <w:t xml:space="preserve">The KM is such that each treated observation “i” is matched (using the propensity scores) with other control observations that </w:t>
      </w:r>
      <w:r w:rsidR="00D56822" w:rsidRPr="005E2B16">
        <w:rPr>
          <w:rFonts w:ascii="Times New Roman" w:hAnsi="Times New Roman" w:cs="Times New Roman"/>
          <w:sz w:val="24"/>
          <w:szCs w:val="24"/>
          <w:lang w:val="en-US"/>
        </w:rPr>
        <w:t xml:space="preserve">have </w:t>
      </w:r>
      <w:r w:rsidR="007E7F28" w:rsidRPr="005E2B16">
        <w:rPr>
          <w:rFonts w:ascii="Times New Roman" w:hAnsi="Times New Roman" w:cs="Times New Roman"/>
          <w:sz w:val="24"/>
          <w:szCs w:val="24"/>
          <w:lang w:val="en-US"/>
        </w:rPr>
        <w:t xml:space="preserve">weights that are inversely proportional to the distance between the two groups (i.e. treated and control observations).  </w:t>
      </w:r>
      <w:r>
        <w:rPr>
          <w:rFonts w:ascii="Times New Roman" w:hAnsi="Times New Roman" w:cs="Times New Roman"/>
          <w:sz w:val="24"/>
          <w:szCs w:val="24"/>
          <w:lang w:val="en-US"/>
        </w:rPr>
        <w:t>While t</w:t>
      </w:r>
      <w:r w:rsidR="000A3776" w:rsidRPr="005E2B16">
        <w:rPr>
          <w:rFonts w:ascii="Times New Roman" w:hAnsi="Times New Roman" w:cs="Times New Roman"/>
          <w:sz w:val="24"/>
          <w:szCs w:val="24"/>
          <w:lang w:val="en-US"/>
        </w:rPr>
        <w:t>he SM approach is such that matching is based</w:t>
      </w:r>
      <w:r w:rsidR="00A55EC9">
        <w:rPr>
          <w:rFonts w:ascii="Times New Roman" w:hAnsi="Times New Roman" w:cs="Times New Roman"/>
          <w:sz w:val="24"/>
          <w:szCs w:val="24"/>
          <w:lang w:val="en-US"/>
        </w:rPr>
        <w:t xml:space="preserve"> on the intervals or blocks of </w:t>
      </w:r>
      <w:r w:rsidR="000A3776" w:rsidRPr="005E2B16">
        <w:rPr>
          <w:rFonts w:ascii="Times New Roman" w:hAnsi="Times New Roman" w:cs="Times New Roman"/>
          <w:sz w:val="24"/>
          <w:szCs w:val="24"/>
          <w:lang w:val="en-US"/>
        </w:rPr>
        <w:t>propensity scores.</w:t>
      </w:r>
      <w:r w:rsidR="00E00756" w:rsidRPr="005E2B16">
        <w:rPr>
          <w:rFonts w:ascii="Times New Roman" w:hAnsi="Times New Roman" w:cs="Times New Roman"/>
          <w:sz w:val="24"/>
          <w:szCs w:val="24"/>
          <w:lang w:val="en-US"/>
        </w:rPr>
        <w:t xml:space="preserve"> </w:t>
      </w:r>
    </w:p>
    <w:p w14:paraId="0DCE42B4" w14:textId="77777777" w:rsidR="00727B48" w:rsidRPr="005E2B16" w:rsidRDefault="00727B48" w:rsidP="00000028">
      <w:pPr>
        <w:spacing w:after="0" w:line="240" w:lineRule="auto"/>
        <w:jc w:val="both"/>
        <w:rPr>
          <w:rFonts w:ascii="Times New Roman" w:hAnsi="Times New Roman" w:cs="Times New Roman"/>
          <w:b/>
          <w:sz w:val="24"/>
          <w:szCs w:val="24"/>
          <w:lang w:val="en-US"/>
        </w:rPr>
      </w:pPr>
    </w:p>
    <w:p w14:paraId="26EB5350" w14:textId="468B3E7F" w:rsidR="00000028" w:rsidRPr="005E2B16" w:rsidRDefault="0067634B" w:rsidP="00000028">
      <w:pPr>
        <w:spacing w:after="0" w:line="240" w:lineRule="auto"/>
        <w:jc w:val="both"/>
        <w:rPr>
          <w:rFonts w:ascii="Times New Roman" w:hAnsi="Times New Roman" w:cs="Times New Roman"/>
          <w:b/>
          <w:sz w:val="24"/>
          <w:szCs w:val="24"/>
          <w:lang w:val="en-US"/>
        </w:rPr>
      </w:pPr>
      <w:r w:rsidRPr="005E2B16">
        <w:rPr>
          <w:rFonts w:ascii="Times New Roman" w:hAnsi="Times New Roman" w:cs="Times New Roman"/>
          <w:b/>
          <w:sz w:val="24"/>
          <w:szCs w:val="24"/>
          <w:lang w:val="en-US"/>
        </w:rPr>
        <w:t>4</w:t>
      </w:r>
      <w:r w:rsidR="005A7CE2" w:rsidRPr="005E2B16">
        <w:rPr>
          <w:rFonts w:ascii="Times New Roman" w:hAnsi="Times New Roman" w:cs="Times New Roman"/>
          <w:b/>
          <w:sz w:val="24"/>
          <w:szCs w:val="24"/>
          <w:lang w:val="en-US"/>
        </w:rPr>
        <w:t>.</w:t>
      </w:r>
      <w:r w:rsidR="005A7CE2" w:rsidRPr="005E2B16">
        <w:rPr>
          <w:rFonts w:ascii="Times New Roman" w:hAnsi="Times New Roman" w:cs="Times New Roman"/>
          <w:b/>
          <w:sz w:val="24"/>
          <w:szCs w:val="24"/>
          <w:lang w:val="en-US"/>
        </w:rPr>
        <w:tab/>
      </w:r>
      <w:r w:rsidR="00000028" w:rsidRPr="005E2B16">
        <w:rPr>
          <w:rFonts w:ascii="Times New Roman" w:hAnsi="Times New Roman" w:cs="Times New Roman"/>
          <w:b/>
          <w:sz w:val="24"/>
          <w:szCs w:val="24"/>
          <w:lang w:val="en-US"/>
        </w:rPr>
        <w:t>Descriptive statistics</w:t>
      </w:r>
    </w:p>
    <w:p w14:paraId="650A53B2" w14:textId="2CE7FBF4" w:rsidR="00000028" w:rsidRPr="005E2B16" w:rsidRDefault="00000028" w:rsidP="007D698D">
      <w:pPr>
        <w:spacing w:after="0" w:line="240" w:lineRule="auto"/>
        <w:jc w:val="both"/>
        <w:rPr>
          <w:rFonts w:ascii="Times New Roman" w:hAnsi="Times New Roman" w:cs="Times New Roman"/>
          <w:b/>
          <w:sz w:val="24"/>
          <w:szCs w:val="24"/>
          <w:lang w:val="en-US"/>
        </w:rPr>
      </w:pPr>
      <w:r w:rsidRPr="005E2B16">
        <w:rPr>
          <w:rFonts w:ascii="Times New Roman" w:hAnsi="Times New Roman" w:cs="Times New Roman"/>
          <w:i/>
          <w:sz w:val="24"/>
          <w:szCs w:val="24"/>
          <w:lang w:val="en-US"/>
        </w:rPr>
        <w:t>Sample characteristics</w:t>
      </w:r>
    </w:p>
    <w:p w14:paraId="1E9CF920" w14:textId="6CF21ED8" w:rsidR="00730134" w:rsidRDefault="006E29F0" w:rsidP="00730134">
      <w:pPr>
        <w:jc w:val="both"/>
        <w:rPr>
          <w:rFonts w:ascii="Times New Roman" w:hAnsi="Times New Roman" w:cs="Times New Roman"/>
          <w:sz w:val="24"/>
          <w:szCs w:val="24"/>
        </w:rPr>
      </w:pPr>
      <w:r>
        <w:rPr>
          <w:rFonts w:ascii="Times New Roman" w:hAnsi="Times New Roman" w:cs="Times New Roman"/>
          <w:sz w:val="24"/>
          <w:szCs w:val="24"/>
          <w:lang w:val="en-US"/>
        </w:rPr>
        <w:t>W</w:t>
      </w:r>
      <w:r w:rsidR="00937E60" w:rsidRPr="005E2B16">
        <w:rPr>
          <w:rFonts w:ascii="Times New Roman" w:hAnsi="Times New Roman" w:cs="Times New Roman"/>
          <w:sz w:val="24"/>
          <w:szCs w:val="24"/>
          <w:lang w:val="en-US"/>
        </w:rPr>
        <w:t xml:space="preserve">e report </w:t>
      </w:r>
      <w:r>
        <w:rPr>
          <w:rFonts w:ascii="Times New Roman" w:hAnsi="Times New Roman" w:cs="Times New Roman"/>
          <w:sz w:val="24"/>
          <w:szCs w:val="24"/>
          <w:lang w:val="en-US"/>
        </w:rPr>
        <w:t>(i</w:t>
      </w:r>
      <w:r w:rsidRPr="005E2B16">
        <w:rPr>
          <w:rFonts w:ascii="Times New Roman" w:hAnsi="Times New Roman" w:cs="Times New Roman"/>
          <w:sz w:val="24"/>
          <w:szCs w:val="24"/>
          <w:lang w:val="en-US"/>
        </w:rPr>
        <w:t xml:space="preserve">n </w:t>
      </w:r>
      <w:r w:rsidRPr="00A55EC9">
        <w:rPr>
          <w:rFonts w:ascii="Times New Roman" w:hAnsi="Times New Roman" w:cs="Times New Roman"/>
          <w:sz w:val="24"/>
          <w:szCs w:val="24"/>
          <w:lang w:val="en-US"/>
        </w:rPr>
        <w:t>Table 4.1</w:t>
      </w:r>
      <w:r>
        <w:rPr>
          <w:rFonts w:ascii="Times New Roman" w:hAnsi="Times New Roman" w:cs="Times New Roman"/>
          <w:sz w:val="24"/>
          <w:szCs w:val="24"/>
          <w:lang w:val="en-US"/>
        </w:rPr>
        <w:t xml:space="preserve">) </w:t>
      </w:r>
      <w:r w:rsidR="00937E60" w:rsidRPr="005E2B16">
        <w:rPr>
          <w:rFonts w:ascii="Times New Roman" w:hAnsi="Times New Roman" w:cs="Times New Roman"/>
          <w:sz w:val="24"/>
          <w:szCs w:val="24"/>
          <w:lang w:val="en-US"/>
        </w:rPr>
        <w:t xml:space="preserve">the firm characteristics distributed across </w:t>
      </w:r>
      <w:r>
        <w:rPr>
          <w:rFonts w:ascii="Times New Roman" w:hAnsi="Times New Roman" w:cs="Times New Roman"/>
          <w:sz w:val="24"/>
          <w:szCs w:val="24"/>
          <w:lang w:val="en-US"/>
        </w:rPr>
        <w:t xml:space="preserve">the fiscal incentive beneficiary status </w:t>
      </w:r>
      <w:r w:rsidR="00937E60" w:rsidRPr="005E2B16">
        <w:rPr>
          <w:rFonts w:ascii="Times New Roman" w:hAnsi="Times New Roman" w:cs="Times New Roman"/>
          <w:sz w:val="24"/>
          <w:szCs w:val="24"/>
          <w:lang w:val="en-US"/>
        </w:rPr>
        <w:t xml:space="preserve">of </w:t>
      </w:r>
      <w:r>
        <w:rPr>
          <w:rFonts w:ascii="Times New Roman" w:hAnsi="Times New Roman" w:cs="Times New Roman"/>
          <w:sz w:val="24"/>
          <w:szCs w:val="24"/>
          <w:lang w:val="en-US"/>
        </w:rPr>
        <w:t>firms</w:t>
      </w:r>
      <w:r w:rsidR="00937E60" w:rsidRPr="005E2B16">
        <w:rPr>
          <w:rFonts w:ascii="Times New Roman" w:hAnsi="Times New Roman" w:cs="Times New Roman"/>
          <w:sz w:val="24"/>
          <w:szCs w:val="24"/>
          <w:lang w:val="en-US"/>
        </w:rPr>
        <w:t xml:space="preserve">. On average, </w:t>
      </w:r>
      <w:r w:rsidR="0070141B" w:rsidRPr="005E2B16">
        <w:rPr>
          <w:rFonts w:ascii="Times New Roman" w:hAnsi="Times New Roman" w:cs="Times New Roman"/>
          <w:sz w:val="24"/>
          <w:szCs w:val="24"/>
          <w:lang w:val="en-US"/>
        </w:rPr>
        <w:t>the firms in the two categories are similar in many respect</w:t>
      </w:r>
      <w:r w:rsidR="005C0C87" w:rsidRPr="005E2B16">
        <w:rPr>
          <w:rFonts w:ascii="Times New Roman" w:hAnsi="Times New Roman" w:cs="Times New Roman"/>
          <w:sz w:val="24"/>
          <w:szCs w:val="24"/>
          <w:lang w:val="en-US"/>
        </w:rPr>
        <w:t>s</w:t>
      </w:r>
      <w:r w:rsidR="00270365">
        <w:rPr>
          <w:rFonts w:ascii="Times New Roman" w:hAnsi="Times New Roman" w:cs="Times New Roman"/>
          <w:sz w:val="24"/>
          <w:szCs w:val="24"/>
          <w:lang w:val="en-US"/>
        </w:rPr>
        <w:t xml:space="preserve">. </w:t>
      </w:r>
      <w:r w:rsidR="00730134" w:rsidRPr="00EA1D69">
        <w:rPr>
          <w:rFonts w:ascii="Times New Roman" w:hAnsi="Times New Roman" w:cs="Times New Roman"/>
          <w:sz w:val="24"/>
          <w:szCs w:val="24"/>
        </w:rPr>
        <w:t xml:space="preserve">There is no significant difference across beneficiary firms and non-beneficiary firms when considering their productivity. Beneficiaries of </w:t>
      </w:r>
      <w:r w:rsidR="00730134">
        <w:rPr>
          <w:rFonts w:ascii="Times New Roman" w:hAnsi="Times New Roman" w:cs="Times New Roman"/>
          <w:sz w:val="24"/>
          <w:szCs w:val="24"/>
        </w:rPr>
        <w:t xml:space="preserve">import duty exemption and </w:t>
      </w:r>
      <w:r w:rsidR="00730134" w:rsidRPr="00EA1D69">
        <w:rPr>
          <w:rFonts w:ascii="Times New Roman" w:hAnsi="Times New Roman" w:cs="Times New Roman"/>
          <w:sz w:val="24"/>
          <w:szCs w:val="24"/>
        </w:rPr>
        <w:t>export financing incentive</w:t>
      </w:r>
      <w:r w:rsidR="00730134">
        <w:rPr>
          <w:rFonts w:ascii="Times New Roman" w:hAnsi="Times New Roman" w:cs="Times New Roman"/>
          <w:sz w:val="24"/>
          <w:szCs w:val="24"/>
        </w:rPr>
        <w:t xml:space="preserve"> had a 0.1 and 0.21 higher productivity than non-beneficiary firms. The productivity of the beneficiaries of profit tax exemption incentive was lower by 0.81 compared to the non-beneficiaries. Though some difference exist in the productivity of firms across their beneficiary status, the difference was not significant </w:t>
      </w:r>
      <w:r w:rsidR="009A77F1">
        <w:rPr>
          <w:rFonts w:ascii="Times New Roman" w:hAnsi="Times New Roman" w:cs="Times New Roman"/>
          <w:sz w:val="24"/>
          <w:szCs w:val="24"/>
        </w:rPr>
        <w:t>at</w:t>
      </w:r>
      <w:r w:rsidR="00730134">
        <w:rPr>
          <w:rFonts w:ascii="Times New Roman" w:hAnsi="Times New Roman" w:cs="Times New Roman"/>
          <w:sz w:val="24"/>
          <w:szCs w:val="24"/>
        </w:rPr>
        <w:t xml:space="preserve"> 1, 5 or 10 percent levels of significance. No significant difference was observed for the productive capacity of firms and firm size across their beneficiary status. </w:t>
      </w:r>
      <w:r w:rsidR="00730134" w:rsidRPr="00EA1D69">
        <w:rPr>
          <w:rFonts w:ascii="Times New Roman" w:hAnsi="Times New Roman" w:cs="Times New Roman"/>
          <w:sz w:val="24"/>
          <w:szCs w:val="24"/>
        </w:rPr>
        <w:t xml:space="preserve"> </w:t>
      </w:r>
      <w:r w:rsidR="00730134">
        <w:rPr>
          <w:rFonts w:ascii="Times New Roman" w:hAnsi="Times New Roman" w:cs="Times New Roman"/>
          <w:sz w:val="24"/>
          <w:szCs w:val="24"/>
        </w:rPr>
        <w:t xml:space="preserve">A significant difference was observed for the labour and overhead cost for only profit tax exemption incentive and across the beneficiary status of firms. However, no significant difference was observed for the import duty and export financing across the firms’ beneficiary status. </w:t>
      </w:r>
    </w:p>
    <w:p w14:paraId="4B0038FD" w14:textId="5EF598EC" w:rsidR="00CB4578" w:rsidRPr="002B0389" w:rsidRDefault="002B0389" w:rsidP="00730134">
      <w:pPr>
        <w:jc w:val="both"/>
        <w:rPr>
          <w:rFonts w:ascii="Times New Roman" w:hAnsi="Times New Roman" w:cs="Times New Roman"/>
          <w:sz w:val="24"/>
          <w:szCs w:val="24"/>
        </w:rPr>
      </w:pPr>
      <w:r w:rsidRPr="002B0389">
        <w:rPr>
          <w:rFonts w:ascii="Times New Roman" w:hAnsi="Times New Roman" w:cs="Times New Roman"/>
          <w:sz w:val="24"/>
          <w:szCs w:val="24"/>
        </w:rPr>
        <w:t>Since most of the observable characteristics are similar</w:t>
      </w:r>
      <w:r>
        <w:rPr>
          <w:rFonts w:ascii="Times New Roman" w:hAnsi="Times New Roman" w:cs="Times New Roman"/>
          <w:sz w:val="24"/>
          <w:szCs w:val="24"/>
        </w:rPr>
        <w:t xml:space="preserve">, it is less difficult to identify a comparison firm from our sample. The distance in the mean values of the observable characteristic that differs across the two groups will be reduced in the matching process. Hence, </w:t>
      </w:r>
      <w:r w:rsidR="009A77F1">
        <w:rPr>
          <w:rFonts w:ascii="Times New Roman" w:hAnsi="Times New Roman" w:cs="Times New Roman"/>
          <w:sz w:val="24"/>
          <w:szCs w:val="24"/>
        </w:rPr>
        <w:t>these processes help</w:t>
      </w:r>
      <w:r>
        <w:rPr>
          <w:rFonts w:ascii="Times New Roman" w:hAnsi="Times New Roman" w:cs="Times New Roman"/>
          <w:sz w:val="24"/>
          <w:szCs w:val="24"/>
        </w:rPr>
        <w:t xml:space="preserve"> to satisfy the key concern of the </w:t>
      </w:r>
      <w:r w:rsidRPr="002B0389">
        <w:rPr>
          <w:rFonts w:ascii="Times New Roman" w:hAnsi="Times New Roman" w:cs="Times New Roman"/>
          <w:sz w:val="24"/>
          <w:szCs w:val="24"/>
        </w:rPr>
        <w:t xml:space="preserve">matching estimation technique </w:t>
      </w:r>
      <w:r>
        <w:rPr>
          <w:rFonts w:ascii="Times New Roman" w:hAnsi="Times New Roman" w:cs="Times New Roman"/>
          <w:sz w:val="24"/>
          <w:szCs w:val="24"/>
        </w:rPr>
        <w:t xml:space="preserve">(i.e. </w:t>
      </w:r>
      <w:r w:rsidRPr="002B0389">
        <w:rPr>
          <w:rFonts w:ascii="Times New Roman" w:hAnsi="Times New Roman" w:cs="Times New Roman"/>
          <w:sz w:val="24"/>
          <w:szCs w:val="24"/>
        </w:rPr>
        <w:t>similarity</w:t>
      </w:r>
      <w:r>
        <w:rPr>
          <w:rFonts w:ascii="Times New Roman" w:hAnsi="Times New Roman" w:cs="Times New Roman"/>
          <w:sz w:val="24"/>
          <w:szCs w:val="24"/>
        </w:rPr>
        <w:t xml:space="preserve"> of the two groups)</w:t>
      </w:r>
      <w:r w:rsidRPr="002B0389">
        <w:rPr>
          <w:rFonts w:ascii="Times New Roman" w:hAnsi="Times New Roman" w:cs="Times New Roman"/>
          <w:sz w:val="24"/>
          <w:szCs w:val="24"/>
        </w:rPr>
        <w:t xml:space="preserve">. In essence, finding individual firm units in the non-beneficiary group that are similar to those in the beneficiary group.  </w:t>
      </w:r>
    </w:p>
    <w:p w14:paraId="4AB91E84" w14:textId="77777777" w:rsidR="00AC1987" w:rsidRPr="005E2B16" w:rsidRDefault="00AC1987" w:rsidP="00AC1987">
      <w:pPr>
        <w:spacing w:after="0" w:line="240" w:lineRule="auto"/>
        <w:jc w:val="center"/>
        <w:rPr>
          <w:rFonts w:ascii="Times New Roman" w:eastAsia="Times New Roman" w:hAnsi="Times New Roman" w:cs="Times New Roman"/>
          <w:b/>
          <w:sz w:val="20"/>
          <w:szCs w:val="20"/>
          <w:lang w:eastAsia="en-GB"/>
        </w:rPr>
      </w:pPr>
      <w:r w:rsidRPr="005E2B16">
        <w:rPr>
          <w:rFonts w:ascii="Times New Roman" w:eastAsia="Times New Roman" w:hAnsi="Times New Roman" w:cs="Times New Roman"/>
          <w:b/>
          <w:sz w:val="20"/>
          <w:szCs w:val="20"/>
          <w:lang w:eastAsia="en-GB"/>
        </w:rPr>
        <w:t>Table 4.1: Basic Sample Characteristics</w:t>
      </w:r>
    </w:p>
    <w:tbl>
      <w:tblPr>
        <w:tblW w:w="10489" w:type="dxa"/>
        <w:jc w:val="center"/>
        <w:tblBorders>
          <w:top w:val="single" w:sz="4" w:space="0" w:color="auto"/>
          <w:bottom w:val="single" w:sz="4" w:space="0" w:color="auto"/>
        </w:tblBorders>
        <w:tblLayout w:type="fixed"/>
        <w:tblLook w:val="04A0" w:firstRow="1" w:lastRow="0" w:firstColumn="1" w:lastColumn="0" w:noHBand="0" w:noVBand="1"/>
      </w:tblPr>
      <w:tblGrid>
        <w:gridCol w:w="1843"/>
        <w:gridCol w:w="1194"/>
        <w:gridCol w:w="933"/>
        <w:gridCol w:w="567"/>
        <w:gridCol w:w="1250"/>
        <w:gridCol w:w="1017"/>
        <w:gridCol w:w="966"/>
        <w:gridCol w:w="1212"/>
        <w:gridCol w:w="940"/>
        <w:gridCol w:w="567"/>
      </w:tblGrid>
      <w:tr w:rsidR="00AC1987" w:rsidRPr="005E2B16" w14:paraId="144B734C" w14:textId="77777777" w:rsidTr="00AC1987">
        <w:trPr>
          <w:trHeight w:val="300"/>
          <w:jc w:val="center"/>
        </w:trPr>
        <w:tc>
          <w:tcPr>
            <w:tcW w:w="1843" w:type="dxa"/>
            <w:shd w:val="clear" w:color="auto" w:fill="auto"/>
            <w:noWrap/>
            <w:vAlign w:val="bottom"/>
            <w:hideMark/>
          </w:tcPr>
          <w:p w14:paraId="3AD48F10" w14:textId="77777777" w:rsidR="00AC1987" w:rsidRPr="005E2B16" w:rsidRDefault="00AC1987" w:rsidP="00E37441">
            <w:pPr>
              <w:spacing w:after="0" w:line="240" w:lineRule="auto"/>
              <w:rPr>
                <w:rFonts w:ascii="Times New Roman" w:eastAsia="Times New Roman" w:hAnsi="Times New Roman" w:cs="Times New Roman"/>
                <w:sz w:val="20"/>
                <w:szCs w:val="20"/>
                <w:lang w:eastAsia="en-GB"/>
              </w:rPr>
            </w:pPr>
          </w:p>
        </w:tc>
        <w:tc>
          <w:tcPr>
            <w:tcW w:w="2694" w:type="dxa"/>
            <w:gridSpan w:val="3"/>
            <w:tcBorders>
              <w:top w:val="single" w:sz="4" w:space="0" w:color="auto"/>
              <w:bottom w:val="single" w:sz="4" w:space="0" w:color="auto"/>
              <w:right w:val="single" w:sz="4" w:space="0" w:color="auto"/>
            </w:tcBorders>
            <w:shd w:val="clear" w:color="auto" w:fill="auto"/>
            <w:noWrap/>
            <w:vAlign w:val="bottom"/>
            <w:hideMark/>
          </w:tcPr>
          <w:p w14:paraId="07811BE1" w14:textId="77777777" w:rsidR="00AC1987" w:rsidRPr="005E2B16" w:rsidRDefault="00AC1987" w:rsidP="00E37441">
            <w:pPr>
              <w:spacing w:after="0" w:line="240" w:lineRule="auto"/>
              <w:jc w:val="center"/>
              <w:rPr>
                <w:rFonts w:ascii="Times New Roman" w:eastAsia="Times New Roman" w:hAnsi="Times New Roman" w:cs="Times New Roman"/>
                <w:b/>
                <w:bCs/>
                <w:color w:val="000000"/>
                <w:sz w:val="20"/>
                <w:szCs w:val="20"/>
                <w:lang w:eastAsia="en-GB"/>
              </w:rPr>
            </w:pPr>
            <w:r w:rsidRPr="005E2B16">
              <w:rPr>
                <w:rFonts w:ascii="Times New Roman" w:eastAsia="Times New Roman" w:hAnsi="Times New Roman" w:cs="Times New Roman"/>
                <w:b/>
                <w:bCs/>
                <w:color w:val="000000"/>
                <w:sz w:val="20"/>
                <w:szCs w:val="20"/>
                <w:lang w:eastAsia="en-GB"/>
              </w:rPr>
              <w:t>Import Duty Exemption</w:t>
            </w:r>
          </w:p>
        </w:tc>
        <w:tc>
          <w:tcPr>
            <w:tcW w:w="32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729A7" w14:textId="77777777" w:rsidR="00AC1987" w:rsidRPr="005E2B16" w:rsidRDefault="00AC1987" w:rsidP="00E37441">
            <w:pPr>
              <w:spacing w:after="0" w:line="240" w:lineRule="auto"/>
              <w:jc w:val="center"/>
              <w:rPr>
                <w:rFonts w:ascii="Times New Roman" w:eastAsia="Times New Roman" w:hAnsi="Times New Roman" w:cs="Times New Roman"/>
                <w:b/>
                <w:bCs/>
                <w:color w:val="000000"/>
                <w:sz w:val="20"/>
                <w:szCs w:val="20"/>
                <w:lang w:eastAsia="en-GB"/>
              </w:rPr>
            </w:pPr>
            <w:r w:rsidRPr="005E2B16">
              <w:rPr>
                <w:rFonts w:ascii="Times New Roman" w:eastAsia="Times New Roman" w:hAnsi="Times New Roman" w:cs="Times New Roman"/>
                <w:b/>
                <w:bCs/>
                <w:color w:val="000000"/>
                <w:sz w:val="20"/>
                <w:szCs w:val="20"/>
                <w:lang w:eastAsia="en-GB"/>
              </w:rPr>
              <w:t>Profit Tax Exemption</w:t>
            </w:r>
          </w:p>
        </w:tc>
        <w:tc>
          <w:tcPr>
            <w:tcW w:w="2719" w:type="dxa"/>
            <w:gridSpan w:val="3"/>
            <w:tcBorders>
              <w:top w:val="single" w:sz="4" w:space="0" w:color="auto"/>
              <w:left w:val="single" w:sz="4" w:space="0" w:color="auto"/>
              <w:bottom w:val="single" w:sz="4" w:space="0" w:color="auto"/>
            </w:tcBorders>
            <w:shd w:val="clear" w:color="auto" w:fill="auto"/>
            <w:noWrap/>
            <w:vAlign w:val="center"/>
            <w:hideMark/>
          </w:tcPr>
          <w:p w14:paraId="36A5DE3C" w14:textId="77777777" w:rsidR="00AC1987" w:rsidRPr="005E2B16" w:rsidRDefault="00AC1987" w:rsidP="00E37441">
            <w:pPr>
              <w:spacing w:after="0" w:line="240" w:lineRule="auto"/>
              <w:jc w:val="center"/>
              <w:rPr>
                <w:rFonts w:ascii="Times New Roman" w:eastAsia="Times New Roman" w:hAnsi="Times New Roman" w:cs="Times New Roman"/>
                <w:b/>
                <w:bCs/>
                <w:sz w:val="20"/>
                <w:szCs w:val="20"/>
                <w:lang w:eastAsia="en-GB"/>
              </w:rPr>
            </w:pPr>
            <w:r w:rsidRPr="005E2B16">
              <w:rPr>
                <w:rFonts w:ascii="Times New Roman" w:eastAsia="Times New Roman" w:hAnsi="Times New Roman" w:cs="Times New Roman"/>
                <w:b/>
                <w:bCs/>
                <w:sz w:val="20"/>
                <w:szCs w:val="20"/>
                <w:lang w:eastAsia="en-GB"/>
              </w:rPr>
              <w:t>Export Financing</w:t>
            </w:r>
          </w:p>
        </w:tc>
      </w:tr>
      <w:tr w:rsidR="00AC1987" w:rsidRPr="005E2B16" w14:paraId="24E1E8F9" w14:textId="77777777" w:rsidTr="00AC1987">
        <w:trPr>
          <w:trHeight w:val="438"/>
          <w:jc w:val="center"/>
        </w:trPr>
        <w:tc>
          <w:tcPr>
            <w:tcW w:w="1843" w:type="dxa"/>
            <w:shd w:val="clear" w:color="auto" w:fill="auto"/>
            <w:vAlign w:val="center"/>
            <w:hideMark/>
          </w:tcPr>
          <w:p w14:paraId="2D92F9BC" w14:textId="77777777" w:rsidR="00AC1987" w:rsidRPr="005E2B16" w:rsidRDefault="00AC1987" w:rsidP="00E37441">
            <w:pPr>
              <w:spacing w:after="0" w:line="240" w:lineRule="auto"/>
              <w:jc w:val="center"/>
              <w:rPr>
                <w:rFonts w:ascii="Times New Roman" w:eastAsia="Times New Roman" w:hAnsi="Times New Roman" w:cs="Times New Roman"/>
                <w:b/>
                <w:bCs/>
                <w:color w:val="000000"/>
                <w:sz w:val="20"/>
                <w:szCs w:val="20"/>
                <w:lang w:eastAsia="en-GB"/>
              </w:rPr>
            </w:pPr>
            <w:r w:rsidRPr="005E2B16">
              <w:rPr>
                <w:rFonts w:ascii="Times New Roman" w:eastAsia="Times New Roman" w:hAnsi="Times New Roman" w:cs="Times New Roman"/>
                <w:b/>
                <w:bCs/>
                <w:color w:val="000000"/>
                <w:sz w:val="20"/>
                <w:szCs w:val="20"/>
                <w:lang w:eastAsia="en-GB"/>
              </w:rPr>
              <w:t> </w:t>
            </w:r>
          </w:p>
        </w:tc>
        <w:tc>
          <w:tcPr>
            <w:tcW w:w="1194" w:type="dxa"/>
            <w:tcBorders>
              <w:top w:val="single" w:sz="4" w:space="0" w:color="auto"/>
              <w:bottom w:val="single" w:sz="4" w:space="0" w:color="auto"/>
            </w:tcBorders>
            <w:shd w:val="clear" w:color="auto" w:fill="auto"/>
            <w:vAlign w:val="center"/>
            <w:hideMark/>
          </w:tcPr>
          <w:p w14:paraId="7A8373F1" w14:textId="77777777" w:rsidR="00AC1987" w:rsidRPr="005E2B16" w:rsidRDefault="00AC1987" w:rsidP="00E37441">
            <w:pPr>
              <w:spacing w:after="0" w:line="240" w:lineRule="auto"/>
              <w:jc w:val="center"/>
              <w:rPr>
                <w:rFonts w:ascii="Times New Roman" w:eastAsia="Times New Roman" w:hAnsi="Times New Roman" w:cs="Times New Roman"/>
                <w:b/>
                <w:bCs/>
                <w:color w:val="000000"/>
                <w:sz w:val="20"/>
                <w:szCs w:val="20"/>
                <w:lang w:eastAsia="en-GB"/>
              </w:rPr>
            </w:pPr>
            <w:r w:rsidRPr="005E2B16">
              <w:rPr>
                <w:rFonts w:ascii="Times New Roman" w:eastAsia="Times New Roman" w:hAnsi="Times New Roman" w:cs="Times New Roman"/>
                <w:b/>
                <w:bCs/>
                <w:color w:val="000000"/>
                <w:sz w:val="20"/>
                <w:szCs w:val="20"/>
                <w:lang w:eastAsia="en-GB"/>
              </w:rPr>
              <w:t>Benefi</w:t>
            </w:r>
            <w:r>
              <w:rPr>
                <w:rFonts w:ascii="Times New Roman" w:eastAsia="Times New Roman" w:hAnsi="Times New Roman" w:cs="Times New Roman"/>
                <w:b/>
                <w:bCs/>
                <w:color w:val="000000"/>
                <w:sz w:val="20"/>
                <w:szCs w:val="20"/>
                <w:lang w:eastAsia="en-GB"/>
              </w:rPr>
              <w:t>ciary</w:t>
            </w:r>
          </w:p>
        </w:tc>
        <w:tc>
          <w:tcPr>
            <w:tcW w:w="933" w:type="dxa"/>
            <w:tcBorders>
              <w:top w:val="single" w:sz="4" w:space="0" w:color="auto"/>
              <w:bottom w:val="single" w:sz="4" w:space="0" w:color="auto"/>
            </w:tcBorders>
            <w:shd w:val="clear" w:color="auto" w:fill="auto"/>
            <w:vAlign w:val="center"/>
            <w:hideMark/>
          </w:tcPr>
          <w:p w14:paraId="2003CBCE" w14:textId="77777777" w:rsidR="00AC1987" w:rsidRPr="005E2B16" w:rsidRDefault="00AC1987" w:rsidP="00E37441">
            <w:pPr>
              <w:spacing w:after="0" w:line="240" w:lineRule="auto"/>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Non-Beneficiary</w:t>
            </w:r>
          </w:p>
        </w:tc>
        <w:tc>
          <w:tcPr>
            <w:tcW w:w="567" w:type="dxa"/>
            <w:tcBorders>
              <w:top w:val="single" w:sz="4" w:space="0" w:color="auto"/>
              <w:bottom w:val="single" w:sz="4" w:space="0" w:color="auto"/>
              <w:right w:val="single" w:sz="4" w:space="0" w:color="auto"/>
            </w:tcBorders>
            <w:shd w:val="clear" w:color="auto" w:fill="auto"/>
            <w:vAlign w:val="center"/>
            <w:hideMark/>
          </w:tcPr>
          <w:p w14:paraId="4CAE5D00" w14:textId="77777777" w:rsidR="00AC1987" w:rsidRPr="005E2B16" w:rsidRDefault="00AC1987" w:rsidP="00E37441">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t-stat</w:t>
            </w:r>
          </w:p>
        </w:tc>
        <w:tc>
          <w:tcPr>
            <w:tcW w:w="1250" w:type="dxa"/>
            <w:tcBorders>
              <w:top w:val="single" w:sz="4" w:space="0" w:color="auto"/>
              <w:left w:val="single" w:sz="4" w:space="0" w:color="auto"/>
              <w:bottom w:val="single" w:sz="4" w:space="0" w:color="auto"/>
            </w:tcBorders>
            <w:shd w:val="clear" w:color="auto" w:fill="auto"/>
            <w:vAlign w:val="center"/>
            <w:hideMark/>
          </w:tcPr>
          <w:p w14:paraId="5832A78F" w14:textId="77777777" w:rsidR="00AC1987" w:rsidRPr="005E2B16" w:rsidRDefault="00AC1987" w:rsidP="00E37441">
            <w:pPr>
              <w:spacing w:after="0" w:line="240" w:lineRule="auto"/>
              <w:jc w:val="center"/>
              <w:rPr>
                <w:rFonts w:ascii="Times New Roman" w:eastAsia="Times New Roman" w:hAnsi="Times New Roman" w:cs="Times New Roman"/>
                <w:b/>
                <w:bCs/>
                <w:color w:val="000000"/>
                <w:sz w:val="20"/>
                <w:szCs w:val="20"/>
                <w:lang w:eastAsia="en-GB"/>
              </w:rPr>
            </w:pPr>
            <w:r w:rsidRPr="005E2B16">
              <w:rPr>
                <w:rFonts w:ascii="Times New Roman" w:eastAsia="Times New Roman" w:hAnsi="Times New Roman" w:cs="Times New Roman"/>
                <w:b/>
                <w:bCs/>
                <w:color w:val="000000"/>
                <w:sz w:val="20"/>
                <w:szCs w:val="20"/>
                <w:lang w:eastAsia="en-GB"/>
              </w:rPr>
              <w:t>Benefi</w:t>
            </w:r>
            <w:r>
              <w:rPr>
                <w:rFonts w:ascii="Times New Roman" w:eastAsia="Times New Roman" w:hAnsi="Times New Roman" w:cs="Times New Roman"/>
                <w:b/>
                <w:bCs/>
                <w:color w:val="000000"/>
                <w:sz w:val="20"/>
                <w:szCs w:val="20"/>
                <w:lang w:eastAsia="en-GB"/>
              </w:rPr>
              <w:t>ciary</w:t>
            </w:r>
          </w:p>
        </w:tc>
        <w:tc>
          <w:tcPr>
            <w:tcW w:w="1017" w:type="dxa"/>
            <w:tcBorders>
              <w:top w:val="single" w:sz="4" w:space="0" w:color="auto"/>
              <w:bottom w:val="single" w:sz="4" w:space="0" w:color="auto"/>
            </w:tcBorders>
            <w:shd w:val="clear" w:color="auto" w:fill="auto"/>
            <w:vAlign w:val="center"/>
            <w:hideMark/>
          </w:tcPr>
          <w:p w14:paraId="2A52FBA2" w14:textId="77777777" w:rsidR="00AC1987" w:rsidRPr="005E2B16" w:rsidRDefault="00AC1987" w:rsidP="00E37441">
            <w:pPr>
              <w:spacing w:after="0" w:line="240" w:lineRule="auto"/>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Non-Beneficiary</w:t>
            </w:r>
          </w:p>
        </w:tc>
        <w:tc>
          <w:tcPr>
            <w:tcW w:w="966" w:type="dxa"/>
            <w:tcBorders>
              <w:top w:val="single" w:sz="4" w:space="0" w:color="auto"/>
              <w:bottom w:val="single" w:sz="4" w:space="0" w:color="auto"/>
              <w:right w:val="single" w:sz="4" w:space="0" w:color="auto"/>
            </w:tcBorders>
            <w:shd w:val="clear" w:color="auto" w:fill="auto"/>
            <w:vAlign w:val="center"/>
            <w:hideMark/>
          </w:tcPr>
          <w:p w14:paraId="4C8C31CB" w14:textId="77777777" w:rsidR="00AC1987" w:rsidRPr="005E2B16" w:rsidRDefault="00AC1987" w:rsidP="00E37441">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t-stat</w:t>
            </w:r>
          </w:p>
        </w:tc>
        <w:tc>
          <w:tcPr>
            <w:tcW w:w="1212" w:type="dxa"/>
            <w:tcBorders>
              <w:top w:val="single" w:sz="4" w:space="0" w:color="auto"/>
              <w:left w:val="single" w:sz="4" w:space="0" w:color="auto"/>
              <w:bottom w:val="single" w:sz="4" w:space="0" w:color="auto"/>
            </w:tcBorders>
            <w:shd w:val="clear" w:color="auto" w:fill="auto"/>
            <w:vAlign w:val="center"/>
            <w:hideMark/>
          </w:tcPr>
          <w:p w14:paraId="395F1E93" w14:textId="77777777" w:rsidR="00AC1987" w:rsidRPr="005E2B16" w:rsidRDefault="00AC1987" w:rsidP="00E37441">
            <w:pPr>
              <w:spacing w:after="0" w:line="240" w:lineRule="auto"/>
              <w:jc w:val="center"/>
              <w:rPr>
                <w:rFonts w:ascii="Times New Roman" w:eastAsia="Times New Roman" w:hAnsi="Times New Roman" w:cs="Times New Roman"/>
                <w:b/>
                <w:bCs/>
                <w:color w:val="000000"/>
                <w:sz w:val="20"/>
                <w:szCs w:val="20"/>
                <w:lang w:eastAsia="en-GB"/>
              </w:rPr>
            </w:pPr>
            <w:r w:rsidRPr="005E2B16">
              <w:rPr>
                <w:rFonts w:ascii="Times New Roman" w:eastAsia="Times New Roman" w:hAnsi="Times New Roman" w:cs="Times New Roman"/>
                <w:b/>
                <w:bCs/>
                <w:color w:val="000000"/>
                <w:sz w:val="20"/>
                <w:szCs w:val="20"/>
                <w:lang w:eastAsia="en-GB"/>
              </w:rPr>
              <w:t>Benefi</w:t>
            </w:r>
            <w:r>
              <w:rPr>
                <w:rFonts w:ascii="Times New Roman" w:eastAsia="Times New Roman" w:hAnsi="Times New Roman" w:cs="Times New Roman"/>
                <w:b/>
                <w:bCs/>
                <w:color w:val="000000"/>
                <w:sz w:val="20"/>
                <w:szCs w:val="20"/>
                <w:lang w:eastAsia="en-GB"/>
              </w:rPr>
              <w:t>ciary</w:t>
            </w:r>
          </w:p>
        </w:tc>
        <w:tc>
          <w:tcPr>
            <w:tcW w:w="940" w:type="dxa"/>
            <w:tcBorders>
              <w:top w:val="single" w:sz="4" w:space="0" w:color="auto"/>
              <w:bottom w:val="single" w:sz="4" w:space="0" w:color="auto"/>
            </w:tcBorders>
            <w:shd w:val="clear" w:color="auto" w:fill="auto"/>
            <w:vAlign w:val="center"/>
            <w:hideMark/>
          </w:tcPr>
          <w:p w14:paraId="1124C17A" w14:textId="77777777" w:rsidR="00AC1987" w:rsidRPr="005E2B16" w:rsidRDefault="00AC1987" w:rsidP="00E37441">
            <w:pPr>
              <w:spacing w:after="0" w:line="240" w:lineRule="auto"/>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Non-Beneficiary</w:t>
            </w:r>
          </w:p>
        </w:tc>
        <w:tc>
          <w:tcPr>
            <w:tcW w:w="567" w:type="dxa"/>
            <w:tcBorders>
              <w:top w:val="single" w:sz="4" w:space="0" w:color="auto"/>
              <w:bottom w:val="single" w:sz="4" w:space="0" w:color="auto"/>
            </w:tcBorders>
            <w:shd w:val="clear" w:color="auto" w:fill="auto"/>
            <w:vAlign w:val="center"/>
            <w:hideMark/>
          </w:tcPr>
          <w:p w14:paraId="4A1F1127" w14:textId="77777777" w:rsidR="00AC1987" w:rsidRPr="005E2B16" w:rsidRDefault="00AC1987" w:rsidP="00E37441">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t-stat</w:t>
            </w:r>
          </w:p>
        </w:tc>
      </w:tr>
      <w:tr w:rsidR="00AC1987" w:rsidRPr="005E2B16" w14:paraId="39A3D1DE" w14:textId="77777777" w:rsidTr="00AC1987">
        <w:trPr>
          <w:trHeight w:val="300"/>
          <w:jc w:val="center"/>
        </w:trPr>
        <w:tc>
          <w:tcPr>
            <w:tcW w:w="1843" w:type="dxa"/>
            <w:shd w:val="clear" w:color="auto" w:fill="auto"/>
            <w:noWrap/>
            <w:vAlign w:val="bottom"/>
            <w:hideMark/>
          </w:tcPr>
          <w:p w14:paraId="09B37034" w14:textId="77777777" w:rsidR="00AC1987" w:rsidRPr="005E2B16" w:rsidRDefault="00AC1987" w:rsidP="00E37441">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Productivity (Ratio)</w:t>
            </w:r>
          </w:p>
        </w:tc>
        <w:tc>
          <w:tcPr>
            <w:tcW w:w="1194" w:type="dxa"/>
            <w:tcBorders>
              <w:top w:val="single" w:sz="4" w:space="0" w:color="auto"/>
              <w:bottom w:val="nil"/>
            </w:tcBorders>
            <w:shd w:val="clear" w:color="auto" w:fill="auto"/>
            <w:noWrap/>
            <w:vAlign w:val="bottom"/>
            <w:hideMark/>
          </w:tcPr>
          <w:p w14:paraId="43E422E7" w14:textId="4FE640C0"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4.30</w:t>
            </w:r>
          </w:p>
          <w:p w14:paraId="221BD19C" w14:textId="4F4EF564"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(5.03)</w:t>
            </w:r>
          </w:p>
        </w:tc>
        <w:tc>
          <w:tcPr>
            <w:tcW w:w="933" w:type="dxa"/>
            <w:tcBorders>
              <w:top w:val="single" w:sz="4" w:space="0" w:color="auto"/>
              <w:bottom w:val="nil"/>
            </w:tcBorders>
            <w:shd w:val="clear" w:color="auto" w:fill="auto"/>
            <w:noWrap/>
            <w:vAlign w:val="bottom"/>
            <w:hideMark/>
          </w:tcPr>
          <w:p w14:paraId="20451169" w14:textId="45654698"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4.29</w:t>
            </w:r>
          </w:p>
          <w:p w14:paraId="14B9A46A" w14:textId="59520B03"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(21.36)</w:t>
            </w:r>
          </w:p>
        </w:tc>
        <w:tc>
          <w:tcPr>
            <w:tcW w:w="567" w:type="dxa"/>
            <w:tcBorders>
              <w:top w:val="single" w:sz="4" w:space="0" w:color="auto"/>
              <w:bottom w:val="nil"/>
              <w:right w:val="single" w:sz="4" w:space="0" w:color="auto"/>
            </w:tcBorders>
            <w:shd w:val="clear" w:color="auto" w:fill="auto"/>
            <w:noWrap/>
            <w:vAlign w:val="bottom"/>
            <w:hideMark/>
          </w:tcPr>
          <w:p w14:paraId="30E543FC" w14:textId="66E1FC21"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w:t>
            </w:r>
            <w:r>
              <w:rPr>
                <w:rFonts w:ascii="Times New Roman" w:eastAsia="Times New Roman" w:hAnsi="Times New Roman" w:cs="Times New Roman"/>
                <w:color w:val="000000"/>
                <w:sz w:val="20"/>
                <w:szCs w:val="20"/>
                <w:lang w:eastAsia="en-GB"/>
              </w:rPr>
              <w:t>0</w:t>
            </w:r>
          </w:p>
        </w:tc>
        <w:tc>
          <w:tcPr>
            <w:tcW w:w="1250" w:type="dxa"/>
            <w:tcBorders>
              <w:top w:val="single" w:sz="4" w:space="0" w:color="auto"/>
              <w:left w:val="single" w:sz="4" w:space="0" w:color="auto"/>
              <w:bottom w:val="nil"/>
            </w:tcBorders>
            <w:shd w:val="clear" w:color="auto" w:fill="auto"/>
            <w:noWrap/>
            <w:vAlign w:val="bottom"/>
            <w:hideMark/>
          </w:tcPr>
          <w:p w14:paraId="666DED57" w14:textId="5C5AB60A"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1.97 </w:t>
            </w:r>
          </w:p>
          <w:p w14:paraId="223717CC" w14:textId="1F069260"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(1.28)</w:t>
            </w:r>
          </w:p>
        </w:tc>
        <w:tc>
          <w:tcPr>
            <w:tcW w:w="1017" w:type="dxa"/>
            <w:tcBorders>
              <w:top w:val="single" w:sz="4" w:space="0" w:color="auto"/>
              <w:bottom w:val="nil"/>
            </w:tcBorders>
            <w:shd w:val="clear" w:color="auto" w:fill="auto"/>
            <w:noWrap/>
            <w:vAlign w:val="bottom"/>
            <w:hideMark/>
          </w:tcPr>
          <w:p w14:paraId="3698A3E2" w14:textId="345EB441"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2.78</w:t>
            </w:r>
          </w:p>
          <w:p w14:paraId="18D3E67A" w14:textId="0A81E5EF"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(4.06)</w:t>
            </w:r>
          </w:p>
        </w:tc>
        <w:tc>
          <w:tcPr>
            <w:tcW w:w="966" w:type="dxa"/>
            <w:tcBorders>
              <w:top w:val="single" w:sz="4" w:space="0" w:color="auto"/>
              <w:bottom w:val="nil"/>
              <w:right w:val="single" w:sz="4" w:space="0" w:color="auto"/>
            </w:tcBorders>
            <w:shd w:val="clear" w:color="auto" w:fill="auto"/>
            <w:noWrap/>
            <w:vAlign w:val="bottom"/>
            <w:hideMark/>
          </w:tcPr>
          <w:p w14:paraId="143D93D7" w14:textId="3035DE75"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0.24</w:t>
            </w:r>
          </w:p>
        </w:tc>
        <w:tc>
          <w:tcPr>
            <w:tcW w:w="1212" w:type="dxa"/>
            <w:tcBorders>
              <w:top w:val="single" w:sz="4" w:space="0" w:color="auto"/>
              <w:left w:val="single" w:sz="4" w:space="0" w:color="auto"/>
              <w:bottom w:val="nil"/>
            </w:tcBorders>
            <w:shd w:val="clear" w:color="auto" w:fill="auto"/>
            <w:noWrap/>
            <w:vAlign w:val="bottom"/>
            <w:hideMark/>
          </w:tcPr>
          <w:p w14:paraId="195D5774" w14:textId="4CE2B4EF" w:rsidR="00AC1987" w:rsidRDefault="00AC1987" w:rsidP="00E37441">
            <w:pPr>
              <w:spacing w:after="0" w:line="240" w:lineRule="auto"/>
              <w:jc w:val="center"/>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4.41</w:t>
            </w:r>
          </w:p>
          <w:p w14:paraId="2CF0C765" w14:textId="304420A6" w:rsidR="00AC1987" w:rsidRPr="005E2B16" w:rsidRDefault="00AC1987" w:rsidP="00E37441">
            <w:pPr>
              <w:spacing w:after="0" w:line="240" w:lineRule="auto"/>
              <w:jc w:val="center"/>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(4.75)</w:t>
            </w:r>
          </w:p>
        </w:tc>
        <w:tc>
          <w:tcPr>
            <w:tcW w:w="940" w:type="dxa"/>
            <w:tcBorders>
              <w:top w:val="single" w:sz="4" w:space="0" w:color="auto"/>
              <w:bottom w:val="nil"/>
            </w:tcBorders>
            <w:shd w:val="clear" w:color="auto" w:fill="auto"/>
            <w:noWrap/>
            <w:vAlign w:val="bottom"/>
            <w:hideMark/>
          </w:tcPr>
          <w:p w14:paraId="2C1E47C2" w14:textId="403BE7B9" w:rsidR="00AC1987" w:rsidRDefault="00AC1987" w:rsidP="00E37441">
            <w:pPr>
              <w:spacing w:after="0" w:line="240" w:lineRule="auto"/>
              <w:jc w:val="center"/>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4.29</w:t>
            </w:r>
          </w:p>
          <w:p w14:paraId="20B39DB1" w14:textId="2485E8AC" w:rsidR="00AC1987" w:rsidRPr="005E2B16" w:rsidRDefault="00AC1987" w:rsidP="00E37441">
            <w:pPr>
              <w:spacing w:after="0" w:line="240" w:lineRule="auto"/>
              <w:jc w:val="center"/>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(21.46)</w:t>
            </w:r>
          </w:p>
        </w:tc>
        <w:tc>
          <w:tcPr>
            <w:tcW w:w="567" w:type="dxa"/>
            <w:tcBorders>
              <w:top w:val="single" w:sz="4" w:space="0" w:color="auto"/>
              <w:bottom w:val="nil"/>
            </w:tcBorders>
            <w:shd w:val="clear" w:color="auto" w:fill="auto"/>
            <w:noWrap/>
            <w:vAlign w:val="bottom"/>
            <w:hideMark/>
          </w:tcPr>
          <w:p w14:paraId="25B55C54" w14:textId="55358ADC"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0.51</w:t>
            </w:r>
          </w:p>
        </w:tc>
      </w:tr>
      <w:tr w:rsidR="00AC1987" w:rsidRPr="005E2B16" w14:paraId="5E05D159" w14:textId="77777777" w:rsidTr="00AC1987">
        <w:trPr>
          <w:trHeight w:val="365"/>
          <w:jc w:val="center"/>
        </w:trPr>
        <w:tc>
          <w:tcPr>
            <w:tcW w:w="1843" w:type="dxa"/>
            <w:shd w:val="clear" w:color="auto" w:fill="auto"/>
            <w:noWrap/>
            <w:vAlign w:val="bottom"/>
          </w:tcPr>
          <w:p w14:paraId="5CB6F2D6" w14:textId="52AEC6DF" w:rsidR="00AC1987" w:rsidRPr="005E2B16" w:rsidRDefault="00AC1987" w:rsidP="00AC198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Productive c</w:t>
            </w:r>
            <w:r w:rsidRPr="005E2B16">
              <w:rPr>
                <w:rFonts w:ascii="Times New Roman" w:eastAsia="Times New Roman" w:hAnsi="Times New Roman" w:cs="Times New Roman"/>
                <w:color w:val="000000"/>
                <w:sz w:val="20"/>
                <w:szCs w:val="20"/>
                <w:lang w:eastAsia="en-GB"/>
              </w:rPr>
              <w:t xml:space="preserve">apacity </w:t>
            </w:r>
          </w:p>
        </w:tc>
        <w:tc>
          <w:tcPr>
            <w:tcW w:w="1194" w:type="dxa"/>
            <w:tcBorders>
              <w:top w:val="nil"/>
            </w:tcBorders>
            <w:shd w:val="clear" w:color="auto" w:fill="auto"/>
            <w:vAlign w:val="bottom"/>
          </w:tcPr>
          <w:p w14:paraId="718ED6A1" w14:textId="2328EFE5"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0.41 </w:t>
            </w:r>
          </w:p>
          <w:p w14:paraId="0FCCC4FE" w14:textId="7487F39D"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(0.73)</w:t>
            </w:r>
          </w:p>
        </w:tc>
        <w:tc>
          <w:tcPr>
            <w:tcW w:w="933" w:type="dxa"/>
            <w:tcBorders>
              <w:top w:val="nil"/>
            </w:tcBorders>
            <w:shd w:val="clear" w:color="auto" w:fill="auto"/>
            <w:vAlign w:val="bottom"/>
          </w:tcPr>
          <w:p w14:paraId="3DAE0A55" w14:textId="3B7D4B1B"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28.70</w:t>
            </w:r>
          </w:p>
          <w:p w14:paraId="58CF3259" w14:textId="50B71C8E"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(395.0</w:t>
            </w:r>
            <w:r>
              <w:rPr>
                <w:rFonts w:ascii="Times New Roman" w:eastAsia="Times New Roman" w:hAnsi="Times New Roman" w:cs="Times New Roman"/>
                <w:color w:val="000000"/>
                <w:sz w:val="20"/>
                <w:szCs w:val="20"/>
                <w:lang w:eastAsia="en-GB"/>
              </w:rPr>
              <w:t>0</w:t>
            </w:r>
            <w:r w:rsidRPr="005E2B16">
              <w:rPr>
                <w:rFonts w:ascii="Times New Roman" w:eastAsia="Times New Roman" w:hAnsi="Times New Roman" w:cs="Times New Roman"/>
                <w:color w:val="000000"/>
                <w:sz w:val="20"/>
                <w:szCs w:val="20"/>
                <w:lang w:eastAsia="en-GB"/>
              </w:rPr>
              <w:t>)</w:t>
            </w:r>
          </w:p>
        </w:tc>
        <w:tc>
          <w:tcPr>
            <w:tcW w:w="567" w:type="dxa"/>
            <w:tcBorders>
              <w:top w:val="nil"/>
              <w:right w:val="single" w:sz="4" w:space="0" w:color="auto"/>
            </w:tcBorders>
            <w:shd w:val="clear" w:color="auto" w:fill="auto"/>
            <w:vAlign w:val="bottom"/>
          </w:tcPr>
          <w:p w14:paraId="1FCB6783" w14:textId="5F73571E"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0.43</w:t>
            </w:r>
          </w:p>
        </w:tc>
        <w:tc>
          <w:tcPr>
            <w:tcW w:w="1250" w:type="dxa"/>
            <w:tcBorders>
              <w:top w:val="nil"/>
              <w:left w:val="single" w:sz="4" w:space="0" w:color="auto"/>
            </w:tcBorders>
            <w:shd w:val="clear" w:color="auto" w:fill="auto"/>
            <w:vAlign w:val="bottom"/>
          </w:tcPr>
          <w:p w14:paraId="594EC4A3" w14:textId="5A2A2033"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0.29</w:t>
            </w:r>
          </w:p>
          <w:p w14:paraId="3DDA75F6" w14:textId="1D222EA1"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(0.56)</w:t>
            </w:r>
          </w:p>
        </w:tc>
        <w:tc>
          <w:tcPr>
            <w:tcW w:w="1017" w:type="dxa"/>
            <w:tcBorders>
              <w:top w:val="nil"/>
            </w:tcBorders>
            <w:shd w:val="clear" w:color="auto" w:fill="auto"/>
            <w:vAlign w:val="bottom"/>
          </w:tcPr>
          <w:p w14:paraId="00EC228E" w14:textId="583BD5B2"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97.4</w:t>
            </w:r>
            <w:r>
              <w:rPr>
                <w:rFonts w:ascii="Times New Roman" w:eastAsia="Times New Roman" w:hAnsi="Times New Roman" w:cs="Times New Roman"/>
                <w:color w:val="000000"/>
                <w:sz w:val="20"/>
                <w:szCs w:val="20"/>
                <w:lang w:eastAsia="en-GB"/>
              </w:rPr>
              <w:t>0</w:t>
            </w:r>
          </w:p>
          <w:p w14:paraId="7DF6604C" w14:textId="1048E9BE"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(759</w:t>
            </w:r>
            <w:r>
              <w:rPr>
                <w:rFonts w:ascii="Times New Roman" w:eastAsia="Times New Roman" w:hAnsi="Times New Roman" w:cs="Times New Roman"/>
                <w:color w:val="000000"/>
                <w:sz w:val="20"/>
                <w:szCs w:val="20"/>
                <w:lang w:eastAsia="en-GB"/>
              </w:rPr>
              <w:t>.00</w:t>
            </w:r>
            <w:r w:rsidRPr="005E2B16">
              <w:rPr>
                <w:rFonts w:ascii="Times New Roman" w:eastAsia="Times New Roman" w:hAnsi="Times New Roman" w:cs="Times New Roman"/>
                <w:color w:val="000000"/>
                <w:sz w:val="20"/>
                <w:szCs w:val="20"/>
                <w:lang w:eastAsia="en-GB"/>
              </w:rPr>
              <w:t>)</w:t>
            </w:r>
          </w:p>
        </w:tc>
        <w:tc>
          <w:tcPr>
            <w:tcW w:w="966" w:type="dxa"/>
            <w:tcBorders>
              <w:top w:val="nil"/>
              <w:right w:val="single" w:sz="4" w:space="0" w:color="auto"/>
            </w:tcBorders>
            <w:shd w:val="clear" w:color="auto" w:fill="auto"/>
            <w:vAlign w:val="bottom"/>
          </w:tcPr>
          <w:p w14:paraId="6FD94516" w14:textId="1DA3F4DD"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0.32</w:t>
            </w:r>
          </w:p>
        </w:tc>
        <w:tc>
          <w:tcPr>
            <w:tcW w:w="1212" w:type="dxa"/>
            <w:tcBorders>
              <w:top w:val="nil"/>
              <w:left w:val="single" w:sz="4" w:space="0" w:color="auto"/>
            </w:tcBorders>
            <w:shd w:val="clear" w:color="auto" w:fill="auto"/>
            <w:vAlign w:val="center"/>
          </w:tcPr>
          <w:p w14:paraId="7D3C3D92" w14:textId="088D19F0"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0.02</w:t>
            </w:r>
          </w:p>
          <w:p w14:paraId="0B130F7D" w14:textId="3D8C1E0A"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(0.03</w:t>
            </w:r>
            <w:r w:rsidRPr="005E2B16">
              <w:rPr>
                <w:rFonts w:ascii="Times New Roman" w:eastAsia="Times New Roman" w:hAnsi="Times New Roman" w:cs="Times New Roman"/>
                <w:color w:val="000000"/>
                <w:sz w:val="20"/>
                <w:szCs w:val="20"/>
                <w:lang w:eastAsia="en-GB"/>
              </w:rPr>
              <w:t>)</w:t>
            </w:r>
          </w:p>
        </w:tc>
        <w:tc>
          <w:tcPr>
            <w:tcW w:w="940" w:type="dxa"/>
            <w:tcBorders>
              <w:top w:val="nil"/>
            </w:tcBorders>
            <w:shd w:val="clear" w:color="auto" w:fill="auto"/>
            <w:vAlign w:val="center"/>
          </w:tcPr>
          <w:p w14:paraId="7545F537" w14:textId="0A6A2123"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2.90</w:t>
            </w:r>
          </w:p>
          <w:p w14:paraId="17DD31C6" w14:textId="1A56AE51"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(3.97)</w:t>
            </w:r>
          </w:p>
        </w:tc>
        <w:tc>
          <w:tcPr>
            <w:tcW w:w="567" w:type="dxa"/>
            <w:tcBorders>
              <w:top w:val="nil"/>
            </w:tcBorders>
            <w:shd w:val="clear" w:color="auto" w:fill="auto"/>
            <w:vAlign w:val="center"/>
          </w:tcPr>
          <w:p w14:paraId="1BCB36E6" w14:textId="021CEDEC"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0.41</w:t>
            </w:r>
          </w:p>
        </w:tc>
      </w:tr>
      <w:tr w:rsidR="00AC1987" w:rsidRPr="005E2B16" w14:paraId="6E024F6D" w14:textId="77777777" w:rsidTr="00AC1987">
        <w:trPr>
          <w:trHeight w:val="300"/>
          <w:jc w:val="center"/>
        </w:trPr>
        <w:tc>
          <w:tcPr>
            <w:tcW w:w="1843" w:type="dxa"/>
            <w:shd w:val="clear" w:color="auto" w:fill="auto"/>
            <w:noWrap/>
            <w:vAlign w:val="bottom"/>
          </w:tcPr>
          <w:p w14:paraId="203D1B3A" w14:textId="44510487" w:rsidR="00AC1987" w:rsidRPr="005E2B16" w:rsidRDefault="00AC1987" w:rsidP="00AC198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Firm s</w:t>
            </w:r>
            <w:r w:rsidRPr="005E2B16">
              <w:rPr>
                <w:rFonts w:ascii="Times New Roman" w:eastAsia="Times New Roman" w:hAnsi="Times New Roman" w:cs="Times New Roman"/>
                <w:color w:val="000000"/>
                <w:sz w:val="20"/>
                <w:szCs w:val="20"/>
                <w:lang w:eastAsia="en-GB"/>
              </w:rPr>
              <w:t xml:space="preserve">ize </w:t>
            </w:r>
          </w:p>
        </w:tc>
        <w:tc>
          <w:tcPr>
            <w:tcW w:w="1194" w:type="dxa"/>
            <w:shd w:val="clear" w:color="auto" w:fill="auto"/>
            <w:noWrap/>
            <w:vAlign w:val="bottom"/>
          </w:tcPr>
          <w:p w14:paraId="634A3604" w14:textId="0305FE9F"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0.01</w:t>
            </w:r>
            <w:r w:rsidRPr="005E2B16">
              <w:rPr>
                <w:rFonts w:ascii="Times New Roman" w:eastAsia="Times New Roman" w:hAnsi="Times New Roman" w:cs="Times New Roman"/>
                <w:color w:val="000000"/>
                <w:sz w:val="20"/>
                <w:szCs w:val="20"/>
                <w:lang w:eastAsia="en-GB"/>
              </w:rPr>
              <w:t xml:space="preserve"> </w:t>
            </w:r>
          </w:p>
          <w:p w14:paraId="31072F44" w14:textId="335FDAA9"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(0.02</w:t>
            </w:r>
            <w:r w:rsidRPr="005E2B16">
              <w:rPr>
                <w:rFonts w:ascii="Times New Roman" w:eastAsia="Times New Roman" w:hAnsi="Times New Roman" w:cs="Times New Roman"/>
                <w:color w:val="000000"/>
                <w:sz w:val="20"/>
                <w:szCs w:val="20"/>
                <w:lang w:eastAsia="en-GB"/>
              </w:rPr>
              <w:t>)</w:t>
            </w:r>
          </w:p>
        </w:tc>
        <w:tc>
          <w:tcPr>
            <w:tcW w:w="933" w:type="dxa"/>
            <w:shd w:val="clear" w:color="auto" w:fill="auto"/>
            <w:noWrap/>
            <w:vAlign w:val="bottom"/>
          </w:tcPr>
          <w:p w14:paraId="7BAD082F" w14:textId="198290CB"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0.01</w:t>
            </w:r>
            <w:r w:rsidRPr="005E2B16">
              <w:rPr>
                <w:rFonts w:ascii="Times New Roman" w:eastAsia="Times New Roman" w:hAnsi="Times New Roman" w:cs="Times New Roman"/>
                <w:color w:val="000000"/>
                <w:sz w:val="20"/>
                <w:szCs w:val="20"/>
                <w:lang w:eastAsia="en-GB"/>
              </w:rPr>
              <w:t xml:space="preserve"> </w:t>
            </w:r>
          </w:p>
          <w:p w14:paraId="381FF407" w14:textId="32715843"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(0.02</w:t>
            </w:r>
            <w:r w:rsidRPr="005E2B16">
              <w:rPr>
                <w:rFonts w:ascii="Times New Roman" w:eastAsia="Times New Roman" w:hAnsi="Times New Roman" w:cs="Times New Roman"/>
                <w:color w:val="000000"/>
                <w:sz w:val="20"/>
                <w:szCs w:val="20"/>
                <w:lang w:eastAsia="en-GB"/>
              </w:rPr>
              <w:t>)</w:t>
            </w:r>
          </w:p>
        </w:tc>
        <w:tc>
          <w:tcPr>
            <w:tcW w:w="567" w:type="dxa"/>
            <w:tcBorders>
              <w:right w:val="single" w:sz="4" w:space="0" w:color="auto"/>
            </w:tcBorders>
            <w:shd w:val="clear" w:color="auto" w:fill="auto"/>
            <w:noWrap/>
            <w:vAlign w:val="bottom"/>
          </w:tcPr>
          <w:p w14:paraId="3CE17B3F" w14:textId="6BD82E41"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0.56</w:t>
            </w:r>
          </w:p>
        </w:tc>
        <w:tc>
          <w:tcPr>
            <w:tcW w:w="1250" w:type="dxa"/>
            <w:tcBorders>
              <w:left w:val="single" w:sz="4" w:space="0" w:color="auto"/>
            </w:tcBorders>
            <w:shd w:val="clear" w:color="auto" w:fill="auto"/>
            <w:noWrap/>
            <w:vAlign w:val="bottom"/>
          </w:tcPr>
          <w:p w14:paraId="3141FD66" w14:textId="44D1D0BA"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0.01</w:t>
            </w:r>
          </w:p>
          <w:p w14:paraId="4BA2FFE8" w14:textId="2265416F"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(0.01</w:t>
            </w:r>
            <w:r w:rsidRPr="005E2B16">
              <w:rPr>
                <w:rFonts w:ascii="Times New Roman" w:eastAsia="Times New Roman" w:hAnsi="Times New Roman" w:cs="Times New Roman"/>
                <w:color w:val="000000"/>
                <w:sz w:val="20"/>
                <w:szCs w:val="20"/>
                <w:lang w:eastAsia="en-GB"/>
              </w:rPr>
              <w:t>)</w:t>
            </w:r>
          </w:p>
        </w:tc>
        <w:tc>
          <w:tcPr>
            <w:tcW w:w="1017" w:type="dxa"/>
            <w:shd w:val="clear" w:color="auto" w:fill="auto"/>
            <w:noWrap/>
            <w:vAlign w:val="bottom"/>
          </w:tcPr>
          <w:p w14:paraId="4740368E" w14:textId="7B0F2D47"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0.01</w:t>
            </w:r>
          </w:p>
          <w:p w14:paraId="0579C62C" w14:textId="3AF38FBD"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(0.01</w:t>
            </w:r>
            <w:r w:rsidRPr="005E2B16">
              <w:rPr>
                <w:rFonts w:ascii="Times New Roman" w:eastAsia="Times New Roman" w:hAnsi="Times New Roman" w:cs="Times New Roman"/>
                <w:color w:val="000000"/>
                <w:sz w:val="20"/>
                <w:szCs w:val="20"/>
                <w:lang w:eastAsia="en-GB"/>
              </w:rPr>
              <w:t>)</w:t>
            </w:r>
          </w:p>
        </w:tc>
        <w:tc>
          <w:tcPr>
            <w:tcW w:w="966" w:type="dxa"/>
            <w:tcBorders>
              <w:right w:val="single" w:sz="4" w:space="0" w:color="auto"/>
            </w:tcBorders>
            <w:shd w:val="clear" w:color="auto" w:fill="auto"/>
            <w:noWrap/>
            <w:vAlign w:val="bottom"/>
          </w:tcPr>
          <w:p w14:paraId="2BB43EA2" w14:textId="35F58B44"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0.60</w:t>
            </w:r>
          </w:p>
        </w:tc>
        <w:tc>
          <w:tcPr>
            <w:tcW w:w="1212" w:type="dxa"/>
            <w:tcBorders>
              <w:left w:val="single" w:sz="4" w:space="0" w:color="auto"/>
            </w:tcBorders>
            <w:shd w:val="clear" w:color="auto" w:fill="auto"/>
            <w:noWrap/>
            <w:vAlign w:val="bottom"/>
          </w:tcPr>
          <w:p w14:paraId="3CD38C9E" w14:textId="50B0EAEA" w:rsidR="00AC1987" w:rsidRDefault="00AC1987" w:rsidP="00E37441">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0.01</w:t>
            </w:r>
          </w:p>
          <w:p w14:paraId="1AC652FB" w14:textId="248B230F"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sz w:val="20"/>
                <w:szCs w:val="20"/>
                <w:lang w:eastAsia="en-GB"/>
              </w:rPr>
              <w:t>(0.02</w:t>
            </w:r>
            <w:r w:rsidRPr="005E2B16">
              <w:rPr>
                <w:rFonts w:ascii="Times New Roman" w:eastAsia="Times New Roman" w:hAnsi="Times New Roman" w:cs="Times New Roman"/>
                <w:sz w:val="20"/>
                <w:szCs w:val="20"/>
                <w:lang w:eastAsia="en-GB"/>
              </w:rPr>
              <w:t>)</w:t>
            </w:r>
          </w:p>
        </w:tc>
        <w:tc>
          <w:tcPr>
            <w:tcW w:w="940" w:type="dxa"/>
            <w:shd w:val="clear" w:color="auto" w:fill="auto"/>
            <w:noWrap/>
            <w:vAlign w:val="bottom"/>
          </w:tcPr>
          <w:p w14:paraId="456A28E5" w14:textId="735B8DAA" w:rsidR="00AC1987" w:rsidRDefault="00AC1987" w:rsidP="00E37441">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0.01</w:t>
            </w:r>
          </w:p>
          <w:p w14:paraId="14AFBE7F" w14:textId="552EB68C"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sz w:val="20"/>
                <w:szCs w:val="20"/>
                <w:lang w:eastAsia="en-GB"/>
              </w:rPr>
              <w:t>(0.02</w:t>
            </w:r>
            <w:r w:rsidRPr="005E2B16">
              <w:rPr>
                <w:rFonts w:ascii="Times New Roman" w:eastAsia="Times New Roman" w:hAnsi="Times New Roman" w:cs="Times New Roman"/>
                <w:sz w:val="20"/>
                <w:szCs w:val="20"/>
                <w:lang w:eastAsia="en-GB"/>
              </w:rPr>
              <w:t>)</w:t>
            </w:r>
          </w:p>
        </w:tc>
        <w:tc>
          <w:tcPr>
            <w:tcW w:w="567" w:type="dxa"/>
            <w:shd w:val="clear" w:color="auto" w:fill="auto"/>
            <w:noWrap/>
            <w:vAlign w:val="bottom"/>
          </w:tcPr>
          <w:p w14:paraId="352BD7CB" w14:textId="2AE01B9A"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0.50</w:t>
            </w:r>
          </w:p>
        </w:tc>
      </w:tr>
      <w:tr w:rsidR="00AC1987" w:rsidRPr="005E2B16" w14:paraId="360A8293" w14:textId="77777777" w:rsidTr="00AC1987">
        <w:trPr>
          <w:trHeight w:val="300"/>
          <w:jc w:val="center"/>
        </w:trPr>
        <w:tc>
          <w:tcPr>
            <w:tcW w:w="1843" w:type="dxa"/>
            <w:shd w:val="clear" w:color="auto" w:fill="auto"/>
            <w:noWrap/>
            <w:vAlign w:val="bottom"/>
          </w:tcPr>
          <w:p w14:paraId="69ADE9C7" w14:textId="50BE6996" w:rsidR="00AC1987" w:rsidRPr="005E2B16" w:rsidRDefault="00AC1987" w:rsidP="00AC198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Labour c</w:t>
            </w:r>
            <w:r w:rsidRPr="005E2B16">
              <w:rPr>
                <w:rFonts w:ascii="Times New Roman" w:eastAsia="Times New Roman" w:hAnsi="Times New Roman" w:cs="Times New Roman"/>
                <w:color w:val="000000"/>
                <w:sz w:val="20"/>
                <w:szCs w:val="20"/>
                <w:lang w:eastAsia="en-GB"/>
              </w:rPr>
              <w:t>ost</w:t>
            </w:r>
          </w:p>
        </w:tc>
        <w:tc>
          <w:tcPr>
            <w:tcW w:w="1194" w:type="dxa"/>
            <w:shd w:val="clear" w:color="auto" w:fill="auto"/>
            <w:noWrap/>
            <w:vAlign w:val="bottom"/>
          </w:tcPr>
          <w:p w14:paraId="4FEE67C2" w14:textId="7F5458B6"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3.54</w:t>
            </w:r>
          </w:p>
          <w:p w14:paraId="080F6FF9" w14:textId="61DC3DB8"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(8.55)</w:t>
            </w:r>
          </w:p>
        </w:tc>
        <w:tc>
          <w:tcPr>
            <w:tcW w:w="933" w:type="dxa"/>
            <w:shd w:val="clear" w:color="auto" w:fill="auto"/>
            <w:noWrap/>
            <w:vAlign w:val="bottom"/>
          </w:tcPr>
          <w:p w14:paraId="5347458C" w14:textId="4153C314"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1.23</w:t>
            </w:r>
          </w:p>
          <w:p w14:paraId="7043FE7F" w14:textId="456FADB5"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(6.74)</w:t>
            </w:r>
          </w:p>
        </w:tc>
        <w:tc>
          <w:tcPr>
            <w:tcW w:w="567" w:type="dxa"/>
            <w:tcBorders>
              <w:right w:val="single" w:sz="4" w:space="0" w:color="auto"/>
            </w:tcBorders>
            <w:shd w:val="clear" w:color="auto" w:fill="auto"/>
            <w:noWrap/>
            <w:vAlign w:val="bottom"/>
          </w:tcPr>
          <w:p w14:paraId="7B874AE4" w14:textId="1A9F49A0"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0.18</w:t>
            </w:r>
          </w:p>
        </w:tc>
        <w:tc>
          <w:tcPr>
            <w:tcW w:w="1250" w:type="dxa"/>
            <w:tcBorders>
              <w:left w:val="single" w:sz="4" w:space="0" w:color="auto"/>
            </w:tcBorders>
            <w:shd w:val="clear" w:color="auto" w:fill="auto"/>
            <w:noWrap/>
            <w:vAlign w:val="bottom"/>
          </w:tcPr>
          <w:p w14:paraId="1050F74E" w14:textId="218BF7AC"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8.02</w:t>
            </w:r>
          </w:p>
          <w:p w14:paraId="0D2C2329" w14:textId="11A94BBE"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(25.3</w:t>
            </w:r>
            <w:r>
              <w:rPr>
                <w:rFonts w:ascii="Times New Roman" w:eastAsia="Times New Roman" w:hAnsi="Times New Roman" w:cs="Times New Roman"/>
                <w:color w:val="000000"/>
                <w:sz w:val="20"/>
                <w:szCs w:val="20"/>
                <w:lang w:eastAsia="en-GB"/>
              </w:rPr>
              <w:t>0</w:t>
            </w:r>
            <w:r w:rsidRPr="005E2B16">
              <w:rPr>
                <w:rFonts w:ascii="Times New Roman" w:eastAsia="Times New Roman" w:hAnsi="Times New Roman" w:cs="Times New Roman"/>
                <w:color w:val="000000"/>
                <w:sz w:val="20"/>
                <w:szCs w:val="20"/>
                <w:lang w:eastAsia="en-GB"/>
              </w:rPr>
              <w:t>)</w:t>
            </w:r>
          </w:p>
        </w:tc>
        <w:tc>
          <w:tcPr>
            <w:tcW w:w="1017" w:type="dxa"/>
            <w:shd w:val="clear" w:color="auto" w:fill="auto"/>
            <w:noWrap/>
            <w:vAlign w:val="bottom"/>
          </w:tcPr>
          <w:p w14:paraId="714D9BBB" w14:textId="0C12A79F"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7.18</w:t>
            </w:r>
          </w:p>
          <w:p w14:paraId="495C4BD8" w14:textId="21CE8D62"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(30.5</w:t>
            </w:r>
            <w:r>
              <w:rPr>
                <w:rFonts w:ascii="Times New Roman" w:eastAsia="Times New Roman" w:hAnsi="Times New Roman" w:cs="Times New Roman"/>
                <w:color w:val="000000"/>
                <w:sz w:val="20"/>
                <w:szCs w:val="20"/>
                <w:lang w:eastAsia="en-GB"/>
              </w:rPr>
              <w:t>0</w:t>
            </w:r>
            <w:r w:rsidRPr="005E2B16">
              <w:rPr>
                <w:rFonts w:ascii="Times New Roman" w:eastAsia="Times New Roman" w:hAnsi="Times New Roman" w:cs="Times New Roman"/>
                <w:color w:val="000000"/>
                <w:sz w:val="20"/>
                <w:szCs w:val="20"/>
                <w:lang w:eastAsia="en-GB"/>
              </w:rPr>
              <w:t>)</w:t>
            </w:r>
          </w:p>
        </w:tc>
        <w:tc>
          <w:tcPr>
            <w:tcW w:w="966" w:type="dxa"/>
            <w:tcBorders>
              <w:right w:val="single" w:sz="4" w:space="0" w:color="auto"/>
            </w:tcBorders>
            <w:shd w:val="clear" w:color="auto" w:fill="auto"/>
            <w:noWrap/>
            <w:vAlign w:val="bottom"/>
          </w:tcPr>
          <w:p w14:paraId="74D6817F" w14:textId="4C4430AE"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0.04</w:t>
            </w:r>
            <w:r w:rsidRPr="005E2B16">
              <w:rPr>
                <w:rFonts w:ascii="Times New Roman" w:eastAsia="Times New Roman" w:hAnsi="Times New Roman" w:cs="Times New Roman"/>
                <w:color w:val="000000"/>
                <w:sz w:val="20"/>
                <w:szCs w:val="20"/>
                <w:lang w:eastAsia="en-GB"/>
              </w:rPr>
              <w:t>**</w:t>
            </w:r>
          </w:p>
        </w:tc>
        <w:tc>
          <w:tcPr>
            <w:tcW w:w="1212" w:type="dxa"/>
            <w:tcBorders>
              <w:left w:val="single" w:sz="4" w:space="0" w:color="auto"/>
            </w:tcBorders>
            <w:shd w:val="clear" w:color="auto" w:fill="auto"/>
            <w:noWrap/>
            <w:vAlign w:val="bottom"/>
          </w:tcPr>
          <w:p w14:paraId="6432D1C8" w14:textId="08CCC640" w:rsidR="00AC1987" w:rsidRDefault="00AC1987" w:rsidP="00E37441">
            <w:pPr>
              <w:spacing w:after="0" w:line="240" w:lineRule="auto"/>
              <w:jc w:val="center"/>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2.58</w:t>
            </w:r>
          </w:p>
          <w:p w14:paraId="0CA6CE2F" w14:textId="77777777"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sz w:val="20"/>
                <w:szCs w:val="20"/>
                <w:lang w:eastAsia="en-GB"/>
              </w:rPr>
              <w:t>(7.62)</w:t>
            </w:r>
          </w:p>
        </w:tc>
        <w:tc>
          <w:tcPr>
            <w:tcW w:w="940" w:type="dxa"/>
            <w:shd w:val="clear" w:color="auto" w:fill="auto"/>
            <w:noWrap/>
            <w:vAlign w:val="bottom"/>
          </w:tcPr>
          <w:p w14:paraId="7640A375" w14:textId="5ED9DECF" w:rsidR="00AC1987" w:rsidRDefault="00AC1987" w:rsidP="00E37441">
            <w:pPr>
              <w:spacing w:after="0" w:line="240" w:lineRule="auto"/>
              <w:jc w:val="center"/>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1.24</w:t>
            </w:r>
          </w:p>
          <w:p w14:paraId="28CBBD29" w14:textId="77777777"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sz w:val="20"/>
                <w:szCs w:val="20"/>
                <w:lang w:eastAsia="en-GB"/>
              </w:rPr>
              <w:t>(6.77)</w:t>
            </w:r>
          </w:p>
        </w:tc>
        <w:tc>
          <w:tcPr>
            <w:tcW w:w="567" w:type="dxa"/>
            <w:shd w:val="clear" w:color="auto" w:fill="auto"/>
            <w:noWrap/>
            <w:vAlign w:val="bottom"/>
          </w:tcPr>
          <w:p w14:paraId="2B2498E6" w14:textId="728FA482"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0.72</w:t>
            </w:r>
          </w:p>
        </w:tc>
      </w:tr>
      <w:tr w:rsidR="00AC1987" w:rsidRPr="005E2B16" w14:paraId="1E7ED022" w14:textId="77777777" w:rsidTr="00AC1987">
        <w:trPr>
          <w:trHeight w:val="300"/>
          <w:jc w:val="center"/>
        </w:trPr>
        <w:tc>
          <w:tcPr>
            <w:tcW w:w="1843" w:type="dxa"/>
            <w:shd w:val="clear" w:color="auto" w:fill="auto"/>
            <w:noWrap/>
            <w:vAlign w:val="bottom"/>
          </w:tcPr>
          <w:p w14:paraId="4C402522" w14:textId="560BE691" w:rsidR="00AC1987" w:rsidRPr="005E2B16" w:rsidRDefault="00AC1987" w:rsidP="00E3744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sz w:val="20"/>
                <w:szCs w:val="20"/>
                <w:lang w:eastAsia="en-GB"/>
              </w:rPr>
              <w:t>Overhead cost</w:t>
            </w:r>
          </w:p>
        </w:tc>
        <w:tc>
          <w:tcPr>
            <w:tcW w:w="1194" w:type="dxa"/>
            <w:shd w:val="clear" w:color="auto" w:fill="auto"/>
            <w:noWrap/>
            <w:vAlign w:val="bottom"/>
          </w:tcPr>
          <w:p w14:paraId="53DD5A20" w14:textId="25337EE9"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0.05</w:t>
            </w:r>
          </w:p>
          <w:p w14:paraId="6DD7501E" w14:textId="1326750E"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(0.09</w:t>
            </w:r>
            <w:r w:rsidRPr="005E2B16">
              <w:rPr>
                <w:rFonts w:ascii="Times New Roman" w:eastAsia="Times New Roman" w:hAnsi="Times New Roman" w:cs="Times New Roman"/>
                <w:color w:val="000000"/>
                <w:sz w:val="20"/>
                <w:szCs w:val="20"/>
                <w:lang w:eastAsia="en-GB"/>
              </w:rPr>
              <w:t>)</w:t>
            </w:r>
          </w:p>
        </w:tc>
        <w:tc>
          <w:tcPr>
            <w:tcW w:w="933" w:type="dxa"/>
            <w:shd w:val="clear" w:color="auto" w:fill="auto"/>
            <w:noWrap/>
            <w:vAlign w:val="bottom"/>
          </w:tcPr>
          <w:p w14:paraId="78298E93" w14:textId="71E18492"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0.02</w:t>
            </w:r>
          </w:p>
          <w:p w14:paraId="6D4F8B05" w14:textId="052305F0"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(0.07</w:t>
            </w:r>
            <w:r w:rsidRPr="005E2B16">
              <w:rPr>
                <w:rFonts w:ascii="Times New Roman" w:eastAsia="Times New Roman" w:hAnsi="Times New Roman" w:cs="Times New Roman"/>
                <w:color w:val="000000"/>
                <w:sz w:val="20"/>
                <w:szCs w:val="20"/>
                <w:lang w:eastAsia="en-GB"/>
              </w:rPr>
              <w:t>)</w:t>
            </w:r>
          </w:p>
        </w:tc>
        <w:tc>
          <w:tcPr>
            <w:tcW w:w="567" w:type="dxa"/>
            <w:tcBorders>
              <w:right w:val="single" w:sz="4" w:space="0" w:color="auto"/>
            </w:tcBorders>
            <w:shd w:val="clear" w:color="auto" w:fill="auto"/>
            <w:noWrap/>
            <w:vAlign w:val="bottom"/>
          </w:tcPr>
          <w:p w14:paraId="1F953521" w14:textId="19C7A205"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0.36</w:t>
            </w:r>
          </w:p>
        </w:tc>
        <w:tc>
          <w:tcPr>
            <w:tcW w:w="1250" w:type="dxa"/>
            <w:tcBorders>
              <w:left w:val="single" w:sz="4" w:space="0" w:color="auto"/>
            </w:tcBorders>
            <w:shd w:val="clear" w:color="auto" w:fill="auto"/>
            <w:noWrap/>
            <w:vAlign w:val="bottom"/>
          </w:tcPr>
          <w:p w14:paraId="3A2405A3" w14:textId="64F07EC8"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0.04</w:t>
            </w:r>
          </w:p>
          <w:p w14:paraId="12F8FF1B" w14:textId="793CB20B"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(1.09)</w:t>
            </w:r>
          </w:p>
        </w:tc>
        <w:tc>
          <w:tcPr>
            <w:tcW w:w="1017" w:type="dxa"/>
            <w:shd w:val="clear" w:color="auto" w:fill="auto"/>
            <w:noWrap/>
            <w:vAlign w:val="bottom"/>
          </w:tcPr>
          <w:p w14:paraId="755F6DD2" w14:textId="59BF7A95" w:rsidR="00AC1987"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0.04</w:t>
            </w:r>
          </w:p>
          <w:p w14:paraId="69050846" w14:textId="688A1861"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(0.04</w:t>
            </w:r>
            <w:r w:rsidRPr="005E2B16">
              <w:rPr>
                <w:rFonts w:ascii="Times New Roman" w:eastAsia="Times New Roman" w:hAnsi="Times New Roman" w:cs="Times New Roman"/>
                <w:color w:val="000000"/>
                <w:sz w:val="20"/>
                <w:szCs w:val="20"/>
                <w:lang w:eastAsia="en-GB"/>
              </w:rPr>
              <w:t>)</w:t>
            </w:r>
          </w:p>
        </w:tc>
        <w:tc>
          <w:tcPr>
            <w:tcW w:w="966" w:type="dxa"/>
            <w:tcBorders>
              <w:right w:val="single" w:sz="4" w:space="0" w:color="auto"/>
            </w:tcBorders>
            <w:shd w:val="clear" w:color="auto" w:fill="auto"/>
            <w:noWrap/>
            <w:vAlign w:val="bottom"/>
          </w:tcPr>
          <w:p w14:paraId="011B505B" w14:textId="6F0C649D"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0.07***</w:t>
            </w:r>
          </w:p>
        </w:tc>
        <w:tc>
          <w:tcPr>
            <w:tcW w:w="1212" w:type="dxa"/>
            <w:tcBorders>
              <w:left w:val="single" w:sz="4" w:space="0" w:color="auto"/>
            </w:tcBorders>
            <w:shd w:val="clear" w:color="auto" w:fill="auto"/>
            <w:noWrap/>
            <w:vAlign w:val="bottom"/>
          </w:tcPr>
          <w:p w14:paraId="0FE66E41" w14:textId="62B41C1F" w:rsidR="00AC1987" w:rsidRDefault="00AC1987" w:rsidP="00E37441">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0.03</w:t>
            </w:r>
          </w:p>
          <w:p w14:paraId="16207A20" w14:textId="6A15FFAB" w:rsidR="00AC1987" w:rsidRPr="005E2B16" w:rsidRDefault="00AC1987" w:rsidP="00E37441">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(0.07</w:t>
            </w:r>
            <w:r w:rsidRPr="005E2B16">
              <w:rPr>
                <w:rFonts w:ascii="Times New Roman" w:eastAsia="Times New Roman" w:hAnsi="Times New Roman" w:cs="Times New Roman"/>
                <w:sz w:val="20"/>
                <w:szCs w:val="20"/>
                <w:lang w:eastAsia="en-GB"/>
              </w:rPr>
              <w:t>)</w:t>
            </w:r>
          </w:p>
        </w:tc>
        <w:tc>
          <w:tcPr>
            <w:tcW w:w="940" w:type="dxa"/>
            <w:shd w:val="clear" w:color="auto" w:fill="auto"/>
            <w:noWrap/>
            <w:vAlign w:val="bottom"/>
          </w:tcPr>
          <w:p w14:paraId="76F9D9AD" w14:textId="5A147BAF" w:rsidR="00AC1987" w:rsidRDefault="00AC1987" w:rsidP="00E37441">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0.02</w:t>
            </w:r>
          </w:p>
          <w:p w14:paraId="6A20C54F" w14:textId="7C0DC878" w:rsidR="00AC1987" w:rsidRPr="005E2B16" w:rsidRDefault="00AC1987" w:rsidP="00E37441">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(0.07</w:t>
            </w:r>
            <w:r w:rsidRPr="005E2B16">
              <w:rPr>
                <w:rFonts w:ascii="Times New Roman" w:eastAsia="Times New Roman" w:hAnsi="Times New Roman" w:cs="Times New Roman"/>
                <w:sz w:val="20"/>
                <w:szCs w:val="20"/>
                <w:lang w:eastAsia="en-GB"/>
              </w:rPr>
              <w:t>)</w:t>
            </w:r>
          </w:p>
        </w:tc>
        <w:tc>
          <w:tcPr>
            <w:tcW w:w="567" w:type="dxa"/>
            <w:shd w:val="clear" w:color="auto" w:fill="auto"/>
            <w:noWrap/>
            <w:vAlign w:val="bottom"/>
          </w:tcPr>
          <w:p w14:paraId="063E48E3" w14:textId="0BA6FD99" w:rsidR="00AC1987" w:rsidRPr="005E2B16" w:rsidRDefault="00AC1987" w:rsidP="00E3744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0.57</w:t>
            </w:r>
          </w:p>
        </w:tc>
      </w:tr>
    </w:tbl>
    <w:p w14:paraId="464404B3" w14:textId="77777777" w:rsidR="00AC1987" w:rsidRDefault="00AC1987" w:rsidP="00B26B85">
      <w:pPr>
        <w:spacing w:after="0" w:line="240" w:lineRule="auto"/>
        <w:jc w:val="both"/>
        <w:rPr>
          <w:rFonts w:ascii="Times New Roman" w:hAnsi="Times New Roman" w:cs="Times New Roman"/>
          <w:i/>
          <w:sz w:val="24"/>
          <w:szCs w:val="24"/>
          <w:lang w:val="en-US"/>
        </w:rPr>
      </w:pPr>
    </w:p>
    <w:p w14:paraId="7B446FDF" w14:textId="27CEDEBF" w:rsidR="00B26B85" w:rsidRPr="005E2B16" w:rsidRDefault="00B26B85" w:rsidP="00B26B85">
      <w:pPr>
        <w:spacing w:after="0" w:line="240" w:lineRule="auto"/>
        <w:jc w:val="both"/>
        <w:rPr>
          <w:rFonts w:ascii="Times New Roman" w:hAnsi="Times New Roman" w:cs="Times New Roman"/>
          <w:i/>
          <w:sz w:val="24"/>
          <w:szCs w:val="24"/>
          <w:lang w:val="en-US"/>
        </w:rPr>
      </w:pPr>
      <w:r w:rsidRPr="005E2B16">
        <w:rPr>
          <w:rFonts w:ascii="Times New Roman" w:hAnsi="Times New Roman" w:cs="Times New Roman"/>
          <w:i/>
          <w:sz w:val="24"/>
          <w:szCs w:val="24"/>
          <w:lang w:val="en-US"/>
        </w:rPr>
        <w:t>Kernel Density Plot: Productivity and Fiscal Incentives</w:t>
      </w:r>
    </w:p>
    <w:p w14:paraId="0B84AEA2" w14:textId="28D8839F" w:rsidR="00B26B85" w:rsidRPr="005E2B16" w:rsidRDefault="00E6583B" w:rsidP="00B26B8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B26B85" w:rsidRPr="005E2B16">
        <w:rPr>
          <w:rFonts w:ascii="Times New Roman" w:hAnsi="Times New Roman" w:cs="Times New Roman"/>
          <w:sz w:val="24"/>
          <w:szCs w:val="24"/>
          <w:lang w:val="en-US"/>
        </w:rPr>
        <w:t xml:space="preserve">he productivity of firms </w:t>
      </w:r>
      <w:r>
        <w:rPr>
          <w:rFonts w:ascii="Times New Roman" w:hAnsi="Times New Roman" w:cs="Times New Roman"/>
          <w:sz w:val="24"/>
          <w:szCs w:val="24"/>
          <w:lang w:val="en-US"/>
        </w:rPr>
        <w:t xml:space="preserve">(across </w:t>
      </w:r>
      <w:r w:rsidR="00B26B85" w:rsidRPr="005E2B16">
        <w:rPr>
          <w:rFonts w:ascii="Times New Roman" w:hAnsi="Times New Roman" w:cs="Times New Roman"/>
          <w:sz w:val="24"/>
          <w:szCs w:val="24"/>
          <w:lang w:val="en-US"/>
        </w:rPr>
        <w:t>the</w:t>
      </w:r>
      <w:r>
        <w:rPr>
          <w:rFonts w:ascii="Times New Roman" w:hAnsi="Times New Roman" w:cs="Times New Roman"/>
          <w:sz w:val="24"/>
          <w:szCs w:val="24"/>
          <w:lang w:val="en-US"/>
        </w:rPr>
        <w:t xml:space="preserve">ir fiscal incentive beneficiary status) are considered using the </w:t>
      </w:r>
      <w:r w:rsidR="00B26B85" w:rsidRPr="005E2B16">
        <w:rPr>
          <w:rFonts w:ascii="Times New Roman" w:hAnsi="Times New Roman" w:cs="Times New Roman"/>
          <w:sz w:val="24"/>
          <w:szCs w:val="24"/>
          <w:lang w:val="en-US"/>
        </w:rPr>
        <w:t xml:space="preserve">kernel density plots in order to observe their respective biases. </w:t>
      </w:r>
      <w:r>
        <w:rPr>
          <w:rFonts w:ascii="Times New Roman" w:hAnsi="Times New Roman" w:cs="Times New Roman"/>
          <w:sz w:val="24"/>
          <w:szCs w:val="24"/>
          <w:lang w:val="en-US"/>
        </w:rPr>
        <w:t>T</w:t>
      </w:r>
      <w:r w:rsidR="00B26B85" w:rsidRPr="005E2B16">
        <w:rPr>
          <w:rFonts w:ascii="Times New Roman" w:hAnsi="Times New Roman" w:cs="Times New Roman"/>
          <w:sz w:val="24"/>
          <w:szCs w:val="24"/>
          <w:lang w:val="en-US"/>
        </w:rPr>
        <w:t xml:space="preserve">he kernel density plot estimates the probability density function of productivity based on </w:t>
      </w:r>
      <w:r>
        <w:rPr>
          <w:rFonts w:ascii="Times New Roman" w:hAnsi="Times New Roman" w:cs="Times New Roman"/>
          <w:sz w:val="24"/>
          <w:szCs w:val="24"/>
          <w:lang w:val="en-US"/>
        </w:rPr>
        <w:t xml:space="preserve">the </w:t>
      </w:r>
      <w:r w:rsidR="00B26B85" w:rsidRPr="005E2B16">
        <w:rPr>
          <w:rFonts w:ascii="Times New Roman" w:hAnsi="Times New Roman" w:cs="Times New Roman"/>
          <w:sz w:val="24"/>
          <w:szCs w:val="24"/>
          <w:lang w:val="en-US"/>
        </w:rPr>
        <w:t>observed sample</w:t>
      </w:r>
      <w:r>
        <w:rPr>
          <w:rFonts w:ascii="Times New Roman" w:hAnsi="Times New Roman" w:cs="Times New Roman"/>
          <w:sz w:val="24"/>
          <w:szCs w:val="24"/>
          <w:lang w:val="en-US"/>
        </w:rPr>
        <w:t xml:space="preserve"> </w:t>
      </w:r>
      <w:r w:rsidRPr="005E2B16">
        <w:rPr>
          <w:rFonts w:ascii="Times New Roman" w:hAnsi="Times New Roman" w:cs="Times New Roman"/>
          <w:sz w:val="24"/>
          <w:szCs w:val="24"/>
          <w:lang w:val="en-US"/>
        </w:rPr>
        <w:t>(see Barron, 2014)</w:t>
      </w:r>
      <w:r w:rsidR="00B26B85" w:rsidRPr="005E2B16">
        <w:rPr>
          <w:rFonts w:ascii="Times New Roman" w:hAnsi="Times New Roman" w:cs="Times New Roman"/>
          <w:sz w:val="24"/>
          <w:szCs w:val="24"/>
          <w:lang w:val="en-US"/>
        </w:rPr>
        <w:t xml:space="preserve">. More so, it allows for a smooth distribution of productivity across the entire and sub-samples of </w:t>
      </w:r>
      <w:r w:rsidR="00575B5E" w:rsidRPr="005E2B16">
        <w:rPr>
          <w:rFonts w:ascii="Times New Roman" w:hAnsi="Times New Roman" w:cs="Times New Roman"/>
          <w:sz w:val="24"/>
          <w:szCs w:val="24"/>
          <w:lang w:val="en-US"/>
        </w:rPr>
        <w:t xml:space="preserve">the </w:t>
      </w:r>
      <w:r w:rsidR="00B26B85" w:rsidRPr="005E2B16">
        <w:rPr>
          <w:rFonts w:ascii="Times New Roman" w:hAnsi="Times New Roman" w:cs="Times New Roman"/>
          <w:sz w:val="24"/>
          <w:szCs w:val="24"/>
          <w:lang w:val="en-US"/>
        </w:rPr>
        <w:t xml:space="preserve">firms </w:t>
      </w:r>
      <w:r>
        <w:rPr>
          <w:rFonts w:ascii="Times New Roman" w:hAnsi="Times New Roman" w:cs="Times New Roman"/>
          <w:sz w:val="24"/>
          <w:szCs w:val="24"/>
          <w:lang w:val="en-US"/>
        </w:rPr>
        <w:t>based on their beneficiary status</w:t>
      </w:r>
      <w:r w:rsidR="00B26B85" w:rsidRPr="005E2B16">
        <w:rPr>
          <w:rFonts w:ascii="Times New Roman" w:hAnsi="Times New Roman" w:cs="Times New Roman"/>
          <w:sz w:val="24"/>
          <w:szCs w:val="24"/>
          <w:lang w:val="en-US"/>
        </w:rPr>
        <w:t xml:space="preserve">. </w:t>
      </w:r>
    </w:p>
    <w:p w14:paraId="7C2C30A0" w14:textId="77777777" w:rsidR="00B26B85" w:rsidRPr="005E2B16" w:rsidRDefault="00B26B85" w:rsidP="00B26B85">
      <w:pPr>
        <w:spacing w:after="0" w:line="240" w:lineRule="auto"/>
        <w:jc w:val="both"/>
        <w:rPr>
          <w:rFonts w:ascii="Times New Roman" w:hAnsi="Times New Roman" w:cs="Times New Roman"/>
          <w:sz w:val="24"/>
          <w:szCs w:val="24"/>
          <w:lang w:val="en-US"/>
        </w:rPr>
      </w:pPr>
    </w:p>
    <w:p w14:paraId="465257AC" w14:textId="712EB922" w:rsidR="00B26B85" w:rsidRPr="005E2B16" w:rsidRDefault="00B26B85" w:rsidP="00B26B85">
      <w:pPr>
        <w:spacing w:after="0" w:line="240" w:lineRule="auto"/>
        <w:jc w:val="both"/>
        <w:rPr>
          <w:rFonts w:ascii="Times New Roman" w:hAnsi="Times New Roman" w:cs="Times New Roman"/>
          <w:sz w:val="24"/>
          <w:szCs w:val="24"/>
          <w:lang w:val="en-US"/>
        </w:rPr>
      </w:pPr>
      <w:r w:rsidRPr="00E37441">
        <w:rPr>
          <w:rFonts w:ascii="Times New Roman" w:hAnsi="Times New Roman" w:cs="Times New Roman"/>
          <w:sz w:val="24"/>
          <w:szCs w:val="24"/>
          <w:lang w:val="en-US"/>
        </w:rPr>
        <w:t>To understand overall productivity benefit associated with fiscal incentives, it is therefore</w:t>
      </w:r>
      <w:r w:rsidRPr="005E2B16">
        <w:rPr>
          <w:rFonts w:ascii="Times New Roman" w:hAnsi="Times New Roman" w:cs="Times New Roman"/>
          <w:sz w:val="24"/>
          <w:szCs w:val="24"/>
          <w:lang w:val="en-US"/>
        </w:rPr>
        <w:t xml:space="preserve"> necessary to derive more aggregate fiscal incentive measures, allowing for better comparison of firms that benefited</w:t>
      </w:r>
      <w:r w:rsidR="00575B5E" w:rsidRPr="005E2B16">
        <w:rPr>
          <w:rFonts w:ascii="Times New Roman" w:hAnsi="Times New Roman" w:cs="Times New Roman"/>
          <w:sz w:val="24"/>
          <w:szCs w:val="24"/>
          <w:lang w:val="en-US"/>
        </w:rPr>
        <w:t>,</w:t>
      </w:r>
      <w:r w:rsidRPr="005E2B16">
        <w:rPr>
          <w:rFonts w:ascii="Times New Roman" w:hAnsi="Times New Roman" w:cs="Times New Roman"/>
          <w:sz w:val="24"/>
          <w:szCs w:val="24"/>
          <w:lang w:val="en-US"/>
        </w:rPr>
        <w:t xml:space="preserve"> and those that did not benefit, as well as the overall sampled firms.</w:t>
      </w:r>
      <w:r w:rsidRPr="005E2B16">
        <w:rPr>
          <w:rFonts w:ascii="Times New Roman" w:hAnsi="Times New Roman" w:cs="Times New Roman"/>
          <w:lang w:val="en-US"/>
        </w:rPr>
        <w:t xml:space="preserve"> </w:t>
      </w:r>
      <w:r w:rsidRPr="005E2B16">
        <w:rPr>
          <w:rFonts w:ascii="Times New Roman" w:hAnsi="Times New Roman" w:cs="Times New Roman"/>
          <w:sz w:val="24"/>
          <w:szCs w:val="24"/>
          <w:lang w:val="en-US"/>
        </w:rPr>
        <w:t xml:space="preserve">This measure is such that the firms were attributed 1 if they have benefited from any of the three categories of the incentives (i.e. import duty exemption, profit tax exemption and export financing) and 0 otherwise. </w:t>
      </w:r>
      <w:r w:rsidR="00575B5E" w:rsidRPr="005E2B16">
        <w:rPr>
          <w:rFonts w:ascii="Times New Roman" w:hAnsi="Times New Roman" w:cs="Times New Roman"/>
          <w:sz w:val="24"/>
          <w:szCs w:val="24"/>
          <w:lang w:val="en-US"/>
        </w:rPr>
        <w:t xml:space="preserve">The </w:t>
      </w:r>
      <w:r w:rsidRPr="005E2B16">
        <w:rPr>
          <w:rFonts w:ascii="Times New Roman" w:hAnsi="Times New Roman" w:cs="Times New Roman"/>
          <w:sz w:val="24"/>
          <w:szCs w:val="24"/>
          <w:lang w:val="en-US"/>
        </w:rPr>
        <w:t xml:space="preserve">plot is presented in </w:t>
      </w:r>
      <w:r w:rsidRPr="00A55EC9">
        <w:rPr>
          <w:rFonts w:ascii="Times New Roman" w:hAnsi="Times New Roman" w:cs="Times New Roman"/>
          <w:sz w:val="24"/>
          <w:szCs w:val="24"/>
          <w:lang w:val="en-US"/>
        </w:rPr>
        <w:t>Figure 4.1</w:t>
      </w:r>
      <w:r w:rsidRPr="005E2B16">
        <w:rPr>
          <w:rFonts w:ascii="Times New Roman" w:hAnsi="Times New Roman" w:cs="Times New Roman"/>
          <w:sz w:val="24"/>
          <w:szCs w:val="24"/>
          <w:lang w:val="en-US"/>
        </w:rPr>
        <w:t xml:space="preserve"> and the three lines in the Figure represent the aggregate sample and the sub-samples according to the firms benefiting from any of these forms of incentive. </w:t>
      </w:r>
    </w:p>
    <w:p w14:paraId="5FFA2A8A" w14:textId="77777777" w:rsidR="00B26B85" w:rsidRPr="005E2B16" w:rsidRDefault="00B26B85" w:rsidP="00B26B85">
      <w:pPr>
        <w:spacing w:after="0" w:line="240" w:lineRule="auto"/>
        <w:jc w:val="both"/>
        <w:rPr>
          <w:rFonts w:ascii="Times New Roman" w:hAnsi="Times New Roman" w:cs="Times New Roman"/>
          <w:sz w:val="24"/>
          <w:szCs w:val="24"/>
          <w:lang w:val="en-US"/>
        </w:rPr>
      </w:pPr>
    </w:p>
    <w:p w14:paraId="1B3ECDCC" w14:textId="28814B02" w:rsidR="00B26B85" w:rsidRPr="005E2B16" w:rsidRDefault="00B26B85" w:rsidP="00B26B85">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From the Figure, it is observed that firms that benefit from any of these forms of incentive</w:t>
      </w:r>
      <w:r w:rsidR="00575B5E" w:rsidRPr="005E2B16">
        <w:rPr>
          <w:rFonts w:ascii="Times New Roman" w:hAnsi="Times New Roman" w:cs="Times New Roman"/>
          <w:sz w:val="24"/>
          <w:szCs w:val="24"/>
          <w:lang w:val="en-US"/>
        </w:rPr>
        <w:t>s</w:t>
      </w:r>
      <w:r w:rsidRPr="005E2B16">
        <w:rPr>
          <w:rFonts w:ascii="Times New Roman" w:hAnsi="Times New Roman" w:cs="Times New Roman"/>
          <w:sz w:val="24"/>
          <w:szCs w:val="24"/>
          <w:lang w:val="en-US"/>
        </w:rPr>
        <w:t xml:space="preserve"> are biased towards the right. Their density overlaps with the density of those that did not benefit from any of the incentives, as well as the density of the total firms. This means that firms that enjoy any of these forms of incentives have higher productivity relative to the firms that do not benefit from these incentives. On the other hand, firms that do not benefit from any of these incentives are biased to the left, suggesting that they are less productive than their counterparts. We therefore infer that firms that benefit from these forms of incentives have a higher productivity and they tend to be relatively more productive than their non-beneficial counterparts.    </w:t>
      </w:r>
    </w:p>
    <w:p w14:paraId="5369C088" w14:textId="77777777" w:rsidR="00B26B85" w:rsidRPr="005E2B16" w:rsidRDefault="00B26B85" w:rsidP="00B26B85">
      <w:pPr>
        <w:spacing w:after="0" w:line="240" w:lineRule="auto"/>
        <w:jc w:val="both"/>
        <w:rPr>
          <w:rFonts w:ascii="Times New Roman" w:hAnsi="Times New Roman" w:cs="Times New Roman"/>
          <w:sz w:val="24"/>
          <w:szCs w:val="24"/>
          <w:lang w:val="en-US"/>
        </w:rPr>
      </w:pPr>
    </w:p>
    <w:p w14:paraId="1B0C0ECE" w14:textId="77777777" w:rsidR="00B26B85" w:rsidRPr="005E2B16" w:rsidRDefault="00B26B85" w:rsidP="00B26B85">
      <w:pPr>
        <w:jc w:val="center"/>
        <w:rPr>
          <w:rFonts w:ascii="Times New Roman" w:hAnsi="Times New Roman" w:cs="Times New Roman"/>
          <w:b/>
          <w:sz w:val="20"/>
          <w:szCs w:val="20"/>
        </w:rPr>
      </w:pPr>
      <w:r w:rsidRPr="005E2B16">
        <w:rPr>
          <w:rFonts w:ascii="Times New Roman" w:hAnsi="Times New Roman" w:cs="Times New Roman"/>
          <w:b/>
          <w:sz w:val="20"/>
          <w:szCs w:val="20"/>
        </w:rPr>
        <w:t>Figure 4.1: Productivity of Firms by their Benefiting from any of the Incentives (i.e. Import Duty Exemptions, Profit Tax Exemption and Export Financing)</w:t>
      </w:r>
    </w:p>
    <w:p w14:paraId="38A0AFCE" w14:textId="77777777" w:rsidR="00B26B85" w:rsidRPr="005E2B16" w:rsidRDefault="00B26B85" w:rsidP="00B26B85">
      <w:pPr>
        <w:jc w:val="center"/>
        <w:rPr>
          <w:rFonts w:ascii="Times New Roman" w:hAnsi="Times New Roman" w:cs="Times New Roman"/>
          <w:b/>
          <w:sz w:val="20"/>
          <w:szCs w:val="20"/>
        </w:rPr>
      </w:pPr>
      <w:r w:rsidRPr="005E2B16">
        <w:rPr>
          <w:rFonts w:ascii="Times New Roman" w:hAnsi="Times New Roman" w:cs="Times New Roman"/>
          <w:b/>
          <w:noProof/>
          <w:sz w:val="20"/>
          <w:szCs w:val="20"/>
          <w:lang w:val="en-US"/>
        </w:rPr>
        <w:drawing>
          <wp:inline distT="0" distB="0" distL="0" distR="0" wp14:anchorId="078549CE" wp14:editId="1F6D20C1">
            <wp:extent cx="5924550" cy="3409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0" cy="3409950"/>
                    </a:xfrm>
                    <a:prstGeom prst="rect">
                      <a:avLst/>
                    </a:prstGeom>
                    <a:noFill/>
                    <a:ln>
                      <a:noFill/>
                    </a:ln>
                  </pic:spPr>
                </pic:pic>
              </a:graphicData>
            </a:graphic>
          </wp:inline>
        </w:drawing>
      </w:r>
    </w:p>
    <w:p w14:paraId="52BFE456" w14:textId="032756BC" w:rsidR="009D44ED" w:rsidRPr="005E2B16" w:rsidRDefault="0067634B" w:rsidP="009D44ED">
      <w:pPr>
        <w:spacing w:after="0" w:line="240" w:lineRule="auto"/>
        <w:jc w:val="both"/>
        <w:rPr>
          <w:rFonts w:ascii="Times New Roman" w:hAnsi="Times New Roman" w:cs="Times New Roman"/>
          <w:b/>
          <w:lang w:val="en-US"/>
        </w:rPr>
      </w:pPr>
      <w:r w:rsidRPr="005E2B16">
        <w:rPr>
          <w:rFonts w:ascii="Times New Roman" w:hAnsi="Times New Roman" w:cs="Times New Roman"/>
          <w:b/>
          <w:lang w:val="en-US"/>
        </w:rPr>
        <w:lastRenderedPageBreak/>
        <w:t>5</w:t>
      </w:r>
      <w:r w:rsidR="005A7CE2" w:rsidRPr="005E2B16">
        <w:rPr>
          <w:rFonts w:ascii="Times New Roman" w:hAnsi="Times New Roman" w:cs="Times New Roman"/>
          <w:b/>
          <w:lang w:val="en-US"/>
        </w:rPr>
        <w:t>.</w:t>
      </w:r>
      <w:r w:rsidR="005A7CE2" w:rsidRPr="005E2B16">
        <w:rPr>
          <w:rFonts w:ascii="Times New Roman" w:hAnsi="Times New Roman" w:cs="Times New Roman"/>
          <w:b/>
          <w:lang w:val="en-US"/>
        </w:rPr>
        <w:tab/>
      </w:r>
      <w:r w:rsidR="009D44ED" w:rsidRPr="005E2B16">
        <w:rPr>
          <w:rFonts w:ascii="Times New Roman" w:hAnsi="Times New Roman" w:cs="Times New Roman"/>
          <w:b/>
          <w:lang w:val="en-US"/>
        </w:rPr>
        <w:t>Econometric results</w:t>
      </w:r>
      <w:r w:rsidR="004618E4" w:rsidRPr="005E2B16">
        <w:rPr>
          <w:rStyle w:val="FootnoteReference"/>
          <w:rFonts w:ascii="Times New Roman" w:hAnsi="Times New Roman" w:cs="Times New Roman"/>
          <w:b/>
          <w:lang w:val="en-US"/>
        </w:rPr>
        <w:footnoteReference w:id="7"/>
      </w:r>
    </w:p>
    <w:p w14:paraId="4406BC2D" w14:textId="4A42D185" w:rsidR="00B21E94" w:rsidRPr="005E2B16" w:rsidRDefault="0008621A" w:rsidP="0008621A">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 xml:space="preserve">The observed differences in </w:t>
      </w:r>
      <w:r w:rsidR="007A6C1B" w:rsidRPr="005E2B16">
        <w:rPr>
          <w:rFonts w:ascii="Times New Roman" w:hAnsi="Times New Roman" w:cs="Times New Roman"/>
          <w:sz w:val="24"/>
          <w:szCs w:val="24"/>
          <w:lang w:val="en-US"/>
        </w:rPr>
        <w:t xml:space="preserve">the productivity of firms that have benefited from any of the incentives </w:t>
      </w:r>
      <w:r w:rsidRPr="005E2B16">
        <w:rPr>
          <w:rFonts w:ascii="Times New Roman" w:hAnsi="Times New Roman" w:cs="Times New Roman"/>
          <w:sz w:val="24"/>
          <w:szCs w:val="24"/>
          <w:lang w:val="en-US"/>
        </w:rPr>
        <w:t xml:space="preserve">vis-à-vis </w:t>
      </w:r>
      <w:r w:rsidR="007A6C1B" w:rsidRPr="005E2B16">
        <w:rPr>
          <w:rFonts w:ascii="Times New Roman" w:hAnsi="Times New Roman" w:cs="Times New Roman"/>
          <w:sz w:val="24"/>
          <w:szCs w:val="24"/>
          <w:lang w:val="en-US"/>
        </w:rPr>
        <w:t xml:space="preserve">those that have </w:t>
      </w:r>
      <w:r w:rsidRPr="005E2B16">
        <w:rPr>
          <w:rFonts w:ascii="Times New Roman" w:hAnsi="Times New Roman" w:cs="Times New Roman"/>
          <w:sz w:val="24"/>
          <w:szCs w:val="24"/>
          <w:lang w:val="en-US"/>
        </w:rPr>
        <w:t xml:space="preserve">not </w:t>
      </w:r>
      <w:r w:rsidR="007A6C1B" w:rsidRPr="005E2B16">
        <w:rPr>
          <w:rFonts w:ascii="Times New Roman" w:hAnsi="Times New Roman" w:cs="Times New Roman"/>
          <w:sz w:val="24"/>
          <w:szCs w:val="24"/>
          <w:lang w:val="en-US"/>
        </w:rPr>
        <w:t>benefited</w:t>
      </w:r>
      <w:r w:rsidR="00150057" w:rsidRPr="005E2B16">
        <w:rPr>
          <w:rFonts w:ascii="Times New Roman" w:hAnsi="Times New Roman" w:cs="Times New Roman"/>
          <w:sz w:val="24"/>
          <w:szCs w:val="24"/>
          <w:lang w:val="en-US"/>
        </w:rPr>
        <w:t>,</w:t>
      </w:r>
      <w:r w:rsidR="007A6C1B" w:rsidRPr="005E2B16">
        <w:rPr>
          <w:rFonts w:ascii="Times New Roman" w:hAnsi="Times New Roman" w:cs="Times New Roman"/>
          <w:sz w:val="24"/>
          <w:szCs w:val="24"/>
          <w:lang w:val="en-US"/>
        </w:rPr>
        <w:t xml:space="preserve"> </w:t>
      </w:r>
      <w:r w:rsidRPr="005E2B16">
        <w:rPr>
          <w:rFonts w:ascii="Times New Roman" w:hAnsi="Times New Roman" w:cs="Times New Roman"/>
          <w:sz w:val="24"/>
          <w:szCs w:val="24"/>
          <w:lang w:val="en-US"/>
        </w:rPr>
        <w:t>suggest positive average pro</w:t>
      </w:r>
      <w:r w:rsidR="00960EA5" w:rsidRPr="005E2B16">
        <w:rPr>
          <w:rFonts w:ascii="Times New Roman" w:hAnsi="Times New Roman" w:cs="Times New Roman"/>
          <w:sz w:val="24"/>
          <w:szCs w:val="24"/>
          <w:lang w:val="en-US"/>
        </w:rPr>
        <w:t>ductivity</w:t>
      </w:r>
      <w:r w:rsidRPr="005E2B16">
        <w:rPr>
          <w:rFonts w:ascii="Times New Roman" w:hAnsi="Times New Roman" w:cs="Times New Roman"/>
          <w:sz w:val="24"/>
          <w:szCs w:val="24"/>
          <w:lang w:val="en-US"/>
        </w:rPr>
        <w:t xml:space="preserve"> effects. However, the outcome differences may also be the results of already initial differences in </w:t>
      </w:r>
      <w:r w:rsidR="00960EA5" w:rsidRPr="005E2B16">
        <w:rPr>
          <w:rFonts w:ascii="Times New Roman" w:hAnsi="Times New Roman" w:cs="Times New Roman"/>
          <w:sz w:val="24"/>
          <w:szCs w:val="24"/>
          <w:lang w:val="en-US"/>
        </w:rPr>
        <w:t xml:space="preserve">some of the </w:t>
      </w:r>
      <w:r w:rsidR="00D13248" w:rsidRPr="005E2B16">
        <w:rPr>
          <w:rFonts w:ascii="Times New Roman" w:hAnsi="Times New Roman" w:cs="Times New Roman"/>
          <w:sz w:val="24"/>
          <w:szCs w:val="24"/>
          <w:lang w:val="en-US"/>
        </w:rPr>
        <w:t xml:space="preserve">underlining </w:t>
      </w:r>
      <w:r w:rsidR="00960EA5" w:rsidRPr="005E2B16">
        <w:rPr>
          <w:rFonts w:ascii="Times New Roman" w:hAnsi="Times New Roman" w:cs="Times New Roman"/>
          <w:sz w:val="24"/>
          <w:szCs w:val="24"/>
          <w:lang w:val="en-US"/>
        </w:rPr>
        <w:t>peculiarities of the firms in any of these categories</w:t>
      </w:r>
      <w:r w:rsidRPr="005E2B16">
        <w:rPr>
          <w:rFonts w:ascii="Times New Roman" w:hAnsi="Times New Roman" w:cs="Times New Roman"/>
          <w:sz w:val="24"/>
          <w:szCs w:val="24"/>
          <w:lang w:val="en-US"/>
        </w:rPr>
        <w:t xml:space="preserve">. </w:t>
      </w:r>
      <w:r w:rsidR="00960EA5" w:rsidRPr="005E2B16">
        <w:rPr>
          <w:rFonts w:ascii="Times New Roman" w:hAnsi="Times New Roman" w:cs="Times New Roman"/>
          <w:sz w:val="24"/>
          <w:szCs w:val="24"/>
          <w:lang w:val="en-US"/>
        </w:rPr>
        <w:t>As a result, w</w:t>
      </w:r>
      <w:r w:rsidRPr="005E2B16">
        <w:rPr>
          <w:rFonts w:ascii="Times New Roman" w:hAnsi="Times New Roman" w:cs="Times New Roman"/>
          <w:sz w:val="24"/>
          <w:szCs w:val="24"/>
          <w:lang w:val="en-US"/>
        </w:rPr>
        <w:t xml:space="preserve">e therefore apply the econometric methods elaborated in </w:t>
      </w:r>
      <w:r w:rsidR="005A7CE2" w:rsidRPr="005E2B16">
        <w:rPr>
          <w:rFonts w:ascii="Times New Roman" w:hAnsi="Times New Roman" w:cs="Times New Roman"/>
          <w:sz w:val="24"/>
          <w:szCs w:val="24"/>
          <w:lang w:val="en-US"/>
        </w:rPr>
        <w:t>the fourth section</w:t>
      </w:r>
      <w:r w:rsidRPr="005E2B16">
        <w:rPr>
          <w:rFonts w:ascii="Times New Roman" w:hAnsi="Times New Roman" w:cs="Times New Roman"/>
          <w:sz w:val="24"/>
          <w:szCs w:val="24"/>
          <w:lang w:val="en-US"/>
        </w:rPr>
        <w:t xml:space="preserve">. We start by estimating the </w:t>
      </w:r>
      <w:r w:rsidR="00960EA5" w:rsidRPr="005E2B16">
        <w:rPr>
          <w:rFonts w:ascii="Times New Roman" w:hAnsi="Times New Roman" w:cs="Times New Roman"/>
          <w:sz w:val="24"/>
          <w:szCs w:val="24"/>
          <w:lang w:val="en-US"/>
        </w:rPr>
        <w:t xml:space="preserve">firms’ </w:t>
      </w:r>
      <w:r w:rsidRPr="005E2B16">
        <w:rPr>
          <w:rFonts w:ascii="Times New Roman" w:hAnsi="Times New Roman" w:cs="Times New Roman"/>
          <w:sz w:val="24"/>
          <w:szCs w:val="24"/>
          <w:lang w:val="en-US"/>
        </w:rPr>
        <w:t xml:space="preserve">propensity scores using a probit </w:t>
      </w:r>
      <w:r w:rsidR="00960EA5" w:rsidRPr="005E2B16">
        <w:rPr>
          <w:rFonts w:ascii="Times New Roman" w:hAnsi="Times New Roman" w:cs="Times New Roman"/>
          <w:sz w:val="24"/>
          <w:szCs w:val="24"/>
          <w:lang w:val="en-US"/>
        </w:rPr>
        <w:t xml:space="preserve">model; </w:t>
      </w:r>
      <w:r w:rsidRPr="005E2B16">
        <w:rPr>
          <w:rFonts w:ascii="Times New Roman" w:hAnsi="Times New Roman" w:cs="Times New Roman"/>
          <w:sz w:val="24"/>
          <w:szCs w:val="24"/>
          <w:lang w:val="en-US"/>
        </w:rPr>
        <w:t xml:space="preserve">we then use </w:t>
      </w:r>
      <w:r w:rsidR="00960EA5" w:rsidRPr="005E2B16">
        <w:rPr>
          <w:rFonts w:ascii="Times New Roman" w:hAnsi="Times New Roman" w:cs="Times New Roman"/>
          <w:sz w:val="24"/>
          <w:szCs w:val="24"/>
          <w:lang w:val="en-US"/>
        </w:rPr>
        <w:t xml:space="preserve">these scores </w:t>
      </w:r>
      <w:r w:rsidRPr="005E2B16">
        <w:rPr>
          <w:rFonts w:ascii="Times New Roman" w:hAnsi="Times New Roman" w:cs="Times New Roman"/>
          <w:sz w:val="24"/>
          <w:szCs w:val="24"/>
          <w:lang w:val="en-US"/>
        </w:rPr>
        <w:t xml:space="preserve">as </w:t>
      </w:r>
      <w:r w:rsidR="00960EA5" w:rsidRPr="005E2B16">
        <w:rPr>
          <w:rFonts w:ascii="Times New Roman" w:hAnsi="Times New Roman" w:cs="Times New Roman"/>
          <w:sz w:val="24"/>
          <w:szCs w:val="24"/>
          <w:lang w:val="en-US"/>
        </w:rPr>
        <w:t xml:space="preserve">the </w:t>
      </w:r>
      <w:r w:rsidRPr="005E2B16">
        <w:rPr>
          <w:rFonts w:ascii="Times New Roman" w:hAnsi="Times New Roman" w:cs="Times New Roman"/>
          <w:sz w:val="24"/>
          <w:szCs w:val="24"/>
          <w:lang w:val="en-US"/>
        </w:rPr>
        <w:t>basis for the matching procedures.</w:t>
      </w:r>
      <w:r w:rsidR="00D13248" w:rsidRPr="005E2B16">
        <w:rPr>
          <w:rFonts w:ascii="Times New Roman" w:hAnsi="Times New Roman" w:cs="Times New Roman"/>
          <w:sz w:val="24"/>
          <w:szCs w:val="24"/>
          <w:lang w:val="en-US"/>
        </w:rPr>
        <w:t xml:space="preserve"> </w:t>
      </w:r>
    </w:p>
    <w:p w14:paraId="00C66C61" w14:textId="77777777" w:rsidR="00B21E94" w:rsidRPr="005E2B16" w:rsidRDefault="00B21E94" w:rsidP="0008621A">
      <w:pPr>
        <w:spacing w:after="0" w:line="240" w:lineRule="auto"/>
        <w:jc w:val="both"/>
        <w:rPr>
          <w:rFonts w:ascii="Times New Roman" w:hAnsi="Times New Roman" w:cs="Times New Roman"/>
          <w:sz w:val="24"/>
          <w:szCs w:val="24"/>
          <w:lang w:val="en-US"/>
        </w:rPr>
      </w:pPr>
    </w:p>
    <w:p w14:paraId="600BE43F" w14:textId="02F9F53A" w:rsidR="0008621A" w:rsidRPr="005E2B16" w:rsidRDefault="00D13248" w:rsidP="0008621A">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It is important to note that we are estimating the PSM differently for the three categories of incentives that are of interest to us.</w:t>
      </w:r>
      <w:r w:rsidR="00B21E94" w:rsidRPr="005E2B16">
        <w:rPr>
          <w:rFonts w:ascii="Times New Roman" w:hAnsi="Times New Roman" w:cs="Times New Roman"/>
          <w:sz w:val="24"/>
          <w:szCs w:val="24"/>
          <w:lang w:val="en-US"/>
        </w:rPr>
        <w:t xml:space="preserve"> The </w:t>
      </w:r>
      <w:r w:rsidR="009A77F1" w:rsidRPr="005E2B16">
        <w:rPr>
          <w:rFonts w:ascii="Times New Roman" w:hAnsi="Times New Roman" w:cs="Times New Roman"/>
          <w:sz w:val="24"/>
          <w:szCs w:val="24"/>
          <w:lang w:val="en-US"/>
        </w:rPr>
        <w:t>reasons for this is to enable us have</w:t>
      </w:r>
      <w:r w:rsidR="00B21E94" w:rsidRPr="005E2B16">
        <w:rPr>
          <w:rFonts w:ascii="Times New Roman" w:hAnsi="Times New Roman" w:cs="Times New Roman"/>
          <w:sz w:val="24"/>
          <w:szCs w:val="24"/>
          <w:lang w:val="en-US"/>
        </w:rPr>
        <w:t xml:space="preserve"> a clearer perspective on the impact of each of these incentives on the productivity of firms across our sample</w:t>
      </w:r>
      <w:r w:rsidR="00150057" w:rsidRPr="005E2B16">
        <w:rPr>
          <w:rFonts w:ascii="Times New Roman" w:hAnsi="Times New Roman" w:cs="Times New Roman"/>
          <w:sz w:val="24"/>
          <w:szCs w:val="24"/>
          <w:lang w:val="en-US"/>
        </w:rPr>
        <w:t>,</w:t>
      </w:r>
      <w:r w:rsidR="00B21E94" w:rsidRPr="005E2B16">
        <w:rPr>
          <w:rFonts w:ascii="Times New Roman" w:hAnsi="Times New Roman" w:cs="Times New Roman"/>
          <w:sz w:val="24"/>
          <w:szCs w:val="24"/>
          <w:lang w:val="en-US"/>
        </w:rPr>
        <w:t xml:space="preserve"> and to enhance the quality of our </w:t>
      </w:r>
      <w:r w:rsidR="00DB4F9D" w:rsidRPr="005E2B16">
        <w:rPr>
          <w:rFonts w:ascii="Times New Roman" w:hAnsi="Times New Roman" w:cs="Times New Roman"/>
          <w:sz w:val="24"/>
          <w:szCs w:val="24"/>
          <w:lang w:val="en-US"/>
        </w:rPr>
        <w:t>predictions.</w:t>
      </w:r>
      <w:r w:rsidR="00077AE9" w:rsidRPr="005E2B16">
        <w:rPr>
          <w:rFonts w:ascii="Times New Roman" w:hAnsi="Times New Roman" w:cs="Times New Roman"/>
          <w:sz w:val="24"/>
          <w:szCs w:val="24"/>
          <w:lang w:val="en-US"/>
        </w:rPr>
        <w:t xml:space="preserve"> As such, using aggregate data to capture the overall incentive may not be relevant henceforth.</w:t>
      </w:r>
      <w:r w:rsidR="001F455F" w:rsidRPr="005E2B16">
        <w:rPr>
          <w:rFonts w:ascii="Times New Roman" w:hAnsi="Times New Roman" w:cs="Times New Roman"/>
          <w:sz w:val="24"/>
          <w:szCs w:val="24"/>
          <w:lang w:val="en-US"/>
        </w:rPr>
        <w:t xml:space="preserve"> The firms that benefit from any of these incentives are the participants, while those in the other category are the non-participants.</w:t>
      </w:r>
      <w:r w:rsidR="00077AE9" w:rsidRPr="005E2B16">
        <w:rPr>
          <w:rFonts w:ascii="Times New Roman" w:hAnsi="Times New Roman" w:cs="Times New Roman"/>
          <w:sz w:val="24"/>
          <w:szCs w:val="24"/>
          <w:lang w:val="en-US"/>
        </w:rPr>
        <w:t xml:space="preserve"> </w:t>
      </w:r>
    </w:p>
    <w:p w14:paraId="667933AA" w14:textId="77777777" w:rsidR="009D44ED" w:rsidRPr="005E2B16" w:rsidRDefault="009D44ED" w:rsidP="0008621A">
      <w:pPr>
        <w:spacing w:after="0" w:line="240" w:lineRule="auto"/>
        <w:jc w:val="both"/>
        <w:rPr>
          <w:rFonts w:ascii="Times New Roman" w:hAnsi="Times New Roman" w:cs="Times New Roman"/>
          <w:sz w:val="24"/>
          <w:szCs w:val="24"/>
          <w:lang w:val="en-US"/>
        </w:rPr>
      </w:pPr>
    </w:p>
    <w:p w14:paraId="78BA89EF" w14:textId="77777777" w:rsidR="004618E4" w:rsidRPr="005E2B16" w:rsidRDefault="004618E4" w:rsidP="00063E6E">
      <w:pPr>
        <w:spacing w:after="0" w:line="240" w:lineRule="auto"/>
        <w:jc w:val="both"/>
        <w:rPr>
          <w:rFonts w:ascii="Times New Roman" w:hAnsi="Times New Roman" w:cs="Times New Roman"/>
          <w:i/>
          <w:lang w:val="en-US"/>
        </w:rPr>
      </w:pPr>
    </w:p>
    <w:p w14:paraId="74A09299" w14:textId="37787260" w:rsidR="00063E6E" w:rsidRPr="005E2B16" w:rsidRDefault="00063E6E" w:rsidP="00063E6E">
      <w:pPr>
        <w:spacing w:after="0" w:line="240" w:lineRule="auto"/>
        <w:jc w:val="both"/>
        <w:rPr>
          <w:rFonts w:ascii="Times New Roman" w:hAnsi="Times New Roman" w:cs="Times New Roman"/>
          <w:i/>
          <w:lang w:val="en-US"/>
        </w:rPr>
      </w:pPr>
      <w:r w:rsidRPr="005E2B16">
        <w:rPr>
          <w:rFonts w:ascii="Times New Roman" w:hAnsi="Times New Roman" w:cs="Times New Roman"/>
          <w:i/>
          <w:lang w:val="en-US"/>
        </w:rPr>
        <w:t xml:space="preserve">Variable </w:t>
      </w:r>
      <w:r w:rsidR="00150057" w:rsidRPr="005E2B16">
        <w:rPr>
          <w:rFonts w:ascii="Times New Roman" w:hAnsi="Times New Roman" w:cs="Times New Roman"/>
          <w:i/>
          <w:lang w:val="en-US"/>
        </w:rPr>
        <w:t>S</w:t>
      </w:r>
      <w:r w:rsidRPr="005E2B16">
        <w:rPr>
          <w:rFonts w:ascii="Times New Roman" w:hAnsi="Times New Roman" w:cs="Times New Roman"/>
          <w:i/>
          <w:lang w:val="en-US"/>
        </w:rPr>
        <w:t>election in the PSM Estimation</w:t>
      </w:r>
    </w:p>
    <w:p w14:paraId="7D400EFD" w14:textId="119B0BEB" w:rsidR="002250C5" w:rsidRPr="005E2B16" w:rsidRDefault="00063E6E" w:rsidP="00937E60">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 xml:space="preserve">There is no consensus on the type of covariates that should be included in the discrete choice model when estimating the propensity scores (see Austin, 2011). </w:t>
      </w:r>
      <w:r w:rsidR="0078568E" w:rsidRPr="005E2B16">
        <w:rPr>
          <w:rFonts w:ascii="Times New Roman" w:hAnsi="Times New Roman" w:cs="Times New Roman"/>
          <w:sz w:val="24"/>
          <w:szCs w:val="24"/>
          <w:lang w:val="en-US"/>
        </w:rPr>
        <w:t xml:space="preserve">However, Heckman </w:t>
      </w:r>
      <w:r w:rsidR="0078568E" w:rsidRPr="005E2B16">
        <w:rPr>
          <w:rFonts w:ascii="Times New Roman" w:hAnsi="Times New Roman" w:cs="Times New Roman"/>
          <w:i/>
          <w:sz w:val="24"/>
          <w:szCs w:val="24"/>
          <w:lang w:val="en-US"/>
        </w:rPr>
        <w:t>et al</w:t>
      </w:r>
      <w:r w:rsidR="0078568E" w:rsidRPr="005E2B16">
        <w:rPr>
          <w:rFonts w:ascii="Times New Roman" w:hAnsi="Times New Roman" w:cs="Times New Roman"/>
          <w:sz w:val="24"/>
          <w:szCs w:val="24"/>
          <w:lang w:val="en-US"/>
        </w:rPr>
        <w:t>., (1997) suggest that: to eliminate biases due to variable selection, it will be relevant to include all the variables that influence participation and outcome. Therefore, our variable</w:t>
      </w:r>
      <w:r w:rsidR="00635B98" w:rsidRPr="005E2B16">
        <w:rPr>
          <w:rFonts w:ascii="Times New Roman" w:hAnsi="Times New Roman" w:cs="Times New Roman"/>
          <w:sz w:val="24"/>
          <w:szCs w:val="24"/>
          <w:lang w:val="en-US"/>
        </w:rPr>
        <w:t>s</w:t>
      </w:r>
      <w:r w:rsidR="0078568E" w:rsidRPr="005E2B16">
        <w:rPr>
          <w:rFonts w:ascii="Times New Roman" w:hAnsi="Times New Roman" w:cs="Times New Roman"/>
          <w:sz w:val="24"/>
          <w:szCs w:val="24"/>
          <w:lang w:val="en-US"/>
        </w:rPr>
        <w:t xml:space="preserve"> were carefully selected by drawing from the available literature (see preceding section) as well as information </w:t>
      </w:r>
      <w:r w:rsidR="001F455F" w:rsidRPr="005E2B16">
        <w:rPr>
          <w:rFonts w:ascii="Times New Roman" w:hAnsi="Times New Roman" w:cs="Times New Roman"/>
          <w:sz w:val="24"/>
          <w:szCs w:val="24"/>
          <w:lang w:val="en-US"/>
        </w:rPr>
        <w:t xml:space="preserve">available </w:t>
      </w:r>
      <w:r w:rsidR="0078568E" w:rsidRPr="005E2B16">
        <w:rPr>
          <w:rFonts w:ascii="Times New Roman" w:hAnsi="Times New Roman" w:cs="Times New Roman"/>
          <w:sz w:val="24"/>
          <w:szCs w:val="24"/>
          <w:lang w:val="en-US"/>
        </w:rPr>
        <w:t xml:space="preserve">in </w:t>
      </w:r>
      <w:r w:rsidR="001F455F" w:rsidRPr="005E2B16">
        <w:rPr>
          <w:rFonts w:ascii="Times New Roman" w:hAnsi="Times New Roman" w:cs="Times New Roman"/>
          <w:sz w:val="24"/>
          <w:szCs w:val="24"/>
          <w:lang w:val="en-US"/>
        </w:rPr>
        <w:t xml:space="preserve">our </w:t>
      </w:r>
      <w:r w:rsidR="005E6680" w:rsidRPr="005E2B16">
        <w:rPr>
          <w:rFonts w:ascii="Times New Roman" w:hAnsi="Times New Roman" w:cs="Times New Roman"/>
          <w:sz w:val="24"/>
          <w:szCs w:val="24"/>
          <w:lang w:val="en-US"/>
        </w:rPr>
        <w:t>database</w:t>
      </w:r>
      <w:r w:rsidR="0078568E" w:rsidRPr="005E2B16">
        <w:rPr>
          <w:rFonts w:ascii="Times New Roman" w:hAnsi="Times New Roman" w:cs="Times New Roman"/>
          <w:sz w:val="24"/>
          <w:szCs w:val="24"/>
          <w:lang w:val="en-US"/>
        </w:rPr>
        <w:t>. All the variables had complete data in our main data source.</w:t>
      </w:r>
    </w:p>
    <w:p w14:paraId="1EEA4A7D" w14:textId="77777777" w:rsidR="002250C5" w:rsidRPr="005E2B16" w:rsidRDefault="002250C5" w:rsidP="00937E60">
      <w:pPr>
        <w:spacing w:after="0" w:line="240" w:lineRule="auto"/>
        <w:jc w:val="both"/>
        <w:rPr>
          <w:rFonts w:ascii="Times New Roman" w:hAnsi="Times New Roman" w:cs="Times New Roman"/>
          <w:sz w:val="24"/>
          <w:szCs w:val="24"/>
          <w:lang w:val="en-US"/>
        </w:rPr>
      </w:pPr>
    </w:p>
    <w:p w14:paraId="23C9B17F" w14:textId="1D8C000A" w:rsidR="00A1690D" w:rsidRPr="005E2B16" w:rsidRDefault="00A1690D" w:rsidP="00937E60">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i/>
          <w:sz w:val="24"/>
          <w:szCs w:val="24"/>
          <w:lang w:val="en-US"/>
        </w:rPr>
        <w:t>Determinants of Participation</w:t>
      </w:r>
    </w:p>
    <w:p w14:paraId="3BD216DA" w14:textId="03077651" w:rsidR="002F2750" w:rsidRPr="005E2B16" w:rsidRDefault="007A6BFD" w:rsidP="002250C5">
      <w:pPr>
        <w:spacing w:line="240" w:lineRule="auto"/>
        <w:jc w:val="both"/>
        <w:rPr>
          <w:rFonts w:ascii="Times New Roman" w:hAnsi="Times New Roman" w:cs="Times New Roman"/>
          <w:sz w:val="24"/>
          <w:szCs w:val="24"/>
          <w:lang w:val="en-US"/>
        </w:rPr>
      </w:pPr>
      <w:r w:rsidRPr="00A55EC9">
        <w:rPr>
          <w:rFonts w:ascii="Times New Roman" w:hAnsi="Times New Roman" w:cs="Times New Roman"/>
          <w:sz w:val="24"/>
          <w:szCs w:val="24"/>
          <w:lang w:val="en-US"/>
        </w:rPr>
        <w:t xml:space="preserve">Table </w:t>
      </w:r>
      <w:r w:rsidR="0067634B" w:rsidRPr="00A55EC9">
        <w:rPr>
          <w:rFonts w:ascii="Times New Roman" w:hAnsi="Times New Roman" w:cs="Times New Roman"/>
          <w:sz w:val="24"/>
          <w:szCs w:val="24"/>
          <w:lang w:val="en-US"/>
        </w:rPr>
        <w:t>5</w:t>
      </w:r>
      <w:r w:rsidR="002250C5" w:rsidRPr="00A55EC9">
        <w:rPr>
          <w:rFonts w:ascii="Times New Roman" w:hAnsi="Times New Roman" w:cs="Times New Roman"/>
          <w:sz w:val="24"/>
          <w:szCs w:val="24"/>
          <w:lang w:val="en-US"/>
        </w:rPr>
        <w:t>.1</w:t>
      </w:r>
      <w:r w:rsidR="002250C5" w:rsidRPr="005E2B16">
        <w:rPr>
          <w:rFonts w:ascii="Times New Roman" w:hAnsi="Times New Roman" w:cs="Times New Roman"/>
          <w:sz w:val="24"/>
          <w:szCs w:val="24"/>
          <w:lang w:val="en-US"/>
        </w:rPr>
        <w:t xml:space="preserve"> shows the estimated probit models used to derive the propensity scores. In the import duty exemption productivity model (see column 1), the firms’ overhead expenses such as labo</w:t>
      </w:r>
      <w:r w:rsidR="00635B98" w:rsidRPr="005E2B16">
        <w:rPr>
          <w:rFonts w:ascii="Times New Roman" w:hAnsi="Times New Roman" w:cs="Times New Roman"/>
          <w:sz w:val="24"/>
          <w:szCs w:val="24"/>
          <w:lang w:val="en-US"/>
        </w:rPr>
        <w:t>u</w:t>
      </w:r>
      <w:r w:rsidR="002250C5" w:rsidRPr="005E2B16">
        <w:rPr>
          <w:rFonts w:ascii="Times New Roman" w:hAnsi="Times New Roman" w:cs="Times New Roman"/>
          <w:sz w:val="24"/>
          <w:szCs w:val="24"/>
          <w:lang w:val="en-US"/>
        </w:rPr>
        <w:t>r cost and the cost of generating electricity through the purchase of fuel are significantly associated with participation. The positive sign suggest</w:t>
      </w:r>
      <w:r w:rsidR="00635B98" w:rsidRPr="005E2B16">
        <w:rPr>
          <w:rFonts w:ascii="Times New Roman" w:hAnsi="Times New Roman" w:cs="Times New Roman"/>
          <w:sz w:val="24"/>
          <w:szCs w:val="24"/>
          <w:lang w:val="en-US"/>
        </w:rPr>
        <w:t>s</w:t>
      </w:r>
      <w:r w:rsidR="002250C5" w:rsidRPr="005E2B16">
        <w:rPr>
          <w:rFonts w:ascii="Times New Roman" w:hAnsi="Times New Roman" w:cs="Times New Roman"/>
          <w:sz w:val="24"/>
          <w:szCs w:val="24"/>
          <w:lang w:val="en-US"/>
        </w:rPr>
        <w:t xml:space="preserve"> that firms that incur more of these overheads have to rely on import duty exemption. Similarly, firms in this category also rely on profit tax exemption since the signs of these variables are positive and significant in the second column of the Table: this column represent</w:t>
      </w:r>
      <w:r w:rsidR="00722FD3" w:rsidRPr="005E2B16">
        <w:rPr>
          <w:rFonts w:ascii="Times New Roman" w:hAnsi="Times New Roman" w:cs="Times New Roman"/>
          <w:sz w:val="24"/>
          <w:szCs w:val="24"/>
          <w:lang w:val="en-US"/>
        </w:rPr>
        <w:t>s</w:t>
      </w:r>
      <w:r w:rsidR="002250C5" w:rsidRPr="005E2B16">
        <w:rPr>
          <w:rFonts w:ascii="Times New Roman" w:hAnsi="Times New Roman" w:cs="Times New Roman"/>
          <w:sz w:val="24"/>
          <w:szCs w:val="24"/>
          <w:lang w:val="en-US"/>
        </w:rPr>
        <w:t xml:space="preserve"> the model for participation in the profit tax exemption model. However, moving on to the third column, we observed a slight change: the </w:t>
      </w:r>
      <w:r w:rsidR="0040572B" w:rsidRPr="005E2B16">
        <w:rPr>
          <w:rFonts w:ascii="Times New Roman" w:hAnsi="Times New Roman" w:cs="Times New Roman"/>
          <w:sz w:val="24"/>
          <w:szCs w:val="24"/>
          <w:lang w:val="en-US"/>
        </w:rPr>
        <w:t xml:space="preserve">cost on labour was no longer significant – although it was positive. Nonetheless, the cost of generating electricity through the purchase of fuel remained positive and significant. </w:t>
      </w:r>
      <w:r w:rsidR="002F2750" w:rsidRPr="005E2B16">
        <w:rPr>
          <w:rFonts w:ascii="Times New Roman" w:hAnsi="Times New Roman" w:cs="Times New Roman"/>
          <w:sz w:val="24"/>
          <w:szCs w:val="24"/>
          <w:lang w:val="en-US"/>
        </w:rPr>
        <w:t>This suggest</w:t>
      </w:r>
      <w:r w:rsidR="00591FC1" w:rsidRPr="005E2B16">
        <w:rPr>
          <w:rFonts w:ascii="Times New Roman" w:hAnsi="Times New Roman" w:cs="Times New Roman"/>
          <w:sz w:val="24"/>
          <w:szCs w:val="24"/>
          <w:lang w:val="en-US"/>
        </w:rPr>
        <w:t>s</w:t>
      </w:r>
      <w:r w:rsidR="002F2750" w:rsidRPr="005E2B16">
        <w:rPr>
          <w:rFonts w:ascii="Times New Roman" w:hAnsi="Times New Roman" w:cs="Times New Roman"/>
          <w:sz w:val="24"/>
          <w:szCs w:val="24"/>
          <w:lang w:val="en-US"/>
        </w:rPr>
        <w:t xml:space="preserve"> that this variable is an important determinant of participation for all the three categories of fiscal incentive that is being observed in this study. </w:t>
      </w:r>
    </w:p>
    <w:p w14:paraId="7D2CC3C3" w14:textId="0FFE5314" w:rsidR="002F2750" w:rsidRPr="005E2B16" w:rsidRDefault="002F2750" w:rsidP="00C34039">
      <w:pPr>
        <w:spacing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The negative association between firms’ productive capacity (in terms of cost of machinery) and the likelihood of participation (</w:t>
      </w:r>
      <w:r w:rsidRPr="00A55EC9">
        <w:rPr>
          <w:rFonts w:ascii="Times New Roman" w:hAnsi="Times New Roman" w:cs="Times New Roman"/>
          <w:sz w:val="24"/>
          <w:szCs w:val="24"/>
          <w:lang w:val="en-US"/>
        </w:rPr>
        <w:t xml:space="preserve">see column </w:t>
      </w:r>
      <w:r w:rsidR="007A6BFD" w:rsidRPr="00A55EC9">
        <w:rPr>
          <w:rFonts w:ascii="Times New Roman" w:hAnsi="Times New Roman" w:cs="Times New Roman"/>
          <w:sz w:val="24"/>
          <w:szCs w:val="24"/>
          <w:lang w:val="en-US"/>
        </w:rPr>
        <w:t xml:space="preserve">3 in Table </w:t>
      </w:r>
      <w:r w:rsidR="0067634B" w:rsidRPr="00A55EC9">
        <w:rPr>
          <w:rFonts w:ascii="Times New Roman" w:hAnsi="Times New Roman" w:cs="Times New Roman"/>
          <w:sz w:val="24"/>
          <w:szCs w:val="24"/>
          <w:lang w:val="en-US"/>
        </w:rPr>
        <w:t>5</w:t>
      </w:r>
      <w:r w:rsidRPr="00A55EC9">
        <w:rPr>
          <w:rFonts w:ascii="Times New Roman" w:hAnsi="Times New Roman" w:cs="Times New Roman"/>
          <w:sz w:val="24"/>
          <w:szCs w:val="24"/>
          <w:lang w:val="en-US"/>
        </w:rPr>
        <w:t>.1</w:t>
      </w:r>
      <w:r w:rsidRPr="005E2B16">
        <w:rPr>
          <w:rFonts w:ascii="Times New Roman" w:hAnsi="Times New Roman" w:cs="Times New Roman"/>
          <w:sz w:val="24"/>
          <w:szCs w:val="24"/>
          <w:lang w:val="en-US"/>
        </w:rPr>
        <w:t>) suggest</w:t>
      </w:r>
      <w:r w:rsidR="00591FC1" w:rsidRPr="005E2B16">
        <w:rPr>
          <w:rFonts w:ascii="Times New Roman" w:hAnsi="Times New Roman" w:cs="Times New Roman"/>
          <w:sz w:val="24"/>
          <w:szCs w:val="24"/>
          <w:lang w:val="en-US"/>
        </w:rPr>
        <w:t>s</w:t>
      </w:r>
      <w:r w:rsidRPr="005E2B16">
        <w:rPr>
          <w:rFonts w:ascii="Times New Roman" w:hAnsi="Times New Roman" w:cs="Times New Roman"/>
          <w:sz w:val="24"/>
          <w:szCs w:val="24"/>
          <w:lang w:val="en-US"/>
        </w:rPr>
        <w:t xml:space="preserve"> that firms with high productive capacity may be less likely to benefit from the export financing initiative of the government.</w:t>
      </w:r>
      <w:r w:rsidR="002250C5" w:rsidRPr="005E2B16">
        <w:rPr>
          <w:rFonts w:ascii="Times New Roman" w:hAnsi="Times New Roman" w:cs="Times New Roman"/>
          <w:sz w:val="24"/>
          <w:szCs w:val="24"/>
          <w:lang w:val="en-US"/>
        </w:rPr>
        <w:t xml:space="preserve"> The </w:t>
      </w:r>
      <w:r w:rsidRPr="005E2B16">
        <w:rPr>
          <w:rFonts w:ascii="Times New Roman" w:hAnsi="Times New Roman" w:cs="Times New Roman"/>
          <w:sz w:val="24"/>
          <w:szCs w:val="24"/>
          <w:lang w:val="en-US"/>
        </w:rPr>
        <w:t xml:space="preserve">non-significance of the size of the firm (measured using value of land owned by the firm) </w:t>
      </w:r>
      <w:r w:rsidR="002250C5" w:rsidRPr="005E2B16">
        <w:rPr>
          <w:rFonts w:ascii="Times New Roman" w:hAnsi="Times New Roman" w:cs="Times New Roman"/>
          <w:sz w:val="24"/>
          <w:szCs w:val="24"/>
          <w:lang w:val="en-US"/>
        </w:rPr>
        <w:t xml:space="preserve">is less straightforward since </w:t>
      </w:r>
      <w:r w:rsidRPr="005E2B16">
        <w:rPr>
          <w:rFonts w:ascii="Times New Roman" w:hAnsi="Times New Roman" w:cs="Times New Roman"/>
          <w:sz w:val="24"/>
          <w:szCs w:val="24"/>
          <w:lang w:val="en-US"/>
        </w:rPr>
        <w:t>it was not significant in all the column</w:t>
      </w:r>
      <w:r w:rsidR="00591FC1" w:rsidRPr="005E2B16">
        <w:rPr>
          <w:rFonts w:ascii="Times New Roman" w:hAnsi="Times New Roman" w:cs="Times New Roman"/>
          <w:sz w:val="24"/>
          <w:szCs w:val="24"/>
          <w:lang w:val="en-US"/>
        </w:rPr>
        <w:t>s</w:t>
      </w:r>
      <w:r w:rsidRPr="005E2B16">
        <w:rPr>
          <w:rFonts w:ascii="Times New Roman" w:hAnsi="Times New Roman" w:cs="Times New Roman"/>
          <w:sz w:val="24"/>
          <w:szCs w:val="24"/>
          <w:lang w:val="en-US"/>
        </w:rPr>
        <w:t>. The negative sign suggest</w:t>
      </w:r>
      <w:r w:rsidR="00591FC1" w:rsidRPr="005E2B16">
        <w:rPr>
          <w:rFonts w:ascii="Times New Roman" w:hAnsi="Times New Roman" w:cs="Times New Roman"/>
          <w:sz w:val="24"/>
          <w:szCs w:val="24"/>
          <w:lang w:val="en-US"/>
        </w:rPr>
        <w:t>s</w:t>
      </w:r>
      <w:r w:rsidRPr="005E2B16">
        <w:rPr>
          <w:rFonts w:ascii="Times New Roman" w:hAnsi="Times New Roman" w:cs="Times New Roman"/>
          <w:sz w:val="24"/>
          <w:szCs w:val="24"/>
          <w:lang w:val="en-US"/>
        </w:rPr>
        <w:t xml:space="preserve"> that </w:t>
      </w:r>
      <w:r w:rsidR="00C34039" w:rsidRPr="005E2B16">
        <w:rPr>
          <w:rFonts w:ascii="Times New Roman" w:hAnsi="Times New Roman" w:cs="Times New Roman"/>
          <w:sz w:val="24"/>
          <w:szCs w:val="24"/>
          <w:lang w:val="en-US"/>
        </w:rPr>
        <w:t xml:space="preserve">the size of the firm </w:t>
      </w:r>
      <w:r w:rsidRPr="005E2B16">
        <w:rPr>
          <w:rFonts w:ascii="Times New Roman" w:hAnsi="Times New Roman" w:cs="Times New Roman"/>
          <w:sz w:val="24"/>
          <w:szCs w:val="24"/>
          <w:lang w:val="en-US"/>
        </w:rPr>
        <w:t xml:space="preserve">may not be an important determinant of </w:t>
      </w:r>
      <w:r w:rsidRPr="005E2B16">
        <w:rPr>
          <w:rFonts w:ascii="Times New Roman" w:hAnsi="Times New Roman" w:cs="Times New Roman"/>
          <w:sz w:val="24"/>
          <w:szCs w:val="24"/>
          <w:lang w:val="en-US"/>
        </w:rPr>
        <w:lastRenderedPageBreak/>
        <w:t xml:space="preserve">participation. </w:t>
      </w:r>
      <w:r w:rsidR="00C34039" w:rsidRPr="005E2B16">
        <w:rPr>
          <w:rFonts w:ascii="Times New Roman" w:hAnsi="Times New Roman" w:cs="Times New Roman"/>
          <w:sz w:val="24"/>
          <w:szCs w:val="24"/>
          <w:lang w:val="en-US"/>
        </w:rPr>
        <w:t xml:space="preserve">Caution </w:t>
      </w:r>
      <w:r w:rsidR="00591FC1" w:rsidRPr="005E2B16">
        <w:rPr>
          <w:rFonts w:ascii="Times New Roman" w:hAnsi="Times New Roman" w:cs="Times New Roman"/>
          <w:sz w:val="24"/>
          <w:szCs w:val="24"/>
          <w:lang w:val="en-US"/>
        </w:rPr>
        <w:t xml:space="preserve">should </w:t>
      </w:r>
      <w:r w:rsidR="00C34039" w:rsidRPr="005E2B16">
        <w:rPr>
          <w:rFonts w:ascii="Times New Roman" w:hAnsi="Times New Roman" w:cs="Times New Roman"/>
          <w:sz w:val="24"/>
          <w:szCs w:val="24"/>
          <w:lang w:val="en-US"/>
        </w:rPr>
        <w:t>to be applied in interpreting this result considering our measure of firm size.</w:t>
      </w:r>
    </w:p>
    <w:p w14:paraId="043E2981" w14:textId="2AC5DFD0" w:rsidR="00E868AE" w:rsidRPr="005E2B16" w:rsidRDefault="007A6BFD" w:rsidP="00E868AE">
      <w:pPr>
        <w:spacing w:after="0" w:line="240" w:lineRule="auto"/>
        <w:jc w:val="center"/>
        <w:rPr>
          <w:rFonts w:ascii="Times New Roman" w:hAnsi="Times New Roman" w:cs="Times New Roman"/>
          <w:b/>
          <w:sz w:val="20"/>
          <w:szCs w:val="20"/>
          <w:lang w:val="en-US"/>
        </w:rPr>
      </w:pPr>
      <w:r w:rsidRPr="00A55EC9">
        <w:rPr>
          <w:rFonts w:ascii="Times New Roman" w:hAnsi="Times New Roman" w:cs="Times New Roman"/>
          <w:b/>
          <w:sz w:val="20"/>
          <w:szCs w:val="20"/>
          <w:lang w:val="en-US"/>
        </w:rPr>
        <w:t xml:space="preserve">Table </w:t>
      </w:r>
      <w:r w:rsidR="0067634B" w:rsidRPr="00A55EC9">
        <w:rPr>
          <w:rFonts w:ascii="Times New Roman" w:hAnsi="Times New Roman" w:cs="Times New Roman"/>
          <w:b/>
          <w:sz w:val="20"/>
          <w:szCs w:val="20"/>
          <w:lang w:val="en-US"/>
        </w:rPr>
        <w:t>5</w:t>
      </w:r>
      <w:r w:rsidR="00E868AE" w:rsidRPr="00A55EC9">
        <w:rPr>
          <w:rFonts w:ascii="Times New Roman" w:hAnsi="Times New Roman" w:cs="Times New Roman"/>
          <w:b/>
          <w:sz w:val="20"/>
          <w:szCs w:val="20"/>
          <w:lang w:val="en-US"/>
        </w:rPr>
        <w:t>.1:</w:t>
      </w:r>
      <w:r w:rsidR="00E868AE" w:rsidRPr="005E2B16">
        <w:rPr>
          <w:rFonts w:ascii="Times New Roman" w:hAnsi="Times New Roman" w:cs="Times New Roman"/>
          <w:b/>
          <w:sz w:val="20"/>
          <w:szCs w:val="20"/>
          <w:lang w:val="en-US"/>
        </w:rPr>
        <w:t xml:space="preserve"> Determinant of Participation (excluding the Robustness Variables)</w:t>
      </w:r>
    </w:p>
    <w:tbl>
      <w:tblPr>
        <w:tblW w:w="8537" w:type="dxa"/>
        <w:jc w:val="center"/>
        <w:tblLook w:val="04A0" w:firstRow="1" w:lastRow="0" w:firstColumn="1" w:lastColumn="0" w:noHBand="0" w:noVBand="1"/>
      </w:tblPr>
      <w:tblGrid>
        <w:gridCol w:w="1985"/>
        <w:gridCol w:w="2236"/>
        <w:gridCol w:w="2158"/>
        <w:gridCol w:w="2158"/>
      </w:tblGrid>
      <w:tr w:rsidR="00D5175B" w:rsidRPr="005E2B16" w14:paraId="5DC9C66E" w14:textId="75DAF673" w:rsidTr="00D5175B">
        <w:trPr>
          <w:trHeight w:val="300"/>
          <w:jc w:val="center"/>
        </w:trPr>
        <w:tc>
          <w:tcPr>
            <w:tcW w:w="1985" w:type="dxa"/>
            <w:tcBorders>
              <w:top w:val="single" w:sz="4" w:space="0" w:color="auto"/>
              <w:bottom w:val="single" w:sz="4" w:space="0" w:color="auto"/>
            </w:tcBorders>
          </w:tcPr>
          <w:p w14:paraId="4445E80D" w14:textId="016D9675" w:rsidR="00D5175B" w:rsidRPr="005E2B16" w:rsidRDefault="00D5175B" w:rsidP="00585F5D">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Variables</w:t>
            </w:r>
          </w:p>
        </w:tc>
        <w:tc>
          <w:tcPr>
            <w:tcW w:w="2236" w:type="dxa"/>
            <w:tcBorders>
              <w:top w:val="single" w:sz="4" w:space="0" w:color="auto"/>
              <w:bottom w:val="single" w:sz="4" w:space="0" w:color="auto"/>
            </w:tcBorders>
            <w:shd w:val="clear" w:color="auto" w:fill="auto"/>
            <w:noWrap/>
            <w:vAlign w:val="bottom"/>
          </w:tcPr>
          <w:p w14:paraId="01605324" w14:textId="35766A32"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Participants Benefiting from Import Duty Exemption</w:t>
            </w:r>
          </w:p>
        </w:tc>
        <w:tc>
          <w:tcPr>
            <w:tcW w:w="2158" w:type="dxa"/>
            <w:tcBorders>
              <w:top w:val="single" w:sz="4" w:space="0" w:color="auto"/>
              <w:bottom w:val="single" w:sz="4" w:space="0" w:color="auto"/>
            </w:tcBorders>
            <w:shd w:val="clear" w:color="auto" w:fill="auto"/>
            <w:noWrap/>
            <w:vAlign w:val="bottom"/>
          </w:tcPr>
          <w:p w14:paraId="67623BF5" w14:textId="54094222"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Participants Benefiting from Profit Tax Exemption</w:t>
            </w:r>
          </w:p>
        </w:tc>
        <w:tc>
          <w:tcPr>
            <w:tcW w:w="2158" w:type="dxa"/>
            <w:tcBorders>
              <w:top w:val="single" w:sz="4" w:space="0" w:color="auto"/>
              <w:bottom w:val="single" w:sz="4" w:space="0" w:color="auto"/>
            </w:tcBorders>
          </w:tcPr>
          <w:p w14:paraId="6C2D80CD" w14:textId="5A7583C6"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Participants Benefiting from Export Financing</w:t>
            </w:r>
          </w:p>
        </w:tc>
      </w:tr>
      <w:tr w:rsidR="00D5175B" w:rsidRPr="005E2B16" w14:paraId="0E953206" w14:textId="28B32F63" w:rsidTr="00D5175B">
        <w:trPr>
          <w:trHeight w:val="300"/>
          <w:jc w:val="center"/>
        </w:trPr>
        <w:tc>
          <w:tcPr>
            <w:tcW w:w="1985" w:type="dxa"/>
            <w:vAlign w:val="bottom"/>
          </w:tcPr>
          <w:p w14:paraId="6E2FA9ED" w14:textId="21687DD8" w:rsidR="00D5175B" w:rsidRPr="005E2B16" w:rsidRDefault="00D5175B" w:rsidP="00585F5D">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Productive Capacity </w:t>
            </w:r>
          </w:p>
        </w:tc>
        <w:tc>
          <w:tcPr>
            <w:tcW w:w="2236" w:type="dxa"/>
            <w:shd w:val="clear" w:color="auto" w:fill="auto"/>
            <w:noWrap/>
            <w:vAlign w:val="bottom"/>
            <w:hideMark/>
          </w:tcPr>
          <w:p w14:paraId="29F38532" w14:textId="77777777"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-0.099</w:t>
            </w:r>
          </w:p>
          <w:p w14:paraId="20CE4E11" w14:textId="7E4992F8"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(0.298)</w:t>
            </w:r>
          </w:p>
        </w:tc>
        <w:tc>
          <w:tcPr>
            <w:tcW w:w="2158" w:type="dxa"/>
            <w:shd w:val="clear" w:color="auto" w:fill="auto"/>
            <w:noWrap/>
            <w:vAlign w:val="bottom"/>
            <w:hideMark/>
          </w:tcPr>
          <w:p w14:paraId="0E787326" w14:textId="414942D2"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0.042</w:t>
            </w:r>
          </w:p>
          <w:p w14:paraId="2595AF6E" w14:textId="329550B3"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(0.676)</w:t>
            </w:r>
          </w:p>
        </w:tc>
        <w:tc>
          <w:tcPr>
            <w:tcW w:w="2158" w:type="dxa"/>
          </w:tcPr>
          <w:p w14:paraId="39ACF10F" w14:textId="23D51E33"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-0.199</w:t>
            </w:r>
            <w:r w:rsidR="00833E43" w:rsidRPr="005E2B16">
              <w:rPr>
                <w:rFonts w:ascii="Times New Roman" w:eastAsia="Times New Roman" w:hAnsi="Times New Roman" w:cs="Times New Roman"/>
                <w:color w:val="000000"/>
                <w:sz w:val="20"/>
                <w:szCs w:val="20"/>
                <w:lang w:eastAsia="en-GB"/>
              </w:rPr>
              <w:t>**</w:t>
            </w:r>
          </w:p>
          <w:p w14:paraId="7D2DA6A1" w14:textId="3AA892A8"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(0.034)</w:t>
            </w:r>
          </w:p>
        </w:tc>
      </w:tr>
      <w:tr w:rsidR="00D5175B" w:rsidRPr="005E2B16" w14:paraId="296DE011" w14:textId="5B5E5B22" w:rsidTr="00D5175B">
        <w:trPr>
          <w:trHeight w:val="300"/>
          <w:jc w:val="center"/>
        </w:trPr>
        <w:tc>
          <w:tcPr>
            <w:tcW w:w="1985" w:type="dxa"/>
            <w:vAlign w:val="bottom"/>
          </w:tcPr>
          <w:p w14:paraId="76C0C07A" w14:textId="3DE625E9" w:rsidR="00D5175B" w:rsidRPr="005E2B16" w:rsidRDefault="00D5175B" w:rsidP="00585F5D">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Size of the Firm</w:t>
            </w:r>
          </w:p>
        </w:tc>
        <w:tc>
          <w:tcPr>
            <w:tcW w:w="2236" w:type="dxa"/>
            <w:shd w:val="clear" w:color="auto" w:fill="auto"/>
            <w:noWrap/>
            <w:vAlign w:val="bottom"/>
            <w:hideMark/>
          </w:tcPr>
          <w:p w14:paraId="1A05ABEF" w14:textId="77777777"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-0.184</w:t>
            </w:r>
          </w:p>
          <w:p w14:paraId="0CACD7D1" w14:textId="669FFD7D"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(0.290)</w:t>
            </w:r>
          </w:p>
        </w:tc>
        <w:tc>
          <w:tcPr>
            <w:tcW w:w="2158" w:type="dxa"/>
            <w:shd w:val="clear" w:color="auto" w:fill="auto"/>
            <w:noWrap/>
            <w:vAlign w:val="bottom"/>
            <w:hideMark/>
          </w:tcPr>
          <w:p w14:paraId="52361FA0" w14:textId="77777777"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-0.164</w:t>
            </w:r>
          </w:p>
          <w:p w14:paraId="5DE012EA" w14:textId="700BCCE6"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(0.556)</w:t>
            </w:r>
          </w:p>
        </w:tc>
        <w:tc>
          <w:tcPr>
            <w:tcW w:w="2158" w:type="dxa"/>
          </w:tcPr>
          <w:p w14:paraId="56BB29DF" w14:textId="77777777" w:rsidR="00D5175B" w:rsidRPr="005E2B16" w:rsidRDefault="00E868AE"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-0.178</w:t>
            </w:r>
          </w:p>
          <w:p w14:paraId="4DDB0FE0" w14:textId="3643C242" w:rsidR="00E868AE" w:rsidRPr="005E2B16" w:rsidRDefault="00E868AE"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(0.243)</w:t>
            </w:r>
          </w:p>
        </w:tc>
      </w:tr>
      <w:tr w:rsidR="00D5175B" w:rsidRPr="005E2B16" w14:paraId="17831992" w14:textId="67FCED1F" w:rsidTr="00D5175B">
        <w:trPr>
          <w:trHeight w:val="300"/>
          <w:jc w:val="center"/>
        </w:trPr>
        <w:tc>
          <w:tcPr>
            <w:tcW w:w="1985" w:type="dxa"/>
            <w:vAlign w:val="bottom"/>
          </w:tcPr>
          <w:p w14:paraId="635F045B" w14:textId="01681638" w:rsidR="00D5175B" w:rsidRPr="005E2B16" w:rsidRDefault="00D5175B" w:rsidP="00585F5D">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Labour input </w:t>
            </w:r>
          </w:p>
        </w:tc>
        <w:tc>
          <w:tcPr>
            <w:tcW w:w="2236" w:type="dxa"/>
            <w:shd w:val="clear" w:color="auto" w:fill="auto"/>
            <w:noWrap/>
            <w:vAlign w:val="bottom"/>
            <w:hideMark/>
          </w:tcPr>
          <w:p w14:paraId="11655EC3" w14:textId="56257E9F"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0.594</w:t>
            </w:r>
            <w:r w:rsidR="00833E43" w:rsidRPr="005E2B16">
              <w:rPr>
                <w:rFonts w:ascii="Times New Roman" w:eastAsia="Times New Roman" w:hAnsi="Times New Roman" w:cs="Times New Roman"/>
                <w:color w:val="000000"/>
                <w:sz w:val="20"/>
                <w:szCs w:val="20"/>
                <w:lang w:eastAsia="en-GB"/>
              </w:rPr>
              <w:t>**</w:t>
            </w:r>
          </w:p>
          <w:p w14:paraId="7739BC7F" w14:textId="0B03A1E1"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(0.012)</w:t>
            </w:r>
          </w:p>
        </w:tc>
        <w:tc>
          <w:tcPr>
            <w:tcW w:w="2158" w:type="dxa"/>
            <w:shd w:val="clear" w:color="auto" w:fill="auto"/>
            <w:noWrap/>
            <w:vAlign w:val="bottom"/>
            <w:hideMark/>
          </w:tcPr>
          <w:p w14:paraId="01C12D9D" w14:textId="5F720652"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1.153</w:t>
            </w:r>
            <w:r w:rsidR="00833E43" w:rsidRPr="005E2B16">
              <w:rPr>
                <w:rFonts w:ascii="Times New Roman" w:eastAsia="Times New Roman" w:hAnsi="Times New Roman" w:cs="Times New Roman"/>
                <w:color w:val="000000"/>
                <w:sz w:val="20"/>
                <w:szCs w:val="20"/>
                <w:lang w:eastAsia="en-GB"/>
              </w:rPr>
              <w:t>**</w:t>
            </w:r>
          </w:p>
          <w:p w14:paraId="7D01498C" w14:textId="1C637E47"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(0.038)</w:t>
            </w:r>
          </w:p>
        </w:tc>
        <w:tc>
          <w:tcPr>
            <w:tcW w:w="2158" w:type="dxa"/>
          </w:tcPr>
          <w:p w14:paraId="091BBB65" w14:textId="77777777" w:rsidR="00D5175B" w:rsidRPr="005E2B16" w:rsidRDefault="00E868AE"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0.027</w:t>
            </w:r>
          </w:p>
          <w:p w14:paraId="6D21BBEA" w14:textId="39DD1EE6" w:rsidR="00E868AE" w:rsidRPr="005E2B16" w:rsidRDefault="00E868AE"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(0.875)</w:t>
            </w:r>
          </w:p>
        </w:tc>
      </w:tr>
      <w:tr w:rsidR="00D5175B" w:rsidRPr="005E2B16" w14:paraId="1CE6F410" w14:textId="4232F14D" w:rsidTr="00833E43">
        <w:trPr>
          <w:trHeight w:val="300"/>
          <w:jc w:val="center"/>
        </w:trPr>
        <w:tc>
          <w:tcPr>
            <w:tcW w:w="1985" w:type="dxa"/>
            <w:vAlign w:val="bottom"/>
          </w:tcPr>
          <w:p w14:paraId="0CACF7BC" w14:textId="07F0BF07" w:rsidR="00D5175B" w:rsidRPr="005E2B16" w:rsidRDefault="00D5175B" w:rsidP="00585F5D">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sz w:val="20"/>
                <w:szCs w:val="20"/>
                <w:lang w:eastAsia="en-GB"/>
              </w:rPr>
              <w:t xml:space="preserve">Cost on power </w:t>
            </w:r>
          </w:p>
        </w:tc>
        <w:tc>
          <w:tcPr>
            <w:tcW w:w="2236" w:type="dxa"/>
            <w:shd w:val="clear" w:color="auto" w:fill="auto"/>
            <w:noWrap/>
            <w:vAlign w:val="bottom"/>
            <w:hideMark/>
          </w:tcPr>
          <w:p w14:paraId="590BCBC4" w14:textId="77777D90"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0.220</w:t>
            </w:r>
            <w:r w:rsidR="00833E43" w:rsidRPr="005E2B16">
              <w:rPr>
                <w:rFonts w:ascii="Times New Roman" w:eastAsia="Times New Roman" w:hAnsi="Times New Roman" w:cs="Times New Roman"/>
                <w:color w:val="000000"/>
                <w:sz w:val="20"/>
                <w:szCs w:val="20"/>
                <w:lang w:eastAsia="en-GB"/>
              </w:rPr>
              <w:t>***</w:t>
            </w:r>
          </w:p>
          <w:p w14:paraId="1B78B189" w14:textId="6E70A8F5"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(0.055)</w:t>
            </w:r>
          </w:p>
        </w:tc>
        <w:tc>
          <w:tcPr>
            <w:tcW w:w="2158" w:type="dxa"/>
            <w:shd w:val="clear" w:color="auto" w:fill="auto"/>
            <w:noWrap/>
            <w:vAlign w:val="bottom"/>
            <w:hideMark/>
          </w:tcPr>
          <w:p w14:paraId="0C94AA15" w14:textId="34695873"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0.804</w:t>
            </w:r>
            <w:r w:rsidR="00833E43" w:rsidRPr="005E2B16">
              <w:rPr>
                <w:rFonts w:ascii="Times New Roman" w:eastAsia="Times New Roman" w:hAnsi="Times New Roman" w:cs="Times New Roman"/>
                <w:color w:val="000000"/>
                <w:sz w:val="20"/>
                <w:szCs w:val="20"/>
                <w:lang w:eastAsia="en-GB"/>
              </w:rPr>
              <w:t>**</w:t>
            </w:r>
          </w:p>
          <w:p w14:paraId="003F90CB" w14:textId="13AEF3D6" w:rsidR="00D5175B" w:rsidRPr="005E2B16" w:rsidRDefault="00D5175B"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(0.021)</w:t>
            </w:r>
          </w:p>
        </w:tc>
        <w:tc>
          <w:tcPr>
            <w:tcW w:w="2158" w:type="dxa"/>
          </w:tcPr>
          <w:p w14:paraId="35C78090" w14:textId="7CF02555" w:rsidR="00D5175B" w:rsidRPr="005E2B16" w:rsidRDefault="00E868AE"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0.312</w:t>
            </w:r>
            <w:r w:rsidR="00833E43" w:rsidRPr="005E2B16">
              <w:rPr>
                <w:rFonts w:ascii="Times New Roman" w:eastAsia="Times New Roman" w:hAnsi="Times New Roman" w:cs="Times New Roman"/>
                <w:color w:val="000000"/>
                <w:sz w:val="20"/>
                <w:szCs w:val="20"/>
                <w:lang w:eastAsia="en-GB"/>
              </w:rPr>
              <w:t>***</w:t>
            </w:r>
          </w:p>
          <w:p w14:paraId="375FE307" w14:textId="419BDBA5" w:rsidR="00E868AE" w:rsidRPr="005E2B16" w:rsidRDefault="00E868AE" w:rsidP="00D5175B">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(0.073)</w:t>
            </w:r>
          </w:p>
        </w:tc>
      </w:tr>
      <w:tr w:rsidR="00D5175B" w:rsidRPr="005E2B16" w14:paraId="0CA4BF55" w14:textId="74954507" w:rsidTr="000857C9">
        <w:trPr>
          <w:trHeight w:val="300"/>
          <w:jc w:val="center"/>
        </w:trPr>
        <w:tc>
          <w:tcPr>
            <w:tcW w:w="1985" w:type="dxa"/>
            <w:tcBorders>
              <w:bottom w:val="single" w:sz="4" w:space="0" w:color="auto"/>
            </w:tcBorders>
            <w:vAlign w:val="bottom"/>
          </w:tcPr>
          <w:p w14:paraId="2C1A8B41" w14:textId="3E4D8C32" w:rsidR="00D5175B" w:rsidRPr="005E2B16" w:rsidRDefault="00D5175B" w:rsidP="00585F5D">
            <w:pPr>
              <w:spacing w:after="0" w:line="240" w:lineRule="auto"/>
              <w:rPr>
                <w:rFonts w:ascii="Times New Roman" w:eastAsia="Times New Roman" w:hAnsi="Times New Roman" w:cs="Times New Roman"/>
                <w:sz w:val="20"/>
                <w:szCs w:val="20"/>
                <w:lang w:eastAsia="en-GB"/>
              </w:rPr>
            </w:pPr>
            <w:r w:rsidRPr="005E2B16">
              <w:rPr>
                <w:rFonts w:ascii="Times New Roman" w:eastAsia="Times New Roman" w:hAnsi="Times New Roman" w:cs="Times New Roman"/>
                <w:sz w:val="20"/>
                <w:szCs w:val="20"/>
                <w:lang w:eastAsia="en-GB"/>
              </w:rPr>
              <w:t>Constant</w:t>
            </w:r>
          </w:p>
        </w:tc>
        <w:tc>
          <w:tcPr>
            <w:tcW w:w="2236" w:type="dxa"/>
            <w:tcBorders>
              <w:bottom w:val="single" w:sz="4" w:space="0" w:color="auto"/>
            </w:tcBorders>
            <w:shd w:val="clear" w:color="auto" w:fill="auto"/>
            <w:noWrap/>
            <w:vAlign w:val="bottom"/>
          </w:tcPr>
          <w:p w14:paraId="22A00DCF" w14:textId="3E18FB6B"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-5.167</w:t>
            </w:r>
            <w:r w:rsidR="00833E43" w:rsidRPr="005E2B16">
              <w:rPr>
                <w:rFonts w:ascii="Times New Roman" w:eastAsia="Times New Roman" w:hAnsi="Times New Roman" w:cs="Times New Roman"/>
                <w:color w:val="000000"/>
                <w:sz w:val="20"/>
                <w:szCs w:val="20"/>
                <w:lang w:eastAsia="en-GB"/>
              </w:rPr>
              <w:t>**</w:t>
            </w:r>
          </w:p>
          <w:p w14:paraId="115D1841" w14:textId="050E9AD7"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(0.029)</w:t>
            </w:r>
          </w:p>
        </w:tc>
        <w:tc>
          <w:tcPr>
            <w:tcW w:w="2158" w:type="dxa"/>
            <w:tcBorders>
              <w:bottom w:val="single" w:sz="4" w:space="0" w:color="auto"/>
            </w:tcBorders>
            <w:shd w:val="clear" w:color="auto" w:fill="auto"/>
            <w:noWrap/>
            <w:vAlign w:val="bottom"/>
          </w:tcPr>
          <w:p w14:paraId="39CD02C7" w14:textId="4872F364"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-8.221</w:t>
            </w:r>
            <w:r w:rsidR="00833E43" w:rsidRPr="005E2B16">
              <w:rPr>
                <w:rFonts w:ascii="Times New Roman" w:eastAsia="Times New Roman" w:hAnsi="Times New Roman" w:cs="Times New Roman"/>
                <w:color w:val="000000"/>
                <w:sz w:val="20"/>
                <w:szCs w:val="20"/>
                <w:lang w:eastAsia="en-GB"/>
              </w:rPr>
              <w:t>**</w:t>
            </w:r>
          </w:p>
          <w:p w14:paraId="3B782EB6" w14:textId="3B52BF25"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(0.014)</w:t>
            </w:r>
          </w:p>
        </w:tc>
        <w:tc>
          <w:tcPr>
            <w:tcW w:w="2158" w:type="dxa"/>
            <w:tcBorders>
              <w:bottom w:val="single" w:sz="4" w:space="0" w:color="auto"/>
            </w:tcBorders>
          </w:tcPr>
          <w:p w14:paraId="143C1709" w14:textId="77777777"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-1.306</w:t>
            </w:r>
          </w:p>
          <w:p w14:paraId="1D86144F" w14:textId="246A3367" w:rsidR="00D5175B" w:rsidRPr="005E2B16" w:rsidRDefault="00D5175B" w:rsidP="00585F5D">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(0.349)</w:t>
            </w:r>
          </w:p>
        </w:tc>
      </w:tr>
      <w:tr w:rsidR="00D5175B" w:rsidRPr="005E2B16" w14:paraId="50C16848" w14:textId="3BC5CA6E" w:rsidTr="000857C9">
        <w:trPr>
          <w:trHeight w:val="233"/>
          <w:jc w:val="center"/>
        </w:trPr>
        <w:tc>
          <w:tcPr>
            <w:tcW w:w="1985" w:type="dxa"/>
            <w:tcBorders>
              <w:top w:val="single" w:sz="4" w:space="0" w:color="auto"/>
              <w:bottom w:val="single" w:sz="4" w:space="0" w:color="auto"/>
            </w:tcBorders>
          </w:tcPr>
          <w:p w14:paraId="7A3AC49B" w14:textId="08F06250" w:rsidR="00D5175B" w:rsidRPr="005E2B16" w:rsidRDefault="00D5175B" w:rsidP="00D5175B">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Pseudo R2</w:t>
            </w:r>
          </w:p>
        </w:tc>
        <w:tc>
          <w:tcPr>
            <w:tcW w:w="2236" w:type="dxa"/>
            <w:tcBorders>
              <w:top w:val="single" w:sz="4" w:space="0" w:color="auto"/>
              <w:bottom w:val="single" w:sz="4" w:space="0" w:color="auto"/>
            </w:tcBorders>
            <w:shd w:val="clear" w:color="auto" w:fill="auto"/>
            <w:noWrap/>
            <w:vAlign w:val="bottom"/>
          </w:tcPr>
          <w:p w14:paraId="632DCDC5" w14:textId="3D7EA86D" w:rsidR="00D5175B" w:rsidRPr="005E2B16" w:rsidRDefault="00D5175B" w:rsidP="00C5170C">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0.1171</w:t>
            </w:r>
          </w:p>
        </w:tc>
        <w:tc>
          <w:tcPr>
            <w:tcW w:w="2158" w:type="dxa"/>
            <w:tcBorders>
              <w:top w:val="single" w:sz="4" w:space="0" w:color="auto"/>
              <w:bottom w:val="single" w:sz="4" w:space="0" w:color="auto"/>
            </w:tcBorders>
            <w:shd w:val="clear" w:color="auto" w:fill="auto"/>
            <w:noWrap/>
          </w:tcPr>
          <w:p w14:paraId="6F3BF51A" w14:textId="58E476A3" w:rsidR="00D5175B" w:rsidRPr="005E2B16" w:rsidRDefault="00D5175B" w:rsidP="00C5170C">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0.189</w:t>
            </w:r>
          </w:p>
        </w:tc>
        <w:tc>
          <w:tcPr>
            <w:tcW w:w="2158" w:type="dxa"/>
            <w:tcBorders>
              <w:top w:val="single" w:sz="4" w:space="0" w:color="auto"/>
              <w:bottom w:val="single" w:sz="4" w:space="0" w:color="auto"/>
            </w:tcBorders>
          </w:tcPr>
          <w:p w14:paraId="2DF3AC7D" w14:textId="2BB3DEFE" w:rsidR="00D5175B" w:rsidRPr="005E2B16" w:rsidRDefault="00D5175B" w:rsidP="00C5170C">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0.143</w:t>
            </w:r>
          </w:p>
        </w:tc>
      </w:tr>
    </w:tbl>
    <w:p w14:paraId="5A1C8E6A" w14:textId="77777777" w:rsidR="00BB6F03" w:rsidRPr="005E2B16" w:rsidRDefault="00BB6F03" w:rsidP="00BB6F03">
      <w:pPr>
        <w:spacing w:after="0" w:line="240" w:lineRule="auto"/>
        <w:jc w:val="center"/>
        <w:rPr>
          <w:rFonts w:ascii="Times New Roman" w:hAnsi="Times New Roman" w:cs="Times New Roman"/>
          <w:sz w:val="20"/>
          <w:szCs w:val="20"/>
          <w:lang w:val="en-US"/>
        </w:rPr>
      </w:pPr>
      <w:r w:rsidRPr="005E2B16">
        <w:rPr>
          <w:rFonts w:ascii="Times New Roman" w:hAnsi="Times New Roman" w:cs="Times New Roman"/>
          <w:sz w:val="20"/>
          <w:szCs w:val="20"/>
          <w:lang w:val="en-US"/>
        </w:rPr>
        <w:t>Note: The subscript *, ** and *** imply significance levels at 1, 5 and 10 percent respectively.</w:t>
      </w:r>
    </w:p>
    <w:p w14:paraId="2A45680F" w14:textId="77777777" w:rsidR="005D4F02" w:rsidRPr="005E2B16" w:rsidRDefault="005D4F02" w:rsidP="00937E60">
      <w:pPr>
        <w:spacing w:after="0" w:line="240" w:lineRule="auto"/>
        <w:jc w:val="both"/>
        <w:rPr>
          <w:rFonts w:ascii="Times New Roman" w:hAnsi="Times New Roman" w:cs="Times New Roman"/>
          <w:i/>
          <w:sz w:val="24"/>
          <w:szCs w:val="24"/>
          <w:lang w:val="en-US"/>
        </w:rPr>
      </w:pPr>
    </w:p>
    <w:p w14:paraId="64B88AE2" w14:textId="426FF409" w:rsidR="004618E4" w:rsidRPr="005E2B16" w:rsidRDefault="004618E4" w:rsidP="004618E4">
      <w:pPr>
        <w:spacing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Overall, our result is consistent with the earlier findings from the descriptive statistics. More so, noting that incentives are supposed to compensate for some deficiencies in the business environment of countries (see UNCTAD, 2003), the significance of the firms’ overhead variables magnifies this expectation. It can be said that among the main determinant</w:t>
      </w:r>
      <w:r w:rsidR="00591FC1" w:rsidRPr="005E2B16">
        <w:rPr>
          <w:rFonts w:ascii="Times New Roman" w:hAnsi="Times New Roman" w:cs="Times New Roman"/>
          <w:sz w:val="24"/>
          <w:szCs w:val="24"/>
          <w:lang w:val="en-US"/>
        </w:rPr>
        <w:t>s</w:t>
      </w:r>
      <w:r w:rsidRPr="005E2B16">
        <w:rPr>
          <w:rFonts w:ascii="Times New Roman" w:hAnsi="Times New Roman" w:cs="Times New Roman"/>
          <w:sz w:val="24"/>
          <w:szCs w:val="24"/>
          <w:lang w:val="en-US"/>
        </w:rPr>
        <w:t xml:space="preserve"> of participation in our analysis</w:t>
      </w:r>
      <w:r w:rsidR="00060F77" w:rsidRPr="005E2B16">
        <w:rPr>
          <w:rFonts w:ascii="Times New Roman" w:hAnsi="Times New Roman" w:cs="Times New Roman"/>
          <w:sz w:val="24"/>
          <w:szCs w:val="24"/>
          <w:lang w:val="en-US"/>
        </w:rPr>
        <w:t>,</w:t>
      </w:r>
      <w:r w:rsidRPr="005E2B16">
        <w:rPr>
          <w:rFonts w:ascii="Times New Roman" w:hAnsi="Times New Roman" w:cs="Times New Roman"/>
          <w:sz w:val="24"/>
          <w:szCs w:val="24"/>
          <w:lang w:val="en-US"/>
        </w:rPr>
        <w:t xml:space="preserve"> is </w:t>
      </w:r>
      <w:r w:rsidR="00060F77" w:rsidRPr="005E2B16">
        <w:rPr>
          <w:rFonts w:ascii="Times New Roman" w:hAnsi="Times New Roman" w:cs="Times New Roman"/>
          <w:sz w:val="24"/>
          <w:szCs w:val="24"/>
          <w:lang w:val="en-US"/>
        </w:rPr>
        <w:t xml:space="preserve">the fact </w:t>
      </w:r>
      <w:r w:rsidRPr="005E2B16">
        <w:rPr>
          <w:rFonts w:ascii="Times New Roman" w:hAnsi="Times New Roman" w:cs="Times New Roman"/>
          <w:sz w:val="24"/>
          <w:szCs w:val="24"/>
          <w:lang w:val="en-US"/>
        </w:rPr>
        <w:t>that the firm incurs huge cost on the purchase of fuel in generating its own electricity and on labo</w:t>
      </w:r>
      <w:r w:rsidR="00060F77" w:rsidRPr="005E2B16">
        <w:rPr>
          <w:rFonts w:ascii="Times New Roman" w:hAnsi="Times New Roman" w:cs="Times New Roman"/>
          <w:sz w:val="24"/>
          <w:szCs w:val="24"/>
          <w:lang w:val="en-US"/>
        </w:rPr>
        <w:t>u</w:t>
      </w:r>
      <w:r w:rsidRPr="005E2B16">
        <w:rPr>
          <w:rFonts w:ascii="Times New Roman" w:hAnsi="Times New Roman" w:cs="Times New Roman"/>
          <w:sz w:val="24"/>
          <w:szCs w:val="24"/>
          <w:lang w:val="en-US"/>
        </w:rPr>
        <w:t xml:space="preserve">r cost. The productive capacity may only be relevant for export financing.  </w:t>
      </w:r>
    </w:p>
    <w:p w14:paraId="6F455194" w14:textId="5C7CADCE" w:rsidR="00DA765F" w:rsidRPr="005E2B16" w:rsidRDefault="00DA765F" w:rsidP="00937E60">
      <w:pPr>
        <w:spacing w:after="0" w:line="240" w:lineRule="auto"/>
        <w:jc w:val="both"/>
        <w:rPr>
          <w:rFonts w:ascii="Times New Roman" w:hAnsi="Times New Roman" w:cs="Times New Roman"/>
          <w:i/>
          <w:sz w:val="24"/>
          <w:szCs w:val="24"/>
          <w:lang w:val="en-US"/>
        </w:rPr>
      </w:pPr>
      <w:r w:rsidRPr="005E2B16">
        <w:rPr>
          <w:rFonts w:ascii="Times New Roman" w:hAnsi="Times New Roman" w:cs="Times New Roman"/>
          <w:i/>
          <w:sz w:val="24"/>
          <w:szCs w:val="24"/>
          <w:lang w:val="en-US"/>
        </w:rPr>
        <w:t>Matching Quality</w:t>
      </w:r>
    </w:p>
    <w:p w14:paraId="16FF1772" w14:textId="5BF1DF0D" w:rsidR="00E82ED9" w:rsidRPr="005E2B16" w:rsidRDefault="00C26C30" w:rsidP="00C26C30">
      <w:pPr>
        <w:spacing w:line="240" w:lineRule="auto"/>
        <w:jc w:val="both"/>
        <w:rPr>
          <w:rFonts w:ascii="Times New Roman" w:hAnsi="Times New Roman" w:cs="Times New Roman"/>
          <w:color w:val="000000"/>
          <w:sz w:val="24"/>
          <w:szCs w:val="24"/>
        </w:rPr>
      </w:pPr>
      <w:r w:rsidRPr="005E2B16">
        <w:rPr>
          <w:rFonts w:ascii="Times New Roman" w:hAnsi="Times New Roman" w:cs="Times New Roman"/>
          <w:sz w:val="24"/>
          <w:szCs w:val="24"/>
          <w:lang w:val="en-US"/>
        </w:rPr>
        <w:t>Before reporting the estimated treatment effects (ATT), we need to ensure that the matching process eliminates any mean differences that may occur after matching between the groups. The existence of mean difference may suggest that some bias exist</w:t>
      </w:r>
      <w:r w:rsidR="00060F77" w:rsidRPr="005E2B16">
        <w:rPr>
          <w:rFonts w:ascii="Times New Roman" w:hAnsi="Times New Roman" w:cs="Times New Roman"/>
          <w:sz w:val="24"/>
          <w:szCs w:val="24"/>
          <w:lang w:val="en-US"/>
        </w:rPr>
        <w:t>s</w:t>
      </w:r>
      <w:r w:rsidRPr="005E2B16">
        <w:rPr>
          <w:rFonts w:ascii="Times New Roman" w:hAnsi="Times New Roman" w:cs="Times New Roman"/>
          <w:sz w:val="24"/>
          <w:szCs w:val="24"/>
          <w:lang w:val="en-US"/>
        </w:rPr>
        <w:t xml:space="preserve"> in the matching process. Therefore to determine the quality of our matching process, we followed </w:t>
      </w:r>
      <w:r w:rsidR="008F5CAD" w:rsidRPr="005E2B16">
        <w:rPr>
          <w:rFonts w:ascii="Times New Roman" w:hAnsi="Times New Roman" w:cs="Times New Roman"/>
          <w:color w:val="000000"/>
          <w:sz w:val="24"/>
          <w:szCs w:val="24"/>
        </w:rPr>
        <w:t xml:space="preserve">Rosebaum and Rubin’s (2002) </w:t>
      </w:r>
      <w:r w:rsidRPr="005E2B16">
        <w:rPr>
          <w:rFonts w:ascii="Times New Roman" w:hAnsi="Times New Roman" w:cs="Times New Roman"/>
          <w:color w:val="000000"/>
          <w:sz w:val="24"/>
          <w:szCs w:val="24"/>
        </w:rPr>
        <w:t xml:space="preserve">by dividing the </w:t>
      </w:r>
      <w:r w:rsidR="008F5CAD" w:rsidRPr="005E2B16">
        <w:rPr>
          <w:rFonts w:ascii="Times New Roman" w:hAnsi="Times New Roman" w:cs="Times New Roman"/>
          <w:color w:val="000000"/>
          <w:sz w:val="24"/>
          <w:szCs w:val="24"/>
        </w:rPr>
        <w:t>propensity scores into blocks among the groups. Th</w:t>
      </w:r>
      <w:r w:rsidRPr="005E2B16">
        <w:rPr>
          <w:rFonts w:ascii="Times New Roman" w:hAnsi="Times New Roman" w:cs="Times New Roman"/>
          <w:color w:val="000000"/>
          <w:sz w:val="24"/>
          <w:szCs w:val="24"/>
        </w:rPr>
        <w:t xml:space="preserve">is is deemed essential in order to </w:t>
      </w:r>
      <w:r w:rsidR="008F5CAD" w:rsidRPr="005E2B16">
        <w:rPr>
          <w:rFonts w:ascii="Times New Roman" w:hAnsi="Times New Roman" w:cs="Times New Roman"/>
          <w:color w:val="000000"/>
          <w:sz w:val="24"/>
          <w:szCs w:val="24"/>
        </w:rPr>
        <w:t xml:space="preserve">improve the balancing of </w:t>
      </w:r>
      <w:r w:rsidRPr="005E2B16">
        <w:rPr>
          <w:rFonts w:ascii="Times New Roman" w:hAnsi="Times New Roman" w:cs="Times New Roman"/>
          <w:color w:val="000000"/>
          <w:sz w:val="24"/>
          <w:szCs w:val="24"/>
        </w:rPr>
        <w:t xml:space="preserve">the </w:t>
      </w:r>
      <w:r w:rsidR="008F5CAD" w:rsidRPr="005E2B16">
        <w:rPr>
          <w:rFonts w:ascii="Times New Roman" w:hAnsi="Times New Roman" w:cs="Times New Roman"/>
          <w:color w:val="000000"/>
          <w:sz w:val="24"/>
          <w:szCs w:val="24"/>
        </w:rPr>
        <w:t xml:space="preserve">covariates. </w:t>
      </w:r>
    </w:p>
    <w:p w14:paraId="2290C55C" w14:textId="0BF74A33" w:rsidR="008F5CAD" w:rsidRPr="005E2B16" w:rsidRDefault="008F5CAD" w:rsidP="00C26C30">
      <w:pPr>
        <w:spacing w:line="240" w:lineRule="auto"/>
        <w:jc w:val="both"/>
        <w:rPr>
          <w:rFonts w:ascii="Times New Roman" w:hAnsi="Times New Roman" w:cs="Times New Roman"/>
          <w:color w:val="000000"/>
          <w:sz w:val="24"/>
          <w:szCs w:val="24"/>
        </w:rPr>
      </w:pPr>
      <w:r w:rsidRPr="00A55EC9">
        <w:rPr>
          <w:rFonts w:ascii="Times New Roman" w:hAnsi="Times New Roman" w:cs="Times New Roman"/>
          <w:color w:val="000000"/>
          <w:sz w:val="24"/>
          <w:szCs w:val="24"/>
        </w:rPr>
        <w:t>T</w:t>
      </w:r>
      <w:r w:rsidR="007A6BFD" w:rsidRPr="00A55EC9">
        <w:rPr>
          <w:rFonts w:ascii="Times New Roman" w:hAnsi="Times New Roman" w:cs="Times New Roman"/>
          <w:color w:val="000000"/>
          <w:sz w:val="24"/>
          <w:szCs w:val="24"/>
        </w:rPr>
        <w:t xml:space="preserve">able </w:t>
      </w:r>
      <w:r w:rsidR="009039BF" w:rsidRPr="00A55EC9">
        <w:rPr>
          <w:rFonts w:ascii="Times New Roman" w:hAnsi="Times New Roman" w:cs="Times New Roman"/>
          <w:color w:val="000000"/>
          <w:sz w:val="24"/>
          <w:szCs w:val="24"/>
        </w:rPr>
        <w:t>5</w:t>
      </w:r>
      <w:r w:rsidR="004618E4" w:rsidRPr="00A55EC9">
        <w:rPr>
          <w:rFonts w:ascii="Times New Roman" w:hAnsi="Times New Roman" w:cs="Times New Roman"/>
          <w:color w:val="000000"/>
          <w:sz w:val="24"/>
          <w:szCs w:val="24"/>
        </w:rPr>
        <w:t>.2</w:t>
      </w:r>
      <w:r w:rsidR="004618E4" w:rsidRPr="005E2B16">
        <w:rPr>
          <w:rFonts w:ascii="Times New Roman" w:hAnsi="Times New Roman" w:cs="Times New Roman"/>
          <w:color w:val="000000"/>
          <w:sz w:val="24"/>
          <w:szCs w:val="24"/>
        </w:rPr>
        <w:t xml:space="preserve"> presents the </w:t>
      </w:r>
      <w:r w:rsidRPr="005E2B16">
        <w:rPr>
          <w:rFonts w:ascii="Times New Roman" w:hAnsi="Times New Roman" w:cs="Times New Roman"/>
          <w:color w:val="000000"/>
          <w:sz w:val="24"/>
          <w:szCs w:val="24"/>
        </w:rPr>
        <w:t>propensity scores for the blocks among t</w:t>
      </w:r>
      <w:r w:rsidR="00820537" w:rsidRPr="005E2B16">
        <w:rPr>
          <w:rFonts w:ascii="Times New Roman" w:hAnsi="Times New Roman" w:cs="Times New Roman"/>
          <w:color w:val="000000"/>
          <w:sz w:val="24"/>
          <w:szCs w:val="24"/>
        </w:rPr>
        <w:t xml:space="preserve">he </w:t>
      </w:r>
      <w:r w:rsidR="004618E4" w:rsidRPr="005E2B16">
        <w:rPr>
          <w:rFonts w:ascii="Times New Roman" w:hAnsi="Times New Roman" w:cs="Times New Roman"/>
          <w:color w:val="000000"/>
          <w:sz w:val="24"/>
          <w:szCs w:val="24"/>
        </w:rPr>
        <w:t xml:space="preserve">treated and untreated </w:t>
      </w:r>
      <w:r w:rsidR="00820537" w:rsidRPr="005E2B16">
        <w:rPr>
          <w:rFonts w:ascii="Times New Roman" w:hAnsi="Times New Roman" w:cs="Times New Roman"/>
          <w:color w:val="000000"/>
          <w:sz w:val="24"/>
          <w:szCs w:val="24"/>
        </w:rPr>
        <w:t>groups</w:t>
      </w:r>
      <w:r w:rsidR="004618E4" w:rsidRPr="005E2B16">
        <w:rPr>
          <w:rFonts w:ascii="Times New Roman" w:hAnsi="Times New Roman" w:cs="Times New Roman"/>
          <w:color w:val="000000"/>
          <w:sz w:val="24"/>
          <w:szCs w:val="24"/>
        </w:rPr>
        <w:t>. The mean propensity scores</w:t>
      </w:r>
      <w:r w:rsidR="00820537" w:rsidRPr="005E2B16">
        <w:rPr>
          <w:rFonts w:ascii="Times New Roman" w:hAnsi="Times New Roman" w:cs="Times New Roman"/>
          <w:color w:val="000000"/>
          <w:sz w:val="24"/>
          <w:szCs w:val="24"/>
        </w:rPr>
        <w:t xml:space="preserve"> were not differ</w:t>
      </w:r>
      <w:r w:rsidRPr="005E2B16">
        <w:rPr>
          <w:rFonts w:ascii="Times New Roman" w:hAnsi="Times New Roman" w:cs="Times New Roman"/>
          <w:color w:val="000000"/>
          <w:sz w:val="24"/>
          <w:szCs w:val="24"/>
        </w:rPr>
        <w:t xml:space="preserve">ent between </w:t>
      </w:r>
      <w:r w:rsidR="00820537" w:rsidRPr="005E2B16">
        <w:rPr>
          <w:rFonts w:ascii="Times New Roman" w:hAnsi="Times New Roman" w:cs="Times New Roman"/>
          <w:color w:val="000000"/>
          <w:sz w:val="24"/>
          <w:szCs w:val="24"/>
        </w:rPr>
        <w:t xml:space="preserve">import exemption participants and </w:t>
      </w:r>
      <w:r w:rsidRPr="005E2B16">
        <w:rPr>
          <w:rFonts w:ascii="Times New Roman" w:hAnsi="Times New Roman" w:cs="Times New Roman"/>
          <w:color w:val="000000"/>
          <w:sz w:val="24"/>
          <w:szCs w:val="24"/>
        </w:rPr>
        <w:t>non-participants</w:t>
      </w:r>
      <w:r w:rsidR="00820537" w:rsidRPr="005E2B16">
        <w:rPr>
          <w:rFonts w:ascii="Times New Roman" w:hAnsi="Times New Roman" w:cs="Times New Roman"/>
          <w:color w:val="000000"/>
          <w:sz w:val="24"/>
          <w:szCs w:val="24"/>
        </w:rPr>
        <w:t xml:space="preserve"> (i.e. 0.084 and 0.031), between profit tax exemption participants and non-participants (i.e. 0.299 and 0.141), and between participants in export financing and non-participants (i.e.</w:t>
      </w:r>
      <w:r w:rsidR="005724B7" w:rsidRPr="005E2B16">
        <w:rPr>
          <w:rFonts w:ascii="Times New Roman" w:hAnsi="Times New Roman" w:cs="Times New Roman"/>
          <w:color w:val="000000"/>
          <w:sz w:val="24"/>
          <w:szCs w:val="24"/>
        </w:rPr>
        <w:t xml:space="preserve"> 0.099 and 0.036)</w:t>
      </w:r>
      <w:r w:rsidR="00923265" w:rsidRPr="005E2B16">
        <w:rPr>
          <w:rFonts w:ascii="Times New Roman" w:hAnsi="Times New Roman" w:cs="Times New Roman"/>
          <w:color w:val="000000"/>
          <w:sz w:val="24"/>
          <w:szCs w:val="24"/>
        </w:rPr>
        <w:t>. More so, the Table reveals that, across the models, the scores for both groups are within common range and there is no significant difference existing in the distribution of the scores. T</w:t>
      </w:r>
      <w:r w:rsidRPr="005E2B16">
        <w:rPr>
          <w:rFonts w:ascii="Times New Roman" w:hAnsi="Times New Roman" w:cs="Times New Roman"/>
          <w:color w:val="000000"/>
          <w:sz w:val="24"/>
          <w:szCs w:val="24"/>
        </w:rPr>
        <w:t>h</w:t>
      </w:r>
      <w:r w:rsidR="00923265" w:rsidRPr="005E2B16">
        <w:rPr>
          <w:rFonts w:ascii="Times New Roman" w:hAnsi="Times New Roman" w:cs="Times New Roman"/>
          <w:color w:val="000000"/>
          <w:sz w:val="24"/>
          <w:szCs w:val="24"/>
        </w:rPr>
        <w:t>ese results the</w:t>
      </w:r>
      <w:r w:rsidRPr="005E2B16">
        <w:rPr>
          <w:rFonts w:ascii="Times New Roman" w:hAnsi="Times New Roman" w:cs="Times New Roman"/>
          <w:color w:val="000000"/>
          <w:sz w:val="24"/>
          <w:szCs w:val="24"/>
        </w:rPr>
        <w:t>reby satisf</w:t>
      </w:r>
      <w:r w:rsidR="00054591" w:rsidRPr="005E2B16">
        <w:rPr>
          <w:rFonts w:ascii="Times New Roman" w:hAnsi="Times New Roman" w:cs="Times New Roman"/>
          <w:color w:val="000000"/>
          <w:sz w:val="24"/>
          <w:szCs w:val="24"/>
        </w:rPr>
        <w:t>y</w:t>
      </w:r>
      <w:r w:rsidRPr="005E2B16">
        <w:rPr>
          <w:rFonts w:ascii="Times New Roman" w:hAnsi="Times New Roman" w:cs="Times New Roman"/>
          <w:color w:val="000000"/>
          <w:sz w:val="24"/>
          <w:szCs w:val="24"/>
        </w:rPr>
        <w:t xml:space="preserve"> the balancing condition suggested by Becker and Ichino (2002). </w:t>
      </w:r>
    </w:p>
    <w:p w14:paraId="5BCB346D" w14:textId="28E64CBD" w:rsidR="00342E23" w:rsidRPr="005E2B16" w:rsidRDefault="00342E23" w:rsidP="00342E23">
      <w:pPr>
        <w:spacing w:after="0" w:line="240" w:lineRule="auto"/>
        <w:jc w:val="center"/>
        <w:rPr>
          <w:rFonts w:ascii="Times New Roman" w:hAnsi="Times New Roman" w:cs="Times New Roman"/>
          <w:b/>
          <w:sz w:val="20"/>
          <w:szCs w:val="20"/>
          <w:lang w:val="en-US"/>
        </w:rPr>
      </w:pPr>
      <w:r w:rsidRPr="00A55EC9">
        <w:rPr>
          <w:rFonts w:ascii="Times New Roman" w:hAnsi="Times New Roman" w:cs="Times New Roman"/>
          <w:b/>
          <w:sz w:val="20"/>
          <w:szCs w:val="20"/>
          <w:lang w:val="en-US"/>
        </w:rPr>
        <w:t xml:space="preserve">Table </w:t>
      </w:r>
      <w:r w:rsidR="009039BF" w:rsidRPr="00A55EC9">
        <w:rPr>
          <w:rFonts w:ascii="Times New Roman" w:hAnsi="Times New Roman" w:cs="Times New Roman"/>
          <w:b/>
          <w:sz w:val="20"/>
          <w:szCs w:val="20"/>
          <w:lang w:val="en-US"/>
        </w:rPr>
        <w:t>5</w:t>
      </w:r>
      <w:r w:rsidRPr="00A55EC9">
        <w:rPr>
          <w:rFonts w:ascii="Times New Roman" w:hAnsi="Times New Roman" w:cs="Times New Roman"/>
          <w:b/>
          <w:sz w:val="20"/>
          <w:szCs w:val="20"/>
          <w:lang w:val="en-US"/>
        </w:rPr>
        <w:t>.2:</w:t>
      </w:r>
      <w:r w:rsidRPr="005E2B16">
        <w:rPr>
          <w:rFonts w:ascii="Times New Roman" w:hAnsi="Times New Roman" w:cs="Times New Roman"/>
          <w:b/>
          <w:sz w:val="20"/>
          <w:szCs w:val="20"/>
          <w:lang w:val="en-US"/>
        </w:rPr>
        <w:t xml:space="preserve"> Propensity Scores of Treated and Untreated Group</w:t>
      </w:r>
    </w:p>
    <w:tbl>
      <w:tblPr>
        <w:tblW w:w="6946" w:type="dxa"/>
        <w:jc w:val="center"/>
        <w:tblLook w:val="04A0" w:firstRow="1" w:lastRow="0" w:firstColumn="1" w:lastColumn="0" w:noHBand="0" w:noVBand="1"/>
      </w:tblPr>
      <w:tblGrid>
        <w:gridCol w:w="2552"/>
        <w:gridCol w:w="1112"/>
        <w:gridCol w:w="790"/>
        <w:gridCol w:w="718"/>
        <w:gridCol w:w="756"/>
        <w:gridCol w:w="1018"/>
      </w:tblGrid>
      <w:tr w:rsidR="00F607C3" w:rsidRPr="005E2B16" w14:paraId="30A27CFA" w14:textId="29EE39F0" w:rsidTr="00F607C3">
        <w:trPr>
          <w:trHeight w:val="300"/>
          <w:jc w:val="center"/>
        </w:trPr>
        <w:tc>
          <w:tcPr>
            <w:tcW w:w="2552" w:type="dxa"/>
            <w:tcBorders>
              <w:top w:val="single" w:sz="4" w:space="0" w:color="auto"/>
              <w:left w:val="nil"/>
              <w:bottom w:val="nil"/>
              <w:right w:val="nil"/>
            </w:tcBorders>
            <w:shd w:val="clear" w:color="auto" w:fill="auto"/>
            <w:noWrap/>
            <w:vAlign w:val="bottom"/>
            <w:hideMark/>
          </w:tcPr>
          <w:p w14:paraId="22BA2398" w14:textId="77777777"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w:t>
            </w:r>
          </w:p>
        </w:tc>
        <w:tc>
          <w:tcPr>
            <w:tcW w:w="1112" w:type="dxa"/>
            <w:tcBorders>
              <w:top w:val="single" w:sz="4" w:space="0" w:color="auto"/>
              <w:left w:val="nil"/>
              <w:bottom w:val="nil"/>
              <w:right w:val="nil"/>
            </w:tcBorders>
            <w:shd w:val="clear" w:color="auto" w:fill="auto"/>
            <w:noWrap/>
            <w:vAlign w:val="bottom"/>
            <w:hideMark/>
          </w:tcPr>
          <w:p w14:paraId="09AD199F" w14:textId="77777777" w:rsidR="00F607C3" w:rsidRPr="005E2B16" w:rsidRDefault="00F607C3" w:rsidP="00E8135E">
            <w:pPr>
              <w:spacing w:after="0" w:line="240" w:lineRule="auto"/>
              <w:ind w:left="33" w:hanging="33"/>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w:t>
            </w:r>
          </w:p>
        </w:tc>
        <w:tc>
          <w:tcPr>
            <w:tcW w:w="2264" w:type="dxa"/>
            <w:gridSpan w:val="3"/>
            <w:tcBorders>
              <w:top w:val="single" w:sz="4" w:space="0" w:color="auto"/>
              <w:left w:val="nil"/>
              <w:bottom w:val="single" w:sz="4" w:space="0" w:color="auto"/>
              <w:right w:val="nil"/>
            </w:tcBorders>
            <w:shd w:val="clear" w:color="auto" w:fill="auto"/>
            <w:noWrap/>
            <w:vAlign w:val="center"/>
            <w:hideMark/>
          </w:tcPr>
          <w:p w14:paraId="50BCA6A7" w14:textId="77777777"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Propensity score</w:t>
            </w:r>
          </w:p>
        </w:tc>
        <w:tc>
          <w:tcPr>
            <w:tcW w:w="1018" w:type="dxa"/>
            <w:tcBorders>
              <w:top w:val="single" w:sz="4" w:space="0" w:color="auto"/>
              <w:left w:val="nil"/>
              <w:bottom w:val="single" w:sz="4" w:space="0" w:color="auto"/>
              <w:right w:val="nil"/>
            </w:tcBorders>
          </w:tcPr>
          <w:p w14:paraId="33316775" w14:textId="77777777"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p>
        </w:tc>
      </w:tr>
      <w:tr w:rsidR="00F607C3" w:rsidRPr="005E2B16" w14:paraId="5BDF49D9" w14:textId="095AC0FC" w:rsidTr="00F607C3">
        <w:trPr>
          <w:trHeight w:val="300"/>
          <w:jc w:val="center"/>
        </w:trPr>
        <w:tc>
          <w:tcPr>
            <w:tcW w:w="2552" w:type="dxa"/>
            <w:tcBorders>
              <w:top w:val="nil"/>
              <w:left w:val="nil"/>
              <w:bottom w:val="nil"/>
              <w:right w:val="nil"/>
            </w:tcBorders>
            <w:shd w:val="clear" w:color="auto" w:fill="auto"/>
            <w:noWrap/>
            <w:vAlign w:val="bottom"/>
            <w:hideMark/>
          </w:tcPr>
          <w:p w14:paraId="64A157C9" w14:textId="31FE739F" w:rsidR="00F607C3" w:rsidRPr="005E2B16" w:rsidRDefault="001634DD" w:rsidP="001634DD">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Models</w:t>
            </w:r>
          </w:p>
        </w:tc>
        <w:tc>
          <w:tcPr>
            <w:tcW w:w="1112" w:type="dxa"/>
            <w:tcBorders>
              <w:top w:val="nil"/>
              <w:left w:val="nil"/>
              <w:bottom w:val="single" w:sz="4" w:space="0" w:color="auto"/>
              <w:right w:val="nil"/>
            </w:tcBorders>
            <w:shd w:val="clear" w:color="auto" w:fill="auto"/>
            <w:noWrap/>
            <w:vAlign w:val="bottom"/>
            <w:hideMark/>
          </w:tcPr>
          <w:p w14:paraId="69252FAC" w14:textId="77777777"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w:t>
            </w:r>
          </w:p>
        </w:tc>
        <w:tc>
          <w:tcPr>
            <w:tcW w:w="790" w:type="dxa"/>
            <w:tcBorders>
              <w:top w:val="nil"/>
              <w:left w:val="nil"/>
              <w:bottom w:val="single" w:sz="4" w:space="0" w:color="auto"/>
              <w:right w:val="nil"/>
            </w:tcBorders>
            <w:shd w:val="clear" w:color="auto" w:fill="auto"/>
            <w:noWrap/>
            <w:vAlign w:val="center"/>
            <w:hideMark/>
          </w:tcPr>
          <w:p w14:paraId="52A2B5B8" w14:textId="77777777"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Min</w:t>
            </w:r>
          </w:p>
        </w:tc>
        <w:tc>
          <w:tcPr>
            <w:tcW w:w="718" w:type="dxa"/>
            <w:tcBorders>
              <w:top w:val="nil"/>
              <w:left w:val="nil"/>
              <w:bottom w:val="single" w:sz="4" w:space="0" w:color="auto"/>
              <w:right w:val="nil"/>
            </w:tcBorders>
            <w:shd w:val="clear" w:color="auto" w:fill="auto"/>
            <w:noWrap/>
            <w:vAlign w:val="center"/>
            <w:hideMark/>
          </w:tcPr>
          <w:p w14:paraId="472244B0" w14:textId="77777777"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Max</w:t>
            </w:r>
          </w:p>
        </w:tc>
        <w:tc>
          <w:tcPr>
            <w:tcW w:w="756" w:type="dxa"/>
            <w:tcBorders>
              <w:top w:val="nil"/>
              <w:left w:val="nil"/>
              <w:bottom w:val="single" w:sz="4" w:space="0" w:color="auto"/>
              <w:right w:val="nil"/>
            </w:tcBorders>
            <w:shd w:val="clear" w:color="auto" w:fill="auto"/>
            <w:noWrap/>
            <w:vAlign w:val="center"/>
            <w:hideMark/>
          </w:tcPr>
          <w:p w14:paraId="08B1DC8C" w14:textId="77777777"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Mean</w:t>
            </w:r>
          </w:p>
        </w:tc>
        <w:tc>
          <w:tcPr>
            <w:tcW w:w="1018" w:type="dxa"/>
            <w:tcBorders>
              <w:top w:val="nil"/>
              <w:left w:val="nil"/>
              <w:bottom w:val="single" w:sz="4" w:space="0" w:color="auto"/>
              <w:right w:val="nil"/>
            </w:tcBorders>
          </w:tcPr>
          <w:p w14:paraId="79AA2FFA" w14:textId="09F00122"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Sig</w:t>
            </w:r>
          </w:p>
        </w:tc>
      </w:tr>
      <w:tr w:rsidR="00F607C3" w:rsidRPr="005E2B16" w14:paraId="383DFA5E" w14:textId="10FF7F03" w:rsidTr="00F607C3">
        <w:trPr>
          <w:trHeight w:val="300"/>
          <w:jc w:val="center"/>
        </w:trPr>
        <w:tc>
          <w:tcPr>
            <w:tcW w:w="2552" w:type="dxa"/>
            <w:tcBorders>
              <w:top w:val="single" w:sz="4" w:space="0" w:color="auto"/>
              <w:left w:val="nil"/>
              <w:bottom w:val="nil"/>
              <w:right w:val="nil"/>
            </w:tcBorders>
            <w:shd w:val="clear" w:color="000000" w:fill="FFFFFF"/>
            <w:noWrap/>
            <w:vAlign w:val="bottom"/>
            <w:hideMark/>
          </w:tcPr>
          <w:p w14:paraId="2021004C" w14:textId="5E1DC991"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Import Duty Exemption</w:t>
            </w:r>
          </w:p>
        </w:tc>
        <w:tc>
          <w:tcPr>
            <w:tcW w:w="1112" w:type="dxa"/>
            <w:tcBorders>
              <w:top w:val="nil"/>
              <w:left w:val="nil"/>
              <w:bottom w:val="nil"/>
              <w:right w:val="nil"/>
            </w:tcBorders>
            <w:shd w:val="clear" w:color="000000" w:fill="FFFFFF"/>
            <w:noWrap/>
            <w:vAlign w:val="bottom"/>
            <w:hideMark/>
          </w:tcPr>
          <w:p w14:paraId="1E234D28" w14:textId="77777777"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treated</w:t>
            </w:r>
          </w:p>
        </w:tc>
        <w:tc>
          <w:tcPr>
            <w:tcW w:w="790" w:type="dxa"/>
            <w:tcBorders>
              <w:top w:val="nil"/>
              <w:left w:val="nil"/>
              <w:bottom w:val="nil"/>
              <w:right w:val="nil"/>
            </w:tcBorders>
            <w:shd w:val="clear" w:color="000000" w:fill="FFFFFF"/>
            <w:noWrap/>
            <w:vAlign w:val="bottom"/>
            <w:hideMark/>
          </w:tcPr>
          <w:p w14:paraId="4B53BB6A" w14:textId="157934C9" w:rsidR="00F607C3" w:rsidRPr="005E2B16" w:rsidRDefault="00F607C3" w:rsidP="00E8135E">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0.023</w:t>
            </w:r>
          </w:p>
        </w:tc>
        <w:tc>
          <w:tcPr>
            <w:tcW w:w="718" w:type="dxa"/>
            <w:tcBorders>
              <w:top w:val="nil"/>
              <w:left w:val="nil"/>
              <w:bottom w:val="nil"/>
              <w:right w:val="nil"/>
            </w:tcBorders>
            <w:shd w:val="clear" w:color="000000" w:fill="FFFFFF"/>
            <w:noWrap/>
            <w:vAlign w:val="bottom"/>
            <w:hideMark/>
          </w:tcPr>
          <w:p w14:paraId="6649C113" w14:textId="387FCD36"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0.275</w:t>
            </w:r>
          </w:p>
        </w:tc>
        <w:tc>
          <w:tcPr>
            <w:tcW w:w="756" w:type="dxa"/>
            <w:tcBorders>
              <w:top w:val="nil"/>
              <w:left w:val="nil"/>
              <w:bottom w:val="nil"/>
              <w:right w:val="nil"/>
            </w:tcBorders>
            <w:shd w:val="clear" w:color="000000" w:fill="FFFFFF"/>
            <w:noWrap/>
            <w:vAlign w:val="bottom"/>
            <w:hideMark/>
          </w:tcPr>
          <w:p w14:paraId="3680E180" w14:textId="6D84A9F6"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0.084</w:t>
            </w:r>
          </w:p>
        </w:tc>
        <w:tc>
          <w:tcPr>
            <w:tcW w:w="1018" w:type="dxa"/>
            <w:tcBorders>
              <w:top w:val="nil"/>
              <w:left w:val="nil"/>
              <w:bottom w:val="nil"/>
              <w:right w:val="nil"/>
            </w:tcBorders>
            <w:shd w:val="clear" w:color="000000" w:fill="FFFFFF"/>
          </w:tcPr>
          <w:p w14:paraId="34B84CDD" w14:textId="1D959432" w:rsidR="00F607C3" w:rsidRPr="005E2B16" w:rsidRDefault="007A756C"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0.999</w:t>
            </w:r>
          </w:p>
        </w:tc>
      </w:tr>
      <w:tr w:rsidR="00F607C3" w:rsidRPr="005E2B16" w14:paraId="4EE59DA5" w14:textId="1D698BA9" w:rsidTr="00F607C3">
        <w:trPr>
          <w:trHeight w:val="300"/>
          <w:jc w:val="center"/>
        </w:trPr>
        <w:tc>
          <w:tcPr>
            <w:tcW w:w="2552" w:type="dxa"/>
            <w:tcBorders>
              <w:top w:val="nil"/>
              <w:left w:val="nil"/>
              <w:bottom w:val="single" w:sz="4" w:space="0" w:color="auto"/>
              <w:right w:val="nil"/>
            </w:tcBorders>
            <w:shd w:val="clear" w:color="000000" w:fill="FFFFFF"/>
            <w:noWrap/>
            <w:vAlign w:val="bottom"/>
            <w:hideMark/>
          </w:tcPr>
          <w:p w14:paraId="3CBABD44" w14:textId="77777777"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w:t>
            </w:r>
          </w:p>
        </w:tc>
        <w:tc>
          <w:tcPr>
            <w:tcW w:w="1112" w:type="dxa"/>
            <w:tcBorders>
              <w:top w:val="nil"/>
              <w:left w:val="nil"/>
              <w:bottom w:val="single" w:sz="4" w:space="0" w:color="auto"/>
              <w:right w:val="nil"/>
            </w:tcBorders>
            <w:shd w:val="clear" w:color="000000" w:fill="FFFFFF"/>
            <w:noWrap/>
            <w:vAlign w:val="bottom"/>
            <w:hideMark/>
          </w:tcPr>
          <w:p w14:paraId="6F1D9667" w14:textId="77777777"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untreated</w:t>
            </w:r>
          </w:p>
        </w:tc>
        <w:tc>
          <w:tcPr>
            <w:tcW w:w="790" w:type="dxa"/>
            <w:tcBorders>
              <w:top w:val="nil"/>
              <w:left w:val="nil"/>
              <w:bottom w:val="single" w:sz="4" w:space="0" w:color="auto"/>
              <w:right w:val="nil"/>
            </w:tcBorders>
            <w:shd w:val="clear" w:color="000000" w:fill="FFFFFF"/>
            <w:noWrap/>
            <w:vAlign w:val="bottom"/>
            <w:hideMark/>
          </w:tcPr>
          <w:p w14:paraId="5D1FF0C4" w14:textId="61262BE2"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0.006</w:t>
            </w:r>
          </w:p>
        </w:tc>
        <w:tc>
          <w:tcPr>
            <w:tcW w:w="718" w:type="dxa"/>
            <w:tcBorders>
              <w:top w:val="nil"/>
              <w:left w:val="nil"/>
              <w:bottom w:val="single" w:sz="4" w:space="0" w:color="auto"/>
              <w:right w:val="nil"/>
            </w:tcBorders>
            <w:shd w:val="clear" w:color="000000" w:fill="FFFFFF"/>
            <w:noWrap/>
            <w:vAlign w:val="bottom"/>
            <w:hideMark/>
          </w:tcPr>
          <w:p w14:paraId="2D647914" w14:textId="3E8A77E4"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0.130</w:t>
            </w:r>
          </w:p>
        </w:tc>
        <w:tc>
          <w:tcPr>
            <w:tcW w:w="756" w:type="dxa"/>
            <w:tcBorders>
              <w:top w:val="nil"/>
              <w:left w:val="nil"/>
              <w:bottom w:val="single" w:sz="4" w:space="0" w:color="auto"/>
              <w:right w:val="nil"/>
            </w:tcBorders>
            <w:shd w:val="clear" w:color="000000" w:fill="FFFFFF"/>
            <w:noWrap/>
            <w:vAlign w:val="bottom"/>
            <w:hideMark/>
          </w:tcPr>
          <w:p w14:paraId="0285C0FF" w14:textId="19E16EA0"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0.031</w:t>
            </w:r>
          </w:p>
        </w:tc>
        <w:tc>
          <w:tcPr>
            <w:tcW w:w="1018" w:type="dxa"/>
            <w:tcBorders>
              <w:top w:val="nil"/>
              <w:left w:val="nil"/>
              <w:bottom w:val="single" w:sz="4" w:space="0" w:color="auto"/>
              <w:right w:val="nil"/>
            </w:tcBorders>
            <w:shd w:val="clear" w:color="000000" w:fill="FFFFFF"/>
          </w:tcPr>
          <w:p w14:paraId="751F8FE8" w14:textId="77777777"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p>
        </w:tc>
      </w:tr>
      <w:tr w:rsidR="00F607C3" w:rsidRPr="005E2B16" w14:paraId="1F96C2B5" w14:textId="56E0BC5A" w:rsidTr="00BB0672">
        <w:trPr>
          <w:trHeight w:val="300"/>
          <w:jc w:val="center"/>
        </w:trPr>
        <w:tc>
          <w:tcPr>
            <w:tcW w:w="2552" w:type="dxa"/>
            <w:tcBorders>
              <w:top w:val="single" w:sz="4" w:space="0" w:color="auto"/>
              <w:left w:val="nil"/>
              <w:bottom w:val="nil"/>
              <w:right w:val="nil"/>
            </w:tcBorders>
            <w:shd w:val="clear" w:color="000000" w:fill="FFFFFF"/>
            <w:noWrap/>
            <w:vAlign w:val="bottom"/>
            <w:hideMark/>
          </w:tcPr>
          <w:p w14:paraId="59DDAE76" w14:textId="6A4FE5FD"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Profit Tax Exemption</w:t>
            </w:r>
          </w:p>
        </w:tc>
        <w:tc>
          <w:tcPr>
            <w:tcW w:w="1112" w:type="dxa"/>
            <w:tcBorders>
              <w:top w:val="nil"/>
              <w:left w:val="nil"/>
              <w:bottom w:val="nil"/>
              <w:right w:val="nil"/>
            </w:tcBorders>
            <w:shd w:val="clear" w:color="000000" w:fill="FFFFFF"/>
            <w:noWrap/>
            <w:vAlign w:val="bottom"/>
            <w:hideMark/>
          </w:tcPr>
          <w:p w14:paraId="0BB5EC1B" w14:textId="77777777"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treated</w:t>
            </w:r>
          </w:p>
        </w:tc>
        <w:tc>
          <w:tcPr>
            <w:tcW w:w="790" w:type="dxa"/>
            <w:tcBorders>
              <w:top w:val="nil"/>
              <w:left w:val="nil"/>
              <w:bottom w:val="nil"/>
              <w:right w:val="nil"/>
            </w:tcBorders>
            <w:shd w:val="clear" w:color="000000" w:fill="FFFFFF"/>
            <w:noWrap/>
            <w:vAlign w:val="bottom"/>
          </w:tcPr>
          <w:p w14:paraId="5D2F7B5C" w14:textId="5C037EBD"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0.146</w:t>
            </w:r>
          </w:p>
        </w:tc>
        <w:tc>
          <w:tcPr>
            <w:tcW w:w="718" w:type="dxa"/>
            <w:tcBorders>
              <w:top w:val="nil"/>
              <w:left w:val="nil"/>
              <w:bottom w:val="nil"/>
              <w:right w:val="nil"/>
            </w:tcBorders>
            <w:shd w:val="clear" w:color="000000" w:fill="FFFFFF"/>
            <w:noWrap/>
            <w:vAlign w:val="bottom"/>
          </w:tcPr>
          <w:p w14:paraId="019C5111" w14:textId="0D221319"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0.601</w:t>
            </w:r>
          </w:p>
        </w:tc>
        <w:tc>
          <w:tcPr>
            <w:tcW w:w="756" w:type="dxa"/>
            <w:tcBorders>
              <w:top w:val="nil"/>
              <w:left w:val="nil"/>
              <w:bottom w:val="nil"/>
              <w:right w:val="nil"/>
            </w:tcBorders>
            <w:shd w:val="clear" w:color="000000" w:fill="FFFFFF"/>
            <w:noWrap/>
            <w:vAlign w:val="bottom"/>
            <w:hideMark/>
          </w:tcPr>
          <w:p w14:paraId="64DEA814" w14:textId="6F4351EA"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0.299</w:t>
            </w:r>
          </w:p>
        </w:tc>
        <w:tc>
          <w:tcPr>
            <w:tcW w:w="1018" w:type="dxa"/>
            <w:vMerge w:val="restart"/>
            <w:tcBorders>
              <w:top w:val="nil"/>
              <w:left w:val="nil"/>
              <w:right w:val="nil"/>
            </w:tcBorders>
            <w:shd w:val="clear" w:color="000000" w:fill="FFFFFF"/>
          </w:tcPr>
          <w:p w14:paraId="06A6B951" w14:textId="2D5A16BB" w:rsidR="00F607C3" w:rsidRPr="005E2B16" w:rsidRDefault="00F607C3" w:rsidP="00F607C3">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0.994</w:t>
            </w:r>
          </w:p>
        </w:tc>
      </w:tr>
      <w:tr w:rsidR="00F607C3" w:rsidRPr="005E2B16" w14:paraId="40D7DC5A" w14:textId="45200C20" w:rsidTr="00BB0672">
        <w:trPr>
          <w:trHeight w:val="300"/>
          <w:jc w:val="center"/>
        </w:trPr>
        <w:tc>
          <w:tcPr>
            <w:tcW w:w="2552" w:type="dxa"/>
            <w:tcBorders>
              <w:top w:val="nil"/>
              <w:left w:val="nil"/>
              <w:bottom w:val="nil"/>
              <w:right w:val="nil"/>
            </w:tcBorders>
            <w:shd w:val="clear" w:color="000000" w:fill="FFFFFF"/>
            <w:noWrap/>
            <w:vAlign w:val="bottom"/>
            <w:hideMark/>
          </w:tcPr>
          <w:p w14:paraId="75B86BCC" w14:textId="77777777" w:rsidR="00F607C3" w:rsidRPr="005E2B16" w:rsidRDefault="00F607C3" w:rsidP="00F607C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w:t>
            </w:r>
          </w:p>
        </w:tc>
        <w:tc>
          <w:tcPr>
            <w:tcW w:w="1112" w:type="dxa"/>
            <w:tcBorders>
              <w:top w:val="nil"/>
              <w:left w:val="nil"/>
              <w:bottom w:val="nil"/>
              <w:right w:val="nil"/>
            </w:tcBorders>
            <w:shd w:val="clear" w:color="000000" w:fill="FFFFFF"/>
            <w:noWrap/>
            <w:vAlign w:val="bottom"/>
            <w:hideMark/>
          </w:tcPr>
          <w:p w14:paraId="5ACB82BD" w14:textId="77777777" w:rsidR="00F607C3" w:rsidRPr="005E2B16" w:rsidRDefault="00F607C3" w:rsidP="00F607C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untreated</w:t>
            </w:r>
          </w:p>
        </w:tc>
        <w:tc>
          <w:tcPr>
            <w:tcW w:w="790" w:type="dxa"/>
            <w:tcBorders>
              <w:top w:val="nil"/>
              <w:left w:val="nil"/>
              <w:bottom w:val="single" w:sz="4" w:space="0" w:color="auto"/>
              <w:right w:val="nil"/>
            </w:tcBorders>
            <w:shd w:val="clear" w:color="000000" w:fill="FFFFFF"/>
            <w:noWrap/>
            <w:vAlign w:val="bottom"/>
            <w:hideMark/>
          </w:tcPr>
          <w:p w14:paraId="4C636839" w14:textId="1D987B12" w:rsidR="00F607C3" w:rsidRPr="005E2B16" w:rsidRDefault="00F607C3" w:rsidP="00F607C3">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0.003</w:t>
            </w:r>
          </w:p>
        </w:tc>
        <w:tc>
          <w:tcPr>
            <w:tcW w:w="718" w:type="dxa"/>
            <w:tcBorders>
              <w:top w:val="nil"/>
              <w:left w:val="nil"/>
              <w:bottom w:val="single" w:sz="4" w:space="0" w:color="auto"/>
              <w:right w:val="nil"/>
            </w:tcBorders>
            <w:shd w:val="clear" w:color="000000" w:fill="FFFFFF"/>
            <w:noWrap/>
            <w:vAlign w:val="bottom"/>
            <w:hideMark/>
          </w:tcPr>
          <w:p w14:paraId="1CA22B33" w14:textId="51AC59F2" w:rsidR="00F607C3" w:rsidRPr="005E2B16" w:rsidRDefault="00F607C3" w:rsidP="00F607C3">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0.663</w:t>
            </w:r>
          </w:p>
        </w:tc>
        <w:tc>
          <w:tcPr>
            <w:tcW w:w="756" w:type="dxa"/>
            <w:tcBorders>
              <w:top w:val="nil"/>
              <w:left w:val="nil"/>
              <w:bottom w:val="single" w:sz="4" w:space="0" w:color="auto"/>
              <w:right w:val="nil"/>
            </w:tcBorders>
            <w:shd w:val="clear" w:color="000000" w:fill="FFFFFF"/>
            <w:noWrap/>
            <w:vAlign w:val="bottom"/>
            <w:hideMark/>
          </w:tcPr>
          <w:p w14:paraId="14600ADD" w14:textId="47ED3ABA" w:rsidR="00F607C3" w:rsidRPr="005E2B16" w:rsidRDefault="00F607C3" w:rsidP="00F607C3">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0.141</w:t>
            </w:r>
          </w:p>
        </w:tc>
        <w:tc>
          <w:tcPr>
            <w:tcW w:w="1018" w:type="dxa"/>
            <w:vMerge/>
            <w:tcBorders>
              <w:left w:val="nil"/>
              <w:bottom w:val="single" w:sz="4" w:space="0" w:color="auto"/>
              <w:right w:val="nil"/>
            </w:tcBorders>
            <w:shd w:val="clear" w:color="000000" w:fill="FFFFFF"/>
          </w:tcPr>
          <w:p w14:paraId="797E0E33" w14:textId="62F6B3BC" w:rsidR="00F607C3" w:rsidRPr="005E2B16" w:rsidRDefault="00F607C3" w:rsidP="00F607C3">
            <w:pPr>
              <w:spacing w:after="0" w:line="240" w:lineRule="auto"/>
              <w:jc w:val="center"/>
              <w:rPr>
                <w:rFonts w:ascii="Times New Roman" w:eastAsia="Times New Roman" w:hAnsi="Times New Roman" w:cs="Times New Roman"/>
                <w:color w:val="000000"/>
                <w:sz w:val="20"/>
                <w:szCs w:val="20"/>
                <w:lang w:eastAsia="en-GB"/>
              </w:rPr>
            </w:pPr>
          </w:p>
        </w:tc>
      </w:tr>
      <w:tr w:rsidR="00F607C3" w:rsidRPr="005E2B16" w14:paraId="06858CBD" w14:textId="73F3ADEA" w:rsidTr="00F607C3">
        <w:trPr>
          <w:trHeight w:val="300"/>
          <w:jc w:val="center"/>
        </w:trPr>
        <w:tc>
          <w:tcPr>
            <w:tcW w:w="2552" w:type="dxa"/>
            <w:tcBorders>
              <w:top w:val="single" w:sz="4" w:space="0" w:color="auto"/>
              <w:left w:val="nil"/>
              <w:bottom w:val="nil"/>
              <w:right w:val="nil"/>
            </w:tcBorders>
            <w:shd w:val="clear" w:color="000000" w:fill="FFFFFF"/>
            <w:noWrap/>
            <w:vAlign w:val="bottom"/>
            <w:hideMark/>
          </w:tcPr>
          <w:p w14:paraId="342D4E4D" w14:textId="5A742094"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Export Financing</w:t>
            </w:r>
          </w:p>
        </w:tc>
        <w:tc>
          <w:tcPr>
            <w:tcW w:w="1112" w:type="dxa"/>
            <w:tcBorders>
              <w:top w:val="single" w:sz="4" w:space="0" w:color="auto"/>
              <w:left w:val="nil"/>
              <w:bottom w:val="nil"/>
              <w:right w:val="nil"/>
            </w:tcBorders>
            <w:shd w:val="clear" w:color="000000" w:fill="FFFFFF"/>
            <w:noWrap/>
            <w:vAlign w:val="bottom"/>
            <w:hideMark/>
          </w:tcPr>
          <w:p w14:paraId="29E2E047" w14:textId="77777777"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treated</w:t>
            </w:r>
          </w:p>
        </w:tc>
        <w:tc>
          <w:tcPr>
            <w:tcW w:w="790" w:type="dxa"/>
            <w:tcBorders>
              <w:top w:val="single" w:sz="4" w:space="0" w:color="auto"/>
              <w:left w:val="nil"/>
              <w:bottom w:val="nil"/>
              <w:right w:val="nil"/>
            </w:tcBorders>
            <w:shd w:val="clear" w:color="000000" w:fill="FFFFFF"/>
            <w:noWrap/>
            <w:vAlign w:val="bottom"/>
            <w:hideMark/>
          </w:tcPr>
          <w:p w14:paraId="7FC2C01B" w14:textId="4A5C64A2"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0.023</w:t>
            </w:r>
          </w:p>
        </w:tc>
        <w:tc>
          <w:tcPr>
            <w:tcW w:w="718" w:type="dxa"/>
            <w:tcBorders>
              <w:top w:val="single" w:sz="4" w:space="0" w:color="auto"/>
              <w:left w:val="nil"/>
              <w:bottom w:val="nil"/>
              <w:right w:val="nil"/>
            </w:tcBorders>
            <w:shd w:val="clear" w:color="000000" w:fill="FFFFFF"/>
            <w:noWrap/>
            <w:vAlign w:val="bottom"/>
            <w:hideMark/>
          </w:tcPr>
          <w:p w14:paraId="6D50D47A" w14:textId="42911B0C"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0.293</w:t>
            </w:r>
          </w:p>
        </w:tc>
        <w:tc>
          <w:tcPr>
            <w:tcW w:w="756" w:type="dxa"/>
            <w:tcBorders>
              <w:top w:val="single" w:sz="4" w:space="0" w:color="auto"/>
              <w:left w:val="nil"/>
              <w:bottom w:val="nil"/>
              <w:right w:val="nil"/>
            </w:tcBorders>
            <w:shd w:val="clear" w:color="000000" w:fill="FFFFFF"/>
            <w:noWrap/>
            <w:vAlign w:val="bottom"/>
            <w:hideMark/>
          </w:tcPr>
          <w:p w14:paraId="50F43226" w14:textId="70DB1BD0"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hAnsi="Times New Roman" w:cs="Times New Roman"/>
                <w:color w:val="000000"/>
                <w:sz w:val="20"/>
                <w:szCs w:val="20"/>
              </w:rPr>
              <w:t>0.099</w:t>
            </w:r>
          </w:p>
        </w:tc>
        <w:tc>
          <w:tcPr>
            <w:tcW w:w="1018" w:type="dxa"/>
            <w:vMerge w:val="restart"/>
            <w:tcBorders>
              <w:top w:val="single" w:sz="4" w:space="0" w:color="auto"/>
              <w:left w:val="nil"/>
              <w:right w:val="nil"/>
            </w:tcBorders>
            <w:shd w:val="clear" w:color="000000" w:fill="FFFFFF"/>
          </w:tcPr>
          <w:p w14:paraId="6663DFB8" w14:textId="3089125E"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0.996</w:t>
            </w:r>
          </w:p>
        </w:tc>
      </w:tr>
      <w:tr w:rsidR="00F607C3" w:rsidRPr="005E2B16" w14:paraId="4D2CDF29" w14:textId="208A7D79" w:rsidTr="00F607C3">
        <w:trPr>
          <w:trHeight w:val="300"/>
          <w:jc w:val="center"/>
        </w:trPr>
        <w:tc>
          <w:tcPr>
            <w:tcW w:w="2552" w:type="dxa"/>
            <w:tcBorders>
              <w:top w:val="nil"/>
              <w:left w:val="nil"/>
              <w:bottom w:val="single" w:sz="4" w:space="0" w:color="auto"/>
              <w:right w:val="nil"/>
            </w:tcBorders>
            <w:shd w:val="clear" w:color="000000" w:fill="FFFFFF"/>
            <w:noWrap/>
            <w:vAlign w:val="bottom"/>
            <w:hideMark/>
          </w:tcPr>
          <w:p w14:paraId="4C74E06A" w14:textId="77777777"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w:t>
            </w:r>
          </w:p>
        </w:tc>
        <w:tc>
          <w:tcPr>
            <w:tcW w:w="1112" w:type="dxa"/>
            <w:tcBorders>
              <w:top w:val="nil"/>
              <w:left w:val="nil"/>
              <w:bottom w:val="single" w:sz="4" w:space="0" w:color="auto"/>
              <w:right w:val="nil"/>
            </w:tcBorders>
            <w:shd w:val="clear" w:color="000000" w:fill="FFFFFF"/>
            <w:noWrap/>
            <w:vAlign w:val="bottom"/>
            <w:hideMark/>
          </w:tcPr>
          <w:p w14:paraId="27576DDF" w14:textId="77777777" w:rsidR="00F607C3" w:rsidRPr="005E2B16" w:rsidRDefault="00F607C3" w:rsidP="004618E4">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untreated</w:t>
            </w:r>
          </w:p>
        </w:tc>
        <w:tc>
          <w:tcPr>
            <w:tcW w:w="790" w:type="dxa"/>
            <w:tcBorders>
              <w:top w:val="nil"/>
              <w:left w:val="nil"/>
              <w:bottom w:val="single" w:sz="4" w:space="0" w:color="auto"/>
              <w:right w:val="nil"/>
            </w:tcBorders>
            <w:shd w:val="clear" w:color="000000" w:fill="FFFFFF"/>
            <w:noWrap/>
            <w:vAlign w:val="bottom"/>
            <w:hideMark/>
          </w:tcPr>
          <w:p w14:paraId="601EC99E" w14:textId="23F3CDB4"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0.001</w:t>
            </w:r>
          </w:p>
        </w:tc>
        <w:tc>
          <w:tcPr>
            <w:tcW w:w="718" w:type="dxa"/>
            <w:tcBorders>
              <w:top w:val="nil"/>
              <w:left w:val="nil"/>
              <w:bottom w:val="single" w:sz="4" w:space="0" w:color="auto"/>
              <w:right w:val="nil"/>
            </w:tcBorders>
            <w:shd w:val="clear" w:color="000000" w:fill="FFFFFF"/>
            <w:noWrap/>
            <w:vAlign w:val="bottom"/>
            <w:hideMark/>
          </w:tcPr>
          <w:p w14:paraId="1829A8CA" w14:textId="48EB4F5A"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0.328</w:t>
            </w:r>
          </w:p>
        </w:tc>
        <w:tc>
          <w:tcPr>
            <w:tcW w:w="756" w:type="dxa"/>
            <w:tcBorders>
              <w:top w:val="nil"/>
              <w:left w:val="nil"/>
              <w:bottom w:val="single" w:sz="4" w:space="0" w:color="auto"/>
              <w:right w:val="nil"/>
            </w:tcBorders>
            <w:shd w:val="clear" w:color="000000" w:fill="FFFFFF"/>
            <w:noWrap/>
            <w:vAlign w:val="bottom"/>
            <w:hideMark/>
          </w:tcPr>
          <w:p w14:paraId="113D0090" w14:textId="3EA2FC47"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hAnsi="Times New Roman" w:cs="Times New Roman"/>
                <w:color w:val="000000"/>
                <w:sz w:val="20"/>
                <w:szCs w:val="20"/>
              </w:rPr>
              <w:t>0.036</w:t>
            </w:r>
          </w:p>
        </w:tc>
        <w:tc>
          <w:tcPr>
            <w:tcW w:w="1018" w:type="dxa"/>
            <w:vMerge/>
            <w:tcBorders>
              <w:left w:val="nil"/>
              <w:bottom w:val="single" w:sz="4" w:space="0" w:color="auto"/>
              <w:right w:val="nil"/>
            </w:tcBorders>
            <w:shd w:val="clear" w:color="000000" w:fill="FFFFFF"/>
          </w:tcPr>
          <w:p w14:paraId="7BFC4672" w14:textId="310F3C4D" w:rsidR="00F607C3" w:rsidRPr="005E2B16" w:rsidRDefault="00F607C3" w:rsidP="004618E4">
            <w:pPr>
              <w:spacing w:after="0" w:line="240" w:lineRule="auto"/>
              <w:jc w:val="center"/>
              <w:rPr>
                <w:rFonts w:ascii="Times New Roman" w:eastAsia="Times New Roman" w:hAnsi="Times New Roman" w:cs="Times New Roman"/>
                <w:color w:val="000000"/>
                <w:sz w:val="20"/>
                <w:szCs w:val="20"/>
                <w:lang w:eastAsia="en-GB"/>
              </w:rPr>
            </w:pPr>
          </w:p>
        </w:tc>
      </w:tr>
    </w:tbl>
    <w:p w14:paraId="6F3603D6" w14:textId="261AA9B5" w:rsidR="008F5CAD" w:rsidRPr="005E2B16" w:rsidRDefault="005724B7" w:rsidP="00E8135E">
      <w:pPr>
        <w:spacing w:before="240" w:line="240" w:lineRule="auto"/>
        <w:jc w:val="both"/>
        <w:rPr>
          <w:rFonts w:ascii="Arial" w:hAnsi="Arial" w:cs="Arial"/>
          <w:color w:val="000000"/>
          <w:sz w:val="20"/>
          <w:szCs w:val="20"/>
          <w:u w:val="single"/>
        </w:rPr>
      </w:pPr>
      <w:r w:rsidRPr="005E2B16">
        <w:rPr>
          <w:rFonts w:ascii="Times New Roman" w:hAnsi="Times New Roman" w:cs="Times New Roman"/>
          <w:color w:val="000000"/>
          <w:sz w:val="24"/>
          <w:szCs w:val="24"/>
        </w:rPr>
        <w:lastRenderedPageBreak/>
        <w:t>The common support and overlap assumption of the PSM is another important condition that must be satisfied to ensure that firms with similar covariates have a positive probability of being eit</w:t>
      </w:r>
      <w:r w:rsidR="00F9621E" w:rsidRPr="005E2B16">
        <w:rPr>
          <w:rFonts w:ascii="Times New Roman" w:hAnsi="Times New Roman" w:cs="Times New Roman"/>
          <w:color w:val="000000"/>
          <w:sz w:val="24"/>
          <w:szCs w:val="24"/>
        </w:rPr>
        <w:t xml:space="preserve">her participants or non-participants (see Heckman, Lalonde and Smith, 1999). As earlier stated, the rule of thumb is that the common support must be greater than zero and less than 1. Therefore we report the common </w:t>
      </w:r>
      <w:r w:rsidR="0017336F" w:rsidRPr="005E2B16">
        <w:rPr>
          <w:rFonts w:ascii="Times New Roman" w:hAnsi="Times New Roman" w:cs="Times New Roman"/>
          <w:color w:val="000000"/>
          <w:sz w:val="24"/>
          <w:szCs w:val="24"/>
        </w:rPr>
        <w:t xml:space="preserve">support </w:t>
      </w:r>
      <w:r w:rsidR="00F9621E" w:rsidRPr="005E2B16">
        <w:rPr>
          <w:rFonts w:ascii="Times New Roman" w:hAnsi="Times New Roman" w:cs="Times New Roman"/>
          <w:color w:val="000000"/>
          <w:sz w:val="24"/>
          <w:szCs w:val="24"/>
        </w:rPr>
        <w:t xml:space="preserve">boundaries </w:t>
      </w:r>
      <w:r w:rsidR="0017336F" w:rsidRPr="005E2B16">
        <w:rPr>
          <w:rFonts w:ascii="Times New Roman" w:hAnsi="Times New Roman" w:cs="Times New Roman"/>
          <w:color w:val="000000"/>
          <w:sz w:val="24"/>
          <w:szCs w:val="24"/>
        </w:rPr>
        <w:t xml:space="preserve">for participants </w:t>
      </w:r>
      <w:r w:rsidR="00F9621E" w:rsidRPr="005E2B16">
        <w:rPr>
          <w:rFonts w:ascii="Times New Roman" w:hAnsi="Times New Roman" w:cs="Times New Roman"/>
          <w:color w:val="000000"/>
          <w:sz w:val="24"/>
          <w:szCs w:val="24"/>
        </w:rPr>
        <w:t>from our estimation for each of the estimated models</w:t>
      </w:r>
      <w:r w:rsidR="004618E4" w:rsidRPr="005E2B16">
        <w:rPr>
          <w:rFonts w:ascii="Times New Roman" w:hAnsi="Times New Roman" w:cs="Times New Roman"/>
          <w:color w:val="000000"/>
          <w:sz w:val="24"/>
          <w:szCs w:val="24"/>
        </w:rPr>
        <w:t>. For the first model that estimates the</w:t>
      </w:r>
      <w:r w:rsidR="00F858BA" w:rsidRPr="005E2B16">
        <w:rPr>
          <w:rFonts w:ascii="Times New Roman" w:hAnsi="Times New Roman" w:cs="Times New Roman"/>
          <w:color w:val="000000"/>
          <w:sz w:val="24"/>
          <w:szCs w:val="24"/>
        </w:rPr>
        <w:t xml:space="preserve"> impact of participating in the import exemption, the common support are within the range of 0</w:t>
      </w:r>
      <w:r w:rsidR="00820537" w:rsidRPr="005E2B16">
        <w:rPr>
          <w:rFonts w:ascii="Times New Roman" w:hAnsi="Times New Roman" w:cs="Times New Roman"/>
          <w:color w:val="000000"/>
          <w:sz w:val="24"/>
          <w:szCs w:val="24"/>
        </w:rPr>
        <w:t>.0234</w:t>
      </w:r>
      <w:r w:rsidR="00F858BA" w:rsidRPr="005E2B16">
        <w:rPr>
          <w:rFonts w:ascii="Times New Roman" w:hAnsi="Times New Roman" w:cs="Times New Roman"/>
          <w:color w:val="000000"/>
          <w:sz w:val="24"/>
          <w:szCs w:val="24"/>
        </w:rPr>
        <w:t xml:space="preserve"> and 0</w:t>
      </w:r>
      <w:r w:rsidR="00820537" w:rsidRPr="005E2B16">
        <w:rPr>
          <w:rFonts w:ascii="Times New Roman" w:hAnsi="Times New Roman" w:cs="Times New Roman"/>
          <w:color w:val="000000"/>
          <w:sz w:val="24"/>
          <w:szCs w:val="24"/>
        </w:rPr>
        <w:t>.2748</w:t>
      </w:r>
      <w:r w:rsidR="00F858BA" w:rsidRPr="005E2B16">
        <w:rPr>
          <w:rFonts w:ascii="Times New Roman" w:hAnsi="Times New Roman" w:cs="Times New Roman"/>
          <w:color w:val="000000"/>
          <w:sz w:val="24"/>
          <w:szCs w:val="24"/>
        </w:rPr>
        <w:t>; for the profit tax exemption, the common support are within the range of 0</w:t>
      </w:r>
      <w:r w:rsidRPr="005E2B16">
        <w:rPr>
          <w:rFonts w:ascii="Times New Roman" w:hAnsi="Times New Roman" w:cs="Times New Roman"/>
          <w:color w:val="000000"/>
          <w:sz w:val="24"/>
          <w:szCs w:val="24"/>
        </w:rPr>
        <w:t>.1462</w:t>
      </w:r>
      <w:r w:rsidR="00F858BA" w:rsidRPr="005E2B16">
        <w:rPr>
          <w:rFonts w:ascii="Times New Roman" w:hAnsi="Times New Roman" w:cs="Times New Roman"/>
          <w:color w:val="000000"/>
          <w:sz w:val="24"/>
          <w:szCs w:val="24"/>
        </w:rPr>
        <w:t xml:space="preserve"> and</w:t>
      </w:r>
      <w:r w:rsidRPr="005E2B16">
        <w:rPr>
          <w:rFonts w:ascii="Times New Roman" w:hAnsi="Times New Roman" w:cs="Times New Roman"/>
          <w:color w:val="000000"/>
          <w:sz w:val="24"/>
          <w:szCs w:val="24"/>
        </w:rPr>
        <w:t xml:space="preserve"> </w:t>
      </w:r>
      <w:r w:rsidR="00F858BA" w:rsidRPr="005E2B16">
        <w:rPr>
          <w:rFonts w:ascii="Times New Roman" w:hAnsi="Times New Roman" w:cs="Times New Roman"/>
          <w:color w:val="000000"/>
          <w:sz w:val="24"/>
          <w:szCs w:val="24"/>
        </w:rPr>
        <w:t xml:space="preserve">0.6009, while for export financing </w:t>
      </w:r>
      <w:r w:rsidR="00E8135E" w:rsidRPr="005E2B16">
        <w:rPr>
          <w:rFonts w:ascii="Times New Roman" w:hAnsi="Times New Roman" w:cs="Times New Roman"/>
          <w:color w:val="000000"/>
          <w:sz w:val="24"/>
          <w:szCs w:val="24"/>
        </w:rPr>
        <w:t>the common support are within range of 0.022</w:t>
      </w:r>
      <w:r w:rsidRPr="005E2B16">
        <w:rPr>
          <w:rFonts w:ascii="Times New Roman" w:hAnsi="Times New Roman" w:cs="Times New Roman"/>
          <w:color w:val="000000"/>
          <w:sz w:val="24"/>
          <w:szCs w:val="24"/>
        </w:rPr>
        <w:t>6</w:t>
      </w:r>
      <w:r w:rsidR="00E8135E" w:rsidRPr="005E2B16">
        <w:rPr>
          <w:rFonts w:ascii="Times New Roman" w:hAnsi="Times New Roman" w:cs="Times New Roman"/>
          <w:color w:val="000000"/>
          <w:sz w:val="24"/>
          <w:szCs w:val="24"/>
        </w:rPr>
        <w:t xml:space="preserve"> and</w:t>
      </w:r>
      <w:r w:rsidRPr="005E2B16">
        <w:rPr>
          <w:rFonts w:ascii="Times New Roman" w:hAnsi="Times New Roman" w:cs="Times New Roman"/>
          <w:color w:val="000000"/>
          <w:sz w:val="24"/>
          <w:szCs w:val="24"/>
        </w:rPr>
        <w:t xml:space="preserve"> </w:t>
      </w:r>
      <w:r w:rsidR="00E8135E" w:rsidRPr="005E2B16">
        <w:rPr>
          <w:rFonts w:ascii="Times New Roman" w:hAnsi="Times New Roman" w:cs="Times New Roman"/>
          <w:color w:val="000000"/>
          <w:sz w:val="24"/>
          <w:szCs w:val="24"/>
        </w:rPr>
        <w:t>0</w:t>
      </w:r>
      <w:r w:rsidRPr="005E2B16">
        <w:rPr>
          <w:rFonts w:ascii="Times New Roman" w:hAnsi="Times New Roman" w:cs="Times New Roman"/>
          <w:color w:val="000000"/>
          <w:sz w:val="24"/>
          <w:szCs w:val="24"/>
        </w:rPr>
        <w:t>.2925</w:t>
      </w:r>
      <w:r w:rsidR="00E8135E" w:rsidRPr="005E2B16">
        <w:rPr>
          <w:rFonts w:ascii="Times New Roman" w:hAnsi="Times New Roman" w:cs="Times New Roman"/>
          <w:color w:val="000000"/>
          <w:sz w:val="24"/>
          <w:szCs w:val="24"/>
        </w:rPr>
        <w:t>.</w:t>
      </w:r>
      <w:r w:rsidR="00054591" w:rsidRPr="005E2B16">
        <w:rPr>
          <w:rFonts w:ascii="Arial" w:hAnsi="Arial" w:cs="Arial"/>
          <w:color w:val="000000"/>
          <w:sz w:val="20"/>
          <w:szCs w:val="20"/>
          <w:u w:val="single"/>
        </w:rPr>
        <w:t xml:space="preserve"> </w:t>
      </w:r>
      <w:r w:rsidR="00E8135E" w:rsidRPr="005E2B16">
        <w:rPr>
          <w:rFonts w:ascii="Times New Roman" w:hAnsi="Times New Roman" w:cs="Times New Roman"/>
          <w:color w:val="000000"/>
          <w:sz w:val="24"/>
          <w:szCs w:val="24"/>
        </w:rPr>
        <w:t xml:space="preserve">The region of the common support for all the estimated PSM </w:t>
      </w:r>
      <w:r w:rsidR="008F5CAD" w:rsidRPr="005E2B16">
        <w:rPr>
          <w:rFonts w:ascii="Times New Roman" w:hAnsi="Times New Roman" w:cs="Times New Roman"/>
          <w:color w:val="000000"/>
          <w:sz w:val="24"/>
          <w:szCs w:val="24"/>
        </w:rPr>
        <w:t>indicat</w:t>
      </w:r>
      <w:r w:rsidR="00E8135E" w:rsidRPr="005E2B16">
        <w:rPr>
          <w:rFonts w:ascii="Times New Roman" w:hAnsi="Times New Roman" w:cs="Times New Roman"/>
          <w:color w:val="000000"/>
          <w:sz w:val="24"/>
          <w:szCs w:val="24"/>
        </w:rPr>
        <w:t>es that</w:t>
      </w:r>
      <w:r w:rsidR="008F5CAD" w:rsidRPr="005E2B16">
        <w:rPr>
          <w:rFonts w:ascii="Times New Roman" w:hAnsi="Times New Roman" w:cs="Times New Roman"/>
          <w:color w:val="000000"/>
          <w:sz w:val="24"/>
          <w:szCs w:val="24"/>
        </w:rPr>
        <w:t xml:space="preserve"> there was a balance between covariates of participants and n</w:t>
      </w:r>
      <w:r w:rsidR="00E8135E" w:rsidRPr="005E2B16">
        <w:rPr>
          <w:rFonts w:ascii="Times New Roman" w:hAnsi="Times New Roman" w:cs="Times New Roman"/>
          <w:color w:val="000000"/>
          <w:sz w:val="24"/>
          <w:szCs w:val="24"/>
        </w:rPr>
        <w:t>on-participants for the groups.</w:t>
      </w:r>
    </w:p>
    <w:p w14:paraId="51578F47" w14:textId="344FECCE" w:rsidR="00DA765F" w:rsidRPr="005E2B16" w:rsidRDefault="007B410C" w:rsidP="00937E60">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Therefore having satisfied the two conditions for effectively matching the participants and the non-participants, we go ahead to predict the estimated treatment effect (ATT).</w:t>
      </w:r>
    </w:p>
    <w:p w14:paraId="178D9F0E" w14:textId="77777777" w:rsidR="00397D6B" w:rsidRPr="005E2B16" w:rsidRDefault="00397D6B" w:rsidP="00937E60">
      <w:pPr>
        <w:spacing w:after="0" w:line="240" w:lineRule="auto"/>
        <w:jc w:val="both"/>
        <w:rPr>
          <w:rFonts w:ascii="Times New Roman" w:hAnsi="Times New Roman" w:cs="Times New Roman"/>
          <w:sz w:val="24"/>
          <w:szCs w:val="24"/>
          <w:lang w:val="en-US"/>
        </w:rPr>
      </w:pPr>
    </w:p>
    <w:p w14:paraId="6AB1BA2F" w14:textId="2AE46F6C" w:rsidR="00397D6B" w:rsidRPr="005E2B16" w:rsidRDefault="009A4238" w:rsidP="00397D6B">
      <w:pPr>
        <w:spacing w:after="0" w:line="240" w:lineRule="auto"/>
        <w:jc w:val="both"/>
        <w:rPr>
          <w:rFonts w:ascii="Times New Roman" w:hAnsi="Times New Roman" w:cs="Times New Roman"/>
          <w:i/>
          <w:sz w:val="24"/>
          <w:szCs w:val="24"/>
          <w:lang w:val="en-US"/>
        </w:rPr>
      </w:pPr>
      <w:r w:rsidRPr="005E2B16">
        <w:rPr>
          <w:rFonts w:ascii="Times New Roman" w:hAnsi="Times New Roman" w:cs="Times New Roman"/>
          <w:i/>
          <w:sz w:val="24"/>
          <w:szCs w:val="24"/>
          <w:lang w:val="en-US"/>
        </w:rPr>
        <w:t>Estimated Treatment</w:t>
      </w:r>
      <w:r w:rsidR="00397D6B" w:rsidRPr="005E2B16">
        <w:rPr>
          <w:rFonts w:ascii="Times New Roman" w:hAnsi="Times New Roman" w:cs="Times New Roman"/>
          <w:i/>
          <w:sz w:val="24"/>
          <w:szCs w:val="24"/>
          <w:lang w:val="en-US"/>
        </w:rPr>
        <w:t xml:space="preserve"> Effects</w:t>
      </w:r>
    </w:p>
    <w:p w14:paraId="78D6E6CF" w14:textId="775262C3" w:rsidR="00B67F7B" w:rsidRPr="005E2B16" w:rsidRDefault="007A6BFD" w:rsidP="007A6BFD">
      <w:pPr>
        <w:spacing w:after="0" w:line="240" w:lineRule="auto"/>
        <w:jc w:val="both"/>
        <w:rPr>
          <w:rFonts w:ascii="Times New Roman" w:hAnsi="Times New Roman" w:cs="Times New Roman"/>
          <w:sz w:val="24"/>
          <w:szCs w:val="24"/>
        </w:rPr>
      </w:pPr>
      <w:r w:rsidRPr="00A55EC9">
        <w:rPr>
          <w:rFonts w:ascii="Times New Roman" w:hAnsi="Times New Roman" w:cs="Times New Roman"/>
          <w:sz w:val="24"/>
          <w:szCs w:val="24"/>
        </w:rPr>
        <w:t xml:space="preserve">Table </w:t>
      </w:r>
      <w:r w:rsidR="009039BF" w:rsidRPr="00A55EC9">
        <w:rPr>
          <w:rFonts w:ascii="Times New Roman" w:hAnsi="Times New Roman" w:cs="Times New Roman"/>
          <w:sz w:val="24"/>
          <w:szCs w:val="24"/>
        </w:rPr>
        <w:t>5</w:t>
      </w:r>
      <w:r w:rsidRPr="00A55EC9">
        <w:rPr>
          <w:rFonts w:ascii="Times New Roman" w:hAnsi="Times New Roman" w:cs="Times New Roman"/>
          <w:sz w:val="24"/>
          <w:szCs w:val="24"/>
        </w:rPr>
        <w:t>.3</w:t>
      </w:r>
      <w:r w:rsidRPr="005E2B16">
        <w:rPr>
          <w:rFonts w:ascii="Times New Roman" w:hAnsi="Times New Roman" w:cs="Times New Roman"/>
          <w:sz w:val="24"/>
          <w:szCs w:val="24"/>
        </w:rPr>
        <w:t xml:space="preserve"> shows both the bias-adjusted and unadjusted estimates of the ATT from four matching methods to check the consistency of the result. </w:t>
      </w:r>
      <w:r w:rsidR="00614B12" w:rsidRPr="005E2B16">
        <w:rPr>
          <w:rFonts w:ascii="Times New Roman" w:hAnsi="Times New Roman" w:cs="Times New Roman"/>
          <w:sz w:val="24"/>
          <w:szCs w:val="24"/>
        </w:rPr>
        <w:t xml:space="preserve">The </w:t>
      </w:r>
      <w:r w:rsidRPr="005E2B16">
        <w:rPr>
          <w:rFonts w:ascii="Times New Roman" w:hAnsi="Times New Roman" w:cs="Times New Roman"/>
          <w:sz w:val="24"/>
          <w:szCs w:val="24"/>
        </w:rPr>
        <w:t>essence is to evaluate</w:t>
      </w:r>
      <w:r w:rsidR="00614B12" w:rsidRPr="005E2B16">
        <w:rPr>
          <w:rFonts w:ascii="Times New Roman" w:hAnsi="Times New Roman" w:cs="Times New Roman"/>
          <w:sz w:val="24"/>
          <w:szCs w:val="24"/>
        </w:rPr>
        <w:t xml:space="preserve"> the impact of the different dimensions of fiscal incentives on productivity, using firm productivity data as the outcome variable. Thus, the Average Treatment </w:t>
      </w:r>
      <w:r w:rsidR="00CE55FA" w:rsidRPr="005E2B16">
        <w:rPr>
          <w:rFonts w:ascii="Times New Roman" w:hAnsi="Times New Roman" w:cs="Times New Roman"/>
          <w:sz w:val="24"/>
          <w:szCs w:val="24"/>
        </w:rPr>
        <w:t xml:space="preserve">on the Treated </w:t>
      </w:r>
      <w:r w:rsidR="00614B12" w:rsidRPr="005E2B16">
        <w:rPr>
          <w:rFonts w:ascii="Times New Roman" w:hAnsi="Times New Roman" w:cs="Times New Roman"/>
          <w:sz w:val="24"/>
          <w:szCs w:val="24"/>
        </w:rPr>
        <w:t xml:space="preserve">Effect (ATT) was estimated using the ATT equation discussed in </w:t>
      </w:r>
      <w:r w:rsidRPr="005E2B16">
        <w:rPr>
          <w:rFonts w:ascii="Times New Roman" w:hAnsi="Times New Roman" w:cs="Times New Roman"/>
          <w:sz w:val="24"/>
          <w:szCs w:val="24"/>
        </w:rPr>
        <w:t xml:space="preserve">the </w:t>
      </w:r>
      <w:r w:rsidR="00054591" w:rsidRPr="005E2B16">
        <w:rPr>
          <w:rFonts w:ascii="Times New Roman" w:hAnsi="Times New Roman" w:cs="Times New Roman"/>
          <w:sz w:val="24"/>
          <w:szCs w:val="24"/>
        </w:rPr>
        <w:t xml:space="preserve">third </w:t>
      </w:r>
      <w:r w:rsidRPr="00A55EC9">
        <w:rPr>
          <w:rFonts w:ascii="Times New Roman" w:hAnsi="Times New Roman" w:cs="Times New Roman"/>
          <w:sz w:val="24"/>
          <w:szCs w:val="24"/>
        </w:rPr>
        <w:t>section</w:t>
      </w:r>
      <w:r w:rsidR="00614B12" w:rsidRPr="005E2B16">
        <w:rPr>
          <w:rFonts w:ascii="Times New Roman" w:hAnsi="Times New Roman" w:cs="Times New Roman"/>
          <w:sz w:val="24"/>
          <w:szCs w:val="24"/>
        </w:rPr>
        <w:t xml:space="preserve"> in the region of common support identified earlier (see preceding section). </w:t>
      </w:r>
      <w:r w:rsidR="00EC7060" w:rsidRPr="005E2B16">
        <w:rPr>
          <w:rFonts w:ascii="Times New Roman" w:hAnsi="Times New Roman" w:cs="Times New Roman"/>
          <w:sz w:val="24"/>
          <w:szCs w:val="24"/>
          <w:lang w:val="en-US"/>
        </w:rPr>
        <w:t xml:space="preserve">The common support condition is imposed in our ATT analysis to ensure the groups are within the same range of propensity scores. </w:t>
      </w:r>
      <w:r w:rsidR="00614B12" w:rsidRPr="005E2B16">
        <w:rPr>
          <w:rFonts w:ascii="Times New Roman" w:hAnsi="Times New Roman" w:cs="Times New Roman"/>
          <w:sz w:val="24"/>
          <w:szCs w:val="24"/>
        </w:rPr>
        <w:t xml:space="preserve">The treatment effects are derived using </w:t>
      </w:r>
      <w:r w:rsidR="00EC7060" w:rsidRPr="005E2B16">
        <w:rPr>
          <w:rFonts w:ascii="Times New Roman" w:hAnsi="Times New Roman" w:cs="Times New Roman"/>
          <w:sz w:val="24"/>
          <w:szCs w:val="24"/>
        </w:rPr>
        <w:t>four</w:t>
      </w:r>
      <w:r w:rsidR="00614B12" w:rsidRPr="005E2B16">
        <w:rPr>
          <w:rFonts w:ascii="Times New Roman" w:hAnsi="Times New Roman" w:cs="Times New Roman"/>
          <w:sz w:val="24"/>
          <w:szCs w:val="24"/>
        </w:rPr>
        <w:t xml:space="preserve"> matching estimators, namely, </w:t>
      </w:r>
      <w:r w:rsidR="00614B12" w:rsidRPr="005E2B16">
        <w:rPr>
          <w:rFonts w:ascii="Times New Roman" w:hAnsi="Times New Roman" w:cs="Times New Roman"/>
          <w:sz w:val="24"/>
          <w:szCs w:val="24"/>
          <w:lang w:val="en-US"/>
        </w:rPr>
        <w:t>the nearest neighbor matching (NNM), the radius matching (RM), the kernel matching (KM) and the stratification method (SM).</w:t>
      </w:r>
      <w:r w:rsidR="00614B12" w:rsidRPr="005E2B16">
        <w:rPr>
          <w:rFonts w:ascii="Times New Roman" w:hAnsi="Times New Roman" w:cs="Times New Roman"/>
          <w:sz w:val="24"/>
          <w:szCs w:val="24"/>
        </w:rPr>
        <w:t xml:space="preserve"> </w:t>
      </w:r>
      <w:r w:rsidR="00EC7060" w:rsidRPr="005E2B16">
        <w:rPr>
          <w:rFonts w:ascii="Times New Roman" w:hAnsi="Times New Roman" w:cs="Times New Roman"/>
          <w:sz w:val="24"/>
          <w:szCs w:val="24"/>
          <w:lang w:val="en-US"/>
        </w:rPr>
        <w:t>The default 0.06 bandwidth is used for the KM and 0.1 caliper for the RM, while five nearest neighbo</w:t>
      </w:r>
      <w:r w:rsidR="00076817" w:rsidRPr="005E2B16">
        <w:rPr>
          <w:rFonts w:ascii="Times New Roman" w:hAnsi="Times New Roman" w:cs="Times New Roman"/>
          <w:sz w:val="24"/>
          <w:szCs w:val="24"/>
          <w:lang w:val="en-US"/>
        </w:rPr>
        <w:t>u</w:t>
      </w:r>
      <w:r w:rsidR="00EC7060" w:rsidRPr="005E2B16">
        <w:rPr>
          <w:rFonts w:ascii="Times New Roman" w:hAnsi="Times New Roman" w:cs="Times New Roman"/>
          <w:sz w:val="24"/>
          <w:szCs w:val="24"/>
          <w:lang w:val="en-US"/>
        </w:rPr>
        <w:t>rs are used with the NNM</w:t>
      </w:r>
      <w:r w:rsidR="00BB0672" w:rsidRPr="005E2B16">
        <w:rPr>
          <w:rFonts w:ascii="Times New Roman" w:hAnsi="Times New Roman" w:cs="Times New Roman"/>
          <w:sz w:val="24"/>
          <w:szCs w:val="24"/>
          <w:lang w:val="en-US"/>
        </w:rPr>
        <w:t xml:space="preserve"> and the propensity scores of the closest blocks are used for the SM.</w:t>
      </w:r>
      <w:r w:rsidRPr="005E2B16">
        <w:rPr>
          <w:rFonts w:ascii="Times New Roman" w:hAnsi="Times New Roman" w:cs="Times New Roman"/>
          <w:sz w:val="24"/>
          <w:szCs w:val="24"/>
          <w:lang w:val="en-US"/>
        </w:rPr>
        <w:t xml:space="preserve"> </w:t>
      </w:r>
      <w:r w:rsidR="00B67F7B" w:rsidRPr="005E2B16">
        <w:rPr>
          <w:rFonts w:ascii="Times New Roman" w:hAnsi="Times New Roman" w:cs="Times New Roman"/>
          <w:sz w:val="24"/>
          <w:szCs w:val="24"/>
        </w:rPr>
        <w:t xml:space="preserve">Also, from the Table, we observe that the bias adjustment values are consistently lower for all the matching types, which signifies that the PSM is sensitive to the unobserved characteristics. Therefore for brevity, we report in the text only the results for bias adjustment from nearest neighbour matching.  </w:t>
      </w:r>
    </w:p>
    <w:p w14:paraId="57B53F6A" w14:textId="77777777" w:rsidR="00EC7060" w:rsidRPr="005E2B16" w:rsidRDefault="00EC7060" w:rsidP="00397D6B">
      <w:pPr>
        <w:spacing w:after="0" w:line="240" w:lineRule="auto"/>
        <w:jc w:val="both"/>
        <w:rPr>
          <w:rFonts w:ascii="Times New Roman" w:hAnsi="Times New Roman" w:cs="Times New Roman"/>
          <w:sz w:val="24"/>
          <w:szCs w:val="24"/>
        </w:rPr>
      </w:pPr>
    </w:p>
    <w:p w14:paraId="1F5C1BEA" w14:textId="2EA3BA8B" w:rsidR="00342E23" w:rsidRPr="005E2B16" w:rsidRDefault="007A6BFD" w:rsidP="004B0F73">
      <w:pPr>
        <w:spacing w:after="0" w:line="240" w:lineRule="auto"/>
        <w:jc w:val="center"/>
        <w:rPr>
          <w:rFonts w:ascii="Times New Roman" w:hAnsi="Times New Roman" w:cs="Times New Roman"/>
          <w:sz w:val="24"/>
          <w:szCs w:val="24"/>
        </w:rPr>
      </w:pPr>
      <w:r w:rsidRPr="005E2B16">
        <w:rPr>
          <w:rFonts w:ascii="Times New Roman" w:hAnsi="Times New Roman" w:cs="Times New Roman"/>
          <w:b/>
          <w:bCs/>
          <w:sz w:val="20"/>
          <w:szCs w:val="20"/>
        </w:rPr>
        <w:t xml:space="preserve">Table </w:t>
      </w:r>
      <w:r w:rsidR="009039BF" w:rsidRPr="005E2B16">
        <w:rPr>
          <w:rFonts w:ascii="Times New Roman" w:hAnsi="Times New Roman" w:cs="Times New Roman"/>
          <w:b/>
          <w:bCs/>
          <w:sz w:val="20"/>
          <w:szCs w:val="20"/>
        </w:rPr>
        <w:t>5</w:t>
      </w:r>
      <w:r w:rsidR="004B0F73" w:rsidRPr="005E2B16">
        <w:rPr>
          <w:rFonts w:ascii="Times New Roman" w:hAnsi="Times New Roman" w:cs="Times New Roman"/>
          <w:b/>
          <w:bCs/>
          <w:sz w:val="20"/>
          <w:szCs w:val="20"/>
        </w:rPr>
        <w:t xml:space="preserve">.3: </w:t>
      </w:r>
      <w:r w:rsidR="00342E23" w:rsidRPr="005E2B16">
        <w:rPr>
          <w:rFonts w:ascii="Times New Roman" w:hAnsi="Times New Roman" w:cs="Times New Roman"/>
          <w:b/>
          <w:bCs/>
          <w:sz w:val="20"/>
          <w:szCs w:val="20"/>
        </w:rPr>
        <w:t xml:space="preserve">Average </w:t>
      </w:r>
      <w:r w:rsidR="004B0F73" w:rsidRPr="005E2B16">
        <w:rPr>
          <w:rFonts w:ascii="Times New Roman" w:hAnsi="Times New Roman" w:cs="Times New Roman"/>
          <w:b/>
          <w:bCs/>
          <w:sz w:val="20"/>
          <w:szCs w:val="20"/>
        </w:rPr>
        <w:t xml:space="preserve">Treatment Effect </w:t>
      </w:r>
      <w:r w:rsidR="00342E23" w:rsidRPr="005E2B16">
        <w:rPr>
          <w:rFonts w:ascii="Times New Roman" w:hAnsi="Times New Roman" w:cs="Times New Roman"/>
          <w:b/>
          <w:bCs/>
          <w:sz w:val="20"/>
          <w:szCs w:val="20"/>
        </w:rPr>
        <w:t xml:space="preserve">for </w:t>
      </w:r>
      <w:r w:rsidR="004B0F73" w:rsidRPr="005E2B16">
        <w:rPr>
          <w:rFonts w:ascii="Times New Roman" w:hAnsi="Times New Roman" w:cs="Times New Roman"/>
          <w:b/>
          <w:bCs/>
          <w:sz w:val="20"/>
          <w:szCs w:val="20"/>
        </w:rPr>
        <w:t>Productivity</w:t>
      </w:r>
    </w:p>
    <w:tbl>
      <w:tblPr>
        <w:tblW w:w="10261" w:type="dxa"/>
        <w:tblInd w:w="-567" w:type="dxa"/>
        <w:tblLook w:val="04A0" w:firstRow="1" w:lastRow="0" w:firstColumn="1" w:lastColumn="0" w:noHBand="0" w:noVBand="1"/>
      </w:tblPr>
      <w:tblGrid>
        <w:gridCol w:w="2268"/>
        <w:gridCol w:w="1150"/>
        <w:gridCol w:w="802"/>
        <w:gridCol w:w="1025"/>
        <w:gridCol w:w="766"/>
        <w:gridCol w:w="889"/>
        <w:gridCol w:w="766"/>
        <w:gridCol w:w="889"/>
        <w:gridCol w:w="802"/>
        <w:gridCol w:w="904"/>
      </w:tblGrid>
      <w:tr w:rsidR="00342E23" w:rsidRPr="005E2B16" w14:paraId="08C5F277" w14:textId="77777777" w:rsidTr="004B6D94">
        <w:trPr>
          <w:trHeight w:val="300"/>
        </w:trPr>
        <w:tc>
          <w:tcPr>
            <w:tcW w:w="2268" w:type="dxa"/>
            <w:tcBorders>
              <w:top w:val="single" w:sz="4" w:space="0" w:color="auto"/>
              <w:left w:val="nil"/>
              <w:right w:val="single" w:sz="4" w:space="0" w:color="auto"/>
            </w:tcBorders>
            <w:shd w:val="clear" w:color="auto" w:fill="auto"/>
            <w:noWrap/>
            <w:vAlign w:val="bottom"/>
            <w:hideMark/>
          </w:tcPr>
          <w:p w14:paraId="5B5CC611" w14:textId="77777777" w:rsidR="00342E23" w:rsidRPr="005E2B16" w:rsidRDefault="00342E23" w:rsidP="00342E23">
            <w:pPr>
              <w:spacing w:after="0" w:line="240" w:lineRule="auto"/>
              <w:rPr>
                <w:rFonts w:ascii="Times New Roman" w:eastAsia="Times New Roman" w:hAnsi="Times New Roman" w:cs="Times New Roman"/>
                <w:sz w:val="20"/>
                <w:szCs w:val="20"/>
                <w:lang w:eastAsia="en-GB"/>
              </w:rPr>
            </w:pPr>
          </w:p>
        </w:tc>
        <w:tc>
          <w:tcPr>
            <w:tcW w:w="1150" w:type="dxa"/>
            <w:tcBorders>
              <w:top w:val="single" w:sz="4" w:space="0" w:color="auto"/>
              <w:left w:val="single" w:sz="4" w:space="0" w:color="auto"/>
              <w:right w:val="single" w:sz="4" w:space="0" w:color="auto"/>
            </w:tcBorders>
            <w:shd w:val="clear" w:color="auto" w:fill="auto"/>
            <w:noWrap/>
            <w:vAlign w:val="bottom"/>
            <w:hideMark/>
          </w:tcPr>
          <w:p w14:paraId="112755D1" w14:textId="77777777" w:rsidR="00342E23" w:rsidRPr="005E2B16" w:rsidRDefault="00342E23" w:rsidP="00342E23">
            <w:pPr>
              <w:spacing w:after="0" w:line="240" w:lineRule="auto"/>
              <w:rPr>
                <w:rFonts w:ascii="Times New Roman" w:eastAsia="Times New Roman" w:hAnsi="Times New Roman" w:cs="Times New Roman"/>
                <w:sz w:val="20"/>
                <w:szCs w:val="20"/>
                <w:lang w:eastAsia="en-GB"/>
              </w:rPr>
            </w:pPr>
          </w:p>
        </w:tc>
        <w:tc>
          <w:tcPr>
            <w:tcW w:w="1827" w:type="dxa"/>
            <w:gridSpan w:val="2"/>
            <w:tcBorders>
              <w:top w:val="single" w:sz="4" w:space="0" w:color="auto"/>
              <w:left w:val="single" w:sz="4" w:space="0" w:color="auto"/>
              <w:right w:val="single" w:sz="4" w:space="0" w:color="auto"/>
            </w:tcBorders>
            <w:shd w:val="clear" w:color="auto" w:fill="auto"/>
            <w:noWrap/>
            <w:vAlign w:val="bottom"/>
            <w:hideMark/>
          </w:tcPr>
          <w:p w14:paraId="2D13EC06" w14:textId="77777777" w:rsidR="00342E23" w:rsidRPr="005E2B16" w:rsidRDefault="00342E23" w:rsidP="00342E23">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Nearest Neighbour Matching</w:t>
            </w:r>
          </w:p>
        </w:tc>
        <w:tc>
          <w:tcPr>
            <w:tcW w:w="1655" w:type="dxa"/>
            <w:gridSpan w:val="2"/>
            <w:tcBorders>
              <w:top w:val="single" w:sz="4" w:space="0" w:color="auto"/>
              <w:left w:val="single" w:sz="4" w:space="0" w:color="auto"/>
              <w:right w:val="single" w:sz="4" w:space="0" w:color="auto"/>
            </w:tcBorders>
            <w:shd w:val="clear" w:color="auto" w:fill="auto"/>
            <w:noWrap/>
            <w:vAlign w:val="bottom"/>
            <w:hideMark/>
          </w:tcPr>
          <w:p w14:paraId="70526563"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Kernel Matching</w:t>
            </w:r>
          </w:p>
        </w:tc>
        <w:tc>
          <w:tcPr>
            <w:tcW w:w="1655" w:type="dxa"/>
            <w:gridSpan w:val="2"/>
            <w:tcBorders>
              <w:top w:val="single" w:sz="4" w:space="0" w:color="auto"/>
              <w:left w:val="single" w:sz="4" w:space="0" w:color="auto"/>
              <w:right w:val="single" w:sz="4" w:space="0" w:color="auto"/>
            </w:tcBorders>
            <w:shd w:val="clear" w:color="auto" w:fill="auto"/>
            <w:noWrap/>
            <w:vAlign w:val="bottom"/>
            <w:hideMark/>
          </w:tcPr>
          <w:p w14:paraId="2408848C" w14:textId="77777777" w:rsidR="00342E23" w:rsidRPr="005E2B16" w:rsidRDefault="00342E23" w:rsidP="00342E23">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Radius Matching</w:t>
            </w:r>
          </w:p>
        </w:tc>
        <w:tc>
          <w:tcPr>
            <w:tcW w:w="1706" w:type="dxa"/>
            <w:gridSpan w:val="2"/>
            <w:tcBorders>
              <w:top w:val="single" w:sz="4" w:space="0" w:color="auto"/>
              <w:left w:val="single" w:sz="4" w:space="0" w:color="auto"/>
              <w:right w:val="nil"/>
            </w:tcBorders>
            <w:shd w:val="clear" w:color="auto" w:fill="auto"/>
            <w:noWrap/>
            <w:vAlign w:val="bottom"/>
            <w:hideMark/>
          </w:tcPr>
          <w:p w14:paraId="75D1B2D1" w14:textId="77777777" w:rsidR="00342E23" w:rsidRPr="005E2B16" w:rsidRDefault="00342E23" w:rsidP="00342E23">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Stratified Matching</w:t>
            </w:r>
          </w:p>
        </w:tc>
      </w:tr>
      <w:tr w:rsidR="00342E23" w:rsidRPr="005E2B16" w14:paraId="0DC1FF14" w14:textId="77777777" w:rsidTr="004B6D94">
        <w:trPr>
          <w:trHeight w:val="300"/>
        </w:trPr>
        <w:tc>
          <w:tcPr>
            <w:tcW w:w="2268" w:type="dxa"/>
            <w:tcBorders>
              <w:top w:val="nil"/>
              <w:left w:val="nil"/>
              <w:bottom w:val="single" w:sz="4" w:space="0" w:color="auto"/>
              <w:right w:val="single" w:sz="4" w:space="0" w:color="auto"/>
            </w:tcBorders>
            <w:shd w:val="clear" w:color="auto" w:fill="auto"/>
            <w:noWrap/>
            <w:vAlign w:val="bottom"/>
            <w:hideMark/>
          </w:tcPr>
          <w:p w14:paraId="2CF3807F"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Treatment</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149543A2"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Bias Adjustment</w:t>
            </w:r>
          </w:p>
        </w:tc>
        <w:tc>
          <w:tcPr>
            <w:tcW w:w="802" w:type="dxa"/>
            <w:tcBorders>
              <w:top w:val="nil"/>
              <w:left w:val="single" w:sz="4" w:space="0" w:color="auto"/>
              <w:bottom w:val="single" w:sz="4" w:space="0" w:color="auto"/>
              <w:right w:val="nil"/>
            </w:tcBorders>
            <w:shd w:val="clear" w:color="auto" w:fill="auto"/>
            <w:noWrap/>
            <w:vAlign w:val="bottom"/>
            <w:hideMark/>
          </w:tcPr>
          <w:p w14:paraId="3D5059DF"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1025" w:type="dxa"/>
            <w:tcBorders>
              <w:top w:val="nil"/>
              <w:left w:val="nil"/>
              <w:bottom w:val="single" w:sz="4" w:space="0" w:color="auto"/>
              <w:right w:val="single" w:sz="4" w:space="0" w:color="auto"/>
            </w:tcBorders>
            <w:shd w:val="clear" w:color="auto" w:fill="auto"/>
            <w:noWrap/>
            <w:vAlign w:val="bottom"/>
            <w:hideMark/>
          </w:tcPr>
          <w:p w14:paraId="4E948672"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c>
          <w:tcPr>
            <w:tcW w:w="766" w:type="dxa"/>
            <w:tcBorders>
              <w:top w:val="nil"/>
              <w:left w:val="single" w:sz="4" w:space="0" w:color="auto"/>
              <w:bottom w:val="single" w:sz="4" w:space="0" w:color="auto"/>
              <w:right w:val="nil"/>
            </w:tcBorders>
            <w:shd w:val="clear" w:color="auto" w:fill="auto"/>
            <w:noWrap/>
            <w:vAlign w:val="bottom"/>
            <w:hideMark/>
          </w:tcPr>
          <w:p w14:paraId="32F6935D"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889" w:type="dxa"/>
            <w:tcBorders>
              <w:top w:val="nil"/>
              <w:left w:val="nil"/>
              <w:bottom w:val="single" w:sz="4" w:space="0" w:color="auto"/>
              <w:right w:val="single" w:sz="4" w:space="0" w:color="auto"/>
            </w:tcBorders>
            <w:shd w:val="clear" w:color="auto" w:fill="auto"/>
            <w:noWrap/>
            <w:vAlign w:val="bottom"/>
            <w:hideMark/>
          </w:tcPr>
          <w:p w14:paraId="3880295B"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c>
          <w:tcPr>
            <w:tcW w:w="766" w:type="dxa"/>
            <w:tcBorders>
              <w:top w:val="nil"/>
              <w:left w:val="single" w:sz="4" w:space="0" w:color="auto"/>
              <w:bottom w:val="single" w:sz="4" w:space="0" w:color="auto"/>
              <w:right w:val="nil"/>
            </w:tcBorders>
            <w:shd w:val="clear" w:color="auto" w:fill="auto"/>
            <w:noWrap/>
            <w:vAlign w:val="bottom"/>
            <w:hideMark/>
          </w:tcPr>
          <w:p w14:paraId="27BF6858"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889" w:type="dxa"/>
            <w:tcBorders>
              <w:top w:val="nil"/>
              <w:left w:val="nil"/>
              <w:bottom w:val="single" w:sz="4" w:space="0" w:color="auto"/>
              <w:right w:val="single" w:sz="4" w:space="0" w:color="auto"/>
            </w:tcBorders>
            <w:shd w:val="clear" w:color="auto" w:fill="auto"/>
            <w:noWrap/>
            <w:vAlign w:val="bottom"/>
            <w:hideMark/>
          </w:tcPr>
          <w:p w14:paraId="7512BB1A"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c>
          <w:tcPr>
            <w:tcW w:w="802" w:type="dxa"/>
            <w:tcBorders>
              <w:top w:val="nil"/>
              <w:left w:val="single" w:sz="4" w:space="0" w:color="auto"/>
              <w:bottom w:val="single" w:sz="4" w:space="0" w:color="auto"/>
              <w:right w:val="nil"/>
            </w:tcBorders>
            <w:shd w:val="clear" w:color="auto" w:fill="auto"/>
            <w:noWrap/>
            <w:vAlign w:val="bottom"/>
            <w:hideMark/>
          </w:tcPr>
          <w:p w14:paraId="6AA0CB0E"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904" w:type="dxa"/>
            <w:tcBorders>
              <w:top w:val="nil"/>
              <w:left w:val="nil"/>
              <w:bottom w:val="single" w:sz="4" w:space="0" w:color="auto"/>
              <w:right w:val="nil"/>
            </w:tcBorders>
            <w:shd w:val="clear" w:color="auto" w:fill="auto"/>
            <w:noWrap/>
            <w:vAlign w:val="bottom"/>
            <w:hideMark/>
          </w:tcPr>
          <w:p w14:paraId="359AC69B"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r>
      <w:tr w:rsidR="00342E23" w:rsidRPr="005E2B16" w14:paraId="6208229E" w14:textId="77777777" w:rsidTr="004B6D94">
        <w:trPr>
          <w:trHeight w:val="300"/>
        </w:trPr>
        <w:tc>
          <w:tcPr>
            <w:tcW w:w="2268" w:type="dxa"/>
            <w:tcBorders>
              <w:top w:val="single" w:sz="4" w:space="0" w:color="auto"/>
              <w:left w:val="nil"/>
              <w:bottom w:val="nil"/>
              <w:right w:val="single" w:sz="4" w:space="0" w:color="auto"/>
            </w:tcBorders>
            <w:shd w:val="clear" w:color="auto" w:fill="auto"/>
            <w:noWrap/>
            <w:vAlign w:val="bottom"/>
            <w:hideMark/>
          </w:tcPr>
          <w:p w14:paraId="666362C7" w14:textId="03719FF2"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p>
        </w:tc>
        <w:tc>
          <w:tcPr>
            <w:tcW w:w="1150" w:type="dxa"/>
            <w:tcBorders>
              <w:top w:val="single" w:sz="4" w:space="0" w:color="auto"/>
              <w:left w:val="single" w:sz="4" w:space="0" w:color="auto"/>
              <w:bottom w:val="nil"/>
              <w:right w:val="single" w:sz="4" w:space="0" w:color="auto"/>
            </w:tcBorders>
            <w:shd w:val="clear" w:color="auto" w:fill="auto"/>
            <w:noWrap/>
            <w:vAlign w:val="bottom"/>
            <w:hideMark/>
          </w:tcPr>
          <w:p w14:paraId="0DD15532"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No</w:t>
            </w:r>
          </w:p>
        </w:tc>
        <w:tc>
          <w:tcPr>
            <w:tcW w:w="802" w:type="dxa"/>
            <w:tcBorders>
              <w:top w:val="single" w:sz="4" w:space="0" w:color="auto"/>
              <w:left w:val="single" w:sz="4" w:space="0" w:color="auto"/>
              <w:bottom w:val="nil"/>
              <w:right w:val="nil"/>
            </w:tcBorders>
            <w:shd w:val="clear" w:color="auto" w:fill="auto"/>
            <w:noWrap/>
            <w:vAlign w:val="bottom"/>
            <w:hideMark/>
          </w:tcPr>
          <w:p w14:paraId="32BE1E08"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0.243</w:t>
            </w:r>
          </w:p>
        </w:tc>
        <w:tc>
          <w:tcPr>
            <w:tcW w:w="1025" w:type="dxa"/>
            <w:tcBorders>
              <w:top w:val="single" w:sz="4" w:space="0" w:color="auto"/>
              <w:left w:val="nil"/>
              <w:bottom w:val="nil"/>
              <w:right w:val="single" w:sz="4" w:space="0" w:color="auto"/>
            </w:tcBorders>
            <w:shd w:val="clear" w:color="auto" w:fill="auto"/>
            <w:noWrap/>
            <w:vAlign w:val="bottom"/>
            <w:hideMark/>
          </w:tcPr>
          <w:p w14:paraId="4292DB98"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0.216</w:t>
            </w:r>
          </w:p>
        </w:tc>
        <w:tc>
          <w:tcPr>
            <w:tcW w:w="766" w:type="dxa"/>
            <w:tcBorders>
              <w:top w:val="single" w:sz="4" w:space="0" w:color="auto"/>
              <w:left w:val="single" w:sz="4" w:space="0" w:color="auto"/>
              <w:bottom w:val="nil"/>
              <w:right w:val="nil"/>
            </w:tcBorders>
            <w:shd w:val="clear" w:color="auto" w:fill="auto"/>
            <w:noWrap/>
            <w:vAlign w:val="bottom"/>
            <w:hideMark/>
          </w:tcPr>
          <w:p w14:paraId="16FF2306"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0.108</w:t>
            </w:r>
          </w:p>
        </w:tc>
        <w:tc>
          <w:tcPr>
            <w:tcW w:w="889" w:type="dxa"/>
            <w:tcBorders>
              <w:top w:val="single" w:sz="4" w:space="0" w:color="auto"/>
              <w:left w:val="nil"/>
              <w:bottom w:val="nil"/>
              <w:right w:val="single" w:sz="4" w:space="0" w:color="auto"/>
            </w:tcBorders>
            <w:shd w:val="clear" w:color="auto" w:fill="auto"/>
            <w:noWrap/>
            <w:vAlign w:val="bottom"/>
            <w:hideMark/>
          </w:tcPr>
          <w:p w14:paraId="54EF579F"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0.182</w:t>
            </w:r>
          </w:p>
        </w:tc>
        <w:tc>
          <w:tcPr>
            <w:tcW w:w="766" w:type="dxa"/>
            <w:tcBorders>
              <w:top w:val="single" w:sz="4" w:space="0" w:color="auto"/>
              <w:left w:val="single" w:sz="4" w:space="0" w:color="auto"/>
              <w:bottom w:val="nil"/>
              <w:right w:val="nil"/>
            </w:tcBorders>
            <w:shd w:val="clear" w:color="auto" w:fill="auto"/>
            <w:noWrap/>
            <w:vAlign w:val="bottom"/>
            <w:hideMark/>
          </w:tcPr>
          <w:p w14:paraId="7D0162AC"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0.017</w:t>
            </w:r>
          </w:p>
        </w:tc>
        <w:tc>
          <w:tcPr>
            <w:tcW w:w="889" w:type="dxa"/>
            <w:tcBorders>
              <w:top w:val="single" w:sz="4" w:space="0" w:color="auto"/>
              <w:left w:val="nil"/>
              <w:bottom w:val="nil"/>
              <w:right w:val="single" w:sz="4" w:space="0" w:color="auto"/>
            </w:tcBorders>
            <w:shd w:val="clear" w:color="auto" w:fill="auto"/>
            <w:noWrap/>
            <w:vAlign w:val="bottom"/>
            <w:hideMark/>
          </w:tcPr>
          <w:p w14:paraId="3933609D"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0.206</w:t>
            </w:r>
          </w:p>
        </w:tc>
        <w:tc>
          <w:tcPr>
            <w:tcW w:w="802" w:type="dxa"/>
            <w:tcBorders>
              <w:top w:val="single" w:sz="4" w:space="0" w:color="auto"/>
              <w:left w:val="single" w:sz="4" w:space="0" w:color="auto"/>
              <w:bottom w:val="nil"/>
              <w:right w:val="nil"/>
            </w:tcBorders>
            <w:shd w:val="clear" w:color="auto" w:fill="auto"/>
            <w:noWrap/>
            <w:vAlign w:val="bottom"/>
            <w:hideMark/>
          </w:tcPr>
          <w:p w14:paraId="030E31E4"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0.007</w:t>
            </w:r>
          </w:p>
        </w:tc>
        <w:tc>
          <w:tcPr>
            <w:tcW w:w="904" w:type="dxa"/>
            <w:tcBorders>
              <w:top w:val="single" w:sz="4" w:space="0" w:color="auto"/>
              <w:left w:val="nil"/>
              <w:bottom w:val="nil"/>
              <w:right w:val="nil"/>
            </w:tcBorders>
            <w:shd w:val="clear" w:color="auto" w:fill="auto"/>
            <w:noWrap/>
            <w:vAlign w:val="bottom"/>
            <w:hideMark/>
          </w:tcPr>
          <w:p w14:paraId="529CBCE9"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0.206</w:t>
            </w:r>
          </w:p>
        </w:tc>
      </w:tr>
      <w:tr w:rsidR="00342E23" w:rsidRPr="005E2B16" w14:paraId="1DCF9089" w14:textId="77777777" w:rsidTr="004B6D94">
        <w:trPr>
          <w:trHeight w:val="300"/>
        </w:trPr>
        <w:tc>
          <w:tcPr>
            <w:tcW w:w="2268" w:type="dxa"/>
            <w:tcBorders>
              <w:top w:val="nil"/>
              <w:left w:val="nil"/>
              <w:bottom w:val="nil"/>
              <w:right w:val="single" w:sz="4" w:space="0" w:color="auto"/>
            </w:tcBorders>
            <w:shd w:val="clear" w:color="auto" w:fill="auto"/>
            <w:noWrap/>
            <w:vAlign w:val="bottom"/>
            <w:hideMark/>
          </w:tcPr>
          <w:p w14:paraId="6D24EE6C" w14:textId="3911C1CF" w:rsidR="00342E23" w:rsidRPr="005E2B16" w:rsidRDefault="00D27BAD" w:rsidP="00D27BAD">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Import Duty Exemption</w:t>
            </w:r>
          </w:p>
        </w:tc>
        <w:tc>
          <w:tcPr>
            <w:tcW w:w="1150" w:type="dxa"/>
            <w:tcBorders>
              <w:top w:val="nil"/>
              <w:left w:val="single" w:sz="4" w:space="0" w:color="auto"/>
              <w:bottom w:val="nil"/>
              <w:right w:val="single" w:sz="4" w:space="0" w:color="auto"/>
            </w:tcBorders>
            <w:shd w:val="clear" w:color="auto" w:fill="auto"/>
            <w:noWrap/>
            <w:vAlign w:val="bottom"/>
            <w:hideMark/>
          </w:tcPr>
          <w:p w14:paraId="3CDB9C12"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Yes</w:t>
            </w:r>
          </w:p>
        </w:tc>
        <w:tc>
          <w:tcPr>
            <w:tcW w:w="802" w:type="dxa"/>
            <w:tcBorders>
              <w:top w:val="nil"/>
              <w:left w:val="single" w:sz="4" w:space="0" w:color="auto"/>
              <w:bottom w:val="nil"/>
              <w:right w:val="nil"/>
            </w:tcBorders>
            <w:shd w:val="clear" w:color="auto" w:fill="auto"/>
            <w:noWrap/>
            <w:vAlign w:val="bottom"/>
            <w:hideMark/>
          </w:tcPr>
          <w:p w14:paraId="4FFF3BAD"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0.243</w:t>
            </w:r>
          </w:p>
        </w:tc>
        <w:tc>
          <w:tcPr>
            <w:tcW w:w="1025" w:type="dxa"/>
            <w:tcBorders>
              <w:top w:val="nil"/>
              <w:left w:val="nil"/>
              <w:bottom w:val="nil"/>
              <w:right w:val="single" w:sz="4" w:space="0" w:color="auto"/>
            </w:tcBorders>
            <w:shd w:val="clear" w:color="auto" w:fill="auto"/>
            <w:noWrap/>
            <w:vAlign w:val="bottom"/>
            <w:hideMark/>
          </w:tcPr>
          <w:p w14:paraId="0DA12D39"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0.261</w:t>
            </w:r>
          </w:p>
        </w:tc>
        <w:tc>
          <w:tcPr>
            <w:tcW w:w="766" w:type="dxa"/>
            <w:tcBorders>
              <w:top w:val="nil"/>
              <w:left w:val="single" w:sz="4" w:space="0" w:color="auto"/>
              <w:bottom w:val="nil"/>
              <w:right w:val="nil"/>
            </w:tcBorders>
            <w:shd w:val="clear" w:color="auto" w:fill="auto"/>
            <w:noWrap/>
            <w:vAlign w:val="bottom"/>
            <w:hideMark/>
          </w:tcPr>
          <w:p w14:paraId="7B50A138"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0.108</w:t>
            </w:r>
          </w:p>
        </w:tc>
        <w:tc>
          <w:tcPr>
            <w:tcW w:w="889" w:type="dxa"/>
            <w:tcBorders>
              <w:top w:val="nil"/>
              <w:left w:val="nil"/>
              <w:bottom w:val="nil"/>
              <w:right w:val="single" w:sz="4" w:space="0" w:color="auto"/>
            </w:tcBorders>
            <w:shd w:val="clear" w:color="auto" w:fill="auto"/>
            <w:noWrap/>
            <w:vAlign w:val="bottom"/>
            <w:hideMark/>
          </w:tcPr>
          <w:p w14:paraId="5F45E66A"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0.182</w:t>
            </w:r>
          </w:p>
        </w:tc>
        <w:tc>
          <w:tcPr>
            <w:tcW w:w="766" w:type="dxa"/>
            <w:tcBorders>
              <w:top w:val="nil"/>
              <w:left w:val="single" w:sz="4" w:space="0" w:color="auto"/>
              <w:bottom w:val="nil"/>
              <w:right w:val="nil"/>
            </w:tcBorders>
            <w:shd w:val="clear" w:color="auto" w:fill="auto"/>
            <w:noWrap/>
            <w:vAlign w:val="bottom"/>
            <w:hideMark/>
          </w:tcPr>
          <w:p w14:paraId="17A56121"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0.017</w:t>
            </w:r>
          </w:p>
        </w:tc>
        <w:tc>
          <w:tcPr>
            <w:tcW w:w="889" w:type="dxa"/>
            <w:tcBorders>
              <w:top w:val="nil"/>
              <w:left w:val="nil"/>
              <w:bottom w:val="nil"/>
              <w:right w:val="single" w:sz="4" w:space="0" w:color="auto"/>
            </w:tcBorders>
            <w:shd w:val="clear" w:color="auto" w:fill="auto"/>
            <w:noWrap/>
            <w:vAlign w:val="bottom"/>
            <w:hideMark/>
          </w:tcPr>
          <w:p w14:paraId="3E8BE2B0"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0.113</w:t>
            </w:r>
          </w:p>
        </w:tc>
        <w:tc>
          <w:tcPr>
            <w:tcW w:w="802" w:type="dxa"/>
            <w:tcBorders>
              <w:top w:val="nil"/>
              <w:left w:val="single" w:sz="4" w:space="0" w:color="auto"/>
              <w:bottom w:val="nil"/>
              <w:right w:val="nil"/>
            </w:tcBorders>
            <w:shd w:val="clear" w:color="auto" w:fill="auto"/>
            <w:noWrap/>
            <w:vAlign w:val="bottom"/>
            <w:hideMark/>
          </w:tcPr>
          <w:p w14:paraId="17846084"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0.007</w:t>
            </w:r>
          </w:p>
        </w:tc>
        <w:tc>
          <w:tcPr>
            <w:tcW w:w="904" w:type="dxa"/>
            <w:tcBorders>
              <w:top w:val="nil"/>
              <w:left w:val="nil"/>
              <w:bottom w:val="nil"/>
              <w:right w:val="nil"/>
            </w:tcBorders>
            <w:shd w:val="clear" w:color="auto" w:fill="auto"/>
            <w:noWrap/>
            <w:vAlign w:val="bottom"/>
            <w:hideMark/>
          </w:tcPr>
          <w:p w14:paraId="4C7774FB"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0.176</w:t>
            </w:r>
          </w:p>
        </w:tc>
      </w:tr>
      <w:tr w:rsidR="00342E23" w:rsidRPr="005E2B16" w14:paraId="224DD4CD" w14:textId="77777777" w:rsidTr="004B6D94">
        <w:trPr>
          <w:trHeight w:val="300"/>
        </w:trPr>
        <w:tc>
          <w:tcPr>
            <w:tcW w:w="2268" w:type="dxa"/>
            <w:tcBorders>
              <w:top w:val="nil"/>
              <w:left w:val="nil"/>
              <w:bottom w:val="nil"/>
              <w:right w:val="single" w:sz="4" w:space="0" w:color="auto"/>
            </w:tcBorders>
            <w:shd w:val="clear" w:color="auto" w:fill="auto"/>
            <w:noWrap/>
            <w:vAlign w:val="bottom"/>
            <w:hideMark/>
          </w:tcPr>
          <w:p w14:paraId="3EE898F5"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p>
        </w:tc>
        <w:tc>
          <w:tcPr>
            <w:tcW w:w="1150" w:type="dxa"/>
            <w:tcBorders>
              <w:top w:val="nil"/>
              <w:left w:val="single" w:sz="4" w:space="0" w:color="auto"/>
              <w:bottom w:val="nil"/>
              <w:right w:val="single" w:sz="4" w:space="0" w:color="auto"/>
            </w:tcBorders>
            <w:shd w:val="clear" w:color="auto" w:fill="auto"/>
            <w:noWrap/>
            <w:vAlign w:val="bottom"/>
            <w:hideMark/>
          </w:tcPr>
          <w:p w14:paraId="7C40C9E3"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No</w:t>
            </w:r>
          </w:p>
        </w:tc>
        <w:tc>
          <w:tcPr>
            <w:tcW w:w="802" w:type="dxa"/>
            <w:tcBorders>
              <w:top w:val="nil"/>
              <w:left w:val="single" w:sz="4" w:space="0" w:color="auto"/>
              <w:bottom w:val="nil"/>
              <w:right w:val="nil"/>
            </w:tcBorders>
            <w:shd w:val="clear" w:color="auto" w:fill="auto"/>
            <w:noWrap/>
            <w:vAlign w:val="bottom"/>
            <w:hideMark/>
          </w:tcPr>
          <w:p w14:paraId="5C8E1654" w14:textId="225DC0E6" w:rsidR="00342E23" w:rsidRPr="005E2B16" w:rsidRDefault="00B67F7B"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0.465*</w:t>
            </w:r>
          </w:p>
        </w:tc>
        <w:tc>
          <w:tcPr>
            <w:tcW w:w="1025" w:type="dxa"/>
            <w:tcBorders>
              <w:top w:val="nil"/>
              <w:left w:val="nil"/>
              <w:bottom w:val="nil"/>
              <w:right w:val="single" w:sz="4" w:space="0" w:color="auto"/>
            </w:tcBorders>
            <w:shd w:val="clear" w:color="auto" w:fill="auto"/>
            <w:noWrap/>
            <w:vAlign w:val="bottom"/>
            <w:hideMark/>
          </w:tcPr>
          <w:p w14:paraId="51FB80F0"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0.059</w:t>
            </w:r>
          </w:p>
        </w:tc>
        <w:tc>
          <w:tcPr>
            <w:tcW w:w="766" w:type="dxa"/>
            <w:tcBorders>
              <w:top w:val="nil"/>
              <w:left w:val="single" w:sz="4" w:space="0" w:color="auto"/>
              <w:bottom w:val="nil"/>
              <w:right w:val="nil"/>
            </w:tcBorders>
            <w:shd w:val="clear" w:color="auto" w:fill="auto"/>
            <w:noWrap/>
            <w:vAlign w:val="bottom"/>
            <w:hideMark/>
          </w:tcPr>
          <w:p w14:paraId="388E4AA9" w14:textId="739E2580"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0.677</w:t>
            </w:r>
            <w:r w:rsidR="00CA00DD" w:rsidRPr="005E2B16">
              <w:rPr>
                <w:rFonts w:ascii="Times New Roman" w:eastAsia="Times New Roman" w:hAnsi="Times New Roman" w:cs="Times New Roman"/>
                <w:color w:val="000000"/>
                <w:sz w:val="20"/>
                <w:szCs w:val="20"/>
                <w:lang w:eastAsia="en-GB"/>
              </w:rPr>
              <w:t>*</w:t>
            </w:r>
          </w:p>
        </w:tc>
        <w:tc>
          <w:tcPr>
            <w:tcW w:w="889" w:type="dxa"/>
            <w:tcBorders>
              <w:top w:val="nil"/>
              <w:left w:val="nil"/>
              <w:bottom w:val="nil"/>
              <w:right w:val="single" w:sz="4" w:space="0" w:color="auto"/>
            </w:tcBorders>
            <w:shd w:val="clear" w:color="auto" w:fill="auto"/>
            <w:noWrap/>
            <w:vAlign w:val="bottom"/>
            <w:hideMark/>
          </w:tcPr>
          <w:p w14:paraId="45D2F635"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0.056</w:t>
            </w:r>
          </w:p>
        </w:tc>
        <w:tc>
          <w:tcPr>
            <w:tcW w:w="766" w:type="dxa"/>
            <w:tcBorders>
              <w:top w:val="nil"/>
              <w:left w:val="single" w:sz="4" w:space="0" w:color="auto"/>
              <w:bottom w:val="nil"/>
              <w:right w:val="nil"/>
            </w:tcBorders>
            <w:shd w:val="clear" w:color="auto" w:fill="auto"/>
            <w:noWrap/>
            <w:vAlign w:val="bottom"/>
            <w:hideMark/>
          </w:tcPr>
          <w:p w14:paraId="493C2DAA"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0.837</w:t>
            </w:r>
          </w:p>
        </w:tc>
        <w:tc>
          <w:tcPr>
            <w:tcW w:w="889" w:type="dxa"/>
            <w:tcBorders>
              <w:top w:val="nil"/>
              <w:left w:val="nil"/>
              <w:bottom w:val="nil"/>
              <w:right w:val="single" w:sz="4" w:space="0" w:color="auto"/>
            </w:tcBorders>
            <w:shd w:val="clear" w:color="auto" w:fill="auto"/>
            <w:noWrap/>
            <w:vAlign w:val="bottom"/>
            <w:hideMark/>
          </w:tcPr>
          <w:p w14:paraId="24B0A781"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0.647</w:t>
            </w:r>
          </w:p>
        </w:tc>
        <w:tc>
          <w:tcPr>
            <w:tcW w:w="802" w:type="dxa"/>
            <w:tcBorders>
              <w:top w:val="nil"/>
              <w:left w:val="single" w:sz="4" w:space="0" w:color="auto"/>
              <w:bottom w:val="nil"/>
              <w:right w:val="nil"/>
            </w:tcBorders>
            <w:shd w:val="clear" w:color="auto" w:fill="auto"/>
            <w:noWrap/>
            <w:vAlign w:val="bottom"/>
            <w:hideMark/>
          </w:tcPr>
          <w:p w14:paraId="2816C40D" w14:textId="19B71463" w:rsidR="00342E23" w:rsidRPr="005E2B16" w:rsidRDefault="00B67F7B"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0.273*</w:t>
            </w:r>
          </w:p>
        </w:tc>
        <w:tc>
          <w:tcPr>
            <w:tcW w:w="904" w:type="dxa"/>
            <w:tcBorders>
              <w:top w:val="nil"/>
              <w:left w:val="nil"/>
              <w:bottom w:val="nil"/>
              <w:right w:val="nil"/>
            </w:tcBorders>
            <w:shd w:val="clear" w:color="auto" w:fill="auto"/>
            <w:noWrap/>
            <w:vAlign w:val="bottom"/>
            <w:hideMark/>
          </w:tcPr>
          <w:p w14:paraId="0C6BE571"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0.036</w:t>
            </w:r>
          </w:p>
        </w:tc>
      </w:tr>
      <w:tr w:rsidR="00342E23" w:rsidRPr="005E2B16" w14:paraId="57EDFA6B" w14:textId="77777777" w:rsidTr="004B6D94">
        <w:trPr>
          <w:trHeight w:val="300"/>
        </w:trPr>
        <w:tc>
          <w:tcPr>
            <w:tcW w:w="2268" w:type="dxa"/>
            <w:tcBorders>
              <w:top w:val="nil"/>
              <w:left w:val="nil"/>
              <w:bottom w:val="nil"/>
              <w:right w:val="single" w:sz="4" w:space="0" w:color="auto"/>
            </w:tcBorders>
            <w:shd w:val="clear" w:color="auto" w:fill="auto"/>
            <w:noWrap/>
            <w:vAlign w:val="bottom"/>
            <w:hideMark/>
          </w:tcPr>
          <w:p w14:paraId="1EE99185"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Profit Tax Exemption </w:t>
            </w:r>
          </w:p>
        </w:tc>
        <w:tc>
          <w:tcPr>
            <w:tcW w:w="1150" w:type="dxa"/>
            <w:tcBorders>
              <w:top w:val="nil"/>
              <w:left w:val="single" w:sz="4" w:space="0" w:color="auto"/>
              <w:bottom w:val="nil"/>
              <w:right w:val="single" w:sz="4" w:space="0" w:color="auto"/>
            </w:tcBorders>
            <w:shd w:val="clear" w:color="auto" w:fill="auto"/>
            <w:noWrap/>
            <w:vAlign w:val="bottom"/>
            <w:hideMark/>
          </w:tcPr>
          <w:p w14:paraId="01805504"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Yes</w:t>
            </w:r>
          </w:p>
        </w:tc>
        <w:tc>
          <w:tcPr>
            <w:tcW w:w="802" w:type="dxa"/>
            <w:tcBorders>
              <w:top w:val="nil"/>
              <w:left w:val="single" w:sz="4" w:space="0" w:color="auto"/>
              <w:bottom w:val="nil"/>
              <w:right w:val="nil"/>
            </w:tcBorders>
            <w:shd w:val="clear" w:color="auto" w:fill="auto"/>
            <w:noWrap/>
            <w:vAlign w:val="bottom"/>
            <w:hideMark/>
          </w:tcPr>
          <w:p w14:paraId="334A28AF" w14:textId="01BDF646" w:rsidR="00342E23" w:rsidRPr="005E2B16" w:rsidRDefault="00B67F7B"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0.271*</w:t>
            </w:r>
          </w:p>
        </w:tc>
        <w:tc>
          <w:tcPr>
            <w:tcW w:w="1025" w:type="dxa"/>
            <w:tcBorders>
              <w:top w:val="nil"/>
              <w:left w:val="nil"/>
              <w:bottom w:val="nil"/>
              <w:right w:val="single" w:sz="4" w:space="0" w:color="auto"/>
            </w:tcBorders>
            <w:shd w:val="clear" w:color="auto" w:fill="auto"/>
            <w:noWrap/>
            <w:vAlign w:val="bottom"/>
            <w:hideMark/>
          </w:tcPr>
          <w:p w14:paraId="3F079E30"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0.059</w:t>
            </w:r>
          </w:p>
        </w:tc>
        <w:tc>
          <w:tcPr>
            <w:tcW w:w="766" w:type="dxa"/>
            <w:tcBorders>
              <w:top w:val="nil"/>
              <w:left w:val="single" w:sz="4" w:space="0" w:color="auto"/>
              <w:bottom w:val="nil"/>
              <w:right w:val="nil"/>
            </w:tcBorders>
            <w:shd w:val="clear" w:color="auto" w:fill="auto"/>
            <w:noWrap/>
            <w:vAlign w:val="bottom"/>
            <w:hideMark/>
          </w:tcPr>
          <w:p w14:paraId="224C69E6" w14:textId="15118A6D"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0.677</w:t>
            </w:r>
            <w:r w:rsidR="00CA00DD" w:rsidRPr="005E2B16">
              <w:rPr>
                <w:rFonts w:ascii="Times New Roman" w:eastAsia="Times New Roman" w:hAnsi="Times New Roman" w:cs="Times New Roman"/>
                <w:color w:val="000000"/>
                <w:sz w:val="20"/>
                <w:szCs w:val="20"/>
                <w:lang w:eastAsia="en-GB"/>
              </w:rPr>
              <w:t>*</w:t>
            </w:r>
          </w:p>
        </w:tc>
        <w:tc>
          <w:tcPr>
            <w:tcW w:w="889" w:type="dxa"/>
            <w:tcBorders>
              <w:top w:val="nil"/>
              <w:left w:val="nil"/>
              <w:bottom w:val="nil"/>
              <w:right w:val="single" w:sz="4" w:space="0" w:color="auto"/>
            </w:tcBorders>
            <w:shd w:val="clear" w:color="auto" w:fill="auto"/>
            <w:noWrap/>
            <w:vAlign w:val="bottom"/>
            <w:hideMark/>
          </w:tcPr>
          <w:p w14:paraId="68875F3D"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0.056</w:t>
            </w:r>
          </w:p>
        </w:tc>
        <w:tc>
          <w:tcPr>
            <w:tcW w:w="766" w:type="dxa"/>
            <w:tcBorders>
              <w:top w:val="nil"/>
              <w:left w:val="single" w:sz="4" w:space="0" w:color="auto"/>
              <w:bottom w:val="nil"/>
              <w:right w:val="nil"/>
            </w:tcBorders>
            <w:shd w:val="clear" w:color="auto" w:fill="auto"/>
            <w:noWrap/>
            <w:vAlign w:val="bottom"/>
            <w:hideMark/>
          </w:tcPr>
          <w:p w14:paraId="2C5D9A54" w14:textId="5CF832DD"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0.330</w:t>
            </w:r>
            <w:r w:rsidR="00CA00DD" w:rsidRPr="005E2B16">
              <w:rPr>
                <w:rFonts w:ascii="Times New Roman" w:eastAsia="Times New Roman" w:hAnsi="Times New Roman" w:cs="Times New Roman"/>
                <w:color w:val="000000"/>
                <w:sz w:val="20"/>
                <w:szCs w:val="20"/>
                <w:lang w:eastAsia="en-GB"/>
              </w:rPr>
              <w:t>*</w:t>
            </w:r>
          </w:p>
        </w:tc>
        <w:tc>
          <w:tcPr>
            <w:tcW w:w="889" w:type="dxa"/>
            <w:tcBorders>
              <w:top w:val="nil"/>
              <w:left w:val="nil"/>
              <w:bottom w:val="nil"/>
              <w:right w:val="single" w:sz="4" w:space="0" w:color="auto"/>
            </w:tcBorders>
            <w:shd w:val="clear" w:color="auto" w:fill="auto"/>
            <w:noWrap/>
            <w:vAlign w:val="bottom"/>
            <w:hideMark/>
          </w:tcPr>
          <w:p w14:paraId="1DF642F6"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0.084</w:t>
            </w:r>
          </w:p>
        </w:tc>
        <w:tc>
          <w:tcPr>
            <w:tcW w:w="802" w:type="dxa"/>
            <w:tcBorders>
              <w:top w:val="nil"/>
              <w:left w:val="single" w:sz="4" w:space="0" w:color="auto"/>
              <w:bottom w:val="nil"/>
              <w:right w:val="nil"/>
            </w:tcBorders>
            <w:shd w:val="clear" w:color="auto" w:fill="auto"/>
            <w:noWrap/>
            <w:vAlign w:val="bottom"/>
            <w:hideMark/>
          </w:tcPr>
          <w:p w14:paraId="0B73A4EC" w14:textId="4B80CD20" w:rsidR="00342E23" w:rsidRPr="005E2B16" w:rsidRDefault="00B67F7B" w:rsidP="00B67F7B">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0.257*</w:t>
            </w:r>
          </w:p>
        </w:tc>
        <w:tc>
          <w:tcPr>
            <w:tcW w:w="904" w:type="dxa"/>
            <w:tcBorders>
              <w:top w:val="nil"/>
              <w:left w:val="nil"/>
              <w:bottom w:val="nil"/>
              <w:right w:val="nil"/>
            </w:tcBorders>
            <w:shd w:val="clear" w:color="auto" w:fill="auto"/>
            <w:noWrap/>
            <w:vAlign w:val="bottom"/>
            <w:hideMark/>
          </w:tcPr>
          <w:p w14:paraId="6E8AA522"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0.036</w:t>
            </w:r>
          </w:p>
        </w:tc>
      </w:tr>
      <w:tr w:rsidR="00342E23" w:rsidRPr="005E2B16" w14:paraId="593C658A" w14:textId="77777777" w:rsidTr="004B6D94">
        <w:trPr>
          <w:trHeight w:val="300"/>
        </w:trPr>
        <w:tc>
          <w:tcPr>
            <w:tcW w:w="2268" w:type="dxa"/>
            <w:tcBorders>
              <w:top w:val="nil"/>
              <w:left w:val="nil"/>
              <w:right w:val="single" w:sz="4" w:space="0" w:color="auto"/>
            </w:tcBorders>
            <w:shd w:val="clear" w:color="auto" w:fill="auto"/>
            <w:noWrap/>
            <w:vAlign w:val="bottom"/>
            <w:hideMark/>
          </w:tcPr>
          <w:p w14:paraId="5FACB874"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p>
        </w:tc>
        <w:tc>
          <w:tcPr>
            <w:tcW w:w="1150" w:type="dxa"/>
            <w:tcBorders>
              <w:top w:val="nil"/>
              <w:left w:val="single" w:sz="4" w:space="0" w:color="auto"/>
              <w:right w:val="single" w:sz="4" w:space="0" w:color="auto"/>
            </w:tcBorders>
            <w:shd w:val="clear" w:color="auto" w:fill="auto"/>
            <w:noWrap/>
            <w:vAlign w:val="bottom"/>
            <w:hideMark/>
          </w:tcPr>
          <w:p w14:paraId="002D3554"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No</w:t>
            </w:r>
          </w:p>
        </w:tc>
        <w:tc>
          <w:tcPr>
            <w:tcW w:w="802" w:type="dxa"/>
            <w:tcBorders>
              <w:top w:val="nil"/>
              <w:left w:val="single" w:sz="4" w:space="0" w:color="auto"/>
              <w:right w:val="nil"/>
            </w:tcBorders>
            <w:shd w:val="clear" w:color="auto" w:fill="auto"/>
            <w:noWrap/>
            <w:vAlign w:val="bottom"/>
            <w:hideMark/>
          </w:tcPr>
          <w:p w14:paraId="61637C4E" w14:textId="2C3E6F52" w:rsidR="00342E23" w:rsidRPr="005E2B16" w:rsidRDefault="00B67F7B" w:rsidP="00B67F7B">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1.054*</w:t>
            </w:r>
          </w:p>
        </w:tc>
        <w:tc>
          <w:tcPr>
            <w:tcW w:w="1025" w:type="dxa"/>
            <w:tcBorders>
              <w:top w:val="nil"/>
              <w:left w:val="nil"/>
              <w:right w:val="single" w:sz="4" w:space="0" w:color="auto"/>
            </w:tcBorders>
            <w:shd w:val="clear" w:color="auto" w:fill="auto"/>
            <w:noWrap/>
            <w:vAlign w:val="bottom"/>
            <w:hideMark/>
          </w:tcPr>
          <w:p w14:paraId="40A49D4B"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0.338</w:t>
            </w:r>
          </w:p>
        </w:tc>
        <w:tc>
          <w:tcPr>
            <w:tcW w:w="766" w:type="dxa"/>
            <w:tcBorders>
              <w:top w:val="nil"/>
              <w:left w:val="single" w:sz="4" w:space="0" w:color="auto"/>
              <w:right w:val="nil"/>
            </w:tcBorders>
            <w:shd w:val="clear" w:color="auto" w:fill="auto"/>
            <w:noWrap/>
            <w:vAlign w:val="bottom"/>
            <w:hideMark/>
          </w:tcPr>
          <w:p w14:paraId="06333020" w14:textId="7FC99676"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0.401</w:t>
            </w:r>
            <w:r w:rsidR="00CA00DD" w:rsidRPr="005E2B16">
              <w:rPr>
                <w:rFonts w:ascii="Times New Roman" w:eastAsia="Times New Roman" w:hAnsi="Times New Roman" w:cs="Times New Roman"/>
                <w:color w:val="000000"/>
                <w:sz w:val="20"/>
                <w:szCs w:val="20"/>
                <w:lang w:eastAsia="en-GB"/>
              </w:rPr>
              <w:t>*</w:t>
            </w:r>
          </w:p>
        </w:tc>
        <w:tc>
          <w:tcPr>
            <w:tcW w:w="889" w:type="dxa"/>
            <w:tcBorders>
              <w:top w:val="nil"/>
              <w:left w:val="nil"/>
              <w:right w:val="single" w:sz="4" w:space="0" w:color="auto"/>
            </w:tcBorders>
            <w:shd w:val="clear" w:color="auto" w:fill="auto"/>
            <w:noWrap/>
            <w:vAlign w:val="bottom"/>
            <w:hideMark/>
          </w:tcPr>
          <w:p w14:paraId="74C9E1FC"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0.148</w:t>
            </w:r>
          </w:p>
        </w:tc>
        <w:tc>
          <w:tcPr>
            <w:tcW w:w="766" w:type="dxa"/>
            <w:tcBorders>
              <w:top w:val="nil"/>
              <w:left w:val="single" w:sz="4" w:space="0" w:color="auto"/>
              <w:right w:val="nil"/>
            </w:tcBorders>
            <w:shd w:val="clear" w:color="auto" w:fill="auto"/>
            <w:noWrap/>
            <w:vAlign w:val="bottom"/>
            <w:hideMark/>
          </w:tcPr>
          <w:p w14:paraId="7FEF80BF" w14:textId="38C43C20"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0.638</w:t>
            </w:r>
            <w:r w:rsidR="00CA00DD" w:rsidRPr="005E2B16">
              <w:rPr>
                <w:rFonts w:ascii="Times New Roman" w:eastAsia="Times New Roman" w:hAnsi="Times New Roman" w:cs="Times New Roman"/>
                <w:color w:val="000000"/>
                <w:sz w:val="20"/>
                <w:szCs w:val="20"/>
                <w:lang w:eastAsia="en-GB"/>
              </w:rPr>
              <w:t>*</w:t>
            </w:r>
          </w:p>
        </w:tc>
        <w:tc>
          <w:tcPr>
            <w:tcW w:w="889" w:type="dxa"/>
            <w:tcBorders>
              <w:top w:val="nil"/>
              <w:left w:val="nil"/>
              <w:right w:val="single" w:sz="4" w:space="0" w:color="auto"/>
            </w:tcBorders>
            <w:shd w:val="clear" w:color="auto" w:fill="auto"/>
            <w:noWrap/>
            <w:vAlign w:val="bottom"/>
            <w:hideMark/>
          </w:tcPr>
          <w:p w14:paraId="222B1780"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0.368</w:t>
            </w:r>
          </w:p>
        </w:tc>
        <w:tc>
          <w:tcPr>
            <w:tcW w:w="802" w:type="dxa"/>
            <w:tcBorders>
              <w:top w:val="nil"/>
              <w:left w:val="single" w:sz="4" w:space="0" w:color="auto"/>
              <w:right w:val="nil"/>
            </w:tcBorders>
            <w:shd w:val="clear" w:color="auto" w:fill="auto"/>
            <w:noWrap/>
            <w:vAlign w:val="bottom"/>
            <w:hideMark/>
          </w:tcPr>
          <w:p w14:paraId="6A314391" w14:textId="457B9C96"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0.661</w:t>
            </w:r>
            <w:r w:rsidR="00CA00DD" w:rsidRPr="005E2B16">
              <w:rPr>
                <w:rFonts w:ascii="Times New Roman" w:eastAsia="Times New Roman" w:hAnsi="Times New Roman" w:cs="Times New Roman"/>
                <w:color w:val="000000"/>
                <w:sz w:val="20"/>
                <w:szCs w:val="20"/>
                <w:lang w:eastAsia="en-GB"/>
              </w:rPr>
              <w:t>*</w:t>
            </w:r>
          </w:p>
        </w:tc>
        <w:tc>
          <w:tcPr>
            <w:tcW w:w="904" w:type="dxa"/>
            <w:tcBorders>
              <w:top w:val="nil"/>
              <w:left w:val="nil"/>
              <w:right w:val="nil"/>
            </w:tcBorders>
            <w:shd w:val="clear" w:color="auto" w:fill="auto"/>
            <w:noWrap/>
            <w:vAlign w:val="bottom"/>
            <w:hideMark/>
          </w:tcPr>
          <w:p w14:paraId="7EFA091C" w14:textId="76D9E06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0.210</w:t>
            </w:r>
          </w:p>
        </w:tc>
      </w:tr>
      <w:tr w:rsidR="00342E23" w:rsidRPr="005E2B16" w14:paraId="77A420A4" w14:textId="77777777" w:rsidTr="004B6D94">
        <w:trPr>
          <w:trHeight w:val="300"/>
        </w:trPr>
        <w:tc>
          <w:tcPr>
            <w:tcW w:w="2268" w:type="dxa"/>
            <w:tcBorders>
              <w:top w:val="nil"/>
              <w:left w:val="nil"/>
              <w:bottom w:val="single" w:sz="4" w:space="0" w:color="auto"/>
              <w:right w:val="single" w:sz="4" w:space="0" w:color="auto"/>
            </w:tcBorders>
            <w:shd w:val="clear" w:color="auto" w:fill="auto"/>
            <w:noWrap/>
            <w:vAlign w:val="bottom"/>
            <w:hideMark/>
          </w:tcPr>
          <w:p w14:paraId="7D104E66"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Export Financing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59C9524" w14:textId="77777777" w:rsidR="00342E23" w:rsidRPr="005E2B16" w:rsidRDefault="00342E23" w:rsidP="00342E23">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Yes</w:t>
            </w:r>
          </w:p>
        </w:tc>
        <w:tc>
          <w:tcPr>
            <w:tcW w:w="802" w:type="dxa"/>
            <w:tcBorders>
              <w:top w:val="nil"/>
              <w:left w:val="single" w:sz="4" w:space="0" w:color="auto"/>
              <w:bottom w:val="single" w:sz="4" w:space="0" w:color="auto"/>
              <w:right w:val="nil"/>
            </w:tcBorders>
            <w:shd w:val="clear" w:color="auto" w:fill="auto"/>
            <w:noWrap/>
            <w:vAlign w:val="bottom"/>
            <w:hideMark/>
          </w:tcPr>
          <w:p w14:paraId="13126A1C" w14:textId="7241664A" w:rsidR="00342E23" w:rsidRPr="005E2B16" w:rsidRDefault="00B67F7B"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0.894*</w:t>
            </w:r>
          </w:p>
        </w:tc>
        <w:tc>
          <w:tcPr>
            <w:tcW w:w="1025" w:type="dxa"/>
            <w:tcBorders>
              <w:top w:val="nil"/>
              <w:left w:val="nil"/>
              <w:bottom w:val="single" w:sz="4" w:space="0" w:color="auto"/>
              <w:right w:val="single" w:sz="4" w:space="0" w:color="auto"/>
            </w:tcBorders>
            <w:shd w:val="clear" w:color="auto" w:fill="auto"/>
            <w:noWrap/>
            <w:vAlign w:val="bottom"/>
            <w:hideMark/>
          </w:tcPr>
          <w:p w14:paraId="447D7A88"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0.338</w:t>
            </w:r>
          </w:p>
        </w:tc>
        <w:tc>
          <w:tcPr>
            <w:tcW w:w="766" w:type="dxa"/>
            <w:tcBorders>
              <w:top w:val="nil"/>
              <w:left w:val="single" w:sz="4" w:space="0" w:color="auto"/>
              <w:bottom w:val="single" w:sz="4" w:space="0" w:color="auto"/>
              <w:right w:val="nil"/>
            </w:tcBorders>
            <w:shd w:val="clear" w:color="auto" w:fill="auto"/>
            <w:noWrap/>
            <w:vAlign w:val="bottom"/>
            <w:hideMark/>
          </w:tcPr>
          <w:p w14:paraId="1CD27C64" w14:textId="73745AE6"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0.401</w:t>
            </w:r>
            <w:r w:rsidR="00CA00DD" w:rsidRPr="005E2B16">
              <w:rPr>
                <w:rFonts w:ascii="Times New Roman" w:eastAsia="Times New Roman" w:hAnsi="Times New Roman" w:cs="Times New Roman"/>
                <w:color w:val="000000"/>
                <w:sz w:val="20"/>
                <w:szCs w:val="20"/>
                <w:lang w:eastAsia="en-GB"/>
              </w:rPr>
              <w:t>*</w:t>
            </w:r>
          </w:p>
        </w:tc>
        <w:tc>
          <w:tcPr>
            <w:tcW w:w="889" w:type="dxa"/>
            <w:tcBorders>
              <w:top w:val="nil"/>
              <w:left w:val="nil"/>
              <w:bottom w:val="single" w:sz="4" w:space="0" w:color="auto"/>
              <w:right w:val="single" w:sz="4" w:space="0" w:color="auto"/>
            </w:tcBorders>
            <w:shd w:val="clear" w:color="auto" w:fill="auto"/>
            <w:noWrap/>
            <w:vAlign w:val="bottom"/>
            <w:hideMark/>
          </w:tcPr>
          <w:p w14:paraId="51FAB8A8" w14:textId="77777777"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0.148</w:t>
            </w:r>
          </w:p>
        </w:tc>
        <w:tc>
          <w:tcPr>
            <w:tcW w:w="766" w:type="dxa"/>
            <w:tcBorders>
              <w:top w:val="nil"/>
              <w:left w:val="single" w:sz="4" w:space="0" w:color="auto"/>
              <w:bottom w:val="single" w:sz="4" w:space="0" w:color="auto"/>
              <w:right w:val="nil"/>
            </w:tcBorders>
            <w:shd w:val="clear" w:color="auto" w:fill="auto"/>
            <w:noWrap/>
            <w:vAlign w:val="bottom"/>
            <w:hideMark/>
          </w:tcPr>
          <w:p w14:paraId="1A8AE4F1" w14:textId="5B436A6B"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0.638</w:t>
            </w:r>
            <w:r w:rsidR="00CA00DD" w:rsidRPr="005E2B16">
              <w:rPr>
                <w:rFonts w:ascii="Times New Roman" w:eastAsia="Times New Roman" w:hAnsi="Times New Roman" w:cs="Times New Roman"/>
                <w:color w:val="000000"/>
                <w:sz w:val="20"/>
                <w:szCs w:val="20"/>
                <w:lang w:eastAsia="en-GB"/>
              </w:rPr>
              <w:t>*</w:t>
            </w:r>
          </w:p>
        </w:tc>
        <w:tc>
          <w:tcPr>
            <w:tcW w:w="889" w:type="dxa"/>
            <w:tcBorders>
              <w:top w:val="nil"/>
              <w:left w:val="nil"/>
              <w:bottom w:val="single" w:sz="4" w:space="0" w:color="auto"/>
              <w:right w:val="single" w:sz="4" w:space="0" w:color="auto"/>
            </w:tcBorders>
            <w:shd w:val="clear" w:color="auto" w:fill="auto"/>
            <w:noWrap/>
            <w:vAlign w:val="bottom"/>
            <w:hideMark/>
          </w:tcPr>
          <w:p w14:paraId="5D7DB835" w14:textId="62DDECFF"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0.410</w:t>
            </w:r>
          </w:p>
        </w:tc>
        <w:tc>
          <w:tcPr>
            <w:tcW w:w="802" w:type="dxa"/>
            <w:tcBorders>
              <w:top w:val="nil"/>
              <w:left w:val="single" w:sz="4" w:space="0" w:color="auto"/>
              <w:bottom w:val="single" w:sz="4" w:space="0" w:color="auto"/>
              <w:right w:val="nil"/>
            </w:tcBorders>
            <w:shd w:val="clear" w:color="auto" w:fill="auto"/>
            <w:noWrap/>
            <w:vAlign w:val="bottom"/>
            <w:hideMark/>
          </w:tcPr>
          <w:p w14:paraId="3B10AE1C" w14:textId="4456800F"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0.661</w:t>
            </w:r>
            <w:r w:rsidR="00CA00DD" w:rsidRPr="005E2B16">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bottom"/>
            <w:hideMark/>
          </w:tcPr>
          <w:p w14:paraId="09F42E62" w14:textId="1F82D398" w:rsidR="00342E23" w:rsidRPr="005E2B16" w:rsidRDefault="00342E23" w:rsidP="00342E23">
            <w:pPr>
              <w:spacing w:after="0" w:line="240" w:lineRule="auto"/>
              <w:jc w:val="right"/>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0.100</w:t>
            </w:r>
          </w:p>
        </w:tc>
      </w:tr>
    </w:tbl>
    <w:p w14:paraId="05FE9B56" w14:textId="007E705C" w:rsidR="004B6D94" w:rsidRPr="005E2B16" w:rsidRDefault="004B6D94" w:rsidP="004B6D94">
      <w:pPr>
        <w:spacing w:after="0" w:line="240" w:lineRule="auto"/>
        <w:jc w:val="center"/>
        <w:rPr>
          <w:rFonts w:ascii="Times New Roman" w:hAnsi="Times New Roman" w:cs="Times New Roman"/>
          <w:sz w:val="20"/>
          <w:szCs w:val="20"/>
          <w:lang w:val="en-US"/>
        </w:rPr>
      </w:pPr>
      <w:r w:rsidRPr="005E2B16">
        <w:rPr>
          <w:rFonts w:ascii="Times New Roman" w:hAnsi="Times New Roman" w:cs="Times New Roman"/>
          <w:sz w:val="20"/>
          <w:szCs w:val="20"/>
          <w:lang w:val="en-US"/>
        </w:rPr>
        <w:t>Note: The subscript *, ** and *** imply significance levels at 1, 5 and 10 percent respectively.</w:t>
      </w:r>
      <w:r w:rsidR="009A3740" w:rsidRPr="005E2B16">
        <w:rPr>
          <w:rFonts w:ascii="Times New Roman" w:hAnsi="Times New Roman" w:cs="Times New Roman"/>
          <w:sz w:val="20"/>
          <w:szCs w:val="20"/>
          <w:lang w:val="en-US"/>
        </w:rPr>
        <w:t xml:space="preserve"> He variables used to determine this statistics are in their </w:t>
      </w:r>
      <w:r w:rsidR="000F155E" w:rsidRPr="005E2B16">
        <w:rPr>
          <w:rFonts w:ascii="Times New Roman" w:hAnsi="Times New Roman" w:cs="Times New Roman"/>
          <w:sz w:val="20"/>
          <w:szCs w:val="20"/>
          <w:lang w:val="en-US"/>
        </w:rPr>
        <w:t>log-linear</w:t>
      </w:r>
      <w:r w:rsidR="009A3740" w:rsidRPr="005E2B16">
        <w:rPr>
          <w:rFonts w:ascii="Times New Roman" w:hAnsi="Times New Roman" w:cs="Times New Roman"/>
          <w:sz w:val="20"/>
          <w:szCs w:val="20"/>
          <w:lang w:val="en-US"/>
        </w:rPr>
        <w:t xml:space="preserve"> form. </w:t>
      </w:r>
      <w:r w:rsidR="009A77F1" w:rsidRPr="005E2B16">
        <w:rPr>
          <w:rFonts w:ascii="Times New Roman" w:hAnsi="Times New Roman" w:cs="Times New Roman"/>
          <w:sz w:val="20"/>
          <w:szCs w:val="20"/>
          <w:lang w:val="en-US"/>
        </w:rPr>
        <w:t>This suggests</w:t>
      </w:r>
      <w:r w:rsidR="009A3740" w:rsidRPr="005E2B16">
        <w:rPr>
          <w:rFonts w:ascii="Times New Roman" w:hAnsi="Times New Roman" w:cs="Times New Roman"/>
          <w:sz w:val="20"/>
          <w:szCs w:val="20"/>
          <w:lang w:val="en-US"/>
        </w:rPr>
        <w:t xml:space="preserve"> that any coefficient in the Table will be </w:t>
      </w:r>
      <w:r w:rsidR="000F155E" w:rsidRPr="005E2B16">
        <w:rPr>
          <w:rFonts w:ascii="Times New Roman" w:hAnsi="Times New Roman" w:cs="Times New Roman"/>
          <w:sz w:val="20"/>
          <w:szCs w:val="20"/>
          <w:lang w:val="en-US"/>
        </w:rPr>
        <w:t>interpreted</w:t>
      </w:r>
      <w:r w:rsidR="009A3740" w:rsidRPr="005E2B16">
        <w:rPr>
          <w:rFonts w:ascii="Times New Roman" w:hAnsi="Times New Roman" w:cs="Times New Roman"/>
          <w:sz w:val="20"/>
          <w:szCs w:val="20"/>
          <w:lang w:val="en-US"/>
        </w:rPr>
        <w:t xml:space="preserve"> as percentage change.</w:t>
      </w:r>
    </w:p>
    <w:p w14:paraId="1EF18FDA" w14:textId="77777777" w:rsidR="004B6D94" w:rsidRPr="005E2B16" w:rsidRDefault="004B6D94" w:rsidP="00397D6B">
      <w:pPr>
        <w:spacing w:after="0" w:line="240" w:lineRule="auto"/>
        <w:jc w:val="both"/>
        <w:rPr>
          <w:rFonts w:ascii="Times New Roman" w:hAnsi="Times New Roman" w:cs="Times New Roman"/>
          <w:sz w:val="24"/>
          <w:szCs w:val="24"/>
        </w:rPr>
      </w:pPr>
    </w:p>
    <w:p w14:paraId="3AF8E795" w14:textId="37881D44" w:rsidR="00D32177" w:rsidRPr="005E2B16" w:rsidRDefault="00D27BAD" w:rsidP="00D53AD4">
      <w:pPr>
        <w:spacing w:line="240" w:lineRule="auto"/>
        <w:jc w:val="both"/>
        <w:rPr>
          <w:sz w:val="18"/>
          <w:szCs w:val="18"/>
        </w:rPr>
      </w:pPr>
      <w:r w:rsidRPr="005E2B16">
        <w:rPr>
          <w:rFonts w:ascii="Times New Roman" w:hAnsi="Times New Roman" w:cs="Times New Roman"/>
          <w:sz w:val="24"/>
          <w:szCs w:val="24"/>
          <w:lang w:val="en-US"/>
        </w:rPr>
        <w:t>Considering the participation in the import duty exemption, we find that there was no significant average treatment effect on the productivity of firms in the column that contains the nearest neig</w:t>
      </w:r>
      <w:r w:rsidR="00881D72" w:rsidRPr="005E2B16">
        <w:rPr>
          <w:rFonts w:ascii="Times New Roman" w:hAnsi="Times New Roman" w:cs="Times New Roman"/>
          <w:sz w:val="24"/>
          <w:szCs w:val="24"/>
          <w:lang w:val="en-US"/>
        </w:rPr>
        <w:t>hbo</w:t>
      </w:r>
      <w:r w:rsidRPr="005E2B16">
        <w:rPr>
          <w:rFonts w:ascii="Times New Roman" w:hAnsi="Times New Roman" w:cs="Times New Roman"/>
          <w:sz w:val="24"/>
          <w:szCs w:val="24"/>
          <w:lang w:val="en-US"/>
        </w:rPr>
        <w:t xml:space="preserve">r matching technique. </w:t>
      </w:r>
      <w:r w:rsidR="00076817" w:rsidRPr="005E2B16">
        <w:rPr>
          <w:rFonts w:ascii="Times New Roman" w:hAnsi="Times New Roman" w:cs="Times New Roman"/>
          <w:sz w:val="24"/>
          <w:szCs w:val="24"/>
          <w:lang w:val="en-US"/>
        </w:rPr>
        <w:t>In addition</w:t>
      </w:r>
      <w:r w:rsidR="00222633" w:rsidRPr="005E2B16">
        <w:rPr>
          <w:rFonts w:ascii="Times New Roman" w:hAnsi="Times New Roman" w:cs="Times New Roman"/>
          <w:sz w:val="24"/>
          <w:szCs w:val="24"/>
          <w:lang w:val="en-US"/>
        </w:rPr>
        <w:t>, scanning through the columns for other matching technique</w:t>
      </w:r>
      <w:r w:rsidR="00076817" w:rsidRPr="005E2B16">
        <w:rPr>
          <w:rFonts w:ascii="Times New Roman" w:hAnsi="Times New Roman" w:cs="Times New Roman"/>
          <w:sz w:val="24"/>
          <w:szCs w:val="24"/>
          <w:lang w:val="en-US"/>
        </w:rPr>
        <w:t>s</w:t>
      </w:r>
      <w:r w:rsidR="00222633" w:rsidRPr="005E2B16">
        <w:rPr>
          <w:rFonts w:ascii="Times New Roman" w:hAnsi="Times New Roman" w:cs="Times New Roman"/>
          <w:sz w:val="24"/>
          <w:szCs w:val="24"/>
          <w:lang w:val="en-US"/>
        </w:rPr>
        <w:t xml:space="preserve">, it was observed that none of the ATT values was significant. </w:t>
      </w:r>
      <w:r w:rsidRPr="005E2B16">
        <w:rPr>
          <w:rFonts w:ascii="Times New Roman" w:hAnsi="Times New Roman" w:cs="Times New Roman"/>
          <w:sz w:val="24"/>
          <w:szCs w:val="24"/>
          <w:lang w:val="en-US"/>
        </w:rPr>
        <w:t xml:space="preserve">This </w:t>
      </w:r>
      <w:r w:rsidR="00DD52DC" w:rsidRPr="005E2B16">
        <w:rPr>
          <w:rFonts w:ascii="Times New Roman" w:hAnsi="Times New Roman" w:cs="Times New Roman"/>
          <w:sz w:val="24"/>
          <w:szCs w:val="24"/>
          <w:lang w:val="en-US"/>
        </w:rPr>
        <w:lastRenderedPageBreak/>
        <w:t xml:space="preserve">indicates </w:t>
      </w:r>
      <w:r w:rsidRPr="005E2B16">
        <w:rPr>
          <w:rFonts w:ascii="Times New Roman" w:hAnsi="Times New Roman" w:cs="Times New Roman"/>
          <w:sz w:val="24"/>
          <w:szCs w:val="24"/>
          <w:lang w:val="en-US"/>
        </w:rPr>
        <w:t xml:space="preserve">that </w:t>
      </w:r>
      <w:r w:rsidR="00222633" w:rsidRPr="005E2B16">
        <w:rPr>
          <w:rFonts w:ascii="Times New Roman" w:hAnsi="Times New Roman" w:cs="Times New Roman"/>
          <w:sz w:val="24"/>
          <w:szCs w:val="24"/>
          <w:lang w:val="en-US"/>
        </w:rPr>
        <w:t xml:space="preserve">increase in the productivity of </w:t>
      </w:r>
      <w:r w:rsidR="00B67F7B" w:rsidRPr="005E2B16">
        <w:rPr>
          <w:rFonts w:ascii="Times New Roman" w:hAnsi="Times New Roman" w:cs="Times New Roman"/>
          <w:sz w:val="24"/>
          <w:szCs w:val="24"/>
        </w:rPr>
        <w:t xml:space="preserve">participants in the </w:t>
      </w:r>
      <w:r w:rsidR="00222633" w:rsidRPr="005E2B16">
        <w:rPr>
          <w:rFonts w:ascii="Times New Roman" w:hAnsi="Times New Roman" w:cs="Times New Roman"/>
          <w:sz w:val="24"/>
          <w:szCs w:val="24"/>
        </w:rPr>
        <w:t xml:space="preserve">import duty exemption treatment was not significantly higher </w:t>
      </w:r>
      <w:r w:rsidR="00B67F7B" w:rsidRPr="005E2B16">
        <w:rPr>
          <w:rFonts w:ascii="Times New Roman" w:hAnsi="Times New Roman" w:cs="Times New Roman"/>
          <w:sz w:val="24"/>
          <w:szCs w:val="24"/>
        </w:rPr>
        <w:t xml:space="preserve">above what they could have earned if they did not participate in </w:t>
      </w:r>
      <w:r w:rsidR="00222633" w:rsidRPr="005E2B16">
        <w:rPr>
          <w:rFonts w:ascii="Times New Roman" w:hAnsi="Times New Roman" w:cs="Times New Roman"/>
          <w:sz w:val="24"/>
          <w:szCs w:val="24"/>
        </w:rPr>
        <w:t>this treatment</w:t>
      </w:r>
      <w:r w:rsidR="00B67F7B" w:rsidRPr="005E2B16">
        <w:rPr>
          <w:rFonts w:ascii="Times New Roman" w:hAnsi="Times New Roman" w:cs="Times New Roman"/>
          <w:sz w:val="24"/>
          <w:szCs w:val="24"/>
        </w:rPr>
        <w:t>.</w:t>
      </w:r>
      <w:r w:rsidR="00222633" w:rsidRPr="005E2B16">
        <w:rPr>
          <w:rFonts w:ascii="Times New Roman" w:hAnsi="Times New Roman" w:cs="Times New Roman"/>
          <w:sz w:val="24"/>
          <w:szCs w:val="24"/>
        </w:rPr>
        <w:t xml:space="preserve"> </w:t>
      </w:r>
      <w:r w:rsidR="009C497F" w:rsidRPr="005E2B16">
        <w:rPr>
          <w:rFonts w:ascii="Times New Roman" w:hAnsi="Times New Roman" w:cs="Times New Roman"/>
          <w:sz w:val="24"/>
          <w:szCs w:val="24"/>
        </w:rPr>
        <w:t>Of course, we can</w:t>
      </w:r>
      <w:r w:rsidR="0083355E" w:rsidRPr="005E2B16">
        <w:rPr>
          <w:rFonts w:ascii="Times New Roman" w:hAnsi="Times New Roman" w:cs="Times New Roman"/>
          <w:sz w:val="24"/>
          <w:szCs w:val="24"/>
        </w:rPr>
        <w:t>not</w:t>
      </w:r>
      <w:r w:rsidR="009C497F" w:rsidRPr="005E2B16">
        <w:rPr>
          <w:rFonts w:ascii="Times New Roman" w:hAnsi="Times New Roman" w:cs="Times New Roman"/>
          <w:sz w:val="24"/>
          <w:szCs w:val="24"/>
        </w:rPr>
        <w:t xml:space="preserve"> conclude </w:t>
      </w:r>
      <w:r w:rsidR="0083355E" w:rsidRPr="005E2B16">
        <w:rPr>
          <w:rFonts w:ascii="Times New Roman" w:hAnsi="Times New Roman" w:cs="Times New Roman"/>
          <w:sz w:val="24"/>
          <w:szCs w:val="24"/>
        </w:rPr>
        <w:t>in sacrosanct that government involvement in import duty will result in non-significant impact on the productivity of firms. However, we reserve our discussions on this result until we have conducted our sensitivity checks to ensure that our results are not driven by some elements</w:t>
      </w:r>
      <w:r w:rsidR="00DD52DC" w:rsidRPr="005E2B16">
        <w:rPr>
          <w:rFonts w:ascii="Times New Roman" w:hAnsi="Times New Roman" w:cs="Times New Roman"/>
          <w:sz w:val="24"/>
          <w:szCs w:val="24"/>
        </w:rPr>
        <w:t>,</w:t>
      </w:r>
      <w:r w:rsidR="0083355E" w:rsidRPr="005E2B16">
        <w:rPr>
          <w:rFonts w:ascii="Times New Roman" w:hAnsi="Times New Roman" w:cs="Times New Roman"/>
          <w:sz w:val="24"/>
          <w:szCs w:val="24"/>
        </w:rPr>
        <w:t xml:space="preserve"> like the covariates that are included in the computation of the propensity scores for our observations. </w:t>
      </w:r>
    </w:p>
    <w:p w14:paraId="58051557" w14:textId="1760B2EC" w:rsidR="00D53AD4" w:rsidRPr="005E2B16" w:rsidRDefault="009A3740" w:rsidP="00D53AD4">
      <w:pPr>
        <w:spacing w:line="240" w:lineRule="auto"/>
        <w:jc w:val="both"/>
        <w:rPr>
          <w:rFonts w:ascii="Times New Roman" w:hAnsi="Times New Roman" w:cs="Times New Roman"/>
          <w:sz w:val="24"/>
          <w:szCs w:val="24"/>
        </w:rPr>
      </w:pPr>
      <w:r w:rsidRPr="005E2B16">
        <w:rPr>
          <w:rFonts w:ascii="Times New Roman" w:hAnsi="Times New Roman" w:cs="Times New Roman"/>
          <w:sz w:val="24"/>
          <w:szCs w:val="24"/>
        </w:rPr>
        <w:t xml:space="preserve">For the profit tax treatment, we found that participants in this scheme are able to increase their productivity </w:t>
      </w:r>
      <w:r w:rsidR="000F155E" w:rsidRPr="005E2B16">
        <w:rPr>
          <w:rFonts w:ascii="Times New Roman" w:hAnsi="Times New Roman" w:cs="Times New Roman"/>
          <w:sz w:val="24"/>
          <w:szCs w:val="24"/>
        </w:rPr>
        <w:t xml:space="preserve">by about 27.1 percent above what they could have </w:t>
      </w:r>
      <w:r w:rsidR="00AD688B" w:rsidRPr="005E2B16">
        <w:rPr>
          <w:rFonts w:ascii="Times New Roman" w:hAnsi="Times New Roman" w:cs="Times New Roman"/>
          <w:sz w:val="24"/>
          <w:szCs w:val="24"/>
        </w:rPr>
        <w:t xml:space="preserve">had </w:t>
      </w:r>
      <w:r w:rsidR="000F155E" w:rsidRPr="005E2B16">
        <w:rPr>
          <w:rFonts w:ascii="Times New Roman" w:hAnsi="Times New Roman" w:cs="Times New Roman"/>
          <w:sz w:val="24"/>
          <w:szCs w:val="24"/>
        </w:rPr>
        <w:t xml:space="preserve">assuming they did not benefit from the profit tax exemption. </w:t>
      </w:r>
      <w:r w:rsidR="00EF0FC8" w:rsidRPr="005E2B16">
        <w:rPr>
          <w:rFonts w:ascii="Times New Roman" w:hAnsi="Times New Roman" w:cs="Times New Roman"/>
          <w:sz w:val="24"/>
          <w:szCs w:val="24"/>
        </w:rPr>
        <w:t xml:space="preserve">This result is significant at 1 percent level of significance. </w:t>
      </w:r>
      <w:r w:rsidR="00DE3B04" w:rsidRPr="005E2B16">
        <w:rPr>
          <w:rFonts w:ascii="Times New Roman" w:hAnsi="Times New Roman" w:cs="Times New Roman"/>
          <w:sz w:val="24"/>
          <w:szCs w:val="24"/>
        </w:rPr>
        <w:t xml:space="preserve">For the participants in the export finance scheme, we also observed that the average treatment effect was 89.4 percent, suggesting that beneficiaries of the export finance scheme </w:t>
      </w:r>
      <w:r w:rsidR="00AD688B" w:rsidRPr="005E2B16">
        <w:rPr>
          <w:rFonts w:ascii="Times New Roman" w:hAnsi="Times New Roman" w:cs="Times New Roman"/>
          <w:sz w:val="24"/>
          <w:szCs w:val="24"/>
        </w:rPr>
        <w:t xml:space="preserve">had a positive improvement in their productivity by about 89.4 percent higher of what they could have had assuming they did not benefit from this scheme. This result is also significant at 1 percent. </w:t>
      </w:r>
    </w:p>
    <w:p w14:paraId="59E67765" w14:textId="797F5533" w:rsidR="002050A1" w:rsidRPr="005E2B16" w:rsidRDefault="002050A1" w:rsidP="00A23667">
      <w:pPr>
        <w:spacing w:after="0" w:line="240" w:lineRule="auto"/>
        <w:jc w:val="both"/>
        <w:rPr>
          <w:rFonts w:ascii="Times New Roman" w:hAnsi="Times New Roman" w:cs="Times New Roman"/>
          <w:i/>
          <w:sz w:val="24"/>
          <w:szCs w:val="24"/>
        </w:rPr>
      </w:pPr>
      <w:r w:rsidRPr="005E2B16">
        <w:rPr>
          <w:rFonts w:ascii="Times New Roman" w:hAnsi="Times New Roman" w:cs="Times New Roman"/>
          <w:i/>
          <w:sz w:val="24"/>
          <w:szCs w:val="24"/>
        </w:rPr>
        <w:t>Sensitivity Analysis</w:t>
      </w:r>
    </w:p>
    <w:p w14:paraId="63915804" w14:textId="2F9C34AD" w:rsidR="00BF306E" w:rsidRPr="005E2B16" w:rsidRDefault="008E524D" w:rsidP="00A23667">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 xml:space="preserve">To be sure that </w:t>
      </w:r>
      <w:r w:rsidR="009A77F1" w:rsidRPr="005E2B16">
        <w:rPr>
          <w:rFonts w:ascii="Times New Roman" w:hAnsi="Times New Roman" w:cs="Times New Roman"/>
          <w:sz w:val="24"/>
          <w:szCs w:val="24"/>
          <w:lang w:val="en-US"/>
        </w:rPr>
        <w:t>the type of covariates that are included in our PSM model does not drive our results</w:t>
      </w:r>
      <w:r w:rsidRPr="005E2B16">
        <w:rPr>
          <w:rFonts w:ascii="Times New Roman" w:hAnsi="Times New Roman" w:cs="Times New Roman"/>
          <w:sz w:val="24"/>
          <w:szCs w:val="24"/>
          <w:lang w:val="en-US"/>
        </w:rPr>
        <w:t xml:space="preserve">, we decided to try two sensitivity checks. First, we excluded the </w:t>
      </w:r>
      <w:r w:rsidR="00565BB7" w:rsidRPr="005E2B16">
        <w:rPr>
          <w:rFonts w:ascii="Times New Roman" w:hAnsi="Times New Roman" w:cs="Times New Roman"/>
          <w:sz w:val="24"/>
          <w:szCs w:val="24"/>
          <w:lang w:val="en-US"/>
        </w:rPr>
        <w:t>productive capacity and size variables from the estimation since they were not consistently significant in the PS</w:t>
      </w:r>
      <w:r w:rsidR="00B914B8" w:rsidRPr="005E2B16">
        <w:rPr>
          <w:rFonts w:ascii="Times New Roman" w:hAnsi="Times New Roman" w:cs="Times New Roman"/>
          <w:sz w:val="24"/>
          <w:szCs w:val="24"/>
          <w:lang w:val="en-US"/>
        </w:rPr>
        <w:t xml:space="preserve">M logistic regression analysis that was reported in </w:t>
      </w:r>
      <w:r w:rsidR="00E16C0C" w:rsidRPr="00A55EC9">
        <w:rPr>
          <w:rFonts w:ascii="Times New Roman" w:hAnsi="Times New Roman" w:cs="Times New Roman"/>
          <w:sz w:val="24"/>
          <w:szCs w:val="24"/>
          <w:lang w:val="en-US"/>
        </w:rPr>
        <w:t xml:space="preserve">Table </w:t>
      </w:r>
      <w:r w:rsidR="009039BF" w:rsidRPr="00A55EC9">
        <w:rPr>
          <w:rFonts w:ascii="Times New Roman" w:hAnsi="Times New Roman" w:cs="Times New Roman"/>
          <w:sz w:val="24"/>
          <w:szCs w:val="24"/>
          <w:lang w:val="en-US"/>
        </w:rPr>
        <w:t>5</w:t>
      </w:r>
      <w:r w:rsidR="00E16C0C" w:rsidRPr="00A55EC9">
        <w:rPr>
          <w:rFonts w:ascii="Times New Roman" w:hAnsi="Times New Roman" w:cs="Times New Roman"/>
          <w:sz w:val="24"/>
          <w:szCs w:val="24"/>
          <w:lang w:val="en-US"/>
        </w:rPr>
        <w:t>.1</w:t>
      </w:r>
      <w:r w:rsidR="00565BB7" w:rsidRPr="00A55EC9">
        <w:rPr>
          <w:rFonts w:ascii="Times New Roman" w:hAnsi="Times New Roman" w:cs="Times New Roman"/>
          <w:sz w:val="24"/>
          <w:szCs w:val="24"/>
          <w:lang w:val="en-US"/>
        </w:rPr>
        <w:t>.</w:t>
      </w:r>
      <w:r w:rsidR="00565BB7" w:rsidRPr="005E2B16">
        <w:rPr>
          <w:rFonts w:ascii="Times New Roman" w:hAnsi="Times New Roman" w:cs="Times New Roman"/>
          <w:sz w:val="24"/>
          <w:szCs w:val="24"/>
          <w:lang w:val="en-US"/>
        </w:rPr>
        <w:t xml:space="preserve"> </w:t>
      </w:r>
      <w:r w:rsidR="00997938" w:rsidRPr="005E2B16">
        <w:rPr>
          <w:rFonts w:ascii="Times New Roman" w:hAnsi="Times New Roman" w:cs="Times New Roman"/>
          <w:sz w:val="24"/>
          <w:szCs w:val="24"/>
          <w:lang w:val="en-US"/>
        </w:rPr>
        <w:t xml:space="preserve">Then we predicted the ATT estimations again to see whether our results are going to change. </w:t>
      </w:r>
      <w:r w:rsidR="004E0ECE" w:rsidRPr="005E2B16">
        <w:rPr>
          <w:rFonts w:ascii="Times New Roman" w:hAnsi="Times New Roman" w:cs="Times New Roman"/>
          <w:sz w:val="24"/>
          <w:szCs w:val="24"/>
          <w:lang w:val="en-US"/>
        </w:rPr>
        <w:t xml:space="preserve">The results of this process are presented in </w:t>
      </w:r>
      <w:r w:rsidR="004E0ECE" w:rsidRPr="00A55EC9">
        <w:rPr>
          <w:rFonts w:ascii="Times New Roman" w:hAnsi="Times New Roman" w:cs="Times New Roman"/>
          <w:sz w:val="24"/>
          <w:szCs w:val="24"/>
          <w:lang w:val="en-US"/>
        </w:rPr>
        <w:t xml:space="preserve">Table </w:t>
      </w:r>
      <w:r w:rsidR="00A11723" w:rsidRPr="00A55EC9">
        <w:rPr>
          <w:rFonts w:ascii="Times New Roman" w:hAnsi="Times New Roman" w:cs="Times New Roman"/>
          <w:sz w:val="24"/>
          <w:szCs w:val="24"/>
          <w:lang w:val="en-US"/>
        </w:rPr>
        <w:t>5</w:t>
      </w:r>
      <w:r w:rsidR="004E0ECE" w:rsidRPr="00A55EC9">
        <w:rPr>
          <w:rFonts w:ascii="Times New Roman" w:hAnsi="Times New Roman" w:cs="Times New Roman"/>
          <w:sz w:val="24"/>
          <w:szCs w:val="24"/>
          <w:lang w:val="en-US"/>
        </w:rPr>
        <w:t>.4</w:t>
      </w:r>
      <w:r w:rsidR="004E0ECE" w:rsidRPr="005E2B16">
        <w:rPr>
          <w:rFonts w:ascii="Times New Roman" w:hAnsi="Times New Roman" w:cs="Times New Roman"/>
          <w:sz w:val="24"/>
          <w:szCs w:val="24"/>
          <w:lang w:val="en-US"/>
        </w:rPr>
        <w:t xml:space="preserve"> respectively for all the matching techniques. </w:t>
      </w:r>
    </w:p>
    <w:p w14:paraId="11902345" w14:textId="77777777" w:rsidR="00575A91" w:rsidRPr="005E2B16" w:rsidRDefault="00575A91" w:rsidP="00A23667">
      <w:pPr>
        <w:spacing w:after="0" w:line="240" w:lineRule="auto"/>
        <w:jc w:val="both"/>
        <w:rPr>
          <w:rFonts w:ascii="Times New Roman" w:hAnsi="Times New Roman" w:cs="Times New Roman"/>
          <w:sz w:val="24"/>
          <w:szCs w:val="24"/>
          <w:lang w:val="en-US"/>
        </w:rPr>
      </w:pPr>
    </w:p>
    <w:p w14:paraId="61A5D70B" w14:textId="22FB0075" w:rsidR="00575A91" w:rsidRPr="005E2B16" w:rsidRDefault="00575A91" w:rsidP="00A23667">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 xml:space="preserve">Before interpreting the results, note that all the preliminary checks have been carried out but not reported in this text for brevity (i.e. </w:t>
      </w:r>
      <w:r w:rsidR="00E16C0C" w:rsidRPr="005E2B16">
        <w:rPr>
          <w:rFonts w:ascii="Times New Roman" w:hAnsi="Times New Roman" w:cs="Times New Roman"/>
          <w:sz w:val="24"/>
          <w:szCs w:val="24"/>
          <w:lang w:val="en-US"/>
        </w:rPr>
        <w:t xml:space="preserve">they are </w:t>
      </w:r>
      <w:r w:rsidRPr="005E2B16">
        <w:rPr>
          <w:rFonts w:ascii="Times New Roman" w:hAnsi="Times New Roman" w:cs="Times New Roman"/>
          <w:sz w:val="24"/>
          <w:szCs w:val="24"/>
          <w:lang w:val="en-US"/>
        </w:rPr>
        <w:t xml:space="preserve">available </w:t>
      </w:r>
      <w:r w:rsidR="00E16C0C" w:rsidRPr="005E2B16">
        <w:rPr>
          <w:rFonts w:ascii="Times New Roman" w:hAnsi="Times New Roman" w:cs="Times New Roman"/>
          <w:sz w:val="24"/>
          <w:szCs w:val="24"/>
          <w:lang w:val="en-US"/>
        </w:rPr>
        <w:t xml:space="preserve">from the authors </w:t>
      </w:r>
      <w:r w:rsidRPr="005E2B16">
        <w:rPr>
          <w:rFonts w:ascii="Times New Roman" w:hAnsi="Times New Roman" w:cs="Times New Roman"/>
          <w:sz w:val="24"/>
          <w:szCs w:val="24"/>
          <w:lang w:val="en-US"/>
        </w:rPr>
        <w:t xml:space="preserve">upon request). </w:t>
      </w:r>
      <w:r w:rsidR="00B3250E" w:rsidRPr="005E2B16">
        <w:rPr>
          <w:rFonts w:ascii="Times New Roman" w:hAnsi="Times New Roman" w:cs="Times New Roman"/>
          <w:sz w:val="24"/>
          <w:szCs w:val="24"/>
          <w:lang w:val="en-US"/>
        </w:rPr>
        <w:t xml:space="preserve">From </w:t>
      </w:r>
      <w:r w:rsidR="00B3250E" w:rsidRPr="00A55EC9">
        <w:rPr>
          <w:rFonts w:ascii="Times New Roman" w:hAnsi="Times New Roman" w:cs="Times New Roman"/>
          <w:sz w:val="24"/>
          <w:szCs w:val="24"/>
          <w:lang w:val="en-US"/>
        </w:rPr>
        <w:t xml:space="preserve">Table </w:t>
      </w:r>
      <w:r w:rsidR="009039BF" w:rsidRPr="00A55EC9">
        <w:rPr>
          <w:rFonts w:ascii="Times New Roman" w:hAnsi="Times New Roman" w:cs="Times New Roman"/>
          <w:sz w:val="24"/>
          <w:szCs w:val="24"/>
          <w:lang w:val="en-US"/>
        </w:rPr>
        <w:t>5</w:t>
      </w:r>
      <w:r w:rsidR="00B3250E" w:rsidRPr="00A55EC9">
        <w:rPr>
          <w:rFonts w:ascii="Times New Roman" w:hAnsi="Times New Roman" w:cs="Times New Roman"/>
          <w:sz w:val="24"/>
          <w:szCs w:val="24"/>
          <w:lang w:val="en-US"/>
        </w:rPr>
        <w:t>.4</w:t>
      </w:r>
      <w:r w:rsidR="00B3250E" w:rsidRPr="005E2B16">
        <w:rPr>
          <w:rFonts w:ascii="Times New Roman" w:hAnsi="Times New Roman" w:cs="Times New Roman"/>
          <w:sz w:val="24"/>
          <w:szCs w:val="24"/>
          <w:lang w:val="en-US"/>
        </w:rPr>
        <w:t xml:space="preserve">, we observe that the participants in the import duty exemption treatment now observed a significant positive improvement in the volume of their productivity (unlike the result in </w:t>
      </w:r>
      <w:r w:rsidR="00A11723" w:rsidRPr="005E2B16">
        <w:rPr>
          <w:rFonts w:ascii="Times New Roman" w:hAnsi="Times New Roman" w:cs="Times New Roman"/>
          <w:sz w:val="24"/>
          <w:szCs w:val="24"/>
          <w:lang w:val="en-US"/>
        </w:rPr>
        <w:t xml:space="preserve">Table </w:t>
      </w:r>
      <w:r w:rsidR="00B3250E" w:rsidRPr="005E2B16">
        <w:rPr>
          <w:rFonts w:ascii="Times New Roman" w:hAnsi="Times New Roman" w:cs="Times New Roman"/>
          <w:sz w:val="24"/>
          <w:szCs w:val="24"/>
          <w:lang w:val="en-US"/>
        </w:rPr>
        <w:t>4.3). This result indicate</w:t>
      </w:r>
      <w:r w:rsidR="00A11723" w:rsidRPr="005E2B16">
        <w:rPr>
          <w:rFonts w:ascii="Times New Roman" w:hAnsi="Times New Roman" w:cs="Times New Roman"/>
          <w:sz w:val="24"/>
          <w:szCs w:val="24"/>
          <w:lang w:val="en-US"/>
        </w:rPr>
        <w:t>s</w:t>
      </w:r>
      <w:r w:rsidR="00B3250E" w:rsidRPr="005E2B16">
        <w:rPr>
          <w:rFonts w:ascii="Times New Roman" w:hAnsi="Times New Roman" w:cs="Times New Roman"/>
          <w:sz w:val="24"/>
          <w:szCs w:val="24"/>
          <w:lang w:val="en-US"/>
        </w:rPr>
        <w:t xml:space="preserve"> that firms who participate in the import duty exemption treatment are able to increase their productivity by about 85 percent above the volume they could have produced assuming they did not benefit from this form of incentive. The result for participants in the profit tax exemption treatment as well as those in the export financing treatment remained the same as earlier discussed. They had significant increase as a result of their participation in these two forms of incentives.  </w:t>
      </w:r>
    </w:p>
    <w:p w14:paraId="61B602A9" w14:textId="77777777" w:rsidR="00957E43" w:rsidRPr="005E2B16" w:rsidRDefault="00957E43" w:rsidP="00957E43">
      <w:pPr>
        <w:spacing w:after="0" w:line="240" w:lineRule="auto"/>
        <w:jc w:val="both"/>
        <w:rPr>
          <w:rFonts w:ascii="Times New Roman" w:hAnsi="Times New Roman" w:cs="Times New Roman"/>
          <w:sz w:val="24"/>
          <w:szCs w:val="24"/>
        </w:rPr>
      </w:pPr>
    </w:p>
    <w:p w14:paraId="1E90F6E5" w14:textId="124D3E75" w:rsidR="00957E43" w:rsidRPr="005E2B16" w:rsidRDefault="00957E43" w:rsidP="00957E43">
      <w:pPr>
        <w:spacing w:after="0" w:line="240" w:lineRule="auto"/>
        <w:jc w:val="center"/>
        <w:rPr>
          <w:rFonts w:ascii="Times New Roman" w:hAnsi="Times New Roman" w:cs="Times New Roman"/>
          <w:sz w:val="24"/>
          <w:szCs w:val="24"/>
        </w:rPr>
      </w:pPr>
      <w:r w:rsidRPr="005E2B16">
        <w:rPr>
          <w:rFonts w:ascii="Times New Roman" w:hAnsi="Times New Roman" w:cs="Times New Roman"/>
          <w:b/>
          <w:bCs/>
          <w:sz w:val="20"/>
          <w:szCs w:val="20"/>
        </w:rPr>
        <w:t xml:space="preserve">Table </w:t>
      </w:r>
      <w:r w:rsidR="009039BF" w:rsidRPr="005E2B16">
        <w:rPr>
          <w:rFonts w:ascii="Times New Roman" w:hAnsi="Times New Roman" w:cs="Times New Roman"/>
          <w:b/>
          <w:bCs/>
          <w:sz w:val="20"/>
          <w:szCs w:val="20"/>
        </w:rPr>
        <w:t>5</w:t>
      </w:r>
      <w:r w:rsidR="00575A91" w:rsidRPr="005E2B16">
        <w:rPr>
          <w:rFonts w:ascii="Times New Roman" w:hAnsi="Times New Roman" w:cs="Times New Roman"/>
          <w:b/>
          <w:bCs/>
          <w:sz w:val="20"/>
          <w:szCs w:val="20"/>
        </w:rPr>
        <w:t>.4</w:t>
      </w:r>
      <w:r w:rsidRPr="005E2B16">
        <w:rPr>
          <w:rFonts w:ascii="Times New Roman" w:hAnsi="Times New Roman" w:cs="Times New Roman"/>
          <w:b/>
          <w:bCs/>
          <w:sz w:val="20"/>
          <w:szCs w:val="20"/>
        </w:rPr>
        <w:t xml:space="preserve">: </w:t>
      </w:r>
      <w:r w:rsidR="00575A91" w:rsidRPr="005E2B16">
        <w:rPr>
          <w:rFonts w:ascii="Times New Roman" w:hAnsi="Times New Roman" w:cs="Times New Roman"/>
          <w:b/>
          <w:bCs/>
          <w:sz w:val="20"/>
          <w:szCs w:val="20"/>
        </w:rPr>
        <w:t xml:space="preserve">Sensitivity Check 1 - </w:t>
      </w:r>
      <w:r w:rsidRPr="005E2B16">
        <w:rPr>
          <w:rFonts w:ascii="Times New Roman" w:hAnsi="Times New Roman" w:cs="Times New Roman"/>
          <w:b/>
          <w:bCs/>
          <w:sz w:val="20"/>
          <w:szCs w:val="20"/>
        </w:rPr>
        <w:t>Average Treatment Effect for Productivity</w:t>
      </w:r>
      <w:r w:rsidR="00575A91" w:rsidRPr="005E2B16">
        <w:rPr>
          <w:rFonts w:ascii="Times New Roman" w:hAnsi="Times New Roman" w:cs="Times New Roman"/>
          <w:b/>
          <w:bCs/>
          <w:sz w:val="20"/>
          <w:szCs w:val="20"/>
        </w:rPr>
        <w:t xml:space="preserve"> </w:t>
      </w:r>
    </w:p>
    <w:tbl>
      <w:tblPr>
        <w:tblW w:w="10989" w:type="dxa"/>
        <w:tblInd w:w="-993" w:type="dxa"/>
        <w:tblLook w:val="04A0" w:firstRow="1" w:lastRow="0" w:firstColumn="1" w:lastColumn="0" w:noHBand="0" w:noVBand="1"/>
      </w:tblPr>
      <w:tblGrid>
        <w:gridCol w:w="2268"/>
        <w:gridCol w:w="1150"/>
        <w:gridCol w:w="966"/>
        <w:gridCol w:w="1025"/>
        <w:gridCol w:w="966"/>
        <w:gridCol w:w="889"/>
        <w:gridCol w:w="966"/>
        <w:gridCol w:w="889"/>
        <w:gridCol w:w="966"/>
        <w:gridCol w:w="904"/>
      </w:tblGrid>
      <w:tr w:rsidR="00957E43" w:rsidRPr="005E2B16" w14:paraId="14FDB621" w14:textId="77777777" w:rsidTr="00207B8D">
        <w:trPr>
          <w:trHeight w:val="300"/>
        </w:trPr>
        <w:tc>
          <w:tcPr>
            <w:tcW w:w="2268" w:type="dxa"/>
            <w:tcBorders>
              <w:top w:val="single" w:sz="4" w:space="0" w:color="auto"/>
              <w:left w:val="nil"/>
              <w:right w:val="single" w:sz="4" w:space="0" w:color="auto"/>
            </w:tcBorders>
            <w:shd w:val="clear" w:color="auto" w:fill="auto"/>
            <w:noWrap/>
            <w:vAlign w:val="bottom"/>
            <w:hideMark/>
          </w:tcPr>
          <w:p w14:paraId="3A5C7F71" w14:textId="77777777" w:rsidR="00957E43" w:rsidRPr="005E2B16" w:rsidRDefault="00957E43" w:rsidP="0097520A">
            <w:pPr>
              <w:spacing w:after="0" w:line="240" w:lineRule="auto"/>
              <w:rPr>
                <w:rFonts w:ascii="Times New Roman" w:eastAsia="Times New Roman" w:hAnsi="Times New Roman" w:cs="Times New Roman"/>
                <w:sz w:val="20"/>
                <w:szCs w:val="20"/>
                <w:lang w:eastAsia="en-GB"/>
              </w:rPr>
            </w:pPr>
          </w:p>
        </w:tc>
        <w:tc>
          <w:tcPr>
            <w:tcW w:w="1150" w:type="dxa"/>
            <w:tcBorders>
              <w:top w:val="single" w:sz="4" w:space="0" w:color="auto"/>
              <w:left w:val="single" w:sz="4" w:space="0" w:color="auto"/>
              <w:right w:val="single" w:sz="4" w:space="0" w:color="auto"/>
            </w:tcBorders>
            <w:shd w:val="clear" w:color="auto" w:fill="auto"/>
            <w:noWrap/>
            <w:vAlign w:val="bottom"/>
            <w:hideMark/>
          </w:tcPr>
          <w:p w14:paraId="0991DA23" w14:textId="77777777" w:rsidR="00957E43" w:rsidRPr="005E2B16" w:rsidRDefault="00957E43" w:rsidP="0097520A">
            <w:pPr>
              <w:spacing w:after="0" w:line="240" w:lineRule="auto"/>
              <w:rPr>
                <w:rFonts w:ascii="Times New Roman" w:eastAsia="Times New Roman" w:hAnsi="Times New Roman" w:cs="Times New Roman"/>
                <w:sz w:val="20"/>
                <w:szCs w:val="20"/>
                <w:lang w:eastAsia="en-GB"/>
              </w:rPr>
            </w:pPr>
          </w:p>
        </w:tc>
        <w:tc>
          <w:tcPr>
            <w:tcW w:w="1991" w:type="dxa"/>
            <w:gridSpan w:val="2"/>
            <w:tcBorders>
              <w:top w:val="single" w:sz="4" w:space="0" w:color="auto"/>
              <w:left w:val="single" w:sz="4" w:space="0" w:color="auto"/>
              <w:right w:val="single" w:sz="4" w:space="0" w:color="auto"/>
            </w:tcBorders>
            <w:shd w:val="clear" w:color="auto" w:fill="auto"/>
            <w:noWrap/>
            <w:vAlign w:val="bottom"/>
            <w:hideMark/>
          </w:tcPr>
          <w:p w14:paraId="3B6A1A27" w14:textId="77777777" w:rsidR="00957E43" w:rsidRPr="005E2B16" w:rsidRDefault="00957E43" w:rsidP="0097520A">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Nearest Neighbour Matching</w:t>
            </w:r>
          </w:p>
        </w:tc>
        <w:tc>
          <w:tcPr>
            <w:tcW w:w="1855" w:type="dxa"/>
            <w:gridSpan w:val="2"/>
            <w:tcBorders>
              <w:top w:val="single" w:sz="4" w:space="0" w:color="auto"/>
              <w:left w:val="single" w:sz="4" w:space="0" w:color="auto"/>
              <w:right w:val="single" w:sz="4" w:space="0" w:color="auto"/>
            </w:tcBorders>
            <w:shd w:val="clear" w:color="auto" w:fill="auto"/>
            <w:noWrap/>
            <w:vAlign w:val="bottom"/>
            <w:hideMark/>
          </w:tcPr>
          <w:p w14:paraId="707A0ECD"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Kernel Matching</w:t>
            </w:r>
          </w:p>
        </w:tc>
        <w:tc>
          <w:tcPr>
            <w:tcW w:w="1855" w:type="dxa"/>
            <w:gridSpan w:val="2"/>
            <w:tcBorders>
              <w:top w:val="single" w:sz="4" w:space="0" w:color="auto"/>
              <w:left w:val="single" w:sz="4" w:space="0" w:color="auto"/>
              <w:right w:val="single" w:sz="4" w:space="0" w:color="auto"/>
            </w:tcBorders>
            <w:shd w:val="clear" w:color="auto" w:fill="auto"/>
            <w:noWrap/>
            <w:vAlign w:val="bottom"/>
            <w:hideMark/>
          </w:tcPr>
          <w:p w14:paraId="1596B700" w14:textId="77777777" w:rsidR="00957E43" w:rsidRPr="005E2B16" w:rsidRDefault="00957E43" w:rsidP="0097520A">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Radius Matching</w:t>
            </w:r>
          </w:p>
        </w:tc>
        <w:tc>
          <w:tcPr>
            <w:tcW w:w="1870" w:type="dxa"/>
            <w:gridSpan w:val="2"/>
            <w:tcBorders>
              <w:top w:val="single" w:sz="4" w:space="0" w:color="auto"/>
              <w:left w:val="single" w:sz="4" w:space="0" w:color="auto"/>
              <w:right w:val="nil"/>
            </w:tcBorders>
            <w:shd w:val="clear" w:color="auto" w:fill="auto"/>
            <w:noWrap/>
            <w:vAlign w:val="bottom"/>
            <w:hideMark/>
          </w:tcPr>
          <w:p w14:paraId="51F73D76" w14:textId="77777777" w:rsidR="00957E43" w:rsidRPr="005E2B16" w:rsidRDefault="00957E43" w:rsidP="0097520A">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Stratified Matching</w:t>
            </w:r>
          </w:p>
        </w:tc>
      </w:tr>
      <w:tr w:rsidR="00957E43" w:rsidRPr="005E2B16" w14:paraId="17E2AB30" w14:textId="77777777" w:rsidTr="00207B8D">
        <w:trPr>
          <w:trHeight w:val="300"/>
        </w:trPr>
        <w:tc>
          <w:tcPr>
            <w:tcW w:w="2268" w:type="dxa"/>
            <w:tcBorders>
              <w:top w:val="nil"/>
              <w:left w:val="nil"/>
              <w:bottom w:val="single" w:sz="4" w:space="0" w:color="auto"/>
              <w:right w:val="single" w:sz="4" w:space="0" w:color="auto"/>
            </w:tcBorders>
            <w:shd w:val="clear" w:color="auto" w:fill="auto"/>
            <w:noWrap/>
            <w:vAlign w:val="bottom"/>
            <w:hideMark/>
          </w:tcPr>
          <w:p w14:paraId="6440D6CB"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Treatment</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267D1C8A"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Bias Adjustment</w:t>
            </w:r>
          </w:p>
        </w:tc>
        <w:tc>
          <w:tcPr>
            <w:tcW w:w="966" w:type="dxa"/>
            <w:tcBorders>
              <w:top w:val="nil"/>
              <w:left w:val="single" w:sz="4" w:space="0" w:color="auto"/>
              <w:bottom w:val="single" w:sz="4" w:space="0" w:color="auto"/>
              <w:right w:val="nil"/>
            </w:tcBorders>
            <w:shd w:val="clear" w:color="auto" w:fill="auto"/>
            <w:noWrap/>
            <w:vAlign w:val="bottom"/>
            <w:hideMark/>
          </w:tcPr>
          <w:p w14:paraId="28BC981A"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1025" w:type="dxa"/>
            <w:tcBorders>
              <w:top w:val="nil"/>
              <w:left w:val="nil"/>
              <w:bottom w:val="single" w:sz="4" w:space="0" w:color="auto"/>
              <w:right w:val="single" w:sz="4" w:space="0" w:color="auto"/>
            </w:tcBorders>
            <w:shd w:val="clear" w:color="auto" w:fill="auto"/>
            <w:noWrap/>
            <w:vAlign w:val="bottom"/>
            <w:hideMark/>
          </w:tcPr>
          <w:p w14:paraId="6623D93C"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c>
          <w:tcPr>
            <w:tcW w:w="966" w:type="dxa"/>
            <w:tcBorders>
              <w:top w:val="nil"/>
              <w:left w:val="single" w:sz="4" w:space="0" w:color="auto"/>
              <w:bottom w:val="single" w:sz="4" w:space="0" w:color="auto"/>
              <w:right w:val="nil"/>
            </w:tcBorders>
            <w:shd w:val="clear" w:color="auto" w:fill="auto"/>
            <w:noWrap/>
            <w:vAlign w:val="bottom"/>
            <w:hideMark/>
          </w:tcPr>
          <w:p w14:paraId="0851D10E"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889" w:type="dxa"/>
            <w:tcBorders>
              <w:top w:val="nil"/>
              <w:left w:val="nil"/>
              <w:bottom w:val="single" w:sz="4" w:space="0" w:color="auto"/>
              <w:right w:val="single" w:sz="4" w:space="0" w:color="auto"/>
            </w:tcBorders>
            <w:shd w:val="clear" w:color="auto" w:fill="auto"/>
            <w:noWrap/>
            <w:vAlign w:val="bottom"/>
            <w:hideMark/>
          </w:tcPr>
          <w:p w14:paraId="45CDBC09"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c>
          <w:tcPr>
            <w:tcW w:w="966" w:type="dxa"/>
            <w:tcBorders>
              <w:top w:val="nil"/>
              <w:left w:val="single" w:sz="4" w:space="0" w:color="auto"/>
              <w:bottom w:val="single" w:sz="4" w:space="0" w:color="auto"/>
              <w:right w:val="nil"/>
            </w:tcBorders>
            <w:shd w:val="clear" w:color="auto" w:fill="auto"/>
            <w:noWrap/>
            <w:vAlign w:val="bottom"/>
            <w:hideMark/>
          </w:tcPr>
          <w:p w14:paraId="00B376B9"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889" w:type="dxa"/>
            <w:tcBorders>
              <w:top w:val="nil"/>
              <w:left w:val="nil"/>
              <w:bottom w:val="single" w:sz="4" w:space="0" w:color="auto"/>
              <w:right w:val="single" w:sz="4" w:space="0" w:color="auto"/>
            </w:tcBorders>
            <w:shd w:val="clear" w:color="auto" w:fill="auto"/>
            <w:noWrap/>
            <w:vAlign w:val="bottom"/>
            <w:hideMark/>
          </w:tcPr>
          <w:p w14:paraId="7FDE3553"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c>
          <w:tcPr>
            <w:tcW w:w="966" w:type="dxa"/>
            <w:tcBorders>
              <w:top w:val="nil"/>
              <w:left w:val="single" w:sz="4" w:space="0" w:color="auto"/>
              <w:bottom w:val="single" w:sz="4" w:space="0" w:color="auto"/>
              <w:right w:val="nil"/>
            </w:tcBorders>
            <w:shd w:val="clear" w:color="auto" w:fill="auto"/>
            <w:noWrap/>
            <w:vAlign w:val="bottom"/>
            <w:hideMark/>
          </w:tcPr>
          <w:p w14:paraId="0AB0B21C"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904" w:type="dxa"/>
            <w:tcBorders>
              <w:top w:val="nil"/>
              <w:left w:val="nil"/>
              <w:bottom w:val="single" w:sz="4" w:space="0" w:color="auto"/>
              <w:right w:val="nil"/>
            </w:tcBorders>
            <w:shd w:val="clear" w:color="auto" w:fill="auto"/>
            <w:noWrap/>
            <w:vAlign w:val="bottom"/>
            <w:hideMark/>
          </w:tcPr>
          <w:p w14:paraId="37AD8C0D"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r>
      <w:tr w:rsidR="00957E43" w:rsidRPr="005E2B16" w14:paraId="61A1BE44" w14:textId="77777777" w:rsidTr="00207B8D">
        <w:trPr>
          <w:trHeight w:val="300"/>
        </w:trPr>
        <w:tc>
          <w:tcPr>
            <w:tcW w:w="2268" w:type="dxa"/>
            <w:tcBorders>
              <w:top w:val="single" w:sz="4" w:space="0" w:color="auto"/>
              <w:left w:val="nil"/>
              <w:bottom w:val="nil"/>
              <w:right w:val="single" w:sz="4" w:space="0" w:color="auto"/>
            </w:tcBorders>
            <w:shd w:val="clear" w:color="auto" w:fill="auto"/>
            <w:noWrap/>
            <w:vAlign w:val="bottom"/>
            <w:hideMark/>
          </w:tcPr>
          <w:p w14:paraId="6DCE0975"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p>
        </w:tc>
        <w:tc>
          <w:tcPr>
            <w:tcW w:w="1150" w:type="dxa"/>
            <w:tcBorders>
              <w:top w:val="single" w:sz="4" w:space="0" w:color="auto"/>
              <w:left w:val="single" w:sz="4" w:space="0" w:color="auto"/>
              <w:bottom w:val="nil"/>
              <w:right w:val="single" w:sz="4" w:space="0" w:color="auto"/>
            </w:tcBorders>
            <w:shd w:val="clear" w:color="auto" w:fill="auto"/>
            <w:noWrap/>
            <w:vAlign w:val="bottom"/>
            <w:hideMark/>
          </w:tcPr>
          <w:p w14:paraId="144DB01D"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No</w:t>
            </w:r>
          </w:p>
        </w:tc>
        <w:tc>
          <w:tcPr>
            <w:tcW w:w="966" w:type="dxa"/>
            <w:tcBorders>
              <w:top w:val="single" w:sz="4" w:space="0" w:color="auto"/>
              <w:left w:val="single" w:sz="4" w:space="0" w:color="auto"/>
              <w:bottom w:val="nil"/>
              <w:right w:val="nil"/>
            </w:tcBorders>
            <w:shd w:val="clear" w:color="auto" w:fill="auto"/>
            <w:noWrap/>
            <w:vAlign w:val="bottom"/>
            <w:hideMark/>
          </w:tcPr>
          <w:p w14:paraId="0369FD83" w14:textId="16CC1970"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0.852*</w:t>
            </w:r>
          </w:p>
        </w:tc>
        <w:tc>
          <w:tcPr>
            <w:tcW w:w="1025" w:type="dxa"/>
            <w:tcBorders>
              <w:top w:val="single" w:sz="4" w:space="0" w:color="auto"/>
              <w:left w:val="nil"/>
              <w:bottom w:val="nil"/>
              <w:right w:val="single" w:sz="4" w:space="0" w:color="auto"/>
            </w:tcBorders>
            <w:shd w:val="clear" w:color="auto" w:fill="auto"/>
            <w:noWrap/>
            <w:vAlign w:val="bottom"/>
            <w:hideMark/>
          </w:tcPr>
          <w:p w14:paraId="142F4E2E" w14:textId="25173907"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0.368</w:t>
            </w:r>
          </w:p>
        </w:tc>
        <w:tc>
          <w:tcPr>
            <w:tcW w:w="966" w:type="dxa"/>
            <w:tcBorders>
              <w:top w:val="single" w:sz="4" w:space="0" w:color="auto"/>
              <w:left w:val="single" w:sz="4" w:space="0" w:color="auto"/>
              <w:bottom w:val="nil"/>
              <w:right w:val="nil"/>
            </w:tcBorders>
            <w:shd w:val="clear" w:color="auto" w:fill="auto"/>
            <w:noWrap/>
            <w:vAlign w:val="bottom"/>
            <w:hideMark/>
          </w:tcPr>
          <w:p w14:paraId="75D6E80A" w14:textId="0D616F01"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0.674*</w:t>
            </w:r>
          </w:p>
        </w:tc>
        <w:tc>
          <w:tcPr>
            <w:tcW w:w="889" w:type="dxa"/>
            <w:tcBorders>
              <w:top w:val="single" w:sz="4" w:space="0" w:color="auto"/>
              <w:left w:val="nil"/>
              <w:bottom w:val="nil"/>
              <w:right w:val="single" w:sz="4" w:space="0" w:color="auto"/>
            </w:tcBorders>
            <w:shd w:val="clear" w:color="auto" w:fill="auto"/>
            <w:noWrap/>
            <w:vAlign w:val="bottom"/>
            <w:hideMark/>
          </w:tcPr>
          <w:p w14:paraId="5090C3B7" w14:textId="45524DB4"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0.275</w:t>
            </w:r>
          </w:p>
        </w:tc>
        <w:tc>
          <w:tcPr>
            <w:tcW w:w="966" w:type="dxa"/>
            <w:tcBorders>
              <w:top w:val="single" w:sz="4" w:space="0" w:color="auto"/>
              <w:left w:val="single" w:sz="4" w:space="0" w:color="auto"/>
              <w:bottom w:val="nil"/>
              <w:right w:val="nil"/>
            </w:tcBorders>
            <w:shd w:val="clear" w:color="auto" w:fill="auto"/>
            <w:noWrap/>
            <w:vAlign w:val="bottom"/>
            <w:hideMark/>
          </w:tcPr>
          <w:p w14:paraId="5CB11587" w14:textId="42770983"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0.673**</w:t>
            </w:r>
          </w:p>
        </w:tc>
        <w:tc>
          <w:tcPr>
            <w:tcW w:w="889" w:type="dxa"/>
            <w:tcBorders>
              <w:top w:val="single" w:sz="4" w:space="0" w:color="auto"/>
              <w:left w:val="nil"/>
              <w:bottom w:val="nil"/>
              <w:right w:val="single" w:sz="4" w:space="0" w:color="auto"/>
            </w:tcBorders>
            <w:shd w:val="clear" w:color="auto" w:fill="auto"/>
            <w:noWrap/>
            <w:vAlign w:val="bottom"/>
            <w:hideMark/>
          </w:tcPr>
          <w:p w14:paraId="1093B1EA" w14:textId="0C0BB0E7"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0.337</w:t>
            </w:r>
          </w:p>
        </w:tc>
        <w:tc>
          <w:tcPr>
            <w:tcW w:w="966" w:type="dxa"/>
            <w:tcBorders>
              <w:top w:val="single" w:sz="4" w:space="0" w:color="auto"/>
              <w:left w:val="single" w:sz="4" w:space="0" w:color="auto"/>
              <w:bottom w:val="nil"/>
              <w:right w:val="nil"/>
            </w:tcBorders>
            <w:shd w:val="clear" w:color="auto" w:fill="auto"/>
            <w:noWrap/>
            <w:vAlign w:val="bottom"/>
            <w:hideMark/>
          </w:tcPr>
          <w:p w14:paraId="0D1D17A2" w14:textId="48588368"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0.673**</w:t>
            </w:r>
          </w:p>
        </w:tc>
        <w:tc>
          <w:tcPr>
            <w:tcW w:w="904" w:type="dxa"/>
            <w:tcBorders>
              <w:top w:val="single" w:sz="4" w:space="0" w:color="auto"/>
              <w:left w:val="nil"/>
              <w:bottom w:val="nil"/>
              <w:right w:val="nil"/>
            </w:tcBorders>
            <w:shd w:val="clear" w:color="auto" w:fill="auto"/>
            <w:noWrap/>
            <w:vAlign w:val="bottom"/>
            <w:hideMark/>
          </w:tcPr>
          <w:p w14:paraId="3020491E" w14:textId="535F2C4E"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0.337</w:t>
            </w:r>
          </w:p>
        </w:tc>
      </w:tr>
      <w:tr w:rsidR="00957E43" w:rsidRPr="005E2B16" w14:paraId="2160AD6B" w14:textId="77777777" w:rsidTr="00207B8D">
        <w:trPr>
          <w:trHeight w:val="300"/>
        </w:trPr>
        <w:tc>
          <w:tcPr>
            <w:tcW w:w="2268" w:type="dxa"/>
            <w:tcBorders>
              <w:top w:val="nil"/>
              <w:left w:val="nil"/>
              <w:bottom w:val="nil"/>
              <w:right w:val="single" w:sz="4" w:space="0" w:color="auto"/>
            </w:tcBorders>
            <w:shd w:val="clear" w:color="auto" w:fill="auto"/>
            <w:noWrap/>
            <w:vAlign w:val="bottom"/>
            <w:hideMark/>
          </w:tcPr>
          <w:p w14:paraId="150D23A7"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Import Duty Exemption</w:t>
            </w:r>
          </w:p>
        </w:tc>
        <w:tc>
          <w:tcPr>
            <w:tcW w:w="1150" w:type="dxa"/>
            <w:tcBorders>
              <w:top w:val="nil"/>
              <w:left w:val="single" w:sz="4" w:space="0" w:color="auto"/>
              <w:bottom w:val="nil"/>
              <w:right w:val="single" w:sz="4" w:space="0" w:color="auto"/>
            </w:tcBorders>
            <w:shd w:val="clear" w:color="auto" w:fill="auto"/>
            <w:noWrap/>
            <w:vAlign w:val="bottom"/>
            <w:hideMark/>
          </w:tcPr>
          <w:p w14:paraId="341D7531"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Yes</w:t>
            </w:r>
          </w:p>
        </w:tc>
        <w:tc>
          <w:tcPr>
            <w:tcW w:w="966" w:type="dxa"/>
            <w:tcBorders>
              <w:top w:val="nil"/>
              <w:left w:val="single" w:sz="4" w:space="0" w:color="auto"/>
              <w:bottom w:val="nil"/>
              <w:right w:val="nil"/>
            </w:tcBorders>
            <w:shd w:val="clear" w:color="auto" w:fill="auto"/>
            <w:noWrap/>
            <w:vAlign w:val="bottom"/>
            <w:hideMark/>
          </w:tcPr>
          <w:p w14:paraId="6925A321" w14:textId="6DEC2173"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0.852***</w:t>
            </w:r>
          </w:p>
        </w:tc>
        <w:tc>
          <w:tcPr>
            <w:tcW w:w="1025" w:type="dxa"/>
            <w:tcBorders>
              <w:top w:val="nil"/>
              <w:left w:val="nil"/>
              <w:bottom w:val="nil"/>
              <w:right w:val="single" w:sz="4" w:space="0" w:color="auto"/>
            </w:tcBorders>
            <w:shd w:val="clear" w:color="auto" w:fill="auto"/>
            <w:noWrap/>
            <w:vAlign w:val="bottom"/>
            <w:hideMark/>
          </w:tcPr>
          <w:p w14:paraId="63F00A05" w14:textId="5764677B"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0.484</w:t>
            </w:r>
          </w:p>
        </w:tc>
        <w:tc>
          <w:tcPr>
            <w:tcW w:w="966" w:type="dxa"/>
            <w:tcBorders>
              <w:top w:val="nil"/>
              <w:left w:val="single" w:sz="4" w:space="0" w:color="auto"/>
              <w:bottom w:val="nil"/>
              <w:right w:val="nil"/>
            </w:tcBorders>
            <w:shd w:val="clear" w:color="auto" w:fill="auto"/>
            <w:noWrap/>
            <w:vAlign w:val="bottom"/>
            <w:hideMark/>
          </w:tcPr>
          <w:p w14:paraId="0ABD4447" w14:textId="6BB4AD18"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0.674*</w:t>
            </w:r>
          </w:p>
        </w:tc>
        <w:tc>
          <w:tcPr>
            <w:tcW w:w="889" w:type="dxa"/>
            <w:tcBorders>
              <w:top w:val="nil"/>
              <w:left w:val="nil"/>
              <w:bottom w:val="nil"/>
              <w:right w:val="single" w:sz="4" w:space="0" w:color="auto"/>
            </w:tcBorders>
            <w:shd w:val="clear" w:color="auto" w:fill="auto"/>
            <w:noWrap/>
            <w:vAlign w:val="bottom"/>
            <w:hideMark/>
          </w:tcPr>
          <w:p w14:paraId="19F0FED5" w14:textId="01910BCA"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0.275</w:t>
            </w:r>
          </w:p>
        </w:tc>
        <w:tc>
          <w:tcPr>
            <w:tcW w:w="966" w:type="dxa"/>
            <w:tcBorders>
              <w:top w:val="nil"/>
              <w:left w:val="single" w:sz="4" w:space="0" w:color="auto"/>
              <w:bottom w:val="nil"/>
              <w:right w:val="nil"/>
            </w:tcBorders>
            <w:shd w:val="clear" w:color="auto" w:fill="auto"/>
            <w:noWrap/>
            <w:vAlign w:val="bottom"/>
            <w:hideMark/>
          </w:tcPr>
          <w:p w14:paraId="4D6CFD35" w14:textId="3A63EA9C"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0.673</w:t>
            </w:r>
          </w:p>
        </w:tc>
        <w:tc>
          <w:tcPr>
            <w:tcW w:w="889" w:type="dxa"/>
            <w:tcBorders>
              <w:top w:val="nil"/>
              <w:left w:val="nil"/>
              <w:bottom w:val="nil"/>
              <w:right w:val="single" w:sz="4" w:space="0" w:color="auto"/>
            </w:tcBorders>
            <w:shd w:val="clear" w:color="auto" w:fill="auto"/>
            <w:noWrap/>
            <w:vAlign w:val="bottom"/>
            <w:hideMark/>
          </w:tcPr>
          <w:p w14:paraId="693AAD33" w14:textId="3C3A9E60"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0.433</w:t>
            </w:r>
          </w:p>
        </w:tc>
        <w:tc>
          <w:tcPr>
            <w:tcW w:w="966" w:type="dxa"/>
            <w:tcBorders>
              <w:top w:val="nil"/>
              <w:left w:val="single" w:sz="4" w:space="0" w:color="auto"/>
              <w:bottom w:val="nil"/>
              <w:right w:val="nil"/>
            </w:tcBorders>
            <w:shd w:val="clear" w:color="auto" w:fill="auto"/>
            <w:noWrap/>
            <w:vAlign w:val="bottom"/>
            <w:hideMark/>
          </w:tcPr>
          <w:p w14:paraId="0B135A4B" w14:textId="75A5C412"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0.673*</w:t>
            </w:r>
          </w:p>
        </w:tc>
        <w:tc>
          <w:tcPr>
            <w:tcW w:w="904" w:type="dxa"/>
            <w:tcBorders>
              <w:top w:val="nil"/>
              <w:left w:val="nil"/>
              <w:bottom w:val="nil"/>
              <w:right w:val="nil"/>
            </w:tcBorders>
            <w:shd w:val="clear" w:color="auto" w:fill="auto"/>
            <w:noWrap/>
            <w:vAlign w:val="bottom"/>
            <w:hideMark/>
          </w:tcPr>
          <w:p w14:paraId="007B9DC8" w14:textId="377A9B54"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0.209</w:t>
            </w:r>
          </w:p>
        </w:tc>
      </w:tr>
      <w:tr w:rsidR="00957E43" w:rsidRPr="005E2B16" w14:paraId="3AE5E106" w14:textId="77777777" w:rsidTr="00207B8D">
        <w:trPr>
          <w:trHeight w:val="300"/>
        </w:trPr>
        <w:tc>
          <w:tcPr>
            <w:tcW w:w="2268" w:type="dxa"/>
            <w:tcBorders>
              <w:top w:val="nil"/>
              <w:left w:val="nil"/>
              <w:bottom w:val="nil"/>
              <w:right w:val="single" w:sz="4" w:space="0" w:color="auto"/>
            </w:tcBorders>
            <w:shd w:val="clear" w:color="auto" w:fill="auto"/>
            <w:noWrap/>
            <w:vAlign w:val="bottom"/>
            <w:hideMark/>
          </w:tcPr>
          <w:p w14:paraId="14E99859" w14:textId="77777777" w:rsidR="00957E43" w:rsidRPr="005E2B16" w:rsidRDefault="00957E43" w:rsidP="0097520A">
            <w:pPr>
              <w:spacing w:after="0" w:line="240" w:lineRule="auto"/>
              <w:jc w:val="right"/>
              <w:rPr>
                <w:rFonts w:ascii="Times New Roman" w:eastAsia="Times New Roman" w:hAnsi="Times New Roman" w:cs="Times New Roman"/>
                <w:color w:val="000000"/>
                <w:sz w:val="20"/>
                <w:szCs w:val="20"/>
                <w:lang w:eastAsia="en-GB"/>
              </w:rPr>
            </w:pPr>
          </w:p>
        </w:tc>
        <w:tc>
          <w:tcPr>
            <w:tcW w:w="1150" w:type="dxa"/>
            <w:tcBorders>
              <w:top w:val="nil"/>
              <w:left w:val="single" w:sz="4" w:space="0" w:color="auto"/>
              <w:bottom w:val="nil"/>
              <w:right w:val="single" w:sz="4" w:space="0" w:color="auto"/>
            </w:tcBorders>
            <w:shd w:val="clear" w:color="auto" w:fill="auto"/>
            <w:noWrap/>
            <w:vAlign w:val="bottom"/>
            <w:hideMark/>
          </w:tcPr>
          <w:p w14:paraId="60864F55"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No</w:t>
            </w:r>
          </w:p>
        </w:tc>
        <w:tc>
          <w:tcPr>
            <w:tcW w:w="966" w:type="dxa"/>
            <w:tcBorders>
              <w:top w:val="nil"/>
              <w:left w:val="single" w:sz="4" w:space="0" w:color="auto"/>
              <w:bottom w:val="nil"/>
              <w:right w:val="nil"/>
            </w:tcBorders>
            <w:shd w:val="clear" w:color="auto" w:fill="auto"/>
            <w:noWrap/>
            <w:vAlign w:val="bottom"/>
            <w:hideMark/>
          </w:tcPr>
          <w:p w14:paraId="1B9E4C88" w14:textId="2CF242AD"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0.824 *</w:t>
            </w:r>
          </w:p>
        </w:tc>
        <w:tc>
          <w:tcPr>
            <w:tcW w:w="1025" w:type="dxa"/>
            <w:tcBorders>
              <w:top w:val="nil"/>
              <w:left w:val="nil"/>
              <w:bottom w:val="nil"/>
              <w:right w:val="single" w:sz="4" w:space="0" w:color="auto"/>
            </w:tcBorders>
            <w:shd w:val="clear" w:color="auto" w:fill="auto"/>
            <w:noWrap/>
            <w:vAlign w:val="bottom"/>
            <w:hideMark/>
          </w:tcPr>
          <w:p w14:paraId="22EAB4B5" w14:textId="74286EAD"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0.023</w:t>
            </w:r>
          </w:p>
        </w:tc>
        <w:tc>
          <w:tcPr>
            <w:tcW w:w="966" w:type="dxa"/>
            <w:tcBorders>
              <w:top w:val="nil"/>
              <w:left w:val="single" w:sz="4" w:space="0" w:color="auto"/>
              <w:bottom w:val="nil"/>
              <w:right w:val="nil"/>
            </w:tcBorders>
            <w:shd w:val="clear" w:color="auto" w:fill="auto"/>
            <w:noWrap/>
            <w:vAlign w:val="bottom"/>
            <w:hideMark/>
          </w:tcPr>
          <w:p w14:paraId="2123392E" w14:textId="748F55EB"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0.435***</w:t>
            </w:r>
          </w:p>
        </w:tc>
        <w:tc>
          <w:tcPr>
            <w:tcW w:w="889" w:type="dxa"/>
            <w:tcBorders>
              <w:top w:val="nil"/>
              <w:left w:val="nil"/>
              <w:bottom w:val="nil"/>
              <w:right w:val="single" w:sz="4" w:space="0" w:color="auto"/>
            </w:tcBorders>
            <w:shd w:val="clear" w:color="auto" w:fill="auto"/>
            <w:noWrap/>
            <w:vAlign w:val="bottom"/>
            <w:hideMark/>
          </w:tcPr>
          <w:p w14:paraId="5F5560BE" w14:textId="679259E3"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0.229</w:t>
            </w:r>
          </w:p>
        </w:tc>
        <w:tc>
          <w:tcPr>
            <w:tcW w:w="966" w:type="dxa"/>
            <w:tcBorders>
              <w:top w:val="nil"/>
              <w:left w:val="single" w:sz="4" w:space="0" w:color="auto"/>
              <w:bottom w:val="nil"/>
              <w:right w:val="nil"/>
            </w:tcBorders>
            <w:shd w:val="clear" w:color="auto" w:fill="auto"/>
            <w:noWrap/>
            <w:vAlign w:val="bottom"/>
            <w:hideMark/>
          </w:tcPr>
          <w:p w14:paraId="696D3A5A" w14:textId="36C56D4A"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0.579</w:t>
            </w:r>
            <w:r w:rsidR="00207B8D" w:rsidRPr="005E2B16">
              <w:rPr>
                <w:rFonts w:ascii="Times New Roman" w:eastAsia="Times New Roman" w:hAnsi="Times New Roman" w:cs="Times New Roman"/>
                <w:color w:val="000000"/>
                <w:sz w:val="20"/>
                <w:szCs w:val="20"/>
                <w:lang w:eastAsia="en-GB"/>
              </w:rPr>
              <w:t>*</w:t>
            </w:r>
          </w:p>
        </w:tc>
        <w:tc>
          <w:tcPr>
            <w:tcW w:w="889" w:type="dxa"/>
            <w:tcBorders>
              <w:top w:val="nil"/>
              <w:left w:val="nil"/>
              <w:bottom w:val="nil"/>
              <w:right w:val="single" w:sz="4" w:space="0" w:color="auto"/>
            </w:tcBorders>
            <w:shd w:val="clear" w:color="auto" w:fill="auto"/>
            <w:noWrap/>
            <w:vAlign w:val="bottom"/>
            <w:hideMark/>
          </w:tcPr>
          <w:p w14:paraId="1E648D07" w14:textId="6B5E1012" w:rsidR="00957E43" w:rsidRPr="005E2B16" w:rsidRDefault="00207B8D"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0.260</w:t>
            </w:r>
          </w:p>
        </w:tc>
        <w:tc>
          <w:tcPr>
            <w:tcW w:w="966" w:type="dxa"/>
            <w:tcBorders>
              <w:top w:val="nil"/>
              <w:left w:val="single" w:sz="4" w:space="0" w:color="auto"/>
              <w:bottom w:val="nil"/>
              <w:right w:val="nil"/>
            </w:tcBorders>
            <w:shd w:val="clear" w:color="auto" w:fill="auto"/>
            <w:noWrap/>
            <w:vAlign w:val="bottom"/>
            <w:hideMark/>
          </w:tcPr>
          <w:p w14:paraId="12830276" w14:textId="5F608A1A" w:rsidR="00957E43" w:rsidRPr="005E2B16" w:rsidRDefault="00207B8D"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0.474</w:t>
            </w:r>
            <w:r w:rsidR="00957E43" w:rsidRPr="005E2B16">
              <w:rPr>
                <w:rFonts w:ascii="Times New Roman" w:eastAsia="Times New Roman" w:hAnsi="Times New Roman" w:cs="Times New Roman"/>
                <w:color w:val="000000"/>
                <w:sz w:val="20"/>
                <w:szCs w:val="20"/>
                <w:lang w:eastAsia="en-GB"/>
              </w:rPr>
              <w:t>*</w:t>
            </w:r>
            <w:r w:rsidRPr="005E2B16">
              <w:rPr>
                <w:rFonts w:ascii="Times New Roman" w:eastAsia="Times New Roman" w:hAnsi="Times New Roman" w:cs="Times New Roman"/>
                <w:color w:val="000000"/>
                <w:sz w:val="20"/>
                <w:szCs w:val="20"/>
                <w:lang w:eastAsia="en-GB"/>
              </w:rPr>
              <w:t>**</w:t>
            </w:r>
          </w:p>
        </w:tc>
        <w:tc>
          <w:tcPr>
            <w:tcW w:w="904" w:type="dxa"/>
            <w:tcBorders>
              <w:top w:val="nil"/>
              <w:left w:val="nil"/>
              <w:bottom w:val="nil"/>
              <w:right w:val="nil"/>
            </w:tcBorders>
            <w:shd w:val="clear" w:color="auto" w:fill="auto"/>
            <w:noWrap/>
            <w:vAlign w:val="bottom"/>
            <w:hideMark/>
          </w:tcPr>
          <w:p w14:paraId="47023631" w14:textId="4AEE36C7" w:rsidR="00957E43" w:rsidRPr="005E2B16" w:rsidRDefault="00207B8D"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0.262</w:t>
            </w:r>
          </w:p>
        </w:tc>
      </w:tr>
      <w:tr w:rsidR="00957E43" w:rsidRPr="005E2B16" w14:paraId="14FA3368" w14:textId="77777777" w:rsidTr="00207B8D">
        <w:trPr>
          <w:trHeight w:val="300"/>
        </w:trPr>
        <w:tc>
          <w:tcPr>
            <w:tcW w:w="2268" w:type="dxa"/>
            <w:tcBorders>
              <w:top w:val="nil"/>
              <w:left w:val="nil"/>
              <w:bottom w:val="nil"/>
              <w:right w:val="single" w:sz="4" w:space="0" w:color="auto"/>
            </w:tcBorders>
            <w:shd w:val="clear" w:color="auto" w:fill="auto"/>
            <w:noWrap/>
            <w:vAlign w:val="bottom"/>
            <w:hideMark/>
          </w:tcPr>
          <w:p w14:paraId="1FF67A40"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Profit Tax Exemption </w:t>
            </w:r>
          </w:p>
        </w:tc>
        <w:tc>
          <w:tcPr>
            <w:tcW w:w="1150" w:type="dxa"/>
            <w:tcBorders>
              <w:top w:val="nil"/>
              <w:left w:val="single" w:sz="4" w:space="0" w:color="auto"/>
              <w:bottom w:val="nil"/>
              <w:right w:val="single" w:sz="4" w:space="0" w:color="auto"/>
            </w:tcBorders>
            <w:shd w:val="clear" w:color="auto" w:fill="auto"/>
            <w:noWrap/>
            <w:vAlign w:val="bottom"/>
            <w:hideMark/>
          </w:tcPr>
          <w:p w14:paraId="4DBC9F46"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Yes</w:t>
            </w:r>
          </w:p>
        </w:tc>
        <w:tc>
          <w:tcPr>
            <w:tcW w:w="966" w:type="dxa"/>
            <w:tcBorders>
              <w:top w:val="nil"/>
              <w:left w:val="single" w:sz="4" w:space="0" w:color="auto"/>
              <w:bottom w:val="nil"/>
              <w:right w:val="nil"/>
            </w:tcBorders>
            <w:shd w:val="clear" w:color="auto" w:fill="auto"/>
            <w:noWrap/>
            <w:vAlign w:val="bottom"/>
            <w:hideMark/>
          </w:tcPr>
          <w:p w14:paraId="583718D8" w14:textId="6636B811"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0.824*</w:t>
            </w:r>
          </w:p>
        </w:tc>
        <w:tc>
          <w:tcPr>
            <w:tcW w:w="1025" w:type="dxa"/>
            <w:tcBorders>
              <w:top w:val="nil"/>
              <w:left w:val="nil"/>
              <w:bottom w:val="nil"/>
              <w:right w:val="single" w:sz="4" w:space="0" w:color="auto"/>
            </w:tcBorders>
            <w:shd w:val="clear" w:color="auto" w:fill="auto"/>
            <w:noWrap/>
            <w:vAlign w:val="bottom"/>
            <w:hideMark/>
          </w:tcPr>
          <w:p w14:paraId="54C0FD32" w14:textId="2D5A8EC8"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0.058</w:t>
            </w:r>
          </w:p>
        </w:tc>
        <w:tc>
          <w:tcPr>
            <w:tcW w:w="966" w:type="dxa"/>
            <w:tcBorders>
              <w:top w:val="nil"/>
              <w:left w:val="single" w:sz="4" w:space="0" w:color="auto"/>
              <w:bottom w:val="nil"/>
              <w:right w:val="nil"/>
            </w:tcBorders>
            <w:shd w:val="clear" w:color="auto" w:fill="auto"/>
            <w:noWrap/>
            <w:vAlign w:val="bottom"/>
            <w:hideMark/>
          </w:tcPr>
          <w:p w14:paraId="0ABE4221" w14:textId="3DE63FDB"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0.435***</w:t>
            </w:r>
          </w:p>
        </w:tc>
        <w:tc>
          <w:tcPr>
            <w:tcW w:w="889" w:type="dxa"/>
            <w:tcBorders>
              <w:top w:val="nil"/>
              <w:left w:val="nil"/>
              <w:bottom w:val="nil"/>
              <w:right w:val="single" w:sz="4" w:space="0" w:color="auto"/>
            </w:tcBorders>
            <w:shd w:val="clear" w:color="auto" w:fill="auto"/>
            <w:noWrap/>
            <w:vAlign w:val="bottom"/>
            <w:hideMark/>
          </w:tcPr>
          <w:p w14:paraId="3FFBB318" w14:textId="4F288F13"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0.229</w:t>
            </w:r>
          </w:p>
        </w:tc>
        <w:tc>
          <w:tcPr>
            <w:tcW w:w="966" w:type="dxa"/>
            <w:tcBorders>
              <w:top w:val="nil"/>
              <w:left w:val="single" w:sz="4" w:space="0" w:color="auto"/>
              <w:bottom w:val="nil"/>
              <w:right w:val="nil"/>
            </w:tcBorders>
            <w:shd w:val="clear" w:color="auto" w:fill="auto"/>
            <w:noWrap/>
            <w:vAlign w:val="bottom"/>
            <w:hideMark/>
          </w:tcPr>
          <w:p w14:paraId="36128805" w14:textId="4EFE8659" w:rsidR="00957E43" w:rsidRPr="005E2B16" w:rsidRDefault="00207B8D"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0.579***</w:t>
            </w:r>
          </w:p>
        </w:tc>
        <w:tc>
          <w:tcPr>
            <w:tcW w:w="889" w:type="dxa"/>
            <w:tcBorders>
              <w:top w:val="nil"/>
              <w:left w:val="nil"/>
              <w:bottom w:val="nil"/>
              <w:right w:val="single" w:sz="4" w:space="0" w:color="auto"/>
            </w:tcBorders>
            <w:shd w:val="clear" w:color="auto" w:fill="auto"/>
            <w:noWrap/>
            <w:vAlign w:val="bottom"/>
            <w:hideMark/>
          </w:tcPr>
          <w:p w14:paraId="7FF8FBA8" w14:textId="7395EA4F" w:rsidR="00957E43" w:rsidRPr="005E2B16" w:rsidRDefault="00207B8D"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0.319</w:t>
            </w:r>
          </w:p>
        </w:tc>
        <w:tc>
          <w:tcPr>
            <w:tcW w:w="966" w:type="dxa"/>
            <w:tcBorders>
              <w:top w:val="nil"/>
              <w:left w:val="single" w:sz="4" w:space="0" w:color="auto"/>
              <w:bottom w:val="nil"/>
              <w:right w:val="nil"/>
            </w:tcBorders>
            <w:shd w:val="clear" w:color="auto" w:fill="auto"/>
            <w:noWrap/>
            <w:vAlign w:val="bottom"/>
            <w:hideMark/>
          </w:tcPr>
          <w:p w14:paraId="0DDB660D" w14:textId="0095BD71" w:rsidR="00957E43" w:rsidRPr="005E2B16" w:rsidRDefault="00207B8D"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0.474***</w:t>
            </w:r>
          </w:p>
        </w:tc>
        <w:tc>
          <w:tcPr>
            <w:tcW w:w="904" w:type="dxa"/>
            <w:tcBorders>
              <w:top w:val="nil"/>
              <w:left w:val="nil"/>
              <w:bottom w:val="nil"/>
              <w:right w:val="nil"/>
            </w:tcBorders>
            <w:shd w:val="clear" w:color="auto" w:fill="auto"/>
            <w:noWrap/>
            <w:vAlign w:val="bottom"/>
            <w:hideMark/>
          </w:tcPr>
          <w:p w14:paraId="34E6CAAE" w14:textId="4B1BD657" w:rsidR="00957E43" w:rsidRPr="005E2B16" w:rsidRDefault="00957E43"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w:t>
            </w:r>
            <w:r w:rsidR="00207B8D" w:rsidRPr="005E2B16">
              <w:rPr>
                <w:rFonts w:ascii="Times New Roman" w:eastAsia="Times New Roman" w:hAnsi="Times New Roman" w:cs="Times New Roman"/>
                <w:color w:val="000000"/>
                <w:sz w:val="20"/>
                <w:szCs w:val="20"/>
                <w:lang w:eastAsia="en-GB"/>
              </w:rPr>
              <w:t>.2</w:t>
            </w:r>
            <w:r w:rsidRPr="005E2B16">
              <w:rPr>
                <w:rFonts w:ascii="Times New Roman" w:eastAsia="Times New Roman" w:hAnsi="Times New Roman" w:cs="Times New Roman"/>
                <w:color w:val="000000"/>
                <w:sz w:val="20"/>
                <w:szCs w:val="20"/>
                <w:lang w:eastAsia="en-GB"/>
              </w:rPr>
              <w:t>6</w:t>
            </w:r>
            <w:r w:rsidR="00207B8D" w:rsidRPr="005E2B16">
              <w:rPr>
                <w:rFonts w:ascii="Times New Roman" w:eastAsia="Times New Roman" w:hAnsi="Times New Roman" w:cs="Times New Roman"/>
                <w:color w:val="000000"/>
                <w:sz w:val="20"/>
                <w:szCs w:val="20"/>
                <w:lang w:eastAsia="en-GB"/>
              </w:rPr>
              <w:t>2</w:t>
            </w:r>
          </w:p>
        </w:tc>
      </w:tr>
      <w:tr w:rsidR="00957E43" w:rsidRPr="005E2B16" w14:paraId="4040F128" w14:textId="77777777" w:rsidTr="00207B8D">
        <w:trPr>
          <w:trHeight w:val="300"/>
        </w:trPr>
        <w:tc>
          <w:tcPr>
            <w:tcW w:w="2268" w:type="dxa"/>
            <w:tcBorders>
              <w:top w:val="nil"/>
              <w:left w:val="nil"/>
              <w:right w:val="single" w:sz="4" w:space="0" w:color="auto"/>
            </w:tcBorders>
            <w:shd w:val="clear" w:color="auto" w:fill="auto"/>
            <w:noWrap/>
            <w:vAlign w:val="bottom"/>
            <w:hideMark/>
          </w:tcPr>
          <w:p w14:paraId="5D92C71D" w14:textId="77777777" w:rsidR="00957E43" w:rsidRPr="005E2B16" w:rsidRDefault="00957E43" w:rsidP="0097520A">
            <w:pPr>
              <w:spacing w:after="0" w:line="240" w:lineRule="auto"/>
              <w:jc w:val="right"/>
              <w:rPr>
                <w:rFonts w:ascii="Times New Roman" w:eastAsia="Times New Roman" w:hAnsi="Times New Roman" w:cs="Times New Roman"/>
                <w:color w:val="000000"/>
                <w:sz w:val="20"/>
                <w:szCs w:val="20"/>
                <w:lang w:eastAsia="en-GB"/>
              </w:rPr>
            </w:pPr>
          </w:p>
        </w:tc>
        <w:tc>
          <w:tcPr>
            <w:tcW w:w="1150" w:type="dxa"/>
            <w:tcBorders>
              <w:top w:val="nil"/>
              <w:left w:val="single" w:sz="4" w:space="0" w:color="auto"/>
              <w:right w:val="single" w:sz="4" w:space="0" w:color="auto"/>
            </w:tcBorders>
            <w:shd w:val="clear" w:color="auto" w:fill="auto"/>
            <w:noWrap/>
            <w:vAlign w:val="bottom"/>
            <w:hideMark/>
          </w:tcPr>
          <w:p w14:paraId="62ED956D"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No</w:t>
            </w:r>
          </w:p>
        </w:tc>
        <w:tc>
          <w:tcPr>
            <w:tcW w:w="966" w:type="dxa"/>
            <w:tcBorders>
              <w:top w:val="nil"/>
              <w:left w:val="single" w:sz="4" w:space="0" w:color="auto"/>
              <w:right w:val="nil"/>
            </w:tcBorders>
            <w:shd w:val="clear" w:color="auto" w:fill="auto"/>
            <w:noWrap/>
            <w:vAlign w:val="bottom"/>
            <w:hideMark/>
          </w:tcPr>
          <w:p w14:paraId="4F8A5408" w14:textId="2A32DB6A" w:rsidR="00957E43" w:rsidRPr="005E2B16" w:rsidRDefault="0083355E"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0.592</w:t>
            </w:r>
          </w:p>
        </w:tc>
        <w:tc>
          <w:tcPr>
            <w:tcW w:w="1025" w:type="dxa"/>
            <w:tcBorders>
              <w:top w:val="nil"/>
              <w:left w:val="nil"/>
              <w:right w:val="single" w:sz="4" w:space="0" w:color="auto"/>
            </w:tcBorders>
            <w:shd w:val="clear" w:color="auto" w:fill="auto"/>
            <w:noWrap/>
            <w:vAlign w:val="bottom"/>
            <w:hideMark/>
          </w:tcPr>
          <w:p w14:paraId="08C6A428" w14:textId="70465386" w:rsidR="00957E43" w:rsidRPr="005E2B16" w:rsidRDefault="0083355E"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0.447</w:t>
            </w:r>
          </w:p>
        </w:tc>
        <w:tc>
          <w:tcPr>
            <w:tcW w:w="966" w:type="dxa"/>
            <w:tcBorders>
              <w:top w:val="nil"/>
              <w:left w:val="single" w:sz="4" w:space="0" w:color="auto"/>
              <w:right w:val="nil"/>
            </w:tcBorders>
            <w:shd w:val="clear" w:color="auto" w:fill="auto"/>
            <w:noWrap/>
            <w:vAlign w:val="bottom"/>
            <w:hideMark/>
          </w:tcPr>
          <w:p w14:paraId="47943F90" w14:textId="7A159F69"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0.756</w:t>
            </w:r>
            <w:r w:rsidR="00957E43" w:rsidRPr="005E2B16">
              <w:rPr>
                <w:rFonts w:ascii="Times New Roman" w:eastAsia="Times New Roman" w:hAnsi="Times New Roman" w:cs="Times New Roman"/>
                <w:color w:val="000000"/>
                <w:sz w:val="20"/>
                <w:szCs w:val="20"/>
                <w:lang w:eastAsia="en-GB"/>
              </w:rPr>
              <w:t>*</w:t>
            </w:r>
          </w:p>
        </w:tc>
        <w:tc>
          <w:tcPr>
            <w:tcW w:w="889" w:type="dxa"/>
            <w:tcBorders>
              <w:top w:val="nil"/>
              <w:left w:val="nil"/>
              <w:right w:val="single" w:sz="4" w:space="0" w:color="auto"/>
            </w:tcBorders>
            <w:shd w:val="clear" w:color="auto" w:fill="auto"/>
            <w:noWrap/>
            <w:vAlign w:val="bottom"/>
            <w:hideMark/>
          </w:tcPr>
          <w:p w14:paraId="1D575786" w14:textId="3922800E"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0.257</w:t>
            </w:r>
          </w:p>
        </w:tc>
        <w:tc>
          <w:tcPr>
            <w:tcW w:w="966" w:type="dxa"/>
            <w:tcBorders>
              <w:top w:val="nil"/>
              <w:left w:val="single" w:sz="4" w:space="0" w:color="auto"/>
              <w:right w:val="nil"/>
            </w:tcBorders>
            <w:shd w:val="clear" w:color="auto" w:fill="auto"/>
            <w:noWrap/>
            <w:vAlign w:val="bottom"/>
            <w:hideMark/>
          </w:tcPr>
          <w:p w14:paraId="3AC56BD9" w14:textId="425D7550"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0.756</w:t>
            </w:r>
            <w:r w:rsidR="00957E43" w:rsidRPr="005E2B16">
              <w:rPr>
                <w:rFonts w:ascii="Times New Roman" w:eastAsia="Times New Roman" w:hAnsi="Times New Roman" w:cs="Times New Roman"/>
                <w:color w:val="000000"/>
                <w:sz w:val="20"/>
                <w:szCs w:val="20"/>
                <w:lang w:eastAsia="en-GB"/>
              </w:rPr>
              <w:t>*</w:t>
            </w:r>
          </w:p>
        </w:tc>
        <w:tc>
          <w:tcPr>
            <w:tcW w:w="889" w:type="dxa"/>
            <w:tcBorders>
              <w:top w:val="nil"/>
              <w:left w:val="nil"/>
              <w:right w:val="single" w:sz="4" w:space="0" w:color="auto"/>
            </w:tcBorders>
            <w:shd w:val="clear" w:color="auto" w:fill="auto"/>
            <w:noWrap/>
            <w:vAlign w:val="bottom"/>
            <w:hideMark/>
          </w:tcPr>
          <w:p w14:paraId="42C73834" w14:textId="40A174D8"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0.263</w:t>
            </w:r>
          </w:p>
        </w:tc>
        <w:tc>
          <w:tcPr>
            <w:tcW w:w="966" w:type="dxa"/>
            <w:tcBorders>
              <w:top w:val="nil"/>
              <w:left w:val="single" w:sz="4" w:space="0" w:color="auto"/>
              <w:right w:val="nil"/>
            </w:tcBorders>
            <w:shd w:val="clear" w:color="auto" w:fill="auto"/>
            <w:noWrap/>
            <w:vAlign w:val="bottom"/>
            <w:hideMark/>
          </w:tcPr>
          <w:p w14:paraId="6FC3EA98" w14:textId="073A18AB"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0.756 </w:t>
            </w:r>
            <w:r w:rsidR="00957E43" w:rsidRPr="005E2B16">
              <w:rPr>
                <w:rFonts w:ascii="Times New Roman" w:eastAsia="Times New Roman" w:hAnsi="Times New Roman" w:cs="Times New Roman"/>
                <w:color w:val="000000"/>
                <w:sz w:val="20"/>
                <w:szCs w:val="20"/>
                <w:lang w:eastAsia="en-GB"/>
              </w:rPr>
              <w:t>*</w:t>
            </w:r>
          </w:p>
        </w:tc>
        <w:tc>
          <w:tcPr>
            <w:tcW w:w="904" w:type="dxa"/>
            <w:tcBorders>
              <w:top w:val="nil"/>
              <w:left w:val="nil"/>
              <w:right w:val="nil"/>
            </w:tcBorders>
            <w:shd w:val="clear" w:color="auto" w:fill="auto"/>
            <w:noWrap/>
            <w:vAlign w:val="bottom"/>
            <w:hideMark/>
          </w:tcPr>
          <w:p w14:paraId="4A0BC2E7" w14:textId="0E0A7BF8"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0.263</w:t>
            </w:r>
          </w:p>
        </w:tc>
      </w:tr>
      <w:tr w:rsidR="00957E43" w:rsidRPr="005E2B16" w14:paraId="09AA7FDB" w14:textId="77777777" w:rsidTr="00207B8D">
        <w:trPr>
          <w:trHeight w:val="300"/>
        </w:trPr>
        <w:tc>
          <w:tcPr>
            <w:tcW w:w="2268" w:type="dxa"/>
            <w:tcBorders>
              <w:top w:val="nil"/>
              <w:left w:val="nil"/>
              <w:bottom w:val="single" w:sz="4" w:space="0" w:color="auto"/>
              <w:right w:val="single" w:sz="4" w:space="0" w:color="auto"/>
            </w:tcBorders>
            <w:shd w:val="clear" w:color="auto" w:fill="auto"/>
            <w:noWrap/>
            <w:vAlign w:val="bottom"/>
            <w:hideMark/>
          </w:tcPr>
          <w:p w14:paraId="16707230"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Export Financing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2D94911" w14:textId="77777777" w:rsidR="00957E43" w:rsidRPr="005E2B16" w:rsidRDefault="00957E43" w:rsidP="0097520A">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Yes</w:t>
            </w:r>
          </w:p>
        </w:tc>
        <w:tc>
          <w:tcPr>
            <w:tcW w:w="966" w:type="dxa"/>
            <w:tcBorders>
              <w:top w:val="nil"/>
              <w:left w:val="single" w:sz="4" w:space="0" w:color="auto"/>
              <w:bottom w:val="single" w:sz="4" w:space="0" w:color="auto"/>
              <w:right w:val="nil"/>
            </w:tcBorders>
            <w:shd w:val="clear" w:color="auto" w:fill="auto"/>
            <w:noWrap/>
            <w:vAlign w:val="bottom"/>
            <w:hideMark/>
          </w:tcPr>
          <w:p w14:paraId="14D502C5" w14:textId="03209303" w:rsidR="00957E43" w:rsidRPr="005E2B16" w:rsidRDefault="0083355E"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0.592*</w:t>
            </w:r>
            <w:r w:rsidR="00957E43" w:rsidRPr="005E2B16">
              <w:rPr>
                <w:rFonts w:ascii="Times New Roman" w:eastAsia="Times New Roman" w:hAnsi="Times New Roman" w:cs="Times New Roman"/>
                <w:color w:val="000000"/>
                <w:sz w:val="20"/>
                <w:szCs w:val="20"/>
                <w:lang w:eastAsia="en-GB"/>
              </w:rPr>
              <w:t>*</w:t>
            </w:r>
          </w:p>
        </w:tc>
        <w:tc>
          <w:tcPr>
            <w:tcW w:w="1025" w:type="dxa"/>
            <w:tcBorders>
              <w:top w:val="nil"/>
              <w:left w:val="nil"/>
              <w:bottom w:val="single" w:sz="4" w:space="0" w:color="auto"/>
              <w:right w:val="single" w:sz="4" w:space="0" w:color="auto"/>
            </w:tcBorders>
            <w:shd w:val="clear" w:color="auto" w:fill="auto"/>
            <w:noWrap/>
            <w:vAlign w:val="bottom"/>
            <w:hideMark/>
          </w:tcPr>
          <w:p w14:paraId="4AD80121" w14:textId="057C3149" w:rsidR="00957E43" w:rsidRPr="005E2B16" w:rsidRDefault="0083355E"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0.273</w:t>
            </w:r>
          </w:p>
        </w:tc>
        <w:tc>
          <w:tcPr>
            <w:tcW w:w="966" w:type="dxa"/>
            <w:tcBorders>
              <w:top w:val="nil"/>
              <w:left w:val="single" w:sz="4" w:space="0" w:color="auto"/>
              <w:bottom w:val="single" w:sz="4" w:space="0" w:color="auto"/>
              <w:right w:val="nil"/>
            </w:tcBorders>
            <w:shd w:val="clear" w:color="auto" w:fill="auto"/>
            <w:noWrap/>
            <w:vAlign w:val="bottom"/>
            <w:hideMark/>
          </w:tcPr>
          <w:p w14:paraId="5BB0265A" w14:textId="09E64081"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0.756</w:t>
            </w:r>
            <w:r w:rsidR="00957E43" w:rsidRPr="005E2B16">
              <w:rPr>
                <w:rFonts w:ascii="Times New Roman" w:eastAsia="Times New Roman" w:hAnsi="Times New Roman" w:cs="Times New Roman"/>
                <w:color w:val="000000"/>
                <w:sz w:val="20"/>
                <w:szCs w:val="20"/>
                <w:lang w:eastAsia="en-GB"/>
              </w:rPr>
              <w:t>*</w:t>
            </w:r>
          </w:p>
        </w:tc>
        <w:tc>
          <w:tcPr>
            <w:tcW w:w="889" w:type="dxa"/>
            <w:tcBorders>
              <w:top w:val="nil"/>
              <w:left w:val="nil"/>
              <w:bottom w:val="single" w:sz="4" w:space="0" w:color="auto"/>
              <w:right w:val="single" w:sz="4" w:space="0" w:color="auto"/>
            </w:tcBorders>
            <w:shd w:val="clear" w:color="auto" w:fill="auto"/>
            <w:noWrap/>
            <w:vAlign w:val="bottom"/>
            <w:hideMark/>
          </w:tcPr>
          <w:p w14:paraId="0FBC42F5" w14:textId="06103C20"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0.257</w:t>
            </w:r>
          </w:p>
        </w:tc>
        <w:tc>
          <w:tcPr>
            <w:tcW w:w="966" w:type="dxa"/>
            <w:tcBorders>
              <w:top w:val="nil"/>
              <w:left w:val="single" w:sz="4" w:space="0" w:color="auto"/>
              <w:bottom w:val="single" w:sz="4" w:space="0" w:color="auto"/>
              <w:right w:val="nil"/>
            </w:tcBorders>
            <w:shd w:val="clear" w:color="auto" w:fill="auto"/>
            <w:noWrap/>
            <w:vAlign w:val="bottom"/>
            <w:hideMark/>
          </w:tcPr>
          <w:p w14:paraId="446178EF" w14:textId="0EB2D824"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0.756</w:t>
            </w:r>
            <w:r w:rsidR="00957E43" w:rsidRPr="005E2B16">
              <w:rPr>
                <w:rFonts w:ascii="Times New Roman" w:eastAsia="Times New Roman" w:hAnsi="Times New Roman" w:cs="Times New Roman"/>
                <w:color w:val="000000"/>
                <w:sz w:val="20"/>
                <w:szCs w:val="20"/>
                <w:lang w:eastAsia="en-GB"/>
              </w:rPr>
              <w:t>*</w:t>
            </w:r>
          </w:p>
        </w:tc>
        <w:tc>
          <w:tcPr>
            <w:tcW w:w="889" w:type="dxa"/>
            <w:tcBorders>
              <w:top w:val="nil"/>
              <w:left w:val="nil"/>
              <w:bottom w:val="single" w:sz="4" w:space="0" w:color="auto"/>
              <w:right w:val="single" w:sz="4" w:space="0" w:color="auto"/>
            </w:tcBorders>
            <w:shd w:val="clear" w:color="auto" w:fill="auto"/>
            <w:noWrap/>
            <w:vAlign w:val="bottom"/>
            <w:hideMark/>
          </w:tcPr>
          <w:p w14:paraId="6A69510C" w14:textId="3AC51380"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0.248</w:t>
            </w:r>
          </w:p>
        </w:tc>
        <w:tc>
          <w:tcPr>
            <w:tcW w:w="966" w:type="dxa"/>
            <w:tcBorders>
              <w:top w:val="nil"/>
              <w:left w:val="single" w:sz="4" w:space="0" w:color="auto"/>
              <w:bottom w:val="single" w:sz="4" w:space="0" w:color="auto"/>
              <w:right w:val="nil"/>
            </w:tcBorders>
            <w:shd w:val="clear" w:color="auto" w:fill="auto"/>
            <w:noWrap/>
            <w:vAlign w:val="bottom"/>
            <w:hideMark/>
          </w:tcPr>
          <w:p w14:paraId="65572C99" w14:textId="44ACF0A6"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0.756 </w:t>
            </w:r>
            <w:r w:rsidR="00957E43" w:rsidRPr="005E2B16">
              <w:rPr>
                <w:rFonts w:ascii="Times New Roman" w:eastAsia="Times New Roman" w:hAnsi="Times New Roman" w:cs="Times New Roman"/>
                <w:color w:val="000000"/>
                <w:sz w:val="20"/>
                <w:szCs w:val="20"/>
                <w:lang w:eastAsia="en-GB"/>
              </w:rPr>
              <w:t>*</w:t>
            </w:r>
          </w:p>
        </w:tc>
        <w:tc>
          <w:tcPr>
            <w:tcW w:w="904" w:type="dxa"/>
            <w:tcBorders>
              <w:top w:val="nil"/>
              <w:left w:val="nil"/>
              <w:bottom w:val="single" w:sz="4" w:space="0" w:color="auto"/>
              <w:right w:val="nil"/>
            </w:tcBorders>
            <w:shd w:val="clear" w:color="auto" w:fill="auto"/>
            <w:noWrap/>
            <w:vAlign w:val="bottom"/>
            <w:hideMark/>
          </w:tcPr>
          <w:p w14:paraId="5C56D15B" w14:textId="3C36E880" w:rsidR="00957E43" w:rsidRPr="005E2B16" w:rsidRDefault="008E416B" w:rsidP="00575A91">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0.317</w:t>
            </w:r>
          </w:p>
        </w:tc>
      </w:tr>
    </w:tbl>
    <w:p w14:paraId="6CF7A855" w14:textId="4E489040" w:rsidR="00957E43" w:rsidRPr="005E2B16" w:rsidRDefault="00957E43" w:rsidP="00957E43">
      <w:pPr>
        <w:spacing w:after="0" w:line="240" w:lineRule="auto"/>
        <w:jc w:val="center"/>
        <w:rPr>
          <w:rFonts w:ascii="Times New Roman" w:hAnsi="Times New Roman" w:cs="Times New Roman"/>
          <w:sz w:val="20"/>
          <w:szCs w:val="20"/>
          <w:lang w:val="en-US"/>
        </w:rPr>
      </w:pPr>
      <w:r w:rsidRPr="005E2B16">
        <w:rPr>
          <w:rFonts w:ascii="Times New Roman" w:hAnsi="Times New Roman" w:cs="Times New Roman"/>
          <w:sz w:val="20"/>
          <w:szCs w:val="20"/>
          <w:lang w:val="en-US"/>
        </w:rPr>
        <w:t>Note: The subscript *, ** and *** imply significance levels at 1, 5 and 10 percent respectively. He variables used to determine this statistics are in their log-linear form. This suggest</w:t>
      </w:r>
      <w:r w:rsidR="00147CBE" w:rsidRPr="005E2B16">
        <w:rPr>
          <w:rFonts w:ascii="Times New Roman" w:hAnsi="Times New Roman" w:cs="Times New Roman"/>
          <w:sz w:val="20"/>
          <w:szCs w:val="20"/>
          <w:lang w:val="en-US"/>
        </w:rPr>
        <w:t>s</w:t>
      </w:r>
      <w:r w:rsidRPr="005E2B16">
        <w:rPr>
          <w:rFonts w:ascii="Times New Roman" w:hAnsi="Times New Roman" w:cs="Times New Roman"/>
          <w:sz w:val="20"/>
          <w:szCs w:val="20"/>
          <w:lang w:val="en-US"/>
        </w:rPr>
        <w:t xml:space="preserve"> that any coefficient in the Table will be interpreted as percentage change.</w:t>
      </w:r>
    </w:p>
    <w:p w14:paraId="58894E8B" w14:textId="77777777" w:rsidR="00565BB7" w:rsidRPr="005E2B16" w:rsidRDefault="00565BB7" w:rsidP="00A23667">
      <w:pPr>
        <w:spacing w:after="0" w:line="240" w:lineRule="auto"/>
        <w:jc w:val="both"/>
        <w:rPr>
          <w:rFonts w:ascii="Times New Roman" w:hAnsi="Times New Roman" w:cs="Times New Roman"/>
          <w:sz w:val="24"/>
          <w:szCs w:val="24"/>
          <w:lang w:val="en-US"/>
        </w:rPr>
      </w:pPr>
    </w:p>
    <w:p w14:paraId="6AC199FD" w14:textId="77777777" w:rsidR="005E2B16" w:rsidRPr="005E2B16" w:rsidRDefault="005E2B16" w:rsidP="005E2B16">
      <w:pPr>
        <w:spacing w:after="0" w:line="240" w:lineRule="auto"/>
        <w:jc w:val="both"/>
        <w:rPr>
          <w:rFonts w:ascii="Times New Roman" w:hAnsi="Times New Roman" w:cs="Times New Roman"/>
          <w:sz w:val="24"/>
          <w:szCs w:val="24"/>
          <w:lang w:val="en-US"/>
        </w:rPr>
      </w:pPr>
      <w:r w:rsidRPr="00A55EC9">
        <w:rPr>
          <w:rFonts w:ascii="Times New Roman" w:hAnsi="Times New Roman" w:cs="Times New Roman"/>
          <w:sz w:val="24"/>
          <w:szCs w:val="24"/>
          <w:lang w:val="en-US"/>
        </w:rPr>
        <w:lastRenderedPageBreak/>
        <w:t>The second sensitivity analysis involves the inclusion of other covariates in our analysis to see the possible effect on our results. We prefer the length of years that the firm has been in the</w:t>
      </w:r>
      <w:r w:rsidRPr="005E2B16">
        <w:rPr>
          <w:rFonts w:ascii="Times New Roman" w:hAnsi="Times New Roman" w:cs="Times New Roman"/>
          <w:sz w:val="24"/>
          <w:szCs w:val="24"/>
          <w:lang w:val="en-US"/>
        </w:rPr>
        <w:t xml:space="preserve"> particular business and the location of the firm (i.e. whether the firm is located in the capital city and otherwise) because most of the incentives that are granted by the Cameroonian government are tied to specific length of time, which indicates that the likelihood of a firm being a participant in any of the groups will be informed by their length of years of being involved in a particular manufacturing sector. For the location of the firm, we argue that the chances of firms located in the capital city to be a participant is higher than if they were not located in the capital city. Preliminary checks are also conducted to ascertain the quality of our matching when using these variables (these results are not also reported but are available upon request). </w:t>
      </w:r>
    </w:p>
    <w:p w14:paraId="203D790C" w14:textId="77777777" w:rsidR="005E2B16" w:rsidRPr="005E2B16" w:rsidRDefault="005E2B16" w:rsidP="005E2B16">
      <w:pPr>
        <w:spacing w:after="0" w:line="240" w:lineRule="auto"/>
        <w:jc w:val="both"/>
        <w:rPr>
          <w:rFonts w:ascii="Times New Roman" w:hAnsi="Times New Roman" w:cs="Times New Roman"/>
          <w:sz w:val="24"/>
          <w:szCs w:val="24"/>
          <w:lang w:val="en-US"/>
        </w:rPr>
      </w:pPr>
    </w:p>
    <w:p w14:paraId="39FEC36E" w14:textId="0394D1AD" w:rsidR="005E2B16" w:rsidRPr="00F84B78" w:rsidRDefault="005E2B16" w:rsidP="00F84B78">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The result</w:t>
      </w:r>
      <w:r w:rsidR="00F84B78">
        <w:rPr>
          <w:rFonts w:ascii="Times New Roman" w:hAnsi="Times New Roman" w:cs="Times New Roman"/>
          <w:sz w:val="24"/>
          <w:szCs w:val="24"/>
          <w:lang w:val="en-US"/>
        </w:rPr>
        <w:t>s</w:t>
      </w:r>
      <w:r w:rsidRPr="005E2B16">
        <w:rPr>
          <w:rFonts w:ascii="Times New Roman" w:hAnsi="Times New Roman" w:cs="Times New Roman"/>
          <w:sz w:val="24"/>
          <w:szCs w:val="24"/>
          <w:lang w:val="en-US"/>
        </w:rPr>
        <w:t xml:space="preserve"> of the sensitivity analysis are reported in Table 5.5. The signs and significant value of the ATT estimates for the participants in the import exemption scheme is not significant, but positive in all the columns. This result tend</w:t>
      </w:r>
      <w:r w:rsidR="00F84B78">
        <w:rPr>
          <w:rFonts w:ascii="Times New Roman" w:hAnsi="Times New Roman" w:cs="Times New Roman"/>
          <w:sz w:val="24"/>
          <w:szCs w:val="24"/>
          <w:lang w:val="en-US"/>
        </w:rPr>
        <w:t>s</w:t>
      </w:r>
      <w:r w:rsidRPr="005E2B16">
        <w:rPr>
          <w:rFonts w:ascii="Times New Roman" w:hAnsi="Times New Roman" w:cs="Times New Roman"/>
          <w:sz w:val="24"/>
          <w:szCs w:val="24"/>
          <w:lang w:val="en-US"/>
        </w:rPr>
        <w:t xml:space="preserve"> to support the findings from Table 5.3. However, when considering the impact of the other forms of incentive - like the profit tax exemption and the export financing - the results are found to be consistently positive and significant. </w:t>
      </w:r>
    </w:p>
    <w:p w14:paraId="7D9C3590" w14:textId="77777777" w:rsidR="005E2B16" w:rsidRPr="005E2B16" w:rsidRDefault="005E2B16" w:rsidP="005E2B16">
      <w:pPr>
        <w:spacing w:after="0" w:line="240" w:lineRule="auto"/>
        <w:jc w:val="center"/>
        <w:rPr>
          <w:rFonts w:ascii="Times New Roman" w:hAnsi="Times New Roman" w:cs="Times New Roman"/>
          <w:b/>
          <w:bCs/>
          <w:sz w:val="20"/>
          <w:szCs w:val="20"/>
        </w:rPr>
      </w:pPr>
    </w:p>
    <w:p w14:paraId="6CBFD703" w14:textId="77777777" w:rsidR="005E2B16" w:rsidRPr="005E2B16" w:rsidRDefault="005E2B16" w:rsidP="00F84B78">
      <w:pPr>
        <w:spacing w:after="0" w:line="240" w:lineRule="auto"/>
        <w:rPr>
          <w:rFonts w:ascii="Times New Roman" w:hAnsi="Times New Roman" w:cs="Times New Roman"/>
          <w:b/>
          <w:bCs/>
          <w:sz w:val="20"/>
          <w:szCs w:val="20"/>
        </w:rPr>
      </w:pPr>
    </w:p>
    <w:p w14:paraId="16A8781E" w14:textId="6EC098AA" w:rsidR="005E2B16" w:rsidRPr="005E2B16" w:rsidRDefault="00795790" w:rsidP="005E2B16">
      <w:pPr>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Table 5</w:t>
      </w:r>
      <w:r w:rsidR="005E2B16" w:rsidRPr="005E2B16">
        <w:rPr>
          <w:rFonts w:ascii="Times New Roman" w:hAnsi="Times New Roman" w:cs="Times New Roman"/>
          <w:b/>
          <w:bCs/>
          <w:sz w:val="20"/>
          <w:szCs w:val="20"/>
        </w:rPr>
        <w:t xml:space="preserve">.5: Sensitivity Check 2 - Average Treatment Effect for Productivity </w:t>
      </w:r>
    </w:p>
    <w:tbl>
      <w:tblPr>
        <w:tblW w:w="10989" w:type="dxa"/>
        <w:tblInd w:w="-993" w:type="dxa"/>
        <w:tblLook w:val="04A0" w:firstRow="1" w:lastRow="0" w:firstColumn="1" w:lastColumn="0" w:noHBand="0" w:noVBand="1"/>
      </w:tblPr>
      <w:tblGrid>
        <w:gridCol w:w="2268"/>
        <w:gridCol w:w="1150"/>
        <w:gridCol w:w="966"/>
        <w:gridCol w:w="1025"/>
        <w:gridCol w:w="966"/>
        <w:gridCol w:w="889"/>
        <w:gridCol w:w="966"/>
        <w:gridCol w:w="889"/>
        <w:gridCol w:w="966"/>
        <w:gridCol w:w="904"/>
      </w:tblGrid>
      <w:tr w:rsidR="005E2B16" w:rsidRPr="005E2B16" w14:paraId="1321CD7A" w14:textId="77777777" w:rsidTr="005E2B16">
        <w:trPr>
          <w:trHeight w:val="300"/>
        </w:trPr>
        <w:tc>
          <w:tcPr>
            <w:tcW w:w="2268" w:type="dxa"/>
            <w:tcBorders>
              <w:top w:val="single" w:sz="4" w:space="0" w:color="auto"/>
              <w:left w:val="nil"/>
              <w:right w:val="single" w:sz="4" w:space="0" w:color="auto"/>
            </w:tcBorders>
            <w:shd w:val="clear" w:color="auto" w:fill="auto"/>
            <w:noWrap/>
            <w:vAlign w:val="bottom"/>
            <w:hideMark/>
          </w:tcPr>
          <w:p w14:paraId="5814CB46" w14:textId="77777777" w:rsidR="005E2B16" w:rsidRPr="005E2B16" w:rsidRDefault="005E2B16" w:rsidP="005E2B16">
            <w:pPr>
              <w:spacing w:after="0" w:line="240" w:lineRule="auto"/>
              <w:rPr>
                <w:rFonts w:ascii="Times New Roman" w:eastAsia="Times New Roman" w:hAnsi="Times New Roman" w:cs="Times New Roman"/>
                <w:sz w:val="20"/>
                <w:szCs w:val="20"/>
                <w:lang w:eastAsia="en-GB"/>
              </w:rPr>
            </w:pPr>
          </w:p>
        </w:tc>
        <w:tc>
          <w:tcPr>
            <w:tcW w:w="1150" w:type="dxa"/>
            <w:tcBorders>
              <w:top w:val="single" w:sz="4" w:space="0" w:color="auto"/>
              <w:left w:val="single" w:sz="4" w:space="0" w:color="auto"/>
              <w:right w:val="single" w:sz="4" w:space="0" w:color="auto"/>
            </w:tcBorders>
            <w:shd w:val="clear" w:color="auto" w:fill="auto"/>
            <w:noWrap/>
            <w:vAlign w:val="bottom"/>
            <w:hideMark/>
          </w:tcPr>
          <w:p w14:paraId="30C714FF" w14:textId="77777777" w:rsidR="005E2B16" w:rsidRPr="005E2B16" w:rsidRDefault="005E2B16" w:rsidP="005E2B16">
            <w:pPr>
              <w:spacing w:after="0" w:line="240" w:lineRule="auto"/>
              <w:rPr>
                <w:rFonts w:ascii="Times New Roman" w:eastAsia="Times New Roman" w:hAnsi="Times New Roman" w:cs="Times New Roman"/>
                <w:sz w:val="20"/>
                <w:szCs w:val="20"/>
                <w:lang w:eastAsia="en-GB"/>
              </w:rPr>
            </w:pPr>
          </w:p>
        </w:tc>
        <w:tc>
          <w:tcPr>
            <w:tcW w:w="1991" w:type="dxa"/>
            <w:gridSpan w:val="2"/>
            <w:tcBorders>
              <w:top w:val="single" w:sz="4" w:space="0" w:color="auto"/>
              <w:left w:val="single" w:sz="4" w:space="0" w:color="auto"/>
              <w:right w:val="single" w:sz="4" w:space="0" w:color="auto"/>
            </w:tcBorders>
            <w:shd w:val="clear" w:color="auto" w:fill="auto"/>
            <w:noWrap/>
            <w:vAlign w:val="bottom"/>
            <w:hideMark/>
          </w:tcPr>
          <w:p w14:paraId="607D48EF"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Nearest Neighbour Matching</w:t>
            </w:r>
          </w:p>
        </w:tc>
        <w:tc>
          <w:tcPr>
            <w:tcW w:w="1855" w:type="dxa"/>
            <w:gridSpan w:val="2"/>
            <w:tcBorders>
              <w:top w:val="single" w:sz="4" w:space="0" w:color="auto"/>
              <w:left w:val="single" w:sz="4" w:space="0" w:color="auto"/>
              <w:right w:val="single" w:sz="4" w:space="0" w:color="auto"/>
            </w:tcBorders>
            <w:shd w:val="clear" w:color="auto" w:fill="auto"/>
            <w:noWrap/>
            <w:vAlign w:val="bottom"/>
            <w:hideMark/>
          </w:tcPr>
          <w:p w14:paraId="4163F1E9"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Kernel Matching</w:t>
            </w:r>
          </w:p>
        </w:tc>
        <w:tc>
          <w:tcPr>
            <w:tcW w:w="1855" w:type="dxa"/>
            <w:gridSpan w:val="2"/>
            <w:tcBorders>
              <w:top w:val="single" w:sz="4" w:space="0" w:color="auto"/>
              <w:left w:val="single" w:sz="4" w:space="0" w:color="auto"/>
              <w:right w:val="single" w:sz="4" w:space="0" w:color="auto"/>
            </w:tcBorders>
            <w:shd w:val="clear" w:color="auto" w:fill="auto"/>
            <w:noWrap/>
            <w:vAlign w:val="bottom"/>
            <w:hideMark/>
          </w:tcPr>
          <w:p w14:paraId="32443F80"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Radius Matching</w:t>
            </w:r>
          </w:p>
        </w:tc>
        <w:tc>
          <w:tcPr>
            <w:tcW w:w="1870" w:type="dxa"/>
            <w:gridSpan w:val="2"/>
            <w:tcBorders>
              <w:top w:val="single" w:sz="4" w:space="0" w:color="auto"/>
              <w:left w:val="single" w:sz="4" w:space="0" w:color="auto"/>
              <w:right w:val="nil"/>
            </w:tcBorders>
            <w:shd w:val="clear" w:color="auto" w:fill="auto"/>
            <w:noWrap/>
            <w:vAlign w:val="bottom"/>
            <w:hideMark/>
          </w:tcPr>
          <w:p w14:paraId="7F44F2C1"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Stratified Matching</w:t>
            </w:r>
          </w:p>
        </w:tc>
      </w:tr>
      <w:tr w:rsidR="005E2B16" w:rsidRPr="005E2B16" w14:paraId="126D6AA7" w14:textId="77777777" w:rsidTr="005E2B16">
        <w:trPr>
          <w:trHeight w:val="300"/>
        </w:trPr>
        <w:tc>
          <w:tcPr>
            <w:tcW w:w="2268" w:type="dxa"/>
            <w:tcBorders>
              <w:top w:val="nil"/>
              <w:left w:val="nil"/>
              <w:bottom w:val="single" w:sz="4" w:space="0" w:color="auto"/>
              <w:right w:val="single" w:sz="4" w:space="0" w:color="auto"/>
            </w:tcBorders>
            <w:shd w:val="clear" w:color="auto" w:fill="auto"/>
            <w:noWrap/>
            <w:vAlign w:val="bottom"/>
            <w:hideMark/>
          </w:tcPr>
          <w:p w14:paraId="12D48270"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Treatment</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D9CB03E"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Bias Adjustment</w:t>
            </w:r>
          </w:p>
        </w:tc>
        <w:tc>
          <w:tcPr>
            <w:tcW w:w="966" w:type="dxa"/>
            <w:tcBorders>
              <w:top w:val="nil"/>
              <w:left w:val="single" w:sz="4" w:space="0" w:color="auto"/>
              <w:bottom w:val="single" w:sz="4" w:space="0" w:color="auto"/>
              <w:right w:val="nil"/>
            </w:tcBorders>
            <w:shd w:val="clear" w:color="auto" w:fill="auto"/>
            <w:noWrap/>
            <w:vAlign w:val="bottom"/>
            <w:hideMark/>
          </w:tcPr>
          <w:p w14:paraId="7F222525"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1025" w:type="dxa"/>
            <w:tcBorders>
              <w:top w:val="nil"/>
              <w:left w:val="nil"/>
              <w:bottom w:val="single" w:sz="4" w:space="0" w:color="auto"/>
              <w:right w:val="single" w:sz="4" w:space="0" w:color="auto"/>
            </w:tcBorders>
            <w:shd w:val="clear" w:color="auto" w:fill="auto"/>
            <w:noWrap/>
            <w:vAlign w:val="bottom"/>
            <w:hideMark/>
          </w:tcPr>
          <w:p w14:paraId="5BF7E890"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c>
          <w:tcPr>
            <w:tcW w:w="966" w:type="dxa"/>
            <w:tcBorders>
              <w:top w:val="nil"/>
              <w:left w:val="single" w:sz="4" w:space="0" w:color="auto"/>
              <w:bottom w:val="single" w:sz="4" w:space="0" w:color="auto"/>
              <w:right w:val="nil"/>
            </w:tcBorders>
            <w:shd w:val="clear" w:color="auto" w:fill="auto"/>
            <w:noWrap/>
            <w:vAlign w:val="bottom"/>
            <w:hideMark/>
          </w:tcPr>
          <w:p w14:paraId="50A1BA59"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889" w:type="dxa"/>
            <w:tcBorders>
              <w:top w:val="nil"/>
              <w:left w:val="nil"/>
              <w:bottom w:val="single" w:sz="4" w:space="0" w:color="auto"/>
              <w:right w:val="single" w:sz="4" w:space="0" w:color="auto"/>
            </w:tcBorders>
            <w:shd w:val="clear" w:color="auto" w:fill="auto"/>
            <w:noWrap/>
            <w:vAlign w:val="bottom"/>
            <w:hideMark/>
          </w:tcPr>
          <w:p w14:paraId="6776C098"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c>
          <w:tcPr>
            <w:tcW w:w="966" w:type="dxa"/>
            <w:tcBorders>
              <w:top w:val="nil"/>
              <w:left w:val="single" w:sz="4" w:space="0" w:color="auto"/>
              <w:bottom w:val="single" w:sz="4" w:space="0" w:color="auto"/>
              <w:right w:val="nil"/>
            </w:tcBorders>
            <w:shd w:val="clear" w:color="auto" w:fill="auto"/>
            <w:noWrap/>
            <w:vAlign w:val="bottom"/>
            <w:hideMark/>
          </w:tcPr>
          <w:p w14:paraId="51C7865F"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889" w:type="dxa"/>
            <w:tcBorders>
              <w:top w:val="nil"/>
              <w:left w:val="nil"/>
              <w:bottom w:val="single" w:sz="4" w:space="0" w:color="auto"/>
              <w:right w:val="single" w:sz="4" w:space="0" w:color="auto"/>
            </w:tcBorders>
            <w:shd w:val="clear" w:color="auto" w:fill="auto"/>
            <w:noWrap/>
            <w:vAlign w:val="bottom"/>
            <w:hideMark/>
          </w:tcPr>
          <w:p w14:paraId="6E7ACDB7"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c>
          <w:tcPr>
            <w:tcW w:w="966" w:type="dxa"/>
            <w:tcBorders>
              <w:top w:val="nil"/>
              <w:left w:val="single" w:sz="4" w:space="0" w:color="auto"/>
              <w:bottom w:val="single" w:sz="4" w:space="0" w:color="auto"/>
              <w:right w:val="nil"/>
            </w:tcBorders>
            <w:shd w:val="clear" w:color="auto" w:fill="auto"/>
            <w:noWrap/>
            <w:vAlign w:val="bottom"/>
            <w:hideMark/>
          </w:tcPr>
          <w:p w14:paraId="7832D233"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ATT</w:t>
            </w:r>
          </w:p>
        </w:tc>
        <w:tc>
          <w:tcPr>
            <w:tcW w:w="904" w:type="dxa"/>
            <w:tcBorders>
              <w:top w:val="nil"/>
              <w:left w:val="nil"/>
              <w:bottom w:val="single" w:sz="4" w:space="0" w:color="auto"/>
              <w:right w:val="nil"/>
            </w:tcBorders>
            <w:shd w:val="clear" w:color="auto" w:fill="auto"/>
            <w:noWrap/>
            <w:vAlign w:val="bottom"/>
            <w:hideMark/>
          </w:tcPr>
          <w:p w14:paraId="50B6DDF2"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Std. Err.</w:t>
            </w:r>
          </w:p>
        </w:tc>
      </w:tr>
      <w:tr w:rsidR="005E2B16" w:rsidRPr="005E2B16" w14:paraId="26B274BF" w14:textId="77777777" w:rsidTr="005E2B16">
        <w:trPr>
          <w:trHeight w:val="300"/>
        </w:trPr>
        <w:tc>
          <w:tcPr>
            <w:tcW w:w="2268" w:type="dxa"/>
            <w:tcBorders>
              <w:top w:val="single" w:sz="4" w:space="0" w:color="auto"/>
              <w:left w:val="nil"/>
              <w:bottom w:val="nil"/>
              <w:right w:val="single" w:sz="4" w:space="0" w:color="auto"/>
            </w:tcBorders>
            <w:shd w:val="clear" w:color="auto" w:fill="auto"/>
            <w:noWrap/>
            <w:vAlign w:val="bottom"/>
            <w:hideMark/>
          </w:tcPr>
          <w:p w14:paraId="0AA14510"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p>
        </w:tc>
        <w:tc>
          <w:tcPr>
            <w:tcW w:w="1150" w:type="dxa"/>
            <w:tcBorders>
              <w:top w:val="single" w:sz="4" w:space="0" w:color="auto"/>
              <w:left w:val="single" w:sz="4" w:space="0" w:color="auto"/>
              <w:bottom w:val="nil"/>
              <w:right w:val="single" w:sz="4" w:space="0" w:color="auto"/>
            </w:tcBorders>
            <w:shd w:val="clear" w:color="auto" w:fill="auto"/>
            <w:noWrap/>
            <w:vAlign w:val="bottom"/>
            <w:hideMark/>
          </w:tcPr>
          <w:p w14:paraId="67E339B9"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No</w:t>
            </w:r>
          </w:p>
        </w:tc>
        <w:tc>
          <w:tcPr>
            <w:tcW w:w="966" w:type="dxa"/>
            <w:tcBorders>
              <w:top w:val="single" w:sz="4" w:space="0" w:color="auto"/>
              <w:left w:val="single" w:sz="4" w:space="0" w:color="auto"/>
              <w:bottom w:val="nil"/>
              <w:right w:val="nil"/>
            </w:tcBorders>
            <w:shd w:val="clear" w:color="auto" w:fill="auto"/>
            <w:noWrap/>
            <w:vAlign w:val="bottom"/>
            <w:hideMark/>
          </w:tcPr>
          <w:p w14:paraId="132A4FEB"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0.443</w:t>
            </w:r>
          </w:p>
        </w:tc>
        <w:tc>
          <w:tcPr>
            <w:tcW w:w="1025" w:type="dxa"/>
            <w:tcBorders>
              <w:top w:val="single" w:sz="4" w:space="0" w:color="auto"/>
              <w:left w:val="nil"/>
              <w:bottom w:val="nil"/>
              <w:right w:val="single" w:sz="4" w:space="0" w:color="auto"/>
            </w:tcBorders>
            <w:shd w:val="clear" w:color="auto" w:fill="auto"/>
            <w:noWrap/>
            <w:vAlign w:val="bottom"/>
            <w:hideMark/>
          </w:tcPr>
          <w:p w14:paraId="59489873"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0.380</w:t>
            </w:r>
          </w:p>
        </w:tc>
        <w:tc>
          <w:tcPr>
            <w:tcW w:w="966" w:type="dxa"/>
            <w:tcBorders>
              <w:top w:val="single" w:sz="4" w:space="0" w:color="auto"/>
              <w:left w:val="single" w:sz="4" w:space="0" w:color="auto"/>
              <w:bottom w:val="nil"/>
              <w:right w:val="nil"/>
            </w:tcBorders>
            <w:shd w:val="clear" w:color="auto" w:fill="auto"/>
            <w:noWrap/>
            <w:vAlign w:val="bottom"/>
            <w:hideMark/>
          </w:tcPr>
          <w:p w14:paraId="510D68D1"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0.341</w:t>
            </w:r>
          </w:p>
        </w:tc>
        <w:tc>
          <w:tcPr>
            <w:tcW w:w="889" w:type="dxa"/>
            <w:tcBorders>
              <w:top w:val="single" w:sz="4" w:space="0" w:color="auto"/>
              <w:left w:val="nil"/>
              <w:bottom w:val="nil"/>
              <w:right w:val="single" w:sz="4" w:space="0" w:color="auto"/>
            </w:tcBorders>
            <w:shd w:val="clear" w:color="auto" w:fill="auto"/>
            <w:noWrap/>
            <w:vAlign w:val="bottom"/>
            <w:hideMark/>
          </w:tcPr>
          <w:p w14:paraId="0A7AE921"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0.820</w:t>
            </w:r>
          </w:p>
        </w:tc>
        <w:tc>
          <w:tcPr>
            <w:tcW w:w="966" w:type="dxa"/>
            <w:tcBorders>
              <w:top w:val="single" w:sz="4" w:space="0" w:color="auto"/>
              <w:left w:val="single" w:sz="4" w:space="0" w:color="auto"/>
              <w:bottom w:val="nil"/>
              <w:right w:val="nil"/>
            </w:tcBorders>
            <w:shd w:val="clear" w:color="auto" w:fill="auto"/>
            <w:noWrap/>
            <w:vAlign w:val="bottom"/>
            <w:hideMark/>
          </w:tcPr>
          <w:p w14:paraId="284E4A3E"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0.983</w:t>
            </w:r>
          </w:p>
        </w:tc>
        <w:tc>
          <w:tcPr>
            <w:tcW w:w="889" w:type="dxa"/>
            <w:tcBorders>
              <w:top w:val="single" w:sz="4" w:space="0" w:color="auto"/>
              <w:left w:val="nil"/>
              <w:bottom w:val="nil"/>
              <w:right w:val="single" w:sz="4" w:space="0" w:color="auto"/>
            </w:tcBorders>
            <w:shd w:val="clear" w:color="auto" w:fill="auto"/>
            <w:noWrap/>
            <w:vAlign w:val="bottom"/>
            <w:hideMark/>
          </w:tcPr>
          <w:p w14:paraId="5E82E94A"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0.730</w:t>
            </w:r>
          </w:p>
        </w:tc>
        <w:tc>
          <w:tcPr>
            <w:tcW w:w="966" w:type="dxa"/>
            <w:tcBorders>
              <w:top w:val="single" w:sz="4" w:space="0" w:color="auto"/>
              <w:left w:val="single" w:sz="4" w:space="0" w:color="auto"/>
              <w:bottom w:val="nil"/>
              <w:right w:val="nil"/>
            </w:tcBorders>
            <w:shd w:val="clear" w:color="auto" w:fill="auto"/>
            <w:noWrap/>
            <w:vAlign w:val="bottom"/>
            <w:hideMark/>
          </w:tcPr>
          <w:p w14:paraId="5F3CA1A2"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0.341</w:t>
            </w:r>
          </w:p>
        </w:tc>
        <w:tc>
          <w:tcPr>
            <w:tcW w:w="904" w:type="dxa"/>
            <w:tcBorders>
              <w:top w:val="single" w:sz="4" w:space="0" w:color="auto"/>
              <w:left w:val="nil"/>
              <w:bottom w:val="nil"/>
              <w:right w:val="nil"/>
            </w:tcBorders>
            <w:shd w:val="clear" w:color="auto" w:fill="auto"/>
            <w:noWrap/>
            <w:vAlign w:val="bottom"/>
            <w:hideMark/>
          </w:tcPr>
          <w:p w14:paraId="3411B751"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0.380</w:t>
            </w:r>
          </w:p>
        </w:tc>
      </w:tr>
      <w:tr w:rsidR="005E2B16" w:rsidRPr="005E2B16" w14:paraId="668DE1E0" w14:textId="77777777" w:rsidTr="005E2B16">
        <w:trPr>
          <w:trHeight w:val="300"/>
        </w:trPr>
        <w:tc>
          <w:tcPr>
            <w:tcW w:w="2268" w:type="dxa"/>
            <w:tcBorders>
              <w:top w:val="nil"/>
              <w:left w:val="nil"/>
              <w:bottom w:val="nil"/>
              <w:right w:val="single" w:sz="4" w:space="0" w:color="auto"/>
            </w:tcBorders>
            <w:shd w:val="clear" w:color="auto" w:fill="auto"/>
            <w:noWrap/>
            <w:vAlign w:val="bottom"/>
            <w:hideMark/>
          </w:tcPr>
          <w:p w14:paraId="27358075"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Import Duty Exemption</w:t>
            </w:r>
          </w:p>
        </w:tc>
        <w:tc>
          <w:tcPr>
            <w:tcW w:w="1150" w:type="dxa"/>
            <w:tcBorders>
              <w:top w:val="nil"/>
              <w:left w:val="single" w:sz="4" w:space="0" w:color="auto"/>
              <w:bottom w:val="nil"/>
              <w:right w:val="single" w:sz="4" w:space="0" w:color="auto"/>
            </w:tcBorders>
            <w:shd w:val="clear" w:color="auto" w:fill="auto"/>
            <w:noWrap/>
            <w:vAlign w:val="bottom"/>
            <w:hideMark/>
          </w:tcPr>
          <w:p w14:paraId="4A8DBD67"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Yes</w:t>
            </w:r>
          </w:p>
        </w:tc>
        <w:tc>
          <w:tcPr>
            <w:tcW w:w="966" w:type="dxa"/>
            <w:tcBorders>
              <w:top w:val="nil"/>
              <w:left w:val="single" w:sz="4" w:space="0" w:color="auto"/>
              <w:bottom w:val="nil"/>
              <w:right w:val="nil"/>
            </w:tcBorders>
            <w:shd w:val="clear" w:color="auto" w:fill="auto"/>
            <w:noWrap/>
            <w:vAlign w:val="bottom"/>
            <w:hideMark/>
          </w:tcPr>
          <w:p w14:paraId="3AA7FB66"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0.381</w:t>
            </w:r>
          </w:p>
        </w:tc>
        <w:tc>
          <w:tcPr>
            <w:tcW w:w="1025" w:type="dxa"/>
            <w:tcBorders>
              <w:top w:val="nil"/>
              <w:left w:val="nil"/>
              <w:bottom w:val="nil"/>
              <w:right w:val="single" w:sz="4" w:space="0" w:color="auto"/>
            </w:tcBorders>
            <w:shd w:val="clear" w:color="auto" w:fill="auto"/>
            <w:noWrap/>
            <w:vAlign w:val="bottom"/>
            <w:hideMark/>
          </w:tcPr>
          <w:p w14:paraId="59644FDF"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0.330</w:t>
            </w:r>
          </w:p>
        </w:tc>
        <w:tc>
          <w:tcPr>
            <w:tcW w:w="966" w:type="dxa"/>
            <w:tcBorders>
              <w:top w:val="nil"/>
              <w:left w:val="single" w:sz="4" w:space="0" w:color="auto"/>
              <w:bottom w:val="nil"/>
              <w:right w:val="nil"/>
            </w:tcBorders>
            <w:shd w:val="clear" w:color="auto" w:fill="auto"/>
            <w:noWrap/>
            <w:vAlign w:val="bottom"/>
            <w:hideMark/>
          </w:tcPr>
          <w:p w14:paraId="7858F35A"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0.341</w:t>
            </w:r>
          </w:p>
        </w:tc>
        <w:tc>
          <w:tcPr>
            <w:tcW w:w="889" w:type="dxa"/>
            <w:tcBorders>
              <w:top w:val="nil"/>
              <w:left w:val="nil"/>
              <w:bottom w:val="nil"/>
              <w:right w:val="single" w:sz="4" w:space="0" w:color="auto"/>
            </w:tcBorders>
            <w:shd w:val="clear" w:color="auto" w:fill="auto"/>
            <w:noWrap/>
            <w:vAlign w:val="bottom"/>
            <w:hideMark/>
          </w:tcPr>
          <w:p w14:paraId="077CBFA1"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0.820</w:t>
            </w:r>
          </w:p>
        </w:tc>
        <w:tc>
          <w:tcPr>
            <w:tcW w:w="966" w:type="dxa"/>
            <w:tcBorders>
              <w:top w:val="nil"/>
              <w:left w:val="single" w:sz="4" w:space="0" w:color="auto"/>
              <w:bottom w:val="nil"/>
              <w:right w:val="nil"/>
            </w:tcBorders>
            <w:shd w:val="clear" w:color="auto" w:fill="auto"/>
            <w:noWrap/>
            <w:vAlign w:val="bottom"/>
            <w:hideMark/>
          </w:tcPr>
          <w:p w14:paraId="57D047BF"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0.983</w:t>
            </w:r>
          </w:p>
        </w:tc>
        <w:tc>
          <w:tcPr>
            <w:tcW w:w="889" w:type="dxa"/>
            <w:tcBorders>
              <w:top w:val="nil"/>
              <w:left w:val="nil"/>
              <w:bottom w:val="nil"/>
              <w:right w:val="single" w:sz="4" w:space="0" w:color="auto"/>
            </w:tcBorders>
            <w:shd w:val="clear" w:color="auto" w:fill="auto"/>
            <w:noWrap/>
            <w:vAlign w:val="bottom"/>
            <w:hideMark/>
          </w:tcPr>
          <w:p w14:paraId="6C5D566E"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0.730</w:t>
            </w:r>
          </w:p>
        </w:tc>
        <w:tc>
          <w:tcPr>
            <w:tcW w:w="966" w:type="dxa"/>
            <w:tcBorders>
              <w:top w:val="nil"/>
              <w:left w:val="single" w:sz="4" w:space="0" w:color="auto"/>
              <w:bottom w:val="nil"/>
              <w:right w:val="nil"/>
            </w:tcBorders>
            <w:shd w:val="clear" w:color="auto" w:fill="auto"/>
            <w:noWrap/>
            <w:vAlign w:val="bottom"/>
            <w:hideMark/>
          </w:tcPr>
          <w:p w14:paraId="53C9B751"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0.341 </w:t>
            </w:r>
          </w:p>
        </w:tc>
        <w:tc>
          <w:tcPr>
            <w:tcW w:w="904" w:type="dxa"/>
            <w:tcBorders>
              <w:top w:val="nil"/>
              <w:left w:val="nil"/>
              <w:bottom w:val="nil"/>
              <w:right w:val="nil"/>
            </w:tcBorders>
            <w:shd w:val="clear" w:color="auto" w:fill="auto"/>
            <w:noWrap/>
            <w:vAlign w:val="bottom"/>
            <w:hideMark/>
          </w:tcPr>
          <w:p w14:paraId="7C8A73EA"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0.290</w:t>
            </w:r>
          </w:p>
        </w:tc>
      </w:tr>
      <w:tr w:rsidR="005E2B16" w:rsidRPr="005E2B16" w14:paraId="2076D51B" w14:textId="77777777" w:rsidTr="005E2B16">
        <w:trPr>
          <w:trHeight w:val="300"/>
        </w:trPr>
        <w:tc>
          <w:tcPr>
            <w:tcW w:w="2268" w:type="dxa"/>
            <w:tcBorders>
              <w:top w:val="nil"/>
              <w:left w:val="nil"/>
              <w:bottom w:val="nil"/>
              <w:right w:val="single" w:sz="4" w:space="0" w:color="auto"/>
            </w:tcBorders>
            <w:shd w:val="clear" w:color="auto" w:fill="auto"/>
            <w:noWrap/>
            <w:vAlign w:val="bottom"/>
            <w:hideMark/>
          </w:tcPr>
          <w:p w14:paraId="6C1F309B" w14:textId="77777777" w:rsidR="005E2B16" w:rsidRPr="005E2B16" w:rsidRDefault="005E2B16" w:rsidP="005E2B16">
            <w:pPr>
              <w:spacing w:after="0" w:line="240" w:lineRule="auto"/>
              <w:jc w:val="right"/>
              <w:rPr>
                <w:rFonts w:ascii="Times New Roman" w:eastAsia="Times New Roman" w:hAnsi="Times New Roman" w:cs="Times New Roman"/>
                <w:color w:val="000000"/>
                <w:sz w:val="20"/>
                <w:szCs w:val="20"/>
                <w:lang w:eastAsia="en-GB"/>
              </w:rPr>
            </w:pPr>
          </w:p>
        </w:tc>
        <w:tc>
          <w:tcPr>
            <w:tcW w:w="1150" w:type="dxa"/>
            <w:tcBorders>
              <w:top w:val="nil"/>
              <w:left w:val="single" w:sz="4" w:space="0" w:color="auto"/>
              <w:bottom w:val="nil"/>
              <w:right w:val="single" w:sz="4" w:space="0" w:color="auto"/>
            </w:tcBorders>
            <w:shd w:val="clear" w:color="auto" w:fill="auto"/>
            <w:noWrap/>
            <w:vAlign w:val="bottom"/>
            <w:hideMark/>
          </w:tcPr>
          <w:p w14:paraId="0398892C"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No</w:t>
            </w:r>
          </w:p>
        </w:tc>
        <w:tc>
          <w:tcPr>
            <w:tcW w:w="966" w:type="dxa"/>
            <w:tcBorders>
              <w:top w:val="nil"/>
              <w:left w:val="single" w:sz="4" w:space="0" w:color="auto"/>
              <w:bottom w:val="nil"/>
              <w:right w:val="nil"/>
            </w:tcBorders>
            <w:shd w:val="clear" w:color="auto" w:fill="auto"/>
            <w:noWrap/>
            <w:vAlign w:val="bottom"/>
            <w:hideMark/>
          </w:tcPr>
          <w:p w14:paraId="0DD30EF7"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0.409*</w:t>
            </w:r>
          </w:p>
        </w:tc>
        <w:tc>
          <w:tcPr>
            <w:tcW w:w="1025" w:type="dxa"/>
            <w:tcBorders>
              <w:top w:val="nil"/>
              <w:left w:val="nil"/>
              <w:bottom w:val="nil"/>
              <w:right w:val="single" w:sz="4" w:space="0" w:color="auto"/>
            </w:tcBorders>
            <w:shd w:val="clear" w:color="auto" w:fill="auto"/>
            <w:noWrap/>
            <w:vAlign w:val="bottom"/>
            <w:hideMark/>
          </w:tcPr>
          <w:p w14:paraId="74F1D31F"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0.026</w:t>
            </w:r>
          </w:p>
        </w:tc>
        <w:tc>
          <w:tcPr>
            <w:tcW w:w="966" w:type="dxa"/>
            <w:tcBorders>
              <w:top w:val="nil"/>
              <w:left w:val="single" w:sz="4" w:space="0" w:color="auto"/>
              <w:bottom w:val="nil"/>
              <w:right w:val="nil"/>
            </w:tcBorders>
            <w:shd w:val="clear" w:color="auto" w:fill="auto"/>
            <w:noWrap/>
            <w:vAlign w:val="bottom"/>
            <w:hideMark/>
          </w:tcPr>
          <w:p w14:paraId="7C3D51B5"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0.367*</w:t>
            </w:r>
          </w:p>
        </w:tc>
        <w:tc>
          <w:tcPr>
            <w:tcW w:w="889" w:type="dxa"/>
            <w:tcBorders>
              <w:top w:val="nil"/>
              <w:left w:val="nil"/>
              <w:bottom w:val="nil"/>
              <w:right w:val="single" w:sz="4" w:space="0" w:color="auto"/>
            </w:tcBorders>
            <w:shd w:val="clear" w:color="auto" w:fill="auto"/>
            <w:noWrap/>
            <w:vAlign w:val="bottom"/>
            <w:hideMark/>
          </w:tcPr>
          <w:p w14:paraId="577479EC"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0.035</w:t>
            </w:r>
          </w:p>
        </w:tc>
        <w:tc>
          <w:tcPr>
            <w:tcW w:w="966" w:type="dxa"/>
            <w:tcBorders>
              <w:top w:val="nil"/>
              <w:left w:val="single" w:sz="4" w:space="0" w:color="auto"/>
              <w:bottom w:val="nil"/>
              <w:right w:val="nil"/>
            </w:tcBorders>
            <w:shd w:val="clear" w:color="auto" w:fill="auto"/>
            <w:noWrap/>
            <w:vAlign w:val="bottom"/>
            <w:hideMark/>
          </w:tcPr>
          <w:p w14:paraId="2A76459A"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0.203*</w:t>
            </w:r>
          </w:p>
        </w:tc>
        <w:tc>
          <w:tcPr>
            <w:tcW w:w="889" w:type="dxa"/>
            <w:tcBorders>
              <w:top w:val="nil"/>
              <w:left w:val="nil"/>
              <w:bottom w:val="nil"/>
              <w:right w:val="single" w:sz="4" w:space="0" w:color="auto"/>
            </w:tcBorders>
            <w:shd w:val="clear" w:color="auto" w:fill="auto"/>
            <w:noWrap/>
            <w:vAlign w:val="bottom"/>
            <w:hideMark/>
          </w:tcPr>
          <w:p w14:paraId="1658E9E2"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0.049</w:t>
            </w:r>
          </w:p>
        </w:tc>
        <w:tc>
          <w:tcPr>
            <w:tcW w:w="966" w:type="dxa"/>
            <w:tcBorders>
              <w:top w:val="nil"/>
              <w:left w:val="single" w:sz="4" w:space="0" w:color="auto"/>
              <w:bottom w:val="nil"/>
              <w:right w:val="nil"/>
            </w:tcBorders>
            <w:shd w:val="clear" w:color="auto" w:fill="auto"/>
            <w:noWrap/>
            <w:vAlign w:val="bottom"/>
            <w:hideMark/>
          </w:tcPr>
          <w:p w14:paraId="6C113AC5"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  0.212*</w:t>
            </w:r>
          </w:p>
        </w:tc>
        <w:tc>
          <w:tcPr>
            <w:tcW w:w="904" w:type="dxa"/>
            <w:tcBorders>
              <w:top w:val="nil"/>
              <w:left w:val="nil"/>
              <w:bottom w:val="nil"/>
              <w:right w:val="nil"/>
            </w:tcBorders>
            <w:shd w:val="clear" w:color="auto" w:fill="auto"/>
            <w:noWrap/>
            <w:vAlign w:val="bottom"/>
            <w:hideMark/>
          </w:tcPr>
          <w:p w14:paraId="6C089631"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0.026</w:t>
            </w:r>
          </w:p>
        </w:tc>
      </w:tr>
      <w:tr w:rsidR="005E2B16" w:rsidRPr="005E2B16" w14:paraId="5D1290AD" w14:textId="77777777" w:rsidTr="005E2B16">
        <w:trPr>
          <w:trHeight w:val="300"/>
        </w:trPr>
        <w:tc>
          <w:tcPr>
            <w:tcW w:w="2268" w:type="dxa"/>
            <w:tcBorders>
              <w:top w:val="nil"/>
              <w:left w:val="nil"/>
              <w:bottom w:val="nil"/>
              <w:right w:val="single" w:sz="4" w:space="0" w:color="auto"/>
            </w:tcBorders>
            <w:shd w:val="clear" w:color="auto" w:fill="auto"/>
            <w:noWrap/>
            <w:vAlign w:val="bottom"/>
            <w:hideMark/>
          </w:tcPr>
          <w:p w14:paraId="09DA37AA"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Profit Tax Exemption </w:t>
            </w:r>
          </w:p>
        </w:tc>
        <w:tc>
          <w:tcPr>
            <w:tcW w:w="1150" w:type="dxa"/>
            <w:tcBorders>
              <w:top w:val="nil"/>
              <w:left w:val="single" w:sz="4" w:space="0" w:color="auto"/>
              <w:bottom w:val="nil"/>
              <w:right w:val="single" w:sz="4" w:space="0" w:color="auto"/>
            </w:tcBorders>
            <w:shd w:val="clear" w:color="auto" w:fill="auto"/>
            <w:noWrap/>
            <w:vAlign w:val="bottom"/>
            <w:hideMark/>
          </w:tcPr>
          <w:p w14:paraId="139639D8"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Yes</w:t>
            </w:r>
          </w:p>
        </w:tc>
        <w:tc>
          <w:tcPr>
            <w:tcW w:w="966" w:type="dxa"/>
            <w:tcBorders>
              <w:top w:val="nil"/>
              <w:left w:val="single" w:sz="4" w:space="0" w:color="auto"/>
              <w:bottom w:val="nil"/>
              <w:right w:val="nil"/>
            </w:tcBorders>
            <w:shd w:val="clear" w:color="auto" w:fill="auto"/>
            <w:noWrap/>
            <w:vAlign w:val="bottom"/>
            <w:hideMark/>
          </w:tcPr>
          <w:p w14:paraId="0535D915"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0.260*</w:t>
            </w:r>
          </w:p>
        </w:tc>
        <w:tc>
          <w:tcPr>
            <w:tcW w:w="1025" w:type="dxa"/>
            <w:tcBorders>
              <w:top w:val="nil"/>
              <w:left w:val="nil"/>
              <w:bottom w:val="nil"/>
              <w:right w:val="single" w:sz="4" w:space="0" w:color="auto"/>
            </w:tcBorders>
            <w:shd w:val="clear" w:color="auto" w:fill="auto"/>
            <w:noWrap/>
            <w:vAlign w:val="bottom"/>
            <w:hideMark/>
          </w:tcPr>
          <w:p w14:paraId="7DD5A449"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0.065</w:t>
            </w:r>
          </w:p>
        </w:tc>
        <w:tc>
          <w:tcPr>
            <w:tcW w:w="966" w:type="dxa"/>
            <w:tcBorders>
              <w:top w:val="nil"/>
              <w:left w:val="single" w:sz="4" w:space="0" w:color="auto"/>
              <w:bottom w:val="nil"/>
              <w:right w:val="nil"/>
            </w:tcBorders>
            <w:shd w:val="clear" w:color="auto" w:fill="auto"/>
            <w:noWrap/>
            <w:vAlign w:val="bottom"/>
          </w:tcPr>
          <w:p w14:paraId="080C846D"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0.367*</w:t>
            </w:r>
          </w:p>
        </w:tc>
        <w:tc>
          <w:tcPr>
            <w:tcW w:w="889" w:type="dxa"/>
            <w:tcBorders>
              <w:top w:val="nil"/>
              <w:left w:val="nil"/>
              <w:bottom w:val="nil"/>
              <w:right w:val="single" w:sz="4" w:space="0" w:color="auto"/>
            </w:tcBorders>
            <w:shd w:val="clear" w:color="auto" w:fill="auto"/>
            <w:noWrap/>
            <w:vAlign w:val="bottom"/>
          </w:tcPr>
          <w:p w14:paraId="6340FF78"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0.035</w:t>
            </w:r>
          </w:p>
        </w:tc>
        <w:tc>
          <w:tcPr>
            <w:tcW w:w="966" w:type="dxa"/>
            <w:tcBorders>
              <w:top w:val="nil"/>
              <w:left w:val="single" w:sz="4" w:space="0" w:color="auto"/>
              <w:bottom w:val="nil"/>
              <w:right w:val="nil"/>
            </w:tcBorders>
            <w:shd w:val="clear" w:color="auto" w:fill="auto"/>
            <w:noWrap/>
            <w:vAlign w:val="bottom"/>
            <w:hideMark/>
          </w:tcPr>
          <w:p w14:paraId="4F958F6F" w14:textId="77777777" w:rsidR="005E2B16" w:rsidRPr="00A55EC9"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0.115*</w:t>
            </w:r>
          </w:p>
        </w:tc>
        <w:tc>
          <w:tcPr>
            <w:tcW w:w="889" w:type="dxa"/>
            <w:tcBorders>
              <w:top w:val="nil"/>
              <w:left w:val="nil"/>
              <w:bottom w:val="nil"/>
              <w:right w:val="single" w:sz="4" w:space="0" w:color="auto"/>
            </w:tcBorders>
            <w:shd w:val="clear" w:color="auto" w:fill="auto"/>
            <w:noWrap/>
            <w:vAlign w:val="bottom"/>
            <w:hideMark/>
          </w:tcPr>
          <w:p w14:paraId="37AC844B" w14:textId="77777777" w:rsidR="005E2B16" w:rsidRPr="00A55EC9"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0.049</w:t>
            </w:r>
          </w:p>
        </w:tc>
        <w:tc>
          <w:tcPr>
            <w:tcW w:w="966" w:type="dxa"/>
            <w:tcBorders>
              <w:top w:val="nil"/>
              <w:left w:val="single" w:sz="4" w:space="0" w:color="auto"/>
              <w:bottom w:val="nil"/>
              <w:right w:val="nil"/>
            </w:tcBorders>
            <w:shd w:val="clear" w:color="auto" w:fill="auto"/>
            <w:noWrap/>
            <w:vAlign w:val="bottom"/>
            <w:hideMark/>
          </w:tcPr>
          <w:p w14:paraId="705C0B75"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0.212*</w:t>
            </w:r>
          </w:p>
        </w:tc>
        <w:tc>
          <w:tcPr>
            <w:tcW w:w="904" w:type="dxa"/>
            <w:tcBorders>
              <w:top w:val="nil"/>
              <w:left w:val="nil"/>
              <w:bottom w:val="nil"/>
              <w:right w:val="nil"/>
            </w:tcBorders>
            <w:shd w:val="clear" w:color="auto" w:fill="auto"/>
            <w:noWrap/>
            <w:vAlign w:val="bottom"/>
            <w:hideMark/>
          </w:tcPr>
          <w:p w14:paraId="16307C05"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0.021</w:t>
            </w:r>
          </w:p>
        </w:tc>
      </w:tr>
      <w:tr w:rsidR="005E2B16" w:rsidRPr="005E2B16" w14:paraId="379C8B8A" w14:textId="77777777" w:rsidTr="005E2B16">
        <w:trPr>
          <w:trHeight w:val="300"/>
        </w:trPr>
        <w:tc>
          <w:tcPr>
            <w:tcW w:w="2268" w:type="dxa"/>
            <w:tcBorders>
              <w:top w:val="nil"/>
              <w:left w:val="nil"/>
              <w:right w:val="single" w:sz="4" w:space="0" w:color="auto"/>
            </w:tcBorders>
            <w:shd w:val="clear" w:color="auto" w:fill="auto"/>
            <w:noWrap/>
            <w:vAlign w:val="bottom"/>
            <w:hideMark/>
          </w:tcPr>
          <w:p w14:paraId="2C4513EA" w14:textId="77777777" w:rsidR="005E2B16" w:rsidRPr="005E2B16" w:rsidRDefault="005E2B16" w:rsidP="005E2B16">
            <w:pPr>
              <w:spacing w:after="0" w:line="240" w:lineRule="auto"/>
              <w:jc w:val="right"/>
              <w:rPr>
                <w:rFonts w:ascii="Times New Roman" w:eastAsia="Times New Roman" w:hAnsi="Times New Roman" w:cs="Times New Roman"/>
                <w:color w:val="000000"/>
                <w:sz w:val="20"/>
                <w:szCs w:val="20"/>
                <w:lang w:eastAsia="en-GB"/>
              </w:rPr>
            </w:pPr>
          </w:p>
        </w:tc>
        <w:tc>
          <w:tcPr>
            <w:tcW w:w="1150" w:type="dxa"/>
            <w:tcBorders>
              <w:top w:val="nil"/>
              <w:left w:val="single" w:sz="4" w:space="0" w:color="auto"/>
              <w:right w:val="single" w:sz="4" w:space="0" w:color="auto"/>
            </w:tcBorders>
            <w:shd w:val="clear" w:color="auto" w:fill="auto"/>
            <w:noWrap/>
            <w:vAlign w:val="bottom"/>
            <w:hideMark/>
          </w:tcPr>
          <w:p w14:paraId="7119D464"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No</w:t>
            </w:r>
          </w:p>
        </w:tc>
        <w:tc>
          <w:tcPr>
            <w:tcW w:w="966" w:type="dxa"/>
            <w:tcBorders>
              <w:top w:val="nil"/>
              <w:left w:val="single" w:sz="4" w:space="0" w:color="auto"/>
              <w:right w:val="nil"/>
            </w:tcBorders>
            <w:shd w:val="clear" w:color="auto" w:fill="auto"/>
            <w:noWrap/>
            <w:vAlign w:val="bottom"/>
            <w:hideMark/>
          </w:tcPr>
          <w:p w14:paraId="06F5FF1C"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0.821***</w:t>
            </w:r>
          </w:p>
        </w:tc>
        <w:tc>
          <w:tcPr>
            <w:tcW w:w="1025" w:type="dxa"/>
            <w:tcBorders>
              <w:top w:val="nil"/>
              <w:left w:val="nil"/>
              <w:right w:val="single" w:sz="4" w:space="0" w:color="auto"/>
            </w:tcBorders>
            <w:shd w:val="clear" w:color="auto" w:fill="auto"/>
            <w:noWrap/>
            <w:vAlign w:val="bottom"/>
            <w:hideMark/>
          </w:tcPr>
          <w:p w14:paraId="2648958A"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0.447</w:t>
            </w:r>
          </w:p>
        </w:tc>
        <w:tc>
          <w:tcPr>
            <w:tcW w:w="966" w:type="dxa"/>
            <w:tcBorders>
              <w:top w:val="nil"/>
              <w:left w:val="single" w:sz="4" w:space="0" w:color="auto"/>
              <w:right w:val="nil"/>
            </w:tcBorders>
            <w:shd w:val="clear" w:color="auto" w:fill="auto"/>
            <w:noWrap/>
            <w:vAlign w:val="bottom"/>
            <w:hideMark/>
          </w:tcPr>
          <w:p w14:paraId="499D83BB"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0.873*</w:t>
            </w:r>
          </w:p>
        </w:tc>
        <w:tc>
          <w:tcPr>
            <w:tcW w:w="889" w:type="dxa"/>
            <w:tcBorders>
              <w:top w:val="nil"/>
              <w:left w:val="nil"/>
              <w:right w:val="single" w:sz="4" w:space="0" w:color="auto"/>
            </w:tcBorders>
            <w:shd w:val="clear" w:color="auto" w:fill="auto"/>
            <w:noWrap/>
            <w:vAlign w:val="bottom"/>
            <w:hideMark/>
          </w:tcPr>
          <w:p w14:paraId="3AD38A68"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0.289</w:t>
            </w:r>
          </w:p>
        </w:tc>
        <w:tc>
          <w:tcPr>
            <w:tcW w:w="966" w:type="dxa"/>
            <w:tcBorders>
              <w:top w:val="nil"/>
              <w:left w:val="single" w:sz="4" w:space="0" w:color="auto"/>
              <w:right w:val="nil"/>
            </w:tcBorders>
            <w:shd w:val="clear" w:color="auto" w:fill="auto"/>
            <w:noWrap/>
            <w:vAlign w:val="bottom"/>
            <w:hideMark/>
          </w:tcPr>
          <w:p w14:paraId="607179B7"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1.002**</w:t>
            </w:r>
          </w:p>
        </w:tc>
        <w:tc>
          <w:tcPr>
            <w:tcW w:w="889" w:type="dxa"/>
            <w:tcBorders>
              <w:top w:val="nil"/>
              <w:left w:val="nil"/>
              <w:right w:val="single" w:sz="4" w:space="0" w:color="auto"/>
            </w:tcBorders>
            <w:shd w:val="clear" w:color="auto" w:fill="auto"/>
            <w:noWrap/>
            <w:vAlign w:val="bottom"/>
            <w:hideMark/>
          </w:tcPr>
          <w:p w14:paraId="7C575BAF"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0.504</w:t>
            </w:r>
          </w:p>
        </w:tc>
        <w:tc>
          <w:tcPr>
            <w:tcW w:w="966" w:type="dxa"/>
            <w:tcBorders>
              <w:top w:val="nil"/>
              <w:left w:val="single" w:sz="4" w:space="0" w:color="auto"/>
              <w:right w:val="nil"/>
            </w:tcBorders>
            <w:shd w:val="clear" w:color="auto" w:fill="auto"/>
            <w:noWrap/>
            <w:vAlign w:val="bottom"/>
            <w:hideMark/>
          </w:tcPr>
          <w:p w14:paraId="3E655298"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0.868**</w:t>
            </w:r>
          </w:p>
        </w:tc>
        <w:tc>
          <w:tcPr>
            <w:tcW w:w="904" w:type="dxa"/>
            <w:tcBorders>
              <w:top w:val="nil"/>
              <w:left w:val="nil"/>
              <w:right w:val="nil"/>
            </w:tcBorders>
            <w:shd w:val="clear" w:color="auto" w:fill="auto"/>
            <w:noWrap/>
            <w:vAlign w:val="bottom"/>
            <w:hideMark/>
          </w:tcPr>
          <w:p w14:paraId="501E5B2C"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0.393</w:t>
            </w:r>
          </w:p>
        </w:tc>
      </w:tr>
      <w:tr w:rsidR="005E2B16" w:rsidRPr="005E2B16" w14:paraId="2B7C5A33" w14:textId="77777777" w:rsidTr="005E2B16">
        <w:trPr>
          <w:trHeight w:val="300"/>
        </w:trPr>
        <w:tc>
          <w:tcPr>
            <w:tcW w:w="2268" w:type="dxa"/>
            <w:tcBorders>
              <w:top w:val="nil"/>
              <w:left w:val="nil"/>
              <w:bottom w:val="single" w:sz="4" w:space="0" w:color="auto"/>
              <w:right w:val="single" w:sz="4" w:space="0" w:color="auto"/>
            </w:tcBorders>
            <w:shd w:val="clear" w:color="auto" w:fill="auto"/>
            <w:noWrap/>
            <w:vAlign w:val="bottom"/>
            <w:hideMark/>
          </w:tcPr>
          <w:p w14:paraId="0BA1FDD6"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 xml:space="preserve">Export Financing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60939FE8" w14:textId="77777777" w:rsidR="005E2B16" w:rsidRPr="005E2B16" w:rsidRDefault="005E2B16" w:rsidP="005E2B16">
            <w:pPr>
              <w:spacing w:after="0" w:line="240" w:lineRule="auto"/>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Yes</w:t>
            </w:r>
          </w:p>
        </w:tc>
        <w:tc>
          <w:tcPr>
            <w:tcW w:w="966" w:type="dxa"/>
            <w:tcBorders>
              <w:top w:val="nil"/>
              <w:left w:val="single" w:sz="4" w:space="0" w:color="auto"/>
              <w:bottom w:val="single" w:sz="4" w:space="0" w:color="auto"/>
              <w:right w:val="nil"/>
            </w:tcBorders>
            <w:shd w:val="clear" w:color="auto" w:fill="auto"/>
            <w:noWrap/>
            <w:vAlign w:val="bottom"/>
            <w:hideMark/>
          </w:tcPr>
          <w:p w14:paraId="1A6A64B8"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0.821*</w:t>
            </w:r>
          </w:p>
        </w:tc>
        <w:tc>
          <w:tcPr>
            <w:tcW w:w="1025" w:type="dxa"/>
            <w:tcBorders>
              <w:top w:val="nil"/>
              <w:left w:val="nil"/>
              <w:bottom w:val="single" w:sz="4" w:space="0" w:color="auto"/>
              <w:right w:val="single" w:sz="4" w:space="0" w:color="auto"/>
            </w:tcBorders>
            <w:shd w:val="clear" w:color="auto" w:fill="auto"/>
            <w:noWrap/>
            <w:vAlign w:val="bottom"/>
            <w:hideMark/>
          </w:tcPr>
          <w:p w14:paraId="7EA6ADB9"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0.027</w:t>
            </w:r>
          </w:p>
        </w:tc>
        <w:tc>
          <w:tcPr>
            <w:tcW w:w="966" w:type="dxa"/>
            <w:tcBorders>
              <w:top w:val="nil"/>
              <w:left w:val="single" w:sz="4" w:space="0" w:color="auto"/>
              <w:bottom w:val="single" w:sz="4" w:space="0" w:color="auto"/>
              <w:right w:val="nil"/>
            </w:tcBorders>
            <w:shd w:val="clear" w:color="auto" w:fill="auto"/>
            <w:noWrap/>
            <w:vAlign w:val="bottom"/>
            <w:hideMark/>
          </w:tcPr>
          <w:p w14:paraId="5B638BF7"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0.873*</w:t>
            </w:r>
          </w:p>
        </w:tc>
        <w:tc>
          <w:tcPr>
            <w:tcW w:w="889" w:type="dxa"/>
            <w:tcBorders>
              <w:top w:val="nil"/>
              <w:left w:val="nil"/>
              <w:bottom w:val="single" w:sz="4" w:space="0" w:color="auto"/>
              <w:right w:val="single" w:sz="4" w:space="0" w:color="auto"/>
            </w:tcBorders>
            <w:shd w:val="clear" w:color="auto" w:fill="auto"/>
            <w:noWrap/>
            <w:vAlign w:val="bottom"/>
            <w:hideMark/>
          </w:tcPr>
          <w:p w14:paraId="14FD6304"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0.289</w:t>
            </w:r>
          </w:p>
        </w:tc>
        <w:tc>
          <w:tcPr>
            <w:tcW w:w="966" w:type="dxa"/>
            <w:tcBorders>
              <w:top w:val="nil"/>
              <w:left w:val="single" w:sz="4" w:space="0" w:color="auto"/>
              <w:bottom w:val="single" w:sz="4" w:space="0" w:color="auto"/>
              <w:right w:val="nil"/>
            </w:tcBorders>
            <w:shd w:val="clear" w:color="auto" w:fill="auto"/>
            <w:noWrap/>
            <w:vAlign w:val="bottom"/>
            <w:hideMark/>
          </w:tcPr>
          <w:p w14:paraId="57CC5396"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1.002**</w:t>
            </w:r>
          </w:p>
        </w:tc>
        <w:tc>
          <w:tcPr>
            <w:tcW w:w="889" w:type="dxa"/>
            <w:tcBorders>
              <w:top w:val="nil"/>
              <w:left w:val="nil"/>
              <w:bottom w:val="single" w:sz="4" w:space="0" w:color="auto"/>
              <w:right w:val="single" w:sz="4" w:space="0" w:color="auto"/>
            </w:tcBorders>
            <w:shd w:val="clear" w:color="auto" w:fill="auto"/>
            <w:noWrap/>
            <w:vAlign w:val="bottom"/>
            <w:hideMark/>
          </w:tcPr>
          <w:p w14:paraId="54AF981A"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0.504</w:t>
            </w:r>
          </w:p>
        </w:tc>
        <w:tc>
          <w:tcPr>
            <w:tcW w:w="966" w:type="dxa"/>
            <w:tcBorders>
              <w:top w:val="nil"/>
              <w:left w:val="single" w:sz="4" w:space="0" w:color="auto"/>
              <w:bottom w:val="single" w:sz="4" w:space="0" w:color="auto"/>
              <w:right w:val="nil"/>
            </w:tcBorders>
            <w:shd w:val="clear" w:color="auto" w:fill="auto"/>
            <w:noWrap/>
            <w:vAlign w:val="bottom"/>
            <w:hideMark/>
          </w:tcPr>
          <w:p w14:paraId="6F6B0BE3"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0.868*</w:t>
            </w:r>
          </w:p>
        </w:tc>
        <w:tc>
          <w:tcPr>
            <w:tcW w:w="904" w:type="dxa"/>
            <w:tcBorders>
              <w:top w:val="nil"/>
              <w:left w:val="nil"/>
              <w:bottom w:val="single" w:sz="4" w:space="0" w:color="auto"/>
              <w:right w:val="nil"/>
            </w:tcBorders>
            <w:shd w:val="clear" w:color="auto" w:fill="auto"/>
            <w:noWrap/>
            <w:vAlign w:val="bottom"/>
            <w:hideMark/>
          </w:tcPr>
          <w:p w14:paraId="78B3F9A0" w14:textId="77777777" w:rsidR="005E2B16" w:rsidRPr="005E2B16" w:rsidRDefault="005E2B16" w:rsidP="005E2B16">
            <w:pPr>
              <w:spacing w:after="0" w:line="240" w:lineRule="auto"/>
              <w:jc w:val="center"/>
              <w:rPr>
                <w:rFonts w:ascii="Times New Roman" w:eastAsia="Times New Roman" w:hAnsi="Times New Roman" w:cs="Times New Roman"/>
                <w:color w:val="000000"/>
                <w:sz w:val="20"/>
                <w:szCs w:val="20"/>
                <w:lang w:eastAsia="en-GB"/>
              </w:rPr>
            </w:pPr>
            <w:r w:rsidRPr="005E2B16">
              <w:rPr>
                <w:rFonts w:ascii="Times New Roman" w:eastAsia="Times New Roman" w:hAnsi="Times New Roman" w:cs="Times New Roman"/>
                <w:color w:val="000000"/>
                <w:sz w:val="20"/>
                <w:szCs w:val="20"/>
                <w:lang w:eastAsia="en-GB"/>
              </w:rPr>
              <w:t>0.355</w:t>
            </w:r>
          </w:p>
        </w:tc>
      </w:tr>
    </w:tbl>
    <w:p w14:paraId="5C9D1FBB" w14:textId="3B11E96B" w:rsidR="005E2B16" w:rsidRPr="005E2B16" w:rsidRDefault="005E2B16" w:rsidP="005E2B16">
      <w:pPr>
        <w:spacing w:after="0" w:line="240" w:lineRule="auto"/>
        <w:jc w:val="center"/>
        <w:rPr>
          <w:rFonts w:ascii="Times New Roman" w:hAnsi="Times New Roman" w:cs="Times New Roman"/>
          <w:sz w:val="20"/>
          <w:szCs w:val="20"/>
          <w:lang w:val="en-US"/>
        </w:rPr>
      </w:pPr>
      <w:r w:rsidRPr="005E2B16">
        <w:rPr>
          <w:rFonts w:ascii="Times New Roman" w:hAnsi="Times New Roman" w:cs="Times New Roman"/>
          <w:sz w:val="20"/>
          <w:szCs w:val="20"/>
          <w:lang w:val="en-US"/>
        </w:rPr>
        <w:t>Note: The subscript *, ** and *** imply significance levels at 1, 5 and 10 percent respectively. He variables used to determine this statistics are in their log-linear form. This suggest</w:t>
      </w:r>
      <w:r w:rsidR="00F84B78">
        <w:rPr>
          <w:rFonts w:ascii="Times New Roman" w:hAnsi="Times New Roman" w:cs="Times New Roman"/>
          <w:sz w:val="20"/>
          <w:szCs w:val="20"/>
          <w:lang w:val="en-US"/>
        </w:rPr>
        <w:t>s</w:t>
      </w:r>
      <w:r w:rsidRPr="005E2B16">
        <w:rPr>
          <w:rFonts w:ascii="Times New Roman" w:hAnsi="Times New Roman" w:cs="Times New Roman"/>
          <w:sz w:val="20"/>
          <w:szCs w:val="20"/>
          <w:lang w:val="en-US"/>
        </w:rPr>
        <w:t xml:space="preserve"> that any coefficient in the Table will be interpreted as percentage change.</w:t>
      </w:r>
    </w:p>
    <w:p w14:paraId="12D73489" w14:textId="77777777" w:rsidR="005E2B16" w:rsidRDefault="005E2B16" w:rsidP="005E2B16">
      <w:pPr>
        <w:spacing w:after="0" w:line="240" w:lineRule="auto"/>
        <w:jc w:val="both"/>
        <w:rPr>
          <w:rFonts w:ascii="Times New Roman" w:hAnsi="Times New Roman" w:cs="Times New Roman"/>
          <w:sz w:val="24"/>
          <w:szCs w:val="24"/>
          <w:lang w:val="en-US"/>
        </w:rPr>
      </w:pPr>
    </w:p>
    <w:p w14:paraId="2AD5CB94" w14:textId="6524F373" w:rsidR="00BF401E" w:rsidRPr="00BF401E" w:rsidRDefault="00231EF6" w:rsidP="00BF401E">
      <w:pPr>
        <w:spacing w:after="0" w:line="240" w:lineRule="auto"/>
        <w:jc w:val="both"/>
        <w:rPr>
          <w:rFonts w:ascii="Times New Roman" w:hAnsi="Times New Roman"/>
          <w:sz w:val="24"/>
          <w:szCs w:val="24"/>
          <w:lang w:val="en-US"/>
        </w:rPr>
      </w:pPr>
      <w:r>
        <w:rPr>
          <w:rFonts w:ascii="Times New Roman" w:hAnsi="Times New Roman" w:cs="Times New Roman"/>
          <w:sz w:val="24"/>
          <w:szCs w:val="24"/>
          <w:lang w:val="en-US"/>
        </w:rPr>
        <w:t xml:space="preserve">Finally, the Rosenbaum checks for sensitivity of our result to unobserved variables was also performed, but not reported, and the result advance the idea that our findings </w:t>
      </w:r>
      <w:r w:rsidR="00BF401E">
        <w:rPr>
          <w:rFonts w:ascii="Times New Roman" w:hAnsi="Times New Roman"/>
          <w:sz w:val="24"/>
          <w:szCs w:val="24"/>
          <w:lang w:val="en-US"/>
        </w:rPr>
        <w:t>are insensitive to hidden bias.</w:t>
      </w:r>
    </w:p>
    <w:p w14:paraId="3BE066D5" w14:textId="77777777" w:rsidR="00BF401E" w:rsidRPr="005E2B16" w:rsidRDefault="00BF401E" w:rsidP="005E2B16">
      <w:pPr>
        <w:spacing w:after="0" w:line="240" w:lineRule="auto"/>
        <w:jc w:val="both"/>
        <w:rPr>
          <w:rFonts w:ascii="Times New Roman" w:hAnsi="Times New Roman" w:cs="Times New Roman"/>
          <w:sz w:val="24"/>
          <w:szCs w:val="24"/>
          <w:lang w:val="en-US"/>
        </w:rPr>
      </w:pPr>
    </w:p>
    <w:p w14:paraId="650718F3" w14:textId="77777777" w:rsidR="005E2B16" w:rsidRPr="00A55EC9" w:rsidRDefault="005E2B16" w:rsidP="005E2B16">
      <w:pPr>
        <w:spacing w:after="0" w:line="240" w:lineRule="auto"/>
        <w:jc w:val="both"/>
        <w:rPr>
          <w:rFonts w:ascii="Times New Roman" w:hAnsi="Times New Roman" w:cs="Times New Roman"/>
          <w:i/>
          <w:sz w:val="24"/>
          <w:szCs w:val="24"/>
          <w:lang w:val="en-US"/>
        </w:rPr>
      </w:pPr>
      <w:r w:rsidRPr="00A55EC9">
        <w:rPr>
          <w:rFonts w:ascii="Times New Roman" w:hAnsi="Times New Roman" w:cs="Times New Roman"/>
          <w:i/>
          <w:sz w:val="24"/>
          <w:szCs w:val="24"/>
          <w:lang w:val="en-US"/>
        </w:rPr>
        <w:t>Discussion</w:t>
      </w:r>
    </w:p>
    <w:p w14:paraId="5C55106C" w14:textId="0BC6CDB9" w:rsidR="005E2B16" w:rsidRPr="005E2B16" w:rsidRDefault="005E2B16" w:rsidP="005E2B16">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From the analysis, we are cautious in saying that to some extent, the significant improvement in the productivity of our participants in the import exemption treatment are driven by the type of covariates that are included in our analysis. This is because in the first estimation and the se</w:t>
      </w:r>
      <w:r w:rsidR="00795790">
        <w:rPr>
          <w:rFonts w:ascii="Times New Roman" w:hAnsi="Times New Roman" w:cs="Times New Roman"/>
          <w:sz w:val="24"/>
          <w:szCs w:val="24"/>
          <w:lang w:val="en-US"/>
        </w:rPr>
        <w:t>cond sensitivity test in Table 5.3 and 5</w:t>
      </w:r>
      <w:r w:rsidRPr="005E2B16">
        <w:rPr>
          <w:rFonts w:ascii="Times New Roman" w:hAnsi="Times New Roman" w:cs="Times New Roman"/>
          <w:sz w:val="24"/>
          <w:szCs w:val="24"/>
          <w:lang w:val="en-US"/>
        </w:rPr>
        <w:t xml:space="preserve">.5, respectively, it was not significant, but later became significant in Table 5.4. These results suggest that </w:t>
      </w:r>
      <w:r w:rsidRPr="005E2B16">
        <w:rPr>
          <w:rFonts w:ascii="Times New Roman" w:hAnsi="Times New Roman" w:cs="Times New Roman"/>
          <w:sz w:val="24"/>
          <w:szCs w:val="24"/>
        </w:rPr>
        <w:t xml:space="preserve">the involvement of the government in exempting firms from import duty may not account for a consistent significant increase in their productivity. However, for an increase to occur, there has to be a consideration of some firms’ characteristics that may spur such increase. A possible explanation for this is that import duty exemption may drive inefficiency if the recipients are not carefully selected/monitored. Possibly, if firms are allowed to utilise their capital in securing import and all the necessary payment accompanying it, they may likely be optimal </w:t>
      </w:r>
      <w:r w:rsidRPr="005E2B16">
        <w:rPr>
          <w:rFonts w:ascii="Times New Roman" w:hAnsi="Times New Roman" w:cs="Times New Roman"/>
          <w:sz w:val="24"/>
          <w:szCs w:val="24"/>
        </w:rPr>
        <w:lastRenderedPageBreak/>
        <w:t>in channelling their resources appropriately. Although no consensus is reached on this, but it is possible that if firms are granted import duty exemption, there is the likelihood that they may be wasteful in the purchase of resources from abroad, knowing that such purchases will not be taxed. OECD (2007) report on tax incentives for investment throws some light on this as they noted that import duty exemption is prone to abuse and easy to divert exempt purchases to unintended recipients.</w:t>
      </w:r>
    </w:p>
    <w:p w14:paraId="4663D986" w14:textId="77777777" w:rsidR="005E2B16" w:rsidRPr="005E2B16" w:rsidRDefault="005E2B16" w:rsidP="005E2B16">
      <w:pPr>
        <w:spacing w:after="0" w:line="240" w:lineRule="auto"/>
        <w:jc w:val="both"/>
        <w:rPr>
          <w:rFonts w:ascii="Times New Roman" w:hAnsi="Times New Roman" w:cs="Times New Roman"/>
          <w:sz w:val="24"/>
          <w:szCs w:val="24"/>
        </w:rPr>
      </w:pPr>
    </w:p>
    <w:p w14:paraId="7F9CBECB" w14:textId="54FAF83C" w:rsidR="005E2B16" w:rsidRPr="005E2B16" w:rsidRDefault="005E2B16" w:rsidP="005E2B16">
      <w:pPr>
        <w:spacing w:after="0" w:line="240" w:lineRule="auto"/>
        <w:jc w:val="both"/>
        <w:rPr>
          <w:rFonts w:ascii="Times New Roman" w:hAnsi="Times New Roman" w:cs="Times New Roman"/>
          <w:sz w:val="24"/>
          <w:szCs w:val="24"/>
        </w:rPr>
      </w:pPr>
      <w:r w:rsidRPr="005E2B16">
        <w:rPr>
          <w:rFonts w:ascii="Times New Roman" w:hAnsi="Times New Roman" w:cs="Times New Roman"/>
          <w:sz w:val="24"/>
          <w:szCs w:val="24"/>
        </w:rPr>
        <w:t>The consistent positive and significant sign of the profit tax exemption and export financing participants suggest that the forms of incentives that will enhance the productivity of Cameroonian firms should be such th</w:t>
      </w:r>
      <w:r w:rsidR="00F84B78">
        <w:rPr>
          <w:rFonts w:ascii="Times New Roman" w:hAnsi="Times New Roman" w:cs="Times New Roman"/>
          <w:sz w:val="24"/>
          <w:szCs w:val="24"/>
        </w:rPr>
        <w:t>at rewards processes. This implies</w:t>
      </w:r>
      <w:r w:rsidRPr="005E2B16">
        <w:rPr>
          <w:rFonts w:ascii="Times New Roman" w:hAnsi="Times New Roman" w:cs="Times New Roman"/>
          <w:sz w:val="24"/>
          <w:szCs w:val="24"/>
        </w:rPr>
        <w:t xml:space="preserve"> that government incentive should be such that are introduced at later stages of the production process. As seen from our analysis, the import duty exemption incentive was not consistently significant in affecting productivity; however, when considering the other incentives that are introduced at the later stages of the business processes (such as profit tax exemption and export financing) it is seen that there was a significant impact on the productivity of firms. This of course, suggest that these two forms of incentives can steer up firms’ ability to be efficient because; for the firms to benefit from these incentives, they have to be profitable and they should be able to produce outputs that can be consumed beyond the Cameroonian market. </w:t>
      </w:r>
    </w:p>
    <w:p w14:paraId="3A1922B9" w14:textId="77777777" w:rsidR="00A55EC9" w:rsidRDefault="00A55EC9" w:rsidP="005E2B16">
      <w:pPr>
        <w:spacing w:after="0" w:line="240" w:lineRule="auto"/>
        <w:jc w:val="both"/>
        <w:rPr>
          <w:rFonts w:ascii="Times New Roman" w:hAnsi="Times New Roman" w:cs="Times New Roman"/>
          <w:b/>
          <w:sz w:val="24"/>
          <w:szCs w:val="24"/>
        </w:rPr>
      </w:pPr>
    </w:p>
    <w:p w14:paraId="1A2A3244" w14:textId="7155D777" w:rsidR="005E2B16" w:rsidRPr="005E2B16" w:rsidRDefault="00A55EC9" w:rsidP="005E2B16">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6. </w:t>
      </w:r>
      <w:r w:rsidR="005E2B16" w:rsidRPr="005E2B16">
        <w:rPr>
          <w:rFonts w:ascii="Times New Roman" w:hAnsi="Times New Roman" w:cs="Times New Roman"/>
          <w:b/>
          <w:sz w:val="24"/>
          <w:szCs w:val="24"/>
        </w:rPr>
        <w:t>Conclusion</w:t>
      </w:r>
    </w:p>
    <w:p w14:paraId="5FD7184B" w14:textId="77777777" w:rsidR="005E2B16" w:rsidRPr="005E2B16" w:rsidRDefault="005E2B16" w:rsidP="005E2B16">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In this study, we contributed to the discussion on the role of incentive in enhancing the productivity of participating in different types of fiscal incentives (i.e. import duty exemption, profit tax exemption and export financing). We applied an econometric analysis using firm data from surveys conducted between 2006 and 2009.</w:t>
      </w:r>
    </w:p>
    <w:p w14:paraId="59CBDAEC" w14:textId="77777777" w:rsidR="005E2B16" w:rsidRPr="005E2B16" w:rsidRDefault="005E2B16" w:rsidP="005E2B16">
      <w:pPr>
        <w:spacing w:after="0" w:line="240" w:lineRule="auto"/>
        <w:jc w:val="both"/>
        <w:rPr>
          <w:rFonts w:ascii="Times New Roman" w:hAnsi="Times New Roman" w:cs="Times New Roman"/>
          <w:sz w:val="24"/>
          <w:szCs w:val="24"/>
          <w:lang w:val="en-US"/>
        </w:rPr>
      </w:pPr>
    </w:p>
    <w:p w14:paraId="7C9A7C3A" w14:textId="77777777" w:rsidR="005E2B16" w:rsidRPr="005E2B16" w:rsidRDefault="005E2B16" w:rsidP="005E2B16">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 xml:space="preserve">The models suggested that participation in the different forms of incentives are associated with higher productivity, however, the significance differs across the different forms of incentives. The estimations predict that participation in profit tax exemption and export financing is associated with productivity differences of around </w:t>
      </w:r>
      <w:r w:rsidRPr="005E2B16">
        <w:rPr>
          <w:rFonts w:ascii="Times New Roman" w:hAnsi="Times New Roman" w:cs="Times New Roman"/>
          <w:sz w:val="24"/>
          <w:szCs w:val="24"/>
        </w:rPr>
        <w:t>27.1 and 89.4</w:t>
      </w:r>
      <w:r w:rsidRPr="005E2B16">
        <w:rPr>
          <w:rFonts w:ascii="Times New Roman" w:hAnsi="Times New Roman" w:cs="Times New Roman"/>
          <w:sz w:val="24"/>
          <w:szCs w:val="24"/>
          <w:lang w:val="en-US"/>
        </w:rPr>
        <w:t xml:space="preserve">1 percent, respectively. While the lack of baseline data and the relatively small sample size require caution in inferring causation, the results may be suggestive of underlying causal impact of participating in fiscal incentive regimes as a manufacturing firm in Cameroon. </w:t>
      </w:r>
    </w:p>
    <w:p w14:paraId="4D9CBDDF" w14:textId="77777777" w:rsidR="005E2B16" w:rsidRPr="005E2B16" w:rsidRDefault="005E2B16" w:rsidP="005E2B16">
      <w:pPr>
        <w:spacing w:after="0" w:line="240" w:lineRule="auto"/>
        <w:jc w:val="both"/>
        <w:rPr>
          <w:rFonts w:ascii="Times New Roman" w:hAnsi="Times New Roman" w:cs="Times New Roman"/>
          <w:sz w:val="24"/>
          <w:szCs w:val="24"/>
          <w:lang w:val="en-US"/>
        </w:rPr>
      </w:pPr>
    </w:p>
    <w:p w14:paraId="112CF725" w14:textId="085C731F" w:rsidR="005E2B16" w:rsidRPr="005E2B16" w:rsidRDefault="005E2B16" w:rsidP="005E2B16">
      <w:pPr>
        <w:spacing w:after="0" w:line="240" w:lineRule="auto"/>
        <w:jc w:val="both"/>
        <w:rPr>
          <w:rFonts w:ascii="Times New Roman" w:hAnsi="Times New Roman" w:cs="Times New Roman"/>
          <w:sz w:val="24"/>
          <w:szCs w:val="24"/>
          <w:lang w:val="en-US"/>
        </w:rPr>
      </w:pPr>
      <w:r w:rsidRPr="005E2B16">
        <w:rPr>
          <w:rFonts w:ascii="Times New Roman" w:hAnsi="Times New Roman" w:cs="Times New Roman"/>
          <w:sz w:val="24"/>
          <w:szCs w:val="24"/>
          <w:lang w:val="en-US"/>
        </w:rPr>
        <w:t xml:space="preserve">It is important to state that this study is not an overall assessment of the impact of fiscal incentives on manufacturing firms’ productivity in Cameroon. However, in order to decide on the overall impact, indirect effects within firms have to be taken into consideration. Overall, impact depends on intra-firm decision making of how to utilize such benefits that are derived from the government to influence its overall productivity. This highlights the need to add further explanatory variables to address this issue particularly as it relates to individual firm basis, which will be </w:t>
      </w:r>
      <w:r w:rsidR="00E63068">
        <w:rPr>
          <w:rFonts w:ascii="Times New Roman" w:hAnsi="Times New Roman" w:cs="Times New Roman"/>
          <w:sz w:val="24"/>
          <w:szCs w:val="24"/>
          <w:lang w:val="en-US"/>
        </w:rPr>
        <w:t>advancement</w:t>
      </w:r>
      <w:r w:rsidRPr="005E2B16">
        <w:rPr>
          <w:rFonts w:ascii="Times New Roman" w:hAnsi="Times New Roman" w:cs="Times New Roman"/>
          <w:sz w:val="24"/>
          <w:szCs w:val="24"/>
          <w:lang w:val="en-US"/>
        </w:rPr>
        <w:t xml:space="preserve"> to this study. </w:t>
      </w:r>
    </w:p>
    <w:p w14:paraId="051205D6" w14:textId="77777777" w:rsidR="005E2B16" w:rsidRPr="005E2B16" w:rsidRDefault="005E2B16" w:rsidP="005E2B16">
      <w:pPr>
        <w:autoSpaceDE w:val="0"/>
        <w:autoSpaceDN w:val="0"/>
        <w:adjustRightInd w:val="0"/>
        <w:spacing w:after="0" w:line="240" w:lineRule="auto"/>
        <w:rPr>
          <w:rFonts w:ascii="Times New Roman" w:hAnsi="Times New Roman" w:cs="Times New Roman"/>
          <w:b/>
          <w:sz w:val="24"/>
          <w:szCs w:val="24"/>
        </w:rPr>
      </w:pPr>
    </w:p>
    <w:p w14:paraId="1F76897C" w14:textId="77777777" w:rsidR="005E2B16" w:rsidRPr="005E2B16" w:rsidRDefault="005E2B16" w:rsidP="005E2B16">
      <w:pPr>
        <w:autoSpaceDE w:val="0"/>
        <w:autoSpaceDN w:val="0"/>
        <w:adjustRightInd w:val="0"/>
        <w:spacing w:after="0" w:line="240" w:lineRule="auto"/>
        <w:rPr>
          <w:rFonts w:ascii="Times New Roman" w:hAnsi="Times New Roman" w:cs="Times New Roman"/>
          <w:b/>
          <w:sz w:val="24"/>
          <w:szCs w:val="24"/>
        </w:rPr>
      </w:pPr>
    </w:p>
    <w:p w14:paraId="21850A01" w14:textId="77777777" w:rsidR="005E2B16" w:rsidRPr="005E2B16" w:rsidRDefault="005E2B16" w:rsidP="005E2B16">
      <w:pPr>
        <w:autoSpaceDE w:val="0"/>
        <w:autoSpaceDN w:val="0"/>
        <w:adjustRightInd w:val="0"/>
        <w:spacing w:after="0" w:line="240" w:lineRule="auto"/>
        <w:rPr>
          <w:rFonts w:ascii="Times New Roman" w:hAnsi="Times New Roman" w:cs="Times New Roman"/>
          <w:b/>
          <w:sz w:val="24"/>
          <w:szCs w:val="24"/>
        </w:rPr>
      </w:pPr>
    </w:p>
    <w:p w14:paraId="691BC22D" w14:textId="77777777" w:rsidR="00A55EC9" w:rsidRDefault="00A55EC9" w:rsidP="005E2B1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07DD856F" w14:textId="4B0A66EF" w:rsidR="005E2B16" w:rsidRPr="005E2B16" w:rsidRDefault="005E2B16" w:rsidP="005E2B16">
      <w:pPr>
        <w:autoSpaceDE w:val="0"/>
        <w:autoSpaceDN w:val="0"/>
        <w:adjustRightInd w:val="0"/>
        <w:spacing w:after="0" w:line="240" w:lineRule="auto"/>
        <w:rPr>
          <w:rFonts w:ascii="Times New Roman" w:hAnsi="Times New Roman" w:cs="Times New Roman"/>
          <w:b/>
          <w:sz w:val="24"/>
          <w:szCs w:val="24"/>
        </w:rPr>
      </w:pPr>
      <w:r w:rsidRPr="005E2B16">
        <w:rPr>
          <w:rFonts w:ascii="Times New Roman" w:hAnsi="Times New Roman" w:cs="Times New Roman"/>
          <w:b/>
          <w:sz w:val="24"/>
          <w:szCs w:val="24"/>
        </w:rPr>
        <w:lastRenderedPageBreak/>
        <w:t>References</w:t>
      </w:r>
    </w:p>
    <w:p w14:paraId="5854A839" w14:textId="77777777" w:rsidR="005E2B16" w:rsidRPr="005E2B16" w:rsidRDefault="005E2B16" w:rsidP="005E2B16">
      <w:pPr>
        <w:ind w:left="567" w:hanging="567"/>
        <w:jc w:val="both"/>
        <w:rPr>
          <w:rFonts w:ascii="Times New Roman" w:hAnsi="Times New Roman" w:cs="Times New Roman"/>
          <w:sz w:val="24"/>
          <w:szCs w:val="24"/>
        </w:rPr>
      </w:pPr>
      <w:r w:rsidRPr="005E2B16">
        <w:rPr>
          <w:rFonts w:ascii="Times New Roman" w:hAnsi="Times New Roman" w:cs="Times New Roman"/>
          <w:sz w:val="24"/>
          <w:szCs w:val="24"/>
        </w:rPr>
        <w:t xml:space="preserve">Arnold, J., Mattoo, A., and Narciso, G., (2008), </w:t>
      </w:r>
      <w:r w:rsidRPr="005E2B16">
        <w:rPr>
          <w:rFonts w:ascii="Times New Roman" w:hAnsi="Times New Roman" w:cs="Times New Roman"/>
          <w:color w:val="292526"/>
          <w:sz w:val="24"/>
          <w:szCs w:val="24"/>
        </w:rPr>
        <w:t>Services Inputs and Firm Productivity in Sub-Saharan</w:t>
      </w:r>
      <w:r w:rsidRPr="005E2B16">
        <w:rPr>
          <w:rFonts w:ascii="Times New Roman" w:hAnsi="Times New Roman" w:cs="Times New Roman"/>
          <w:sz w:val="24"/>
          <w:szCs w:val="24"/>
        </w:rPr>
        <w:t xml:space="preserve"> </w:t>
      </w:r>
      <w:r w:rsidRPr="005E2B16">
        <w:rPr>
          <w:rFonts w:ascii="Times New Roman" w:hAnsi="Times New Roman" w:cs="Times New Roman"/>
          <w:color w:val="292526"/>
          <w:sz w:val="24"/>
          <w:szCs w:val="24"/>
        </w:rPr>
        <w:t>Africa: Evidence from Firm-Level Data</w:t>
      </w:r>
      <w:r w:rsidRPr="005E2B16">
        <w:rPr>
          <w:rFonts w:ascii="Times New Roman" w:hAnsi="Times New Roman" w:cs="Times New Roman"/>
          <w:sz w:val="24"/>
          <w:szCs w:val="24"/>
        </w:rPr>
        <w:t>, Journal of African Economies, 17(4): 578-599</w:t>
      </w:r>
    </w:p>
    <w:p w14:paraId="42C675B0" w14:textId="77777777" w:rsidR="005E2B16" w:rsidRPr="005E2B16" w:rsidRDefault="005E2B16" w:rsidP="005E2B16">
      <w:pPr>
        <w:autoSpaceDE w:val="0"/>
        <w:autoSpaceDN w:val="0"/>
        <w:adjustRightInd w:val="0"/>
        <w:spacing w:after="0" w:line="240" w:lineRule="auto"/>
        <w:ind w:left="567" w:hanging="567"/>
        <w:jc w:val="both"/>
        <w:rPr>
          <w:rFonts w:ascii="Times New Roman" w:hAnsi="Times New Roman" w:cs="Times New Roman"/>
          <w:sz w:val="24"/>
          <w:szCs w:val="24"/>
        </w:rPr>
      </w:pPr>
      <w:r w:rsidRPr="005E2B16">
        <w:rPr>
          <w:rFonts w:ascii="Times New Roman" w:hAnsi="Times New Roman" w:cs="Times New Roman"/>
          <w:sz w:val="24"/>
          <w:szCs w:val="24"/>
        </w:rPr>
        <w:t xml:space="preserve">Austin, P.C., (2011), </w:t>
      </w:r>
      <w:r w:rsidRPr="005E2B16">
        <w:rPr>
          <w:rFonts w:ascii="Times New Roman" w:hAnsi="Times New Roman" w:cs="Times New Roman"/>
          <w:i/>
          <w:iCs/>
          <w:sz w:val="24"/>
          <w:szCs w:val="24"/>
        </w:rPr>
        <w:t>An Introduction to Propensity Score Methods for Reducing the Effects of Confounding in Observational Studies, Multivariate Behavioural Research</w:t>
      </w:r>
      <w:r w:rsidRPr="005E2B16">
        <w:rPr>
          <w:rFonts w:ascii="Times New Roman" w:hAnsi="Times New Roman" w:cs="Times New Roman"/>
          <w:sz w:val="24"/>
          <w:szCs w:val="24"/>
        </w:rPr>
        <w:t xml:space="preserve">. London: Routledge. </w:t>
      </w:r>
    </w:p>
    <w:p w14:paraId="529DB8C1" w14:textId="77777777" w:rsidR="005E2B16" w:rsidRPr="005E2B16" w:rsidRDefault="005E2B16" w:rsidP="005E2B16">
      <w:pPr>
        <w:autoSpaceDE w:val="0"/>
        <w:autoSpaceDN w:val="0"/>
        <w:adjustRightInd w:val="0"/>
        <w:spacing w:after="0" w:line="240" w:lineRule="auto"/>
        <w:ind w:left="567" w:hanging="567"/>
        <w:jc w:val="both"/>
        <w:rPr>
          <w:rFonts w:ascii="Times New Roman" w:eastAsia="AdvEPSTIM" w:hAnsi="Times New Roman" w:cs="Times New Roman"/>
          <w:sz w:val="24"/>
          <w:szCs w:val="24"/>
        </w:rPr>
      </w:pPr>
      <w:r w:rsidRPr="005E2B16">
        <w:rPr>
          <w:rFonts w:ascii="Times New Roman" w:eastAsia="AdvEPSTIM" w:hAnsi="Times New Roman" w:cs="Times New Roman"/>
          <w:sz w:val="24"/>
          <w:szCs w:val="24"/>
        </w:rPr>
        <w:t>Barron, M., (2014), Econometric Tools 1: Non-Parametric Methods, University of California: Santa Cruz.</w:t>
      </w:r>
    </w:p>
    <w:p w14:paraId="07C59976" w14:textId="77777777" w:rsidR="005E2B16" w:rsidRPr="005E2B16" w:rsidRDefault="005E2B16" w:rsidP="005E2B16">
      <w:pPr>
        <w:autoSpaceDE w:val="0"/>
        <w:autoSpaceDN w:val="0"/>
        <w:adjustRightInd w:val="0"/>
        <w:spacing w:after="0" w:line="240" w:lineRule="auto"/>
        <w:ind w:left="567" w:hanging="567"/>
        <w:jc w:val="both"/>
        <w:rPr>
          <w:rFonts w:ascii="Times New Roman" w:eastAsia="AdvEPSTIM-I" w:hAnsi="Times New Roman" w:cs="Times New Roman"/>
          <w:sz w:val="24"/>
          <w:szCs w:val="24"/>
        </w:rPr>
      </w:pPr>
      <w:r w:rsidRPr="005E2B16">
        <w:rPr>
          <w:rFonts w:ascii="Times New Roman" w:eastAsia="AdvEPSTIM" w:hAnsi="Times New Roman" w:cs="Times New Roman"/>
          <w:sz w:val="24"/>
          <w:szCs w:val="24"/>
        </w:rPr>
        <w:t xml:space="preserve">Biya, P., (2013), </w:t>
      </w:r>
      <w:r w:rsidRPr="005E2B16">
        <w:rPr>
          <w:rFonts w:ascii="Times New Roman" w:eastAsia="AdvEPSTIM-I" w:hAnsi="Times New Roman" w:cs="Times New Roman"/>
          <w:sz w:val="24"/>
          <w:szCs w:val="24"/>
        </w:rPr>
        <w:t xml:space="preserve">Law N° 2013/004 of 18 April 2013 to lay down private investment incentives in the Republic of Cameroon, Retrieved from </w:t>
      </w:r>
      <w:hyperlink r:id="rId10" w:history="1">
        <w:r w:rsidRPr="005E2B16">
          <w:rPr>
            <w:rStyle w:val="Hyperlink"/>
            <w:rFonts w:ascii="Times New Roman" w:eastAsia="AdvEPSTIM-I" w:hAnsi="Times New Roman" w:cs="Times New Roman"/>
            <w:sz w:val="24"/>
            <w:szCs w:val="24"/>
          </w:rPr>
          <w:t>http://turcaba.org/index_htm_files/new-incentive-laws-oninvestment-in-the-republic-of-cameroon.pdf</w:t>
        </w:r>
      </w:hyperlink>
    </w:p>
    <w:p w14:paraId="429CF312" w14:textId="77777777" w:rsidR="005E2B16" w:rsidRPr="005E2B16" w:rsidRDefault="005E2B16" w:rsidP="005E2B16">
      <w:pPr>
        <w:autoSpaceDE w:val="0"/>
        <w:autoSpaceDN w:val="0"/>
        <w:adjustRightInd w:val="0"/>
        <w:spacing w:after="0" w:line="240" w:lineRule="auto"/>
        <w:ind w:left="567" w:hanging="567"/>
        <w:jc w:val="both"/>
        <w:rPr>
          <w:rFonts w:ascii="Times New Roman" w:hAnsi="Times New Roman" w:cs="Times New Roman"/>
          <w:bCs/>
          <w:spacing w:val="-12"/>
          <w:sz w:val="24"/>
          <w:szCs w:val="24"/>
          <w:bdr w:val="none" w:sz="0" w:space="0" w:color="auto" w:frame="1"/>
        </w:rPr>
      </w:pPr>
      <w:r w:rsidRPr="005E2B16">
        <w:rPr>
          <w:rFonts w:ascii="Times New Roman" w:hAnsi="Times New Roman" w:cs="Times New Roman"/>
          <w:sz w:val="24"/>
          <w:szCs w:val="24"/>
        </w:rPr>
        <w:t xml:space="preserve">Bureau of Economic and Business Affairs (2013), </w:t>
      </w:r>
      <w:r w:rsidRPr="005E2B16">
        <w:rPr>
          <w:rFonts w:ascii="Times New Roman" w:hAnsi="Times New Roman" w:cs="Times New Roman"/>
          <w:bCs/>
          <w:spacing w:val="-12"/>
          <w:sz w:val="24"/>
          <w:szCs w:val="24"/>
          <w:bdr w:val="none" w:sz="0" w:space="0" w:color="auto" w:frame="1"/>
        </w:rPr>
        <w:t xml:space="preserve">2013 Investment Climate Statement – Cameroon, Retrieved from </w:t>
      </w:r>
      <w:hyperlink r:id="rId11" w:history="1">
        <w:r w:rsidRPr="005E2B16">
          <w:rPr>
            <w:rStyle w:val="Hyperlink"/>
            <w:rFonts w:ascii="Times New Roman" w:hAnsi="Times New Roman" w:cs="Times New Roman"/>
            <w:bCs/>
            <w:spacing w:val="-12"/>
            <w:sz w:val="24"/>
            <w:szCs w:val="24"/>
            <w:bdr w:val="none" w:sz="0" w:space="0" w:color="auto" w:frame="1"/>
          </w:rPr>
          <w:t>http://www.state.gov/e/eb/rls/othr/ics/2013/204615.htm</w:t>
        </w:r>
      </w:hyperlink>
    </w:p>
    <w:p w14:paraId="1A25E404" w14:textId="77777777" w:rsidR="005E2B16" w:rsidRPr="005E2B16" w:rsidRDefault="005E2B16" w:rsidP="005E2B16">
      <w:pPr>
        <w:autoSpaceDE w:val="0"/>
        <w:autoSpaceDN w:val="0"/>
        <w:adjustRightInd w:val="0"/>
        <w:spacing w:after="0" w:line="240" w:lineRule="auto"/>
        <w:ind w:left="567" w:hanging="567"/>
        <w:jc w:val="both"/>
        <w:rPr>
          <w:rFonts w:ascii="Times New Roman" w:hAnsi="Times New Roman" w:cs="Times New Roman"/>
          <w:sz w:val="24"/>
          <w:szCs w:val="24"/>
        </w:rPr>
      </w:pPr>
      <w:r w:rsidRPr="005E2B16">
        <w:rPr>
          <w:rFonts w:ascii="Times New Roman" w:hAnsi="Times New Roman" w:cs="Times New Roman"/>
          <w:sz w:val="24"/>
          <w:szCs w:val="24"/>
        </w:rPr>
        <w:t xml:space="preserve">Caliendo, M., and Kopeinig, S., (2005), </w:t>
      </w:r>
      <w:r w:rsidRPr="005E2B16">
        <w:rPr>
          <w:rFonts w:ascii="Times New Roman" w:hAnsi="Times New Roman" w:cs="Times New Roman"/>
          <w:i/>
          <w:iCs/>
          <w:sz w:val="24"/>
          <w:szCs w:val="24"/>
        </w:rPr>
        <w:t>Some Practical Guidance for the Implementation of Propensity Score Matching</w:t>
      </w:r>
      <w:r w:rsidRPr="005E2B16">
        <w:rPr>
          <w:rFonts w:ascii="Times New Roman" w:hAnsi="Times New Roman" w:cs="Times New Roman"/>
          <w:sz w:val="24"/>
          <w:szCs w:val="24"/>
        </w:rPr>
        <w:t xml:space="preserve">. Discussion Paper 1588. Bonn: Institute for the Study of Labour (IZA). </w:t>
      </w:r>
    </w:p>
    <w:p w14:paraId="3AA92533" w14:textId="77777777" w:rsidR="005E2B16" w:rsidRPr="005E2B16" w:rsidRDefault="005E2B16" w:rsidP="005E2B16">
      <w:pPr>
        <w:ind w:left="567" w:hanging="567"/>
        <w:rPr>
          <w:rFonts w:ascii="Times New Roman" w:hAnsi="Times New Roman" w:cs="Times New Roman"/>
          <w:sz w:val="24"/>
          <w:szCs w:val="24"/>
        </w:rPr>
      </w:pPr>
      <w:r w:rsidRPr="005E2B16">
        <w:rPr>
          <w:rFonts w:ascii="Times New Roman" w:hAnsi="Times New Roman" w:cs="Times New Roman"/>
          <w:sz w:val="24"/>
          <w:szCs w:val="24"/>
        </w:rPr>
        <w:t xml:space="preserve">Central Bank of Nigeria-CBN (2013), </w:t>
      </w:r>
      <w:r w:rsidRPr="005E2B16">
        <w:rPr>
          <w:rFonts w:ascii="Times New Roman" w:hAnsi="Times New Roman" w:cs="Times New Roman"/>
          <w:bCs/>
          <w:sz w:val="24"/>
          <w:szCs w:val="24"/>
        </w:rPr>
        <w:t>Fiscal Incentives in Nigeria: Lessons of Experience, Abuja:CBN</w:t>
      </w:r>
    </w:p>
    <w:p w14:paraId="0604F4C4" w14:textId="77777777" w:rsidR="005E2B16" w:rsidRPr="005E2B16" w:rsidRDefault="005E2B16" w:rsidP="005E2B16">
      <w:pPr>
        <w:ind w:left="567" w:hanging="567"/>
        <w:jc w:val="both"/>
        <w:rPr>
          <w:rFonts w:ascii="Times New Roman" w:hAnsi="Times New Roman" w:cs="Times New Roman"/>
          <w:color w:val="000000"/>
          <w:sz w:val="24"/>
          <w:szCs w:val="24"/>
        </w:rPr>
      </w:pPr>
      <w:r w:rsidRPr="005E2B16">
        <w:rPr>
          <w:rFonts w:ascii="Times New Roman" w:hAnsi="Times New Roman" w:cs="Times New Roman"/>
          <w:sz w:val="24"/>
          <w:szCs w:val="24"/>
        </w:rPr>
        <w:t xml:space="preserve">Cleeve, E., (2008), </w:t>
      </w:r>
      <w:r w:rsidRPr="005E2B16">
        <w:rPr>
          <w:rFonts w:ascii="Times New Roman" w:hAnsi="Times New Roman" w:cs="Times New Roman"/>
          <w:color w:val="000000"/>
          <w:sz w:val="24"/>
          <w:szCs w:val="24"/>
        </w:rPr>
        <w:t>How Effective Are Fiscal Incentives to Attract FDI to Sub-Saharan Africa? The Journal of Developing Areas, 42(1): 135-153.</w:t>
      </w:r>
    </w:p>
    <w:p w14:paraId="072EB183" w14:textId="77777777" w:rsidR="005E2B16" w:rsidRPr="005E2B16" w:rsidRDefault="005E2B16" w:rsidP="005E2B16">
      <w:pPr>
        <w:autoSpaceDE w:val="0"/>
        <w:autoSpaceDN w:val="0"/>
        <w:adjustRightInd w:val="0"/>
        <w:spacing w:after="0" w:line="240" w:lineRule="auto"/>
        <w:ind w:left="567" w:hanging="567"/>
        <w:rPr>
          <w:rFonts w:ascii="Times New Roman" w:eastAsia="AdvEPSTIM" w:hAnsi="Times New Roman" w:cs="Times New Roman"/>
          <w:sz w:val="24"/>
          <w:szCs w:val="24"/>
        </w:rPr>
      </w:pPr>
      <w:r w:rsidRPr="005E2B16">
        <w:rPr>
          <w:rFonts w:ascii="Times New Roman" w:eastAsia="AdvEPSTIM" w:hAnsi="Times New Roman" w:cs="Times New Roman"/>
          <w:sz w:val="24"/>
          <w:szCs w:val="24"/>
        </w:rPr>
        <w:t xml:space="preserve">Dodzin, S., and Vamvakidis, A. (2004). Trade and industrialization in developing economies. </w:t>
      </w:r>
      <w:r w:rsidRPr="005E2B16">
        <w:rPr>
          <w:rFonts w:ascii="Times New Roman" w:eastAsia="AdvEPSTIM-I" w:hAnsi="Times New Roman" w:cs="Times New Roman"/>
          <w:i/>
          <w:sz w:val="24"/>
          <w:szCs w:val="24"/>
        </w:rPr>
        <w:t>Journal of Development Economics</w:t>
      </w:r>
      <w:r w:rsidRPr="005E2B16">
        <w:rPr>
          <w:rFonts w:ascii="Times New Roman" w:eastAsia="AdvEPSTIM-I" w:hAnsi="Times New Roman" w:cs="Times New Roman"/>
          <w:sz w:val="24"/>
          <w:szCs w:val="24"/>
        </w:rPr>
        <w:t>, 75</w:t>
      </w:r>
      <w:r w:rsidRPr="005E2B16">
        <w:rPr>
          <w:rFonts w:ascii="Times New Roman" w:eastAsia="AdvEPSTIM" w:hAnsi="Times New Roman" w:cs="Times New Roman"/>
          <w:sz w:val="24"/>
          <w:szCs w:val="24"/>
        </w:rPr>
        <w:t>,319-328.</w:t>
      </w:r>
    </w:p>
    <w:p w14:paraId="255CABCF" w14:textId="77777777" w:rsidR="005E2B16" w:rsidRPr="005E2B16" w:rsidRDefault="005E2B16" w:rsidP="005E2B16">
      <w:pPr>
        <w:ind w:left="567" w:hanging="567"/>
        <w:jc w:val="both"/>
        <w:rPr>
          <w:rFonts w:ascii="Times New Roman" w:hAnsi="Times New Roman" w:cs="Times New Roman"/>
          <w:sz w:val="24"/>
          <w:szCs w:val="24"/>
        </w:rPr>
      </w:pPr>
      <w:r w:rsidRPr="005E2B16">
        <w:rPr>
          <w:rFonts w:ascii="Times New Roman" w:hAnsi="Times New Roman" w:cs="Times New Roman"/>
          <w:sz w:val="24"/>
          <w:szCs w:val="24"/>
        </w:rPr>
        <w:t>Escribano, A., Guasch, J.L., and Pena, J., (2010), Assessing the Impact of Infrastructure Quality on Firm Productivity in Africa: Cross-Country Comparisons Based on Investment Climate Surveys from 1999 to 2005, World Bank Policy Research Working Paper No. 5191.</w:t>
      </w:r>
    </w:p>
    <w:p w14:paraId="6F37E708" w14:textId="77777777" w:rsidR="005E2B16" w:rsidRPr="005E2B16" w:rsidRDefault="005E2B16" w:rsidP="005E2B16">
      <w:pPr>
        <w:autoSpaceDE w:val="0"/>
        <w:autoSpaceDN w:val="0"/>
        <w:adjustRightInd w:val="0"/>
        <w:spacing w:after="0" w:line="240" w:lineRule="auto"/>
        <w:ind w:left="567" w:hanging="567"/>
        <w:jc w:val="both"/>
        <w:rPr>
          <w:rFonts w:ascii="Times New Roman" w:eastAsia="AdvEPSTIM" w:hAnsi="Times New Roman" w:cs="Times New Roman"/>
          <w:sz w:val="24"/>
          <w:szCs w:val="24"/>
        </w:rPr>
      </w:pPr>
      <w:r w:rsidRPr="005E2B16">
        <w:rPr>
          <w:rFonts w:ascii="Times New Roman" w:eastAsia="AdvEPSTIM" w:hAnsi="Times New Roman" w:cs="Times New Roman"/>
          <w:sz w:val="24"/>
          <w:szCs w:val="24"/>
        </w:rPr>
        <w:t xml:space="preserve">Gui-Diby, S., and Renard, M., (2015), Foreign Direct Investment Inflows and the Industrialization of African Countries, </w:t>
      </w:r>
      <w:r w:rsidRPr="005E2B16">
        <w:rPr>
          <w:rFonts w:ascii="Times New Roman" w:eastAsia="AdvEPSTIM" w:hAnsi="Times New Roman" w:cs="Times New Roman"/>
          <w:i/>
          <w:sz w:val="24"/>
          <w:szCs w:val="24"/>
        </w:rPr>
        <w:t>World Development,</w:t>
      </w:r>
      <w:r w:rsidRPr="005E2B16">
        <w:rPr>
          <w:rFonts w:ascii="Times New Roman" w:eastAsia="AdvEPSTIM" w:hAnsi="Times New Roman" w:cs="Times New Roman"/>
          <w:sz w:val="24"/>
          <w:szCs w:val="24"/>
        </w:rPr>
        <w:t xml:space="preserve"> 74: 43-57. </w:t>
      </w:r>
    </w:p>
    <w:p w14:paraId="4EA71F02" w14:textId="77777777" w:rsidR="005E2B16" w:rsidRPr="005E2B16" w:rsidRDefault="005E2B16" w:rsidP="005E2B16">
      <w:pPr>
        <w:autoSpaceDE w:val="0"/>
        <w:autoSpaceDN w:val="0"/>
        <w:adjustRightInd w:val="0"/>
        <w:spacing w:after="0" w:line="240" w:lineRule="auto"/>
        <w:ind w:left="567" w:hanging="567"/>
        <w:jc w:val="both"/>
        <w:rPr>
          <w:rFonts w:ascii="Times New Roman" w:hAnsi="Times New Roman" w:cs="Times New Roman"/>
          <w:sz w:val="24"/>
          <w:szCs w:val="24"/>
        </w:rPr>
      </w:pPr>
      <w:r w:rsidRPr="005E2B16">
        <w:rPr>
          <w:rFonts w:ascii="Times New Roman" w:hAnsi="Times New Roman" w:cs="Times New Roman"/>
          <w:sz w:val="24"/>
          <w:szCs w:val="24"/>
        </w:rPr>
        <w:t xml:space="preserve">Heckman, J., Ichimura, H., Todd, P.E., (1997), Matching as an econometric evaluation estimator: evidence from evaluating a job training program. </w:t>
      </w:r>
      <w:r w:rsidRPr="005E2B16">
        <w:rPr>
          <w:rFonts w:ascii="Times New Roman" w:hAnsi="Times New Roman" w:cs="Times New Roman"/>
          <w:i/>
          <w:sz w:val="24"/>
          <w:szCs w:val="24"/>
        </w:rPr>
        <w:t>Review of Economic Studies</w:t>
      </w:r>
      <w:r w:rsidRPr="005E2B16">
        <w:rPr>
          <w:rFonts w:ascii="Times New Roman" w:hAnsi="Times New Roman" w:cs="Times New Roman"/>
          <w:sz w:val="24"/>
          <w:szCs w:val="24"/>
        </w:rPr>
        <w:t xml:space="preserve"> 64:605-654</w:t>
      </w:r>
    </w:p>
    <w:p w14:paraId="7C5D685D" w14:textId="77777777" w:rsidR="005E2B16" w:rsidRPr="005E2B16" w:rsidRDefault="005E2B16" w:rsidP="005E2B16">
      <w:pPr>
        <w:ind w:left="567" w:hanging="567"/>
        <w:jc w:val="both"/>
        <w:rPr>
          <w:rFonts w:ascii="Times New Roman" w:hAnsi="Times New Roman" w:cs="Times New Roman"/>
          <w:sz w:val="24"/>
          <w:szCs w:val="24"/>
        </w:rPr>
      </w:pPr>
      <w:r w:rsidRPr="005E2B16">
        <w:rPr>
          <w:rFonts w:ascii="Times New Roman" w:hAnsi="Times New Roman" w:cs="Times New Roman"/>
          <w:sz w:val="24"/>
          <w:szCs w:val="24"/>
        </w:rPr>
        <w:t xml:space="preserve">Heckman, J., La Londe, R., and Smith, J., (1999), The Economics and Econometrics of Active Labour Market Programs, In Ashenfelter, O., and Card, D., (Eds.), </w:t>
      </w:r>
      <w:r w:rsidRPr="005E2B16">
        <w:rPr>
          <w:rFonts w:ascii="Times New Roman" w:hAnsi="Times New Roman" w:cs="Times New Roman"/>
          <w:i/>
          <w:sz w:val="24"/>
          <w:szCs w:val="24"/>
        </w:rPr>
        <w:t>Handbook of Labour Economics</w:t>
      </w:r>
      <w:r w:rsidRPr="005E2B16">
        <w:rPr>
          <w:rFonts w:ascii="Times New Roman" w:hAnsi="Times New Roman" w:cs="Times New Roman"/>
          <w:sz w:val="24"/>
          <w:szCs w:val="24"/>
        </w:rPr>
        <w:t>, III: 1865 - 2097. Elsevier, Amsterdam.</w:t>
      </w:r>
    </w:p>
    <w:p w14:paraId="2679B36B" w14:textId="77777777" w:rsidR="005E2B16" w:rsidRPr="005E2B16" w:rsidRDefault="005E2B16" w:rsidP="005E2B16">
      <w:pPr>
        <w:ind w:left="567" w:hanging="567"/>
        <w:rPr>
          <w:rFonts w:ascii="Times New Roman" w:hAnsi="Times New Roman" w:cs="Times New Roman"/>
          <w:sz w:val="24"/>
          <w:szCs w:val="24"/>
        </w:rPr>
      </w:pPr>
      <w:r w:rsidRPr="005E2B16">
        <w:rPr>
          <w:rFonts w:ascii="Times New Roman" w:hAnsi="Times New Roman" w:cs="Times New Roman"/>
          <w:sz w:val="24"/>
          <w:szCs w:val="24"/>
        </w:rPr>
        <w:t>IMF (2012), Sub-Saharan Africa-Maintaining Growth in an Uncertain World, Washington: IMF.</w:t>
      </w:r>
    </w:p>
    <w:p w14:paraId="25E4DE9F" w14:textId="77777777" w:rsidR="005E2B16" w:rsidRPr="005E2B16" w:rsidRDefault="005E2B16" w:rsidP="005E2B16">
      <w:pPr>
        <w:autoSpaceDE w:val="0"/>
        <w:autoSpaceDN w:val="0"/>
        <w:adjustRightInd w:val="0"/>
        <w:spacing w:after="0" w:line="240" w:lineRule="auto"/>
        <w:ind w:left="567" w:hanging="567"/>
        <w:rPr>
          <w:rFonts w:ascii="Times New Roman" w:eastAsia="AdvEPSTIM" w:hAnsi="Times New Roman" w:cs="Times New Roman"/>
          <w:sz w:val="24"/>
          <w:szCs w:val="24"/>
        </w:rPr>
      </w:pPr>
      <w:r w:rsidRPr="005E2B16">
        <w:rPr>
          <w:rFonts w:ascii="Times New Roman" w:eastAsia="AdvEPSTIM" w:hAnsi="Times New Roman" w:cs="Times New Roman"/>
          <w:sz w:val="24"/>
          <w:szCs w:val="24"/>
        </w:rPr>
        <w:t xml:space="preserve">Kang, S. J., and Lee, H. (2011). Foreign direct investment and deindustrialisation. </w:t>
      </w:r>
      <w:r w:rsidRPr="005E2B16">
        <w:rPr>
          <w:rFonts w:ascii="Times New Roman" w:eastAsia="AdvEPSTIM-I" w:hAnsi="Times New Roman" w:cs="Times New Roman"/>
          <w:i/>
          <w:sz w:val="24"/>
          <w:szCs w:val="24"/>
        </w:rPr>
        <w:t>The World Economy</w:t>
      </w:r>
      <w:r w:rsidRPr="005E2B16">
        <w:rPr>
          <w:rFonts w:ascii="Times New Roman" w:eastAsia="AdvEPSTIM" w:hAnsi="Times New Roman" w:cs="Times New Roman"/>
          <w:sz w:val="24"/>
          <w:szCs w:val="24"/>
        </w:rPr>
        <w:t>, 313-329.</w:t>
      </w:r>
    </w:p>
    <w:p w14:paraId="583D4FEE" w14:textId="77777777" w:rsidR="005E2B16" w:rsidRPr="005E2B16" w:rsidRDefault="005E2B16" w:rsidP="005E2B16">
      <w:pPr>
        <w:ind w:left="567" w:hanging="567"/>
        <w:rPr>
          <w:rFonts w:ascii="Times New Roman" w:hAnsi="Times New Roman" w:cs="Times New Roman"/>
          <w:color w:val="000000"/>
          <w:sz w:val="24"/>
          <w:szCs w:val="24"/>
        </w:rPr>
      </w:pPr>
      <w:r w:rsidRPr="005E2B16">
        <w:rPr>
          <w:rFonts w:ascii="Times New Roman" w:hAnsi="Times New Roman" w:cs="Times New Roman"/>
          <w:sz w:val="24"/>
          <w:szCs w:val="24"/>
        </w:rPr>
        <w:t xml:space="preserve">Lee, J., (1996), </w:t>
      </w:r>
      <w:r w:rsidRPr="005E2B16">
        <w:rPr>
          <w:rFonts w:ascii="Times New Roman" w:hAnsi="Times New Roman" w:cs="Times New Roman"/>
          <w:color w:val="000000"/>
          <w:sz w:val="24"/>
          <w:szCs w:val="24"/>
        </w:rPr>
        <w:t xml:space="preserve">Government Interventions and Productivity Growth, </w:t>
      </w:r>
      <w:r w:rsidRPr="005E2B16">
        <w:rPr>
          <w:rFonts w:ascii="Times New Roman" w:hAnsi="Times New Roman" w:cs="Times New Roman"/>
          <w:i/>
          <w:color w:val="000000"/>
          <w:sz w:val="24"/>
          <w:szCs w:val="24"/>
        </w:rPr>
        <w:t>Journal of Economic Growth</w:t>
      </w:r>
      <w:r w:rsidRPr="005E2B16">
        <w:rPr>
          <w:rFonts w:ascii="Times New Roman" w:hAnsi="Times New Roman" w:cs="Times New Roman"/>
          <w:color w:val="000000"/>
          <w:sz w:val="24"/>
          <w:szCs w:val="24"/>
        </w:rPr>
        <w:t>, 1(3): 391-414</w:t>
      </w:r>
    </w:p>
    <w:p w14:paraId="433032F4" w14:textId="77777777" w:rsidR="005E2B16" w:rsidRPr="005E2B16" w:rsidRDefault="005E2B16" w:rsidP="005E2B16">
      <w:pPr>
        <w:autoSpaceDE w:val="0"/>
        <w:autoSpaceDN w:val="0"/>
        <w:adjustRightInd w:val="0"/>
        <w:spacing w:after="0" w:line="240" w:lineRule="auto"/>
        <w:ind w:left="567" w:hanging="567"/>
        <w:jc w:val="both"/>
        <w:rPr>
          <w:rFonts w:ascii="Times New Roman" w:hAnsi="Times New Roman" w:cs="Times New Roman"/>
          <w:bCs/>
          <w:sz w:val="24"/>
          <w:szCs w:val="24"/>
        </w:rPr>
      </w:pPr>
      <w:r w:rsidRPr="005E2B16">
        <w:rPr>
          <w:rFonts w:ascii="Times New Roman" w:eastAsia="AdvEPSTIM-I" w:hAnsi="Times New Roman" w:cs="Times New Roman"/>
          <w:sz w:val="24"/>
          <w:szCs w:val="24"/>
        </w:rPr>
        <w:t xml:space="preserve">Ndichu, J., Blohmke, J., Kemp, R., Adeoti, J., and Obayelu, A.E., (2015), </w:t>
      </w:r>
      <w:r w:rsidRPr="005E2B16">
        <w:rPr>
          <w:rFonts w:ascii="Times New Roman" w:hAnsi="Times New Roman" w:cs="Times New Roman"/>
          <w:bCs/>
          <w:sz w:val="24"/>
          <w:szCs w:val="24"/>
        </w:rPr>
        <w:t xml:space="preserve">The adoption of energy efficiency measures by firms in Africa: case studies of cassava processing in Nigeria and maize milling in Kenya, </w:t>
      </w:r>
      <w:r w:rsidRPr="005E2B16">
        <w:rPr>
          <w:rFonts w:ascii="Times New Roman" w:hAnsi="Times New Roman" w:cs="Times New Roman"/>
          <w:bCs/>
          <w:i/>
          <w:sz w:val="24"/>
          <w:szCs w:val="24"/>
        </w:rPr>
        <w:t>Innovation and Development</w:t>
      </w:r>
      <w:r w:rsidRPr="005E2B16">
        <w:rPr>
          <w:rFonts w:ascii="Times New Roman" w:hAnsi="Times New Roman" w:cs="Times New Roman"/>
          <w:bCs/>
          <w:sz w:val="24"/>
          <w:szCs w:val="24"/>
        </w:rPr>
        <w:t>, 5(2): 189-206.</w:t>
      </w:r>
    </w:p>
    <w:p w14:paraId="2B1F9E26" w14:textId="77777777" w:rsidR="005E2B16" w:rsidRPr="005E2B16" w:rsidRDefault="005E2B16" w:rsidP="005E2B16">
      <w:pPr>
        <w:ind w:left="567" w:hanging="567"/>
        <w:rPr>
          <w:rFonts w:ascii="Times New Roman" w:hAnsi="Times New Roman" w:cs="Times New Roman"/>
          <w:color w:val="000000" w:themeColor="text1"/>
          <w:sz w:val="24"/>
          <w:szCs w:val="24"/>
          <w:lang w:val="en-US"/>
        </w:rPr>
      </w:pPr>
      <w:r w:rsidRPr="005E2B16">
        <w:rPr>
          <w:rFonts w:ascii="Times New Roman" w:hAnsi="Times New Roman" w:cs="Times New Roman"/>
          <w:color w:val="000000" w:themeColor="text1"/>
          <w:sz w:val="24"/>
          <w:szCs w:val="24"/>
          <w:lang w:val="en-US"/>
        </w:rPr>
        <w:lastRenderedPageBreak/>
        <w:t xml:space="preserve">Nkhata, R., Jumbe, C., and Mwabumba, M., (2014), </w:t>
      </w:r>
      <w:r w:rsidRPr="005E2B16">
        <w:rPr>
          <w:rFonts w:ascii="Times New Roman" w:hAnsi="Times New Roman" w:cs="Times New Roman"/>
          <w:sz w:val="24"/>
          <w:szCs w:val="24"/>
        </w:rPr>
        <w:t>Does irrigation have an impact on food security and poverty? IFPRI Working Paper 04/June, 2014.</w:t>
      </w:r>
    </w:p>
    <w:p w14:paraId="7702D3AB" w14:textId="77777777" w:rsidR="005E2B16" w:rsidRPr="005E2B16" w:rsidRDefault="005E2B16" w:rsidP="005E2B16">
      <w:pPr>
        <w:ind w:left="567" w:hanging="567"/>
        <w:rPr>
          <w:rFonts w:ascii="Times New Roman" w:hAnsi="Times New Roman" w:cs="Times New Roman"/>
          <w:bCs/>
          <w:sz w:val="24"/>
          <w:szCs w:val="24"/>
        </w:rPr>
      </w:pPr>
      <w:r w:rsidRPr="005E2B16">
        <w:rPr>
          <w:rFonts w:ascii="Times New Roman" w:hAnsi="Times New Roman" w:cs="Times New Roman"/>
          <w:sz w:val="24"/>
          <w:szCs w:val="24"/>
        </w:rPr>
        <w:t xml:space="preserve">OECD (2007), </w:t>
      </w:r>
      <w:r w:rsidRPr="005E2B16">
        <w:rPr>
          <w:rFonts w:ascii="Times New Roman" w:hAnsi="Times New Roman" w:cs="Times New Roman"/>
          <w:bCs/>
          <w:iCs/>
          <w:sz w:val="24"/>
          <w:szCs w:val="24"/>
        </w:rPr>
        <w:t xml:space="preserve">Tax Incentives for Investment - A Global Perspective: </w:t>
      </w:r>
      <w:r w:rsidRPr="005E2B16">
        <w:rPr>
          <w:rFonts w:ascii="Times New Roman" w:hAnsi="Times New Roman" w:cs="Times New Roman"/>
          <w:bCs/>
          <w:sz w:val="24"/>
          <w:szCs w:val="24"/>
        </w:rPr>
        <w:t>experiences in MENA and non-MENA countries, OECD</w:t>
      </w:r>
    </w:p>
    <w:p w14:paraId="427F4C58" w14:textId="77777777" w:rsidR="005E2B16" w:rsidRPr="005E2B16" w:rsidRDefault="005E2B16" w:rsidP="005E2B16">
      <w:pPr>
        <w:ind w:left="567" w:hanging="567"/>
        <w:jc w:val="both"/>
        <w:rPr>
          <w:rFonts w:ascii="Times New Roman" w:hAnsi="Times New Roman" w:cs="Times New Roman"/>
          <w:sz w:val="24"/>
          <w:szCs w:val="24"/>
        </w:rPr>
      </w:pPr>
      <w:r w:rsidRPr="005E2B16">
        <w:rPr>
          <w:rFonts w:ascii="Times New Roman" w:hAnsi="Times New Roman" w:cs="Times New Roman"/>
          <w:sz w:val="24"/>
          <w:szCs w:val="24"/>
        </w:rPr>
        <w:t xml:space="preserve">Pufahl, A., and Weiss, C.R., (2008), </w:t>
      </w:r>
      <w:r w:rsidRPr="005E2B16">
        <w:rPr>
          <w:rFonts w:ascii="Times New Roman" w:hAnsi="Times New Roman" w:cs="Times New Roman"/>
          <w:bCs/>
          <w:sz w:val="24"/>
          <w:szCs w:val="24"/>
        </w:rPr>
        <w:t xml:space="preserve">Evaluating the Effects of Farm Programs: Results from Propensity Score Matching, </w:t>
      </w:r>
      <w:r w:rsidRPr="005E2B16">
        <w:rPr>
          <w:rFonts w:ascii="Times New Roman" w:hAnsi="Times New Roman" w:cs="Times New Roman"/>
          <w:sz w:val="24"/>
          <w:szCs w:val="24"/>
        </w:rPr>
        <w:t>12th Congress of the European Association of Agricultural Economists – EAAE 2008</w:t>
      </w:r>
    </w:p>
    <w:p w14:paraId="28A0A450" w14:textId="77777777" w:rsidR="005E2B16" w:rsidRPr="005E2B16" w:rsidRDefault="005E2B16" w:rsidP="005E2B16">
      <w:pPr>
        <w:autoSpaceDE w:val="0"/>
        <w:autoSpaceDN w:val="0"/>
        <w:adjustRightInd w:val="0"/>
        <w:spacing w:after="0" w:line="240" w:lineRule="auto"/>
        <w:ind w:left="567" w:hanging="567"/>
        <w:jc w:val="both"/>
        <w:rPr>
          <w:rFonts w:ascii="Times New Roman" w:hAnsi="Times New Roman" w:cs="Times New Roman"/>
          <w:sz w:val="24"/>
          <w:szCs w:val="24"/>
        </w:rPr>
      </w:pPr>
      <w:r w:rsidRPr="005E2B16">
        <w:rPr>
          <w:rFonts w:ascii="Times New Roman" w:hAnsi="Times New Roman" w:cs="Times New Roman"/>
          <w:sz w:val="24"/>
          <w:szCs w:val="24"/>
        </w:rPr>
        <w:t xml:space="preserve">Rosenbaum, P.R., and Rubin, D.B., (1983). The central role of propensity score in observational studies for causal effects, </w:t>
      </w:r>
      <w:r w:rsidRPr="005E2B16">
        <w:rPr>
          <w:rFonts w:ascii="Times New Roman" w:hAnsi="Times New Roman" w:cs="Times New Roman"/>
          <w:i/>
          <w:sz w:val="24"/>
          <w:szCs w:val="24"/>
        </w:rPr>
        <w:t>Biometrica,</w:t>
      </w:r>
      <w:r w:rsidRPr="005E2B16">
        <w:rPr>
          <w:rFonts w:ascii="Times New Roman" w:hAnsi="Times New Roman" w:cs="Times New Roman"/>
          <w:sz w:val="24"/>
          <w:szCs w:val="24"/>
        </w:rPr>
        <w:t xml:space="preserve"> 70:41-55</w:t>
      </w:r>
    </w:p>
    <w:p w14:paraId="35CC4A75" w14:textId="77777777" w:rsidR="005E2B16" w:rsidRPr="005E2B16" w:rsidRDefault="005E2B16" w:rsidP="005E2B16">
      <w:pPr>
        <w:ind w:left="567" w:hanging="567"/>
        <w:jc w:val="both"/>
        <w:rPr>
          <w:rFonts w:ascii="Times New Roman" w:eastAsia="SymbolMT" w:hAnsi="Times New Roman" w:cs="Times New Roman"/>
          <w:sz w:val="24"/>
          <w:szCs w:val="24"/>
        </w:rPr>
      </w:pPr>
      <w:r w:rsidRPr="005E2B16">
        <w:rPr>
          <w:rFonts w:ascii="Times New Roman" w:hAnsi="Times New Roman" w:cs="Times New Roman"/>
          <w:sz w:val="24"/>
          <w:szCs w:val="24"/>
        </w:rPr>
        <w:t xml:space="preserve">Tabi, A., (2005), </w:t>
      </w:r>
      <w:r w:rsidRPr="005E2B16">
        <w:rPr>
          <w:rFonts w:ascii="Times New Roman" w:hAnsi="Times New Roman" w:cs="Times New Roman"/>
          <w:bCs/>
          <w:sz w:val="24"/>
          <w:szCs w:val="24"/>
        </w:rPr>
        <w:t>Fiscal Policy and Sectoral Productivity Convergence in Cameroon:</w:t>
      </w:r>
      <w:r w:rsidRPr="005E2B16">
        <w:rPr>
          <w:rFonts w:ascii="Times New Roman" w:hAnsi="Times New Roman" w:cs="Times New Roman"/>
          <w:sz w:val="24"/>
          <w:szCs w:val="24"/>
        </w:rPr>
        <w:t xml:space="preserve"> </w:t>
      </w:r>
      <w:r w:rsidRPr="005E2B16">
        <w:rPr>
          <w:rFonts w:ascii="Times New Roman" w:hAnsi="Times New Roman" w:cs="Times New Roman"/>
          <w:bCs/>
          <w:sz w:val="24"/>
          <w:szCs w:val="24"/>
        </w:rPr>
        <w:t>Implications for Poverty Reduction</w:t>
      </w:r>
      <w:r w:rsidRPr="005E2B16">
        <w:rPr>
          <w:rFonts w:ascii="Times New Roman" w:eastAsia="SymbolMT" w:hAnsi="Times New Roman" w:cs="Times New Roman"/>
          <w:sz w:val="24"/>
          <w:szCs w:val="24"/>
        </w:rPr>
        <w:t xml:space="preserve">, </w:t>
      </w:r>
      <w:r w:rsidRPr="005E2B16">
        <w:rPr>
          <w:rFonts w:ascii="Times New Roman" w:hAnsi="Times New Roman" w:cs="Times New Roman"/>
          <w:bCs/>
          <w:sz w:val="24"/>
          <w:szCs w:val="24"/>
        </w:rPr>
        <w:t>Washington Conference at the IMF, 15-16 February 2005</w:t>
      </w:r>
    </w:p>
    <w:p w14:paraId="79514996" w14:textId="77777777" w:rsidR="005E2B16" w:rsidRPr="005E2B16" w:rsidRDefault="005E2B16" w:rsidP="005E2B16">
      <w:pPr>
        <w:ind w:left="567" w:hanging="567"/>
        <w:rPr>
          <w:rFonts w:ascii="Times New Roman" w:hAnsi="Times New Roman" w:cs="Times New Roman"/>
          <w:sz w:val="24"/>
          <w:szCs w:val="24"/>
        </w:rPr>
      </w:pPr>
      <w:r w:rsidRPr="005E2B16">
        <w:rPr>
          <w:rFonts w:ascii="Times New Roman" w:hAnsi="Times New Roman" w:cs="Times New Roman"/>
          <w:sz w:val="24"/>
          <w:szCs w:val="24"/>
        </w:rPr>
        <w:t>UNCTAD (2000), Tax Incentives and Foreign Direct Investment: A Global Survey, Geneva: UNCTAD</w:t>
      </w:r>
    </w:p>
    <w:p w14:paraId="3E80EC97" w14:textId="77777777" w:rsidR="005E2B16" w:rsidRPr="005E2B16" w:rsidRDefault="005E2B16" w:rsidP="005E2B16">
      <w:pPr>
        <w:ind w:left="567" w:hanging="567"/>
        <w:rPr>
          <w:rFonts w:ascii="Times New Roman" w:hAnsi="Times New Roman" w:cs="Times New Roman"/>
          <w:sz w:val="24"/>
          <w:szCs w:val="24"/>
        </w:rPr>
      </w:pPr>
      <w:r w:rsidRPr="005E2B16">
        <w:rPr>
          <w:rFonts w:ascii="Times New Roman" w:hAnsi="Times New Roman" w:cs="Times New Roman"/>
          <w:sz w:val="24"/>
          <w:szCs w:val="24"/>
        </w:rPr>
        <w:t>UNCTAD (2004), Incentives, Geneva: UNCTAD</w:t>
      </w:r>
    </w:p>
    <w:p w14:paraId="73012250" w14:textId="77777777" w:rsidR="005E2B16" w:rsidRPr="005E2B16" w:rsidRDefault="005E2B16" w:rsidP="005E2B16">
      <w:pPr>
        <w:autoSpaceDE w:val="0"/>
        <w:autoSpaceDN w:val="0"/>
        <w:adjustRightInd w:val="0"/>
        <w:spacing w:after="0" w:line="240" w:lineRule="auto"/>
        <w:ind w:left="567" w:hanging="567"/>
        <w:jc w:val="both"/>
        <w:rPr>
          <w:rFonts w:ascii="Times New Roman" w:eastAsia="AdvEPSTIM" w:hAnsi="Times New Roman" w:cs="Times New Roman"/>
          <w:sz w:val="24"/>
          <w:szCs w:val="24"/>
        </w:rPr>
      </w:pPr>
      <w:r w:rsidRPr="005E2B16">
        <w:rPr>
          <w:rFonts w:ascii="Times New Roman" w:eastAsia="AdvEPSTIM" w:hAnsi="Times New Roman" w:cs="Times New Roman"/>
          <w:sz w:val="24"/>
          <w:szCs w:val="24"/>
        </w:rPr>
        <w:t>UNCTAD (2014). Investing in the SDGs: An Action Plan, World Investment Report, Switzerland: United Nations</w:t>
      </w:r>
    </w:p>
    <w:p w14:paraId="0D8E3F84" w14:textId="77777777" w:rsidR="005E2B16" w:rsidRPr="005E2B16" w:rsidRDefault="005E2B16" w:rsidP="005E2B16">
      <w:pPr>
        <w:ind w:left="567" w:hanging="567"/>
        <w:rPr>
          <w:rFonts w:ascii="Times New Roman" w:hAnsi="Times New Roman" w:cs="Times New Roman"/>
          <w:bCs/>
          <w:sz w:val="24"/>
          <w:szCs w:val="24"/>
        </w:rPr>
      </w:pPr>
      <w:r w:rsidRPr="005E2B16">
        <w:rPr>
          <w:rFonts w:ascii="Times New Roman" w:hAnsi="Times New Roman" w:cs="Times New Roman"/>
          <w:sz w:val="24"/>
          <w:szCs w:val="24"/>
        </w:rPr>
        <w:t xml:space="preserve">UNCTAD (2015), </w:t>
      </w:r>
      <w:r w:rsidRPr="005E2B16">
        <w:rPr>
          <w:rFonts w:ascii="Times New Roman" w:hAnsi="Times New Roman" w:cs="Times New Roman"/>
          <w:bCs/>
          <w:sz w:val="24"/>
          <w:szCs w:val="24"/>
        </w:rPr>
        <w:t>Broadening the Sources of Growth in Africa: The Role of Investment, Geneva: UNCTAD</w:t>
      </w:r>
    </w:p>
    <w:p w14:paraId="25276686" w14:textId="77777777" w:rsidR="005E2B16" w:rsidRPr="005E2B16" w:rsidRDefault="005E2B16" w:rsidP="005E2B16">
      <w:pPr>
        <w:autoSpaceDE w:val="0"/>
        <w:autoSpaceDN w:val="0"/>
        <w:adjustRightInd w:val="0"/>
        <w:spacing w:after="0" w:line="240" w:lineRule="auto"/>
        <w:ind w:left="567" w:hanging="567"/>
        <w:jc w:val="both"/>
        <w:rPr>
          <w:rFonts w:ascii="Times New Roman" w:eastAsia="AdvEPSTIM" w:hAnsi="Times New Roman" w:cs="Times New Roman"/>
          <w:sz w:val="24"/>
          <w:szCs w:val="24"/>
        </w:rPr>
      </w:pPr>
      <w:r w:rsidRPr="005E2B16">
        <w:rPr>
          <w:rFonts w:ascii="Times New Roman" w:eastAsia="AdvEPSTIM" w:hAnsi="Times New Roman" w:cs="Times New Roman"/>
          <w:sz w:val="24"/>
          <w:szCs w:val="24"/>
        </w:rPr>
        <w:t xml:space="preserve">UNECA. (2013). </w:t>
      </w:r>
      <w:r w:rsidRPr="005E2B16">
        <w:rPr>
          <w:rFonts w:ascii="Times New Roman" w:eastAsia="AdvEPSTIM-I" w:hAnsi="Times New Roman" w:cs="Times New Roman"/>
          <w:sz w:val="24"/>
          <w:szCs w:val="24"/>
        </w:rPr>
        <w:t>Making the most of Africa’s commodities: Industrializing for growth, jobs, and economic transformation</w:t>
      </w:r>
      <w:r w:rsidRPr="005E2B16">
        <w:rPr>
          <w:rFonts w:ascii="Times New Roman" w:eastAsia="AdvEPSTIM" w:hAnsi="Times New Roman" w:cs="Times New Roman"/>
          <w:sz w:val="24"/>
          <w:szCs w:val="24"/>
        </w:rPr>
        <w:t>. Addis Ababa: United</w:t>
      </w:r>
      <w:r w:rsidRPr="005E2B16">
        <w:rPr>
          <w:rFonts w:ascii="Times New Roman" w:eastAsia="AdvEPSTIM-I" w:hAnsi="Times New Roman" w:cs="Times New Roman"/>
          <w:sz w:val="24"/>
          <w:szCs w:val="24"/>
        </w:rPr>
        <w:t xml:space="preserve"> </w:t>
      </w:r>
      <w:r w:rsidRPr="005E2B16">
        <w:rPr>
          <w:rFonts w:ascii="Times New Roman" w:eastAsia="AdvEPSTIM" w:hAnsi="Times New Roman" w:cs="Times New Roman"/>
          <w:sz w:val="24"/>
          <w:szCs w:val="24"/>
        </w:rPr>
        <w:t>Nations ECA.</w:t>
      </w:r>
    </w:p>
    <w:p w14:paraId="7CF4AFF7" w14:textId="2D9236F4" w:rsidR="00B76FF2" w:rsidRPr="00B76FF2" w:rsidRDefault="00B76FF2" w:rsidP="00B76FF2">
      <w:pPr>
        <w:autoSpaceDE w:val="0"/>
        <w:autoSpaceDN w:val="0"/>
        <w:adjustRightInd w:val="0"/>
        <w:spacing w:after="0" w:line="240" w:lineRule="auto"/>
        <w:jc w:val="both"/>
        <w:rPr>
          <w:rFonts w:ascii="Times New Roman" w:eastAsia="AdvEPSTIM" w:hAnsi="Times New Roman" w:cs="Times New Roman"/>
          <w:sz w:val="24"/>
          <w:szCs w:val="24"/>
        </w:rPr>
      </w:pPr>
      <w:r w:rsidRPr="005E2B16">
        <w:rPr>
          <w:rFonts w:ascii="Times New Roman" w:eastAsia="AdvEPSTIM" w:hAnsi="Times New Roman" w:cs="Times New Roman"/>
          <w:sz w:val="24"/>
          <w:szCs w:val="24"/>
        </w:rPr>
        <w:t xml:space="preserve">African Countries, </w:t>
      </w:r>
      <w:r w:rsidRPr="005E2B16">
        <w:rPr>
          <w:rFonts w:ascii="Times New Roman" w:eastAsia="AdvEPSTIM" w:hAnsi="Times New Roman" w:cs="Times New Roman"/>
          <w:i/>
          <w:sz w:val="24"/>
          <w:szCs w:val="24"/>
        </w:rPr>
        <w:t>World Development,</w:t>
      </w:r>
      <w:r w:rsidRPr="005E2B16">
        <w:rPr>
          <w:rFonts w:ascii="Times New Roman" w:eastAsia="AdvEPSTIM" w:hAnsi="Times New Roman" w:cs="Times New Roman"/>
          <w:sz w:val="24"/>
          <w:szCs w:val="24"/>
        </w:rPr>
        <w:t xml:space="preserve"> 74: 43-57.</w:t>
      </w:r>
      <w:r>
        <w:rPr>
          <w:rFonts w:ascii="Times New Roman" w:eastAsia="AdvEPSTIM" w:hAnsi="Times New Roman" w:cs="Times New Roman"/>
          <w:sz w:val="24"/>
          <w:szCs w:val="24"/>
        </w:rPr>
        <w:t xml:space="preserve"> </w:t>
      </w:r>
    </w:p>
    <w:sectPr w:rsidR="00B76FF2" w:rsidRPr="00B76FF2" w:rsidSect="005E2B16">
      <w:footerReference w:type="even"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20B0" w14:textId="77777777" w:rsidR="00E4253B" w:rsidRDefault="00E4253B" w:rsidP="00F66410">
      <w:pPr>
        <w:spacing w:after="0" w:line="240" w:lineRule="auto"/>
      </w:pPr>
      <w:r>
        <w:separator/>
      </w:r>
    </w:p>
  </w:endnote>
  <w:endnote w:type="continuationSeparator" w:id="0">
    <w:p w14:paraId="6E358CAD" w14:textId="77777777" w:rsidR="00E4253B" w:rsidRDefault="00E4253B" w:rsidP="00F6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NeueLT Std Lt">
    <w:altName w:val="HelveticaNeueLT Std Lt"/>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ItalicMT">
    <w:altName w:val="Times New Roman"/>
    <w:panose1 w:val="0202050305040509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dvEPSTIM">
    <w:altName w:val="ＭＳ 明朝"/>
    <w:panose1 w:val="020B0604020202020204"/>
    <w:charset w:val="80"/>
    <w:family w:val="auto"/>
    <w:notTrueType/>
    <w:pitch w:val="default"/>
    <w:sig w:usb0="00000003" w:usb1="08070000" w:usb2="00000010" w:usb3="00000000" w:csb0="00020001" w:csb1="00000000"/>
  </w:font>
  <w:font w:name="AdvEPSTIM-I">
    <w:altName w:val="MS Mincho"/>
    <w:panose1 w:val="020B0604020202020204"/>
    <w:charset w:val="80"/>
    <w:family w:val="auto"/>
    <w:notTrueType/>
    <w:pitch w:val="default"/>
    <w:sig w:usb0="00000000" w:usb1="08070000" w:usb2="00000010" w:usb3="00000000" w:csb0="00020000" w:csb1="00000000"/>
  </w:font>
  <w:font w:name="SymbolMT">
    <w:altName w:val="Arial Unicode MS"/>
    <w:panose1 w:val="020B0604020202020204"/>
    <w:charset w:val="81"/>
    <w:family w:val="auto"/>
    <w:notTrueType/>
    <w:pitch w:val="default"/>
    <w:sig w:usb0="00000000" w:usb1="09060000" w:usb2="00000010" w:usb3="00000000" w:csb0="0008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D3E9" w14:textId="77777777" w:rsidR="009A77F1" w:rsidRDefault="009A77F1" w:rsidP="00147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72485" w14:textId="77777777" w:rsidR="009A77F1" w:rsidRDefault="009A77F1" w:rsidP="005E2B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5226" w14:textId="77777777" w:rsidR="009A77F1" w:rsidRDefault="009A77F1" w:rsidP="00147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4CF">
      <w:rPr>
        <w:rStyle w:val="PageNumber"/>
        <w:noProof/>
      </w:rPr>
      <w:t>1</w:t>
    </w:r>
    <w:r>
      <w:rPr>
        <w:rStyle w:val="PageNumber"/>
      </w:rPr>
      <w:fldChar w:fldCharType="end"/>
    </w:r>
  </w:p>
  <w:p w14:paraId="07917050" w14:textId="77777777" w:rsidR="009A77F1" w:rsidRDefault="009A77F1" w:rsidP="005E2B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1DE4" w14:textId="77777777" w:rsidR="00E4253B" w:rsidRDefault="00E4253B" w:rsidP="00F66410">
      <w:pPr>
        <w:spacing w:after="0" w:line="240" w:lineRule="auto"/>
      </w:pPr>
      <w:r>
        <w:separator/>
      </w:r>
    </w:p>
  </w:footnote>
  <w:footnote w:type="continuationSeparator" w:id="0">
    <w:p w14:paraId="3ECFC2C7" w14:textId="77777777" w:rsidR="00E4253B" w:rsidRDefault="00E4253B" w:rsidP="00F66410">
      <w:pPr>
        <w:spacing w:after="0" w:line="240" w:lineRule="auto"/>
      </w:pPr>
      <w:r>
        <w:continuationSeparator/>
      </w:r>
    </w:p>
  </w:footnote>
  <w:footnote w:id="1">
    <w:p w14:paraId="40C1B56D" w14:textId="77777777" w:rsidR="009A77F1" w:rsidRPr="00147EB6" w:rsidRDefault="009A77F1" w:rsidP="00BE7F60">
      <w:pPr>
        <w:autoSpaceDE w:val="0"/>
        <w:autoSpaceDN w:val="0"/>
        <w:adjustRightInd w:val="0"/>
        <w:spacing w:after="0" w:line="240" w:lineRule="auto"/>
        <w:rPr>
          <w:rFonts w:ascii="Times New Roman" w:hAnsi="Times New Roman" w:cs="Times New Roman"/>
          <w:b/>
          <w:sz w:val="20"/>
          <w:szCs w:val="20"/>
        </w:rPr>
      </w:pPr>
      <w:r w:rsidRPr="00147EB6">
        <w:rPr>
          <w:rStyle w:val="FootnoteReference"/>
          <w:sz w:val="20"/>
          <w:szCs w:val="20"/>
        </w:rPr>
        <w:footnoteRef/>
      </w:r>
      <w:r w:rsidRPr="00147EB6">
        <w:rPr>
          <w:sz w:val="20"/>
          <w:szCs w:val="20"/>
        </w:rPr>
        <w:t xml:space="preserve"> </w:t>
      </w:r>
      <w:r w:rsidRPr="00147EB6">
        <w:rPr>
          <w:rFonts w:ascii="Times New Roman" w:hAnsi="Times New Roman" w:cs="Times New Roman"/>
          <w:sz w:val="20"/>
          <w:szCs w:val="20"/>
        </w:rPr>
        <w:t xml:space="preserve">College of Business and Social Sciences, Covenant University, Nigeria. </w:t>
      </w:r>
      <w:r w:rsidRPr="00147EB6">
        <w:rPr>
          <w:rFonts w:ascii="Times New Roman" w:hAnsi="Times New Roman" w:cs="Times New Roman"/>
          <w:i/>
          <w:sz w:val="20"/>
          <w:szCs w:val="20"/>
        </w:rPr>
        <w:t>Email- uche.efobi@covenantuniversity.edu.ng</w:t>
      </w:r>
    </w:p>
  </w:footnote>
  <w:footnote w:id="2">
    <w:p w14:paraId="6259E0DA" w14:textId="77777777" w:rsidR="009A77F1" w:rsidRPr="00147EB6" w:rsidRDefault="009A77F1" w:rsidP="00BE7F60">
      <w:pPr>
        <w:pStyle w:val="FootnoteText"/>
        <w:rPr>
          <w:rFonts w:ascii="Times New Roman" w:hAnsi="Times New Roman" w:cs="Times New Roman"/>
        </w:rPr>
      </w:pPr>
      <w:r w:rsidRPr="00147EB6">
        <w:rPr>
          <w:rStyle w:val="FootnoteReference"/>
          <w:rFonts w:ascii="Times New Roman" w:hAnsi="Times New Roman" w:cs="Times New Roman"/>
        </w:rPr>
        <w:footnoteRef/>
      </w:r>
      <w:r w:rsidRPr="00147EB6">
        <w:rPr>
          <w:rFonts w:ascii="Times New Roman" w:hAnsi="Times New Roman" w:cs="Times New Roman"/>
        </w:rPr>
        <w:t xml:space="preserve"> Ministry of Economy, Planning and Regional Development – Cameroon, Department of Analysis and Economic Policies. </w:t>
      </w:r>
      <w:r w:rsidRPr="00147EB6">
        <w:rPr>
          <w:rFonts w:ascii="Times New Roman" w:hAnsi="Times New Roman" w:cs="Times New Roman"/>
          <w:i/>
        </w:rPr>
        <w:t xml:space="preserve">Email – </w:t>
      </w:r>
      <w:hyperlink r:id="rId1" w:history="1">
        <w:r w:rsidRPr="00147EB6">
          <w:rPr>
            <w:rStyle w:val="Hyperlink"/>
            <w:rFonts w:ascii="Times New Roman" w:hAnsi="Times New Roman" w:cs="Times New Roman"/>
            <w:i/>
          </w:rPr>
          <w:t>tanankemvoufo@yahoo.fr</w:t>
        </w:r>
      </w:hyperlink>
      <w:r w:rsidRPr="00147EB6">
        <w:rPr>
          <w:rFonts w:ascii="Times New Roman" w:hAnsi="Times New Roman" w:cs="Times New Roman"/>
        </w:rPr>
        <w:t xml:space="preserve"> </w:t>
      </w:r>
    </w:p>
  </w:footnote>
  <w:footnote w:id="3">
    <w:p w14:paraId="6F4EFB8D" w14:textId="4E5362F1" w:rsidR="009A77F1" w:rsidRPr="00147EB6" w:rsidRDefault="009A77F1" w:rsidP="00BE7F60">
      <w:pPr>
        <w:spacing w:after="0"/>
        <w:rPr>
          <w:rFonts w:ascii="Times New Roman" w:hAnsi="Times New Roman" w:cs="Times New Roman"/>
          <w:sz w:val="20"/>
          <w:szCs w:val="20"/>
        </w:rPr>
      </w:pPr>
      <w:r w:rsidRPr="00147EB6">
        <w:rPr>
          <w:rStyle w:val="FootnoteReference"/>
          <w:rFonts w:ascii="Times New Roman" w:hAnsi="Times New Roman" w:cs="Times New Roman"/>
          <w:sz w:val="20"/>
          <w:szCs w:val="20"/>
        </w:rPr>
        <w:footnoteRef/>
      </w:r>
      <w:r w:rsidRPr="00147EB6">
        <w:rPr>
          <w:rFonts w:ascii="Times New Roman" w:hAnsi="Times New Roman" w:cs="Times New Roman"/>
          <w:sz w:val="20"/>
          <w:szCs w:val="20"/>
        </w:rPr>
        <w:t xml:space="preserve"> Department of Economics, Covenant University, Nigeria, Ghana. Email -ibukun.beecroft@covenantuniversity.edu.ng </w:t>
      </w:r>
    </w:p>
    <w:p w14:paraId="4415439D" w14:textId="77777777" w:rsidR="009A77F1" w:rsidRPr="00147EB6" w:rsidRDefault="009A77F1" w:rsidP="00BE7F60">
      <w:pPr>
        <w:pStyle w:val="FootnoteText"/>
      </w:pPr>
    </w:p>
  </w:footnote>
  <w:footnote w:id="4">
    <w:p w14:paraId="3F235366" w14:textId="0069D8C7" w:rsidR="009A77F1" w:rsidRPr="00147EB6" w:rsidRDefault="009A77F1" w:rsidP="00147EB6">
      <w:pPr>
        <w:pStyle w:val="FootnoteText"/>
        <w:jc w:val="both"/>
      </w:pPr>
      <w:r w:rsidRPr="00147EB6">
        <w:rPr>
          <w:rStyle w:val="FootnoteReference"/>
        </w:rPr>
        <w:footnoteRef/>
      </w:r>
      <w:r w:rsidRPr="00147EB6">
        <w:t xml:space="preserve"> </w:t>
      </w:r>
      <w:r w:rsidRPr="00147EB6">
        <w:rPr>
          <w:rFonts w:ascii="Times New Roman" w:hAnsi="Times New Roman" w:cs="Times New Roman"/>
        </w:rPr>
        <w:t>While the opponents believe that the cost of fiscal incentives (such as deteriorating governance and corruption) outweighs its benefits (see Cleeve, 2008).</w:t>
      </w:r>
    </w:p>
  </w:footnote>
  <w:footnote w:id="5">
    <w:p w14:paraId="194DD7E2" w14:textId="2C68F5DB" w:rsidR="009A77F1" w:rsidRPr="00147EB6" w:rsidRDefault="009A77F1">
      <w:pPr>
        <w:pStyle w:val="FootnoteText"/>
        <w:rPr>
          <w:rFonts w:ascii="Times New Roman" w:hAnsi="Times New Roman" w:cs="Times New Roman"/>
        </w:rPr>
      </w:pPr>
      <w:r w:rsidRPr="00147EB6">
        <w:rPr>
          <w:rStyle w:val="FootnoteReference"/>
          <w:rFonts w:ascii="Times New Roman" w:hAnsi="Times New Roman" w:cs="Times New Roman"/>
        </w:rPr>
        <w:footnoteRef/>
      </w:r>
      <w:r w:rsidRPr="00147EB6">
        <w:rPr>
          <w:rFonts w:ascii="Times New Roman" w:hAnsi="Times New Roman" w:cs="Times New Roman"/>
        </w:rPr>
        <w:t xml:space="preserve"> The trend for the World average began in 1997. There was no data available for earlier years.</w:t>
      </w:r>
    </w:p>
  </w:footnote>
  <w:footnote w:id="6">
    <w:p w14:paraId="0974B811" w14:textId="58F8391F" w:rsidR="009A77F1" w:rsidRPr="00147EB6" w:rsidRDefault="009A77F1" w:rsidP="004618E4">
      <w:pPr>
        <w:pStyle w:val="FootnoteText"/>
        <w:jc w:val="both"/>
        <w:rPr>
          <w:rFonts w:ascii="Times New Roman" w:hAnsi="Times New Roman" w:cs="Times New Roman"/>
        </w:rPr>
      </w:pPr>
      <w:r w:rsidRPr="00147EB6">
        <w:rPr>
          <w:rStyle w:val="FootnoteReference"/>
          <w:rFonts w:ascii="Times New Roman" w:hAnsi="Times New Roman" w:cs="Times New Roman"/>
        </w:rPr>
        <w:footnoteRef/>
      </w:r>
      <w:r w:rsidRPr="00147EB6">
        <w:rPr>
          <w:rFonts w:ascii="Times New Roman" w:hAnsi="Times New Roman" w:cs="Times New Roman"/>
        </w:rPr>
        <w:t xml:space="preserve"> This section benefits from the framework of Pufahl and Weiss (2008).</w:t>
      </w:r>
    </w:p>
  </w:footnote>
  <w:footnote w:id="7">
    <w:p w14:paraId="70EE8588" w14:textId="2AAAE25B" w:rsidR="009A77F1" w:rsidRPr="00147EB6" w:rsidRDefault="009A77F1" w:rsidP="004618E4">
      <w:pPr>
        <w:pStyle w:val="FootnoteText"/>
        <w:jc w:val="both"/>
        <w:rPr>
          <w:rFonts w:ascii="Times New Roman" w:hAnsi="Times New Roman" w:cs="Times New Roman"/>
        </w:rPr>
      </w:pPr>
      <w:r w:rsidRPr="00147EB6">
        <w:rPr>
          <w:rStyle w:val="FootnoteReference"/>
          <w:rFonts w:ascii="Times New Roman" w:hAnsi="Times New Roman" w:cs="Times New Roman"/>
        </w:rPr>
        <w:footnoteRef/>
      </w:r>
      <w:r w:rsidRPr="00147EB6">
        <w:rPr>
          <w:rFonts w:ascii="Times New Roman" w:hAnsi="Times New Roman" w:cs="Times New Roman"/>
        </w:rPr>
        <w:t xml:space="preserve"> Please note that henceforth, the word participants and non-participants, as well treated and untreated are used interchangeably.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A79"/>
    <w:multiLevelType w:val="multilevel"/>
    <w:tmpl w:val="3A0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5431F"/>
    <w:multiLevelType w:val="multilevel"/>
    <w:tmpl w:val="9DF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A26B9"/>
    <w:multiLevelType w:val="multilevel"/>
    <w:tmpl w:val="6560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F527C"/>
    <w:multiLevelType w:val="hybridMultilevel"/>
    <w:tmpl w:val="92F684BE"/>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F617F4B"/>
    <w:multiLevelType w:val="multilevel"/>
    <w:tmpl w:val="665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9F771D"/>
    <w:multiLevelType w:val="multilevel"/>
    <w:tmpl w:val="C6E8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D0503"/>
    <w:multiLevelType w:val="multilevel"/>
    <w:tmpl w:val="05D6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063D64"/>
    <w:multiLevelType w:val="multilevel"/>
    <w:tmpl w:val="CCD4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25EAF"/>
    <w:multiLevelType w:val="multilevel"/>
    <w:tmpl w:val="4FA83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E02284"/>
    <w:multiLevelType w:val="multilevel"/>
    <w:tmpl w:val="9F3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EC69CE"/>
    <w:multiLevelType w:val="hybridMultilevel"/>
    <w:tmpl w:val="92F684BE"/>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34F1BC0"/>
    <w:multiLevelType w:val="multilevel"/>
    <w:tmpl w:val="A99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5C19E6"/>
    <w:multiLevelType w:val="multilevel"/>
    <w:tmpl w:val="7454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35FA8"/>
    <w:multiLevelType w:val="multilevel"/>
    <w:tmpl w:val="F280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F3B85"/>
    <w:multiLevelType w:val="hybridMultilevel"/>
    <w:tmpl w:val="475AB9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BD5785"/>
    <w:multiLevelType w:val="hybridMultilevel"/>
    <w:tmpl w:val="92F684BE"/>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4"/>
  </w:num>
  <w:num w:numId="2">
    <w:abstractNumId w:val="15"/>
  </w:num>
  <w:num w:numId="3">
    <w:abstractNumId w:val="10"/>
  </w:num>
  <w:num w:numId="4">
    <w:abstractNumId w:val="3"/>
  </w:num>
  <w:num w:numId="5">
    <w:abstractNumId w:val="5"/>
  </w:num>
  <w:num w:numId="6">
    <w:abstractNumId w:val="12"/>
  </w:num>
  <w:num w:numId="7">
    <w:abstractNumId w:val="4"/>
  </w:num>
  <w:num w:numId="8">
    <w:abstractNumId w:val="8"/>
  </w:num>
  <w:num w:numId="9">
    <w:abstractNumId w:val="2"/>
  </w:num>
  <w:num w:numId="10">
    <w:abstractNumId w:val="6"/>
  </w:num>
  <w:num w:numId="11">
    <w:abstractNumId w:val="0"/>
  </w:num>
  <w:num w:numId="12">
    <w:abstractNumId w:val="7"/>
  </w:num>
  <w:num w:numId="13">
    <w:abstractNumId w:val="13"/>
  </w:num>
  <w:num w:numId="14">
    <w:abstractNumId w:val="9"/>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M7Q0MLY0MzYwMDBU0lEKTi0uzszPAykwqQUAdtWh5ywAAAA="/>
  </w:docVars>
  <w:rsids>
    <w:rsidRoot w:val="00CA74D4"/>
    <w:rsid w:val="00000028"/>
    <w:rsid w:val="00004885"/>
    <w:rsid w:val="00007E1A"/>
    <w:rsid w:val="0002727B"/>
    <w:rsid w:val="00035EB8"/>
    <w:rsid w:val="000375C7"/>
    <w:rsid w:val="00052388"/>
    <w:rsid w:val="00054591"/>
    <w:rsid w:val="00060F77"/>
    <w:rsid w:val="00062803"/>
    <w:rsid w:val="00063E6E"/>
    <w:rsid w:val="00067D48"/>
    <w:rsid w:val="00067E83"/>
    <w:rsid w:val="000719B7"/>
    <w:rsid w:val="00072B22"/>
    <w:rsid w:val="00076359"/>
    <w:rsid w:val="00076817"/>
    <w:rsid w:val="000775A8"/>
    <w:rsid w:val="00077AE9"/>
    <w:rsid w:val="000851D9"/>
    <w:rsid w:val="000857C9"/>
    <w:rsid w:val="0008621A"/>
    <w:rsid w:val="0008674D"/>
    <w:rsid w:val="00090B4A"/>
    <w:rsid w:val="00093F32"/>
    <w:rsid w:val="000A3776"/>
    <w:rsid w:val="000B1E38"/>
    <w:rsid w:val="000B2184"/>
    <w:rsid w:val="000B76D8"/>
    <w:rsid w:val="000D1877"/>
    <w:rsid w:val="000D6C82"/>
    <w:rsid w:val="000E72DB"/>
    <w:rsid w:val="000F155E"/>
    <w:rsid w:val="000F5935"/>
    <w:rsid w:val="00100E4B"/>
    <w:rsid w:val="00103E71"/>
    <w:rsid w:val="00110402"/>
    <w:rsid w:val="00111AE8"/>
    <w:rsid w:val="00113518"/>
    <w:rsid w:val="00120809"/>
    <w:rsid w:val="00135EF9"/>
    <w:rsid w:val="001406C7"/>
    <w:rsid w:val="00145361"/>
    <w:rsid w:val="001473AB"/>
    <w:rsid w:val="00147CBE"/>
    <w:rsid w:val="00147EB6"/>
    <w:rsid w:val="00150057"/>
    <w:rsid w:val="001634DD"/>
    <w:rsid w:val="00165E84"/>
    <w:rsid w:val="0016726E"/>
    <w:rsid w:val="00170349"/>
    <w:rsid w:val="0017336F"/>
    <w:rsid w:val="0017386A"/>
    <w:rsid w:val="00177545"/>
    <w:rsid w:val="00181933"/>
    <w:rsid w:val="00184DB2"/>
    <w:rsid w:val="00185F91"/>
    <w:rsid w:val="00186131"/>
    <w:rsid w:val="00191FE1"/>
    <w:rsid w:val="001B1382"/>
    <w:rsid w:val="001B23A0"/>
    <w:rsid w:val="001B64E4"/>
    <w:rsid w:val="001C287E"/>
    <w:rsid w:val="001C6F60"/>
    <w:rsid w:val="001D1CBF"/>
    <w:rsid w:val="001F455F"/>
    <w:rsid w:val="001F4E01"/>
    <w:rsid w:val="002050A1"/>
    <w:rsid w:val="00207320"/>
    <w:rsid w:val="00207B8D"/>
    <w:rsid w:val="002103C7"/>
    <w:rsid w:val="00222633"/>
    <w:rsid w:val="00224050"/>
    <w:rsid w:val="00224885"/>
    <w:rsid w:val="002250C5"/>
    <w:rsid w:val="00231EF6"/>
    <w:rsid w:val="00232D8C"/>
    <w:rsid w:val="0024245B"/>
    <w:rsid w:val="00247D3C"/>
    <w:rsid w:val="00252AF0"/>
    <w:rsid w:val="00263DA9"/>
    <w:rsid w:val="00267D0E"/>
    <w:rsid w:val="00270365"/>
    <w:rsid w:val="00272132"/>
    <w:rsid w:val="00280C07"/>
    <w:rsid w:val="00284AE3"/>
    <w:rsid w:val="00293AC5"/>
    <w:rsid w:val="002A035A"/>
    <w:rsid w:val="002A1500"/>
    <w:rsid w:val="002A2D2E"/>
    <w:rsid w:val="002B0389"/>
    <w:rsid w:val="002B3DD9"/>
    <w:rsid w:val="002B55C6"/>
    <w:rsid w:val="002B6EE8"/>
    <w:rsid w:val="002C772B"/>
    <w:rsid w:val="002D0E17"/>
    <w:rsid w:val="002D1C93"/>
    <w:rsid w:val="002D692C"/>
    <w:rsid w:val="002E29BD"/>
    <w:rsid w:val="002E3F6F"/>
    <w:rsid w:val="002E6C30"/>
    <w:rsid w:val="002F2750"/>
    <w:rsid w:val="002F7BF9"/>
    <w:rsid w:val="00305880"/>
    <w:rsid w:val="00306380"/>
    <w:rsid w:val="00311393"/>
    <w:rsid w:val="003144D6"/>
    <w:rsid w:val="0032385A"/>
    <w:rsid w:val="003241CD"/>
    <w:rsid w:val="0032770B"/>
    <w:rsid w:val="00331216"/>
    <w:rsid w:val="00332250"/>
    <w:rsid w:val="00342E23"/>
    <w:rsid w:val="003576B4"/>
    <w:rsid w:val="00365CE3"/>
    <w:rsid w:val="003673A7"/>
    <w:rsid w:val="00372CA3"/>
    <w:rsid w:val="00377387"/>
    <w:rsid w:val="003860DF"/>
    <w:rsid w:val="00395EB9"/>
    <w:rsid w:val="00397D6B"/>
    <w:rsid w:val="003A66C5"/>
    <w:rsid w:val="003A7EA8"/>
    <w:rsid w:val="003B49C5"/>
    <w:rsid w:val="003B502B"/>
    <w:rsid w:val="003D32D2"/>
    <w:rsid w:val="003D5111"/>
    <w:rsid w:val="003D7078"/>
    <w:rsid w:val="003E0CBF"/>
    <w:rsid w:val="003E2023"/>
    <w:rsid w:val="003E4E1A"/>
    <w:rsid w:val="003E6D6A"/>
    <w:rsid w:val="003F48C8"/>
    <w:rsid w:val="00400F31"/>
    <w:rsid w:val="00402ABC"/>
    <w:rsid w:val="0040572B"/>
    <w:rsid w:val="00406A86"/>
    <w:rsid w:val="00410686"/>
    <w:rsid w:val="00415B46"/>
    <w:rsid w:val="0042164F"/>
    <w:rsid w:val="00426729"/>
    <w:rsid w:val="00433D5A"/>
    <w:rsid w:val="00441D2A"/>
    <w:rsid w:val="00453C74"/>
    <w:rsid w:val="00455407"/>
    <w:rsid w:val="00456EB3"/>
    <w:rsid w:val="004618E4"/>
    <w:rsid w:val="00461F28"/>
    <w:rsid w:val="004763A6"/>
    <w:rsid w:val="00476C42"/>
    <w:rsid w:val="00485861"/>
    <w:rsid w:val="00485D6B"/>
    <w:rsid w:val="004920F5"/>
    <w:rsid w:val="00492864"/>
    <w:rsid w:val="004946D0"/>
    <w:rsid w:val="004A74CF"/>
    <w:rsid w:val="004B0F73"/>
    <w:rsid w:val="004B6D94"/>
    <w:rsid w:val="004B7066"/>
    <w:rsid w:val="004C7A05"/>
    <w:rsid w:val="004D2056"/>
    <w:rsid w:val="004D33C7"/>
    <w:rsid w:val="004D60EB"/>
    <w:rsid w:val="004E0ECE"/>
    <w:rsid w:val="004F7D83"/>
    <w:rsid w:val="005105E4"/>
    <w:rsid w:val="00522854"/>
    <w:rsid w:val="005266DF"/>
    <w:rsid w:val="00531090"/>
    <w:rsid w:val="005406CE"/>
    <w:rsid w:val="00565BB7"/>
    <w:rsid w:val="00567EB1"/>
    <w:rsid w:val="00570425"/>
    <w:rsid w:val="005724B7"/>
    <w:rsid w:val="00575A91"/>
    <w:rsid w:val="00575B5E"/>
    <w:rsid w:val="005813E7"/>
    <w:rsid w:val="00584703"/>
    <w:rsid w:val="00585AA8"/>
    <w:rsid w:val="00585F5D"/>
    <w:rsid w:val="005862A8"/>
    <w:rsid w:val="00591B7C"/>
    <w:rsid w:val="00591FC1"/>
    <w:rsid w:val="005A4AD4"/>
    <w:rsid w:val="005A7CE2"/>
    <w:rsid w:val="005B090B"/>
    <w:rsid w:val="005B3DF2"/>
    <w:rsid w:val="005C0C87"/>
    <w:rsid w:val="005C56F0"/>
    <w:rsid w:val="005C5FEA"/>
    <w:rsid w:val="005D03C7"/>
    <w:rsid w:val="005D410C"/>
    <w:rsid w:val="005D4F02"/>
    <w:rsid w:val="005E2B16"/>
    <w:rsid w:val="005E4839"/>
    <w:rsid w:val="005E6680"/>
    <w:rsid w:val="005F1031"/>
    <w:rsid w:val="005F18B7"/>
    <w:rsid w:val="005F22A8"/>
    <w:rsid w:val="00601988"/>
    <w:rsid w:val="006062AF"/>
    <w:rsid w:val="00606727"/>
    <w:rsid w:val="00612E58"/>
    <w:rsid w:val="00614B12"/>
    <w:rsid w:val="00623DB2"/>
    <w:rsid w:val="0063344B"/>
    <w:rsid w:val="00635B98"/>
    <w:rsid w:val="00641970"/>
    <w:rsid w:val="00643876"/>
    <w:rsid w:val="006469B8"/>
    <w:rsid w:val="006560BC"/>
    <w:rsid w:val="006574F7"/>
    <w:rsid w:val="00662046"/>
    <w:rsid w:val="006649F6"/>
    <w:rsid w:val="00672ADC"/>
    <w:rsid w:val="00673D94"/>
    <w:rsid w:val="0067630F"/>
    <w:rsid w:val="0067634B"/>
    <w:rsid w:val="00677CA5"/>
    <w:rsid w:val="00683BFD"/>
    <w:rsid w:val="006848D7"/>
    <w:rsid w:val="00690BA6"/>
    <w:rsid w:val="006A473A"/>
    <w:rsid w:val="006A514F"/>
    <w:rsid w:val="006A6B69"/>
    <w:rsid w:val="006B5505"/>
    <w:rsid w:val="006B65D2"/>
    <w:rsid w:val="006D69F1"/>
    <w:rsid w:val="006E29F0"/>
    <w:rsid w:val="006E3826"/>
    <w:rsid w:val="006F188F"/>
    <w:rsid w:val="006F2753"/>
    <w:rsid w:val="006F7FC0"/>
    <w:rsid w:val="00700025"/>
    <w:rsid w:val="0070141B"/>
    <w:rsid w:val="007036A4"/>
    <w:rsid w:val="007045CC"/>
    <w:rsid w:val="00715E95"/>
    <w:rsid w:val="00716050"/>
    <w:rsid w:val="00717B54"/>
    <w:rsid w:val="00722FD3"/>
    <w:rsid w:val="00723CBC"/>
    <w:rsid w:val="00727B48"/>
    <w:rsid w:val="00730134"/>
    <w:rsid w:val="007308BF"/>
    <w:rsid w:val="007349DC"/>
    <w:rsid w:val="007412E0"/>
    <w:rsid w:val="00741E47"/>
    <w:rsid w:val="007507E3"/>
    <w:rsid w:val="007520AB"/>
    <w:rsid w:val="007526D4"/>
    <w:rsid w:val="007701C2"/>
    <w:rsid w:val="00775A99"/>
    <w:rsid w:val="007819ED"/>
    <w:rsid w:val="0078282D"/>
    <w:rsid w:val="007838D4"/>
    <w:rsid w:val="0078568E"/>
    <w:rsid w:val="00792665"/>
    <w:rsid w:val="00795790"/>
    <w:rsid w:val="007A5164"/>
    <w:rsid w:val="007A6BFD"/>
    <w:rsid w:val="007A6C1B"/>
    <w:rsid w:val="007A756C"/>
    <w:rsid w:val="007B410C"/>
    <w:rsid w:val="007C6A4A"/>
    <w:rsid w:val="007D0118"/>
    <w:rsid w:val="007D23FC"/>
    <w:rsid w:val="007D273B"/>
    <w:rsid w:val="007D698D"/>
    <w:rsid w:val="007E7F28"/>
    <w:rsid w:val="007F1848"/>
    <w:rsid w:val="007F6D62"/>
    <w:rsid w:val="0080019D"/>
    <w:rsid w:val="00807251"/>
    <w:rsid w:val="00810A39"/>
    <w:rsid w:val="00814EAB"/>
    <w:rsid w:val="0081734D"/>
    <w:rsid w:val="00820537"/>
    <w:rsid w:val="00825EDB"/>
    <w:rsid w:val="00833108"/>
    <w:rsid w:val="0083355E"/>
    <w:rsid w:val="00833E43"/>
    <w:rsid w:val="0083749A"/>
    <w:rsid w:val="00844573"/>
    <w:rsid w:val="00845150"/>
    <w:rsid w:val="00851576"/>
    <w:rsid w:val="008533D8"/>
    <w:rsid w:val="00855209"/>
    <w:rsid w:val="00856C27"/>
    <w:rsid w:val="00857484"/>
    <w:rsid w:val="00860041"/>
    <w:rsid w:val="00861E35"/>
    <w:rsid w:val="00865964"/>
    <w:rsid w:val="00866F04"/>
    <w:rsid w:val="008739F0"/>
    <w:rsid w:val="00875366"/>
    <w:rsid w:val="00877549"/>
    <w:rsid w:val="00881D72"/>
    <w:rsid w:val="008977F4"/>
    <w:rsid w:val="008C01FB"/>
    <w:rsid w:val="008C0C03"/>
    <w:rsid w:val="008C0FB7"/>
    <w:rsid w:val="008C5202"/>
    <w:rsid w:val="008C531F"/>
    <w:rsid w:val="008C5984"/>
    <w:rsid w:val="008D2792"/>
    <w:rsid w:val="008D3D3D"/>
    <w:rsid w:val="008E0CDF"/>
    <w:rsid w:val="008E199B"/>
    <w:rsid w:val="008E1B85"/>
    <w:rsid w:val="008E28DF"/>
    <w:rsid w:val="008E416B"/>
    <w:rsid w:val="008E524D"/>
    <w:rsid w:val="008F0F7F"/>
    <w:rsid w:val="008F15FE"/>
    <w:rsid w:val="008F2258"/>
    <w:rsid w:val="008F2829"/>
    <w:rsid w:val="008F42FC"/>
    <w:rsid w:val="008F468A"/>
    <w:rsid w:val="008F5CAD"/>
    <w:rsid w:val="009039BF"/>
    <w:rsid w:val="00910825"/>
    <w:rsid w:val="00913FBA"/>
    <w:rsid w:val="00922713"/>
    <w:rsid w:val="00923265"/>
    <w:rsid w:val="00930AF8"/>
    <w:rsid w:val="009379E1"/>
    <w:rsid w:val="00937E60"/>
    <w:rsid w:val="00945AF3"/>
    <w:rsid w:val="00955604"/>
    <w:rsid w:val="00957E43"/>
    <w:rsid w:val="00960421"/>
    <w:rsid w:val="00960EA5"/>
    <w:rsid w:val="0096697D"/>
    <w:rsid w:val="00971B8F"/>
    <w:rsid w:val="009732EA"/>
    <w:rsid w:val="0097520A"/>
    <w:rsid w:val="009804DD"/>
    <w:rsid w:val="00981686"/>
    <w:rsid w:val="009827A5"/>
    <w:rsid w:val="00993542"/>
    <w:rsid w:val="00997938"/>
    <w:rsid w:val="009A05F8"/>
    <w:rsid w:val="009A16A4"/>
    <w:rsid w:val="009A365B"/>
    <w:rsid w:val="009A3740"/>
    <w:rsid w:val="009A4238"/>
    <w:rsid w:val="009A77F1"/>
    <w:rsid w:val="009B22AB"/>
    <w:rsid w:val="009B2429"/>
    <w:rsid w:val="009B3196"/>
    <w:rsid w:val="009C06C5"/>
    <w:rsid w:val="009C1E75"/>
    <w:rsid w:val="009C497F"/>
    <w:rsid w:val="009D3701"/>
    <w:rsid w:val="009D44ED"/>
    <w:rsid w:val="009D47B5"/>
    <w:rsid w:val="009E1E02"/>
    <w:rsid w:val="009F52C3"/>
    <w:rsid w:val="009F6DBE"/>
    <w:rsid w:val="00A02989"/>
    <w:rsid w:val="00A05D8A"/>
    <w:rsid w:val="00A066BD"/>
    <w:rsid w:val="00A1002A"/>
    <w:rsid w:val="00A104F4"/>
    <w:rsid w:val="00A11723"/>
    <w:rsid w:val="00A11EA5"/>
    <w:rsid w:val="00A138C7"/>
    <w:rsid w:val="00A1690D"/>
    <w:rsid w:val="00A22C93"/>
    <w:rsid w:val="00A23667"/>
    <w:rsid w:val="00A23EA3"/>
    <w:rsid w:val="00A26DEF"/>
    <w:rsid w:val="00A33BD0"/>
    <w:rsid w:val="00A40102"/>
    <w:rsid w:val="00A4299E"/>
    <w:rsid w:val="00A470C0"/>
    <w:rsid w:val="00A51274"/>
    <w:rsid w:val="00A51514"/>
    <w:rsid w:val="00A535DA"/>
    <w:rsid w:val="00A5599E"/>
    <w:rsid w:val="00A55EC9"/>
    <w:rsid w:val="00A56461"/>
    <w:rsid w:val="00A60418"/>
    <w:rsid w:val="00A60CC3"/>
    <w:rsid w:val="00A75605"/>
    <w:rsid w:val="00AA0DB4"/>
    <w:rsid w:val="00AC1987"/>
    <w:rsid w:val="00AC20D4"/>
    <w:rsid w:val="00AC6A8D"/>
    <w:rsid w:val="00AC73D6"/>
    <w:rsid w:val="00AD0097"/>
    <w:rsid w:val="00AD0DDE"/>
    <w:rsid w:val="00AD548F"/>
    <w:rsid w:val="00AD688B"/>
    <w:rsid w:val="00AE13DE"/>
    <w:rsid w:val="00AE31FC"/>
    <w:rsid w:val="00B20251"/>
    <w:rsid w:val="00B21E94"/>
    <w:rsid w:val="00B26B85"/>
    <w:rsid w:val="00B3250E"/>
    <w:rsid w:val="00B549EC"/>
    <w:rsid w:val="00B553F0"/>
    <w:rsid w:val="00B570C7"/>
    <w:rsid w:val="00B6344F"/>
    <w:rsid w:val="00B67073"/>
    <w:rsid w:val="00B67F7B"/>
    <w:rsid w:val="00B745BE"/>
    <w:rsid w:val="00B76D13"/>
    <w:rsid w:val="00B76FF2"/>
    <w:rsid w:val="00B770E6"/>
    <w:rsid w:val="00B80E41"/>
    <w:rsid w:val="00B914B8"/>
    <w:rsid w:val="00B925CB"/>
    <w:rsid w:val="00B93579"/>
    <w:rsid w:val="00B935C2"/>
    <w:rsid w:val="00B97096"/>
    <w:rsid w:val="00BA3FED"/>
    <w:rsid w:val="00BA43F4"/>
    <w:rsid w:val="00BA5D70"/>
    <w:rsid w:val="00BB0672"/>
    <w:rsid w:val="00BB2E49"/>
    <w:rsid w:val="00BB4271"/>
    <w:rsid w:val="00BB6F03"/>
    <w:rsid w:val="00BC76F3"/>
    <w:rsid w:val="00BD5FD0"/>
    <w:rsid w:val="00BE1F3C"/>
    <w:rsid w:val="00BE5074"/>
    <w:rsid w:val="00BE7F60"/>
    <w:rsid w:val="00BF306E"/>
    <w:rsid w:val="00BF401E"/>
    <w:rsid w:val="00C030FA"/>
    <w:rsid w:val="00C0444D"/>
    <w:rsid w:val="00C07552"/>
    <w:rsid w:val="00C10C76"/>
    <w:rsid w:val="00C1112B"/>
    <w:rsid w:val="00C15D02"/>
    <w:rsid w:val="00C21D8A"/>
    <w:rsid w:val="00C26C30"/>
    <w:rsid w:val="00C333CE"/>
    <w:rsid w:val="00C34039"/>
    <w:rsid w:val="00C45A2B"/>
    <w:rsid w:val="00C5083F"/>
    <w:rsid w:val="00C5169F"/>
    <w:rsid w:val="00C5170C"/>
    <w:rsid w:val="00C52ADB"/>
    <w:rsid w:val="00C571C0"/>
    <w:rsid w:val="00C60C6F"/>
    <w:rsid w:val="00C6401A"/>
    <w:rsid w:val="00C65841"/>
    <w:rsid w:val="00C669B0"/>
    <w:rsid w:val="00C71C8B"/>
    <w:rsid w:val="00C953E6"/>
    <w:rsid w:val="00C961F8"/>
    <w:rsid w:val="00CA00DD"/>
    <w:rsid w:val="00CA148E"/>
    <w:rsid w:val="00CA57E0"/>
    <w:rsid w:val="00CA6CC6"/>
    <w:rsid w:val="00CA74D4"/>
    <w:rsid w:val="00CB2A14"/>
    <w:rsid w:val="00CB4578"/>
    <w:rsid w:val="00CC0F6E"/>
    <w:rsid w:val="00CC1C37"/>
    <w:rsid w:val="00CC2823"/>
    <w:rsid w:val="00CC670C"/>
    <w:rsid w:val="00CD2FFD"/>
    <w:rsid w:val="00CD53B4"/>
    <w:rsid w:val="00CD7534"/>
    <w:rsid w:val="00CE497F"/>
    <w:rsid w:val="00CE55FA"/>
    <w:rsid w:val="00CE6336"/>
    <w:rsid w:val="00CF1454"/>
    <w:rsid w:val="00CF2888"/>
    <w:rsid w:val="00CF29D1"/>
    <w:rsid w:val="00D100E1"/>
    <w:rsid w:val="00D13248"/>
    <w:rsid w:val="00D144B5"/>
    <w:rsid w:val="00D2181B"/>
    <w:rsid w:val="00D21F3E"/>
    <w:rsid w:val="00D26C08"/>
    <w:rsid w:val="00D27BAD"/>
    <w:rsid w:val="00D27CFB"/>
    <w:rsid w:val="00D32177"/>
    <w:rsid w:val="00D36B7A"/>
    <w:rsid w:val="00D40DDB"/>
    <w:rsid w:val="00D42662"/>
    <w:rsid w:val="00D5175B"/>
    <w:rsid w:val="00D51C35"/>
    <w:rsid w:val="00D52834"/>
    <w:rsid w:val="00D53AD4"/>
    <w:rsid w:val="00D54883"/>
    <w:rsid w:val="00D56822"/>
    <w:rsid w:val="00D60D84"/>
    <w:rsid w:val="00D75CE0"/>
    <w:rsid w:val="00D75E92"/>
    <w:rsid w:val="00D80908"/>
    <w:rsid w:val="00D8673E"/>
    <w:rsid w:val="00D90E2A"/>
    <w:rsid w:val="00D93331"/>
    <w:rsid w:val="00D97BED"/>
    <w:rsid w:val="00DA0826"/>
    <w:rsid w:val="00DA4A4E"/>
    <w:rsid w:val="00DA765F"/>
    <w:rsid w:val="00DA7694"/>
    <w:rsid w:val="00DB0D3C"/>
    <w:rsid w:val="00DB4F9D"/>
    <w:rsid w:val="00DC2C00"/>
    <w:rsid w:val="00DD52DC"/>
    <w:rsid w:val="00DD561B"/>
    <w:rsid w:val="00DD5FA7"/>
    <w:rsid w:val="00DD6625"/>
    <w:rsid w:val="00DE0D51"/>
    <w:rsid w:val="00DE3B04"/>
    <w:rsid w:val="00DE4AAE"/>
    <w:rsid w:val="00E00756"/>
    <w:rsid w:val="00E03AB6"/>
    <w:rsid w:val="00E1028E"/>
    <w:rsid w:val="00E10C81"/>
    <w:rsid w:val="00E16C0C"/>
    <w:rsid w:val="00E21E75"/>
    <w:rsid w:val="00E26C37"/>
    <w:rsid w:val="00E37441"/>
    <w:rsid w:val="00E4253B"/>
    <w:rsid w:val="00E4462E"/>
    <w:rsid w:val="00E457DF"/>
    <w:rsid w:val="00E562A6"/>
    <w:rsid w:val="00E63068"/>
    <w:rsid w:val="00E6583B"/>
    <w:rsid w:val="00E66F11"/>
    <w:rsid w:val="00E71D33"/>
    <w:rsid w:val="00E7298E"/>
    <w:rsid w:val="00E72BD1"/>
    <w:rsid w:val="00E73724"/>
    <w:rsid w:val="00E74896"/>
    <w:rsid w:val="00E8135E"/>
    <w:rsid w:val="00E82B8E"/>
    <w:rsid w:val="00E82ED9"/>
    <w:rsid w:val="00E859CB"/>
    <w:rsid w:val="00E868AE"/>
    <w:rsid w:val="00E944E9"/>
    <w:rsid w:val="00E9760F"/>
    <w:rsid w:val="00EA2E16"/>
    <w:rsid w:val="00EA6C14"/>
    <w:rsid w:val="00EB0BA9"/>
    <w:rsid w:val="00EB7912"/>
    <w:rsid w:val="00EC7060"/>
    <w:rsid w:val="00ED21DF"/>
    <w:rsid w:val="00ED2910"/>
    <w:rsid w:val="00ED365C"/>
    <w:rsid w:val="00ED7EB9"/>
    <w:rsid w:val="00EE3735"/>
    <w:rsid w:val="00EE3EAA"/>
    <w:rsid w:val="00EE62A4"/>
    <w:rsid w:val="00EF0FC8"/>
    <w:rsid w:val="00EF2938"/>
    <w:rsid w:val="00F003B9"/>
    <w:rsid w:val="00F03729"/>
    <w:rsid w:val="00F03FD2"/>
    <w:rsid w:val="00F138F6"/>
    <w:rsid w:val="00F46D64"/>
    <w:rsid w:val="00F5095C"/>
    <w:rsid w:val="00F51A1E"/>
    <w:rsid w:val="00F51EB5"/>
    <w:rsid w:val="00F53392"/>
    <w:rsid w:val="00F568B5"/>
    <w:rsid w:val="00F607C3"/>
    <w:rsid w:val="00F63FF0"/>
    <w:rsid w:val="00F66410"/>
    <w:rsid w:val="00F72E0E"/>
    <w:rsid w:val="00F84B78"/>
    <w:rsid w:val="00F858BA"/>
    <w:rsid w:val="00F86133"/>
    <w:rsid w:val="00F93030"/>
    <w:rsid w:val="00F9621E"/>
    <w:rsid w:val="00F962C2"/>
    <w:rsid w:val="00FA0249"/>
    <w:rsid w:val="00FA6218"/>
    <w:rsid w:val="00FB5092"/>
    <w:rsid w:val="00FB7190"/>
    <w:rsid w:val="00FC37BA"/>
    <w:rsid w:val="00FC4378"/>
    <w:rsid w:val="00FD0295"/>
    <w:rsid w:val="00FD227F"/>
    <w:rsid w:val="00FD53C6"/>
    <w:rsid w:val="00FE453A"/>
    <w:rsid w:val="00FF1E42"/>
    <w:rsid w:val="00FF4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1243E"/>
  <w15:docId w15:val="{F41F9A1B-845B-9B4A-AD21-198891DE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7D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A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F1031"/>
    <w:rPr>
      <w:color w:val="808080"/>
    </w:rPr>
  </w:style>
  <w:style w:type="character" w:styleId="CommentReference">
    <w:name w:val="annotation reference"/>
    <w:basedOn w:val="DefaultParagraphFont"/>
    <w:uiPriority w:val="99"/>
    <w:semiHidden/>
    <w:unhideWhenUsed/>
    <w:rsid w:val="00433D5A"/>
    <w:rPr>
      <w:sz w:val="16"/>
      <w:szCs w:val="16"/>
    </w:rPr>
  </w:style>
  <w:style w:type="paragraph" w:styleId="CommentText">
    <w:name w:val="annotation text"/>
    <w:basedOn w:val="Normal"/>
    <w:link w:val="CommentTextChar"/>
    <w:uiPriority w:val="99"/>
    <w:semiHidden/>
    <w:unhideWhenUsed/>
    <w:rsid w:val="00433D5A"/>
    <w:pPr>
      <w:spacing w:line="240" w:lineRule="auto"/>
    </w:pPr>
    <w:rPr>
      <w:sz w:val="20"/>
      <w:szCs w:val="20"/>
    </w:rPr>
  </w:style>
  <w:style w:type="character" w:customStyle="1" w:styleId="CommentTextChar">
    <w:name w:val="Comment Text Char"/>
    <w:basedOn w:val="DefaultParagraphFont"/>
    <w:link w:val="CommentText"/>
    <w:uiPriority w:val="99"/>
    <w:semiHidden/>
    <w:rsid w:val="00433D5A"/>
    <w:rPr>
      <w:sz w:val="20"/>
      <w:szCs w:val="20"/>
    </w:rPr>
  </w:style>
  <w:style w:type="paragraph" w:styleId="CommentSubject">
    <w:name w:val="annotation subject"/>
    <w:basedOn w:val="CommentText"/>
    <w:next w:val="CommentText"/>
    <w:link w:val="CommentSubjectChar"/>
    <w:uiPriority w:val="99"/>
    <w:semiHidden/>
    <w:unhideWhenUsed/>
    <w:rsid w:val="00433D5A"/>
    <w:rPr>
      <w:b/>
      <w:bCs/>
    </w:rPr>
  </w:style>
  <w:style w:type="character" w:customStyle="1" w:styleId="CommentSubjectChar">
    <w:name w:val="Comment Subject Char"/>
    <w:basedOn w:val="CommentTextChar"/>
    <w:link w:val="CommentSubject"/>
    <w:uiPriority w:val="99"/>
    <w:semiHidden/>
    <w:rsid w:val="00433D5A"/>
    <w:rPr>
      <w:b/>
      <w:bCs/>
      <w:sz w:val="20"/>
      <w:szCs w:val="20"/>
    </w:rPr>
  </w:style>
  <w:style w:type="paragraph" w:styleId="BalloonText">
    <w:name w:val="Balloon Text"/>
    <w:basedOn w:val="Normal"/>
    <w:link w:val="BalloonTextChar"/>
    <w:uiPriority w:val="99"/>
    <w:semiHidden/>
    <w:unhideWhenUsed/>
    <w:rsid w:val="00433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5A"/>
    <w:rPr>
      <w:rFonts w:ascii="Segoe UI" w:hAnsi="Segoe UI" w:cs="Segoe UI"/>
      <w:sz w:val="18"/>
      <w:szCs w:val="18"/>
    </w:rPr>
  </w:style>
  <w:style w:type="paragraph" w:styleId="ListParagraph">
    <w:name w:val="List Paragraph"/>
    <w:basedOn w:val="Normal"/>
    <w:uiPriority w:val="34"/>
    <w:qFormat/>
    <w:rsid w:val="00000028"/>
    <w:pPr>
      <w:spacing w:after="200" w:line="276" w:lineRule="auto"/>
      <w:ind w:left="720"/>
      <w:contextualSpacing/>
    </w:pPr>
    <w:rPr>
      <w:lang w:val="de-DE"/>
    </w:rPr>
  </w:style>
  <w:style w:type="paragraph" w:styleId="FootnoteText">
    <w:name w:val="footnote text"/>
    <w:basedOn w:val="Normal"/>
    <w:link w:val="FootnoteTextChar"/>
    <w:uiPriority w:val="99"/>
    <w:semiHidden/>
    <w:unhideWhenUsed/>
    <w:rsid w:val="00F664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410"/>
    <w:rPr>
      <w:sz w:val="20"/>
      <w:szCs w:val="20"/>
    </w:rPr>
  </w:style>
  <w:style w:type="character" w:styleId="FootnoteReference">
    <w:name w:val="footnote reference"/>
    <w:basedOn w:val="DefaultParagraphFont"/>
    <w:uiPriority w:val="99"/>
    <w:semiHidden/>
    <w:unhideWhenUsed/>
    <w:rsid w:val="00F66410"/>
    <w:rPr>
      <w:vertAlign w:val="superscript"/>
    </w:rPr>
  </w:style>
  <w:style w:type="character" w:customStyle="1" w:styleId="A4">
    <w:name w:val="A4"/>
    <w:uiPriority w:val="99"/>
    <w:rsid w:val="00FF1E42"/>
    <w:rPr>
      <w:rFonts w:cs="HelveticaNeueLT Std Lt"/>
      <w:color w:val="000000"/>
      <w:sz w:val="19"/>
      <w:szCs w:val="19"/>
    </w:rPr>
  </w:style>
  <w:style w:type="paragraph" w:styleId="NormalWeb">
    <w:name w:val="Normal (Web)"/>
    <w:basedOn w:val="Normal"/>
    <w:uiPriority w:val="99"/>
    <w:semiHidden/>
    <w:unhideWhenUsed/>
    <w:rsid w:val="008F0F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0F7F"/>
    <w:rPr>
      <w:b/>
      <w:bCs/>
    </w:rPr>
  </w:style>
  <w:style w:type="character" w:customStyle="1" w:styleId="apple-converted-space">
    <w:name w:val="apple-converted-space"/>
    <w:basedOn w:val="DefaultParagraphFont"/>
    <w:rsid w:val="008F0F7F"/>
  </w:style>
  <w:style w:type="character" w:styleId="Emphasis">
    <w:name w:val="Emphasis"/>
    <w:basedOn w:val="DefaultParagraphFont"/>
    <w:uiPriority w:val="20"/>
    <w:qFormat/>
    <w:rsid w:val="008F0F7F"/>
    <w:rPr>
      <w:i/>
      <w:iCs/>
    </w:rPr>
  </w:style>
  <w:style w:type="character" w:styleId="Hyperlink">
    <w:name w:val="Hyperlink"/>
    <w:basedOn w:val="DefaultParagraphFont"/>
    <w:uiPriority w:val="99"/>
    <w:unhideWhenUsed/>
    <w:rsid w:val="009A365B"/>
    <w:rPr>
      <w:color w:val="0563C1" w:themeColor="hyperlink"/>
      <w:u w:val="single"/>
    </w:rPr>
  </w:style>
  <w:style w:type="character" w:customStyle="1" w:styleId="Heading2Char">
    <w:name w:val="Heading 2 Char"/>
    <w:basedOn w:val="DefaultParagraphFont"/>
    <w:link w:val="Heading2"/>
    <w:uiPriority w:val="9"/>
    <w:rsid w:val="00067D48"/>
    <w:rPr>
      <w:rFonts w:ascii="Times New Roman" w:eastAsia="Times New Roman" w:hAnsi="Times New Roman" w:cs="Times New Roman"/>
      <w:b/>
      <w:bCs/>
      <w:sz w:val="36"/>
      <w:szCs w:val="36"/>
      <w:lang w:eastAsia="en-GB"/>
    </w:rPr>
  </w:style>
  <w:style w:type="paragraph" w:styleId="Footer">
    <w:name w:val="footer"/>
    <w:basedOn w:val="Normal"/>
    <w:link w:val="FooterChar"/>
    <w:uiPriority w:val="99"/>
    <w:unhideWhenUsed/>
    <w:rsid w:val="001473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73AB"/>
  </w:style>
  <w:style w:type="character" w:styleId="PageNumber">
    <w:name w:val="page number"/>
    <w:basedOn w:val="DefaultParagraphFont"/>
    <w:uiPriority w:val="99"/>
    <w:semiHidden/>
    <w:unhideWhenUsed/>
    <w:rsid w:val="001473AB"/>
  </w:style>
  <w:style w:type="paragraph" w:styleId="Header">
    <w:name w:val="header"/>
    <w:basedOn w:val="Normal"/>
    <w:link w:val="HeaderChar"/>
    <w:uiPriority w:val="99"/>
    <w:unhideWhenUsed/>
    <w:rsid w:val="001500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057"/>
  </w:style>
  <w:style w:type="paragraph" w:styleId="Revision">
    <w:name w:val="Revision"/>
    <w:hidden/>
    <w:uiPriority w:val="99"/>
    <w:semiHidden/>
    <w:rsid w:val="005E2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7950">
      <w:bodyDiv w:val="1"/>
      <w:marLeft w:val="0"/>
      <w:marRight w:val="0"/>
      <w:marTop w:val="0"/>
      <w:marBottom w:val="0"/>
      <w:divBdr>
        <w:top w:val="none" w:sz="0" w:space="0" w:color="auto"/>
        <w:left w:val="none" w:sz="0" w:space="0" w:color="auto"/>
        <w:bottom w:val="none" w:sz="0" w:space="0" w:color="auto"/>
        <w:right w:val="none" w:sz="0" w:space="0" w:color="auto"/>
      </w:divBdr>
    </w:div>
    <w:div w:id="136654802">
      <w:bodyDiv w:val="1"/>
      <w:marLeft w:val="0"/>
      <w:marRight w:val="0"/>
      <w:marTop w:val="0"/>
      <w:marBottom w:val="0"/>
      <w:divBdr>
        <w:top w:val="none" w:sz="0" w:space="0" w:color="auto"/>
        <w:left w:val="none" w:sz="0" w:space="0" w:color="auto"/>
        <w:bottom w:val="none" w:sz="0" w:space="0" w:color="auto"/>
        <w:right w:val="none" w:sz="0" w:space="0" w:color="auto"/>
      </w:divBdr>
    </w:div>
    <w:div w:id="183783822">
      <w:bodyDiv w:val="1"/>
      <w:marLeft w:val="0"/>
      <w:marRight w:val="0"/>
      <w:marTop w:val="0"/>
      <w:marBottom w:val="0"/>
      <w:divBdr>
        <w:top w:val="none" w:sz="0" w:space="0" w:color="auto"/>
        <w:left w:val="none" w:sz="0" w:space="0" w:color="auto"/>
        <w:bottom w:val="none" w:sz="0" w:space="0" w:color="auto"/>
        <w:right w:val="none" w:sz="0" w:space="0" w:color="auto"/>
      </w:divBdr>
    </w:div>
    <w:div w:id="211040858">
      <w:bodyDiv w:val="1"/>
      <w:marLeft w:val="0"/>
      <w:marRight w:val="0"/>
      <w:marTop w:val="0"/>
      <w:marBottom w:val="0"/>
      <w:divBdr>
        <w:top w:val="none" w:sz="0" w:space="0" w:color="auto"/>
        <w:left w:val="none" w:sz="0" w:space="0" w:color="auto"/>
        <w:bottom w:val="none" w:sz="0" w:space="0" w:color="auto"/>
        <w:right w:val="none" w:sz="0" w:space="0" w:color="auto"/>
      </w:divBdr>
    </w:div>
    <w:div w:id="274487058">
      <w:bodyDiv w:val="1"/>
      <w:marLeft w:val="0"/>
      <w:marRight w:val="0"/>
      <w:marTop w:val="0"/>
      <w:marBottom w:val="0"/>
      <w:divBdr>
        <w:top w:val="none" w:sz="0" w:space="0" w:color="auto"/>
        <w:left w:val="none" w:sz="0" w:space="0" w:color="auto"/>
        <w:bottom w:val="none" w:sz="0" w:space="0" w:color="auto"/>
        <w:right w:val="none" w:sz="0" w:space="0" w:color="auto"/>
      </w:divBdr>
    </w:div>
    <w:div w:id="289480617">
      <w:bodyDiv w:val="1"/>
      <w:marLeft w:val="0"/>
      <w:marRight w:val="0"/>
      <w:marTop w:val="0"/>
      <w:marBottom w:val="0"/>
      <w:divBdr>
        <w:top w:val="none" w:sz="0" w:space="0" w:color="auto"/>
        <w:left w:val="none" w:sz="0" w:space="0" w:color="auto"/>
        <w:bottom w:val="none" w:sz="0" w:space="0" w:color="auto"/>
        <w:right w:val="none" w:sz="0" w:space="0" w:color="auto"/>
      </w:divBdr>
    </w:div>
    <w:div w:id="666323288">
      <w:bodyDiv w:val="1"/>
      <w:marLeft w:val="0"/>
      <w:marRight w:val="0"/>
      <w:marTop w:val="0"/>
      <w:marBottom w:val="0"/>
      <w:divBdr>
        <w:top w:val="none" w:sz="0" w:space="0" w:color="auto"/>
        <w:left w:val="none" w:sz="0" w:space="0" w:color="auto"/>
        <w:bottom w:val="none" w:sz="0" w:space="0" w:color="auto"/>
        <w:right w:val="none" w:sz="0" w:space="0" w:color="auto"/>
      </w:divBdr>
    </w:div>
    <w:div w:id="877816610">
      <w:bodyDiv w:val="1"/>
      <w:marLeft w:val="0"/>
      <w:marRight w:val="0"/>
      <w:marTop w:val="0"/>
      <w:marBottom w:val="0"/>
      <w:divBdr>
        <w:top w:val="none" w:sz="0" w:space="0" w:color="auto"/>
        <w:left w:val="none" w:sz="0" w:space="0" w:color="auto"/>
        <w:bottom w:val="none" w:sz="0" w:space="0" w:color="auto"/>
        <w:right w:val="none" w:sz="0" w:space="0" w:color="auto"/>
      </w:divBdr>
    </w:div>
    <w:div w:id="1217203461">
      <w:bodyDiv w:val="1"/>
      <w:marLeft w:val="0"/>
      <w:marRight w:val="0"/>
      <w:marTop w:val="0"/>
      <w:marBottom w:val="0"/>
      <w:divBdr>
        <w:top w:val="none" w:sz="0" w:space="0" w:color="auto"/>
        <w:left w:val="none" w:sz="0" w:space="0" w:color="auto"/>
        <w:bottom w:val="none" w:sz="0" w:space="0" w:color="auto"/>
        <w:right w:val="none" w:sz="0" w:space="0" w:color="auto"/>
      </w:divBdr>
    </w:div>
    <w:div w:id="1315184191">
      <w:bodyDiv w:val="1"/>
      <w:marLeft w:val="0"/>
      <w:marRight w:val="0"/>
      <w:marTop w:val="0"/>
      <w:marBottom w:val="0"/>
      <w:divBdr>
        <w:top w:val="none" w:sz="0" w:space="0" w:color="auto"/>
        <w:left w:val="none" w:sz="0" w:space="0" w:color="auto"/>
        <w:bottom w:val="none" w:sz="0" w:space="0" w:color="auto"/>
        <w:right w:val="none" w:sz="0" w:space="0" w:color="auto"/>
      </w:divBdr>
      <w:divsChild>
        <w:div w:id="1693648013">
          <w:marLeft w:val="0"/>
          <w:marRight w:val="0"/>
          <w:marTop w:val="0"/>
          <w:marBottom w:val="0"/>
          <w:divBdr>
            <w:top w:val="single" w:sz="24" w:space="9" w:color="003366"/>
            <w:left w:val="none" w:sz="0" w:space="29" w:color="auto"/>
            <w:bottom w:val="none" w:sz="0" w:space="6" w:color="auto"/>
            <w:right w:val="none" w:sz="0" w:space="29" w:color="auto"/>
          </w:divBdr>
        </w:div>
        <w:div w:id="1055934921">
          <w:marLeft w:val="0"/>
          <w:marRight w:val="0"/>
          <w:marTop w:val="150"/>
          <w:marBottom w:val="150"/>
          <w:divBdr>
            <w:top w:val="none" w:sz="0" w:space="0" w:color="auto"/>
            <w:left w:val="none" w:sz="0" w:space="0" w:color="auto"/>
            <w:bottom w:val="none" w:sz="0" w:space="0" w:color="auto"/>
            <w:right w:val="none" w:sz="0" w:space="0" w:color="auto"/>
          </w:divBdr>
          <w:divsChild>
            <w:div w:id="2133133314">
              <w:marLeft w:val="0"/>
              <w:marRight w:val="0"/>
              <w:marTop w:val="0"/>
              <w:marBottom w:val="0"/>
              <w:divBdr>
                <w:top w:val="none" w:sz="0" w:space="0" w:color="auto"/>
                <w:left w:val="none" w:sz="0" w:space="0" w:color="auto"/>
                <w:bottom w:val="none" w:sz="0" w:space="0" w:color="auto"/>
                <w:right w:val="none" w:sz="0" w:space="0" w:color="auto"/>
              </w:divBdr>
              <w:divsChild>
                <w:div w:id="480269631">
                  <w:marLeft w:val="0"/>
                  <w:marRight w:val="0"/>
                  <w:marTop w:val="0"/>
                  <w:marBottom w:val="0"/>
                  <w:divBdr>
                    <w:top w:val="none" w:sz="0" w:space="0" w:color="auto"/>
                    <w:left w:val="none" w:sz="0" w:space="0" w:color="auto"/>
                    <w:bottom w:val="none" w:sz="0" w:space="0" w:color="auto"/>
                    <w:right w:val="none" w:sz="0" w:space="0" w:color="auto"/>
                  </w:divBdr>
                  <w:divsChild>
                    <w:div w:id="3581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21447">
      <w:bodyDiv w:val="1"/>
      <w:marLeft w:val="0"/>
      <w:marRight w:val="0"/>
      <w:marTop w:val="0"/>
      <w:marBottom w:val="0"/>
      <w:divBdr>
        <w:top w:val="none" w:sz="0" w:space="0" w:color="auto"/>
        <w:left w:val="none" w:sz="0" w:space="0" w:color="auto"/>
        <w:bottom w:val="none" w:sz="0" w:space="0" w:color="auto"/>
        <w:right w:val="none" w:sz="0" w:space="0" w:color="auto"/>
      </w:divBdr>
    </w:div>
    <w:div w:id="1412389027">
      <w:bodyDiv w:val="1"/>
      <w:marLeft w:val="0"/>
      <w:marRight w:val="0"/>
      <w:marTop w:val="0"/>
      <w:marBottom w:val="0"/>
      <w:divBdr>
        <w:top w:val="none" w:sz="0" w:space="0" w:color="auto"/>
        <w:left w:val="none" w:sz="0" w:space="0" w:color="auto"/>
        <w:bottom w:val="none" w:sz="0" w:space="0" w:color="auto"/>
        <w:right w:val="none" w:sz="0" w:space="0" w:color="auto"/>
      </w:divBdr>
    </w:div>
    <w:div w:id="1412969636">
      <w:bodyDiv w:val="1"/>
      <w:marLeft w:val="0"/>
      <w:marRight w:val="0"/>
      <w:marTop w:val="0"/>
      <w:marBottom w:val="0"/>
      <w:divBdr>
        <w:top w:val="none" w:sz="0" w:space="0" w:color="auto"/>
        <w:left w:val="none" w:sz="0" w:space="0" w:color="auto"/>
        <w:bottom w:val="none" w:sz="0" w:space="0" w:color="auto"/>
        <w:right w:val="none" w:sz="0" w:space="0" w:color="auto"/>
      </w:divBdr>
    </w:div>
    <w:div w:id="1458373638">
      <w:bodyDiv w:val="1"/>
      <w:marLeft w:val="0"/>
      <w:marRight w:val="0"/>
      <w:marTop w:val="0"/>
      <w:marBottom w:val="0"/>
      <w:divBdr>
        <w:top w:val="none" w:sz="0" w:space="0" w:color="auto"/>
        <w:left w:val="none" w:sz="0" w:space="0" w:color="auto"/>
        <w:bottom w:val="none" w:sz="0" w:space="0" w:color="auto"/>
        <w:right w:val="none" w:sz="0" w:space="0" w:color="auto"/>
      </w:divBdr>
    </w:div>
    <w:div w:id="1461649571">
      <w:bodyDiv w:val="1"/>
      <w:marLeft w:val="0"/>
      <w:marRight w:val="0"/>
      <w:marTop w:val="0"/>
      <w:marBottom w:val="0"/>
      <w:divBdr>
        <w:top w:val="none" w:sz="0" w:space="0" w:color="auto"/>
        <w:left w:val="none" w:sz="0" w:space="0" w:color="auto"/>
        <w:bottom w:val="none" w:sz="0" w:space="0" w:color="auto"/>
        <w:right w:val="none" w:sz="0" w:space="0" w:color="auto"/>
      </w:divBdr>
    </w:div>
    <w:div w:id="1702126364">
      <w:bodyDiv w:val="1"/>
      <w:marLeft w:val="0"/>
      <w:marRight w:val="0"/>
      <w:marTop w:val="0"/>
      <w:marBottom w:val="0"/>
      <w:divBdr>
        <w:top w:val="none" w:sz="0" w:space="0" w:color="auto"/>
        <w:left w:val="none" w:sz="0" w:space="0" w:color="auto"/>
        <w:bottom w:val="none" w:sz="0" w:space="0" w:color="auto"/>
        <w:right w:val="none" w:sz="0" w:space="0" w:color="auto"/>
      </w:divBdr>
    </w:div>
    <w:div w:id="1830556013">
      <w:bodyDiv w:val="1"/>
      <w:marLeft w:val="0"/>
      <w:marRight w:val="0"/>
      <w:marTop w:val="0"/>
      <w:marBottom w:val="0"/>
      <w:divBdr>
        <w:top w:val="none" w:sz="0" w:space="0" w:color="auto"/>
        <w:left w:val="none" w:sz="0" w:space="0" w:color="auto"/>
        <w:bottom w:val="none" w:sz="0" w:space="0" w:color="auto"/>
        <w:right w:val="none" w:sz="0" w:space="0" w:color="auto"/>
      </w:divBdr>
    </w:div>
    <w:div w:id="1989360802">
      <w:bodyDiv w:val="1"/>
      <w:marLeft w:val="0"/>
      <w:marRight w:val="0"/>
      <w:marTop w:val="0"/>
      <w:marBottom w:val="0"/>
      <w:divBdr>
        <w:top w:val="none" w:sz="0" w:space="0" w:color="auto"/>
        <w:left w:val="none" w:sz="0" w:space="0" w:color="auto"/>
        <w:bottom w:val="none" w:sz="0" w:space="0" w:color="auto"/>
        <w:right w:val="none" w:sz="0" w:space="0" w:color="auto"/>
      </w:divBdr>
    </w:div>
    <w:div w:id="20227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gov/e/eb/rls/othr/ics/2013/20461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rcaba.org/index_htm_files/new-incentive-laws-oninvestment-in-the-republic-of-cameroon.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anankemvoufo@yahoo.f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FOBI%20UCHENNA\Documents\Research%20Activities\Work%20In%20Progress\new%20paper%20with%20belmondo\fiscal%20incentive%20and%20productivity\Data%20worked%20on\Data_Extract_From_World_Development_Indicator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Data!$D$39</c:f>
              <c:strCache>
                <c:ptCount val="1"/>
                <c:pt idx="0">
                  <c:v>Cameroon</c:v>
                </c:pt>
              </c:strCache>
            </c:strRef>
          </c:tx>
          <c:spPr>
            <a:ln w="19050" cap="rnd">
              <a:solidFill>
                <a:schemeClr val="accent1"/>
              </a:solidFill>
              <a:round/>
            </a:ln>
            <a:effectLst/>
          </c:spPr>
          <c:marker>
            <c:symbol val="none"/>
          </c:marker>
          <c:cat>
            <c:numRef>
              <c:f>Data!$E$38:$AD$38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Data!$E$39:$AD$39</c:f>
              <c:numCache>
                <c:formatCode>General</c:formatCode>
                <c:ptCount val="26"/>
                <c:pt idx="0">
                  <c:v>-7.2774593514274244</c:v>
                </c:pt>
                <c:pt idx="1">
                  <c:v>0.50795963127767196</c:v>
                </c:pt>
                <c:pt idx="2">
                  <c:v>2.723946603594456</c:v>
                </c:pt>
                <c:pt idx="3">
                  <c:v>-16.618028191549069</c:v>
                </c:pt>
                <c:pt idx="4">
                  <c:v>4.7764806783166867</c:v>
                </c:pt>
                <c:pt idx="5">
                  <c:v>1.8880522760868821</c:v>
                </c:pt>
                <c:pt idx="6">
                  <c:v>2.137360123896741</c:v>
                </c:pt>
                <c:pt idx="7">
                  <c:v>1.7778002467013749</c:v>
                </c:pt>
                <c:pt idx="8">
                  <c:v>10.240599644773949</c:v>
                </c:pt>
                <c:pt idx="9">
                  <c:v>9.9870548134231871</c:v>
                </c:pt>
                <c:pt idx="10">
                  <c:v>8.7350197455894971</c:v>
                </c:pt>
                <c:pt idx="11">
                  <c:v>3.3710333704204909</c:v>
                </c:pt>
                <c:pt idx="12">
                  <c:v>3.0109894823264369</c:v>
                </c:pt>
                <c:pt idx="13">
                  <c:v>2.441858894957758</c:v>
                </c:pt>
                <c:pt idx="14">
                  <c:v>2.3331269658021649</c:v>
                </c:pt>
                <c:pt idx="15">
                  <c:v>2.0381109303370128</c:v>
                </c:pt>
                <c:pt idx="16">
                  <c:v>-0.60310884100962903</c:v>
                </c:pt>
                <c:pt idx="17">
                  <c:v>0.49950323221168003</c:v>
                </c:pt>
                <c:pt idx="18">
                  <c:v>3.4944305575209298</c:v>
                </c:pt>
                <c:pt idx="19">
                  <c:v>-0.99305772481291399</c:v>
                </c:pt>
                <c:pt idx="20">
                  <c:v>2.7289657776418328</c:v>
                </c:pt>
                <c:pt idx="21">
                  <c:v>2.2616275290439352</c:v>
                </c:pt>
                <c:pt idx="22">
                  <c:v>5.0583858303971274</c:v>
                </c:pt>
                <c:pt idx="23">
                  <c:v>3.598263199417147</c:v>
                </c:pt>
                <c:pt idx="24">
                  <c:v>5.8884772442053164</c:v>
                </c:pt>
                <c:pt idx="25">
                  <c:v>0</c:v>
                </c:pt>
              </c:numCache>
            </c:numRef>
          </c:val>
          <c:smooth val="0"/>
          <c:extLst>
            <c:ext xmlns:c16="http://schemas.microsoft.com/office/drawing/2014/chart" uri="{C3380CC4-5D6E-409C-BE32-E72D297353CC}">
              <c16:uniqueId val="{00000000-82FF-9D4F-BDE0-06349E2CB03F}"/>
            </c:ext>
          </c:extLst>
        </c:ser>
        <c:ser>
          <c:idx val="1"/>
          <c:order val="1"/>
          <c:tx>
            <c:strRef>
              <c:f>Data!$D$40</c:f>
              <c:strCache>
                <c:ptCount val="1"/>
                <c:pt idx="0">
                  <c:v>Sub-Saharan Africa </c:v>
                </c:pt>
              </c:strCache>
            </c:strRef>
          </c:tx>
          <c:spPr>
            <a:ln w="19050" cap="rnd">
              <a:solidFill>
                <a:schemeClr val="accent2"/>
              </a:solidFill>
              <a:prstDash val="dash"/>
              <a:round/>
            </a:ln>
            <a:effectLst/>
          </c:spPr>
          <c:marker>
            <c:symbol val="none"/>
          </c:marker>
          <c:cat>
            <c:numRef>
              <c:f>Data!$E$38:$AD$38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Data!$E$40:$AD$40</c:f>
              <c:numCache>
                <c:formatCode>General</c:formatCode>
                <c:ptCount val="26"/>
                <c:pt idx="0">
                  <c:v>-2.8778508159824412</c:v>
                </c:pt>
                <c:pt idx="1">
                  <c:v>-4.7296596454045696</c:v>
                </c:pt>
                <c:pt idx="2">
                  <c:v>-4.2269582528788447</c:v>
                </c:pt>
                <c:pt idx="3">
                  <c:v>-2.0447880981266739</c:v>
                </c:pt>
                <c:pt idx="4">
                  <c:v>1.7538332224297479</c:v>
                </c:pt>
                <c:pt idx="5">
                  <c:v>5.21380600868335</c:v>
                </c:pt>
                <c:pt idx="6">
                  <c:v>2.6761017282666448</c:v>
                </c:pt>
                <c:pt idx="7">
                  <c:v>1.865917003725045</c:v>
                </c:pt>
                <c:pt idx="8">
                  <c:v>0.184022046141223</c:v>
                </c:pt>
                <c:pt idx="9">
                  <c:v>2.141188153305464</c:v>
                </c:pt>
                <c:pt idx="10">
                  <c:v>5.2444347651100971</c:v>
                </c:pt>
                <c:pt idx="11">
                  <c:v>2.4976318276120399</c:v>
                </c:pt>
                <c:pt idx="12">
                  <c:v>2.6565096557104511</c:v>
                </c:pt>
                <c:pt idx="13">
                  <c:v>0.35595140760011601</c:v>
                </c:pt>
                <c:pt idx="14">
                  <c:v>4.9281029761221324</c:v>
                </c:pt>
                <c:pt idx="15">
                  <c:v>6.0741319137513443</c:v>
                </c:pt>
                <c:pt idx="16">
                  <c:v>6.3155406318574139</c:v>
                </c:pt>
                <c:pt idx="17">
                  <c:v>6.4860817301235301</c:v>
                </c:pt>
                <c:pt idx="18">
                  <c:v>3.1442262284780762</c:v>
                </c:pt>
                <c:pt idx="19">
                  <c:v>-5.2651389437477114</c:v>
                </c:pt>
                <c:pt idx="20">
                  <c:v>6.1798965566103146</c:v>
                </c:pt>
                <c:pt idx="21">
                  <c:v>5.5046466579179851</c:v>
                </c:pt>
                <c:pt idx="22">
                  <c:v>3.927146983010104</c:v>
                </c:pt>
                <c:pt idx="23">
                  <c:v>4.3570471595126996</c:v>
                </c:pt>
                <c:pt idx="24">
                  <c:v>3.399165165655742</c:v>
                </c:pt>
                <c:pt idx="25">
                  <c:v>0</c:v>
                </c:pt>
              </c:numCache>
            </c:numRef>
          </c:val>
          <c:smooth val="0"/>
          <c:extLst>
            <c:ext xmlns:c16="http://schemas.microsoft.com/office/drawing/2014/chart" uri="{C3380CC4-5D6E-409C-BE32-E72D297353CC}">
              <c16:uniqueId val="{00000001-82FF-9D4F-BDE0-06349E2CB03F}"/>
            </c:ext>
          </c:extLst>
        </c:ser>
        <c:ser>
          <c:idx val="2"/>
          <c:order val="2"/>
          <c:tx>
            <c:strRef>
              <c:f>Data!$D$41</c:f>
              <c:strCache>
                <c:ptCount val="1"/>
                <c:pt idx="0">
                  <c:v>World</c:v>
                </c:pt>
              </c:strCache>
            </c:strRef>
          </c:tx>
          <c:spPr>
            <a:ln w="19050" cap="rnd">
              <a:solidFill>
                <a:schemeClr val="accent3"/>
              </a:solidFill>
              <a:round/>
            </a:ln>
            <a:effectLst/>
          </c:spPr>
          <c:marker>
            <c:symbol val="star"/>
            <c:size val="5"/>
            <c:spPr>
              <a:noFill/>
              <a:ln w="9525">
                <a:solidFill>
                  <a:schemeClr val="accent3"/>
                </a:solidFill>
              </a:ln>
              <a:effectLst/>
            </c:spPr>
          </c:marker>
          <c:cat>
            <c:numRef>
              <c:f>Data!$E$38:$AD$38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Data!$E$41:$AD$41</c:f>
              <c:numCache>
                <c:formatCode>General</c:formatCode>
                <c:ptCount val="26"/>
                <c:pt idx="0">
                  <c:v>0</c:v>
                </c:pt>
                <c:pt idx="1">
                  <c:v>0</c:v>
                </c:pt>
                <c:pt idx="2">
                  <c:v>0</c:v>
                </c:pt>
                <c:pt idx="3">
                  <c:v>0</c:v>
                </c:pt>
                <c:pt idx="4">
                  <c:v>0</c:v>
                </c:pt>
                <c:pt idx="5">
                  <c:v>0</c:v>
                </c:pt>
                <c:pt idx="6">
                  <c:v>0</c:v>
                </c:pt>
                <c:pt idx="7">
                  <c:v>0</c:v>
                </c:pt>
                <c:pt idx="8">
                  <c:v>1.1505721161723561</c:v>
                </c:pt>
                <c:pt idx="9">
                  <c:v>3.252850409579052</c:v>
                </c:pt>
                <c:pt idx="10">
                  <c:v>6.0218361355726131</c:v>
                </c:pt>
                <c:pt idx="11">
                  <c:v>-1.066906917403827</c:v>
                </c:pt>
                <c:pt idx="12">
                  <c:v>0.88275673296149704</c:v>
                </c:pt>
                <c:pt idx="13">
                  <c:v>3.4182602013116821</c:v>
                </c:pt>
                <c:pt idx="14">
                  <c:v>5.5180060867970706</c:v>
                </c:pt>
                <c:pt idx="15">
                  <c:v>3.2062567287343322</c:v>
                </c:pt>
                <c:pt idx="16">
                  <c:v>5.6173194954271679</c:v>
                </c:pt>
                <c:pt idx="17">
                  <c:v>4.5471952053581788</c:v>
                </c:pt>
                <c:pt idx="18">
                  <c:v>-0.37130917329687901</c:v>
                </c:pt>
                <c:pt idx="19">
                  <c:v>-9.9093196284514509</c:v>
                </c:pt>
                <c:pt idx="20">
                  <c:v>9.8399705734561529</c:v>
                </c:pt>
                <c:pt idx="21">
                  <c:v>2.8029241005373109</c:v>
                </c:pt>
                <c:pt idx="22">
                  <c:v>0.92810673716330405</c:v>
                </c:pt>
                <c:pt idx="23">
                  <c:v>1.1381613282811709</c:v>
                </c:pt>
                <c:pt idx="24">
                  <c:v>0</c:v>
                </c:pt>
                <c:pt idx="25">
                  <c:v>0</c:v>
                </c:pt>
              </c:numCache>
            </c:numRef>
          </c:val>
          <c:smooth val="0"/>
          <c:extLst>
            <c:ext xmlns:c16="http://schemas.microsoft.com/office/drawing/2014/chart" uri="{C3380CC4-5D6E-409C-BE32-E72D297353CC}">
              <c16:uniqueId val="{00000002-82FF-9D4F-BDE0-06349E2CB03F}"/>
            </c:ext>
          </c:extLst>
        </c:ser>
        <c:dLbls>
          <c:showLegendKey val="0"/>
          <c:showVal val="0"/>
          <c:showCatName val="0"/>
          <c:showSerName val="0"/>
          <c:showPercent val="0"/>
          <c:showBubbleSize val="0"/>
        </c:dLbls>
        <c:smooth val="0"/>
        <c:axId val="-2091134376"/>
        <c:axId val="-2065926968"/>
      </c:lineChart>
      <c:catAx>
        <c:axId val="-209113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5926968"/>
        <c:crosses val="autoZero"/>
        <c:auto val="1"/>
        <c:lblAlgn val="ctr"/>
        <c:lblOffset val="100"/>
        <c:noMultiLvlLbl val="0"/>
      </c:catAx>
      <c:valAx>
        <c:axId val="-2065926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1134376"/>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4D65C-59CC-3143-A20F-212075C7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8172</Words>
  <Characters>46585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IBUKUN BEECROFT</cp:lastModifiedBy>
  <cp:revision>3</cp:revision>
  <cp:lastPrinted>2015-10-30T20:59:00Z</cp:lastPrinted>
  <dcterms:created xsi:type="dcterms:W3CDTF">2018-05-28T05:52:00Z</dcterms:created>
  <dcterms:modified xsi:type="dcterms:W3CDTF">2018-05-28T10:35:00Z</dcterms:modified>
</cp:coreProperties>
</file>