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C915" w14:textId="34DCADC5" w:rsidR="00AE2488" w:rsidRPr="00863D57" w:rsidRDefault="00AE2488" w:rsidP="00C77A39">
      <w:pPr>
        <w:jc w:val="center"/>
        <w:rPr>
          <w:rFonts w:ascii="Berlin Sans FB" w:eastAsiaTheme="minorEastAsia" w:hAnsi="Berlin Sans FB" w:cstheme="majorBidi"/>
          <w:color w:val="2D435F" w:themeColor="accent1" w:themeShade="BF"/>
          <w:sz w:val="48"/>
          <w:szCs w:val="48"/>
        </w:rPr>
      </w:pPr>
      <w:r w:rsidRPr="00863D57">
        <w:rPr>
          <w:rFonts w:ascii="Berlin Sans FB" w:eastAsiaTheme="minorEastAsia" w:hAnsi="Berlin Sans FB" w:cstheme="majorBidi"/>
          <w:color w:val="2D435F" w:themeColor="accent1" w:themeShade="BF"/>
          <w:sz w:val="48"/>
          <w:szCs w:val="48"/>
        </w:rPr>
        <w:t xml:space="preserve">Annexes </w:t>
      </w:r>
    </w:p>
    <w:p w14:paraId="3677D1E4"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1F49D240"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05CCBA06"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6CB45F83"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1BD883E8"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5FFB2564"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7BEA3AF2"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4BBF9816"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29F24DB4"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24A0E002"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3D2F8F18"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39A70879"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1D00AC2B"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50644C80" w14:textId="77777777" w:rsidR="00AE2488" w:rsidRDefault="00AE2488" w:rsidP="00AE2488">
      <w:pPr>
        <w:jc w:val="center"/>
        <w:rPr>
          <w:rFonts w:ascii="Berlin Sans FB" w:eastAsiaTheme="minorEastAsia" w:hAnsi="Berlin Sans FB" w:cstheme="majorBidi"/>
          <w:color w:val="2D435F" w:themeColor="accent1" w:themeShade="BF"/>
          <w:sz w:val="36"/>
          <w:szCs w:val="36"/>
        </w:rPr>
      </w:pPr>
    </w:p>
    <w:p w14:paraId="028C0EF1" w14:textId="77777777" w:rsidR="00FB4DBF" w:rsidRPr="000E4AF0" w:rsidRDefault="00FB4DBF" w:rsidP="00FB4DBF">
      <w:pPr>
        <w:jc w:val="center"/>
        <w:rPr>
          <w:rFonts w:ascii="Berlin Sans FB" w:eastAsiaTheme="minorEastAsia" w:hAnsi="Berlin Sans FB" w:cstheme="majorBidi"/>
          <w:color w:val="2D435F" w:themeColor="accent1" w:themeShade="BF"/>
          <w:sz w:val="24"/>
          <w:szCs w:val="24"/>
        </w:rPr>
      </w:pPr>
      <w:r w:rsidRPr="000E4AF0">
        <w:rPr>
          <w:rFonts w:ascii="Berlin Sans FB" w:eastAsiaTheme="minorEastAsia" w:hAnsi="Berlin Sans FB" w:cstheme="majorBidi"/>
          <w:color w:val="2D435F" w:themeColor="accent1" w:themeShade="BF"/>
          <w:sz w:val="24"/>
          <w:szCs w:val="24"/>
        </w:rPr>
        <w:t>Thailand</w:t>
      </w:r>
    </w:p>
    <w:p w14:paraId="5225F4E3" w14:textId="77777777" w:rsidR="00FB4DBF" w:rsidRPr="000E4AF0" w:rsidRDefault="00FB4DBF" w:rsidP="00FB4DBF">
      <w:pPr>
        <w:jc w:val="center"/>
        <w:rPr>
          <w:rFonts w:ascii="Berlin Sans FB" w:eastAsiaTheme="minorEastAsia" w:hAnsi="Berlin Sans FB" w:cstheme="majorBidi"/>
          <w:color w:val="2D435F" w:themeColor="accent1" w:themeShade="BF"/>
          <w:sz w:val="24"/>
          <w:szCs w:val="24"/>
        </w:rPr>
      </w:pPr>
      <w:r w:rsidRPr="000E4AF0">
        <w:rPr>
          <w:rFonts w:ascii="Berlin Sans FB" w:eastAsiaTheme="minorEastAsia" w:hAnsi="Berlin Sans FB" w:cstheme="majorBidi"/>
          <w:color w:val="2D435F" w:themeColor="accent1" w:themeShade="BF"/>
          <w:sz w:val="24"/>
          <w:szCs w:val="24"/>
        </w:rPr>
        <w:t>Systematic Country Diagnostic Update</w:t>
      </w:r>
    </w:p>
    <w:p w14:paraId="33930D4C" w14:textId="0606816D" w:rsidR="00FC4947" w:rsidRDefault="00FB4DBF" w:rsidP="00C77A39">
      <w:pPr>
        <w:jc w:val="center"/>
        <w:rPr>
          <w:rFonts w:asciiTheme="majorHAnsi" w:eastAsiaTheme="minorEastAsia" w:hAnsiTheme="majorHAnsi" w:cstheme="majorBidi"/>
          <w:b/>
          <w:bCs/>
        </w:rPr>
      </w:pPr>
      <w:r w:rsidRPr="000E4AF0">
        <w:rPr>
          <w:rFonts w:ascii="Berlin Sans FB" w:eastAsiaTheme="minorEastAsia" w:hAnsi="Berlin Sans FB" w:cstheme="majorBidi"/>
          <w:color w:val="2D435F" w:themeColor="accent1" w:themeShade="BF"/>
          <w:sz w:val="24"/>
          <w:szCs w:val="24"/>
        </w:rPr>
        <w:t>February 19, 2024</w:t>
      </w:r>
      <w:r w:rsidR="00F6120A" w:rsidRPr="00DC37EC">
        <w:rPr>
          <w:rFonts w:asciiTheme="majorHAnsi" w:eastAsiaTheme="minorEastAsia" w:hAnsiTheme="majorHAnsi" w:cstheme="majorBidi"/>
          <w:b/>
          <w:bCs/>
        </w:rPr>
        <w:br w:type="page"/>
      </w:r>
    </w:p>
    <w:p w14:paraId="3A38D9CA" w14:textId="77777777" w:rsidR="00FD01D9" w:rsidRPr="00DC37EC" w:rsidRDefault="00FD01D9">
      <w:pPr>
        <w:rPr>
          <w:rFonts w:asciiTheme="majorHAnsi" w:eastAsiaTheme="minorEastAsia" w:hAnsiTheme="majorHAnsi" w:cstheme="majorBidi"/>
          <w:b/>
          <w:bCs/>
        </w:rPr>
      </w:pPr>
    </w:p>
    <w:p w14:paraId="6035CE3C" w14:textId="0244204C" w:rsidR="00C5709D" w:rsidRPr="006D5A87" w:rsidRDefault="00C5709D" w:rsidP="003F3568">
      <w:pPr>
        <w:rPr>
          <w:szCs w:val="36"/>
        </w:rPr>
      </w:pPr>
      <w:bookmarkStart w:id="0" w:name="_Toc137046495"/>
      <w:bookmarkStart w:id="1" w:name="_Toc137048159"/>
      <w:bookmarkStart w:id="2" w:name="_Toc137048377"/>
      <w:r w:rsidRPr="006D5A87">
        <w:rPr>
          <w:rFonts w:ascii="Berlin Sans FB" w:hAnsi="Berlin Sans FB"/>
          <w:color w:val="2D435F" w:themeColor="accent1" w:themeShade="BF"/>
          <w:sz w:val="36"/>
          <w:szCs w:val="36"/>
        </w:rPr>
        <w:t xml:space="preserve">Table of </w:t>
      </w:r>
      <w:r w:rsidR="00322C29" w:rsidRPr="006D5A87">
        <w:rPr>
          <w:rFonts w:ascii="Berlin Sans FB" w:hAnsi="Berlin Sans FB"/>
          <w:color w:val="2D435F" w:themeColor="accent1" w:themeShade="BF"/>
          <w:sz w:val="36"/>
          <w:szCs w:val="36"/>
        </w:rPr>
        <w:t>c</w:t>
      </w:r>
      <w:r w:rsidRPr="006D5A87">
        <w:rPr>
          <w:rFonts w:ascii="Berlin Sans FB" w:hAnsi="Berlin Sans FB"/>
          <w:color w:val="2D435F" w:themeColor="accent1" w:themeShade="BF"/>
          <w:sz w:val="36"/>
          <w:szCs w:val="36"/>
        </w:rPr>
        <w:t>ontents</w:t>
      </w:r>
      <w:bookmarkEnd w:id="0"/>
      <w:bookmarkEnd w:id="1"/>
      <w:bookmarkEnd w:id="2"/>
      <w:r w:rsidRPr="006D5A87">
        <w:rPr>
          <w:rFonts w:ascii="Berlin Sans FB" w:hAnsi="Berlin Sans FB"/>
          <w:color w:val="2D435F" w:themeColor="accent1" w:themeShade="BF"/>
          <w:sz w:val="36"/>
          <w:szCs w:val="36"/>
        </w:rPr>
        <w:t xml:space="preserve"> </w:t>
      </w:r>
    </w:p>
    <w:p w14:paraId="47843401" w14:textId="77777777" w:rsidR="00437B4A" w:rsidRPr="006D5A87" w:rsidRDefault="00437B4A" w:rsidP="003F3568"/>
    <w:p w14:paraId="34072B12" w14:textId="68FE0F5A" w:rsidR="006D5A87" w:rsidRPr="006D5A87" w:rsidRDefault="005D2228" w:rsidP="00863D57">
      <w:pPr>
        <w:pStyle w:val="TOC1"/>
        <w:rPr>
          <w:rFonts w:eastAsiaTheme="minorEastAsia" w:cstheme="minorBidi"/>
          <w:noProof/>
          <w:kern w:val="2"/>
          <w:szCs w:val="24"/>
          <w:lang w:val="en-GB" w:eastAsia="en-GB"/>
          <w14:ligatures w14:val="standardContextual"/>
        </w:rPr>
      </w:pPr>
      <w:r w:rsidRPr="00863D57">
        <w:rPr>
          <w:rFonts w:asciiTheme="majorHAnsi" w:hAnsiTheme="majorHAnsi" w:cstheme="majorHAnsi"/>
        </w:rPr>
        <w:fldChar w:fldCharType="begin"/>
      </w:r>
      <w:r w:rsidRPr="00863D57">
        <w:rPr>
          <w:rFonts w:asciiTheme="majorHAnsi" w:hAnsiTheme="majorHAnsi" w:cstheme="majorHAnsi"/>
        </w:rPr>
        <w:instrText xml:space="preserve"> TOC \o "1-2" \h \z \u </w:instrText>
      </w:r>
      <w:r w:rsidRPr="00863D57">
        <w:rPr>
          <w:rFonts w:asciiTheme="majorHAnsi" w:hAnsiTheme="majorHAnsi" w:cstheme="majorHAnsi"/>
        </w:rPr>
        <w:fldChar w:fldCharType="separate"/>
      </w:r>
      <w:hyperlink w:anchor="_Toc159763564" w:history="1">
        <w:r w:rsidR="006D5A87" w:rsidRPr="00863D57">
          <w:rPr>
            <w:rStyle w:val="Hyperlink"/>
            <w:i w:val="0"/>
            <w:iCs w:val="0"/>
            <w:noProof/>
          </w:rPr>
          <w:t>Acronyms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_Toc159763564 \h </w:instrText>
        </w:r>
        <w:r w:rsidR="006D5A87" w:rsidRPr="00863D57">
          <w:rPr>
            <w:noProof/>
            <w:webHidden/>
          </w:rPr>
        </w:r>
        <w:r w:rsidR="006D5A87" w:rsidRPr="00863D57">
          <w:rPr>
            <w:noProof/>
            <w:webHidden/>
          </w:rPr>
          <w:fldChar w:fldCharType="separate"/>
        </w:r>
        <w:r w:rsidR="006D5A87" w:rsidRPr="00863D57">
          <w:rPr>
            <w:noProof/>
            <w:webHidden/>
          </w:rPr>
          <w:t>3</w:t>
        </w:r>
        <w:r w:rsidR="006D5A87" w:rsidRPr="00863D57">
          <w:rPr>
            <w:noProof/>
            <w:webHidden/>
          </w:rPr>
          <w:fldChar w:fldCharType="end"/>
        </w:r>
      </w:hyperlink>
    </w:p>
    <w:p w14:paraId="120C326D" w14:textId="3783265B"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65" w:history="1">
        <w:r w:rsidR="006D5A87" w:rsidRPr="00863D57">
          <w:rPr>
            <w:rStyle w:val="Hyperlink"/>
            <w:i w:val="0"/>
            <w:iCs w:val="0"/>
            <w:noProof/>
          </w:rPr>
          <w:t>Annex 1:</w:t>
        </w:r>
        <w:r w:rsidR="006D5A87" w:rsidRPr="00863D57">
          <w:rPr>
            <w:rStyle w:val="Hyperlink"/>
            <w:i w:val="0"/>
            <w:iCs w:val="0"/>
            <w:noProof/>
            <w:shd w:val="clear" w:color="auto" w:fill="FFFFFF"/>
          </w:rPr>
          <w:t xml:space="preserve"> Progress of 2016 SCD development priorities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_Toc159763565 \h </w:instrText>
        </w:r>
        <w:r w:rsidR="006D5A87" w:rsidRPr="00863D57">
          <w:rPr>
            <w:noProof/>
            <w:webHidden/>
          </w:rPr>
        </w:r>
        <w:r w:rsidR="006D5A87" w:rsidRPr="00863D57">
          <w:rPr>
            <w:noProof/>
            <w:webHidden/>
          </w:rPr>
          <w:fldChar w:fldCharType="separate"/>
        </w:r>
        <w:r w:rsidR="006D5A87" w:rsidRPr="00863D57">
          <w:rPr>
            <w:noProof/>
            <w:webHidden/>
          </w:rPr>
          <w:t>6</w:t>
        </w:r>
        <w:r w:rsidR="006D5A87" w:rsidRPr="00863D57">
          <w:rPr>
            <w:noProof/>
            <w:webHidden/>
          </w:rPr>
          <w:fldChar w:fldCharType="end"/>
        </w:r>
      </w:hyperlink>
    </w:p>
    <w:p w14:paraId="78F72DC0" w14:textId="7800F2CF"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66" w:history="1">
        <w:r w:rsidR="006D5A87" w:rsidRPr="00863D57">
          <w:rPr>
            <w:rStyle w:val="Hyperlink"/>
            <w:i w:val="0"/>
            <w:iCs w:val="0"/>
            <w:noProof/>
            <w:shd w:val="clear" w:color="auto" w:fill="FFFFFF"/>
          </w:rPr>
          <w:t>Annex 2: Additional figures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_Toc159763566 \h </w:instrText>
        </w:r>
        <w:r w:rsidR="006D5A87" w:rsidRPr="00863D57">
          <w:rPr>
            <w:noProof/>
            <w:webHidden/>
          </w:rPr>
        </w:r>
        <w:r w:rsidR="006D5A87" w:rsidRPr="00863D57">
          <w:rPr>
            <w:noProof/>
            <w:webHidden/>
          </w:rPr>
          <w:fldChar w:fldCharType="separate"/>
        </w:r>
        <w:r w:rsidR="006D5A87" w:rsidRPr="00863D57">
          <w:rPr>
            <w:noProof/>
            <w:webHidden/>
          </w:rPr>
          <w:t>24</w:t>
        </w:r>
        <w:r w:rsidR="006D5A87" w:rsidRPr="00863D57">
          <w:rPr>
            <w:noProof/>
            <w:webHidden/>
          </w:rPr>
          <w:fldChar w:fldCharType="end"/>
        </w:r>
      </w:hyperlink>
    </w:p>
    <w:p w14:paraId="3DA31AC2" w14:textId="5CEBD15D"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67" w:history="1">
        <w:r w:rsidR="006D5A87" w:rsidRPr="00863D57">
          <w:rPr>
            <w:rStyle w:val="Hyperlink"/>
            <w:i w:val="0"/>
            <w:iCs w:val="0"/>
            <w:noProof/>
          </w:rPr>
          <w:t>Annex 3: Recent trends in poverty and inequality</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_Toc159763567 \h </w:instrText>
        </w:r>
        <w:r w:rsidR="006D5A87" w:rsidRPr="00863D57">
          <w:rPr>
            <w:noProof/>
            <w:webHidden/>
          </w:rPr>
        </w:r>
        <w:r w:rsidR="006D5A87" w:rsidRPr="00863D57">
          <w:rPr>
            <w:noProof/>
            <w:webHidden/>
          </w:rPr>
          <w:fldChar w:fldCharType="separate"/>
        </w:r>
        <w:r w:rsidR="006D5A87" w:rsidRPr="00863D57">
          <w:rPr>
            <w:noProof/>
            <w:webHidden/>
          </w:rPr>
          <w:t>38</w:t>
        </w:r>
        <w:r w:rsidR="006D5A87" w:rsidRPr="00863D57">
          <w:rPr>
            <w:noProof/>
            <w:webHidden/>
          </w:rPr>
          <w:fldChar w:fldCharType="end"/>
        </w:r>
      </w:hyperlink>
    </w:p>
    <w:p w14:paraId="35464FA1" w14:textId="3F97B802"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68" w:history="1">
        <w:r w:rsidR="006D5A87" w:rsidRPr="00863D57">
          <w:rPr>
            <w:rStyle w:val="Hyperlink"/>
            <w:i w:val="0"/>
            <w:iCs w:val="0"/>
            <w:noProof/>
          </w:rPr>
          <w:t>Annex 4: Social inclusion and vulnerable groups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_Toc159763568 \h </w:instrText>
        </w:r>
        <w:r w:rsidR="006D5A87" w:rsidRPr="00863D57">
          <w:rPr>
            <w:noProof/>
            <w:webHidden/>
          </w:rPr>
        </w:r>
        <w:r w:rsidR="006D5A87" w:rsidRPr="00863D57">
          <w:rPr>
            <w:noProof/>
            <w:webHidden/>
          </w:rPr>
          <w:fldChar w:fldCharType="separate"/>
        </w:r>
        <w:r w:rsidR="006D5A87" w:rsidRPr="00863D57">
          <w:rPr>
            <w:noProof/>
            <w:webHidden/>
          </w:rPr>
          <w:t>42</w:t>
        </w:r>
        <w:r w:rsidR="006D5A87" w:rsidRPr="00863D57">
          <w:rPr>
            <w:noProof/>
            <w:webHidden/>
          </w:rPr>
          <w:fldChar w:fldCharType="end"/>
        </w:r>
      </w:hyperlink>
    </w:p>
    <w:p w14:paraId="6569B472" w14:textId="55927C10"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69" w:history="1">
        <w:r w:rsidR="006D5A87" w:rsidRPr="00863D57">
          <w:rPr>
            <w:rStyle w:val="Hyperlink"/>
            <w:i w:val="0"/>
            <w:iCs w:val="0"/>
            <w:noProof/>
          </w:rPr>
          <w:t>Annex 5: Potential output under several reform scenarios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_Toc159763569 \h </w:instrText>
        </w:r>
        <w:r w:rsidR="006D5A87" w:rsidRPr="00863D57">
          <w:rPr>
            <w:noProof/>
            <w:webHidden/>
          </w:rPr>
        </w:r>
        <w:r w:rsidR="006D5A87" w:rsidRPr="00863D57">
          <w:rPr>
            <w:noProof/>
            <w:webHidden/>
          </w:rPr>
          <w:fldChar w:fldCharType="separate"/>
        </w:r>
        <w:r w:rsidR="006D5A87" w:rsidRPr="00863D57">
          <w:rPr>
            <w:noProof/>
            <w:webHidden/>
          </w:rPr>
          <w:t>48</w:t>
        </w:r>
        <w:r w:rsidR="006D5A87" w:rsidRPr="00863D57">
          <w:rPr>
            <w:noProof/>
            <w:webHidden/>
          </w:rPr>
          <w:fldChar w:fldCharType="end"/>
        </w:r>
      </w:hyperlink>
    </w:p>
    <w:p w14:paraId="233C54E7" w14:textId="448EF4BF"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70" w:history="1">
        <w:r w:rsidR="006D5A87" w:rsidRPr="00863D57">
          <w:rPr>
            <w:rStyle w:val="Hyperlink"/>
            <w:i w:val="0"/>
            <w:iCs w:val="0"/>
            <w:noProof/>
          </w:rPr>
          <w:t>Annex 6: Knowledge economy ecosystem</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_Toc159763570 \h </w:instrText>
        </w:r>
        <w:r w:rsidR="006D5A87" w:rsidRPr="00863D57">
          <w:rPr>
            <w:noProof/>
            <w:webHidden/>
          </w:rPr>
        </w:r>
        <w:r w:rsidR="006D5A87" w:rsidRPr="00863D57">
          <w:rPr>
            <w:noProof/>
            <w:webHidden/>
          </w:rPr>
          <w:fldChar w:fldCharType="separate"/>
        </w:r>
        <w:r w:rsidR="006D5A87" w:rsidRPr="00863D57">
          <w:rPr>
            <w:noProof/>
            <w:webHidden/>
          </w:rPr>
          <w:t>55</w:t>
        </w:r>
        <w:r w:rsidR="006D5A87" w:rsidRPr="00863D57">
          <w:rPr>
            <w:noProof/>
            <w:webHidden/>
          </w:rPr>
          <w:fldChar w:fldCharType="end"/>
        </w:r>
      </w:hyperlink>
    </w:p>
    <w:p w14:paraId="5C91F370" w14:textId="09D8758C"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71" w:history="1">
        <w:r w:rsidR="006D5A87" w:rsidRPr="00863D57">
          <w:rPr>
            <w:rStyle w:val="Hyperlink"/>
            <w:i w:val="0"/>
            <w:iCs w:val="0"/>
            <w:noProof/>
          </w:rPr>
          <w:t>Annex 7: Thailand’s agriculture sector</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_Toc159763571 \h </w:instrText>
        </w:r>
        <w:r w:rsidR="006D5A87" w:rsidRPr="00863D57">
          <w:rPr>
            <w:noProof/>
            <w:webHidden/>
          </w:rPr>
        </w:r>
        <w:r w:rsidR="006D5A87" w:rsidRPr="00863D57">
          <w:rPr>
            <w:noProof/>
            <w:webHidden/>
          </w:rPr>
          <w:fldChar w:fldCharType="separate"/>
        </w:r>
        <w:r w:rsidR="006D5A87" w:rsidRPr="00863D57">
          <w:rPr>
            <w:noProof/>
            <w:webHidden/>
          </w:rPr>
          <w:t>58</w:t>
        </w:r>
        <w:r w:rsidR="006D5A87" w:rsidRPr="00863D57">
          <w:rPr>
            <w:noProof/>
            <w:webHidden/>
          </w:rPr>
          <w:fldChar w:fldCharType="end"/>
        </w:r>
      </w:hyperlink>
    </w:p>
    <w:p w14:paraId="66350180" w14:textId="1BF12510"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72" w:history="1">
        <w:r w:rsidR="006D5A87" w:rsidRPr="00863D57">
          <w:rPr>
            <w:rStyle w:val="Hyperlink"/>
            <w:i w:val="0"/>
            <w:iCs w:val="0"/>
            <w:noProof/>
          </w:rPr>
          <w:t>Annex 8: Policy recommendations to reduce household debt</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_Toc159763572 \h </w:instrText>
        </w:r>
        <w:r w:rsidR="006D5A87" w:rsidRPr="00863D57">
          <w:rPr>
            <w:noProof/>
            <w:webHidden/>
          </w:rPr>
        </w:r>
        <w:r w:rsidR="006D5A87" w:rsidRPr="00863D57">
          <w:rPr>
            <w:noProof/>
            <w:webHidden/>
          </w:rPr>
          <w:fldChar w:fldCharType="separate"/>
        </w:r>
        <w:r w:rsidR="006D5A87" w:rsidRPr="00863D57">
          <w:rPr>
            <w:noProof/>
            <w:webHidden/>
          </w:rPr>
          <w:t>63</w:t>
        </w:r>
        <w:r w:rsidR="006D5A87" w:rsidRPr="00863D57">
          <w:rPr>
            <w:noProof/>
            <w:webHidden/>
          </w:rPr>
          <w:fldChar w:fldCharType="end"/>
        </w:r>
      </w:hyperlink>
    </w:p>
    <w:p w14:paraId="1A878855" w14:textId="44858C38"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73" w:history="1">
        <w:r w:rsidR="006D5A87" w:rsidRPr="00863D57">
          <w:rPr>
            <w:rStyle w:val="Hyperlink"/>
            <w:i w:val="0"/>
            <w:iCs w:val="0"/>
            <w:noProof/>
          </w:rPr>
          <w:t>Annex 9: Analytical products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_Toc159763573 \h </w:instrText>
        </w:r>
        <w:r w:rsidR="006D5A87" w:rsidRPr="00863D57">
          <w:rPr>
            <w:noProof/>
            <w:webHidden/>
          </w:rPr>
        </w:r>
        <w:r w:rsidR="006D5A87" w:rsidRPr="00863D57">
          <w:rPr>
            <w:noProof/>
            <w:webHidden/>
          </w:rPr>
          <w:fldChar w:fldCharType="separate"/>
        </w:r>
        <w:r w:rsidR="006D5A87" w:rsidRPr="00863D57">
          <w:rPr>
            <w:noProof/>
            <w:webHidden/>
          </w:rPr>
          <w:t>64</w:t>
        </w:r>
        <w:r w:rsidR="006D5A87" w:rsidRPr="00863D57">
          <w:rPr>
            <w:noProof/>
            <w:webHidden/>
          </w:rPr>
          <w:fldChar w:fldCharType="end"/>
        </w:r>
      </w:hyperlink>
    </w:p>
    <w:p w14:paraId="5C85EFE1" w14:textId="3DE00FE8" w:rsidR="006D5A87" w:rsidRPr="006D5A87" w:rsidRDefault="00460DEC" w:rsidP="00863D57">
      <w:pPr>
        <w:pStyle w:val="TOC1"/>
        <w:rPr>
          <w:rFonts w:eastAsiaTheme="minorEastAsia" w:cstheme="minorBidi"/>
          <w:noProof/>
          <w:kern w:val="2"/>
          <w:szCs w:val="24"/>
          <w:lang w:val="en-GB" w:eastAsia="en-GB"/>
          <w14:ligatures w14:val="standardContextual"/>
        </w:rPr>
      </w:pPr>
      <w:hyperlink w:anchor="_Toc159763574" w:history="1">
        <w:r w:rsidR="006D5A87" w:rsidRPr="00863D57">
          <w:rPr>
            <w:rStyle w:val="Hyperlink"/>
            <w:i w:val="0"/>
            <w:iCs w:val="0"/>
            <w:noProof/>
          </w:rPr>
          <w:t>References</w:t>
        </w:r>
        <w:r w:rsidR="006D5A87" w:rsidRPr="00863D57">
          <w:rPr>
            <w:noProof/>
            <w:webHidden/>
          </w:rPr>
          <w:tab/>
        </w:r>
        <w:r w:rsidR="006D5A87" w:rsidRPr="00863D57">
          <w:rPr>
            <w:noProof/>
            <w:webHidden/>
          </w:rPr>
          <w:fldChar w:fldCharType="begin"/>
        </w:r>
        <w:r w:rsidR="006D5A87" w:rsidRPr="00863D57">
          <w:rPr>
            <w:noProof/>
            <w:webHidden/>
          </w:rPr>
          <w:instrText xml:space="preserve"> PAGEREF _Toc159763574 \h </w:instrText>
        </w:r>
        <w:r w:rsidR="006D5A87" w:rsidRPr="00863D57">
          <w:rPr>
            <w:noProof/>
            <w:webHidden/>
          </w:rPr>
        </w:r>
        <w:r w:rsidR="006D5A87" w:rsidRPr="00863D57">
          <w:rPr>
            <w:noProof/>
            <w:webHidden/>
          </w:rPr>
          <w:fldChar w:fldCharType="separate"/>
        </w:r>
        <w:r w:rsidR="006D5A87" w:rsidRPr="00863D57">
          <w:rPr>
            <w:noProof/>
            <w:webHidden/>
          </w:rPr>
          <w:t>69</w:t>
        </w:r>
        <w:r w:rsidR="006D5A87" w:rsidRPr="00863D57">
          <w:rPr>
            <w:noProof/>
            <w:webHidden/>
          </w:rPr>
          <w:fldChar w:fldCharType="end"/>
        </w:r>
      </w:hyperlink>
    </w:p>
    <w:p w14:paraId="30FB4106" w14:textId="4388E03E" w:rsidR="00A1683D" w:rsidRDefault="005D2228" w:rsidP="00D547AD">
      <w:pPr>
        <w:pStyle w:val="Nomal-numbered"/>
        <w:rPr>
          <w:rFonts w:eastAsiaTheme="minorHAnsi"/>
        </w:rPr>
        <w:sectPr w:rsidR="00A1683D" w:rsidSect="00863D57">
          <w:footerReference w:type="default" r:id="rId13"/>
          <w:footerReference w:type="first" r:id="rId14"/>
          <w:pgSz w:w="12240" w:h="15840"/>
          <w:pgMar w:top="1440" w:right="1440" w:bottom="1440" w:left="1440" w:header="720" w:footer="720" w:gutter="0"/>
          <w:cols w:space="720"/>
          <w:titlePg/>
          <w:docGrid w:linePitch="360"/>
        </w:sectPr>
      </w:pPr>
      <w:r w:rsidRPr="00863D57">
        <w:rPr>
          <w:rFonts w:eastAsiaTheme="minorHAnsi"/>
          <w:i w:val="0"/>
        </w:rPr>
        <w:fldChar w:fldCharType="end"/>
      </w:r>
      <w:bookmarkStart w:id="3" w:name="_Toc137046496"/>
      <w:bookmarkStart w:id="4" w:name="_Toc137048160"/>
    </w:p>
    <w:p w14:paraId="40C35E3F" w14:textId="461ADAF8" w:rsidR="00665552" w:rsidRDefault="00431C67" w:rsidP="00431C67">
      <w:pPr>
        <w:pStyle w:val="Heading1"/>
        <w:spacing w:before="0" w:after="120"/>
      </w:pPr>
      <w:bookmarkStart w:id="5" w:name="_Toc159763564"/>
      <w:bookmarkStart w:id="6" w:name="_Toc128392531"/>
      <w:bookmarkStart w:id="7" w:name="_Toc137046498"/>
      <w:bookmarkStart w:id="8" w:name="_Toc137048162"/>
      <w:bookmarkEnd w:id="3"/>
      <w:bookmarkEnd w:id="4"/>
      <w:r w:rsidRPr="00437B4A">
        <w:lastRenderedPageBreak/>
        <w:t>Acronyms</w:t>
      </w:r>
      <w:bookmarkEnd w:id="5"/>
      <w:r w:rsidR="00437B4A" w:rsidRPr="00437B4A" w:rsidDel="00437B4A">
        <w:t xml:space="preserve"> </w:t>
      </w:r>
      <w:bookmarkEnd w:id="6"/>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550"/>
      </w:tblGrid>
      <w:tr w:rsidR="00E95EC9" w14:paraId="7E942917" w14:textId="77777777" w:rsidTr="00E95EC9">
        <w:tc>
          <w:tcPr>
            <w:tcW w:w="1800" w:type="dxa"/>
            <w:hideMark/>
          </w:tcPr>
          <w:p w14:paraId="1160228E" w14:textId="77777777" w:rsidR="00E95EC9" w:rsidRDefault="00E95EC9">
            <w:pPr>
              <w:spacing w:before="40" w:after="40"/>
              <w:rPr>
                <w:rFonts w:asciiTheme="majorHAnsi" w:hAnsiTheme="majorHAnsi" w:cstheme="majorHAnsi"/>
              </w:rPr>
            </w:pPr>
            <w:r>
              <w:rPr>
                <w:rFonts w:asciiTheme="majorHAnsi" w:hAnsiTheme="majorHAnsi" w:cstheme="majorHAnsi"/>
              </w:rPr>
              <w:t>AEDP</w:t>
            </w:r>
          </w:p>
        </w:tc>
        <w:tc>
          <w:tcPr>
            <w:tcW w:w="7550" w:type="dxa"/>
            <w:hideMark/>
          </w:tcPr>
          <w:p w14:paraId="301A5DFB" w14:textId="77777777" w:rsidR="00E95EC9" w:rsidRDefault="00E95EC9">
            <w:pPr>
              <w:spacing w:before="40" w:after="40"/>
              <w:rPr>
                <w:rFonts w:asciiTheme="majorHAnsi" w:hAnsiTheme="majorHAnsi" w:cstheme="majorHAnsi"/>
              </w:rPr>
            </w:pPr>
            <w:r>
              <w:rPr>
                <w:rFonts w:asciiTheme="majorHAnsi" w:hAnsiTheme="majorHAnsi" w:cstheme="majorHAnsi"/>
              </w:rPr>
              <w:t xml:space="preserve">Alternative Energy Development Plan </w:t>
            </w:r>
          </w:p>
        </w:tc>
      </w:tr>
      <w:tr w:rsidR="00E95EC9" w14:paraId="3CD14DAC" w14:textId="77777777" w:rsidTr="00E95EC9">
        <w:tc>
          <w:tcPr>
            <w:tcW w:w="1800" w:type="dxa"/>
            <w:hideMark/>
          </w:tcPr>
          <w:p w14:paraId="14F95F6E" w14:textId="77777777" w:rsidR="00E95EC9" w:rsidRDefault="00E95EC9">
            <w:pPr>
              <w:spacing w:before="40" w:after="40"/>
              <w:rPr>
                <w:rFonts w:asciiTheme="majorHAnsi" w:hAnsiTheme="majorHAnsi" w:cstheme="majorHAnsi"/>
              </w:rPr>
            </w:pPr>
            <w:r>
              <w:rPr>
                <w:rFonts w:asciiTheme="majorHAnsi" w:hAnsiTheme="majorHAnsi" w:cstheme="majorHAnsi"/>
              </w:rPr>
              <w:t>AFC</w:t>
            </w:r>
          </w:p>
        </w:tc>
        <w:tc>
          <w:tcPr>
            <w:tcW w:w="7550" w:type="dxa"/>
            <w:hideMark/>
          </w:tcPr>
          <w:p w14:paraId="3DCEAD0B" w14:textId="77777777" w:rsidR="00E95EC9" w:rsidRDefault="00E95EC9">
            <w:pPr>
              <w:spacing w:before="40" w:after="40"/>
              <w:rPr>
                <w:rFonts w:asciiTheme="majorHAnsi" w:hAnsiTheme="majorHAnsi" w:cstheme="majorHAnsi"/>
              </w:rPr>
            </w:pPr>
            <w:r>
              <w:rPr>
                <w:rFonts w:asciiTheme="majorHAnsi" w:hAnsiTheme="majorHAnsi" w:cstheme="majorHAnsi"/>
              </w:rPr>
              <w:t>Asian Financial Crisis</w:t>
            </w:r>
          </w:p>
        </w:tc>
      </w:tr>
      <w:tr w:rsidR="00E95EC9" w14:paraId="68A27991" w14:textId="77777777" w:rsidTr="00E95EC9">
        <w:tc>
          <w:tcPr>
            <w:tcW w:w="1800" w:type="dxa"/>
            <w:hideMark/>
          </w:tcPr>
          <w:p w14:paraId="449D8EAF" w14:textId="77777777" w:rsidR="00E95EC9" w:rsidRDefault="00E95EC9">
            <w:pPr>
              <w:spacing w:before="40" w:after="40"/>
              <w:rPr>
                <w:rFonts w:asciiTheme="majorHAnsi" w:hAnsiTheme="majorHAnsi" w:cstheme="majorHAnsi"/>
              </w:rPr>
            </w:pPr>
            <w:r>
              <w:rPr>
                <w:rFonts w:asciiTheme="majorHAnsi" w:hAnsiTheme="majorHAnsi" w:cstheme="majorHAnsi"/>
              </w:rPr>
              <w:t>AI</w:t>
            </w:r>
          </w:p>
        </w:tc>
        <w:tc>
          <w:tcPr>
            <w:tcW w:w="7550" w:type="dxa"/>
            <w:hideMark/>
          </w:tcPr>
          <w:p w14:paraId="6B77A930" w14:textId="77777777" w:rsidR="00E95EC9" w:rsidRDefault="00E95EC9">
            <w:pPr>
              <w:spacing w:before="40" w:after="40"/>
              <w:rPr>
                <w:rFonts w:asciiTheme="majorHAnsi" w:hAnsiTheme="majorHAnsi" w:cstheme="majorHAnsi"/>
              </w:rPr>
            </w:pPr>
            <w:r>
              <w:rPr>
                <w:rFonts w:asciiTheme="majorHAnsi" w:hAnsiTheme="majorHAnsi" w:cstheme="majorHAnsi"/>
              </w:rPr>
              <w:t>Artificial intelligence</w:t>
            </w:r>
          </w:p>
        </w:tc>
      </w:tr>
      <w:tr w:rsidR="00E95EC9" w14:paraId="2ED32806" w14:textId="77777777" w:rsidTr="00E95EC9">
        <w:tc>
          <w:tcPr>
            <w:tcW w:w="1800" w:type="dxa"/>
            <w:hideMark/>
          </w:tcPr>
          <w:p w14:paraId="3C1E9581" w14:textId="77777777" w:rsidR="00E95EC9" w:rsidRDefault="00E95EC9">
            <w:pPr>
              <w:spacing w:before="40" w:after="40"/>
              <w:rPr>
                <w:rFonts w:asciiTheme="majorHAnsi" w:hAnsiTheme="majorHAnsi" w:cstheme="majorHAnsi"/>
              </w:rPr>
            </w:pPr>
            <w:r>
              <w:rPr>
                <w:rFonts w:asciiTheme="majorHAnsi" w:hAnsiTheme="majorHAnsi" w:cstheme="majorHAnsi"/>
              </w:rPr>
              <w:t>AM</w:t>
            </w:r>
          </w:p>
        </w:tc>
        <w:tc>
          <w:tcPr>
            <w:tcW w:w="7550" w:type="dxa"/>
            <w:hideMark/>
          </w:tcPr>
          <w:p w14:paraId="7C5A49EE" w14:textId="77777777" w:rsidR="00E95EC9" w:rsidRDefault="00E95EC9">
            <w:pPr>
              <w:spacing w:before="40" w:after="40"/>
              <w:rPr>
                <w:rFonts w:asciiTheme="majorHAnsi" w:hAnsiTheme="majorHAnsi" w:cstheme="majorHAnsi"/>
              </w:rPr>
            </w:pPr>
            <w:r>
              <w:rPr>
                <w:rFonts w:asciiTheme="majorHAnsi" w:hAnsiTheme="majorHAnsi" w:cstheme="majorHAnsi"/>
              </w:rPr>
              <w:t>Additive Manufacturing</w:t>
            </w:r>
          </w:p>
        </w:tc>
      </w:tr>
      <w:tr w:rsidR="00E95EC9" w14:paraId="1C866F22" w14:textId="77777777" w:rsidTr="00E95EC9">
        <w:tc>
          <w:tcPr>
            <w:tcW w:w="1800" w:type="dxa"/>
            <w:hideMark/>
          </w:tcPr>
          <w:p w14:paraId="75B32BB1" w14:textId="77777777" w:rsidR="00E95EC9" w:rsidRDefault="00E95EC9">
            <w:pPr>
              <w:spacing w:before="40" w:after="40"/>
              <w:rPr>
                <w:rFonts w:asciiTheme="majorHAnsi" w:hAnsiTheme="majorHAnsi" w:cstheme="majorHAnsi"/>
              </w:rPr>
            </w:pPr>
            <w:r>
              <w:rPr>
                <w:rFonts w:asciiTheme="majorHAnsi" w:hAnsiTheme="majorHAnsi" w:cstheme="majorHAnsi"/>
              </w:rPr>
              <w:t>BCG</w:t>
            </w:r>
          </w:p>
        </w:tc>
        <w:tc>
          <w:tcPr>
            <w:tcW w:w="7550" w:type="dxa"/>
            <w:hideMark/>
          </w:tcPr>
          <w:p w14:paraId="75A02A5F" w14:textId="77777777" w:rsidR="00E95EC9" w:rsidRDefault="00E95EC9">
            <w:pPr>
              <w:spacing w:before="40" w:after="40"/>
              <w:rPr>
                <w:rFonts w:asciiTheme="majorHAnsi" w:hAnsiTheme="majorHAnsi" w:cstheme="majorHAnsi"/>
              </w:rPr>
            </w:pPr>
            <w:r>
              <w:rPr>
                <w:rFonts w:asciiTheme="majorHAnsi" w:hAnsiTheme="majorHAnsi" w:cstheme="majorHAnsi"/>
              </w:rPr>
              <w:t xml:space="preserve">Bio-Circular-Green  </w:t>
            </w:r>
          </w:p>
        </w:tc>
      </w:tr>
      <w:tr w:rsidR="00E95EC9" w14:paraId="3CE6ED0A" w14:textId="77777777" w:rsidTr="00E95EC9">
        <w:tc>
          <w:tcPr>
            <w:tcW w:w="1800" w:type="dxa"/>
            <w:hideMark/>
          </w:tcPr>
          <w:p w14:paraId="6C621F20" w14:textId="77777777" w:rsidR="00E95EC9" w:rsidRDefault="00E95EC9">
            <w:pPr>
              <w:spacing w:before="40" w:after="40"/>
              <w:rPr>
                <w:rFonts w:asciiTheme="majorHAnsi" w:hAnsiTheme="majorHAnsi" w:cstheme="majorHAnsi"/>
              </w:rPr>
            </w:pPr>
            <w:r>
              <w:rPr>
                <w:rFonts w:asciiTheme="majorHAnsi" w:hAnsiTheme="majorHAnsi" w:cstheme="majorHAnsi"/>
              </w:rPr>
              <w:t>BOT</w:t>
            </w:r>
          </w:p>
        </w:tc>
        <w:tc>
          <w:tcPr>
            <w:tcW w:w="7550" w:type="dxa"/>
            <w:hideMark/>
          </w:tcPr>
          <w:p w14:paraId="0B50FC2C" w14:textId="77777777" w:rsidR="00E95EC9" w:rsidRDefault="00E95EC9">
            <w:pPr>
              <w:spacing w:before="40" w:after="40"/>
              <w:rPr>
                <w:rFonts w:asciiTheme="majorHAnsi" w:hAnsiTheme="majorHAnsi" w:cstheme="majorHAnsi"/>
              </w:rPr>
            </w:pPr>
            <w:r>
              <w:rPr>
                <w:rFonts w:asciiTheme="majorHAnsi" w:hAnsiTheme="majorHAnsi" w:cstheme="majorHAnsi"/>
              </w:rPr>
              <w:t>Bank of Thailand</w:t>
            </w:r>
          </w:p>
        </w:tc>
      </w:tr>
      <w:tr w:rsidR="00E95EC9" w14:paraId="331FDB4E" w14:textId="77777777" w:rsidTr="00E95EC9">
        <w:tc>
          <w:tcPr>
            <w:tcW w:w="1800" w:type="dxa"/>
            <w:hideMark/>
          </w:tcPr>
          <w:p w14:paraId="0220764C" w14:textId="77777777" w:rsidR="00E95EC9" w:rsidRDefault="00E95EC9">
            <w:pPr>
              <w:spacing w:before="40" w:after="40"/>
              <w:rPr>
                <w:rFonts w:asciiTheme="majorHAnsi" w:hAnsiTheme="majorHAnsi" w:cstheme="majorHAnsi"/>
              </w:rPr>
            </w:pPr>
            <w:r>
              <w:rPr>
                <w:rFonts w:asciiTheme="majorHAnsi" w:hAnsiTheme="majorHAnsi" w:cstheme="majorHAnsi"/>
              </w:rPr>
              <w:t>BPO</w:t>
            </w:r>
          </w:p>
        </w:tc>
        <w:tc>
          <w:tcPr>
            <w:tcW w:w="7550" w:type="dxa"/>
            <w:hideMark/>
          </w:tcPr>
          <w:p w14:paraId="3266F709" w14:textId="77777777" w:rsidR="00E95EC9" w:rsidRDefault="00E95EC9">
            <w:pPr>
              <w:spacing w:before="40" w:after="40"/>
              <w:rPr>
                <w:rFonts w:asciiTheme="majorHAnsi" w:hAnsiTheme="majorHAnsi" w:cstheme="majorHAnsi"/>
              </w:rPr>
            </w:pPr>
            <w:r>
              <w:rPr>
                <w:rFonts w:asciiTheme="majorHAnsi" w:hAnsiTheme="majorHAnsi" w:cstheme="majorHAnsi"/>
              </w:rPr>
              <w:t>Business Process Outsourcing</w:t>
            </w:r>
          </w:p>
        </w:tc>
      </w:tr>
      <w:tr w:rsidR="00E95EC9" w14:paraId="5B851BAF" w14:textId="77777777" w:rsidTr="00E95EC9">
        <w:tc>
          <w:tcPr>
            <w:tcW w:w="1800" w:type="dxa"/>
            <w:hideMark/>
          </w:tcPr>
          <w:p w14:paraId="682D114E" w14:textId="77777777" w:rsidR="00E95EC9" w:rsidRDefault="00E95EC9">
            <w:pPr>
              <w:spacing w:before="40" w:after="40"/>
              <w:rPr>
                <w:rFonts w:asciiTheme="majorHAnsi" w:hAnsiTheme="majorHAnsi" w:cstheme="majorHAnsi"/>
              </w:rPr>
            </w:pPr>
            <w:r>
              <w:rPr>
                <w:rFonts w:asciiTheme="majorHAnsi" w:hAnsiTheme="majorHAnsi" w:cstheme="majorHAnsi"/>
              </w:rPr>
              <w:t>BSA</w:t>
            </w:r>
          </w:p>
        </w:tc>
        <w:tc>
          <w:tcPr>
            <w:tcW w:w="7550" w:type="dxa"/>
            <w:hideMark/>
          </w:tcPr>
          <w:p w14:paraId="23FDD29A" w14:textId="77777777" w:rsidR="00E95EC9" w:rsidRDefault="00E95EC9">
            <w:pPr>
              <w:spacing w:before="40" w:after="40"/>
              <w:rPr>
                <w:rFonts w:asciiTheme="majorHAnsi" w:hAnsiTheme="majorHAnsi" w:cstheme="majorHAnsi"/>
              </w:rPr>
            </w:pPr>
            <w:r>
              <w:rPr>
                <w:rFonts w:asciiTheme="majorHAnsi" w:hAnsiTheme="majorHAnsi" w:cstheme="majorHAnsi"/>
              </w:rPr>
              <w:t xml:space="preserve">Business Security Act </w:t>
            </w:r>
          </w:p>
        </w:tc>
      </w:tr>
      <w:tr w:rsidR="00E95EC9" w14:paraId="453DDE7D" w14:textId="77777777" w:rsidTr="00E95EC9">
        <w:tc>
          <w:tcPr>
            <w:tcW w:w="1800" w:type="dxa"/>
            <w:hideMark/>
          </w:tcPr>
          <w:p w14:paraId="1C83FC31" w14:textId="77777777" w:rsidR="00E95EC9" w:rsidRDefault="00E95EC9">
            <w:pPr>
              <w:spacing w:before="40" w:after="40"/>
              <w:rPr>
                <w:rFonts w:asciiTheme="majorHAnsi" w:hAnsiTheme="majorHAnsi" w:cstheme="majorHAnsi"/>
              </w:rPr>
            </w:pPr>
            <w:r>
              <w:rPr>
                <w:rFonts w:asciiTheme="majorHAnsi" w:hAnsiTheme="majorHAnsi" w:cstheme="majorHAnsi"/>
              </w:rPr>
              <w:t>CE</w:t>
            </w:r>
          </w:p>
        </w:tc>
        <w:tc>
          <w:tcPr>
            <w:tcW w:w="7550" w:type="dxa"/>
            <w:hideMark/>
          </w:tcPr>
          <w:p w14:paraId="0E6EA1B2" w14:textId="77777777" w:rsidR="00E95EC9" w:rsidRDefault="00E95EC9">
            <w:pPr>
              <w:spacing w:before="40" w:after="40"/>
              <w:rPr>
                <w:rFonts w:asciiTheme="majorHAnsi" w:hAnsiTheme="majorHAnsi" w:cstheme="majorHAnsi"/>
              </w:rPr>
            </w:pPr>
            <w:r>
              <w:rPr>
                <w:rFonts w:asciiTheme="majorHAnsi" w:hAnsiTheme="majorHAnsi" w:cstheme="majorHAnsi"/>
              </w:rPr>
              <w:t>Circular Economy</w:t>
            </w:r>
          </w:p>
        </w:tc>
      </w:tr>
      <w:tr w:rsidR="00E95EC9" w14:paraId="35305107" w14:textId="77777777" w:rsidTr="00E95EC9">
        <w:tc>
          <w:tcPr>
            <w:tcW w:w="1800" w:type="dxa"/>
            <w:hideMark/>
          </w:tcPr>
          <w:p w14:paraId="718D3D6B" w14:textId="77777777" w:rsidR="00E95EC9" w:rsidRDefault="00E95EC9">
            <w:pPr>
              <w:spacing w:before="40" w:after="40"/>
              <w:rPr>
                <w:rFonts w:asciiTheme="majorHAnsi" w:hAnsiTheme="majorHAnsi" w:cstheme="majorHAnsi"/>
              </w:rPr>
            </w:pPr>
            <w:r>
              <w:rPr>
                <w:rFonts w:asciiTheme="majorHAnsi" w:hAnsiTheme="majorHAnsi" w:cstheme="majorHAnsi"/>
              </w:rPr>
              <w:t>CBAM</w:t>
            </w:r>
          </w:p>
        </w:tc>
        <w:tc>
          <w:tcPr>
            <w:tcW w:w="7550" w:type="dxa"/>
            <w:hideMark/>
          </w:tcPr>
          <w:p w14:paraId="527A342C" w14:textId="77777777" w:rsidR="00E95EC9" w:rsidRDefault="00E95EC9">
            <w:pPr>
              <w:spacing w:before="40" w:after="40"/>
              <w:rPr>
                <w:rFonts w:asciiTheme="majorHAnsi" w:hAnsiTheme="majorHAnsi" w:cstheme="majorHAnsi"/>
              </w:rPr>
            </w:pPr>
            <w:r>
              <w:rPr>
                <w:rFonts w:asciiTheme="majorHAnsi" w:hAnsiTheme="majorHAnsi" w:cstheme="majorHAnsi"/>
              </w:rPr>
              <w:t>Carbon Border Adjustment Mechanism</w:t>
            </w:r>
          </w:p>
        </w:tc>
      </w:tr>
      <w:tr w:rsidR="00E95EC9" w14:paraId="7100B3BE" w14:textId="77777777" w:rsidTr="00E95EC9">
        <w:tc>
          <w:tcPr>
            <w:tcW w:w="1800" w:type="dxa"/>
            <w:hideMark/>
          </w:tcPr>
          <w:p w14:paraId="19A1599B" w14:textId="77777777" w:rsidR="00E95EC9" w:rsidRDefault="00E95EC9">
            <w:pPr>
              <w:spacing w:before="40" w:after="40"/>
              <w:rPr>
                <w:rFonts w:asciiTheme="majorHAnsi" w:hAnsiTheme="majorHAnsi" w:cstheme="majorHAnsi"/>
              </w:rPr>
            </w:pPr>
            <w:r>
              <w:rPr>
                <w:rFonts w:asciiTheme="majorHAnsi" w:hAnsiTheme="majorHAnsi" w:cstheme="majorHAnsi"/>
              </w:rPr>
              <w:t>CIBA</w:t>
            </w:r>
          </w:p>
        </w:tc>
        <w:tc>
          <w:tcPr>
            <w:tcW w:w="7550" w:type="dxa"/>
            <w:hideMark/>
          </w:tcPr>
          <w:p w14:paraId="5DF73D8A" w14:textId="77777777" w:rsidR="00E95EC9" w:rsidRDefault="00E95EC9">
            <w:pPr>
              <w:spacing w:before="40" w:after="40"/>
              <w:rPr>
                <w:rFonts w:asciiTheme="majorHAnsi" w:hAnsiTheme="majorHAnsi" w:cstheme="majorHAnsi"/>
              </w:rPr>
            </w:pPr>
            <w:r>
              <w:rPr>
                <w:rFonts w:asciiTheme="majorHAnsi" w:hAnsiTheme="majorHAnsi" w:cstheme="majorHAnsi"/>
              </w:rPr>
              <w:t>Credit Information Business Act</w:t>
            </w:r>
          </w:p>
        </w:tc>
      </w:tr>
      <w:tr w:rsidR="00E95EC9" w14:paraId="18B8AFD7" w14:textId="77777777" w:rsidTr="00E95EC9">
        <w:tc>
          <w:tcPr>
            <w:tcW w:w="1800" w:type="dxa"/>
            <w:hideMark/>
          </w:tcPr>
          <w:p w14:paraId="42FC6D58" w14:textId="77777777" w:rsidR="00E95EC9" w:rsidRDefault="00E95EC9">
            <w:pPr>
              <w:spacing w:before="40" w:after="40"/>
              <w:rPr>
                <w:rFonts w:asciiTheme="majorHAnsi" w:hAnsiTheme="majorHAnsi" w:cstheme="majorHAnsi"/>
              </w:rPr>
            </w:pPr>
            <w:r>
              <w:rPr>
                <w:rFonts w:asciiTheme="majorHAnsi" w:hAnsiTheme="majorHAnsi" w:cstheme="majorHAnsi"/>
              </w:rPr>
              <w:t>COP26</w:t>
            </w:r>
          </w:p>
        </w:tc>
        <w:tc>
          <w:tcPr>
            <w:tcW w:w="7550" w:type="dxa"/>
            <w:hideMark/>
          </w:tcPr>
          <w:p w14:paraId="68FBA368" w14:textId="77777777" w:rsidR="00E95EC9" w:rsidRDefault="00E95EC9">
            <w:pPr>
              <w:spacing w:before="40" w:after="40"/>
              <w:rPr>
                <w:rFonts w:asciiTheme="majorHAnsi" w:hAnsiTheme="majorHAnsi" w:cstheme="majorHAnsi"/>
              </w:rPr>
            </w:pPr>
            <w:r>
              <w:rPr>
                <w:rFonts w:asciiTheme="majorHAnsi" w:hAnsiTheme="majorHAnsi" w:cstheme="majorHAnsi"/>
              </w:rPr>
              <w:t xml:space="preserve">The UN Climate Change Conference in Glasgow </w:t>
            </w:r>
          </w:p>
        </w:tc>
      </w:tr>
      <w:tr w:rsidR="00E95EC9" w14:paraId="72AC3DA5" w14:textId="77777777" w:rsidTr="00E95EC9">
        <w:tc>
          <w:tcPr>
            <w:tcW w:w="1800" w:type="dxa"/>
            <w:hideMark/>
          </w:tcPr>
          <w:p w14:paraId="003E8388" w14:textId="77777777" w:rsidR="00E95EC9" w:rsidRDefault="00E95EC9">
            <w:pPr>
              <w:spacing w:before="40" w:after="40"/>
              <w:rPr>
                <w:rFonts w:asciiTheme="majorHAnsi" w:hAnsiTheme="majorHAnsi" w:cstheme="majorHAnsi"/>
              </w:rPr>
            </w:pPr>
            <w:r>
              <w:rPr>
                <w:rFonts w:asciiTheme="majorHAnsi" w:hAnsiTheme="majorHAnsi" w:cstheme="majorHAnsi"/>
              </w:rPr>
              <w:t>CPAT</w:t>
            </w:r>
          </w:p>
        </w:tc>
        <w:tc>
          <w:tcPr>
            <w:tcW w:w="7550" w:type="dxa"/>
            <w:hideMark/>
          </w:tcPr>
          <w:p w14:paraId="7948A343" w14:textId="77777777" w:rsidR="00E95EC9" w:rsidRDefault="00E95EC9">
            <w:pPr>
              <w:spacing w:before="40" w:after="40"/>
              <w:rPr>
                <w:rFonts w:asciiTheme="majorHAnsi" w:hAnsiTheme="majorHAnsi" w:cstheme="majorHAnsi"/>
              </w:rPr>
            </w:pPr>
            <w:r>
              <w:rPr>
                <w:rFonts w:asciiTheme="majorHAnsi" w:hAnsiTheme="majorHAnsi" w:cstheme="majorHAnsi"/>
              </w:rPr>
              <w:t>Climate Policy Assessment Tool</w:t>
            </w:r>
          </w:p>
        </w:tc>
      </w:tr>
      <w:tr w:rsidR="00E95EC9" w14:paraId="27E8858B" w14:textId="77777777" w:rsidTr="00E95EC9">
        <w:tc>
          <w:tcPr>
            <w:tcW w:w="1800" w:type="dxa"/>
            <w:hideMark/>
          </w:tcPr>
          <w:p w14:paraId="54C5D85A" w14:textId="77777777" w:rsidR="00E95EC9" w:rsidRDefault="00E95EC9">
            <w:pPr>
              <w:spacing w:before="40" w:after="40"/>
              <w:rPr>
                <w:rFonts w:asciiTheme="majorHAnsi" w:hAnsiTheme="majorHAnsi" w:cstheme="majorHAnsi"/>
              </w:rPr>
            </w:pPr>
            <w:r>
              <w:rPr>
                <w:rFonts w:asciiTheme="majorHAnsi" w:hAnsiTheme="majorHAnsi" w:cstheme="majorHAnsi"/>
              </w:rPr>
              <w:t>CPF</w:t>
            </w:r>
          </w:p>
        </w:tc>
        <w:tc>
          <w:tcPr>
            <w:tcW w:w="7550" w:type="dxa"/>
            <w:hideMark/>
          </w:tcPr>
          <w:p w14:paraId="4509E6D0" w14:textId="77777777" w:rsidR="00E95EC9" w:rsidRDefault="00E95EC9">
            <w:pPr>
              <w:spacing w:before="40" w:after="40"/>
              <w:rPr>
                <w:rFonts w:asciiTheme="majorHAnsi" w:hAnsiTheme="majorHAnsi" w:cstheme="majorHAnsi"/>
              </w:rPr>
            </w:pPr>
            <w:r>
              <w:rPr>
                <w:rFonts w:asciiTheme="majorHAnsi" w:hAnsiTheme="majorHAnsi" w:cstheme="majorHAnsi"/>
              </w:rPr>
              <w:t>Country Partnership Framework</w:t>
            </w:r>
          </w:p>
        </w:tc>
      </w:tr>
      <w:tr w:rsidR="00E95EC9" w14:paraId="409F9F1A" w14:textId="77777777" w:rsidTr="00E95EC9">
        <w:tc>
          <w:tcPr>
            <w:tcW w:w="1800" w:type="dxa"/>
            <w:hideMark/>
          </w:tcPr>
          <w:p w14:paraId="1E57E004" w14:textId="77777777" w:rsidR="00E95EC9" w:rsidRDefault="00E95EC9">
            <w:pPr>
              <w:spacing w:before="40" w:after="40"/>
              <w:rPr>
                <w:rFonts w:asciiTheme="majorHAnsi" w:hAnsiTheme="majorHAnsi" w:cstheme="majorHAnsi"/>
              </w:rPr>
            </w:pPr>
            <w:r>
              <w:rPr>
                <w:rFonts w:asciiTheme="majorHAnsi" w:hAnsiTheme="majorHAnsi" w:cstheme="majorHAnsi"/>
              </w:rPr>
              <w:t>CSA</w:t>
            </w:r>
          </w:p>
        </w:tc>
        <w:tc>
          <w:tcPr>
            <w:tcW w:w="7550" w:type="dxa"/>
            <w:hideMark/>
          </w:tcPr>
          <w:p w14:paraId="2C39CDF9" w14:textId="77777777" w:rsidR="00E95EC9" w:rsidRDefault="00E95EC9">
            <w:pPr>
              <w:spacing w:before="40" w:after="40"/>
              <w:rPr>
                <w:rFonts w:asciiTheme="majorHAnsi" w:hAnsiTheme="majorHAnsi" w:cstheme="majorHAnsi"/>
              </w:rPr>
            </w:pPr>
            <w:r>
              <w:rPr>
                <w:rFonts w:asciiTheme="majorHAnsi" w:hAnsiTheme="majorHAnsi" w:cstheme="majorHAnsi"/>
              </w:rPr>
              <w:t>Climate Smart Agriculture</w:t>
            </w:r>
          </w:p>
        </w:tc>
      </w:tr>
      <w:tr w:rsidR="00E95EC9" w14:paraId="3FD140BB" w14:textId="77777777" w:rsidTr="00E95EC9">
        <w:tc>
          <w:tcPr>
            <w:tcW w:w="1800" w:type="dxa"/>
            <w:hideMark/>
          </w:tcPr>
          <w:p w14:paraId="46A77386" w14:textId="77777777" w:rsidR="00E95EC9" w:rsidRDefault="00E95EC9">
            <w:pPr>
              <w:spacing w:before="40" w:after="40"/>
              <w:rPr>
                <w:rFonts w:asciiTheme="majorHAnsi" w:hAnsiTheme="majorHAnsi" w:cstheme="majorHAnsi"/>
              </w:rPr>
            </w:pPr>
            <w:r>
              <w:rPr>
                <w:rFonts w:asciiTheme="majorHAnsi" w:hAnsiTheme="majorHAnsi" w:cstheme="majorHAnsi"/>
              </w:rPr>
              <w:t>CSG</w:t>
            </w:r>
          </w:p>
        </w:tc>
        <w:tc>
          <w:tcPr>
            <w:tcW w:w="7550" w:type="dxa"/>
            <w:hideMark/>
          </w:tcPr>
          <w:p w14:paraId="2107B5AC" w14:textId="77777777" w:rsidR="00E95EC9" w:rsidRDefault="00E95EC9">
            <w:pPr>
              <w:spacing w:before="40" w:after="40"/>
              <w:rPr>
                <w:rFonts w:asciiTheme="majorHAnsi" w:hAnsiTheme="majorHAnsi" w:cstheme="majorHAnsi"/>
              </w:rPr>
            </w:pPr>
            <w:r>
              <w:rPr>
                <w:rFonts w:asciiTheme="majorHAnsi" w:hAnsiTheme="majorHAnsi" w:cstheme="majorHAnsi"/>
              </w:rPr>
              <w:t xml:space="preserve">Child Support Grant </w:t>
            </w:r>
          </w:p>
        </w:tc>
      </w:tr>
      <w:tr w:rsidR="00E95EC9" w14:paraId="2A09B205" w14:textId="77777777" w:rsidTr="00E95EC9">
        <w:tc>
          <w:tcPr>
            <w:tcW w:w="1800" w:type="dxa"/>
            <w:hideMark/>
          </w:tcPr>
          <w:p w14:paraId="59AD1714" w14:textId="77777777" w:rsidR="00E95EC9" w:rsidRDefault="00E95EC9">
            <w:pPr>
              <w:spacing w:before="40" w:after="40"/>
              <w:rPr>
                <w:rFonts w:asciiTheme="majorHAnsi" w:hAnsiTheme="majorHAnsi" w:cstheme="majorHAnsi"/>
              </w:rPr>
            </w:pPr>
            <w:r>
              <w:rPr>
                <w:rFonts w:asciiTheme="majorHAnsi" w:hAnsiTheme="majorHAnsi" w:cstheme="majorHAnsi"/>
              </w:rPr>
              <w:t>DTI</w:t>
            </w:r>
          </w:p>
        </w:tc>
        <w:tc>
          <w:tcPr>
            <w:tcW w:w="7550" w:type="dxa"/>
            <w:hideMark/>
          </w:tcPr>
          <w:p w14:paraId="605B4F9A" w14:textId="77777777" w:rsidR="00E95EC9" w:rsidRDefault="00E95EC9">
            <w:pPr>
              <w:spacing w:before="40" w:after="40"/>
              <w:rPr>
                <w:rFonts w:asciiTheme="majorHAnsi" w:hAnsiTheme="majorHAnsi" w:cstheme="majorHAnsi"/>
              </w:rPr>
            </w:pPr>
            <w:r>
              <w:rPr>
                <w:rFonts w:asciiTheme="majorHAnsi" w:hAnsiTheme="majorHAnsi" w:cstheme="majorHAnsi"/>
              </w:rPr>
              <w:t>Household Debt-To-Income</w:t>
            </w:r>
          </w:p>
        </w:tc>
      </w:tr>
      <w:tr w:rsidR="00E95EC9" w14:paraId="1635762A" w14:textId="77777777" w:rsidTr="00E95EC9">
        <w:tc>
          <w:tcPr>
            <w:tcW w:w="1800" w:type="dxa"/>
            <w:hideMark/>
          </w:tcPr>
          <w:p w14:paraId="50FF32F2" w14:textId="77777777" w:rsidR="00E95EC9" w:rsidRDefault="00E95EC9">
            <w:pPr>
              <w:spacing w:before="40" w:after="40"/>
              <w:rPr>
                <w:rFonts w:asciiTheme="majorHAnsi" w:hAnsiTheme="majorHAnsi" w:cstheme="majorHAnsi"/>
              </w:rPr>
            </w:pPr>
            <w:r>
              <w:rPr>
                <w:rFonts w:asciiTheme="majorHAnsi" w:hAnsiTheme="majorHAnsi" w:cstheme="majorHAnsi"/>
              </w:rPr>
              <w:t>DTRI</w:t>
            </w:r>
          </w:p>
        </w:tc>
        <w:tc>
          <w:tcPr>
            <w:tcW w:w="7550" w:type="dxa"/>
            <w:hideMark/>
          </w:tcPr>
          <w:p w14:paraId="6952528A" w14:textId="77777777" w:rsidR="00E95EC9" w:rsidRDefault="00E95EC9">
            <w:pPr>
              <w:spacing w:before="40" w:after="40"/>
              <w:rPr>
                <w:rFonts w:asciiTheme="majorHAnsi" w:hAnsiTheme="majorHAnsi" w:cstheme="majorHAnsi"/>
              </w:rPr>
            </w:pPr>
            <w:r>
              <w:rPr>
                <w:rFonts w:asciiTheme="majorHAnsi" w:hAnsiTheme="majorHAnsi" w:cstheme="majorHAnsi"/>
              </w:rPr>
              <w:t>Digital Trade Restrictive Index</w:t>
            </w:r>
          </w:p>
        </w:tc>
      </w:tr>
      <w:tr w:rsidR="00E95EC9" w14:paraId="6278AF66" w14:textId="77777777" w:rsidTr="00E95EC9">
        <w:tc>
          <w:tcPr>
            <w:tcW w:w="1800" w:type="dxa"/>
            <w:hideMark/>
          </w:tcPr>
          <w:p w14:paraId="1C02F0AB" w14:textId="77777777" w:rsidR="00E95EC9" w:rsidRDefault="00E95EC9">
            <w:pPr>
              <w:spacing w:before="40" w:after="40"/>
              <w:rPr>
                <w:rFonts w:asciiTheme="majorHAnsi" w:hAnsiTheme="majorHAnsi" w:cstheme="majorHAnsi"/>
              </w:rPr>
            </w:pPr>
            <w:r>
              <w:rPr>
                <w:rFonts w:asciiTheme="majorHAnsi" w:hAnsiTheme="majorHAnsi" w:cstheme="majorHAnsi"/>
              </w:rPr>
              <w:t>EAP</w:t>
            </w:r>
          </w:p>
        </w:tc>
        <w:tc>
          <w:tcPr>
            <w:tcW w:w="7550" w:type="dxa"/>
            <w:hideMark/>
          </w:tcPr>
          <w:p w14:paraId="37D78792" w14:textId="77777777" w:rsidR="00E95EC9" w:rsidRDefault="00E95EC9">
            <w:pPr>
              <w:spacing w:before="40" w:after="40"/>
              <w:rPr>
                <w:rFonts w:asciiTheme="majorHAnsi" w:hAnsiTheme="majorHAnsi" w:cstheme="majorHAnsi"/>
              </w:rPr>
            </w:pPr>
            <w:r>
              <w:rPr>
                <w:rFonts w:asciiTheme="majorHAnsi" w:hAnsiTheme="majorHAnsi" w:cstheme="majorHAnsi"/>
              </w:rPr>
              <w:t>East Asia and Pacific</w:t>
            </w:r>
          </w:p>
        </w:tc>
      </w:tr>
      <w:tr w:rsidR="00E95EC9" w14:paraId="6425E42A" w14:textId="77777777" w:rsidTr="00E95EC9">
        <w:tc>
          <w:tcPr>
            <w:tcW w:w="1800" w:type="dxa"/>
            <w:hideMark/>
          </w:tcPr>
          <w:p w14:paraId="4AEDC135" w14:textId="77777777" w:rsidR="00E95EC9" w:rsidRDefault="00E95EC9">
            <w:pPr>
              <w:spacing w:before="40" w:after="40"/>
              <w:rPr>
                <w:rFonts w:asciiTheme="majorHAnsi" w:hAnsiTheme="majorHAnsi" w:cstheme="majorHAnsi"/>
              </w:rPr>
            </w:pPr>
            <w:r>
              <w:rPr>
                <w:rFonts w:asciiTheme="majorHAnsi" w:hAnsiTheme="majorHAnsi" w:cstheme="majorHAnsi"/>
              </w:rPr>
              <w:t>EEC</w:t>
            </w:r>
          </w:p>
        </w:tc>
        <w:tc>
          <w:tcPr>
            <w:tcW w:w="7550" w:type="dxa"/>
            <w:hideMark/>
          </w:tcPr>
          <w:p w14:paraId="1E19F056" w14:textId="77777777" w:rsidR="00E95EC9" w:rsidRDefault="00E95EC9">
            <w:pPr>
              <w:spacing w:before="40" w:after="40"/>
              <w:rPr>
                <w:rFonts w:asciiTheme="majorHAnsi" w:hAnsiTheme="majorHAnsi" w:cstheme="majorHAnsi"/>
              </w:rPr>
            </w:pPr>
            <w:r>
              <w:rPr>
                <w:rFonts w:asciiTheme="majorHAnsi" w:hAnsiTheme="majorHAnsi" w:cstheme="majorBidi"/>
              </w:rPr>
              <w:t>the Eastern Economic Corridor</w:t>
            </w:r>
          </w:p>
        </w:tc>
      </w:tr>
      <w:tr w:rsidR="00E95EC9" w14:paraId="47F8FCE2" w14:textId="77777777" w:rsidTr="00E95EC9">
        <w:tc>
          <w:tcPr>
            <w:tcW w:w="1800" w:type="dxa"/>
            <w:hideMark/>
          </w:tcPr>
          <w:p w14:paraId="1CAEFFB1" w14:textId="77777777" w:rsidR="00E95EC9" w:rsidRDefault="00E95EC9">
            <w:pPr>
              <w:spacing w:before="40" w:after="40"/>
              <w:rPr>
                <w:rFonts w:asciiTheme="majorHAnsi" w:hAnsiTheme="majorHAnsi" w:cstheme="majorHAnsi"/>
              </w:rPr>
            </w:pPr>
            <w:r>
              <w:rPr>
                <w:rFonts w:asciiTheme="majorHAnsi" w:hAnsiTheme="majorHAnsi" w:cstheme="majorBidi"/>
              </w:rPr>
              <w:t>EEP</w:t>
            </w:r>
          </w:p>
        </w:tc>
        <w:tc>
          <w:tcPr>
            <w:tcW w:w="7550" w:type="dxa"/>
            <w:hideMark/>
          </w:tcPr>
          <w:p w14:paraId="0093FA61"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 xml:space="preserve">Energy Efficiency Plan </w:t>
            </w:r>
          </w:p>
        </w:tc>
      </w:tr>
      <w:tr w:rsidR="00E95EC9" w14:paraId="7723B920" w14:textId="77777777" w:rsidTr="00E95EC9">
        <w:tc>
          <w:tcPr>
            <w:tcW w:w="1800" w:type="dxa"/>
            <w:hideMark/>
          </w:tcPr>
          <w:p w14:paraId="360A32EF" w14:textId="77777777" w:rsidR="00E95EC9" w:rsidRDefault="00E95EC9">
            <w:pPr>
              <w:spacing w:before="40" w:after="40"/>
              <w:rPr>
                <w:rFonts w:asciiTheme="majorHAnsi" w:hAnsiTheme="majorHAnsi" w:cstheme="majorHAnsi"/>
              </w:rPr>
            </w:pPr>
            <w:r>
              <w:rPr>
                <w:rFonts w:asciiTheme="majorHAnsi" w:hAnsiTheme="majorHAnsi" w:cstheme="majorHAnsi"/>
              </w:rPr>
              <w:t>EIA</w:t>
            </w:r>
          </w:p>
        </w:tc>
        <w:tc>
          <w:tcPr>
            <w:tcW w:w="7550" w:type="dxa"/>
            <w:hideMark/>
          </w:tcPr>
          <w:p w14:paraId="4050CF0B"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Environmental Impact Assessment</w:t>
            </w:r>
          </w:p>
        </w:tc>
      </w:tr>
      <w:tr w:rsidR="00E95EC9" w14:paraId="1108FA8F" w14:textId="77777777" w:rsidTr="00E95EC9">
        <w:tc>
          <w:tcPr>
            <w:tcW w:w="1800" w:type="dxa"/>
            <w:hideMark/>
          </w:tcPr>
          <w:p w14:paraId="3082028D" w14:textId="77777777" w:rsidR="00E95EC9" w:rsidRDefault="00E95EC9">
            <w:pPr>
              <w:spacing w:before="40" w:after="40"/>
              <w:rPr>
                <w:rFonts w:asciiTheme="majorHAnsi" w:hAnsiTheme="majorHAnsi" w:cstheme="majorHAnsi"/>
              </w:rPr>
            </w:pPr>
            <w:r>
              <w:rPr>
                <w:rFonts w:asciiTheme="majorHAnsi" w:hAnsiTheme="majorHAnsi" w:cstheme="majorHAnsi"/>
              </w:rPr>
              <w:t>EGAT</w:t>
            </w:r>
          </w:p>
        </w:tc>
        <w:tc>
          <w:tcPr>
            <w:tcW w:w="7550" w:type="dxa"/>
            <w:hideMark/>
          </w:tcPr>
          <w:p w14:paraId="06A8B3DE" w14:textId="77777777" w:rsidR="00E95EC9" w:rsidRDefault="00E95EC9">
            <w:pPr>
              <w:spacing w:before="40" w:after="40"/>
              <w:rPr>
                <w:rFonts w:asciiTheme="majorHAnsi" w:hAnsiTheme="majorHAnsi" w:cstheme="majorHAnsi"/>
              </w:rPr>
            </w:pPr>
            <w:r>
              <w:rPr>
                <w:rFonts w:asciiTheme="majorHAnsi" w:hAnsiTheme="majorHAnsi" w:cstheme="majorHAnsi"/>
              </w:rPr>
              <w:t>Electricity Generating Authority of Thailand</w:t>
            </w:r>
          </w:p>
        </w:tc>
      </w:tr>
      <w:tr w:rsidR="00E95EC9" w14:paraId="30DC1ADC" w14:textId="77777777" w:rsidTr="00E95EC9">
        <w:tc>
          <w:tcPr>
            <w:tcW w:w="1800" w:type="dxa"/>
            <w:hideMark/>
          </w:tcPr>
          <w:p w14:paraId="2080E830" w14:textId="77777777" w:rsidR="00E95EC9" w:rsidRDefault="00E95EC9">
            <w:pPr>
              <w:spacing w:before="40" w:after="40"/>
              <w:rPr>
                <w:rFonts w:asciiTheme="majorHAnsi" w:hAnsiTheme="majorHAnsi" w:cstheme="majorHAnsi"/>
              </w:rPr>
            </w:pPr>
            <w:r>
              <w:rPr>
                <w:rFonts w:asciiTheme="majorHAnsi" w:hAnsiTheme="majorHAnsi" w:cstheme="majorHAnsi"/>
              </w:rPr>
              <w:t>EMDEs</w:t>
            </w:r>
          </w:p>
        </w:tc>
        <w:tc>
          <w:tcPr>
            <w:tcW w:w="7550" w:type="dxa"/>
            <w:hideMark/>
          </w:tcPr>
          <w:p w14:paraId="0C5841AC" w14:textId="77777777" w:rsidR="00E95EC9" w:rsidRDefault="00E95EC9">
            <w:pPr>
              <w:spacing w:before="40" w:after="40"/>
              <w:rPr>
                <w:rFonts w:asciiTheme="majorHAnsi" w:hAnsiTheme="majorHAnsi" w:cstheme="majorHAnsi"/>
              </w:rPr>
            </w:pPr>
            <w:r>
              <w:rPr>
                <w:rFonts w:asciiTheme="majorHAnsi" w:hAnsiTheme="majorHAnsi" w:cstheme="majorHAnsi"/>
              </w:rPr>
              <w:t>Emerging Market and Developing Economies</w:t>
            </w:r>
          </w:p>
        </w:tc>
      </w:tr>
      <w:tr w:rsidR="00E95EC9" w14:paraId="5CAC28F2" w14:textId="77777777" w:rsidTr="00E95EC9">
        <w:tc>
          <w:tcPr>
            <w:tcW w:w="1800" w:type="dxa"/>
            <w:hideMark/>
          </w:tcPr>
          <w:p w14:paraId="06FF2651" w14:textId="77777777" w:rsidR="00E95EC9" w:rsidRDefault="00E95EC9">
            <w:pPr>
              <w:spacing w:before="40" w:after="40"/>
              <w:rPr>
                <w:rFonts w:asciiTheme="majorHAnsi" w:hAnsiTheme="majorHAnsi" w:cstheme="majorHAnsi"/>
              </w:rPr>
            </w:pPr>
            <w:r>
              <w:rPr>
                <w:rFonts w:asciiTheme="majorHAnsi" w:hAnsiTheme="majorHAnsi" w:cstheme="majorHAnsi"/>
              </w:rPr>
              <w:t>ESG</w:t>
            </w:r>
          </w:p>
        </w:tc>
        <w:tc>
          <w:tcPr>
            <w:tcW w:w="7550" w:type="dxa"/>
            <w:hideMark/>
          </w:tcPr>
          <w:p w14:paraId="056DB457" w14:textId="52B32440" w:rsidR="00E95EC9" w:rsidRDefault="00E95EC9">
            <w:pPr>
              <w:spacing w:before="40" w:after="40"/>
              <w:rPr>
                <w:rFonts w:asciiTheme="majorHAnsi" w:hAnsiTheme="majorHAnsi" w:cstheme="majorHAnsi"/>
              </w:rPr>
            </w:pPr>
            <w:r>
              <w:rPr>
                <w:rFonts w:asciiTheme="majorHAnsi" w:hAnsiTheme="majorHAnsi" w:cstheme="majorHAnsi"/>
              </w:rPr>
              <w:t>Environment</w:t>
            </w:r>
            <w:r w:rsidR="00A67341">
              <w:rPr>
                <w:rFonts w:asciiTheme="majorHAnsi" w:hAnsiTheme="majorHAnsi" w:cstheme="majorHAnsi"/>
              </w:rPr>
              <w:t>al,</w:t>
            </w:r>
            <w:r>
              <w:rPr>
                <w:rFonts w:asciiTheme="majorHAnsi" w:hAnsiTheme="majorHAnsi" w:cstheme="majorHAnsi"/>
              </w:rPr>
              <w:t xml:space="preserve"> </w:t>
            </w:r>
            <w:r w:rsidR="00A67341">
              <w:rPr>
                <w:rFonts w:asciiTheme="majorHAnsi" w:hAnsiTheme="majorHAnsi" w:cstheme="majorHAnsi"/>
              </w:rPr>
              <w:t>s</w:t>
            </w:r>
            <w:r>
              <w:rPr>
                <w:rFonts w:asciiTheme="majorHAnsi" w:hAnsiTheme="majorHAnsi" w:cstheme="majorHAnsi"/>
              </w:rPr>
              <w:t>ocial</w:t>
            </w:r>
            <w:r w:rsidR="00A67341">
              <w:rPr>
                <w:rFonts w:asciiTheme="majorHAnsi" w:hAnsiTheme="majorHAnsi" w:cstheme="majorHAnsi"/>
              </w:rPr>
              <w:t>, and</w:t>
            </w:r>
            <w:r>
              <w:rPr>
                <w:rFonts w:asciiTheme="majorHAnsi" w:hAnsiTheme="majorHAnsi" w:cstheme="majorHAnsi"/>
              </w:rPr>
              <w:t xml:space="preserve"> </w:t>
            </w:r>
            <w:r w:rsidR="00A67341">
              <w:rPr>
                <w:rFonts w:asciiTheme="majorHAnsi" w:hAnsiTheme="majorHAnsi" w:cstheme="majorHAnsi"/>
              </w:rPr>
              <w:t>g</w:t>
            </w:r>
            <w:r>
              <w:rPr>
                <w:rFonts w:asciiTheme="majorHAnsi" w:hAnsiTheme="majorHAnsi" w:cstheme="majorHAnsi"/>
              </w:rPr>
              <w:t>overnance</w:t>
            </w:r>
          </w:p>
        </w:tc>
      </w:tr>
      <w:tr w:rsidR="00E95EC9" w14:paraId="39FE2E4D" w14:textId="77777777" w:rsidTr="00E95EC9">
        <w:tc>
          <w:tcPr>
            <w:tcW w:w="1800" w:type="dxa"/>
            <w:hideMark/>
          </w:tcPr>
          <w:p w14:paraId="53ABC6B8" w14:textId="77777777" w:rsidR="00E95EC9" w:rsidRDefault="00E95EC9">
            <w:pPr>
              <w:spacing w:before="40" w:after="40"/>
              <w:rPr>
                <w:rFonts w:asciiTheme="majorHAnsi" w:hAnsiTheme="majorHAnsi" w:cstheme="majorHAnsi"/>
              </w:rPr>
            </w:pPr>
            <w:r>
              <w:rPr>
                <w:rFonts w:asciiTheme="majorHAnsi" w:hAnsiTheme="majorHAnsi" w:cstheme="majorHAnsi"/>
              </w:rPr>
              <w:t>EV</w:t>
            </w:r>
          </w:p>
        </w:tc>
        <w:tc>
          <w:tcPr>
            <w:tcW w:w="7550" w:type="dxa"/>
            <w:hideMark/>
          </w:tcPr>
          <w:p w14:paraId="7FF375E1" w14:textId="77777777" w:rsidR="00E95EC9" w:rsidRDefault="00E95EC9">
            <w:pPr>
              <w:spacing w:before="40" w:after="40"/>
              <w:rPr>
                <w:rFonts w:asciiTheme="majorHAnsi" w:hAnsiTheme="majorHAnsi" w:cstheme="majorHAnsi"/>
              </w:rPr>
            </w:pPr>
            <w:r>
              <w:rPr>
                <w:rFonts w:asciiTheme="majorHAnsi" w:hAnsiTheme="majorHAnsi" w:cstheme="majorHAnsi"/>
              </w:rPr>
              <w:t>Electric Vehicles</w:t>
            </w:r>
          </w:p>
        </w:tc>
      </w:tr>
      <w:tr w:rsidR="00E95EC9" w14:paraId="69358D67" w14:textId="77777777" w:rsidTr="00E95EC9">
        <w:tc>
          <w:tcPr>
            <w:tcW w:w="1800" w:type="dxa"/>
            <w:hideMark/>
          </w:tcPr>
          <w:p w14:paraId="674319A9" w14:textId="77777777" w:rsidR="00E95EC9" w:rsidRDefault="00E95EC9">
            <w:pPr>
              <w:spacing w:before="40" w:after="40"/>
              <w:rPr>
                <w:rFonts w:asciiTheme="majorHAnsi" w:hAnsiTheme="majorHAnsi" w:cstheme="majorHAnsi"/>
              </w:rPr>
            </w:pPr>
            <w:r>
              <w:rPr>
                <w:rFonts w:asciiTheme="majorHAnsi" w:hAnsiTheme="majorHAnsi" w:cstheme="majorHAnsi"/>
              </w:rPr>
              <w:t>FCPF</w:t>
            </w:r>
          </w:p>
        </w:tc>
        <w:tc>
          <w:tcPr>
            <w:tcW w:w="7550" w:type="dxa"/>
            <w:hideMark/>
          </w:tcPr>
          <w:p w14:paraId="143C527F" w14:textId="77777777" w:rsidR="00E95EC9" w:rsidRDefault="00E95EC9">
            <w:pPr>
              <w:spacing w:before="40" w:after="40"/>
              <w:rPr>
                <w:rFonts w:asciiTheme="majorHAnsi" w:hAnsiTheme="majorHAnsi" w:cstheme="majorHAnsi"/>
              </w:rPr>
            </w:pPr>
            <w:r>
              <w:rPr>
                <w:rFonts w:asciiTheme="majorHAnsi" w:hAnsiTheme="majorHAnsi" w:cstheme="majorHAnsi"/>
              </w:rPr>
              <w:t xml:space="preserve">Forest Carbon Partnership Facility </w:t>
            </w:r>
          </w:p>
        </w:tc>
      </w:tr>
      <w:tr w:rsidR="00E95EC9" w14:paraId="080314C2" w14:textId="77777777" w:rsidTr="00E95EC9">
        <w:tc>
          <w:tcPr>
            <w:tcW w:w="1800" w:type="dxa"/>
            <w:hideMark/>
          </w:tcPr>
          <w:p w14:paraId="467E9C42" w14:textId="77777777" w:rsidR="00E95EC9" w:rsidRDefault="00E95EC9">
            <w:pPr>
              <w:spacing w:before="40" w:after="40"/>
              <w:rPr>
                <w:rFonts w:asciiTheme="majorHAnsi" w:hAnsiTheme="majorHAnsi" w:cstheme="majorHAnsi"/>
              </w:rPr>
            </w:pPr>
            <w:r>
              <w:rPr>
                <w:rFonts w:asciiTheme="majorHAnsi" w:hAnsiTheme="majorHAnsi" w:cstheme="majorHAnsi"/>
              </w:rPr>
              <w:t>FDI</w:t>
            </w:r>
          </w:p>
        </w:tc>
        <w:tc>
          <w:tcPr>
            <w:tcW w:w="7550" w:type="dxa"/>
            <w:hideMark/>
          </w:tcPr>
          <w:p w14:paraId="023D62C7" w14:textId="77777777" w:rsidR="00E95EC9" w:rsidRDefault="00E95EC9">
            <w:pPr>
              <w:spacing w:before="40" w:after="40"/>
              <w:rPr>
                <w:rFonts w:asciiTheme="majorHAnsi" w:hAnsiTheme="majorHAnsi" w:cstheme="majorHAnsi"/>
              </w:rPr>
            </w:pPr>
            <w:r>
              <w:rPr>
                <w:rFonts w:asciiTheme="majorHAnsi" w:hAnsiTheme="majorHAnsi" w:cstheme="majorHAnsi"/>
              </w:rPr>
              <w:t>Foreign Direct Investment</w:t>
            </w:r>
          </w:p>
        </w:tc>
      </w:tr>
      <w:tr w:rsidR="00E95EC9" w14:paraId="790DD0FF" w14:textId="77777777" w:rsidTr="00E95EC9">
        <w:tc>
          <w:tcPr>
            <w:tcW w:w="1800" w:type="dxa"/>
            <w:hideMark/>
          </w:tcPr>
          <w:p w14:paraId="79400D40" w14:textId="77777777" w:rsidR="00E95EC9" w:rsidRDefault="00E95EC9">
            <w:pPr>
              <w:spacing w:before="40" w:after="40"/>
              <w:rPr>
                <w:rFonts w:asciiTheme="majorHAnsi" w:hAnsiTheme="majorHAnsi" w:cstheme="majorHAnsi"/>
              </w:rPr>
            </w:pPr>
            <w:r>
              <w:rPr>
                <w:rFonts w:asciiTheme="majorHAnsi" w:hAnsiTheme="majorHAnsi" w:cstheme="majorHAnsi"/>
              </w:rPr>
              <w:t>FREL</w:t>
            </w:r>
          </w:p>
        </w:tc>
        <w:tc>
          <w:tcPr>
            <w:tcW w:w="7550" w:type="dxa"/>
            <w:hideMark/>
          </w:tcPr>
          <w:p w14:paraId="2949389E" w14:textId="77777777" w:rsidR="00E95EC9" w:rsidRDefault="00E95EC9">
            <w:pPr>
              <w:spacing w:before="40" w:after="40"/>
              <w:rPr>
                <w:rFonts w:asciiTheme="majorHAnsi" w:hAnsiTheme="majorHAnsi" w:cstheme="majorHAnsi"/>
              </w:rPr>
            </w:pPr>
            <w:r>
              <w:rPr>
                <w:rFonts w:asciiTheme="majorHAnsi" w:hAnsiTheme="majorHAnsi" w:cstheme="majorHAnsi"/>
              </w:rPr>
              <w:t xml:space="preserve">Forest Reference Emission Level </w:t>
            </w:r>
          </w:p>
        </w:tc>
      </w:tr>
      <w:tr w:rsidR="00E95EC9" w14:paraId="727DB943" w14:textId="77777777" w:rsidTr="00E95EC9">
        <w:tc>
          <w:tcPr>
            <w:tcW w:w="1800" w:type="dxa"/>
            <w:hideMark/>
          </w:tcPr>
          <w:p w14:paraId="2217D168" w14:textId="77777777" w:rsidR="00E95EC9" w:rsidRDefault="00E95EC9">
            <w:pPr>
              <w:spacing w:before="40" w:after="40"/>
              <w:rPr>
                <w:rFonts w:asciiTheme="majorHAnsi" w:hAnsiTheme="majorHAnsi" w:cstheme="majorHAnsi"/>
              </w:rPr>
            </w:pPr>
            <w:r>
              <w:rPr>
                <w:rFonts w:asciiTheme="majorHAnsi" w:hAnsiTheme="majorHAnsi" w:cstheme="majorHAnsi"/>
              </w:rPr>
              <w:t>FSAP</w:t>
            </w:r>
          </w:p>
        </w:tc>
        <w:tc>
          <w:tcPr>
            <w:tcW w:w="7550" w:type="dxa"/>
            <w:hideMark/>
          </w:tcPr>
          <w:p w14:paraId="06C9458C" w14:textId="77777777" w:rsidR="00E95EC9" w:rsidRDefault="00E95EC9">
            <w:pPr>
              <w:spacing w:before="40" w:after="40"/>
              <w:rPr>
                <w:rFonts w:asciiTheme="majorHAnsi" w:hAnsiTheme="majorHAnsi" w:cstheme="majorHAnsi"/>
              </w:rPr>
            </w:pPr>
            <w:r>
              <w:rPr>
                <w:rFonts w:asciiTheme="majorHAnsi" w:hAnsiTheme="majorHAnsi" w:cstheme="majorHAnsi"/>
              </w:rPr>
              <w:t xml:space="preserve">Financial Sector Assessment Program </w:t>
            </w:r>
          </w:p>
        </w:tc>
      </w:tr>
      <w:tr w:rsidR="00E95EC9" w14:paraId="00DCA7BB" w14:textId="77777777" w:rsidTr="00E95EC9">
        <w:tc>
          <w:tcPr>
            <w:tcW w:w="1800" w:type="dxa"/>
            <w:hideMark/>
          </w:tcPr>
          <w:p w14:paraId="5C394263" w14:textId="77777777" w:rsidR="00E95EC9" w:rsidRDefault="00E95EC9">
            <w:pPr>
              <w:spacing w:before="40" w:after="40"/>
              <w:rPr>
                <w:rFonts w:asciiTheme="majorHAnsi" w:hAnsiTheme="majorHAnsi" w:cstheme="majorHAnsi"/>
              </w:rPr>
            </w:pPr>
            <w:r>
              <w:rPr>
                <w:rFonts w:asciiTheme="majorHAnsi" w:hAnsiTheme="majorHAnsi" w:cstheme="majorHAnsi"/>
              </w:rPr>
              <w:t>FTA</w:t>
            </w:r>
          </w:p>
        </w:tc>
        <w:tc>
          <w:tcPr>
            <w:tcW w:w="7550" w:type="dxa"/>
            <w:hideMark/>
          </w:tcPr>
          <w:p w14:paraId="1BB4C455" w14:textId="77777777" w:rsidR="00E95EC9" w:rsidRDefault="00E95EC9">
            <w:pPr>
              <w:spacing w:before="40" w:after="40"/>
              <w:rPr>
                <w:rFonts w:asciiTheme="majorHAnsi" w:hAnsiTheme="majorHAnsi" w:cstheme="majorHAnsi"/>
              </w:rPr>
            </w:pPr>
            <w:r>
              <w:rPr>
                <w:rFonts w:asciiTheme="majorHAnsi" w:hAnsiTheme="majorHAnsi" w:cstheme="majorHAnsi"/>
              </w:rPr>
              <w:t xml:space="preserve">Free Trade Agreement </w:t>
            </w:r>
          </w:p>
        </w:tc>
      </w:tr>
      <w:tr w:rsidR="00E95EC9" w14:paraId="0A4EAE02" w14:textId="77777777" w:rsidTr="00E95EC9">
        <w:tc>
          <w:tcPr>
            <w:tcW w:w="1800" w:type="dxa"/>
            <w:hideMark/>
          </w:tcPr>
          <w:p w14:paraId="2C1B62EA" w14:textId="77777777" w:rsidR="00E95EC9" w:rsidRDefault="00E95EC9">
            <w:pPr>
              <w:spacing w:before="40" w:after="40"/>
              <w:rPr>
                <w:rFonts w:asciiTheme="majorHAnsi" w:hAnsiTheme="majorHAnsi" w:cstheme="majorHAnsi"/>
              </w:rPr>
            </w:pPr>
            <w:r>
              <w:rPr>
                <w:rFonts w:asciiTheme="majorHAnsi" w:hAnsiTheme="majorHAnsi" w:cstheme="majorHAnsi"/>
              </w:rPr>
              <w:t>GBV</w:t>
            </w:r>
          </w:p>
        </w:tc>
        <w:tc>
          <w:tcPr>
            <w:tcW w:w="7550" w:type="dxa"/>
            <w:hideMark/>
          </w:tcPr>
          <w:p w14:paraId="31AE6468" w14:textId="77777777" w:rsidR="00E95EC9" w:rsidRDefault="00E95EC9">
            <w:pPr>
              <w:spacing w:before="40" w:after="40"/>
              <w:rPr>
                <w:rFonts w:asciiTheme="majorHAnsi" w:hAnsiTheme="majorHAnsi" w:cstheme="majorHAnsi"/>
              </w:rPr>
            </w:pPr>
            <w:r>
              <w:rPr>
                <w:rFonts w:asciiTheme="majorHAnsi" w:hAnsiTheme="majorHAnsi" w:cstheme="majorHAnsi"/>
              </w:rPr>
              <w:t xml:space="preserve">Gender-based violence </w:t>
            </w:r>
          </w:p>
        </w:tc>
      </w:tr>
      <w:tr w:rsidR="00E95EC9" w14:paraId="4B17E335" w14:textId="77777777" w:rsidTr="00E95EC9">
        <w:tc>
          <w:tcPr>
            <w:tcW w:w="1800" w:type="dxa"/>
            <w:hideMark/>
          </w:tcPr>
          <w:p w14:paraId="077631BF" w14:textId="77777777" w:rsidR="00E95EC9" w:rsidRDefault="00E95EC9">
            <w:pPr>
              <w:spacing w:before="40" w:after="40"/>
              <w:rPr>
                <w:rFonts w:asciiTheme="majorHAnsi" w:hAnsiTheme="majorHAnsi" w:cstheme="majorHAnsi"/>
              </w:rPr>
            </w:pPr>
            <w:r>
              <w:rPr>
                <w:rFonts w:asciiTheme="majorHAnsi" w:hAnsiTheme="majorHAnsi" w:cstheme="majorHAnsi"/>
              </w:rPr>
              <w:t>GHG</w:t>
            </w:r>
          </w:p>
        </w:tc>
        <w:tc>
          <w:tcPr>
            <w:tcW w:w="7550" w:type="dxa"/>
            <w:hideMark/>
          </w:tcPr>
          <w:p w14:paraId="5C5F3242" w14:textId="77777777" w:rsidR="00E95EC9" w:rsidRDefault="00E95EC9">
            <w:pPr>
              <w:spacing w:before="40" w:after="40"/>
              <w:rPr>
                <w:rFonts w:asciiTheme="majorHAnsi" w:hAnsiTheme="majorHAnsi" w:cstheme="majorHAnsi"/>
              </w:rPr>
            </w:pPr>
            <w:r>
              <w:rPr>
                <w:rFonts w:asciiTheme="majorHAnsi" w:hAnsiTheme="majorHAnsi" w:cstheme="majorHAnsi"/>
              </w:rPr>
              <w:t>Greenhouse Gas</w:t>
            </w:r>
          </w:p>
        </w:tc>
      </w:tr>
      <w:tr w:rsidR="00E95EC9" w14:paraId="160A9158" w14:textId="77777777" w:rsidTr="00E95EC9">
        <w:tc>
          <w:tcPr>
            <w:tcW w:w="1800" w:type="dxa"/>
            <w:hideMark/>
          </w:tcPr>
          <w:p w14:paraId="6E744683" w14:textId="77777777" w:rsidR="00E95EC9" w:rsidRDefault="00E95EC9">
            <w:pPr>
              <w:spacing w:before="40" w:after="40"/>
              <w:rPr>
                <w:rFonts w:asciiTheme="majorHAnsi" w:hAnsiTheme="majorHAnsi" w:cstheme="majorHAnsi"/>
              </w:rPr>
            </w:pPr>
            <w:r>
              <w:rPr>
                <w:rFonts w:asciiTheme="majorHAnsi" w:hAnsiTheme="majorHAnsi" w:cstheme="majorHAnsi"/>
              </w:rPr>
              <w:t>GMS</w:t>
            </w:r>
          </w:p>
        </w:tc>
        <w:tc>
          <w:tcPr>
            <w:tcW w:w="7550" w:type="dxa"/>
            <w:hideMark/>
          </w:tcPr>
          <w:p w14:paraId="7DC1FCC2" w14:textId="77777777" w:rsidR="00E95EC9" w:rsidRDefault="00E95EC9">
            <w:pPr>
              <w:spacing w:before="40" w:after="40"/>
              <w:rPr>
                <w:rFonts w:asciiTheme="majorHAnsi" w:hAnsiTheme="majorHAnsi" w:cstheme="majorHAnsi"/>
              </w:rPr>
            </w:pPr>
            <w:r>
              <w:rPr>
                <w:rFonts w:asciiTheme="majorHAnsi" w:hAnsiTheme="majorHAnsi" w:cstheme="majorHAnsi"/>
              </w:rPr>
              <w:t>Greater Mekong Subregion</w:t>
            </w:r>
          </w:p>
        </w:tc>
      </w:tr>
      <w:tr w:rsidR="00E95EC9" w14:paraId="24FAEACC" w14:textId="77777777" w:rsidTr="00E95EC9">
        <w:tc>
          <w:tcPr>
            <w:tcW w:w="1800" w:type="dxa"/>
            <w:hideMark/>
          </w:tcPr>
          <w:p w14:paraId="2E76A1FB" w14:textId="77777777" w:rsidR="00E95EC9" w:rsidRDefault="00E95EC9">
            <w:pPr>
              <w:spacing w:before="40" w:after="40"/>
              <w:rPr>
                <w:rFonts w:asciiTheme="majorHAnsi" w:hAnsiTheme="majorHAnsi" w:cstheme="majorHAnsi"/>
              </w:rPr>
            </w:pPr>
            <w:r>
              <w:rPr>
                <w:rFonts w:asciiTheme="majorHAnsi" w:hAnsiTheme="majorHAnsi" w:cstheme="majorHAnsi"/>
              </w:rPr>
              <w:t>GVC</w:t>
            </w:r>
          </w:p>
        </w:tc>
        <w:tc>
          <w:tcPr>
            <w:tcW w:w="7550" w:type="dxa"/>
            <w:hideMark/>
          </w:tcPr>
          <w:p w14:paraId="1830D8D4" w14:textId="77777777" w:rsidR="00E95EC9" w:rsidRDefault="00E95EC9">
            <w:pPr>
              <w:spacing w:before="40" w:after="40"/>
              <w:rPr>
                <w:rFonts w:asciiTheme="majorHAnsi" w:hAnsiTheme="majorHAnsi" w:cstheme="majorHAnsi"/>
              </w:rPr>
            </w:pPr>
            <w:r>
              <w:rPr>
                <w:rFonts w:asciiTheme="majorHAnsi" w:hAnsiTheme="majorHAnsi" w:cstheme="majorHAnsi"/>
              </w:rPr>
              <w:t>Global Value Chains</w:t>
            </w:r>
          </w:p>
        </w:tc>
      </w:tr>
      <w:tr w:rsidR="00E95EC9" w14:paraId="40288EA7" w14:textId="77777777" w:rsidTr="00E95EC9">
        <w:tc>
          <w:tcPr>
            <w:tcW w:w="1800" w:type="dxa"/>
            <w:hideMark/>
          </w:tcPr>
          <w:p w14:paraId="490E6D46" w14:textId="77777777" w:rsidR="00E95EC9" w:rsidRDefault="00E95EC9">
            <w:pPr>
              <w:spacing w:before="40" w:after="40"/>
              <w:rPr>
                <w:rFonts w:asciiTheme="majorHAnsi" w:hAnsiTheme="majorHAnsi" w:cstheme="majorHAnsi"/>
              </w:rPr>
            </w:pPr>
            <w:r>
              <w:rPr>
                <w:rFonts w:asciiTheme="majorHAnsi" w:hAnsiTheme="majorHAnsi" w:cstheme="majorHAnsi"/>
              </w:rPr>
              <w:lastRenderedPageBreak/>
              <w:t>HLOs</w:t>
            </w:r>
          </w:p>
        </w:tc>
        <w:tc>
          <w:tcPr>
            <w:tcW w:w="7550" w:type="dxa"/>
            <w:hideMark/>
          </w:tcPr>
          <w:p w14:paraId="4982F61D" w14:textId="77777777" w:rsidR="00E95EC9" w:rsidRDefault="00E95EC9">
            <w:pPr>
              <w:spacing w:before="40" w:after="40"/>
              <w:rPr>
                <w:rFonts w:asciiTheme="majorHAnsi" w:hAnsiTheme="majorHAnsi" w:cstheme="majorHAnsi"/>
              </w:rPr>
            </w:pPr>
            <w:r>
              <w:rPr>
                <w:rFonts w:asciiTheme="majorHAnsi" w:hAnsiTheme="majorHAnsi" w:cstheme="majorHAnsi"/>
              </w:rPr>
              <w:t>High-Level Outcomes</w:t>
            </w:r>
          </w:p>
        </w:tc>
      </w:tr>
      <w:tr w:rsidR="00E95EC9" w14:paraId="7B07D8F5" w14:textId="77777777" w:rsidTr="00E95EC9">
        <w:tc>
          <w:tcPr>
            <w:tcW w:w="1800" w:type="dxa"/>
            <w:hideMark/>
          </w:tcPr>
          <w:p w14:paraId="6EF56785" w14:textId="77777777" w:rsidR="00E95EC9" w:rsidRDefault="00E95EC9">
            <w:pPr>
              <w:spacing w:before="40" w:after="40"/>
              <w:rPr>
                <w:rFonts w:asciiTheme="majorHAnsi" w:hAnsiTheme="majorHAnsi" w:cstheme="majorHAnsi"/>
              </w:rPr>
            </w:pPr>
            <w:r>
              <w:rPr>
                <w:rFonts w:asciiTheme="majorHAnsi" w:hAnsiTheme="majorHAnsi" w:cstheme="majorHAnsi"/>
              </w:rPr>
              <w:t>ICRG</w:t>
            </w:r>
          </w:p>
        </w:tc>
        <w:tc>
          <w:tcPr>
            <w:tcW w:w="7550" w:type="dxa"/>
            <w:hideMark/>
          </w:tcPr>
          <w:p w14:paraId="579144C3" w14:textId="77777777" w:rsidR="00E95EC9" w:rsidRDefault="00E95EC9">
            <w:pPr>
              <w:spacing w:before="40" w:after="40"/>
              <w:rPr>
                <w:rFonts w:asciiTheme="majorHAnsi" w:hAnsiTheme="majorHAnsi" w:cstheme="majorHAnsi"/>
              </w:rPr>
            </w:pPr>
            <w:r>
              <w:rPr>
                <w:rFonts w:asciiTheme="majorHAnsi" w:hAnsiTheme="majorHAnsi" w:cstheme="majorHAnsi"/>
              </w:rPr>
              <w:t>International Country Risk Guide</w:t>
            </w:r>
          </w:p>
        </w:tc>
      </w:tr>
      <w:tr w:rsidR="00E95EC9" w14:paraId="5EB83E4A" w14:textId="77777777" w:rsidTr="00E95EC9">
        <w:tc>
          <w:tcPr>
            <w:tcW w:w="1800" w:type="dxa"/>
            <w:hideMark/>
          </w:tcPr>
          <w:p w14:paraId="771B3353" w14:textId="77777777" w:rsidR="00E95EC9" w:rsidRDefault="00E95EC9">
            <w:pPr>
              <w:spacing w:before="40" w:after="40"/>
              <w:rPr>
                <w:rFonts w:asciiTheme="majorHAnsi" w:hAnsiTheme="majorHAnsi" w:cstheme="majorHAnsi"/>
              </w:rPr>
            </w:pPr>
            <w:r>
              <w:rPr>
                <w:rFonts w:asciiTheme="majorHAnsi" w:hAnsiTheme="majorHAnsi" w:cstheme="majorHAnsi"/>
              </w:rPr>
              <w:t>ICT</w:t>
            </w:r>
          </w:p>
        </w:tc>
        <w:tc>
          <w:tcPr>
            <w:tcW w:w="7550" w:type="dxa"/>
            <w:hideMark/>
          </w:tcPr>
          <w:p w14:paraId="698CEEF6" w14:textId="77777777" w:rsidR="00E95EC9" w:rsidRDefault="00E95EC9">
            <w:pPr>
              <w:spacing w:before="40" w:after="40"/>
              <w:rPr>
                <w:rFonts w:asciiTheme="majorHAnsi" w:hAnsiTheme="majorHAnsi" w:cstheme="majorHAnsi"/>
              </w:rPr>
            </w:pPr>
            <w:r>
              <w:rPr>
                <w:rFonts w:asciiTheme="majorHAnsi" w:hAnsiTheme="majorHAnsi" w:cstheme="majorHAnsi"/>
              </w:rPr>
              <w:t>Information and Communication Technology</w:t>
            </w:r>
          </w:p>
        </w:tc>
      </w:tr>
      <w:tr w:rsidR="00E95EC9" w14:paraId="41BDF3DE" w14:textId="77777777" w:rsidTr="00E95EC9">
        <w:tc>
          <w:tcPr>
            <w:tcW w:w="1800" w:type="dxa"/>
            <w:hideMark/>
          </w:tcPr>
          <w:p w14:paraId="5D3A7E70" w14:textId="77777777" w:rsidR="00E95EC9" w:rsidRDefault="00E95EC9">
            <w:pPr>
              <w:spacing w:before="40" w:after="40"/>
              <w:rPr>
                <w:rFonts w:asciiTheme="majorHAnsi" w:hAnsiTheme="majorHAnsi" w:cstheme="majorHAnsi"/>
              </w:rPr>
            </w:pPr>
            <w:r>
              <w:rPr>
                <w:rFonts w:asciiTheme="majorHAnsi" w:hAnsiTheme="majorHAnsi" w:cstheme="majorHAnsi"/>
              </w:rPr>
              <w:t>IFC</w:t>
            </w:r>
          </w:p>
        </w:tc>
        <w:tc>
          <w:tcPr>
            <w:tcW w:w="7550" w:type="dxa"/>
            <w:hideMark/>
          </w:tcPr>
          <w:p w14:paraId="28117B8F" w14:textId="77777777" w:rsidR="00E95EC9" w:rsidRDefault="00E95EC9">
            <w:pPr>
              <w:spacing w:before="40" w:after="40"/>
              <w:rPr>
                <w:rFonts w:asciiTheme="majorHAnsi" w:hAnsiTheme="majorHAnsi" w:cstheme="majorHAnsi"/>
              </w:rPr>
            </w:pPr>
            <w:r>
              <w:rPr>
                <w:rFonts w:asciiTheme="majorHAnsi" w:hAnsiTheme="majorHAnsi" w:cstheme="majorHAnsi"/>
              </w:rPr>
              <w:t>International Finance Corporation</w:t>
            </w:r>
          </w:p>
        </w:tc>
      </w:tr>
      <w:tr w:rsidR="00E95EC9" w14:paraId="678EA5A3" w14:textId="77777777" w:rsidTr="00E95EC9">
        <w:tc>
          <w:tcPr>
            <w:tcW w:w="1800" w:type="dxa"/>
            <w:hideMark/>
          </w:tcPr>
          <w:p w14:paraId="2F415A1A" w14:textId="77777777" w:rsidR="00E95EC9" w:rsidRDefault="00E95EC9">
            <w:pPr>
              <w:spacing w:before="40" w:after="40"/>
              <w:rPr>
                <w:rFonts w:asciiTheme="majorHAnsi" w:hAnsiTheme="majorHAnsi" w:cstheme="majorHAnsi"/>
              </w:rPr>
            </w:pPr>
            <w:r>
              <w:rPr>
                <w:rFonts w:asciiTheme="majorHAnsi" w:hAnsiTheme="majorHAnsi" w:cstheme="majorHAnsi"/>
              </w:rPr>
              <w:t xml:space="preserve">IFPRI </w:t>
            </w:r>
          </w:p>
        </w:tc>
        <w:tc>
          <w:tcPr>
            <w:tcW w:w="7550" w:type="dxa"/>
            <w:hideMark/>
          </w:tcPr>
          <w:p w14:paraId="792A51BD" w14:textId="77777777" w:rsidR="00E95EC9" w:rsidRDefault="00E95EC9">
            <w:pPr>
              <w:spacing w:before="40" w:after="40"/>
              <w:rPr>
                <w:rFonts w:asciiTheme="majorHAnsi" w:hAnsiTheme="majorHAnsi" w:cstheme="majorHAnsi"/>
              </w:rPr>
            </w:pPr>
            <w:r>
              <w:rPr>
                <w:rFonts w:asciiTheme="majorHAnsi" w:hAnsiTheme="majorHAnsi" w:cstheme="majorHAnsi"/>
              </w:rPr>
              <w:t>International Food Policy Research Institute</w:t>
            </w:r>
          </w:p>
        </w:tc>
      </w:tr>
      <w:tr w:rsidR="00E95EC9" w14:paraId="4CF365D7" w14:textId="77777777" w:rsidTr="00E95EC9">
        <w:trPr>
          <w:trHeight w:val="162"/>
        </w:trPr>
        <w:tc>
          <w:tcPr>
            <w:tcW w:w="1800" w:type="dxa"/>
            <w:hideMark/>
          </w:tcPr>
          <w:p w14:paraId="6675404B" w14:textId="77777777" w:rsidR="00E95EC9" w:rsidRDefault="00E95EC9">
            <w:pPr>
              <w:spacing w:before="40" w:after="40"/>
              <w:rPr>
                <w:rFonts w:asciiTheme="majorHAnsi" w:hAnsiTheme="majorHAnsi" w:cstheme="majorHAnsi"/>
              </w:rPr>
            </w:pPr>
            <w:r>
              <w:rPr>
                <w:rFonts w:asciiTheme="majorHAnsi" w:hAnsiTheme="majorHAnsi" w:cstheme="majorHAnsi"/>
              </w:rPr>
              <w:t>IIF</w:t>
            </w:r>
          </w:p>
        </w:tc>
        <w:tc>
          <w:tcPr>
            <w:tcW w:w="7550" w:type="dxa"/>
            <w:hideMark/>
          </w:tcPr>
          <w:p w14:paraId="3B307488" w14:textId="77777777" w:rsidR="00E95EC9" w:rsidRDefault="00E95EC9">
            <w:pPr>
              <w:spacing w:before="40" w:after="40"/>
              <w:rPr>
                <w:rFonts w:asciiTheme="majorHAnsi" w:hAnsiTheme="majorHAnsi" w:cstheme="majorHAnsi"/>
              </w:rPr>
            </w:pPr>
            <w:r>
              <w:rPr>
                <w:rFonts w:asciiTheme="majorHAnsi" w:hAnsiTheme="majorHAnsi" w:cstheme="majorBidi"/>
              </w:rPr>
              <w:t>Institute of International Finance</w:t>
            </w:r>
          </w:p>
        </w:tc>
      </w:tr>
      <w:tr w:rsidR="00E95EC9" w14:paraId="107FE1AD" w14:textId="77777777" w:rsidTr="00E95EC9">
        <w:trPr>
          <w:trHeight w:val="162"/>
        </w:trPr>
        <w:tc>
          <w:tcPr>
            <w:tcW w:w="1800" w:type="dxa"/>
            <w:hideMark/>
          </w:tcPr>
          <w:p w14:paraId="3096BA2E" w14:textId="77777777" w:rsidR="00E95EC9" w:rsidRDefault="00E95EC9">
            <w:pPr>
              <w:spacing w:before="40" w:after="40"/>
              <w:rPr>
                <w:rFonts w:asciiTheme="majorHAnsi" w:hAnsiTheme="majorHAnsi" w:cstheme="majorHAnsi"/>
              </w:rPr>
            </w:pPr>
            <w:r>
              <w:rPr>
                <w:rFonts w:asciiTheme="majorHAnsi" w:hAnsiTheme="majorHAnsi" w:cstheme="majorHAnsi"/>
              </w:rPr>
              <w:t>ILA</w:t>
            </w:r>
          </w:p>
        </w:tc>
        <w:tc>
          <w:tcPr>
            <w:tcW w:w="7550" w:type="dxa"/>
            <w:hideMark/>
          </w:tcPr>
          <w:p w14:paraId="21713EB8"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Individual Learning Accounts</w:t>
            </w:r>
          </w:p>
        </w:tc>
      </w:tr>
      <w:tr w:rsidR="00E95EC9" w14:paraId="6BD792FD" w14:textId="77777777" w:rsidTr="00E95EC9">
        <w:trPr>
          <w:trHeight w:val="162"/>
        </w:trPr>
        <w:tc>
          <w:tcPr>
            <w:tcW w:w="1800" w:type="dxa"/>
            <w:hideMark/>
          </w:tcPr>
          <w:p w14:paraId="1501729B" w14:textId="77777777" w:rsidR="00E95EC9" w:rsidRDefault="00E95EC9">
            <w:pPr>
              <w:spacing w:before="40" w:after="40"/>
              <w:rPr>
                <w:rFonts w:asciiTheme="majorHAnsi" w:hAnsiTheme="majorHAnsi" w:cstheme="majorHAnsi"/>
              </w:rPr>
            </w:pPr>
            <w:r>
              <w:rPr>
                <w:rFonts w:asciiTheme="majorHAnsi" w:hAnsiTheme="majorHAnsi" w:cstheme="majorHAnsi"/>
              </w:rPr>
              <w:t>LED</w:t>
            </w:r>
          </w:p>
        </w:tc>
        <w:tc>
          <w:tcPr>
            <w:tcW w:w="7550" w:type="dxa"/>
            <w:hideMark/>
          </w:tcPr>
          <w:p w14:paraId="73966618"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light-emitting diode</w:t>
            </w:r>
          </w:p>
        </w:tc>
      </w:tr>
      <w:tr w:rsidR="00E95EC9" w14:paraId="114DD20A" w14:textId="77777777" w:rsidTr="00E95EC9">
        <w:trPr>
          <w:trHeight w:val="162"/>
        </w:trPr>
        <w:tc>
          <w:tcPr>
            <w:tcW w:w="1800" w:type="dxa"/>
            <w:hideMark/>
          </w:tcPr>
          <w:p w14:paraId="482EDFE2" w14:textId="77777777" w:rsidR="00E95EC9" w:rsidRDefault="00E95EC9">
            <w:pPr>
              <w:spacing w:before="40" w:after="40"/>
              <w:rPr>
                <w:rFonts w:asciiTheme="majorHAnsi" w:hAnsiTheme="majorHAnsi" w:cstheme="majorHAnsi"/>
              </w:rPr>
            </w:pPr>
            <w:r>
              <w:rPr>
                <w:rFonts w:asciiTheme="majorHAnsi" w:hAnsiTheme="majorHAnsi" w:cstheme="majorBidi"/>
              </w:rPr>
              <w:t>LGBTI</w:t>
            </w:r>
          </w:p>
        </w:tc>
        <w:tc>
          <w:tcPr>
            <w:tcW w:w="7550" w:type="dxa"/>
            <w:hideMark/>
          </w:tcPr>
          <w:p w14:paraId="494FB133"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 xml:space="preserve">lesbian, gay, bisexual, transgender, and intersex </w:t>
            </w:r>
          </w:p>
        </w:tc>
      </w:tr>
      <w:tr w:rsidR="00E95EC9" w14:paraId="1F9586A2" w14:textId="77777777" w:rsidTr="00E95EC9">
        <w:tc>
          <w:tcPr>
            <w:tcW w:w="1800" w:type="dxa"/>
            <w:hideMark/>
          </w:tcPr>
          <w:p w14:paraId="717F7B4F" w14:textId="77777777" w:rsidR="00E95EC9" w:rsidRDefault="00E95EC9">
            <w:pPr>
              <w:spacing w:before="40" w:after="40"/>
              <w:rPr>
                <w:rFonts w:asciiTheme="majorHAnsi" w:hAnsiTheme="majorHAnsi" w:cstheme="majorBidi"/>
              </w:rPr>
            </w:pPr>
            <w:r>
              <w:rPr>
                <w:rFonts w:asciiTheme="majorHAnsi" w:hAnsiTheme="majorHAnsi" w:cstheme="majorBidi"/>
              </w:rPr>
              <w:t>LT-LEDS</w:t>
            </w:r>
          </w:p>
        </w:tc>
        <w:tc>
          <w:tcPr>
            <w:tcW w:w="7550" w:type="dxa"/>
            <w:hideMark/>
          </w:tcPr>
          <w:p w14:paraId="42AA6FF3" w14:textId="77777777" w:rsidR="00E95EC9" w:rsidRDefault="00E95EC9">
            <w:pPr>
              <w:spacing w:before="40" w:after="40"/>
              <w:rPr>
                <w:rFonts w:asciiTheme="majorHAnsi" w:hAnsiTheme="majorHAnsi" w:cstheme="majorBidi"/>
              </w:rPr>
            </w:pPr>
            <w:r>
              <w:rPr>
                <w:rFonts w:asciiTheme="majorHAnsi" w:hAnsiTheme="majorHAnsi" w:cstheme="majorBidi"/>
              </w:rPr>
              <w:t xml:space="preserve">Long-term Low Greenhouse Gas Emission Development Strategy </w:t>
            </w:r>
          </w:p>
        </w:tc>
      </w:tr>
      <w:tr w:rsidR="00E95EC9" w14:paraId="724DB293" w14:textId="77777777" w:rsidTr="00E95EC9">
        <w:tc>
          <w:tcPr>
            <w:tcW w:w="1800" w:type="dxa"/>
            <w:hideMark/>
          </w:tcPr>
          <w:p w14:paraId="465AC806" w14:textId="77777777" w:rsidR="00E95EC9" w:rsidRDefault="00E95EC9">
            <w:pPr>
              <w:spacing w:before="40" w:after="40"/>
              <w:rPr>
                <w:rFonts w:asciiTheme="majorHAnsi" w:hAnsiTheme="majorHAnsi" w:cstheme="majorHAnsi"/>
              </w:rPr>
            </w:pPr>
            <w:r>
              <w:rPr>
                <w:rFonts w:asciiTheme="majorHAnsi" w:hAnsiTheme="majorHAnsi" w:cstheme="majorBidi"/>
              </w:rPr>
              <w:t>IMPACT</w:t>
            </w:r>
          </w:p>
        </w:tc>
        <w:tc>
          <w:tcPr>
            <w:tcW w:w="7550" w:type="dxa"/>
            <w:hideMark/>
          </w:tcPr>
          <w:p w14:paraId="23B8597C"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 xml:space="preserve">The International Model for Policy Analysis of Agricultural Commodities and Trade </w:t>
            </w:r>
          </w:p>
        </w:tc>
      </w:tr>
      <w:tr w:rsidR="00E95EC9" w14:paraId="70FAE810" w14:textId="77777777" w:rsidTr="00E95EC9">
        <w:tc>
          <w:tcPr>
            <w:tcW w:w="1800" w:type="dxa"/>
            <w:hideMark/>
          </w:tcPr>
          <w:p w14:paraId="29C8AB03" w14:textId="77777777" w:rsidR="00E95EC9" w:rsidRDefault="00E95EC9">
            <w:pPr>
              <w:spacing w:before="40" w:after="40"/>
              <w:rPr>
                <w:rFonts w:asciiTheme="majorHAnsi" w:hAnsiTheme="majorHAnsi" w:cstheme="majorHAnsi"/>
              </w:rPr>
            </w:pPr>
            <w:r>
              <w:rPr>
                <w:rFonts w:asciiTheme="majorHAnsi" w:hAnsiTheme="majorHAnsi" w:cstheme="majorHAnsi"/>
              </w:rPr>
              <w:t>IoT</w:t>
            </w:r>
          </w:p>
        </w:tc>
        <w:tc>
          <w:tcPr>
            <w:tcW w:w="7550" w:type="dxa"/>
            <w:hideMark/>
          </w:tcPr>
          <w:p w14:paraId="12556470"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Internet of Things</w:t>
            </w:r>
          </w:p>
        </w:tc>
      </w:tr>
      <w:tr w:rsidR="00E95EC9" w14:paraId="246CECFA" w14:textId="77777777" w:rsidTr="00E95EC9">
        <w:tc>
          <w:tcPr>
            <w:tcW w:w="1800" w:type="dxa"/>
            <w:hideMark/>
          </w:tcPr>
          <w:p w14:paraId="64A5A3AC" w14:textId="77777777" w:rsidR="00E95EC9" w:rsidRDefault="00E95EC9">
            <w:pPr>
              <w:spacing w:before="40" w:after="40"/>
              <w:rPr>
                <w:rFonts w:asciiTheme="majorHAnsi" w:hAnsiTheme="majorHAnsi" w:cstheme="majorHAnsi"/>
              </w:rPr>
            </w:pPr>
            <w:r>
              <w:rPr>
                <w:rFonts w:asciiTheme="majorHAnsi" w:hAnsiTheme="majorHAnsi" w:cstheme="majorHAnsi"/>
              </w:rPr>
              <w:t>LAOs</w:t>
            </w:r>
          </w:p>
        </w:tc>
        <w:tc>
          <w:tcPr>
            <w:tcW w:w="7550" w:type="dxa"/>
            <w:hideMark/>
          </w:tcPr>
          <w:p w14:paraId="4184F30C" w14:textId="77777777" w:rsidR="00E95EC9" w:rsidRDefault="00E95EC9">
            <w:pPr>
              <w:spacing w:before="40" w:after="40"/>
              <w:rPr>
                <w:rFonts w:asciiTheme="majorHAnsi" w:hAnsiTheme="majorHAnsi" w:cstheme="majorBidi"/>
                <w:sz w:val="24"/>
                <w:szCs w:val="32"/>
              </w:rPr>
            </w:pPr>
            <w:r>
              <w:rPr>
                <w:rFonts w:asciiTheme="majorHAnsi" w:hAnsiTheme="majorHAnsi" w:cstheme="majorBidi"/>
              </w:rPr>
              <w:t>Local Administrative Organizations</w:t>
            </w:r>
          </w:p>
        </w:tc>
      </w:tr>
      <w:tr w:rsidR="00E95EC9" w14:paraId="00C1C4FF" w14:textId="77777777" w:rsidTr="00E95EC9">
        <w:tc>
          <w:tcPr>
            <w:tcW w:w="1800" w:type="dxa"/>
            <w:hideMark/>
          </w:tcPr>
          <w:p w14:paraId="01CBEF97" w14:textId="77777777" w:rsidR="00E95EC9" w:rsidRDefault="00E95EC9">
            <w:pPr>
              <w:spacing w:before="40" w:after="40"/>
              <w:rPr>
                <w:rFonts w:asciiTheme="majorHAnsi" w:hAnsiTheme="majorHAnsi" w:cstheme="majorHAnsi"/>
              </w:rPr>
            </w:pPr>
            <w:r>
              <w:rPr>
                <w:rFonts w:asciiTheme="majorHAnsi" w:hAnsiTheme="majorHAnsi" w:cstheme="majorHAnsi"/>
              </w:rPr>
              <w:t>LMIC</w:t>
            </w:r>
          </w:p>
        </w:tc>
        <w:tc>
          <w:tcPr>
            <w:tcW w:w="7550" w:type="dxa"/>
            <w:hideMark/>
          </w:tcPr>
          <w:p w14:paraId="07B33340" w14:textId="77777777" w:rsidR="00E95EC9" w:rsidRDefault="00E95EC9">
            <w:pPr>
              <w:spacing w:before="40" w:after="40"/>
              <w:rPr>
                <w:rFonts w:asciiTheme="majorHAnsi" w:hAnsiTheme="majorHAnsi" w:cstheme="majorBidi"/>
              </w:rPr>
            </w:pPr>
            <w:r>
              <w:rPr>
                <w:rFonts w:asciiTheme="majorHAnsi" w:hAnsiTheme="majorHAnsi" w:cstheme="majorBidi"/>
              </w:rPr>
              <w:t>Lower-Middle-Income Countries</w:t>
            </w:r>
          </w:p>
        </w:tc>
      </w:tr>
      <w:tr w:rsidR="00E95EC9" w14:paraId="5A189C78" w14:textId="77777777" w:rsidTr="00E95EC9">
        <w:tc>
          <w:tcPr>
            <w:tcW w:w="1800" w:type="dxa"/>
            <w:hideMark/>
          </w:tcPr>
          <w:p w14:paraId="24AF0B39" w14:textId="77777777" w:rsidR="00E95EC9" w:rsidRDefault="00E95EC9">
            <w:pPr>
              <w:spacing w:before="40" w:after="40"/>
              <w:rPr>
                <w:rFonts w:asciiTheme="majorHAnsi" w:hAnsiTheme="majorHAnsi" w:cstheme="majorHAnsi"/>
              </w:rPr>
            </w:pPr>
            <w:r>
              <w:rPr>
                <w:rFonts w:asciiTheme="majorHAnsi" w:hAnsiTheme="majorHAnsi" w:cstheme="majorHAnsi"/>
              </w:rPr>
              <w:t>LULUCF</w:t>
            </w:r>
          </w:p>
        </w:tc>
        <w:tc>
          <w:tcPr>
            <w:tcW w:w="7550" w:type="dxa"/>
            <w:hideMark/>
          </w:tcPr>
          <w:p w14:paraId="6A4E54D0" w14:textId="77777777" w:rsidR="00E95EC9" w:rsidRDefault="00E95EC9">
            <w:pPr>
              <w:spacing w:before="40" w:after="40"/>
              <w:rPr>
                <w:rFonts w:asciiTheme="majorHAnsi" w:hAnsiTheme="majorHAnsi" w:cstheme="majorBidi"/>
              </w:rPr>
            </w:pPr>
            <w:r>
              <w:rPr>
                <w:rFonts w:asciiTheme="majorHAnsi" w:hAnsiTheme="majorHAnsi" w:cstheme="majorBidi"/>
              </w:rPr>
              <w:t>land use, land-use change and forestry</w:t>
            </w:r>
          </w:p>
        </w:tc>
      </w:tr>
      <w:tr w:rsidR="00E95EC9" w14:paraId="281FE959" w14:textId="77777777" w:rsidTr="00E95EC9">
        <w:tc>
          <w:tcPr>
            <w:tcW w:w="1800" w:type="dxa"/>
            <w:hideMark/>
          </w:tcPr>
          <w:p w14:paraId="7D379523" w14:textId="77777777" w:rsidR="00E95EC9" w:rsidRDefault="00E95EC9">
            <w:pPr>
              <w:spacing w:before="40" w:after="40"/>
              <w:rPr>
                <w:rFonts w:asciiTheme="majorHAnsi" w:hAnsiTheme="majorHAnsi" w:cstheme="majorHAnsi"/>
              </w:rPr>
            </w:pPr>
            <w:r>
              <w:rPr>
                <w:rFonts w:asciiTheme="majorHAnsi" w:hAnsiTheme="majorHAnsi" w:cstheme="majorHAnsi"/>
              </w:rPr>
              <w:t>MEA</w:t>
            </w:r>
          </w:p>
        </w:tc>
        <w:tc>
          <w:tcPr>
            <w:tcW w:w="7550" w:type="dxa"/>
            <w:hideMark/>
          </w:tcPr>
          <w:p w14:paraId="58614EFB" w14:textId="77777777" w:rsidR="00E95EC9" w:rsidRDefault="00E95EC9">
            <w:pPr>
              <w:spacing w:before="40" w:after="40"/>
              <w:rPr>
                <w:rFonts w:asciiTheme="majorHAnsi" w:hAnsiTheme="majorHAnsi" w:cstheme="majorHAnsi"/>
              </w:rPr>
            </w:pPr>
            <w:r>
              <w:rPr>
                <w:rFonts w:asciiTheme="majorHAnsi" w:hAnsiTheme="majorHAnsi" w:cstheme="majorHAnsi"/>
              </w:rPr>
              <w:t>Metropolitan Electricity Authority</w:t>
            </w:r>
          </w:p>
        </w:tc>
      </w:tr>
      <w:tr w:rsidR="00E95EC9" w14:paraId="19995971" w14:textId="77777777" w:rsidTr="00E95EC9">
        <w:tc>
          <w:tcPr>
            <w:tcW w:w="1800" w:type="dxa"/>
            <w:hideMark/>
          </w:tcPr>
          <w:p w14:paraId="6B47BFF7" w14:textId="77777777" w:rsidR="00E95EC9" w:rsidRDefault="00E95EC9">
            <w:pPr>
              <w:spacing w:before="40" w:after="40"/>
              <w:rPr>
                <w:rFonts w:asciiTheme="majorHAnsi" w:hAnsiTheme="majorHAnsi" w:cstheme="majorHAnsi"/>
              </w:rPr>
            </w:pPr>
            <w:r>
              <w:rPr>
                <w:rFonts w:asciiTheme="majorHAnsi" w:hAnsiTheme="majorHAnsi" w:cstheme="majorHAnsi"/>
              </w:rPr>
              <w:t>MIGA</w:t>
            </w:r>
          </w:p>
        </w:tc>
        <w:tc>
          <w:tcPr>
            <w:tcW w:w="7550" w:type="dxa"/>
            <w:hideMark/>
          </w:tcPr>
          <w:p w14:paraId="3A9C4F42" w14:textId="3D827AC0" w:rsidR="00E95EC9" w:rsidRDefault="00E95EC9">
            <w:pPr>
              <w:spacing w:before="40" w:after="40"/>
              <w:rPr>
                <w:rFonts w:asciiTheme="majorHAnsi" w:hAnsiTheme="majorHAnsi" w:cstheme="majorHAnsi"/>
              </w:rPr>
            </w:pPr>
            <w:r>
              <w:rPr>
                <w:rFonts w:asciiTheme="majorHAnsi" w:hAnsiTheme="majorHAnsi" w:cstheme="majorHAnsi"/>
              </w:rPr>
              <w:t xml:space="preserve">Multilateral Investment Guarantee Agency </w:t>
            </w:r>
          </w:p>
        </w:tc>
      </w:tr>
      <w:tr w:rsidR="00E95EC9" w14:paraId="7990F86A" w14:textId="77777777" w:rsidTr="00E95EC9">
        <w:tc>
          <w:tcPr>
            <w:tcW w:w="1800" w:type="dxa"/>
            <w:hideMark/>
          </w:tcPr>
          <w:p w14:paraId="2B08FBF3" w14:textId="77777777" w:rsidR="00E95EC9" w:rsidRDefault="00E95EC9">
            <w:pPr>
              <w:spacing w:before="40" w:after="40"/>
              <w:rPr>
                <w:rFonts w:asciiTheme="majorHAnsi" w:hAnsiTheme="majorHAnsi" w:cstheme="majorHAnsi"/>
              </w:rPr>
            </w:pPr>
            <w:r>
              <w:rPr>
                <w:rFonts w:asciiTheme="majorHAnsi" w:hAnsiTheme="majorHAnsi" w:cstheme="majorHAnsi"/>
              </w:rPr>
              <w:t>MNEs</w:t>
            </w:r>
          </w:p>
        </w:tc>
        <w:tc>
          <w:tcPr>
            <w:tcW w:w="7550" w:type="dxa"/>
            <w:hideMark/>
          </w:tcPr>
          <w:p w14:paraId="12B66016" w14:textId="77777777" w:rsidR="00E95EC9" w:rsidRDefault="00E95EC9">
            <w:pPr>
              <w:spacing w:before="40" w:after="40"/>
              <w:rPr>
                <w:rFonts w:asciiTheme="majorHAnsi" w:hAnsiTheme="majorHAnsi" w:cstheme="majorHAnsi"/>
              </w:rPr>
            </w:pPr>
            <w:r>
              <w:rPr>
                <w:rFonts w:asciiTheme="majorHAnsi" w:hAnsiTheme="majorHAnsi" w:cstheme="majorHAnsi"/>
              </w:rPr>
              <w:t>Multinational Enterprises</w:t>
            </w:r>
          </w:p>
        </w:tc>
      </w:tr>
      <w:tr w:rsidR="00E95EC9" w14:paraId="7EC68C55" w14:textId="77777777" w:rsidTr="00E95EC9">
        <w:tc>
          <w:tcPr>
            <w:tcW w:w="1800" w:type="dxa"/>
            <w:hideMark/>
          </w:tcPr>
          <w:p w14:paraId="49970533" w14:textId="77777777" w:rsidR="00E95EC9" w:rsidRDefault="00E95EC9">
            <w:pPr>
              <w:spacing w:before="40" w:after="40"/>
              <w:rPr>
                <w:rFonts w:asciiTheme="majorHAnsi" w:hAnsiTheme="majorHAnsi" w:cstheme="majorHAnsi"/>
              </w:rPr>
            </w:pPr>
            <w:r>
              <w:rPr>
                <w:rFonts w:asciiTheme="majorHAnsi" w:hAnsiTheme="majorHAnsi" w:cstheme="majorHAnsi"/>
              </w:rPr>
              <w:t>MRV</w:t>
            </w:r>
          </w:p>
        </w:tc>
        <w:tc>
          <w:tcPr>
            <w:tcW w:w="7550" w:type="dxa"/>
            <w:hideMark/>
          </w:tcPr>
          <w:p w14:paraId="41AF57C2" w14:textId="77777777" w:rsidR="00E95EC9" w:rsidRDefault="00E95EC9">
            <w:pPr>
              <w:spacing w:before="40" w:after="40"/>
              <w:rPr>
                <w:rFonts w:asciiTheme="majorHAnsi" w:hAnsiTheme="majorHAnsi" w:cstheme="majorHAnsi"/>
              </w:rPr>
            </w:pPr>
            <w:r>
              <w:rPr>
                <w:rFonts w:asciiTheme="majorHAnsi" w:hAnsiTheme="majorHAnsi" w:cstheme="majorHAnsi"/>
              </w:rPr>
              <w:t>Measurement, Reporting and Verification</w:t>
            </w:r>
          </w:p>
        </w:tc>
      </w:tr>
      <w:tr w:rsidR="00E95EC9" w14:paraId="1A8405A4" w14:textId="77777777" w:rsidTr="00E95EC9">
        <w:tc>
          <w:tcPr>
            <w:tcW w:w="1800" w:type="dxa"/>
            <w:hideMark/>
          </w:tcPr>
          <w:p w14:paraId="2202976F" w14:textId="77777777" w:rsidR="00E95EC9" w:rsidRDefault="00E95EC9">
            <w:pPr>
              <w:spacing w:before="40" w:after="40"/>
              <w:rPr>
                <w:rFonts w:asciiTheme="majorHAnsi" w:hAnsiTheme="majorHAnsi" w:cstheme="majorHAnsi"/>
              </w:rPr>
            </w:pPr>
            <w:r>
              <w:rPr>
                <w:rFonts w:asciiTheme="majorHAnsi" w:hAnsiTheme="majorHAnsi" w:cstheme="majorHAnsi"/>
              </w:rPr>
              <w:t>MSDHS</w:t>
            </w:r>
          </w:p>
        </w:tc>
        <w:tc>
          <w:tcPr>
            <w:tcW w:w="7550" w:type="dxa"/>
            <w:hideMark/>
          </w:tcPr>
          <w:p w14:paraId="58784F38" w14:textId="77777777" w:rsidR="00E95EC9" w:rsidRDefault="00E95EC9">
            <w:pPr>
              <w:spacing w:before="40" w:after="40"/>
              <w:rPr>
                <w:rFonts w:asciiTheme="majorHAnsi" w:hAnsiTheme="majorHAnsi" w:cstheme="majorHAnsi"/>
              </w:rPr>
            </w:pPr>
            <w:r>
              <w:rPr>
                <w:rFonts w:asciiTheme="majorHAnsi" w:hAnsiTheme="majorHAnsi" w:cstheme="majorHAnsi"/>
              </w:rPr>
              <w:t xml:space="preserve">Ministry of Social Development and Human Security </w:t>
            </w:r>
          </w:p>
        </w:tc>
      </w:tr>
      <w:tr w:rsidR="00E95EC9" w14:paraId="714C30DF" w14:textId="77777777" w:rsidTr="00E95EC9">
        <w:tc>
          <w:tcPr>
            <w:tcW w:w="1800" w:type="dxa"/>
            <w:hideMark/>
          </w:tcPr>
          <w:p w14:paraId="55D92670" w14:textId="77777777" w:rsidR="00E95EC9" w:rsidRDefault="00E95EC9">
            <w:pPr>
              <w:spacing w:before="40" w:after="40"/>
              <w:rPr>
                <w:rFonts w:asciiTheme="majorHAnsi" w:hAnsiTheme="majorHAnsi" w:cstheme="majorHAnsi"/>
              </w:rPr>
            </w:pPr>
            <w:r>
              <w:rPr>
                <w:rFonts w:asciiTheme="majorHAnsi" w:eastAsia="Calibri Light" w:hAnsiTheme="majorHAnsi" w:cstheme="majorHAnsi"/>
              </w:rPr>
              <w:t>NAP</w:t>
            </w:r>
          </w:p>
        </w:tc>
        <w:tc>
          <w:tcPr>
            <w:tcW w:w="7550" w:type="dxa"/>
            <w:hideMark/>
          </w:tcPr>
          <w:p w14:paraId="06A489EE" w14:textId="77777777" w:rsidR="00E95EC9" w:rsidRDefault="00E95EC9">
            <w:pPr>
              <w:spacing w:before="40" w:after="40"/>
              <w:rPr>
                <w:rFonts w:asciiTheme="majorHAnsi" w:hAnsiTheme="majorHAnsi" w:cstheme="majorHAnsi"/>
              </w:rPr>
            </w:pPr>
            <w:r>
              <w:rPr>
                <w:rFonts w:asciiTheme="majorHAnsi" w:eastAsia="Calibri Light" w:hAnsiTheme="majorHAnsi" w:cstheme="majorHAnsi"/>
              </w:rPr>
              <w:t>National Adaptation Plan</w:t>
            </w:r>
          </w:p>
        </w:tc>
      </w:tr>
      <w:tr w:rsidR="00E95EC9" w14:paraId="7937B000" w14:textId="77777777" w:rsidTr="00E95EC9">
        <w:tc>
          <w:tcPr>
            <w:tcW w:w="1800" w:type="dxa"/>
            <w:hideMark/>
          </w:tcPr>
          <w:p w14:paraId="12FBCACF" w14:textId="77777777" w:rsidR="00E95EC9" w:rsidRDefault="00E95EC9">
            <w:pPr>
              <w:spacing w:before="40" w:after="40"/>
              <w:rPr>
                <w:rFonts w:asciiTheme="majorHAnsi" w:hAnsiTheme="majorHAnsi" w:cstheme="majorHAnsi"/>
              </w:rPr>
            </w:pPr>
            <w:r>
              <w:rPr>
                <w:rFonts w:asciiTheme="majorHAnsi" w:hAnsiTheme="majorHAnsi" w:cstheme="majorHAnsi"/>
              </w:rPr>
              <w:t>NCD</w:t>
            </w:r>
          </w:p>
        </w:tc>
        <w:tc>
          <w:tcPr>
            <w:tcW w:w="7550" w:type="dxa"/>
            <w:hideMark/>
          </w:tcPr>
          <w:p w14:paraId="60A01AF9" w14:textId="77777777" w:rsidR="00E95EC9" w:rsidRDefault="00E95EC9">
            <w:pPr>
              <w:spacing w:before="40" w:after="40"/>
              <w:rPr>
                <w:rFonts w:asciiTheme="majorHAnsi" w:hAnsiTheme="majorHAnsi" w:cstheme="majorHAnsi"/>
              </w:rPr>
            </w:pPr>
            <w:r>
              <w:rPr>
                <w:rFonts w:asciiTheme="majorHAnsi" w:hAnsiTheme="majorHAnsi" w:cstheme="majorHAnsi"/>
              </w:rPr>
              <w:t>Non-Communicable Diseases</w:t>
            </w:r>
          </w:p>
        </w:tc>
      </w:tr>
      <w:tr w:rsidR="00E95EC9" w14:paraId="6C6BEE48" w14:textId="77777777" w:rsidTr="00E95EC9">
        <w:tc>
          <w:tcPr>
            <w:tcW w:w="1800" w:type="dxa"/>
            <w:hideMark/>
          </w:tcPr>
          <w:p w14:paraId="6867DF44" w14:textId="77777777" w:rsidR="00E95EC9" w:rsidRDefault="00E95EC9">
            <w:pPr>
              <w:spacing w:before="40" w:after="40"/>
              <w:rPr>
                <w:rFonts w:asciiTheme="majorHAnsi" w:hAnsiTheme="majorHAnsi" w:cstheme="majorHAnsi"/>
              </w:rPr>
            </w:pPr>
            <w:r>
              <w:rPr>
                <w:rFonts w:asciiTheme="majorHAnsi" w:hAnsiTheme="majorHAnsi" w:cstheme="majorHAnsi"/>
              </w:rPr>
              <w:t>NDCs</w:t>
            </w:r>
          </w:p>
        </w:tc>
        <w:tc>
          <w:tcPr>
            <w:tcW w:w="7550" w:type="dxa"/>
            <w:hideMark/>
          </w:tcPr>
          <w:p w14:paraId="73ED29DD" w14:textId="77777777" w:rsidR="00E95EC9" w:rsidRDefault="00E95EC9">
            <w:pPr>
              <w:spacing w:before="40" w:after="40"/>
              <w:rPr>
                <w:rFonts w:asciiTheme="majorHAnsi" w:hAnsiTheme="majorHAnsi" w:cstheme="majorHAnsi"/>
              </w:rPr>
            </w:pPr>
            <w:r>
              <w:rPr>
                <w:rFonts w:asciiTheme="majorHAnsi" w:hAnsiTheme="majorHAnsi" w:cstheme="majorHAnsi"/>
              </w:rPr>
              <w:t>Nationally Determined Contributions</w:t>
            </w:r>
          </w:p>
        </w:tc>
      </w:tr>
      <w:tr w:rsidR="00E95EC9" w14:paraId="6DB02B87" w14:textId="77777777" w:rsidTr="00E95EC9">
        <w:tc>
          <w:tcPr>
            <w:tcW w:w="1800" w:type="dxa"/>
            <w:hideMark/>
          </w:tcPr>
          <w:p w14:paraId="03A128AF" w14:textId="77777777" w:rsidR="00E95EC9" w:rsidRDefault="00E95EC9">
            <w:pPr>
              <w:spacing w:before="40" w:after="40"/>
              <w:rPr>
                <w:rFonts w:asciiTheme="majorHAnsi" w:hAnsiTheme="majorHAnsi" w:cstheme="majorHAnsi"/>
              </w:rPr>
            </w:pPr>
            <w:r>
              <w:rPr>
                <w:rFonts w:asciiTheme="majorHAnsi" w:hAnsiTheme="majorHAnsi" w:cstheme="majorHAnsi"/>
              </w:rPr>
              <w:t>NEP</w:t>
            </w:r>
          </w:p>
        </w:tc>
        <w:tc>
          <w:tcPr>
            <w:tcW w:w="7550" w:type="dxa"/>
            <w:hideMark/>
          </w:tcPr>
          <w:p w14:paraId="58A28409" w14:textId="77777777" w:rsidR="00E95EC9" w:rsidRDefault="00E95EC9">
            <w:pPr>
              <w:spacing w:before="40" w:after="40"/>
              <w:rPr>
                <w:rFonts w:asciiTheme="majorHAnsi" w:hAnsiTheme="majorHAnsi" w:cstheme="majorHAnsi"/>
              </w:rPr>
            </w:pPr>
            <w:r>
              <w:rPr>
                <w:rFonts w:asciiTheme="majorHAnsi" w:hAnsiTheme="majorHAnsi" w:cstheme="majorHAnsi"/>
              </w:rPr>
              <w:t>National Energy Policy</w:t>
            </w:r>
          </w:p>
        </w:tc>
      </w:tr>
      <w:tr w:rsidR="00E95EC9" w14:paraId="67D93AFB" w14:textId="77777777" w:rsidTr="00E95EC9">
        <w:tc>
          <w:tcPr>
            <w:tcW w:w="1800" w:type="dxa"/>
            <w:hideMark/>
          </w:tcPr>
          <w:p w14:paraId="1A82C737" w14:textId="77777777" w:rsidR="00E95EC9" w:rsidRDefault="00E95EC9">
            <w:pPr>
              <w:spacing w:before="40" w:after="40"/>
              <w:rPr>
                <w:rFonts w:asciiTheme="majorHAnsi" w:hAnsiTheme="majorHAnsi" w:cstheme="majorHAnsi"/>
              </w:rPr>
            </w:pPr>
            <w:r>
              <w:rPr>
                <w:rFonts w:asciiTheme="majorHAnsi" w:hAnsiTheme="majorHAnsi" w:cstheme="majorHAnsi"/>
              </w:rPr>
              <w:t>NESDC</w:t>
            </w:r>
          </w:p>
        </w:tc>
        <w:tc>
          <w:tcPr>
            <w:tcW w:w="7550" w:type="dxa"/>
            <w:hideMark/>
          </w:tcPr>
          <w:p w14:paraId="2621557C" w14:textId="77777777" w:rsidR="00E95EC9" w:rsidRDefault="00E95EC9">
            <w:pPr>
              <w:spacing w:before="40" w:after="40"/>
              <w:rPr>
                <w:rFonts w:asciiTheme="majorHAnsi" w:hAnsiTheme="majorHAnsi" w:cstheme="majorHAnsi"/>
              </w:rPr>
            </w:pPr>
            <w:r>
              <w:rPr>
                <w:rFonts w:asciiTheme="majorHAnsi" w:hAnsiTheme="majorHAnsi" w:cstheme="majorHAnsi"/>
              </w:rPr>
              <w:t>Office of the National Economic and Social Development Council</w:t>
            </w:r>
          </w:p>
        </w:tc>
      </w:tr>
      <w:tr w:rsidR="00E95EC9" w14:paraId="07C2BA77" w14:textId="77777777" w:rsidTr="00E95EC9">
        <w:tc>
          <w:tcPr>
            <w:tcW w:w="1800" w:type="dxa"/>
            <w:hideMark/>
          </w:tcPr>
          <w:p w14:paraId="13B88D39" w14:textId="77777777" w:rsidR="00E95EC9" w:rsidRDefault="00E95EC9">
            <w:pPr>
              <w:spacing w:before="40" w:after="40"/>
              <w:rPr>
                <w:rFonts w:asciiTheme="majorHAnsi" w:hAnsiTheme="majorHAnsi" w:cstheme="majorHAnsi"/>
              </w:rPr>
            </w:pPr>
            <w:r>
              <w:rPr>
                <w:rFonts w:asciiTheme="majorHAnsi" w:hAnsiTheme="majorHAnsi" w:cstheme="majorHAnsi"/>
              </w:rPr>
              <w:t>NSO</w:t>
            </w:r>
          </w:p>
        </w:tc>
        <w:tc>
          <w:tcPr>
            <w:tcW w:w="7550" w:type="dxa"/>
            <w:hideMark/>
          </w:tcPr>
          <w:p w14:paraId="2A0E759C" w14:textId="77777777" w:rsidR="00E95EC9" w:rsidRDefault="00E95EC9">
            <w:pPr>
              <w:spacing w:before="40" w:after="40"/>
              <w:rPr>
                <w:rFonts w:asciiTheme="majorHAnsi" w:hAnsiTheme="majorHAnsi"/>
                <w:szCs w:val="28"/>
                <w:lang w:bidi="th-TH"/>
              </w:rPr>
            </w:pPr>
            <w:r>
              <w:rPr>
                <w:rFonts w:asciiTheme="majorHAnsi" w:hAnsiTheme="majorHAnsi" w:cstheme="majorHAnsi"/>
              </w:rPr>
              <w:t>National Statistics Office</w:t>
            </w:r>
          </w:p>
        </w:tc>
      </w:tr>
      <w:tr w:rsidR="00E95EC9" w14:paraId="2245DA52" w14:textId="77777777" w:rsidTr="00E95EC9">
        <w:tc>
          <w:tcPr>
            <w:tcW w:w="1800" w:type="dxa"/>
            <w:hideMark/>
          </w:tcPr>
          <w:p w14:paraId="54782412" w14:textId="77777777" w:rsidR="00E95EC9" w:rsidRDefault="00E95EC9">
            <w:pPr>
              <w:spacing w:before="40" w:after="40"/>
              <w:rPr>
                <w:rFonts w:asciiTheme="majorHAnsi" w:hAnsiTheme="majorHAnsi" w:cstheme="majorHAnsi"/>
                <w:cs/>
              </w:rPr>
            </w:pPr>
            <w:r>
              <w:rPr>
                <w:rFonts w:asciiTheme="majorHAnsi" w:hAnsiTheme="majorHAnsi" w:cstheme="majorHAnsi"/>
              </w:rPr>
              <w:t>OAA</w:t>
            </w:r>
          </w:p>
        </w:tc>
        <w:tc>
          <w:tcPr>
            <w:tcW w:w="7550" w:type="dxa"/>
            <w:hideMark/>
          </w:tcPr>
          <w:p w14:paraId="200CB343" w14:textId="00859112" w:rsidR="00E95EC9" w:rsidRDefault="0057729D">
            <w:pPr>
              <w:spacing w:before="40" w:after="40"/>
              <w:rPr>
                <w:rFonts w:asciiTheme="majorHAnsi" w:hAnsiTheme="majorHAnsi" w:cstheme="majorHAnsi"/>
              </w:rPr>
            </w:pPr>
            <w:r>
              <w:rPr>
                <w:rFonts w:asciiTheme="majorHAnsi" w:hAnsiTheme="majorHAnsi" w:cstheme="majorHAnsi"/>
              </w:rPr>
              <w:t>o</w:t>
            </w:r>
            <w:r w:rsidR="00E95EC9">
              <w:rPr>
                <w:rFonts w:asciiTheme="majorHAnsi" w:hAnsiTheme="majorHAnsi" w:cstheme="majorHAnsi"/>
              </w:rPr>
              <w:t>ld-</w:t>
            </w:r>
            <w:r>
              <w:rPr>
                <w:rFonts w:asciiTheme="majorHAnsi" w:hAnsiTheme="majorHAnsi" w:cstheme="majorHAnsi"/>
              </w:rPr>
              <w:t>a</w:t>
            </w:r>
            <w:r w:rsidR="00E95EC9">
              <w:rPr>
                <w:rFonts w:asciiTheme="majorHAnsi" w:hAnsiTheme="majorHAnsi" w:cstheme="majorHAnsi"/>
              </w:rPr>
              <w:t xml:space="preserve">ge </w:t>
            </w:r>
            <w:r>
              <w:rPr>
                <w:rFonts w:asciiTheme="majorHAnsi" w:hAnsiTheme="majorHAnsi" w:cstheme="majorHAnsi"/>
              </w:rPr>
              <w:t>a</w:t>
            </w:r>
            <w:r w:rsidR="00E95EC9">
              <w:rPr>
                <w:rFonts w:asciiTheme="majorHAnsi" w:hAnsiTheme="majorHAnsi" w:cstheme="majorHAnsi"/>
              </w:rPr>
              <w:t>llowance</w:t>
            </w:r>
          </w:p>
        </w:tc>
      </w:tr>
      <w:tr w:rsidR="00E95EC9" w14:paraId="3A1E45E0" w14:textId="77777777" w:rsidTr="00E95EC9">
        <w:tc>
          <w:tcPr>
            <w:tcW w:w="1800" w:type="dxa"/>
            <w:hideMark/>
          </w:tcPr>
          <w:p w14:paraId="6CD5527B" w14:textId="77777777" w:rsidR="00E95EC9" w:rsidRDefault="00E95EC9">
            <w:pPr>
              <w:spacing w:before="40" w:after="40"/>
              <w:rPr>
                <w:rFonts w:asciiTheme="majorHAnsi" w:hAnsiTheme="majorHAnsi" w:cstheme="majorHAnsi"/>
              </w:rPr>
            </w:pPr>
            <w:r>
              <w:rPr>
                <w:rFonts w:asciiTheme="majorHAnsi" w:hAnsiTheme="majorHAnsi" w:cstheme="majorHAnsi"/>
              </w:rPr>
              <w:t>OECD</w:t>
            </w:r>
          </w:p>
        </w:tc>
        <w:tc>
          <w:tcPr>
            <w:tcW w:w="7550" w:type="dxa"/>
            <w:hideMark/>
          </w:tcPr>
          <w:p w14:paraId="4ECA1897" w14:textId="77777777" w:rsidR="00E95EC9" w:rsidRDefault="00E95EC9">
            <w:pPr>
              <w:spacing w:before="40" w:after="40"/>
              <w:rPr>
                <w:rFonts w:asciiTheme="majorHAnsi" w:hAnsiTheme="majorHAnsi" w:cstheme="majorHAnsi"/>
              </w:rPr>
            </w:pPr>
            <w:proofErr w:type="spellStart"/>
            <w:r>
              <w:rPr>
                <w:rFonts w:asciiTheme="majorHAnsi" w:hAnsiTheme="majorHAnsi" w:cstheme="majorHAnsi"/>
              </w:rPr>
              <w:t>Organisation</w:t>
            </w:r>
            <w:proofErr w:type="spellEnd"/>
            <w:r>
              <w:rPr>
                <w:rFonts w:asciiTheme="majorHAnsi" w:hAnsiTheme="majorHAnsi" w:cstheme="majorHAnsi"/>
              </w:rPr>
              <w:t xml:space="preserve"> for Economic Co-operation and Development</w:t>
            </w:r>
          </w:p>
        </w:tc>
      </w:tr>
      <w:tr w:rsidR="00E95EC9" w14:paraId="7D657CFB" w14:textId="77777777" w:rsidTr="00E95EC9">
        <w:tc>
          <w:tcPr>
            <w:tcW w:w="1800" w:type="dxa"/>
            <w:hideMark/>
          </w:tcPr>
          <w:p w14:paraId="366B873B" w14:textId="77777777" w:rsidR="00E95EC9" w:rsidRDefault="00E95EC9">
            <w:pPr>
              <w:spacing w:before="40" w:after="40"/>
              <w:rPr>
                <w:rFonts w:asciiTheme="majorHAnsi" w:hAnsiTheme="majorHAnsi" w:cstheme="majorHAnsi"/>
              </w:rPr>
            </w:pPr>
            <w:r>
              <w:rPr>
                <w:rFonts w:asciiTheme="majorHAnsi" w:hAnsiTheme="majorHAnsi" w:cstheme="majorHAnsi"/>
              </w:rPr>
              <w:t>OERC</w:t>
            </w:r>
          </w:p>
        </w:tc>
        <w:tc>
          <w:tcPr>
            <w:tcW w:w="7550" w:type="dxa"/>
            <w:hideMark/>
          </w:tcPr>
          <w:p w14:paraId="562FA8A4" w14:textId="77777777" w:rsidR="00E95EC9" w:rsidRDefault="00E95EC9">
            <w:pPr>
              <w:spacing w:before="40" w:after="40"/>
              <w:rPr>
                <w:rFonts w:asciiTheme="majorHAnsi" w:hAnsiTheme="majorHAnsi" w:cstheme="majorHAnsi"/>
              </w:rPr>
            </w:pPr>
            <w:r>
              <w:rPr>
                <w:rFonts w:asciiTheme="majorHAnsi" w:hAnsiTheme="majorHAnsi" w:cstheme="majorHAnsi"/>
              </w:rPr>
              <w:t xml:space="preserve">Office of the Energy Regulatory Commission </w:t>
            </w:r>
          </w:p>
        </w:tc>
      </w:tr>
      <w:tr w:rsidR="00E95EC9" w14:paraId="2533A30B" w14:textId="77777777" w:rsidTr="00E95EC9">
        <w:tc>
          <w:tcPr>
            <w:tcW w:w="1800" w:type="dxa"/>
            <w:hideMark/>
          </w:tcPr>
          <w:p w14:paraId="3978AE7B" w14:textId="77777777" w:rsidR="00E95EC9" w:rsidRDefault="00E95EC9">
            <w:pPr>
              <w:spacing w:before="40" w:after="40"/>
              <w:rPr>
                <w:rFonts w:asciiTheme="majorHAnsi" w:hAnsiTheme="majorHAnsi" w:cstheme="majorHAnsi"/>
              </w:rPr>
            </w:pPr>
            <w:r>
              <w:rPr>
                <w:rFonts w:asciiTheme="majorHAnsi" w:hAnsiTheme="majorHAnsi" w:cstheme="majorHAnsi"/>
              </w:rPr>
              <w:t>ONESQA</w:t>
            </w:r>
          </w:p>
        </w:tc>
        <w:tc>
          <w:tcPr>
            <w:tcW w:w="7550" w:type="dxa"/>
            <w:hideMark/>
          </w:tcPr>
          <w:p w14:paraId="65CA83EA" w14:textId="77777777" w:rsidR="00E95EC9" w:rsidRDefault="00E95EC9">
            <w:pPr>
              <w:spacing w:before="40" w:after="40"/>
              <w:rPr>
                <w:rFonts w:asciiTheme="majorHAnsi" w:hAnsiTheme="majorHAnsi" w:cstheme="majorHAnsi"/>
              </w:rPr>
            </w:pPr>
            <w:r>
              <w:rPr>
                <w:rFonts w:asciiTheme="majorHAnsi" w:hAnsiTheme="majorHAnsi" w:cstheme="majorHAnsi"/>
              </w:rPr>
              <w:t>Office for National Education Standards and Quality Assessment</w:t>
            </w:r>
          </w:p>
        </w:tc>
      </w:tr>
      <w:tr w:rsidR="00E95EC9" w14:paraId="348A16AA" w14:textId="77777777" w:rsidTr="00E95EC9">
        <w:tc>
          <w:tcPr>
            <w:tcW w:w="1800" w:type="dxa"/>
            <w:hideMark/>
          </w:tcPr>
          <w:p w14:paraId="49029A36" w14:textId="77777777" w:rsidR="00E95EC9" w:rsidRDefault="00E95EC9">
            <w:pPr>
              <w:spacing w:before="40" w:after="40"/>
              <w:rPr>
                <w:rFonts w:asciiTheme="majorHAnsi" w:hAnsiTheme="majorHAnsi" w:cstheme="majorHAnsi"/>
              </w:rPr>
            </w:pPr>
            <w:r>
              <w:rPr>
                <w:rFonts w:asciiTheme="majorHAnsi" w:hAnsiTheme="majorHAnsi" w:cstheme="majorHAnsi"/>
              </w:rPr>
              <w:t>ONWR</w:t>
            </w:r>
          </w:p>
        </w:tc>
        <w:tc>
          <w:tcPr>
            <w:tcW w:w="7550" w:type="dxa"/>
            <w:hideMark/>
          </w:tcPr>
          <w:p w14:paraId="03E2F2D2" w14:textId="77777777" w:rsidR="00E95EC9" w:rsidRDefault="00E95EC9">
            <w:pPr>
              <w:spacing w:before="40" w:after="40"/>
              <w:rPr>
                <w:rFonts w:asciiTheme="majorHAnsi" w:hAnsiTheme="majorHAnsi" w:cstheme="majorHAnsi"/>
              </w:rPr>
            </w:pPr>
            <w:r>
              <w:rPr>
                <w:rFonts w:asciiTheme="majorHAnsi" w:hAnsiTheme="majorHAnsi" w:cstheme="majorHAnsi"/>
              </w:rPr>
              <w:t>Office Of National Water Resources</w:t>
            </w:r>
          </w:p>
        </w:tc>
      </w:tr>
      <w:tr w:rsidR="00E95EC9" w14:paraId="06008ADE" w14:textId="77777777" w:rsidTr="00E95EC9">
        <w:tc>
          <w:tcPr>
            <w:tcW w:w="1800" w:type="dxa"/>
            <w:hideMark/>
          </w:tcPr>
          <w:p w14:paraId="30945053" w14:textId="77777777" w:rsidR="00E95EC9" w:rsidRDefault="00E95EC9">
            <w:pPr>
              <w:spacing w:before="40" w:after="40"/>
              <w:rPr>
                <w:rFonts w:asciiTheme="majorHAnsi" w:hAnsiTheme="majorHAnsi" w:cstheme="majorHAnsi"/>
              </w:rPr>
            </w:pPr>
            <w:r>
              <w:rPr>
                <w:rFonts w:asciiTheme="majorHAnsi" w:hAnsiTheme="majorHAnsi" w:cstheme="majorHAnsi"/>
              </w:rPr>
              <w:t>OSMEP</w:t>
            </w:r>
          </w:p>
        </w:tc>
        <w:tc>
          <w:tcPr>
            <w:tcW w:w="7550" w:type="dxa"/>
            <w:hideMark/>
          </w:tcPr>
          <w:p w14:paraId="44DA4E74" w14:textId="77777777" w:rsidR="00E95EC9" w:rsidRDefault="00E95EC9">
            <w:pPr>
              <w:spacing w:before="40" w:after="40"/>
              <w:rPr>
                <w:rFonts w:asciiTheme="majorHAnsi" w:hAnsiTheme="majorHAnsi" w:cstheme="majorHAnsi"/>
              </w:rPr>
            </w:pPr>
            <w:r>
              <w:rPr>
                <w:rFonts w:asciiTheme="majorHAnsi" w:hAnsiTheme="majorHAnsi" w:cstheme="majorHAnsi"/>
              </w:rPr>
              <w:t xml:space="preserve">Office of SME Promotion </w:t>
            </w:r>
          </w:p>
        </w:tc>
      </w:tr>
      <w:tr w:rsidR="00E95EC9" w14:paraId="42CB6A3D" w14:textId="77777777" w:rsidTr="00E95EC9">
        <w:tc>
          <w:tcPr>
            <w:tcW w:w="1800" w:type="dxa"/>
            <w:hideMark/>
          </w:tcPr>
          <w:p w14:paraId="5DDC0824" w14:textId="77777777" w:rsidR="00E95EC9" w:rsidRDefault="00E95EC9">
            <w:pPr>
              <w:spacing w:before="40" w:after="40"/>
              <w:rPr>
                <w:rFonts w:asciiTheme="majorHAnsi" w:hAnsiTheme="majorHAnsi" w:cstheme="majorHAnsi"/>
              </w:rPr>
            </w:pPr>
            <w:r>
              <w:rPr>
                <w:rFonts w:asciiTheme="majorHAnsi" w:hAnsiTheme="majorHAnsi" w:cstheme="majorHAnsi"/>
              </w:rPr>
              <w:t>OTCC</w:t>
            </w:r>
          </w:p>
        </w:tc>
        <w:tc>
          <w:tcPr>
            <w:tcW w:w="7550" w:type="dxa"/>
            <w:hideMark/>
          </w:tcPr>
          <w:p w14:paraId="5D312E55" w14:textId="77777777" w:rsidR="00E95EC9" w:rsidRDefault="00E95EC9">
            <w:pPr>
              <w:spacing w:before="40" w:after="40"/>
              <w:rPr>
                <w:rFonts w:asciiTheme="majorHAnsi" w:hAnsiTheme="majorHAnsi" w:cstheme="majorHAnsi"/>
              </w:rPr>
            </w:pPr>
            <w:r>
              <w:rPr>
                <w:rFonts w:asciiTheme="majorHAnsi" w:hAnsiTheme="majorHAnsi" w:cstheme="majorHAnsi"/>
              </w:rPr>
              <w:t xml:space="preserve">Office of Trade Competition Commission </w:t>
            </w:r>
          </w:p>
        </w:tc>
      </w:tr>
      <w:tr w:rsidR="00E95EC9" w14:paraId="6730EB15" w14:textId="77777777" w:rsidTr="00E95EC9">
        <w:tc>
          <w:tcPr>
            <w:tcW w:w="1800" w:type="dxa"/>
            <w:hideMark/>
          </w:tcPr>
          <w:p w14:paraId="10B78D90" w14:textId="77777777" w:rsidR="00E95EC9" w:rsidRDefault="00E95EC9">
            <w:pPr>
              <w:spacing w:before="40" w:after="40"/>
              <w:rPr>
                <w:rFonts w:asciiTheme="majorHAnsi" w:hAnsiTheme="majorHAnsi" w:cstheme="majorHAnsi"/>
              </w:rPr>
            </w:pPr>
            <w:r>
              <w:rPr>
                <w:rFonts w:asciiTheme="majorHAnsi" w:hAnsiTheme="majorHAnsi" w:cstheme="majorHAnsi"/>
              </w:rPr>
              <w:t>P2P</w:t>
            </w:r>
          </w:p>
        </w:tc>
        <w:tc>
          <w:tcPr>
            <w:tcW w:w="7550" w:type="dxa"/>
            <w:hideMark/>
          </w:tcPr>
          <w:p w14:paraId="6CBE9A43" w14:textId="77777777" w:rsidR="00E95EC9" w:rsidRDefault="00E95EC9">
            <w:pPr>
              <w:spacing w:before="40" w:after="40"/>
              <w:rPr>
                <w:rFonts w:asciiTheme="majorHAnsi" w:hAnsiTheme="majorHAnsi" w:cstheme="majorHAnsi"/>
              </w:rPr>
            </w:pPr>
            <w:r>
              <w:rPr>
                <w:rFonts w:asciiTheme="majorHAnsi" w:hAnsiTheme="majorHAnsi" w:cstheme="majorHAnsi"/>
              </w:rPr>
              <w:t>Person To Person</w:t>
            </w:r>
          </w:p>
        </w:tc>
      </w:tr>
      <w:tr w:rsidR="00E95EC9" w14:paraId="261796DB" w14:textId="77777777" w:rsidTr="00E95EC9">
        <w:tc>
          <w:tcPr>
            <w:tcW w:w="1800" w:type="dxa"/>
            <w:hideMark/>
          </w:tcPr>
          <w:p w14:paraId="5AB77073" w14:textId="77777777" w:rsidR="00E95EC9" w:rsidRDefault="00E95EC9">
            <w:pPr>
              <w:spacing w:before="40" w:after="40"/>
              <w:rPr>
                <w:rFonts w:asciiTheme="majorHAnsi" w:hAnsiTheme="majorHAnsi" w:cstheme="majorHAnsi"/>
              </w:rPr>
            </w:pPr>
            <w:r>
              <w:rPr>
                <w:rFonts w:asciiTheme="majorHAnsi" w:hAnsiTheme="majorHAnsi" w:cstheme="majorHAnsi"/>
              </w:rPr>
              <w:t>PIM</w:t>
            </w:r>
          </w:p>
        </w:tc>
        <w:tc>
          <w:tcPr>
            <w:tcW w:w="7550" w:type="dxa"/>
            <w:hideMark/>
          </w:tcPr>
          <w:p w14:paraId="4A61D43A" w14:textId="77777777" w:rsidR="00E95EC9" w:rsidRDefault="00E95EC9">
            <w:pPr>
              <w:spacing w:before="40" w:after="40"/>
              <w:rPr>
                <w:rFonts w:asciiTheme="majorHAnsi" w:hAnsiTheme="majorHAnsi" w:cstheme="majorHAnsi"/>
              </w:rPr>
            </w:pPr>
            <w:r>
              <w:rPr>
                <w:rFonts w:asciiTheme="majorHAnsi" w:hAnsiTheme="majorHAnsi" w:cstheme="majorHAnsi"/>
              </w:rPr>
              <w:t xml:space="preserve">Public Investment Management </w:t>
            </w:r>
          </w:p>
        </w:tc>
      </w:tr>
      <w:tr w:rsidR="00E95EC9" w14:paraId="0FED43B9" w14:textId="77777777" w:rsidTr="00E95EC9">
        <w:tc>
          <w:tcPr>
            <w:tcW w:w="1800" w:type="dxa"/>
            <w:hideMark/>
          </w:tcPr>
          <w:p w14:paraId="7203049B" w14:textId="77777777" w:rsidR="00E95EC9" w:rsidRDefault="00E95EC9">
            <w:pPr>
              <w:spacing w:before="40" w:after="40"/>
              <w:rPr>
                <w:rFonts w:asciiTheme="majorHAnsi" w:hAnsiTheme="majorHAnsi" w:cstheme="majorHAnsi"/>
              </w:rPr>
            </w:pPr>
            <w:r>
              <w:rPr>
                <w:rFonts w:asciiTheme="majorHAnsi" w:hAnsiTheme="majorHAnsi" w:cstheme="majorHAnsi"/>
              </w:rPr>
              <w:t>PISA</w:t>
            </w:r>
          </w:p>
        </w:tc>
        <w:tc>
          <w:tcPr>
            <w:tcW w:w="7550" w:type="dxa"/>
            <w:hideMark/>
          </w:tcPr>
          <w:p w14:paraId="78D49F39" w14:textId="77777777" w:rsidR="00E95EC9" w:rsidRDefault="00E95EC9">
            <w:pPr>
              <w:spacing w:before="40" w:after="40"/>
              <w:rPr>
                <w:rFonts w:asciiTheme="majorHAnsi" w:hAnsiTheme="majorHAnsi" w:cstheme="majorHAnsi"/>
              </w:rPr>
            </w:pPr>
            <w:proofErr w:type="spellStart"/>
            <w:r>
              <w:rPr>
                <w:rFonts w:asciiTheme="majorHAnsi" w:hAnsiTheme="majorHAnsi" w:cstheme="majorHAnsi"/>
              </w:rPr>
              <w:t>Programme</w:t>
            </w:r>
            <w:proofErr w:type="spellEnd"/>
            <w:r>
              <w:rPr>
                <w:rFonts w:asciiTheme="majorHAnsi" w:hAnsiTheme="majorHAnsi" w:cstheme="majorHAnsi"/>
              </w:rPr>
              <w:t xml:space="preserve"> for International Student Assessment</w:t>
            </w:r>
          </w:p>
        </w:tc>
      </w:tr>
      <w:tr w:rsidR="00E95EC9" w14:paraId="5B749777" w14:textId="77777777" w:rsidTr="00E95EC9">
        <w:tc>
          <w:tcPr>
            <w:tcW w:w="1800" w:type="dxa"/>
            <w:hideMark/>
          </w:tcPr>
          <w:p w14:paraId="1C4BC6FB" w14:textId="0CA23523" w:rsidR="00E95EC9" w:rsidRDefault="00E95EC9">
            <w:pPr>
              <w:spacing w:before="40" w:after="40"/>
              <w:rPr>
                <w:rFonts w:asciiTheme="majorHAnsi" w:hAnsiTheme="majorHAnsi" w:cstheme="majorHAnsi"/>
              </w:rPr>
            </w:pPr>
            <w:r>
              <w:rPr>
                <w:rFonts w:asciiTheme="majorHAnsi" w:hAnsiTheme="majorHAnsi" w:cstheme="majorHAnsi"/>
              </w:rPr>
              <w:t>PM2.5</w:t>
            </w:r>
          </w:p>
        </w:tc>
        <w:tc>
          <w:tcPr>
            <w:tcW w:w="7550" w:type="dxa"/>
            <w:hideMark/>
          </w:tcPr>
          <w:p w14:paraId="221D5C8F" w14:textId="77777777" w:rsidR="00E95EC9" w:rsidRDefault="00E95EC9">
            <w:pPr>
              <w:spacing w:before="40" w:after="40"/>
              <w:rPr>
                <w:rFonts w:asciiTheme="majorHAnsi" w:hAnsiTheme="majorHAnsi" w:cstheme="majorHAnsi"/>
              </w:rPr>
            </w:pPr>
            <w:r>
              <w:rPr>
                <w:rFonts w:asciiTheme="majorHAnsi" w:hAnsiTheme="majorHAnsi" w:cstheme="majorHAnsi"/>
              </w:rPr>
              <w:t>Pollutant Particulate Matter 2.5</w:t>
            </w:r>
          </w:p>
        </w:tc>
      </w:tr>
      <w:tr w:rsidR="00E95EC9" w14:paraId="14BA21E7" w14:textId="77777777" w:rsidTr="00E95EC9">
        <w:tc>
          <w:tcPr>
            <w:tcW w:w="1800" w:type="dxa"/>
            <w:hideMark/>
          </w:tcPr>
          <w:p w14:paraId="22E38EF1" w14:textId="77777777" w:rsidR="00E95EC9" w:rsidRDefault="00E95EC9">
            <w:pPr>
              <w:spacing w:before="40" w:after="40"/>
              <w:rPr>
                <w:rFonts w:asciiTheme="majorHAnsi" w:hAnsiTheme="majorHAnsi" w:cstheme="majorHAnsi"/>
              </w:rPr>
            </w:pPr>
            <w:r>
              <w:rPr>
                <w:rFonts w:asciiTheme="majorHAnsi" w:hAnsiTheme="majorHAnsi" w:cstheme="majorHAnsi"/>
              </w:rPr>
              <w:lastRenderedPageBreak/>
              <w:t>PPP</w:t>
            </w:r>
          </w:p>
        </w:tc>
        <w:tc>
          <w:tcPr>
            <w:tcW w:w="7550" w:type="dxa"/>
            <w:hideMark/>
          </w:tcPr>
          <w:p w14:paraId="0EEF7DCF" w14:textId="77777777" w:rsidR="00E95EC9" w:rsidRDefault="00E95EC9">
            <w:pPr>
              <w:spacing w:before="40" w:after="40"/>
              <w:rPr>
                <w:rFonts w:asciiTheme="majorHAnsi" w:hAnsiTheme="majorHAnsi" w:cstheme="majorHAnsi"/>
              </w:rPr>
            </w:pPr>
            <w:r>
              <w:rPr>
                <w:rFonts w:asciiTheme="majorHAnsi" w:hAnsiTheme="majorHAnsi" w:cstheme="majorHAnsi"/>
              </w:rPr>
              <w:t>Purchasing Power Parity</w:t>
            </w:r>
          </w:p>
        </w:tc>
      </w:tr>
      <w:tr w:rsidR="00E95EC9" w14:paraId="0F9AFC97" w14:textId="77777777" w:rsidTr="00E95EC9">
        <w:tc>
          <w:tcPr>
            <w:tcW w:w="1800" w:type="dxa"/>
            <w:hideMark/>
          </w:tcPr>
          <w:p w14:paraId="43B35B22" w14:textId="77777777" w:rsidR="00E95EC9" w:rsidRDefault="00E95EC9">
            <w:pPr>
              <w:spacing w:before="40" w:after="40"/>
              <w:rPr>
                <w:rFonts w:asciiTheme="majorHAnsi" w:hAnsiTheme="majorHAnsi" w:cstheme="majorHAnsi"/>
              </w:rPr>
            </w:pPr>
            <w:r>
              <w:rPr>
                <w:rFonts w:asciiTheme="majorHAnsi" w:hAnsiTheme="majorHAnsi" w:cstheme="majorHAnsi"/>
              </w:rPr>
              <w:t>RCEP</w:t>
            </w:r>
          </w:p>
        </w:tc>
        <w:tc>
          <w:tcPr>
            <w:tcW w:w="7550" w:type="dxa"/>
            <w:hideMark/>
          </w:tcPr>
          <w:p w14:paraId="52BBF461" w14:textId="77777777" w:rsidR="00E95EC9" w:rsidRDefault="00E95EC9">
            <w:pPr>
              <w:spacing w:before="40" w:after="40"/>
              <w:rPr>
                <w:rFonts w:asciiTheme="majorHAnsi" w:hAnsiTheme="majorHAnsi" w:cstheme="majorHAnsi"/>
              </w:rPr>
            </w:pPr>
            <w:r>
              <w:rPr>
                <w:rFonts w:asciiTheme="majorHAnsi" w:hAnsiTheme="majorHAnsi" w:cstheme="majorHAnsi"/>
              </w:rPr>
              <w:t xml:space="preserve">Regional Comprehensive Economic Partnership </w:t>
            </w:r>
          </w:p>
        </w:tc>
      </w:tr>
      <w:tr w:rsidR="00E95EC9" w14:paraId="397C229B" w14:textId="77777777" w:rsidTr="00E95EC9">
        <w:tc>
          <w:tcPr>
            <w:tcW w:w="1800" w:type="dxa"/>
            <w:hideMark/>
          </w:tcPr>
          <w:p w14:paraId="47D8EE0B" w14:textId="77777777" w:rsidR="00E95EC9" w:rsidRDefault="00E95EC9">
            <w:pPr>
              <w:spacing w:before="40" w:after="40"/>
              <w:rPr>
                <w:rFonts w:asciiTheme="majorHAnsi" w:hAnsiTheme="majorHAnsi" w:cstheme="majorHAnsi"/>
              </w:rPr>
            </w:pPr>
            <w:r>
              <w:rPr>
                <w:rFonts w:asciiTheme="majorHAnsi" w:hAnsiTheme="majorHAnsi" w:cstheme="majorHAnsi"/>
              </w:rPr>
              <w:t>REDD</w:t>
            </w:r>
          </w:p>
        </w:tc>
        <w:tc>
          <w:tcPr>
            <w:tcW w:w="7550" w:type="dxa"/>
            <w:hideMark/>
          </w:tcPr>
          <w:p w14:paraId="6830F6E2" w14:textId="77777777" w:rsidR="00E95EC9" w:rsidRDefault="00E95EC9">
            <w:pPr>
              <w:spacing w:before="40" w:after="40"/>
              <w:rPr>
                <w:rFonts w:asciiTheme="majorHAnsi" w:hAnsiTheme="majorHAnsi" w:cstheme="majorHAnsi"/>
              </w:rPr>
            </w:pPr>
            <w:r>
              <w:rPr>
                <w:rFonts w:asciiTheme="majorHAnsi" w:hAnsiTheme="majorHAnsi" w:cstheme="majorHAnsi"/>
              </w:rPr>
              <w:t xml:space="preserve">Reducing Emissions from Deforestation and forest Degradation </w:t>
            </w:r>
          </w:p>
        </w:tc>
      </w:tr>
      <w:tr w:rsidR="00E95EC9" w14:paraId="75C1E392" w14:textId="77777777" w:rsidTr="00E95EC9">
        <w:tc>
          <w:tcPr>
            <w:tcW w:w="1800" w:type="dxa"/>
            <w:hideMark/>
          </w:tcPr>
          <w:p w14:paraId="6A485A5D" w14:textId="77777777" w:rsidR="00E95EC9" w:rsidRDefault="00E95EC9">
            <w:pPr>
              <w:spacing w:before="40" w:after="40"/>
              <w:rPr>
                <w:rFonts w:asciiTheme="majorHAnsi" w:hAnsiTheme="majorHAnsi" w:cstheme="majorHAnsi"/>
              </w:rPr>
            </w:pPr>
            <w:r>
              <w:rPr>
                <w:rFonts w:asciiTheme="majorHAnsi" w:hAnsiTheme="majorHAnsi" w:cstheme="majorHAnsi"/>
              </w:rPr>
              <w:t>SCD</w:t>
            </w:r>
          </w:p>
        </w:tc>
        <w:tc>
          <w:tcPr>
            <w:tcW w:w="7550" w:type="dxa"/>
            <w:hideMark/>
          </w:tcPr>
          <w:p w14:paraId="74BF9B9E" w14:textId="77777777" w:rsidR="00E95EC9" w:rsidRDefault="00E95EC9">
            <w:pPr>
              <w:spacing w:before="40" w:after="40"/>
              <w:rPr>
                <w:rFonts w:asciiTheme="majorHAnsi" w:hAnsiTheme="majorHAnsi" w:cstheme="majorHAnsi"/>
              </w:rPr>
            </w:pPr>
            <w:r>
              <w:rPr>
                <w:rFonts w:asciiTheme="majorHAnsi" w:hAnsiTheme="majorHAnsi" w:cstheme="majorHAnsi"/>
              </w:rPr>
              <w:t>Systematic Country Diagnostic</w:t>
            </w:r>
          </w:p>
        </w:tc>
      </w:tr>
      <w:tr w:rsidR="00E95EC9" w14:paraId="3BF620A5" w14:textId="77777777" w:rsidTr="00E95EC9">
        <w:tc>
          <w:tcPr>
            <w:tcW w:w="1800" w:type="dxa"/>
            <w:hideMark/>
          </w:tcPr>
          <w:p w14:paraId="2A445CE3" w14:textId="77777777" w:rsidR="00E95EC9" w:rsidRDefault="00E95EC9">
            <w:pPr>
              <w:spacing w:before="40" w:after="40"/>
              <w:rPr>
                <w:rFonts w:asciiTheme="majorHAnsi" w:hAnsiTheme="majorHAnsi" w:cstheme="majorHAnsi"/>
              </w:rPr>
            </w:pPr>
            <w:r>
              <w:rPr>
                <w:rFonts w:asciiTheme="majorHAnsi" w:hAnsiTheme="majorHAnsi" w:cstheme="majorHAnsi"/>
              </w:rPr>
              <w:t>SESA</w:t>
            </w:r>
          </w:p>
        </w:tc>
        <w:tc>
          <w:tcPr>
            <w:tcW w:w="7550" w:type="dxa"/>
            <w:hideMark/>
          </w:tcPr>
          <w:p w14:paraId="1BAC4C41" w14:textId="77777777" w:rsidR="00E95EC9" w:rsidRDefault="00E95EC9">
            <w:pPr>
              <w:spacing w:before="40" w:after="40"/>
              <w:rPr>
                <w:rFonts w:asciiTheme="majorHAnsi" w:hAnsiTheme="majorHAnsi" w:cstheme="majorHAnsi"/>
              </w:rPr>
            </w:pPr>
            <w:r>
              <w:rPr>
                <w:rFonts w:asciiTheme="majorHAnsi" w:hAnsiTheme="majorHAnsi" w:cstheme="majorHAnsi"/>
              </w:rPr>
              <w:t>Strategic Environment and Social Assessment</w:t>
            </w:r>
          </w:p>
        </w:tc>
      </w:tr>
      <w:tr w:rsidR="00E95EC9" w14:paraId="76F83A1E" w14:textId="77777777" w:rsidTr="00E95EC9">
        <w:tc>
          <w:tcPr>
            <w:tcW w:w="1800" w:type="dxa"/>
            <w:hideMark/>
          </w:tcPr>
          <w:p w14:paraId="6C4F3B45" w14:textId="77777777" w:rsidR="00E95EC9" w:rsidRDefault="00E95EC9">
            <w:pPr>
              <w:spacing w:before="40" w:after="40"/>
              <w:rPr>
                <w:rFonts w:asciiTheme="majorHAnsi" w:hAnsiTheme="majorHAnsi" w:cstheme="majorHAnsi"/>
              </w:rPr>
            </w:pPr>
            <w:r>
              <w:rPr>
                <w:rFonts w:asciiTheme="majorHAnsi" w:hAnsiTheme="majorHAnsi" w:cstheme="majorHAnsi"/>
              </w:rPr>
              <w:t>SDG</w:t>
            </w:r>
          </w:p>
        </w:tc>
        <w:tc>
          <w:tcPr>
            <w:tcW w:w="7550" w:type="dxa"/>
            <w:hideMark/>
          </w:tcPr>
          <w:p w14:paraId="36A1C465" w14:textId="77777777" w:rsidR="00E95EC9" w:rsidRDefault="00E95EC9">
            <w:pPr>
              <w:spacing w:before="40" w:after="40"/>
              <w:rPr>
                <w:rFonts w:asciiTheme="majorHAnsi" w:hAnsiTheme="majorHAnsi" w:cstheme="majorHAnsi"/>
              </w:rPr>
            </w:pPr>
            <w:r>
              <w:rPr>
                <w:rFonts w:asciiTheme="majorHAnsi" w:hAnsiTheme="majorHAnsi" w:cstheme="majorHAnsi"/>
              </w:rPr>
              <w:t>Sustainable Development Goals</w:t>
            </w:r>
          </w:p>
        </w:tc>
      </w:tr>
      <w:tr w:rsidR="00E95EC9" w14:paraId="153647F4" w14:textId="77777777" w:rsidTr="00E95EC9">
        <w:tc>
          <w:tcPr>
            <w:tcW w:w="1800" w:type="dxa"/>
            <w:hideMark/>
          </w:tcPr>
          <w:p w14:paraId="2BDA9287" w14:textId="77777777" w:rsidR="00E95EC9" w:rsidRDefault="00E95EC9">
            <w:pPr>
              <w:spacing w:before="40" w:after="40"/>
              <w:rPr>
                <w:rFonts w:asciiTheme="majorHAnsi" w:hAnsiTheme="majorHAnsi" w:cstheme="majorHAnsi"/>
              </w:rPr>
            </w:pPr>
            <w:r>
              <w:rPr>
                <w:rFonts w:asciiTheme="majorHAnsi" w:hAnsiTheme="majorHAnsi" w:cstheme="majorHAnsi"/>
              </w:rPr>
              <w:t>SFI</w:t>
            </w:r>
          </w:p>
        </w:tc>
        <w:tc>
          <w:tcPr>
            <w:tcW w:w="7550" w:type="dxa"/>
            <w:hideMark/>
          </w:tcPr>
          <w:p w14:paraId="7B3401CE" w14:textId="77777777" w:rsidR="00E95EC9" w:rsidRDefault="00E95EC9">
            <w:pPr>
              <w:spacing w:before="40" w:after="40"/>
              <w:rPr>
                <w:rFonts w:asciiTheme="majorHAnsi" w:hAnsiTheme="majorHAnsi" w:cstheme="majorHAnsi"/>
              </w:rPr>
            </w:pPr>
            <w:r>
              <w:rPr>
                <w:rFonts w:asciiTheme="majorHAnsi" w:hAnsiTheme="majorHAnsi" w:cstheme="majorHAnsi"/>
              </w:rPr>
              <w:t>Specialized Financial Institutions</w:t>
            </w:r>
          </w:p>
        </w:tc>
      </w:tr>
      <w:tr w:rsidR="00E95EC9" w14:paraId="7C54DBD0" w14:textId="77777777" w:rsidTr="00E95EC9">
        <w:tc>
          <w:tcPr>
            <w:tcW w:w="1800" w:type="dxa"/>
            <w:hideMark/>
          </w:tcPr>
          <w:p w14:paraId="5E7328E4" w14:textId="77777777" w:rsidR="00E95EC9" w:rsidRDefault="00E95EC9">
            <w:pPr>
              <w:spacing w:before="40" w:after="40"/>
              <w:rPr>
                <w:rFonts w:asciiTheme="majorHAnsi" w:hAnsiTheme="majorHAnsi" w:cstheme="majorHAnsi"/>
              </w:rPr>
            </w:pPr>
            <w:r>
              <w:rPr>
                <w:rFonts w:asciiTheme="majorHAnsi" w:hAnsiTheme="majorHAnsi" w:cstheme="majorHAnsi"/>
              </w:rPr>
              <w:t>SMEs</w:t>
            </w:r>
          </w:p>
        </w:tc>
        <w:tc>
          <w:tcPr>
            <w:tcW w:w="7550" w:type="dxa"/>
            <w:hideMark/>
          </w:tcPr>
          <w:p w14:paraId="02F49716" w14:textId="338014FA" w:rsidR="00E95EC9" w:rsidRDefault="00885D4E">
            <w:pPr>
              <w:spacing w:before="40" w:after="40"/>
              <w:rPr>
                <w:rFonts w:asciiTheme="majorHAnsi" w:hAnsiTheme="majorHAnsi" w:cstheme="majorHAnsi"/>
              </w:rPr>
            </w:pPr>
            <w:r>
              <w:rPr>
                <w:rFonts w:asciiTheme="majorHAnsi" w:hAnsiTheme="majorHAnsi" w:cstheme="majorHAnsi"/>
              </w:rPr>
              <w:t>s</w:t>
            </w:r>
            <w:r w:rsidR="00E95EC9">
              <w:rPr>
                <w:rFonts w:asciiTheme="majorHAnsi" w:hAnsiTheme="majorHAnsi" w:cstheme="majorHAnsi"/>
              </w:rPr>
              <w:t xml:space="preserve">mall and </w:t>
            </w:r>
            <w:r>
              <w:rPr>
                <w:rFonts w:asciiTheme="majorHAnsi" w:hAnsiTheme="majorHAnsi" w:cstheme="majorHAnsi"/>
              </w:rPr>
              <w:t>m</w:t>
            </w:r>
            <w:r w:rsidR="00E95EC9">
              <w:rPr>
                <w:rFonts w:asciiTheme="majorHAnsi" w:hAnsiTheme="majorHAnsi" w:cstheme="majorHAnsi"/>
              </w:rPr>
              <w:t>edium-</w:t>
            </w:r>
            <w:r>
              <w:rPr>
                <w:rFonts w:asciiTheme="majorHAnsi" w:hAnsiTheme="majorHAnsi" w:cstheme="majorHAnsi"/>
              </w:rPr>
              <w:t>s</w:t>
            </w:r>
            <w:r w:rsidR="00E95EC9">
              <w:rPr>
                <w:rFonts w:asciiTheme="majorHAnsi" w:hAnsiTheme="majorHAnsi" w:cstheme="majorHAnsi"/>
              </w:rPr>
              <w:t xml:space="preserve">ized </w:t>
            </w:r>
            <w:r>
              <w:rPr>
                <w:rFonts w:asciiTheme="majorHAnsi" w:hAnsiTheme="majorHAnsi" w:cstheme="majorHAnsi"/>
              </w:rPr>
              <w:t>e</w:t>
            </w:r>
            <w:r w:rsidR="00E95EC9">
              <w:rPr>
                <w:rFonts w:asciiTheme="majorHAnsi" w:hAnsiTheme="majorHAnsi" w:cstheme="majorHAnsi"/>
              </w:rPr>
              <w:t xml:space="preserve">nterprises </w:t>
            </w:r>
          </w:p>
        </w:tc>
      </w:tr>
      <w:tr w:rsidR="00E95EC9" w14:paraId="7E3E3BC2" w14:textId="77777777" w:rsidTr="00E95EC9">
        <w:tc>
          <w:tcPr>
            <w:tcW w:w="1800" w:type="dxa"/>
            <w:hideMark/>
          </w:tcPr>
          <w:p w14:paraId="5E81BCF0" w14:textId="77777777" w:rsidR="00E95EC9" w:rsidRDefault="00E95EC9">
            <w:pPr>
              <w:spacing w:before="40" w:after="40"/>
              <w:rPr>
                <w:rFonts w:asciiTheme="majorHAnsi" w:hAnsiTheme="majorHAnsi" w:cstheme="majorHAnsi"/>
              </w:rPr>
            </w:pPr>
            <w:r>
              <w:rPr>
                <w:rFonts w:asciiTheme="majorHAnsi" w:hAnsiTheme="majorHAnsi" w:cstheme="majorHAnsi"/>
              </w:rPr>
              <w:t>SOE</w:t>
            </w:r>
          </w:p>
        </w:tc>
        <w:tc>
          <w:tcPr>
            <w:tcW w:w="7550" w:type="dxa"/>
            <w:hideMark/>
          </w:tcPr>
          <w:p w14:paraId="323A3634" w14:textId="1385071C" w:rsidR="00E95EC9" w:rsidRDefault="00885D4E">
            <w:pPr>
              <w:spacing w:before="40" w:after="40"/>
              <w:rPr>
                <w:rFonts w:asciiTheme="majorHAnsi" w:hAnsiTheme="majorHAnsi" w:cstheme="majorHAnsi"/>
              </w:rPr>
            </w:pPr>
            <w:r>
              <w:rPr>
                <w:rFonts w:asciiTheme="majorHAnsi" w:hAnsiTheme="majorHAnsi" w:cstheme="majorHAnsi"/>
              </w:rPr>
              <w:t>s</w:t>
            </w:r>
            <w:r w:rsidR="00E95EC9">
              <w:rPr>
                <w:rFonts w:asciiTheme="majorHAnsi" w:hAnsiTheme="majorHAnsi" w:cstheme="majorHAnsi"/>
              </w:rPr>
              <w:t>tate-</w:t>
            </w:r>
            <w:r>
              <w:rPr>
                <w:rFonts w:asciiTheme="majorHAnsi" w:hAnsiTheme="majorHAnsi" w:cstheme="majorHAnsi"/>
              </w:rPr>
              <w:t>o</w:t>
            </w:r>
            <w:r w:rsidR="00E95EC9">
              <w:rPr>
                <w:rFonts w:asciiTheme="majorHAnsi" w:hAnsiTheme="majorHAnsi" w:cstheme="majorHAnsi"/>
              </w:rPr>
              <w:t xml:space="preserve">wned </w:t>
            </w:r>
            <w:r>
              <w:rPr>
                <w:rFonts w:asciiTheme="majorHAnsi" w:hAnsiTheme="majorHAnsi" w:cstheme="majorHAnsi"/>
              </w:rPr>
              <w:t>e</w:t>
            </w:r>
            <w:r w:rsidR="00E95EC9">
              <w:rPr>
                <w:rFonts w:asciiTheme="majorHAnsi" w:hAnsiTheme="majorHAnsi" w:cstheme="majorHAnsi"/>
              </w:rPr>
              <w:t>nterprises</w:t>
            </w:r>
          </w:p>
        </w:tc>
      </w:tr>
      <w:tr w:rsidR="00E95EC9" w14:paraId="02F15E45" w14:textId="77777777" w:rsidTr="00E95EC9">
        <w:tc>
          <w:tcPr>
            <w:tcW w:w="1800" w:type="dxa"/>
            <w:hideMark/>
          </w:tcPr>
          <w:p w14:paraId="34877DA2" w14:textId="77777777" w:rsidR="00E95EC9" w:rsidRDefault="00E95EC9">
            <w:pPr>
              <w:spacing w:before="40" w:after="40"/>
              <w:rPr>
                <w:rFonts w:asciiTheme="majorHAnsi" w:hAnsiTheme="majorHAnsi" w:cstheme="majorHAnsi"/>
              </w:rPr>
            </w:pPr>
            <w:r>
              <w:rPr>
                <w:rFonts w:asciiTheme="majorHAnsi" w:hAnsiTheme="majorHAnsi" w:cstheme="majorHAnsi"/>
              </w:rPr>
              <w:t>STRI</w:t>
            </w:r>
          </w:p>
        </w:tc>
        <w:tc>
          <w:tcPr>
            <w:tcW w:w="7550" w:type="dxa"/>
            <w:hideMark/>
          </w:tcPr>
          <w:p w14:paraId="4CEB88F1" w14:textId="77777777" w:rsidR="00E95EC9" w:rsidRDefault="00E95EC9">
            <w:pPr>
              <w:spacing w:before="40" w:after="40"/>
              <w:rPr>
                <w:rFonts w:asciiTheme="majorHAnsi" w:hAnsiTheme="majorHAnsi" w:cstheme="majorHAnsi"/>
              </w:rPr>
            </w:pPr>
            <w:r>
              <w:rPr>
                <w:rFonts w:asciiTheme="majorHAnsi" w:hAnsiTheme="majorHAnsi" w:cstheme="majorHAnsi"/>
              </w:rPr>
              <w:t>Services Trade Restrictiveness Index</w:t>
            </w:r>
          </w:p>
        </w:tc>
      </w:tr>
      <w:tr w:rsidR="00E95EC9" w14:paraId="155D9C83" w14:textId="77777777" w:rsidTr="00E95EC9">
        <w:tc>
          <w:tcPr>
            <w:tcW w:w="1800" w:type="dxa"/>
            <w:hideMark/>
          </w:tcPr>
          <w:p w14:paraId="00BA32F2" w14:textId="77777777" w:rsidR="00E95EC9" w:rsidRDefault="00E95EC9">
            <w:pPr>
              <w:spacing w:before="40" w:after="40"/>
              <w:rPr>
                <w:rFonts w:asciiTheme="majorHAnsi" w:hAnsiTheme="majorHAnsi" w:cstheme="majorHAnsi"/>
              </w:rPr>
            </w:pPr>
            <w:r>
              <w:rPr>
                <w:rFonts w:asciiTheme="majorHAnsi" w:hAnsiTheme="majorHAnsi" w:cstheme="majorHAnsi"/>
              </w:rPr>
              <w:t>SWC</w:t>
            </w:r>
          </w:p>
        </w:tc>
        <w:tc>
          <w:tcPr>
            <w:tcW w:w="7550" w:type="dxa"/>
            <w:hideMark/>
          </w:tcPr>
          <w:p w14:paraId="02411209" w14:textId="77777777" w:rsidR="00E95EC9" w:rsidRDefault="00E95EC9">
            <w:pPr>
              <w:spacing w:before="40" w:after="40"/>
              <w:rPr>
                <w:rFonts w:asciiTheme="majorHAnsi" w:hAnsiTheme="majorHAnsi" w:cstheme="majorHAnsi"/>
              </w:rPr>
            </w:pPr>
            <w:r>
              <w:rPr>
                <w:rFonts w:asciiTheme="majorHAnsi" w:hAnsiTheme="majorHAnsi" w:cstheme="majorHAnsi"/>
              </w:rPr>
              <w:t>State Welfare Card</w:t>
            </w:r>
          </w:p>
        </w:tc>
      </w:tr>
      <w:tr w:rsidR="00E95EC9" w14:paraId="131120A7" w14:textId="77777777" w:rsidTr="00E95EC9">
        <w:tc>
          <w:tcPr>
            <w:tcW w:w="1800" w:type="dxa"/>
            <w:hideMark/>
          </w:tcPr>
          <w:p w14:paraId="434A0B9D" w14:textId="77777777" w:rsidR="00E95EC9" w:rsidRDefault="00E95EC9">
            <w:pPr>
              <w:spacing w:before="40" w:after="40"/>
              <w:rPr>
                <w:rFonts w:asciiTheme="majorHAnsi" w:hAnsiTheme="majorHAnsi" w:cstheme="majorHAnsi"/>
              </w:rPr>
            </w:pPr>
            <w:r>
              <w:rPr>
                <w:rFonts w:asciiTheme="majorHAnsi" w:hAnsiTheme="majorHAnsi" w:cstheme="majorHAnsi"/>
              </w:rPr>
              <w:t>TFP</w:t>
            </w:r>
          </w:p>
        </w:tc>
        <w:tc>
          <w:tcPr>
            <w:tcW w:w="7550" w:type="dxa"/>
            <w:hideMark/>
          </w:tcPr>
          <w:p w14:paraId="0AAC67A7" w14:textId="77777777" w:rsidR="00E95EC9" w:rsidRDefault="00E95EC9">
            <w:pPr>
              <w:spacing w:before="40" w:after="40"/>
              <w:rPr>
                <w:rFonts w:asciiTheme="majorHAnsi" w:hAnsiTheme="majorHAnsi" w:cstheme="majorHAnsi"/>
              </w:rPr>
            </w:pPr>
            <w:r>
              <w:rPr>
                <w:rFonts w:asciiTheme="majorHAnsi" w:hAnsiTheme="majorHAnsi" w:cstheme="majorHAnsi"/>
              </w:rPr>
              <w:t>Total Factor Productivity</w:t>
            </w:r>
          </w:p>
        </w:tc>
      </w:tr>
      <w:tr w:rsidR="00E95EC9" w14:paraId="2E241129" w14:textId="77777777" w:rsidTr="00E95EC9">
        <w:tc>
          <w:tcPr>
            <w:tcW w:w="1800" w:type="dxa"/>
            <w:hideMark/>
          </w:tcPr>
          <w:p w14:paraId="131E55E0" w14:textId="77777777" w:rsidR="00E95EC9" w:rsidRDefault="00E95EC9">
            <w:pPr>
              <w:spacing w:before="40" w:after="40"/>
              <w:rPr>
                <w:rFonts w:asciiTheme="majorHAnsi" w:hAnsiTheme="majorHAnsi" w:cstheme="majorHAnsi"/>
              </w:rPr>
            </w:pPr>
            <w:r>
              <w:rPr>
                <w:rFonts w:asciiTheme="majorHAnsi" w:hAnsiTheme="majorHAnsi" w:cstheme="majorHAnsi"/>
              </w:rPr>
              <w:t>TVET</w:t>
            </w:r>
          </w:p>
        </w:tc>
        <w:tc>
          <w:tcPr>
            <w:tcW w:w="7550" w:type="dxa"/>
            <w:hideMark/>
          </w:tcPr>
          <w:p w14:paraId="0DD1367D" w14:textId="77777777" w:rsidR="00E95EC9" w:rsidRDefault="00E95EC9">
            <w:pPr>
              <w:spacing w:before="40" w:after="40"/>
              <w:rPr>
                <w:rFonts w:asciiTheme="majorHAnsi" w:hAnsiTheme="majorHAnsi" w:cstheme="majorHAnsi"/>
              </w:rPr>
            </w:pPr>
            <w:r>
              <w:rPr>
                <w:rFonts w:asciiTheme="majorHAnsi" w:hAnsiTheme="majorHAnsi" w:cstheme="majorHAnsi"/>
              </w:rPr>
              <w:t xml:space="preserve">Technical and Vocational Education and Training </w:t>
            </w:r>
          </w:p>
        </w:tc>
      </w:tr>
      <w:tr w:rsidR="00E95EC9" w14:paraId="6609AF97" w14:textId="77777777" w:rsidTr="00E95EC9">
        <w:tc>
          <w:tcPr>
            <w:tcW w:w="1800" w:type="dxa"/>
            <w:hideMark/>
          </w:tcPr>
          <w:p w14:paraId="38B30AC4" w14:textId="77777777" w:rsidR="00E95EC9" w:rsidRDefault="00E95EC9">
            <w:pPr>
              <w:spacing w:before="40" w:after="40"/>
              <w:rPr>
                <w:rFonts w:asciiTheme="majorHAnsi" w:hAnsiTheme="majorHAnsi" w:cstheme="majorHAnsi"/>
              </w:rPr>
            </w:pPr>
            <w:r>
              <w:rPr>
                <w:rFonts w:asciiTheme="majorHAnsi" w:hAnsiTheme="majorHAnsi" w:cstheme="majorHAnsi"/>
              </w:rPr>
              <w:t>UMICs</w:t>
            </w:r>
          </w:p>
        </w:tc>
        <w:tc>
          <w:tcPr>
            <w:tcW w:w="7550" w:type="dxa"/>
            <w:hideMark/>
          </w:tcPr>
          <w:p w14:paraId="47B0D5DF" w14:textId="77777777" w:rsidR="00E95EC9" w:rsidRDefault="00E95EC9">
            <w:pPr>
              <w:spacing w:before="40" w:after="40"/>
              <w:rPr>
                <w:rFonts w:asciiTheme="majorHAnsi" w:hAnsiTheme="majorHAnsi" w:cstheme="majorHAnsi"/>
              </w:rPr>
            </w:pPr>
            <w:r>
              <w:rPr>
                <w:rFonts w:asciiTheme="majorHAnsi" w:hAnsiTheme="majorHAnsi" w:cstheme="majorHAnsi"/>
              </w:rPr>
              <w:t>Upper-Middle-Income Countries</w:t>
            </w:r>
          </w:p>
        </w:tc>
      </w:tr>
      <w:tr w:rsidR="00E95EC9" w14:paraId="755E8337" w14:textId="77777777" w:rsidTr="00E95EC9">
        <w:tc>
          <w:tcPr>
            <w:tcW w:w="1800" w:type="dxa"/>
            <w:hideMark/>
          </w:tcPr>
          <w:p w14:paraId="1CA21D0F" w14:textId="77777777" w:rsidR="00E95EC9" w:rsidRDefault="00E95EC9">
            <w:pPr>
              <w:spacing w:before="40" w:after="40"/>
              <w:rPr>
                <w:rFonts w:asciiTheme="majorHAnsi" w:hAnsiTheme="majorHAnsi" w:cstheme="majorHAnsi"/>
              </w:rPr>
            </w:pPr>
            <w:r>
              <w:rPr>
                <w:rFonts w:asciiTheme="majorHAnsi" w:hAnsiTheme="majorHAnsi" w:cstheme="majorHAnsi"/>
              </w:rPr>
              <w:t>UNISDR</w:t>
            </w:r>
          </w:p>
        </w:tc>
        <w:tc>
          <w:tcPr>
            <w:tcW w:w="7550" w:type="dxa"/>
            <w:hideMark/>
          </w:tcPr>
          <w:p w14:paraId="12417CD4" w14:textId="77777777" w:rsidR="00E95EC9" w:rsidRDefault="00E95EC9">
            <w:pPr>
              <w:spacing w:before="40" w:after="40"/>
              <w:rPr>
                <w:rFonts w:asciiTheme="majorHAnsi" w:hAnsiTheme="majorHAnsi" w:cstheme="majorHAnsi"/>
              </w:rPr>
            </w:pPr>
            <w:r>
              <w:rPr>
                <w:rFonts w:asciiTheme="majorHAnsi" w:hAnsiTheme="majorHAnsi" w:cstheme="majorHAnsi"/>
              </w:rPr>
              <w:t>United Nations Office for Disaster Risk Reduction</w:t>
            </w:r>
          </w:p>
        </w:tc>
      </w:tr>
      <w:tr w:rsidR="00E95EC9" w14:paraId="5C53CE7C" w14:textId="77777777" w:rsidTr="00E95EC9">
        <w:tc>
          <w:tcPr>
            <w:tcW w:w="1800" w:type="dxa"/>
            <w:hideMark/>
          </w:tcPr>
          <w:p w14:paraId="45DCC9A5" w14:textId="77777777" w:rsidR="00E95EC9" w:rsidRDefault="00E95EC9">
            <w:pPr>
              <w:spacing w:before="40" w:after="40"/>
              <w:rPr>
                <w:rFonts w:asciiTheme="majorHAnsi" w:hAnsiTheme="majorHAnsi" w:cstheme="majorHAnsi"/>
              </w:rPr>
            </w:pPr>
            <w:r>
              <w:rPr>
                <w:rFonts w:asciiTheme="majorHAnsi" w:hAnsiTheme="majorHAnsi" w:cstheme="majorHAnsi"/>
              </w:rPr>
              <w:t>VAWG</w:t>
            </w:r>
          </w:p>
        </w:tc>
        <w:tc>
          <w:tcPr>
            <w:tcW w:w="7550" w:type="dxa"/>
            <w:hideMark/>
          </w:tcPr>
          <w:p w14:paraId="423091BD" w14:textId="77777777" w:rsidR="00E95EC9" w:rsidRDefault="00E95EC9">
            <w:pPr>
              <w:spacing w:before="40" w:after="40"/>
              <w:rPr>
                <w:rFonts w:asciiTheme="majorHAnsi" w:hAnsiTheme="majorHAnsi" w:cstheme="majorHAnsi"/>
              </w:rPr>
            </w:pPr>
            <w:r>
              <w:rPr>
                <w:rFonts w:asciiTheme="majorHAnsi" w:hAnsiTheme="majorHAnsi" w:cstheme="majorHAnsi"/>
              </w:rPr>
              <w:t xml:space="preserve">Violence Against Women and Girls </w:t>
            </w:r>
          </w:p>
        </w:tc>
      </w:tr>
      <w:tr w:rsidR="00E95EC9" w14:paraId="056A6D4C" w14:textId="77777777" w:rsidTr="00E95EC9">
        <w:tc>
          <w:tcPr>
            <w:tcW w:w="1800" w:type="dxa"/>
            <w:hideMark/>
          </w:tcPr>
          <w:p w14:paraId="16254830" w14:textId="77777777" w:rsidR="00E95EC9" w:rsidRDefault="00E95EC9">
            <w:pPr>
              <w:spacing w:before="40" w:after="40"/>
              <w:rPr>
                <w:rFonts w:asciiTheme="majorHAnsi" w:hAnsiTheme="majorHAnsi" w:cstheme="majorHAnsi"/>
              </w:rPr>
            </w:pPr>
            <w:r>
              <w:rPr>
                <w:rFonts w:asciiTheme="majorHAnsi" w:hAnsiTheme="majorHAnsi" w:cstheme="majorHAnsi"/>
              </w:rPr>
              <w:t>WRM</w:t>
            </w:r>
          </w:p>
        </w:tc>
        <w:tc>
          <w:tcPr>
            <w:tcW w:w="7550" w:type="dxa"/>
            <w:hideMark/>
          </w:tcPr>
          <w:p w14:paraId="2F4F0473" w14:textId="77777777" w:rsidR="00E95EC9" w:rsidRDefault="00E95EC9">
            <w:pPr>
              <w:spacing w:before="40" w:after="40"/>
              <w:rPr>
                <w:rFonts w:asciiTheme="majorHAnsi" w:hAnsiTheme="majorHAnsi" w:cstheme="majorHAnsi"/>
              </w:rPr>
            </w:pPr>
            <w:r>
              <w:rPr>
                <w:rFonts w:asciiTheme="majorHAnsi" w:hAnsiTheme="majorHAnsi" w:cstheme="majorHAnsi"/>
              </w:rPr>
              <w:t>Water Resources Management</w:t>
            </w:r>
          </w:p>
        </w:tc>
      </w:tr>
    </w:tbl>
    <w:p w14:paraId="2588BBFB" w14:textId="74BB1271" w:rsidR="00B92B22" w:rsidRPr="00B92B22" w:rsidRDefault="00B92B22" w:rsidP="00B92B22"/>
    <w:p w14:paraId="47BF6386" w14:textId="77777777" w:rsidR="00E95EC9" w:rsidRDefault="00E95EC9">
      <w:r>
        <w:br w:type="page"/>
      </w:r>
    </w:p>
    <w:p w14:paraId="63C9D2A9" w14:textId="522CCE88" w:rsidR="001D37A2" w:rsidRDefault="00B60EC3" w:rsidP="001D37A2">
      <w:pPr>
        <w:pStyle w:val="Heading1"/>
      </w:pPr>
      <w:bookmarkStart w:id="9" w:name="_Toc138318486"/>
      <w:bookmarkStart w:id="10" w:name="_Toc138318565"/>
      <w:bookmarkStart w:id="11" w:name="_Toc138318724"/>
      <w:bookmarkStart w:id="12" w:name="_Toc138318487"/>
      <w:bookmarkStart w:id="13" w:name="_Toc138318566"/>
      <w:bookmarkStart w:id="14" w:name="_Toc138318725"/>
      <w:bookmarkStart w:id="15" w:name="_Toc138318488"/>
      <w:bookmarkStart w:id="16" w:name="_Toc138318567"/>
      <w:bookmarkStart w:id="17" w:name="_Toc138318726"/>
      <w:bookmarkStart w:id="18" w:name="_Toc138318489"/>
      <w:bookmarkStart w:id="19" w:name="_Toc138318568"/>
      <w:bookmarkStart w:id="20" w:name="_Toc138318727"/>
      <w:bookmarkStart w:id="21" w:name="_Toc138318490"/>
      <w:bookmarkStart w:id="22" w:name="_Toc138318569"/>
      <w:bookmarkStart w:id="23" w:name="_Toc138318728"/>
      <w:bookmarkStart w:id="24" w:name="_Toc138318491"/>
      <w:bookmarkStart w:id="25" w:name="_Toc138318570"/>
      <w:bookmarkStart w:id="26" w:name="_Toc138318729"/>
      <w:bookmarkStart w:id="27" w:name="_Toc138318492"/>
      <w:bookmarkStart w:id="28" w:name="_Toc138318571"/>
      <w:bookmarkStart w:id="29" w:name="_Toc138318730"/>
      <w:bookmarkStart w:id="30" w:name="_Toc138318493"/>
      <w:bookmarkStart w:id="31" w:name="_Toc138318572"/>
      <w:bookmarkStart w:id="32" w:name="_Toc138318731"/>
      <w:bookmarkStart w:id="33" w:name="_Toc138318494"/>
      <w:bookmarkStart w:id="34" w:name="_Toc138318573"/>
      <w:bookmarkStart w:id="35" w:name="_Toc138318732"/>
      <w:bookmarkStart w:id="36" w:name="_Toc138236027"/>
      <w:bookmarkStart w:id="37" w:name="_Toc138236203"/>
      <w:bookmarkStart w:id="38" w:name="_Toc138236287"/>
      <w:bookmarkStart w:id="39" w:name="_Toc138318498"/>
      <w:bookmarkStart w:id="40" w:name="_Toc138318577"/>
      <w:bookmarkStart w:id="41" w:name="_Toc138318736"/>
      <w:bookmarkStart w:id="42" w:name="_Toc138400966"/>
      <w:bookmarkStart w:id="43" w:name="_Toc138401035"/>
      <w:bookmarkStart w:id="44" w:name="_Toc138401164"/>
      <w:bookmarkStart w:id="45" w:name="_Toc138401236"/>
      <w:bookmarkStart w:id="46" w:name="_Toc138236028"/>
      <w:bookmarkStart w:id="47" w:name="_Toc138236204"/>
      <w:bookmarkStart w:id="48" w:name="_Toc138236288"/>
      <w:bookmarkStart w:id="49" w:name="_Toc138318499"/>
      <w:bookmarkStart w:id="50" w:name="_Toc138318578"/>
      <w:bookmarkStart w:id="51" w:name="_Toc138318737"/>
      <w:bookmarkStart w:id="52" w:name="_Toc138400967"/>
      <w:bookmarkStart w:id="53" w:name="_Toc138401036"/>
      <w:bookmarkStart w:id="54" w:name="_Toc138401165"/>
      <w:bookmarkStart w:id="55" w:name="_Toc138401237"/>
      <w:bookmarkStart w:id="56" w:name="_Toc138236029"/>
      <w:bookmarkStart w:id="57" w:name="_Toc138236205"/>
      <w:bookmarkStart w:id="58" w:name="_Toc138236289"/>
      <w:bookmarkStart w:id="59" w:name="_Toc138318500"/>
      <w:bookmarkStart w:id="60" w:name="_Toc138318579"/>
      <w:bookmarkStart w:id="61" w:name="_Toc138318738"/>
      <w:bookmarkStart w:id="62" w:name="_Toc138400968"/>
      <w:bookmarkStart w:id="63" w:name="_Toc138401037"/>
      <w:bookmarkStart w:id="64" w:name="_Toc138401166"/>
      <w:bookmarkStart w:id="65" w:name="_Toc138401238"/>
      <w:bookmarkStart w:id="66" w:name="_Toc138236030"/>
      <w:bookmarkStart w:id="67" w:name="_Toc138236206"/>
      <w:bookmarkStart w:id="68" w:name="_Toc138236290"/>
      <w:bookmarkStart w:id="69" w:name="_Toc138318501"/>
      <w:bookmarkStart w:id="70" w:name="_Toc138318580"/>
      <w:bookmarkStart w:id="71" w:name="_Toc138318739"/>
      <w:bookmarkStart w:id="72" w:name="_Toc138400969"/>
      <w:bookmarkStart w:id="73" w:name="_Toc138401038"/>
      <w:bookmarkStart w:id="74" w:name="_Toc138401167"/>
      <w:bookmarkStart w:id="75" w:name="_Toc138401239"/>
      <w:bookmarkStart w:id="76" w:name="_Toc138236031"/>
      <w:bookmarkStart w:id="77" w:name="_Toc138236207"/>
      <w:bookmarkStart w:id="78" w:name="_Toc138236291"/>
      <w:bookmarkStart w:id="79" w:name="_Toc138318502"/>
      <w:bookmarkStart w:id="80" w:name="_Toc138318581"/>
      <w:bookmarkStart w:id="81" w:name="_Toc138318740"/>
      <w:bookmarkStart w:id="82" w:name="_Toc138400970"/>
      <w:bookmarkStart w:id="83" w:name="_Toc138401039"/>
      <w:bookmarkStart w:id="84" w:name="_Toc138401168"/>
      <w:bookmarkStart w:id="85" w:name="_Toc138401240"/>
      <w:bookmarkStart w:id="86" w:name="_Toc138236046"/>
      <w:bookmarkStart w:id="87" w:name="_Toc138236222"/>
      <w:bookmarkStart w:id="88" w:name="_Toc138236306"/>
      <w:bookmarkStart w:id="89" w:name="_Toc138318517"/>
      <w:bookmarkStart w:id="90" w:name="_Toc138318596"/>
      <w:bookmarkStart w:id="91" w:name="_Toc138318755"/>
      <w:bookmarkStart w:id="92" w:name="_Toc138400985"/>
      <w:bookmarkStart w:id="93" w:name="_Toc138401054"/>
      <w:bookmarkStart w:id="94" w:name="_Toc138401183"/>
      <w:bookmarkStart w:id="95" w:name="_Toc138401255"/>
      <w:bookmarkStart w:id="96" w:name="_Toc138236053"/>
      <w:bookmarkStart w:id="97" w:name="_Toc138236229"/>
      <w:bookmarkStart w:id="98" w:name="_Toc138236313"/>
      <w:bookmarkStart w:id="99" w:name="_Toc138318524"/>
      <w:bookmarkStart w:id="100" w:name="_Toc138318603"/>
      <w:bookmarkStart w:id="101" w:name="_Toc138318762"/>
      <w:bookmarkStart w:id="102" w:name="_Toc138400992"/>
      <w:bookmarkStart w:id="103" w:name="_Toc138401061"/>
      <w:bookmarkStart w:id="104" w:name="_Toc138401190"/>
      <w:bookmarkStart w:id="105" w:name="_Toc138401262"/>
      <w:bookmarkStart w:id="106" w:name="_Toc138236054"/>
      <w:bookmarkStart w:id="107" w:name="_Toc138236230"/>
      <w:bookmarkStart w:id="108" w:name="_Toc138236314"/>
      <w:bookmarkStart w:id="109" w:name="_Toc138318525"/>
      <w:bookmarkStart w:id="110" w:name="_Toc138318604"/>
      <w:bookmarkStart w:id="111" w:name="_Toc138318763"/>
      <w:bookmarkStart w:id="112" w:name="_Toc138400993"/>
      <w:bookmarkStart w:id="113" w:name="_Toc138401062"/>
      <w:bookmarkStart w:id="114" w:name="_Toc138401191"/>
      <w:bookmarkStart w:id="115" w:name="_Toc138401263"/>
      <w:bookmarkStart w:id="116" w:name="_Toc136776586"/>
      <w:bookmarkStart w:id="117" w:name="_Toc136777750"/>
      <w:bookmarkStart w:id="118" w:name="_Toc136778831"/>
      <w:bookmarkStart w:id="119" w:name="_Toc136779951"/>
      <w:bookmarkStart w:id="120" w:name="_Toc136776588"/>
      <w:bookmarkStart w:id="121" w:name="_Toc136777752"/>
      <w:bookmarkStart w:id="122" w:name="_Toc136778833"/>
      <w:bookmarkStart w:id="123" w:name="_Toc136779953"/>
      <w:bookmarkStart w:id="124" w:name="_Toc116404375"/>
      <w:bookmarkStart w:id="125" w:name="_Toc116404482"/>
      <w:bookmarkStart w:id="126" w:name="_Toc116404589"/>
      <w:bookmarkStart w:id="127" w:name="_Toc116405296"/>
      <w:bookmarkStart w:id="128" w:name="_Toc116405753"/>
      <w:bookmarkStart w:id="129" w:name="_Toc116405853"/>
      <w:bookmarkStart w:id="130" w:name="_Toc116405953"/>
      <w:bookmarkStart w:id="131" w:name="_Toc116406048"/>
      <w:bookmarkStart w:id="132" w:name="_Toc116406140"/>
      <w:bookmarkStart w:id="133" w:name="_Toc116404376"/>
      <w:bookmarkStart w:id="134" w:name="_Toc116404483"/>
      <w:bookmarkStart w:id="135" w:name="_Toc116404590"/>
      <w:bookmarkStart w:id="136" w:name="_Toc116405297"/>
      <w:bookmarkStart w:id="137" w:name="_Toc116405754"/>
      <w:bookmarkStart w:id="138" w:name="_Toc116405854"/>
      <w:bookmarkStart w:id="139" w:name="_Toc116405954"/>
      <w:bookmarkStart w:id="140" w:name="_Toc116406049"/>
      <w:bookmarkStart w:id="141" w:name="_Toc116406141"/>
      <w:bookmarkStart w:id="142" w:name="_Toc116404377"/>
      <w:bookmarkStart w:id="143" w:name="_Toc116404484"/>
      <w:bookmarkStart w:id="144" w:name="_Toc116404591"/>
      <w:bookmarkStart w:id="145" w:name="_Toc116405298"/>
      <w:bookmarkStart w:id="146" w:name="_Toc116405755"/>
      <w:bookmarkStart w:id="147" w:name="_Toc116405855"/>
      <w:bookmarkStart w:id="148" w:name="_Toc116405955"/>
      <w:bookmarkStart w:id="149" w:name="_Toc116406050"/>
      <w:bookmarkStart w:id="150" w:name="_Toc116406142"/>
      <w:bookmarkStart w:id="151" w:name="_Toc116404378"/>
      <w:bookmarkStart w:id="152" w:name="_Toc116404485"/>
      <w:bookmarkStart w:id="153" w:name="_Toc116404592"/>
      <w:bookmarkStart w:id="154" w:name="_Toc116405299"/>
      <w:bookmarkStart w:id="155" w:name="_Toc116405756"/>
      <w:bookmarkStart w:id="156" w:name="_Toc116405856"/>
      <w:bookmarkStart w:id="157" w:name="_Toc116405956"/>
      <w:bookmarkStart w:id="158" w:name="_Toc116406051"/>
      <w:bookmarkStart w:id="159" w:name="_Toc116406143"/>
      <w:bookmarkStart w:id="160" w:name="_Toc116404379"/>
      <w:bookmarkStart w:id="161" w:name="_Toc116404486"/>
      <w:bookmarkStart w:id="162" w:name="_Toc116404593"/>
      <w:bookmarkStart w:id="163" w:name="_Toc116405300"/>
      <w:bookmarkStart w:id="164" w:name="_Toc116405757"/>
      <w:bookmarkStart w:id="165" w:name="_Toc116405857"/>
      <w:bookmarkStart w:id="166" w:name="_Toc116405957"/>
      <w:bookmarkStart w:id="167" w:name="_Toc116406052"/>
      <w:bookmarkStart w:id="168" w:name="_Toc116406144"/>
      <w:bookmarkStart w:id="169" w:name="_Toc116404382"/>
      <w:bookmarkStart w:id="170" w:name="_Toc116404489"/>
      <w:bookmarkStart w:id="171" w:name="_Toc116404596"/>
      <w:bookmarkStart w:id="172" w:name="_Toc116405303"/>
      <w:bookmarkStart w:id="173" w:name="_Toc116405760"/>
      <w:bookmarkStart w:id="174" w:name="_Toc116405860"/>
      <w:bookmarkStart w:id="175" w:name="_Toc116405960"/>
      <w:bookmarkStart w:id="176" w:name="_Toc116406055"/>
      <w:bookmarkStart w:id="177" w:name="_Toc116406147"/>
      <w:bookmarkStart w:id="178" w:name="_Toc116404385"/>
      <w:bookmarkStart w:id="179" w:name="_Toc116404492"/>
      <w:bookmarkStart w:id="180" w:name="_Toc116404599"/>
      <w:bookmarkStart w:id="181" w:name="_Toc116405306"/>
      <w:bookmarkStart w:id="182" w:name="_Toc116405763"/>
      <w:bookmarkStart w:id="183" w:name="_Toc116405863"/>
      <w:bookmarkStart w:id="184" w:name="_Toc116405963"/>
      <w:bookmarkStart w:id="185" w:name="_Toc116406058"/>
      <w:bookmarkStart w:id="186" w:name="_Toc116406150"/>
      <w:bookmarkStart w:id="187" w:name="_Toc116404386"/>
      <w:bookmarkStart w:id="188" w:name="_Toc116404493"/>
      <w:bookmarkStart w:id="189" w:name="_Toc116404600"/>
      <w:bookmarkStart w:id="190" w:name="_Toc116405307"/>
      <w:bookmarkStart w:id="191" w:name="_Toc116405764"/>
      <w:bookmarkStart w:id="192" w:name="_Toc116405864"/>
      <w:bookmarkStart w:id="193" w:name="_Toc116405964"/>
      <w:bookmarkStart w:id="194" w:name="_Toc116406059"/>
      <w:bookmarkStart w:id="195" w:name="_Toc116406151"/>
      <w:bookmarkStart w:id="196" w:name="_Toc116404387"/>
      <w:bookmarkStart w:id="197" w:name="_Toc116404494"/>
      <w:bookmarkStart w:id="198" w:name="_Toc116404601"/>
      <w:bookmarkStart w:id="199" w:name="_Toc116405308"/>
      <w:bookmarkStart w:id="200" w:name="_Toc116405765"/>
      <w:bookmarkStart w:id="201" w:name="_Toc116405865"/>
      <w:bookmarkStart w:id="202" w:name="_Toc116405965"/>
      <w:bookmarkStart w:id="203" w:name="_Toc116406060"/>
      <w:bookmarkStart w:id="204" w:name="_Toc116406152"/>
      <w:bookmarkStart w:id="205" w:name="_Toc116404388"/>
      <w:bookmarkStart w:id="206" w:name="_Toc116404495"/>
      <w:bookmarkStart w:id="207" w:name="_Toc116404602"/>
      <w:bookmarkStart w:id="208" w:name="_Toc116405309"/>
      <w:bookmarkStart w:id="209" w:name="_Toc116405766"/>
      <w:bookmarkStart w:id="210" w:name="_Toc116405866"/>
      <w:bookmarkStart w:id="211" w:name="_Toc116405966"/>
      <w:bookmarkStart w:id="212" w:name="_Toc116406061"/>
      <w:bookmarkStart w:id="213" w:name="_Toc116406153"/>
      <w:bookmarkStart w:id="214" w:name="_Toc116404393"/>
      <w:bookmarkStart w:id="215" w:name="_Toc116404500"/>
      <w:bookmarkStart w:id="216" w:name="_Toc116404607"/>
      <w:bookmarkStart w:id="217" w:name="_Toc116405314"/>
      <w:bookmarkStart w:id="218" w:name="_Toc116405771"/>
      <w:bookmarkStart w:id="219" w:name="_Toc116405871"/>
      <w:bookmarkStart w:id="220" w:name="_Toc116405971"/>
      <w:bookmarkStart w:id="221" w:name="_Toc116406066"/>
      <w:bookmarkStart w:id="222" w:name="_Toc116406158"/>
      <w:bookmarkStart w:id="223" w:name="_Toc116404394"/>
      <w:bookmarkStart w:id="224" w:name="_Toc116404501"/>
      <w:bookmarkStart w:id="225" w:name="_Toc116404608"/>
      <w:bookmarkStart w:id="226" w:name="_Toc116405315"/>
      <w:bookmarkStart w:id="227" w:name="_Toc116405772"/>
      <w:bookmarkStart w:id="228" w:name="_Toc116405872"/>
      <w:bookmarkStart w:id="229" w:name="_Toc116405972"/>
      <w:bookmarkStart w:id="230" w:name="_Toc116406067"/>
      <w:bookmarkStart w:id="231" w:name="_Toc116406159"/>
      <w:bookmarkStart w:id="232" w:name="_Toc116404402"/>
      <w:bookmarkStart w:id="233" w:name="_Toc116404509"/>
      <w:bookmarkStart w:id="234" w:name="_Toc116404616"/>
      <w:bookmarkStart w:id="235" w:name="_Toc116405323"/>
      <w:bookmarkStart w:id="236" w:name="_Toc116405780"/>
      <w:bookmarkStart w:id="237" w:name="_Toc116405880"/>
      <w:bookmarkStart w:id="238" w:name="_Toc116405980"/>
      <w:bookmarkStart w:id="239" w:name="_Toc116406075"/>
      <w:bookmarkStart w:id="240" w:name="_Toc116406167"/>
      <w:bookmarkStart w:id="241" w:name="_Toc122032847"/>
      <w:bookmarkStart w:id="242" w:name="_Toc124162175"/>
      <w:bookmarkStart w:id="243" w:name="_Toc124163972"/>
      <w:bookmarkStart w:id="244" w:name="_Toc116404406"/>
      <w:bookmarkStart w:id="245" w:name="_Toc116404513"/>
      <w:bookmarkStart w:id="246" w:name="_Toc116404620"/>
      <w:bookmarkStart w:id="247" w:name="_Toc116405327"/>
      <w:bookmarkStart w:id="248" w:name="_Toc116405784"/>
      <w:bookmarkStart w:id="249" w:name="_Toc116405884"/>
      <w:bookmarkStart w:id="250" w:name="_Toc116405984"/>
      <w:bookmarkStart w:id="251" w:name="_Toc116406077"/>
      <w:bookmarkStart w:id="252" w:name="_Toc116406169"/>
      <w:bookmarkStart w:id="253" w:name="_Toc116406078"/>
      <w:bookmarkStart w:id="254" w:name="_Toc116406170"/>
      <w:bookmarkStart w:id="255" w:name="_Toc116404410"/>
      <w:bookmarkStart w:id="256" w:name="_Toc116404517"/>
      <w:bookmarkStart w:id="257" w:name="_Toc116404624"/>
      <w:bookmarkStart w:id="258" w:name="_Toc116405331"/>
      <w:bookmarkStart w:id="259" w:name="_Toc116405788"/>
      <w:bookmarkStart w:id="260" w:name="_Toc116405888"/>
      <w:bookmarkStart w:id="261" w:name="_Toc116405988"/>
      <w:bookmarkStart w:id="262" w:name="_Toc116406081"/>
      <w:bookmarkStart w:id="263" w:name="_Toc116406173"/>
      <w:bookmarkStart w:id="264" w:name="_Toc116404414"/>
      <w:bookmarkStart w:id="265" w:name="_Toc116404521"/>
      <w:bookmarkStart w:id="266" w:name="_Toc116404628"/>
      <w:bookmarkStart w:id="267" w:name="_Toc116405335"/>
      <w:bookmarkStart w:id="268" w:name="_Toc116405792"/>
      <w:bookmarkStart w:id="269" w:name="_Toc116405892"/>
      <w:bookmarkStart w:id="270" w:name="_Toc116405992"/>
      <w:bookmarkStart w:id="271" w:name="_Toc116406085"/>
      <w:bookmarkStart w:id="272" w:name="_Toc116406177"/>
      <w:bookmarkStart w:id="273" w:name="_Toc116404425"/>
      <w:bookmarkStart w:id="274" w:name="_Toc116404532"/>
      <w:bookmarkStart w:id="275" w:name="_Toc116404639"/>
      <w:bookmarkStart w:id="276" w:name="_Toc116405346"/>
      <w:bookmarkStart w:id="277" w:name="_Toc116405803"/>
      <w:bookmarkStart w:id="278" w:name="_Toc116405903"/>
      <w:bookmarkStart w:id="279" w:name="_Toc116406003"/>
      <w:bookmarkStart w:id="280" w:name="_Toc116406096"/>
      <w:bookmarkStart w:id="281" w:name="_Toc116406188"/>
      <w:bookmarkStart w:id="282" w:name="_Toc116404426"/>
      <w:bookmarkStart w:id="283" w:name="_Toc116404533"/>
      <w:bookmarkStart w:id="284" w:name="_Toc116404640"/>
      <w:bookmarkStart w:id="285" w:name="_Toc116405347"/>
      <w:bookmarkStart w:id="286" w:name="_Toc116405804"/>
      <w:bookmarkStart w:id="287" w:name="_Toc116405904"/>
      <w:bookmarkStart w:id="288" w:name="_Toc116406004"/>
      <w:bookmarkStart w:id="289" w:name="_Toc116406097"/>
      <w:bookmarkStart w:id="290" w:name="_Toc116406189"/>
      <w:bookmarkStart w:id="291" w:name="_Toc116404427"/>
      <w:bookmarkStart w:id="292" w:name="_Toc116404534"/>
      <w:bookmarkStart w:id="293" w:name="_Toc116404641"/>
      <w:bookmarkStart w:id="294" w:name="_Toc116405348"/>
      <w:bookmarkStart w:id="295" w:name="_Toc116405805"/>
      <w:bookmarkStart w:id="296" w:name="_Toc116405905"/>
      <w:bookmarkStart w:id="297" w:name="_Toc116406005"/>
      <w:bookmarkStart w:id="298" w:name="_Toc116406098"/>
      <w:bookmarkStart w:id="299" w:name="_Toc116406190"/>
      <w:bookmarkStart w:id="300" w:name="_Toc116404428"/>
      <w:bookmarkStart w:id="301" w:name="_Toc116404535"/>
      <w:bookmarkStart w:id="302" w:name="_Toc116404642"/>
      <w:bookmarkStart w:id="303" w:name="_Toc116405349"/>
      <w:bookmarkStart w:id="304" w:name="_Toc116405806"/>
      <w:bookmarkStart w:id="305" w:name="_Toc116405906"/>
      <w:bookmarkStart w:id="306" w:name="_Toc116406006"/>
      <w:bookmarkStart w:id="307" w:name="_Toc116406099"/>
      <w:bookmarkStart w:id="308" w:name="_Toc116406191"/>
      <w:bookmarkStart w:id="309" w:name="_Toc116404429"/>
      <w:bookmarkStart w:id="310" w:name="_Toc116404536"/>
      <w:bookmarkStart w:id="311" w:name="_Toc116404643"/>
      <w:bookmarkStart w:id="312" w:name="_Toc116405350"/>
      <w:bookmarkStart w:id="313" w:name="_Toc116405807"/>
      <w:bookmarkStart w:id="314" w:name="_Toc116405907"/>
      <w:bookmarkStart w:id="315" w:name="_Toc116406007"/>
      <w:bookmarkStart w:id="316" w:name="_Toc116406100"/>
      <w:bookmarkStart w:id="317" w:name="_Toc116406192"/>
      <w:bookmarkStart w:id="318" w:name="_Toc116404430"/>
      <w:bookmarkStart w:id="319" w:name="_Toc116404537"/>
      <w:bookmarkStart w:id="320" w:name="_Toc116404644"/>
      <w:bookmarkStart w:id="321" w:name="_Toc116405351"/>
      <w:bookmarkStart w:id="322" w:name="_Toc116405808"/>
      <w:bookmarkStart w:id="323" w:name="_Toc116405908"/>
      <w:bookmarkStart w:id="324" w:name="_Toc116406008"/>
      <w:bookmarkStart w:id="325" w:name="_Toc116406101"/>
      <w:bookmarkStart w:id="326" w:name="_Toc116406193"/>
      <w:bookmarkStart w:id="327" w:name="_Toc116404431"/>
      <w:bookmarkStart w:id="328" w:name="_Toc116404538"/>
      <w:bookmarkStart w:id="329" w:name="_Toc116404645"/>
      <w:bookmarkStart w:id="330" w:name="_Toc116405352"/>
      <w:bookmarkStart w:id="331" w:name="_Toc116405809"/>
      <w:bookmarkStart w:id="332" w:name="_Toc116405909"/>
      <w:bookmarkStart w:id="333" w:name="_Toc116406009"/>
      <w:bookmarkStart w:id="334" w:name="_Toc116406102"/>
      <w:bookmarkStart w:id="335" w:name="_Toc116406194"/>
      <w:bookmarkStart w:id="336" w:name="_Toc116404432"/>
      <w:bookmarkStart w:id="337" w:name="_Toc116404539"/>
      <w:bookmarkStart w:id="338" w:name="_Toc116404646"/>
      <w:bookmarkStart w:id="339" w:name="_Toc116405353"/>
      <w:bookmarkStart w:id="340" w:name="_Toc116405810"/>
      <w:bookmarkStart w:id="341" w:name="_Toc116405910"/>
      <w:bookmarkStart w:id="342" w:name="_Toc116406010"/>
      <w:bookmarkStart w:id="343" w:name="_Toc116406103"/>
      <w:bookmarkStart w:id="344" w:name="_Toc116406195"/>
      <w:bookmarkStart w:id="345" w:name="_Toc116404433"/>
      <w:bookmarkStart w:id="346" w:name="_Toc116404540"/>
      <w:bookmarkStart w:id="347" w:name="_Toc116404647"/>
      <w:bookmarkStart w:id="348" w:name="_Toc116405354"/>
      <w:bookmarkStart w:id="349" w:name="_Toc116405811"/>
      <w:bookmarkStart w:id="350" w:name="_Toc116405911"/>
      <w:bookmarkStart w:id="351" w:name="_Toc116406011"/>
      <w:bookmarkStart w:id="352" w:name="_Toc116406104"/>
      <w:bookmarkStart w:id="353" w:name="_Toc116406196"/>
      <w:bookmarkStart w:id="354" w:name="_Toc116404434"/>
      <w:bookmarkStart w:id="355" w:name="_Toc116404541"/>
      <w:bookmarkStart w:id="356" w:name="_Toc116404648"/>
      <w:bookmarkStart w:id="357" w:name="_Toc116405355"/>
      <w:bookmarkStart w:id="358" w:name="_Toc116405812"/>
      <w:bookmarkStart w:id="359" w:name="_Toc116405912"/>
      <w:bookmarkStart w:id="360" w:name="_Toc116406012"/>
      <w:bookmarkStart w:id="361" w:name="_Toc116406105"/>
      <w:bookmarkStart w:id="362" w:name="_Toc116406197"/>
      <w:bookmarkStart w:id="363" w:name="_Toc116404435"/>
      <w:bookmarkStart w:id="364" w:name="_Toc116404542"/>
      <w:bookmarkStart w:id="365" w:name="_Toc116404649"/>
      <w:bookmarkStart w:id="366" w:name="_Toc116405356"/>
      <w:bookmarkStart w:id="367" w:name="_Toc116405813"/>
      <w:bookmarkStart w:id="368" w:name="_Toc116405913"/>
      <w:bookmarkStart w:id="369" w:name="_Toc116406013"/>
      <w:bookmarkStart w:id="370" w:name="_Toc116406106"/>
      <w:bookmarkStart w:id="371" w:name="_Toc116406198"/>
      <w:bookmarkStart w:id="372" w:name="_Toc116404436"/>
      <w:bookmarkStart w:id="373" w:name="_Toc116404543"/>
      <w:bookmarkStart w:id="374" w:name="_Toc116404650"/>
      <w:bookmarkStart w:id="375" w:name="_Toc116405357"/>
      <w:bookmarkStart w:id="376" w:name="_Toc116405814"/>
      <w:bookmarkStart w:id="377" w:name="_Toc116405914"/>
      <w:bookmarkStart w:id="378" w:name="_Toc116406014"/>
      <w:bookmarkStart w:id="379" w:name="_Toc116406107"/>
      <w:bookmarkStart w:id="380" w:name="_Toc116406199"/>
      <w:bookmarkStart w:id="381" w:name="_Toc116404437"/>
      <w:bookmarkStart w:id="382" w:name="_Toc116404544"/>
      <w:bookmarkStart w:id="383" w:name="_Toc116404651"/>
      <w:bookmarkStart w:id="384" w:name="_Toc116405358"/>
      <w:bookmarkStart w:id="385" w:name="_Toc116405815"/>
      <w:bookmarkStart w:id="386" w:name="_Toc116405915"/>
      <w:bookmarkStart w:id="387" w:name="_Toc116406015"/>
      <w:bookmarkStart w:id="388" w:name="_Toc116406108"/>
      <w:bookmarkStart w:id="389" w:name="_Toc116406200"/>
      <w:bookmarkStart w:id="390" w:name="_Toc122032855"/>
      <w:bookmarkStart w:id="391" w:name="_Toc124162182"/>
      <w:bookmarkStart w:id="392" w:name="_Toc124163979"/>
      <w:bookmarkStart w:id="393" w:name="_Toc122032857"/>
      <w:bookmarkStart w:id="394" w:name="_Toc124162184"/>
      <w:bookmarkStart w:id="395" w:name="_Toc124163981"/>
      <w:bookmarkStart w:id="396" w:name="_Toc116404442"/>
      <w:bookmarkStart w:id="397" w:name="_Toc116404549"/>
      <w:bookmarkStart w:id="398" w:name="_Toc116404656"/>
      <w:bookmarkStart w:id="399" w:name="_Toc116405363"/>
      <w:bookmarkStart w:id="400" w:name="_Toc116405820"/>
      <w:bookmarkStart w:id="401" w:name="_Toc116405920"/>
      <w:bookmarkStart w:id="402" w:name="_Toc116406020"/>
      <w:bookmarkStart w:id="403" w:name="_Toc116406113"/>
      <w:bookmarkStart w:id="404" w:name="_Toc116406205"/>
      <w:bookmarkStart w:id="405" w:name="_Toc15976356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921698">
        <w:lastRenderedPageBreak/>
        <w:t xml:space="preserve">Annex </w:t>
      </w:r>
      <w:r w:rsidR="00AB4AE5">
        <w:t>1</w:t>
      </w:r>
      <w:r w:rsidR="00AE2488">
        <w:t>:</w:t>
      </w:r>
      <w:r w:rsidR="00AB4AE5" w:rsidRPr="00AB4AE5">
        <w:rPr>
          <w:shd w:val="clear" w:color="auto" w:fill="FFFFFF"/>
        </w:rPr>
        <w:t xml:space="preserve"> </w:t>
      </w:r>
      <w:r w:rsidR="00AB4AE5">
        <w:rPr>
          <w:shd w:val="clear" w:color="auto" w:fill="FFFFFF"/>
        </w:rPr>
        <w:t>Progress of 2016 SCD development priorities</w:t>
      </w:r>
      <w:bookmarkEnd w:id="405"/>
    </w:p>
    <w:p w14:paraId="781471B5" w14:textId="5F1F8171" w:rsidR="008450DD" w:rsidRPr="009E3D75" w:rsidRDefault="008450DD" w:rsidP="008450DD">
      <w:pPr>
        <w:pStyle w:val="Default"/>
        <w:spacing w:before="240" w:after="240"/>
        <w:jc w:val="both"/>
        <w:rPr>
          <w:rFonts w:asciiTheme="majorHAnsi" w:hAnsiTheme="majorHAnsi" w:cstheme="majorHAnsi"/>
          <w:sz w:val="22"/>
          <w:szCs w:val="22"/>
        </w:rPr>
      </w:pPr>
      <w:bookmarkStart w:id="406" w:name="_Annex_1:_Key"/>
      <w:bookmarkEnd w:id="406"/>
      <w:r w:rsidRPr="009E3D75">
        <w:rPr>
          <w:rFonts w:asciiTheme="majorHAnsi" w:hAnsiTheme="majorHAnsi" w:cstheme="majorHAnsi"/>
          <w:b/>
          <w:color w:val="202122"/>
          <w:sz w:val="22"/>
          <w:szCs w:val="22"/>
          <w:shd w:val="clear" w:color="auto" w:fill="FFFFFF"/>
        </w:rPr>
        <w:t>The</w:t>
      </w:r>
      <w:r w:rsidRPr="009E3D75">
        <w:rPr>
          <w:rFonts w:asciiTheme="majorHAnsi" w:hAnsiTheme="majorHAnsi" w:cstheme="majorHAnsi"/>
          <w:b/>
          <w:sz w:val="22"/>
          <w:szCs w:val="22"/>
        </w:rPr>
        <w:t xml:space="preserve"> previous SCD</w:t>
      </w:r>
      <w:r w:rsidR="001417F8">
        <w:rPr>
          <w:rFonts w:asciiTheme="majorHAnsi" w:hAnsiTheme="majorHAnsi" w:cstheme="majorHAnsi"/>
          <w:b/>
          <w:sz w:val="22"/>
          <w:szCs w:val="22"/>
        </w:rPr>
        <w:t>,</w:t>
      </w:r>
      <w:r w:rsidRPr="009E3D75">
        <w:rPr>
          <w:rFonts w:asciiTheme="majorHAnsi" w:hAnsiTheme="majorHAnsi" w:cstheme="majorHAnsi"/>
          <w:b/>
          <w:sz w:val="22"/>
          <w:szCs w:val="22"/>
        </w:rPr>
        <w:t xml:space="preserve"> Getting Back on Track: Reviving Growth and Securing Prosperity for All was published in November 2016. </w:t>
      </w:r>
      <w:r w:rsidRPr="009E3D75" w:rsidDel="0049797C">
        <w:rPr>
          <w:rFonts w:asciiTheme="majorHAnsi" w:hAnsiTheme="majorHAnsi" w:cstheme="majorHAnsi"/>
          <w:sz w:val="22"/>
          <w:szCs w:val="22"/>
        </w:rPr>
        <w:t>Its</w:t>
      </w:r>
      <w:r w:rsidRPr="009E3D75">
        <w:rPr>
          <w:rFonts w:asciiTheme="majorHAnsi" w:hAnsiTheme="majorHAnsi" w:cstheme="majorHAnsi"/>
          <w:sz w:val="22"/>
          <w:szCs w:val="22"/>
        </w:rPr>
        <w:t xml:space="preserve"> main finding, that Thailand is a country of vast potential but with slowing growth amid rapid aging and weakening competitiveness</w:t>
      </w:r>
      <w:r w:rsidRPr="009E3D75" w:rsidDel="0049797C">
        <w:rPr>
          <w:rFonts w:asciiTheme="majorHAnsi" w:hAnsiTheme="majorHAnsi" w:cstheme="majorHAnsi"/>
          <w:sz w:val="22"/>
          <w:szCs w:val="22"/>
        </w:rPr>
        <w:t xml:space="preserve"> is still relevant.</w:t>
      </w:r>
      <w:r w:rsidRPr="009E3D75">
        <w:rPr>
          <w:rFonts w:asciiTheme="majorHAnsi" w:hAnsiTheme="majorHAnsi" w:cstheme="majorHAnsi"/>
          <w:sz w:val="22"/>
          <w:szCs w:val="22"/>
        </w:rPr>
        <w:t xml:space="preserve"> The 2016 SCD had identified key challenges and opportunities facing Thailand toward achieving the twin goals of ending extreme poverty and promoting shared prosperity in a sustainable manner. Based on the robust analytical work, literature review, and feedback from extensive consultations, the WBG identified ten </w:t>
      </w:r>
      <w:r w:rsidR="001417F8">
        <w:rPr>
          <w:rFonts w:asciiTheme="majorHAnsi" w:hAnsiTheme="majorHAnsi" w:cstheme="majorHAnsi"/>
          <w:sz w:val="22"/>
          <w:szCs w:val="22"/>
        </w:rPr>
        <w:t>‘</w:t>
      </w:r>
      <w:r w:rsidRPr="009E3D75">
        <w:rPr>
          <w:rFonts w:asciiTheme="majorHAnsi" w:hAnsiTheme="majorHAnsi" w:cstheme="majorHAnsi"/>
          <w:sz w:val="22"/>
          <w:szCs w:val="22"/>
        </w:rPr>
        <w:t>development priorities</w:t>
      </w:r>
      <w:r w:rsidR="001417F8">
        <w:rPr>
          <w:rFonts w:asciiTheme="majorHAnsi" w:hAnsiTheme="majorHAnsi" w:cstheme="majorHAnsi"/>
          <w:sz w:val="22"/>
          <w:szCs w:val="22"/>
        </w:rPr>
        <w:t>’</w:t>
      </w:r>
      <w:r w:rsidRPr="009E3D75">
        <w:rPr>
          <w:rFonts w:asciiTheme="majorHAnsi" w:hAnsiTheme="majorHAnsi" w:cstheme="majorHAnsi"/>
          <w:sz w:val="22"/>
          <w:szCs w:val="22"/>
        </w:rPr>
        <w:t xml:space="preserve"> for ensuring strong, shared, and sustainable growth in Thailand. Nine priorities were grouped into three </w:t>
      </w:r>
      <w:r w:rsidR="001417F8">
        <w:rPr>
          <w:rFonts w:asciiTheme="majorHAnsi" w:hAnsiTheme="majorHAnsi" w:cstheme="majorHAnsi"/>
          <w:sz w:val="22"/>
          <w:szCs w:val="22"/>
        </w:rPr>
        <w:t>‘</w:t>
      </w:r>
      <w:r w:rsidRPr="009E3D75">
        <w:rPr>
          <w:rFonts w:asciiTheme="majorHAnsi" w:hAnsiTheme="majorHAnsi" w:cstheme="majorHAnsi"/>
          <w:sz w:val="22"/>
          <w:szCs w:val="22"/>
        </w:rPr>
        <w:t>pathways</w:t>
      </w:r>
      <w:r w:rsidR="001417F8">
        <w:rPr>
          <w:rFonts w:asciiTheme="majorHAnsi" w:hAnsiTheme="majorHAnsi" w:cstheme="majorHAnsi"/>
          <w:sz w:val="22"/>
          <w:szCs w:val="22"/>
        </w:rPr>
        <w:t>’</w:t>
      </w:r>
      <w:r w:rsidRPr="009E3D75">
        <w:rPr>
          <w:rFonts w:asciiTheme="majorHAnsi" w:hAnsiTheme="majorHAnsi" w:cstheme="majorHAnsi"/>
          <w:sz w:val="22"/>
          <w:szCs w:val="22"/>
        </w:rPr>
        <w:t xml:space="preserve">, while one was identified as a cross-cutting theme </w:t>
      </w:r>
      <w:r w:rsidRPr="001417F8">
        <w:rPr>
          <w:rFonts w:asciiTheme="majorHAnsi" w:hAnsiTheme="majorHAnsi" w:cstheme="majorHAnsi"/>
          <w:sz w:val="22"/>
          <w:szCs w:val="22"/>
        </w:rPr>
        <w:t>(</w:t>
      </w:r>
      <w:r w:rsidR="00416CB6" w:rsidRPr="001417F8">
        <w:rPr>
          <w:rFonts w:asciiTheme="majorHAnsi" w:hAnsiTheme="majorHAnsi" w:cstheme="majorHAnsi"/>
          <w:sz w:val="22"/>
          <w:szCs w:val="22"/>
        </w:rPr>
        <w:fldChar w:fldCharType="begin"/>
      </w:r>
      <w:r w:rsidR="00416CB6" w:rsidRPr="001417F8">
        <w:rPr>
          <w:rFonts w:asciiTheme="majorHAnsi" w:hAnsiTheme="majorHAnsi" w:cstheme="majorHAnsi"/>
          <w:sz w:val="22"/>
          <w:szCs w:val="22"/>
        </w:rPr>
        <w:instrText xml:space="preserve"> REF _Ref149771813 </w:instrText>
      </w:r>
      <w:r w:rsidR="00DC50E5" w:rsidRPr="001417F8">
        <w:rPr>
          <w:rFonts w:asciiTheme="majorHAnsi" w:hAnsiTheme="majorHAnsi" w:cstheme="majorHAnsi"/>
          <w:sz w:val="22"/>
          <w:szCs w:val="22"/>
        </w:rPr>
        <w:instrText xml:space="preserve"> \* MERGEFORMAT </w:instrText>
      </w:r>
      <w:r w:rsidR="00416CB6" w:rsidRPr="001417F8">
        <w:rPr>
          <w:rFonts w:asciiTheme="majorHAnsi" w:hAnsiTheme="majorHAnsi" w:cstheme="majorHAnsi"/>
          <w:sz w:val="22"/>
          <w:szCs w:val="22"/>
        </w:rPr>
        <w:fldChar w:fldCharType="separate"/>
      </w:r>
      <w:r w:rsidR="00DC50E5" w:rsidRPr="00243225">
        <w:rPr>
          <w:rFonts w:asciiTheme="majorHAnsi" w:hAnsiTheme="majorHAnsi" w:cstheme="majorHAnsi"/>
          <w:sz w:val="22"/>
          <w:szCs w:val="22"/>
        </w:rPr>
        <w:t>Table A.</w:t>
      </w:r>
      <w:r w:rsidR="009B56C0">
        <w:rPr>
          <w:rFonts w:asciiTheme="majorHAnsi" w:hAnsiTheme="majorHAnsi" w:cstheme="majorHAnsi"/>
          <w:sz w:val="22"/>
          <w:szCs w:val="22"/>
        </w:rPr>
        <w:t>1</w:t>
      </w:r>
      <w:r w:rsidR="00DC50E5" w:rsidRPr="00243225">
        <w:rPr>
          <w:rFonts w:asciiTheme="majorHAnsi" w:hAnsiTheme="majorHAnsi" w:cstheme="majorHAnsi"/>
          <w:sz w:val="22"/>
          <w:szCs w:val="22"/>
        </w:rPr>
        <w:t>.1</w:t>
      </w:r>
      <w:r w:rsidR="00416CB6" w:rsidRPr="001417F8">
        <w:rPr>
          <w:rFonts w:asciiTheme="majorHAnsi" w:hAnsiTheme="majorHAnsi" w:cstheme="majorHAnsi"/>
          <w:sz w:val="22"/>
          <w:szCs w:val="22"/>
        </w:rPr>
        <w:fldChar w:fldCharType="end"/>
      </w:r>
      <w:r w:rsidR="000B4B76">
        <w:rPr>
          <w:rFonts w:asciiTheme="majorHAnsi" w:hAnsiTheme="majorHAnsi" w:cstheme="majorHAnsi"/>
          <w:sz w:val="22"/>
          <w:szCs w:val="22"/>
        </w:rPr>
        <w:t xml:space="preserve"> and</w:t>
      </w:r>
      <w:r w:rsidR="00642556">
        <w:rPr>
          <w:rFonts w:asciiTheme="majorHAnsi" w:hAnsiTheme="majorHAnsi" w:cstheme="majorHAnsi"/>
          <w:sz w:val="22"/>
          <w:szCs w:val="22"/>
        </w:rPr>
        <w:t xml:space="preserve"> Table A</w:t>
      </w:r>
      <w:r w:rsidR="00CD58D8">
        <w:rPr>
          <w:rFonts w:asciiTheme="majorHAnsi" w:hAnsiTheme="majorHAnsi" w:cstheme="majorHAnsi"/>
          <w:sz w:val="22"/>
          <w:szCs w:val="22"/>
        </w:rPr>
        <w:t>.</w:t>
      </w:r>
      <w:r w:rsidR="009B56C0">
        <w:rPr>
          <w:rFonts w:asciiTheme="majorHAnsi" w:hAnsiTheme="majorHAnsi" w:cstheme="majorHAnsi"/>
          <w:sz w:val="22"/>
          <w:szCs w:val="22"/>
        </w:rPr>
        <w:t>1</w:t>
      </w:r>
      <w:r w:rsidR="00CD58D8">
        <w:rPr>
          <w:rFonts w:asciiTheme="majorHAnsi" w:hAnsiTheme="majorHAnsi" w:cstheme="majorHAnsi"/>
          <w:sz w:val="22"/>
          <w:szCs w:val="22"/>
        </w:rPr>
        <w:t>.</w:t>
      </w:r>
      <w:r w:rsidR="009B56C0">
        <w:rPr>
          <w:rFonts w:asciiTheme="majorHAnsi" w:hAnsiTheme="majorHAnsi" w:cstheme="majorHAnsi"/>
          <w:sz w:val="22"/>
          <w:szCs w:val="22"/>
        </w:rPr>
        <w:t>2</w:t>
      </w:r>
      <w:r w:rsidRPr="001417F8">
        <w:rPr>
          <w:rFonts w:asciiTheme="majorHAnsi" w:hAnsiTheme="majorHAnsi" w:cstheme="majorHAnsi"/>
          <w:sz w:val="22"/>
          <w:szCs w:val="22"/>
        </w:rPr>
        <w:t>).</w:t>
      </w:r>
      <w:r w:rsidRPr="009E3D75">
        <w:rPr>
          <w:rFonts w:asciiTheme="majorHAnsi" w:hAnsiTheme="majorHAnsi" w:cstheme="majorHAnsi"/>
          <w:sz w:val="22"/>
          <w:szCs w:val="22"/>
        </w:rPr>
        <w:t xml:space="preserve"> Four of these priorities were singled out for their likely high impact on improving the lives of the bottom 40 percent. All identified priorities were considered essential for addressing Thailand’s most pressing challenges and making the most of its opportunities, while mitigating some of the identified risks that could undermine future progress. </w:t>
      </w:r>
    </w:p>
    <w:p w14:paraId="435B120F" w14:textId="0147E574" w:rsidR="008450DD" w:rsidRPr="0019548E" w:rsidRDefault="008450DD" w:rsidP="0002737D">
      <w:pPr>
        <w:pStyle w:val="Table"/>
      </w:pPr>
      <w:bookmarkStart w:id="407" w:name="_Ref149771813"/>
      <w:bookmarkStart w:id="408" w:name="_Ref149771808"/>
      <w:r w:rsidRPr="0019548E">
        <w:t xml:space="preserve">Table </w:t>
      </w:r>
      <w:r>
        <w:t>A.</w:t>
      </w:r>
      <w:r w:rsidR="009B56C0">
        <w:t>1</w:t>
      </w:r>
      <w:r w:rsidR="00416CB6" w:rsidRPr="00416CB6">
        <w:t>.</w:t>
      </w:r>
      <w:r w:rsidR="00416CB6">
        <w:fldChar w:fldCharType="begin"/>
      </w:r>
      <w:r w:rsidR="00416CB6">
        <w:instrText>SEQ Table_A.2. \* ARABIC</w:instrText>
      </w:r>
      <w:r w:rsidR="00416CB6">
        <w:fldChar w:fldCharType="separate"/>
      </w:r>
      <w:r w:rsidR="00416CB6">
        <w:rPr>
          <w:noProof/>
        </w:rPr>
        <w:t>1</w:t>
      </w:r>
      <w:r w:rsidR="00416CB6">
        <w:fldChar w:fldCharType="end"/>
      </w:r>
      <w:bookmarkEnd w:id="407"/>
      <w:r w:rsidRPr="0019548E">
        <w:t xml:space="preserve"> Priorities from the Thailand 2016 Systematic Country Diagnostic</w:t>
      </w:r>
      <w:bookmarkEnd w:id="408"/>
      <w:r w:rsidRPr="0019548E">
        <w:t xml:space="preserve"> </w:t>
      </w:r>
    </w:p>
    <w:tbl>
      <w:tblPr>
        <w:tblStyle w:val="TableGrid"/>
        <w:tblW w:w="9355" w:type="dxa"/>
        <w:tblLayout w:type="fixed"/>
        <w:tblLook w:val="04A0" w:firstRow="1" w:lastRow="0" w:firstColumn="1" w:lastColumn="0" w:noHBand="0" w:noVBand="1"/>
      </w:tblPr>
      <w:tblGrid>
        <w:gridCol w:w="625"/>
        <w:gridCol w:w="1350"/>
        <w:gridCol w:w="236"/>
        <w:gridCol w:w="4264"/>
        <w:gridCol w:w="1350"/>
        <w:gridCol w:w="1530"/>
      </w:tblGrid>
      <w:tr w:rsidR="008450DD" w:rsidRPr="00E74AD8" w14:paraId="0D0DAE85" w14:textId="77777777">
        <w:trPr>
          <w:trHeight w:val="647"/>
        </w:trPr>
        <w:tc>
          <w:tcPr>
            <w:tcW w:w="625" w:type="dxa"/>
            <w:vMerge w:val="restart"/>
            <w:textDirection w:val="btLr"/>
          </w:tcPr>
          <w:p w14:paraId="17D0931B" w14:textId="77777777" w:rsidR="008450DD" w:rsidRPr="003A39CD" w:rsidRDefault="008450DD">
            <w:pPr>
              <w:ind w:left="113" w:right="113"/>
              <w:jc w:val="center"/>
              <w:rPr>
                <w:rFonts w:ascii="Trebuchet MS" w:hAnsi="Trebuchet MS" w:cstheme="majorHAnsi"/>
                <w:sz w:val="18"/>
                <w:szCs w:val="18"/>
              </w:rPr>
            </w:pPr>
            <w:r w:rsidRPr="003A39CD">
              <w:rPr>
                <w:rFonts w:ascii="Trebuchet MS" w:hAnsi="Trebuchet MS" w:cstheme="majorHAnsi"/>
                <w:b/>
                <w:sz w:val="18"/>
                <w:szCs w:val="18"/>
              </w:rPr>
              <w:t xml:space="preserve">10. </w:t>
            </w:r>
            <w:r w:rsidRPr="003A39CD">
              <w:rPr>
                <w:rFonts w:ascii="Trebuchet MS" w:hAnsi="Trebuchet MS" w:cstheme="majorHAnsi"/>
                <w:sz w:val="18"/>
                <w:szCs w:val="18"/>
              </w:rPr>
              <w:t xml:space="preserve">Strengthen the institutional capability of the public sector to implement reform priorities </w:t>
            </w:r>
            <w:r w:rsidRPr="003A39CD">
              <w:rPr>
                <w:rFonts w:ascii="Trebuchet MS" w:hAnsi="Trebuchet MS" w:cstheme="majorHAnsi"/>
                <w:color w:val="FF0000"/>
                <w:sz w:val="18"/>
                <w:szCs w:val="18"/>
              </w:rPr>
              <w:t>(Very high) (Not achieving the hoped results)</w:t>
            </w:r>
          </w:p>
          <w:p w14:paraId="37A83B7D" w14:textId="77777777" w:rsidR="008450DD" w:rsidRPr="003A39CD" w:rsidRDefault="008450DD">
            <w:pPr>
              <w:ind w:left="113" w:right="113"/>
              <w:rPr>
                <w:rFonts w:ascii="Trebuchet MS" w:hAnsi="Trebuchet MS" w:cstheme="majorHAnsi"/>
                <w:sz w:val="18"/>
                <w:szCs w:val="18"/>
              </w:rPr>
            </w:pPr>
          </w:p>
          <w:p w14:paraId="4BFF0B97" w14:textId="77777777" w:rsidR="008450DD" w:rsidRPr="003A39CD" w:rsidRDefault="008450DD">
            <w:pPr>
              <w:ind w:left="113" w:right="113"/>
              <w:rPr>
                <w:rFonts w:ascii="Trebuchet MS" w:hAnsi="Trebuchet MS" w:cstheme="majorHAnsi"/>
                <w:b/>
                <w:sz w:val="18"/>
                <w:szCs w:val="18"/>
              </w:rPr>
            </w:pPr>
          </w:p>
        </w:tc>
        <w:tc>
          <w:tcPr>
            <w:tcW w:w="1350" w:type="dxa"/>
          </w:tcPr>
          <w:p w14:paraId="126C9040" w14:textId="77777777" w:rsidR="008450DD" w:rsidRPr="003A39CD" w:rsidRDefault="008450DD">
            <w:pPr>
              <w:autoSpaceDE w:val="0"/>
              <w:autoSpaceDN w:val="0"/>
              <w:adjustRightInd w:val="0"/>
              <w:jc w:val="center"/>
              <w:rPr>
                <w:rFonts w:ascii="Trebuchet MS" w:hAnsi="Trebuchet MS" w:cstheme="majorHAnsi"/>
                <w:b/>
                <w:sz w:val="18"/>
                <w:szCs w:val="18"/>
              </w:rPr>
            </w:pPr>
          </w:p>
          <w:p w14:paraId="69E6AC68" w14:textId="77777777" w:rsidR="008450DD" w:rsidRPr="003A39CD" w:rsidRDefault="008450DD">
            <w:pPr>
              <w:autoSpaceDE w:val="0"/>
              <w:autoSpaceDN w:val="0"/>
              <w:adjustRightInd w:val="0"/>
              <w:jc w:val="center"/>
              <w:rPr>
                <w:rFonts w:ascii="Trebuchet MS" w:hAnsi="Trebuchet MS" w:cstheme="majorHAnsi"/>
                <w:b/>
                <w:sz w:val="18"/>
                <w:szCs w:val="18"/>
              </w:rPr>
            </w:pPr>
          </w:p>
          <w:p w14:paraId="517104B8" w14:textId="77777777" w:rsidR="008450DD" w:rsidRPr="003A39CD" w:rsidRDefault="008450DD">
            <w:pPr>
              <w:autoSpaceDE w:val="0"/>
              <w:autoSpaceDN w:val="0"/>
              <w:adjustRightInd w:val="0"/>
              <w:jc w:val="center"/>
              <w:rPr>
                <w:rFonts w:ascii="Trebuchet MS" w:hAnsi="Trebuchet MS" w:cstheme="majorHAnsi"/>
                <w:b/>
                <w:sz w:val="18"/>
                <w:szCs w:val="18"/>
              </w:rPr>
            </w:pPr>
            <w:r w:rsidRPr="003A39CD">
              <w:rPr>
                <w:rFonts w:ascii="Trebuchet MS" w:hAnsi="Trebuchet MS" w:cstheme="majorHAnsi"/>
                <w:b/>
                <w:sz w:val="18"/>
                <w:szCs w:val="18"/>
              </w:rPr>
              <w:t>PATHWAY</w:t>
            </w:r>
          </w:p>
        </w:tc>
        <w:tc>
          <w:tcPr>
            <w:tcW w:w="4500" w:type="dxa"/>
            <w:gridSpan w:val="2"/>
          </w:tcPr>
          <w:p w14:paraId="77CEF91B" w14:textId="77777777" w:rsidR="008450DD" w:rsidRPr="003A39CD" w:rsidRDefault="008450DD">
            <w:pPr>
              <w:autoSpaceDE w:val="0"/>
              <w:autoSpaceDN w:val="0"/>
              <w:adjustRightInd w:val="0"/>
              <w:jc w:val="center"/>
              <w:rPr>
                <w:rFonts w:ascii="Trebuchet MS" w:hAnsi="Trebuchet MS" w:cstheme="majorHAnsi"/>
                <w:b/>
                <w:sz w:val="18"/>
                <w:szCs w:val="18"/>
              </w:rPr>
            </w:pPr>
          </w:p>
          <w:p w14:paraId="5A378116" w14:textId="77777777" w:rsidR="008450DD" w:rsidRPr="003A39CD" w:rsidRDefault="008450DD">
            <w:pPr>
              <w:autoSpaceDE w:val="0"/>
              <w:autoSpaceDN w:val="0"/>
              <w:adjustRightInd w:val="0"/>
              <w:jc w:val="center"/>
              <w:rPr>
                <w:rFonts w:ascii="Trebuchet MS" w:hAnsi="Trebuchet MS" w:cstheme="majorHAnsi"/>
                <w:b/>
                <w:sz w:val="18"/>
                <w:szCs w:val="18"/>
              </w:rPr>
            </w:pPr>
          </w:p>
          <w:p w14:paraId="1E6001A2" w14:textId="77777777" w:rsidR="008450DD" w:rsidRPr="003A39CD" w:rsidRDefault="008450DD">
            <w:pPr>
              <w:autoSpaceDE w:val="0"/>
              <w:autoSpaceDN w:val="0"/>
              <w:adjustRightInd w:val="0"/>
              <w:jc w:val="center"/>
              <w:rPr>
                <w:rFonts w:ascii="Trebuchet MS" w:hAnsi="Trebuchet MS" w:cstheme="majorHAnsi"/>
                <w:b/>
                <w:sz w:val="18"/>
                <w:szCs w:val="18"/>
              </w:rPr>
            </w:pPr>
            <w:r w:rsidRPr="003A39CD">
              <w:rPr>
                <w:rFonts w:ascii="Trebuchet MS" w:hAnsi="Trebuchet MS" w:cstheme="majorHAnsi"/>
                <w:b/>
                <w:sz w:val="18"/>
                <w:szCs w:val="18"/>
              </w:rPr>
              <w:t>DEVELOPMENT PRIORITY AREAS</w:t>
            </w:r>
          </w:p>
        </w:tc>
        <w:tc>
          <w:tcPr>
            <w:tcW w:w="1350" w:type="dxa"/>
          </w:tcPr>
          <w:p w14:paraId="642B791E" w14:textId="77777777" w:rsidR="008450DD" w:rsidRPr="003A39CD" w:rsidRDefault="008450DD">
            <w:pPr>
              <w:autoSpaceDE w:val="0"/>
              <w:autoSpaceDN w:val="0"/>
              <w:adjustRightInd w:val="0"/>
              <w:jc w:val="center"/>
              <w:rPr>
                <w:rFonts w:ascii="Trebuchet MS" w:hAnsi="Trebuchet MS" w:cstheme="majorHAnsi"/>
                <w:b/>
                <w:sz w:val="18"/>
                <w:szCs w:val="18"/>
              </w:rPr>
            </w:pPr>
            <w:r w:rsidRPr="003A39CD">
              <w:rPr>
                <w:rFonts w:ascii="Trebuchet MS" w:hAnsi="Trebuchet MS" w:cstheme="majorHAnsi"/>
                <w:b/>
                <w:sz w:val="18"/>
                <w:szCs w:val="18"/>
              </w:rPr>
              <w:t>Expected Impact on Poor and B40</w:t>
            </w:r>
          </w:p>
        </w:tc>
        <w:tc>
          <w:tcPr>
            <w:tcW w:w="1530" w:type="dxa"/>
          </w:tcPr>
          <w:p w14:paraId="72D268DC" w14:textId="66A527E4" w:rsidR="008450DD" w:rsidRPr="003A39CD" w:rsidRDefault="008450DD">
            <w:pPr>
              <w:autoSpaceDE w:val="0"/>
              <w:autoSpaceDN w:val="0"/>
              <w:adjustRightInd w:val="0"/>
              <w:jc w:val="center"/>
              <w:rPr>
                <w:rFonts w:ascii="Trebuchet MS" w:hAnsi="Trebuchet MS" w:cstheme="majorHAnsi"/>
                <w:b/>
                <w:sz w:val="18"/>
                <w:szCs w:val="18"/>
              </w:rPr>
            </w:pPr>
            <w:r w:rsidRPr="003A39CD">
              <w:rPr>
                <w:rFonts w:ascii="Trebuchet MS" w:hAnsi="Trebuchet MS" w:cstheme="majorHAnsi"/>
                <w:b/>
                <w:sz w:val="18"/>
                <w:szCs w:val="18"/>
              </w:rPr>
              <w:t xml:space="preserve">Result </w:t>
            </w:r>
          </w:p>
        </w:tc>
      </w:tr>
      <w:tr w:rsidR="008450DD" w:rsidRPr="00E74AD8" w14:paraId="12457D6F" w14:textId="77777777">
        <w:trPr>
          <w:trHeight w:val="530"/>
        </w:trPr>
        <w:tc>
          <w:tcPr>
            <w:tcW w:w="625" w:type="dxa"/>
            <w:vMerge/>
            <w:textDirection w:val="btLr"/>
          </w:tcPr>
          <w:p w14:paraId="60ECDBB0" w14:textId="77777777" w:rsidR="008450DD" w:rsidRPr="003A39CD" w:rsidRDefault="008450DD">
            <w:pPr>
              <w:rPr>
                <w:rFonts w:ascii="Trebuchet MS" w:hAnsi="Trebuchet MS" w:cstheme="majorHAnsi"/>
                <w:b/>
                <w:sz w:val="18"/>
                <w:szCs w:val="18"/>
              </w:rPr>
            </w:pPr>
          </w:p>
        </w:tc>
        <w:tc>
          <w:tcPr>
            <w:tcW w:w="1350" w:type="dxa"/>
            <w:vMerge w:val="restart"/>
            <w:textDirection w:val="btLr"/>
          </w:tcPr>
          <w:p w14:paraId="79B4D1B1" w14:textId="77777777" w:rsidR="008450DD" w:rsidRPr="003A39CD" w:rsidRDefault="008450DD">
            <w:pPr>
              <w:ind w:left="113" w:right="113"/>
              <w:jc w:val="center"/>
              <w:rPr>
                <w:rFonts w:ascii="Trebuchet MS" w:hAnsi="Trebuchet MS" w:cstheme="majorHAnsi"/>
                <w:sz w:val="18"/>
                <w:szCs w:val="18"/>
              </w:rPr>
            </w:pPr>
            <w:r w:rsidRPr="003A39CD">
              <w:rPr>
                <w:rFonts w:ascii="Trebuchet MS" w:hAnsi="Trebuchet MS" w:cstheme="majorHAnsi"/>
                <w:b/>
                <w:sz w:val="18"/>
                <w:szCs w:val="18"/>
              </w:rPr>
              <w:t xml:space="preserve">Pathway 1: </w:t>
            </w:r>
            <w:r w:rsidRPr="003A39CD">
              <w:rPr>
                <w:rFonts w:ascii="Trebuchet MS" w:hAnsi="Trebuchet MS" w:cstheme="majorHAnsi"/>
                <w:sz w:val="18"/>
                <w:szCs w:val="18"/>
              </w:rPr>
              <w:t xml:space="preserve">Creating more and better </w:t>
            </w:r>
            <w:proofErr w:type="gramStart"/>
            <w:r w:rsidRPr="003A39CD">
              <w:rPr>
                <w:rFonts w:ascii="Trebuchet MS" w:hAnsi="Trebuchet MS" w:cstheme="majorHAnsi"/>
                <w:sz w:val="18"/>
                <w:szCs w:val="18"/>
              </w:rPr>
              <w:t>jobs</w:t>
            </w:r>
            <w:proofErr w:type="gramEnd"/>
          </w:p>
          <w:p w14:paraId="28DD5C94" w14:textId="77777777" w:rsidR="008450DD" w:rsidRPr="003A39CD" w:rsidRDefault="008450DD">
            <w:pPr>
              <w:ind w:left="113" w:right="113"/>
              <w:jc w:val="center"/>
              <w:rPr>
                <w:rFonts w:ascii="Trebuchet MS" w:hAnsi="Trebuchet MS" w:cstheme="majorHAnsi"/>
                <w:sz w:val="18"/>
                <w:szCs w:val="18"/>
              </w:rPr>
            </w:pPr>
          </w:p>
        </w:tc>
        <w:tc>
          <w:tcPr>
            <w:tcW w:w="236" w:type="dxa"/>
          </w:tcPr>
          <w:p w14:paraId="4F35552F" w14:textId="77777777" w:rsidR="008450DD" w:rsidRPr="003A39CD" w:rsidRDefault="008450DD">
            <w:pPr>
              <w:rPr>
                <w:rFonts w:ascii="Trebuchet MS" w:hAnsi="Trebuchet MS" w:cstheme="majorHAnsi"/>
                <w:sz w:val="18"/>
                <w:szCs w:val="18"/>
              </w:rPr>
            </w:pPr>
            <w:r w:rsidRPr="003A39CD">
              <w:rPr>
                <w:rFonts w:ascii="Trebuchet MS" w:hAnsi="Trebuchet MS" w:cstheme="majorHAnsi"/>
                <w:sz w:val="18"/>
                <w:szCs w:val="18"/>
              </w:rPr>
              <w:t>1</w:t>
            </w:r>
          </w:p>
        </w:tc>
        <w:tc>
          <w:tcPr>
            <w:tcW w:w="4264" w:type="dxa"/>
          </w:tcPr>
          <w:p w14:paraId="4C11C77C"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Boosting investment in infrastructure</w:t>
            </w:r>
          </w:p>
        </w:tc>
        <w:tc>
          <w:tcPr>
            <w:tcW w:w="1350" w:type="dxa"/>
          </w:tcPr>
          <w:p w14:paraId="611ED0F6" w14:textId="77777777" w:rsidR="008450DD" w:rsidRPr="003A39CD" w:rsidRDefault="008450DD">
            <w:pPr>
              <w:autoSpaceDE w:val="0"/>
              <w:autoSpaceDN w:val="0"/>
              <w:adjustRightInd w:val="0"/>
              <w:ind w:left="-74"/>
              <w:jc w:val="center"/>
              <w:rPr>
                <w:rFonts w:ascii="Trebuchet MS" w:hAnsi="Trebuchet MS" w:cstheme="majorHAnsi"/>
                <w:color w:val="FF0000"/>
                <w:sz w:val="18"/>
                <w:szCs w:val="18"/>
              </w:rPr>
            </w:pPr>
            <w:r w:rsidRPr="003A39CD">
              <w:rPr>
                <w:rFonts w:ascii="Trebuchet MS" w:hAnsi="Trebuchet MS" w:cstheme="majorHAnsi"/>
                <w:color w:val="FF0000"/>
                <w:sz w:val="18"/>
                <w:szCs w:val="18"/>
              </w:rPr>
              <w:t>Very High</w:t>
            </w:r>
          </w:p>
        </w:tc>
        <w:tc>
          <w:tcPr>
            <w:tcW w:w="1530" w:type="dxa"/>
          </w:tcPr>
          <w:p w14:paraId="7643634D" w14:textId="77777777" w:rsidR="008450DD" w:rsidRPr="003A39CD" w:rsidRDefault="008450DD">
            <w:pPr>
              <w:autoSpaceDE w:val="0"/>
              <w:autoSpaceDN w:val="0"/>
              <w:adjustRightInd w:val="0"/>
              <w:jc w:val="center"/>
              <w:rPr>
                <w:rFonts w:ascii="Trebuchet MS" w:hAnsi="Trebuchet MS" w:cstheme="majorHAnsi"/>
                <w:color w:val="FF0000"/>
                <w:sz w:val="18"/>
                <w:szCs w:val="18"/>
              </w:rPr>
            </w:pPr>
            <w:r w:rsidRPr="003A39CD">
              <w:rPr>
                <w:rFonts w:ascii="Trebuchet MS" w:hAnsi="Trebuchet MS" w:cstheme="majorHAnsi"/>
                <w:color w:val="98C1D9" w:themeColor="accent2"/>
                <w:sz w:val="18"/>
                <w:szCs w:val="18"/>
              </w:rPr>
              <w:t>Mixed success</w:t>
            </w:r>
          </w:p>
        </w:tc>
      </w:tr>
      <w:tr w:rsidR="008450DD" w:rsidRPr="00E74AD8" w14:paraId="6A05A318" w14:textId="77777777">
        <w:trPr>
          <w:trHeight w:val="701"/>
        </w:trPr>
        <w:tc>
          <w:tcPr>
            <w:tcW w:w="625" w:type="dxa"/>
            <w:vMerge/>
          </w:tcPr>
          <w:p w14:paraId="0EE9B390" w14:textId="77777777" w:rsidR="008450DD" w:rsidRPr="003A39CD" w:rsidRDefault="008450DD">
            <w:pPr>
              <w:rPr>
                <w:rFonts w:ascii="Trebuchet MS" w:hAnsi="Trebuchet MS" w:cstheme="majorHAnsi"/>
                <w:sz w:val="18"/>
                <w:szCs w:val="18"/>
              </w:rPr>
            </w:pPr>
          </w:p>
        </w:tc>
        <w:tc>
          <w:tcPr>
            <w:tcW w:w="1350" w:type="dxa"/>
            <w:vMerge/>
          </w:tcPr>
          <w:p w14:paraId="369A638B" w14:textId="77777777" w:rsidR="008450DD" w:rsidRPr="003A39CD" w:rsidRDefault="008450DD">
            <w:pPr>
              <w:jc w:val="center"/>
              <w:rPr>
                <w:rFonts w:ascii="Trebuchet MS" w:hAnsi="Trebuchet MS" w:cstheme="majorHAnsi"/>
                <w:sz w:val="18"/>
                <w:szCs w:val="18"/>
              </w:rPr>
            </w:pPr>
          </w:p>
        </w:tc>
        <w:tc>
          <w:tcPr>
            <w:tcW w:w="236" w:type="dxa"/>
          </w:tcPr>
          <w:p w14:paraId="5BE9A93B" w14:textId="77777777" w:rsidR="008450DD" w:rsidRPr="003A39CD" w:rsidRDefault="008450DD">
            <w:pPr>
              <w:rPr>
                <w:rFonts w:ascii="Trebuchet MS" w:hAnsi="Trebuchet MS" w:cstheme="majorHAnsi"/>
                <w:sz w:val="18"/>
                <w:szCs w:val="18"/>
              </w:rPr>
            </w:pPr>
            <w:r w:rsidRPr="003A39CD">
              <w:rPr>
                <w:rFonts w:ascii="Trebuchet MS" w:hAnsi="Trebuchet MS" w:cstheme="majorHAnsi"/>
                <w:sz w:val="18"/>
                <w:szCs w:val="18"/>
              </w:rPr>
              <w:t>2</w:t>
            </w:r>
          </w:p>
        </w:tc>
        <w:tc>
          <w:tcPr>
            <w:tcW w:w="4264" w:type="dxa"/>
          </w:tcPr>
          <w:p w14:paraId="2E0E1F31"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Increasing competition through free trade agreements and deregulation</w:t>
            </w:r>
          </w:p>
        </w:tc>
        <w:tc>
          <w:tcPr>
            <w:tcW w:w="1350" w:type="dxa"/>
          </w:tcPr>
          <w:p w14:paraId="6ECF5DB6" w14:textId="77777777" w:rsidR="008450DD" w:rsidRPr="003A39CD" w:rsidRDefault="008450DD">
            <w:pPr>
              <w:autoSpaceDE w:val="0"/>
              <w:autoSpaceDN w:val="0"/>
              <w:adjustRightInd w:val="0"/>
              <w:ind w:left="-164"/>
              <w:jc w:val="center"/>
              <w:rPr>
                <w:rFonts w:ascii="Trebuchet MS" w:hAnsi="Trebuchet MS" w:cstheme="majorHAnsi"/>
                <w:color w:val="FF0000"/>
                <w:sz w:val="18"/>
                <w:szCs w:val="18"/>
              </w:rPr>
            </w:pPr>
            <w:r w:rsidRPr="003A39CD">
              <w:rPr>
                <w:rFonts w:ascii="Trebuchet MS" w:hAnsi="Trebuchet MS" w:cstheme="majorHAnsi"/>
                <w:color w:val="FF0000"/>
                <w:sz w:val="18"/>
                <w:szCs w:val="18"/>
              </w:rPr>
              <w:t>Very High</w:t>
            </w:r>
          </w:p>
        </w:tc>
        <w:tc>
          <w:tcPr>
            <w:tcW w:w="1530" w:type="dxa"/>
          </w:tcPr>
          <w:p w14:paraId="244AF0D3" w14:textId="77777777" w:rsidR="008450DD" w:rsidRPr="003A39CD" w:rsidRDefault="008450DD">
            <w:pPr>
              <w:autoSpaceDE w:val="0"/>
              <w:autoSpaceDN w:val="0"/>
              <w:adjustRightInd w:val="0"/>
              <w:jc w:val="center"/>
              <w:rPr>
                <w:rFonts w:ascii="Trebuchet MS" w:hAnsi="Trebuchet MS" w:cstheme="majorHAnsi"/>
                <w:color w:val="98C1D9" w:themeColor="accent2"/>
                <w:sz w:val="18"/>
                <w:szCs w:val="18"/>
              </w:rPr>
            </w:pPr>
            <w:r w:rsidRPr="003A39CD">
              <w:rPr>
                <w:rFonts w:ascii="Trebuchet MS" w:hAnsi="Trebuchet MS" w:cstheme="majorHAnsi"/>
                <w:color w:val="98C1D9" w:themeColor="accent2"/>
                <w:sz w:val="18"/>
                <w:szCs w:val="18"/>
              </w:rPr>
              <w:t>Mixed success</w:t>
            </w:r>
          </w:p>
        </w:tc>
      </w:tr>
      <w:tr w:rsidR="008450DD" w:rsidRPr="00E74AD8" w14:paraId="229E16A6" w14:textId="77777777">
        <w:trPr>
          <w:trHeight w:val="629"/>
        </w:trPr>
        <w:tc>
          <w:tcPr>
            <w:tcW w:w="625" w:type="dxa"/>
            <w:vMerge/>
          </w:tcPr>
          <w:p w14:paraId="754EC4C1" w14:textId="77777777" w:rsidR="008450DD" w:rsidRPr="003A39CD" w:rsidRDefault="008450DD">
            <w:pPr>
              <w:rPr>
                <w:rFonts w:ascii="Trebuchet MS" w:hAnsi="Trebuchet MS" w:cstheme="majorHAnsi"/>
                <w:sz w:val="18"/>
                <w:szCs w:val="18"/>
              </w:rPr>
            </w:pPr>
          </w:p>
        </w:tc>
        <w:tc>
          <w:tcPr>
            <w:tcW w:w="1350" w:type="dxa"/>
            <w:vMerge/>
          </w:tcPr>
          <w:p w14:paraId="69DF15AC" w14:textId="77777777" w:rsidR="008450DD" w:rsidRPr="003A39CD" w:rsidRDefault="008450DD">
            <w:pPr>
              <w:jc w:val="center"/>
              <w:rPr>
                <w:rFonts w:ascii="Trebuchet MS" w:hAnsi="Trebuchet MS" w:cstheme="majorHAnsi"/>
                <w:sz w:val="18"/>
                <w:szCs w:val="18"/>
              </w:rPr>
            </w:pPr>
          </w:p>
        </w:tc>
        <w:tc>
          <w:tcPr>
            <w:tcW w:w="236" w:type="dxa"/>
          </w:tcPr>
          <w:p w14:paraId="2E4F678A" w14:textId="77777777" w:rsidR="008450DD" w:rsidRPr="003A39CD" w:rsidRDefault="008450DD">
            <w:pPr>
              <w:rPr>
                <w:rFonts w:ascii="Trebuchet MS" w:hAnsi="Trebuchet MS" w:cstheme="majorHAnsi"/>
                <w:sz w:val="18"/>
                <w:szCs w:val="18"/>
              </w:rPr>
            </w:pPr>
            <w:r w:rsidRPr="003A39CD">
              <w:rPr>
                <w:rFonts w:ascii="Trebuchet MS" w:hAnsi="Trebuchet MS" w:cstheme="majorHAnsi"/>
                <w:sz w:val="18"/>
                <w:szCs w:val="18"/>
              </w:rPr>
              <w:t>3</w:t>
            </w:r>
          </w:p>
        </w:tc>
        <w:tc>
          <w:tcPr>
            <w:tcW w:w="4264" w:type="dxa"/>
          </w:tcPr>
          <w:p w14:paraId="3743DCDE"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Increase firm-level competitiveness through greater technology absorption and innovation</w:t>
            </w:r>
          </w:p>
        </w:tc>
        <w:tc>
          <w:tcPr>
            <w:tcW w:w="1350" w:type="dxa"/>
          </w:tcPr>
          <w:p w14:paraId="417D1248"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High</w:t>
            </w:r>
          </w:p>
        </w:tc>
        <w:tc>
          <w:tcPr>
            <w:tcW w:w="1530" w:type="dxa"/>
          </w:tcPr>
          <w:p w14:paraId="763321A1" w14:textId="77777777" w:rsidR="008450DD" w:rsidRPr="003A39CD" w:rsidRDefault="008450DD">
            <w:pPr>
              <w:autoSpaceDE w:val="0"/>
              <w:autoSpaceDN w:val="0"/>
              <w:adjustRightInd w:val="0"/>
              <w:jc w:val="center"/>
              <w:rPr>
                <w:rFonts w:ascii="Trebuchet MS" w:hAnsi="Trebuchet MS" w:cstheme="majorHAnsi"/>
                <w:color w:val="98C1D9" w:themeColor="accent2"/>
                <w:sz w:val="18"/>
                <w:szCs w:val="18"/>
              </w:rPr>
            </w:pPr>
            <w:r w:rsidRPr="003A39CD">
              <w:rPr>
                <w:rFonts w:ascii="Trebuchet MS" w:hAnsi="Trebuchet MS" w:cstheme="majorHAnsi"/>
                <w:color w:val="98C1D9" w:themeColor="accent2"/>
                <w:sz w:val="18"/>
                <w:szCs w:val="18"/>
              </w:rPr>
              <w:t>Mixed success</w:t>
            </w:r>
            <w:r w:rsidRPr="003A39CD">
              <w:rPr>
                <w:rFonts w:ascii="Trebuchet MS" w:hAnsi="Trebuchet MS" w:cstheme="majorHAnsi"/>
                <w:color w:val="FF0000"/>
                <w:sz w:val="18"/>
                <w:szCs w:val="18"/>
              </w:rPr>
              <w:t xml:space="preserve"> </w:t>
            </w:r>
          </w:p>
        </w:tc>
      </w:tr>
      <w:tr w:rsidR="008450DD" w:rsidRPr="00E74AD8" w14:paraId="370514AB" w14:textId="77777777">
        <w:trPr>
          <w:trHeight w:val="539"/>
        </w:trPr>
        <w:tc>
          <w:tcPr>
            <w:tcW w:w="625" w:type="dxa"/>
            <w:vMerge/>
          </w:tcPr>
          <w:p w14:paraId="25D7AD35" w14:textId="77777777" w:rsidR="008450DD" w:rsidRPr="003A39CD" w:rsidRDefault="008450DD">
            <w:pPr>
              <w:rPr>
                <w:rFonts w:ascii="Trebuchet MS" w:hAnsi="Trebuchet MS" w:cstheme="majorHAnsi"/>
                <w:b/>
                <w:sz w:val="18"/>
                <w:szCs w:val="18"/>
              </w:rPr>
            </w:pPr>
          </w:p>
        </w:tc>
        <w:tc>
          <w:tcPr>
            <w:tcW w:w="1350" w:type="dxa"/>
            <w:vMerge w:val="restart"/>
            <w:textDirection w:val="btLr"/>
          </w:tcPr>
          <w:p w14:paraId="5E1C87FE" w14:textId="77777777" w:rsidR="008450DD" w:rsidRPr="003A39CD" w:rsidRDefault="008450DD">
            <w:pPr>
              <w:ind w:left="113" w:right="113"/>
              <w:jc w:val="center"/>
              <w:rPr>
                <w:rFonts w:ascii="Trebuchet MS" w:hAnsi="Trebuchet MS" w:cstheme="majorHAnsi"/>
                <w:sz w:val="18"/>
                <w:szCs w:val="18"/>
              </w:rPr>
            </w:pPr>
            <w:r w:rsidRPr="003A39CD">
              <w:rPr>
                <w:rFonts w:ascii="Trebuchet MS" w:hAnsi="Trebuchet MS" w:cstheme="majorHAnsi"/>
                <w:b/>
                <w:sz w:val="18"/>
                <w:szCs w:val="18"/>
              </w:rPr>
              <w:t xml:space="preserve">Pathway 2: </w:t>
            </w:r>
            <w:r w:rsidRPr="003A39CD">
              <w:rPr>
                <w:rFonts w:ascii="Trebuchet MS" w:hAnsi="Trebuchet MS" w:cstheme="majorHAnsi"/>
                <w:sz w:val="18"/>
                <w:szCs w:val="18"/>
              </w:rPr>
              <w:t xml:space="preserve">Providing more support to the </w:t>
            </w:r>
            <w:proofErr w:type="gramStart"/>
            <w:r w:rsidRPr="003A39CD">
              <w:rPr>
                <w:rFonts w:ascii="Trebuchet MS" w:hAnsi="Trebuchet MS" w:cstheme="majorHAnsi"/>
                <w:sz w:val="18"/>
                <w:szCs w:val="18"/>
              </w:rPr>
              <w:t>B40</w:t>
            </w:r>
            <w:proofErr w:type="gramEnd"/>
          </w:p>
          <w:p w14:paraId="079A0EE4" w14:textId="77777777" w:rsidR="008450DD" w:rsidRPr="003A39CD" w:rsidRDefault="008450DD">
            <w:pPr>
              <w:ind w:left="113" w:right="113"/>
              <w:jc w:val="center"/>
              <w:rPr>
                <w:rFonts w:ascii="Trebuchet MS" w:hAnsi="Trebuchet MS" w:cstheme="majorHAnsi"/>
                <w:sz w:val="18"/>
                <w:szCs w:val="18"/>
              </w:rPr>
            </w:pPr>
          </w:p>
        </w:tc>
        <w:tc>
          <w:tcPr>
            <w:tcW w:w="236" w:type="dxa"/>
          </w:tcPr>
          <w:p w14:paraId="3C39FEB8" w14:textId="77777777" w:rsidR="008450DD" w:rsidRPr="003A39CD" w:rsidRDefault="008450DD">
            <w:pPr>
              <w:rPr>
                <w:rFonts w:ascii="Trebuchet MS" w:hAnsi="Trebuchet MS" w:cstheme="majorHAnsi"/>
                <w:sz w:val="18"/>
                <w:szCs w:val="18"/>
              </w:rPr>
            </w:pPr>
            <w:r w:rsidRPr="003A39CD">
              <w:rPr>
                <w:rFonts w:ascii="Trebuchet MS" w:hAnsi="Trebuchet MS" w:cstheme="majorHAnsi"/>
                <w:sz w:val="18"/>
                <w:szCs w:val="18"/>
              </w:rPr>
              <w:t>4</w:t>
            </w:r>
          </w:p>
        </w:tc>
        <w:tc>
          <w:tcPr>
            <w:tcW w:w="4264" w:type="dxa"/>
          </w:tcPr>
          <w:p w14:paraId="17EDB409"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Improve the overall education and skills of the workforce</w:t>
            </w:r>
          </w:p>
        </w:tc>
        <w:tc>
          <w:tcPr>
            <w:tcW w:w="1350" w:type="dxa"/>
          </w:tcPr>
          <w:p w14:paraId="152072EC"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FF0000"/>
                <w:sz w:val="18"/>
                <w:szCs w:val="18"/>
              </w:rPr>
              <w:t>Very High</w:t>
            </w:r>
          </w:p>
        </w:tc>
        <w:tc>
          <w:tcPr>
            <w:tcW w:w="1530" w:type="dxa"/>
          </w:tcPr>
          <w:p w14:paraId="18E57D50"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FF0000"/>
                <w:sz w:val="18"/>
                <w:szCs w:val="18"/>
              </w:rPr>
              <w:t>Not achieving the hoped results</w:t>
            </w:r>
          </w:p>
        </w:tc>
      </w:tr>
      <w:tr w:rsidR="008450DD" w:rsidRPr="00E74AD8" w14:paraId="4041F3BA" w14:textId="77777777">
        <w:trPr>
          <w:trHeight w:val="530"/>
        </w:trPr>
        <w:tc>
          <w:tcPr>
            <w:tcW w:w="625" w:type="dxa"/>
            <w:vMerge/>
          </w:tcPr>
          <w:p w14:paraId="58F6BD36" w14:textId="77777777" w:rsidR="008450DD" w:rsidRPr="003A39CD" w:rsidRDefault="008450DD">
            <w:pPr>
              <w:rPr>
                <w:rFonts w:ascii="Trebuchet MS" w:hAnsi="Trebuchet MS" w:cstheme="majorHAnsi"/>
                <w:sz w:val="18"/>
                <w:szCs w:val="18"/>
              </w:rPr>
            </w:pPr>
          </w:p>
        </w:tc>
        <w:tc>
          <w:tcPr>
            <w:tcW w:w="1350" w:type="dxa"/>
            <w:vMerge/>
          </w:tcPr>
          <w:p w14:paraId="0CC59956" w14:textId="77777777" w:rsidR="008450DD" w:rsidRPr="003A39CD" w:rsidRDefault="008450DD">
            <w:pPr>
              <w:jc w:val="center"/>
              <w:rPr>
                <w:rFonts w:ascii="Trebuchet MS" w:hAnsi="Trebuchet MS" w:cstheme="majorHAnsi"/>
                <w:sz w:val="18"/>
                <w:szCs w:val="18"/>
              </w:rPr>
            </w:pPr>
          </w:p>
        </w:tc>
        <w:tc>
          <w:tcPr>
            <w:tcW w:w="236" w:type="dxa"/>
          </w:tcPr>
          <w:p w14:paraId="13982E1E" w14:textId="77777777" w:rsidR="008450DD" w:rsidRPr="003A39CD" w:rsidRDefault="008450DD">
            <w:pPr>
              <w:rPr>
                <w:rFonts w:ascii="Trebuchet MS" w:hAnsi="Trebuchet MS" w:cstheme="majorHAnsi"/>
                <w:sz w:val="18"/>
                <w:szCs w:val="18"/>
              </w:rPr>
            </w:pPr>
            <w:r w:rsidRPr="003A39CD">
              <w:rPr>
                <w:rFonts w:ascii="Trebuchet MS" w:hAnsi="Trebuchet MS" w:cstheme="majorHAnsi"/>
                <w:sz w:val="18"/>
                <w:szCs w:val="18"/>
              </w:rPr>
              <w:t>5</w:t>
            </w:r>
          </w:p>
        </w:tc>
        <w:tc>
          <w:tcPr>
            <w:tcW w:w="4264" w:type="dxa"/>
          </w:tcPr>
          <w:p w14:paraId="502DFF60"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Implement effective policies to boost agricultural productivity</w:t>
            </w:r>
          </w:p>
        </w:tc>
        <w:tc>
          <w:tcPr>
            <w:tcW w:w="1350" w:type="dxa"/>
          </w:tcPr>
          <w:p w14:paraId="0FAAF4D9"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High</w:t>
            </w:r>
          </w:p>
        </w:tc>
        <w:tc>
          <w:tcPr>
            <w:tcW w:w="1530" w:type="dxa"/>
          </w:tcPr>
          <w:p w14:paraId="2C7FDCAF"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FF0000"/>
                <w:sz w:val="18"/>
                <w:szCs w:val="18"/>
              </w:rPr>
              <w:t xml:space="preserve">Not achieving the hoped results </w:t>
            </w:r>
          </w:p>
        </w:tc>
      </w:tr>
      <w:tr w:rsidR="008450DD" w:rsidRPr="00E74AD8" w14:paraId="6E9E7718" w14:textId="77777777">
        <w:trPr>
          <w:trHeight w:val="575"/>
        </w:trPr>
        <w:tc>
          <w:tcPr>
            <w:tcW w:w="625" w:type="dxa"/>
            <w:vMerge/>
          </w:tcPr>
          <w:p w14:paraId="3D2FEB5B" w14:textId="77777777" w:rsidR="008450DD" w:rsidRPr="003A39CD" w:rsidRDefault="008450DD">
            <w:pPr>
              <w:rPr>
                <w:rFonts w:ascii="Trebuchet MS" w:hAnsi="Trebuchet MS" w:cstheme="majorHAnsi"/>
                <w:sz w:val="18"/>
                <w:szCs w:val="18"/>
              </w:rPr>
            </w:pPr>
          </w:p>
        </w:tc>
        <w:tc>
          <w:tcPr>
            <w:tcW w:w="1350" w:type="dxa"/>
            <w:vMerge/>
          </w:tcPr>
          <w:p w14:paraId="7264D227" w14:textId="77777777" w:rsidR="008450DD" w:rsidRPr="003A39CD" w:rsidRDefault="008450DD">
            <w:pPr>
              <w:jc w:val="center"/>
              <w:rPr>
                <w:rFonts w:ascii="Trebuchet MS" w:hAnsi="Trebuchet MS" w:cstheme="majorHAnsi"/>
                <w:sz w:val="18"/>
                <w:szCs w:val="18"/>
              </w:rPr>
            </w:pPr>
          </w:p>
        </w:tc>
        <w:tc>
          <w:tcPr>
            <w:tcW w:w="236" w:type="dxa"/>
          </w:tcPr>
          <w:p w14:paraId="20DF290B" w14:textId="77777777" w:rsidR="008450DD" w:rsidRPr="003A39CD" w:rsidRDefault="008450DD">
            <w:pPr>
              <w:rPr>
                <w:rFonts w:ascii="Trebuchet MS" w:hAnsi="Trebuchet MS" w:cstheme="majorHAnsi"/>
                <w:sz w:val="18"/>
                <w:szCs w:val="18"/>
              </w:rPr>
            </w:pPr>
            <w:r w:rsidRPr="003A39CD">
              <w:rPr>
                <w:rFonts w:ascii="Trebuchet MS" w:hAnsi="Trebuchet MS" w:cstheme="majorHAnsi"/>
                <w:sz w:val="18"/>
                <w:szCs w:val="18"/>
              </w:rPr>
              <w:t>6</w:t>
            </w:r>
          </w:p>
        </w:tc>
        <w:tc>
          <w:tcPr>
            <w:tcW w:w="4264" w:type="dxa"/>
          </w:tcPr>
          <w:p w14:paraId="2C363CAD"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Build smarter social protection systems, focusing on providing a safety net for poor people</w:t>
            </w:r>
          </w:p>
        </w:tc>
        <w:tc>
          <w:tcPr>
            <w:tcW w:w="1350" w:type="dxa"/>
          </w:tcPr>
          <w:p w14:paraId="37C27CBC"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High</w:t>
            </w:r>
          </w:p>
        </w:tc>
        <w:tc>
          <w:tcPr>
            <w:tcW w:w="1530" w:type="dxa"/>
          </w:tcPr>
          <w:p w14:paraId="3B380181" w14:textId="77777777" w:rsidR="008450DD" w:rsidRPr="003A39CD" w:rsidRDefault="008450DD">
            <w:pPr>
              <w:autoSpaceDE w:val="0"/>
              <w:autoSpaceDN w:val="0"/>
              <w:adjustRightInd w:val="0"/>
              <w:jc w:val="center"/>
              <w:rPr>
                <w:rFonts w:ascii="Trebuchet MS" w:hAnsi="Trebuchet MS" w:cstheme="majorHAnsi"/>
                <w:color w:val="00B050"/>
                <w:sz w:val="18"/>
                <w:szCs w:val="18"/>
              </w:rPr>
            </w:pPr>
            <w:r w:rsidRPr="003A39CD">
              <w:rPr>
                <w:rFonts w:ascii="Trebuchet MS" w:hAnsi="Trebuchet MS" w:cstheme="majorHAnsi"/>
                <w:color w:val="98C1D9" w:themeColor="accent2"/>
                <w:sz w:val="18"/>
                <w:szCs w:val="18"/>
              </w:rPr>
              <w:t>Mixed success</w:t>
            </w:r>
            <w:r w:rsidRPr="003A39CD">
              <w:rPr>
                <w:rFonts w:ascii="Trebuchet MS" w:hAnsi="Trebuchet MS" w:cstheme="majorHAnsi"/>
                <w:color w:val="00B050"/>
                <w:sz w:val="18"/>
                <w:szCs w:val="18"/>
              </w:rPr>
              <w:t xml:space="preserve"> </w:t>
            </w:r>
          </w:p>
        </w:tc>
      </w:tr>
      <w:tr w:rsidR="008450DD" w:rsidRPr="00E74AD8" w14:paraId="2E9DB03A" w14:textId="77777777">
        <w:trPr>
          <w:trHeight w:val="566"/>
        </w:trPr>
        <w:tc>
          <w:tcPr>
            <w:tcW w:w="625" w:type="dxa"/>
            <w:vMerge/>
          </w:tcPr>
          <w:p w14:paraId="504BCDA0" w14:textId="77777777" w:rsidR="008450DD" w:rsidRPr="003A39CD" w:rsidRDefault="008450DD">
            <w:pPr>
              <w:rPr>
                <w:rFonts w:ascii="Trebuchet MS" w:hAnsi="Trebuchet MS" w:cstheme="majorHAnsi"/>
                <w:sz w:val="18"/>
                <w:szCs w:val="18"/>
              </w:rPr>
            </w:pPr>
          </w:p>
        </w:tc>
        <w:tc>
          <w:tcPr>
            <w:tcW w:w="1350" w:type="dxa"/>
            <w:vMerge w:val="restart"/>
            <w:textDirection w:val="btLr"/>
          </w:tcPr>
          <w:p w14:paraId="071C6159" w14:textId="77777777" w:rsidR="008450DD" w:rsidRPr="003A39CD" w:rsidRDefault="008450DD">
            <w:pPr>
              <w:ind w:left="113" w:right="113"/>
              <w:jc w:val="center"/>
              <w:rPr>
                <w:rFonts w:ascii="Trebuchet MS" w:hAnsi="Trebuchet MS" w:cstheme="majorHAnsi"/>
                <w:b/>
                <w:sz w:val="18"/>
                <w:szCs w:val="18"/>
              </w:rPr>
            </w:pPr>
            <w:r w:rsidRPr="003A39CD">
              <w:rPr>
                <w:rFonts w:ascii="Trebuchet MS" w:hAnsi="Trebuchet MS" w:cstheme="majorHAnsi"/>
                <w:b/>
                <w:sz w:val="18"/>
                <w:szCs w:val="18"/>
              </w:rPr>
              <w:t xml:space="preserve">Pathway 3: </w:t>
            </w:r>
            <w:r w:rsidRPr="003A39CD">
              <w:rPr>
                <w:rFonts w:ascii="Trebuchet MS" w:hAnsi="Trebuchet MS" w:cstheme="majorHAnsi"/>
                <w:sz w:val="18"/>
                <w:szCs w:val="18"/>
              </w:rPr>
              <w:t>Making growth greener and more resilient</w:t>
            </w:r>
          </w:p>
        </w:tc>
        <w:tc>
          <w:tcPr>
            <w:tcW w:w="236" w:type="dxa"/>
          </w:tcPr>
          <w:p w14:paraId="66CF4E39"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7</w:t>
            </w:r>
          </w:p>
        </w:tc>
        <w:tc>
          <w:tcPr>
            <w:tcW w:w="4264" w:type="dxa"/>
          </w:tcPr>
          <w:p w14:paraId="39F8D812"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Manage Thailand’s natural resources and environment</w:t>
            </w:r>
          </w:p>
        </w:tc>
        <w:tc>
          <w:tcPr>
            <w:tcW w:w="1350" w:type="dxa"/>
          </w:tcPr>
          <w:p w14:paraId="1A85EB94"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High</w:t>
            </w:r>
          </w:p>
        </w:tc>
        <w:tc>
          <w:tcPr>
            <w:tcW w:w="1530" w:type="dxa"/>
          </w:tcPr>
          <w:p w14:paraId="1EAB59B8"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Mixed success</w:t>
            </w:r>
          </w:p>
        </w:tc>
      </w:tr>
      <w:tr w:rsidR="008450DD" w:rsidRPr="00E74AD8" w14:paraId="6C2DFEE1" w14:textId="77777777">
        <w:tc>
          <w:tcPr>
            <w:tcW w:w="625" w:type="dxa"/>
            <w:vMerge/>
          </w:tcPr>
          <w:p w14:paraId="727E6660" w14:textId="77777777" w:rsidR="008450DD" w:rsidRPr="003A39CD" w:rsidRDefault="008450DD">
            <w:pPr>
              <w:rPr>
                <w:rFonts w:ascii="Trebuchet MS" w:hAnsi="Trebuchet MS" w:cstheme="majorHAnsi"/>
                <w:sz w:val="18"/>
                <w:szCs w:val="18"/>
              </w:rPr>
            </w:pPr>
          </w:p>
        </w:tc>
        <w:tc>
          <w:tcPr>
            <w:tcW w:w="1350" w:type="dxa"/>
            <w:vMerge/>
          </w:tcPr>
          <w:p w14:paraId="762A71C0" w14:textId="77777777" w:rsidR="008450DD" w:rsidRPr="003A39CD" w:rsidRDefault="008450DD">
            <w:pPr>
              <w:rPr>
                <w:rFonts w:ascii="Trebuchet MS" w:hAnsi="Trebuchet MS" w:cstheme="majorHAnsi"/>
                <w:sz w:val="18"/>
                <w:szCs w:val="18"/>
              </w:rPr>
            </w:pPr>
          </w:p>
        </w:tc>
        <w:tc>
          <w:tcPr>
            <w:tcW w:w="236" w:type="dxa"/>
          </w:tcPr>
          <w:p w14:paraId="555ABCC6"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8</w:t>
            </w:r>
          </w:p>
        </w:tc>
        <w:tc>
          <w:tcPr>
            <w:tcW w:w="4264" w:type="dxa"/>
          </w:tcPr>
          <w:p w14:paraId="1508D2AC"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 xml:space="preserve">Reduce vulnerability to natural disasters and climate change by focusing on better land zoning and management to reduce the flood/drought prone areas </w:t>
            </w:r>
          </w:p>
        </w:tc>
        <w:tc>
          <w:tcPr>
            <w:tcW w:w="1350" w:type="dxa"/>
          </w:tcPr>
          <w:p w14:paraId="0E86C2B1"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00B050"/>
                <w:sz w:val="18"/>
                <w:szCs w:val="18"/>
              </w:rPr>
              <w:t>Medium</w:t>
            </w:r>
          </w:p>
        </w:tc>
        <w:tc>
          <w:tcPr>
            <w:tcW w:w="1530" w:type="dxa"/>
          </w:tcPr>
          <w:p w14:paraId="62E7A83C"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Mixed success</w:t>
            </w:r>
          </w:p>
        </w:tc>
      </w:tr>
      <w:tr w:rsidR="008450DD" w:rsidRPr="00E74AD8" w14:paraId="5B25C29E" w14:textId="77777777">
        <w:tc>
          <w:tcPr>
            <w:tcW w:w="625" w:type="dxa"/>
            <w:vMerge/>
          </w:tcPr>
          <w:p w14:paraId="3B97EBF5" w14:textId="77777777" w:rsidR="008450DD" w:rsidRPr="003A39CD" w:rsidRDefault="008450DD">
            <w:pPr>
              <w:rPr>
                <w:rFonts w:ascii="Trebuchet MS" w:hAnsi="Trebuchet MS" w:cstheme="majorHAnsi"/>
                <w:sz w:val="18"/>
                <w:szCs w:val="18"/>
              </w:rPr>
            </w:pPr>
          </w:p>
        </w:tc>
        <w:tc>
          <w:tcPr>
            <w:tcW w:w="1350" w:type="dxa"/>
            <w:vMerge/>
          </w:tcPr>
          <w:p w14:paraId="4E43F756" w14:textId="77777777" w:rsidR="008450DD" w:rsidRPr="003A39CD" w:rsidRDefault="008450DD">
            <w:pPr>
              <w:rPr>
                <w:rFonts w:ascii="Trebuchet MS" w:hAnsi="Trebuchet MS" w:cstheme="majorHAnsi"/>
                <w:sz w:val="18"/>
                <w:szCs w:val="18"/>
              </w:rPr>
            </w:pPr>
          </w:p>
        </w:tc>
        <w:tc>
          <w:tcPr>
            <w:tcW w:w="236" w:type="dxa"/>
          </w:tcPr>
          <w:p w14:paraId="20747636"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9</w:t>
            </w:r>
          </w:p>
        </w:tc>
        <w:tc>
          <w:tcPr>
            <w:tcW w:w="4264" w:type="dxa"/>
          </w:tcPr>
          <w:p w14:paraId="2EE7B289" w14:textId="77777777" w:rsidR="008450DD" w:rsidRPr="003A39CD" w:rsidRDefault="008450DD">
            <w:pPr>
              <w:autoSpaceDE w:val="0"/>
              <w:autoSpaceDN w:val="0"/>
              <w:adjustRightInd w:val="0"/>
              <w:jc w:val="both"/>
              <w:rPr>
                <w:rFonts w:ascii="Trebuchet MS" w:hAnsi="Trebuchet MS" w:cstheme="majorHAnsi"/>
                <w:sz w:val="18"/>
                <w:szCs w:val="18"/>
              </w:rPr>
            </w:pPr>
            <w:r w:rsidRPr="003A39CD">
              <w:rPr>
                <w:rFonts w:ascii="Trebuchet MS" w:hAnsi="Trebuchet MS" w:cstheme="majorHAnsi"/>
                <w:sz w:val="18"/>
                <w:szCs w:val="18"/>
              </w:rPr>
              <w:t>Promote energy efficiency and clean energy by focusing on implementing Thailand’s plans and commitments for energy efficiency and alternative energy</w:t>
            </w:r>
          </w:p>
        </w:tc>
        <w:tc>
          <w:tcPr>
            <w:tcW w:w="1350" w:type="dxa"/>
          </w:tcPr>
          <w:p w14:paraId="09B8FF19" w14:textId="77777777" w:rsidR="008450DD" w:rsidRPr="003A39CD" w:rsidRDefault="008450DD">
            <w:pPr>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00B050"/>
                <w:sz w:val="18"/>
                <w:szCs w:val="18"/>
              </w:rPr>
              <w:t>Medium</w:t>
            </w:r>
          </w:p>
        </w:tc>
        <w:tc>
          <w:tcPr>
            <w:tcW w:w="1530" w:type="dxa"/>
          </w:tcPr>
          <w:p w14:paraId="191F26F2" w14:textId="77777777" w:rsidR="008450DD" w:rsidRPr="003A39CD" w:rsidRDefault="008450DD" w:rsidP="00416CB6">
            <w:pPr>
              <w:keepNext/>
              <w:autoSpaceDE w:val="0"/>
              <w:autoSpaceDN w:val="0"/>
              <w:adjustRightInd w:val="0"/>
              <w:jc w:val="center"/>
              <w:rPr>
                <w:rFonts w:ascii="Trebuchet MS" w:hAnsi="Trebuchet MS" w:cstheme="majorHAnsi"/>
                <w:sz w:val="18"/>
                <w:szCs w:val="18"/>
              </w:rPr>
            </w:pPr>
            <w:r w:rsidRPr="003A39CD">
              <w:rPr>
                <w:rFonts w:ascii="Trebuchet MS" w:hAnsi="Trebuchet MS" w:cstheme="majorHAnsi"/>
                <w:color w:val="98C1D9" w:themeColor="accent2"/>
                <w:sz w:val="18"/>
                <w:szCs w:val="18"/>
              </w:rPr>
              <w:t xml:space="preserve">Mixed success </w:t>
            </w:r>
          </w:p>
        </w:tc>
      </w:tr>
    </w:tbl>
    <w:p w14:paraId="52A803C9" w14:textId="77777777" w:rsidR="008450DD" w:rsidRDefault="008450DD" w:rsidP="008450DD">
      <w:pPr>
        <w:pStyle w:val="Default"/>
        <w:spacing w:before="240" w:after="240"/>
        <w:jc w:val="both"/>
        <w:rPr>
          <w:rFonts w:asciiTheme="majorHAnsi" w:hAnsiTheme="majorHAnsi" w:cstheme="majorHAnsi"/>
          <w:sz w:val="22"/>
          <w:szCs w:val="22"/>
        </w:rPr>
      </w:pPr>
      <w:r w:rsidRPr="00EA2DB8">
        <w:rPr>
          <w:rFonts w:asciiTheme="majorHAnsi" w:hAnsiTheme="majorHAnsi" w:cstheme="majorHAnsi"/>
          <w:b/>
          <w:sz w:val="22"/>
          <w:szCs w:val="22"/>
        </w:rPr>
        <w:t>The three identified pathways were</w:t>
      </w:r>
      <w:r w:rsidRPr="00EA2DB8">
        <w:rPr>
          <w:rFonts w:asciiTheme="majorHAnsi" w:hAnsiTheme="majorHAnsi" w:cstheme="majorHAnsi"/>
          <w:sz w:val="22"/>
          <w:szCs w:val="22"/>
        </w:rPr>
        <w:t xml:space="preserve">: (i) Creating more and better jobs through improved infrastructure, and increased firm-level competitiveness; (ii) Providing more targeted support to the bottom 40 percent of the population by improving the education and skills of the workforce; implementing effective policies to boost productivity in the agricultural sector, where approximately half of the bottom 40 percent (B40) of the population and the poor continue to be employed; and providing a smarter social protection system focused on providing a safety net for poor people; (iii) Making growth greener and more sustainable, which </w:t>
      </w:r>
      <w:r w:rsidRPr="00EA2DB8">
        <w:rPr>
          <w:rFonts w:asciiTheme="majorHAnsi" w:hAnsiTheme="majorHAnsi" w:cstheme="majorHAnsi"/>
          <w:sz w:val="22"/>
          <w:szCs w:val="22"/>
        </w:rPr>
        <w:lastRenderedPageBreak/>
        <w:t xml:space="preserve">includes efforts to manage Thailand’s natural resources and environment; reduce vulnerability to natural disasters and climate change; and promote energy efficiency and renewable energy. The 2016 SCD also concluded that these three pathways could be supported by cross-cutting efforts to strengthen the institutional capabilities of the public sector. Within each pathway, policy priorities and specific interventions were proposed. </w:t>
      </w:r>
    </w:p>
    <w:p w14:paraId="0AD8FABF" w14:textId="0CA89D38" w:rsidR="002C26DD" w:rsidRDefault="002C26DD" w:rsidP="0002737D">
      <w:pPr>
        <w:pStyle w:val="Table"/>
      </w:pPr>
      <w:r w:rsidRPr="00CF7D40">
        <w:t>Table A.</w:t>
      </w:r>
      <w:r w:rsidR="009B56C0">
        <w:t>1</w:t>
      </w:r>
      <w:r w:rsidRPr="00CF7D40">
        <w:t>.</w:t>
      </w:r>
      <w:r w:rsidR="00FB7C27" w:rsidRPr="00CF7D40">
        <w:t>2</w:t>
      </w:r>
      <w:r w:rsidR="006D7445">
        <w:t xml:space="preserve"> Selected indicator</w:t>
      </w:r>
      <w:r w:rsidR="001E658D">
        <w:t xml:space="preserve">s in </w:t>
      </w:r>
      <w:r w:rsidR="00FB7C27">
        <w:t>d</w:t>
      </w:r>
      <w:r w:rsidR="009B4652">
        <w:t>evelopment priority areas</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278"/>
        <w:gridCol w:w="2797"/>
        <w:gridCol w:w="1620"/>
        <w:gridCol w:w="990"/>
        <w:gridCol w:w="990"/>
        <w:gridCol w:w="968"/>
        <w:gridCol w:w="1012"/>
      </w:tblGrid>
      <w:tr w:rsidR="006140D7" w:rsidRPr="00487807" w14:paraId="2AA17D68" w14:textId="77777777" w:rsidTr="00976BFB">
        <w:trPr>
          <w:trHeight w:val="450"/>
          <w:tblHeader/>
        </w:trPr>
        <w:tc>
          <w:tcPr>
            <w:tcW w:w="705" w:type="dxa"/>
            <w:vMerge w:val="restart"/>
            <w:shd w:val="clear" w:color="auto" w:fill="auto"/>
            <w:vAlign w:val="center"/>
            <w:hideMark/>
          </w:tcPr>
          <w:p w14:paraId="0CD82CC2" w14:textId="77777777" w:rsidR="006140D7" w:rsidRPr="00487807" w:rsidRDefault="006140D7" w:rsidP="00487807">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PATHWAY</w:t>
            </w:r>
          </w:p>
        </w:tc>
        <w:tc>
          <w:tcPr>
            <w:tcW w:w="3075" w:type="dxa"/>
            <w:gridSpan w:val="2"/>
            <w:vMerge w:val="restart"/>
            <w:shd w:val="clear" w:color="auto" w:fill="auto"/>
            <w:vAlign w:val="center"/>
            <w:hideMark/>
          </w:tcPr>
          <w:p w14:paraId="5C39BECE" w14:textId="77777777" w:rsidR="006140D7" w:rsidRPr="00487807" w:rsidRDefault="006140D7" w:rsidP="00487807">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DEVELOPMENT PRIORITY AREAS</w:t>
            </w:r>
          </w:p>
        </w:tc>
        <w:tc>
          <w:tcPr>
            <w:tcW w:w="1620" w:type="dxa"/>
            <w:vMerge w:val="restart"/>
            <w:shd w:val="clear" w:color="auto" w:fill="auto"/>
            <w:vAlign w:val="center"/>
            <w:hideMark/>
          </w:tcPr>
          <w:p w14:paraId="2E59C4BF" w14:textId="77777777" w:rsidR="006140D7" w:rsidRPr="00487807" w:rsidRDefault="006140D7" w:rsidP="00487807">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 xml:space="preserve">Indicator </w:t>
            </w:r>
          </w:p>
        </w:tc>
        <w:tc>
          <w:tcPr>
            <w:tcW w:w="1980" w:type="dxa"/>
            <w:gridSpan w:val="2"/>
            <w:vMerge w:val="restart"/>
            <w:shd w:val="clear" w:color="auto" w:fill="auto"/>
            <w:vAlign w:val="center"/>
            <w:hideMark/>
          </w:tcPr>
          <w:p w14:paraId="44DD9A0B" w14:textId="77777777" w:rsidR="006140D7" w:rsidRPr="00487807" w:rsidRDefault="006140D7" w:rsidP="00487807">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Thailand</w:t>
            </w:r>
          </w:p>
        </w:tc>
        <w:tc>
          <w:tcPr>
            <w:tcW w:w="1980" w:type="dxa"/>
            <w:gridSpan w:val="2"/>
            <w:vMerge w:val="restart"/>
            <w:shd w:val="clear" w:color="auto" w:fill="D6DCE4"/>
            <w:vAlign w:val="center"/>
            <w:hideMark/>
          </w:tcPr>
          <w:p w14:paraId="046B7CDB" w14:textId="77777777" w:rsidR="006140D7" w:rsidRPr="00487807" w:rsidRDefault="006140D7" w:rsidP="00487807">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Structural Peers</w:t>
            </w:r>
          </w:p>
        </w:tc>
      </w:tr>
      <w:tr w:rsidR="006140D7" w:rsidRPr="00487807" w14:paraId="46AE4A2E" w14:textId="77777777" w:rsidTr="00976BFB">
        <w:trPr>
          <w:trHeight w:val="450"/>
          <w:tblHeader/>
        </w:trPr>
        <w:tc>
          <w:tcPr>
            <w:tcW w:w="705" w:type="dxa"/>
            <w:vMerge/>
            <w:vAlign w:val="center"/>
            <w:hideMark/>
          </w:tcPr>
          <w:p w14:paraId="1054B9D4" w14:textId="77777777" w:rsidR="006140D7" w:rsidRPr="00487807" w:rsidRDefault="006140D7" w:rsidP="00487807">
            <w:pPr>
              <w:spacing w:after="0" w:line="240" w:lineRule="auto"/>
              <w:rPr>
                <w:rFonts w:ascii="Trebuchet MS" w:eastAsia="Times New Roman" w:hAnsi="Trebuchet MS" w:cs="Calibri Light"/>
                <w:b/>
                <w:bCs/>
                <w:color w:val="000000"/>
                <w:sz w:val="16"/>
                <w:szCs w:val="16"/>
                <w:lang w:bidi="th-TH"/>
              </w:rPr>
            </w:pPr>
          </w:p>
        </w:tc>
        <w:tc>
          <w:tcPr>
            <w:tcW w:w="3075" w:type="dxa"/>
            <w:gridSpan w:val="2"/>
            <w:vMerge/>
            <w:vAlign w:val="center"/>
            <w:hideMark/>
          </w:tcPr>
          <w:p w14:paraId="1D69B297" w14:textId="77777777" w:rsidR="006140D7" w:rsidRPr="00487807" w:rsidRDefault="006140D7" w:rsidP="00487807">
            <w:pPr>
              <w:spacing w:after="0" w:line="240" w:lineRule="auto"/>
              <w:rPr>
                <w:rFonts w:ascii="Trebuchet MS" w:eastAsia="Times New Roman" w:hAnsi="Trebuchet MS" w:cs="Calibri Light"/>
                <w:b/>
                <w:bCs/>
                <w:color w:val="000000"/>
                <w:sz w:val="16"/>
                <w:szCs w:val="16"/>
                <w:lang w:bidi="th-TH"/>
              </w:rPr>
            </w:pPr>
          </w:p>
        </w:tc>
        <w:tc>
          <w:tcPr>
            <w:tcW w:w="1620" w:type="dxa"/>
            <w:vMerge/>
            <w:vAlign w:val="center"/>
            <w:hideMark/>
          </w:tcPr>
          <w:p w14:paraId="7AF503A6" w14:textId="77777777" w:rsidR="006140D7" w:rsidRPr="00487807" w:rsidRDefault="006140D7" w:rsidP="00487807">
            <w:pPr>
              <w:spacing w:after="0" w:line="240" w:lineRule="auto"/>
              <w:rPr>
                <w:rFonts w:ascii="Trebuchet MS" w:eastAsia="Times New Roman" w:hAnsi="Trebuchet MS" w:cs="Calibri Light"/>
                <w:b/>
                <w:bCs/>
                <w:color w:val="000000"/>
                <w:sz w:val="16"/>
                <w:szCs w:val="16"/>
                <w:lang w:bidi="th-TH"/>
              </w:rPr>
            </w:pPr>
          </w:p>
        </w:tc>
        <w:tc>
          <w:tcPr>
            <w:tcW w:w="1980" w:type="dxa"/>
            <w:gridSpan w:val="2"/>
            <w:vMerge/>
            <w:vAlign w:val="center"/>
            <w:hideMark/>
          </w:tcPr>
          <w:p w14:paraId="2499EB5F" w14:textId="77777777" w:rsidR="006140D7" w:rsidRPr="00487807" w:rsidRDefault="006140D7" w:rsidP="00487807">
            <w:pPr>
              <w:spacing w:after="0" w:line="240" w:lineRule="auto"/>
              <w:rPr>
                <w:rFonts w:ascii="Trebuchet MS" w:eastAsia="Times New Roman" w:hAnsi="Trebuchet MS" w:cs="Calibri Light"/>
                <w:b/>
                <w:bCs/>
                <w:color w:val="000000"/>
                <w:sz w:val="16"/>
                <w:szCs w:val="16"/>
                <w:lang w:bidi="th-TH"/>
              </w:rPr>
            </w:pPr>
          </w:p>
        </w:tc>
        <w:tc>
          <w:tcPr>
            <w:tcW w:w="1980" w:type="dxa"/>
            <w:gridSpan w:val="2"/>
            <w:vMerge/>
            <w:shd w:val="clear" w:color="auto" w:fill="D6DCE4"/>
            <w:vAlign w:val="center"/>
            <w:hideMark/>
          </w:tcPr>
          <w:p w14:paraId="3FE75CED" w14:textId="77777777" w:rsidR="006140D7" w:rsidRPr="00487807" w:rsidRDefault="006140D7" w:rsidP="00487807">
            <w:pPr>
              <w:spacing w:after="0" w:line="240" w:lineRule="auto"/>
              <w:rPr>
                <w:rFonts w:ascii="Trebuchet MS" w:eastAsia="Times New Roman" w:hAnsi="Trebuchet MS" w:cs="Calibri Light"/>
                <w:b/>
                <w:bCs/>
                <w:color w:val="000000"/>
                <w:sz w:val="16"/>
                <w:szCs w:val="16"/>
                <w:lang w:bidi="th-TH"/>
              </w:rPr>
            </w:pPr>
          </w:p>
        </w:tc>
      </w:tr>
      <w:tr w:rsidR="009F499F" w:rsidRPr="009D362F" w14:paraId="50963CD7" w14:textId="77777777" w:rsidTr="00976BFB">
        <w:trPr>
          <w:trHeight w:val="910"/>
          <w:tblHeader/>
        </w:trPr>
        <w:tc>
          <w:tcPr>
            <w:tcW w:w="705" w:type="dxa"/>
            <w:vMerge/>
            <w:tcBorders>
              <w:bottom w:val="single" w:sz="4" w:space="0" w:color="auto"/>
            </w:tcBorders>
            <w:vAlign w:val="center"/>
            <w:hideMark/>
          </w:tcPr>
          <w:p w14:paraId="2760B442"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3075" w:type="dxa"/>
            <w:gridSpan w:val="2"/>
            <w:vMerge/>
            <w:tcBorders>
              <w:bottom w:val="single" w:sz="4" w:space="0" w:color="auto"/>
            </w:tcBorders>
            <w:vAlign w:val="center"/>
            <w:hideMark/>
          </w:tcPr>
          <w:p w14:paraId="43F010E2"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1620" w:type="dxa"/>
            <w:vMerge/>
            <w:tcBorders>
              <w:bottom w:val="single" w:sz="4" w:space="0" w:color="auto"/>
            </w:tcBorders>
            <w:vAlign w:val="center"/>
            <w:hideMark/>
          </w:tcPr>
          <w:p w14:paraId="6BC47DD3"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990" w:type="dxa"/>
            <w:tcBorders>
              <w:bottom w:val="single" w:sz="4" w:space="0" w:color="auto"/>
            </w:tcBorders>
            <w:shd w:val="clear" w:color="auto" w:fill="auto"/>
            <w:vAlign w:val="center"/>
            <w:hideMark/>
          </w:tcPr>
          <w:p w14:paraId="6C1BEBAE" w14:textId="6A2C2DC1" w:rsidR="007C7275" w:rsidRPr="00487807" w:rsidRDefault="007C7275" w:rsidP="007C7275">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2012-</w:t>
            </w:r>
            <w:r>
              <w:rPr>
                <w:rFonts w:ascii="Trebuchet MS" w:eastAsia="Times New Roman" w:hAnsi="Trebuchet MS" w:cs="Calibri Light"/>
                <w:b/>
                <w:bCs/>
                <w:color w:val="000000"/>
                <w:sz w:val="16"/>
                <w:szCs w:val="16"/>
                <w:lang w:bidi="th-TH"/>
              </w:rPr>
              <w:t>16</w:t>
            </w:r>
          </w:p>
        </w:tc>
        <w:tc>
          <w:tcPr>
            <w:tcW w:w="990" w:type="dxa"/>
            <w:tcBorders>
              <w:bottom w:val="single" w:sz="4" w:space="0" w:color="auto"/>
            </w:tcBorders>
            <w:shd w:val="clear" w:color="auto" w:fill="auto"/>
            <w:vAlign w:val="center"/>
            <w:hideMark/>
          </w:tcPr>
          <w:p w14:paraId="1B90A12B" w14:textId="69453ED0" w:rsidR="007C7275" w:rsidRPr="00487807" w:rsidRDefault="007C7275" w:rsidP="007C7275">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w:b/>
                <w:bCs/>
                <w:color w:val="000000"/>
                <w:sz w:val="16"/>
                <w:szCs w:val="16"/>
                <w:lang w:bidi="th-TH"/>
              </w:rPr>
              <w:t>2017-22*</w:t>
            </w:r>
          </w:p>
        </w:tc>
        <w:tc>
          <w:tcPr>
            <w:tcW w:w="968" w:type="dxa"/>
            <w:tcBorders>
              <w:bottom w:val="single" w:sz="4" w:space="0" w:color="auto"/>
            </w:tcBorders>
            <w:shd w:val="clear" w:color="auto" w:fill="D6DCE4"/>
            <w:vAlign w:val="center"/>
          </w:tcPr>
          <w:p w14:paraId="3DE0F2C8" w14:textId="3351E89F" w:rsidR="007C7275" w:rsidRPr="00CF7D40" w:rsidRDefault="007C7275" w:rsidP="007C7275">
            <w:pPr>
              <w:spacing w:after="0" w:line="240" w:lineRule="auto"/>
              <w:jc w:val="center"/>
              <w:rPr>
                <w:rFonts w:ascii="Trebuchet MS" w:eastAsia="Times New Roman" w:hAnsi="Trebuchet MS" w:cs="Calibri Light"/>
                <w:b/>
                <w:color w:val="000000"/>
                <w:sz w:val="16"/>
                <w:szCs w:val="16"/>
                <w:lang w:bidi="th-TH"/>
              </w:rPr>
            </w:pPr>
            <w:r w:rsidRPr="00487807">
              <w:rPr>
                <w:rFonts w:ascii="Trebuchet MS" w:eastAsia="Times New Roman" w:hAnsi="Trebuchet MS" w:cs="Calibri Light"/>
                <w:b/>
                <w:bCs/>
                <w:color w:val="000000"/>
                <w:sz w:val="16"/>
                <w:szCs w:val="16"/>
                <w:lang w:bidi="th-TH"/>
              </w:rPr>
              <w:t>2012-</w:t>
            </w:r>
            <w:r>
              <w:rPr>
                <w:rFonts w:ascii="Trebuchet MS" w:eastAsia="Times New Roman" w:hAnsi="Trebuchet MS" w:cs="Calibri Light"/>
                <w:b/>
                <w:bCs/>
                <w:color w:val="000000"/>
                <w:sz w:val="16"/>
                <w:szCs w:val="16"/>
                <w:lang w:bidi="th-TH"/>
              </w:rPr>
              <w:t>16</w:t>
            </w:r>
          </w:p>
        </w:tc>
        <w:tc>
          <w:tcPr>
            <w:tcW w:w="1012" w:type="dxa"/>
            <w:tcBorders>
              <w:bottom w:val="single" w:sz="4" w:space="0" w:color="auto"/>
            </w:tcBorders>
            <w:shd w:val="clear" w:color="auto" w:fill="D6DCE4"/>
            <w:vAlign w:val="center"/>
          </w:tcPr>
          <w:p w14:paraId="159FBFE2" w14:textId="34344A9F" w:rsidR="007C7275" w:rsidRPr="00CF7D40" w:rsidRDefault="007C7275" w:rsidP="007C7275">
            <w:pPr>
              <w:spacing w:after="0" w:line="240" w:lineRule="auto"/>
              <w:jc w:val="center"/>
              <w:rPr>
                <w:rFonts w:ascii="Trebuchet MS" w:eastAsia="Times New Roman" w:hAnsi="Trebuchet MS" w:cs="Calibri Light"/>
                <w:b/>
                <w:color w:val="000000"/>
                <w:sz w:val="16"/>
                <w:szCs w:val="16"/>
                <w:lang w:bidi="th-TH"/>
              </w:rPr>
            </w:pPr>
            <w:r w:rsidRPr="00CF7D40">
              <w:rPr>
                <w:rFonts w:ascii="Trebuchet MS" w:eastAsia="Times New Roman" w:hAnsi="Trebuchet MS" w:cs="Calibri"/>
                <w:b/>
                <w:color w:val="000000" w:themeColor="text1"/>
                <w:sz w:val="16"/>
                <w:szCs w:val="16"/>
                <w:lang w:bidi="th-TH"/>
              </w:rPr>
              <w:t>2017-22*</w:t>
            </w:r>
          </w:p>
        </w:tc>
      </w:tr>
      <w:tr w:rsidR="003828BD" w:rsidRPr="009D362F" w14:paraId="50101EEB" w14:textId="77777777" w:rsidTr="000261A7">
        <w:trPr>
          <w:trHeight w:val="342"/>
        </w:trPr>
        <w:tc>
          <w:tcPr>
            <w:tcW w:w="3780" w:type="dxa"/>
            <w:gridSpan w:val="3"/>
            <w:vMerge w:val="restart"/>
            <w:tcBorders>
              <w:top w:val="single" w:sz="4" w:space="0" w:color="auto"/>
            </w:tcBorders>
            <w:shd w:val="clear" w:color="auto" w:fill="auto"/>
            <w:vAlign w:val="center"/>
            <w:hideMark/>
          </w:tcPr>
          <w:p w14:paraId="2A57DBEC" w14:textId="024FB27C"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b/>
                <w:bCs/>
                <w:color w:val="000000"/>
                <w:sz w:val="14"/>
                <w:szCs w:val="14"/>
                <w:lang w:bidi="th-TH"/>
              </w:rPr>
              <w:t> </w:t>
            </w:r>
            <w:r w:rsidRPr="00487807">
              <w:rPr>
                <w:rFonts w:ascii="Trebuchet MS" w:eastAsia="Times New Roman" w:hAnsi="Trebuchet MS" w:cs="Calibri Light"/>
                <w:color w:val="000000"/>
                <w:sz w:val="16"/>
                <w:szCs w:val="16"/>
                <w:lang w:bidi="th-TH"/>
              </w:rPr>
              <w:t>Poverty reduction and shared prosperity</w:t>
            </w:r>
          </w:p>
        </w:tc>
        <w:tc>
          <w:tcPr>
            <w:tcW w:w="1620" w:type="dxa"/>
            <w:tcBorders>
              <w:top w:val="single" w:sz="4" w:space="0" w:color="auto"/>
            </w:tcBorders>
            <w:shd w:val="clear" w:color="auto" w:fill="auto"/>
            <w:vAlign w:val="center"/>
            <w:hideMark/>
          </w:tcPr>
          <w:p w14:paraId="079CC7B3" w14:textId="77777777"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GDP growth </w:t>
            </w:r>
          </w:p>
        </w:tc>
        <w:tc>
          <w:tcPr>
            <w:tcW w:w="990" w:type="dxa"/>
            <w:tcBorders>
              <w:top w:val="single" w:sz="4" w:space="0" w:color="auto"/>
            </w:tcBorders>
            <w:shd w:val="clear" w:color="auto" w:fill="auto"/>
            <w:vAlign w:val="center"/>
            <w:hideMark/>
          </w:tcPr>
          <w:p w14:paraId="24A5E523" w14:textId="0AA20ECF"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3.5</w:t>
            </w:r>
          </w:p>
        </w:tc>
        <w:tc>
          <w:tcPr>
            <w:tcW w:w="990" w:type="dxa"/>
            <w:tcBorders>
              <w:top w:val="single" w:sz="4" w:space="0" w:color="auto"/>
            </w:tcBorders>
            <w:shd w:val="clear" w:color="auto" w:fill="auto"/>
            <w:vAlign w:val="center"/>
            <w:hideMark/>
          </w:tcPr>
          <w:p w14:paraId="0B5431A8" w14:textId="65702597"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2.9</w:t>
            </w:r>
          </w:p>
        </w:tc>
        <w:tc>
          <w:tcPr>
            <w:tcW w:w="968" w:type="dxa"/>
            <w:tcBorders>
              <w:top w:val="single" w:sz="4" w:space="0" w:color="auto"/>
            </w:tcBorders>
            <w:shd w:val="clear" w:color="auto" w:fill="D6DCE4"/>
            <w:vAlign w:val="center"/>
            <w:hideMark/>
          </w:tcPr>
          <w:p w14:paraId="3801A783" w14:textId="477C1237"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3.4</w:t>
            </w:r>
          </w:p>
        </w:tc>
        <w:tc>
          <w:tcPr>
            <w:tcW w:w="1012" w:type="dxa"/>
            <w:tcBorders>
              <w:top w:val="single" w:sz="4" w:space="0" w:color="auto"/>
            </w:tcBorders>
            <w:shd w:val="clear" w:color="auto" w:fill="D6DCE4"/>
            <w:vAlign w:val="center"/>
            <w:hideMark/>
          </w:tcPr>
          <w:p w14:paraId="3284303F" w14:textId="3983D784"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4.3</w:t>
            </w:r>
          </w:p>
        </w:tc>
      </w:tr>
      <w:tr w:rsidR="003828BD" w:rsidRPr="009D362F" w14:paraId="6AE507CF" w14:textId="77777777" w:rsidTr="000261A7">
        <w:trPr>
          <w:trHeight w:val="342"/>
        </w:trPr>
        <w:tc>
          <w:tcPr>
            <w:tcW w:w="3780" w:type="dxa"/>
            <w:gridSpan w:val="3"/>
            <w:vMerge/>
            <w:vAlign w:val="center"/>
            <w:hideMark/>
          </w:tcPr>
          <w:p w14:paraId="42BC25D7" w14:textId="77777777" w:rsidR="009545E3" w:rsidRPr="00487807" w:rsidRDefault="009545E3" w:rsidP="007C7275">
            <w:pPr>
              <w:spacing w:after="0" w:line="240" w:lineRule="auto"/>
              <w:rPr>
                <w:rFonts w:ascii="Trebuchet MS" w:eastAsia="Times New Roman" w:hAnsi="Trebuchet MS" w:cs="Calibri Light"/>
                <w:color w:val="000000"/>
                <w:sz w:val="16"/>
                <w:szCs w:val="16"/>
                <w:lang w:bidi="th-TH"/>
              </w:rPr>
            </w:pPr>
          </w:p>
        </w:tc>
        <w:tc>
          <w:tcPr>
            <w:tcW w:w="1620" w:type="dxa"/>
            <w:shd w:val="clear" w:color="auto" w:fill="auto"/>
            <w:vAlign w:val="center"/>
            <w:hideMark/>
          </w:tcPr>
          <w:p w14:paraId="47048D96" w14:textId="77777777"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Poverty rate†</w:t>
            </w:r>
          </w:p>
        </w:tc>
        <w:tc>
          <w:tcPr>
            <w:tcW w:w="990" w:type="dxa"/>
            <w:shd w:val="clear" w:color="auto" w:fill="auto"/>
            <w:vAlign w:val="center"/>
            <w:hideMark/>
          </w:tcPr>
          <w:p w14:paraId="32C5DD9A" w14:textId="448ED97A" w:rsidR="009545E3" w:rsidRPr="2BAA7468"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2BAA7468">
              <w:rPr>
                <w:rFonts w:ascii="Trebuchet MS" w:eastAsia="Times New Roman" w:hAnsi="Trebuchet MS" w:cs="Calibri Light"/>
                <w:color w:val="000000" w:themeColor="text1"/>
                <w:sz w:val="16"/>
                <w:szCs w:val="16"/>
                <w:lang w:bidi="th-TH"/>
              </w:rPr>
              <w:t>18.7</w:t>
            </w:r>
          </w:p>
          <w:p w14:paraId="53439DE0" w14:textId="3739EC12" w:rsidR="009545E3" w:rsidRPr="692B2049" w:rsidRDefault="009545E3" w:rsidP="007C7275">
            <w:pPr>
              <w:spacing w:after="0" w:line="240" w:lineRule="auto"/>
              <w:jc w:val="center"/>
              <w:rPr>
                <w:rFonts w:ascii="Trebuchet MS" w:eastAsia="Times New Roman" w:hAnsi="Trebuchet MS" w:cs="Calibri Light"/>
                <w:color w:val="000000" w:themeColor="text1"/>
                <w:sz w:val="16"/>
                <w:szCs w:val="16"/>
                <w:lang w:bidi="th-TH"/>
              </w:rPr>
            </w:pPr>
          </w:p>
        </w:tc>
        <w:tc>
          <w:tcPr>
            <w:tcW w:w="990" w:type="dxa"/>
            <w:shd w:val="clear" w:color="auto" w:fill="auto"/>
            <w:vAlign w:val="center"/>
            <w:hideMark/>
          </w:tcPr>
          <w:p w14:paraId="78A55803" w14:textId="324DAA79" w:rsidR="009545E3" w:rsidRPr="692B2049"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692B2049">
              <w:rPr>
                <w:rFonts w:ascii="Trebuchet MS" w:eastAsia="Times New Roman" w:hAnsi="Trebuchet MS" w:cs="Calibri Light"/>
                <w:color w:val="000000" w:themeColor="text1"/>
                <w:sz w:val="16"/>
                <w:szCs w:val="16"/>
                <w:lang w:bidi="th-TH"/>
              </w:rPr>
              <w:t>13.2</w:t>
            </w:r>
          </w:p>
        </w:tc>
        <w:tc>
          <w:tcPr>
            <w:tcW w:w="968" w:type="dxa"/>
            <w:shd w:val="clear" w:color="auto" w:fill="D6DCE4"/>
            <w:vAlign w:val="center"/>
            <w:hideMark/>
          </w:tcPr>
          <w:p w14:paraId="34E6DC46" w14:textId="442244B5" w:rsidR="009545E3" w:rsidRPr="2BAA7468"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692B2049">
              <w:rPr>
                <w:rFonts w:ascii="Trebuchet MS" w:eastAsia="Times New Roman" w:hAnsi="Trebuchet MS" w:cs="Calibri Light"/>
                <w:color w:val="000000" w:themeColor="text1"/>
                <w:sz w:val="16"/>
                <w:szCs w:val="16"/>
                <w:lang w:bidi="th-TH"/>
              </w:rPr>
              <w:t>28.7</w:t>
            </w:r>
          </w:p>
        </w:tc>
        <w:tc>
          <w:tcPr>
            <w:tcW w:w="1012" w:type="dxa"/>
            <w:shd w:val="clear" w:color="auto" w:fill="D6DCE4"/>
            <w:vAlign w:val="center"/>
          </w:tcPr>
          <w:p w14:paraId="2B3A3BE5" w14:textId="1F3A0C6C" w:rsidR="009545E3" w:rsidRPr="2BAA7468"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2BAA7468">
              <w:rPr>
                <w:rFonts w:ascii="Trebuchet MS" w:eastAsia="Times New Roman" w:hAnsi="Trebuchet MS" w:cs="Calibri Light"/>
                <w:color w:val="000000" w:themeColor="text1"/>
                <w:sz w:val="16"/>
                <w:szCs w:val="16"/>
                <w:lang w:bidi="th-TH"/>
              </w:rPr>
              <w:t>15.0</w:t>
            </w:r>
          </w:p>
        </w:tc>
      </w:tr>
      <w:tr w:rsidR="003828BD" w:rsidRPr="009D362F" w14:paraId="7CDC11C0" w14:textId="77777777" w:rsidTr="000261A7">
        <w:trPr>
          <w:trHeight w:val="342"/>
        </w:trPr>
        <w:tc>
          <w:tcPr>
            <w:tcW w:w="3780" w:type="dxa"/>
            <w:gridSpan w:val="3"/>
            <w:vMerge/>
            <w:vAlign w:val="center"/>
            <w:hideMark/>
          </w:tcPr>
          <w:p w14:paraId="3E06C610" w14:textId="77777777" w:rsidR="009545E3" w:rsidRPr="00487807" w:rsidRDefault="009545E3" w:rsidP="007C7275">
            <w:pPr>
              <w:spacing w:after="0" w:line="240" w:lineRule="auto"/>
              <w:rPr>
                <w:rFonts w:ascii="Trebuchet MS" w:eastAsia="Times New Roman" w:hAnsi="Trebuchet MS" w:cs="Calibri Light"/>
                <w:color w:val="000000"/>
                <w:sz w:val="16"/>
                <w:szCs w:val="16"/>
                <w:lang w:bidi="th-TH"/>
              </w:rPr>
            </w:pPr>
          </w:p>
        </w:tc>
        <w:tc>
          <w:tcPr>
            <w:tcW w:w="1620" w:type="dxa"/>
            <w:shd w:val="clear" w:color="auto" w:fill="auto"/>
            <w:vAlign w:val="center"/>
            <w:hideMark/>
          </w:tcPr>
          <w:p w14:paraId="24E9202B" w14:textId="77777777" w:rsidR="009545E3" w:rsidRPr="00487807" w:rsidRDefault="009545E3"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Gini††</w:t>
            </w:r>
          </w:p>
        </w:tc>
        <w:tc>
          <w:tcPr>
            <w:tcW w:w="990" w:type="dxa"/>
            <w:shd w:val="clear" w:color="auto" w:fill="auto"/>
            <w:vAlign w:val="center"/>
            <w:hideMark/>
          </w:tcPr>
          <w:p w14:paraId="662A9776" w14:textId="6E13B964" w:rsidR="009545E3" w:rsidRPr="73C5C582"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73C5C582">
              <w:rPr>
                <w:rFonts w:ascii="Trebuchet MS" w:eastAsia="Times New Roman" w:hAnsi="Trebuchet MS" w:cs="Calibri Light"/>
                <w:color w:val="000000" w:themeColor="text1"/>
                <w:sz w:val="16"/>
                <w:szCs w:val="16"/>
                <w:lang w:bidi="th-TH"/>
              </w:rPr>
              <w:t>37.0</w:t>
            </w:r>
          </w:p>
          <w:p w14:paraId="67802616" w14:textId="05BC1390" w:rsidR="009545E3" w:rsidRPr="73C5C582" w:rsidRDefault="009545E3" w:rsidP="007C7275">
            <w:pPr>
              <w:spacing w:after="0" w:line="240" w:lineRule="auto"/>
              <w:jc w:val="center"/>
              <w:rPr>
                <w:rFonts w:ascii="Trebuchet MS" w:eastAsia="Times New Roman" w:hAnsi="Trebuchet MS" w:cs="Calibri Light"/>
                <w:color w:val="000000" w:themeColor="text1"/>
                <w:sz w:val="16"/>
                <w:szCs w:val="16"/>
                <w:lang w:bidi="th-TH"/>
              </w:rPr>
            </w:pPr>
          </w:p>
        </w:tc>
        <w:tc>
          <w:tcPr>
            <w:tcW w:w="990" w:type="dxa"/>
            <w:shd w:val="clear" w:color="auto" w:fill="auto"/>
            <w:vAlign w:val="center"/>
            <w:hideMark/>
          </w:tcPr>
          <w:p w14:paraId="3ACBABEA" w14:textId="2507E057" w:rsidR="009545E3" w:rsidRPr="73C5C582"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73C5C582">
              <w:rPr>
                <w:rFonts w:ascii="Trebuchet MS" w:eastAsia="Times New Roman" w:hAnsi="Trebuchet MS" w:cs="Calibri Light"/>
                <w:color w:val="000000" w:themeColor="text1"/>
                <w:sz w:val="16"/>
                <w:szCs w:val="16"/>
                <w:lang w:bidi="th-TH"/>
              </w:rPr>
              <w:t>35.0</w:t>
            </w:r>
          </w:p>
        </w:tc>
        <w:tc>
          <w:tcPr>
            <w:tcW w:w="968" w:type="dxa"/>
            <w:shd w:val="clear" w:color="auto" w:fill="D6DCE4"/>
            <w:vAlign w:val="center"/>
            <w:hideMark/>
          </w:tcPr>
          <w:p w14:paraId="5DEDCA97" w14:textId="6CF11266" w:rsidR="009545E3" w:rsidRPr="692B2049"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73C5C582">
              <w:rPr>
                <w:rFonts w:ascii="Trebuchet MS" w:eastAsia="Times New Roman" w:hAnsi="Trebuchet MS" w:cs="Calibri Light"/>
                <w:color w:val="000000" w:themeColor="text1"/>
                <w:sz w:val="16"/>
                <w:szCs w:val="16"/>
                <w:lang w:bidi="th-TH"/>
              </w:rPr>
              <w:t>34.7</w:t>
            </w:r>
          </w:p>
        </w:tc>
        <w:tc>
          <w:tcPr>
            <w:tcW w:w="1012" w:type="dxa"/>
            <w:shd w:val="clear" w:color="auto" w:fill="D6DCE4"/>
            <w:vAlign w:val="center"/>
          </w:tcPr>
          <w:p w14:paraId="2489DD2C" w14:textId="274ABAC1" w:rsidR="009545E3" w:rsidRPr="692B2049" w:rsidRDefault="009545E3" w:rsidP="007C7275">
            <w:pPr>
              <w:spacing w:after="0" w:line="240" w:lineRule="auto"/>
              <w:jc w:val="center"/>
              <w:rPr>
                <w:rFonts w:ascii="Trebuchet MS" w:eastAsia="Times New Roman" w:hAnsi="Trebuchet MS" w:cs="Calibri Light"/>
                <w:color w:val="000000" w:themeColor="text1"/>
                <w:sz w:val="16"/>
                <w:szCs w:val="16"/>
                <w:lang w:bidi="th-TH"/>
              </w:rPr>
            </w:pPr>
            <w:r w:rsidRPr="692B2049">
              <w:rPr>
                <w:rFonts w:ascii="Trebuchet MS" w:eastAsia="Times New Roman" w:hAnsi="Trebuchet MS" w:cs="Calibri Light"/>
                <w:color w:val="000000" w:themeColor="text1"/>
                <w:sz w:val="16"/>
                <w:szCs w:val="16"/>
                <w:lang w:bidi="th-TH"/>
              </w:rPr>
              <w:t>33.1</w:t>
            </w:r>
          </w:p>
        </w:tc>
      </w:tr>
      <w:tr w:rsidR="003828BD" w:rsidRPr="009D362F" w14:paraId="5B230B2D" w14:textId="77777777" w:rsidTr="000261A7">
        <w:trPr>
          <w:trHeight w:val="450"/>
        </w:trPr>
        <w:tc>
          <w:tcPr>
            <w:tcW w:w="705" w:type="dxa"/>
            <w:vMerge w:val="restart"/>
            <w:shd w:val="clear" w:color="auto" w:fill="auto"/>
            <w:textDirection w:val="btLr"/>
            <w:vAlign w:val="center"/>
            <w:hideMark/>
          </w:tcPr>
          <w:p w14:paraId="21A1DEF3" w14:textId="77777777" w:rsidR="007C7275" w:rsidRPr="00487807" w:rsidRDefault="007C7275" w:rsidP="007C7275">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 xml:space="preserve">Pathway 1: </w:t>
            </w:r>
            <w:r w:rsidRPr="00487807">
              <w:rPr>
                <w:rFonts w:ascii="Trebuchet MS" w:eastAsia="Times New Roman" w:hAnsi="Trebuchet MS" w:cs="Calibri Light"/>
                <w:color w:val="000000"/>
                <w:sz w:val="16"/>
                <w:szCs w:val="16"/>
                <w:lang w:bidi="th-TH"/>
              </w:rPr>
              <w:t>Creating more and better jobs</w:t>
            </w:r>
          </w:p>
        </w:tc>
        <w:tc>
          <w:tcPr>
            <w:tcW w:w="278" w:type="dxa"/>
            <w:vMerge w:val="restart"/>
            <w:shd w:val="clear" w:color="auto" w:fill="auto"/>
            <w:vAlign w:val="center"/>
            <w:hideMark/>
          </w:tcPr>
          <w:p w14:paraId="59F2CED7"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w:t>
            </w:r>
          </w:p>
        </w:tc>
        <w:tc>
          <w:tcPr>
            <w:tcW w:w="2797" w:type="dxa"/>
            <w:vMerge w:val="restart"/>
            <w:shd w:val="clear" w:color="auto" w:fill="auto"/>
            <w:vAlign w:val="center"/>
            <w:hideMark/>
          </w:tcPr>
          <w:p w14:paraId="52F601A5"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Boosting investment in infrastructure</w:t>
            </w:r>
          </w:p>
        </w:tc>
        <w:tc>
          <w:tcPr>
            <w:tcW w:w="1620" w:type="dxa"/>
            <w:vMerge w:val="restart"/>
            <w:shd w:val="clear" w:color="auto" w:fill="auto"/>
            <w:vAlign w:val="center"/>
            <w:hideMark/>
          </w:tcPr>
          <w:p w14:paraId="61517194" w14:textId="77777777" w:rsidR="00445B46"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Gross Fixed Capital Formation </w:t>
            </w:r>
          </w:p>
          <w:p w14:paraId="42A9F43A" w14:textId="026E6CD2"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w:t>
            </w:r>
            <w:proofErr w:type="gramStart"/>
            <w:r w:rsidRPr="00487807">
              <w:rPr>
                <w:rFonts w:ascii="Trebuchet MS" w:eastAsia="Times New Roman" w:hAnsi="Trebuchet MS" w:cs="Calibri Light"/>
                <w:color w:val="000000"/>
                <w:sz w:val="16"/>
                <w:szCs w:val="16"/>
                <w:lang w:bidi="th-TH"/>
              </w:rPr>
              <w:t>annual</w:t>
            </w:r>
            <w:proofErr w:type="gramEnd"/>
            <w:r w:rsidRPr="00487807">
              <w:rPr>
                <w:rFonts w:ascii="Trebuchet MS" w:eastAsia="Times New Roman" w:hAnsi="Trebuchet MS" w:cs="Calibri Light"/>
                <w:color w:val="000000"/>
                <w:sz w:val="16"/>
                <w:szCs w:val="16"/>
                <w:lang w:bidi="th-TH"/>
              </w:rPr>
              <w:t xml:space="preserve"> growth, percent)</w:t>
            </w:r>
          </w:p>
        </w:tc>
        <w:tc>
          <w:tcPr>
            <w:tcW w:w="990" w:type="dxa"/>
            <w:vMerge w:val="restart"/>
            <w:shd w:val="clear" w:color="auto" w:fill="auto"/>
            <w:vAlign w:val="center"/>
            <w:hideMark/>
          </w:tcPr>
          <w:p w14:paraId="0D0B3462" w14:textId="7EB1B8D6"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2.9</w:t>
            </w:r>
          </w:p>
        </w:tc>
        <w:tc>
          <w:tcPr>
            <w:tcW w:w="990" w:type="dxa"/>
            <w:vMerge w:val="restart"/>
            <w:shd w:val="clear" w:color="auto" w:fill="auto"/>
            <w:vAlign w:val="center"/>
            <w:hideMark/>
          </w:tcPr>
          <w:p w14:paraId="01E548E1" w14:textId="1F55933C"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2.6</w:t>
            </w:r>
          </w:p>
        </w:tc>
        <w:tc>
          <w:tcPr>
            <w:tcW w:w="968" w:type="dxa"/>
            <w:vMerge w:val="restart"/>
            <w:shd w:val="clear" w:color="auto" w:fill="D6DCE4"/>
            <w:vAlign w:val="center"/>
            <w:hideMark/>
          </w:tcPr>
          <w:p w14:paraId="542998D5" w14:textId="224BD7B2"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8.6</w:t>
            </w:r>
          </w:p>
        </w:tc>
        <w:tc>
          <w:tcPr>
            <w:tcW w:w="1012" w:type="dxa"/>
            <w:vMerge w:val="restart"/>
            <w:shd w:val="clear" w:color="auto" w:fill="D6DCE4"/>
            <w:vAlign w:val="center"/>
            <w:hideMark/>
          </w:tcPr>
          <w:p w14:paraId="5AD90CF4" w14:textId="29C66DA0"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6.0</w:t>
            </w:r>
          </w:p>
        </w:tc>
      </w:tr>
      <w:tr w:rsidR="003828BD" w:rsidRPr="009D362F" w14:paraId="400003E8" w14:textId="77777777" w:rsidTr="000261A7">
        <w:trPr>
          <w:trHeight w:val="450"/>
        </w:trPr>
        <w:tc>
          <w:tcPr>
            <w:tcW w:w="705" w:type="dxa"/>
            <w:vMerge/>
            <w:vAlign w:val="center"/>
            <w:hideMark/>
          </w:tcPr>
          <w:p w14:paraId="6A70B4B5"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vMerge/>
            <w:vAlign w:val="center"/>
            <w:hideMark/>
          </w:tcPr>
          <w:p w14:paraId="00D16B29"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2797" w:type="dxa"/>
            <w:vMerge/>
            <w:vAlign w:val="center"/>
            <w:hideMark/>
          </w:tcPr>
          <w:p w14:paraId="7D08AA7B"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1620" w:type="dxa"/>
            <w:vMerge/>
            <w:vAlign w:val="center"/>
            <w:hideMark/>
          </w:tcPr>
          <w:p w14:paraId="50811F6E"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990" w:type="dxa"/>
            <w:vMerge/>
            <w:vAlign w:val="center"/>
            <w:hideMark/>
          </w:tcPr>
          <w:p w14:paraId="049F8FD0"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90" w:type="dxa"/>
            <w:vMerge/>
            <w:vAlign w:val="center"/>
            <w:hideMark/>
          </w:tcPr>
          <w:p w14:paraId="785CD1A9"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68" w:type="dxa"/>
            <w:vMerge/>
            <w:shd w:val="clear" w:color="auto" w:fill="D6DCE4"/>
            <w:vAlign w:val="center"/>
            <w:hideMark/>
          </w:tcPr>
          <w:p w14:paraId="1BE43BF4"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1012" w:type="dxa"/>
            <w:vMerge/>
            <w:shd w:val="clear" w:color="auto" w:fill="D6DCE4"/>
            <w:vAlign w:val="center"/>
            <w:hideMark/>
          </w:tcPr>
          <w:p w14:paraId="1DDCC759"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r>
      <w:tr w:rsidR="003828BD" w:rsidRPr="009D362F" w14:paraId="05CE1250" w14:textId="77777777" w:rsidTr="000261A7">
        <w:trPr>
          <w:trHeight w:val="450"/>
        </w:trPr>
        <w:tc>
          <w:tcPr>
            <w:tcW w:w="705" w:type="dxa"/>
            <w:vMerge/>
            <w:vAlign w:val="center"/>
            <w:hideMark/>
          </w:tcPr>
          <w:p w14:paraId="5BA2C1EF"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vMerge w:val="restart"/>
            <w:shd w:val="clear" w:color="auto" w:fill="auto"/>
            <w:vAlign w:val="center"/>
            <w:hideMark/>
          </w:tcPr>
          <w:p w14:paraId="0DF6C1D2"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w:t>
            </w:r>
          </w:p>
        </w:tc>
        <w:tc>
          <w:tcPr>
            <w:tcW w:w="2797" w:type="dxa"/>
            <w:vMerge w:val="restart"/>
            <w:shd w:val="clear" w:color="auto" w:fill="auto"/>
            <w:vAlign w:val="center"/>
            <w:hideMark/>
          </w:tcPr>
          <w:p w14:paraId="4E766084"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Increasing competition through free trade agreements and deregulation</w:t>
            </w:r>
          </w:p>
        </w:tc>
        <w:tc>
          <w:tcPr>
            <w:tcW w:w="1620" w:type="dxa"/>
            <w:vMerge w:val="restart"/>
            <w:shd w:val="clear" w:color="auto" w:fill="auto"/>
            <w:vAlign w:val="center"/>
            <w:hideMark/>
          </w:tcPr>
          <w:p w14:paraId="059F0073" w14:textId="77777777" w:rsidR="00445B46"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Exports of Goods and Services </w:t>
            </w:r>
          </w:p>
          <w:p w14:paraId="2E618FE1" w14:textId="0C7F2AF0"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w:t>
            </w:r>
            <w:proofErr w:type="gramStart"/>
            <w:r w:rsidRPr="00487807">
              <w:rPr>
                <w:rFonts w:ascii="Trebuchet MS" w:eastAsia="Times New Roman" w:hAnsi="Trebuchet MS" w:cs="Calibri Light"/>
                <w:color w:val="000000"/>
                <w:sz w:val="16"/>
                <w:szCs w:val="16"/>
                <w:lang w:bidi="th-TH"/>
              </w:rPr>
              <w:t>annual</w:t>
            </w:r>
            <w:proofErr w:type="gramEnd"/>
            <w:r w:rsidRPr="00487807">
              <w:rPr>
                <w:rFonts w:ascii="Trebuchet MS" w:eastAsia="Times New Roman" w:hAnsi="Trebuchet MS" w:cs="Calibri Light"/>
                <w:color w:val="000000"/>
                <w:sz w:val="16"/>
                <w:szCs w:val="16"/>
                <w:lang w:bidi="th-TH"/>
              </w:rPr>
              <w:t xml:space="preserve"> growth, percent)</w:t>
            </w:r>
          </w:p>
        </w:tc>
        <w:tc>
          <w:tcPr>
            <w:tcW w:w="990" w:type="dxa"/>
            <w:vMerge w:val="restart"/>
            <w:shd w:val="clear" w:color="auto" w:fill="auto"/>
            <w:vAlign w:val="center"/>
            <w:hideMark/>
          </w:tcPr>
          <w:p w14:paraId="6FD9821A" w14:textId="0985BB4F"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2.1</w:t>
            </w:r>
          </w:p>
        </w:tc>
        <w:tc>
          <w:tcPr>
            <w:tcW w:w="990" w:type="dxa"/>
            <w:vMerge w:val="restart"/>
            <w:shd w:val="clear" w:color="auto" w:fill="auto"/>
            <w:vAlign w:val="center"/>
            <w:hideMark/>
          </w:tcPr>
          <w:p w14:paraId="066117B6" w14:textId="5057D2BA"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3.1</w:t>
            </w:r>
          </w:p>
        </w:tc>
        <w:tc>
          <w:tcPr>
            <w:tcW w:w="968" w:type="dxa"/>
            <w:vMerge w:val="restart"/>
            <w:shd w:val="clear" w:color="auto" w:fill="D6DCE4"/>
            <w:vAlign w:val="center"/>
            <w:hideMark/>
          </w:tcPr>
          <w:p w14:paraId="55D742C2" w14:textId="1F838BF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5.9</w:t>
            </w:r>
          </w:p>
        </w:tc>
        <w:tc>
          <w:tcPr>
            <w:tcW w:w="1012" w:type="dxa"/>
            <w:vMerge w:val="restart"/>
            <w:shd w:val="clear" w:color="auto" w:fill="D5DCE4"/>
            <w:vAlign w:val="center"/>
            <w:hideMark/>
          </w:tcPr>
          <w:p w14:paraId="3E28FBAC" w14:textId="12CA7B96"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7.3</w:t>
            </w:r>
          </w:p>
        </w:tc>
      </w:tr>
      <w:tr w:rsidR="00B21AFE" w:rsidRPr="009D362F" w14:paraId="6B3E5715" w14:textId="77777777" w:rsidTr="000261A7">
        <w:trPr>
          <w:trHeight w:val="450"/>
        </w:trPr>
        <w:tc>
          <w:tcPr>
            <w:tcW w:w="705" w:type="dxa"/>
            <w:vMerge/>
            <w:vAlign w:val="center"/>
            <w:hideMark/>
          </w:tcPr>
          <w:p w14:paraId="4DA14CF8"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vMerge/>
            <w:vAlign w:val="center"/>
            <w:hideMark/>
          </w:tcPr>
          <w:p w14:paraId="4012B1FE"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2797" w:type="dxa"/>
            <w:vMerge/>
            <w:vAlign w:val="center"/>
            <w:hideMark/>
          </w:tcPr>
          <w:p w14:paraId="28432655"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1620" w:type="dxa"/>
            <w:vMerge/>
            <w:vAlign w:val="center"/>
            <w:hideMark/>
          </w:tcPr>
          <w:p w14:paraId="3322422D"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990" w:type="dxa"/>
            <w:vMerge/>
            <w:vAlign w:val="center"/>
            <w:hideMark/>
          </w:tcPr>
          <w:p w14:paraId="44519423"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90" w:type="dxa"/>
            <w:vMerge/>
            <w:vAlign w:val="center"/>
            <w:hideMark/>
          </w:tcPr>
          <w:p w14:paraId="08ACC9C0"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68" w:type="dxa"/>
            <w:vMerge/>
            <w:vAlign w:val="center"/>
            <w:hideMark/>
          </w:tcPr>
          <w:p w14:paraId="67C485B7"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1012" w:type="dxa"/>
            <w:vMerge/>
            <w:vAlign w:val="center"/>
            <w:hideMark/>
          </w:tcPr>
          <w:p w14:paraId="794ABBCE"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r>
      <w:tr w:rsidR="003828BD" w:rsidRPr="009D362F" w14:paraId="7E22F7F4" w14:textId="77777777" w:rsidTr="000261A7">
        <w:trPr>
          <w:trHeight w:val="570"/>
        </w:trPr>
        <w:tc>
          <w:tcPr>
            <w:tcW w:w="705" w:type="dxa"/>
            <w:vMerge/>
            <w:vAlign w:val="center"/>
            <w:hideMark/>
          </w:tcPr>
          <w:p w14:paraId="519FB2D2"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shd w:val="clear" w:color="auto" w:fill="auto"/>
            <w:vAlign w:val="center"/>
            <w:hideMark/>
          </w:tcPr>
          <w:p w14:paraId="769BF53B"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w:t>
            </w:r>
          </w:p>
        </w:tc>
        <w:tc>
          <w:tcPr>
            <w:tcW w:w="2797" w:type="dxa"/>
            <w:shd w:val="clear" w:color="auto" w:fill="auto"/>
            <w:vAlign w:val="center"/>
            <w:hideMark/>
          </w:tcPr>
          <w:p w14:paraId="581BDB8F"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Increase firm-level competitiveness through greater technology absorption and innovation</w:t>
            </w:r>
          </w:p>
        </w:tc>
        <w:tc>
          <w:tcPr>
            <w:tcW w:w="1620" w:type="dxa"/>
            <w:shd w:val="clear" w:color="auto" w:fill="auto"/>
            <w:vAlign w:val="center"/>
            <w:hideMark/>
          </w:tcPr>
          <w:p w14:paraId="3FC2D1FE"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Global Innovation Index</w:t>
            </w:r>
          </w:p>
        </w:tc>
        <w:tc>
          <w:tcPr>
            <w:tcW w:w="990" w:type="dxa"/>
            <w:shd w:val="clear" w:color="auto" w:fill="auto"/>
            <w:vAlign w:val="center"/>
            <w:hideMark/>
          </w:tcPr>
          <w:p w14:paraId="2FFEDD55" w14:textId="327C6740"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37.9</w:t>
            </w:r>
          </w:p>
        </w:tc>
        <w:tc>
          <w:tcPr>
            <w:tcW w:w="990" w:type="dxa"/>
            <w:shd w:val="clear" w:color="auto" w:fill="auto"/>
            <w:vAlign w:val="center"/>
            <w:hideMark/>
          </w:tcPr>
          <w:p w14:paraId="5F7DDA79" w14:textId="19314D00"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37.2</w:t>
            </w:r>
          </w:p>
        </w:tc>
        <w:tc>
          <w:tcPr>
            <w:tcW w:w="968" w:type="dxa"/>
            <w:shd w:val="clear" w:color="auto" w:fill="D6DCE4"/>
            <w:vAlign w:val="center"/>
            <w:hideMark/>
          </w:tcPr>
          <w:p w14:paraId="7A333091" w14:textId="722752A0"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40.2</w:t>
            </w:r>
          </w:p>
        </w:tc>
        <w:tc>
          <w:tcPr>
            <w:tcW w:w="1012" w:type="dxa"/>
            <w:shd w:val="clear" w:color="auto" w:fill="D5DCE4"/>
            <w:vAlign w:val="center"/>
            <w:hideMark/>
          </w:tcPr>
          <w:p w14:paraId="18DB1800" w14:textId="4C2D0F54"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38.7</w:t>
            </w:r>
          </w:p>
        </w:tc>
      </w:tr>
      <w:tr w:rsidR="003828BD" w:rsidRPr="009D362F" w14:paraId="426E3A78" w14:textId="77777777" w:rsidTr="000261A7">
        <w:trPr>
          <w:trHeight w:val="570"/>
        </w:trPr>
        <w:tc>
          <w:tcPr>
            <w:tcW w:w="705" w:type="dxa"/>
            <w:vMerge w:val="restart"/>
            <w:shd w:val="clear" w:color="auto" w:fill="auto"/>
            <w:textDirection w:val="btLr"/>
            <w:vAlign w:val="center"/>
            <w:hideMark/>
          </w:tcPr>
          <w:p w14:paraId="1E8F50CA" w14:textId="77777777" w:rsidR="007C7275" w:rsidRPr="00487807" w:rsidRDefault="007C7275" w:rsidP="007C7275">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 xml:space="preserve">Pathway 2: </w:t>
            </w:r>
            <w:r w:rsidRPr="00487807">
              <w:rPr>
                <w:rFonts w:ascii="Trebuchet MS" w:eastAsia="Times New Roman" w:hAnsi="Trebuchet MS" w:cs="Calibri Light"/>
                <w:color w:val="000000"/>
                <w:sz w:val="16"/>
                <w:szCs w:val="16"/>
                <w:lang w:bidi="th-TH"/>
              </w:rPr>
              <w:t>Providing more support to the B40</w:t>
            </w:r>
          </w:p>
        </w:tc>
        <w:tc>
          <w:tcPr>
            <w:tcW w:w="278" w:type="dxa"/>
            <w:vMerge w:val="restart"/>
            <w:shd w:val="clear" w:color="auto" w:fill="auto"/>
            <w:vAlign w:val="center"/>
            <w:hideMark/>
          </w:tcPr>
          <w:p w14:paraId="7B1B26AD"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w:t>
            </w:r>
          </w:p>
        </w:tc>
        <w:tc>
          <w:tcPr>
            <w:tcW w:w="2797" w:type="dxa"/>
            <w:vMerge w:val="restart"/>
            <w:shd w:val="clear" w:color="auto" w:fill="auto"/>
            <w:vAlign w:val="center"/>
            <w:hideMark/>
          </w:tcPr>
          <w:p w14:paraId="5BA7BE1F"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Improve the overall education and skills of the workforce</w:t>
            </w:r>
          </w:p>
        </w:tc>
        <w:tc>
          <w:tcPr>
            <w:tcW w:w="1620" w:type="dxa"/>
            <w:shd w:val="clear" w:color="auto" w:fill="auto"/>
            <w:vAlign w:val="center"/>
            <w:hideMark/>
          </w:tcPr>
          <w:p w14:paraId="276F766F" w14:textId="77777777" w:rsidR="00445B46"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PISA ranking </w:t>
            </w:r>
          </w:p>
          <w:p w14:paraId="4D358E17" w14:textId="425A90B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w:t>
            </w:r>
            <w:proofErr w:type="gramStart"/>
            <w:r w:rsidRPr="00487807">
              <w:rPr>
                <w:rFonts w:ascii="Trebuchet MS" w:eastAsia="Times New Roman" w:hAnsi="Trebuchet MS" w:cs="Calibri Light"/>
                <w:color w:val="000000"/>
                <w:sz w:val="16"/>
                <w:szCs w:val="16"/>
                <w:lang w:bidi="th-TH"/>
              </w:rPr>
              <w:t>reading</w:t>
            </w:r>
            <w:proofErr w:type="gramEnd"/>
            <w:r w:rsidRPr="00487807">
              <w:rPr>
                <w:rFonts w:ascii="Trebuchet MS" w:eastAsia="Times New Roman" w:hAnsi="Trebuchet MS" w:cs="Calibri Light"/>
                <w:color w:val="000000"/>
                <w:sz w:val="16"/>
                <w:szCs w:val="16"/>
                <w:lang w:bidi="th-TH"/>
              </w:rPr>
              <w:t>; higher score means better outcome)</w:t>
            </w:r>
          </w:p>
        </w:tc>
        <w:tc>
          <w:tcPr>
            <w:tcW w:w="990" w:type="dxa"/>
            <w:shd w:val="clear" w:color="auto" w:fill="auto"/>
            <w:vAlign w:val="center"/>
            <w:hideMark/>
          </w:tcPr>
          <w:p w14:paraId="1A98F89A" w14:textId="00E16F6A"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436.0</w:t>
            </w:r>
          </w:p>
        </w:tc>
        <w:tc>
          <w:tcPr>
            <w:tcW w:w="990" w:type="dxa"/>
            <w:shd w:val="clear" w:color="auto" w:fill="auto"/>
            <w:vAlign w:val="center"/>
            <w:hideMark/>
          </w:tcPr>
          <w:p w14:paraId="7985E32A" w14:textId="209240A8"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432.0</w:t>
            </w:r>
          </w:p>
        </w:tc>
        <w:tc>
          <w:tcPr>
            <w:tcW w:w="968" w:type="dxa"/>
            <w:shd w:val="clear" w:color="auto" w:fill="D6DCE4"/>
            <w:vAlign w:val="center"/>
            <w:hideMark/>
          </w:tcPr>
          <w:p w14:paraId="2068BD71" w14:textId="675B9D2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454.0</w:t>
            </w:r>
          </w:p>
        </w:tc>
        <w:tc>
          <w:tcPr>
            <w:tcW w:w="1012" w:type="dxa"/>
            <w:shd w:val="clear" w:color="auto" w:fill="D5DCE4"/>
            <w:vAlign w:val="center"/>
            <w:hideMark/>
          </w:tcPr>
          <w:p w14:paraId="6D386334" w14:textId="489C08F6"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456.0</w:t>
            </w:r>
          </w:p>
        </w:tc>
      </w:tr>
      <w:tr w:rsidR="003828BD" w:rsidRPr="009D362F" w14:paraId="02942589" w14:textId="77777777" w:rsidTr="000261A7">
        <w:trPr>
          <w:trHeight w:val="570"/>
        </w:trPr>
        <w:tc>
          <w:tcPr>
            <w:tcW w:w="705" w:type="dxa"/>
            <w:vMerge/>
            <w:vAlign w:val="center"/>
            <w:hideMark/>
          </w:tcPr>
          <w:p w14:paraId="19C5ED0E"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vMerge/>
            <w:vAlign w:val="center"/>
            <w:hideMark/>
          </w:tcPr>
          <w:p w14:paraId="5923F54C"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2797" w:type="dxa"/>
            <w:vMerge/>
            <w:vAlign w:val="center"/>
            <w:hideMark/>
          </w:tcPr>
          <w:p w14:paraId="53863BD3"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1620" w:type="dxa"/>
            <w:shd w:val="clear" w:color="auto" w:fill="auto"/>
            <w:vAlign w:val="center"/>
            <w:hideMark/>
          </w:tcPr>
          <w:p w14:paraId="1A804C3C" w14:textId="77777777" w:rsidR="00445B46"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PISA ranking </w:t>
            </w:r>
          </w:p>
          <w:p w14:paraId="5FB1F7F9" w14:textId="7A1F36A5"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w:t>
            </w:r>
            <w:proofErr w:type="gramStart"/>
            <w:r w:rsidRPr="00487807">
              <w:rPr>
                <w:rFonts w:ascii="Trebuchet MS" w:eastAsia="Times New Roman" w:hAnsi="Trebuchet MS" w:cs="Calibri Light"/>
                <w:color w:val="000000"/>
                <w:sz w:val="16"/>
                <w:szCs w:val="16"/>
                <w:lang w:bidi="th-TH"/>
              </w:rPr>
              <w:t>math</w:t>
            </w:r>
            <w:proofErr w:type="gramEnd"/>
            <w:r w:rsidRPr="00487807">
              <w:rPr>
                <w:rFonts w:ascii="Trebuchet MS" w:eastAsia="Times New Roman" w:hAnsi="Trebuchet MS" w:cs="Calibri Light"/>
                <w:color w:val="000000"/>
                <w:sz w:val="16"/>
                <w:szCs w:val="16"/>
                <w:lang w:bidi="th-TH"/>
              </w:rPr>
              <w:t>; higher score means better outcome)</w:t>
            </w:r>
          </w:p>
        </w:tc>
        <w:tc>
          <w:tcPr>
            <w:tcW w:w="990" w:type="dxa"/>
            <w:shd w:val="clear" w:color="auto" w:fill="auto"/>
            <w:vAlign w:val="center"/>
            <w:hideMark/>
          </w:tcPr>
          <w:p w14:paraId="498301FE" w14:textId="0856F5D6"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415.0</w:t>
            </w:r>
          </w:p>
        </w:tc>
        <w:tc>
          <w:tcPr>
            <w:tcW w:w="990" w:type="dxa"/>
            <w:shd w:val="clear" w:color="auto" w:fill="auto"/>
            <w:vAlign w:val="center"/>
            <w:hideMark/>
          </w:tcPr>
          <w:p w14:paraId="41F054C0" w14:textId="2AE636B2"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419.0</w:t>
            </w:r>
          </w:p>
        </w:tc>
        <w:tc>
          <w:tcPr>
            <w:tcW w:w="968" w:type="dxa"/>
            <w:shd w:val="clear" w:color="auto" w:fill="D6DCE4"/>
            <w:vAlign w:val="center"/>
            <w:hideMark/>
          </w:tcPr>
          <w:p w14:paraId="3BF01DAC" w14:textId="448E1F94"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429.0</w:t>
            </w:r>
          </w:p>
        </w:tc>
        <w:tc>
          <w:tcPr>
            <w:tcW w:w="1012" w:type="dxa"/>
            <w:shd w:val="clear" w:color="auto" w:fill="D5DCE4"/>
            <w:vAlign w:val="center"/>
            <w:hideMark/>
          </w:tcPr>
          <w:p w14:paraId="05AF13BF" w14:textId="0C66823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435.0</w:t>
            </w:r>
          </w:p>
        </w:tc>
      </w:tr>
      <w:tr w:rsidR="003828BD" w:rsidRPr="009D362F" w14:paraId="28F7591C" w14:textId="77777777" w:rsidTr="000261A7">
        <w:trPr>
          <w:trHeight w:val="450"/>
        </w:trPr>
        <w:tc>
          <w:tcPr>
            <w:tcW w:w="705" w:type="dxa"/>
            <w:vMerge/>
            <w:vAlign w:val="center"/>
            <w:hideMark/>
          </w:tcPr>
          <w:p w14:paraId="0870A7D4"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vMerge w:val="restart"/>
            <w:shd w:val="clear" w:color="auto" w:fill="auto"/>
            <w:vAlign w:val="center"/>
            <w:hideMark/>
          </w:tcPr>
          <w:p w14:paraId="64E32630"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5</w:t>
            </w:r>
          </w:p>
        </w:tc>
        <w:tc>
          <w:tcPr>
            <w:tcW w:w="2797" w:type="dxa"/>
            <w:vMerge w:val="restart"/>
            <w:shd w:val="clear" w:color="auto" w:fill="auto"/>
            <w:vAlign w:val="center"/>
            <w:hideMark/>
          </w:tcPr>
          <w:p w14:paraId="793CFCC8"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Implement effective policies to boost agricultural productivity</w:t>
            </w:r>
          </w:p>
        </w:tc>
        <w:tc>
          <w:tcPr>
            <w:tcW w:w="1620" w:type="dxa"/>
            <w:vMerge w:val="restart"/>
            <w:shd w:val="clear" w:color="auto" w:fill="auto"/>
            <w:vAlign w:val="center"/>
            <w:hideMark/>
          </w:tcPr>
          <w:p w14:paraId="33BA7127" w14:textId="28C5C04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3B0A11">
              <w:rPr>
                <w:rFonts w:ascii="Trebuchet MS" w:eastAsia="Times New Roman" w:hAnsi="Trebuchet MS" w:cs="Calibri Light"/>
                <w:color w:val="000000"/>
                <w:sz w:val="16"/>
                <w:szCs w:val="16"/>
                <w:lang w:bidi="th-TH"/>
              </w:rPr>
              <w:t>Agriculture productivity (Output per employment, constant 2015 USD)</w:t>
            </w:r>
          </w:p>
        </w:tc>
        <w:tc>
          <w:tcPr>
            <w:tcW w:w="990" w:type="dxa"/>
            <w:vMerge w:val="restart"/>
            <w:shd w:val="clear" w:color="auto" w:fill="auto"/>
            <w:vAlign w:val="center"/>
            <w:hideMark/>
          </w:tcPr>
          <w:p w14:paraId="1293BF9C" w14:textId="772F4B14"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2,736</w:t>
            </w:r>
          </w:p>
        </w:tc>
        <w:tc>
          <w:tcPr>
            <w:tcW w:w="990" w:type="dxa"/>
            <w:vMerge w:val="restart"/>
            <w:shd w:val="clear" w:color="auto" w:fill="auto"/>
            <w:vAlign w:val="center"/>
            <w:hideMark/>
          </w:tcPr>
          <w:p w14:paraId="492A805D" w14:textId="3F24A323"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3,210</w:t>
            </w:r>
          </w:p>
        </w:tc>
        <w:tc>
          <w:tcPr>
            <w:tcW w:w="968" w:type="dxa"/>
            <w:vMerge w:val="restart"/>
            <w:shd w:val="clear" w:color="auto" w:fill="D6DCE4"/>
            <w:vAlign w:val="center"/>
            <w:hideMark/>
          </w:tcPr>
          <w:p w14:paraId="7E8B4E91" w14:textId="5D544CC6"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10,135</w:t>
            </w:r>
          </w:p>
        </w:tc>
        <w:tc>
          <w:tcPr>
            <w:tcW w:w="1012" w:type="dxa"/>
            <w:vMerge w:val="restart"/>
            <w:shd w:val="clear" w:color="auto" w:fill="D6DCE4"/>
            <w:vAlign w:val="center"/>
            <w:hideMark/>
          </w:tcPr>
          <w:p w14:paraId="41520843" w14:textId="0313384F"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11,332</w:t>
            </w:r>
          </w:p>
        </w:tc>
      </w:tr>
      <w:tr w:rsidR="003828BD" w:rsidRPr="009D362F" w14:paraId="5320CF4E" w14:textId="77777777" w:rsidTr="000261A7">
        <w:trPr>
          <w:trHeight w:val="450"/>
        </w:trPr>
        <w:tc>
          <w:tcPr>
            <w:tcW w:w="705" w:type="dxa"/>
            <w:vMerge/>
            <w:vAlign w:val="center"/>
            <w:hideMark/>
          </w:tcPr>
          <w:p w14:paraId="342250AE"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vMerge/>
            <w:vAlign w:val="center"/>
            <w:hideMark/>
          </w:tcPr>
          <w:p w14:paraId="237DF4F6"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2797" w:type="dxa"/>
            <w:vMerge/>
            <w:vAlign w:val="center"/>
            <w:hideMark/>
          </w:tcPr>
          <w:p w14:paraId="322B3B5D"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1620" w:type="dxa"/>
            <w:vMerge/>
            <w:vAlign w:val="center"/>
            <w:hideMark/>
          </w:tcPr>
          <w:p w14:paraId="3F9128E4"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990" w:type="dxa"/>
            <w:vMerge/>
            <w:vAlign w:val="center"/>
            <w:hideMark/>
          </w:tcPr>
          <w:p w14:paraId="3EDA7EF5"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90" w:type="dxa"/>
            <w:vMerge/>
            <w:vAlign w:val="center"/>
            <w:hideMark/>
          </w:tcPr>
          <w:p w14:paraId="5F454575"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68" w:type="dxa"/>
            <w:vMerge/>
            <w:shd w:val="clear" w:color="auto" w:fill="D6DCE4"/>
            <w:vAlign w:val="center"/>
            <w:hideMark/>
          </w:tcPr>
          <w:p w14:paraId="7F868C24"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1012" w:type="dxa"/>
            <w:vMerge/>
            <w:shd w:val="clear" w:color="auto" w:fill="D6DCE4"/>
            <w:vAlign w:val="center"/>
            <w:hideMark/>
          </w:tcPr>
          <w:p w14:paraId="67BB3DD5"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r>
      <w:tr w:rsidR="003828BD" w:rsidRPr="009D362F" w14:paraId="3AE037B7" w14:textId="77777777" w:rsidTr="000261A7">
        <w:trPr>
          <w:trHeight w:val="570"/>
        </w:trPr>
        <w:tc>
          <w:tcPr>
            <w:tcW w:w="705" w:type="dxa"/>
            <w:vMerge/>
            <w:vAlign w:val="center"/>
            <w:hideMark/>
          </w:tcPr>
          <w:p w14:paraId="2CBDC292" w14:textId="77777777" w:rsidR="007C7275" w:rsidRPr="00487807" w:rsidRDefault="007C7275" w:rsidP="007C7275">
            <w:pPr>
              <w:spacing w:after="0" w:line="240" w:lineRule="auto"/>
              <w:rPr>
                <w:rFonts w:ascii="Trebuchet MS" w:eastAsia="Times New Roman" w:hAnsi="Trebuchet MS" w:cs="Calibri Light"/>
                <w:b/>
                <w:bCs/>
                <w:color w:val="000000"/>
                <w:sz w:val="16"/>
                <w:szCs w:val="16"/>
                <w:lang w:bidi="th-TH"/>
              </w:rPr>
            </w:pPr>
          </w:p>
        </w:tc>
        <w:tc>
          <w:tcPr>
            <w:tcW w:w="278" w:type="dxa"/>
            <w:shd w:val="clear" w:color="auto" w:fill="auto"/>
            <w:vAlign w:val="center"/>
            <w:hideMark/>
          </w:tcPr>
          <w:p w14:paraId="06DE2FB6"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6</w:t>
            </w:r>
          </w:p>
        </w:tc>
        <w:tc>
          <w:tcPr>
            <w:tcW w:w="2797" w:type="dxa"/>
            <w:shd w:val="clear" w:color="auto" w:fill="auto"/>
            <w:vAlign w:val="center"/>
            <w:hideMark/>
          </w:tcPr>
          <w:p w14:paraId="14D91656"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Build smarter social protection systems, focusing on providing a safety net for poor people</w:t>
            </w:r>
          </w:p>
        </w:tc>
        <w:tc>
          <w:tcPr>
            <w:tcW w:w="1620" w:type="dxa"/>
            <w:shd w:val="clear" w:color="auto" w:fill="auto"/>
            <w:vAlign w:val="center"/>
            <w:hideMark/>
          </w:tcPr>
          <w:p w14:paraId="648C4E4F" w14:textId="77777777" w:rsidR="00445B46"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Coverage of social protection and labor programs </w:t>
            </w:r>
          </w:p>
          <w:p w14:paraId="673AA413" w14:textId="46F949A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of population)</w:t>
            </w:r>
          </w:p>
        </w:tc>
        <w:tc>
          <w:tcPr>
            <w:tcW w:w="990" w:type="dxa"/>
            <w:shd w:val="clear" w:color="auto" w:fill="auto"/>
            <w:vAlign w:val="center"/>
            <w:hideMark/>
          </w:tcPr>
          <w:p w14:paraId="46BA6D8F" w14:textId="159E4443" w:rsidR="007C7275" w:rsidRPr="46102059" w:rsidRDefault="007C7275" w:rsidP="007C7275">
            <w:pPr>
              <w:spacing w:after="0" w:line="240" w:lineRule="auto"/>
              <w:jc w:val="center"/>
              <w:rPr>
                <w:rFonts w:ascii="Trebuchet MS" w:eastAsia="Times New Roman" w:hAnsi="Trebuchet MS" w:cs="Calibri Light"/>
                <w:color w:val="000000" w:themeColor="text1"/>
                <w:sz w:val="16"/>
                <w:szCs w:val="16"/>
                <w:lang w:bidi="th-TH"/>
              </w:rPr>
            </w:pPr>
            <w:r w:rsidRPr="46102059">
              <w:rPr>
                <w:rFonts w:ascii="Trebuchet MS" w:eastAsia="Times New Roman" w:hAnsi="Trebuchet MS" w:cs="Calibri Light"/>
                <w:color w:val="000000" w:themeColor="text1"/>
                <w:sz w:val="16"/>
                <w:szCs w:val="16"/>
                <w:lang w:bidi="th-TH"/>
              </w:rPr>
              <w:t>65.4</w:t>
            </w:r>
          </w:p>
        </w:tc>
        <w:tc>
          <w:tcPr>
            <w:tcW w:w="990" w:type="dxa"/>
            <w:shd w:val="clear" w:color="auto" w:fill="auto"/>
            <w:vAlign w:val="center"/>
            <w:hideMark/>
          </w:tcPr>
          <w:p w14:paraId="02E9B701" w14:textId="63E24355" w:rsidR="007C7275" w:rsidRPr="46102059" w:rsidRDefault="007C7275" w:rsidP="007C7275">
            <w:pPr>
              <w:spacing w:after="0" w:line="240" w:lineRule="auto"/>
              <w:jc w:val="center"/>
              <w:rPr>
                <w:rFonts w:ascii="Trebuchet MS" w:eastAsia="Times New Roman" w:hAnsi="Trebuchet MS" w:cs="Calibri Light"/>
                <w:color w:val="000000" w:themeColor="text1"/>
                <w:sz w:val="16"/>
                <w:szCs w:val="16"/>
                <w:lang w:bidi="th-TH"/>
              </w:rPr>
            </w:pPr>
            <w:r w:rsidRPr="46102059">
              <w:rPr>
                <w:rFonts w:ascii="Trebuchet MS" w:eastAsia="Times New Roman" w:hAnsi="Trebuchet MS" w:cs="Calibri Light"/>
                <w:color w:val="000000" w:themeColor="text1"/>
                <w:sz w:val="16"/>
                <w:szCs w:val="16"/>
                <w:lang w:bidi="th-TH"/>
              </w:rPr>
              <w:t>72.6</w:t>
            </w:r>
          </w:p>
        </w:tc>
        <w:tc>
          <w:tcPr>
            <w:tcW w:w="968" w:type="dxa"/>
            <w:shd w:val="clear" w:color="auto" w:fill="D6DCE4"/>
            <w:vAlign w:val="center"/>
            <w:hideMark/>
          </w:tcPr>
          <w:p w14:paraId="280FE86D" w14:textId="371463A7" w:rsidR="007C7275" w:rsidRPr="46102059" w:rsidRDefault="007C7275" w:rsidP="007C7275">
            <w:pPr>
              <w:spacing w:after="0" w:line="240" w:lineRule="auto"/>
              <w:jc w:val="center"/>
              <w:rPr>
                <w:rFonts w:ascii="Trebuchet MS" w:eastAsia="Times New Roman" w:hAnsi="Trebuchet MS" w:cs="Calibri Light"/>
                <w:color w:val="000000" w:themeColor="text1"/>
                <w:sz w:val="16"/>
                <w:szCs w:val="16"/>
                <w:lang w:bidi="th-TH"/>
              </w:rPr>
            </w:pPr>
            <w:r w:rsidRPr="46102059">
              <w:rPr>
                <w:rFonts w:ascii="Trebuchet MS" w:eastAsia="Times New Roman" w:hAnsi="Trebuchet MS" w:cs="Calibri Light"/>
                <w:color w:val="000000" w:themeColor="text1"/>
                <w:sz w:val="16"/>
                <w:szCs w:val="16"/>
                <w:lang w:bidi="th-TH"/>
              </w:rPr>
              <w:t>63.6</w:t>
            </w:r>
          </w:p>
        </w:tc>
        <w:tc>
          <w:tcPr>
            <w:tcW w:w="1012" w:type="dxa"/>
            <w:shd w:val="clear" w:color="auto" w:fill="D6DCE4"/>
            <w:vAlign w:val="center"/>
            <w:hideMark/>
          </w:tcPr>
          <w:p w14:paraId="51402FAA" w14:textId="243FC4A1" w:rsidR="007C7275" w:rsidRPr="46102059" w:rsidRDefault="007C7275" w:rsidP="007C7275">
            <w:pPr>
              <w:spacing w:after="0" w:line="240" w:lineRule="auto"/>
              <w:jc w:val="center"/>
              <w:rPr>
                <w:rFonts w:ascii="Trebuchet MS" w:eastAsia="Times New Roman" w:hAnsi="Trebuchet MS" w:cs="Calibri Light"/>
                <w:color w:val="000000" w:themeColor="text1"/>
                <w:sz w:val="16"/>
                <w:szCs w:val="16"/>
                <w:lang w:bidi="th-TH"/>
              </w:rPr>
            </w:pPr>
            <w:r w:rsidRPr="46102059">
              <w:rPr>
                <w:rFonts w:ascii="Trebuchet MS" w:eastAsia="Times New Roman" w:hAnsi="Trebuchet MS" w:cs="Calibri Light"/>
                <w:color w:val="000000" w:themeColor="text1"/>
                <w:sz w:val="16"/>
                <w:szCs w:val="16"/>
                <w:lang w:bidi="th-TH"/>
              </w:rPr>
              <w:t>54.9</w:t>
            </w:r>
          </w:p>
        </w:tc>
      </w:tr>
      <w:tr w:rsidR="003828BD" w:rsidRPr="009D362F" w14:paraId="5CE2D5D7" w14:textId="77777777" w:rsidTr="000261A7">
        <w:trPr>
          <w:trHeight w:val="627"/>
        </w:trPr>
        <w:tc>
          <w:tcPr>
            <w:tcW w:w="705" w:type="dxa"/>
            <w:vMerge w:val="restart"/>
            <w:shd w:val="clear" w:color="auto" w:fill="auto"/>
            <w:textDirection w:val="btLr"/>
            <w:vAlign w:val="center"/>
            <w:hideMark/>
          </w:tcPr>
          <w:p w14:paraId="46C63BB3" w14:textId="77777777" w:rsidR="00120D5C" w:rsidRPr="00487807" w:rsidRDefault="00120D5C" w:rsidP="00120D5C">
            <w:pPr>
              <w:spacing w:after="0" w:line="240" w:lineRule="auto"/>
              <w:jc w:val="center"/>
              <w:rPr>
                <w:rFonts w:ascii="Trebuchet MS" w:eastAsia="Times New Roman" w:hAnsi="Trebuchet MS" w:cs="Calibri Light"/>
                <w:b/>
                <w:bCs/>
                <w:color w:val="000000"/>
                <w:sz w:val="16"/>
                <w:szCs w:val="16"/>
                <w:lang w:bidi="th-TH"/>
              </w:rPr>
            </w:pPr>
            <w:r w:rsidRPr="00487807">
              <w:rPr>
                <w:rFonts w:ascii="Trebuchet MS" w:eastAsia="Times New Roman" w:hAnsi="Trebuchet MS" w:cs="Calibri Light"/>
                <w:b/>
                <w:bCs/>
                <w:color w:val="000000"/>
                <w:sz w:val="16"/>
                <w:szCs w:val="16"/>
                <w:lang w:bidi="th-TH"/>
              </w:rPr>
              <w:t xml:space="preserve">Pathway 3: </w:t>
            </w:r>
            <w:r w:rsidRPr="00487807">
              <w:rPr>
                <w:rFonts w:ascii="Trebuchet MS" w:eastAsia="Times New Roman" w:hAnsi="Trebuchet MS" w:cs="Calibri Light"/>
                <w:color w:val="000000"/>
                <w:sz w:val="16"/>
                <w:szCs w:val="16"/>
                <w:lang w:bidi="th-TH"/>
              </w:rPr>
              <w:t>Making growth greener and more resilient</w:t>
            </w:r>
          </w:p>
        </w:tc>
        <w:tc>
          <w:tcPr>
            <w:tcW w:w="278" w:type="dxa"/>
            <w:shd w:val="clear" w:color="auto" w:fill="auto"/>
            <w:vAlign w:val="center"/>
            <w:hideMark/>
          </w:tcPr>
          <w:p w14:paraId="3DED2229" w14:textId="77777777" w:rsidR="00120D5C" w:rsidRPr="00487807" w:rsidRDefault="00120D5C" w:rsidP="00120D5C">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7</w:t>
            </w:r>
          </w:p>
        </w:tc>
        <w:tc>
          <w:tcPr>
            <w:tcW w:w="2797" w:type="dxa"/>
            <w:shd w:val="clear" w:color="auto" w:fill="auto"/>
            <w:vAlign w:val="center"/>
            <w:hideMark/>
          </w:tcPr>
          <w:p w14:paraId="4D445A75" w14:textId="77777777" w:rsidR="00120D5C" w:rsidRPr="00487807" w:rsidRDefault="00120D5C" w:rsidP="00120D5C">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Manage Thailand’s natural resources and environment</w:t>
            </w:r>
          </w:p>
        </w:tc>
        <w:tc>
          <w:tcPr>
            <w:tcW w:w="1620" w:type="dxa"/>
            <w:shd w:val="clear" w:color="auto" w:fill="auto"/>
            <w:vAlign w:val="center"/>
            <w:hideMark/>
          </w:tcPr>
          <w:p w14:paraId="524F12FE" w14:textId="33310886"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Share of natural resource rents as a % of GDP</w:t>
            </w:r>
          </w:p>
        </w:tc>
        <w:tc>
          <w:tcPr>
            <w:tcW w:w="990" w:type="dxa"/>
            <w:shd w:val="clear" w:color="auto" w:fill="auto"/>
            <w:vAlign w:val="center"/>
            <w:hideMark/>
          </w:tcPr>
          <w:p w14:paraId="3E9887F8" w14:textId="70DB2C86"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2.3</w:t>
            </w:r>
          </w:p>
        </w:tc>
        <w:tc>
          <w:tcPr>
            <w:tcW w:w="990" w:type="dxa"/>
            <w:shd w:val="clear" w:color="auto" w:fill="auto"/>
            <w:vAlign w:val="center"/>
            <w:hideMark/>
          </w:tcPr>
          <w:p w14:paraId="7CA50BEF" w14:textId="1EC7FF55"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1.5</w:t>
            </w:r>
          </w:p>
        </w:tc>
        <w:tc>
          <w:tcPr>
            <w:tcW w:w="968" w:type="dxa"/>
            <w:shd w:val="clear" w:color="auto" w:fill="D6DCE4"/>
            <w:vAlign w:val="center"/>
            <w:hideMark/>
          </w:tcPr>
          <w:p w14:paraId="62C7BDAB" w14:textId="5183CAB7"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3.3</w:t>
            </w:r>
          </w:p>
        </w:tc>
        <w:tc>
          <w:tcPr>
            <w:tcW w:w="1012" w:type="dxa"/>
            <w:shd w:val="clear" w:color="auto" w:fill="D6DCE4"/>
            <w:vAlign w:val="center"/>
            <w:hideMark/>
          </w:tcPr>
          <w:p w14:paraId="23C42E0D" w14:textId="365B6061"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2.3</w:t>
            </w:r>
          </w:p>
        </w:tc>
      </w:tr>
      <w:tr w:rsidR="003828BD" w:rsidRPr="009D362F" w14:paraId="63BCF3DA" w14:textId="77777777" w:rsidTr="000261A7">
        <w:trPr>
          <w:trHeight w:val="778"/>
        </w:trPr>
        <w:tc>
          <w:tcPr>
            <w:tcW w:w="705" w:type="dxa"/>
            <w:vMerge/>
            <w:vAlign w:val="center"/>
            <w:hideMark/>
          </w:tcPr>
          <w:p w14:paraId="0532786B" w14:textId="77777777" w:rsidR="00120D5C" w:rsidRPr="00487807" w:rsidRDefault="00120D5C" w:rsidP="00120D5C">
            <w:pPr>
              <w:spacing w:after="0" w:line="240" w:lineRule="auto"/>
              <w:rPr>
                <w:rFonts w:ascii="Trebuchet MS" w:eastAsia="Times New Roman" w:hAnsi="Trebuchet MS" w:cs="Calibri Light"/>
                <w:b/>
                <w:bCs/>
                <w:color w:val="000000"/>
                <w:sz w:val="14"/>
                <w:szCs w:val="14"/>
                <w:lang w:bidi="th-TH"/>
              </w:rPr>
            </w:pPr>
          </w:p>
        </w:tc>
        <w:tc>
          <w:tcPr>
            <w:tcW w:w="278" w:type="dxa"/>
            <w:tcBorders>
              <w:bottom w:val="nil"/>
            </w:tcBorders>
            <w:shd w:val="clear" w:color="auto" w:fill="auto"/>
            <w:vAlign w:val="center"/>
            <w:hideMark/>
          </w:tcPr>
          <w:p w14:paraId="7C425624" w14:textId="77777777" w:rsidR="00120D5C" w:rsidRPr="00487807" w:rsidRDefault="00120D5C" w:rsidP="00120D5C">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8</w:t>
            </w:r>
          </w:p>
        </w:tc>
        <w:tc>
          <w:tcPr>
            <w:tcW w:w="2797" w:type="dxa"/>
            <w:shd w:val="clear" w:color="auto" w:fill="auto"/>
            <w:vAlign w:val="center"/>
            <w:hideMark/>
          </w:tcPr>
          <w:p w14:paraId="17EFA8E7" w14:textId="77777777" w:rsidR="00120D5C" w:rsidRPr="00487807" w:rsidRDefault="00120D5C" w:rsidP="00120D5C">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Reduce vulnerability to natural disasters and climate change by focusing on better land zoning and management to reduce the flood/drought prone areas </w:t>
            </w:r>
          </w:p>
        </w:tc>
        <w:tc>
          <w:tcPr>
            <w:tcW w:w="1620" w:type="dxa"/>
            <w:shd w:val="clear" w:color="auto" w:fill="auto"/>
            <w:vAlign w:val="center"/>
            <w:hideMark/>
          </w:tcPr>
          <w:p w14:paraId="602F6947" w14:textId="77525118"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ND Gains Index (vulnerability and preparedness)</w:t>
            </w:r>
          </w:p>
        </w:tc>
        <w:tc>
          <w:tcPr>
            <w:tcW w:w="990" w:type="dxa"/>
            <w:shd w:val="clear" w:color="auto" w:fill="auto"/>
            <w:vAlign w:val="center"/>
            <w:hideMark/>
          </w:tcPr>
          <w:p w14:paraId="15E6ADF3" w14:textId="49AF1212"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50.4</w:t>
            </w:r>
          </w:p>
        </w:tc>
        <w:tc>
          <w:tcPr>
            <w:tcW w:w="990" w:type="dxa"/>
            <w:shd w:val="clear" w:color="auto" w:fill="auto"/>
            <w:vAlign w:val="center"/>
            <w:hideMark/>
          </w:tcPr>
          <w:p w14:paraId="4DABFEFF" w14:textId="46038786"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51.5</w:t>
            </w:r>
          </w:p>
        </w:tc>
        <w:tc>
          <w:tcPr>
            <w:tcW w:w="968" w:type="dxa"/>
            <w:shd w:val="clear" w:color="auto" w:fill="D6DCE4"/>
            <w:vAlign w:val="center"/>
            <w:hideMark/>
          </w:tcPr>
          <w:p w14:paraId="5A624D8F" w14:textId="26960C95"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54.9</w:t>
            </w:r>
          </w:p>
        </w:tc>
        <w:tc>
          <w:tcPr>
            <w:tcW w:w="1012" w:type="dxa"/>
            <w:shd w:val="clear" w:color="auto" w:fill="D6DCE4"/>
            <w:vAlign w:val="center"/>
            <w:hideMark/>
          </w:tcPr>
          <w:p w14:paraId="08464763" w14:textId="46679E0D" w:rsidR="00120D5C" w:rsidRPr="00487807" w:rsidRDefault="00120D5C" w:rsidP="00840F1A">
            <w:pPr>
              <w:spacing w:after="0" w:line="240" w:lineRule="auto"/>
              <w:jc w:val="center"/>
              <w:rPr>
                <w:rFonts w:ascii="Trebuchet MS" w:eastAsia="Times New Roman" w:hAnsi="Trebuchet MS" w:cs="Calibri Light"/>
                <w:color w:val="000000"/>
                <w:sz w:val="16"/>
                <w:szCs w:val="16"/>
                <w:lang w:bidi="th-TH"/>
              </w:rPr>
            </w:pPr>
            <w:r w:rsidRPr="00120D5C">
              <w:rPr>
                <w:rFonts w:ascii="Trebuchet MS" w:eastAsia="Times New Roman" w:hAnsi="Trebuchet MS" w:cs="Calibri Light"/>
                <w:color w:val="000000"/>
                <w:sz w:val="16"/>
                <w:szCs w:val="16"/>
                <w:lang w:bidi="th-TH"/>
              </w:rPr>
              <w:t>54.4</w:t>
            </w:r>
          </w:p>
        </w:tc>
      </w:tr>
      <w:tr w:rsidR="00D40567" w:rsidRPr="009D362F" w14:paraId="7053F08F" w14:textId="77777777" w:rsidTr="000261A7">
        <w:trPr>
          <w:trHeight w:val="606"/>
        </w:trPr>
        <w:tc>
          <w:tcPr>
            <w:tcW w:w="705" w:type="dxa"/>
            <w:vMerge/>
            <w:vAlign w:val="center"/>
            <w:hideMark/>
          </w:tcPr>
          <w:p w14:paraId="62E3E163" w14:textId="77777777" w:rsidR="007C7275" w:rsidRPr="00487807" w:rsidRDefault="007C7275" w:rsidP="007C7275">
            <w:pPr>
              <w:spacing w:after="0" w:line="240" w:lineRule="auto"/>
              <w:rPr>
                <w:rFonts w:ascii="Trebuchet MS" w:eastAsia="Times New Roman" w:hAnsi="Trebuchet MS" w:cs="Calibri Light"/>
                <w:b/>
                <w:bCs/>
                <w:color w:val="000000"/>
                <w:sz w:val="14"/>
                <w:szCs w:val="14"/>
                <w:lang w:bidi="th-TH"/>
              </w:rPr>
            </w:pPr>
          </w:p>
        </w:tc>
        <w:tc>
          <w:tcPr>
            <w:tcW w:w="278" w:type="dxa"/>
            <w:vMerge w:val="restart"/>
            <w:tcBorders>
              <w:top w:val="nil"/>
              <w:bottom w:val="single" w:sz="4" w:space="0" w:color="auto"/>
            </w:tcBorders>
            <w:shd w:val="clear" w:color="auto" w:fill="auto"/>
            <w:vAlign w:val="center"/>
            <w:hideMark/>
          </w:tcPr>
          <w:p w14:paraId="5B4A8215" w14:textId="77777777" w:rsidR="007C7275" w:rsidRPr="00487807" w:rsidRDefault="007C7275" w:rsidP="007C7275">
            <w:pPr>
              <w:spacing w:after="0" w:line="240" w:lineRule="auto"/>
              <w:jc w:val="right"/>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9</w:t>
            </w:r>
          </w:p>
        </w:tc>
        <w:tc>
          <w:tcPr>
            <w:tcW w:w="2797" w:type="dxa"/>
            <w:vMerge w:val="restart"/>
            <w:shd w:val="clear" w:color="auto" w:fill="auto"/>
            <w:vAlign w:val="center"/>
            <w:hideMark/>
          </w:tcPr>
          <w:p w14:paraId="546D47C7" w14:textId="77777777" w:rsidR="007C7275" w:rsidRPr="00487807" w:rsidRDefault="007C7275" w:rsidP="007C7275">
            <w:pPr>
              <w:spacing w:after="0" w:line="240" w:lineRule="auto"/>
              <w:jc w:val="both"/>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Promote </w:t>
            </w:r>
            <w:r w:rsidRPr="00487807">
              <w:rPr>
                <w:rFonts w:ascii="Trebuchet MS" w:eastAsia="Times New Roman" w:hAnsi="Trebuchet MS" w:cs="Calibri Light"/>
                <w:i/>
                <w:iCs/>
                <w:color w:val="000000"/>
                <w:sz w:val="16"/>
                <w:szCs w:val="16"/>
                <w:lang w:bidi="th-TH"/>
              </w:rPr>
              <w:t>energy efficiency</w:t>
            </w:r>
            <w:r w:rsidRPr="00487807">
              <w:rPr>
                <w:rFonts w:ascii="Trebuchet MS" w:eastAsia="Times New Roman" w:hAnsi="Trebuchet MS" w:cs="Calibri Light"/>
                <w:color w:val="000000"/>
                <w:sz w:val="16"/>
                <w:szCs w:val="16"/>
                <w:lang w:bidi="th-TH"/>
              </w:rPr>
              <w:t xml:space="preserve"> and </w:t>
            </w:r>
            <w:r w:rsidRPr="00487807">
              <w:rPr>
                <w:rFonts w:ascii="Trebuchet MS" w:eastAsia="Times New Roman" w:hAnsi="Trebuchet MS" w:cs="Calibri Light"/>
                <w:i/>
                <w:iCs/>
                <w:color w:val="000000"/>
                <w:sz w:val="16"/>
                <w:szCs w:val="16"/>
                <w:lang w:bidi="th-TH"/>
              </w:rPr>
              <w:t>clean energy</w:t>
            </w:r>
            <w:r w:rsidRPr="00487807">
              <w:rPr>
                <w:rFonts w:ascii="Trebuchet MS" w:eastAsia="Times New Roman" w:hAnsi="Trebuchet MS" w:cs="Calibri Light"/>
                <w:color w:val="000000"/>
                <w:sz w:val="16"/>
                <w:szCs w:val="16"/>
                <w:lang w:bidi="th-TH"/>
              </w:rPr>
              <w:t xml:space="preserve"> by focusing on implementing Thailand’s plans and </w:t>
            </w:r>
            <w:r w:rsidRPr="00487807">
              <w:rPr>
                <w:rFonts w:ascii="Trebuchet MS" w:eastAsia="Times New Roman" w:hAnsi="Trebuchet MS" w:cs="Calibri Light"/>
                <w:color w:val="000000"/>
                <w:sz w:val="16"/>
                <w:szCs w:val="16"/>
                <w:lang w:bidi="th-TH"/>
              </w:rPr>
              <w:lastRenderedPageBreak/>
              <w:t>commitments for energy efficiency and alternative energy</w:t>
            </w:r>
          </w:p>
        </w:tc>
        <w:tc>
          <w:tcPr>
            <w:tcW w:w="1620" w:type="dxa"/>
            <w:shd w:val="clear" w:color="auto" w:fill="auto"/>
            <w:vAlign w:val="center"/>
            <w:hideMark/>
          </w:tcPr>
          <w:p w14:paraId="7F678990" w14:textId="26371E66"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802BD12">
              <w:rPr>
                <w:rFonts w:ascii="Trebuchet MS" w:eastAsia="Times New Roman" w:hAnsi="Trebuchet MS" w:cs="Calibri Light"/>
                <w:color w:val="000000" w:themeColor="text1"/>
                <w:sz w:val="16"/>
                <w:szCs w:val="16"/>
                <w:lang w:bidi="th-TH"/>
              </w:rPr>
              <w:lastRenderedPageBreak/>
              <w:t xml:space="preserve"> Energy intensity of GDP (MJ/$2017 PPP GDP)  </w:t>
            </w:r>
          </w:p>
        </w:tc>
        <w:tc>
          <w:tcPr>
            <w:tcW w:w="990" w:type="dxa"/>
            <w:shd w:val="clear" w:color="auto" w:fill="auto"/>
            <w:vAlign w:val="center"/>
            <w:hideMark/>
          </w:tcPr>
          <w:p w14:paraId="42154536"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5.02 MJ/$</w:t>
            </w:r>
          </w:p>
        </w:tc>
        <w:tc>
          <w:tcPr>
            <w:tcW w:w="990" w:type="dxa"/>
            <w:shd w:val="clear" w:color="auto" w:fill="auto"/>
            <w:vAlign w:val="center"/>
            <w:hideMark/>
          </w:tcPr>
          <w:p w14:paraId="450CF1AC"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4.52 MJ/$</w:t>
            </w:r>
          </w:p>
        </w:tc>
        <w:tc>
          <w:tcPr>
            <w:tcW w:w="968" w:type="dxa"/>
            <w:shd w:val="clear" w:color="auto" w:fill="D6DCE4"/>
            <w:vAlign w:val="center"/>
            <w:hideMark/>
          </w:tcPr>
          <w:p w14:paraId="1CA03126"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3.93 MJ/$</w:t>
            </w:r>
          </w:p>
        </w:tc>
        <w:tc>
          <w:tcPr>
            <w:tcW w:w="1012" w:type="dxa"/>
            <w:shd w:val="clear" w:color="auto" w:fill="D6DCE4"/>
            <w:vAlign w:val="center"/>
            <w:hideMark/>
          </w:tcPr>
          <w:p w14:paraId="488A343A"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3.67 MJ/$</w:t>
            </w:r>
          </w:p>
        </w:tc>
      </w:tr>
      <w:tr w:rsidR="003828BD" w:rsidRPr="009D362F" w14:paraId="62444FFA" w14:textId="77777777" w:rsidTr="000261A7">
        <w:trPr>
          <w:trHeight w:val="478"/>
        </w:trPr>
        <w:tc>
          <w:tcPr>
            <w:tcW w:w="705" w:type="dxa"/>
            <w:vMerge/>
            <w:vAlign w:val="center"/>
            <w:hideMark/>
          </w:tcPr>
          <w:p w14:paraId="5F409C5A" w14:textId="77777777" w:rsidR="007C7275" w:rsidRPr="00487807" w:rsidRDefault="007C7275" w:rsidP="007C7275">
            <w:pPr>
              <w:spacing w:after="0" w:line="240" w:lineRule="auto"/>
              <w:rPr>
                <w:rFonts w:ascii="Trebuchet MS" w:eastAsia="Times New Roman" w:hAnsi="Trebuchet MS" w:cs="Calibri Light"/>
                <w:b/>
                <w:bCs/>
                <w:color w:val="000000"/>
                <w:sz w:val="14"/>
                <w:szCs w:val="14"/>
                <w:lang w:bidi="th-TH"/>
              </w:rPr>
            </w:pPr>
          </w:p>
        </w:tc>
        <w:tc>
          <w:tcPr>
            <w:tcW w:w="278" w:type="dxa"/>
            <w:vMerge/>
            <w:tcBorders>
              <w:bottom w:val="single" w:sz="4" w:space="0" w:color="auto"/>
            </w:tcBorders>
            <w:vAlign w:val="center"/>
            <w:hideMark/>
          </w:tcPr>
          <w:p w14:paraId="4CBB1305"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2797" w:type="dxa"/>
            <w:vMerge/>
            <w:vAlign w:val="center"/>
            <w:hideMark/>
          </w:tcPr>
          <w:p w14:paraId="3FD576FD"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1620" w:type="dxa"/>
            <w:shd w:val="clear" w:color="auto" w:fill="auto"/>
            <w:vAlign w:val="center"/>
            <w:hideMark/>
          </w:tcPr>
          <w:p w14:paraId="7B42AF62"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 xml:space="preserve"> Carbon intensity of electricity </w:t>
            </w:r>
          </w:p>
        </w:tc>
        <w:tc>
          <w:tcPr>
            <w:tcW w:w="990" w:type="dxa"/>
            <w:shd w:val="clear" w:color="auto" w:fill="auto"/>
            <w:vAlign w:val="center"/>
            <w:hideMark/>
          </w:tcPr>
          <w:p w14:paraId="484F3CE2"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527 </w:t>
            </w:r>
            <w:proofErr w:type="spellStart"/>
            <w:r w:rsidRPr="00487807">
              <w:rPr>
                <w:rFonts w:ascii="Trebuchet MS" w:eastAsia="Times New Roman" w:hAnsi="Trebuchet MS" w:cs="Calibri Light"/>
                <w:color w:val="000000"/>
                <w:sz w:val="16"/>
                <w:szCs w:val="16"/>
                <w:lang w:bidi="th-TH"/>
              </w:rPr>
              <w:t>gCO₂e</w:t>
            </w:r>
            <w:proofErr w:type="spellEnd"/>
          </w:p>
        </w:tc>
        <w:tc>
          <w:tcPr>
            <w:tcW w:w="990" w:type="dxa"/>
            <w:shd w:val="clear" w:color="auto" w:fill="auto"/>
            <w:vAlign w:val="center"/>
            <w:hideMark/>
          </w:tcPr>
          <w:p w14:paraId="22DF94BA"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502 </w:t>
            </w:r>
            <w:proofErr w:type="spellStart"/>
            <w:r w:rsidRPr="00487807">
              <w:rPr>
                <w:rFonts w:ascii="Trebuchet MS" w:eastAsia="Times New Roman" w:hAnsi="Trebuchet MS" w:cs="Calibri Light"/>
                <w:color w:val="000000"/>
                <w:sz w:val="16"/>
                <w:szCs w:val="16"/>
                <w:lang w:bidi="th-TH"/>
              </w:rPr>
              <w:t>gCO₂e</w:t>
            </w:r>
            <w:proofErr w:type="spellEnd"/>
          </w:p>
        </w:tc>
        <w:tc>
          <w:tcPr>
            <w:tcW w:w="968" w:type="dxa"/>
            <w:shd w:val="clear" w:color="auto" w:fill="D6DCE4"/>
            <w:vAlign w:val="center"/>
            <w:hideMark/>
          </w:tcPr>
          <w:p w14:paraId="76596940"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478 </w:t>
            </w:r>
            <w:proofErr w:type="spellStart"/>
            <w:r w:rsidRPr="00487807">
              <w:rPr>
                <w:rFonts w:ascii="Trebuchet MS" w:eastAsia="Times New Roman" w:hAnsi="Trebuchet MS" w:cs="Calibri Light"/>
                <w:color w:val="000000"/>
                <w:sz w:val="16"/>
                <w:szCs w:val="16"/>
                <w:lang w:bidi="th-TH"/>
              </w:rPr>
              <w:t>gCO₂e</w:t>
            </w:r>
            <w:proofErr w:type="spellEnd"/>
          </w:p>
        </w:tc>
        <w:tc>
          <w:tcPr>
            <w:tcW w:w="1012" w:type="dxa"/>
            <w:shd w:val="clear" w:color="auto" w:fill="D6DCE4"/>
            <w:vAlign w:val="center"/>
            <w:hideMark/>
          </w:tcPr>
          <w:p w14:paraId="5F27B99A"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445 </w:t>
            </w:r>
            <w:proofErr w:type="spellStart"/>
            <w:r w:rsidRPr="00487807">
              <w:rPr>
                <w:rFonts w:ascii="Trebuchet MS" w:eastAsia="Times New Roman" w:hAnsi="Trebuchet MS" w:cs="Calibri Light"/>
                <w:color w:val="000000"/>
                <w:sz w:val="16"/>
                <w:szCs w:val="16"/>
                <w:lang w:bidi="th-TH"/>
              </w:rPr>
              <w:t>gCO₂e</w:t>
            </w:r>
            <w:proofErr w:type="spellEnd"/>
          </w:p>
        </w:tc>
      </w:tr>
      <w:tr w:rsidR="003828BD" w:rsidRPr="009D362F" w14:paraId="783B52A4" w14:textId="77777777" w:rsidTr="000261A7">
        <w:trPr>
          <w:trHeight w:val="560"/>
        </w:trPr>
        <w:tc>
          <w:tcPr>
            <w:tcW w:w="705" w:type="dxa"/>
            <w:vMerge/>
            <w:vAlign w:val="center"/>
            <w:hideMark/>
          </w:tcPr>
          <w:p w14:paraId="71BD0C0C" w14:textId="77777777" w:rsidR="007C7275" w:rsidRPr="00487807" w:rsidRDefault="007C7275" w:rsidP="007C7275">
            <w:pPr>
              <w:spacing w:after="0" w:line="240" w:lineRule="auto"/>
              <w:rPr>
                <w:rFonts w:ascii="Trebuchet MS" w:eastAsia="Times New Roman" w:hAnsi="Trebuchet MS" w:cs="Calibri Light"/>
                <w:b/>
                <w:bCs/>
                <w:color w:val="000000"/>
                <w:sz w:val="14"/>
                <w:szCs w:val="14"/>
                <w:lang w:bidi="th-TH"/>
              </w:rPr>
            </w:pPr>
          </w:p>
        </w:tc>
        <w:tc>
          <w:tcPr>
            <w:tcW w:w="278" w:type="dxa"/>
            <w:vMerge/>
            <w:tcBorders>
              <w:bottom w:val="single" w:sz="4" w:space="0" w:color="auto"/>
            </w:tcBorders>
            <w:vAlign w:val="center"/>
            <w:hideMark/>
          </w:tcPr>
          <w:p w14:paraId="7C842D94"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2797" w:type="dxa"/>
            <w:vMerge/>
            <w:vAlign w:val="center"/>
            <w:hideMark/>
          </w:tcPr>
          <w:p w14:paraId="75D58577"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1620" w:type="dxa"/>
            <w:shd w:val="clear" w:color="auto" w:fill="auto"/>
            <w:vAlign w:val="center"/>
            <w:hideMark/>
          </w:tcPr>
          <w:p w14:paraId="1B6E2C6E"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Air pollution (PM2.5 concentration)</w:t>
            </w:r>
          </w:p>
        </w:tc>
        <w:tc>
          <w:tcPr>
            <w:tcW w:w="990" w:type="dxa"/>
            <w:shd w:val="clear" w:color="auto" w:fill="auto"/>
            <w:vAlign w:val="center"/>
            <w:hideMark/>
          </w:tcPr>
          <w:p w14:paraId="6CAB37B9"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26.4</w:t>
            </w:r>
          </w:p>
        </w:tc>
        <w:tc>
          <w:tcPr>
            <w:tcW w:w="990" w:type="dxa"/>
            <w:shd w:val="clear" w:color="auto" w:fill="auto"/>
            <w:vAlign w:val="center"/>
            <w:hideMark/>
          </w:tcPr>
          <w:p w14:paraId="7F85A425"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18.1</w:t>
            </w:r>
          </w:p>
        </w:tc>
        <w:tc>
          <w:tcPr>
            <w:tcW w:w="968" w:type="dxa"/>
            <w:shd w:val="clear" w:color="auto" w:fill="D6DCE4"/>
            <w:vAlign w:val="center"/>
            <w:hideMark/>
          </w:tcPr>
          <w:p w14:paraId="44F72E08"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21.8</w:t>
            </w:r>
          </w:p>
        </w:tc>
        <w:tc>
          <w:tcPr>
            <w:tcW w:w="1012" w:type="dxa"/>
            <w:shd w:val="clear" w:color="auto" w:fill="D6DCE4"/>
            <w:vAlign w:val="center"/>
            <w:hideMark/>
          </w:tcPr>
          <w:p w14:paraId="59ADB5DB"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19.2</w:t>
            </w:r>
          </w:p>
        </w:tc>
      </w:tr>
      <w:tr w:rsidR="003828BD" w:rsidRPr="00487807" w14:paraId="2ED01833" w14:textId="77777777" w:rsidTr="000261A7">
        <w:trPr>
          <w:trHeight w:val="450"/>
        </w:trPr>
        <w:tc>
          <w:tcPr>
            <w:tcW w:w="3780" w:type="dxa"/>
            <w:gridSpan w:val="3"/>
            <w:vMerge w:val="restart"/>
            <w:shd w:val="clear" w:color="auto" w:fill="auto"/>
            <w:vAlign w:val="center"/>
            <w:hideMark/>
          </w:tcPr>
          <w:p w14:paraId="16DE5E88" w14:textId="77777777" w:rsidR="007C7275" w:rsidRPr="00487807" w:rsidRDefault="007C7275" w:rsidP="007C7275">
            <w:pPr>
              <w:spacing w:after="0" w:line="240" w:lineRule="auto"/>
              <w:rPr>
                <w:rFonts w:ascii="Trebuchet MS" w:eastAsia="Times New Roman" w:hAnsi="Trebuchet MS" w:cs="Calibri Light"/>
                <w:color w:val="000000"/>
                <w:sz w:val="14"/>
                <w:szCs w:val="14"/>
                <w:lang w:bidi="th-TH"/>
              </w:rPr>
            </w:pPr>
            <w:r w:rsidRPr="00487807">
              <w:rPr>
                <w:rFonts w:ascii="Trebuchet MS" w:eastAsia="Times New Roman" w:hAnsi="Trebuchet MS" w:cs="Calibri Light"/>
                <w:color w:val="000000"/>
                <w:sz w:val="16"/>
                <w:szCs w:val="16"/>
                <w:lang w:bidi="th-TH"/>
              </w:rPr>
              <w:t>10. Strengthen the institutional capability of the public sector to implement reform priorities (Very high) (Not achieving the hoped results)</w:t>
            </w:r>
          </w:p>
        </w:tc>
        <w:tc>
          <w:tcPr>
            <w:tcW w:w="1620" w:type="dxa"/>
            <w:vMerge w:val="restart"/>
            <w:shd w:val="clear" w:color="auto" w:fill="auto"/>
            <w:vAlign w:val="center"/>
            <w:hideMark/>
          </w:tcPr>
          <w:p w14:paraId="6BDD521B"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Tax to GDP</w:t>
            </w:r>
          </w:p>
        </w:tc>
        <w:tc>
          <w:tcPr>
            <w:tcW w:w="990" w:type="dxa"/>
            <w:vMerge w:val="restart"/>
            <w:shd w:val="clear" w:color="auto" w:fill="auto"/>
            <w:vAlign w:val="center"/>
            <w:hideMark/>
          </w:tcPr>
          <w:p w14:paraId="24A3D9AF" w14:textId="6D3BD08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17.4</w:t>
            </w:r>
          </w:p>
        </w:tc>
        <w:tc>
          <w:tcPr>
            <w:tcW w:w="990" w:type="dxa"/>
            <w:vMerge w:val="restart"/>
            <w:shd w:val="clear" w:color="auto" w:fill="auto"/>
            <w:vAlign w:val="center"/>
            <w:hideMark/>
          </w:tcPr>
          <w:p w14:paraId="3CE2DC6D" w14:textId="21183524"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16.0</w:t>
            </w:r>
          </w:p>
        </w:tc>
        <w:tc>
          <w:tcPr>
            <w:tcW w:w="968" w:type="dxa"/>
            <w:vMerge w:val="restart"/>
            <w:shd w:val="clear" w:color="auto" w:fill="D6DCE4"/>
            <w:vAlign w:val="center"/>
            <w:hideMark/>
          </w:tcPr>
          <w:p w14:paraId="662F10DF" w14:textId="09726B3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16.3</w:t>
            </w:r>
          </w:p>
        </w:tc>
        <w:tc>
          <w:tcPr>
            <w:tcW w:w="1012" w:type="dxa"/>
            <w:vMerge w:val="restart"/>
            <w:shd w:val="clear" w:color="auto" w:fill="D6DCE4"/>
            <w:vAlign w:val="center"/>
            <w:hideMark/>
          </w:tcPr>
          <w:p w14:paraId="36A71B98" w14:textId="459FD253"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16.1</w:t>
            </w:r>
          </w:p>
        </w:tc>
      </w:tr>
      <w:tr w:rsidR="00B21AFE" w:rsidRPr="00487807" w14:paraId="581497A6" w14:textId="77777777" w:rsidTr="00BC1BB2">
        <w:trPr>
          <w:trHeight w:val="450"/>
        </w:trPr>
        <w:tc>
          <w:tcPr>
            <w:tcW w:w="3780" w:type="dxa"/>
            <w:gridSpan w:val="3"/>
            <w:vMerge/>
            <w:vAlign w:val="center"/>
            <w:hideMark/>
          </w:tcPr>
          <w:p w14:paraId="003D261C" w14:textId="77777777" w:rsidR="007C7275" w:rsidRPr="00487807" w:rsidRDefault="007C7275" w:rsidP="007C7275">
            <w:pPr>
              <w:spacing w:after="0" w:line="240" w:lineRule="auto"/>
              <w:rPr>
                <w:rFonts w:ascii="Trebuchet MS" w:eastAsia="Times New Roman" w:hAnsi="Trebuchet MS" w:cs="Calibri Light"/>
                <w:color w:val="000000"/>
                <w:sz w:val="14"/>
                <w:szCs w:val="14"/>
                <w:lang w:bidi="th-TH"/>
              </w:rPr>
            </w:pPr>
          </w:p>
        </w:tc>
        <w:tc>
          <w:tcPr>
            <w:tcW w:w="1620" w:type="dxa"/>
            <w:vMerge/>
            <w:vAlign w:val="center"/>
            <w:hideMark/>
          </w:tcPr>
          <w:p w14:paraId="44EBC1E2" w14:textId="77777777" w:rsidR="007C7275" w:rsidRPr="00487807" w:rsidRDefault="007C7275" w:rsidP="007C7275">
            <w:pPr>
              <w:spacing w:after="0" w:line="240" w:lineRule="auto"/>
              <w:rPr>
                <w:rFonts w:ascii="Trebuchet MS" w:eastAsia="Times New Roman" w:hAnsi="Trebuchet MS" w:cs="Calibri Light"/>
                <w:color w:val="000000"/>
                <w:sz w:val="16"/>
                <w:szCs w:val="16"/>
                <w:lang w:bidi="th-TH"/>
              </w:rPr>
            </w:pPr>
          </w:p>
        </w:tc>
        <w:tc>
          <w:tcPr>
            <w:tcW w:w="990" w:type="dxa"/>
            <w:vMerge/>
            <w:vAlign w:val="center"/>
            <w:hideMark/>
          </w:tcPr>
          <w:p w14:paraId="2379E068"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90" w:type="dxa"/>
            <w:vMerge/>
            <w:vAlign w:val="center"/>
            <w:hideMark/>
          </w:tcPr>
          <w:p w14:paraId="15A2CDD3"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968" w:type="dxa"/>
            <w:vMerge/>
            <w:vAlign w:val="center"/>
            <w:hideMark/>
          </w:tcPr>
          <w:p w14:paraId="21BEDB8A"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c>
          <w:tcPr>
            <w:tcW w:w="1012" w:type="dxa"/>
            <w:vMerge/>
            <w:vAlign w:val="center"/>
            <w:hideMark/>
          </w:tcPr>
          <w:p w14:paraId="31F90657"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p>
        </w:tc>
      </w:tr>
      <w:tr w:rsidR="003828BD" w:rsidRPr="00487807" w14:paraId="70ECE299" w14:textId="77777777" w:rsidTr="000261A7">
        <w:trPr>
          <w:trHeight w:val="685"/>
        </w:trPr>
        <w:tc>
          <w:tcPr>
            <w:tcW w:w="3780" w:type="dxa"/>
            <w:gridSpan w:val="3"/>
            <w:vMerge/>
            <w:vAlign w:val="center"/>
            <w:hideMark/>
          </w:tcPr>
          <w:p w14:paraId="290AA973" w14:textId="77777777" w:rsidR="007C7275" w:rsidRPr="00487807" w:rsidRDefault="007C7275" w:rsidP="007C7275">
            <w:pPr>
              <w:spacing w:after="0" w:line="240" w:lineRule="auto"/>
              <w:rPr>
                <w:rFonts w:ascii="Trebuchet MS" w:eastAsia="Times New Roman" w:hAnsi="Trebuchet MS" w:cs="Calibri Light"/>
                <w:color w:val="000000"/>
                <w:sz w:val="14"/>
                <w:szCs w:val="14"/>
                <w:lang w:bidi="th-TH"/>
              </w:rPr>
            </w:pPr>
          </w:p>
        </w:tc>
        <w:tc>
          <w:tcPr>
            <w:tcW w:w="1620" w:type="dxa"/>
            <w:shd w:val="clear" w:color="auto" w:fill="auto"/>
            <w:vAlign w:val="center"/>
            <w:hideMark/>
          </w:tcPr>
          <w:p w14:paraId="19137B12" w14:textId="7777777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Rigorous and impartial public administration (0-4 index)</w:t>
            </w:r>
          </w:p>
        </w:tc>
        <w:tc>
          <w:tcPr>
            <w:tcW w:w="990" w:type="dxa"/>
            <w:shd w:val="clear" w:color="auto" w:fill="auto"/>
            <w:vAlign w:val="center"/>
            <w:hideMark/>
          </w:tcPr>
          <w:p w14:paraId="1B65104C" w14:textId="0956F91D"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1.1</w:t>
            </w:r>
          </w:p>
        </w:tc>
        <w:tc>
          <w:tcPr>
            <w:tcW w:w="990" w:type="dxa"/>
            <w:shd w:val="clear" w:color="auto" w:fill="auto"/>
            <w:vAlign w:val="center"/>
            <w:hideMark/>
          </w:tcPr>
          <w:p w14:paraId="0F2EF447" w14:textId="4C896637"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1.0</w:t>
            </w:r>
          </w:p>
        </w:tc>
        <w:tc>
          <w:tcPr>
            <w:tcW w:w="968" w:type="dxa"/>
            <w:shd w:val="clear" w:color="auto" w:fill="D6DCE4"/>
            <w:vAlign w:val="center"/>
            <w:hideMark/>
          </w:tcPr>
          <w:p w14:paraId="175DF1E8" w14:textId="360CD3D9"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1.9</w:t>
            </w:r>
          </w:p>
        </w:tc>
        <w:tc>
          <w:tcPr>
            <w:tcW w:w="1012" w:type="dxa"/>
            <w:shd w:val="clear" w:color="auto" w:fill="D6DCE4"/>
            <w:vAlign w:val="center"/>
            <w:hideMark/>
          </w:tcPr>
          <w:p w14:paraId="0A1607E8" w14:textId="0BE443DB" w:rsidR="007C7275" w:rsidRPr="00487807" w:rsidRDefault="007C7275" w:rsidP="007C7275">
            <w:pPr>
              <w:spacing w:after="0" w:line="240" w:lineRule="auto"/>
              <w:jc w:val="center"/>
              <w:rPr>
                <w:rFonts w:ascii="Trebuchet MS" w:eastAsia="Times New Roman" w:hAnsi="Trebuchet MS" w:cs="Calibri Light"/>
                <w:color w:val="000000"/>
                <w:sz w:val="16"/>
                <w:szCs w:val="16"/>
                <w:lang w:bidi="th-TH"/>
              </w:rPr>
            </w:pPr>
            <w:r w:rsidRPr="00487807">
              <w:rPr>
                <w:rFonts w:ascii="Trebuchet MS" w:eastAsia="Times New Roman" w:hAnsi="Trebuchet MS" w:cs="Calibri Light"/>
                <w:color w:val="000000"/>
                <w:sz w:val="16"/>
                <w:szCs w:val="16"/>
                <w:lang w:bidi="th-TH"/>
              </w:rPr>
              <w:t>1.7</w:t>
            </w:r>
          </w:p>
        </w:tc>
      </w:tr>
      <w:tr w:rsidR="006140D7" w:rsidRPr="001C4E82" w14:paraId="25EBC1ED"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bottom"/>
            <w:hideMark/>
          </w:tcPr>
          <w:p w14:paraId="7F9583BC" w14:textId="77777777"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b/>
                <w:bCs/>
              </w:rPr>
              <w:t>Source:</w:t>
            </w:r>
            <w:r w:rsidRPr="001C4E82">
              <w:rPr>
                <w:rFonts w:asciiTheme="majorHAnsi" w:hAnsiTheme="majorHAnsi" w:cstheme="majorHAnsi"/>
              </w:rPr>
              <w:t xml:space="preserve"> ICTD; V-Dem Institute; U.S. Department of Agriculture; Our World in Data; World Risk Report 2016, 2023.</w:t>
            </w:r>
          </w:p>
        </w:tc>
      </w:tr>
      <w:tr w:rsidR="006140D7" w:rsidRPr="001C4E82" w14:paraId="7C059C68"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center"/>
            <w:hideMark/>
          </w:tcPr>
          <w:p w14:paraId="607B7A09" w14:textId="0D53FF64"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b/>
                <w:bCs/>
              </w:rPr>
              <w:t>Note:</w:t>
            </w:r>
            <w:r w:rsidRPr="001C4E82">
              <w:rPr>
                <w:rFonts w:asciiTheme="majorHAnsi" w:hAnsiTheme="majorHAnsi" w:cstheme="majorHAnsi"/>
              </w:rPr>
              <w:t xml:space="preserve"> Structural peers include Bulgaria, Malaysia, Mexico, </w:t>
            </w:r>
            <w:r w:rsidR="000F1951" w:rsidRPr="000F1951">
              <w:rPr>
                <w:rFonts w:asciiTheme="majorHAnsi" w:hAnsiTheme="majorHAnsi" w:cstheme="majorHAnsi"/>
              </w:rPr>
              <w:t>Türkiye</w:t>
            </w:r>
            <w:r w:rsidRPr="001C4E82">
              <w:rPr>
                <w:rFonts w:asciiTheme="majorHAnsi" w:hAnsiTheme="majorHAnsi" w:cstheme="majorHAnsi"/>
              </w:rPr>
              <w:t xml:space="preserve">. </w:t>
            </w:r>
          </w:p>
        </w:tc>
      </w:tr>
      <w:tr w:rsidR="006140D7" w:rsidRPr="001C4E82" w14:paraId="1CDE5FEF"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center"/>
            <w:hideMark/>
          </w:tcPr>
          <w:p w14:paraId="7E4E4C9F" w14:textId="5F9F3E78" w:rsidR="006140D7" w:rsidRPr="001C4E82" w:rsidRDefault="006140D7" w:rsidP="001C4E82">
            <w:pPr>
              <w:pStyle w:val="Source"/>
              <w:spacing w:before="40" w:after="40" w:line="240" w:lineRule="auto"/>
              <w:rPr>
                <w:rFonts w:asciiTheme="majorHAnsi" w:hAnsiTheme="majorHAnsi" w:cstheme="majorHAnsi"/>
              </w:rPr>
            </w:pPr>
            <w:proofErr w:type="gramStart"/>
            <w:r w:rsidRPr="001C4E82">
              <w:rPr>
                <w:rFonts w:asciiTheme="majorHAnsi" w:hAnsiTheme="majorHAnsi" w:cstheme="majorHAnsi"/>
              </w:rPr>
              <w:t>†</w:t>
            </w:r>
            <w:r w:rsidR="0051535D">
              <w:rPr>
                <w:rFonts w:asciiTheme="majorHAnsi" w:hAnsiTheme="majorHAnsi" w:cstheme="majorHAnsi"/>
              </w:rPr>
              <w:t>,</w:t>
            </w:r>
            <w:r w:rsidRPr="001C4E82">
              <w:rPr>
                <w:rFonts w:asciiTheme="majorHAnsi" w:hAnsiTheme="majorHAnsi" w:cstheme="majorHAnsi"/>
              </w:rPr>
              <w:t>†</w:t>
            </w:r>
            <w:proofErr w:type="gramEnd"/>
            <w:r w:rsidRPr="001C4E82">
              <w:rPr>
                <w:rFonts w:asciiTheme="majorHAnsi" w:hAnsiTheme="majorHAnsi" w:cstheme="majorHAnsi"/>
              </w:rPr>
              <w:t xml:space="preserve">† </w:t>
            </w:r>
            <w:r w:rsidR="0051535D">
              <w:rPr>
                <w:rFonts w:asciiTheme="majorHAnsi" w:hAnsiTheme="majorHAnsi" w:cstheme="majorHAnsi"/>
              </w:rPr>
              <w:t xml:space="preserve">2014 and 2020. </w:t>
            </w:r>
            <w:r w:rsidR="0051535D" w:rsidRPr="0051535D">
              <w:rPr>
                <w:rFonts w:asciiTheme="majorHAnsi" w:hAnsiTheme="majorHAnsi" w:cstheme="majorHAnsi"/>
              </w:rPr>
              <w:t xml:space="preserve">Structural peers for consumption poverty </w:t>
            </w:r>
            <w:r w:rsidR="0051535D">
              <w:rPr>
                <w:rFonts w:asciiTheme="majorHAnsi" w:hAnsiTheme="majorHAnsi" w:cstheme="majorHAnsi"/>
              </w:rPr>
              <w:t xml:space="preserve">and inequality </w:t>
            </w:r>
            <w:r w:rsidR="0051535D" w:rsidRPr="0051535D">
              <w:rPr>
                <w:rFonts w:asciiTheme="majorHAnsi" w:hAnsiTheme="majorHAnsi" w:cstheme="majorHAnsi"/>
              </w:rPr>
              <w:t xml:space="preserve">include Albania, </w:t>
            </w:r>
            <w:r w:rsidR="000F1951">
              <w:rPr>
                <w:rFonts w:asciiTheme="majorHAnsi" w:hAnsiTheme="majorHAnsi" w:cstheme="majorHAnsi"/>
              </w:rPr>
              <w:t xml:space="preserve">Kazakhstan, </w:t>
            </w:r>
            <w:r w:rsidR="000F1951" w:rsidRPr="000F1951">
              <w:rPr>
                <w:rFonts w:asciiTheme="majorHAnsi" w:hAnsiTheme="majorHAnsi" w:cstheme="majorHAnsi"/>
              </w:rPr>
              <w:t>Türkiye</w:t>
            </w:r>
            <w:r w:rsidR="0051535D" w:rsidRPr="0051535D">
              <w:rPr>
                <w:rFonts w:asciiTheme="majorHAnsi" w:hAnsiTheme="majorHAnsi" w:cstheme="majorHAnsi"/>
              </w:rPr>
              <w:t xml:space="preserve">, </w:t>
            </w:r>
            <w:r w:rsidR="000F1951">
              <w:rPr>
                <w:rFonts w:asciiTheme="majorHAnsi" w:hAnsiTheme="majorHAnsi" w:cstheme="majorHAnsi"/>
              </w:rPr>
              <w:t xml:space="preserve">and </w:t>
            </w:r>
            <w:r w:rsidR="000F1951" w:rsidRPr="0051535D">
              <w:rPr>
                <w:rFonts w:asciiTheme="majorHAnsi" w:hAnsiTheme="majorHAnsi" w:cstheme="majorHAnsi"/>
              </w:rPr>
              <w:t>Vietnam</w:t>
            </w:r>
            <w:r w:rsidR="0051535D" w:rsidRPr="0051535D">
              <w:rPr>
                <w:rFonts w:asciiTheme="majorHAnsi" w:hAnsiTheme="majorHAnsi" w:cstheme="majorHAnsi"/>
              </w:rPr>
              <w:t xml:space="preserve">. Simple average for </w:t>
            </w:r>
            <w:r w:rsidR="0051535D">
              <w:rPr>
                <w:rFonts w:asciiTheme="majorHAnsi" w:hAnsiTheme="majorHAnsi" w:cstheme="majorHAnsi"/>
              </w:rPr>
              <w:t>poverty</w:t>
            </w:r>
            <w:r w:rsidR="0051535D" w:rsidRPr="0051535D">
              <w:rPr>
                <w:rFonts w:asciiTheme="majorHAnsi" w:hAnsiTheme="majorHAnsi" w:cstheme="majorHAnsi"/>
              </w:rPr>
              <w:t>.</w:t>
            </w:r>
            <w:r w:rsidR="0051535D">
              <w:rPr>
                <w:rFonts w:asciiTheme="majorHAnsi" w:hAnsiTheme="majorHAnsi" w:cstheme="majorHAnsi"/>
              </w:rPr>
              <w:t xml:space="preserve"> Median for inequality.</w:t>
            </w:r>
          </w:p>
        </w:tc>
      </w:tr>
      <w:tr w:rsidR="006140D7" w:rsidRPr="001C4E82" w14:paraId="4C325F96"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bottom"/>
            <w:hideMark/>
          </w:tcPr>
          <w:p w14:paraId="370EC1ED" w14:textId="02BEEE15"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rPr>
              <w:t xml:space="preserve">Indicator #7: </w:t>
            </w:r>
            <w:r w:rsidR="00091BD3" w:rsidRPr="00091BD3">
              <w:rPr>
                <w:rFonts w:asciiTheme="majorHAnsi" w:hAnsiTheme="majorHAnsi" w:cstheme="majorHAnsi"/>
              </w:rPr>
              <w:t>Total natural resources rents are the sum of oil rents, natural gas rents, coal rents, mineral rents, and forest rents as a sha</w:t>
            </w:r>
            <w:r w:rsidR="00091BD3">
              <w:rPr>
                <w:rFonts w:asciiTheme="majorHAnsi" w:hAnsiTheme="majorHAnsi" w:cstheme="majorHAnsi"/>
              </w:rPr>
              <w:t>r</w:t>
            </w:r>
            <w:r w:rsidR="00091BD3" w:rsidRPr="00091BD3">
              <w:rPr>
                <w:rFonts w:asciiTheme="majorHAnsi" w:hAnsiTheme="majorHAnsi" w:cstheme="majorHAnsi"/>
              </w:rPr>
              <w:t>e of Total GDP</w:t>
            </w:r>
            <w:r w:rsidR="00D04A0C">
              <w:rPr>
                <w:rFonts w:asciiTheme="majorHAnsi" w:hAnsiTheme="majorHAnsi" w:cstheme="majorHAnsi"/>
              </w:rPr>
              <w:t xml:space="preserve">. </w:t>
            </w:r>
            <w:r w:rsidR="00D04A0C" w:rsidRPr="00D04A0C">
              <w:rPr>
                <w:rFonts w:asciiTheme="majorHAnsi" w:hAnsiTheme="majorHAnsi" w:cstheme="majorHAnsi"/>
              </w:rPr>
              <w:t>Natural resource rents indicate the liquidation of a country's capital stock. The declining share of natural resource rents in GDP happens when countries use such rents to support current consumption rather than invest in new capital to replace what is being used up. They are, in effect, borrowing against their future which is not sustainable.</w:t>
            </w:r>
          </w:p>
        </w:tc>
      </w:tr>
      <w:tr w:rsidR="006140D7" w:rsidRPr="001C4E82" w14:paraId="07AE2AF5"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center"/>
            <w:hideMark/>
          </w:tcPr>
          <w:p w14:paraId="2336C848" w14:textId="54627DA3"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rPr>
              <w:t xml:space="preserve">Indicator # 8. </w:t>
            </w:r>
            <w:r w:rsidR="007C79CD" w:rsidRPr="007C79CD">
              <w:rPr>
                <w:rFonts w:asciiTheme="majorHAnsi" w:hAnsiTheme="majorHAnsi" w:cstheme="majorHAnsi"/>
              </w:rPr>
              <w:t>The ND-GAIN Index summarizes a country's vulnerability to climate change and other global challenges in combination with its readiness to improve resilience</w:t>
            </w:r>
            <w:r w:rsidR="007C79CD">
              <w:rPr>
                <w:rFonts w:asciiTheme="majorHAnsi" w:hAnsiTheme="majorHAnsi" w:cstheme="majorHAnsi"/>
              </w:rPr>
              <w:t xml:space="preserve">. </w:t>
            </w:r>
            <w:r w:rsidR="007C79CD" w:rsidRPr="007C79CD">
              <w:rPr>
                <w:rFonts w:asciiTheme="majorHAnsi" w:hAnsiTheme="majorHAnsi" w:cstheme="majorHAnsi"/>
              </w:rPr>
              <w:t>A country's ND-GAIN score is composed of a vulnerability score and a readiness score.  Vulnerability measures a country's exposure, sensitivity and capacity to adapt to the negative effects of climate change. Readiness measures a country's ability to leverage investments and convert them to adaptation actions.</w:t>
            </w:r>
          </w:p>
        </w:tc>
      </w:tr>
      <w:tr w:rsidR="006140D7" w:rsidRPr="001C4E82" w14:paraId="0280F129"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bottom"/>
            <w:hideMark/>
          </w:tcPr>
          <w:p w14:paraId="10AAC62A" w14:textId="77777777"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rPr>
              <w:t xml:space="preserve">Indicator # 9.2 Carbon intensity of electricity per kWh grams </w:t>
            </w:r>
            <w:proofErr w:type="spellStart"/>
            <w:r w:rsidRPr="001C4E82">
              <w:rPr>
                <w:rFonts w:asciiTheme="majorHAnsi" w:hAnsiTheme="majorHAnsi" w:cstheme="majorHAnsi"/>
              </w:rPr>
              <w:t>CO₂e</w:t>
            </w:r>
            <w:proofErr w:type="spellEnd"/>
            <w:r w:rsidRPr="001C4E82">
              <w:rPr>
                <w:rFonts w:asciiTheme="majorHAnsi" w:hAnsiTheme="majorHAnsi" w:cstheme="majorHAnsi"/>
              </w:rPr>
              <w:t xml:space="preserve"> per kilowatt-hour</w:t>
            </w:r>
          </w:p>
        </w:tc>
      </w:tr>
      <w:tr w:rsidR="006140D7" w:rsidRPr="001C4E82" w14:paraId="3253A009"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center"/>
            <w:hideMark/>
          </w:tcPr>
          <w:p w14:paraId="27B05257" w14:textId="3F17E868"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rPr>
              <w:t xml:space="preserve">Indicator # 10.2. Indicators </w:t>
            </w:r>
            <w:r w:rsidR="00EA53C1" w:rsidRPr="001C4E82">
              <w:rPr>
                <w:rFonts w:asciiTheme="majorHAnsi" w:hAnsiTheme="majorHAnsi" w:cstheme="majorHAnsi"/>
              </w:rPr>
              <w:t>focus</w:t>
            </w:r>
            <w:r w:rsidRPr="001C4E82">
              <w:rPr>
                <w:rFonts w:asciiTheme="majorHAnsi" w:hAnsiTheme="majorHAnsi" w:cstheme="majorHAnsi"/>
              </w:rPr>
              <w:t xml:space="preserve"> on the extent to which public officials generally abide by the law and treat like cases alike, or conversely, the extent to which public administration is characterized by arbitrariness and biases (i.e., nepotism, cronyism, or discrimination). </w:t>
            </w:r>
          </w:p>
        </w:tc>
      </w:tr>
      <w:tr w:rsidR="006140D7" w:rsidRPr="001C4E82" w14:paraId="2AD95340" w14:textId="77777777" w:rsidTr="000261A7">
        <w:tblPrEx>
          <w:tblLook w:val="04A0" w:firstRow="1" w:lastRow="0" w:firstColumn="1" w:lastColumn="0" w:noHBand="0" w:noVBand="1"/>
        </w:tblPrEx>
        <w:trPr>
          <w:trHeight w:val="284"/>
        </w:trPr>
        <w:tc>
          <w:tcPr>
            <w:tcW w:w="9360" w:type="dxa"/>
            <w:gridSpan w:val="8"/>
            <w:tcBorders>
              <w:top w:val="nil"/>
              <w:left w:val="nil"/>
              <w:bottom w:val="nil"/>
              <w:right w:val="nil"/>
            </w:tcBorders>
            <w:shd w:val="clear" w:color="auto" w:fill="auto"/>
            <w:noWrap/>
            <w:vAlign w:val="center"/>
            <w:hideMark/>
          </w:tcPr>
          <w:p w14:paraId="4D2F4E3D" w14:textId="77777777" w:rsidR="006140D7" w:rsidRPr="001C4E82" w:rsidRDefault="006140D7" w:rsidP="001C4E82">
            <w:pPr>
              <w:pStyle w:val="Source"/>
              <w:spacing w:before="40" w:after="40" w:line="240" w:lineRule="auto"/>
              <w:rPr>
                <w:rFonts w:asciiTheme="majorHAnsi" w:hAnsiTheme="majorHAnsi" w:cstheme="majorHAnsi"/>
              </w:rPr>
            </w:pPr>
            <w:r w:rsidRPr="001C4E82">
              <w:rPr>
                <w:rFonts w:asciiTheme="majorHAnsi" w:hAnsiTheme="majorHAnsi" w:cstheme="majorHAnsi"/>
              </w:rPr>
              <w:t xml:space="preserve">It ranges from 0 (The law is not respected by public officials. Arbitrary or biased administration of the law is rampant.) to 4 (The law is generally fully respected by the public officials. Arbitrary or biased administration of the law is very limited). </w:t>
            </w:r>
          </w:p>
        </w:tc>
      </w:tr>
    </w:tbl>
    <w:p w14:paraId="52BED5C8" w14:textId="3F75B796" w:rsidR="007428BE" w:rsidRDefault="007428BE" w:rsidP="008450DD">
      <w:pPr>
        <w:rPr>
          <w:rFonts w:asciiTheme="majorHAnsi" w:hAnsiTheme="majorHAnsi" w:cstheme="majorHAnsi"/>
          <w:b/>
        </w:rPr>
      </w:pPr>
    </w:p>
    <w:p w14:paraId="2210D9AC" w14:textId="77777777" w:rsidR="009B56C0" w:rsidRDefault="009B56C0" w:rsidP="008450DD">
      <w:pPr>
        <w:rPr>
          <w:rFonts w:asciiTheme="majorHAnsi" w:hAnsiTheme="majorHAnsi" w:cstheme="majorHAnsi"/>
          <w:b/>
        </w:rPr>
      </w:pPr>
    </w:p>
    <w:p w14:paraId="12A60E70" w14:textId="208588D4" w:rsidR="008450DD" w:rsidRPr="00EA2DB8" w:rsidRDefault="008450DD" w:rsidP="008450DD">
      <w:pPr>
        <w:rPr>
          <w:rFonts w:asciiTheme="majorHAnsi" w:hAnsiTheme="majorHAnsi" w:cstheme="majorHAnsi"/>
          <w:b/>
        </w:rPr>
      </w:pPr>
      <w:r w:rsidRPr="00EA2DB8">
        <w:rPr>
          <w:rFonts w:asciiTheme="majorHAnsi" w:hAnsiTheme="majorHAnsi" w:cstheme="majorHAnsi"/>
          <w:b/>
        </w:rPr>
        <w:t xml:space="preserve">Pathway 1. Creating more and better jobs </w:t>
      </w:r>
    </w:p>
    <w:p w14:paraId="07849F0E" w14:textId="77777777" w:rsidR="008450DD" w:rsidRPr="00EA2DB8" w:rsidRDefault="008450DD" w:rsidP="00E61E46">
      <w:pPr>
        <w:pStyle w:val="ListParagraph"/>
        <w:numPr>
          <w:ilvl w:val="1"/>
          <w:numId w:val="7"/>
        </w:numPr>
        <w:spacing w:before="240" w:after="240"/>
        <w:jc w:val="both"/>
        <w:rPr>
          <w:rFonts w:asciiTheme="majorHAnsi" w:hAnsiTheme="majorHAnsi" w:cstheme="majorHAnsi"/>
          <w:b/>
        </w:rPr>
      </w:pPr>
      <w:r w:rsidRPr="00EA2DB8">
        <w:rPr>
          <w:rFonts w:asciiTheme="majorHAnsi" w:hAnsiTheme="majorHAnsi" w:cstheme="majorHAnsi"/>
          <w:b/>
        </w:rPr>
        <w:t xml:space="preserve"> Boosting investment in infrastructure (very high) </w:t>
      </w:r>
    </w:p>
    <w:p w14:paraId="2E824C4D" w14:textId="3712455F" w:rsidR="009B56C0" w:rsidRDefault="008450DD" w:rsidP="008450DD">
      <w:pPr>
        <w:pStyle w:val="Default"/>
        <w:spacing w:before="240" w:after="240"/>
        <w:jc w:val="both"/>
        <w:rPr>
          <w:rFonts w:asciiTheme="majorHAnsi" w:hAnsiTheme="majorHAnsi" w:cstheme="majorHAnsi"/>
          <w:sz w:val="22"/>
          <w:szCs w:val="22"/>
        </w:rPr>
      </w:pPr>
      <w:r w:rsidRPr="00EA2DB8">
        <w:rPr>
          <w:rFonts w:asciiTheme="majorHAnsi" w:hAnsiTheme="majorHAnsi" w:cstheme="majorHAnsi"/>
          <w:b/>
          <w:sz w:val="22"/>
          <w:szCs w:val="22"/>
        </w:rPr>
        <w:t>2016 SCD findings</w:t>
      </w:r>
      <w:r w:rsidRPr="00EA2DB8">
        <w:rPr>
          <w:rFonts w:asciiTheme="majorHAnsi" w:hAnsiTheme="majorHAnsi" w:cstheme="majorHAnsi"/>
          <w:sz w:val="22"/>
          <w:szCs w:val="22"/>
        </w:rPr>
        <w:t xml:space="preserve">: </w:t>
      </w:r>
      <w:r w:rsidRPr="00EA2DB8">
        <w:rPr>
          <w:rFonts w:asciiTheme="majorHAnsi" w:hAnsiTheme="majorHAnsi" w:cstheme="majorHAnsi"/>
          <w:b/>
          <w:sz w:val="22"/>
          <w:szCs w:val="22"/>
        </w:rPr>
        <w:t>The ratio of public gross capital formation slowed sharply from 9 percent of GDP in 1995 to 5 percent in 2015</w:t>
      </w:r>
      <w:r w:rsidRPr="00EA2DB8">
        <w:rPr>
          <w:rFonts w:asciiTheme="majorHAnsi" w:hAnsiTheme="majorHAnsi" w:cstheme="majorHAnsi"/>
          <w:sz w:val="22"/>
          <w:szCs w:val="22"/>
        </w:rPr>
        <w:t xml:space="preserve">. This created a shortfall in infrastructure investment with a negative feedback loop on business, private investment, and exports. </w:t>
      </w:r>
    </w:p>
    <w:p w14:paraId="52FC1E5C" w14:textId="77777777" w:rsidR="009B56C0" w:rsidRDefault="009B56C0" w:rsidP="008450DD">
      <w:pPr>
        <w:pStyle w:val="Default"/>
        <w:spacing w:before="240" w:after="240"/>
        <w:jc w:val="both"/>
        <w:rPr>
          <w:rFonts w:asciiTheme="majorHAnsi" w:hAnsiTheme="majorHAnsi" w:cstheme="majorHAnsi"/>
          <w:sz w:val="22"/>
          <w:szCs w:val="22"/>
        </w:rPr>
      </w:pPr>
    </w:p>
    <w:p w14:paraId="37F69BF7" w14:textId="77777777" w:rsidR="009B56C0" w:rsidRPr="00EA2DB8" w:rsidRDefault="009B56C0" w:rsidP="008450DD">
      <w:pPr>
        <w:pStyle w:val="Default"/>
        <w:spacing w:before="240" w:after="240"/>
        <w:jc w:val="both"/>
        <w:rPr>
          <w:rFonts w:asciiTheme="majorHAnsi" w:hAnsiTheme="majorHAnsi" w:cstheme="majorHAnsi"/>
          <w:sz w:val="22"/>
          <w:szCs w:val="22"/>
        </w:rPr>
      </w:pPr>
    </w:p>
    <w:tbl>
      <w:tblPr>
        <w:tblStyle w:val="TableGrid"/>
        <w:tblW w:w="0" w:type="auto"/>
        <w:tblLayout w:type="fixed"/>
        <w:tblLook w:val="04A0" w:firstRow="1" w:lastRow="0" w:firstColumn="1" w:lastColumn="0" w:noHBand="0" w:noVBand="1"/>
      </w:tblPr>
      <w:tblGrid>
        <w:gridCol w:w="4855"/>
        <w:gridCol w:w="4495"/>
      </w:tblGrid>
      <w:tr w:rsidR="008450DD" w:rsidRPr="00726342" w14:paraId="35D8C94C" w14:textId="77777777">
        <w:tc>
          <w:tcPr>
            <w:tcW w:w="9350" w:type="dxa"/>
            <w:gridSpan w:val="2"/>
            <w:tcBorders>
              <w:top w:val="nil"/>
              <w:left w:val="nil"/>
              <w:bottom w:val="nil"/>
              <w:right w:val="nil"/>
            </w:tcBorders>
          </w:tcPr>
          <w:p w14:paraId="1379770C" w14:textId="231E9A5C" w:rsidR="008450DD" w:rsidRPr="00281726" w:rsidRDefault="008450DD">
            <w:pPr>
              <w:pStyle w:val="Figure"/>
            </w:pPr>
            <w:bookmarkStart w:id="409" w:name="_Ref149771977"/>
            <w:r w:rsidRPr="00281726">
              <w:lastRenderedPageBreak/>
              <w:t>Figure A.</w:t>
            </w:r>
            <w:r w:rsidR="009B56C0">
              <w:t>1</w:t>
            </w:r>
            <w:r w:rsidR="00416CB6" w:rsidRPr="00281726">
              <w:t>.</w:t>
            </w:r>
            <w:r w:rsidR="00416CB6" w:rsidRPr="00281726">
              <w:fldChar w:fldCharType="begin"/>
            </w:r>
            <w:r w:rsidR="00416CB6" w:rsidRPr="00281726">
              <w:instrText xml:space="preserve"> SEQ Figure_A.2. \* ARABIC </w:instrText>
            </w:r>
            <w:r w:rsidR="00416CB6" w:rsidRPr="00281726">
              <w:fldChar w:fldCharType="separate"/>
            </w:r>
            <w:r w:rsidR="00416CB6" w:rsidRPr="00281726">
              <w:t>1</w:t>
            </w:r>
            <w:r w:rsidR="00416CB6" w:rsidRPr="00281726">
              <w:fldChar w:fldCharType="end"/>
            </w:r>
            <w:bookmarkEnd w:id="409"/>
            <w:r w:rsidRPr="00281726">
              <w:t xml:space="preserve"> Thailand’s capital stock and marginal capital to output ratios</w:t>
            </w:r>
          </w:p>
        </w:tc>
      </w:tr>
      <w:tr w:rsidR="008450DD" w:rsidRPr="00726342" w14:paraId="384A88EA" w14:textId="77777777">
        <w:tc>
          <w:tcPr>
            <w:tcW w:w="4855" w:type="dxa"/>
            <w:tcBorders>
              <w:top w:val="nil"/>
              <w:left w:val="nil"/>
              <w:bottom w:val="nil"/>
              <w:right w:val="nil"/>
            </w:tcBorders>
          </w:tcPr>
          <w:p w14:paraId="58AF3C74" w14:textId="6B1587CF" w:rsidR="008450DD" w:rsidRPr="00B42818" w:rsidRDefault="00281726" w:rsidP="00614FCF">
            <w:pPr>
              <w:pStyle w:val="figuredescription"/>
            </w:pPr>
            <w:r>
              <w:t xml:space="preserve">A. </w:t>
            </w:r>
            <w:r w:rsidR="008450DD" w:rsidRPr="00B42818">
              <w:t>Thailand’s level of public capital stock (public capital stock and GDP per capita, 2017-19 averages)</w:t>
            </w:r>
          </w:p>
        </w:tc>
        <w:tc>
          <w:tcPr>
            <w:tcW w:w="4495" w:type="dxa"/>
            <w:tcBorders>
              <w:top w:val="nil"/>
              <w:left w:val="nil"/>
              <w:bottom w:val="nil"/>
              <w:right w:val="nil"/>
            </w:tcBorders>
          </w:tcPr>
          <w:p w14:paraId="55AF11CB" w14:textId="46B88A63" w:rsidR="008450DD" w:rsidRPr="000E7D0E" w:rsidRDefault="00281726" w:rsidP="00614FCF">
            <w:pPr>
              <w:pStyle w:val="figuredescription"/>
              <w:rPr>
                <w:b/>
                <w:bCs/>
              </w:rPr>
            </w:pPr>
            <w:r>
              <w:t xml:space="preserve">B. </w:t>
            </w:r>
            <w:r w:rsidR="008450DD" w:rsidRPr="00281726">
              <w:t>Thailand’s marginal capital to output ratios have increased</w:t>
            </w:r>
            <w:r w:rsidR="008450DD" w:rsidRPr="000E7D0E">
              <w:rPr>
                <w:b/>
                <w:bCs/>
              </w:rPr>
              <w:t xml:space="preserve"> </w:t>
            </w:r>
          </w:p>
        </w:tc>
      </w:tr>
      <w:tr w:rsidR="008450DD" w14:paraId="699E04F4" w14:textId="77777777">
        <w:trPr>
          <w:trHeight w:val="3005"/>
        </w:trPr>
        <w:tc>
          <w:tcPr>
            <w:tcW w:w="4855" w:type="dxa"/>
            <w:tcBorders>
              <w:top w:val="nil"/>
              <w:left w:val="nil"/>
              <w:bottom w:val="nil"/>
              <w:right w:val="nil"/>
            </w:tcBorders>
          </w:tcPr>
          <w:p w14:paraId="1E734FA1" w14:textId="77777777" w:rsidR="008450DD" w:rsidRPr="00EA2DB8" w:rsidRDefault="008450DD">
            <w:pPr>
              <w:pStyle w:val="Default"/>
              <w:spacing w:before="240" w:after="240"/>
              <w:jc w:val="both"/>
              <w:rPr>
                <w:rFonts w:asciiTheme="majorHAnsi" w:hAnsiTheme="majorHAnsi" w:cstheme="majorHAnsi"/>
              </w:rPr>
            </w:pPr>
            <w:r w:rsidRPr="00EA2DB8">
              <w:rPr>
                <w:rFonts w:asciiTheme="majorHAnsi" w:hAnsiTheme="majorHAnsi" w:cstheme="majorHAnsi"/>
                <w:noProof/>
                <w:sz w:val="16"/>
                <w:szCs w:val="16"/>
                <w:lang w:val="en-GB" w:eastAsia="en-GB"/>
              </w:rPr>
              <w:drawing>
                <wp:inline distT="0" distB="0" distL="0" distR="0" wp14:anchorId="634CB90D" wp14:editId="11641DE3">
                  <wp:extent cx="2964524" cy="21945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4127"/>
                          <a:stretch/>
                        </pic:blipFill>
                        <pic:spPr bwMode="auto">
                          <a:xfrm>
                            <a:off x="0" y="0"/>
                            <a:ext cx="2964524" cy="2194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5" w:type="dxa"/>
            <w:tcBorders>
              <w:top w:val="nil"/>
              <w:left w:val="nil"/>
              <w:bottom w:val="nil"/>
              <w:right w:val="nil"/>
            </w:tcBorders>
          </w:tcPr>
          <w:p w14:paraId="48C28611" w14:textId="77777777" w:rsidR="008450DD" w:rsidRPr="00EA2DB8" w:rsidRDefault="008450DD">
            <w:pPr>
              <w:pStyle w:val="Default"/>
              <w:spacing w:before="240" w:after="240"/>
              <w:jc w:val="both"/>
              <w:rPr>
                <w:rFonts w:asciiTheme="majorHAnsi" w:hAnsiTheme="majorHAnsi" w:cstheme="majorBidi"/>
              </w:rPr>
            </w:pPr>
            <w:r w:rsidRPr="00EA2DB8">
              <w:rPr>
                <w:rFonts w:asciiTheme="majorHAnsi" w:hAnsiTheme="majorHAnsi" w:cstheme="majorHAnsi"/>
                <w:noProof/>
                <w:lang w:val="en-GB" w:eastAsia="en-GB"/>
              </w:rPr>
              <w:drawing>
                <wp:inline distT="0" distB="0" distL="0" distR="0" wp14:anchorId="48DB5219" wp14:editId="13053481">
                  <wp:extent cx="2834640" cy="2276475"/>
                  <wp:effectExtent l="0" t="0" r="3810" b="0"/>
                  <wp:docPr id="31" name="Chart 31">
                    <a:extLst xmlns:a="http://schemas.openxmlformats.org/drawingml/2006/main">
                      <a:ext uri="{FF2B5EF4-FFF2-40B4-BE49-F238E27FC236}">
                        <a16:creationId xmlns:a16="http://schemas.microsoft.com/office/drawing/2014/main" id="{5407723A-9B14-47F4-A00F-231ED8735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8450DD" w:rsidRPr="00614FCF" w14:paraId="7E47C6EB" w14:textId="77777777">
        <w:tc>
          <w:tcPr>
            <w:tcW w:w="9350" w:type="dxa"/>
            <w:gridSpan w:val="2"/>
            <w:tcBorders>
              <w:top w:val="nil"/>
              <w:left w:val="nil"/>
              <w:bottom w:val="nil"/>
              <w:right w:val="nil"/>
            </w:tcBorders>
          </w:tcPr>
          <w:p w14:paraId="6E30E91E" w14:textId="77777777" w:rsidR="008450DD" w:rsidRPr="00614FCF" w:rsidRDefault="008450DD" w:rsidP="005E7CB8">
            <w:pPr>
              <w:pStyle w:val="Source"/>
              <w:spacing w:before="40" w:after="40"/>
              <w:rPr>
                <w:rFonts w:asciiTheme="majorHAnsi" w:hAnsiTheme="majorHAnsi" w:cstheme="majorHAnsi"/>
              </w:rPr>
            </w:pPr>
            <w:r w:rsidRPr="00614FCF">
              <w:rPr>
                <w:rFonts w:asciiTheme="majorHAnsi" w:hAnsiTheme="majorHAnsi" w:cstheme="majorHAnsi"/>
                <w:b/>
                <w:i/>
              </w:rPr>
              <w:t>Source</w:t>
            </w:r>
            <w:r w:rsidRPr="00614FCF">
              <w:rPr>
                <w:rFonts w:asciiTheme="majorHAnsi" w:hAnsiTheme="majorHAnsi" w:cstheme="majorHAnsi"/>
                <w:b/>
              </w:rPr>
              <w:t>:</w:t>
            </w:r>
            <w:r w:rsidRPr="00614FCF">
              <w:rPr>
                <w:rFonts w:asciiTheme="majorHAnsi" w:hAnsiTheme="majorHAnsi" w:cstheme="majorHAnsi"/>
                <w:bCs/>
              </w:rPr>
              <w:t xml:space="preserve"> </w:t>
            </w:r>
            <w:r w:rsidRPr="00614FCF">
              <w:rPr>
                <w:rFonts w:asciiTheme="majorHAnsi" w:hAnsiTheme="majorHAnsi" w:cstheme="majorHAnsi"/>
              </w:rPr>
              <w:t>IMF Investment and Capital Stock Dataset, 2021, WB staff calculations.</w:t>
            </w:r>
          </w:p>
          <w:p w14:paraId="656C13FD" w14:textId="5A3E1F50" w:rsidR="008450DD" w:rsidRPr="00614FCF" w:rsidRDefault="006046FF" w:rsidP="00416CB6">
            <w:pPr>
              <w:pStyle w:val="Source"/>
              <w:keepNext/>
            </w:pPr>
            <w:r w:rsidRPr="00614FCF">
              <w:rPr>
                <w:rFonts w:asciiTheme="majorHAnsi" w:hAnsiTheme="majorHAnsi" w:cstheme="majorHAnsi"/>
                <w:b/>
                <w:bCs/>
                <w:i/>
                <w:iCs/>
              </w:rPr>
              <w:t>Note:</w:t>
            </w:r>
            <w:r w:rsidRPr="00614FCF">
              <w:rPr>
                <w:rFonts w:asciiTheme="majorHAnsi" w:hAnsiTheme="majorHAnsi" w:cstheme="majorHAnsi"/>
              </w:rPr>
              <w:t xml:space="preserve"> </w:t>
            </w:r>
            <w:r w:rsidR="008450DD" w:rsidRPr="00614FCF">
              <w:rPr>
                <w:rFonts w:asciiTheme="majorHAnsi" w:hAnsiTheme="majorHAnsi" w:cstheme="majorHAnsi"/>
              </w:rPr>
              <w:t>B. Marginal capital-output ratio is ratio of increment in the stock of capital to the increment in output (∆K/∆Y); Increase means deterioration.</w:t>
            </w:r>
          </w:p>
        </w:tc>
      </w:tr>
    </w:tbl>
    <w:p w14:paraId="22A728CC" w14:textId="4CB33EE7" w:rsidR="008450DD" w:rsidRPr="00EA2DB8" w:rsidRDefault="008450DD" w:rsidP="008450DD">
      <w:pPr>
        <w:pStyle w:val="Default"/>
        <w:spacing w:before="240" w:after="240"/>
        <w:jc w:val="both"/>
        <w:rPr>
          <w:rFonts w:asciiTheme="majorHAnsi" w:hAnsiTheme="majorHAnsi" w:cstheme="majorHAnsi"/>
          <w:sz w:val="22"/>
          <w:szCs w:val="22"/>
        </w:rPr>
      </w:pPr>
      <w:r w:rsidRPr="00EA2DB8">
        <w:rPr>
          <w:rFonts w:asciiTheme="majorHAnsi" w:hAnsiTheme="majorHAnsi" w:cstheme="majorHAnsi"/>
          <w:b/>
          <w:sz w:val="22"/>
          <w:szCs w:val="22"/>
        </w:rPr>
        <w:t>Progress since 2016</w:t>
      </w:r>
      <w:r w:rsidRPr="00EA2DB8">
        <w:rPr>
          <w:rFonts w:asciiTheme="majorHAnsi" w:hAnsiTheme="majorHAnsi" w:cstheme="majorHAnsi"/>
          <w:sz w:val="22"/>
          <w:szCs w:val="22"/>
        </w:rPr>
        <w:t xml:space="preserve">: </w:t>
      </w:r>
      <w:r w:rsidRPr="00EA2DB8">
        <w:rPr>
          <w:rFonts w:asciiTheme="majorHAnsi" w:hAnsiTheme="majorHAnsi" w:cstheme="majorHAnsi"/>
          <w:b/>
          <w:sz w:val="22"/>
          <w:szCs w:val="22"/>
        </w:rPr>
        <w:t>The Government of Thailand has accelerated its infrastructure investment plan implementation, especially in transportation</w:t>
      </w:r>
      <w:r w:rsidRPr="00EA2DB8">
        <w:rPr>
          <w:rFonts w:asciiTheme="majorHAnsi" w:hAnsiTheme="majorHAnsi" w:cstheme="majorHAnsi"/>
          <w:sz w:val="22"/>
          <w:szCs w:val="22"/>
        </w:rPr>
        <w:t xml:space="preserve">. Some progress has been made in public investment management, quality of infrastructure, and allocation efficiency of capital spending. </w:t>
      </w:r>
      <w:r w:rsidRPr="00EA2DB8">
        <w:rPr>
          <w:rFonts w:asciiTheme="majorHAnsi" w:hAnsiTheme="majorHAnsi" w:cstheme="majorHAnsi"/>
          <w:sz w:val="22"/>
          <w:szCs w:val="22"/>
          <w:lang w:bidi="th-TH"/>
        </w:rPr>
        <w:t xml:space="preserve">To ensure the adequacy of capital expenditure, in 2018, </w:t>
      </w:r>
      <w:r w:rsidRPr="00EA2DB8">
        <w:rPr>
          <w:rFonts w:asciiTheme="majorHAnsi" w:hAnsiTheme="majorHAnsi" w:cstheme="majorHAnsi"/>
          <w:sz w:val="22"/>
          <w:szCs w:val="22"/>
        </w:rPr>
        <w:t xml:space="preserve">Thailand implemented the Fiscal Responsibility Act B.E.2561 (2018) Section 20, which states that capital expenditures must account for no less than 20 percent of the annual budget and must not be less than the budget deficit of the fiscal year. The law, however, only mentions the annual budget which is different from the actual execution. The execution rate on planned capital spending has remained around 60–70 percent of the budget despite the introduction of the law. </w:t>
      </w:r>
    </w:p>
    <w:p w14:paraId="01D4E4AB" w14:textId="4A557102" w:rsidR="008450DD" w:rsidRDefault="008450DD" w:rsidP="008450DD">
      <w:pPr>
        <w:pStyle w:val="Default"/>
        <w:spacing w:before="240" w:after="240"/>
        <w:jc w:val="both"/>
        <w:rPr>
          <w:rFonts w:asciiTheme="majorHAnsi" w:hAnsiTheme="majorHAnsi" w:cstheme="majorBidi"/>
          <w:sz w:val="22"/>
          <w:szCs w:val="22"/>
        </w:rPr>
      </w:pPr>
      <w:r w:rsidRPr="052E2B2B">
        <w:rPr>
          <w:rFonts w:asciiTheme="majorHAnsi" w:hAnsiTheme="majorHAnsi" w:cstheme="majorBidi"/>
          <w:b/>
          <w:sz w:val="22"/>
          <w:szCs w:val="22"/>
        </w:rPr>
        <w:t>Many flagship investment projects were initiated long before the pandemic, such as the Eastern Economic Corridor, but implementation is lagging and there is a backlog in the investment pipeline.</w:t>
      </w:r>
      <w:r w:rsidRPr="052E2B2B">
        <w:rPr>
          <w:rFonts w:asciiTheme="majorHAnsi" w:hAnsiTheme="majorHAnsi" w:cstheme="majorBidi"/>
          <w:sz w:val="22"/>
          <w:szCs w:val="22"/>
        </w:rPr>
        <w:t xml:space="preserve"> Despite relatively high stock of public capital for its level of income and compared to its peers, the quality of infrastructure in Thailand underperforms its peers. This is also reflected in the rising public marginal capital-to-output ratio, which is now higher than in most of Thailand’s peers, suggesting that allocation efficiency of capital to higher-quality projects has </w:t>
      </w:r>
      <w:r w:rsidRPr="001417F8">
        <w:rPr>
          <w:rFonts w:asciiTheme="majorHAnsi" w:hAnsiTheme="majorHAnsi" w:cstheme="majorHAnsi"/>
          <w:sz w:val="22"/>
          <w:szCs w:val="22"/>
        </w:rPr>
        <w:t>deteriorated (</w:t>
      </w:r>
      <w:r w:rsidR="003371A3" w:rsidRPr="001417F8">
        <w:rPr>
          <w:rFonts w:asciiTheme="majorHAnsi" w:hAnsiTheme="majorHAnsi" w:cstheme="majorHAnsi"/>
          <w:sz w:val="22"/>
          <w:szCs w:val="22"/>
        </w:rPr>
        <w:fldChar w:fldCharType="begin"/>
      </w:r>
      <w:r w:rsidR="003371A3" w:rsidRPr="001417F8">
        <w:rPr>
          <w:rFonts w:asciiTheme="majorHAnsi" w:hAnsiTheme="majorHAnsi" w:cstheme="majorHAnsi"/>
          <w:sz w:val="22"/>
          <w:szCs w:val="22"/>
        </w:rPr>
        <w:instrText xml:space="preserve"> REF _Ref149771977 </w:instrText>
      </w:r>
      <w:r w:rsidR="00DC50E5" w:rsidRPr="001417F8">
        <w:rPr>
          <w:rFonts w:asciiTheme="majorHAnsi" w:hAnsiTheme="majorHAnsi" w:cstheme="majorHAnsi"/>
          <w:sz w:val="22"/>
          <w:szCs w:val="22"/>
        </w:rPr>
        <w:instrText xml:space="preserve"> \* MERGEFORMAT </w:instrText>
      </w:r>
      <w:r w:rsidR="003371A3" w:rsidRPr="001417F8">
        <w:rPr>
          <w:rFonts w:asciiTheme="majorHAnsi" w:hAnsiTheme="majorHAnsi" w:cstheme="majorHAnsi"/>
          <w:sz w:val="22"/>
          <w:szCs w:val="22"/>
        </w:rPr>
        <w:fldChar w:fldCharType="separate"/>
      </w:r>
      <w:r w:rsidR="00DC50E5" w:rsidRPr="00665270">
        <w:rPr>
          <w:rFonts w:asciiTheme="majorHAnsi" w:hAnsiTheme="majorHAnsi" w:cstheme="majorHAnsi"/>
          <w:noProof/>
          <w:sz w:val="22"/>
          <w:szCs w:val="22"/>
        </w:rPr>
        <w:t>Figure A.</w:t>
      </w:r>
      <w:r w:rsidR="009B56C0">
        <w:rPr>
          <w:rFonts w:asciiTheme="majorHAnsi" w:hAnsiTheme="majorHAnsi" w:cstheme="majorHAnsi"/>
          <w:noProof/>
          <w:sz w:val="22"/>
          <w:szCs w:val="22"/>
        </w:rPr>
        <w:t>1</w:t>
      </w:r>
      <w:r w:rsidR="00DC50E5" w:rsidRPr="00665270">
        <w:rPr>
          <w:rFonts w:asciiTheme="majorHAnsi" w:hAnsiTheme="majorHAnsi" w:cstheme="majorHAnsi"/>
          <w:noProof/>
          <w:sz w:val="22"/>
          <w:szCs w:val="22"/>
        </w:rPr>
        <w:t>.1</w:t>
      </w:r>
      <w:r w:rsidR="003371A3" w:rsidRPr="001417F8">
        <w:rPr>
          <w:rFonts w:asciiTheme="majorHAnsi" w:hAnsiTheme="majorHAnsi" w:cstheme="majorHAnsi"/>
          <w:sz w:val="22"/>
          <w:szCs w:val="22"/>
        </w:rPr>
        <w:fldChar w:fldCharType="end"/>
      </w:r>
      <w:r w:rsidRPr="001417F8">
        <w:rPr>
          <w:rFonts w:asciiTheme="majorHAnsi" w:hAnsiTheme="majorHAnsi" w:cstheme="majorHAnsi"/>
          <w:sz w:val="22"/>
          <w:szCs w:val="22"/>
        </w:rPr>
        <w:t>).</w:t>
      </w:r>
      <w:r w:rsidRPr="001417F8">
        <w:rPr>
          <w:rStyle w:val="FootnoteReference"/>
          <w:rFonts w:asciiTheme="majorHAnsi" w:hAnsiTheme="majorHAnsi" w:cstheme="majorHAnsi"/>
          <w:sz w:val="22"/>
          <w:szCs w:val="22"/>
          <w:vertAlign w:val="superscript"/>
        </w:rPr>
        <w:footnoteReference w:id="2"/>
      </w:r>
      <w:r w:rsidRPr="052E2B2B">
        <w:rPr>
          <w:rFonts w:asciiTheme="majorHAnsi" w:hAnsiTheme="majorHAnsi" w:cstheme="majorBidi"/>
          <w:sz w:val="22"/>
          <w:szCs w:val="22"/>
        </w:rPr>
        <w:t xml:space="preserve"> The government has increased the role of Public–Private Partnerships (PPP) for infrastructure delivery. The regulatory environment to foster PPP, which is regulated by the 2013 Private Investment in State Undertaking Act, has become more conducive.</w:t>
      </w:r>
    </w:p>
    <w:p w14:paraId="49D8F541" w14:textId="77777777" w:rsidR="00623176" w:rsidRPr="00EA2DB8" w:rsidRDefault="00623176" w:rsidP="00623176">
      <w:pPr>
        <w:pStyle w:val="Default"/>
        <w:spacing w:before="240" w:after="240"/>
        <w:jc w:val="both"/>
        <w:rPr>
          <w:rFonts w:asciiTheme="majorHAnsi" w:hAnsiTheme="majorHAnsi" w:cstheme="majorHAnsi"/>
          <w:sz w:val="22"/>
          <w:szCs w:val="22"/>
        </w:rPr>
      </w:pPr>
      <w:r w:rsidRPr="052E2B2B">
        <w:rPr>
          <w:rFonts w:asciiTheme="majorHAnsi" w:hAnsiTheme="majorHAnsi" w:cstheme="majorBidi"/>
          <w:b/>
          <w:sz w:val="22"/>
          <w:szCs w:val="22"/>
        </w:rPr>
        <w:t>Remaining challenges:</w:t>
      </w:r>
      <w:r w:rsidRPr="052E2B2B">
        <w:rPr>
          <w:rFonts w:asciiTheme="majorHAnsi" w:hAnsiTheme="majorHAnsi" w:cstheme="majorBidi"/>
          <w:sz w:val="22"/>
          <w:szCs w:val="22"/>
        </w:rPr>
        <w:t xml:space="preserve"> </w:t>
      </w:r>
      <w:r w:rsidRPr="052E2B2B">
        <w:rPr>
          <w:rFonts w:asciiTheme="majorHAnsi" w:hAnsiTheme="majorHAnsi" w:cstheme="majorBidi"/>
          <w:b/>
          <w:sz w:val="22"/>
          <w:szCs w:val="22"/>
        </w:rPr>
        <w:t>There are many constraints to increasing public investment’s implementation capacity which need to be addressed</w:t>
      </w:r>
      <w:r w:rsidRPr="052E2B2B">
        <w:rPr>
          <w:rFonts w:asciiTheme="majorHAnsi" w:hAnsiTheme="majorHAnsi" w:cstheme="majorBidi"/>
          <w:sz w:val="22"/>
          <w:szCs w:val="22"/>
        </w:rPr>
        <w:t xml:space="preserve">. Key bottlenecks include the lack of a detailed national investment plan, a true multi-year budget, detailed appraisal guidelines, and capacity to improve the effectiveness of </w:t>
      </w:r>
      <w:r w:rsidRPr="052E2B2B">
        <w:rPr>
          <w:rFonts w:asciiTheme="majorHAnsi" w:hAnsiTheme="majorHAnsi" w:cstheme="majorBidi"/>
          <w:sz w:val="22"/>
          <w:szCs w:val="22"/>
        </w:rPr>
        <w:lastRenderedPageBreak/>
        <w:t>Environmental Impact Assessments (EIAs) implementation, as well as the problem of fragmentation across agencies. Improvements in public investment management could significantly enhance the efficiency and productivity of public investment. To facilitate large-scale infrastructure investment plans, SOE sector reforms should continue, including the creation of a holding company with good governance practices for firms in the sector. Additional areas for action would be clarifying the policy framework for SOEs, revising their mandates, restructuring public companies that are not making progress, opening some infrastructure sectors to private competition, and strengthening capacity at the State Enterprise Policy Office (SEPO).</w:t>
      </w:r>
      <w:r w:rsidRPr="052E2B2B">
        <w:rPr>
          <w:rStyle w:val="FootnoteReference"/>
          <w:rFonts w:asciiTheme="majorHAnsi" w:hAnsiTheme="majorHAnsi" w:cstheme="majorBidi"/>
          <w:sz w:val="22"/>
          <w:szCs w:val="22"/>
          <w:vertAlign w:val="superscript"/>
        </w:rPr>
        <w:footnoteReference w:id="3"/>
      </w:r>
    </w:p>
    <w:p w14:paraId="5F551D54" w14:textId="3B883A45" w:rsidR="008450DD" w:rsidRDefault="008450DD" w:rsidP="0002737D">
      <w:pPr>
        <w:pStyle w:val="Table"/>
      </w:pPr>
      <w:r w:rsidRPr="00EA2DB8">
        <w:t>Table A.</w:t>
      </w:r>
      <w:r w:rsidR="009B56C0">
        <w:t>1</w:t>
      </w:r>
      <w:r w:rsidR="003371A3" w:rsidRPr="003371A3">
        <w:t>.</w:t>
      </w:r>
      <w:r w:rsidR="009B56C0">
        <w:t>3</w:t>
      </w:r>
      <w:r w:rsidR="009B56C0" w:rsidRPr="003371A3">
        <w:t xml:space="preserve"> </w:t>
      </w:r>
      <w:r w:rsidR="009B56C0" w:rsidRPr="00EA2DB8">
        <w:rPr>
          <w:rFonts w:eastAsia="Times New Roman"/>
          <w:noProof/>
          <w:color w:val="000000"/>
          <w:lang w:val="en-GB" w:eastAsia="en-GB"/>
        </w:rPr>
        <mc:AlternateContent>
          <mc:Choice Requires="wpg">
            <w:drawing>
              <wp:anchor distT="0" distB="0" distL="114300" distR="114300" simplePos="0" relativeHeight="251660288" behindDoc="0" locked="0" layoutInCell="1" allowOverlap="1" wp14:anchorId="055FBDF1" wp14:editId="45066832">
                <wp:simplePos x="0" y="0"/>
                <wp:positionH relativeFrom="margin">
                  <wp:posOffset>4759684</wp:posOffset>
                </wp:positionH>
                <wp:positionV relativeFrom="paragraph">
                  <wp:posOffset>45306</wp:posOffset>
                </wp:positionV>
                <wp:extent cx="1828800" cy="395605"/>
                <wp:effectExtent l="0" t="19050" r="0" b="0"/>
                <wp:wrapNone/>
                <wp:docPr id="45" name="Group 45"/>
                <wp:cNvGraphicFramePr/>
                <a:graphic xmlns:a="http://schemas.openxmlformats.org/drawingml/2006/main">
                  <a:graphicData uri="http://schemas.microsoft.com/office/word/2010/wordprocessingGroup">
                    <wpg:wgp>
                      <wpg:cNvGrpSpPr/>
                      <wpg:grpSpPr>
                        <a:xfrm>
                          <a:off x="0" y="0"/>
                          <a:ext cx="1828800" cy="395605"/>
                          <a:chOff x="0" y="0"/>
                          <a:chExt cx="1828800" cy="395605"/>
                        </a:xfrm>
                      </wpg:grpSpPr>
                      <wps:wsp>
                        <wps:cNvPr id="47" name="Rectangle 47"/>
                        <wps:cNvSpPr/>
                        <wps:spPr>
                          <a:xfrm>
                            <a:off x="1057275" y="0"/>
                            <a:ext cx="211015" cy="114300"/>
                          </a:xfrm>
                          <a:prstGeom prst="rect">
                            <a:avLst/>
                          </a:prstGeom>
                          <a:solidFill>
                            <a:srgbClr val="83CF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1" name="Rectangle 51"/>
                        <wps:cNvSpPr/>
                        <wps:spPr>
                          <a:xfrm>
                            <a:off x="466725" y="0"/>
                            <a:ext cx="211015" cy="114300"/>
                          </a:xfrm>
                          <a:prstGeom prst="rect">
                            <a:avLst/>
                          </a:prstGeom>
                          <a:solidFill>
                            <a:srgbClr val="F0A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2" name="Straight Arrow Connector 52"/>
                        <wps:cNvCnPr/>
                        <wps:spPr>
                          <a:xfrm flipV="1">
                            <a:off x="668215" y="47625"/>
                            <a:ext cx="389060" cy="9525"/>
                          </a:xfrm>
                          <a:prstGeom prst="straightConnector1">
                            <a:avLst/>
                          </a:prstGeom>
                          <a:ln w="3175">
                            <a:solidFill>
                              <a:sysClr val="windowText" lastClr="0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3" name="TextBox 5"/>
                        <wps:cNvSpPr txBox="1"/>
                        <wps:spPr>
                          <a:xfrm>
                            <a:off x="0" y="85725"/>
                            <a:ext cx="847725" cy="3098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8E9F36" w14:textId="77777777" w:rsidR="009B56C0" w:rsidRDefault="009B56C0" w:rsidP="008450DD">
                              <w:pPr>
                                <w:rPr>
                                  <w:rFonts w:hAnsi="Calibri"/>
                                  <w:color w:val="000000" w:themeColor="text1"/>
                                  <w:sz w:val="14"/>
                                  <w:szCs w:val="14"/>
                                </w:rPr>
                              </w:pPr>
                              <w:r>
                                <w:rPr>
                                  <w:rFonts w:hAnsi="Calibri"/>
                                  <w:color w:val="000000" w:themeColor="text1"/>
                                  <w:sz w:val="14"/>
                                  <w:szCs w:val="14"/>
                                </w:rPr>
                                <w:t>Weakest quality</w:t>
                              </w:r>
                            </w:p>
                          </w:txbxContent>
                        </wps:txbx>
                        <wps:bodyPr wrap="square" rtlCol="0" anchor="t">
                          <a:spAutoFit/>
                        </wps:bodyPr>
                      </wps:wsp>
                      <wps:wsp>
                        <wps:cNvPr id="54" name="TextBox 6"/>
                        <wps:cNvSpPr txBox="1"/>
                        <wps:spPr>
                          <a:xfrm>
                            <a:off x="981075" y="76200"/>
                            <a:ext cx="847725" cy="3098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8FCAA5" w14:textId="77777777" w:rsidR="009B56C0" w:rsidRDefault="009B56C0" w:rsidP="008450DD">
                              <w:pPr>
                                <w:rPr>
                                  <w:rFonts w:hAnsi="Calibri"/>
                                  <w:color w:val="000000" w:themeColor="text1"/>
                                  <w:sz w:val="14"/>
                                  <w:szCs w:val="14"/>
                                </w:rPr>
                              </w:pPr>
                              <w:r>
                                <w:rPr>
                                  <w:rFonts w:hAnsi="Calibri"/>
                                  <w:color w:val="000000" w:themeColor="text1"/>
                                  <w:sz w:val="14"/>
                                  <w:szCs w:val="14"/>
                                </w:rPr>
                                <w:t>Strongest quality</w:t>
                              </w:r>
                            </w:p>
                          </w:txbxContent>
                        </wps:txbx>
                        <wps:bodyPr wrap="square" rtlCol="0" anchor="t">
                          <a:spAutoFit/>
                        </wps:bodyPr>
                      </wps:wsp>
                    </wpg:wgp>
                  </a:graphicData>
                </a:graphic>
                <wp14:sizeRelH relativeFrom="page">
                  <wp14:pctWidth>0</wp14:pctWidth>
                </wp14:sizeRelH>
                <wp14:sizeRelV relativeFrom="page">
                  <wp14:pctHeight>0</wp14:pctHeight>
                </wp14:sizeRelV>
              </wp:anchor>
            </w:drawing>
          </mc:Choice>
          <mc:Fallback>
            <w:pict>
              <v:group w14:anchorId="055FBDF1" id="Group 45" o:spid="_x0000_s1026" style="position:absolute;margin-left:374.8pt;margin-top:3.55pt;width:2in;height:31.15pt;z-index:251660288;mso-position-horizontal-relative:margin" coordsize="18288,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">
                <v:rect id="Rectangle 47" o:spid="_x0000_s1027" style="position:absolute;left:10572;width:21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" fillcolor="#83cf95" stroked="f" strokeweight="1pt"/>
                <v:rect id="Rectangle 51" o:spid="_x0000_s1028" style="position:absolute;left:4667;width:21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" fillcolor="#f0a080" stroked="f" strokeweight="1pt"/>
                <v:shapetype id="_x0000_t32" coordsize="21600,21600" o:spt="32" o:oned="t" path="m,l21600,21600e" filled="f">
                  <v:path arrowok="t" fillok="f" o:connecttype="none"/>
                  <o:lock v:ext="edit" shapetype="t"/>
                </v:shapetype>
                <v:shape id="Straight Arrow Connector 52" o:spid="_x0000_s1029" type="#_x0000_t32" style="position:absolute;left:6682;top:476;width:389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" strokecolor="windowText" strokeweight=".25pt">
                  <v:stroke startarrow="block" endarrow="block" joinstyle="miter"/>
                </v:shape>
                <v:shapetype id="_x0000_t202" coordsize="21600,21600" o:spt="202" path="m,l,21600r21600,l21600,xe">
                  <v:stroke joinstyle="miter"/>
                  <v:path gradientshapeok="t" o:connecttype="rect"/>
                </v:shapetype>
                <v:shape id="TextBox 5" o:spid="_x0000_s1030" type="#_x0000_t202" style="position:absolute;top:857;width:847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5B8E9F36" w14:textId="77777777" w:rsidR="009B56C0" w:rsidRDefault="009B56C0" w:rsidP="008450DD">
                        <w:pPr>
                          <w:rPr>
                            <w:rFonts w:hAnsi="Calibri"/>
                            <w:color w:val="000000" w:themeColor="text1"/>
                            <w:sz w:val="14"/>
                            <w:szCs w:val="14"/>
                          </w:rPr>
                        </w:pPr>
                        <w:r>
                          <w:rPr>
                            <w:rFonts w:hAnsi="Calibri"/>
                            <w:color w:val="000000" w:themeColor="text1"/>
                            <w:sz w:val="14"/>
                            <w:szCs w:val="14"/>
                          </w:rPr>
                          <w:t>Weakest quality</w:t>
                        </w:r>
                      </w:p>
                    </w:txbxContent>
                  </v:textbox>
                </v:shape>
                <v:shape id="TextBox 6" o:spid="_x0000_s1031" type="#_x0000_t202" style="position:absolute;left:9810;top:762;width:847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5E8FCAA5" w14:textId="77777777" w:rsidR="009B56C0" w:rsidRDefault="009B56C0" w:rsidP="008450DD">
                        <w:pPr>
                          <w:rPr>
                            <w:rFonts w:hAnsi="Calibri"/>
                            <w:color w:val="000000" w:themeColor="text1"/>
                            <w:sz w:val="14"/>
                            <w:szCs w:val="14"/>
                          </w:rPr>
                        </w:pPr>
                        <w:r>
                          <w:rPr>
                            <w:rFonts w:hAnsi="Calibri"/>
                            <w:color w:val="000000" w:themeColor="text1"/>
                            <w:sz w:val="14"/>
                            <w:szCs w:val="14"/>
                          </w:rPr>
                          <w:t>Strongest quality</w:t>
                        </w:r>
                      </w:p>
                    </w:txbxContent>
                  </v:textbox>
                </v:shape>
                <w10:wrap anchorx="margin"/>
              </v:group>
            </w:pict>
          </mc:Fallback>
        </mc:AlternateContent>
      </w:r>
      <w:r w:rsidR="009B56C0">
        <w:t xml:space="preserve"> </w:t>
      </w:r>
      <w:r w:rsidRPr="009253EF">
        <w:t>Quality of infrastructure</w:t>
      </w:r>
    </w:p>
    <w:tbl>
      <w:tblPr>
        <w:tblW w:w="10917" w:type="dxa"/>
        <w:tblInd w:w="-455" w:type="dxa"/>
        <w:tblLayout w:type="fixed"/>
        <w:tblLook w:val="04A0" w:firstRow="1" w:lastRow="0" w:firstColumn="1" w:lastColumn="0" w:noHBand="0" w:noVBand="1"/>
      </w:tblPr>
      <w:tblGrid>
        <w:gridCol w:w="4590"/>
        <w:gridCol w:w="575"/>
        <w:gridCol w:w="575"/>
        <w:gridCol w:w="575"/>
        <w:gridCol w:w="575"/>
        <w:gridCol w:w="575"/>
        <w:gridCol w:w="576"/>
        <w:gridCol w:w="575"/>
        <w:gridCol w:w="575"/>
        <w:gridCol w:w="575"/>
        <w:gridCol w:w="575"/>
        <w:gridCol w:w="576"/>
      </w:tblGrid>
      <w:tr w:rsidR="009F499F" w:rsidRPr="00D77417" w14:paraId="26BDBC40" w14:textId="77777777">
        <w:trPr>
          <w:trHeight w:val="818"/>
        </w:trPr>
        <w:tc>
          <w:tcPr>
            <w:tcW w:w="4590" w:type="dxa"/>
            <w:tcBorders>
              <w:top w:val="single" w:sz="4" w:space="0" w:color="auto"/>
              <w:left w:val="single" w:sz="4" w:space="0" w:color="auto"/>
              <w:bottom w:val="single" w:sz="4" w:space="0" w:color="auto"/>
              <w:right w:val="single" w:sz="4" w:space="0" w:color="auto"/>
            </w:tcBorders>
            <w:shd w:val="clear" w:color="000000" w:fill="595959"/>
            <w:noWrap/>
            <w:vAlign w:val="bottom"/>
            <w:hideMark/>
          </w:tcPr>
          <w:p w14:paraId="5F531BF9" w14:textId="77777777" w:rsidR="008450DD" w:rsidRPr="003A39CD" w:rsidRDefault="008450DD">
            <w:pPr>
              <w:spacing w:before="20" w:after="20" w:line="240" w:lineRule="auto"/>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 </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126504FD"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Korea</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487D161B"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Malaysia</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01C5EC7E" w14:textId="1087798B" w:rsidR="008450DD" w:rsidRPr="003A39CD" w:rsidRDefault="000F1951">
            <w:pPr>
              <w:spacing w:before="20" w:after="20" w:line="240" w:lineRule="auto"/>
              <w:jc w:val="center"/>
              <w:rPr>
                <w:rFonts w:ascii="Trebuchet MS" w:eastAsia="Times New Roman" w:hAnsi="Trebuchet MS" w:cstheme="majorHAnsi"/>
                <w:b/>
                <w:color w:val="FFFFFF"/>
                <w:sz w:val="16"/>
                <w:szCs w:val="16"/>
                <w:lang w:bidi="th-TH"/>
              </w:rPr>
            </w:pPr>
            <w:r w:rsidRPr="000F1951">
              <w:rPr>
                <w:rFonts w:ascii="Trebuchet MS" w:eastAsia="Times New Roman" w:hAnsi="Trebuchet MS" w:cstheme="majorHAnsi"/>
                <w:b/>
                <w:color w:val="FFFFFF"/>
                <w:sz w:val="16"/>
                <w:szCs w:val="16"/>
                <w:lang w:bidi="th-TH"/>
              </w:rPr>
              <w:t>Türkiye</w:t>
            </w:r>
            <w:r w:rsidRPr="003A39CD">
              <w:rPr>
                <w:rFonts w:ascii="Trebuchet MS" w:eastAsia="Times New Roman" w:hAnsi="Trebuchet MS" w:cstheme="majorHAnsi"/>
                <w:b/>
                <w:color w:val="FFFFFF"/>
                <w:sz w:val="16"/>
                <w:szCs w:val="16"/>
                <w:lang w:bidi="th-TH"/>
              </w:rPr>
              <w:t xml:space="preserve"> </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210E59B8"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China</w:t>
            </w:r>
          </w:p>
        </w:tc>
        <w:tc>
          <w:tcPr>
            <w:tcW w:w="575" w:type="dxa"/>
            <w:tcBorders>
              <w:top w:val="single" w:sz="4" w:space="0" w:color="auto"/>
              <w:left w:val="nil"/>
              <w:bottom w:val="single" w:sz="4" w:space="0" w:color="auto"/>
              <w:right w:val="single" w:sz="12" w:space="0" w:color="FF0000"/>
            </w:tcBorders>
            <w:shd w:val="clear" w:color="000000" w:fill="595959"/>
            <w:noWrap/>
            <w:textDirection w:val="btLr"/>
            <w:vAlign w:val="bottom"/>
            <w:hideMark/>
          </w:tcPr>
          <w:p w14:paraId="3E94A750"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Poland</w:t>
            </w:r>
          </w:p>
        </w:tc>
        <w:tc>
          <w:tcPr>
            <w:tcW w:w="576" w:type="dxa"/>
            <w:tcBorders>
              <w:top w:val="single" w:sz="12" w:space="0" w:color="FF0000"/>
              <w:left w:val="single" w:sz="12" w:space="0" w:color="FF0000"/>
              <w:bottom w:val="single" w:sz="4" w:space="0" w:color="auto"/>
              <w:right w:val="single" w:sz="12" w:space="0" w:color="FF0000"/>
            </w:tcBorders>
            <w:shd w:val="clear" w:color="000000" w:fill="595959"/>
            <w:noWrap/>
            <w:textDirection w:val="btLr"/>
            <w:vAlign w:val="bottom"/>
            <w:hideMark/>
          </w:tcPr>
          <w:p w14:paraId="67E36CC5"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Thailand</w:t>
            </w:r>
          </w:p>
        </w:tc>
        <w:tc>
          <w:tcPr>
            <w:tcW w:w="575" w:type="dxa"/>
            <w:tcBorders>
              <w:top w:val="single" w:sz="4" w:space="0" w:color="auto"/>
              <w:left w:val="single" w:sz="12" w:space="0" w:color="FF0000"/>
              <w:bottom w:val="single" w:sz="4" w:space="0" w:color="auto"/>
              <w:right w:val="single" w:sz="4" w:space="0" w:color="auto"/>
            </w:tcBorders>
            <w:shd w:val="clear" w:color="000000" w:fill="595959"/>
            <w:noWrap/>
            <w:textDirection w:val="btLr"/>
            <w:vAlign w:val="bottom"/>
            <w:hideMark/>
          </w:tcPr>
          <w:p w14:paraId="1AD0B110"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Indonesia</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53257114"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Mexico</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5E6FE3EE"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Bulgaria</w:t>
            </w:r>
          </w:p>
        </w:tc>
        <w:tc>
          <w:tcPr>
            <w:tcW w:w="575"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05880F3C"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Vietnam</w:t>
            </w:r>
          </w:p>
        </w:tc>
        <w:tc>
          <w:tcPr>
            <w:tcW w:w="576" w:type="dxa"/>
            <w:tcBorders>
              <w:top w:val="single" w:sz="4" w:space="0" w:color="auto"/>
              <w:left w:val="nil"/>
              <w:bottom w:val="single" w:sz="4" w:space="0" w:color="auto"/>
              <w:right w:val="single" w:sz="4" w:space="0" w:color="auto"/>
            </w:tcBorders>
            <w:shd w:val="clear" w:color="000000" w:fill="595959"/>
            <w:noWrap/>
            <w:textDirection w:val="btLr"/>
            <w:vAlign w:val="bottom"/>
            <w:hideMark/>
          </w:tcPr>
          <w:p w14:paraId="4FBD283E" w14:textId="77777777" w:rsidR="008450DD" w:rsidRPr="003A39CD" w:rsidRDefault="008450DD">
            <w:pPr>
              <w:spacing w:before="20" w:after="20" w:line="240" w:lineRule="auto"/>
              <w:jc w:val="center"/>
              <w:rPr>
                <w:rFonts w:ascii="Trebuchet MS" w:eastAsia="Times New Roman" w:hAnsi="Trebuchet MS" w:cstheme="majorHAnsi"/>
                <w:b/>
                <w:color w:val="FFFFFF"/>
                <w:sz w:val="16"/>
                <w:szCs w:val="16"/>
                <w:lang w:bidi="th-TH"/>
              </w:rPr>
            </w:pPr>
            <w:r w:rsidRPr="003A39CD">
              <w:rPr>
                <w:rFonts w:ascii="Trebuchet MS" w:eastAsia="Times New Roman" w:hAnsi="Trebuchet MS" w:cstheme="majorHAnsi"/>
                <w:b/>
                <w:color w:val="FFFFFF"/>
                <w:sz w:val="16"/>
                <w:szCs w:val="16"/>
                <w:lang w:bidi="th-TH"/>
              </w:rPr>
              <w:t>Philippines</w:t>
            </w:r>
          </w:p>
        </w:tc>
      </w:tr>
      <w:tr w:rsidR="009F499F" w:rsidRPr="00D77417" w14:paraId="7E3ADD2A" w14:textId="77777777">
        <w:trPr>
          <w:trHeight w:val="223"/>
        </w:trPr>
        <w:tc>
          <w:tcPr>
            <w:tcW w:w="4590" w:type="dxa"/>
            <w:tcBorders>
              <w:top w:val="nil"/>
              <w:left w:val="nil"/>
              <w:bottom w:val="single" w:sz="4" w:space="0" w:color="auto"/>
              <w:right w:val="single" w:sz="4" w:space="0" w:color="auto"/>
            </w:tcBorders>
            <w:shd w:val="clear" w:color="000000" w:fill="E7E6E6"/>
            <w:noWrap/>
            <w:vAlign w:val="bottom"/>
            <w:hideMark/>
          </w:tcPr>
          <w:p w14:paraId="57EBA20A" w14:textId="77777777" w:rsidR="008450DD" w:rsidRPr="003A39CD" w:rsidRDefault="008450DD">
            <w:pPr>
              <w:spacing w:before="20" w:after="20" w:line="240" w:lineRule="auto"/>
              <w:rPr>
                <w:rFonts w:ascii="Trebuchet MS" w:eastAsia="Times New Roman" w:hAnsi="Trebuchet MS" w:cstheme="majorHAnsi"/>
                <w:b/>
                <w:color w:val="000000"/>
                <w:sz w:val="16"/>
                <w:szCs w:val="16"/>
                <w:lang w:bidi="th-TH"/>
              </w:rPr>
            </w:pPr>
            <w:r w:rsidRPr="003A39CD">
              <w:rPr>
                <w:rFonts w:ascii="Trebuchet MS" w:eastAsia="Times New Roman" w:hAnsi="Trebuchet MS" w:cstheme="majorHAnsi"/>
                <w:b/>
                <w:color w:val="000000"/>
                <w:sz w:val="16"/>
                <w:szCs w:val="16"/>
                <w:lang w:bidi="th-TH"/>
              </w:rPr>
              <w:t>Quality of overall infrastructure</w:t>
            </w:r>
          </w:p>
        </w:tc>
        <w:tc>
          <w:tcPr>
            <w:tcW w:w="575" w:type="dxa"/>
            <w:tcBorders>
              <w:top w:val="single" w:sz="4" w:space="0" w:color="auto"/>
              <w:left w:val="nil"/>
              <w:bottom w:val="single" w:sz="4" w:space="0" w:color="auto"/>
              <w:right w:val="nil"/>
            </w:tcBorders>
            <w:shd w:val="clear" w:color="000000" w:fill="83CF95"/>
            <w:noWrap/>
            <w:vAlign w:val="bottom"/>
            <w:hideMark/>
          </w:tcPr>
          <w:p w14:paraId="05B43BB8"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5.7</w:t>
            </w:r>
          </w:p>
        </w:tc>
        <w:tc>
          <w:tcPr>
            <w:tcW w:w="575" w:type="dxa"/>
            <w:tcBorders>
              <w:top w:val="single" w:sz="4" w:space="0" w:color="auto"/>
              <w:left w:val="nil"/>
              <w:bottom w:val="single" w:sz="4" w:space="0" w:color="auto"/>
              <w:right w:val="nil"/>
            </w:tcBorders>
            <w:shd w:val="clear" w:color="000000" w:fill="9FD7A2"/>
            <w:noWrap/>
            <w:vAlign w:val="bottom"/>
            <w:hideMark/>
          </w:tcPr>
          <w:p w14:paraId="6E63AC67"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5.3</w:t>
            </w:r>
          </w:p>
        </w:tc>
        <w:tc>
          <w:tcPr>
            <w:tcW w:w="575" w:type="dxa"/>
            <w:tcBorders>
              <w:top w:val="single" w:sz="4" w:space="0" w:color="auto"/>
              <w:left w:val="nil"/>
              <w:bottom w:val="single" w:sz="4" w:space="0" w:color="auto"/>
              <w:right w:val="nil"/>
            </w:tcBorders>
            <w:shd w:val="clear" w:color="000000" w:fill="BADFAE"/>
            <w:noWrap/>
            <w:vAlign w:val="bottom"/>
            <w:hideMark/>
          </w:tcPr>
          <w:p w14:paraId="00D9CBDB"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5.0</w:t>
            </w:r>
          </w:p>
        </w:tc>
        <w:tc>
          <w:tcPr>
            <w:tcW w:w="575" w:type="dxa"/>
            <w:tcBorders>
              <w:top w:val="single" w:sz="4" w:space="0" w:color="auto"/>
              <w:left w:val="nil"/>
              <w:bottom w:val="single" w:sz="4" w:space="0" w:color="auto"/>
              <w:right w:val="nil"/>
            </w:tcBorders>
            <w:shd w:val="clear" w:color="000000" w:fill="DFE9BE"/>
            <w:noWrap/>
            <w:vAlign w:val="bottom"/>
            <w:hideMark/>
          </w:tcPr>
          <w:p w14:paraId="3E6E3B58"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4.5</w:t>
            </w:r>
          </w:p>
        </w:tc>
        <w:tc>
          <w:tcPr>
            <w:tcW w:w="575" w:type="dxa"/>
            <w:tcBorders>
              <w:top w:val="single" w:sz="4" w:space="0" w:color="auto"/>
              <w:left w:val="nil"/>
              <w:bottom w:val="single" w:sz="4" w:space="0" w:color="auto"/>
              <w:right w:val="single" w:sz="12" w:space="0" w:color="FF0000"/>
            </w:tcBorders>
            <w:shd w:val="clear" w:color="000000" w:fill="F6F0C8"/>
            <w:noWrap/>
            <w:vAlign w:val="bottom"/>
            <w:hideMark/>
          </w:tcPr>
          <w:p w14:paraId="25E76DF2"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4.2</w:t>
            </w:r>
          </w:p>
        </w:tc>
        <w:tc>
          <w:tcPr>
            <w:tcW w:w="576" w:type="dxa"/>
            <w:tcBorders>
              <w:top w:val="single" w:sz="4" w:space="0" w:color="auto"/>
              <w:left w:val="single" w:sz="12" w:space="0" w:color="FF0000"/>
              <w:bottom w:val="single" w:sz="4" w:space="0" w:color="auto"/>
              <w:right w:val="single" w:sz="12" w:space="0" w:color="FF0000"/>
            </w:tcBorders>
            <w:shd w:val="clear" w:color="000000" w:fill="FFF2CC"/>
            <w:noWrap/>
            <w:vAlign w:val="bottom"/>
            <w:hideMark/>
          </w:tcPr>
          <w:p w14:paraId="3A71AD17"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4.1</w:t>
            </w:r>
          </w:p>
        </w:tc>
        <w:tc>
          <w:tcPr>
            <w:tcW w:w="575" w:type="dxa"/>
            <w:tcBorders>
              <w:top w:val="single" w:sz="4" w:space="0" w:color="auto"/>
              <w:left w:val="single" w:sz="12" w:space="0" w:color="FF0000"/>
              <w:bottom w:val="single" w:sz="4" w:space="0" w:color="auto"/>
              <w:right w:val="nil"/>
            </w:tcBorders>
            <w:shd w:val="clear" w:color="000000" w:fill="FEF1CB"/>
            <w:noWrap/>
            <w:vAlign w:val="bottom"/>
            <w:hideMark/>
          </w:tcPr>
          <w:p w14:paraId="360A0C78"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4.1</w:t>
            </w:r>
          </w:p>
        </w:tc>
        <w:tc>
          <w:tcPr>
            <w:tcW w:w="575" w:type="dxa"/>
            <w:tcBorders>
              <w:top w:val="single" w:sz="4" w:space="0" w:color="auto"/>
              <w:left w:val="nil"/>
              <w:bottom w:val="single" w:sz="4" w:space="0" w:color="auto"/>
              <w:right w:val="nil"/>
            </w:tcBorders>
            <w:shd w:val="clear" w:color="000000" w:fill="FEEDC8"/>
            <w:noWrap/>
            <w:vAlign w:val="bottom"/>
            <w:hideMark/>
          </w:tcPr>
          <w:p w14:paraId="3A8D2B84"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4.1</w:t>
            </w:r>
          </w:p>
        </w:tc>
        <w:tc>
          <w:tcPr>
            <w:tcW w:w="575" w:type="dxa"/>
            <w:tcBorders>
              <w:top w:val="single" w:sz="4" w:space="0" w:color="auto"/>
              <w:left w:val="nil"/>
              <w:bottom w:val="single" w:sz="4" w:space="0" w:color="auto"/>
              <w:right w:val="nil"/>
            </w:tcBorders>
            <w:shd w:val="clear" w:color="000000" w:fill="FBE1BC"/>
            <w:noWrap/>
            <w:vAlign w:val="bottom"/>
            <w:hideMark/>
          </w:tcPr>
          <w:p w14:paraId="54CB2B36"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3.9</w:t>
            </w:r>
          </w:p>
        </w:tc>
        <w:tc>
          <w:tcPr>
            <w:tcW w:w="575" w:type="dxa"/>
            <w:tcBorders>
              <w:top w:val="single" w:sz="4" w:space="0" w:color="auto"/>
              <w:left w:val="nil"/>
              <w:bottom w:val="single" w:sz="4" w:space="0" w:color="auto"/>
              <w:right w:val="nil"/>
            </w:tcBorders>
            <w:shd w:val="clear" w:color="000000" w:fill="F8CCA9"/>
            <w:noWrap/>
            <w:vAlign w:val="bottom"/>
            <w:hideMark/>
          </w:tcPr>
          <w:p w14:paraId="1145A2AB"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3.6</w:t>
            </w:r>
          </w:p>
        </w:tc>
        <w:tc>
          <w:tcPr>
            <w:tcW w:w="576" w:type="dxa"/>
            <w:tcBorders>
              <w:top w:val="single" w:sz="4" w:space="0" w:color="auto"/>
              <w:left w:val="nil"/>
              <w:bottom w:val="single" w:sz="4" w:space="0" w:color="auto"/>
              <w:right w:val="nil"/>
            </w:tcBorders>
            <w:shd w:val="clear" w:color="000000" w:fill="F0A080"/>
            <w:noWrap/>
            <w:vAlign w:val="bottom"/>
            <w:hideMark/>
          </w:tcPr>
          <w:p w14:paraId="377E2AC0"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3.0</w:t>
            </w:r>
          </w:p>
        </w:tc>
      </w:tr>
      <w:tr w:rsidR="009F499F" w:rsidRPr="00D77417" w14:paraId="4EADDA68" w14:textId="77777777">
        <w:trPr>
          <w:trHeight w:val="223"/>
        </w:trPr>
        <w:tc>
          <w:tcPr>
            <w:tcW w:w="4590" w:type="dxa"/>
            <w:tcBorders>
              <w:top w:val="nil"/>
              <w:left w:val="nil"/>
              <w:bottom w:val="nil"/>
              <w:right w:val="single" w:sz="4" w:space="0" w:color="auto"/>
            </w:tcBorders>
            <w:shd w:val="clear" w:color="000000" w:fill="E7E6E6"/>
            <w:noWrap/>
            <w:vAlign w:val="bottom"/>
            <w:hideMark/>
          </w:tcPr>
          <w:p w14:paraId="33439729" w14:textId="77777777" w:rsidR="008450DD" w:rsidRPr="003A39CD" w:rsidRDefault="008450DD">
            <w:pPr>
              <w:spacing w:before="20" w:after="20" w:line="240" w:lineRule="auto"/>
              <w:rPr>
                <w:rFonts w:ascii="Trebuchet MS" w:eastAsia="Times New Roman" w:hAnsi="Trebuchet MS" w:cstheme="majorHAnsi"/>
                <w:b/>
                <w:color w:val="000000"/>
                <w:sz w:val="16"/>
                <w:szCs w:val="16"/>
                <w:lang w:bidi="th-TH"/>
              </w:rPr>
            </w:pPr>
            <w:r w:rsidRPr="003A39CD">
              <w:rPr>
                <w:rFonts w:ascii="Trebuchet MS" w:eastAsia="Times New Roman" w:hAnsi="Trebuchet MS" w:cstheme="majorHAnsi"/>
                <w:b/>
                <w:color w:val="000000"/>
                <w:sz w:val="16"/>
                <w:szCs w:val="16"/>
                <w:lang w:bidi="th-TH"/>
              </w:rPr>
              <w:t xml:space="preserve">Electricity </w:t>
            </w:r>
          </w:p>
        </w:tc>
        <w:tc>
          <w:tcPr>
            <w:tcW w:w="575" w:type="dxa"/>
            <w:tcBorders>
              <w:top w:val="nil"/>
              <w:left w:val="nil"/>
              <w:bottom w:val="nil"/>
              <w:right w:val="nil"/>
            </w:tcBorders>
            <w:shd w:val="clear" w:color="000000" w:fill="E7E6E6"/>
            <w:noWrap/>
            <w:vAlign w:val="bottom"/>
            <w:hideMark/>
          </w:tcPr>
          <w:p w14:paraId="430ABFF5"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nil"/>
            </w:tcBorders>
            <w:shd w:val="clear" w:color="000000" w:fill="E7E6E6"/>
            <w:noWrap/>
            <w:vAlign w:val="bottom"/>
            <w:hideMark/>
          </w:tcPr>
          <w:p w14:paraId="0E72FF76"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nil"/>
            </w:tcBorders>
            <w:shd w:val="clear" w:color="000000" w:fill="E7E6E6"/>
            <w:noWrap/>
            <w:vAlign w:val="bottom"/>
            <w:hideMark/>
          </w:tcPr>
          <w:p w14:paraId="6CBF0318"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nil"/>
            </w:tcBorders>
            <w:shd w:val="clear" w:color="000000" w:fill="E7E6E6"/>
            <w:noWrap/>
            <w:vAlign w:val="bottom"/>
            <w:hideMark/>
          </w:tcPr>
          <w:p w14:paraId="76E69684"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single" w:sz="12" w:space="0" w:color="FF0000"/>
            </w:tcBorders>
            <w:shd w:val="clear" w:color="000000" w:fill="E7E6E6"/>
            <w:noWrap/>
            <w:vAlign w:val="bottom"/>
            <w:hideMark/>
          </w:tcPr>
          <w:p w14:paraId="07294E40"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6" w:type="dxa"/>
            <w:tcBorders>
              <w:top w:val="nil"/>
              <w:left w:val="single" w:sz="12" w:space="0" w:color="FF0000"/>
              <w:bottom w:val="nil"/>
              <w:right w:val="single" w:sz="12" w:space="0" w:color="FF0000"/>
            </w:tcBorders>
            <w:shd w:val="clear" w:color="000000" w:fill="E7E6E6"/>
            <w:noWrap/>
            <w:vAlign w:val="bottom"/>
            <w:hideMark/>
          </w:tcPr>
          <w:p w14:paraId="56ABB04F"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single" w:sz="12" w:space="0" w:color="FF0000"/>
              <w:bottom w:val="nil"/>
              <w:right w:val="nil"/>
            </w:tcBorders>
            <w:shd w:val="clear" w:color="000000" w:fill="E7E6E6"/>
            <w:noWrap/>
            <w:vAlign w:val="bottom"/>
            <w:hideMark/>
          </w:tcPr>
          <w:p w14:paraId="1397B658"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nil"/>
            </w:tcBorders>
            <w:shd w:val="clear" w:color="000000" w:fill="E7E6E6"/>
            <w:noWrap/>
            <w:vAlign w:val="bottom"/>
            <w:hideMark/>
          </w:tcPr>
          <w:p w14:paraId="3E3B1A2C"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nil"/>
            </w:tcBorders>
            <w:shd w:val="clear" w:color="000000" w:fill="E7E6E6"/>
            <w:noWrap/>
            <w:vAlign w:val="bottom"/>
            <w:hideMark/>
          </w:tcPr>
          <w:p w14:paraId="7C67D968"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5" w:type="dxa"/>
            <w:tcBorders>
              <w:top w:val="nil"/>
              <w:left w:val="nil"/>
              <w:bottom w:val="nil"/>
              <w:right w:val="nil"/>
            </w:tcBorders>
            <w:shd w:val="clear" w:color="000000" w:fill="E7E6E6"/>
            <w:noWrap/>
            <w:vAlign w:val="bottom"/>
            <w:hideMark/>
          </w:tcPr>
          <w:p w14:paraId="370C594D"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c>
          <w:tcPr>
            <w:tcW w:w="576" w:type="dxa"/>
            <w:tcBorders>
              <w:top w:val="nil"/>
              <w:left w:val="nil"/>
              <w:bottom w:val="nil"/>
              <w:right w:val="nil"/>
            </w:tcBorders>
            <w:shd w:val="clear" w:color="000000" w:fill="E7E6E6"/>
            <w:noWrap/>
            <w:vAlign w:val="bottom"/>
            <w:hideMark/>
          </w:tcPr>
          <w:p w14:paraId="6FCAB5D0" w14:textId="77777777" w:rsidR="008450DD" w:rsidRPr="003A39CD" w:rsidRDefault="008450DD">
            <w:pPr>
              <w:spacing w:before="20" w:after="20" w:line="240" w:lineRule="auto"/>
              <w:jc w:val="center"/>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 </w:t>
            </w:r>
          </w:p>
        </w:tc>
      </w:tr>
      <w:tr w:rsidR="009F499F" w:rsidRPr="00D77417" w14:paraId="4F63A400" w14:textId="77777777">
        <w:trPr>
          <w:trHeight w:val="223"/>
        </w:trPr>
        <w:tc>
          <w:tcPr>
            <w:tcW w:w="4590" w:type="dxa"/>
            <w:tcBorders>
              <w:top w:val="nil"/>
              <w:left w:val="nil"/>
              <w:bottom w:val="nil"/>
              <w:right w:val="single" w:sz="4" w:space="0" w:color="auto"/>
            </w:tcBorders>
            <w:shd w:val="clear" w:color="auto" w:fill="auto"/>
            <w:noWrap/>
            <w:vAlign w:val="bottom"/>
            <w:hideMark/>
          </w:tcPr>
          <w:p w14:paraId="7EA0ACB5"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Access to electricity (% of population)</w:t>
            </w:r>
          </w:p>
        </w:tc>
        <w:tc>
          <w:tcPr>
            <w:tcW w:w="575" w:type="dxa"/>
            <w:tcBorders>
              <w:top w:val="nil"/>
              <w:left w:val="nil"/>
              <w:bottom w:val="nil"/>
              <w:right w:val="nil"/>
            </w:tcBorders>
            <w:shd w:val="clear" w:color="000000" w:fill="83CF95"/>
            <w:noWrap/>
            <w:vAlign w:val="bottom"/>
            <w:hideMark/>
          </w:tcPr>
          <w:p w14:paraId="750E8F4A"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5" w:type="dxa"/>
            <w:tcBorders>
              <w:top w:val="nil"/>
              <w:left w:val="nil"/>
              <w:bottom w:val="nil"/>
              <w:right w:val="nil"/>
            </w:tcBorders>
            <w:shd w:val="clear" w:color="000000" w:fill="83CF95"/>
            <w:noWrap/>
            <w:vAlign w:val="bottom"/>
            <w:hideMark/>
          </w:tcPr>
          <w:p w14:paraId="4A9C0DA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5" w:type="dxa"/>
            <w:tcBorders>
              <w:top w:val="nil"/>
              <w:left w:val="nil"/>
              <w:bottom w:val="nil"/>
              <w:right w:val="nil"/>
            </w:tcBorders>
            <w:shd w:val="clear" w:color="000000" w:fill="83CF95"/>
            <w:noWrap/>
            <w:vAlign w:val="bottom"/>
            <w:hideMark/>
          </w:tcPr>
          <w:p w14:paraId="5FC5B98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5" w:type="dxa"/>
            <w:tcBorders>
              <w:top w:val="nil"/>
              <w:left w:val="nil"/>
              <w:bottom w:val="nil"/>
              <w:right w:val="nil"/>
            </w:tcBorders>
            <w:shd w:val="clear" w:color="000000" w:fill="83CF95"/>
            <w:noWrap/>
            <w:vAlign w:val="bottom"/>
            <w:hideMark/>
          </w:tcPr>
          <w:p w14:paraId="3F6B70C5"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5" w:type="dxa"/>
            <w:tcBorders>
              <w:top w:val="nil"/>
              <w:left w:val="nil"/>
              <w:bottom w:val="nil"/>
              <w:right w:val="single" w:sz="12" w:space="0" w:color="FF0000"/>
            </w:tcBorders>
            <w:shd w:val="clear" w:color="000000" w:fill="83CF95"/>
            <w:noWrap/>
            <w:vAlign w:val="bottom"/>
            <w:hideMark/>
          </w:tcPr>
          <w:p w14:paraId="17D211A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6" w:type="dxa"/>
            <w:tcBorders>
              <w:top w:val="nil"/>
              <w:left w:val="single" w:sz="12" w:space="0" w:color="FF0000"/>
              <w:bottom w:val="nil"/>
              <w:right w:val="single" w:sz="12" w:space="0" w:color="FF0000"/>
            </w:tcBorders>
            <w:shd w:val="clear" w:color="000000" w:fill="83CF95"/>
            <w:noWrap/>
            <w:vAlign w:val="bottom"/>
            <w:hideMark/>
          </w:tcPr>
          <w:p w14:paraId="70FC1692"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5" w:type="dxa"/>
            <w:tcBorders>
              <w:top w:val="nil"/>
              <w:left w:val="single" w:sz="12" w:space="0" w:color="FF0000"/>
              <w:bottom w:val="nil"/>
              <w:right w:val="nil"/>
            </w:tcBorders>
            <w:shd w:val="clear" w:color="000000" w:fill="F0A282"/>
            <w:noWrap/>
            <w:vAlign w:val="bottom"/>
            <w:hideMark/>
          </w:tcPr>
          <w:p w14:paraId="11FAD641"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97</w:t>
            </w:r>
          </w:p>
        </w:tc>
        <w:tc>
          <w:tcPr>
            <w:tcW w:w="575" w:type="dxa"/>
            <w:tcBorders>
              <w:top w:val="nil"/>
              <w:left w:val="nil"/>
              <w:bottom w:val="nil"/>
              <w:right w:val="nil"/>
            </w:tcBorders>
            <w:shd w:val="clear" w:color="000000" w:fill="FCE2BD"/>
            <w:noWrap/>
            <w:vAlign w:val="bottom"/>
            <w:hideMark/>
          </w:tcPr>
          <w:p w14:paraId="5EFA2ECA"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99</w:t>
            </w:r>
          </w:p>
        </w:tc>
        <w:tc>
          <w:tcPr>
            <w:tcW w:w="575" w:type="dxa"/>
            <w:tcBorders>
              <w:top w:val="nil"/>
              <w:left w:val="nil"/>
              <w:bottom w:val="nil"/>
              <w:right w:val="nil"/>
            </w:tcBorders>
            <w:shd w:val="clear" w:color="000000" w:fill="FDEAC4"/>
            <w:noWrap/>
            <w:vAlign w:val="bottom"/>
            <w:hideMark/>
          </w:tcPr>
          <w:p w14:paraId="3EE1D78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5" w:type="dxa"/>
            <w:tcBorders>
              <w:top w:val="nil"/>
              <w:left w:val="nil"/>
              <w:bottom w:val="nil"/>
              <w:right w:val="nil"/>
            </w:tcBorders>
            <w:shd w:val="clear" w:color="000000" w:fill="83CF95"/>
            <w:noWrap/>
            <w:vAlign w:val="bottom"/>
            <w:hideMark/>
          </w:tcPr>
          <w:p w14:paraId="7916D95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100</w:t>
            </w:r>
          </w:p>
        </w:tc>
        <w:tc>
          <w:tcPr>
            <w:tcW w:w="576" w:type="dxa"/>
            <w:tcBorders>
              <w:top w:val="nil"/>
              <w:left w:val="nil"/>
              <w:bottom w:val="nil"/>
              <w:right w:val="nil"/>
            </w:tcBorders>
            <w:shd w:val="clear" w:color="000000" w:fill="F0A080"/>
            <w:noWrap/>
            <w:vAlign w:val="bottom"/>
            <w:hideMark/>
          </w:tcPr>
          <w:p w14:paraId="7C9DDE3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97</w:t>
            </w:r>
          </w:p>
        </w:tc>
      </w:tr>
      <w:tr w:rsidR="009F499F" w:rsidRPr="00D77417" w14:paraId="5542FE56" w14:textId="77777777">
        <w:trPr>
          <w:trHeight w:val="223"/>
        </w:trPr>
        <w:tc>
          <w:tcPr>
            <w:tcW w:w="4590" w:type="dxa"/>
            <w:tcBorders>
              <w:top w:val="nil"/>
              <w:left w:val="nil"/>
              <w:bottom w:val="single" w:sz="4" w:space="0" w:color="auto"/>
              <w:right w:val="single" w:sz="4" w:space="0" w:color="auto"/>
            </w:tcBorders>
            <w:shd w:val="clear" w:color="auto" w:fill="auto"/>
            <w:noWrap/>
            <w:vAlign w:val="bottom"/>
            <w:hideMark/>
          </w:tcPr>
          <w:p w14:paraId="3C9765BF"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Electric power transmission and distribution losses* (% of output)</w:t>
            </w:r>
          </w:p>
        </w:tc>
        <w:tc>
          <w:tcPr>
            <w:tcW w:w="575" w:type="dxa"/>
            <w:tcBorders>
              <w:top w:val="nil"/>
              <w:left w:val="nil"/>
              <w:bottom w:val="single" w:sz="4" w:space="0" w:color="auto"/>
              <w:right w:val="nil"/>
            </w:tcBorders>
            <w:shd w:val="clear" w:color="000000" w:fill="83CF95"/>
            <w:noWrap/>
            <w:vAlign w:val="bottom"/>
            <w:hideMark/>
          </w:tcPr>
          <w:p w14:paraId="172730B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3.3</w:t>
            </w:r>
          </w:p>
        </w:tc>
        <w:tc>
          <w:tcPr>
            <w:tcW w:w="575" w:type="dxa"/>
            <w:tcBorders>
              <w:top w:val="nil"/>
              <w:left w:val="nil"/>
              <w:bottom w:val="single" w:sz="4" w:space="0" w:color="auto"/>
              <w:right w:val="nil"/>
            </w:tcBorders>
            <w:shd w:val="clear" w:color="000000" w:fill="BDDFAE"/>
            <w:noWrap/>
            <w:vAlign w:val="bottom"/>
            <w:hideMark/>
          </w:tcPr>
          <w:p w14:paraId="5585D97D"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5.8</w:t>
            </w:r>
          </w:p>
        </w:tc>
        <w:tc>
          <w:tcPr>
            <w:tcW w:w="575" w:type="dxa"/>
            <w:tcBorders>
              <w:top w:val="nil"/>
              <w:left w:val="nil"/>
              <w:bottom w:val="single" w:sz="4" w:space="0" w:color="auto"/>
              <w:right w:val="nil"/>
            </w:tcBorders>
            <w:shd w:val="clear" w:color="000000" w:fill="F0A080"/>
            <w:noWrap/>
            <w:vAlign w:val="bottom"/>
            <w:hideMark/>
          </w:tcPr>
          <w:p w14:paraId="0AF582E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14.8</w:t>
            </w:r>
          </w:p>
        </w:tc>
        <w:tc>
          <w:tcPr>
            <w:tcW w:w="575" w:type="dxa"/>
            <w:tcBorders>
              <w:top w:val="nil"/>
              <w:left w:val="nil"/>
              <w:bottom w:val="single" w:sz="4" w:space="0" w:color="auto"/>
              <w:right w:val="nil"/>
            </w:tcBorders>
            <w:shd w:val="clear" w:color="000000" w:fill="B5DDAB"/>
            <w:noWrap/>
            <w:vAlign w:val="bottom"/>
            <w:hideMark/>
          </w:tcPr>
          <w:p w14:paraId="07ABA061"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5.5</w:t>
            </w:r>
          </w:p>
        </w:tc>
        <w:tc>
          <w:tcPr>
            <w:tcW w:w="575" w:type="dxa"/>
            <w:tcBorders>
              <w:top w:val="nil"/>
              <w:left w:val="nil"/>
              <w:bottom w:val="single" w:sz="4" w:space="0" w:color="auto"/>
              <w:right w:val="single" w:sz="12" w:space="0" w:color="FF0000"/>
            </w:tcBorders>
            <w:shd w:val="clear" w:color="000000" w:fill="CDE3B5"/>
            <w:noWrap/>
            <w:vAlign w:val="bottom"/>
            <w:hideMark/>
          </w:tcPr>
          <w:p w14:paraId="5E344F2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6.5</w:t>
            </w:r>
          </w:p>
        </w:tc>
        <w:tc>
          <w:tcPr>
            <w:tcW w:w="576" w:type="dxa"/>
            <w:tcBorders>
              <w:top w:val="nil"/>
              <w:left w:val="single" w:sz="12" w:space="0" w:color="FF0000"/>
              <w:bottom w:val="single" w:sz="4" w:space="0" w:color="auto"/>
              <w:right w:val="single" w:sz="12" w:space="0" w:color="FF0000"/>
            </w:tcBorders>
            <w:shd w:val="clear" w:color="000000" w:fill="C4E1B2"/>
            <w:noWrap/>
            <w:vAlign w:val="bottom"/>
            <w:hideMark/>
          </w:tcPr>
          <w:p w14:paraId="17CD6190"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6.1</w:t>
            </w:r>
          </w:p>
        </w:tc>
        <w:tc>
          <w:tcPr>
            <w:tcW w:w="575" w:type="dxa"/>
            <w:tcBorders>
              <w:top w:val="nil"/>
              <w:left w:val="single" w:sz="12" w:space="0" w:color="FF0000"/>
              <w:bottom w:val="single" w:sz="4" w:space="0" w:color="auto"/>
              <w:right w:val="nil"/>
            </w:tcBorders>
            <w:shd w:val="clear" w:color="000000" w:fill="FDE7C2"/>
            <w:noWrap/>
            <w:vAlign w:val="bottom"/>
            <w:hideMark/>
          </w:tcPr>
          <w:p w14:paraId="3D24955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9.4</w:t>
            </w:r>
          </w:p>
        </w:tc>
        <w:tc>
          <w:tcPr>
            <w:tcW w:w="575" w:type="dxa"/>
            <w:tcBorders>
              <w:top w:val="nil"/>
              <w:left w:val="nil"/>
              <w:bottom w:val="single" w:sz="4" w:space="0" w:color="auto"/>
              <w:right w:val="nil"/>
            </w:tcBorders>
            <w:shd w:val="clear" w:color="000000" w:fill="F3AF8E"/>
            <w:noWrap/>
            <w:vAlign w:val="bottom"/>
            <w:hideMark/>
          </w:tcPr>
          <w:p w14:paraId="3F824E7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13.7</w:t>
            </w:r>
          </w:p>
        </w:tc>
        <w:tc>
          <w:tcPr>
            <w:tcW w:w="575" w:type="dxa"/>
            <w:tcBorders>
              <w:top w:val="nil"/>
              <w:left w:val="nil"/>
              <w:bottom w:val="single" w:sz="4" w:space="0" w:color="auto"/>
              <w:right w:val="nil"/>
            </w:tcBorders>
            <w:shd w:val="clear" w:color="000000" w:fill="FFF2CC"/>
            <w:noWrap/>
            <w:vAlign w:val="bottom"/>
            <w:hideMark/>
          </w:tcPr>
          <w:p w14:paraId="05095B51"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8.6</w:t>
            </w:r>
          </w:p>
        </w:tc>
        <w:tc>
          <w:tcPr>
            <w:tcW w:w="575" w:type="dxa"/>
            <w:tcBorders>
              <w:top w:val="nil"/>
              <w:left w:val="nil"/>
              <w:bottom w:val="single" w:sz="4" w:space="0" w:color="auto"/>
              <w:right w:val="nil"/>
            </w:tcBorders>
            <w:shd w:val="clear" w:color="000000" w:fill="FEE9C4"/>
            <w:noWrap/>
            <w:vAlign w:val="bottom"/>
            <w:hideMark/>
          </w:tcPr>
          <w:p w14:paraId="5300E05B"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9.3</w:t>
            </w:r>
          </w:p>
        </w:tc>
        <w:tc>
          <w:tcPr>
            <w:tcW w:w="576" w:type="dxa"/>
            <w:tcBorders>
              <w:top w:val="nil"/>
              <w:left w:val="nil"/>
              <w:bottom w:val="single" w:sz="4" w:space="0" w:color="auto"/>
              <w:right w:val="nil"/>
            </w:tcBorders>
            <w:shd w:val="clear" w:color="000000" w:fill="FDE7C2"/>
            <w:noWrap/>
            <w:vAlign w:val="bottom"/>
            <w:hideMark/>
          </w:tcPr>
          <w:p w14:paraId="63ABEA2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9.4</w:t>
            </w:r>
          </w:p>
        </w:tc>
      </w:tr>
      <w:tr w:rsidR="009F499F" w:rsidRPr="00D77417" w14:paraId="5AFEF16D" w14:textId="77777777">
        <w:trPr>
          <w:trHeight w:val="223"/>
        </w:trPr>
        <w:tc>
          <w:tcPr>
            <w:tcW w:w="4590" w:type="dxa"/>
            <w:tcBorders>
              <w:top w:val="nil"/>
              <w:left w:val="nil"/>
              <w:bottom w:val="nil"/>
              <w:right w:val="single" w:sz="4" w:space="0" w:color="auto"/>
            </w:tcBorders>
            <w:shd w:val="clear" w:color="000000" w:fill="E7E6E6"/>
            <w:noWrap/>
            <w:vAlign w:val="bottom"/>
            <w:hideMark/>
          </w:tcPr>
          <w:p w14:paraId="0624021C" w14:textId="77777777" w:rsidR="008450DD" w:rsidRPr="003A39CD" w:rsidRDefault="008450DD">
            <w:pPr>
              <w:spacing w:before="20" w:after="20" w:line="240" w:lineRule="auto"/>
              <w:rPr>
                <w:rFonts w:ascii="Trebuchet MS" w:eastAsia="Times New Roman" w:hAnsi="Trebuchet MS" w:cstheme="majorHAnsi"/>
                <w:b/>
                <w:color w:val="000000"/>
                <w:sz w:val="16"/>
                <w:szCs w:val="16"/>
                <w:lang w:bidi="th-TH"/>
              </w:rPr>
            </w:pPr>
            <w:r w:rsidRPr="003A39CD">
              <w:rPr>
                <w:rFonts w:ascii="Trebuchet MS" w:eastAsia="Times New Roman" w:hAnsi="Trebuchet MS" w:cstheme="majorHAnsi"/>
                <w:b/>
                <w:color w:val="000000"/>
                <w:sz w:val="16"/>
                <w:szCs w:val="16"/>
                <w:lang w:bidi="th-TH"/>
              </w:rPr>
              <w:t>Land Transportation</w:t>
            </w:r>
          </w:p>
        </w:tc>
        <w:tc>
          <w:tcPr>
            <w:tcW w:w="575" w:type="dxa"/>
            <w:tcBorders>
              <w:top w:val="nil"/>
              <w:left w:val="nil"/>
              <w:bottom w:val="nil"/>
              <w:right w:val="nil"/>
            </w:tcBorders>
            <w:shd w:val="clear" w:color="000000" w:fill="E7E6E6"/>
            <w:noWrap/>
            <w:vAlign w:val="bottom"/>
            <w:hideMark/>
          </w:tcPr>
          <w:p w14:paraId="2E71AFF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5A7918C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72B8A05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2FED560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single" w:sz="12" w:space="0" w:color="FF0000"/>
            </w:tcBorders>
            <w:shd w:val="clear" w:color="000000" w:fill="E7E6E6"/>
            <w:noWrap/>
            <w:vAlign w:val="bottom"/>
            <w:hideMark/>
          </w:tcPr>
          <w:p w14:paraId="3F0AD5D0"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6" w:type="dxa"/>
            <w:tcBorders>
              <w:top w:val="nil"/>
              <w:left w:val="single" w:sz="12" w:space="0" w:color="FF0000"/>
              <w:bottom w:val="nil"/>
              <w:right w:val="single" w:sz="12" w:space="0" w:color="FF0000"/>
            </w:tcBorders>
            <w:shd w:val="clear" w:color="000000" w:fill="E7E6E6"/>
            <w:noWrap/>
            <w:vAlign w:val="bottom"/>
            <w:hideMark/>
          </w:tcPr>
          <w:p w14:paraId="1DB9630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single" w:sz="12" w:space="0" w:color="FF0000"/>
              <w:bottom w:val="nil"/>
              <w:right w:val="nil"/>
            </w:tcBorders>
            <w:shd w:val="clear" w:color="000000" w:fill="E7E6E6"/>
            <w:noWrap/>
            <w:vAlign w:val="bottom"/>
            <w:hideMark/>
          </w:tcPr>
          <w:p w14:paraId="6C18F4E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147861AB"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69479A7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7AFE7E2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6" w:type="dxa"/>
            <w:tcBorders>
              <w:top w:val="nil"/>
              <w:left w:val="nil"/>
              <w:bottom w:val="nil"/>
              <w:right w:val="nil"/>
            </w:tcBorders>
            <w:shd w:val="clear" w:color="000000" w:fill="E7E6E6"/>
            <w:noWrap/>
            <w:vAlign w:val="bottom"/>
            <w:hideMark/>
          </w:tcPr>
          <w:p w14:paraId="103BA39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r>
      <w:tr w:rsidR="009F499F" w:rsidRPr="00D77417" w14:paraId="45BFFDE8" w14:textId="77777777">
        <w:trPr>
          <w:trHeight w:val="223"/>
        </w:trPr>
        <w:tc>
          <w:tcPr>
            <w:tcW w:w="4590" w:type="dxa"/>
            <w:tcBorders>
              <w:top w:val="nil"/>
              <w:left w:val="nil"/>
              <w:bottom w:val="nil"/>
              <w:right w:val="single" w:sz="4" w:space="0" w:color="auto"/>
            </w:tcBorders>
            <w:shd w:val="clear" w:color="auto" w:fill="auto"/>
            <w:noWrap/>
            <w:vAlign w:val="bottom"/>
            <w:hideMark/>
          </w:tcPr>
          <w:p w14:paraId="0180D731"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Quality of roads, 1-7 (best)</w:t>
            </w:r>
          </w:p>
        </w:tc>
        <w:tc>
          <w:tcPr>
            <w:tcW w:w="575" w:type="dxa"/>
            <w:tcBorders>
              <w:top w:val="nil"/>
              <w:left w:val="nil"/>
              <w:bottom w:val="nil"/>
              <w:right w:val="nil"/>
            </w:tcBorders>
            <w:shd w:val="clear" w:color="000000" w:fill="83CF95"/>
            <w:noWrap/>
            <w:vAlign w:val="bottom"/>
            <w:hideMark/>
          </w:tcPr>
          <w:p w14:paraId="46CC1831"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5.9</w:t>
            </w:r>
          </w:p>
        </w:tc>
        <w:tc>
          <w:tcPr>
            <w:tcW w:w="575" w:type="dxa"/>
            <w:tcBorders>
              <w:top w:val="nil"/>
              <w:left w:val="nil"/>
              <w:bottom w:val="nil"/>
              <w:right w:val="nil"/>
            </w:tcBorders>
            <w:shd w:val="clear" w:color="000000" w:fill="93D49C"/>
            <w:noWrap/>
            <w:vAlign w:val="bottom"/>
            <w:hideMark/>
          </w:tcPr>
          <w:p w14:paraId="1EC8DBC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5.7</w:t>
            </w:r>
          </w:p>
        </w:tc>
        <w:tc>
          <w:tcPr>
            <w:tcW w:w="575" w:type="dxa"/>
            <w:tcBorders>
              <w:top w:val="nil"/>
              <w:left w:val="nil"/>
              <w:bottom w:val="nil"/>
              <w:right w:val="nil"/>
            </w:tcBorders>
            <w:shd w:val="clear" w:color="000000" w:fill="C5E2B3"/>
            <w:noWrap/>
            <w:vAlign w:val="bottom"/>
            <w:hideMark/>
          </w:tcPr>
          <w:p w14:paraId="1AA44DA4"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5.0</w:t>
            </w:r>
          </w:p>
        </w:tc>
        <w:tc>
          <w:tcPr>
            <w:tcW w:w="575" w:type="dxa"/>
            <w:tcBorders>
              <w:top w:val="nil"/>
              <w:left w:val="nil"/>
              <w:bottom w:val="nil"/>
              <w:right w:val="nil"/>
            </w:tcBorders>
            <w:shd w:val="clear" w:color="000000" w:fill="E5EBC1"/>
            <w:noWrap/>
            <w:vAlign w:val="bottom"/>
            <w:hideMark/>
          </w:tcPr>
          <w:p w14:paraId="2C435915"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4.6</w:t>
            </w:r>
          </w:p>
        </w:tc>
        <w:tc>
          <w:tcPr>
            <w:tcW w:w="575" w:type="dxa"/>
            <w:tcBorders>
              <w:top w:val="nil"/>
              <w:left w:val="nil"/>
              <w:bottom w:val="nil"/>
              <w:right w:val="single" w:sz="12" w:space="0" w:color="FF0000"/>
            </w:tcBorders>
            <w:shd w:val="clear" w:color="000000" w:fill="F9F1CA"/>
            <w:noWrap/>
            <w:vAlign w:val="bottom"/>
            <w:hideMark/>
          </w:tcPr>
          <w:p w14:paraId="2EBD3F90"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4.3</w:t>
            </w:r>
          </w:p>
        </w:tc>
        <w:tc>
          <w:tcPr>
            <w:tcW w:w="576" w:type="dxa"/>
            <w:tcBorders>
              <w:top w:val="nil"/>
              <w:left w:val="single" w:sz="12" w:space="0" w:color="FF0000"/>
              <w:bottom w:val="nil"/>
              <w:right w:val="single" w:sz="12" w:space="0" w:color="FF0000"/>
            </w:tcBorders>
            <w:shd w:val="clear" w:color="000000" w:fill="F3EFC7"/>
            <w:noWrap/>
            <w:vAlign w:val="bottom"/>
            <w:hideMark/>
          </w:tcPr>
          <w:p w14:paraId="2D3C555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4.4</w:t>
            </w:r>
          </w:p>
        </w:tc>
        <w:tc>
          <w:tcPr>
            <w:tcW w:w="575" w:type="dxa"/>
            <w:tcBorders>
              <w:top w:val="nil"/>
              <w:left w:val="single" w:sz="12" w:space="0" w:color="FF0000"/>
              <w:bottom w:val="nil"/>
              <w:right w:val="nil"/>
            </w:tcBorders>
            <w:shd w:val="clear" w:color="000000" w:fill="FEEFC9"/>
            <w:noWrap/>
            <w:vAlign w:val="bottom"/>
            <w:hideMark/>
          </w:tcPr>
          <w:p w14:paraId="7EA30F9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4.2</w:t>
            </w:r>
          </w:p>
        </w:tc>
        <w:tc>
          <w:tcPr>
            <w:tcW w:w="575" w:type="dxa"/>
            <w:tcBorders>
              <w:top w:val="nil"/>
              <w:left w:val="nil"/>
              <w:bottom w:val="nil"/>
              <w:right w:val="nil"/>
            </w:tcBorders>
            <w:shd w:val="clear" w:color="000000" w:fill="EBEDC3"/>
            <w:noWrap/>
            <w:vAlign w:val="bottom"/>
            <w:hideMark/>
          </w:tcPr>
          <w:p w14:paraId="509A395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4.5</w:t>
            </w:r>
          </w:p>
        </w:tc>
        <w:tc>
          <w:tcPr>
            <w:tcW w:w="575" w:type="dxa"/>
            <w:tcBorders>
              <w:top w:val="nil"/>
              <w:left w:val="nil"/>
              <w:bottom w:val="nil"/>
              <w:right w:val="nil"/>
            </w:tcBorders>
            <w:shd w:val="clear" w:color="000000" w:fill="F9D5B1"/>
            <w:noWrap/>
            <w:vAlign w:val="bottom"/>
            <w:hideMark/>
          </w:tcPr>
          <w:p w14:paraId="4797D4CB"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3.4</w:t>
            </w:r>
          </w:p>
        </w:tc>
        <w:tc>
          <w:tcPr>
            <w:tcW w:w="575" w:type="dxa"/>
            <w:tcBorders>
              <w:top w:val="nil"/>
              <w:left w:val="nil"/>
              <w:bottom w:val="nil"/>
              <w:right w:val="nil"/>
            </w:tcBorders>
            <w:shd w:val="clear" w:color="000000" w:fill="F9D5B1"/>
            <w:noWrap/>
            <w:vAlign w:val="bottom"/>
            <w:hideMark/>
          </w:tcPr>
          <w:p w14:paraId="26CB3D1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3.4</w:t>
            </w:r>
          </w:p>
        </w:tc>
        <w:tc>
          <w:tcPr>
            <w:tcW w:w="576" w:type="dxa"/>
            <w:tcBorders>
              <w:top w:val="nil"/>
              <w:left w:val="nil"/>
              <w:bottom w:val="nil"/>
              <w:right w:val="nil"/>
            </w:tcBorders>
            <w:shd w:val="clear" w:color="000000" w:fill="FBDEBA"/>
            <w:noWrap/>
            <w:vAlign w:val="bottom"/>
            <w:hideMark/>
          </w:tcPr>
          <w:p w14:paraId="5DF2C6C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3.7</w:t>
            </w:r>
          </w:p>
        </w:tc>
      </w:tr>
      <w:tr w:rsidR="009F499F" w:rsidRPr="00D77417" w14:paraId="1576D17A" w14:textId="77777777">
        <w:trPr>
          <w:trHeight w:val="223"/>
        </w:trPr>
        <w:tc>
          <w:tcPr>
            <w:tcW w:w="4590" w:type="dxa"/>
            <w:tcBorders>
              <w:top w:val="nil"/>
              <w:left w:val="nil"/>
              <w:bottom w:val="nil"/>
              <w:right w:val="single" w:sz="4" w:space="0" w:color="auto"/>
            </w:tcBorders>
            <w:shd w:val="clear" w:color="auto" w:fill="auto"/>
            <w:noWrap/>
            <w:vAlign w:val="bottom"/>
            <w:hideMark/>
          </w:tcPr>
          <w:p w14:paraId="717C89AA"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Quality of railroad infrastructure, 1-7 (best)</w:t>
            </w:r>
          </w:p>
        </w:tc>
        <w:tc>
          <w:tcPr>
            <w:tcW w:w="575" w:type="dxa"/>
            <w:tcBorders>
              <w:top w:val="nil"/>
              <w:left w:val="nil"/>
              <w:bottom w:val="nil"/>
              <w:right w:val="nil"/>
            </w:tcBorders>
            <w:shd w:val="clear" w:color="000000" w:fill="95D49D"/>
            <w:noWrap/>
            <w:vAlign w:val="bottom"/>
            <w:hideMark/>
          </w:tcPr>
          <w:p w14:paraId="51BA3D8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5.7</w:t>
            </w:r>
          </w:p>
        </w:tc>
        <w:tc>
          <w:tcPr>
            <w:tcW w:w="575" w:type="dxa"/>
            <w:tcBorders>
              <w:top w:val="nil"/>
              <w:left w:val="nil"/>
              <w:bottom w:val="nil"/>
              <w:right w:val="nil"/>
            </w:tcBorders>
            <w:shd w:val="clear" w:color="000000" w:fill="BDE0AF"/>
            <w:noWrap/>
            <w:vAlign w:val="bottom"/>
            <w:hideMark/>
          </w:tcPr>
          <w:p w14:paraId="70D7977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5.1</w:t>
            </w:r>
          </w:p>
        </w:tc>
        <w:tc>
          <w:tcPr>
            <w:tcW w:w="575" w:type="dxa"/>
            <w:tcBorders>
              <w:top w:val="nil"/>
              <w:left w:val="nil"/>
              <w:bottom w:val="nil"/>
              <w:right w:val="nil"/>
            </w:tcBorders>
            <w:shd w:val="clear" w:color="000000" w:fill="F7C7A4"/>
            <w:noWrap/>
            <w:vAlign w:val="bottom"/>
            <w:hideMark/>
          </w:tcPr>
          <w:p w14:paraId="19DBBE1A"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3.0</w:t>
            </w:r>
          </w:p>
        </w:tc>
        <w:tc>
          <w:tcPr>
            <w:tcW w:w="575" w:type="dxa"/>
            <w:tcBorders>
              <w:top w:val="nil"/>
              <w:left w:val="nil"/>
              <w:bottom w:val="nil"/>
              <w:right w:val="nil"/>
            </w:tcBorders>
            <w:shd w:val="clear" w:color="000000" w:fill="D5E7BA"/>
            <w:noWrap/>
            <w:vAlign w:val="bottom"/>
            <w:hideMark/>
          </w:tcPr>
          <w:p w14:paraId="1E18B2B4"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4.8</w:t>
            </w:r>
          </w:p>
        </w:tc>
        <w:tc>
          <w:tcPr>
            <w:tcW w:w="575" w:type="dxa"/>
            <w:tcBorders>
              <w:top w:val="nil"/>
              <w:left w:val="nil"/>
              <w:bottom w:val="nil"/>
              <w:right w:val="single" w:sz="12" w:space="0" w:color="FF0000"/>
            </w:tcBorders>
            <w:shd w:val="clear" w:color="000000" w:fill="FADAB6"/>
            <w:noWrap/>
            <w:vAlign w:val="bottom"/>
            <w:hideMark/>
          </w:tcPr>
          <w:p w14:paraId="348C7344"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3.6</w:t>
            </w:r>
          </w:p>
        </w:tc>
        <w:tc>
          <w:tcPr>
            <w:tcW w:w="576" w:type="dxa"/>
            <w:tcBorders>
              <w:top w:val="nil"/>
              <w:left w:val="single" w:sz="12" w:space="0" w:color="FF0000"/>
              <w:bottom w:val="nil"/>
              <w:right w:val="single" w:sz="12" w:space="0" w:color="FF0000"/>
            </w:tcBorders>
            <w:shd w:val="clear" w:color="000000" w:fill="F4BA98"/>
            <w:noWrap/>
            <w:vAlign w:val="bottom"/>
            <w:hideMark/>
          </w:tcPr>
          <w:p w14:paraId="0B2EC34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2.6</w:t>
            </w:r>
          </w:p>
        </w:tc>
        <w:tc>
          <w:tcPr>
            <w:tcW w:w="575" w:type="dxa"/>
            <w:tcBorders>
              <w:top w:val="nil"/>
              <w:left w:val="single" w:sz="12" w:space="0" w:color="FF0000"/>
              <w:bottom w:val="nil"/>
              <w:right w:val="nil"/>
            </w:tcBorders>
            <w:shd w:val="clear" w:color="000000" w:fill="FFF2CC"/>
            <w:noWrap/>
            <w:vAlign w:val="bottom"/>
            <w:hideMark/>
          </w:tcPr>
          <w:p w14:paraId="1C076BB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4.2</w:t>
            </w:r>
          </w:p>
        </w:tc>
        <w:tc>
          <w:tcPr>
            <w:tcW w:w="575" w:type="dxa"/>
            <w:tcBorders>
              <w:top w:val="nil"/>
              <w:left w:val="nil"/>
              <w:bottom w:val="nil"/>
              <w:right w:val="nil"/>
            </w:tcBorders>
            <w:shd w:val="clear" w:color="000000" w:fill="F6C19E"/>
            <w:noWrap/>
            <w:vAlign w:val="bottom"/>
            <w:hideMark/>
          </w:tcPr>
          <w:p w14:paraId="63BD1AC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2.8</w:t>
            </w:r>
          </w:p>
        </w:tc>
        <w:tc>
          <w:tcPr>
            <w:tcW w:w="575" w:type="dxa"/>
            <w:tcBorders>
              <w:top w:val="nil"/>
              <w:left w:val="nil"/>
              <w:bottom w:val="nil"/>
              <w:right w:val="nil"/>
            </w:tcBorders>
            <w:shd w:val="clear" w:color="000000" w:fill="F7C6A4"/>
            <w:noWrap/>
            <w:vAlign w:val="bottom"/>
            <w:hideMark/>
          </w:tcPr>
          <w:p w14:paraId="68B964CA"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3.0</w:t>
            </w:r>
          </w:p>
        </w:tc>
        <w:tc>
          <w:tcPr>
            <w:tcW w:w="575" w:type="dxa"/>
            <w:tcBorders>
              <w:top w:val="nil"/>
              <w:left w:val="nil"/>
              <w:bottom w:val="nil"/>
              <w:right w:val="nil"/>
            </w:tcBorders>
            <w:shd w:val="clear" w:color="000000" w:fill="F6C5A2"/>
            <w:noWrap/>
            <w:vAlign w:val="bottom"/>
            <w:hideMark/>
          </w:tcPr>
          <w:p w14:paraId="2B5C7612"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3.0</w:t>
            </w:r>
          </w:p>
        </w:tc>
        <w:tc>
          <w:tcPr>
            <w:tcW w:w="576" w:type="dxa"/>
            <w:tcBorders>
              <w:top w:val="nil"/>
              <w:left w:val="nil"/>
              <w:bottom w:val="nil"/>
              <w:right w:val="nil"/>
            </w:tcBorders>
            <w:shd w:val="clear" w:color="000000" w:fill="F0A080"/>
            <w:noWrap/>
            <w:vAlign w:val="bottom"/>
            <w:hideMark/>
          </w:tcPr>
          <w:p w14:paraId="152A5E7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1.9</w:t>
            </w:r>
          </w:p>
        </w:tc>
      </w:tr>
      <w:tr w:rsidR="009F499F" w:rsidRPr="00D77417" w14:paraId="685D2FB6" w14:textId="77777777">
        <w:trPr>
          <w:trHeight w:val="223"/>
        </w:trPr>
        <w:tc>
          <w:tcPr>
            <w:tcW w:w="4590" w:type="dxa"/>
            <w:tcBorders>
              <w:top w:val="nil"/>
              <w:left w:val="nil"/>
              <w:bottom w:val="nil"/>
              <w:right w:val="single" w:sz="4" w:space="0" w:color="auto"/>
            </w:tcBorders>
            <w:shd w:val="clear" w:color="auto" w:fill="auto"/>
            <w:noWrap/>
            <w:vAlign w:val="bottom"/>
            <w:hideMark/>
          </w:tcPr>
          <w:p w14:paraId="0A4EEB6C"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Quality of port infrastructure, 1-7 (best)</w:t>
            </w:r>
          </w:p>
        </w:tc>
        <w:tc>
          <w:tcPr>
            <w:tcW w:w="575" w:type="dxa"/>
            <w:tcBorders>
              <w:top w:val="nil"/>
              <w:left w:val="nil"/>
              <w:bottom w:val="nil"/>
              <w:right w:val="nil"/>
            </w:tcBorders>
            <w:shd w:val="clear" w:color="000000" w:fill="B4DDAB"/>
            <w:noWrap/>
            <w:vAlign w:val="bottom"/>
            <w:hideMark/>
          </w:tcPr>
          <w:p w14:paraId="10AA4742"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5.2</w:t>
            </w:r>
          </w:p>
        </w:tc>
        <w:tc>
          <w:tcPr>
            <w:tcW w:w="575" w:type="dxa"/>
            <w:tcBorders>
              <w:top w:val="nil"/>
              <w:left w:val="nil"/>
              <w:bottom w:val="nil"/>
              <w:right w:val="nil"/>
            </w:tcBorders>
            <w:shd w:val="clear" w:color="000000" w:fill="ABDBA7"/>
            <w:noWrap/>
            <w:vAlign w:val="bottom"/>
            <w:hideMark/>
          </w:tcPr>
          <w:p w14:paraId="6F7C6B3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5.4</w:t>
            </w:r>
          </w:p>
        </w:tc>
        <w:tc>
          <w:tcPr>
            <w:tcW w:w="575" w:type="dxa"/>
            <w:tcBorders>
              <w:top w:val="nil"/>
              <w:left w:val="nil"/>
              <w:bottom w:val="nil"/>
              <w:right w:val="nil"/>
            </w:tcBorders>
            <w:shd w:val="clear" w:color="000000" w:fill="ECEDC4"/>
            <w:noWrap/>
            <w:vAlign w:val="bottom"/>
            <w:hideMark/>
          </w:tcPr>
          <w:p w14:paraId="132A1EA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4.5</w:t>
            </w:r>
          </w:p>
        </w:tc>
        <w:tc>
          <w:tcPr>
            <w:tcW w:w="575" w:type="dxa"/>
            <w:tcBorders>
              <w:top w:val="nil"/>
              <w:left w:val="nil"/>
              <w:bottom w:val="nil"/>
              <w:right w:val="nil"/>
            </w:tcBorders>
            <w:shd w:val="clear" w:color="000000" w:fill="E7ECC2"/>
            <w:noWrap/>
            <w:vAlign w:val="bottom"/>
            <w:hideMark/>
          </w:tcPr>
          <w:p w14:paraId="51E7E33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4.6</w:t>
            </w:r>
          </w:p>
        </w:tc>
        <w:tc>
          <w:tcPr>
            <w:tcW w:w="575" w:type="dxa"/>
            <w:tcBorders>
              <w:top w:val="nil"/>
              <w:left w:val="nil"/>
              <w:bottom w:val="nil"/>
              <w:right w:val="single" w:sz="12" w:space="0" w:color="FF0000"/>
            </w:tcBorders>
            <w:shd w:val="clear" w:color="000000" w:fill="FEF1CB"/>
            <w:noWrap/>
            <w:vAlign w:val="bottom"/>
            <w:hideMark/>
          </w:tcPr>
          <w:p w14:paraId="48054F76"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4.2</w:t>
            </w:r>
          </w:p>
        </w:tc>
        <w:tc>
          <w:tcPr>
            <w:tcW w:w="576" w:type="dxa"/>
            <w:tcBorders>
              <w:top w:val="nil"/>
              <w:left w:val="single" w:sz="12" w:space="0" w:color="FF0000"/>
              <w:bottom w:val="nil"/>
              <w:right w:val="single" w:sz="12" w:space="0" w:color="FF0000"/>
            </w:tcBorders>
            <w:shd w:val="clear" w:color="000000" w:fill="FCF2CB"/>
            <w:noWrap/>
            <w:vAlign w:val="bottom"/>
            <w:hideMark/>
          </w:tcPr>
          <w:p w14:paraId="0EC6337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4.3</w:t>
            </w:r>
          </w:p>
        </w:tc>
        <w:tc>
          <w:tcPr>
            <w:tcW w:w="575" w:type="dxa"/>
            <w:tcBorders>
              <w:top w:val="nil"/>
              <w:left w:val="single" w:sz="12" w:space="0" w:color="FF0000"/>
              <w:bottom w:val="nil"/>
              <w:right w:val="nil"/>
            </w:tcBorders>
            <w:shd w:val="clear" w:color="000000" w:fill="FDE9C4"/>
            <w:noWrap/>
            <w:vAlign w:val="bottom"/>
            <w:hideMark/>
          </w:tcPr>
          <w:p w14:paraId="64B12EA6"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4.0</w:t>
            </w:r>
          </w:p>
        </w:tc>
        <w:tc>
          <w:tcPr>
            <w:tcW w:w="575" w:type="dxa"/>
            <w:tcBorders>
              <w:top w:val="nil"/>
              <w:left w:val="nil"/>
              <w:bottom w:val="nil"/>
              <w:right w:val="nil"/>
            </w:tcBorders>
            <w:shd w:val="clear" w:color="000000" w:fill="F7F0C9"/>
            <w:noWrap/>
            <w:vAlign w:val="bottom"/>
            <w:hideMark/>
          </w:tcPr>
          <w:p w14:paraId="7C578F0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4.3</w:t>
            </w:r>
          </w:p>
        </w:tc>
        <w:tc>
          <w:tcPr>
            <w:tcW w:w="575" w:type="dxa"/>
            <w:tcBorders>
              <w:top w:val="nil"/>
              <w:left w:val="nil"/>
              <w:bottom w:val="nil"/>
              <w:right w:val="nil"/>
            </w:tcBorders>
            <w:shd w:val="clear" w:color="000000" w:fill="FEEEC8"/>
            <w:noWrap/>
            <w:vAlign w:val="bottom"/>
            <w:hideMark/>
          </w:tcPr>
          <w:p w14:paraId="461657D5"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4.1</w:t>
            </w:r>
          </w:p>
        </w:tc>
        <w:tc>
          <w:tcPr>
            <w:tcW w:w="575" w:type="dxa"/>
            <w:tcBorders>
              <w:top w:val="nil"/>
              <w:left w:val="nil"/>
              <w:bottom w:val="nil"/>
              <w:right w:val="nil"/>
            </w:tcBorders>
            <w:shd w:val="clear" w:color="000000" w:fill="FBDEB9"/>
            <w:noWrap/>
            <w:vAlign w:val="bottom"/>
            <w:hideMark/>
          </w:tcPr>
          <w:p w14:paraId="6234560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3.7</w:t>
            </w:r>
          </w:p>
        </w:tc>
        <w:tc>
          <w:tcPr>
            <w:tcW w:w="576" w:type="dxa"/>
            <w:tcBorders>
              <w:top w:val="nil"/>
              <w:left w:val="nil"/>
              <w:bottom w:val="nil"/>
              <w:right w:val="nil"/>
            </w:tcBorders>
            <w:shd w:val="clear" w:color="000000" w:fill="F6C4A2"/>
            <w:noWrap/>
            <w:vAlign w:val="bottom"/>
            <w:hideMark/>
          </w:tcPr>
          <w:p w14:paraId="0CD5279B"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2.9</w:t>
            </w:r>
          </w:p>
        </w:tc>
      </w:tr>
      <w:tr w:rsidR="009F499F" w:rsidRPr="00D77417" w14:paraId="647A7538" w14:textId="77777777">
        <w:trPr>
          <w:trHeight w:val="223"/>
        </w:trPr>
        <w:tc>
          <w:tcPr>
            <w:tcW w:w="4590" w:type="dxa"/>
            <w:tcBorders>
              <w:top w:val="nil"/>
              <w:left w:val="nil"/>
              <w:bottom w:val="single" w:sz="4" w:space="0" w:color="auto"/>
              <w:right w:val="single" w:sz="4" w:space="0" w:color="auto"/>
            </w:tcBorders>
            <w:shd w:val="clear" w:color="auto" w:fill="auto"/>
            <w:noWrap/>
            <w:vAlign w:val="bottom"/>
            <w:hideMark/>
          </w:tcPr>
          <w:p w14:paraId="59FC411E"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Quality of air transport infrastructure, 1-7 (best)</w:t>
            </w:r>
          </w:p>
        </w:tc>
        <w:tc>
          <w:tcPr>
            <w:tcW w:w="575" w:type="dxa"/>
            <w:tcBorders>
              <w:top w:val="nil"/>
              <w:left w:val="nil"/>
              <w:bottom w:val="single" w:sz="4" w:space="0" w:color="auto"/>
              <w:right w:val="nil"/>
            </w:tcBorders>
            <w:shd w:val="clear" w:color="000000" w:fill="83CF95"/>
            <w:noWrap/>
            <w:vAlign w:val="bottom"/>
            <w:hideMark/>
          </w:tcPr>
          <w:p w14:paraId="3D5AFA3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5.9</w:t>
            </w:r>
          </w:p>
        </w:tc>
        <w:tc>
          <w:tcPr>
            <w:tcW w:w="575" w:type="dxa"/>
            <w:tcBorders>
              <w:top w:val="nil"/>
              <w:left w:val="nil"/>
              <w:bottom w:val="single" w:sz="4" w:space="0" w:color="auto"/>
              <w:right w:val="nil"/>
            </w:tcBorders>
            <w:shd w:val="clear" w:color="000000" w:fill="9BD6A0"/>
            <w:noWrap/>
            <w:vAlign w:val="bottom"/>
            <w:hideMark/>
          </w:tcPr>
          <w:p w14:paraId="663E9D92"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5.7</w:t>
            </w:r>
          </w:p>
        </w:tc>
        <w:tc>
          <w:tcPr>
            <w:tcW w:w="575" w:type="dxa"/>
            <w:tcBorders>
              <w:top w:val="nil"/>
              <w:left w:val="nil"/>
              <w:bottom w:val="single" w:sz="4" w:space="0" w:color="auto"/>
              <w:right w:val="nil"/>
            </w:tcBorders>
            <w:shd w:val="clear" w:color="000000" w:fill="BADFAD"/>
            <w:noWrap/>
            <w:vAlign w:val="bottom"/>
            <w:hideMark/>
          </w:tcPr>
          <w:p w14:paraId="0B2FD8B6"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5.4</w:t>
            </w:r>
          </w:p>
        </w:tc>
        <w:tc>
          <w:tcPr>
            <w:tcW w:w="575" w:type="dxa"/>
            <w:tcBorders>
              <w:top w:val="nil"/>
              <w:left w:val="nil"/>
              <w:bottom w:val="single" w:sz="4" w:space="0" w:color="auto"/>
              <w:right w:val="nil"/>
            </w:tcBorders>
            <w:shd w:val="clear" w:color="000000" w:fill="F5EFC8"/>
            <w:noWrap/>
            <w:vAlign w:val="bottom"/>
            <w:hideMark/>
          </w:tcPr>
          <w:p w14:paraId="45997C75"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4.9</w:t>
            </w:r>
          </w:p>
        </w:tc>
        <w:tc>
          <w:tcPr>
            <w:tcW w:w="575" w:type="dxa"/>
            <w:tcBorders>
              <w:top w:val="nil"/>
              <w:left w:val="nil"/>
              <w:bottom w:val="single" w:sz="4" w:space="0" w:color="auto"/>
              <w:right w:val="single" w:sz="12" w:space="0" w:color="FF0000"/>
            </w:tcBorders>
            <w:shd w:val="clear" w:color="000000" w:fill="FCE2BD"/>
            <w:noWrap/>
            <w:vAlign w:val="bottom"/>
            <w:hideMark/>
          </w:tcPr>
          <w:p w14:paraId="2C487324"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4.5</w:t>
            </w:r>
          </w:p>
        </w:tc>
        <w:tc>
          <w:tcPr>
            <w:tcW w:w="576" w:type="dxa"/>
            <w:tcBorders>
              <w:top w:val="nil"/>
              <w:left w:val="single" w:sz="12" w:space="0" w:color="FF0000"/>
              <w:bottom w:val="single" w:sz="4" w:space="0" w:color="auto"/>
              <w:right w:val="single" w:sz="12" w:space="0" w:color="FF0000"/>
            </w:tcBorders>
            <w:shd w:val="clear" w:color="000000" w:fill="D7E7BA"/>
            <w:noWrap/>
            <w:vAlign w:val="bottom"/>
            <w:hideMark/>
          </w:tcPr>
          <w:p w14:paraId="7275EF5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5.2</w:t>
            </w:r>
          </w:p>
        </w:tc>
        <w:tc>
          <w:tcPr>
            <w:tcW w:w="575" w:type="dxa"/>
            <w:tcBorders>
              <w:top w:val="nil"/>
              <w:left w:val="single" w:sz="12" w:space="0" w:color="FF0000"/>
              <w:bottom w:val="single" w:sz="4" w:space="0" w:color="auto"/>
              <w:right w:val="nil"/>
            </w:tcBorders>
            <w:shd w:val="clear" w:color="000000" w:fill="FFF2CC"/>
            <w:noWrap/>
            <w:vAlign w:val="bottom"/>
            <w:hideMark/>
          </w:tcPr>
          <w:p w14:paraId="316CA0F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4.8</w:t>
            </w:r>
          </w:p>
        </w:tc>
        <w:tc>
          <w:tcPr>
            <w:tcW w:w="575" w:type="dxa"/>
            <w:tcBorders>
              <w:top w:val="nil"/>
              <w:left w:val="nil"/>
              <w:bottom w:val="single" w:sz="4" w:space="0" w:color="auto"/>
              <w:right w:val="nil"/>
            </w:tcBorders>
            <w:shd w:val="clear" w:color="000000" w:fill="FBDFBA"/>
            <w:noWrap/>
            <w:vAlign w:val="bottom"/>
            <w:hideMark/>
          </w:tcPr>
          <w:p w14:paraId="2F68305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4.4</w:t>
            </w:r>
          </w:p>
        </w:tc>
        <w:tc>
          <w:tcPr>
            <w:tcW w:w="575" w:type="dxa"/>
            <w:tcBorders>
              <w:top w:val="nil"/>
              <w:left w:val="nil"/>
              <w:bottom w:val="single" w:sz="4" w:space="0" w:color="auto"/>
              <w:right w:val="nil"/>
            </w:tcBorders>
            <w:shd w:val="clear" w:color="000000" w:fill="FADAB5"/>
            <w:noWrap/>
            <w:vAlign w:val="bottom"/>
            <w:hideMark/>
          </w:tcPr>
          <w:p w14:paraId="4B14840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4.3</w:t>
            </w:r>
          </w:p>
        </w:tc>
        <w:tc>
          <w:tcPr>
            <w:tcW w:w="575" w:type="dxa"/>
            <w:tcBorders>
              <w:top w:val="nil"/>
              <w:left w:val="nil"/>
              <w:bottom w:val="single" w:sz="4" w:space="0" w:color="auto"/>
              <w:right w:val="nil"/>
            </w:tcBorders>
            <w:shd w:val="clear" w:color="000000" w:fill="F6C3A1"/>
            <w:noWrap/>
            <w:vAlign w:val="bottom"/>
            <w:hideMark/>
          </w:tcPr>
          <w:p w14:paraId="6D19E060"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3.8</w:t>
            </w:r>
          </w:p>
        </w:tc>
        <w:tc>
          <w:tcPr>
            <w:tcW w:w="576" w:type="dxa"/>
            <w:tcBorders>
              <w:top w:val="nil"/>
              <w:left w:val="nil"/>
              <w:bottom w:val="single" w:sz="4" w:space="0" w:color="auto"/>
              <w:right w:val="nil"/>
            </w:tcBorders>
            <w:shd w:val="clear" w:color="000000" w:fill="F0A080"/>
            <w:noWrap/>
            <w:vAlign w:val="bottom"/>
            <w:hideMark/>
          </w:tcPr>
          <w:p w14:paraId="14C1A8E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2.9</w:t>
            </w:r>
          </w:p>
        </w:tc>
      </w:tr>
      <w:tr w:rsidR="009F499F" w:rsidRPr="00D77417" w14:paraId="42C63F68" w14:textId="77777777">
        <w:trPr>
          <w:trHeight w:val="223"/>
        </w:trPr>
        <w:tc>
          <w:tcPr>
            <w:tcW w:w="4590" w:type="dxa"/>
            <w:tcBorders>
              <w:top w:val="nil"/>
              <w:left w:val="nil"/>
              <w:bottom w:val="nil"/>
              <w:right w:val="single" w:sz="4" w:space="0" w:color="auto"/>
            </w:tcBorders>
            <w:shd w:val="clear" w:color="000000" w:fill="E7E6E6"/>
            <w:noWrap/>
            <w:vAlign w:val="bottom"/>
            <w:hideMark/>
          </w:tcPr>
          <w:p w14:paraId="48EFDF7A" w14:textId="77777777" w:rsidR="008450DD" w:rsidRPr="003A39CD" w:rsidRDefault="008450DD">
            <w:pPr>
              <w:spacing w:before="20" w:after="20" w:line="240" w:lineRule="auto"/>
              <w:rPr>
                <w:rFonts w:ascii="Trebuchet MS" w:eastAsia="Times New Roman" w:hAnsi="Trebuchet MS" w:cstheme="majorHAnsi"/>
                <w:b/>
                <w:color w:val="000000"/>
                <w:sz w:val="16"/>
                <w:szCs w:val="16"/>
                <w:lang w:bidi="th-TH"/>
              </w:rPr>
            </w:pPr>
            <w:r w:rsidRPr="003A39CD">
              <w:rPr>
                <w:rFonts w:ascii="Trebuchet MS" w:eastAsia="Times New Roman" w:hAnsi="Trebuchet MS" w:cstheme="majorHAnsi"/>
                <w:b/>
                <w:color w:val="000000"/>
                <w:sz w:val="16"/>
                <w:szCs w:val="16"/>
                <w:lang w:bidi="th-TH"/>
              </w:rPr>
              <w:t>Telecommunication</w:t>
            </w:r>
          </w:p>
        </w:tc>
        <w:tc>
          <w:tcPr>
            <w:tcW w:w="575" w:type="dxa"/>
            <w:tcBorders>
              <w:top w:val="nil"/>
              <w:left w:val="nil"/>
              <w:bottom w:val="nil"/>
              <w:right w:val="nil"/>
            </w:tcBorders>
            <w:shd w:val="clear" w:color="000000" w:fill="E7E6E6"/>
            <w:noWrap/>
            <w:vAlign w:val="bottom"/>
            <w:hideMark/>
          </w:tcPr>
          <w:p w14:paraId="355D2802"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51D4A2A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6570B6E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3025E51B"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single" w:sz="12" w:space="0" w:color="FF0000"/>
            </w:tcBorders>
            <w:shd w:val="clear" w:color="000000" w:fill="E7E6E6"/>
            <w:noWrap/>
            <w:vAlign w:val="bottom"/>
            <w:hideMark/>
          </w:tcPr>
          <w:p w14:paraId="38D31C31"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6" w:type="dxa"/>
            <w:tcBorders>
              <w:top w:val="nil"/>
              <w:left w:val="single" w:sz="12" w:space="0" w:color="FF0000"/>
              <w:bottom w:val="nil"/>
              <w:right w:val="single" w:sz="12" w:space="0" w:color="FF0000"/>
            </w:tcBorders>
            <w:shd w:val="clear" w:color="000000" w:fill="E7E6E6"/>
            <w:noWrap/>
            <w:vAlign w:val="bottom"/>
            <w:hideMark/>
          </w:tcPr>
          <w:p w14:paraId="15ED666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single" w:sz="12" w:space="0" w:color="FF0000"/>
              <w:bottom w:val="nil"/>
              <w:right w:val="nil"/>
            </w:tcBorders>
            <w:shd w:val="clear" w:color="000000" w:fill="E7E6E6"/>
            <w:noWrap/>
            <w:vAlign w:val="bottom"/>
            <w:hideMark/>
          </w:tcPr>
          <w:p w14:paraId="4F7E7F1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42DF8BD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1504D78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5" w:type="dxa"/>
            <w:tcBorders>
              <w:top w:val="nil"/>
              <w:left w:val="nil"/>
              <w:bottom w:val="nil"/>
              <w:right w:val="nil"/>
            </w:tcBorders>
            <w:shd w:val="clear" w:color="000000" w:fill="E7E6E6"/>
            <w:noWrap/>
            <w:vAlign w:val="bottom"/>
            <w:hideMark/>
          </w:tcPr>
          <w:p w14:paraId="75CD2BC2"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c>
          <w:tcPr>
            <w:tcW w:w="576" w:type="dxa"/>
            <w:tcBorders>
              <w:top w:val="nil"/>
              <w:left w:val="nil"/>
              <w:bottom w:val="nil"/>
              <w:right w:val="nil"/>
            </w:tcBorders>
            <w:shd w:val="clear" w:color="000000" w:fill="E7E6E6"/>
            <w:noWrap/>
            <w:vAlign w:val="bottom"/>
            <w:hideMark/>
          </w:tcPr>
          <w:p w14:paraId="5B14A9E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 </w:t>
            </w:r>
          </w:p>
        </w:tc>
      </w:tr>
      <w:tr w:rsidR="009F499F" w:rsidRPr="00D77417" w14:paraId="6B6962DB" w14:textId="77777777">
        <w:trPr>
          <w:trHeight w:val="223"/>
        </w:trPr>
        <w:tc>
          <w:tcPr>
            <w:tcW w:w="4590" w:type="dxa"/>
            <w:tcBorders>
              <w:top w:val="nil"/>
              <w:left w:val="nil"/>
              <w:bottom w:val="nil"/>
              <w:right w:val="single" w:sz="4" w:space="0" w:color="auto"/>
            </w:tcBorders>
            <w:shd w:val="clear" w:color="auto" w:fill="auto"/>
            <w:noWrap/>
            <w:vAlign w:val="bottom"/>
            <w:hideMark/>
          </w:tcPr>
          <w:p w14:paraId="4A7B5FBB"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Fixed broadband Internet subscriptions (per 100 people)</w:t>
            </w:r>
          </w:p>
        </w:tc>
        <w:tc>
          <w:tcPr>
            <w:tcW w:w="575" w:type="dxa"/>
            <w:tcBorders>
              <w:top w:val="nil"/>
              <w:left w:val="nil"/>
              <w:bottom w:val="nil"/>
              <w:right w:val="nil"/>
            </w:tcBorders>
            <w:shd w:val="clear" w:color="000000" w:fill="83CF95"/>
            <w:noWrap/>
            <w:vAlign w:val="bottom"/>
            <w:hideMark/>
          </w:tcPr>
          <w:p w14:paraId="7A1478C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5.7</w:t>
            </w:r>
          </w:p>
        </w:tc>
        <w:tc>
          <w:tcPr>
            <w:tcW w:w="575" w:type="dxa"/>
            <w:tcBorders>
              <w:top w:val="nil"/>
              <w:left w:val="nil"/>
              <w:bottom w:val="nil"/>
              <w:right w:val="nil"/>
            </w:tcBorders>
            <w:shd w:val="clear" w:color="000000" w:fill="9FD7A2"/>
            <w:noWrap/>
            <w:vAlign w:val="bottom"/>
            <w:hideMark/>
          </w:tcPr>
          <w:p w14:paraId="7E6B3194"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5.3</w:t>
            </w:r>
          </w:p>
        </w:tc>
        <w:tc>
          <w:tcPr>
            <w:tcW w:w="575" w:type="dxa"/>
            <w:tcBorders>
              <w:top w:val="nil"/>
              <w:left w:val="nil"/>
              <w:bottom w:val="nil"/>
              <w:right w:val="nil"/>
            </w:tcBorders>
            <w:shd w:val="clear" w:color="000000" w:fill="BADFAE"/>
            <w:noWrap/>
            <w:vAlign w:val="bottom"/>
            <w:hideMark/>
          </w:tcPr>
          <w:p w14:paraId="7159E430"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5.0</w:t>
            </w:r>
          </w:p>
        </w:tc>
        <w:tc>
          <w:tcPr>
            <w:tcW w:w="575" w:type="dxa"/>
            <w:tcBorders>
              <w:top w:val="nil"/>
              <w:left w:val="nil"/>
              <w:bottom w:val="nil"/>
              <w:right w:val="nil"/>
            </w:tcBorders>
            <w:shd w:val="clear" w:color="000000" w:fill="DFE9BE"/>
            <w:noWrap/>
            <w:vAlign w:val="bottom"/>
            <w:hideMark/>
          </w:tcPr>
          <w:p w14:paraId="2093F52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4.5</w:t>
            </w:r>
          </w:p>
        </w:tc>
        <w:tc>
          <w:tcPr>
            <w:tcW w:w="575" w:type="dxa"/>
            <w:tcBorders>
              <w:top w:val="nil"/>
              <w:left w:val="nil"/>
              <w:bottom w:val="nil"/>
              <w:right w:val="single" w:sz="12" w:space="0" w:color="FF0000"/>
            </w:tcBorders>
            <w:shd w:val="clear" w:color="000000" w:fill="F6F0C8"/>
            <w:noWrap/>
            <w:vAlign w:val="bottom"/>
            <w:hideMark/>
          </w:tcPr>
          <w:p w14:paraId="6730D2C6"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4.2</w:t>
            </w:r>
          </w:p>
        </w:tc>
        <w:tc>
          <w:tcPr>
            <w:tcW w:w="576" w:type="dxa"/>
            <w:tcBorders>
              <w:top w:val="nil"/>
              <w:left w:val="single" w:sz="12" w:space="0" w:color="FF0000"/>
              <w:bottom w:val="nil"/>
              <w:right w:val="single" w:sz="12" w:space="0" w:color="FF0000"/>
            </w:tcBorders>
            <w:shd w:val="clear" w:color="000000" w:fill="FFF2CC"/>
            <w:noWrap/>
            <w:vAlign w:val="bottom"/>
            <w:hideMark/>
          </w:tcPr>
          <w:p w14:paraId="5712EE90"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4.1</w:t>
            </w:r>
          </w:p>
        </w:tc>
        <w:tc>
          <w:tcPr>
            <w:tcW w:w="575" w:type="dxa"/>
            <w:tcBorders>
              <w:top w:val="nil"/>
              <w:left w:val="single" w:sz="12" w:space="0" w:color="FF0000"/>
              <w:bottom w:val="nil"/>
              <w:right w:val="nil"/>
            </w:tcBorders>
            <w:shd w:val="clear" w:color="000000" w:fill="FEF1CB"/>
            <w:noWrap/>
            <w:vAlign w:val="bottom"/>
            <w:hideMark/>
          </w:tcPr>
          <w:p w14:paraId="0C56F51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4.1</w:t>
            </w:r>
          </w:p>
        </w:tc>
        <w:tc>
          <w:tcPr>
            <w:tcW w:w="575" w:type="dxa"/>
            <w:tcBorders>
              <w:top w:val="nil"/>
              <w:left w:val="nil"/>
              <w:bottom w:val="nil"/>
              <w:right w:val="nil"/>
            </w:tcBorders>
            <w:shd w:val="clear" w:color="000000" w:fill="FEEDC8"/>
            <w:noWrap/>
            <w:vAlign w:val="bottom"/>
            <w:hideMark/>
          </w:tcPr>
          <w:p w14:paraId="7F05209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4.1</w:t>
            </w:r>
          </w:p>
        </w:tc>
        <w:tc>
          <w:tcPr>
            <w:tcW w:w="575" w:type="dxa"/>
            <w:tcBorders>
              <w:top w:val="nil"/>
              <w:left w:val="nil"/>
              <w:bottom w:val="nil"/>
              <w:right w:val="nil"/>
            </w:tcBorders>
            <w:shd w:val="clear" w:color="000000" w:fill="FBE1BC"/>
            <w:noWrap/>
            <w:vAlign w:val="bottom"/>
            <w:hideMark/>
          </w:tcPr>
          <w:p w14:paraId="02C0F5CA"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3.9</w:t>
            </w:r>
          </w:p>
        </w:tc>
        <w:tc>
          <w:tcPr>
            <w:tcW w:w="575" w:type="dxa"/>
            <w:tcBorders>
              <w:top w:val="nil"/>
              <w:left w:val="nil"/>
              <w:bottom w:val="nil"/>
              <w:right w:val="nil"/>
            </w:tcBorders>
            <w:shd w:val="clear" w:color="000000" w:fill="F8CCA9"/>
            <w:noWrap/>
            <w:vAlign w:val="bottom"/>
            <w:hideMark/>
          </w:tcPr>
          <w:p w14:paraId="3FA1F64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3.6</w:t>
            </w:r>
          </w:p>
        </w:tc>
        <w:tc>
          <w:tcPr>
            <w:tcW w:w="576" w:type="dxa"/>
            <w:tcBorders>
              <w:top w:val="nil"/>
              <w:left w:val="nil"/>
              <w:bottom w:val="nil"/>
              <w:right w:val="nil"/>
            </w:tcBorders>
            <w:shd w:val="clear" w:color="000000" w:fill="F0A080"/>
            <w:noWrap/>
            <w:vAlign w:val="bottom"/>
            <w:hideMark/>
          </w:tcPr>
          <w:p w14:paraId="437144C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3.0</w:t>
            </w:r>
          </w:p>
        </w:tc>
      </w:tr>
      <w:tr w:rsidR="009F499F" w:rsidRPr="00D77417" w14:paraId="3CE6D9D2" w14:textId="77777777">
        <w:trPr>
          <w:trHeight w:val="223"/>
        </w:trPr>
        <w:tc>
          <w:tcPr>
            <w:tcW w:w="4590" w:type="dxa"/>
            <w:tcBorders>
              <w:top w:val="nil"/>
              <w:left w:val="nil"/>
              <w:bottom w:val="nil"/>
              <w:right w:val="single" w:sz="4" w:space="0" w:color="auto"/>
            </w:tcBorders>
            <w:shd w:val="clear" w:color="auto" w:fill="auto"/>
            <w:noWrap/>
            <w:vAlign w:val="bottom"/>
            <w:hideMark/>
          </w:tcPr>
          <w:p w14:paraId="45026B76"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Mobile broadband subscriptions (per 100 people)</w:t>
            </w:r>
          </w:p>
        </w:tc>
        <w:tc>
          <w:tcPr>
            <w:tcW w:w="575" w:type="dxa"/>
            <w:tcBorders>
              <w:top w:val="nil"/>
              <w:left w:val="nil"/>
              <w:bottom w:val="nil"/>
              <w:right w:val="nil"/>
            </w:tcBorders>
            <w:shd w:val="clear" w:color="000000" w:fill="83CF95"/>
            <w:noWrap/>
            <w:vAlign w:val="bottom"/>
            <w:hideMark/>
          </w:tcPr>
          <w:p w14:paraId="08E16A1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111</w:t>
            </w:r>
          </w:p>
        </w:tc>
        <w:tc>
          <w:tcPr>
            <w:tcW w:w="575" w:type="dxa"/>
            <w:tcBorders>
              <w:top w:val="nil"/>
              <w:left w:val="nil"/>
              <w:bottom w:val="nil"/>
              <w:right w:val="nil"/>
            </w:tcBorders>
            <w:shd w:val="clear" w:color="000000" w:fill="F8D0AC"/>
            <w:noWrap/>
            <w:vAlign w:val="bottom"/>
            <w:hideMark/>
          </w:tcPr>
          <w:p w14:paraId="4AB05849"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58</w:t>
            </w:r>
          </w:p>
        </w:tc>
        <w:tc>
          <w:tcPr>
            <w:tcW w:w="575" w:type="dxa"/>
            <w:tcBorders>
              <w:top w:val="nil"/>
              <w:left w:val="nil"/>
              <w:bottom w:val="nil"/>
              <w:right w:val="nil"/>
            </w:tcBorders>
            <w:shd w:val="clear" w:color="000000" w:fill="FFF2CC"/>
            <w:noWrap/>
            <w:vAlign w:val="bottom"/>
            <w:hideMark/>
          </w:tcPr>
          <w:p w14:paraId="6A37D77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67</w:t>
            </w:r>
          </w:p>
        </w:tc>
        <w:tc>
          <w:tcPr>
            <w:tcW w:w="575" w:type="dxa"/>
            <w:tcBorders>
              <w:top w:val="nil"/>
              <w:left w:val="nil"/>
              <w:bottom w:val="nil"/>
              <w:right w:val="nil"/>
            </w:tcBorders>
            <w:shd w:val="clear" w:color="000000" w:fill="FFF2CC"/>
            <w:noWrap/>
            <w:vAlign w:val="bottom"/>
            <w:hideMark/>
          </w:tcPr>
          <w:p w14:paraId="7B52B09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67</w:t>
            </w:r>
          </w:p>
        </w:tc>
        <w:tc>
          <w:tcPr>
            <w:tcW w:w="575" w:type="dxa"/>
            <w:tcBorders>
              <w:top w:val="nil"/>
              <w:left w:val="nil"/>
              <w:bottom w:val="nil"/>
              <w:right w:val="single" w:sz="12" w:space="0" w:color="FF0000"/>
            </w:tcBorders>
            <w:shd w:val="clear" w:color="000000" w:fill="F9D2AE"/>
            <w:noWrap/>
            <w:vAlign w:val="bottom"/>
            <w:hideMark/>
          </w:tcPr>
          <w:p w14:paraId="2E4EB84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59</w:t>
            </w:r>
          </w:p>
        </w:tc>
        <w:tc>
          <w:tcPr>
            <w:tcW w:w="576" w:type="dxa"/>
            <w:tcBorders>
              <w:top w:val="nil"/>
              <w:left w:val="single" w:sz="12" w:space="0" w:color="FF0000"/>
              <w:bottom w:val="nil"/>
              <w:right w:val="single" w:sz="12" w:space="0" w:color="FF0000"/>
            </w:tcBorders>
            <w:shd w:val="clear" w:color="000000" w:fill="B2DDAA"/>
            <w:noWrap/>
            <w:vAlign w:val="bottom"/>
            <w:hideMark/>
          </w:tcPr>
          <w:p w14:paraId="1D0040A8"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95</w:t>
            </w:r>
          </w:p>
        </w:tc>
        <w:tc>
          <w:tcPr>
            <w:tcW w:w="575" w:type="dxa"/>
            <w:tcBorders>
              <w:top w:val="nil"/>
              <w:left w:val="single" w:sz="12" w:space="0" w:color="FF0000"/>
              <w:bottom w:val="nil"/>
              <w:right w:val="nil"/>
            </w:tcBorders>
            <w:shd w:val="clear" w:color="000000" w:fill="FEF2CC"/>
            <w:noWrap/>
            <w:vAlign w:val="bottom"/>
            <w:hideMark/>
          </w:tcPr>
          <w:p w14:paraId="2DBD1DB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67</w:t>
            </w:r>
          </w:p>
        </w:tc>
        <w:tc>
          <w:tcPr>
            <w:tcW w:w="575" w:type="dxa"/>
            <w:tcBorders>
              <w:top w:val="nil"/>
              <w:left w:val="nil"/>
              <w:bottom w:val="nil"/>
              <w:right w:val="nil"/>
            </w:tcBorders>
            <w:shd w:val="clear" w:color="000000" w:fill="F9D2AE"/>
            <w:noWrap/>
            <w:vAlign w:val="bottom"/>
            <w:hideMark/>
          </w:tcPr>
          <w:p w14:paraId="4B2A91A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59</w:t>
            </w:r>
          </w:p>
        </w:tc>
        <w:tc>
          <w:tcPr>
            <w:tcW w:w="575" w:type="dxa"/>
            <w:tcBorders>
              <w:top w:val="nil"/>
              <w:left w:val="nil"/>
              <w:bottom w:val="nil"/>
              <w:right w:val="nil"/>
            </w:tcBorders>
            <w:shd w:val="clear" w:color="000000" w:fill="C4E2B2"/>
            <w:noWrap/>
            <w:vAlign w:val="bottom"/>
            <w:hideMark/>
          </w:tcPr>
          <w:p w14:paraId="3B23BEFD"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88</w:t>
            </w:r>
          </w:p>
        </w:tc>
        <w:tc>
          <w:tcPr>
            <w:tcW w:w="575" w:type="dxa"/>
            <w:tcBorders>
              <w:top w:val="nil"/>
              <w:left w:val="nil"/>
              <w:bottom w:val="nil"/>
              <w:right w:val="nil"/>
            </w:tcBorders>
            <w:shd w:val="clear" w:color="000000" w:fill="F0A181"/>
            <w:noWrap/>
            <w:vAlign w:val="bottom"/>
            <w:hideMark/>
          </w:tcPr>
          <w:p w14:paraId="6562D6A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47</w:t>
            </w:r>
          </w:p>
        </w:tc>
        <w:tc>
          <w:tcPr>
            <w:tcW w:w="576" w:type="dxa"/>
            <w:tcBorders>
              <w:top w:val="nil"/>
              <w:left w:val="nil"/>
              <w:bottom w:val="nil"/>
              <w:right w:val="nil"/>
            </w:tcBorders>
            <w:shd w:val="clear" w:color="000000" w:fill="F0A080"/>
            <w:noWrap/>
            <w:vAlign w:val="bottom"/>
            <w:hideMark/>
          </w:tcPr>
          <w:p w14:paraId="1BD1062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eastAsia="Times New Roman" w:hAnsi="Trebuchet MS" w:cstheme="majorHAnsi"/>
                <w:sz w:val="16"/>
                <w:szCs w:val="16"/>
                <w:lang w:bidi="th-TH"/>
              </w:rPr>
              <w:t>46</w:t>
            </w:r>
          </w:p>
        </w:tc>
      </w:tr>
      <w:tr w:rsidR="009F499F" w:rsidRPr="00D77417" w14:paraId="488430A7" w14:textId="77777777">
        <w:trPr>
          <w:trHeight w:val="223"/>
        </w:trPr>
        <w:tc>
          <w:tcPr>
            <w:tcW w:w="4590" w:type="dxa"/>
            <w:tcBorders>
              <w:top w:val="nil"/>
              <w:left w:val="nil"/>
              <w:bottom w:val="single" w:sz="4" w:space="0" w:color="auto"/>
              <w:right w:val="single" w:sz="4" w:space="0" w:color="auto"/>
            </w:tcBorders>
            <w:shd w:val="clear" w:color="auto" w:fill="auto"/>
            <w:noWrap/>
            <w:vAlign w:val="bottom"/>
            <w:hideMark/>
          </w:tcPr>
          <w:p w14:paraId="7F3F0F39" w14:textId="77777777" w:rsidR="008450DD" w:rsidRPr="003A39CD" w:rsidRDefault="008450DD">
            <w:pPr>
              <w:spacing w:before="20" w:after="20" w:line="240" w:lineRule="auto"/>
              <w:rPr>
                <w:rFonts w:ascii="Trebuchet MS" w:eastAsia="Times New Roman" w:hAnsi="Trebuchet MS" w:cstheme="majorHAnsi"/>
                <w:color w:val="000000"/>
                <w:sz w:val="16"/>
                <w:szCs w:val="16"/>
                <w:lang w:bidi="th-TH"/>
              </w:rPr>
            </w:pPr>
            <w:r w:rsidRPr="003A39CD">
              <w:rPr>
                <w:rFonts w:ascii="Trebuchet MS" w:eastAsia="Times New Roman" w:hAnsi="Trebuchet MS" w:cstheme="majorHAnsi"/>
                <w:color w:val="000000"/>
                <w:sz w:val="16"/>
                <w:szCs w:val="16"/>
                <w:lang w:bidi="th-TH"/>
              </w:rPr>
              <w:t>Secure Internet servers (per 10 million people)</w:t>
            </w:r>
          </w:p>
        </w:tc>
        <w:tc>
          <w:tcPr>
            <w:tcW w:w="575" w:type="dxa"/>
            <w:tcBorders>
              <w:top w:val="nil"/>
              <w:left w:val="nil"/>
              <w:bottom w:val="single" w:sz="4" w:space="0" w:color="auto"/>
              <w:right w:val="nil"/>
            </w:tcBorders>
            <w:shd w:val="clear" w:color="000000" w:fill="F8F0C9"/>
            <w:noWrap/>
            <w:vAlign w:val="bottom"/>
            <w:hideMark/>
          </w:tcPr>
          <w:p w14:paraId="3137F7EB"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594</w:t>
            </w:r>
          </w:p>
        </w:tc>
        <w:tc>
          <w:tcPr>
            <w:tcW w:w="575" w:type="dxa"/>
            <w:tcBorders>
              <w:top w:val="nil"/>
              <w:left w:val="nil"/>
              <w:bottom w:val="single" w:sz="4" w:space="0" w:color="auto"/>
              <w:right w:val="nil"/>
            </w:tcBorders>
            <w:shd w:val="clear" w:color="000000" w:fill="F4EFC7"/>
            <w:noWrap/>
            <w:vAlign w:val="bottom"/>
            <w:hideMark/>
          </w:tcPr>
          <w:p w14:paraId="4B2EAFBD"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731</w:t>
            </w:r>
          </w:p>
        </w:tc>
        <w:tc>
          <w:tcPr>
            <w:tcW w:w="575" w:type="dxa"/>
            <w:tcBorders>
              <w:top w:val="nil"/>
              <w:left w:val="nil"/>
              <w:bottom w:val="single" w:sz="4" w:space="0" w:color="auto"/>
              <w:right w:val="nil"/>
            </w:tcBorders>
            <w:shd w:val="clear" w:color="000000" w:fill="F5F0C8"/>
            <w:noWrap/>
            <w:vAlign w:val="bottom"/>
            <w:hideMark/>
          </w:tcPr>
          <w:p w14:paraId="5918B66F"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678</w:t>
            </w:r>
          </w:p>
        </w:tc>
        <w:tc>
          <w:tcPr>
            <w:tcW w:w="575" w:type="dxa"/>
            <w:tcBorders>
              <w:top w:val="nil"/>
              <w:left w:val="nil"/>
              <w:bottom w:val="single" w:sz="4" w:space="0" w:color="auto"/>
              <w:right w:val="nil"/>
            </w:tcBorders>
            <w:shd w:val="clear" w:color="000000" w:fill="F4B695"/>
            <w:noWrap/>
            <w:vAlign w:val="bottom"/>
            <w:hideMark/>
          </w:tcPr>
          <w:p w14:paraId="241B92D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95</w:t>
            </w:r>
          </w:p>
        </w:tc>
        <w:tc>
          <w:tcPr>
            <w:tcW w:w="575" w:type="dxa"/>
            <w:tcBorders>
              <w:top w:val="nil"/>
              <w:left w:val="nil"/>
              <w:bottom w:val="single" w:sz="4" w:space="0" w:color="auto"/>
              <w:right w:val="single" w:sz="12" w:space="0" w:color="FF0000"/>
            </w:tcBorders>
            <w:shd w:val="clear" w:color="000000" w:fill="C3E1B2"/>
            <w:noWrap/>
            <w:vAlign w:val="bottom"/>
            <w:hideMark/>
          </w:tcPr>
          <w:p w14:paraId="50DC5B9A"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2518</w:t>
            </w:r>
          </w:p>
        </w:tc>
        <w:tc>
          <w:tcPr>
            <w:tcW w:w="576" w:type="dxa"/>
            <w:tcBorders>
              <w:top w:val="nil"/>
              <w:left w:val="single" w:sz="12" w:space="0" w:color="FF0000"/>
              <w:bottom w:val="single" w:sz="12" w:space="0" w:color="FF0000"/>
              <w:right w:val="single" w:sz="12" w:space="0" w:color="FF0000"/>
            </w:tcBorders>
            <w:shd w:val="clear" w:color="000000" w:fill="F8CFAC"/>
            <w:noWrap/>
            <w:vAlign w:val="bottom"/>
            <w:hideMark/>
          </w:tcPr>
          <w:p w14:paraId="30B31091"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186</w:t>
            </w:r>
          </w:p>
        </w:tc>
        <w:tc>
          <w:tcPr>
            <w:tcW w:w="575" w:type="dxa"/>
            <w:tcBorders>
              <w:top w:val="nil"/>
              <w:left w:val="single" w:sz="12" w:space="0" w:color="FF0000"/>
              <w:bottom w:val="single" w:sz="4" w:space="0" w:color="auto"/>
              <w:right w:val="nil"/>
            </w:tcBorders>
            <w:shd w:val="clear" w:color="000000" w:fill="F8D0AC"/>
            <w:noWrap/>
            <w:vAlign w:val="bottom"/>
            <w:hideMark/>
          </w:tcPr>
          <w:p w14:paraId="608F5A8C"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189</w:t>
            </w:r>
          </w:p>
        </w:tc>
        <w:tc>
          <w:tcPr>
            <w:tcW w:w="575" w:type="dxa"/>
            <w:tcBorders>
              <w:top w:val="nil"/>
              <w:left w:val="nil"/>
              <w:bottom w:val="single" w:sz="4" w:space="0" w:color="auto"/>
              <w:right w:val="nil"/>
            </w:tcBorders>
            <w:shd w:val="clear" w:color="000000" w:fill="F1A585"/>
            <w:noWrap/>
            <w:vAlign w:val="bottom"/>
            <w:hideMark/>
          </w:tcPr>
          <w:p w14:paraId="76919ED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33</w:t>
            </w:r>
          </w:p>
        </w:tc>
        <w:tc>
          <w:tcPr>
            <w:tcW w:w="575" w:type="dxa"/>
            <w:tcBorders>
              <w:top w:val="nil"/>
              <w:left w:val="nil"/>
              <w:bottom w:val="single" w:sz="4" w:space="0" w:color="auto"/>
              <w:right w:val="nil"/>
            </w:tcBorders>
            <w:shd w:val="clear" w:color="000000" w:fill="83CF95"/>
            <w:noWrap/>
            <w:vAlign w:val="bottom"/>
            <w:hideMark/>
          </w:tcPr>
          <w:p w14:paraId="4B86E90E"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4808</w:t>
            </w:r>
          </w:p>
        </w:tc>
        <w:tc>
          <w:tcPr>
            <w:tcW w:w="575" w:type="dxa"/>
            <w:tcBorders>
              <w:top w:val="nil"/>
              <w:left w:val="nil"/>
              <w:bottom w:val="single" w:sz="4" w:space="0" w:color="auto"/>
              <w:right w:val="nil"/>
            </w:tcBorders>
            <w:shd w:val="clear" w:color="000000" w:fill="FFF2CC"/>
            <w:noWrap/>
            <w:vAlign w:val="bottom"/>
            <w:hideMark/>
          </w:tcPr>
          <w:p w14:paraId="11A7A737"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313</w:t>
            </w:r>
          </w:p>
        </w:tc>
        <w:tc>
          <w:tcPr>
            <w:tcW w:w="576" w:type="dxa"/>
            <w:tcBorders>
              <w:top w:val="nil"/>
              <w:left w:val="nil"/>
              <w:bottom w:val="single" w:sz="4" w:space="0" w:color="auto"/>
              <w:right w:val="nil"/>
            </w:tcBorders>
            <w:shd w:val="clear" w:color="000000" w:fill="F0A080"/>
            <w:noWrap/>
            <w:vAlign w:val="bottom"/>
            <w:hideMark/>
          </w:tcPr>
          <w:p w14:paraId="67C69663" w14:textId="77777777" w:rsidR="008450DD" w:rsidRPr="003A39CD" w:rsidRDefault="008450DD">
            <w:pPr>
              <w:spacing w:before="20" w:after="20" w:line="240" w:lineRule="auto"/>
              <w:jc w:val="center"/>
              <w:rPr>
                <w:rFonts w:ascii="Trebuchet MS" w:eastAsia="Times New Roman" w:hAnsi="Trebuchet MS" w:cstheme="majorHAnsi"/>
                <w:sz w:val="16"/>
                <w:szCs w:val="16"/>
                <w:lang w:bidi="th-TH"/>
              </w:rPr>
            </w:pPr>
            <w:r w:rsidRPr="003A39CD">
              <w:rPr>
                <w:rFonts w:ascii="Trebuchet MS" w:hAnsi="Trebuchet MS" w:cstheme="majorHAnsi"/>
                <w:sz w:val="16"/>
                <w:szCs w:val="16"/>
              </w:rPr>
              <w:t>11</w:t>
            </w:r>
          </w:p>
        </w:tc>
      </w:tr>
    </w:tbl>
    <w:p w14:paraId="124B4499" w14:textId="77777777" w:rsidR="008450DD" w:rsidRPr="00EA2DB8" w:rsidRDefault="008450DD" w:rsidP="008450DD">
      <w:pPr>
        <w:pStyle w:val="Source"/>
        <w:spacing w:before="40" w:after="40" w:line="240" w:lineRule="auto"/>
      </w:pPr>
      <w:r w:rsidRPr="003A39CD">
        <w:rPr>
          <w:b/>
          <w:i/>
        </w:rPr>
        <w:t>Source:</w:t>
      </w:r>
      <w:r w:rsidRPr="00EA2DB8">
        <w:rPr>
          <w:b/>
        </w:rPr>
        <w:t xml:space="preserve"> </w:t>
      </w:r>
      <w:r w:rsidRPr="00EA2DB8">
        <w:t>WEF; World Bank WDI.</w:t>
      </w:r>
    </w:p>
    <w:p w14:paraId="6C935175" w14:textId="77777777" w:rsidR="008450DD" w:rsidRDefault="008450DD" w:rsidP="008450DD">
      <w:pPr>
        <w:pStyle w:val="Source"/>
        <w:spacing w:after="0" w:line="240" w:lineRule="auto"/>
      </w:pPr>
      <w:r w:rsidRPr="003A39CD">
        <w:rPr>
          <w:b/>
          <w:i/>
        </w:rPr>
        <w:t>Note:</w:t>
      </w:r>
      <w:r w:rsidRPr="00EA2DB8">
        <w:t xml:space="preserve"> Data as of 2017-2020; * Electric power transmission and distribution losses as of 2014.</w:t>
      </w:r>
    </w:p>
    <w:p w14:paraId="6F4B8E0C" w14:textId="1D055D83" w:rsidR="008450DD" w:rsidRPr="00EA2DB8" w:rsidRDefault="008450DD" w:rsidP="00E61E46">
      <w:pPr>
        <w:pStyle w:val="ListParagraph"/>
        <w:numPr>
          <w:ilvl w:val="1"/>
          <w:numId w:val="7"/>
        </w:numPr>
        <w:spacing w:before="240" w:after="240"/>
        <w:jc w:val="both"/>
        <w:rPr>
          <w:rFonts w:asciiTheme="majorHAnsi" w:hAnsiTheme="majorHAnsi" w:cstheme="majorHAnsi"/>
          <w:b/>
        </w:rPr>
      </w:pPr>
      <w:r w:rsidRPr="00EA2DB8">
        <w:rPr>
          <w:rFonts w:asciiTheme="majorHAnsi" w:hAnsiTheme="majorHAnsi" w:cstheme="majorHAnsi"/>
          <w:b/>
        </w:rPr>
        <w:t>Increasing competition through free trade agreements and deregulation (very high)</w:t>
      </w:r>
    </w:p>
    <w:p w14:paraId="409552E7" w14:textId="5B416547" w:rsidR="008450DD" w:rsidRPr="00EA2DB8" w:rsidRDefault="008450DD" w:rsidP="008450DD">
      <w:pPr>
        <w:pStyle w:val="Default"/>
        <w:spacing w:before="240" w:after="240"/>
        <w:jc w:val="both"/>
        <w:rPr>
          <w:rFonts w:asciiTheme="majorHAnsi" w:eastAsia="Times New Roman" w:hAnsiTheme="majorHAnsi" w:cstheme="majorHAnsi"/>
          <w:color w:val="0563C1"/>
          <w:sz w:val="22"/>
          <w:szCs w:val="22"/>
          <w:u w:val="single"/>
          <w:vertAlign w:val="superscript"/>
        </w:rPr>
      </w:pPr>
      <w:r w:rsidRPr="052E2B2B">
        <w:rPr>
          <w:rFonts w:asciiTheme="majorHAnsi" w:eastAsia="Times New Roman" w:hAnsiTheme="majorHAnsi" w:cstheme="majorBidi"/>
          <w:b/>
          <w:color w:val="000000" w:themeColor="text1"/>
          <w:sz w:val="22"/>
          <w:szCs w:val="22"/>
        </w:rPr>
        <w:t xml:space="preserve">The most </w:t>
      </w:r>
      <w:r w:rsidRPr="052E2B2B">
        <w:rPr>
          <w:rFonts w:asciiTheme="majorHAnsi" w:hAnsiTheme="majorHAnsi" w:cstheme="majorBidi"/>
          <w:b/>
          <w:sz w:val="22"/>
          <w:szCs w:val="22"/>
        </w:rPr>
        <w:t>important</w:t>
      </w:r>
      <w:r w:rsidRPr="052E2B2B">
        <w:rPr>
          <w:rFonts w:asciiTheme="majorHAnsi" w:eastAsia="Times New Roman" w:hAnsiTheme="majorHAnsi" w:cstheme="majorBidi"/>
          <w:b/>
          <w:color w:val="000000" w:themeColor="text1"/>
          <w:sz w:val="22"/>
          <w:szCs w:val="22"/>
        </w:rPr>
        <w:t xml:space="preserve"> Free Trade Agreement (FTA) concluded by Thailand since the last SCD is the Regional Comprehensive Economic Partnership (RCEP).</w:t>
      </w:r>
      <w:r w:rsidRPr="052E2B2B">
        <w:rPr>
          <w:rFonts w:asciiTheme="majorHAnsi" w:eastAsia="Times New Roman" w:hAnsiTheme="majorHAnsi" w:cstheme="majorBidi"/>
          <w:color w:val="000000" w:themeColor="text1"/>
          <w:sz w:val="22"/>
          <w:szCs w:val="22"/>
        </w:rPr>
        <w:t xml:space="preserve"> Signed in November 2020, RCEP’s 15 member countries account for about 30 percent of the world’s population (2.2 billion people) and roughly 30 percent of global GDP, making it the largest trade bloc in history. Analysts have pointed out that RCEP does not herald a dramatic liberalization of Asian trade as would be expected of an agreement whose signatories range from high income (</w:t>
      </w:r>
      <w:r w:rsidR="00CE4451" w:rsidRPr="052E2B2B">
        <w:rPr>
          <w:rFonts w:asciiTheme="majorHAnsi" w:eastAsia="Times New Roman" w:hAnsiTheme="majorHAnsi" w:cstheme="majorBidi"/>
          <w:color w:val="000000" w:themeColor="text1"/>
          <w:sz w:val="22"/>
          <w:szCs w:val="22"/>
        </w:rPr>
        <w:t>i.e.,</w:t>
      </w:r>
      <w:r w:rsidRPr="052E2B2B">
        <w:rPr>
          <w:rFonts w:asciiTheme="majorHAnsi" w:eastAsia="Times New Roman" w:hAnsiTheme="majorHAnsi" w:cstheme="majorBidi"/>
          <w:color w:val="000000" w:themeColor="text1"/>
          <w:sz w:val="22"/>
          <w:szCs w:val="22"/>
        </w:rPr>
        <w:t xml:space="preserve"> Japan and Singapore) to lower middle-income ones, such as Laos and Myanmar. It eliminates, by one estimate, about 90 percent of tariffs, but only over a period of 20 years after coming into effect. Its coverage of services is patchy, and it hardly touches agriculture. Japan, for example, will maintain high import duties on some </w:t>
      </w:r>
      <w:r w:rsidR="00CB2FDD">
        <w:rPr>
          <w:rFonts w:asciiTheme="majorHAnsi" w:eastAsia="Times New Roman" w:hAnsiTheme="majorHAnsi" w:cstheme="majorBidi"/>
          <w:color w:val="000000" w:themeColor="text1"/>
          <w:sz w:val="22"/>
          <w:szCs w:val="22"/>
        </w:rPr>
        <w:t>‘</w:t>
      </w:r>
      <w:r w:rsidRPr="052E2B2B">
        <w:rPr>
          <w:rFonts w:asciiTheme="majorHAnsi" w:eastAsia="Times New Roman" w:hAnsiTheme="majorHAnsi" w:cstheme="majorBidi"/>
          <w:color w:val="000000" w:themeColor="text1"/>
          <w:sz w:val="22"/>
          <w:szCs w:val="22"/>
        </w:rPr>
        <w:t>politically sensitive</w:t>
      </w:r>
      <w:r w:rsidR="00CB2FDD">
        <w:rPr>
          <w:rFonts w:asciiTheme="majorHAnsi" w:eastAsia="Times New Roman" w:hAnsiTheme="majorHAnsi" w:cstheme="majorBidi"/>
          <w:color w:val="000000" w:themeColor="text1"/>
          <w:sz w:val="22"/>
          <w:szCs w:val="22"/>
        </w:rPr>
        <w:t>’</w:t>
      </w:r>
      <w:r w:rsidRPr="052E2B2B">
        <w:rPr>
          <w:rFonts w:asciiTheme="majorHAnsi" w:eastAsia="Times New Roman" w:hAnsiTheme="majorHAnsi" w:cstheme="majorBidi"/>
          <w:color w:val="000000" w:themeColor="text1"/>
          <w:sz w:val="22"/>
          <w:szCs w:val="22"/>
        </w:rPr>
        <w:t xml:space="preserve"> agricultural products (rice, wheat, </w:t>
      </w:r>
      <w:r w:rsidR="00770591" w:rsidRPr="052E2B2B">
        <w:rPr>
          <w:rFonts w:asciiTheme="majorHAnsi" w:eastAsia="Times New Roman" w:hAnsiTheme="majorHAnsi" w:cstheme="majorBidi"/>
          <w:color w:val="000000" w:themeColor="text1"/>
          <w:sz w:val="22"/>
          <w:szCs w:val="22"/>
        </w:rPr>
        <w:t>beef,</w:t>
      </w:r>
      <w:r w:rsidRPr="052E2B2B">
        <w:rPr>
          <w:rFonts w:asciiTheme="majorHAnsi" w:eastAsia="Times New Roman" w:hAnsiTheme="majorHAnsi" w:cstheme="majorBidi"/>
          <w:color w:val="000000" w:themeColor="text1"/>
          <w:sz w:val="22"/>
          <w:szCs w:val="22"/>
        </w:rPr>
        <w:t xml:space="preserve"> and pork, dairy</w:t>
      </w:r>
      <w:r w:rsidR="00CB2FDD">
        <w:rPr>
          <w:rFonts w:asciiTheme="majorHAnsi" w:eastAsia="Times New Roman" w:hAnsiTheme="majorHAnsi" w:cstheme="majorBidi"/>
          <w:color w:val="000000" w:themeColor="text1"/>
          <w:sz w:val="22"/>
          <w:szCs w:val="22"/>
        </w:rPr>
        <w:t>,</w:t>
      </w:r>
      <w:r w:rsidRPr="052E2B2B">
        <w:rPr>
          <w:rFonts w:asciiTheme="majorHAnsi" w:eastAsia="Times New Roman" w:hAnsiTheme="majorHAnsi" w:cstheme="majorBidi"/>
          <w:color w:val="000000" w:themeColor="text1"/>
          <w:sz w:val="22"/>
          <w:szCs w:val="22"/>
        </w:rPr>
        <w:t xml:space="preserve"> and sugar), which are cut under the T</w:t>
      </w:r>
      <w:r w:rsidR="00D55314">
        <w:rPr>
          <w:rFonts w:asciiTheme="majorHAnsi" w:eastAsia="Times New Roman" w:hAnsiTheme="majorHAnsi" w:cstheme="majorBidi"/>
          <w:color w:val="000000" w:themeColor="text1"/>
          <w:sz w:val="22"/>
          <w:szCs w:val="22"/>
        </w:rPr>
        <w:t xml:space="preserve">rans-Pacific Partnership (TPP) </w:t>
      </w:r>
      <w:r w:rsidR="00DF5ECC">
        <w:rPr>
          <w:rFonts w:asciiTheme="majorHAnsi" w:eastAsia="Times New Roman" w:hAnsiTheme="majorHAnsi" w:cstheme="majorBidi"/>
          <w:color w:val="000000" w:themeColor="text1"/>
          <w:sz w:val="22"/>
          <w:szCs w:val="22"/>
        </w:rPr>
        <w:t>Agreement</w:t>
      </w:r>
      <w:r w:rsidRPr="052E2B2B">
        <w:rPr>
          <w:rFonts w:asciiTheme="majorHAnsi" w:eastAsia="Times New Roman" w:hAnsiTheme="majorHAnsi" w:cstheme="majorBidi"/>
          <w:color w:val="000000" w:themeColor="text1"/>
          <w:sz w:val="22"/>
          <w:szCs w:val="22"/>
        </w:rPr>
        <w:t>. Yet, RCEP does break new ground in harmonizing the disparate rules-of-origin provisions in ASEAN’s various Free Trade Agreements (FTAs</w:t>
      </w:r>
      <w:r w:rsidR="00CE4451" w:rsidRPr="052E2B2B">
        <w:rPr>
          <w:rFonts w:asciiTheme="majorHAnsi" w:eastAsia="Times New Roman" w:hAnsiTheme="majorHAnsi" w:cstheme="majorBidi"/>
          <w:color w:val="000000" w:themeColor="text1"/>
          <w:sz w:val="22"/>
          <w:szCs w:val="22"/>
        </w:rPr>
        <w:t>) and</w:t>
      </w:r>
      <w:r w:rsidRPr="052E2B2B">
        <w:rPr>
          <w:rFonts w:asciiTheme="majorHAnsi" w:eastAsia="Times New Roman" w:hAnsiTheme="majorHAnsi" w:cstheme="majorBidi"/>
          <w:color w:val="000000" w:themeColor="text1"/>
          <w:sz w:val="22"/>
          <w:szCs w:val="22"/>
        </w:rPr>
        <w:t xml:space="preserve"> setting regional-content rules so that intermediate goods can be sourced from any of the 15 countries. As a result, RCEP is expected to have a noticeable economic impact. Using CGE modeling, Petri and Plummer (2020) estimate that it will raise global GDP in 2030 by an annual US$186 billion with the benefits especially large for China, Japan, and South Korea. Thailand is part of the ASEAN-</w:t>
      </w:r>
      <w:r w:rsidRPr="052E2B2B">
        <w:rPr>
          <w:rFonts w:asciiTheme="majorHAnsi" w:eastAsia="Times New Roman" w:hAnsiTheme="majorHAnsi" w:cstheme="majorBidi"/>
          <w:color w:val="000000" w:themeColor="text1"/>
          <w:sz w:val="22"/>
          <w:szCs w:val="22"/>
        </w:rPr>
        <w:lastRenderedPageBreak/>
        <w:t xml:space="preserve">Hong Kong FTA that entered into force </w:t>
      </w:r>
      <w:r w:rsidR="00CE4451" w:rsidRPr="052E2B2B">
        <w:rPr>
          <w:rFonts w:asciiTheme="majorHAnsi" w:eastAsia="Times New Roman" w:hAnsiTheme="majorHAnsi" w:cstheme="majorBidi"/>
          <w:color w:val="000000" w:themeColor="text1"/>
          <w:sz w:val="22"/>
          <w:szCs w:val="22"/>
        </w:rPr>
        <w:t>in</w:t>
      </w:r>
      <w:r w:rsidRPr="052E2B2B">
        <w:rPr>
          <w:rFonts w:asciiTheme="majorHAnsi" w:eastAsia="Times New Roman" w:hAnsiTheme="majorHAnsi" w:cstheme="majorBidi"/>
          <w:color w:val="000000" w:themeColor="text1"/>
          <w:sz w:val="22"/>
          <w:szCs w:val="22"/>
        </w:rPr>
        <w:t xml:space="preserve"> June 2019. Thailand is currently holding discussions to conclude other FTAs.</w:t>
      </w:r>
      <w:r w:rsidRPr="052E2B2B">
        <w:rPr>
          <w:rFonts w:asciiTheme="majorHAnsi" w:eastAsia="Times New Roman" w:hAnsiTheme="majorHAnsi" w:cstheme="majorBidi"/>
          <w:color w:val="000000" w:themeColor="text1"/>
          <w:sz w:val="22"/>
          <w:szCs w:val="22"/>
          <w:vertAlign w:val="superscript"/>
        </w:rPr>
        <w:footnoteReference w:id="4"/>
      </w:r>
      <w:r w:rsidRPr="052E2B2B" w:rsidDel="00B15ECE">
        <w:rPr>
          <w:rFonts w:asciiTheme="majorHAnsi" w:eastAsia="Times New Roman" w:hAnsiTheme="majorHAnsi" w:cstheme="majorBidi"/>
          <w:color w:val="000000" w:themeColor="text1"/>
          <w:sz w:val="22"/>
          <w:szCs w:val="22"/>
        </w:rPr>
        <w:t xml:space="preserve"> </w:t>
      </w:r>
    </w:p>
    <w:p w14:paraId="3B9A3B2A" w14:textId="3A275760" w:rsidR="008450DD" w:rsidRPr="00EA2DB8" w:rsidRDefault="008450DD" w:rsidP="008450DD">
      <w:pPr>
        <w:pStyle w:val="Default"/>
        <w:spacing w:before="240" w:after="240"/>
        <w:jc w:val="both"/>
        <w:rPr>
          <w:rFonts w:asciiTheme="majorHAnsi" w:hAnsiTheme="majorHAnsi" w:cstheme="majorHAnsi"/>
          <w:sz w:val="22"/>
          <w:szCs w:val="22"/>
        </w:rPr>
      </w:pPr>
      <w:r w:rsidRPr="052E2B2B">
        <w:rPr>
          <w:rFonts w:asciiTheme="majorHAnsi" w:hAnsiTheme="majorHAnsi" w:cstheme="majorBidi"/>
          <w:b/>
          <w:sz w:val="22"/>
          <w:szCs w:val="22"/>
        </w:rPr>
        <w:t>2016 SCD Findings:</w:t>
      </w:r>
      <w:r w:rsidRPr="052E2B2B">
        <w:rPr>
          <w:rFonts w:asciiTheme="majorHAnsi" w:hAnsiTheme="majorHAnsi" w:cstheme="majorBidi"/>
          <w:sz w:val="22"/>
          <w:szCs w:val="22"/>
        </w:rPr>
        <w:t xml:space="preserve"> </w:t>
      </w:r>
      <w:r w:rsidRPr="052E2B2B">
        <w:rPr>
          <w:rFonts w:asciiTheme="majorHAnsi" w:hAnsiTheme="majorHAnsi" w:cstheme="majorBidi"/>
          <w:b/>
          <w:sz w:val="22"/>
          <w:szCs w:val="22"/>
        </w:rPr>
        <w:t xml:space="preserve">Under </w:t>
      </w:r>
      <w:r w:rsidR="00CB2FDD">
        <w:rPr>
          <w:rFonts w:asciiTheme="majorHAnsi" w:hAnsiTheme="majorHAnsi" w:cstheme="majorBidi"/>
          <w:b/>
          <w:sz w:val="22"/>
          <w:szCs w:val="22"/>
        </w:rPr>
        <w:t xml:space="preserve">the </w:t>
      </w:r>
      <w:r w:rsidRPr="052E2B2B">
        <w:rPr>
          <w:rFonts w:asciiTheme="majorHAnsi" w:hAnsiTheme="majorHAnsi" w:cstheme="majorBidi"/>
          <w:b/>
          <w:sz w:val="22"/>
          <w:szCs w:val="22"/>
        </w:rPr>
        <w:t>Doing Business Exercise, Thailand has enhanced its DB scoring from 70.91 to 80.1 with improved ranking from 46</w:t>
      </w:r>
      <w:r w:rsidRPr="052E2B2B">
        <w:rPr>
          <w:rFonts w:asciiTheme="majorHAnsi" w:hAnsiTheme="majorHAnsi" w:cstheme="majorBidi"/>
          <w:b/>
          <w:sz w:val="22"/>
          <w:szCs w:val="22"/>
          <w:vertAlign w:val="superscript"/>
        </w:rPr>
        <w:t>th</w:t>
      </w:r>
      <w:r w:rsidRPr="052E2B2B">
        <w:rPr>
          <w:rFonts w:asciiTheme="majorHAnsi" w:hAnsiTheme="majorHAnsi" w:cstheme="majorBidi"/>
          <w:b/>
          <w:sz w:val="22"/>
          <w:szCs w:val="22"/>
        </w:rPr>
        <w:t xml:space="preserve"> to 21</w:t>
      </w:r>
      <w:r w:rsidRPr="052E2B2B">
        <w:rPr>
          <w:rFonts w:asciiTheme="majorHAnsi" w:hAnsiTheme="majorHAnsi" w:cstheme="majorBidi"/>
          <w:b/>
          <w:sz w:val="22"/>
          <w:szCs w:val="22"/>
          <w:vertAlign w:val="superscript"/>
        </w:rPr>
        <w:t>st</w:t>
      </w:r>
      <w:r w:rsidRPr="052E2B2B">
        <w:rPr>
          <w:rFonts w:asciiTheme="majorHAnsi" w:hAnsiTheme="majorHAnsi" w:cstheme="majorBidi"/>
          <w:b/>
          <w:sz w:val="22"/>
          <w:szCs w:val="22"/>
        </w:rPr>
        <w:t xml:space="preserve"> in 2017 and 2020 respectively.</w:t>
      </w:r>
      <w:r w:rsidRPr="052E2B2B">
        <w:rPr>
          <w:rFonts w:asciiTheme="majorHAnsi" w:hAnsiTheme="majorHAnsi" w:cstheme="majorBidi"/>
          <w:sz w:val="22"/>
          <w:szCs w:val="22"/>
        </w:rPr>
        <w:t xml:space="preserve">  Getting credit, protecting minority investor</w:t>
      </w:r>
      <w:r w:rsidR="00CB2FDD">
        <w:rPr>
          <w:rFonts w:asciiTheme="majorHAnsi" w:hAnsiTheme="majorHAnsi" w:cstheme="majorBidi"/>
          <w:sz w:val="22"/>
          <w:szCs w:val="22"/>
        </w:rPr>
        <w:t>s</w:t>
      </w:r>
      <w:r w:rsidRPr="052E2B2B">
        <w:rPr>
          <w:rFonts w:asciiTheme="majorHAnsi" w:hAnsiTheme="majorHAnsi" w:cstheme="majorBidi"/>
          <w:sz w:val="22"/>
          <w:szCs w:val="22"/>
        </w:rPr>
        <w:t>, and getting electricity are the top 3 indicators</w:t>
      </w:r>
      <w:r w:rsidR="00CB2FDD">
        <w:rPr>
          <w:rFonts w:asciiTheme="majorHAnsi" w:hAnsiTheme="majorHAnsi" w:cstheme="majorBidi"/>
          <w:sz w:val="22"/>
          <w:szCs w:val="22"/>
        </w:rPr>
        <w:t>. There were</w:t>
      </w:r>
      <w:r w:rsidRPr="052E2B2B">
        <w:rPr>
          <w:rFonts w:asciiTheme="majorHAnsi" w:hAnsiTheme="majorHAnsi" w:cstheme="majorBidi"/>
          <w:sz w:val="22"/>
          <w:szCs w:val="22"/>
        </w:rPr>
        <w:t xml:space="preserve"> significant improvements during the SCD period, after the introduction of the secured transaction regime through the Business Security Act (BSA) 2015, enhancing minority shareholders’ rights through amendment relevant acts, and improvement in reliability of electricity supply and transparency of tariff index with significant reduction in procedures, time, and cost</w:t>
      </w:r>
      <w:r w:rsidR="00CB2FDD">
        <w:rPr>
          <w:rFonts w:asciiTheme="majorHAnsi" w:hAnsiTheme="majorHAnsi" w:cstheme="majorBidi"/>
          <w:sz w:val="22"/>
          <w:szCs w:val="22"/>
        </w:rPr>
        <w:t>,</w:t>
      </w:r>
      <w:r w:rsidRPr="052E2B2B">
        <w:rPr>
          <w:rFonts w:asciiTheme="majorHAnsi" w:hAnsiTheme="majorHAnsi" w:cstheme="majorBidi"/>
          <w:sz w:val="22"/>
          <w:szCs w:val="22"/>
        </w:rPr>
        <w:t xml:space="preserve"> respectively. However, businesses in Thailand continue to face barriers to their operations, such as lengthy and costly procedures for enforcing contracts or resolving commercial disputes, to accessing credit, and trading across borders.</w:t>
      </w:r>
      <w:r w:rsidRPr="052E2B2B">
        <w:rPr>
          <w:rFonts w:asciiTheme="majorHAnsi" w:hAnsiTheme="majorHAnsi" w:cstheme="majorBidi"/>
          <w:sz w:val="22"/>
          <w:szCs w:val="22"/>
          <w:vertAlign w:val="superscript"/>
        </w:rPr>
        <w:t xml:space="preserve"> </w:t>
      </w:r>
      <w:r w:rsidRPr="052E2B2B">
        <w:rPr>
          <w:rFonts w:asciiTheme="majorHAnsi" w:hAnsiTheme="majorHAnsi" w:cstheme="majorBidi"/>
          <w:sz w:val="22"/>
          <w:szCs w:val="22"/>
        </w:rPr>
        <w:t>Even though the scoring of the ‘getting credit’ indicator has been improved significantly during the SCD period, the SME access to finance remains the key challenge partly due to the limited implementation of the modern secured transaction regime via movable assets.</w:t>
      </w:r>
    </w:p>
    <w:p w14:paraId="26DC8C88" w14:textId="77777777" w:rsidR="008450DD" w:rsidRPr="00EA2DB8" w:rsidRDefault="008450DD" w:rsidP="008450DD">
      <w:pPr>
        <w:pStyle w:val="Default"/>
        <w:spacing w:before="240" w:after="240"/>
        <w:jc w:val="both"/>
        <w:rPr>
          <w:rFonts w:asciiTheme="majorHAnsi" w:hAnsiTheme="majorHAnsi" w:cstheme="majorHAnsi"/>
          <w:sz w:val="22"/>
          <w:szCs w:val="22"/>
        </w:rPr>
      </w:pPr>
      <w:r w:rsidRPr="00EA2DB8">
        <w:rPr>
          <w:rFonts w:asciiTheme="majorHAnsi" w:hAnsiTheme="majorHAnsi" w:cstheme="majorHAnsi"/>
          <w:b/>
          <w:sz w:val="22"/>
          <w:szCs w:val="22"/>
        </w:rPr>
        <w:t>These barriers inhibit access to credit, innovation, and productivity growth, and may even encourage firms to move part of their operations to the informal economy</w:t>
      </w:r>
      <w:r w:rsidRPr="00EA2DB8">
        <w:rPr>
          <w:rFonts w:asciiTheme="majorHAnsi" w:hAnsiTheme="majorHAnsi" w:cstheme="majorHAnsi"/>
          <w:sz w:val="22"/>
          <w:szCs w:val="22"/>
        </w:rPr>
        <w:t>. The government can improve the business climate by implementing regulatory reforms to improve the ease of doing business, increasing access to finance, strengthening enforcement, and lifting restrictions on foreign entry and investment in certain service sectors. In particular, Thailand could consider lifting restrictions on foreign ownership in certain industries, such as telecommunications, education, and healthcare, and introducing clear and objective criteria for granting licenses to foreign companies. Promoting a level-playing field by introducing competitive neutrality in state-owned enterprises (SOEs), revisiting their mandates, reducing uncertainty, particularly political uncertainty, will also be important factors.</w:t>
      </w:r>
    </w:p>
    <w:p w14:paraId="760801D0" w14:textId="491FC867" w:rsidR="008450DD" w:rsidRPr="00EA2DB8" w:rsidRDefault="008450DD" w:rsidP="008450DD">
      <w:pPr>
        <w:pStyle w:val="Default"/>
        <w:spacing w:before="240" w:after="240"/>
        <w:jc w:val="both"/>
        <w:rPr>
          <w:rFonts w:asciiTheme="majorHAnsi" w:hAnsiTheme="majorHAnsi" w:cstheme="majorHAnsi"/>
          <w:sz w:val="22"/>
          <w:szCs w:val="22"/>
        </w:rPr>
      </w:pPr>
      <w:r w:rsidRPr="00EA2DB8">
        <w:rPr>
          <w:rFonts w:asciiTheme="majorHAnsi" w:hAnsiTheme="majorHAnsi" w:cstheme="majorHAnsi"/>
          <w:b/>
          <w:sz w:val="22"/>
          <w:szCs w:val="22"/>
        </w:rPr>
        <w:t>Progress since 2016</w:t>
      </w:r>
      <w:r w:rsidRPr="00EA2DB8">
        <w:rPr>
          <w:rFonts w:asciiTheme="majorHAnsi" w:hAnsiTheme="majorHAnsi" w:cstheme="majorHAnsi"/>
          <w:sz w:val="22"/>
          <w:szCs w:val="22"/>
        </w:rPr>
        <w:t xml:space="preserve">: </w:t>
      </w:r>
      <w:r w:rsidRPr="00EA2DB8">
        <w:rPr>
          <w:rFonts w:asciiTheme="majorHAnsi" w:hAnsiTheme="majorHAnsi" w:cstheme="majorHAnsi"/>
          <w:b/>
          <w:sz w:val="22"/>
          <w:szCs w:val="22"/>
        </w:rPr>
        <w:t>In terms of market competition, Thailand is still lagging its regional peers though there were some improvements during the last few years</w:t>
      </w:r>
      <w:r w:rsidRPr="00EA2DB8">
        <w:rPr>
          <w:rFonts w:asciiTheme="majorHAnsi" w:hAnsiTheme="majorHAnsi" w:cstheme="majorHAnsi"/>
          <w:sz w:val="22"/>
          <w:szCs w:val="22"/>
        </w:rPr>
        <w:t xml:space="preserve">. According to the </w:t>
      </w:r>
      <w:r>
        <w:rPr>
          <w:rFonts w:asciiTheme="majorHAnsi" w:hAnsiTheme="majorHAnsi" w:cstheme="majorHAnsi"/>
          <w:sz w:val="22"/>
          <w:szCs w:val="22"/>
        </w:rPr>
        <w:t xml:space="preserve">2019 </w:t>
      </w:r>
      <w:r w:rsidRPr="00C96DC0">
        <w:rPr>
          <w:rFonts w:asciiTheme="majorHAnsi" w:hAnsiTheme="majorHAnsi" w:cstheme="majorHAnsi"/>
          <w:sz w:val="22"/>
          <w:szCs w:val="22"/>
        </w:rPr>
        <w:t>Global Competitiveness Report in 2018-2019, Thailand’s scoring on competition-related indicators is lower than Indonesia, China, and</w:t>
      </w:r>
      <w:r w:rsidRPr="00EA2DB8">
        <w:rPr>
          <w:rFonts w:asciiTheme="majorHAnsi" w:hAnsiTheme="majorHAnsi" w:cstheme="majorHAnsi"/>
          <w:sz w:val="22"/>
          <w:szCs w:val="22"/>
        </w:rPr>
        <w:t xml:space="preserve"> Malaysia. And in overall, out of 141 countries, Thailand was ranked 85</w:t>
      </w:r>
      <w:r w:rsidRPr="00EA2DB8">
        <w:rPr>
          <w:rFonts w:asciiTheme="majorHAnsi" w:hAnsiTheme="majorHAnsi" w:cstheme="majorHAnsi"/>
          <w:sz w:val="22"/>
          <w:szCs w:val="22"/>
          <w:vertAlign w:val="superscript"/>
        </w:rPr>
        <w:t>th</w:t>
      </w:r>
      <w:r w:rsidRPr="00EA2DB8">
        <w:rPr>
          <w:rFonts w:asciiTheme="majorHAnsi" w:hAnsiTheme="majorHAnsi" w:cstheme="majorHAnsi"/>
          <w:sz w:val="22"/>
          <w:szCs w:val="22"/>
        </w:rPr>
        <w:t xml:space="preserve"> in terms of the extent of market dominance. Major issues were related to the dominant power of only a few conglomerates in the market, which usually have strong connection</w:t>
      </w:r>
      <w:r w:rsidR="00CB2FDD">
        <w:rPr>
          <w:rFonts w:asciiTheme="majorHAnsi" w:hAnsiTheme="majorHAnsi" w:cstheme="majorHAnsi"/>
          <w:sz w:val="22"/>
          <w:szCs w:val="22"/>
        </w:rPr>
        <w:t>s</w:t>
      </w:r>
      <w:r w:rsidRPr="00EA2DB8">
        <w:rPr>
          <w:rFonts w:asciiTheme="majorHAnsi" w:hAnsiTheme="majorHAnsi" w:cstheme="majorHAnsi"/>
          <w:sz w:val="22"/>
          <w:szCs w:val="22"/>
        </w:rPr>
        <w:t xml:space="preserve"> between them, as well as SOEs who usually hold a privileged position under the law. Ineffective regulatory framework, including limited foreign participation and price control measures, have further made the competition level in Thailand relatively weak.</w:t>
      </w:r>
    </w:p>
    <w:p w14:paraId="2C3A828C" w14:textId="6DFC61C8" w:rsidR="008450DD" w:rsidRDefault="008450DD" w:rsidP="008450DD">
      <w:pPr>
        <w:pStyle w:val="Default"/>
        <w:jc w:val="both"/>
        <w:rPr>
          <w:rFonts w:asciiTheme="majorHAnsi" w:hAnsiTheme="majorHAnsi" w:cstheme="majorHAnsi"/>
          <w:sz w:val="22"/>
          <w:szCs w:val="22"/>
        </w:rPr>
      </w:pPr>
      <w:r w:rsidRPr="00EA2DB8">
        <w:rPr>
          <w:rFonts w:asciiTheme="majorHAnsi" w:hAnsiTheme="majorHAnsi" w:cstheme="majorHAnsi"/>
          <w:b/>
          <w:sz w:val="22"/>
          <w:szCs w:val="22"/>
        </w:rPr>
        <w:t>Remaining challenges:</w:t>
      </w:r>
      <w:r w:rsidRPr="00EA2DB8">
        <w:rPr>
          <w:rFonts w:asciiTheme="majorHAnsi" w:hAnsiTheme="majorHAnsi" w:cstheme="majorHAnsi"/>
          <w:sz w:val="22"/>
          <w:szCs w:val="22"/>
        </w:rPr>
        <w:t xml:space="preserve"> </w:t>
      </w:r>
      <w:r w:rsidRPr="00EA2DB8">
        <w:rPr>
          <w:rFonts w:asciiTheme="majorHAnsi" w:hAnsiTheme="majorHAnsi" w:cstheme="majorHAnsi"/>
          <w:b/>
          <w:sz w:val="22"/>
          <w:szCs w:val="22"/>
        </w:rPr>
        <w:t>Currently, the inadequate law enforcement and insufficient autonomy of the competition regulator</w:t>
      </w:r>
      <w:r w:rsidRPr="00EA2DB8">
        <w:rPr>
          <w:rFonts w:asciiTheme="majorHAnsi" w:hAnsiTheme="majorHAnsi" w:cstheme="majorHAnsi"/>
          <w:sz w:val="22"/>
          <w:szCs w:val="22"/>
        </w:rPr>
        <w:t>, namely the Office of Trade Competition Commission (OTCC), has hindered the creation of a level playing field in Thailand. The Competition Act itself still has a lot of gaps that need to be bridged. For example, exception clauses that tend to favor certain operators</w:t>
      </w:r>
      <w:r w:rsidR="00CB2FDD">
        <w:rPr>
          <w:rFonts w:asciiTheme="majorHAnsi" w:hAnsiTheme="majorHAnsi" w:cstheme="majorHAnsi"/>
          <w:sz w:val="22"/>
          <w:szCs w:val="22"/>
        </w:rPr>
        <w:t>,</w:t>
      </w:r>
      <w:r w:rsidRPr="00EA2DB8">
        <w:rPr>
          <w:rFonts w:asciiTheme="majorHAnsi" w:hAnsiTheme="majorHAnsi" w:cstheme="majorHAnsi"/>
          <w:sz w:val="22"/>
          <w:szCs w:val="22"/>
        </w:rPr>
        <w:t xml:space="preserve"> and the lack of cartel detection mechanism</w:t>
      </w:r>
      <w:r w:rsidR="00CB2FDD">
        <w:rPr>
          <w:rFonts w:asciiTheme="majorHAnsi" w:hAnsiTheme="majorHAnsi" w:cstheme="majorHAnsi"/>
          <w:sz w:val="22"/>
          <w:szCs w:val="22"/>
        </w:rPr>
        <w:t>s,</w:t>
      </w:r>
      <w:r w:rsidRPr="00EA2DB8">
        <w:rPr>
          <w:rFonts w:asciiTheme="majorHAnsi" w:hAnsiTheme="majorHAnsi" w:cstheme="majorHAnsi"/>
          <w:sz w:val="22"/>
          <w:szCs w:val="22"/>
        </w:rPr>
        <w:t xml:space="preserve"> has made it difficult to prevent collusion and dominant power in the market. On the other hand, legal restrictions, and other kinds of barriers, such as inadequate business infrastructures, </w:t>
      </w:r>
      <w:r>
        <w:rPr>
          <w:rFonts w:asciiTheme="majorHAnsi" w:hAnsiTheme="majorHAnsi" w:cstheme="majorHAnsi"/>
          <w:sz w:val="22"/>
          <w:szCs w:val="22"/>
        </w:rPr>
        <w:t xml:space="preserve">have </w:t>
      </w:r>
      <w:r w:rsidRPr="00EA2DB8">
        <w:rPr>
          <w:rFonts w:asciiTheme="majorHAnsi" w:hAnsiTheme="majorHAnsi" w:cstheme="majorHAnsi"/>
          <w:sz w:val="22"/>
          <w:szCs w:val="22"/>
        </w:rPr>
        <w:t>prevented foreign firms to enter the market</w:t>
      </w:r>
      <w:r w:rsidR="00CB2FDD">
        <w:rPr>
          <w:rFonts w:asciiTheme="majorHAnsi" w:hAnsiTheme="majorHAnsi" w:cstheme="majorHAnsi"/>
          <w:sz w:val="22"/>
          <w:szCs w:val="22"/>
        </w:rPr>
        <w:t>,</w:t>
      </w:r>
      <w:r w:rsidRPr="00EA2DB8">
        <w:rPr>
          <w:rFonts w:asciiTheme="majorHAnsi" w:hAnsiTheme="majorHAnsi" w:cstheme="majorHAnsi"/>
          <w:sz w:val="22"/>
          <w:szCs w:val="22"/>
        </w:rPr>
        <w:t xml:space="preserve"> or operate on the same ground</w:t>
      </w:r>
      <w:r w:rsidR="00CB2FDD">
        <w:rPr>
          <w:rFonts w:asciiTheme="majorHAnsi" w:hAnsiTheme="majorHAnsi" w:cstheme="majorHAnsi"/>
          <w:sz w:val="22"/>
          <w:szCs w:val="22"/>
        </w:rPr>
        <w:t>s</w:t>
      </w:r>
      <w:r w:rsidRPr="00EA2DB8">
        <w:rPr>
          <w:rFonts w:asciiTheme="majorHAnsi" w:hAnsiTheme="majorHAnsi" w:cstheme="majorHAnsi"/>
          <w:sz w:val="22"/>
          <w:szCs w:val="22"/>
        </w:rPr>
        <w:t xml:space="preserve"> as domestic firms</w:t>
      </w:r>
      <w:r w:rsidR="00CB2FDD">
        <w:rPr>
          <w:rFonts w:asciiTheme="majorHAnsi" w:hAnsiTheme="majorHAnsi" w:cstheme="majorHAnsi"/>
          <w:sz w:val="22"/>
          <w:szCs w:val="22"/>
        </w:rPr>
        <w:t>,</w:t>
      </w:r>
      <w:r w:rsidRPr="00EA2DB8">
        <w:rPr>
          <w:rFonts w:asciiTheme="majorHAnsi" w:hAnsiTheme="majorHAnsi" w:cstheme="majorHAnsi"/>
          <w:sz w:val="22"/>
          <w:szCs w:val="22"/>
        </w:rPr>
        <w:t xml:space="preserve"> ha</w:t>
      </w:r>
      <w:r>
        <w:rPr>
          <w:rFonts w:asciiTheme="majorHAnsi" w:hAnsiTheme="majorHAnsi" w:cstheme="majorHAnsi"/>
          <w:sz w:val="22"/>
          <w:szCs w:val="22"/>
        </w:rPr>
        <w:t>ve</w:t>
      </w:r>
      <w:r w:rsidRPr="00EA2DB8">
        <w:rPr>
          <w:rFonts w:asciiTheme="majorHAnsi" w:hAnsiTheme="majorHAnsi" w:cstheme="majorHAnsi"/>
          <w:sz w:val="22"/>
          <w:szCs w:val="22"/>
        </w:rPr>
        <w:t xml:space="preserve"> deterred the competition level within the country.</w:t>
      </w:r>
    </w:p>
    <w:p w14:paraId="5BAF039C" w14:textId="77777777" w:rsidR="008450DD" w:rsidRPr="00EA2DB8" w:rsidRDefault="008450DD" w:rsidP="008450DD">
      <w:pPr>
        <w:pStyle w:val="Default"/>
        <w:jc w:val="both"/>
        <w:rPr>
          <w:rFonts w:asciiTheme="majorHAnsi" w:hAnsiTheme="majorHAnsi" w:cstheme="majorHAnsi"/>
          <w:b/>
          <w:sz w:val="22"/>
          <w:szCs w:val="22"/>
        </w:rPr>
      </w:pPr>
    </w:p>
    <w:tbl>
      <w:tblPr>
        <w:tblStyle w:val="TableGrid"/>
        <w:tblpPr w:leftFromText="180" w:rightFromText="180" w:vertAnchor="text" w:horzAnchor="margin" w:tblpY="6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0"/>
      </w:tblGrid>
      <w:tr w:rsidR="008450DD" w:rsidRPr="00B67989" w14:paraId="45F90699" w14:textId="77777777">
        <w:trPr>
          <w:trHeight w:val="195"/>
        </w:trPr>
        <w:tc>
          <w:tcPr>
            <w:tcW w:w="4450" w:type="dxa"/>
            <w:tcMar>
              <w:left w:w="108" w:type="dxa"/>
              <w:right w:w="108" w:type="dxa"/>
            </w:tcMar>
          </w:tcPr>
          <w:p w14:paraId="642A4DD6" w14:textId="340B345F" w:rsidR="008450DD" w:rsidRPr="000E7D0E" w:rsidRDefault="008450DD" w:rsidP="00E071E4">
            <w:pPr>
              <w:jc w:val="both"/>
              <w:rPr>
                <w:b/>
                <w:bCs/>
              </w:rPr>
            </w:pPr>
            <w:bookmarkStart w:id="410" w:name="_Ref149775185"/>
            <w:r w:rsidRPr="000E7D0E">
              <w:rPr>
                <w:b/>
                <w:bCs/>
              </w:rPr>
              <w:lastRenderedPageBreak/>
              <w:t>Figure A.</w:t>
            </w:r>
            <w:r w:rsidR="009B56C0">
              <w:rPr>
                <w:b/>
                <w:bCs/>
              </w:rPr>
              <w:t>1</w:t>
            </w:r>
            <w:r w:rsidR="003371A3" w:rsidRPr="003371A3">
              <w:rPr>
                <w:b/>
                <w:bCs/>
              </w:rPr>
              <w:t>.</w:t>
            </w:r>
            <w:r w:rsidR="003371A3" w:rsidRPr="003371A3">
              <w:rPr>
                <w:b/>
                <w:bCs/>
              </w:rPr>
              <w:fldChar w:fldCharType="begin"/>
            </w:r>
            <w:r w:rsidR="003371A3" w:rsidRPr="003371A3">
              <w:rPr>
                <w:b/>
                <w:bCs/>
              </w:rPr>
              <w:instrText xml:space="preserve"> SEQ Figure_A.2. \* ARABIC </w:instrText>
            </w:r>
            <w:r w:rsidR="003371A3" w:rsidRPr="003371A3">
              <w:rPr>
                <w:b/>
                <w:bCs/>
              </w:rPr>
              <w:fldChar w:fldCharType="separate"/>
            </w:r>
            <w:r w:rsidR="00071DD1">
              <w:rPr>
                <w:b/>
                <w:bCs/>
                <w:noProof/>
              </w:rPr>
              <w:t>2</w:t>
            </w:r>
            <w:r w:rsidR="003371A3" w:rsidRPr="003371A3">
              <w:rPr>
                <w:b/>
                <w:bCs/>
              </w:rPr>
              <w:fldChar w:fldCharType="end"/>
            </w:r>
            <w:bookmarkEnd w:id="410"/>
            <w:r w:rsidRPr="000E7D0E">
              <w:rPr>
                <w:b/>
                <w:bCs/>
              </w:rPr>
              <w:t xml:space="preserve"> Thailand’s export growth </w:t>
            </w:r>
            <w:proofErr w:type="gramStart"/>
            <w:r w:rsidRPr="000E7D0E">
              <w:rPr>
                <w:b/>
                <w:bCs/>
              </w:rPr>
              <w:t>lagged behind</w:t>
            </w:r>
            <w:proofErr w:type="gramEnd"/>
            <w:r w:rsidRPr="000E7D0E">
              <w:rPr>
                <w:b/>
                <w:bCs/>
              </w:rPr>
              <w:t xml:space="preserve"> the Asian peers and aspirational peers</w:t>
            </w:r>
          </w:p>
        </w:tc>
      </w:tr>
      <w:tr w:rsidR="008450DD" w:rsidRPr="00B67989" w14:paraId="0C0CD13A" w14:textId="77777777">
        <w:trPr>
          <w:trHeight w:val="165"/>
        </w:trPr>
        <w:tc>
          <w:tcPr>
            <w:tcW w:w="4450" w:type="dxa"/>
            <w:tcMar>
              <w:left w:w="108" w:type="dxa"/>
              <w:right w:w="108" w:type="dxa"/>
            </w:tcMar>
          </w:tcPr>
          <w:p w14:paraId="7D7EFF15" w14:textId="77777777" w:rsidR="008450DD" w:rsidRPr="00B67989" w:rsidRDefault="008450DD" w:rsidP="005E7CB8">
            <w:pPr>
              <w:pStyle w:val="figuredescription"/>
            </w:pPr>
            <w:r w:rsidRPr="00B67989">
              <w:t>(Value of exports, index 2016=100)</w:t>
            </w:r>
          </w:p>
        </w:tc>
      </w:tr>
      <w:tr w:rsidR="008450DD" w:rsidRPr="00B67989" w14:paraId="7ADFB0BC" w14:textId="77777777">
        <w:trPr>
          <w:trHeight w:val="3360"/>
        </w:trPr>
        <w:tc>
          <w:tcPr>
            <w:tcW w:w="4450" w:type="dxa"/>
            <w:tcMar>
              <w:left w:w="108" w:type="dxa"/>
              <w:right w:w="108" w:type="dxa"/>
            </w:tcMar>
            <w:vAlign w:val="center"/>
          </w:tcPr>
          <w:p w14:paraId="62C356A4" w14:textId="77777777" w:rsidR="008450DD" w:rsidRPr="00B67989" w:rsidRDefault="008450DD">
            <w:pPr>
              <w:rPr>
                <w:rFonts w:asciiTheme="majorHAnsi" w:hAnsiTheme="majorHAnsi" w:cstheme="majorHAnsi"/>
              </w:rPr>
            </w:pPr>
            <w:r w:rsidRPr="00B67989">
              <w:rPr>
                <w:rFonts w:asciiTheme="majorHAnsi" w:hAnsiTheme="majorHAnsi" w:cstheme="majorHAnsi"/>
                <w:noProof/>
                <w:lang w:val="en-GB" w:eastAsia="en-GB"/>
              </w:rPr>
              <w:drawing>
                <wp:inline distT="0" distB="0" distL="0" distR="0" wp14:anchorId="6EF5F1F3" wp14:editId="6C4FE9B1">
                  <wp:extent cx="2785488" cy="20116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078033"/>
                          <pic:cNvPicPr/>
                        </pic:nvPicPr>
                        <pic:blipFill>
                          <a:blip r:embed="rId17">
                            <a:extLst>
                              <a:ext uri="{28A0092B-C50C-407E-A947-70E740481C1C}">
                                <a14:useLocalDpi xmlns:a14="http://schemas.microsoft.com/office/drawing/2010/main" val="0"/>
                              </a:ext>
                            </a:extLst>
                          </a:blip>
                          <a:stretch>
                            <a:fillRect/>
                          </a:stretch>
                        </pic:blipFill>
                        <pic:spPr>
                          <a:xfrm>
                            <a:off x="0" y="0"/>
                            <a:ext cx="2785488" cy="2011680"/>
                          </a:xfrm>
                          <a:prstGeom prst="rect">
                            <a:avLst/>
                          </a:prstGeom>
                        </pic:spPr>
                      </pic:pic>
                    </a:graphicData>
                  </a:graphic>
                </wp:inline>
              </w:drawing>
            </w:r>
          </w:p>
        </w:tc>
      </w:tr>
      <w:tr w:rsidR="008450DD" w:rsidRPr="00B67989" w14:paraId="025C8134" w14:textId="77777777">
        <w:trPr>
          <w:trHeight w:val="165"/>
        </w:trPr>
        <w:tc>
          <w:tcPr>
            <w:tcW w:w="4450" w:type="dxa"/>
            <w:tcMar>
              <w:left w:w="108" w:type="dxa"/>
              <w:right w:w="108" w:type="dxa"/>
            </w:tcMar>
          </w:tcPr>
          <w:p w14:paraId="728C105C" w14:textId="77777777" w:rsidR="008450DD" w:rsidRPr="009B4591" w:rsidRDefault="008450DD">
            <w:pPr>
              <w:rPr>
                <w:rFonts w:asciiTheme="majorHAnsi" w:hAnsiTheme="majorHAnsi" w:cstheme="majorHAnsi"/>
                <w:bCs/>
              </w:rPr>
            </w:pPr>
            <w:r w:rsidRPr="009B4591">
              <w:rPr>
                <w:rFonts w:asciiTheme="majorHAnsi" w:hAnsiTheme="majorHAnsi" w:cstheme="majorHAnsi"/>
                <w:bCs/>
                <w:i/>
                <w:sz w:val="18"/>
                <w:szCs w:val="18"/>
              </w:rPr>
              <w:t>Source:</w:t>
            </w:r>
            <w:r w:rsidRPr="009B4591">
              <w:rPr>
                <w:rFonts w:asciiTheme="majorHAnsi" w:hAnsiTheme="majorHAnsi" w:cstheme="majorHAnsi"/>
                <w:bCs/>
                <w:sz w:val="18"/>
                <w:szCs w:val="18"/>
              </w:rPr>
              <w:t xml:space="preserve"> WB analysis, data: CEIC.</w:t>
            </w:r>
          </w:p>
        </w:tc>
      </w:tr>
    </w:tbl>
    <w:p w14:paraId="31D54B08" w14:textId="0261D155" w:rsidR="008450DD" w:rsidRPr="00E9090B" w:rsidRDefault="008450DD" w:rsidP="008450DD">
      <w:pPr>
        <w:pStyle w:val="Default"/>
        <w:jc w:val="both"/>
        <w:rPr>
          <w:rFonts w:asciiTheme="majorHAnsi" w:eastAsia="Calibri" w:hAnsiTheme="majorHAnsi" w:cstheme="majorHAnsi"/>
          <w:color w:val="auto"/>
          <w:sz w:val="22"/>
          <w:szCs w:val="22"/>
        </w:rPr>
      </w:pPr>
      <w:r w:rsidRPr="00B67989">
        <w:rPr>
          <w:rFonts w:asciiTheme="majorHAnsi" w:eastAsia="Times New Roman" w:hAnsiTheme="majorHAnsi" w:cstheme="majorHAnsi"/>
          <w:b/>
          <w:bCs/>
          <w:color w:val="auto"/>
          <w:sz w:val="22"/>
          <w:szCs w:val="22"/>
        </w:rPr>
        <w:t xml:space="preserve">Progress </w:t>
      </w:r>
      <w:r>
        <w:rPr>
          <w:rFonts w:asciiTheme="majorHAnsi" w:eastAsia="Times New Roman" w:hAnsiTheme="majorHAnsi" w:cstheme="majorHAnsi"/>
          <w:b/>
          <w:bCs/>
          <w:color w:val="auto"/>
          <w:sz w:val="22"/>
          <w:szCs w:val="22"/>
        </w:rPr>
        <w:t>s</w:t>
      </w:r>
      <w:r w:rsidRPr="00B67989">
        <w:rPr>
          <w:rFonts w:asciiTheme="majorHAnsi" w:eastAsia="Times New Roman" w:hAnsiTheme="majorHAnsi" w:cstheme="majorHAnsi"/>
          <w:b/>
          <w:bCs/>
          <w:color w:val="auto"/>
          <w:sz w:val="22"/>
          <w:szCs w:val="22"/>
        </w:rPr>
        <w:t xml:space="preserve">ince 2016: </w:t>
      </w:r>
      <w:r w:rsidRPr="00B67989">
        <w:rPr>
          <w:rFonts w:asciiTheme="majorHAnsi" w:eastAsia="Times New Roman" w:hAnsiTheme="majorHAnsi" w:cstheme="majorHAnsi"/>
          <w:b/>
          <w:color w:val="auto"/>
          <w:sz w:val="22"/>
          <w:szCs w:val="22"/>
        </w:rPr>
        <w:t xml:space="preserve">Thailand did not reap the </w:t>
      </w:r>
      <w:r w:rsidRPr="00B67989">
        <w:rPr>
          <w:rFonts w:asciiTheme="majorHAnsi" w:hAnsiTheme="majorHAnsi" w:cstheme="majorHAnsi"/>
          <w:b/>
          <w:sz w:val="22"/>
          <w:szCs w:val="22"/>
        </w:rPr>
        <w:t>full</w:t>
      </w:r>
      <w:r w:rsidRPr="00B67989">
        <w:rPr>
          <w:rFonts w:asciiTheme="majorHAnsi" w:eastAsia="Times New Roman" w:hAnsiTheme="majorHAnsi" w:cstheme="majorHAnsi"/>
          <w:b/>
          <w:color w:val="auto"/>
          <w:sz w:val="22"/>
          <w:szCs w:val="22"/>
        </w:rPr>
        <w:t xml:space="preserve"> benefits of the recent boom in technology</w:t>
      </w:r>
      <w:r w:rsidRPr="00B67989">
        <w:rPr>
          <w:rFonts w:asciiTheme="majorHAnsi" w:eastAsia="Times New Roman" w:hAnsiTheme="majorHAnsi" w:cstheme="majorHAnsi"/>
          <w:b/>
          <w:bCs/>
          <w:color w:val="auto"/>
          <w:sz w:val="22"/>
          <w:szCs w:val="22"/>
        </w:rPr>
        <w:t>-</w:t>
      </w:r>
      <w:r w:rsidRPr="00B67989">
        <w:rPr>
          <w:rFonts w:asciiTheme="majorHAnsi" w:eastAsia="Times New Roman" w:hAnsiTheme="majorHAnsi" w:cstheme="majorHAnsi"/>
          <w:b/>
          <w:color w:val="auto"/>
          <w:sz w:val="22"/>
          <w:szCs w:val="22"/>
        </w:rPr>
        <w:t>intensive electronics and telecommunication in Asia.</w:t>
      </w:r>
      <w:r w:rsidRPr="00B67989">
        <w:rPr>
          <w:rFonts w:asciiTheme="majorHAnsi" w:eastAsia="Times New Roman" w:hAnsiTheme="majorHAnsi" w:cstheme="majorHAnsi"/>
          <w:color w:val="auto"/>
          <w:sz w:val="22"/>
          <w:szCs w:val="22"/>
        </w:rPr>
        <w:t xml:space="preserve"> Over the past </w:t>
      </w:r>
      <w:r w:rsidR="006B778A">
        <w:rPr>
          <w:rFonts w:asciiTheme="majorHAnsi" w:eastAsia="Times New Roman" w:hAnsiTheme="majorHAnsi" w:cstheme="majorHAnsi"/>
          <w:color w:val="auto"/>
          <w:sz w:val="22"/>
          <w:szCs w:val="22"/>
        </w:rPr>
        <w:t>two</w:t>
      </w:r>
      <w:r w:rsidR="006B778A" w:rsidRPr="00B67989">
        <w:rPr>
          <w:rFonts w:asciiTheme="majorHAnsi" w:eastAsia="Times New Roman" w:hAnsiTheme="majorHAnsi" w:cstheme="majorHAnsi"/>
          <w:color w:val="auto"/>
          <w:sz w:val="22"/>
          <w:szCs w:val="22"/>
        </w:rPr>
        <w:t xml:space="preserve"> </w:t>
      </w:r>
      <w:r w:rsidRPr="00B67989">
        <w:rPr>
          <w:rFonts w:asciiTheme="majorHAnsi" w:eastAsia="Times New Roman" w:hAnsiTheme="majorHAnsi" w:cstheme="majorHAnsi"/>
          <w:color w:val="auto"/>
          <w:sz w:val="22"/>
          <w:szCs w:val="22"/>
        </w:rPr>
        <w:t xml:space="preserve">decades, global exports expanded substantially, with export growth from developing Asia as part of the driving force. The global trade </w:t>
      </w:r>
      <w:r w:rsidRPr="00E9090B">
        <w:rPr>
          <w:rFonts w:asciiTheme="majorHAnsi" w:eastAsia="Times New Roman" w:hAnsiTheme="majorHAnsi" w:cstheme="majorHAnsi"/>
          <w:color w:val="auto"/>
          <w:sz w:val="22"/>
          <w:szCs w:val="22"/>
        </w:rPr>
        <w:t xml:space="preserve">volume expanded 3.2 percent on annual average, outpacing the global output growth of 2.8 percent. Strong </w:t>
      </w:r>
      <w:r w:rsidR="006B778A">
        <w:rPr>
          <w:rFonts w:asciiTheme="majorHAnsi" w:eastAsia="Times New Roman" w:hAnsiTheme="majorHAnsi" w:cstheme="majorHAnsi"/>
          <w:color w:val="auto"/>
          <w:sz w:val="22"/>
          <w:szCs w:val="22"/>
        </w:rPr>
        <w:t>e</w:t>
      </w:r>
      <w:r w:rsidRPr="00E9090B">
        <w:rPr>
          <w:rFonts w:asciiTheme="majorHAnsi" w:eastAsia="Times New Roman" w:hAnsiTheme="majorHAnsi" w:cstheme="majorHAnsi"/>
          <w:color w:val="auto"/>
          <w:sz w:val="22"/>
          <w:szCs w:val="22"/>
        </w:rPr>
        <w:t xml:space="preserve">xports in developing Asia have been benefitted from a substantial liberalization of foreign trade, global production networks and supply chains. However, the </w:t>
      </w:r>
      <w:r w:rsidR="006B778A" w:rsidRPr="00E9090B">
        <w:rPr>
          <w:rFonts w:asciiTheme="majorHAnsi" w:eastAsia="Times New Roman" w:hAnsiTheme="majorHAnsi" w:cstheme="majorHAnsi"/>
          <w:color w:val="auto"/>
          <w:sz w:val="22"/>
          <w:szCs w:val="22"/>
        </w:rPr>
        <w:t>ris</w:t>
      </w:r>
      <w:r w:rsidR="006B778A">
        <w:rPr>
          <w:rFonts w:asciiTheme="majorHAnsi" w:eastAsia="Times New Roman" w:hAnsiTheme="majorHAnsi" w:cstheme="majorHAnsi"/>
          <w:color w:val="auto"/>
          <w:sz w:val="22"/>
          <w:szCs w:val="22"/>
        </w:rPr>
        <w:t>e</w:t>
      </w:r>
      <w:r w:rsidR="006B778A" w:rsidRPr="00E9090B">
        <w:rPr>
          <w:rFonts w:asciiTheme="majorHAnsi" w:eastAsia="Times New Roman" w:hAnsiTheme="majorHAnsi" w:cstheme="majorHAnsi"/>
          <w:color w:val="auto"/>
          <w:sz w:val="22"/>
          <w:szCs w:val="22"/>
        </w:rPr>
        <w:t xml:space="preserve"> </w:t>
      </w:r>
      <w:r w:rsidRPr="00E9090B">
        <w:rPr>
          <w:rFonts w:asciiTheme="majorHAnsi" w:eastAsia="Times New Roman" w:hAnsiTheme="majorHAnsi" w:cstheme="majorHAnsi"/>
          <w:color w:val="auto"/>
          <w:sz w:val="22"/>
          <w:szCs w:val="22"/>
        </w:rPr>
        <w:t>of digital technologies and digital-enabled solutions used globally, which was also accelerated by the pandemic</w:t>
      </w:r>
      <w:r w:rsidR="006B778A">
        <w:rPr>
          <w:rFonts w:asciiTheme="majorHAnsi" w:eastAsia="Times New Roman" w:hAnsiTheme="majorHAnsi" w:cstheme="majorHAnsi"/>
          <w:color w:val="auto"/>
          <w:sz w:val="22"/>
          <w:szCs w:val="22"/>
        </w:rPr>
        <w:t>,</w:t>
      </w:r>
      <w:r w:rsidRPr="00E9090B">
        <w:rPr>
          <w:rFonts w:asciiTheme="majorHAnsi" w:eastAsia="Times New Roman" w:hAnsiTheme="majorHAnsi" w:cstheme="majorHAnsi"/>
          <w:color w:val="auto"/>
          <w:sz w:val="22"/>
          <w:szCs w:val="22"/>
        </w:rPr>
        <w:t xml:space="preserve"> has caused the trade patterns in the Asian countries to diverge </w:t>
      </w:r>
      <w:r w:rsidRPr="00076F04">
        <w:rPr>
          <w:rFonts w:asciiTheme="majorHAnsi" w:eastAsia="Times New Roman" w:hAnsiTheme="majorHAnsi" w:cstheme="majorHAnsi"/>
          <w:color w:val="auto"/>
          <w:sz w:val="22"/>
          <w:szCs w:val="22"/>
        </w:rPr>
        <w:t>(</w:t>
      </w:r>
      <w:r w:rsidR="00071DD1" w:rsidRPr="00076F04">
        <w:rPr>
          <w:rFonts w:asciiTheme="majorHAnsi" w:eastAsia="Times New Roman" w:hAnsiTheme="majorHAnsi" w:cstheme="majorHAnsi"/>
          <w:color w:val="auto"/>
          <w:sz w:val="22"/>
          <w:szCs w:val="22"/>
        </w:rPr>
        <w:fldChar w:fldCharType="begin"/>
      </w:r>
      <w:r w:rsidR="00071DD1" w:rsidRPr="00076F04">
        <w:rPr>
          <w:rFonts w:asciiTheme="majorHAnsi" w:eastAsia="Times New Roman" w:hAnsiTheme="majorHAnsi" w:cstheme="majorHAnsi"/>
          <w:color w:val="auto"/>
          <w:sz w:val="22"/>
          <w:szCs w:val="22"/>
        </w:rPr>
        <w:instrText xml:space="preserve"> REF _Ref149775185  \* MERGEFORMAT </w:instrText>
      </w:r>
      <w:r w:rsidR="00071DD1" w:rsidRPr="00076F04">
        <w:rPr>
          <w:rFonts w:asciiTheme="majorHAnsi" w:eastAsia="Times New Roman" w:hAnsiTheme="majorHAnsi" w:cstheme="majorHAnsi"/>
          <w:color w:val="auto"/>
          <w:sz w:val="22"/>
          <w:szCs w:val="22"/>
        </w:rPr>
        <w:fldChar w:fldCharType="separate"/>
      </w:r>
      <w:r w:rsidR="003371A3" w:rsidRPr="00665270">
        <w:rPr>
          <w:rFonts w:asciiTheme="majorHAnsi" w:hAnsiTheme="majorHAnsi" w:cstheme="majorHAnsi"/>
          <w:sz w:val="22"/>
          <w:szCs w:val="22"/>
        </w:rPr>
        <w:t>Figure A.</w:t>
      </w:r>
      <w:r w:rsidR="009B56C0">
        <w:rPr>
          <w:rFonts w:asciiTheme="majorHAnsi" w:hAnsiTheme="majorHAnsi" w:cstheme="majorHAnsi"/>
          <w:sz w:val="22"/>
          <w:szCs w:val="22"/>
        </w:rPr>
        <w:t>1</w:t>
      </w:r>
      <w:r w:rsidR="003371A3" w:rsidRPr="00665270">
        <w:rPr>
          <w:rFonts w:asciiTheme="majorHAnsi" w:hAnsiTheme="majorHAnsi" w:cstheme="majorHAnsi"/>
          <w:sz w:val="22"/>
          <w:szCs w:val="22"/>
        </w:rPr>
        <w:t>.</w:t>
      </w:r>
      <w:r w:rsidR="00071DD1" w:rsidRPr="00665270">
        <w:rPr>
          <w:rFonts w:asciiTheme="majorHAnsi" w:hAnsiTheme="majorHAnsi" w:cstheme="majorHAnsi"/>
          <w:noProof/>
          <w:sz w:val="22"/>
          <w:szCs w:val="22"/>
        </w:rPr>
        <w:t>2</w:t>
      </w:r>
      <w:r w:rsidR="00071DD1" w:rsidRPr="00076F04">
        <w:rPr>
          <w:rFonts w:asciiTheme="majorHAnsi" w:eastAsia="Times New Roman" w:hAnsiTheme="majorHAnsi" w:cstheme="majorHAnsi"/>
          <w:color w:val="auto"/>
          <w:sz w:val="22"/>
          <w:szCs w:val="22"/>
        </w:rPr>
        <w:fldChar w:fldCharType="end"/>
      </w:r>
      <w:r w:rsidRPr="00076F04">
        <w:rPr>
          <w:rFonts w:asciiTheme="majorHAnsi" w:eastAsia="Times New Roman" w:hAnsiTheme="majorHAnsi" w:cstheme="majorHAnsi"/>
          <w:color w:val="auto"/>
          <w:sz w:val="22"/>
          <w:szCs w:val="22"/>
        </w:rPr>
        <w:t>).</w:t>
      </w:r>
      <w:r w:rsidRPr="00E9090B">
        <w:rPr>
          <w:rFonts w:asciiTheme="majorHAnsi" w:eastAsia="Times New Roman" w:hAnsiTheme="majorHAnsi" w:cstheme="majorHAnsi"/>
          <w:color w:val="auto"/>
          <w:sz w:val="22"/>
          <w:szCs w:val="22"/>
        </w:rPr>
        <w:t xml:space="preserve"> Exports from Thailand </w:t>
      </w:r>
      <w:r w:rsidR="005F30C4" w:rsidRPr="00E9090B">
        <w:rPr>
          <w:rFonts w:asciiTheme="majorHAnsi" w:eastAsia="Times New Roman" w:hAnsiTheme="majorHAnsi" w:cstheme="majorHAnsi"/>
          <w:color w:val="auto"/>
          <w:sz w:val="22"/>
          <w:szCs w:val="22"/>
        </w:rPr>
        <w:t>lagged</w:t>
      </w:r>
      <w:r w:rsidRPr="00E9090B">
        <w:rPr>
          <w:rFonts w:asciiTheme="majorHAnsi" w:eastAsia="Times New Roman" w:hAnsiTheme="majorHAnsi" w:cstheme="majorHAnsi"/>
          <w:color w:val="auto"/>
          <w:sz w:val="22"/>
          <w:szCs w:val="22"/>
        </w:rPr>
        <w:t xml:space="preserve"> the Asian peers and aspirational peers, as the country did not reap the full benefits of the recent technology-intensive manufacturing exports boom, clustered in the electronics, telecommunication, pharmaceutical, and medical devices sector. Analysis of high-tech intensity in manufacturing exports shows that Thailand lags peers</w:t>
      </w:r>
      <w:r w:rsidR="006B778A">
        <w:rPr>
          <w:rFonts w:asciiTheme="majorHAnsi" w:eastAsia="Times New Roman" w:hAnsiTheme="majorHAnsi" w:cstheme="majorHAnsi"/>
          <w:color w:val="auto"/>
          <w:sz w:val="22"/>
          <w:szCs w:val="22"/>
        </w:rPr>
        <w:t>—</w:t>
      </w:r>
      <w:r w:rsidRPr="00E9090B">
        <w:rPr>
          <w:rFonts w:asciiTheme="majorHAnsi" w:eastAsia="Times New Roman" w:hAnsiTheme="majorHAnsi" w:cstheme="majorHAnsi"/>
          <w:color w:val="auto"/>
          <w:sz w:val="22"/>
          <w:szCs w:val="22"/>
        </w:rPr>
        <w:t>with untapped potential of US$ 12.5 billion or 2.5 percent of GDP. Thailand’s investment strategy can help close this gap by raising R&amp;D in firms and receipts from intellectual property (IP). This would raise technology-intensive production to strengthen competitiveness while also allowing greater spillover benefits to other activities within the value chain.</w:t>
      </w:r>
    </w:p>
    <w:p w14:paraId="5EAC5304" w14:textId="33EE63E6" w:rsidR="008450DD" w:rsidRPr="00E9090B" w:rsidRDefault="008450DD" w:rsidP="008450DD">
      <w:pPr>
        <w:pStyle w:val="Default"/>
        <w:spacing w:before="240" w:after="240"/>
        <w:jc w:val="both"/>
        <w:rPr>
          <w:rFonts w:asciiTheme="majorHAnsi" w:hAnsiTheme="majorHAnsi" w:cstheme="majorHAnsi"/>
          <w:sz w:val="22"/>
          <w:szCs w:val="22"/>
        </w:rPr>
      </w:pPr>
      <w:r w:rsidRPr="00E9090B">
        <w:rPr>
          <w:rFonts w:asciiTheme="majorHAnsi" w:hAnsiTheme="majorHAnsi" w:cstheme="majorBidi"/>
          <w:b/>
          <w:sz w:val="22"/>
          <w:szCs w:val="22"/>
        </w:rPr>
        <w:t xml:space="preserve">An analysis of Thailand’s firm census data yields three main findings: </w:t>
      </w:r>
      <w:r w:rsidR="00877756">
        <w:rPr>
          <w:rFonts w:asciiTheme="majorHAnsi" w:hAnsiTheme="majorHAnsi" w:cstheme="majorBidi"/>
          <w:b/>
          <w:sz w:val="22"/>
          <w:szCs w:val="22"/>
        </w:rPr>
        <w:t>f</w:t>
      </w:r>
      <w:r w:rsidRPr="00E9090B">
        <w:rPr>
          <w:rFonts w:asciiTheme="majorHAnsi" w:hAnsiTheme="majorHAnsi" w:cstheme="majorBidi"/>
          <w:b/>
          <w:sz w:val="22"/>
          <w:szCs w:val="22"/>
        </w:rPr>
        <w:t>irst, competition and market churning are weak in domestically oriented industries</w:t>
      </w:r>
      <w:r w:rsidR="00877756">
        <w:rPr>
          <w:rFonts w:asciiTheme="majorHAnsi" w:hAnsiTheme="majorHAnsi" w:cstheme="majorBidi"/>
          <w:b/>
          <w:sz w:val="22"/>
          <w:szCs w:val="22"/>
        </w:rPr>
        <w:t>;</w:t>
      </w:r>
      <w:r w:rsidRPr="00E9090B">
        <w:rPr>
          <w:rFonts w:asciiTheme="majorHAnsi" w:hAnsiTheme="majorHAnsi" w:cstheme="majorBidi"/>
          <w:b/>
          <w:sz w:val="22"/>
          <w:szCs w:val="22"/>
        </w:rPr>
        <w:t xml:space="preserve"> </w:t>
      </w:r>
      <w:r w:rsidR="00877756">
        <w:rPr>
          <w:rFonts w:asciiTheme="majorHAnsi" w:hAnsiTheme="majorHAnsi" w:cstheme="majorBidi"/>
          <w:b/>
          <w:sz w:val="22"/>
          <w:szCs w:val="22"/>
        </w:rPr>
        <w:t>s</w:t>
      </w:r>
      <w:r w:rsidRPr="00E9090B">
        <w:rPr>
          <w:rFonts w:asciiTheme="majorHAnsi" w:hAnsiTheme="majorHAnsi" w:cstheme="majorBidi"/>
          <w:b/>
          <w:sz w:val="22"/>
          <w:szCs w:val="22"/>
        </w:rPr>
        <w:t>econd, firms that are integrated with the global economy are more productive</w:t>
      </w:r>
      <w:r w:rsidR="00877756">
        <w:rPr>
          <w:rFonts w:asciiTheme="majorHAnsi" w:hAnsiTheme="majorHAnsi" w:cstheme="majorBidi"/>
          <w:b/>
          <w:sz w:val="22"/>
          <w:szCs w:val="22"/>
        </w:rPr>
        <w:t>;</w:t>
      </w:r>
      <w:r w:rsidRPr="00E9090B">
        <w:rPr>
          <w:rFonts w:asciiTheme="majorHAnsi" w:hAnsiTheme="majorHAnsi" w:cstheme="majorBidi"/>
          <w:b/>
          <w:sz w:val="22"/>
          <w:szCs w:val="22"/>
        </w:rPr>
        <w:t xml:space="preserve"> </w:t>
      </w:r>
      <w:r w:rsidR="00877756">
        <w:rPr>
          <w:rFonts w:asciiTheme="majorHAnsi" w:hAnsiTheme="majorHAnsi" w:cstheme="majorBidi"/>
          <w:b/>
          <w:sz w:val="22"/>
          <w:szCs w:val="22"/>
        </w:rPr>
        <w:t>t</w:t>
      </w:r>
      <w:r w:rsidRPr="00E9090B">
        <w:rPr>
          <w:rFonts w:asciiTheme="majorHAnsi" w:hAnsiTheme="majorHAnsi" w:cstheme="majorBidi"/>
          <w:b/>
          <w:sz w:val="22"/>
          <w:szCs w:val="22"/>
        </w:rPr>
        <w:t>hird</w:t>
      </w:r>
      <w:r w:rsidR="00877756">
        <w:rPr>
          <w:rFonts w:asciiTheme="majorHAnsi" w:hAnsiTheme="majorHAnsi" w:cstheme="majorBidi"/>
          <w:b/>
          <w:sz w:val="22"/>
          <w:szCs w:val="22"/>
        </w:rPr>
        <w:t>,</w:t>
      </w:r>
      <w:r w:rsidRPr="00E9090B">
        <w:rPr>
          <w:rFonts w:asciiTheme="majorHAnsi" w:hAnsiTheme="majorHAnsi" w:cstheme="majorBidi"/>
          <w:b/>
          <w:sz w:val="22"/>
          <w:szCs w:val="22"/>
        </w:rPr>
        <w:t xml:space="preserve"> </w:t>
      </w:r>
      <w:r w:rsidR="00877756">
        <w:rPr>
          <w:rFonts w:asciiTheme="majorHAnsi" w:hAnsiTheme="majorHAnsi" w:cstheme="majorBidi"/>
          <w:b/>
          <w:sz w:val="22"/>
          <w:szCs w:val="22"/>
        </w:rPr>
        <w:t>s</w:t>
      </w:r>
      <w:r w:rsidRPr="00E9090B">
        <w:rPr>
          <w:rFonts w:asciiTheme="majorHAnsi" w:hAnsiTheme="majorHAnsi" w:cstheme="majorBidi"/>
          <w:b/>
          <w:sz w:val="22"/>
          <w:szCs w:val="22"/>
        </w:rPr>
        <w:t xml:space="preserve">killed labor complements R&amp;D investments </w:t>
      </w:r>
      <w:r w:rsidRPr="00E9090B">
        <w:rPr>
          <w:rFonts w:asciiTheme="majorHAnsi" w:hAnsiTheme="majorHAnsi" w:cstheme="majorBidi"/>
          <w:sz w:val="22"/>
          <w:szCs w:val="22"/>
        </w:rPr>
        <w:t>(World Bank, 2022). Manufacturing firms became less productive in Thailand between 2006 and 2011, with firm-level TFP falling by an average of 10 percent. This coincided with a period of the post-GFC stabilization and recovery, and of elevated political uncertainty in Thailand. Average firm productivity declined sharply for domestically oriented industries including transport equipment, leather, furniture, and machinery and equipment. Some key export-oriented industries</w:t>
      </w:r>
      <w:r w:rsidRPr="00E9090B">
        <w:rPr>
          <w:rFonts w:asciiTheme="majorHAnsi" w:hAnsiTheme="majorHAnsi" w:cstheme="majorBidi"/>
          <w:sz w:val="22"/>
          <w:szCs w:val="22"/>
          <w:vertAlign w:val="superscript"/>
        </w:rPr>
        <w:t>,</w:t>
      </w:r>
      <w:r w:rsidRPr="00E9090B">
        <w:rPr>
          <w:rFonts w:asciiTheme="majorHAnsi" w:hAnsiTheme="majorHAnsi" w:cstheme="majorBidi"/>
          <w:sz w:val="22"/>
          <w:szCs w:val="22"/>
        </w:rPr>
        <w:t xml:space="preserve"> such as textiles and apparel and motor vehicles also registered a marginal decline in firm productivity. Firms in key export-oriented industries such as computer parts, rubber and plastics, and electrical equipment became marginally more productive. Manufacturing firms in export-oriented industries drove a pick-up in productivity from 2011 to 2016, despite the worst flooding in several decades that affected several manufacturing areas in Thailand in 2011, with firm TFP increasing by an average of 20 percent. Average firm productivity increased for key export-oriented industries including refined petroleum, apparel, computer parts and motor vehicles. Average productivity declines were concentrated in domestically oriented industries such as tobacco, wood, recycling, and other transport equipment.</w:t>
      </w:r>
    </w:p>
    <w:p w14:paraId="13F99A85" w14:textId="274E5736" w:rsidR="008450DD" w:rsidRPr="00E9090B" w:rsidRDefault="008450DD" w:rsidP="008450DD">
      <w:pPr>
        <w:pStyle w:val="Default"/>
        <w:spacing w:before="240" w:after="240"/>
        <w:jc w:val="both"/>
        <w:rPr>
          <w:rFonts w:asciiTheme="majorHAnsi" w:hAnsiTheme="majorHAnsi" w:cstheme="majorHAnsi"/>
          <w:sz w:val="22"/>
          <w:szCs w:val="22"/>
        </w:rPr>
      </w:pPr>
      <w:r w:rsidRPr="00E9090B">
        <w:rPr>
          <w:rFonts w:asciiTheme="majorHAnsi" w:hAnsiTheme="majorHAnsi" w:cstheme="majorHAnsi"/>
          <w:b/>
          <w:sz w:val="22"/>
          <w:szCs w:val="22"/>
        </w:rPr>
        <w:t xml:space="preserve">Thailand’s service sector share has not grown, is dominated by lower-productivity activities employing lower-skilled workers, and boasts a low share of services exports, which tend to be in </w:t>
      </w:r>
      <w:r w:rsidR="006B778A">
        <w:rPr>
          <w:rFonts w:asciiTheme="majorHAnsi" w:hAnsiTheme="majorHAnsi" w:cstheme="majorHAnsi"/>
          <w:b/>
          <w:sz w:val="22"/>
          <w:szCs w:val="22"/>
        </w:rPr>
        <w:t>‘</w:t>
      </w:r>
      <w:r w:rsidRPr="00E9090B">
        <w:rPr>
          <w:rFonts w:asciiTheme="majorHAnsi" w:hAnsiTheme="majorHAnsi" w:cstheme="majorHAnsi"/>
          <w:b/>
          <w:sz w:val="22"/>
          <w:szCs w:val="22"/>
        </w:rPr>
        <w:t>traditional</w:t>
      </w:r>
      <w:r w:rsidR="006B778A">
        <w:rPr>
          <w:rFonts w:asciiTheme="majorHAnsi" w:hAnsiTheme="majorHAnsi" w:cstheme="majorHAnsi"/>
          <w:b/>
          <w:sz w:val="22"/>
          <w:szCs w:val="22"/>
        </w:rPr>
        <w:t>’</w:t>
      </w:r>
      <w:r w:rsidRPr="00E9090B">
        <w:rPr>
          <w:rFonts w:asciiTheme="majorHAnsi" w:hAnsiTheme="majorHAnsi" w:cstheme="majorHAnsi"/>
          <w:b/>
          <w:sz w:val="22"/>
          <w:szCs w:val="22"/>
        </w:rPr>
        <w:t xml:space="preserve"> sectors. </w:t>
      </w:r>
      <w:r w:rsidRPr="00E9090B">
        <w:rPr>
          <w:rFonts w:asciiTheme="majorHAnsi" w:hAnsiTheme="majorHAnsi" w:cstheme="majorHAnsi"/>
          <w:sz w:val="22"/>
          <w:szCs w:val="22"/>
        </w:rPr>
        <w:t xml:space="preserve">Services are becoming increasingly important to productivity growth due to their complementarity with manufacturing, criticality in the global value chain, and rising tradability given technological advances. The increasing use of services in manufacturing is shown in the growth of the share of services value added in manufacturing exports from 2008 to 2018 across APEC economies. Exceptions include Thailand and Malaysia, which saw a decline in service intensity. Indeed, Thailand’s services intensity of manufacturing </w:t>
      </w:r>
      <w:r w:rsidRPr="00E9090B">
        <w:rPr>
          <w:rFonts w:asciiTheme="majorHAnsi" w:hAnsiTheme="majorHAnsi" w:cstheme="majorHAnsi"/>
          <w:sz w:val="22"/>
          <w:szCs w:val="22"/>
        </w:rPr>
        <w:lastRenderedPageBreak/>
        <w:t>exports declined slightly from 2008 to 2018 in contrast to peers and advanced economies, Thailand’s GVC-intensive sectors (e.g., computer, electronic and electrical equipment, motor vehicles, and other transport equipment) rely more strongly on services from abroad compared to domestic services, suggest lack of domestic capacity. These sectors face higher services trade restrictiveness and are also not able to augment domestic services by importing foreign skilled professionals World Bank (2020).</w:t>
      </w:r>
    </w:p>
    <w:p w14:paraId="69A9A087" w14:textId="293A564F" w:rsidR="008450DD" w:rsidRPr="00E9090B" w:rsidRDefault="008450DD" w:rsidP="008450DD">
      <w:pPr>
        <w:pStyle w:val="Default"/>
        <w:spacing w:before="240" w:after="240"/>
        <w:jc w:val="both"/>
        <w:rPr>
          <w:rFonts w:asciiTheme="majorHAnsi" w:hAnsiTheme="majorHAnsi" w:cstheme="majorHAnsi"/>
          <w:b/>
          <w:sz w:val="22"/>
          <w:szCs w:val="22"/>
        </w:rPr>
      </w:pPr>
      <w:r w:rsidRPr="00E9090B">
        <w:rPr>
          <w:rFonts w:asciiTheme="majorHAnsi" w:hAnsiTheme="majorHAnsi" w:cstheme="majorHAnsi"/>
          <w:b/>
          <w:sz w:val="22"/>
          <w:szCs w:val="22"/>
        </w:rPr>
        <w:t>Updated formulation of constraint: Difficulties in</w:t>
      </w:r>
      <w:r w:rsidRPr="00E9090B">
        <w:rPr>
          <w:rFonts w:asciiTheme="majorHAnsi" w:eastAsiaTheme="minorEastAsia" w:hAnsiTheme="majorHAnsi" w:cstheme="majorHAnsi"/>
          <w:b/>
          <w:color w:val="000000" w:themeColor="text1"/>
          <w:sz w:val="22"/>
          <w:szCs w:val="22"/>
        </w:rPr>
        <w:t xml:space="preserve"> implementing regulatory reforms</w:t>
      </w:r>
      <w:r w:rsidRPr="00E9090B">
        <w:rPr>
          <w:rFonts w:asciiTheme="majorHAnsi" w:eastAsiaTheme="minorEastAsia" w:hAnsiTheme="majorHAnsi" w:cstheme="majorHAnsi"/>
          <w:b/>
          <w:bCs/>
          <w:color w:val="000000" w:themeColor="text1"/>
          <w:sz w:val="22"/>
          <w:szCs w:val="22"/>
        </w:rPr>
        <w:t>;</w:t>
      </w:r>
      <w:r w:rsidRPr="00E9090B">
        <w:rPr>
          <w:rFonts w:asciiTheme="majorHAnsi" w:eastAsiaTheme="minorEastAsia" w:hAnsiTheme="majorHAnsi" w:cstheme="majorHAnsi"/>
          <w:b/>
          <w:color w:val="000000" w:themeColor="text1"/>
          <w:sz w:val="22"/>
          <w:szCs w:val="22"/>
        </w:rPr>
        <w:t xml:space="preserve"> </w:t>
      </w:r>
      <w:r w:rsidR="006B778A">
        <w:rPr>
          <w:rFonts w:asciiTheme="majorHAnsi" w:eastAsiaTheme="minorEastAsia" w:hAnsiTheme="majorHAnsi" w:cstheme="majorHAnsi"/>
          <w:b/>
          <w:color w:val="000000" w:themeColor="text1"/>
          <w:sz w:val="22"/>
          <w:szCs w:val="22"/>
        </w:rPr>
        <w:t>d</w:t>
      </w:r>
      <w:r w:rsidRPr="00E9090B">
        <w:rPr>
          <w:rFonts w:asciiTheme="majorHAnsi" w:eastAsiaTheme="minorEastAsia" w:hAnsiTheme="majorHAnsi" w:cstheme="majorHAnsi"/>
          <w:b/>
          <w:color w:val="000000" w:themeColor="text1"/>
          <w:sz w:val="22"/>
          <w:szCs w:val="22"/>
        </w:rPr>
        <w:t xml:space="preserve">ifficulties in reforming </w:t>
      </w:r>
      <w:r w:rsidRPr="00E9090B">
        <w:rPr>
          <w:rFonts w:asciiTheme="majorHAnsi" w:eastAsiaTheme="minorEastAsia" w:hAnsiTheme="majorHAnsi" w:cstheme="majorHAnsi"/>
          <w:b/>
          <w:bCs/>
          <w:color w:val="000000" w:themeColor="text1"/>
          <w:sz w:val="22"/>
          <w:szCs w:val="22"/>
        </w:rPr>
        <w:t>SOEs</w:t>
      </w:r>
      <w:r w:rsidRPr="00E9090B">
        <w:rPr>
          <w:rFonts w:asciiTheme="majorHAnsi" w:eastAsiaTheme="minorEastAsia" w:hAnsiTheme="majorHAnsi" w:cstheme="majorHAnsi"/>
          <w:b/>
          <w:color w:val="000000" w:themeColor="text1"/>
          <w:sz w:val="22"/>
          <w:szCs w:val="22"/>
        </w:rPr>
        <w:t xml:space="preserve"> to make </w:t>
      </w:r>
      <w:r w:rsidRPr="00E9090B">
        <w:rPr>
          <w:rFonts w:asciiTheme="majorHAnsi" w:eastAsiaTheme="minorEastAsia" w:hAnsiTheme="majorHAnsi" w:cstheme="majorHAnsi"/>
          <w:b/>
          <w:bCs/>
          <w:color w:val="000000" w:themeColor="text1"/>
          <w:sz w:val="22"/>
          <w:szCs w:val="22"/>
        </w:rPr>
        <w:t>them</w:t>
      </w:r>
      <w:r w:rsidRPr="00E9090B">
        <w:rPr>
          <w:rFonts w:asciiTheme="majorHAnsi" w:eastAsiaTheme="minorEastAsia" w:hAnsiTheme="majorHAnsi" w:cstheme="majorHAnsi"/>
          <w:b/>
          <w:color w:val="000000" w:themeColor="text1"/>
          <w:sz w:val="22"/>
          <w:szCs w:val="22"/>
        </w:rPr>
        <w:t xml:space="preserve"> more </w:t>
      </w:r>
      <w:proofErr w:type="gramStart"/>
      <w:r w:rsidRPr="00E9090B">
        <w:rPr>
          <w:rFonts w:asciiTheme="majorHAnsi" w:eastAsiaTheme="minorEastAsia" w:hAnsiTheme="majorHAnsi" w:cstheme="majorHAnsi"/>
          <w:b/>
          <w:color w:val="000000" w:themeColor="text1"/>
          <w:sz w:val="22"/>
          <w:szCs w:val="22"/>
        </w:rPr>
        <w:t>competitive</w:t>
      </w:r>
      <w:proofErr w:type="gramEnd"/>
    </w:p>
    <w:p w14:paraId="2B804E6F" w14:textId="77777777" w:rsidR="008450DD" w:rsidRPr="00E9090B" w:rsidRDefault="008450DD" w:rsidP="00E61E46">
      <w:pPr>
        <w:pStyle w:val="ListParagraph"/>
        <w:numPr>
          <w:ilvl w:val="1"/>
          <w:numId w:val="7"/>
        </w:numPr>
        <w:spacing w:before="240" w:after="240"/>
        <w:jc w:val="both"/>
        <w:rPr>
          <w:rFonts w:asciiTheme="majorHAnsi" w:hAnsiTheme="majorHAnsi" w:cstheme="majorHAnsi"/>
        </w:rPr>
      </w:pPr>
      <w:r w:rsidRPr="00E9090B">
        <w:rPr>
          <w:rFonts w:asciiTheme="majorHAnsi" w:hAnsiTheme="majorHAnsi" w:cstheme="majorHAnsi"/>
          <w:b/>
        </w:rPr>
        <w:t xml:space="preserve"> Increase firm-level competitiveness through greater technology absorption and innovation (high) </w:t>
      </w:r>
    </w:p>
    <w:p w14:paraId="744DC7AC" w14:textId="77777777" w:rsidR="008450DD" w:rsidRPr="00E9090B" w:rsidRDefault="008450DD" w:rsidP="008450DD">
      <w:pPr>
        <w:pStyle w:val="Default"/>
        <w:spacing w:before="240" w:after="240"/>
        <w:jc w:val="both"/>
        <w:rPr>
          <w:rFonts w:asciiTheme="majorHAnsi" w:hAnsiTheme="majorHAnsi" w:cstheme="majorHAnsi"/>
          <w:sz w:val="22"/>
          <w:szCs w:val="22"/>
        </w:rPr>
      </w:pPr>
      <w:r w:rsidRPr="00E9090B">
        <w:rPr>
          <w:rFonts w:asciiTheme="majorHAnsi" w:hAnsiTheme="majorHAnsi" w:cstheme="majorHAnsi"/>
          <w:b/>
          <w:sz w:val="22"/>
          <w:szCs w:val="22"/>
        </w:rPr>
        <w:t>2016 SCD Findings:</w:t>
      </w:r>
      <w:r w:rsidRPr="00E9090B">
        <w:rPr>
          <w:rFonts w:asciiTheme="majorHAnsi" w:hAnsiTheme="majorHAnsi" w:cstheme="majorHAnsi"/>
          <w:sz w:val="22"/>
          <w:szCs w:val="22"/>
        </w:rPr>
        <w:t xml:space="preserve"> </w:t>
      </w:r>
      <w:r w:rsidRPr="00E9090B">
        <w:rPr>
          <w:rFonts w:asciiTheme="majorHAnsi" w:hAnsiTheme="majorHAnsi" w:cstheme="majorHAnsi"/>
          <w:b/>
          <w:sz w:val="22"/>
          <w:szCs w:val="22"/>
        </w:rPr>
        <w:t>To increase firm-level competitiveness in Thailand, there is a need to focus on technology absorption and innovation.</w:t>
      </w:r>
      <w:r w:rsidRPr="00E9090B">
        <w:rPr>
          <w:rFonts w:asciiTheme="majorHAnsi" w:hAnsiTheme="majorHAnsi" w:cstheme="majorHAnsi"/>
          <w:sz w:val="22"/>
          <w:szCs w:val="22"/>
        </w:rPr>
        <w:t xml:space="preserve"> This requires a strengthening of the national innovation system, greater emphasis on developing a skilled workforce, and increased investment in research and development (R&amp;D) capital and institutions. </w:t>
      </w:r>
    </w:p>
    <w:p w14:paraId="66F1F909" w14:textId="77777777" w:rsidR="008450DD" w:rsidRPr="00E9090B" w:rsidRDefault="008450DD" w:rsidP="008450DD">
      <w:pPr>
        <w:pStyle w:val="Default"/>
        <w:jc w:val="both"/>
        <w:rPr>
          <w:rFonts w:asciiTheme="majorHAnsi" w:hAnsiTheme="majorHAnsi" w:cstheme="majorHAnsi"/>
          <w:sz w:val="22"/>
          <w:szCs w:val="22"/>
        </w:rPr>
      </w:pPr>
      <w:r w:rsidRPr="00E9090B">
        <w:rPr>
          <w:rFonts w:asciiTheme="majorHAnsi" w:hAnsiTheme="majorHAnsi" w:cstheme="majorHAnsi"/>
          <w:b/>
          <w:bCs/>
          <w:sz w:val="22"/>
          <w:szCs w:val="22"/>
        </w:rPr>
        <w:t>Thai firms should also build on their competencies in higher-value-adding niche sectors and move from the export of low-value parts and components to higher-value products and services.</w:t>
      </w:r>
      <w:r w:rsidRPr="00E9090B">
        <w:rPr>
          <w:rFonts w:asciiTheme="majorHAnsi" w:hAnsiTheme="majorHAnsi" w:cstheme="majorHAnsi"/>
          <w:sz w:val="22"/>
          <w:szCs w:val="22"/>
        </w:rPr>
        <w:t xml:space="preserve"> This is particularly important for small and medium-sized enterprises (SMEs), which have seen a decrease in their contribution to GDP over the past 12 years and an even wider productivity gap compared to larger firms. According to the Office of SME Promotion (OSMEP)’s Debts and SME Finance Survey 2012, 37.42 percent of small enterprises did not get loans from financial institutions, while all respondents from large and medium enterprises received loans from financial institutions. Lack of collateral is the main reason for the rejection of formal small loan applications. During the COVID-19 pandemic, small enterprises were severely affected (OSMEP 2022). According to the WB’s Enterprise Survey 2016, financial institutions require more than 300 percent collateralization of loaned amount.</w:t>
      </w:r>
    </w:p>
    <w:p w14:paraId="20AD62DA" w14:textId="77777777" w:rsidR="00805D5B" w:rsidRPr="00E9090B" w:rsidRDefault="00805D5B" w:rsidP="008450DD">
      <w:pPr>
        <w:pStyle w:val="Default"/>
        <w:jc w:val="both"/>
        <w:rPr>
          <w:rFonts w:asciiTheme="majorHAnsi" w:hAnsiTheme="majorHAnsi" w:cstheme="majorHAnsi"/>
          <w:sz w:val="22"/>
          <w:szCs w:val="22"/>
        </w:rPr>
      </w:pPr>
    </w:p>
    <w:tbl>
      <w:tblPr>
        <w:tblStyle w:val="TableGrid"/>
        <w:tblpPr w:leftFromText="180" w:rightFromText="180" w:vertAnchor="text" w:horzAnchor="margin" w:tblpY="3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450DD" w:rsidRPr="00E9090B" w14:paraId="6A42D542" w14:textId="77777777">
        <w:tc>
          <w:tcPr>
            <w:tcW w:w="4909" w:type="dxa"/>
          </w:tcPr>
          <w:p w14:paraId="4ACB09C6" w14:textId="7DA85842" w:rsidR="008450DD" w:rsidRPr="004A7E42" w:rsidRDefault="008450DD">
            <w:pPr>
              <w:pStyle w:val="Default"/>
              <w:rPr>
                <w:rFonts w:asciiTheme="majorHAnsi" w:hAnsiTheme="majorHAnsi" w:cstheme="majorHAnsi"/>
                <w:b/>
                <w:bCs/>
              </w:rPr>
            </w:pPr>
            <w:bookmarkStart w:id="411" w:name="_Ref149775226"/>
            <w:r w:rsidRPr="004A7E42">
              <w:rPr>
                <w:rFonts w:asciiTheme="majorHAnsi" w:hAnsiTheme="majorHAnsi" w:cstheme="majorHAnsi"/>
                <w:b/>
                <w:bCs/>
                <w:sz w:val="22"/>
                <w:szCs w:val="22"/>
              </w:rPr>
              <w:t>Figure A.</w:t>
            </w:r>
            <w:r w:rsidR="009B56C0">
              <w:rPr>
                <w:rFonts w:asciiTheme="majorHAnsi" w:hAnsiTheme="majorHAnsi" w:cstheme="majorHAnsi"/>
                <w:b/>
                <w:bCs/>
                <w:sz w:val="22"/>
                <w:szCs w:val="22"/>
              </w:rPr>
              <w:t>1</w:t>
            </w:r>
            <w:r w:rsidR="003371A3" w:rsidRPr="004A7E42">
              <w:rPr>
                <w:rFonts w:asciiTheme="majorHAnsi" w:hAnsiTheme="majorHAnsi" w:cstheme="majorHAnsi"/>
                <w:b/>
                <w:bCs/>
                <w:sz w:val="22"/>
                <w:szCs w:val="22"/>
              </w:rPr>
              <w:t>.</w:t>
            </w:r>
            <w:r w:rsidR="003371A3" w:rsidRPr="004A7E42">
              <w:rPr>
                <w:rFonts w:asciiTheme="majorHAnsi" w:hAnsiTheme="majorHAnsi" w:cstheme="majorHAnsi"/>
                <w:b/>
                <w:bCs/>
                <w:sz w:val="22"/>
                <w:szCs w:val="22"/>
              </w:rPr>
              <w:fldChar w:fldCharType="begin"/>
            </w:r>
            <w:r w:rsidR="003371A3" w:rsidRPr="004A7E42">
              <w:rPr>
                <w:rFonts w:asciiTheme="majorHAnsi" w:hAnsiTheme="majorHAnsi" w:cstheme="majorHAnsi"/>
                <w:b/>
                <w:bCs/>
                <w:sz w:val="22"/>
                <w:szCs w:val="22"/>
              </w:rPr>
              <w:instrText xml:space="preserve"> SEQ Figure_A.2. \* ARABIC </w:instrText>
            </w:r>
            <w:r w:rsidR="003371A3" w:rsidRPr="004A7E42">
              <w:rPr>
                <w:rFonts w:asciiTheme="majorHAnsi" w:hAnsiTheme="majorHAnsi" w:cstheme="majorHAnsi"/>
                <w:b/>
                <w:bCs/>
                <w:sz w:val="22"/>
                <w:szCs w:val="22"/>
              </w:rPr>
              <w:fldChar w:fldCharType="separate"/>
            </w:r>
            <w:r w:rsidR="00071DD1" w:rsidRPr="004A7E42">
              <w:rPr>
                <w:rFonts w:asciiTheme="majorHAnsi" w:hAnsiTheme="majorHAnsi" w:cstheme="majorHAnsi"/>
                <w:b/>
                <w:bCs/>
                <w:noProof/>
                <w:sz w:val="22"/>
                <w:szCs w:val="22"/>
              </w:rPr>
              <w:t>3</w:t>
            </w:r>
            <w:r w:rsidR="003371A3" w:rsidRPr="004A7E42">
              <w:rPr>
                <w:rFonts w:asciiTheme="majorHAnsi" w:hAnsiTheme="majorHAnsi" w:cstheme="majorHAnsi"/>
                <w:b/>
                <w:bCs/>
                <w:sz w:val="22"/>
                <w:szCs w:val="22"/>
              </w:rPr>
              <w:fldChar w:fldCharType="end"/>
            </w:r>
            <w:bookmarkEnd w:id="411"/>
            <w:r w:rsidRPr="004A7E42">
              <w:rPr>
                <w:rFonts w:asciiTheme="majorHAnsi" w:hAnsiTheme="majorHAnsi" w:cstheme="majorHAnsi"/>
                <w:b/>
                <w:bCs/>
                <w:sz w:val="22"/>
                <w:szCs w:val="22"/>
              </w:rPr>
              <w:t xml:space="preserve"> Formation of new digital businesses </w:t>
            </w:r>
          </w:p>
        </w:tc>
      </w:tr>
      <w:tr w:rsidR="008450DD" w:rsidRPr="00E9090B" w14:paraId="04761B3F" w14:textId="77777777">
        <w:tc>
          <w:tcPr>
            <w:tcW w:w="4909" w:type="dxa"/>
          </w:tcPr>
          <w:p w14:paraId="20FC2723" w14:textId="77777777" w:rsidR="008450DD" w:rsidRPr="00E9090B" w:rsidRDefault="008450DD">
            <w:pPr>
              <w:pStyle w:val="Default"/>
              <w:jc w:val="both"/>
              <w:rPr>
                <w:rFonts w:asciiTheme="majorHAnsi" w:hAnsiTheme="majorHAnsi" w:cstheme="majorHAnsi"/>
                <w:sz w:val="22"/>
                <w:szCs w:val="22"/>
              </w:rPr>
            </w:pPr>
            <w:r w:rsidRPr="00E9090B">
              <w:rPr>
                <w:rFonts w:asciiTheme="majorHAnsi" w:hAnsiTheme="majorHAnsi" w:cstheme="majorHAnsi"/>
                <w:noProof/>
                <w:lang w:val="en-GB" w:eastAsia="en-GB"/>
              </w:rPr>
              <w:drawing>
                <wp:inline distT="0" distB="0" distL="0" distR="0" wp14:anchorId="50C5133A" wp14:editId="08C5EFD6">
                  <wp:extent cx="2955938" cy="2226089"/>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242" r="788"/>
                          <a:stretch/>
                        </pic:blipFill>
                        <pic:spPr bwMode="auto">
                          <a:xfrm>
                            <a:off x="0" y="0"/>
                            <a:ext cx="3004374" cy="22625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FFF5D6" w14:textId="05D55FEB" w:rsidR="008450DD" w:rsidRPr="00E9090B" w:rsidRDefault="008450DD" w:rsidP="008450DD">
      <w:pPr>
        <w:pStyle w:val="Default"/>
        <w:jc w:val="both"/>
        <w:rPr>
          <w:rFonts w:asciiTheme="majorHAnsi" w:hAnsiTheme="majorHAnsi" w:cstheme="majorHAnsi"/>
          <w:sz w:val="22"/>
          <w:szCs w:val="22"/>
        </w:rPr>
      </w:pPr>
      <w:r w:rsidRPr="00E9090B">
        <w:rPr>
          <w:rFonts w:asciiTheme="majorHAnsi" w:hAnsiTheme="majorHAnsi" w:cstheme="majorHAnsi"/>
          <w:b/>
          <w:sz w:val="22"/>
          <w:szCs w:val="22"/>
        </w:rPr>
        <w:t>Progress since 2016: Innovation in the Thai private sector has stalled as evidenced by several indicators.</w:t>
      </w:r>
      <w:r w:rsidRPr="00E9090B">
        <w:rPr>
          <w:rFonts w:asciiTheme="majorHAnsi" w:hAnsiTheme="majorHAnsi" w:cstheme="majorHAnsi"/>
          <w:sz w:val="22"/>
          <w:szCs w:val="22"/>
        </w:rPr>
        <w:t xml:space="preserve"> The rate of firm entry and exit (a proxy for ‘creative destruction</w:t>
      </w:r>
      <w:r w:rsidR="006B778A">
        <w:rPr>
          <w:rFonts w:asciiTheme="majorHAnsi" w:hAnsiTheme="majorHAnsi" w:cstheme="majorHAnsi"/>
          <w:sz w:val="22"/>
          <w:szCs w:val="22"/>
        </w:rPr>
        <w:t>’</w:t>
      </w:r>
      <w:r w:rsidRPr="00E9090B">
        <w:rPr>
          <w:rFonts w:asciiTheme="majorHAnsi" w:hAnsiTheme="majorHAnsi" w:cstheme="majorHAnsi"/>
          <w:sz w:val="22"/>
          <w:szCs w:val="22"/>
        </w:rPr>
        <w:t>, and a key determinant of productivity and competitiveness) is low compared to its peers. Consequently, firms have become older and smaller since 2015. Technology adoption rates and the prevalence of innovation have not met expectations in recent years. Since 2015, the formation rates of new digital businesses have been declining and thus pushing Thailand behind its regional peers such as Vietnam, Philippines, and Indonesia (</w:t>
      </w:r>
      <w:r w:rsidR="00071DD1" w:rsidRPr="00076F04">
        <w:rPr>
          <w:rFonts w:asciiTheme="majorHAnsi" w:hAnsiTheme="majorHAnsi" w:cstheme="majorHAnsi"/>
          <w:sz w:val="22"/>
          <w:szCs w:val="22"/>
        </w:rPr>
        <w:fldChar w:fldCharType="begin"/>
      </w:r>
      <w:r w:rsidR="00071DD1" w:rsidRPr="00076F04">
        <w:rPr>
          <w:rFonts w:asciiTheme="majorHAnsi" w:hAnsiTheme="majorHAnsi" w:cstheme="majorHAnsi"/>
          <w:sz w:val="22"/>
          <w:szCs w:val="22"/>
        </w:rPr>
        <w:instrText xml:space="preserve"> REF _Ref149775226  \* MERGEFORMAT </w:instrText>
      </w:r>
      <w:r w:rsidR="00071DD1" w:rsidRPr="00076F04">
        <w:rPr>
          <w:rFonts w:asciiTheme="majorHAnsi" w:hAnsiTheme="majorHAnsi" w:cstheme="majorHAnsi"/>
          <w:sz w:val="22"/>
          <w:szCs w:val="22"/>
        </w:rPr>
        <w:fldChar w:fldCharType="separate"/>
      </w:r>
      <w:r w:rsidR="003371A3" w:rsidRPr="00665270">
        <w:rPr>
          <w:rFonts w:asciiTheme="majorHAnsi" w:hAnsiTheme="majorHAnsi" w:cstheme="majorHAnsi"/>
          <w:sz w:val="22"/>
          <w:szCs w:val="22"/>
        </w:rPr>
        <w:t>Figure A.</w:t>
      </w:r>
      <w:r w:rsidR="009B56C0">
        <w:rPr>
          <w:rFonts w:asciiTheme="majorHAnsi" w:hAnsiTheme="majorHAnsi" w:cstheme="majorHAnsi"/>
          <w:sz w:val="22"/>
          <w:szCs w:val="22"/>
        </w:rPr>
        <w:t>1</w:t>
      </w:r>
      <w:r w:rsidR="003371A3" w:rsidRPr="00665270">
        <w:rPr>
          <w:rFonts w:asciiTheme="majorHAnsi" w:hAnsiTheme="majorHAnsi" w:cstheme="majorHAnsi"/>
          <w:sz w:val="22"/>
          <w:szCs w:val="22"/>
        </w:rPr>
        <w:t>.</w:t>
      </w:r>
      <w:r w:rsidR="00071DD1" w:rsidRPr="00665270">
        <w:rPr>
          <w:rFonts w:asciiTheme="majorHAnsi" w:hAnsiTheme="majorHAnsi" w:cstheme="majorHAnsi"/>
          <w:sz w:val="22"/>
          <w:szCs w:val="22"/>
        </w:rPr>
        <w:t>3</w:t>
      </w:r>
      <w:r w:rsidR="00071DD1" w:rsidRPr="00076F04">
        <w:rPr>
          <w:rFonts w:asciiTheme="majorHAnsi" w:hAnsiTheme="majorHAnsi" w:cstheme="majorHAnsi"/>
          <w:sz w:val="22"/>
          <w:szCs w:val="22"/>
        </w:rPr>
        <w:fldChar w:fldCharType="end"/>
      </w:r>
      <w:r w:rsidRPr="00076F04">
        <w:rPr>
          <w:rFonts w:asciiTheme="majorHAnsi" w:hAnsiTheme="majorHAnsi" w:cstheme="majorHAnsi"/>
          <w:sz w:val="22"/>
          <w:szCs w:val="22"/>
        </w:rPr>
        <w:t>).</w:t>
      </w:r>
      <w:r w:rsidRPr="00E9090B">
        <w:rPr>
          <w:rFonts w:asciiTheme="majorHAnsi" w:hAnsiTheme="majorHAnsi" w:cstheme="majorHAnsi"/>
          <w:sz w:val="22"/>
          <w:szCs w:val="22"/>
        </w:rPr>
        <w:t xml:space="preserve"> Thailand’s R&amp;D expenditure as a percentage of GDP at 1.1 percent (2019), although it has increased over time, continues to </w:t>
      </w:r>
      <w:r w:rsidR="00D72212" w:rsidRPr="00E9090B">
        <w:rPr>
          <w:rFonts w:asciiTheme="majorHAnsi" w:hAnsiTheme="majorHAnsi" w:cstheme="majorHAnsi"/>
          <w:sz w:val="22"/>
          <w:szCs w:val="22"/>
        </w:rPr>
        <w:t>lag</w:t>
      </w:r>
      <w:r w:rsidRPr="00E9090B">
        <w:rPr>
          <w:rFonts w:asciiTheme="majorHAnsi" w:hAnsiTheme="majorHAnsi" w:cstheme="majorHAnsi"/>
          <w:sz w:val="22"/>
          <w:szCs w:val="22"/>
        </w:rPr>
        <w:t xml:space="preserve"> peers such as Korea and Singapore. Similarly, a small number of firms, specifically only the larger ones, that have more access to innovation inputs have been the dominant participants in global trade. In 2018, only 5 percent of all registered firms engaged in exports, compared to the regional average of above 11 percent (WDI). Furthermore, only 15 percent of exporting firms operate in the top complexity quartile, indicating the possible lack of innovation and </w:t>
      </w:r>
      <w:r w:rsidRPr="00E9090B">
        <w:rPr>
          <w:rFonts w:asciiTheme="majorHAnsi" w:hAnsiTheme="majorHAnsi" w:cstheme="majorHAnsi"/>
          <w:sz w:val="22"/>
          <w:szCs w:val="22"/>
        </w:rPr>
        <w:lastRenderedPageBreak/>
        <w:t>inability to upgrade functions in the value chain (PIER+, 2019). SMEs have a lower degree of engagement in both backward and forward GVC participation.</w:t>
      </w:r>
    </w:p>
    <w:p w14:paraId="1386E431" w14:textId="117D35DA" w:rsidR="008450DD" w:rsidRPr="00B67989" w:rsidRDefault="008450DD" w:rsidP="008450DD">
      <w:pPr>
        <w:pStyle w:val="Default"/>
        <w:spacing w:before="240" w:after="240"/>
        <w:jc w:val="both"/>
        <w:rPr>
          <w:rFonts w:asciiTheme="majorHAnsi" w:hAnsiTheme="majorHAnsi" w:cstheme="majorHAnsi"/>
          <w:sz w:val="22"/>
          <w:szCs w:val="22"/>
        </w:rPr>
      </w:pPr>
      <w:r w:rsidRPr="00E9090B">
        <w:rPr>
          <w:rFonts w:asciiTheme="majorHAnsi" w:hAnsiTheme="majorHAnsi" w:cstheme="majorHAnsi"/>
          <w:b/>
          <w:sz w:val="22"/>
          <w:szCs w:val="22"/>
        </w:rPr>
        <w:t>Remaining challenges:</w:t>
      </w:r>
      <w:r w:rsidRPr="00E9090B">
        <w:rPr>
          <w:rFonts w:asciiTheme="majorHAnsi" w:hAnsiTheme="majorHAnsi" w:cstheme="majorHAnsi"/>
          <w:sz w:val="22"/>
          <w:szCs w:val="22"/>
        </w:rPr>
        <w:t xml:space="preserve"> </w:t>
      </w:r>
      <w:r w:rsidRPr="00E9090B">
        <w:rPr>
          <w:rFonts w:asciiTheme="majorHAnsi" w:hAnsiTheme="majorHAnsi" w:cstheme="majorHAnsi"/>
          <w:b/>
          <w:sz w:val="22"/>
          <w:szCs w:val="22"/>
        </w:rPr>
        <w:t>While the country has made significant progress in policy reforms to encourage technology absorption and innovation, challenges remain</w:t>
      </w:r>
      <w:r w:rsidRPr="00E9090B">
        <w:rPr>
          <w:rFonts w:asciiTheme="majorHAnsi" w:hAnsiTheme="majorHAnsi" w:cstheme="majorHAnsi"/>
          <w:sz w:val="22"/>
          <w:szCs w:val="22"/>
        </w:rPr>
        <w:t>. Key among them is the continuing lack of access to innovation finance. Venture capital (VC) funding, a key source of innovation finance that specifically targets risky ventures, is only 0.03 percent of GDP</w:t>
      </w:r>
      <w:r w:rsidR="006B778A">
        <w:rPr>
          <w:rFonts w:asciiTheme="majorHAnsi" w:hAnsiTheme="majorHAnsi" w:cstheme="majorHAnsi"/>
          <w:sz w:val="22"/>
          <w:szCs w:val="22"/>
        </w:rPr>
        <w:t>—</w:t>
      </w:r>
      <w:r w:rsidRPr="00E9090B">
        <w:rPr>
          <w:rFonts w:asciiTheme="majorHAnsi" w:hAnsiTheme="majorHAnsi" w:cstheme="majorHAnsi"/>
          <w:sz w:val="22"/>
          <w:szCs w:val="22"/>
        </w:rPr>
        <w:t>low compared to regional peers. Firms continue to cite limited access to a highly skilled workforce as an impediment.  FDI restrictions are one of the key factors contributing to this lack of skills, while</w:t>
      </w:r>
      <w:r w:rsidRPr="00B67989">
        <w:rPr>
          <w:rFonts w:asciiTheme="majorHAnsi" w:hAnsiTheme="majorHAnsi" w:cstheme="majorHAnsi"/>
          <w:sz w:val="22"/>
          <w:szCs w:val="22"/>
        </w:rPr>
        <w:t xml:space="preserve"> a traditional Technical and Vocational Education and Training (TVET) system aggravates the problem. Another key challenge is continuing restrictions to FDI, specifically in the services sector driven by an incomplete regulatory agenda and slow pace of reforms. Limited competition and an unlevel playing field have also contributed to the weak innovative capacity. Increasing concentration of market power among few firms and gaps in an efficient competitive neutrality framework not only impede the ability of innovative firms to operate but also increase investor perceptions of business risk in Thailand.</w:t>
      </w:r>
    </w:p>
    <w:p w14:paraId="38ECF049" w14:textId="77777777" w:rsidR="008450DD" w:rsidRPr="00B67989" w:rsidRDefault="008450DD" w:rsidP="008450DD">
      <w:pPr>
        <w:rPr>
          <w:rFonts w:asciiTheme="majorHAnsi" w:hAnsiTheme="majorHAnsi" w:cstheme="majorHAnsi"/>
          <w:b/>
        </w:rPr>
      </w:pPr>
      <w:r w:rsidRPr="00B67989">
        <w:rPr>
          <w:rFonts w:asciiTheme="majorHAnsi" w:hAnsiTheme="majorHAnsi" w:cstheme="majorHAnsi"/>
          <w:b/>
        </w:rPr>
        <w:t xml:space="preserve">Pathway 2: Providing more support to the bottom </w:t>
      </w:r>
      <w:proofErr w:type="gramStart"/>
      <w:r w:rsidRPr="00B67989">
        <w:rPr>
          <w:rFonts w:asciiTheme="majorHAnsi" w:hAnsiTheme="majorHAnsi" w:cstheme="majorHAnsi"/>
          <w:b/>
        </w:rPr>
        <w:t>40</w:t>
      </w:r>
      <w:proofErr w:type="gramEnd"/>
      <w:r w:rsidRPr="00B67989">
        <w:rPr>
          <w:rFonts w:asciiTheme="majorHAnsi" w:hAnsiTheme="majorHAnsi" w:cstheme="majorHAnsi"/>
          <w:b/>
        </w:rPr>
        <w:t xml:space="preserve">  </w:t>
      </w:r>
    </w:p>
    <w:p w14:paraId="74CAFB1B" w14:textId="77777777" w:rsidR="008450DD" w:rsidRPr="00B67989" w:rsidRDefault="008450DD" w:rsidP="00E61E46">
      <w:pPr>
        <w:pStyle w:val="ListParagraph"/>
        <w:numPr>
          <w:ilvl w:val="1"/>
          <w:numId w:val="8"/>
        </w:numPr>
        <w:spacing w:before="240" w:after="240"/>
        <w:jc w:val="both"/>
        <w:rPr>
          <w:rFonts w:asciiTheme="majorHAnsi" w:hAnsiTheme="majorHAnsi" w:cstheme="majorHAnsi"/>
          <w:b/>
        </w:rPr>
      </w:pPr>
      <w:r w:rsidRPr="00B67989">
        <w:rPr>
          <w:rFonts w:asciiTheme="majorHAnsi" w:hAnsiTheme="majorHAnsi" w:cstheme="majorHAnsi"/>
          <w:b/>
        </w:rPr>
        <w:t xml:space="preserve"> Improve the overall education and skills of the workforce (very high) </w:t>
      </w:r>
    </w:p>
    <w:p w14:paraId="2A102BCD" w14:textId="1999A9A4"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2016 SCD Findings:</w:t>
      </w:r>
      <w:r w:rsidRPr="00B67989">
        <w:rPr>
          <w:rFonts w:asciiTheme="majorHAnsi" w:hAnsiTheme="majorHAnsi" w:cstheme="majorHAnsi"/>
          <w:sz w:val="22"/>
          <w:szCs w:val="22"/>
        </w:rPr>
        <w:t xml:space="preserve"> </w:t>
      </w:r>
      <w:r w:rsidRPr="00B67989">
        <w:rPr>
          <w:rFonts w:asciiTheme="majorHAnsi" w:hAnsiTheme="majorHAnsi" w:cstheme="majorHAnsi"/>
          <w:b/>
          <w:sz w:val="22"/>
          <w:szCs w:val="22"/>
        </w:rPr>
        <w:t>Improving the overall education and skills of the workforce is crucial for both breaking the cycle of poverty and driving economic growth</w:t>
      </w:r>
      <w:r w:rsidRPr="00B67989">
        <w:rPr>
          <w:rFonts w:asciiTheme="majorHAnsi" w:hAnsiTheme="majorHAnsi" w:cstheme="majorHAnsi"/>
          <w:sz w:val="22"/>
          <w:szCs w:val="22"/>
        </w:rPr>
        <w:t xml:space="preserve">. There are several areas that require reform to achieve this, such as investing more in early childhood education for the poor, addressing issues with small schools, and implementing broader and sustained education reforms. One example of this is the disparity between the type of graduates produced by the tertiary education sector and the skills needed by the private sector. </w:t>
      </w:r>
      <w:r w:rsidR="006B778A">
        <w:rPr>
          <w:rFonts w:asciiTheme="majorHAnsi" w:hAnsiTheme="majorHAnsi" w:cstheme="majorHAnsi"/>
          <w:sz w:val="22"/>
          <w:szCs w:val="22"/>
        </w:rPr>
        <w:t>O</w:t>
      </w:r>
      <w:r w:rsidRPr="00B67989">
        <w:rPr>
          <w:rFonts w:asciiTheme="majorHAnsi" w:hAnsiTheme="majorHAnsi" w:cstheme="majorHAnsi"/>
          <w:sz w:val="22"/>
          <w:szCs w:val="22"/>
        </w:rPr>
        <w:t>ther issue</w:t>
      </w:r>
      <w:r w:rsidR="006B778A">
        <w:rPr>
          <w:rFonts w:asciiTheme="majorHAnsi" w:hAnsiTheme="majorHAnsi" w:cstheme="majorHAnsi"/>
          <w:sz w:val="22"/>
          <w:szCs w:val="22"/>
        </w:rPr>
        <w:t>s</w:t>
      </w:r>
      <w:r w:rsidRPr="00B67989">
        <w:rPr>
          <w:rFonts w:asciiTheme="majorHAnsi" w:hAnsiTheme="majorHAnsi" w:cstheme="majorHAnsi"/>
          <w:sz w:val="22"/>
          <w:szCs w:val="22"/>
        </w:rPr>
        <w:t xml:space="preserve"> </w:t>
      </w:r>
      <w:r w:rsidR="006B778A">
        <w:rPr>
          <w:rFonts w:asciiTheme="majorHAnsi" w:hAnsiTheme="majorHAnsi" w:cstheme="majorHAnsi"/>
          <w:sz w:val="22"/>
          <w:szCs w:val="22"/>
        </w:rPr>
        <w:t>include</w:t>
      </w:r>
      <w:r w:rsidR="006B778A" w:rsidRPr="00B67989">
        <w:rPr>
          <w:rFonts w:asciiTheme="majorHAnsi" w:hAnsiTheme="majorHAnsi" w:cstheme="majorHAnsi"/>
          <w:sz w:val="22"/>
          <w:szCs w:val="22"/>
        </w:rPr>
        <w:t xml:space="preserve"> </w:t>
      </w:r>
      <w:r w:rsidRPr="00B67989">
        <w:rPr>
          <w:rFonts w:asciiTheme="majorHAnsi" w:hAnsiTheme="majorHAnsi" w:cstheme="majorHAnsi"/>
          <w:sz w:val="22"/>
          <w:szCs w:val="22"/>
        </w:rPr>
        <w:t>the low level of English language proficiency among students and the workforce</w:t>
      </w:r>
      <w:r w:rsidR="006B778A">
        <w:rPr>
          <w:rFonts w:asciiTheme="majorHAnsi" w:hAnsiTheme="majorHAnsi" w:cstheme="majorHAnsi"/>
          <w:sz w:val="22"/>
          <w:szCs w:val="22"/>
        </w:rPr>
        <w:t>,</w:t>
      </w:r>
      <w:r w:rsidRPr="00B67989">
        <w:rPr>
          <w:rFonts w:asciiTheme="majorHAnsi" w:hAnsiTheme="majorHAnsi" w:cstheme="majorHAnsi"/>
          <w:sz w:val="22"/>
          <w:szCs w:val="22"/>
        </w:rPr>
        <w:t xml:space="preserve"> and the low level of financial education. The disparity in learning outcomes is rooted in the early years of life, when many poor children are left behind, particularly in lagging regions of Thailand. Improving access and quality of pre-school education is crucial for addressing this issue. </w:t>
      </w:r>
    </w:p>
    <w:p w14:paraId="496D2E04" w14:textId="77777777" w:rsidR="008450DD" w:rsidRPr="00B67989" w:rsidRDefault="008450DD" w:rsidP="008450DD">
      <w:pPr>
        <w:pStyle w:val="Default"/>
        <w:spacing w:before="240" w:after="240"/>
        <w:jc w:val="both"/>
        <w:rPr>
          <w:rFonts w:asciiTheme="majorHAnsi" w:eastAsia="Times New Roman" w:hAnsiTheme="majorHAnsi" w:cstheme="majorHAnsi"/>
          <w:sz w:val="22"/>
          <w:szCs w:val="22"/>
          <w:lang w:eastAsia="ja-JP"/>
        </w:rPr>
      </w:pPr>
      <w:r w:rsidRPr="00B67989">
        <w:rPr>
          <w:rFonts w:asciiTheme="majorHAnsi" w:eastAsia="Times New Roman" w:hAnsiTheme="majorHAnsi" w:cstheme="majorHAnsi"/>
          <w:b/>
          <w:sz w:val="22"/>
          <w:szCs w:val="22"/>
          <w:lang w:eastAsia="ja-JP"/>
        </w:rPr>
        <w:t>The 2016 SCD mentioned three critically important reform areas to improve access to high quality education.</w:t>
      </w:r>
      <w:r w:rsidRPr="00B67989">
        <w:rPr>
          <w:rFonts w:asciiTheme="majorHAnsi" w:eastAsia="Times New Roman" w:hAnsiTheme="majorHAnsi" w:cstheme="majorHAnsi"/>
          <w:sz w:val="22"/>
          <w:szCs w:val="22"/>
          <w:lang w:eastAsia="ja-JP"/>
        </w:rPr>
        <w:t xml:space="preserve"> First, investing more in the early years of children’s lives with an effort to dramatically improving access to quality ECD services for the poor. Second, addressing Thailand’s problems with its vast network of small schools where approximately 1 million (mainly poor) children, on average, are currently getting an inferior quality education. Three, broader and sustained education reforms along multiple dimensions are also needed to improve outcomes, including: increasing school autonomy and strengthening the use of information to hold teachers and schools accountable for performance.</w:t>
      </w:r>
    </w:p>
    <w:p w14:paraId="7C8B216C" w14:textId="60FF5052" w:rsidR="008450DD" w:rsidRPr="00D17A28" w:rsidRDefault="008450DD" w:rsidP="008450DD">
      <w:pPr>
        <w:spacing w:after="0" w:line="240" w:lineRule="auto"/>
        <w:jc w:val="both"/>
        <w:rPr>
          <w:rFonts w:asciiTheme="majorHAnsi" w:eastAsia="Times New Roman" w:hAnsiTheme="majorHAnsi" w:cstheme="majorHAnsi"/>
          <w:color w:val="000000"/>
          <w:lang w:eastAsia="ja-JP"/>
        </w:rPr>
      </w:pPr>
      <w:r w:rsidRPr="00B67989">
        <w:rPr>
          <w:rFonts w:asciiTheme="majorHAnsi" w:eastAsia="Times New Roman" w:hAnsiTheme="majorHAnsi" w:cstheme="majorHAnsi"/>
          <w:b/>
          <w:lang w:eastAsia="ja-JP"/>
        </w:rPr>
        <w:t>Progress since 2016</w:t>
      </w:r>
      <w:r w:rsidRPr="00B67989">
        <w:rPr>
          <w:rFonts w:asciiTheme="majorHAnsi" w:eastAsia="Times New Roman" w:hAnsiTheme="majorHAnsi" w:cstheme="majorHAnsi"/>
          <w:b/>
          <w:bCs/>
          <w:lang w:eastAsia="ja-JP"/>
        </w:rPr>
        <w:t xml:space="preserve">: </w:t>
      </w:r>
      <w:r w:rsidRPr="00B67989">
        <w:rPr>
          <w:rFonts w:asciiTheme="majorHAnsi" w:eastAsia="Times New Roman" w:hAnsiTheme="majorHAnsi" w:cstheme="majorHAnsi"/>
          <w:b/>
          <w:lang w:eastAsia="ja-JP"/>
        </w:rPr>
        <w:t xml:space="preserve">Thailand </w:t>
      </w:r>
      <w:r w:rsidRPr="00B67989">
        <w:rPr>
          <w:rFonts w:asciiTheme="majorHAnsi" w:hAnsiTheme="majorHAnsi" w:cstheme="majorHAnsi"/>
          <w:b/>
          <w:color w:val="202122"/>
        </w:rPr>
        <w:t>has</w:t>
      </w:r>
      <w:r w:rsidRPr="00B67989">
        <w:rPr>
          <w:rFonts w:asciiTheme="majorHAnsi" w:eastAsia="Times New Roman" w:hAnsiTheme="majorHAnsi" w:cstheme="majorHAnsi"/>
          <w:b/>
          <w:lang w:eastAsia="ja-JP"/>
        </w:rPr>
        <w:t xml:space="preserve"> made substantial progress in improving </w:t>
      </w:r>
      <w:r w:rsidRPr="00B67989">
        <w:rPr>
          <w:rFonts w:asciiTheme="majorHAnsi" w:hAnsiTheme="majorHAnsi" w:cstheme="majorHAnsi"/>
          <w:b/>
        </w:rPr>
        <w:t>access</w:t>
      </w:r>
      <w:r w:rsidRPr="00B67989">
        <w:rPr>
          <w:rFonts w:asciiTheme="majorHAnsi" w:eastAsia="Times New Roman" w:hAnsiTheme="majorHAnsi" w:cstheme="majorHAnsi"/>
          <w:b/>
          <w:lang w:eastAsia="ja-JP"/>
        </w:rPr>
        <w:t xml:space="preserve"> to pre-primary education. </w:t>
      </w:r>
      <w:r w:rsidRPr="00D17A28">
        <w:rPr>
          <w:rFonts w:asciiTheme="majorHAnsi" w:eastAsia="Times New Roman" w:hAnsiTheme="majorHAnsi" w:cstheme="majorHAnsi"/>
          <w:color w:val="000000"/>
          <w:lang w:eastAsia="ja-JP"/>
        </w:rPr>
        <w:t>Pre-primary net enrolment rate (for 3–</w:t>
      </w:r>
      <w:r w:rsidR="007C785A" w:rsidRPr="00D17A28">
        <w:rPr>
          <w:rFonts w:asciiTheme="majorHAnsi" w:eastAsia="Times New Roman" w:hAnsiTheme="majorHAnsi" w:cstheme="majorHAnsi"/>
          <w:color w:val="000000"/>
          <w:lang w:eastAsia="ja-JP"/>
        </w:rPr>
        <w:t>5-year-olds</w:t>
      </w:r>
      <w:r w:rsidRPr="00D17A28">
        <w:rPr>
          <w:rFonts w:asciiTheme="majorHAnsi" w:eastAsia="Times New Roman" w:hAnsiTheme="majorHAnsi" w:cstheme="majorHAnsi"/>
          <w:color w:val="000000"/>
          <w:lang w:eastAsia="ja-JP"/>
        </w:rPr>
        <w:t>) stood at almost 80 percent in 2019, up considerably from around 60 percent a decade earlier as a result of government policy to expand free access. The net enrolment rate was about 20 percent higher than expected given Thailand’s level of GDP per capita.</w:t>
      </w:r>
    </w:p>
    <w:p w14:paraId="008E2180" w14:textId="65CD6AD9"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Thai students’ learning outcomes have failed to improve</w:t>
      </w:r>
      <w:r w:rsidRPr="00B67989">
        <w:rPr>
          <w:rFonts w:asciiTheme="majorHAnsi" w:hAnsiTheme="majorHAnsi" w:cstheme="majorHAnsi"/>
          <w:sz w:val="22"/>
          <w:szCs w:val="22"/>
        </w:rPr>
        <w:t xml:space="preserve">. In the latest PISA 2018, Thailand ranked 68th in reading out of the 79 PISA-participating countries and economies (59th in mathematics, and 55th in science), ahead of only Indonesia and the Philippines in EAP. Furthermore, all the trends have been moving in the wrong direction. Thailand’s reading performance shows an increasingly negative trajectory, while scores in math and science have stagnated over the last </w:t>
      </w:r>
      <w:r w:rsidR="006B778A">
        <w:rPr>
          <w:rFonts w:asciiTheme="majorHAnsi" w:hAnsiTheme="majorHAnsi" w:cstheme="majorHAnsi"/>
          <w:sz w:val="22"/>
          <w:szCs w:val="22"/>
        </w:rPr>
        <w:t>two</w:t>
      </w:r>
      <w:r w:rsidR="006B778A" w:rsidRPr="00B67989">
        <w:rPr>
          <w:rFonts w:asciiTheme="majorHAnsi" w:hAnsiTheme="majorHAnsi" w:cstheme="majorHAnsi"/>
          <w:sz w:val="22"/>
          <w:szCs w:val="22"/>
        </w:rPr>
        <w:t xml:space="preserve"> </w:t>
      </w:r>
      <w:r w:rsidRPr="00B67989">
        <w:rPr>
          <w:rFonts w:asciiTheme="majorHAnsi" w:hAnsiTheme="majorHAnsi" w:cstheme="majorHAnsi"/>
          <w:sz w:val="22"/>
          <w:szCs w:val="22"/>
        </w:rPr>
        <w:t xml:space="preserve">decades </w:t>
      </w:r>
      <w:r w:rsidRPr="00076F04">
        <w:rPr>
          <w:rFonts w:asciiTheme="majorHAnsi" w:hAnsiTheme="majorHAnsi" w:cstheme="majorHAnsi"/>
          <w:sz w:val="22"/>
          <w:szCs w:val="22"/>
        </w:rPr>
        <w:t>(</w:t>
      </w:r>
      <w:r w:rsidR="00071DD1" w:rsidRPr="00076F04">
        <w:rPr>
          <w:rFonts w:asciiTheme="majorHAnsi" w:hAnsiTheme="majorHAnsi" w:cstheme="majorHAnsi"/>
          <w:sz w:val="22"/>
          <w:szCs w:val="22"/>
        </w:rPr>
        <w:fldChar w:fldCharType="begin"/>
      </w:r>
      <w:r w:rsidR="00071DD1" w:rsidRPr="00076F04">
        <w:rPr>
          <w:rFonts w:asciiTheme="majorHAnsi" w:hAnsiTheme="majorHAnsi" w:cstheme="majorHAnsi"/>
          <w:sz w:val="22"/>
          <w:szCs w:val="22"/>
        </w:rPr>
        <w:instrText xml:space="preserve"> REF _Ref149775285 </w:instrText>
      </w:r>
      <w:r w:rsidR="00D17A28" w:rsidRPr="00076F04">
        <w:rPr>
          <w:rFonts w:asciiTheme="majorHAnsi" w:hAnsiTheme="majorHAnsi" w:cstheme="majorHAnsi"/>
          <w:sz w:val="22"/>
          <w:szCs w:val="22"/>
        </w:rPr>
        <w:instrText xml:space="preserve"> \* MERGEFORMAT </w:instrText>
      </w:r>
      <w:r w:rsidR="00071DD1" w:rsidRPr="00076F04">
        <w:rPr>
          <w:rFonts w:asciiTheme="majorHAnsi" w:hAnsiTheme="majorHAnsi" w:cstheme="majorHAnsi"/>
          <w:sz w:val="22"/>
          <w:szCs w:val="22"/>
        </w:rPr>
        <w:fldChar w:fldCharType="separate"/>
      </w:r>
      <w:r w:rsidR="003371A3" w:rsidRPr="00665270">
        <w:rPr>
          <w:rFonts w:asciiTheme="majorHAnsi" w:hAnsiTheme="majorHAnsi" w:cstheme="majorHAnsi"/>
          <w:sz w:val="22"/>
          <w:szCs w:val="22"/>
        </w:rPr>
        <w:t>Figure A.</w:t>
      </w:r>
      <w:r w:rsidR="009B56C0">
        <w:rPr>
          <w:rFonts w:asciiTheme="majorHAnsi" w:hAnsiTheme="majorHAnsi" w:cstheme="majorHAnsi"/>
          <w:sz w:val="22"/>
          <w:szCs w:val="22"/>
        </w:rPr>
        <w:t>1</w:t>
      </w:r>
      <w:r w:rsidR="003371A3" w:rsidRPr="00665270">
        <w:rPr>
          <w:rFonts w:asciiTheme="majorHAnsi" w:hAnsiTheme="majorHAnsi" w:cstheme="majorHAnsi"/>
          <w:sz w:val="22"/>
          <w:szCs w:val="22"/>
        </w:rPr>
        <w:t>.</w:t>
      </w:r>
      <w:r w:rsidR="00071DD1" w:rsidRPr="00665270">
        <w:rPr>
          <w:rFonts w:asciiTheme="majorHAnsi" w:hAnsiTheme="majorHAnsi" w:cstheme="majorHAnsi"/>
          <w:noProof/>
          <w:sz w:val="22"/>
          <w:szCs w:val="22"/>
        </w:rPr>
        <w:t>4</w:t>
      </w:r>
      <w:r w:rsidR="00071DD1" w:rsidRPr="00076F04">
        <w:rPr>
          <w:rFonts w:asciiTheme="majorHAnsi" w:hAnsiTheme="majorHAnsi" w:cstheme="majorHAnsi"/>
          <w:sz w:val="22"/>
          <w:szCs w:val="22"/>
        </w:rPr>
        <w:fldChar w:fldCharType="end"/>
      </w:r>
      <w:r w:rsidRPr="00076F04">
        <w:rPr>
          <w:rFonts w:asciiTheme="majorHAnsi" w:hAnsiTheme="majorHAnsi" w:cstheme="majorHAnsi"/>
          <w:sz w:val="22"/>
          <w:szCs w:val="22"/>
        </w:rPr>
        <w:t>).</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5"/>
      </w:tblGrid>
      <w:tr w:rsidR="008450DD" w14:paraId="2FAE9CA6" w14:textId="77777777">
        <w:tc>
          <w:tcPr>
            <w:tcW w:w="9535" w:type="dxa"/>
          </w:tcPr>
          <w:p w14:paraId="67A7E950" w14:textId="1488F4AE" w:rsidR="008450DD" w:rsidRPr="00F3393B" w:rsidRDefault="008450DD">
            <w:pPr>
              <w:pStyle w:val="Default"/>
              <w:jc w:val="both"/>
              <w:rPr>
                <w:rFonts w:asciiTheme="majorHAnsi" w:hAnsiTheme="majorHAnsi" w:cstheme="majorHAnsi"/>
                <w:b/>
                <w:sz w:val="19"/>
                <w:szCs w:val="19"/>
              </w:rPr>
            </w:pPr>
            <w:bookmarkStart w:id="412" w:name="_Ref149775285"/>
            <w:r w:rsidRPr="00F3393B">
              <w:rPr>
                <w:rFonts w:asciiTheme="majorHAnsi" w:hAnsiTheme="majorHAnsi" w:cstheme="majorHAnsi"/>
                <w:b/>
                <w:bCs/>
                <w:sz w:val="22"/>
                <w:szCs w:val="22"/>
              </w:rPr>
              <w:lastRenderedPageBreak/>
              <w:t>Figure A.</w:t>
            </w:r>
            <w:r w:rsidR="009B56C0">
              <w:rPr>
                <w:rFonts w:asciiTheme="majorHAnsi" w:hAnsiTheme="majorHAnsi" w:cstheme="majorHAnsi"/>
                <w:b/>
                <w:bCs/>
                <w:sz w:val="22"/>
                <w:szCs w:val="22"/>
              </w:rPr>
              <w:t>1</w:t>
            </w:r>
            <w:r w:rsidR="003371A3" w:rsidRPr="00F3393B">
              <w:rPr>
                <w:rFonts w:asciiTheme="majorHAnsi" w:hAnsiTheme="majorHAnsi" w:cstheme="majorHAnsi"/>
                <w:b/>
                <w:bCs/>
                <w:sz w:val="22"/>
                <w:szCs w:val="22"/>
              </w:rPr>
              <w:t>.</w:t>
            </w:r>
            <w:r w:rsidR="003371A3" w:rsidRPr="00F3393B">
              <w:rPr>
                <w:rFonts w:asciiTheme="majorHAnsi" w:hAnsiTheme="majorHAnsi" w:cstheme="majorHAnsi"/>
                <w:b/>
                <w:bCs/>
                <w:sz w:val="22"/>
                <w:szCs w:val="22"/>
              </w:rPr>
              <w:fldChar w:fldCharType="begin"/>
            </w:r>
            <w:r w:rsidR="003371A3" w:rsidRPr="00F3393B">
              <w:rPr>
                <w:rFonts w:asciiTheme="majorHAnsi" w:hAnsiTheme="majorHAnsi" w:cstheme="majorHAnsi"/>
                <w:b/>
                <w:bCs/>
                <w:sz w:val="22"/>
                <w:szCs w:val="22"/>
              </w:rPr>
              <w:instrText xml:space="preserve"> SEQ Figure_A.2. \* ARABIC </w:instrText>
            </w:r>
            <w:r w:rsidR="003371A3" w:rsidRPr="00F3393B">
              <w:rPr>
                <w:rFonts w:asciiTheme="majorHAnsi" w:hAnsiTheme="majorHAnsi" w:cstheme="majorHAnsi"/>
                <w:b/>
                <w:bCs/>
                <w:sz w:val="22"/>
                <w:szCs w:val="22"/>
              </w:rPr>
              <w:fldChar w:fldCharType="separate"/>
            </w:r>
            <w:r w:rsidR="00071DD1" w:rsidRPr="00F3393B">
              <w:rPr>
                <w:rFonts w:asciiTheme="majorHAnsi" w:hAnsiTheme="majorHAnsi" w:cstheme="majorHAnsi"/>
                <w:b/>
                <w:bCs/>
                <w:noProof/>
                <w:sz w:val="22"/>
                <w:szCs w:val="22"/>
              </w:rPr>
              <w:t>4</w:t>
            </w:r>
            <w:r w:rsidR="003371A3" w:rsidRPr="00F3393B">
              <w:rPr>
                <w:rFonts w:asciiTheme="majorHAnsi" w:hAnsiTheme="majorHAnsi" w:cstheme="majorHAnsi"/>
                <w:b/>
                <w:sz w:val="22"/>
                <w:szCs w:val="22"/>
              </w:rPr>
              <w:fldChar w:fldCharType="end"/>
            </w:r>
            <w:bookmarkEnd w:id="412"/>
            <w:r w:rsidRPr="00F3393B">
              <w:rPr>
                <w:rFonts w:asciiTheme="majorHAnsi" w:hAnsiTheme="majorHAnsi" w:cstheme="majorHAnsi"/>
                <w:b/>
                <w:bCs/>
                <w:sz w:val="22"/>
                <w:szCs w:val="22"/>
              </w:rPr>
              <w:t xml:space="preserve"> </w:t>
            </w:r>
            <w:r w:rsidRPr="00F3393B">
              <w:rPr>
                <w:rFonts w:asciiTheme="majorHAnsi" w:hAnsiTheme="majorHAnsi" w:cstheme="majorHAnsi"/>
                <w:b/>
                <w:sz w:val="22"/>
                <w:szCs w:val="22"/>
              </w:rPr>
              <w:t>Trends in student learning outcomes in the three PISA domains</w:t>
            </w:r>
          </w:p>
        </w:tc>
      </w:tr>
      <w:tr w:rsidR="008450DD" w14:paraId="4B90EEAD" w14:textId="77777777">
        <w:tc>
          <w:tcPr>
            <w:tcW w:w="9535" w:type="dxa"/>
          </w:tcPr>
          <w:p w14:paraId="58BC518A" w14:textId="130BE8FE" w:rsidR="008450DD" w:rsidRPr="00F3393B" w:rsidRDefault="008450DD" w:rsidP="00F3393B">
            <w:pPr>
              <w:spacing w:after="160" w:line="259" w:lineRule="auto"/>
            </w:pPr>
            <w:r w:rsidRPr="1E15EA0E">
              <w:rPr>
                <w:rFonts w:asciiTheme="majorHAnsi" w:hAnsiTheme="majorHAnsi" w:cstheme="majorBidi"/>
                <w:b/>
                <w:bCs/>
                <w:color w:val="000000" w:themeColor="text1"/>
              </w:rPr>
              <w:t xml:space="preserve"> </w:t>
            </w:r>
            <w:r w:rsidR="00F3393B" w:rsidRPr="005649FF">
              <w:rPr>
                <w:noProof/>
                <w:lang w:val="en-GB" w:eastAsia="en-GB"/>
              </w:rPr>
              <w:drawing>
                <wp:inline distT="0" distB="0" distL="0" distR="0" wp14:anchorId="608EF3BE" wp14:editId="67299FC8">
                  <wp:extent cx="200977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286000"/>
                          </a:xfrm>
                          <a:prstGeom prst="rect">
                            <a:avLst/>
                          </a:prstGeom>
                          <a:noFill/>
                          <a:ln>
                            <a:noFill/>
                          </a:ln>
                        </pic:spPr>
                      </pic:pic>
                    </a:graphicData>
                  </a:graphic>
                </wp:inline>
              </w:drawing>
            </w:r>
            <w:r w:rsidR="00F3393B" w:rsidRPr="005649FF">
              <w:rPr>
                <w:noProof/>
                <w:lang w:val="en-GB" w:eastAsia="en-GB"/>
              </w:rPr>
              <w:drawing>
                <wp:inline distT="0" distB="0" distL="0" distR="0" wp14:anchorId="42E39ABE" wp14:editId="30B431C2">
                  <wp:extent cx="192405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2286000"/>
                          </a:xfrm>
                          <a:prstGeom prst="rect">
                            <a:avLst/>
                          </a:prstGeom>
                          <a:noFill/>
                          <a:ln>
                            <a:noFill/>
                          </a:ln>
                        </pic:spPr>
                      </pic:pic>
                    </a:graphicData>
                  </a:graphic>
                </wp:inline>
              </w:drawing>
            </w:r>
            <w:r w:rsidR="00F3393B" w:rsidRPr="005649FF">
              <w:rPr>
                <w:noProof/>
                <w:lang w:val="en-GB" w:eastAsia="en-GB"/>
              </w:rPr>
              <w:drawing>
                <wp:inline distT="0" distB="0" distL="0" distR="0" wp14:anchorId="0BE5A4F0" wp14:editId="03F54D47">
                  <wp:extent cx="192405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286000"/>
                          </a:xfrm>
                          <a:prstGeom prst="rect">
                            <a:avLst/>
                          </a:prstGeom>
                          <a:noFill/>
                          <a:ln>
                            <a:noFill/>
                          </a:ln>
                        </pic:spPr>
                      </pic:pic>
                    </a:graphicData>
                  </a:graphic>
                </wp:inline>
              </w:drawing>
            </w:r>
          </w:p>
        </w:tc>
      </w:tr>
    </w:tbl>
    <w:p w14:paraId="122150FF" w14:textId="0AE532F3"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In the latest PISA 2018, around half of Thai students scored below the minimum proficiency level (Level 2) in math and science, while almost 60 percent scored below basic proficiency in reading</w:t>
      </w:r>
      <w:r w:rsidR="00076F04">
        <w:rPr>
          <w:rFonts w:asciiTheme="majorHAnsi" w:hAnsiTheme="majorHAnsi" w:cstheme="majorHAnsi"/>
          <w:b/>
          <w:sz w:val="22"/>
          <w:szCs w:val="22"/>
        </w:rPr>
        <w:t xml:space="preserve"> </w:t>
      </w:r>
      <w:r w:rsidR="00076F04" w:rsidRPr="00076F04">
        <w:rPr>
          <w:rFonts w:asciiTheme="majorHAnsi" w:hAnsiTheme="majorHAnsi" w:cstheme="majorHAnsi"/>
          <w:b/>
          <w:sz w:val="22"/>
          <w:szCs w:val="22"/>
        </w:rPr>
        <w:t>(</w:t>
      </w:r>
      <w:r w:rsidR="00D17A28" w:rsidRPr="00665270">
        <w:rPr>
          <w:rFonts w:asciiTheme="majorHAnsi" w:hAnsiTheme="majorHAnsi" w:cstheme="majorHAnsi"/>
          <w:b/>
          <w:sz w:val="22"/>
          <w:szCs w:val="22"/>
        </w:rPr>
        <w:fldChar w:fldCharType="begin"/>
      </w:r>
      <w:r w:rsidR="00D17A28" w:rsidRPr="00665270">
        <w:rPr>
          <w:rFonts w:asciiTheme="majorHAnsi" w:hAnsiTheme="majorHAnsi" w:cstheme="majorHAnsi"/>
          <w:b/>
          <w:sz w:val="22"/>
          <w:szCs w:val="22"/>
        </w:rPr>
        <w:instrText xml:space="preserve"> REF _Ref149775542 </w:instrText>
      </w:r>
      <w:r w:rsidR="00076F04" w:rsidRPr="00665270">
        <w:rPr>
          <w:rFonts w:asciiTheme="majorHAnsi" w:hAnsiTheme="majorHAnsi" w:cstheme="majorHAnsi"/>
          <w:b/>
          <w:sz w:val="22"/>
          <w:szCs w:val="22"/>
        </w:rPr>
        <w:instrText xml:space="preserve"> \* MERGEFORMAT </w:instrText>
      </w:r>
      <w:r w:rsidR="00D17A28" w:rsidRPr="00665270">
        <w:rPr>
          <w:rFonts w:asciiTheme="majorHAnsi" w:hAnsiTheme="majorHAnsi" w:cstheme="majorHAnsi"/>
          <w:b/>
          <w:sz w:val="22"/>
          <w:szCs w:val="22"/>
        </w:rPr>
        <w:fldChar w:fldCharType="separate"/>
      </w:r>
      <w:r w:rsidR="003371A3" w:rsidRPr="00665270">
        <w:rPr>
          <w:rFonts w:asciiTheme="majorHAnsi" w:hAnsiTheme="majorHAnsi" w:cstheme="majorHAnsi"/>
          <w:b/>
          <w:sz w:val="22"/>
          <w:szCs w:val="22"/>
          <w:lang w:bidi="th-TH"/>
        </w:rPr>
        <w:t>Figure A.</w:t>
      </w:r>
      <w:r w:rsidR="009B56C0">
        <w:rPr>
          <w:rFonts w:asciiTheme="majorHAnsi" w:hAnsiTheme="majorHAnsi" w:cstheme="majorHAnsi"/>
          <w:b/>
          <w:sz w:val="22"/>
          <w:szCs w:val="22"/>
          <w:lang w:bidi="th-TH"/>
        </w:rPr>
        <w:t>1</w:t>
      </w:r>
      <w:r w:rsidR="003371A3" w:rsidRPr="00665270">
        <w:rPr>
          <w:rFonts w:asciiTheme="majorHAnsi" w:hAnsiTheme="majorHAnsi" w:cstheme="majorHAnsi"/>
          <w:b/>
          <w:sz w:val="22"/>
          <w:szCs w:val="22"/>
          <w:lang w:bidi="th-TH"/>
        </w:rPr>
        <w:t>.</w:t>
      </w:r>
      <w:r w:rsidR="00D17A28" w:rsidRPr="00665270">
        <w:rPr>
          <w:rFonts w:asciiTheme="majorHAnsi" w:hAnsiTheme="majorHAnsi" w:cstheme="majorHAnsi"/>
          <w:b/>
          <w:noProof/>
          <w:sz w:val="22"/>
          <w:szCs w:val="22"/>
        </w:rPr>
        <w:t>5</w:t>
      </w:r>
      <w:r w:rsidR="00D17A28" w:rsidRPr="00665270">
        <w:rPr>
          <w:rFonts w:asciiTheme="majorHAnsi" w:hAnsiTheme="majorHAnsi" w:cstheme="majorHAnsi"/>
          <w:b/>
          <w:sz w:val="22"/>
          <w:szCs w:val="22"/>
        </w:rPr>
        <w:fldChar w:fldCharType="end"/>
      </w:r>
      <w:r w:rsidR="00076F04" w:rsidRPr="00665270">
        <w:rPr>
          <w:rFonts w:asciiTheme="majorHAnsi" w:hAnsiTheme="majorHAnsi" w:cstheme="majorHAnsi"/>
          <w:b/>
          <w:sz w:val="22"/>
          <w:szCs w:val="22"/>
        </w:rPr>
        <w:t>).</w:t>
      </w:r>
      <w:r w:rsidRPr="00076F04">
        <w:rPr>
          <w:rFonts w:asciiTheme="majorHAnsi" w:hAnsiTheme="majorHAnsi" w:cstheme="majorHAnsi"/>
          <w:sz w:val="22"/>
          <w:szCs w:val="22"/>
        </w:rPr>
        <w:t xml:space="preserve"> </w:t>
      </w:r>
      <w:r w:rsidRPr="00B67989">
        <w:rPr>
          <w:rFonts w:asciiTheme="majorHAnsi" w:hAnsiTheme="majorHAnsi" w:cstheme="majorHAnsi"/>
          <w:sz w:val="22"/>
          <w:szCs w:val="22"/>
        </w:rPr>
        <w:t xml:space="preserve">In other words, these 15-year-old students can be considered functionally illiterate and/or innumerate </w:t>
      </w:r>
      <w:r w:rsidR="006B778A" w:rsidRPr="00B67989">
        <w:rPr>
          <w:rFonts w:asciiTheme="majorHAnsi" w:hAnsiTheme="majorHAnsi" w:cstheme="majorHAnsi"/>
          <w:sz w:val="22"/>
          <w:szCs w:val="22"/>
        </w:rPr>
        <w:t>despite</w:t>
      </w:r>
      <w:r w:rsidRPr="00B67989">
        <w:rPr>
          <w:rFonts w:asciiTheme="majorHAnsi" w:hAnsiTheme="majorHAnsi" w:cstheme="majorHAnsi"/>
          <w:sz w:val="22"/>
          <w:szCs w:val="22"/>
        </w:rPr>
        <w:t xml:space="preserve"> having attended school for nearly nine years. At the other end of the proficiency scale, while 21 percent of students in Singapore, 12 percent each in Korea and Vietnam attained Level 5 or higher in science, only 0.7 percent of Thai students managed to do so. The gaps are even greater in the mathematics domain.</w:t>
      </w:r>
    </w:p>
    <w:p w14:paraId="0F953B6F" w14:textId="1C43C2F3" w:rsidR="008450DD" w:rsidRPr="00527713"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Remaining challenges</w:t>
      </w:r>
      <w:r w:rsidRPr="00B67989">
        <w:rPr>
          <w:rFonts w:asciiTheme="majorHAnsi" w:hAnsiTheme="majorHAnsi" w:cstheme="majorHAnsi"/>
          <w:sz w:val="22"/>
          <w:szCs w:val="22"/>
        </w:rPr>
        <w:t xml:space="preserve">: </w:t>
      </w:r>
      <w:r w:rsidRPr="00B67989">
        <w:rPr>
          <w:rFonts w:asciiTheme="majorHAnsi" w:hAnsiTheme="majorHAnsi" w:cstheme="majorHAnsi"/>
          <w:b/>
          <w:sz w:val="22"/>
          <w:szCs w:val="22"/>
        </w:rPr>
        <w:t>Beyond access, Thailand’s per-student public spending at the pre-primary level continues to be much lower than its peers and the quality of pre-primary education remains a concern</w:t>
      </w:r>
      <w:r w:rsidRPr="00B67989">
        <w:rPr>
          <w:rFonts w:asciiTheme="majorHAnsi" w:hAnsiTheme="majorHAnsi" w:cstheme="majorHAnsi"/>
          <w:sz w:val="22"/>
          <w:szCs w:val="22"/>
        </w:rPr>
        <w:t xml:space="preserve">. The country’s level of per-student public expenditure in 2019 was as much as 47 percent below its international peers at a similar </w:t>
      </w:r>
      <w:r w:rsidRPr="00E9090B">
        <w:rPr>
          <w:rFonts w:asciiTheme="majorHAnsi" w:hAnsiTheme="majorHAnsi" w:cstheme="majorHAnsi"/>
          <w:sz w:val="22"/>
          <w:szCs w:val="22"/>
        </w:rPr>
        <w:t>developmental stage. Real per-student spending at the pre-primary level has remained roughly unchanged over the last decade. The latest Multiple Indicator Cluster Survey 2019 data (MICS6) also revealed that only 61 percent of Thai children aged 3-5 were developmentally on track in the literacy-numeracy domain (</w:t>
      </w:r>
      <w:r w:rsidR="006F615B" w:rsidRPr="006F615B">
        <w:rPr>
          <w:rFonts w:asciiTheme="majorHAnsi" w:hAnsiTheme="majorHAnsi" w:cstheme="majorHAnsi"/>
          <w:sz w:val="22"/>
          <w:szCs w:val="22"/>
        </w:rPr>
        <w:t>National Statistical Office of Thailand</w:t>
      </w:r>
      <w:r w:rsidRPr="00E9090B">
        <w:rPr>
          <w:rFonts w:asciiTheme="majorHAnsi" w:hAnsiTheme="majorHAnsi" w:cstheme="majorHAnsi"/>
          <w:sz w:val="22"/>
          <w:szCs w:val="22"/>
        </w:rPr>
        <w:t xml:space="preserve"> 2020).</w:t>
      </w:r>
      <w:r w:rsidRPr="00B67989">
        <w:rPr>
          <w:rFonts w:asciiTheme="majorHAnsi" w:hAnsiTheme="majorHAnsi" w:cstheme="majorHAnsi"/>
          <w:sz w:val="22"/>
          <w:szCs w:val="22"/>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450DD" w:rsidRPr="00443E58" w14:paraId="3F25A762" w14:textId="77777777">
        <w:trPr>
          <w:jc w:val="center"/>
        </w:trPr>
        <w:tc>
          <w:tcPr>
            <w:tcW w:w="9360" w:type="dxa"/>
            <w:gridSpan w:val="2"/>
          </w:tcPr>
          <w:p w14:paraId="6B15D1FC" w14:textId="15E04D73" w:rsidR="008450DD" w:rsidRPr="00443E58" w:rsidRDefault="008450DD">
            <w:pPr>
              <w:pStyle w:val="Default"/>
              <w:rPr>
                <w:rFonts w:asciiTheme="majorHAnsi" w:hAnsiTheme="majorHAnsi" w:cstheme="majorHAnsi"/>
                <w:b/>
                <w:noProof/>
                <w:sz w:val="22"/>
                <w:szCs w:val="22"/>
                <w:lang w:val="en-GB" w:eastAsia="en-GB"/>
              </w:rPr>
            </w:pPr>
            <w:bookmarkStart w:id="413" w:name="_Ref149775542"/>
            <w:r w:rsidRPr="00443E58">
              <w:rPr>
                <w:rFonts w:asciiTheme="majorHAnsi" w:hAnsiTheme="majorHAnsi" w:cstheme="majorHAnsi"/>
                <w:b/>
                <w:bCs/>
                <w:sz w:val="22"/>
                <w:szCs w:val="22"/>
              </w:rPr>
              <w:t>Figure A.</w:t>
            </w:r>
            <w:r w:rsidR="009B56C0">
              <w:rPr>
                <w:rFonts w:asciiTheme="majorHAnsi" w:hAnsiTheme="majorHAnsi" w:cstheme="majorHAnsi"/>
                <w:b/>
                <w:bCs/>
                <w:sz w:val="22"/>
                <w:szCs w:val="22"/>
              </w:rPr>
              <w:t>1</w:t>
            </w:r>
            <w:r w:rsidR="003371A3" w:rsidRPr="00443E58">
              <w:rPr>
                <w:rFonts w:asciiTheme="majorHAnsi" w:hAnsiTheme="majorHAnsi" w:cstheme="majorHAnsi"/>
                <w:b/>
                <w:bCs/>
                <w:sz w:val="22"/>
                <w:szCs w:val="22"/>
              </w:rPr>
              <w:t>.</w:t>
            </w:r>
            <w:r w:rsidR="003371A3" w:rsidRPr="00443E58">
              <w:rPr>
                <w:rFonts w:asciiTheme="majorHAnsi" w:hAnsiTheme="majorHAnsi" w:cstheme="majorHAnsi"/>
                <w:b/>
                <w:bCs/>
                <w:sz w:val="22"/>
                <w:szCs w:val="22"/>
              </w:rPr>
              <w:fldChar w:fldCharType="begin"/>
            </w:r>
            <w:r w:rsidR="003371A3" w:rsidRPr="00443E58">
              <w:rPr>
                <w:rFonts w:asciiTheme="majorHAnsi" w:hAnsiTheme="majorHAnsi" w:cstheme="majorHAnsi"/>
                <w:b/>
                <w:bCs/>
                <w:sz w:val="22"/>
                <w:szCs w:val="22"/>
              </w:rPr>
              <w:instrText xml:space="preserve"> SEQ Figure_A.2. \* ARABIC </w:instrText>
            </w:r>
            <w:r w:rsidR="003371A3" w:rsidRPr="00443E58">
              <w:rPr>
                <w:rFonts w:asciiTheme="majorHAnsi" w:hAnsiTheme="majorHAnsi" w:cstheme="majorHAnsi"/>
                <w:b/>
                <w:bCs/>
                <w:sz w:val="22"/>
                <w:szCs w:val="22"/>
              </w:rPr>
              <w:fldChar w:fldCharType="separate"/>
            </w:r>
            <w:r w:rsidR="00D17A28" w:rsidRPr="00443E58">
              <w:rPr>
                <w:rFonts w:asciiTheme="majorHAnsi" w:hAnsiTheme="majorHAnsi" w:cstheme="majorHAnsi"/>
                <w:b/>
                <w:bCs/>
                <w:noProof/>
                <w:sz w:val="22"/>
                <w:szCs w:val="22"/>
              </w:rPr>
              <w:t>5</w:t>
            </w:r>
            <w:r w:rsidR="003371A3" w:rsidRPr="00443E58">
              <w:rPr>
                <w:rFonts w:asciiTheme="majorHAnsi" w:hAnsiTheme="majorHAnsi" w:cstheme="majorHAnsi"/>
                <w:b/>
                <w:sz w:val="22"/>
                <w:szCs w:val="22"/>
              </w:rPr>
              <w:fldChar w:fldCharType="end"/>
            </w:r>
            <w:bookmarkEnd w:id="413"/>
            <w:r w:rsidRPr="00443E58">
              <w:rPr>
                <w:rFonts w:asciiTheme="majorHAnsi" w:hAnsiTheme="majorHAnsi" w:cstheme="majorHAnsi"/>
                <w:b/>
                <w:bCs/>
                <w:sz w:val="22"/>
                <w:szCs w:val="22"/>
              </w:rPr>
              <w:t xml:space="preserve"> </w:t>
            </w:r>
            <w:r w:rsidRPr="00443E58">
              <w:rPr>
                <w:rFonts w:asciiTheme="majorHAnsi" w:hAnsiTheme="majorHAnsi" w:cstheme="majorHAnsi"/>
                <w:b/>
                <w:sz w:val="22"/>
                <w:szCs w:val="22"/>
              </w:rPr>
              <w:t>PISA 2015 and 2018 results by proficiency levels in selected EAP countries</w:t>
            </w:r>
          </w:p>
        </w:tc>
      </w:tr>
      <w:tr w:rsidR="008450DD" w:rsidRPr="00726342" w14:paraId="728959C8" w14:textId="77777777">
        <w:trPr>
          <w:jc w:val="center"/>
        </w:trPr>
        <w:tc>
          <w:tcPr>
            <w:tcW w:w="4680" w:type="dxa"/>
          </w:tcPr>
          <w:p w14:paraId="229337BD" w14:textId="098B4F37" w:rsidR="008450DD" w:rsidRPr="00B67989" w:rsidRDefault="00443E58">
            <w:pPr>
              <w:pStyle w:val="Default"/>
              <w:spacing w:before="240" w:after="240"/>
              <w:rPr>
                <w:rFonts w:asciiTheme="majorHAnsi" w:hAnsiTheme="majorHAnsi" w:cstheme="majorBidi"/>
                <w:b/>
                <w:bCs/>
                <w:sz w:val="22"/>
                <w:szCs w:val="22"/>
                <w:lang w:bidi="ar-SA"/>
              </w:rPr>
            </w:pPr>
            <w:r w:rsidRPr="005649FF">
              <w:rPr>
                <w:noProof/>
                <w:lang w:val="en-GB" w:eastAsia="en-GB"/>
              </w:rPr>
              <w:drawing>
                <wp:inline distT="0" distB="0" distL="0" distR="0" wp14:anchorId="406AB251" wp14:editId="5847B640">
                  <wp:extent cx="2924175" cy="2190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c>
          <w:tcPr>
            <w:tcW w:w="4680" w:type="dxa"/>
          </w:tcPr>
          <w:p w14:paraId="04CE1F09" w14:textId="5CA9C6BB" w:rsidR="008450DD" w:rsidRPr="00B67989" w:rsidRDefault="0011506D">
            <w:pPr>
              <w:pStyle w:val="Default"/>
              <w:spacing w:before="240" w:after="240"/>
              <w:rPr>
                <w:rFonts w:asciiTheme="majorHAnsi" w:hAnsiTheme="majorHAnsi" w:cstheme="majorBidi"/>
                <w:b/>
                <w:bCs/>
                <w:sz w:val="22"/>
                <w:szCs w:val="22"/>
                <w:lang w:bidi="ar-SA"/>
              </w:rPr>
            </w:pPr>
            <w:r w:rsidRPr="005649FF">
              <w:rPr>
                <w:noProof/>
                <w:lang w:val="en-GB" w:eastAsia="en-GB"/>
              </w:rPr>
              <w:drawing>
                <wp:inline distT="0" distB="0" distL="0" distR="0" wp14:anchorId="7839EC6A" wp14:editId="612FA1B5">
                  <wp:extent cx="2924175" cy="2190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r>
      <w:tr w:rsidR="008450DD" w:rsidRPr="00726342" w14:paraId="4187FD80" w14:textId="77777777">
        <w:trPr>
          <w:jc w:val="center"/>
        </w:trPr>
        <w:tc>
          <w:tcPr>
            <w:tcW w:w="4680" w:type="dxa"/>
          </w:tcPr>
          <w:p w14:paraId="1A4652BB" w14:textId="633E8F35" w:rsidR="008450DD" w:rsidRPr="00B67989" w:rsidRDefault="006F3D9B">
            <w:pPr>
              <w:pStyle w:val="Default"/>
              <w:spacing w:before="240" w:after="240"/>
              <w:rPr>
                <w:rFonts w:asciiTheme="majorHAnsi" w:hAnsiTheme="majorHAnsi" w:cstheme="majorBidi"/>
                <w:b/>
                <w:bCs/>
                <w:sz w:val="22"/>
                <w:szCs w:val="22"/>
                <w:lang w:bidi="ar-SA"/>
              </w:rPr>
            </w:pPr>
            <w:r w:rsidRPr="005649FF">
              <w:rPr>
                <w:noProof/>
                <w:lang w:val="en-GB" w:eastAsia="en-GB"/>
              </w:rPr>
              <w:lastRenderedPageBreak/>
              <w:drawing>
                <wp:inline distT="0" distB="0" distL="0" distR="0" wp14:anchorId="7208D5B1" wp14:editId="57FAE7A7">
                  <wp:extent cx="2924175" cy="2190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c>
          <w:tcPr>
            <w:tcW w:w="4680" w:type="dxa"/>
          </w:tcPr>
          <w:p w14:paraId="16E09A31" w14:textId="372E0D4A" w:rsidR="008450DD" w:rsidRPr="00B67989" w:rsidRDefault="00F15B0F">
            <w:pPr>
              <w:pStyle w:val="Default"/>
              <w:spacing w:before="240" w:after="240"/>
              <w:rPr>
                <w:rFonts w:asciiTheme="majorHAnsi" w:hAnsiTheme="majorHAnsi" w:cstheme="majorBidi"/>
                <w:b/>
                <w:bCs/>
                <w:sz w:val="22"/>
                <w:szCs w:val="22"/>
                <w:lang w:bidi="ar-SA"/>
              </w:rPr>
            </w:pPr>
            <w:r w:rsidRPr="005649FF">
              <w:rPr>
                <w:noProof/>
                <w:lang w:val="en-GB" w:eastAsia="en-GB"/>
              </w:rPr>
              <w:drawing>
                <wp:inline distT="0" distB="0" distL="0" distR="0" wp14:anchorId="7CC0991F" wp14:editId="03BF3C7E">
                  <wp:extent cx="2924175" cy="2190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r>
    </w:tbl>
    <w:p w14:paraId="1914FE14" w14:textId="77777777" w:rsidR="008450DD" w:rsidRPr="00262841" w:rsidRDefault="008450DD" w:rsidP="008450DD">
      <w:pPr>
        <w:pStyle w:val="ListParagraph"/>
        <w:spacing w:before="240" w:after="240"/>
        <w:ind w:left="1440"/>
        <w:jc w:val="both"/>
        <w:rPr>
          <w:rFonts w:asciiTheme="majorHAnsi" w:hAnsiTheme="majorHAnsi" w:cstheme="majorHAnsi"/>
        </w:rPr>
      </w:pPr>
    </w:p>
    <w:p w14:paraId="5564124A" w14:textId="77777777" w:rsidR="008450DD" w:rsidRPr="00B67989" w:rsidRDefault="008450DD" w:rsidP="00E61E46">
      <w:pPr>
        <w:pStyle w:val="ListParagraph"/>
        <w:numPr>
          <w:ilvl w:val="1"/>
          <w:numId w:val="8"/>
        </w:numPr>
        <w:spacing w:before="240" w:after="240"/>
        <w:jc w:val="both"/>
        <w:rPr>
          <w:rFonts w:asciiTheme="majorHAnsi" w:hAnsiTheme="majorHAnsi" w:cstheme="majorHAnsi"/>
        </w:rPr>
      </w:pPr>
      <w:r w:rsidRPr="00B67989">
        <w:rPr>
          <w:rFonts w:asciiTheme="majorHAnsi" w:hAnsiTheme="majorHAnsi" w:cstheme="majorHAnsi"/>
          <w:b/>
        </w:rPr>
        <w:t xml:space="preserve">Implement effective policies to boost agricultural productivity (high) </w:t>
      </w:r>
    </w:p>
    <w:p w14:paraId="7B1E9698" w14:textId="77777777"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 xml:space="preserve">2016 SCD </w:t>
      </w:r>
      <w:r w:rsidRPr="00B67989">
        <w:rPr>
          <w:rFonts w:asciiTheme="majorHAnsi" w:hAnsiTheme="majorHAnsi" w:cstheme="majorHAnsi"/>
          <w:b/>
          <w:bCs/>
          <w:sz w:val="22"/>
          <w:szCs w:val="22"/>
        </w:rPr>
        <w:t>Priorities</w:t>
      </w:r>
      <w:r w:rsidRPr="00B67989">
        <w:rPr>
          <w:rFonts w:asciiTheme="majorHAnsi" w:hAnsiTheme="majorHAnsi" w:cstheme="majorHAnsi"/>
          <w:b/>
          <w:sz w:val="22"/>
          <w:szCs w:val="22"/>
        </w:rPr>
        <w:t>: Thailand’s agricultural sector faces a low productivity issue that can be addressed by implementing effective policies to boost productivity.</w:t>
      </w:r>
      <w:r w:rsidRPr="00B67989">
        <w:rPr>
          <w:rFonts w:asciiTheme="majorHAnsi" w:hAnsiTheme="majorHAnsi" w:cstheme="majorHAnsi"/>
          <w:sz w:val="22"/>
          <w:szCs w:val="22"/>
        </w:rPr>
        <w:t xml:space="preserve"> This can be achieved by creating well</w:t>
      </w:r>
      <w:r>
        <w:rPr>
          <w:rFonts w:asciiTheme="majorHAnsi" w:hAnsiTheme="majorHAnsi" w:cstheme="majorHAnsi"/>
          <w:sz w:val="22"/>
          <w:szCs w:val="22"/>
        </w:rPr>
        <w:t xml:space="preserve"> </w:t>
      </w:r>
      <w:r w:rsidRPr="00B67989">
        <w:rPr>
          <w:rFonts w:asciiTheme="majorHAnsi" w:hAnsiTheme="majorHAnsi" w:cstheme="majorHAnsi"/>
          <w:sz w:val="22"/>
          <w:szCs w:val="22"/>
        </w:rPr>
        <w:t>paid jobs in agriculture, improving the land rental market, increasing the efficiency and sustainability of irrigation investments, and increasing funding for agricultural research and extension programs. Additionally, moving away from commodity support programs towards broad-based agricultural and food policy can also help reduce rural poverty. These improvements in agricultural policy can help increase pro-poor agricultural growth, which is crucial for the overall economic growth of the country.</w:t>
      </w:r>
    </w:p>
    <w:p w14:paraId="5F842CC5" w14:textId="56594A0A" w:rsidR="008450DD" w:rsidRPr="00B67989" w:rsidRDefault="008450DD" w:rsidP="008450DD">
      <w:pPr>
        <w:pStyle w:val="Default"/>
        <w:spacing w:before="240" w:after="240"/>
        <w:jc w:val="both"/>
        <w:rPr>
          <w:rFonts w:asciiTheme="majorHAnsi" w:eastAsia="Calibri" w:hAnsiTheme="majorHAnsi" w:cstheme="majorHAnsi"/>
          <w:sz w:val="22"/>
          <w:szCs w:val="22"/>
        </w:rPr>
      </w:pPr>
      <w:r w:rsidRPr="00B67989">
        <w:rPr>
          <w:rFonts w:asciiTheme="majorHAnsi" w:hAnsiTheme="majorHAnsi" w:cstheme="majorHAnsi"/>
          <w:b/>
          <w:bCs/>
          <w:sz w:val="22"/>
          <w:szCs w:val="22"/>
        </w:rPr>
        <w:t xml:space="preserve">Progress since 2016: </w:t>
      </w:r>
      <w:r w:rsidRPr="00B67989">
        <w:rPr>
          <w:rFonts w:asciiTheme="majorHAnsi" w:eastAsia="Times New Roman" w:hAnsiTheme="majorHAnsi" w:cstheme="majorHAnsi"/>
          <w:b/>
          <w:bCs/>
          <w:sz w:val="22"/>
          <w:szCs w:val="22"/>
          <w:lang w:val="en-GB"/>
        </w:rPr>
        <w:t xml:space="preserve">The 20-year Agriculture </w:t>
      </w:r>
      <w:r w:rsidRPr="00B67989">
        <w:rPr>
          <w:rFonts w:asciiTheme="majorHAnsi" w:hAnsiTheme="majorHAnsi" w:cstheme="majorHAnsi"/>
          <w:b/>
          <w:bCs/>
          <w:sz w:val="22"/>
          <w:szCs w:val="22"/>
        </w:rPr>
        <w:t>Development</w:t>
      </w:r>
      <w:r w:rsidRPr="00B67989">
        <w:rPr>
          <w:rFonts w:asciiTheme="majorHAnsi" w:eastAsia="Times New Roman" w:hAnsiTheme="majorHAnsi" w:cstheme="majorHAnsi"/>
          <w:b/>
          <w:bCs/>
          <w:sz w:val="22"/>
          <w:szCs w:val="22"/>
          <w:lang w:val="en-GB"/>
        </w:rPr>
        <w:t xml:space="preserve"> Plan (2017-2036), in consonance with the 20-year </w:t>
      </w:r>
      <w:r w:rsidR="0013184C">
        <w:rPr>
          <w:rFonts w:asciiTheme="majorHAnsi" w:eastAsia="Times New Roman" w:hAnsiTheme="majorHAnsi" w:cstheme="majorHAnsi"/>
          <w:b/>
          <w:bCs/>
          <w:sz w:val="22"/>
          <w:szCs w:val="22"/>
          <w:lang w:val="en-GB"/>
        </w:rPr>
        <w:t>N</w:t>
      </w:r>
      <w:r w:rsidRPr="00B67989">
        <w:rPr>
          <w:rFonts w:asciiTheme="majorHAnsi" w:eastAsia="Times New Roman" w:hAnsiTheme="majorHAnsi" w:cstheme="majorHAnsi"/>
          <w:b/>
          <w:bCs/>
          <w:sz w:val="22"/>
          <w:szCs w:val="22"/>
          <w:lang w:val="en-GB"/>
        </w:rPr>
        <w:t xml:space="preserve">ational </w:t>
      </w:r>
      <w:r w:rsidR="0013184C">
        <w:rPr>
          <w:rFonts w:asciiTheme="majorHAnsi" w:eastAsia="Times New Roman" w:hAnsiTheme="majorHAnsi" w:cstheme="majorHAnsi"/>
          <w:b/>
          <w:bCs/>
          <w:sz w:val="22"/>
          <w:szCs w:val="22"/>
          <w:lang w:val="en-GB"/>
        </w:rPr>
        <w:t>S</w:t>
      </w:r>
      <w:r w:rsidRPr="00B67989">
        <w:rPr>
          <w:rFonts w:asciiTheme="majorHAnsi" w:eastAsia="Times New Roman" w:hAnsiTheme="majorHAnsi" w:cstheme="majorHAnsi"/>
          <w:b/>
          <w:bCs/>
          <w:sz w:val="22"/>
          <w:szCs w:val="22"/>
          <w:lang w:val="en-GB"/>
        </w:rPr>
        <w:t>trategy of Thailand,</w:t>
      </w:r>
      <w:r w:rsidRPr="00B67989">
        <w:rPr>
          <w:rFonts w:asciiTheme="majorHAnsi" w:eastAsia="Times New Roman" w:hAnsiTheme="majorHAnsi" w:cstheme="majorHAnsi"/>
          <w:sz w:val="22"/>
          <w:szCs w:val="22"/>
          <w:lang w:val="en-GB"/>
        </w:rPr>
        <w:t xml:space="preserve"> aims at (i) Strengthening the farmers and farmer institutions; (ii) Increasing the productivity and quality standards of agricultural commodities; (iii) Increasing competitiveness in the agricultural sector through technology and innovations; (iv) Balanced and sustainable management of agricultural resources and the environment; and (v) Development of public administration system</w:t>
      </w:r>
      <w:r w:rsidRPr="00B67989">
        <w:rPr>
          <w:rFonts w:asciiTheme="majorHAnsi" w:eastAsia="Calibri" w:hAnsiTheme="majorHAnsi" w:cstheme="majorHAnsi"/>
          <w:sz w:val="22"/>
          <w:szCs w:val="22"/>
        </w:rPr>
        <w:t>.</w:t>
      </w:r>
    </w:p>
    <w:p w14:paraId="6CB65C9A" w14:textId="77777777" w:rsidR="008450DD" w:rsidRPr="00B67989" w:rsidRDefault="008450DD" w:rsidP="008450DD">
      <w:pPr>
        <w:pStyle w:val="Default"/>
        <w:spacing w:before="240" w:after="240"/>
        <w:jc w:val="both"/>
        <w:rPr>
          <w:rFonts w:asciiTheme="majorHAnsi" w:eastAsia="Times New Roman" w:hAnsiTheme="majorHAnsi" w:cstheme="majorHAnsi"/>
          <w:sz w:val="22"/>
          <w:szCs w:val="22"/>
        </w:rPr>
      </w:pPr>
      <w:r w:rsidRPr="00B67989">
        <w:rPr>
          <w:rFonts w:asciiTheme="majorHAnsi" w:eastAsia="Times New Roman" w:hAnsiTheme="majorHAnsi" w:cstheme="majorHAnsi"/>
          <w:b/>
          <w:sz w:val="22"/>
          <w:szCs w:val="22"/>
        </w:rPr>
        <w:t xml:space="preserve">Thailand is a major </w:t>
      </w:r>
      <w:r w:rsidRPr="00B67989">
        <w:rPr>
          <w:rFonts w:asciiTheme="majorHAnsi" w:hAnsiTheme="majorHAnsi" w:cstheme="majorHAnsi"/>
          <w:b/>
          <w:sz w:val="22"/>
          <w:szCs w:val="22"/>
        </w:rPr>
        <w:t>producer</w:t>
      </w:r>
      <w:r w:rsidRPr="00B67989">
        <w:rPr>
          <w:rFonts w:asciiTheme="majorHAnsi" w:eastAsia="Times New Roman" w:hAnsiTheme="majorHAnsi" w:cstheme="majorHAnsi"/>
          <w:b/>
          <w:sz w:val="22"/>
          <w:szCs w:val="22"/>
        </w:rPr>
        <w:t xml:space="preserve"> and exporter of agricultural products.</w:t>
      </w:r>
      <w:r w:rsidRPr="00B67989">
        <w:rPr>
          <w:rFonts w:asciiTheme="majorHAnsi" w:eastAsia="Times New Roman" w:hAnsiTheme="majorHAnsi" w:cstheme="majorHAnsi"/>
          <w:sz w:val="22"/>
          <w:szCs w:val="22"/>
        </w:rPr>
        <w:t xml:space="preserve"> For instance, Thailand is the 6</w:t>
      </w:r>
      <w:r w:rsidRPr="00B67989">
        <w:rPr>
          <w:rFonts w:asciiTheme="majorHAnsi" w:eastAsia="Times New Roman" w:hAnsiTheme="majorHAnsi" w:cstheme="majorHAnsi"/>
          <w:sz w:val="22"/>
          <w:szCs w:val="22"/>
          <w:vertAlign w:val="superscript"/>
        </w:rPr>
        <w:t>th</w:t>
      </w:r>
      <w:r w:rsidRPr="00B67989">
        <w:rPr>
          <w:rFonts w:asciiTheme="majorHAnsi" w:eastAsia="Times New Roman" w:hAnsiTheme="majorHAnsi" w:cstheme="majorHAnsi"/>
          <w:sz w:val="22"/>
          <w:szCs w:val="22"/>
        </w:rPr>
        <w:t xml:space="preserve"> largest rice producer and 2</w:t>
      </w:r>
      <w:r w:rsidRPr="00B67989">
        <w:rPr>
          <w:rFonts w:asciiTheme="majorHAnsi" w:eastAsia="Times New Roman" w:hAnsiTheme="majorHAnsi" w:cstheme="majorHAnsi"/>
          <w:sz w:val="22"/>
          <w:szCs w:val="22"/>
          <w:vertAlign w:val="superscript"/>
        </w:rPr>
        <w:t>nd</w:t>
      </w:r>
      <w:r w:rsidRPr="00B67989">
        <w:rPr>
          <w:rFonts w:asciiTheme="majorHAnsi" w:eastAsia="Times New Roman" w:hAnsiTheme="majorHAnsi" w:cstheme="majorHAnsi"/>
          <w:sz w:val="22"/>
          <w:szCs w:val="22"/>
        </w:rPr>
        <w:t xml:space="preserve"> largest rice exporter in the world. However, Thailand’s average rice yield is the lowest among the 8 major ASEAN rice producing countries of Cambodia, Indonesia, Lao, Malaysia Myanmar, the Philippines, and Vietnam.</w:t>
      </w:r>
    </w:p>
    <w:p w14:paraId="717CB7EE" w14:textId="3A7A44EA"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eastAsia="Times New Roman" w:hAnsiTheme="majorHAnsi" w:cstheme="majorHAnsi"/>
          <w:b/>
          <w:sz w:val="22"/>
          <w:szCs w:val="22"/>
        </w:rPr>
        <w:t xml:space="preserve">Due to declining </w:t>
      </w:r>
      <w:r w:rsidRPr="00B67989">
        <w:rPr>
          <w:rFonts w:asciiTheme="majorHAnsi" w:hAnsiTheme="majorHAnsi" w:cstheme="majorHAnsi"/>
          <w:b/>
          <w:sz w:val="22"/>
          <w:szCs w:val="22"/>
        </w:rPr>
        <w:t>productivity</w:t>
      </w:r>
      <w:r w:rsidRPr="00B67989">
        <w:rPr>
          <w:rFonts w:asciiTheme="majorHAnsi" w:eastAsia="Times New Roman" w:hAnsiTheme="majorHAnsi" w:cstheme="majorHAnsi"/>
          <w:b/>
          <w:sz w:val="22"/>
          <w:szCs w:val="22"/>
        </w:rPr>
        <w:t>, increasing input costs, and increasing risks, farming is hardly viable for small farmers</w:t>
      </w:r>
      <w:r w:rsidR="006B778A">
        <w:rPr>
          <w:rFonts w:asciiTheme="majorHAnsi" w:eastAsia="Times New Roman" w:hAnsiTheme="majorHAnsi" w:cstheme="majorHAnsi"/>
          <w:b/>
          <w:sz w:val="22"/>
          <w:szCs w:val="22"/>
        </w:rPr>
        <w:t>,</w:t>
      </w:r>
      <w:r w:rsidRPr="00B67989">
        <w:rPr>
          <w:rFonts w:asciiTheme="majorHAnsi" w:eastAsia="Times New Roman" w:hAnsiTheme="majorHAnsi" w:cstheme="majorHAnsi"/>
          <w:b/>
          <w:sz w:val="22"/>
          <w:szCs w:val="22"/>
        </w:rPr>
        <w:t xml:space="preserve"> and farming profits have declined significantly.</w:t>
      </w:r>
      <w:r w:rsidRPr="00B67989">
        <w:rPr>
          <w:rFonts w:asciiTheme="majorHAnsi" w:eastAsia="Times New Roman" w:hAnsiTheme="majorHAnsi" w:cstheme="majorHAnsi"/>
          <w:sz w:val="22"/>
          <w:szCs w:val="22"/>
        </w:rPr>
        <w:t xml:space="preserve"> It is challenging for farmers to generate sufficient income to cover their input costs, meet their inflated household expenses and repay these prolonged debts. Poverty and inequality, therefore, remain high in rural areas.</w:t>
      </w:r>
      <w:r w:rsidR="00076F04">
        <w:rPr>
          <w:rFonts w:asciiTheme="majorHAnsi" w:eastAsia="Times New Roman" w:hAnsiTheme="majorHAnsi" w:cstheme="majorHAnsi"/>
          <w:sz w:val="22"/>
          <w:szCs w:val="22"/>
        </w:rPr>
        <w:t xml:space="preserve"> </w:t>
      </w:r>
      <w:r w:rsidRPr="00B67989">
        <w:rPr>
          <w:rFonts w:asciiTheme="majorHAnsi" w:eastAsia="Times New Roman" w:hAnsiTheme="majorHAnsi" w:cstheme="majorHAnsi"/>
          <w:sz w:val="22"/>
          <w:szCs w:val="22"/>
        </w:rPr>
        <w:t xml:space="preserve">The </w:t>
      </w:r>
      <w:r w:rsidRPr="00665270">
        <w:rPr>
          <w:rFonts w:asciiTheme="majorHAnsi" w:eastAsia="Times New Roman" w:hAnsiTheme="majorHAnsi" w:cstheme="majorHAnsi"/>
          <w:bCs/>
          <w:sz w:val="22"/>
          <w:szCs w:val="22"/>
        </w:rPr>
        <w:t>Bank’s</w:t>
      </w:r>
      <w:r w:rsidRPr="00076F04">
        <w:rPr>
          <w:rFonts w:asciiTheme="majorHAnsi" w:eastAsia="Times New Roman" w:hAnsiTheme="majorHAnsi" w:cstheme="majorHAnsi"/>
          <w:bCs/>
          <w:sz w:val="22"/>
          <w:szCs w:val="22"/>
        </w:rPr>
        <w:t xml:space="preserve"> </w:t>
      </w:r>
      <w:r w:rsidRPr="00665270">
        <w:rPr>
          <w:rFonts w:asciiTheme="majorHAnsi" w:eastAsia="Times New Roman" w:hAnsiTheme="majorHAnsi" w:cstheme="majorHAnsi"/>
          <w:bCs/>
          <w:sz w:val="22"/>
          <w:szCs w:val="22"/>
        </w:rPr>
        <w:t>liaison</w:t>
      </w:r>
      <w:r w:rsidRPr="00076F04">
        <w:rPr>
          <w:rFonts w:asciiTheme="majorHAnsi" w:eastAsia="Times New Roman" w:hAnsiTheme="majorHAnsi" w:cstheme="majorHAnsi"/>
          <w:bCs/>
          <w:sz w:val="22"/>
          <w:szCs w:val="22"/>
        </w:rPr>
        <w:t xml:space="preserve"> </w:t>
      </w:r>
      <w:r w:rsidRPr="00665270">
        <w:rPr>
          <w:rFonts w:asciiTheme="majorHAnsi" w:hAnsiTheme="majorHAnsi" w:cstheme="majorHAnsi"/>
          <w:bCs/>
          <w:sz w:val="22"/>
          <w:szCs w:val="22"/>
        </w:rPr>
        <w:t>with</w:t>
      </w:r>
      <w:r w:rsidRPr="00B67989">
        <w:rPr>
          <w:rFonts w:asciiTheme="majorHAnsi" w:eastAsia="Times New Roman" w:hAnsiTheme="majorHAnsi" w:cstheme="majorHAnsi"/>
          <w:sz w:val="22"/>
          <w:szCs w:val="22"/>
        </w:rPr>
        <w:t xml:space="preserve"> the government continued to explore possibilities for agricultural development and a rural income diagnostic which examined challenges and opportunities for rural farmers was carried out in 2022. </w:t>
      </w:r>
    </w:p>
    <w:p w14:paraId="58A9079E" w14:textId="5F166E80"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 xml:space="preserve">Remaining </w:t>
      </w:r>
      <w:r w:rsidRPr="00B67989">
        <w:rPr>
          <w:rFonts w:asciiTheme="majorHAnsi" w:eastAsia="Times New Roman" w:hAnsiTheme="majorHAnsi" w:cstheme="majorHAnsi"/>
          <w:b/>
          <w:sz w:val="22"/>
          <w:szCs w:val="22"/>
        </w:rPr>
        <w:t>challenges</w:t>
      </w:r>
      <w:r w:rsidRPr="00B67989">
        <w:rPr>
          <w:rFonts w:asciiTheme="majorHAnsi" w:hAnsiTheme="majorHAnsi" w:cstheme="majorHAnsi"/>
          <w:b/>
          <w:sz w:val="22"/>
          <w:szCs w:val="22"/>
        </w:rPr>
        <w:t>: The public has become accustomed to commodity support programs and a lack of research in the agriculture sector</w:t>
      </w:r>
      <w:r w:rsidRPr="00B67989">
        <w:rPr>
          <w:rFonts w:asciiTheme="majorHAnsi" w:hAnsiTheme="majorHAnsi" w:cstheme="majorHAnsi"/>
          <w:sz w:val="22"/>
          <w:szCs w:val="22"/>
        </w:rPr>
        <w:t>.</w:t>
      </w:r>
      <w:r w:rsidRPr="00B67989">
        <w:rPr>
          <w:rFonts w:asciiTheme="majorHAnsi" w:hAnsiTheme="majorHAnsi" w:cstheme="majorHAnsi"/>
          <w:color w:val="auto"/>
          <w:sz w:val="22"/>
          <w:szCs w:val="22"/>
        </w:rPr>
        <w:t xml:space="preserve"> </w:t>
      </w:r>
      <w:r w:rsidRPr="00B67989">
        <w:rPr>
          <w:rFonts w:asciiTheme="majorHAnsi" w:hAnsiTheme="majorHAnsi" w:cstheme="majorHAnsi"/>
          <w:sz w:val="22"/>
          <w:szCs w:val="22"/>
        </w:rPr>
        <w:t xml:space="preserve">Farmers suffer from limited and unequal access to water and irrigated </w:t>
      </w:r>
      <w:r w:rsidRPr="00B67989">
        <w:rPr>
          <w:rFonts w:asciiTheme="majorHAnsi" w:hAnsiTheme="majorHAnsi" w:cstheme="majorHAnsi"/>
          <w:sz w:val="22"/>
          <w:szCs w:val="22"/>
        </w:rPr>
        <w:lastRenderedPageBreak/>
        <w:t xml:space="preserve">land as well as limited access to agriculture services and markets. They face increasing input costs as well as high and rising indebtedness. Farm households are mostly smallholders, </w:t>
      </w:r>
      <w:r w:rsidRPr="00E56CD6">
        <w:rPr>
          <w:rFonts w:asciiTheme="majorHAnsi" w:hAnsiTheme="majorHAnsi" w:cstheme="majorHAnsi"/>
          <w:sz w:val="22"/>
          <w:szCs w:val="22"/>
        </w:rPr>
        <w:t>lack crop diversification in their farms, and lack secure land tenure. They are highly exposed to climate shocks and were severely affected by the COVID-19 crisis (</w:t>
      </w:r>
      <w:r w:rsidRPr="001D39AC">
        <w:rPr>
          <w:rFonts w:asciiTheme="majorHAnsi" w:hAnsiTheme="majorHAnsi" w:cstheme="majorHAnsi"/>
          <w:sz w:val="22"/>
          <w:szCs w:val="22"/>
        </w:rPr>
        <w:t xml:space="preserve">for more detailed discussion see </w:t>
      </w:r>
      <w:r w:rsidR="00E56CD6" w:rsidRPr="00863D57">
        <w:t xml:space="preserve">Annex </w:t>
      </w:r>
      <w:r w:rsidR="00B308EA">
        <w:rPr>
          <w:rFonts w:asciiTheme="majorHAnsi" w:hAnsiTheme="majorHAnsi" w:cstheme="majorHAnsi"/>
          <w:sz w:val="22"/>
          <w:szCs w:val="22"/>
        </w:rPr>
        <w:t>7</w:t>
      </w:r>
      <w:r w:rsidRPr="00E56CD6">
        <w:rPr>
          <w:rFonts w:asciiTheme="majorHAnsi" w:hAnsiTheme="majorHAnsi" w:cstheme="majorHAnsi"/>
          <w:sz w:val="22"/>
          <w:szCs w:val="22"/>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4675"/>
        <w:gridCol w:w="4675"/>
      </w:tblGrid>
      <w:tr w:rsidR="008450DD" w:rsidRPr="00726342" w14:paraId="030182F1" w14:textId="77777777">
        <w:tc>
          <w:tcPr>
            <w:tcW w:w="9350" w:type="dxa"/>
            <w:gridSpan w:val="2"/>
            <w:tcBorders>
              <w:bottom w:val="single" w:sz="4" w:space="0" w:color="A7BBD5" w:themeColor="accent1" w:themeTint="66"/>
            </w:tcBorders>
          </w:tcPr>
          <w:p w14:paraId="67961070" w14:textId="46E8ED68" w:rsidR="008450DD" w:rsidRPr="00B67989" w:rsidRDefault="008450DD">
            <w:pPr>
              <w:pStyle w:val="Table"/>
              <w:rPr>
                <w:lang w:val="en-GB"/>
              </w:rPr>
            </w:pPr>
            <w:r w:rsidRPr="003371A3">
              <w:t>Table A.</w:t>
            </w:r>
            <w:r w:rsidR="009B56C0">
              <w:t>1</w:t>
            </w:r>
            <w:r w:rsidR="003371A3" w:rsidRPr="003371A3">
              <w:t>.</w:t>
            </w:r>
            <w:r w:rsidR="009B56C0">
              <w:t>4</w:t>
            </w:r>
            <w:r w:rsidR="009B56C0" w:rsidRPr="00B67989">
              <w:rPr>
                <w:lang w:val="en-GB"/>
              </w:rPr>
              <w:t xml:space="preserve"> </w:t>
            </w:r>
            <w:r w:rsidRPr="00B67989">
              <w:rPr>
                <w:lang w:val="en-GB"/>
              </w:rPr>
              <w:t xml:space="preserve">A summary of challenges facing </w:t>
            </w:r>
            <w:r w:rsidR="00471E35">
              <w:rPr>
                <w:lang w:val="en-GB"/>
              </w:rPr>
              <w:t xml:space="preserve">the </w:t>
            </w:r>
            <w:r w:rsidRPr="00B67989">
              <w:rPr>
                <w:lang w:val="en-GB"/>
              </w:rPr>
              <w:t xml:space="preserve">agricultural sector </w:t>
            </w:r>
          </w:p>
        </w:tc>
      </w:tr>
      <w:tr w:rsidR="008450DD" w:rsidRPr="00726342" w14:paraId="123BA3B9" w14:textId="77777777">
        <w:tc>
          <w:tcPr>
            <w:tcW w:w="4675" w:type="dxa"/>
            <w:tcBorders>
              <w:top w:val="single" w:sz="4" w:space="0" w:color="A7BBD5" w:themeColor="accent1" w:themeTint="66"/>
              <w:left w:val="single" w:sz="4" w:space="0" w:color="A7BBD5" w:themeColor="accent1" w:themeTint="66"/>
              <w:bottom w:val="single" w:sz="4" w:space="0" w:color="A7BBD5" w:themeColor="accent1" w:themeTint="66"/>
              <w:right w:val="single" w:sz="4" w:space="0" w:color="A7BBD5" w:themeColor="accent1" w:themeTint="66"/>
            </w:tcBorders>
          </w:tcPr>
          <w:p w14:paraId="6C08FA64" w14:textId="77777777" w:rsidR="008450DD" w:rsidRPr="003A39CD" w:rsidRDefault="008450DD">
            <w:pPr>
              <w:pStyle w:val="Default"/>
              <w:spacing w:before="40" w:after="40"/>
              <w:jc w:val="both"/>
              <w:rPr>
                <w:rFonts w:ascii="Trebuchet MS" w:eastAsia="Times New Roman" w:hAnsi="Trebuchet MS" w:cstheme="majorHAnsi"/>
                <w:sz w:val="18"/>
                <w:szCs w:val="18"/>
                <w:lang w:val="en-GB"/>
              </w:rPr>
            </w:pPr>
            <w:r w:rsidRPr="003A39CD">
              <w:rPr>
                <w:rFonts w:ascii="Trebuchet MS" w:eastAsia="Times New Roman" w:hAnsi="Trebuchet MS" w:cstheme="majorHAnsi"/>
                <w:sz w:val="18"/>
                <w:szCs w:val="18"/>
                <w:lang w:val="en-GB"/>
              </w:rPr>
              <w:t>Agricultural subsidies and support price policy reforms</w:t>
            </w:r>
          </w:p>
        </w:tc>
        <w:tc>
          <w:tcPr>
            <w:tcW w:w="4675" w:type="dxa"/>
            <w:tcBorders>
              <w:top w:val="single" w:sz="4" w:space="0" w:color="A7BBD5" w:themeColor="accent1" w:themeTint="66"/>
              <w:left w:val="single" w:sz="4" w:space="0" w:color="A7BBD5" w:themeColor="accent1" w:themeTint="66"/>
              <w:bottom w:val="single" w:sz="4" w:space="0" w:color="A7BBD5" w:themeColor="accent1" w:themeTint="66"/>
              <w:right w:val="single" w:sz="4" w:space="0" w:color="A7BBD5" w:themeColor="accent1" w:themeTint="66"/>
            </w:tcBorders>
          </w:tcPr>
          <w:p w14:paraId="2F7AB9EE" w14:textId="77777777" w:rsidR="008450DD" w:rsidRPr="003A39CD" w:rsidRDefault="008450DD">
            <w:pPr>
              <w:pStyle w:val="Default"/>
              <w:spacing w:before="40" w:after="40"/>
              <w:jc w:val="both"/>
              <w:rPr>
                <w:rFonts w:ascii="Trebuchet MS" w:eastAsia="Times New Roman" w:hAnsi="Trebuchet MS" w:cstheme="majorHAnsi"/>
                <w:sz w:val="18"/>
                <w:szCs w:val="18"/>
                <w:lang w:val="en-GB"/>
              </w:rPr>
            </w:pPr>
            <w:r w:rsidRPr="003A39CD">
              <w:rPr>
                <w:rFonts w:ascii="Trebuchet MS" w:eastAsia="Times New Roman" w:hAnsi="Trebuchet MS" w:cstheme="majorHAnsi"/>
                <w:sz w:val="18"/>
                <w:szCs w:val="18"/>
                <w:lang w:val="en-GB"/>
              </w:rPr>
              <w:t>Limited and unequal access to water for agriculture</w:t>
            </w:r>
          </w:p>
        </w:tc>
      </w:tr>
      <w:tr w:rsidR="008450DD" w:rsidRPr="00726342" w14:paraId="7AB8C7B4" w14:textId="77777777">
        <w:tc>
          <w:tcPr>
            <w:tcW w:w="4675" w:type="dxa"/>
            <w:tcBorders>
              <w:top w:val="single" w:sz="4" w:space="0" w:color="A7BBD5" w:themeColor="accent1" w:themeTint="66"/>
              <w:left w:val="single" w:sz="4" w:space="0" w:color="A7BBD5" w:themeColor="accent1" w:themeTint="66"/>
              <w:bottom w:val="single" w:sz="4" w:space="0" w:color="A7BBD5" w:themeColor="accent1" w:themeTint="66"/>
              <w:right w:val="single" w:sz="4" w:space="0" w:color="A7BBD5" w:themeColor="accent1" w:themeTint="66"/>
            </w:tcBorders>
          </w:tcPr>
          <w:p w14:paraId="1504B5E5" w14:textId="77777777" w:rsidR="008450DD" w:rsidRPr="003A39CD" w:rsidRDefault="008450DD">
            <w:pPr>
              <w:pStyle w:val="Default"/>
              <w:spacing w:before="40" w:after="40"/>
              <w:jc w:val="both"/>
              <w:rPr>
                <w:rFonts w:ascii="Trebuchet MS" w:hAnsi="Trebuchet MS" w:cstheme="majorHAnsi"/>
                <w:sz w:val="18"/>
                <w:szCs w:val="18"/>
              </w:rPr>
            </w:pPr>
            <w:r w:rsidRPr="003A39CD">
              <w:rPr>
                <w:rFonts w:ascii="Trebuchet MS" w:hAnsi="Trebuchet MS" w:cstheme="majorHAnsi"/>
                <w:sz w:val="18"/>
                <w:szCs w:val="18"/>
              </w:rPr>
              <w:t>Low total factor productivity as compared with India, Indonesia, and Vietnam</w:t>
            </w:r>
          </w:p>
        </w:tc>
        <w:tc>
          <w:tcPr>
            <w:tcW w:w="4675" w:type="dxa"/>
            <w:tcBorders>
              <w:top w:val="single" w:sz="4" w:space="0" w:color="A7BBD5" w:themeColor="accent1" w:themeTint="66"/>
              <w:left w:val="single" w:sz="4" w:space="0" w:color="A7BBD5" w:themeColor="accent1" w:themeTint="66"/>
              <w:bottom w:val="single" w:sz="4" w:space="0" w:color="A7BBD5" w:themeColor="accent1" w:themeTint="66"/>
              <w:right w:val="single" w:sz="4" w:space="0" w:color="A7BBD5" w:themeColor="accent1" w:themeTint="66"/>
            </w:tcBorders>
          </w:tcPr>
          <w:p w14:paraId="70C2C2D1" w14:textId="77777777" w:rsidR="008450DD" w:rsidRPr="003A39CD" w:rsidRDefault="008450DD">
            <w:pPr>
              <w:pStyle w:val="Default"/>
              <w:spacing w:before="40" w:after="40"/>
              <w:jc w:val="both"/>
              <w:rPr>
                <w:rFonts w:ascii="Trebuchet MS" w:hAnsi="Trebuchet MS" w:cstheme="majorHAnsi"/>
                <w:sz w:val="18"/>
                <w:szCs w:val="18"/>
              </w:rPr>
            </w:pPr>
            <w:r w:rsidRPr="003A39CD">
              <w:rPr>
                <w:rFonts w:ascii="Trebuchet MS" w:hAnsi="Trebuchet MS" w:cstheme="majorHAnsi"/>
                <w:sz w:val="18"/>
                <w:szCs w:val="18"/>
              </w:rPr>
              <w:t>Lack of on-farm diversification and declining farming profits</w:t>
            </w:r>
          </w:p>
        </w:tc>
      </w:tr>
      <w:tr w:rsidR="008450DD" w:rsidRPr="00726342" w14:paraId="23E26427" w14:textId="77777777">
        <w:tc>
          <w:tcPr>
            <w:tcW w:w="4675" w:type="dxa"/>
            <w:tcBorders>
              <w:top w:val="single" w:sz="4" w:space="0" w:color="A7BBD5" w:themeColor="accent1" w:themeTint="66"/>
              <w:left w:val="single" w:sz="4" w:space="0" w:color="A7BBD5" w:themeColor="accent1" w:themeTint="66"/>
              <w:bottom w:val="single" w:sz="4" w:space="0" w:color="A7BBD5" w:themeColor="accent1" w:themeTint="66"/>
              <w:right w:val="single" w:sz="4" w:space="0" w:color="A7BBD5" w:themeColor="accent1" w:themeTint="66"/>
            </w:tcBorders>
          </w:tcPr>
          <w:p w14:paraId="1DD2474B" w14:textId="77777777" w:rsidR="008450DD" w:rsidRPr="003A39CD" w:rsidRDefault="008450DD">
            <w:pPr>
              <w:pStyle w:val="Default"/>
              <w:spacing w:before="40" w:after="40"/>
              <w:jc w:val="both"/>
              <w:rPr>
                <w:rFonts w:ascii="Trebuchet MS" w:hAnsi="Trebuchet MS" w:cstheme="majorHAnsi"/>
                <w:sz w:val="18"/>
                <w:szCs w:val="18"/>
              </w:rPr>
            </w:pPr>
            <w:r w:rsidRPr="003A39CD">
              <w:rPr>
                <w:rFonts w:ascii="Trebuchet MS" w:hAnsi="Trebuchet MS" w:cstheme="majorHAnsi"/>
                <w:sz w:val="18"/>
                <w:szCs w:val="18"/>
              </w:rPr>
              <w:t>Climate change risks: Less adaptability and resilience to climate shocks</w:t>
            </w:r>
          </w:p>
        </w:tc>
        <w:tc>
          <w:tcPr>
            <w:tcW w:w="4675" w:type="dxa"/>
            <w:tcBorders>
              <w:top w:val="single" w:sz="4" w:space="0" w:color="A7BBD5" w:themeColor="accent1" w:themeTint="66"/>
              <w:left w:val="single" w:sz="4" w:space="0" w:color="A7BBD5" w:themeColor="accent1" w:themeTint="66"/>
              <w:bottom w:val="single" w:sz="4" w:space="0" w:color="A7BBD5" w:themeColor="accent1" w:themeTint="66"/>
              <w:right w:val="single" w:sz="4" w:space="0" w:color="A7BBD5" w:themeColor="accent1" w:themeTint="66"/>
            </w:tcBorders>
          </w:tcPr>
          <w:p w14:paraId="2705C850" w14:textId="77777777" w:rsidR="008450DD" w:rsidRPr="003A39CD" w:rsidRDefault="008450DD">
            <w:pPr>
              <w:pStyle w:val="Default"/>
              <w:spacing w:before="40" w:after="40"/>
              <w:jc w:val="both"/>
              <w:rPr>
                <w:rFonts w:ascii="Trebuchet MS" w:hAnsi="Trebuchet MS" w:cstheme="majorHAnsi"/>
                <w:sz w:val="18"/>
                <w:szCs w:val="18"/>
              </w:rPr>
            </w:pPr>
            <w:r w:rsidRPr="003A39CD">
              <w:rPr>
                <w:rFonts w:ascii="Trebuchet MS" w:hAnsi="Trebuchet MS" w:cstheme="majorHAnsi"/>
                <w:sz w:val="18"/>
                <w:szCs w:val="18"/>
              </w:rPr>
              <w:t>Lack of access to finance and markets</w:t>
            </w:r>
          </w:p>
        </w:tc>
      </w:tr>
      <w:tr w:rsidR="008450DD" w:rsidRPr="00726342" w14:paraId="4FB755B9" w14:textId="77777777">
        <w:tc>
          <w:tcPr>
            <w:tcW w:w="4675" w:type="dxa"/>
            <w:tcBorders>
              <w:top w:val="single" w:sz="4" w:space="0" w:color="A7BBD5" w:themeColor="accent1" w:themeTint="66"/>
              <w:left w:val="single" w:sz="4" w:space="0" w:color="A7BBD5" w:themeColor="accent1" w:themeTint="66"/>
              <w:bottom w:val="single" w:sz="12" w:space="0" w:color="A7BBD5" w:themeColor="accent1" w:themeTint="66"/>
              <w:right w:val="single" w:sz="4" w:space="0" w:color="A7BBD5" w:themeColor="accent1" w:themeTint="66"/>
            </w:tcBorders>
          </w:tcPr>
          <w:p w14:paraId="3F2903C2" w14:textId="77777777" w:rsidR="008450DD" w:rsidRPr="003A39CD" w:rsidRDefault="008450DD">
            <w:pPr>
              <w:pStyle w:val="Default"/>
              <w:spacing w:before="40" w:after="40"/>
              <w:jc w:val="both"/>
              <w:rPr>
                <w:rFonts w:ascii="Trebuchet MS" w:hAnsi="Trebuchet MS" w:cstheme="majorHAnsi"/>
                <w:sz w:val="18"/>
                <w:szCs w:val="18"/>
              </w:rPr>
            </w:pPr>
            <w:r w:rsidRPr="003A39CD">
              <w:rPr>
                <w:rFonts w:ascii="Trebuchet MS" w:hAnsi="Trebuchet MS" w:cstheme="majorHAnsi"/>
                <w:sz w:val="18"/>
                <w:szCs w:val="18"/>
              </w:rPr>
              <w:t>Small farm size and lack of tenure security</w:t>
            </w:r>
          </w:p>
        </w:tc>
        <w:tc>
          <w:tcPr>
            <w:tcW w:w="4675" w:type="dxa"/>
            <w:tcBorders>
              <w:top w:val="single" w:sz="4" w:space="0" w:color="A7BBD5" w:themeColor="accent1" w:themeTint="66"/>
              <w:left w:val="single" w:sz="4" w:space="0" w:color="A7BBD5" w:themeColor="accent1" w:themeTint="66"/>
              <w:bottom w:val="single" w:sz="12" w:space="0" w:color="A7BBD5" w:themeColor="accent1" w:themeTint="66"/>
              <w:right w:val="single" w:sz="4" w:space="0" w:color="A7BBD5" w:themeColor="accent1" w:themeTint="66"/>
            </w:tcBorders>
          </w:tcPr>
          <w:p w14:paraId="23821048" w14:textId="77777777" w:rsidR="008450DD" w:rsidRPr="003A39CD" w:rsidRDefault="008450DD">
            <w:pPr>
              <w:pStyle w:val="Default"/>
              <w:spacing w:before="40" w:after="40"/>
              <w:jc w:val="both"/>
              <w:rPr>
                <w:rFonts w:ascii="Trebuchet MS" w:hAnsi="Trebuchet MS" w:cstheme="majorHAnsi"/>
                <w:sz w:val="18"/>
                <w:szCs w:val="18"/>
              </w:rPr>
            </w:pPr>
            <w:r w:rsidRPr="003A39CD">
              <w:rPr>
                <w:rFonts w:ascii="Trebuchet MS" w:hAnsi="Trebuchet MS" w:cstheme="majorHAnsi"/>
                <w:sz w:val="18"/>
                <w:szCs w:val="18"/>
              </w:rPr>
              <w:t>Limited knowledge, capacity, digital literacy, and financial literacy</w:t>
            </w:r>
          </w:p>
        </w:tc>
      </w:tr>
    </w:tbl>
    <w:p w14:paraId="4760838E" w14:textId="77777777" w:rsidR="008450DD" w:rsidRPr="00B67989" w:rsidRDefault="008450DD" w:rsidP="00E61E46">
      <w:pPr>
        <w:pStyle w:val="ListParagraph"/>
        <w:numPr>
          <w:ilvl w:val="1"/>
          <w:numId w:val="8"/>
        </w:numPr>
        <w:spacing w:before="240" w:after="240"/>
        <w:jc w:val="both"/>
        <w:rPr>
          <w:rFonts w:asciiTheme="majorHAnsi" w:hAnsiTheme="majorHAnsi" w:cstheme="majorHAnsi"/>
          <w:b/>
        </w:rPr>
      </w:pPr>
      <w:r w:rsidRPr="0019548E">
        <w:rPr>
          <w:rFonts w:ascii="Times New Roman" w:hAnsi="Times New Roman" w:cs="Times New Roman"/>
          <w:b/>
        </w:rPr>
        <w:t xml:space="preserve"> </w:t>
      </w:r>
      <w:r w:rsidRPr="00B67989">
        <w:rPr>
          <w:rFonts w:asciiTheme="majorHAnsi" w:hAnsiTheme="majorHAnsi" w:cstheme="majorHAnsi"/>
          <w:b/>
        </w:rPr>
        <w:t xml:space="preserve">Build smarter social protection systems, focusing on providing a safety net for poor people (high) </w:t>
      </w:r>
    </w:p>
    <w:p w14:paraId="5CA3C742" w14:textId="52D96BD9"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2016 SCD Findings:</w:t>
      </w:r>
      <w:r w:rsidRPr="00B67989">
        <w:rPr>
          <w:rFonts w:asciiTheme="majorHAnsi" w:hAnsiTheme="majorHAnsi" w:cstheme="majorHAnsi"/>
          <w:sz w:val="22"/>
          <w:szCs w:val="22"/>
        </w:rPr>
        <w:t xml:space="preserve"> </w:t>
      </w:r>
      <w:r w:rsidRPr="00B67989">
        <w:rPr>
          <w:rFonts w:asciiTheme="majorHAnsi" w:hAnsiTheme="majorHAnsi" w:cstheme="majorHAnsi"/>
          <w:b/>
          <w:sz w:val="22"/>
          <w:szCs w:val="22"/>
        </w:rPr>
        <w:t>Thailand is facing the challenge of not having a generalized safety net program for the poor, which could help them break out of the cycle of poverty</w:t>
      </w:r>
      <w:r w:rsidRPr="00B67989">
        <w:rPr>
          <w:rFonts w:asciiTheme="majorHAnsi" w:hAnsiTheme="majorHAnsi" w:cstheme="majorHAnsi"/>
          <w:sz w:val="22"/>
          <w:szCs w:val="22"/>
        </w:rPr>
        <w:t xml:space="preserve">. To address this, a targeting method is needed to identify who the poor and near-poor households are, using their key income and non-income characteristics. The information collected from households could be consolidated into a social registry, which would be the basis for identifying beneficiaries for any safety net benefit and other targeted programs. Additionally, designing a national safety net program for poor households is important, including </w:t>
      </w:r>
      <w:r w:rsidR="00076F04">
        <w:rPr>
          <w:rFonts w:asciiTheme="majorHAnsi" w:hAnsiTheme="majorHAnsi" w:cstheme="majorHAnsi"/>
          <w:sz w:val="22"/>
          <w:szCs w:val="22"/>
        </w:rPr>
        <w:t>‘</w:t>
      </w:r>
      <w:r w:rsidRPr="00B67989">
        <w:rPr>
          <w:rFonts w:asciiTheme="majorHAnsi" w:hAnsiTheme="majorHAnsi" w:cstheme="majorHAnsi"/>
          <w:sz w:val="22"/>
          <w:szCs w:val="22"/>
        </w:rPr>
        <w:t>graduation pathways</w:t>
      </w:r>
      <w:r w:rsidR="00076F04">
        <w:rPr>
          <w:rFonts w:asciiTheme="majorHAnsi" w:hAnsiTheme="majorHAnsi" w:cstheme="majorHAnsi"/>
          <w:sz w:val="22"/>
          <w:szCs w:val="22"/>
        </w:rPr>
        <w:t>’</w:t>
      </w:r>
      <w:r w:rsidRPr="00B67989">
        <w:rPr>
          <w:rFonts w:asciiTheme="majorHAnsi" w:hAnsiTheme="majorHAnsi" w:cstheme="majorHAnsi"/>
          <w:sz w:val="22"/>
          <w:szCs w:val="22"/>
        </w:rPr>
        <w:t xml:space="preserve"> to promote program exit and sustainable livelihoods where possible. </w:t>
      </w:r>
    </w:p>
    <w:p w14:paraId="122025AB" w14:textId="77777777"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 xml:space="preserve">Thailand’s rapidly aging population will also be a particular challenge in the coming decades, </w:t>
      </w:r>
      <w:r w:rsidRPr="00B67989">
        <w:rPr>
          <w:rFonts w:asciiTheme="majorHAnsi" w:hAnsiTheme="majorHAnsi" w:cstheme="majorHAnsi"/>
          <w:sz w:val="22"/>
          <w:szCs w:val="22"/>
        </w:rPr>
        <w:t>pension schemes and the healthcare system will need to be overhauled to support the different disease burdens and needs of the elderly. As the experiences of several OECD countries show, none of the reforms are easy to implement. Thailand will have to implement them from a much weaker starting point (in terms of its income level and level of capacity) and at a much more rapid speed.</w:t>
      </w:r>
    </w:p>
    <w:p w14:paraId="7651B9CE" w14:textId="77777777"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 xml:space="preserve">Progress since 2016: Thailand made considerable progress in establishing a safety net for the poor by rolling out the State Welfare Card (SWC) and the Child Support Grant (CSG) and its policy priorities are focused on targeting the poorest, as laid out in its </w:t>
      </w:r>
      <w:r w:rsidRPr="00B67989">
        <w:rPr>
          <w:rFonts w:asciiTheme="majorHAnsi" w:hAnsiTheme="majorHAnsi" w:cstheme="majorHAnsi"/>
          <w:b/>
          <w:bCs/>
          <w:sz w:val="22"/>
          <w:szCs w:val="22"/>
        </w:rPr>
        <w:t>20</w:t>
      </w:r>
      <w:r w:rsidRPr="00B67989">
        <w:rPr>
          <w:rFonts w:asciiTheme="majorHAnsi" w:hAnsiTheme="majorHAnsi" w:cstheme="majorHAnsi"/>
          <w:b/>
          <w:sz w:val="22"/>
          <w:szCs w:val="22"/>
        </w:rPr>
        <w:t xml:space="preserve">-year National Strategy (2018-2037). </w:t>
      </w:r>
      <w:r w:rsidRPr="00B67989">
        <w:rPr>
          <w:rFonts w:asciiTheme="majorHAnsi" w:hAnsiTheme="majorHAnsi" w:cstheme="majorHAnsi"/>
          <w:sz w:val="22"/>
          <w:szCs w:val="22"/>
        </w:rPr>
        <w:t xml:space="preserve">Both programs use means-tested poverty-targeting to determine eligibility, with the SWC covering about 19 percent of the population, and the CSG covering about 40 percent of Thai’s children (about 1.5 million children) with plans for expansion to 1.8 million in 2024. Social assistance spending also drove most of the reduction in poverty and inequality in 2019. Thailand’s response to the COVID-19 crisis was one of the largest in the region, with spending on social assistance more than tripling, bringing total spending on social assistance to over 3 percent of GDP and the share of the population receiving social assistance increased from around 70 percent to around 81 percent. </w:t>
      </w:r>
    </w:p>
    <w:p w14:paraId="385205E1" w14:textId="5726AB96"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t>Remaining challenges: Difficulty in identifying who the poor and near-poor households are; the challenges of designing a national safety net program for poor households</w:t>
      </w:r>
      <w:r w:rsidRPr="00B67989">
        <w:rPr>
          <w:rFonts w:asciiTheme="majorHAnsi" w:hAnsiTheme="majorHAnsi" w:cstheme="majorHAnsi"/>
          <w:b/>
          <w:bCs/>
          <w:sz w:val="22"/>
          <w:szCs w:val="22"/>
        </w:rPr>
        <w:t xml:space="preserve">; </w:t>
      </w:r>
      <w:r w:rsidR="00A047C2">
        <w:rPr>
          <w:rFonts w:asciiTheme="majorHAnsi" w:hAnsiTheme="majorHAnsi" w:cstheme="majorHAnsi"/>
          <w:b/>
          <w:bCs/>
          <w:sz w:val="22"/>
          <w:szCs w:val="22"/>
        </w:rPr>
        <w:t xml:space="preserve">and </w:t>
      </w:r>
      <w:r w:rsidRPr="00B67989">
        <w:rPr>
          <w:rFonts w:asciiTheme="majorHAnsi" w:hAnsiTheme="majorHAnsi" w:cstheme="majorHAnsi"/>
          <w:b/>
          <w:bCs/>
          <w:sz w:val="22"/>
          <w:szCs w:val="22"/>
        </w:rPr>
        <w:t>low savings for retirement.</w:t>
      </w:r>
      <w:r w:rsidRPr="00B67989">
        <w:rPr>
          <w:rFonts w:asciiTheme="majorHAnsi" w:hAnsiTheme="majorHAnsi" w:cstheme="majorHAnsi"/>
          <w:b/>
          <w:sz w:val="22"/>
          <w:szCs w:val="22"/>
        </w:rPr>
        <w:t xml:space="preserve"> </w:t>
      </w:r>
      <w:r w:rsidRPr="00B67989">
        <w:rPr>
          <w:rFonts w:asciiTheme="majorHAnsi" w:hAnsiTheme="majorHAnsi" w:cstheme="majorHAnsi"/>
          <w:sz w:val="22"/>
          <w:szCs w:val="22"/>
        </w:rPr>
        <w:t xml:space="preserve">Though relatively effective in reducing poverty, this is mainly due to high coverage, as adequacy of social assistance programs is generally low. There is also considerable leakage to upper quintiles, with room for improvement of targeting instruments, including the potential for developing a proxy means that would </w:t>
      </w:r>
      <w:r w:rsidRPr="00B67989">
        <w:rPr>
          <w:rFonts w:asciiTheme="majorHAnsi" w:hAnsiTheme="majorHAnsi" w:cstheme="majorHAnsi"/>
          <w:sz w:val="22"/>
          <w:szCs w:val="22"/>
        </w:rPr>
        <w:lastRenderedPageBreak/>
        <w:t xml:space="preserve">better capture informal income. According to the Stock Exchange of Thailand, 31.3 percent of the aged population do not have any savings for retirement and 53 percent of people have less than B 200,000 savings which equals to B 28 per day for their 20-year retirement period. </w:t>
      </w:r>
    </w:p>
    <w:p w14:paraId="3DB84DE6" w14:textId="77777777" w:rsidR="008450DD" w:rsidRPr="00B67989" w:rsidRDefault="008450DD" w:rsidP="008450DD">
      <w:pPr>
        <w:pStyle w:val="Default"/>
        <w:spacing w:before="240" w:after="240"/>
        <w:jc w:val="both"/>
        <w:rPr>
          <w:rFonts w:asciiTheme="majorHAnsi" w:hAnsiTheme="majorHAnsi" w:cstheme="majorHAnsi"/>
          <w:sz w:val="22"/>
          <w:szCs w:val="22"/>
        </w:rPr>
      </w:pPr>
      <w:r w:rsidRPr="00665270">
        <w:rPr>
          <w:rFonts w:asciiTheme="majorHAnsi" w:hAnsiTheme="majorHAnsi" w:cstheme="majorHAnsi"/>
          <w:b/>
          <w:bCs/>
          <w:sz w:val="22"/>
          <w:szCs w:val="22"/>
        </w:rPr>
        <w:t>According to the Financial Sector Assessment Program (FSAP) 2019, Thailand’s pension system is a multi-pillar pension system</w:t>
      </w:r>
      <w:r w:rsidRPr="00B67989">
        <w:rPr>
          <w:rFonts w:asciiTheme="majorHAnsi" w:hAnsiTheme="majorHAnsi" w:cstheme="majorHAnsi"/>
          <w:sz w:val="22"/>
          <w:szCs w:val="22"/>
        </w:rPr>
        <w:t xml:space="preserve">; consisting of pillar zero, 1, 2, and 3, which covers only a small segment of the population. With the expectation of a fast-aging population due to low birth rates and long-life expectancy, the existing pension funds are not enough to cover the aging problem nor solve the poverty problem. </w:t>
      </w:r>
    </w:p>
    <w:p w14:paraId="62913D21" w14:textId="77777777" w:rsidR="008450DD" w:rsidRPr="00B67989" w:rsidRDefault="008450DD" w:rsidP="008450DD">
      <w:pPr>
        <w:rPr>
          <w:rFonts w:asciiTheme="majorHAnsi" w:hAnsiTheme="majorHAnsi" w:cstheme="majorHAnsi"/>
          <w:b/>
        </w:rPr>
      </w:pPr>
      <w:r w:rsidRPr="00B67989">
        <w:rPr>
          <w:rFonts w:asciiTheme="majorHAnsi" w:hAnsiTheme="majorHAnsi" w:cstheme="majorHAnsi"/>
          <w:b/>
        </w:rPr>
        <w:t xml:space="preserve">Pathway 3: Making growth greener and more </w:t>
      </w:r>
      <w:proofErr w:type="gramStart"/>
      <w:r w:rsidRPr="00B67989">
        <w:rPr>
          <w:rFonts w:asciiTheme="majorHAnsi" w:hAnsiTheme="majorHAnsi" w:cstheme="majorHAnsi"/>
          <w:b/>
        </w:rPr>
        <w:t>resilient</w:t>
      </w:r>
      <w:proofErr w:type="gramEnd"/>
    </w:p>
    <w:p w14:paraId="78E30D40" w14:textId="0E206C8B" w:rsidR="008450DD"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Thailand has demonstrated its long-term commitment to addressing both the environmental concerns and the challenges of climate change to support the more resilient growth of the country.</w:t>
      </w:r>
      <w:r w:rsidRPr="00B67989">
        <w:rPr>
          <w:rFonts w:asciiTheme="majorHAnsi" w:hAnsiTheme="majorHAnsi" w:cstheme="majorHAnsi"/>
          <w:sz w:val="22"/>
          <w:szCs w:val="22"/>
        </w:rPr>
        <w:t xml:space="preserve"> Those efforts are mainly embedded in their 20-year National Strategy (2017-2036), the Bio-Circular-Green (BCG) Economy, Second Nationally Determined Contribution (NDC), and Long-term Low Greenhouse Gas Emission Development Strategy (LT-LEDS) to push toward the ambitious target of long-term carbon neutrality in 2050 and net-zero target in 2065. However, several challenges remain</w:t>
      </w:r>
      <w:r w:rsidR="00A047C2">
        <w:rPr>
          <w:rFonts w:asciiTheme="majorHAnsi" w:hAnsiTheme="majorHAnsi" w:cstheme="majorHAnsi"/>
          <w:sz w:val="22"/>
          <w:szCs w:val="22"/>
        </w:rPr>
        <w:t>,</w:t>
      </w:r>
      <w:r w:rsidRPr="00B67989">
        <w:rPr>
          <w:rFonts w:asciiTheme="majorHAnsi" w:hAnsiTheme="majorHAnsi" w:cstheme="majorHAnsi"/>
          <w:sz w:val="22"/>
          <w:szCs w:val="22"/>
        </w:rPr>
        <w:t xml:space="preserve"> such as the effective implementation and enforcement of the Environmental impact assessment (EIA), the increasing level of air pollution, and the threats to the country’s forest resources including biodiversity. Thailand’s rapid development has also raised water demand drastically and is putting pressure on water resource availability. Increasing vulnerability to climate change also has underlined the limited resources and funding for implementing better land zoning and management. Challenges also come from the resistance from industries and businesses to stricter regulations and higher costs associated with implementing energy efficiency measures, the insufficient coordination with the private sector to achieve emissions reduction goals, as well as the insufficient cooperation among the Greater Mekong Subregion (GMS) and ASEAN to harmonize power grid codes and facilitate power trade.</w:t>
      </w:r>
    </w:p>
    <w:p w14:paraId="39805087" w14:textId="77777777" w:rsidR="008450DD" w:rsidRPr="00B67989" w:rsidRDefault="008450DD" w:rsidP="008450DD">
      <w:pPr>
        <w:spacing w:before="240" w:after="240"/>
        <w:ind w:left="1080"/>
        <w:jc w:val="both"/>
        <w:rPr>
          <w:rFonts w:asciiTheme="majorHAnsi" w:hAnsiTheme="majorHAnsi" w:cstheme="majorHAnsi"/>
          <w:b/>
        </w:rPr>
      </w:pPr>
      <w:r w:rsidRPr="00B67989">
        <w:rPr>
          <w:rFonts w:asciiTheme="majorHAnsi" w:hAnsiTheme="majorHAnsi" w:cstheme="majorHAnsi"/>
          <w:b/>
        </w:rPr>
        <w:t xml:space="preserve">3.1. Manage Thailand’s natural resources and environment (high) </w:t>
      </w:r>
    </w:p>
    <w:p w14:paraId="6FCBC5D7" w14:textId="5C3EA25B"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t>2016 SCD Findin</w:t>
      </w:r>
      <w:r w:rsidRPr="00A047C2">
        <w:rPr>
          <w:rFonts w:asciiTheme="majorHAnsi" w:hAnsiTheme="majorHAnsi" w:cstheme="majorHAnsi"/>
          <w:b/>
          <w:sz w:val="22"/>
          <w:szCs w:val="22"/>
        </w:rPr>
        <w:t>gs:</w:t>
      </w:r>
      <w:r w:rsidRPr="00665270">
        <w:rPr>
          <w:rFonts w:asciiTheme="majorHAnsi" w:hAnsiTheme="majorHAnsi" w:cstheme="majorHAnsi"/>
          <w:b/>
        </w:rPr>
        <w:t xml:space="preserve"> </w:t>
      </w:r>
      <w:r w:rsidRPr="00A047C2">
        <w:rPr>
          <w:rFonts w:asciiTheme="majorHAnsi" w:hAnsiTheme="majorHAnsi" w:cstheme="majorHAnsi"/>
          <w:b/>
        </w:rPr>
        <w:t>Thailand</w:t>
      </w:r>
      <w:r w:rsidRPr="00665270">
        <w:rPr>
          <w:rFonts w:asciiTheme="majorHAnsi" w:hAnsiTheme="majorHAnsi" w:cstheme="majorHAnsi"/>
          <w:b/>
        </w:rPr>
        <w:t xml:space="preserve"> has plans and regulations in place to </w:t>
      </w:r>
      <w:r w:rsidR="00076F04" w:rsidRPr="00665270">
        <w:rPr>
          <w:rFonts w:asciiTheme="majorHAnsi" w:hAnsiTheme="majorHAnsi" w:cstheme="majorHAnsi"/>
          <w:b/>
        </w:rPr>
        <w:t>‘</w:t>
      </w:r>
      <w:r w:rsidRPr="00665270">
        <w:rPr>
          <w:rFonts w:asciiTheme="majorHAnsi" w:hAnsiTheme="majorHAnsi" w:cstheme="majorHAnsi"/>
          <w:b/>
        </w:rPr>
        <w:t>brown</w:t>
      </w:r>
      <w:r w:rsidR="00076F04" w:rsidRPr="00665270">
        <w:rPr>
          <w:rFonts w:asciiTheme="majorHAnsi" w:hAnsiTheme="majorHAnsi" w:cstheme="majorHAnsi"/>
          <w:b/>
        </w:rPr>
        <w:t>’</w:t>
      </w:r>
      <w:r w:rsidRPr="00665270">
        <w:rPr>
          <w:rFonts w:asciiTheme="majorHAnsi" w:hAnsiTheme="majorHAnsi" w:cstheme="majorHAnsi"/>
          <w:b/>
        </w:rPr>
        <w:t xml:space="preserve"> environment (air, water, waste) problems. </w:t>
      </w:r>
      <w:r w:rsidRPr="00B67989">
        <w:rPr>
          <w:rFonts w:asciiTheme="majorHAnsi" w:hAnsiTheme="majorHAnsi" w:cstheme="majorHAnsi"/>
          <w:sz w:val="22"/>
          <w:szCs w:val="22"/>
        </w:rPr>
        <w:t>The key now is to move forward with their implementation. Environmental concerns should be considered when making policy decisions in other areas that may have negative impacts on the environment. Importantly, flood and drought risk management could be strengthened by being less reactive. In addition, understanding and mitigating the potential impacts arising from necessary large-scale public investments in an inclusive manner will be important to ensure the viability and sustainability of such investments.</w:t>
      </w:r>
    </w:p>
    <w:p w14:paraId="7771BE11" w14:textId="69E76FD9"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t xml:space="preserve">Progress since 2016: </w:t>
      </w:r>
      <w:r w:rsidRPr="00665270">
        <w:rPr>
          <w:rFonts w:asciiTheme="majorHAnsi" w:hAnsiTheme="majorHAnsi" w:cstheme="majorHAnsi"/>
          <w:b/>
          <w:bCs/>
          <w:sz w:val="22"/>
          <w:szCs w:val="22"/>
        </w:rPr>
        <w:t xml:space="preserve">The </w:t>
      </w:r>
      <w:r w:rsidRPr="00A047C2">
        <w:rPr>
          <w:rFonts w:asciiTheme="majorHAnsi" w:hAnsiTheme="majorHAnsi" w:cstheme="majorHAnsi"/>
          <w:b/>
          <w:bCs/>
          <w:sz w:val="22"/>
          <w:szCs w:val="22"/>
        </w:rPr>
        <w:t>Government</w:t>
      </w:r>
      <w:r w:rsidRPr="00665270">
        <w:rPr>
          <w:rFonts w:asciiTheme="majorHAnsi" w:hAnsiTheme="majorHAnsi" w:cstheme="majorHAnsi"/>
          <w:b/>
          <w:bCs/>
          <w:sz w:val="22"/>
          <w:szCs w:val="22"/>
        </w:rPr>
        <w:t xml:space="preserve"> has made several efforts in setting a long-term vision with ambitious targets to address environmental concerns to support the more sustainable growth of the country.</w:t>
      </w:r>
      <w:r w:rsidRPr="00B67989">
        <w:rPr>
          <w:rFonts w:asciiTheme="majorHAnsi" w:hAnsiTheme="majorHAnsi" w:cstheme="majorHAnsi"/>
          <w:sz w:val="22"/>
          <w:szCs w:val="22"/>
        </w:rPr>
        <w:t xml:space="preserve"> The 5</w:t>
      </w:r>
      <w:r w:rsidRPr="00B67989">
        <w:rPr>
          <w:rFonts w:asciiTheme="majorHAnsi" w:hAnsiTheme="majorHAnsi" w:cstheme="majorHAnsi"/>
          <w:sz w:val="22"/>
          <w:szCs w:val="22"/>
          <w:vertAlign w:val="superscript"/>
        </w:rPr>
        <w:t>th</w:t>
      </w:r>
      <w:r w:rsidRPr="00B67989">
        <w:rPr>
          <w:rFonts w:asciiTheme="majorHAnsi" w:hAnsiTheme="majorHAnsi" w:cstheme="majorHAnsi"/>
          <w:sz w:val="22"/>
          <w:szCs w:val="22"/>
        </w:rPr>
        <w:t xml:space="preserve"> National Strategy on Eco-Friendly Development and Growth under the 20-year National Strategy (2017-2036) has set several important milestones in terms of environmental performance including a goal to increase the area of forest by 40 percent of the country’s land, and sustainable growth based on the blue economy. The Roadmap for Plastic Waste Management 2018-2030 has also been published with the Plastic Waste Management Action Plan Phase 1, 2020-2022 to tackle the plastic waste pollution and marine debris in the past few years though a gap remains in the implementation and enforcement due to inadequate government resources, knowledge, technology, and innovation.</w:t>
      </w:r>
    </w:p>
    <w:p w14:paraId="619580D8" w14:textId="77777777"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lastRenderedPageBreak/>
        <w:t>Therefore, Thailand’s post-COVID</w:t>
      </w:r>
      <w:r w:rsidRPr="00B67989">
        <w:rPr>
          <w:rFonts w:asciiTheme="majorHAnsi" w:hAnsiTheme="majorHAnsi" w:cstheme="majorHAnsi"/>
          <w:b/>
          <w:bCs/>
          <w:sz w:val="22"/>
          <w:szCs w:val="22"/>
        </w:rPr>
        <w:t>-19</w:t>
      </w:r>
      <w:r w:rsidRPr="00B67989">
        <w:rPr>
          <w:rFonts w:asciiTheme="majorHAnsi" w:hAnsiTheme="majorHAnsi" w:cstheme="majorHAnsi"/>
          <w:b/>
          <w:sz w:val="22"/>
          <w:szCs w:val="22"/>
        </w:rPr>
        <w:t xml:space="preserve"> sustainable development strategy emphasizes the harnessing of knowledge, technology, and innovation as key to creating economic value</w:t>
      </w:r>
      <w:r w:rsidRPr="00B67989">
        <w:rPr>
          <w:rFonts w:asciiTheme="majorHAnsi" w:hAnsiTheme="majorHAnsi" w:cstheme="majorHAnsi"/>
          <w:b/>
          <w:bCs/>
          <w:sz w:val="22"/>
          <w:szCs w:val="22"/>
        </w:rPr>
        <w:t>,</w:t>
      </w:r>
      <w:r w:rsidRPr="00B67989">
        <w:rPr>
          <w:rFonts w:asciiTheme="majorHAnsi" w:hAnsiTheme="majorHAnsi" w:cstheme="majorHAnsi"/>
          <w:b/>
          <w:sz w:val="22"/>
          <w:szCs w:val="22"/>
        </w:rPr>
        <w:t xml:space="preserve"> building on its natural resource wealth potential and cultural diversity</w:t>
      </w:r>
      <w:r w:rsidRPr="00B67989">
        <w:rPr>
          <w:rFonts w:asciiTheme="majorHAnsi" w:hAnsiTheme="majorHAnsi" w:cstheme="majorHAnsi"/>
          <w:sz w:val="22"/>
          <w:szCs w:val="22"/>
        </w:rPr>
        <w:t>. The Bio-Circular-Green (BCG) economic model has been introduced by the Government of Thailand as a strategy to enable sustainable and inclusive growth, in line with the UN Sustainable Development Goals (SDGs) and the Sufficiency Economy Philosophy. The model aims at applying the concepts of bioeconomy, circular economy, and green economy to develop high value products and services that are eco-friendly and require less resource input, while conserving natural and biological resources.</w:t>
      </w:r>
    </w:p>
    <w:p w14:paraId="3F7CC33F" w14:textId="556BF1C3"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 xml:space="preserve">Remaining challenges: The enforcement and monitoring </w:t>
      </w:r>
      <w:r w:rsidR="00A047C2">
        <w:rPr>
          <w:rFonts w:asciiTheme="majorHAnsi" w:hAnsiTheme="majorHAnsi" w:cstheme="majorHAnsi"/>
          <w:b/>
          <w:sz w:val="22"/>
          <w:szCs w:val="22"/>
        </w:rPr>
        <w:t xml:space="preserve">of </w:t>
      </w:r>
      <w:r w:rsidRPr="00B67989">
        <w:rPr>
          <w:rFonts w:asciiTheme="majorHAnsi" w:hAnsiTheme="majorHAnsi" w:cstheme="majorHAnsi"/>
          <w:b/>
          <w:sz w:val="22"/>
          <w:szCs w:val="22"/>
        </w:rPr>
        <w:t xml:space="preserve">the implementation of </w:t>
      </w:r>
      <w:r w:rsidR="00A047C2">
        <w:rPr>
          <w:rFonts w:asciiTheme="majorHAnsi" w:hAnsiTheme="majorHAnsi" w:cstheme="majorHAnsi"/>
          <w:b/>
          <w:sz w:val="22"/>
          <w:szCs w:val="22"/>
        </w:rPr>
        <w:t xml:space="preserve">the </w:t>
      </w:r>
      <w:r w:rsidRPr="00B67989">
        <w:rPr>
          <w:rFonts w:asciiTheme="majorHAnsi" w:hAnsiTheme="majorHAnsi" w:cstheme="majorHAnsi"/>
          <w:b/>
          <w:sz w:val="22"/>
          <w:szCs w:val="22"/>
        </w:rPr>
        <w:t xml:space="preserve">Environmental </w:t>
      </w:r>
      <w:r w:rsidR="00A047C2">
        <w:rPr>
          <w:rFonts w:asciiTheme="majorHAnsi" w:hAnsiTheme="majorHAnsi" w:cstheme="majorHAnsi"/>
          <w:b/>
          <w:sz w:val="22"/>
          <w:szCs w:val="22"/>
        </w:rPr>
        <w:t>I</w:t>
      </w:r>
      <w:r w:rsidRPr="00B67989">
        <w:rPr>
          <w:rFonts w:asciiTheme="majorHAnsi" w:hAnsiTheme="majorHAnsi" w:cstheme="majorHAnsi"/>
          <w:b/>
          <w:sz w:val="22"/>
          <w:szCs w:val="22"/>
        </w:rPr>
        <w:t xml:space="preserve">mpact </w:t>
      </w:r>
      <w:r w:rsidR="00A047C2">
        <w:rPr>
          <w:rFonts w:asciiTheme="majorHAnsi" w:hAnsiTheme="majorHAnsi" w:cstheme="majorHAnsi"/>
          <w:b/>
          <w:sz w:val="22"/>
          <w:szCs w:val="22"/>
        </w:rPr>
        <w:t>A</w:t>
      </w:r>
      <w:r w:rsidRPr="00B67989">
        <w:rPr>
          <w:rFonts w:asciiTheme="majorHAnsi" w:hAnsiTheme="majorHAnsi" w:cstheme="majorHAnsi"/>
          <w:b/>
          <w:sz w:val="22"/>
          <w:szCs w:val="22"/>
        </w:rPr>
        <w:t xml:space="preserve">ssessment (EIA) </w:t>
      </w:r>
      <w:r w:rsidRPr="00B67989">
        <w:rPr>
          <w:rFonts w:asciiTheme="majorHAnsi" w:hAnsiTheme="majorHAnsi" w:cstheme="majorHAnsi"/>
          <w:sz w:val="22"/>
          <w:szCs w:val="22"/>
        </w:rPr>
        <w:t>remain</w:t>
      </w:r>
      <w:r w:rsidR="00076F04">
        <w:rPr>
          <w:rFonts w:asciiTheme="majorHAnsi" w:hAnsiTheme="majorHAnsi" w:cstheme="majorHAnsi"/>
          <w:sz w:val="22"/>
          <w:szCs w:val="22"/>
        </w:rPr>
        <w:t>s</w:t>
      </w:r>
      <w:r w:rsidRPr="00B67989">
        <w:rPr>
          <w:rFonts w:asciiTheme="majorHAnsi" w:hAnsiTheme="majorHAnsi" w:cstheme="majorHAnsi"/>
          <w:sz w:val="22"/>
          <w:szCs w:val="22"/>
        </w:rPr>
        <w:t xml:space="preserve"> a challenge due to the </w:t>
      </w:r>
      <w:r w:rsidRPr="00B67989">
        <w:rPr>
          <w:rFonts w:asciiTheme="majorHAnsi" w:eastAsiaTheme="minorEastAsia" w:hAnsiTheme="majorHAnsi" w:cstheme="majorHAnsi"/>
          <w:color w:val="000000" w:themeColor="text1"/>
          <w:sz w:val="22"/>
          <w:szCs w:val="22"/>
        </w:rPr>
        <w:t>limited awareness and engagement on environmental issues, resistance to change from stakeholders who may be negatively affected by environmental regulations and policies, and inadequate</w:t>
      </w:r>
      <w:r w:rsidRPr="00B67989">
        <w:rPr>
          <w:rFonts w:asciiTheme="majorHAnsi" w:hAnsiTheme="majorHAnsi" w:cstheme="majorHAnsi"/>
          <w:sz w:val="22"/>
          <w:szCs w:val="22"/>
        </w:rPr>
        <w:t xml:space="preserve"> government resources and systematic systems in place to handle them.</w:t>
      </w:r>
    </w:p>
    <w:p w14:paraId="305B2D7E" w14:textId="77777777"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eastAsiaTheme="minorEastAsia" w:hAnsiTheme="majorHAnsi" w:cstheme="majorHAnsi"/>
          <w:b/>
          <w:color w:val="000000" w:themeColor="text1"/>
          <w:sz w:val="22"/>
          <w:szCs w:val="22"/>
        </w:rPr>
        <w:t xml:space="preserve">Air pollution from the three </w:t>
      </w:r>
      <w:r w:rsidRPr="00B67989">
        <w:rPr>
          <w:rFonts w:asciiTheme="majorHAnsi" w:hAnsiTheme="majorHAnsi" w:cstheme="majorHAnsi"/>
          <w:b/>
          <w:sz w:val="22"/>
          <w:szCs w:val="22"/>
        </w:rPr>
        <w:t>main</w:t>
      </w:r>
      <w:r w:rsidRPr="00B67989">
        <w:rPr>
          <w:rFonts w:asciiTheme="majorHAnsi" w:eastAsiaTheme="minorEastAsia" w:hAnsiTheme="majorHAnsi" w:cstheme="majorHAnsi"/>
          <w:b/>
          <w:color w:val="000000" w:themeColor="text1"/>
          <w:sz w:val="22"/>
          <w:szCs w:val="22"/>
        </w:rPr>
        <w:t xml:space="preserve"> air pollutants (PM2.5, PM10, and ozone depletion)</w:t>
      </w:r>
      <w:r w:rsidRPr="00B67989">
        <w:rPr>
          <w:rFonts w:asciiTheme="majorHAnsi" w:eastAsiaTheme="minorEastAsia" w:hAnsiTheme="majorHAnsi" w:cstheme="majorHAnsi"/>
          <w:b/>
          <w:color w:val="000000" w:themeColor="text1"/>
          <w:sz w:val="22"/>
          <w:szCs w:val="22"/>
          <w:cs/>
          <w:lang w:bidi="th-TH"/>
        </w:rPr>
        <w:t xml:space="preserve"> </w:t>
      </w:r>
      <w:r w:rsidRPr="00B67989">
        <w:rPr>
          <w:rFonts w:asciiTheme="majorHAnsi" w:eastAsiaTheme="minorEastAsia" w:hAnsiTheme="majorHAnsi" w:cstheme="majorHAnsi"/>
          <w:b/>
          <w:color w:val="000000" w:themeColor="text1"/>
          <w:sz w:val="22"/>
          <w:szCs w:val="22"/>
          <w:lang w:bidi="th-TH"/>
        </w:rPr>
        <w:t xml:space="preserve">continues to be </w:t>
      </w:r>
      <w:r w:rsidRPr="00B67989">
        <w:rPr>
          <w:rFonts w:asciiTheme="majorHAnsi" w:eastAsiaTheme="minorEastAsia" w:hAnsiTheme="majorHAnsi" w:cstheme="majorHAnsi"/>
          <w:b/>
          <w:color w:val="000000" w:themeColor="text1"/>
          <w:sz w:val="22"/>
          <w:szCs w:val="22"/>
        </w:rPr>
        <w:t>a major challenge</w:t>
      </w:r>
      <w:r w:rsidRPr="00B67989">
        <w:rPr>
          <w:rFonts w:asciiTheme="majorHAnsi" w:eastAsiaTheme="minorEastAsia" w:hAnsiTheme="majorHAnsi" w:cstheme="majorHAnsi"/>
          <w:b/>
          <w:bCs/>
          <w:color w:val="000000" w:themeColor="text1"/>
          <w:sz w:val="22"/>
          <w:szCs w:val="22"/>
        </w:rPr>
        <w:t>,</w:t>
      </w:r>
      <w:r w:rsidRPr="00B67989">
        <w:rPr>
          <w:rFonts w:asciiTheme="majorHAnsi" w:eastAsiaTheme="minorEastAsia" w:hAnsiTheme="majorHAnsi" w:cstheme="majorHAnsi"/>
          <w:b/>
          <w:color w:val="000000" w:themeColor="text1"/>
          <w:sz w:val="22"/>
          <w:szCs w:val="22"/>
        </w:rPr>
        <w:t xml:space="preserve"> costing the economy both in terms of health expenses and human resource productivity.</w:t>
      </w:r>
      <w:r w:rsidRPr="00B67989">
        <w:rPr>
          <w:rFonts w:asciiTheme="majorHAnsi" w:eastAsiaTheme="minorEastAsia" w:hAnsiTheme="majorHAnsi" w:cstheme="majorHAnsi"/>
          <w:color w:val="000000" w:themeColor="text1"/>
          <w:sz w:val="22"/>
          <w:szCs w:val="22"/>
        </w:rPr>
        <w:t xml:space="preserve"> Air pollution is normally found in industrial zones, cities, and areas with high levels of agricultural burning and forest fires.</w:t>
      </w:r>
    </w:p>
    <w:p w14:paraId="34ECF9F0" w14:textId="2926B017"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bCs/>
          <w:sz w:val="22"/>
          <w:szCs w:val="22"/>
        </w:rPr>
        <w:t>Threats</w:t>
      </w:r>
      <w:r w:rsidRPr="00B67989">
        <w:rPr>
          <w:rFonts w:asciiTheme="majorHAnsi" w:hAnsiTheme="majorHAnsi" w:cstheme="majorHAnsi"/>
          <w:b/>
          <w:sz w:val="22"/>
          <w:szCs w:val="22"/>
        </w:rPr>
        <w:t xml:space="preserve"> to biodiversity in Thailand is also another challenging issue to maintain the country’s sustainable growth pathway.</w:t>
      </w:r>
      <w:r w:rsidRPr="00B67989">
        <w:rPr>
          <w:rFonts w:asciiTheme="majorHAnsi" w:hAnsiTheme="majorHAnsi" w:cstheme="majorHAnsi"/>
          <w:sz w:val="22"/>
          <w:szCs w:val="22"/>
        </w:rPr>
        <w:t xml:space="preserve"> Thailand is one of the richest biodiversity countries in Southeast Asia and located in biogeographical regions that accounts for 8-10 percent of plant and animal varieties in the world. However, the country is facing several threats that deteriorate natural treasures, as well as sources of sustainable growth and income. These threats include illegal hunting, crop and forest burning, livestock grazing, forest clearance/illegal logging, destructive fishing practices, disturbance caused by tourism and transportation, environmental pollution, forest fires, coral bleaching, and wetland loss.</w:t>
      </w:r>
    </w:p>
    <w:p w14:paraId="023D4AC0" w14:textId="77777777" w:rsidR="008450DD" w:rsidRPr="00B67989" w:rsidRDefault="008450DD" w:rsidP="008450DD">
      <w:pPr>
        <w:spacing w:before="240" w:after="240"/>
        <w:ind w:firstLine="720"/>
        <w:jc w:val="both"/>
        <w:rPr>
          <w:rFonts w:asciiTheme="majorHAnsi" w:hAnsiTheme="majorHAnsi" w:cstheme="majorHAnsi"/>
          <w:b/>
        </w:rPr>
      </w:pPr>
      <w:r w:rsidRPr="00B67989">
        <w:rPr>
          <w:rFonts w:asciiTheme="majorHAnsi" w:hAnsiTheme="majorHAnsi" w:cstheme="majorHAnsi"/>
          <w:b/>
        </w:rPr>
        <w:t xml:space="preserve">3.2. Reduce vulnerability to natural disasters and climate change by focusing on better land zoning and management to reduce the flood/drought prone areas (medium)  </w:t>
      </w:r>
    </w:p>
    <w:p w14:paraId="5A30C27C" w14:textId="4C3E2B8F"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2016 SCD Findings:</w:t>
      </w:r>
      <w:r w:rsidRPr="00B67989">
        <w:rPr>
          <w:rFonts w:asciiTheme="majorHAnsi" w:hAnsiTheme="majorHAnsi" w:cstheme="majorHAnsi"/>
          <w:sz w:val="22"/>
          <w:szCs w:val="22"/>
        </w:rPr>
        <w:t xml:space="preserve"> </w:t>
      </w:r>
      <w:r w:rsidRPr="00B67989">
        <w:rPr>
          <w:rFonts w:asciiTheme="majorHAnsi" w:hAnsiTheme="majorHAnsi" w:cstheme="majorHAnsi"/>
          <w:b/>
          <w:sz w:val="22"/>
          <w:szCs w:val="22"/>
        </w:rPr>
        <w:t>Thailand is expected to face more frequent coastal flooding, droughts, and saline intrusion because of climate change</w:t>
      </w:r>
      <w:r w:rsidRPr="00B67989">
        <w:rPr>
          <w:rFonts w:asciiTheme="majorHAnsi" w:hAnsiTheme="majorHAnsi" w:cstheme="majorHAnsi"/>
          <w:sz w:val="22"/>
          <w:szCs w:val="22"/>
        </w:rPr>
        <w:t>. To manage these issues, the country needs to focus on better land zoning and management. This includes reducing deforestation in the upper reaches of rivers to decrease the risk of flash floods and sediment loads, and careful planning for public infrastructure and urban/industrial areas. Additionally, to achieve its commitments to reduce carbon emissions, the country needs to implement timely and effective policies, market-based instruments, and cooperation with the private sector.</w:t>
      </w:r>
    </w:p>
    <w:p w14:paraId="1BA1E582" w14:textId="77777777" w:rsidR="008450DD" w:rsidRPr="00B67989" w:rsidRDefault="008450DD" w:rsidP="008450DD">
      <w:pPr>
        <w:pStyle w:val="Default"/>
        <w:spacing w:before="240" w:after="240"/>
        <w:jc w:val="both"/>
        <w:rPr>
          <w:rFonts w:asciiTheme="majorHAnsi" w:hAnsiTheme="majorHAnsi" w:cstheme="majorHAnsi"/>
          <w:sz w:val="22"/>
          <w:szCs w:val="22"/>
        </w:rPr>
      </w:pPr>
      <w:r w:rsidRPr="007C785A">
        <w:rPr>
          <w:rFonts w:asciiTheme="majorHAnsi" w:hAnsiTheme="majorHAnsi" w:cstheme="majorHAnsi"/>
          <w:b/>
          <w:sz w:val="22"/>
          <w:szCs w:val="22"/>
        </w:rPr>
        <w:t>Progress since 2016: Thailand has demonstrated its commitment to addressing the challenge of climate change by updating its Second NDC and LT-LEDS in November 2022</w:t>
      </w:r>
      <w:r w:rsidRPr="00B67989">
        <w:rPr>
          <w:rFonts w:asciiTheme="majorHAnsi" w:hAnsiTheme="majorHAnsi" w:cstheme="majorHAnsi"/>
          <w:sz w:val="22"/>
          <w:szCs w:val="22"/>
        </w:rPr>
        <w:t xml:space="preserve">. These policies will strengthen the country’s climate efforts and the implementation roadmap toward achieving long-term carbon neutrality in 2050 and net-zero target in 2065. The Government has also taken significant steps toward addressing the challenges posed by floods and droughts across the country. The Office of National Water Resources (ONWR) was established in 2016 to specifically implement the 20-Year Master Plan on Water Resources Management (2018 – 2037) and the 20-year National Water Quality Management Master Plan (2018-2037). During the first 3 years (2018-2020) of the Plan, the government allocated a budget of B 305 billion for water resource development, while during 2021-2023, the government planned to push forward </w:t>
      </w:r>
      <w:r w:rsidRPr="00B67989">
        <w:rPr>
          <w:rFonts w:asciiTheme="majorHAnsi" w:hAnsiTheme="majorHAnsi" w:cstheme="majorHAnsi"/>
          <w:sz w:val="22"/>
          <w:szCs w:val="22"/>
        </w:rPr>
        <w:lastRenderedPageBreak/>
        <w:t xml:space="preserve">projects under the Water Resources Development Plan in 5 regions, 526 projects, investment budget B 879 billion. </w:t>
      </w:r>
    </w:p>
    <w:p w14:paraId="2CEE67F2" w14:textId="46074746"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The 20-Year National Strategy in 2018 also targets to increase both the forest and green areas to 55</w:t>
      </w:r>
      <w:r w:rsidRPr="00B67989">
        <w:rPr>
          <w:rFonts w:asciiTheme="majorHAnsi" w:hAnsiTheme="majorHAnsi" w:cstheme="majorHAnsi"/>
          <w:b/>
          <w:bCs/>
          <w:sz w:val="22"/>
          <w:szCs w:val="22"/>
        </w:rPr>
        <w:t xml:space="preserve"> percent</w:t>
      </w:r>
      <w:r w:rsidRPr="00B67989">
        <w:rPr>
          <w:rFonts w:asciiTheme="majorHAnsi" w:hAnsiTheme="majorHAnsi" w:cstheme="majorHAnsi"/>
          <w:b/>
          <w:sz w:val="22"/>
          <w:szCs w:val="22"/>
        </w:rPr>
        <w:t xml:space="preserve"> of the country’s </w:t>
      </w:r>
      <w:r w:rsidRPr="00C77BF9">
        <w:rPr>
          <w:rFonts w:asciiTheme="majorHAnsi" w:hAnsiTheme="majorHAnsi" w:cstheme="majorHAnsi"/>
          <w:b/>
          <w:sz w:val="22"/>
          <w:szCs w:val="22"/>
        </w:rPr>
        <w:t>land leading to 120 MtCO2e savings by 2037</w:t>
      </w:r>
      <w:r w:rsidRPr="00B67989">
        <w:rPr>
          <w:rFonts w:asciiTheme="majorHAnsi" w:hAnsiTheme="majorHAnsi" w:cstheme="majorHAnsi"/>
          <w:sz w:val="22"/>
          <w:szCs w:val="22"/>
        </w:rPr>
        <w:t>. The Bank’s project on the Forest Carbon Partnership Facility (FCPF) also provided targeted support for Thailand’s Reducing Emissions from Deforestation and forest Degradation (REDD+) Readiness. The key pre-investment activities include inter alia the development of REDD+ strategy, Forest Reference Emission Level (FREL) and Measurement, Reporting and Verification (MRV) system, institutional arrangements, safeguard frameworks including a Strategic Environment and Social Assessment (SESA), benefit sharing mechanism and stakeholder consultations and a Communication Strategy.</w:t>
      </w:r>
    </w:p>
    <w:p w14:paraId="51167FD6" w14:textId="0819F88D"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t>Remaining challenges:</w:t>
      </w:r>
      <w:r w:rsidRPr="00B67989">
        <w:rPr>
          <w:rFonts w:asciiTheme="majorHAnsi" w:eastAsiaTheme="minorEastAsia" w:hAnsiTheme="majorHAnsi" w:cstheme="majorHAnsi"/>
          <w:color w:val="000000" w:themeColor="text1"/>
          <w:sz w:val="22"/>
          <w:szCs w:val="22"/>
        </w:rPr>
        <w:t xml:space="preserve"> </w:t>
      </w:r>
      <w:r w:rsidRPr="00B67989">
        <w:rPr>
          <w:rFonts w:asciiTheme="majorHAnsi" w:eastAsiaTheme="minorEastAsia" w:hAnsiTheme="majorHAnsi" w:cstheme="majorHAnsi"/>
          <w:b/>
          <w:color w:val="000000" w:themeColor="text1"/>
          <w:sz w:val="22"/>
          <w:szCs w:val="22"/>
        </w:rPr>
        <w:t xml:space="preserve">Thailand’s rapid development including industrialization, urbanization, agricultural expansion, and tourism development has raised water demand drastically and is putting pressure on water resources availability. </w:t>
      </w:r>
      <w:r w:rsidRPr="00B67989">
        <w:rPr>
          <w:rFonts w:asciiTheme="majorHAnsi" w:eastAsiaTheme="minorEastAsia" w:hAnsiTheme="majorHAnsi" w:cstheme="majorHAnsi"/>
          <w:color w:val="000000" w:themeColor="text1"/>
          <w:sz w:val="22"/>
          <w:szCs w:val="22"/>
        </w:rPr>
        <w:t>Water demand has roughly doubled each decade since 1980 and has been growing at a rate of about 10 percent annually. In the Chao Phraya River basin where Bangkok is situated, groundwater over-extraction to meet exponential demand increases has caused major land subsidence and saltwater intrusion. Inefficient use of water by various sectors and deteriorating water quality due to excessive use of fertilizer and pesticides and urban sewage and industrial wastes also create increasingly serious problems in the availability, quality, and adequacy of water resources. The Government thus requires a more strategic plan of water management system including the use of 3Rs concept (Reduce-Reuse-Recycle).</w:t>
      </w:r>
    </w:p>
    <w:p w14:paraId="6733152C" w14:textId="77777777"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t xml:space="preserve">Limited </w:t>
      </w:r>
      <w:r w:rsidRPr="007C785A">
        <w:rPr>
          <w:rFonts w:asciiTheme="majorHAnsi" w:hAnsiTheme="majorHAnsi" w:cstheme="majorHAnsi"/>
          <w:b/>
          <w:sz w:val="22"/>
          <w:szCs w:val="22"/>
        </w:rPr>
        <w:t>resources and funding</w:t>
      </w:r>
      <w:r w:rsidRPr="00B67989">
        <w:rPr>
          <w:rFonts w:asciiTheme="majorHAnsi" w:hAnsiTheme="majorHAnsi" w:cstheme="majorHAnsi"/>
          <w:b/>
          <w:sz w:val="22"/>
          <w:szCs w:val="22"/>
        </w:rPr>
        <w:t xml:space="preserve"> for implementing better land zoning and management</w:t>
      </w:r>
      <w:r w:rsidRPr="00B67989">
        <w:rPr>
          <w:rFonts w:asciiTheme="majorHAnsi" w:hAnsiTheme="majorHAnsi" w:cstheme="majorHAnsi"/>
          <w:b/>
          <w:bCs/>
          <w:sz w:val="22"/>
          <w:szCs w:val="22"/>
        </w:rPr>
        <w:t xml:space="preserve"> are also challenges.</w:t>
      </w:r>
      <w:r w:rsidRPr="00B67989">
        <w:rPr>
          <w:rFonts w:asciiTheme="majorHAnsi" w:hAnsiTheme="majorHAnsi" w:cstheme="majorHAnsi"/>
          <w:b/>
          <w:sz w:val="22"/>
          <w:szCs w:val="22"/>
        </w:rPr>
        <w:t xml:space="preserve"> </w:t>
      </w:r>
      <w:r w:rsidRPr="00B67989">
        <w:rPr>
          <w:rFonts w:asciiTheme="majorHAnsi" w:hAnsiTheme="majorHAnsi" w:cstheme="majorHAnsi"/>
          <w:sz w:val="22"/>
          <w:szCs w:val="22"/>
        </w:rPr>
        <w:t>More than 10 percent of citizens in Thailand now live on land that is likely to be inundated by 2050, compared with just 1 percent according to the earlier study. Most of the Bangkok metro area is particularly at risk of going under water in 2050.</w:t>
      </w:r>
      <w:r w:rsidRPr="00B67989">
        <w:rPr>
          <w:rFonts w:asciiTheme="majorHAnsi" w:hAnsiTheme="majorHAnsi" w:cstheme="majorHAnsi"/>
          <w:b/>
          <w:sz w:val="22"/>
          <w:szCs w:val="22"/>
        </w:rPr>
        <w:t xml:space="preserve"> </w:t>
      </w:r>
      <w:r w:rsidRPr="00B67989">
        <w:rPr>
          <w:rFonts w:asciiTheme="majorHAnsi" w:hAnsiTheme="majorHAnsi" w:cstheme="majorHAnsi"/>
          <w:sz w:val="22"/>
          <w:szCs w:val="22"/>
        </w:rPr>
        <w:t>Key structural recommendations are for increased investment in more climate resilience and flood prevention, prioritization of the proper operation and maintenance of hydraulic assets, the introduction of innovations to improve drainage and storage as well as manage run-off. Other measures could include a design review of critical flood embankments, dam safety reviews, a rethink on flood barriers that would allow more space for water and rivers to expand during peak water periods, and the incorporation of more nature-based solutions for urban flood management.</w:t>
      </w:r>
    </w:p>
    <w:p w14:paraId="2DC0306C" w14:textId="73DDBE61"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bCs/>
          <w:sz w:val="22"/>
          <w:szCs w:val="22"/>
        </w:rPr>
        <w:t>There is difficulty</w:t>
      </w:r>
      <w:r w:rsidRPr="00B67989">
        <w:rPr>
          <w:rFonts w:asciiTheme="majorHAnsi" w:hAnsiTheme="majorHAnsi" w:cstheme="majorHAnsi"/>
          <w:b/>
          <w:sz w:val="22"/>
          <w:szCs w:val="22"/>
        </w:rPr>
        <w:t xml:space="preserve"> in coordinating and cooperating with the private sector to achieve emissions reduction goals. </w:t>
      </w:r>
      <w:r w:rsidRPr="00B67989">
        <w:rPr>
          <w:rFonts w:asciiTheme="majorHAnsi" w:hAnsiTheme="majorHAnsi" w:cstheme="majorHAnsi"/>
          <w:sz w:val="22"/>
          <w:szCs w:val="22"/>
        </w:rPr>
        <w:t xml:space="preserve">External pressures such as the EU’s Carbon Border Adjustment Mechanism (CBAM) that are imposed on five key products: cement, fertilizer, steel, aluminum, and electricity, could significantly impact Thai exports. Such products have an export value of more than B 6,000 million in the past year. CBAM may </w:t>
      </w:r>
      <w:r w:rsidRPr="00B67989">
        <w:rPr>
          <w:rFonts w:asciiTheme="majorHAnsi" w:hAnsiTheme="majorHAnsi" w:cstheme="majorHAnsi"/>
          <w:sz w:val="22"/>
          <w:szCs w:val="22"/>
          <w:lang w:bidi="th-TH"/>
        </w:rPr>
        <w:t xml:space="preserve">also be extended </w:t>
      </w:r>
      <w:proofErr w:type="gramStart"/>
      <w:r w:rsidRPr="00B67989">
        <w:rPr>
          <w:rFonts w:asciiTheme="majorHAnsi" w:hAnsiTheme="majorHAnsi" w:cstheme="majorHAnsi"/>
          <w:sz w:val="22"/>
          <w:szCs w:val="22"/>
          <w:lang w:bidi="th-TH"/>
        </w:rPr>
        <w:t>in the near future</w:t>
      </w:r>
      <w:proofErr w:type="gramEnd"/>
      <w:r w:rsidRPr="00B67989">
        <w:rPr>
          <w:rFonts w:asciiTheme="majorHAnsi" w:hAnsiTheme="majorHAnsi" w:cstheme="majorHAnsi"/>
          <w:sz w:val="22"/>
          <w:szCs w:val="22"/>
          <w:lang w:bidi="th-TH"/>
        </w:rPr>
        <w:t xml:space="preserve"> to cover</w:t>
      </w:r>
      <w:r w:rsidRPr="00B67989">
        <w:rPr>
          <w:rFonts w:asciiTheme="majorHAnsi" w:hAnsiTheme="majorHAnsi" w:cstheme="majorHAnsi"/>
          <w:sz w:val="22"/>
          <w:szCs w:val="22"/>
        </w:rPr>
        <w:t xml:space="preserve"> chemical and plastic products or to agricultural products in the future. Therefore, all parties must be active to</w:t>
      </w:r>
      <w:r w:rsidRPr="00B67989">
        <w:rPr>
          <w:rFonts w:asciiTheme="majorHAnsi" w:hAnsiTheme="majorHAnsi" w:cstheme="majorHAnsi"/>
          <w:sz w:val="22"/>
          <w:szCs w:val="22"/>
          <w:lang w:bidi="th-TH"/>
        </w:rPr>
        <w:t xml:space="preserve"> enhance all the sectors toward zero-emission while maintaining their competitiveness</w:t>
      </w:r>
      <w:r w:rsidRPr="00B67989">
        <w:rPr>
          <w:rFonts w:asciiTheme="majorHAnsi" w:hAnsiTheme="majorHAnsi" w:cstheme="majorHAnsi"/>
          <w:sz w:val="22"/>
          <w:szCs w:val="22"/>
        </w:rPr>
        <w:t>.</w:t>
      </w:r>
    </w:p>
    <w:p w14:paraId="410E673E" w14:textId="77777777" w:rsidR="008450DD" w:rsidRPr="00B67989" w:rsidRDefault="008450DD" w:rsidP="008450DD">
      <w:pPr>
        <w:spacing w:before="240" w:after="240"/>
        <w:ind w:firstLine="720"/>
        <w:jc w:val="both"/>
        <w:rPr>
          <w:rFonts w:asciiTheme="majorHAnsi" w:hAnsiTheme="majorHAnsi" w:cstheme="majorHAnsi"/>
          <w:b/>
        </w:rPr>
      </w:pPr>
      <w:r w:rsidRPr="00665270">
        <w:rPr>
          <w:rFonts w:asciiTheme="majorHAnsi" w:hAnsiTheme="majorHAnsi" w:cstheme="majorHAnsi"/>
          <w:b/>
        </w:rPr>
        <w:t>3.3.</w:t>
      </w:r>
      <w:r w:rsidRPr="0019548E">
        <w:rPr>
          <w:rFonts w:ascii="Times New Roman" w:hAnsi="Times New Roman" w:cs="Times New Roman"/>
          <w:b/>
        </w:rPr>
        <w:t xml:space="preserve"> </w:t>
      </w:r>
      <w:r w:rsidRPr="00B67989">
        <w:rPr>
          <w:rFonts w:asciiTheme="majorHAnsi" w:hAnsiTheme="majorHAnsi" w:cstheme="majorHAnsi"/>
          <w:b/>
        </w:rPr>
        <w:t xml:space="preserve">Promote energy efficiency and clean energy by focusing on implementing Thailand’s plans and commitments for energy efficiency and alternative energy (medium) </w:t>
      </w:r>
    </w:p>
    <w:p w14:paraId="07C2E0B7" w14:textId="0B73EB91"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 xml:space="preserve">2016 SCD </w:t>
      </w:r>
      <w:r w:rsidRPr="007C785A">
        <w:rPr>
          <w:rFonts w:asciiTheme="majorHAnsi" w:hAnsiTheme="majorHAnsi" w:cstheme="majorHAnsi"/>
          <w:b/>
          <w:sz w:val="22"/>
          <w:szCs w:val="22"/>
        </w:rPr>
        <w:t>Findings: To shift towards more energy efficiency and cleaner energy, several specific actions can be take</w:t>
      </w:r>
      <w:r w:rsidRPr="00B67989">
        <w:rPr>
          <w:rFonts w:asciiTheme="majorHAnsi" w:hAnsiTheme="majorHAnsi" w:cstheme="majorHAnsi"/>
          <w:b/>
          <w:sz w:val="22"/>
          <w:szCs w:val="22"/>
        </w:rPr>
        <w:t>n</w:t>
      </w:r>
      <w:r w:rsidRPr="00B67989">
        <w:rPr>
          <w:rFonts w:asciiTheme="majorHAnsi" w:hAnsiTheme="majorHAnsi" w:cstheme="majorHAnsi"/>
          <w:sz w:val="22"/>
          <w:szCs w:val="22"/>
        </w:rPr>
        <w:t xml:space="preserve">. First, focusing on the major energy-consuming sectors such as manufacturing, and transport can have a significant impact on the government’s energy goals. This can include measures such as improving vehicle fuel efficiency, increasing rail transport infrastructure, and implementing stricter regulations for </w:t>
      </w:r>
      <w:r w:rsidRPr="00B67989">
        <w:rPr>
          <w:rFonts w:asciiTheme="majorHAnsi" w:hAnsiTheme="majorHAnsi" w:cstheme="majorHAnsi"/>
          <w:sz w:val="22"/>
          <w:szCs w:val="22"/>
        </w:rPr>
        <w:lastRenderedPageBreak/>
        <w:t>large factories and buildings. Second, avoiding distortions in energy pricing and demand by maintaining current pricing and subsidy policies. Third, as Thailand will likely have to import more electricity, the country could take a leading role in power grid code harmonization and initiate the design of power market rules to facilitate commercialization of power trade within the Greater Mekong Subregion and ASEAN.</w:t>
      </w:r>
    </w:p>
    <w:p w14:paraId="5A339263" w14:textId="77777777" w:rsidR="008450DD" w:rsidRPr="00B67989" w:rsidRDefault="008450DD" w:rsidP="008450DD">
      <w:pPr>
        <w:pStyle w:val="Default"/>
        <w:spacing w:before="240" w:after="240"/>
        <w:jc w:val="both"/>
        <w:rPr>
          <w:rFonts w:asciiTheme="majorHAnsi" w:hAnsiTheme="majorHAnsi" w:cstheme="majorHAnsi"/>
          <w:b/>
          <w:sz w:val="22"/>
          <w:szCs w:val="22"/>
        </w:rPr>
      </w:pPr>
      <w:r w:rsidRPr="00B67989">
        <w:rPr>
          <w:rFonts w:asciiTheme="majorHAnsi" w:hAnsiTheme="majorHAnsi" w:cstheme="majorHAnsi"/>
          <w:b/>
          <w:sz w:val="22"/>
          <w:szCs w:val="22"/>
        </w:rPr>
        <w:t>Progress since 2016: Thailand’s approach includes a dedicated Energy Efficiency Plan (EEP 2018), which aims for a 30</w:t>
      </w:r>
      <w:r w:rsidRPr="00B67989">
        <w:rPr>
          <w:rFonts w:asciiTheme="majorHAnsi" w:hAnsiTheme="majorHAnsi" w:cstheme="majorHAnsi"/>
          <w:b/>
          <w:bCs/>
          <w:sz w:val="22"/>
          <w:szCs w:val="22"/>
        </w:rPr>
        <w:t xml:space="preserve"> percent </w:t>
      </w:r>
      <w:r w:rsidRPr="00B67989">
        <w:rPr>
          <w:rFonts w:asciiTheme="majorHAnsi" w:hAnsiTheme="majorHAnsi" w:cstheme="majorHAnsi"/>
          <w:b/>
          <w:sz w:val="22"/>
          <w:szCs w:val="22"/>
        </w:rPr>
        <w:t>reduction in energy consumption by 2037 (2010 is the baseline).</w:t>
      </w:r>
      <w:r w:rsidRPr="00B67989">
        <w:rPr>
          <w:rFonts w:asciiTheme="majorHAnsi" w:hAnsiTheme="majorHAnsi" w:cstheme="majorHAnsi"/>
          <w:sz w:val="22"/>
          <w:szCs w:val="22"/>
        </w:rPr>
        <w:t xml:space="preserve"> The Energy Efficiency Plan 2018-2037 is an updated version of the EEDP2015. It contains seven core measures are laid out to increase the country’s energy efficiency, aiming at reducing final energy consumption in 2037 to 30 percent of the 2010 baseline. The core measures include energy efficiency improvements in industrial facilities, energy-saving housing promotions, efficiency promotions for electric appliances and eco-stickers, mandatory application of the Energy Efficiency Resource Standard, soft loan provisions for energy efficiency improvements, promoting LED use, and energy efficiency promotions in the transportation sector. </w:t>
      </w:r>
    </w:p>
    <w:p w14:paraId="0783CBDE" w14:textId="77777777" w:rsidR="008450DD" w:rsidRPr="00B67989" w:rsidRDefault="008450DD" w:rsidP="008450DD">
      <w:pPr>
        <w:pStyle w:val="Default"/>
        <w:spacing w:before="240" w:after="240"/>
        <w:jc w:val="both"/>
        <w:rPr>
          <w:rFonts w:asciiTheme="majorHAnsi" w:hAnsiTheme="majorHAnsi" w:cstheme="majorHAnsi"/>
          <w:sz w:val="22"/>
          <w:szCs w:val="22"/>
        </w:rPr>
      </w:pPr>
      <w:r w:rsidRPr="00B67989">
        <w:rPr>
          <w:rFonts w:asciiTheme="majorHAnsi" w:hAnsiTheme="majorHAnsi" w:cstheme="majorHAnsi"/>
          <w:b/>
          <w:sz w:val="22"/>
          <w:szCs w:val="22"/>
        </w:rPr>
        <w:t>Thailand has also committed to reaching carbon neutrality by 2050.</w:t>
      </w:r>
      <w:r w:rsidRPr="00B67989">
        <w:rPr>
          <w:rFonts w:asciiTheme="majorHAnsi" w:hAnsiTheme="majorHAnsi" w:cstheme="majorHAnsi"/>
          <w:sz w:val="22"/>
          <w:szCs w:val="22"/>
        </w:rPr>
        <w:t xml:space="preserve"> On November 1, 2021, Thailand’s Prime Minister declared Thailand’s target for carbon neutrality by 2050 and net-zero greenhouse gas emissions by 2065 at COP26. Thailand has also made plans to develop renewables in its power sector, with a non-hydroelectric renewable target of 18.7GW total capacity by 2037, articulated in the Alternative Energy Development Plan 2018-2037 (AEDP). Supporting the AEDP is the Power Development Plan 2018-2037 (PDP) which aims for 37 percent of the 2037 power-mix to be from non-fossil fuel sources. However, for Thailand to become carbon neutral by 2050, the 2018 PDP must be revised substantially to phase-in a more accelerated renewable energy transition.   </w:t>
      </w:r>
    </w:p>
    <w:p w14:paraId="6630A657" w14:textId="77777777" w:rsidR="008450DD" w:rsidRPr="00E9090B" w:rsidRDefault="008450DD" w:rsidP="008450DD">
      <w:pPr>
        <w:pStyle w:val="Default"/>
        <w:spacing w:before="240" w:after="240"/>
        <w:jc w:val="both"/>
        <w:rPr>
          <w:rFonts w:asciiTheme="majorHAnsi" w:eastAsiaTheme="minorEastAsia" w:hAnsiTheme="majorHAnsi" w:cstheme="majorHAnsi"/>
          <w:color w:val="000000" w:themeColor="text1"/>
          <w:sz w:val="22"/>
          <w:szCs w:val="22"/>
        </w:rPr>
      </w:pPr>
      <w:r w:rsidRPr="00E9090B">
        <w:rPr>
          <w:rFonts w:asciiTheme="majorHAnsi" w:hAnsiTheme="majorHAnsi" w:cstheme="majorHAnsi"/>
          <w:b/>
          <w:sz w:val="22"/>
          <w:szCs w:val="22"/>
        </w:rPr>
        <w:t>Thai authorities have developed the Thailand Taxonomy Phase 1 to support its Climate Change Master Plan (2015-2050).</w:t>
      </w:r>
      <w:r w:rsidRPr="00E9090B">
        <w:rPr>
          <w:rFonts w:asciiTheme="majorHAnsi" w:hAnsiTheme="majorHAnsi" w:cstheme="majorHAnsi"/>
          <w:sz w:val="22"/>
          <w:szCs w:val="22"/>
        </w:rPr>
        <w:t xml:space="preserve"> The Working Group on Sustainable Finance of Thailand consisting of Bank of Thailand, the Fiscal Policy office of the Ministry of Finance, the Securities and Exchange Commission, the Office of Insurance Commission, and the Stock Exchange of Thailand has drafted the Thailand Taxonomy Phase 1 which is in close alignment with the ASEAN Taxonomy, the Climate Bonds Taxonomy, and the EU taxonomy. The first phase provides guidance, frameworks, and standards for the investors and stakeholders on two economic sectors which have the biggest potential to contribute to climate change mitigation, namely energy and transportation sectors.</w:t>
      </w:r>
    </w:p>
    <w:p w14:paraId="736A3543" w14:textId="77777777" w:rsidR="008450DD" w:rsidRPr="00E9090B" w:rsidRDefault="008450DD" w:rsidP="008450DD">
      <w:pPr>
        <w:pStyle w:val="Default"/>
        <w:spacing w:before="240" w:after="240"/>
        <w:jc w:val="both"/>
        <w:rPr>
          <w:rFonts w:asciiTheme="majorHAnsi" w:eastAsiaTheme="minorEastAsia" w:hAnsiTheme="majorHAnsi" w:cstheme="majorHAnsi"/>
          <w:color w:val="000000" w:themeColor="text1"/>
          <w:sz w:val="22"/>
          <w:szCs w:val="22"/>
        </w:rPr>
      </w:pPr>
      <w:r w:rsidRPr="00E9090B">
        <w:rPr>
          <w:rFonts w:asciiTheme="majorHAnsi" w:hAnsiTheme="majorHAnsi" w:cstheme="majorHAnsi"/>
          <w:b/>
          <w:sz w:val="22"/>
          <w:szCs w:val="22"/>
        </w:rPr>
        <w:t>Remaining challenges: Resistance</w:t>
      </w:r>
      <w:r w:rsidRPr="00E9090B">
        <w:rPr>
          <w:rFonts w:asciiTheme="majorHAnsi" w:eastAsiaTheme="minorEastAsia" w:hAnsiTheme="majorHAnsi" w:cstheme="majorHAnsi"/>
          <w:b/>
          <w:color w:val="000000" w:themeColor="text1"/>
          <w:sz w:val="22"/>
          <w:szCs w:val="22"/>
        </w:rPr>
        <w:t xml:space="preserve"> from industries and businesses to stricter regulations and higher costs associated with implementing energy efficiency measures could pose a problem</w:t>
      </w:r>
      <w:r w:rsidRPr="00E9090B">
        <w:rPr>
          <w:rFonts w:asciiTheme="majorHAnsi" w:eastAsiaTheme="minorEastAsia" w:hAnsiTheme="majorHAnsi" w:cstheme="majorHAnsi"/>
          <w:color w:val="000000" w:themeColor="text1"/>
          <w:sz w:val="22"/>
          <w:szCs w:val="22"/>
        </w:rPr>
        <w:t>. There are also difficulties in coordinating and cooperating with other countries in the Greater Mekong Subregion and ASEAN to harmonize power grid codes and facilitate power trade is also possible.</w:t>
      </w:r>
    </w:p>
    <w:p w14:paraId="4C8A4D7D" w14:textId="77777777" w:rsidR="008450DD" w:rsidRPr="00E9090B" w:rsidRDefault="008450DD" w:rsidP="008450DD">
      <w:pPr>
        <w:rPr>
          <w:rFonts w:asciiTheme="majorHAnsi" w:hAnsiTheme="majorHAnsi" w:cstheme="majorHAnsi"/>
          <w:b/>
        </w:rPr>
      </w:pPr>
      <w:r w:rsidRPr="00E9090B">
        <w:rPr>
          <w:rFonts w:asciiTheme="majorHAnsi" w:hAnsiTheme="majorHAnsi" w:cstheme="majorHAnsi"/>
          <w:b/>
        </w:rPr>
        <w:t xml:space="preserve">Cross-cutting priority: Strengthen the institutional capability of the public </w:t>
      </w:r>
      <w:proofErr w:type="gramStart"/>
      <w:r w:rsidRPr="00E9090B">
        <w:rPr>
          <w:rFonts w:asciiTheme="majorHAnsi" w:hAnsiTheme="majorHAnsi" w:cstheme="majorHAnsi"/>
          <w:b/>
        </w:rPr>
        <w:t>sector</w:t>
      </w:r>
      <w:proofErr w:type="gramEnd"/>
      <w:r w:rsidRPr="00E9090B">
        <w:rPr>
          <w:rFonts w:asciiTheme="majorHAnsi" w:hAnsiTheme="majorHAnsi" w:cstheme="majorHAnsi"/>
          <w:b/>
        </w:rPr>
        <w:t xml:space="preserve"> </w:t>
      </w:r>
    </w:p>
    <w:p w14:paraId="70CBA1E1" w14:textId="70E8858C" w:rsidR="008450DD" w:rsidRPr="00E9090B" w:rsidRDefault="008450DD" w:rsidP="008450DD">
      <w:pPr>
        <w:pStyle w:val="Default"/>
        <w:spacing w:before="240" w:after="240"/>
        <w:jc w:val="both"/>
        <w:rPr>
          <w:rFonts w:asciiTheme="majorHAnsi" w:eastAsiaTheme="minorEastAsia" w:hAnsiTheme="majorHAnsi" w:cstheme="majorHAnsi"/>
          <w:color w:val="000000" w:themeColor="text1"/>
          <w:sz w:val="22"/>
          <w:szCs w:val="22"/>
        </w:rPr>
      </w:pPr>
      <w:r w:rsidRPr="00E9090B">
        <w:rPr>
          <w:rFonts w:asciiTheme="majorHAnsi" w:hAnsiTheme="majorHAnsi" w:cstheme="majorHAnsi"/>
          <w:b/>
          <w:sz w:val="22"/>
          <w:szCs w:val="22"/>
        </w:rPr>
        <w:t>Strengthening the institutional capability of the public sector to implement polic</w:t>
      </w:r>
      <w:r w:rsidR="00574BEE">
        <w:rPr>
          <w:rFonts w:asciiTheme="majorHAnsi" w:hAnsiTheme="majorHAnsi" w:cstheme="majorHAnsi"/>
          <w:b/>
          <w:sz w:val="22"/>
          <w:szCs w:val="22"/>
        </w:rPr>
        <w:t>ies</w:t>
      </w:r>
      <w:r w:rsidRPr="00E9090B">
        <w:rPr>
          <w:rFonts w:asciiTheme="majorHAnsi" w:hAnsiTheme="majorHAnsi" w:cstheme="majorHAnsi"/>
          <w:b/>
          <w:sz w:val="22"/>
          <w:szCs w:val="22"/>
        </w:rPr>
        <w:t xml:space="preserve"> is a cross-cutting priority.</w:t>
      </w:r>
      <w:r w:rsidRPr="00E9090B">
        <w:rPr>
          <w:rFonts w:asciiTheme="majorHAnsi" w:hAnsiTheme="majorHAnsi" w:cstheme="majorHAnsi"/>
          <w:sz w:val="22"/>
          <w:szCs w:val="22"/>
        </w:rPr>
        <w:t xml:space="preserve"> It remains the case today that Thailand must make sure it has the institutions necessary to foster an environment conducive to the creation of more, greener, and better jobs. Strong institutions will be necessary to implement programs for cleaner growth as well as deliver the new programs to upgrade Thailand’s infrastructure and give the poorest 40 percent more targeted assistance. Across peer comparators, Thailand demonstrates weaknesses in the impartiality of its public administration, renewable energy regulation, and steering capability—the extent to which the government manages reforms effectively and can achieve its policy priorities (</w:t>
      </w:r>
      <w:r w:rsidR="00B165A7" w:rsidRPr="00076F04">
        <w:rPr>
          <w:rFonts w:asciiTheme="majorHAnsi" w:hAnsiTheme="majorHAnsi" w:cstheme="majorHAnsi"/>
          <w:sz w:val="22"/>
          <w:szCs w:val="22"/>
        </w:rPr>
        <w:fldChar w:fldCharType="begin"/>
      </w:r>
      <w:r w:rsidR="00B165A7" w:rsidRPr="00076F04">
        <w:rPr>
          <w:rFonts w:asciiTheme="majorHAnsi" w:hAnsiTheme="majorHAnsi" w:cstheme="majorHAnsi"/>
          <w:sz w:val="22"/>
          <w:szCs w:val="22"/>
        </w:rPr>
        <w:instrText xml:space="preserve"> REF _Ref149775781 </w:instrText>
      </w:r>
      <w:r w:rsidR="00E9090B" w:rsidRPr="00076F04">
        <w:rPr>
          <w:rFonts w:asciiTheme="majorHAnsi" w:hAnsiTheme="majorHAnsi" w:cstheme="majorHAnsi"/>
          <w:sz w:val="22"/>
          <w:szCs w:val="22"/>
        </w:rPr>
        <w:instrText xml:space="preserve"> \* MERGEFORMAT </w:instrText>
      </w:r>
      <w:r w:rsidR="00B165A7" w:rsidRPr="00076F04">
        <w:rPr>
          <w:rFonts w:asciiTheme="majorHAnsi" w:hAnsiTheme="majorHAnsi" w:cstheme="majorHAnsi"/>
          <w:sz w:val="22"/>
          <w:szCs w:val="22"/>
        </w:rPr>
        <w:fldChar w:fldCharType="separate"/>
      </w:r>
      <w:r w:rsidR="00B165A7" w:rsidRPr="00665270">
        <w:rPr>
          <w:rFonts w:asciiTheme="majorHAnsi" w:hAnsiTheme="majorHAnsi" w:cstheme="majorHAnsi"/>
          <w:sz w:val="22"/>
          <w:szCs w:val="22"/>
        </w:rPr>
        <w:t>Figure A.</w:t>
      </w:r>
      <w:r w:rsidR="00B308EA">
        <w:rPr>
          <w:rFonts w:asciiTheme="majorHAnsi" w:hAnsiTheme="majorHAnsi" w:cstheme="majorHAnsi"/>
          <w:sz w:val="22"/>
          <w:szCs w:val="22"/>
        </w:rPr>
        <w:t>1</w:t>
      </w:r>
      <w:r w:rsidR="00B165A7" w:rsidRPr="00665270">
        <w:rPr>
          <w:rFonts w:asciiTheme="majorHAnsi" w:hAnsiTheme="majorHAnsi" w:cstheme="majorHAnsi"/>
          <w:sz w:val="22"/>
          <w:szCs w:val="22"/>
        </w:rPr>
        <w:t>.</w:t>
      </w:r>
      <w:r w:rsidR="00B165A7" w:rsidRPr="00665270">
        <w:rPr>
          <w:rFonts w:asciiTheme="majorHAnsi" w:hAnsiTheme="majorHAnsi" w:cstheme="majorHAnsi"/>
          <w:noProof/>
          <w:sz w:val="22"/>
          <w:szCs w:val="22"/>
        </w:rPr>
        <w:t>6</w:t>
      </w:r>
      <w:r w:rsidR="00B165A7" w:rsidRPr="00076F04">
        <w:rPr>
          <w:rFonts w:asciiTheme="majorHAnsi" w:hAnsiTheme="majorHAnsi" w:cstheme="majorHAnsi"/>
          <w:sz w:val="22"/>
          <w:szCs w:val="22"/>
        </w:rPr>
        <w:fldChar w:fldCharType="end"/>
      </w:r>
      <w:r w:rsidRPr="00076F04">
        <w:rPr>
          <w:rFonts w:asciiTheme="majorHAnsi" w:hAnsiTheme="majorHAnsi" w:cstheme="majorHAnsi"/>
          <w:sz w:val="22"/>
          <w:szCs w:val="22"/>
        </w:rPr>
        <w:t>).</w:t>
      </w:r>
      <w:r w:rsidRPr="00E9090B">
        <w:rPr>
          <w:rFonts w:asciiTheme="majorHAnsi" w:hAnsiTheme="majorHAnsi" w:cstheme="maj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4235"/>
        <w:gridCol w:w="12"/>
      </w:tblGrid>
      <w:tr w:rsidR="008450DD" w:rsidRPr="00E9090B" w14:paraId="302317FA" w14:textId="77777777">
        <w:trPr>
          <w:gridAfter w:val="1"/>
          <w:wAfter w:w="10" w:type="dxa"/>
        </w:trPr>
        <w:tc>
          <w:tcPr>
            <w:tcW w:w="5119" w:type="dxa"/>
          </w:tcPr>
          <w:p w14:paraId="4F0E1D0A" w14:textId="235849BE" w:rsidR="008450DD" w:rsidRPr="00E9090B" w:rsidRDefault="008450DD">
            <w:pPr>
              <w:pStyle w:val="Figure"/>
            </w:pPr>
            <w:bookmarkStart w:id="414" w:name="_Ref149775781"/>
            <w:r w:rsidRPr="00E9090B">
              <w:lastRenderedPageBreak/>
              <w:t>Figure A.</w:t>
            </w:r>
            <w:r w:rsidR="00B308EA">
              <w:t>1</w:t>
            </w:r>
            <w:r w:rsidR="003371A3" w:rsidRPr="00E9090B">
              <w:t>.</w:t>
            </w:r>
            <w:r w:rsidR="003371A3" w:rsidRPr="00E9090B">
              <w:fldChar w:fldCharType="begin"/>
            </w:r>
            <w:r w:rsidR="003371A3" w:rsidRPr="00E9090B">
              <w:instrText xml:space="preserve"> SEQ Figure_A.2. \* ARABIC </w:instrText>
            </w:r>
            <w:r w:rsidR="003371A3" w:rsidRPr="00E9090B">
              <w:fldChar w:fldCharType="separate"/>
            </w:r>
            <w:r w:rsidR="00C22CB5" w:rsidRPr="00E9090B">
              <w:t>6</w:t>
            </w:r>
            <w:r w:rsidR="003371A3" w:rsidRPr="00E9090B">
              <w:fldChar w:fldCharType="end"/>
            </w:r>
            <w:bookmarkEnd w:id="414"/>
            <w:r w:rsidRPr="00E9090B">
              <w:t xml:space="preserve"> Public sector performance</w:t>
            </w:r>
          </w:p>
        </w:tc>
        <w:tc>
          <w:tcPr>
            <w:tcW w:w="4231" w:type="dxa"/>
          </w:tcPr>
          <w:p w14:paraId="6B7CDC7A" w14:textId="5C7658B1" w:rsidR="008450DD" w:rsidRPr="00E9090B" w:rsidRDefault="008450DD">
            <w:pPr>
              <w:pStyle w:val="Figure"/>
            </w:pPr>
            <w:r w:rsidRPr="00E9090B">
              <w:t>Figure A.</w:t>
            </w:r>
            <w:r w:rsidR="00B308EA">
              <w:t>1</w:t>
            </w:r>
            <w:r w:rsidR="003371A3" w:rsidRPr="00E9090B">
              <w:t>.</w:t>
            </w:r>
            <w:r w:rsidR="003371A3" w:rsidRPr="00E9090B">
              <w:fldChar w:fldCharType="begin"/>
            </w:r>
            <w:r w:rsidR="003371A3" w:rsidRPr="00E9090B">
              <w:instrText xml:space="preserve"> SEQ Figure_A.2. \* ARABIC </w:instrText>
            </w:r>
            <w:r w:rsidR="003371A3" w:rsidRPr="00E9090B">
              <w:fldChar w:fldCharType="separate"/>
            </w:r>
            <w:r w:rsidR="00575CE5" w:rsidRPr="00E9090B">
              <w:t>7</w:t>
            </w:r>
            <w:r w:rsidR="003371A3" w:rsidRPr="00E9090B">
              <w:fldChar w:fldCharType="end"/>
            </w:r>
            <w:r w:rsidRPr="00E9090B">
              <w:t xml:space="preserve"> Exclusion by social group</w:t>
            </w:r>
          </w:p>
        </w:tc>
      </w:tr>
      <w:tr w:rsidR="008450DD" w:rsidRPr="00E9090B" w14:paraId="4E5168BE" w14:textId="77777777">
        <w:tc>
          <w:tcPr>
            <w:tcW w:w="5119" w:type="dxa"/>
          </w:tcPr>
          <w:p w14:paraId="4D5B9BC6" w14:textId="77777777" w:rsidR="008450DD" w:rsidRPr="00E9090B" w:rsidRDefault="008450DD">
            <w:pPr>
              <w:pStyle w:val="Default"/>
              <w:jc w:val="both"/>
              <w:rPr>
                <w:rFonts w:asciiTheme="majorHAnsi" w:hAnsiTheme="majorHAnsi" w:cstheme="majorHAnsi"/>
                <w:b/>
                <w:sz w:val="22"/>
                <w:szCs w:val="22"/>
              </w:rPr>
            </w:pPr>
            <w:r w:rsidRPr="00E9090B">
              <w:rPr>
                <w:rFonts w:asciiTheme="majorHAnsi" w:hAnsiTheme="majorHAnsi" w:cstheme="majorHAnsi"/>
                <w:noProof/>
                <w:lang w:val="en-GB" w:eastAsia="en-GB"/>
              </w:rPr>
              <w:drawing>
                <wp:inline distT="0" distB="0" distL="0" distR="0" wp14:anchorId="0FF1E7AB" wp14:editId="4E5146FD">
                  <wp:extent cx="3117849" cy="1581150"/>
                  <wp:effectExtent l="0" t="0" r="6985" b="0"/>
                  <wp:docPr id="63" name="Picture 63"/>
                  <wp:cNvGraphicFramePr/>
                  <a:graphic xmlns:a="http://schemas.openxmlformats.org/drawingml/2006/main">
                    <a:graphicData uri="http://schemas.openxmlformats.org/drawingml/2006/picture">
                      <pic:pic xmlns:pic="http://schemas.openxmlformats.org/drawingml/2006/picture">
                        <pic:nvPicPr>
                          <pic:cNvPr id="53" name="Picture" descr="/opt/rstudio-connect/mnt/tmp/Rtmp4JTWSv/file9da85a099b1c_files/figure-docx/unnamed-chunk-6-5.png"/>
                          <pic:cNvPicPr>
                            <a:picLocks noChangeAspect="1" noChangeArrowheads="1"/>
                          </pic:cNvPicPr>
                        </pic:nvPicPr>
                        <pic:blipFill rotWithShape="1">
                          <a:blip r:embed="rId26"/>
                          <a:srcRect t="2268" b="5463"/>
                          <a:stretch/>
                        </pic:blipFill>
                        <pic:spPr bwMode="auto">
                          <a:xfrm>
                            <a:off x="0" y="0"/>
                            <a:ext cx="3141012" cy="1592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1" w:type="dxa"/>
            <w:gridSpan w:val="2"/>
          </w:tcPr>
          <w:p w14:paraId="4E73DF7C" w14:textId="68E48244" w:rsidR="008450DD" w:rsidRPr="00E9090B" w:rsidRDefault="003D4BEF">
            <w:pPr>
              <w:pStyle w:val="Default"/>
              <w:jc w:val="both"/>
              <w:rPr>
                <w:rFonts w:asciiTheme="majorHAnsi" w:hAnsiTheme="majorHAnsi" w:cstheme="majorBidi"/>
                <w:b/>
                <w:bCs/>
                <w:sz w:val="22"/>
                <w:szCs w:val="22"/>
              </w:rPr>
            </w:pPr>
            <w:r w:rsidRPr="008165E2">
              <w:rPr>
                <w:noProof/>
                <w:lang w:val="en-GB" w:eastAsia="en-GB"/>
              </w:rPr>
              <w:drawing>
                <wp:inline distT="0" distB="0" distL="0" distR="0" wp14:anchorId="216649CA" wp14:editId="6C29911D">
                  <wp:extent cx="2562225" cy="161607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616075"/>
                          </a:xfrm>
                          <a:prstGeom prst="rect">
                            <a:avLst/>
                          </a:prstGeom>
                          <a:noFill/>
                          <a:ln>
                            <a:noFill/>
                          </a:ln>
                        </pic:spPr>
                      </pic:pic>
                    </a:graphicData>
                  </a:graphic>
                </wp:inline>
              </w:drawing>
            </w:r>
          </w:p>
        </w:tc>
      </w:tr>
      <w:tr w:rsidR="008450DD" w:rsidRPr="00E9090B" w14:paraId="22DDFB02" w14:textId="77777777">
        <w:tc>
          <w:tcPr>
            <w:tcW w:w="5119" w:type="dxa"/>
          </w:tcPr>
          <w:p w14:paraId="242C32EB" w14:textId="5760B0D3" w:rsidR="008450DD" w:rsidRPr="005E7CB8" w:rsidRDefault="008450DD" w:rsidP="005E7CB8">
            <w:pPr>
              <w:pStyle w:val="Source"/>
              <w:spacing w:before="40" w:after="40"/>
            </w:pPr>
            <w:r w:rsidRPr="005E7CB8">
              <w:rPr>
                <w:b/>
                <w:bCs/>
                <w:i/>
                <w:iCs/>
              </w:rPr>
              <w:t>Source:</w:t>
            </w:r>
            <w:r w:rsidRPr="005E7CB8">
              <w:t xml:space="preserve"> Authors’ elaboration using CLIAR Online Dashboard. </w:t>
            </w:r>
            <w:r w:rsidRPr="005E7CB8">
              <w:br/>
            </w:r>
            <w:r w:rsidRPr="005E7CB8">
              <w:rPr>
                <w:b/>
                <w:bCs/>
                <w:i/>
                <w:iCs/>
              </w:rPr>
              <w:t>Note:</w:t>
            </w:r>
            <w:r w:rsidRPr="005E7CB8">
              <w:t xml:space="preserve"> The chosen set of comparator countries </w:t>
            </w:r>
            <w:proofErr w:type="gramStart"/>
            <w:r w:rsidRPr="005E7CB8">
              <w:t>include:</w:t>
            </w:r>
            <w:proofErr w:type="gramEnd"/>
            <w:r w:rsidRPr="005E7CB8">
              <w:t xml:space="preserve"> Bulgaria, China, Colombia, Indonesia, Malaysia, Mexico, Philippines, Singapore, </w:t>
            </w:r>
            <w:r w:rsidR="000F1951" w:rsidRPr="000F1951">
              <w:t>Türkiye</w:t>
            </w:r>
            <w:r w:rsidRPr="005E7CB8">
              <w:t>, Vietnam</w:t>
            </w:r>
            <w:r w:rsidR="006046FF" w:rsidRPr="005E7CB8">
              <w:t>.</w:t>
            </w:r>
            <w:r w:rsidRPr="005E7CB8">
              <w:t xml:space="preserve"> The comparators were chosen based on the criteria of the previous SCD. </w:t>
            </w:r>
          </w:p>
        </w:tc>
        <w:tc>
          <w:tcPr>
            <w:tcW w:w="4231" w:type="dxa"/>
            <w:gridSpan w:val="2"/>
          </w:tcPr>
          <w:p w14:paraId="4EAA1871" w14:textId="0ED2EED2" w:rsidR="008450DD" w:rsidRPr="005E7CB8" w:rsidRDefault="008450DD" w:rsidP="005E7CB8">
            <w:pPr>
              <w:pStyle w:val="Source"/>
              <w:spacing w:before="40" w:after="40"/>
            </w:pPr>
            <w:r w:rsidRPr="005E7CB8">
              <w:rPr>
                <w:b/>
                <w:bCs/>
                <w:i/>
                <w:iCs/>
              </w:rPr>
              <w:t xml:space="preserve">Source: </w:t>
            </w:r>
            <w:r w:rsidRPr="005E7CB8">
              <w:t>Varieties of Democracy (V-Dem)</w:t>
            </w:r>
            <w:r w:rsidR="005A7C4F" w:rsidRPr="005E7CB8">
              <w:t>.</w:t>
            </w:r>
            <w:r w:rsidRPr="005E7CB8">
              <w:t xml:space="preserve"> </w:t>
            </w:r>
          </w:p>
          <w:p w14:paraId="6E78944B" w14:textId="77777777" w:rsidR="008450DD" w:rsidRPr="005E7CB8" w:rsidRDefault="008450DD" w:rsidP="005E7CB8">
            <w:pPr>
              <w:pStyle w:val="Source"/>
            </w:pPr>
            <w:r w:rsidRPr="005E7CB8">
              <w:rPr>
                <w:b/>
                <w:bCs/>
                <w:i/>
                <w:iCs/>
              </w:rPr>
              <w:t>Note:</w:t>
            </w:r>
            <w:r w:rsidRPr="005E7CB8">
              <w:t xml:space="preserve"> Access to services: Are basic public services, such as order and security, primary education, clean water, and healthcare, distributed equally across social groups or political? Access to state business opportunities: Are state business opportunities equally available to qualified individuals or firms regardless of an individual’s association with a social group? The value of 0 indicates that 75 percent or more of the population lacks access to basic public services or state business opportunities because of their social group. The value of 4 indicates that less than 5 percent of the population lacks access because of their social group or political affiliation. </w:t>
            </w:r>
          </w:p>
        </w:tc>
      </w:tr>
    </w:tbl>
    <w:p w14:paraId="38F335A6" w14:textId="35C2922F" w:rsidR="008450DD" w:rsidRPr="00E9090B" w:rsidRDefault="008450DD" w:rsidP="008450DD">
      <w:pPr>
        <w:pStyle w:val="Default"/>
        <w:spacing w:before="240" w:after="240"/>
        <w:jc w:val="both"/>
        <w:rPr>
          <w:rFonts w:asciiTheme="majorHAnsi" w:hAnsiTheme="majorHAnsi" w:cstheme="majorHAnsi"/>
          <w:b/>
          <w:sz w:val="22"/>
          <w:szCs w:val="22"/>
        </w:rPr>
      </w:pPr>
      <w:r w:rsidRPr="00E9090B">
        <w:rPr>
          <w:rFonts w:asciiTheme="majorHAnsi" w:hAnsiTheme="majorHAnsi" w:cstheme="majorHAnsi"/>
          <w:b/>
          <w:sz w:val="22"/>
          <w:szCs w:val="22"/>
        </w:rPr>
        <w:t xml:space="preserve">2016 SCD Findings:  </w:t>
      </w:r>
      <w:r w:rsidRPr="00665270">
        <w:rPr>
          <w:rFonts w:asciiTheme="majorHAnsi" w:hAnsiTheme="majorHAnsi" w:cstheme="majorHAnsi"/>
          <w:b/>
          <w:bCs/>
          <w:color w:val="auto"/>
          <w:sz w:val="22"/>
          <w:szCs w:val="22"/>
        </w:rPr>
        <w:t>The findings from the previous SCD highlight the opportunities to</w:t>
      </w:r>
      <w:r w:rsidRPr="00E9090B">
        <w:rPr>
          <w:rFonts w:asciiTheme="majorHAnsi" w:hAnsiTheme="majorHAnsi" w:cstheme="majorHAnsi"/>
          <w:color w:val="auto"/>
          <w:sz w:val="22"/>
          <w:szCs w:val="22"/>
        </w:rPr>
        <w:t xml:space="preserve"> (i) strengthen the procurement system to gain efficiencies in the implementation of public projects and savings for the budget;</w:t>
      </w:r>
      <w:r w:rsidR="00574BEE">
        <w:rPr>
          <w:rFonts w:asciiTheme="majorHAnsi" w:hAnsiTheme="majorHAnsi" w:cstheme="majorHAnsi"/>
          <w:color w:val="auto"/>
          <w:sz w:val="22"/>
          <w:szCs w:val="22"/>
        </w:rPr>
        <w:t xml:space="preserve"> and</w:t>
      </w:r>
      <w:r w:rsidRPr="00E9090B">
        <w:rPr>
          <w:rFonts w:asciiTheme="majorHAnsi" w:hAnsiTheme="majorHAnsi" w:cstheme="majorHAnsi"/>
          <w:color w:val="auto"/>
          <w:sz w:val="22"/>
          <w:szCs w:val="22"/>
        </w:rPr>
        <w:t xml:space="preserve"> (ii) revamp and modernize the Public Investment Management (PIM) system, as well as </w:t>
      </w:r>
      <w:r w:rsidR="00574BEE">
        <w:rPr>
          <w:rFonts w:asciiTheme="majorHAnsi" w:hAnsiTheme="majorHAnsi" w:cstheme="majorHAnsi"/>
          <w:color w:val="auto"/>
          <w:sz w:val="22"/>
          <w:szCs w:val="22"/>
        </w:rPr>
        <w:t xml:space="preserve">shift </w:t>
      </w:r>
      <w:r w:rsidRPr="00E9090B">
        <w:rPr>
          <w:rFonts w:asciiTheme="majorHAnsi" w:hAnsiTheme="majorHAnsi" w:cstheme="majorHAnsi"/>
          <w:color w:val="auto"/>
          <w:sz w:val="22"/>
          <w:szCs w:val="22"/>
        </w:rPr>
        <w:t>perception</w:t>
      </w:r>
      <w:r w:rsidR="00574BEE">
        <w:rPr>
          <w:rFonts w:asciiTheme="majorHAnsi" w:hAnsiTheme="majorHAnsi" w:cstheme="majorHAnsi"/>
          <w:color w:val="auto"/>
          <w:sz w:val="22"/>
          <w:szCs w:val="22"/>
        </w:rPr>
        <w:t>s about</w:t>
      </w:r>
      <w:r w:rsidRPr="00E9090B">
        <w:rPr>
          <w:rFonts w:asciiTheme="majorHAnsi" w:hAnsiTheme="majorHAnsi" w:cstheme="majorHAnsi"/>
          <w:color w:val="auto"/>
          <w:sz w:val="22"/>
          <w:szCs w:val="22"/>
        </w:rPr>
        <w:t xml:space="preserve"> </w:t>
      </w:r>
      <w:r w:rsidR="00574BEE">
        <w:rPr>
          <w:rFonts w:asciiTheme="majorHAnsi" w:hAnsiTheme="majorHAnsi" w:cstheme="majorHAnsi"/>
          <w:color w:val="auto"/>
          <w:sz w:val="22"/>
          <w:szCs w:val="22"/>
        </w:rPr>
        <w:t>there being an</w:t>
      </w:r>
      <w:r w:rsidRPr="00E9090B">
        <w:rPr>
          <w:rFonts w:asciiTheme="majorHAnsi" w:hAnsiTheme="majorHAnsi" w:cstheme="majorHAnsi"/>
          <w:color w:val="auto"/>
          <w:sz w:val="22"/>
          <w:szCs w:val="22"/>
        </w:rPr>
        <w:t xml:space="preserve"> unfair judicial system</w:t>
      </w:r>
      <w:r w:rsidR="00574BEE">
        <w:rPr>
          <w:rFonts w:asciiTheme="majorHAnsi" w:hAnsiTheme="majorHAnsi" w:cstheme="majorHAnsi"/>
          <w:color w:val="auto"/>
          <w:sz w:val="22"/>
          <w:szCs w:val="22"/>
        </w:rPr>
        <w:t>/</w:t>
      </w:r>
      <w:r w:rsidRPr="00E9090B">
        <w:rPr>
          <w:rFonts w:asciiTheme="majorHAnsi" w:hAnsiTheme="majorHAnsi" w:cstheme="majorHAnsi"/>
          <w:color w:val="auto"/>
          <w:sz w:val="22"/>
          <w:szCs w:val="22"/>
        </w:rPr>
        <w:t xml:space="preserve">a government that </w:t>
      </w:r>
      <w:r w:rsidR="00574BEE" w:rsidRPr="00E9090B">
        <w:rPr>
          <w:rFonts w:asciiTheme="majorHAnsi" w:hAnsiTheme="majorHAnsi" w:cstheme="majorHAnsi"/>
          <w:color w:val="auto"/>
          <w:sz w:val="22"/>
          <w:szCs w:val="22"/>
        </w:rPr>
        <w:t>ha</w:t>
      </w:r>
      <w:r w:rsidR="00574BEE">
        <w:rPr>
          <w:rFonts w:asciiTheme="majorHAnsi" w:hAnsiTheme="majorHAnsi" w:cstheme="majorHAnsi"/>
          <w:color w:val="auto"/>
          <w:sz w:val="22"/>
          <w:szCs w:val="22"/>
        </w:rPr>
        <w:t>s</w:t>
      </w:r>
      <w:r w:rsidR="00574BEE" w:rsidRPr="00E9090B">
        <w:rPr>
          <w:rFonts w:asciiTheme="majorHAnsi" w:hAnsiTheme="majorHAnsi" w:cstheme="majorHAnsi"/>
          <w:color w:val="auto"/>
          <w:sz w:val="22"/>
          <w:szCs w:val="22"/>
        </w:rPr>
        <w:t xml:space="preserve"> </w:t>
      </w:r>
      <w:r w:rsidRPr="00E9090B">
        <w:rPr>
          <w:rFonts w:asciiTheme="majorHAnsi" w:hAnsiTheme="majorHAnsi" w:cstheme="majorHAnsi"/>
          <w:color w:val="auto"/>
          <w:sz w:val="22"/>
          <w:szCs w:val="22"/>
        </w:rPr>
        <w:t>protected vested interests at the expense of encouraging growth and job creation.</w:t>
      </w:r>
    </w:p>
    <w:p w14:paraId="655DE470" w14:textId="77777777" w:rsidR="008450DD" w:rsidRPr="00E9090B" w:rsidRDefault="008450DD" w:rsidP="008450DD">
      <w:pPr>
        <w:pStyle w:val="Default"/>
        <w:spacing w:before="240" w:after="240"/>
        <w:jc w:val="both"/>
        <w:rPr>
          <w:rFonts w:asciiTheme="majorHAnsi" w:hAnsiTheme="majorHAnsi" w:cstheme="majorHAnsi"/>
          <w:sz w:val="22"/>
          <w:szCs w:val="22"/>
        </w:rPr>
      </w:pPr>
      <w:r w:rsidRPr="00E9090B">
        <w:rPr>
          <w:rFonts w:asciiTheme="majorHAnsi" w:hAnsiTheme="majorHAnsi" w:cstheme="majorHAnsi"/>
          <w:b/>
          <w:bCs/>
          <w:sz w:val="22"/>
          <w:szCs w:val="22"/>
        </w:rPr>
        <w:t>Progress</w:t>
      </w:r>
      <w:r w:rsidRPr="00E9090B">
        <w:rPr>
          <w:rFonts w:asciiTheme="majorHAnsi" w:hAnsiTheme="majorHAnsi" w:cstheme="majorHAnsi"/>
          <w:b/>
          <w:sz w:val="22"/>
          <w:szCs w:val="22"/>
        </w:rPr>
        <w:t xml:space="preserve"> since 2016: These recommendations </w:t>
      </w:r>
      <w:r w:rsidRPr="00E9090B">
        <w:rPr>
          <w:rFonts w:asciiTheme="majorHAnsi" w:hAnsiTheme="majorHAnsi" w:cstheme="majorHAnsi"/>
          <w:b/>
          <w:color w:val="auto"/>
          <w:sz w:val="22"/>
          <w:szCs w:val="22"/>
        </w:rPr>
        <w:t>continue to be appropriate today</w:t>
      </w:r>
      <w:r w:rsidRPr="00E9090B">
        <w:rPr>
          <w:rFonts w:asciiTheme="majorHAnsi" w:hAnsiTheme="majorHAnsi" w:cstheme="majorHAnsi"/>
          <w:color w:val="auto"/>
          <w:sz w:val="22"/>
          <w:szCs w:val="22"/>
        </w:rPr>
        <w:t xml:space="preserve">. For example, Thailand continues to demonstrate low execution of planned capital spending, despite legislation designed to increase public investment spending, and as articulated earlier, alongside deterioration of the marginal capital to output ratio for public investment over the past 30 years. PIM can unlock the benefits of economic stimulus, structural reform, and fiscal savings through efficiency gains. </w:t>
      </w:r>
    </w:p>
    <w:p w14:paraId="5E11934C" w14:textId="1882F0FF" w:rsidR="008450DD" w:rsidRPr="00B67989" w:rsidRDefault="008450DD" w:rsidP="008450DD">
      <w:pPr>
        <w:pStyle w:val="Default"/>
        <w:spacing w:before="240" w:after="240"/>
        <w:jc w:val="both"/>
        <w:rPr>
          <w:rFonts w:asciiTheme="majorHAnsi" w:hAnsiTheme="majorHAnsi" w:cstheme="majorHAnsi"/>
          <w:sz w:val="22"/>
          <w:szCs w:val="22"/>
        </w:rPr>
      </w:pPr>
      <w:r w:rsidRPr="00E9090B">
        <w:rPr>
          <w:rFonts w:asciiTheme="majorHAnsi" w:hAnsiTheme="majorHAnsi" w:cstheme="majorHAnsi"/>
          <w:b/>
          <w:sz w:val="22"/>
          <w:szCs w:val="22"/>
        </w:rPr>
        <w:t>Remaining challenges: The impasse to progress in policy and implementation is perceived to be rooted in political gridlock</w:t>
      </w:r>
      <w:r w:rsidRPr="00E9090B">
        <w:rPr>
          <w:rFonts w:asciiTheme="majorHAnsi" w:hAnsiTheme="majorHAnsi" w:cstheme="majorHAnsi"/>
          <w:sz w:val="22"/>
          <w:szCs w:val="22"/>
        </w:rPr>
        <w:t>. This is rooted in the widening gaps in Thai society. Furthermore, at the technical level, there is a scarcity of governance and institution-focused analytical material to help identify binding constraints in, for example, strengthening PIM and procurement systems. At the same time, gaps in Thai society and resentment towards the justice system and unfair regulations have arguably grown, highlighting the need to look beyond technocratic solutions, to opportunities to strengthen public participation in, and accountability of the public sector institutions. For example, perception-based metrics of fair access to services and business opportunities rank Thailand third from the bottom among selected peers.</w:t>
      </w:r>
    </w:p>
    <w:p w14:paraId="694CD0E5" w14:textId="2AF4E69F" w:rsidR="00AB4AE5" w:rsidRDefault="00AB4AE5">
      <w:pPr>
        <w:rPr>
          <w:rFonts w:ascii="Berlin Sans FB" w:eastAsiaTheme="majorEastAsia" w:hAnsi="Berlin Sans FB" w:cstheme="majorBidi"/>
          <w:color w:val="326787" w:themeColor="accent2" w:themeShade="80"/>
          <w:sz w:val="26"/>
          <w:szCs w:val="26"/>
        </w:rPr>
      </w:pPr>
      <w:r>
        <w:rPr>
          <w:rFonts w:ascii="Berlin Sans FB" w:eastAsiaTheme="majorEastAsia" w:hAnsi="Berlin Sans FB" w:cstheme="majorBidi"/>
          <w:color w:val="326787" w:themeColor="accent2" w:themeShade="80"/>
          <w:sz w:val="26"/>
          <w:szCs w:val="26"/>
        </w:rPr>
        <w:br w:type="page"/>
      </w:r>
    </w:p>
    <w:p w14:paraId="10402247" w14:textId="77777777" w:rsidR="007E19EA" w:rsidRDefault="007E19EA">
      <w:pPr>
        <w:rPr>
          <w:rFonts w:ascii="Berlin Sans FB" w:eastAsiaTheme="majorEastAsia" w:hAnsi="Berlin Sans FB" w:cstheme="majorBidi"/>
          <w:color w:val="326787" w:themeColor="accent2" w:themeShade="80"/>
          <w:sz w:val="26"/>
          <w:szCs w:val="26"/>
        </w:rPr>
      </w:pPr>
    </w:p>
    <w:p w14:paraId="73178E70" w14:textId="77777777" w:rsidR="00AB4AE5" w:rsidRPr="0043475C" w:rsidRDefault="00AB4AE5" w:rsidP="00AB4AE5">
      <w:pPr>
        <w:pStyle w:val="Heading1"/>
        <w:rPr>
          <w:shd w:val="clear" w:color="auto" w:fill="FFFFFF"/>
        </w:rPr>
      </w:pPr>
      <w:bookmarkStart w:id="415" w:name="_Annex_3:_Additional"/>
      <w:bookmarkStart w:id="416" w:name="_Toc159763566"/>
      <w:bookmarkEnd w:id="415"/>
      <w:r w:rsidRPr="0043475C">
        <w:rPr>
          <w:shd w:val="clear" w:color="auto" w:fill="FFFFFF"/>
        </w:rPr>
        <w:t xml:space="preserve">Annex </w:t>
      </w:r>
      <w:r>
        <w:rPr>
          <w:shd w:val="clear" w:color="auto" w:fill="FFFFFF"/>
        </w:rPr>
        <w:t>2</w:t>
      </w:r>
      <w:r w:rsidRPr="0043475C">
        <w:rPr>
          <w:shd w:val="clear" w:color="auto" w:fill="FFFFFF"/>
        </w:rPr>
        <w:t xml:space="preserve">: </w:t>
      </w:r>
      <w:r>
        <w:rPr>
          <w:shd w:val="clear" w:color="auto" w:fill="FFFFFF"/>
        </w:rPr>
        <w:t>Additional figures</w:t>
      </w:r>
      <w:bookmarkEnd w:id="416"/>
    </w:p>
    <w:p w14:paraId="69C04F14" w14:textId="77777777" w:rsidR="00AB4AE5" w:rsidRPr="001D37A2" w:rsidRDefault="00AB4AE5" w:rsidP="00AB4AE5"/>
    <w:tbl>
      <w:tblPr>
        <w:tblStyle w:val="TableGrid"/>
        <w:tblW w:w="10620" w:type="dxa"/>
        <w:tblInd w:w="-275" w:type="dxa"/>
        <w:tblLayout w:type="fixed"/>
        <w:tblLook w:val="04A0" w:firstRow="1" w:lastRow="0" w:firstColumn="1" w:lastColumn="0" w:noHBand="0" w:noVBand="1"/>
      </w:tblPr>
      <w:tblGrid>
        <w:gridCol w:w="5220"/>
        <w:gridCol w:w="5400"/>
      </w:tblGrid>
      <w:tr w:rsidR="00AB4AE5" w:rsidRPr="00C232D4" w14:paraId="147DFFFC" w14:textId="77777777" w:rsidTr="00E042F7">
        <w:tc>
          <w:tcPr>
            <w:tcW w:w="5220" w:type="dxa"/>
            <w:tcBorders>
              <w:top w:val="nil"/>
              <w:left w:val="nil"/>
              <w:bottom w:val="nil"/>
              <w:right w:val="nil"/>
            </w:tcBorders>
          </w:tcPr>
          <w:p w14:paraId="11A69DCA" w14:textId="0AAA5E0E" w:rsidR="00AB4AE5" w:rsidRPr="00263262" w:rsidRDefault="00AB4AE5" w:rsidP="00E042F7">
            <w:pPr>
              <w:rPr>
                <w:rFonts w:asciiTheme="majorHAnsi" w:hAnsiTheme="majorHAnsi" w:cstheme="majorHAnsi"/>
                <w:b/>
                <w:bCs/>
              </w:rPr>
            </w:pPr>
            <w:r w:rsidRPr="00263262">
              <w:rPr>
                <w:rFonts w:asciiTheme="majorHAnsi" w:hAnsiTheme="majorHAnsi" w:cstheme="majorHAnsi"/>
                <w:b/>
                <w:bCs/>
              </w:rPr>
              <w:t>Figure A.</w:t>
            </w:r>
            <w:r w:rsidR="00383D60">
              <w:rPr>
                <w:rFonts w:asciiTheme="majorHAnsi" w:hAnsiTheme="majorHAnsi" w:cstheme="majorHAnsi"/>
                <w:b/>
                <w:bCs/>
              </w:rPr>
              <w:t>2</w:t>
            </w:r>
            <w:r w:rsidRPr="00263262">
              <w:rPr>
                <w:rFonts w:asciiTheme="majorHAnsi" w:hAnsiTheme="majorHAnsi" w:cstheme="majorHAnsi"/>
                <w:b/>
                <w:bCs/>
              </w:rPr>
              <w:t>.1 GDP growth, Thailand</w:t>
            </w:r>
          </w:p>
        </w:tc>
        <w:tc>
          <w:tcPr>
            <w:tcW w:w="5400" w:type="dxa"/>
            <w:tcBorders>
              <w:top w:val="nil"/>
              <w:left w:val="nil"/>
              <w:bottom w:val="nil"/>
              <w:right w:val="nil"/>
            </w:tcBorders>
          </w:tcPr>
          <w:p w14:paraId="40001AF6" w14:textId="44E6EF44" w:rsidR="00AB4AE5" w:rsidRDefault="00AB4AE5" w:rsidP="00E042F7">
            <w:pPr>
              <w:rPr>
                <w:rFonts w:asciiTheme="majorHAnsi" w:hAnsiTheme="majorHAnsi" w:cstheme="majorBidi"/>
                <w:b/>
                <w:bCs/>
              </w:rPr>
            </w:pPr>
            <w:r w:rsidRPr="00263262">
              <w:rPr>
                <w:rFonts w:asciiTheme="majorHAnsi" w:hAnsiTheme="majorHAnsi" w:cstheme="majorBidi"/>
                <w:b/>
                <w:bCs/>
              </w:rPr>
              <w:t>Figure A.</w:t>
            </w:r>
            <w:r w:rsidR="00383D60">
              <w:rPr>
                <w:rFonts w:asciiTheme="majorHAnsi" w:hAnsiTheme="majorHAnsi" w:cstheme="majorBidi"/>
                <w:b/>
                <w:bCs/>
              </w:rPr>
              <w:t>2</w:t>
            </w:r>
            <w:r w:rsidRPr="00263262">
              <w:rPr>
                <w:rFonts w:asciiTheme="majorHAnsi" w:hAnsiTheme="majorHAnsi" w:cstheme="majorBidi"/>
                <w:b/>
                <w:bCs/>
              </w:rPr>
              <w:t xml:space="preserve">.2 New global trade and investment restrictive measures, global imports, and Thai export growth and FDI inflows  </w:t>
            </w:r>
          </w:p>
          <w:p w14:paraId="5F171B45" w14:textId="77777777" w:rsidR="00AB4AE5" w:rsidRPr="00263262" w:rsidRDefault="00AB4AE5" w:rsidP="00E042F7">
            <w:pPr>
              <w:rPr>
                <w:rFonts w:asciiTheme="majorHAnsi" w:hAnsiTheme="majorHAnsi" w:cstheme="majorBidi"/>
                <w:b/>
                <w:bCs/>
              </w:rPr>
            </w:pPr>
          </w:p>
        </w:tc>
      </w:tr>
      <w:tr w:rsidR="00AB4AE5" w:rsidRPr="00C232D4" w14:paraId="44C96A79" w14:textId="77777777" w:rsidTr="00E042F7">
        <w:trPr>
          <w:trHeight w:val="2060"/>
        </w:trPr>
        <w:tc>
          <w:tcPr>
            <w:tcW w:w="5220" w:type="dxa"/>
            <w:tcBorders>
              <w:top w:val="nil"/>
              <w:left w:val="nil"/>
              <w:bottom w:val="nil"/>
              <w:right w:val="nil"/>
            </w:tcBorders>
          </w:tcPr>
          <w:p w14:paraId="40D218D3" w14:textId="77777777" w:rsidR="00AB4AE5" w:rsidRDefault="00AB4AE5" w:rsidP="00E042F7">
            <w:pPr>
              <w:keepNext/>
            </w:pPr>
            <w:r w:rsidRPr="00C232D4">
              <w:rPr>
                <w:rFonts w:asciiTheme="majorHAnsi" w:hAnsiTheme="majorHAnsi" w:cstheme="majorHAnsi"/>
                <w:noProof/>
                <w:color w:val="0F243E" w:themeColor="text2" w:themeShade="80"/>
                <w:lang w:val="en-GB" w:eastAsia="en-GB"/>
              </w:rPr>
              <w:drawing>
                <wp:inline distT="0" distB="0" distL="0" distR="0" wp14:anchorId="79332F94" wp14:editId="3BB54AA2">
                  <wp:extent cx="3034158" cy="2286000"/>
                  <wp:effectExtent l="0" t="0" r="0" b="0"/>
                  <wp:docPr id="302397326" name="Picture 3023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4158" cy="2286000"/>
                          </a:xfrm>
                          <a:prstGeom prst="rect">
                            <a:avLst/>
                          </a:prstGeom>
                          <a:noFill/>
                          <a:ln>
                            <a:noFill/>
                          </a:ln>
                        </pic:spPr>
                      </pic:pic>
                    </a:graphicData>
                  </a:graphic>
                </wp:inline>
              </w:drawing>
            </w:r>
          </w:p>
          <w:p w14:paraId="570F2BEB" w14:textId="77777777" w:rsidR="00AB4AE5" w:rsidRPr="00C232D4" w:rsidRDefault="00AB4AE5" w:rsidP="00E042F7">
            <w:pPr>
              <w:pStyle w:val="Caption"/>
              <w:rPr>
                <w:rFonts w:asciiTheme="majorHAnsi" w:hAnsiTheme="majorHAnsi" w:cstheme="majorHAnsi"/>
                <w:color w:val="0F243E" w:themeColor="text2" w:themeShade="80"/>
              </w:rPr>
            </w:pPr>
          </w:p>
        </w:tc>
        <w:tc>
          <w:tcPr>
            <w:tcW w:w="5400" w:type="dxa"/>
            <w:tcBorders>
              <w:top w:val="nil"/>
              <w:left w:val="nil"/>
              <w:bottom w:val="nil"/>
              <w:right w:val="nil"/>
            </w:tcBorders>
          </w:tcPr>
          <w:p w14:paraId="7C14CB55" w14:textId="77777777" w:rsidR="00AB4AE5" w:rsidRPr="00C232D4" w:rsidRDefault="00AB4AE5" w:rsidP="00E042F7">
            <w:pPr>
              <w:rPr>
                <w:rFonts w:asciiTheme="majorHAnsi" w:hAnsiTheme="majorHAnsi" w:cstheme="majorHAnsi"/>
                <w:color w:val="0F243E" w:themeColor="text2" w:themeShade="80"/>
              </w:rPr>
            </w:pPr>
            <w:r w:rsidRPr="00C232D4">
              <w:rPr>
                <w:rFonts w:asciiTheme="majorHAnsi" w:hAnsiTheme="majorHAnsi" w:cstheme="majorHAnsi"/>
                <w:noProof/>
                <w:color w:val="0F243E" w:themeColor="text2" w:themeShade="80"/>
                <w:lang w:val="en-GB" w:eastAsia="en-GB"/>
              </w:rPr>
              <w:drawing>
                <wp:inline distT="0" distB="0" distL="0" distR="0" wp14:anchorId="34FD0B15" wp14:editId="6A9F037C">
                  <wp:extent cx="3085615" cy="2286000"/>
                  <wp:effectExtent l="0" t="0" r="635" b="0"/>
                  <wp:docPr id="116889075" name="Picture 11688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5615" cy="2286000"/>
                          </a:xfrm>
                          <a:prstGeom prst="rect">
                            <a:avLst/>
                          </a:prstGeom>
                          <a:noFill/>
                          <a:ln>
                            <a:noFill/>
                          </a:ln>
                        </pic:spPr>
                      </pic:pic>
                    </a:graphicData>
                  </a:graphic>
                </wp:inline>
              </w:drawing>
            </w:r>
          </w:p>
        </w:tc>
      </w:tr>
      <w:tr w:rsidR="00AB4AE5" w:rsidRPr="00263262" w14:paraId="55C67267" w14:textId="77777777" w:rsidTr="00E042F7">
        <w:trPr>
          <w:trHeight w:val="467"/>
        </w:trPr>
        <w:tc>
          <w:tcPr>
            <w:tcW w:w="5220" w:type="dxa"/>
            <w:tcBorders>
              <w:top w:val="nil"/>
              <w:left w:val="nil"/>
              <w:bottom w:val="nil"/>
              <w:right w:val="nil"/>
            </w:tcBorders>
          </w:tcPr>
          <w:p w14:paraId="7E0681B0" w14:textId="77777777" w:rsidR="00AB4AE5" w:rsidRPr="00263262" w:rsidRDefault="00AB4AE5" w:rsidP="00E042F7">
            <w:pPr>
              <w:rPr>
                <w:rFonts w:asciiTheme="majorHAnsi" w:hAnsiTheme="majorHAnsi" w:cstheme="majorHAnsi"/>
                <w:noProof/>
                <w:color w:val="595959" w:themeColor="text1" w:themeTint="A6"/>
                <w:sz w:val="16"/>
                <w:szCs w:val="16"/>
              </w:rPr>
            </w:pPr>
            <w:r w:rsidRPr="00263262">
              <w:rPr>
                <w:rFonts w:asciiTheme="majorHAnsi" w:hAnsiTheme="majorHAnsi" w:cstheme="majorHAnsi"/>
                <w:b/>
                <w:bCs/>
                <w:i/>
                <w:iCs/>
                <w:noProof/>
                <w:color w:val="595959" w:themeColor="text1" w:themeTint="A6"/>
                <w:sz w:val="16"/>
                <w:szCs w:val="16"/>
              </w:rPr>
              <w:t>Source:</w:t>
            </w:r>
            <w:r w:rsidRPr="00263262">
              <w:rPr>
                <w:rFonts w:asciiTheme="majorHAnsi" w:hAnsiTheme="majorHAnsi" w:cstheme="majorHAnsi"/>
                <w:noProof/>
                <w:color w:val="595959" w:themeColor="text1" w:themeTint="A6"/>
                <w:sz w:val="16"/>
                <w:szCs w:val="16"/>
              </w:rPr>
              <w:t xml:space="preserve"> Haver Analytic; IMF; World Bank. </w:t>
            </w:r>
          </w:p>
          <w:p w14:paraId="5AAA460E" w14:textId="77777777" w:rsidR="00AB4AE5" w:rsidRPr="00263262" w:rsidRDefault="00AB4AE5" w:rsidP="00E042F7">
            <w:pPr>
              <w:rPr>
                <w:rFonts w:asciiTheme="majorHAnsi" w:hAnsiTheme="majorHAnsi" w:cstheme="majorHAnsi"/>
                <w:noProof/>
                <w:color w:val="595959" w:themeColor="text1" w:themeTint="A6"/>
                <w:sz w:val="16"/>
                <w:szCs w:val="16"/>
              </w:rPr>
            </w:pPr>
            <w:r w:rsidRPr="00263262">
              <w:rPr>
                <w:rFonts w:asciiTheme="majorHAnsi" w:hAnsiTheme="majorHAnsi" w:cstheme="majorHAnsi"/>
                <w:b/>
                <w:bCs/>
                <w:i/>
                <w:iCs/>
                <w:noProof/>
                <w:color w:val="595959" w:themeColor="text1" w:themeTint="A6"/>
                <w:sz w:val="16"/>
                <w:szCs w:val="16"/>
              </w:rPr>
              <w:t>Note:</w:t>
            </w:r>
            <w:r w:rsidRPr="00263262">
              <w:rPr>
                <w:rFonts w:asciiTheme="majorHAnsi" w:hAnsiTheme="majorHAnsi" w:cstheme="majorHAnsi"/>
                <w:noProof/>
                <w:color w:val="595959" w:themeColor="text1" w:themeTint="A6"/>
                <w:sz w:val="16"/>
                <w:szCs w:val="16"/>
              </w:rPr>
              <w:t xml:space="preserve"> GDP in constant prices, percent change annual. </w:t>
            </w:r>
          </w:p>
        </w:tc>
        <w:tc>
          <w:tcPr>
            <w:tcW w:w="5400" w:type="dxa"/>
            <w:tcBorders>
              <w:top w:val="nil"/>
              <w:left w:val="nil"/>
              <w:bottom w:val="nil"/>
              <w:right w:val="nil"/>
            </w:tcBorders>
          </w:tcPr>
          <w:p w14:paraId="514E7082" w14:textId="77777777" w:rsidR="00AB4AE5" w:rsidRPr="00263262" w:rsidRDefault="00AB4AE5" w:rsidP="00E042F7">
            <w:pPr>
              <w:rPr>
                <w:rFonts w:asciiTheme="majorHAnsi" w:hAnsiTheme="majorHAnsi" w:cstheme="majorHAnsi"/>
                <w:noProof/>
                <w:color w:val="595959" w:themeColor="text1" w:themeTint="A6"/>
                <w:sz w:val="16"/>
                <w:szCs w:val="16"/>
              </w:rPr>
            </w:pPr>
            <w:r w:rsidRPr="00263262">
              <w:rPr>
                <w:rFonts w:asciiTheme="majorHAnsi" w:hAnsiTheme="majorHAnsi" w:cstheme="majorHAnsi"/>
                <w:b/>
                <w:bCs/>
                <w:i/>
                <w:iCs/>
                <w:noProof/>
                <w:color w:val="595959" w:themeColor="text1" w:themeTint="A6"/>
                <w:sz w:val="16"/>
                <w:szCs w:val="16"/>
              </w:rPr>
              <w:t>Source:</w:t>
            </w:r>
            <w:r w:rsidRPr="00263262">
              <w:rPr>
                <w:rFonts w:asciiTheme="majorHAnsi" w:hAnsiTheme="majorHAnsi" w:cstheme="majorHAnsi"/>
                <w:noProof/>
                <w:color w:val="595959" w:themeColor="text1" w:themeTint="A6"/>
                <w:sz w:val="16"/>
                <w:szCs w:val="16"/>
              </w:rPr>
              <w:t xml:space="preserve"> Analytics; Global Trade Alert; Haver Analytics; IMF; World Bank. </w:t>
            </w:r>
          </w:p>
          <w:p w14:paraId="493F1ADF" w14:textId="77777777" w:rsidR="00AB4AE5" w:rsidRPr="00263262" w:rsidRDefault="00AB4AE5" w:rsidP="00E042F7">
            <w:pPr>
              <w:rPr>
                <w:rFonts w:asciiTheme="majorHAnsi" w:hAnsiTheme="majorHAnsi" w:cstheme="majorHAnsi"/>
                <w:noProof/>
                <w:color w:val="595959" w:themeColor="text1" w:themeTint="A6"/>
                <w:sz w:val="16"/>
                <w:szCs w:val="16"/>
              </w:rPr>
            </w:pPr>
            <w:r w:rsidRPr="00263262">
              <w:rPr>
                <w:rFonts w:asciiTheme="majorHAnsi" w:hAnsiTheme="majorHAnsi" w:cstheme="majorHAnsi"/>
                <w:b/>
                <w:bCs/>
                <w:i/>
                <w:iCs/>
                <w:noProof/>
                <w:color w:val="595959" w:themeColor="text1" w:themeTint="A6"/>
                <w:sz w:val="16"/>
                <w:szCs w:val="16"/>
              </w:rPr>
              <w:t>Note:</w:t>
            </w:r>
            <w:r w:rsidRPr="00263262">
              <w:rPr>
                <w:rFonts w:asciiTheme="majorHAnsi" w:hAnsiTheme="majorHAnsi" w:cstheme="majorHAnsi"/>
                <w:noProof/>
                <w:color w:val="595959" w:themeColor="text1" w:themeTint="A6"/>
                <w:sz w:val="16"/>
                <w:szCs w:val="16"/>
              </w:rPr>
              <w:t xml:space="preserve"> Global imports and Thai export growth are shown as a 15-year moving average of annual percent change. FDI inflows are shown as share of GDP. </w:t>
            </w:r>
          </w:p>
          <w:p w14:paraId="14F6A937" w14:textId="77777777" w:rsidR="00AB4AE5" w:rsidRPr="00263262" w:rsidRDefault="00AB4AE5" w:rsidP="00E042F7">
            <w:pPr>
              <w:rPr>
                <w:rFonts w:asciiTheme="majorHAnsi" w:hAnsiTheme="majorHAnsi" w:cstheme="majorHAnsi"/>
                <w:noProof/>
                <w:color w:val="595959" w:themeColor="text1" w:themeTint="A6"/>
                <w:sz w:val="16"/>
                <w:szCs w:val="16"/>
              </w:rPr>
            </w:pPr>
          </w:p>
        </w:tc>
      </w:tr>
    </w:tbl>
    <w:p w14:paraId="391FC7F0" w14:textId="77777777" w:rsidR="00AB4AE5" w:rsidRDefault="00AB4AE5" w:rsidP="00AB4AE5"/>
    <w:p w14:paraId="134618F5" w14:textId="77777777" w:rsidR="00AB4AE5" w:rsidRDefault="00AB4AE5" w:rsidP="00AB4AE5"/>
    <w:tbl>
      <w:tblPr>
        <w:tblStyle w:val="TableGrid"/>
        <w:tblW w:w="1062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gridCol w:w="5403"/>
      </w:tblGrid>
      <w:tr w:rsidR="00AB4AE5" w:rsidRPr="00263262" w14:paraId="62FD676D" w14:textId="77777777" w:rsidTr="00E042F7">
        <w:trPr>
          <w:trHeight w:val="467"/>
        </w:trPr>
        <w:tc>
          <w:tcPr>
            <w:tcW w:w="5222" w:type="dxa"/>
          </w:tcPr>
          <w:p w14:paraId="03382F85" w14:textId="7E6C571D" w:rsidR="00AB4AE5" w:rsidRPr="00263262" w:rsidRDefault="00AB4AE5" w:rsidP="00E042F7">
            <w:pPr>
              <w:rPr>
                <w:rFonts w:asciiTheme="majorHAnsi" w:hAnsiTheme="majorHAnsi" w:cstheme="majorHAnsi"/>
                <w:b/>
                <w:bCs/>
                <w:noProof/>
              </w:rPr>
            </w:pPr>
            <w:r w:rsidRPr="00263262">
              <w:rPr>
                <w:rFonts w:asciiTheme="majorHAnsi" w:hAnsiTheme="majorHAnsi" w:cstheme="majorHAnsi"/>
                <w:b/>
                <w:bCs/>
                <w:noProof/>
              </w:rPr>
              <w:t>Figure A.</w:t>
            </w:r>
            <w:r w:rsidR="00383D60">
              <w:rPr>
                <w:rFonts w:asciiTheme="majorHAnsi" w:hAnsiTheme="majorHAnsi" w:cstheme="majorHAnsi"/>
                <w:b/>
                <w:bCs/>
                <w:noProof/>
              </w:rPr>
              <w:t>2</w:t>
            </w:r>
            <w:r w:rsidRPr="00263262">
              <w:rPr>
                <w:rFonts w:asciiTheme="majorHAnsi" w:hAnsiTheme="majorHAnsi" w:cstheme="majorHAnsi"/>
                <w:b/>
                <w:bCs/>
                <w:noProof/>
              </w:rPr>
              <w:t xml:space="preserve">.3 Global commodity prices, Thailand’s terms of trade </w:t>
            </w:r>
          </w:p>
        </w:tc>
        <w:tc>
          <w:tcPr>
            <w:tcW w:w="5403" w:type="dxa"/>
          </w:tcPr>
          <w:p w14:paraId="1D83C3DB" w14:textId="1D56DE89" w:rsidR="00AB4AE5" w:rsidRPr="00263262" w:rsidRDefault="00AB4AE5" w:rsidP="00E042F7">
            <w:pPr>
              <w:rPr>
                <w:rFonts w:asciiTheme="majorHAnsi" w:hAnsiTheme="majorHAnsi" w:cstheme="majorHAnsi"/>
                <w:b/>
                <w:noProof/>
              </w:rPr>
            </w:pPr>
            <w:r w:rsidRPr="00263262">
              <w:rPr>
                <w:rFonts w:asciiTheme="majorHAnsi" w:hAnsiTheme="majorHAnsi" w:cstheme="majorHAnsi"/>
                <w:b/>
                <w:bCs/>
              </w:rPr>
              <w:t>Figure A.</w:t>
            </w:r>
            <w:r w:rsidR="00383D60">
              <w:rPr>
                <w:rFonts w:asciiTheme="majorHAnsi" w:hAnsiTheme="majorHAnsi" w:cstheme="majorHAnsi"/>
                <w:b/>
                <w:bCs/>
              </w:rPr>
              <w:t>2</w:t>
            </w:r>
            <w:r w:rsidRPr="00263262">
              <w:rPr>
                <w:rFonts w:asciiTheme="majorHAnsi" w:hAnsiTheme="majorHAnsi" w:cstheme="majorHAnsi"/>
                <w:b/>
                <w:bCs/>
              </w:rPr>
              <w:t xml:space="preserve">.4 </w:t>
            </w:r>
            <w:r w:rsidRPr="00263262">
              <w:rPr>
                <w:rFonts w:asciiTheme="majorHAnsi" w:hAnsiTheme="majorHAnsi" w:cstheme="majorHAnsi"/>
                <w:b/>
                <w:noProof/>
              </w:rPr>
              <w:t>FX reserves, external debt, nominal exchange rate, Thailand</w:t>
            </w:r>
          </w:p>
        </w:tc>
      </w:tr>
      <w:tr w:rsidR="00AB4AE5" w:rsidRPr="00C232D4" w14:paraId="3032AB08" w14:textId="77777777" w:rsidTr="00E042F7">
        <w:trPr>
          <w:trHeight w:val="980"/>
        </w:trPr>
        <w:tc>
          <w:tcPr>
            <w:tcW w:w="5222" w:type="dxa"/>
          </w:tcPr>
          <w:p w14:paraId="2E759A4A" w14:textId="77777777" w:rsidR="00AB4AE5" w:rsidRPr="00C232D4" w:rsidRDefault="00AB4AE5" w:rsidP="00E042F7">
            <w:pPr>
              <w:rPr>
                <w:rFonts w:asciiTheme="majorHAnsi" w:hAnsiTheme="majorHAnsi" w:cstheme="majorHAnsi"/>
                <w:bCs/>
                <w:color w:val="0F243E" w:themeColor="text2" w:themeShade="80"/>
              </w:rPr>
            </w:pPr>
            <w:r w:rsidRPr="00C232D4">
              <w:rPr>
                <w:rFonts w:asciiTheme="majorHAnsi" w:hAnsiTheme="majorHAnsi" w:cstheme="majorHAnsi"/>
                <w:bCs/>
                <w:noProof/>
                <w:color w:val="0F243E" w:themeColor="text2" w:themeShade="80"/>
                <w:lang w:val="en-GB" w:eastAsia="en-GB"/>
              </w:rPr>
              <w:drawing>
                <wp:inline distT="0" distB="0" distL="0" distR="0" wp14:anchorId="7155AA99" wp14:editId="7E7EA7C3">
                  <wp:extent cx="2992153" cy="2286000"/>
                  <wp:effectExtent l="0" t="0" r="0" b="0"/>
                  <wp:docPr id="2102979064" name="Picture 210297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2153" cy="2286000"/>
                          </a:xfrm>
                          <a:prstGeom prst="rect">
                            <a:avLst/>
                          </a:prstGeom>
                          <a:noFill/>
                          <a:ln>
                            <a:noFill/>
                          </a:ln>
                        </pic:spPr>
                      </pic:pic>
                    </a:graphicData>
                  </a:graphic>
                </wp:inline>
              </w:drawing>
            </w:r>
          </w:p>
        </w:tc>
        <w:tc>
          <w:tcPr>
            <w:tcW w:w="5403" w:type="dxa"/>
          </w:tcPr>
          <w:p w14:paraId="70ACCC9E" w14:textId="77777777" w:rsidR="00AB4AE5" w:rsidRPr="00C232D4" w:rsidRDefault="00AB4AE5" w:rsidP="00E042F7">
            <w:pPr>
              <w:rPr>
                <w:rFonts w:asciiTheme="majorHAnsi" w:hAnsiTheme="majorHAnsi" w:cstheme="majorBidi"/>
                <w:color w:val="0F243E" w:themeColor="text2" w:themeShade="80"/>
              </w:rPr>
            </w:pPr>
            <w:r w:rsidRPr="00C232D4">
              <w:rPr>
                <w:rFonts w:asciiTheme="majorHAnsi" w:hAnsiTheme="majorHAnsi" w:cstheme="majorBidi"/>
                <w:noProof/>
                <w:color w:val="0F243E" w:themeColor="text2" w:themeShade="80"/>
                <w:lang w:val="en-GB" w:eastAsia="en-GB"/>
              </w:rPr>
              <w:drawing>
                <wp:inline distT="0" distB="0" distL="0" distR="0" wp14:anchorId="5BF6F187" wp14:editId="2B9CB477">
                  <wp:extent cx="3063457" cy="2286000"/>
                  <wp:effectExtent l="0" t="0" r="3810" b="0"/>
                  <wp:docPr id="1654557384" name="Picture 16545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457" cy="2286000"/>
                          </a:xfrm>
                          <a:prstGeom prst="rect">
                            <a:avLst/>
                          </a:prstGeom>
                          <a:noFill/>
                          <a:ln>
                            <a:noFill/>
                          </a:ln>
                        </pic:spPr>
                      </pic:pic>
                    </a:graphicData>
                  </a:graphic>
                </wp:inline>
              </w:drawing>
            </w:r>
          </w:p>
        </w:tc>
      </w:tr>
      <w:tr w:rsidR="00AB4AE5" w:rsidRPr="00263262" w14:paraId="0CBFE61F" w14:textId="77777777" w:rsidTr="00E042F7">
        <w:trPr>
          <w:trHeight w:val="422"/>
        </w:trPr>
        <w:tc>
          <w:tcPr>
            <w:tcW w:w="5222" w:type="dxa"/>
          </w:tcPr>
          <w:p w14:paraId="22D81F76" w14:textId="77777777" w:rsidR="00AB4AE5" w:rsidRPr="00263262" w:rsidRDefault="00AB4AE5" w:rsidP="00E042F7">
            <w:pPr>
              <w:rPr>
                <w:rFonts w:asciiTheme="majorHAnsi" w:hAnsiTheme="majorHAnsi" w:cstheme="majorHAnsi"/>
                <w:color w:val="595959" w:themeColor="text1" w:themeTint="A6"/>
                <w:sz w:val="16"/>
                <w:szCs w:val="16"/>
              </w:rPr>
            </w:pPr>
            <w:r w:rsidRPr="00263262">
              <w:rPr>
                <w:rFonts w:asciiTheme="majorHAnsi" w:hAnsiTheme="majorHAnsi" w:cstheme="majorHAnsi"/>
                <w:b/>
                <w:bCs/>
                <w:i/>
                <w:iCs/>
                <w:color w:val="595959" w:themeColor="text1" w:themeTint="A6"/>
                <w:sz w:val="16"/>
                <w:szCs w:val="16"/>
              </w:rPr>
              <w:t>Source:</w:t>
            </w:r>
            <w:r w:rsidRPr="00263262">
              <w:rPr>
                <w:rFonts w:asciiTheme="majorHAnsi" w:hAnsiTheme="majorHAnsi" w:cstheme="majorHAnsi"/>
                <w:color w:val="595959" w:themeColor="text1" w:themeTint="A6"/>
                <w:sz w:val="16"/>
                <w:szCs w:val="16"/>
              </w:rPr>
              <w:t xml:space="preserve"> Haver Analytics; World Bank. </w:t>
            </w:r>
          </w:p>
          <w:p w14:paraId="583BA544" w14:textId="77777777" w:rsidR="00AB4AE5" w:rsidRPr="00263262" w:rsidRDefault="00AB4AE5" w:rsidP="00E042F7">
            <w:pPr>
              <w:rPr>
                <w:rFonts w:asciiTheme="majorHAnsi" w:hAnsiTheme="majorHAnsi" w:cstheme="majorHAnsi"/>
                <w:color w:val="595959" w:themeColor="text1" w:themeTint="A6"/>
                <w:sz w:val="16"/>
                <w:szCs w:val="16"/>
              </w:rPr>
            </w:pPr>
            <w:r w:rsidRPr="00263262">
              <w:rPr>
                <w:rFonts w:asciiTheme="majorHAnsi" w:hAnsiTheme="majorHAnsi" w:cstheme="majorHAnsi"/>
                <w:b/>
                <w:bCs/>
                <w:i/>
                <w:iCs/>
                <w:color w:val="595959" w:themeColor="text1" w:themeTint="A6"/>
                <w:sz w:val="16"/>
                <w:szCs w:val="16"/>
              </w:rPr>
              <w:t>Note:</w:t>
            </w:r>
            <w:r w:rsidRPr="00263262">
              <w:rPr>
                <w:rFonts w:asciiTheme="majorHAnsi" w:hAnsiTheme="majorHAnsi" w:cstheme="majorHAnsi"/>
                <w:color w:val="595959" w:themeColor="text1" w:themeTint="A6"/>
                <w:sz w:val="16"/>
                <w:szCs w:val="16"/>
              </w:rPr>
              <w:t xml:space="preserve"> 5-year moving average of annual percent change. </w:t>
            </w:r>
          </w:p>
        </w:tc>
        <w:tc>
          <w:tcPr>
            <w:tcW w:w="5403" w:type="dxa"/>
          </w:tcPr>
          <w:p w14:paraId="034012C6" w14:textId="77777777" w:rsidR="00AB4AE5" w:rsidRPr="00263262" w:rsidRDefault="00AB4AE5" w:rsidP="00E042F7">
            <w:pPr>
              <w:rPr>
                <w:rFonts w:asciiTheme="majorHAnsi" w:hAnsiTheme="majorHAnsi" w:cstheme="majorHAnsi"/>
                <w:bCs/>
                <w:noProof/>
                <w:color w:val="595959" w:themeColor="text1" w:themeTint="A6"/>
                <w:sz w:val="16"/>
                <w:szCs w:val="16"/>
              </w:rPr>
            </w:pPr>
            <w:r w:rsidRPr="00263262">
              <w:rPr>
                <w:rFonts w:asciiTheme="majorHAnsi" w:hAnsiTheme="majorHAnsi" w:cstheme="majorHAnsi"/>
                <w:b/>
                <w:i/>
                <w:iCs/>
                <w:noProof/>
                <w:color w:val="595959" w:themeColor="text1" w:themeTint="A6"/>
                <w:sz w:val="16"/>
                <w:szCs w:val="16"/>
              </w:rPr>
              <w:t>Source:</w:t>
            </w:r>
            <w:r w:rsidRPr="00263262">
              <w:rPr>
                <w:rFonts w:asciiTheme="majorHAnsi" w:hAnsiTheme="majorHAnsi" w:cstheme="majorHAnsi"/>
                <w:bCs/>
                <w:noProof/>
                <w:color w:val="595959" w:themeColor="text1" w:themeTint="A6"/>
                <w:sz w:val="16"/>
                <w:szCs w:val="16"/>
              </w:rPr>
              <w:t xml:space="preserve"> Haver Analytics; World Bank. </w:t>
            </w:r>
          </w:p>
          <w:p w14:paraId="4C1CED14" w14:textId="77777777" w:rsidR="00AB4AE5" w:rsidRPr="00263262" w:rsidRDefault="00AB4AE5" w:rsidP="00E042F7">
            <w:pPr>
              <w:rPr>
                <w:rFonts w:asciiTheme="majorHAnsi" w:hAnsiTheme="majorHAnsi" w:cstheme="majorBidi"/>
                <w:noProof/>
                <w:color w:val="595959" w:themeColor="text1" w:themeTint="A6"/>
                <w:sz w:val="16"/>
                <w:szCs w:val="16"/>
              </w:rPr>
            </w:pPr>
            <w:r w:rsidRPr="00263262">
              <w:rPr>
                <w:rFonts w:asciiTheme="majorHAnsi" w:hAnsiTheme="majorHAnsi" w:cstheme="majorBidi"/>
                <w:b/>
                <w:bCs/>
                <w:i/>
                <w:iCs/>
                <w:noProof/>
                <w:color w:val="595959" w:themeColor="text1" w:themeTint="A6"/>
                <w:sz w:val="16"/>
                <w:szCs w:val="16"/>
              </w:rPr>
              <w:t>Note:</w:t>
            </w:r>
            <w:r w:rsidRPr="00263262">
              <w:rPr>
                <w:rFonts w:asciiTheme="majorHAnsi" w:hAnsiTheme="majorHAnsi" w:cstheme="majorBidi"/>
                <w:noProof/>
                <w:color w:val="595959" w:themeColor="text1" w:themeTint="A6"/>
                <w:sz w:val="16"/>
                <w:szCs w:val="16"/>
              </w:rPr>
              <w:t xml:space="preserve"> US dollar to THB nominal exchange rate. A decline shows depreciation. </w:t>
            </w:r>
          </w:p>
        </w:tc>
      </w:tr>
      <w:tr w:rsidR="00AB4AE5" w:rsidRPr="00C232D4" w14:paraId="0A11EA1F" w14:textId="77777777" w:rsidTr="00E042F7">
        <w:trPr>
          <w:trHeight w:val="422"/>
        </w:trPr>
        <w:tc>
          <w:tcPr>
            <w:tcW w:w="5222" w:type="dxa"/>
          </w:tcPr>
          <w:p w14:paraId="2CCC086F" w14:textId="27396406" w:rsidR="00AB4AE5" w:rsidRDefault="00AB4AE5" w:rsidP="00E042F7">
            <w:pPr>
              <w:rPr>
                <w:rFonts w:asciiTheme="majorHAnsi" w:hAnsiTheme="majorHAnsi" w:cstheme="majorHAnsi"/>
                <w:b/>
                <w:bCs/>
              </w:rPr>
            </w:pPr>
            <w:r w:rsidRPr="00263262">
              <w:rPr>
                <w:rFonts w:asciiTheme="majorHAnsi" w:hAnsiTheme="majorHAnsi" w:cstheme="majorHAnsi"/>
                <w:b/>
                <w:bCs/>
              </w:rPr>
              <w:lastRenderedPageBreak/>
              <w:t>Figure A.</w:t>
            </w:r>
            <w:r w:rsidR="00383D60">
              <w:rPr>
                <w:rFonts w:asciiTheme="majorHAnsi" w:hAnsiTheme="majorHAnsi" w:cstheme="majorHAnsi"/>
                <w:b/>
                <w:bCs/>
              </w:rPr>
              <w:t>2</w:t>
            </w:r>
            <w:r w:rsidRPr="00263262">
              <w:rPr>
                <w:rFonts w:asciiTheme="majorHAnsi" w:hAnsiTheme="majorHAnsi" w:cstheme="majorHAnsi"/>
                <w:b/>
                <w:bCs/>
              </w:rPr>
              <w:t xml:space="preserve">.5 Old age and working age population and population with upper secondary education, </w:t>
            </w:r>
            <w:proofErr w:type="gramStart"/>
            <w:r w:rsidRPr="00263262">
              <w:rPr>
                <w:rFonts w:asciiTheme="majorHAnsi" w:hAnsiTheme="majorHAnsi" w:cstheme="majorHAnsi"/>
                <w:b/>
                <w:bCs/>
              </w:rPr>
              <w:t>Thailand</w:t>
            </w:r>
            <w:proofErr w:type="gramEnd"/>
          </w:p>
          <w:p w14:paraId="38EBF32D" w14:textId="32100CE9" w:rsidR="006D6B1E" w:rsidRPr="00263262" w:rsidRDefault="006D6B1E" w:rsidP="00E042F7">
            <w:pPr>
              <w:rPr>
                <w:rFonts w:asciiTheme="majorHAnsi" w:hAnsiTheme="majorHAnsi" w:cstheme="majorHAnsi"/>
                <w:b/>
                <w:bCs/>
              </w:rPr>
            </w:pPr>
          </w:p>
        </w:tc>
        <w:tc>
          <w:tcPr>
            <w:tcW w:w="5403" w:type="dxa"/>
          </w:tcPr>
          <w:p w14:paraId="4EDCDCDD" w14:textId="5FBEF380" w:rsidR="00AB4AE5" w:rsidRPr="00263262" w:rsidRDefault="00AB4AE5" w:rsidP="00E042F7">
            <w:pPr>
              <w:rPr>
                <w:rFonts w:asciiTheme="majorHAnsi" w:hAnsiTheme="majorHAnsi" w:cstheme="majorBidi"/>
                <w:b/>
                <w:bCs/>
                <w:noProof/>
              </w:rPr>
            </w:pPr>
            <w:r w:rsidRPr="00263262">
              <w:rPr>
                <w:rFonts w:asciiTheme="majorHAnsi" w:hAnsiTheme="majorHAnsi" w:cstheme="majorBidi"/>
                <w:b/>
                <w:bCs/>
                <w:noProof/>
              </w:rPr>
              <w:t>Figure A.</w:t>
            </w:r>
            <w:r w:rsidR="00383D60">
              <w:rPr>
                <w:rFonts w:asciiTheme="majorHAnsi" w:hAnsiTheme="majorHAnsi" w:cstheme="majorBidi"/>
                <w:b/>
                <w:bCs/>
                <w:noProof/>
              </w:rPr>
              <w:t>2</w:t>
            </w:r>
            <w:r w:rsidRPr="00263262">
              <w:rPr>
                <w:rFonts w:asciiTheme="majorHAnsi" w:hAnsiTheme="majorHAnsi" w:cstheme="majorBidi"/>
                <w:b/>
                <w:bCs/>
                <w:noProof/>
              </w:rPr>
              <w:t xml:space="preserve">.6 Natural resource rents </w:t>
            </w:r>
          </w:p>
        </w:tc>
      </w:tr>
      <w:tr w:rsidR="00AB4AE5" w:rsidRPr="00C232D4" w14:paraId="10F8C086" w14:textId="77777777" w:rsidTr="00E042F7">
        <w:trPr>
          <w:trHeight w:val="2312"/>
        </w:trPr>
        <w:tc>
          <w:tcPr>
            <w:tcW w:w="5222" w:type="dxa"/>
          </w:tcPr>
          <w:p w14:paraId="6C4F66F3" w14:textId="77777777" w:rsidR="00AB4AE5" w:rsidRPr="00C232D4" w:rsidRDefault="00AB4AE5" w:rsidP="00E042F7">
            <w:pPr>
              <w:rPr>
                <w:rFonts w:asciiTheme="majorHAnsi" w:hAnsiTheme="majorHAnsi" w:cstheme="majorHAnsi"/>
                <w:color w:val="0F243E" w:themeColor="text2" w:themeShade="80"/>
              </w:rPr>
            </w:pPr>
            <w:r w:rsidRPr="00C232D4">
              <w:rPr>
                <w:rFonts w:asciiTheme="majorHAnsi" w:hAnsiTheme="majorHAnsi" w:cstheme="majorHAnsi"/>
                <w:b/>
                <w:noProof/>
                <w:color w:val="0F243E" w:themeColor="text2" w:themeShade="80"/>
                <w:lang w:val="en-GB" w:eastAsia="en-GB"/>
              </w:rPr>
              <w:drawing>
                <wp:inline distT="0" distB="0" distL="0" distR="0" wp14:anchorId="35C40CB4" wp14:editId="3D281634">
                  <wp:extent cx="3193047" cy="2286000"/>
                  <wp:effectExtent l="0" t="0" r="7620" b="0"/>
                  <wp:docPr id="318662403" name="Picture 31866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3047" cy="2286000"/>
                          </a:xfrm>
                          <a:prstGeom prst="rect">
                            <a:avLst/>
                          </a:prstGeom>
                          <a:noFill/>
                          <a:ln>
                            <a:noFill/>
                          </a:ln>
                        </pic:spPr>
                      </pic:pic>
                    </a:graphicData>
                  </a:graphic>
                </wp:inline>
              </w:drawing>
            </w:r>
          </w:p>
        </w:tc>
        <w:tc>
          <w:tcPr>
            <w:tcW w:w="5403" w:type="dxa"/>
          </w:tcPr>
          <w:p w14:paraId="3D2D6141" w14:textId="77777777" w:rsidR="00AB4AE5" w:rsidRPr="00C232D4" w:rsidRDefault="00AB4AE5" w:rsidP="00E042F7">
            <w:pPr>
              <w:rPr>
                <w:rFonts w:asciiTheme="majorHAnsi" w:hAnsiTheme="majorHAnsi" w:cstheme="majorBidi"/>
                <w:color w:val="0F243E" w:themeColor="text2" w:themeShade="80"/>
              </w:rPr>
            </w:pPr>
            <w:r w:rsidRPr="00C232D4">
              <w:rPr>
                <w:rFonts w:asciiTheme="majorHAnsi" w:hAnsiTheme="majorHAnsi" w:cstheme="majorBidi"/>
                <w:noProof/>
                <w:color w:val="0F243E" w:themeColor="text2" w:themeShade="80"/>
                <w:lang w:val="en-GB" w:eastAsia="en-GB"/>
              </w:rPr>
              <w:drawing>
                <wp:inline distT="0" distB="0" distL="0" distR="0" wp14:anchorId="45E8A74D" wp14:editId="096709B8">
                  <wp:extent cx="3140395" cy="2286000"/>
                  <wp:effectExtent l="0" t="0" r="3175" b="0"/>
                  <wp:docPr id="77555337" name="Picture 7755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0395" cy="2286000"/>
                          </a:xfrm>
                          <a:prstGeom prst="rect">
                            <a:avLst/>
                          </a:prstGeom>
                          <a:noFill/>
                          <a:ln>
                            <a:noFill/>
                          </a:ln>
                        </pic:spPr>
                      </pic:pic>
                    </a:graphicData>
                  </a:graphic>
                </wp:inline>
              </w:drawing>
            </w:r>
          </w:p>
        </w:tc>
      </w:tr>
      <w:tr w:rsidR="00AB4AE5" w:rsidRPr="00574EEE" w14:paraId="6D725E7C" w14:textId="77777777" w:rsidTr="00E042F7">
        <w:trPr>
          <w:trHeight w:val="233"/>
        </w:trPr>
        <w:tc>
          <w:tcPr>
            <w:tcW w:w="5222" w:type="dxa"/>
          </w:tcPr>
          <w:p w14:paraId="31FE9A37" w14:textId="77777777" w:rsidR="00AB4AE5" w:rsidRPr="00574EEE" w:rsidRDefault="00AB4AE5" w:rsidP="00E042F7">
            <w:pPr>
              <w:rPr>
                <w:rFonts w:asciiTheme="majorHAnsi" w:hAnsiTheme="majorHAnsi" w:cstheme="majorHAnsi"/>
                <w:bCs/>
                <w:noProof/>
                <w:color w:val="595959" w:themeColor="text1" w:themeTint="A6"/>
                <w:sz w:val="16"/>
                <w:szCs w:val="16"/>
              </w:rPr>
            </w:pPr>
            <w:r w:rsidRPr="00574EEE">
              <w:rPr>
                <w:rFonts w:asciiTheme="majorHAnsi" w:hAnsiTheme="majorHAnsi" w:cstheme="majorHAnsi"/>
                <w:b/>
                <w:i/>
                <w:iCs/>
                <w:noProof/>
                <w:color w:val="595959" w:themeColor="text1" w:themeTint="A6"/>
                <w:sz w:val="16"/>
                <w:szCs w:val="16"/>
              </w:rPr>
              <w:t>Source:</w:t>
            </w:r>
            <w:r w:rsidRPr="00574EEE">
              <w:rPr>
                <w:rFonts w:asciiTheme="majorHAnsi" w:hAnsiTheme="majorHAnsi" w:cstheme="majorHAnsi"/>
                <w:bCs/>
                <w:noProof/>
                <w:color w:val="595959" w:themeColor="text1" w:themeTint="A6"/>
                <w:sz w:val="16"/>
                <w:szCs w:val="16"/>
              </w:rPr>
              <w:t xml:space="preserve"> WDI, UN Population projections; Thailand’s labor force survey.</w:t>
            </w:r>
          </w:p>
          <w:p w14:paraId="0F6EF90A" w14:textId="77777777" w:rsidR="00AB4AE5" w:rsidRPr="00574EEE" w:rsidRDefault="00AB4AE5" w:rsidP="00E042F7">
            <w:pPr>
              <w:rPr>
                <w:rFonts w:asciiTheme="majorHAnsi" w:hAnsiTheme="majorHAnsi" w:cstheme="majorHAnsi"/>
                <w:bCs/>
                <w:noProof/>
                <w:color w:val="595959" w:themeColor="text1" w:themeTint="A6"/>
                <w:sz w:val="16"/>
                <w:szCs w:val="16"/>
              </w:rPr>
            </w:pPr>
            <w:r w:rsidRPr="00574EEE">
              <w:rPr>
                <w:rFonts w:asciiTheme="majorHAnsi" w:hAnsiTheme="majorHAnsi" w:cstheme="majorHAnsi"/>
                <w:b/>
                <w:i/>
                <w:iCs/>
                <w:noProof/>
                <w:color w:val="595959" w:themeColor="text1" w:themeTint="A6"/>
                <w:sz w:val="16"/>
                <w:szCs w:val="16"/>
              </w:rPr>
              <w:t>Note:</w:t>
            </w:r>
            <w:r w:rsidRPr="00574EEE">
              <w:rPr>
                <w:rFonts w:asciiTheme="majorHAnsi" w:hAnsiTheme="majorHAnsi" w:cstheme="majorHAnsi"/>
                <w:bCs/>
                <w:noProof/>
                <w:color w:val="595959" w:themeColor="text1" w:themeTint="A6"/>
                <w:sz w:val="16"/>
                <w:szCs w:val="16"/>
              </w:rPr>
              <w:t xml:space="preserve"> Projections for 2023-62. Assume the same skills composition as 15-19 and 20-24 in 2022 for future cohorts.</w:t>
            </w:r>
          </w:p>
          <w:p w14:paraId="2F54ABEE" w14:textId="77777777" w:rsidR="00AB4AE5" w:rsidRPr="00574EEE" w:rsidRDefault="00AB4AE5" w:rsidP="00E042F7">
            <w:pPr>
              <w:rPr>
                <w:rFonts w:asciiTheme="majorHAnsi" w:hAnsiTheme="majorHAnsi" w:cstheme="majorHAnsi"/>
                <w:bCs/>
                <w:noProof/>
                <w:color w:val="595959" w:themeColor="text1" w:themeTint="A6"/>
                <w:sz w:val="16"/>
                <w:szCs w:val="16"/>
              </w:rPr>
            </w:pPr>
          </w:p>
        </w:tc>
        <w:tc>
          <w:tcPr>
            <w:tcW w:w="5403" w:type="dxa"/>
          </w:tcPr>
          <w:p w14:paraId="5E54A53F" w14:textId="77777777" w:rsidR="00AB4AE5" w:rsidRPr="00574EEE" w:rsidRDefault="00AB4AE5" w:rsidP="00E042F7">
            <w:pPr>
              <w:rPr>
                <w:rFonts w:asciiTheme="majorHAnsi" w:hAnsiTheme="majorHAnsi" w:cstheme="majorHAnsi"/>
                <w:bCs/>
                <w:noProof/>
                <w:color w:val="595959" w:themeColor="text1" w:themeTint="A6"/>
                <w:sz w:val="16"/>
                <w:szCs w:val="16"/>
              </w:rPr>
            </w:pPr>
            <w:r w:rsidRPr="00574EEE">
              <w:rPr>
                <w:rFonts w:asciiTheme="majorHAnsi" w:hAnsiTheme="majorHAnsi" w:cstheme="majorHAnsi"/>
                <w:b/>
                <w:i/>
                <w:iCs/>
                <w:noProof/>
                <w:color w:val="595959" w:themeColor="text1" w:themeTint="A6"/>
                <w:sz w:val="16"/>
                <w:szCs w:val="16"/>
              </w:rPr>
              <w:t>Source:</w:t>
            </w:r>
            <w:r w:rsidRPr="00574EEE">
              <w:rPr>
                <w:rFonts w:asciiTheme="majorHAnsi" w:hAnsiTheme="majorHAnsi" w:cstheme="majorHAnsi"/>
                <w:b/>
                <w:noProof/>
                <w:color w:val="595959" w:themeColor="text1" w:themeTint="A6"/>
                <w:sz w:val="16"/>
                <w:szCs w:val="16"/>
              </w:rPr>
              <w:t xml:space="preserve"> </w:t>
            </w:r>
            <w:r w:rsidRPr="00574EEE">
              <w:rPr>
                <w:rFonts w:asciiTheme="majorHAnsi" w:hAnsiTheme="majorHAnsi" w:cstheme="majorHAnsi"/>
                <w:bCs/>
                <w:noProof/>
                <w:color w:val="595959" w:themeColor="text1" w:themeTint="A6"/>
                <w:sz w:val="16"/>
                <w:szCs w:val="16"/>
              </w:rPr>
              <w:t xml:space="preserve">Haver Analytics; World Bank. </w:t>
            </w:r>
          </w:p>
          <w:p w14:paraId="70544F48" w14:textId="77777777" w:rsidR="00AB4AE5" w:rsidRPr="00574EEE" w:rsidRDefault="00AB4AE5" w:rsidP="00E042F7">
            <w:pPr>
              <w:rPr>
                <w:rFonts w:asciiTheme="majorHAnsi" w:hAnsiTheme="majorHAnsi" w:cstheme="majorHAnsi"/>
                <w:bCs/>
                <w:noProof/>
                <w:color w:val="595959" w:themeColor="text1" w:themeTint="A6"/>
                <w:sz w:val="16"/>
                <w:szCs w:val="16"/>
              </w:rPr>
            </w:pPr>
            <w:r w:rsidRPr="00574EEE">
              <w:rPr>
                <w:rFonts w:asciiTheme="majorHAnsi" w:hAnsiTheme="majorHAnsi" w:cstheme="majorHAnsi"/>
                <w:b/>
                <w:i/>
                <w:iCs/>
                <w:noProof/>
                <w:color w:val="595959" w:themeColor="text1" w:themeTint="A6"/>
                <w:sz w:val="16"/>
                <w:szCs w:val="16"/>
              </w:rPr>
              <w:t>Note:</w:t>
            </w:r>
            <w:r w:rsidRPr="00574EEE">
              <w:rPr>
                <w:rFonts w:asciiTheme="majorHAnsi" w:hAnsiTheme="majorHAnsi" w:cstheme="majorHAnsi"/>
                <w:bCs/>
                <w:i/>
                <w:iCs/>
                <w:noProof/>
                <w:color w:val="595959" w:themeColor="text1" w:themeTint="A6"/>
                <w:sz w:val="16"/>
                <w:szCs w:val="16"/>
              </w:rPr>
              <w:t xml:space="preserve"> </w:t>
            </w:r>
            <w:r w:rsidRPr="00574EEE">
              <w:rPr>
                <w:rFonts w:asciiTheme="majorHAnsi" w:hAnsiTheme="majorHAnsi" w:cstheme="majorHAnsi"/>
                <w:bCs/>
                <w:noProof/>
                <w:color w:val="595959" w:themeColor="text1" w:themeTint="A6"/>
                <w:sz w:val="16"/>
                <w:szCs w:val="16"/>
              </w:rPr>
              <w:t>5-year moving average.</w:t>
            </w:r>
          </w:p>
        </w:tc>
      </w:tr>
      <w:tr w:rsidR="00AB4AE5" w:rsidRPr="00C232D4" w14:paraId="259A5B1A" w14:textId="77777777" w:rsidTr="00E042F7">
        <w:trPr>
          <w:trHeight w:val="890"/>
        </w:trPr>
        <w:tc>
          <w:tcPr>
            <w:tcW w:w="10625" w:type="dxa"/>
            <w:gridSpan w:val="2"/>
          </w:tcPr>
          <w:p w14:paraId="579FB973" w14:textId="77777777" w:rsidR="00AB4AE5" w:rsidRPr="00BA7715" w:rsidRDefault="00AB4AE5" w:rsidP="00E042F7">
            <w:pPr>
              <w:rPr>
                <w:rFonts w:asciiTheme="majorHAnsi" w:hAnsiTheme="majorHAnsi" w:cstheme="majorBidi"/>
              </w:rPr>
            </w:pPr>
          </w:p>
        </w:tc>
      </w:tr>
      <w:tr w:rsidR="00AB4AE5" w:rsidRPr="00574EEE" w14:paraId="5A4B0D4B" w14:textId="77777777" w:rsidTr="00E042F7">
        <w:trPr>
          <w:trHeight w:val="96"/>
        </w:trPr>
        <w:tc>
          <w:tcPr>
            <w:tcW w:w="5222" w:type="dxa"/>
          </w:tcPr>
          <w:p w14:paraId="2DA5C49F" w14:textId="64684F1E" w:rsidR="00AB4AE5" w:rsidRPr="00574EEE" w:rsidRDefault="00AB4AE5" w:rsidP="00E042F7">
            <w:pPr>
              <w:rPr>
                <w:rFonts w:asciiTheme="majorHAnsi" w:hAnsiTheme="majorHAnsi" w:cstheme="majorBidi"/>
                <w:b/>
                <w:bCs/>
                <w:noProof/>
              </w:rPr>
            </w:pPr>
            <w:r w:rsidRPr="00574EEE">
              <w:rPr>
                <w:rFonts w:asciiTheme="majorHAnsi" w:hAnsiTheme="majorHAnsi" w:cstheme="majorBidi"/>
                <w:b/>
                <w:bCs/>
                <w:noProof/>
              </w:rPr>
              <w:t>Figure A.</w:t>
            </w:r>
            <w:r w:rsidR="00383D60">
              <w:rPr>
                <w:rFonts w:asciiTheme="majorHAnsi" w:hAnsiTheme="majorHAnsi" w:cstheme="majorBidi"/>
                <w:b/>
                <w:bCs/>
                <w:noProof/>
              </w:rPr>
              <w:t>2</w:t>
            </w:r>
            <w:r w:rsidRPr="00574EEE">
              <w:rPr>
                <w:rFonts w:asciiTheme="majorHAnsi" w:hAnsiTheme="majorHAnsi" w:cstheme="majorBidi"/>
                <w:b/>
                <w:bCs/>
                <w:noProof/>
              </w:rPr>
              <w:t xml:space="preserve">.7 Spatial disparities, 2020 </w:t>
            </w:r>
          </w:p>
        </w:tc>
        <w:tc>
          <w:tcPr>
            <w:tcW w:w="5403" w:type="dxa"/>
          </w:tcPr>
          <w:p w14:paraId="4B74C8E0" w14:textId="10B00B37" w:rsidR="00AB4AE5" w:rsidRPr="00574EEE" w:rsidRDefault="00AB4AE5" w:rsidP="00E042F7">
            <w:pPr>
              <w:rPr>
                <w:rFonts w:asciiTheme="majorHAnsi" w:hAnsiTheme="majorHAnsi" w:cstheme="majorBidi"/>
                <w:b/>
                <w:bCs/>
              </w:rPr>
            </w:pPr>
            <w:r w:rsidRPr="00574EEE">
              <w:rPr>
                <w:rFonts w:asciiTheme="majorHAnsi" w:hAnsiTheme="majorHAnsi" w:cstheme="majorBidi"/>
                <w:b/>
                <w:bCs/>
              </w:rPr>
              <w:t>Figure A.</w:t>
            </w:r>
            <w:r w:rsidR="00383D60">
              <w:rPr>
                <w:rFonts w:asciiTheme="majorHAnsi" w:hAnsiTheme="majorHAnsi" w:cstheme="majorBidi"/>
                <w:b/>
                <w:bCs/>
              </w:rPr>
              <w:t>2</w:t>
            </w:r>
            <w:r w:rsidRPr="00574EEE">
              <w:rPr>
                <w:rFonts w:asciiTheme="majorHAnsi" w:hAnsiTheme="majorHAnsi" w:cstheme="majorBidi"/>
                <w:b/>
                <w:bCs/>
              </w:rPr>
              <w:t>.8 Concentration of income and wealth</w:t>
            </w:r>
            <w:r w:rsidRPr="00574EEE" w:rsidDel="00431A9E">
              <w:rPr>
                <w:rFonts w:asciiTheme="majorHAnsi" w:hAnsiTheme="majorHAnsi" w:cstheme="majorBidi"/>
                <w:b/>
                <w:bCs/>
              </w:rPr>
              <w:t xml:space="preserve"> </w:t>
            </w:r>
          </w:p>
        </w:tc>
      </w:tr>
      <w:tr w:rsidR="00AB4AE5" w:rsidRPr="00C232D4" w14:paraId="266FD3A8" w14:textId="77777777" w:rsidTr="00E042F7">
        <w:trPr>
          <w:trHeight w:val="3230"/>
        </w:trPr>
        <w:tc>
          <w:tcPr>
            <w:tcW w:w="5222" w:type="dxa"/>
          </w:tcPr>
          <w:p w14:paraId="0C49E0DF" w14:textId="77777777" w:rsidR="00AB4AE5" w:rsidRPr="00C232D4" w:rsidRDefault="00AB4AE5" w:rsidP="00E042F7">
            <w:pPr>
              <w:jc w:val="center"/>
              <w:rPr>
                <w:rFonts w:asciiTheme="majorHAnsi" w:hAnsiTheme="majorHAnsi" w:cstheme="majorHAnsi"/>
                <w:b/>
                <w:bCs/>
                <w:iCs/>
                <w:color w:val="0F243E" w:themeColor="text2" w:themeShade="80"/>
              </w:rPr>
            </w:pPr>
            <w:r w:rsidRPr="00C232D4">
              <w:rPr>
                <w:rFonts w:asciiTheme="majorHAnsi" w:hAnsiTheme="majorHAnsi" w:cstheme="majorHAnsi"/>
                <w:b/>
                <w:bCs/>
                <w:iCs/>
                <w:noProof/>
                <w:color w:val="0F243E" w:themeColor="text2" w:themeShade="80"/>
                <w:lang w:val="en-GB" w:eastAsia="en-GB"/>
              </w:rPr>
              <w:drawing>
                <wp:inline distT="0" distB="0" distL="0" distR="0" wp14:anchorId="50EC9C07" wp14:editId="202A9DA0">
                  <wp:extent cx="2751426" cy="2286000"/>
                  <wp:effectExtent l="0" t="0" r="0" b="0"/>
                  <wp:docPr id="1484657940" name="Picture 148465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1426" cy="2286000"/>
                          </a:xfrm>
                          <a:prstGeom prst="rect">
                            <a:avLst/>
                          </a:prstGeom>
                          <a:noFill/>
                          <a:ln>
                            <a:noFill/>
                          </a:ln>
                        </pic:spPr>
                      </pic:pic>
                    </a:graphicData>
                  </a:graphic>
                </wp:inline>
              </w:drawing>
            </w:r>
          </w:p>
        </w:tc>
        <w:tc>
          <w:tcPr>
            <w:tcW w:w="5403" w:type="dxa"/>
          </w:tcPr>
          <w:p w14:paraId="094490B3" w14:textId="77777777" w:rsidR="00AB4AE5" w:rsidRPr="00C232D4" w:rsidRDefault="00AB4AE5" w:rsidP="00E042F7">
            <w:pPr>
              <w:jc w:val="center"/>
              <w:rPr>
                <w:rFonts w:asciiTheme="majorHAnsi" w:hAnsiTheme="majorHAnsi" w:cstheme="majorBidi"/>
                <w:color w:val="0F243E" w:themeColor="text2" w:themeShade="80"/>
              </w:rPr>
            </w:pPr>
            <w:r w:rsidRPr="00C232D4">
              <w:rPr>
                <w:rFonts w:asciiTheme="majorHAnsi" w:hAnsiTheme="majorHAnsi" w:cstheme="majorBidi"/>
                <w:noProof/>
                <w:color w:val="0F243E" w:themeColor="text2" w:themeShade="80"/>
                <w:lang w:val="en-GB" w:eastAsia="en-GB"/>
              </w:rPr>
              <w:drawing>
                <wp:inline distT="0" distB="0" distL="0" distR="0" wp14:anchorId="1DEDB7E0" wp14:editId="43B3E16B">
                  <wp:extent cx="2751746" cy="2286000"/>
                  <wp:effectExtent l="0" t="0" r="0" b="0"/>
                  <wp:docPr id="584612596" name="Picture 58461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746" cy="2286000"/>
                          </a:xfrm>
                          <a:prstGeom prst="rect">
                            <a:avLst/>
                          </a:prstGeom>
                          <a:noFill/>
                          <a:ln>
                            <a:noFill/>
                          </a:ln>
                        </pic:spPr>
                      </pic:pic>
                    </a:graphicData>
                  </a:graphic>
                </wp:inline>
              </w:drawing>
            </w:r>
          </w:p>
        </w:tc>
      </w:tr>
      <w:tr w:rsidR="00AB4AE5" w:rsidRPr="00891008" w14:paraId="50F04C6A" w14:textId="77777777" w:rsidTr="00E042F7">
        <w:trPr>
          <w:trHeight w:val="287"/>
        </w:trPr>
        <w:tc>
          <w:tcPr>
            <w:tcW w:w="5222" w:type="dxa"/>
          </w:tcPr>
          <w:p w14:paraId="2B17A973" w14:textId="77777777" w:rsidR="00AB4AE5" w:rsidRPr="00891008" w:rsidRDefault="00AB4AE5" w:rsidP="00E042F7">
            <w:pPr>
              <w:rPr>
                <w:rFonts w:asciiTheme="majorHAnsi" w:hAnsiTheme="majorHAnsi" w:cstheme="majorBidi"/>
                <w:noProof/>
                <w:color w:val="595959" w:themeColor="text1" w:themeTint="A6"/>
                <w:sz w:val="18"/>
                <w:szCs w:val="18"/>
              </w:rPr>
            </w:pPr>
            <w:r w:rsidRPr="00863D57">
              <w:rPr>
                <w:rFonts w:asciiTheme="majorHAnsi" w:hAnsiTheme="majorHAnsi" w:cstheme="majorBidi"/>
                <w:b/>
                <w:bCs/>
                <w:i/>
                <w:iCs/>
                <w:noProof/>
                <w:color w:val="595959" w:themeColor="text1" w:themeTint="A6"/>
                <w:sz w:val="16"/>
                <w:szCs w:val="18"/>
              </w:rPr>
              <w:t>Source:</w:t>
            </w:r>
            <w:r w:rsidRPr="00863D57">
              <w:rPr>
                <w:rFonts w:asciiTheme="majorHAnsi" w:hAnsiTheme="majorHAnsi" w:cstheme="majorBidi"/>
                <w:noProof/>
                <w:color w:val="595959" w:themeColor="text1" w:themeTint="A6"/>
                <w:sz w:val="16"/>
                <w:szCs w:val="18"/>
              </w:rPr>
              <w:t xml:space="preserve"> </w:t>
            </w:r>
            <w:r w:rsidRPr="00863D57">
              <w:rPr>
                <w:rFonts w:asciiTheme="majorHAnsi" w:hAnsiTheme="majorHAnsi" w:cstheme="majorBidi"/>
                <w:bCs/>
                <w:noProof/>
                <w:color w:val="595959" w:themeColor="text1" w:themeTint="A6"/>
                <w:sz w:val="16"/>
                <w:szCs w:val="18"/>
              </w:rPr>
              <w:t>NESDC; World Development Indicator Database</w:t>
            </w:r>
            <w:r w:rsidRPr="00891008">
              <w:rPr>
                <w:rFonts w:asciiTheme="majorHAnsi" w:hAnsiTheme="majorHAnsi" w:cstheme="majorBidi"/>
                <w:bCs/>
                <w:noProof/>
                <w:color w:val="595959" w:themeColor="text1" w:themeTint="A6"/>
                <w:sz w:val="18"/>
                <w:szCs w:val="18"/>
              </w:rPr>
              <w:t>.</w:t>
            </w:r>
          </w:p>
        </w:tc>
        <w:tc>
          <w:tcPr>
            <w:tcW w:w="5403" w:type="dxa"/>
          </w:tcPr>
          <w:p w14:paraId="45CC7D50" w14:textId="77777777" w:rsidR="00AB4AE5" w:rsidRPr="00891008" w:rsidRDefault="00AB4AE5" w:rsidP="00E042F7">
            <w:pPr>
              <w:rPr>
                <w:rFonts w:asciiTheme="majorHAnsi" w:hAnsiTheme="majorHAnsi" w:cstheme="majorBidi"/>
                <w:noProof/>
                <w:color w:val="595959" w:themeColor="text1" w:themeTint="A6"/>
                <w:sz w:val="18"/>
                <w:szCs w:val="18"/>
              </w:rPr>
            </w:pPr>
            <w:r w:rsidRPr="00863D57">
              <w:rPr>
                <w:rFonts w:asciiTheme="majorHAnsi" w:hAnsiTheme="majorHAnsi" w:cstheme="majorBidi"/>
                <w:b/>
                <w:bCs/>
                <w:i/>
                <w:iCs/>
                <w:noProof/>
                <w:color w:val="595959" w:themeColor="text1" w:themeTint="A6"/>
                <w:sz w:val="16"/>
                <w:szCs w:val="18"/>
              </w:rPr>
              <w:t>Source:</w:t>
            </w:r>
            <w:r w:rsidRPr="00863D57">
              <w:rPr>
                <w:rFonts w:asciiTheme="majorHAnsi" w:hAnsiTheme="majorHAnsi" w:cstheme="majorBidi"/>
                <w:noProof/>
                <w:color w:val="595959" w:themeColor="text1" w:themeTint="A6"/>
                <w:sz w:val="16"/>
                <w:szCs w:val="18"/>
              </w:rPr>
              <w:t xml:space="preserve"> </w:t>
            </w:r>
            <w:r w:rsidRPr="00863D57">
              <w:rPr>
                <w:rFonts w:asciiTheme="majorHAnsi" w:hAnsiTheme="majorHAnsi" w:cstheme="majorBidi"/>
                <w:bCs/>
                <w:noProof/>
                <w:color w:val="595959" w:themeColor="text1" w:themeTint="A6"/>
                <w:sz w:val="16"/>
                <w:szCs w:val="18"/>
              </w:rPr>
              <w:t>World Inequality Database.</w:t>
            </w:r>
            <w:r w:rsidRPr="00863D57">
              <w:rPr>
                <w:rFonts w:asciiTheme="majorHAnsi" w:hAnsiTheme="majorHAnsi" w:cstheme="majorBidi"/>
                <w:noProof/>
                <w:color w:val="595959" w:themeColor="text1" w:themeTint="A6"/>
                <w:sz w:val="16"/>
                <w:szCs w:val="18"/>
              </w:rPr>
              <w:t xml:space="preserve"> </w:t>
            </w:r>
          </w:p>
        </w:tc>
      </w:tr>
      <w:tr w:rsidR="00AB4AE5" w:rsidRPr="00C232D4" w14:paraId="0C8BD4E3" w14:textId="77777777" w:rsidTr="00E042F7">
        <w:trPr>
          <w:trHeight w:val="440"/>
        </w:trPr>
        <w:tc>
          <w:tcPr>
            <w:tcW w:w="5222" w:type="dxa"/>
          </w:tcPr>
          <w:p w14:paraId="2DB05CFE" w14:textId="77777777" w:rsidR="00AB4AE5" w:rsidRDefault="00AB4AE5" w:rsidP="00E042F7">
            <w:pPr>
              <w:rPr>
                <w:rFonts w:asciiTheme="majorHAnsi" w:hAnsiTheme="majorHAnsi" w:cstheme="majorHAnsi"/>
                <w:b/>
                <w:bCs/>
                <w:iCs/>
                <w:color w:val="0F243E" w:themeColor="text2" w:themeShade="80"/>
              </w:rPr>
            </w:pPr>
          </w:p>
          <w:p w14:paraId="61EC57FC" w14:textId="77777777" w:rsidR="00AB4AE5" w:rsidRDefault="00AB4AE5" w:rsidP="00E042F7">
            <w:pPr>
              <w:rPr>
                <w:rFonts w:asciiTheme="majorHAnsi" w:hAnsiTheme="majorHAnsi" w:cstheme="majorHAnsi"/>
                <w:b/>
                <w:bCs/>
                <w:iCs/>
                <w:color w:val="0F243E" w:themeColor="text2" w:themeShade="80"/>
              </w:rPr>
            </w:pPr>
          </w:p>
          <w:p w14:paraId="42F844F9" w14:textId="77777777" w:rsidR="00AB4AE5" w:rsidRDefault="00AB4AE5" w:rsidP="00E042F7">
            <w:pPr>
              <w:rPr>
                <w:rFonts w:asciiTheme="majorHAnsi" w:hAnsiTheme="majorHAnsi" w:cstheme="majorHAnsi"/>
                <w:b/>
                <w:bCs/>
                <w:iCs/>
                <w:color w:val="0F243E" w:themeColor="text2" w:themeShade="80"/>
              </w:rPr>
            </w:pPr>
          </w:p>
          <w:p w14:paraId="497AE9E9" w14:textId="77777777" w:rsidR="00AB4AE5" w:rsidRDefault="00AB4AE5" w:rsidP="00E042F7">
            <w:pPr>
              <w:rPr>
                <w:rFonts w:asciiTheme="majorHAnsi" w:hAnsiTheme="majorHAnsi" w:cstheme="majorHAnsi"/>
                <w:b/>
                <w:bCs/>
                <w:iCs/>
                <w:color w:val="0F243E" w:themeColor="text2" w:themeShade="80"/>
              </w:rPr>
            </w:pPr>
          </w:p>
          <w:p w14:paraId="0B6C673D" w14:textId="77777777" w:rsidR="00AB4AE5" w:rsidRDefault="00AB4AE5" w:rsidP="00E042F7">
            <w:pPr>
              <w:rPr>
                <w:rFonts w:asciiTheme="majorHAnsi" w:hAnsiTheme="majorHAnsi" w:cstheme="majorHAnsi"/>
                <w:b/>
                <w:bCs/>
                <w:iCs/>
                <w:color w:val="0F243E" w:themeColor="text2" w:themeShade="80"/>
              </w:rPr>
            </w:pPr>
          </w:p>
          <w:p w14:paraId="58C14F99" w14:textId="77777777" w:rsidR="00AB4AE5" w:rsidRDefault="00AB4AE5" w:rsidP="00E042F7">
            <w:pPr>
              <w:rPr>
                <w:rFonts w:asciiTheme="majorHAnsi" w:hAnsiTheme="majorHAnsi" w:cstheme="majorHAnsi"/>
                <w:b/>
                <w:bCs/>
                <w:iCs/>
                <w:color w:val="0F243E" w:themeColor="text2" w:themeShade="80"/>
              </w:rPr>
            </w:pPr>
          </w:p>
          <w:p w14:paraId="0B178284" w14:textId="77777777" w:rsidR="00AB4AE5" w:rsidRDefault="00AB4AE5" w:rsidP="00E042F7">
            <w:pPr>
              <w:rPr>
                <w:rFonts w:asciiTheme="majorHAnsi" w:hAnsiTheme="majorHAnsi" w:cstheme="majorHAnsi"/>
                <w:b/>
                <w:bCs/>
                <w:iCs/>
                <w:color w:val="0F243E" w:themeColor="text2" w:themeShade="80"/>
              </w:rPr>
            </w:pPr>
          </w:p>
          <w:p w14:paraId="1FF6C4F1" w14:textId="77777777" w:rsidR="00AB4AE5" w:rsidRDefault="00AB4AE5" w:rsidP="00E042F7">
            <w:pPr>
              <w:rPr>
                <w:rFonts w:asciiTheme="majorHAnsi" w:hAnsiTheme="majorHAnsi" w:cstheme="majorHAnsi"/>
                <w:b/>
                <w:bCs/>
                <w:iCs/>
                <w:color w:val="0F243E" w:themeColor="text2" w:themeShade="80"/>
              </w:rPr>
            </w:pPr>
          </w:p>
          <w:p w14:paraId="58EE13DC" w14:textId="77777777" w:rsidR="00AB4AE5" w:rsidRDefault="00AB4AE5" w:rsidP="00E042F7">
            <w:pPr>
              <w:rPr>
                <w:rFonts w:asciiTheme="majorHAnsi" w:hAnsiTheme="majorHAnsi" w:cstheme="majorHAnsi"/>
                <w:b/>
                <w:bCs/>
                <w:iCs/>
                <w:color w:val="0F243E" w:themeColor="text2" w:themeShade="80"/>
              </w:rPr>
            </w:pPr>
          </w:p>
          <w:p w14:paraId="407CD59C" w14:textId="77777777" w:rsidR="00AB4AE5" w:rsidRDefault="00AB4AE5" w:rsidP="00E042F7">
            <w:pPr>
              <w:rPr>
                <w:rFonts w:asciiTheme="majorHAnsi" w:hAnsiTheme="majorHAnsi" w:cstheme="majorHAnsi"/>
                <w:b/>
                <w:bCs/>
                <w:iCs/>
                <w:color w:val="0F243E" w:themeColor="text2" w:themeShade="80"/>
              </w:rPr>
            </w:pPr>
          </w:p>
        </w:tc>
        <w:tc>
          <w:tcPr>
            <w:tcW w:w="5403" w:type="dxa"/>
          </w:tcPr>
          <w:p w14:paraId="101B90B9" w14:textId="77777777" w:rsidR="00AB4AE5" w:rsidRDefault="00AB4AE5" w:rsidP="00E042F7">
            <w:pPr>
              <w:rPr>
                <w:rFonts w:asciiTheme="majorHAnsi" w:hAnsiTheme="majorHAnsi" w:cstheme="majorBidi"/>
                <w:b/>
                <w:bCs/>
                <w:iCs/>
                <w:noProof/>
                <w:color w:val="0F243E" w:themeColor="text2" w:themeShade="80"/>
              </w:rPr>
            </w:pPr>
          </w:p>
        </w:tc>
      </w:tr>
      <w:tr w:rsidR="00AB4AE5" w:rsidRPr="00C232D4" w14:paraId="204291CD" w14:textId="77777777" w:rsidTr="00E042F7">
        <w:trPr>
          <w:trHeight w:val="4137"/>
        </w:trPr>
        <w:tc>
          <w:tcPr>
            <w:tcW w:w="10625" w:type="dxa"/>
            <w:gridSpan w:val="2"/>
          </w:tcPr>
          <w:p w14:paraId="1968E766" w14:textId="77777777" w:rsidR="00AB4AE5" w:rsidRDefault="00AB4AE5" w:rsidP="00E042F7">
            <w:pPr>
              <w:rPr>
                <w:rFonts w:asciiTheme="majorHAnsi" w:hAnsiTheme="majorHAnsi" w:cstheme="majorHAnsi"/>
                <w:b/>
                <w:bCs/>
                <w:iCs/>
                <w:color w:val="0F243E" w:themeColor="text2" w:themeShade="80"/>
              </w:rPr>
            </w:pPr>
          </w:p>
          <w:p w14:paraId="21D6D484" w14:textId="77777777" w:rsidR="00AB4AE5" w:rsidRDefault="00AB4AE5" w:rsidP="00E042F7">
            <w:pPr>
              <w:rPr>
                <w:rFonts w:asciiTheme="majorHAnsi" w:hAnsiTheme="majorHAnsi" w:cstheme="majorBidi"/>
                <w:b/>
                <w:bCs/>
                <w:iCs/>
                <w:noProof/>
                <w:color w:val="0F243E" w:themeColor="text2" w:themeShade="80"/>
              </w:rPr>
            </w:pPr>
          </w:p>
          <w:p w14:paraId="645B30B8" w14:textId="1B742FA1" w:rsidR="00AB4AE5" w:rsidRDefault="00AB4AE5" w:rsidP="00E042F7">
            <w:pPr>
              <w:rPr>
                <w:rFonts w:asciiTheme="majorHAnsi" w:hAnsiTheme="majorHAnsi" w:cstheme="majorBidi"/>
                <w:b/>
                <w:bCs/>
                <w:iCs/>
                <w:noProof/>
                <w:color w:val="0F243E" w:themeColor="text2" w:themeShade="80"/>
              </w:rPr>
            </w:pPr>
            <w:r w:rsidRPr="00607358">
              <w:rPr>
                <w:rFonts w:asciiTheme="majorHAnsi" w:hAnsiTheme="majorHAnsi" w:cstheme="majorBidi"/>
                <w:b/>
                <w:bCs/>
                <w:iCs/>
                <w:noProof/>
                <w:color w:val="0F243E" w:themeColor="text2" w:themeShade="80"/>
              </w:rPr>
              <w:t>Figure A.</w:t>
            </w:r>
            <w:r w:rsidR="00383D60">
              <w:rPr>
                <w:rFonts w:asciiTheme="majorHAnsi" w:hAnsiTheme="majorHAnsi" w:cstheme="majorBidi"/>
                <w:b/>
                <w:bCs/>
                <w:iCs/>
                <w:noProof/>
                <w:color w:val="0F243E" w:themeColor="text2" w:themeShade="80"/>
              </w:rPr>
              <w:t>2</w:t>
            </w:r>
            <w:r w:rsidRPr="00607358">
              <w:rPr>
                <w:rFonts w:asciiTheme="majorHAnsi" w:hAnsiTheme="majorHAnsi" w:cstheme="majorBidi"/>
                <w:b/>
                <w:bCs/>
                <w:iCs/>
                <w:noProof/>
                <w:color w:val="0F243E" w:themeColor="text2" w:themeShade="80"/>
              </w:rPr>
              <w:t>.</w:t>
            </w:r>
            <w:r w:rsidR="00383D60">
              <w:rPr>
                <w:rFonts w:asciiTheme="majorHAnsi" w:hAnsiTheme="majorHAnsi" w:cstheme="majorBidi"/>
                <w:b/>
                <w:bCs/>
                <w:iCs/>
                <w:noProof/>
                <w:color w:val="0F243E" w:themeColor="text2" w:themeShade="80"/>
              </w:rPr>
              <w:t>9</w:t>
            </w:r>
            <w:r>
              <w:rPr>
                <w:rFonts w:asciiTheme="majorHAnsi" w:hAnsiTheme="majorHAnsi" w:cstheme="majorBidi"/>
                <w:b/>
                <w:bCs/>
                <w:iCs/>
                <w:noProof/>
                <w:color w:val="0F243E" w:themeColor="text2" w:themeShade="80"/>
              </w:rPr>
              <w:t xml:space="preserve"> </w:t>
            </w:r>
            <w:r w:rsidRPr="00C232D4">
              <w:rPr>
                <w:rFonts w:asciiTheme="majorHAnsi" w:hAnsiTheme="majorHAnsi" w:cstheme="majorBidi"/>
                <w:b/>
                <w:bCs/>
                <w:iCs/>
                <w:noProof/>
                <w:color w:val="0F243E" w:themeColor="text2" w:themeShade="80"/>
              </w:rPr>
              <w:t>Urbanization rate</w:t>
            </w:r>
          </w:p>
          <w:p w14:paraId="43302BDE" w14:textId="77777777" w:rsidR="006D6B1E" w:rsidRPr="00C232D4" w:rsidRDefault="006D6B1E" w:rsidP="00E042F7">
            <w:pPr>
              <w:rPr>
                <w:rFonts w:asciiTheme="majorHAnsi" w:hAnsiTheme="majorHAnsi" w:cstheme="majorBidi"/>
                <w:b/>
                <w:bCs/>
                <w:iCs/>
                <w:noProof/>
                <w:color w:val="0F243E" w:themeColor="text2" w:themeShade="80"/>
              </w:rPr>
            </w:pPr>
          </w:p>
          <w:p w14:paraId="49A37EC1" w14:textId="688204C0" w:rsidR="00AB4AE5" w:rsidRPr="00C232D4" w:rsidRDefault="00AB4AE5" w:rsidP="00E042F7">
            <w:pPr>
              <w:rPr>
                <w:rFonts w:asciiTheme="majorHAnsi" w:hAnsiTheme="majorHAnsi" w:cstheme="majorBidi"/>
                <w:b/>
                <w:bCs/>
                <w:iCs/>
                <w:noProof/>
                <w:color w:val="0F243E" w:themeColor="text2" w:themeShade="80"/>
              </w:rPr>
            </w:pPr>
            <w:r w:rsidRPr="00C232D4">
              <w:rPr>
                <w:rStyle w:val="CommentReference"/>
                <w:rFonts w:asciiTheme="majorHAnsi" w:hAnsiTheme="majorHAnsi" w:cstheme="majorHAnsi"/>
                <w:b/>
                <w:bCs/>
                <w:noProof/>
                <w:color w:val="0F243E" w:themeColor="text2" w:themeShade="80"/>
                <w:sz w:val="22"/>
                <w:szCs w:val="22"/>
                <w:lang w:val="en-GB" w:eastAsia="en-GB"/>
              </w:rPr>
              <w:drawing>
                <wp:inline distT="0" distB="0" distL="0" distR="0" wp14:anchorId="5EFD2BA4" wp14:editId="4A9A32F9">
                  <wp:extent cx="4309353" cy="3342778"/>
                  <wp:effectExtent l="0" t="0" r="0" b="0"/>
                  <wp:docPr id="1576365075" name="Picture 157636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1714" cy="3352366"/>
                          </a:xfrm>
                          <a:prstGeom prst="rect">
                            <a:avLst/>
                          </a:prstGeom>
                          <a:noFill/>
                          <a:ln>
                            <a:noFill/>
                          </a:ln>
                        </pic:spPr>
                      </pic:pic>
                    </a:graphicData>
                  </a:graphic>
                </wp:inline>
              </w:drawing>
            </w:r>
          </w:p>
        </w:tc>
      </w:tr>
      <w:tr w:rsidR="00AB4AE5" w:rsidRPr="002318C3" w14:paraId="755CA46C" w14:textId="77777777" w:rsidTr="00E042F7">
        <w:trPr>
          <w:trHeight w:val="440"/>
        </w:trPr>
        <w:tc>
          <w:tcPr>
            <w:tcW w:w="10625" w:type="dxa"/>
            <w:gridSpan w:val="2"/>
          </w:tcPr>
          <w:p w14:paraId="3CBF1899" w14:textId="77777777" w:rsidR="00AB4AE5" w:rsidRPr="002318C3" w:rsidRDefault="00AB4AE5" w:rsidP="00E042F7">
            <w:pPr>
              <w:rPr>
                <w:rFonts w:asciiTheme="majorHAnsi" w:hAnsiTheme="majorHAnsi" w:cstheme="majorBidi"/>
                <w:iCs/>
                <w:noProof/>
                <w:color w:val="595959" w:themeColor="text1" w:themeTint="A6"/>
                <w:sz w:val="18"/>
                <w:szCs w:val="18"/>
              </w:rPr>
            </w:pPr>
            <w:r w:rsidRPr="002318C3">
              <w:rPr>
                <w:rFonts w:asciiTheme="majorHAnsi" w:hAnsiTheme="majorHAnsi" w:cstheme="majorBidi"/>
                <w:b/>
                <w:bCs/>
                <w:i/>
                <w:noProof/>
                <w:color w:val="595959" w:themeColor="text1" w:themeTint="A6"/>
                <w:sz w:val="18"/>
                <w:szCs w:val="18"/>
              </w:rPr>
              <w:t>Source:</w:t>
            </w:r>
            <w:r w:rsidRPr="002318C3">
              <w:rPr>
                <w:rFonts w:asciiTheme="majorHAnsi" w:hAnsiTheme="majorHAnsi" w:cstheme="majorBidi"/>
                <w:b/>
                <w:bCs/>
                <w:iCs/>
                <w:noProof/>
                <w:color w:val="595959" w:themeColor="text1" w:themeTint="A6"/>
                <w:sz w:val="18"/>
                <w:szCs w:val="18"/>
              </w:rPr>
              <w:t xml:space="preserve"> </w:t>
            </w:r>
            <w:r w:rsidRPr="002318C3">
              <w:rPr>
                <w:rFonts w:asciiTheme="majorHAnsi" w:hAnsiTheme="majorHAnsi" w:cstheme="majorBidi"/>
                <w:iCs/>
                <w:noProof/>
                <w:color w:val="595959" w:themeColor="text1" w:themeTint="A6"/>
                <w:sz w:val="18"/>
                <w:szCs w:val="18"/>
              </w:rPr>
              <w:t>Thailand’s Household Socio-Economic Survey 2021.</w:t>
            </w:r>
          </w:p>
          <w:p w14:paraId="0A1F7F20" w14:textId="77777777" w:rsidR="00AB4AE5" w:rsidRPr="002318C3" w:rsidRDefault="00AB4AE5" w:rsidP="00E042F7">
            <w:pPr>
              <w:rPr>
                <w:rFonts w:asciiTheme="majorHAnsi" w:hAnsiTheme="majorHAnsi" w:cstheme="majorBidi"/>
                <w:b/>
                <w:bCs/>
                <w:iCs/>
                <w:noProof/>
                <w:color w:val="595959" w:themeColor="text1" w:themeTint="A6"/>
                <w:sz w:val="18"/>
                <w:szCs w:val="18"/>
              </w:rPr>
            </w:pPr>
            <w:r w:rsidRPr="002318C3">
              <w:rPr>
                <w:rFonts w:asciiTheme="majorHAnsi" w:hAnsiTheme="majorHAnsi" w:cstheme="majorBidi"/>
                <w:b/>
                <w:bCs/>
                <w:i/>
                <w:noProof/>
                <w:color w:val="595959" w:themeColor="text1" w:themeTint="A6"/>
                <w:sz w:val="18"/>
                <w:szCs w:val="18"/>
              </w:rPr>
              <w:t>Note:</w:t>
            </w:r>
            <w:r w:rsidRPr="002318C3">
              <w:rPr>
                <w:rFonts w:asciiTheme="majorHAnsi" w:hAnsiTheme="majorHAnsi" w:cstheme="majorBidi"/>
                <w:b/>
                <w:bCs/>
                <w:iCs/>
                <w:noProof/>
                <w:color w:val="595959" w:themeColor="text1" w:themeTint="A6"/>
                <w:sz w:val="18"/>
                <w:szCs w:val="18"/>
              </w:rPr>
              <w:t xml:space="preserve"> </w:t>
            </w:r>
            <w:r w:rsidRPr="002318C3">
              <w:rPr>
                <w:rFonts w:asciiTheme="majorHAnsi" w:hAnsiTheme="majorHAnsi" w:cstheme="majorBidi"/>
                <w:iCs/>
                <w:noProof/>
                <w:color w:val="595959" w:themeColor="text1" w:themeTint="A6"/>
                <w:sz w:val="18"/>
                <w:szCs w:val="18"/>
              </w:rPr>
              <w:t>Adults aged 24-26.</w:t>
            </w:r>
          </w:p>
        </w:tc>
      </w:tr>
    </w:tbl>
    <w:p w14:paraId="7E1CAD1B" w14:textId="77777777" w:rsidR="00AB4AE5" w:rsidRDefault="00AB4AE5" w:rsidP="00AB4AE5"/>
    <w:p w14:paraId="2D29D7FA" w14:textId="77777777" w:rsidR="00AB4AE5" w:rsidRDefault="00AB4AE5" w:rsidP="00AB4AE5"/>
    <w:tbl>
      <w:tblPr>
        <w:tblStyle w:val="TableGrid"/>
        <w:tblW w:w="1062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gridCol w:w="5403"/>
      </w:tblGrid>
      <w:tr w:rsidR="00AB4AE5" w:rsidRPr="00C232D4" w14:paraId="4C8BB790" w14:textId="77777777" w:rsidTr="00E042F7">
        <w:trPr>
          <w:trHeight w:val="376"/>
        </w:trPr>
        <w:tc>
          <w:tcPr>
            <w:tcW w:w="5222" w:type="dxa"/>
          </w:tcPr>
          <w:p w14:paraId="44F71F37" w14:textId="1B904E60" w:rsidR="00AB4AE5" w:rsidRPr="00C232D4" w:rsidRDefault="00AB4AE5" w:rsidP="00E042F7">
            <w:pPr>
              <w:rPr>
                <w:rFonts w:asciiTheme="majorHAnsi" w:hAnsiTheme="majorHAnsi" w:cstheme="majorHAnsi"/>
                <w:b/>
                <w:bCs/>
                <w:iCs/>
                <w:color w:val="0F243E" w:themeColor="text2" w:themeShade="80"/>
              </w:rPr>
            </w:pPr>
            <w:r w:rsidRPr="00607358">
              <w:rPr>
                <w:rFonts w:asciiTheme="majorHAnsi" w:hAnsiTheme="majorHAnsi" w:cstheme="majorHAnsi"/>
                <w:b/>
                <w:bCs/>
                <w:iCs/>
                <w:color w:val="0F243E" w:themeColor="text2" w:themeShade="80"/>
              </w:rPr>
              <w:t>Figure A.</w:t>
            </w:r>
            <w:r w:rsidR="00383D60">
              <w:rPr>
                <w:rFonts w:asciiTheme="majorHAnsi" w:hAnsiTheme="majorHAnsi" w:cstheme="majorHAnsi"/>
                <w:b/>
                <w:bCs/>
                <w:iCs/>
                <w:color w:val="0F243E" w:themeColor="text2" w:themeShade="80"/>
              </w:rPr>
              <w:t>2</w:t>
            </w:r>
            <w:r w:rsidRPr="00607358">
              <w:rPr>
                <w:rFonts w:asciiTheme="majorHAnsi" w:hAnsiTheme="majorHAnsi" w:cstheme="majorHAnsi"/>
                <w:b/>
                <w:bCs/>
                <w:iCs/>
                <w:color w:val="0F243E" w:themeColor="text2" w:themeShade="80"/>
              </w:rPr>
              <w:t>.1</w:t>
            </w:r>
            <w:r w:rsidR="00383D60">
              <w:rPr>
                <w:rFonts w:asciiTheme="majorHAnsi" w:hAnsiTheme="majorHAnsi" w:cstheme="majorHAnsi"/>
                <w:b/>
                <w:bCs/>
                <w:iCs/>
                <w:color w:val="0F243E" w:themeColor="text2" w:themeShade="80"/>
              </w:rPr>
              <w:t>0</w:t>
            </w:r>
            <w:r>
              <w:rPr>
                <w:rFonts w:asciiTheme="majorHAnsi" w:hAnsiTheme="majorHAnsi" w:cstheme="majorHAnsi"/>
                <w:b/>
                <w:bCs/>
                <w:iCs/>
                <w:color w:val="0F243E" w:themeColor="text2" w:themeShade="80"/>
              </w:rPr>
              <w:t xml:space="preserve"> </w:t>
            </w:r>
            <w:r w:rsidRPr="00C232D4">
              <w:rPr>
                <w:rFonts w:asciiTheme="majorHAnsi" w:hAnsiTheme="majorHAnsi" w:cstheme="majorHAnsi"/>
                <w:b/>
                <w:bCs/>
                <w:iCs/>
                <w:color w:val="0F243E" w:themeColor="text2" w:themeShade="80"/>
              </w:rPr>
              <w:t xml:space="preserve">Investment growth </w:t>
            </w:r>
          </w:p>
        </w:tc>
        <w:tc>
          <w:tcPr>
            <w:tcW w:w="5403" w:type="dxa"/>
          </w:tcPr>
          <w:p w14:paraId="57755D5E" w14:textId="58803138" w:rsidR="00AB4AE5" w:rsidRPr="00C232D4" w:rsidRDefault="00AB4AE5" w:rsidP="00E042F7">
            <w:pPr>
              <w:rPr>
                <w:rFonts w:asciiTheme="majorHAnsi" w:hAnsiTheme="majorHAnsi" w:cstheme="majorHAnsi"/>
                <w:b/>
                <w:bCs/>
                <w:color w:val="0F243E" w:themeColor="text2" w:themeShade="80"/>
              </w:rPr>
            </w:pPr>
            <w:r w:rsidRPr="00607358">
              <w:rPr>
                <w:rFonts w:asciiTheme="majorHAnsi" w:hAnsiTheme="majorHAnsi" w:cstheme="majorHAnsi"/>
                <w:b/>
                <w:bCs/>
                <w:iCs/>
                <w:color w:val="0F243E" w:themeColor="text2" w:themeShade="80"/>
              </w:rPr>
              <w:t>Figure A.</w:t>
            </w:r>
            <w:r w:rsidR="00383D60">
              <w:rPr>
                <w:rFonts w:asciiTheme="majorHAnsi" w:hAnsiTheme="majorHAnsi" w:cstheme="majorHAnsi"/>
                <w:b/>
                <w:bCs/>
                <w:iCs/>
                <w:color w:val="0F243E" w:themeColor="text2" w:themeShade="80"/>
              </w:rPr>
              <w:t>2</w:t>
            </w:r>
            <w:r w:rsidRPr="00607358">
              <w:rPr>
                <w:rFonts w:asciiTheme="majorHAnsi" w:hAnsiTheme="majorHAnsi" w:cstheme="majorHAnsi"/>
                <w:b/>
                <w:bCs/>
                <w:iCs/>
                <w:color w:val="0F243E" w:themeColor="text2" w:themeShade="80"/>
              </w:rPr>
              <w:t>.1</w:t>
            </w:r>
            <w:r w:rsidR="00383D60">
              <w:rPr>
                <w:rFonts w:asciiTheme="majorHAnsi" w:hAnsiTheme="majorHAnsi" w:cstheme="majorHAnsi"/>
                <w:b/>
                <w:bCs/>
                <w:iCs/>
                <w:color w:val="0F243E" w:themeColor="text2" w:themeShade="80"/>
              </w:rPr>
              <w:t>1</w:t>
            </w:r>
            <w:r>
              <w:rPr>
                <w:rFonts w:asciiTheme="majorHAnsi" w:hAnsiTheme="majorHAnsi" w:cstheme="majorHAnsi"/>
                <w:b/>
                <w:bCs/>
                <w:color w:val="0F243E" w:themeColor="text2" w:themeShade="80"/>
              </w:rPr>
              <w:t xml:space="preserve"> </w:t>
            </w:r>
            <w:r w:rsidRPr="00C232D4">
              <w:rPr>
                <w:rFonts w:asciiTheme="majorHAnsi" w:hAnsiTheme="majorHAnsi" w:cstheme="majorHAnsi"/>
                <w:b/>
                <w:bCs/>
                <w:color w:val="0F243E" w:themeColor="text2" w:themeShade="80"/>
              </w:rPr>
              <w:t xml:space="preserve">GDP demand components, Thailand </w:t>
            </w:r>
          </w:p>
        </w:tc>
      </w:tr>
      <w:tr w:rsidR="00AB4AE5" w:rsidRPr="00C232D4" w14:paraId="134A8CB1" w14:textId="77777777" w:rsidTr="00E042F7">
        <w:trPr>
          <w:trHeight w:val="376"/>
        </w:trPr>
        <w:tc>
          <w:tcPr>
            <w:tcW w:w="5222" w:type="dxa"/>
          </w:tcPr>
          <w:p w14:paraId="270DF60B" w14:textId="77777777" w:rsidR="00AB4AE5" w:rsidRPr="00C232D4" w:rsidRDefault="00AB4AE5" w:rsidP="00E042F7">
            <w:pPr>
              <w:jc w:val="center"/>
              <w:rPr>
                <w:rFonts w:asciiTheme="majorHAnsi" w:hAnsiTheme="majorHAnsi" w:cstheme="majorHAnsi"/>
                <w:iCs/>
                <w:color w:val="0F243E" w:themeColor="text2" w:themeShade="80"/>
              </w:rPr>
            </w:pPr>
            <w:r w:rsidRPr="00C232D4">
              <w:rPr>
                <w:rFonts w:asciiTheme="majorHAnsi" w:hAnsiTheme="majorHAnsi" w:cstheme="majorHAnsi"/>
                <w:b/>
                <w:bCs/>
                <w:noProof/>
                <w:color w:val="0F243E" w:themeColor="text2" w:themeShade="80"/>
                <w:lang w:val="en-GB" w:eastAsia="en-GB"/>
              </w:rPr>
              <w:drawing>
                <wp:inline distT="0" distB="0" distL="0" distR="0" wp14:anchorId="34CCA5B3" wp14:editId="29FD8AFC">
                  <wp:extent cx="2734664" cy="2286000"/>
                  <wp:effectExtent l="0" t="0" r="8890" b="0"/>
                  <wp:docPr id="1002111261" name="Picture 10021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4664" cy="2286000"/>
                          </a:xfrm>
                          <a:prstGeom prst="rect">
                            <a:avLst/>
                          </a:prstGeom>
                          <a:noFill/>
                          <a:ln>
                            <a:noFill/>
                          </a:ln>
                        </pic:spPr>
                      </pic:pic>
                    </a:graphicData>
                  </a:graphic>
                </wp:inline>
              </w:drawing>
            </w:r>
          </w:p>
        </w:tc>
        <w:tc>
          <w:tcPr>
            <w:tcW w:w="5403" w:type="dxa"/>
          </w:tcPr>
          <w:p w14:paraId="5DA4B898" w14:textId="77777777" w:rsidR="00AB4AE5" w:rsidRPr="00C232D4" w:rsidRDefault="00AB4AE5" w:rsidP="00E042F7">
            <w:pPr>
              <w:jc w:val="center"/>
              <w:rPr>
                <w:rFonts w:asciiTheme="majorHAnsi" w:hAnsiTheme="majorHAnsi" w:cstheme="majorBidi"/>
                <w:color w:val="0F243E" w:themeColor="text2" w:themeShade="80"/>
              </w:rPr>
            </w:pPr>
            <w:r w:rsidRPr="00C232D4">
              <w:rPr>
                <w:rFonts w:asciiTheme="majorHAnsi" w:hAnsiTheme="majorHAnsi" w:cstheme="majorHAnsi"/>
                <w:noProof/>
                <w:color w:val="0F243E" w:themeColor="text2" w:themeShade="80"/>
                <w:lang w:val="en-GB" w:eastAsia="en-GB"/>
              </w:rPr>
              <w:drawing>
                <wp:inline distT="0" distB="0" distL="0" distR="0" wp14:anchorId="7EC9BFE8" wp14:editId="1CD429BC">
                  <wp:extent cx="2689802" cy="2286000"/>
                  <wp:effectExtent l="0" t="0" r="0" b="0"/>
                  <wp:docPr id="1531855710" name="Picture 153185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9802" cy="2286000"/>
                          </a:xfrm>
                          <a:prstGeom prst="rect">
                            <a:avLst/>
                          </a:prstGeom>
                          <a:noFill/>
                          <a:ln>
                            <a:noFill/>
                          </a:ln>
                        </pic:spPr>
                      </pic:pic>
                    </a:graphicData>
                  </a:graphic>
                </wp:inline>
              </w:drawing>
            </w:r>
          </w:p>
        </w:tc>
      </w:tr>
      <w:tr w:rsidR="00AB4AE5" w:rsidRPr="00614FCF" w14:paraId="1A15451F" w14:textId="77777777" w:rsidTr="00E042F7">
        <w:trPr>
          <w:trHeight w:val="376"/>
        </w:trPr>
        <w:tc>
          <w:tcPr>
            <w:tcW w:w="5222" w:type="dxa"/>
          </w:tcPr>
          <w:p w14:paraId="2E04243D" w14:textId="77777777" w:rsidR="00AB4AE5" w:rsidRPr="00863D57" w:rsidRDefault="00AB4AE5" w:rsidP="00E042F7">
            <w:pPr>
              <w:rPr>
                <w:rFonts w:asciiTheme="majorHAnsi" w:hAnsiTheme="majorHAnsi" w:cstheme="majorHAnsi"/>
                <w:iCs/>
                <w:color w:val="595959" w:themeColor="text1" w:themeTint="A6"/>
                <w:sz w:val="16"/>
                <w:szCs w:val="18"/>
              </w:rPr>
            </w:pPr>
            <w:r w:rsidRPr="00863D57">
              <w:rPr>
                <w:rFonts w:asciiTheme="majorHAnsi" w:hAnsiTheme="majorHAnsi" w:cstheme="majorHAnsi"/>
                <w:b/>
                <w:bCs/>
                <w:i/>
                <w:color w:val="595959" w:themeColor="text1" w:themeTint="A6"/>
                <w:sz w:val="16"/>
                <w:szCs w:val="18"/>
              </w:rPr>
              <w:t>Source:</w:t>
            </w:r>
            <w:r w:rsidRPr="00863D57">
              <w:rPr>
                <w:rFonts w:asciiTheme="majorHAnsi" w:hAnsiTheme="majorHAnsi" w:cstheme="majorHAnsi"/>
                <w:iCs/>
                <w:color w:val="595959" w:themeColor="text1" w:themeTint="A6"/>
                <w:sz w:val="16"/>
                <w:szCs w:val="18"/>
              </w:rPr>
              <w:t xml:space="preserve"> Haver Analytic; World Bank.</w:t>
            </w:r>
          </w:p>
          <w:p w14:paraId="6FEF0C01" w14:textId="77777777" w:rsidR="00AB4AE5" w:rsidRPr="00614FCF" w:rsidRDefault="00AB4AE5" w:rsidP="00E042F7">
            <w:pPr>
              <w:rPr>
                <w:rFonts w:asciiTheme="majorHAnsi" w:hAnsiTheme="majorHAnsi" w:cstheme="majorHAnsi"/>
                <w:iCs/>
                <w:color w:val="595959" w:themeColor="text1" w:themeTint="A6"/>
                <w:sz w:val="18"/>
                <w:szCs w:val="18"/>
              </w:rPr>
            </w:pPr>
            <w:r w:rsidRPr="00863D57">
              <w:rPr>
                <w:rFonts w:asciiTheme="majorHAnsi" w:hAnsiTheme="majorHAnsi" w:cstheme="majorHAnsi"/>
                <w:b/>
                <w:bCs/>
                <w:i/>
                <w:color w:val="595959" w:themeColor="text1" w:themeTint="A6"/>
                <w:sz w:val="16"/>
                <w:szCs w:val="18"/>
              </w:rPr>
              <w:t>Note:</w:t>
            </w:r>
            <w:r w:rsidRPr="00863D57">
              <w:rPr>
                <w:rFonts w:asciiTheme="majorHAnsi" w:hAnsiTheme="majorHAnsi" w:cstheme="majorHAnsi"/>
                <w:iCs/>
                <w:color w:val="595959" w:themeColor="text1" w:themeTint="A6"/>
                <w:sz w:val="16"/>
                <w:szCs w:val="18"/>
              </w:rPr>
              <w:t xml:space="preserve"> Gross Fixed Capital Formation. Index, 1996 = 100.</w:t>
            </w:r>
          </w:p>
        </w:tc>
        <w:tc>
          <w:tcPr>
            <w:tcW w:w="5403" w:type="dxa"/>
          </w:tcPr>
          <w:p w14:paraId="40AC6605" w14:textId="77777777" w:rsidR="00AB4AE5" w:rsidRPr="00863D57" w:rsidRDefault="00AB4AE5" w:rsidP="00E042F7">
            <w:pPr>
              <w:rPr>
                <w:rFonts w:asciiTheme="majorHAnsi" w:hAnsiTheme="majorHAnsi" w:cstheme="majorHAnsi"/>
                <w:color w:val="595959" w:themeColor="text1" w:themeTint="A6"/>
                <w:sz w:val="16"/>
                <w:szCs w:val="18"/>
              </w:rPr>
            </w:pPr>
            <w:r w:rsidRPr="00863D57">
              <w:rPr>
                <w:rFonts w:asciiTheme="majorHAnsi" w:hAnsiTheme="majorHAnsi" w:cstheme="majorHAnsi"/>
                <w:b/>
                <w:bCs/>
                <w:i/>
                <w:iCs/>
                <w:color w:val="595959" w:themeColor="text1" w:themeTint="A6"/>
                <w:sz w:val="16"/>
                <w:szCs w:val="18"/>
              </w:rPr>
              <w:t>Source:</w:t>
            </w:r>
            <w:r w:rsidRPr="00863D57">
              <w:rPr>
                <w:rFonts w:asciiTheme="majorHAnsi" w:hAnsiTheme="majorHAnsi" w:cstheme="majorHAnsi"/>
                <w:color w:val="595959" w:themeColor="text1" w:themeTint="A6"/>
                <w:sz w:val="16"/>
                <w:szCs w:val="18"/>
              </w:rPr>
              <w:t xml:space="preserve"> Haver Analytic; World Bank.</w:t>
            </w:r>
          </w:p>
          <w:p w14:paraId="30D297C6" w14:textId="77777777" w:rsidR="00AB4AE5" w:rsidRPr="00614FCF" w:rsidRDefault="00AB4AE5" w:rsidP="00E042F7">
            <w:pPr>
              <w:rPr>
                <w:rFonts w:asciiTheme="majorHAnsi" w:hAnsiTheme="majorHAnsi" w:cstheme="majorHAnsi"/>
                <w:color w:val="595959" w:themeColor="text1" w:themeTint="A6"/>
                <w:sz w:val="18"/>
                <w:szCs w:val="18"/>
              </w:rPr>
            </w:pPr>
            <w:r w:rsidRPr="00863D57">
              <w:rPr>
                <w:rFonts w:asciiTheme="majorHAnsi" w:hAnsiTheme="majorHAnsi" w:cstheme="majorHAnsi"/>
                <w:b/>
                <w:bCs/>
                <w:i/>
                <w:iCs/>
                <w:color w:val="595959" w:themeColor="text1" w:themeTint="A6"/>
                <w:sz w:val="16"/>
                <w:szCs w:val="18"/>
              </w:rPr>
              <w:t>Note:</w:t>
            </w:r>
            <w:r w:rsidRPr="00863D57">
              <w:rPr>
                <w:rFonts w:asciiTheme="majorHAnsi" w:hAnsiTheme="majorHAnsi" w:cstheme="majorHAnsi"/>
                <w:color w:val="595959" w:themeColor="text1" w:themeTint="A6"/>
                <w:sz w:val="16"/>
                <w:szCs w:val="18"/>
              </w:rPr>
              <w:t xml:space="preserve"> Investment stands for Gross Capital formation. </w:t>
            </w:r>
          </w:p>
        </w:tc>
      </w:tr>
    </w:tbl>
    <w:p w14:paraId="3D0986F6" w14:textId="77777777" w:rsidR="00AB4AE5" w:rsidRDefault="00AB4AE5" w:rsidP="00AB4AE5"/>
    <w:p w14:paraId="0172F2D0" w14:textId="77777777" w:rsidR="00AB4AE5" w:rsidRDefault="00AB4AE5" w:rsidP="00AB4AE5"/>
    <w:tbl>
      <w:tblPr>
        <w:tblStyle w:val="TableGrid"/>
        <w:tblW w:w="1062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5400"/>
      </w:tblGrid>
      <w:tr w:rsidR="00AB4AE5" w:rsidRPr="00614FCF" w14:paraId="6B01235E" w14:textId="77777777" w:rsidTr="00E042F7">
        <w:trPr>
          <w:trHeight w:val="440"/>
        </w:trPr>
        <w:tc>
          <w:tcPr>
            <w:tcW w:w="5220" w:type="dxa"/>
          </w:tcPr>
          <w:p w14:paraId="318B56E5" w14:textId="57B9D05B" w:rsidR="00AB4AE5" w:rsidRPr="00614FCF" w:rsidRDefault="00AB4AE5" w:rsidP="00E042F7">
            <w:pPr>
              <w:rPr>
                <w:rFonts w:asciiTheme="majorHAnsi" w:hAnsiTheme="majorHAnsi" w:cstheme="majorHAnsi"/>
                <w:b/>
                <w:bCs/>
                <w:iCs/>
              </w:rPr>
            </w:pPr>
            <w:r w:rsidRPr="00614FCF">
              <w:rPr>
                <w:rFonts w:asciiTheme="majorHAnsi" w:hAnsiTheme="majorHAnsi" w:cstheme="majorHAnsi"/>
                <w:b/>
                <w:bCs/>
                <w:iCs/>
              </w:rPr>
              <w:lastRenderedPageBreak/>
              <w:t>Figure A.</w:t>
            </w:r>
            <w:r w:rsidR="00383D60">
              <w:rPr>
                <w:rFonts w:asciiTheme="majorHAnsi" w:hAnsiTheme="majorHAnsi" w:cstheme="majorHAnsi"/>
                <w:b/>
                <w:bCs/>
                <w:iCs/>
              </w:rPr>
              <w:t>2</w:t>
            </w:r>
            <w:r w:rsidRPr="00614FCF">
              <w:rPr>
                <w:rFonts w:asciiTheme="majorHAnsi" w:hAnsiTheme="majorHAnsi" w:cstheme="majorHAnsi"/>
                <w:b/>
                <w:bCs/>
                <w:iCs/>
              </w:rPr>
              <w:t>.1</w:t>
            </w:r>
            <w:r w:rsidR="00383D60">
              <w:rPr>
                <w:rFonts w:asciiTheme="majorHAnsi" w:hAnsiTheme="majorHAnsi" w:cstheme="majorHAnsi"/>
                <w:b/>
                <w:bCs/>
                <w:iCs/>
              </w:rPr>
              <w:t>2</w:t>
            </w:r>
            <w:r w:rsidRPr="00614FCF">
              <w:rPr>
                <w:rFonts w:asciiTheme="majorHAnsi" w:hAnsiTheme="majorHAnsi" w:cstheme="majorHAnsi"/>
                <w:b/>
                <w:bCs/>
                <w:iCs/>
              </w:rPr>
              <w:t xml:space="preserve"> Total Factor Productivity (TFP) growth </w:t>
            </w:r>
          </w:p>
        </w:tc>
        <w:tc>
          <w:tcPr>
            <w:tcW w:w="5400" w:type="dxa"/>
          </w:tcPr>
          <w:p w14:paraId="49916CA0" w14:textId="23E98B5D" w:rsidR="00AB4AE5" w:rsidRPr="00614FCF" w:rsidRDefault="00AB4AE5" w:rsidP="00E042F7">
            <w:pPr>
              <w:rPr>
                <w:rFonts w:asciiTheme="majorHAnsi" w:hAnsiTheme="majorHAnsi" w:cstheme="majorHAnsi"/>
                <w:b/>
                <w:bCs/>
                <w:iCs/>
              </w:rPr>
            </w:pPr>
            <w:r w:rsidRPr="00614FCF">
              <w:rPr>
                <w:rFonts w:asciiTheme="majorHAnsi" w:hAnsiTheme="majorHAnsi" w:cstheme="majorHAnsi"/>
                <w:b/>
                <w:bCs/>
                <w:iCs/>
              </w:rPr>
              <w:t>Figure A.</w:t>
            </w:r>
            <w:r w:rsidR="00383D60">
              <w:rPr>
                <w:rFonts w:asciiTheme="majorHAnsi" w:hAnsiTheme="majorHAnsi" w:cstheme="majorHAnsi"/>
                <w:b/>
                <w:bCs/>
                <w:iCs/>
              </w:rPr>
              <w:t>2</w:t>
            </w:r>
            <w:r w:rsidRPr="00614FCF">
              <w:rPr>
                <w:rFonts w:asciiTheme="majorHAnsi" w:hAnsiTheme="majorHAnsi" w:cstheme="majorHAnsi"/>
                <w:b/>
                <w:bCs/>
                <w:iCs/>
              </w:rPr>
              <w:t>.1</w:t>
            </w:r>
            <w:r w:rsidR="00383D60">
              <w:rPr>
                <w:rFonts w:asciiTheme="majorHAnsi" w:hAnsiTheme="majorHAnsi" w:cstheme="majorHAnsi"/>
                <w:b/>
                <w:bCs/>
                <w:iCs/>
              </w:rPr>
              <w:t>3</w:t>
            </w:r>
            <w:r w:rsidRPr="00614FCF">
              <w:rPr>
                <w:rFonts w:asciiTheme="majorHAnsi" w:hAnsiTheme="majorHAnsi" w:cstheme="majorHAnsi"/>
                <w:b/>
                <w:bCs/>
                <w:iCs/>
              </w:rPr>
              <w:t xml:space="preserve"> High-tech exports</w:t>
            </w:r>
          </w:p>
        </w:tc>
      </w:tr>
      <w:tr w:rsidR="00AB4AE5" w:rsidRPr="00C232D4" w14:paraId="547887D0" w14:textId="77777777" w:rsidTr="00E042F7">
        <w:trPr>
          <w:trHeight w:val="440"/>
        </w:trPr>
        <w:tc>
          <w:tcPr>
            <w:tcW w:w="5220" w:type="dxa"/>
          </w:tcPr>
          <w:p w14:paraId="25B6C6E9" w14:textId="77777777" w:rsidR="00AB4AE5" w:rsidRPr="00C232D4" w:rsidRDefault="00AB4AE5" w:rsidP="00E042F7">
            <w:pPr>
              <w:rPr>
                <w:color w:val="0F243E" w:themeColor="text2" w:themeShade="80"/>
              </w:rPr>
            </w:pPr>
            <w:r w:rsidRPr="00C232D4">
              <w:rPr>
                <w:noProof/>
                <w:color w:val="0F243E" w:themeColor="text2" w:themeShade="80"/>
                <w:lang w:val="en-GB" w:eastAsia="en-GB"/>
              </w:rPr>
              <w:drawing>
                <wp:inline distT="0" distB="0" distL="0" distR="0" wp14:anchorId="1251CDEB" wp14:editId="675561D2">
                  <wp:extent cx="3067672" cy="2286000"/>
                  <wp:effectExtent l="0" t="0" r="0" b="0"/>
                  <wp:docPr id="5066886" name="Picture 506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672" cy="2286000"/>
                          </a:xfrm>
                          <a:prstGeom prst="rect">
                            <a:avLst/>
                          </a:prstGeom>
                          <a:noFill/>
                          <a:ln>
                            <a:noFill/>
                          </a:ln>
                        </pic:spPr>
                      </pic:pic>
                    </a:graphicData>
                  </a:graphic>
                </wp:inline>
              </w:drawing>
            </w:r>
          </w:p>
        </w:tc>
        <w:tc>
          <w:tcPr>
            <w:tcW w:w="5400" w:type="dxa"/>
          </w:tcPr>
          <w:p w14:paraId="6FF99290" w14:textId="77777777" w:rsidR="00AB4AE5" w:rsidRPr="00C232D4" w:rsidRDefault="00AB4AE5" w:rsidP="00E042F7">
            <w:pPr>
              <w:rPr>
                <w:color w:val="0F243E" w:themeColor="text2" w:themeShade="80"/>
              </w:rPr>
            </w:pPr>
            <w:r w:rsidRPr="00C232D4">
              <w:rPr>
                <w:noProof/>
                <w:color w:val="0F243E" w:themeColor="text2" w:themeShade="80"/>
                <w:lang w:val="en-GB" w:eastAsia="en-GB"/>
              </w:rPr>
              <w:drawing>
                <wp:inline distT="0" distB="0" distL="0" distR="0" wp14:anchorId="5196B0FF" wp14:editId="1D10FC35">
                  <wp:extent cx="3048200" cy="2286000"/>
                  <wp:effectExtent l="0" t="0" r="0" b="0"/>
                  <wp:docPr id="3019860" name="Picture 30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200" cy="2286000"/>
                          </a:xfrm>
                          <a:prstGeom prst="rect">
                            <a:avLst/>
                          </a:prstGeom>
                          <a:noFill/>
                          <a:ln>
                            <a:noFill/>
                          </a:ln>
                        </pic:spPr>
                      </pic:pic>
                    </a:graphicData>
                  </a:graphic>
                </wp:inline>
              </w:drawing>
            </w:r>
          </w:p>
        </w:tc>
      </w:tr>
      <w:tr w:rsidR="00AB4AE5" w:rsidRPr="00C232D4" w14:paraId="496A5456" w14:textId="77777777" w:rsidTr="00E042F7">
        <w:trPr>
          <w:trHeight w:val="440"/>
        </w:trPr>
        <w:tc>
          <w:tcPr>
            <w:tcW w:w="5220" w:type="dxa"/>
          </w:tcPr>
          <w:p w14:paraId="2EFF06D0" w14:textId="77777777" w:rsidR="00AB4AE5" w:rsidRPr="00BA7715" w:rsidRDefault="00AB4AE5" w:rsidP="00E042F7">
            <w:pPr>
              <w:pStyle w:val="Source"/>
            </w:pPr>
            <w:r w:rsidRPr="00614FCF">
              <w:rPr>
                <w:b/>
                <w:bCs/>
                <w:i/>
                <w:iCs/>
              </w:rPr>
              <w:t>Source:</w:t>
            </w:r>
            <w:r w:rsidRPr="00614FCF">
              <w:rPr>
                <w:b/>
                <w:bCs/>
              </w:rPr>
              <w:t xml:space="preserve"> </w:t>
            </w:r>
            <w:r w:rsidRPr="00BA7715">
              <w:fldChar w:fldCharType="begin"/>
            </w:r>
            <w:r w:rsidRPr="00BA7715">
              <w:instrText xml:space="preserve"> ADDIN ZOTERO_ITEM CSL_CITATION {"citationID":"6xpHmsSg","properties":{"formattedCitation":"(Kose and Ohnsorge 2023)","plainCitation":"(Kose and Ohnsorge 2023)","noteIndex":0},"citationItems":[{"id":552,"uris":["http://zotero.org/groups/5008876/items/MLT64AEC"],"itemData":{"id":552,"type":"book","event-place":"Washington, DC","publisher":"World Bank","publisher-place":"Washington, DC","title":"Falling Long-Term Growth Prospects: Trends, Expectations, and Policies","editor":[{"family":"Kose","given":"Ayhan M."},{"family":"Ohnsorge","given":"Franziska"}],"issued":{"date-parts":[["2023"]]}}}],"schema":"https://github.com/citation-style-language/schema/raw/master/csl-citation.json"} </w:instrText>
            </w:r>
            <w:r w:rsidRPr="00BA7715">
              <w:fldChar w:fldCharType="separate"/>
            </w:r>
            <w:r w:rsidRPr="00BA7715">
              <w:t>Kose and Ohnsorge (2023)</w:t>
            </w:r>
            <w:r w:rsidRPr="00BA7715">
              <w:fldChar w:fldCharType="end"/>
            </w:r>
            <w:r w:rsidRPr="00BA7715">
              <w:t>; World Bank.</w:t>
            </w:r>
          </w:p>
          <w:p w14:paraId="08B521A6" w14:textId="77777777" w:rsidR="00AB4AE5" w:rsidRDefault="00AB4AE5" w:rsidP="00E042F7">
            <w:pPr>
              <w:pStyle w:val="Source"/>
            </w:pPr>
            <w:r w:rsidRPr="00614FCF">
              <w:rPr>
                <w:b/>
                <w:bCs/>
                <w:i/>
                <w:iCs/>
              </w:rPr>
              <w:t>Note</w:t>
            </w:r>
            <w:r w:rsidRPr="00C025C2">
              <w:rPr>
                <w:i/>
                <w:iCs/>
              </w:rPr>
              <w:t>:</w:t>
            </w:r>
            <w:r w:rsidRPr="00BA7715">
              <w:t xml:space="preserve"> </w:t>
            </w:r>
            <w:r>
              <w:t>B</w:t>
            </w:r>
            <w:r w:rsidRPr="00BA7715">
              <w:t>ased on a decomposition of potential growth estimations using the production function approach.</w:t>
            </w:r>
          </w:p>
          <w:p w14:paraId="27D886BE" w14:textId="77777777" w:rsidR="00AB4AE5" w:rsidRPr="00BA7715" w:rsidRDefault="00AB4AE5" w:rsidP="00E042F7">
            <w:pPr>
              <w:pStyle w:val="Source"/>
            </w:pPr>
          </w:p>
        </w:tc>
        <w:tc>
          <w:tcPr>
            <w:tcW w:w="5400" w:type="dxa"/>
          </w:tcPr>
          <w:p w14:paraId="38B5EBA9" w14:textId="77777777" w:rsidR="00AB4AE5" w:rsidRPr="00BA7715" w:rsidRDefault="00AB4AE5" w:rsidP="00E042F7">
            <w:pPr>
              <w:pStyle w:val="Source"/>
            </w:pPr>
            <w:r w:rsidRPr="00614FCF">
              <w:rPr>
                <w:b/>
                <w:bCs/>
                <w:i/>
                <w:iCs/>
              </w:rPr>
              <w:t>Source:</w:t>
            </w:r>
            <w:r w:rsidRPr="00BA7715">
              <w:t xml:space="preserve"> IMF; World Bank. </w:t>
            </w:r>
          </w:p>
          <w:p w14:paraId="361E748F" w14:textId="77777777" w:rsidR="00AB4AE5" w:rsidRPr="00BA7715" w:rsidRDefault="00AB4AE5" w:rsidP="00E042F7">
            <w:pPr>
              <w:pStyle w:val="Source"/>
            </w:pPr>
            <w:r w:rsidRPr="00614FCF">
              <w:rPr>
                <w:b/>
                <w:bCs/>
                <w:i/>
                <w:iCs/>
              </w:rPr>
              <w:t>Note:</w:t>
            </w:r>
            <w:r w:rsidRPr="00BA7715">
              <w:t xml:space="preserve"> 2012-21 average growth rates. </w:t>
            </w:r>
          </w:p>
        </w:tc>
      </w:tr>
      <w:tr w:rsidR="00AB4AE5" w:rsidRPr="00C025C2" w14:paraId="75C26BC3" w14:textId="77777777" w:rsidTr="00E042F7">
        <w:trPr>
          <w:trHeight w:val="440"/>
        </w:trPr>
        <w:tc>
          <w:tcPr>
            <w:tcW w:w="5220" w:type="dxa"/>
          </w:tcPr>
          <w:p w14:paraId="0A9007BF" w14:textId="77777777" w:rsidR="00AB4AE5" w:rsidRDefault="00AB4AE5" w:rsidP="00E042F7">
            <w:pPr>
              <w:rPr>
                <w:rFonts w:asciiTheme="majorHAnsi" w:hAnsiTheme="majorHAnsi" w:cstheme="majorHAnsi"/>
                <w:b/>
                <w:bCs/>
                <w:iCs/>
                <w:color w:val="0F243E" w:themeColor="text2" w:themeShade="80"/>
              </w:rPr>
            </w:pPr>
          </w:p>
        </w:tc>
        <w:tc>
          <w:tcPr>
            <w:tcW w:w="5400" w:type="dxa"/>
          </w:tcPr>
          <w:p w14:paraId="5285E581" w14:textId="77777777" w:rsidR="00AB4AE5" w:rsidRDefault="00AB4AE5" w:rsidP="00E042F7">
            <w:pPr>
              <w:rPr>
                <w:rFonts w:asciiTheme="majorHAnsi" w:hAnsiTheme="majorHAnsi" w:cstheme="majorHAnsi"/>
                <w:b/>
                <w:bCs/>
                <w:iCs/>
                <w:color w:val="0F243E" w:themeColor="text2" w:themeShade="80"/>
              </w:rPr>
            </w:pPr>
          </w:p>
        </w:tc>
      </w:tr>
      <w:tr w:rsidR="00AB4AE5" w:rsidRPr="00C025C2" w14:paraId="55279EEC" w14:textId="77777777" w:rsidTr="00E042F7">
        <w:trPr>
          <w:trHeight w:val="440"/>
        </w:trPr>
        <w:tc>
          <w:tcPr>
            <w:tcW w:w="5220" w:type="dxa"/>
          </w:tcPr>
          <w:p w14:paraId="3EAD193E" w14:textId="77777777" w:rsidR="00AB4AE5" w:rsidRDefault="00AB4AE5" w:rsidP="00E042F7">
            <w:pPr>
              <w:rPr>
                <w:rFonts w:asciiTheme="majorHAnsi" w:hAnsiTheme="majorHAnsi" w:cstheme="majorHAnsi"/>
                <w:b/>
                <w:bCs/>
                <w:iCs/>
                <w:color w:val="0F243E" w:themeColor="text2" w:themeShade="80"/>
              </w:rPr>
            </w:pPr>
          </w:p>
          <w:p w14:paraId="11AE2DAD" w14:textId="77777777" w:rsidR="00AB4AE5" w:rsidRDefault="00AB4AE5" w:rsidP="00E042F7">
            <w:pPr>
              <w:rPr>
                <w:rFonts w:asciiTheme="majorHAnsi" w:hAnsiTheme="majorHAnsi" w:cstheme="majorHAnsi"/>
                <w:b/>
                <w:bCs/>
                <w:iCs/>
                <w:color w:val="0F243E" w:themeColor="text2" w:themeShade="80"/>
              </w:rPr>
            </w:pPr>
          </w:p>
          <w:p w14:paraId="621B0AA1" w14:textId="77777777" w:rsidR="00AB4AE5" w:rsidRDefault="00AB4AE5" w:rsidP="00E042F7">
            <w:pPr>
              <w:rPr>
                <w:rFonts w:asciiTheme="majorHAnsi" w:hAnsiTheme="majorHAnsi" w:cstheme="majorHAnsi"/>
                <w:b/>
                <w:bCs/>
                <w:iCs/>
                <w:color w:val="0F243E" w:themeColor="text2" w:themeShade="80"/>
              </w:rPr>
            </w:pPr>
          </w:p>
          <w:p w14:paraId="4273B8F3" w14:textId="260865AB" w:rsidR="00AB4AE5" w:rsidRPr="00C025C2" w:rsidRDefault="00AB4AE5" w:rsidP="00E042F7">
            <w:pPr>
              <w:rPr>
                <w:rFonts w:asciiTheme="majorHAnsi" w:hAnsiTheme="majorHAnsi" w:cstheme="majorHAnsi"/>
                <w:b/>
                <w:bCs/>
                <w:color w:val="0F243E" w:themeColor="text2" w:themeShade="80"/>
              </w:rPr>
            </w:pPr>
            <w:r w:rsidRPr="00C025C2">
              <w:rPr>
                <w:rFonts w:asciiTheme="majorHAnsi" w:hAnsiTheme="majorHAnsi" w:cstheme="majorHAnsi"/>
                <w:b/>
                <w:bCs/>
                <w:iCs/>
                <w:color w:val="0F243E" w:themeColor="text2" w:themeShade="80"/>
              </w:rPr>
              <w:t>Figure A.</w:t>
            </w:r>
            <w:r w:rsidR="006F3820">
              <w:rPr>
                <w:rFonts w:asciiTheme="majorHAnsi" w:hAnsiTheme="majorHAnsi" w:cstheme="majorHAnsi"/>
                <w:b/>
                <w:bCs/>
                <w:iCs/>
                <w:color w:val="0F243E" w:themeColor="text2" w:themeShade="80"/>
              </w:rPr>
              <w:t>2</w:t>
            </w:r>
            <w:r w:rsidRPr="00C025C2">
              <w:rPr>
                <w:rFonts w:asciiTheme="majorHAnsi" w:hAnsiTheme="majorHAnsi" w:cstheme="majorHAnsi"/>
                <w:b/>
                <w:bCs/>
                <w:iCs/>
                <w:color w:val="0F243E" w:themeColor="text2" w:themeShade="80"/>
              </w:rPr>
              <w:t>.1</w:t>
            </w:r>
            <w:r w:rsidR="006F3820">
              <w:rPr>
                <w:rFonts w:asciiTheme="majorHAnsi" w:hAnsiTheme="majorHAnsi" w:cstheme="majorHAnsi"/>
                <w:b/>
                <w:bCs/>
                <w:iCs/>
                <w:color w:val="0F243E" w:themeColor="text2" w:themeShade="80"/>
              </w:rPr>
              <w:t>4</w:t>
            </w:r>
            <w:r w:rsidRPr="00C025C2">
              <w:rPr>
                <w:rFonts w:asciiTheme="majorHAnsi" w:hAnsiTheme="majorHAnsi" w:cstheme="majorHAnsi"/>
                <w:b/>
                <w:bCs/>
                <w:color w:val="0F243E" w:themeColor="text2" w:themeShade="80"/>
              </w:rPr>
              <w:t xml:space="preserve"> Tourism, global market share and growth</w:t>
            </w:r>
          </w:p>
        </w:tc>
        <w:tc>
          <w:tcPr>
            <w:tcW w:w="5400" w:type="dxa"/>
          </w:tcPr>
          <w:p w14:paraId="6C8B22C8" w14:textId="77777777" w:rsidR="00AB4AE5" w:rsidRDefault="00AB4AE5" w:rsidP="00E042F7">
            <w:pPr>
              <w:rPr>
                <w:rFonts w:asciiTheme="majorHAnsi" w:hAnsiTheme="majorHAnsi" w:cstheme="majorHAnsi"/>
                <w:b/>
                <w:bCs/>
                <w:iCs/>
                <w:color w:val="0F243E" w:themeColor="text2" w:themeShade="80"/>
              </w:rPr>
            </w:pPr>
          </w:p>
          <w:p w14:paraId="30C25110" w14:textId="77777777" w:rsidR="00AB4AE5" w:rsidRDefault="00AB4AE5" w:rsidP="00E042F7">
            <w:pPr>
              <w:rPr>
                <w:rFonts w:asciiTheme="majorHAnsi" w:hAnsiTheme="majorHAnsi" w:cstheme="majorHAnsi"/>
                <w:b/>
                <w:bCs/>
                <w:iCs/>
                <w:color w:val="0F243E" w:themeColor="text2" w:themeShade="80"/>
              </w:rPr>
            </w:pPr>
          </w:p>
          <w:p w14:paraId="29AC96C6" w14:textId="77777777" w:rsidR="00AB4AE5" w:rsidRDefault="00AB4AE5" w:rsidP="00E042F7">
            <w:pPr>
              <w:rPr>
                <w:rFonts w:asciiTheme="majorHAnsi" w:hAnsiTheme="majorHAnsi" w:cstheme="majorHAnsi"/>
                <w:b/>
                <w:bCs/>
                <w:iCs/>
                <w:color w:val="0F243E" w:themeColor="text2" w:themeShade="80"/>
              </w:rPr>
            </w:pPr>
          </w:p>
          <w:p w14:paraId="5D20FA1A" w14:textId="1583F0FC" w:rsidR="00AB4AE5" w:rsidRPr="00C025C2" w:rsidRDefault="00AB4AE5" w:rsidP="00E042F7">
            <w:pPr>
              <w:rPr>
                <w:rFonts w:asciiTheme="majorHAnsi" w:hAnsiTheme="majorHAnsi" w:cstheme="majorHAnsi"/>
                <w:b/>
                <w:bCs/>
                <w:color w:val="0F243E" w:themeColor="text2" w:themeShade="80"/>
              </w:rPr>
            </w:pPr>
            <w:r w:rsidRPr="00C025C2">
              <w:rPr>
                <w:rFonts w:asciiTheme="majorHAnsi" w:hAnsiTheme="majorHAnsi" w:cstheme="majorHAnsi"/>
                <w:b/>
                <w:bCs/>
                <w:iCs/>
                <w:color w:val="0F243E" w:themeColor="text2" w:themeShade="80"/>
              </w:rPr>
              <w:t>Figure A.</w:t>
            </w:r>
            <w:r w:rsidR="006F3820">
              <w:rPr>
                <w:rFonts w:asciiTheme="majorHAnsi" w:hAnsiTheme="majorHAnsi" w:cstheme="majorHAnsi"/>
                <w:b/>
                <w:bCs/>
                <w:iCs/>
                <w:color w:val="0F243E" w:themeColor="text2" w:themeShade="80"/>
              </w:rPr>
              <w:t>2</w:t>
            </w:r>
            <w:r w:rsidRPr="00C025C2">
              <w:rPr>
                <w:rFonts w:asciiTheme="majorHAnsi" w:hAnsiTheme="majorHAnsi" w:cstheme="majorHAnsi"/>
                <w:b/>
                <w:bCs/>
                <w:iCs/>
                <w:color w:val="0F243E" w:themeColor="text2" w:themeShade="80"/>
              </w:rPr>
              <w:t>.1</w:t>
            </w:r>
            <w:r w:rsidR="006F3820">
              <w:rPr>
                <w:rFonts w:asciiTheme="majorHAnsi" w:hAnsiTheme="majorHAnsi" w:cstheme="majorHAnsi"/>
                <w:b/>
                <w:bCs/>
                <w:iCs/>
                <w:color w:val="0F243E" w:themeColor="text2" w:themeShade="80"/>
              </w:rPr>
              <w:t>5</w:t>
            </w:r>
            <w:r w:rsidRPr="00C025C2">
              <w:rPr>
                <w:rFonts w:asciiTheme="majorHAnsi" w:hAnsiTheme="majorHAnsi" w:cstheme="majorHAnsi"/>
                <w:b/>
                <w:bCs/>
                <w:iCs/>
                <w:color w:val="0F243E" w:themeColor="text2" w:themeShade="80"/>
              </w:rPr>
              <w:t xml:space="preserve"> </w:t>
            </w:r>
            <w:r w:rsidRPr="00C025C2">
              <w:rPr>
                <w:rFonts w:asciiTheme="majorHAnsi" w:hAnsiTheme="majorHAnsi" w:cstheme="majorHAnsi"/>
                <w:b/>
                <w:bCs/>
                <w:color w:val="0F243E" w:themeColor="text2" w:themeShade="80"/>
              </w:rPr>
              <w:t>Services exports, excluding tourism, global market share and growth</w:t>
            </w:r>
          </w:p>
        </w:tc>
      </w:tr>
      <w:tr w:rsidR="00AB4AE5" w:rsidRPr="00C232D4" w14:paraId="6CE01F00" w14:textId="77777777" w:rsidTr="00E042F7">
        <w:trPr>
          <w:trHeight w:val="440"/>
        </w:trPr>
        <w:tc>
          <w:tcPr>
            <w:tcW w:w="5220" w:type="dxa"/>
          </w:tcPr>
          <w:p w14:paraId="6C0897A7" w14:textId="77777777" w:rsidR="00AB4AE5" w:rsidRPr="00C232D4" w:rsidRDefault="00AB4AE5" w:rsidP="00E042F7">
            <w:pPr>
              <w:rPr>
                <w:color w:val="0F243E" w:themeColor="text2" w:themeShade="80"/>
              </w:rPr>
            </w:pPr>
            <w:r w:rsidRPr="00C232D4">
              <w:rPr>
                <w:noProof/>
                <w:color w:val="0F243E" w:themeColor="text2" w:themeShade="80"/>
                <w:lang w:val="en-GB" w:eastAsia="en-GB"/>
              </w:rPr>
              <w:drawing>
                <wp:inline distT="0" distB="0" distL="0" distR="0" wp14:anchorId="2FA8415D" wp14:editId="64E06AE5">
                  <wp:extent cx="3003884" cy="2286000"/>
                  <wp:effectExtent l="0" t="0" r="6350" b="0"/>
                  <wp:docPr id="692827971" name="Picture 6928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3884" cy="2286000"/>
                          </a:xfrm>
                          <a:prstGeom prst="rect">
                            <a:avLst/>
                          </a:prstGeom>
                          <a:noFill/>
                          <a:ln>
                            <a:noFill/>
                          </a:ln>
                        </pic:spPr>
                      </pic:pic>
                    </a:graphicData>
                  </a:graphic>
                </wp:inline>
              </w:drawing>
            </w:r>
          </w:p>
        </w:tc>
        <w:tc>
          <w:tcPr>
            <w:tcW w:w="5400" w:type="dxa"/>
          </w:tcPr>
          <w:p w14:paraId="20AECC4B" w14:textId="77777777" w:rsidR="00AB4AE5" w:rsidRPr="00C232D4" w:rsidRDefault="00AB4AE5" w:rsidP="00E042F7">
            <w:pPr>
              <w:rPr>
                <w:color w:val="0F243E" w:themeColor="text2" w:themeShade="80"/>
              </w:rPr>
            </w:pPr>
            <w:r w:rsidRPr="00C232D4">
              <w:rPr>
                <w:noProof/>
                <w:color w:val="0F243E" w:themeColor="text2" w:themeShade="80"/>
                <w:lang w:val="en-GB" w:eastAsia="en-GB"/>
              </w:rPr>
              <w:drawing>
                <wp:inline distT="0" distB="0" distL="0" distR="0" wp14:anchorId="1071B26E" wp14:editId="74D6D444">
                  <wp:extent cx="3052804" cy="2286000"/>
                  <wp:effectExtent l="0" t="0" r="0" b="0"/>
                  <wp:docPr id="1758089684" name="Picture 175808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2804" cy="2286000"/>
                          </a:xfrm>
                          <a:prstGeom prst="rect">
                            <a:avLst/>
                          </a:prstGeom>
                          <a:noFill/>
                          <a:ln>
                            <a:noFill/>
                          </a:ln>
                        </pic:spPr>
                      </pic:pic>
                    </a:graphicData>
                  </a:graphic>
                </wp:inline>
              </w:drawing>
            </w:r>
          </w:p>
        </w:tc>
      </w:tr>
      <w:tr w:rsidR="00AB4AE5" w:rsidRPr="00C232D4" w14:paraId="4737479D" w14:textId="77777777" w:rsidTr="00E042F7">
        <w:trPr>
          <w:trHeight w:val="440"/>
        </w:trPr>
        <w:tc>
          <w:tcPr>
            <w:tcW w:w="5220" w:type="dxa"/>
          </w:tcPr>
          <w:p w14:paraId="6D124752" w14:textId="77777777" w:rsidR="00AB4AE5" w:rsidRPr="00BA7715" w:rsidRDefault="00AB4AE5" w:rsidP="00E042F7">
            <w:pPr>
              <w:pStyle w:val="Source"/>
            </w:pPr>
            <w:r w:rsidRPr="00614FCF">
              <w:rPr>
                <w:b/>
                <w:bCs/>
                <w:i/>
                <w:iCs/>
              </w:rPr>
              <w:t>Source:</w:t>
            </w:r>
            <w:r w:rsidRPr="00BA7715">
              <w:t xml:space="preserve"> IMF; World Bank. </w:t>
            </w:r>
          </w:p>
          <w:p w14:paraId="71470C99" w14:textId="77777777" w:rsidR="00AB4AE5" w:rsidRPr="00BA7715" w:rsidRDefault="00AB4AE5" w:rsidP="00E042F7">
            <w:pPr>
              <w:pStyle w:val="Source"/>
            </w:pPr>
            <w:r w:rsidRPr="00614FCF">
              <w:rPr>
                <w:b/>
                <w:bCs/>
                <w:i/>
                <w:iCs/>
              </w:rPr>
              <w:t>Note:</w:t>
            </w:r>
            <w:r w:rsidRPr="00BA7715">
              <w:t xml:space="preserve"> Circle size is proportional to tourism export share in GDP. Average 2012-19. </w:t>
            </w:r>
          </w:p>
        </w:tc>
        <w:tc>
          <w:tcPr>
            <w:tcW w:w="5400" w:type="dxa"/>
          </w:tcPr>
          <w:p w14:paraId="4DBB3481" w14:textId="77777777" w:rsidR="00AB4AE5" w:rsidRPr="00BA7715" w:rsidRDefault="00AB4AE5" w:rsidP="00E042F7">
            <w:pPr>
              <w:pStyle w:val="Source"/>
            </w:pPr>
            <w:r w:rsidRPr="00614FCF">
              <w:rPr>
                <w:b/>
                <w:bCs/>
                <w:i/>
                <w:iCs/>
              </w:rPr>
              <w:t>Source:</w:t>
            </w:r>
            <w:r w:rsidRPr="00614FCF">
              <w:rPr>
                <w:b/>
                <w:bCs/>
              </w:rPr>
              <w:t xml:space="preserve"> </w:t>
            </w:r>
            <w:r w:rsidRPr="00BA7715">
              <w:t xml:space="preserve">IMF; World Bank. </w:t>
            </w:r>
          </w:p>
          <w:p w14:paraId="21DA1A7F" w14:textId="77777777" w:rsidR="00AB4AE5" w:rsidRPr="00BA7715" w:rsidRDefault="00AB4AE5" w:rsidP="00E042F7">
            <w:pPr>
              <w:pStyle w:val="Source"/>
            </w:pPr>
            <w:r w:rsidRPr="00614FCF">
              <w:rPr>
                <w:b/>
                <w:bCs/>
                <w:i/>
                <w:iCs/>
              </w:rPr>
              <w:t>Note:</w:t>
            </w:r>
            <w:r w:rsidRPr="00BA7715">
              <w:t xml:space="preserve"> Circle size is proportional to tourism export share in GDP. Average 2012-19.</w:t>
            </w:r>
          </w:p>
        </w:tc>
      </w:tr>
    </w:tbl>
    <w:p w14:paraId="2EC324D5" w14:textId="77777777" w:rsidR="00AB4AE5" w:rsidRDefault="00AB4AE5" w:rsidP="00AB4AE5"/>
    <w:p w14:paraId="0F68CE35" w14:textId="4AF21E79" w:rsidR="00AB4AE5" w:rsidRDefault="00AB4AE5" w:rsidP="00AB4AE5"/>
    <w:p w14:paraId="4587E2C5" w14:textId="77777777" w:rsidR="006F3820" w:rsidRDefault="006F3820" w:rsidP="00AB4AE5"/>
    <w:tbl>
      <w:tblPr>
        <w:tblStyle w:val="TableGrid"/>
        <w:tblW w:w="1062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gridCol w:w="5403"/>
      </w:tblGrid>
      <w:tr w:rsidR="00AB4AE5" w:rsidRPr="00C232D4" w14:paraId="6A49C299" w14:textId="77777777" w:rsidTr="00E042F7">
        <w:trPr>
          <w:trHeight w:val="440"/>
        </w:trPr>
        <w:tc>
          <w:tcPr>
            <w:tcW w:w="5222" w:type="dxa"/>
          </w:tcPr>
          <w:p w14:paraId="42BB7E07" w14:textId="77777777" w:rsidR="00AB4AE5" w:rsidRDefault="00AB4AE5" w:rsidP="00E042F7">
            <w:pPr>
              <w:rPr>
                <w:rFonts w:asciiTheme="majorHAnsi" w:eastAsiaTheme="majorEastAsia" w:hAnsiTheme="majorHAnsi" w:cstheme="majorBidi"/>
                <w:noProof/>
              </w:rPr>
            </w:pPr>
          </w:p>
          <w:p w14:paraId="2DDEA3EB" w14:textId="77777777" w:rsidR="00AB4AE5" w:rsidRPr="00BA7715" w:rsidRDefault="00AB4AE5" w:rsidP="00E042F7"/>
        </w:tc>
        <w:tc>
          <w:tcPr>
            <w:tcW w:w="5403" w:type="dxa"/>
          </w:tcPr>
          <w:p w14:paraId="51432BE3" w14:textId="77777777" w:rsidR="00AB4AE5" w:rsidRDefault="00AB4AE5" w:rsidP="00E042F7">
            <w:pPr>
              <w:rPr>
                <w:rFonts w:asciiTheme="majorHAnsi" w:eastAsiaTheme="majorEastAsia" w:hAnsiTheme="majorHAnsi" w:cstheme="majorBidi"/>
              </w:rPr>
            </w:pPr>
          </w:p>
          <w:p w14:paraId="18F7822D" w14:textId="77777777" w:rsidR="00AB4AE5" w:rsidRPr="00BA7715" w:rsidRDefault="00AB4AE5" w:rsidP="00E042F7">
            <w:pPr>
              <w:rPr>
                <w:rFonts w:asciiTheme="majorHAnsi" w:hAnsiTheme="majorHAnsi" w:cstheme="majorBidi"/>
                <w:sz w:val="20"/>
                <w:szCs w:val="20"/>
              </w:rPr>
            </w:pPr>
          </w:p>
        </w:tc>
      </w:tr>
      <w:tr w:rsidR="00AB4AE5" w:rsidRPr="00614FCF" w14:paraId="6562AC5C" w14:textId="77777777" w:rsidTr="00E042F7">
        <w:trPr>
          <w:trHeight w:val="332"/>
        </w:trPr>
        <w:tc>
          <w:tcPr>
            <w:tcW w:w="5222" w:type="dxa"/>
          </w:tcPr>
          <w:p w14:paraId="2ABB6803" w14:textId="4B0BF993" w:rsidR="00AB4AE5" w:rsidRPr="00614FCF" w:rsidRDefault="00AB4AE5" w:rsidP="00E042F7">
            <w:pPr>
              <w:rPr>
                <w:rFonts w:asciiTheme="majorHAnsi" w:hAnsiTheme="majorHAnsi" w:cstheme="majorHAnsi"/>
                <w:b/>
                <w:bCs/>
              </w:rPr>
            </w:pPr>
            <w:r w:rsidRPr="00614FCF">
              <w:rPr>
                <w:rFonts w:asciiTheme="majorHAnsi" w:hAnsiTheme="majorHAnsi" w:cstheme="majorHAnsi"/>
                <w:b/>
                <w:bCs/>
                <w:iCs/>
              </w:rPr>
              <w:lastRenderedPageBreak/>
              <w:t>Figure A.</w:t>
            </w:r>
            <w:r w:rsidR="006F3820">
              <w:rPr>
                <w:rFonts w:asciiTheme="majorHAnsi" w:hAnsiTheme="majorHAnsi" w:cstheme="majorHAnsi"/>
                <w:b/>
                <w:bCs/>
                <w:iCs/>
              </w:rPr>
              <w:t>2</w:t>
            </w:r>
            <w:r w:rsidRPr="00614FCF">
              <w:rPr>
                <w:rFonts w:asciiTheme="majorHAnsi" w:hAnsiTheme="majorHAnsi" w:cstheme="majorHAnsi"/>
                <w:b/>
                <w:bCs/>
                <w:iCs/>
              </w:rPr>
              <w:t>.</w:t>
            </w:r>
            <w:r w:rsidR="006F3820">
              <w:rPr>
                <w:rFonts w:asciiTheme="majorHAnsi" w:hAnsiTheme="majorHAnsi" w:cstheme="majorHAnsi"/>
                <w:b/>
                <w:bCs/>
                <w:iCs/>
              </w:rPr>
              <w:t>16</w:t>
            </w:r>
            <w:r w:rsidRPr="00614FCF">
              <w:rPr>
                <w:rFonts w:asciiTheme="majorHAnsi" w:hAnsiTheme="majorHAnsi" w:cstheme="majorHAnsi"/>
                <w:b/>
                <w:bCs/>
                <w:iCs/>
              </w:rPr>
              <w:t xml:space="preserve"> </w:t>
            </w:r>
            <w:proofErr w:type="gramStart"/>
            <w:r w:rsidRPr="00614FCF">
              <w:rPr>
                <w:rFonts w:asciiTheme="majorHAnsi" w:hAnsiTheme="majorHAnsi" w:cstheme="majorHAnsi"/>
                <w:b/>
                <w:bCs/>
              </w:rPr>
              <w:t>Billion</w:t>
            </w:r>
            <w:proofErr w:type="gramEnd"/>
            <w:r w:rsidRPr="00614FCF">
              <w:rPr>
                <w:rFonts w:asciiTheme="majorHAnsi" w:hAnsiTheme="majorHAnsi" w:cstheme="majorHAnsi"/>
                <w:b/>
                <w:bCs/>
              </w:rPr>
              <w:t xml:space="preserve"> floating point operations per second </w:t>
            </w:r>
          </w:p>
        </w:tc>
        <w:tc>
          <w:tcPr>
            <w:tcW w:w="5403" w:type="dxa"/>
          </w:tcPr>
          <w:p w14:paraId="7291FB4D" w14:textId="31519871" w:rsidR="00AB4AE5" w:rsidRPr="00614FCF" w:rsidRDefault="00AB4AE5" w:rsidP="00E042F7">
            <w:pPr>
              <w:rPr>
                <w:rStyle w:val="CommentReference"/>
                <w:rFonts w:asciiTheme="majorHAnsi" w:hAnsiTheme="majorHAnsi" w:cstheme="majorHAnsi"/>
                <w:b/>
                <w:bCs/>
                <w:sz w:val="22"/>
                <w:szCs w:val="22"/>
              </w:rPr>
            </w:pPr>
            <w:r w:rsidRPr="00614FCF">
              <w:rPr>
                <w:rFonts w:asciiTheme="majorHAnsi" w:hAnsiTheme="majorHAnsi" w:cstheme="majorHAnsi"/>
                <w:b/>
                <w:bCs/>
                <w:iCs/>
              </w:rPr>
              <w:t>Figure A.</w:t>
            </w:r>
            <w:r w:rsidR="006F3820">
              <w:rPr>
                <w:rFonts w:asciiTheme="majorHAnsi" w:hAnsiTheme="majorHAnsi" w:cstheme="majorHAnsi"/>
                <w:b/>
                <w:bCs/>
                <w:iCs/>
              </w:rPr>
              <w:t>2</w:t>
            </w:r>
            <w:r w:rsidRPr="00614FCF">
              <w:rPr>
                <w:rFonts w:asciiTheme="majorHAnsi" w:hAnsiTheme="majorHAnsi" w:cstheme="majorHAnsi"/>
                <w:b/>
                <w:bCs/>
                <w:iCs/>
              </w:rPr>
              <w:t>.</w:t>
            </w:r>
            <w:r w:rsidR="006F3820">
              <w:rPr>
                <w:rFonts w:asciiTheme="majorHAnsi" w:hAnsiTheme="majorHAnsi" w:cstheme="majorHAnsi"/>
                <w:b/>
                <w:bCs/>
                <w:iCs/>
              </w:rPr>
              <w:t>17</w:t>
            </w:r>
            <w:r w:rsidRPr="00614FCF">
              <w:rPr>
                <w:rStyle w:val="CommentReference"/>
                <w:rFonts w:asciiTheme="majorHAnsi" w:hAnsiTheme="majorHAnsi" w:cstheme="majorHAnsi"/>
                <w:b/>
                <w:bCs/>
                <w:sz w:val="22"/>
                <w:szCs w:val="22"/>
              </w:rPr>
              <w:t xml:space="preserve"> Paris Agreement 1.5 Celsius compatible benchmarks </w:t>
            </w:r>
          </w:p>
        </w:tc>
      </w:tr>
      <w:tr w:rsidR="00AB4AE5" w:rsidRPr="00C232D4" w14:paraId="251EBB57" w14:textId="77777777" w:rsidTr="00E042F7">
        <w:trPr>
          <w:trHeight w:val="3248"/>
        </w:trPr>
        <w:tc>
          <w:tcPr>
            <w:tcW w:w="5222" w:type="dxa"/>
          </w:tcPr>
          <w:p w14:paraId="157B3B23" w14:textId="77777777" w:rsidR="00AB4AE5" w:rsidRPr="00C232D4" w:rsidRDefault="00AB4AE5" w:rsidP="00E042F7">
            <w:pPr>
              <w:rPr>
                <w:rFonts w:asciiTheme="majorHAnsi" w:hAnsiTheme="majorHAnsi" w:cstheme="majorHAnsi"/>
                <w:color w:val="0F243E" w:themeColor="text2" w:themeShade="80"/>
              </w:rPr>
            </w:pPr>
            <w:r w:rsidRPr="00C232D4">
              <w:rPr>
                <w:rFonts w:asciiTheme="majorHAnsi" w:hAnsiTheme="majorHAnsi" w:cstheme="majorHAnsi"/>
                <w:b/>
                <w:bCs/>
                <w:noProof/>
                <w:color w:val="0F243E" w:themeColor="text2" w:themeShade="80"/>
                <w:lang w:val="en-GB" w:eastAsia="en-GB"/>
              </w:rPr>
              <w:drawing>
                <wp:inline distT="0" distB="0" distL="0" distR="0" wp14:anchorId="709A1848" wp14:editId="62A26B6E">
                  <wp:extent cx="3124802" cy="2286000"/>
                  <wp:effectExtent l="0" t="0" r="0" b="0"/>
                  <wp:docPr id="2126889570" name="Picture 212688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4802" cy="2286000"/>
                          </a:xfrm>
                          <a:prstGeom prst="rect">
                            <a:avLst/>
                          </a:prstGeom>
                          <a:noFill/>
                          <a:ln>
                            <a:noFill/>
                          </a:ln>
                        </pic:spPr>
                      </pic:pic>
                    </a:graphicData>
                  </a:graphic>
                </wp:inline>
              </w:drawing>
            </w:r>
          </w:p>
        </w:tc>
        <w:tc>
          <w:tcPr>
            <w:tcW w:w="5403" w:type="dxa"/>
          </w:tcPr>
          <w:p w14:paraId="33986EE7" w14:textId="77777777" w:rsidR="00AB4AE5" w:rsidRPr="00C232D4" w:rsidRDefault="00AB4AE5" w:rsidP="00E042F7">
            <w:pPr>
              <w:rPr>
                <w:rStyle w:val="CommentReference"/>
                <w:rFonts w:asciiTheme="majorHAnsi" w:hAnsiTheme="majorHAnsi" w:cstheme="majorHAnsi"/>
                <w:color w:val="0F243E" w:themeColor="text2" w:themeShade="80"/>
                <w:sz w:val="22"/>
                <w:szCs w:val="22"/>
              </w:rPr>
            </w:pPr>
            <w:r w:rsidRPr="00C232D4">
              <w:rPr>
                <w:rFonts w:asciiTheme="majorHAnsi" w:hAnsiTheme="majorHAnsi" w:cstheme="majorHAnsi"/>
                <w:noProof/>
                <w:color w:val="0F243E" w:themeColor="text2" w:themeShade="80"/>
                <w:lang w:val="en-GB" w:eastAsia="en-GB"/>
              </w:rPr>
              <w:drawing>
                <wp:inline distT="0" distB="0" distL="0" distR="0" wp14:anchorId="0C003CBF" wp14:editId="00272071">
                  <wp:extent cx="3292417" cy="2286000"/>
                  <wp:effectExtent l="0" t="0" r="3810" b="0"/>
                  <wp:docPr id="738903020" name="Picture 738903020" descr="A graph of a graph showing the amount of carbon diox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03020" name="Picture 738903020" descr="A graph of a graph showing the amount of carbon dioxide&#10;&#10;Description automatically generated"/>
                          <pic:cNvPicPr/>
                        </pic:nvPicPr>
                        <pic:blipFill>
                          <a:blip r:embed="rId44"/>
                          <a:stretch>
                            <a:fillRect/>
                          </a:stretch>
                        </pic:blipFill>
                        <pic:spPr>
                          <a:xfrm>
                            <a:off x="0" y="0"/>
                            <a:ext cx="3292417" cy="2286000"/>
                          </a:xfrm>
                          <a:prstGeom prst="rect">
                            <a:avLst/>
                          </a:prstGeom>
                        </pic:spPr>
                      </pic:pic>
                    </a:graphicData>
                  </a:graphic>
                </wp:inline>
              </w:drawing>
            </w:r>
          </w:p>
          <w:p w14:paraId="79E36ECE" w14:textId="77777777" w:rsidR="00AB4AE5" w:rsidRPr="00C232D4" w:rsidRDefault="00AB4AE5" w:rsidP="00E042F7">
            <w:pPr>
              <w:rPr>
                <w:rStyle w:val="CommentReference"/>
                <w:rFonts w:asciiTheme="majorHAnsi" w:hAnsiTheme="majorHAnsi" w:cstheme="majorHAnsi"/>
                <w:color w:val="0F243E" w:themeColor="text2" w:themeShade="80"/>
                <w:sz w:val="22"/>
                <w:szCs w:val="22"/>
              </w:rPr>
            </w:pPr>
          </w:p>
        </w:tc>
      </w:tr>
      <w:tr w:rsidR="00AB4AE5" w:rsidRPr="00C232D4" w14:paraId="0AF6B24D" w14:textId="77777777" w:rsidTr="00E042F7">
        <w:trPr>
          <w:trHeight w:val="467"/>
        </w:trPr>
        <w:tc>
          <w:tcPr>
            <w:tcW w:w="5222" w:type="dxa"/>
          </w:tcPr>
          <w:p w14:paraId="2705BEAA" w14:textId="77777777" w:rsidR="00AB4AE5" w:rsidRPr="00614FCF" w:rsidRDefault="00AB4AE5" w:rsidP="00E042F7">
            <w:pPr>
              <w:pStyle w:val="Source"/>
              <w:rPr>
                <w:iCs/>
              </w:rPr>
            </w:pPr>
            <w:r w:rsidRPr="00614FCF">
              <w:rPr>
                <w:b/>
                <w:bCs/>
                <w:i/>
              </w:rPr>
              <w:t>Source:</w:t>
            </w:r>
            <w:r w:rsidRPr="00614FCF">
              <w:rPr>
                <w:iCs/>
              </w:rPr>
              <w:t xml:space="preserve"> </w:t>
            </w:r>
            <w:r w:rsidRPr="00614FCF">
              <w:rPr>
                <w:noProof/>
              </w:rPr>
              <w:t>Haver Analytic; World Bank.</w:t>
            </w:r>
          </w:p>
          <w:p w14:paraId="2270533B" w14:textId="77777777" w:rsidR="00AB4AE5" w:rsidRPr="00614FCF" w:rsidRDefault="00AB4AE5" w:rsidP="00E042F7">
            <w:pPr>
              <w:pStyle w:val="Source"/>
              <w:rPr>
                <w:i/>
              </w:rPr>
            </w:pPr>
          </w:p>
        </w:tc>
        <w:tc>
          <w:tcPr>
            <w:tcW w:w="5403" w:type="dxa"/>
          </w:tcPr>
          <w:p w14:paraId="4A35BF3F" w14:textId="77777777" w:rsidR="00AB4AE5" w:rsidRPr="00614FCF" w:rsidRDefault="00AB4AE5" w:rsidP="00E042F7">
            <w:pPr>
              <w:pStyle w:val="Source"/>
              <w:rPr>
                <w:iCs/>
              </w:rPr>
            </w:pPr>
            <w:r w:rsidRPr="00614FCF">
              <w:rPr>
                <w:b/>
                <w:bCs/>
                <w:i/>
              </w:rPr>
              <w:t>Source:</w:t>
            </w:r>
            <w:r w:rsidRPr="00614FCF">
              <w:rPr>
                <w:iCs/>
              </w:rPr>
              <w:t xml:space="preserve"> </w:t>
            </w:r>
            <w:r w:rsidRPr="00614FCF">
              <w:rPr>
                <w:noProof/>
              </w:rPr>
              <w:t xml:space="preserve">Haver Analytic; World Bank; </w:t>
            </w:r>
            <w:hyperlink r:id="rId45">
              <w:r w:rsidRPr="00863D57">
                <w:rPr>
                  <w:rStyle w:val="Hyperlink"/>
                  <w:rFonts w:asciiTheme="majorHAnsi" w:hAnsiTheme="majorHAnsi" w:cstheme="majorHAnsi"/>
                  <w:noProof/>
                  <w:color w:val="595959" w:themeColor="text1" w:themeTint="A6"/>
                  <w:szCs w:val="16"/>
                </w:rPr>
                <w:t>https://climateactiontracker.org/publications/paris-aligned-benchmarks-power-sector/</w:t>
              </w:r>
            </w:hyperlink>
            <w:r w:rsidRPr="00863D57">
              <w:rPr>
                <w:noProof/>
                <w:sz w:val="18"/>
              </w:rPr>
              <w:t xml:space="preserve"> </w:t>
            </w:r>
          </w:p>
        </w:tc>
      </w:tr>
    </w:tbl>
    <w:p w14:paraId="3AE76171" w14:textId="77777777" w:rsidR="00AB4AE5" w:rsidRDefault="00AB4AE5" w:rsidP="00AB4AE5"/>
    <w:tbl>
      <w:tblPr>
        <w:tblStyle w:val="TableGrid"/>
        <w:tblW w:w="1062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25"/>
      </w:tblGrid>
      <w:tr w:rsidR="005E0298" w:rsidRPr="00533E98" w14:paraId="263C596C" w14:textId="77777777" w:rsidTr="00863D57">
        <w:trPr>
          <w:trHeight w:val="226"/>
        </w:trPr>
        <w:tc>
          <w:tcPr>
            <w:tcW w:w="10623" w:type="dxa"/>
          </w:tcPr>
          <w:p w14:paraId="2C121E6D" w14:textId="19ACADC1" w:rsidR="005E0298" w:rsidRPr="00614FCF" w:rsidRDefault="005E0298" w:rsidP="00E042F7">
            <w:pPr>
              <w:rPr>
                <w:rFonts w:asciiTheme="majorHAnsi" w:hAnsiTheme="majorHAnsi" w:cstheme="majorHAnsi"/>
                <w:b/>
                <w:bCs/>
                <w:iCs/>
              </w:rPr>
            </w:pPr>
            <w:bookmarkStart w:id="417" w:name="_Ref149771119"/>
            <w:r w:rsidRPr="00614FCF">
              <w:rPr>
                <w:rFonts w:asciiTheme="majorHAnsi" w:hAnsiTheme="majorHAnsi" w:cstheme="majorHAnsi"/>
                <w:b/>
                <w:bCs/>
                <w:iCs/>
              </w:rPr>
              <w:t>Figure A.</w:t>
            </w:r>
            <w:r>
              <w:rPr>
                <w:rFonts w:asciiTheme="majorHAnsi" w:hAnsiTheme="majorHAnsi" w:cstheme="majorHAnsi"/>
                <w:b/>
                <w:bCs/>
                <w:iCs/>
              </w:rPr>
              <w:t>2</w:t>
            </w:r>
            <w:r w:rsidRPr="00614FCF">
              <w:rPr>
                <w:rFonts w:asciiTheme="majorHAnsi" w:hAnsiTheme="majorHAnsi" w:cstheme="majorHAnsi"/>
                <w:b/>
                <w:bCs/>
                <w:iCs/>
              </w:rPr>
              <w:t>.</w:t>
            </w:r>
            <w:r>
              <w:rPr>
                <w:rFonts w:asciiTheme="majorHAnsi" w:hAnsiTheme="majorHAnsi" w:cstheme="majorHAnsi"/>
                <w:b/>
                <w:bCs/>
                <w:iCs/>
              </w:rPr>
              <w:t>18</w:t>
            </w:r>
            <w:bookmarkEnd w:id="417"/>
            <w:r w:rsidRPr="00614FCF">
              <w:rPr>
                <w:rFonts w:asciiTheme="majorHAnsi" w:hAnsiTheme="majorHAnsi" w:cstheme="majorHAnsi"/>
                <w:b/>
                <w:bCs/>
                <w:iCs/>
              </w:rPr>
              <w:t xml:space="preserve"> Potential growth, baseline scenario</w:t>
            </w:r>
          </w:p>
        </w:tc>
      </w:tr>
      <w:tr w:rsidR="005E0298" w:rsidRPr="00533E98" w14:paraId="09787DC0" w14:textId="77777777" w:rsidTr="00863D57">
        <w:trPr>
          <w:trHeight w:val="226"/>
        </w:trPr>
        <w:tc>
          <w:tcPr>
            <w:tcW w:w="10623" w:type="dxa"/>
          </w:tcPr>
          <w:p w14:paraId="743F462B" w14:textId="77777777" w:rsidR="005E0298" w:rsidRPr="00C232D4" w:rsidRDefault="005E0298" w:rsidP="00863D57">
            <w:pPr>
              <w:rPr>
                <w:rFonts w:asciiTheme="majorHAnsi" w:hAnsiTheme="majorHAnsi" w:cstheme="majorHAnsi"/>
                <w:b/>
                <w:bCs/>
                <w:iCs/>
                <w:color w:val="0F243E" w:themeColor="text2" w:themeShade="80"/>
              </w:rPr>
            </w:pPr>
            <w:r w:rsidRPr="00C232D4">
              <w:rPr>
                <w:rFonts w:asciiTheme="majorHAnsi" w:hAnsiTheme="majorHAnsi" w:cstheme="majorHAnsi"/>
                <w:noProof/>
                <w:color w:val="0F243E" w:themeColor="text2" w:themeShade="80"/>
                <w:lang w:val="en-GB" w:eastAsia="en-GB"/>
              </w:rPr>
              <w:drawing>
                <wp:inline distT="0" distB="0" distL="0" distR="0" wp14:anchorId="2E19EE12" wp14:editId="3D4246F3">
                  <wp:extent cx="5350213" cy="3394507"/>
                  <wp:effectExtent l="0" t="0" r="0" b="0"/>
                  <wp:docPr id="194727703" name="Picture 19472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9387" cy="3425706"/>
                          </a:xfrm>
                          <a:prstGeom prst="rect">
                            <a:avLst/>
                          </a:prstGeom>
                          <a:noFill/>
                          <a:ln>
                            <a:noFill/>
                          </a:ln>
                        </pic:spPr>
                      </pic:pic>
                    </a:graphicData>
                  </a:graphic>
                </wp:inline>
              </w:drawing>
            </w:r>
          </w:p>
        </w:tc>
      </w:tr>
      <w:tr w:rsidR="00AB4AE5" w:rsidRPr="00C232D4" w14:paraId="14E4F1B8" w14:textId="77777777" w:rsidTr="00863D57">
        <w:trPr>
          <w:trHeight w:val="226"/>
        </w:trPr>
        <w:tc>
          <w:tcPr>
            <w:tcW w:w="10625" w:type="dxa"/>
          </w:tcPr>
          <w:p w14:paraId="6E7CD928" w14:textId="77777777" w:rsidR="00AB4AE5" w:rsidRPr="00BA7715" w:rsidRDefault="00AB4AE5" w:rsidP="00E042F7">
            <w:pPr>
              <w:pStyle w:val="Source"/>
              <w:spacing w:before="40" w:after="40"/>
            </w:pPr>
            <w:r w:rsidRPr="00614FCF">
              <w:rPr>
                <w:b/>
                <w:bCs/>
                <w:i/>
              </w:rPr>
              <w:t>Source:</w:t>
            </w:r>
            <w:r w:rsidRPr="00BA7715">
              <w:t xml:space="preserve"> Kose and Ohnsorge (2023); World Bank.</w:t>
            </w:r>
          </w:p>
          <w:p w14:paraId="46A3CC64" w14:textId="77777777" w:rsidR="00AB4AE5" w:rsidRPr="00C232D4" w:rsidRDefault="00AB4AE5" w:rsidP="00E042F7">
            <w:pPr>
              <w:pStyle w:val="Source"/>
              <w:rPr>
                <w:noProof/>
                <w:color w:val="0F243E" w:themeColor="text2" w:themeShade="80"/>
              </w:rPr>
            </w:pPr>
            <w:r w:rsidRPr="00614FCF">
              <w:rPr>
                <w:b/>
                <w:bCs/>
                <w:i/>
              </w:rPr>
              <w:t>Note:</w:t>
            </w:r>
            <w:r w:rsidRPr="00BA7715">
              <w:t xml:space="preserve"> EMDE = emerging market and developing economies. ASEAN5 includes Thailand (THA), Indonesia (IDN), Malaysia (MYS), and the Philippines (PHL). The scenarios assume that starting in 2020, countries will repeat their best 10-year performance in social and labor market policies, education and health improvements, and investment growth, see Kose and Ohnsorge (2023). For Thailand, the structural transformation scenario assumes that the share of employment in agriculture will fall by five percentage points over 10 years starting in 2022 and be equally redistributed to the more productive manufacturing and services sector.</w:t>
            </w:r>
          </w:p>
        </w:tc>
      </w:tr>
    </w:tbl>
    <w:p w14:paraId="1531F314" w14:textId="7CBD57E7" w:rsidR="00E11BFD" w:rsidRDefault="00E11BFD" w:rsidP="00E11BFD"/>
    <w:p w14:paraId="7E95BC64" w14:textId="745B6D26" w:rsidR="00E11BFD" w:rsidRDefault="00E11BFD" w:rsidP="007979B4">
      <w:pPr>
        <w:pStyle w:val="Captio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84"/>
        <w:gridCol w:w="4624"/>
      </w:tblGrid>
      <w:tr w:rsidR="00E11BFD" w:rsidRPr="00A258EA" w14:paraId="50BF87C1" w14:textId="77777777" w:rsidTr="00E70718">
        <w:trPr>
          <w:trHeight w:val="20"/>
        </w:trPr>
        <w:tc>
          <w:tcPr>
            <w:tcW w:w="5000" w:type="pct"/>
            <w:gridSpan w:val="3"/>
          </w:tcPr>
          <w:p w14:paraId="4930D3A4" w14:textId="1120C2C1" w:rsidR="00E11BFD" w:rsidRDefault="00E11BFD">
            <w:pPr>
              <w:pStyle w:val="Default"/>
              <w:jc w:val="both"/>
              <w:rPr>
                <w:rFonts w:asciiTheme="majorHAnsi" w:hAnsiTheme="majorHAnsi" w:cstheme="majorHAnsi"/>
                <w:b/>
                <w:sz w:val="22"/>
                <w:szCs w:val="22"/>
              </w:rPr>
            </w:pPr>
            <w:bookmarkStart w:id="418" w:name="_Ref137043122"/>
            <w:bookmarkStart w:id="419" w:name="_Ref149778269"/>
            <w:bookmarkStart w:id="420" w:name="_Toc137547499"/>
            <w:r w:rsidRPr="00863D57">
              <w:rPr>
                <w:rFonts w:asciiTheme="majorHAnsi" w:hAnsiTheme="majorHAnsi" w:cstheme="majorHAnsi"/>
                <w:b/>
                <w:sz w:val="22"/>
                <w:szCs w:val="22"/>
              </w:rPr>
              <w:t xml:space="preserve">Figure </w:t>
            </w:r>
            <w:bookmarkEnd w:id="418"/>
            <w:r w:rsidR="00CE1AF1" w:rsidRPr="00863D57">
              <w:rPr>
                <w:rFonts w:asciiTheme="majorHAnsi" w:hAnsiTheme="majorHAnsi" w:cstheme="majorHAnsi"/>
                <w:b/>
                <w:sz w:val="22"/>
                <w:szCs w:val="22"/>
              </w:rPr>
              <w:t>A.</w:t>
            </w:r>
            <w:r w:rsidR="006F3820" w:rsidRPr="00863D57">
              <w:rPr>
                <w:rFonts w:asciiTheme="majorHAnsi" w:hAnsiTheme="majorHAnsi" w:cstheme="majorHAnsi"/>
                <w:b/>
                <w:sz w:val="22"/>
                <w:szCs w:val="22"/>
              </w:rPr>
              <w:t>2</w:t>
            </w:r>
            <w:r w:rsidR="005A02AF" w:rsidRPr="00863D57">
              <w:rPr>
                <w:rFonts w:asciiTheme="majorHAnsi" w:hAnsiTheme="majorHAnsi" w:cstheme="majorHAnsi"/>
                <w:b/>
                <w:sz w:val="22"/>
                <w:szCs w:val="22"/>
              </w:rPr>
              <w:t>.</w:t>
            </w:r>
            <w:bookmarkEnd w:id="419"/>
            <w:r w:rsidR="006F3820" w:rsidRPr="00863D57">
              <w:rPr>
                <w:rFonts w:asciiTheme="majorHAnsi" w:hAnsiTheme="majorHAnsi" w:cstheme="majorHAnsi"/>
                <w:b/>
                <w:sz w:val="22"/>
                <w:szCs w:val="22"/>
              </w:rPr>
              <w:t xml:space="preserve">19 </w:t>
            </w:r>
            <w:r w:rsidRPr="00863D57">
              <w:rPr>
                <w:rFonts w:asciiTheme="majorHAnsi" w:hAnsiTheme="majorHAnsi" w:cstheme="majorHAnsi"/>
                <w:b/>
                <w:sz w:val="22"/>
                <w:szCs w:val="22"/>
              </w:rPr>
              <w:t>Human capital</w:t>
            </w:r>
            <w:bookmarkEnd w:id="420"/>
          </w:p>
          <w:p w14:paraId="516953C5" w14:textId="4647BD2A" w:rsidR="006D6B1E" w:rsidRPr="006F3820" w:rsidRDefault="006D6B1E">
            <w:pPr>
              <w:pStyle w:val="Default"/>
              <w:jc w:val="both"/>
              <w:rPr>
                <w:rFonts w:asciiTheme="majorHAnsi" w:hAnsiTheme="majorHAnsi" w:cstheme="majorHAnsi"/>
                <w:b/>
                <w:sz w:val="22"/>
                <w:szCs w:val="22"/>
              </w:rPr>
            </w:pPr>
          </w:p>
        </w:tc>
      </w:tr>
      <w:tr w:rsidR="00E11BFD" w:rsidRPr="00A258EA" w14:paraId="6E01BF47" w14:textId="77777777" w:rsidTr="00E70718">
        <w:trPr>
          <w:trHeight w:val="20"/>
        </w:trPr>
        <w:tc>
          <w:tcPr>
            <w:tcW w:w="2489" w:type="pct"/>
          </w:tcPr>
          <w:p w14:paraId="5EC7D320" w14:textId="10EF43AF" w:rsidR="00E11BFD" w:rsidRPr="00A258EA" w:rsidRDefault="00E11BFD" w:rsidP="003D4BEF">
            <w:pPr>
              <w:pStyle w:val="figuredescription"/>
            </w:pPr>
            <w:r w:rsidRPr="00A258EA">
              <w:t xml:space="preserve">A. Learning gap </w:t>
            </w:r>
          </w:p>
        </w:tc>
        <w:tc>
          <w:tcPr>
            <w:tcW w:w="2511" w:type="pct"/>
            <w:gridSpan w:val="2"/>
          </w:tcPr>
          <w:p w14:paraId="32FB4E90" w14:textId="7850CBF3" w:rsidR="00E11BFD" w:rsidRPr="00A258EA" w:rsidRDefault="00E11BFD" w:rsidP="003D4BEF">
            <w:pPr>
              <w:pStyle w:val="figuredescription"/>
            </w:pPr>
            <w:r w:rsidRPr="00A258EA">
              <w:t xml:space="preserve">B. Education completion by consumption quintile </w:t>
            </w:r>
          </w:p>
        </w:tc>
      </w:tr>
      <w:tr w:rsidR="00E11BFD" w:rsidRPr="0088659A" w14:paraId="073C0B0E" w14:textId="77777777" w:rsidTr="00E70718">
        <w:trPr>
          <w:trHeight w:val="20"/>
        </w:trPr>
        <w:tc>
          <w:tcPr>
            <w:tcW w:w="2489" w:type="pct"/>
          </w:tcPr>
          <w:p w14:paraId="5414063F" w14:textId="35AD4408" w:rsidR="00E11BFD" w:rsidRPr="0088659A" w:rsidRDefault="002C1E89" w:rsidP="002C1E89">
            <w:pPr>
              <w:pStyle w:val="Default"/>
              <w:jc w:val="center"/>
              <w:rPr>
                <w:rFonts w:asciiTheme="majorHAnsi" w:hAnsiTheme="majorHAnsi" w:cstheme="majorBidi"/>
                <w:sz w:val="22"/>
                <w:szCs w:val="22"/>
              </w:rPr>
            </w:pPr>
            <w:r w:rsidRPr="008165E2">
              <w:rPr>
                <w:noProof/>
                <w:lang w:val="en-GB" w:eastAsia="en-GB"/>
              </w:rPr>
              <w:drawing>
                <wp:inline distT="0" distB="0" distL="0" distR="0" wp14:anchorId="5317ACD0" wp14:editId="4E4D9375">
                  <wp:extent cx="2870835" cy="22860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0835" cy="2286000"/>
                          </a:xfrm>
                          <a:prstGeom prst="rect">
                            <a:avLst/>
                          </a:prstGeom>
                          <a:noFill/>
                          <a:ln>
                            <a:noFill/>
                          </a:ln>
                        </pic:spPr>
                      </pic:pic>
                    </a:graphicData>
                  </a:graphic>
                </wp:inline>
              </w:drawing>
            </w:r>
          </w:p>
        </w:tc>
        <w:tc>
          <w:tcPr>
            <w:tcW w:w="2511" w:type="pct"/>
            <w:gridSpan w:val="2"/>
          </w:tcPr>
          <w:p w14:paraId="1F4077AE" w14:textId="3F4E8ABF" w:rsidR="00E11BFD" w:rsidRPr="0088659A" w:rsidRDefault="00035EB9" w:rsidP="002D17A3">
            <w:pPr>
              <w:pStyle w:val="Default"/>
              <w:jc w:val="both"/>
              <w:rPr>
                <w:rFonts w:asciiTheme="majorHAnsi" w:hAnsiTheme="majorHAnsi" w:cstheme="majorBidi"/>
                <w:sz w:val="22"/>
                <w:szCs w:val="22"/>
              </w:rPr>
            </w:pPr>
            <w:r>
              <w:rPr>
                <w:noProof/>
                <w:lang w:val="en-GB" w:eastAsia="en-GB"/>
              </w:rPr>
              <w:drawing>
                <wp:inline distT="0" distB="0" distL="0" distR="0" wp14:anchorId="432D8F63" wp14:editId="45E2A62D">
                  <wp:extent cx="2901950" cy="228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1950" cy="2286000"/>
                          </a:xfrm>
                          <a:prstGeom prst="rect">
                            <a:avLst/>
                          </a:prstGeom>
                          <a:noFill/>
                        </pic:spPr>
                      </pic:pic>
                    </a:graphicData>
                  </a:graphic>
                </wp:inline>
              </w:drawing>
            </w:r>
          </w:p>
        </w:tc>
      </w:tr>
      <w:tr w:rsidR="00E11BFD" w:rsidRPr="00F42257" w14:paraId="1BFDED63" w14:textId="77777777" w:rsidTr="00E70718">
        <w:trPr>
          <w:trHeight w:val="290"/>
        </w:trPr>
        <w:tc>
          <w:tcPr>
            <w:tcW w:w="5000" w:type="pct"/>
            <w:gridSpan w:val="3"/>
          </w:tcPr>
          <w:p w14:paraId="2580DE72" w14:textId="4B5E7977" w:rsidR="00E11BFD" w:rsidRPr="00A258EA" w:rsidRDefault="00E11BFD" w:rsidP="003D4BEF">
            <w:pPr>
              <w:pStyle w:val="Source"/>
              <w:spacing w:before="40" w:after="40"/>
            </w:pPr>
            <w:r w:rsidRPr="003D4BEF">
              <w:rPr>
                <w:b/>
                <w:bCs/>
                <w:i/>
              </w:rPr>
              <w:t>Source</w:t>
            </w:r>
            <w:r w:rsidRPr="003D4BEF">
              <w:rPr>
                <w:b/>
                <w:bCs/>
              </w:rPr>
              <w:t>:</w:t>
            </w:r>
            <w:r w:rsidRPr="00A258EA">
              <w:t xml:space="preserve"> World Bank</w:t>
            </w:r>
            <w:r w:rsidR="00DA375C" w:rsidRPr="00A258EA">
              <w:t>;</w:t>
            </w:r>
            <w:r w:rsidRPr="00A258EA">
              <w:t xml:space="preserve"> WDI. </w:t>
            </w:r>
          </w:p>
          <w:p w14:paraId="5BEB0546" w14:textId="77777777" w:rsidR="00E11BFD" w:rsidRDefault="00E11BFD" w:rsidP="003D4BEF">
            <w:pPr>
              <w:pStyle w:val="Source"/>
              <w:rPr>
                <w:rFonts w:ascii="Arial" w:hAnsi="Arial" w:cs="Arial"/>
              </w:rPr>
            </w:pPr>
            <w:r w:rsidRPr="003D4BEF">
              <w:rPr>
                <w:b/>
                <w:bCs/>
                <w:i/>
              </w:rPr>
              <w:t>Note:</w:t>
            </w:r>
            <w:r w:rsidRPr="00A258EA">
              <w:t xml:space="preserve"> A. Learning gap is the difference between the expected years of school and the learning-adjusted years of school. B. Adults aged 24</w:t>
            </w:r>
            <w:r w:rsidR="003F1B1D" w:rsidRPr="00A258EA">
              <w:t>–</w:t>
            </w:r>
            <w:r w:rsidRPr="00A258EA">
              <w:t>26 in 2021.</w:t>
            </w:r>
            <w:r w:rsidRPr="00A258EA">
              <w:rPr>
                <w:rFonts w:ascii="Arial" w:hAnsi="Arial" w:cs="Arial"/>
              </w:rPr>
              <w:t xml:space="preserve"> </w:t>
            </w:r>
          </w:p>
          <w:p w14:paraId="42105AF4" w14:textId="77777777" w:rsidR="00E70718" w:rsidRDefault="00E70718" w:rsidP="003D4BEF">
            <w:pPr>
              <w:pStyle w:val="Source"/>
              <w:rPr>
                <w:rFonts w:ascii="Arial" w:hAnsi="Arial" w:cs="Arial"/>
              </w:rPr>
            </w:pPr>
          </w:p>
          <w:p w14:paraId="5BE28465" w14:textId="576E6B1F" w:rsidR="00E70718" w:rsidRPr="00F42257" w:rsidRDefault="00E70718" w:rsidP="003D4BEF">
            <w:pPr>
              <w:pStyle w:val="Source"/>
              <w:rPr>
                <w:rFonts w:ascii="Arial" w:hAnsi="Arial" w:cs="Arial"/>
                <w:color w:val="404040" w:themeColor="text1" w:themeTint="BF"/>
                <w:szCs w:val="16"/>
              </w:rPr>
            </w:pPr>
          </w:p>
        </w:tc>
      </w:tr>
      <w:tr w:rsidR="00E70718" w:rsidRPr="00E9090B" w14:paraId="5AC8482A" w14:textId="77777777" w:rsidTr="00E70718">
        <w:tc>
          <w:tcPr>
            <w:tcW w:w="2532" w:type="pct"/>
            <w:gridSpan w:val="2"/>
          </w:tcPr>
          <w:p w14:paraId="745A613A" w14:textId="47609097" w:rsidR="00E70718" w:rsidRPr="00863D57" w:rsidRDefault="00E70718">
            <w:pPr>
              <w:pStyle w:val="Figure"/>
              <w:rPr>
                <w:sz w:val="20"/>
              </w:rPr>
            </w:pPr>
            <w:r w:rsidRPr="00E70718">
              <w:t>Figure</w:t>
            </w:r>
            <w:r w:rsidRPr="00863D57">
              <w:rPr>
                <w:sz w:val="20"/>
              </w:rPr>
              <w:t xml:space="preserve"> </w:t>
            </w:r>
            <w:r w:rsidRPr="00E70718">
              <w:t>A.</w:t>
            </w:r>
            <w:r>
              <w:t>2</w:t>
            </w:r>
            <w:r w:rsidRPr="00E70718">
              <w:t>.</w:t>
            </w:r>
            <w:r>
              <w:t>20</w:t>
            </w:r>
            <w:r w:rsidRPr="00E70718">
              <w:t xml:space="preserve"> Thailand’s demographic challenge</w:t>
            </w:r>
          </w:p>
          <w:p w14:paraId="78EEF53B" w14:textId="25FFEE99" w:rsidR="00E70718" w:rsidRPr="00E70718" w:rsidRDefault="00E70718">
            <w:pPr>
              <w:pStyle w:val="Figure"/>
            </w:pPr>
            <w:r w:rsidRPr="00E70718">
              <w:t>Demographic composition and income</w:t>
            </w:r>
          </w:p>
        </w:tc>
        <w:tc>
          <w:tcPr>
            <w:tcW w:w="2468" w:type="pct"/>
          </w:tcPr>
          <w:p w14:paraId="0242E142" w14:textId="3959EE9A" w:rsidR="00E70718" w:rsidRPr="00E9090B" w:rsidRDefault="00E70718">
            <w:pPr>
              <w:pStyle w:val="Figure"/>
            </w:pPr>
            <w:r w:rsidRPr="00E70718">
              <w:t>Figure A.</w:t>
            </w:r>
            <w:r w:rsidR="00830807">
              <w:t>2</w:t>
            </w:r>
            <w:r w:rsidRPr="00E70718">
              <w:t>.</w:t>
            </w:r>
            <w:r w:rsidR="00830807">
              <w:t>21</w:t>
            </w:r>
            <w:r w:rsidRPr="00E70718">
              <w:t xml:space="preserve"> New configuration of East–West Economic Corridor, North–South Economic Corridor, and Southern Economic Corridor</w:t>
            </w:r>
          </w:p>
        </w:tc>
      </w:tr>
      <w:tr w:rsidR="00E70718" w:rsidRPr="00E9090B" w14:paraId="103C98EA" w14:textId="77777777" w:rsidTr="00E70718">
        <w:tc>
          <w:tcPr>
            <w:tcW w:w="2532" w:type="pct"/>
            <w:gridSpan w:val="2"/>
          </w:tcPr>
          <w:p w14:paraId="50854D06" w14:textId="50ADCEB5" w:rsidR="00E70718" w:rsidRPr="00E9090B" w:rsidRDefault="00E70718" w:rsidP="00881EC1">
            <w:r w:rsidRPr="00E64D07">
              <w:rPr>
                <w:noProof/>
                <w:lang w:val="en-GB" w:eastAsia="en-GB"/>
              </w:rPr>
              <w:drawing>
                <wp:anchor distT="0" distB="0" distL="114300" distR="114300" simplePos="0" relativeHeight="251661312" behindDoc="1" locked="0" layoutInCell="1" allowOverlap="1" wp14:anchorId="70830DFA" wp14:editId="19084890">
                  <wp:simplePos x="0" y="0"/>
                  <wp:positionH relativeFrom="column">
                    <wp:posOffset>1270</wp:posOffset>
                  </wp:positionH>
                  <wp:positionV relativeFrom="paragraph">
                    <wp:posOffset>171450</wp:posOffset>
                  </wp:positionV>
                  <wp:extent cx="2828925" cy="2286000"/>
                  <wp:effectExtent l="0" t="0" r="9525" b="0"/>
                  <wp:wrapTight wrapText="bothSides">
                    <wp:wrapPolygon edited="0">
                      <wp:start x="0" y="0"/>
                      <wp:lineTo x="0" y="21420"/>
                      <wp:lineTo x="21527" y="21420"/>
                      <wp:lineTo x="21527" y="0"/>
                      <wp:lineTo x="0" y="0"/>
                    </wp:wrapPolygon>
                  </wp:wrapTight>
                  <wp:docPr id="61" name="Picture 61" descr="A graph of different colored lines&#10;&#10;Description automatically generated">
                    <a:extLst xmlns:a="http://schemas.openxmlformats.org/drawingml/2006/main">
                      <a:ext uri="{FF2B5EF4-FFF2-40B4-BE49-F238E27FC236}">
                        <a16:creationId xmlns:a16="http://schemas.microsoft.com/office/drawing/2014/main" id="{AF8D93F0-D7DE-EF4F-896E-392B91DD01FC}"/>
                      </a:ext>
                    </a:extLst>
                  </wp:docPr>
                  <wp:cNvGraphicFramePr/>
                  <a:graphic xmlns:a="http://schemas.openxmlformats.org/drawingml/2006/main">
                    <a:graphicData uri="http://schemas.openxmlformats.org/drawingml/2006/picture">
                      <pic:pic xmlns:pic="http://schemas.openxmlformats.org/drawingml/2006/picture">
                        <pic:nvPicPr>
                          <pic:cNvPr id="37" name="Picture 37" descr="A graph of different colored lines&#10;&#10;Description automatically generated">
                            <a:extLst>
                              <a:ext uri="{FF2B5EF4-FFF2-40B4-BE49-F238E27FC236}">
                                <a16:creationId xmlns:a16="http://schemas.microsoft.com/office/drawing/2014/main" id="{AF8D93F0-D7DE-EF4F-896E-392B91DD01FC}"/>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8925" cy="2286000"/>
                          </a:xfrm>
                          <a:prstGeom prst="rect">
                            <a:avLst/>
                          </a:prstGeom>
                          <a:noFill/>
                          <a:ln>
                            <a:noFill/>
                          </a:ln>
                        </pic:spPr>
                      </pic:pic>
                    </a:graphicData>
                  </a:graphic>
                </wp:anchor>
              </w:drawing>
            </w:r>
          </w:p>
        </w:tc>
        <w:tc>
          <w:tcPr>
            <w:tcW w:w="2468" w:type="pct"/>
          </w:tcPr>
          <w:p w14:paraId="24E8C0E3" w14:textId="11C0C88D" w:rsidR="00E70718" w:rsidRPr="00E9090B" w:rsidRDefault="00E70718" w:rsidP="00881EC1">
            <w:r>
              <w:rPr>
                <w:noProof/>
                <w:lang w:val="en-GB" w:eastAsia="en-GB"/>
              </w:rPr>
              <w:drawing>
                <wp:inline distT="0" distB="0" distL="0" distR="0" wp14:anchorId="2BDA756F" wp14:editId="746E9A7A">
                  <wp:extent cx="2826139" cy="3000375"/>
                  <wp:effectExtent l="19050" t="19050" r="12700" b="9525"/>
                  <wp:docPr id="2102979040" name="Picture 2102979040" descr="A map of asia with many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sia with many cities&#10;&#10;Description automatically generated"/>
                          <pic:cNvPicPr/>
                        </pic:nvPicPr>
                        <pic:blipFill>
                          <a:blip r:embed="rId50"/>
                          <a:stretch>
                            <a:fillRect/>
                          </a:stretch>
                        </pic:blipFill>
                        <pic:spPr>
                          <a:xfrm>
                            <a:off x="0" y="0"/>
                            <a:ext cx="2853459" cy="3029379"/>
                          </a:xfrm>
                          <a:prstGeom prst="rect">
                            <a:avLst/>
                          </a:prstGeom>
                          <a:ln>
                            <a:solidFill>
                              <a:sysClr val="windowText" lastClr="000000"/>
                            </a:solidFill>
                          </a:ln>
                        </pic:spPr>
                      </pic:pic>
                    </a:graphicData>
                  </a:graphic>
                </wp:inline>
              </w:drawing>
            </w:r>
          </w:p>
        </w:tc>
      </w:tr>
      <w:tr w:rsidR="00E70718" w:rsidRPr="00E9090B" w14:paraId="624643B6" w14:textId="77777777" w:rsidTr="00E70718">
        <w:tc>
          <w:tcPr>
            <w:tcW w:w="2532" w:type="pct"/>
            <w:gridSpan w:val="2"/>
          </w:tcPr>
          <w:p w14:paraId="52A9B51A" w14:textId="77777777" w:rsidR="00E70718" w:rsidRPr="00E70718" w:rsidRDefault="00E70718" w:rsidP="00E70718">
            <w:pPr>
              <w:pStyle w:val="Source"/>
              <w:rPr>
                <w:b/>
                <w:i/>
              </w:rPr>
            </w:pPr>
            <w:r w:rsidRPr="00E70718">
              <w:rPr>
                <w:b/>
                <w:bCs/>
                <w:i/>
                <w:iCs/>
              </w:rPr>
              <w:t>Source:</w:t>
            </w:r>
            <w:r w:rsidRPr="00E70718">
              <w:rPr>
                <w:b/>
                <w:i/>
              </w:rPr>
              <w:t xml:space="preserve"> WDI, UN Population projections, Thailand’s labor force survey.</w:t>
            </w:r>
          </w:p>
          <w:p w14:paraId="37DCB49A" w14:textId="77777777" w:rsidR="00E70718" w:rsidRPr="00C65E50" w:rsidRDefault="00E70718">
            <w:pPr>
              <w:pStyle w:val="Source"/>
            </w:pPr>
          </w:p>
        </w:tc>
        <w:tc>
          <w:tcPr>
            <w:tcW w:w="2468" w:type="pct"/>
          </w:tcPr>
          <w:p w14:paraId="5DFFCD46" w14:textId="77777777" w:rsidR="00E70718" w:rsidRPr="00E70718" w:rsidRDefault="00E70718" w:rsidP="00E70718">
            <w:pPr>
              <w:pStyle w:val="Source"/>
              <w:rPr>
                <w:b/>
                <w:i/>
                <w:iCs/>
              </w:rPr>
            </w:pPr>
            <w:r w:rsidRPr="00E70718">
              <w:rPr>
                <w:b/>
                <w:bCs/>
                <w:i/>
                <w:iCs/>
              </w:rPr>
              <w:t>Source:</w:t>
            </w:r>
            <w:r w:rsidRPr="00E70718">
              <w:rPr>
                <w:b/>
                <w:i/>
                <w:iCs/>
              </w:rPr>
              <w:t xml:space="preserve"> ADB, 2018.</w:t>
            </w:r>
          </w:p>
          <w:p w14:paraId="29093BC2" w14:textId="57A131C9" w:rsidR="00E70718" w:rsidRPr="00C65E50" w:rsidRDefault="00E70718" w:rsidP="00881EC1">
            <w:pPr>
              <w:pStyle w:val="Source"/>
            </w:pPr>
          </w:p>
        </w:tc>
      </w:tr>
    </w:tbl>
    <w:p w14:paraId="224A6EC3" w14:textId="015B9165" w:rsidR="00E70718" w:rsidRDefault="00931D6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tblGrid>
      <w:tr w:rsidR="00C56A4A" w:rsidRPr="0080339F" w14:paraId="30DF8C4B" w14:textId="77777777" w:rsidTr="74B08620">
        <w:tc>
          <w:tcPr>
            <w:tcW w:w="6205" w:type="dxa"/>
          </w:tcPr>
          <w:p w14:paraId="7737C077" w14:textId="547F0E65" w:rsidR="00C56A4A" w:rsidRPr="0080339F" w:rsidRDefault="006521E7">
            <w:pPr>
              <w:rPr>
                <w:rFonts w:asciiTheme="majorHAnsi" w:hAnsiTheme="majorHAnsi" w:cstheme="majorHAnsi"/>
                <w:b/>
                <w:bCs/>
              </w:rPr>
            </w:pPr>
            <w:r w:rsidRPr="0080339F">
              <w:rPr>
                <w:rFonts w:asciiTheme="majorHAnsi" w:hAnsiTheme="majorHAnsi" w:cstheme="majorHAnsi"/>
                <w:b/>
                <w:bCs/>
              </w:rPr>
              <w:lastRenderedPageBreak/>
              <w:t>Figure A.</w:t>
            </w:r>
            <w:r w:rsidR="00830807">
              <w:rPr>
                <w:rFonts w:asciiTheme="majorHAnsi" w:hAnsiTheme="majorHAnsi" w:cstheme="majorHAnsi"/>
                <w:b/>
                <w:bCs/>
              </w:rPr>
              <w:t>2</w:t>
            </w:r>
            <w:r w:rsidR="005A02AF" w:rsidRPr="0080339F">
              <w:rPr>
                <w:rFonts w:asciiTheme="majorHAnsi" w:hAnsiTheme="majorHAnsi" w:cstheme="majorHAnsi"/>
                <w:b/>
                <w:bCs/>
              </w:rPr>
              <w:t>.</w:t>
            </w:r>
            <w:r w:rsidR="00830807">
              <w:rPr>
                <w:rFonts w:asciiTheme="majorHAnsi" w:hAnsiTheme="majorHAnsi" w:cstheme="majorHAnsi"/>
                <w:b/>
                <w:bCs/>
              </w:rPr>
              <w:t>22</w:t>
            </w:r>
            <w:r w:rsidR="00830807" w:rsidRPr="0080339F">
              <w:rPr>
                <w:rFonts w:asciiTheme="majorHAnsi" w:hAnsiTheme="majorHAnsi" w:cstheme="majorHAnsi"/>
                <w:b/>
                <w:bCs/>
              </w:rPr>
              <w:t xml:space="preserve"> </w:t>
            </w:r>
            <w:r w:rsidRPr="0080339F">
              <w:rPr>
                <w:rFonts w:asciiTheme="majorHAnsi" w:hAnsiTheme="majorHAnsi" w:cstheme="majorHAnsi"/>
                <w:b/>
                <w:bCs/>
              </w:rPr>
              <w:t>Digital skills (global ranking)</w:t>
            </w:r>
          </w:p>
        </w:tc>
      </w:tr>
      <w:tr w:rsidR="00C56A4A" w14:paraId="61F93D3C" w14:textId="77777777" w:rsidTr="74B08620">
        <w:tc>
          <w:tcPr>
            <w:tcW w:w="6205" w:type="dxa"/>
          </w:tcPr>
          <w:p w14:paraId="0B15E4DA" w14:textId="404FD6A5" w:rsidR="00C56A4A" w:rsidRDefault="0080339F" w:rsidP="00E11BFD">
            <w:pPr>
              <w:rPr>
                <w:lang w:val="es-CO"/>
              </w:rPr>
            </w:pPr>
            <w:r w:rsidRPr="005649FF">
              <w:rPr>
                <w:noProof/>
                <w:lang w:val="en-GB" w:eastAsia="en-GB"/>
              </w:rPr>
              <w:drawing>
                <wp:inline distT="0" distB="0" distL="0" distR="0" wp14:anchorId="51EA4DBC" wp14:editId="24B4FE50">
                  <wp:extent cx="2943225" cy="2286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3225" cy="2286000"/>
                          </a:xfrm>
                          <a:prstGeom prst="rect">
                            <a:avLst/>
                          </a:prstGeom>
                          <a:noFill/>
                          <a:ln>
                            <a:noFill/>
                          </a:ln>
                        </pic:spPr>
                      </pic:pic>
                    </a:graphicData>
                  </a:graphic>
                </wp:inline>
              </w:drawing>
            </w:r>
          </w:p>
        </w:tc>
      </w:tr>
      <w:tr w:rsidR="00C56A4A" w:rsidRPr="0080339F" w14:paraId="2402A482" w14:textId="77777777" w:rsidTr="00340177">
        <w:trPr>
          <w:trHeight w:val="243"/>
        </w:trPr>
        <w:tc>
          <w:tcPr>
            <w:tcW w:w="6205" w:type="dxa"/>
          </w:tcPr>
          <w:p w14:paraId="31AF0FEC" w14:textId="68AEE00D" w:rsidR="00C56A4A" w:rsidRPr="0080339F" w:rsidRDefault="008A3A64" w:rsidP="00B31019">
            <w:pPr>
              <w:pStyle w:val="Source"/>
            </w:pPr>
            <w:r w:rsidRPr="00B31019">
              <w:rPr>
                <w:b/>
                <w:bCs/>
                <w:i/>
                <w:iCs/>
              </w:rPr>
              <w:t>Source</w:t>
            </w:r>
            <w:r w:rsidR="00F90A70" w:rsidRPr="00B31019">
              <w:rPr>
                <w:b/>
                <w:bCs/>
                <w:i/>
                <w:iCs/>
              </w:rPr>
              <w:t>:</w:t>
            </w:r>
            <w:r w:rsidRPr="0080339F">
              <w:t xml:space="preserve"> World Bank Open Data.</w:t>
            </w:r>
          </w:p>
        </w:tc>
      </w:tr>
    </w:tbl>
    <w:p w14:paraId="44D022C7" w14:textId="77777777" w:rsidR="00C56A4A" w:rsidRPr="0083533C" w:rsidRDefault="00C56A4A" w:rsidP="00E11BFD"/>
    <w:p w14:paraId="7469E9A4" w14:textId="77777777" w:rsidR="00484322" w:rsidRDefault="00484322" w:rsidP="00E11BFD">
      <w:pPr>
        <w:rPr>
          <w:lang w:val="es-CO"/>
        </w:rPr>
      </w:pPr>
    </w:p>
    <w:p w14:paraId="451FC620" w14:textId="7C3F02CC" w:rsidR="00E11BFD" w:rsidRDefault="008D3964">
      <w:pPr>
        <w:pStyle w:val="Figure"/>
        <w:rPr>
          <w:rFonts w:cstheme="minorHAnsi"/>
        </w:rPr>
      </w:pPr>
      <w:r>
        <w:tab/>
      </w:r>
    </w:p>
    <w:p w14:paraId="411C18EB" w14:textId="5835E707" w:rsidR="00F90A70" w:rsidRPr="00830807" w:rsidRDefault="00F90A70">
      <w:pPr>
        <w:pStyle w:val="Figure"/>
      </w:pPr>
      <w:r w:rsidRPr="00830807">
        <w:t>Figure A.</w:t>
      </w:r>
      <w:r w:rsidR="00830807" w:rsidRPr="00830807">
        <w:t>2</w:t>
      </w:r>
      <w:r w:rsidR="00CA7160" w:rsidRPr="00830807">
        <w:t>.</w:t>
      </w:r>
      <w:r w:rsidR="00830807" w:rsidRPr="00830807">
        <w:t xml:space="preserve">23 </w:t>
      </w:r>
      <w:r w:rsidRPr="00830807">
        <w:t>Source apportionment of PM2.5 in Bangkok and perimeters</w:t>
      </w:r>
    </w:p>
    <w:p w14:paraId="6DF4C529" w14:textId="77777777" w:rsidR="00F90A70" w:rsidRDefault="00F90A70" w:rsidP="00E11BFD">
      <w:r>
        <w:rPr>
          <w:noProof/>
          <w:lang w:val="en-GB" w:eastAsia="en-GB"/>
        </w:rPr>
        <w:drawing>
          <wp:inline distT="0" distB="0" distL="0" distR="0" wp14:anchorId="4E03102D" wp14:editId="66906EB4">
            <wp:extent cx="4572000" cy="2428875"/>
            <wp:effectExtent l="0" t="0" r="0" b="9525"/>
            <wp:docPr id="4" name="Picture 4" descr="A graph of a graph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14963" name="Picture 284614963" descr="A graph of a graph of a 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623CB545" w14:textId="77777777" w:rsidR="00F90A70" w:rsidRPr="00A36D97" w:rsidRDefault="00F90A70" w:rsidP="00B31019">
      <w:pPr>
        <w:pStyle w:val="Source"/>
      </w:pPr>
      <w:r w:rsidRPr="00B31019">
        <w:rPr>
          <w:b/>
          <w:bCs/>
          <w:i/>
        </w:rPr>
        <w:t>Source:</w:t>
      </w:r>
      <w:r w:rsidRPr="00A36D97">
        <w:t xml:space="preserve"> The Joint Graduate School of Energy and Environment (JGSEE), May 2021.</w:t>
      </w:r>
    </w:p>
    <w:p w14:paraId="0B981202" w14:textId="77777777" w:rsidR="002E45E5" w:rsidRDefault="002E45E5" w:rsidP="00E11BFD"/>
    <w:p w14:paraId="2586C099" w14:textId="77777777" w:rsidR="002E45E5" w:rsidRDefault="002E45E5" w:rsidP="00E11BFD"/>
    <w:p w14:paraId="0307CD8A" w14:textId="77777777" w:rsidR="001544FE" w:rsidRDefault="001544FE" w:rsidP="00E11BFD"/>
    <w:p w14:paraId="05C7FA43" w14:textId="77777777" w:rsidR="001544FE" w:rsidRDefault="001544FE" w:rsidP="00E11BFD"/>
    <w:p w14:paraId="61DE701A" w14:textId="77777777" w:rsidR="001544FE" w:rsidRDefault="001544FE" w:rsidP="00E11BFD"/>
    <w:p w14:paraId="7B1BD283" w14:textId="77777777" w:rsidR="001544FE" w:rsidRDefault="001544FE" w:rsidP="00E11BFD"/>
    <w:p w14:paraId="5876C074" w14:textId="77777777" w:rsidR="00EE4C4F" w:rsidRDefault="00EE4C4F" w:rsidP="00E11B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4608"/>
      </w:tblGrid>
      <w:tr w:rsidR="00E11BFD" w:rsidRPr="00520CB6" w14:paraId="622F7A6B" w14:textId="77777777" w:rsidTr="002D17A3">
        <w:trPr>
          <w:trHeight w:val="300"/>
        </w:trPr>
        <w:tc>
          <w:tcPr>
            <w:tcW w:w="9216" w:type="dxa"/>
            <w:gridSpan w:val="2"/>
            <w:tcMar>
              <w:left w:w="105" w:type="dxa"/>
              <w:right w:w="105" w:type="dxa"/>
            </w:tcMar>
          </w:tcPr>
          <w:p w14:paraId="21672626" w14:textId="6907DD44" w:rsidR="002A7CBF" w:rsidRPr="00520CB6" w:rsidRDefault="00E11BFD">
            <w:pPr>
              <w:pStyle w:val="Figure"/>
            </w:pPr>
            <w:bookmarkStart w:id="421" w:name="_Toc137547504"/>
            <w:r w:rsidRPr="007B5A4C">
              <w:t xml:space="preserve">Figure </w:t>
            </w:r>
            <w:bookmarkEnd w:id="421"/>
            <w:r w:rsidR="00A52E87">
              <w:t>A.</w:t>
            </w:r>
            <w:r w:rsidR="006D6B1E">
              <w:t>2</w:t>
            </w:r>
            <w:r w:rsidR="00CA7160" w:rsidRPr="00CA7160">
              <w:t>.</w:t>
            </w:r>
            <w:r w:rsidR="006D6B1E">
              <w:t>24</w:t>
            </w:r>
            <w:r w:rsidRPr="007B5A4C">
              <w:t xml:space="preserve"> </w:t>
            </w:r>
            <w:r w:rsidR="002A7CBF">
              <w:t>Air quality in Thailand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0"/>
              <w:gridCol w:w="4516"/>
            </w:tblGrid>
            <w:tr w:rsidR="002A7CBF" w:rsidRPr="00520CB6" w14:paraId="300663CE" w14:textId="77777777" w:rsidTr="002A42F0">
              <w:tc>
                <w:tcPr>
                  <w:tcW w:w="4480" w:type="dxa"/>
                </w:tcPr>
                <w:p w14:paraId="0B8022D9" w14:textId="3E1DC817" w:rsidR="002A7CBF" w:rsidRPr="00B31019" w:rsidRDefault="002A7CBF" w:rsidP="00B31019">
                  <w:pPr>
                    <w:pStyle w:val="figuredescription"/>
                  </w:pPr>
                  <w:r w:rsidRPr="00B31019">
                    <w:t>A. Thailand’s air quality is deteriorating due to transport emissions and forest fires</w:t>
                  </w:r>
                </w:p>
              </w:tc>
              <w:tc>
                <w:tcPr>
                  <w:tcW w:w="4516" w:type="dxa"/>
                </w:tcPr>
                <w:p w14:paraId="4DC59588" w14:textId="1A479142" w:rsidR="002A7CBF" w:rsidRPr="00B31019" w:rsidRDefault="002A7CBF" w:rsidP="00B31019">
                  <w:pPr>
                    <w:pStyle w:val="figuredescription"/>
                  </w:pPr>
                  <w:r w:rsidRPr="00B31019">
                    <w:t>B. Forest fire hotspots in the Northeast of Thailand by area</w:t>
                  </w:r>
                  <w:r w:rsidR="00836A49" w:rsidRPr="00B31019">
                    <w:t xml:space="preserve"> (2022)</w:t>
                  </w:r>
                </w:p>
              </w:tc>
            </w:tr>
          </w:tbl>
          <w:p w14:paraId="3B73BD3C" w14:textId="4A48E96E" w:rsidR="00E11BFD" w:rsidRPr="00520CB6" w:rsidRDefault="00E11BFD" w:rsidP="002D17A3">
            <w:pPr>
              <w:spacing w:line="259" w:lineRule="auto"/>
              <w:rPr>
                <w:rFonts w:ascii="Arial" w:eastAsia="Arial" w:hAnsi="Arial" w:cs="Arial"/>
                <w:b/>
                <w:color w:val="000000" w:themeColor="text1"/>
                <w:sz w:val="18"/>
                <w:szCs w:val="18"/>
              </w:rPr>
            </w:pPr>
          </w:p>
        </w:tc>
      </w:tr>
      <w:tr w:rsidR="00E11BFD" w14:paraId="6A540739" w14:textId="77777777" w:rsidTr="00C76B0E">
        <w:trPr>
          <w:trHeight w:val="3930"/>
        </w:trPr>
        <w:tc>
          <w:tcPr>
            <w:tcW w:w="4608" w:type="dxa"/>
            <w:tcMar>
              <w:left w:w="105" w:type="dxa"/>
              <w:right w:w="105" w:type="dxa"/>
            </w:tcMar>
          </w:tcPr>
          <w:p w14:paraId="1A2EF313" w14:textId="77777777" w:rsidR="00227FEE" w:rsidRDefault="00227FEE" w:rsidP="002D17A3">
            <w:pPr>
              <w:rPr>
                <w:noProof/>
                <w:lang w:val="en-GB" w:eastAsia="en-GB"/>
              </w:rPr>
            </w:pPr>
            <w:r>
              <w:rPr>
                <w:noProof/>
                <w:lang w:val="en-GB" w:eastAsia="en-GB"/>
              </w:rPr>
              <w:drawing>
                <wp:inline distT="0" distB="0" distL="0" distR="0" wp14:anchorId="1385F148" wp14:editId="44A37B01">
                  <wp:extent cx="2857500" cy="2505075"/>
                  <wp:effectExtent l="0" t="0" r="0" b="9525"/>
                  <wp:docPr id="1646503458" name="Picture 1646503458" descr="A map of the world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458" name="Picture 1646503458" descr="A map of the world with different colored circl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861848" cy="2508887"/>
                          </a:xfrm>
                          <a:prstGeom prst="rect">
                            <a:avLst/>
                          </a:prstGeom>
                        </pic:spPr>
                      </pic:pic>
                    </a:graphicData>
                  </a:graphic>
                </wp:inline>
              </w:drawing>
            </w:r>
          </w:p>
        </w:tc>
        <w:tc>
          <w:tcPr>
            <w:tcW w:w="4608" w:type="dxa"/>
          </w:tcPr>
          <w:p w14:paraId="5278409F" w14:textId="6DA2D171" w:rsidR="00E11BFD" w:rsidRDefault="00227FEE" w:rsidP="002D17A3">
            <w:pPr>
              <w:spacing w:line="259" w:lineRule="auto"/>
            </w:pPr>
            <w:r>
              <w:rPr>
                <w:noProof/>
                <w:lang w:val="en-GB" w:eastAsia="en-GB"/>
              </w:rPr>
              <w:drawing>
                <wp:inline distT="0" distB="0" distL="0" distR="0" wp14:anchorId="1A49D477" wp14:editId="017AA4E3">
                  <wp:extent cx="2819400" cy="2543175"/>
                  <wp:effectExtent l="0" t="0" r="0" b="9525"/>
                  <wp:docPr id="310450508" name="Picture 310450508"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9653" name="Picture 921409653" descr="A pie chart with numbers and 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8728" cy="2587670"/>
                          </a:xfrm>
                          <a:prstGeom prst="rect">
                            <a:avLst/>
                          </a:prstGeom>
                        </pic:spPr>
                      </pic:pic>
                    </a:graphicData>
                  </a:graphic>
                </wp:inline>
              </w:drawing>
            </w:r>
          </w:p>
        </w:tc>
      </w:tr>
      <w:tr w:rsidR="00E11BFD" w:rsidRPr="00A36D97" w14:paraId="621C4365" w14:textId="77777777" w:rsidTr="002D17A3">
        <w:trPr>
          <w:trHeight w:val="30"/>
        </w:trPr>
        <w:tc>
          <w:tcPr>
            <w:tcW w:w="9216" w:type="dxa"/>
            <w:gridSpan w:val="2"/>
            <w:tcMar>
              <w:left w:w="105" w:type="dxa"/>
              <w:right w:w="105" w:type="dxa"/>
            </w:tcMar>
          </w:tcPr>
          <w:p w14:paraId="34A61264" w14:textId="13AA1F4C" w:rsidR="00E11BFD" w:rsidRPr="00A36D97" w:rsidRDefault="00E11BFD" w:rsidP="00B31019">
            <w:pPr>
              <w:pStyle w:val="Source"/>
            </w:pPr>
            <w:r w:rsidRPr="00B31019">
              <w:rPr>
                <w:b/>
                <w:bCs/>
                <w:i/>
              </w:rPr>
              <w:t>Source:</w:t>
            </w:r>
            <w:r w:rsidRPr="00B31019">
              <w:rPr>
                <w:b/>
                <w:bCs/>
              </w:rPr>
              <w:t xml:space="preserve"> </w:t>
            </w:r>
            <w:r w:rsidRPr="00A36D97">
              <w:t>Climate Central Inc. as of 2022, and Forest Fire and Haze Situation by Geospatial Technology in 2022 by Geo-Informatics and Space Technology Development Agency (GISTDA).</w:t>
            </w:r>
          </w:p>
        </w:tc>
      </w:tr>
    </w:tbl>
    <w:p w14:paraId="715254F4" w14:textId="32CC375A" w:rsidR="00E11BFD" w:rsidRDefault="00E11BFD" w:rsidP="00E11BFD"/>
    <w:tbl>
      <w:tblPr>
        <w:tblStyle w:val="TableGrid"/>
        <w:tblW w:w="5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tblGrid>
      <w:tr w:rsidR="00E11BFD" w:rsidRPr="00782F29" w14:paraId="40D566A7" w14:textId="77777777" w:rsidTr="00D6081F">
        <w:trPr>
          <w:trHeight w:val="300"/>
        </w:trPr>
        <w:tc>
          <w:tcPr>
            <w:tcW w:w="5145" w:type="dxa"/>
          </w:tcPr>
          <w:p w14:paraId="7E91F79E" w14:textId="09F52345" w:rsidR="00E11BFD" w:rsidRPr="00782F29" w:rsidRDefault="00E11BFD">
            <w:pPr>
              <w:pStyle w:val="Figure"/>
            </w:pPr>
            <w:bookmarkStart w:id="422" w:name="_Ref137043936"/>
            <w:bookmarkStart w:id="423" w:name="_Toc137547505"/>
            <w:r w:rsidRPr="00782F29">
              <w:t>Figure</w:t>
            </w:r>
            <w:bookmarkEnd w:id="422"/>
            <w:r w:rsidR="0007164E">
              <w:t xml:space="preserve"> A.</w:t>
            </w:r>
            <w:r w:rsidR="006D6B1E">
              <w:t>2</w:t>
            </w:r>
            <w:r w:rsidR="00CA7160" w:rsidRPr="00CA7160">
              <w:t>.</w:t>
            </w:r>
            <w:r w:rsidR="006D6B1E">
              <w:t>25</w:t>
            </w:r>
            <w:r w:rsidRPr="00782F29">
              <w:t xml:space="preserve"> Potential loss of Thai GDP from future floods </w:t>
            </w:r>
            <w:bookmarkEnd w:id="423"/>
            <w:r w:rsidRPr="00782F29">
              <w:t>(</w:t>
            </w:r>
            <w:r w:rsidR="00A20F56">
              <w:t>percent</w:t>
            </w:r>
            <w:r w:rsidRPr="00782F29">
              <w:t>)</w:t>
            </w:r>
          </w:p>
        </w:tc>
      </w:tr>
      <w:tr w:rsidR="00E11BFD" w14:paraId="255F7E81" w14:textId="77777777" w:rsidTr="00D6081F">
        <w:trPr>
          <w:trHeight w:val="3259"/>
        </w:trPr>
        <w:tc>
          <w:tcPr>
            <w:tcW w:w="5145" w:type="dxa"/>
          </w:tcPr>
          <w:p w14:paraId="55CFF10E" w14:textId="2B08FF21" w:rsidR="00E11BFD" w:rsidRDefault="00E11BFD" w:rsidP="002D17A3">
            <w:pPr>
              <w:pStyle w:val="Default"/>
              <w:spacing w:before="240" w:after="240"/>
              <w:jc w:val="both"/>
              <w:rPr>
                <w:rFonts w:asciiTheme="majorHAnsi" w:eastAsiaTheme="majorEastAsia" w:hAnsiTheme="majorHAnsi" w:cstheme="majorBidi"/>
              </w:rPr>
            </w:pPr>
            <w:r>
              <w:rPr>
                <w:noProof/>
                <w:lang w:val="en-GB" w:eastAsia="en-GB"/>
              </w:rPr>
              <w:drawing>
                <wp:inline distT="0" distB="0" distL="0" distR="0" wp14:anchorId="1155D515" wp14:editId="7E8560FB">
                  <wp:extent cx="3129227" cy="1842135"/>
                  <wp:effectExtent l="0" t="0" r="0" b="5715"/>
                  <wp:docPr id="1019064409" name="Picture 1019064409" descr="A white and blue arro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4409" name="Picture 1019064409" descr="A white and blue arrows on a black background&#10;&#10;Description automatically generated"/>
                          <pic:cNvPicPr/>
                        </pic:nvPicPr>
                        <pic:blipFill>
                          <a:blip r:embed="rId55">
                            <a:extLst>
                              <a:ext uri="{28A0092B-C50C-407E-A947-70E740481C1C}">
                                <a14:useLocalDpi xmlns:a14="http://schemas.microsoft.com/office/drawing/2010/main" val="0"/>
                              </a:ext>
                            </a:extLst>
                          </a:blip>
                          <a:srcRect r="9090"/>
                          <a:stretch>
                            <a:fillRect/>
                          </a:stretch>
                        </pic:blipFill>
                        <pic:spPr>
                          <a:xfrm>
                            <a:off x="0" y="0"/>
                            <a:ext cx="3134648" cy="1845326"/>
                          </a:xfrm>
                          <a:prstGeom prst="rect">
                            <a:avLst/>
                          </a:prstGeom>
                        </pic:spPr>
                      </pic:pic>
                    </a:graphicData>
                  </a:graphic>
                </wp:inline>
              </w:drawing>
            </w:r>
          </w:p>
        </w:tc>
      </w:tr>
      <w:tr w:rsidR="00E11BFD" w:rsidRPr="00BA55E0" w14:paraId="7AA8EF60" w14:textId="77777777" w:rsidTr="00D6081F">
        <w:trPr>
          <w:trHeight w:val="870"/>
        </w:trPr>
        <w:tc>
          <w:tcPr>
            <w:tcW w:w="5145" w:type="dxa"/>
          </w:tcPr>
          <w:p w14:paraId="5B84DB3A" w14:textId="467042A7" w:rsidR="00E11BFD" w:rsidRPr="00A36D97" w:rsidRDefault="00E11BFD" w:rsidP="00B31019">
            <w:pPr>
              <w:pStyle w:val="Source"/>
              <w:spacing w:before="40" w:after="40"/>
            </w:pPr>
            <w:r w:rsidRPr="00B31019">
              <w:rPr>
                <w:b/>
                <w:bCs/>
                <w:i/>
              </w:rPr>
              <w:t>Source</w:t>
            </w:r>
            <w:r w:rsidRPr="00B31019">
              <w:rPr>
                <w:b/>
                <w:bCs/>
              </w:rPr>
              <w:t>:</w:t>
            </w:r>
            <w:r w:rsidRPr="00A36D97">
              <w:t xml:space="preserve"> Staff calculations based on MINDSET model data.</w:t>
            </w:r>
          </w:p>
          <w:p w14:paraId="12DB1B09" w14:textId="27FE53CB" w:rsidR="00E11BFD" w:rsidRPr="00BA55E0" w:rsidRDefault="00E11BFD" w:rsidP="00B31019">
            <w:pPr>
              <w:pStyle w:val="Source"/>
            </w:pPr>
            <w:r w:rsidRPr="00B31019">
              <w:rPr>
                <w:b/>
                <w:bCs/>
                <w:i/>
              </w:rPr>
              <w:t>Note</w:t>
            </w:r>
            <w:r w:rsidRPr="00B31019">
              <w:rPr>
                <w:b/>
                <w:bCs/>
              </w:rPr>
              <w:t>:</w:t>
            </w:r>
            <w:r w:rsidRPr="00A36D97">
              <w:t xml:space="preserve"> Supply chain flexibility is measured as length of time companies can keep production uninterrupted in the event of disruption. The range on the chart is zero to six weeks.</w:t>
            </w:r>
          </w:p>
        </w:tc>
      </w:tr>
    </w:tbl>
    <w:p w14:paraId="4F5ECA76" w14:textId="77777777" w:rsidR="00D6081F" w:rsidRDefault="00D6081F">
      <w:r>
        <w:br w:type="page"/>
      </w:r>
    </w:p>
    <w:tbl>
      <w:tblPr>
        <w:tblStyle w:val="TableGrid"/>
        <w:tblW w:w="9734" w:type="dxa"/>
        <w:tblInd w:w="-5" w:type="dxa"/>
        <w:tblLook w:val="04A0" w:firstRow="1" w:lastRow="0" w:firstColumn="1" w:lastColumn="0" w:noHBand="0" w:noVBand="1"/>
      </w:tblPr>
      <w:tblGrid>
        <w:gridCol w:w="5145"/>
        <w:gridCol w:w="4589"/>
      </w:tblGrid>
      <w:tr w:rsidR="002A7CBF" w:rsidRPr="00BA55E0" w14:paraId="180B4A3D" w14:textId="77777777" w:rsidTr="003A39CD">
        <w:trPr>
          <w:trHeight w:val="300"/>
        </w:trPr>
        <w:tc>
          <w:tcPr>
            <w:tcW w:w="9734" w:type="dxa"/>
            <w:gridSpan w:val="2"/>
            <w:tcBorders>
              <w:top w:val="nil"/>
              <w:left w:val="nil"/>
              <w:bottom w:val="nil"/>
              <w:right w:val="nil"/>
            </w:tcBorders>
          </w:tcPr>
          <w:p w14:paraId="33ED95B2" w14:textId="0346D4CF" w:rsidR="002A7CBF" w:rsidRDefault="002A7CBF" w:rsidP="002A7CBF">
            <w:pPr>
              <w:pStyle w:val="Default"/>
              <w:rPr>
                <w:rFonts w:ascii="Arial" w:eastAsiaTheme="majorEastAsia" w:hAnsi="Arial" w:cs="Arial"/>
                <w:b/>
                <w:bCs/>
                <w:sz w:val="18"/>
                <w:szCs w:val="18"/>
              </w:rPr>
            </w:pPr>
          </w:p>
          <w:p w14:paraId="2D93BECB" w14:textId="485FB6C1" w:rsidR="002A7CBF" w:rsidRPr="77F6802F" w:rsidRDefault="002A7CBF">
            <w:pPr>
              <w:pStyle w:val="Figure"/>
            </w:pPr>
            <w:r w:rsidRPr="007B5A4C">
              <w:t xml:space="preserve">Figure </w:t>
            </w:r>
            <w:r w:rsidR="0007164E" w:rsidRPr="007B5A4C">
              <w:t>A.</w:t>
            </w:r>
            <w:r w:rsidR="006D6B1E">
              <w:t>2</w:t>
            </w:r>
            <w:r w:rsidR="00CA7160" w:rsidRPr="00CA7160">
              <w:t>.</w:t>
            </w:r>
            <w:r w:rsidR="006D6B1E">
              <w:t>26</w:t>
            </w:r>
            <w:r w:rsidRPr="007B5A4C">
              <w:t xml:space="preserve"> Coastal erosion and flood risk</w:t>
            </w:r>
          </w:p>
        </w:tc>
      </w:tr>
      <w:tr w:rsidR="00E11BFD" w:rsidRPr="00A36D97" w14:paraId="608A2251" w14:textId="77777777" w:rsidTr="003A39CD">
        <w:trPr>
          <w:trHeight w:val="300"/>
        </w:trPr>
        <w:tc>
          <w:tcPr>
            <w:tcW w:w="5145" w:type="dxa"/>
            <w:tcBorders>
              <w:top w:val="nil"/>
              <w:left w:val="nil"/>
              <w:bottom w:val="nil"/>
              <w:right w:val="nil"/>
            </w:tcBorders>
          </w:tcPr>
          <w:p w14:paraId="19ADD375" w14:textId="73BA4753" w:rsidR="00E11BFD" w:rsidRPr="00B31019" w:rsidRDefault="00B31019" w:rsidP="00B31019">
            <w:pPr>
              <w:pStyle w:val="figuredescription"/>
            </w:pPr>
            <w:r>
              <w:t xml:space="preserve">A. </w:t>
            </w:r>
            <w:r w:rsidR="00E11BFD" w:rsidRPr="00B31019">
              <w:t>Study shows the risk of Bangkok going under water by 2050</w:t>
            </w:r>
          </w:p>
        </w:tc>
        <w:tc>
          <w:tcPr>
            <w:tcW w:w="4589" w:type="dxa"/>
            <w:tcBorders>
              <w:top w:val="nil"/>
              <w:left w:val="nil"/>
              <w:bottom w:val="nil"/>
              <w:right w:val="nil"/>
            </w:tcBorders>
          </w:tcPr>
          <w:p w14:paraId="3C95F94F" w14:textId="09A2C4D9" w:rsidR="00E11BFD" w:rsidRPr="00B31019" w:rsidRDefault="00B31019" w:rsidP="00B31019">
            <w:pPr>
              <w:pStyle w:val="figuredescription"/>
            </w:pPr>
            <w:r>
              <w:t xml:space="preserve">B. </w:t>
            </w:r>
            <w:r w:rsidR="00E11BFD" w:rsidRPr="00B31019">
              <w:t>Coastal erosion in Thailand</w:t>
            </w:r>
          </w:p>
        </w:tc>
      </w:tr>
      <w:tr w:rsidR="00E11BFD" w14:paraId="01204E95" w14:textId="77777777" w:rsidTr="003A39CD">
        <w:tc>
          <w:tcPr>
            <w:tcW w:w="5145" w:type="dxa"/>
            <w:tcBorders>
              <w:top w:val="nil"/>
              <w:left w:val="nil"/>
              <w:bottom w:val="nil"/>
              <w:right w:val="nil"/>
            </w:tcBorders>
          </w:tcPr>
          <w:p w14:paraId="2E53565E" w14:textId="3AF435A0" w:rsidR="00E11BFD" w:rsidRDefault="00E11BFD" w:rsidP="002D17A3">
            <w:pPr>
              <w:pStyle w:val="Default"/>
              <w:spacing w:before="240" w:after="240"/>
              <w:jc w:val="both"/>
              <w:rPr>
                <w:rFonts w:asciiTheme="majorHAnsi" w:hAnsiTheme="majorHAnsi" w:cstheme="majorBidi"/>
                <w:sz w:val="22"/>
                <w:szCs w:val="22"/>
              </w:rPr>
            </w:pPr>
            <w:r>
              <w:rPr>
                <w:noProof/>
                <w:lang w:val="en-GB" w:eastAsia="en-GB"/>
              </w:rPr>
              <w:drawing>
                <wp:inline distT="0" distB="0" distL="0" distR="0" wp14:anchorId="307A064D" wp14:editId="2A92F58D">
                  <wp:extent cx="3124200" cy="2514268"/>
                  <wp:effectExtent l="0" t="0" r="0" b="635"/>
                  <wp:docPr id="2110952456" name="Picture 211095245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52456" name="Picture 2110952456" descr="A map of the worl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131131" cy="2519846"/>
                          </a:xfrm>
                          <a:prstGeom prst="rect">
                            <a:avLst/>
                          </a:prstGeom>
                        </pic:spPr>
                      </pic:pic>
                    </a:graphicData>
                  </a:graphic>
                </wp:inline>
              </w:drawing>
            </w:r>
          </w:p>
        </w:tc>
        <w:tc>
          <w:tcPr>
            <w:tcW w:w="4589" w:type="dxa"/>
            <w:tcBorders>
              <w:top w:val="nil"/>
              <w:left w:val="nil"/>
              <w:bottom w:val="nil"/>
              <w:right w:val="nil"/>
            </w:tcBorders>
          </w:tcPr>
          <w:p w14:paraId="4E251EED" w14:textId="14939EAF" w:rsidR="00E11BFD" w:rsidRDefault="00E11BFD" w:rsidP="002D17A3">
            <w:pPr>
              <w:pStyle w:val="Default"/>
              <w:spacing w:before="240" w:after="240"/>
              <w:jc w:val="both"/>
              <w:rPr>
                <w:rFonts w:asciiTheme="majorHAnsi" w:hAnsiTheme="majorHAnsi" w:cstheme="majorBidi"/>
                <w:sz w:val="22"/>
                <w:szCs w:val="22"/>
                <w:highlight w:val="green"/>
              </w:rPr>
            </w:pPr>
            <w:r>
              <w:rPr>
                <w:noProof/>
                <w:lang w:val="en-GB" w:eastAsia="en-GB"/>
              </w:rPr>
              <w:drawing>
                <wp:inline distT="0" distB="0" distL="0" distR="0" wp14:anchorId="2E4AB486" wp14:editId="7F274562">
                  <wp:extent cx="2714625" cy="2513965"/>
                  <wp:effectExtent l="0" t="0" r="9525" b="635"/>
                  <wp:docPr id="310450519" name="Picture 310450519"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50519" name="Picture 310450519" descr="A map of the sea&#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16914" cy="2516085"/>
                          </a:xfrm>
                          <a:prstGeom prst="rect">
                            <a:avLst/>
                          </a:prstGeom>
                        </pic:spPr>
                      </pic:pic>
                    </a:graphicData>
                  </a:graphic>
                </wp:inline>
              </w:drawing>
            </w:r>
          </w:p>
        </w:tc>
      </w:tr>
      <w:tr w:rsidR="00FB7584" w:rsidRPr="00B31019" w14:paraId="007612ED" w14:textId="77777777" w:rsidTr="003A39CD">
        <w:trPr>
          <w:trHeight w:val="70"/>
        </w:trPr>
        <w:tc>
          <w:tcPr>
            <w:tcW w:w="9734" w:type="dxa"/>
            <w:gridSpan w:val="2"/>
            <w:tcBorders>
              <w:top w:val="nil"/>
              <w:left w:val="nil"/>
              <w:bottom w:val="nil"/>
              <w:right w:val="nil"/>
            </w:tcBorders>
          </w:tcPr>
          <w:p w14:paraId="1AE93A80" w14:textId="3055A3DE" w:rsidR="00FB7584" w:rsidRPr="00B31019" w:rsidRDefault="00FB7584" w:rsidP="00B31019">
            <w:pPr>
              <w:pStyle w:val="Source"/>
            </w:pPr>
            <w:r w:rsidRPr="00B31019">
              <w:rPr>
                <w:b/>
                <w:bCs/>
                <w:i/>
                <w:iCs/>
              </w:rPr>
              <w:t xml:space="preserve">Source: </w:t>
            </w:r>
            <w:r w:rsidRPr="00B31019">
              <w:t>Climate Central Inc.as of 2022</w:t>
            </w:r>
            <w:r w:rsidR="002355E3" w:rsidRPr="00B31019">
              <w:t xml:space="preserve"> (</w:t>
            </w:r>
            <w:r w:rsidRPr="00B31019">
              <w:t>GISTDA</w:t>
            </w:r>
            <w:r w:rsidR="002355E3" w:rsidRPr="00B31019">
              <w:t>)</w:t>
            </w:r>
            <w:r w:rsidRPr="00B31019">
              <w:t>.</w:t>
            </w:r>
          </w:p>
        </w:tc>
      </w:tr>
    </w:tbl>
    <w:p w14:paraId="2406978C" w14:textId="3211A5A3" w:rsidR="00E11BFD" w:rsidRDefault="00E11BFD" w:rsidP="00E11BFD"/>
    <w:p w14:paraId="42183C29" w14:textId="77777777" w:rsidR="00176C87" w:rsidRDefault="00176C87" w:rsidP="00E11BFD"/>
    <w:p w14:paraId="0C291284" w14:textId="77777777" w:rsidR="00176C87" w:rsidRDefault="00176C87" w:rsidP="00E11BFD"/>
    <w:tbl>
      <w:tblPr>
        <w:tblStyle w:val="TableGrid"/>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6"/>
      </w:tblGrid>
      <w:tr w:rsidR="00740CA9" w:rsidRPr="00E9090B" w14:paraId="6BCAFE1C" w14:textId="77777777" w:rsidTr="003A39CD">
        <w:tc>
          <w:tcPr>
            <w:tcW w:w="10036" w:type="dxa"/>
          </w:tcPr>
          <w:p w14:paraId="19625105" w14:textId="7142AEC7" w:rsidR="00740CA9" w:rsidRPr="00863D57" w:rsidRDefault="00740CA9">
            <w:pPr>
              <w:pStyle w:val="Figure"/>
              <w:rPr>
                <w:shd w:val="clear" w:color="auto" w:fill="FFFFFF"/>
              </w:rPr>
            </w:pPr>
            <w:r w:rsidRPr="00863D57">
              <w:t>Figure A.</w:t>
            </w:r>
            <w:r w:rsidR="006D6B1E" w:rsidRPr="00863D57">
              <w:t>2</w:t>
            </w:r>
            <w:r w:rsidR="00C41A65" w:rsidRPr="00863D57">
              <w:t>.</w:t>
            </w:r>
            <w:r w:rsidR="006D6B1E" w:rsidRPr="00863D57">
              <w:t>27</w:t>
            </w:r>
            <w:r w:rsidRPr="00863D57">
              <w:t xml:space="preserve"> </w:t>
            </w:r>
            <w:r w:rsidRPr="00863D57">
              <w:rPr>
                <w:shd w:val="clear" w:color="auto" w:fill="FFFFFF"/>
              </w:rPr>
              <w:t>Institutional landscape, country overview</w:t>
            </w:r>
          </w:p>
        </w:tc>
      </w:tr>
      <w:tr w:rsidR="00740CA9" w:rsidRPr="00E9090B" w14:paraId="0023A740" w14:textId="77777777" w:rsidTr="003A39CD">
        <w:trPr>
          <w:trHeight w:val="3943"/>
        </w:trPr>
        <w:tc>
          <w:tcPr>
            <w:tcW w:w="10036" w:type="dxa"/>
          </w:tcPr>
          <w:p w14:paraId="65837B72" w14:textId="77777777" w:rsidR="00740CA9" w:rsidRPr="00E9090B" w:rsidRDefault="00740CA9" w:rsidP="00C76B0E">
            <w:pPr>
              <w:jc w:val="center"/>
              <w:rPr>
                <w:rFonts w:asciiTheme="majorHAnsi" w:hAnsiTheme="majorHAnsi" w:cstheme="majorHAnsi"/>
              </w:rPr>
            </w:pPr>
            <w:r w:rsidRPr="00E9090B">
              <w:rPr>
                <w:rFonts w:asciiTheme="majorHAnsi" w:hAnsiTheme="majorHAnsi" w:cstheme="majorHAnsi"/>
                <w:noProof/>
                <w:lang w:val="en-GB" w:eastAsia="en-GB"/>
              </w:rPr>
              <w:drawing>
                <wp:inline distT="0" distB="0" distL="0" distR="0" wp14:anchorId="30446416" wp14:editId="4AC064DA">
                  <wp:extent cx="5596427" cy="2584173"/>
                  <wp:effectExtent l="0" t="0" r="4445" b="6985"/>
                  <wp:docPr id="62" name="Picture 62" descr="A graph with red and green lines&#10;&#10;Description automatically generated"/>
                  <wp:cNvGraphicFramePr/>
                  <a:graphic xmlns:a="http://schemas.openxmlformats.org/drawingml/2006/main">
                    <a:graphicData uri="http://schemas.openxmlformats.org/drawingml/2006/picture">
                      <pic:pic xmlns:pic="http://schemas.openxmlformats.org/drawingml/2006/picture">
                        <pic:nvPicPr>
                          <pic:cNvPr id="2038885221" name="Picture 2038885221" descr="A graph with red and green lines&#10;&#10;Description automatically generated"/>
                          <pic:cNvPicPr>
                            <a:picLocks noChangeAspect="1" noChangeArrowheads="1"/>
                          </pic:cNvPicPr>
                        </pic:nvPicPr>
                        <pic:blipFill>
                          <a:blip r:embed="rId58"/>
                          <a:stretch>
                            <a:fillRect/>
                          </a:stretch>
                        </pic:blipFill>
                        <pic:spPr bwMode="auto">
                          <a:xfrm>
                            <a:off x="0" y="0"/>
                            <a:ext cx="5692667" cy="2628612"/>
                          </a:xfrm>
                          <a:prstGeom prst="rect">
                            <a:avLst/>
                          </a:prstGeom>
                          <a:noFill/>
                          <a:ln w="9525">
                            <a:noFill/>
                            <a:headEnd/>
                            <a:tailEnd/>
                          </a:ln>
                        </pic:spPr>
                      </pic:pic>
                    </a:graphicData>
                  </a:graphic>
                </wp:inline>
              </w:drawing>
            </w:r>
          </w:p>
        </w:tc>
      </w:tr>
      <w:tr w:rsidR="00740CA9" w:rsidRPr="00AC3D63" w14:paraId="31DAC1AA" w14:textId="77777777" w:rsidTr="003A39CD">
        <w:trPr>
          <w:trHeight w:val="40"/>
        </w:trPr>
        <w:tc>
          <w:tcPr>
            <w:tcW w:w="10036" w:type="dxa"/>
          </w:tcPr>
          <w:p w14:paraId="72D3E5C3" w14:textId="77777777" w:rsidR="00740CA9" w:rsidRPr="00B31019" w:rsidRDefault="00740CA9" w:rsidP="00B31019">
            <w:pPr>
              <w:pStyle w:val="Source"/>
            </w:pPr>
            <w:r w:rsidRPr="00B31019">
              <w:rPr>
                <w:b/>
                <w:bCs/>
                <w:i/>
                <w:iCs/>
              </w:rPr>
              <w:t>Source:</w:t>
            </w:r>
            <w:r w:rsidRPr="00B31019">
              <w:t xml:space="preserve"> Authors’ elaboration using CLIAR’s Interactive Online Dashboard. </w:t>
            </w:r>
          </w:p>
          <w:p w14:paraId="46226DCA" w14:textId="23B7A42C" w:rsidR="00740CA9" w:rsidRPr="00AC3D63" w:rsidRDefault="00740CA9" w:rsidP="00B31019">
            <w:pPr>
              <w:pStyle w:val="Source"/>
              <w:rPr>
                <w:color w:val="404040" w:themeColor="text1" w:themeTint="BF"/>
              </w:rPr>
            </w:pPr>
            <w:r w:rsidRPr="00B31019">
              <w:rPr>
                <w:b/>
                <w:bCs/>
                <w:i/>
                <w:iCs/>
              </w:rPr>
              <w:t>Note</w:t>
            </w:r>
            <w:r w:rsidR="00176C87" w:rsidRPr="00B31019">
              <w:rPr>
                <w:b/>
                <w:bCs/>
                <w:i/>
                <w:iCs/>
              </w:rPr>
              <w:t>:</w:t>
            </w:r>
            <w:r w:rsidRPr="00B31019">
              <w:t xml:space="preserve"> The chosen set of comparators includes OECD countries.</w:t>
            </w:r>
          </w:p>
        </w:tc>
      </w:tr>
    </w:tbl>
    <w:p w14:paraId="5D1DD47C" w14:textId="77777777" w:rsidR="00D170D3" w:rsidRPr="00E9090B" w:rsidRDefault="00D170D3" w:rsidP="00E11BFD"/>
    <w:p w14:paraId="207450F4" w14:textId="77777777" w:rsidR="001B3DC4" w:rsidRDefault="001B3DC4">
      <w:pPr>
        <w:pStyle w:val="Figure"/>
      </w:pPr>
      <w:bookmarkStart w:id="424" w:name="_Ref137644043"/>
      <w:bookmarkStart w:id="425" w:name="_Toc137547511"/>
    </w:p>
    <w:p w14:paraId="697B5C59" w14:textId="77777777" w:rsidR="001B3DC4" w:rsidRDefault="001B3DC4">
      <w:pPr>
        <w:pStyle w:val="Figure"/>
      </w:pPr>
    </w:p>
    <w:p w14:paraId="6BAC0D62" w14:textId="4DA24DC8" w:rsidR="00E11BFD" w:rsidRPr="00E9090B" w:rsidRDefault="000E1C0A">
      <w:pPr>
        <w:pStyle w:val="Figure"/>
      </w:pPr>
      <w:r w:rsidRPr="00E9090B">
        <w:lastRenderedPageBreak/>
        <w:t>Figure</w:t>
      </w:r>
      <w:bookmarkEnd w:id="424"/>
      <w:r w:rsidRPr="00E9090B">
        <w:t xml:space="preserve"> A.</w:t>
      </w:r>
      <w:r w:rsidR="001B3DC4">
        <w:t>2</w:t>
      </w:r>
      <w:r w:rsidR="00C41A65" w:rsidRPr="00E9090B">
        <w:t>.</w:t>
      </w:r>
      <w:r w:rsidR="001B3DC4">
        <w:t>28</w:t>
      </w:r>
      <w:r w:rsidRPr="00E9090B">
        <w:t xml:space="preserve"> Access to opportunities</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43"/>
      </w:tblGrid>
      <w:tr w:rsidR="00E11BFD" w:rsidRPr="00792DDC" w14:paraId="7B3A4DA7" w14:textId="77777777" w:rsidTr="002D17A3">
        <w:tc>
          <w:tcPr>
            <w:tcW w:w="4542" w:type="dxa"/>
          </w:tcPr>
          <w:p w14:paraId="212E16FC" w14:textId="79E1AF71" w:rsidR="00E11BFD" w:rsidRPr="00792DDC" w:rsidRDefault="000E1C0A" w:rsidP="00600402">
            <w:pPr>
              <w:pStyle w:val="figuredescription"/>
              <w:rPr>
                <w:rFonts w:asciiTheme="majorHAnsi" w:hAnsiTheme="majorHAnsi" w:cstheme="majorHAnsi"/>
                <w:bCs/>
                <w:szCs w:val="24"/>
              </w:rPr>
            </w:pPr>
            <w:r w:rsidRPr="00792DDC">
              <w:rPr>
                <w:rFonts w:asciiTheme="majorHAnsi" w:hAnsiTheme="majorHAnsi" w:cstheme="majorHAnsi"/>
                <w:bCs/>
                <w:szCs w:val="24"/>
              </w:rPr>
              <w:t xml:space="preserve">A. </w:t>
            </w:r>
            <w:r w:rsidR="00E11BFD" w:rsidRPr="00792DDC">
              <w:rPr>
                <w:rFonts w:asciiTheme="majorHAnsi" w:hAnsiTheme="majorHAnsi" w:cstheme="majorHAnsi"/>
                <w:bCs/>
                <w:szCs w:val="24"/>
              </w:rPr>
              <w:t xml:space="preserve">Access to state business opportunities by social group and access to public services distributed by social group </w:t>
            </w:r>
          </w:p>
        </w:tc>
        <w:tc>
          <w:tcPr>
            <w:tcW w:w="4543" w:type="dxa"/>
          </w:tcPr>
          <w:p w14:paraId="00348E0E" w14:textId="28F52AF9" w:rsidR="00E11BFD" w:rsidRPr="00792DDC" w:rsidRDefault="000E1C0A" w:rsidP="00600402">
            <w:pPr>
              <w:pStyle w:val="figuredescription"/>
              <w:rPr>
                <w:rFonts w:asciiTheme="majorHAnsi" w:hAnsiTheme="majorHAnsi" w:cstheme="majorHAnsi"/>
                <w:bCs/>
                <w:szCs w:val="24"/>
              </w:rPr>
            </w:pPr>
            <w:r w:rsidRPr="00792DDC">
              <w:rPr>
                <w:rFonts w:asciiTheme="majorHAnsi" w:hAnsiTheme="majorHAnsi" w:cstheme="majorHAnsi"/>
                <w:bCs/>
                <w:szCs w:val="24"/>
              </w:rPr>
              <w:t xml:space="preserve">B. </w:t>
            </w:r>
            <w:r w:rsidR="00E11BFD" w:rsidRPr="00792DDC">
              <w:rPr>
                <w:rFonts w:asciiTheme="majorHAnsi" w:hAnsiTheme="majorHAnsi" w:cstheme="majorHAnsi"/>
                <w:bCs/>
                <w:szCs w:val="24"/>
              </w:rPr>
              <w:t xml:space="preserve">Percent of firms expected to provide gifts to get a construction permit and percent of firms expected to provide gifts to secure government contract </w:t>
            </w:r>
          </w:p>
        </w:tc>
      </w:tr>
      <w:tr w:rsidR="00E11BFD" w:rsidRPr="00E9090B" w14:paraId="5C22E6E7" w14:textId="77777777" w:rsidTr="002D17A3">
        <w:tc>
          <w:tcPr>
            <w:tcW w:w="9085" w:type="dxa"/>
            <w:gridSpan w:val="2"/>
          </w:tcPr>
          <w:p w14:paraId="06C20412" w14:textId="42D3D080" w:rsidR="00E11BFD" w:rsidRPr="00E9090B" w:rsidRDefault="00A14918" w:rsidP="002D17A3">
            <w:pPr>
              <w:pStyle w:val="Default"/>
              <w:jc w:val="center"/>
              <w:rPr>
                <w:rFonts w:asciiTheme="majorHAnsi" w:hAnsiTheme="majorHAnsi" w:cstheme="majorBidi"/>
                <w:b/>
                <w:bCs/>
                <w:sz w:val="22"/>
                <w:szCs w:val="22"/>
              </w:rPr>
            </w:pPr>
            <w:r w:rsidRPr="003612B9">
              <w:rPr>
                <w:noProof/>
                <w:lang w:val="en-GB" w:eastAsia="en-GB"/>
              </w:rPr>
              <w:drawing>
                <wp:anchor distT="0" distB="0" distL="114300" distR="114300" simplePos="0" relativeHeight="251662336" behindDoc="1" locked="0" layoutInCell="1" allowOverlap="1" wp14:anchorId="0B7DFE89" wp14:editId="61AA61F8">
                  <wp:simplePos x="0" y="0"/>
                  <wp:positionH relativeFrom="column">
                    <wp:posOffset>9201</wp:posOffset>
                  </wp:positionH>
                  <wp:positionV relativeFrom="paragraph">
                    <wp:posOffset>505</wp:posOffset>
                  </wp:positionV>
                  <wp:extent cx="2552700" cy="2286000"/>
                  <wp:effectExtent l="0" t="0" r="0" b="0"/>
                  <wp:wrapTight wrapText="bothSides">
                    <wp:wrapPolygon edited="0">
                      <wp:start x="0" y="0"/>
                      <wp:lineTo x="0" y="21420"/>
                      <wp:lineTo x="21439" y="21420"/>
                      <wp:lineTo x="2143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2286000"/>
                          </a:xfrm>
                          <a:prstGeom prst="rect">
                            <a:avLst/>
                          </a:prstGeom>
                          <a:noFill/>
                          <a:ln>
                            <a:noFill/>
                          </a:ln>
                        </pic:spPr>
                      </pic:pic>
                    </a:graphicData>
                  </a:graphic>
                </wp:anchor>
              </w:drawing>
            </w:r>
            <w:r w:rsidR="00E11BFD" w:rsidRPr="00E9090B">
              <w:rPr>
                <w:rFonts w:asciiTheme="majorHAnsi" w:hAnsiTheme="majorHAnsi" w:cstheme="majorBidi"/>
                <w:sz w:val="22"/>
                <w:szCs w:val="22"/>
              </w:rPr>
              <w:t xml:space="preserve"> </w:t>
            </w:r>
            <w:r w:rsidR="002A5399" w:rsidRPr="003612B9">
              <w:rPr>
                <w:noProof/>
                <w:lang w:val="en-GB" w:eastAsia="en-GB"/>
              </w:rPr>
              <w:drawing>
                <wp:inline distT="0" distB="0" distL="0" distR="0" wp14:anchorId="52F29258" wp14:editId="3EE51DA0">
                  <wp:extent cx="2619375" cy="2333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2333625"/>
                          </a:xfrm>
                          <a:prstGeom prst="rect">
                            <a:avLst/>
                          </a:prstGeom>
                          <a:noFill/>
                          <a:ln>
                            <a:noFill/>
                          </a:ln>
                        </pic:spPr>
                      </pic:pic>
                    </a:graphicData>
                  </a:graphic>
                </wp:inline>
              </w:drawing>
            </w:r>
          </w:p>
        </w:tc>
      </w:tr>
      <w:tr w:rsidR="00E11BFD" w:rsidRPr="002A5399" w14:paraId="75C0808D" w14:textId="77777777" w:rsidTr="002D17A3">
        <w:trPr>
          <w:trHeight w:val="386"/>
        </w:trPr>
        <w:tc>
          <w:tcPr>
            <w:tcW w:w="9085" w:type="dxa"/>
            <w:gridSpan w:val="2"/>
          </w:tcPr>
          <w:p w14:paraId="420106E2" w14:textId="5250C0AF" w:rsidR="00E11BFD" w:rsidRPr="00C65E50" w:rsidRDefault="00E11BFD" w:rsidP="00B31019">
            <w:pPr>
              <w:pStyle w:val="Source"/>
              <w:spacing w:before="40" w:after="40"/>
            </w:pPr>
            <w:r w:rsidRPr="00B31019">
              <w:rPr>
                <w:b/>
                <w:bCs/>
                <w:i/>
                <w:iCs/>
              </w:rPr>
              <w:t>Source:</w:t>
            </w:r>
            <w:r w:rsidRPr="00C65E50">
              <w:t xml:space="preserve"> Varieties of Democracy (V-Dem)</w:t>
            </w:r>
            <w:r w:rsidR="00766D0E" w:rsidRPr="00C65E50">
              <w:t>;</w:t>
            </w:r>
            <w:r w:rsidRPr="00C65E50">
              <w:t xml:space="preserve"> World Bank Enterprise Surveys</w:t>
            </w:r>
            <w:r w:rsidR="00B40B94" w:rsidRPr="00C65E50">
              <w:t>.</w:t>
            </w:r>
          </w:p>
          <w:p w14:paraId="3C71D336" w14:textId="11B88166" w:rsidR="00E11BFD" w:rsidRPr="002A5399" w:rsidRDefault="00E11BFD" w:rsidP="00B31019">
            <w:pPr>
              <w:pStyle w:val="Source"/>
            </w:pPr>
            <w:r w:rsidRPr="00B31019">
              <w:rPr>
                <w:b/>
                <w:bCs/>
                <w:i/>
                <w:iCs/>
              </w:rPr>
              <w:t>Note:</w:t>
            </w:r>
            <w:r w:rsidRPr="00C65E50">
              <w:t xml:space="preserve"> </w:t>
            </w:r>
            <w:r w:rsidR="009C73D1" w:rsidRPr="00C65E50">
              <w:t>‘</w:t>
            </w:r>
            <w:r w:rsidRPr="00C65E50">
              <w:t xml:space="preserve">Access to public </w:t>
            </w:r>
            <w:r w:rsidR="009C73D1" w:rsidRPr="00C65E50">
              <w:t>services’ refers to basic public services</w:t>
            </w:r>
            <w:r w:rsidRPr="00C65E50">
              <w:t>, such as order and security, primary education, clean water, and healthcare</w:t>
            </w:r>
            <w:r w:rsidR="009C73D1" w:rsidRPr="00C65E50">
              <w:t>. ‘</w:t>
            </w:r>
            <w:r w:rsidRPr="00C65E50">
              <w:t xml:space="preserve">Access to state business </w:t>
            </w:r>
            <w:r w:rsidR="009C73D1" w:rsidRPr="00C65E50">
              <w:t xml:space="preserve">opportunities’ refers to state business </w:t>
            </w:r>
            <w:r w:rsidRPr="00C65E50">
              <w:t>opportunities equally available to qualified individuals or firms regardless of an individual’s association with a social group</w:t>
            </w:r>
            <w:r w:rsidR="009C73D1" w:rsidRPr="00C65E50">
              <w:t>.</w:t>
            </w:r>
            <w:r w:rsidRPr="00C65E50">
              <w:t xml:space="preserve"> The value of 0 indicates that 75 percent or more of the population lacks access to basic public services or state business opportunities because of their social group. The value of 4 indicates that less than 5 percent of the population lacks access because of their social group or political affiliation. </w:t>
            </w:r>
          </w:p>
        </w:tc>
      </w:tr>
    </w:tbl>
    <w:p w14:paraId="2D688922" w14:textId="77777777" w:rsidR="00B31019" w:rsidRPr="00E9090B" w:rsidRDefault="00B31019" w:rsidP="00E11BFD"/>
    <w:p w14:paraId="4C114CBD" w14:textId="77777777" w:rsidR="00C24A30" w:rsidRPr="00E9090B" w:rsidRDefault="00C24A30" w:rsidP="00E11B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56DA1" w:rsidRPr="00E9090B" w14:paraId="0F3535FF" w14:textId="77777777" w:rsidTr="00C65E50">
        <w:tc>
          <w:tcPr>
            <w:tcW w:w="4739" w:type="dxa"/>
          </w:tcPr>
          <w:p w14:paraId="71CF04B3" w14:textId="0F6F3552" w:rsidR="00B56DA1" w:rsidRPr="00E9090B" w:rsidRDefault="00B56DA1">
            <w:pPr>
              <w:pStyle w:val="Figure"/>
            </w:pPr>
            <w:r w:rsidRPr="00E9090B">
              <w:t>Figure A.</w:t>
            </w:r>
            <w:r w:rsidR="001B3DC4">
              <w:t>2</w:t>
            </w:r>
            <w:r w:rsidR="009153BD" w:rsidRPr="00E9090B">
              <w:t>.</w:t>
            </w:r>
            <w:r w:rsidR="001B3DC4">
              <w:t>29</w:t>
            </w:r>
            <w:r w:rsidRPr="00E9090B">
              <w:t xml:space="preserve"> Potential railway link from Thailand (Laem Chabang Port) to China (Kunming)</w:t>
            </w:r>
          </w:p>
        </w:tc>
        <w:tc>
          <w:tcPr>
            <w:tcW w:w="4621" w:type="dxa"/>
          </w:tcPr>
          <w:p w14:paraId="2DF4462F" w14:textId="6CABE28E" w:rsidR="00B56DA1" w:rsidRPr="00E9090B" w:rsidRDefault="00B56DA1">
            <w:pPr>
              <w:pStyle w:val="Figure"/>
            </w:pPr>
            <w:r w:rsidRPr="00E9090B">
              <w:t>Figure A.</w:t>
            </w:r>
            <w:r w:rsidR="001B3DC4">
              <w:t>2</w:t>
            </w:r>
            <w:r w:rsidR="00C41A65" w:rsidRPr="00E9090B">
              <w:t>.</w:t>
            </w:r>
            <w:r w:rsidR="001B3DC4">
              <w:t>30</w:t>
            </w:r>
            <w:r w:rsidRPr="00E9090B">
              <w:t xml:space="preserve"> Trilateral Highway connecting India, Myanmar, and Thailand</w:t>
            </w:r>
          </w:p>
        </w:tc>
      </w:tr>
      <w:tr w:rsidR="00B56DA1" w:rsidRPr="00E9090B" w14:paraId="20CBBBE8" w14:textId="77777777" w:rsidTr="00C65E50">
        <w:tc>
          <w:tcPr>
            <w:tcW w:w="4739" w:type="dxa"/>
          </w:tcPr>
          <w:p w14:paraId="07651E9A" w14:textId="729EA311" w:rsidR="00B56DA1" w:rsidRPr="00E9090B" w:rsidRDefault="00B56DA1">
            <w:r w:rsidRPr="00E9090B">
              <w:rPr>
                <w:rFonts w:cs="Times New Roman"/>
                <w:noProof/>
                <w:color w:val="404040" w:themeColor="text1" w:themeTint="BF"/>
                <w:lang w:val="en-GB" w:eastAsia="en-GB"/>
              </w:rPr>
              <w:drawing>
                <wp:inline distT="0" distB="0" distL="0" distR="0" wp14:anchorId="4AE2C1BB" wp14:editId="268429F4">
                  <wp:extent cx="2926080" cy="2409825"/>
                  <wp:effectExtent l="0" t="0" r="7620" b="9525"/>
                  <wp:docPr id="310450506" name="Picture 310450506"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p of a country&#10;&#10;Description automatically generated"/>
                          <pic:cNvPicPr/>
                        </pic:nvPicPr>
                        <pic:blipFill rotWithShape="1">
                          <a:blip r:embed="rId61" cstate="print">
                            <a:extLst>
                              <a:ext uri="{28A0092B-C50C-407E-A947-70E740481C1C}">
                                <a14:useLocalDpi xmlns:a14="http://schemas.microsoft.com/office/drawing/2010/main" val="0"/>
                              </a:ext>
                            </a:extLst>
                          </a:blip>
                          <a:srcRect r="1955"/>
                          <a:stretch/>
                        </pic:blipFill>
                        <pic:spPr bwMode="auto">
                          <a:xfrm>
                            <a:off x="0" y="0"/>
                            <a:ext cx="2976902" cy="245168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14:paraId="4D53BECE" w14:textId="09677D25" w:rsidR="00B56DA1" w:rsidRPr="00E9090B" w:rsidRDefault="00B56DA1">
            <w:r w:rsidRPr="00E9090B">
              <w:rPr>
                <w:noProof/>
                <w:lang w:val="en-GB" w:eastAsia="en-GB"/>
              </w:rPr>
              <w:drawing>
                <wp:inline distT="0" distB="0" distL="0" distR="0" wp14:anchorId="6238B1E1" wp14:editId="340D02D8">
                  <wp:extent cx="2825750" cy="2362200"/>
                  <wp:effectExtent l="19050" t="19050" r="12700" b="19050"/>
                  <wp:docPr id="310450509" name="Picture 310450509" descr="A map of the count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map of the country&#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810" t="5376" r="1928" b="4189"/>
                          <a:stretch/>
                        </pic:blipFill>
                        <pic:spPr bwMode="auto">
                          <a:xfrm>
                            <a:off x="0" y="0"/>
                            <a:ext cx="2854777" cy="23864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B56DA1" w:rsidRPr="00E9090B" w14:paraId="71AE8579" w14:textId="77777777" w:rsidTr="00C65E50">
        <w:tc>
          <w:tcPr>
            <w:tcW w:w="4739" w:type="dxa"/>
          </w:tcPr>
          <w:p w14:paraId="5E7093B2" w14:textId="77777777" w:rsidR="00B56DA1" w:rsidRPr="00C65E50" w:rsidRDefault="00B56DA1" w:rsidP="00B31019">
            <w:pPr>
              <w:pStyle w:val="Source"/>
            </w:pPr>
            <w:r w:rsidRPr="00C65E50">
              <w:rPr>
                <w:b/>
                <w:i/>
              </w:rPr>
              <w:t>Source:</w:t>
            </w:r>
            <w:r w:rsidRPr="00C65E50">
              <w:t xml:space="preserve"> World Bank. </w:t>
            </w:r>
          </w:p>
          <w:p w14:paraId="1FDEF23A" w14:textId="77777777" w:rsidR="00B56DA1" w:rsidRPr="00C65E50" w:rsidRDefault="00B56DA1" w:rsidP="00B31019">
            <w:pPr>
              <w:pStyle w:val="Source"/>
            </w:pPr>
          </w:p>
          <w:p w14:paraId="42F4694E" w14:textId="77777777" w:rsidR="00B56DA1" w:rsidRPr="00C65E50" w:rsidRDefault="00B56DA1" w:rsidP="00B31019">
            <w:pPr>
              <w:pStyle w:val="Source"/>
            </w:pPr>
          </w:p>
        </w:tc>
        <w:tc>
          <w:tcPr>
            <w:tcW w:w="4621" w:type="dxa"/>
          </w:tcPr>
          <w:p w14:paraId="3578ADC1" w14:textId="4850110E" w:rsidR="00B56DA1" w:rsidRPr="00C65E50" w:rsidRDefault="00B56DA1" w:rsidP="00B31019">
            <w:pPr>
              <w:pStyle w:val="Source"/>
            </w:pPr>
            <w:r w:rsidRPr="00B31019">
              <w:rPr>
                <w:b/>
                <w:i/>
                <w:iCs/>
              </w:rPr>
              <w:t>Source:</w:t>
            </w:r>
            <w:r w:rsidRPr="00C65E50">
              <w:t xml:space="preserve"> ASEAN Briefing. </w:t>
            </w:r>
            <w:hyperlink r:id="rId63" w:history="1">
              <w:r w:rsidRPr="00C65E50">
                <w:rPr>
                  <w:rStyle w:val="Hyperlink"/>
                  <w:rFonts w:asciiTheme="majorHAnsi" w:hAnsiTheme="majorHAnsi" w:cstheme="majorHAnsi"/>
                  <w:bCs/>
                  <w:color w:val="595959" w:themeColor="text1" w:themeTint="A6"/>
                </w:rPr>
                <w:t>https://www.aseanbriefing.com/news/india-eager-for-expansion-of-trilateral-highway-to-cambodia-laos-and-vietnam/</w:t>
              </w:r>
            </w:hyperlink>
          </w:p>
        </w:tc>
      </w:tr>
    </w:tbl>
    <w:p w14:paraId="55DB82D4" w14:textId="77777777" w:rsidR="00B56DA1" w:rsidRPr="00E9090B" w:rsidRDefault="00B56D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tblGrid>
      <w:tr w:rsidR="00B56DA1" w:rsidRPr="00E9090B" w14:paraId="74C7EC75" w14:textId="77777777" w:rsidTr="003A39CD">
        <w:tc>
          <w:tcPr>
            <w:tcW w:w="6115" w:type="dxa"/>
          </w:tcPr>
          <w:p w14:paraId="61B841FA" w14:textId="5F1AAC33" w:rsidR="00B56DA1" w:rsidRPr="00E9090B" w:rsidRDefault="00DC5BFC">
            <w:pPr>
              <w:pStyle w:val="Figure"/>
            </w:pPr>
            <w:r w:rsidRPr="00E9090B">
              <w:lastRenderedPageBreak/>
              <w:t>Figure A.</w:t>
            </w:r>
            <w:r w:rsidR="001B3DC4">
              <w:t>2</w:t>
            </w:r>
            <w:r w:rsidR="00C41A65" w:rsidRPr="00E9090B">
              <w:t>.</w:t>
            </w:r>
            <w:r w:rsidR="001B3DC4">
              <w:t>31</w:t>
            </w:r>
            <w:r w:rsidRPr="00E9090B">
              <w:t xml:space="preserve"> Proposed new coastal shipping routes from Thailand (Ranong Province)</w:t>
            </w:r>
          </w:p>
        </w:tc>
      </w:tr>
      <w:tr w:rsidR="00B56DA1" w:rsidRPr="00E9090B" w14:paraId="5AF44D77" w14:textId="77777777" w:rsidTr="003A39CD">
        <w:tc>
          <w:tcPr>
            <w:tcW w:w="6115" w:type="dxa"/>
          </w:tcPr>
          <w:p w14:paraId="34C74023" w14:textId="77777777" w:rsidR="00B56DA1" w:rsidRPr="00E9090B" w:rsidRDefault="00B56DA1" w:rsidP="00C76B0E">
            <w:r w:rsidRPr="00E9090B">
              <w:rPr>
                <w:noProof/>
                <w:lang w:val="en-GB" w:eastAsia="en-GB"/>
              </w:rPr>
              <w:drawing>
                <wp:inline distT="0" distB="0" distL="0" distR="0" wp14:anchorId="05353A05" wp14:editId="65FF8A4F">
                  <wp:extent cx="3679546" cy="2837815"/>
                  <wp:effectExtent l="0" t="0" r="0" b="635"/>
                  <wp:docPr id="310450510" name="Picture 310450510"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map of the ocean&#10;&#10;Description automatically generated"/>
                          <pic:cNvPicPr/>
                        </pic:nvPicPr>
                        <pic:blipFill rotWithShape="1">
                          <a:blip r:embed="rId64"/>
                          <a:srcRect t="7656" b="6003"/>
                          <a:stretch/>
                        </pic:blipFill>
                        <pic:spPr bwMode="auto">
                          <a:xfrm>
                            <a:off x="0" y="0"/>
                            <a:ext cx="3703149" cy="2856019"/>
                          </a:xfrm>
                          <a:prstGeom prst="rect">
                            <a:avLst/>
                          </a:prstGeom>
                          <a:ln>
                            <a:noFill/>
                          </a:ln>
                          <a:extLst>
                            <a:ext uri="{53640926-AAD7-44D8-BBD7-CCE9431645EC}">
                              <a14:shadowObscured xmlns:a14="http://schemas.microsoft.com/office/drawing/2010/main"/>
                            </a:ext>
                          </a:extLst>
                        </pic:spPr>
                      </pic:pic>
                    </a:graphicData>
                  </a:graphic>
                </wp:inline>
              </w:drawing>
            </w:r>
          </w:p>
        </w:tc>
      </w:tr>
      <w:tr w:rsidR="00B56DA1" w:rsidRPr="00E9090B" w14:paraId="3F0D885D" w14:textId="77777777" w:rsidTr="003A39CD">
        <w:tc>
          <w:tcPr>
            <w:tcW w:w="6115" w:type="dxa"/>
          </w:tcPr>
          <w:p w14:paraId="694CA465" w14:textId="77777777" w:rsidR="00B56DA1" w:rsidRPr="00C65E50" w:rsidRDefault="00B56DA1" w:rsidP="00B31019">
            <w:pPr>
              <w:pStyle w:val="Source"/>
              <w:spacing w:before="40"/>
            </w:pPr>
            <w:r w:rsidRPr="00B31019">
              <w:rPr>
                <w:b/>
                <w:bCs/>
                <w:i/>
                <w:iCs/>
              </w:rPr>
              <w:t>Source:</w:t>
            </w:r>
            <w:r w:rsidRPr="00BB3B72">
              <w:rPr>
                <w:b/>
                <w:bCs/>
              </w:rPr>
              <w:t xml:space="preserve">  </w:t>
            </w:r>
            <w:r w:rsidRPr="00C65E50">
              <w:t>BIMSTEC Master Plan for Transport Connectivity, April 2022.</w:t>
            </w:r>
          </w:p>
          <w:p w14:paraId="3C4BB28C" w14:textId="77777777" w:rsidR="00B56DA1" w:rsidRPr="00E9090B" w:rsidRDefault="00B56DA1" w:rsidP="00C76B0E"/>
        </w:tc>
      </w:tr>
    </w:tbl>
    <w:p w14:paraId="620EDE5B" w14:textId="77777777" w:rsidR="004A1F79" w:rsidRPr="00E9090B" w:rsidRDefault="004A1F79">
      <w:pPr>
        <w:pStyle w:val="Figure"/>
      </w:pPr>
    </w:p>
    <w:p w14:paraId="180DBBBD" w14:textId="77777777" w:rsidR="00B31019" w:rsidRDefault="00B31019">
      <w:pPr>
        <w:pStyle w:val="Figure"/>
      </w:pPr>
    </w:p>
    <w:p w14:paraId="39498A23" w14:textId="77777777" w:rsidR="00E11BFD" w:rsidRDefault="00E11BFD" w:rsidP="00E11BFD">
      <w:pPr>
        <w:rPr>
          <w:lang w:bidi="th-TH"/>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E11BFD" w:rsidRPr="000E1C0A" w14:paraId="4E7EE562" w14:textId="77777777" w:rsidTr="0092050D">
        <w:trPr>
          <w:trHeight w:val="300"/>
        </w:trPr>
        <w:tc>
          <w:tcPr>
            <w:tcW w:w="4678" w:type="dxa"/>
          </w:tcPr>
          <w:p w14:paraId="5579DAA7" w14:textId="7E7ADAEF" w:rsidR="00E11BFD" w:rsidRPr="00E9090B" w:rsidRDefault="004C01FF">
            <w:pPr>
              <w:pStyle w:val="Figure"/>
            </w:pPr>
            <w:bookmarkStart w:id="426" w:name="_Toc137547519"/>
            <w:r w:rsidRPr="00E9090B">
              <w:t>Figure A.</w:t>
            </w:r>
            <w:r w:rsidR="001B3DC4">
              <w:t>2</w:t>
            </w:r>
            <w:r w:rsidRPr="00E9090B">
              <w:t>.</w:t>
            </w:r>
            <w:r w:rsidR="001B3DC4">
              <w:t>32</w:t>
            </w:r>
            <w:bookmarkEnd w:id="426"/>
            <w:r w:rsidR="0077581D">
              <w:t xml:space="preserve"> </w:t>
            </w:r>
            <w:r w:rsidR="0077581D" w:rsidRPr="0077581D">
              <w:t>Greenhouse gas emissions vs. Paris pledge (mtCO2e, excl. LULUCF), Thailand</w:t>
            </w:r>
          </w:p>
        </w:tc>
        <w:tc>
          <w:tcPr>
            <w:tcW w:w="4677" w:type="dxa"/>
          </w:tcPr>
          <w:p w14:paraId="3EC60A1E" w14:textId="5D15FAD1" w:rsidR="00E11BFD" w:rsidRPr="00E9090B" w:rsidRDefault="00E11BFD">
            <w:pPr>
              <w:pStyle w:val="Figure"/>
            </w:pPr>
            <w:bookmarkStart w:id="427" w:name="_Toc137547520"/>
            <w:r w:rsidRPr="00E9090B">
              <w:t xml:space="preserve">Figure </w:t>
            </w:r>
            <w:r w:rsidR="002E502C" w:rsidRPr="00E9090B">
              <w:t>A.</w:t>
            </w:r>
            <w:r w:rsidR="001B3DC4">
              <w:t>2</w:t>
            </w:r>
            <w:r w:rsidR="002E502C" w:rsidRPr="00E9090B">
              <w:t>.</w:t>
            </w:r>
            <w:r w:rsidR="001B3DC4">
              <w:t>33</w:t>
            </w:r>
            <w:r w:rsidRPr="00E9090B">
              <w:t xml:space="preserve"> Fiscal revenues raised by fuel</w:t>
            </w:r>
            <w:bookmarkEnd w:id="427"/>
            <w:r w:rsidRPr="00E9090B">
              <w:t xml:space="preserve"> </w:t>
            </w:r>
            <w:r w:rsidR="006C6DCA" w:rsidRPr="00E9090B">
              <w:t>(left axis) and total as % of GDP (right axis)</w:t>
            </w:r>
          </w:p>
        </w:tc>
      </w:tr>
      <w:tr w:rsidR="00E11BFD" w:rsidRPr="00B15CB4" w14:paraId="59F149D5" w14:textId="77777777" w:rsidTr="0092050D">
        <w:trPr>
          <w:trHeight w:val="3270"/>
        </w:trPr>
        <w:tc>
          <w:tcPr>
            <w:tcW w:w="4678" w:type="dxa"/>
          </w:tcPr>
          <w:p w14:paraId="7532BB30" w14:textId="5EF95501" w:rsidR="00E11BFD" w:rsidRPr="00E9090B" w:rsidRDefault="00AE5BAA" w:rsidP="00B453AF">
            <w:pPr>
              <w:pStyle w:val="Default"/>
              <w:spacing w:before="240" w:after="240"/>
              <w:rPr>
                <w:rFonts w:ascii="Arial" w:hAnsi="Arial" w:cs="Arial"/>
                <w:sz w:val="18"/>
                <w:szCs w:val="18"/>
              </w:rPr>
            </w:pPr>
            <w:r w:rsidRPr="007837AC">
              <w:rPr>
                <w:noProof/>
                <w:lang w:val="en-GB" w:eastAsia="en-GB"/>
              </w:rPr>
              <w:drawing>
                <wp:inline distT="0" distB="0" distL="0" distR="0" wp14:anchorId="1E3EE208" wp14:editId="6D72039A">
                  <wp:extent cx="2838450" cy="2286000"/>
                  <wp:effectExtent l="0" t="0" r="0" b="0"/>
                  <wp:docPr id="194727680" name="Picture 1947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8450" cy="2286000"/>
                          </a:xfrm>
                          <a:prstGeom prst="rect">
                            <a:avLst/>
                          </a:prstGeom>
                          <a:noFill/>
                          <a:ln>
                            <a:noFill/>
                          </a:ln>
                        </pic:spPr>
                      </pic:pic>
                    </a:graphicData>
                  </a:graphic>
                </wp:inline>
              </w:drawing>
            </w:r>
          </w:p>
        </w:tc>
        <w:tc>
          <w:tcPr>
            <w:tcW w:w="4677" w:type="dxa"/>
          </w:tcPr>
          <w:p w14:paraId="3644116E" w14:textId="3AEDD61D" w:rsidR="00E11BFD" w:rsidRPr="00E9090B" w:rsidRDefault="00E11BFD" w:rsidP="002D17A3">
            <w:pPr>
              <w:pStyle w:val="Default"/>
              <w:rPr>
                <w:rFonts w:ascii="Arial" w:hAnsi="Arial" w:cs="Arial"/>
                <w:b/>
                <w:color w:val="202122"/>
                <w:sz w:val="18"/>
                <w:szCs w:val="18"/>
              </w:rPr>
            </w:pPr>
          </w:p>
          <w:p w14:paraId="6C5D7F80" w14:textId="0014DC2C" w:rsidR="00E11BFD" w:rsidRPr="00E9090B" w:rsidRDefault="008200EE" w:rsidP="00B453AF">
            <w:pPr>
              <w:pStyle w:val="Default"/>
              <w:rPr>
                <w:rFonts w:ascii="Arial" w:hAnsi="Arial" w:cs="Arial"/>
                <w:sz w:val="18"/>
                <w:szCs w:val="18"/>
              </w:rPr>
            </w:pPr>
            <w:r w:rsidRPr="007837AC">
              <w:rPr>
                <w:noProof/>
                <w:lang w:val="en-GB" w:eastAsia="en-GB"/>
              </w:rPr>
              <w:drawing>
                <wp:inline distT="0" distB="0" distL="0" distR="0" wp14:anchorId="3B4F3417" wp14:editId="688E215C">
                  <wp:extent cx="2838450" cy="2286000"/>
                  <wp:effectExtent l="0" t="0" r="0" b="0"/>
                  <wp:docPr id="194727681" name="Picture 19472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8450" cy="2286000"/>
                          </a:xfrm>
                          <a:prstGeom prst="rect">
                            <a:avLst/>
                          </a:prstGeom>
                          <a:noFill/>
                          <a:ln>
                            <a:noFill/>
                          </a:ln>
                        </pic:spPr>
                      </pic:pic>
                    </a:graphicData>
                  </a:graphic>
                </wp:inline>
              </w:drawing>
            </w:r>
          </w:p>
        </w:tc>
      </w:tr>
      <w:tr w:rsidR="00E11BFD" w:rsidRPr="00B15CB4" w14:paraId="7E93F86A" w14:textId="77777777" w:rsidTr="0092050D">
        <w:trPr>
          <w:trHeight w:val="440"/>
        </w:trPr>
        <w:tc>
          <w:tcPr>
            <w:tcW w:w="4678" w:type="dxa"/>
          </w:tcPr>
          <w:p w14:paraId="18AA65CB" w14:textId="5090D5A4" w:rsidR="00E11BFD" w:rsidRPr="008200EE" w:rsidRDefault="00E11BFD" w:rsidP="00B31019">
            <w:pPr>
              <w:pStyle w:val="Source"/>
              <w:spacing w:before="40" w:after="40"/>
              <w:rPr>
                <w:i/>
                <w:iCs/>
              </w:rPr>
            </w:pPr>
            <w:r w:rsidRPr="00B31019">
              <w:rPr>
                <w:b/>
                <w:bCs/>
                <w:i/>
                <w:iCs/>
              </w:rPr>
              <w:t>Source:</w:t>
            </w:r>
            <w:r w:rsidRPr="008200EE">
              <w:t xml:space="preserve"> </w:t>
            </w:r>
            <w:r w:rsidRPr="008200EE">
              <w:rPr>
                <w:iCs/>
              </w:rPr>
              <w:t>CPAT</w:t>
            </w:r>
            <w:r w:rsidR="00990D6B" w:rsidRPr="008200EE">
              <w:rPr>
                <w:iCs/>
              </w:rPr>
              <w:t>.</w:t>
            </w:r>
          </w:p>
          <w:p w14:paraId="5C0FE86C" w14:textId="2EE757A5" w:rsidR="00E11BFD" w:rsidRPr="008200EE" w:rsidRDefault="00E11BFD" w:rsidP="00B31019">
            <w:pPr>
              <w:pStyle w:val="Source"/>
            </w:pPr>
            <w:r w:rsidRPr="00B31019">
              <w:rPr>
                <w:b/>
                <w:bCs/>
                <w:i/>
                <w:iCs/>
              </w:rPr>
              <w:t>Notes:</w:t>
            </w:r>
            <w:r w:rsidRPr="008200EE">
              <w:t xml:space="preserve"> </w:t>
            </w:r>
            <w:r w:rsidRPr="008200EE">
              <w:rPr>
                <w:iCs/>
              </w:rPr>
              <w:t>Latest NDC for Thailand is a limit of 388</w:t>
            </w:r>
            <w:r w:rsidR="0080516D" w:rsidRPr="008200EE">
              <w:rPr>
                <w:iCs/>
              </w:rPr>
              <w:t>.</w:t>
            </w:r>
            <w:r w:rsidRPr="008200EE">
              <w:rPr>
                <w:iCs/>
              </w:rPr>
              <w:t>5 mtCO2e by 2030 excluding LULUCF.</w:t>
            </w:r>
            <w:r w:rsidRPr="008200EE">
              <w:t xml:space="preserve"> </w:t>
            </w:r>
          </w:p>
        </w:tc>
        <w:tc>
          <w:tcPr>
            <w:tcW w:w="4677" w:type="dxa"/>
          </w:tcPr>
          <w:p w14:paraId="6954629B" w14:textId="2D239919" w:rsidR="00E11BFD" w:rsidRPr="008200EE" w:rsidRDefault="00E11BFD" w:rsidP="00B31019">
            <w:pPr>
              <w:pStyle w:val="Source"/>
              <w:spacing w:before="40" w:after="40"/>
              <w:rPr>
                <w:i/>
                <w:iCs/>
              </w:rPr>
            </w:pPr>
            <w:r w:rsidRPr="00B31019">
              <w:rPr>
                <w:b/>
                <w:bCs/>
                <w:i/>
                <w:iCs/>
              </w:rPr>
              <w:t>Source:</w:t>
            </w:r>
            <w:r w:rsidRPr="008200EE">
              <w:t xml:space="preserve"> </w:t>
            </w:r>
            <w:r w:rsidRPr="008200EE">
              <w:rPr>
                <w:iCs/>
              </w:rPr>
              <w:t>CPAT</w:t>
            </w:r>
            <w:r w:rsidR="00990D6B" w:rsidRPr="008200EE">
              <w:rPr>
                <w:iCs/>
              </w:rPr>
              <w:t>.</w:t>
            </w:r>
          </w:p>
          <w:p w14:paraId="6557B94F" w14:textId="249A8E55" w:rsidR="00E11BFD" w:rsidRPr="008200EE" w:rsidRDefault="00E11BFD" w:rsidP="00B31019">
            <w:pPr>
              <w:pStyle w:val="Source"/>
              <w:rPr>
                <w:i/>
                <w:iCs/>
              </w:rPr>
            </w:pPr>
            <w:r w:rsidRPr="00B31019">
              <w:rPr>
                <w:b/>
                <w:bCs/>
                <w:i/>
                <w:iCs/>
              </w:rPr>
              <w:t>Notes:</w:t>
            </w:r>
            <w:r w:rsidRPr="008200EE">
              <w:t xml:space="preserve"> </w:t>
            </w:r>
            <w:r w:rsidRPr="008200EE">
              <w:rPr>
                <w:iCs/>
              </w:rPr>
              <w:t>Shows total additional (vs. baseline) fiscal revenues from the policy net of renewable energy subsidies.</w:t>
            </w:r>
          </w:p>
          <w:p w14:paraId="716D0634" w14:textId="58531664" w:rsidR="00E11BFD" w:rsidRPr="008200EE" w:rsidRDefault="00E11BFD" w:rsidP="00B31019">
            <w:pPr>
              <w:pStyle w:val="Source"/>
            </w:pPr>
          </w:p>
        </w:tc>
      </w:tr>
    </w:tbl>
    <w:p w14:paraId="0A116FD5" w14:textId="77777777" w:rsidR="00E11BFD" w:rsidRDefault="00E11BFD" w:rsidP="00E11BFD">
      <w:pPr>
        <w:rPr>
          <w:b/>
        </w:rPr>
      </w:pPr>
    </w:p>
    <w:p w14:paraId="23D46E4A" w14:textId="446E3B54" w:rsidR="000E1C0A" w:rsidRPr="00656A3D" w:rsidRDefault="000E1C0A" w:rsidP="000E1C0A">
      <w:pPr>
        <w:rPr>
          <w:rFonts w:ascii="Trebuchet MS" w:hAnsi="Trebuchet MS" w:cstheme="majorHAnsi"/>
          <w:b/>
          <w:sz w:val="20"/>
          <w:szCs w:val="20"/>
        </w:rPr>
      </w:pPr>
      <w:r w:rsidRPr="00863D57">
        <w:rPr>
          <w:rFonts w:ascii="Trebuchet MS" w:hAnsi="Trebuchet MS" w:cstheme="majorHAnsi"/>
          <w:b/>
          <w:sz w:val="20"/>
          <w:szCs w:val="20"/>
        </w:rPr>
        <w:lastRenderedPageBreak/>
        <w:t>Table A.</w:t>
      </w:r>
      <w:r w:rsidR="0033512C" w:rsidRPr="00863D57">
        <w:rPr>
          <w:rFonts w:ascii="Trebuchet MS" w:hAnsi="Trebuchet MS" w:cstheme="majorHAnsi"/>
          <w:b/>
          <w:sz w:val="20"/>
          <w:szCs w:val="20"/>
        </w:rPr>
        <w:t>2</w:t>
      </w:r>
      <w:r w:rsidR="001124B4" w:rsidRPr="00863D57">
        <w:rPr>
          <w:rFonts w:ascii="Trebuchet MS" w:hAnsi="Trebuchet MS" w:cstheme="majorHAnsi"/>
          <w:b/>
          <w:sz w:val="20"/>
          <w:szCs w:val="20"/>
        </w:rPr>
        <w:t>.</w:t>
      </w:r>
      <w:r w:rsidR="0033512C" w:rsidRPr="00863D57">
        <w:rPr>
          <w:rFonts w:ascii="Trebuchet MS" w:hAnsi="Trebuchet MS" w:cstheme="majorHAnsi"/>
          <w:b/>
          <w:sz w:val="20"/>
          <w:szCs w:val="20"/>
        </w:rPr>
        <w:t>1</w:t>
      </w:r>
      <w:r w:rsidRPr="00863D57">
        <w:rPr>
          <w:rFonts w:ascii="Trebuchet MS" w:hAnsi="Trebuchet MS" w:cstheme="majorHAnsi"/>
          <w:b/>
          <w:sz w:val="20"/>
          <w:szCs w:val="20"/>
        </w:rPr>
        <w:t xml:space="preserve"> Irregular migrants – Access to benefits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1"/>
        <w:gridCol w:w="1805"/>
        <w:gridCol w:w="1846"/>
        <w:gridCol w:w="1838"/>
      </w:tblGrid>
      <w:tr w:rsidR="00CF03C8" w:rsidRPr="002B24D2" w14:paraId="7F332D71" w14:textId="77777777" w:rsidTr="00863D57">
        <w:trPr>
          <w:trHeight w:val="21"/>
        </w:trPr>
        <w:tc>
          <w:tcPr>
            <w:tcW w:w="2065" w:type="pct"/>
            <w:shd w:val="clear" w:color="auto" w:fill="4472C4"/>
            <w:tcMar>
              <w:top w:w="142" w:type="dxa"/>
              <w:left w:w="152" w:type="dxa"/>
              <w:bottom w:w="142" w:type="dxa"/>
              <w:right w:w="152" w:type="dxa"/>
            </w:tcMar>
            <w:hideMark/>
          </w:tcPr>
          <w:p w14:paraId="2797C801" w14:textId="015880D2" w:rsidR="000E1C0A" w:rsidRPr="00656A3D" w:rsidRDefault="000E1C0A" w:rsidP="00863D57">
            <w:pPr>
              <w:pStyle w:val="Default"/>
              <w:jc w:val="center"/>
              <w:rPr>
                <w:rFonts w:ascii="Trebuchet MS" w:hAnsi="Trebuchet MS" w:cstheme="majorBidi"/>
                <w:color w:val="FFFFFF" w:themeColor="background1"/>
                <w:sz w:val="18"/>
                <w:szCs w:val="18"/>
              </w:rPr>
            </w:pPr>
            <w:r w:rsidRPr="00656A3D">
              <w:rPr>
                <w:rFonts w:ascii="Trebuchet MS" w:hAnsi="Trebuchet MS" w:cstheme="majorBidi"/>
                <w:b/>
                <w:color w:val="FFFFFF" w:themeColor="background1"/>
                <w:sz w:val="18"/>
                <w:szCs w:val="18"/>
              </w:rPr>
              <w:t>Benefit</w:t>
            </w:r>
          </w:p>
        </w:tc>
        <w:tc>
          <w:tcPr>
            <w:tcW w:w="965" w:type="pct"/>
            <w:shd w:val="clear" w:color="auto" w:fill="4472C4"/>
            <w:tcMar>
              <w:top w:w="142" w:type="dxa"/>
              <w:left w:w="152" w:type="dxa"/>
              <w:bottom w:w="142" w:type="dxa"/>
              <w:right w:w="152" w:type="dxa"/>
            </w:tcMar>
            <w:hideMark/>
          </w:tcPr>
          <w:p w14:paraId="04E08DE8" w14:textId="6EE1C0DF" w:rsidR="000E1C0A" w:rsidRPr="00656A3D" w:rsidRDefault="000E1C0A" w:rsidP="00863D57">
            <w:pPr>
              <w:pStyle w:val="Default"/>
              <w:jc w:val="center"/>
              <w:rPr>
                <w:rFonts w:ascii="Trebuchet MS" w:hAnsi="Trebuchet MS" w:cstheme="majorBidi"/>
                <w:color w:val="FFFFFF" w:themeColor="background1"/>
                <w:sz w:val="18"/>
                <w:szCs w:val="18"/>
              </w:rPr>
            </w:pPr>
            <w:r w:rsidRPr="00656A3D">
              <w:rPr>
                <w:rFonts w:ascii="Trebuchet MS" w:hAnsi="Trebuchet MS" w:cstheme="majorBidi"/>
                <w:b/>
                <w:color w:val="FFFFFF" w:themeColor="background1"/>
                <w:sz w:val="18"/>
                <w:szCs w:val="18"/>
              </w:rPr>
              <w:t>Type</w:t>
            </w:r>
          </w:p>
        </w:tc>
        <w:tc>
          <w:tcPr>
            <w:tcW w:w="987" w:type="pct"/>
            <w:shd w:val="clear" w:color="auto" w:fill="4472C4"/>
            <w:tcMar>
              <w:top w:w="142" w:type="dxa"/>
              <w:left w:w="152" w:type="dxa"/>
              <w:bottom w:w="142" w:type="dxa"/>
              <w:right w:w="152" w:type="dxa"/>
            </w:tcMar>
            <w:hideMark/>
          </w:tcPr>
          <w:p w14:paraId="35B0B1F5" w14:textId="756B0587" w:rsidR="000E1C0A" w:rsidRPr="00656A3D" w:rsidRDefault="000E1C0A" w:rsidP="00863D57">
            <w:pPr>
              <w:pStyle w:val="Default"/>
              <w:jc w:val="center"/>
              <w:rPr>
                <w:rFonts w:ascii="Trebuchet MS" w:hAnsi="Trebuchet MS" w:cstheme="majorBidi"/>
                <w:color w:val="FFFFFF" w:themeColor="background1"/>
                <w:sz w:val="18"/>
                <w:szCs w:val="18"/>
              </w:rPr>
            </w:pPr>
            <w:r w:rsidRPr="00656A3D">
              <w:rPr>
                <w:rFonts w:ascii="Trebuchet MS" w:hAnsi="Trebuchet MS" w:cstheme="majorBidi"/>
                <w:b/>
                <w:color w:val="FFFFFF" w:themeColor="background1"/>
                <w:sz w:val="18"/>
                <w:szCs w:val="18"/>
              </w:rPr>
              <w:t>Regular migrants</w:t>
            </w:r>
          </w:p>
        </w:tc>
        <w:tc>
          <w:tcPr>
            <w:tcW w:w="984" w:type="pct"/>
            <w:shd w:val="clear" w:color="auto" w:fill="4472C4"/>
            <w:tcMar>
              <w:top w:w="142" w:type="dxa"/>
              <w:left w:w="152" w:type="dxa"/>
              <w:bottom w:w="142" w:type="dxa"/>
              <w:right w:w="152" w:type="dxa"/>
            </w:tcMar>
            <w:hideMark/>
          </w:tcPr>
          <w:p w14:paraId="56A7D214" w14:textId="7B7329B0" w:rsidR="000E1C0A" w:rsidRPr="00656A3D" w:rsidRDefault="000E1C0A" w:rsidP="00863D57">
            <w:pPr>
              <w:pStyle w:val="Default"/>
              <w:jc w:val="center"/>
              <w:rPr>
                <w:rFonts w:ascii="Trebuchet MS" w:hAnsi="Trebuchet MS" w:cstheme="majorBidi"/>
                <w:color w:val="FFFFFF" w:themeColor="background1"/>
                <w:sz w:val="18"/>
                <w:szCs w:val="18"/>
              </w:rPr>
            </w:pPr>
            <w:r w:rsidRPr="00656A3D">
              <w:rPr>
                <w:rFonts w:ascii="Trebuchet MS" w:hAnsi="Trebuchet MS" w:cstheme="majorBidi"/>
                <w:b/>
                <w:color w:val="FFFFFF" w:themeColor="background1"/>
                <w:sz w:val="18"/>
                <w:szCs w:val="18"/>
              </w:rPr>
              <w:t>Irregular migrants</w:t>
            </w:r>
          </w:p>
        </w:tc>
      </w:tr>
      <w:tr w:rsidR="00CF03C8" w:rsidRPr="002B24D2" w14:paraId="6BF55A16" w14:textId="77777777" w:rsidTr="00863D57">
        <w:trPr>
          <w:trHeight w:val="132"/>
        </w:trPr>
        <w:tc>
          <w:tcPr>
            <w:tcW w:w="2065" w:type="pct"/>
            <w:shd w:val="clear" w:color="auto" w:fill="E9EBF5"/>
            <w:tcMar>
              <w:top w:w="142" w:type="dxa"/>
              <w:left w:w="152" w:type="dxa"/>
              <w:bottom w:w="142" w:type="dxa"/>
              <w:right w:w="152" w:type="dxa"/>
            </w:tcMar>
            <w:hideMark/>
          </w:tcPr>
          <w:p w14:paraId="696342A2" w14:textId="53E6EDBD" w:rsidR="000E1C0A" w:rsidRPr="00656A3D" w:rsidRDefault="000E1C0A" w:rsidP="00863D57">
            <w:pPr>
              <w:pStyle w:val="Default"/>
              <w:jc w:val="both"/>
              <w:rPr>
                <w:rFonts w:ascii="Trebuchet MS" w:hAnsi="Trebuchet MS" w:cstheme="majorBidi"/>
                <w:sz w:val="18"/>
                <w:szCs w:val="18"/>
              </w:rPr>
            </w:pPr>
            <w:r w:rsidRPr="00656A3D">
              <w:rPr>
                <w:rFonts w:ascii="Trebuchet MS" w:hAnsi="Trebuchet MS" w:cstheme="majorBidi"/>
                <w:b/>
                <w:sz w:val="18"/>
                <w:szCs w:val="18"/>
              </w:rPr>
              <w:t>Old age, invalidity</w:t>
            </w:r>
            <w:r w:rsidR="0059065C" w:rsidRPr="00656A3D">
              <w:rPr>
                <w:rFonts w:ascii="Trebuchet MS" w:hAnsi="Trebuchet MS" w:cstheme="majorBidi"/>
                <w:b/>
                <w:sz w:val="18"/>
                <w:szCs w:val="18"/>
              </w:rPr>
              <w:t>,</w:t>
            </w:r>
            <w:r w:rsidRPr="00656A3D">
              <w:rPr>
                <w:rFonts w:ascii="Trebuchet MS" w:hAnsi="Trebuchet MS" w:cstheme="majorBidi"/>
                <w:b/>
                <w:sz w:val="18"/>
                <w:szCs w:val="18"/>
              </w:rPr>
              <w:t xml:space="preserve"> and</w:t>
            </w:r>
            <w:r w:rsidR="00CF03C8">
              <w:rPr>
                <w:rFonts w:ascii="Trebuchet MS" w:hAnsi="Trebuchet MS" w:cstheme="majorBidi"/>
                <w:b/>
                <w:sz w:val="18"/>
                <w:szCs w:val="18"/>
              </w:rPr>
              <w:t xml:space="preserve"> </w:t>
            </w:r>
            <w:r w:rsidRPr="00656A3D">
              <w:rPr>
                <w:rFonts w:ascii="Trebuchet MS" w:hAnsi="Trebuchet MS" w:cstheme="majorBidi"/>
                <w:b/>
                <w:sz w:val="18"/>
                <w:szCs w:val="18"/>
              </w:rPr>
              <w:t>survivors’ benefits</w:t>
            </w:r>
          </w:p>
        </w:tc>
        <w:tc>
          <w:tcPr>
            <w:tcW w:w="965" w:type="pct"/>
            <w:shd w:val="clear" w:color="auto" w:fill="E9EBF5"/>
            <w:tcMar>
              <w:top w:w="142" w:type="dxa"/>
              <w:left w:w="152" w:type="dxa"/>
              <w:bottom w:w="142" w:type="dxa"/>
              <w:right w:w="152" w:type="dxa"/>
            </w:tcMar>
            <w:hideMark/>
          </w:tcPr>
          <w:p w14:paraId="200020FD" w14:textId="260449A5" w:rsidR="000E1C0A" w:rsidRPr="00656A3D" w:rsidRDefault="000E1C0A" w:rsidP="00863D57">
            <w:pPr>
              <w:pStyle w:val="Default"/>
              <w:rPr>
                <w:rFonts w:ascii="Trebuchet MS" w:hAnsi="Trebuchet MS" w:cstheme="majorBidi"/>
                <w:sz w:val="18"/>
                <w:szCs w:val="18"/>
              </w:rPr>
            </w:pPr>
            <w:r w:rsidRPr="00656A3D">
              <w:rPr>
                <w:rFonts w:ascii="Trebuchet MS" w:hAnsi="Trebuchet MS" w:cstheme="majorBidi"/>
                <w:sz w:val="18"/>
                <w:szCs w:val="18"/>
              </w:rPr>
              <w:t>Social insurance</w:t>
            </w:r>
          </w:p>
        </w:tc>
        <w:tc>
          <w:tcPr>
            <w:tcW w:w="987" w:type="pct"/>
            <w:shd w:val="clear" w:color="auto" w:fill="E9EBF5"/>
            <w:tcMar>
              <w:top w:w="142" w:type="dxa"/>
              <w:left w:w="152" w:type="dxa"/>
              <w:bottom w:w="142" w:type="dxa"/>
              <w:right w:w="152" w:type="dxa"/>
            </w:tcMar>
            <w:hideMark/>
          </w:tcPr>
          <w:p w14:paraId="3FFE3F1C" w14:textId="03DD39BD" w:rsidR="000E1C0A" w:rsidRPr="00656A3D" w:rsidRDefault="000E1C0A" w:rsidP="00863D57">
            <w:pPr>
              <w:pStyle w:val="Default"/>
              <w:jc w:val="center"/>
              <w:rPr>
                <w:rFonts w:ascii="Trebuchet MS" w:hAnsi="Trebuchet MS" w:cstheme="majorBidi"/>
                <w:sz w:val="18"/>
                <w:szCs w:val="18"/>
              </w:rPr>
            </w:pPr>
            <w:r w:rsidRPr="00656A3D">
              <w:rPr>
                <w:rFonts w:ascii="Trebuchet MS" w:hAnsi="Trebuchet MS" w:cstheme="majorBidi"/>
                <w:sz w:val="18"/>
                <w:szCs w:val="18"/>
              </w:rPr>
              <w:t>Yes</w:t>
            </w:r>
          </w:p>
        </w:tc>
        <w:tc>
          <w:tcPr>
            <w:tcW w:w="984" w:type="pct"/>
            <w:shd w:val="clear" w:color="auto" w:fill="E9EBF5"/>
            <w:tcMar>
              <w:top w:w="142" w:type="dxa"/>
              <w:left w:w="152" w:type="dxa"/>
              <w:bottom w:w="142" w:type="dxa"/>
              <w:right w:w="152" w:type="dxa"/>
            </w:tcMar>
            <w:hideMark/>
          </w:tcPr>
          <w:p w14:paraId="17C7EDAA" w14:textId="751F42CE" w:rsidR="000E1C0A" w:rsidRPr="00656A3D" w:rsidRDefault="000E1C0A" w:rsidP="00863D57">
            <w:pPr>
              <w:pStyle w:val="Default"/>
              <w:jc w:val="center"/>
              <w:rPr>
                <w:rFonts w:ascii="Trebuchet MS" w:hAnsi="Trebuchet MS" w:cstheme="majorBidi"/>
                <w:sz w:val="18"/>
                <w:szCs w:val="18"/>
              </w:rPr>
            </w:pPr>
            <w:r w:rsidRPr="00656A3D">
              <w:rPr>
                <w:rFonts w:ascii="Trebuchet MS" w:hAnsi="Trebuchet MS" w:cstheme="majorBidi"/>
                <w:sz w:val="18"/>
                <w:szCs w:val="18"/>
              </w:rPr>
              <w:t>No</w:t>
            </w:r>
          </w:p>
        </w:tc>
      </w:tr>
      <w:tr w:rsidR="00CF03C8" w:rsidRPr="002B24D2" w14:paraId="5CF19CF6" w14:textId="77777777" w:rsidTr="00863D57">
        <w:trPr>
          <w:trHeight w:val="21"/>
        </w:trPr>
        <w:tc>
          <w:tcPr>
            <w:tcW w:w="2065" w:type="pct"/>
            <w:shd w:val="clear" w:color="auto" w:fill="FFFFFF"/>
            <w:tcMar>
              <w:top w:w="142" w:type="dxa"/>
              <w:left w:w="152" w:type="dxa"/>
              <w:bottom w:w="142" w:type="dxa"/>
              <w:right w:w="152" w:type="dxa"/>
            </w:tcMar>
            <w:hideMark/>
          </w:tcPr>
          <w:p w14:paraId="3E8DFB33" w14:textId="6CB3D78F" w:rsidR="000E1C0A" w:rsidRPr="00656A3D" w:rsidRDefault="000E1C0A" w:rsidP="00863D57">
            <w:pPr>
              <w:pStyle w:val="Default"/>
              <w:rPr>
                <w:rFonts w:ascii="Trebuchet MS" w:hAnsi="Trebuchet MS" w:cstheme="majorBidi"/>
                <w:sz w:val="18"/>
                <w:szCs w:val="18"/>
              </w:rPr>
            </w:pPr>
            <w:r w:rsidRPr="00656A3D">
              <w:rPr>
                <w:rFonts w:ascii="Trebuchet MS" w:hAnsi="Trebuchet MS" w:cstheme="majorBidi"/>
                <w:b/>
                <w:sz w:val="18"/>
                <w:szCs w:val="18"/>
              </w:rPr>
              <w:t>Workplace injury benefits</w:t>
            </w:r>
          </w:p>
        </w:tc>
        <w:tc>
          <w:tcPr>
            <w:tcW w:w="965" w:type="pct"/>
            <w:shd w:val="clear" w:color="auto" w:fill="FFFFFF"/>
            <w:tcMar>
              <w:top w:w="142" w:type="dxa"/>
              <w:left w:w="152" w:type="dxa"/>
              <w:bottom w:w="142" w:type="dxa"/>
              <w:right w:w="152" w:type="dxa"/>
            </w:tcMar>
            <w:hideMark/>
          </w:tcPr>
          <w:p w14:paraId="67EA9B15" w14:textId="193F4148" w:rsidR="000E1C0A" w:rsidRPr="00656A3D" w:rsidRDefault="000E1C0A" w:rsidP="00863D57">
            <w:pPr>
              <w:pStyle w:val="Default"/>
              <w:rPr>
                <w:rFonts w:ascii="Trebuchet MS" w:hAnsi="Trebuchet MS" w:cstheme="majorBidi"/>
                <w:sz w:val="18"/>
                <w:szCs w:val="18"/>
              </w:rPr>
            </w:pPr>
            <w:r w:rsidRPr="00656A3D">
              <w:rPr>
                <w:rFonts w:ascii="Trebuchet MS" w:hAnsi="Trebuchet MS" w:cstheme="majorBidi"/>
                <w:sz w:val="18"/>
                <w:szCs w:val="18"/>
              </w:rPr>
              <w:t>Social insurance</w:t>
            </w:r>
          </w:p>
        </w:tc>
        <w:tc>
          <w:tcPr>
            <w:tcW w:w="987" w:type="pct"/>
            <w:shd w:val="clear" w:color="auto" w:fill="FFFFFF"/>
            <w:tcMar>
              <w:top w:w="142" w:type="dxa"/>
              <w:left w:w="152" w:type="dxa"/>
              <w:bottom w:w="142" w:type="dxa"/>
              <w:right w:w="152" w:type="dxa"/>
            </w:tcMar>
            <w:hideMark/>
          </w:tcPr>
          <w:p w14:paraId="2E4C6061" w14:textId="76524E75" w:rsidR="000E1C0A" w:rsidRPr="00656A3D" w:rsidRDefault="000E1C0A" w:rsidP="00863D57">
            <w:pPr>
              <w:pStyle w:val="Default"/>
              <w:jc w:val="center"/>
              <w:rPr>
                <w:rFonts w:ascii="Trebuchet MS" w:hAnsi="Trebuchet MS" w:cstheme="majorBidi"/>
                <w:sz w:val="18"/>
                <w:szCs w:val="18"/>
              </w:rPr>
            </w:pPr>
            <w:r w:rsidRPr="00656A3D">
              <w:rPr>
                <w:rFonts w:ascii="Trebuchet MS" w:hAnsi="Trebuchet MS" w:cstheme="majorBidi"/>
                <w:sz w:val="18"/>
                <w:szCs w:val="18"/>
              </w:rPr>
              <w:t>Yes</w:t>
            </w:r>
          </w:p>
        </w:tc>
        <w:tc>
          <w:tcPr>
            <w:tcW w:w="984" w:type="pct"/>
            <w:shd w:val="clear" w:color="auto" w:fill="FFFFFF"/>
            <w:tcMar>
              <w:top w:w="142" w:type="dxa"/>
              <w:left w:w="152" w:type="dxa"/>
              <w:bottom w:w="142" w:type="dxa"/>
              <w:right w:w="152" w:type="dxa"/>
            </w:tcMar>
            <w:hideMark/>
          </w:tcPr>
          <w:p w14:paraId="431A245B" w14:textId="57CA4CEA" w:rsidR="000E1C0A" w:rsidRPr="00656A3D" w:rsidRDefault="000E1C0A" w:rsidP="00863D57">
            <w:pPr>
              <w:pStyle w:val="Default"/>
              <w:jc w:val="center"/>
              <w:rPr>
                <w:rFonts w:ascii="Trebuchet MS" w:hAnsi="Trebuchet MS" w:cstheme="majorBidi"/>
                <w:sz w:val="18"/>
                <w:szCs w:val="18"/>
              </w:rPr>
            </w:pPr>
            <w:r w:rsidRPr="00656A3D">
              <w:rPr>
                <w:rFonts w:ascii="Trebuchet MS" w:hAnsi="Trebuchet MS" w:cstheme="majorBidi"/>
                <w:sz w:val="18"/>
                <w:szCs w:val="18"/>
              </w:rPr>
              <w:t>No</w:t>
            </w:r>
          </w:p>
        </w:tc>
      </w:tr>
      <w:tr w:rsidR="00CF03C8" w:rsidRPr="002B24D2" w14:paraId="3A0C15DF" w14:textId="77777777" w:rsidTr="00863D57">
        <w:trPr>
          <w:trHeight w:val="21"/>
        </w:trPr>
        <w:tc>
          <w:tcPr>
            <w:tcW w:w="2065" w:type="pct"/>
            <w:shd w:val="clear" w:color="auto" w:fill="E9EBF5"/>
            <w:tcMar>
              <w:top w:w="142" w:type="dxa"/>
              <w:left w:w="152" w:type="dxa"/>
              <w:bottom w:w="142" w:type="dxa"/>
              <w:right w:w="152" w:type="dxa"/>
            </w:tcMar>
            <w:hideMark/>
          </w:tcPr>
          <w:p w14:paraId="3C1F6468" w14:textId="36CAC3FD" w:rsidR="000E1C0A" w:rsidRPr="00656A3D" w:rsidRDefault="000E1C0A" w:rsidP="00863D57">
            <w:pPr>
              <w:pStyle w:val="Default"/>
              <w:rPr>
                <w:rFonts w:ascii="Trebuchet MS" w:hAnsi="Trebuchet MS" w:cstheme="majorBidi"/>
                <w:sz w:val="18"/>
                <w:szCs w:val="18"/>
              </w:rPr>
            </w:pPr>
            <w:r w:rsidRPr="00656A3D">
              <w:rPr>
                <w:rFonts w:ascii="Trebuchet MS" w:hAnsi="Trebuchet MS" w:cstheme="majorBidi"/>
                <w:b/>
                <w:sz w:val="18"/>
                <w:szCs w:val="18"/>
              </w:rPr>
              <w:t xml:space="preserve">Health benefits </w:t>
            </w:r>
          </w:p>
        </w:tc>
        <w:tc>
          <w:tcPr>
            <w:tcW w:w="965" w:type="pct"/>
            <w:shd w:val="clear" w:color="auto" w:fill="E9EBF5"/>
            <w:tcMar>
              <w:top w:w="142" w:type="dxa"/>
              <w:left w:w="152" w:type="dxa"/>
              <w:bottom w:w="142" w:type="dxa"/>
              <w:right w:w="152" w:type="dxa"/>
            </w:tcMar>
            <w:hideMark/>
          </w:tcPr>
          <w:p w14:paraId="1B5BB7DC" w14:textId="3A298440" w:rsidR="000E1C0A" w:rsidRPr="00656A3D" w:rsidRDefault="000E1C0A" w:rsidP="00863D57">
            <w:pPr>
              <w:pStyle w:val="Default"/>
              <w:rPr>
                <w:rFonts w:ascii="Trebuchet MS" w:hAnsi="Trebuchet MS" w:cstheme="majorBidi"/>
                <w:sz w:val="18"/>
                <w:szCs w:val="18"/>
              </w:rPr>
            </w:pPr>
            <w:r w:rsidRPr="00656A3D">
              <w:rPr>
                <w:rFonts w:ascii="Trebuchet MS" w:hAnsi="Trebuchet MS" w:cstheme="majorBidi"/>
                <w:sz w:val="18"/>
                <w:szCs w:val="18"/>
              </w:rPr>
              <w:t>Universal scheme</w:t>
            </w:r>
          </w:p>
        </w:tc>
        <w:tc>
          <w:tcPr>
            <w:tcW w:w="987" w:type="pct"/>
            <w:shd w:val="clear" w:color="auto" w:fill="E9EBF5"/>
            <w:tcMar>
              <w:top w:w="142" w:type="dxa"/>
              <w:left w:w="152" w:type="dxa"/>
              <w:bottom w:w="142" w:type="dxa"/>
              <w:right w:w="152" w:type="dxa"/>
            </w:tcMar>
            <w:hideMark/>
          </w:tcPr>
          <w:p w14:paraId="28A930BD" w14:textId="4D948C35" w:rsidR="000E1C0A" w:rsidRPr="00656A3D" w:rsidRDefault="000E1C0A" w:rsidP="00863D57">
            <w:pPr>
              <w:pStyle w:val="Default"/>
              <w:jc w:val="center"/>
              <w:rPr>
                <w:rFonts w:ascii="Trebuchet MS" w:hAnsi="Trebuchet MS" w:cstheme="majorBidi"/>
                <w:sz w:val="18"/>
                <w:szCs w:val="18"/>
              </w:rPr>
            </w:pPr>
            <w:r w:rsidRPr="00656A3D">
              <w:rPr>
                <w:rFonts w:ascii="Trebuchet MS" w:hAnsi="Trebuchet MS" w:cstheme="majorBidi"/>
                <w:sz w:val="18"/>
                <w:szCs w:val="18"/>
              </w:rPr>
              <w:t>Yes</w:t>
            </w:r>
          </w:p>
        </w:tc>
        <w:tc>
          <w:tcPr>
            <w:tcW w:w="984" w:type="pct"/>
            <w:shd w:val="clear" w:color="auto" w:fill="E9EBF5"/>
            <w:tcMar>
              <w:top w:w="142" w:type="dxa"/>
              <w:left w:w="152" w:type="dxa"/>
              <w:bottom w:w="142" w:type="dxa"/>
              <w:right w:w="152" w:type="dxa"/>
            </w:tcMar>
            <w:hideMark/>
          </w:tcPr>
          <w:p w14:paraId="7DBF96E0" w14:textId="11A12B2D" w:rsidR="000E1C0A" w:rsidRPr="00656A3D" w:rsidRDefault="000E1C0A" w:rsidP="00863D57">
            <w:pPr>
              <w:pStyle w:val="Default"/>
              <w:keepNext/>
              <w:jc w:val="center"/>
              <w:rPr>
                <w:rFonts w:ascii="Trebuchet MS" w:hAnsi="Trebuchet MS" w:cstheme="majorBidi"/>
                <w:sz w:val="18"/>
                <w:szCs w:val="18"/>
              </w:rPr>
            </w:pPr>
            <w:r w:rsidRPr="00656A3D">
              <w:rPr>
                <w:rFonts w:ascii="Trebuchet MS" w:hAnsi="Trebuchet MS" w:cstheme="majorBidi"/>
                <w:sz w:val="18"/>
                <w:szCs w:val="18"/>
              </w:rPr>
              <w:t>No</w:t>
            </w:r>
          </w:p>
        </w:tc>
      </w:tr>
    </w:tbl>
    <w:p w14:paraId="7CAFE7A5" w14:textId="27884C8D" w:rsidR="000E1C0A" w:rsidRPr="00656A3D" w:rsidRDefault="000E1C0A" w:rsidP="00B31019">
      <w:pPr>
        <w:pStyle w:val="Source"/>
        <w:spacing w:before="40"/>
      </w:pPr>
      <w:r w:rsidRPr="00656A3D">
        <w:rPr>
          <w:b/>
          <w:i/>
        </w:rPr>
        <w:t>Source</w:t>
      </w:r>
      <w:r w:rsidRPr="00656A3D">
        <w:rPr>
          <w:i/>
        </w:rPr>
        <w:t>:</w:t>
      </w:r>
      <w:r w:rsidRPr="00656A3D">
        <w:t xml:space="preserve"> Dong et al. </w:t>
      </w:r>
      <w:r w:rsidR="002A630A">
        <w:t>Forthcoming</w:t>
      </w:r>
      <w:r w:rsidR="00921BB1" w:rsidRPr="00656A3D">
        <w:t>.</w:t>
      </w:r>
    </w:p>
    <w:p w14:paraId="2B0A4D78" w14:textId="5D3B5EE6" w:rsidR="000E1C0A" w:rsidRPr="00A06267" w:rsidRDefault="000E1C0A" w:rsidP="0002737D">
      <w:pPr>
        <w:pStyle w:val="Table"/>
      </w:pPr>
      <w:r w:rsidRPr="00A06267">
        <w:t xml:space="preserve">Table </w:t>
      </w:r>
      <w:r>
        <w:t>A.</w:t>
      </w:r>
      <w:r w:rsidR="0033512C">
        <w:t>2</w:t>
      </w:r>
      <w:r w:rsidR="00374801" w:rsidRPr="00374801">
        <w:t>.</w:t>
      </w:r>
      <w:r w:rsidR="00374801">
        <w:fldChar w:fldCharType="begin"/>
      </w:r>
      <w:r w:rsidR="00374801">
        <w:instrText>SEQ Table_A.3. \* ARABIC</w:instrText>
      </w:r>
      <w:r w:rsidR="00374801">
        <w:fldChar w:fldCharType="separate"/>
      </w:r>
      <w:r w:rsidR="00E730E1">
        <w:rPr>
          <w:noProof/>
        </w:rPr>
        <w:t>2</w:t>
      </w:r>
      <w:r w:rsidR="00374801">
        <w:fldChar w:fldCharType="end"/>
      </w:r>
      <w:r w:rsidRPr="00A06267">
        <w:t xml:space="preserve"> Logistics Performance Index (LPI) 2023 Ranking</w:t>
      </w:r>
    </w:p>
    <w:tbl>
      <w:tblPr>
        <w:tblW w:w="9735" w:type="dxa"/>
        <w:tblInd w:w="-5" w:type="dxa"/>
        <w:tblLayout w:type="fixed"/>
        <w:tblLook w:val="04A0" w:firstRow="1" w:lastRow="0" w:firstColumn="1" w:lastColumn="0" w:noHBand="0" w:noVBand="1"/>
      </w:tblPr>
      <w:tblGrid>
        <w:gridCol w:w="1805"/>
        <w:gridCol w:w="900"/>
        <w:gridCol w:w="1170"/>
        <w:gridCol w:w="1350"/>
        <w:gridCol w:w="1260"/>
        <w:gridCol w:w="1170"/>
        <w:gridCol w:w="1024"/>
        <w:gridCol w:w="1056"/>
      </w:tblGrid>
      <w:tr w:rsidR="003828BD" w:rsidRPr="00583E67" w14:paraId="18E1830A" w14:textId="77777777" w:rsidTr="00656A3D">
        <w:trPr>
          <w:cantSplit/>
          <w:trHeight w:val="1134"/>
          <w:tblHeader/>
        </w:trPr>
        <w:tc>
          <w:tcPr>
            <w:tcW w:w="1805" w:type="dxa"/>
            <w:shd w:val="clear" w:color="auto" w:fill="002060"/>
            <w:noWrap/>
            <w:vAlign w:val="center"/>
            <w:hideMark/>
          </w:tcPr>
          <w:p w14:paraId="454AB050" w14:textId="3988B6BC" w:rsidR="000E1C0A" w:rsidRPr="00656A3D" w:rsidRDefault="000E1C0A" w:rsidP="002D17A3">
            <w:pPr>
              <w:spacing w:after="0" w:line="240" w:lineRule="auto"/>
              <w:jc w:val="center"/>
              <w:rPr>
                <w:rFonts w:ascii="Trebuchet MS" w:eastAsia="Times New Roman" w:hAnsi="Trebuchet MS" w:cs="Arial"/>
                <w:b/>
                <w:color w:val="FFFFFF" w:themeColor="background1"/>
                <w:sz w:val="18"/>
                <w:szCs w:val="18"/>
              </w:rPr>
            </w:pPr>
            <w:r w:rsidRPr="00656A3D">
              <w:rPr>
                <w:rFonts w:ascii="Trebuchet MS" w:eastAsia="Times New Roman" w:hAnsi="Trebuchet MS" w:cs="Arial"/>
                <w:b/>
                <w:color w:val="FFFFFF" w:themeColor="background1"/>
                <w:sz w:val="18"/>
                <w:szCs w:val="18"/>
              </w:rPr>
              <w:t>Country</w:t>
            </w:r>
          </w:p>
        </w:tc>
        <w:tc>
          <w:tcPr>
            <w:tcW w:w="900" w:type="dxa"/>
            <w:shd w:val="clear" w:color="auto" w:fill="002060"/>
            <w:vAlign w:val="center"/>
            <w:hideMark/>
          </w:tcPr>
          <w:p w14:paraId="5D5ABDFC" w14:textId="241BED98"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Overall LPI rank</w:t>
            </w:r>
          </w:p>
        </w:tc>
        <w:tc>
          <w:tcPr>
            <w:tcW w:w="1170" w:type="dxa"/>
            <w:shd w:val="clear" w:color="auto" w:fill="002060"/>
            <w:vAlign w:val="center"/>
            <w:hideMark/>
          </w:tcPr>
          <w:p w14:paraId="7D374CFA" w14:textId="30FA3B7B"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Customs Clearance Process</w:t>
            </w:r>
          </w:p>
        </w:tc>
        <w:tc>
          <w:tcPr>
            <w:tcW w:w="1350" w:type="dxa"/>
            <w:shd w:val="clear" w:color="auto" w:fill="002060"/>
            <w:vAlign w:val="center"/>
            <w:hideMark/>
          </w:tcPr>
          <w:p w14:paraId="4D910A41" w14:textId="4D80CC07"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 xml:space="preserve">Quality of Transport </w:t>
            </w:r>
          </w:p>
          <w:p w14:paraId="50434E22" w14:textId="268C1E4E"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and Trade Infrastructure</w:t>
            </w:r>
          </w:p>
        </w:tc>
        <w:tc>
          <w:tcPr>
            <w:tcW w:w="1260" w:type="dxa"/>
            <w:shd w:val="clear" w:color="auto" w:fill="002060"/>
            <w:vAlign w:val="center"/>
            <w:hideMark/>
          </w:tcPr>
          <w:p w14:paraId="4119451E" w14:textId="2F3604EF"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International shipments</w:t>
            </w:r>
          </w:p>
        </w:tc>
        <w:tc>
          <w:tcPr>
            <w:tcW w:w="1170" w:type="dxa"/>
            <w:shd w:val="clear" w:color="auto" w:fill="002060"/>
            <w:vAlign w:val="center"/>
            <w:hideMark/>
          </w:tcPr>
          <w:p w14:paraId="017D76C7" w14:textId="30F5066A"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Logistics quality and competence</w:t>
            </w:r>
          </w:p>
        </w:tc>
        <w:tc>
          <w:tcPr>
            <w:tcW w:w="1024" w:type="dxa"/>
            <w:shd w:val="clear" w:color="auto" w:fill="002060"/>
            <w:vAlign w:val="center"/>
            <w:hideMark/>
          </w:tcPr>
          <w:p w14:paraId="454272D4" w14:textId="088A06C6"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Timeliness</w:t>
            </w:r>
          </w:p>
        </w:tc>
        <w:tc>
          <w:tcPr>
            <w:tcW w:w="1056" w:type="dxa"/>
            <w:shd w:val="clear" w:color="auto" w:fill="002060"/>
            <w:vAlign w:val="center"/>
            <w:hideMark/>
          </w:tcPr>
          <w:p w14:paraId="213C143F" w14:textId="3B8FCE10" w:rsidR="000E1C0A" w:rsidRPr="00656A3D" w:rsidRDefault="000E1C0A" w:rsidP="002D17A3">
            <w:pPr>
              <w:spacing w:after="0" w:line="240" w:lineRule="auto"/>
              <w:jc w:val="center"/>
              <w:rPr>
                <w:rFonts w:ascii="Trebuchet MS" w:eastAsia="Times New Roman" w:hAnsi="Trebuchet MS" w:cs="Arial"/>
                <w:b/>
                <w:color w:val="FFFFFF" w:themeColor="background1"/>
                <w:sz w:val="16"/>
                <w:szCs w:val="16"/>
              </w:rPr>
            </w:pPr>
            <w:r w:rsidRPr="00656A3D">
              <w:rPr>
                <w:rFonts w:ascii="Trebuchet MS" w:eastAsia="Times New Roman" w:hAnsi="Trebuchet MS" w:cs="Arial"/>
                <w:b/>
                <w:color w:val="FFFFFF" w:themeColor="background1"/>
                <w:sz w:val="16"/>
                <w:szCs w:val="16"/>
              </w:rPr>
              <w:t>Tracking and tracing</w:t>
            </w:r>
          </w:p>
        </w:tc>
      </w:tr>
      <w:tr w:rsidR="00621068" w:rsidRPr="00583E67" w14:paraId="7E8CDB54" w14:textId="77777777" w:rsidTr="00656A3D">
        <w:trPr>
          <w:trHeight w:val="288"/>
        </w:trPr>
        <w:tc>
          <w:tcPr>
            <w:tcW w:w="1805" w:type="dxa"/>
            <w:tcBorders>
              <w:bottom w:val="single" w:sz="4" w:space="0" w:color="A7BBD5" w:themeColor="accent1" w:themeTint="66"/>
            </w:tcBorders>
            <w:shd w:val="clear" w:color="auto" w:fill="auto"/>
            <w:noWrap/>
            <w:vAlign w:val="center"/>
          </w:tcPr>
          <w:p w14:paraId="1E6CDB6B" w14:textId="60369204"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Singapore</w:t>
            </w:r>
          </w:p>
        </w:tc>
        <w:tc>
          <w:tcPr>
            <w:tcW w:w="900" w:type="dxa"/>
            <w:tcBorders>
              <w:bottom w:val="single" w:sz="4" w:space="0" w:color="A7BBD5" w:themeColor="accent1" w:themeTint="66"/>
            </w:tcBorders>
            <w:shd w:val="clear" w:color="auto" w:fill="auto"/>
            <w:noWrap/>
            <w:vAlign w:val="center"/>
          </w:tcPr>
          <w:p w14:paraId="512A67F8" w14:textId="3450052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w:t>
            </w:r>
          </w:p>
        </w:tc>
        <w:tc>
          <w:tcPr>
            <w:tcW w:w="1170" w:type="dxa"/>
            <w:tcBorders>
              <w:bottom w:val="single" w:sz="4" w:space="0" w:color="A7BBD5" w:themeColor="accent1" w:themeTint="66"/>
            </w:tcBorders>
            <w:shd w:val="clear" w:color="auto" w:fill="auto"/>
            <w:noWrap/>
            <w:vAlign w:val="center"/>
          </w:tcPr>
          <w:p w14:paraId="62E37599" w14:textId="135973FF"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w:t>
            </w:r>
          </w:p>
        </w:tc>
        <w:tc>
          <w:tcPr>
            <w:tcW w:w="1350" w:type="dxa"/>
            <w:tcBorders>
              <w:bottom w:val="single" w:sz="4" w:space="0" w:color="A7BBD5" w:themeColor="accent1" w:themeTint="66"/>
            </w:tcBorders>
            <w:shd w:val="clear" w:color="auto" w:fill="auto"/>
            <w:noWrap/>
            <w:vAlign w:val="center"/>
          </w:tcPr>
          <w:p w14:paraId="4B236CFC" w14:textId="1357783F"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w:t>
            </w:r>
          </w:p>
        </w:tc>
        <w:tc>
          <w:tcPr>
            <w:tcW w:w="1260" w:type="dxa"/>
            <w:tcBorders>
              <w:bottom w:val="single" w:sz="4" w:space="0" w:color="A7BBD5" w:themeColor="accent1" w:themeTint="66"/>
            </w:tcBorders>
            <w:shd w:val="clear" w:color="auto" w:fill="auto"/>
            <w:noWrap/>
            <w:vAlign w:val="center"/>
          </w:tcPr>
          <w:p w14:paraId="2918E9CC" w14:textId="05E2D78C"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w:t>
            </w:r>
          </w:p>
        </w:tc>
        <w:tc>
          <w:tcPr>
            <w:tcW w:w="1170" w:type="dxa"/>
            <w:tcBorders>
              <w:bottom w:val="single" w:sz="4" w:space="0" w:color="A7BBD5" w:themeColor="accent1" w:themeTint="66"/>
            </w:tcBorders>
            <w:shd w:val="clear" w:color="auto" w:fill="auto"/>
            <w:noWrap/>
            <w:vAlign w:val="center"/>
          </w:tcPr>
          <w:p w14:paraId="3BCE0051" w14:textId="791C2199"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w:t>
            </w:r>
          </w:p>
        </w:tc>
        <w:tc>
          <w:tcPr>
            <w:tcW w:w="1024" w:type="dxa"/>
            <w:tcBorders>
              <w:bottom w:val="single" w:sz="4" w:space="0" w:color="A7BBD5" w:themeColor="accent1" w:themeTint="66"/>
            </w:tcBorders>
            <w:shd w:val="clear" w:color="auto" w:fill="auto"/>
            <w:noWrap/>
            <w:vAlign w:val="center"/>
          </w:tcPr>
          <w:p w14:paraId="68EEE8A8" w14:textId="45A8407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w:t>
            </w:r>
          </w:p>
        </w:tc>
        <w:tc>
          <w:tcPr>
            <w:tcW w:w="1056" w:type="dxa"/>
            <w:tcBorders>
              <w:bottom w:val="single" w:sz="4" w:space="0" w:color="A7BBD5" w:themeColor="accent1" w:themeTint="66"/>
            </w:tcBorders>
            <w:shd w:val="clear" w:color="auto" w:fill="auto"/>
            <w:noWrap/>
            <w:vAlign w:val="center"/>
          </w:tcPr>
          <w:p w14:paraId="30606EF1" w14:textId="3A3C0DED"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w:t>
            </w:r>
          </w:p>
        </w:tc>
      </w:tr>
      <w:tr w:rsidR="00621068" w:rsidRPr="00583E67" w14:paraId="74CCCFE9"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7CC7262A" w14:textId="2841F869"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China</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7F1014D0" w14:textId="08128B31"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19</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26FB5DA2" w14:textId="277A541B"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31</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1443E340" w14:textId="68B68C42"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14</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0B71C819" w14:textId="6C5ABD31"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14</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27162340" w14:textId="09DDF9F9"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20</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1753229F" w14:textId="51CE24C5"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30</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6B63F577" w14:textId="0AB2F25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23</w:t>
            </w:r>
          </w:p>
        </w:tc>
      </w:tr>
      <w:tr w:rsidR="00621068" w:rsidRPr="00583E67" w14:paraId="1B2B900D"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70511D3F" w14:textId="0ABD218A"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Malaysia</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72DBE09C" w14:textId="181948C5"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26</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7844C212" w14:textId="0F7D2AE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31</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00D6210F" w14:textId="6486EA4E"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30</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31BEDAF2" w14:textId="3BCF4AF8"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8</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01E24CFC" w14:textId="1DEEB679"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28</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61B02112" w14:textId="1DEAD65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30</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3CF1969B" w14:textId="470C6908"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29</w:t>
            </w:r>
          </w:p>
        </w:tc>
      </w:tr>
      <w:tr w:rsidR="003828BD" w:rsidRPr="00583E67" w14:paraId="3DCA1C5F" w14:textId="77777777" w:rsidTr="00656A3D">
        <w:trPr>
          <w:trHeight w:val="288"/>
        </w:trPr>
        <w:tc>
          <w:tcPr>
            <w:tcW w:w="1805"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71421118" w14:textId="7FE92370" w:rsidR="000E1C0A" w:rsidRPr="00656A3D" w:rsidRDefault="000E1C0A" w:rsidP="002D17A3">
            <w:pPr>
              <w:spacing w:after="0" w:line="240" w:lineRule="auto"/>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Thailand</w:t>
            </w:r>
          </w:p>
        </w:tc>
        <w:tc>
          <w:tcPr>
            <w:tcW w:w="90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0E96C5C6" w14:textId="095ACDC0"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34</w:t>
            </w:r>
          </w:p>
        </w:tc>
        <w:tc>
          <w:tcPr>
            <w:tcW w:w="117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492E00BD" w14:textId="761988BB"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31</w:t>
            </w:r>
          </w:p>
        </w:tc>
        <w:tc>
          <w:tcPr>
            <w:tcW w:w="135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04DF3B44" w14:textId="195CDCF8"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25</w:t>
            </w:r>
          </w:p>
        </w:tc>
        <w:tc>
          <w:tcPr>
            <w:tcW w:w="126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02F142B3" w14:textId="73A73C44"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22</w:t>
            </w:r>
          </w:p>
        </w:tc>
        <w:tc>
          <w:tcPr>
            <w:tcW w:w="117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7C9879D5" w14:textId="6D61A182"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38</w:t>
            </w:r>
          </w:p>
        </w:tc>
        <w:tc>
          <w:tcPr>
            <w:tcW w:w="1024"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0086D20D" w14:textId="5B34F6C7"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46</w:t>
            </w:r>
          </w:p>
        </w:tc>
        <w:tc>
          <w:tcPr>
            <w:tcW w:w="1056"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4F34F5E4" w14:textId="115014E1" w:rsidR="000E1C0A" w:rsidRPr="00656A3D" w:rsidRDefault="000E1C0A" w:rsidP="002D17A3">
            <w:pPr>
              <w:spacing w:after="0" w:line="240" w:lineRule="auto"/>
              <w:jc w:val="center"/>
              <w:rPr>
                <w:rFonts w:ascii="Trebuchet MS" w:eastAsia="Times New Roman" w:hAnsi="Trebuchet MS" w:cs="Arial"/>
                <w:b/>
                <w:color w:val="000000" w:themeColor="text1"/>
                <w:sz w:val="18"/>
                <w:szCs w:val="18"/>
              </w:rPr>
            </w:pPr>
            <w:r w:rsidRPr="00656A3D">
              <w:rPr>
                <w:rFonts w:ascii="Trebuchet MS" w:eastAsia="Times New Roman" w:hAnsi="Trebuchet MS" w:cs="Arial"/>
                <w:b/>
                <w:color w:val="000000" w:themeColor="text1"/>
                <w:sz w:val="18"/>
                <w:szCs w:val="18"/>
              </w:rPr>
              <w:t>34</w:t>
            </w:r>
          </w:p>
        </w:tc>
      </w:tr>
      <w:tr w:rsidR="003828BD" w:rsidRPr="00842429" w14:paraId="5F66134A" w14:textId="77777777" w:rsidTr="00656A3D">
        <w:trPr>
          <w:trHeight w:val="288"/>
        </w:trPr>
        <w:tc>
          <w:tcPr>
            <w:tcW w:w="1805"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0DAF4713" w14:textId="69D2D981" w:rsidR="000E1C0A" w:rsidRPr="00656A3D" w:rsidRDefault="000E1C0A" w:rsidP="002D17A3">
            <w:pPr>
              <w:spacing w:after="0" w:line="240" w:lineRule="auto"/>
              <w:ind w:left="144"/>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-&gt; Thailand 2018</w:t>
            </w:r>
          </w:p>
        </w:tc>
        <w:tc>
          <w:tcPr>
            <w:tcW w:w="90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18466039" w14:textId="67480ED9"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32</w:t>
            </w:r>
          </w:p>
        </w:tc>
        <w:tc>
          <w:tcPr>
            <w:tcW w:w="117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5EE626A6" w14:textId="76DFC9B7"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36</w:t>
            </w:r>
          </w:p>
        </w:tc>
        <w:tc>
          <w:tcPr>
            <w:tcW w:w="135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3E659422" w14:textId="7D82121C"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41</w:t>
            </w:r>
          </w:p>
        </w:tc>
        <w:tc>
          <w:tcPr>
            <w:tcW w:w="126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59F0B06B" w14:textId="7E44B6B7"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25</w:t>
            </w:r>
          </w:p>
        </w:tc>
        <w:tc>
          <w:tcPr>
            <w:tcW w:w="1170"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01ACF16F" w14:textId="223A984C"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32</w:t>
            </w:r>
          </w:p>
        </w:tc>
        <w:tc>
          <w:tcPr>
            <w:tcW w:w="1024"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62B6ECC3" w14:textId="15E03234"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28</w:t>
            </w:r>
          </w:p>
        </w:tc>
        <w:tc>
          <w:tcPr>
            <w:tcW w:w="1056" w:type="dxa"/>
            <w:tcBorders>
              <w:top w:val="single" w:sz="4" w:space="0" w:color="A7BBD5" w:themeColor="accent1" w:themeTint="66"/>
              <w:bottom w:val="single" w:sz="4" w:space="0" w:color="A7BBD5" w:themeColor="accent1" w:themeTint="66"/>
            </w:tcBorders>
            <w:shd w:val="clear" w:color="auto" w:fill="EAF2F7" w:themeFill="accent2" w:themeFillTint="33"/>
            <w:noWrap/>
            <w:vAlign w:val="center"/>
          </w:tcPr>
          <w:p w14:paraId="1EA5F2F3" w14:textId="7CCA48F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33</w:t>
            </w:r>
          </w:p>
        </w:tc>
      </w:tr>
      <w:tr w:rsidR="00621068" w:rsidRPr="00583E67" w14:paraId="0E7A473D"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69FEF4DE" w14:textId="063FEBD1"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India</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7504D391" w14:textId="71558BC7"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38</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55356998" w14:textId="2959384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47</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7D20D93C" w14:textId="1950A763"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47</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703ADE03" w14:textId="1287FCE5"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22</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1D6405D0" w14:textId="6B140842"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38</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213FC59F" w14:textId="292FFCE1"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35</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268D1C10" w14:textId="28E2AFC1"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41</w:t>
            </w:r>
          </w:p>
        </w:tc>
      </w:tr>
      <w:tr w:rsidR="00621068" w:rsidRPr="00583E67" w14:paraId="68F6DE2B"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040BB632" w14:textId="31E8405A"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Philippines</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50595722" w14:textId="429AFCBE"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43</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0E708B52" w14:textId="595A5BF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59</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0E9D85B6" w14:textId="21B636AD"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47</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4C1F3E14" w14:textId="7CDDFBA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47</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659D707C" w14:textId="5F19BE5B"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46</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63F1427A" w14:textId="51C676CF"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21</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39901EB5" w14:textId="44F14D4D"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49</w:t>
            </w:r>
          </w:p>
        </w:tc>
      </w:tr>
      <w:tr w:rsidR="00621068" w:rsidRPr="00583E67" w14:paraId="7FA394DC"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61B5FE59" w14:textId="54D542B4"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Vietnam</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1DEB774C" w14:textId="2E129635"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43</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6D4C65B7" w14:textId="57B12868"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43</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26E705C8" w14:textId="2AA75405"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47</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07D59D81" w14:textId="24545D2C"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38</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29081B28" w14:textId="04E00E3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53</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37069756" w14:textId="4E426711"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59</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12E894DD" w14:textId="0A6A52F5"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41</w:t>
            </w:r>
          </w:p>
        </w:tc>
      </w:tr>
      <w:tr w:rsidR="00621068" w:rsidRPr="00583E67" w14:paraId="365D011C"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4192AD10" w14:textId="7F66D9F6"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Indonesia</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33062371" w14:textId="40CC93BC"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61</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0D8A7DB8" w14:textId="2401208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59</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1505C341" w14:textId="656BB7FD"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59</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19204C10" w14:textId="3AFCE697"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57</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0712C52D" w14:textId="58550B10"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65</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76230E22" w14:textId="0EC87D7F"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59</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39E236CC" w14:textId="0C6B805E"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65</w:t>
            </w:r>
          </w:p>
        </w:tc>
      </w:tr>
      <w:tr w:rsidR="00621068" w:rsidRPr="00583E67" w14:paraId="6ED5383A" w14:textId="77777777" w:rsidTr="00656A3D">
        <w:trPr>
          <w:trHeight w:val="288"/>
        </w:trPr>
        <w:tc>
          <w:tcPr>
            <w:tcW w:w="1805" w:type="dxa"/>
            <w:tcBorders>
              <w:top w:val="single" w:sz="4" w:space="0" w:color="A7BBD5" w:themeColor="accent1" w:themeTint="66"/>
              <w:bottom w:val="single" w:sz="4" w:space="0" w:color="A7BBD5" w:themeColor="accent1" w:themeTint="66"/>
            </w:tcBorders>
            <w:noWrap/>
            <w:vAlign w:val="center"/>
          </w:tcPr>
          <w:p w14:paraId="29005036" w14:textId="75C07DC9"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Cambodia</w:t>
            </w:r>
          </w:p>
        </w:tc>
        <w:tc>
          <w:tcPr>
            <w:tcW w:w="900" w:type="dxa"/>
            <w:tcBorders>
              <w:top w:val="single" w:sz="4" w:space="0" w:color="A7BBD5" w:themeColor="accent1" w:themeTint="66"/>
              <w:bottom w:val="single" w:sz="4" w:space="0" w:color="A7BBD5" w:themeColor="accent1" w:themeTint="66"/>
            </w:tcBorders>
            <w:shd w:val="clear" w:color="auto" w:fill="auto"/>
            <w:noWrap/>
            <w:vAlign w:val="center"/>
          </w:tcPr>
          <w:p w14:paraId="0C11F492" w14:textId="2FA01440"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115</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27E04D6C" w14:textId="4665858B"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110</w:t>
            </w:r>
          </w:p>
        </w:tc>
        <w:tc>
          <w:tcPr>
            <w:tcW w:w="1350" w:type="dxa"/>
            <w:tcBorders>
              <w:top w:val="single" w:sz="4" w:space="0" w:color="A7BBD5" w:themeColor="accent1" w:themeTint="66"/>
              <w:bottom w:val="single" w:sz="4" w:space="0" w:color="A7BBD5" w:themeColor="accent1" w:themeTint="66"/>
            </w:tcBorders>
            <w:shd w:val="clear" w:color="auto" w:fill="auto"/>
            <w:noWrap/>
            <w:vAlign w:val="center"/>
          </w:tcPr>
          <w:p w14:paraId="6306ED8B" w14:textId="3EE60A00"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126</w:t>
            </w:r>
          </w:p>
        </w:tc>
        <w:tc>
          <w:tcPr>
            <w:tcW w:w="1260" w:type="dxa"/>
            <w:tcBorders>
              <w:top w:val="single" w:sz="4" w:space="0" w:color="A7BBD5" w:themeColor="accent1" w:themeTint="66"/>
              <w:bottom w:val="single" w:sz="4" w:space="0" w:color="A7BBD5" w:themeColor="accent1" w:themeTint="66"/>
            </w:tcBorders>
            <w:shd w:val="clear" w:color="auto" w:fill="auto"/>
            <w:noWrap/>
            <w:vAlign w:val="center"/>
          </w:tcPr>
          <w:p w14:paraId="1BD3C803" w14:textId="03D746C0"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121</w:t>
            </w:r>
          </w:p>
        </w:tc>
        <w:tc>
          <w:tcPr>
            <w:tcW w:w="1170" w:type="dxa"/>
            <w:tcBorders>
              <w:top w:val="single" w:sz="4" w:space="0" w:color="A7BBD5" w:themeColor="accent1" w:themeTint="66"/>
              <w:bottom w:val="single" w:sz="4" w:space="0" w:color="A7BBD5" w:themeColor="accent1" w:themeTint="66"/>
            </w:tcBorders>
            <w:shd w:val="clear" w:color="auto" w:fill="auto"/>
            <w:noWrap/>
            <w:vAlign w:val="center"/>
          </w:tcPr>
          <w:p w14:paraId="26ACDEC1" w14:textId="4B74C8E6"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110</w:t>
            </w:r>
          </w:p>
        </w:tc>
        <w:tc>
          <w:tcPr>
            <w:tcW w:w="1024" w:type="dxa"/>
            <w:tcBorders>
              <w:top w:val="single" w:sz="4" w:space="0" w:color="A7BBD5" w:themeColor="accent1" w:themeTint="66"/>
              <w:bottom w:val="single" w:sz="4" w:space="0" w:color="A7BBD5" w:themeColor="accent1" w:themeTint="66"/>
            </w:tcBorders>
            <w:shd w:val="clear" w:color="auto" w:fill="auto"/>
            <w:noWrap/>
            <w:vAlign w:val="center"/>
          </w:tcPr>
          <w:p w14:paraId="50EA466A" w14:textId="32D04527"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110</w:t>
            </w:r>
          </w:p>
        </w:tc>
        <w:tc>
          <w:tcPr>
            <w:tcW w:w="1056" w:type="dxa"/>
            <w:tcBorders>
              <w:top w:val="single" w:sz="4" w:space="0" w:color="A7BBD5" w:themeColor="accent1" w:themeTint="66"/>
              <w:bottom w:val="single" w:sz="4" w:space="0" w:color="A7BBD5" w:themeColor="accent1" w:themeTint="66"/>
            </w:tcBorders>
            <w:shd w:val="clear" w:color="auto" w:fill="auto"/>
            <w:noWrap/>
            <w:vAlign w:val="center"/>
          </w:tcPr>
          <w:p w14:paraId="469C221B" w14:textId="5A36BB59"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80</w:t>
            </w:r>
          </w:p>
        </w:tc>
      </w:tr>
      <w:tr w:rsidR="00BC2DED" w:rsidRPr="00583E67" w14:paraId="47E21DBF" w14:textId="77777777" w:rsidTr="00656A3D">
        <w:trPr>
          <w:cantSplit/>
          <w:trHeight w:val="288"/>
        </w:trPr>
        <w:tc>
          <w:tcPr>
            <w:tcW w:w="1805" w:type="dxa"/>
            <w:tcBorders>
              <w:top w:val="single" w:sz="4" w:space="0" w:color="A7BBD5" w:themeColor="accent1" w:themeTint="66"/>
              <w:bottom w:val="single" w:sz="12" w:space="0" w:color="A7BBD5" w:themeColor="accent1" w:themeTint="66"/>
            </w:tcBorders>
            <w:noWrap/>
            <w:vAlign w:val="center"/>
          </w:tcPr>
          <w:p w14:paraId="04DB01C9" w14:textId="640B9E5B" w:rsidR="000E1C0A" w:rsidRPr="00656A3D" w:rsidRDefault="000E1C0A" w:rsidP="002D17A3">
            <w:pPr>
              <w:spacing w:after="0" w:line="240" w:lineRule="auto"/>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Lao PDR</w:t>
            </w:r>
          </w:p>
        </w:tc>
        <w:tc>
          <w:tcPr>
            <w:tcW w:w="900" w:type="dxa"/>
            <w:tcBorders>
              <w:top w:val="single" w:sz="4" w:space="0" w:color="A7BBD5" w:themeColor="accent1" w:themeTint="66"/>
              <w:bottom w:val="single" w:sz="12" w:space="0" w:color="A7BBD5" w:themeColor="accent1" w:themeTint="66"/>
            </w:tcBorders>
            <w:shd w:val="clear" w:color="auto" w:fill="auto"/>
            <w:noWrap/>
            <w:vAlign w:val="center"/>
          </w:tcPr>
          <w:p w14:paraId="60E0211B" w14:textId="68B16872"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115</w:t>
            </w:r>
          </w:p>
        </w:tc>
        <w:tc>
          <w:tcPr>
            <w:tcW w:w="1170" w:type="dxa"/>
            <w:tcBorders>
              <w:top w:val="single" w:sz="4" w:space="0" w:color="A7BBD5" w:themeColor="accent1" w:themeTint="66"/>
              <w:bottom w:val="single" w:sz="12" w:space="0" w:color="A7BBD5" w:themeColor="accent1" w:themeTint="66"/>
            </w:tcBorders>
            <w:shd w:val="clear" w:color="auto" w:fill="auto"/>
            <w:noWrap/>
            <w:vAlign w:val="center"/>
          </w:tcPr>
          <w:p w14:paraId="116305A4" w14:textId="2DC7B02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101</w:t>
            </w:r>
          </w:p>
        </w:tc>
        <w:tc>
          <w:tcPr>
            <w:tcW w:w="1350" w:type="dxa"/>
            <w:tcBorders>
              <w:top w:val="single" w:sz="4" w:space="0" w:color="A7BBD5" w:themeColor="accent1" w:themeTint="66"/>
              <w:bottom w:val="single" w:sz="12" w:space="0" w:color="A7BBD5" w:themeColor="accent1" w:themeTint="66"/>
            </w:tcBorders>
            <w:shd w:val="clear" w:color="auto" w:fill="auto"/>
            <w:noWrap/>
            <w:vAlign w:val="center"/>
          </w:tcPr>
          <w:p w14:paraId="1EDC2F95" w14:textId="7325E0D3"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108</w:t>
            </w:r>
          </w:p>
        </w:tc>
        <w:tc>
          <w:tcPr>
            <w:tcW w:w="1260" w:type="dxa"/>
            <w:tcBorders>
              <w:top w:val="single" w:sz="4" w:space="0" w:color="A7BBD5" w:themeColor="accent1" w:themeTint="66"/>
              <w:bottom w:val="single" w:sz="12" w:space="0" w:color="A7BBD5" w:themeColor="accent1" w:themeTint="66"/>
            </w:tcBorders>
            <w:shd w:val="clear" w:color="auto" w:fill="auto"/>
            <w:noWrap/>
            <w:vAlign w:val="center"/>
          </w:tcPr>
          <w:p w14:paraId="001A3A27" w14:textId="1978235C"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121</w:t>
            </w:r>
          </w:p>
        </w:tc>
        <w:tc>
          <w:tcPr>
            <w:tcW w:w="1170" w:type="dxa"/>
            <w:tcBorders>
              <w:top w:val="single" w:sz="4" w:space="0" w:color="A7BBD5" w:themeColor="accent1" w:themeTint="66"/>
              <w:bottom w:val="single" w:sz="12" w:space="0" w:color="A7BBD5" w:themeColor="accent1" w:themeTint="66"/>
            </w:tcBorders>
            <w:shd w:val="clear" w:color="auto" w:fill="auto"/>
            <w:noWrap/>
            <w:vAlign w:val="center"/>
          </w:tcPr>
          <w:p w14:paraId="0935A78A" w14:textId="734F7FAA"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110</w:t>
            </w:r>
          </w:p>
        </w:tc>
        <w:tc>
          <w:tcPr>
            <w:tcW w:w="1024" w:type="dxa"/>
            <w:tcBorders>
              <w:top w:val="single" w:sz="4" w:space="0" w:color="A7BBD5" w:themeColor="accent1" w:themeTint="66"/>
              <w:bottom w:val="single" w:sz="12" w:space="0" w:color="A7BBD5" w:themeColor="accent1" w:themeTint="66"/>
            </w:tcBorders>
            <w:shd w:val="clear" w:color="auto" w:fill="auto"/>
            <w:noWrap/>
            <w:vAlign w:val="center"/>
          </w:tcPr>
          <w:p w14:paraId="6A69038B" w14:textId="2863A5B8"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102</w:t>
            </w:r>
          </w:p>
        </w:tc>
        <w:tc>
          <w:tcPr>
            <w:tcW w:w="1056" w:type="dxa"/>
            <w:tcBorders>
              <w:top w:val="single" w:sz="4" w:space="0" w:color="A7BBD5" w:themeColor="accent1" w:themeTint="66"/>
              <w:bottom w:val="single" w:sz="12" w:space="0" w:color="A7BBD5" w:themeColor="accent1" w:themeTint="66"/>
            </w:tcBorders>
            <w:shd w:val="clear" w:color="auto" w:fill="auto"/>
            <w:noWrap/>
            <w:vAlign w:val="center"/>
          </w:tcPr>
          <w:p w14:paraId="59B9CC5E" w14:textId="5ACC35AB" w:rsidR="000E1C0A" w:rsidRPr="00656A3D" w:rsidRDefault="000E1C0A" w:rsidP="002D17A3">
            <w:pPr>
              <w:spacing w:after="0" w:line="240" w:lineRule="auto"/>
              <w:jc w:val="center"/>
              <w:rPr>
                <w:rFonts w:ascii="Trebuchet MS" w:eastAsia="Times New Roman" w:hAnsi="Trebuchet MS" w:cs="Arial"/>
                <w:color w:val="000000" w:themeColor="text1"/>
                <w:sz w:val="18"/>
                <w:szCs w:val="18"/>
              </w:rPr>
            </w:pPr>
            <w:r w:rsidRPr="00656A3D">
              <w:rPr>
                <w:rFonts w:ascii="Trebuchet MS" w:eastAsia="Times New Roman" w:hAnsi="Trebuchet MS" w:cs="Arial"/>
                <w:color w:val="000000" w:themeColor="text1"/>
                <w:sz w:val="18"/>
                <w:szCs w:val="18"/>
              </w:rPr>
              <w:t>105</w:t>
            </w:r>
          </w:p>
        </w:tc>
      </w:tr>
    </w:tbl>
    <w:p w14:paraId="1EB2431F" w14:textId="2D6BD74F" w:rsidR="0033512C" w:rsidRDefault="000E1C0A" w:rsidP="00863D57">
      <w:pPr>
        <w:pStyle w:val="Source"/>
        <w:spacing w:before="120"/>
      </w:pPr>
      <w:r w:rsidRPr="00B16954">
        <w:rPr>
          <w:b/>
          <w:i/>
        </w:rPr>
        <w:t>Source:</w:t>
      </w:r>
      <w:r w:rsidRPr="007758CA">
        <w:rPr>
          <w:rFonts w:ascii="Arial" w:hAnsi="Arial" w:cs="Arial"/>
          <w:color w:val="404040" w:themeColor="text1" w:themeTint="BF"/>
          <w:szCs w:val="16"/>
        </w:rPr>
        <w:t xml:space="preserve"> World Bank’s Logistics Performance Index (LPI).</w:t>
      </w:r>
      <w:bookmarkStart w:id="428" w:name="_Toc137053877"/>
    </w:p>
    <w:p w14:paraId="1BBA45B4" w14:textId="1D2FCBD7" w:rsidR="000E1C0A" w:rsidRPr="00A06267" w:rsidRDefault="000E1C0A" w:rsidP="0002737D">
      <w:pPr>
        <w:pStyle w:val="Table"/>
      </w:pPr>
      <w:r w:rsidRPr="00A06267">
        <w:t>Table A.</w:t>
      </w:r>
      <w:r w:rsidR="0033512C">
        <w:t>2</w:t>
      </w:r>
      <w:r w:rsidR="00374801" w:rsidRPr="00374801">
        <w:t>.</w:t>
      </w:r>
      <w:r w:rsidR="00374801">
        <w:fldChar w:fldCharType="begin"/>
      </w:r>
      <w:r w:rsidR="00374801">
        <w:instrText>SEQ Table_A.3. \* ARABIC</w:instrText>
      </w:r>
      <w:r w:rsidR="00374801">
        <w:fldChar w:fldCharType="separate"/>
      </w:r>
      <w:r w:rsidR="00374801">
        <w:rPr>
          <w:noProof/>
        </w:rPr>
        <w:t>3</w:t>
      </w:r>
      <w:r w:rsidR="00374801">
        <w:fldChar w:fldCharType="end"/>
      </w:r>
      <w:r w:rsidRPr="00A06267">
        <w:t xml:space="preserve"> Summary of potentiality and challenge in domestic and regional connectivity</w:t>
      </w:r>
      <w:bookmarkEnd w:id="428"/>
    </w:p>
    <w:tbl>
      <w:tblPr>
        <w:tblStyle w:val="TableGrid"/>
        <w:tblW w:w="9426" w:type="dxa"/>
        <w:tblLook w:val="04A0" w:firstRow="1" w:lastRow="0" w:firstColumn="1" w:lastColumn="0" w:noHBand="0" w:noVBand="1"/>
      </w:tblPr>
      <w:tblGrid>
        <w:gridCol w:w="1317"/>
        <w:gridCol w:w="3356"/>
        <w:gridCol w:w="4753"/>
      </w:tblGrid>
      <w:tr w:rsidR="000E1C0A" w:rsidRPr="00891A07" w14:paraId="394784A0" w14:textId="77777777" w:rsidTr="00863D57">
        <w:trPr>
          <w:cantSplit/>
          <w:trHeight w:val="432"/>
          <w:tblHeader/>
        </w:trPr>
        <w:tc>
          <w:tcPr>
            <w:tcW w:w="1317" w:type="dxa"/>
            <w:shd w:val="clear" w:color="auto" w:fill="E4EAE6" w:themeFill="accent5" w:themeFillTint="33"/>
            <w:textDirection w:val="btLr"/>
            <w:vAlign w:val="center"/>
          </w:tcPr>
          <w:p w14:paraId="5410CB0E" w14:textId="6776434B" w:rsidR="000E1C0A" w:rsidRPr="00656A3D" w:rsidRDefault="000E1C0A" w:rsidP="002D17A3">
            <w:pPr>
              <w:ind w:left="113" w:right="113"/>
              <w:jc w:val="center"/>
              <w:rPr>
                <w:rFonts w:ascii="Calibri Light" w:hAnsi="Calibri Light" w:cs="Calibri Light"/>
                <w:b/>
                <w:color w:val="595959" w:themeColor="text1" w:themeTint="A6"/>
              </w:rPr>
            </w:pPr>
          </w:p>
        </w:tc>
        <w:tc>
          <w:tcPr>
            <w:tcW w:w="3356" w:type="dxa"/>
            <w:shd w:val="clear" w:color="auto" w:fill="002060"/>
            <w:vAlign w:val="center"/>
          </w:tcPr>
          <w:p w14:paraId="234AA890" w14:textId="6D4C3694" w:rsidR="000E1C0A" w:rsidRPr="00656A3D" w:rsidRDefault="000E1C0A" w:rsidP="002D17A3">
            <w:pPr>
              <w:jc w:val="center"/>
              <w:rPr>
                <w:rFonts w:ascii="Trebuchet MS" w:hAnsi="Trebuchet MS" w:cs="Calibri Light"/>
                <w:b/>
                <w:sz w:val="18"/>
                <w:szCs w:val="18"/>
              </w:rPr>
            </w:pPr>
            <w:r w:rsidRPr="00656A3D">
              <w:rPr>
                <w:rFonts w:ascii="Trebuchet MS" w:hAnsi="Trebuchet MS" w:cs="Calibri Light"/>
                <w:b/>
                <w:sz w:val="18"/>
                <w:szCs w:val="18"/>
              </w:rPr>
              <w:t>Potentiality</w:t>
            </w:r>
          </w:p>
        </w:tc>
        <w:tc>
          <w:tcPr>
            <w:tcW w:w="4753" w:type="dxa"/>
            <w:shd w:val="clear" w:color="auto" w:fill="002060"/>
            <w:vAlign w:val="center"/>
          </w:tcPr>
          <w:p w14:paraId="023152F0" w14:textId="3D332385" w:rsidR="000E1C0A" w:rsidRPr="00656A3D" w:rsidRDefault="000E1C0A" w:rsidP="002D17A3">
            <w:pPr>
              <w:jc w:val="center"/>
              <w:rPr>
                <w:rFonts w:ascii="Trebuchet MS" w:hAnsi="Trebuchet MS" w:cs="Calibri Light"/>
                <w:b/>
                <w:sz w:val="18"/>
                <w:szCs w:val="18"/>
              </w:rPr>
            </w:pPr>
            <w:r w:rsidRPr="00656A3D">
              <w:rPr>
                <w:rFonts w:ascii="Trebuchet MS" w:hAnsi="Trebuchet MS" w:cs="Calibri Light"/>
                <w:b/>
                <w:sz w:val="18"/>
                <w:szCs w:val="18"/>
              </w:rPr>
              <w:t>Challenge</w:t>
            </w:r>
          </w:p>
        </w:tc>
      </w:tr>
      <w:tr w:rsidR="000E1C0A" w:rsidRPr="00E9090B" w14:paraId="401F2184" w14:textId="77777777" w:rsidTr="00863D57">
        <w:trPr>
          <w:cantSplit/>
          <w:trHeight w:val="1134"/>
        </w:trPr>
        <w:tc>
          <w:tcPr>
            <w:tcW w:w="1317" w:type="dxa"/>
            <w:shd w:val="clear" w:color="auto" w:fill="E4EAE6" w:themeFill="accent5" w:themeFillTint="33"/>
          </w:tcPr>
          <w:p w14:paraId="07B7B3E4" w14:textId="036B243D" w:rsidR="000E1C0A" w:rsidRPr="00E9090B" w:rsidRDefault="000E1C0A" w:rsidP="002D17A3">
            <w:pPr>
              <w:jc w:val="center"/>
              <w:rPr>
                <w:rFonts w:ascii="Calibri Light" w:hAnsi="Calibri Light" w:cs="Calibri Light"/>
                <w:b/>
                <w:bCs/>
              </w:rPr>
            </w:pPr>
            <w:r w:rsidRPr="00E9090B">
              <w:rPr>
                <w:rFonts w:ascii="Calibri Light" w:hAnsi="Calibri Light" w:cs="Calibri Light"/>
                <w:b/>
                <w:bCs/>
              </w:rPr>
              <w:t xml:space="preserve">Domestic </w:t>
            </w:r>
            <w:r w:rsidR="00921BB1" w:rsidRPr="00E9090B">
              <w:rPr>
                <w:rFonts w:ascii="Calibri Light" w:hAnsi="Calibri Light" w:cs="Calibri Light"/>
                <w:b/>
                <w:bCs/>
              </w:rPr>
              <w:t>c</w:t>
            </w:r>
            <w:r w:rsidRPr="00E9090B">
              <w:rPr>
                <w:rFonts w:ascii="Calibri Light" w:hAnsi="Calibri Light" w:cs="Calibri Light"/>
                <w:b/>
                <w:bCs/>
              </w:rPr>
              <w:t>onnectivity</w:t>
            </w:r>
          </w:p>
        </w:tc>
        <w:tc>
          <w:tcPr>
            <w:tcW w:w="3356" w:type="dxa"/>
          </w:tcPr>
          <w:p w14:paraId="2D7CDA11" w14:textId="52C87F4E" w:rsidR="000E1C0A" w:rsidRPr="00E9090B" w:rsidRDefault="000E1C0A" w:rsidP="00E61E46">
            <w:pPr>
              <w:pStyle w:val="ListParagraph"/>
              <w:numPr>
                <w:ilvl w:val="0"/>
                <w:numId w:val="3"/>
              </w:numPr>
              <w:spacing w:after="0" w:line="240" w:lineRule="auto"/>
              <w:ind w:left="288" w:hanging="288"/>
              <w:rPr>
                <w:rFonts w:ascii="Trebuchet MS" w:hAnsi="Trebuchet MS" w:cs="Calibri Light"/>
                <w:sz w:val="18"/>
                <w:szCs w:val="18"/>
              </w:rPr>
            </w:pPr>
            <w:r w:rsidRPr="00E9090B">
              <w:rPr>
                <w:rFonts w:ascii="Trebuchet MS" w:hAnsi="Trebuchet MS" w:cs="Calibri Light"/>
                <w:sz w:val="18"/>
                <w:szCs w:val="18"/>
              </w:rPr>
              <w:t xml:space="preserve">Expand the transport networks including roads and railways as planned to improve connection between cities to facilitate transportation </w:t>
            </w:r>
            <w:r w:rsidR="00921BB1" w:rsidRPr="00E9090B">
              <w:rPr>
                <w:rFonts w:ascii="Trebuchet MS" w:hAnsi="Trebuchet MS" w:cs="Calibri Light"/>
                <w:sz w:val="18"/>
                <w:szCs w:val="18"/>
              </w:rPr>
              <w:t>within</w:t>
            </w:r>
            <w:r w:rsidRPr="00E9090B">
              <w:rPr>
                <w:rFonts w:ascii="Trebuchet MS" w:hAnsi="Trebuchet MS" w:cs="Calibri Light"/>
                <w:sz w:val="18"/>
                <w:szCs w:val="18"/>
              </w:rPr>
              <w:t xml:space="preserve"> regions and neighboring countries.</w:t>
            </w:r>
          </w:p>
        </w:tc>
        <w:tc>
          <w:tcPr>
            <w:tcW w:w="4753" w:type="dxa"/>
          </w:tcPr>
          <w:p w14:paraId="03E3E3D0" w14:textId="77777777" w:rsidR="000E1C0A" w:rsidRPr="00E9090B" w:rsidRDefault="000E1C0A" w:rsidP="00E61E46">
            <w:pPr>
              <w:pStyle w:val="ListParagraph"/>
              <w:numPr>
                <w:ilvl w:val="0"/>
                <w:numId w:val="3"/>
              </w:numPr>
              <w:spacing w:after="0" w:line="240" w:lineRule="auto"/>
              <w:ind w:left="288" w:hanging="288"/>
              <w:rPr>
                <w:rFonts w:ascii="Trebuchet MS" w:hAnsi="Trebuchet MS" w:cs="Calibri Light"/>
                <w:sz w:val="18"/>
                <w:szCs w:val="18"/>
                <w:lang w:bidi="th-TH"/>
              </w:rPr>
            </w:pPr>
            <w:r w:rsidRPr="00E9090B">
              <w:rPr>
                <w:rFonts w:ascii="Trebuchet MS" w:hAnsi="Trebuchet MS" w:cs="Calibri Light"/>
                <w:sz w:val="18"/>
                <w:szCs w:val="18"/>
              </w:rPr>
              <w:t>Expedite transport facilities to support the development of transport infrastructure and changing modes including transshipment facilities, cargo terminal, dry port</w:t>
            </w:r>
            <w:r w:rsidR="00921BB1" w:rsidRPr="00E9090B">
              <w:rPr>
                <w:rFonts w:ascii="Trebuchet MS" w:hAnsi="Trebuchet MS" w:cs="Calibri Light"/>
                <w:sz w:val="18"/>
                <w:szCs w:val="18"/>
              </w:rPr>
              <w:t>,</w:t>
            </w:r>
            <w:r w:rsidRPr="00E9090B">
              <w:rPr>
                <w:rFonts w:ascii="Trebuchet MS" w:hAnsi="Trebuchet MS" w:cs="Calibri Light"/>
                <w:sz w:val="18"/>
                <w:szCs w:val="18"/>
              </w:rPr>
              <w:t xml:space="preserve"> and/or container yard with limited investment and urgency.</w:t>
            </w:r>
          </w:p>
          <w:p w14:paraId="29C68669" w14:textId="245FA259" w:rsidR="000E1C0A" w:rsidRPr="00E9090B" w:rsidRDefault="000E1C0A" w:rsidP="00656A3D">
            <w:pPr>
              <w:pStyle w:val="ListParagraph"/>
              <w:spacing w:after="0" w:line="240" w:lineRule="auto"/>
              <w:ind w:left="288"/>
              <w:rPr>
                <w:rFonts w:ascii="Trebuchet MS" w:hAnsi="Trebuchet MS" w:cs="Calibri Light"/>
                <w:sz w:val="18"/>
                <w:szCs w:val="18"/>
                <w:lang w:bidi="th-TH"/>
              </w:rPr>
            </w:pPr>
          </w:p>
        </w:tc>
      </w:tr>
      <w:tr w:rsidR="000E1C0A" w:rsidRPr="00E9090B" w14:paraId="42B235B2" w14:textId="77777777" w:rsidTr="00863D57">
        <w:trPr>
          <w:cantSplit/>
          <w:trHeight w:val="1134"/>
        </w:trPr>
        <w:tc>
          <w:tcPr>
            <w:tcW w:w="1317" w:type="dxa"/>
            <w:shd w:val="clear" w:color="auto" w:fill="E4EAE6" w:themeFill="accent5" w:themeFillTint="33"/>
          </w:tcPr>
          <w:p w14:paraId="0555A7B6" w14:textId="70C8B1D1" w:rsidR="000E1C0A" w:rsidRPr="00E9090B" w:rsidRDefault="000E1C0A" w:rsidP="002D17A3">
            <w:pPr>
              <w:jc w:val="center"/>
              <w:rPr>
                <w:rFonts w:ascii="Calibri Light" w:hAnsi="Calibri Light" w:cs="Calibri Light"/>
                <w:b/>
                <w:bCs/>
              </w:rPr>
            </w:pPr>
            <w:r w:rsidRPr="00E9090B">
              <w:rPr>
                <w:rFonts w:ascii="Calibri Light" w:hAnsi="Calibri Light" w:cs="Calibri Light"/>
                <w:b/>
                <w:bCs/>
              </w:rPr>
              <w:t xml:space="preserve">Regional </w:t>
            </w:r>
            <w:r w:rsidR="00921BB1" w:rsidRPr="00E9090B">
              <w:rPr>
                <w:rFonts w:ascii="Calibri Light" w:hAnsi="Calibri Light" w:cs="Calibri Light"/>
                <w:b/>
                <w:bCs/>
              </w:rPr>
              <w:t>c</w:t>
            </w:r>
            <w:r w:rsidRPr="00E9090B">
              <w:rPr>
                <w:rFonts w:ascii="Calibri Light" w:hAnsi="Calibri Light" w:cs="Calibri Light"/>
                <w:b/>
                <w:bCs/>
              </w:rPr>
              <w:t>onnectivity</w:t>
            </w:r>
          </w:p>
        </w:tc>
        <w:tc>
          <w:tcPr>
            <w:tcW w:w="3356" w:type="dxa"/>
          </w:tcPr>
          <w:p w14:paraId="420FB407" w14:textId="0A9B7C21" w:rsidR="000E1C0A" w:rsidRPr="00E9090B" w:rsidRDefault="000E1C0A" w:rsidP="00E61E46">
            <w:pPr>
              <w:pStyle w:val="ListParagraph"/>
              <w:numPr>
                <w:ilvl w:val="0"/>
                <w:numId w:val="3"/>
              </w:numPr>
              <w:spacing w:after="0" w:line="240" w:lineRule="auto"/>
              <w:ind w:left="288" w:hanging="288"/>
              <w:rPr>
                <w:rFonts w:ascii="Trebuchet MS" w:hAnsi="Trebuchet MS" w:cs="Calibri Light"/>
                <w:sz w:val="18"/>
                <w:szCs w:val="18"/>
              </w:rPr>
            </w:pPr>
            <w:r w:rsidRPr="00E9090B">
              <w:rPr>
                <w:rFonts w:ascii="Trebuchet MS" w:hAnsi="Trebuchet MS" w:cs="Calibri Light"/>
                <w:sz w:val="18"/>
                <w:szCs w:val="18"/>
              </w:rPr>
              <w:t xml:space="preserve">Utilize the existing East Asia transport networks and enhance cooperation in customs procedures between countries, specifically for the implementation of Common Control Areas (CCA) in certain locations. </w:t>
            </w:r>
          </w:p>
        </w:tc>
        <w:tc>
          <w:tcPr>
            <w:tcW w:w="4753" w:type="dxa"/>
          </w:tcPr>
          <w:p w14:paraId="6F7A523F" w14:textId="75F6320C" w:rsidR="000E1C0A" w:rsidRPr="00E9090B" w:rsidRDefault="000E1C0A" w:rsidP="00E61E46">
            <w:pPr>
              <w:pStyle w:val="ListParagraph"/>
              <w:numPr>
                <w:ilvl w:val="0"/>
                <w:numId w:val="3"/>
              </w:numPr>
              <w:spacing w:after="0" w:line="240" w:lineRule="auto"/>
              <w:ind w:left="288" w:hanging="288"/>
              <w:rPr>
                <w:rFonts w:ascii="Trebuchet MS" w:hAnsi="Trebuchet MS" w:cstheme="majorHAnsi"/>
                <w:sz w:val="18"/>
                <w:szCs w:val="18"/>
              </w:rPr>
            </w:pPr>
            <w:r w:rsidRPr="00E9090B">
              <w:rPr>
                <w:rFonts w:ascii="Trebuchet MS" w:hAnsi="Trebuchet MS" w:cstheme="majorHAnsi"/>
                <w:sz w:val="18"/>
                <w:szCs w:val="18"/>
              </w:rPr>
              <w:t>Identify strateg</w:t>
            </w:r>
            <w:r w:rsidR="00921BB1" w:rsidRPr="00E9090B">
              <w:rPr>
                <w:rFonts w:ascii="Trebuchet MS" w:hAnsi="Trebuchet MS" w:cstheme="majorHAnsi"/>
                <w:sz w:val="18"/>
                <w:szCs w:val="18"/>
              </w:rPr>
              <w:t>ies</w:t>
            </w:r>
            <w:r w:rsidRPr="00E9090B">
              <w:rPr>
                <w:rFonts w:ascii="Trebuchet MS" w:hAnsi="Trebuchet MS" w:cstheme="majorHAnsi"/>
                <w:sz w:val="18"/>
                <w:szCs w:val="18"/>
              </w:rPr>
              <w:t xml:space="preserve"> for establishing </w:t>
            </w:r>
            <w:r w:rsidR="00921BB1" w:rsidRPr="00E9090B">
              <w:rPr>
                <w:rFonts w:ascii="Trebuchet MS" w:hAnsi="Trebuchet MS" w:cstheme="majorHAnsi"/>
                <w:sz w:val="18"/>
                <w:szCs w:val="18"/>
              </w:rPr>
              <w:t>c</w:t>
            </w:r>
            <w:r w:rsidRPr="00E9090B">
              <w:rPr>
                <w:rFonts w:ascii="Trebuchet MS" w:hAnsi="Trebuchet MS" w:cstheme="majorHAnsi"/>
                <w:sz w:val="18"/>
                <w:szCs w:val="18"/>
              </w:rPr>
              <w:t>onnectivity with South Asia Transport Networks and accelerate negotiations both at the bilateral and multilateral level to develop cooperation and eliminate obstacles in the transportation of goods between countries and multimodal transport along the routes that affect border and cross border trade through cross-border transport agreement.</w:t>
            </w:r>
          </w:p>
        </w:tc>
      </w:tr>
    </w:tbl>
    <w:p w14:paraId="535A9D7D" w14:textId="6E398678" w:rsidR="00D122FE" w:rsidRDefault="000E1C0A" w:rsidP="00863D57">
      <w:pPr>
        <w:pStyle w:val="Source"/>
        <w:spacing w:before="120"/>
      </w:pPr>
      <w:r w:rsidRPr="00E9090B">
        <w:rPr>
          <w:b/>
          <w:i/>
        </w:rPr>
        <w:t xml:space="preserve">Source: </w:t>
      </w:r>
      <w:r w:rsidRPr="00E9090B">
        <w:rPr>
          <w:rFonts w:ascii="Arial" w:hAnsi="Arial" w:cs="Arial"/>
          <w:color w:val="404040" w:themeColor="text1" w:themeTint="BF"/>
          <w:szCs w:val="16"/>
        </w:rPr>
        <w:t>World Bank.</w:t>
      </w:r>
      <w:r w:rsidRPr="00A06267">
        <w:rPr>
          <w:rFonts w:ascii="Arial" w:hAnsi="Arial" w:cs="Arial"/>
          <w:color w:val="404040" w:themeColor="text1" w:themeTint="BF"/>
          <w:szCs w:val="16"/>
        </w:rPr>
        <w:t xml:space="preserve"> </w:t>
      </w:r>
    </w:p>
    <w:p w14:paraId="23F46DCC" w14:textId="77777777" w:rsidR="00D122FE" w:rsidRDefault="00D122FE" w:rsidP="0002737D">
      <w:pPr>
        <w:pStyle w:val="Table"/>
      </w:pPr>
    </w:p>
    <w:p w14:paraId="2E6FE2C1" w14:textId="2FE89E09" w:rsidR="00A74062" w:rsidRDefault="00117809" w:rsidP="0002737D">
      <w:pPr>
        <w:pStyle w:val="Table"/>
      </w:pPr>
      <w:r w:rsidRPr="00863D57">
        <w:lastRenderedPageBreak/>
        <w:t>Table A.</w:t>
      </w:r>
      <w:r w:rsidR="00CF03C8" w:rsidRPr="00863D57">
        <w:t>2</w:t>
      </w:r>
      <w:r w:rsidRPr="00863D57">
        <w:t>.</w:t>
      </w:r>
      <w:r w:rsidR="00B12EF7" w:rsidRPr="00863D57">
        <w:t>4</w:t>
      </w:r>
      <w:r w:rsidR="0019122F" w:rsidRPr="00863D57">
        <w:t xml:space="preserve"> </w:t>
      </w:r>
      <w:r w:rsidR="00A94D18" w:rsidRPr="00863D57">
        <w:t>Indicators of global competitiveness and frontier technology readiness</w:t>
      </w:r>
    </w:p>
    <w:tbl>
      <w:tblPr>
        <w:tblW w:w="9450" w:type="dxa"/>
        <w:tblInd w:w="-5" w:type="dxa"/>
        <w:tblLayout w:type="fixed"/>
        <w:tblLook w:val="04A0" w:firstRow="1" w:lastRow="0" w:firstColumn="1" w:lastColumn="0" w:noHBand="0" w:noVBand="1"/>
      </w:tblPr>
      <w:tblGrid>
        <w:gridCol w:w="2449"/>
        <w:gridCol w:w="839"/>
        <w:gridCol w:w="556"/>
        <w:gridCol w:w="556"/>
        <w:gridCol w:w="556"/>
        <w:gridCol w:w="556"/>
        <w:gridCol w:w="556"/>
        <w:gridCol w:w="236"/>
        <w:gridCol w:w="554"/>
        <w:gridCol w:w="556"/>
        <w:gridCol w:w="556"/>
        <w:gridCol w:w="236"/>
        <w:gridCol w:w="622"/>
        <w:gridCol w:w="622"/>
      </w:tblGrid>
      <w:tr w:rsidR="009F499F" w:rsidRPr="00001E3E" w14:paraId="40910134" w14:textId="77777777" w:rsidTr="0084436E">
        <w:trPr>
          <w:cantSplit/>
          <w:trHeight w:val="1097"/>
        </w:trPr>
        <w:tc>
          <w:tcPr>
            <w:tcW w:w="32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19EAC8A2" w14:textId="77777777" w:rsidR="0084436E" w:rsidRPr="00E40757" w:rsidRDefault="0084436E" w:rsidP="00E40757">
            <w:pPr>
              <w:spacing w:after="0" w:line="240" w:lineRule="auto"/>
              <w:rPr>
                <w:rFonts w:ascii="Trebuchet MS" w:eastAsia="Times New Roman" w:hAnsi="Trebuchet MS" w:cs="Times New Roman"/>
                <w:color w:val="FFFFFF" w:themeColor="background1"/>
                <w:sz w:val="16"/>
                <w:szCs w:val="16"/>
                <w:lang w:bidi="th-TH"/>
              </w:rPr>
            </w:pP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5F1FB2E3"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Thailand</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5E1E859B"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Indonesia</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53F86EAA"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Malaysia</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7CBA440C"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Philippines</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10D18DD4"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Vietnam</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523AAF18"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p>
        </w:tc>
        <w:tc>
          <w:tcPr>
            <w:tcW w:w="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305C0496"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Bulgaria</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5528B24D"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Mexico</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154D1C93" w14:textId="6D6BD96D" w:rsidR="0084436E" w:rsidRPr="00E40757" w:rsidRDefault="000F1951"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0F1951">
              <w:rPr>
                <w:rFonts w:ascii="Trebuchet MS" w:eastAsia="Times New Roman" w:hAnsi="Trebuchet MS" w:cs="Calibri Light"/>
                <w:b/>
                <w:bCs/>
                <w:color w:val="FFFFFF" w:themeColor="background1"/>
                <w:sz w:val="16"/>
                <w:szCs w:val="16"/>
                <w:lang w:bidi="th-TH"/>
              </w:rPr>
              <w:t>Türkiye</w:t>
            </w:r>
          </w:p>
        </w:tc>
        <w:tc>
          <w:tcPr>
            <w:tcW w:w="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4A4DFCC2"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p>
        </w:tc>
        <w:tc>
          <w:tcPr>
            <w:tcW w:w="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2CE671A6"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Korea</w:t>
            </w:r>
          </w:p>
        </w:tc>
        <w:tc>
          <w:tcPr>
            <w:tcW w:w="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textDirection w:val="btLr"/>
            <w:vAlign w:val="bottom"/>
            <w:hideMark/>
          </w:tcPr>
          <w:p w14:paraId="1FA2B89C" w14:textId="77777777" w:rsidR="0084436E" w:rsidRPr="00E40757" w:rsidRDefault="0084436E" w:rsidP="002B1CFE">
            <w:pPr>
              <w:spacing w:after="0" w:line="240" w:lineRule="auto"/>
              <w:ind w:left="113" w:right="113"/>
              <w:rPr>
                <w:rFonts w:ascii="Trebuchet MS" w:eastAsia="Times New Roman" w:hAnsi="Trebuchet MS" w:cs="Calibri Light"/>
                <w:b/>
                <w:bCs/>
                <w:color w:val="FFFFFF" w:themeColor="background1"/>
                <w:sz w:val="16"/>
                <w:szCs w:val="16"/>
                <w:lang w:bidi="th-TH"/>
              </w:rPr>
            </w:pPr>
            <w:r w:rsidRPr="00E40757">
              <w:rPr>
                <w:rFonts w:ascii="Trebuchet MS" w:eastAsia="Times New Roman" w:hAnsi="Trebuchet MS" w:cs="Calibri Light"/>
                <w:b/>
                <w:bCs/>
                <w:color w:val="FFFFFF" w:themeColor="background1"/>
                <w:sz w:val="16"/>
                <w:szCs w:val="16"/>
                <w:lang w:bidi="th-TH"/>
              </w:rPr>
              <w:t>Poland</w:t>
            </w:r>
          </w:p>
        </w:tc>
      </w:tr>
      <w:tr w:rsidR="0084436E" w:rsidRPr="00001E3E" w14:paraId="1EA17047" w14:textId="77777777" w:rsidTr="0084436E">
        <w:trPr>
          <w:trHeight w:val="308"/>
        </w:trPr>
        <w:tc>
          <w:tcPr>
            <w:tcW w:w="3290" w:type="dxa"/>
            <w:gridSpan w:val="2"/>
            <w:tcBorders>
              <w:top w:val="single" w:sz="4" w:space="0" w:color="FFFFFF" w:themeColor="background1"/>
              <w:left w:val="nil"/>
              <w:bottom w:val="nil"/>
              <w:right w:val="nil"/>
            </w:tcBorders>
            <w:shd w:val="clear" w:color="auto" w:fill="auto"/>
            <w:noWrap/>
            <w:vAlign w:val="bottom"/>
            <w:hideMark/>
          </w:tcPr>
          <w:p w14:paraId="15E7FB24" w14:textId="3954686D" w:rsidR="0084436E" w:rsidRPr="00E40757" w:rsidRDefault="0084436E" w:rsidP="00E40757">
            <w:pPr>
              <w:spacing w:after="0" w:line="240" w:lineRule="auto"/>
              <w:rPr>
                <w:rFonts w:ascii="Trebuchet MS" w:eastAsia="Times New Roman" w:hAnsi="Trebuchet MS" w:cs="Calibri Light"/>
                <w:b/>
                <w:bCs/>
                <w:color w:val="004987"/>
                <w:sz w:val="16"/>
                <w:szCs w:val="16"/>
                <w:lang w:bidi="th-TH"/>
              </w:rPr>
            </w:pPr>
            <w:r w:rsidRPr="00E40757">
              <w:rPr>
                <w:rFonts w:ascii="Trebuchet MS" w:eastAsia="Times New Roman" w:hAnsi="Trebuchet MS" w:cs="Calibri Light"/>
                <w:b/>
                <w:bCs/>
                <w:color w:val="004987"/>
                <w:sz w:val="18"/>
                <w:szCs w:val="18"/>
                <w:lang w:bidi="th-TH"/>
              </w:rPr>
              <w:t>Global competitiveness</w:t>
            </w:r>
            <w:r w:rsidRPr="0064674E">
              <w:rPr>
                <w:rFonts w:ascii="Trebuchet MS" w:eastAsia="Times New Roman" w:hAnsi="Trebuchet MS" w:cs="Calibri Light"/>
                <w:b/>
                <w:bCs/>
                <w:color w:val="004987"/>
                <w:sz w:val="18"/>
                <w:szCs w:val="18"/>
                <w:lang w:bidi="th-TH"/>
              </w:rPr>
              <w:t>, Rank</w:t>
            </w:r>
          </w:p>
        </w:tc>
        <w:tc>
          <w:tcPr>
            <w:tcW w:w="556" w:type="dxa"/>
            <w:tcBorders>
              <w:top w:val="single" w:sz="4" w:space="0" w:color="FFFFFF" w:themeColor="background1"/>
              <w:left w:val="nil"/>
              <w:bottom w:val="nil"/>
              <w:right w:val="nil"/>
            </w:tcBorders>
            <w:shd w:val="clear" w:color="auto" w:fill="auto"/>
            <w:noWrap/>
            <w:vAlign w:val="bottom"/>
            <w:hideMark/>
          </w:tcPr>
          <w:p w14:paraId="7F9A3FFC" w14:textId="77777777" w:rsidR="0084436E" w:rsidRPr="00E40757" w:rsidRDefault="0084436E" w:rsidP="00E40757">
            <w:pPr>
              <w:spacing w:after="0" w:line="240" w:lineRule="auto"/>
              <w:rPr>
                <w:rFonts w:ascii="Trebuchet MS" w:eastAsia="Times New Roman" w:hAnsi="Trebuchet MS" w:cs="Calibri Light"/>
                <w:b/>
                <w:bCs/>
                <w:color w:val="004987"/>
                <w:sz w:val="16"/>
                <w:szCs w:val="16"/>
                <w:lang w:bidi="th-TH"/>
              </w:rPr>
            </w:pPr>
          </w:p>
        </w:tc>
        <w:tc>
          <w:tcPr>
            <w:tcW w:w="556" w:type="dxa"/>
            <w:tcBorders>
              <w:top w:val="single" w:sz="4" w:space="0" w:color="FFFFFF" w:themeColor="background1"/>
              <w:left w:val="nil"/>
              <w:bottom w:val="nil"/>
              <w:right w:val="nil"/>
            </w:tcBorders>
            <w:shd w:val="clear" w:color="auto" w:fill="auto"/>
            <w:noWrap/>
            <w:vAlign w:val="bottom"/>
            <w:hideMark/>
          </w:tcPr>
          <w:p w14:paraId="5B959151"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556" w:type="dxa"/>
            <w:tcBorders>
              <w:top w:val="single" w:sz="4" w:space="0" w:color="FFFFFF" w:themeColor="background1"/>
              <w:left w:val="nil"/>
              <w:bottom w:val="nil"/>
              <w:right w:val="nil"/>
            </w:tcBorders>
            <w:shd w:val="clear" w:color="auto" w:fill="auto"/>
            <w:noWrap/>
            <w:vAlign w:val="bottom"/>
            <w:hideMark/>
          </w:tcPr>
          <w:p w14:paraId="13F4CA7D"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556" w:type="dxa"/>
            <w:tcBorders>
              <w:top w:val="single" w:sz="4" w:space="0" w:color="FFFFFF" w:themeColor="background1"/>
              <w:left w:val="nil"/>
              <w:bottom w:val="nil"/>
              <w:right w:val="nil"/>
            </w:tcBorders>
            <w:shd w:val="clear" w:color="auto" w:fill="auto"/>
            <w:noWrap/>
            <w:vAlign w:val="bottom"/>
            <w:hideMark/>
          </w:tcPr>
          <w:p w14:paraId="3108CCC4"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556" w:type="dxa"/>
            <w:tcBorders>
              <w:top w:val="single" w:sz="4" w:space="0" w:color="FFFFFF" w:themeColor="background1"/>
              <w:left w:val="nil"/>
              <w:bottom w:val="nil"/>
              <w:right w:val="nil"/>
            </w:tcBorders>
            <w:shd w:val="clear" w:color="auto" w:fill="auto"/>
            <w:noWrap/>
            <w:vAlign w:val="bottom"/>
            <w:hideMark/>
          </w:tcPr>
          <w:p w14:paraId="39A44D40"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236" w:type="dxa"/>
            <w:tcBorders>
              <w:top w:val="single" w:sz="4" w:space="0" w:color="FFFFFF" w:themeColor="background1"/>
              <w:left w:val="nil"/>
              <w:bottom w:val="nil"/>
              <w:right w:val="nil"/>
            </w:tcBorders>
            <w:shd w:val="clear" w:color="auto" w:fill="auto"/>
            <w:noWrap/>
            <w:vAlign w:val="bottom"/>
            <w:hideMark/>
          </w:tcPr>
          <w:p w14:paraId="6F34661E"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554" w:type="dxa"/>
            <w:tcBorders>
              <w:top w:val="single" w:sz="4" w:space="0" w:color="FFFFFF" w:themeColor="background1"/>
              <w:left w:val="nil"/>
              <w:bottom w:val="nil"/>
              <w:right w:val="nil"/>
            </w:tcBorders>
            <w:shd w:val="clear" w:color="auto" w:fill="auto"/>
            <w:noWrap/>
            <w:vAlign w:val="bottom"/>
            <w:hideMark/>
          </w:tcPr>
          <w:p w14:paraId="483E6CE2"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556" w:type="dxa"/>
            <w:tcBorders>
              <w:top w:val="single" w:sz="4" w:space="0" w:color="FFFFFF" w:themeColor="background1"/>
              <w:left w:val="nil"/>
              <w:bottom w:val="nil"/>
              <w:right w:val="nil"/>
            </w:tcBorders>
            <w:shd w:val="clear" w:color="auto" w:fill="auto"/>
            <w:noWrap/>
            <w:vAlign w:val="bottom"/>
            <w:hideMark/>
          </w:tcPr>
          <w:p w14:paraId="1DE3E7CE"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556" w:type="dxa"/>
            <w:tcBorders>
              <w:top w:val="single" w:sz="4" w:space="0" w:color="FFFFFF" w:themeColor="background1"/>
              <w:left w:val="nil"/>
              <w:bottom w:val="nil"/>
              <w:right w:val="nil"/>
            </w:tcBorders>
            <w:shd w:val="clear" w:color="auto" w:fill="auto"/>
            <w:noWrap/>
            <w:vAlign w:val="bottom"/>
            <w:hideMark/>
          </w:tcPr>
          <w:p w14:paraId="4B408B2C"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234" w:type="dxa"/>
            <w:tcBorders>
              <w:top w:val="single" w:sz="4" w:space="0" w:color="FFFFFF" w:themeColor="background1"/>
              <w:left w:val="nil"/>
              <w:bottom w:val="nil"/>
              <w:right w:val="nil"/>
            </w:tcBorders>
            <w:shd w:val="clear" w:color="auto" w:fill="auto"/>
            <w:noWrap/>
            <w:vAlign w:val="bottom"/>
            <w:hideMark/>
          </w:tcPr>
          <w:p w14:paraId="0627FFD0"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622" w:type="dxa"/>
            <w:tcBorders>
              <w:top w:val="single" w:sz="4" w:space="0" w:color="FFFFFF" w:themeColor="background1"/>
              <w:left w:val="nil"/>
              <w:bottom w:val="nil"/>
              <w:right w:val="nil"/>
            </w:tcBorders>
            <w:shd w:val="clear" w:color="auto" w:fill="auto"/>
            <w:noWrap/>
            <w:vAlign w:val="bottom"/>
            <w:hideMark/>
          </w:tcPr>
          <w:p w14:paraId="478D8675"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c>
          <w:tcPr>
            <w:tcW w:w="622" w:type="dxa"/>
            <w:tcBorders>
              <w:top w:val="single" w:sz="4" w:space="0" w:color="FFFFFF" w:themeColor="background1"/>
              <w:left w:val="nil"/>
              <w:bottom w:val="nil"/>
              <w:right w:val="nil"/>
            </w:tcBorders>
            <w:shd w:val="clear" w:color="auto" w:fill="auto"/>
            <w:noWrap/>
            <w:vAlign w:val="bottom"/>
            <w:hideMark/>
          </w:tcPr>
          <w:p w14:paraId="1B6C23AD" w14:textId="77777777" w:rsidR="0084436E" w:rsidRPr="00E40757" w:rsidRDefault="0084436E" w:rsidP="00E40757">
            <w:pPr>
              <w:spacing w:after="0" w:line="240" w:lineRule="auto"/>
              <w:rPr>
                <w:rFonts w:ascii="Trebuchet MS" w:eastAsia="Times New Roman" w:hAnsi="Trebuchet MS" w:cs="Times New Roman"/>
                <w:sz w:val="16"/>
                <w:szCs w:val="16"/>
                <w:lang w:bidi="th-TH"/>
              </w:rPr>
            </w:pPr>
          </w:p>
        </w:tc>
      </w:tr>
      <w:tr w:rsidR="009F499F" w:rsidRPr="00001E3E" w14:paraId="20168180" w14:textId="77777777" w:rsidTr="0084436E">
        <w:trPr>
          <w:trHeight w:val="308"/>
        </w:trPr>
        <w:tc>
          <w:tcPr>
            <w:tcW w:w="2451" w:type="dxa"/>
            <w:tcBorders>
              <w:top w:val="nil"/>
              <w:left w:val="nil"/>
              <w:bottom w:val="nil"/>
              <w:right w:val="nil"/>
            </w:tcBorders>
            <w:shd w:val="clear" w:color="auto" w:fill="auto"/>
            <w:noWrap/>
            <w:vAlign w:val="bottom"/>
            <w:hideMark/>
          </w:tcPr>
          <w:p w14:paraId="1E031CEE" w14:textId="77777777" w:rsidR="0084436E" w:rsidRPr="00E40757" w:rsidRDefault="0084436E" w:rsidP="00836CE2">
            <w:pPr>
              <w:spacing w:after="0" w:line="240" w:lineRule="auto"/>
              <w:rPr>
                <w:rFonts w:ascii="Trebuchet MS" w:eastAsia="Times New Roman" w:hAnsi="Trebuchet MS" w:cs="Times New Roman"/>
                <w:sz w:val="16"/>
                <w:szCs w:val="16"/>
                <w:lang w:bidi="th-TH"/>
              </w:rPr>
            </w:pPr>
          </w:p>
        </w:tc>
        <w:tc>
          <w:tcPr>
            <w:tcW w:w="839" w:type="dxa"/>
            <w:tcBorders>
              <w:top w:val="nil"/>
              <w:left w:val="nil"/>
              <w:bottom w:val="nil"/>
              <w:right w:val="nil"/>
            </w:tcBorders>
            <w:shd w:val="clear" w:color="auto" w:fill="auto"/>
            <w:noWrap/>
            <w:vAlign w:val="bottom"/>
            <w:hideMark/>
          </w:tcPr>
          <w:p w14:paraId="78798F2E" w14:textId="77777777" w:rsidR="0084436E" w:rsidRPr="00E40757" w:rsidRDefault="0084436E" w:rsidP="0064674E">
            <w:pPr>
              <w:spacing w:after="0" w:line="240" w:lineRule="auto"/>
              <w:jc w:val="right"/>
              <w:rPr>
                <w:rFonts w:ascii="Trebuchet MS" w:eastAsia="Times New Roman" w:hAnsi="Trebuchet MS" w:cs="Calibri Light"/>
                <w:sz w:val="16"/>
                <w:szCs w:val="16"/>
                <w:lang w:bidi="th-TH"/>
              </w:rPr>
            </w:pPr>
            <w:r w:rsidRPr="00E40757">
              <w:rPr>
                <w:rFonts w:ascii="Trebuchet MS" w:eastAsia="Times New Roman" w:hAnsi="Trebuchet MS" w:cs="Calibri Light"/>
                <w:sz w:val="16"/>
                <w:szCs w:val="16"/>
                <w:lang w:bidi="th-TH"/>
              </w:rPr>
              <w:t xml:space="preserve">Change* </w:t>
            </w:r>
          </w:p>
        </w:tc>
        <w:tc>
          <w:tcPr>
            <w:tcW w:w="556" w:type="dxa"/>
            <w:tcBorders>
              <w:top w:val="nil"/>
              <w:left w:val="nil"/>
              <w:bottom w:val="nil"/>
              <w:right w:val="nil"/>
            </w:tcBorders>
            <w:shd w:val="clear" w:color="000000" w:fill="FCB77A"/>
            <w:noWrap/>
            <w:vAlign w:val="center"/>
            <w:hideMark/>
          </w:tcPr>
          <w:p w14:paraId="6A76C4CE" w14:textId="731021FA"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-6.0</w:t>
            </w:r>
          </w:p>
        </w:tc>
        <w:tc>
          <w:tcPr>
            <w:tcW w:w="556" w:type="dxa"/>
            <w:tcBorders>
              <w:top w:val="nil"/>
              <w:left w:val="nil"/>
              <w:bottom w:val="nil"/>
              <w:right w:val="nil"/>
            </w:tcBorders>
            <w:shd w:val="clear" w:color="000000" w:fill="F8696B"/>
            <w:noWrap/>
            <w:vAlign w:val="center"/>
            <w:hideMark/>
          </w:tcPr>
          <w:p w14:paraId="6968FEA8" w14:textId="591F5B68"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-9.0</w:t>
            </w:r>
          </w:p>
        </w:tc>
        <w:tc>
          <w:tcPr>
            <w:tcW w:w="556" w:type="dxa"/>
            <w:tcBorders>
              <w:top w:val="nil"/>
              <w:left w:val="nil"/>
              <w:bottom w:val="nil"/>
              <w:right w:val="nil"/>
            </w:tcBorders>
            <w:shd w:val="clear" w:color="000000" w:fill="EDE683"/>
            <w:noWrap/>
            <w:vAlign w:val="center"/>
            <w:hideMark/>
          </w:tcPr>
          <w:p w14:paraId="7BFE5B7A" w14:textId="3601DA6C"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-2.0</w:t>
            </w:r>
          </w:p>
        </w:tc>
        <w:tc>
          <w:tcPr>
            <w:tcW w:w="556" w:type="dxa"/>
            <w:tcBorders>
              <w:top w:val="nil"/>
              <w:left w:val="nil"/>
              <w:bottom w:val="nil"/>
              <w:right w:val="nil"/>
            </w:tcBorders>
            <w:shd w:val="clear" w:color="000000" w:fill="FA9D75"/>
            <w:noWrap/>
            <w:vAlign w:val="center"/>
            <w:hideMark/>
          </w:tcPr>
          <w:p w14:paraId="68085F77" w14:textId="2B2DA98E"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-7.0</w:t>
            </w:r>
          </w:p>
        </w:tc>
        <w:tc>
          <w:tcPr>
            <w:tcW w:w="556" w:type="dxa"/>
            <w:tcBorders>
              <w:top w:val="nil"/>
              <w:left w:val="nil"/>
              <w:bottom w:val="nil"/>
              <w:right w:val="nil"/>
            </w:tcBorders>
            <w:shd w:val="clear" w:color="000000" w:fill="FA9D75"/>
            <w:noWrap/>
            <w:vAlign w:val="center"/>
            <w:hideMark/>
          </w:tcPr>
          <w:p w14:paraId="244333B8" w14:textId="3A1F0E22"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-7.0</w:t>
            </w:r>
          </w:p>
        </w:tc>
        <w:tc>
          <w:tcPr>
            <w:tcW w:w="236" w:type="dxa"/>
            <w:tcBorders>
              <w:top w:val="nil"/>
              <w:left w:val="nil"/>
              <w:bottom w:val="nil"/>
              <w:right w:val="nil"/>
            </w:tcBorders>
            <w:shd w:val="clear" w:color="auto" w:fill="auto"/>
            <w:noWrap/>
            <w:vAlign w:val="center"/>
            <w:hideMark/>
          </w:tcPr>
          <w:p w14:paraId="4123EB5E" w14:textId="77777777" w:rsidR="0084436E" w:rsidRPr="00E40757" w:rsidRDefault="0084436E" w:rsidP="00F35E4B">
            <w:pPr>
              <w:spacing w:after="0" w:line="240" w:lineRule="auto"/>
              <w:jc w:val="center"/>
              <w:rPr>
                <w:rFonts w:ascii="Trebuchet MS" w:eastAsia="Times New Roman" w:hAnsi="Trebuchet MS" w:cs="Calibri Light"/>
                <w:sz w:val="16"/>
                <w:szCs w:val="16"/>
                <w:lang w:bidi="th-TH"/>
              </w:rPr>
            </w:pPr>
          </w:p>
        </w:tc>
        <w:tc>
          <w:tcPr>
            <w:tcW w:w="554" w:type="dxa"/>
            <w:tcBorders>
              <w:top w:val="nil"/>
              <w:left w:val="nil"/>
              <w:bottom w:val="nil"/>
              <w:right w:val="nil"/>
            </w:tcBorders>
            <w:shd w:val="clear" w:color="000000" w:fill="D2DE82"/>
            <w:noWrap/>
            <w:vAlign w:val="center"/>
            <w:hideMark/>
          </w:tcPr>
          <w:p w14:paraId="1A09409B" w14:textId="19BC0E51"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1.0</w:t>
            </w:r>
          </w:p>
        </w:tc>
        <w:tc>
          <w:tcPr>
            <w:tcW w:w="556" w:type="dxa"/>
            <w:tcBorders>
              <w:top w:val="nil"/>
              <w:left w:val="nil"/>
              <w:bottom w:val="nil"/>
              <w:right w:val="nil"/>
            </w:tcBorders>
            <w:shd w:val="clear" w:color="000000" w:fill="BFD981"/>
            <w:noWrap/>
            <w:vAlign w:val="center"/>
            <w:hideMark/>
          </w:tcPr>
          <w:p w14:paraId="70002A69" w14:textId="1FA2CF58"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3.0</w:t>
            </w:r>
          </w:p>
        </w:tc>
        <w:tc>
          <w:tcPr>
            <w:tcW w:w="556" w:type="dxa"/>
            <w:tcBorders>
              <w:top w:val="nil"/>
              <w:left w:val="nil"/>
              <w:bottom w:val="nil"/>
              <w:right w:val="nil"/>
            </w:tcBorders>
            <w:shd w:val="clear" w:color="000000" w:fill="FCB77A"/>
            <w:noWrap/>
            <w:vAlign w:val="center"/>
            <w:hideMark/>
          </w:tcPr>
          <w:p w14:paraId="5167EF83" w14:textId="46773E3B"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-6.0</w:t>
            </w:r>
          </w:p>
        </w:tc>
        <w:tc>
          <w:tcPr>
            <w:tcW w:w="234" w:type="dxa"/>
            <w:tcBorders>
              <w:top w:val="nil"/>
              <w:left w:val="nil"/>
              <w:bottom w:val="nil"/>
              <w:right w:val="nil"/>
            </w:tcBorders>
            <w:shd w:val="clear" w:color="auto" w:fill="auto"/>
            <w:noWrap/>
            <w:vAlign w:val="center"/>
            <w:hideMark/>
          </w:tcPr>
          <w:p w14:paraId="1B5C47B0" w14:textId="77777777" w:rsidR="0084436E" w:rsidRPr="00E40757" w:rsidRDefault="0084436E" w:rsidP="00F35E4B">
            <w:pPr>
              <w:spacing w:after="0" w:line="240" w:lineRule="auto"/>
              <w:jc w:val="center"/>
              <w:rPr>
                <w:rFonts w:ascii="Trebuchet MS" w:eastAsia="Times New Roman" w:hAnsi="Trebuchet MS" w:cs="Calibri Light"/>
                <w:sz w:val="16"/>
                <w:szCs w:val="16"/>
                <w:lang w:bidi="th-TH"/>
              </w:rPr>
            </w:pPr>
          </w:p>
        </w:tc>
        <w:tc>
          <w:tcPr>
            <w:tcW w:w="622" w:type="dxa"/>
            <w:tcBorders>
              <w:top w:val="nil"/>
              <w:left w:val="nil"/>
              <w:bottom w:val="nil"/>
              <w:right w:val="nil"/>
            </w:tcBorders>
            <w:shd w:val="clear" w:color="000000" w:fill="63BE7B"/>
            <w:noWrap/>
            <w:vAlign w:val="center"/>
            <w:hideMark/>
          </w:tcPr>
          <w:p w14:paraId="3E36EF46" w14:textId="4A565693"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13.0</w:t>
            </w:r>
          </w:p>
        </w:tc>
        <w:tc>
          <w:tcPr>
            <w:tcW w:w="622" w:type="dxa"/>
            <w:tcBorders>
              <w:top w:val="nil"/>
              <w:left w:val="nil"/>
              <w:bottom w:val="nil"/>
              <w:right w:val="nil"/>
            </w:tcBorders>
            <w:shd w:val="clear" w:color="000000" w:fill="E4E483"/>
            <w:noWrap/>
            <w:vAlign w:val="center"/>
            <w:hideMark/>
          </w:tcPr>
          <w:p w14:paraId="5C861D14" w14:textId="68194E95"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-1.0</w:t>
            </w:r>
          </w:p>
        </w:tc>
      </w:tr>
      <w:tr w:rsidR="009F499F" w:rsidRPr="00001E3E" w14:paraId="51696F08" w14:textId="77777777" w:rsidTr="0084436E">
        <w:trPr>
          <w:trHeight w:val="308"/>
        </w:trPr>
        <w:tc>
          <w:tcPr>
            <w:tcW w:w="2451" w:type="dxa"/>
            <w:tcBorders>
              <w:top w:val="nil"/>
              <w:left w:val="nil"/>
              <w:bottom w:val="nil"/>
              <w:right w:val="nil"/>
            </w:tcBorders>
            <w:shd w:val="clear" w:color="auto" w:fill="auto"/>
            <w:noWrap/>
            <w:vAlign w:val="bottom"/>
            <w:hideMark/>
          </w:tcPr>
          <w:p w14:paraId="1A72E14C" w14:textId="6C551B8D" w:rsidR="0084436E" w:rsidRPr="00E40757" w:rsidRDefault="0084436E" w:rsidP="00836CE2">
            <w:pPr>
              <w:spacing w:after="0" w:line="240" w:lineRule="auto"/>
              <w:rPr>
                <w:rFonts w:ascii="Trebuchet MS" w:eastAsia="Times New Roman" w:hAnsi="Trebuchet MS" w:cs="Calibri Light"/>
                <w:sz w:val="16"/>
                <w:szCs w:val="16"/>
                <w:lang w:bidi="th-TH"/>
              </w:rPr>
            </w:pPr>
            <w:r w:rsidRPr="00E40757">
              <w:rPr>
                <w:rFonts w:ascii="Trebuchet MS" w:eastAsia="Times New Roman" w:hAnsi="Trebuchet MS" w:cs="Calibri Light"/>
                <w:sz w:val="16"/>
                <w:szCs w:val="16"/>
                <w:lang w:bidi="th-TH"/>
              </w:rPr>
              <w:t>Global competitiveness index</w:t>
            </w:r>
          </w:p>
        </w:tc>
        <w:tc>
          <w:tcPr>
            <w:tcW w:w="839" w:type="dxa"/>
            <w:tcBorders>
              <w:top w:val="nil"/>
              <w:left w:val="nil"/>
              <w:bottom w:val="nil"/>
              <w:right w:val="nil"/>
            </w:tcBorders>
            <w:shd w:val="clear" w:color="auto" w:fill="auto"/>
            <w:noWrap/>
            <w:vAlign w:val="bottom"/>
            <w:hideMark/>
          </w:tcPr>
          <w:p w14:paraId="4439D343" w14:textId="77777777" w:rsidR="0084436E" w:rsidRPr="00E40757" w:rsidRDefault="0084436E" w:rsidP="0064674E">
            <w:pPr>
              <w:spacing w:after="0" w:line="240" w:lineRule="auto"/>
              <w:jc w:val="right"/>
              <w:rPr>
                <w:rFonts w:ascii="Trebuchet MS" w:eastAsia="Times New Roman" w:hAnsi="Trebuchet MS" w:cs="Calibri Light"/>
                <w:sz w:val="16"/>
                <w:szCs w:val="16"/>
                <w:lang w:bidi="th-TH"/>
              </w:rPr>
            </w:pPr>
            <w:r w:rsidRPr="00E40757">
              <w:rPr>
                <w:rFonts w:ascii="Trebuchet MS" w:eastAsia="Times New Roman" w:hAnsi="Trebuchet MS" w:cs="Calibri Light"/>
                <w:sz w:val="16"/>
                <w:szCs w:val="16"/>
                <w:lang w:bidi="th-TH"/>
              </w:rPr>
              <w:t>2019</w:t>
            </w:r>
          </w:p>
        </w:tc>
        <w:tc>
          <w:tcPr>
            <w:tcW w:w="556" w:type="dxa"/>
            <w:tcBorders>
              <w:top w:val="nil"/>
              <w:left w:val="nil"/>
              <w:bottom w:val="nil"/>
              <w:right w:val="nil"/>
            </w:tcBorders>
            <w:shd w:val="clear" w:color="000000" w:fill="D9E081"/>
            <w:noWrap/>
            <w:vAlign w:val="center"/>
            <w:hideMark/>
          </w:tcPr>
          <w:p w14:paraId="796A8315" w14:textId="508DDF8D"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40.0</w:t>
            </w:r>
          </w:p>
        </w:tc>
        <w:tc>
          <w:tcPr>
            <w:tcW w:w="556" w:type="dxa"/>
            <w:tcBorders>
              <w:top w:val="nil"/>
              <w:left w:val="nil"/>
              <w:bottom w:val="nil"/>
              <w:right w:val="nil"/>
            </w:tcBorders>
            <w:shd w:val="clear" w:color="000000" w:fill="FFE182"/>
            <w:noWrap/>
            <w:vAlign w:val="center"/>
            <w:hideMark/>
          </w:tcPr>
          <w:p w14:paraId="0633C35B" w14:textId="62459FBD"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50.0</w:t>
            </w:r>
          </w:p>
        </w:tc>
        <w:tc>
          <w:tcPr>
            <w:tcW w:w="556" w:type="dxa"/>
            <w:tcBorders>
              <w:top w:val="nil"/>
              <w:left w:val="nil"/>
              <w:bottom w:val="nil"/>
              <w:right w:val="nil"/>
            </w:tcBorders>
            <w:shd w:val="clear" w:color="000000" w:fill="A0CF7E"/>
            <w:noWrap/>
            <w:vAlign w:val="center"/>
            <w:hideMark/>
          </w:tcPr>
          <w:p w14:paraId="0ADA1DF4" w14:textId="4747C08C"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27.0</w:t>
            </w:r>
          </w:p>
        </w:tc>
        <w:tc>
          <w:tcPr>
            <w:tcW w:w="556" w:type="dxa"/>
            <w:tcBorders>
              <w:top w:val="nil"/>
              <w:left w:val="nil"/>
              <w:bottom w:val="nil"/>
              <w:right w:val="nil"/>
            </w:tcBorders>
            <w:shd w:val="clear" w:color="000000" w:fill="FA7F70"/>
            <w:noWrap/>
            <w:vAlign w:val="center"/>
            <w:hideMark/>
          </w:tcPr>
          <w:p w14:paraId="6CBBCD57" w14:textId="2EFC064D"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64.0</w:t>
            </w:r>
          </w:p>
        </w:tc>
        <w:tc>
          <w:tcPr>
            <w:tcW w:w="556" w:type="dxa"/>
            <w:tcBorders>
              <w:top w:val="nil"/>
              <w:left w:val="nil"/>
              <w:bottom w:val="nil"/>
              <w:right w:val="nil"/>
            </w:tcBorders>
            <w:shd w:val="clear" w:color="000000" w:fill="F8696B"/>
            <w:noWrap/>
            <w:vAlign w:val="center"/>
            <w:hideMark/>
          </w:tcPr>
          <w:p w14:paraId="7BC1692E" w14:textId="7CAA5107"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67.0</w:t>
            </w:r>
          </w:p>
        </w:tc>
        <w:tc>
          <w:tcPr>
            <w:tcW w:w="236" w:type="dxa"/>
            <w:tcBorders>
              <w:top w:val="nil"/>
              <w:left w:val="nil"/>
              <w:bottom w:val="nil"/>
              <w:right w:val="nil"/>
            </w:tcBorders>
            <w:shd w:val="clear" w:color="auto" w:fill="auto"/>
            <w:noWrap/>
            <w:vAlign w:val="center"/>
            <w:hideMark/>
          </w:tcPr>
          <w:p w14:paraId="45ECFD2D" w14:textId="77777777" w:rsidR="0084436E" w:rsidRPr="00E40757" w:rsidRDefault="0084436E" w:rsidP="00F35E4B">
            <w:pPr>
              <w:spacing w:after="0" w:line="240" w:lineRule="auto"/>
              <w:jc w:val="center"/>
              <w:rPr>
                <w:rFonts w:ascii="Trebuchet MS" w:eastAsia="Times New Roman" w:hAnsi="Trebuchet MS" w:cs="Calibri Light"/>
                <w:sz w:val="16"/>
                <w:szCs w:val="16"/>
                <w:lang w:bidi="th-TH"/>
              </w:rPr>
            </w:pPr>
          </w:p>
        </w:tc>
        <w:tc>
          <w:tcPr>
            <w:tcW w:w="554" w:type="dxa"/>
            <w:tcBorders>
              <w:top w:val="nil"/>
              <w:left w:val="nil"/>
              <w:bottom w:val="nil"/>
              <w:right w:val="nil"/>
            </w:tcBorders>
            <w:shd w:val="clear" w:color="000000" w:fill="FFE884"/>
            <w:noWrap/>
            <w:vAlign w:val="center"/>
            <w:hideMark/>
          </w:tcPr>
          <w:p w14:paraId="2FB97DBE" w14:textId="14CE97E9"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49.0</w:t>
            </w:r>
          </w:p>
        </w:tc>
        <w:tc>
          <w:tcPr>
            <w:tcW w:w="556" w:type="dxa"/>
            <w:tcBorders>
              <w:top w:val="nil"/>
              <w:left w:val="nil"/>
              <w:bottom w:val="nil"/>
              <w:right w:val="nil"/>
            </w:tcBorders>
            <w:shd w:val="clear" w:color="000000" w:fill="FCEA83"/>
            <w:noWrap/>
            <w:vAlign w:val="center"/>
            <w:hideMark/>
          </w:tcPr>
          <w:p w14:paraId="7A19A60E" w14:textId="1389B487"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48.0</w:t>
            </w:r>
          </w:p>
        </w:tc>
        <w:tc>
          <w:tcPr>
            <w:tcW w:w="556" w:type="dxa"/>
            <w:tcBorders>
              <w:top w:val="nil"/>
              <w:left w:val="nil"/>
              <w:bottom w:val="nil"/>
              <w:right w:val="nil"/>
            </w:tcBorders>
            <w:shd w:val="clear" w:color="000000" w:fill="FB9474"/>
            <w:noWrap/>
            <w:vAlign w:val="center"/>
            <w:hideMark/>
          </w:tcPr>
          <w:p w14:paraId="45046497" w14:textId="298F85E8"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61.0</w:t>
            </w:r>
          </w:p>
        </w:tc>
        <w:tc>
          <w:tcPr>
            <w:tcW w:w="234" w:type="dxa"/>
            <w:tcBorders>
              <w:top w:val="nil"/>
              <w:left w:val="nil"/>
              <w:bottom w:val="nil"/>
              <w:right w:val="nil"/>
            </w:tcBorders>
            <w:shd w:val="clear" w:color="auto" w:fill="auto"/>
            <w:noWrap/>
            <w:vAlign w:val="center"/>
            <w:hideMark/>
          </w:tcPr>
          <w:p w14:paraId="5493D849" w14:textId="77777777" w:rsidR="0084436E" w:rsidRPr="00E40757" w:rsidRDefault="0084436E" w:rsidP="00F35E4B">
            <w:pPr>
              <w:spacing w:after="0" w:line="240" w:lineRule="auto"/>
              <w:jc w:val="center"/>
              <w:rPr>
                <w:rFonts w:ascii="Trebuchet MS" w:eastAsia="Times New Roman" w:hAnsi="Trebuchet MS" w:cs="Calibri Light"/>
                <w:sz w:val="16"/>
                <w:szCs w:val="16"/>
                <w:lang w:bidi="th-TH"/>
              </w:rPr>
            </w:pPr>
          </w:p>
        </w:tc>
        <w:tc>
          <w:tcPr>
            <w:tcW w:w="622" w:type="dxa"/>
            <w:tcBorders>
              <w:top w:val="nil"/>
              <w:left w:val="nil"/>
              <w:bottom w:val="nil"/>
              <w:right w:val="nil"/>
            </w:tcBorders>
            <w:shd w:val="clear" w:color="000000" w:fill="63BE7B"/>
            <w:noWrap/>
            <w:vAlign w:val="center"/>
            <w:hideMark/>
          </w:tcPr>
          <w:p w14:paraId="46DD43C8" w14:textId="5ECC28C5"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13.0</w:t>
            </w:r>
          </w:p>
        </w:tc>
        <w:tc>
          <w:tcPr>
            <w:tcW w:w="622" w:type="dxa"/>
            <w:tcBorders>
              <w:top w:val="nil"/>
              <w:left w:val="nil"/>
              <w:bottom w:val="nil"/>
              <w:right w:val="nil"/>
            </w:tcBorders>
            <w:shd w:val="clear" w:color="000000" w:fill="CCDC81"/>
            <w:noWrap/>
            <w:vAlign w:val="center"/>
            <w:hideMark/>
          </w:tcPr>
          <w:p w14:paraId="317E32A3" w14:textId="438E0809"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37.0</w:t>
            </w:r>
          </w:p>
        </w:tc>
      </w:tr>
      <w:tr w:rsidR="009F499F" w:rsidRPr="00001E3E" w14:paraId="17D0EF71" w14:textId="77777777" w:rsidTr="0084436E">
        <w:trPr>
          <w:trHeight w:val="333"/>
        </w:trPr>
        <w:tc>
          <w:tcPr>
            <w:tcW w:w="2451" w:type="dxa"/>
            <w:tcBorders>
              <w:top w:val="nil"/>
              <w:left w:val="nil"/>
              <w:bottom w:val="single" w:sz="4" w:space="0" w:color="auto"/>
              <w:right w:val="nil"/>
            </w:tcBorders>
            <w:shd w:val="clear" w:color="auto" w:fill="auto"/>
            <w:noWrap/>
            <w:vAlign w:val="bottom"/>
            <w:hideMark/>
          </w:tcPr>
          <w:p w14:paraId="54D55B40" w14:textId="39461977" w:rsidR="0084436E" w:rsidRPr="00E40757" w:rsidRDefault="0084436E" w:rsidP="00836CE2">
            <w:pPr>
              <w:spacing w:after="0" w:line="240" w:lineRule="auto"/>
              <w:rPr>
                <w:rFonts w:ascii="Trebuchet MS" w:eastAsia="Times New Roman" w:hAnsi="Trebuchet MS" w:cs="Calibri Light"/>
                <w:sz w:val="16"/>
                <w:szCs w:val="16"/>
                <w:lang w:bidi="th-TH"/>
              </w:rPr>
            </w:pPr>
            <w:r w:rsidRPr="00E40757">
              <w:rPr>
                <w:rFonts w:ascii="Trebuchet MS" w:eastAsia="Times New Roman" w:hAnsi="Trebuchet MS" w:cs="Calibri Light"/>
                <w:sz w:val="16"/>
                <w:szCs w:val="16"/>
                <w:lang w:bidi="th-TH"/>
              </w:rPr>
              <w:t>Global competitiveness index</w:t>
            </w:r>
          </w:p>
        </w:tc>
        <w:tc>
          <w:tcPr>
            <w:tcW w:w="839" w:type="dxa"/>
            <w:tcBorders>
              <w:top w:val="nil"/>
              <w:left w:val="nil"/>
              <w:bottom w:val="single" w:sz="4" w:space="0" w:color="auto"/>
              <w:right w:val="nil"/>
            </w:tcBorders>
            <w:shd w:val="clear" w:color="auto" w:fill="auto"/>
            <w:noWrap/>
            <w:vAlign w:val="bottom"/>
            <w:hideMark/>
          </w:tcPr>
          <w:p w14:paraId="181A7BD2" w14:textId="77777777" w:rsidR="0084436E" w:rsidRPr="00E40757" w:rsidRDefault="0084436E" w:rsidP="0064674E">
            <w:pPr>
              <w:spacing w:after="0" w:line="240" w:lineRule="auto"/>
              <w:jc w:val="right"/>
              <w:rPr>
                <w:rFonts w:ascii="Trebuchet MS" w:eastAsia="Times New Roman" w:hAnsi="Trebuchet MS" w:cs="Calibri Light"/>
                <w:sz w:val="16"/>
                <w:szCs w:val="16"/>
                <w:lang w:bidi="th-TH"/>
              </w:rPr>
            </w:pPr>
            <w:r w:rsidRPr="00E40757">
              <w:rPr>
                <w:rFonts w:ascii="Trebuchet MS" w:eastAsia="Times New Roman" w:hAnsi="Trebuchet MS" w:cs="Calibri Light"/>
                <w:sz w:val="16"/>
                <w:szCs w:val="16"/>
                <w:lang w:bidi="th-TH"/>
              </w:rPr>
              <w:t>2016-17</w:t>
            </w:r>
          </w:p>
        </w:tc>
        <w:tc>
          <w:tcPr>
            <w:tcW w:w="556" w:type="dxa"/>
            <w:tcBorders>
              <w:top w:val="nil"/>
              <w:left w:val="nil"/>
              <w:bottom w:val="single" w:sz="4" w:space="0" w:color="auto"/>
              <w:right w:val="nil"/>
            </w:tcBorders>
            <w:shd w:val="clear" w:color="000000" w:fill="BFD880"/>
            <w:noWrap/>
            <w:vAlign w:val="center"/>
            <w:hideMark/>
          </w:tcPr>
          <w:p w14:paraId="4B0CEB66" w14:textId="66BF6F4B"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34.0</w:t>
            </w:r>
          </w:p>
        </w:tc>
        <w:tc>
          <w:tcPr>
            <w:tcW w:w="556" w:type="dxa"/>
            <w:tcBorders>
              <w:top w:val="nil"/>
              <w:left w:val="nil"/>
              <w:bottom w:val="single" w:sz="4" w:space="0" w:color="auto"/>
              <w:right w:val="nil"/>
            </w:tcBorders>
            <w:shd w:val="clear" w:color="000000" w:fill="DEE182"/>
            <w:noWrap/>
            <w:vAlign w:val="center"/>
            <w:hideMark/>
          </w:tcPr>
          <w:p w14:paraId="49AF862A" w14:textId="5C0DB689"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41.0</w:t>
            </w:r>
          </w:p>
        </w:tc>
        <w:tc>
          <w:tcPr>
            <w:tcW w:w="556" w:type="dxa"/>
            <w:tcBorders>
              <w:top w:val="nil"/>
              <w:left w:val="nil"/>
              <w:bottom w:val="single" w:sz="4" w:space="0" w:color="auto"/>
              <w:right w:val="nil"/>
            </w:tcBorders>
            <w:shd w:val="clear" w:color="000000" w:fill="97CD7E"/>
            <w:noWrap/>
            <w:vAlign w:val="center"/>
            <w:hideMark/>
          </w:tcPr>
          <w:p w14:paraId="6DBAD87D" w14:textId="1F8F1E83"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25.0</w:t>
            </w:r>
          </w:p>
        </w:tc>
        <w:tc>
          <w:tcPr>
            <w:tcW w:w="556" w:type="dxa"/>
            <w:tcBorders>
              <w:top w:val="nil"/>
              <w:left w:val="nil"/>
              <w:bottom w:val="single" w:sz="4" w:space="0" w:color="auto"/>
              <w:right w:val="nil"/>
            </w:tcBorders>
            <w:shd w:val="clear" w:color="000000" w:fill="FCB079"/>
            <w:noWrap/>
            <w:vAlign w:val="center"/>
            <w:hideMark/>
          </w:tcPr>
          <w:p w14:paraId="34102E72" w14:textId="177A6F9F"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57.0</w:t>
            </w:r>
          </w:p>
        </w:tc>
        <w:tc>
          <w:tcPr>
            <w:tcW w:w="556" w:type="dxa"/>
            <w:tcBorders>
              <w:top w:val="nil"/>
              <w:left w:val="nil"/>
              <w:bottom w:val="single" w:sz="4" w:space="0" w:color="auto"/>
              <w:right w:val="nil"/>
            </w:tcBorders>
            <w:shd w:val="clear" w:color="000000" w:fill="FB9B75"/>
            <w:noWrap/>
            <w:vAlign w:val="center"/>
            <w:hideMark/>
          </w:tcPr>
          <w:p w14:paraId="6BD288C7" w14:textId="0B8F78C3"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60.0</w:t>
            </w:r>
          </w:p>
        </w:tc>
        <w:tc>
          <w:tcPr>
            <w:tcW w:w="236" w:type="dxa"/>
            <w:tcBorders>
              <w:top w:val="nil"/>
              <w:left w:val="nil"/>
              <w:bottom w:val="single" w:sz="4" w:space="0" w:color="auto"/>
              <w:right w:val="nil"/>
            </w:tcBorders>
            <w:shd w:val="clear" w:color="auto" w:fill="auto"/>
            <w:noWrap/>
            <w:vAlign w:val="center"/>
            <w:hideMark/>
          </w:tcPr>
          <w:p w14:paraId="06D6316F" w14:textId="1A187FF9" w:rsidR="0084436E" w:rsidRPr="00E40757" w:rsidRDefault="0084436E" w:rsidP="00F35E4B">
            <w:pPr>
              <w:spacing w:after="0" w:line="240" w:lineRule="auto"/>
              <w:jc w:val="center"/>
              <w:rPr>
                <w:rFonts w:ascii="Trebuchet MS" w:eastAsia="Times New Roman" w:hAnsi="Trebuchet MS" w:cs="Calibri Light"/>
                <w:sz w:val="16"/>
                <w:szCs w:val="16"/>
                <w:lang w:bidi="th-TH"/>
              </w:rPr>
            </w:pPr>
          </w:p>
        </w:tc>
        <w:tc>
          <w:tcPr>
            <w:tcW w:w="554" w:type="dxa"/>
            <w:tcBorders>
              <w:top w:val="nil"/>
              <w:left w:val="nil"/>
              <w:bottom w:val="single" w:sz="4" w:space="0" w:color="auto"/>
              <w:right w:val="nil"/>
            </w:tcBorders>
            <w:shd w:val="clear" w:color="000000" w:fill="FFE182"/>
            <w:noWrap/>
            <w:vAlign w:val="center"/>
            <w:hideMark/>
          </w:tcPr>
          <w:p w14:paraId="62331B9B" w14:textId="3E3F3FD0"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50.0</w:t>
            </w:r>
          </w:p>
        </w:tc>
        <w:tc>
          <w:tcPr>
            <w:tcW w:w="556" w:type="dxa"/>
            <w:tcBorders>
              <w:top w:val="nil"/>
              <w:left w:val="nil"/>
              <w:bottom w:val="single" w:sz="4" w:space="0" w:color="auto"/>
              <w:right w:val="nil"/>
            </w:tcBorders>
            <w:shd w:val="clear" w:color="000000" w:fill="FFDA81"/>
            <w:noWrap/>
            <w:vAlign w:val="center"/>
            <w:hideMark/>
          </w:tcPr>
          <w:p w14:paraId="5DB6F08F" w14:textId="15C4206E"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51.0</w:t>
            </w:r>
          </w:p>
        </w:tc>
        <w:tc>
          <w:tcPr>
            <w:tcW w:w="556" w:type="dxa"/>
            <w:tcBorders>
              <w:top w:val="nil"/>
              <w:left w:val="nil"/>
              <w:bottom w:val="single" w:sz="4" w:space="0" w:color="auto"/>
              <w:right w:val="nil"/>
            </w:tcBorders>
            <w:shd w:val="clear" w:color="000000" w:fill="FDBE7C"/>
            <w:noWrap/>
            <w:vAlign w:val="center"/>
            <w:hideMark/>
          </w:tcPr>
          <w:p w14:paraId="4E378354" w14:textId="0B1B3B33"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55.0</w:t>
            </w:r>
          </w:p>
        </w:tc>
        <w:tc>
          <w:tcPr>
            <w:tcW w:w="234" w:type="dxa"/>
            <w:tcBorders>
              <w:top w:val="nil"/>
              <w:left w:val="nil"/>
              <w:bottom w:val="single" w:sz="4" w:space="0" w:color="auto"/>
              <w:right w:val="nil"/>
            </w:tcBorders>
            <w:shd w:val="clear" w:color="auto" w:fill="auto"/>
            <w:noWrap/>
            <w:vAlign w:val="center"/>
            <w:hideMark/>
          </w:tcPr>
          <w:p w14:paraId="42B5FE23" w14:textId="2EBAD983" w:rsidR="0084436E" w:rsidRPr="00E40757" w:rsidRDefault="0084436E" w:rsidP="00F35E4B">
            <w:pPr>
              <w:spacing w:after="0" w:line="240" w:lineRule="auto"/>
              <w:jc w:val="center"/>
              <w:rPr>
                <w:rFonts w:ascii="Trebuchet MS" w:eastAsia="Times New Roman" w:hAnsi="Trebuchet MS" w:cs="Calibri Light"/>
                <w:sz w:val="16"/>
                <w:szCs w:val="16"/>
                <w:lang w:bidi="th-TH"/>
              </w:rPr>
            </w:pPr>
          </w:p>
        </w:tc>
        <w:tc>
          <w:tcPr>
            <w:tcW w:w="622" w:type="dxa"/>
            <w:tcBorders>
              <w:top w:val="nil"/>
              <w:left w:val="nil"/>
              <w:bottom w:val="single" w:sz="4" w:space="0" w:color="auto"/>
              <w:right w:val="nil"/>
            </w:tcBorders>
            <w:shd w:val="clear" w:color="000000" w:fill="9CCE7E"/>
            <w:noWrap/>
            <w:vAlign w:val="center"/>
            <w:hideMark/>
          </w:tcPr>
          <w:p w14:paraId="5AE36FA3" w14:textId="5015B4A7"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26.0</w:t>
            </w:r>
          </w:p>
        </w:tc>
        <w:tc>
          <w:tcPr>
            <w:tcW w:w="622" w:type="dxa"/>
            <w:tcBorders>
              <w:top w:val="nil"/>
              <w:left w:val="nil"/>
              <w:bottom w:val="single" w:sz="4" w:space="0" w:color="auto"/>
              <w:right w:val="nil"/>
            </w:tcBorders>
            <w:shd w:val="clear" w:color="000000" w:fill="C8DB80"/>
            <w:noWrap/>
            <w:vAlign w:val="center"/>
            <w:hideMark/>
          </w:tcPr>
          <w:p w14:paraId="623EA1C5" w14:textId="4AB1F9A8" w:rsidR="0084436E" w:rsidRPr="00E40757" w:rsidRDefault="0084436E" w:rsidP="00F35E4B">
            <w:pPr>
              <w:spacing w:after="0" w:line="240" w:lineRule="auto"/>
              <w:jc w:val="center"/>
              <w:rPr>
                <w:rFonts w:ascii="Trebuchet MS" w:eastAsia="Times New Roman" w:hAnsi="Trebuchet MS" w:cs="Calibri Light"/>
                <w:sz w:val="16"/>
                <w:szCs w:val="16"/>
                <w:lang w:bidi="th-TH"/>
              </w:rPr>
            </w:pPr>
            <w:r w:rsidRPr="00001E3E">
              <w:rPr>
                <w:rFonts w:ascii="Trebuchet MS" w:hAnsi="Trebuchet MS"/>
                <w:sz w:val="16"/>
                <w:szCs w:val="16"/>
              </w:rPr>
              <w:t>36.0</w:t>
            </w:r>
          </w:p>
        </w:tc>
      </w:tr>
    </w:tbl>
    <w:p w14:paraId="63BE775E" w14:textId="542046B8" w:rsidR="00B047FD" w:rsidRPr="0064674E" w:rsidRDefault="00B047FD" w:rsidP="00B047FD">
      <w:pPr>
        <w:spacing w:after="0" w:line="240" w:lineRule="auto"/>
        <w:rPr>
          <w:rFonts w:ascii="Trebuchet MS" w:eastAsia="Times New Roman" w:hAnsi="Trebuchet MS" w:cs="Calibri Light"/>
          <w:sz w:val="16"/>
          <w:szCs w:val="16"/>
          <w:lang w:bidi="th-TH"/>
        </w:rPr>
      </w:pPr>
      <w:r w:rsidRPr="0064674E">
        <w:rPr>
          <w:rFonts w:ascii="Trebuchet MS" w:eastAsia="Times New Roman" w:hAnsi="Trebuchet MS" w:cs="Calibri Light"/>
          <w:sz w:val="16"/>
          <w:szCs w:val="16"/>
          <w:lang w:bidi="th-TH"/>
        </w:rPr>
        <w:tab/>
      </w:r>
      <w:r w:rsidRPr="0064674E">
        <w:rPr>
          <w:rFonts w:ascii="Trebuchet MS" w:eastAsia="Times New Roman" w:hAnsi="Trebuchet MS" w:cs="Calibri Light"/>
          <w:sz w:val="16"/>
          <w:szCs w:val="16"/>
          <w:lang w:bidi="th-TH"/>
        </w:rPr>
        <w:tab/>
      </w:r>
    </w:p>
    <w:tbl>
      <w:tblPr>
        <w:tblW w:w="9450" w:type="dxa"/>
        <w:tblLayout w:type="fixed"/>
        <w:tblLook w:val="04A0" w:firstRow="1" w:lastRow="0" w:firstColumn="1" w:lastColumn="0" w:noHBand="0" w:noVBand="1"/>
      </w:tblPr>
      <w:tblGrid>
        <w:gridCol w:w="9450"/>
      </w:tblGrid>
      <w:tr w:rsidR="00A745B7" w:rsidRPr="00E40757" w14:paraId="5262D089" w14:textId="77777777" w:rsidTr="00A745B7">
        <w:trPr>
          <w:trHeight w:val="20"/>
        </w:trPr>
        <w:tc>
          <w:tcPr>
            <w:tcW w:w="9450" w:type="dxa"/>
            <w:shd w:val="clear" w:color="auto" w:fill="auto"/>
            <w:noWrap/>
            <w:hideMark/>
          </w:tcPr>
          <w:p w14:paraId="08056791" w14:textId="28772BBA" w:rsidR="00A745B7" w:rsidRPr="00E40757" w:rsidRDefault="00A745B7" w:rsidP="00EE59F5">
            <w:pPr>
              <w:tabs>
                <w:tab w:val="left" w:pos="1515"/>
              </w:tabs>
              <w:spacing w:after="0" w:line="240" w:lineRule="auto"/>
              <w:rPr>
                <w:rFonts w:ascii="Trebuchet MS" w:eastAsia="Times New Roman" w:hAnsi="Trebuchet MS" w:cs="Times New Roman"/>
                <w:sz w:val="16"/>
                <w:szCs w:val="16"/>
                <w:lang w:bidi="th-TH"/>
              </w:rPr>
            </w:pPr>
            <w:r w:rsidRPr="00E76C6C">
              <w:rPr>
                <w:rFonts w:ascii="Trebuchet MS" w:eastAsia="Times New Roman" w:hAnsi="Trebuchet MS" w:cs="Calibri Light"/>
                <w:sz w:val="16"/>
                <w:szCs w:val="16"/>
                <w:lang w:bidi="th-TH"/>
              </w:rPr>
              <w:t xml:space="preserve">Source: World Economic Forum (WEF). </w:t>
            </w:r>
          </w:p>
        </w:tc>
      </w:tr>
      <w:tr w:rsidR="00B14565" w:rsidRPr="00E40757" w14:paraId="3D3A4612" w14:textId="77777777" w:rsidTr="00A745B7">
        <w:trPr>
          <w:trHeight w:val="20"/>
        </w:trPr>
        <w:tc>
          <w:tcPr>
            <w:tcW w:w="9450" w:type="dxa"/>
            <w:shd w:val="clear" w:color="auto" w:fill="auto"/>
            <w:noWrap/>
            <w:hideMark/>
          </w:tcPr>
          <w:p w14:paraId="33E6EDB7" w14:textId="2A2621CD" w:rsidR="00B14565" w:rsidRPr="00E40757" w:rsidRDefault="00B14565" w:rsidP="00B14565">
            <w:pPr>
              <w:spacing w:after="0" w:line="240" w:lineRule="auto"/>
              <w:rPr>
                <w:rFonts w:ascii="Trebuchet MS" w:eastAsia="Times New Roman" w:hAnsi="Trebuchet MS" w:cs="Calibri Light"/>
                <w:color w:val="333333"/>
                <w:sz w:val="16"/>
                <w:szCs w:val="16"/>
                <w:lang w:bidi="th-TH"/>
              </w:rPr>
            </w:pPr>
            <w:r w:rsidRPr="00E76C6C">
              <w:rPr>
                <w:rFonts w:ascii="Trebuchet MS" w:eastAsia="Times New Roman" w:hAnsi="Trebuchet MS" w:cs="Calibri Light"/>
                <w:sz w:val="16"/>
                <w:szCs w:val="16"/>
                <w:lang w:bidi="th-TH"/>
              </w:rPr>
              <w:t xml:space="preserve">Note: * An increase means improvement in competitiveness.  </w:t>
            </w:r>
          </w:p>
        </w:tc>
      </w:tr>
      <w:tr w:rsidR="00B14565" w:rsidRPr="00E40757" w14:paraId="0E85891B" w14:textId="77777777" w:rsidTr="00A745B7">
        <w:trPr>
          <w:trHeight w:val="20"/>
        </w:trPr>
        <w:tc>
          <w:tcPr>
            <w:tcW w:w="9450" w:type="dxa"/>
            <w:shd w:val="clear" w:color="auto" w:fill="auto"/>
            <w:noWrap/>
            <w:hideMark/>
          </w:tcPr>
          <w:p w14:paraId="7F9EEA0A" w14:textId="49F21AC4" w:rsidR="00B14565" w:rsidRPr="00E40757" w:rsidRDefault="00B14565" w:rsidP="00B14565">
            <w:pPr>
              <w:spacing w:after="0" w:line="240" w:lineRule="auto"/>
              <w:rPr>
                <w:rFonts w:ascii="Trebuchet MS" w:eastAsia="Times New Roman" w:hAnsi="Trebuchet MS" w:cs="Calibri Light"/>
                <w:color w:val="333333"/>
                <w:sz w:val="16"/>
                <w:szCs w:val="16"/>
                <w:lang w:bidi="th-TH"/>
              </w:rPr>
            </w:pPr>
            <w:r w:rsidRPr="00E76C6C">
              <w:rPr>
                <w:rFonts w:ascii="Trebuchet MS" w:eastAsia="Times New Roman" w:hAnsi="Trebuchet MS" w:cs="Calibri Light"/>
                <w:sz w:val="16"/>
                <w:szCs w:val="16"/>
                <w:lang w:bidi="th-TH"/>
              </w:rPr>
              <w:t xml:space="preserve">2019 ranking covers 141 economies, 2016-17 ranking covers 140 economies. </w:t>
            </w:r>
          </w:p>
        </w:tc>
      </w:tr>
      <w:tr w:rsidR="00A56F00" w:rsidRPr="00E40757" w14:paraId="26A105C2" w14:textId="77777777" w:rsidTr="00A745B7">
        <w:trPr>
          <w:trHeight w:val="20"/>
        </w:trPr>
        <w:tc>
          <w:tcPr>
            <w:tcW w:w="9450" w:type="dxa"/>
            <w:shd w:val="clear" w:color="auto" w:fill="auto"/>
            <w:noWrap/>
          </w:tcPr>
          <w:p w14:paraId="7D6BAB8C" w14:textId="7818B98E" w:rsidR="00A56F00" w:rsidRPr="00E76C6C" w:rsidRDefault="00A56F00" w:rsidP="00B14565">
            <w:pPr>
              <w:spacing w:after="0" w:line="240" w:lineRule="auto"/>
              <w:rPr>
                <w:rFonts w:ascii="Trebuchet MS" w:eastAsia="Times New Roman" w:hAnsi="Trebuchet MS" w:cs="Calibri Light"/>
                <w:sz w:val="16"/>
                <w:szCs w:val="16"/>
                <w:lang w:bidi="th-TH"/>
              </w:rPr>
            </w:pPr>
            <w:r w:rsidRPr="0064674E">
              <w:rPr>
                <w:rFonts w:ascii="Trebuchet MS" w:eastAsia="Times New Roman" w:hAnsi="Trebuchet MS" w:cs="Calibri Light"/>
                <w:sz w:val="16"/>
                <w:szCs w:val="16"/>
                <w:lang w:bidi="th-TH"/>
              </w:rPr>
              <w:t>The Global Competitiveness Index 4.0 measures national competitiveness, defined as the set of institutions, policies, and factors that determine the level of productivity.</w:t>
            </w:r>
          </w:p>
        </w:tc>
      </w:tr>
    </w:tbl>
    <w:p w14:paraId="34248C7B" w14:textId="77777777" w:rsidR="000436D5" w:rsidRDefault="000436D5"/>
    <w:tbl>
      <w:tblPr>
        <w:tblW w:w="9468" w:type="dxa"/>
        <w:tblLayout w:type="fixed"/>
        <w:tblLook w:val="04A0" w:firstRow="1" w:lastRow="0" w:firstColumn="1" w:lastColumn="0" w:noHBand="0" w:noVBand="1"/>
      </w:tblPr>
      <w:tblGrid>
        <w:gridCol w:w="2330"/>
        <w:gridCol w:w="988"/>
        <w:gridCol w:w="539"/>
        <w:gridCol w:w="539"/>
        <w:gridCol w:w="539"/>
        <w:gridCol w:w="539"/>
        <w:gridCol w:w="539"/>
        <w:gridCol w:w="269"/>
        <w:gridCol w:w="539"/>
        <w:gridCol w:w="539"/>
        <w:gridCol w:w="541"/>
        <w:gridCol w:w="270"/>
        <w:gridCol w:w="638"/>
        <w:gridCol w:w="620"/>
        <w:gridCol w:w="39"/>
      </w:tblGrid>
      <w:tr w:rsidR="0084436E" w:rsidRPr="00096612" w14:paraId="28E8B7C9" w14:textId="77777777" w:rsidTr="00EE59F5">
        <w:trPr>
          <w:gridAfter w:val="1"/>
          <w:wAfter w:w="39" w:type="dxa"/>
          <w:trHeight w:val="300"/>
        </w:trPr>
        <w:tc>
          <w:tcPr>
            <w:tcW w:w="9429" w:type="dxa"/>
            <w:gridSpan w:val="14"/>
            <w:tcBorders>
              <w:top w:val="nil"/>
              <w:left w:val="nil"/>
              <w:bottom w:val="nil"/>
              <w:right w:val="nil"/>
            </w:tcBorders>
            <w:shd w:val="clear" w:color="auto" w:fill="auto"/>
            <w:noWrap/>
            <w:vAlign w:val="bottom"/>
            <w:hideMark/>
          </w:tcPr>
          <w:p w14:paraId="1B410850" w14:textId="60356642" w:rsidR="0084436E" w:rsidRPr="00E40757" w:rsidRDefault="009D12FE" w:rsidP="00E4075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b/>
                <w:bCs/>
                <w:color w:val="004987"/>
                <w:sz w:val="18"/>
                <w:szCs w:val="18"/>
                <w:lang w:bidi="th-TH"/>
              </w:rPr>
              <w:t>Frontier technology readiness</w:t>
            </w:r>
          </w:p>
        </w:tc>
      </w:tr>
      <w:tr w:rsidR="009D12FE" w:rsidRPr="00096612" w14:paraId="78C3C215" w14:textId="77777777" w:rsidTr="00D357EF">
        <w:trPr>
          <w:trHeight w:val="300"/>
        </w:trPr>
        <w:tc>
          <w:tcPr>
            <w:tcW w:w="9468" w:type="dxa"/>
            <w:gridSpan w:val="15"/>
            <w:tcBorders>
              <w:top w:val="nil"/>
              <w:left w:val="nil"/>
              <w:bottom w:val="nil"/>
              <w:right w:val="nil"/>
            </w:tcBorders>
            <w:shd w:val="clear" w:color="auto" w:fill="auto"/>
            <w:noWrap/>
            <w:vAlign w:val="bottom"/>
          </w:tcPr>
          <w:p w14:paraId="36B5D546" w14:textId="77777777" w:rsidR="009D12FE" w:rsidRPr="00096612" w:rsidRDefault="009D12FE" w:rsidP="00F35E4B">
            <w:pPr>
              <w:spacing w:after="0" w:line="240" w:lineRule="auto"/>
              <w:jc w:val="center"/>
              <w:rPr>
                <w:rFonts w:ascii="Trebuchet MS" w:hAnsi="Trebuchet MS"/>
                <w:sz w:val="16"/>
                <w:szCs w:val="16"/>
              </w:rPr>
            </w:pPr>
          </w:p>
        </w:tc>
      </w:tr>
      <w:tr w:rsidR="0084436E" w:rsidRPr="00096612" w14:paraId="53087215" w14:textId="77777777" w:rsidTr="009D12FE">
        <w:trPr>
          <w:trHeight w:val="300"/>
        </w:trPr>
        <w:tc>
          <w:tcPr>
            <w:tcW w:w="2330" w:type="dxa"/>
            <w:tcBorders>
              <w:top w:val="nil"/>
              <w:left w:val="nil"/>
              <w:bottom w:val="nil"/>
              <w:right w:val="nil"/>
            </w:tcBorders>
            <w:shd w:val="clear" w:color="auto" w:fill="auto"/>
            <w:noWrap/>
            <w:vAlign w:val="bottom"/>
            <w:hideMark/>
          </w:tcPr>
          <w:p w14:paraId="02DF61E1" w14:textId="77777777" w:rsidR="0084436E" w:rsidRPr="00E40757" w:rsidRDefault="0084436E" w:rsidP="00096612">
            <w:pPr>
              <w:spacing w:after="0" w:line="240" w:lineRule="auto"/>
              <w:rPr>
                <w:rFonts w:ascii="Trebuchet MS" w:eastAsia="Times New Roman" w:hAnsi="Trebuchet MS" w:cs="Calibri Light"/>
                <w:b/>
                <w:bCs/>
                <w:color w:val="000000"/>
                <w:sz w:val="16"/>
                <w:szCs w:val="16"/>
                <w:lang w:bidi="th-TH"/>
              </w:rPr>
            </w:pPr>
            <w:r w:rsidRPr="00E40757">
              <w:rPr>
                <w:rFonts w:ascii="Trebuchet MS" w:eastAsia="Times New Roman" w:hAnsi="Trebuchet MS" w:cs="Calibri Light"/>
                <w:b/>
                <w:bCs/>
                <w:color w:val="000000"/>
                <w:sz w:val="16"/>
                <w:szCs w:val="16"/>
                <w:lang w:bidi="th-TH"/>
              </w:rPr>
              <w:t>Overall index</w:t>
            </w:r>
          </w:p>
        </w:tc>
        <w:tc>
          <w:tcPr>
            <w:tcW w:w="988" w:type="dxa"/>
            <w:tcBorders>
              <w:top w:val="nil"/>
              <w:left w:val="nil"/>
              <w:bottom w:val="nil"/>
              <w:right w:val="nil"/>
            </w:tcBorders>
            <w:shd w:val="clear" w:color="auto" w:fill="auto"/>
            <w:noWrap/>
            <w:vAlign w:val="bottom"/>
            <w:hideMark/>
          </w:tcPr>
          <w:p w14:paraId="4EBAAFA2" w14:textId="77777777" w:rsidR="0084436E" w:rsidRPr="00E40757" w:rsidRDefault="0084436E" w:rsidP="0064674E">
            <w:pPr>
              <w:spacing w:after="0" w:line="240" w:lineRule="auto"/>
              <w:jc w:val="right"/>
              <w:rPr>
                <w:rFonts w:ascii="Trebuchet MS" w:eastAsia="Times New Roman" w:hAnsi="Trebuchet MS" w:cs="Calibri Light"/>
                <w:b/>
                <w:bCs/>
                <w:color w:val="000000"/>
                <w:sz w:val="16"/>
                <w:szCs w:val="16"/>
                <w:lang w:bidi="th-TH"/>
              </w:rPr>
            </w:pPr>
            <w:r w:rsidRPr="00E40757">
              <w:rPr>
                <w:rFonts w:ascii="Trebuchet MS" w:eastAsia="Times New Roman" w:hAnsi="Trebuchet MS" w:cs="Calibri Light"/>
                <w:b/>
                <w:bCs/>
                <w:color w:val="000000"/>
                <w:sz w:val="16"/>
                <w:szCs w:val="16"/>
                <w:lang w:bidi="th-TH"/>
              </w:rPr>
              <w:t>Change</w:t>
            </w:r>
          </w:p>
        </w:tc>
        <w:tc>
          <w:tcPr>
            <w:tcW w:w="539" w:type="dxa"/>
            <w:tcBorders>
              <w:top w:val="nil"/>
              <w:left w:val="nil"/>
              <w:bottom w:val="nil"/>
              <w:right w:val="nil"/>
            </w:tcBorders>
            <w:shd w:val="clear" w:color="000000" w:fill="EAE583"/>
            <w:noWrap/>
            <w:vAlign w:val="center"/>
            <w:hideMark/>
          </w:tcPr>
          <w:p w14:paraId="6AF0AAD9" w14:textId="7EDA932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E8E583"/>
            <w:noWrap/>
            <w:vAlign w:val="center"/>
            <w:hideMark/>
          </w:tcPr>
          <w:p w14:paraId="2DD7453D" w14:textId="726D15C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DEE283"/>
            <w:noWrap/>
            <w:vAlign w:val="center"/>
            <w:hideMark/>
          </w:tcPr>
          <w:p w14:paraId="3687F91F" w14:textId="6D6BA669"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FCEA84"/>
            <w:noWrap/>
            <w:vAlign w:val="center"/>
            <w:hideMark/>
          </w:tcPr>
          <w:p w14:paraId="196CEA70" w14:textId="756BEB51"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3E884"/>
            <w:noWrap/>
            <w:vAlign w:val="center"/>
            <w:hideMark/>
          </w:tcPr>
          <w:p w14:paraId="026A8BCE" w14:textId="5DC7F971"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0.1</w:t>
            </w:r>
          </w:p>
        </w:tc>
        <w:tc>
          <w:tcPr>
            <w:tcW w:w="269" w:type="dxa"/>
            <w:tcBorders>
              <w:top w:val="nil"/>
              <w:left w:val="nil"/>
              <w:bottom w:val="nil"/>
              <w:right w:val="nil"/>
            </w:tcBorders>
            <w:shd w:val="clear" w:color="auto" w:fill="auto"/>
            <w:noWrap/>
            <w:vAlign w:val="center"/>
            <w:hideMark/>
          </w:tcPr>
          <w:p w14:paraId="4C820B64" w14:textId="7777777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p>
        </w:tc>
        <w:tc>
          <w:tcPr>
            <w:tcW w:w="539" w:type="dxa"/>
            <w:tcBorders>
              <w:top w:val="nil"/>
              <w:left w:val="nil"/>
              <w:bottom w:val="nil"/>
              <w:right w:val="nil"/>
            </w:tcBorders>
            <w:shd w:val="clear" w:color="000000" w:fill="FEE582"/>
            <w:noWrap/>
            <w:vAlign w:val="center"/>
            <w:hideMark/>
          </w:tcPr>
          <w:p w14:paraId="33FBE5F4" w14:textId="715F0DC2"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CBF7B"/>
            <w:noWrap/>
            <w:vAlign w:val="center"/>
            <w:hideMark/>
          </w:tcPr>
          <w:p w14:paraId="61B19E53" w14:textId="198C9873"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0.0</w:t>
            </w:r>
          </w:p>
        </w:tc>
        <w:tc>
          <w:tcPr>
            <w:tcW w:w="541" w:type="dxa"/>
            <w:tcBorders>
              <w:top w:val="nil"/>
              <w:left w:val="nil"/>
              <w:bottom w:val="nil"/>
              <w:right w:val="nil"/>
            </w:tcBorders>
            <w:shd w:val="clear" w:color="000000" w:fill="FEE983"/>
            <w:noWrap/>
            <w:vAlign w:val="center"/>
            <w:hideMark/>
          </w:tcPr>
          <w:p w14:paraId="7613CA70" w14:textId="2A7055C3"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0.0</w:t>
            </w:r>
          </w:p>
        </w:tc>
        <w:tc>
          <w:tcPr>
            <w:tcW w:w="270" w:type="dxa"/>
            <w:tcBorders>
              <w:top w:val="nil"/>
              <w:left w:val="nil"/>
              <w:bottom w:val="nil"/>
              <w:right w:val="nil"/>
            </w:tcBorders>
            <w:shd w:val="clear" w:color="auto" w:fill="auto"/>
            <w:noWrap/>
            <w:vAlign w:val="center"/>
            <w:hideMark/>
          </w:tcPr>
          <w:p w14:paraId="704A274A" w14:textId="7777777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p>
        </w:tc>
        <w:tc>
          <w:tcPr>
            <w:tcW w:w="638" w:type="dxa"/>
            <w:tcBorders>
              <w:top w:val="nil"/>
              <w:left w:val="nil"/>
              <w:bottom w:val="nil"/>
              <w:right w:val="nil"/>
            </w:tcBorders>
            <w:shd w:val="clear" w:color="000000" w:fill="FCB679"/>
            <w:noWrap/>
            <w:vAlign w:val="center"/>
            <w:hideMark/>
          </w:tcPr>
          <w:p w14:paraId="67D244C8" w14:textId="5F9FBEF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0.0</w:t>
            </w:r>
          </w:p>
        </w:tc>
        <w:tc>
          <w:tcPr>
            <w:tcW w:w="659" w:type="dxa"/>
            <w:gridSpan w:val="2"/>
            <w:tcBorders>
              <w:top w:val="nil"/>
              <w:left w:val="nil"/>
              <w:bottom w:val="nil"/>
              <w:right w:val="nil"/>
            </w:tcBorders>
            <w:shd w:val="clear" w:color="000000" w:fill="FDD07E"/>
            <w:noWrap/>
            <w:vAlign w:val="center"/>
            <w:hideMark/>
          </w:tcPr>
          <w:p w14:paraId="08A59316" w14:textId="2B2A2DE8"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0.0</w:t>
            </w:r>
          </w:p>
        </w:tc>
      </w:tr>
      <w:tr w:rsidR="0084436E" w:rsidRPr="00096612" w14:paraId="3698A508" w14:textId="77777777" w:rsidTr="009D12FE">
        <w:trPr>
          <w:trHeight w:val="300"/>
        </w:trPr>
        <w:tc>
          <w:tcPr>
            <w:tcW w:w="2330" w:type="dxa"/>
            <w:tcBorders>
              <w:top w:val="nil"/>
              <w:left w:val="nil"/>
              <w:bottom w:val="nil"/>
              <w:right w:val="nil"/>
            </w:tcBorders>
            <w:shd w:val="clear" w:color="auto" w:fill="auto"/>
            <w:noWrap/>
            <w:vAlign w:val="bottom"/>
            <w:hideMark/>
          </w:tcPr>
          <w:p w14:paraId="060D6739"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Access to finance</w:t>
            </w:r>
          </w:p>
        </w:tc>
        <w:tc>
          <w:tcPr>
            <w:tcW w:w="988" w:type="dxa"/>
            <w:tcBorders>
              <w:top w:val="nil"/>
              <w:left w:val="nil"/>
              <w:bottom w:val="nil"/>
              <w:right w:val="nil"/>
            </w:tcBorders>
            <w:shd w:val="clear" w:color="auto" w:fill="auto"/>
            <w:noWrap/>
            <w:vAlign w:val="bottom"/>
            <w:hideMark/>
          </w:tcPr>
          <w:p w14:paraId="4B3DB625" w14:textId="77777777" w:rsidR="0084436E" w:rsidRPr="00E40757" w:rsidRDefault="0084436E" w:rsidP="0064674E">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Change</w:t>
            </w:r>
          </w:p>
        </w:tc>
        <w:tc>
          <w:tcPr>
            <w:tcW w:w="539" w:type="dxa"/>
            <w:tcBorders>
              <w:top w:val="nil"/>
              <w:left w:val="nil"/>
              <w:bottom w:val="nil"/>
              <w:right w:val="nil"/>
            </w:tcBorders>
            <w:shd w:val="clear" w:color="000000" w:fill="E7E483"/>
            <w:noWrap/>
            <w:vAlign w:val="center"/>
            <w:hideMark/>
          </w:tcPr>
          <w:p w14:paraId="19818B60" w14:textId="268A190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C5DB81"/>
            <w:noWrap/>
            <w:vAlign w:val="center"/>
            <w:hideMark/>
          </w:tcPr>
          <w:p w14:paraId="19CCA4DD" w14:textId="79550C0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E3E383"/>
            <w:noWrap/>
            <w:vAlign w:val="center"/>
            <w:hideMark/>
          </w:tcPr>
          <w:p w14:paraId="5ADD7498" w14:textId="275820D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EBE683"/>
            <w:noWrap/>
            <w:vAlign w:val="center"/>
            <w:hideMark/>
          </w:tcPr>
          <w:p w14:paraId="7CCEE1E7" w14:textId="0D43DD2E"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CDDD82"/>
            <w:noWrap/>
            <w:vAlign w:val="center"/>
            <w:hideMark/>
          </w:tcPr>
          <w:p w14:paraId="27BD5055" w14:textId="44A3588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269" w:type="dxa"/>
            <w:tcBorders>
              <w:top w:val="nil"/>
              <w:left w:val="nil"/>
              <w:bottom w:val="nil"/>
              <w:right w:val="nil"/>
            </w:tcBorders>
            <w:shd w:val="clear" w:color="auto" w:fill="auto"/>
            <w:noWrap/>
            <w:vAlign w:val="center"/>
            <w:hideMark/>
          </w:tcPr>
          <w:p w14:paraId="24BF98A2"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FFEB84"/>
            <w:noWrap/>
            <w:vAlign w:val="center"/>
            <w:hideMark/>
          </w:tcPr>
          <w:p w14:paraId="654F4AD4" w14:textId="0F8EFF9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8696B"/>
            <w:noWrap/>
            <w:vAlign w:val="center"/>
            <w:hideMark/>
          </w:tcPr>
          <w:p w14:paraId="2DF687E6" w14:textId="3D4FA7D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41" w:type="dxa"/>
            <w:tcBorders>
              <w:top w:val="nil"/>
              <w:left w:val="nil"/>
              <w:bottom w:val="nil"/>
              <w:right w:val="nil"/>
            </w:tcBorders>
            <w:shd w:val="clear" w:color="000000" w:fill="EAE583"/>
            <w:noWrap/>
            <w:vAlign w:val="center"/>
            <w:hideMark/>
          </w:tcPr>
          <w:p w14:paraId="65C85712" w14:textId="0E6528D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270" w:type="dxa"/>
            <w:tcBorders>
              <w:top w:val="nil"/>
              <w:left w:val="nil"/>
              <w:bottom w:val="nil"/>
              <w:right w:val="nil"/>
            </w:tcBorders>
            <w:shd w:val="clear" w:color="auto" w:fill="auto"/>
            <w:noWrap/>
            <w:vAlign w:val="center"/>
            <w:hideMark/>
          </w:tcPr>
          <w:p w14:paraId="51C1498B"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FCC47C"/>
            <w:noWrap/>
            <w:vAlign w:val="center"/>
            <w:hideMark/>
          </w:tcPr>
          <w:p w14:paraId="7F2F4AEF" w14:textId="5773329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659" w:type="dxa"/>
            <w:gridSpan w:val="2"/>
            <w:tcBorders>
              <w:top w:val="nil"/>
              <w:left w:val="nil"/>
              <w:bottom w:val="nil"/>
              <w:right w:val="nil"/>
            </w:tcBorders>
            <w:shd w:val="clear" w:color="000000" w:fill="FDD57F"/>
            <w:noWrap/>
            <w:vAlign w:val="center"/>
            <w:hideMark/>
          </w:tcPr>
          <w:p w14:paraId="545AB32D" w14:textId="3D1EA25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r>
      <w:tr w:rsidR="0084436E" w:rsidRPr="00096612" w14:paraId="5D7238A6" w14:textId="77777777" w:rsidTr="009D12FE">
        <w:trPr>
          <w:trHeight w:val="300"/>
        </w:trPr>
        <w:tc>
          <w:tcPr>
            <w:tcW w:w="2330" w:type="dxa"/>
            <w:tcBorders>
              <w:top w:val="nil"/>
              <w:left w:val="nil"/>
              <w:bottom w:val="nil"/>
              <w:right w:val="nil"/>
            </w:tcBorders>
            <w:shd w:val="clear" w:color="auto" w:fill="auto"/>
            <w:noWrap/>
            <w:vAlign w:val="bottom"/>
            <w:hideMark/>
          </w:tcPr>
          <w:p w14:paraId="18FFFC06"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ICT</w:t>
            </w:r>
          </w:p>
        </w:tc>
        <w:tc>
          <w:tcPr>
            <w:tcW w:w="988" w:type="dxa"/>
            <w:tcBorders>
              <w:top w:val="nil"/>
              <w:left w:val="nil"/>
              <w:bottom w:val="nil"/>
              <w:right w:val="nil"/>
            </w:tcBorders>
            <w:shd w:val="clear" w:color="auto" w:fill="auto"/>
            <w:noWrap/>
            <w:vAlign w:val="bottom"/>
            <w:hideMark/>
          </w:tcPr>
          <w:p w14:paraId="2F743D09" w14:textId="77777777" w:rsidR="0084436E" w:rsidRPr="00E40757" w:rsidRDefault="0084436E" w:rsidP="0064674E">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Change</w:t>
            </w:r>
          </w:p>
        </w:tc>
        <w:tc>
          <w:tcPr>
            <w:tcW w:w="539" w:type="dxa"/>
            <w:tcBorders>
              <w:top w:val="nil"/>
              <w:left w:val="nil"/>
              <w:bottom w:val="nil"/>
              <w:right w:val="nil"/>
            </w:tcBorders>
            <w:shd w:val="clear" w:color="000000" w:fill="FDCB7D"/>
            <w:noWrap/>
            <w:vAlign w:val="center"/>
            <w:hideMark/>
          </w:tcPr>
          <w:p w14:paraId="1956475B" w14:textId="73A869A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DC97D"/>
            <w:noWrap/>
            <w:vAlign w:val="center"/>
            <w:hideMark/>
          </w:tcPr>
          <w:p w14:paraId="1DFC33AB" w14:textId="343B5DE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DD07E"/>
            <w:noWrap/>
            <w:vAlign w:val="center"/>
            <w:hideMark/>
          </w:tcPr>
          <w:p w14:paraId="6F56F724" w14:textId="18D3CB4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3E884"/>
            <w:noWrap/>
            <w:vAlign w:val="center"/>
            <w:hideMark/>
          </w:tcPr>
          <w:p w14:paraId="76541FFA" w14:textId="116F95D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FAEA84"/>
            <w:noWrap/>
            <w:vAlign w:val="center"/>
            <w:hideMark/>
          </w:tcPr>
          <w:p w14:paraId="145BBC6C" w14:textId="7CC6ACD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269" w:type="dxa"/>
            <w:tcBorders>
              <w:top w:val="nil"/>
              <w:left w:val="nil"/>
              <w:bottom w:val="nil"/>
              <w:right w:val="nil"/>
            </w:tcBorders>
            <w:shd w:val="clear" w:color="auto" w:fill="auto"/>
            <w:noWrap/>
            <w:vAlign w:val="center"/>
            <w:hideMark/>
          </w:tcPr>
          <w:p w14:paraId="1E5845CA"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FCBC7B"/>
            <w:noWrap/>
            <w:vAlign w:val="center"/>
            <w:hideMark/>
          </w:tcPr>
          <w:p w14:paraId="3B7A25F5" w14:textId="261D627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CEB84"/>
            <w:noWrap/>
            <w:vAlign w:val="center"/>
            <w:hideMark/>
          </w:tcPr>
          <w:p w14:paraId="580EFE18" w14:textId="35DBF9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41" w:type="dxa"/>
            <w:tcBorders>
              <w:top w:val="nil"/>
              <w:left w:val="nil"/>
              <w:bottom w:val="nil"/>
              <w:right w:val="nil"/>
            </w:tcBorders>
            <w:shd w:val="clear" w:color="000000" w:fill="FEDD81"/>
            <w:noWrap/>
            <w:vAlign w:val="center"/>
            <w:hideMark/>
          </w:tcPr>
          <w:p w14:paraId="5236D39B" w14:textId="7C0DC8F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270" w:type="dxa"/>
            <w:tcBorders>
              <w:top w:val="nil"/>
              <w:left w:val="nil"/>
              <w:bottom w:val="nil"/>
              <w:right w:val="nil"/>
            </w:tcBorders>
            <w:shd w:val="clear" w:color="auto" w:fill="auto"/>
            <w:noWrap/>
            <w:vAlign w:val="center"/>
            <w:hideMark/>
          </w:tcPr>
          <w:p w14:paraId="1C60C8F0"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FEE983"/>
            <w:noWrap/>
            <w:vAlign w:val="center"/>
            <w:hideMark/>
          </w:tcPr>
          <w:p w14:paraId="48095AAE" w14:textId="1954F7F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659" w:type="dxa"/>
            <w:gridSpan w:val="2"/>
            <w:tcBorders>
              <w:top w:val="nil"/>
              <w:left w:val="nil"/>
              <w:bottom w:val="nil"/>
              <w:right w:val="nil"/>
            </w:tcBorders>
            <w:shd w:val="clear" w:color="000000" w:fill="FCBB7A"/>
            <w:noWrap/>
            <w:vAlign w:val="center"/>
            <w:hideMark/>
          </w:tcPr>
          <w:p w14:paraId="29E8A798" w14:textId="38C5D28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r>
      <w:tr w:rsidR="0084436E" w:rsidRPr="00096612" w14:paraId="43C73A5E" w14:textId="77777777" w:rsidTr="009D12FE">
        <w:trPr>
          <w:trHeight w:val="300"/>
        </w:trPr>
        <w:tc>
          <w:tcPr>
            <w:tcW w:w="2330" w:type="dxa"/>
            <w:tcBorders>
              <w:top w:val="nil"/>
              <w:left w:val="nil"/>
              <w:bottom w:val="nil"/>
              <w:right w:val="nil"/>
            </w:tcBorders>
            <w:shd w:val="clear" w:color="auto" w:fill="auto"/>
            <w:noWrap/>
            <w:vAlign w:val="bottom"/>
            <w:hideMark/>
          </w:tcPr>
          <w:p w14:paraId="01F42E9F"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Industry activity</w:t>
            </w:r>
          </w:p>
        </w:tc>
        <w:tc>
          <w:tcPr>
            <w:tcW w:w="988" w:type="dxa"/>
            <w:tcBorders>
              <w:top w:val="nil"/>
              <w:left w:val="nil"/>
              <w:bottom w:val="nil"/>
              <w:right w:val="nil"/>
            </w:tcBorders>
            <w:shd w:val="clear" w:color="auto" w:fill="auto"/>
            <w:noWrap/>
            <w:vAlign w:val="bottom"/>
            <w:hideMark/>
          </w:tcPr>
          <w:p w14:paraId="0FAD35F9" w14:textId="77777777" w:rsidR="0084436E" w:rsidRPr="00E40757" w:rsidRDefault="0084436E" w:rsidP="0064674E">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Change</w:t>
            </w:r>
          </w:p>
        </w:tc>
        <w:tc>
          <w:tcPr>
            <w:tcW w:w="539" w:type="dxa"/>
            <w:tcBorders>
              <w:top w:val="nil"/>
              <w:left w:val="nil"/>
              <w:bottom w:val="nil"/>
              <w:right w:val="nil"/>
            </w:tcBorders>
            <w:shd w:val="clear" w:color="000000" w:fill="E8E583"/>
            <w:noWrap/>
            <w:vAlign w:val="center"/>
            <w:hideMark/>
          </w:tcPr>
          <w:p w14:paraId="02FC4B62" w14:textId="20C81D0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E5E483"/>
            <w:noWrap/>
            <w:vAlign w:val="center"/>
            <w:hideMark/>
          </w:tcPr>
          <w:p w14:paraId="23E4A261" w14:textId="3B97F1E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FCEA84"/>
            <w:noWrap/>
            <w:vAlign w:val="center"/>
            <w:hideMark/>
          </w:tcPr>
          <w:p w14:paraId="15362A6D" w14:textId="680A641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F4E884"/>
            <w:noWrap/>
            <w:vAlign w:val="center"/>
            <w:hideMark/>
          </w:tcPr>
          <w:p w14:paraId="5A065124" w14:textId="59A5266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bottom w:val="nil"/>
              <w:right w:val="nil"/>
            </w:tcBorders>
            <w:shd w:val="clear" w:color="000000" w:fill="F8E984"/>
            <w:noWrap/>
            <w:vAlign w:val="center"/>
            <w:hideMark/>
          </w:tcPr>
          <w:p w14:paraId="3F63BF19" w14:textId="2E4B1F7E"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269" w:type="dxa"/>
            <w:tcBorders>
              <w:top w:val="nil"/>
              <w:left w:val="nil"/>
              <w:bottom w:val="nil"/>
              <w:right w:val="nil"/>
            </w:tcBorders>
            <w:shd w:val="clear" w:color="auto" w:fill="auto"/>
            <w:noWrap/>
            <w:vAlign w:val="center"/>
            <w:hideMark/>
          </w:tcPr>
          <w:p w14:paraId="70A706EF"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FCBE7B"/>
            <w:noWrap/>
            <w:vAlign w:val="center"/>
            <w:hideMark/>
          </w:tcPr>
          <w:p w14:paraId="52C1EB65" w14:textId="17240E8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nil"/>
              <w:right w:val="nil"/>
            </w:tcBorders>
            <w:shd w:val="clear" w:color="000000" w:fill="ECE683"/>
            <w:noWrap/>
            <w:vAlign w:val="center"/>
            <w:hideMark/>
          </w:tcPr>
          <w:p w14:paraId="7470632C" w14:textId="4746F1A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41" w:type="dxa"/>
            <w:tcBorders>
              <w:top w:val="nil"/>
              <w:left w:val="nil"/>
              <w:bottom w:val="nil"/>
              <w:right w:val="nil"/>
            </w:tcBorders>
            <w:shd w:val="clear" w:color="000000" w:fill="F4E884"/>
            <w:noWrap/>
            <w:vAlign w:val="center"/>
            <w:hideMark/>
          </w:tcPr>
          <w:p w14:paraId="169974E4" w14:textId="2EF344F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270" w:type="dxa"/>
            <w:tcBorders>
              <w:top w:val="nil"/>
              <w:left w:val="nil"/>
              <w:bottom w:val="nil"/>
              <w:right w:val="nil"/>
            </w:tcBorders>
            <w:shd w:val="clear" w:color="auto" w:fill="auto"/>
            <w:noWrap/>
            <w:vAlign w:val="center"/>
            <w:hideMark/>
          </w:tcPr>
          <w:p w14:paraId="18260381"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F9EA84"/>
            <w:noWrap/>
            <w:vAlign w:val="center"/>
            <w:hideMark/>
          </w:tcPr>
          <w:p w14:paraId="056139F1" w14:textId="1BAE95B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659" w:type="dxa"/>
            <w:gridSpan w:val="2"/>
            <w:tcBorders>
              <w:top w:val="nil"/>
              <w:left w:val="nil"/>
              <w:bottom w:val="nil"/>
              <w:right w:val="nil"/>
            </w:tcBorders>
            <w:shd w:val="clear" w:color="000000" w:fill="F2E884"/>
            <w:noWrap/>
            <w:vAlign w:val="center"/>
            <w:hideMark/>
          </w:tcPr>
          <w:p w14:paraId="7DF8905D" w14:textId="5E10576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r>
      <w:tr w:rsidR="0084436E" w:rsidRPr="00096612" w14:paraId="4AB03ED9" w14:textId="77777777" w:rsidTr="009D12FE">
        <w:trPr>
          <w:trHeight w:val="300"/>
        </w:trPr>
        <w:tc>
          <w:tcPr>
            <w:tcW w:w="2330" w:type="dxa"/>
            <w:tcBorders>
              <w:top w:val="nil"/>
              <w:left w:val="nil"/>
              <w:right w:val="nil"/>
            </w:tcBorders>
            <w:shd w:val="clear" w:color="auto" w:fill="auto"/>
            <w:noWrap/>
            <w:vAlign w:val="bottom"/>
            <w:hideMark/>
          </w:tcPr>
          <w:p w14:paraId="4D170848"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Skills</w:t>
            </w:r>
          </w:p>
        </w:tc>
        <w:tc>
          <w:tcPr>
            <w:tcW w:w="988" w:type="dxa"/>
            <w:tcBorders>
              <w:top w:val="nil"/>
              <w:left w:val="nil"/>
              <w:right w:val="nil"/>
            </w:tcBorders>
            <w:shd w:val="clear" w:color="auto" w:fill="auto"/>
            <w:noWrap/>
            <w:vAlign w:val="bottom"/>
            <w:hideMark/>
          </w:tcPr>
          <w:p w14:paraId="07A58DB9" w14:textId="77777777" w:rsidR="0084436E" w:rsidRPr="00E40757" w:rsidRDefault="0084436E" w:rsidP="0064674E">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Change</w:t>
            </w:r>
          </w:p>
        </w:tc>
        <w:tc>
          <w:tcPr>
            <w:tcW w:w="539" w:type="dxa"/>
            <w:tcBorders>
              <w:top w:val="nil"/>
              <w:left w:val="nil"/>
              <w:right w:val="nil"/>
            </w:tcBorders>
            <w:shd w:val="clear" w:color="000000" w:fill="B4D680"/>
            <w:noWrap/>
            <w:vAlign w:val="center"/>
            <w:hideMark/>
          </w:tcPr>
          <w:p w14:paraId="753AA455" w14:textId="29F86FA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0.2</w:t>
            </w:r>
          </w:p>
        </w:tc>
        <w:tc>
          <w:tcPr>
            <w:tcW w:w="539" w:type="dxa"/>
            <w:tcBorders>
              <w:top w:val="nil"/>
              <w:left w:val="nil"/>
              <w:right w:val="nil"/>
            </w:tcBorders>
            <w:shd w:val="clear" w:color="000000" w:fill="FED980"/>
            <w:noWrap/>
            <w:vAlign w:val="center"/>
            <w:hideMark/>
          </w:tcPr>
          <w:p w14:paraId="65BF3E92" w14:textId="46CB8C6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right w:val="nil"/>
            </w:tcBorders>
            <w:shd w:val="clear" w:color="000000" w:fill="63BE7B"/>
            <w:noWrap/>
            <w:vAlign w:val="center"/>
            <w:hideMark/>
          </w:tcPr>
          <w:p w14:paraId="74D0643E" w14:textId="703BF8E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539" w:type="dxa"/>
            <w:tcBorders>
              <w:top w:val="nil"/>
              <w:left w:val="nil"/>
              <w:right w:val="nil"/>
            </w:tcBorders>
            <w:shd w:val="clear" w:color="000000" w:fill="F6E984"/>
            <w:noWrap/>
            <w:vAlign w:val="center"/>
            <w:hideMark/>
          </w:tcPr>
          <w:p w14:paraId="79A28C5D" w14:textId="7046450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right w:val="nil"/>
            </w:tcBorders>
            <w:shd w:val="clear" w:color="000000" w:fill="C0D981"/>
            <w:noWrap/>
            <w:vAlign w:val="center"/>
            <w:hideMark/>
          </w:tcPr>
          <w:p w14:paraId="6BEFD713" w14:textId="610D1C8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269" w:type="dxa"/>
            <w:tcBorders>
              <w:top w:val="nil"/>
              <w:left w:val="nil"/>
              <w:right w:val="nil"/>
            </w:tcBorders>
            <w:shd w:val="clear" w:color="auto" w:fill="auto"/>
            <w:noWrap/>
            <w:vAlign w:val="center"/>
            <w:hideMark/>
          </w:tcPr>
          <w:p w14:paraId="6B1AE784"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right w:val="nil"/>
            </w:tcBorders>
            <w:shd w:val="clear" w:color="000000" w:fill="E4E483"/>
            <w:noWrap/>
            <w:vAlign w:val="center"/>
            <w:hideMark/>
          </w:tcPr>
          <w:p w14:paraId="02309749" w14:textId="7CAFD61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539" w:type="dxa"/>
            <w:tcBorders>
              <w:top w:val="nil"/>
              <w:left w:val="nil"/>
              <w:right w:val="nil"/>
            </w:tcBorders>
            <w:shd w:val="clear" w:color="000000" w:fill="FDD780"/>
            <w:noWrap/>
            <w:vAlign w:val="center"/>
            <w:hideMark/>
          </w:tcPr>
          <w:p w14:paraId="1D288764" w14:textId="442877B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41" w:type="dxa"/>
            <w:tcBorders>
              <w:top w:val="nil"/>
              <w:left w:val="nil"/>
              <w:right w:val="nil"/>
            </w:tcBorders>
            <w:shd w:val="clear" w:color="000000" w:fill="A2D17F"/>
            <w:noWrap/>
            <w:vAlign w:val="center"/>
            <w:hideMark/>
          </w:tcPr>
          <w:p w14:paraId="36DEBFD4" w14:textId="03A9E75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0.2</w:t>
            </w:r>
          </w:p>
        </w:tc>
        <w:tc>
          <w:tcPr>
            <w:tcW w:w="270" w:type="dxa"/>
            <w:tcBorders>
              <w:top w:val="nil"/>
              <w:left w:val="nil"/>
              <w:right w:val="nil"/>
            </w:tcBorders>
            <w:shd w:val="clear" w:color="auto" w:fill="auto"/>
            <w:noWrap/>
            <w:vAlign w:val="center"/>
            <w:hideMark/>
          </w:tcPr>
          <w:p w14:paraId="1A71F0D9"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right w:val="nil"/>
            </w:tcBorders>
            <w:shd w:val="clear" w:color="000000" w:fill="F8736D"/>
            <w:noWrap/>
            <w:vAlign w:val="center"/>
            <w:hideMark/>
          </w:tcPr>
          <w:p w14:paraId="20317D97" w14:textId="1EF0905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-0.1</w:t>
            </w:r>
          </w:p>
        </w:tc>
        <w:tc>
          <w:tcPr>
            <w:tcW w:w="659" w:type="dxa"/>
            <w:gridSpan w:val="2"/>
            <w:tcBorders>
              <w:top w:val="nil"/>
              <w:left w:val="nil"/>
              <w:right w:val="nil"/>
            </w:tcBorders>
            <w:shd w:val="clear" w:color="000000" w:fill="FBA576"/>
            <w:noWrap/>
            <w:vAlign w:val="center"/>
            <w:hideMark/>
          </w:tcPr>
          <w:p w14:paraId="25ABCBA5" w14:textId="35BDF85E"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r>
      <w:tr w:rsidR="0084436E" w:rsidRPr="00096612" w14:paraId="50464E1E" w14:textId="77777777" w:rsidTr="009D12FE">
        <w:trPr>
          <w:trHeight w:val="300"/>
        </w:trPr>
        <w:tc>
          <w:tcPr>
            <w:tcW w:w="2330" w:type="dxa"/>
            <w:tcBorders>
              <w:top w:val="nil"/>
              <w:left w:val="nil"/>
              <w:bottom w:val="single" w:sz="4" w:space="0" w:color="auto"/>
              <w:right w:val="nil"/>
            </w:tcBorders>
            <w:shd w:val="clear" w:color="auto" w:fill="auto"/>
            <w:noWrap/>
            <w:vAlign w:val="bottom"/>
            <w:hideMark/>
          </w:tcPr>
          <w:p w14:paraId="6667F6BA"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Research and Development</w:t>
            </w:r>
          </w:p>
        </w:tc>
        <w:tc>
          <w:tcPr>
            <w:tcW w:w="988" w:type="dxa"/>
            <w:tcBorders>
              <w:top w:val="nil"/>
              <w:left w:val="nil"/>
              <w:bottom w:val="single" w:sz="4" w:space="0" w:color="auto"/>
              <w:right w:val="nil"/>
            </w:tcBorders>
            <w:shd w:val="clear" w:color="auto" w:fill="auto"/>
            <w:noWrap/>
            <w:vAlign w:val="bottom"/>
            <w:hideMark/>
          </w:tcPr>
          <w:p w14:paraId="3D712CFD" w14:textId="77777777" w:rsidR="0084436E" w:rsidRPr="00E40757" w:rsidRDefault="0084436E" w:rsidP="0064674E">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Change</w:t>
            </w:r>
          </w:p>
        </w:tc>
        <w:tc>
          <w:tcPr>
            <w:tcW w:w="539" w:type="dxa"/>
            <w:tcBorders>
              <w:top w:val="nil"/>
              <w:left w:val="nil"/>
              <w:bottom w:val="single" w:sz="4" w:space="0" w:color="auto"/>
              <w:right w:val="nil"/>
            </w:tcBorders>
            <w:shd w:val="clear" w:color="000000" w:fill="FA9E75"/>
            <w:noWrap/>
            <w:vAlign w:val="center"/>
            <w:hideMark/>
          </w:tcPr>
          <w:p w14:paraId="39D7C392" w14:textId="6D0E8E1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single" w:sz="4" w:space="0" w:color="auto"/>
              <w:right w:val="nil"/>
            </w:tcBorders>
            <w:shd w:val="clear" w:color="000000" w:fill="FDD67F"/>
            <w:noWrap/>
            <w:vAlign w:val="center"/>
            <w:hideMark/>
          </w:tcPr>
          <w:p w14:paraId="257693D4" w14:textId="224DDFD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single" w:sz="4" w:space="0" w:color="auto"/>
              <w:right w:val="nil"/>
            </w:tcBorders>
            <w:shd w:val="clear" w:color="000000" w:fill="FEE082"/>
            <w:noWrap/>
            <w:vAlign w:val="center"/>
            <w:hideMark/>
          </w:tcPr>
          <w:p w14:paraId="5111F30C" w14:textId="10A8678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single" w:sz="4" w:space="0" w:color="auto"/>
              <w:right w:val="nil"/>
            </w:tcBorders>
            <w:shd w:val="clear" w:color="000000" w:fill="FBA576"/>
            <w:noWrap/>
            <w:vAlign w:val="center"/>
            <w:hideMark/>
          </w:tcPr>
          <w:p w14:paraId="38A5F4B1" w14:textId="398191F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single" w:sz="4" w:space="0" w:color="auto"/>
              <w:right w:val="nil"/>
            </w:tcBorders>
            <w:shd w:val="clear" w:color="000000" w:fill="FBAE78"/>
            <w:noWrap/>
            <w:vAlign w:val="center"/>
            <w:hideMark/>
          </w:tcPr>
          <w:p w14:paraId="51A90244" w14:textId="03FDDFC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269" w:type="dxa"/>
            <w:tcBorders>
              <w:top w:val="nil"/>
              <w:left w:val="nil"/>
              <w:bottom w:val="single" w:sz="4" w:space="0" w:color="auto"/>
              <w:right w:val="nil"/>
            </w:tcBorders>
            <w:shd w:val="clear" w:color="auto" w:fill="auto"/>
            <w:noWrap/>
            <w:vAlign w:val="center"/>
            <w:hideMark/>
          </w:tcPr>
          <w:p w14:paraId="5BC8CDFB"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single" w:sz="4" w:space="0" w:color="auto"/>
              <w:right w:val="nil"/>
            </w:tcBorders>
            <w:shd w:val="clear" w:color="000000" w:fill="FEDA80"/>
            <w:noWrap/>
            <w:vAlign w:val="center"/>
            <w:hideMark/>
          </w:tcPr>
          <w:p w14:paraId="419309E0" w14:textId="550DEB5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39" w:type="dxa"/>
            <w:tcBorders>
              <w:top w:val="nil"/>
              <w:left w:val="nil"/>
              <w:bottom w:val="single" w:sz="4" w:space="0" w:color="auto"/>
              <w:right w:val="nil"/>
            </w:tcBorders>
            <w:shd w:val="clear" w:color="000000" w:fill="FBB379"/>
            <w:noWrap/>
            <w:vAlign w:val="center"/>
            <w:hideMark/>
          </w:tcPr>
          <w:p w14:paraId="40EE9B3C" w14:textId="07A4C23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541" w:type="dxa"/>
            <w:tcBorders>
              <w:top w:val="nil"/>
              <w:left w:val="nil"/>
              <w:bottom w:val="single" w:sz="4" w:space="0" w:color="auto"/>
              <w:right w:val="nil"/>
            </w:tcBorders>
            <w:shd w:val="clear" w:color="000000" w:fill="FBAA77"/>
            <w:noWrap/>
            <w:vAlign w:val="center"/>
            <w:hideMark/>
          </w:tcPr>
          <w:p w14:paraId="1CC623DE" w14:textId="11F3879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270" w:type="dxa"/>
            <w:tcBorders>
              <w:top w:val="nil"/>
              <w:left w:val="nil"/>
              <w:bottom w:val="single" w:sz="4" w:space="0" w:color="auto"/>
              <w:right w:val="nil"/>
            </w:tcBorders>
            <w:shd w:val="clear" w:color="auto" w:fill="auto"/>
            <w:noWrap/>
            <w:vAlign w:val="center"/>
            <w:hideMark/>
          </w:tcPr>
          <w:p w14:paraId="785AB1AB"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single" w:sz="4" w:space="0" w:color="auto"/>
              <w:right w:val="nil"/>
            </w:tcBorders>
            <w:shd w:val="clear" w:color="000000" w:fill="FDC97D"/>
            <w:noWrap/>
            <w:vAlign w:val="center"/>
            <w:hideMark/>
          </w:tcPr>
          <w:p w14:paraId="4A5EEBE6" w14:textId="01D1827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c>
          <w:tcPr>
            <w:tcW w:w="659" w:type="dxa"/>
            <w:gridSpan w:val="2"/>
            <w:tcBorders>
              <w:top w:val="nil"/>
              <w:left w:val="nil"/>
              <w:bottom w:val="single" w:sz="4" w:space="0" w:color="auto"/>
              <w:right w:val="nil"/>
            </w:tcBorders>
            <w:shd w:val="clear" w:color="000000" w:fill="FCBC7B"/>
            <w:noWrap/>
            <w:vAlign w:val="center"/>
            <w:hideMark/>
          </w:tcPr>
          <w:p w14:paraId="368CBD48" w14:textId="2A9FDCD3"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0.0</w:t>
            </w:r>
          </w:p>
        </w:tc>
      </w:tr>
      <w:tr w:rsidR="0084436E" w:rsidRPr="00096612" w14:paraId="404D387B" w14:textId="77777777" w:rsidTr="009D12FE">
        <w:trPr>
          <w:trHeight w:val="300"/>
        </w:trPr>
        <w:tc>
          <w:tcPr>
            <w:tcW w:w="2330" w:type="dxa"/>
            <w:tcBorders>
              <w:top w:val="single" w:sz="4" w:space="0" w:color="auto"/>
              <w:left w:val="nil"/>
              <w:bottom w:val="nil"/>
              <w:right w:val="nil"/>
            </w:tcBorders>
            <w:shd w:val="clear" w:color="auto" w:fill="auto"/>
            <w:noWrap/>
            <w:vAlign w:val="bottom"/>
            <w:hideMark/>
          </w:tcPr>
          <w:p w14:paraId="080EA466" w14:textId="77777777" w:rsidR="0084436E" w:rsidRPr="00E40757" w:rsidRDefault="0084436E" w:rsidP="00096612">
            <w:pPr>
              <w:spacing w:after="0" w:line="240" w:lineRule="auto"/>
              <w:rPr>
                <w:rFonts w:ascii="Trebuchet MS" w:eastAsia="Times New Roman" w:hAnsi="Trebuchet MS" w:cs="Times New Roman"/>
                <w:sz w:val="16"/>
                <w:szCs w:val="16"/>
                <w:lang w:bidi="th-TH"/>
              </w:rPr>
            </w:pPr>
          </w:p>
        </w:tc>
        <w:tc>
          <w:tcPr>
            <w:tcW w:w="988" w:type="dxa"/>
            <w:tcBorders>
              <w:top w:val="single" w:sz="4" w:space="0" w:color="auto"/>
              <w:left w:val="nil"/>
              <w:bottom w:val="nil"/>
              <w:right w:val="nil"/>
            </w:tcBorders>
            <w:shd w:val="clear" w:color="auto" w:fill="auto"/>
            <w:noWrap/>
            <w:vAlign w:val="bottom"/>
            <w:hideMark/>
          </w:tcPr>
          <w:p w14:paraId="34C58FEF" w14:textId="77777777" w:rsidR="0084436E" w:rsidRPr="00E40757" w:rsidRDefault="0084436E" w:rsidP="00096612">
            <w:pPr>
              <w:spacing w:after="0" w:line="240" w:lineRule="auto"/>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1A2F841E"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2BEC2088"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1CA8CCA3"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12BF4AC8"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4FA48BA9"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269" w:type="dxa"/>
            <w:tcBorders>
              <w:top w:val="single" w:sz="4" w:space="0" w:color="auto"/>
              <w:left w:val="nil"/>
              <w:bottom w:val="nil"/>
              <w:right w:val="nil"/>
            </w:tcBorders>
            <w:shd w:val="clear" w:color="auto" w:fill="auto"/>
            <w:noWrap/>
            <w:vAlign w:val="center"/>
            <w:hideMark/>
          </w:tcPr>
          <w:p w14:paraId="768EA44A"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5941992D"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449E3B93"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41" w:type="dxa"/>
            <w:tcBorders>
              <w:top w:val="single" w:sz="4" w:space="0" w:color="auto"/>
              <w:left w:val="nil"/>
              <w:bottom w:val="nil"/>
              <w:right w:val="nil"/>
            </w:tcBorders>
            <w:shd w:val="clear" w:color="auto" w:fill="auto"/>
            <w:noWrap/>
            <w:vAlign w:val="center"/>
            <w:hideMark/>
          </w:tcPr>
          <w:p w14:paraId="05604348"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270" w:type="dxa"/>
            <w:tcBorders>
              <w:top w:val="single" w:sz="4" w:space="0" w:color="auto"/>
              <w:left w:val="nil"/>
              <w:bottom w:val="nil"/>
              <w:right w:val="nil"/>
            </w:tcBorders>
            <w:shd w:val="clear" w:color="auto" w:fill="auto"/>
            <w:noWrap/>
            <w:vAlign w:val="center"/>
            <w:hideMark/>
          </w:tcPr>
          <w:p w14:paraId="5901E291"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638" w:type="dxa"/>
            <w:tcBorders>
              <w:top w:val="single" w:sz="4" w:space="0" w:color="auto"/>
              <w:left w:val="nil"/>
              <w:bottom w:val="nil"/>
              <w:right w:val="nil"/>
            </w:tcBorders>
            <w:shd w:val="clear" w:color="auto" w:fill="auto"/>
            <w:noWrap/>
            <w:vAlign w:val="center"/>
            <w:hideMark/>
          </w:tcPr>
          <w:p w14:paraId="385DC478"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659" w:type="dxa"/>
            <w:gridSpan w:val="2"/>
            <w:tcBorders>
              <w:top w:val="single" w:sz="4" w:space="0" w:color="auto"/>
              <w:left w:val="nil"/>
              <w:bottom w:val="nil"/>
              <w:right w:val="nil"/>
            </w:tcBorders>
            <w:shd w:val="clear" w:color="auto" w:fill="auto"/>
            <w:noWrap/>
            <w:vAlign w:val="center"/>
            <w:hideMark/>
          </w:tcPr>
          <w:p w14:paraId="004709BD"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r>
      <w:tr w:rsidR="0084436E" w:rsidRPr="00096612" w14:paraId="1FF950A4" w14:textId="77777777" w:rsidTr="009D12FE">
        <w:trPr>
          <w:trHeight w:val="300"/>
        </w:trPr>
        <w:tc>
          <w:tcPr>
            <w:tcW w:w="2330" w:type="dxa"/>
            <w:tcBorders>
              <w:top w:val="nil"/>
              <w:left w:val="nil"/>
              <w:bottom w:val="nil"/>
              <w:right w:val="nil"/>
            </w:tcBorders>
            <w:shd w:val="clear" w:color="auto" w:fill="auto"/>
            <w:noWrap/>
            <w:vAlign w:val="bottom"/>
            <w:hideMark/>
          </w:tcPr>
          <w:p w14:paraId="6D7C8F96" w14:textId="77777777" w:rsidR="0084436E" w:rsidRPr="00E40757" w:rsidRDefault="0084436E" w:rsidP="00096612">
            <w:pPr>
              <w:spacing w:after="0" w:line="240" w:lineRule="auto"/>
              <w:rPr>
                <w:rFonts w:ascii="Trebuchet MS" w:eastAsia="Times New Roman" w:hAnsi="Trebuchet MS" w:cs="Calibri Light"/>
                <w:b/>
                <w:bCs/>
                <w:color w:val="000000"/>
                <w:sz w:val="16"/>
                <w:szCs w:val="16"/>
                <w:lang w:bidi="th-TH"/>
              </w:rPr>
            </w:pPr>
            <w:r w:rsidRPr="00E40757">
              <w:rPr>
                <w:rFonts w:ascii="Trebuchet MS" w:eastAsia="Times New Roman" w:hAnsi="Trebuchet MS" w:cs="Calibri Light"/>
                <w:b/>
                <w:bCs/>
                <w:color w:val="000000"/>
                <w:sz w:val="16"/>
                <w:szCs w:val="16"/>
                <w:lang w:bidi="th-TH"/>
              </w:rPr>
              <w:t>Overall index</w:t>
            </w:r>
          </w:p>
        </w:tc>
        <w:tc>
          <w:tcPr>
            <w:tcW w:w="988" w:type="dxa"/>
            <w:tcBorders>
              <w:top w:val="nil"/>
              <w:left w:val="nil"/>
              <w:bottom w:val="nil"/>
              <w:right w:val="nil"/>
            </w:tcBorders>
            <w:shd w:val="clear" w:color="auto" w:fill="auto"/>
            <w:noWrap/>
            <w:vAlign w:val="bottom"/>
            <w:hideMark/>
          </w:tcPr>
          <w:p w14:paraId="5E9D71F7" w14:textId="77777777" w:rsidR="0084436E" w:rsidRPr="00E40757" w:rsidRDefault="0084436E" w:rsidP="00096612">
            <w:pPr>
              <w:spacing w:after="0" w:line="240" w:lineRule="auto"/>
              <w:jc w:val="right"/>
              <w:rPr>
                <w:rFonts w:ascii="Trebuchet MS" w:eastAsia="Times New Roman" w:hAnsi="Trebuchet MS" w:cs="Calibri Light"/>
                <w:b/>
                <w:bCs/>
                <w:color w:val="000000"/>
                <w:sz w:val="16"/>
                <w:szCs w:val="16"/>
                <w:lang w:bidi="th-TH"/>
              </w:rPr>
            </w:pPr>
            <w:r w:rsidRPr="00E40757">
              <w:rPr>
                <w:rFonts w:ascii="Trebuchet MS" w:eastAsia="Times New Roman" w:hAnsi="Trebuchet MS" w:cs="Calibri Light"/>
                <w:b/>
                <w:bCs/>
                <w:color w:val="000000"/>
                <w:sz w:val="16"/>
                <w:szCs w:val="16"/>
                <w:lang w:bidi="th-TH"/>
              </w:rPr>
              <w:t>2021</w:t>
            </w:r>
          </w:p>
        </w:tc>
        <w:tc>
          <w:tcPr>
            <w:tcW w:w="539" w:type="dxa"/>
            <w:tcBorders>
              <w:top w:val="nil"/>
              <w:left w:val="nil"/>
              <w:bottom w:val="nil"/>
              <w:right w:val="nil"/>
            </w:tcBorders>
            <w:shd w:val="clear" w:color="000000" w:fill="FAEA84"/>
            <w:noWrap/>
            <w:vAlign w:val="center"/>
            <w:hideMark/>
          </w:tcPr>
          <w:p w14:paraId="5929EFF7" w14:textId="318BEF8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BAD78"/>
            <w:noWrap/>
            <w:vAlign w:val="center"/>
            <w:hideMark/>
          </w:tcPr>
          <w:p w14:paraId="38E7AB66" w14:textId="73A58333"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0.5</w:t>
            </w:r>
          </w:p>
        </w:tc>
        <w:tc>
          <w:tcPr>
            <w:tcW w:w="539" w:type="dxa"/>
            <w:tcBorders>
              <w:top w:val="nil"/>
              <w:left w:val="nil"/>
              <w:bottom w:val="nil"/>
              <w:right w:val="nil"/>
            </w:tcBorders>
            <w:shd w:val="clear" w:color="000000" w:fill="BFD981"/>
            <w:noWrap/>
            <w:vAlign w:val="center"/>
            <w:hideMark/>
          </w:tcPr>
          <w:p w14:paraId="2AA74BA3" w14:textId="3E2F80BB"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0.8</w:t>
            </w:r>
          </w:p>
        </w:tc>
        <w:tc>
          <w:tcPr>
            <w:tcW w:w="539" w:type="dxa"/>
            <w:tcBorders>
              <w:top w:val="nil"/>
              <w:left w:val="nil"/>
              <w:bottom w:val="nil"/>
              <w:right w:val="nil"/>
            </w:tcBorders>
            <w:shd w:val="clear" w:color="000000" w:fill="FEE482"/>
            <w:noWrap/>
            <w:vAlign w:val="center"/>
            <w:hideMark/>
          </w:tcPr>
          <w:p w14:paraId="6F0D6F0C" w14:textId="70395178"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DD37F"/>
            <w:noWrap/>
            <w:vAlign w:val="center"/>
            <w:hideMark/>
          </w:tcPr>
          <w:p w14:paraId="716A2075" w14:textId="6826725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269" w:type="dxa"/>
            <w:tcBorders>
              <w:top w:val="nil"/>
              <w:left w:val="nil"/>
              <w:bottom w:val="nil"/>
              <w:right w:val="nil"/>
            </w:tcBorders>
            <w:shd w:val="clear" w:color="auto" w:fill="auto"/>
            <w:noWrap/>
            <w:vAlign w:val="center"/>
            <w:hideMark/>
          </w:tcPr>
          <w:p w14:paraId="0F6C2783" w14:textId="7777777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p>
        </w:tc>
        <w:tc>
          <w:tcPr>
            <w:tcW w:w="539" w:type="dxa"/>
            <w:tcBorders>
              <w:top w:val="nil"/>
              <w:left w:val="nil"/>
              <w:bottom w:val="nil"/>
              <w:right w:val="nil"/>
            </w:tcBorders>
            <w:shd w:val="clear" w:color="000000" w:fill="ECE683"/>
            <w:noWrap/>
            <w:vAlign w:val="center"/>
            <w:hideMark/>
          </w:tcPr>
          <w:p w14:paraId="43347B92" w14:textId="03096F26"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FDD47F"/>
            <w:noWrap/>
            <w:vAlign w:val="center"/>
            <w:hideMark/>
          </w:tcPr>
          <w:p w14:paraId="4F75659B" w14:textId="55A3D964"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41" w:type="dxa"/>
            <w:tcBorders>
              <w:top w:val="nil"/>
              <w:left w:val="nil"/>
              <w:bottom w:val="nil"/>
              <w:right w:val="nil"/>
            </w:tcBorders>
            <w:shd w:val="clear" w:color="000000" w:fill="FEE683"/>
            <w:noWrap/>
            <w:vAlign w:val="center"/>
            <w:hideMark/>
          </w:tcPr>
          <w:p w14:paraId="65C7D5C8" w14:textId="32FF1496"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270" w:type="dxa"/>
            <w:tcBorders>
              <w:top w:val="nil"/>
              <w:left w:val="nil"/>
              <w:bottom w:val="nil"/>
              <w:right w:val="nil"/>
            </w:tcBorders>
            <w:shd w:val="clear" w:color="auto" w:fill="auto"/>
            <w:noWrap/>
            <w:vAlign w:val="center"/>
            <w:hideMark/>
          </w:tcPr>
          <w:p w14:paraId="3E6137C4" w14:textId="7777777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p>
        </w:tc>
        <w:tc>
          <w:tcPr>
            <w:tcW w:w="638" w:type="dxa"/>
            <w:tcBorders>
              <w:top w:val="nil"/>
              <w:left w:val="nil"/>
              <w:bottom w:val="nil"/>
              <w:right w:val="nil"/>
            </w:tcBorders>
            <w:shd w:val="clear" w:color="000000" w:fill="63BE7B"/>
            <w:noWrap/>
            <w:vAlign w:val="center"/>
            <w:hideMark/>
          </w:tcPr>
          <w:p w14:paraId="32A53970" w14:textId="7B2760EE"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B8D780"/>
            <w:noWrap/>
            <w:vAlign w:val="center"/>
            <w:hideMark/>
          </w:tcPr>
          <w:p w14:paraId="0799525C" w14:textId="185073B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0.8</w:t>
            </w:r>
          </w:p>
        </w:tc>
      </w:tr>
      <w:tr w:rsidR="0084436E" w:rsidRPr="00096612" w14:paraId="733FBDFB" w14:textId="77777777" w:rsidTr="009D12FE">
        <w:trPr>
          <w:trHeight w:val="300"/>
        </w:trPr>
        <w:tc>
          <w:tcPr>
            <w:tcW w:w="2330" w:type="dxa"/>
            <w:tcBorders>
              <w:top w:val="nil"/>
              <w:left w:val="nil"/>
              <w:bottom w:val="nil"/>
              <w:right w:val="nil"/>
            </w:tcBorders>
            <w:shd w:val="clear" w:color="auto" w:fill="auto"/>
            <w:noWrap/>
            <w:vAlign w:val="bottom"/>
            <w:hideMark/>
          </w:tcPr>
          <w:p w14:paraId="3A97666A"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Access to finance </w:t>
            </w:r>
          </w:p>
        </w:tc>
        <w:tc>
          <w:tcPr>
            <w:tcW w:w="988" w:type="dxa"/>
            <w:tcBorders>
              <w:top w:val="nil"/>
              <w:left w:val="nil"/>
              <w:bottom w:val="nil"/>
              <w:right w:val="nil"/>
            </w:tcBorders>
            <w:shd w:val="clear" w:color="auto" w:fill="auto"/>
            <w:noWrap/>
            <w:vAlign w:val="bottom"/>
            <w:hideMark/>
          </w:tcPr>
          <w:p w14:paraId="5D40CB3F"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2021</w:t>
            </w:r>
          </w:p>
        </w:tc>
        <w:tc>
          <w:tcPr>
            <w:tcW w:w="539" w:type="dxa"/>
            <w:tcBorders>
              <w:top w:val="nil"/>
              <w:left w:val="nil"/>
              <w:bottom w:val="nil"/>
              <w:right w:val="nil"/>
            </w:tcBorders>
            <w:shd w:val="clear" w:color="000000" w:fill="77C47D"/>
            <w:noWrap/>
            <w:vAlign w:val="center"/>
            <w:hideMark/>
          </w:tcPr>
          <w:p w14:paraId="19C20874" w14:textId="3850211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FEE282"/>
            <w:noWrap/>
            <w:vAlign w:val="center"/>
            <w:hideMark/>
          </w:tcPr>
          <w:p w14:paraId="43CB1871" w14:textId="4897783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39" w:type="dxa"/>
            <w:tcBorders>
              <w:top w:val="nil"/>
              <w:left w:val="nil"/>
              <w:right w:val="nil"/>
            </w:tcBorders>
            <w:shd w:val="clear" w:color="000000" w:fill="89C97E"/>
            <w:noWrap/>
            <w:vAlign w:val="center"/>
            <w:hideMark/>
          </w:tcPr>
          <w:p w14:paraId="617579C5" w14:textId="1D83371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EBE683"/>
            <w:noWrap/>
            <w:vAlign w:val="center"/>
            <w:hideMark/>
          </w:tcPr>
          <w:p w14:paraId="72CD68C8" w14:textId="4EC3989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98CE7F"/>
            <w:noWrap/>
            <w:vAlign w:val="center"/>
            <w:hideMark/>
          </w:tcPr>
          <w:p w14:paraId="4D39C847" w14:textId="797FD90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269" w:type="dxa"/>
            <w:tcBorders>
              <w:top w:val="nil"/>
              <w:left w:val="nil"/>
              <w:bottom w:val="nil"/>
              <w:right w:val="nil"/>
            </w:tcBorders>
            <w:shd w:val="clear" w:color="auto" w:fill="auto"/>
            <w:noWrap/>
            <w:vAlign w:val="center"/>
            <w:hideMark/>
          </w:tcPr>
          <w:p w14:paraId="3CC51CF1"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ECE683"/>
            <w:noWrap/>
            <w:vAlign w:val="center"/>
            <w:hideMark/>
          </w:tcPr>
          <w:p w14:paraId="70F41886" w14:textId="15B0128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FEE182"/>
            <w:noWrap/>
            <w:vAlign w:val="center"/>
            <w:hideMark/>
          </w:tcPr>
          <w:p w14:paraId="5F5DB7C0" w14:textId="7B3BD76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41" w:type="dxa"/>
            <w:tcBorders>
              <w:top w:val="nil"/>
              <w:left w:val="nil"/>
              <w:bottom w:val="nil"/>
              <w:right w:val="nil"/>
            </w:tcBorders>
            <w:shd w:val="clear" w:color="000000" w:fill="C5DB81"/>
            <w:noWrap/>
            <w:vAlign w:val="center"/>
            <w:hideMark/>
          </w:tcPr>
          <w:p w14:paraId="295F3052" w14:textId="7810C40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270" w:type="dxa"/>
            <w:tcBorders>
              <w:top w:val="nil"/>
              <w:left w:val="nil"/>
              <w:bottom w:val="nil"/>
              <w:right w:val="nil"/>
            </w:tcBorders>
            <w:shd w:val="clear" w:color="auto" w:fill="auto"/>
            <w:noWrap/>
            <w:vAlign w:val="center"/>
            <w:hideMark/>
          </w:tcPr>
          <w:p w14:paraId="43CD7F06"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74C37C"/>
            <w:noWrap/>
            <w:vAlign w:val="center"/>
            <w:hideMark/>
          </w:tcPr>
          <w:p w14:paraId="3D8EDCBA" w14:textId="7E58C34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EFE784"/>
            <w:noWrap/>
            <w:vAlign w:val="center"/>
            <w:hideMark/>
          </w:tcPr>
          <w:p w14:paraId="2CB6935A" w14:textId="5110626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r>
      <w:tr w:rsidR="0084436E" w:rsidRPr="00096612" w14:paraId="3AD4FF4F" w14:textId="77777777" w:rsidTr="009D12FE">
        <w:trPr>
          <w:trHeight w:val="300"/>
        </w:trPr>
        <w:tc>
          <w:tcPr>
            <w:tcW w:w="2330" w:type="dxa"/>
            <w:tcBorders>
              <w:top w:val="nil"/>
              <w:left w:val="nil"/>
              <w:bottom w:val="nil"/>
              <w:right w:val="nil"/>
            </w:tcBorders>
            <w:shd w:val="clear" w:color="auto" w:fill="auto"/>
            <w:noWrap/>
            <w:vAlign w:val="bottom"/>
            <w:hideMark/>
          </w:tcPr>
          <w:p w14:paraId="6F6841AA"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ICT </w:t>
            </w:r>
          </w:p>
        </w:tc>
        <w:tc>
          <w:tcPr>
            <w:tcW w:w="988" w:type="dxa"/>
            <w:tcBorders>
              <w:top w:val="nil"/>
              <w:left w:val="nil"/>
              <w:bottom w:val="nil"/>
              <w:right w:val="nil"/>
            </w:tcBorders>
            <w:shd w:val="clear" w:color="auto" w:fill="auto"/>
            <w:noWrap/>
            <w:vAlign w:val="bottom"/>
            <w:hideMark/>
          </w:tcPr>
          <w:p w14:paraId="0DABFDCA"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2021</w:t>
            </w:r>
          </w:p>
        </w:tc>
        <w:tc>
          <w:tcPr>
            <w:tcW w:w="539" w:type="dxa"/>
            <w:tcBorders>
              <w:top w:val="nil"/>
              <w:left w:val="nil"/>
              <w:bottom w:val="nil"/>
              <w:right w:val="nil"/>
            </w:tcBorders>
            <w:shd w:val="clear" w:color="000000" w:fill="C1DA81"/>
            <w:noWrap/>
            <w:vAlign w:val="center"/>
            <w:hideMark/>
          </w:tcPr>
          <w:p w14:paraId="1A33D892" w14:textId="33E91E1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539" w:type="dxa"/>
            <w:tcBorders>
              <w:top w:val="nil"/>
              <w:left w:val="nil"/>
              <w:bottom w:val="nil"/>
              <w:right w:val="nil"/>
            </w:tcBorders>
            <w:shd w:val="clear" w:color="000000" w:fill="FA9A74"/>
            <w:noWrap/>
            <w:vAlign w:val="center"/>
            <w:hideMark/>
          </w:tcPr>
          <w:p w14:paraId="520816A1" w14:textId="1AAA3783"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B1D580"/>
            <w:noWrap/>
            <w:vAlign w:val="center"/>
            <w:hideMark/>
          </w:tcPr>
          <w:p w14:paraId="1B59042B" w14:textId="65FCEA3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539" w:type="dxa"/>
            <w:tcBorders>
              <w:top w:val="nil"/>
              <w:left w:val="nil"/>
              <w:bottom w:val="nil"/>
              <w:right w:val="nil"/>
            </w:tcBorders>
            <w:shd w:val="clear" w:color="000000" w:fill="FBAD78"/>
            <w:noWrap/>
            <w:vAlign w:val="center"/>
            <w:hideMark/>
          </w:tcPr>
          <w:p w14:paraId="4101ABC1" w14:textId="06B7D99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39" w:type="dxa"/>
            <w:tcBorders>
              <w:top w:val="nil"/>
              <w:left w:val="nil"/>
              <w:bottom w:val="nil"/>
              <w:right w:val="nil"/>
            </w:tcBorders>
            <w:shd w:val="clear" w:color="000000" w:fill="FEE282"/>
            <w:noWrap/>
            <w:vAlign w:val="center"/>
            <w:hideMark/>
          </w:tcPr>
          <w:p w14:paraId="7826E58C" w14:textId="40CFE22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269" w:type="dxa"/>
            <w:tcBorders>
              <w:top w:val="nil"/>
              <w:left w:val="nil"/>
              <w:bottom w:val="nil"/>
              <w:right w:val="nil"/>
            </w:tcBorders>
            <w:shd w:val="clear" w:color="auto" w:fill="auto"/>
            <w:noWrap/>
            <w:vAlign w:val="center"/>
            <w:hideMark/>
          </w:tcPr>
          <w:p w14:paraId="07413548"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CBDC81"/>
            <w:noWrap/>
            <w:vAlign w:val="center"/>
            <w:hideMark/>
          </w:tcPr>
          <w:p w14:paraId="6BA5C3BA" w14:textId="0782E7A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FEE182"/>
            <w:noWrap/>
            <w:vAlign w:val="center"/>
            <w:hideMark/>
          </w:tcPr>
          <w:p w14:paraId="515295BB" w14:textId="72F4F94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41" w:type="dxa"/>
            <w:tcBorders>
              <w:top w:val="nil"/>
              <w:left w:val="nil"/>
              <w:bottom w:val="nil"/>
              <w:right w:val="nil"/>
            </w:tcBorders>
            <w:shd w:val="clear" w:color="000000" w:fill="FDD680"/>
            <w:noWrap/>
            <w:vAlign w:val="center"/>
            <w:hideMark/>
          </w:tcPr>
          <w:p w14:paraId="6846F4C8" w14:textId="5ACB98F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270" w:type="dxa"/>
            <w:tcBorders>
              <w:top w:val="nil"/>
              <w:left w:val="nil"/>
              <w:bottom w:val="nil"/>
              <w:right w:val="nil"/>
            </w:tcBorders>
            <w:shd w:val="clear" w:color="auto" w:fill="auto"/>
            <w:noWrap/>
            <w:vAlign w:val="center"/>
            <w:hideMark/>
          </w:tcPr>
          <w:p w14:paraId="0529924C"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8BCA7E"/>
            <w:noWrap/>
            <w:vAlign w:val="center"/>
            <w:hideMark/>
          </w:tcPr>
          <w:p w14:paraId="26DE27D5" w14:textId="3B1BCC2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AAD380"/>
            <w:noWrap/>
            <w:vAlign w:val="center"/>
            <w:hideMark/>
          </w:tcPr>
          <w:p w14:paraId="33AACF07" w14:textId="450142B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r>
      <w:tr w:rsidR="0084436E" w:rsidRPr="00096612" w14:paraId="19A54029" w14:textId="77777777" w:rsidTr="009D12FE">
        <w:trPr>
          <w:trHeight w:val="300"/>
        </w:trPr>
        <w:tc>
          <w:tcPr>
            <w:tcW w:w="2330" w:type="dxa"/>
            <w:tcBorders>
              <w:top w:val="nil"/>
              <w:left w:val="nil"/>
              <w:bottom w:val="nil"/>
              <w:right w:val="nil"/>
            </w:tcBorders>
            <w:shd w:val="clear" w:color="auto" w:fill="auto"/>
            <w:noWrap/>
            <w:vAlign w:val="bottom"/>
            <w:hideMark/>
          </w:tcPr>
          <w:p w14:paraId="18534348"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Industry activity </w:t>
            </w:r>
          </w:p>
        </w:tc>
        <w:tc>
          <w:tcPr>
            <w:tcW w:w="988" w:type="dxa"/>
            <w:tcBorders>
              <w:top w:val="nil"/>
              <w:left w:val="nil"/>
              <w:bottom w:val="nil"/>
              <w:right w:val="nil"/>
            </w:tcBorders>
            <w:shd w:val="clear" w:color="auto" w:fill="auto"/>
            <w:noWrap/>
            <w:vAlign w:val="bottom"/>
            <w:hideMark/>
          </w:tcPr>
          <w:p w14:paraId="4D48E2DE"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2021</w:t>
            </w:r>
          </w:p>
        </w:tc>
        <w:tc>
          <w:tcPr>
            <w:tcW w:w="539" w:type="dxa"/>
            <w:tcBorders>
              <w:top w:val="nil"/>
              <w:left w:val="nil"/>
              <w:bottom w:val="nil"/>
              <w:right w:val="nil"/>
            </w:tcBorders>
            <w:shd w:val="clear" w:color="000000" w:fill="CADC81"/>
            <w:noWrap/>
            <w:vAlign w:val="center"/>
            <w:hideMark/>
          </w:tcPr>
          <w:p w14:paraId="003443F5" w14:textId="7AA26BF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DEE283"/>
            <w:noWrap/>
            <w:vAlign w:val="center"/>
            <w:hideMark/>
          </w:tcPr>
          <w:p w14:paraId="701FB14B" w14:textId="4703784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7DC67D"/>
            <w:noWrap/>
            <w:vAlign w:val="center"/>
            <w:hideMark/>
          </w:tcPr>
          <w:p w14:paraId="0AE1794B" w14:textId="5528C84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64BF7C"/>
            <w:noWrap/>
            <w:vAlign w:val="center"/>
            <w:hideMark/>
          </w:tcPr>
          <w:p w14:paraId="06F6FB74" w14:textId="3332EB5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AED480"/>
            <w:noWrap/>
            <w:vAlign w:val="center"/>
            <w:hideMark/>
          </w:tcPr>
          <w:p w14:paraId="4C195660" w14:textId="6D34C41D"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269" w:type="dxa"/>
            <w:tcBorders>
              <w:top w:val="nil"/>
              <w:left w:val="nil"/>
              <w:bottom w:val="nil"/>
              <w:right w:val="nil"/>
            </w:tcBorders>
            <w:shd w:val="clear" w:color="auto" w:fill="auto"/>
            <w:noWrap/>
            <w:vAlign w:val="center"/>
            <w:hideMark/>
          </w:tcPr>
          <w:p w14:paraId="0313746D"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C0D981"/>
            <w:noWrap/>
            <w:vAlign w:val="center"/>
            <w:hideMark/>
          </w:tcPr>
          <w:p w14:paraId="1C661B05" w14:textId="723AC55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539" w:type="dxa"/>
            <w:tcBorders>
              <w:top w:val="nil"/>
              <w:left w:val="nil"/>
              <w:bottom w:val="nil"/>
              <w:right w:val="nil"/>
            </w:tcBorders>
            <w:shd w:val="clear" w:color="000000" w:fill="BAD780"/>
            <w:noWrap/>
            <w:vAlign w:val="center"/>
            <w:hideMark/>
          </w:tcPr>
          <w:p w14:paraId="142742BF" w14:textId="3E81257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541" w:type="dxa"/>
            <w:tcBorders>
              <w:top w:val="nil"/>
              <w:left w:val="nil"/>
              <w:bottom w:val="nil"/>
              <w:right w:val="nil"/>
            </w:tcBorders>
            <w:shd w:val="clear" w:color="000000" w:fill="FEDB80"/>
            <w:noWrap/>
            <w:vAlign w:val="center"/>
            <w:hideMark/>
          </w:tcPr>
          <w:p w14:paraId="41385F25" w14:textId="1BE5F4E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270" w:type="dxa"/>
            <w:tcBorders>
              <w:top w:val="nil"/>
              <w:left w:val="nil"/>
              <w:bottom w:val="nil"/>
              <w:right w:val="nil"/>
            </w:tcBorders>
            <w:shd w:val="clear" w:color="auto" w:fill="auto"/>
            <w:noWrap/>
            <w:vAlign w:val="center"/>
            <w:hideMark/>
          </w:tcPr>
          <w:p w14:paraId="2AA6EC67"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88C97E"/>
            <w:noWrap/>
            <w:vAlign w:val="center"/>
            <w:hideMark/>
          </w:tcPr>
          <w:p w14:paraId="60C7FCB7" w14:textId="3E9200D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BCD881"/>
            <w:noWrap/>
            <w:vAlign w:val="center"/>
            <w:hideMark/>
          </w:tcPr>
          <w:p w14:paraId="7336D564" w14:textId="2EDF20E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r>
      <w:tr w:rsidR="0084436E" w:rsidRPr="00096612" w14:paraId="6E2A4AF2" w14:textId="77777777" w:rsidTr="009D12FE">
        <w:trPr>
          <w:trHeight w:val="300"/>
        </w:trPr>
        <w:tc>
          <w:tcPr>
            <w:tcW w:w="2330" w:type="dxa"/>
            <w:tcBorders>
              <w:top w:val="nil"/>
              <w:left w:val="nil"/>
              <w:right w:val="nil"/>
            </w:tcBorders>
            <w:shd w:val="clear" w:color="auto" w:fill="auto"/>
            <w:noWrap/>
            <w:vAlign w:val="bottom"/>
            <w:hideMark/>
          </w:tcPr>
          <w:p w14:paraId="739B2ED9"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Skills </w:t>
            </w:r>
          </w:p>
        </w:tc>
        <w:tc>
          <w:tcPr>
            <w:tcW w:w="988" w:type="dxa"/>
            <w:tcBorders>
              <w:top w:val="nil"/>
              <w:left w:val="nil"/>
              <w:right w:val="nil"/>
            </w:tcBorders>
            <w:shd w:val="clear" w:color="auto" w:fill="auto"/>
            <w:noWrap/>
            <w:vAlign w:val="bottom"/>
            <w:hideMark/>
          </w:tcPr>
          <w:p w14:paraId="23611F63"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2021</w:t>
            </w:r>
          </w:p>
        </w:tc>
        <w:tc>
          <w:tcPr>
            <w:tcW w:w="539" w:type="dxa"/>
            <w:tcBorders>
              <w:top w:val="nil"/>
              <w:left w:val="nil"/>
              <w:right w:val="nil"/>
            </w:tcBorders>
            <w:shd w:val="clear" w:color="000000" w:fill="FA9573"/>
            <w:noWrap/>
            <w:vAlign w:val="center"/>
            <w:hideMark/>
          </w:tcPr>
          <w:p w14:paraId="5FFDE9D0" w14:textId="6579828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right w:val="nil"/>
            </w:tcBorders>
            <w:shd w:val="clear" w:color="000000" w:fill="F8776D"/>
            <w:noWrap/>
            <w:vAlign w:val="center"/>
            <w:hideMark/>
          </w:tcPr>
          <w:p w14:paraId="2AFFAA07" w14:textId="3D3BB4E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right w:val="nil"/>
            </w:tcBorders>
            <w:shd w:val="clear" w:color="000000" w:fill="FBAF78"/>
            <w:noWrap/>
            <w:vAlign w:val="center"/>
            <w:hideMark/>
          </w:tcPr>
          <w:p w14:paraId="2D2AA3BD" w14:textId="7E09B9C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39" w:type="dxa"/>
            <w:tcBorders>
              <w:top w:val="nil"/>
              <w:left w:val="nil"/>
              <w:right w:val="nil"/>
            </w:tcBorders>
            <w:shd w:val="clear" w:color="000000" w:fill="FBA175"/>
            <w:noWrap/>
            <w:vAlign w:val="center"/>
            <w:hideMark/>
          </w:tcPr>
          <w:p w14:paraId="57D8514A" w14:textId="57C4A98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39" w:type="dxa"/>
            <w:tcBorders>
              <w:top w:val="nil"/>
              <w:left w:val="nil"/>
              <w:right w:val="nil"/>
            </w:tcBorders>
            <w:shd w:val="clear" w:color="000000" w:fill="F8696B"/>
            <w:noWrap/>
            <w:vAlign w:val="center"/>
            <w:hideMark/>
          </w:tcPr>
          <w:p w14:paraId="20B3769A" w14:textId="0B707D4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269" w:type="dxa"/>
            <w:tcBorders>
              <w:top w:val="nil"/>
              <w:left w:val="nil"/>
              <w:right w:val="nil"/>
            </w:tcBorders>
            <w:shd w:val="clear" w:color="auto" w:fill="auto"/>
            <w:noWrap/>
            <w:vAlign w:val="center"/>
            <w:hideMark/>
          </w:tcPr>
          <w:p w14:paraId="1FD9A8F2"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right w:val="nil"/>
            </w:tcBorders>
            <w:shd w:val="clear" w:color="000000" w:fill="FDC77D"/>
            <w:noWrap/>
            <w:vAlign w:val="center"/>
            <w:hideMark/>
          </w:tcPr>
          <w:p w14:paraId="7C330BD3" w14:textId="4AB1446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39" w:type="dxa"/>
            <w:tcBorders>
              <w:top w:val="nil"/>
              <w:left w:val="nil"/>
              <w:right w:val="nil"/>
            </w:tcBorders>
            <w:shd w:val="clear" w:color="000000" w:fill="FBA576"/>
            <w:noWrap/>
            <w:vAlign w:val="center"/>
            <w:hideMark/>
          </w:tcPr>
          <w:p w14:paraId="4D599B88" w14:textId="6BE56CF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41" w:type="dxa"/>
            <w:tcBorders>
              <w:top w:val="nil"/>
              <w:left w:val="nil"/>
              <w:right w:val="nil"/>
            </w:tcBorders>
            <w:shd w:val="clear" w:color="000000" w:fill="FDCC7E"/>
            <w:noWrap/>
            <w:vAlign w:val="center"/>
            <w:hideMark/>
          </w:tcPr>
          <w:p w14:paraId="01B0903E" w14:textId="2FE90BD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270" w:type="dxa"/>
            <w:tcBorders>
              <w:top w:val="nil"/>
              <w:left w:val="nil"/>
              <w:right w:val="nil"/>
            </w:tcBorders>
            <w:shd w:val="clear" w:color="auto" w:fill="auto"/>
            <w:noWrap/>
            <w:vAlign w:val="center"/>
            <w:hideMark/>
          </w:tcPr>
          <w:p w14:paraId="6D9A5A36"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right w:val="nil"/>
            </w:tcBorders>
            <w:shd w:val="clear" w:color="000000" w:fill="D4DF82"/>
            <w:noWrap/>
            <w:vAlign w:val="center"/>
            <w:hideMark/>
          </w:tcPr>
          <w:p w14:paraId="5583B298" w14:textId="776EA91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659" w:type="dxa"/>
            <w:gridSpan w:val="2"/>
            <w:tcBorders>
              <w:top w:val="nil"/>
              <w:left w:val="nil"/>
              <w:right w:val="nil"/>
            </w:tcBorders>
            <w:shd w:val="clear" w:color="000000" w:fill="D9E082"/>
            <w:noWrap/>
            <w:vAlign w:val="center"/>
            <w:hideMark/>
          </w:tcPr>
          <w:p w14:paraId="38674E0E" w14:textId="4DDD8BCF"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r>
      <w:tr w:rsidR="0084436E" w:rsidRPr="00096612" w14:paraId="040BEDD8" w14:textId="77777777" w:rsidTr="009D12FE">
        <w:trPr>
          <w:trHeight w:val="300"/>
        </w:trPr>
        <w:tc>
          <w:tcPr>
            <w:tcW w:w="2330" w:type="dxa"/>
            <w:tcBorders>
              <w:top w:val="nil"/>
              <w:left w:val="nil"/>
              <w:bottom w:val="single" w:sz="4" w:space="0" w:color="auto"/>
              <w:right w:val="nil"/>
            </w:tcBorders>
            <w:shd w:val="clear" w:color="auto" w:fill="auto"/>
            <w:noWrap/>
            <w:vAlign w:val="bottom"/>
            <w:hideMark/>
          </w:tcPr>
          <w:p w14:paraId="678A1A47"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Research and Development </w:t>
            </w:r>
          </w:p>
        </w:tc>
        <w:tc>
          <w:tcPr>
            <w:tcW w:w="988" w:type="dxa"/>
            <w:tcBorders>
              <w:top w:val="nil"/>
              <w:left w:val="nil"/>
              <w:bottom w:val="single" w:sz="4" w:space="0" w:color="auto"/>
              <w:right w:val="nil"/>
            </w:tcBorders>
            <w:shd w:val="clear" w:color="auto" w:fill="auto"/>
            <w:noWrap/>
            <w:vAlign w:val="bottom"/>
            <w:hideMark/>
          </w:tcPr>
          <w:p w14:paraId="381EF314"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2021</w:t>
            </w:r>
          </w:p>
        </w:tc>
        <w:tc>
          <w:tcPr>
            <w:tcW w:w="539" w:type="dxa"/>
            <w:tcBorders>
              <w:top w:val="nil"/>
              <w:left w:val="nil"/>
              <w:bottom w:val="single" w:sz="4" w:space="0" w:color="auto"/>
              <w:right w:val="nil"/>
            </w:tcBorders>
            <w:shd w:val="clear" w:color="000000" w:fill="FA9072"/>
            <w:noWrap/>
            <w:vAlign w:val="center"/>
            <w:hideMark/>
          </w:tcPr>
          <w:p w14:paraId="16602594" w14:textId="675B584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single" w:sz="4" w:space="0" w:color="auto"/>
              <w:right w:val="nil"/>
            </w:tcBorders>
            <w:shd w:val="clear" w:color="000000" w:fill="F98B71"/>
            <w:noWrap/>
            <w:vAlign w:val="center"/>
            <w:hideMark/>
          </w:tcPr>
          <w:p w14:paraId="018E540B" w14:textId="1DDD127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single" w:sz="4" w:space="0" w:color="auto"/>
              <w:right w:val="nil"/>
            </w:tcBorders>
            <w:shd w:val="clear" w:color="000000" w:fill="FCC57C"/>
            <w:noWrap/>
            <w:vAlign w:val="center"/>
            <w:hideMark/>
          </w:tcPr>
          <w:p w14:paraId="4C3AE317" w14:textId="120215D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39" w:type="dxa"/>
            <w:tcBorders>
              <w:top w:val="nil"/>
              <w:left w:val="nil"/>
              <w:bottom w:val="single" w:sz="4" w:space="0" w:color="auto"/>
              <w:right w:val="nil"/>
            </w:tcBorders>
            <w:shd w:val="clear" w:color="000000" w:fill="F98971"/>
            <w:noWrap/>
            <w:vAlign w:val="center"/>
            <w:hideMark/>
          </w:tcPr>
          <w:p w14:paraId="0A26D2EF" w14:textId="54AC17C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single" w:sz="4" w:space="0" w:color="auto"/>
              <w:right w:val="nil"/>
            </w:tcBorders>
            <w:shd w:val="clear" w:color="000000" w:fill="FA9773"/>
            <w:noWrap/>
            <w:vAlign w:val="center"/>
            <w:hideMark/>
          </w:tcPr>
          <w:p w14:paraId="0E76D725" w14:textId="76C4E1A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269" w:type="dxa"/>
            <w:tcBorders>
              <w:top w:val="nil"/>
              <w:left w:val="nil"/>
              <w:bottom w:val="single" w:sz="4" w:space="0" w:color="auto"/>
              <w:right w:val="nil"/>
            </w:tcBorders>
            <w:shd w:val="clear" w:color="auto" w:fill="auto"/>
            <w:noWrap/>
            <w:vAlign w:val="center"/>
            <w:hideMark/>
          </w:tcPr>
          <w:p w14:paraId="00286263"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single" w:sz="4" w:space="0" w:color="auto"/>
              <w:right w:val="nil"/>
            </w:tcBorders>
            <w:shd w:val="clear" w:color="000000" w:fill="F98871"/>
            <w:noWrap/>
            <w:vAlign w:val="center"/>
            <w:hideMark/>
          </w:tcPr>
          <w:p w14:paraId="28532F6E" w14:textId="17DBC50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single" w:sz="4" w:space="0" w:color="auto"/>
              <w:right w:val="nil"/>
            </w:tcBorders>
            <w:shd w:val="clear" w:color="000000" w:fill="FA9172"/>
            <w:noWrap/>
            <w:vAlign w:val="center"/>
            <w:hideMark/>
          </w:tcPr>
          <w:p w14:paraId="1A4F6309" w14:textId="649E47D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41" w:type="dxa"/>
            <w:tcBorders>
              <w:top w:val="nil"/>
              <w:left w:val="nil"/>
              <w:bottom w:val="single" w:sz="4" w:space="0" w:color="auto"/>
              <w:right w:val="nil"/>
            </w:tcBorders>
            <w:shd w:val="clear" w:color="000000" w:fill="FDCC7E"/>
            <w:noWrap/>
            <w:vAlign w:val="center"/>
            <w:hideMark/>
          </w:tcPr>
          <w:p w14:paraId="72970A7C" w14:textId="73AF015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270" w:type="dxa"/>
            <w:tcBorders>
              <w:top w:val="nil"/>
              <w:left w:val="nil"/>
              <w:bottom w:val="single" w:sz="4" w:space="0" w:color="auto"/>
              <w:right w:val="nil"/>
            </w:tcBorders>
            <w:shd w:val="clear" w:color="auto" w:fill="auto"/>
            <w:noWrap/>
            <w:vAlign w:val="center"/>
            <w:hideMark/>
          </w:tcPr>
          <w:p w14:paraId="277A3C6C"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single" w:sz="4" w:space="0" w:color="auto"/>
              <w:right w:val="nil"/>
            </w:tcBorders>
            <w:shd w:val="clear" w:color="000000" w:fill="9DCF7F"/>
            <w:noWrap/>
            <w:vAlign w:val="center"/>
            <w:hideMark/>
          </w:tcPr>
          <w:p w14:paraId="176CBB00" w14:textId="2FCD141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659" w:type="dxa"/>
            <w:gridSpan w:val="2"/>
            <w:tcBorders>
              <w:top w:val="nil"/>
              <w:left w:val="nil"/>
              <w:bottom w:val="single" w:sz="4" w:space="0" w:color="auto"/>
              <w:right w:val="nil"/>
            </w:tcBorders>
            <w:shd w:val="clear" w:color="000000" w:fill="FCC27C"/>
            <w:noWrap/>
            <w:vAlign w:val="center"/>
            <w:hideMark/>
          </w:tcPr>
          <w:p w14:paraId="414EB894" w14:textId="17806B6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r>
      <w:tr w:rsidR="0084436E" w:rsidRPr="00096612" w14:paraId="3EF4054B" w14:textId="77777777" w:rsidTr="009D12FE">
        <w:trPr>
          <w:trHeight w:val="300"/>
        </w:trPr>
        <w:tc>
          <w:tcPr>
            <w:tcW w:w="2330" w:type="dxa"/>
            <w:tcBorders>
              <w:top w:val="single" w:sz="4" w:space="0" w:color="auto"/>
              <w:left w:val="nil"/>
              <w:bottom w:val="nil"/>
              <w:right w:val="nil"/>
            </w:tcBorders>
            <w:shd w:val="clear" w:color="auto" w:fill="auto"/>
            <w:noWrap/>
            <w:vAlign w:val="bottom"/>
            <w:hideMark/>
          </w:tcPr>
          <w:p w14:paraId="0E12AD33" w14:textId="77777777" w:rsidR="0084436E" w:rsidRPr="00E40757" w:rsidRDefault="0084436E" w:rsidP="00096612">
            <w:pPr>
              <w:spacing w:after="0" w:line="240" w:lineRule="auto"/>
              <w:rPr>
                <w:rFonts w:ascii="Trebuchet MS" w:eastAsia="Times New Roman" w:hAnsi="Trebuchet MS" w:cs="Times New Roman"/>
                <w:sz w:val="16"/>
                <w:szCs w:val="16"/>
                <w:lang w:bidi="th-TH"/>
              </w:rPr>
            </w:pPr>
          </w:p>
        </w:tc>
        <w:tc>
          <w:tcPr>
            <w:tcW w:w="988" w:type="dxa"/>
            <w:tcBorders>
              <w:top w:val="single" w:sz="4" w:space="0" w:color="auto"/>
              <w:left w:val="nil"/>
              <w:bottom w:val="nil"/>
              <w:right w:val="nil"/>
            </w:tcBorders>
            <w:shd w:val="clear" w:color="auto" w:fill="auto"/>
            <w:noWrap/>
            <w:vAlign w:val="bottom"/>
            <w:hideMark/>
          </w:tcPr>
          <w:p w14:paraId="7D8B374B" w14:textId="77777777" w:rsidR="0084436E" w:rsidRPr="00E40757" w:rsidRDefault="0084436E" w:rsidP="00096612">
            <w:pPr>
              <w:spacing w:after="0" w:line="240" w:lineRule="auto"/>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60D53A2C"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6F25829F"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0D110966"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61A23670"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270F6338"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269" w:type="dxa"/>
            <w:tcBorders>
              <w:top w:val="single" w:sz="4" w:space="0" w:color="auto"/>
              <w:left w:val="nil"/>
              <w:bottom w:val="nil"/>
              <w:right w:val="nil"/>
            </w:tcBorders>
            <w:shd w:val="clear" w:color="auto" w:fill="auto"/>
            <w:noWrap/>
            <w:vAlign w:val="center"/>
            <w:hideMark/>
          </w:tcPr>
          <w:p w14:paraId="145E30D7"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7C84653E"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39" w:type="dxa"/>
            <w:tcBorders>
              <w:top w:val="single" w:sz="4" w:space="0" w:color="auto"/>
              <w:left w:val="nil"/>
              <w:bottom w:val="nil"/>
              <w:right w:val="nil"/>
            </w:tcBorders>
            <w:shd w:val="clear" w:color="auto" w:fill="auto"/>
            <w:noWrap/>
            <w:vAlign w:val="center"/>
            <w:hideMark/>
          </w:tcPr>
          <w:p w14:paraId="7E2D041D"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541" w:type="dxa"/>
            <w:tcBorders>
              <w:top w:val="single" w:sz="4" w:space="0" w:color="auto"/>
              <w:left w:val="nil"/>
              <w:bottom w:val="nil"/>
              <w:right w:val="nil"/>
            </w:tcBorders>
            <w:shd w:val="clear" w:color="auto" w:fill="auto"/>
            <w:noWrap/>
            <w:vAlign w:val="center"/>
            <w:hideMark/>
          </w:tcPr>
          <w:p w14:paraId="2003D1D6"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270" w:type="dxa"/>
            <w:tcBorders>
              <w:top w:val="single" w:sz="4" w:space="0" w:color="auto"/>
              <w:left w:val="nil"/>
              <w:bottom w:val="nil"/>
              <w:right w:val="nil"/>
            </w:tcBorders>
            <w:shd w:val="clear" w:color="auto" w:fill="auto"/>
            <w:noWrap/>
            <w:vAlign w:val="center"/>
            <w:hideMark/>
          </w:tcPr>
          <w:p w14:paraId="4D95B79D"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638" w:type="dxa"/>
            <w:tcBorders>
              <w:top w:val="single" w:sz="4" w:space="0" w:color="auto"/>
              <w:left w:val="nil"/>
              <w:bottom w:val="nil"/>
              <w:right w:val="nil"/>
            </w:tcBorders>
            <w:shd w:val="clear" w:color="auto" w:fill="auto"/>
            <w:noWrap/>
            <w:vAlign w:val="center"/>
            <w:hideMark/>
          </w:tcPr>
          <w:p w14:paraId="03B1D6B5"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c>
          <w:tcPr>
            <w:tcW w:w="659" w:type="dxa"/>
            <w:gridSpan w:val="2"/>
            <w:tcBorders>
              <w:top w:val="single" w:sz="4" w:space="0" w:color="auto"/>
              <w:left w:val="nil"/>
              <w:bottom w:val="nil"/>
              <w:right w:val="nil"/>
            </w:tcBorders>
            <w:shd w:val="clear" w:color="auto" w:fill="auto"/>
            <w:noWrap/>
            <w:vAlign w:val="center"/>
            <w:hideMark/>
          </w:tcPr>
          <w:p w14:paraId="58869AF8" w14:textId="77777777" w:rsidR="0084436E" w:rsidRPr="00E40757" w:rsidRDefault="0084436E" w:rsidP="00F35E4B">
            <w:pPr>
              <w:spacing w:after="0" w:line="240" w:lineRule="auto"/>
              <w:jc w:val="center"/>
              <w:rPr>
                <w:rFonts w:ascii="Trebuchet MS" w:eastAsia="Times New Roman" w:hAnsi="Trebuchet MS" w:cs="Times New Roman"/>
                <w:sz w:val="16"/>
                <w:szCs w:val="16"/>
                <w:lang w:bidi="th-TH"/>
              </w:rPr>
            </w:pPr>
          </w:p>
        </w:tc>
      </w:tr>
      <w:tr w:rsidR="0084436E" w:rsidRPr="00096612" w14:paraId="4C2B0BBF" w14:textId="77777777" w:rsidTr="009D12FE">
        <w:trPr>
          <w:trHeight w:val="300"/>
        </w:trPr>
        <w:tc>
          <w:tcPr>
            <w:tcW w:w="2330" w:type="dxa"/>
            <w:tcBorders>
              <w:top w:val="nil"/>
              <w:left w:val="nil"/>
              <w:bottom w:val="nil"/>
              <w:right w:val="nil"/>
            </w:tcBorders>
            <w:shd w:val="clear" w:color="auto" w:fill="auto"/>
            <w:noWrap/>
            <w:vAlign w:val="bottom"/>
            <w:hideMark/>
          </w:tcPr>
          <w:p w14:paraId="327BE8FC" w14:textId="77777777" w:rsidR="0084436E" w:rsidRPr="00E40757" w:rsidRDefault="0084436E" w:rsidP="00096612">
            <w:pPr>
              <w:spacing w:after="0" w:line="240" w:lineRule="auto"/>
              <w:rPr>
                <w:rFonts w:ascii="Trebuchet MS" w:eastAsia="Times New Roman" w:hAnsi="Trebuchet MS" w:cs="Calibri Light"/>
                <w:b/>
                <w:bCs/>
                <w:color w:val="000000"/>
                <w:sz w:val="16"/>
                <w:szCs w:val="16"/>
                <w:lang w:bidi="th-TH"/>
              </w:rPr>
            </w:pPr>
            <w:r w:rsidRPr="00E40757">
              <w:rPr>
                <w:rFonts w:ascii="Trebuchet MS" w:eastAsia="Times New Roman" w:hAnsi="Trebuchet MS" w:cs="Calibri Light"/>
                <w:b/>
                <w:bCs/>
                <w:color w:val="000000"/>
                <w:sz w:val="16"/>
                <w:szCs w:val="16"/>
                <w:lang w:bidi="th-TH"/>
              </w:rPr>
              <w:t>Overall index</w:t>
            </w:r>
          </w:p>
        </w:tc>
        <w:tc>
          <w:tcPr>
            <w:tcW w:w="988" w:type="dxa"/>
            <w:tcBorders>
              <w:top w:val="nil"/>
              <w:left w:val="nil"/>
              <w:bottom w:val="nil"/>
              <w:right w:val="nil"/>
            </w:tcBorders>
            <w:shd w:val="clear" w:color="auto" w:fill="auto"/>
            <w:noWrap/>
            <w:vAlign w:val="bottom"/>
            <w:hideMark/>
          </w:tcPr>
          <w:p w14:paraId="56A5E41C" w14:textId="77777777" w:rsidR="0084436E" w:rsidRPr="00E40757" w:rsidRDefault="0084436E" w:rsidP="00096612">
            <w:pPr>
              <w:spacing w:after="0" w:line="240" w:lineRule="auto"/>
              <w:jc w:val="right"/>
              <w:rPr>
                <w:rFonts w:ascii="Trebuchet MS" w:eastAsia="Times New Roman" w:hAnsi="Trebuchet MS" w:cs="Calibri Light"/>
                <w:b/>
                <w:bCs/>
                <w:color w:val="000000"/>
                <w:sz w:val="16"/>
                <w:szCs w:val="16"/>
                <w:lang w:bidi="th-TH"/>
              </w:rPr>
            </w:pPr>
            <w:r w:rsidRPr="00E40757">
              <w:rPr>
                <w:rFonts w:ascii="Trebuchet MS" w:eastAsia="Times New Roman" w:hAnsi="Trebuchet MS" w:cs="Calibri Light"/>
                <w:b/>
                <w:bCs/>
                <w:color w:val="000000"/>
                <w:sz w:val="16"/>
                <w:szCs w:val="16"/>
                <w:lang w:bidi="th-TH"/>
              </w:rPr>
              <w:t>2016</w:t>
            </w:r>
          </w:p>
        </w:tc>
        <w:tc>
          <w:tcPr>
            <w:tcW w:w="539" w:type="dxa"/>
            <w:tcBorders>
              <w:top w:val="nil"/>
              <w:left w:val="nil"/>
              <w:bottom w:val="nil"/>
              <w:right w:val="nil"/>
            </w:tcBorders>
            <w:shd w:val="clear" w:color="000000" w:fill="FEE282"/>
            <w:noWrap/>
            <w:vAlign w:val="center"/>
            <w:hideMark/>
          </w:tcPr>
          <w:p w14:paraId="352CFAD6" w14:textId="10C0729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BA175"/>
            <w:noWrap/>
            <w:vAlign w:val="center"/>
            <w:hideMark/>
          </w:tcPr>
          <w:p w14:paraId="199FB677" w14:textId="13C9814B"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E2E383"/>
            <w:noWrap/>
            <w:vAlign w:val="center"/>
            <w:hideMark/>
          </w:tcPr>
          <w:p w14:paraId="1F27BB17" w14:textId="0C83A8AB"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FEE282"/>
            <w:noWrap/>
            <w:vAlign w:val="center"/>
            <w:hideMark/>
          </w:tcPr>
          <w:p w14:paraId="52411C40" w14:textId="069230B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DCC7E"/>
            <w:noWrap/>
            <w:vAlign w:val="center"/>
            <w:hideMark/>
          </w:tcPr>
          <w:p w14:paraId="26E59440" w14:textId="53C199BC"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0.5</w:t>
            </w:r>
          </w:p>
        </w:tc>
        <w:tc>
          <w:tcPr>
            <w:tcW w:w="269" w:type="dxa"/>
            <w:tcBorders>
              <w:top w:val="nil"/>
              <w:left w:val="nil"/>
              <w:bottom w:val="nil"/>
              <w:right w:val="nil"/>
            </w:tcBorders>
            <w:shd w:val="clear" w:color="auto" w:fill="auto"/>
            <w:noWrap/>
            <w:vAlign w:val="center"/>
            <w:hideMark/>
          </w:tcPr>
          <w:p w14:paraId="50751C49" w14:textId="77777777"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p>
        </w:tc>
        <w:tc>
          <w:tcPr>
            <w:tcW w:w="539" w:type="dxa"/>
            <w:tcBorders>
              <w:top w:val="nil"/>
              <w:left w:val="nil"/>
              <w:bottom w:val="nil"/>
              <w:right w:val="nil"/>
            </w:tcBorders>
            <w:shd w:val="clear" w:color="000000" w:fill="EDE683"/>
            <w:noWrap/>
            <w:vAlign w:val="center"/>
            <w:hideMark/>
          </w:tcPr>
          <w:p w14:paraId="37CB0FD6" w14:textId="69FE266D"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EE883"/>
            <w:noWrap/>
            <w:vAlign w:val="center"/>
            <w:hideMark/>
          </w:tcPr>
          <w:p w14:paraId="042B4D20" w14:textId="7FC4126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541" w:type="dxa"/>
            <w:tcBorders>
              <w:top w:val="nil"/>
              <w:left w:val="nil"/>
              <w:bottom w:val="nil"/>
              <w:right w:val="nil"/>
            </w:tcBorders>
            <w:shd w:val="clear" w:color="000000" w:fill="FEE783"/>
            <w:noWrap/>
            <w:vAlign w:val="center"/>
            <w:hideMark/>
          </w:tcPr>
          <w:p w14:paraId="0C3A89F0" w14:textId="3DF2B95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0.6</w:t>
            </w:r>
          </w:p>
        </w:tc>
        <w:tc>
          <w:tcPr>
            <w:tcW w:w="270" w:type="dxa"/>
            <w:tcBorders>
              <w:top w:val="nil"/>
              <w:left w:val="nil"/>
              <w:bottom w:val="nil"/>
              <w:right w:val="nil"/>
            </w:tcBorders>
            <w:shd w:val="clear" w:color="auto" w:fill="auto"/>
            <w:noWrap/>
            <w:vAlign w:val="center"/>
            <w:hideMark/>
          </w:tcPr>
          <w:p w14:paraId="3CCA7057" w14:textId="23BD7C7A"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p>
        </w:tc>
        <w:tc>
          <w:tcPr>
            <w:tcW w:w="638" w:type="dxa"/>
            <w:tcBorders>
              <w:top w:val="nil"/>
              <w:left w:val="nil"/>
              <w:bottom w:val="nil"/>
              <w:right w:val="nil"/>
            </w:tcBorders>
            <w:shd w:val="clear" w:color="000000" w:fill="6AC07C"/>
            <w:noWrap/>
            <w:vAlign w:val="center"/>
            <w:hideMark/>
          </w:tcPr>
          <w:p w14:paraId="3D447D44" w14:textId="08991C6C"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1.0</w:t>
            </w:r>
          </w:p>
        </w:tc>
        <w:tc>
          <w:tcPr>
            <w:tcW w:w="659" w:type="dxa"/>
            <w:gridSpan w:val="2"/>
            <w:tcBorders>
              <w:top w:val="nil"/>
              <w:left w:val="nil"/>
              <w:bottom w:val="nil"/>
              <w:right w:val="nil"/>
            </w:tcBorders>
            <w:shd w:val="clear" w:color="000000" w:fill="B9D780"/>
            <w:noWrap/>
            <w:vAlign w:val="center"/>
            <w:hideMark/>
          </w:tcPr>
          <w:p w14:paraId="0786745F" w14:textId="6A8E3F60" w:rsidR="0084436E" w:rsidRPr="00E40757" w:rsidRDefault="0084436E" w:rsidP="00F35E4B">
            <w:pPr>
              <w:spacing w:after="0" w:line="240" w:lineRule="auto"/>
              <w:jc w:val="center"/>
              <w:rPr>
                <w:rFonts w:ascii="Trebuchet MS" w:eastAsia="Times New Roman" w:hAnsi="Trebuchet MS" w:cs="Calibri Light"/>
                <w:b/>
                <w:bCs/>
                <w:color w:val="000000"/>
                <w:sz w:val="16"/>
                <w:szCs w:val="16"/>
                <w:lang w:bidi="th-TH"/>
              </w:rPr>
            </w:pPr>
            <w:r w:rsidRPr="00096612">
              <w:rPr>
                <w:rFonts w:ascii="Trebuchet MS" w:hAnsi="Trebuchet MS"/>
                <w:sz w:val="16"/>
                <w:szCs w:val="16"/>
              </w:rPr>
              <w:t>0.8</w:t>
            </w:r>
          </w:p>
        </w:tc>
      </w:tr>
      <w:tr w:rsidR="0084436E" w:rsidRPr="00096612" w14:paraId="48D6AB82" w14:textId="77777777" w:rsidTr="009D12FE">
        <w:trPr>
          <w:trHeight w:val="300"/>
        </w:trPr>
        <w:tc>
          <w:tcPr>
            <w:tcW w:w="2330" w:type="dxa"/>
            <w:tcBorders>
              <w:top w:val="nil"/>
              <w:left w:val="nil"/>
              <w:bottom w:val="nil"/>
              <w:right w:val="nil"/>
            </w:tcBorders>
            <w:shd w:val="clear" w:color="auto" w:fill="auto"/>
            <w:noWrap/>
            <w:vAlign w:val="bottom"/>
            <w:hideMark/>
          </w:tcPr>
          <w:p w14:paraId="2A6E70CF"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Access to finance </w:t>
            </w:r>
          </w:p>
        </w:tc>
        <w:tc>
          <w:tcPr>
            <w:tcW w:w="988" w:type="dxa"/>
            <w:tcBorders>
              <w:top w:val="nil"/>
              <w:left w:val="nil"/>
              <w:bottom w:val="nil"/>
              <w:right w:val="nil"/>
            </w:tcBorders>
            <w:shd w:val="clear" w:color="auto" w:fill="auto"/>
            <w:noWrap/>
            <w:vAlign w:val="bottom"/>
            <w:hideMark/>
          </w:tcPr>
          <w:p w14:paraId="69EA878B"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2016</w:t>
            </w:r>
          </w:p>
        </w:tc>
        <w:tc>
          <w:tcPr>
            <w:tcW w:w="539" w:type="dxa"/>
            <w:tcBorders>
              <w:top w:val="nil"/>
              <w:left w:val="nil"/>
              <w:bottom w:val="nil"/>
              <w:right w:val="nil"/>
            </w:tcBorders>
            <w:shd w:val="clear" w:color="000000" w:fill="83C87D"/>
            <w:noWrap/>
            <w:vAlign w:val="center"/>
            <w:hideMark/>
          </w:tcPr>
          <w:p w14:paraId="655ED13C" w14:textId="319CD95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F8E984"/>
            <w:noWrap/>
            <w:vAlign w:val="center"/>
            <w:hideMark/>
          </w:tcPr>
          <w:p w14:paraId="018DE0AA" w14:textId="554A105E"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94CD7E"/>
            <w:noWrap/>
            <w:vAlign w:val="center"/>
            <w:hideMark/>
          </w:tcPr>
          <w:p w14:paraId="3AF08285" w14:textId="0940D50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F7E984"/>
            <w:noWrap/>
            <w:vAlign w:val="center"/>
            <w:hideMark/>
          </w:tcPr>
          <w:p w14:paraId="37CBFAF7" w14:textId="74AED28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AFD480"/>
            <w:noWrap/>
            <w:vAlign w:val="center"/>
            <w:hideMark/>
          </w:tcPr>
          <w:p w14:paraId="2767A216" w14:textId="574AD56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269" w:type="dxa"/>
            <w:tcBorders>
              <w:top w:val="nil"/>
              <w:left w:val="nil"/>
              <w:bottom w:val="nil"/>
              <w:right w:val="nil"/>
            </w:tcBorders>
            <w:shd w:val="clear" w:color="auto" w:fill="auto"/>
            <w:noWrap/>
            <w:vAlign w:val="center"/>
            <w:hideMark/>
          </w:tcPr>
          <w:p w14:paraId="4DC1DCFD"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DBE182"/>
            <w:noWrap/>
            <w:vAlign w:val="center"/>
            <w:hideMark/>
          </w:tcPr>
          <w:p w14:paraId="2147BC31" w14:textId="389A463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FEE081"/>
            <w:noWrap/>
            <w:vAlign w:val="center"/>
            <w:hideMark/>
          </w:tcPr>
          <w:p w14:paraId="580B54F4" w14:textId="3B698DF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41" w:type="dxa"/>
            <w:tcBorders>
              <w:top w:val="nil"/>
              <w:left w:val="nil"/>
              <w:bottom w:val="nil"/>
              <w:right w:val="nil"/>
            </w:tcBorders>
            <w:shd w:val="clear" w:color="000000" w:fill="CADC81"/>
            <w:noWrap/>
            <w:vAlign w:val="center"/>
            <w:hideMark/>
          </w:tcPr>
          <w:p w14:paraId="45C6F479" w14:textId="26718E7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270" w:type="dxa"/>
            <w:tcBorders>
              <w:top w:val="nil"/>
              <w:left w:val="nil"/>
              <w:bottom w:val="nil"/>
              <w:right w:val="nil"/>
            </w:tcBorders>
            <w:shd w:val="clear" w:color="auto" w:fill="auto"/>
            <w:noWrap/>
            <w:vAlign w:val="center"/>
            <w:hideMark/>
          </w:tcPr>
          <w:p w14:paraId="7C9DAC02" w14:textId="6D72ECA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8ECB7E"/>
            <w:noWrap/>
            <w:vAlign w:val="center"/>
            <w:hideMark/>
          </w:tcPr>
          <w:p w14:paraId="47DCB1B3" w14:textId="7531FB2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DDE283"/>
            <w:noWrap/>
            <w:vAlign w:val="center"/>
            <w:hideMark/>
          </w:tcPr>
          <w:p w14:paraId="789A0C4C" w14:textId="06A8ECB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r>
      <w:tr w:rsidR="0084436E" w:rsidRPr="00096612" w14:paraId="09E02417" w14:textId="77777777" w:rsidTr="009D12FE">
        <w:trPr>
          <w:trHeight w:val="300"/>
        </w:trPr>
        <w:tc>
          <w:tcPr>
            <w:tcW w:w="2330" w:type="dxa"/>
            <w:tcBorders>
              <w:top w:val="nil"/>
              <w:left w:val="nil"/>
              <w:bottom w:val="nil"/>
              <w:right w:val="nil"/>
            </w:tcBorders>
            <w:shd w:val="clear" w:color="auto" w:fill="auto"/>
            <w:noWrap/>
            <w:vAlign w:val="bottom"/>
            <w:hideMark/>
          </w:tcPr>
          <w:p w14:paraId="6E7E6347"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ICT </w:t>
            </w:r>
          </w:p>
        </w:tc>
        <w:tc>
          <w:tcPr>
            <w:tcW w:w="988" w:type="dxa"/>
            <w:tcBorders>
              <w:top w:val="nil"/>
              <w:left w:val="nil"/>
              <w:bottom w:val="nil"/>
              <w:right w:val="nil"/>
            </w:tcBorders>
            <w:shd w:val="clear" w:color="auto" w:fill="auto"/>
            <w:noWrap/>
            <w:vAlign w:val="bottom"/>
            <w:hideMark/>
          </w:tcPr>
          <w:p w14:paraId="01B39ED2"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2016</w:t>
            </w:r>
          </w:p>
        </w:tc>
        <w:tc>
          <w:tcPr>
            <w:tcW w:w="539" w:type="dxa"/>
            <w:tcBorders>
              <w:top w:val="nil"/>
              <w:left w:val="nil"/>
              <w:bottom w:val="nil"/>
              <w:right w:val="nil"/>
            </w:tcBorders>
            <w:shd w:val="clear" w:color="000000" w:fill="FEEA83"/>
            <w:noWrap/>
            <w:vAlign w:val="center"/>
            <w:hideMark/>
          </w:tcPr>
          <w:p w14:paraId="62E093DC" w14:textId="69BC1993"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BA776"/>
            <w:noWrap/>
            <w:vAlign w:val="center"/>
            <w:hideMark/>
          </w:tcPr>
          <w:p w14:paraId="5C955A41" w14:textId="300FC5E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FCC17C"/>
            <w:noWrap/>
            <w:vAlign w:val="center"/>
            <w:hideMark/>
          </w:tcPr>
          <w:p w14:paraId="68B45FB4" w14:textId="525D8A8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39" w:type="dxa"/>
            <w:tcBorders>
              <w:top w:val="nil"/>
              <w:left w:val="nil"/>
              <w:bottom w:val="nil"/>
              <w:right w:val="nil"/>
            </w:tcBorders>
            <w:shd w:val="clear" w:color="000000" w:fill="FBAA77"/>
            <w:noWrap/>
            <w:vAlign w:val="center"/>
            <w:hideMark/>
          </w:tcPr>
          <w:p w14:paraId="6AC87267" w14:textId="7EE5CCE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FCB87A"/>
            <w:noWrap/>
            <w:vAlign w:val="center"/>
            <w:hideMark/>
          </w:tcPr>
          <w:p w14:paraId="26D9B67B" w14:textId="1AB5D26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269" w:type="dxa"/>
            <w:tcBorders>
              <w:top w:val="nil"/>
              <w:left w:val="nil"/>
              <w:bottom w:val="nil"/>
              <w:right w:val="nil"/>
            </w:tcBorders>
            <w:shd w:val="clear" w:color="auto" w:fill="auto"/>
            <w:noWrap/>
            <w:vAlign w:val="center"/>
            <w:hideMark/>
          </w:tcPr>
          <w:p w14:paraId="093A573E"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E7E483"/>
            <w:noWrap/>
            <w:vAlign w:val="center"/>
            <w:hideMark/>
          </w:tcPr>
          <w:p w14:paraId="1E318EBD" w14:textId="0710DE6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FFEB84"/>
            <w:noWrap/>
            <w:vAlign w:val="center"/>
            <w:hideMark/>
          </w:tcPr>
          <w:p w14:paraId="6E3D9863" w14:textId="497CE6F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41" w:type="dxa"/>
            <w:tcBorders>
              <w:top w:val="nil"/>
              <w:left w:val="nil"/>
              <w:bottom w:val="nil"/>
              <w:right w:val="nil"/>
            </w:tcBorders>
            <w:shd w:val="clear" w:color="000000" w:fill="FA9974"/>
            <w:noWrap/>
            <w:vAlign w:val="center"/>
            <w:hideMark/>
          </w:tcPr>
          <w:p w14:paraId="4C0C02DA" w14:textId="69538A8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270" w:type="dxa"/>
            <w:tcBorders>
              <w:top w:val="nil"/>
              <w:left w:val="nil"/>
              <w:bottom w:val="nil"/>
              <w:right w:val="nil"/>
            </w:tcBorders>
            <w:shd w:val="clear" w:color="auto" w:fill="auto"/>
            <w:noWrap/>
            <w:vAlign w:val="center"/>
            <w:hideMark/>
          </w:tcPr>
          <w:p w14:paraId="03D64CD3" w14:textId="44F6216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6DC17C"/>
            <w:noWrap/>
            <w:vAlign w:val="center"/>
            <w:hideMark/>
          </w:tcPr>
          <w:p w14:paraId="4F4DF625" w14:textId="7D57C7B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9CCF7F"/>
            <w:noWrap/>
            <w:vAlign w:val="center"/>
            <w:hideMark/>
          </w:tcPr>
          <w:p w14:paraId="7CE8CBD2" w14:textId="0C5A986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r>
      <w:tr w:rsidR="0084436E" w:rsidRPr="00096612" w14:paraId="6E30EADC" w14:textId="77777777" w:rsidTr="009D12FE">
        <w:trPr>
          <w:trHeight w:val="300"/>
        </w:trPr>
        <w:tc>
          <w:tcPr>
            <w:tcW w:w="2330" w:type="dxa"/>
            <w:tcBorders>
              <w:top w:val="nil"/>
              <w:left w:val="nil"/>
              <w:bottom w:val="nil"/>
              <w:right w:val="nil"/>
            </w:tcBorders>
            <w:shd w:val="clear" w:color="auto" w:fill="auto"/>
            <w:noWrap/>
            <w:vAlign w:val="bottom"/>
            <w:hideMark/>
          </w:tcPr>
          <w:p w14:paraId="76D52FF0"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Industry activity </w:t>
            </w:r>
          </w:p>
        </w:tc>
        <w:tc>
          <w:tcPr>
            <w:tcW w:w="988" w:type="dxa"/>
            <w:tcBorders>
              <w:top w:val="nil"/>
              <w:left w:val="nil"/>
              <w:bottom w:val="nil"/>
              <w:right w:val="nil"/>
            </w:tcBorders>
            <w:shd w:val="clear" w:color="auto" w:fill="auto"/>
            <w:noWrap/>
            <w:vAlign w:val="bottom"/>
            <w:hideMark/>
          </w:tcPr>
          <w:p w14:paraId="6B9D031F"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2016</w:t>
            </w:r>
          </w:p>
        </w:tc>
        <w:tc>
          <w:tcPr>
            <w:tcW w:w="539" w:type="dxa"/>
            <w:tcBorders>
              <w:top w:val="nil"/>
              <w:left w:val="nil"/>
              <w:bottom w:val="nil"/>
              <w:right w:val="nil"/>
            </w:tcBorders>
            <w:shd w:val="clear" w:color="000000" w:fill="B3D580"/>
            <w:noWrap/>
            <w:vAlign w:val="center"/>
            <w:hideMark/>
          </w:tcPr>
          <w:p w14:paraId="018D9CB3" w14:textId="01E301E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539" w:type="dxa"/>
            <w:tcBorders>
              <w:top w:val="nil"/>
              <w:left w:val="nil"/>
              <w:bottom w:val="nil"/>
              <w:right w:val="nil"/>
            </w:tcBorders>
            <w:shd w:val="clear" w:color="000000" w:fill="DBE182"/>
            <w:noWrap/>
            <w:vAlign w:val="center"/>
            <w:hideMark/>
          </w:tcPr>
          <w:p w14:paraId="30C129D0" w14:textId="343F2FF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92CC7E"/>
            <w:noWrap/>
            <w:vAlign w:val="center"/>
            <w:hideMark/>
          </w:tcPr>
          <w:p w14:paraId="7D6DDF89" w14:textId="0BDEC33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539" w:type="dxa"/>
            <w:tcBorders>
              <w:top w:val="nil"/>
              <w:left w:val="nil"/>
              <w:bottom w:val="nil"/>
              <w:right w:val="nil"/>
            </w:tcBorders>
            <w:shd w:val="clear" w:color="000000" w:fill="63BE7B"/>
            <w:noWrap/>
            <w:vAlign w:val="center"/>
            <w:hideMark/>
          </w:tcPr>
          <w:p w14:paraId="7B258157" w14:textId="609ADE3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1.0</w:t>
            </w:r>
          </w:p>
        </w:tc>
        <w:tc>
          <w:tcPr>
            <w:tcW w:w="539" w:type="dxa"/>
            <w:tcBorders>
              <w:top w:val="nil"/>
              <w:left w:val="nil"/>
              <w:bottom w:val="nil"/>
              <w:right w:val="nil"/>
            </w:tcBorders>
            <w:shd w:val="clear" w:color="000000" w:fill="A3D17F"/>
            <w:noWrap/>
            <w:vAlign w:val="center"/>
            <w:hideMark/>
          </w:tcPr>
          <w:p w14:paraId="68DFE4DC" w14:textId="40FD8EBC"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269" w:type="dxa"/>
            <w:tcBorders>
              <w:top w:val="nil"/>
              <w:left w:val="nil"/>
              <w:bottom w:val="nil"/>
              <w:right w:val="nil"/>
            </w:tcBorders>
            <w:shd w:val="clear" w:color="auto" w:fill="auto"/>
            <w:noWrap/>
            <w:vAlign w:val="center"/>
            <w:hideMark/>
          </w:tcPr>
          <w:p w14:paraId="705BA84E"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C5DB81"/>
            <w:noWrap/>
            <w:vAlign w:val="center"/>
            <w:hideMark/>
          </w:tcPr>
          <w:p w14:paraId="0754B71E" w14:textId="3AE47B1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539" w:type="dxa"/>
            <w:tcBorders>
              <w:top w:val="nil"/>
              <w:left w:val="nil"/>
              <w:bottom w:val="nil"/>
              <w:right w:val="nil"/>
            </w:tcBorders>
            <w:shd w:val="clear" w:color="000000" w:fill="AED480"/>
            <w:noWrap/>
            <w:vAlign w:val="center"/>
            <w:hideMark/>
          </w:tcPr>
          <w:p w14:paraId="5801BA43" w14:textId="11BCC25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541" w:type="dxa"/>
            <w:tcBorders>
              <w:top w:val="nil"/>
              <w:left w:val="nil"/>
              <w:bottom w:val="nil"/>
              <w:right w:val="nil"/>
            </w:tcBorders>
            <w:shd w:val="clear" w:color="000000" w:fill="F2E884"/>
            <w:noWrap/>
            <w:vAlign w:val="center"/>
            <w:hideMark/>
          </w:tcPr>
          <w:p w14:paraId="5553774D" w14:textId="27C3D27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270" w:type="dxa"/>
            <w:tcBorders>
              <w:top w:val="nil"/>
              <w:left w:val="nil"/>
              <w:bottom w:val="nil"/>
              <w:right w:val="nil"/>
            </w:tcBorders>
            <w:shd w:val="clear" w:color="auto" w:fill="auto"/>
            <w:noWrap/>
            <w:vAlign w:val="center"/>
            <w:hideMark/>
          </w:tcPr>
          <w:p w14:paraId="7E14B270" w14:textId="1E6E3936"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90CB7E"/>
            <w:noWrap/>
            <w:vAlign w:val="center"/>
            <w:hideMark/>
          </w:tcPr>
          <w:p w14:paraId="7B0E8159" w14:textId="54EF786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0.9</w:t>
            </w:r>
          </w:p>
        </w:tc>
        <w:tc>
          <w:tcPr>
            <w:tcW w:w="659" w:type="dxa"/>
            <w:gridSpan w:val="2"/>
            <w:tcBorders>
              <w:top w:val="nil"/>
              <w:left w:val="nil"/>
              <w:bottom w:val="nil"/>
              <w:right w:val="nil"/>
            </w:tcBorders>
            <w:shd w:val="clear" w:color="000000" w:fill="B4D680"/>
            <w:noWrap/>
            <w:vAlign w:val="center"/>
            <w:hideMark/>
          </w:tcPr>
          <w:p w14:paraId="76852D89" w14:textId="3C63084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r>
      <w:tr w:rsidR="0084436E" w:rsidRPr="00096612" w14:paraId="510F8467" w14:textId="77777777" w:rsidTr="009D12FE">
        <w:trPr>
          <w:trHeight w:val="300"/>
        </w:trPr>
        <w:tc>
          <w:tcPr>
            <w:tcW w:w="2330" w:type="dxa"/>
            <w:tcBorders>
              <w:top w:val="nil"/>
              <w:left w:val="nil"/>
              <w:bottom w:val="nil"/>
              <w:right w:val="nil"/>
            </w:tcBorders>
            <w:shd w:val="clear" w:color="auto" w:fill="auto"/>
            <w:noWrap/>
            <w:vAlign w:val="bottom"/>
            <w:hideMark/>
          </w:tcPr>
          <w:p w14:paraId="65AEF121"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Skills </w:t>
            </w:r>
          </w:p>
        </w:tc>
        <w:tc>
          <w:tcPr>
            <w:tcW w:w="988" w:type="dxa"/>
            <w:tcBorders>
              <w:top w:val="nil"/>
              <w:left w:val="nil"/>
              <w:bottom w:val="nil"/>
              <w:right w:val="nil"/>
            </w:tcBorders>
            <w:shd w:val="clear" w:color="auto" w:fill="auto"/>
            <w:noWrap/>
            <w:vAlign w:val="bottom"/>
            <w:hideMark/>
          </w:tcPr>
          <w:p w14:paraId="03657EE5"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2016</w:t>
            </w:r>
          </w:p>
        </w:tc>
        <w:tc>
          <w:tcPr>
            <w:tcW w:w="539" w:type="dxa"/>
            <w:tcBorders>
              <w:top w:val="nil"/>
              <w:left w:val="nil"/>
              <w:bottom w:val="nil"/>
              <w:right w:val="nil"/>
            </w:tcBorders>
            <w:shd w:val="clear" w:color="000000" w:fill="F98A71"/>
            <w:noWrap/>
            <w:vAlign w:val="center"/>
            <w:hideMark/>
          </w:tcPr>
          <w:p w14:paraId="67C1CCFD" w14:textId="4AAB963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F86C6B"/>
            <w:noWrap/>
            <w:vAlign w:val="center"/>
            <w:hideMark/>
          </w:tcPr>
          <w:p w14:paraId="10E1EFC9" w14:textId="55AEF81E"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539" w:type="dxa"/>
            <w:tcBorders>
              <w:top w:val="nil"/>
              <w:left w:val="nil"/>
              <w:bottom w:val="nil"/>
              <w:right w:val="nil"/>
            </w:tcBorders>
            <w:shd w:val="clear" w:color="000000" w:fill="FBB078"/>
            <w:noWrap/>
            <w:vAlign w:val="center"/>
            <w:hideMark/>
          </w:tcPr>
          <w:p w14:paraId="46B8BEBF" w14:textId="026E6CC3"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FA9E75"/>
            <w:noWrap/>
            <w:vAlign w:val="center"/>
            <w:hideMark/>
          </w:tcPr>
          <w:p w14:paraId="387A7F3A" w14:textId="3576F55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nil"/>
              <w:right w:val="nil"/>
            </w:tcBorders>
            <w:shd w:val="clear" w:color="000000" w:fill="F86B6B"/>
            <w:noWrap/>
            <w:vAlign w:val="center"/>
            <w:hideMark/>
          </w:tcPr>
          <w:p w14:paraId="4E6FA5BE" w14:textId="645091A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269" w:type="dxa"/>
            <w:tcBorders>
              <w:top w:val="nil"/>
              <w:left w:val="nil"/>
              <w:bottom w:val="nil"/>
              <w:right w:val="nil"/>
            </w:tcBorders>
            <w:shd w:val="clear" w:color="auto" w:fill="auto"/>
            <w:noWrap/>
            <w:vAlign w:val="center"/>
            <w:hideMark/>
          </w:tcPr>
          <w:p w14:paraId="2C36436A" w14:textId="77777777"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nil"/>
              <w:right w:val="nil"/>
            </w:tcBorders>
            <w:shd w:val="clear" w:color="000000" w:fill="FEDD81"/>
            <w:noWrap/>
            <w:vAlign w:val="center"/>
            <w:hideMark/>
          </w:tcPr>
          <w:p w14:paraId="38C507BC" w14:textId="79C9A0A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c>
          <w:tcPr>
            <w:tcW w:w="539" w:type="dxa"/>
            <w:tcBorders>
              <w:top w:val="nil"/>
              <w:left w:val="nil"/>
              <w:bottom w:val="nil"/>
              <w:right w:val="nil"/>
            </w:tcBorders>
            <w:shd w:val="clear" w:color="000000" w:fill="FA9C74"/>
            <w:noWrap/>
            <w:vAlign w:val="center"/>
            <w:hideMark/>
          </w:tcPr>
          <w:p w14:paraId="79C6830C" w14:textId="4EAE55C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41" w:type="dxa"/>
            <w:tcBorders>
              <w:top w:val="nil"/>
              <w:left w:val="nil"/>
              <w:bottom w:val="nil"/>
              <w:right w:val="nil"/>
            </w:tcBorders>
            <w:shd w:val="clear" w:color="000000" w:fill="FDC77D"/>
            <w:noWrap/>
            <w:vAlign w:val="center"/>
            <w:hideMark/>
          </w:tcPr>
          <w:p w14:paraId="4F9E55B3" w14:textId="4AF7CE7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270" w:type="dxa"/>
            <w:tcBorders>
              <w:top w:val="nil"/>
              <w:left w:val="nil"/>
              <w:bottom w:val="nil"/>
              <w:right w:val="nil"/>
            </w:tcBorders>
            <w:shd w:val="clear" w:color="auto" w:fill="auto"/>
            <w:noWrap/>
            <w:vAlign w:val="center"/>
            <w:hideMark/>
          </w:tcPr>
          <w:p w14:paraId="084A9510" w14:textId="1FB8A5D1"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nil"/>
              <w:right w:val="nil"/>
            </w:tcBorders>
            <w:shd w:val="clear" w:color="000000" w:fill="E0E283"/>
            <w:noWrap/>
            <w:vAlign w:val="center"/>
            <w:hideMark/>
          </w:tcPr>
          <w:p w14:paraId="304542E8" w14:textId="5894143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0.7</w:t>
            </w:r>
          </w:p>
        </w:tc>
        <w:tc>
          <w:tcPr>
            <w:tcW w:w="659" w:type="dxa"/>
            <w:gridSpan w:val="2"/>
            <w:tcBorders>
              <w:top w:val="nil"/>
              <w:left w:val="nil"/>
              <w:bottom w:val="nil"/>
              <w:right w:val="nil"/>
            </w:tcBorders>
            <w:shd w:val="clear" w:color="000000" w:fill="E9E583"/>
            <w:noWrap/>
            <w:vAlign w:val="center"/>
            <w:hideMark/>
          </w:tcPr>
          <w:p w14:paraId="6C248BAE" w14:textId="6F52D4A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0.6</w:t>
            </w:r>
          </w:p>
        </w:tc>
      </w:tr>
      <w:tr w:rsidR="0084436E" w:rsidRPr="00096612" w14:paraId="2FEA7841" w14:textId="77777777" w:rsidTr="009D12FE">
        <w:trPr>
          <w:trHeight w:val="300"/>
        </w:trPr>
        <w:tc>
          <w:tcPr>
            <w:tcW w:w="2330" w:type="dxa"/>
            <w:tcBorders>
              <w:top w:val="nil"/>
              <w:left w:val="nil"/>
              <w:bottom w:val="single" w:sz="4" w:space="0" w:color="auto"/>
              <w:right w:val="nil"/>
            </w:tcBorders>
            <w:shd w:val="clear" w:color="auto" w:fill="auto"/>
            <w:noWrap/>
            <w:vAlign w:val="bottom"/>
            <w:hideMark/>
          </w:tcPr>
          <w:p w14:paraId="5B57365D" w14:textId="77777777" w:rsidR="0084436E" w:rsidRPr="00E40757" w:rsidRDefault="0084436E" w:rsidP="00096612">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 xml:space="preserve">Research and Development </w:t>
            </w:r>
          </w:p>
        </w:tc>
        <w:tc>
          <w:tcPr>
            <w:tcW w:w="988" w:type="dxa"/>
            <w:tcBorders>
              <w:top w:val="nil"/>
              <w:left w:val="nil"/>
              <w:bottom w:val="single" w:sz="4" w:space="0" w:color="auto"/>
              <w:right w:val="nil"/>
            </w:tcBorders>
            <w:shd w:val="clear" w:color="auto" w:fill="auto"/>
            <w:noWrap/>
            <w:vAlign w:val="bottom"/>
            <w:hideMark/>
          </w:tcPr>
          <w:p w14:paraId="3BCD6A8C" w14:textId="77777777" w:rsidR="0084436E" w:rsidRPr="00E40757" w:rsidRDefault="0084436E" w:rsidP="00096612">
            <w:pPr>
              <w:spacing w:after="0" w:line="240" w:lineRule="auto"/>
              <w:jc w:val="right"/>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2016</w:t>
            </w:r>
          </w:p>
        </w:tc>
        <w:tc>
          <w:tcPr>
            <w:tcW w:w="539" w:type="dxa"/>
            <w:tcBorders>
              <w:top w:val="nil"/>
              <w:left w:val="nil"/>
              <w:bottom w:val="single" w:sz="4" w:space="0" w:color="auto"/>
              <w:right w:val="nil"/>
            </w:tcBorders>
            <w:shd w:val="clear" w:color="000000" w:fill="F98470"/>
            <w:noWrap/>
            <w:vAlign w:val="center"/>
            <w:hideMark/>
          </w:tcPr>
          <w:p w14:paraId="527D51C1" w14:textId="45BCAA93"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539" w:type="dxa"/>
            <w:tcBorders>
              <w:top w:val="nil"/>
              <w:left w:val="nil"/>
              <w:bottom w:val="single" w:sz="4" w:space="0" w:color="auto"/>
              <w:right w:val="nil"/>
            </w:tcBorders>
            <w:shd w:val="clear" w:color="000000" w:fill="F8696B"/>
            <w:noWrap/>
            <w:vAlign w:val="center"/>
            <w:hideMark/>
          </w:tcPr>
          <w:p w14:paraId="2CB62B3C" w14:textId="077A544A"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539" w:type="dxa"/>
            <w:tcBorders>
              <w:top w:val="nil"/>
              <w:left w:val="nil"/>
              <w:bottom w:val="single" w:sz="4" w:space="0" w:color="auto"/>
              <w:right w:val="nil"/>
            </w:tcBorders>
            <w:shd w:val="clear" w:color="000000" w:fill="FCB479"/>
            <w:noWrap/>
            <w:vAlign w:val="center"/>
            <w:hideMark/>
          </w:tcPr>
          <w:p w14:paraId="63A579A2" w14:textId="579C9C24"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39" w:type="dxa"/>
            <w:tcBorders>
              <w:top w:val="nil"/>
              <w:left w:val="nil"/>
              <w:bottom w:val="single" w:sz="4" w:space="0" w:color="auto"/>
              <w:right w:val="nil"/>
            </w:tcBorders>
            <w:shd w:val="clear" w:color="000000" w:fill="F9816F"/>
            <w:noWrap/>
            <w:vAlign w:val="center"/>
            <w:hideMark/>
          </w:tcPr>
          <w:p w14:paraId="5E3817B6" w14:textId="7685643E"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539" w:type="dxa"/>
            <w:tcBorders>
              <w:top w:val="nil"/>
              <w:left w:val="nil"/>
              <w:bottom w:val="single" w:sz="4" w:space="0" w:color="auto"/>
              <w:right w:val="nil"/>
            </w:tcBorders>
            <w:shd w:val="clear" w:color="000000" w:fill="F8796E"/>
            <w:noWrap/>
            <w:vAlign w:val="center"/>
            <w:hideMark/>
          </w:tcPr>
          <w:p w14:paraId="28F2957C" w14:textId="656E671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0.3</w:t>
            </w:r>
          </w:p>
        </w:tc>
        <w:tc>
          <w:tcPr>
            <w:tcW w:w="269" w:type="dxa"/>
            <w:tcBorders>
              <w:top w:val="nil"/>
              <w:left w:val="nil"/>
              <w:bottom w:val="single" w:sz="4" w:space="0" w:color="auto"/>
              <w:right w:val="nil"/>
            </w:tcBorders>
            <w:shd w:val="clear" w:color="auto" w:fill="auto"/>
            <w:noWrap/>
            <w:vAlign w:val="center"/>
            <w:hideMark/>
          </w:tcPr>
          <w:p w14:paraId="7D5D6CE4" w14:textId="5775E83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539" w:type="dxa"/>
            <w:tcBorders>
              <w:top w:val="nil"/>
              <w:left w:val="nil"/>
              <w:bottom w:val="single" w:sz="4" w:space="0" w:color="auto"/>
              <w:right w:val="nil"/>
            </w:tcBorders>
            <w:shd w:val="clear" w:color="000000" w:fill="F98D72"/>
            <w:noWrap/>
            <w:vAlign w:val="center"/>
            <w:hideMark/>
          </w:tcPr>
          <w:p w14:paraId="04276589" w14:textId="49B1D1A0"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0.4</w:t>
            </w:r>
          </w:p>
        </w:tc>
        <w:tc>
          <w:tcPr>
            <w:tcW w:w="539" w:type="dxa"/>
            <w:tcBorders>
              <w:top w:val="nil"/>
              <w:left w:val="nil"/>
              <w:bottom w:val="single" w:sz="4" w:space="0" w:color="auto"/>
              <w:right w:val="nil"/>
            </w:tcBorders>
            <w:shd w:val="clear" w:color="000000" w:fill="FDCE7E"/>
            <w:noWrap/>
            <w:vAlign w:val="center"/>
            <w:hideMark/>
          </w:tcPr>
          <w:p w14:paraId="766EF23D" w14:textId="024A2FD8"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541" w:type="dxa"/>
            <w:tcBorders>
              <w:top w:val="nil"/>
              <w:left w:val="nil"/>
              <w:bottom w:val="single" w:sz="4" w:space="0" w:color="auto"/>
              <w:right w:val="nil"/>
            </w:tcBorders>
            <w:shd w:val="clear" w:color="000000" w:fill="FCBF7B"/>
            <w:noWrap/>
            <w:vAlign w:val="center"/>
            <w:hideMark/>
          </w:tcPr>
          <w:p w14:paraId="194FF437" w14:textId="4F277125"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c>
          <w:tcPr>
            <w:tcW w:w="270" w:type="dxa"/>
            <w:tcBorders>
              <w:top w:val="nil"/>
              <w:left w:val="nil"/>
              <w:bottom w:val="single" w:sz="4" w:space="0" w:color="auto"/>
              <w:right w:val="nil"/>
            </w:tcBorders>
            <w:shd w:val="clear" w:color="auto" w:fill="auto"/>
            <w:noWrap/>
            <w:vAlign w:val="center"/>
            <w:hideMark/>
          </w:tcPr>
          <w:p w14:paraId="2B58A4BE" w14:textId="372C7D39"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p>
        </w:tc>
        <w:tc>
          <w:tcPr>
            <w:tcW w:w="638" w:type="dxa"/>
            <w:tcBorders>
              <w:top w:val="nil"/>
              <w:left w:val="nil"/>
              <w:bottom w:val="single" w:sz="4" w:space="0" w:color="auto"/>
              <w:right w:val="nil"/>
            </w:tcBorders>
            <w:shd w:val="clear" w:color="000000" w:fill="9FD07F"/>
            <w:noWrap/>
            <w:vAlign w:val="center"/>
            <w:hideMark/>
          </w:tcPr>
          <w:p w14:paraId="02B4E0CC" w14:textId="07F9D372"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0.8</w:t>
            </w:r>
          </w:p>
        </w:tc>
        <w:tc>
          <w:tcPr>
            <w:tcW w:w="659" w:type="dxa"/>
            <w:gridSpan w:val="2"/>
            <w:tcBorders>
              <w:top w:val="nil"/>
              <w:left w:val="nil"/>
              <w:bottom w:val="single" w:sz="4" w:space="0" w:color="auto"/>
              <w:right w:val="nil"/>
            </w:tcBorders>
            <w:shd w:val="clear" w:color="000000" w:fill="FDCE7E"/>
            <w:noWrap/>
            <w:vAlign w:val="center"/>
            <w:hideMark/>
          </w:tcPr>
          <w:p w14:paraId="7020A86E" w14:textId="0253675B" w:rsidR="0084436E" w:rsidRPr="00E40757" w:rsidRDefault="0084436E" w:rsidP="00F35E4B">
            <w:pPr>
              <w:spacing w:after="0" w:line="240" w:lineRule="auto"/>
              <w:jc w:val="center"/>
              <w:rPr>
                <w:rFonts w:ascii="Trebuchet MS" w:eastAsia="Times New Roman" w:hAnsi="Trebuchet MS" w:cs="Calibri Light"/>
                <w:color w:val="000000"/>
                <w:sz w:val="16"/>
                <w:szCs w:val="16"/>
                <w:lang w:bidi="th-TH"/>
              </w:rPr>
            </w:pPr>
            <w:r w:rsidRPr="00096612">
              <w:rPr>
                <w:rFonts w:ascii="Trebuchet MS" w:hAnsi="Trebuchet MS"/>
                <w:sz w:val="16"/>
                <w:szCs w:val="16"/>
              </w:rPr>
              <w:t>0.5</w:t>
            </w:r>
          </w:p>
        </w:tc>
      </w:tr>
      <w:tr w:rsidR="00177AF9" w:rsidRPr="00E40757" w14:paraId="11C6413A" w14:textId="77777777" w:rsidTr="009D12FE">
        <w:trPr>
          <w:gridAfter w:val="1"/>
          <w:wAfter w:w="39" w:type="dxa"/>
          <w:trHeight w:val="240"/>
        </w:trPr>
        <w:tc>
          <w:tcPr>
            <w:tcW w:w="9429" w:type="dxa"/>
            <w:gridSpan w:val="14"/>
            <w:shd w:val="clear" w:color="auto" w:fill="auto"/>
            <w:noWrap/>
            <w:vAlign w:val="bottom"/>
          </w:tcPr>
          <w:p w14:paraId="7AF12FDE" w14:textId="68EB701F" w:rsidR="00177AF9" w:rsidRPr="00E40757" w:rsidRDefault="00425607">
            <w:pPr>
              <w:spacing w:after="0" w:line="240" w:lineRule="auto"/>
              <w:rPr>
                <w:rFonts w:ascii="Trebuchet MS" w:eastAsia="Times New Roman" w:hAnsi="Trebuchet MS" w:cs="Calibri Light"/>
                <w:color w:val="000000"/>
                <w:sz w:val="16"/>
                <w:szCs w:val="16"/>
                <w:lang w:bidi="th-TH"/>
              </w:rPr>
            </w:pPr>
            <w:r w:rsidRPr="00425607">
              <w:rPr>
                <w:rFonts w:ascii="Trebuchet MS" w:eastAsia="Times New Roman" w:hAnsi="Trebuchet MS" w:cs="Calibri Light"/>
                <w:color w:val="000000"/>
                <w:sz w:val="16"/>
                <w:szCs w:val="16"/>
                <w:lang w:bidi="th-TH"/>
              </w:rPr>
              <w:t xml:space="preserve">Source: UNCTAD calculations, based on data retrieved from ITU, M-Lab, UNDP, ILO, Scopus, </w:t>
            </w:r>
            <w:proofErr w:type="spellStart"/>
            <w:r w:rsidRPr="00425607">
              <w:rPr>
                <w:rFonts w:ascii="Trebuchet MS" w:eastAsia="Times New Roman" w:hAnsi="Trebuchet MS" w:cs="Calibri Light"/>
                <w:color w:val="000000"/>
                <w:sz w:val="16"/>
                <w:szCs w:val="16"/>
                <w:lang w:bidi="th-TH"/>
              </w:rPr>
              <w:t>Patseer</w:t>
            </w:r>
            <w:proofErr w:type="spellEnd"/>
            <w:r w:rsidRPr="00425607">
              <w:rPr>
                <w:rFonts w:ascii="Trebuchet MS" w:eastAsia="Times New Roman" w:hAnsi="Trebuchet MS" w:cs="Calibri Light"/>
                <w:color w:val="000000"/>
                <w:sz w:val="16"/>
                <w:szCs w:val="16"/>
                <w:lang w:bidi="th-TH"/>
              </w:rPr>
              <w:t>, World Bank, and UNCTAD.</w:t>
            </w:r>
          </w:p>
        </w:tc>
      </w:tr>
      <w:tr w:rsidR="00A745B7" w:rsidRPr="00E40757" w14:paraId="5D92D418" w14:textId="77777777" w:rsidTr="009D12FE">
        <w:trPr>
          <w:gridAfter w:val="1"/>
          <w:wAfter w:w="39" w:type="dxa"/>
          <w:trHeight w:val="240"/>
        </w:trPr>
        <w:tc>
          <w:tcPr>
            <w:tcW w:w="9429" w:type="dxa"/>
            <w:gridSpan w:val="14"/>
            <w:shd w:val="clear" w:color="auto" w:fill="auto"/>
            <w:noWrap/>
            <w:vAlign w:val="bottom"/>
            <w:hideMark/>
          </w:tcPr>
          <w:p w14:paraId="591D8C0E" w14:textId="672F7DFA"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000000"/>
                <w:sz w:val="16"/>
                <w:szCs w:val="16"/>
                <w:lang w:bidi="th-TH"/>
              </w:rPr>
              <w:t xml:space="preserve">Note: 1=perfect score. </w:t>
            </w:r>
          </w:p>
        </w:tc>
      </w:tr>
      <w:tr w:rsidR="00A745B7" w:rsidRPr="00E40757" w14:paraId="0F4901F1" w14:textId="77777777" w:rsidTr="009D12FE">
        <w:trPr>
          <w:gridAfter w:val="1"/>
          <w:wAfter w:w="39" w:type="dxa"/>
          <w:trHeight w:val="240"/>
        </w:trPr>
        <w:tc>
          <w:tcPr>
            <w:tcW w:w="9429" w:type="dxa"/>
            <w:gridSpan w:val="14"/>
            <w:shd w:val="clear" w:color="auto" w:fill="auto"/>
            <w:noWrap/>
            <w:vAlign w:val="bottom"/>
            <w:hideMark/>
          </w:tcPr>
          <w:p w14:paraId="23E47AD5" w14:textId="1FDF9D16"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Index includes technological capacities related to physical investment, human capital and technological effort, and covers national capacities to use, adopt and adapt these technologies:</w:t>
            </w:r>
          </w:p>
        </w:tc>
      </w:tr>
      <w:tr w:rsidR="00A745B7" w:rsidRPr="00E40757" w14:paraId="28A49F3A" w14:textId="77777777" w:rsidTr="009D12FE">
        <w:trPr>
          <w:gridAfter w:val="1"/>
          <w:wAfter w:w="39" w:type="dxa"/>
          <w:trHeight w:val="240"/>
        </w:trPr>
        <w:tc>
          <w:tcPr>
            <w:tcW w:w="9429" w:type="dxa"/>
            <w:gridSpan w:val="14"/>
            <w:shd w:val="clear" w:color="auto" w:fill="auto"/>
            <w:noWrap/>
            <w:vAlign w:val="bottom"/>
            <w:hideMark/>
          </w:tcPr>
          <w:p w14:paraId="228A2470" w14:textId="427052FF"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Use – This requires basic capacities, passive skills, and effort along with infrastructure, and some technological knowledge. </w:t>
            </w:r>
          </w:p>
        </w:tc>
      </w:tr>
      <w:tr w:rsidR="00A745B7" w:rsidRPr="00E40757" w14:paraId="0EF334BF" w14:textId="77777777" w:rsidTr="009D12FE">
        <w:trPr>
          <w:gridAfter w:val="1"/>
          <w:wAfter w:w="39" w:type="dxa"/>
          <w:trHeight w:val="240"/>
        </w:trPr>
        <w:tc>
          <w:tcPr>
            <w:tcW w:w="9429" w:type="dxa"/>
            <w:gridSpan w:val="14"/>
            <w:shd w:val="clear" w:color="auto" w:fill="auto"/>
            <w:noWrap/>
            <w:vAlign w:val="bottom"/>
            <w:hideMark/>
          </w:tcPr>
          <w:p w14:paraId="2CB74C34" w14:textId="5029568C"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This might involve, for example, following Artificial Intelligence (AI)-driven recommendation from an e-commerce website or using a chatbot.</w:t>
            </w:r>
          </w:p>
        </w:tc>
      </w:tr>
      <w:tr w:rsidR="00A745B7" w:rsidRPr="00E40757" w14:paraId="7E5B31CA" w14:textId="77777777" w:rsidTr="009D12FE">
        <w:trPr>
          <w:gridAfter w:val="1"/>
          <w:wAfter w:w="39" w:type="dxa"/>
          <w:trHeight w:val="240"/>
        </w:trPr>
        <w:tc>
          <w:tcPr>
            <w:tcW w:w="9429" w:type="dxa"/>
            <w:gridSpan w:val="14"/>
            <w:shd w:val="clear" w:color="auto" w:fill="auto"/>
            <w:noWrap/>
            <w:vAlign w:val="bottom"/>
            <w:hideMark/>
          </w:tcPr>
          <w:p w14:paraId="12486519" w14:textId="79ACE998"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Adopt – Active use for one’s own purposes requires more advanced capability levels. This could mean using AI to produce recommendations or run a chatbot for a business website.</w:t>
            </w:r>
          </w:p>
        </w:tc>
      </w:tr>
      <w:tr w:rsidR="00A745B7" w:rsidRPr="00E40757" w14:paraId="3064A65D" w14:textId="77777777" w:rsidTr="009D12FE">
        <w:trPr>
          <w:gridAfter w:val="1"/>
          <w:wAfter w:w="39" w:type="dxa"/>
          <w:trHeight w:val="240"/>
        </w:trPr>
        <w:tc>
          <w:tcPr>
            <w:tcW w:w="9429" w:type="dxa"/>
            <w:gridSpan w:val="14"/>
            <w:shd w:val="clear" w:color="auto" w:fill="auto"/>
            <w:noWrap/>
            <w:vAlign w:val="bottom"/>
            <w:hideMark/>
          </w:tcPr>
          <w:p w14:paraId="32DF0236" w14:textId="5D65CA29"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lastRenderedPageBreak/>
              <w:t>Adapt – Modifying the technologies requires further advanced capabilities – such as for tailoring AI-driven recommendations or localizing the features of a chatbot.</w:t>
            </w:r>
          </w:p>
        </w:tc>
      </w:tr>
      <w:tr w:rsidR="00A745B7" w:rsidRPr="00E40757" w14:paraId="1BD4D6B0" w14:textId="77777777" w:rsidTr="009D12FE">
        <w:trPr>
          <w:gridAfter w:val="1"/>
          <w:wAfter w:w="39" w:type="dxa"/>
          <w:trHeight w:val="240"/>
        </w:trPr>
        <w:tc>
          <w:tcPr>
            <w:tcW w:w="9429" w:type="dxa"/>
            <w:gridSpan w:val="14"/>
            <w:shd w:val="clear" w:color="auto" w:fill="auto"/>
            <w:noWrap/>
            <w:vAlign w:val="bottom"/>
            <w:hideMark/>
          </w:tcPr>
          <w:p w14:paraId="01E72721" w14:textId="0589D75C"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As a result of a review of the literature, UNCTAD’s analytical and technical cooperation work, consultation with experts within and outside UNCTAD, as well as taking into consideration data availability, </w:t>
            </w:r>
          </w:p>
        </w:tc>
      </w:tr>
      <w:tr w:rsidR="00A745B7" w:rsidRPr="00E40757" w14:paraId="400636A8" w14:textId="77777777" w:rsidTr="009D12FE">
        <w:trPr>
          <w:gridAfter w:val="1"/>
          <w:wAfter w:w="39" w:type="dxa"/>
          <w:trHeight w:val="240"/>
        </w:trPr>
        <w:tc>
          <w:tcPr>
            <w:tcW w:w="9429" w:type="dxa"/>
            <w:gridSpan w:val="14"/>
            <w:shd w:val="clear" w:color="auto" w:fill="auto"/>
            <w:noWrap/>
            <w:vAlign w:val="bottom"/>
            <w:hideMark/>
          </w:tcPr>
          <w:p w14:paraId="4FE930E9" w14:textId="12396E52"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five building blocks were selected for the index to measure the capacity to use, adopt and adapt frontier technologies: ICT deployment, skills, R&amp;D activity, industry activity and access to finance.</w:t>
            </w:r>
          </w:p>
        </w:tc>
      </w:tr>
      <w:tr w:rsidR="0084436E" w:rsidRPr="00E40757" w14:paraId="41F14D10" w14:textId="77777777" w:rsidTr="009D12FE">
        <w:trPr>
          <w:gridAfter w:val="1"/>
          <w:wAfter w:w="39" w:type="dxa"/>
          <w:trHeight w:val="240"/>
        </w:trPr>
        <w:tc>
          <w:tcPr>
            <w:tcW w:w="9429" w:type="dxa"/>
            <w:gridSpan w:val="14"/>
            <w:shd w:val="clear" w:color="auto" w:fill="auto"/>
            <w:noWrap/>
            <w:vAlign w:val="bottom"/>
            <w:hideMark/>
          </w:tcPr>
          <w:p w14:paraId="496BA6F8" w14:textId="77777777" w:rsidR="0084436E" w:rsidRPr="00E40757" w:rsidRDefault="0084436E">
            <w:pPr>
              <w:spacing w:after="0" w:line="240" w:lineRule="auto"/>
              <w:rPr>
                <w:rFonts w:ascii="Trebuchet MS" w:eastAsia="Times New Roman" w:hAnsi="Trebuchet MS" w:cs="Calibri Light"/>
                <w:color w:val="333333"/>
                <w:sz w:val="16"/>
                <w:szCs w:val="16"/>
                <w:lang w:bidi="th-TH"/>
              </w:rPr>
            </w:pPr>
            <w:r w:rsidRPr="00E40757">
              <w:rPr>
                <w:rFonts w:ascii="Trebuchet MS" w:eastAsia="Times New Roman" w:hAnsi="Trebuchet MS" w:cs="Calibri Light"/>
                <w:color w:val="333333"/>
                <w:sz w:val="16"/>
                <w:szCs w:val="16"/>
                <w:lang w:bidi="th-TH"/>
              </w:rPr>
              <w:t xml:space="preserve">1.    ICT deployment – This is the level of ICT infrastructure. Using, adopting and adapting frontier technologies requires sufficient ICT infrastructure, especially since AI, Internet of Things, big data and blockchain are internet-based technologies. </w:t>
            </w:r>
          </w:p>
        </w:tc>
      </w:tr>
      <w:tr w:rsidR="00A745B7" w:rsidRPr="00E40757" w14:paraId="419BA3AD" w14:textId="77777777" w:rsidTr="009D12FE">
        <w:trPr>
          <w:gridAfter w:val="1"/>
          <w:wAfter w:w="39" w:type="dxa"/>
          <w:trHeight w:val="240"/>
        </w:trPr>
        <w:tc>
          <w:tcPr>
            <w:tcW w:w="9429" w:type="dxa"/>
            <w:gridSpan w:val="14"/>
            <w:shd w:val="clear" w:color="auto" w:fill="auto"/>
            <w:noWrap/>
            <w:vAlign w:val="bottom"/>
            <w:hideMark/>
          </w:tcPr>
          <w:p w14:paraId="2FB804C4" w14:textId="309EE1A7"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Two aspects of ICT infrastructure need to be considered: the prevalence to ensure that everyone has access and that no one is left behind; </w:t>
            </w:r>
          </w:p>
        </w:tc>
      </w:tr>
      <w:tr w:rsidR="0084436E" w:rsidRPr="00E40757" w14:paraId="41A3D52E" w14:textId="77777777" w:rsidTr="009D12FE">
        <w:trPr>
          <w:gridAfter w:val="1"/>
          <w:wAfter w:w="39" w:type="dxa"/>
          <w:trHeight w:val="240"/>
        </w:trPr>
        <w:tc>
          <w:tcPr>
            <w:tcW w:w="9429" w:type="dxa"/>
            <w:gridSpan w:val="14"/>
            <w:shd w:val="clear" w:color="auto" w:fill="auto"/>
            <w:noWrap/>
            <w:vAlign w:val="bottom"/>
            <w:hideMark/>
          </w:tcPr>
          <w:p w14:paraId="0AE300D6" w14:textId="77777777" w:rsidR="0084436E" w:rsidRPr="00E40757" w:rsidRDefault="0084436E">
            <w:pPr>
              <w:spacing w:after="0" w:line="240" w:lineRule="auto"/>
              <w:rPr>
                <w:rFonts w:ascii="Trebuchet MS" w:eastAsia="Times New Roman" w:hAnsi="Trebuchet MS" w:cs="Calibri Light"/>
                <w:color w:val="333333"/>
                <w:sz w:val="16"/>
                <w:szCs w:val="16"/>
                <w:lang w:bidi="th-TH"/>
              </w:rPr>
            </w:pPr>
            <w:r w:rsidRPr="00E40757">
              <w:rPr>
                <w:rFonts w:ascii="Trebuchet MS" w:eastAsia="Times New Roman" w:hAnsi="Trebuchet MS" w:cs="Calibri Light"/>
                <w:color w:val="333333"/>
                <w:sz w:val="16"/>
                <w:szCs w:val="16"/>
                <w:lang w:bidi="th-TH"/>
              </w:rPr>
              <w:t>and the quality of infrastructure that allows for more advanced and efficient use. For these purposes, internet users as a percentage of the population captures the prevalence of internet infrastructure, while the mean download speed measures the quality of internet connection.</w:t>
            </w:r>
          </w:p>
        </w:tc>
      </w:tr>
      <w:tr w:rsidR="00A745B7" w:rsidRPr="00E40757" w14:paraId="1CBFFC07" w14:textId="77777777" w:rsidTr="009D12FE">
        <w:trPr>
          <w:gridAfter w:val="1"/>
          <w:wAfter w:w="39" w:type="dxa"/>
          <w:trHeight w:val="240"/>
        </w:trPr>
        <w:tc>
          <w:tcPr>
            <w:tcW w:w="9429" w:type="dxa"/>
            <w:gridSpan w:val="14"/>
            <w:shd w:val="clear" w:color="auto" w:fill="auto"/>
            <w:noWrap/>
            <w:vAlign w:val="bottom"/>
            <w:hideMark/>
          </w:tcPr>
          <w:p w14:paraId="7BFC651D" w14:textId="287D7AB7"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2.    Skills – Using, adopting and adapting frontier technologies needs people equipped with relevant skills. </w:t>
            </w:r>
          </w:p>
        </w:tc>
      </w:tr>
      <w:tr w:rsidR="00A745B7" w:rsidRPr="00E40757" w14:paraId="4A1FE044" w14:textId="77777777" w:rsidTr="009D12FE">
        <w:trPr>
          <w:gridAfter w:val="1"/>
          <w:wAfter w:w="39" w:type="dxa"/>
          <w:trHeight w:val="240"/>
        </w:trPr>
        <w:tc>
          <w:tcPr>
            <w:tcW w:w="9429" w:type="dxa"/>
            <w:gridSpan w:val="14"/>
            <w:shd w:val="clear" w:color="auto" w:fill="auto"/>
            <w:noWrap/>
            <w:vAlign w:val="bottom"/>
            <w:hideMark/>
          </w:tcPr>
          <w:p w14:paraId="4F0D3E67" w14:textId="79343B6C"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These may be advanced but are generally lower than those required to originate the technologies. </w:t>
            </w:r>
          </w:p>
        </w:tc>
      </w:tr>
      <w:tr w:rsidR="0084436E" w:rsidRPr="00E40757" w14:paraId="397FE6E0" w14:textId="77777777" w:rsidTr="009D12FE">
        <w:trPr>
          <w:gridAfter w:val="1"/>
          <w:wAfter w:w="39" w:type="dxa"/>
          <w:trHeight w:val="240"/>
        </w:trPr>
        <w:tc>
          <w:tcPr>
            <w:tcW w:w="9429" w:type="dxa"/>
            <w:gridSpan w:val="14"/>
            <w:shd w:val="clear" w:color="auto" w:fill="auto"/>
            <w:noWrap/>
            <w:vAlign w:val="bottom"/>
            <w:hideMark/>
          </w:tcPr>
          <w:p w14:paraId="43EB6B4B" w14:textId="77777777" w:rsidR="0084436E" w:rsidRPr="00E40757" w:rsidRDefault="0084436E">
            <w:pPr>
              <w:spacing w:after="0" w:line="240" w:lineRule="auto"/>
              <w:rPr>
                <w:rFonts w:ascii="Trebuchet MS" w:eastAsia="Times New Roman" w:hAnsi="Trebuchet MS" w:cs="Calibri Light"/>
                <w:color w:val="333333"/>
                <w:sz w:val="16"/>
                <w:szCs w:val="16"/>
                <w:lang w:bidi="th-TH"/>
              </w:rPr>
            </w:pPr>
            <w:r w:rsidRPr="00E40757">
              <w:rPr>
                <w:rFonts w:ascii="Trebuchet MS" w:eastAsia="Times New Roman" w:hAnsi="Trebuchet MS" w:cs="Calibri Light"/>
                <w:color w:val="333333"/>
                <w:sz w:val="16"/>
                <w:szCs w:val="16"/>
                <w:lang w:bidi="th-TH"/>
              </w:rPr>
              <w:t xml:space="preserve">Two types of skills need to be considered: skills acquired through education, and skills acquired in the workplace through practical training or learning-by-doing.  while the skill level in the </w:t>
            </w:r>
            <w:proofErr w:type="spellStart"/>
            <w:r w:rsidRPr="00E40757">
              <w:rPr>
                <w:rFonts w:ascii="Trebuchet MS" w:eastAsia="Times New Roman" w:hAnsi="Trebuchet MS" w:cs="Calibri Light"/>
                <w:color w:val="333333"/>
                <w:sz w:val="16"/>
                <w:szCs w:val="16"/>
                <w:lang w:bidi="th-TH"/>
              </w:rPr>
              <w:t>labour</w:t>
            </w:r>
            <w:proofErr w:type="spellEnd"/>
            <w:r w:rsidRPr="00E40757">
              <w:rPr>
                <w:rFonts w:ascii="Trebuchet MS" w:eastAsia="Times New Roman" w:hAnsi="Trebuchet MS" w:cs="Calibri Light"/>
                <w:color w:val="333333"/>
                <w:sz w:val="16"/>
                <w:szCs w:val="16"/>
                <w:lang w:bidi="th-TH"/>
              </w:rPr>
              <w:t xml:space="preserve"> market is measured by the extent of high-skill employment – defined by the ILO as the sum of managers, professionals and technicians and associate professionals following the International Standard Classification of Occupations (ISCO). These indicators need to be interpreted with caution, especially in developing countries, because of the emigration of highly trained or skilled people, the “brain drain”, as a result of which the actual skill level could be lower than the official estimate.</w:t>
            </w:r>
          </w:p>
        </w:tc>
      </w:tr>
      <w:tr w:rsidR="00A745B7" w:rsidRPr="00E40757" w14:paraId="3B2F36B9" w14:textId="77777777" w:rsidTr="009D12FE">
        <w:trPr>
          <w:gridAfter w:val="1"/>
          <w:wAfter w:w="39" w:type="dxa"/>
          <w:trHeight w:val="240"/>
        </w:trPr>
        <w:tc>
          <w:tcPr>
            <w:tcW w:w="9429" w:type="dxa"/>
            <w:gridSpan w:val="14"/>
            <w:shd w:val="clear" w:color="auto" w:fill="auto"/>
            <w:noWrap/>
            <w:vAlign w:val="bottom"/>
            <w:hideMark/>
          </w:tcPr>
          <w:p w14:paraId="402DE176" w14:textId="79966BDF"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The overall educational attainment of the population is measured through expected years of schooling.</w:t>
            </w:r>
          </w:p>
        </w:tc>
      </w:tr>
      <w:tr w:rsidR="00A745B7" w:rsidRPr="00E40757" w14:paraId="491F5795" w14:textId="77777777" w:rsidTr="009D12FE">
        <w:trPr>
          <w:gridAfter w:val="1"/>
          <w:wAfter w:w="39" w:type="dxa"/>
          <w:trHeight w:val="240"/>
        </w:trPr>
        <w:tc>
          <w:tcPr>
            <w:tcW w:w="9429" w:type="dxa"/>
            <w:gridSpan w:val="14"/>
            <w:shd w:val="clear" w:color="auto" w:fill="auto"/>
            <w:noWrap/>
            <w:vAlign w:val="bottom"/>
            <w:hideMark/>
          </w:tcPr>
          <w:p w14:paraId="18712EDB" w14:textId="24C03166" w:rsidR="00A745B7" w:rsidRPr="00E40757" w:rsidRDefault="00A745B7">
            <w:pPr>
              <w:spacing w:after="0" w:line="240" w:lineRule="auto"/>
              <w:rPr>
                <w:rFonts w:ascii="Trebuchet MS" w:eastAsia="Times New Roman" w:hAnsi="Trebuchet MS" w:cs="Calibri Light"/>
                <w:color w:val="333333"/>
                <w:sz w:val="16"/>
                <w:szCs w:val="16"/>
                <w:lang w:bidi="th-TH"/>
              </w:rPr>
            </w:pPr>
            <w:r w:rsidRPr="00E40757">
              <w:rPr>
                <w:rFonts w:ascii="Trebuchet MS" w:eastAsia="Times New Roman" w:hAnsi="Trebuchet MS" w:cs="Calibri Light"/>
                <w:color w:val="333333"/>
                <w:sz w:val="16"/>
                <w:szCs w:val="16"/>
                <w:lang w:bidi="th-TH"/>
              </w:rPr>
              <w:t xml:space="preserve">3.    R&amp;D activity – R&amp;D activity is needed not just </w:t>
            </w:r>
            <w:proofErr w:type="gramStart"/>
            <w:r w:rsidRPr="00E40757">
              <w:rPr>
                <w:rFonts w:ascii="Trebuchet MS" w:eastAsia="Times New Roman" w:hAnsi="Trebuchet MS" w:cs="Calibri Light"/>
                <w:color w:val="333333"/>
                <w:sz w:val="16"/>
                <w:szCs w:val="16"/>
                <w:lang w:bidi="th-TH"/>
              </w:rPr>
              <w:t>for the production of</w:t>
            </w:r>
            <w:proofErr w:type="gramEnd"/>
            <w:r w:rsidRPr="00E40757">
              <w:rPr>
                <w:rFonts w:ascii="Trebuchet MS" w:eastAsia="Times New Roman" w:hAnsi="Trebuchet MS" w:cs="Calibri Light"/>
                <w:color w:val="333333"/>
                <w:sz w:val="16"/>
                <w:szCs w:val="16"/>
                <w:lang w:bidi="th-TH"/>
              </w:rPr>
              <w:t xml:space="preserve"> frontier technologies, but also for adoption and adaption, as these technologies often require adjustment or modification for local use.     </w:t>
            </w:r>
          </w:p>
        </w:tc>
      </w:tr>
      <w:tr w:rsidR="00A745B7" w:rsidRPr="00E40757" w14:paraId="59E05B3C" w14:textId="77777777" w:rsidTr="009D12FE">
        <w:trPr>
          <w:gridAfter w:val="1"/>
          <w:wAfter w:w="39" w:type="dxa"/>
          <w:trHeight w:val="240"/>
        </w:trPr>
        <w:tc>
          <w:tcPr>
            <w:tcW w:w="9429" w:type="dxa"/>
            <w:gridSpan w:val="14"/>
            <w:shd w:val="clear" w:color="auto" w:fill="auto"/>
            <w:noWrap/>
            <w:vAlign w:val="bottom"/>
            <w:hideMark/>
          </w:tcPr>
          <w:p w14:paraId="1FFA2168" w14:textId="6B13CC20"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R&amp;D activities are measured using the number of publications and patents filed on the 11 frontier technologies in a country. </w:t>
            </w:r>
          </w:p>
        </w:tc>
      </w:tr>
      <w:tr w:rsidR="00A745B7" w:rsidRPr="00E40757" w14:paraId="62CBAFF0" w14:textId="77777777" w:rsidTr="009D12FE">
        <w:trPr>
          <w:gridAfter w:val="1"/>
          <w:wAfter w:w="39" w:type="dxa"/>
          <w:trHeight w:val="240"/>
        </w:trPr>
        <w:tc>
          <w:tcPr>
            <w:tcW w:w="9429" w:type="dxa"/>
            <w:gridSpan w:val="14"/>
            <w:shd w:val="clear" w:color="auto" w:fill="auto"/>
            <w:noWrap/>
            <w:vAlign w:val="bottom"/>
            <w:hideMark/>
          </w:tcPr>
          <w:p w14:paraId="784AA5E8" w14:textId="0CBEF62F"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The publication and patent search queries used are the same as shown in the Technical note in Annex </w:t>
            </w:r>
            <w:proofErr w:type="gramStart"/>
            <w:r w:rsidRPr="00E40757">
              <w:rPr>
                <w:rFonts w:ascii="Trebuchet MS" w:eastAsia="Times New Roman" w:hAnsi="Trebuchet MS" w:cs="Calibri Light"/>
                <w:color w:val="333333"/>
                <w:sz w:val="16"/>
                <w:szCs w:val="16"/>
                <w:lang w:bidi="th-TH"/>
              </w:rPr>
              <w:t>B ,</w:t>
            </w:r>
            <w:proofErr w:type="gramEnd"/>
            <w:r w:rsidRPr="00E40757">
              <w:rPr>
                <w:rFonts w:ascii="Trebuchet MS" w:eastAsia="Times New Roman" w:hAnsi="Trebuchet MS" w:cs="Calibri Light"/>
                <w:color w:val="333333"/>
                <w:sz w:val="16"/>
                <w:szCs w:val="16"/>
                <w:lang w:bidi="th-TH"/>
              </w:rPr>
              <w:t xml:space="preserve"> of the Technology and Innovation Report 2021 while extending the year to 2021. </w:t>
            </w:r>
          </w:p>
        </w:tc>
      </w:tr>
      <w:tr w:rsidR="0084436E" w:rsidRPr="00E40757" w14:paraId="3FEEDB32" w14:textId="77777777" w:rsidTr="009D12FE">
        <w:trPr>
          <w:gridAfter w:val="1"/>
          <w:wAfter w:w="39" w:type="dxa"/>
          <w:trHeight w:val="240"/>
        </w:trPr>
        <w:tc>
          <w:tcPr>
            <w:tcW w:w="9429" w:type="dxa"/>
            <w:gridSpan w:val="14"/>
            <w:shd w:val="clear" w:color="auto" w:fill="auto"/>
            <w:noWrap/>
            <w:vAlign w:val="bottom"/>
            <w:hideMark/>
          </w:tcPr>
          <w:p w14:paraId="3B29715D" w14:textId="01A261D6" w:rsidR="0084436E" w:rsidRPr="00E40757" w:rsidRDefault="0084436E">
            <w:pPr>
              <w:spacing w:after="0" w:line="240" w:lineRule="auto"/>
              <w:rPr>
                <w:rFonts w:ascii="Trebuchet MS" w:eastAsia="Times New Roman" w:hAnsi="Trebuchet MS" w:cs="Calibri Light"/>
                <w:color w:val="333333"/>
                <w:sz w:val="16"/>
                <w:szCs w:val="16"/>
                <w:lang w:bidi="th-TH"/>
              </w:rPr>
            </w:pPr>
            <w:r w:rsidRPr="00E40757">
              <w:rPr>
                <w:rFonts w:ascii="Trebuchet MS" w:eastAsia="Times New Roman" w:hAnsi="Trebuchet MS" w:cs="Calibri Light"/>
                <w:color w:val="333333"/>
                <w:sz w:val="16"/>
                <w:szCs w:val="16"/>
                <w:lang w:bidi="th-TH"/>
              </w:rPr>
              <w:t xml:space="preserve">The countries of publication of authors and patent assignees were </w:t>
            </w:r>
            <w:r w:rsidR="00175777" w:rsidRPr="00E40757">
              <w:rPr>
                <w:rFonts w:ascii="Trebuchet MS" w:eastAsia="Times New Roman" w:hAnsi="Trebuchet MS" w:cs="Calibri Light"/>
                <w:color w:val="333333"/>
                <w:sz w:val="16"/>
                <w:szCs w:val="16"/>
                <w:lang w:bidi="th-TH"/>
              </w:rPr>
              <w:t>analyzed</w:t>
            </w:r>
            <w:r w:rsidR="001910A1" w:rsidRPr="00E40757">
              <w:rPr>
                <w:rFonts w:ascii="Trebuchet MS" w:eastAsia="Times New Roman" w:hAnsi="Trebuchet MS" w:cs="Calibri Light"/>
                <w:color w:val="333333"/>
                <w:sz w:val="16"/>
                <w:szCs w:val="16"/>
                <w:lang w:bidi="th-TH"/>
              </w:rPr>
              <w:t>.</w:t>
            </w:r>
            <w:r w:rsidRPr="00E40757">
              <w:rPr>
                <w:rFonts w:ascii="Trebuchet MS" w:eastAsia="Times New Roman" w:hAnsi="Trebuchet MS" w:cs="Calibri Light"/>
                <w:color w:val="333333"/>
                <w:sz w:val="16"/>
                <w:szCs w:val="16"/>
                <w:lang w:bidi="th-TH"/>
              </w:rPr>
              <w:t xml:space="preserve"> It should be noted that, especially in developing countries, there are informal R&amp;D activities that do not result in a publication or patent so the R&amp;D scores might not reflect the actual scale of activities.</w:t>
            </w:r>
          </w:p>
        </w:tc>
      </w:tr>
      <w:tr w:rsidR="00A745B7" w:rsidRPr="00E40757" w14:paraId="1F7F5CD8" w14:textId="77777777" w:rsidTr="009D12FE">
        <w:trPr>
          <w:gridAfter w:val="1"/>
          <w:wAfter w:w="39" w:type="dxa"/>
          <w:trHeight w:val="240"/>
        </w:trPr>
        <w:tc>
          <w:tcPr>
            <w:tcW w:w="9429" w:type="dxa"/>
            <w:gridSpan w:val="14"/>
            <w:shd w:val="clear" w:color="auto" w:fill="auto"/>
            <w:noWrap/>
            <w:vAlign w:val="bottom"/>
            <w:hideMark/>
          </w:tcPr>
          <w:p w14:paraId="4D99C74B" w14:textId="479D021D"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4.    Industry activity – This building block aims to capture ongoing activities in an industry related to the use, adoption</w:t>
            </w:r>
            <w:r w:rsidR="00175777" w:rsidRPr="00E40757">
              <w:rPr>
                <w:rFonts w:ascii="Trebuchet MS" w:eastAsia="Times New Roman" w:hAnsi="Trebuchet MS" w:cs="Calibri Light"/>
                <w:color w:val="333333"/>
                <w:sz w:val="16"/>
                <w:szCs w:val="16"/>
                <w:lang w:bidi="th-TH"/>
              </w:rPr>
              <w:t>,</w:t>
            </w:r>
            <w:r w:rsidRPr="00E40757">
              <w:rPr>
                <w:rFonts w:ascii="Trebuchet MS" w:eastAsia="Times New Roman" w:hAnsi="Trebuchet MS" w:cs="Calibri Light"/>
                <w:color w:val="333333"/>
                <w:sz w:val="16"/>
                <w:szCs w:val="16"/>
                <w:lang w:bidi="th-TH"/>
              </w:rPr>
              <w:t xml:space="preserve"> and adaption of frontier technologies.   </w:t>
            </w:r>
          </w:p>
        </w:tc>
      </w:tr>
      <w:tr w:rsidR="00A745B7" w:rsidRPr="00E40757" w14:paraId="18090187" w14:textId="77777777" w:rsidTr="009D12FE">
        <w:trPr>
          <w:gridAfter w:val="1"/>
          <w:wAfter w:w="39" w:type="dxa"/>
          <w:trHeight w:val="240"/>
        </w:trPr>
        <w:tc>
          <w:tcPr>
            <w:tcW w:w="9429" w:type="dxa"/>
            <w:gridSpan w:val="14"/>
            <w:shd w:val="clear" w:color="auto" w:fill="auto"/>
            <w:noWrap/>
            <w:vAlign w:val="bottom"/>
            <w:hideMark/>
          </w:tcPr>
          <w:p w14:paraId="759609F5" w14:textId="3EBA4AB5"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It considers three sectors that are early adopters: manufacturing, with high-tech manufacturing as the frontrunner; finance; and ICT, which tends to interact with other technologies. </w:t>
            </w:r>
          </w:p>
        </w:tc>
      </w:tr>
      <w:tr w:rsidR="00A745B7" w:rsidRPr="00E40757" w14:paraId="2DF773E8" w14:textId="77777777" w:rsidTr="009D12FE">
        <w:trPr>
          <w:gridAfter w:val="1"/>
          <w:wAfter w:w="39" w:type="dxa"/>
          <w:trHeight w:val="240"/>
        </w:trPr>
        <w:tc>
          <w:tcPr>
            <w:tcW w:w="9429" w:type="dxa"/>
            <w:gridSpan w:val="14"/>
            <w:shd w:val="clear" w:color="auto" w:fill="auto"/>
            <w:noWrap/>
            <w:vAlign w:val="bottom"/>
            <w:hideMark/>
          </w:tcPr>
          <w:p w14:paraId="11CE2F40" w14:textId="6669A3CF"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 xml:space="preserve">Then it uses export data, on high-technology manufactures, as well as on digitally deliverable services which cover both finance and ICT. </w:t>
            </w:r>
          </w:p>
        </w:tc>
      </w:tr>
      <w:tr w:rsidR="0084436E" w:rsidRPr="00E40757" w14:paraId="1E6FE58D" w14:textId="77777777" w:rsidTr="009D12FE">
        <w:trPr>
          <w:gridAfter w:val="1"/>
          <w:wAfter w:w="39" w:type="dxa"/>
          <w:trHeight w:val="240"/>
        </w:trPr>
        <w:tc>
          <w:tcPr>
            <w:tcW w:w="9429" w:type="dxa"/>
            <w:gridSpan w:val="14"/>
            <w:shd w:val="clear" w:color="auto" w:fill="auto"/>
            <w:noWrap/>
            <w:vAlign w:val="bottom"/>
            <w:hideMark/>
          </w:tcPr>
          <w:p w14:paraId="092653F7" w14:textId="77777777" w:rsidR="0084436E" w:rsidRPr="00E40757" w:rsidRDefault="0084436E">
            <w:pPr>
              <w:spacing w:after="0" w:line="240" w:lineRule="auto"/>
              <w:rPr>
                <w:rFonts w:ascii="Trebuchet MS" w:eastAsia="Times New Roman" w:hAnsi="Trebuchet MS" w:cs="Calibri Light"/>
                <w:color w:val="333333"/>
                <w:sz w:val="16"/>
                <w:szCs w:val="16"/>
                <w:lang w:bidi="th-TH"/>
              </w:rPr>
            </w:pPr>
            <w:r w:rsidRPr="00E40757">
              <w:rPr>
                <w:rFonts w:ascii="Trebuchet MS" w:eastAsia="Times New Roman" w:hAnsi="Trebuchet MS" w:cs="Calibri Light"/>
                <w:color w:val="333333"/>
                <w:sz w:val="16"/>
                <w:szCs w:val="16"/>
                <w:lang w:bidi="th-TH"/>
              </w:rPr>
              <w:t>However, especially in developing countries, activities are also undertaken by firms in the informal sector – which are often outside official statistics. The scores from these countries could therefore be lower than the actual activity.</w:t>
            </w:r>
          </w:p>
        </w:tc>
      </w:tr>
      <w:tr w:rsidR="00A745B7" w:rsidRPr="00E40757" w14:paraId="54C55A8F" w14:textId="77777777" w:rsidTr="009D12FE">
        <w:trPr>
          <w:gridAfter w:val="1"/>
          <w:wAfter w:w="39" w:type="dxa"/>
          <w:trHeight w:val="240"/>
        </w:trPr>
        <w:tc>
          <w:tcPr>
            <w:tcW w:w="9429" w:type="dxa"/>
            <w:gridSpan w:val="14"/>
            <w:shd w:val="clear" w:color="auto" w:fill="auto"/>
            <w:noWrap/>
            <w:vAlign w:val="bottom"/>
            <w:hideMark/>
          </w:tcPr>
          <w:p w14:paraId="664734E6" w14:textId="14D6D7FB"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333333"/>
                <w:sz w:val="16"/>
                <w:szCs w:val="16"/>
                <w:lang w:bidi="th-TH"/>
              </w:rPr>
              <w:t>5.    Access to finance – This assesses the availability of finance to the private sector. Better access to finance could accelerate the use, adoption</w:t>
            </w:r>
            <w:r w:rsidR="00175777" w:rsidRPr="00E40757">
              <w:rPr>
                <w:rFonts w:ascii="Trebuchet MS" w:eastAsia="Times New Roman" w:hAnsi="Trebuchet MS" w:cs="Calibri Light"/>
                <w:color w:val="333333"/>
                <w:sz w:val="16"/>
                <w:szCs w:val="16"/>
                <w:lang w:bidi="th-TH"/>
              </w:rPr>
              <w:t>,</w:t>
            </w:r>
            <w:r w:rsidRPr="00E40757">
              <w:rPr>
                <w:rFonts w:ascii="Trebuchet MS" w:eastAsia="Times New Roman" w:hAnsi="Trebuchet MS" w:cs="Calibri Light"/>
                <w:color w:val="333333"/>
                <w:sz w:val="16"/>
                <w:szCs w:val="16"/>
                <w:lang w:bidi="th-TH"/>
              </w:rPr>
              <w:t xml:space="preserve"> and adaption of frontier technologies. </w:t>
            </w:r>
          </w:p>
        </w:tc>
      </w:tr>
      <w:tr w:rsidR="00A745B7" w:rsidRPr="00E40757" w14:paraId="4965B15B" w14:textId="77777777" w:rsidTr="009D12FE">
        <w:trPr>
          <w:gridAfter w:val="1"/>
          <w:wAfter w:w="39" w:type="dxa"/>
          <w:trHeight w:val="240"/>
        </w:trPr>
        <w:tc>
          <w:tcPr>
            <w:tcW w:w="9429" w:type="dxa"/>
            <w:gridSpan w:val="14"/>
            <w:shd w:val="clear" w:color="auto" w:fill="auto"/>
            <w:noWrap/>
            <w:vAlign w:val="bottom"/>
            <w:hideMark/>
          </w:tcPr>
          <w:p w14:paraId="2DAC632E" w14:textId="1EB6688C"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000000"/>
                <w:sz w:val="16"/>
                <w:szCs w:val="16"/>
                <w:lang w:bidi="th-TH"/>
              </w:rPr>
              <w:t xml:space="preserve">For this purpose, domestic credit to the private sector as a percentage of GDP was selected as part of the index. </w:t>
            </w:r>
          </w:p>
        </w:tc>
      </w:tr>
      <w:tr w:rsidR="00A745B7" w:rsidRPr="00E40757" w14:paraId="5E4FF1C7" w14:textId="77777777" w:rsidTr="009D12FE">
        <w:trPr>
          <w:gridAfter w:val="1"/>
          <w:wAfter w:w="39" w:type="dxa"/>
          <w:trHeight w:val="240"/>
        </w:trPr>
        <w:tc>
          <w:tcPr>
            <w:tcW w:w="9429" w:type="dxa"/>
            <w:gridSpan w:val="14"/>
            <w:shd w:val="clear" w:color="auto" w:fill="auto"/>
            <w:noWrap/>
            <w:vAlign w:val="bottom"/>
            <w:hideMark/>
          </w:tcPr>
          <w:p w14:paraId="355A2526" w14:textId="25A6FAAB" w:rsidR="00A745B7" w:rsidRPr="00E40757" w:rsidRDefault="00A745B7">
            <w:pPr>
              <w:spacing w:after="0" w:line="240" w:lineRule="auto"/>
              <w:rPr>
                <w:rFonts w:ascii="Trebuchet MS" w:eastAsia="Times New Roman" w:hAnsi="Trebuchet MS" w:cs="Times New Roman"/>
                <w:sz w:val="16"/>
                <w:szCs w:val="16"/>
                <w:lang w:bidi="th-TH"/>
              </w:rPr>
            </w:pPr>
            <w:r w:rsidRPr="00E40757">
              <w:rPr>
                <w:rFonts w:ascii="Trebuchet MS" w:eastAsia="Times New Roman" w:hAnsi="Trebuchet MS" w:cs="Calibri Light"/>
                <w:color w:val="000000"/>
                <w:sz w:val="16"/>
                <w:szCs w:val="16"/>
                <w:lang w:bidi="th-TH"/>
              </w:rPr>
              <w:t xml:space="preserve">This indicator measures resources provided by financial corporations such as finance and leasing companies, money lenders, insurance corporations, pension funds and foreign exchange companies. </w:t>
            </w:r>
          </w:p>
        </w:tc>
      </w:tr>
      <w:tr w:rsidR="0084436E" w:rsidRPr="00E40757" w14:paraId="3260C148" w14:textId="77777777" w:rsidTr="009D12FE">
        <w:trPr>
          <w:gridAfter w:val="1"/>
          <w:wAfter w:w="39" w:type="dxa"/>
          <w:trHeight w:val="240"/>
        </w:trPr>
        <w:tc>
          <w:tcPr>
            <w:tcW w:w="9429" w:type="dxa"/>
            <w:gridSpan w:val="14"/>
            <w:shd w:val="clear" w:color="auto" w:fill="auto"/>
            <w:noWrap/>
            <w:vAlign w:val="bottom"/>
            <w:hideMark/>
          </w:tcPr>
          <w:p w14:paraId="3BFB4A5E" w14:textId="77777777" w:rsidR="0084436E" w:rsidRPr="00E40757" w:rsidRDefault="0084436E">
            <w:pPr>
              <w:spacing w:after="0" w:line="240" w:lineRule="auto"/>
              <w:rPr>
                <w:rFonts w:ascii="Trebuchet MS" w:eastAsia="Times New Roman" w:hAnsi="Trebuchet MS" w:cs="Calibri Light"/>
                <w:color w:val="000000"/>
                <w:sz w:val="16"/>
                <w:szCs w:val="16"/>
                <w:lang w:bidi="th-TH"/>
              </w:rPr>
            </w:pPr>
            <w:r w:rsidRPr="00E40757">
              <w:rPr>
                <w:rFonts w:ascii="Trebuchet MS" w:eastAsia="Times New Roman" w:hAnsi="Trebuchet MS" w:cs="Calibri Light"/>
                <w:color w:val="000000"/>
                <w:sz w:val="16"/>
                <w:szCs w:val="16"/>
                <w:lang w:bidi="th-TH"/>
              </w:rPr>
              <w:t>It also includes various financial instruments including loans, purchases of non-equity securities, and trade credits and other accounts receivable. However, there could also be other, unconventional financing providers or financial instruments that are not covered sufficiently by this indicator.</w:t>
            </w:r>
          </w:p>
        </w:tc>
      </w:tr>
    </w:tbl>
    <w:p w14:paraId="470EF400" w14:textId="105B9E0F" w:rsidR="0002737D" w:rsidRDefault="0002737D" w:rsidP="0002737D">
      <w:pPr>
        <w:pStyle w:val="Table"/>
      </w:pPr>
    </w:p>
    <w:p w14:paraId="547B3C0A" w14:textId="17909090" w:rsidR="009C41D1" w:rsidRDefault="0002737D" w:rsidP="00863D57">
      <w:pPr>
        <w:pStyle w:val="Heading1"/>
      </w:pPr>
      <w:r>
        <w:br w:type="page"/>
      </w:r>
      <w:bookmarkStart w:id="429" w:name="_Annex_4:_Recent"/>
      <w:bookmarkStart w:id="430" w:name="_Toc159763567"/>
      <w:bookmarkEnd w:id="429"/>
      <w:r w:rsidR="009C41D1" w:rsidRPr="0019548E">
        <w:lastRenderedPageBreak/>
        <w:t xml:space="preserve">Annex </w:t>
      </w:r>
      <w:r>
        <w:t>3</w:t>
      </w:r>
      <w:r w:rsidR="009C41D1" w:rsidRPr="0019548E">
        <w:t xml:space="preserve">: </w:t>
      </w:r>
      <w:r w:rsidR="009C41D1">
        <w:t>Recent trends in poverty and inequality</w:t>
      </w:r>
      <w:bookmarkEnd w:id="430"/>
      <w:r w:rsidR="009C41D1" w:rsidRPr="0019548E">
        <w:t xml:space="preserve"> </w:t>
      </w:r>
    </w:p>
    <w:p w14:paraId="16BB3C07" w14:textId="77777777" w:rsidR="009C41D1" w:rsidRDefault="009C41D1" w:rsidP="009C41D1">
      <w:pPr>
        <w:jc w:val="both"/>
        <w:rPr>
          <w:rFonts w:asciiTheme="majorHAnsi" w:hAnsiTheme="majorHAnsi" w:cstheme="majorHAnsi"/>
          <w:b/>
        </w:rPr>
      </w:pPr>
    </w:p>
    <w:p w14:paraId="27FA9DB4" w14:textId="7A78B600" w:rsidR="009C41D1" w:rsidRPr="0054731B" w:rsidRDefault="009C41D1" w:rsidP="009C41D1">
      <w:pPr>
        <w:jc w:val="both"/>
        <w:rPr>
          <w:rFonts w:asciiTheme="majorHAnsi" w:hAnsiTheme="majorHAnsi" w:cstheme="majorHAnsi"/>
          <w:b/>
        </w:rPr>
      </w:pPr>
      <w:r w:rsidRPr="0054731B">
        <w:rPr>
          <w:rFonts w:asciiTheme="majorHAnsi" w:hAnsiTheme="majorHAnsi" w:cstheme="majorHAnsi"/>
          <w:b/>
        </w:rPr>
        <w:t xml:space="preserve">Thailand’s progress in poverty reduction has slowed since 2015, amid stagnating labor incomes. </w:t>
      </w:r>
      <w:r w:rsidRPr="0054731B">
        <w:rPr>
          <w:rFonts w:asciiTheme="majorHAnsi" w:hAnsiTheme="majorHAnsi" w:cstheme="majorHAnsi"/>
          <w:bCs/>
        </w:rPr>
        <w:t>Prior to 2015, Thailand made remarkable progress in poverty reduction, with the national poverty rate falling from 21.9 percent in 2006 to 7.2 percent in 2015 (</w:t>
      </w:r>
      <w:r w:rsidR="00FF4129" w:rsidRPr="00141648">
        <w:rPr>
          <w:rFonts w:asciiTheme="majorHAnsi" w:hAnsiTheme="majorHAnsi" w:cstheme="majorHAnsi"/>
          <w:bCs/>
        </w:rPr>
        <w:fldChar w:fldCharType="begin"/>
      </w:r>
      <w:r w:rsidR="00FF4129" w:rsidRPr="00141648">
        <w:rPr>
          <w:rFonts w:asciiTheme="majorHAnsi" w:hAnsiTheme="majorHAnsi" w:cstheme="majorHAnsi"/>
          <w:bCs/>
        </w:rPr>
        <w:instrText xml:space="preserve"> REF _Ref149776776  \* MERGEFORMAT </w:instrText>
      </w:r>
      <w:r w:rsidR="00FF4129" w:rsidRPr="00141648">
        <w:rPr>
          <w:rFonts w:asciiTheme="majorHAnsi" w:hAnsiTheme="majorHAnsi" w:cstheme="majorHAnsi"/>
          <w:bCs/>
        </w:rPr>
        <w:fldChar w:fldCharType="separate"/>
      </w:r>
      <w:r w:rsidR="00FF4129" w:rsidRPr="00665270">
        <w:rPr>
          <w:rFonts w:asciiTheme="majorHAnsi" w:hAnsiTheme="majorHAnsi" w:cstheme="majorHAnsi"/>
          <w:bCs/>
          <w:noProof/>
        </w:rPr>
        <w:t>Figure A.</w:t>
      </w:r>
      <w:r w:rsidR="00CF03C8">
        <w:rPr>
          <w:rFonts w:asciiTheme="majorHAnsi" w:hAnsiTheme="majorHAnsi" w:cstheme="majorHAnsi"/>
          <w:bCs/>
          <w:noProof/>
        </w:rPr>
        <w:t>3</w:t>
      </w:r>
      <w:r w:rsidR="00FF4129" w:rsidRPr="00665270">
        <w:rPr>
          <w:rFonts w:asciiTheme="majorHAnsi" w:hAnsiTheme="majorHAnsi" w:cstheme="majorHAnsi"/>
          <w:bCs/>
        </w:rPr>
        <w:t>.</w:t>
      </w:r>
      <w:r w:rsidR="00FF4129" w:rsidRPr="00665270">
        <w:rPr>
          <w:rFonts w:asciiTheme="majorHAnsi" w:hAnsiTheme="majorHAnsi" w:cstheme="majorHAnsi"/>
          <w:bCs/>
          <w:noProof/>
        </w:rPr>
        <w:t>1</w:t>
      </w:r>
      <w:r w:rsidR="00FF4129" w:rsidRPr="00141648">
        <w:rPr>
          <w:rFonts w:asciiTheme="majorHAnsi" w:hAnsiTheme="majorHAnsi" w:cstheme="majorHAnsi"/>
          <w:bCs/>
        </w:rPr>
        <w:fldChar w:fldCharType="end"/>
      </w:r>
      <w:r w:rsidRPr="00141648">
        <w:rPr>
          <w:rFonts w:asciiTheme="majorHAnsi" w:hAnsiTheme="majorHAnsi" w:cstheme="majorHAnsi"/>
          <w:bCs/>
        </w:rPr>
        <w:t>).</w:t>
      </w:r>
      <w:r w:rsidRPr="0054731B">
        <w:rPr>
          <w:rFonts w:asciiTheme="majorHAnsi" w:hAnsiTheme="majorHAnsi" w:cstheme="majorHAnsi"/>
          <w:bCs/>
        </w:rPr>
        <w:t xml:space="preserve"> The decline was driven by improved wages and farm incomes, and, to a lesser extent, by social assistance and in-kind transfers. Since then, structural transformation out of agriculture, one of the factors driving the decline in poverty, has slowed, farm and business incomes have declined</w:t>
      </w:r>
      <w:r w:rsidR="00141648">
        <w:rPr>
          <w:rFonts w:asciiTheme="majorHAnsi" w:hAnsiTheme="majorHAnsi" w:cstheme="majorHAnsi"/>
          <w:bCs/>
        </w:rPr>
        <w:t>,</w:t>
      </w:r>
      <w:r w:rsidRPr="0054731B">
        <w:rPr>
          <w:rFonts w:asciiTheme="majorHAnsi" w:hAnsiTheme="majorHAnsi" w:cstheme="majorHAnsi"/>
          <w:bCs/>
        </w:rPr>
        <w:t xml:space="preserve"> while wage income has stagnated, stalling household income growth (</w:t>
      </w:r>
      <w:r>
        <w:rPr>
          <w:rFonts w:asciiTheme="majorHAnsi" w:hAnsiTheme="majorHAnsi" w:cstheme="majorHAnsi"/>
          <w:bCs/>
        </w:rPr>
        <w:t>Figure A.</w:t>
      </w:r>
      <w:r w:rsidR="001D51F9">
        <w:rPr>
          <w:rFonts w:asciiTheme="majorHAnsi" w:hAnsiTheme="majorHAnsi" w:cstheme="majorHAnsi"/>
          <w:bCs/>
        </w:rPr>
        <w:t>3</w:t>
      </w:r>
      <w:r>
        <w:rPr>
          <w:rFonts w:asciiTheme="majorHAnsi" w:hAnsiTheme="majorHAnsi" w:cstheme="majorHAnsi"/>
          <w:bCs/>
        </w:rPr>
        <w:t>.1B, Figure A.</w:t>
      </w:r>
      <w:r w:rsidR="001D51F9">
        <w:rPr>
          <w:rFonts w:asciiTheme="majorHAnsi" w:hAnsiTheme="majorHAnsi" w:cstheme="majorHAnsi"/>
          <w:bCs/>
        </w:rPr>
        <w:t>3</w:t>
      </w:r>
      <w:r>
        <w:rPr>
          <w:rFonts w:asciiTheme="majorHAnsi" w:hAnsiTheme="majorHAnsi" w:cstheme="majorHAnsi"/>
          <w:bCs/>
        </w:rPr>
        <w:t>.1C</w:t>
      </w:r>
      <w:r w:rsidRPr="0054731B">
        <w:rPr>
          <w:rFonts w:asciiTheme="majorHAnsi" w:hAnsiTheme="majorHAnsi" w:cstheme="majorHAnsi"/>
          <w:bCs/>
        </w:rPr>
        <w:t xml:space="preserve">). In the six-year period between 2015 and 2021, income and consumption per capita grew on average at 0.6 percent per year, slightly below the annual growth rate of GDP per capita of 1.2 percent. The poverty rate marginally declined from 7.2 percent to 6.3 percent, with the rate increasing in 2016 and 2018, and in 2020 during COVID-19.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9C41D1" w:rsidRPr="00E90233" w14:paraId="6C90CBFE" w14:textId="77777777" w:rsidTr="006C4828">
        <w:trPr>
          <w:trHeight w:val="332"/>
        </w:trPr>
        <w:tc>
          <w:tcPr>
            <w:tcW w:w="9350" w:type="dxa"/>
            <w:gridSpan w:val="2"/>
          </w:tcPr>
          <w:p w14:paraId="5480CEF7" w14:textId="03EB0EC5" w:rsidR="009C41D1" w:rsidRPr="00E90233" w:rsidRDefault="009C41D1">
            <w:pPr>
              <w:pStyle w:val="Figure"/>
              <w:rPr>
                <w:rFonts w:ascii="Times New Roman" w:hAnsi="Times New Roman" w:cs="Times New Roman"/>
              </w:rPr>
            </w:pPr>
            <w:bookmarkStart w:id="431" w:name="_Ref149776776"/>
            <w:bookmarkStart w:id="432" w:name="_Ref149776687"/>
            <w:r w:rsidRPr="0054731B">
              <w:t xml:space="preserve">Figure </w:t>
            </w:r>
            <w:r>
              <w:t>A.</w:t>
            </w:r>
            <w:r w:rsidR="001D51F9">
              <w:t>3</w:t>
            </w:r>
            <w:r w:rsidR="00E730E1">
              <w:t>.</w:t>
            </w:r>
            <w:r w:rsidR="00E730E1" w:rsidRPr="00E730E1">
              <w:fldChar w:fldCharType="begin"/>
            </w:r>
            <w:r w:rsidR="00E730E1" w:rsidRPr="00E730E1">
              <w:instrText xml:space="preserve"> SEQ Figure_A.4 \* ARABIC </w:instrText>
            </w:r>
            <w:r w:rsidR="00E730E1" w:rsidRPr="00E730E1">
              <w:fldChar w:fldCharType="separate"/>
            </w:r>
            <w:r w:rsidR="007E30F4">
              <w:t>1</w:t>
            </w:r>
            <w:r w:rsidR="00E730E1" w:rsidRPr="00E730E1">
              <w:fldChar w:fldCharType="end"/>
            </w:r>
            <w:bookmarkEnd w:id="431"/>
            <w:r w:rsidRPr="0054731B">
              <w:t xml:space="preserve"> Poverty </w:t>
            </w:r>
            <w:r>
              <w:t>and labor income</w:t>
            </w:r>
            <w:bookmarkEnd w:id="432"/>
          </w:p>
        </w:tc>
      </w:tr>
      <w:tr w:rsidR="009C41D1" w:rsidRPr="008200EE" w14:paraId="0DCEEF8F" w14:textId="77777777" w:rsidTr="006C4828">
        <w:tc>
          <w:tcPr>
            <w:tcW w:w="4675" w:type="dxa"/>
          </w:tcPr>
          <w:p w14:paraId="09EECF8E" w14:textId="4F075EDD" w:rsidR="009C41D1" w:rsidRPr="008200EE" w:rsidRDefault="009C41D1" w:rsidP="00665270">
            <w:pPr>
              <w:pStyle w:val="figuredescription"/>
              <w:numPr>
                <w:ilvl w:val="0"/>
                <w:numId w:val="24"/>
              </w:numPr>
              <w:spacing w:after="120"/>
              <w:rPr>
                <w:rFonts w:cs="Calibri Light"/>
              </w:rPr>
            </w:pPr>
            <w:r w:rsidRPr="008200EE">
              <w:rPr>
                <w:rFonts w:cs="Calibri Light"/>
              </w:rPr>
              <w:t>Poverty rates</w:t>
            </w:r>
          </w:p>
        </w:tc>
        <w:tc>
          <w:tcPr>
            <w:tcW w:w="4675" w:type="dxa"/>
          </w:tcPr>
          <w:p w14:paraId="299D2CDD" w14:textId="1880C4AE" w:rsidR="009C41D1" w:rsidRPr="008200EE" w:rsidRDefault="009C41D1" w:rsidP="00665270">
            <w:pPr>
              <w:pStyle w:val="figuredescription"/>
              <w:numPr>
                <w:ilvl w:val="0"/>
                <w:numId w:val="24"/>
              </w:numPr>
              <w:spacing w:after="120"/>
              <w:rPr>
                <w:rFonts w:cs="Calibri Light"/>
              </w:rPr>
            </w:pPr>
            <w:r w:rsidRPr="008200EE">
              <w:rPr>
                <w:rFonts w:cs="Calibri Light"/>
              </w:rPr>
              <w:t xml:space="preserve">Sectoral employment </w:t>
            </w:r>
          </w:p>
        </w:tc>
      </w:tr>
      <w:tr w:rsidR="009C41D1" w:rsidRPr="00E90233" w14:paraId="3721E3DB" w14:textId="77777777" w:rsidTr="006C4828">
        <w:tc>
          <w:tcPr>
            <w:tcW w:w="4675" w:type="dxa"/>
          </w:tcPr>
          <w:p w14:paraId="56C8E92F" w14:textId="443FD191" w:rsidR="009C41D1" w:rsidRDefault="006126D4" w:rsidP="006C4828">
            <w:pPr>
              <w:pStyle w:val="Default"/>
              <w:rPr>
                <w:rFonts w:ascii="Times New Roman" w:hAnsi="Times New Roman" w:cs="Times New Roman"/>
                <w:b/>
                <w:bCs/>
              </w:rPr>
            </w:pPr>
            <w:r w:rsidRPr="007837AC">
              <w:rPr>
                <w:noProof/>
                <w:lang w:val="en-GB" w:eastAsia="en-GB"/>
              </w:rPr>
              <w:drawing>
                <wp:inline distT="0" distB="0" distL="0" distR="0" wp14:anchorId="5F578689" wp14:editId="3BD10DF6">
                  <wp:extent cx="2828925" cy="2286000"/>
                  <wp:effectExtent l="0" t="0" r="9525" b="0"/>
                  <wp:docPr id="194727682" name="Picture 19472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8925" cy="2286000"/>
                          </a:xfrm>
                          <a:prstGeom prst="rect">
                            <a:avLst/>
                          </a:prstGeom>
                          <a:noFill/>
                          <a:ln>
                            <a:noFill/>
                          </a:ln>
                        </pic:spPr>
                      </pic:pic>
                    </a:graphicData>
                  </a:graphic>
                </wp:inline>
              </w:drawing>
            </w:r>
          </w:p>
        </w:tc>
        <w:tc>
          <w:tcPr>
            <w:tcW w:w="4675" w:type="dxa"/>
          </w:tcPr>
          <w:p w14:paraId="74A69EAA" w14:textId="415EC5CB" w:rsidR="009C41D1" w:rsidRDefault="004E6781" w:rsidP="006C4828">
            <w:pPr>
              <w:pStyle w:val="Default"/>
              <w:rPr>
                <w:rFonts w:ascii="Times New Roman" w:hAnsi="Times New Roman" w:cs="Times New Roman"/>
                <w:b/>
                <w:bCs/>
              </w:rPr>
            </w:pPr>
            <w:r w:rsidRPr="007837AC">
              <w:rPr>
                <w:noProof/>
                <w:lang w:val="en-GB" w:eastAsia="en-GB"/>
              </w:rPr>
              <w:drawing>
                <wp:inline distT="0" distB="0" distL="0" distR="0" wp14:anchorId="6BD6C367" wp14:editId="29132B46">
                  <wp:extent cx="2955925" cy="2286000"/>
                  <wp:effectExtent l="0" t="0" r="0" b="0"/>
                  <wp:docPr id="194727704" name="Picture 19472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5925" cy="2286000"/>
                          </a:xfrm>
                          <a:prstGeom prst="rect">
                            <a:avLst/>
                          </a:prstGeom>
                          <a:noFill/>
                          <a:ln>
                            <a:noFill/>
                          </a:ln>
                        </pic:spPr>
                      </pic:pic>
                    </a:graphicData>
                  </a:graphic>
                </wp:inline>
              </w:drawing>
            </w:r>
          </w:p>
        </w:tc>
      </w:tr>
      <w:tr w:rsidR="009C41D1" w:rsidRPr="00E90233" w14:paraId="1A577FD8" w14:textId="77777777" w:rsidTr="006C4828">
        <w:tc>
          <w:tcPr>
            <w:tcW w:w="4675" w:type="dxa"/>
          </w:tcPr>
          <w:p w14:paraId="2A2F2B64" w14:textId="2752364B" w:rsidR="009C41D1" w:rsidRDefault="009C41D1" w:rsidP="00665270">
            <w:pPr>
              <w:pStyle w:val="figuredescription"/>
              <w:numPr>
                <w:ilvl w:val="0"/>
                <w:numId w:val="24"/>
              </w:numPr>
              <w:spacing w:after="120"/>
              <w:rPr>
                <w:noProof/>
              </w:rPr>
            </w:pPr>
            <w:r w:rsidRPr="0054731B">
              <w:t>Labor income trends</w:t>
            </w:r>
          </w:p>
        </w:tc>
        <w:tc>
          <w:tcPr>
            <w:tcW w:w="4675" w:type="dxa"/>
          </w:tcPr>
          <w:p w14:paraId="6EA06534" w14:textId="1F4F2D18" w:rsidR="009C41D1" w:rsidRDefault="009C41D1" w:rsidP="00665270">
            <w:pPr>
              <w:pStyle w:val="figuredescription"/>
              <w:numPr>
                <w:ilvl w:val="0"/>
                <w:numId w:val="24"/>
              </w:numPr>
              <w:spacing w:after="120"/>
              <w:rPr>
                <w:noProof/>
              </w:rPr>
            </w:pPr>
            <w:r w:rsidRPr="007F5538">
              <w:t>Factors contributing to poverty reduction</w:t>
            </w:r>
          </w:p>
        </w:tc>
      </w:tr>
      <w:tr w:rsidR="009C41D1" w:rsidRPr="00E90233" w14:paraId="2DCB7C19" w14:textId="77777777" w:rsidTr="006C4828">
        <w:tc>
          <w:tcPr>
            <w:tcW w:w="4675" w:type="dxa"/>
          </w:tcPr>
          <w:p w14:paraId="29D03000" w14:textId="0052D8A7" w:rsidR="009C41D1" w:rsidRDefault="000F5150" w:rsidP="006C4828">
            <w:pPr>
              <w:pStyle w:val="Default"/>
              <w:rPr>
                <w:noProof/>
              </w:rPr>
            </w:pPr>
            <w:r w:rsidRPr="007837AC">
              <w:rPr>
                <w:noProof/>
                <w:lang w:val="en-GB" w:eastAsia="en-GB"/>
              </w:rPr>
              <w:drawing>
                <wp:inline distT="0" distB="0" distL="0" distR="0" wp14:anchorId="054E215D" wp14:editId="77DADC8B">
                  <wp:extent cx="2834640" cy="2088749"/>
                  <wp:effectExtent l="0" t="0" r="3810" b="6985"/>
                  <wp:docPr id="194727705" name="Picture 19472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4640" cy="2088749"/>
                          </a:xfrm>
                          <a:prstGeom prst="rect">
                            <a:avLst/>
                          </a:prstGeom>
                          <a:noFill/>
                          <a:ln>
                            <a:noFill/>
                          </a:ln>
                        </pic:spPr>
                      </pic:pic>
                    </a:graphicData>
                  </a:graphic>
                </wp:inline>
              </w:drawing>
            </w:r>
          </w:p>
        </w:tc>
        <w:tc>
          <w:tcPr>
            <w:tcW w:w="4675" w:type="dxa"/>
          </w:tcPr>
          <w:p w14:paraId="32CE421F" w14:textId="559A7E77" w:rsidR="009C41D1" w:rsidRDefault="00170D70" w:rsidP="006C4828">
            <w:pPr>
              <w:pStyle w:val="Default"/>
              <w:rPr>
                <w:noProof/>
              </w:rPr>
            </w:pPr>
            <w:r w:rsidRPr="007837AC">
              <w:rPr>
                <w:noProof/>
                <w:lang w:val="en-GB" w:eastAsia="en-GB"/>
              </w:rPr>
              <w:drawing>
                <wp:inline distT="0" distB="0" distL="0" distR="0" wp14:anchorId="22F27DFD" wp14:editId="028AB1F3">
                  <wp:extent cx="2926080" cy="2257901"/>
                  <wp:effectExtent l="0" t="0" r="7620" b="9525"/>
                  <wp:docPr id="194727706" name="Picture 19472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6080" cy="2257901"/>
                          </a:xfrm>
                          <a:prstGeom prst="rect">
                            <a:avLst/>
                          </a:prstGeom>
                          <a:noFill/>
                          <a:ln>
                            <a:noFill/>
                          </a:ln>
                        </pic:spPr>
                      </pic:pic>
                    </a:graphicData>
                  </a:graphic>
                </wp:inline>
              </w:drawing>
            </w:r>
          </w:p>
        </w:tc>
      </w:tr>
      <w:tr w:rsidR="009C41D1" w:rsidRPr="00E90233" w14:paraId="3E1D714B" w14:textId="77777777" w:rsidTr="006C4828">
        <w:tc>
          <w:tcPr>
            <w:tcW w:w="9350" w:type="dxa"/>
            <w:gridSpan w:val="2"/>
          </w:tcPr>
          <w:p w14:paraId="7264A6F1" w14:textId="77777777" w:rsidR="009C41D1" w:rsidRPr="00170D70" w:rsidRDefault="009C41D1" w:rsidP="006C4828">
            <w:pPr>
              <w:pStyle w:val="Source"/>
              <w:rPr>
                <w:rFonts w:cs="Calibri Light"/>
                <w:bCs/>
                <w:szCs w:val="16"/>
              </w:rPr>
            </w:pPr>
            <w:r w:rsidRPr="00807BE5">
              <w:rPr>
                <w:rFonts w:cs="Calibri Light"/>
                <w:b/>
                <w:i/>
              </w:rPr>
              <w:t xml:space="preserve">Source: </w:t>
            </w:r>
            <w:r w:rsidRPr="00170D70">
              <w:rPr>
                <w:rFonts w:cs="Calibri Light"/>
                <w:bCs/>
                <w:szCs w:val="16"/>
              </w:rPr>
              <w:t>Thailand’s Labor Force Survey and Household Socio-Economic Survey.</w:t>
            </w:r>
          </w:p>
          <w:p w14:paraId="1A655FEB" w14:textId="77777777" w:rsidR="009C41D1" w:rsidRPr="00B62C63" w:rsidRDefault="009C41D1" w:rsidP="00FF4129">
            <w:pPr>
              <w:pStyle w:val="Source"/>
              <w:keepNext/>
              <w:rPr>
                <w:rFonts w:ascii="Times New Roman" w:hAnsi="Times New Roman" w:cs="Times New Roman"/>
                <w:sz w:val="18"/>
                <w:szCs w:val="18"/>
              </w:rPr>
            </w:pPr>
            <w:r w:rsidRPr="00807BE5">
              <w:rPr>
                <w:rFonts w:cs="Calibri Light"/>
                <w:b/>
                <w:i/>
              </w:rPr>
              <w:t>Note:</w:t>
            </w:r>
            <w:r w:rsidRPr="00170D70">
              <w:rPr>
                <w:rFonts w:cs="Calibri Light"/>
                <w:bCs/>
                <w:iCs/>
              </w:rPr>
              <w:t xml:space="preserve"> D. Shapely decomposition (Azevedo, </w:t>
            </w:r>
            <w:proofErr w:type="spellStart"/>
            <w:r w:rsidRPr="00170D70">
              <w:rPr>
                <w:rFonts w:cs="Calibri Light"/>
                <w:bCs/>
                <w:iCs/>
              </w:rPr>
              <w:t>Sanfelice</w:t>
            </w:r>
            <w:proofErr w:type="spellEnd"/>
            <w:r w:rsidRPr="00170D70">
              <w:rPr>
                <w:rFonts w:cs="Calibri Light"/>
                <w:bCs/>
                <w:iCs/>
              </w:rPr>
              <w:t xml:space="preserve"> and Nguyen, 2012).</w:t>
            </w:r>
          </w:p>
        </w:tc>
      </w:tr>
    </w:tbl>
    <w:p w14:paraId="2FC4A5B8" w14:textId="77777777" w:rsidR="009C41D1" w:rsidRDefault="009C41D1" w:rsidP="009C41D1">
      <w:pPr>
        <w:jc w:val="both"/>
        <w:rPr>
          <w:rFonts w:asciiTheme="majorHAnsi" w:hAnsiTheme="majorHAnsi" w:cstheme="majorHAnsi"/>
          <w:b/>
          <w:i/>
          <w:iCs/>
          <w:color w:val="1F497D" w:themeColor="text2"/>
          <w:sz w:val="18"/>
          <w:szCs w:val="18"/>
        </w:rPr>
      </w:pPr>
    </w:p>
    <w:p w14:paraId="57970839" w14:textId="143F37CC" w:rsidR="009C41D1" w:rsidRPr="00B41281" w:rsidRDefault="009C41D1" w:rsidP="009C41D1">
      <w:pPr>
        <w:jc w:val="both"/>
        <w:rPr>
          <w:rFonts w:asciiTheme="majorHAnsi" w:hAnsiTheme="majorHAnsi" w:cstheme="majorHAnsi"/>
          <w:b/>
        </w:rPr>
      </w:pPr>
      <w:r w:rsidRPr="00B41281">
        <w:rPr>
          <w:rFonts w:asciiTheme="majorHAnsi" w:hAnsiTheme="majorHAnsi" w:cstheme="majorHAnsi"/>
          <w:b/>
        </w:rPr>
        <w:lastRenderedPageBreak/>
        <w:t xml:space="preserve">Structural transformation has stalled, contributing to wage income stagnation. </w:t>
      </w:r>
      <w:r w:rsidRPr="00B41281">
        <w:rPr>
          <w:rFonts w:asciiTheme="majorHAnsi" w:hAnsiTheme="majorHAnsi" w:cstheme="majorHAnsi"/>
          <w:bCs/>
        </w:rPr>
        <w:t>A major structural shift occurred during 2014–2016 following the minimum wage hike in 2013. Labor has reallocated away from low-productivity agriculture and toward manufacturing and services. Since then, the process of structural change has been slow and mainly involved employment shifting from manufacturing in which the median wage has steadily increased to low-end services in which the median wage has been relatively flat. This pattern of structural change contributed to wage income stagnation among households. In 2021, one-third of the country’s labor force was still occupied in agriculture, which made up less than 10 percent of GDP, while employment in high-end services remained low at only around 15.0 percent of total employment.</w:t>
      </w:r>
    </w:p>
    <w:p w14:paraId="5823522A" w14:textId="3B195FC6" w:rsidR="009C41D1" w:rsidRPr="00B41281" w:rsidRDefault="009C41D1" w:rsidP="009C41D1">
      <w:pPr>
        <w:pStyle w:val="Default"/>
        <w:spacing w:before="240" w:after="240"/>
        <w:jc w:val="both"/>
        <w:rPr>
          <w:rFonts w:asciiTheme="majorHAnsi" w:hAnsiTheme="majorHAnsi" w:cstheme="majorHAnsi"/>
          <w:bCs/>
          <w:color w:val="auto"/>
          <w:sz w:val="22"/>
          <w:szCs w:val="22"/>
        </w:rPr>
      </w:pPr>
      <w:r w:rsidRPr="00B41281">
        <w:rPr>
          <w:rFonts w:asciiTheme="majorHAnsi" w:hAnsiTheme="majorHAnsi" w:cstheme="majorHAnsi"/>
          <w:b/>
          <w:color w:val="auto"/>
          <w:sz w:val="22"/>
          <w:szCs w:val="22"/>
        </w:rPr>
        <w:t>Farm income has deteriorated since early 2010 owing to a decline in global agricultural commodity prices and intensified climatic events.</w:t>
      </w:r>
      <w:r w:rsidRPr="00B41281">
        <w:rPr>
          <w:rFonts w:asciiTheme="majorHAnsi" w:hAnsiTheme="majorHAnsi" w:cstheme="majorHAnsi"/>
          <w:bCs/>
          <w:color w:val="auto"/>
          <w:sz w:val="22"/>
          <w:szCs w:val="22"/>
        </w:rPr>
        <w:t xml:space="preserve"> More than one-third of rural households are exclusively farm households (i.e., all their members work in agriculture), and poverty tends to be highest among this group.</w:t>
      </w:r>
      <w:r w:rsidRPr="009F1DB5">
        <w:rPr>
          <w:rFonts w:asciiTheme="majorHAnsi" w:hAnsiTheme="majorHAnsi" w:cstheme="majorHAnsi"/>
          <w:color w:val="auto"/>
          <w:sz w:val="22"/>
          <w:szCs w:val="22"/>
          <w:vertAlign w:val="superscript"/>
        </w:rPr>
        <w:footnoteReference w:id="5"/>
      </w:r>
      <w:r w:rsidRPr="009F1DB5">
        <w:rPr>
          <w:rFonts w:asciiTheme="majorHAnsi" w:hAnsiTheme="majorHAnsi" w:cstheme="majorHAnsi"/>
          <w:bCs/>
          <w:color w:val="auto"/>
          <w:sz w:val="22"/>
          <w:szCs w:val="22"/>
          <w:vertAlign w:val="superscript"/>
        </w:rPr>
        <w:t xml:space="preserve"> </w:t>
      </w:r>
      <w:r w:rsidRPr="00B41281">
        <w:rPr>
          <w:rFonts w:asciiTheme="majorHAnsi" w:hAnsiTheme="majorHAnsi" w:cstheme="majorHAnsi"/>
          <w:bCs/>
          <w:color w:val="auto"/>
          <w:sz w:val="22"/>
          <w:szCs w:val="22"/>
        </w:rPr>
        <w:t xml:space="preserve"> Between 2011 and 2019, net farm profit declined by about 14 percent, due to floods and droughts during 2011–2015, and a significant drop in global agricultural and food prices since 2011. There are several constraints to improving farm income in Thailand</w:t>
      </w:r>
      <w:r w:rsidR="00141648">
        <w:rPr>
          <w:rFonts w:asciiTheme="majorHAnsi" w:hAnsiTheme="majorHAnsi" w:cstheme="majorHAnsi"/>
          <w:bCs/>
          <w:color w:val="auto"/>
          <w:sz w:val="22"/>
          <w:szCs w:val="22"/>
        </w:rPr>
        <w:t>,</w:t>
      </w:r>
      <w:r w:rsidRPr="00B41281">
        <w:rPr>
          <w:rFonts w:asciiTheme="majorHAnsi" w:hAnsiTheme="majorHAnsi" w:cstheme="majorHAnsi"/>
          <w:bCs/>
          <w:color w:val="auto"/>
          <w:sz w:val="22"/>
          <w:szCs w:val="22"/>
        </w:rPr>
        <w:t xml:space="preserve"> such as constraints to enhancing agricultural productivity and diversification, stemmed from limited access to irrigation systems and water sources, small farm size and weak tenure security, risks from climate change, ineffective crop insurance and subsidy policies, and low levels of agricultural R&amp;D investment.</w:t>
      </w:r>
    </w:p>
    <w:p w14:paraId="5E13FED5" w14:textId="7F4ED516" w:rsidR="009C41D1" w:rsidRPr="00B41281" w:rsidRDefault="009C41D1" w:rsidP="009C41D1">
      <w:pPr>
        <w:pStyle w:val="Default"/>
        <w:spacing w:before="240" w:after="240"/>
        <w:jc w:val="both"/>
        <w:rPr>
          <w:rFonts w:asciiTheme="majorHAnsi" w:hAnsiTheme="majorHAnsi" w:cstheme="majorHAnsi"/>
          <w:bCs/>
          <w:color w:val="auto"/>
          <w:sz w:val="22"/>
          <w:szCs w:val="22"/>
        </w:rPr>
      </w:pPr>
      <w:r w:rsidRPr="00B41281">
        <w:rPr>
          <w:rFonts w:asciiTheme="majorHAnsi" w:hAnsiTheme="majorHAnsi" w:cstheme="majorHAnsi"/>
          <w:b/>
          <w:color w:val="auto"/>
          <w:sz w:val="22"/>
          <w:szCs w:val="22"/>
        </w:rPr>
        <w:t>In the absence of structural transformation and labor income growth, scaled-up social and in-kind transfers drove poverty reduction.</w:t>
      </w:r>
      <w:r w:rsidRPr="00B41281">
        <w:rPr>
          <w:rFonts w:asciiTheme="majorHAnsi" w:hAnsiTheme="majorHAnsi" w:cstheme="majorHAnsi"/>
          <w:bCs/>
          <w:color w:val="auto"/>
          <w:sz w:val="22"/>
          <w:szCs w:val="22"/>
        </w:rPr>
        <w:t xml:space="preserve"> Social protection has been ramped up since 2016. The State Welfare Card (SWC) program was launched in 2016, and in 2019 provided cash to 14.6 million citizens.</w:t>
      </w:r>
      <w:r w:rsidRPr="00665270">
        <w:rPr>
          <w:rFonts w:asciiTheme="majorHAnsi" w:hAnsiTheme="majorHAnsi" w:cstheme="majorHAnsi"/>
          <w:bCs/>
          <w:color w:val="auto"/>
          <w:sz w:val="22"/>
          <w:szCs w:val="22"/>
          <w:vertAlign w:val="superscript"/>
        </w:rPr>
        <w:footnoteReference w:id="6"/>
      </w:r>
      <w:r w:rsidRPr="00B41281">
        <w:rPr>
          <w:rFonts w:asciiTheme="majorHAnsi" w:hAnsiTheme="majorHAnsi" w:cstheme="majorHAnsi"/>
          <w:bCs/>
          <w:color w:val="auto"/>
          <w:sz w:val="22"/>
          <w:szCs w:val="22"/>
        </w:rPr>
        <w:t xml:space="preserve"> Social assistance and in-kind transfers eclipsed farm income as the key drivers of poverty reduction during 2015-19 and became the most important contributor during COVID-19 </w:t>
      </w:r>
      <w:r w:rsidRPr="0054731B">
        <w:rPr>
          <w:rFonts w:asciiTheme="majorHAnsi" w:hAnsiTheme="majorHAnsi" w:cstheme="majorHAnsi"/>
          <w:bCs/>
        </w:rPr>
        <w:t>(</w:t>
      </w:r>
      <w:r>
        <w:rPr>
          <w:rFonts w:asciiTheme="majorHAnsi" w:hAnsiTheme="majorHAnsi" w:cstheme="majorHAnsi"/>
          <w:bCs/>
        </w:rPr>
        <w:t>Figure A.</w:t>
      </w:r>
      <w:r w:rsidR="00605C73">
        <w:rPr>
          <w:rFonts w:asciiTheme="majorHAnsi" w:hAnsiTheme="majorHAnsi" w:cstheme="majorHAnsi"/>
          <w:bCs/>
        </w:rPr>
        <w:t>3</w:t>
      </w:r>
      <w:r>
        <w:rPr>
          <w:rFonts w:asciiTheme="majorHAnsi" w:hAnsiTheme="majorHAnsi" w:cstheme="majorHAnsi"/>
          <w:bCs/>
        </w:rPr>
        <w:t>.1D</w:t>
      </w:r>
      <w:r w:rsidRPr="00B41281">
        <w:rPr>
          <w:rFonts w:asciiTheme="majorHAnsi" w:hAnsiTheme="majorHAnsi" w:cstheme="majorHAnsi"/>
          <w:bCs/>
          <w:color w:val="auto"/>
          <w:sz w:val="22"/>
          <w:szCs w:val="22"/>
        </w:rPr>
        <w:t xml:space="preserve">) as wage income deteriorated and the Government of Thailand initiated a rapid and comprehensive social assistance response that is estimated to have reached more than 30 million individuals. Spending on social assistance rose from 0.8 percent of GDP to 3.1 percent of GDP between 2018 and 2021. </w:t>
      </w:r>
    </w:p>
    <w:p w14:paraId="40240899" w14:textId="0E51A747" w:rsidR="009C41D1" w:rsidRDefault="009C41D1" w:rsidP="009C41D1">
      <w:pPr>
        <w:pStyle w:val="Default"/>
        <w:spacing w:before="240" w:after="240"/>
        <w:jc w:val="both"/>
        <w:rPr>
          <w:rFonts w:asciiTheme="majorHAnsi" w:hAnsiTheme="majorHAnsi" w:cstheme="majorHAnsi"/>
          <w:bCs/>
          <w:color w:val="auto"/>
          <w:sz w:val="22"/>
          <w:szCs w:val="22"/>
        </w:rPr>
      </w:pPr>
      <w:r w:rsidRPr="00421FD8">
        <w:rPr>
          <w:rFonts w:asciiTheme="majorHAnsi" w:hAnsiTheme="majorHAnsi" w:cstheme="majorHAnsi"/>
          <w:b/>
          <w:color w:val="auto"/>
          <w:sz w:val="22"/>
          <w:szCs w:val="22"/>
        </w:rPr>
        <w:t>The pace of inequality reduction has decelerated since 2015, partially due to a slowdown in employment shifts and real wage growth among low-educated workers.</w:t>
      </w:r>
      <w:r w:rsidRPr="00B41281">
        <w:rPr>
          <w:rFonts w:asciiTheme="majorHAnsi" w:hAnsiTheme="majorHAnsi" w:cstheme="majorHAnsi"/>
          <w:bCs/>
          <w:color w:val="auto"/>
          <w:sz w:val="22"/>
          <w:szCs w:val="22"/>
        </w:rPr>
        <w:t xml:space="preserve"> The rapid decline in inequality during 2000–</w:t>
      </w:r>
      <w:r w:rsidR="00141648">
        <w:rPr>
          <w:rFonts w:asciiTheme="majorHAnsi" w:hAnsiTheme="majorHAnsi" w:cstheme="majorHAnsi"/>
          <w:bCs/>
          <w:color w:val="auto"/>
          <w:sz w:val="22"/>
          <w:szCs w:val="22"/>
        </w:rPr>
        <w:t>20</w:t>
      </w:r>
      <w:r w:rsidRPr="00B41281">
        <w:rPr>
          <w:rFonts w:asciiTheme="majorHAnsi" w:hAnsiTheme="majorHAnsi" w:cstheme="majorHAnsi"/>
          <w:bCs/>
          <w:color w:val="auto"/>
          <w:sz w:val="22"/>
          <w:szCs w:val="22"/>
        </w:rPr>
        <w:t>15 was partially driven by the narrowing wage gap, as less-educated workers transitioned from low-skilled toward middle-skilled occupations and experienced relatively rapid wage growth. These dynamics have started reversing in recent years. While the decline in inequality has continued since 2015, it is much slower</w:t>
      </w:r>
      <w:r>
        <w:rPr>
          <w:rFonts w:asciiTheme="majorHAnsi" w:hAnsiTheme="majorHAnsi" w:cstheme="majorHAnsi"/>
          <w:bCs/>
          <w:color w:val="auto"/>
          <w:sz w:val="22"/>
          <w:szCs w:val="22"/>
        </w:rPr>
        <w:t xml:space="preserve"> (</w:t>
      </w:r>
      <w:r w:rsidR="00BB1872" w:rsidRPr="00141648">
        <w:rPr>
          <w:rFonts w:asciiTheme="majorHAnsi" w:hAnsiTheme="majorHAnsi" w:cstheme="majorHAnsi"/>
          <w:bCs/>
          <w:color w:val="auto"/>
          <w:sz w:val="22"/>
          <w:szCs w:val="22"/>
        </w:rPr>
        <w:fldChar w:fldCharType="begin"/>
      </w:r>
      <w:r w:rsidR="00BB1872" w:rsidRPr="00141648">
        <w:rPr>
          <w:rFonts w:asciiTheme="majorHAnsi" w:hAnsiTheme="majorHAnsi" w:cstheme="majorHAnsi"/>
          <w:bCs/>
          <w:color w:val="auto"/>
          <w:sz w:val="22"/>
          <w:szCs w:val="22"/>
        </w:rPr>
        <w:instrText xml:space="preserve"> REF _Ref149776838 </w:instrText>
      </w:r>
      <w:r w:rsidR="00141648" w:rsidRPr="00141648">
        <w:rPr>
          <w:rFonts w:asciiTheme="majorHAnsi" w:hAnsiTheme="majorHAnsi" w:cstheme="majorHAnsi"/>
          <w:bCs/>
          <w:color w:val="auto"/>
          <w:sz w:val="22"/>
          <w:szCs w:val="22"/>
        </w:rPr>
        <w:instrText xml:space="preserve"> \* MERGEFORMAT </w:instrText>
      </w:r>
      <w:r w:rsidR="00BB1872" w:rsidRPr="00141648">
        <w:rPr>
          <w:rFonts w:asciiTheme="majorHAnsi" w:hAnsiTheme="majorHAnsi" w:cstheme="majorHAnsi"/>
          <w:bCs/>
          <w:color w:val="auto"/>
          <w:sz w:val="22"/>
          <w:szCs w:val="22"/>
        </w:rPr>
        <w:fldChar w:fldCharType="separate"/>
      </w:r>
      <w:r w:rsidR="00BB1872" w:rsidRPr="00665270">
        <w:rPr>
          <w:rFonts w:asciiTheme="majorHAnsi" w:hAnsiTheme="majorHAnsi" w:cstheme="majorHAnsi"/>
          <w:sz w:val="22"/>
          <w:szCs w:val="22"/>
        </w:rPr>
        <w:t>Figure A.</w:t>
      </w:r>
      <w:r w:rsidR="00605C73">
        <w:rPr>
          <w:rFonts w:asciiTheme="majorHAnsi" w:hAnsiTheme="majorHAnsi" w:cstheme="majorHAnsi"/>
          <w:sz w:val="22"/>
          <w:szCs w:val="22"/>
        </w:rPr>
        <w:t>3</w:t>
      </w:r>
      <w:r w:rsidR="00BB1872" w:rsidRPr="00665270">
        <w:rPr>
          <w:rFonts w:asciiTheme="majorHAnsi" w:hAnsiTheme="majorHAnsi" w:cstheme="majorHAnsi"/>
          <w:sz w:val="22"/>
          <w:szCs w:val="22"/>
        </w:rPr>
        <w:t>.</w:t>
      </w:r>
      <w:r w:rsidR="00BB1872" w:rsidRPr="00665270">
        <w:rPr>
          <w:rFonts w:asciiTheme="majorHAnsi" w:hAnsiTheme="majorHAnsi" w:cstheme="majorHAnsi"/>
          <w:noProof/>
          <w:sz w:val="22"/>
          <w:szCs w:val="22"/>
        </w:rPr>
        <w:t>2</w:t>
      </w:r>
      <w:r w:rsidR="00BB1872" w:rsidRPr="00141648">
        <w:rPr>
          <w:rFonts w:asciiTheme="majorHAnsi" w:hAnsiTheme="majorHAnsi" w:cstheme="majorHAnsi"/>
          <w:bCs/>
          <w:color w:val="auto"/>
          <w:sz w:val="22"/>
          <w:szCs w:val="22"/>
        </w:rPr>
        <w:fldChar w:fldCharType="end"/>
      </w:r>
      <w:r w:rsidRPr="00141648">
        <w:rPr>
          <w:rFonts w:asciiTheme="majorHAnsi" w:hAnsiTheme="majorHAnsi" w:cstheme="majorHAnsi"/>
          <w:bCs/>
          <w:color w:val="auto"/>
          <w:sz w:val="22"/>
          <w:szCs w:val="22"/>
        </w:rPr>
        <w:t>).</w:t>
      </w:r>
      <w:r w:rsidRPr="00B41281">
        <w:rPr>
          <w:rFonts w:asciiTheme="majorHAnsi" w:hAnsiTheme="majorHAnsi" w:cstheme="majorHAnsi"/>
          <w:bCs/>
          <w:color w:val="auto"/>
          <w:sz w:val="22"/>
          <w:szCs w:val="22"/>
        </w:rPr>
        <w:t xml:space="preserve"> Between 2015 and 2021, the consumption Gini index marginally fell from 36.2 to 35.2 and the income Gini index reduced from 44.5 to 43.0, with most of the decline registered in 2019 when the number of SWC beneficiaries rose to 14.6 million people from 11 million in the prior year and the amount of cash transfer doubled to </w:t>
      </w:r>
      <w:r w:rsidR="00141648">
        <w:rPr>
          <w:rFonts w:asciiTheme="majorHAnsi" w:hAnsiTheme="majorHAnsi" w:cstheme="majorHAnsi"/>
          <w:bCs/>
          <w:color w:val="auto"/>
          <w:sz w:val="22"/>
          <w:szCs w:val="22"/>
        </w:rPr>
        <w:t xml:space="preserve">B </w:t>
      </w:r>
      <w:r w:rsidRPr="00B41281">
        <w:rPr>
          <w:rFonts w:asciiTheme="majorHAnsi" w:hAnsiTheme="majorHAnsi" w:cstheme="majorHAnsi"/>
          <w:bCs/>
          <w:color w:val="auto"/>
          <w:sz w:val="22"/>
          <w:szCs w:val="22"/>
        </w:rPr>
        <w:t xml:space="preserve">500. </w:t>
      </w:r>
    </w:p>
    <w:p w14:paraId="416A998B" w14:textId="77777777" w:rsidR="009C41D1" w:rsidRPr="00B41281" w:rsidRDefault="009C41D1" w:rsidP="009C41D1">
      <w:pPr>
        <w:pStyle w:val="Default"/>
        <w:spacing w:before="240" w:after="240"/>
        <w:jc w:val="both"/>
        <w:rPr>
          <w:rFonts w:asciiTheme="majorHAnsi" w:hAnsiTheme="majorHAnsi" w:cstheme="majorHAnsi"/>
          <w:bCs/>
          <w:color w:val="auto"/>
          <w:sz w:val="22"/>
          <w:szCs w:val="22"/>
        </w:rPr>
      </w:pPr>
      <w:r w:rsidRPr="002905BE">
        <w:rPr>
          <w:rFonts w:asciiTheme="majorHAnsi" w:hAnsiTheme="majorHAnsi" w:cstheme="majorHAnsi"/>
          <w:b/>
          <w:color w:val="auto"/>
          <w:sz w:val="22"/>
          <w:szCs w:val="22"/>
        </w:rPr>
        <w:t>The pandemic deepened the stalled progress in poverty and inequality reduction that had appeared earlier.</w:t>
      </w:r>
      <w:r w:rsidRPr="002905BE">
        <w:rPr>
          <w:rFonts w:asciiTheme="majorHAnsi" w:hAnsiTheme="majorHAnsi" w:cstheme="majorHAnsi"/>
          <w:bCs/>
          <w:color w:val="auto"/>
          <w:sz w:val="22"/>
          <w:szCs w:val="22"/>
        </w:rPr>
        <w:t xml:space="preserve"> Poverty increased slightly to 6.8 percent in 2020 before reversing to the pre-pandemic rate of 6.3 percent in 2021. The increase would have been higher without massive social transfers by the Government of Thailand, which initiated a rapid and comprehensive social assistance response that is estimated to have reached more than 30 million individuals. Spending on social assistance rose from 0.8 percent of GDP to 3.1 percent of GDP between 2018 and 2021. Social assistance became the most important contributor to poverty reduction during COVID-19 as wage income deteriorated. The disproportionate effect of COVID-19 </w:t>
      </w:r>
      <w:r w:rsidRPr="002905BE">
        <w:rPr>
          <w:rFonts w:asciiTheme="majorHAnsi" w:hAnsiTheme="majorHAnsi" w:cstheme="majorHAnsi"/>
          <w:bCs/>
          <w:color w:val="auto"/>
          <w:sz w:val="22"/>
          <w:szCs w:val="22"/>
        </w:rPr>
        <w:lastRenderedPageBreak/>
        <w:t>on low-income households and vulnerable populations through employment and learning losses is expected to undermine progress in poverty and inequality reduction in the long term.</w:t>
      </w:r>
    </w:p>
    <w:p w14:paraId="178DB4B9" w14:textId="3CAD55C8" w:rsidR="00A27833" w:rsidRDefault="00A27833" w:rsidP="00A27833">
      <w:pPr>
        <w:pStyle w:val="Default"/>
        <w:spacing w:before="240" w:after="240"/>
        <w:jc w:val="both"/>
        <w:rPr>
          <w:rFonts w:asciiTheme="majorHAnsi" w:hAnsiTheme="majorHAnsi" w:cstheme="majorHAnsi"/>
          <w:b/>
          <w:color w:val="auto"/>
          <w:sz w:val="22"/>
          <w:szCs w:val="22"/>
        </w:rPr>
      </w:pPr>
      <w:r w:rsidRPr="009F1DB5">
        <w:rPr>
          <w:rFonts w:asciiTheme="majorHAnsi" w:hAnsiTheme="majorHAnsi" w:cstheme="majorHAnsi"/>
          <w:b/>
          <w:color w:val="auto"/>
          <w:sz w:val="22"/>
          <w:szCs w:val="22"/>
        </w:rPr>
        <w:t>Unequal access to education and economic opportunities has contributed to inequality in Thailand</w:t>
      </w:r>
      <w:r>
        <w:rPr>
          <w:rFonts w:asciiTheme="majorHAnsi" w:hAnsiTheme="majorHAnsi" w:cstheme="majorHAnsi"/>
          <w:b/>
          <w:color w:val="auto"/>
          <w:sz w:val="22"/>
          <w:szCs w:val="22"/>
        </w:rPr>
        <w:t>,</w:t>
      </w:r>
      <w:r w:rsidRPr="009F1DB5">
        <w:rPr>
          <w:rFonts w:asciiTheme="majorHAnsi" w:hAnsiTheme="majorHAnsi" w:cstheme="majorHAnsi"/>
          <w:bCs/>
          <w:color w:val="auto"/>
          <w:sz w:val="22"/>
          <w:szCs w:val="22"/>
        </w:rPr>
        <w:t xml:space="preserve"> which starts very early in life </w:t>
      </w:r>
      <w:r>
        <w:rPr>
          <w:rFonts w:asciiTheme="majorHAnsi" w:hAnsiTheme="majorHAnsi" w:cstheme="majorHAnsi"/>
          <w:bCs/>
          <w:color w:val="auto"/>
          <w:sz w:val="22"/>
          <w:szCs w:val="22"/>
        </w:rPr>
        <w:t xml:space="preserve">and </w:t>
      </w:r>
      <w:r w:rsidRPr="009F1DB5">
        <w:rPr>
          <w:rFonts w:asciiTheme="majorHAnsi" w:hAnsiTheme="majorHAnsi" w:cstheme="majorHAnsi"/>
          <w:bCs/>
          <w:color w:val="auto"/>
          <w:sz w:val="22"/>
          <w:szCs w:val="22"/>
        </w:rPr>
        <w:t xml:space="preserve">is perpetuated over the life cycle. While Thailand has done well in providing children a healthy start through sustained investments in health and nutrition programs, inequality of opportunity seems more apparent in education, where opportunities are less universal and are influenced by geographic locations and income levels. The youth in poorest households are not only at a disadvantage </w:t>
      </w:r>
      <w:proofErr w:type="gramStart"/>
      <w:r w:rsidRPr="009F1DB5">
        <w:rPr>
          <w:rFonts w:asciiTheme="majorHAnsi" w:hAnsiTheme="majorHAnsi" w:cstheme="majorHAnsi"/>
          <w:bCs/>
          <w:color w:val="auto"/>
          <w:sz w:val="22"/>
          <w:szCs w:val="22"/>
        </w:rPr>
        <w:t>with regard to</w:t>
      </w:r>
      <w:proofErr w:type="gramEnd"/>
      <w:r w:rsidRPr="009F1DB5">
        <w:rPr>
          <w:rFonts w:asciiTheme="majorHAnsi" w:hAnsiTheme="majorHAnsi" w:cstheme="majorHAnsi"/>
          <w:bCs/>
          <w:color w:val="auto"/>
          <w:sz w:val="22"/>
          <w:szCs w:val="22"/>
        </w:rPr>
        <w:t xml:space="preserve"> school attendance and completion, but they also fare worse in terms of learning outcomes. Less-educated workers are then trapped in low-productivity and low-paying jobs, mostly in agriculture and informal employment. Decomposition of inequality across households reveal that 60 percent of income inequality is attributable to differences in education and job opportunities.</w:t>
      </w:r>
      <w:r w:rsidRPr="009F1DB5">
        <w:rPr>
          <w:rFonts w:asciiTheme="majorHAnsi" w:hAnsiTheme="majorHAnsi" w:cstheme="majorHAnsi"/>
          <w:bCs/>
          <w:color w:val="auto"/>
          <w:sz w:val="22"/>
          <w:szCs w:val="22"/>
          <w:vertAlign w:val="superscript"/>
        </w:rPr>
        <w:footnoteReference w:id="7"/>
      </w:r>
    </w:p>
    <w:p w14:paraId="325AD09C" w14:textId="77777777" w:rsidR="00A27833" w:rsidRPr="009F1DB5" w:rsidRDefault="00A27833" w:rsidP="00A27833">
      <w:pPr>
        <w:pStyle w:val="Default"/>
        <w:spacing w:before="240" w:after="240"/>
        <w:jc w:val="both"/>
        <w:rPr>
          <w:rFonts w:asciiTheme="majorHAnsi" w:hAnsiTheme="majorHAnsi" w:cstheme="majorHAnsi"/>
          <w:bCs/>
          <w:color w:val="auto"/>
          <w:sz w:val="22"/>
          <w:szCs w:val="22"/>
        </w:rPr>
      </w:pPr>
      <w:r w:rsidRPr="009F1DB5">
        <w:rPr>
          <w:rFonts w:asciiTheme="majorHAnsi" w:hAnsiTheme="majorHAnsi" w:cstheme="majorHAnsi"/>
          <w:b/>
          <w:color w:val="auto"/>
          <w:sz w:val="22"/>
          <w:szCs w:val="22"/>
        </w:rPr>
        <w:t>Despite the expansion of social transfers, protection of vulnerable groups remains limited owing to gaps in targeting accuracy and benefit sizes.</w:t>
      </w:r>
      <w:r w:rsidRPr="009F1DB5">
        <w:rPr>
          <w:rFonts w:asciiTheme="majorHAnsi" w:hAnsiTheme="majorHAnsi" w:cstheme="majorHAnsi"/>
          <w:bCs/>
          <w:color w:val="auto"/>
          <w:sz w:val="22"/>
          <w:szCs w:val="22"/>
        </w:rPr>
        <w:t xml:space="preserve"> While the pension coverage has expanded, with 84 percent of the elderly receiving the </w:t>
      </w:r>
      <w:r>
        <w:rPr>
          <w:rFonts w:asciiTheme="majorHAnsi" w:hAnsiTheme="majorHAnsi" w:cstheme="majorHAnsi"/>
          <w:bCs/>
          <w:color w:val="auto"/>
          <w:sz w:val="22"/>
          <w:szCs w:val="22"/>
        </w:rPr>
        <w:t>o</w:t>
      </w:r>
      <w:r w:rsidRPr="009F1DB5">
        <w:rPr>
          <w:rFonts w:asciiTheme="majorHAnsi" w:hAnsiTheme="majorHAnsi" w:cstheme="majorHAnsi"/>
          <w:bCs/>
          <w:color w:val="auto"/>
          <w:sz w:val="22"/>
          <w:szCs w:val="22"/>
        </w:rPr>
        <w:t xml:space="preserve">ld </w:t>
      </w:r>
      <w:r>
        <w:rPr>
          <w:rFonts w:asciiTheme="majorHAnsi" w:hAnsiTheme="majorHAnsi" w:cstheme="majorHAnsi"/>
          <w:bCs/>
          <w:color w:val="auto"/>
          <w:sz w:val="22"/>
          <w:szCs w:val="22"/>
        </w:rPr>
        <w:t>a</w:t>
      </w:r>
      <w:r w:rsidRPr="009F1DB5">
        <w:rPr>
          <w:rFonts w:asciiTheme="majorHAnsi" w:hAnsiTheme="majorHAnsi" w:cstheme="majorHAnsi"/>
          <w:bCs/>
          <w:color w:val="auto"/>
          <w:sz w:val="22"/>
          <w:szCs w:val="22"/>
        </w:rPr>
        <w:t xml:space="preserve">ge </w:t>
      </w:r>
      <w:r>
        <w:rPr>
          <w:rFonts w:asciiTheme="majorHAnsi" w:hAnsiTheme="majorHAnsi" w:cstheme="majorHAnsi"/>
          <w:bCs/>
          <w:color w:val="auto"/>
          <w:sz w:val="22"/>
          <w:szCs w:val="22"/>
        </w:rPr>
        <w:t>a</w:t>
      </w:r>
      <w:r w:rsidRPr="009F1DB5">
        <w:rPr>
          <w:rFonts w:asciiTheme="majorHAnsi" w:hAnsiTheme="majorHAnsi" w:cstheme="majorHAnsi"/>
          <w:bCs/>
          <w:color w:val="auto"/>
          <w:sz w:val="22"/>
          <w:szCs w:val="22"/>
        </w:rPr>
        <w:t>llowance (OAA) and 12 percent receiving pensions from the Government Pension Fund (GPF) or Social Security Fund (SSF) in 2021, the benefit size is small. The amount provided by the OAA (</w:t>
      </w:r>
      <w:r>
        <w:rPr>
          <w:rFonts w:asciiTheme="majorHAnsi" w:hAnsiTheme="majorHAnsi" w:cstheme="majorHAnsi"/>
          <w:bCs/>
          <w:color w:val="auto"/>
          <w:sz w:val="22"/>
          <w:szCs w:val="22"/>
        </w:rPr>
        <w:t xml:space="preserve">B </w:t>
      </w:r>
      <w:r w:rsidRPr="009F1DB5">
        <w:rPr>
          <w:rFonts w:asciiTheme="majorHAnsi" w:hAnsiTheme="majorHAnsi" w:cstheme="majorHAnsi"/>
          <w:bCs/>
          <w:color w:val="auto"/>
          <w:sz w:val="22"/>
          <w:szCs w:val="22"/>
        </w:rPr>
        <w:t xml:space="preserve">600–1,000 per month) is much lower than the official poverty line at </w:t>
      </w:r>
      <w:r>
        <w:rPr>
          <w:rFonts w:asciiTheme="majorHAnsi" w:hAnsiTheme="majorHAnsi" w:cstheme="majorHAnsi"/>
          <w:bCs/>
          <w:color w:val="auto"/>
          <w:sz w:val="22"/>
          <w:szCs w:val="22"/>
        </w:rPr>
        <w:t xml:space="preserve">B </w:t>
      </w:r>
      <w:r w:rsidRPr="009F1DB5">
        <w:rPr>
          <w:rFonts w:asciiTheme="majorHAnsi" w:hAnsiTheme="majorHAnsi" w:cstheme="majorHAnsi"/>
          <w:bCs/>
          <w:color w:val="auto"/>
          <w:sz w:val="22"/>
          <w:szCs w:val="22"/>
        </w:rPr>
        <w:t>2,803 per month. One-third of the elderly must continue working after retirement age. This makes the growing elderly cohort one of the most vulnerable groups in the country.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70"/>
      </w:tblGrid>
      <w:tr w:rsidR="009C41D1" w:rsidRPr="00E90233" w14:paraId="59478D80" w14:textId="77777777" w:rsidTr="006C4828">
        <w:tc>
          <w:tcPr>
            <w:tcW w:w="4680" w:type="dxa"/>
          </w:tcPr>
          <w:p w14:paraId="319139AC" w14:textId="6D8B130D" w:rsidR="009C41D1" w:rsidRPr="00E90233" w:rsidRDefault="009C41D1">
            <w:pPr>
              <w:pStyle w:val="Figure"/>
              <w:rPr>
                <w:rFonts w:ascii="Times New Roman" w:hAnsi="Times New Roman" w:cs="Times New Roman"/>
              </w:rPr>
            </w:pPr>
            <w:bookmarkStart w:id="433" w:name="_Ref149776838"/>
            <w:r w:rsidRPr="00421FD8">
              <w:t xml:space="preserve">Figure </w:t>
            </w:r>
            <w:r>
              <w:t>A.</w:t>
            </w:r>
            <w:r w:rsidR="0085636E">
              <w:t>3</w:t>
            </w:r>
            <w:r w:rsidR="007E30F4" w:rsidRPr="007E30F4">
              <w:t>.</w:t>
            </w:r>
            <w:r w:rsidR="007E30F4" w:rsidRPr="007E30F4">
              <w:fldChar w:fldCharType="begin"/>
            </w:r>
            <w:r w:rsidR="007E30F4" w:rsidRPr="007E30F4">
              <w:instrText xml:space="preserve"> SEQ Figure_A.4 \* ARABIC </w:instrText>
            </w:r>
            <w:r w:rsidR="007E30F4" w:rsidRPr="007E30F4">
              <w:fldChar w:fldCharType="separate"/>
            </w:r>
            <w:r w:rsidR="008D4E4F">
              <w:t>2</w:t>
            </w:r>
            <w:r w:rsidR="007E30F4" w:rsidRPr="007E30F4">
              <w:fldChar w:fldCharType="end"/>
            </w:r>
            <w:bookmarkEnd w:id="433"/>
            <w:r w:rsidRPr="00421FD8">
              <w:t xml:space="preserve"> </w:t>
            </w:r>
            <w:r>
              <w:t>Inequality</w:t>
            </w:r>
          </w:p>
        </w:tc>
        <w:tc>
          <w:tcPr>
            <w:tcW w:w="4670" w:type="dxa"/>
          </w:tcPr>
          <w:p w14:paraId="2B5E3C99" w14:textId="77777777" w:rsidR="009C41D1" w:rsidRPr="00E90233" w:rsidRDefault="009C41D1">
            <w:pPr>
              <w:pStyle w:val="Figure"/>
            </w:pPr>
          </w:p>
        </w:tc>
      </w:tr>
      <w:tr w:rsidR="009C41D1" w:rsidRPr="00E90233" w14:paraId="0D36BCB2" w14:textId="77777777" w:rsidTr="006C4828">
        <w:tc>
          <w:tcPr>
            <w:tcW w:w="4680" w:type="dxa"/>
          </w:tcPr>
          <w:p w14:paraId="290C5220" w14:textId="65D3A316" w:rsidR="009C41D1" w:rsidRPr="00421FD8" w:rsidRDefault="009C41D1" w:rsidP="00665270">
            <w:pPr>
              <w:pStyle w:val="figuredescription"/>
              <w:numPr>
                <w:ilvl w:val="0"/>
                <w:numId w:val="25"/>
              </w:numPr>
              <w:spacing w:after="120"/>
            </w:pPr>
            <w:r>
              <w:t xml:space="preserve">Gini coefficient </w:t>
            </w:r>
          </w:p>
        </w:tc>
        <w:tc>
          <w:tcPr>
            <w:tcW w:w="4670" w:type="dxa"/>
          </w:tcPr>
          <w:p w14:paraId="58B75B4F" w14:textId="2A201465" w:rsidR="009C41D1" w:rsidRPr="00421FD8" w:rsidRDefault="009C41D1" w:rsidP="00665270">
            <w:pPr>
              <w:pStyle w:val="figuredescription"/>
              <w:numPr>
                <w:ilvl w:val="0"/>
                <w:numId w:val="25"/>
              </w:numPr>
              <w:spacing w:after="120"/>
            </w:pPr>
            <w:r>
              <w:t>Spatial disparities</w:t>
            </w:r>
          </w:p>
        </w:tc>
      </w:tr>
      <w:tr w:rsidR="009C41D1" w:rsidRPr="00E90233" w14:paraId="374CE197" w14:textId="77777777" w:rsidTr="006C4828">
        <w:tc>
          <w:tcPr>
            <w:tcW w:w="4680" w:type="dxa"/>
          </w:tcPr>
          <w:p w14:paraId="07F1A7B9" w14:textId="647A43FE" w:rsidR="009C41D1" w:rsidRPr="00344581" w:rsidRDefault="007B21B7" w:rsidP="006C4828">
            <w:pPr>
              <w:pStyle w:val="Default"/>
              <w:rPr>
                <w:rFonts w:ascii="Times New Roman" w:hAnsi="Times New Roman" w:cs="Times New Roman"/>
                <w:b/>
                <w:bCs/>
              </w:rPr>
            </w:pPr>
            <w:r w:rsidRPr="007837AC">
              <w:rPr>
                <w:noProof/>
                <w:lang w:val="en-GB" w:eastAsia="en-GB"/>
              </w:rPr>
              <w:drawing>
                <wp:inline distT="0" distB="0" distL="0" distR="0" wp14:anchorId="418F599D" wp14:editId="336DBCEB">
                  <wp:extent cx="2881630" cy="2232660"/>
                  <wp:effectExtent l="0" t="0" r="0" b="0"/>
                  <wp:docPr id="194727707" name="Picture 19472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1630" cy="2232660"/>
                          </a:xfrm>
                          <a:prstGeom prst="rect">
                            <a:avLst/>
                          </a:prstGeom>
                          <a:noFill/>
                          <a:ln>
                            <a:noFill/>
                          </a:ln>
                        </pic:spPr>
                      </pic:pic>
                    </a:graphicData>
                  </a:graphic>
                </wp:inline>
              </w:drawing>
            </w:r>
          </w:p>
        </w:tc>
        <w:tc>
          <w:tcPr>
            <w:tcW w:w="4670" w:type="dxa"/>
          </w:tcPr>
          <w:p w14:paraId="5CBC1A61" w14:textId="632B4202" w:rsidR="009C41D1" w:rsidRPr="00E90233" w:rsidRDefault="00BF7EC0" w:rsidP="006C4828">
            <w:pPr>
              <w:pStyle w:val="Default"/>
              <w:rPr>
                <w:rFonts w:ascii="Times New Roman" w:hAnsi="Times New Roman" w:cs="Times New Roman"/>
                <w:b/>
                <w:bCs/>
              </w:rPr>
            </w:pPr>
            <w:r w:rsidRPr="007837AC">
              <w:rPr>
                <w:noProof/>
                <w:lang w:val="en-GB" w:eastAsia="en-GB"/>
              </w:rPr>
              <w:drawing>
                <wp:inline distT="0" distB="0" distL="0" distR="0" wp14:anchorId="0D9022F7" wp14:editId="6D9A2835">
                  <wp:extent cx="2934335" cy="2232660"/>
                  <wp:effectExtent l="0" t="0" r="0" b="0"/>
                  <wp:docPr id="194727708" name="Picture 1947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34335" cy="2232660"/>
                          </a:xfrm>
                          <a:prstGeom prst="rect">
                            <a:avLst/>
                          </a:prstGeom>
                          <a:noFill/>
                          <a:ln>
                            <a:noFill/>
                          </a:ln>
                        </pic:spPr>
                      </pic:pic>
                    </a:graphicData>
                  </a:graphic>
                </wp:inline>
              </w:drawing>
            </w:r>
          </w:p>
        </w:tc>
      </w:tr>
      <w:tr w:rsidR="009C41D1" w:rsidRPr="00BF7EC0" w14:paraId="4852B151" w14:textId="77777777" w:rsidTr="008D4E4F">
        <w:trPr>
          <w:trHeight w:val="288"/>
        </w:trPr>
        <w:tc>
          <w:tcPr>
            <w:tcW w:w="9350" w:type="dxa"/>
            <w:gridSpan w:val="2"/>
          </w:tcPr>
          <w:p w14:paraId="1B773C58" w14:textId="77777777" w:rsidR="009C41D1" w:rsidRPr="00BF7EC0" w:rsidRDefault="009C41D1" w:rsidP="00BF7EC0">
            <w:pPr>
              <w:pStyle w:val="Source"/>
              <w:rPr>
                <w:rFonts w:ascii="Times New Roman" w:hAnsi="Times New Roman" w:cs="Times New Roman"/>
                <w:bCs/>
                <w:noProof/>
                <w:sz w:val="18"/>
                <w:szCs w:val="18"/>
              </w:rPr>
            </w:pPr>
            <w:r w:rsidRPr="00807BE5">
              <w:rPr>
                <w:rFonts w:cs="Calibri Light"/>
                <w:b/>
                <w:i/>
              </w:rPr>
              <w:t>Source:</w:t>
            </w:r>
            <w:r w:rsidRPr="00BF7EC0">
              <w:rPr>
                <w:rFonts w:ascii="Trebuchet MS" w:hAnsi="Trebuchet MS"/>
                <w:bCs/>
                <w:iCs/>
              </w:rPr>
              <w:t xml:space="preserve"> </w:t>
            </w:r>
            <w:r w:rsidRPr="00BF7EC0">
              <w:rPr>
                <w:bCs/>
              </w:rPr>
              <w:t>Thailand’s Household Socio-Economic Survey,</w:t>
            </w:r>
            <w:r w:rsidRPr="00BF7EC0">
              <w:rPr>
                <w:rFonts w:ascii="Trebuchet MS" w:hAnsi="Trebuchet MS"/>
                <w:bCs/>
                <w:iCs/>
              </w:rPr>
              <w:t xml:space="preserve"> </w:t>
            </w:r>
            <w:r w:rsidRPr="00BF7EC0">
              <w:rPr>
                <w:rFonts w:cs="Calibri Light"/>
                <w:bCs/>
                <w:iCs/>
              </w:rPr>
              <w:t>NESDC.</w:t>
            </w:r>
            <w:r w:rsidRPr="00BF7EC0">
              <w:rPr>
                <w:rFonts w:ascii="Times New Roman" w:hAnsi="Times New Roman" w:cs="Times New Roman"/>
                <w:bCs/>
                <w:sz w:val="18"/>
                <w:szCs w:val="18"/>
              </w:rPr>
              <w:t xml:space="preserve"> </w:t>
            </w:r>
          </w:p>
        </w:tc>
      </w:tr>
    </w:tbl>
    <w:p w14:paraId="1E458DE6" w14:textId="4D522FA7" w:rsidR="009C41D1" w:rsidRPr="009F1DB5" w:rsidRDefault="009C41D1" w:rsidP="009C41D1">
      <w:pPr>
        <w:pStyle w:val="Default"/>
        <w:spacing w:before="240" w:after="240"/>
        <w:jc w:val="both"/>
        <w:rPr>
          <w:rFonts w:asciiTheme="majorHAnsi" w:hAnsiTheme="majorHAnsi" w:cstheme="majorHAnsi"/>
          <w:bCs/>
          <w:color w:val="auto"/>
          <w:sz w:val="22"/>
          <w:szCs w:val="22"/>
        </w:rPr>
      </w:pPr>
      <w:r w:rsidRPr="009F1DB5">
        <w:rPr>
          <w:rFonts w:asciiTheme="majorHAnsi" w:hAnsiTheme="majorHAnsi" w:cstheme="majorHAnsi"/>
          <w:b/>
          <w:color w:val="auto"/>
          <w:sz w:val="22"/>
          <w:szCs w:val="22"/>
        </w:rPr>
        <w:t>Thailand continues to see significant levels of social exclusion among certain groups.</w:t>
      </w:r>
      <w:r w:rsidRPr="009F1DB5">
        <w:rPr>
          <w:rFonts w:asciiTheme="majorHAnsi" w:hAnsiTheme="majorHAnsi" w:cstheme="majorHAnsi"/>
          <w:bCs/>
          <w:color w:val="auto"/>
          <w:sz w:val="22"/>
          <w:szCs w:val="22"/>
        </w:rPr>
        <w:t xml:space="preserve"> Groups at risk of exclusion include</w:t>
      </w:r>
      <w:r w:rsidR="00574BEE">
        <w:rPr>
          <w:rFonts w:asciiTheme="majorHAnsi" w:hAnsiTheme="majorHAnsi" w:cstheme="majorHAnsi"/>
          <w:bCs/>
          <w:color w:val="auto"/>
          <w:sz w:val="22"/>
          <w:szCs w:val="22"/>
        </w:rPr>
        <w:t>:</w:t>
      </w:r>
      <w:r w:rsidRPr="009F1DB5">
        <w:rPr>
          <w:rFonts w:asciiTheme="majorHAnsi" w:hAnsiTheme="majorHAnsi" w:cstheme="majorHAnsi"/>
          <w:bCs/>
          <w:color w:val="auto"/>
          <w:sz w:val="22"/>
          <w:szCs w:val="22"/>
        </w:rPr>
        <w:t xml:space="preserve"> i) ethnic minorities and populations affected by conflict; ii) elderly persons; iii) women; iv) low-skilled migrant workers; v) persons with disabilities; and vi) LGBTQ+ people.</w:t>
      </w:r>
      <w:r w:rsidRPr="009F1DB5">
        <w:rPr>
          <w:rFonts w:asciiTheme="majorHAnsi" w:hAnsiTheme="majorHAnsi" w:cstheme="majorHAnsi"/>
          <w:bCs/>
          <w:color w:val="auto"/>
          <w:sz w:val="22"/>
          <w:szCs w:val="22"/>
          <w:vertAlign w:val="superscript"/>
        </w:rPr>
        <w:footnoteReference w:id="8"/>
      </w:r>
      <w:r w:rsidRPr="009F1DB5">
        <w:rPr>
          <w:rFonts w:asciiTheme="majorHAnsi" w:hAnsiTheme="majorHAnsi" w:cstheme="majorHAnsi"/>
          <w:bCs/>
          <w:color w:val="auto"/>
          <w:sz w:val="22"/>
          <w:szCs w:val="22"/>
          <w:vertAlign w:val="superscript"/>
        </w:rPr>
        <w:t xml:space="preserve"> </w:t>
      </w:r>
      <w:r w:rsidRPr="009F1DB5">
        <w:rPr>
          <w:rFonts w:asciiTheme="majorHAnsi" w:hAnsiTheme="majorHAnsi" w:cstheme="majorHAnsi"/>
          <w:bCs/>
          <w:color w:val="auto"/>
          <w:sz w:val="22"/>
          <w:szCs w:val="22"/>
        </w:rPr>
        <w:t>What they have in common is lower access to land, labor, finance, and public services</w:t>
      </w:r>
      <w:r w:rsidR="00574BEE">
        <w:rPr>
          <w:rFonts w:asciiTheme="majorHAnsi" w:hAnsiTheme="majorHAnsi" w:cstheme="majorHAnsi"/>
          <w:bCs/>
          <w:color w:val="auto"/>
          <w:sz w:val="22"/>
          <w:szCs w:val="22"/>
        </w:rPr>
        <w:t>. They also face</w:t>
      </w:r>
      <w:r w:rsidRPr="009F1DB5">
        <w:rPr>
          <w:rFonts w:asciiTheme="majorHAnsi" w:hAnsiTheme="majorHAnsi" w:cstheme="majorHAnsi"/>
          <w:bCs/>
          <w:color w:val="auto"/>
          <w:sz w:val="22"/>
          <w:szCs w:val="22"/>
        </w:rPr>
        <w:t xml:space="preserve"> </w:t>
      </w:r>
      <w:r w:rsidR="00574BEE" w:rsidRPr="009F1DB5">
        <w:rPr>
          <w:rFonts w:asciiTheme="majorHAnsi" w:hAnsiTheme="majorHAnsi" w:cstheme="majorHAnsi"/>
          <w:bCs/>
          <w:color w:val="auto"/>
          <w:sz w:val="22"/>
          <w:szCs w:val="22"/>
        </w:rPr>
        <w:t xml:space="preserve">discrimination </w:t>
      </w:r>
      <w:r w:rsidR="00574BEE">
        <w:rPr>
          <w:rFonts w:asciiTheme="majorHAnsi" w:hAnsiTheme="majorHAnsi" w:cstheme="majorHAnsi"/>
          <w:bCs/>
          <w:color w:val="auto"/>
          <w:sz w:val="22"/>
          <w:szCs w:val="22"/>
        </w:rPr>
        <w:t>and have less of a</w:t>
      </w:r>
      <w:r w:rsidR="00574BEE" w:rsidRPr="009F1DB5">
        <w:rPr>
          <w:rFonts w:asciiTheme="majorHAnsi" w:hAnsiTheme="majorHAnsi" w:cstheme="majorHAnsi"/>
          <w:bCs/>
          <w:color w:val="auto"/>
          <w:sz w:val="22"/>
          <w:szCs w:val="22"/>
        </w:rPr>
        <w:t xml:space="preserve"> </w:t>
      </w:r>
      <w:r w:rsidRPr="009F1DB5">
        <w:rPr>
          <w:rFonts w:asciiTheme="majorHAnsi" w:hAnsiTheme="majorHAnsi" w:cstheme="majorHAnsi"/>
          <w:bCs/>
          <w:color w:val="auto"/>
          <w:sz w:val="22"/>
          <w:szCs w:val="22"/>
        </w:rPr>
        <w:t xml:space="preserve">voice and in political and social decision-making. Recent research found that climate change could exacerbate existing inequalities and increase the vulnerability of these groups as they are subject to </w:t>
      </w:r>
      <w:r w:rsidRPr="009F1DB5">
        <w:rPr>
          <w:rFonts w:asciiTheme="majorHAnsi" w:hAnsiTheme="majorHAnsi" w:cstheme="majorHAnsi"/>
          <w:bCs/>
          <w:color w:val="auto"/>
          <w:sz w:val="22"/>
          <w:szCs w:val="22"/>
        </w:rPr>
        <w:lastRenderedPageBreak/>
        <w:t>discrimination in the application of laws and policy, access to resources and services, and unfavorable social norms.</w:t>
      </w:r>
      <w:r w:rsidRPr="009F1DB5">
        <w:rPr>
          <w:rFonts w:asciiTheme="majorHAnsi" w:hAnsiTheme="majorHAnsi" w:cstheme="majorHAnsi"/>
          <w:bCs/>
          <w:sz w:val="22"/>
          <w:szCs w:val="22"/>
          <w:vertAlign w:val="superscript"/>
        </w:rPr>
        <w:footnoteReference w:id="9"/>
      </w:r>
      <w:r w:rsidRPr="009F1DB5">
        <w:rPr>
          <w:rFonts w:asciiTheme="majorHAnsi" w:hAnsiTheme="majorHAnsi" w:cstheme="majorHAnsi"/>
          <w:bCs/>
          <w:color w:val="auto"/>
          <w:sz w:val="22"/>
          <w:szCs w:val="22"/>
          <w:vertAlign w:val="superscript"/>
        </w:rPr>
        <w:t xml:space="preserve"> </w:t>
      </w:r>
      <w:r w:rsidRPr="009F1DB5">
        <w:rPr>
          <w:rFonts w:asciiTheme="majorHAnsi" w:hAnsiTheme="majorHAnsi" w:cstheme="majorHAnsi"/>
          <w:bCs/>
          <w:color w:val="auto"/>
          <w:sz w:val="22"/>
          <w:szCs w:val="22"/>
        </w:rPr>
        <w:t xml:space="preserve"> </w:t>
      </w:r>
    </w:p>
    <w:p w14:paraId="6D6170FE" w14:textId="3EA9665F" w:rsidR="009C41D1" w:rsidRPr="009F1DB5" w:rsidRDefault="009C41D1" w:rsidP="009C41D1">
      <w:pPr>
        <w:pStyle w:val="Default"/>
        <w:spacing w:before="240" w:after="240"/>
        <w:jc w:val="both"/>
        <w:rPr>
          <w:rFonts w:asciiTheme="majorHAnsi" w:hAnsiTheme="majorHAnsi" w:cstheme="majorHAnsi"/>
          <w:bCs/>
          <w:color w:val="auto"/>
          <w:sz w:val="22"/>
          <w:szCs w:val="22"/>
        </w:rPr>
      </w:pPr>
      <w:r w:rsidRPr="009F1DB5">
        <w:rPr>
          <w:rFonts w:asciiTheme="majorHAnsi" w:hAnsiTheme="majorHAnsi" w:cstheme="majorHAnsi"/>
          <w:b/>
          <w:color w:val="auto"/>
          <w:sz w:val="22"/>
          <w:szCs w:val="22"/>
        </w:rPr>
        <w:t>Spatial disparities have persisted, with some lagging provinces facing issues related to minorities and conflicts</w:t>
      </w:r>
      <w:r w:rsidRPr="009F1DB5">
        <w:rPr>
          <w:rFonts w:asciiTheme="majorHAnsi" w:hAnsiTheme="majorHAnsi" w:cstheme="majorHAnsi"/>
          <w:bCs/>
          <w:color w:val="auto"/>
          <w:sz w:val="22"/>
          <w:szCs w:val="22"/>
        </w:rPr>
        <w:t xml:space="preserve">. Economic activities are highly concentrated in Bangkok </w:t>
      </w:r>
      <w:r>
        <w:rPr>
          <w:rFonts w:asciiTheme="majorHAnsi" w:hAnsiTheme="majorHAnsi" w:cstheme="majorHAnsi"/>
          <w:bCs/>
          <w:color w:val="auto"/>
          <w:sz w:val="22"/>
          <w:szCs w:val="22"/>
        </w:rPr>
        <w:t xml:space="preserve">and Rayong </w:t>
      </w:r>
      <w:r w:rsidRPr="009F1DB5">
        <w:rPr>
          <w:rFonts w:asciiTheme="majorHAnsi" w:hAnsiTheme="majorHAnsi" w:cstheme="majorHAnsi"/>
          <w:bCs/>
          <w:color w:val="auto"/>
          <w:sz w:val="22"/>
          <w:szCs w:val="22"/>
        </w:rPr>
        <w:t>where poverty is almost eradicated</w:t>
      </w:r>
      <w:r>
        <w:rPr>
          <w:rFonts w:asciiTheme="majorHAnsi" w:hAnsiTheme="majorHAnsi" w:cstheme="majorHAnsi"/>
          <w:bCs/>
          <w:color w:val="auto"/>
          <w:sz w:val="22"/>
          <w:szCs w:val="22"/>
        </w:rPr>
        <w:t xml:space="preserve"> (Figure A.</w:t>
      </w:r>
      <w:r w:rsidR="0085636E">
        <w:rPr>
          <w:rFonts w:asciiTheme="majorHAnsi" w:hAnsiTheme="majorHAnsi" w:cstheme="majorHAnsi"/>
          <w:bCs/>
          <w:color w:val="auto"/>
          <w:sz w:val="22"/>
          <w:szCs w:val="22"/>
        </w:rPr>
        <w:t>3</w:t>
      </w:r>
      <w:r>
        <w:rPr>
          <w:rFonts w:asciiTheme="majorHAnsi" w:hAnsiTheme="majorHAnsi" w:cstheme="majorHAnsi"/>
          <w:bCs/>
          <w:color w:val="auto"/>
          <w:sz w:val="22"/>
          <w:szCs w:val="22"/>
        </w:rPr>
        <w:t>.2B)</w:t>
      </w:r>
      <w:r w:rsidRPr="009F1DB5">
        <w:rPr>
          <w:rFonts w:asciiTheme="majorHAnsi" w:hAnsiTheme="majorHAnsi" w:cstheme="majorHAnsi"/>
          <w:bCs/>
          <w:color w:val="auto"/>
          <w:sz w:val="22"/>
          <w:szCs w:val="22"/>
        </w:rPr>
        <w:t>. The past decade showed that progress in poverty reduction has stalled in the North, Northeast and the South home to Thailand’s four southernmost provinces (Deep South) that are at the center of a protracted sub-national conflict. As of 2021, poverty rates in these conflict-affected provinces ranged from more than 19 percent</w:t>
      </w:r>
      <w:r w:rsidRPr="009F1DB5" w:rsidDel="005D7B4D">
        <w:rPr>
          <w:rFonts w:asciiTheme="majorHAnsi" w:hAnsiTheme="majorHAnsi" w:cstheme="majorHAnsi"/>
          <w:bCs/>
          <w:color w:val="auto"/>
          <w:sz w:val="22"/>
          <w:szCs w:val="22"/>
        </w:rPr>
        <w:t xml:space="preserve"> </w:t>
      </w:r>
      <w:r w:rsidRPr="009F1DB5">
        <w:rPr>
          <w:rFonts w:asciiTheme="majorHAnsi" w:hAnsiTheme="majorHAnsi" w:cstheme="majorHAnsi"/>
          <w:bCs/>
          <w:color w:val="auto"/>
          <w:sz w:val="22"/>
          <w:szCs w:val="22"/>
        </w:rPr>
        <w:t xml:space="preserve">in </w:t>
      </w:r>
      <w:proofErr w:type="spellStart"/>
      <w:r w:rsidRPr="009F1DB5">
        <w:rPr>
          <w:rFonts w:asciiTheme="majorHAnsi" w:hAnsiTheme="majorHAnsi" w:cstheme="majorHAnsi"/>
          <w:bCs/>
          <w:color w:val="auto"/>
          <w:sz w:val="22"/>
          <w:szCs w:val="22"/>
        </w:rPr>
        <w:t>Naratiwat</w:t>
      </w:r>
      <w:proofErr w:type="spellEnd"/>
      <w:r w:rsidRPr="009F1DB5">
        <w:rPr>
          <w:rFonts w:asciiTheme="majorHAnsi" w:hAnsiTheme="majorHAnsi" w:cstheme="majorHAnsi"/>
          <w:bCs/>
          <w:color w:val="auto"/>
          <w:sz w:val="22"/>
          <w:szCs w:val="22"/>
        </w:rPr>
        <w:t xml:space="preserve"> and </w:t>
      </w:r>
      <w:proofErr w:type="spellStart"/>
      <w:r w:rsidRPr="009F1DB5">
        <w:rPr>
          <w:rFonts w:asciiTheme="majorHAnsi" w:hAnsiTheme="majorHAnsi" w:cstheme="majorHAnsi"/>
          <w:bCs/>
          <w:color w:val="auto"/>
          <w:sz w:val="22"/>
          <w:szCs w:val="22"/>
        </w:rPr>
        <w:t>Yala</w:t>
      </w:r>
      <w:proofErr w:type="spellEnd"/>
      <w:r w:rsidRPr="009F1DB5">
        <w:rPr>
          <w:rFonts w:asciiTheme="majorHAnsi" w:hAnsiTheme="majorHAnsi" w:cstheme="majorHAnsi"/>
          <w:bCs/>
          <w:color w:val="auto"/>
          <w:sz w:val="22"/>
          <w:szCs w:val="22"/>
        </w:rPr>
        <w:t xml:space="preserve"> to nearly 31 percent in Pattani, compared to 25 percent in </w:t>
      </w:r>
      <w:proofErr w:type="spellStart"/>
      <w:r w:rsidRPr="009F1DB5">
        <w:rPr>
          <w:rFonts w:asciiTheme="majorHAnsi" w:hAnsiTheme="majorHAnsi" w:cstheme="majorHAnsi"/>
          <w:bCs/>
          <w:color w:val="auto"/>
          <w:sz w:val="22"/>
          <w:szCs w:val="22"/>
        </w:rPr>
        <w:t>Kalasin</w:t>
      </w:r>
      <w:proofErr w:type="spellEnd"/>
      <w:r w:rsidRPr="009F1DB5">
        <w:rPr>
          <w:rFonts w:asciiTheme="majorHAnsi" w:hAnsiTheme="majorHAnsi" w:cstheme="majorHAnsi"/>
          <w:bCs/>
          <w:color w:val="auto"/>
          <w:sz w:val="22"/>
          <w:szCs w:val="22"/>
        </w:rPr>
        <w:t xml:space="preserve"> and Mae Hong Son.  Disparities in these areas are closely linked with weak governance and limited voice and accountability. A lack of accountability is one of the key issues in decentralization reform and bringing service delivery and decision making closer to the people as well as addressing regional disparities, and these issues continue to persist in Thailand.</w:t>
      </w:r>
      <w:r w:rsidRPr="001B103B">
        <w:rPr>
          <w:rFonts w:asciiTheme="majorHAnsi" w:hAnsiTheme="majorHAnsi" w:cstheme="majorHAnsi"/>
          <w:bCs/>
          <w:color w:val="auto"/>
          <w:sz w:val="22"/>
          <w:szCs w:val="22"/>
          <w:vertAlign w:val="superscript"/>
        </w:rPr>
        <w:footnoteReference w:id="10"/>
      </w:r>
      <w:r w:rsidRPr="009F1DB5">
        <w:rPr>
          <w:rFonts w:asciiTheme="majorHAnsi" w:hAnsiTheme="majorHAnsi" w:cstheme="majorHAnsi"/>
          <w:bCs/>
          <w:color w:val="auto"/>
          <w:sz w:val="22"/>
          <w:szCs w:val="22"/>
        </w:rPr>
        <w:t xml:space="preserve"> Local planning processes do not often engage the active participation of the poor and vulnerable groups; community priorities especially local economic needs, are rarely reflected in the local plans and budget which would contribute directly to increased incomes.   </w:t>
      </w:r>
    </w:p>
    <w:p w14:paraId="4E38A234" w14:textId="77777777" w:rsidR="009C41D1" w:rsidRPr="009F1DB5" w:rsidRDefault="009C41D1" w:rsidP="009C41D1">
      <w:pPr>
        <w:pStyle w:val="Default"/>
        <w:spacing w:before="240" w:after="240"/>
        <w:jc w:val="both"/>
        <w:rPr>
          <w:rFonts w:asciiTheme="majorHAnsi" w:hAnsiTheme="majorHAnsi" w:cstheme="majorHAnsi"/>
          <w:bCs/>
          <w:color w:val="auto"/>
          <w:sz w:val="22"/>
          <w:szCs w:val="22"/>
        </w:rPr>
      </w:pPr>
      <w:r w:rsidRPr="009F1DB5">
        <w:rPr>
          <w:rFonts w:asciiTheme="majorHAnsi" w:hAnsiTheme="majorHAnsi" w:cstheme="majorHAnsi"/>
          <w:b/>
          <w:color w:val="auto"/>
          <w:sz w:val="22"/>
          <w:szCs w:val="22"/>
        </w:rPr>
        <w:t>The gender gap remains large compared to high-income countries.</w:t>
      </w:r>
      <w:r w:rsidRPr="009F1DB5">
        <w:rPr>
          <w:rFonts w:asciiTheme="majorHAnsi" w:hAnsiTheme="majorHAnsi" w:cstheme="majorHAnsi"/>
          <w:bCs/>
          <w:color w:val="auto"/>
          <w:sz w:val="22"/>
          <w:szCs w:val="22"/>
        </w:rPr>
        <w:t xml:space="preserve"> Thailand’s inequality index was 33.3 in 2021, comparable with the UMIC average but significantly higher than the HIC average of 13.5 (UNDP, 2021). The gap was largely explained by low levels of women’s empowerment and reproductive health, despite recent improvements. While Thailand performs relatively well on gender gaps in the labor market, little progress has been made in recent years in closing these gaps. Between 2016 and 2021, female labor force participation remained unchanged at 59 percent compared to 75 percent of men. Most female workers tend to leave the labor market at an early age (around 45) especially those with low skills or low education.  Key constraints facing working women include household responsibilities, motherhood penalty, limited flexible working arrangements for mothers, and limited accessibility to loans. While the gender wage gap has narrowed owing to improvement in female education, the gender gap in returns to education has widened. Gender inequality in employment tends to be more evident in the informal sector, where the majority have only primary or secondary education and are often employed in agriculture or low-skilled jobs with poor quality of employment. </w:t>
      </w:r>
    </w:p>
    <w:p w14:paraId="6655FF36" w14:textId="77777777" w:rsidR="009C41D1" w:rsidRDefault="009C41D1"/>
    <w:p w14:paraId="266D50FD" w14:textId="77777777" w:rsidR="009C41D1" w:rsidRDefault="009C41D1">
      <w:r>
        <w:br w:type="page"/>
      </w:r>
    </w:p>
    <w:p w14:paraId="1BAD5825" w14:textId="03C918D1" w:rsidR="009C41D1" w:rsidRPr="00785558" w:rsidRDefault="009C41D1" w:rsidP="00863D57">
      <w:pPr>
        <w:pStyle w:val="Heading1"/>
      </w:pPr>
      <w:bookmarkStart w:id="434" w:name="_Annex_5:_Social"/>
      <w:bookmarkStart w:id="435" w:name="_Toc159763568"/>
      <w:bookmarkEnd w:id="434"/>
      <w:r w:rsidRPr="00785558">
        <w:lastRenderedPageBreak/>
        <w:t xml:space="preserve">Annex </w:t>
      </w:r>
      <w:r w:rsidR="0002737D">
        <w:t>4</w:t>
      </w:r>
      <w:r w:rsidRPr="00785558">
        <w:t>: Social inclusion and vulnerable groups</w:t>
      </w:r>
      <w:bookmarkEnd w:id="435"/>
      <w:r w:rsidRPr="00785558">
        <w:t xml:space="preserve"> </w:t>
      </w:r>
    </w:p>
    <w:p w14:paraId="641B39C3" w14:textId="54C9B648" w:rsidR="009C41D1" w:rsidRDefault="009C41D1" w:rsidP="009C41D1">
      <w:pPr>
        <w:pStyle w:val="Default"/>
        <w:spacing w:before="240" w:after="240"/>
        <w:jc w:val="both"/>
        <w:rPr>
          <w:rFonts w:asciiTheme="minorHAnsi" w:hAnsiTheme="minorHAnsi" w:cstheme="minorBidi"/>
          <w:b/>
          <w:sz w:val="22"/>
          <w:szCs w:val="22"/>
        </w:rPr>
      </w:pPr>
      <w:r w:rsidRPr="68240171">
        <w:rPr>
          <w:rFonts w:asciiTheme="majorHAnsi" w:hAnsiTheme="majorHAnsi" w:cstheme="majorBidi"/>
          <w:b/>
          <w:sz w:val="22"/>
          <w:szCs w:val="22"/>
        </w:rPr>
        <w:t>Inclusive</w:t>
      </w:r>
      <w:r w:rsidRPr="68240171">
        <w:rPr>
          <w:rStyle w:val="normaltextrun"/>
          <w:rFonts w:asciiTheme="majorHAnsi" w:hAnsiTheme="majorHAnsi" w:cstheme="majorBidi"/>
          <w:b/>
          <w:color w:val="auto"/>
          <w:sz w:val="22"/>
          <w:szCs w:val="22"/>
        </w:rPr>
        <w:t xml:space="preserve"> societies are those where everyone has access to basic services and markets</w:t>
      </w:r>
      <w:r w:rsidR="00574BEE">
        <w:rPr>
          <w:rStyle w:val="normaltextrun"/>
          <w:rFonts w:asciiTheme="majorHAnsi" w:hAnsiTheme="majorHAnsi" w:cstheme="majorBidi"/>
          <w:b/>
          <w:color w:val="auto"/>
          <w:sz w:val="22"/>
          <w:szCs w:val="22"/>
        </w:rPr>
        <w:t>,</w:t>
      </w:r>
      <w:r w:rsidRPr="68240171">
        <w:rPr>
          <w:rStyle w:val="normaltextrun"/>
          <w:rFonts w:asciiTheme="majorHAnsi" w:hAnsiTheme="majorHAnsi" w:cstheme="majorBidi"/>
          <w:b/>
          <w:color w:val="auto"/>
          <w:sz w:val="22"/>
          <w:szCs w:val="22"/>
        </w:rPr>
        <w:t xml:space="preserve"> as well as to political, social, and cultural spaces in order to participate in society with agency and live with dignity. </w:t>
      </w:r>
      <w:r w:rsidRPr="68240171">
        <w:rPr>
          <w:rStyle w:val="eop"/>
          <w:rFonts w:asciiTheme="majorHAnsi" w:hAnsiTheme="majorHAnsi" w:cstheme="majorBidi"/>
          <w:color w:val="auto"/>
          <w:sz w:val="22"/>
          <w:szCs w:val="22"/>
        </w:rPr>
        <w:t> </w:t>
      </w:r>
      <w:r w:rsidRPr="68240171">
        <w:rPr>
          <w:rFonts w:asciiTheme="majorHAnsi" w:hAnsiTheme="majorHAnsi" w:cstheme="majorBidi"/>
          <w:color w:val="auto"/>
          <w:sz w:val="22"/>
          <w:szCs w:val="22"/>
        </w:rPr>
        <w:t>Social inclusion matters because some groups, based on their identity, are systematically overrepresented among the extreme poor. Economic progress tends to leave these groups behind, and changing demographic, economic, or political developments can create new challenges for inclusion.</w:t>
      </w:r>
      <w:r w:rsidRPr="68240171">
        <w:rPr>
          <w:rStyle w:val="FootnoteReference"/>
          <w:rFonts w:asciiTheme="majorHAnsi" w:hAnsiTheme="majorHAnsi" w:cstheme="majorBidi"/>
          <w:sz w:val="22"/>
          <w:szCs w:val="22"/>
        </w:rPr>
        <w:t xml:space="preserve"> </w:t>
      </w:r>
      <w:r w:rsidRPr="68240171">
        <w:rPr>
          <w:rFonts w:asciiTheme="majorHAnsi" w:hAnsiTheme="majorHAnsi" w:cstheme="majorBidi"/>
          <w:sz w:val="22"/>
          <w:szCs w:val="22"/>
        </w:rPr>
        <w:t>Social exclusion affects significant parts of the population globally. A recent World Bank paper estimates the share and number of populations at risk of exclusion worldwide to be between 2.33 billion and 2.43 billion people</w:t>
      </w:r>
      <w:r w:rsidR="00574BEE">
        <w:rPr>
          <w:rFonts w:asciiTheme="majorHAnsi" w:hAnsiTheme="majorHAnsi" w:cstheme="majorBidi"/>
          <w:sz w:val="22"/>
          <w:szCs w:val="22"/>
        </w:rPr>
        <w:t>—</w:t>
      </w:r>
      <w:r w:rsidRPr="68240171">
        <w:rPr>
          <w:rFonts w:asciiTheme="majorHAnsi" w:hAnsiTheme="majorHAnsi" w:cstheme="majorBidi"/>
          <w:sz w:val="22"/>
          <w:szCs w:val="22"/>
        </w:rPr>
        <w:t>roughly 32 percent of the global population. South Asia, East Asia, and the Pacific contain 1.3 billion people who are at risk of exclusion</w:t>
      </w:r>
      <w:r>
        <w:rPr>
          <w:rFonts w:asciiTheme="majorHAnsi" w:hAnsiTheme="majorHAnsi" w:cstheme="majorBidi"/>
          <w:sz w:val="22"/>
          <w:szCs w:val="22"/>
        </w:rPr>
        <w:t xml:space="preserve"> (Cuesta et al. 2022)</w:t>
      </w:r>
      <w:r w:rsidRPr="68240171">
        <w:rPr>
          <w:rFonts w:asciiTheme="majorHAnsi" w:hAnsiTheme="majorHAnsi" w:cstheme="majorBidi"/>
          <w:sz w:val="22"/>
          <w:szCs w:val="22"/>
        </w:rPr>
        <w:t>.</w:t>
      </w:r>
      <w:r w:rsidRPr="68240171">
        <w:rPr>
          <w:rFonts w:asciiTheme="majorHAnsi" w:hAnsiTheme="majorHAnsi" w:cstheme="majorBidi"/>
          <w:sz w:val="22"/>
          <w:szCs w:val="22"/>
          <w:vertAlign w:val="superscript"/>
        </w:rPr>
        <w:t xml:space="preserve"> </w:t>
      </w:r>
      <w:r w:rsidRPr="68240171">
        <w:rPr>
          <w:rFonts w:asciiTheme="majorHAnsi" w:hAnsiTheme="majorHAnsi" w:cstheme="majorBidi"/>
          <w:sz w:val="22"/>
          <w:szCs w:val="22"/>
        </w:rPr>
        <w:t>Social inclusion is strongly associated with lower poverty levels, higher GDP per capita, stronger human capital accumulation, and greater human development (Figure A.</w:t>
      </w:r>
      <w:r w:rsidR="0085636E">
        <w:rPr>
          <w:rFonts w:asciiTheme="majorHAnsi" w:hAnsiTheme="majorHAnsi" w:cstheme="majorBidi"/>
          <w:sz w:val="22"/>
          <w:szCs w:val="22"/>
        </w:rPr>
        <w:t>4</w:t>
      </w:r>
      <w:r w:rsidRPr="68240171">
        <w:rPr>
          <w:rFonts w:asciiTheme="majorHAnsi" w:hAnsiTheme="majorHAnsi" w:cstheme="majorBidi"/>
          <w:sz w:val="22"/>
          <w:szCs w:val="22"/>
        </w:rPr>
        <w:t>.1).</w:t>
      </w:r>
    </w:p>
    <w:p w14:paraId="0383E222" w14:textId="5962D660" w:rsidR="009C41D1" w:rsidRPr="00785558" w:rsidRDefault="009C41D1">
      <w:pPr>
        <w:pStyle w:val="Figure"/>
      </w:pPr>
      <w:r w:rsidRPr="00785558">
        <w:t>Figure A.</w:t>
      </w:r>
      <w:r w:rsidR="0085636E">
        <w:t>4</w:t>
      </w:r>
      <w:r w:rsidR="004C5893" w:rsidRPr="00B32F24">
        <w:t>.</w:t>
      </w:r>
      <w:r w:rsidR="004C5893" w:rsidRPr="00B32F24">
        <w:fldChar w:fldCharType="begin"/>
      </w:r>
      <w:r w:rsidR="004C5893" w:rsidRPr="00B32F24">
        <w:instrText xml:space="preserve"> SEQ Figure_A.5. \* ARABIC </w:instrText>
      </w:r>
      <w:r w:rsidR="004C5893" w:rsidRPr="00B32F24">
        <w:fldChar w:fldCharType="separate"/>
      </w:r>
      <w:r w:rsidR="00B32F24" w:rsidRPr="00B32F24">
        <w:t>1</w:t>
      </w:r>
      <w:r w:rsidR="004C5893" w:rsidRPr="00B32F24">
        <w:fldChar w:fldCharType="end"/>
      </w:r>
      <w:r w:rsidRPr="00785558">
        <w:t xml:space="preserve"> Association between inclusion and poverty, income, inequality, human capital, and human development</w:t>
      </w:r>
    </w:p>
    <w:p w14:paraId="44CE9094" w14:textId="77777777" w:rsidR="009C41D1" w:rsidRDefault="009C41D1" w:rsidP="00B32F24">
      <w:pPr>
        <w:pStyle w:val="Default"/>
        <w:keepNext/>
        <w:spacing w:before="240" w:after="240"/>
        <w:jc w:val="both"/>
      </w:pPr>
      <w:r>
        <w:rPr>
          <w:noProof/>
          <w:lang w:val="en-GB" w:eastAsia="en-GB"/>
        </w:rPr>
        <w:drawing>
          <wp:inline distT="0" distB="0" distL="0" distR="0" wp14:anchorId="5970F5B1" wp14:editId="783D2B5F">
            <wp:extent cx="5795509" cy="3681690"/>
            <wp:effectExtent l="0" t="0" r="0" b="1905"/>
            <wp:docPr id="194727723" name="Picture 19472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73">
                      <a:extLst>
                        <a:ext uri="{28A0092B-C50C-407E-A947-70E740481C1C}">
                          <a14:useLocalDpi xmlns:a14="http://schemas.microsoft.com/office/drawing/2010/main" val="0"/>
                        </a:ext>
                      </a:extLst>
                    </a:blip>
                    <a:srcRect t="4780"/>
                    <a:stretch/>
                  </pic:blipFill>
                  <pic:spPr bwMode="auto">
                    <a:xfrm>
                      <a:off x="0" y="0"/>
                      <a:ext cx="5795645" cy="3681777"/>
                    </a:xfrm>
                    <a:prstGeom prst="rect">
                      <a:avLst/>
                    </a:prstGeom>
                    <a:ln>
                      <a:noFill/>
                    </a:ln>
                    <a:extLst>
                      <a:ext uri="{53640926-AAD7-44D8-BBD7-CCE9431645EC}">
                        <a14:shadowObscured xmlns:a14="http://schemas.microsoft.com/office/drawing/2010/main"/>
                      </a:ext>
                    </a:extLst>
                  </pic:spPr>
                </pic:pic>
              </a:graphicData>
            </a:graphic>
          </wp:inline>
        </w:drawing>
      </w:r>
    </w:p>
    <w:p w14:paraId="52A1CDE5" w14:textId="77777777" w:rsidR="009C41D1" w:rsidRPr="00BF7EC0" w:rsidRDefault="009C41D1" w:rsidP="00BF7EC0">
      <w:pPr>
        <w:pStyle w:val="Source"/>
        <w:rPr>
          <w:rFonts w:ascii="Times New Roman" w:hAnsi="Times New Roman" w:cs="Times New Roman"/>
          <w:bCs/>
          <w:color w:val="auto"/>
        </w:rPr>
      </w:pPr>
      <w:r w:rsidRPr="00807BE5">
        <w:rPr>
          <w:rStyle w:val="SourceChar"/>
          <w:b/>
          <w:i/>
        </w:rPr>
        <w:t>Source:</w:t>
      </w:r>
      <w:r w:rsidRPr="00BF7EC0">
        <w:rPr>
          <w:rStyle w:val="SourceChar"/>
          <w:bCs/>
        </w:rPr>
        <w:t xml:space="preserve"> Barron, et al. 2023</w:t>
      </w:r>
      <w:r w:rsidRPr="00BF7EC0">
        <w:rPr>
          <w:bCs/>
          <w:szCs w:val="16"/>
        </w:rPr>
        <w:t xml:space="preserve">. </w:t>
      </w:r>
    </w:p>
    <w:p w14:paraId="2464A9BA" w14:textId="77777777" w:rsidR="009C41D1" w:rsidRDefault="009C41D1" w:rsidP="009C41D1">
      <w:pPr>
        <w:pStyle w:val="Heading3"/>
        <w:rPr>
          <w:rFonts w:asciiTheme="majorHAnsi" w:hAnsiTheme="majorHAnsi"/>
          <w:b/>
          <w:sz w:val="22"/>
          <w:szCs w:val="22"/>
        </w:rPr>
      </w:pPr>
      <w:bookmarkStart w:id="436" w:name="_Ethnic_minorities_and"/>
      <w:bookmarkEnd w:id="436"/>
      <w:r w:rsidRPr="00E865EB">
        <w:lastRenderedPageBreak/>
        <w:t xml:space="preserve">Ethnic </w:t>
      </w:r>
      <w:r>
        <w:t>m</w:t>
      </w:r>
      <w:r w:rsidRPr="00E865EB">
        <w:t xml:space="preserve">inorities </w:t>
      </w:r>
      <w:r>
        <w:t xml:space="preserve">and </w:t>
      </w:r>
      <w:r w:rsidRPr="00E865EB">
        <w:t>populations affected by conflict</w:t>
      </w:r>
      <w:r w:rsidRPr="00E865EB">
        <w:rPr>
          <w:bCs/>
          <w:iCs/>
        </w:rPr>
        <w:t xml:space="preserve"> </w:t>
      </w:r>
      <w:r>
        <w:br/>
      </w:r>
    </w:p>
    <w:p w14:paraId="44D00EC0" w14:textId="77777777" w:rsidR="009C41D1" w:rsidRPr="00681FFD" w:rsidRDefault="009C41D1" w:rsidP="009C41D1">
      <w:pPr>
        <w:pStyle w:val="Heading3"/>
        <w:jc w:val="both"/>
        <w:rPr>
          <w:rFonts w:asciiTheme="majorHAnsi" w:hAnsiTheme="majorHAnsi"/>
          <w:color w:val="auto"/>
          <w:sz w:val="22"/>
          <w:szCs w:val="22"/>
        </w:rPr>
      </w:pPr>
      <w:r w:rsidRPr="4B126904">
        <w:rPr>
          <w:rFonts w:asciiTheme="majorHAnsi" w:hAnsiTheme="majorHAnsi"/>
          <w:b/>
          <w:sz w:val="22"/>
          <w:szCs w:val="22"/>
        </w:rPr>
        <w:t xml:space="preserve">Thailand is very diverse </w:t>
      </w:r>
      <w:proofErr w:type="gramStart"/>
      <w:r w:rsidRPr="4B126904">
        <w:rPr>
          <w:rFonts w:asciiTheme="majorHAnsi" w:hAnsiTheme="majorHAnsi"/>
          <w:b/>
          <w:sz w:val="22"/>
          <w:szCs w:val="22"/>
        </w:rPr>
        <w:t>with regard to</w:t>
      </w:r>
      <w:proofErr w:type="gramEnd"/>
      <w:r w:rsidRPr="4B126904">
        <w:rPr>
          <w:rFonts w:asciiTheme="majorHAnsi" w:hAnsiTheme="majorHAnsi"/>
          <w:b/>
          <w:sz w:val="22"/>
          <w:szCs w:val="22"/>
        </w:rPr>
        <w:t xml:space="preserve"> its</w:t>
      </w:r>
      <w:r w:rsidRPr="4B126904">
        <w:rPr>
          <w:rFonts w:asciiTheme="majorHAnsi" w:hAnsiTheme="majorHAnsi"/>
          <w:b/>
          <w:sz w:val="22"/>
          <w:szCs w:val="22"/>
          <w:rtl/>
        </w:rPr>
        <w:t xml:space="preserve"> </w:t>
      </w:r>
      <w:r w:rsidRPr="4B126904">
        <w:rPr>
          <w:rFonts w:asciiTheme="majorHAnsi" w:hAnsiTheme="majorHAnsi"/>
          <w:b/>
          <w:sz w:val="22"/>
          <w:szCs w:val="22"/>
        </w:rPr>
        <w:t>indigenous peoples (IP).</w:t>
      </w:r>
      <w:r w:rsidRPr="4B126904">
        <w:rPr>
          <w:rFonts w:asciiTheme="majorHAnsi" w:hAnsiTheme="majorHAnsi"/>
          <w:b/>
          <w:sz w:val="22"/>
          <w:szCs w:val="22"/>
          <w:vertAlign w:val="superscript"/>
        </w:rPr>
        <w:footnoteReference w:id="11"/>
      </w:r>
      <w:r w:rsidRPr="4B126904">
        <w:rPr>
          <w:rFonts w:asciiTheme="majorHAnsi" w:hAnsiTheme="majorHAnsi"/>
          <w:sz w:val="22"/>
          <w:szCs w:val="22"/>
        </w:rPr>
        <w:t xml:space="preserve"> </w:t>
      </w:r>
      <w:r w:rsidRPr="00681FFD">
        <w:rPr>
          <w:rFonts w:asciiTheme="majorHAnsi" w:hAnsiTheme="majorHAnsi"/>
          <w:color w:val="auto"/>
          <w:sz w:val="22"/>
          <w:szCs w:val="22"/>
        </w:rPr>
        <w:t>According to the Ministry of Social Development and Human Security (MSDHS), there are more than 57 ethnic and IP groups in Thailand, accounting for approximately 6.1 million of the population. They reside in every region of the country.</w:t>
      </w:r>
      <w:r w:rsidRPr="00681FFD">
        <w:rPr>
          <w:rFonts w:asciiTheme="majorHAnsi" w:hAnsiTheme="majorHAnsi"/>
          <w:color w:val="auto"/>
          <w:sz w:val="22"/>
          <w:szCs w:val="22"/>
          <w:vertAlign w:val="superscript"/>
        </w:rPr>
        <w:footnoteReference w:id="12"/>
      </w:r>
      <w:r w:rsidRPr="00681FFD">
        <w:rPr>
          <w:rFonts w:asciiTheme="majorHAnsi" w:hAnsiTheme="majorHAnsi"/>
          <w:color w:val="auto"/>
          <w:sz w:val="22"/>
          <w:szCs w:val="22"/>
        </w:rPr>
        <w:t xml:space="preserve">  Key issues facing IP are the lack of Thai citizenship which hinders anyone from partaking and benefiting from government assistance, such as agricultural credit or social related welfare. Among ethnic groups living in the remote mountainous areas in the northern part of Thailand, language barriers could potentially exclude those who cannot speak or do not understand the dominant language. Some other issues/concerns are lack of access to basic public services such as education and healthcare, low education attainment, low income and being poor, lack of arable land, lack of transportation and communication due to difficult terrains, and fear of losing cultural identity. Another concern is insecurity of land use and inability to access or to manage natural resources. To solve the problems they are facing, indigenous/ethnic people have chosen wage work as their primary alternative and subsequently they become vulnerable.</w:t>
      </w:r>
    </w:p>
    <w:p w14:paraId="7CD2AED8" w14:textId="5FE816A4" w:rsidR="009C41D1" w:rsidRPr="003070EF" w:rsidRDefault="009C41D1" w:rsidP="009C41D1">
      <w:pPr>
        <w:pStyle w:val="Default"/>
        <w:spacing w:before="240" w:after="240"/>
        <w:jc w:val="both"/>
        <w:rPr>
          <w:rFonts w:asciiTheme="majorHAnsi" w:hAnsiTheme="majorHAnsi" w:cstheme="majorBidi"/>
          <w:sz w:val="22"/>
          <w:szCs w:val="22"/>
        </w:rPr>
      </w:pPr>
      <w:r w:rsidRPr="4B126904">
        <w:rPr>
          <w:rFonts w:asciiTheme="majorHAnsi" w:hAnsiTheme="majorHAnsi" w:cstheme="majorBidi"/>
          <w:b/>
          <w:sz w:val="22"/>
          <w:szCs w:val="22"/>
        </w:rPr>
        <w:t>Thailand’s four southernmost provinces are at the center of a protracted sub-national conflict.</w:t>
      </w:r>
      <w:r w:rsidRPr="4B126904">
        <w:rPr>
          <w:rFonts w:asciiTheme="majorHAnsi" w:hAnsiTheme="majorHAnsi" w:cstheme="majorBidi"/>
          <w:sz w:val="22"/>
          <w:szCs w:val="22"/>
        </w:rPr>
        <w:t xml:space="preserve"> The conflict area includes the provinces of Narathiwat, Pattani, and </w:t>
      </w:r>
      <w:proofErr w:type="spellStart"/>
      <w:r w:rsidRPr="4B126904">
        <w:rPr>
          <w:rFonts w:asciiTheme="majorHAnsi" w:hAnsiTheme="majorHAnsi" w:cstheme="majorBidi"/>
          <w:sz w:val="22"/>
          <w:szCs w:val="22"/>
        </w:rPr>
        <w:t>Yala</w:t>
      </w:r>
      <w:proofErr w:type="spellEnd"/>
      <w:r w:rsidRPr="4B126904">
        <w:rPr>
          <w:rFonts w:asciiTheme="majorHAnsi" w:hAnsiTheme="majorHAnsi" w:cstheme="majorBidi"/>
          <w:sz w:val="22"/>
          <w:szCs w:val="22"/>
        </w:rPr>
        <w:t xml:space="preserve">, and four districts of the province of Songkhla. The local Malay Muslim population, which makes up around 75 percent of the region’s population (2 million people), has long felt marginalized and discriminated against. Factors driving violent resistance from insurgent groups against the government include a strong sense of historical injustice, resentment towards perceived government inaction and lack of accountability, and a desire for greater social and economic inclusion. The conflict has resulted in over 7,000 deaths and 13,000 injuries since </w:t>
      </w:r>
      <w:r w:rsidR="006575AB" w:rsidRPr="4B126904">
        <w:rPr>
          <w:rFonts w:asciiTheme="majorHAnsi" w:hAnsiTheme="majorHAnsi" w:cstheme="majorBidi"/>
          <w:sz w:val="22"/>
          <w:szCs w:val="22"/>
        </w:rPr>
        <w:t>2004 and</w:t>
      </w:r>
      <w:r w:rsidRPr="4B126904">
        <w:rPr>
          <w:rFonts w:asciiTheme="majorHAnsi" w:hAnsiTheme="majorHAnsi" w:cstheme="majorBidi"/>
          <w:sz w:val="22"/>
          <w:szCs w:val="22"/>
        </w:rPr>
        <w:t xml:space="preserve"> has had significant impacts on both men and women, including domestic</w:t>
      </w:r>
      <w:r w:rsidRPr="4B126904">
        <w:rPr>
          <w:rFonts w:asciiTheme="majorHAnsi" w:hAnsiTheme="majorHAnsi" w:cstheme="majorBidi"/>
          <w:sz w:val="22"/>
          <w:szCs w:val="22"/>
          <w:lang w:bidi="th-TH"/>
        </w:rPr>
        <w:t xml:space="preserve"> violence, emotional trauma, negative health outcomes, and economic hardship.  </w:t>
      </w:r>
    </w:p>
    <w:p w14:paraId="398A7F2B" w14:textId="77777777" w:rsidR="009C41D1" w:rsidRPr="003070EF" w:rsidRDefault="009C41D1" w:rsidP="009C41D1">
      <w:pPr>
        <w:pStyle w:val="Default"/>
        <w:spacing w:before="240" w:after="240"/>
        <w:jc w:val="both"/>
        <w:rPr>
          <w:rFonts w:asciiTheme="majorHAnsi" w:hAnsiTheme="majorHAnsi" w:cstheme="majorBidi"/>
          <w:sz w:val="22"/>
          <w:szCs w:val="22"/>
          <w:lang w:bidi="th-TH"/>
        </w:rPr>
      </w:pPr>
      <w:r w:rsidRPr="4B126904">
        <w:rPr>
          <w:rFonts w:asciiTheme="majorHAnsi" w:hAnsiTheme="majorHAnsi" w:cstheme="majorBidi"/>
          <w:b/>
          <w:sz w:val="22"/>
          <w:szCs w:val="22"/>
        </w:rPr>
        <w:t xml:space="preserve">As is common in many countries, there is a strong overlap between poverty and exclusion. </w:t>
      </w:r>
      <w:r w:rsidRPr="4B126904">
        <w:rPr>
          <w:rFonts w:asciiTheme="majorHAnsi" w:hAnsiTheme="majorHAnsi" w:cstheme="majorBidi"/>
          <w:sz w:val="22"/>
          <w:szCs w:val="22"/>
        </w:rPr>
        <w:t>Many groups facing exclusion are also more likely to be over-represented among the poor. The Deep South region of Thailand has chronic poverty. Despite increased budget allocation to improve service delivery and gain the confidence of the communities, the Deep South has continued to experience higher poverty rates and lower levels of human development compared to the rest of the country.</w:t>
      </w:r>
      <w:r w:rsidRPr="4B126904">
        <w:rPr>
          <w:rFonts w:asciiTheme="majorHAnsi" w:hAnsiTheme="majorHAnsi" w:cstheme="majorBidi"/>
          <w:sz w:val="22"/>
          <w:szCs w:val="22"/>
          <w:lang w:bidi="th-TH"/>
        </w:rPr>
        <w:t xml:space="preserve">   </w:t>
      </w:r>
    </w:p>
    <w:p w14:paraId="113D6147" w14:textId="77777777" w:rsidR="009C41D1" w:rsidRPr="003070EF" w:rsidRDefault="009C41D1" w:rsidP="009C41D1">
      <w:pPr>
        <w:pStyle w:val="Default"/>
        <w:spacing w:before="240" w:after="240"/>
        <w:jc w:val="both"/>
        <w:rPr>
          <w:rFonts w:asciiTheme="majorHAnsi" w:hAnsiTheme="majorHAnsi" w:cstheme="majorBidi"/>
          <w:sz w:val="22"/>
          <w:szCs w:val="22"/>
        </w:rPr>
      </w:pPr>
      <w:r w:rsidRPr="4B126904">
        <w:rPr>
          <w:rFonts w:asciiTheme="majorHAnsi" w:hAnsiTheme="majorHAnsi" w:cstheme="majorBidi"/>
          <w:b/>
          <w:sz w:val="22"/>
          <w:szCs w:val="22"/>
        </w:rPr>
        <w:t xml:space="preserve">The long-standing conflict in the Deep South region has resulted in the marginalization and stigmatization of certain groups. </w:t>
      </w:r>
      <w:r w:rsidRPr="4B126904">
        <w:rPr>
          <w:rFonts w:asciiTheme="majorHAnsi" w:hAnsiTheme="majorHAnsi" w:cstheme="majorBidi"/>
          <w:sz w:val="22"/>
          <w:szCs w:val="22"/>
        </w:rPr>
        <w:t xml:space="preserve">Those include ex-combatants, ex-detainees, widows, orphans, and individuals affected by the violence. These groups have faced challenges in reintegrating socially and economically into society. </w:t>
      </w:r>
      <w:proofErr w:type="gramStart"/>
      <w:r w:rsidRPr="4B126904">
        <w:rPr>
          <w:rFonts w:asciiTheme="majorHAnsi" w:hAnsiTheme="majorHAnsi" w:cstheme="majorBidi"/>
          <w:sz w:val="22"/>
          <w:szCs w:val="22"/>
        </w:rPr>
        <w:t>In particular, ex-</w:t>
      </w:r>
      <w:proofErr w:type="gramEnd"/>
      <w:r w:rsidRPr="4B126904">
        <w:rPr>
          <w:rFonts w:asciiTheme="majorHAnsi" w:hAnsiTheme="majorHAnsi" w:cstheme="majorBidi"/>
          <w:sz w:val="22"/>
          <w:szCs w:val="22"/>
        </w:rPr>
        <w:t>combatants have struggled to find employment and rebuild their lives. Individuals with mental health issues have also faced difficulties in accessing health services and support due to a lack of trust in public services and the stigma associated with mental health issues. The impact of the conflict has also been felt by the families of these individuals, who may have lost breadwinners and had to use their limited resources to cope with the situation, pushing them further into poverty. Unless these issues are addressed through development policies, the cycle of poverty and conflict is likely to continue.</w:t>
      </w:r>
    </w:p>
    <w:p w14:paraId="7AC98D4C" w14:textId="77777777" w:rsidR="009C41D1" w:rsidRPr="00E865EB" w:rsidRDefault="009C41D1" w:rsidP="009C41D1">
      <w:pPr>
        <w:pStyle w:val="Heading4"/>
      </w:pPr>
      <w:r w:rsidRPr="00E865EB">
        <w:lastRenderedPageBreak/>
        <w:t>Age-based vulnerability and exclusion</w:t>
      </w:r>
    </w:p>
    <w:p w14:paraId="213E98C5" w14:textId="0304FC1E" w:rsidR="009C41D1" w:rsidRPr="003070EF" w:rsidRDefault="009C41D1" w:rsidP="009C41D1">
      <w:pPr>
        <w:pStyle w:val="Default"/>
        <w:spacing w:before="240" w:after="240"/>
        <w:jc w:val="both"/>
        <w:rPr>
          <w:rFonts w:asciiTheme="majorHAnsi" w:eastAsia="Times New Roman" w:hAnsiTheme="majorHAnsi" w:cstheme="majorBidi"/>
          <w:color w:val="333333"/>
          <w:sz w:val="22"/>
          <w:szCs w:val="22"/>
        </w:rPr>
      </w:pPr>
      <w:r w:rsidRPr="4B126904">
        <w:rPr>
          <w:rFonts w:asciiTheme="majorHAnsi" w:eastAsia="Times New Roman" w:hAnsiTheme="majorHAnsi" w:cstheme="majorBidi"/>
          <w:b/>
          <w:color w:val="333333"/>
          <w:sz w:val="22"/>
          <w:szCs w:val="22"/>
        </w:rPr>
        <w:t xml:space="preserve">In 2021, Thailand’s </w:t>
      </w:r>
      <w:r w:rsidRPr="4B126904">
        <w:rPr>
          <w:rFonts w:asciiTheme="majorHAnsi" w:hAnsiTheme="majorHAnsi" w:cstheme="majorBidi"/>
          <w:b/>
          <w:sz w:val="22"/>
          <w:szCs w:val="22"/>
        </w:rPr>
        <w:t>demographic</w:t>
      </w:r>
      <w:r w:rsidRPr="4B126904">
        <w:rPr>
          <w:rFonts w:asciiTheme="majorHAnsi" w:eastAsia="Times New Roman" w:hAnsiTheme="majorHAnsi" w:cstheme="majorBidi"/>
          <w:b/>
          <w:color w:val="333333"/>
          <w:sz w:val="22"/>
          <w:szCs w:val="22"/>
        </w:rPr>
        <w:t xml:space="preserve"> profile, along with many other ASEAN countries, was an </w:t>
      </w:r>
      <w:r w:rsidR="00071566">
        <w:rPr>
          <w:rFonts w:asciiTheme="majorHAnsi" w:eastAsia="Times New Roman" w:hAnsiTheme="majorHAnsi" w:cstheme="majorBidi"/>
          <w:b/>
          <w:color w:val="333333"/>
          <w:sz w:val="22"/>
          <w:szCs w:val="22"/>
        </w:rPr>
        <w:t>‘</w:t>
      </w:r>
      <w:r w:rsidRPr="4B126904">
        <w:rPr>
          <w:rFonts w:asciiTheme="majorHAnsi" w:eastAsia="Times New Roman" w:hAnsiTheme="majorHAnsi" w:cstheme="majorBidi"/>
          <w:b/>
          <w:color w:val="333333"/>
          <w:sz w:val="22"/>
          <w:szCs w:val="22"/>
        </w:rPr>
        <w:t>aging society</w:t>
      </w:r>
      <w:r w:rsidR="00071566">
        <w:rPr>
          <w:rFonts w:asciiTheme="majorHAnsi" w:eastAsia="Times New Roman" w:hAnsiTheme="majorHAnsi" w:cstheme="majorBidi"/>
          <w:b/>
          <w:color w:val="333333"/>
          <w:sz w:val="22"/>
          <w:szCs w:val="22"/>
        </w:rPr>
        <w:t>’,</w:t>
      </w:r>
      <w:r w:rsidRPr="4B126904">
        <w:rPr>
          <w:rFonts w:asciiTheme="majorHAnsi" w:eastAsia="Times New Roman" w:hAnsiTheme="majorHAnsi" w:cstheme="majorBidi"/>
          <w:b/>
          <w:color w:val="333333"/>
          <w:sz w:val="22"/>
          <w:szCs w:val="22"/>
        </w:rPr>
        <w:t xml:space="preserve"> with 10 percent of the population or more aged 60 years or older.</w:t>
      </w:r>
      <w:r w:rsidRPr="4B126904">
        <w:rPr>
          <w:rFonts w:asciiTheme="majorHAnsi" w:eastAsia="Times New Roman" w:hAnsiTheme="majorHAnsi" w:cstheme="majorBidi"/>
          <w:color w:val="333333"/>
          <w:sz w:val="22"/>
          <w:szCs w:val="22"/>
        </w:rPr>
        <w:t xml:space="preserve"> Out of its 66.7 million population, 12.5 million (5.3 million men and 7.2 million women) or 19 percent are older persons. The population is projected to increase by an average rate of 4 percent per year, while the population aged 80 years or older will increase at 7 percent per year; and the total elderly population is projected to rise to 31 percent in 2060.</w:t>
      </w:r>
      <w:r w:rsidRPr="00FB4C33">
        <w:rPr>
          <w:rStyle w:val="FootnoteReference"/>
          <w:rFonts w:asciiTheme="majorHAnsi" w:eastAsia="Times New Roman" w:hAnsiTheme="majorHAnsi" w:cstheme="majorBidi"/>
          <w:color w:val="333333"/>
          <w:sz w:val="22"/>
          <w:szCs w:val="22"/>
          <w:vertAlign w:val="superscript"/>
        </w:rPr>
        <w:footnoteReference w:id="13"/>
      </w:r>
      <w:r w:rsidRPr="4B126904">
        <w:rPr>
          <w:rFonts w:asciiTheme="majorHAnsi" w:eastAsia="Times New Roman" w:hAnsiTheme="majorHAnsi" w:cstheme="majorBidi"/>
          <w:color w:val="333333"/>
          <w:sz w:val="22"/>
          <w:szCs w:val="22"/>
        </w:rPr>
        <w:t xml:space="preserve"> Among ASEAN members, Thailand also has the highest dependency ratio (the portion of people aged 65 years or older as a percentage of the working population aged 15–64). The ratio has risen from 10.7 percent in 1984 to an estimated 30.5 percent in 2022. This can have negative implications toward the socio-economic, political, and policy development of the country</w:t>
      </w:r>
      <w:r w:rsidR="00071566">
        <w:rPr>
          <w:rFonts w:asciiTheme="majorHAnsi" w:eastAsia="Times New Roman" w:hAnsiTheme="majorHAnsi" w:cstheme="majorBidi"/>
          <w:color w:val="333333"/>
          <w:sz w:val="22"/>
          <w:szCs w:val="22"/>
        </w:rPr>
        <w:t>—</w:t>
      </w:r>
      <w:r w:rsidRPr="4B126904">
        <w:rPr>
          <w:rFonts w:asciiTheme="majorHAnsi" w:eastAsia="Times New Roman" w:hAnsiTheme="majorHAnsi" w:cstheme="majorBidi"/>
          <w:color w:val="333333"/>
          <w:sz w:val="22"/>
          <w:szCs w:val="22"/>
        </w:rPr>
        <w:t xml:space="preserve">such as the increasing burden to the working-age population, including the provision of long-term care and pensions.  </w:t>
      </w:r>
    </w:p>
    <w:p w14:paraId="7977704A" w14:textId="77777777" w:rsidR="009C41D1" w:rsidRPr="003070EF" w:rsidRDefault="009C41D1" w:rsidP="009C41D1">
      <w:pPr>
        <w:pStyle w:val="Default"/>
        <w:spacing w:before="240" w:after="240"/>
        <w:jc w:val="both"/>
        <w:rPr>
          <w:rFonts w:asciiTheme="majorHAnsi" w:eastAsia="Malgun Gothic" w:hAnsiTheme="majorHAnsi" w:cstheme="majorBidi"/>
          <w:sz w:val="22"/>
          <w:szCs w:val="22"/>
        </w:rPr>
      </w:pPr>
      <w:r w:rsidRPr="4B126904">
        <w:rPr>
          <w:rFonts w:asciiTheme="majorHAnsi" w:eastAsia="Malgun Gothic" w:hAnsiTheme="majorHAnsi" w:cstheme="majorBidi"/>
          <w:b/>
          <w:sz w:val="22"/>
          <w:szCs w:val="22"/>
        </w:rPr>
        <w:t xml:space="preserve">The elderly </w:t>
      </w:r>
      <w:r w:rsidRPr="4B126904">
        <w:rPr>
          <w:rFonts w:asciiTheme="majorHAnsi" w:hAnsiTheme="majorHAnsi" w:cstheme="majorBidi"/>
          <w:b/>
          <w:sz w:val="22"/>
          <w:szCs w:val="22"/>
        </w:rPr>
        <w:t>population</w:t>
      </w:r>
      <w:r w:rsidRPr="4B126904">
        <w:rPr>
          <w:rFonts w:asciiTheme="majorHAnsi" w:eastAsia="Malgun Gothic" w:hAnsiTheme="majorHAnsi" w:cstheme="majorBidi"/>
          <w:b/>
          <w:sz w:val="22"/>
          <w:szCs w:val="22"/>
        </w:rPr>
        <w:t xml:space="preserve"> is also facing age discrimination where they are being isolated, excluded, or marginalized.</w:t>
      </w:r>
      <w:r w:rsidRPr="4B126904">
        <w:rPr>
          <w:rFonts w:asciiTheme="majorHAnsi" w:eastAsia="Malgun Gothic" w:hAnsiTheme="majorHAnsi" w:cstheme="majorBidi"/>
          <w:sz w:val="22"/>
          <w:szCs w:val="22"/>
        </w:rPr>
        <w:t xml:space="preserve">  In many cases, multiple discriminations and inequities are experienced when age and gender intersect with other factors such as disability, socio-economic status, and ethnicity. The effect of aging is more profound on women as they live longer than men. Women are more likely to become heads of households, providing care to grandchildren.  Their resources are derived from remittances from their adult children and nominal public allowances for the elderly. </w:t>
      </w:r>
    </w:p>
    <w:p w14:paraId="761BC5F5" w14:textId="77777777" w:rsidR="009C41D1" w:rsidRPr="00E865EB" w:rsidRDefault="009C41D1" w:rsidP="009C41D1">
      <w:pPr>
        <w:pStyle w:val="Heading3"/>
      </w:pPr>
      <w:r w:rsidRPr="00E865EB">
        <w:t xml:space="preserve">Low skilled </w:t>
      </w:r>
      <w:r>
        <w:t>m</w:t>
      </w:r>
      <w:r w:rsidRPr="00B86162">
        <w:t xml:space="preserve">igrant </w:t>
      </w:r>
      <w:r>
        <w:t>w</w:t>
      </w:r>
      <w:r w:rsidRPr="00B86162">
        <w:t xml:space="preserve">orkers </w:t>
      </w:r>
    </w:p>
    <w:p w14:paraId="22864A9B" w14:textId="77777777" w:rsidR="009C41D1" w:rsidRPr="003070EF" w:rsidRDefault="009C41D1" w:rsidP="009C41D1">
      <w:pPr>
        <w:pStyle w:val="Default"/>
        <w:spacing w:before="240" w:after="240"/>
        <w:jc w:val="both"/>
        <w:rPr>
          <w:rFonts w:asciiTheme="majorHAnsi" w:hAnsiTheme="majorHAnsi" w:cstheme="majorBidi"/>
          <w:sz w:val="22"/>
          <w:szCs w:val="22"/>
        </w:rPr>
      </w:pPr>
      <w:r w:rsidRPr="4B126904">
        <w:rPr>
          <w:rFonts w:asciiTheme="majorHAnsi" w:hAnsiTheme="majorHAnsi" w:cstheme="majorBidi"/>
          <w:b/>
          <w:sz w:val="22"/>
          <w:szCs w:val="22"/>
        </w:rPr>
        <w:t>Thailand is a regional migration hub within South-East Asia.</w:t>
      </w:r>
      <w:r w:rsidRPr="4B126904">
        <w:rPr>
          <w:rFonts w:asciiTheme="majorHAnsi" w:hAnsiTheme="majorHAnsi" w:cstheme="majorBidi"/>
          <w:sz w:val="22"/>
          <w:szCs w:val="22"/>
        </w:rPr>
        <w:t xml:space="preserve"> The non-Thai population living in Thailand rose from 3.7 million in 2014 to 4.9 million in 2018. An estimated 3.9 million were from Cambodia, Lao PDR, Myanmar, and Vietnam. This unskilled labor from neighboring countries is filling the increasing labor shortage as Thailand </w:t>
      </w:r>
      <w:proofErr w:type="gramStart"/>
      <w:r w:rsidRPr="4B126904">
        <w:rPr>
          <w:rFonts w:asciiTheme="majorHAnsi" w:hAnsiTheme="majorHAnsi" w:cstheme="majorBidi"/>
          <w:sz w:val="22"/>
          <w:szCs w:val="22"/>
        </w:rPr>
        <w:t>enters into</w:t>
      </w:r>
      <w:proofErr w:type="gramEnd"/>
      <w:r w:rsidRPr="4B126904">
        <w:rPr>
          <w:rFonts w:asciiTheme="majorHAnsi" w:hAnsiTheme="majorHAnsi" w:cstheme="majorBidi"/>
          <w:sz w:val="22"/>
          <w:szCs w:val="22"/>
        </w:rPr>
        <w:t xml:space="preserve"> a super aging society. The estimated number of irregular migrant workers is about 1–2.5 million. The government tries to address this issue by conducting periodic regularizations of migrant workers. </w:t>
      </w:r>
    </w:p>
    <w:p w14:paraId="14E8E6DD" w14:textId="77777777" w:rsidR="009C41D1" w:rsidRPr="003070EF" w:rsidRDefault="009C41D1" w:rsidP="009C41D1">
      <w:pPr>
        <w:pStyle w:val="Default"/>
        <w:spacing w:before="240" w:after="240"/>
        <w:jc w:val="both"/>
        <w:rPr>
          <w:rFonts w:asciiTheme="majorHAnsi" w:hAnsiTheme="majorHAnsi" w:cstheme="majorBidi"/>
          <w:sz w:val="22"/>
          <w:szCs w:val="22"/>
        </w:rPr>
      </w:pPr>
      <w:proofErr w:type="gramStart"/>
      <w:r w:rsidRPr="4B126904">
        <w:rPr>
          <w:rFonts w:asciiTheme="majorHAnsi" w:hAnsiTheme="majorHAnsi" w:cstheme="majorBidi"/>
          <w:b/>
          <w:sz w:val="22"/>
          <w:szCs w:val="22"/>
        </w:rPr>
        <w:t>The majority of</w:t>
      </w:r>
      <w:proofErr w:type="gramEnd"/>
      <w:r w:rsidRPr="4B126904">
        <w:rPr>
          <w:rFonts w:asciiTheme="majorHAnsi" w:hAnsiTheme="majorHAnsi" w:cstheme="majorBidi"/>
          <w:b/>
          <w:sz w:val="22"/>
          <w:szCs w:val="22"/>
        </w:rPr>
        <w:t xml:space="preserve"> unskilled migrant workers are working in low-paid jobs in fishing, agriculture, construction, manufacturing, and domestic work.</w:t>
      </w:r>
      <w:r w:rsidRPr="4B126904">
        <w:rPr>
          <w:rFonts w:asciiTheme="majorHAnsi" w:hAnsiTheme="majorHAnsi" w:cstheme="majorBidi"/>
          <w:sz w:val="22"/>
          <w:szCs w:val="22"/>
        </w:rPr>
        <w:t xml:space="preserve"> ILO studies found that many of the seasonal workers in the agricultural sector were excluded from the </w:t>
      </w:r>
      <w:proofErr w:type="spellStart"/>
      <w:r w:rsidRPr="4B126904">
        <w:rPr>
          <w:rFonts w:asciiTheme="majorHAnsi" w:hAnsiTheme="majorHAnsi" w:cstheme="majorBidi"/>
          <w:sz w:val="22"/>
          <w:szCs w:val="22"/>
        </w:rPr>
        <w:t>Labour</w:t>
      </w:r>
      <w:proofErr w:type="spellEnd"/>
      <w:r w:rsidRPr="4B126904">
        <w:rPr>
          <w:rFonts w:asciiTheme="majorHAnsi" w:hAnsiTheme="majorHAnsi" w:cstheme="majorBidi"/>
          <w:sz w:val="22"/>
          <w:szCs w:val="22"/>
        </w:rPr>
        <w:t xml:space="preserve"> Protection Act, and this led to exploitation of their working conditions including deceptive recruitment practices, not receiving overtime payments, withholding of wages, lack of annual and sick leave, unsafe living and working conditions, and a lack of social security</w:t>
      </w:r>
      <w:r>
        <w:rPr>
          <w:rFonts w:asciiTheme="majorHAnsi" w:hAnsiTheme="majorHAnsi" w:cstheme="majorBidi"/>
          <w:sz w:val="22"/>
          <w:szCs w:val="22"/>
        </w:rPr>
        <w:t xml:space="preserve"> (Thailand Migration Report 2019)</w:t>
      </w:r>
      <w:r w:rsidRPr="4B126904">
        <w:rPr>
          <w:rFonts w:asciiTheme="majorHAnsi" w:hAnsiTheme="majorHAnsi" w:cstheme="majorBidi"/>
          <w:sz w:val="22"/>
          <w:szCs w:val="22"/>
        </w:rPr>
        <w:t>.</w:t>
      </w:r>
      <w:r w:rsidRPr="003A39CD">
        <w:rPr>
          <w:rFonts w:asciiTheme="majorHAnsi" w:hAnsiTheme="majorHAnsi" w:cstheme="majorBidi"/>
          <w:sz w:val="22"/>
          <w:szCs w:val="22"/>
          <w:vertAlign w:val="superscript"/>
        </w:rPr>
        <w:t xml:space="preserve"> </w:t>
      </w:r>
      <w:r w:rsidRPr="4B126904">
        <w:rPr>
          <w:rFonts w:asciiTheme="majorHAnsi" w:hAnsiTheme="majorHAnsi" w:cstheme="majorBidi"/>
          <w:sz w:val="22"/>
          <w:szCs w:val="22"/>
        </w:rPr>
        <w:t>Full time male and female workers from Myanmar, Cambodia, and Lao PDR in the agricultural sector reported that they were paid less than the minimum wage with females receiving less than men.</w:t>
      </w:r>
      <w:r w:rsidRPr="003A39CD">
        <w:rPr>
          <w:rStyle w:val="FootnoteReference"/>
          <w:rFonts w:asciiTheme="majorHAnsi" w:hAnsiTheme="majorHAnsi" w:cstheme="majorBidi"/>
          <w:sz w:val="22"/>
          <w:szCs w:val="22"/>
          <w:vertAlign w:val="superscript"/>
        </w:rPr>
        <w:footnoteReference w:id="14"/>
      </w:r>
      <w:r w:rsidRPr="003A39CD">
        <w:rPr>
          <w:rFonts w:asciiTheme="majorHAnsi" w:hAnsiTheme="majorHAnsi" w:cstheme="majorBidi"/>
          <w:sz w:val="22"/>
          <w:szCs w:val="22"/>
          <w:vertAlign w:val="superscript"/>
        </w:rPr>
        <w:t xml:space="preserve"> </w:t>
      </w:r>
      <w:r w:rsidRPr="4B126904">
        <w:rPr>
          <w:rFonts w:asciiTheme="majorHAnsi" w:hAnsiTheme="majorHAnsi" w:cstheme="majorBidi"/>
          <w:sz w:val="22"/>
          <w:szCs w:val="22"/>
        </w:rPr>
        <w:t xml:space="preserve">In addition, there are increasing health and safety risks due to insufficient provision of occupational safety and health training and protective equipment for migrant workers.  Migrant workers, both regular and irregular, can get access to healthcare, however, due to social and financial difficulties, many have yet to get access to their needed care.  </w:t>
      </w:r>
    </w:p>
    <w:p w14:paraId="45ED7BDC" w14:textId="77777777" w:rsidR="009C41D1" w:rsidRPr="00E865EB" w:rsidRDefault="009C41D1" w:rsidP="009C41D1">
      <w:pPr>
        <w:pStyle w:val="Heading3"/>
      </w:pPr>
      <w:r w:rsidRPr="00E865EB">
        <w:t xml:space="preserve">Gender-based exclusion, </w:t>
      </w:r>
      <w:r>
        <w:t>s</w:t>
      </w:r>
      <w:r w:rsidRPr="00E865EB">
        <w:t xml:space="preserve">exual </w:t>
      </w:r>
      <w:r>
        <w:t>o</w:t>
      </w:r>
      <w:r w:rsidRPr="00E865EB">
        <w:t xml:space="preserve">rientation, and </w:t>
      </w:r>
      <w:r>
        <w:t>g</w:t>
      </w:r>
      <w:r w:rsidRPr="00E865EB">
        <w:t xml:space="preserve">ender </w:t>
      </w:r>
      <w:r>
        <w:t>i</w:t>
      </w:r>
      <w:r w:rsidRPr="00E865EB">
        <w:t xml:space="preserve">dentity  </w:t>
      </w:r>
    </w:p>
    <w:p w14:paraId="42B57D04" w14:textId="77777777" w:rsidR="009C41D1" w:rsidRPr="00E9090B" w:rsidRDefault="009C41D1" w:rsidP="009C41D1">
      <w:pPr>
        <w:pStyle w:val="Default"/>
        <w:spacing w:before="240" w:after="240"/>
        <w:jc w:val="both"/>
        <w:rPr>
          <w:rFonts w:ascii="Times New Roman" w:hAnsi="Times New Roman" w:cs="Times New Roman"/>
        </w:rPr>
      </w:pPr>
      <w:r w:rsidRPr="4B126904">
        <w:rPr>
          <w:rFonts w:asciiTheme="majorHAnsi" w:hAnsiTheme="majorHAnsi" w:cstheme="majorBidi"/>
          <w:b/>
          <w:sz w:val="22"/>
          <w:szCs w:val="22"/>
        </w:rPr>
        <w:t>The 2017 Thai Constitution and the Gender Equality Act of 2015 recognize equal rights of men and women</w:t>
      </w:r>
      <w:r w:rsidRPr="4B126904">
        <w:rPr>
          <w:rFonts w:asciiTheme="majorHAnsi" w:hAnsiTheme="majorHAnsi" w:cstheme="majorBidi"/>
          <w:sz w:val="22"/>
          <w:szCs w:val="22"/>
        </w:rPr>
        <w:t xml:space="preserve">. It provides protective measures for those subject to unfair gender discrimination. Sexual and gender </w:t>
      </w:r>
      <w:r w:rsidRPr="4B126904">
        <w:rPr>
          <w:rFonts w:asciiTheme="majorHAnsi" w:hAnsiTheme="majorHAnsi" w:cstheme="majorBidi"/>
          <w:sz w:val="22"/>
          <w:szCs w:val="22"/>
        </w:rPr>
        <w:lastRenderedPageBreak/>
        <w:t>minorities are among social groups who continue to experience discrimination, economic and social exclusion, and violence due to deeply entrenched stigma and prejudice. Stigma and exclusion limit their access to markets, services, and spaces. Due to this exclusion, these individuals are especially vulnerable to violence, further discrimination, and diminished opportunities in life. Such disadvantages not only prevent them from capitalizing on opportunities to lead a better life, but also robs them of dignity. In Thailand, a growing body of research indicates that lesbian, gay, bisexual, transgender, and intersex (LGBTI) people experience lower employment, education,</w:t>
      </w:r>
      <w:r w:rsidRPr="00C46E36">
        <w:rPr>
          <w:rFonts w:ascii="Times New Roman" w:hAnsi="Times New Roman" w:cs="Times New Roman"/>
        </w:rPr>
        <w:t xml:space="preserve"> </w:t>
      </w:r>
      <w:r w:rsidRPr="4B126904">
        <w:rPr>
          <w:rFonts w:asciiTheme="majorHAnsi" w:hAnsiTheme="majorHAnsi" w:cstheme="majorBidi"/>
          <w:sz w:val="22"/>
          <w:szCs w:val="22"/>
        </w:rPr>
        <w:t>health, housing, and lower socio-</w:t>
      </w:r>
      <w:r w:rsidRPr="00E9090B">
        <w:rPr>
          <w:rFonts w:asciiTheme="majorHAnsi" w:hAnsiTheme="majorHAnsi" w:cstheme="majorBidi"/>
          <w:sz w:val="22"/>
          <w:szCs w:val="22"/>
        </w:rPr>
        <w:t xml:space="preserve">economic outcomes than the general population. They experience an immense pressure from society at large to conform to heteronormative norms (Economic Inclusion of LGBTI Groups in Thailand, World Bank Group 2017). </w:t>
      </w:r>
    </w:p>
    <w:p w14:paraId="4789D0FA" w14:textId="77777777" w:rsidR="009C41D1" w:rsidRPr="00E9090B" w:rsidRDefault="009C41D1" w:rsidP="009C41D1">
      <w:pPr>
        <w:pStyle w:val="Default"/>
        <w:spacing w:before="240" w:after="240"/>
        <w:jc w:val="both"/>
        <w:rPr>
          <w:rFonts w:asciiTheme="majorHAnsi" w:eastAsia="Times New Roman" w:hAnsiTheme="majorHAnsi" w:cstheme="majorBidi"/>
          <w:sz w:val="22"/>
          <w:szCs w:val="22"/>
        </w:rPr>
      </w:pPr>
      <w:r w:rsidRPr="00E9090B">
        <w:rPr>
          <w:rFonts w:asciiTheme="majorHAnsi" w:hAnsiTheme="majorHAnsi" w:cstheme="majorBidi"/>
          <w:b/>
          <w:sz w:val="22"/>
          <w:szCs w:val="22"/>
        </w:rPr>
        <w:t xml:space="preserve">Another impact and manifestation of gender-based discrimination and exclusion is the prevalence of gender-based violence and </w:t>
      </w:r>
      <w:r w:rsidRPr="00E9090B">
        <w:rPr>
          <w:rFonts w:asciiTheme="majorHAnsi" w:eastAsia="Times New Roman" w:hAnsiTheme="majorHAnsi" w:cstheme="majorBidi"/>
          <w:b/>
          <w:sz w:val="22"/>
          <w:szCs w:val="22"/>
        </w:rPr>
        <w:t>violence against women and girls (VAWG).</w:t>
      </w:r>
      <w:r w:rsidRPr="00E9090B">
        <w:rPr>
          <w:rFonts w:asciiTheme="majorHAnsi" w:eastAsia="Times New Roman" w:hAnsiTheme="majorHAnsi" w:cstheme="majorBidi"/>
          <w:sz w:val="22"/>
          <w:szCs w:val="22"/>
        </w:rPr>
        <w:t xml:space="preserve">  This can limit women’s ability to work and earn an income, as well as their ability to fully participate in their communities, which can lead to social exclusion and make it more difficult for women to access resources and opportunities. Data collection on family violence by the Ministry of Social Development and Human Security and statistics on violence against women suggests that incidents of violence have increased every year, from 705 cases in 2553 to 1,211 cases in 2561, with over 80 percent of victims being women.</w:t>
      </w:r>
      <w:r w:rsidRPr="00E9090B">
        <w:rPr>
          <w:rFonts w:asciiTheme="majorHAnsi" w:eastAsia="Times New Roman" w:hAnsiTheme="majorHAnsi" w:cstheme="majorBidi"/>
          <w:sz w:val="22"/>
          <w:szCs w:val="22"/>
          <w:vertAlign w:val="superscript"/>
        </w:rPr>
        <w:footnoteReference w:id="15"/>
      </w:r>
      <w:r w:rsidRPr="00E9090B">
        <w:rPr>
          <w:rFonts w:asciiTheme="majorHAnsi" w:eastAsia="Times New Roman" w:hAnsiTheme="majorHAnsi" w:cstheme="majorBidi"/>
          <w:sz w:val="22"/>
          <w:szCs w:val="22"/>
        </w:rPr>
        <w:t xml:space="preserve"> During the COVID-19 lockdown in Thailand, there was an increase of 29 percent on searches seeking online help for information relating to abuse from partners or other perpetrators and/or VAWG.</w:t>
      </w:r>
      <w:r w:rsidRPr="00E9090B">
        <w:rPr>
          <w:rStyle w:val="FootnoteReference"/>
          <w:rFonts w:asciiTheme="majorHAnsi" w:eastAsia="Times New Roman" w:hAnsiTheme="majorHAnsi" w:cstheme="majorBidi"/>
          <w:sz w:val="22"/>
          <w:szCs w:val="22"/>
          <w:vertAlign w:val="superscript"/>
        </w:rPr>
        <w:footnoteReference w:id="16"/>
      </w:r>
      <w:r w:rsidRPr="00E9090B">
        <w:rPr>
          <w:rFonts w:asciiTheme="majorHAnsi" w:eastAsia="Times New Roman" w:hAnsiTheme="majorHAnsi" w:cstheme="majorBidi"/>
          <w:sz w:val="22"/>
          <w:szCs w:val="22"/>
        </w:rPr>
        <w:t xml:space="preserve"> It is important to note that despite the progress made in addressing and preventing violence against women in Thailand, there are still gaps in the implementation of policies and initiatives. This highlights the need for continued efforts to ensure that these measures are effectively implemented and that individuals affected by violence have access to necessary support and resources.</w:t>
      </w:r>
    </w:p>
    <w:p w14:paraId="0D22EE73" w14:textId="77777777" w:rsidR="009C41D1" w:rsidRPr="00E9090B" w:rsidRDefault="009C41D1" w:rsidP="009C41D1">
      <w:pPr>
        <w:pStyle w:val="Heading3"/>
        <w:rPr>
          <w:lang w:val="en-GB"/>
        </w:rPr>
      </w:pPr>
      <w:r w:rsidRPr="00E9090B">
        <w:rPr>
          <w:lang w:val="en-GB"/>
        </w:rPr>
        <w:t xml:space="preserve">Persons with disabilities </w:t>
      </w:r>
    </w:p>
    <w:p w14:paraId="10226D46" w14:textId="0D3B0BE2" w:rsidR="009C41D1" w:rsidRPr="00E9090B" w:rsidRDefault="009C41D1" w:rsidP="009C41D1">
      <w:pPr>
        <w:pStyle w:val="Default"/>
        <w:spacing w:before="240" w:after="240"/>
        <w:jc w:val="both"/>
        <w:rPr>
          <w:rFonts w:asciiTheme="majorHAnsi" w:hAnsiTheme="majorHAnsi" w:cstheme="majorBidi"/>
          <w:sz w:val="22"/>
          <w:szCs w:val="22"/>
        </w:rPr>
      </w:pPr>
      <w:r w:rsidRPr="00E9090B">
        <w:rPr>
          <w:rFonts w:asciiTheme="majorHAnsi" w:hAnsiTheme="majorHAnsi" w:cstheme="majorBidi"/>
          <w:b/>
          <w:sz w:val="22"/>
          <w:szCs w:val="22"/>
        </w:rPr>
        <w:t>According to the National Statistics Office 2017, Thailand had 3.69 million people with disabilities</w:t>
      </w:r>
      <w:r w:rsidRPr="00E9090B">
        <w:rPr>
          <w:rFonts w:asciiTheme="majorHAnsi" w:hAnsiTheme="majorHAnsi" w:cstheme="majorBidi"/>
          <w:sz w:val="22"/>
          <w:szCs w:val="22"/>
        </w:rPr>
        <w:t>.  However, there are only 2.1 million people currently registered for disability cards (3.2 percent of the total population) with different conditions</w:t>
      </w:r>
      <w:r w:rsidR="00071566">
        <w:rPr>
          <w:rFonts w:asciiTheme="majorHAnsi" w:hAnsiTheme="majorHAnsi" w:cstheme="majorBidi"/>
          <w:sz w:val="22"/>
          <w:szCs w:val="22"/>
        </w:rPr>
        <w:t>—</w:t>
      </w:r>
      <w:r w:rsidRPr="00E9090B">
        <w:rPr>
          <w:rFonts w:asciiTheme="majorHAnsi" w:hAnsiTheme="majorHAnsi" w:cstheme="majorBidi"/>
          <w:sz w:val="22"/>
          <w:szCs w:val="22"/>
        </w:rPr>
        <w:t xml:space="preserve">mobility disability (50 percent), hearing impairments (19 percent), visual impairments (9 percent), psychological disorders (8 percent), and other disabilities. Forty-eight percent are </w:t>
      </w:r>
      <w:r w:rsidR="00F13626" w:rsidRPr="00E9090B">
        <w:rPr>
          <w:rFonts w:asciiTheme="majorHAnsi" w:hAnsiTheme="majorHAnsi" w:cstheme="majorBidi"/>
          <w:sz w:val="22"/>
          <w:szCs w:val="22"/>
        </w:rPr>
        <w:t>female,</w:t>
      </w:r>
      <w:r w:rsidRPr="00E9090B">
        <w:rPr>
          <w:rFonts w:asciiTheme="majorHAnsi" w:hAnsiTheme="majorHAnsi" w:cstheme="majorBidi"/>
          <w:sz w:val="22"/>
          <w:szCs w:val="22"/>
        </w:rPr>
        <w:t xml:space="preserve"> and 52 percent are male. Men with disabilities are more likely to have jobs than women with disabilities.</w:t>
      </w:r>
      <w:r w:rsidRPr="00E9090B">
        <w:rPr>
          <w:rStyle w:val="FootnoteReference"/>
          <w:rFonts w:asciiTheme="majorHAnsi" w:hAnsiTheme="majorHAnsi" w:cstheme="majorBidi"/>
          <w:sz w:val="22"/>
          <w:szCs w:val="22"/>
          <w:vertAlign w:val="superscript"/>
        </w:rPr>
        <w:footnoteReference w:id="17"/>
      </w:r>
      <w:r w:rsidRPr="00E9090B">
        <w:rPr>
          <w:rFonts w:asciiTheme="majorHAnsi" w:hAnsiTheme="majorHAnsi" w:cstheme="majorBidi"/>
          <w:sz w:val="22"/>
          <w:szCs w:val="22"/>
        </w:rPr>
        <w:t xml:space="preserve"> There is no data on people with disabilities and poverty. </w:t>
      </w:r>
      <w:r w:rsidR="00F13626" w:rsidRPr="00E9090B">
        <w:rPr>
          <w:rFonts w:asciiTheme="majorHAnsi" w:hAnsiTheme="majorHAnsi" w:cstheme="majorBidi"/>
          <w:sz w:val="22"/>
          <w:szCs w:val="22"/>
        </w:rPr>
        <w:t>Most</w:t>
      </w:r>
      <w:r w:rsidRPr="00E9090B">
        <w:rPr>
          <w:rFonts w:asciiTheme="majorHAnsi" w:hAnsiTheme="majorHAnsi" w:cstheme="majorBidi"/>
          <w:sz w:val="22"/>
          <w:szCs w:val="22"/>
        </w:rPr>
        <w:t xml:space="preserve"> disabled people live in rural areas, and more than half (56 percent) are over 60 years old. Working-age disabled persons (15–59) constitute about 40 percent of the total, with </w:t>
      </w:r>
      <w:r w:rsidR="00F13626" w:rsidRPr="00E9090B">
        <w:rPr>
          <w:rFonts w:asciiTheme="majorHAnsi" w:hAnsiTheme="majorHAnsi" w:cstheme="majorBidi"/>
          <w:sz w:val="22"/>
          <w:szCs w:val="22"/>
        </w:rPr>
        <w:t>most of</w:t>
      </w:r>
      <w:r w:rsidRPr="00E9090B">
        <w:rPr>
          <w:rFonts w:asciiTheme="majorHAnsi" w:hAnsiTheme="majorHAnsi" w:cstheme="majorBidi"/>
          <w:sz w:val="22"/>
          <w:szCs w:val="22"/>
        </w:rPr>
        <w:t xml:space="preserve"> these working in the agricultural sector. Among the working-age group, 11 percent reported being able to work but being unemployed (Situation Report on the Persons with Disabilities in Thailand 2021).</w:t>
      </w:r>
      <w:r w:rsidRPr="00E9090B">
        <w:rPr>
          <w:rFonts w:asciiTheme="majorHAnsi" w:hAnsiTheme="majorHAnsi" w:cstheme="majorBidi"/>
          <w:sz w:val="22"/>
          <w:szCs w:val="22"/>
          <w:vertAlign w:val="superscript"/>
        </w:rPr>
        <w:t xml:space="preserve"> </w:t>
      </w:r>
      <w:r w:rsidRPr="00E9090B">
        <w:rPr>
          <w:rFonts w:asciiTheme="majorHAnsi" w:hAnsiTheme="majorHAnsi" w:cstheme="majorBidi"/>
          <w:sz w:val="22"/>
          <w:szCs w:val="22"/>
        </w:rPr>
        <w:t xml:space="preserve">  </w:t>
      </w:r>
    </w:p>
    <w:p w14:paraId="13C6D273" w14:textId="77777777" w:rsidR="009C41D1" w:rsidRPr="003070EF" w:rsidRDefault="009C41D1" w:rsidP="009C41D1">
      <w:pPr>
        <w:pStyle w:val="Default"/>
        <w:spacing w:before="240" w:after="240"/>
        <w:jc w:val="both"/>
        <w:rPr>
          <w:rFonts w:asciiTheme="majorHAnsi" w:hAnsiTheme="majorHAnsi" w:cstheme="majorBidi"/>
          <w:sz w:val="22"/>
          <w:szCs w:val="22"/>
        </w:rPr>
      </w:pPr>
      <w:r w:rsidRPr="00E9090B">
        <w:rPr>
          <w:rFonts w:asciiTheme="majorHAnsi" w:hAnsiTheme="majorHAnsi" w:cstheme="majorBidi"/>
          <w:b/>
          <w:sz w:val="22"/>
          <w:szCs w:val="22"/>
        </w:rPr>
        <w:t>In 2007, the government issued the Persons with Disabilities Empowerment Act</w:t>
      </w:r>
      <w:r w:rsidRPr="00E9090B">
        <w:rPr>
          <w:rFonts w:asciiTheme="majorHAnsi" w:hAnsiTheme="majorHAnsi" w:cstheme="majorBidi"/>
          <w:sz w:val="22"/>
          <w:szCs w:val="22"/>
        </w:rPr>
        <w:t>. It provides persons with impairments legal and personal assistance, sign language interpreters, medical services, house modifications for better accessibility, and education free of charge. The</w:t>
      </w:r>
      <w:r w:rsidRPr="4B126904">
        <w:rPr>
          <w:rFonts w:asciiTheme="majorHAnsi" w:hAnsiTheme="majorHAnsi" w:cstheme="majorBidi"/>
          <w:sz w:val="22"/>
          <w:szCs w:val="22"/>
        </w:rPr>
        <w:t xml:space="preserve"> Act also allows persons with disabilities to receive tax exemptions, loans without interest for self-employment, and a monthly allowance of B 800</w:t>
      </w:r>
      <w:r>
        <w:rPr>
          <w:rFonts w:asciiTheme="majorHAnsi" w:hAnsiTheme="majorHAnsi" w:cstheme="majorBidi"/>
          <w:sz w:val="22"/>
          <w:szCs w:val="22"/>
        </w:rPr>
        <w:t xml:space="preserve"> (Burton 2021)</w:t>
      </w:r>
      <w:r w:rsidRPr="4B126904">
        <w:rPr>
          <w:rFonts w:asciiTheme="majorHAnsi" w:hAnsiTheme="majorHAnsi" w:cstheme="majorBidi"/>
          <w:sz w:val="22"/>
          <w:szCs w:val="22"/>
        </w:rPr>
        <w:t>.</w:t>
      </w:r>
      <w:r w:rsidRPr="005E4CE3">
        <w:rPr>
          <w:rStyle w:val="FootnoteReference"/>
          <w:rFonts w:asciiTheme="majorHAnsi" w:hAnsiTheme="majorHAnsi" w:cstheme="majorBidi"/>
          <w:sz w:val="22"/>
          <w:szCs w:val="22"/>
          <w:vertAlign w:val="superscript"/>
        </w:rPr>
        <w:footnoteReference w:id="18"/>
      </w:r>
      <w:r w:rsidRPr="005E4CE3">
        <w:rPr>
          <w:rFonts w:asciiTheme="majorHAnsi" w:hAnsiTheme="majorHAnsi" w:cstheme="majorBidi"/>
          <w:sz w:val="22"/>
          <w:szCs w:val="22"/>
          <w:vertAlign w:val="superscript"/>
        </w:rPr>
        <w:t xml:space="preserve"> </w:t>
      </w:r>
      <w:r w:rsidRPr="4B126904">
        <w:rPr>
          <w:rFonts w:asciiTheme="majorHAnsi" w:hAnsiTheme="majorHAnsi" w:cstheme="majorBidi"/>
          <w:sz w:val="22"/>
          <w:szCs w:val="22"/>
        </w:rPr>
        <w:t xml:space="preserve">The government also set up the Education for Persons with Disabilities Act 2008 </w:t>
      </w:r>
      <w:r w:rsidRPr="4B126904">
        <w:rPr>
          <w:rFonts w:asciiTheme="majorHAnsi" w:hAnsiTheme="majorHAnsi" w:cstheme="majorBidi"/>
          <w:sz w:val="22"/>
          <w:szCs w:val="22"/>
        </w:rPr>
        <w:lastRenderedPageBreak/>
        <w:t xml:space="preserve">to assist disabled persons with education and other related support. The National Commission on Promotion and Development of Life Quality of Disabled Persons was also established to manage employers and relevant agencies on the rights of the persons with disabilities. While these policies and measures are positive, many disabled persons are still not receiving disability benefits offered under the government’s disability card system because they do not fit within the current disability categories.  </w:t>
      </w:r>
    </w:p>
    <w:p w14:paraId="4D844C36" w14:textId="77777777" w:rsidR="009C41D1" w:rsidRPr="003070EF" w:rsidRDefault="009C41D1" w:rsidP="009C41D1">
      <w:pPr>
        <w:pStyle w:val="Default"/>
        <w:spacing w:before="240" w:after="240"/>
        <w:jc w:val="both"/>
        <w:rPr>
          <w:rFonts w:asciiTheme="majorHAnsi" w:hAnsiTheme="majorHAnsi" w:cstheme="majorBidi"/>
          <w:sz w:val="22"/>
          <w:szCs w:val="22"/>
        </w:rPr>
      </w:pPr>
      <w:r w:rsidRPr="4B126904">
        <w:rPr>
          <w:rFonts w:asciiTheme="majorHAnsi" w:hAnsiTheme="majorHAnsi" w:cstheme="majorBidi"/>
          <w:b/>
          <w:sz w:val="22"/>
          <w:szCs w:val="22"/>
        </w:rPr>
        <w:t>With regards to most of the groups mentioned above, the Government is aware of some of the key issues and has put in place legislation to try and address the problem.</w:t>
      </w:r>
      <w:r w:rsidRPr="4B126904">
        <w:rPr>
          <w:rFonts w:asciiTheme="majorHAnsi" w:hAnsiTheme="majorHAnsi" w:cstheme="majorBidi"/>
          <w:sz w:val="22"/>
          <w:szCs w:val="22"/>
        </w:rPr>
        <w:t xml:space="preserve"> In 2007, the government issued the Persons with Disabilities Empowerment Act; The 2017 Thai Constitution and the Gender Equality Act of 2015 recognizes equal rights of men and women and provides protective measures for those subject to unfair gender discrimination; </w:t>
      </w:r>
      <w:r w:rsidRPr="4B126904">
        <w:rPr>
          <w:rFonts w:asciiTheme="majorHAnsi" w:eastAsia="Times New Roman" w:hAnsiTheme="majorHAnsi" w:cstheme="majorBidi"/>
          <w:sz w:val="22"/>
          <w:szCs w:val="22"/>
        </w:rPr>
        <w:t>Policies, strategies and measures to prevent and suppress human trafficking 2017-2021; The 4</w:t>
      </w:r>
      <w:r w:rsidRPr="4B126904">
        <w:rPr>
          <w:rFonts w:asciiTheme="majorHAnsi" w:eastAsia="Times New Roman" w:hAnsiTheme="majorHAnsi" w:cstheme="majorBidi"/>
          <w:sz w:val="22"/>
          <w:szCs w:val="22"/>
          <w:vertAlign w:val="superscript"/>
        </w:rPr>
        <w:t>th</w:t>
      </w:r>
      <w:r w:rsidRPr="4B126904">
        <w:rPr>
          <w:rFonts w:asciiTheme="majorHAnsi" w:eastAsia="Times New Roman" w:hAnsiTheme="majorHAnsi" w:cstheme="majorBidi"/>
          <w:sz w:val="22"/>
          <w:szCs w:val="22"/>
        </w:rPr>
        <w:t xml:space="preserve"> National Human Rights Plan 2019-2023; The 2</w:t>
      </w:r>
      <w:r w:rsidRPr="4B126904">
        <w:rPr>
          <w:rFonts w:asciiTheme="majorHAnsi" w:eastAsia="Times New Roman" w:hAnsiTheme="majorHAnsi" w:cstheme="majorBidi"/>
          <w:sz w:val="22"/>
          <w:szCs w:val="22"/>
          <w:vertAlign w:val="superscript"/>
        </w:rPr>
        <w:t>nd</w:t>
      </w:r>
      <w:r w:rsidRPr="4B126904">
        <w:rPr>
          <w:rFonts w:asciiTheme="majorHAnsi" w:eastAsia="Times New Roman" w:hAnsiTheme="majorHAnsi" w:cstheme="majorBidi"/>
          <w:sz w:val="22"/>
          <w:szCs w:val="22"/>
        </w:rPr>
        <w:t xml:space="preserve"> Plan for the Development of Women with Disabilities 2017-2021; The Family Action Plan 2020-2022; The National Strategic Action Plan for the Prevention and Solution of Adolescent Pregnancy Problems 2017–2026. T</w:t>
      </w:r>
      <w:r w:rsidRPr="4B126904">
        <w:rPr>
          <w:rFonts w:asciiTheme="majorHAnsi" w:hAnsiTheme="majorHAnsi" w:cstheme="majorBidi"/>
          <w:sz w:val="22"/>
          <w:szCs w:val="22"/>
        </w:rPr>
        <w:t xml:space="preserve">he government has also adopted the Royal Ordinance Concerning the Management of Employment of Foreign Workers to manage labor migration along with the MOU procedures. This Royal Ordinance provides border employment regulation which allows employers to hire migrants in border areas to work under three-month visas.    </w:t>
      </w:r>
    </w:p>
    <w:p w14:paraId="676C8390" w14:textId="2D438FFB" w:rsidR="009C41D1" w:rsidRPr="003070EF" w:rsidRDefault="009C41D1" w:rsidP="009C41D1">
      <w:pPr>
        <w:pStyle w:val="Default"/>
        <w:spacing w:before="240" w:after="240"/>
        <w:jc w:val="both"/>
        <w:rPr>
          <w:rFonts w:asciiTheme="majorHAnsi" w:hAnsiTheme="majorHAnsi" w:cstheme="majorBidi"/>
          <w:sz w:val="22"/>
          <w:szCs w:val="22"/>
        </w:rPr>
      </w:pPr>
      <w:r w:rsidRPr="4B126904">
        <w:rPr>
          <w:rFonts w:asciiTheme="majorHAnsi" w:hAnsiTheme="majorHAnsi" w:cstheme="majorBidi"/>
          <w:b/>
          <w:sz w:val="22"/>
          <w:szCs w:val="22"/>
        </w:rPr>
        <w:t>However, the evidence shows that there is still a big problem in terms of the effective implementation of these key pieces of legislation</w:t>
      </w:r>
      <w:r w:rsidRPr="4B126904">
        <w:rPr>
          <w:rFonts w:asciiTheme="majorHAnsi" w:hAnsiTheme="majorHAnsi" w:cstheme="majorBidi"/>
          <w:sz w:val="22"/>
          <w:szCs w:val="22"/>
        </w:rPr>
        <w:t xml:space="preserve">. The costs of not addressing the exclusion of certain groups are very clear, including conflict, as in Southern Thailand; and severe economic and social costs, such as </w:t>
      </w:r>
      <w:r w:rsidR="00071566">
        <w:rPr>
          <w:rFonts w:asciiTheme="majorHAnsi" w:hAnsiTheme="majorHAnsi" w:cstheme="majorBidi"/>
          <w:sz w:val="22"/>
          <w:szCs w:val="22"/>
        </w:rPr>
        <w:t>GBV,</w:t>
      </w:r>
      <w:r w:rsidRPr="4B126904">
        <w:rPr>
          <w:rFonts w:asciiTheme="majorHAnsi" w:hAnsiTheme="majorHAnsi" w:cstheme="majorBidi"/>
          <w:sz w:val="22"/>
          <w:szCs w:val="22"/>
        </w:rPr>
        <w:t xml:space="preserve"> in terms of the lost potential contributions of women to the economy. Without addressing key concerns, the government cannot meet development goals.</w:t>
      </w:r>
    </w:p>
    <w:p w14:paraId="4900243F" w14:textId="77777777" w:rsidR="009C41D1" w:rsidRPr="003070EF" w:rsidRDefault="009C41D1" w:rsidP="009C41D1">
      <w:pPr>
        <w:pStyle w:val="Default"/>
        <w:spacing w:before="240" w:after="240"/>
        <w:jc w:val="both"/>
        <w:rPr>
          <w:rFonts w:asciiTheme="majorHAnsi" w:hAnsiTheme="majorHAnsi" w:cstheme="majorBidi"/>
          <w:sz w:val="22"/>
          <w:szCs w:val="22"/>
        </w:rPr>
      </w:pPr>
      <w:r w:rsidRPr="4B126904">
        <w:rPr>
          <w:rFonts w:asciiTheme="majorHAnsi" w:hAnsiTheme="majorHAnsi" w:cstheme="majorBidi"/>
          <w:b/>
          <w:sz w:val="22"/>
          <w:szCs w:val="22"/>
        </w:rPr>
        <w:t>Some of the key findings emerging from the exclusion analysis suggests the need for the following approaches and interventions to be considered by the World Bank</w:t>
      </w:r>
      <w:r w:rsidRPr="4B126904">
        <w:rPr>
          <w:rFonts w:asciiTheme="majorHAnsi" w:hAnsiTheme="majorHAnsi" w:cstheme="majorBidi"/>
          <w:sz w:val="22"/>
          <w:szCs w:val="22"/>
        </w:rPr>
        <w:t>:</w:t>
      </w:r>
    </w:p>
    <w:p w14:paraId="257B652C" w14:textId="13F7507A" w:rsidR="009C41D1" w:rsidRPr="003070EF" w:rsidRDefault="00071566" w:rsidP="009C41D1">
      <w:pPr>
        <w:pStyle w:val="Default"/>
        <w:numPr>
          <w:ilvl w:val="1"/>
          <w:numId w:val="1"/>
        </w:numPr>
        <w:spacing w:before="240" w:after="240"/>
        <w:ind w:left="720"/>
        <w:jc w:val="both"/>
        <w:rPr>
          <w:rFonts w:asciiTheme="majorHAnsi" w:hAnsiTheme="majorHAnsi" w:cstheme="majorBidi"/>
          <w:sz w:val="22"/>
          <w:szCs w:val="22"/>
        </w:rPr>
      </w:pPr>
      <w:r w:rsidRPr="6F33F7A0">
        <w:rPr>
          <w:rFonts w:asciiTheme="majorHAnsi" w:hAnsiTheme="majorHAnsi" w:cstheme="majorBidi"/>
          <w:sz w:val="22"/>
          <w:szCs w:val="22"/>
        </w:rPr>
        <w:t>Provid</w:t>
      </w:r>
      <w:r>
        <w:rPr>
          <w:rFonts w:asciiTheme="majorHAnsi" w:hAnsiTheme="majorHAnsi" w:cstheme="majorBidi"/>
          <w:sz w:val="22"/>
          <w:szCs w:val="22"/>
        </w:rPr>
        <w:t>e</w:t>
      </w:r>
      <w:r w:rsidRPr="6F33F7A0">
        <w:rPr>
          <w:rFonts w:asciiTheme="majorHAnsi" w:hAnsiTheme="majorHAnsi" w:cstheme="majorBidi"/>
          <w:sz w:val="22"/>
          <w:szCs w:val="22"/>
        </w:rPr>
        <w:t xml:space="preserve"> </w:t>
      </w:r>
      <w:r w:rsidR="009C41D1" w:rsidRPr="6F33F7A0">
        <w:rPr>
          <w:rFonts w:asciiTheme="majorHAnsi" w:hAnsiTheme="majorHAnsi" w:cstheme="majorBidi"/>
          <w:sz w:val="22"/>
          <w:szCs w:val="22"/>
        </w:rPr>
        <w:t>greater assistance to the implementation of policies and legislation meant to promote inclusion and equal opportunities, for example in the case of informal workers, or gender equality and GBV prevention.</w:t>
      </w:r>
    </w:p>
    <w:p w14:paraId="09E50C20" w14:textId="77777777" w:rsidR="009C41D1" w:rsidRPr="003070EF" w:rsidRDefault="009C41D1" w:rsidP="009C41D1">
      <w:pPr>
        <w:pStyle w:val="Default"/>
        <w:numPr>
          <w:ilvl w:val="1"/>
          <w:numId w:val="1"/>
        </w:numPr>
        <w:spacing w:before="240" w:after="240"/>
        <w:ind w:left="720"/>
        <w:jc w:val="both"/>
        <w:rPr>
          <w:rFonts w:asciiTheme="majorHAnsi" w:hAnsiTheme="majorHAnsi" w:cstheme="majorBidi"/>
          <w:sz w:val="22"/>
          <w:szCs w:val="22"/>
        </w:rPr>
      </w:pPr>
      <w:r w:rsidRPr="6F33F7A0">
        <w:rPr>
          <w:rFonts w:asciiTheme="majorHAnsi" w:hAnsiTheme="majorHAnsi" w:cstheme="majorBidi"/>
          <w:sz w:val="22"/>
          <w:szCs w:val="22"/>
        </w:rPr>
        <w:t>Assist the government to collect more disaggregated data on certain groups, such as persons with disabilities, sexual and gender minorities, and informal workers, so that interventions and policies to respond to their needs can be designed based on accurate data and analysis.</w:t>
      </w:r>
    </w:p>
    <w:p w14:paraId="330ED183" w14:textId="77777777" w:rsidR="009C41D1" w:rsidRPr="003070EF" w:rsidRDefault="009C41D1" w:rsidP="009C41D1">
      <w:pPr>
        <w:pStyle w:val="Default"/>
        <w:numPr>
          <w:ilvl w:val="1"/>
          <w:numId w:val="1"/>
        </w:numPr>
        <w:spacing w:before="240" w:after="240"/>
        <w:ind w:left="720"/>
        <w:jc w:val="both"/>
        <w:rPr>
          <w:rFonts w:asciiTheme="majorHAnsi" w:hAnsiTheme="majorHAnsi" w:cstheme="majorBidi"/>
          <w:sz w:val="22"/>
          <w:szCs w:val="22"/>
        </w:rPr>
      </w:pPr>
      <w:r w:rsidRPr="6F33F7A0">
        <w:rPr>
          <w:rFonts w:asciiTheme="majorHAnsi" w:hAnsiTheme="majorHAnsi" w:cstheme="majorBidi"/>
          <w:sz w:val="22"/>
          <w:szCs w:val="22"/>
        </w:rPr>
        <w:t>Use the disaggregated data to better track development and growth outcomes across different sectors, to assess whether all groups are benefitting from new opportunities and participating fully in Thai society. There are now more and more examples across the globe of the WB tracking such outcomes with governments.</w:t>
      </w:r>
    </w:p>
    <w:p w14:paraId="5A8856AB" w14:textId="010C2CDF" w:rsidR="009C41D1" w:rsidRPr="003070EF" w:rsidRDefault="009C41D1" w:rsidP="009C41D1">
      <w:pPr>
        <w:pStyle w:val="Default"/>
        <w:numPr>
          <w:ilvl w:val="1"/>
          <w:numId w:val="1"/>
        </w:numPr>
        <w:spacing w:before="240" w:after="240"/>
        <w:ind w:left="720"/>
        <w:jc w:val="both"/>
        <w:rPr>
          <w:rFonts w:asciiTheme="majorHAnsi" w:hAnsiTheme="majorHAnsi" w:cstheme="majorBidi"/>
          <w:sz w:val="22"/>
          <w:szCs w:val="22"/>
        </w:rPr>
      </w:pPr>
      <w:r w:rsidRPr="6F33F7A0">
        <w:rPr>
          <w:rFonts w:asciiTheme="majorHAnsi" w:hAnsiTheme="majorHAnsi" w:cstheme="majorBidi"/>
          <w:sz w:val="22"/>
          <w:szCs w:val="22"/>
        </w:rPr>
        <w:t>The need for more targeted interventions to help the government to address certain key excluded/marginalized groups</w:t>
      </w:r>
      <w:r w:rsidR="00071566">
        <w:rPr>
          <w:rFonts w:asciiTheme="majorHAnsi" w:hAnsiTheme="majorHAnsi" w:cstheme="majorBidi"/>
          <w:sz w:val="22"/>
          <w:szCs w:val="22"/>
        </w:rPr>
        <w:t xml:space="preserve"> (</w:t>
      </w:r>
      <w:r w:rsidRPr="6F33F7A0">
        <w:rPr>
          <w:rFonts w:asciiTheme="majorHAnsi" w:hAnsiTheme="majorHAnsi" w:cstheme="majorBidi"/>
          <w:sz w:val="22"/>
          <w:szCs w:val="22"/>
        </w:rPr>
        <w:t>e.g., more targeted support in Southern Thailand for conflict-affected populations, and to address root causes of conflict</w:t>
      </w:r>
      <w:r w:rsidR="00071566">
        <w:rPr>
          <w:rFonts w:asciiTheme="majorHAnsi" w:hAnsiTheme="majorHAnsi" w:cstheme="majorBidi"/>
          <w:sz w:val="22"/>
          <w:szCs w:val="22"/>
        </w:rPr>
        <w:t>)</w:t>
      </w:r>
      <w:r w:rsidRPr="6F33F7A0">
        <w:rPr>
          <w:rFonts w:asciiTheme="majorHAnsi" w:hAnsiTheme="majorHAnsi" w:cstheme="majorBidi"/>
          <w:sz w:val="22"/>
          <w:szCs w:val="22"/>
        </w:rPr>
        <w:t>.</w:t>
      </w:r>
    </w:p>
    <w:p w14:paraId="3B71D449" w14:textId="77777777" w:rsidR="009C41D1" w:rsidRPr="003070EF" w:rsidRDefault="009C41D1" w:rsidP="009C41D1">
      <w:pPr>
        <w:pStyle w:val="Default"/>
        <w:numPr>
          <w:ilvl w:val="1"/>
          <w:numId w:val="1"/>
        </w:numPr>
        <w:spacing w:before="240" w:after="240"/>
        <w:ind w:left="720"/>
        <w:jc w:val="both"/>
        <w:rPr>
          <w:rFonts w:asciiTheme="majorHAnsi" w:hAnsiTheme="majorHAnsi" w:cstheme="majorBidi"/>
          <w:sz w:val="22"/>
          <w:szCs w:val="22"/>
        </w:rPr>
      </w:pPr>
      <w:r w:rsidRPr="6F33F7A0">
        <w:rPr>
          <w:rFonts w:asciiTheme="majorHAnsi" w:hAnsiTheme="majorHAnsi" w:cstheme="majorBidi"/>
          <w:sz w:val="22"/>
          <w:szCs w:val="22"/>
        </w:rPr>
        <w:t xml:space="preserve">Support the Government of Thailand to address social constraints/barriers to inclusion. The review of the previous CPF period highlights that simply focusing on growth and economic opportunities does not lead to maximizing opportunities for all. For example, GBV is an issue across all income-groups, and needs to be addressed through social, institutional and policy changes, and cannot be addressed simply by making women more economically independent. </w:t>
      </w:r>
    </w:p>
    <w:p w14:paraId="18E9B928" w14:textId="787B66C4" w:rsidR="009C41D1" w:rsidRDefault="009C41D1" w:rsidP="009C41D1">
      <w:pPr>
        <w:jc w:val="both"/>
        <w:rPr>
          <w:rFonts w:asciiTheme="majorHAnsi" w:hAnsiTheme="majorHAnsi" w:cstheme="majorBidi"/>
          <w:color w:val="000000" w:themeColor="text1"/>
        </w:rPr>
      </w:pPr>
      <w:r w:rsidRPr="00665270">
        <w:rPr>
          <w:rFonts w:asciiTheme="majorHAnsi" w:hAnsiTheme="majorHAnsi" w:cstheme="majorBidi"/>
          <w:b/>
          <w:bCs/>
          <w:color w:val="000000" w:themeColor="text1"/>
        </w:rPr>
        <w:lastRenderedPageBreak/>
        <w:t xml:space="preserve">It is also clear that there is </w:t>
      </w:r>
      <w:r w:rsidRPr="00665270">
        <w:rPr>
          <w:rFonts w:asciiTheme="majorHAnsi" w:hAnsiTheme="majorHAnsi" w:cstheme="majorBidi"/>
          <w:b/>
          <w:bCs/>
        </w:rPr>
        <w:t xml:space="preserve">a </w:t>
      </w:r>
      <w:r w:rsidRPr="00665270">
        <w:rPr>
          <w:rFonts w:asciiTheme="majorHAnsi" w:hAnsiTheme="majorHAnsi" w:cstheme="majorBidi"/>
          <w:b/>
          <w:bCs/>
          <w:color w:val="000000" w:themeColor="text1"/>
        </w:rPr>
        <w:t xml:space="preserve">significant/substantive difference between </w:t>
      </w:r>
      <w:r w:rsidR="00071566">
        <w:rPr>
          <w:rFonts w:asciiTheme="majorHAnsi" w:hAnsiTheme="majorHAnsi" w:cstheme="majorBidi"/>
          <w:b/>
          <w:bCs/>
          <w:color w:val="000000" w:themeColor="text1"/>
        </w:rPr>
        <w:t>‘</w:t>
      </w:r>
      <w:r w:rsidRPr="00665270">
        <w:rPr>
          <w:rFonts w:asciiTheme="majorHAnsi" w:hAnsiTheme="majorHAnsi" w:cstheme="majorBidi"/>
          <w:b/>
          <w:bCs/>
          <w:color w:val="000000" w:themeColor="text1"/>
        </w:rPr>
        <w:t>protecting the vulnerable</w:t>
      </w:r>
      <w:r w:rsidR="00071566">
        <w:rPr>
          <w:rFonts w:asciiTheme="majorHAnsi" w:hAnsiTheme="majorHAnsi" w:cstheme="majorBidi"/>
          <w:b/>
          <w:bCs/>
          <w:color w:val="000000" w:themeColor="text1"/>
        </w:rPr>
        <w:t>’</w:t>
      </w:r>
      <w:r w:rsidRPr="00665270">
        <w:rPr>
          <w:rFonts w:asciiTheme="majorHAnsi" w:hAnsiTheme="majorHAnsi" w:cstheme="majorBidi"/>
          <w:b/>
          <w:bCs/>
          <w:color w:val="000000" w:themeColor="text1"/>
        </w:rPr>
        <w:t xml:space="preserve"> and empowering citizens and creating inclusive societies.</w:t>
      </w:r>
      <w:r w:rsidRPr="4B126904">
        <w:rPr>
          <w:rFonts w:asciiTheme="majorHAnsi" w:hAnsiTheme="majorHAnsi" w:cstheme="majorBidi"/>
          <w:color w:val="000000" w:themeColor="text1"/>
        </w:rPr>
        <w:t xml:space="preserve"> While at </w:t>
      </w:r>
      <w:r w:rsidRPr="4B126904">
        <w:rPr>
          <w:rFonts w:asciiTheme="majorHAnsi" w:hAnsiTheme="majorHAnsi" w:cstheme="majorBidi"/>
        </w:rPr>
        <w:t xml:space="preserve">a </w:t>
      </w:r>
      <w:r w:rsidRPr="4B126904">
        <w:rPr>
          <w:rFonts w:asciiTheme="majorHAnsi" w:hAnsiTheme="majorHAnsi" w:cstheme="majorBidi"/>
          <w:color w:val="000000" w:themeColor="text1"/>
        </w:rPr>
        <w:t>minimum, governments want to protect vulnerable populations through access to basic services, including social safety nets, MIC countries such as Thailand have a higher level of ambition in terms of their targets. Inclusive societies go beyond simply access to basic services and move towards ensuring that groups and individuals have access to services, markets</w:t>
      </w:r>
      <w:r w:rsidRPr="4B126904">
        <w:rPr>
          <w:rFonts w:asciiTheme="majorHAnsi" w:hAnsiTheme="majorHAnsi" w:cstheme="majorBidi"/>
        </w:rPr>
        <w:t>,</w:t>
      </w:r>
      <w:r w:rsidRPr="4B126904">
        <w:rPr>
          <w:rFonts w:asciiTheme="majorHAnsi" w:hAnsiTheme="majorHAnsi" w:cstheme="majorBidi"/>
          <w:color w:val="000000" w:themeColor="text1"/>
        </w:rPr>
        <w:t xml:space="preserve"> jobs, </w:t>
      </w:r>
      <w:r w:rsidRPr="4B126904">
        <w:rPr>
          <w:rFonts w:asciiTheme="majorHAnsi" w:hAnsiTheme="majorHAnsi" w:cstheme="majorBidi"/>
        </w:rPr>
        <w:t xml:space="preserve">and </w:t>
      </w:r>
      <w:r w:rsidRPr="4B126904">
        <w:rPr>
          <w:rFonts w:asciiTheme="majorHAnsi" w:hAnsiTheme="majorHAnsi" w:cstheme="majorBidi"/>
          <w:color w:val="000000" w:themeColor="text1"/>
        </w:rPr>
        <w:t>political and cultural spaces. It is as much about the quality of participation in these different areas and ensuring equitable outcomes for groups/individuals at risk of exclusion, as it is about access.</w:t>
      </w:r>
    </w:p>
    <w:p w14:paraId="08F412F0" w14:textId="65B972AF" w:rsidR="00E11BFD" w:rsidRDefault="00E11BFD">
      <w:pPr>
        <w:rPr>
          <w:rFonts w:ascii="Berlin Sans FB" w:eastAsiaTheme="majorEastAsia" w:hAnsi="Berlin Sans FB" w:cstheme="majorBidi"/>
          <w:color w:val="2D435F" w:themeColor="accent1" w:themeShade="BF"/>
          <w:sz w:val="36"/>
          <w:szCs w:val="32"/>
        </w:rPr>
      </w:pPr>
    </w:p>
    <w:p w14:paraId="328A4BFA" w14:textId="77A944C0" w:rsidR="006575AB" w:rsidRDefault="006575AB">
      <w:bookmarkStart w:id="437" w:name="_Annex_4:_Investment"/>
      <w:bookmarkStart w:id="438" w:name="_Toc137046532"/>
      <w:bookmarkStart w:id="439" w:name="_Toc137048196"/>
      <w:bookmarkEnd w:id="437"/>
      <w:r>
        <w:br w:type="page"/>
      </w:r>
    </w:p>
    <w:p w14:paraId="1E4EA4B8" w14:textId="3FC70222" w:rsidR="00EA679F" w:rsidRDefault="00772F2A" w:rsidP="00863D57">
      <w:pPr>
        <w:pStyle w:val="Heading1"/>
      </w:pPr>
      <w:bookmarkStart w:id="440" w:name="_Annex_6:_Potential"/>
      <w:bookmarkStart w:id="441" w:name="_Toc159763569"/>
      <w:bookmarkEnd w:id="440"/>
      <w:r w:rsidRPr="00772F2A">
        <w:lastRenderedPageBreak/>
        <w:t xml:space="preserve">Annex </w:t>
      </w:r>
      <w:r w:rsidR="004D526B">
        <w:t>5</w:t>
      </w:r>
      <w:r w:rsidRPr="00772F2A">
        <w:t xml:space="preserve">: </w:t>
      </w:r>
      <w:r w:rsidR="00240523">
        <w:t xml:space="preserve">Potential </w:t>
      </w:r>
      <w:r w:rsidR="00EB4884">
        <w:t xml:space="preserve">output under </w:t>
      </w:r>
      <w:r w:rsidR="00D23FAA">
        <w:t xml:space="preserve">several </w:t>
      </w:r>
      <w:r w:rsidR="00EB4884">
        <w:t xml:space="preserve">reform </w:t>
      </w:r>
      <w:r w:rsidR="00E74AD8">
        <w:t>scenarios</w:t>
      </w:r>
      <w:bookmarkEnd w:id="441"/>
    </w:p>
    <w:p w14:paraId="7EC7440E" w14:textId="210F22E8" w:rsidR="00E74AD8" w:rsidRPr="00E74AD8" w:rsidRDefault="00E74AD8" w:rsidP="0019548E"/>
    <w:p w14:paraId="72493078" w14:textId="49BADD33" w:rsidR="00B5129B" w:rsidRDefault="00B5129B" w:rsidP="0019548E">
      <w:pPr>
        <w:pStyle w:val="Heading4"/>
        <w:rPr>
          <w:i/>
        </w:rPr>
      </w:pPr>
      <w:r w:rsidRPr="00B5129B">
        <w:t>Potential growth slowdown</w:t>
      </w:r>
    </w:p>
    <w:p w14:paraId="7CD56B7E" w14:textId="50A9A359" w:rsidR="00B5129B" w:rsidRPr="00596E81" w:rsidRDefault="00B5129B" w:rsidP="00B5129B">
      <w:pPr>
        <w:jc w:val="both"/>
        <w:rPr>
          <w:rFonts w:asciiTheme="majorHAnsi" w:hAnsiTheme="majorHAnsi" w:cstheme="majorHAnsi"/>
          <w:color w:val="000000" w:themeColor="text1"/>
        </w:rPr>
      </w:pPr>
      <w:r w:rsidRPr="00665270">
        <w:rPr>
          <w:rFonts w:asciiTheme="majorHAnsi" w:hAnsiTheme="majorHAnsi" w:cstheme="majorHAnsi"/>
          <w:b/>
          <w:bCs/>
          <w:color w:val="000000" w:themeColor="text1"/>
        </w:rPr>
        <w:t>The potential growth rate, the real growth rate of output when all factors of production are allocated optimally, has declined from 6 percent in emerging market</w:t>
      </w:r>
      <w:r w:rsidR="00051181" w:rsidRPr="00665270">
        <w:rPr>
          <w:rFonts w:asciiTheme="majorHAnsi" w:hAnsiTheme="majorHAnsi" w:cstheme="majorHAnsi"/>
          <w:b/>
          <w:bCs/>
          <w:color w:val="000000" w:themeColor="text1"/>
        </w:rPr>
        <w:t>s</w:t>
      </w:r>
      <w:r w:rsidRPr="00665270">
        <w:rPr>
          <w:rFonts w:asciiTheme="majorHAnsi" w:hAnsiTheme="majorHAnsi" w:cstheme="majorHAnsi"/>
          <w:b/>
          <w:bCs/>
          <w:color w:val="000000" w:themeColor="text1"/>
        </w:rPr>
        <w:t xml:space="preserve"> and developing economies (EMDEs) between 2000 and 2010, to 4.9 percent between 2011 and 2021</w:t>
      </w:r>
      <w:r w:rsidRPr="00596E81">
        <w:rPr>
          <w:rFonts w:asciiTheme="majorHAnsi" w:hAnsiTheme="majorHAnsi" w:cstheme="majorHAnsi"/>
          <w:color w:val="000000" w:themeColor="text1"/>
        </w:rPr>
        <w:t xml:space="preserve"> (</w:t>
      </w:r>
      <w:r w:rsidR="000E1C0A" w:rsidRPr="002C04C4">
        <w:rPr>
          <w:rFonts w:asciiTheme="majorHAnsi" w:hAnsiTheme="majorHAnsi" w:cstheme="majorHAnsi"/>
          <w:color w:val="000000" w:themeColor="text1"/>
        </w:rPr>
        <w:t>Figure A</w:t>
      </w:r>
      <w:r w:rsidR="00C0795C" w:rsidRPr="002C04C4">
        <w:rPr>
          <w:rFonts w:asciiTheme="majorHAnsi" w:hAnsiTheme="majorHAnsi" w:cstheme="majorHAnsi"/>
          <w:color w:val="000000" w:themeColor="text1"/>
        </w:rPr>
        <w:t>.</w:t>
      </w:r>
      <w:r w:rsidR="00605C73">
        <w:rPr>
          <w:rFonts w:asciiTheme="majorHAnsi" w:hAnsiTheme="majorHAnsi" w:cstheme="majorHAnsi"/>
          <w:color w:val="000000" w:themeColor="text1"/>
        </w:rPr>
        <w:t>5</w:t>
      </w:r>
      <w:r w:rsidR="00C0795C" w:rsidRPr="002C04C4">
        <w:rPr>
          <w:rFonts w:asciiTheme="majorHAnsi" w:hAnsiTheme="majorHAnsi" w:cstheme="majorHAnsi"/>
          <w:color w:val="000000" w:themeColor="text1"/>
        </w:rPr>
        <w:t>.1A</w:t>
      </w:r>
      <w:r w:rsidRPr="00596E81">
        <w:rPr>
          <w:rFonts w:asciiTheme="majorHAnsi" w:hAnsiTheme="majorHAnsi" w:cstheme="majorHAnsi"/>
          <w:color w:val="000000" w:themeColor="text1"/>
        </w:rPr>
        <w:t>). During the decade of 2011-21, potential growth was lower in 57 percent of EMDEs (</w:t>
      </w:r>
      <w:r w:rsidRPr="00596E81">
        <w:rPr>
          <w:rFonts w:asciiTheme="majorHAnsi" w:hAnsiTheme="majorHAnsi" w:cstheme="majorHAnsi"/>
          <w:color w:val="000000" w:themeColor="text1"/>
        </w:rPr>
        <w:fldChar w:fldCharType="begin"/>
      </w:r>
      <w:r w:rsidRPr="00596E81">
        <w:rPr>
          <w:rFonts w:asciiTheme="majorHAnsi" w:hAnsiTheme="majorHAnsi" w:cstheme="majorHAnsi"/>
          <w:color w:val="000000" w:themeColor="text1"/>
        </w:rPr>
        <w:instrText xml:space="preserve"> ADDIN ZOTERO_ITEM CSL_CITATION {"citationID":"ZuSKTvRg","properties":{"formattedCitation":"(Kose and Ohnsorge 2023)","plainCitation":"(Kose and Ohnsorge 2023)","noteIndex":0},"citationItems":[{"id":552,"uris":["http://zotero.org/groups/5008876/items/MLT64AEC"],"itemData":{"id":552,"type":"book","event-place":"Washington, DC","publisher":"World Bank","publisher-place":"Washington, DC","title":"Falling Long-Term Growth Prospects: Trends, Expectations, and Policies","editor":[{"family":"Kose","given":"Ayhan M."},{"family":"Ohnsorge","given":"Franziska"}],"issued":{"date-parts":[["2023"]]}}}],"schema":"https://github.com/citation-style-language/schema/raw/master/csl-citation.json"} </w:instrText>
      </w:r>
      <w:r w:rsidRPr="00596E81">
        <w:rPr>
          <w:rFonts w:asciiTheme="majorHAnsi" w:hAnsiTheme="majorHAnsi" w:cstheme="majorHAnsi"/>
          <w:color w:val="000000" w:themeColor="text1"/>
        </w:rPr>
        <w:fldChar w:fldCharType="separate"/>
      </w:r>
      <w:r w:rsidRPr="00596E81">
        <w:rPr>
          <w:rFonts w:asciiTheme="majorHAnsi" w:hAnsiTheme="majorHAnsi" w:cstheme="majorHAnsi"/>
          <w:color w:val="000000" w:themeColor="text1"/>
        </w:rPr>
        <w:t>Kose and Ohnsorge</w:t>
      </w:r>
      <w:r w:rsidR="00EB50D8" w:rsidRPr="00596E81">
        <w:rPr>
          <w:rFonts w:asciiTheme="majorHAnsi" w:hAnsiTheme="majorHAnsi" w:cstheme="majorHAnsi"/>
          <w:color w:val="000000" w:themeColor="text1"/>
        </w:rPr>
        <w:t>,</w:t>
      </w:r>
      <w:r w:rsidRPr="00596E81">
        <w:rPr>
          <w:rFonts w:asciiTheme="majorHAnsi" w:hAnsiTheme="majorHAnsi" w:cstheme="majorHAnsi"/>
          <w:color w:val="000000" w:themeColor="text1"/>
        </w:rPr>
        <w:t xml:space="preserve"> 2023)</w:t>
      </w:r>
      <w:r w:rsidRPr="00596E81">
        <w:rPr>
          <w:rFonts w:asciiTheme="majorHAnsi" w:hAnsiTheme="majorHAnsi" w:cstheme="majorHAnsi"/>
          <w:color w:val="000000" w:themeColor="text1"/>
        </w:rPr>
        <w:fldChar w:fldCharType="end"/>
      </w:r>
      <w:r w:rsidRPr="00596E81">
        <w:rPr>
          <w:rFonts w:asciiTheme="majorHAnsi" w:hAnsiTheme="majorHAnsi" w:cstheme="majorHAnsi"/>
          <w:color w:val="000000" w:themeColor="text1"/>
        </w:rPr>
        <w:t xml:space="preserve">. This decline reflects the slowing contribution of all three factors of production: capital accumulation, labor force growth, and TFP growth. The only component of potential growth that increased between the two decades is the contribution of human capital to TFP growth. </w:t>
      </w:r>
    </w:p>
    <w:p w14:paraId="2289C360" w14:textId="16EC74BC" w:rsidR="00B5129B" w:rsidRPr="00596E81" w:rsidRDefault="00B5129B" w:rsidP="00B5129B">
      <w:pPr>
        <w:jc w:val="both"/>
        <w:rPr>
          <w:rFonts w:asciiTheme="majorHAnsi" w:hAnsiTheme="majorHAnsi" w:cstheme="majorHAnsi"/>
          <w:color w:val="000000" w:themeColor="text1"/>
        </w:rPr>
      </w:pPr>
      <w:r w:rsidRPr="00665270">
        <w:rPr>
          <w:rFonts w:asciiTheme="majorHAnsi" w:hAnsiTheme="majorHAnsi" w:cstheme="majorHAnsi"/>
          <w:b/>
          <w:bCs/>
          <w:color w:val="000000" w:themeColor="text1"/>
        </w:rPr>
        <w:t>In Thailand, potential growth has similarly slowed, decreasing from 3.6 percent in 2000-10 to 3.2 percent in 2011-21 (</w:t>
      </w:r>
      <w:r w:rsidR="000E1C0A" w:rsidRPr="00665270">
        <w:rPr>
          <w:rFonts w:asciiTheme="majorHAnsi" w:hAnsiTheme="majorHAnsi" w:cstheme="majorHAnsi"/>
          <w:b/>
          <w:bCs/>
          <w:color w:val="000000" w:themeColor="text1"/>
        </w:rPr>
        <w:t>F</w:t>
      </w:r>
      <w:r w:rsidRPr="00665270">
        <w:rPr>
          <w:rFonts w:asciiTheme="majorHAnsi" w:hAnsiTheme="majorHAnsi" w:cstheme="majorHAnsi"/>
          <w:b/>
          <w:bCs/>
          <w:color w:val="000000" w:themeColor="text1"/>
        </w:rPr>
        <w:t xml:space="preserve">igure </w:t>
      </w:r>
      <w:r w:rsidR="00C0795C" w:rsidRPr="00665270">
        <w:rPr>
          <w:rFonts w:asciiTheme="majorHAnsi" w:hAnsiTheme="majorHAnsi" w:cstheme="majorHAnsi"/>
          <w:b/>
          <w:bCs/>
          <w:color w:val="000000" w:themeColor="text1"/>
        </w:rPr>
        <w:t>A.</w:t>
      </w:r>
      <w:r w:rsidR="00605C73">
        <w:rPr>
          <w:rFonts w:asciiTheme="majorHAnsi" w:hAnsiTheme="majorHAnsi" w:cstheme="majorHAnsi"/>
          <w:b/>
          <w:bCs/>
          <w:color w:val="000000" w:themeColor="text1"/>
        </w:rPr>
        <w:t>5</w:t>
      </w:r>
      <w:r w:rsidR="00C0795C" w:rsidRPr="00665270">
        <w:rPr>
          <w:rFonts w:asciiTheme="majorHAnsi" w:hAnsiTheme="majorHAnsi" w:cstheme="majorHAnsi"/>
          <w:b/>
          <w:bCs/>
          <w:color w:val="000000" w:themeColor="text1"/>
        </w:rPr>
        <w:t>.1B</w:t>
      </w:r>
      <w:r w:rsidRPr="00665270">
        <w:rPr>
          <w:rFonts w:asciiTheme="majorHAnsi" w:hAnsiTheme="majorHAnsi" w:cstheme="majorHAnsi"/>
          <w:b/>
          <w:bCs/>
          <w:color w:val="000000" w:themeColor="text1"/>
        </w:rPr>
        <w:t>).</w:t>
      </w:r>
      <w:r w:rsidRPr="00596E81">
        <w:rPr>
          <w:rFonts w:asciiTheme="majorHAnsi" w:hAnsiTheme="majorHAnsi" w:cstheme="majorHAnsi"/>
          <w:color w:val="000000" w:themeColor="text1"/>
        </w:rPr>
        <w:t xml:space="preserve"> Thailand’s potential growth rate in 2011-21 was lower than that of most of its </w:t>
      </w:r>
      <w:r w:rsidR="006F5E36" w:rsidRPr="00596E81">
        <w:rPr>
          <w:rFonts w:asciiTheme="majorHAnsi" w:hAnsiTheme="majorHAnsi" w:cstheme="majorHAnsi"/>
          <w:color w:val="000000" w:themeColor="text1"/>
        </w:rPr>
        <w:t>peers</w:t>
      </w:r>
      <w:r w:rsidR="00B513CA">
        <w:rPr>
          <w:rFonts w:asciiTheme="majorHAnsi" w:hAnsiTheme="majorHAnsi" w:cstheme="majorHAnsi"/>
          <w:color w:val="000000" w:themeColor="text1"/>
        </w:rPr>
        <w:t xml:space="preserve"> and close to its aspiration peer South Korea (2.8 percent)</w:t>
      </w:r>
      <w:r w:rsidR="006F5E36" w:rsidRPr="00596E81">
        <w:rPr>
          <w:rFonts w:asciiTheme="majorHAnsi" w:hAnsiTheme="majorHAnsi" w:cstheme="majorHAnsi"/>
          <w:color w:val="000000" w:themeColor="text1"/>
        </w:rPr>
        <w:t>.</w:t>
      </w:r>
      <w:r w:rsidRPr="00596E81">
        <w:rPr>
          <w:rFonts w:asciiTheme="majorHAnsi" w:hAnsiTheme="majorHAnsi" w:cstheme="majorHAnsi"/>
          <w:color w:val="000000" w:themeColor="text1"/>
        </w:rPr>
        <w:t xml:space="preserve"> In 2011-21, potential growth in EAP excluding China averaged 4.5 percent, over a percentage point higher than in Thailand. Similarly, potential growth was higher in Indonesia, the Philippines, and Malaysia</w:t>
      </w:r>
      <w:r w:rsidR="00227817">
        <w:rPr>
          <w:rFonts w:asciiTheme="majorHAnsi" w:hAnsiTheme="majorHAnsi" w:cstheme="majorHAnsi"/>
          <w:color w:val="000000" w:themeColor="text1"/>
        </w:rPr>
        <w:t xml:space="preserve">. </w:t>
      </w:r>
      <w:r w:rsidRPr="00596E81">
        <w:rPr>
          <w:rFonts w:asciiTheme="majorHAnsi" w:hAnsiTheme="majorHAnsi" w:cstheme="majorHAnsi"/>
          <w:color w:val="000000" w:themeColor="text1"/>
        </w:rPr>
        <w:t xml:space="preserve">Among Thailand’s peers, only Thailand and South Korea experienced a slowdown in potential growth from 2000-10 to 2011-21. </w:t>
      </w:r>
    </w:p>
    <w:p w14:paraId="1A19046E" w14:textId="46AD8C7D" w:rsidR="00B5129B" w:rsidRPr="00596E81" w:rsidRDefault="00B5129B" w:rsidP="00B5129B">
      <w:pPr>
        <w:jc w:val="both"/>
        <w:rPr>
          <w:rFonts w:asciiTheme="majorHAnsi" w:hAnsiTheme="majorHAnsi" w:cstheme="majorHAnsi"/>
          <w:color w:val="000000" w:themeColor="text1"/>
        </w:rPr>
      </w:pPr>
      <w:r w:rsidRPr="00665270">
        <w:rPr>
          <w:rFonts w:asciiTheme="majorHAnsi" w:hAnsiTheme="majorHAnsi" w:cstheme="majorHAnsi"/>
          <w:b/>
          <w:bCs/>
          <w:color w:val="000000" w:themeColor="text1"/>
        </w:rPr>
        <w:t>The contribution of the three main factors of production, capital, labor, and TFP, to potential growth varies widely between Thailand and its peers</w:t>
      </w:r>
      <w:r w:rsidRPr="00596E81">
        <w:rPr>
          <w:rFonts w:asciiTheme="majorHAnsi" w:hAnsiTheme="majorHAnsi" w:cstheme="majorHAnsi"/>
          <w:color w:val="000000" w:themeColor="text1"/>
        </w:rPr>
        <w:t>. In Thailand, in 2011-21, TFP growth contributed more than two-thirds to potential output growth, while capital accumulation accounted for less than one-fifth of potential growth, and labor force growth for just over one-tenth. This strong contribution of TFP growth to potential growth in Thailand stands in sharp contrast to the decomposition of potential output growth of Thailand’s peers. From 2011-21, on average, capital accumulation accounted for the largest share of potential growth in Indonesia, Malaysia, the Philippines, and South Korea. Labor force growth contributed the least to Thailand’s potential growth in 2010-21 compared to the regional peers, with an average growth rate of 0.12 percent.</w:t>
      </w:r>
    </w:p>
    <w:p w14:paraId="4CCBBF89" w14:textId="78EA5B60" w:rsidR="00B5129B" w:rsidRPr="00B5129B" w:rsidRDefault="00B5129B" w:rsidP="0019548E">
      <w:pPr>
        <w:pStyle w:val="Heading4"/>
      </w:pPr>
      <w:r w:rsidRPr="00B5129B">
        <w:t>Outlook of potential growth</w:t>
      </w:r>
    </w:p>
    <w:p w14:paraId="3F7FC0DD" w14:textId="08471D41"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Potential growth in EMDEs is expected to continue to decline in the next decade from 2022-30.</w:t>
      </w:r>
      <w:r w:rsidRPr="002C04C4">
        <w:rPr>
          <w:rFonts w:asciiTheme="majorHAnsi" w:hAnsiTheme="majorHAnsi" w:cstheme="majorHAnsi"/>
        </w:rPr>
        <w:t xml:space="preserve"> The unfavorable trends behind the slowdown from 2000-10 to 2011-21</w:t>
      </w:r>
      <w:r w:rsidR="00DA4D58">
        <w:rPr>
          <w:rFonts w:asciiTheme="majorHAnsi" w:hAnsiTheme="majorHAnsi" w:cstheme="majorHAnsi"/>
        </w:rPr>
        <w:t>,</w:t>
      </w:r>
      <w:r w:rsidRPr="002C04C4">
        <w:rPr>
          <w:rFonts w:asciiTheme="majorHAnsi" w:hAnsiTheme="majorHAnsi" w:cstheme="majorHAnsi"/>
        </w:rPr>
        <w:t xml:space="preserve"> such as population aging and falling birth rates, as well as slowing investment growth, are projected to decrease potential output growth in EMDEs from 4.9 percent in 2011-21 to 4.1 percent in 2022-30 (</w:t>
      </w:r>
      <w:r w:rsidR="000E1C0A" w:rsidRPr="002C04C4">
        <w:rPr>
          <w:rFonts w:asciiTheme="majorHAnsi" w:hAnsiTheme="majorHAnsi" w:cstheme="majorHAnsi"/>
          <w:color w:val="000000" w:themeColor="text1"/>
        </w:rPr>
        <w:t>F</w:t>
      </w:r>
      <w:r w:rsidRPr="002C04C4">
        <w:rPr>
          <w:rFonts w:asciiTheme="majorHAnsi" w:hAnsiTheme="majorHAnsi" w:cstheme="majorHAnsi"/>
          <w:color w:val="000000" w:themeColor="text1"/>
        </w:rPr>
        <w:t xml:space="preserve">igure </w:t>
      </w:r>
      <w:r w:rsidR="00C0795C" w:rsidRPr="002C04C4">
        <w:rPr>
          <w:rFonts w:asciiTheme="majorHAnsi" w:hAnsiTheme="majorHAnsi" w:cstheme="majorHAnsi"/>
          <w:color w:val="000000" w:themeColor="text1"/>
        </w:rPr>
        <w:t>A.</w:t>
      </w:r>
      <w:r w:rsidR="00605C73">
        <w:rPr>
          <w:rFonts w:asciiTheme="majorHAnsi" w:hAnsiTheme="majorHAnsi" w:cstheme="majorHAnsi"/>
          <w:color w:val="000000" w:themeColor="text1"/>
        </w:rPr>
        <w:t>5</w:t>
      </w:r>
      <w:r w:rsidR="00C0795C" w:rsidRPr="002C04C4">
        <w:rPr>
          <w:rFonts w:asciiTheme="majorHAnsi" w:hAnsiTheme="majorHAnsi" w:cstheme="majorHAnsi"/>
          <w:color w:val="000000" w:themeColor="text1"/>
        </w:rPr>
        <w:t>.1A</w:t>
      </w:r>
      <w:r w:rsidR="000E1C0A" w:rsidRPr="002C04C4">
        <w:rPr>
          <w:rFonts w:asciiTheme="majorHAnsi" w:hAnsiTheme="majorHAnsi" w:cstheme="majorHAnsi"/>
          <w:color w:val="000000" w:themeColor="text1"/>
        </w:rPr>
        <w:t xml:space="preserve">) </w:t>
      </w:r>
      <w:r w:rsidR="000E1C0A" w:rsidRPr="002C04C4">
        <w:rPr>
          <w:rFonts w:asciiTheme="majorHAnsi" w:hAnsiTheme="majorHAnsi" w:cstheme="majorHAnsi"/>
        </w:rPr>
        <w:t>(</w:t>
      </w:r>
      <w:r w:rsidRPr="002C04C4">
        <w:rPr>
          <w:rFonts w:asciiTheme="majorHAnsi" w:hAnsiTheme="majorHAnsi" w:cstheme="majorHAnsi"/>
        </w:rPr>
        <w:t>Kose and Ohnsorge</w:t>
      </w:r>
      <w:r w:rsidR="00EB50D8" w:rsidRPr="002C04C4">
        <w:rPr>
          <w:rFonts w:asciiTheme="majorHAnsi" w:hAnsiTheme="majorHAnsi" w:cstheme="majorHAnsi"/>
        </w:rPr>
        <w:t>,</w:t>
      </w:r>
      <w:r w:rsidRPr="002C04C4">
        <w:rPr>
          <w:rFonts w:asciiTheme="majorHAnsi" w:hAnsiTheme="majorHAnsi" w:cstheme="majorHAnsi"/>
        </w:rPr>
        <w:t xml:space="preserve"> 2023). This continued slowdown is expected to occur despite further gains in human capital and female labor force participation. Following a period where potential growth in EAP excluding China witnessed an average increase by 0.5 percentage points between 2000-10 and 2011-21, along with similar trends in most countries within the region, a slight decline is projected for the next decade to 4.4 percent from 4.8 percent. This decline reflects slowing potential growth in all major regional economies except the Philippines. </w:t>
      </w:r>
    </w:p>
    <w:p w14:paraId="2316ACD0" w14:textId="2B39E8A2"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In Thailand, potential growth is expected to grow at 2.7 percent per year, on average, from 2022-30, 0.5 percentage points lower than in the previous decade (</w:t>
      </w:r>
      <w:r w:rsidR="00C0795C" w:rsidRPr="00665270">
        <w:rPr>
          <w:rFonts w:asciiTheme="majorHAnsi" w:hAnsiTheme="majorHAnsi" w:cstheme="majorHAnsi"/>
          <w:b/>
          <w:bCs/>
          <w:color w:val="000000" w:themeColor="text1"/>
        </w:rPr>
        <w:t>F</w:t>
      </w:r>
      <w:r w:rsidRPr="00665270">
        <w:rPr>
          <w:rFonts w:asciiTheme="majorHAnsi" w:hAnsiTheme="majorHAnsi" w:cstheme="majorHAnsi"/>
          <w:b/>
          <w:bCs/>
          <w:color w:val="000000" w:themeColor="text1"/>
        </w:rPr>
        <w:t xml:space="preserve">igure </w:t>
      </w:r>
      <w:r w:rsidR="00C0795C" w:rsidRPr="00665270">
        <w:rPr>
          <w:rFonts w:asciiTheme="majorHAnsi" w:hAnsiTheme="majorHAnsi" w:cstheme="majorHAnsi"/>
          <w:b/>
          <w:bCs/>
          <w:color w:val="000000" w:themeColor="text1"/>
        </w:rPr>
        <w:t>A.</w:t>
      </w:r>
      <w:r w:rsidR="00605C73">
        <w:rPr>
          <w:rFonts w:asciiTheme="majorHAnsi" w:hAnsiTheme="majorHAnsi" w:cstheme="majorHAnsi"/>
          <w:b/>
          <w:bCs/>
          <w:color w:val="000000" w:themeColor="text1"/>
        </w:rPr>
        <w:t>5</w:t>
      </w:r>
      <w:r w:rsidR="00C0795C" w:rsidRPr="00665270">
        <w:rPr>
          <w:rFonts w:asciiTheme="majorHAnsi" w:hAnsiTheme="majorHAnsi" w:cstheme="majorHAnsi"/>
          <w:b/>
          <w:bCs/>
          <w:color w:val="000000" w:themeColor="text1"/>
        </w:rPr>
        <w:t>.</w:t>
      </w:r>
      <w:r w:rsidRPr="00665270">
        <w:rPr>
          <w:rFonts w:asciiTheme="majorHAnsi" w:hAnsiTheme="majorHAnsi" w:cstheme="majorHAnsi"/>
          <w:b/>
          <w:bCs/>
          <w:color w:val="000000" w:themeColor="text1"/>
        </w:rPr>
        <w:t>1B</w:t>
      </w:r>
      <w:r w:rsidRPr="00665270">
        <w:rPr>
          <w:rFonts w:asciiTheme="majorHAnsi" w:hAnsiTheme="majorHAnsi" w:cstheme="majorHAnsi"/>
          <w:b/>
          <w:bCs/>
        </w:rPr>
        <w:t>).</w:t>
      </w:r>
      <w:r w:rsidRPr="002C04C4">
        <w:rPr>
          <w:rFonts w:asciiTheme="majorHAnsi" w:hAnsiTheme="majorHAnsi" w:cstheme="majorHAnsi"/>
        </w:rPr>
        <w:t xml:space="preserve"> The decomposition of potential growth using the production function approach shows that as in previous decades, the majority of Thailand’s potential growth is derived from TFP growth, followed by capital accumulation. Of the three </w:t>
      </w:r>
      <w:r w:rsidRPr="002C04C4">
        <w:rPr>
          <w:rFonts w:asciiTheme="majorHAnsi" w:hAnsiTheme="majorHAnsi" w:cstheme="majorHAnsi"/>
        </w:rPr>
        <w:lastRenderedPageBreak/>
        <w:t>factors of production, TFP growth is expected to slow by 0.25 percentage points per year, on average, while labor force growth</w:t>
      </w:r>
      <w:r w:rsidR="00DA4D58">
        <w:rPr>
          <w:rFonts w:asciiTheme="majorHAnsi" w:hAnsiTheme="majorHAnsi" w:cstheme="majorHAnsi"/>
        </w:rPr>
        <w:t>,</w:t>
      </w:r>
      <w:r w:rsidRPr="002C04C4">
        <w:rPr>
          <w:rFonts w:asciiTheme="majorHAnsi" w:hAnsiTheme="majorHAnsi" w:cstheme="majorHAnsi"/>
        </w:rPr>
        <w:t xml:space="preserve"> which contributed 0.4 percentage points to potential growth in 2011-21 will almost come to a halt with a growth rate of 0.1 percent. </w:t>
      </w:r>
      <w:r w:rsidR="007D7D89" w:rsidRPr="007D7D89">
        <w:rPr>
          <w:rFonts w:asciiTheme="majorHAnsi" w:hAnsiTheme="majorHAnsi" w:cstheme="majorHAnsi"/>
        </w:rPr>
        <w:t xml:space="preserve">Capital accumulation is anticipated to experience a modest uptick of approximately 0.1 percentage points while continuing to maintain a relatively low level. </w:t>
      </w:r>
      <w:r w:rsidRPr="002C04C4">
        <w:rPr>
          <w:rFonts w:asciiTheme="majorHAnsi" w:hAnsiTheme="majorHAnsi" w:cstheme="majorHAnsi"/>
        </w:rPr>
        <w:t>Among Thailand’s regional peers, only South Korea is expected to experience a similarly sharp reduction in labor force growth in the next decade. In all other regional peers</w:t>
      </w:r>
      <w:r w:rsidR="00DA4D58">
        <w:rPr>
          <w:rFonts w:asciiTheme="majorHAnsi" w:hAnsiTheme="majorHAnsi" w:cstheme="majorHAnsi"/>
        </w:rPr>
        <w:t xml:space="preserve"> (</w:t>
      </w:r>
      <w:r w:rsidRPr="002C04C4">
        <w:rPr>
          <w:rFonts w:asciiTheme="majorHAnsi" w:hAnsiTheme="majorHAnsi" w:cstheme="majorHAnsi"/>
        </w:rPr>
        <w:t>Indonesia, Malaysia, and the Philippines</w:t>
      </w:r>
      <w:r w:rsidR="00DA4D58">
        <w:rPr>
          <w:rFonts w:asciiTheme="majorHAnsi" w:hAnsiTheme="majorHAnsi" w:cstheme="majorHAnsi"/>
        </w:rPr>
        <w:t>)</w:t>
      </w:r>
      <w:r w:rsidRPr="002C04C4">
        <w:rPr>
          <w:rFonts w:asciiTheme="majorHAnsi" w:hAnsiTheme="majorHAnsi" w:cstheme="majorHAnsi"/>
        </w:rPr>
        <w:t>, labor force growth will remain an important component of potential output growth.</w:t>
      </w:r>
    </w:p>
    <w:p w14:paraId="37F068D3" w14:textId="560C5B5E" w:rsidR="00B5129B" w:rsidRPr="00B5129B" w:rsidRDefault="00B5129B" w:rsidP="0019548E">
      <w:pPr>
        <w:pStyle w:val="Heading4"/>
      </w:pPr>
      <w:r w:rsidRPr="00B5129B">
        <w:t>Thailand-specific scenarios</w:t>
      </w:r>
    </w:p>
    <w:p w14:paraId="1CF24883" w14:textId="36B4D3C8"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The largest component of Thailand’s potential growth is derived from TFP growth</w:t>
      </w:r>
      <w:r w:rsidRPr="002C04C4">
        <w:rPr>
          <w:rFonts w:asciiTheme="majorHAnsi" w:hAnsiTheme="majorHAnsi" w:cstheme="majorHAnsi"/>
        </w:rPr>
        <w:t>. Accordingly, policies that aim at increasing the labor force growth or capital accumulation contribution to potential output growth are more likely to have a large impact. By increasing its investment-to-GDP ratio to South Korea’s level, increasing the female labor force participation rate, and keeping its working-age population constant through more flexible immigration laws, Thailand will be able to reverse the slowdown in potential growth. If all three policies are implemented, Thailand’s potential output growth rate in 2022-30 may exceed the growth rate of 2011-21 and 2000-10.</w:t>
      </w:r>
    </w:p>
    <w:p w14:paraId="15D4859C" w14:textId="3167BF2D" w:rsidR="00B5129B" w:rsidRPr="00B5129B" w:rsidRDefault="00B5129B" w:rsidP="002A0E02">
      <w:pPr>
        <w:pStyle w:val="Heading5"/>
      </w:pPr>
      <w:r w:rsidRPr="00B5129B">
        <w:t>Increasing the investment-to-GDP ratio</w:t>
      </w:r>
    </w:p>
    <w:p w14:paraId="1516781B" w14:textId="78CD3B44"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Capital accumulation accounted for less than one-fifth of potential output growth in Thailand in 2011-21, lower than in most of Thailand’s peers.</w:t>
      </w:r>
      <w:r w:rsidRPr="002C04C4">
        <w:rPr>
          <w:rFonts w:asciiTheme="majorHAnsi" w:hAnsiTheme="majorHAnsi" w:cstheme="majorHAnsi"/>
        </w:rPr>
        <w:t xml:space="preserve"> Over the past two decades, real investment growth in Thailand has fallen steadily from an average growth rate of 5.6 percent in 2000-10 to an average rate of 2.3 percent in 2011-22. The real investment growth rate in Thailand is below most of its peers. On average, from 2011-19, Thailand had half the investment growth rate of Indonesia, Malaysia, and </w:t>
      </w:r>
      <w:r w:rsidR="000F1951" w:rsidRPr="000F1951">
        <w:rPr>
          <w:rFonts w:asciiTheme="majorHAnsi" w:hAnsiTheme="majorHAnsi" w:cstheme="majorHAnsi"/>
        </w:rPr>
        <w:t>Türkiye</w:t>
      </w:r>
      <w:r w:rsidRPr="002C04C4">
        <w:rPr>
          <w:rFonts w:asciiTheme="majorHAnsi" w:hAnsiTheme="majorHAnsi" w:cstheme="majorHAnsi"/>
        </w:rPr>
        <w:t xml:space="preserve">, and about one-third of the investment growth rate of the Philippines. Since at least the year 2000, Thailand’s investment-to-GDP ratio has been 10 percentage points or more below the investment-to-GDP ratio of South Korea. Investment is necessary to increase the capital available to workers, raising their productivity and wages. </w:t>
      </w:r>
    </w:p>
    <w:p w14:paraId="1A0A73C2" w14:textId="1D5589C4"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For the period of 2000-30, the investment-to-GDP ratio in South Korea is expected to average 30.5 percent, compared to Thailand’s 22.7 percent.</w:t>
      </w:r>
      <w:r w:rsidRPr="002C04C4">
        <w:rPr>
          <w:rFonts w:asciiTheme="majorHAnsi" w:hAnsiTheme="majorHAnsi" w:cstheme="majorHAnsi"/>
        </w:rPr>
        <w:t xml:space="preserve"> This scenario estimates the impact of raising Thailand’s investment-to-GDP ratio to the level of South Korea’s over 15 years, starting in 2023. This requires an increase in the investment growth rate of 2.3 percentage points per year through </w:t>
      </w:r>
      <w:r w:rsidR="006E0284">
        <w:rPr>
          <w:rFonts w:asciiTheme="majorHAnsi" w:hAnsiTheme="majorHAnsi" w:cstheme="majorHAnsi"/>
        </w:rPr>
        <w:t xml:space="preserve">to </w:t>
      </w:r>
      <w:r w:rsidRPr="002C04C4">
        <w:rPr>
          <w:rFonts w:asciiTheme="majorHAnsi" w:hAnsiTheme="majorHAnsi" w:cstheme="majorHAnsi"/>
        </w:rPr>
        <w:t>2030, on average.</w:t>
      </w:r>
    </w:p>
    <w:p w14:paraId="1E07AC0D" w14:textId="679E5428"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In the production function approach to estimating potential output growth, the investment growth rate enters both the equation determining capital accumulation as well as the equation that estimates TFP growth (Kose and Ohnsorge 2023).</w:t>
      </w:r>
      <w:r w:rsidRPr="002C04C4">
        <w:rPr>
          <w:rFonts w:asciiTheme="majorHAnsi" w:hAnsiTheme="majorHAnsi" w:cstheme="majorHAnsi"/>
        </w:rPr>
        <w:t xml:space="preserve"> As a result of this higher investment growth rate, annual potential output growth is projected to increase by 0.24 percentage points, on average, for the decade 2022-30 (</w:t>
      </w:r>
      <w:r w:rsidR="00C0795C" w:rsidRPr="002C04C4">
        <w:rPr>
          <w:rFonts w:asciiTheme="majorHAnsi" w:hAnsiTheme="majorHAnsi" w:cstheme="majorHAnsi"/>
          <w:color w:val="000000" w:themeColor="text1"/>
        </w:rPr>
        <w:t>F</w:t>
      </w:r>
      <w:r w:rsidRPr="002C04C4">
        <w:rPr>
          <w:rFonts w:asciiTheme="majorHAnsi" w:hAnsiTheme="majorHAnsi" w:cstheme="majorHAnsi"/>
          <w:color w:val="000000" w:themeColor="text1"/>
        </w:rPr>
        <w:t xml:space="preserve">igure </w:t>
      </w:r>
      <w:r w:rsidR="00C0795C" w:rsidRPr="002C04C4">
        <w:rPr>
          <w:rFonts w:asciiTheme="majorHAnsi" w:hAnsiTheme="majorHAnsi" w:cstheme="majorHAnsi"/>
          <w:color w:val="000000" w:themeColor="text1"/>
        </w:rPr>
        <w:t>A.</w:t>
      </w:r>
      <w:r w:rsidR="00605C73">
        <w:rPr>
          <w:rFonts w:asciiTheme="majorHAnsi" w:hAnsiTheme="majorHAnsi" w:cstheme="majorHAnsi"/>
          <w:color w:val="000000" w:themeColor="text1"/>
        </w:rPr>
        <w:t>5</w:t>
      </w:r>
      <w:r w:rsidR="00C0795C" w:rsidRPr="002C04C4">
        <w:rPr>
          <w:rFonts w:asciiTheme="majorHAnsi" w:hAnsiTheme="majorHAnsi" w:cstheme="majorHAnsi"/>
          <w:color w:val="000000" w:themeColor="text1"/>
        </w:rPr>
        <w:t>.</w:t>
      </w:r>
      <w:r w:rsidRPr="002C04C4">
        <w:rPr>
          <w:rFonts w:asciiTheme="majorHAnsi" w:hAnsiTheme="majorHAnsi" w:cstheme="majorHAnsi"/>
          <w:color w:val="000000" w:themeColor="text1"/>
        </w:rPr>
        <w:t>1C</w:t>
      </w:r>
      <w:r w:rsidRPr="002C04C4">
        <w:rPr>
          <w:rFonts w:asciiTheme="majorHAnsi" w:hAnsiTheme="majorHAnsi" w:cstheme="majorHAnsi"/>
        </w:rPr>
        <w:t>). This impact accounts for about half of the expected decline in potential output growth from 2011-21 to 2022-30. Three-quarters of the impact is due to higher capital accumulation while the remaining impact is achieved through the TFP channel.</w:t>
      </w:r>
    </w:p>
    <w:p w14:paraId="276028A5" w14:textId="0AF69C24" w:rsidR="00B5129B" w:rsidRPr="00B5129B" w:rsidRDefault="00B5129B" w:rsidP="00482B23">
      <w:pPr>
        <w:pStyle w:val="Heading5"/>
      </w:pPr>
      <w:r w:rsidRPr="00B5129B">
        <w:t>Increasing the female labor force participation rate</w:t>
      </w:r>
    </w:p>
    <w:p w14:paraId="2F040514" w14:textId="1CF2F09C"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Demographic headwinds are particularly strong in Thailand where the growth of the labor force participation rate through continuing health and education improvements will not be enough to counter the effect of a declining working-age population.</w:t>
      </w:r>
      <w:r w:rsidRPr="002C04C4">
        <w:rPr>
          <w:rFonts w:asciiTheme="majorHAnsi" w:hAnsiTheme="majorHAnsi" w:cstheme="majorHAnsi"/>
        </w:rPr>
        <w:t xml:space="preserve"> After peaking in 2015 at about 50 million people, the </w:t>
      </w:r>
      <w:r w:rsidRPr="002C04C4">
        <w:rPr>
          <w:rFonts w:asciiTheme="majorHAnsi" w:hAnsiTheme="majorHAnsi" w:cstheme="majorHAnsi"/>
        </w:rPr>
        <w:lastRenderedPageBreak/>
        <w:t>working-age population is expected to decline to about 47 million individuals by 2030. While improvements in health and education increase the labor force participation rate, the total labor force will essentially remain constant at the 2020 level of about 42 million workers.</w:t>
      </w:r>
    </w:p>
    <w:p w14:paraId="4843A083" w14:textId="7523C305"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 xml:space="preserve">There are two possible scenarios to increase the labor force and </w:t>
      </w:r>
      <w:r w:rsidR="004F04CF" w:rsidRPr="00665270">
        <w:rPr>
          <w:rFonts w:asciiTheme="majorHAnsi" w:hAnsiTheme="majorHAnsi" w:cstheme="majorHAnsi"/>
          <w:b/>
          <w:bCs/>
        </w:rPr>
        <w:t>its</w:t>
      </w:r>
      <w:r w:rsidRPr="00665270">
        <w:rPr>
          <w:rFonts w:asciiTheme="majorHAnsi" w:hAnsiTheme="majorHAnsi" w:cstheme="majorHAnsi"/>
          <w:b/>
          <w:bCs/>
        </w:rPr>
        <w:t xml:space="preserve"> contribution to potential output growth in Thailand.</w:t>
      </w:r>
      <w:r w:rsidRPr="002C04C4">
        <w:rPr>
          <w:rFonts w:asciiTheme="majorHAnsi" w:hAnsiTheme="majorHAnsi" w:cstheme="majorHAnsi"/>
        </w:rPr>
        <w:t xml:space="preserve"> This scenario analyzes the impact of raising the labor force participation rate of women. As a benchmark, this scenario assumes that the female labor force participation rate will increase at the fastest rate observed in any EAP country between 1990-2020. Among all countries in the EAP region, Malaysia increased its female labor force participation rate the fastest, from 41.6 percent to 48 percent during that period. As a comparison, Thailand’s female labor force participation rate decreased slightly from 65.6 percent to 65 percent over the same time frame.</w:t>
      </w:r>
    </w:p>
    <w:p w14:paraId="6571B008" w14:textId="400F8369"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The change in Malaysia’s female labor force participation rate represents a relative increase of 0.5 percent per year</w:t>
      </w:r>
      <w:r w:rsidRPr="002C04C4">
        <w:rPr>
          <w:rFonts w:asciiTheme="majorHAnsi" w:hAnsiTheme="majorHAnsi" w:cstheme="majorHAnsi"/>
        </w:rPr>
        <w:t>. Applying this scenario to Thailand implies raising the female labor force participation rate by 0.3 percentage points per year from 2021 to 2030. As a result, by 2030, over one million additional women will have joined the labor force in this scenario compared to the baseline and the female labor force participation rate will have increased by about 3.25 percentage points. The impact of this change of the female labor force participation rate in Thailand is an additional 0.15 percentage point of potential growth per year, on average, between 2022-30 (</w:t>
      </w:r>
      <w:r w:rsidR="00C0795C" w:rsidRPr="002C04C4">
        <w:rPr>
          <w:rFonts w:asciiTheme="majorHAnsi" w:hAnsiTheme="majorHAnsi" w:cstheme="majorHAnsi"/>
          <w:color w:val="000000" w:themeColor="text1"/>
        </w:rPr>
        <w:t>Figure A.</w:t>
      </w:r>
      <w:r w:rsidR="00605C73">
        <w:rPr>
          <w:rFonts w:asciiTheme="majorHAnsi" w:hAnsiTheme="majorHAnsi" w:cstheme="majorHAnsi"/>
          <w:color w:val="000000" w:themeColor="text1"/>
        </w:rPr>
        <w:t>5</w:t>
      </w:r>
      <w:r w:rsidR="00C0795C" w:rsidRPr="002C04C4">
        <w:rPr>
          <w:rFonts w:asciiTheme="majorHAnsi" w:hAnsiTheme="majorHAnsi" w:cstheme="majorHAnsi"/>
          <w:color w:val="000000" w:themeColor="text1"/>
        </w:rPr>
        <w:t>.1D</w:t>
      </w:r>
      <w:r w:rsidRPr="002C04C4">
        <w:rPr>
          <w:rFonts w:asciiTheme="majorHAnsi" w:hAnsiTheme="majorHAnsi" w:cstheme="majorHAnsi"/>
        </w:rPr>
        <w:t xml:space="preserve">). </w:t>
      </w:r>
    </w:p>
    <w:p w14:paraId="557B1911" w14:textId="77A471F5" w:rsidR="00B5129B" w:rsidRPr="00B5129B" w:rsidRDefault="00B5129B" w:rsidP="00482B23">
      <w:pPr>
        <w:pStyle w:val="Heading5"/>
      </w:pPr>
      <w:r w:rsidRPr="00B5129B">
        <w:t>Keeping the working-age population constant</w:t>
      </w:r>
    </w:p>
    <w:p w14:paraId="6E7D8C2C" w14:textId="2E3116CE"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An alternative scenario to increasing the female labor force participation rate in Thailand is to expand the labor force through immigration.</w:t>
      </w:r>
      <w:r w:rsidRPr="002C04C4">
        <w:rPr>
          <w:rFonts w:asciiTheme="majorHAnsi" w:hAnsiTheme="majorHAnsi" w:cstheme="majorHAnsi"/>
        </w:rPr>
        <w:t xml:space="preserve"> Between 2020 and 2030, the working-age population is expected to fall by almost three million individuals. If, through the immigration of workers, this decline could be stopped and the working-age population held constant at the 2020 level, Thailand would gain almost </w:t>
      </w:r>
      <w:r w:rsidR="001A72AE">
        <w:rPr>
          <w:rFonts w:asciiTheme="majorHAnsi" w:hAnsiTheme="majorHAnsi" w:cstheme="majorHAnsi"/>
        </w:rPr>
        <w:t>3</w:t>
      </w:r>
      <w:r w:rsidRPr="002C04C4">
        <w:rPr>
          <w:rFonts w:asciiTheme="majorHAnsi" w:hAnsiTheme="majorHAnsi" w:cstheme="majorHAnsi"/>
        </w:rPr>
        <w:t xml:space="preserve"> million additional workers. Furthermore, in the production function approach, a larger working-age population as a share of the total population implies higher TFP growth as a larger share of the population is in the most productive years of their lives. The combined effect of keeping the working-age population constant at the 2020 level compared to the baseline is an increase of potential growth by 0.5 percentage points per year, on average, from 2022-30. This increase in the potential growth rate is equal to the projected decline from the 2011-21 growth rate in the baseline case (</w:t>
      </w:r>
      <w:r w:rsidR="00C0795C" w:rsidRPr="002C04C4">
        <w:rPr>
          <w:rFonts w:asciiTheme="majorHAnsi" w:hAnsiTheme="majorHAnsi" w:cstheme="majorHAnsi"/>
          <w:color w:val="000000" w:themeColor="text1"/>
        </w:rPr>
        <w:t>Figure A.</w:t>
      </w:r>
      <w:r w:rsidR="00605C73">
        <w:rPr>
          <w:rFonts w:asciiTheme="majorHAnsi" w:hAnsiTheme="majorHAnsi" w:cstheme="majorHAnsi"/>
          <w:color w:val="000000" w:themeColor="text1"/>
        </w:rPr>
        <w:t>5</w:t>
      </w:r>
      <w:r w:rsidR="00C0795C" w:rsidRPr="002C04C4">
        <w:rPr>
          <w:rFonts w:asciiTheme="majorHAnsi" w:hAnsiTheme="majorHAnsi" w:cstheme="majorHAnsi"/>
          <w:color w:val="000000" w:themeColor="text1"/>
        </w:rPr>
        <w:t>.1E</w:t>
      </w:r>
      <w:r w:rsidRPr="002C04C4">
        <w:rPr>
          <w:rFonts w:asciiTheme="majorHAnsi" w:hAnsiTheme="majorHAnsi" w:cstheme="majorHAnsi"/>
        </w:rPr>
        <w:t>). The largest contribution to this increase in potential growth is the higher labor force growth rate. The contribution through the TFP channel accounts for one-tenth of the impact.</w:t>
      </w:r>
    </w:p>
    <w:p w14:paraId="61775C82" w14:textId="4D4FEB70" w:rsidR="00B5129B" w:rsidRPr="00B5129B" w:rsidRDefault="00B5129B" w:rsidP="002A0E02">
      <w:pPr>
        <w:pStyle w:val="Heading5"/>
      </w:pPr>
      <w:r w:rsidRPr="00B5129B">
        <w:t>Repeat of best 10-year performance scenarios</w:t>
      </w:r>
    </w:p>
    <w:p w14:paraId="3B24D00D" w14:textId="04396640"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In Kose and Ohnsorge (2023), the authors estimate three scenarios to improve potential growth from 2022-30 for all countries.</w:t>
      </w:r>
      <w:r w:rsidRPr="00ED17F0">
        <w:rPr>
          <w:rFonts w:asciiTheme="majorHAnsi" w:hAnsiTheme="majorHAnsi" w:cstheme="majorHAnsi"/>
        </w:rPr>
        <w:t xml:space="preserve"> The study is therefore an opportunity to examine how Thailand can improve its potential growth rate compared</w:t>
      </w:r>
      <w:r w:rsidRPr="002C04C4">
        <w:rPr>
          <w:rFonts w:asciiTheme="majorHAnsi" w:hAnsiTheme="majorHAnsi" w:cstheme="majorHAnsi"/>
        </w:rPr>
        <w:t xml:space="preserve"> to its regional peers. Each scenario is a replication of the best 10-year performance of various indicators for each country, capped at advanced economy levels. For example, the secondary school completion rate cannot exceed 100 percent and therefore countries that are already close to universal secondary schooling enrollment have fewer possibilities to improve potential growth. The three scenarios are: </w:t>
      </w:r>
    </w:p>
    <w:p w14:paraId="0E4E60FC" w14:textId="66E1F74C" w:rsidR="00B5129B" w:rsidRPr="002C04C4" w:rsidRDefault="00B5129B" w:rsidP="00E61E46">
      <w:pPr>
        <w:pStyle w:val="ListParagraph"/>
        <w:numPr>
          <w:ilvl w:val="0"/>
          <w:numId w:val="4"/>
        </w:numPr>
        <w:spacing w:after="160" w:line="259" w:lineRule="auto"/>
        <w:jc w:val="both"/>
        <w:rPr>
          <w:rFonts w:asciiTheme="majorHAnsi" w:hAnsiTheme="majorHAnsi" w:cstheme="majorHAnsi"/>
        </w:rPr>
      </w:pPr>
      <w:r w:rsidRPr="002C04C4">
        <w:rPr>
          <w:rFonts w:asciiTheme="majorHAnsi" w:hAnsiTheme="majorHAnsi" w:cstheme="majorHAnsi"/>
        </w:rPr>
        <w:t xml:space="preserve">Investment surges: </w:t>
      </w:r>
      <w:r w:rsidR="00495AF8">
        <w:rPr>
          <w:rFonts w:asciiTheme="majorHAnsi" w:hAnsiTheme="majorHAnsi" w:cstheme="majorHAnsi"/>
        </w:rPr>
        <w:t>I</w:t>
      </w:r>
      <w:r w:rsidRPr="002C04C4">
        <w:rPr>
          <w:rFonts w:asciiTheme="majorHAnsi" w:hAnsiTheme="majorHAnsi" w:cstheme="majorHAnsi"/>
        </w:rPr>
        <w:t xml:space="preserve">ncreasing the investment growth rate by the best country-specific annual 10-year increase since </w:t>
      </w:r>
      <w:proofErr w:type="gramStart"/>
      <w:r w:rsidRPr="002C04C4">
        <w:rPr>
          <w:rFonts w:asciiTheme="majorHAnsi" w:hAnsiTheme="majorHAnsi" w:cstheme="majorHAnsi"/>
        </w:rPr>
        <w:t>2000</w:t>
      </w:r>
      <w:proofErr w:type="gramEnd"/>
      <w:r w:rsidRPr="002C04C4">
        <w:rPr>
          <w:rFonts w:asciiTheme="majorHAnsi" w:hAnsiTheme="majorHAnsi" w:cstheme="majorHAnsi"/>
        </w:rPr>
        <w:t xml:space="preserve"> </w:t>
      </w:r>
    </w:p>
    <w:p w14:paraId="6FEB6A5A" w14:textId="02072B3C" w:rsidR="00B5129B" w:rsidRPr="002C04C4" w:rsidRDefault="00B5129B" w:rsidP="00E61E46">
      <w:pPr>
        <w:pStyle w:val="ListParagraph"/>
        <w:numPr>
          <w:ilvl w:val="0"/>
          <w:numId w:val="4"/>
        </w:numPr>
        <w:spacing w:after="160" w:line="259" w:lineRule="auto"/>
        <w:jc w:val="both"/>
        <w:rPr>
          <w:rFonts w:asciiTheme="majorHAnsi" w:hAnsiTheme="majorHAnsi" w:cstheme="majorHAnsi"/>
        </w:rPr>
      </w:pPr>
      <w:r w:rsidRPr="002C04C4">
        <w:rPr>
          <w:rFonts w:asciiTheme="majorHAnsi" w:hAnsiTheme="majorHAnsi" w:cstheme="majorHAnsi"/>
        </w:rPr>
        <w:lastRenderedPageBreak/>
        <w:t xml:space="preserve">Social and labor market reforms: </w:t>
      </w:r>
      <w:r w:rsidR="00C126DF">
        <w:rPr>
          <w:rFonts w:asciiTheme="majorHAnsi" w:hAnsiTheme="majorHAnsi" w:cstheme="majorHAnsi"/>
        </w:rPr>
        <w:t>I</w:t>
      </w:r>
      <w:r w:rsidRPr="002C04C4">
        <w:rPr>
          <w:rFonts w:asciiTheme="majorHAnsi" w:hAnsiTheme="majorHAnsi" w:cstheme="majorHAnsi"/>
        </w:rPr>
        <w:t xml:space="preserve">ncreasing the female labor force participation by the best 10-year annual increase since 2000 and raising the labor force participation rate of worker cohorts age </w:t>
      </w:r>
      <w:r w:rsidRPr="00665270">
        <w:rPr>
          <w:rFonts w:asciiTheme="majorHAnsi" w:hAnsiTheme="majorHAnsi" w:cstheme="majorHAnsi"/>
        </w:rPr>
        <w:t>55</w:t>
      </w:r>
      <w:r w:rsidR="000D5F4F" w:rsidRPr="00665270">
        <w:rPr>
          <w:rFonts w:asciiTheme="majorHAnsi" w:hAnsiTheme="majorHAnsi" w:cstheme="majorHAnsi"/>
        </w:rPr>
        <w:t>–</w:t>
      </w:r>
      <w:r w:rsidRPr="00665270">
        <w:rPr>
          <w:rFonts w:asciiTheme="majorHAnsi" w:hAnsiTheme="majorHAnsi" w:cstheme="majorHAnsi"/>
        </w:rPr>
        <w:t>59, 60</w:t>
      </w:r>
      <w:r w:rsidR="000D5F4F" w:rsidRPr="00665270">
        <w:rPr>
          <w:rFonts w:asciiTheme="majorHAnsi" w:hAnsiTheme="majorHAnsi" w:cstheme="majorHAnsi"/>
        </w:rPr>
        <w:t>–</w:t>
      </w:r>
      <w:r w:rsidRPr="00665270">
        <w:rPr>
          <w:rFonts w:asciiTheme="majorHAnsi" w:hAnsiTheme="majorHAnsi" w:cstheme="majorHAnsi"/>
        </w:rPr>
        <w:t>64, and 65+</w:t>
      </w:r>
      <w:r>
        <w:t xml:space="preserve"> </w:t>
      </w:r>
      <w:r w:rsidRPr="002C04C4">
        <w:rPr>
          <w:rFonts w:asciiTheme="majorHAnsi" w:hAnsiTheme="majorHAnsi" w:cstheme="majorHAnsi"/>
        </w:rPr>
        <w:t xml:space="preserve">to the usually higher labor force participation rate of the age group that is five years younger, gradually over 20 </w:t>
      </w:r>
      <w:proofErr w:type="gramStart"/>
      <w:r w:rsidRPr="002C04C4">
        <w:rPr>
          <w:rFonts w:asciiTheme="majorHAnsi" w:hAnsiTheme="majorHAnsi" w:cstheme="majorHAnsi"/>
        </w:rPr>
        <w:t>years</w:t>
      </w:r>
      <w:proofErr w:type="gramEnd"/>
    </w:p>
    <w:p w14:paraId="355BF17D" w14:textId="681246E8" w:rsidR="00B5129B" w:rsidRPr="002C04C4" w:rsidRDefault="00B5129B" w:rsidP="00E61E46">
      <w:pPr>
        <w:pStyle w:val="ListParagraph"/>
        <w:numPr>
          <w:ilvl w:val="0"/>
          <w:numId w:val="4"/>
        </w:numPr>
        <w:spacing w:after="160" w:line="259" w:lineRule="auto"/>
        <w:jc w:val="both"/>
        <w:rPr>
          <w:rFonts w:asciiTheme="majorHAnsi" w:hAnsiTheme="majorHAnsi" w:cstheme="majorHAnsi"/>
        </w:rPr>
      </w:pPr>
      <w:r w:rsidRPr="002C04C4">
        <w:rPr>
          <w:rFonts w:asciiTheme="majorHAnsi" w:hAnsiTheme="majorHAnsi" w:cstheme="majorHAnsi"/>
        </w:rPr>
        <w:t xml:space="preserve">Education and health improvements: </w:t>
      </w:r>
      <w:r w:rsidR="00C126DF">
        <w:rPr>
          <w:rFonts w:asciiTheme="majorHAnsi" w:hAnsiTheme="majorHAnsi" w:cstheme="majorHAnsi"/>
        </w:rPr>
        <w:t>I</w:t>
      </w:r>
      <w:r w:rsidRPr="002C04C4">
        <w:rPr>
          <w:rFonts w:asciiTheme="majorHAnsi" w:hAnsiTheme="majorHAnsi" w:cstheme="majorHAnsi"/>
        </w:rPr>
        <w:t>ncreasing life expectancy as well as secondary and tertiary school enrollment and completion rates in each country by the largest improvement of any 10-year period between 2000-21.</w:t>
      </w:r>
    </w:p>
    <w:p w14:paraId="234C0661" w14:textId="2C44B780" w:rsidR="00B5129B" w:rsidRPr="002C04C4" w:rsidRDefault="00B5129B" w:rsidP="00B5129B">
      <w:pPr>
        <w:jc w:val="both"/>
        <w:rPr>
          <w:rFonts w:asciiTheme="majorHAnsi" w:hAnsiTheme="majorHAnsi" w:cstheme="majorHAnsi"/>
        </w:rPr>
      </w:pPr>
      <w:r w:rsidRPr="00665270">
        <w:rPr>
          <w:rFonts w:asciiTheme="majorHAnsi" w:hAnsiTheme="majorHAnsi" w:cstheme="majorHAnsi"/>
          <w:b/>
          <w:bCs/>
        </w:rPr>
        <w:t>For Thailand, the combined impact of the three reforms is projected to raise potential growth by 0.92 percentage points per year from 2022-30, on average.</w:t>
      </w:r>
      <w:r w:rsidRPr="002C04C4">
        <w:rPr>
          <w:rFonts w:asciiTheme="majorHAnsi" w:hAnsiTheme="majorHAnsi" w:cstheme="majorHAnsi"/>
        </w:rPr>
        <w:t xml:space="preserve"> This impact is higher than the estimated impact for all EMDEs. Among Thailand’s peers, Thailand has the most to gain from social and labor market reforms. Most other regional peers mainly benefit from higher investment growth rates (</w:t>
      </w:r>
      <w:r w:rsidR="00C0795C" w:rsidRPr="002C04C4">
        <w:rPr>
          <w:rFonts w:asciiTheme="majorHAnsi" w:hAnsiTheme="majorHAnsi" w:cstheme="majorHAnsi"/>
          <w:color w:val="000000" w:themeColor="text1"/>
        </w:rPr>
        <w:t>Figure A.</w:t>
      </w:r>
      <w:r w:rsidR="00605C73">
        <w:rPr>
          <w:rFonts w:asciiTheme="majorHAnsi" w:hAnsiTheme="majorHAnsi" w:cstheme="majorHAnsi"/>
          <w:color w:val="000000" w:themeColor="text1"/>
        </w:rPr>
        <w:t>5</w:t>
      </w:r>
      <w:r w:rsidR="00C0795C" w:rsidRPr="002C04C4">
        <w:rPr>
          <w:rFonts w:asciiTheme="majorHAnsi" w:hAnsiTheme="majorHAnsi" w:cstheme="majorHAnsi"/>
          <w:color w:val="000000" w:themeColor="text1"/>
        </w:rPr>
        <w:t>.1F</w:t>
      </w:r>
      <w:r w:rsidRPr="002C04C4">
        <w:rPr>
          <w:rFonts w:asciiTheme="majorHAnsi" w:hAnsiTheme="majorHAnsi" w:cstheme="majorHAnsi"/>
        </w:rPr>
        <w:t>).</w:t>
      </w:r>
    </w:p>
    <w:p w14:paraId="6E7178A3" w14:textId="39AD6DC7" w:rsidR="00796C9C" w:rsidRPr="002A0E02" w:rsidRDefault="00796C9C" w:rsidP="00796C9C">
      <w:pPr>
        <w:jc w:val="both"/>
        <w:rPr>
          <w:rFonts w:asciiTheme="majorHAnsi" w:hAnsiTheme="majorHAnsi" w:cstheme="majorHAnsi"/>
        </w:rPr>
      </w:pPr>
      <w:r w:rsidRPr="00665270">
        <w:rPr>
          <w:rFonts w:asciiTheme="majorHAnsi" w:hAnsiTheme="majorHAnsi" w:cstheme="majorHAnsi"/>
          <w:b/>
          <w:bCs/>
        </w:rPr>
        <w:t>The combined effect of the three Thailand-specific scenarios outlined previously is about 0.9 percentage points.</w:t>
      </w:r>
      <w:r w:rsidRPr="002A0E02">
        <w:rPr>
          <w:rFonts w:asciiTheme="majorHAnsi" w:hAnsiTheme="majorHAnsi" w:cstheme="majorHAnsi"/>
        </w:rPr>
        <w:t xml:space="preserve"> </w:t>
      </w:r>
      <w:r w:rsidR="00B5129B" w:rsidRPr="002C04C4">
        <w:rPr>
          <w:rFonts w:asciiTheme="majorHAnsi" w:hAnsiTheme="majorHAnsi" w:cstheme="majorHAnsi"/>
        </w:rPr>
        <w:t xml:space="preserve">Similarly, the impact of the three scenarios in Kose and Ohnsorge (2023) outlined </w:t>
      </w:r>
      <w:r w:rsidRPr="002A0E02">
        <w:rPr>
          <w:rFonts w:asciiTheme="majorHAnsi" w:hAnsiTheme="majorHAnsi" w:cstheme="majorHAnsi"/>
        </w:rPr>
        <w:t>above</w:t>
      </w:r>
      <w:r w:rsidR="00B5129B" w:rsidRPr="002C04C4">
        <w:rPr>
          <w:rFonts w:asciiTheme="majorHAnsi" w:hAnsiTheme="majorHAnsi" w:cstheme="majorHAnsi"/>
        </w:rPr>
        <w:t xml:space="preserve"> would also raise potential output growth by 0.9 percentage points in Thailand. With an additional increase of that magnitude, the potential output growth rate of Thailand would be slightly above 3.6 percent. This rate is higher than the growth rate in the 2000s and 2010s. While 0.9 percentage points may seem small, over a 10-year period the impact is sizable. Implementing these reforms would result in an annual growth rate rising from 2.72 percent to 3.62 percent between 2022-30, leading to a 42</w:t>
      </w:r>
      <w:r w:rsidRPr="002A0E02">
        <w:rPr>
          <w:rFonts w:asciiTheme="majorHAnsi" w:hAnsiTheme="majorHAnsi" w:cstheme="majorHAnsi"/>
        </w:rPr>
        <w:t xml:space="preserve"> percent</w:t>
      </w:r>
      <w:r w:rsidR="00B5129B" w:rsidRPr="002C04C4">
        <w:rPr>
          <w:rFonts w:asciiTheme="majorHAnsi" w:hAnsiTheme="majorHAnsi" w:cstheme="majorHAnsi"/>
        </w:rPr>
        <w:t xml:space="preserve"> boost in GDP during this period compared to a 30</w:t>
      </w:r>
      <w:r w:rsidRPr="002A0E02">
        <w:rPr>
          <w:rFonts w:asciiTheme="majorHAnsi" w:hAnsiTheme="majorHAnsi" w:cstheme="majorHAnsi"/>
        </w:rPr>
        <w:t xml:space="preserve"> percent</w:t>
      </w:r>
      <w:r w:rsidR="00B5129B" w:rsidRPr="002C04C4">
        <w:rPr>
          <w:rFonts w:asciiTheme="majorHAnsi" w:hAnsiTheme="majorHAnsi" w:cstheme="majorHAnsi"/>
        </w:rPr>
        <w:t xml:space="preserve"> increase without the reforms.</w:t>
      </w:r>
    </w:p>
    <w:p w14:paraId="664E9AE2" w14:textId="63407B18" w:rsidR="002B3A7D" w:rsidRDefault="002B3A7D">
      <w:pPr>
        <w:rPr>
          <w:rFonts w:asciiTheme="majorHAnsi" w:hAnsiTheme="majorHAnsi" w:cstheme="majorHAns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5558"/>
      </w:tblGrid>
      <w:tr w:rsidR="00B5129B" w:rsidRPr="00843E84" w14:paraId="6B3206E8" w14:textId="77777777" w:rsidTr="008F4341">
        <w:tc>
          <w:tcPr>
            <w:tcW w:w="9350" w:type="dxa"/>
            <w:gridSpan w:val="2"/>
          </w:tcPr>
          <w:bookmarkEnd w:id="438"/>
          <w:bookmarkEnd w:id="439"/>
          <w:p w14:paraId="46E57122" w14:textId="069C525D" w:rsidR="00B5129B" w:rsidRPr="00CE2F54" w:rsidRDefault="00B5129B">
            <w:pPr>
              <w:pStyle w:val="Figure"/>
            </w:pPr>
            <w:r w:rsidRPr="00CE2F54">
              <w:t xml:space="preserve">Figure </w:t>
            </w:r>
            <w:r w:rsidR="00C0795C" w:rsidRPr="00CE2F54">
              <w:t>A.</w:t>
            </w:r>
            <w:r w:rsidR="00605C73">
              <w:t>5</w:t>
            </w:r>
            <w:r w:rsidR="004B0B9C" w:rsidRPr="004B0B9C">
              <w:t>.</w:t>
            </w:r>
            <w:r w:rsidR="004B0B9C" w:rsidRPr="004B0B9C">
              <w:fldChar w:fldCharType="begin"/>
            </w:r>
            <w:r w:rsidR="004B0B9C" w:rsidRPr="004B0B9C">
              <w:instrText xml:space="preserve"> SEQ Figure_A.6. \* ARABIC </w:instrText>
            </w:r>
            <w:r w:rsidR="004B0B9C" w:rsidRPr="004B0B9C">
              <w:fldChar w:fldCharType="separate"/>
            </w:r>
            <w:r w:rsidR="004B0B9C" w:rsidRPr="004B0B9C">
              <w:t>1</w:t>
            </w:r>
            <w:r w:rsidR="004B0B9C" w:rsidRPr="004B0B9C">
              <w:fldChar w:fldCharType="end"/>
            </w:r>
            <w:r w:rsidRPr="00CE2F54">
              <w:t xml:space="preserve"> Potential growth and reform scenarios</w:t>
            </w:r>
          </w:p>
        </w:tc>
      </w:tr>
      <w:tr w:rsidR="00B5129B" w:rsidRPr="00843E84" w14:paraId="2260B229" w14:textId="77777777" w:rsidTr="008F4341">
        <w:tc>
          <w:tcPr>
            <w:tcW w:w="9350" w:type="dxa"/>
            <w:gridSpan w:val="2"/>
          </w:tcPr>
          <w:p w14:paraId="01BC0EC3" w14:textId="77777777" w:rsidR="00B5129B" w:rsidRDefault="00B5129B" w:rsidP="007479AB">
            <w:pPr>
              <w:pStyle w:val="figuredescription"/>
            </w:pPr>
            <w:r w:rsidRPr="004D4881">
              <w:t xml:space="preserve">Potential growth declined between the 2000-10 and 2011-21 decades in Emerging Market and Developing Economies (EMDEs), including Thailand. This decline reflects the lower contributions from capital accumulation, labor force growth, and capital accumulation. Projections into the next decade, 2022-30, show that this slowdown is expected to continue. Raising the investment-to-GDP ratio, increasing female labor force participation, and keeping the working-age population constant can increase potential growth to the level of the previous decade. Compared to its peers, Thailand will benefit more from increasing labor force growth.  </w:t>
            </w:r>
          </w:p>
          <w:p w14:paraId="2224899C" w14:textId="77777777" w:rsidR="00605C73" w:rsidRDefault="00605C73" w:rsidP="007479AB">
            <w:pPr>
              <w:pStyle w:val="figuredescription"/>
            </w:pPr>
          </w:p>
          <w:p w14:paraId="793FDF26" w14:textId="75BE5735" w:rsidR="00605C73" w:rsidRPr="004D4881" w:rsidRDefault="00605C73" w:rsidP="007479AB">
            <w:pPr>
              <w:pStyle w:val="figuredescription"/>
              <w:rPr>
                <w:sz w:val="20"/>
                <w:szCs w:val="20"/>
              </w:rPr>
            </w:pPr>
          </w:p>
        </w:tc>
      </w:tr>
      <w:tr w:rsidR="00B5129B" w:rsidRPr="00D914E8" w14:paraId="4912D6D3" w14:textId="77777777" w:rsidTr="008F4341">
        <w:tc>
          <w:tcPr>
            <w:tcW w:w="4675" w:type="dxa"/>
          </w:tcPr>
          <w:p w14:paraId="729FA463" w14:textId="795C47E5" w:rsidR="00B5129B" w:rsidRPr="00CE2F54" w:rsidRDefault="00B5129B" w:rsidP="004C681A">
            <w:pPr>
              <w:pStyle w:val="figuredescription"/>
              <w:spacing w:before="120" w:after="120"/>
            </w:pPr>
            <w:r w:rsidRPr="00CE2F54">
              <w:t>A. EMDE potential output growth</w:t>
            </w:r>
          </w:p>
        </w:tc>
        <w:tc>
          <w:tcPr>
            <w:tcW w:w="4675" w:type="dxa"/>
          </w:tcPr>
          <w:p w14:paraId="71724D78" w14:textId="60A7A919" w:rsidR="00B5129B" w:rsidRPr="00CE2F54" w:rsidRDefault="00B5129B" w:rsidP="004C681A">
            <w:pPr>
              <w:pStyle w:val="figuredescription"/>
              <w:spacing w:before="120" w:after="120"/>
            </w:pPr>
            <w:r w:rsidRPr="00CE2F54">
              <w:t>B. Thailand’s potential output growth</w:t>
            </w:r>
          </w:p>
        </w:tc>
      </w:tr>
      <w:tr w:rsidR="00B5129B" w:rsidRPr="00843E84" w14:paraId="2DF87C85" w14:textId="77777777" w:rsidTr="008F4341">
        <w:tc>
          <w:tcPr>
            <w:tcW w:w="4675" w:type="dxa"/>
          </w:tcPr>
          <w:p w14:paraId="72C83B95" w14:textId="61EBD4D3" w:rsidR="00B5129B" w:rsidRPr="004D4881" w:rsidRDefault="00B5129B" w:rsidP="008F4341">
            <w:pPr>
              <w:rPr>
                <w:rFonts w:ascii="Trebuchet MS" w:hAnsi="Trebuchet MS" w:cstheme="majorBidi"/>
              </w:rPr>
            </w:pPr>
            <w:r w:rsidRPr="004D4881">
              <w:rPr>
                <w:rFonts w:ascii="Trebuchet MS" w:hAnsi="Trebuchet MS" w:cstheme="majorHAnsi"/>
                <w:noProof/>
                <w:lang w:val="en-GB" w:eastAsia="en-GB"/>
              </w:rPr>
              <w:drawing>
                <wp:inline distT="0" distB="0" distL="0" distR="0" wp14:anchorId="0D5E7DED" wp14:editId="364BD1B2">
                  <wp:extent cx="2559685" cy="1724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9828" cy="1724121"/>
                          </a:xfrm>
                          <a:prstGeom prst="rect">
                            <a:avLst/>
                          </a:prstGeom>
                          <a:noFill/>
                          <a:ln>
                            <a:noFill/>
                          </a:ln>
                        </pic:spPr>
                      </pic:pic>
                    </a:graphicData>
                  </a:graphic>
                </wp:inline>
              </w:drawing>
            </w:r>
          </w:p>
        </w:tc>
        <w:tc>
          <w:tcPr>
            <w:tcW w:w="4675" w:type="dxa"/>
          </w:tcPr>
          <w:p w14:paraId="7A805A48" w14:textId="77777777" w:rsidR="00B5129B" w:rsidRDefault="00B5129B" w:rsidP="008F4341">
            <w:pPr>
              <w:rPr>
                <w:rFonts w:asciiTheme="majorHAnsi" w:hAnsiTheme="majorHAnsi" w:cstheme="majorBidi"/>
              </w:rPr>
            </w:pPr>
            <w:r w:rsidRPr="00CE2F54">
              <w:rPr>
                <w:rFonts w:asciiTheme="majorHAnsi" w:hAnsiTheme="majorHAnsi" w:cstheme="majorHAnsi"/>
                <w:noProof/>
                <w:lang w:val="en-GB" w:eastAsia="en-GB"/>
              </w:rPr>
              <w:drawing>
                <wp:inline distT="0" distB="0" distL="0" distR="0" wp14:anchorId="27C89EE5" wp14:editId="28B394CD">
                  <wp:extent cx="2559685"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59828" cy="1733647"/>
                          </a:xfrm>
                          <a:prstGeom prst="rect">
                            <a:avLst/>
                          </a:prstGeom>
                          <a:noFill/>
                          <a:ln>
                            <a:noFill/>
                          </a:ln>
                        </pic:spPr>
                      </pic:pic>
                    </a:graphicData>
                  </a:graphic>
                </wp:inline>
              </w:drawing>
            </w:r>
          </w:p>
          <w:p w14:paraId="164F13AD" w14:textId="77777777" w:rsidR="00605C73" w:rsidRDefault="00605C73" w:rsidP="008F4341">
            <w:pPr>
              <w:rPr>
                <w:rFonts w:asciiTheme="majorHAnsi" w:hAnsiTheme="majorHAnsi" w:cstheme="majorBidi"/>
              </w:rPr>
            </w:pPr>
          </w:p>
          <w:p w14:paraId="421989DB" w14:textId="77777777" w:rsidR="00605C73" w:rsidRDefault="00605C73" w:rsidP="008F4341">
            <w:pPr>
              <w:rPr>
                <w:rFonts w:asciiTheme="majorHAnsi" w:hAnsiTheme="majorHAnsi" w:cstheme="majorBidi"/>
              </w:rPr>
            </w:pPr>
          </w:p>
          <w:p w14:paraId="2C0B2C89" w14:textId="77777777" w:rsidR="00605C73" w:rsidRDefault="00605C73" w:rsidP="008F4341">
            <w:pPr>
              <w:rPr>
                <w:rFonts w:asciiTheme="majorHAnsi" w:hAnsiTheme="majorHAnsi" w:cstheme="majorBidi"/>
              </w:rPr>
            </w:pPr>
          </w:p>
          <w:p w14:paraId="7D5FF318" w14:textId="77777777" w:rsidR="00605C73" w:rsidRDefault="00605C73" w:rsidP="008F4341">
            <w:pPr>
              <w:rPr>
                <w:rFonts w:asciiTheme="majorHAnsi" w:hAnsiTheme="majorHAnsi" w:cstheme="majorBidi"/>
              </w:rPr>
            </w:pPr>
          </w:p>
          <w:p w14:paraId="06A2C8A8" w14:textId="653564F9" w:rsidR="00605C73" w:rsidRPr="00CE2F54" w:rsidRDefault="00605C73" w:rsidP="008F4341">
            <w:pPr>
              <w:rPr>
                <w:rFonts w:asciiTheme="majorHAnsi" w:hAnsiTheme="majorHAnsi" w:cstheme="majorBidi"/>
              </w:rPr>
            </w:pPr>
          </w:p>
        </w:tc>
      </w:tr>
      <w:tr w:rsidR="00B5129B" w:rsidRPr="00D914E8" w14:paraId="722155B2" w14:textId="77777777" w:rsidTr="008F4341">
        <w:tc>
          <w:tcPr>
            <w:tcW w:w="4675" w:type="dxa"/>
          </w:tcPr>
          <w:p w14:paraId="30CDC997" w14:textId="2F11CDCF" w:rsidR="00B5129B" w:rsidRPr="00CE2F54" w:rsidRDefault="00B5129B" w:rsidP="004C681A">
            <w:pPr>
              <w:pStyle w:val="figuredescription"/>
              <w:spacing w:before="120" w:after="120"/>
            </w:pPr>
            <w:r w:rsidRPr="00CE2F54">
              <w:lastRenderedPageBreak/>
              <w:t>C. Increasing investment</w:t>
            </w:r>
            <w:r w:rsidR="00796C9C" w:rsidRPr="00CE2F54">
              <w:t>-</w:t>
            </w:r>
            <w:r w:rsidRPr="00CE2F54">
              <w:t>to</w:t>
            </w:r>
            <w:r w:rsidR="00796C9C" w:rsidRPr="00CE2F54">
              <w:t>-</w:t>
            </w:r>
            <w:r w:rsidRPr="00CE2F54">
              <w:t>GDP scenario</w:t>
            </w:r>
          </w:p>
        </w:tc>
        <w:tc>
          <w:tcPr>
            <w:tcW w:w="4675" w:type="dxa"/>
          </w:tcPr>
          <w:p w14:paraId="61BB8670" w14:textId="45A815B8" w:rsidR="00B5129B" w:rsidRPr="00CE2F54" w:rsidRDefault="00B5129B" w:rsidP="004C681A">
            <w:pPr>
              <w:pStyle w:val="figuredescription"/>
              <w:spacing w:before="120" w:after="120"/>
            </w:pPr>
            <w:r w:rsidRPr="00CE2F54">
              <w:t>D. Increasing female labor force participation</w:t>
            </w:r>
          </w:p>
        </w:tc>
      </w:tr>
      <w:tr w:rsidR="00B5129B" w:rsidRPr="00843E84" w14:paraId="2E96C41A" w14:textId="77777777" w:rsidTr="008F4341">
        <w:tc>
          <w:tcPr>
            <w:tcW w:w="4675" w:type="dxa"/>
          </w:tcPr>
          <w:p w14:paraId="03E173CC" w14:textId="60DEAA19" w:rsidR="00B5129B" w:rsidRPr="00CE2F54" w:rsidRDefault="00B5129B" w:rsidP="008F4341">
            <w:pPr>
              <w:rPr>
                <w:rFonts w:asciiTheme="majorHAnsi" w:hAnsiTheme="majorHAnsi" w:cstheme="majorBidi"/>
              </w:rPr>
            </w:pPr>
            <w:r w:rsidRPr="00CE2F54">
              <w:rPr>
                <w:rFonts w:asciiTheme="majorHAnsi" w:hAnsiTheme="majorHAnsi" w:cstheme="majorHAnsi"/>
                <w:noProof/>
                <w:lang w:val="en-GB" w:eastAsia="en-GB"/>
              </w:rPr>
              <w:drawing>
                <wp:inline distT="0" distB="0" distL="0" distR="0" wp14:anchorId="35B9FD38" wp14:editId="74BAA217">
                  <wp:extent cx="2553970" cy="17425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6213" cy="1744066"/>
                          </a:xfrm>
                          <a:prstGeom prst="rect">
                            <a:avLst/>
                          </a:prstGeom>
                          <a:noFill/>
                          <a:ln>
                            <a:noFill/>
                          </a:ln>
                        </pic:spPr>
                      </pic:pic>
                    </a:graphicData>
                  </a:graphic>
                </wp:inline>
              </w:drawing>
            </w:r>
          </w:p>
        </w:tc>
        <w:tc>
          <w:tcPr>
            <w:tcW w:w="4675" w:type="dxa"/>
          </w:tcPr>
          <w:p w14:paraId="6F509BF9" w14:textId="77777777" w:rsidR="00B5129B" w:rsidRDefault="00B5129B" w:rsidP="008F4341">
            <w:pPr>
              <w:rPr>
                <w:rFonts w:asciiTheme="majorHAnsi" w:hAnsiTheme="majorHAnsi" w:cstheme="majorBidi"/>
              </w:rPr>
            </w:pPr>
            <w:r w:rsidRPr="00CE2F54">
              <w:rPr>
                <w:rFonts w:asciiTheme="majorHAnsi" w:hAnsiTheme="majorHAnsi" w:cstheme="majorHAnsi"/>
                <w:noProof/>
                <w:lang w:val="en-GB" w:eastAsia="en-GB"/>
              </w:rPr>
              <w:drawing>
                <wp:inline distT="0" distB="0" distL="0" distR="0" wp14:anchorId="58D61E82" wp14:editId="10832144">
                  <wp:extent cx="2565400" cy="1716656"/>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8651" cy="1718831"/>
                          </a:xfrm>
                          <a:prstGeom prst="rect">
                            <a:avLst/>
                          </a:prstGeom>
                          <a:noFill/>
                          <a:ln>
                            <a:noFill/>
                          </a:ln>
                        </pic:spPr>
                      </pic:pic>
                    </a:graphicData>
                  </a:graphic>
                </wp:inline>
              </w:drawing>
            </w:r>
          </w:p>
          <w:p w14:paraId="7B23FC66" w14:textId="2E1B7B29" w:rsidR="00605C73" w:rsidRPr="00CE2F54" w:rsidRDefault="00605C73" w:rsidP="008F4341">
            <w:pPr>
              <w:rPr>
                <w:rFonts w:asciiTheme="majorHAnsi" w:hAnsiTheme="majorHAnsi" w:cstheme="majorBidi"/>
              </w:rPr>
            </w:pPr>
          </w:p>
        </w:tc>
      </w:tr>
      <w:tr w:rsidR="00B5129B" w:rsidRPr="00D914E8" w14:paraId="5C6A0B3C" w14:textId="77777777" w:rsidTr="008F4341">
        <w:tc>
          <w:tcPr>
            <w:tcW w:w="4675" w:type="dxa"/>
          </w:tcPr>
          <w:p w14:paraId="68EDD469" w14:textId="6B538116" w:rsidR="00B5129B" w:rsidRPr="00CE2F54" w:rsidRDefault="00B5129B" w:rsidP="004C681A">
            <w:pPr>
              <w:pStyle w:val="figuredescription"/>
              <w:spacing w:before="120" w:after="120"/>
            </w:pPr>
            <w:r w:rsidRPr="00CE2F54">
              <w:t>E. Constant working</w:t>
            </w:r>
            <w:r w:rsidR="00796C9C" w:rsidRPr="00CE2F54">
              <w:t>-</w:t>
            </w:r>
            <w:r w:rsidRPr="00CE2F54">
              <w:t>age population scenario</w:t>
            </w:r>
          </w:p>
        </w:tc>
        <w:tc>
          <w:tcPr>
            <w:tcW w:w="4675" w:type="dxa"/>
          </w:tcPr>
          <w:p w14:paraId="06FABE7A" w14:textId="6A1B07FA" w:rsidR="00B5129B" w:rsidRPr="00CE2F54" w:rsidRDefault="00B5129B" w:rsidP="004C681A">
            <w:pPr>
              <w:pStyle w:val="figuredescription"/>
              <w:spacing w:before="120" w:after="120"/>
            </w:pPr>
            <w:r w:rsidRPr="00CE2F54">
              <w:t>F. Repeat of best 10-year performance</w:t>
            </w:r>
          </w:p>
        </w:tc>
      </w:tr>
      <w:tr w:rsidR="00B5129B" w:rsidRPr="009638A5" w14:paraId="205A1E36" w14:textId="77777777" w:rsidTr="008F4341">
        <w:tc>
          <w:tcPr>
            <w:tcW w:w="4675" w:type="dxa"/>
          </w:tcPr>
          <w:p w14:paraId="6B3DF07C" w14:textId="0F6DF32B" w:rsidR="00B5129B" w:rsidRPr="00CE2F54" w:rsidRDefault="00B5129B" w:rsidP="008F4341">
            <w:pPr>
              <w:rPr>
                <w:rFonts w:asciiTheme="majorHAnsi" w:hAnsiTheme="majorHAnsi" w:cstheme="majorBidi"/>
              </w:rPr>
            </w:pPr>
            <w:r w:rsidRPr="00CE2F54">
              <w:rPr>
                <w:rFonts w:asciiTheme="majorHAnsi" w:hAnsiTheme="majorHAnsi" w:cstheme="majorHAnsi"/>
                <w:noProof/>
                <w:lang w:val="en-GB" w:eastAsia="en-GB"/>
              </w:rPr>
              <w:drawing>
                <wp:inline distT="0" distB="0" distL="0" distR="0" wp14:anchorId="781493D4" wp14:editId="1519858D">
                  <wp:extent cx="2565400" cy="1725283"/>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8423" cy="1727316"/>
                          </a:xfrm>
                          <a:prstGeom prst="rect">
                            <a:avLst/>
                          </a:prstGeom>
                          <a:noFill/>
                          <a:ln>
                            <a:noFill/>
                          </a:ln>
                        </pic:spPr>
                      </pic:pic>
                    </a:graphicData>
                  </a:graphic>
                </wp:inline>
              </w:drawing>
            </w:r>
          </w:p>
        </w:tc>
        <w:tc>
          <w:tcPr>
            <w:tcW w:w="4675" w:type="dxa"/>
          </w:tcPr>
          <w:p w14:paraId="423FB045" w14:textId="36106578" w:rsidR="00B5129B" w:rsidRPr="009638A5" w:rsidRDefault="00E20D4D" w:rsidP="008F4341">
            <w:pPr>
              <w:rPr>
                <w:rFonts w:asciiTheme="majorHAnsi" w:hAnsiTheme="majorHAnsi" w:cstheme="majorBidi"/>
              </w:rPr>
            </w:pPr>
            <w:r w:rsidRPr="00863D57">
              <w:rPr>
                <w:rFonts w:asciiTheme="majorHAnsi" w:hAnsiTheme="majorHAnsi" w:cstheme="majorBidi"/>
                <w:noProof/>
                <w:lang w:val="en-GB" w:eastAsia="en-GB"/>
              </w:rPr>
              <w:drawing>
                <wp:inline distT="0" distB="0" distL="0" distR="0" wp14:anchorId="46F8F3A9" wp14:editId="657545D5">
                  <wp:extent cx="3392424" cy="20116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92424" cy="2011680"/>
                          </a:xfrm>
                          <a:prstGeom prst="rect">
                            <a:avLst/>
                          </a:prstGeom>
                          <a:noFill/>
                          <a:ln>
                            <a:noFill/>
                          </a:ln>
                        </pic:spPr>
                      </pic:pic>
                    </a:graphicData>
                  </a:graphic>
                </wp:inline>
              </w:drawing>
            </w:r>
          </w:p>
        </w:tc>
      </w:tr>
      <w:tr w:rsidR="00B5129B" w:rsidRPr="00843E84" w14:paraId="6E14E59B" w14:textId="77777777" w:rsidTr="008F4341">
        <w:tc>
          <w:tcPr>
            <w:tcW w:w="9350" w:type="dxa"/>
            <w:gridSpan w:val="2"/>
          </w:tcPr>
          <w:p w14:paraId="3C45BA9C" w14:textId="2E0B6F32" w:rsidR="00B5129B" w:rsidRPr="003C2187" w:rsidRDefault="00B5129B" w:rsidP="004C681A">
            <w:pPr>
              <w:pStyle w:val="Source"/>
              <w:spacing w:before="40" w:after="40"/>
            </w:pPr>
            <w:r w:rsidRPr="004C681A">
              <w:rPr>
                <w:b/>
                <w:bCs/>
                <w:i/>
                <w:iCs/>
              </w:rPr>
              <w:t>Source:</w:t>
            </w:r>
            <w:r w:rsidRPr="003C2187">
              <w:t xml:space="preserve"> </w:t>
            </w:r>
            <w:r w:rsidRPr="003C2187">
              <w:fldChar w:fldCharType="begin"/>
            </w:r>
            <w:r w:rsidRPr="003C2187">
              <w:instrText xml:space="preserve"> ADDIN ZOTERO_ITEM CSL_CITATION {"citationID":"6xpHmsSg","properties":{"formattedCitation":"(Kose and Ohnsorge 2023)","plainCitation":"(Kose and Ohnsorge 2023)","noteIndex":0},"citationItems":[{"id":552,"uris":["http://zotero.org/groups/5008876/items/MLT64AEC"],"itemData":{"id":552,"type":"book","event-place":"Washington, DC","publisher":"World Bank","publisher-place":"Washington, DC","title":"Falling Long-Term Growth Prospects: Trends, Expectations, and Policies","editor":[{"family":"Kose","given":"Ayhan M."},{"family":"Ohnsorge","given":"Franziska"}],"issued":{"date-parts":[["2023"]]}}}],"schema":"https://github.com/citation-style-language/schema/raw/master/csl-citation.json"} </w:instrText>
            </w:r>
            <w:r w:rsidRPr="003C2187">
              <w:fldChar w:fldCharType="separate"/>
            </w:r>
            <w:r w:rsidRPr="003C2187">
              <w:t>Kose and Ohnsorge</w:t>
            </w:r>
            <w:r w:rsidR="00796C9C" w:rsidRPr="003C2187">
              <w:t xml:space="preserve">, </w:t>
            </w:r>
            <w:r w:rsidRPr="003C2187">
              <w:t>2023</w:t>
            </w:r>
            <w:r w:rsidR="00796C9C" w:rsidRPr="003C2187">
              <w:t xml:space="preserve">. </w:t>
            </w:r>
            <w:r w:rsidRPr="003C2187">
              <w:fldChar w:fldCharType="end"/>
            </w:r>
          </w:p>
          <w:p w14:paraId="5A14C6F7" w14:textId="07B5A6E3" w:rsidR="00B5129B" w:rsidRPr="003C2187" w:rsidRDefault="00B5129B" w:rsidP="003C2187">
            <w:pPr>
              <w:pStyle w:val="Source"/>
            </w:pPr>
            <w:r w:rsidRPr="004C681A">
              <w:rPr>
                <w:b/>
                <w:bCs/>
                <w:i/>
                <w:iCs/>
              </w:rPr>
              <w:t>Note:</w:t>
            </w:r>
            <w:r w:rsidRPr="003C2187">
              <w:rPr>
                <w:i/>
                <w:iCs/>
              </w:rPr>
              <w:t xml:space="preserve"> </w:t>
            </w:r>
            <w:r w:rsidRPr="003C2187">
              <w:t>EMDE = emerging market and developing economies. ASEAN5 includes Thailand (THA), Indonesia (IDN), Malaysia (MYS), and the Philippines (PHL).</w:t>
            </w:r>
          </w:p>
          <w:p w14:paraId="6A21D8D4" w14:textId="1F5E56E9" w:rsidR="00B5129B" w:rsidRPr="003C2187" w:rsidRDefault="00B5129B" w:rsidP="003C2187">
            <w:pPr>
              <w:pStyle w:val="Source"/>
            </w:pPr>
            <w:r w:rsidRPr="003C2187">
              <w:t>A.B. Potential growth is estimated and decomposed into components using the production function approach.</w:t>
            </w:r>
          </w:p>
          <w:p w14:paraId="2F883AD2" w14:textId="4712F38B" w:rsidR="00B5129B" w:rsidRPr="003C2187" w:rsidRDefault="00B5129B" w:rsidP="003C2187">
            <w:pPr>
              <w:pStyle w:val="Source"/>
            </w:pPr>
            <w:r w:rsidRPr="003C2187">
              <w:t>C. The scenario assumes that starting in 2023, Thailand will increase its investment-to-GDP ratio to South Korea’s level over 15 years.</w:t>
            </w:r>
          </w:p>
          <w:p w14:paraId="18456328" w14:textId="1D15B656" w:rsidR="00B5129B" w:rsidRPr="003C2187" w:rsidRDefault="00B5129B" w:rsidP="003C2187">
            <w:pPr>
              <w:pStyle w:val="Source"/>
            </w:pPr>
            <w:r w:rsidRPr="003C2187">
              <w:t>D. The scenario assumes that starting in 2020, Thailand will increase the female labor force participation rate by 0.5 percent per year.</w:t>
            </w:r>
          </w:p>
          <w:p w14:paraId="38F9B958" w14:textId="6796376D" w:rsidR="00B5129B" w:rsidRPr="003C2187" w:rsidRDefault="00B5129B" w:rsidP="003C2187">
            <w:pPr>
              <w:pStyle w:val="Source"/>
            </w:pPr>
            <w:r w:rsidRPr="003C2187">
              <w:t>E. The scenario assumes that starting in 2020, Thailand will keep its working-age population constant through immigration and all additional immigrants will join the labor force.</w:t>
            </w:r>
          </w:p>
          <w:p w14:paraId="647F0685" w14:textId="77777777" w:rsidR="00B5129B" w:rsidRDefault="00B5129B" w:rsidP="003C2187">
            <w:pPr>
              <w:pStyle w:val="Source"/>
            </w:pPr>
            <w:r w:rsidRPr="003C2187">
              <w:t>F. The scenarios assume that starting in 2020, countries will repeat their best 10-year performance in social and labor market policies, education and health improvements, and investment growth</w:t>
            </w:r>
            <w:r w:rsidR="00796C9C" w:rsidRPr="003C2187">
              <w:t xml:space="preserve"> (</w:t>
            </w:r>
            <w:r w:rsidRPr="003C2187">
              <w:t>Kose and Ohnsorge</w:t>
            </w:r>
            <w:r w:rsidR="00796C9C" w:rsidRPr="003C2187">
              <w:t>,</w:t>
            </w:r>
            <w:r w:rsidRPr="003C2187">
              <w:t xml:space="preserve"> 2023).</w:t>
            </w:r>
          </w:p>
          <w:p w14:paraId="5F482734" w14:textId="4B4D0329" w:rsidR="00605C73" w:rsidRPr="00CE2F54" w:rsidRDefault="00605C73" w:rsidP="003C2187">
            <w:pPr>
              <w:pStyle w:val="Source"/>
              <w:rPr>
                <w:rFonts w:asciiTheme="majorHAnsi" w:hAnsiTheme="majorHAnsi" w:cstheme="majorHAnsi"/>
              </w:rPr>
            </w:pPr>
          </w:p>
        </w:tc>
      </w:tr>
    </w:tbl>
    <w:p w14:paraId="7309D40D" w14:textId="56A31077" w:rsidR="005966DC" w:rsidRPr="000118B7" w:rsidRDefault="00B5512F" w:rsidP="00050029">
      <w:pPr>
        <w:pStyle w:val="Heading5"/>
      </w:pPr>
      <w:bookmarkStart w:id="442" w:name="_Toc137046530"/>
      <w:bookmarkStart w:id="443" w:name="_Toc137048194"/>
      <w:r w:rsidRPr="000118B7">
        <w:t xml:space="preserve">Additional </w:t>
      </w:r>
      <w:r>
        <w:t>hypothetical reform scenario</w:t>
      </w:r>
      <w:r w:rsidR="00120DDF">
        <w:t xml:space="preserve">: </w:t>
      </w:r>
      <w:r w:rsidR="00071566">
        <w:t>A</w:t>
      </w:r>
      <w:r w:rsidR="00120DDF">
        <w:t xml:space="preserve">ccelerating structural transformation </w:t>
      </w:r>
      <w:r w:rsidR="00B64612">
        <w:t xml:space="preserve">and productivity </w:t>
      </w:r>
      <w:proofErr w:type="gramStart"/>
      <w:r w:rsidR="00B64612">
        <w:t>growth</w:t>
      </w:r>
      <w:proofErr w:type="gramEnd"/>
      <w:r>
        <w:t xml:space="preserve">  </w:t>
      </w:r>
    </w:p>
    <w:p w14:paraId="698EF00F" w14:textId="250C0495" w:rsidR="000118B7" w:rsidRPr="00050029" w:rsidRDefault="000118B7" w:rsidP="00050029">
      <w:pPr>
        <w:jc w:val="both"/>
        <w:rPr>
          <w:rFonts w:asciiTheme="majorHAnsi" w:hAnsiTheme="majorHAnsi" w:cstheme="majorHAnsi"/>
        </w:rPr>
      </w:pPr>
      <w:r w:rsidRPr="00665270">
        <w:rPr>
          <w:rFonts w:asciiTheme="majorHAnsi" w:hAnsiTheme="majorHAnsi" w:cstheme="majorHAnsi"/>
          <w:b/>
          <w:bCs/>
        </w:rPr>
        <w:t>In Thailand, over one-third of workers are in the agriculture sector, the sector with the lowest productivity per worker</w:t>
      </w:r>
      <w:r w:rsidRPr="00050029">
        <w:rPr>
          <w:rFonts w:asciiTheme="majorHAnsi" w:hAnsiTheme="majorHAnsi" w:cstheme="majorHAnsi"/>
        </w:rPr>
        <w:t>. Apart from agriculture, one-fifth of workers are employed in manufacturing and construction, and about 45 percent in the services sectors. Output per worker in the non-agriculture sectors is, on average, five to six times higher than in agriculture. In contrast, in Thailand’s peers the share of employment in agriculture varies from 5 percent in Korea to 29 percent in Indonesia (</w:t>
      </w:r>
      <w:r w:rsidR="00D0175B">
        <w:rPr>
          <w:rFonts w:asciiTheme="majorHAnsi" w:hAnsiTheme="majorHAnsi" w:cstheme="majorHAnsi"/>
        </w:rPr>
        <w:t>F</w:t>
      </w:r>
      <w:r w:rsidRPr="00050029">
        <w:rPr>
          <w:rFonts w:asciiTheme="majorHAnsi" w:hAnsiTheme="majorHAnsi" w:cstheme="majorHAnsi"/>
        </w:rPr>
        <w:t xml:space="preserve">igure </w:t>
      </w:r>
      <w:r w:rsidR="00D0175B">
        <w:rPr>
          <w:rFonts w:asciiTheme="majorHAnsi" w:hAnsiTheme="majorHAnsi" w:cstheme="majorHAnsi"/>
        </w:rPr>
        <w:t>A.</w:t>
      </w:r>
      <w:r w:rsidR="00605C73">
        <w:rPr>
          <w:rFonts w:asciiTheme="majorHAnsi" w:hAnsiTheme="majorHAnsi" w:cstheme="majorHAnsi"/>
        </w:rPr>
        <w:t>5</w:t>
      </w:r>
      <w:r w:rsidR="00D0175B">
        <w:rPr>
          <w:rFonts w:asciiTheme="majorHAnsi" w:hAnsiTheme="majorHAnsi" w:cstheme="majorHAnsi"/>
        </w:rPr>
        <w:t>.2</w:t>
      </w:r>
      <w:r w:rsidRPr="00050029">
        <w:rPr>
          <w:rFonts w:asciiTheme="majorHAnsi" w:hAnsiTheme="majorHAnsi" w:cstheme="majorHAnsi"/>
        </w:rPr>
        <w:t>).</w:t>
      </w:r>
    </w:p>
    <w:p w14:paraId="3386322E" w14:textId="77777777" w:rsidR="00702FC6" w:rsidRDefault="000118B7" w:rsidP="00050029">
      <w:pPr>
        <w:jc w:val="both"/>
        <w:rPr>
          <w:rFonts w:asciiTheme="majorHAnsi" w:hAnsiTheme="majorHAnsi" w:cstheme="majorHAnsi"/>
          <w:vertAlign w:val="superscript"/>
        </w:rPr>
      </w:pPr>
      <w:r w:rsidRPr="00665270">
        <w:rPr>
          <w:rFonts w:asciiTheme="majorHAnsi" w:hAnsiTheme="majorHAnsi" w:cstheme="majorHAnsi"/>
          <w:b/>
          <w:bCs/>
        </w:rPr>
        <w:t>Thailand reaped a growth dividend from the structural transformation when the share of employment in agriculture fell from over 50 percent in the 1990s to the current level of 34 percent.</w:t>
      </w:r>
      <w:r w:rsidRPr="00050029">
        <w:rPr>
          <w:rFonts w:asciiTheme="majorHAnsi" w:hAnsiTheme="majorHAnsi" w:cstheme="majorHAnsi"/>
        </w:rPr>
        <w:t xml:space="preserve"> Strong productivity growth in the agriculture sector over the past 30 years freed up resources that shifted to other, more </w:t>
      </w:r>
      <w:r w:rsidRPr="00050029">
        <w:rPr>
          <w:rFonts w:asciiTheme="majorHAnsi" w:hAnsiTheme="majorHAnsi" w:cstheme="majorHAnsi"/>
        </w:rPr>
        <w:lastRenderedPageBreak/>
        <w:t xml:space="preserve">productive sectors. This structural transformation accounts for the majority of Thailand’s TFP growth between 1980 and 2015 </w:t>
      </w:r>
      <w:r w:rsidRPr="00050029">
        <w:rPr>
          <w:rFonts w:asciiTheme="majorHAnsi" w:hAnsiTheme="majorHAnsi" w:cstheme="majorHAnsi"/>
        </w:rPr>
        <w:fldChar w:fldCharType="begin"/>
      </w:r>
      <w:r w:rsidRPr="00050029">
        <w:rPr>
          <w:rFonts w:asciiTheme="majorHAnsi" w:hAnsiTheme="majorHAnsi" w:cstheme="majorHAnsi"/>
        </w:rPr>
        <w:instrText xml:space="preserve"> ADDIN ZOTERO_ITEM CSL_CITATION {"citationID":"PgA4rj4h","properties":{"formattedCitation":"(Warr 2009; Foster-McGregor and Verspagen 2016)","plainCitation":"(Warr 2009; Foster-McGregor and Verspagen 2016)","noteIndex":0},"citationItems":[{"id":682,"uris":["http://zotero.org/groups/4830387/items/KXP6GV2E"],"itemData":{"id":682,"type":"article-journal","container-title":"Asian Economic Papers","issue":"2","page":"51-76","title":"Poverty Reduction through Long-term Growth: The Thai Experience.","volume":"8","author":[{"family":"Warr","given":"Peter"}],"issued":{"date-parts":[["2009"]]}}},{"id":684,"uris":["http://zotero.org/groups/4830387/items/MWTZWYJZ"],"itemData":{"id":684,"type":"article-journal","container-title":"ADB Economics Working Paper Series","title":"The Role of Structural Transformation in the Potential of Asian Economic Growth","volume":"No. 479","author":[{"family":"Foster-McGregor","given":"Neil"},{"family":"Verspagen","given":"Bart"}],"issued":{"date-parts":[["2016"]]}}}],"schema":"https://github.com/citation-style-language/schema/raw/master/csl-citation.json"} </w:instrText>
      </w:r>
      <w:r w:rsidRPr="00050029">
        <w:rPr>
          <w:rFonts w:asciiTheme="majorHAnsi" w:hAnsiTheme="majorHAnsi" w:cstheme="majorHAnsi"/>
        </w:rPr>
        <w:fldChar w:fldCharType="separate"/>
      </w:r>
      <w:r w:rsidRPr="00050029">
        <w:rPr>
          <w:rFonts w:asciiTheme="majorHAnsi" w:hAnsiTheme="majorHAnsi" w:cstheme="majorHAnsi"/>
        </w:rPr>
        <w:t>(Warr 2009; Foster-McGregor and Verspagen 2016)</w:t>
      </w:r>
      <w:r w:rsidRPr="00050029">
        <w:rPr>
          <w:rFonts w:asciiTheme="majorHAnsi" w:hAnsiTheme="majorHAnsi" w:cstheme="majorHAnsi"/>
        </w:rPr>
        <w:fldChar w:fldCharType="end"/>
      </w:r>
      <w:r w:rsidRPr="00050029">
        <w:rPr>
          <w:rFonts w:asciiTheme="majorHAnsi" w:hAnsiTheme="majorHAnsi" w:cstheme="majorHAnsi"/>
        </w:rPr>
        <w:t>.</w:t>
      </w:r>
      <w:r w:rsidRPr="00050029">
        <w:rPr>
          <w:rStyle w:val="FootnoteReference"/>
          <w:rFonts w:asciiTheme="majorHAnsi" w:hAnsiTheme="majorHAnsi" w:cstheme="majorHAnsi"/>
          <w:vertAlign w:val="superscript"/>
        </w:rPr>
        <w:footnoteReference w:id="19"/>
      </w:r>
      <w:r w:rsidRPr="00050029">
        <w:rPr>
          <w:rFonts w:asciiTheme="majorHAnsi" w:hAnsiTheme="majorHAnsi" w:cstheme="majorHAnsi"/>
          <w:vertAlign w:val="superscript"/>
        </w:rPr>
        <w:t xml:space="preserve"> </w:t>
      </w:r>
    </w:p>
    <w:p w14:paraId="2B9C6670" w14:textId="4A7E47EA" w:rsidR="000118B7" w:rsidRDefault="00702FC6" w:rsidP="00050029">
      <w:pPr>
        <w:jc w:val="both"/>
        <w:rPr>
          <w:rFonts w:asciiTheme="majorHAnsi" w:hAnsiTheme="majorHAnsi" w:cstheme="majorHAnsi"/>
        </w:rPr>
      </w:pPr>
      <w:r w:rsidRPr="00665270">
        <w:rPr>
          <w:rFonts w:asciiTheme="majorHAnsi" w:hAnsiTheme="majorHAnsi" w:cstheme="majorHAnsi"/>
          <w:b/>
          <w:bCs/>
        </w:rPr>
        <w:t>T</w:t>
      </w:r>
      <w:r w:rsidR="000118B7" w:rsidRPr="00665270">
        <w:rPr>
          <w:rFonts w:asciiTheme="majorHAnsi" w:hAnsiTheme="majorHAnsi" w:cstheme="majorHAnsi"/>
          <w:b/>
          <w:bCs/>
        </w:rPr>
        <w:t>he share of workers in the agriculture sector in Thailand has been</w:t>
      </w:r>
      <w:r w:rsidRPr="00665270">
        <w:rPr>
          <w:rFonts w:asciiTheme="majorHAnsi" w:hAnsiTheme="majorHAnsi" w:cstheme="majorHAnsi"/>
          <w:b/>
          <w:bCs/>
        </w:rPr>
        <w:t>, however,</w:t>
      </w:r>
      <w:r w:rsidR="000118B7" w:rsidRPr="00665270">
        <w:rPr>
          <w:rFonts w:asciiTheme="majorHAnsi" w:hAnsiTheme="majorHAnsi" w:cstheme="majorHAnsi"/>
          <w:b/>
          <w:bCs/>
        </w:rPr>
        <w:t xml:space="preserve"> roughly stable since 2014 while it continued to fall in Thailand’s peers.</w:t>
      </w:r>
      <w:r w:rsidR="000118B7" w:rsidRPr="00050029">
        <w:rPr>
          <w:rFonts w:asciiTheme="majorHAnsi" w:hAnsiTheme="majorHAnsi" w:cstheme="majorHAnsi"/>
        </w:rPr>
        <w:t xml:space="preserve"> Along with a slowdown in the structural transformation in Thailand, TFP growth has weakened as well and is expected to contribute less to potential growth in 2022-30 (2 percentage points) than in 2011-21 (2.26 percentage points). In a scenario where Thailand further lowers the share of workers in agriculture by 5 percentage points to 26 percent over 10 years, close the current level in Indonesia or Vietnam, potential growth could be boosted by up to 0.5 percentage points per year.</w:t>
      </w:r>
      <w:r w:rsidR="0065192F" w:rsidRPr="0065192F">
        <w:rPr>
          <w:rStyle w:val="FootnoteReference"/>
          <w:rFonts w:asciiTheme="majorHAnsi" w:hAnsiTheme="majorHAnsi" w:cstheme="majorHAnsi"/>
          <w:vertAlign w:val="superscript"/>
        </w:rPr>
        <w:footnoteReference w:id="20"/>
      </w:r>
    </w:p>
    <w:p w14:paraId="6999B180" w14:textId="77777777" w:rsidR="00605C73" w:rsidRPr="00050029" w:rsidRDefault="00605C73" w:rsidP="00050029">
      <w:pPr>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0"/>
      </w:tblGrid>
      <w:tr w:rsidR="007F3610" w:rsidRPr="00D0175B" w14:paraId="565CBA18" w14:textId="77777777" w:rsidTr="006C4828">
        <w:tc>
          <w:tcPr>
            <w:tcW w:w="9350" w:type="dxa"/>
            <w:gridSpan w:val="2"/>
          </w:tcPr>
          <w:p w14:paraId="4A7DC789" w14:textId="591895E7" w:rsidR="007F3610" w:rsidRPr="00665270" w:rsidRDefault="000D7632" w:rsidP="006C4828">
            <w:pPr>
              <w:rPr>
                <w:rFonts w:asciiTheme="majorHAnsi" w:hAnsiTheme="majorHAnsi" w:cstheme="majorHAnsi"/>
                <w:b/>
                <w:bCs/>
              </w:rPr>
            </w:pPr>
            <w:r w:rsidRPr="00665270">
              <w:rPr>
                <w:rFonts w:asciiTheme="majorHAnsi" w:hAnsiTheme="majorHAnsi" w:cstheme="majorHAnsi"/>
                <w:b/>
                <w:bCs/>
              </w:rPr>
              <w:t>Figure A.</w:t>
            </w:r>
            <w:r w:rsidR="00605C73">
              <w:rPr>
                <w:rFonts w:asciiTheme="majorHAnsi" w:hAnsiTheme="majorHAnsi" w:cstheme="majorHAnsi"/>
                <w:b/>
                <w:bCs/>
              </w:rPr>
              <w:t>5</w:t>
            </w:r>
            <w:r w:rsidRPr="00665270">
              <w:rPr>
                <w:rFonts w:asciiTheme="majorHAnsi" w:hAnsiTheme="majorHAnsi" w:cstheme="majorHAnsi"/>
                <w:b/>
                <w:bCs/>
              </w:rPr>
              <w:t>.</w:t>
            </w:r>
            <w:r w:rsidRPr="00665270">
              <w:rPr>
                <w:rFonts w:asciiTheme="majorHAnsi" w:hAnsiTheme="majorHAnsi" w:cstheme="majorHAnsi"/>
                <w:b/>
                <w:bCs/>
              </w:rPr>
              <w:fldChar w:fldCharType="begin"/>
            </w:r>
            <w:r w:rsidRPr="00665270">
              <w:rPr>
                <w:rFonts w:asciiTheme="majorHAnsi" w:hAnsiTheme="majorHAnsi" w:cstheme="majorHAnsi"/>
                <w:b/>
                <w:bCs/>
              </w:rPr>
              <w:instrText xml:space="preserve"> SEQ Figure_A.6. \* ARABIC </w:instrText>
            </w:r>
            <w:r w:rsidRPr="00665270">
              <w:rPr>
                <w:rFonts w:asciiTheme="majorHAnsi" w:hAnsiTheme="majorHAnsi" w:cstheme="majorHAnsi"/>
                <w:b/>
                <w:bCs/>
              </w:rPr>
              <w:fldChar w:fldCharType="separate"/>
            </w:r>
            <w:r w:rsidRPr="00665270">
              <w:rPr>
                <w:rFonts w:asciiTheme="majorHAnsi" w:hAnsiTheme="majorHAnsi" w:cstheme="majorHAnsi"/>
                <w:b/>
                <w:bCs/>
                <w:noProof/>
              </w:rPr>
              <w:t xml:space="preserve">2 </w:t>
            </w:r>
            <w:r w:rsidRPr="00665270">
              <w:rPr>
                <w:rFonts w:asciiTheme="majorHAnsi" w:hAnsiTheme="majorHAnsi" w:cstheme="majorHAnsi"/>
                <w:b/>
                <w:bCs/>
              </w:rPr>
              <w:fldChar w:fldCharType="end"/>
            </w:r>
            <w:r w:rsidRPr="00665270">
              <w:rPr>
                <w:rFonts w:asciiTheme="majorHAnsi" w:hAnsiTheme="majorHAnsi" w:cstheme="majorHAnsi"/>
                <w:b/>
                <w:bCs/>
              </w:rPr>
              <w:t xml:space="preserve"> </w:t>
            </w:r>
            <w:r w:rsidR="0076662E" w:rsidRPr="00665270">
              <w:rPr>
                <w:rFonts w:asciiTheme="majorHAnsi" w:hAnsiTheme="majorHAnsi" w:cstheme="majorHAnsi"/>
                <w:b/>
                <w:bCs/>
              </w:rPr>
              <w:t>Employment by sector</w:t>
            </w:r>
          </w:p>
        </w:tc>
      </w:tr>
      <w:tr w:rsidR="007F3610" w:rsidRPr="00D0175B" w14:paraId="6DEDB3AD" w14:textId="77777777" w:rsidTr="006C4828">
        <w:tc>
          <w:tcPr>
            <w:tcW w:w="9350" w:type="dxa"/>
            <w:gridSpan w:val="2"/>
          </w:tcPr>
          <w:p w14:paraId="5BF6AFB4" w14:textId="77777777" w:rsidR="007F3610" w:rsidRDefault="007F3610" w:rsidP="003C2187">
            <w:pPr>
              <w:pStyle w:val="figuredescription"/>
            </w:pPr>
            <w:r w:rsidRPr="00665270">
              <w:t xml:space="preserve">A significant portion of </w:t>
            </w:r>
            <w:r w:rsidR="00D0175B">
              <w:t xml:space="preserve">the </w:t>
            </w:r>
            <w:r w:rsidRPr="00665270">
              <w:t>Thailand workforce is employed in the agriculture sector which has lower productivity compared to other sectors. This share is also the highest among Thailand’s peers.</w:t>
            </w:r>
          </w:p>
          <w:p w14:paraId="3E5C1711" w14:textId="3058DBD8" w:rsidR="00605C73" w:rsidRPr="00665270" w:rsidRDefault="00605C73" w:rsidP="003C2187">
            <w:pPr>
              <w:pStyle w:val="figuredescription"/>
            </w:pPr>
          </w:p>
        </w:tc>
      </w:tr>
      <w:tr w:rsidR="007F3610" w:rsidRPr="00605C73" w14:paraId="35D95C96" w14:textId="77777777" w:rsidTr="006C4828">
        <w:tc>
          <w:tcPr>
            <w:tcW w:w="4820" w:type="dxa"/>
          </w:tcPr>
          <w:p w14:paraId="5312DF25" w14:textId="77777777" w:rsidR="007F3610" w:rsidRPr="00863D57" w:rsidRDefault="007F3610" w:rsidP="006C4828">
            <w:pPr>
              <w:rPr>
                <w:rFonts w:asciiTheme="majorHAnsi" w:hAnsiTheme="majorHAnsi" w:cstheme="majorHAnsi"/>
                <w:bCs/>
                <w:sz w:val="18"/>
              </w:rPr>
            </w:pPr>
            <w:r w:rsidRPr="00863D57">
              <w:rPr>
                <w:rFonts w:asciiTheme="majorHAnsi" w:hAnsiTheme="majorHAnsi" w:cstheme="majorHAnsi"/>
                <w:bCs/>
                <w:sz w:val="18"/>
              </w:rPr>
              <w:t xml:space="preserve">A. Share of employment by sector in Thailand </w:t>
            </w:r>
          </w:p>
        </w:tc>
        <w:tc>
          <w:tcPr>
            <w:tcW w:w="4530" w:type="dxa"/>
          </w:tcPr>
          <w:p w14:paraId="16076C7B" w14:textId="77777777" w:rsidR="007F3610" w:rsidRPr="00863D57" w:rsidRDefault="007F3610" w:rsidP="006C4828">
            <w:pPr>
              <w:rPr>
                <w:rFonts w:asciiTheme="majorHAnsi" w:hAnsiTheme="majorHAnsi" w:cstheme="majorHAnsi"/>
                <w:bCs/>
                <w:sz w:val="18"/>
              </w:rPr>
            </w:pPr>
            <w:r w:rsidRPr="00863D57">
              <w:rPr>
                <w:rFonts w:asciiTheme="majorHAnsi" w:hAnsiTheme="majorHAnsi" w:cstheme="majorHAnsi"/>
                <w:bCs/>
                <w:sz w:val="18"/>
              </w:rPr>
              <w:t>B. Share of workers by sector in Thailand and regional peers</w:t>
            </w:r>
          </w:p>
        </w:tc>
      </w:tr>
      <w:tr w:rsidR="007F3610" w:rsidRPr="00D0175B" w14:paraId="77848624" w14:textId="77777777" w:rsidTr="006C4828">
        <w:tc>
          <w:tcPr>
            <w:tcW w:w="4820" w:type="dxa"/>
          </w:tcPr>
          <w:p w14:paraId="6EC1BF48" w14:textId="77777777" w:rsidR="007F3610" w:rsidRPr="00665270" w:rsidRDefault="007F3610" w:rsidP="006C4828">
            <w:pPr>
              <w:rPr>
                <w:rFonts w:asciiTheme="majorHAnsi" w:hAnsiTheme="majorHAnsi" w:cstheme="majorHAnsi"/>
              </w:rPr>
            </w:pPr>
            <w:r w:rsidRPr="00665270">
              <w:rPr>
                <w:rFonts w:asciiTheme="majorHAnsi" w:hAnsiTheme="majorHAnsi" w:cstheme="majorHAnsi"/>
                <w:noProof/>
                <w:lang w:val="en-GB" w:eastAsia="en-GB"/>
              </w:rPr>
              <w:drawing>
                <wp:inline distT="0" distB="0" distL="0" distR="0" wp14:anchorId="70E68F72" wp14:editId="581A0D69">
                  <wp:extent cx="2356902" cy="1828800"/>
                  <wp:effectExtent l="0" t="0" r="5715" b="0"/>
                  <wp:docPr id="194727709" name="Graphic 19472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noChangeArrowheads="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bwMode="auto">
                          <a:xfrm>
                            <a:off x="0" y="0"/>
                            <a:ext cx="2356902" cy="1828800"/>
                          </a:xfrm>
                          <a:prstGeom prst="rect">
                            <a:avLst/>
                          </a:prstGeom>
                        </pic:spPr>
                      </pic:pic>
                    </a:graphicData>
                  </a:graphic>
                </wp:inline>
              </w:drawing>
            </w:r>
          </w:p>
        </w:tc>
        <w:tc>
          <w:tcPr>
            <w:tcW w:w="4530" w:type="dxa"/>
          </w:tcPr>
          <w:p w14:paraId="19D4105D" w14:textId="77777777" w:rsidR="007F3610" w:rsidRPr="00665270" w:rsidRDefault="007F3610" w:rsidP="006C4828">
            <w:pPr>
              <w:rPr>
                <w:rFonts w:asciiTheme="majorHAnsi" w:hAnsiTheme="majorHAnsi" w:cstheme="majorHAnsi"/>
              </w:rPr>
            </w:pPr>
            <w:r w:rsidRPr="00665270">
              <w:rPr>
                <w:rFonts w:asciiTheme="majorHAnsi" w:hAnsiTheme="majorHAnsi" w:cstheme="majorHAnsi"/>
                <w:noProof/>
                <w:lang w:val="en-GB" w:eastAsia="en-GB"/>
              </w:rPr>
              <w:drawing>
                <wp:inline distT="0" distB="0" distL="0" distR="0" wp14:anchorId="7A815EDD" wp14:editId="50214FCD">
                  <wp:extent cx="2438835" cy="1827856"/>
                  <wp:effectExtent l="0" t="0" r="0" b="1270"/>
                  <wp:docPr id="194727710" name="Graphic 1947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noChangeArrowheads="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bwMode="auto">
                          <a:xfrm>
                            <a:off x="0" y="0"/>
                            <a:ext cx="2438835" cy="1827856"/>
                          </a:xfrm>
                          <a:prstGeom prst="rect">
                            <a:avLst/>
                          </a:prstGeom>
                        </pic:spPr>
                      </pic:pic>
                    </a:graphicData>
                  </a:graphic>
                </wp:inline>
              </w:drawing>
            </w:r>
          </w:p>
        </w:tc>
      </w:tr>
      <w:tr w:rsidR="007F3610" w:rsidRPr="00D0175B" w14:paraId="6D6C5ADC" w14:textId="77777777" w:rsidTr="006C4828">
        <w:tc>
          <w:tcPr>
            <w:tcW w:w="9350" w:type="dxa"/>
            <w:gridSpan w:val="2"/>
          </w:tcPr>
          <w:p w14:paraId="321B026C" w14:textId="77777777" w:rsidR="007F3610" w:rsidRPr="00665270" w:rsidRDefault="007F3610" w:rsidP="004C681A">
            <w:pPr>
              <w:pStyle w:val="Source"/>
              <w:spacing w:before="40" w:after="40"/>
            </w:pPr>
            <w:r w:rsidRPr="004C681A">
              <w:rPr>
                <w:b/>
                <w:bCs/>
                <w:i/>
                <w:iCs/>
              </w:rPr>
              <w:t>Sources:</w:t>
            </w:r>
            <w:r w:rsidRPr="004C681A">
              <w:rPr>
                <w:b/>
                <w:bCs/>
              </w:rPr>
              <w:t xml:space="preserve"> </w:t>
            </w:r>
            <w:r w:rsidRPr="00665270">
              <w:t xml:space="preserve">ILOSTAT (database); World Development Indicators (database). </w:t>
            </w:r>
          </w:p>
          <w:p w14:paraId="5138C013" w14:textId="77777777" w:rsidR="007F3610" w:rsidRPr="00665270" w:rsidRDefault="007F3610" w:rsidP="003C2187">
            <w:pPr>
              <w:pStyle w:val="Source"/>
            </w:pPr>
            <w:r w:rsidRPr="004C681A">
              <w:rPr>
                <w:b/>
                <w:bCs/>
                <w:i/>
                <w:iCs/>
              </w:rPr>
              <w:t>Note:</w:t>
            </w:r>
            <w:r w:rsidRPr="00665270">
              <w:t xml:space="preserve"> THA = Thailand; MYS=Malaysia; IDN=Indonesia; KOR=Republic of Korea; PHL=Philippines.</w:t>
            </w:r>
          </w:p>
          <w:p w14:paraId="092D86C0" w14:textId="77777777" w:rsidR="007F3610" w:rsidRPr="00665270" w:rsidRDefault="007F3610" w:rsidP="003C2187">
            <w:pPr>
              <w:pStyle w:val="Source"/>
            </w:pPr>
            <w:r w:rsidRPr="00665270">
              <w:t>A. Bars show the share of employment per activity sector in Thailand.</w:t>
            </w:r>
          </w:p>
          <w:p w14:paraId="3297322B" w14:textId="77777777" w:rsidR="007F3610" w:rsidRPr="00665270" w:rsidRDefault="007F3610" w:rsidP="003C2187">
            <w:pPr>
              <w:pStyle w:val="Source"/>
            </w:pPr>
            <w:r w:rsidRPr="00665270">
              <w:t>B. Bars show the share of employment per activity sector per country, in 2021.</w:t>
            </w:r>
          </w:p>
        </w:tc>
      </w:tr>
    </w:tbl>
    <w:p w14:paraId="2A129B40" w14:textId="4C1597B8" w:rsidR="000118B7" w:rsidRDefault="000118B7" w:rsidP="000118B7">
      <w:pPr>
        <w:rPr>
          <w:rFonts w:asciiTheme="majorHAnsi" w:hAnsiTheme="majorHAnsi" w:cstheme="majorHAnsi"/>
        </w:rPr>
      </w:pPr>
    </w:p>
    <w:p w14:paraId="736A467B" w14:textId="09CD130F" w:rsidR="00605C73" w:rsidRDefault="00605C73" w:rsidP="000118B7">
      <w:pPr>
        <w:rPr>
          <w:rFonts w:asciiTheme="majorHAnsi" w:hAnsiTheme="majorHAnsi" w:cstheme="majorHAnsi"/>
        </w:rPr>
      </w:pPr>
    </w:p>
    <w:p w14:paraId="1B60DBE0" w14:textId="2F7E39D8" w:rsidR="00605C73" w:rsidRDefault="00605C73" w:rsidP="000118B7">
      <w:pPr>
        <w:rPr>
          <w:rFonts w:asciiTheme="majorHAnsi" w:hAnsiTheme="majorHAnsi" w:cstheme="majorHAnsi"/>
        </w:rPr>
      </w:pPr>
    </w:p>
    <w:p w14:paraId="187DDDCD" w14:textId="5CD7053A" w:rsidR="00605C73" w:rsidRDefault="00605C73" w:rsidP="000118B7">
      <w:pPr>
        <w:rPr>
          <w:rFonts w:asciiTheme="majorHAnsi" w:hAnsiTheme="majorHAnsi" w:cstheme="majorHAnsi"/>
        </w:rPr>
      </w:pPr>
    </w:p>
    <w:p w14:paraId="3FF06128" w14:textId="2F4DE65B" w:rsidR="00605C73" w:rsidRDefault="00605C73" w:rsidP="000118B7">
      <w:pPr>
        <w:rPr>
          <w:rFonts w:asciiTheme="majorHAnsi" w:hAnsiTheme="majorHAnsi" w:cstheme="majorHAnsi"/>
        </w:rPr>
      </w:pPr>
    </w:p>
    <w:p w14:paraId="5A8B07D3" w14:textId="0812DBE6" w:rsidR="00605C73" w:rsidRDefault="00605C73" w:rsidP="000118B7">
      <w:pPr>
        <w:rPr>
          <w:rFonts w:asciiTheme="majorHAnsi" w:hAnsiTheme="majorHAnsi" w:cstheme="majorHAnsi"/>
        </w:rPr>
      </w:pPr>
    </w:p>
    <w:p w14:paraId="568AB6A8" w14:textId="77777777" w:rsidR="00605C73" w:rsidRPr="00050029" w:rsidRDefault="00605C73" w:rsidP="000118B7">
      <w:pP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20D4D" w14:paraId="08F453F3" w14:textId="77777777" w:rsidTr="00863D57">
        <w:tc>
          <w:tcPr>
            <w:tcW w:w="9350" w:type="dxa"/>
          </w:tcPr>
          <w:p w14:paraId="579833A7" w14:textId="1F3BAD97" w:rsidR="00E20D4D" w:rsidRDefault="00E20D4D" w:rsidP="00E042F7">
            <w:pPr>
              <w:rPr>
                <w:rFonts w:asciiTheme="majorHAnsi" w:hAnsiTheme="majorHAnsi" w:cstheme="majorHAnsi"/>
                <w:b/>
                <w:bCs/>
              </w:rPr>
            </w:pPr>
            <w:r w:rsidRPr="00863D57">
              <w:rPr>
                <w:rFonts w:asciiTheme="majorHAnsi" w:hAnsiTheme="majorHAnsi" w:cstheme="majorHAnsi"/>
                <w:b/>
                <w:bCs/>
              </w:rPr>
              <w:t>Figure A.</w:t>
            </w:r>
            <w:r w:rsidR="00605C73">
              <w:rPr>
                <w:rFonts w:asciiTheme="majorHAnsi" w:hAnsiTheme="majorHAnsi" w:cstheme="majorHAnsi"/>
                <w:b/>
                <w:bCs/>
              </w:rPr>
              <w:t>5</w:t>
            </w:r>
            <w:r w:rsidRPr="00863D57">
              <w:rPr>
                <w:rFonts w:asciiTheme="majorHAnsi" w:hAnsiTheme="majorHAnsi" w:cstheme="majorHAnsi"/>
                <w:b/>
                <w:bCs/>
              </w:rPr>
              <w:t>.</w:t>
            </w:r>
            <w:r w:rsidRPr="00863D57">
              <w:rPr>
                <w:rFonts w:asciiTheme="majorHAnsi" w:hAnsiTheme="majorHAnsi" w:cstheme="majorHAnsi"/>
                <w:b/>
                <w:bCs/>
              </w:rPr>
              <w:fldChar w:fldCharType="begin"/>
            </w:r>
            <w:r w:rsidRPr="00863D57">
              <w:rPr>
                <w:rFonts w:asciiTheme="majorHAnsi" w:hAnsiTheme="majorHAnsi" w:cstheme="majorHAnsi"/>
                <w:b/>
                <w:bCs/>
              </w:rPr>
              <w:instrText xml:space="preserve"> SEQ Figure_A.6. \* ARABIC </w:instrText>
            </w:r>
            <w:r w:rsidRPr="00863D57">
              <w:rPr>
                <w:rFonts w:asciiTheme="majorHAnsi" w:hAnsiTheme="majorHAnsi" w:cstheme="majorHAnsi"/>
                <w:b/>
                <w:bCs/>
              </w:rPr>
              <w:fldChar w:fldCharType="separate"/>
            </w:r>
            <w:r w:rsidRPr="00863D57">
              <w:rPr>
                <w:rFonts w:asciiTheme="majorHAnsi" w:hAnsiTheme="majorHAnsi" w:cstheme="majorHAnsi"/>
                <w:b/>
                <w:bCs/>
              </w:rPr>
              <w:t xml:space="preserve">3 </w:t>
            </w:r>
            <w:r w:rsidRPr="00863D57">
              <w:rPr>
                <w:rFonts w:asciiTheme="majorHAnsi" w:hAnsiTheme="majorHAnsi" w:cstheme="majorHAnsi"/>
                <w:b/>
                <w:bCs/>
              </w:rPr>
              <w:fldChar w:fldCharType="end"/>
            </w:r>
            <w:r w:rsidRPr="00863D57">
              <w:rPr>
                <w:rFonts w:asciiTheme="majorHAnsi" w:hAnsiTheme="majorHAnsi" w:cstheme="majorHAnsi"/>
                <w:b/>
                <w:bCs/>
              </w:rPr>
              <w:t xml:space="preserve"> Potential growth: structural transformation scenario </w:t>
            </w:r>
          </w:p>
          <w:p w14:paraId="3E882B5D" w14:textId="706B1882" w:rsidR="00605C73" w:rsidRPr="00863D57" w:rsidRDefault="00605C73" w:rsidP="00E042F7">
            <w:pPr>
              <w:rPr>
                <w:rFonts w:asciiTheme="majorHAnsi" w:hAnsiTheme="majorHAnsi" w:cstheme="majorHAnsi"/>
                <w:b/>
                <w:bCs/>
              </w:rPr>
            </w:pPr>
          </w:p>
        </w:tc>
      </w:tr>
      <w:tr w:rsidR="00E20D4D" w14:paraId="1A6EA8AE" w14:textId="77777777" w:rsidTr="00863D57">
        <w:tc>
          <w:tcPr>
            <w:tcW w:w="9350" w:type="dxa"/>
          </w:tcPr>
          <w:p w14:paraId="2045377E" w14:textId="77777777" w:rsidR="00E20D4D" w:rsidRPr="00D23B73" w:rsidRDefault="00E20D4D" w:rsidP="00E042F7">
            <w:pPr>
              <w:rPr>
                <w:rFonts w:asciiTheme="majorHAnsi" w:hAnsiTheme="majorHAnsi" w:cstheme="majorHAnsi"/>
                <w:b/>
                <w:bCs/>
                <w:highlight w:val="red"/>
              </w:rPr>
            </w:pPr>
            <w:r w:rsidRPr="00863D57">
              <w:rPr>
                <w:rFonts w:asciiTheme="majorHAnsi" w:hAnsiTheme="majorHAnsi" w:cstheme="majorHAnsi"/>
                <w:b/>
                <w:bCs/>
                <w:noProof/>
                <w:lang w:val="en-GB" w:eastAsia="en-GB"/>
              </w:rPr>
              <w:drawing>
                <wp:inline distT="0" distB="0" distL="0" distR="0" wp14:anchorId="4974153D" wp14:editId="389C9CFB">
                  <wp:extent cx="4418978" cy="2529783"/>
                  <wp:effectExtent l="0" t="0" r="63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28832" cy="2535424"/>
                          </a:xfrm>
                          <a:prstGeom prst="rect">
                            <a:avLst/>
                          </a:prstGeom>
                          <a:noFill/>
                          <a:ln>
                            <a:noFill/>
                          </a:ln>
                        </pic:spPr>
                      </pic:pic>
                    </a:graphicData>
                  </a:graphic>
                </wp:inline>
              </w:drawing>
            </w:r>
          </w:p>
        </w:tc>
      </w:tr>
      <w:tr w:rsidR="00E20D4D" w14:paraId="52F62EF3" w14:textId="77777777" w:rsidTr="00863D57">
        <w:tc>
          <w:tcPr>
            <w:tcW w:w="9350" w:type="dxa"/>
          </w:tcPr>
          <w:p w14:paraId="2249CEC4" w14:textId="77777777" w:rsidR="00E20D4D" w:rsidRPr="00730D6B" w:rsidRDefault="00E20D4D" w:rsidP="00E042F7">
            <w:pPr>
              <w:pStyle w:val="Source"/>
              <w:spacing w:before="40" w:after="40"/>
            </w:pPr>
            <w:r w:rsidRPr="004C681A">
              <w:rPr>
                <w:b/>
                <w:bCs/>
                <w:i/>
                <w:iCs/>
              </w:rPr>
              <w:t>Source:</w:t>
            </w:r>
            <w:r w:rsidRPr="00730D6B">
              <w:t xml:space="preserve"> Kose and Ohnsorge (2023); World Bank</w:t>
            </w:r>
          </w:p>
          <w:p w14:paraId="048DE77C" w14:textId="77777777" w:rsidR="00E20D4D" w:rsidRDefault="00E20D4D" w:rsidP="00E042F7">
            <w:pPr>
              <w:pStyle w:val="Source"/>
            </w:pPr>
            <w:r w:rsidRPr="004C681A">
              <w:rPr>
                <w:b/>
                <w:bCs/>
                <w:i/>
                <w:iCs/>
              </w:rPr>
              <w:t>Note:</w:t>
            </w:r>
            <w:r w:rsidRPr="004C681A">
              <w:rPr>
                <w:b/>
                <w:bCs/>
              </w:rPr>
              <w:t xml:space="preserve"> </w:t>
            </w:r>
            <w:r w:rsidRPr="00730D6B">
              <w:t>EMDE = emerging market and developing economies. ASEAN5 includes Thailand (THA), Indonesia (IDN), Malaysia (MYS), and the Philippines (PHL). The scenarios assume that starting in 2020, countries will repeat their best 10-year performance in social and labor market policies, education and health improvements, and investment growth, see Kose and Ohnsorge (2023). For Thailand, the structural transformation scenario assumes that the share of employment in agriculture will fall by five percentage points over 10 years starting in 2022 and be equally redistributed to the more productive manufacturing and services sector.</w:t>
            </w:r>
          </w:p>
        </w:tc>
      </w:tr>
    </w:tbl>
    <w:p w14:paraId="59715D54" w14:textId="0FF2FBD3" w:rsidR="000118B7" w:rsidRDefault="000118B7" w:rsidP="000118B7"/>
    <w:p w14:paraId="580CBFC7" w14:textId="77777777" w:rsidR="00E0267D" w:rsidRPr="00E0267D" w:rsidRDefault="00E0267D" w:rsidP="00050029"/>
    <w:p w14:paraId="6A0AB996" w14:textId="77777777" w:rsidR="005966DC" w:rsidRDefault="005966DC" w:rsidP="000A35E1">
      <w:pPr>
        <w:pStyle w:val="Nomal-numbered"/>
      </w:pPr>
    </w:p>
    <w:bookmarkEnd w:id="442"/>
    <w:bookmarkEnd w:id="443"/>
    <w:p w14:paraId="0CA4C05F" w14:textId="06617AEB" w:rsidR="00B40F3A" w:rsidRDefault="00B40F3A">
      <w:pPr>
        <w:rPr>
          <w:rFonts w:asciiTheme="majorHAnsi" w:eastAsia="Times New Roman" w:hAnsiTheme="majorHAnsi" w:cstheme="majorBidi"/>
          <w:color w:val="000000"/>
        </w:rPr>
      </w:pPr>
      <w:r>
        <w:rPr>
          <w:rFonts w:asciiTheme="majorHAnsi" w:eastAsia="Times New Roman" w:hAnsiTheme="majorHAnsi" w:cstheme="majorBidi"/>
        </w:rPr>
        <w:br w:type="page"/>
      </w:r>
    </w:p>
    <w:p w14:paraId="2EB38EEA" w14:textId="25C17F0E" w:rsidR="00B40F3A" w:rsidRPr="00957ADB" w:rsidRDefault="00B40F3A" w:rsidP="00863D57">
      <w:pPr>
        <w:pStyle w:val="Heading1"/>
      </w:pPr>
      <w:bookmarkStart w:id="444" w:name="_Annex_7:_Knowledge"/>
      <w:bookmarkStart w:id="445" w:name="_Toc159763570"/>
      <w:bookmarkEnd w:id="444"/>
      <w:r w:rsidRPr="00785558">
        <w:lastRenderedPageBreak/>
        <w:t xml:space="preserve">Annex </w:t>
      </w:r>
      <w:r w:rsidR="004D526B">
        <w:t>6</w:t>
      </w:r>
      <w:r w:rsidRPr="00785558">
        <w:t xml:space="preserve">: </w:t>
      </w:r>
      <w:r>
        <w:t>Knowledge economy ecosystem</w:t>
      </w:r>
      <w:bookmarkEnd w:id="445"/>
    </w:p>
    <w:p w14:paraId="689B51F3" w14:textId="77777777" w:rsidR="005E0298" w:rsidRDefault="005E0298" w:rsidP="00863D57">
      <w:pPr>
        <w:pStyle w:val="Default"/>
        <w:autoSpaceDE/>
        <w:adjustRightInd/>
        <w:jc w:val="both"/>
        <w:rPr>
          <w:rFonts w:asciiTheme="majorHAnsi" w:hAnsiTheme="majorHAnsi" w:cstheme="majorHAnsi"/>
          <w:b/>
          <w:bCs/>
          <w:sz w:val="22"/>
          <w:szCs w:val="22"/>
        </w:rPr>
      </w:pPr>
    </w:p>
    <w:p w14:paraId="397E6A38" w14:textId="491C9560" w:rsidR="00B40F3A" w:rsidRDefault="00B40F3A" w:rsidP="00B40F3A">
      <w:pPr>
        <w:pStyle w:val="Default"/>
        <w:autoSpaceDE/>
        <w:adjustRightInd/>
        <w:spacing w:after="160" w:line="276" w:lineRule="auto"/>
        <w:jc w:val="both"/>
        <w:rPr>
          <w:rFonts w:asciiTheme="majorHAnsi" w:hAnsiTheme="majorHAnsi" w:cstheme="majorHAnsi"/>
          <w:sz w:val="22"/>
          <w:szCs w:val="22"/>
        </w:rPr>
      </w:pPr>
      <w:r>
        <w:rPr>
          <w:rFonts w:asciiTheme="majorHAnsi" w:hAnsiTheme="majorHAnsi" w:cstheme="majorHAnsi"/>
          <w:b/>
          <w:bCs/>
          <w:sz w:val="22"/>
          <w:szCs w:val="22"/>
        </w:rPr>
        <w:t>The importance of education and skills in economic development can be better analyzed within the broader context of the knowledge economy ecosystem.</w:t>
      </w:r>
      <w:r>
        <w:rPr>
          <w:rFonts w:asciiTheme="majorHAnsi" w:hAnsiTheme="majorHAnsi" w:cstheme="majorHAnsi"/>
          <w:sz w:val="22"/>
          <w:szCs w:val="22"/>
        </w:rPr>
        <w:t xml:space="preserve"> While education plays a crucial role in equipping individuals with the necessary knowledge and skills to participate in the economy, it is through the interaction of education with other elements of the innovation ecosystem that its full impact on economic development is realized.</w:t>
      </w:r>
    </w:p>
    <w:p w14:paraId="41BDBD8F" w14:textId="0B34073E" w:rsidR="00B40F3A" w:rsidRPr="00195B1E" w:rsidRDefault="00B40F3A" w:rsidP="00B40F3A">
      <w:pPr>
        <w:pStyle w:val="Default"/>
        <w:autoSpaceDE/>
        <w:adjustRightInd/>
        <w:spacing w:after="160" w:line="276" w:lineRule="auto"/>
        <w:jc w:val="both"/>
        <w:rPr>
          <w:rFonts w:asciiTheme="majorHAnsi" w:hAnsiTheme="majorHAnsi" w:cstheme="majorHAnsi"/>
          <w:sz w:val="22"/>
          <w:szCs w:val="22"/>
        </w:rPr>
      </w:pPr>
      <w:r w:rsidRPr="00CE5EB3">
        <w:rPr>
          <w:rFonts w:asciiTheme="majorHAnsi" w:hAnsiTheme="majorHAnsi" w:cstheme="majorHAnsi"/>
          <w:b/>
          <w:bCs/>
          <w:sz w:val="22"/>
          <w:szCs w:val="22"/>
        </w:rPr>
        <w:t xml:space="preserve">This section builds on the concept of the Knowledge Economy proposed by Chen and </w:t>
      </w:r>
      <w:proofErr w:type="spellStart"/>
      <w:r w:rsidRPr="00CE5EB3">
        <w:rPr>
          <w:rFonts w:asciiTheme="majorHAnsi" w:hAnsiTheme="majorHAnsi" w:cstheme="majorHAnsi"/>
          <w:b/>
          <w:bCs/>
          <w:sz w:val="22"/>
          <w:szCs w:val="22"/>
        </w:rPr>
        <w:t>Dahlman</w:t>
      </w:r>
      <w:proofErr w:type="spellEnd"/>
      <w:r w:rsidRPr="00CE5EB3">
        <w:rPr>
          <w:rFonts w:asciiTheme="majorHAnsi" w:hAnsiTheme="majorHAnsi" w:cstheme="majorHAnsi"/>
          <w:b/>
          <w:bCs/>
          <w:sz w:val="22"/>
          <w:szCs w:val="22"/>
        </w:rPr>
        <w:t xml:space="preserve"> (2006).</w:t>
      </w:r>
      <w:r w:rsidRPr="00CE5EB3">
        <w:rPr>
          <w:rFonts w:asciiTheme="majorHAnsi" w:hAnsiTheme="majorHAnsi" w:cstheme="majorHAnsi"/>
          <w:sz w:val="22"/>
          <w:szCs w:val="22"/>
        </w:rPr>
        <w:t xml:space="preserve"> The framework is based on the idea that the use and creation of knowledge is important for sustainable long-term economic growth and that growth due to rapid factor accumulation is subject to diminishing returns, and hence is not sustainable. Successful transition to the Knowledge Economy involves “sustained investments in education, innovation, information and communication technologies (ICT), and a conducive economic and institutional environment.” </w:t>
      </w:r>
      <w:r w:rsidRPr="00195B1E">
        <w:rPr>
          <w:rFonts w:asciiTheme="majorHAnsi" w:hAnsiTheme="majorHAnsi" w:cstheme="majorHAnsi"/>
          <w:sz w:val="22"/>
          <w:szCs w:val="22"/>
        </w:rPr>
        <w:t>To provide an overview of the performance of</w:t>
      </w:r>
      <w:r w:rsidRPr="00CE5EB3">
        <w:rPr>
          <w:rFonts w:asciiTheme="majorHAnsi" w:hAnsiTheme="majorHAnsi" w:cstheme="majorHAnsi"/>
          <w:sz w:val="22"/>
          <w:szCs w:val="22"/>
        </w:rPr>
        <w:t xml:space="preserve"> the</w:t>
      </w:r>
      <w:r w:rsidRPr="00195B1E">
        <w:rPr>
          <w:rFonts w:asciiTheme="majorHAnsi" w:hAnsiTheme="majorHAnsi" w:cstheme="majorHAnsi"/>
          <w:sz w:val="22"/>
          <w:szCs w:val="22"/>
        </w:rPr>
        <w:t xml:space="preserve"> knowledge economy ecosystem, 16 standard variables were selected, which can be grouped under the 5 pillars as shown in Table </w:t>
      </w:r>
      <w:r w:rsidR="00471E35">
        <w:rPr>
          <w:rFonts w:asciiTheme="majorHAnsi" w:hAnsiTheme="majorHAnsi" w:cstheme="majorHAnsi"/>
          <w:sz w:val="22"/>
          <w:szCs w:val="22"/>
        </w:rPr>
        <w:t>A.</w:t>
      </w:r>
      <w:r w:rsidR="00605C73">
        <w:rPr>
          <w:rFonts w:asciiTheme="majorHAnsi" w:hAnsiTheme="majorHAnsi" w:cstheme="majorHAnsi"/>
          <w:sz w:val="22"/>
          <w:szCs w:val="22"/>
        </w:rPr>
        <w:t>6</w:t>
      </w:r>
      <w:r w:rsidR="00471E35">
        <w:rPr>
          <w:rFonts w:asciiTheme="majorHAnsi" w:hAnsiTheme="majorHAnsi" w:cstheme="majorHAnsi"/>
          <w:sz w:val="22"/>
          <w:szCs w:val="22"/>
        </w:rPr>
        <w:t>.</w:t>
      </w:r>
      <w:r w:rsidRPr="00195B1E">
        <w:rPr>
          <w:rFonts w:asciiTheme="majorHAnsi" w:hAnsiTheme="majorHAnsi" w:cstheme="majorHAnsi"/>
          <w:sz w:val="22"/>
          <w:szCs w:val="22"/>
        </w:rPr>
        <w:t>1.</w:t>
      </w:r>
      <w:r w:rsidRPr="00CE5EB3">
        <w:rPr>
          <w:rFonts w:asciiTheme="majorHAnsi" w:hAnsiTheme="majorHAnsi" w:cstheme="majorHAnsi"/>
          <w:sz w:val="22"/>
          <w:szCs w:val="22"/>
        </w:rPr>
        <w:t xml:space="preserve"> </w:t>
      </w:r>
      <w:r w:rsidRPr="00195B1E">
        <w:rPr>
          <w:rFonts w:asciiTheme="majorHAnsi" w:hAnsiTheme="majorHAnsi" w:cstheme="majorHAnsi"/>
          <w:sz w:val="22"/>
          <w:szCs w:val="22"/>
        </w:rPr>
        <w:t xml:space="preserve">Pillars 2-4 are used to construct a single </w:t>
      </w:r>
      <w:r w:rsidRPr="00CE5EB3">
        <w:rPr>
          <w:rFonts w:asciiTheme="majorHAnsi" w:hAnsiTheme="majorHAnsi" w:cstheme="majorHAnsi"/>
          <w:sz w:val="22"/>
          <w:szCs w:val="22"/>
        </w:rPr>
        <w:t>‘</w:t>
      </w:r>
      <w:r w:rsidRPr="00195B1E">
        <w:rPr>
          <w:rFonts w:asciiTheme="majorHAnsi" w:hAnsiTheme="majorHAnsi" w:cstheme="majorHAnsi"/>
          <w:sz w:val="22"/>
          <w:szCs w:val="22"/>
        </w:rPr>
        <w:t>Knowledge Economy Infrastructure Index (KEI)</w:t>
      </w:r>
      <w:r w:rsidRPr="00CE5EB3">
        <w:rPr>
          <w:rFonts w:asciiTheme="majorHAnsi" w:hAnsiTheme="majorHAnsi" w:cstheme="majorHAnsi"/>
          <w:sz w:val="22"/>
          <w:szCs w:val="22"/>
        </w:rPr>
        <w:t>’</w:t>
      </w:r>
      <w:r w:rsidRPr="00195B1E">
        <w:rPr>
          <w:rFonts w:asciiTheme="majorHAnsi" w:hAnsiTheme="majorHAnsi" w:cstheme="majorHAnsi"/>
          <w:sz w:val="22"/>
          <w:szCs w:val="22"/>
        </w:rPr>
        <w:t xml:space="preserve">, while the </w:t>
      </w:r>
      <w:r w:rsidRPr="00CE5EB3">
        <w:rPr>
          <w:rFonts w:asciiTheme="majorHAnsi" w:hAnsiTheme="majorHAnsi" w:cstheme="majorHAnsi"/>
          <w:sz w:val="22"/>
          <w:szCs w:val="22"/>
        </w:rPr>
        <w:t>e</w:t>
      </w:r>
      <w:r w:rsidRPr="00195B1E">
        <w:rPr>
          <w:rFonts w:asciiTheme="majorHAnsi" w:hAnsiTheme="majorHAnsi" w:cstheme="majorHAnsi"/>
          <w:sz w:val="22"/>
          <w:szCs w:val="22"/>
        </w:rPr>
        <w:t xml:space="preserve">ducated and skilled worker pillar is represented </w:t>
      </w:r>
      <w:r w:rsidRPr="00CE5EB3">
        <w:rPr>
          <w:rFonts w:asciiTheme="majorHAnsi" w:hAnsiTheme="majorHAnsi" w:cstheme="majorHAnsi"/>
          <w:sz w:val="22"/>
          <w:szCs w:val="22"/>
        </w:rPr>
        <w:t>a</w:t>
      </w:r>
      <w:r w:rsidRPr="00195B1E">
        <w:rPr>
          <w:rFonts w:asciiTheme="majorHAnsi" w:hAnsiTheme="majorHAnsi" w:cstheme="majorHAnsi"/>
          <w:sz w:val="22"/>
          <w:szCs w:val="22"/>
        </w:rPr>
        <w:t>verage learning-adjusted years of schooling for adults aged 25 or more</w:t>
      </w:r>
      <w:r w:rsidRPr="00CE5EB3">
        <w:rPr>
          <w:rFonts w:asciiTheme="majorHAnsi" w:hAnsiTheme="majorHAnsi" w:cstheme="majorHAnsi"/>
          <w:sz w:val="22"/>
          <w:szCs w:val="22"/>
        </w:rPr>
        <w:t xml:space="preserve"> (LAYS).</w:t>
      </w:r>
      <w:r w:rsidRPr="00CE5EB3">
        <w:rPr>
          <w:rFonts w:asciiTheme="majorHAnsi" w:hAnsiTheme="majorHAnsi" w:cstheme="majorHAnsi"/>
        </w:rPr>
        <w:t xml:space="preserve"> </w:t>
      </w:r>
      <w:r w:rsidRPr="00195B1E">
        <w:rPr>
          <w:rFonts w:asciiTheme="majorHAnsi" w:hAnsiTheme="majorHAnsi" w:cstheme="majorHAnsi"/>
          <w:sz w:val="22"/>
          <w:szCs w:val="22"/>
        </w:rPr>
        <w:t>Both LAYS and KEI are found to have significant positive impacts on economic and TFP growth.</w:t>
      </w:r>
    </w:p>
    <w:tbl>
      <w:tblPr>
        <w:tblW w:w="7555" w:type="dxa"/>
        <w:tblLook w:val="0600" w:firstRow="0" w:lastRow="0" w:firstColumn="0" w:lastColumn="0" w:noHBand="1" w:noVBand="1"/>
      </w:tblPr>
      <w:tblGrid>
        <w:gridCol w:w="7555"/>
      </w:tblGrid>
      <w:tr w:rsidR="00B40F3A" w14:paraId="4523AA9A" w14:textId="77777777" w:rsidTr="004C681A">
        <w:trPr>
          <w:trHeight w:val="285"/>
        </w:trPr>
        <w:tc>
          <w:tcPr>
            <w:tcW w:w="7555" w:type="dxa"/>
            <w:tcBorders>
              <w:bottom w:val="single" w:sz="4" w:space="0" w:color="97ABC9" w:themeColor="accent6" w:themeTint="66"/>
            </w:tcBorders>
            <w:noWrap/>
            <w:vAlign w:val="bottom"/>
          </w:tcPr>
          <w:p w14:paraId="271E0146" w14:textId="6606901E" w:rsidR="00B40F3A" w:rsidRPr="00665270" w:rsidRDefault="00B40F3A" w:rsidP="00863D57">
            <w:pPr>
              <w:pStyle w:val="Table"/>
              <w:spacing w:after="0"/>
              <w:rPr>
                <w:lang w:bidi="th-TH"/>
              </w:rPr>
            </w:pPr>
            <w:r w:rsidRPr="00665270">
              <w:rPr>
                <w:lang w:bidi="th-TH"/>
              </w:rPr>
              <w:t>Table A.</w:t>
            </w:r>
            <w:r w:rsidR="00605C73">
              <w:rPr>
                <w:lang w:bidi="th-TH"/>
              </w:rPr>
              <w:t>6</w:t>
            </w:r>
            <w:r w:rsidRPr="00665270">
              <w:rPr>
                <w:lang w:bidi="th-TH"/>
              </w:rPr>
              <w:t xml:space="preserve">.1 Five pillars under the Knowledge Economy </w:t>
            </w:r>
            <w:r w:rsidRPr="00665270">
              <w:rPr>
                <w:rFonts w:eastAsia="Times New Roman"/>
                <w:color w:val="000000"/>
                <w:kern w:val="2"/>
                <w:lang w:bidi="th-TH"/>
                <w14:ligatures w14:val="standardContextual"/>
              </w:rPr>
              <w:t>Ecosystem</w:t>
            </w:r>
          </w:p>
        </w:tc>
      </w:tr>
      <w:tr w:rsidR="00B40F3A" w14:paraId="41F3AC27" w14:textId="77777777" w:rsidTr="004C681A">
        <w:trPr>
          <w:trHeight w:val="285"/>
        </w:trPr>
        <w:tc>
          <w:tcPr>
            <w:tcW w:w="7555" w:type="dxa"/>
            <w:tcBorders>
              <w:top w:val="single" w:sz="4" w:space="0" w:color="97ABC9" w:themeColor="accent6" w:themeTint="66"/>
              <w:left w:val="single" w:sz="4" w:space="0" w:color="97ABC9" w:themeColor="accent6" w:themeTint="66"/>
              <w:right w:val="single" w:sz="4" w:space="0" w:color="97ABC9" w:themeColor="accent6" w:themeTint="66"/>
            </w:tcBorders>
            <w:shd w:val="clear" w:color="auto" w:fill="6381AE" w:themeFill="accent6" w:themeFillTint="99"/>
            <w:noWrap/>
            <w:vAlign w:val="bottom"/>
          </w:tcPr>
          <w:p w14:paraId="0454BD6D" w14:textId="77777777" w:rsidR="00B40F3A" w:rsidRPr="00F159E7" w:rsidRDefault="00B40F3A" w:rsidP="006C4828">
            <w:pPr>
              <w:spacing w:after="0" w:line="240" w:lineRule="auto"/>
              <w:rPr>
                <w:rFonts w:ascii="Trebuchet MS" w:eastAsia="Times New Roman" w:hAnsi="Trebuchet MS" w:cstheme="majorHAnsi"/>
                <w:b/>
                <w:bCs/>
                <w:color w:val="000000"/>
                <w:kern w:val="2"/>
                <w:sz w:val="18"/>
                <w:szCs w:val="18"/>
                <w:lang w:bidi="th-TH"/>
                <w14:ligatures w14:val="standardContextual"/>
              </w:rPr>
            </w:pPr>
            <w:r w:rsidRPr="005E4CE3">
              <w:rPr>
                <w:rFonts w:ascii="Trebuchet MS" w:eastAsia="Times New Roman" w:hAnsi="Trebuchet MS" w:cstheme="majorHAnsi"/>
                <w:b/>
                <w:bCs/>
                <w:i/>
                <w:iCs/>
                <w:color w:val="FFFFFF" w:themeColor="background1"/>
                <w:kern w:val="2"/>
                <w:sz w:val="18"/>
                <w:szCs w:val="18"/>
                <w:lang w:bidi="th-TH"/>
                <w14:ligatures w14:val="standardContextual"/>
              </w:rPr>
              <w:t>Human capital</w:t>
            </w:r>
          </w:p>
        </w:tc>
      </w:tr>
      <w:tr w:rsidR="00B40F3A" w14:paraId="3C15B76E"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tcPr>
          <w:p w14:paraId="3C203ECB" w14:textId="77777777" w:rsidR="00B40F3A" w:rsidRPr="005E4CE3" w:rsidRDefault="00B40F3A" w:rsidP="006C4828">
            <w:pPr>
              <w:spacing w:after="0" w:line="240" w:lineRule="auto"/>
              <w:rPr>
                <w:rFonts w:ascii="Trebuchet MS" w:eastAsia="Times New Roman" w:hAnsi="Trebuchet MS" w:cstheme="majorHAnsi"/>
                <w:b/>
                <w:color w:val="000000"/>
                <w:kern w:val="2"/>
                <w:sz w:val="18"/>
                <w:szCs w:val="18"/>
                <w:lang w:bidi="th-TH"/>
                <w14:ligatures w14:val="standardContextual"/>
              </w:rPr>
            </w:pPr>
            <w:r w:rsidRPr="005E4CE3">
              <w:rPr>
                <w:rFonts w:ascii="Trebuchet MS" w:eastAsia="Times New Roman" w:hAnsi="Trebuchet MS" w:cstheme="majorHAnsi"/>
                <w:b/>
                <w:color w:val="000000"/>
                <w:kern w:val="2"/>
                <w:sz w:val="18"/>
                <w:szCs w:val="18"/>
                <w:lang w:bidi="th-TH"/>
                <w14:ligatures w14:val="standardContextual"/>
              </w:rPr>
              <w:t>1. Educated and skilled workers</w:t>
            </w:r>
          </w:p>
        </w:tc>
      </w:tr>
      <w:tr w:rsidR="00B40F3A" w14:paraId="0D2BDF10" w14:textId="77777777" w:rsidTr="004C681A">
        <w:trPr>
          <w:trHeight w:val="285"/>
        </w:trPr>
        <w:tc>
          <w:tcPr>
            <w:tcW w:w="7555" w:type="dxa"/>
            <w:tcBorders>
              <w:left w:val="single" w:sz="4" w:space="0" w:color="97ABC9" w:themeColor="accent6" w:themeTint="66"/>
              <w:bottom w:val="single" w:sz="4" w:space="0" w:color="97ABC9" w:themeColor="accent6" w:themeTint="66"/>
              <w:right w:val="single" w:sz="4" w:space="0" w:color="97ABC9" w:themeColor="accent6" w:themeTint="66"/>
            </w:tcBorders>
            <w:noWrap/>
            <w:vAlign w:val="bottom"/>
          </w:tcPr>
          <w:p w14:paraId="282ACDF4" w14:textId="77777777" w:rsidR="00B40F3A" w:rsidRPr="005E4CE3" w:rsidRDefault="00B40F3A" w:rsidP="006C4828">
            <w:pPr>
              <w:spacing w:after="0" w:line="240" w:lineRule="auto"/>
              <w:rPr>
                <w:rFonts w:ascii="Trebuchet MS" w:eastAsia="Times New Roman" w:hAnsi="Trebuchet MS" w:cstheme="majorHAnsi"/>
                <w:b/>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Average learning-adjusted years of schooling for adults aged 25 or more</w:t>
            </w:r>
          </w:p>
        </w:tc>
      </w:tr>
      <w:tr w:rsidR="00B40F3A" w14:paraId="49C68FE6" w14:textId="77777777" w:rsidTr="004C681A">
        <w:trPr>
          <w:trHeight w:val="285"/>
        </w:trPr>
        <w:tc>
          <w:tcPr>
            <w:tcW w:w="7555" w:type="dxa"/>
            <w:tcBorders>
              <w:top w:val="single" w:sz="4" w:space="0" w:color="97ABC9" w:themeColor="accent6" w:themeTint="66"/>
              <w:bottom w:val="single" w:sz="4" w:space="0" w:color="97ABC9" w:themeColor="accent6" w:themeTint="66"/>
            </w:tcBorders>
            <w:shd w:val="clear" w:color="auto" w:fill="6381AE" w:themeFill="accent6" w:themeFillTint="99"/>
            <w:noWrap/>
            <w:vAlign w:val="bottom"/>
          </w:tcPr>
          <w:p w14:paraId="67191EFC" w14:textId="77777777" w:rsidR="00B40F3A" w:rsidRPr="005E4CE3" w:rsidRDefault="00B40F3A" w:rsidP="006C4828">
            <w:pPr>
              <w:spacing w:after="0" w:line="240" w:lineRule="auto"/>
              <w:rPr>
                <w:rFonts w:ascii="Trebuchet MS" w:eastAsia="Times New Roman" w:hAnsi="Trebuchet MS" w:cstheme="majorHAnsi"/>
                <w:b/>
                <w:color w:val="FFFFFF" w:themeColor="background1"/>
                <w:kern w:val="2"/>
                <w:sz w:val="18"/>
                <w:szCs w:val="18"/>
                <w:lang w:bidi="th-TH"/>
                <w14:ligatures w14:val="standardContextual"/>
              </w:rPr>
            </w:pPr>
            <w:r w:rsidRPr="005E4CE3">
              <w:rPr>
                <w:rFonts w:ascii="Trebuchet MS" w:hAnsi="Trebuchet MS" w:cstheme="majorHAnsi"/>
                <w:b/>
                <w:i/>
                <w:color w:val="FFFFFF" w:themeColor="background1"/>
                <w:sz w:val="18"/>
                <w:szCs w:val="18"/>
              </w:rPr>
              <w:t>Knowledge Economy Infrastructure Index</w:t>
            </w:r>
          </w:p>
        </w:tc>
      </w:tr>
      <w:tr w:rsidR="00B40F3A" w14:paraId="377DE059" w14:textId="77777777" w:rsidTr="004C681A">
        <w:trPr>
          <w:trHeight w:val="285"/>
        </w:trPr>
        <w:tc>
          <w:tcPr>
            <w:tcW w:w="7555" w:type="dxa"/>
            <w:tcBorders>
              <w:top w:val="single" w:sz="4" w:space="0" w:color="97ABC9" w:themeColor="accent6" w:themeTint="66"/>
              <w:left w:val="single" w:sz="4" w:space="0" w:color="97ABC9" w:themeColor="accent6" w:themeTint="66"/>
              <w:right w:val="single" w:sz="4" w:space="0" w:color="97ABC9" w:themeColor="accent6" w:themeTint="66"/>
            </w:tcBorders>
            <w:noWrap/>
            <w:vAlign w:val="bottom"/>
          </w:tcPr>
          <w:p w14:paraId="618B490A" w14:textId="77777777" w:rsidR="00B40F3A" w:rsidRPr="005E4CE3" w:rsidRDefault="00B40F3A" w:rsidP="006C4828">
            <w:pPr>
              <w:spacing w:after="0" w:line="240" w:lineRule="auto"/>
              <w:rPr>
                <w:rFonts w:ascii="Trebuchet MS" w:eastAsia="Times New Roman" w:hAnsi="Trebuchet MS" w:cstheme="majorHAnsi"/>
                <w:b/>
                <w:color w:val="000000"/>
                <w:kern w:val="2"/>
                <w:sz w:val="18"/>
                <w:szCs w:val="18"/>
                <w:lang w:bidi="th-TH"/>
                <w14:ligatures w14:val="standardContextual"/>
              </w:rPr>
            </w:pPr>
            <w:r w:rsidRPr="005E4CE3">
              <w:rPr>
                <w:rFonts w:ascii="Trebuchet MS" w:eastAsia="Times New Roman" w:hAnsi="Trebuchet MS" w:cstheme="majorHAnsi"/>
                <w:b/>
                <w:color w:val="000000"/>
                <w:kern w:val="2"/>
                <w:sz w:val="18"/>
                <w:szCs w:val="18"/>
                <w:lang w:bidi="th-TH"/>
                <w14:ligatures w14:val="standardContextual"/>
              </w:rPr>
              <w:t>2. ICT infrastructure</w:t>
            </w:r>
          </w:p>
        </w:tc>
      </w:tr>
      <w:tr w:rsidR="00B40F3A" w14:paraId="730EE624"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73147665"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Individuals using the internet (% of population)</w:t>
            </w:r>
          </w:p>
        </w:tc>
      </w:tr>
      <w:tr w:rsidR="00B40F3A" w14:paraId="1BF46687" w14:textId="77777777" w:rsidTr="004C681A">
        <w:trPr>
          <w:trHeight w:val="285"/>
        </w:trPr>
        <w:tc>
          <w:tcPr>
            <w:tcW w:w="7555" w:type="dxa"/>
            <w:tcBorders>
              <w:left w:val="single" w:sz="4" w:space="0" w:color="97ABC9" w:themeColor="accent6" w:themeTint="66"/>
              <w:bottom w:val="single" w:sz="4" w:space="0" w:color="97ABC9" w:themeColor="accent6" w:themeTint="66"/>
              <w:right w:val="single" w:sz="4" w:space="0" w:color="97ABC9" w:themeColor="accent6" w:themeTint="66"/>
            </w:tcBorders>
            <w:noWrap/>
            <w:vAlign w:val="bottom"/>
            <w:hideMark/>
          </w:tcPr>
          <w:p w14:paraId="1D9FF12F"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Secured internet servers (per 1 million people)</w:t>
            </w:r>
          </w:p>
        </w:tc>
      </w:tr>
      <w:tr w:rsidR="00B40F3A" w14:paraId="56A2E038" w14:textId="77777777" w:rsidTr="004C681A">
        <w:trPr>
          <w:trHeight w:val="285"/>
        </w:trPr>
        <w:tc>
          <w:tcPr>
            <w:tcW w:w="7555" w:type="dxa"/>
            <w:tcBorders>
              <w:top w:val="single" w:sz="4" w:space="0" w:color="97ABC9" w:themeColor="accent6" w:themeTint="66"/>
              <w:left w:val="single" w:sz="4" w:space="0" w:color="97ABC9" w:themeColor="accent6" w:themeTint="66"/>
              <w:right w:val="single" w:sz="4" w:space="0" w:color="97ABC9" w:themeColor="accent6" w:themeTint="66"/>
            </w:tcBorders>
            <w:noWrap/>
            <w:vAlign w:val="bottom"/>
            <w:hideMark/>
          </w:tcPr>
          <w:p w14:paraId="0A0E0357" w14:textId="77777777" w:rsidR="00B40F3A" w:rsidRPr="005E4CE3" w:rsidRDefault="00B40F3A" w:rsidP="006C4828">
            <w:pPr>
              <w:spacing w:after="0" w:line="240" w:lineRule="auto"/>
              <w:rPr>
                <w:rFonts w:ascii="Trebuchet MS" w:eastAsia="Times New Roman" w:hAnsi="Trebuchet MS" w:cstheme="majorHAnsi"/>
                <w:b/>
                <w:color w:val="000000"/>
                <w:kern w:val="2"/>
                <w:sz w:val="18"/>
                <w:szCs w:val="18"/>
                <w:lang w:bidi="th-TH"/>
                <w14:ligatures w14:val="standardContextual"/>
              </w:rPr>
            </w:pPr>
            <w:r w:rsidRPr="005E4CE3">
              <w:rPr>
                <w:rFonts w:ascii="Trebuchet MS" w:eastAsia="Times New Roman" w:hAnsi="Trebuchet MS" w:cstheme="majorHAnsi"/>
                <w:b/>
                <w:color w:val="000000"/>
                <w:kern w:val="2"/>
                <w:sz w:val="18"/>
                <w:szCs w:val="18"/>
                <w:lang w:bidi="th-TH"/>
                <w14:ligatures w14:val="standardContextual"/>
              </w:rPr>
              <w:t>3. Innovation infrastructure</w:t>
            </w:r>
          </w:p>
        </w:tc>
      </w:tr>
      <w:tr w:rsidR="00B40F3A" w14:paraId="7F7A94A5"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4180A65A"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Scientific and technical journal articles (per million people)</w:t>
            </w:r>
          </w:p>
        </w:tc>
      </w:tr>
      <w:tr w:rsidR="00B40F3A" w14:paraId="158030C6"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1CA588DC"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Patent applications (per million people)</w:t>
            </w:r>
          </w:p>
        </w:tc>
      </w:tr>
      <w:tr w:rsidR="00B40F3A" w14:paraId="18A23B1A" w14:textId="77777777" w:rsidTr="004C681A">
        <w:trPr>
          <w:trHeight w:val="285"/>
        </w:trPr>
        <w:tc>
          <w:tcPr>
            <w:tcW w:w="7555" w:type="dxa"/>
            <w:tcBorders>
              <w:left w:val="single" w:sz="4" w:space="0" w:color="97ABC9" w:themeColor="accent6" w:themeTint="66"/>
              <w:bottom w:val="single" w:sz="4" w:space="0" w:color="97ABC9" w:themeColor="accent6" w:themeTint="66"/>
              <w:right w:val="single" w:sz="4" w:space="0" w:color="97ABC9" w:themeColor="accent6" w:themeTint="66"/>
            </w:tcBorders>
            <w:noWrap/>
            <w:vAlign w:val="bottom"/>
            <w:hideMark/>
          </w:tcPr>
          <w:p w14:paraId="71DBCF07"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Research and development spending to GDP </w:t>
            </w:r>
          </w:p>
        </w:tc>
      </w:tr>
      <w:tr w:rsidR="00B40F3A" w14:paraId="0BBED77E" w14:textId="77777777" w:rsidTr="004C681A">
        <w:trPr>
          <w:trHeight w:val="285"/>
        </w:trPr>
        <w:tc>
          <w:tcPr>
            <w:tcW w:w="7555" w:type="dxa"/>
            <w:tcBorders>
              <w:top w:val="single" w:sz="4" w:space="0" w:color="97ABC9" w:themeColor="accent6" w:themeTint="66"/>
              <w:left w:val="single" w:sz="4" w:space="0" w:color="97ABC9" w:themeColor="accent6" w:themeTint="66"/>
              <w:right w:val="single" w:sz="4" w:space="0" w:color="97ABC9" w:themeColor="accent6" w:themeTint="66"/>
            </w:tcBorders>
            <w:noWrap/>
            <w:vAlign w:val="bottom"/>
            <w:hideMark/>
          </w:tcPr>
          <w:p w14:paraId="22C21C27" w14:textId="77777777" w:rsidR="00B40F3A" w:rsidRPr="005E4CE3" w:rsidRDefault="00B40F3A" w:rsidP="006C4828">
            <w:pPr>
              <w:spacing w:after="0" w:line="240" w:lineRule="auto"/>
              <w:rPr>
                <w:rFonts w:ascii="Trebuchet MS" w:eastAsia="Times New Roman" w:hAnsi="Trebuchet MS" w:cstheme="majorHAnsi"/>
                <w:b/>
                <w:color w:val="000000"/>
                <w:kern w:val="2"/>
                <w:sz w:val="18"/>
                <w:szCs w:val="18"/>
                <w:lang w:bidi="th-TH"/>
                <w14:ligatures w14:val="standardContextual"/>
              </w:rPr>
            </w:pPr>
            <w:r w:rsidRPr="005E4CE3">
              <w:rPr>
                <w:rFonts w:ascii="Trebuchet MS" w:eastAsia="Times New Roman" w:hAnsi="Trebuchet MS" w:cstheme="majorHAnsi"/>
                <w:b/>
                <w:color w:val="000000"/>
                <w:kern w:val="2"/>
                <w:sz w:val="18"/>
                <w:szCs w:val="18"/>
                <w:lang w:bidi="th-TH"/>
                <w14:ligatures w14:val="standardContextual"/>
              </w:rPr>
              <w:t>4. Financial infrastructure</w:t>
            </w:r>
          </w:p>
        </w:tc>
      </w:tr>
      <w:tr w:rsidR="00B40F3A" w14:paraId="2C2859F5"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335DAFA7"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Bank branches per 100,000 adults</w:t>
            </w:r>
          </w:p>
        </w:tc>
      </w:tr>
      <w:tr w:rsidR="00B40F3A" w14:paraId="33112B3B"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230FE000"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ATMs per 100,000 adults</w:t>
            </w:r>
          </w:p>
        </w:tc>
      </w:tr>
      <w:tr w:rsidR="00B40F3A" w14:paraId="00D50902" w14:textId="77777777" w:rsidTr="004C681A">
        <w:trPr>
          <w:trHeight w:val="285"/>
        </w:trPr>
        <w:tc>
          <w:tcPr>
            <w:tcW w:w="7555" w:type="dxa"/>
            <w:tcBorders>
              <w:left w:val="single" w:sz="4" w:space="0" w:color="97ABC9" w:themeColor="accent6" w:themeTint="66"/>
              <w:bottom w:val="single" w:sz="4" w:space="0" w:color="97ABC9" w:themeColor="accent6" w:themeTint="66"/>
              <w:right w:val="single" w:sz="4" w:space="0" w:color="97ABC9" w:themeColor="accent6" w:themeTint="66"/>
            </w:tcBorders>
            <w:noWrap/>
            <w:vAlign w:val="bottom"/>
            <w:hideMark/>
          </w:tcPr>
          <w:p w14:paraId="34B437FF"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Bank credit to bank deposits (%)</w:t>
            </w:r>
          </w:p>
        </w:tc>
      </w:tr>
      <w:tr w:rsidR="00B40F3A" w14:paraId="0185FB47" w14:textId="77777777" w:rsidTr="004C681A">
        <w:trPr>
          <w:trHeight w:val="285"/>
        </w:trPr>
        <w:tc>
          <w:tcPr>
            <w:tcW w:w="7555" w:type="dxa"/>
            <w:tcBorders>
              <w:top w:val="single" w:sz="4" w:space="0" w:color="97ABC9" w:themeColor="accent6" w:themeTint="66"/>
              <w:left w:val="single" w:sz="4" w:space="0" w:color="97ABC9" w:themeColor="accent6" w:themeTint="66"/>
              <w:right w:val="single" w:sz="4" w:space="0" w:color="97ABC9" w:themeColor="accent6" w:themeTint="66"/>
            </w:tcBorders>
            <w:noWrap/>
            <w:vAlign w:val="bottom"/>
            <w:hideMark/>
          </w:tcPr>
          <w:p w14:paraId="07C73D43" w14:textId="77777777" w:rsidR="00B40F3A" w:rsidRPr="005E4CE3" w:rsidRDefault="00B40F3A" w:rsidP="006C4828">
            <w:pPr>
              <w:spacing w:after="0" w:line="240" w:lineRule="auto"/>
              <w:rPr>
                <w:rFonts w:ascii="Trebuchet MS" w:eastAsia="Times New Roman" w:hAnsi="Trebuchet MS" w:cstheme="majorHAnsi"/>
                <w:b/>
                <w:color w:val="000000"/>
                <w:kern w:val="2"/>
                <w:sz w:val="18"/>
                <w:szCs w:val="18"/>
                <w:lang w:bidi="th-TH"/>
                <w14:ligatures w14:val="standardContextual"/>
              </w:rPr>
            </w:pPr>
            <w:r w:rsidRPr="005E4CE3">
              <w:rPr>
                <w:rFonts w:ascii="Trebuchet MS" w:eastAsia="Times New Roman" w:hAnsi="Trebuchet MS" w:cstheme="majorHAnsi"/>
                <w:b/>
                <w:color w:val="000000"/>
                <w:kern w:val="2"/>
                <w:sz w:val="18"/>
                <w:szCs w:val="18"/>
                <w:lang w:bidi="th-TH"/>
                <w14:ligatures w14:val="standardContextual"/>
              </w:rPr>
              <w:t>5. Quality of institutions (Economist Intelligence Unit)</w:t>
            </w:r>
          </w:p>
        </w:tc>
      </w:tr>
      <w:tr w:rsidR="00B40F3A" w14:paraId="491E3C46"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0C0579CC"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Voice and Accountability</w:t>
            </w:r>
          </w:p>
        </w:tc>
      </w:tr>
      <w:tr w:rsidR="00B40F3A" w14:paraId="66A4D555"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27FB16C2"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Political Stability and Absence of Violence</w:t>
            </w:r>
          </w:p>
        </w:tc>
      </w:tr>
      <w:tr w:rsidR="00B40F3A" w14:paraId="78B98215"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5C991B4F"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Government Effectiveness</w:t>
            </w:r>
          </w:p>
        </w:tc>
      </w:tr>
      <w:tr w:rsidR="00B40F3A" w14:paraId="11F2A283"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7FC05E67"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Regulatory Quality</w:t>
            </w:r>
          </w:p>
        </w:tc>
      </w:tr>
      <w:tr w:rsidR="00B40F3A" w14:paraId="59B56EC7" w14:textId="77777777" w:rsidTr="004C681A">
        <w:trPr>
          <w:trHeight w:val="285"/>
        </w:trPr>
        <w:tc>
          <w:tcPr>
            <w:tcW w:w="7555" w:type="dxa"/>
            <w:tcBorders>
              <w:left w:val="single" w:sz="4" w:space="0" w:color="97ABC9" w:themeColor="accent6" w:themeTint="66"/>
              <w:right w:val="single" w:sz="4" w:space="0" w:color="97ABC9" w:themeColor="accent6" w:themeTint="66"/>
            </w:tcBorders>
            <w:noWrap/>
            <w:vAlign w:val="bottom"/>
            <w:hideMark/>
          </w:tcPr>
          <w:p w14:paraId="24513044"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Rule of Law</w:t>
            </w:r>
          </w:p>
        </w:tc>
      </w:tr>
      <w:tr w:rsidR="00B40F3A" w14:paraId="4450722D" w14:textId="77777777" w:rsidTr="004C681A">
        <w:trPr>
          <w:trHeight w:val="285"/>
        </w:trPr>
        <w:tc>
          <w:tcPr>
            <w:tcW w:w="7555" w:type="dxa"/>
            <w:tcBorders>
              <w:left w:val="single" w:sz="4" w:space="0" w:color="97ABC9" w:themeColor="accent6" w:themeTint="66"/>
              <w:bottom w:val="single" w:sz="4" w:space="0" w:color="97ABC9" w:themeColor="accent6" w:themeTint="66"/>
              <w:right w:val="single" w:sz="4" w:space="0" w:color="97ABC9" w:themeColor="accent6" w:themeTint="66"/>
            </w:tcBorders>
            <w:noWrap/>
            <w:vAlign w:val="bottom"/>
            <w:hideMark/>
          </w:tcPr>
          <w:p w14:paraId="2067AC79" w14:textId="77777777" w:rsidR="00B40F3A" w:rsidRPr="005E4CE3" w:rsidRDefault="00B40F3A" w:rsidP="006C4828">
            <w:pPr>
              <w:spacing w:after="0" w:line="240" w:lineRule="auto"/>
              <w:rPr>
                <w:rFonts w:ascii="Trebuchet MS" w:eastAsia="Times New Roman" w:hAnsi="Trebuchet MS" w:cstheme="majorHAnsi"/>
                <w:color w:val="000000"/>
                <w:kern w:val="2"/>
                <w:sz w:val="18"/>
                <w:szCs w:val="18"/>
                <w:lang w:bidi="th-TH"/>
                <w14:ligatures w14:val="standardContextual"/>
              </w:rPr>
            </w:pPr>
            <w:r w:rsidRPr="005E4CE3">
              <w:rPr>
                <w:rFonts w:ascii="Trebuchet MS" w:eastAsia="Times New Roman" w:hAnsi="Trebuchet MS" w:cstheme="majorHAnsi"/>
                <w:color w:val="000000"/>
                <w:kern w:val="2"/>
                <w:sz w:val="18"/>
                <w:szCs w:val="18"/>
                <w:lang w:bidi="th-TH"/>
                <w14:ligatures w14:val="standardContextual"/>
              </w:rPr>
              <w:t xml:space="preserve">     Control of Corruption</w:t>
            </w:r>
          </w:p>
        </w:tc>
      </w:tr>
    </w:tbl>
    <w:p w14:paraId="7007323E" w14:textId="77777777" w:rsidR="00B40F3A" w:rsidRPr="000214C4" w:rsidRDefault="00B40F3A" w:rsidP="00B40F3A">
      <w:pPr>
        <w:pStyle w:val="Default"/>
        <w:spacing w:after="200" w:line="276" w:lineRule="auto"/>
        <w:jc w:val="both"/>
        <w:rPr>
          <w:rFonts w:asciiTheme="majorHAnsi" w:hAnsiTheme="majorHAnsi" w:cstheme="majorHAnsi"/>
          <w:i/>
          <w:iCs/>
          <w:sz w:val="22"/>
          <w:szCs w:val="22"/>
        </w:rPr>
      </w:pPr>
      <w:r>
        <w:rPr>
          <w:rFonts w:asciiTheme="majorHAnsi" w:hAnsiTheme="majorHAnsi" w:cstheme="majorHAnsi"/>
          <w:i/>
          <w:iCs/>
          <w:sz w:val="22"/>
          <w:szCs w:val="22"/>
        </w:rPr>
        <w:t xml:space="preserve">Benchmarking </w:t>
      </w:r>
      <w:r w:rsidRPr="00B04F8F">
        <w:rPr>
          <w:rFonts w:asciiTheme="majorHAnsi" w:hAnsiTheme="majorHAnsi" w:cstheme="majorHAnsi"/>
          <w:i/>
          <w:iCs/>
          <w:sz w:val="22"/>
          <w:szCs w:val="22"/>
        </w:rPr>
        <w:t>Thailand’s Knowledge Economy Ecosystem</w:t>
      </w:r>
    </w:p>
    <w:p w14:paraId="5F1F7360" w14:textId="24D3AA63" w:rsidR="00B40F3A" w:rsidRPr="00E9090B" w:rsidRDefault="00B40F3A" w:rsidP="00B40F3A">
      <w:pPr>
        <w:pStyle w:val="Default"/>
        <w:spacing w:after="160" w:line="276" w:lineRule="auto"/>
        <w:jc w:val="both"/>
        <w:rPr>
          <w:rFonts w:asciiTheme="majorHAnsi" w:hAnsiTheme="majorHAnsi" w:cstheme="majorHAnsi"/>
          <w:sz w:val="22"/>
          <w:szCs w:val="22"/>
        </w:rPr>
      </w:pPr>
      <w:r>
        <w:rPr>
          <w:rFonts w:asciiTheme="majorHAnsi" w:hAnsiTheme="majorHAnsi" w:cstheme="majorHAnsi"/>
          <w:b/>
          <w:bCs/>
          <w:sz w:val="22"/>
          <w:szCs w:val="22"/>
        </w:rPr>
        <w:lastRenderedPageBreak/>
        <w:t xml:space="preserve">Thailand has </w:t>
      </w:r>
      <w:r w:rsidRPr="00E9090B">
        <w:rPr>
          <w:rFonts w:asciiTheme="majorHAnsi" w:hAnsiTheme="majorHAnsi" w:cstheme="majorHAnsi"/>
          <w:b/>
          <w:bCs/>
          <w:sz w:val="22"/>
          <w:szCs w:val="22"/>
        </w:rPr>
        <w:t>made good progress in improving KEI over the last 15 years, narrowing the gaps to OECD and high income-countries (Figure A.</w:t>
      </w:r>
      <w:r w:rsidR="00605C73">
        <w:rPr>
          <w:rFonts w:asciiTheme="majorHAnsi" w:hAnsiTheme="majorHAnsi" w:cstheme="majorHAnsi"/>
          <w:b/>
          <w:bCs/>
          <w:sz w:val="22"/>
          <w:szCs w:val="22"/>
        </w:rPr>
        <w:t>6</w:t>
      </w:r>
      <w:r w:rsidRPr="00E9090B">
        <w:rPr>
          <w:rFonts w:asciiTheme="majorHAnsi" w:hAnsiTheme="majorHAnsi" w:cstheme="majorHAnsi"/>
          <w:b/>
          <w:bCs/>
          <w:sz w:val="22"/>
          <w:szCs w:val="22"/>
        </w:rPr>
        <w:t xml:space="preserve">.1A). </w:t>
      </w:r>
      <w:r w:rsidRPr="00E9090B">
        <w:rPr>
          <w:rFonts w:asciiTheme="majorHAnsi" w:hAnsiTheme="majorHAnsi" w:cstheme="majorHAnsi"/>
          <w:sz w:val="22"/>
          <w:szCs w:val="22"/>
        </w:rPr>
        <w:t>Closer investigation of the 4 pillars for KEI reveals that Thailand has surpassed the average for UMC countries in all pillars (ICT, innovation, and financial infrastructure) except in the quality of institutions domain, which the country has performed consistently poorly since early 2000’s. It should be noted that even though Thailand’s R&amp;D expenditure as a share of GDP has clearly surpassed that of the UMC countries, measured outputs from R&amp;D have remained subdued. The lack of a large enough pool of highly skilled personnel who can conduct quality research and innovative activities could be a main reason behind the perceived low returns to R&amp;D investments in Thailand.</w:t>
      </w:r>
    </w:p>
    <w:p w14:paraId="549A17A5" w14:textId="673C697C" w:rsidR="00B40F3A" w:rsidRPr="007D6386" w:rsidRDefault="00B40F3A" w:rsidP="00B40F3A">
      <w:pPr>
        <w:pStyle w:val="Default"/>
        <w:spacing w:after="160" w:line="276" w:lineRule="auto"/>
        <w:jc w:val="both"/>
        <w:rPr>
          <w:rFonts w:asciiTheme="majorHAnsi" w:hAnsiTheme="majorHAnsi" w:cstheme="majorHAnsi"/>
          <w:sz w:val="22"/>
          <w:szCs w:val="22"/>
        </w:rPr>
      </w:pPr>
      <w:r w:rsidRPr="00E9090B">
        <w:rPr>
          <w:rFonts w:asciiTheme="majorHAnsi" w:hAnsiTheme="majorHAnsi" w:cstheme="majorHAnsi"/>
          <w:b/>
          <w:bCs/>
          <w:sz w:val="22"/>
          <w:szCs w:val="22"/>
        </w:rPr>
        <w:t xml:space="preserve">Thailand has not done so well with regards to the all-important human capital domain. </w:t>
      </w:r>
      <w:r w:rsidRPr="00E9090B">
        <w:rPr>
          <w:rFonts w:asciiTheme="majorHAnsi" w:hAnsiTheme="majorHAnsi" w:cstheme="majorHAnsi"/>
          <w:sz w:val="22"/>
          <w:szCs w:val="22"/>
        </w:rPr>
        <w:t>Thailand’s average years of schooling completed for adults aged 25 or more in 2020 was only 8.6 years, which was 3.4 years below the average for the OECD. Adjusted for learning outcomes, the gap to the OECD and HIC countries in 2020 becomes even wider (3.7 years). Moreover, Thailand has consistently underperformed the averages for UMC countries on the learning-adjusted years of schooling measures since data became available in 2000 (Figure A.</w:t>
      </w:r>
      <w:r w:rsidR="00605C73">
        <w:rPr>
          <w:rFonts w:asciiTheme="majorHAnsi" w:hAnsiTheme="majorHAnsi" w:cstheme="majorHAnsi"/>
          <w:sz w:val="22"/>
          <w:szCs w:val="22"/>
        </w:rPr>
        <w:t>6</w:t>
      </w:r>
      <w:r w:rsidRPr="00E9090B">
        <w:rPr>
          <w:rFonts w:asciiTheme="majorHAnsi" w:hAnsiTheme="majorHAnsi" w:cstheme="majorHAnsi"/>
          <w:sz w:val="22"/>
          <w:szCs w:val="22"/>
        </w:rPr>
        <w:t>.1B).</w:t>
      </w:r>
    </w:p>
    <w:tbl>
      <w:tblPr>
        <w:tblStyle w:val="TableGrid"/>
        <w:tblW w:w="9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B40F3A" w:rsidRPr="00843E84" w14:paraId="65329979" w14:textId="77777777" w:rsidTr="006C4828">
        <w:trPr>
          <w:trHeight w:val="271"/>
        </w:trPr>
        <w:tc>
          <w:tcPr>
            <w:tcW w:w="9495" w:type="dxa"/>
            <w:gridSpan w:val="2"/>
          </w:tcPr>
          <w:p w14:paraId="3689F2C1" w14:textId="13A7ABDE" w:rsidR="00B40F3A" w:rsidRPr="00CE2F54" w:rsidRDefault="00B40F3A">
            <w:pPr>
              <w:pStyle w:val="Figure"/>
            </w:pPr>
            <w:r w:rsidRPr="00CE2F54">
              <w:t>Figure A.</w:t>
            </w:r>
            <w:r w:rsidR="00605C73">
              <w:t>6</w:t>
            </w:r>
            <w:r w:rsidRPr="00CE2F54">
              <w:t xml:space="preserve">.1 </w:t>
            </w:r>
            <w:r>
              <w:t>Trends in k</w:t>
            </w:r>
            <w:r w:rsidRPr="002D5132">
              <w:t xml:space="preserve">nowledge </w:t>
            </w:r>
            <w:r>
              <w:t>e</w:t>
            </w:r>
            <w:r w:rsidRPr="002D5132">
              <w:t xml:space="preserve">conomy </w:t>
            </w:r>
            <w:r>
              <w:t>i</w:t>
            </w:r>
            <w:r w:rsidRPr="002D5132">
              <w:t xml:space="preserve">nfrastructure </w:t>
            </w:r>
            <w:r>
              <w:t>i</w:t>
            </w:r>
            <w:r w:rsidRPr="002D5132">
              <w:t>ndex</w:t>
            </w:r>
            <w:r>
              <w:t xml:space="preserve"> and l</w:t>
            </w:r>
            <w:r w:rsidRPr="002D5132">
              <w:t>earning-adjusted years of schooling</w:t>
            </w:r>
          </w:p>
        </w:tc>
      </w:tr>
      <w:tr w:rsidR="00B40F3A" w:rsidRPr="00D914E8" w14:paraId="024F4E8A" w14:textId="77777777" w:rsidTr="006C4828">
        <w:trPr>
          <w:trHeight w:val="271"/>
        </w:trPr>
        <w:tc>
          <w:tcPr>
            <w:tcW w:w="4747" w:type="dxa"/>
          </w:tcPr>
          <w:p w14:paraId="61369C1C" w14:textId="77777777" w:rsidR="00B40F3A" w:rsidRPr="00CE2F54" w:rsidRDefault="00B40F3A" w:rsidP="006C4828">
            <w:pPr>
              <w:pStyle w:val="figuredescription"/>
            </w:pPr>
            <w:r w:rsidRPr="00CE2F54">
              <w:t xml:space="preserve">A. </w:t>
            </w:r>
            <w:r w:rsidRPr="002D5132">
              <w:t>Knowledge Economy Infrastructure Index (KEI)</w:t>
            </w:r>
          </w:p>
        </w:tc>
        <w:tc>
          <w:tcPr>
            <w:tcW w:w="4747" w:type="dxa"/>
          </w:tcPr>
          <w:p w14:paraId="070FC042" w14:textId="77777777" w:rsidR="00B40F3A" w:rsidRPr="00CE2F54" w:rsidRDefault="00B40F3A" w:rsidP="006C4828">
            <w:pPr>
              <w:pStyle w:val="figuredescription"/>
            </w:pPr>
            <w:r w:rsidRPr="00CE2F54">
              <w:t xml:space="preserve">B. </w:t>
            </w:r>
            <w:r>
              <w:t>L</w:t>
            </w:r>
            <w:r w:rsidRPr="002D5132">
              <w:t>earning-adjusted years of schooling (LAYS)</w:t>
            </w:r>
          </w:p>
        </w:tc>
      </w:tr>
      <w:tr w:rsidR="00B40F3A" w:rsidRPr="00843E84" w14:paraId="5A2F5FBD" w14:textId="77777777" w:rsidTr="006C4828">
        <w:tc>
          <w:tcPr>
            <w:tcW w:w="4747" w:type="dxa"/>
          </w:tcPr>
          <w:p w14:paraId="3784BE34" w14:textId="6035CE55" w:rsidR="00B40F3A" w:rsidRPr="00CE2F54" w:rsidRDefault="006A195B" w:rsidP="006C4828">
            <w:pPr>
              <w:rPr>
                <w:rFonts w:asciiTheme="majorHAnsi" w:hAnsiTheme="majorHAnsi" w:cstheme="majorHAnsi"/>
              </w:rPr>
            </w:pPr>
            <w:r w:rsidRPr="00AB790A">
              <w:rPr>
                <w:noProof/>
                <w:lang w:val="en-GB" w:eastAsia="en-GB"/>
              </w:rPr>
              <w:drawing>
                <wp:inline distT="0" distB="0" distL="0" distR="0" wp14:anchorId="0B3975A3" wp14:editId="3662B120">
                  <wp:extent cx="2743200" cy="2286000"/>
                  <wp:effectExtent l="0" t="0" r="0" b="0"/>
                  <wp:docPr id="194727711" name="Picture 19472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747" w:type="dxa"/>
          </w:tcPr>
          <w:p w14:paraId="7A81A1F6" w14:textId="1732F12F" w:rsidR="00B40F3A" w:rsidRPr="00CE2F54" w:rsidRDefault="00207293" w:rsidP="006C4828">
            <w:pPr>
              <w:rPr>
                <w:rFonts w:asciiTheme="majorHAnsi" w:hAnsiTheme="majorHAnsi" w:cstheme="majorHAnsi"/>
              </w:rPr>
            </w:pPr>
            <w:r w:rsidRPr="00AB790A">
              <w:rPr>
                <w:noProof/>
                <w:lang w:val="en-GB" w:eastAsia="en-GB"/>
              </w:rPr>
              <w:drawing>
                <wp:inline distT="0" distB="0" distL="0" distR="0" wp14:anchorId="185B470F" wp14:editId="00C1B9A9">
                  <wp:extent cx="2860040" cy="2286000"/>
                  <wp:effectExtent l="0" t="0" r="0" b="0"/>
                  <wp:docPr id="194727713" name="Picture 1947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0040" cy="2286000"/>
                          </a:xfrm>
                          <a:prstGeom prst="rect">
                            <a:avLst/>
                          </a:prstGeom>
                          <a:noFill/>
                          <a:ln>
                            <a:noFill/>
                          </a:ln>
                        </pic:spPr>
                      </pic:pic>
                    </a:graphicData>
                  </a:graphic>
                </wp:inline>
              </w:drawing>
            </w:r>
          </w:p>
        </w:tc>
      </w:tr>
    </w:tbl>
    <w:p w14:paraId="6678BBC9" w14:textId="77777777" w:rsidR="00B40F3A" w:rsidRDefault="00B40F3A" w:rsidP="00B40F3A">
      <w:pPr>
        <w:pStyle w:val="Default"/>
        <w:spacing w:after="200" w:line="276" w:lineRule="auto"/>
        <w:jc w:val="both"/>
        <w:rPr>
          <w:rFonts w:asciiTheme="majorHAnsi" w:hAnsiTheme="majorHAnsi" w:cstheme="majorHAnsi"/>
          <w:sz w:val="22"/>
          <w:szCs w:val="22"/>
        </w:rPr>
      </w:pPr>
    </w:p>
    <w:p w14:paraId="40C8FDF6" w14:textId="19F79E1F" w:rsidR="00B40F3A" w:rsidRPr="0033203A" w:rsidRDefault="00B40F3A" w:rsidP="00B40F3A">
      <w:pPr>
        <w:pStyle w:val="Default"/>
        <w:spacing w:after="160" w:line="276" w:lineRule="auto"/>
        <w:jc w:val="both"/>
        <w:rPr>
          <w:rFonts w:asciiTheme="majorHAnsi" w:hAnsiTheme="majorHAnsi" w:cstheme="majorHAnsi"/>
          <w:sz w:val="22"/>
          <w:szCs w:val="22"/>
        </w:rPr>
      </w:pPr>
      <w:r>
        <w:rPr>
          <w:rFonts w:asciiTheme="majorHAnsi" w:hAnsiTheme="majorHAnsi" w:cstheme="majorHAnsi"/>
          <w:b/>
          <w:bCs/>
          <w:sz w:val="22"/>
          <w:szCs w:val="22"/>
        </w:rPr>
        <w:t xml:space="preserve">When benchmarking against countries at a similar level of technological development, Thailand scored below peers in </w:t>
      </w:r>
      <w:r w:rsidRPr="00FA3928">
        <w:rPr>
          <w:rFonts w:asciiTheme="majorHAnsi" w:hAnsiTheme="majorHAnsi" w:cstheme="majorHAnsi"/>
          <w:b/>
          <w:bCs/>
          <w:sz w:val="22"/>
          <w:szCs w:val="22"/>
        </w:rPr>
        <w:t xml:space="preserve">all </w:t>
      </w:r>
      <w:r>
        <w:rPr>
          <w:rFonts w:asciiTheme="majorHAnsi" w:hAnsiTheme="majorHAnsi" w:cstheme="majorHAnsi"/>
          <w:b/>
          <w:bCs/>
          <w:sz w:val="22"/>
          <w:szCs w:val="22"/>
        </w:rPr>
        <w:t xml:space="preserve">five </w:t>
      </w:r>
      <w:r w:rsidRPr="00FA3928">
        <w:rPr>
          <w:rFonts w:asciiTheme="majorHAnsi" w:hAnsiTheme="majorHAnsi" w:cstheme="majorHAnsi"/>
          <w:b/>
          <w:bCs/>
          <w:sz w:val="22"/>
          <w:szCs w:val="22"/>
        </w:rPr>
        <w:t>pillars</w:t>
      </w:r>
      <w:r>
        <w:rPr>
          <w:rFonts w:asciiTheme="majorHAnsi" w:hAnsiTheme="majorHAnsi" w:cstheme="majorHAnsi"/>
          <w:b/>
          <w:bCs/>
          <w:sz w:val="22"/>
          <w:szCs w:val="22"/>
        </w:rPr>
        <w:t xml:space="preserve"> for </w:t>
      </w:r>
      <w:r w:rsidRPr="00C25BBA">
        <w:rPr>
          <w:rFonts w:asciiTheme="majorHAnsi" w:hAnsiTheme="majorHAnsi" w:cstheme="majorHAnsi"/>
          <w:b/>
          <w:bCs/>
          <w:sz w:val="22"/>
          <w:szCs w:val="22"/>
        </w:rPr>
        <w:t>the Knowledge Economy Ecosystem</w:t>
      </w:r>
      <w:r w:rsidRPr="00FA3928">
        <w:rPr>
          <w:rFonts w:asciiTheme="majorHAnsi" w:hAnsiTheme="majorHAnsi" w:cstheme="majorHAnsi"/>
          <w:b/>
          <w:bCs/>
          <w:sz w:val="22"/>
          <w:szCs w:val="22"/>
        </w:rPr>
        <w:t>, except in the domain of financial infrastructure</w:t>
      </w:r>
      <w:r>
        <w:rPr>
          <w:rFonts w:asciiTheme="majorHAnsi" w:hAnsiTheme="majorHAnsi" w:cstheme="majorHAnsi"/>
          <w:b/>
          <w:bCs/>
          <w:sz w:val="22"/>
          <w:szCs w:val="22"/>
        </w:rPr>
        <w:t xml:space="preserve">. </w:t>
      </w:r>
      <w:r>
        <w:rPr>
          <w:rFonts w:asciiTheme="majorHAnsi" w:hAnsiTheme="majorHAnsi" w:cstheme="majorHAnsi"/>
          <w:sz w:val="22"/>
          <w:szCs w:val="22"/>
        </w:rPr>
        <w:t>Despite significant improvement in ICT and innovation infrastructure over the last decade, the observed improvements are still inadequate. Moreover, Thailand scores especially poorly in the quality of institutions domain and is ahead of only Vietnam, Cambodia, Myanmar, and Lao PDR in the EAP region. The KEI</w:t>
      </w:r>
      <w:r w:rsidRPr="00F15A27">
        <w:rPr>
          <w:rFonts w:asciiTheme="majorHAnsi" w:hAnsiTheme="majorHAnsi" w:cstheme="majorHAnsi"/>
          <w:sz w:val="22"/>
          <w:szCs w:val="22"/>
        </w:rPr>
        <w:t xml:space="preserve"> index </w:t>
      </w:r>
      <w:r>
        <w:rPr>
          <w:rFonts w:asciiTheme="majorHAnsi" w:hAnsiTheme="majorHAnsi" w:cstheme="majorHAnsi"/>
          <w:sz w:val="22"/>
          <w:szCs w:val="22"/>
        </w:rPr>
        <w:t>therefore is lower than the expected value given the country’s level of technological development (Figure A.</w:t>
      </w:r>
      <w:r w:rsidR="00605C73">
        <w:rPr>
          <w:rFonts w:asciiTheme="majorHAnsi" w:hAnsiTheme="majorHAnsi" w:cstheme="majorHAnsi"/>
          <w:sz w:val="22"/>
          <w:szCs w:val="22"/>
        </w:rPr>
        <w:t>6</w:t>
      </w:r>
      <w:r>
        <w:rPr>
          <w:rFonts w:asciiTheme="majorHAnsi" w:hAnsiTheme="majorHAnsi" w:cstheme="majorHAnsi"/>
          <w:sz w:val="22"/>
          <w:szCs w:val="22"/>
        </w:rPr>
        <w:t>.2A).</w:t>
      </w:r>
      <w:r w:rsidRPr="00F15A27">
        <w:rPr>
          <w:rFonts w:asciiTheme="majorHAnsi" w:hAnsiTheme="majorHAnsi" w:cstheme="majorHAnsi"/>
          <w:sz w:val="22"/>
          <w:szCs w:val="22"/>
        </w:rPr>
        <w:t xml:space="preserve"> </w:t>
      </w:r>
      <w:r>
        <w:rPr>
          <w:rFonts w:asciiTheme="majorHAnsi" w:hAnsiTheme="majorHAnsi" w:cstheme="majorHAnsi"/>
          <w:sz w:val="22"/>
          <w:szCs w:val="22"/>
        </w:rPr>
        <w:t xml:space="preserve"> Thailand also lacks high-skilled workforce. While fast-growing economies in the last decade (such as Vietnam and China) and advanced economies (such as Singapore, Japan, Korea, and New Zealand) all perform well above the expected value given their levels of technological development, Thailand’s </w:t>
      </w:r>
      <w:r w:rsidRPr="00555248">
        <w:rPr>
          <w:rFonts w:asciiTheme="majorHAnsi" w:hAnsiTheme="majorHAnsi" w:cstheme="majorHAnsi"/>
          <w:sz w:val="22"/>
          <w:szCs w:val="22"/>
        </w:rPr>
        <w:t xml:space="preserve">average learning-adjusted years of schooling for adults aged 25 or more </w:t>
      </w:r>
      <w:r>
        <w:rPr>
          <w:rFonts w:asciiTheme="majorHAnsi" w:hAnsiTheme="majorHAnsi" w:cstheme="majorHAnsi"/>
          <w:sz w:val="22"/>
          <w:szCs w:val="22"/>
        </w:rPr>
        <w:t>is around 1.5 years below the benchmark (Figure A.</w:t>
      </w:r>
      <w:r w:rsidR="00605C73">
        <w:rPr>
          <w:rFonts w:asciiTheme="majorHAnsi" w:hAnsiTheme="majorHAnsi" w:cstheme="majorHAnsi"/>
          <w:sz w:val="22"/>
          <w:szCs w:val="22"/>
        </w:rPr>
        <w:t>6</w:t>
      </w:r>
      <w:r>
        <w:rPr>
          <w:rFonts w:asciiTheme="majorHAnsi" w:hAnsiTheme="majorHAnsi" w:cstheme="majorHAnsi"/>
          <w:sz w:val="22"/>
          <w:szCs w:val="22"/>
        </w:rPr>
        <w:t xml:space="preserve">.2B). </w:t>
      </w:r>
    </w:p>
    <w:tbl>
      <w:tblPr>
        <w:tblStyle w:val="TableGrid"/>
        <w:tblW w:w="9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B40F3A" w:rsidRPr="00843E84" w14:paraId="63080A5A" w14:textId="77777777" w:rsidTr="006C4828">
        <w:trPr>
          <w:trHeight w:val="271"/>
        </w:trPr>
        <w:tc>
          <w:tcPr>
            <w:tcW w:w="9495" w:type="dxa"/>
            <w:gridSpan w:val="2"/>
          </w:tcPr>
          <w:p w14:paraId="79C3AE70" w14:textId="4B79B7EB" w:rsidR="00B40F3A" w:rsidRPr="00CE2F54" w:rsidRDefault="00B40F3A">
            <w:pPr>
              <w:pStyle w:val="Figure"/>
            </w:pPr>
            <w:r w:rsidRPr="00CE2F54">
              <w:lastRenderedPageBreak/>
              <w:t>Figure A.</w:t>
            </w:r>
            <w:r w:rsidR="00605C73">
              <w:t>6</w:t>
            </w:r>
            <w:r w:rsidRPr="00CE2F54">
              <w:t>.</w:t>
            </w:r>
            <w:r>
              <w:t>2</w:t>
            </w:r>
            <w:r w:rsidRPr="00CE2F54">
              <w:t xml:space="preserve"> </w:t>
            </w:r>
            <w:r>
              <w:t>K</w:t>
            </w:r>
            <w:r w:rsidRPr="002D5132">
              <w:t xml:space="preserve">nowledge </w:t>
            </w:r>
            <w:r>
              <w:t>e</w:t>
            </w:r>
            <w:r w:rsidRPr="002D5132">
              <w:t xml:space="preserve">conomy </w:t>
            </w:r>
            <w:r>
              <w:t>i</w:t>
            </w:r>
            <w:r w:rsidRPr="002D5132">
              <w:t xml:space="preserve">nfrastructure </w:t>
            </w:r>
            <w:r>
              <w:t>i</w:t>
            </w:r>
            <w:r w:rsidRPr="002D5132">
              <w:t>ndex</w:t>
            </w:r>
            <w:r>
              <w:t xml:space="preserve"> and l</w:t>
            </w:r>
            <w:r w:rsidRPr="002D5132">
              <w:t>earning-adjusted years of schooling</w:t>
            </w:r>
            <w:r>
              <w:t xml:space="preserve"> against international peers (2018)</w:t>
            </w:r>
          </w:p>
        </w:tc>
      </w:tr>
      <w:tr w:rsidR="00B40F3A" w:rsidRPr="00D914E8" w14:paraId="42FF4514" w14:textId="77777777" w:rsidTr="006C4828">
        <w:trPr>
          <w:trHeight w:val="271"/>
        </w:trPr>
        <w:tc>
          <w:tcPr>
            <w:tcW w:w="4747" w:type="dxa"/>
          </w:tcPr>
          <w:p w14:paraId="46820EB7" w14:textId="77777777" w:rsidR="00B40F3A" w:rsidRPr="00CE2F54" w:rsidRDefault="00B40F3A" w:rsidP="006C4828">
            <w:pPr>
              <w:pStyle w:val="figuredescription"/>
            </w:pPr>
            <w:r w:rsidRPr="00CE2F54">
              <w:t>A.</w:t>
            </w:r>
            <w:r w:rsidRPr="002D5132">
              <w:t xml:space="preserve"> Knowledge Economy Infrastructure Index (KEI)</w:t>
            </w:r>
          </w:p>
        </w:tc>
        <w:tc>
          <w:tcPr>
            <w:tcW w:w="4748" w:type="dxa"/>
          </w:tcPr>
          <w:p w14:paraId="067B4B2A" w14:textId="77777777" w:rsidR="00B40F3A" w:rsidRPr="00CE2F54" w:rsidRDefault="00B40F3A" w:rsidP="006C4828">
            <w:pPr>
              <w:pStyle w:val="figuredescription"/>
            </w:pPr>
            <w:r w:rsidRPr="00CE2F54">
              <w:t xml:space="preserve">B. </w:t>
            </w:r>
            <w:r>
              <w:t>L</w:t>
            </w:r>
            <w:r w:rsidRPr="002D5132">
              <w:t>earning-adjusted years of schooling (LAYS)</w:t>
            </w:r>
          </w:p>
        </w:tc>
      </w:tr>
      <w:tr w:rsidR="00B40F3A" w:rsidRPr="00843E84" w14:paraId="028F0426" w14:textId="77777777" w:rsidTr="006C4828">
        <w:trPr>
          <w:trHeight w:val="4362"/>
        </w:trPr>
        <w:tc>
          <w:tcPr>
            <w:tcW w:w="4747" w:type="dxa"/>
          </w:tcPr>
          <w:p w14:paraId="5609DA4B" w14:textId="707C24E8" w:rsidR="00B40F3A" w:rsidRPr="00CE2F54" w:rsidRDefault="009E594F" w:rsidP="006C4828">
            <w:pPr>
              <w:rPr>
                <w:rFonts w:asciiTheme="majorHAnsi" w:hAnsiTheme="majorHAnsi" w:cstheme="majorHAnsi"/>
              </w:rPr>
            </w:pPr>
            <w:r w:rsidRPr="00AB790A">
              <w:rPr>
                <w:noProof/>
                <w:lang w:val="en-GB" w:eastAsia="en-GB"/>
              </w:rPr>
              <w:drawing>
                <wp:inline distT="0" distB="0" distL="0" distR="0" wp14:anchorId="65A0D483" wp14:editId="660585B9">
                  <wp:extent cx="27432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748" w:type="dxa"/>
          </w:tcPr>
          <w:p w14:paraId="53085AC4" w14:textId="487B70CD" w:rsidR="00B40F3A" w:rsidRPr="00CE2F54" w:rsidRDefault="003C0105" w:rsidP="006C4828">
            <w:pPr>
              <w:rPr>
                <w:rFonts w:asciiTheme="majorHAnsi" w:hAnsiTheme="majorHAnsi" w:cstheme="majorHAnsi"/>
              </w:rPr>
            </w:pPr>
            <w:r w:rsidRPr="00AB790A">
              <w:rPr>
                <w:noProof/>
                <w:lang w:val="en-GB" w:eastAsia="en-GB"/>
              </w:rPr>
              <w:drawing>
                <wp:inline distT="0" distB="0" distL="0" distR="0" wp14:anchorId="42A331C1" wp14:editId="09B890C8">
                  <wp:extent cx="2743200" cy="2743200"/>
                  <wp:effectExtent l="0" t="0" r="0" b="0"/>
                  <wp:docPr id="194727714" name="Picture 19472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B40F3A" w:rsidRPr="003C0105" w14:paraId="3DEBC8E3" w14:textId="77777777" w:rsidTr="006C4828">
        <w:trPr>
          <w:trHeight w:val="207"/>
        </w:trPr>
        <w:tc>
          <w:tcPr>
            <w:tcW w:w="9495" w:type="dxa"/>
            <w:gridSpan w:val="2"/>
          </w:tcPr>
          <w:p w14:paraId="439ECB58" w14:textId="77777777" w:rsidR="00B40F3A" w:rsidRPr="003C0105" w:rsidRDefault="00B40F3A" w:rsidP="003C0105">
            <w:pPr>
              <w:pStyle w:val="Source"/>
            </w:pPr>
            <w:r w:rsidRPr="004C681A">
              <w:rPr>
                <w:b/>
                <w:bCs/>
                <w:i/>
                <w:iCs/>
              </w:rPr>
              <w:t>Note:</w:t>
            </w:r>
            <w:r w:rsidRPr="003C0105">
              <w:rPr>
                <w:i/>
                <w:iCs/>
              </w:rPr>
              <w:t xml:space="preserve"> </w:t>
            </w:r>
            <w:r w:rsidRPr="003C0105">
              <w:t>Distance from the global technological frontier is measured using the log TFP gap.</w:t>
            </w:r>
          </w:p>
        </w:tc>
      </w:tr>
    </w:tbl>
    <w:p w14:paraId="198675BF" w14:textId="77777777" w:rsidR="00B40F3A" w:rsidRDefault="00B40F3A" w:rsidP="00B40F3A">
      <w:pPr>
        <w:pStyle w:val="Default"/>
        <w:spacing w:after="200" w:line="276" w:lineRule="auto"/>
        <w:jc w:val="both"/>
        <w:rPr>
          <w:rFonts w:asciiTheme="majorHAnsi" w:hAnsiTheme="majorHAnsi" w:cstheme="majorHAnsi"/>
          <w:sz w:val="22"/>
          <w:szCs w:val="22"/>
        </w:rPr>
      </w:pPr>
    </w:p>
    <w:p w14:paraId="565FEC96" w14:textId="77777777" w:rsidR="00B40F3A" w:rsidRDefault="00B40F3A" w:rsidP="00B40F3A">
      <w:pPr>
        <w:rPr>
          <w:rFonts w:asciiTheme="majorHAnsi" w:hAnsiTheme="majorHAnsi" w:cstheme="majorHAnsi"/>
          <w:shd w:val="clear" w:color="auto" w:fill="FFFFFF"/>
        </w:rPr>
      </w:pPr>
    </w:p>
    <w:p w14:paraId="64B53198" w14:textId="77777777" w:rsidR="004743A6" w:rsidRDefault="004743A6" w:rsidP="002A0E02">
      <w:pPr>
        <w:pStyle w:val="Default"/>
        <w:spacing w:before="240" w:after="240"/>
        <w:jc w:val="both"/>
        <w:rPr>
          <w:rFonts w:asciiTheme="majorHAnsi" w:eastAsia="Times New Roman" w:hAnsiTheme="majorHAnsi" w:cstheme="majorBidi"/>
          <w:sz w:val="22"/>
          <w:szCs w:val="22"/>
        </w:rPr>
      </w:pPr>
    </w:p>
    <w:p w14:paraId="5465BEDA" w14:textId="0E3DD93F" w:rsidR="004743A6" w:rsidRDefault="004743A6">
      <w:pPr>
        <w:rPr>
          <w:rFonts w:ascii="Berlin Sans FB" w:eastAsiaTheme="majorEastAsia" w:hAnsi="Berlin Sans FB" w:cstheme="majorBidi"/>
          <w:color w:val="1E2D40" w:themeColor="accent1" w:themeShade="80"/>
          <w:sz w:val="24"/>
          <w:szCs w:val="24"/>
        </w:rPr>
      </w:pPr>
      <w:r>
        <w:br w:type="page"/>
      </w:r>
    </w:p>
    <w:p w14:paraId="7237784D" w14:textId="1791961A" w:rsidR="00286A3C" w:rsidRDefault="00726342" w:rsidP="00863D57">
      <w:pPr>
        <w:pStyle w:val="Heading1"/>
      </w:pPr>
      <w:bookmarkStart w:id="446" w:name="_Annex_5:_Recent"/>
      <w:bookmarkStart w:id="447" w:name="_Annex_6:_Thailand’s"/>
      <w:bookmarkStart w:id="448" w:name="_Toc129183391"/>
      <w:bookmarkStart w:id="449" w:name="_Toc159763571"/>
      <w:bookmarkEnd w:id="446"/>
      <w:bookmarkEnd w:id="447"/>
      <w:r w:rsidRPr="0019548E">
        <w:lastRenderedPageBreak/>
        <w:t xml:space="preserve">Annex </w:t>
      </w:r>
      <w:r w:rsidR="004D526B">
        <w:t>7</w:t>
      </w:r>
      <w:r w:rsidRPr="0019548E">
        <w:t>:</w:t>
      </w:r>
      <w:r w:rsidR="00286A3C" w:rsidRPr="0019548E">
        <w:t xml:space="preserve"> </w:t>
      </w:r>
      <w:bookmarkEnd w:id="448"/>
      <w:r w:rsidRPr="0019548E">
        <w:t>Thailand’s agriculture sector</w:t>
      </w:r>
      <w:bookmarkEnd w:id="449"/>
      <w:r w:rsidR="00286A3C" w:rsidRPr="0019548E">
        <w:t xml:space="preserve"> </w:t>
      </w:r>
    </w:p>
    <w:p w14:paraId="15F91FCA" w14:textId="003946C1" w:rsidR="008C4C5E" w:rsidRPr="00B67989" w:rsidRDefault="008C4C5E" w:rsidP="008C4C5E">
      <w:pPr>
        <w:pStyle w:val="ListParagraph"/>
        <w:spacing w:before="160" w:afterLines="160" w:after="384" w:line="240" w:lineRule="auto"/>
        <w:ind w:left="0"/>
        <w:jc w:val="both"/>
        <w:rPr>
          <w:rFonts w:asciiTheme="majorHAnsi" w:hAnsiTheme="majorHAnsi" w:cstheme="majorHAnsi"/>
        </w:rPr>
      </w:pPr>
      <w:r w:rsidRPr="052E2B2B">
        <w:rPr>
          <w:rFonts w:asciiTheme="majorHAnsi" w:hAnsiTheme="majorHAnsi" w:cstheme="majorBidi"/>
          <w:b/>
        </w:rPr>
        <w:t>Over the next decade, global food consumption is estimated to increase by 1.4 percent annually, yet global agricultural production</w:t>
      </w:r>
      <w:r w:rsidR="002D689E">
        <w:rPr>
          <w:rFonts w:asciiTheme="majorHAnsi" w:hAnsiTheme="majorHAnsi" w:cstheme="majorBidi"/>
          <w:b/>
        </w:rPr>
        <w:t>—</w:t>
      </w:r>
      <w:r w:rsidRPr="052E2B2B">
        <w:rPr>
          <w:rFonts w:asciiTheme="majorHAnsi" w:hAnsiTheme="majorHAnsi" w:cstheme="majorBidi"/>
          <w:b/>
        </w:rPr>
        <w:t>the source of much food</w:t>
      </w:r>
      <w:r w:rsidR="002D689E">
        <w:rPr>
          <w:rFonts w:asciiTheme="majorHAnsi" w:hAnsiTheme="majorHAnsi" w:cstheme="majorBidi"/>
          <w:b/>
        </w:rPr>
        <w:t>—i</w:t>
      </w:r>
      <w:r w:rsidRPr="052E2B2B">
        <w:rPr>
          <w:rFonts w:asciiTheme="majorHAnsi" w:hAnsiTheme="majorHAnsi" w:cstheme="majorBidi"/>
          <w:b/>
        </w:rPr>
        <w:t xml:space="preserve">s only due to increase by 1.1 percent annually. </w:t>
      </w:r>
      <w:r w:rsidRPr="052E2B2B">
        <w:rPr>
          <w:rFonts w:asciiTheme="majorHAnsi" w:hAnsiTheme="majorHAnsi" w:cstheme="majorBidi"/>
          <w:color w:val="000000" w:themeColor="text1"/>
        </w:rPr>
        <w:t>Additional demand for food would primarily come from low- and middle-income countries.</w:t>
      </w:r>
      <w:r w:rsidRPr="052E2B2B">
        <w:rPr>
          <w:rStyle w:val="FootnoteReference"/>
          <w:rFonts w:asciiTheme="majorHAnsi" w:hAnsiTheme="majorHAnsi" w:cstheme="majorBidi"/>
          <w:color w:val="000000" w:themeColor="text1"/>
          <w:vertAlign w:val="superscript"/>
        </w:rPr>
        <w:footnoteReference w:id="21"/>
      </w:r>
      <w:r w:rsidRPr="052E2B2B">
        <w:rPr>
          <w:rFonts w:asciiTheme="majorHAnsi" w:hAnsiTheme="majorHAnsi" w:cstheme="majorBidi"/>
          <w:color w:val="000000" w:themeColor="text1"/>
        </w:rPr>
        <w:t xml:space="preserve"> Thailand is the world’s largest exporter of tapioca products, rubber, frozen shrimp, canned tuna, and canned pineapple. It also exports rice.</w:t>
      </w:r>
      <w:r w:rsidRPr="052E2B2B">
        <w:rPr>
          <w:rStyle w:val="FootnoteReference"/>
          <w:rFonts w:asciiTheme="majorHAnsi" w:hAnsiTheme="majorHAnsi" w:cstheme="majorBidi"/>
          <w:color w:val="000000" w:themeColor="text1"/>
          <w:vertAlign w:val="superscript"/>
        </w:rPr>
        <w:footnoteReference w:id="22"/>
      </w:r>
      <w:r w:rsidRPr="052E2B2B">
        <w:rPr>
          <w:rFonts w:asciiTheme="majorHAnsi" w:hAnsiTheme="majorHAnsi" w:cstheme="majorBidi"/>
          <w:color w:val="000000" w:themeColor="text1"/>
          <w:shd w:val="clear" w:color="auto" w:fill="FFFFFF"/>
        </w:rPr>
        <w:t xml:space="preserve"> In 2021, the total value of food exports was US$34.6 billion.</w:t>
      </w:r>
      <w:r w:rsidRPr="052E2B2B">
        <w:rPr>
          <w:rStyle w:val="FootnoteReference"/>
          <w:rFonts w:asciiTheme="majorHAnsi" w:hAnsiTheme="majorHAnsi" w:cstheme="majorBidi"/>
          <w:color w:val="000000" w:themeColor="text1"/>
          <w:shd w:val="clear" w:color="auto" w:fill="FFFFFF"/>
          <w:vertAlign w:val="superscript"/>
        </w:rPr>
        <w:footnoteReference w:id="23"/>
      </w:r>
      <w:r w:rsidRPr="052E2B2B">
        <w:rPr>
          <w:rFonts w:asciiTheme="majorHAnsi" w:hAnsiTheme="majorHAnsi" w:cstheme="majorBidi"/>
          <w:color w:val="000000" w:themeColor="text1"/>
          <w:shd w:val="clear" w:color="auto" w:fill="FFFFFF"/>
          <w:vertAlign w:val="superscript"/>
        </w:rPr>
        <w:t xml:space="preserve"> </w:t>
      </w:r>
    </w:p>
    <w:p w14:paraId="11453412" w14:textId="77777777" w:rsidR="008C4C5E" w:rsidRPr="00A06267" w:rsidRDefault="008C4C5E" w:rsidP="008C4C5E">
      <w:pPr>
        <w:pStyle w:val="ListParagraph"/>
        <w:spacing w:before="160" w:afterLines="160" w:after="384" w:line="240" w:lineRule="auto"/>
        <w:ind w:left="0"/>
        <w:jc w:val="both"/>
        <w:rPr>
          <w:rFonts w:asciiTheme="majorHAnsi" w:hAnsiTheme="majorHAnsi" w:cstheme="majorHAnsi"/>
        </w:rPr>
      </w:pPr>
    </w:p>
    <w:p w14:paraId="26EB460C" w14:textId="77777777" w:rsidR="008C4C5E" w:rsidRPr="00E9090B" w:rsidRDefault="008C4C5E" w:rsidP="008C4C5E">
      <w:pPr>
        <w:pStyle w:val="ListParagraph"/>
        <w:spacing w:before="160" w:afterLines="160" w:after="384" w:line="240" w:lineRule="auto"/>
        <w:ind w:left="0"/>
        <w:jc w:val="both"/>
        <w:rPr>
          <w:rFonts w:asciiTheme="majorHAnsi" w:hAnsiTheme="majorHAnsi" w:cstheme="majorHAnsi"/>
        </w:rPr>
      </w:pPr>
      <w:r w:rsidRPr="052E2B2B">
        <w:rPr>
          <w:rFonts w:asciiTheme="majorHAnsi" w:hAnsiTheme="majorHAnsi" w:cstheme="majorBidi"/>
          <w:b/>
        </w:rPr>
        <w:t>Agriculture</w:t>
      </w:r>
      <w:r w:rsidRPr="052E2B2B">
        <w:rPr>
          <w:rFonts w:asciiTheme="majorHAnsi" w:eastAsia="Times New Roman" w:hAnsiTheme="majorHAnsi" w:cstheme="majorBidi"/>
          <w:b/>
        </w:rPr>
        <w:t>, a major pillar of the Thai economy, employs one-third of labor force and contributes around 8 percent of GDP</w:t>
      </w:r>
      <w:r w:rsidRPr="052E2B2B">
        <w:rPr>
          <w:rFonts w:asciiTheme="majorHAnsi" w:eastAsia="Times New Roman" w:hAnsiTheme="majorHAnsi" w:cstheme="majorBidi"/>
        </w:rPr>
        <w:t>.</w:t>
      </w:r>
      <w:r w:rsidRPr="052E2B2B">
        <w:rPr>
          <w:rStyle w:val="FootnoteReference"/>
          <w:rFonts w:asciiTheme="majorHAnsi" w:eastAsia="Times New Roman" w:hAnsiTheme="majorHAnsi" w:cstheme="majorBidi"/>
          <w:vertAlign w:val="superscript"/>
        </w:rPr>
        <w:footnoteReference w:id="24"/>
      </w:r>
      <w:r w:rsidRPr="052E2B2B">
        <w:rPr>
          <w:rFonts w:asciiTheme="majorHAnsi" w:hAnsiTheme="majorHAnsi" w:cstheme="majorBidi"/>
          <w:shd w:val="clear" w:color="auto" w:fill="FFFFFF"/>
        </w:rPr>
        <w:t xml:space="preserve"> </w:t>
      </w:r>
      <w:r w:rsidRPr="052E2B2B">
        <w:rPr>
          <w:rFonts w:asciiTheme="majorHAnsi" w:eastAsia="Times New Roman" w:hAnsiTheme="majorHAnsi" w:cstheme="majorBidi"/>
        </w:rPr>
        <w:t>Thailand has diversified the sector towards horticulture and animal husbandry</w:t>
      </w:r>
      <w:r w:rsidRPr="052E2B2B">
        <w:rPr>
          <w:rFonts w:asciiTheme="majorHAnsi" w:hAnsiTheme="majorHAnsi" w:cstheme="majorBidi"/>
          <w:color w:val="000000"/>
          <w:shd w:val="clear" w:color="auto" w:fill="FFFFFF"/>
        </w:rPr>
        <w:t xml:space="preserve"> and has successfully expanded its downstream, value-added manufacturing capacity to establish one of the largest export-oriented agri-business hubs in the region. In the next five years, </w:t>
      </w:r>
      <w:r w:rsidRPr="052E2B2B">
        <w:rPr>
          <w:rFonts w:asciiTheme="majorHAnsi" w:hAnsiTheme="majorHAnsi" w:cstheme="majorBidi"/>
        </w:rPr>
        <w:t xml:space="preserve">Thailand strives to be a leader for high-value agriculture and processed agricultural products. The key targets include GDP from the agricultural sector to grow by 4.5 percent annually; total productivity in the agricultural sector to be no less than 1.5 percent; and the number of </w:t>
      </w:r>
      <w:r w:rsidRPr="00E9090B">
        <w:rPr>
          <w:rFonts w:asciiTheme="majorHAnsi" w:hAnsiTheme="majorHAnsi" w:cstheme="majorBidi"/>
        </w:rPr>
        <w:t>community enterprises to increase by 35 percent.</w:t>
      </w:r>
      <w:r w:rsidRPr="00E9090B">
        <w:rPr>
          <w:rStyle w:val="FootnoteReference"/>
          <w:rFonts w:asciiTheme="majorHAnsi" w:hAnsiTheme="majorHAnsi" w:cstheme="majorBidi"/>
          <w:vertAlign w:val="superscript"/>
        </w:rPr>
        <w:footnoteReference w:id="25"/>
      </w:r>
    </w:p>
    <w:p w14:paraId="2AEAF3FB" w14:textId="77777777" w:rsidR="008C4C5E" w:rsidRPr="00E9090B" w:rsidRDefault="008C4C5E" w:rsidP="008C4C5E">
      <w:pPr>
        <w:pStyle w:val="ListParagraph"/>
        <w:spacing w:before="160" w:afterLines="160" w:after="384" w:line="240" w:lineRule="auto"/>
        <w:ind w:left="0"/>
        <w:jc w:val="both"/>
        <w:rPr>
          <w:rFonts w:asciiTheme="majorHAnsi" w:hAnsiTheme="majorHAnsi" w:cstheme="majorHAnsi"/>
        </w:rPr>
      </w:pPr>
    </w:p>
    <w:p w14:paraId="129EB1D0" w14:textId="77777777" w:rsidR="008C4C5E" w:rsidRPr="00E9090B" w:rsidRDefault="008C4C5E" w:rsidP="008C4C5E">
      <w:pPr>
        <w:pStyle w:val="ListParagraph"/>
        <w:spacing w:before="160" w:afterLines="160" w:after="384" w:line="240" w:lineRule="auto"/>
        <w:ind w:left="0"/>
        <w:jc w:val="both"/>
        <w:rPr>
          <w:rFonts w:asciiTheme="majorHAnsi" w:hAnsiTheme="majorHAnsi" w:cstheme="majorHAnsi"/>
        </w:rPr>
      </w:pPr>
      <w:r w:rsidRPr="00E9090B">
        <w:rPr>
          <w:rFonts w:asciiTheme="majorHAnsi" w:hAnsiTheme="majorHAnsi" w:cstheme="majorHAnsi"/>
          <w:b/>
          <w:bCs/>
        </w:rPr>
        <w:t>This</w:t>
      </w:r>
      <w:r w:rsidRPr="00E9090B">
        <w:rPr>
          <w:rFonts w:asciiTheme="majorHAnsi" w:hAnsiTheme="majorHAnsi" w:cstheme="majorHAnsi"/>
          <w:b/>
          <w:bCs/>
          <w:color w:val="000000"/>
          <w:shd w:val="clear" w:color="auto" w:fill="FFFFFF"/>
        </w:rPr>
        <w:t xml:space="preserve"> impressive performance, however, conceals the situation of local and small farmers in the country. </w:t>
      </w:r>
      <w:r w:rsidRPr="00E9090B">
        <w:rPr>
          <w:rFonts w:asciiTheme="majorHAnsi" w:hAnsiTheme="majorHAnsi" w:cstheme="majorHAnsi"/>
          <w:color w:val="000000"/>
          <w:shd w:val="clear" w:color="auto" w:fill="FFFFFF"/>
        </w:rPr>
        <w:t>These farmers are stuck in subsistence farming and intergenerational poverty, especially in the North and Northeast regions. Thailand is in a good place to increase its share of the global agriculture and food trade, provided it can convert its agriculture into a high performing, competitive sector by addressing some of the longstanding issues and challenges around productivity, inequality, inclusion, greening, and innovation.</w:t>
      </w:r>
    </w:p>
    <w:p w14:paraId="0008AEE8" w14:textId="5089BCCB" w:rsidR="00286A3C" w:rsidRPr="00E9090B" w:rsidRDefault="00286A3C" w:rsidP="0019548E">
      <w:pPr>
        <w:pStyle w:val="Heading3"/>
        <w:rPr>
          <w:rStyle w:val="IntenseEmphasis"/>
          <w:i w:val="0"/>
          <w:iCs w:val="0"/>
          <w:color w:val="1E2C3F" w:themeColor="accent1" w:themeShade="7F"/>
        </w:rPr>
      </w:pPr>
      <w:r w:rsidRPr="00E9090B">
        <w:rPr>
          <w:rStyle w:val="IntenseEmphasis"/>
          <w:i w:val="0"/>
          <w:iCs w:val="0"/>
          <w:color w:val="1E2C3F" w:themeColor="accent1" w:themeShade="7F"/>
        </w:rPr>
        <w:t xml:space="preserve">Agricultural </w:t>
      </w:r>
      <w:r w:rsidR="00EF7CAD" w:rsidRPr="00E9090B">
        <w:rPr>
          <w:rStyle w:val="IntenseEmphasis"/>
          <w:i w:val="0"/>
          <w:iCs w:val="0"/>
          <w:color w:val="1E2C3F" w:themeColor="accent1" w:themeShade="7F"/>
        </w:rPr>
        <w:t>p</w:t>
      </w:r>
      <w:r w:rsidRPr="00E9090B">
        <w:rPr>
          <w:rStyle w:val="IntenseEmphasis"/>
          <w:i w:val="0"/>
          <w:iCs w:val="0"/>
          <w:color w:val="1E2C3F" w:themeColor="accent1" w:themeShade="7F"/>
        </w:rPr>
        <w:t xml:space="preserve">roductivity and </w:t>
      </w:r>
      <w:r w:rsidR="00EF7CAD" w:rsidRPr="00E9090B">
        <w:rPr>
          <w:rStyle w:val="IntenseEmphasis"/>
          <w:i w:val="0"/>
          <w:iCs w:val="0"/>
          <w:color w:val="1E2C3F" w:themeColor="accent1" w:themeShade="7F"/>
        </w:rPr>
        <w:t>f</w:t>
      </w:r>
      <w:r w:rsidRPr="00E9090B">
        <w:rPr>
          <w:rStyle w:val="IntenseEmphasis"/>
          <w:i w:val="0"/>
          <w:iCs w:val="0"/>
          <w:color w:val="1E2C3F" w:themeColor="accent1" w:themeShade="7F"/>
        </w:rPr>
        <w:t xml:space="preserve">ood </w:t>
      </w:r>
      <w:r w:rsidR="00EF7CAD" w:rsidRPr="00E9090B">
        <w:rPr>
          <w:rStyle w:val="IntenseEmphasis"/>
          <w:i w:val="0"/>
          <w:iCs w:val="0"/>
          <w:color w:val="1E2C3F" w:themeColor="accent1" w:themeShade="7F"/>
        </w:rPr>
        <w:t>s</w:t>
      </w:r>
      <w:r w:rsidRPr="00E9090B">
        <w:rPr>
          <w:rStyle w:val="IntenseEmphasis"/>
          <w:i w:val="0"/>
          <w:iCs w:val="0"/>
          <w:color w:val="1E2C3F" w:themeColor="accent1" w:themeShade="7F"/>
        </w:rPr>
        <w:t>ecurity</w:t>
      </w:r>
    </w:p>
    <w:p w14:paraId="682AABBB" w14:textId="0B198B13" w:rsidR="00286A3C" w:rsidRPr="00E9090B" w:rsidRDefault="00286A3C" w:rsidP="00286A3C">
      <w:pPr>
        <w:pStyle w:val="ListParagraph"/>
        <w:spacing w:before="160" w:afterLines="160" w:after="384" w:line="240" w:lineRule="auto"/>
        <w:ind w:left="0"/>
        <w:jc w:val="both"/>
        <w:rPr>
          <w:rFonts w:asciiTheme="majorHAnsi" w:hAnsiTheme="majorHAnsi" w:cstheme="majorHAnsi"/>
          <w:b/>
          <w:bCs/>
          <w:color w:val="000000"/>
          <w:shd w:val="clear" w:color="auto" w:fill="FFFFFF"/>
        </w:rPr>
      </w:pPr>
    </w:p>
    <w:p w14:paraId="480B20A4" w14:textId="47383438" w:rsidR="00286A3C" w:rsidRPr="00E9090B" w:rsidRDefault="00286A3C" w:rsidP="00E80EEC">
      <w:pPr>
        <w:pStyle w:val="ListParagraph"/>
        <w:spacing w:before="160" w:afterLines="160" w:after="384" w:line="240" w:lineRule="auto"/>
        <w:ind w:left="0"/>
        <w:jc w:val="both"/>
        <w:rPr>
          <w:rFonts w:asciiTheme="majorHAnsi" w:eastAsia="Times New Roman" w:hAnsiTheme="majorHAnsi" w:cstheme="majorHAnsi"/>
        </w:rPr>
      </w:pPr>
      <w:r w:rsidRPr="00E9090B">
        <w:rPr>
          <w:rFonts w:asciiTheme="majorHAnsi" w:hAnsiTheme="majorHAnsi" w:cstheme="majorBidi"/>
          <w:b/>
        </w:rPr>
        <w:t>Agricultural</w:t>
      </w:r>
      <w:r w:rsidRPr="00E9090B">
        <w:rPr>
          <w:rFonts w:asciiTheme="majorHAnsi" w:hAnsiTheme="majorHAnsi" w:cstheme="majorBidi"/>
          <w:b/>
          <w:color w:val="000000"/>
          <w:shd w:val="clear" w:color="auto" w:fill="FFFFFF"/>
        </w:rPr>
        <w:t xml:space="preserve"> productivity in Thailand remains low and small farmers continue to be poor.</w:t>
      </w:r>
      <w:r w:rsidRPr="00E9090B">
        <w:rPr>
          <w:rFonts w:asciiTheme="majorHAnsi" w:hAnsiTheme="majorHAnsi" w:cstheme="majorBidi"/>
          <w:color w:val="000000"/>
          <w:shd w:val="clear" w:color="auto" w:fill="FFFFFF"/>
        </w:rPr>
        <w:t xml:space="preserve"> </w:t>
      </w:r>
      <w:r w:rsidRPr="00E9090B">
        <w:rPr>
          <w:rFonts w:asciiTheme="majorHAnsi" w:eastAsia="Times New Roman" w:hAnsiTheme="majorHAnsi" w:cstheme="majorBidi"/>
        </w:rPr>
        <w:t>While agriculture has diversified towards horticulture and animal husbandry, rice remains a core crop</w:t>
      </w:r>
      <w:r w:rsidR="00CE3F77" w:rsidRPr="00E9090B">
        <w:rPr>
          <w:rFonts w:asciiTheme="majorHAnsi" w:eastAsia="Times New Roman" w:hAnsiTheme="majorHAnsi" w:cstheme="majorBidi"/>
        </w:rPr>
        <w:t xml:space="preserve">; </w:t>
      </w:r>
      <w:r w:rsidRPr="00E9090B">
        <w:rPr>
          <w:rFonts w:asciiTheme="majorHAnsi" w:eastAsia="Times New Roman" w:hAnsiTheme="majorHAnsi" w:cstheme="majorBidi"/>
        </w:rPr>
        <w:t xml:space="preserve">Thai farms account for 14 percent of international rice trade. Thailand’s rice farms are, however, not very productive, or efficient (Figure </w:t>
      </w:r>
      <w:r w:rsidR="00EF6940" w:rsidRPr="00E9090B">
        <w:rPr>
          <w:rFonts w:asciiTheme="majorHAnsi" w:eastAsia="Times New Roman" w:hAnsiTheme="majorHAnsi" w:cstheme="majorBidi"/>
        </w:rPr>
        <w:t>A.</w:t>
      </w:r>
      <w:r w:rsidR="00605C73">
        <w:rPr>
          <w:rFonts w:asciiTheme="majorHAnsi" w:eastAsia="Times New Roman" w:hAnsiTheme="majorHAnsi" w:cstheme="majorBidi"/>
        </w:rPr>
        <w:t>7</w:t>
      </w:r>
      <w:r w:rsidR="00EF6940" w:rsidRPr="00E9090B">
        <w:rPr>
          <w:rFonts w:asciiTheme="majorHAnsi" w:eastAsia="Times New Roman" w:hAnsiTheme="majorHAnsi" w:cstheme="majorBidi"/>
        </w:rPr>
        <w:t>.</w:t>
      </w:r>
      <w:r w:rsidRPr="00E9090B">
        <w:rPr>
          <w:rFonts w:asciiTheme="majorHAnsi" w:eastAsia="Times New Roman" w:hAnsiTheme="majorHAnsi" w:cstheme="majorBidi"/>
        </w:rPr>
        <w:t xml:space="preserve">1). Thailand’s average yields are </w:t>
      </w:r>
      <w:r w:rsidR="00CE3F77" w:rsidRPr="00E9090B">
        <w:rPr>
          <w:rFonts w:asciiTheme="majorHAnsi" w:eastAsia="Times New Roman" w:hAnsiTheme="majorHAnsi" w:cstheme="majorBidi"/>
        </w:rPr>
        <w:t xml:space="preserve">the </w:t>
      </w:r>
      <w:r w:rsidRPr="00E9090B">
        <w:rPr>
          <w:rFonts w:asciiTheme="majorHAnsi" w:eastAsia="Times New Roman" w:hAnsiTheme="majorHAnsi" w:cstheme="majorBidi"/>
        </w:rPr>
        <w:t xml:space="preserve">lowest amongst the ASEAN’s eight rice producing countries </w:t>
      </w:r>
      <w:r w:rsidRPr="00E9090B">
        <w:rPr>
          <w:rFonts w:asciiTheme="majorHAnsi" w:hAnsiTheme="majorHAnsi" w:cstheme="majorBidi"/>
          <w:shd w:val="clear" w:color="auto" w:fill="FFFFFF"/>
        </w:rPr>
        <w:t xml:space="preserve">of </w:t>
      </w:r>
      <w:r w:rsidRPr="00E9090B">
        <w:rPr>
          <w:rFonts w:asciiTheme="majorHAnsi" w:hAnsiTheme="majorHAnsi" w:cstheme="majorBidi"/>
        </w:rPr>
        <w:t>Cambodia, Indonesia, Lao, Malaysia, Myanmar, the Philippines, and Vietnam.</w:t>
      </w:r>
      <w:r w:rsidRPr="00E9090B">
        <w:rPr>
          <w:rFonts w:asciiTheme="majorHAnsi" w:eastAsia="Times New Roman" w:hAnsiTheme="majorHAnsi" w:cstheme="majorBidi"/>
        </w:rPr>
        <w:t xml:space="preserve"> The average Thai rice farm is too small and farmers too poor or elderly for investments in the equipment or infrastructure </w:t>
      </w:r>
      <w:r w:rsidR="00891D89" w:rsidRPr="00E9090B">
        <w:rPr>
          <w:rFonts w:asciiTheme="majorHAnsi" w:eastAsia="Times New Roman" w:hAnsiTheme="majorHAnsi" w:cstheme="majorBidi"/>
        </w:rPr>
        <w:t xml:space="preserve">needed </w:t>
      </w:r>
      <w:r w:rsidRPr="00E9090B">
        <w:rPr>
          <w:rFonts w:asciiTheme="majorHAnsi" w:eastAsia="Times New Roman" w:hAnsiTheme="majorHAnsi" w:cstheme="majorBidi"/>
        </w:rPr>
        <w:t>to improve productivity.</w:t>
      </w:r>
    </w:p>
    <w:p w14:paraId="6DF016C8" w14:textId="5AA25EFC" w:rsidR="00286A3C" w:rsidRPr="00E9090B" w:rsidRDefault="00286A3C" w:rsidP="00286A3C">
      <w:pPr>
        <w:pStyle w:val="ListParagraph"/>
        <w:spacing w:before="160" w:afterLines="160" w:after="384" w:line="240" w:lineRule="auto"/>
        <w:ind w:left="0"/>
        <w:jc w:val="both"/>
        <w:rPr>
          <w:rFonts w:asciiTheme="majorHAnsi" w:hAnsiTheme="majorHAnsi" w:cstheme="majorHAnsi"/>
          <w:b/>
          <w:bCs/>
        </w:rPr>
      </w:pPr>
    </w:p>
    <w:p w14:paraId="2EA6E361" w14:textId="50F7D9D8" w:rsidR="00286A3C" w:rsidRPr="00E9090B" w:rsidRDefault="00286A3C" w:rsidP="00E80EEC">
      <w:pPr>
        <w:pStyle w:val="ListParagraph"/>
        <w:spacing w:before="160" w:afterLines="160" w:after="384" w:line="240" w:lineRule="auto"/>
        <w:ind w:left="0"/>
        <w:jc w:val="both"/>
        <w:rPr>
          <w:rFonts w:asciiTheme="majorHAnsi" w:eastAsia="Times New Roman" w:hAnsiTheme="majorHAnsi" w:cstheme="majorHAnsi"/>
        </w:rPr>
      </w:pPr>
      <w:r w:rsidRPr="00E9090B">
        <w:rPr>
          <w:rFonts w:asciiTheme="majorHAnsi" w:hAnsiTheme="majorHAnsi" w:cstheme="majorBidi"/>
          <w:b/>
        </w:rPr>
        <w:t>Access to irrigation water</w:t>
      </w:r>
      <w:r w:rsidR="00FB7477" w:rsidRPr="00E9090B">
        <w:rPr>
          <w:rFonts w:asciiTheme="majorHAnsi" w:hAnsiTheme="majorHAnsi" w:cstheme="majorBidi"/>
          <w:b/>
          <w:i/>
        </w:rPr>
        <w:t>:</w:t>
      </w:r>
      <w:r w:rsidRPr="00E9090B">
        <w:rPr>
          <w:rFonts w:asciiTheme="majorHAnsi" w:hAnsiTheme="majorHAnsi" w:cstheme="majorBidi"/>
        </w:rPr>
        <w:t xml:space="preserve"> </w:t>
      </w:r>
      <w:r w:rsidRPr="00E9090B">
        <w:rPr>
          <w:rFonts w:asciiTheme="majorHAnsi" w:hAnsiTheme="majorHAnsi" w:cstheme="majorBidi"/>
          <w:i/>
        </w:rPr>
        <w:t xml:space="preserve"> </w:t>
      </w:r>
      <w:r w:rsidRPr="00E9090B">
        <w:rPr>
          <w:rFonts w:asciiTheme="majorHAnsi" w:hAnsiTheme="majorHAnsi" w:cstheme="majorBidi"/>
        </w:rPr>
        <w:t xml:space="preserve">Fifty-eight percent </w:t>
      </w:r>
      <w:r w:rsidR="00891D89" w:rsidRPr="00E9090B">
        <w:rPr>
          <w:rFonts w:asciiTheme="majorHAnsi" w:hAnsiTheme="majorHAnsi" w:cstheme="majorBidi"/>
        </w:rPr>
        <w:t>of</w:t>
      </w:r>
      <w:r w:rsidRPr="00E9090B">
        <w:rPr>
          <w:rFonts w:asciiTheme="majorHAnsi" w:hAnsiTheme="majorHAnsi" w:cstheme="majorBidi"/>
        </w:rPr>
        <w:t xml:space="preserve"> farmers cannot access water resources and only 26 percent have access to irrigation systems. Remaining farmers rely on rain-fed agriculture and leave their farms fallow during dry season. Irrigation water is an important factor in increasing agricultural productivity and crop diversification. Upgrading irrigation and drainage infrastructure, regular O&amp;M and improving farmer’s access to irrigation systems is an important factor for crop diversification and productivity enhancement.</w:t>
      </w:r>
    </w:p>
    <w:tbl>
      <w:tblPr>
        <w:tblStyle w:val="TableGrid"/>
        <w:tblW w:w="0" w:type="auto"/>
        <w:tblLook w:val="04A0" w:firstRow="1" w:lastRow="0" w:firstColumn="1" w:lastColumn="0" w:noHBand="0" w:noVBand="1"/>
      </w:tblPr>
      <w:tblGrid>
        <w:gridCol w:w="4776"/>
        <w:gridCol w:w="4574"/>
      </w:tblGrid>
      <w:tr w:rsidR="00286A3C" w:rsidRPr="00E9090B" w14:paraId="35D01FE8" w14:textId="77777777" w:rsidTr="003A39CD">
        <w:tc>
          <w:tcPr>
            <w:tcW w:w="9350" w:type="dxa"/>
            <w:gridSpan w:val="2"/>
            <w:tcBorders>
              <w:top w:val="nil"/>
              <w:left w:val="nil"/>
              <w:bottom w:val="nil"/>
              <w:right w:val="nil"/>
            </w:tcBorders>
          </w:tcPr>
          <w:p w14:paraId="536DC94B" w14:textId="52381AD7" w:rsidR="00286A3C" w:rsidRPr="00E9090B" w:rsidRDefault="00286A3C">
            <w:pPr>
              <w:pStyle w:val="Figure"/>
              <w:rPr>
                <w:shd w:val="clear" w:color="auto" w:fill="FFFFFF"/>
              </w:rPr>
            </w:pPr>
            <w:r w:rsidRPr="00E9090B">
              <w:rPr>
                <w:shd w:val="clear" w:color="auto" w:fill="FFFFFF"/>
              </w:rPr>
              <w:lastRenderedPageBreak/>
              <w:t xml:space="preserve">Figure </w:t>
            </w:r>
            <w:r w:rsidR="00EF6940" w:rsidRPr="00E9090B">
              <w:rPr>
                <w:shd w:val="clear" w:color="auto" w:fill="FFFFFF"/>
              </w:rPr>
              <w:t>A.</w:t>
            </w:r>
            <w:r w:rsidR="00605C73">
              <w:rPr>
                <w:shd w:val="clear" w:color="auto" w:fill="FFFFFF"/>
              </w:rPr>
              <w:t>7</w:t>
            </w:r>
            <w:r w:rsidRPr="00E9090B">
              <w:rPr>
                <w:shd w:val="clear" w:color="auto" w:fill="FFFFFF"/>
              </w:rPr>
              <w:t xml:space="preserve">.1 Agricultural output and rice yields </w:t>
            </w:r>
          </w:p>
        </w:tc>
      </w:tr>
      <w:tr w:rsidR="00286A3C" w:rsidRPr="00E9090B" w14:paraId="4F84F25F" w14:textId="77777777" w:rsidTr="003A39CD">
        <w:trPr>
          <w:trHeight w:val="422"/>
        </w:trPr>
        <w:tc>
          <w:tcPr>
            <w:tcW w:w="4776" w:type="dxa"/>
            <w:tcBorders>
              <w:top w:val="nil"/>
              <w:left w:val="nil"/>
              <w:bottom w:val="nil"/>
              <w:right w:val="nil"/>
            </w:tcBorders>
          </w:tcPr>
          <w:p w14:paraId="0C64E312" w14:textId="469C2B1C" w:rsidR="00286A3C" w:rsidRPr="00E9090B" w:rsidRDefault="00EF6940" w:rsidP="003A39CD">
            <w:pPr>
              <w:pStyle w:val="figuredescription"/>
              <w:rPr>
                <w:shd w:val="clear" w:color="auto" w:fill="FFFFFF"/>
              </w:rPr>
            </w:pPr>
            <w:r w:rsidRPr="00E9090B">
              <w:rPr>
                <w:shd w:val="clear" w:color="auto" w:fill="FFFFFF"/>
              </w:rPr>
              <w:t xml:space="preserve">A.  </w:t>
            </w:r>
            <w:r w:rsidR="00286A3C" w:rsidRPr="00E9090B">
              <w:rPr>
                <w:shd w:val="clear" w:color="auto" w:fill="FFFFFF"/>
              </w:rPr>
              <w:t xml:space="preserve">Agricultural output </w:t>
            </w:r>
          </w:p>
        </w:tc>
        <w:tc>
          <w:tcPr>
            <w:tcW w:w="4574" w:type="dxa"/>
            <w:tcBorders>
              <w:top w:val="nil"/>
              <w:left w:val="nil"/>
              <w:bottom w:val="nil"/>
              <w:right w:val="nil"/>
            </w:tcBorders>
          </w:tcPr>
          <w:p w14:paraId="1567F093" w14:textId="18F4DAE0" w:rsidR="00286A3C" w:rsidRPr="00E9090B" w:rsidRDefault="00EF6940" w:rsidP="003A39CD">
            <w:pPr>
              <w:pStyle w:val="figuredescription"/>
              <w:rPr>
                <w:shd w:val="clear" w:color="auto" w:fill="FFFFFF"/>
              </w:rPr>
            </w:pPr>
            <w:r w:rsidRPr="00E9090B">
              <w:rPr>
                <w:shd w:val="clear" w:color="auto" w:fill="FFFFFF"/>
              </w:rPr>
              <w:t xml:space="preserve">B. </w:t>
            </w:r>
            <w:r w:rsidR="00286A3C" w:rsidRPr="00E9090B">
              <w:rPr>
                <w:shd w:val="clear" w:color="auto" w:fill="FFFFFF"/>
              </w:rPr>
              <w:t>Average rice yields, 2021 (tons per ha)</w:t>
            </w:r>
          </w:p>
        </w:tc>
      </w:tr>
      <w:tr w:rsidR="00286A3C" w:rsidRPr="00E9090B" w14:paraId="2887EE46" w14:textId="77777777" w:rsidTr="00E77273">
        <w:trPr>
          <w:trHeight w:val="3807"/>
        </w:trPr>
        <w:tc>
          <w:tcPr>
            <w:tcW w:w="4776" w:type="dxa"/>
            <w:tcBorders>
              <w:top w:val="nil"/>
              <w:left w:val="nil"/>
              <w:bottom w:val="nil"/>
              <w:right w:val="nil"/>
            </w:tcBorders>
          </w:tcPr>
          <w:p w14:paraId="3A52FE7A" w14:textId="6444AB89" w:rsidR="00286A3C" w:rsidRPr="00E9090B" w:rsidRDefault="007E62FE" w:rsidP="003A39CD">
            <w:pPr>
              <w:pStyle w:val="Default"/>
              <w:jc w:val="both"/>
              <w:rPr>
                <w:rFonts w:asciiTheme="majorHAnsi" w:hAnsiTheme="majorHAnsi" w:cstheme="majorBidi"/>
                <w:color w:val="202122"/>
                <w:sz w:val="22"/>
                <w:szCs w:val="22"/>
                <w:shd w:val="clear" w:color="auto" w:fill="FFFFFF"/>
              </w:rPr>
            </w:pPr>
            <w:r w:rsidRPr="00AB790A">
              <w:rPr>
                <w:noProof/>
                <w:lang w:val="en-GB" w:eastAsia="en-GB"/>
              </w:rPr>
              <w:drawing>
                <wp:inline distT="0" distB="0" distL="0" distR="0" wp14:anchorId="3975A4F3" wp14:editId="7145D39E">
                  <wp:extent cx="2881630" cy="2286000"/>
                  <wp:effectExtent l="0" t="0" r="0" b="0"/>
                  <wp:docPr id="194727715" name="Picture 19472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1630" cy="2286000"/>
                          </a:xfrm>
                          <a:prstGeom prst="rect">
                            <a:avLst/>
                          </a:prstGeom>
                          <a:noFill/>
                          <a:ln>
                            <a:noFill/>
                          </a:ln>
                        </pic:spPr>
                      </pic:pic>
                    </a:graphicData>
                  </a:graphic>
                </wp:inline>
              </w:drawing>
            </w:r>
          </w:p>
        </w:tc>
        <w:tc>
          <w:tcPr>
            <w:tcW w:w="4574" w:type="dxa"/>
            <w:tcBorders>
              <w:top w:val="nil"/>
              <w:left w:val="nil"/>
              <w:bottom w:val="nil"/>
              <w:right w:val="nil"/>
            </w:tcBorders>
          </w:tcPr>
          <w:p w14:paraId="1CF9719A" w14:textId="1DBC29F7" w:rsidR="00286A3C" w:rsidRPr="00E9090B" w:rsidRDefault="00286A3C" w:rsidP="003A39CD">
            <w:pPr>
              <w:pStyle w:val="Default"/>
              <w:jc w:val="both"/>
              <w:rPr>
                <w:rFonts w:asciiTheme="majorHAnsi" w:hAnsiTheme="majorHAnsi" w:cstheme="majorBidi"/>
                <w:color w:val="202122"/>
                <w:sz w:val="22"/>
                <w:szCs w:val="22"/>
                <w:shd w:val="clear" w:color="auto" w:fill="FFFFFF"/>
              </w:rPr>
            </w:pPr>
            <w:r w:rsidRPr="00E9090B">
              <w:rPr>
                <w:rFonts w:asciiTheme="majorHAnsi" w:hAnsiTheme="majorHAnsi" w:cstheme="majorHAnsi"/>
                <w:noProof/>
                <w:color w:val="202122"/>
                <w:shd w:val="clear" w:color="auto" w:fill="FFFFFF"/>
                <w:lang w:val="en-GB" w:eastAsia="en-GB"/>
              </w:rPr>
              <w:drawing>
                <wp:inline distT="0" distB="0" distL="0" distR="0" wp14:anchorId="2D125E66" wp14:editId="34BC3DBB">
                  <wp:extent cx="2705735" cy="2311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7414" cy="2313314"/>
                          </a:xfrm>
                          <a:prstGeom prst="rect">
                            <a:avLst/>
                          </a:prstGeom>
                          <a:noFill/>
                          <a:ln>
                            <a:noFill/>
                          </a:ln>
                        </pic:spPr>
                      </pic:pic>
                    </a:graphicData>
                  </a:graphic>
                </wp:inline>
              </w:drawing>
            </w:r>
          </w:p>
        </w:tc>
      </w:tr>
      <w:tr w:rsidR="00286A3C" w:rsidRPr="00E9090B" w14:paraId="55A4D7AA" w14:textId="77777777" w:rsidTr="003A39CD">
        <w:trPr>
          <w:trHeight w:val="323"/>
        </w:trPr>
        <w:tc>
          <w:tcPr>
            <w:tcW w:w="9350" w:type="dxa"/>
            <w:gridSpan w:val="2"/>
            <w:tcBorders>
              <w:top w:val="nil"/>
              <w:left w:val="nil"/>
              <w:bottom w:val="nil"/>
              <w:right w:val="nil"/>
            </w:tcBorders>
          </w:tcPr>
          <w:p w14:paraId="25C6C5F4" w14:textId="1C85DD5E" w:rsidR="00286A3C" w:rsidRPr="00E9090B" w:rsidRDefault="00286A3C" w:rsidP="007E62FE">
            <w:pPr>
              <w:pStyle w:val="Source"/>
              <w:rPr>
                <w:shd w:val="clear" w:color="auto" w:fill="FFFFFF"/>
              </w:rPr>
            </w:pPr>
            <w:r w:rsidRPr="004C681A">
              <w:rPr>
                <w:b/>
                <w:bCs/>
                <w:i/>
                <w:iCs/>
              </w:rPr>
              <w:t>Source:</w:t>
            </w:r>
            <w:r w:rsidRPr="007E62FE">
              <w:t xml:space="preserve"> FAO. </w:t>
            </w:r>
            <w:hyperlink r:id="rId91" w:anchor="data/QC" w:history="1">
              <w:r w:rsidRPr="007E62FE">
                <w:rPr>
                  <w:rStyle w:val="Hyperlink"/>
                  <w:color w:val="595959" w:themeColor="text1" w:themeTint="A6"/>
                  <w:u w:val="none"/>
                </w:rPr>
                <w:t>http://www.fao.org/faostat/en/#data/QC</w:t>
              </w:r>
            </w:hyperlink>
          </w:p>
        </w:tc>
      </w:tr>
    </w:tbl>
    <w:p w14:paraId="2FF2842D" w14:textId="7CF0F926" w:rsidR="00286A3C" w:rsidRPr="00E9090B" w:rsidRDefault="00286A3C" w:rsidP="00286A3C">
      <w:pPr>
        <w:pStyle w:val="ListParagraph"/>
        <w:spacing w:before="160" w:afterLines="160" w:after="384" w:line="240" w:lineRule="auto"/>
        <w:ind w:left="0"/>
        <w:jc w:val="both"/>
        <w:rPr>
          <w:rFonts w:asciiTheme="majorHAnsi" w:hAnsiTheme="majorHAnsi" w:cstheme="majorHAnsi"/>
          <w:b/>
          <w:bCs/>
          <w:i/>
          <w:iCs/>
        </w:rPr>
      </w:pPr>
    </w:p>
    <w:p w14:paraId="05C59003" w14:textId="30D38B82" w:rsidR="00286A3C" w:rsidRPr="00E9090B" w:rsidRDefault="00286A3C" w:rsidP="00E80EEC">
      <w:pPr>
        <w:pStyle w:val="ListParagraph"/>
        <w:spacing w:before="160" w:afterLines="160" w:after="384" w:line="240" w:lineRule="auto"/>
        <w:ind w:left="0"/>
        <w:jc w:val="both"/>
        <w:rPr>
          <w:rFonts w:asciiTheme="majorHAnsi" w:eastAsia="Times New Roman" w:hAnsiTheme="majorHAnsi" w:cstheme="majorHAnsi"/>
        </w:rPr>
      </w:pPr>
      <w:r w:rsidRPr="00E9090B">
        <w:rPr>
          <w:rFonts w:asciiTheme="majorHAnsi" w:hAnsiTheme="majorHAnsi" w:cstheme="majorHAnsi"/>
          <w:b/>
        </w:rPr>
        <w:t xml:space="preserve">Quality inputs and modern </w:t>
      </w:r>
      <w:r w:rsidRPr="00E9090B">
        <w:rPr>
          <w:rFonts w:asciiTheme="majorHAnsi" w:hAnsiTheme="majorHAnsi" w:cstheme="majorHAnsi"/>
          <w:b/>
          <w:bCs/>
        </w:rPr>
        <w:t>technolog</w:t>
      </w:r>
      <w:r w:rsidR="007F5B4A" w:rsidRPr="00E9090B">
        <w:rPr>
          <w:rFonts w:asciiTheme="majorHAnsi" w:hAnsiTheme="majorHAnsi" w:cstheme="majorHAnsi"/>
          <w:b/>
          <w:bCs/>
        </w:rPr>
        <w:t>y</w:t>
      </w:r>
      <w:r w:rsidR="008F386A" w:rsidRPr="00E9090B">
        <w:rPr>
          <w:rFonts w:asciiTheme="majorHAnsi" w:hAnsiTheme="majorHAnsi" w:cstheme="majorHAnsi"/>
          <w:b/>
          <w:bCs/>
          <w:i/>
          <w:iCs/>
        </w:rPr>
        <w:t>:</w:t>
      </w:r>
      <w:r w:rsidRPr="00E9090B">
        <w:rPr>
          <w:rFonts w:asciiTheme="majorHAnsi" w:hAnsiTheme="majorHAnsi" w:cstheme="majorHAnsi"/>
        </w:rPr>
        <w:t xml:space="preserve"> </w:t>
      </w:r>
      <w:r w:rsidR="007F5B4A" w:rsidRPr="00E9090B">
        <w:rPr>
          <w:rFonts w:asciiTheme="majorHAnsi" w:hAnsiTheme="majorHAnsi" w:cstheme="majorHAnsi"/>
        </w:rPr>
        <w:t>There is a need to i</w:t>
      </w:r>
      <w:r w:rsidRPr="00E9090B">
        <w:rPr>
          <w:rFonts w:asciiTheme="majorHAnsi" w:hAnsiTheme="majorHAnsi" w:cstheme="majorHAnsi"/>
        </w:rPr>
        <w:t>mprov</w:t>
      </w:r>
      <w:r w:rsidR="007F5B4A" w:rsidRPr="00E9090B">
        <w:rPr>
          <w:rFonts w:asciiTheme="majorHAnsi" w:hAnsiTheme="majorHAnsi" w:cstheme="majorHAnsi"/>
        </w:rPr>
        <w:t>e</w:t>
      </w:r>
      <w:r w:rsidRPr="00E9090B">
        <w:rPr>
          <w:rFonts w:asciiTheme="majorHAnsi" w:hAnsiTheme="majorHAnsi" w:cstheme="majorHAnsi"/>
        </w:rPr>
        <w:t xml:space="preserve"> farmer households’ access and affordability to: quality agricultural inputs especially seed and fertilizer; good agriculture practices; and productivity</w:t>
      </w:r>
      <w:r w:rsidR="007F5B4A" w:rsidRPr="00E9090B">
        <w:rPr>
          <w:rFonts w:asciiTheme="majorHAnsi" w:hAnsiTheme="majorHAnsi" w:cstheme="majorHAnsi"/>
        </w:rPr>
        <w:t>-</w:t>
      </w:r>
      <w:r w:rsidRPr="00E9090B">
        <w:rPr>
          <w:rFonts w:asciiTheme="majorHAnsi" w:hAnsiTheme="majorHAnsi" w:cstheme="majorHAnsi"/>
        </w:rPr>
        <w:t>enhancing agricultural machinery</w:t>
      </w:r>
      <w:r w:rsidR="009073A3" w:rsidRPr="00E9090B">
        <w:rPr>
          <w:rFonts w:asciiTheme="majorHAnsi" w:hAnsiTheme="majorHAnsi" w:cstheme="majorHAnsi"/>
        </w:rPr>
        <w:t>. D</w:t>
      </w:r>
      <w:r w:rsidRPr="00E9090B">
        <w:rPr>
          <w:rFonts w:asciiTheme="majorHAnsi" w:hAnsiTheme="majorHAnsi" w:cstheme="majorHAnsi"/>
        </w:rPr>
        <w:t xml:space="preserve">igital technology </w:t>
      </w:r>
      <w:r w:rsidR="0055182F" w:rsidRPr="00E9090B">
        <w:rPr>
          <w:rFonts w:asciiTheme="majorHAnsi" w:hAnsiTheme="majorHAnsi" w:cstheme="majorHAnsi"/>
        </w:rPr>
        <w:t xml:space="preserve">could </w:t>
      </w:r>
      <w:r w:rsidRPr="00E9090B">
        <w:rPr>
          <w:rFonts w:asciiTheme="majorHAnsi" w:hAnsiTheme="majorHAnsi" w:cstheme="majorHAnsi"/>
        </w:rPr>
        <w:t xml:space="preserve">help to increase farm yields and efficiency. Further streamlining of existing geographically concentrated crop production and promoting </w:t>
      </w:r>
      <w:r w:rsidR="00482956" w:rsidRPr="00E9090B">
        <w:rPr>
          <w:rFonts w:asciiTheme="majorHAnsi" w:hAnsiTheme="majorHAnsi" w:cstheme="majorHAnsi"/>
        </w:rPr>
        <w:t xml:space="preserve">a </w:t>
      </w:r>
      <w:r w:rsidRPr="00E9090B">
        <w:rPr>
          <w:rFonts w:asciiTheme="majorHAnsi" w:hAnsiTheme="majorHAnsi" w:cstheme="majorHAnsi"/>
        </w:rPr>
        <w:t xml:space="preserve">conducive environment for a sharing economy (such as farm equipment, tractors, laser levelling) would </w:t>
      </w:r>
      <w:r w:rsidR="00482956" w:rsidRPr="00E9090B">
        <w:rPr>
          <w:rFonts w:asciiTheme="majorHAnsi" w:hAnsiTheme="majorHAnsi" w:cstheme="majorHAnsi"/>
        </w:rPr>
        <w:t xml:space="preserve">also </w:t>
      </w:r>
      <w:r w:rsidRPr="00E9090B">
        <w:rPr>
          <w:rFonts w:asciiTheme="majorHAnsi" w:hAnsiTheme="majorHAnsi" w:cstheme="majorHAnsi"/>
        </w:rPr>
        <w:t>enhance agricultural efficiency and effectiveness.</w:t>
      </w:r>
    </w:p>
    <w:p w14:paraId="07327884" w14:textId="0F2D671D" w:rsidR="00286A3C" w:rsidRPr="00E9090B" w:rsidRDefault="00286A3C" w:rsidP="00286A3C">
      <w:pPr>
        <w:pStyle w:val="ListParagraph"/>
        <w:spacing w:before="160" w:afterLines="160" w:after="384" w:line="240" w:lineRule="auto"/>
        <w:ind w:left="0"/>
        <w:jc w:val="both"/>
        <w:rPr>
          <w:rFonts w:asciiTheme="majorHAnsi" w:hAnsiTheme="majorHAnsi" w:cstheme="majorHAnsi"/>
          <w:b/>
          <w:bCs/>
          <w:i/>
          <w:iCs/>
        </w:rPr>
      </w:pPr>
    </w:p>
    <w:p w14:paraId="364626FC" w14:textId="7A9F1155" w:rsidR="00286A3C" w:rsidRPr="00E9090B" w:rsidRDefault="00286A3C" w:rsidP="00E80EEC">
      <w:pPr>
        <w:pStyle w:val="ListParagraph"/>
        <w:spacing w:before="160" w:afterLines="160" w:after="384" w:line="240" w:lineRule="auto"/>
        <w:ind w:left="0"/>
        <w:jc w:val="both"/>
        <w:rPr>
          <w:rFonts w:asciiTheme="majorHAnsi" w:eastAsia="Times New Roman" w:hAnsiTheme="majorHAnsi" w:cstheme="majorHAnsi"/>
        </w:rPr>
      </w:pPr>
      <w:r w:rsidRPr="00E9090B">
        <w:rPr>
          <w:rFonts w:asciiTheme="majorHAnsi" w:hAnsiTheme="majorHAnsi" w:cstheme="majorHAnsi"/>
          <w:b/>
        </w:rPr>
        <w:t>Agriculture extension and information services</w:t>
      </w:r>
      <w:r w:rsidR="008F386A" w:rsidRPr="00E9090B">
        <w:rPr>
          <w:rFonts w:asciiTheme="majorHAnsi" w:hAnsiTheme="majorHAnsi" w:cstheme="majorHAnsi"/>
          <w:b/>
          <w:bCs/>
        </w:rPr>
        <w:t>:</w:t>
      </w:r>
      <w:r w:rsidRPr="00E9090B">
        <w:rPr>
          <w:rFonts w:asciiTheme="majorHAnsi" w:hAnsiTheme="majorHAnsi" w:cstheme="majorHAnsi"/>
        </w:rPr>
        <w:t xml:space="preserve"> Investment in vocational training, skills enhancement, and knowledge transfer of agricultural extension staff </w:t>
      </w:r>
      <w:r w:rsidR="00B17B5A" w:rsidRPr="00E9090B">
        <w:rPr>
          <w:rFonts w:asciiTheme="majorHAnsi" w:hAnsiTheme="majorHAnsi" w:cstheme="majorHAnsi"/>
        </w:rPr>
        <w:t>would be beneficial. Training</w:t>
      </w:r>
      <w:r w:rsidRPr="00E9090B">
        <w:rPr>
          <w:rFonts w:asciiTheme="majorHAnsi" w:hAnsiTheme="majorHAnsi" w:cstheme="majorHAnsi"/>
        </w:rPr>
        <w:t xml:space="preserve"> in precision agriculture, digital technologies, e-extension, optimal fertilizer application, integrated pest and disease control, and information services c</w:t>
      </w:r>
      <w:r w:rsidR="00B17B5A" w:rsidRPr="00E9090B">
        <w:rPr>
          <w:rFonts w:asciiTheme="majorHAnsi" w:hAnsiTheme="majorHAnsi" w:cstheme="majorHAnsi"/>
        </w:rPr>
        <w:t>ould</w:t>
      </w:r>
      <w:r w:rsidRPr="00E9090B">
        <w:rPr>
          <w:rFonts w:asciiTheme="majorHAnsi" w:hAnsiTheme="majorHAnsi" w:cstheme="majorHAnsi"/>
        </w:rPr>
        <w:t xml:space="preserve"> be vital for promoting the adoption of modern technologies </w:t>
      </w:r>
      <w:r w:rsidR="00587FE5" w:rsidRPr="00E9090B">
        <w:rPr>
          <w:rFonts w:asciiTheme="majorHAnsi" w:hAnsiTheme="majorHAnsi" w:cstheme="majorHAnsi"/>
        </w:rPr>
        <w:t>and could</w:t>
      </w:r>
      <w:r w:rsidRPr="00E9090B">
        <w:rPr>
          <w:rFonts w:asciiTheme="majorHAnsi" w:hAnsiTheme="majorHAnsi" w:cstheme="majorHAnsi"/>
        </w:rPr>
        <w:t xml:space="preserve"> increase both yield as well as farm income.</w:t>
      </w:r>
    </w:p>
    <w:p w14:paraId="3C5272E1" w14:textId="0FF52085" w:rsidR="00286A3C" w:rsidRPr="00E9090B" w:rsidRDefault="00286A3C" w:rsidP="00286A3C">
      <w:pPr>
        <w:pStyle w:val="ListParagraph"/>
        <w:spacing w:before="160" w:afterLines="160" w:after="384" w:line="240" w:lineRule="auto"/>
        <w:ind w:left="0"/>
        <w:jc w:val="both"/>
        <w:rPr>
          <w:rFonts w:asciiTheme="majorHAnsi" w:hAnsiTheme="majorHAnsi" w:cstheme="majorHAnsi"/>
          <w:b/>
          <w:bCs/>
          <w:i/>
          <w:iCs/>
          <w:color w:val="000000"/>
        </w:rPr>
      </w:pPr>
    </w:p>
    <w:p w14:paraId="420DF9B4" w14:textId="4368DA6C" w:rsidR="00286A3C" w:rsidRPr="00E9090B" w:rsidRDefault="00286A3C" w:rsidP="00E80EEC">
      <w:pPr>
        <w:pStyle w:val="ListParagraph"/>
        <w:spacing w:before="160" w:afterLines="160" w:after="384" w:line="240" w:lineRule="auto"/>
        <w:ind w:left="0"/>
        <w:jc w:val="both"/>
        <w:rPr>
          <w:rFonts w:asciiTheme="majorHAnsi" w:eastAsia="Times New Roman" w:hAnsiTheme="majorHAnsi" w:cstheme="majorHAnsi"/>
        </w:rPr>
      </w:pPr>
      <w:r w:rsidRPr="00E9090B">
        <w:rPr>
          <w:rFonts w:asciiTheme="majorHAnsi" w:hAnsiTheme="majorHAnsi" w:cstheme="majorHAnsi"/>
          <w:b/>
        </w:rPr>
        <w:t>Diversification</w:t>
      </w:r>
      <w:r w:rsidRPr="00E9090B">
        <w:rPr>
          <w:rFonts w:asciiTheme="majorHAnsi" w:hAnsiTheme="majorHAnsi" w:cstheme="majorHAnsi"/>
          <w:b/>
          <w:color w:val="000000"/>
        </w:rPr>
        <w:t xml:space="preserve"> to higher value crops</w:t>
      </w:r>
      <w:r w:rsidR="008F386A" w:rsidRPr="00E9090B">
        <w:rPr>
          <w:rFonts w:asciiTheme="majorHAnsi" w:hAnsiTheme="majorHAnsi" w:cstheme="majorHAnsi"/>
          <w:i/>
          <w:iCs/>
          <w:color w:val="000000"/>
        </w:rPr>
        <w:t>:</w:t>
      </w:r>
      <w:r w:rsidRPr="00E9090B">
        <w:rPr>
          <w:rFonts w:asciiTheme="majorHAnsi" w:hAnsiTheme="majorHAnsi" w:cstheme="majorHAnsi"/>
          <w:color w:val="000000"/>
        </w:rPr>
        <w:t xml:space="preserve"> </w:t>
      </w:r>
      <w:r w:rsidRPr="00E9090B">
        <w:rPr>
          <w:rFonts w:asciiTheme="majorHAnsi" w:hAnsiTheme="majorHAnsi" w:cstheme="majorHAnsi"/>
        </w:rPr>
        <w:t xml:space="preserve">Most farmers practice monocropping and rely primarily on six main crops of rice, glutinous rice, rubber, cassava, maize, and sugarcane. </w:t>
      </w:r>
      <w:r w:rsidRPr="00E9090B">
        <w:rPr>
          <w:rFonts w:asciiTheme="majorHAnsi" w:hAnsiTheme="majorHAnsi" w:cstheme="majorHAnsi"/>
          <w:color w:val="000000"/>
        </w:rPr>
        <w:t>Despite its low yield and profitability, rice production continues to dominate and is planted over two-thirds of the irrigated land. Besides improving rice productivity where feasible, there is a considerable scope to improve farm profitability through crop diversification to high value crops and crop rotation.</w:t>
      </w:r>
    </w:p>
    <w:p w14:paraId="2D3151AC" w14:textId="0D5BE28A" w:rsidR="00286A3C" w:rsidRPr="00E9090B" w:rsidRDefault="00286A3C" w:rsidP="00286A3C">
      <w:pPr>
        <w:pStyle w:val="ListParagraph"/>
        <w:spacing w:before="160" w:afterLines="160" w:after="384" w:line="240" w:lineRule="auto"/>
        <w:ind w:left="0"/>
        <w:jc w:val="both"/>
        <w:rPr>
          <w:rFonts w:asciiTheme="majorHAnsi" w:hAnsiTheme="majorHAnsi" w:cstheme="majorHAnsi"/>
          <w:b/>
          <w:bCs/>
          <w:i/>
          <w:iCs/>
          <w:color w:val="000000"/>
        </w:rPr>
      </w:pPr>
    </w:p>
    <w:p w14:paraId="581700CF" w14:textId="1D6394EC" w:rsidR="00286A3C" w:rsidRPr="0019548E" w:rsidRDefault="00286A3C" w:rsidP="00E80EEC">
      <w:pPr>
        <w:pStyle w:val="ListParagraph"/>
        <w:spacing w:before="160" w:afterLines="160" w:after="384" w:line="240" w:lineRule="auto"/>
        <w:ind w:left="0"/>
        <w:jc w:val="both"/>
        <w:rPr>
          <w:rFonts w:asciiTheme="majorHAnsi" w:eastAsia="Times New Roman" w:hAnsiTheme="majorHAnsi" w:cstheme="majorHAnsi"/>
        </w:rPr>
      </w:pPr>
      <w:r w:rsidRPr="00E9090B">
        <w:rPr>
          <w:rFonts w:asciiTheme="majorHAnsi" w:hAnsiTheme="majorHAnsi" w:cstheme="majorHAnsi"/>
          <w:b/>
          <w:bCs/>
          <w:color w:val="000000"/>
        </w:rPr>
        <w:t xml:space="preserve">Access to </w:t>
      </w:r>
      <w:r w:rsidRPr="00E9090B">
        <w:rPr>
          <w:rFonts w:asciiTheme="majorHAnsi" w:hAnsiTheme="majorHAnsi" w:cstheme="majorHAnsi"/>
          <w:b/>
          <w:bCs/>
        </w:rPr>
        <w:t>market</w:t>
      </w:r>
      <w:r w:rsidR="008F386A" w:rsidRPr="00E9090B">
        <w:rPr>
          <w:rFonts w:asciiTheme="majorHAnsi" w:hAnsiTheme="majorHAnsi" w:cstheme="majorHAnsi"/>
          <w:b/>
          <w:bCs/>
        </w:rPr>
        <w:t>:</w:t>
      </w:r>
      <w:r w:rsidRPr="00E9090B">
        <w:rPr>
          <w:rFonts w:asciiTheme="majorHAnsi" w:hAnsiTheme="majorHAnsi" w:cstheme="majorHAnsi"/>
          <w:color w:val="000000"/>
        </w:rPr>
        <w:t xml:space="preserve"> Improving farmers’ information base and access to agricultural markets so that they </w:t>
      </w:r>
      <w:proofErr w:type="gramStart"/>
      <w:r w:rsidRPr="00E9090B">
        <w:rPr>
          <w:rFonts w:asciiTheme="majorHAnsi" w:hAnsiTheme="majorHAnsi" w:cstheme="majorHAnsi"/>
          <w:color w:val="000000"/>
        </w:rPr>
        <w:t>are able to</w:t>
      </w:r>
      <w:proofErr w:type="gramEnd"/>
      <w:r w:rsidRPr="00E9090B">
        <w:rPr>
          <w:rFonts w:asciiTheme="majorHAnsi" w:hAnsiTheme="majorHAnsi" w:cstheme="majorHAnsi"/>
          <w:color w:val="000000"/>
        </w:rPr>
        <w:t xml:space="preserve"> trade their products at competitive prices is important to increase farm income. Digital technology, </w:t>
      </w:r>
      <w:r w:rsidR="00AA6ED2" w:rsidRPr="00E9090B">
        <w:rPr>
          <w:rFonts w:asciiTheme="majorHAnsi" w:hAnsiTheme="majorHAnsi" w:cstheme="majorHAnsi"/>
          <w:color w:val="000000"/>
        </w:rPr>
        <w:t>e</w:t>
      </w:r>
      <w:r w:rsidRPr="00E9090B">
        <w:rPr>
          <w:rFonts w:asciiTheme="majorHAnsi" w:hAnsiTheme="majorHAnsi" w:cstheme="majorHAnsi"/>
          <w:color w:val="000000"/>
        </w:rPr>
        <w:t>-commerce, online trading, and platforms to connect sellers, buyers, distributers, manufacturers, importers, and exporter could benefit farmers</w:t>
      </w:r>
      <w:r w:rsidRPr="0019548E">
        <w:rPr>
          <w:rFonts w:asciiTheme="majorHAnsi" w:hAnsiTheme="majorHAnsi" w:cstheme="majorHAnsi"/>
          <w:color w:val="000000"/>
        </w:rPr>
        <w:t xml:space="preserve"> and provide a boost to the rural economy. </w:t>
      </w:r>
    </w:p>
    <w:p w14:paraId="24C2364E" w14:textId="1054D06B" w:rsidR="00286A3C" w:rsidRPr="00D914E8" w:rsidRDefault="00286A3C" w:rsidP="0019548E">
      <w:pPr>
        <w:pStyle w:val="Heading3"/>
        <w:rPr>
          <w:rStyle w:val="IntenseEmphasis"/>
          <w:i w:val="0"/>
          <w:iCs w:val="0"/>
          <w:color w:val="1E2C3F" w:themeColor="accent1" w:themeShade="7F"/>
        </w:rPr>
      </w:pPr>
      <w:r w:rsidRPr="00D914E8">
        <w:rPr>
          <w:rStyle w:val="IntenseEmphasis"/>
          <w:i w:val="0"/>
          <w:iCs w:val="0"/>
          <w:color w:val="1E2C3F" w:themeColor="accent1" w:themeShade="7F"/>
        </w:rPr>
        <w:t xml:space="preserve">Inequality and </w:t>
      </w:r>
      <w:r w:rsidR="00197E26">
        <w:rPr>
          <w:rStyle w:val="IntenseEmphasis"/>
          <w:i w:val="0"/>
          <w:iCs w:val="0"/>
          <w:color w:val="1E2C3F" w:themeColor="accent1" w:themeShade="7F"/>
        </w:rPr>
        <w:t>i</w:t>
      </w:r>
      <w:r w:rsidRPr="00D914E8">
        <w:rPr>
          <w:rStyle w:val="IntenseEmphasis"/>
          <w:i w:val="0"/>
          <w:iCs w:val="0"/>
          <w:color w:val="1E2C3F" w:themeColor="accent1" w:themeShade="7F"/>
        </w:rPr>
        <w:t>nclusion</w:t>
      </w:r>
    </w:p>
    <w:p w14:paraId="6FC417C8"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rPr>
      </w:pPr>
      <w:r w:rsidRPr="052E2B2B">
        <w:rPr>
          <w:rFonts w:asciiTheme="majorHAnsi" w:hAnsiTheme="majorHAnsi" w:cstheme="majorBidi"/>
          <w:b/>
          <w:color w:val="000000"/>
        </w:rPr>
        <w:t>Despite remarkable progress in reducing poverty</w:t>
      </w:r>
      <w:r w:rsidRPr="052E2B2B">
        <w:rPr>
          <w:rFonts w:asciiTheme="majorHAnsi" w:hAnsiTheme="majorHAnsi" w:cstheme="majorBidi"/>
          <w:b/>
        </w:rPr>
        <w:t xml:space="preserve"> from 58 percent in 1990 to 6.8 percent in 2020</w:t>
      </w:r>
      <w:r w:rsidRPr="052E2B2B">
        <w:rPr>
          <w:rFonts w:asciiTheme="majorHAnsi" w:hAnsiTheme="majorHAnsi" w:cstheme="majorBidi"/>
          <w:b/>
          <w:color w:val="000000"/>
        </w:rPr>
        <w:t>, inequality remains high in Thailand</w:t>
      </w:r>
      <w:r w:rsidRPr="052E2B2B">
        <w:rPr>
          <w:rFonts w:asciiTheme="majorHAnsi" w:hAnsiTheme="majorHAnsi" w:cstheme="majorBidi"/>
          <w:color w:val="000000"/>
        </w:rPr>
        <w:t xml:space="preserve">. With 49 percent of the population living in the countryside, the overall poverty </w:t>
      </w:r>
      <w:r w:rsidRPr="052E2B2B">
        <w:rPr>
          <w:rFonts w:asciiTheme="majorHAnsi" w:hAnsiTheme="majorHAnsi" w:cstheme="majorBidi"/>
          <w:color w:val="000000"/>
        </w:rPr>
        <w:lastRenderedPageBreak/>
        <w:t>level in rural areas</w:t>
      </w:r>
      <w:r w:rsidRPr="052E2B2B">
        <w:rPr>
          <w:rFonts w:asciiTheme="majorHAnsi" w:hAnsiTheme="majorHAnsi" w:cstheme="majorBidi"/>
        </w:rPr>
        <w:t xml:space="preserve"> was 3 percent higher than in urban areas. Most of the poor (79 percent) live in rural areas, in agricultural households.</w:t>
      </w:r>
      <w:r w:rsidRPr="052E2B2B">
        <w:rPr>
          <w:rFonts w:asciiTheme="majorHAnsi" w:hAnsiTheme="majorHAnsi" w:cstheme="majorBidi"/>
          <w:color w:val="000000"/>
        </w:rPr>
        <w:t xml:space="preserve"> Distribution of </w:t>
      </w:r>
      <w:r w:rsidRPr="052E2B2B">
        <w:rPr>
          <w:rFonts w:asciiTheme="majorHAnsi" w:hAnsiTheme="majorHAnsi" w:cstheme="majorBidi"/>
        </w:rPr>
        <w:t>poverty varies from region to region, with the poverty rate in the South and Northeast almost double than the national average. The average monthly income of rural households was 32 percent less that urban households along with low levels of formal education, difficult living conditions, and a high dependency ratio.</w:t>
      </w:r>
      <w:r w:rsidRPr="052E2B2B">
        <w:rPr>
          <w:rStyle w:val="FootnoteReference"/>
          <w:rFonts w:asciiTheme="majorHAnsi" w:hAnsiTheme="majorHAnsi" w:cstheme="majorBidi"/>
          <w:vertAlign w:val="superscript"/>
        </w:rPr>
        <w:footnoteReference w:id="26"/>
      </w:r>
      <w:r w:rsidRPr="052E2B2B">
        <w:rPr>
          <w:rFonts w:asciiTheme="majorHAnsi" w:hAnsiTheme="majorHAnsi" w:cstheme="majorBidi"/>
        </w:rPr>
        <w:t xml:space="preserve"> Over 70 percent of rural households holding farmland are smallholders, while 23 percent are medium, and 6 percent are large holders.</w:t>
      </w:r>
      <w:r w:rsidRPr="052E2B2B">
        <w:rPr>
          <w:rStyle w:val="FootnoteReference"/>
          <w:rFonts w:asciiTheme="majorHAnsi" w:hAnsiTheme="majorHAnsi" w:cstheme="majorBidi"/>
          <w:vertAlign w:val="superscript"/>
        </w:rPr>
        <w:footnoteReference w:id="27"/>
      </w:r>
      <w:r w:rsidRPr="052E2B2B">
        <w:rPr>
          <w:rFonts w:asciiTheme="majorHAnsi" w:hAnsiTheme="majorHAnsi" w:cstheme="majorBidi"/>
        </w:rPr>
        <w:t xml:space="preserve"> Farmers, especially smallholders, suffer from limited and unequal access to water and irrigated land, as well as limited access to agriculture services and markets. They face increasing input costs as well as high and rising indebtedness. There is a lack crop diversification on their farms and a lack of secure land tenure. </w:t>
      </w:r>
    </w:p>
    <w:p w14:paraId="50D1532F" w14:textId="77777777" w:rsidR="006426AA" w:rsidRPr="00A06267" w:rsidRDefault="006426AA" w:rsidP="006426AA">
      <w:pPr>
        <w:pStyle w:val="ListParagraph"/>
        <w:autoSpaceDE w:val="0"/>
        <w:autoSpaceDN w:val="0"/>
        <w:adjustRightInd w:val="0"/>
        <w:spacing w:before="160" w:afterLines="160" w:after="384" w:line="240" w:lineRule="auto"/>
        <w:ind w:left="0"/>
        <w:jc w:val="both"/>
        <w:rPr>
          <w:rFonts w:asciiTheme="majorHAnsi" w:hAnsiTheme="majorHAnsi" w:cstheme="majorHAnsi"/>
        </w:rPr>
      </w:pPr>
    </w:p>
    <w:p w14:paraId="097111E9"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color w:val="000000"/>
        </w:rPr>
      </w:pPr>
      <w:r w:rsidRPr="003070EF">
        <w:rPr>
          <w:rFonts w:asciiTheme="majorHAnsi" w:hAnsiTheme="majorHAnsi" w:cstheme="majorHAnsi"/>
          <w:b/>
          <w:bCs/>
          <w:color w:val="000000"/>
        </w:rPr>
        <w:t>Policy and institutional reforms:</w:t>
      </w:r>
      <w:r w:rsidRPr="00A06267">
        <w:rPr>
          <w:rFonts w:asciiTheme="majorHAnsi" w:hAnsiTheme="majorHAnsi" w:cstheme="majorHAnsi"/>
          <w:b/>
          <w:bCs/>
          <w:i/>
          <w:iCs/>
          <w:color w:val="000000"/>
        </w:rPr>
        <w:t xml:space="preserve"> </w:t>
      </w:r>
      <w:r w:rsidRPr="006B2961">
        <w:rPr>
          <w:rFonts w:asciiTheme="majorHAnsi" w:hAnsiTheme="majorHAnsi" w:cstheme="majorHAnsi"/>
          <w:color w:val="000000"/>
        </w:rPr>
        <w:t xml:space="preserve">Current </w:t>
      </w:r>
      <w:r w:rsidRPr="003070EF">
        <w:rPr>
          <w:rFonts w:asciiTheme="majorHAnsi" w:hAnsiTheme="majorHAnsi" w:cstheme="majorHAnsi"/>
        </w:rPr>
        <w:t>agricultural</w:t>
      </w:r>
      <w:r w:rsidRPr="006B2961">
        <w:rPr>
          <w:rFonts w:asciiTheme="majorHAnsi" w:hAnsiTheme="majorHAnsi" w:cstheme="majorHAnsi"/>
          <w:color w:val="000000"/>
        </w:rPr>
        <w:t xml:space="preserve"> policies</w:t>
      </w:r>
      <w:r w:rsidRPr="00A06267">
        <w:rPr>
          <w:rFonts w:asciiTheme="majorHAnsi" w:hAnsiTheme="majorHAnsi" w:cstheme="majorHAnsi"/>
          <w:color w:val="000000"/>
        </w:rPr>
        <w:t xml:space="preserve"> seem to benefit large and commercial farmers</w:t>
      </w:r>
      <w:r>
        <w:rPr>
          <w:rFonts w:asciiTheme="majorHAnsi" w:hAnsiTheme="majorHAnsi" w:cstheme="majorHAnsi"/>
          <w:color w:val="000000"/>
        </w:rPr>
        <w:t>,</w:t>
      </w:r>
      <w:r w:rsidRPr="00A06267">
        <w:rPr>
          <w:rFonts w:asciiTheme="majorHAnsi" w:hAnsiTheme="majorHAnsi" w:cstheme="majorHAnsi"/>
          <w:color w:val="000000"/>
        </w:rPr>
        <w:t xml:space="preserve"> at the cost of smallholders</w:t>
      </w:r>
      <w:r>
        <w:rPr>
          <w:rFonts w:asciiTheme="majorHAnsi" w:hAnsiTheme="majorHAnsi" w:cstheme="majorHAnsi"/>
          <w:color w:val="000000"/>
        </w:rPr>
        <w:t>,</w:t>
      </w:r>
      <w:r w:rsidRPr="00A06267">
        <w:rPr>
          <w:rFonts w:asciiTheme="majorHAnsi" w:hAnsiTheme="majorHAnsi" w:cstheme="majorHAnsi"/>
          <w:color w:val="000000"/>
        </w:rPr>
        <w:t xml:space="preserve"> and create inefficiencies in the use of natural endowment, which result</w:t>
      </w:r>
      <w:r>
        <w:rPr>
          <w:rFonts w:asciiTheme="majorHAnsi" w:hAnsiTheme="majorHAnsi" w:cstheme="majorHAnsi"/>
          <w:color w:val="000000"/>
        </w:rPr>
        <w:t>s</w:t>
      </w:r>
      <w:r w:rsidRPr="00A06267">
        <w:rPr>
          <w:rFonts w:asciiTheme="majorHAnsi" w:hAnsiTheme="majorHAnsi" w:cstheme="majorHAnsi"/>
          <w:color w:val="000000"/>
        </w:rPr>
        <w:t xml:space="preserve"> in lower productivity and incomes for farmers. Some unconditional farm assistance programs, which include price and income guarantees for farmers as well as subsidies for farm inputs, are contributing factors in preventing farm households from switching to crops more suitable to their farmland. Policy and institutional reforms should include strengthening of tenure security; formulation of optimal water pricing schemes; cost benefit analysis of the policies and incentives that provide unconditional farm assistance; and provision of targeted subsidies and incentives to smallholders and subsistence farmers.</w:t>
      </w:r>
    </w:p>
    <w:p w14:paraId="51C8D755"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color w:val="000000"/>
        </w:rPr>
      </w:pPr>
    </w:p>
    <w:p w14:paraId="20F9C0DB" w14:textId="7DBD0A2E" w:rsidR="006426AA" w:rsidRPr="00E9090B" w:rsidRDefault="006426AA" w:rsidP="006426AA">
      <w:pPr>
        <w:pStyle w:val="ListParagraph"/>
        <w:spacing w:before="160" w:afterLines="160" w:after="384" w:line="240" w:lineRule="auto"/>
        <w:ind w:left="0"/>
        <w:jc w:val="both"/>
        <w:rPr>
          <w:rFonts w:asciiTheme="majorHAnsi" w:hAnsiTheme="majorHAnsi" w:cstheme="majorHAnsi"/>
        </w:rPr>
      </w:pPr>
      <w:r w:rsidRPr="00E9090B">
        <w:rPr>
          <w:rFonts w:asciiTheme="majorHAnsi" w:hAnsiTheme="majorHAnsi" w:cstheme="majorHAnsi"/>
          <w:b/>
          <w:bCs/>
          <w:color w:val="000000"/>
        </w:rPr>
        <w:t>Small farm size and tenure security</w:t>
      </w:r>
      <w:r w:rsidRPr="00E9090B">
        <w:rPr>
          <w:rFonts w:asciiTheme="majorHAnsi" w:hAnsiTheme="majorHAnsi" w:cstheme="majorHAnsi"/>
          <w:color w:val="000000"/>
        </w:rPr>
        <w:t xml:space="preserve">: Half of </w:t>
      </w:r>
      <w:r w:rsidRPr="00E9090B">
        <w:rPr>
          <w:rFonts w:asciiTheme="majorHAnsi" w:hAnsiTheme="majorHAnsi" w:cstheme="majorHAnsi"/>
        </w:rPr>
        <w:t>farmer</w:t>
      </w:r>
      <w:r w:rsidRPr="00E9090B">
        <w:rPr>
          <w:rFonts w:asciiTheme="majorHAnsi" w:hAnsiTheme="majorHAnsi" w:cstheme="majorHAnsi"/>
          <w:color w:val="000000"/>
        </w:rPr>
        <w:t xml:space="preserve"> households have economically unviable small farms of 1.6 hectares (less than 10 rai). Around 40 percent of farm households lack secure land tenure. Land tenure certificates allow the farmers to use farmland, but not as collateral for agricultural inputs and services. Improving farmland tenure security could enhance rice yields by 116–127 kg/hectare for small-scale farms and by 52–71 kg/hectare for midsize farms. Improving tenure security, therefore, can improve farmers' access to credit and medium to long-term farm improvement and investments.</w:t>
      </w:r>
    </w:p>
    <w:p w14:paraId="28685765" w14:textId="77777777" w:rsidR="006426AA" w:rsidRPr="00E9090B" w:rsidRDefault="006426AA" w:rsidP="006426AA">
      <w:pPr>
        <w:pStyle w:val="ListParagraph"/>
        <w:spacing w:before="160" w:afterLines="160" w:after="384" w:line="240" w:lineRule="auto"/>
        <w:ind w:left="0"/>
        <w:jc w:val="both"/>
        <w:rPr>
          <w:rFonts w:asciiTheme="majorHAnsi" w:hAnsiTheme="majorHAnsi" w:cstheme="majorHAnsi"/>
          <w:b/>
          <w:bCs/>
          <w:i/>
          <w:iCs/>
          <w:color w:val="000000"/>
        </w:rPr>
      </w:pPr>
    </w:p>
    <w:p w14:paraId="45ED7C42"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rPr>
      </w:pPr>
      <w:r w:rsidRPr="00E9090B">
        <w:rPr>
          <w:rFonts w:asciiTheme="majorHAnsi" w:hAnsiTheme="majorHAnsi" w:cstheme="majorHAnsi"/>
          <w:b/>
          <w:bCs/>
          <w:color w:val="000000"/>
        </w:rPr>
        <w:t>Farmer knowledge and entrepreneurship:</w:t>
      </w:r>
      <w:r w:rsidRPr="00E9090B">
        <w:rPr>
          <w:rFonts w:asciiTheme="majorHAnsi" w:hAnsiTheme="majorHAnsi" w:cstheme="majorHAnsi"/>
        </w:rPr>
        <w:t xml:space="preserve"> Farmers</w:t>
      </w:r>
      <w:r w:rsidRPr="00E9090B">
        <w:rPr>
          <w:rFonts w:asciiTheme="majorHAnsi" w:hAnsiTheme="majorHAnsi" w:cstheme="majorHAnsi"/>
          <w:color w:val="000000"/>
        </w:rPr>
        <w:t xml:space="preserve"> face knowledge gaps, skills shortages,</w:t>
      </w:r>
      <w:r w:rsidRPr="00A06267">
        <w:rPr>
          <w:rFonts w:asciiTheme="majorHAnsi" w:hAnsiTheme="majorHAnsi" w:cstheme="majorHAnsi"/>
          <w:color w:val="000000"/>
        </w:rPr>
        <w:t xml:space="preserve"> and </w:t>
      </w:r>
      <w:r>
        <w:rPr>
          <w:rFonts w:asciiTheme="majorHAnsi" w:hAnsiTheme="majorHAnsi" w:cstheme="majorHAnsi"/>
          <w:color w:val="000000"/>
        </w:rPr>
        <w:t xml:space="preserve">the </w:t>
      </w:r>
      <w:r w:rsidRPr="00A06267">
        <w:rPr>
          <w:rFonts w:asciiTheme="majorHAnsi" w:hAnsiTheme="majorHAnsi" w:cstheme="majorHAnsi"/>
          <w:color w:val="000000"/>
        </w:rPr>
        <w:t>entrepreneurship required for enhancing agricultural productivity, value, marketing</w:t>
      </w:r>
      <w:r>
        <w:rPr>
          <w:rFonts w:asciiTheme="majorHAnsi" w:hAnsiTheme="majorHAnsi" w:cstheme="majorHAnsi"/>
          <w:color w:val="000000"/>
        </w:rPr>
        <w:t>,</w:t>
      </w:r>
      <w:r w:rsidRPr="00A06267">
        <w:rPr>
          <w:rFonts w:asciiTheme="majorHAnsi" w:hAnsiTheme="majorHAnsi" w:cstheme="majorHAnsi"/>
          <w:color w:val="000000"/>
        </w:rPr>
        <w:t xml:space="preserve"> and increasing farm income. </w:t>
      </w:r>
      <w:r>
        <w:rPr>
          <w:rFonts w:asciiTheme="majorHAnsi" w:hAnsiTheme="majorHAnsi" w:cstheme="majorHAnsi"/>
          <w:color w:val="000000"/>
        </w:rPr>
        <w:t>There is a need to: s</w:t>
      </w:r>
      <w:r w:rsidRPr="00A06267">
        <w:rPr>
          <w:rFonts w:asciiTheme="majorHAnsi" w:hAnsiTheme="majorHAnsi" w:cstheme="majorHAnsi"/>
          <w:color w:val="000000"/>
        </w:rPr>
        <w:t>upport</w:t>
      </w:r>
      <w:r>
        <w:rPr>
          <w:rFonts w:asciiTheme="majorHAnsi" w:hAnsiTheme="majorHAnsi" w:cstheme="majorHAnsi"/>
          <w:color w:val="000000"/>
        </w:rPr>
        <w:t xml:space="preserve"> the</w:t>
      </w:r>
      <w:r w:rsidRPr="00A06267">
        <w:rPr>
          <w:rFonts w:asciiTheme="majorHAnsi" w:hAnsiTheme="majorHAnsi" w:cstheme="majorHAnsi"/>
          <w:color w:val="000000"/>
        </w:rPr>
        <w:t xml:space="preserve"> formation of membership organizations, producer groups and producer alliances; improv</w:t>
      </w:r>
      <w:r>
        <w:rPr>
          <w:rFonts w:asciiTheme="majorHAnsi" w:hAnsiTheme="majorHAnsi" w:cstheme="majorHAnsi"/>
          <w:color w:val="000000"/>
        </w:rPr>
        <w:t>e</w:t>
      </w:r>
      <w:r w:rsidRPr="00A06267">
        <w:rPr>
          <w:rFonts w:asciiTheme="majorHAnsi" w:hAnsiTheme="majorHAnsi" w:cstheme="majorHAnsi"/>
          <w:color w:val="000000"/>
        </w:rPr>
        <w:t xml:space="preserve"> farmers’ access </w:t>
      </w:r>
      <w:r>
        <w:rPr>
          <w:rFonts w:asciiTheme="majorHAnsi" w:hAnsiTheme="majorHAnsi" w:cstheme="majorHAnsi"/>
          <w:color w:val="000000"/>
        </w:rPr>
        <w:t xml:space="preserve">to </w:t>
      </w:r>
      <w:r w:rsidRPr="00A06267">
        <w:rPr>
          <w:rFonts w:asciiTheme="majorHAnsi" w:hAnsiTheme="majorHAnsi" w:cstheme="majorHAnsi"/>
          <w:color w:val="000000"/>
        </w:rPr>
        <w:t xml:space="preserve">and </w:t>
      </w:r>
      <w:r>
        <w:rPr>
          <w:rFonts w:asciiTheme="majorHAnsi" w:hAnsiTheme="majorHAnsi" w:cstheme="majorHAnsi"/>
          <w:color w:val="000000"/>
        </w:rPr>
        <w:t xml:space="preserve">the </w:t>
      </w:r>
      <w:r w:rsidRPr="00A06267">
        <w:rPr>
          <w:rFonts w:asciiTheme="majorHAnsi" w:hAnsiTheme="majorHAnsi" w:cstheme="majorHAnsi"/>
          <w:color w:val="000000"/>
        </w:rPr>
        <w:t>affordability o</w:t>
      </w:r>
      <w:r>
        <w:rPr>
          <w:rFonts w:asciiTheme="majorHAnsi" w:hAnsiTheme="majorHAnsi" w:cstheme="majorHAnsi"/>
          <w:color w:val="000000"/>
        </w:rPr>
        <w:t>f</w:t>
      </w:r>
      <w:r w:rsidRPr="00A06267">
        <w:rPr>
          <w:rFonts w:asciiTheme="majorHAnsi" w:hAnsiTheme="majorHAnsi" w:cstheme="majorHAnsi"/>
          <w:color w:val="000000"/>
        </w:rPr>
        <w:t xml:space="preserve"> agricultural finance and agricultural inputs</w:t>
      </w:r>
      <w:r>
        <w:rPr>
          <w:rFonts w:asciiTheme="majorHAnsi" w:hAnsiTheme="majorHAnsi" w:cstheme="majorHAnsi"/>
          <w:color w:val="000000"/>
        </w:rPr>
        <w:t>;</w:t>
      </w:r>
      <w:r w:rsidRPr="00A06267">
        <w:rPr>
          <w:rFonts w:asciiTheme="majorHAnsi" w:hAnsiTheme="majorHAnsi" w:cstheme="majorHAnsi"/>
          <w:color w:val="000000"/>
        </w:rPr>
        <w:t xml:space="preserve"> and build their knowledge, practices, skills and business acumen in mitigating productivity and marketing constraints and availing opportunities for increasing agricultural yield, diversifying to higher value crops, </w:t>
      </w:r>
      <w:r>
        <w:rPr>
          <w:rFonts w:asciiTheme="majorHAnsi" w:hAnsiTheme="majorHAnsi" w:cstheme="majorHAnsi"/>
          <w:color w:val="000000"/>
        </w:rPr>
        <w:t xml:space="preserve">adding </w:t>
      </w:r>
      <w:r w:rsidRPr="00A06267">
        <w:rPr>
          <w:rFonts w:asciiTheme="majorHAnsi" w:hAnsiTheme="majorHAnsi" w:cstheme="majorHAnsi"/>
          <w:color w:val="000000"/>
        </w:rPr>
        <w:t xml:space="preserve">value, </w:t>
      </w:r>
      <w:r>
        <w:rPr>
          <w:rFonts w:asciiTheme="majorHAnsi" w:hAnsiTheme="majorHAnsi" w:cstheme="majorHAnsi"/>
          <w:color w:val="000000"/>
        </w:rPr>
        <w:t xml:space="preserve">ensuring </w:t>
      </w:r>
      <w:r w:rsidRPr="00A06267">
        <w:rPr>
          <w:rFonts w:asciiTheme="majorHAnsi" w:hAnsiTheme="majorHAnsi" w:cstheme="majorHAnsi"/>
          <w:color w:val="000000"/>
        </w:rPr>
        <w:t xml:space="preserve">quality control, grading, packaging, and </w:t>
      </w:r>
      <w:r>
        <w:rPr>
          <w:rFonts w:asciiTheme="majorHAnsi" w:hAnsiTheme="majorHAnsi" w:cstheme="majorHAnsi"/>
          <w:color w:val="000000"/>
        </w:rPr>
        <w:t xml:space="preserve">improving </w:t>
      </w:r>
      <w:r w:rsidRPr="00A06267">
        <w:rPr>
          <w:rFonts w:asciiTheme="majorHAnsi" w:hAnsiTheme="majorHAnsi" w:cstheme="majorHAnsi"/>
          <w:color w:val="000000"/>
        </w:rPr>
        <w:t xml:space="preserve">marketing </w:t>
      </w:r>
      <w:r>
        <w:rPr>
          <w:rFonts w:asciiTheme="majorHAnsi" w:hAnsiTheme="majorHAnsi" w:cstheme="majorHAnsi"/>
          <w:color w:val="000000"/>
        </w:rPr>
        <w:t xml:space="preserve">to </w:t>
      </w:r>
      <w:r w:rsidRPr="00A06267">
        <w:rPr>
          <w:rFonts w:asciiTheme="majorHAnsi" w:hAnsiTheme="majorHAnsi" w:cstheme="majorHAnsi"/>
          <w:color w:val="000000"/>
        </w:rPr>
        <w:t>ultimately rais</w:t>
      </w:r>
      <w:r>
        <w:rPr>
          <w:rFonts w:asciiTheme="majorHAnsi" w:hAnsiTheme="majorHAnsi" w:cstheme="majorHAnsi"/>
          <w:color w:val="000000"/>
        </w:rPr>
        <w:t>e</w:t>
      </w:r>
      <w:r w:rsidRPr="00A06267">
        <w:rPr>
          <w:rFonts w:asciiTheme="majorHAnsi" w:hAnsiTheme="majorHAnsi" w:cstheme="majorHAnsi"/>
          <w:color w:val="000000"/>
        </w:rPr>
        <w:t xml:space="preserve"> their farm income.</w:t>
      </w:r>
    </w:p>
    <w:p w14:paraId="42C4BD27"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b/>
          <w:bCs/>
          <w:color w:val="000000"/>
        </w:rPr>
      </w:pPr>
    </w:p>
    <w:p w14:paraId="10995E75"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rPr>
      </w:pPr>
      <w:r w:rsidRPr="00954C42">
        <w:rPr>
          <w:rFonts w:asciiTheme="majorHAnsi" w:hAnsiTheme="majorHAnsi" w:cstheme="majorHAnsi"/>
          <w:b/>
          <w:bCs/>
          <w:color w:val="000000"/>
        </w:rPr>
        <w:t>F</w:t>
      </w:r>
      <w:r w:rsidRPr="003070EF">
        <w:rPr>
          <w:rFonts w:asciiTheme="majorHAnsi" w:hAnsiTheme="majorHAnsi" w:cstheme="majorHAnsi"/>
          <w:b/>
          <w:bCs/>
          <w:color w:val="000000"/>
        </w:rPr>
        <w:t>arm mechanization and digital technology</w:t>
      </w:r>
      <w:r>
        <w:rPr>
          <w:rFonts w:asciiTheme="majorHAnsi" w:hAnsiTheme="majorHAnsi" w:cstheme="majorHAnsi"/>
          <w:b/>
          <w:bCs/>
          <w:i/>
          <w:iCs/>
          <w:color w:val="000000"/>
        </w:rPr>
        <w:t>:</w:t>
      </w:r>
      <w:r w:rsidRPr="00A06267">
        <w:rPr>
          <w:rFonts w:asciiTheme="majorHAnsi" w:hAnsiTheme="majorHAnsi" w:cstheme="majorHAnsi"/>
          <w:color w:val="000000"/>
        </w:rPr>
        <w:t xml:space="preserve"> </w:t>
      </w:r>
      <w:r>
        <w:rPr>
          <w:rFonts w:asciiTheme="majorHAnsi" w:hAnsiTheme="majorHAnsi" w:cstheme="majorHAnsi"/>
        </w:rPr>
        <w:t>The f</w:t>
      </w:r>
      <w:r w:rsidRPr="003070EF">
        <w:rPr>
          <w:rFonts w:asciiTheme="majorHAnsi" w:hAnsiTheme="majorHAnsi" w:cstheme="majorHAnsi"/>
        </w:rPr>
        <w:t>armer</w:t>
      </w:r>
      <w:r w:rsidRPr="00A06267">
        <w:rPr>
          <w:rFonts w:asciiTheme="majorHAnsi" w:hAnsiTheme="majorHAnsi" w:cstheme="majorHAnsi"/>
          <w:color w:val="000000"/>
        </w:rPr>
        <w:t xml:space="preserve"> population is aging</w:t>
      </w:r>
      <w:r>
        <w:rPr>
          <w:rFonts w:asciiTheme="majorHAnsi" w:hAnsiTheme="majorHAnsi" w:cstheme="majorHAnsi"/>
          <w:color w:val="000000"/>
        </w:rPr>
        <w:t>;</w:t>
      </w:r>
      <w:r w:rsidRPr="00A06267">
        <w:rPr>
          <w:rFonts w:asciiTheme="majorHAnsi" w:hAnsiTheme="majorHAnsi" w:cstheme="majorHAnsi"/>
          <w:color w:val="000000"/>
        </w:rPr>
        <w:t xml:space="preserve"> one</w:t>
      </w:r>
      <w:r>
        <w:rPr>
          <w:rFonts w:asciiTheme="majorHAnsi" w:hAnsiTheme="majorHAnsi" w:cstheme="majorHAnsi"/>
          <w:color w:val="000000"/>
        </w:rPr>
        <w:t>-</w:t>
      </w:r>
      <w:r w:rsidRPr="00A06267">
        <w:rPr>
          <w:rFonts w:asciiTheme="majorHAnsi" w:hAnsiTheme="majorHAnsi" w:cstheme="majorHAnsi"/>
          <w:color w:val="000000"/>
        </w:rPr>
        <w:t xml:space="preserve">fifth of farmers are aged 60 and above and </w:t>
      </w:r>
      <w:r>
        <w:rPr>
          <w:rFonts w:asciiTheme="majorHAnsi" w:hAnsiTheme="majorHAnsi" w:cstheme="majorHAnsi"/>
          <w:color w:val="000000"/>
        </w:rPr>
        <w:t xml:space="preserve">the </w:t>
      </w:r>
      <w:r w:rsidRPr="00A06267">
        <w:rPr>
          <w:rFonts w:asciiTheme="majorHAnsi" w:hAnsiTheme="majorHAnsi" w:cstheme="majorHAnsi"/>
          <w:color w:val="000000"/>
        </w:rPr>
        <w:t>agriculture</w:t>
      </w:r>
      <w:r>
        <w:rPr>
          <w:rFonts w:asciiTheme="majorHAnsi" w:hAnsiTheme="majorHAnsi" w:cstheme="majorHAnsi"/>
          <w:color w:val="000000"/>
        </w:rPr>
        <w:t xml:space="preserve"> sector</w:t>
      </w:r>
      <w:r w:rsidRPr="00A06267">
        <w:rPr>
          <w:rFonts w:asciiTheme="majorHAnsi" w:hAnsiTheme="majorHAnsi" w:cstheme="majorHAnsi"/>
          <w:color w:val="000000"/>
        </w:rPr>
        <w:t xml:space="preserve"> is increasingly facing shortage</w:t>
      </w:r>
      <w:r>
        <w:rPr>
          <w:rFonts w:asciiTheme="majorHAnsi" w:hAnsiTheme="majorHAnsi" w:cstheme="majorHAnsi"/>
          <w:color w:val="000000"/>
        </w:rPr>
        <w:t>s</w:t>
      </w:r>
      <w:r w:rsidRPr="00A06267">
        <w:rPr>
          <w:rFonts w:asciiTheme="majorHAnsi" w:hAnsiTheme="majorHAnsi" w:cstheme="majorHAnsi"/>
          <w:color w:val="000000"/>
        </w:rPr>
        <w:t xml:space="preserve"> of farm labor. Promoting agricultural machinery and equipment</w:t>
      </w:r>
      <w:r>
        <w:rPr>
          <w:rFonts w:asciiTheme="majorHAnsi" w:hAnsiTheme="majorHAnsi" w:cstheme="majorHAnsi"/>
          <w:color w:val="000000"/>
        </w:rPr>
        <w:t>, as well as</w:t>
      </w:r>
      <w:r w:rsidRPr="00A06267">
        <w:rPr>
          <w:rFonts w:asciiTheme="majorHAnsi" w:hAnsiTheme="majorHAnsi" w:cstheme="majorHAnsi"/>
          <w:color w:val="000000"/>
        </w:rPr>
        <w:t xml:space="preserve"> digital technology is, therefore, important to enhance productivity, increase farm income and thus attract youth to the agriculture and food sector as a viable business option. Application of e-commerce, online trading and similar platforms </w:t>
      </w:r>
      <w:r>
        <w:rPr>
          <w:rFonts w:asciiTheme="majorHAnsi" w:hAnsiTheme="majorHAnsi" w:cstheme="majorHAnsi"/>
          <w:color w:val="000000"/>
        </w:rPr>
        <w:t xml:space="preserve">could </w:t>
      </w:r>
      <w:r w:rsidRPr="00A06267">
        <w:rPr>
          <w:rFonts w:asciiTheme="majorHAnsi" w:hAnsiTheme="majorHAnsi" w:cstheme="majorHAnsi"/>
          <w:color w:val="000000"/>
        </w:rPr>
        <w:t>improve farmers’ access to input and output markets; advisory and extension services; market information;</w:t>
      </w:r>
      <w:r>
        <w:rPr>
          <w:rFonts w:asciiTheme="majorHAnsi" w:hAnsiTheme="majorHAnsi" w:cstheme="majorHAnsi"/>
          <w:color w:val="000000"/>
        </w:rPr>
        <w:t xml:space="preserve"> </w:t>
      </w:r>
      <w:r w:rsidRPr="00A06267">
        <w:rPr>
          <w:rFonts w:asciiTheme="majorHAnsi" w:hAnsiTheme="majorHAnsi" w:cstheme="majorHAnsi"/>
          <w:color w:val="000000"/>
        </w:rPr>
        <w:t>weather information</w:t>
      </w:r>
      <w:r>
        <w:rPr>
          <w:rFonts w:asciiTheme="majorHAnsi" w:hAnsiTheme="majorHAnsi" w:cstheme="majorHAnsi"/>
          <w:color w:val="000000"/>
        </w:rPr>
        <w:t>;</w:t>
      </w:r>
      <w:r w:rsidRPr="00A06267">
        <w:rPr>
          <w:rFonts w:asciiTheme="majorHAnsi" w:hAnsiTheme="majorHAnsi" w:cstheme="majorHAnsi"/>
          <w:color w:val="000000"/>
        </w:rPr>
        <w:t xml:space="preserve"> the costs of processing and transportation; and </w:t>
      </w:r>
      <w:r>
        <w:rPr>
          <w:rFonts w:asciiTheme="majorHAnsi" w:hAnsiTheme="majorHAnsi" w:cstheme="majorHAnsi"/>
          <w:color w:val="000000"/>
        </w:rPr>
        <w:t>to</w:t>
      </w:r>
      <w:r w:rsidRPr="00A06267">
        <w:rPr>
          <w:rFonts w:asciiTheme="majorHAnsi" w:hAnsiTheme="majorHAnsi" w:cstheme="majorHAnsi"/>
          <w:color w:val="000000"/>
        </w:rPr>
        <w:t xml:space="preserve"> early warning</w:t>
      </w:r>
      <w:r>
        <w:rPr>
          <w:rFonts w:asciiTheme="majorHAnsi" w:hAnsiTheme="majorHAnsi" w:cstheme="majorHAnsi"/>
          <w:color w:val="000000"/>
        </w:rPr>
        <w:t xml:space="preserve"> systems</w:t>
      </w:r>
      <w:r w:rsidRPr="00A06267">
        <w:rPr>
          <w:rFonts w:asciiTheme="majorHAnsi" w:hAnsiTheme="majorHAnsi" w:cstheme="majorHAnsi"/>
          <w:color w:val="000000"/>
        </w:rPr>
        <w:t xml:space="preserve">. </w:t>
      </w:r>
    </w:p>
    <w:p w14:paraId="5792826A" w14:textId="77777777" w:rsidR="006426AA" w:rsidRPr="00954C42" w:rsidRDefault="006426AA" w:rsidP="006426AA">
      <w:pPr>
        <w:pStyle w:val="Heading3"/>
        <w:rPr>
          <w:rStyle w:val="IntenseEmphasis"/>
          <w:i w:val="0"/>
          <w:iCs w:val="0"/>
          <w:color w:val="1E2C3F" w:themeColor="accent1" w:themeShade="7F"/>
        </w:rPr>
      </w:pPr>
      <w:r w:rsidRPr="00954C42">
        <w:rPr>
          <w:rStyle w:val="IntenseEmphasis"/>
          <w:i w:val="0"/>
          <w:iCs w:val="0"/>
          <w:color w:val="1E2C3F" w:themeColor="accent1" w:themeShade="7F"/>
        </w:rPr>
        <w:lastRenderedPageBreak/>
        <w:t>Green agriculture and innovation</w:t>
      </w:r>
    </w:p>
    <w:p w14:paraId="2AA1FBF8" w14:textId="77777777" w:rsidR="006426AA" w:rsidRPr="00A06267" w:rsidRDefault="006426AA" w:rsidP="006426AA">
      <w:pPr>
        <w:pStyle w:val="ListParagraph"/>
        <w:autoSpaceDE w:val="0"/>
        <w:autoSpaceDN w:val="0"/>
        <w:adjustRightInd w:val="0"/>
        <w:spacing w:before="160" w:afterLines="160" w:after="384" w:line="240" w:lineRule="auto"/>
        <w:ind w:left="0"/>
        <w:jc w:val="both"/>
        <w:rPr>
          <w:rFonts w:asciiTheme="majorHAnsi" w:hAnsiTheme="majorHAnsi" w:cstheme="majorHAnsi"/>
          <w:b/>
          <w:bCs/>
          <w:color w:val="000000"/>
        </w:rPr>
      </w:pPr>
    </w:p>
    <w:p w14:paraId="234C1C4E" w14:textId="397EB3E1" w:rsidR="006426AA" w:rsidRPr="00A06267" w:rsidRDefault="006426AA" w:rsidP="006426AA">
      <w:pPr>
        <w:pStyle w:val="ListParagraph"/>
        <w:spacing w:before="160" w:afterLines="160" w:after="384" w:line="240" w:lineRule="auto"/>
        <w:ind w:left="0"/>
        <w:jc w:val="both"/>
        <w:rPr>
          <w:rFonts w:asciiTheme="majorHAnsi" w:hAnsiTheme="majorHAnsi" w:cstheme="majorHAnsi"/>
          <w:shd w:val="clear" w:color="auto" w:fill="FFFFFF"/>
        </w:rPr>
      </w:pPr>
      <w:r w:rsidRPr="00A06267">
        <w:rPr>
          <w:rFonts w:asciiTheme="majorHAnsi" w:hAnsiTheme="majorHAnsi" w:cstheme="majorHAnsi"/>
          <w:b/>
          <w:bCs/>
          <w:shd w:val="clear" w:color="auto" w:fill="FFFFFF"/>
        </w:rPr>
        <w:t>Greenhouse Gas Emissions</w:t>
      </w:r>
      <w:r>
        <w:rPr>
          <w:rFonts w:asciiTheme="majorHAnsi" w:hAnsiTheme="majorHAnsi" w:cstheme="majorHAnsi"/>
          <w:b/>
          <w:bCs/>
          <w:shd w:val="clear" w:color="auto" w:fill="FFFFFF"/>
        </w:rPr>
        <w:t xml:space="preserve"> (GHG)</w:t>
      </w:r>
      <w:r>
        <w:rPr>
          <w:rFonts w:asciiTheme="majorHAnsi" w:hAnsiTheme="majorHAnsi" w:cstheme="majorHAnsi"/>
          <w:shd w:val="clear" w:color="auto" w:fill="FFFFFF"/>
        </w:rPr>
        <w:t>:</w:t>
      </w:r>
      <w:r w:rsidRPr="00A06267">
        <w:rPr>
          <w:rFonts w:asciiTheme="majorHAnsi" w:hAnsiTheme="majorHAnsi" w:cstheme="majorHAnsi"/>
          <w:shd w:val="clear" w:color="auto" w:fill="FFFFFF"/>
        </w:rPr>
        <w:t xml:space="preserve"> In Thailand, after </w:t>
      </w:r>
      <w:r>
        <w:rPr>
          <w:rFonts w:asciiTheme="majorHAnsi" w:hAnsiTheme="majorHAnsi" w:cstheme="majorHAnsi"/>
          <w:shd w:val="clear" w:color="auto" w:fill="FFFFFF"/>
        </w:rPr>
        <w:t xml:space="preserve">the </w:t>
      </w:r>
      <w:r w:rsidRPr="00A06267">
        <w:rPr>
          <w:rFonts w:asciiTheme="majorHAnsi" w:hAnsiTheme="majorHAnsi" w:cstheme="majorHAnsi"/>
          <w:shd w:val="clear" w:color="auto" w:fill="FFFFFF"/>
        </w:rPr>
        <w:t xml:space="preserve">energy and industrial sectors, </w:t>
      </w:r>
      <w:r>
        <w:rPr>
          <w:rFonts w:asciiTheme="majorHAnsi" w:hAnsiTheme="majorHAnsi" w:cstheme="majorHAnsi"/>
          <w:shd w:val="clear" w:color="auto" w:fill="FFFFFF"/>
        </w:rPr>
        <w:t xml:space="preserve">the </w:t>
      </w:r>
      <w:r w:rsidRPr="00A06267">
        <w:rPr>
          <w:rFonts w:asciiTheme="majorHAnsi" w:hAnsiTheme="majorHAnsi" w:cstheme="majorHAnsi"/>
          <w:shd w:val="clear" w:color="auto" w:fill="FFFFFF"/>
        </w:rPr>
        <w:t>agriculture sector is a major source of GHG emissions, with rice cultivation being the primary source of national methane emissions. Thailand has successful</w:t>
      </w:r>
      <w:r>
        <w:rPr>
          <w:rFonts w:asciiTheme="majorHAnsi" w:hAnsiTheme="majorHAnsi" w:cstheme="majorHAnsi"/>
          <w:shd w:val="clear" w:color="auto" w:fill="FFFFFF"/>
        </w:rPr>
        <w:t>ly</w:t>
      </w:r>
      <w:r w:rsidRPr="00A06267">
        <w:rPr>
          <w:rFonts w:asciiTheme="majorHAnsi" w:hAnsiTheme="majorHAnsi" w:cstheme="majorHAnsi"/>
          <w:shd w:val="clear" w:color="auto" w:fill="FFFFFF"/>
        </w:rPr>
        <w:t xml:space="preserve"> managed to reduce GHG emission</w:t>
      </w:r>
      <w:r>
        <w:rPr>
          <w:rFonts w:asciiTheme="majorHAnsi" w:hAnsiTheme="majorHAnsi" w:cstheme="majorHAnsi"/>
          <w:shd w:val="clear" w:color="auto" w:fill="FFFFFF"/>
        </w:rPr>
        <w:t>s</w:t>
      </w:r>
      <w:r w:rsidRPr="00A06267">
        <w:rPr>
          <w:rFonts w:asciiTheme="majorHAnsi" w:hAnsiTheme="majorHAnsi" w:cstheme="majorHAnsi"/>
          <w:shd w:val="clear" w:color="auto" w:fill="FFFFFF"/>
        </w:rPr>
        <w:t xml:space="preserve"> by 30 percent against preliminary target</w:t>
      </w:r>
      <w:r>
        <w:rPr>
          <w:rFonts w:asciiTheme="majorHAnsi" w:hAnsiTheme="majorHAnsi" w:cstheme="majorHAnsi"/>
          <w:shd w:val="clear" w:color="auto" w:fill="FFFFFF"/>
        </w:rPr>
        <w:t>s</w:t>
      </w:r>
      <w:r w:rsidRPr="00A06267">
        <w:rPr>
          <w:rFonts w:asciiTheme="majorHAnsi" w:hAnsiTheme="majorHAnsi" w:cstheme="majorHAnsi"/>
          <w:shd w:val="clear" w:color="auto" w:fill="FFFFFF"/>
        </w:rPr>
        <w:t xml:space="preserve"> of GHG reduction</w:t>
      </w:r>
      <w:r>
        <w:rPr>
          <w:rFonts w:asciiTheme="majorHAnsi" w:hAnsiTheme="majorHAnsi" w:cstheme="majorHAnsi"/>
          <w:shd w:val="clear" w:color="auto" w:fill="FFFFFF"/>
        </w:rPr>
        <w:t>s</w:t>
      </w:r>
      <w:r w:rsidRPr="00A06267">
        <w:rPr>
          <w:rFonts w:asciiTheme="majorHAnsi" w:hAnsiTheme="majorHAnsi" w:cstheme="majorHAnsi"/>
          <w:shd w:val="clear" w:color="auto" w:fill="FFFFFF"/>
        </w:rPr>
        <w:t xml:space="preserve"> by </w:t>
      </w:r>
      <w:proofErr w:type="gramStart"/>
      <w:r w:rsidRPr="00A06267">
        <w:rPr>
          <w:rFonts w:asciiTheme="majorHAnsi" w:hAnsiTheme="majorHAnsi" w:cstheme="majorHAnsi"/>
          <w:shd w:val="clear" w:color="auto" w:fill="FFFFFF"/>
        </w:rPr>
        <w:t>20 percent</w:t>
      </w:r>
      <w:r>
        <w:rPr>
          <w:rFonts w:asciiTheme="majorHAnsi" w:hAnsiTheme="majorHAnsi" w:cstheme="majorHAnsi"/>
          <w:shd w:val="clear" w:color="auto" w:fill="FFFFFF"/>
        </w:rPr>
        <w:t>,</w:t>
      </w:r>
      <w:r w:rsidRPr="00A06267">
        <w:rPr>
          <w:rFonts w:asciiTheme="majorHAnsi" w:hAnsiTheme="majorHAnsi" w:cstheme="majorHAnsi"/>
          <w:shd w:val="clear" w:color="auto" w:fill="FFFFFF"/>
        </w:rPr>
        <w:t xml:space="preserve"> and</w:t>
      </w:r>
      <w:proofErr w:type="gramEnd"/>
      <w:r w:rsidRPr="00A06267">
        <w:rPr>
          <w:rFonts w:asciiTheme="majorHAnsi" w:hAnsiTheme="majorHAnsi" w:cstheme="majorHAnsi"/>
          <w:shd w:val="clear" w:color="auto" w:fill="FFFFFF"/>
        </w:rPr>
        <w:t xml:space="preserve"> aims to reach 40 percent in 2030. Thailand endeavors to meet the </w:t>
      </w:r>
      <w:proofErr w:type="gramStart"/>
      <w:r w:rsidRPr="00A06267">
        <w:rPr>
          <w:rFonts w:asciiTheme="majorHAnsi" w:hAnsiTheme="majorHAnsi" w:cstheme="majorHAnsi"/>
          <w:shd w:val="clear" w:color="auto" w:fill="FFFFFF"/>
        </w:rPr>
        <w:t>ultimate goal</w:t>
      </w:r>
      <w:proofErr w:type="gramEnd"/>
      <w:r w:rsidRPr="00A06267">
        <w:rPr>
          <w:rFonts w:asciiTheme="majorHAnsi" w:hAnsiTheme="majorHAnsi" w:cstheme="majorHAnsi"/>
          <w:shd w:val="clear" w:color="auto" w:fill="FFFFFF"/>
        </w:rPr>
        <w:t xml:space="preserve"> of carbon neutrality by 2050 and net</w:t>
      </w:r>
      <w:r w:rsidR="0057729D">
        <w:rPr>
          <w:rFonts w:asciiTheme="majorHAnsi" w:hAnsiTheme="majorHAnsi" w:cstheme="majorHAnsi"/>
          <w:shd w:val="clear" w:color="auto" w:fill="FFFFFF"/>
        </w:rPr>
        <w:t>-</w:t>
      </w:r>
      <w:r w:rsidRPr="00A06267">
        <w:rPr>
          <w:rFonts w:asciiTheme="majorHAnsi" w:hAnsiTheme="majorHAnsi" w:cstheme="majorHAnsi"/>
          <w:shd w:val="clear" w:color="auto" w:fill="FFFFFF"/>
        </w:rPr>
        <w:t>zero emissions by 2065.</w:t>
      </w:r>
    </w:p>
    <w:p w14:paraId="39E6B38E" w14:textId="77777777" w:rsidR="006426AA" w:rsidRPr="00A06267" w:rsidRDefault="006426AA" w:rsidP="006426AA">
      <w:pPr>
        <w:pStyle w:val="ListParagraph"/>
        <w:autoSpaceDE w:val="0"/>
        <w:autoSpaceDN w:val="0"/>
        <w:adjustRightInd w:val="0"/>
        <w:spacing w:before="160" w:afterLines="160" w:after="384" w:line="240" w:lineRule="auto"/>
        <w:ind w:left="0"/>
        <w:jc w:val="both"/>
        <w:rPr>
          <w:rFonts w:asciiTheme="majorHAnsi" w:hAnsiTheme="majorHAnsi" w:cstheme="majorHAnsi"/>
          <w:shd w:val="clear" w:color="auto" w:fill="FFFFFF"/>
        </w:rPr>
      </w:pPr>
    </w:p>
    <w:p w14:paraId="6283128B"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shd w:val="clear" w:color="auto" w:fill="FFFFFF"/>
        </w:rPr>
      </w:pPr>
      <w:r w:rsidRPr="052E2B2B">
        <w:rPr>
          <w:rFonts w:asciiTheme="majorHAnsi" w:hAnsiTheme="majorHAnsi" w:cstheme="majorBidi"/>
          <w:b/>
        </w:rPr>
        <w:t>Climate change</w:t>
      </w:r>
      <w:r w:rsidRPr="052E2B2B">
        <w:rPr>
          <w:rFonts w:asciiTheme="majorHAnsi" w:hAnsiTheme="majorHAnsi" w:cstheme="majorBidi"/>
        </w:rPr>
        <w:t>: Thailand is highly vulnerable to climate change impacts and is ranked 62</w:t>
      </w:r>
      <w:r w:rsidRPr="052E2B2B">
        <w:rPr>
          <w:rFonts w:asciiTheme="majorHAnsi" w:hAnsiTheme="majorHAnsi" w:cstheme="majorBidi"/>
          <w:vertAlign w:val="superscript"/>
        </w:rPr>
        <w:t>nd</w:t>
      </w:r>
      <w:r w:rsidRPr="052E2B2B">
        <w:rPr>
          <w:rFonts w:asciiTheme="majorHAnsi" w:hAnsiTheme="majorHAnsi" w:cstheme="majorBidi"/>
        </w:rPr>
        <w:t xml:space="preserve"> out of 181 countries in the 2020 ND-GAIN Index. The emerging key trends show temperature increases, heatwaves, high exposure to natural hazard risks including flooding, tropical cyclones and their associated hazards and drought. Coastal areas are also likely to experience more flooding from sea-level rise. Floods are, however, the major natural hazard facing Thailand, as one of the ten most flood-affected countries globally. According to the UNISDR, Thailand faces an average annual loss of US$2.6 billion caused by flooding.</w:t>
      </w:r>
      <w:r w:rsidRPr="052E2B2B">
        <w:rPr>
          <w:rStyle w:val="FootnoteReference"/>
          <w:rFonts w:asciiTheme="majorHAnsi" w:hAnsiTheme="majorHAnsi" w:cstheme="majorBidi"/>
          <w:vertAlign w:val="superscript"/>
        </w:rPr>
        <w:footnoteReference w:id="28"/>
      </w:r>
      <w:r w:rsidRPr="052E2B2B">
        <w:rPr>
          <w:rFonts w:asciiTheme="majorHAnsi" w:hAnsiTheme="majorHAnsi" w:cstheme="majorBidi"/>
        </w:rPr>
        <w:t xml:space="preserve"> </w:t>
      </w:r>
    </w:p>
    <w:p w14:paraId="596B5508"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rPr>
      </w:pPr>
    </w:p>
    <w:p w14:paraId="05A9FB63"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shd w:val="clear" w:color="auto" w:fill="FFFFFF"/>
        </w:rPr>
      </w:pPr>
      <w:r w:rsidRPr="052E2B2B">
        <w:rPr>
          <w:rFonts w:asciiTheme="majorHAnsi" w:hAnsiTheme="majorHAnsi" w:cstheme="majorBidi"/>
        </w:rPr>
        <w:t>Thai agriculture could be significantly affected from a changing climate, being in the tropics where agricultural productivity is particularly vulnerable. Direct and indirect effects may include alterations to carbon dioxide availability; precipitation and temperatures; impacts on water resource availability and seasonality; soil organic matter transformation; soil erosion; changes in pest and disease profiles; the arrival of invasive species; and decline in arable areas due to the submergence of coastal lands and desertification. Decreases in rainfall during the rice production phase (September–October) and increases in temperature could have detrimental impacts on agricultural productivity including rice yield. Some estimates suggest that climate change could reduce rice production by 10–13 percent, sugarcane by 25–35 percent, and cassava by 15–21 percent without adaption and the adoption of new technologies.</w:t>
      </w:r>
      <w:r w:rsidRPr="052E2B2B">
        <w:rPr>
          <w:rStyle w:val="FootnoteReference"/>
          <w:rFonts w:asciiTheme="majorHAnsi" w:hAnsiTheme="majorHAnsi" w:cstheme="majorBidi"/>
          <w:vertAlign w:val="superscript"/>
        </w:rPr>
        <w:footnoteReference w:id="29"/>
      </w:r>
      <w:r w:rsidRPr="052E2B2B">
        <w:rPr>
          <w:rFonts w:asciiTheme="majorHAnsi" w:hAnsiTheme="majorHAnsi" w:cstheme="majorBidi"/>
        </w:rPr>
        <w:t xml:space="preserve"> The impacts of increased temperatures on agriculture are projected to have regional variation: western, north central, and north-western areas are likely to suffer fewer negative impacts compared to eastern, south-central, and north-eastern areas. </w:t>
      </w:r>
    </w:p>
    <w:p w14:paraId="651DB285" w14:textId="77777777" w:rsidR="006426AA" w:rsidRPr="00A06267" w:rsidRDefault="006426AA" w:rsidP="006426AA">
      <w:pPr>
        <w:pStyle w:val="ListParagraph"/>
        <w:autoSpaceDE w:val="0"/>
        <w:autoSpaceDN w:val="0"/>
        <w:adjustRightInd w:val="0"/>
        <w:spacing w:before="160" w:afterLines="160" w:after="384" w:line="240" w:lineRule="auto"/>
        <w:ind w:left="0"/>
        <w:jc w:val="both"/>
        <w:rPr>
          <w:rFonts w:asciiTheme="majorHAnsi" w:hAnsiTheme="majorHAnsi" w:cstheme="majorHAnsi"/>
          <w:shd w:val="clear" w:color="auto" w:fill="FFFFFF"/>
        </w:rPr>
      </w:pPr>
    </w:p>
    <w:p w14:paraId="3F5682F1"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shd w:val="clear" w:color="auto" w:fill="FFFFFF"/>
        </w:rPr>
      </w:pPr>
      <w:r>
        <w:rPr>
          <w:rFonts w:asciiTheme="majorHAnsi" w:hAnsiTheme="majorHAnsi" w:cstheme="majorHAnsi"/>
        </w:rPr>
        <w:t>C</w:t>
      </w:r>
      <w:r w:rsidRPr="00A06267">
        <w:rPr>
          <w:rFonts w:asciiTheme="majorHAnsi" w:hAnsiTheme="majorHAnsi" w:cstheme="majorHAnsi"/>
        </w:rPr>
        <w:t>limate change</w:t>
      </w:r>
      <w:r>
        <w:rPr>
          <w:rFonts w:asciiTheme="majorHAnsi" w:hAnsiTheme="majorHAnsi" w:cstheme="majorHAnsi"/>
        </w:rPr>
        <w:t xml:space="preserve"> i</w:t>
      </w:r>
      <w:r w:rsidRPr="00A06267">
        <w:rPr>
          <w:rFonts w:asciiTheme="majorHAnsi" w:hAnsiTheme="majorHAnsi" w:cstheme="majorHAnsi"/>
        </w:rPr>
        <w:t xml:space="preserve">s likely to disproportionately affect the poorest groups, ethnic minorities, remote communities, and the disabled, </w:t>
      </w:r>
      <w:r>
        <w:rPr>
          <w:rFonts w:asciiTheme="majorHAnsi" w:hAnsiTheme="majorHAnsi" w:cstheme="majorHAnsi"/>
        </w:rPr>
        <w:t xml:space="preserve">due to </w:t>
      </w:r>
      <w:r w:rsidRPr="00A06267">
        <w:rPr>
          <w:rFonts w:asciiTheme="majorHAnsi" w:hAnsiTheme="majorHAnsi" w:cstheme="majorHAnsi"/>
        </w:rPr>
        <w:t xml:space="preserve">the result of embedded inequalities and uneven power structures. For instance, due to heat stress, heavy manual labor jobs are most at risk of productivity losses. Smallholders are least able to afford local water storage, irrigation infrastructure, and technologies for adaptation </w:t>
      </w:r>
      <w:r>
        <w:rPr>
          <w:rFonts w:asciiTheme="majorHAnsi" w:hAnsiTheme="majorHAnsi" w:cstheme="majorHAnsi"/>
        </w:rPr>
        <w:t xml:space="preserve">– </w:t>
      </w:r>
      <w:r w:rsidRPr="00A06267">
        <w:rPr>
          <w:rFonts w:asciiTheme="majorHAnsi" w:hAnsiTheme="majorHAnsi" w:cstheme="majorHAnsi"/>
        </w:rPr>
        <w:t xml:space="preserve">and less likely to invest in prevention and mitigation against </w:t>
      </w:r>
      <w:r>
        <w:rPr>
          <w:rFonts w:asciiTheme="majorHAnsi" w:hAnsiTheme="majorHAnsi" w:cstheme="majorHAnsi"/>
        </w:rPr>
        <w:t xml:space="preserve">the </w:t>
      </w:r>
      <w:r w:rsidRPr="00A06267">
        <w:rPr>
          <w:rFonts w:asciiTheme="majorHAnsi" w:hAnsiTheme="majorHAnsi" w:cstheme="majorHAnsi"/>
        </w:rPr>
        <w:t xml:space="preserve">adverse effects of </w:t>
      </w:r>
      <w:r>
        <w:rPr>
          <w:rFonts w:asciiTheme="majorHAnsi" w:hAnsiTheme="majorHAnsi" w:cstheme="majorHAnsi"/>
        </w:rPr>
        <w:t>climate</w:t>
      </w:r>
      <w:r w:rsidRPr="00A06267">
        <w:rPr>
          <w:rFonts w:asciiTheme="majorHAnsi" w:hAnsiTheme="majorHAnsi" w:cstheme="majorHAnsi"/>
        </w:rPr>
        <w:t xml:space="preserve"> change and natural hazards.  </w:t>
      </w:r>
      <w:r w:rsidRPr="00A06267">
        <w:rPr>
          <w:rFonts w:asciiTheme="majorHAnsi" w:hAnsiTheme="majorHAnsi" w:cstheme="majorHAnsi"/>
          <w:color w:val="000000"/>
        </w:rPr>
        <w:t>Farmers face large losses due to drought and floods.</w:t>
      </w:r>
      <w:r w:rsidRPr="00A06267">
        <w:rPr>
          <w:rFonts w:asciiTheme="majorHAnsi" w:hAnsiTheme="majorHAnsi" w:cstheme="majorHAnsi"/>
          <w:b/>
          <w:bCs/>
          <w:color w:val="000000"/>
        </w:rPr>
        <w:t xml:space="preserve"> </w:t>
      </w:r>
    </w:p>
    <w:p w14:paraId="74EA1D3B"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b/>
          <w:bCs/>
          <w:color w:val="000000"/>
        </w:rPr>
      </w:pPr>
    </w:p>
    <w:p w14:paraId="54705DCA" w14:textId="045B6710" w:rsidR="006426AA" w:rsidRPr="00A06267" w:rsidRDefault="006426AA" w:rsidP="006426AA">
      <w:pPr>
        <w:pStyle w:val="ListParagraph"/>
        <w:spacing w:before="160" w:afterLines="160" w:after="384" w:line="240" w:lineRule="auto"/>
        <w:ind w:left="0"/>
        <w:jc w:val="both"/>
        <w:rPr>
          <w:rFonts w:asciiTheme="majorHAnsi" w:hAnsiTheme="majorHAnsi" w:cstheme="majorHAnsi"/>
          <w:shd w:val="clear" w:color="auto" w:fill="FFFFFF"/>
        </w:rPr>
      </w:pPr>
      <w:r w:rsidRPr="00A06267">
        <w:rPr>
          <w:rFonts w:asciiTheme="majorHAnsi" w:hAnsiTheme="majorHAnsi" w:cstheme="majorHAnsi"/>
          <w:b/>
          <w:bCs/>
          <w:color w:val="000000"/>
        </w:rPr>
        <w:t xml:space="preserve">Low carbon agriculture: </w:t>
      </w:r>
      <w:r w:rsidRPr="00A06267">
        <w:rPr>
          <w:rFonts w:asciiTheme="majorHAnsi" w:hAnsiTheme="majorHAnsi" w:cstheme="majorHAnsi"/>
          <w:color w:val="000000"/>
        </w:rPr>
        <w:t xml:space="preserve">A reduction in GHG emissions would require promoting low carbon agriculture, especially low carbon rice; </w:t>
      </w:r>
      <w:r w:rsidRPr="00A06267">
        <w:rPr>
          <w:rFonts w:asciiTheme="majorHAnsi" w:hAnsiTheme="majorHAnsi" w:cstheme="majorHAnsi"/>
        </w:rPr>
        <w:t xml:space="preserve">diversifying </w:t>
      </w:r>
      <w:proofErr w:type="spellStart"/>
      <w:r w:rsidRPr="00A06267">
        <w:rPr>
          <w:rFonts w:asciiTheme="majorHAnsi" w:hAnsiTheme="majorHAnsi" w:cstheme="majorHAnsi"/>
        </w:rPr>
        <w:t>agro</w:t>
      </w:r>
      <w:proofErr w:type="spellEnd"/>
      <w:r w:rsidRPr="00A06267">
        <w:rPr>
          <w:rFonts w:asciiTheme="majorHAnsi" w:hAnsiTheme="majorHAnsi" w:cstheme="majorHAnsi"/>
        </w:rPr>
        <w:t>-ecological suitable crops; reducing use of chemicals, fertilizers</w:t>
      </w:r>
      <w:r w:rsidR="002506C1">
        <w:rPr>
          <w:rFonts w:asciiTheme="majorHAnsi" w:hAnsiTheme="majorHAnsi" w:cstheme="majorHAnsi"/>
        </w:rPr>
        <w:t>,</w:t>
      </w:r>
      <w:r w:rsidRPr="00A06267">
        <w:rPr>
          <w:rFonts w:asciiTheme="majorHAnsi" w:hAnsiTheme="majorHAnsi" w:cstheme="majorHAnsi"/>
        </w:rPr>
        <w:t xml:space="preserve"> and pesticides</w:t>
      </w:r>
      <w:r>
        <w:rPr>
          <w:rFonts w:asciiTheme="majorHAnsi" w:hAnsiTheme="majorHAnsi" w:cstheme="majorHAnsi"/>
        </w:rPr>
        <w:t>;</w:t>
      </w:r>
      <w:r w:rsidRPr="00A06267">
        <w:rPr>
          <w:rFonts w:asciiTheme="majorHAnsi" w:hAnsiTheme="majorHAnsi" w:cstheme="majorHAnsi"/>
        </w:rPr>
        <w:t xml:space="preserve"> biological integrated pest management; </w:t>
      </w:r>
      <w:r w:rsidRPr="00A06267">
        <w:rPr>
          <w:rFonts w:asciiTheme="majorHAnsi" w:hAnsiTheme="majorHAnsi" w:cstheme="majorHAnsi"/>
          <w:color w:val="333333"/>
          <w:shd w:val="clear" w:color="auto" w:fill="FFFFFF"/>
        </w:rPr>
        <w:t>improving animal health and production efficiency</w:t>
      </w:r>
      <w:r>
        <w:rPr>
          <w:rFonts w:asciiTheme="majorHAnsi" w:hAnsiTheme="majorHAnsi" w:cstheme="majorHAnsi"/>
          <w:color w:val="333333"/>
          <w:shd w:val="clear" w:color="auto" w:fill="FFFFFF"/>
        </w:rPr>
        <w:t>,</w:t>
      </w:r>
      <w:r w:rsidRPr="00A06267">
        <w:rPr>
          <w:rFonts w:asciiTheme="majorHAnsi" w:hAnsiTheme="majorHAnsi" w:cstheme="majorHAnsi"/>
          <w:color w:val="333333"/>
          <w:shd w:val="clear" w:color="auto" w:fill="FFFFFF"/>
        </w:rPr>
        <w:t xml:space="preserve"> including improvements in feeding strategies, animal health, breeding, manure, and waste management.</w:t>
      </w:r>
    </w:p>
    <w:p w14:paraId="75CAE3DF" w14:textId="77777777" w:rsidR="006426AA" w:rsidRPr="00A06267" w:rsidRDefault="006426AA" w:rsidP="006426AA">
      <w:pPr>
        <w:pStyle w:val="ListParagraph"/>
        <w:autoSpaceDE w:val="0"/>
        <w:autoSpaceDN w:val="0"/>
        <w:adjustRightInd w:val="0"/>
        <w:spacing w:before="160" w:afterLines="160" w:after="384" w:line="240" w:lineRule="auto"/>
        <w:ind w:left="0"/>
        <w:jc w:val="both"/>
        <w:rPr>
          <w:rFonts w:asciiTheme="majorHAnsi" w:hAnsiTheme="majorHAnsi" w:cstheme="majorHAnsi"/>
          <w:shd w:val="clear" w:color="auto" w:fill="FFFFFF"/>
        </w:rPr>
      </w:pPr>
    </w:p>
    <w:p w14:paraId="0394EBE2" w14:textId="27B4A8F2" w:rsidR="006426AA" w:rsidRPr="00A06267" w:rsidRDefault="006426AA" w:rsidP="006426AA">
      <w:pPr>
        <w:pStyle w:val="ListParagraph"/>
        <w:spacing w:before="160" w:afterLines="160" w:after="384" w:line="240" w:lineRule="auto"/>
        <w:ind w:left="0"/>
        <w:jc w:val="both"/>
        <w:rPr>
          <w:rFonts w:asciiTheme="majorHAnsi" w:hAnsiTheme="majorHAnsi" w:cstheme="majorHAnsi"/>
          <w:shd w:val="clear" w:color="auto" w:fill="FFFFFF"/>
        </w:rPr>
      </w:pPr>
      <w:r w:rsidRPr="00A06267">
        <w:rPr>
          <w:rFonts w:asciiTheme="majorHAnsi" w:hAnsiTheme="majorHAnsi" w:cstheme="majorHAnsi"/>
          <w:b/>
          <w:bCs/>
        </w:rPr>
        <w:t xml:space="preserve">Resilience and adaptation: </w:t>
      </w:r>
      <w:r w:rsidRPr="00A06267">
        <w:rPr>
          <w:rFonts w:asciiTheme="majorHAnsi" w:hAnsiTheme="majorHAnsi" w:cstheme="majorHAnsi"/>
        </w:rPr>
        <w:t xml:space="preserve">Resilience </w:t>
      </w:r>
      <w:proofErr w:type="gramStart"/>
      <w:r w:rsidRPr="00A06267">
        <w:rPr>
          <w:rFonts w:asciiTheme="majorHAnsi" w:hAnsiTheme="majorHAnsi" w:cstheme="majorHAnsi"/>
        </w:rPr>
        <w:t>building</w:t>
      </w:r>
      <w:proofErr w:type="gramEnd"/>
      <w:r w:rsidRPr="00A06267">
        <w:rPr>
          <w:rFonts w:asciiTheme="majorHAnsi" w:hAnsiTheme="majorHAnsi" w:cstheme="majorHAnsi"/>
        </w:rPr>
        <w:t xml:space="preserve"> and adaptation will</w:t>
      </w:r>
      <w:r w:rsidRPr="00A06267">
        <w:rPr>
          <w:rFonts w:asciiTheme="majorHAnsi" w:hAnsiTheme="majorHAnsi" w:cstheme="majorHAnsi"/>
          <w:b/>
          <w:bCs/>
        </w:rPr>
        <w:t xml:space="preserve"> </w:t>
      </w:r>
      <w:r w:rsidRPr="00A06267">
        <w:rPr>
          <w:rFonts w:asciiTheme="majorHAnsi" w:hAnsiTheme="majorHAnsi" w:cstheme="majorHAnsi"/>
        </w:rPr>
        <w:t xml:space="preserve">require building the capacity </w:t>
      </w:r>
      <w:r>
        <w:rPr>
          <w:rFonts w:asciiTheme="majorHAnsi" w:hAnsiTheme="majorHAnsi" w:cstheme="majorHAnsi"/>
        </w:rPr>
        <w:t xml:space="preserve">of </w:t>
      </w:r>
      <w:r w:rsidRPr="00A06267">
        <w:rPr>
          <w:rFonts w:asciiTheme="majorHAnsi" w:hAnsiTheme="majorHAnsi" w:cstheme="majorHAnsi"/>
        </w:rPr>
        <w:t xml:space="preserve">agriculture and extension staff, </w:t>
      </w:r>
      <w:r>
        <w:rPr>
          <w:rFonts w:asciiTheme="majorHAnsi" w:hAnsiTheme="majorHAnsi" w:cstheme="majorHAnsi"/>
        </w:rPr>
        <w:t xml:space="preserve">the </w:t>
      </w:r>
      <w:r w:rsidRPr="00A06267">
        <w:rPr>
          <w:rFonts w:asciiTheme="majorHAnsi" w:hAnsiTheme="majorHAnsi" w:cstheme="majorHAnsi"/>
        </w:rPr>
        <w:t>private sector</w:t>
      </w:r>
      <w:r>
        <w:rPr>
          <w:rFonts w:asciiTheme="majorHAnsi" w:hAnsiTheme="majorHAnsi" w:cstheme="majorHAnsi"/>
        </w:rPr>
        <w:t>,</w:t>
      </w:r>
      <w:r w:rsidRPr="00A06267">
        <w:rPr>
          <w:rFonts w:asciiTheme="majorHAnsi" w:hAnsiTheme="majorHAnsi" w:cstheme="majorHAnsi"/>
        </w:rPr>
        <w:t xml:space="preserve"> and farmers in</w:t>
      </w:r>
      <w:r w:rsidRPr="00A06267">
        <w:rPr>
          <w:rFonts w:asciiTheme="majorHAnsi" w:hAnsiTheme="majorHAnsi" w:cstheme="majorHAnsi"/>
          <w:b/>
          <w:bCs/>
        </w:rPr>
        <w:t xml:space="preserve"> </w:t>
      </w:r>
      <w:r w:rsidRPr="00A06267">
        <w:rPr>
          <w:rFonts w:asciiTheme="majorHAnsi" w:hAnsiTheme="majorHAnsi" w:cstheme="majorHAnsi"/>
          <w:shd w:val="clear" w:color="auto" w:fill="FFFFFF"/>
        </w:rPr>
        <w:t xml:space="preserve">climate-smart agriculture. It would require improved climate smart seed systems; better water-use efficiency, high-efficiency irrigation </w:t>
      </w:r>
      <w:r w:rsidRPr="00A06267">
        <w:rPr>
          <w:rFonts w:asciiTheme="majorHAnsi" w:hAnsiTheme="majorHAnsi" w:cstheme="majorHAnsi"/>
          <w:shd w:val="clear" w:color="auto" w:fill="FFFFFF"/>
        </w:rPr>
        <w:lastRenderedPageBreak/>
        <w:t xml:space="preserve">systems, sustainable land management practices, </w:t>
      </w:r>
      <w:r>
        <w:rPr>
          <w:rFonts w:asciiTheme="majorHAnsi" w:hAnsiTheme="majorHAnsi" w:cstheme="majorHAnsi"/>
          <w:shd w:val="clear" w:color="auto" w:fill="FFFFFF"/>
        </w:rPr>
        <w:t xml:space="preserve">and </w:t>
      </w:r>
      <w:r w:rsidRPr="00A06267">
        <w:rPr>
          <w:rFonts w:asciiTheme="majorHAnsi" w:eastAsia="Times New Roman" w:hAnsiTheme="majorHAnsi" w:cstheme="majorHAnsi"/>
        </w:rPr>
        <w:t>soil quality improvement</w:t>
      </w:r>
      <w:r w:rsidRPr="00A06267">
        <w:rPr>
          <w:rFonts w:asciiTheme="majorHAnsi" w:hAnsiTheme="majorHAnsi" w:cstheme="majorHAnsi"/>
          <w:b/>
          <w:bCs/>
        </w:rPr>
        <w:t xml:space="preserve">; </w:t>
      </w:r>
      <w:r w:rsidRPr="00A06267">
        <w:rPr>
          <w:rFonts w:asciiTheme="majorHAnsi" w:eastAsia="Times New Roman" w:hAnsiTheme="majorHAnsi" w:cstheme="majorHAnsi"/>
        </w:rPr>
        <w:t>reduction in off-farm flows of nutrients and pesticides</w:t>
      </w:r>
      <w:r w:rsidRPr="00A06267">
        <w:rPr>
          <w:rFonts w:asciiTheme="majorHAnsi" w:hAnsiTheme="majorHAnsi" w:cstheme="majorHAnsi"/>
          <w:shd w:val="clear" w:color="auto" w:fill="FFFFFF"/>
        </w:rPr>
        <w:t xml:space="preserve">; availability of environmentally sustainable technologies that include renewable energy and energy-efficient technologies; </w:t>
      </w:r>
      <w:r w:rsidR="002D689E">
        <w:rPr>
          <w:rFonts w:asciiTheme="majorHAnsi" w:hAnsiTheme="majorHAnsi" w:cstheme="majorHAnsi"/>
          <w:shd w:val="clear" w:color="auto" w:fill="FFFFFF"/>
        </w:rPr>
        <w:t xml:space="preserve">as well as </w:t>
      </w:r>
      <w:r w:rsidRPr="00A06267">
        <w:rPr>
          <w:rFonts w:asciiTheme="majorHAnsi" w:hAnsiTheme="majorHAnsi" w:cstheme="majorHAnsi"/>
          <w:shd w:val="clear" w:color="auto" w:fill="FFFFFF"/>
        </w:rPr>
        <w:t>sustainable waste management and biomass conversion</w:t>
      </w:r>
      <w:r w:rsidRPr="00A06267">
        <w:rPr>
          <w:rFonts w:asciiTheme="majorHAnsi" w:hAnsiTheme="majorHAnsi" w:cstheme="majorHAnsi"/>
          <w:b/>
          <w:bCs/>
        </w:rPr>
        <w:t>.</w:t>
      </w:r>
    </w:p>
    <w:p w14:paraId="0329F8F9" w14:textId="77777777" w:rsidR="006426AA" w:rsidRPr="00A06267" w:rsidRDefault="006426AA" w:rsidP="006426AA">
      <w:pPr>
        <w:pStyle w:val="ListParagraph"/>
        <w:spacing w:before="160" w:afterLines="160" w:after="384" w:line="240" w:lineRule="auto"/>
        <w:ind w:left="0"/>
        <w:jc w:val="both"/>
        <w:rPr>
          <w:rFonts w:asciiTheme="majorHAnsi" w:hAnsiTheme="majorHAnsi" w:cstheme="majorHAnsi"/>
          <w:b/>
          <w:bCs/>
        </w:rPr>
      </w:pPr>
    </w:p>
    <w:p w14:paraId="49AA045C" w14:textId="65DE4E16" w:rsidR="00C77BF9" w:rsidRDefault="006426AA" w:rsidP="00286A3C">
      <w:pPr>
        <w:pStyle w:val="ListParagraph"/>
        <w:autoSpaceDE w:val="0"/>
        <w:autoSpaceDN w:val="0"/>
        <w:adjustRightInd w:val="0"/>
        <w:spacing w:before="160" w:afterLines="160" w:after="384" w:line="240" w:lineRule="auto"/>
        <w:ind w:left="0"/>
        <w:jc w:val="both"/>
        <w:rPr>
          <w:rFonts w:asciiTheme="majorHAnsi" w:hAnsiTheme="majorHAnsi" w:cstheme="majorHAnsi"/>
        </w:rPr>
      </w:pPr>
      <w:r w:rsidRPr="00A06267">
        <w:rPr>
          <w:rFonts w:asciiTheme="majorHAnsi" w:hAnsiTheme="majorHAnsi" w:cstheme="majorHAnsi"/>
          <w:b/>
          <w:bCs/>
        </w:rPr>
        <w:t>Agricultural research and development</w:t>
      </w:r>
      <w:r>
        <w:rPr>
          <w:rFonts w:asciiTheme="majorHAnsi" w:hAnsiTheme="majorHAnsi" w:cstheme="majorHAnsi"/>
          <w:b/>
          <w:bCs/>
        </w:rPr>
        <w:t>:</w:t>
      </w:r>
      <w:r w:rsidRPr="00A06267">
        <w:rPr>
          <w:rFonts w:asciiTheme="majorHAnsi" w:hAnsiTheme="majorHAnsi" w:cstheme="majorHAnsi"/>
          <w:b/>
          <w:bCs/>
        </w:rPr>
        <w:t xml:space="preserve"> </w:t>
      </w:r>
      <w:r w:rsidRPr="00A06267">
        <w:rPr>
          <w:rFonts w:asciiTheme="majorHAnsi" w:hAnsiTheme="majorHAnsi" w:cstheme="majorHAnsi"/>
        </w:rPr>
        <w:t>Investments in agricultural R&amp;D need to be strengthened to adapt to climate change, increase productivity and raise competitiveness in export markets. This could be coupled with expanded private-sector participation which can help develop varieties and agricultural technologies tailored to conditions in Thailand.</w:t>
      </w:r>
    </w:p>
    <w:p w14:paraId="066EDB43" w14:textId="77777777" w:rsidR="00286A3C" w:rsidRPr="0019548E" w:rsidRDefault="00286A3C" w:rsidP="00286A3C">
      <w:pPr>
        <w:pStyle w:val="ListParagraph"/>
        <w:autoSpaceDE w:val="0"/>
        <w:autoSpaceDN w:val="0"/>
        <w:adjustRightInd w:val="0"/>
        <w:spacing w:before="160" w:afterLines="160" w:after="384" w:line="240" w:lineRule="auto"/>
        <w:ind w:left="0"/>
        <w:jc w:val="both"/>
        <w:rPr>
          <w:rFonts w:asciiTheme="majorHAnsi" w:hAnsiTheme="majorHAnsi" w:cstheme="majorHAnsi"/>
          <w:b/>
          <w:bCs/>
          <w:color w:val="000000"/>
        </w:rPr>
      </w:pPr>
    </w:p>
    <w:p w14:paraId="5291DCC7" w14:textId="62FCBBFD" w:rsidR="004D526B" w:rsidRDefault="004D526B">
      <w:pPr>
        <w:rPr>
          <w:rFonts w:asciiTheme="majorHAnsi" w:hAnsiTheme="majorHAnsi" w:cstheme="majorHAnsi"/>
        </w:rPr>
      </w:pPr>
      <w:r>
        <w:rPr>
          <w:rFonts w:asciiTheme="majorHAnsi" w:hAnsiTheme="majorHAnsi" w:cstheme="majorHAnsi"/>
        </w:rPr>
        <w:br w:type="page"/>
      </w:r>
    </w:p>
    <w:p w14:paraId="1AB5B934" w14:textId="26B458A2" w:rsidR="004D526B" w:rsidRPr="004675C4" w:rsidRDefault="00AE2488" w:rsidP="00863D57">
      <w:pPr>
        <w:pStyle w:val="Heading1"/>
      </w:pPr>
      <w:bookmarkStart w:id="450" w:name="_Toc159763572"/>
      <w:r>
        <w:lastRenderedPageBreak/>
        <w:t>Annex 8:</w:t>
      </w:r>
      <w:r w:rsidR="004D526B" w:rsidRPr="004675C4">
        <w:t xml:space="preserve"> Policy recommendations to reduce household </w:t>
      </w:r>
      <w:proofErr w:type="gramStart"/>
      <w:r w:rsidR="004D526B" w:rsidRPr="004675C4">
        <w:t>debt</w:t>
      </w:r>
      <w:bookmarkEnd w:id="450"/>
      <w:proofErr w:type="gramEnd"/>
      <w:r w:rsidR="004D526B" w:rsidRPr="004675C4">
        <w:t xml:space="preserve"> </w:t>
      </w:r>
    </w:p>
    <w:p w14:paraId="488ED289" w14:textId="77777777" w:rsidR="004D526B" w:rsidRPr="00665270" w:rsidRDefault="004D526B" w:rsidP="004D526B">
      <w:pPr>
        <w:spacing w:before="160" w:afterLines="160" w:after="384"/>
        <w:jc w:val="both"/>
        <w:rPr>
          <w:rFonts w:asciiTheme="majorHAnsi" w:hAnsiTheme="majorHAnsi" w:cstheme="majorHAnsi"/>
          <w:b/>
          <w:bCs/>
          <w:shd w:val="clear" w:color="auto" w:fill="FFFFFF"/>
        </w:rPr>
      </w:pPr>
      <w:r w:rsidRPr="00665270">
        <w:rPr>
          <w:rFonts w:asciiTheme="majorHAnsi" w:hAnsiTheme="majorHAnsi" w:cstheme="majorHAnsi"/>
          <w:b/>
          <w:bCs/>
          <w:shd w:val="clear" w:color="auto" w:fill="FFFFFF"/>
        </w:rPr>
        <w:t xml:space="preserve">To reduce large household debt in Thailand, policymakers can implement a range of targeted policies and measures, which include: </w:t>
      </w:r>
    </w:p>
    <w:p w14:paraId="2A2FB906"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Financial </w:t>
      </w:r>
      <w:r>
        <w:rPr>
          <w:rFonts w:asciiTheme="majorHAnsi" w:hAnsiTheme="majorHAnsi" w:cstheme="majorHAnsi"/>
          <w:b/>
          <w:shd w:val="clear" w:color="auto" w:fill="FFFFFF"/>
        </w:rPr>
        <w:t>e</w:t>
      </w:r>
      <w:r w:rsidRPr="004675C4">
        <w:rPr>
          <w:rFonts w:asciiTheme="majorHAnsi" w:hAnsiTheme="majorHAnsi" w:cstheme="majorHAnsi"/>
          <w:b/>
          <w:shd w:val="clear" w:color="auto" w:fill="FFFFFF"/>
        </w:rPr>
        <w:t xml:space="preserve">ducation and </w:t>
      </w:r>
      <w:r>
        <w:rPr>
          <w:rFonts w:asciiTheme="majorHAnsi" w:hAnsiTheme="majorHAnsi" w:cstheme="majorHAnsi"/>
          <w:b/>
          <w:shd w:val="clear" w:color="auto" w:fill="FFFFFF"/>
        </w:rPr>
        <w:t>a</w:t>
      </w:r>
      <w:r w:rsidRPr="004675C4">
        <w:rPr>
          <w:rFonts w:asciiTheme="majorHAnsi" w:hAnsiTheme="majorHAnsi" w:cstheme="majorHAnsi"/>
          <w:b/>
          <w:shd w:val="clear" w:color="auto" w:fill="FFFFFF"/>
        </w:rPr>
        <w:t>wareness:</w:t>
      </w:r>
      <w:r w:rsidRPr="004675C4">
        <w:rPr>
          <w:rFonts w:asciiTheme="majorHAnsi" w:hAnsiTheme="majorHAnsi" w:cstheme="majorHAnsi"/>
          <w:shd w:val="clear" w:color="auto" w:fill="FFFFFF"/>
        </w:rPr>
        <w:t xml:space="preserve"> Launch widespread financial literacy programs to educate the public about responsible money management, budgeting, saving, and the risks of excessive borrowing. Promote a culture of financial responsibility and long-term planning.</w:t>
      </w:r>
    </w:p>
    <w:p w14:paraId="03D9DA33"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Consumer </w:t>
      </w:r>
      <w:r>
        <w:rPr>
          <w:rFonts w:asciiTheme="majorHAnsi" w:hAnsiTheme="majorHAnsi" w:cstheme="majorHAnsi"/>
          <w:b/>
          <w:shd w:val="clear" w:color="auto" w:fill="FFFFFF"/>
        </w:rPr>
        <w:t>p</w:t>
      </w:r>
      <w:r w:rsidRPr="004675C4">
        <w:rPr>
          <w:rFonts w:asciiTheme="majorHAnsi" w:hAnsiTheme="majorHAnsi" w:cstheme="majorHAnsi"/>
          <w:b/>
          <w:shd w:val="clear" w:color="auto" w:fill="FFFFFF"/>
        </w:rPr>
        <w:t xml:space="preserve">rotection and </w:t>
      </w:r>
      <w:r>
        <w:rPr>
          <w:rFonts w:asciiTheme="majorHAnsi" w:hAnsiTheme="majorHAnsi" w:cstheme="majorHAnsi"/>
          <w:b/>
          <w:shd w:val="clear" w:color="auto" w:fill="FFFFFF"/>
        </w:rPr>
        <w:t>r</w:t>
      </w:r>
      <w:r w:rsidRPr="004675C4">
        <w:rPr>
          <w:rFonts w:asciiTheme="majorHAnsi" w:hAnsiTheme="majorHAnsi" w:cstheme="majorHAnsi"/>
          <w:b/>
          <w:shd w:val="clear" w:color="auto" w:fill="FFFFFF"/>
        </w:rPr>
        <w:t>egulation:</w:t>
      </w:r>
      <w:r w:rsidRPr="004675C4">
        <w:rPr>
          <w:rFonts w:asciiTheme="majorHAnsi" w:hAnsiTheme="majorHAnsi" w:cstheme="majorHAnsi"/>
          <w:shd w:val="clear" w:color="auto" w:fill="FFFFFF"/>
        </w:rPr>
        <w:t xml:space="preserve"> Strengthen consumer protection laws and regulations to ensure fair and responsible lending practices by financial institutions. Implement measures to limit predatory lending and protect borrowers from unscrupulous practices.</w:t>
      </w:r>
    </w:p>
    <w:p w14:paraId="579480C9"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Debt </w:t>
      </w:r>
      <w:r>
        <w:rPr>
          <w:rFonts w:asciiTheme="majorHAnsi" w:hAnsiTheme="majorHAnsi" w:cstheme="majorHAnsi"/>
          <w:b/>
          <w:shd w:val="clear" w:color="auto" w:fill="FFFFFF"/>
        </w:rPr>
        <w:t>r</w:t>
      </w:r>
      <w:r w:rsidRPr="004675C4">
        <w:rPr>
          <w:rFonts w:asciiTheme="majorHAnsi" w:hAnsiTheme="majorHAnsi" w:cstheme="majorHAnsi"/>
          <w:b/>
          <w:shd w:val="clear" w:color="auto" w:fill="FFFFFF"/>
        </w:rPr>
        <w:t xml:space="preserve">estructuring and </w:t>
      </w:r>
      <w:r>
        <w:rPr>
          <w:rFonts w:asciiTheme="majorHAnsi" w:hAnsiTheme="majorHAnsi" w:cstheme="majorHAnsi"/>
          <w:b/>
          <w:shd w:val="clear" w:color="auto" w:fill="FFFFFF"/>
        </w:rPr>
        <w:t>r</w:t>
      </w:r>
      <w:r w:rsidRPr="004675C4">
        <w:rPr>
          <w:rFonts w:asciiTheme="majorHAnsi" w:hAnsiTheme="majorHAnsi" w:cstheme="majorHAnsi"/>
          <w:b/>
          <w:shd w:val="clear" w:color="auto" w:fill="FFFFFF"/>
        </w:rPr>
        <w:t xml:space="preserve">elief </w:t>
      </w:r>
      <w:r>
        <w:rPr>
          <w:rFonts w:asciiTheme="majorHAnsi" w:hAnsiTheme="majorHAnsi" w:cstheme="majorHAnsi"/>
          <w:b/>
          <w:shd w:val="clear" w:color="auto" w:fill="FFFFFF"/>
        </w:rPr>
        <w:t>p</w:t>
      </w:r>
      <w:r w:rsidRPr="004675C4">
        <w:rPr>
          <w:rFonts w:asciiTheme="majorHAnsi" w:hAnsiTheme="majorHAnsi" w:cstheme="majorHAnsi"/>
          <w:b/>
          <w:shd w:val="clear" w:color="auto" w:fill="FFFFFF"/>
        </w:rPr>
        <w:t>rograms:</w:t>
      </w:r>
      <w:r w:rsidRPr="004675C4">
        <w:rPr>
          <w:rFonts w:asciiTheme="majorHAnsi" w:hAnsiTheme="majorHAnsi" w:cstheme="majorHAnsi"/>
          <w:shd w:val="clear" w:color="auto" w:fill="FFFFFF"/>
        </w:rPr>
        <w:t xml:space="preserve"> Introduce debt restructuring and relief initiatives to assist households facing financial distress. Negotiate with creditors to restructure debt repayment terms, reduce interest rates, or provide temporary relief during economic hardships.</w:t>
      </w:r>
    </w:p>
    <w:p w14:paraId="771D89F0"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Affordable </w:t>
      </w:r>
      <w:r>
        <w:rPr>
          <w:rFonts w:asciiTheme="majorHAnsi" w:hAnsiTheme="majorHAnsi" w:cstheme="majorHAnsi"/>
          <w:b/>
          <w:shd w:val="clear" w:color="auto" w:fill="FFFFFF"/>
        </w:rPr>
        <w:t>h</w:t>
      </w:r>
      <w:r w:rsidRPr="004675C4">
        <w:rPr>
          <w:rFonts w:asciiTheme="majorHAnsi" w:hAnsiTheme="majorHAnsi" w:cstheme="majorHAnsi"/>
          <w:b/>
          <w:shd w:val="clear" w:color="auto" w:fill="FFFFFF"/>
        </w:rPr>
        <w:t xml:space="preserve">ousing and </w:t>
      </w:r>
      <w:r>
        <w:rPr>
          <w:rFonts w:asciiTheme="majorHAnsi" w:hAnsiTheme="majorHAnsi" w:cstheme="majorHAnsi"/>
          <w:b/>
          <w:shd w:val="clear" w:color="auto" w:fill="FFFFFF"/>
        </w:rPr>
        <w:t>c</w:t>
      </w:r>
      <w:r w:rsidRPr="004675C4">
        <w:rPr>
          <w:rFonts w:asciiTheme="majorHAnsi" w:hAnsiTheme="majorHAnsi" w:cstheme="majorHAnsi"/>
          <w:b/>
          <w:shd w:val="clear" w:color="auto" w:fill="FFFFFF"/>
        </w:rPr>
        <w:t xml:space="preserve">ost of </w:t>
      </w:r>
      <w:r>
        <w:rPr>
          <w:rFonts w:asciiTheme="majorHAnsi" w:hAnsiTheme="majorHAnsi" w:cstheme="majorHAnsi"/>
          <w:b/>
          <w:shd w:val="clear" w:color="auto" w:fill="FFFFFF"/>
        </w:rPr>
        <w:t>l</w:t>
      </w:r>
      <w:r w:rsidRPr="004675C4">
        <w:rPr>
          <w:rFonts w:asciiTheme="majorHAnsi" w:hAnsiTheme="majorHAnsi" w:cstheme="majorHAnsi"/>
          <w:b/>
          <w:shd w:val="clear" w:color="auto" w:fill="FFFFFF"/>
        </w:rPr>
        <w:t xml:space="preserve">iving </w:t>
      </w:r>
      <w:r>
        <w:rPr>
          <w:rFonts w:asciiTheme="majorHAnsi" w:hAnsiTheme="majorHAnsi" w:cstheme="majorHAnsi"/>
          <w:b/>
          <w:shd w:val="clear" w:color="auto" w:fill="FFFFFF"/>
        </w:rPr>
        <w:t>m</w:t>
      </w:r>
      <w:r w:rsidRPr="004675C4">
        <w:rPr>
          <w:rFonts w:asciiTheme="majorHAnsi" w:hAnsiTheme="majorHAnsi" w:cstheme="majorHAnsi"/>
          <w:b/>
          <w:shd w:val="clear" w:color="auto" w:fill="FFFFFF"/>
        </w:rPr>
        <w:t>easures:</w:t>
      </w:r>
      <w:r w:rsidRPr="004675C4">
        <w:rPr>
          <w:rFonts w:asciiTheme="majorHAnsi" w:hAnsiTheme="majorHAnsi" w:cstheme="majorHAnsi"/>
          <w:shd w:val="clear" w:color="auto" w:fill="FFFFFF"/>
        </w:rPr>
        <w:t xml:space="preserve"> Address underlying factors contributing to debt by implementing policies to make housing and basic living expenses more affordable. Expand affordable housing programs, control inflation, and provide subsidies for essential goods and services.</w:t>
      </w:r>
    </w:p>
    <w:p w14:paraId="4341C41C"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Promote </w:t>
      </w:r>
      <w:r>
        <w:rPr>
          <w:rFonts w:asciiTheme="majorHAnsi" w:hAnsiTheme="majorHAnsi" w:cstheme="majorHAnsi"/>
          <w:b/>
          <w:shd w:val="clear" w:color="auto" w:fill="FFFFFF"/>
        </w:rPr>
        <w:t>s</w:t>
      </w:r>
      <w:r w:rsidRPr="004675C4">
        <w:rPr>
          <w:rFonts w:asciiTheme="majorHAnsi" w:hAnsiTheme="majorHAnsi" w:cstheme="majorHAnsi"/>
          <w:b/>
          <w:shd w:val="clear" w:color="auto" w:fill="FFFFFF"/>
        </w:rPr>
        <w:t xml:space="preserve">avings and </w:t>
      </w:r>
      <w:r>
        <w:rPr>
          <w:rFonts w:asciiTheme="majorHAnsi" w:hAnsiTheme="majorHAnsi" w:cstheme="majorHAnsi"/>
          <w:b/>
          <w:shd w:val="clear" w:color="auto" w:fill="FFFFFF"/>
        </w:rPr>
        <w:t>i</w:t>
      </w:r>
      <w:r w:rsidRPr="004675C4">
        <w:rPr>
          <w:rFonts w:asciiTheme="majorHAnsi" w:hAnsiTheme="majorHAnsi" w:cstheme="majorHAnsi"/>
          <w:b/>
          <w:shd w:val="clear" w:color="auto" w:fill="FFFFFF"/>
        </w:rPr>
        <w:t>nvestment:</w:t>
      </w:r>
      <w:r w:rsidRPr="004675C4">
        <w:rPr>
          <w:rFonts w:asciiTheme="majorHAnsi" w:hAnsiTheme="majorHAnsi" w:cstheme="majorHAnsi"/>
          <w:shd w:val="clear" w:color="auto" w:fill="FFFFFF"/>
        </w:rPr>
        <w:t xml:space="preserve"> Encourage a culture of saving and responsible investing to reduce reliance on debt for emergencies and future financial needs. Offer government incentives and tax breaks to encourage savings and investment.</w:t>
      </w:r>
    </w:p>
    <w:p w14:paraId="4D0D2CD4"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Income </w:t>
      </w:r>
      <w:r>
        <w:rPr>
          <w:rFonts w:asciiTheme="majorHAnsi" w:hAnsiTheme="majorHAnsi" w:cstheme="majorHAnsi"/>
          <w:b/>
          <w:shd w:val="clear" w:color="auto" w:fill="FFFFFF"/>
        </w:rPr>
        <w:t>s</w:t>
      </w:r>
      <w:r w:rsidRPr="004675C4">
        <w:rPr>
          <w:rFonts w:asciiTheme="majorHAnsi" w:hAnsiTheme="majorHAnsi" w:cstheme="majorHAnsi"/>
          <w:b/>
          <w:shd w:val="clear" w:color="auto" w:fill="FFFFFF"/>
        </w:rPr>
        <w:t xml:space="preserve">upport and </w:t>
      </w:r>
      <w:r>
        <w:rPr>
          <w:rFonts w:asciiTheme="majorHAnsi" w:hAnsiTheme="majorHAnsi" w:cstheme="majorHAnsi"/>
          <w:b/>
          <w:shd w:val="clear" w:color="auto" w:fill="FFFFFF"/>
        </w:rPr>
        <w:t>j</w:t>
      </w:r>
      <w:r w:rsidRPr="004675C4">
        <w:rPr>
          <w:rFonts w:asciiTheme="majorHAnsi" w:hAnsiTheme="majorHAnsi" w:cstheme="majorHAnsi"/>
          <w:b/>
          <w:shd w:val="clear" w:color="auto" w:fill="FFFFFF"/>
        </w:rPr>
        <w:t xml:space="preserve">ob </w:t>
      </w:r>
      <w:r>
        <w:rPr>
          <w:rFonts w:asciiTheme="majorHAnsi" w:hAnsiTheme="majorHAnsi" w:cstheme="majorHAnsi"/>
          <w:b/>
          <w:shd w:val="clear" w:color="auto" w:fill="FFFFFF"/>
        </w:rPr>
        <w:t>o</w:t>
      </w:r>
      <w:r w:rsidRPr="004675C4">
        <w:rPr>
          <w:rFonts w:asciiTheme="majorHAnsi" w:hAnsiTheme="majorHAnsi" w:cstheme="majorHAnsi"/>
          <w:b/>
          <w:shd w:val="clear" w:color="auto" w:fill="FFFFFF"/>
        </w:rPr>
        <w:t>pportunities:</w:t>
      </w:r>
      <w:r w:rsidRPr="004675C4">
        <w:rPr>
          <w:rFonts w:asciiTheme="majorHAnsi" w:hAnsiTheme="majorHAnsi" w:cstheme="majorHAnsi"/>
          <w:shd w:val="clear" w:color="auto" w:fill="FFFFFF"/>
        </w:rPr>
        <w:t xml:space="preserve"> Strengthen social safety nets and create job opportunities to improve household income levels. Support wage growth, skill development, and entrepreneurship to reduce the need for excessive borrowing.</w:t>
      </w:r>
    </w:p>
    <w:p w14:paraId="0D7DA5DF"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Targeted </w:t>
      </w:r>
      <w:r>
        <w:rPr>
          <w:rFonts w:asciiTheme="majorHAnsi" w:hAnsiTheme="majorHAnsi" w:cstheme="majorHAnsi"/>
          <w:b/>
          <w:shd w:val="clear" w:color="auto" w:fill="FFFFFF"/>
        </w:rPr>
        <w:t>a</w:t>
      </w:r>
      <w:r w:rsidRPr="004675C4">
        <w:rPr>
          <w:rFonts w:asciiTheme="majorHAnsi" w:hAnsiTheme="majorHAnsi" w:cstheme="majorHAnsi"/>
          <w:b/>
          <w:shd w:val="clear" w:color="auto" w:fill="FFFFFF"/>
        </w:rPr>
        <w:t xml:space="preserve">ssistance to </w:t>
      </w:r>
      <w:r>
        <w:rPr>
          <w:rFonts w:asciiTheme="majorHAnsi" w:hAnsiTheme="majorHAnsi" w:cstheme="majorHAnsi"/>
          <w:b/>
          <w:shd w:val="clear" w:color="auto" w:fill="FFFFFF"/>
        </w:rPr>
        <w:t>h</w:t>
      </w:r>
      <w:r w:rsidRPr="004675C4">
        <w:rPr>
          <w:rFonts w:asciiTheme="majorHAnsi" w:hAnsiTheme="majorHAnsi" w:cstheme="majorHAnsi"/>
          <w:b/>
          <w:shd w:val="clear" w:color="auto" w:fill="FFFFFF"/>
        </w:rPr>
        <w:t>igh-</w:t>
      </w:r>
      <w:r>
        <w:rPr>
          <w:rFonts w:asciiTheme="majorHAnsi" w:hAnsiTheme="majorHAnsi" w:cstheme="majorHAnsi"/>
          <w:b/>
          <w:shd w:val="clear" w:color="auto" w:fill="FFFFFF"/>
        </w:rPr>
        <w:t>d</w:t>
      </w:r>
      <w:r w:rsidRPr="004675C4">
        <w:rPr>
          <w:rFonts w:asciiTheme="majorHAnsi" w:hAnsiTheme="majorHAnsi" w:cstheme="majorHAnsi"/>
          <w:b/>
          <w:shd w:val="clear" w:color="auto" w:fill="FFFFFF"/>
        </w:rPr>
        <w:t xml:space="preserve">ebt </w:t>
      </w:r>
      <w:r>
        <w:rPr>
          <w:rFonts w:asciiTheme="majorHAnsi" w:hAnsiTheme="majorHAnsi" w:cstheme="majorHAnsi"/>
          <w:b/>
          <w:shd w:val="clear" w:color="auto" w:fill="FFFFFF"/>
        </w:rPr>
        <w:t>a</w:t>
      </w:r>
      <w:r w:rsidRPr="004675C4">
        <w:rPr>
          <w:rFonts w:asciiTheme="majorHAnsi" w:hAnsiTheme="majorHAnsi" w:cstheme="majorHAnsi"/>
          <w:b/>
          <w:shd w:val="clear" w:color="auto" w:fill="FFFFFF"/>
        </w:rPr>
        <w:t>reas:</w:t>
      </w:r>
      <w:r w:rsidRPr="004675C4">
        <w:rPr>
          <w:rFonts w:asciiTheme="majorHAnsi" w:hAnsiTheme="majorHAnsi" w:cstheme="majorHAnsi"/>
          <w:shd w:val="clear" w:color="auto" w:fill="FFFFFF"/>
        </w:rPr>
        <w:t xml:space="preserve"> Identify regions or communities with high levels of household debt and provide targeted assistance and support to help them manage and reduce their debt burden.</w:t>
      </w:r>
    </w:p>
    <w:p w14:paraId="28512239"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Credit </w:t>
      </w:r>
      <w:r>
        <w:rPr>
          <w:rFonts w:asciiTheme="majorHAnsi" w:hAnsiTheme="majorHAnsi" w:cstheme="majorHAnsi"/>
          <w:b/>
          <w:shd w:val="clear" w:color="auto" w:fill="FFFFFF"/>
        </w:rPr>
        <w:t>c</w:t>
      </w:r>
      <w:r w:rsidRPr="004675C4">
        <w:rPr>
          <w:rFonts w:asciiTheme="majorHAnsi" w:hAnsiTheme="majorHAnsi" w:cstheme="majorHAnsi"/>
          <w:b/>
          <w:shd w:val="clear" w:color="auto" w:fill="FFFFFF"/>
        </w:rPr>
        <w:t xml:space="preserve">ounseling </w:t>
      </w:r>
      <w:r>
        <w:rPr>
          <w:rFonts w:asciiTheme="majorHAnsi" w:hAnsiTheme="majorHAnsi" w:cstheme="majorHAnsi"/>
          <w:b/>
          <w:shd w:val="clear" w:color="auto" w:fill="FFFFFF"/>
        </w:rPr>
        <w:t>s</w:t>
      </w:r>
      <w:r w:rsidRPr="004675C4">
        <w:rPr>
          <w:rFonts w:asciiTheme="majorHAnsi" w:hAnsiTheme="majorHAnsi" w:cstheme="majorHAnsi"/>
          <w:b/>
          <w:shd w:val="clear" w:color="auto" w:fill="FFFFFF"/>
        </w:rPr>
        <w:t>ervices:</w:t>
      </w:r>
      <w:r w:rsidRPr="004675C4">
        <w:rPr>
          <w:rFonts w:asciiTheme="majorHAnsi" w:hAnsiTheme="majorHAnsi" w:cstheme="majorHAnsi"/>
          <w:shd w:val="clear" w:color="auto" w:fill="FFFFFF"/>
        </w:rPr>
        <w:t xml:space="preserve"> Establish and promote credit counseling services that offer free, impartial advice to individuals struggling with debt. These services can help borrowers develop personalized debt management plans and financial strategies.</w:t>
      </w:r>
    </w:p>
    <w:p w14:paraId="4B9A9FC0"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Promote </w:t>
      </w:r>
      <w:r>
        <w:rPr>
          <w:rFonts w:asciiTheme="majorHAnsi" w:hAnsiTheme="majorHAnsi" w:cstheme="majorHAnsi"/>
          <w:b/>
          <w:shd w:val="clear" w:color="auto" w:fill="FFFFFF"/>
        </w:rPr>
        <w:t>a</w:t>
      </w:r>
      <w:r w:rsidRPr="004675C4">
        <w:rPr>
          <w:rFonts w:asciiTheme="majorHAnsi" w:hAnsiTheme="majorHAnsi" w:cstheme="majorHAnsi"/>
          <w:b/>
          <w:shd w:val="clear" w:color="auto" w:fill="FFFFFF"/>
        </w:rPr>
        <w:t xml:space="preserve">lternative </w:t>
      </w:r>
      <w:r>
        <w:rPr>
          <w:rFonts w:asciiTheme="majorHAnsi" w:hAnsiTheme="majorHAnsi" w:cstheme="majorHAnsi"/>
          <w:b/>
          <w:shd w:val="clear" w:color="auto" w:fill="FFFFFF"/>
        </w:rPr>
        <w:t>f</w:t>
      </w:r>
      <w:r w:rsidRPr="004675C4">
        <w:rPr>
          <w:rFonts w:asciiTheme="majorHAnsi" w:hAnsiTheme="majorHAnsi" w:cstheme="majorHAnsi"/>
          <w:b/>
          <w:shd w:val="clear" w:color="auto" w:fill="FFFFFF"/>
        </w:rPr>
        <w:t xml:space="preserve">inancial </w:t>
      </w:r>
      <w:r>
        <w:rPr>
          <w:rFonts w:asciiTheme="majorHAnsi" w:hAnsiTheme="majorHAnsi" w:cstheme="majorHAnsi"/>
          <w:b/>
          <w:shd w:val="clear" w:color="auto" w:fill="FFFFFF"/>
        </w:rPr>
        <w:t>p</w:t>
      </w:r>
      <w:r w:rsidRPr="004675C4">
        <w:rPr>
          <w:rFonts w:asciiTheme="majorHAnsi" w:hAnsiTheme="majorHAnsi" w:cstheme="majorHAnsi"/>
          <w:b/>
          <w:shd w:val="clear" w:color="auto" w:fill="FFFFFF"/>
        </w:rPr>
        <w:t>roducts:</w:t>
      </w:r>
      <w:r w:rsidRPr="004675C4">
        <w:rPr>
          <w:rFonts w:asciiTheme="majorHAnsi" w:hAnsiTheme="majorHAnsi" w:cstheme="majorHAnsi"/>
          <w:shd w:val="clear" w:color="auto" w:fill="FFFFFF"/>
        </w:rPr>
        <w:t xml:space="preserve"> Encourage the development and usage of alternative financial products, such as microfinance and peer-to-peer lending, that may offer more flexible and affordable borrowing options.</w:t>
      </w:r>
    </w:p>
    <w:p w14:paraId="05EF67B0" w14:textId="77777777" w:rsidR="004D526B" w:rsidRPr="004675C4" w:rsidRDefault="004D526B" w:rsidP="004D526B">
      <w:pPr>
        <w:pStyle w:val="ListParagraph"/>
        <w:numPr>
          <w:ilvl w:val="0"/>
          <w:numId w:val="20"/>
        </w:numPr>
        <w:spacing w:before="160" w:afterLines="160" w:after="384"/>
        <w:jc w:val="both"/>
        <w:rPr>
          <w:rFonts w:asciiTheme="majorHAnsi" w:hAnsiTheme="majorHAnsi" w:cstheme="majorHAnsi"/>
          <w:shd w:val="clear" w:color="auto" w:fill="FFFFFF"/>
        </w:rPr>
      </w:pPr>
      <w:r w:rsidRPr="004675C4">
        <w:rPr>
          <w:rFonts w:asciiTheme="majorHAnsi" w:hAnsiTheme="majorHAnsi" w:cstheme="majorHAnsi"/>
          <w:b/>
          <w:shd w:val="clear" w:color="auto" w:fill="FFFFFF"/>
        </w:rPr>
        <w:t xml:space="preserve">Monitoring and </w:t>
      </w:r>
      <w:r>
        <w:rPr>
          <w:rFonts w:asciiTheme="majorHAnsi" w:hAnsiTheme="majorHAnsi" w:cstheme="majorHAnsi"/>
          <w:b/>
          <w:shd w:val="clear" w:color="auto" w:fill="FFFFFF"/>
        </w:rPr>
        <w:t>r</w:t>
      </w:r>
      <w:r w:rsidRPr="004675C4">
        <w:rPr>
          <w:rFonts w:asciiTheme="majorHAnsi" w:hAnsiTheme="majorHAnsi" w:cstheme="majorHAnsi"/>
          <w:b/>
          <w:shd w:val="clear" w:color="auto" w:fill="FFFFFF"/>
        </w:rPr>
        <w:t>egulation:</w:t>
      </w:r>
      <w:r w:rsidRPr="004675C4">
        <w:rPr>
          <w:rFonts w:asciiTheme="majorHAnsi" w:hAnsiTheme="majorHAnsi" w:cstheme="majorHAnsi"/>
          <w:shd w:val="clear" w:color="auto" w:fill="FFFFFF"/>
        </w:rPr>
        <w:t xml:space="preserve"> Regularly monitor overall household debt levels and identify potential systemic risks to the economy. Implement proactive measures to prevent excessive borrowing and potential financial crises.</w:t>
      </w:r>
    </w:p>
    <w:p w14:paraId="4C6983BC" w14:textId="77777777" w:rsidR="004D526B" w:rsidRPr="00D66F52" w:rsidRDefault="004D526B" w:rsidP="004D526B">
      <w:pPr>
        <w:pStyle w:val="ListParagraph"/>
        <w:numPr>
          <w:ilvl w:val="0"/>
          <w:numId w:val="20"/>
        </w:numPr>
        <w:spacing w:before="160" w:afterLines="160" w:after="384"/>
        <w:jc w:val="both"/>
        <w:rPr>
          <w:rFonts w:asciiTheme="majorHAnsi" w:hAnsiTheme="majorHAnsi" w:cstheme="majorHAnsi"/>
        </w:rPr>
      </w:pPr>
      <w:r w:rsidRPr="004675C4">
        <w:rPr>
          <w:rFonts w:asciiTheme="majorHAnsi" w:hAnsiTheme="majorHAnsi" w:cstheme="majorHAnsi"/>
          <w:b/>
          <w:shd w:val="clear" w:color="auto" w:fill="FFFFFF"/>
        </w:rPr>
        <w:t xml:space="preserve">Regulating </w:t>
      </w:r>
      <w:r>
        <w:rPr>
          <w:rFonts w:asciiTheme="majorHAnsi" w:hAnsiTheme="majorHAnsi" w:cstheme="majorHAnsi"/>
          <w:b/>
          <w:shd w:val="clear" w:color="auto" w:fill="FFFFFF"/>
        </w:rPr>
        <w:t>e</w:t>
      </w:r>
      <w:r w:rsidRPr="004675C4">
        <w:rPr>
          <w:rFonts w:asciiTheme="majorHAnsi" w:hAnsiTheme="majorHAnsi" w:cstheme="majorHAnsi"/>
          <w:b/>
          <w:shd w:val="clear" w:color="auto" w:fill="FFFFFF"/>
        </w:rPr>
        <w:t xml:space="preserve">asy </w:t>
      </w:r>
      <w:r>
        <w:rPr>
          <w:rFonts w:asciiTheme="majorHAnsi" w:hAnsiTheme="majorHAnsi" w:cstheme="majorHAnsi"/>
          <w:b/>
          <w:shd w:val="clear" w:color="auto" w:fill="FFFFFF"/>
        </w:rPr>
        <w:t>a</w:t>
      </w:r>
      <w:r w:rsidRPr="004675C4">
        <w:rPr>
          <w:rFonts w:asciiTheme="majorHAnsi" w:hAnsiTheme="majorHAnsi" w:cstheme="majorHAnsi"/>
          <w:b/>
          <w:shd w:val="clear" w:color="auto" w:fill="FFFFFF"/>
        </w:rPr>
        <w:t xml:space="preserve">ccess to </w:t>
      </w:r>
      <w:r>
        <w:rPr>
          <w:rFonts w:asciiTheme="majorHAnsi" w:hAnsiTheme="majorHAnsi" w:cstheme="majorHAnsi"/>
          <w:b/>
          <w:shd w:val="clear" w:color="auto" w:fill="FFFFFF"/>
        </w:rPr>
        <w:t>c</w:t>
      </w:r>
      <w:r w:rsidRPr="004675C4">
        <w:rPr>
          <w:rFonts w:asciiTheme="majorHAnsi" w:hAnsiTheme="majorHAnsi" w:cstheme="majorHAnsi"/>
          <w:b/>
          <w:shd w:val="clear" w:color="auto" w:fill="FFFFFF"/>
        </w:rPr>
        <w:t>redit:</w:t>
      </w:r>
      <w:r w:rsidRPr="004675C4">
        <w:rPr>
          <w:rFonts w:asciiTheme="majorHAnsi" w:hAnsiTheme="majorHAnsi" w:cstheme="majorHAnsi"/>
          <w:shd w:val="clear" w:color="auto" w:fill="FFFFFF"/>
        </w:rPr>
        <w:t xml:space="preserve"> Monitor and regulate the easy availability of credit, especially from non-banking financial institutions, to prevent individuals from accumulating excessive debt burdens.</w:t>
      </w:r>
    </w:p>
    <w:p w14:paraId="14C4B48D" w14:textId="6FB90EB9" w:rsidR="00286A3C" w:rsidRPr="00C70BC3" w:rsidRDefault="004D526B" w:rsidP="00863D57">
      <w:pPr>
        <w:pStyle w:val="ListParagraph"/>
        <w:numPr>
          <w:ilvl w:val="0"/>
          <w:numId w:val="20"/>
        </w:numPr>
        <w:spacing w:before="160" w:afterLines="160" w:after="384"/>
        <w:jc w:val="both"/>
        <w:rPr>
          <w:rFonts w:asciiTheme="majorHAnsi" w:hAnsiTheme="majorHAnsi" w:cstheme="majorHAnsi"/>
        </w:rPr>
      </w:pPr>
      <w:r w:rsidRPr="00D66F52">
        <w:rPr>
          <w:rFonts w:asciiTheme="majorHAnsi" w:hAnsiTheme="majorHAnsi" w:cstheme="majorHAnsi"/>
          <w:b/>
          <w:shd w:val="clear" w:color="auto" w:fill="FFFFFF"/>
        </w:rPr>
        <w:t xml:space="preserve">Financial </w:t>
      </w:r>
      <w:r>
        <w:rPr>
          <w:rFonts w:asciiTheme="majorHAnsi" w:hAnsiTheme="majorHAnsi" w:cstheme="majorHAnsi"/>
          <w:b/>
          <w:shd w:val="clear" w:color="auto" w:fill="FFFFFF"/>
        </w:rPr>
        <w:t>i</w:t>
      </w:r>
      <w:r w:rsidRPr="00D66F52">
        <w:rPr>
          <w:rFonts w:asciiTheme="majorHAnsi" w:hAnsiTheme="majorHAnsi" w:cstheme="majorHAnsi"/>
          <w:b/>
          <w:shd w:val="clear" w:color="auto" w:fill="FFFFFF"/>
        </w:rPr>
        <w:t xml:space="preserve">nclusion </w:t>
      </w:r>
      <w:r>
        <w:rPr>
          <w:rFonts w:asciiTheme="majorHAnsi" w:hAnsiTheme="majorHAnsi" w:cstheme="majorHAnsi"/>
          <w:b/>
          <w:shd w:val="clear" w:color="auto" w:fill="FFFFFF"/>
        </w:rPr>
        <w:t>i</w:t>
      </w:r>
      <w:r w:rsidRPr="00D66F52">
        <w:rPr>
          <w:rFonts w:asciiTheme="majorHAnsi" w:hAnsiTheme="majorHAnsi" w:cstheme="majorHAnsi"/>
          <w:b/>
          <w:shd w:val="clear" w:color="auto" w:fill="FFFFFF"/>
        </w:rPr>
        <w:t>nitiatives:</w:t>
      </w:r>
      <w:r w:rsidRPr="00D66F52">
        <w:rPr>
          <w:rFonts w:asciiTheme="majorHAnsi" w:hAnsiTheme="majorHAnsi" w:cstheme="majorHAnsi"/>
          <w:shd w:val="clear" w:color="auto" w:fill="FFFFFF"/>
        </w:rPr>
        <w:t xml:space="preserve"> Improve access to formal financial services for underserved populations to prevent them from falling into the trap of high-interest informal loans.</w:t>
      </w:r>
    </w:p>
    <w:p w14:paraId="0780764D" w14:textId="21B44070" w:rsidR="00286A3C" w:rsidRPr="00593FF9" w:rsidRDefault="00286A3C" w:rsidP="00F07369">
      <w:pPr>
        <w:spacing w:before="160" w:afterLines="160" w:after="384" w:line="240" w:lineRule="auto"/>
        <w:jc w:val="both"/>
        <w:rPr>
          <w:color w:val="000000"/>
          <w:sz w:val="24"/>
          <w:szCs w:val="24"/>
        </w:rPr>
        <w:sectPr w:rsidR="00286A3C" w:rsidRPr="00593FF9" w:rsidSect="0050341E">
          <w:headerReference w:type="default" r:id="rId92"/>
          <w:headerReference w:type="first" r:id="rId93"/>
          <w:pgSz w:w="12240" w:h="15840"/>
          <w:pgMar w:top="1440" w:right="1440" w:bottom="1440" w:left="1440" w:header="720" w:footer="720" w:gutter="0"/>
          <w:cols w:space="720"/>
          <w:titlePg/>
          <w:docGrid w:linePitch="360"/>
        </w:sectPr>
      </w:pPr>
      <w:bookmarkStart w:id="451" w:name="_Annex_7:_Policy"/>
      <w:bookmarkStart w:id="452" w:name="_Annex_8:_Social"/>
      <w:bookmarkStart w:id="453" w:name="_Annex_9:_Knowledge"/>
      <w:bookmarkEnd w:id="451"/>
      <w:bookmarkEnd w:id="452"/>
      <w:bookmarkEnd w:id="453"/>
    </w:p>
    <w:p w14:paraId="64FEA8E0" w14:textId="2976C12D" w:rsidR="00286A3C" w:rsidRPr="00785558" w:rsidRDefault="00614FA3" w:rsidP="00863D57">
      <w:pPr>
        <w:pStyle w:val="Heading1"/>
      </w:pPr>
      <w:bookmarkStart w:id="454" w:name="_Annex_10:_Analytical"/>
      <w:bookmarkStart w:id="455" w:name="_Toc128741880"/>
      <w:bookmarkStart w:id="456" w:name="_Toc129183392"/>
      <w:bookmarkStart w:id="457" w:name="_Toc159763573"/>
      <w:bookmarkEnd w:id="454"/>
      <w:r w:rsidRPr="00785558">
        <w:lastRenderedPageBreak/>
        <w:t xml:space="preserve">Annex </w:t>
      </w:r>
      <w:r w:rsidR="00AE2488">
        <w:t>9</w:t>
      </w:r>
      <w:r w:rsidRPr="00785558">
        <w:t>:</w:t>
      </w:r>
      <w:r w:rsidR="00286A3C" w:rsidRPr="00785558">
        <w:t xml:space="preserve"> Analytical </w:t>
      </w:r>
      <w:r w:rsidRPr="00785558">
        <w:t>p</w:t>
      </w:r>
      <w:r w:rsidR="00286A3C" w:rsidRPr="00785558">
        <w:t>roducts</w:t>
      </w:r>
      <w:bookmarkEnd w:id="455"/>
      <w:bookmarkEnd w:id="456"/>
      <w:bookmarkEnd w:id="457"/>
    </w:p>
    <w:tbl>
      <w:tblPr>
        <w:tblW w:w="12288"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94"/>
        <w:gridCol w:w="1672"/>
        <w:gridCol w:w="2804"/>
        <w:gridCol w:w="2017"/>
        <w:gridCol w:w="2716"/>
        <w:gridCol w:w="2285"/>
      </w:tblGrid>
      <w:tr w:rsidR="00D40567" w:rsidRPr="00A24B0E" w14:paraId="1BFEE2A0" w14:textId="77777777" w:rsidTr="004818F1">
        <w:trPr>
          <w:trHeight w:val="300"/>
          <w:tblHeader/>
        </w:trPr>
        <w:tc>
          <w:tcPr>
            <w:tcW w:w="794" w:type="dxa"/>
            <w:tcBorders>
              <w:bottom w:val="single" w:sz="4" w:space="0" w:color="97ABC9" w:themeColor="accent6" w:themeTint="66"/>
            </w:tcBorders>
            <w:shd w:val="clear" w:color="auto" w:fill="1F497D" w:themeFill="text2"/>
          </w:tcPr>
          <w:p w14:paraId="18A197A2" w14:textId="288BEE10" w:rsidR="004818F1" w:rsidRPr="003A39CD" w:rsidRDefault="004818F1" w:rsidP="003A39CD">
            <w:pPr>
              <w:spacing w:after="0" w:line="240" w:lineRule="auto"/>
              <w:jc w:val="center"/>
              <w:rPr>
                <w:rFonts w:ascii="Trebuchet MS" w:eastAsia="Times New Roman" w:hAnsi="Trebuchet MS" w:cstheme="majorHAnsi"/>
                <w:b/>
                <w:color w:val="FFFFFF" w:themeColor="background1"/>
                <w:sz w:val="18"/>
                <w:szCs w:val="18"/>
              </w:rPr>
            </w:pPr>
          </w:p>
        </w:tc>
        <w:tc>
          <w:tcPr>
            <w:tcW w:w="1672" w:type="dxa"/>
            <w:tcBorders>
              <w:bottom w:val="single" w:sz="4" w:space="0" w:color="97ABC9" w:themeColor="accent6" w:themeTint="66"/>
            </w:tcBorders>
            <w:shd w:val="clear" w:color="auto" w:fill="1F497D" w:themeFill="text2"/>
            <w:noWrap/>
            <w:hideMark/>
          </w:tcPr>
          <w:p w14:paraId="0A42D7CE" w14:textId="50C03B8C" w:rsidR="004818F1" w:rsidRPr="003A39CD" w:rsidRDefault="004818F1" w:rsidP="003A39CD">
            <w:pPr>
              <w:spacing w:after="0" w:line="240" w:lineRule="auto"/>
              <w:jc w:val="center"/>
              <w:rPr>
                <w:rFonts w:ascii="Trebuchet MS" w:eastAsia="Times New Roman" w:hAnsi="Trebuchet MS" w:cstheme="majorHAnsi"/>
                <w:b/>
                <w:color w:val="FFFFFF" w:themeColor="background1"/>
                <w:sz w:val="18"/>
                <w:szCs w:val="18"/>
              </w:rPr>
            </w:pPr>
            <w:r w:rsidRPr="003A39CD">
              <w:rPr>
                <w:rFonts w:ascii="Trebuchet MS" w:eastAsia="Times New Roman" w:hAnsi="Trebuchet MS" w:cstheme="majorHAnsi"/>
                <w:b/>
                <w:color w:val="FFFFFF" w:themeColor="background1"/>
                <w:sz w:val="18"/>
                <w:szCs w:val="18"/>
              </w:rPr>
              <w:t>UNIT/Manager</w:t>
            </w:r>
          </w:p>
        </w:tc>
        <w:tc>
          <w:tcPr>
            <w:tcW w:w="2804" w:type="dxa"/>
            <w:tcBorders>
              <w:bottom w:val="single" w:sz="4" w:space="0" w:color="97ABC9" w:themeColor="accent6" w:themeTint="66"/>
            </w:tcBorders>
            <w:shd w:val="clear" w:color="auto" w:fill="1F497D" w:themeFill="text2"/>
          </w:tcPr>
          <w:p w14:paraId="408CB638" w14:textId="375CE90C" w:rsidR="004818F1" w:rsidRPr="003A39CD" w:rsidDel="00A53BC3" w:rsidRDefault="004818F1" w:rsidP="003A39CD">
            <w:pPr>
              <w:spacing w:after="0" w:line="240" w:lineRule="auto"/>
              <w:jc w:val="center"/>
              <w:rPr>
                <w:rFonts w:ascii="Trebuchet MS" w:eastAsia="Times New Roman" w:hAnsi="Trebuchet MS" w:cstheme="majorHAnsi"/>
                <w:b/>
                <w:color w:val="FFFFFF" w:themeColor="background1"/>
                <w:sz w:val="18"/>
                <w:szCs w:val="18"/>
              </w:rPr>
            </w:pPr>
            <w:r w:rsidRPr="003A39CD">
              <w:rPr>
                <w:rFonts w:ascii="Trebuchet MS" w:eastAsia="Times New Roman" w:hAnsi="Trebuchet MS" w:cstheme="majorHAnsi"/>
                <w:b/>
                <w:color w:val="FFFFFF" w:themeColor="background1"/>
                <w:sz w:val="18"/>
                <w:szCs w:val="18"/>
              </w:rPr>
              <w:t>WB existing and ongoing ASAs and RASs</w:t>
            </w:r>
          </w:p>
        </w:tc>
        <w:tc>
          <w:tcPr>
            <w:tcW w:w="2017" w:type="dxa"/>
            <w:tcBorders>
              <w:bottom w:val="single" w:sz="4" w:space="0" w:color="97ABC9" w:themeColor="accent6" w:themeTint="66"/>
            </w:tcBorders>
            <w:shd w:val="clear" w:color="auto" w:fill="1F497D" w:themeFill="text2"/>
          </w:tcPr>
          <w:p w14:paraId="71375CEE" w14:textId="4955F6B1" w:rsidR="004818F1" w:rsidRPr="003A39CD" w:rsidDel="00A53BC3" w:rsidRDefault="004818F1" w:rsidP="003A39CD">
            <w:pPr>
              <w:spacing w:after="0" w:line="240" w:lineRule="auto"/>
              <w:jc w:val="center"/>
              <w:rPr>
                <w:rFonts w:ascii="Trebuchet MS" w:eastAsia="Times New Roman" w:hAnsi="Trebuchet MS" w:cstheme="majorHAnsi"/>
                <w:b/>
                <w:color w:val="FFFFFF" w:themeColor="background1"/>
                <w:sz w:val="18"/>
                <w:szCs w:val="18"/>
              </w:rPr>
            </w:pPr>
            <w:r w:rsidRPr="003A39CD">
              <w:rPr>
                <w:rFonts w:ascii="Trebuchet MS" w:eastAsia="Times New Roman" w:hAnsi="Trebuchet MS" w:cstheme="majorHAnsi"/>
                <w:b/>
                <w:color w:val="FFFFFF" w:themeColor="background1"/>
                <w:sz w:val="18"/>
                <w:szCs w:val="18"/>
              </w:rPr>
              <w:t>WB flagships/Sector strategies</w:t>
            </w:r>
          </w:p>
        </w:tc>
        <w:tc>
          <w:tcPr>
            <w:tcW w:w="2716" w:type="dxa"/>
            <w:tcBorders>
              <w:bottom w:val="single" w:sz="4" w:space="0" w:color="97ABC9" w:themeColor="accent6" w:themeTint="66"/>
            </w:tcBorders>
            <w:shd w:val="clear" w:color="auto" w:fill="1F497D" w:themeFill="text2"/>
          </w:tcPr>
          <w:p w14:paraId="73F50773" w14:textId="30184817" w:rsidR="004818F1" w:rsidRPr="003A39CD" w:rsidRDefault="004818F1" w:rsidP="003A39CD">
            <w:pPr>
              <w:spacing w:after="0" w:line="240" w:lineRule="auto"/>
              <w:jc w:val="center"/>
              <w:rPr>
                <w:rFonts w:ascii="Trebuchet MS" w:eastAsia="Times New Roman" w:hAnsi="Trebuchet MS" w:cstheme="majorHAnsi"/>
                <w:b/>
                <w:color w:val="FFFFFF" w:themeColor="background1"/>
                <w:sz w:val="18"/>
                <w:szCs w:val="18"/>
              </w:rPr>
            </w:pPr>
            <w:r w:rsidRPr="003A39CD">
              <w:rPr>
                <w:rFonts w:ascii="Trebuchet MS" w:eastAsia="Times New Roman" w:hAnsi="Trebuchet MS" w:cstheme="majorHAnsi"/>
                <w:b/>
                <w:color w:val="FFFFFF" w:themeColor="background1"/>
                <w:sz w:val="18"/>
                <w:szCs w:val="18"/>
              </w:rPr>
              <w:t>Government reports</w:t>
            </w:r>
          </w:p>
        </w:tc>
        <w:tc>
          <w:tcPr>
            <w:tcW w:w="2285" w:type="dxa"/>
            <w:tcBorders>
              <w:bottom w:val="single" w:sz="4" w:space="0" w:color="97ABC9" w:themeColor="accent6" w:themeTint="66"/>
            </w:tcBorders>
            <w:shd w:val="clear" w:color="auto" w:fill="1F497D" w:themeFill="text2"/>
          </w:tcPr>
          <w:p w14:paraId="1A2BC3AF" w14:textId="71466B4D" w:rsidR="004818F1" w:rsidRPr="003A39CD" w:rsidRDefault="004818F1" w:rsidP="003A39CD">
            <w:pPr>
              <w:spacing w:after="0" w:line="240" w:lineRule="auto"/>
              <w:jc w:val="center"/>
              <w:rPr>
                <w:rFonts w:ascii="Trebuchet MS" w:eastAsia="Times New Roman" w:hAnsi="Trebuchet MS" w:cstheme="majorHAnsi"/>
                <w:b/>
                <w:color w:val="FFFFFF" w:themeColor="background1"/>
                <w:sz w:val="18"/>
                <w:szCs w:val="18"/>
              </w:rPr>
            </w:pPr>
            <w:r w:rsidRPr="003A39CD">
              <w:rPr>
                <w:rFonts w:ascii="Trebuchet MS" w:eastAsia="Times New Roman" w:hAnsi="Trebuchet MS" w:cstheme="majorHAnsi"/>
                <w:b/>
                <w:color w:val="FFFFFF" w:themeColor="background1"/>
                <w:sz w:val="18"/>
                <w:szCs w:val="18"/>
              </w:rPr>
              <w:t>Other key publications</w:t>
            </w:r>
          </w:p>
        </w:tc>
      </w:tr>
      <w:tr w:rsidR="004818F1" w:rsidRPr="00A24B0E" w14:paraId="0E1CEA65" w14:textId="77777777" w:rsidTr="004818F1">
        <w:trPr>
          <w:trHeight w:val="1892"/>
        </w:trPr>
        <w:tc>
          <w:tcPr>
            <w:tcW w:w="79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C48C3A2" w14:textId="4E169DCD"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CMU</w:t>
            </w: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2E85D779" w14:textId="195F59EA"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Overarching </w:t>
            </w:r>
          </w:p>
          <w:p w14:paraId="5FA80A95" w14:textId="4B798C5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Fabrizio Zarcone (WB)</w:t>
            </w:r>
          </w:p>
          <w:p w14:paraId="4CAAD6DC" w14:textId="1109544D" w:rsidR="004818F1" w:rsidRPr="003A39CD" w:rsidRDefault="004818F1" w:rsidP="002D17A3">
            <w:pPr>
              <w:spacing w:after="0" w:line="240" w:lineRule="auto"/>
              <w:rPr>
                <w:rFonts w:ascii="Trebuchet MS" w:eastAsia="Times New Roman" w:hAnsi="Trebuchet MS" w:cstheme="majorHAnsi"/>
                <w:color w:val="000000"/>
                <w:sz w:val="18"/>
                <w:szCs w:val="18"/>
              </w:rPr>
            </w:pPr>
          </w:p>
          <w:p w14:paraId="5101A2DE" w14:textId="7B8D87BB"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Yuan Xu (IFC)</w:t>
            </w:r>
          </w:p>
          <w:p w14:paraId="46D1FC89" w14:textId="7F9D06DE" w:rsidR="004818F1" w:rsidRPr="003A39CD" w:rsidRDefault="004818F1" w:rsidP="002D17A3">
            <w:pPr>
              <w:spacing w:after="0" w:line="240" w:lineRule="auto"/>
              <w:rPr>
                <w:rFonts w:ascii="Trebuchet MS" w:eastAsia="Times New Roman" w:hAnsi="Trebuchet MS" w:cstheme="majorHAnsi"/>
                <w:color w:val="000000"/>
                <w:sz w:val="18"/>
                <w:szCs w:val="18"/>
              </w:rPr>
            </w:pPr>
          </w:p>
          <w:p w14:paraId="00D1DE1A" w14:textId="7241ED26"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Moritz Nikolaus Nebe (MIGA)</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F88A8FF" w14:textId="10613B70"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2016 SCD</w:t>
            </w:r>
          </w:p>
          <w:p w14:paraId="58C7F12D" w14:textId="7DB30BF6"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CPF </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97C25D4" w14:textId="58DEE88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AC3E2F8" w14:textId="6DFFBC38"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Thailand Development Strategy</w:t>
            </w: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7E743B2" w14:textId="06E4986C"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2AD02E87" w14:textId="77777777" w:rsidTr="004818F1">
        <w:trPr>
          <w:trHeight w:val="461"/>
        </w:trPr>
        <w:tc>
          <w:tcPr>
            <w:tcW w:w="794"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extDirection w:val="btLr"/>
          </w:tcPr>
          <w:p w14:paraId="0658D94B" w14:textId="68A856D4" w:rsidR="004818F1" w:rsidRPr="003A39CD" w:rsidRDefault="004818F1" w:rsidP="002D17A3">
            <w:pPr>
              <w:spacing w:after="0" w:line="240" w:lineRule="auto"/>
              <w:ind w:left="113" w:right="113"/>
              <w:jc w:val="center"/>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w:t>
            </w:r>
            <w:proofErr w:type="gramStart"/>
            <w:r w:rsidRPr="003A39CD">
              <w:rPr>
                <w:rFonts w:ascii="Trebuchet MS" w:eastAsia="Times New Roman" w:hAnsi="Trebuchet MS" w:cstheme="majorHAnsi"/>
                <w:color w:val="000000"/>
                <w:sz w:val="18"/>
                <w:szCs w:val="18"/>
              </w:rPr>
              <w:t>EFI )</w:t>
            </w:r>
            <w:proofErr w:type="gramEnd"/>
            <w:r w:rsidRPr="003A39CD">
              <w:rPr>
                <w:rFonts w:ascii="Trebuchet MS" w:eastAsia="Times New Roman" w:hAnsi="Trebuchet MS" w:cstheme="majorHAnsi"/>
                <w:color w:val="000000"/>
                <w:sz w:val="18"/>
                <w:szCs w:val="18"/>
              </w:rPr>
              <w:t xml:space="preserve"> Finance, Competitiveness, and Innovation; Governance; Macroeconomics, Trade, and Investment; Poverty and Equity.</w:t>
            </w: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1994D95B" w14:textId="3A4F2EE6"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Finance and markets</w:t>
            </w:r>
          </w:p>
          <w:p w14:paraId="7E6339FE" w14:textId="0AC70C7E" w:rsidR="004818F1" w:rsidRPr="003A39CD" w:rsidRDefault="004818F1" w:rsidP="002D17A3">
            <w:pPr>
              <w:spacing w:after="0" w:line="240" w:lineRule="auto"/>
              <w:rPr>
                <w:rFonts w:ascii="Trebuchet MS" w:eastAsia="Times New Roman" w:hAnsi="Trebuchet MS" w:cstheme="majorHAnsi"/>
                <w:color w:val="000000"/>
                <w:sz w:val="18"/>
                <w:szCs w:val="18"/>
              </w:rPr>
            </w:pPr>
          </w:p>
          <w:p w14:paraId="3FB4BF7B" w14:textId="049E0CBE"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Cecile Thioro Niang (WB)</w:t>
            </w:r>
          </w:p>
          <w:p w14:paraId="1422B56B" w14:textId="3E5B965D" w:rsidR="004818F1" w:rsidRPr="003A39CD" w:rsidRDefault="004818F1" w:rsidP="002D17A3">
            <w:pPr>
              <w:spacing w:after="0" w:line="240" w:lineRule="auto"/>
              <w:rPr>
                <w:rFonts w:ascii="Trebuchet MS" w:eastAsia="Times New Roman" w:hAnsi="Trebuchet MS" w:cstheme="majorHAnsi"/>
                <w:color w:val="000000"/>
                <w:sz w:val="18"/>
                <w:szCs w:val="18"/>
              </w:rPr>
            </w:pPr>
          </w:p>
          <w:p w14:paraId="12967449" w14:textId="67DBBF25"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Yuan Xu (IFC)</w:t>
            </w:r>
          </w:p>
          <w:p w14:paraId="30F7C0A7" w14:textId="7440DB9C" w:rsidR="004818F1" w:rsidRPr="003A39CD" w:rsidRDefault="004818F1" w:rsidP="002D17A3">
            <w:pPr>
              <w:spacing w:after="0" w:line="240" w:lineRule="auto"/>
              <w:rPr>
                <w:rFonts w:ascii="Trebuchet MS" w:eastAsia="Times New Roman" w:hAnsi="Trebuchet MS" w:cstheme="majorHAnsi"/>
                <w:color w:val="000000"/>
                <w:sz w:val="18"/>
                <w:szCs w:val="18"/>
              </w:rPr>
            </w:pPr>
          </w:p>
          <w:p w14:paraId="2BA69FFC" w14:textId="7E2A396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Moritz Nikolaus Nebe (MIGA)</w:t>
            </w:r>
          </w:p>
          <w:p w14:paraId="32544DCE" w14:textId="34E8B68D" w:rsidR="004818F1" w:rsidRPr="003A39CD" w:rsidRDefault="004818F1" w:rsidP="002D17A3">
            <w:pPr>
              <w:spacing w:after="0" w:line="240" w:lineRule="auto"/>
              <w:rPr>
                <w:rFonts w:ascii="Trebuchet MS" w:eastAsia="Times New Roman" w:hAnsi="Trebuchet MS" w:cstheme="majorHAnsi"/>
                <w:color w:val="000000"/>
                <w:sz w:val="18"/>
                <w:szCs w:val="18"/>
              </w:rPr>
            </w:pPr>
          </w:p>
          <w:p w14:paraId="6739A7B5" w14:textId="5EB01790" w:rsidR="004818F1" w:rsidRPr="003A39CD" w:rsidRDefault="004818F1" w:rsidP="002D17A3">
            <w:pPr>
              <w:spacing w:after="0" w:line="240" w:lineRule="auto"/>
              <w:rPr>
                <w:rFonts w:ascii="Trebuchet MS" w:eastAsia="Times New Roman" w:hAnsi="Trebuchet MS" w:cstheme="majorHAnsi"/>
                <w:color w:val="000000"/>
                <w:sz w:val="18"/>
                <w:szCs w:val="18"/>
              </w:rPr>
            </w:pPr>
          </w:p>
          <w:p w14:paraId="29E3BCB9" w14:textId="2484CF13" w:rsidR="004818F1" w:rsidRPr="003A39CD" w:rsidRDefault="004818F1" w:rsidP="002D17A3">
            <w:pPr>
              <w:spacing w:after="0" w:line="240" w:lineRule="auto"/>
              <w:rPr>
                <w:rFonts w:ascii="Trebuchet MS" w:eastAsia="Times New Roman" w:hAnsi="Trebuchet MS" w:cstheme="majorHAnsi"/>
                <w:color w:val="000000"/>
                <w:sz w:val="18"/>
                <w:szCs w:val="18"/>
              </w:rPr>
            </w:pPr>
          </w:p>
          <w:p w14:paraId="20CBC340" w14:textId="1608C4A0" w:rsidR="004818F1" w:rsidRPr="003A39CD" w:rsidRDefault="004818F1" w:rsidP="002D17A3">
            <w:pPr>
              <w:spacing w:after="0" w:line="240" w:lineRule="auto"/>
              <w:rPr>
                <w:rFonts w:ascii="Trebuchet MS" w:eastAsia="Times New Roman" w:hAnsi="Trebuchet MS" w:cstheme="majorHAnsi"/>
                <w:color w:val="000000"/>
                <w:sz w:val="18"/>
                <w:szCs w:val="18"/>
              </w:rPr>
            </w:pPr>
          </w:p>
          <w:p w14:paraId="440E3103" w14:textId="696BF4DB" w:rsidR="004818F1" w:rsidRPr="003A39CD" w:rsidRDefault="004818F1" w:rsidP="002D17A3">
            <w:pPr>
              <w:spacing w:after="0" w:line="240" w:lineRule="auto"/>
              <w:rPr>
                <w:rFonts w:ascii="Trebuchet MS" w:eastAsia="Times New Roman" w:hAnsi="Trebuchet MS" w:cstheme="majorHAnsi"/>
                <w:color w:val="000000"/>
                <w:sz w:val="18"/>
                <w:szCs w:val="18"/>
              </w:rPr>
            </w:pPr>
          </w:p>
          <w:p w14:paraId="6F7B13DB" w14:textId="6D9D6161"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97A4C11" w14:textId="497A4947"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Creating Markets in Thailand: Rebooting </w:t>
            </w:r>
            <w:r w:rsidRPr="00E9090B">
              <w:rPr>
                <w:rFonts w:ascii="Trebuchet MS" w:eastAsia="Times New Roman" w:hAnsi="Trebuchet MS" w:cstheme="majorHAnsi"/>
                <w:color w:val="000000"/>
                <w:sz w:val="18"/>
                <w:szCs w:val="18"/>
              </w:rPr>
              <w:t>Productivity for Resilient Growth</w:t>
            </w:r>
            <w:r w:rsidRPr="00E9090B">
              <w:rPr>
                <w:rFonts w:ascii="Trebuchet MS" w:hAnsi="Trebuchet MS" w:cstheme="majorHAnsi"/>
                <w:sz w:val="18"/>
                <w:szCs w:val="18"/>
              </w:rPr>
              <w:t xml:space="preserve"> </w:t>
            </w:r>
            <w:hyperlink r:id="rId94" w:history="1">
              <w:r w:rsidRPr="00E9090B">
                <w:rPr>
                  <w:rStyle w:val="Hyperlink"/>
                  <w:rFonts w:ascii="Trebuchet MS" w:eastAsia="Times New Roman" w:hAnsi="Trebuchet MS" w:cstheme="majorHAnsi"/>
                  <w:sz w:val="18"/>
                  <w:szCs w:val="18"/>
                </w:rPr>
                <w:t>in</w:t>
              </w:r>
            </w:hyperlink>
            <w:r w:rsidRPr="00E9090B">
              <w:rPr>
                <w:rFonts w:ascii="Trebuchet MS" w:eastAsia="Times New Roman" w:hAnsi="Trebuchet MS" w:cstheme="majorHAnsi"/>
                <w:color w:val="000000"/>
                <w:sz w:val="18"/>
                <w:szCs w:val="18"/>
              </w:rPr>
              <w:t xml:space="preserve"> (2022)</w:t>
            </w: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3C4EDA3" w14:textId="0DED3BD5"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4DD484D" w14:textId="315A96BE"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82B93C1" w14:textId="7B55CB8A"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70CB7CF8" w14:textId="77777777" w:rsidTr="004818F1">
        <w:trPr>
          <w:trHeight w:val="885"/>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F95BB9A" w14:textId="17C4553C"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7E4AAC27" w14:textId="62069964"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A10D8B9" w14:textId="13565F73" w:rsidR="004818F1" w:rsidRPr="003A39CD" w:rsidRDefault="004818F1" w:rsidP="002D17A3">
            <w:pPr>
              <w:spacing w:after="0" w:line="240" w:lineRule="auto"/>
              <w:rPr>
                <w:rFonts w:ascii="Trebuchet MS" w:eastAsia="Times New Roman" w:hAnsi="Trebuchet MS" w:cstheme="majorHAnsi"/>
                <w:color w:val="000000"/>
                <w:sz w:val="18"/>
                <w:szCs w:val="18"/>
              </w:rPr>
            </w:pPr>
          </w:p>
          <w:p w14:paraId="53571FCD" w14:textId="7BFBC69F"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SME report (forthcoming; RAS Thailand Transformation)</w:t>
            </w:r>
          </w:p>
          <w:p w14:paraId="506BD935" w14:textId="04FFC807" w:rsidR="004818F1" w:rsidRPr="003A39CD" w:rsidRDefault="004818F1" w:rsidP="002D17A3">
            <w:pPr>
              <w:spacing w:after="0" w:line="240" w:lineRule="auto"/>
              <w:rPr>
                <w:rFonts w:ascii="Trebuchet MS" w:eastAsia="Times New Roman" w:hAnsi="Trebuchet MS" w:cstheme="majorHAnsi"/>
                <w:color w:val="000000"/>
                <w:sz w:val="18"/>
                <w:szCs w:val="18"/>
              </w:rPr>
            </w:pPr>
          </w:p>
          <w:p w14:paraId="5478A902" w14:textId="078C8B9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RAS – Technical Assistance on Furthering Business Environment Reforms in Thailand (P174610)</w:t>
            </w:r>
          </w:p>
          <w:p w14:paraId="33F89B00" w14:textId="35D37479" w:rsidR="004818F1" w:rsidRPr="003A39CD" w:rsidRDefault="004818F1" w:rsidP="002D17A3">
            <w:pPr>
              <w:spacing w:after="0" w:line="240" w:lineRule="auto"/>
              <w:rPr>
                <w:rFonts w:ascii="Trebuchet MS" w:eastAsia="Times New Roman" w:hAnsi="Trebuchet MS" w:cstheme="majorHAnsi"/>
                <w:color w:val="000000"/>
                <w:sz w:val="18"/>
                <w:szCs w:val="18"/>
              </w:rPr>
            </w:pPr>
          </w:p>
          <w:p w14:paraId="635F30B4" w14:textId="57FB8770" w:rsidR="004818F1" w:rsidRPr="003A39CD" w:rsidRDefault="004818F1" w:rsidP="002D17A3">
            <w:pPr>
              <w:spacing w:after="0" w:line="240" w:lineRule="auto"/>
              <w:rPr>
                <w:rFonts w:ascii="Trebuchet MS" w:hAnsi="Trebuchet MS" w:cstheme="majorHAnsi"/>
                <w:sz w:val="18"/>
                <w:szCs w:val="18"/>
              </w:rPr>
            </w:pPr>
            <w:r w:rsidRPr="003A39CD">
              <w:rPr>
                <w:rFonts w:ascii="Trebuchet MS" w:eastAsia="Times New Roman" w:hAnsi="Trebuchet MS" w:cstheme="majorHAnsi"/>
                <w:color w:val="000000"/>
                <w:sz w:val="18"/>
                <w:szCs w:val="18"/>
              </w:rPr>
              <w:t>RAS – Thailand: Capacity Building on Principles for Financial Market Infrastructures (PFMIs) (p177388)</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5DC6432" w14:textId="6787BB03"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2FCC735" w14:textId="5D1E4E6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672E517" w14:textId="6EB3EB30"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54E7DF2D" w14:textId="77777777" w:rsidTr="004818F1">
        <w:trPr>
          <w:trHeight w:val="300"/>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986303A" w14:textId="0261B956"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3BF4FDE8" w14:textId="6023BFA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Governance (Institutional Assessment?)</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2431E71" w14:textId="5DA54333" w:rsidR="004818F1" w:rsidRPr="003A39CD" w:rsidRDefault="00460DEC" w:rsidP="002D17A3">
            <w:pPr>
              <w:spacing w:after="0" w:line="240" w:lineRule="auto"/>
              <w:rPr>
                <w:rFonts w:ascii="Trebuchet MS" w:eastAsia="Times New Roman" w:hAnsi="Trebuchet MS" w:cstheme="majorHAnsi"/>
                <w:color w:val="000000"/>
                <w:sz w:val="18"/>
                <w:szCs w:val="18"/>
              </w:rPr>
            </w:pPr>
            <w:hyperlink r:id="rId95" w:history="1">
              <w:r w:rsidR="004818F1" w:rsidRPr="003A39CD">
                <w:rPr>
                  <w:rStyle w:val="Hyperlink"/>
                  <w:rFonts w:ascii="Trebuchet MS" w:hAnsi="Trebuchet MS" w:cstheme="majorHAnsi"/>
                  <w:sz w:val="18"/>
                  <w:szCs w:val="18"/>
                </w:rPr>
                <w:t>Central-Local Government Relations in Thailand</w:t>
              </w:r>
              <w:r w:rsidR="004818F1" w:rsidRPr="003A39CD">
                <w:rPr>
                  <w:rStyle w:val="Hyperlink"/>
                  <w:rFonts w:ascii="Trebuchet MS" w:eastAsia="Times New Roman" w:hAnsi="Trebuchet MS" w:cstheme="majorHAnsi"/>
                  <w:sz w:val="18"/>
                  <w:szCs w:val="18"/>
                </w:rPr>
                <w:t>: Improving Service Delivery</w:t>
              </w:r>
            </w:hyperlink>
            <w:r w:rsidR="004818F1" w:rsidRPr="003A39CD">
              <w:rPr>
                <w:rFonts w:ascii="Trebuchet MS" w:eastAsia="Times New Roman" w:hAnsi="Trebuchet MS" w:cstheme="majorHAnsi"/>
                <w:color w:val="000000"/>
                <w:sz w:val="18"/>
                <w:szCs w:val="18"/>
              </w:rPr>
              <w:t xml:space="preserve"> (2012)</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3F3B243" w14:textId="280FE388"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70A8CAE" w14:textId="04989062"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AC3CEF8" w14:textId="6BE7A703"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57646737" w14:textId="77777777" w:rsidTr="004818F1">
        <w:trPr>
          <w:trHeight w:val="1399"/>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E69AE71" w14:textId="43995341"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175610E0" w14:textId="30F3AADD"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Macroeconomics, Trade, and Investment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7A747A7" w14:textId="1537F28E" w:rsidR="004818F1" w:rsidRPr="003A39CD" w:rsidRDefault="00460DEC" w:rsidP="002D17A3">
            <w:pPr>
              <w:spacing w:after="0" w:line="240" w:lineRule="auto"/>
              <w:rPr>
                <w:rFonts w:ascii="Trebuchet MS" w:eastAsia="Times New Roman" w:hAnsi="Trebuchet MS" w:cstheme="majorHAnsi"/>
                <w:color w:val="000000"/>
                <w:sz w:val="18"/>
                <w:szCs w:val="18"/>
              </w:rPr>
            </w:pPr>
            <w:hyperlink r:id="rId96" w:history="1">
              <w:r w:rsidR="004818F1" w:rsidRPr="003A39CD">
                <w:rPr>
                  <w:rStyle w:val="Hyperlink"/>
                  <w:rFonts w:ascii="Trebuchet MS" w:eastAsia="Times New Roman" w:hAnsi="Trebuchet MS" w:cstheme="majorHAnsi"/>
                  <w:sz w:val="18"/>
                  <w:szCs w:val="18"/>
                </w:rPr>
                <w:t>Thailand Economic Monitor series</w:t>
              </w:r>
            </w:hyperlink>
            <w:r w:rsidR="004818F1" w:rsidRPr="003A39CD">
              <w:rPr>
                <w:rFonts w:ascii="Trebuchet MS" w:eastAsia="Times New Roman" w:hAnsi="Trebuchet MS" w:cstheme="majorHAnsi"/>
                <w:color w:val="000000"/>
                <w:sz w:val="18"/>
                <w:szCs w:val="18"/>
              </w:rPr>
              <w:t xml:space="preserve"> (semiannual)</w:t>
            </w:r>
          </w:p>
          <w:p w14:paraId="577486B7" w14:textId="1E60F540" w:rsidR="004818F1" w:rsidRPr="003A39CD" w:rsidRDefault="004818F1" w:rsidP="002D17A3">
            <w:pPr>
              <w:spacing w:after="0" w:line="240" w:lineRule="auto"/>
              <w:rPr>
                <w:rFonts w:ascii="Trebuchet MS" w:eastAsia="Times New Roman" w:hAnsi="Trebuchet MS" w:cstheme="majorHAnsi"/>
                <w:color w:val="000000"/>
                <w:sz w:val="18"/>
                <w:szCs w:val="18"/>
              </w:rPr>
            </w:pPr>
          </w:p>
          <w:p w14:paraId="2C610B66" w14:textId="1A133927" w:rsidR="004818F1" w:rsidRPr="003A39CD" w:rsidRDefault="00460DEC" w:rsidP="002D17A3">
            <w:pPr>
              <w:spacing w:after="0" w:line="240" w:lineRule="auto"/>
              <w:rPr>
                <w:rFonts w:ascii="Trebuchet MS" w:eastAsia="Times New Roman" w:hAnsi="Trebuchet MS" w:cstheme="majorHAnsi"/>
                <w:color w:val="000000"/>
                <w:sz w:val="18"/>
                <w:szCs w:val="18"/>
              </w:rPr>
            </w:pPr>
            <w:hyperlink r:id="rId97" w:history="1">
              <w:r w:rsidR="004818F1" w:rsidRPr="003A39CD">
                <w:rPr>
                  <w:rStyle w:val="Hyperlink"/>
                  <w:rFonts w:ascii="Trebuchet MS" w:eastAsia="Times New Roman" w:hAnsi="Trebuchet MS" w:cstheme="majorHAnsi"/>
                  <w:sz w:val="18"/>
                  <w:szCs w:val="18"/>
                </w:rPr>
                <w:t>Thailand Monthly Economic Monitor</w:t>
              </w:r>
            </w:hyperlink>
          </w:p>
          <w:p w14:paraId="21FF17A1" w14:textId="6E8447D6" w:rsidR="004818F1" w:rsidRPr="003A39CD" w:rsidRDefault="004818F1" w:rsidP="002D17A3">
            <w:pPr>
              <w:spacing w:after="0" w:line="240" w:lineRule="auto"/>
              <w:rPr>
                <w:rFonts w:ascii="Trebuchet MS" w:eastAsia="Times New Roman" w:hAnsi="Trebuchet MS" w:cstheme="majorHAnsi"/>
                <w:color w:val="000000"/>
                <w:sz w:val="18"/>
                <w:szCs w:val="18"/>
              </w:rPr>
            </w:pPr>
          </w:p>
          <w:p w14:paraId="523A5195" w14:textId="30C11FA5"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Thailand Public Expenditure Review </w:t>
            </w:r>
            <w:hyperlink r:id="rId98" w:history="1">
              <w:r w:rsidR="009E228E" w:rsidRPr="009E228E">
                <w:rPr>
                  <w:rStyle w:val="Hyperlink"/>
                  <w:rFonts w:ascii="Trebuchet MS" w:eastAsia="Times New Roman" w:hAnsi="Trebuchet MS" w:cstheme="majorHAnsi"/>
                  <w:sz w:val="18"/>
                  <w:szCs w:val="18"/>
                </w:rPr>
                <w:t>Thailand Public Spending and Revenue Assessment</w:t>
              </w:r>
            </w:hyperlink>
            <w:r w:rsidR="009E228E">
              <w:rPr>
                <w:rFonts w:ascii="Trebuchet MS" w:eastAsia="Times New Roman" w:hAnsi="Trebuchet MS" w:cstheme="majorHAnsi"/>
                <w:color w:val="000000"/>
                <w:sz w:val="18"/>
                <w:szCs w:val="18"/>
              </w:rPr>
              <w:t xml:space="preserve"> </w:t>
            </w:r>
          </w:p>
          <w:p w14:paraId="22588FA8" w14:textId="30E9C45F" w:rsidR="004818F1" w:rsidRPr="003A39CD" w:rsidRDefault="004818F1" w:rsidP="002D17A3">
            <w:pPr>
              <w:spacing w:after="0" w:line="240" w:lineRule="auto"/>
              <w:rPr>
                <w:rFonts w:ascii="Trebuchet MS" w:eastAsia="Times New Roman" w:hAnsi="Trebuchet MS" w:cstheme="majorHAnsi"/>
                <w:color w:val="000000"/>
                <w:sz w:val="18"/>
                <w:szCs w:val="18"/>
              </w:rPr>
            </w:pPr>
          </w:p>
          <w:p w14:paraId="3A8BE14B" w14:textId="148E7847" w:rsidR="004818F1" w:rsidRPr="003A39CD" w:rsidRDefault="00460DEC" w:rsidP="002D17A3">
            <w:pPr>
              <w:spacing w:after="0" w:line="240" w:lineRule="auto"/>
              <w:rPr>
                <w:rFonts w:ascii="Trebuchet MS" w:eastAsia="Times New Roman" w:hAnsi="Trebuchet MS" w:cstheme="majorHAnsi"/>
                <w:color w:val="000000"/>
                <w:sz w:val="18"/>
                <w:szCs w:val="18"/>
              </w:rPr>
            </w:pPr>
            <w:hyperlink r:id="rId99" w:history="1">
              <w:r w:rsidR="004818F1" w:rsidRPr="003A39CD">
                <w:rPr>
                  <w:rStyle w:val="Hyperlink"/>
                  <w:rFonts w:ascii="Trebuchet MS" w:eastAsia="Times New Roman" w:hAnsi="Trebuchet MS" w:cstheme="majorHAnsi"/>
                  <w:sz w:val="18"/>
                  <w:szCs w:val="18"/>
                </w:rPr>
                <w:t>Thailand Manufacturing Firm Productivity Report</w:t>
              </w:r>
            </w:hyperlink>
            <w:r w:rsidR="004818F1" w:rsidRPr="003A39CD">
              <w:rPr>
                <w:rFonts w:ascii="Trebuchet MS" w:eastAsia="Times New Roman" w:hAnsi="Trebuchet MS" w:cstheme="majorHAnsi"/>
                <w:color w:val="000000"/>
                <w:sz w:val="18"/>
                <w:szCs w:val="18"/>
              </w:rPr>
              <w:t xml:space="preserve"> (2020)</w:t>
            </w:r>
          </w:p>
          <w:p w14:paraId="234EDC1B" w14:textId="38A8EF92"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253938E" w14:textId="5CA58321"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hAnsi="Trebuchet MS" w:cstheme="majorHAnsi"/>
                <w:sz w:val="18"/>
                <w:szCs w:val="18"/>
              </w:rPr>
              <w:lastRenderedPageBreak/>
              <w:t>https://www</w:t>
            </w:r>
            <w:r w:rsidRPr="003A39CD">
              <w:rPr>
                <w:rFonts w:ascii="Trebuchet MS" w:eastAsia="Times New Roman" w:hAnsi="Trebuchet MS" w:cstheme="majorHAnsi"/>
                <w:color w:val="000000"/>
                <w:sz w:val="18"/>
                <w:szCs w:val="18"/>
              </w:rPr>
              <w:t>.worldbank.org/en/region/eap/brief/past-issues-of-the-eap-economic-update</w:t>
            </w:r>
          </w:p>
          <w:p w14:paraId="03259274" w14:textId="2BE7C96B" w:rsidR="004818F1" w:rsidRPr="003A39CD" w:rsidRDefault="004818F1" w:rsidP="002D17A3">
            <w:pPr>
              <w:spacing w:after="0" w:line="240" w:lineRule="auto"/>
              <w:rPr>
                <w:rFonts w:ascii="Trebuchet MS" w:eastAsia="Times New Roman" w:hAnsi="Trebuchet MS" w:cstheme="majorHAnsi"/>
                <w:color w:val="000000"/>
                <w:sz w:val="18"/>
                <w:szCs w:val="18"/>
              </w:rPr>
            </w:pPr>
          </w:p>
          <w:p w14:paraId="537015BA" w14:textId="31F60BC7"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hAnsi="Trebuchet MS" w:cstheme="majorHAnsi"/>
                <w:sz w:val="18"/>
                <w:szCs w:val="18"/>
              </w:rPr>
              <w:t>https://www</w:t>
            </w:r>
            <w:r w:rsidRPr="003A39CD">
              <w:rPr>
                <w:rFonts w:ascii="Trebuchet MS" w:eastAsia="Times New Roman" w:hAnsi="Trebuchet MS" w:cstheme="majorHAnsi"/>
                <w:color w:val="000000"/>
                <w:sz w:val="18"/>
                <w:szCs w:val="18"/>
              </w:rPr>
              <w:t>.worldbank.org/en/publication/global-economic-prospects</w:t>
            </w: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DFE5326" w14:textId="30CA2D48"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0C8835C" w14:textId="5738004B"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3851342F" w14:textId="77777777" w:rsidTr="004818F1">
        <w:trPr>
          <w:trHeight w:val="650"/>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1D8A07E" w14:textId="57EDA747"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2E91D0C0" w14:textId="53372D80"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ABDEA00" w14:textId="05CC57F2" w:rsidR="004818F1" w:rsidRPr="003A39CD" w:rsidRDefault="004818F1" w:rsidP="002D17A3">
            <w:pPr>
              <w:spacing w:after="0" w:line="240" w:lineRule="auto"/>
              <w:rPr>
                <w:rFonts w:ascii="Trebuchet MS" w:hAnsi="Trebuchet MS" w:cstheme="majorHAnsi"/>
                <w:sz w:val="18"/>
                <w:szCs w:val="18"/>
              </w:rPr>
            </w:pPr>
            <w:r w:rsidRPr="003A39CD">
              <w:rPr>
                <w:rFonts w:ascii="Trebuchet MS" w:eastAsia="Times New Roman" w:hAnsi="Trebuchet MS" w:cstheme="majorHAnsi"/>
                <w:color w:val="000000"/>
                <w:sz w:val="18"/>
                <w:szCs w:val="18"/>
              </w:rPr>
              <w:t>GVC report will be disclosed soon (RAS Thailand Transformation)</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2C6C044" w14:textId="0B5687E7"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DCAC85F" w14:textId="11A86A1C"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775ABEB" w14:textId="04FB68B3"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0FB6443E" w14:textId="77777777" w:rsidTr="004818F1">
        <w:trPr>
          <w:trHeight w:val="300"/>
        </w:trPr>
        <w:tc>
          <w:tcPr>
            <w:tcW w:w="79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E4BB270" w14:textId="757246AD"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5909317A" w14:textId="25845D67"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Poverty and inclusiveness of growth</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60EFB57" w14:textId="69317E56"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0" w:history="1">
              <w:r w:rsidR="004818F1" w:rsidRPr="003A39CD">
                <w:rPr>
                  <w:rStyle w:val="Hyperlink"/>
                  <w:rFonts w:ascii="Trebuchet MS" w:eastAsia="Times New Roman" w:hAnsi="Trebuchet MS" w:cstheme="majorHAnsi"/>
                  <w:sz w:val="18"/>
                  <w:szCs w:val="18"/>
                </w:rPr>
                <w:t>Taking the Pulse of Poverty and Inequality in Thailand</w:t>
              </w:r>
            </w:hyperlink>
            <w:r w:rsidR="004818F1" w:rsidRPr="003A39CD">
              <w:rPr>
                <w:rFonts w:ascii="Trebuchet MS" w:eastAsia="Times New Roman" w:hAnsi="Trebuchet MS" w:cstheme="majorHAnsi"/>
                <w:color w:val="000000"/>
                <w:sz w:val="18"/>
                <w:szCs w:val="18"/>
              </w:rPr>
              <w:t xml:space="preserve"> (2020)</w:t>
            </w:r>
          </w:p>
          <w:p w14:paraId="17CD190A" w14:textId="40BF0440"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Rural Income Diagnostic (2022). To be disclosed 21 Oct.</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24665B5" w14:textId="7B12ED41"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1B898C2" w14:textId="2024C6E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1C939AC" w14:textId="3DF07D17"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2BD2CBB8" w14:textId="77777777" w:rsidTr="004818F1">
        <w:trPr>
          <w:trHeight w:val="300"/>
        </w:trPr>
        <w:tc>
          <w:tcPr>
            <w:tcW w:w="79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E64C04F" w14:textId="4C0FB496"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5A3282F8" w14:textId="5237BFB2"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IFC</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5248C55" w14:textId="564095A6"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628502D" w14:textId="06B9E1BE"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398AA23" w14:textId="2415E0BC"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2C3C7C0" w14:textId="765B544D"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36202779" w14:textId="77777777" w:rsidTr="004818F1">
        <w:trPr>
          <w:trHeight w:val="166"/>
        </w:trPr>
        <w:tc>
          <w:tcPr>
            <w:tcW w:w="794"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extDirection w:val="btLr"/>
          </w:tcPr>
          <w:p w14:paraId="50DE29D0" w14:textId="7B628C73" w:rsidR="004818F1" w:rsidRPr="003A39CD" w:rsidRDefault="004818F1" w:rsidP="002D17A3">
            <w:pPr>
              <w:spacing w:after="0" w:line="240" w:lineRule="auto"/>
              <w:ind w:left="113" w:right="113"/>
              <w:jc w:val="center"/>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Human Development</w:t>
            </w: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75F6E47B" w14:textId="04A0CCE8"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Education</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DDEF576" w14:textId="0E882920"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1" w:history="1">
              <w:r w:rsidR="004818F1" w:rsidRPr="003A39CD">
                <w:rPr>
                  <w:rStyle w:val="Hyperlink"/>
                  <w:rFonts w:ascii="Trebuchet MS" w:eastAsia="Times New Roman" w:hAnsi="Trebuchet MS" w:cstheme="majorHAnsi"/>
                  <w:sz w:val="18"/>
                  <w:szCs w:val="18"/>
                </w:rPr>
                <w:t>Wanted–A Quality Education for all in Thailand</w:t>
              </w:r>
            </w:hyperlink>
            <w:r w:rsidR="004818F1" w:rsidRPr="003A39CD">
              <w:rPr>
                <w:rFonts w:ascii="Trebuchet MS" w:eastAsia="Times New Roman" w:hAnsi="Trebuchet MS" w:cstheme="majorHAnsi"/>
                <w:color w:val="000000"/>
                <w:sz w:val="18"/>
                <w:szCs w:val="18"/>
              </w:rPr>
              <w:t xml:space="preserve"> (2015)</w:t>
            </w: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D7B6778" w14:textId="7C31938D"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hAnsi="Trebuchet MS" w:cstheme="majorHAnsi"/>
                <w:sz w:val="18"/>
                <w:szCs w:val="18"/>
              </w:rPr>
              <w:t>https://www</w:t>
            </w:r>
            <w:r w:rsidRPr="003A39CD">
              <w:rPr>
                <w:rFonts w:ascii="Trebuchet MS" w:eastAsia="Times New Roman" w:hAnsi="Trebuchet MS" w:cstheme="majorHAnsi"/>
                <w:color w:val="000000"/>
                <w:sz w:val="18"/>
                <w:szCs w:val="18"/>
              </w:rPr>
              <w:t>.worldbank.org/en/publication/wdr2018</w:t>
            </w: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23D1187" w14:textId="4ABFDCA4"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BD644F5" w14:textId="3D80536C"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1579B664" w14:textId="77777777" w:rsidTr="004818F1">
        <w:trPr>
          <w:trHeight w:val="165"/>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A9716D7" w14:textId="3972A9A2"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6153ED53" w14:textId="7EE2828A"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D15A265" w14:textId="45997D62"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2" w:history="1">
              <w:r w:rsidR="004818F1" w:rsidRPr="003A39CD">
                <w:rPr>
                  <w:rStyle w:val="Hyperlink"/>
                  <w:rFonts w:ascii="Trebuchet MS" w:eastAsia="Times New Roman" w:hAnsi="Trebuchet MS" w:cstheme="majorHAnsi"/>
                  <w:sz w:val="18"/>
                  <w:szCs w:val="18"/>
                </w:rPr>
                <w:t>Small Protected Schools, a big challenge of Thai education</w:t>
              </w:r>
            </w:hyperlink>
            <w:r w:rsidR="004818F1" w:rsidRPr="003A39CD">
              <w:rPr>
                <w:rFonts w:ascii="Trebuchet MS" w:eastAsia="Times New Roman" w:hAnsi="Trebuchet MS" w:cstheme="majorHAnsi"/>
                <w:color w:val="000000"/>
                <w:sz w:val="18"/>
                <w:szCs w:val="18"/>
              </w:rPr>
              <w:t xml:space="preserve"> (2019) This report is from RAS </w:t>
            </w:r>
            <w:proofErr w:type="gramStart"/>
            <w:r w:rsidR="004818F1" w:rsidRPr="003A39CD">
              <w:rPr>
                <w:rFonts w:ascii="Trebuchet MS" w:eastAsia="Times New Roman" w:hAnsi="Trebuchet MS" w:cstheme="majorHAnsi"/>
                <w:color w:val="000000"/>
                <w:sz w:val="18"/>
                <w:szCs w:val="18"/>
              </w:rPr>
              <w:t>project</w:t>
            </w:r>
            <w:proofErr w:type="gramEnd"/>
          </w:p>
          <w:p w14:paraId="7203DDB9" w14:textId="2C6BE7E1" w:rsidR="004818F1" w:rsidRPr="003A39CD" w:rsidRDefault="004818F1" w:rsidP="002D17A3">
            <w:pPr>
              <w:spacing w:after="0" w:line="240" w:lineRule="auto"/>
              <w:rPr>
                <w:rFonts w:ascii="Trebuchet MS" w:eastAsia="Times New Roman" w:hAnsi="Trebuchet MS" w:cstheme="majorHAnsi"/>
                <w:color w:val="000000"/>
                <w:sz w:val="18"/>
                <w:szCs w:val="18"/>
              </w:rPr>
            </w:pPr>
          </w:p>
          <w:p w14:paraId="195DE4BE" w14:textId="4879B185"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RAS – Technical Assistance on Implementation Support for a Pilot to Narrow the Learning Gaps between Schools (P174614)</w:t>
            </w:r>
          </w:p>
          <w:p w14:paraId="421CFB1B" w14:textId="7F9C0411" w:rsidR="004818F1" w:rsidRPr="003A39CD" w:rsidRDefault="004818F1" w:rsidP="002D17A3">
            <w:pPr>
              <w:spacing w:after="0" w:line="240" w:lineRule="auto"/>
              <w:rPr>
                <w:rFonts w:ascii="Trebuchet MS" w:eastAsia="Times New Roman" w:hAnsi="Trebuchet MS" w:cstheme="majorHAnsi"/>
                <w:color w:val="000000"/>
                <w:sz w:val="18"/>
                <w:szCs w:val="18"/>
              </w:rPr>
            </w:pPr>
          </w:p>
          <w:p w14:paraId="6CDA097B" w14:textId="0991B002"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RAS – Analysis of basic education system</w:t>
            </w:r>
          </w:p>
          <w:p w14:paraId="03AAA940" w14:textId="3519F4C6" w:rsidR="004818F1" w:rsidRPr="003A39CD" w:rsidRDefault="004818F1" w:rsidP="002D17A3">
            <w:pPr>
              <w:spacing w:after="0" w:line="240" w:lineRule="auto"/>
              <w:rPr>
                <w:rFonts w:ascii="Trebuchet MS" w:eastAsia="Times New Roman" w:hAnsi="Trebuchet MS" w:cstheme="majorHAnsi"/>
                <w:color w:val="000000"/>
                <w:sz w:val="18"/>
                <w:szCs w:val="18"/>
              </w:rPr>
            </w:pPr>
          </w:p>
          <w:p w14:paraId="452BAF93" w14:textId="4A7B7670"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RAS – Advice on narrowing the learning gaps between schools (P172210)</w:t>
            </w:r>
          </w:p>
          <w:p w14:paraId="37FB8480" w14:textId="0F840125"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RAS – Enhancing efficiency and value for money of public expenditures (P164651)</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7170422" w14:textId="562CA4D5"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90659D4" w14:textId="09BC68A8"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3B0ECCF" w14:textId="1C07B061"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740FDFBB" w14:textId="77777777" w:rsidTr="004818F1">
        <w:trPr>
          <w:trHeight w:val="923"/>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956D119" w14:textId="7D1F4376"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12A0A3D2" w14:textId="509F446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Gender*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F95B949" w14:textId="225F8F4D"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3" w:history="1">
              <w:r w:rsidR="004818F1" w:rsidRPr="003A39CD">
                <w:rPr>
                  <w:rStyle w:val="Hyperlink"/>
                  <w:rFonts w:ascii="Trebuchet MS" w:eastAsia="Times New Roman" w:hAnsi="Trebuchet MS" w:cstheme="majorHAnsi"/>
                  <w:sz w:val="18"/>
                  <w:szCs w:val="18"/>
                </w:rPr>
                <w:t>Gender and Aging in the Bangkok Metropolitan Area</w:t>
              </w:r>
            </w:hyperlink>
            <w:r w:rsidR="004818F1" w:rsidRPr="003A39CD">
              <w:rPr>
                <w:rFonts w:ascii="Trebuchet MS" w:eastAsia="Times New Roman" w:hAnsi="Trebuchet MS" w:cstheme="majorHAnsi"/>
                <w:color w:val="000000"/>
                <w:sz w:val="18"/>
                <w:szCs w:val="18"/>
              </w:rPr>
              <w:t xml:space="preserve"> (2022)</w:t>
            </w: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DF20DE6" w14:textId="47093505"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A0BE502" w14:textId="4743D58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55D36E5" w14:textId="1064B980"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6A67AF5A" w14:textId="77777777" w:rsidTr="004818F1">
        <w:trPr>
          <w:trHeight w:val="922"/>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0070265" w14:textId="75867317"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47F3A11A" w14:textId="41FA34C4"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6BEF8EC" w14:textId="4D438BB0" w:rsidR="004818F1" w:rsidRPr="003A39CD" w:rsidRDefault="004818F1" w:rsidP="002D17A3">
            <w:pPr>
              <w:spacing w:after="0" w:line="240" w:lineRule="auto"/>
              <w:rPr>
                <w:rFonts w:ascii="Trebuchet MS" w:hAnsi="Trebuchet MS" w:cstheme="majorHAnsi"/>
                <w:sz w:val="18"/>
                <w:szCs w:val="18"/>
              </w:rPr>
            </w:pPr>
            <w:r w:rsidRPr="003A39CD">
              <w:rPr>
                <w:rFonts w:ascii="Trebuchet MS" w:eastAsia="Times New Roman" w:hAnsi="Trebuchet MS" w:cstheme="majorHAnsi"/>
                <w:color w:val="000000"/>
                <w:sz w:val="18"/>
                <w:szCs w:val="18"/>
              </w:rPr>
              <w:t>Project – Thailand – Expanding Community Approaches in Conflict Situations in Three Southernmost Provinces in Thailand (P147089)</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7607244" w14:textId="3352CD28"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A0C7032" w14:textId="0A9558CB"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A3911AC" w14:textId="1E7C0E62"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5303A6FE" w14:textId="77777777" w:rsidTr="004818F1">
        <w:trPr>
          <w:trHeight w:val="300"/>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6BEEE8E" w14:textId="7E7A0E87"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05D295C8" w14:textId="19EC398F"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Health, nutrition, and population</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33ED0DE" w14:textId="50449D6A"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4" w:history="1">
              <w:r w:rsidR="004818F1" w:rsidRPr="003A39CD">
                <w:rPr>
                  <w:rStyle w:val="Hyperlink"/>
                  <w:rFonts w:ascii="Trebuchet MS" w:eastAsia="Times New Roman" w:hAnsi="Trebuchet MS" w:cstheme="majorHAnsi"/>
                  <w:sz w:val="18"/>
                  <w:szCs w:val="18"/>
                </w:rPr>
                <w:t>Thailand Public Finance Management Report: Government Spending and Central-Local Relations in Thailand’s Health Sector</w:t>
              </w:r>
            </w:hyperlink>
            <w:r w:rsidR="004818F1" w:rsidRPr="003A39CD">
              <w:rPr>
                <w:rFonts w:ascii="Trebuchet MS" w:eastAsia="Times New Roman" w:hAnsi="Trebuchet MS" w:cstheme="majorHAnsi"/>
                <w:color w:val="000000"/>
                <w:sz w:val="18"/>
                <w:szCs w:val="18"/>
              </w:rPr>
              <w:t xml:space="preserve"> (2011)</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BDF7458" w14:textId="41941073"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5" w:history="1">
              <w:r w:rsidR="004818F1" w:rsidRPr="003A39CD">
                <w:rPr>
                  <w:rStyle w:val="Hyperlink"/>
                  <w:rFonts w:ascii="Trebuchet MS" w:eastAsia="Times New Roman" w:hAnsi="Trebuchet MS" w:cstheme="majorHAnsi"/>
                  <w:sz w:val="18"/>
                  <w:szCs w:val="18"/>
                </w:rPr>
                <w:t>Live Long and Prosper: Aging in East Asia Pacific</w:t>
              </w:r>
            </w:hyperlink>
            <w:r w:rsidR="004818F1" w:rsidRPr="003A39CD">
              <w:rPr>
                <w:rFonts w:ascii="Trebuchet MS" w:eastAsia="Times New Roman" w:hAnsi="Trebuchet MS" w:cstheme="majorHAnsi"/>
                <w:sz w:val="18"/>
                <w:szCs w:val="18"/>
              </w:rPr>
              <w:t xml:space="preserve"> (2015)</w:t>
            </w: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67F2770" w14:textId="6847F3A0"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718F1DE" w14:textId="2B5A37E3"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45C2F4BE" w14:textId="77777777" w:rsidTr="004818F1">
        <w:trPr>
          <w:trHeight w:val="300"/>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E2A33D7" w14:textId="1CF0BD9B"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4413A994" w14:textId="60A7318F"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Social protection &amp; Jobs*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8C0209C" w14:textId="28735475"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06" w:history="1">
              <w:r w:rsidR="004818F1" w:rsidRPr="003A39CD">
                <w:rPr>
                  <w:rStyle w:val="Hyperlink"/>
                  <w:rFonts w:ascii="Trebuchet MS" w:eastAsia="Times New Roman" w:hAnsi="Trebuchet MS" w:cstheme="majorHAnsi"/>
                  <w:sz w:val="18"/>
                  <w:szCs w:val="18"/>
                </w:rPr>
                <w:t>Report Series: Labor Markets and Social Policy in a Rapidly Transforming and Aging Thailand</w:t>
              </w:r>
            </w:hyperlink>
            <w:r w:rsidR="004818F1" w:rsidRPr="003A39CD">
              <w:rPr>
                <w:rFonts w:ascii="Trebuchet MS" w:eastAsia="Times New Roman" w:hAnsi="Trebuchet MS" w:cstheme="majorHAnsi"/>
                <w:color w:val="000000"/>
                <w:sz w:val="18"/>
                <w:szCs w:val="18"/>
              </w:rPr>
              <w:t xml:space="preserve"> (4 reports)</w:t>
            </w:r>
          </w:p>
          <w:p w14:paraId="3DAFD557" w14:textId="6B7BD302" w:rsidR="004818F1" w:rsidRPr="003A39CD" w:rsidRDefault="004818F1" w:rsidP="002D17A3">
            <w:pPr>
              <w:spacing w:after="0" w:line="240" w:lineRule="auto"/>
              <w:rPr>
                <w:rFonts w:ascii="Trebuchet MS" w:eastAsia="Times New Roman" w:hAnsi="Trebuchet MS" w:cstheme="majorHAnsi"/>
                <w:color w:val="000000"/>
                <w:sz w:val="18"/>
                <w:szCs w:val="18"/>
              </w:rPr>
            </w:pPr>
          </w:p>
          <w:p w14:paraId="1D984E30" w14:textId="0562F478" w:rsidR="004818F1" w:rsidRPr="003A39CD" w:rsidRDefault="00460DEC" w:rsidP="00E61E46">
            <w:pPr>
              <w:pStyle w:val="ListParagraph"/>
              <w:numPr>
                <w:ilvl w:val="0"/>
                <w:numId w:val="5"/>
              </w:numPr>
              <w:spacing w:after="120" w:line="240" w:lineRule="auto"/>
              <w:contextualSpacing w:val="0"/>
              <w:rPr>
                <w:rFonts w:ascii="Trebuchet MS" w:eastAsia="Times New Roman" w:hAnsi="Trebuchet MS" w:cstheme="majorHAnsi"/>
                <w:color w:val="000000"/>
                <w:sz w:val="18"/>
                <w:szCs w:val="18"/>
              </w:rPr>
            </w:pPr>
            <w:hyperlink r:id="rId107" w:history="1">
              <w:r w:rsidR="004818F1" w:rsidRPr="003A39CD">
                <w:rPr>
                  <w:rStyle w:val="Hyperlink"/>
                  <w:rFonts w:ascii="Trebuchet MS" w:eastAsia="Times New Roman" w:hAnsi="Trebuchet MS" w:cstheme="majorHAnsi"/>
                  <w:sz w:val="18"/>
                  <w:szCs w:val="18"/>
                </w:rPr>
                <w:t>Pension Provision in Thailand</w:t>
              </w:r>
            </w:hyperlink>
            <w:r w:rsidR="004818F1" w:rsidRPr="003A39CD">
              <w:rPr>
                <w:rFonts w:ascii="Trebuchet MS" w:eastAsia="Times New Roman" w:hAnsi="Trebuchet MS" w:cstheme="majorHAnsi"/>
                <w:color w:val="000000"/>
                <w:sz w:val="18"/>
                <w:szCs w:val="18"/>
              </w:rPr>
              <w:t xml:space="preserve"> (2022)</w:t>
            </w:r>
          </w:p>
          <w:p w14:paraId="76FC4A45" w14:textId="661E2343" w:rsidR="004818F1" w:rsidRPr="003A39CD" w:rsidRDefault="00460DEC" w:rsidP="00E61E46">
            <w:pPr>
              <w:pStyle w:val="ListParagraph"/>
              <w:numPr>
                <w:ilvl w:val="0"/>
                <w:numId w:val="5"/>
              </w:numPr>
              <w:spacing w:after="120" w:line="240" w:lineRule="auto"/>
              <w:contextualSpacing w:val="0"/>
              <w:rPr>
                <w:rFonts w:ascii="Trebuchet MS" w:eastAsia="Times New Roman" w:hAnsi="Trebuchet MS" w:cstheme="majorHAnsi"/>
                <w:color w:val="000000"/>
                <w:sz w:val="18"/>
                <w:szCs w:val="18"/>
              </w:rPr>
            </w:pPr>
            <w:hyperlink r:id="rId108" w:history="1">
              <w:r w:rsidR="004818F1" w:rsidRPr="003A39CD">
                <w:rPr>
                  <w:rStyle w:val="Hyperlink"/>
                  <w:rFonts w:ascii="Trebuchet MS" w:eastAsia="Times New Roman" w:hAnsi="Trebuchet MS" w:cstheme="majorHAnsi"/>
                  <w:sz w:val="18"/>
                  <w:szCs w:val="18"/>
                </w:rPr>
                <w:t>Aging and the Labor Market in Thailand</w:t>
              </w:r>
            </w:hyperlink>
            <w:r w:rsidR="004818F1" w:rsidRPr="003A39CD">
              <w:rPr>
                <w:rFonts w:ascii="Trebuchet MS" w:eastAsia="Times New Roman" w:hAnsi="Trebuchet MS" w:cstheme="majorHAnsi"/>
                <w:color w:val="000000"/>
                <w:sz w:val="18"/>
                <w:szCs w:val="18"/>
              </w:rPr>
              <w:t xml:space="preserve"> (2022)</w:t>
            </w:r>
          </w:p>
          <w:p w14:paraId="47BA3A2B" w14:textId="143F7B6C" w:rsidR="004818F1" w:rsidRPr="003A39CD" w:rsidRDefault="00460DEC" w:rsidP="00E61E46">
            <w:pPr>
              <w:pStyle w:val="ListParagraph"/>
              <w:numPr>
                <w:ilvl w:val="0"/>
                <w:numId w:val="5"/>
              </w:numPr>
              <w:spacing w:after="120" w:line="240" w:lineRule="auto"/>
              <w:contextualSpacing w:val="0"/>
              <w:rPr>
                <w:rFonts w:ascii="Trebuchet MS" w:eastAsia="Times New Roman" w:hAnsi="Trebuchet MS" w:cstheme="majorHAnsi"/>
                <w:color w:val="000000"/>
                <w:sz w:val="18"/>
                <w:szCs w:val="18"/>
              </w:rPr>
            </w:pPr>
            <w:hyperlink r:id="rId109" w:history="1">
              <w:r w:rsidR="004818F1" w:rsidRPr="003A39CD">
                <w:rPr>
                  <w:rStyle w:val="Hyperlink"/>
                  <w:rFonts w:ascii="Trebuchet MS" w:eastAsia="Times New Roman" w:hAnsi="Trebuchet MS" w:cstheme="majorHAnsi"/>
                  <w:sz w:val="18"/>
                  <w:szCs w:val="18"/>
                </w:rPr>
                <w:t>The Macroeconomic and Fiscal Impact of Aging in Thailand</w:t>
              </w:r>
            </w:hyperlink>
            <w:r w:rsidR="004818F1" w:rsidRPr="003A39CD">
              <w:rPr>
                <w:rFonts w:ascii="Trebuchet MS" w:eastAsia="Times New Roman" w:hAnsi="Trebuchet MS" w:cstheme="majorHAnsi"/>
                <w:color w:val="000000"/>
                <w:sz w:val="18"/>
                <w:szCs w:val="18"/>
              </w:rPr>
              <w:t xml:space="preserve"> (2021) </w:t>
            </w:r>
          </w:p>
          <w:p w14:paraId="4E565C43" w14:textId="63F992A5" w:rsidR="004818F1" w:rsidRPr="003A39CD" w:rsidRDefault="00460DEC" w:rsidP="00E61E46">
            <w:pPr>
              <w:pStyle w:val="ListParagraph"/>
              <w:numPr>
                <w:ilvl w:val="0"/>
                <w:numId w:val="5"/>
              </w:numPr>
              <w:spacing w:after="120" w:line="240" w:lineRule="auto"/>
              <w:contextualSpacing w:val="0"/>
              <w:rPr>
                <w:rFonts w:ascii="Trebuchet MS" w:eastAsia="Times New Roman" w:hAnsi="Trebuchet MS" w:cstheme="majorHAnsi"/>
                <w:color w:val="000000"/>
                <w:sz w:val="18"/>
                <w:szCs w:val="18"/>
              </w:rPr>
            </w:pPr>
            <w:hyperlink r:id="rId110" w:history="1">
              <w:r w:rsidR="004818F1" w:rsidRPr="003A39CD">
                <w:rPr>
                  <w:rStyle w:val="Hyperlink"/>
                  <w:rFonts w:ascii="Trebuchet MS" w:eastAsia="Times New Roman" w:hAnsi="Trebuchet MS" w:cstheme="majorHAnsi"/>
                  <w:sz w:val="18"/>
                  <w:szCs w:val="18"/>
                </w:rPr>
                <w:t>Towards Social Protection 4.0: An Assessment of Thailand’s Social Protection and Labor Market Systems</w:t>
              </w:r>
            </w:hyperlink>
            <w:r w:rsidR="004818F1" w:rsidRPr="003A39CD">
              <w:rPr>
                <w:rFonts w:ascii="Trebuchet MS" w:eastAsia="Times New Roman" w:hAnsi="Trebuchet MS" w:cstheme="majorHAnsi"/>
                <w:color w:val="000000"/>
                <w:sz w:val="18"/>
                <w:szCs w:val="18"/>
              </w:rPr>
              <w:t xml:space="preserve"> (2021)</w:t>
            </w:r>
          </w:p>
          <w:p w14:paraId="621E4B9B" w14:textId="33A7C84B" w:rsidR="004818F1" w:rsidRPr="003A39CD" w:rsidRDefault="00460DEC" w:rsidP="002D17A3">
            <w:pPr>
              <w:spacing w:after="0" w:line="240" w:lineRule="auto"/>
              <w:rPr>
                <w:rFonts w:ascii="Trebuchet MS" w:hAnsi="Trebuchet MS" w:cstheme="majorHAnsi"/>
                <w:sz w:val="18"/>
                <w:szCs w:val="18"/>
              </w:rPr>
            </w:pPr>
            <w:hyperlink r:id="rId111" w:history="1">
              <w:r w:rsidR="004818F1" w:rsidRPr="003A39CD">
                <w:rPr>
                  <w:rStyle w:val="Hyperlink"/>
                  <w:rFonts w:ascii="Trebuchet MS" w:eastAsia="Times New Roman" w:hAnsi="Trebuchet MS" w:cstheme="majorHAnsi"/>
                  <w:sz w:val="18"/>
                  <w:szCs w:val="18"/>
                </w:rPr>
                <w:t>Caring for Thailand’s Aging Population</w:t>
              </w:r>
            </w:hyperlink>
            <w:r w:rsidR="004818F1" w:rsidRPr="003A39CD">
              <w:rPr>
                <w:rFonts w:ascii="Trebuchet MS" w:eastAsia="Times New Roman" w:hAnsi="Trebuchet MS" w:cstheme="majorHAnsi"/>
                <w:color w:val="000000"/>
                <w:sz w:val="18"/>
                <w:szCs w:val="18"/>
              </w:rPr>
              <w:t xml:space="preserve"> (2021)</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F476E46" w14:textId="46BBB053" w:rsidR="004818F1" w:rsidRPr="003A39CD" w:rsidRDefault="004818F1" w:rsidP="002D17A3">
            <w:pPr>
              <w:spacing w:after="0" w:line="240" w:lineRule="auto"/>
              <w:rPr>
                <w:rFonts w:ascii="Trebuchet MS" w:hAnsi="Trebuchet MS" w:cstheme="majorHAnsi"/>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25E3BA9" w14:textId="29683A25"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423A021" w14:textId="1E8B56B0"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407EC6B2" w14:textId="77777777" w:rsidTr="004818F1">
        <w:trPr>
          <w:trHeight w:val="300"/>
        </w:trPr>
        <w:tc>
          <w:tcPr>
            <w:tcW w:w="794"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extDirection w:val="btLr"/>
          </w:tcPr>
          <w:p w14:paraId="6334064C" w14:textId="36E0B2F8" w:rsidR="004818F1" w:rsidRPr="003A39CD" w:rsidRDefault="004818F1" w:rsidP="002D17A3">
            <w:pPr>
              <w:spacing w:after="0" w:line="240" w:lineRule="auto"/>
              <w:ind w:left="113" w:right="113"/>
              <w:jc w:val="center"/>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Sustainable Development</w:t>
            </w: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5DE27350" w14:textId="058D58C4" w:rsidR="004818F1" w:rsidRPr="003A39CD" w:rsidRDefault="004818F1" w:rsidP="002D17A3">
            <w:pPr>
              <w:spacing w:after="0" w:line="240" w:lineRule="auto"/>
              <w:rPr>
                <w:rFonts w:ascii="Trebuchet MS" w:eastAsia="Times New Roman" w:hAnsi="Trebuchet MS" w:cstheme="majorHAnsi"/>
                <w:b/>
                <w:color w:val="000000"/>
                <w:sz w:val="18"/>
                <w:szCs w:val="18"/>
              </w:rPr>
            </w:pPr>
            <w:r w:rsidRPr="003A39CD">
              <w:rPr>
                <w:rFonts w:ascii="Trebuchet MS" w:eastAsia="Times New Roman" w:hAnsi="Trebuchet MS" w:cstheme="majorHAnsi"/>
                <w:color w:val="000000"/>
                <w:sz w:val="18"/>
                <w:szCs w:val="18"/>
              </w:rPr>
              <w:t>Agriculture &amp; Food</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A9D3FAF" w14:textId="65D451E6"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themeColor="text1"/>
                <w:sz w:val="18"/>
                <w:szCs w:val="18"/>
              </w:rPr>
              <w:t xml:space="preserve">Thailand Rural Income Diagnostic. Challenges and </w:t>
            </w:r>
            <w:r w:rsidRPr="003A39CD">
              <w:rPr>
                <w:rFonts w:ascii="Trebuchet MS" w:eastAsia="Times New Roman" w:hAnsi="Trebuchet MS" w:cstheme="majorHAnsi"/>
                <w:color w:val="000000" w:themeColor="text1"/>
                <w:sz w:val="18"/>
                <w:szCs w:val="18"/>
              </w:rPr>
              <w:lastRenderedPageBreak/>
              <w:t>Opportunities for Rural Farmers (2022)</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DA11223" w14:textId="1D56D660"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741A255" w14:textId="47F606A5"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themeColor="text1"/>
                <w:sz w:val="18"/>
                <w:szCs w:val="18"/>
              </w:rPr>
              <w:t>20-Year Agriculture Development Plan (2017-2036)</w:t>
            </w: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BFD53A4" w14:textId="52FCB37E"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themeColor="text1"/>
                <w:sz w:val="18"/>
                <w:szCs w:val="18"/>
              </w:rPr>
              <w:t>20-Year National Strategy (2017-2036)</w:t>
            </w:r>
          </w:p>
        </w:tc>
      </w:tr>
      <w:tr w:rsidR="004818F1" w:rsidRPr="00A24B0E" w14:paraId="5A50CFB1" w14:textId="77777777" w:rsidTr="004818F1">
        <w:trPr>
          <w:trHeight w:val="575"/>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A9967EA" w14:textId="7186CC7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4A346043" w14:textId="15CA61C1"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Climate change*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66FA80E" w14:textId="4A92C1CB"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2" w:history="1">
              <w:r w:rsidR="004818F1" w:rsidRPr="003A39CD">
                <w:rPr>
                  <w:rStyle w:val="Hyperlink"/>
                  <w:rFonts w:ascii="Trebuchet MS" w:eastAsia="Times New Roman" w:hAnsi="Trebuchet MS" w:cstheme="majorHAnsi"/>
                  <w:sz w:val="18"/>
                  <w:szCs w:val="18"/>
                </w:rPr>
                <w:t>Plastic Waste Material Flow Analysis for Thailand</w:t>
              </w:r>
            </w:hyperlink>
            <w:r w:rsidR="004818F1" w:rsidRPr="003A39CD">
              <w:rPr>
                <w:rFonts w:ascii="Trebuchet MS" w:eastAsia="Times New Roman" w:hAnsi="Trebuchet MS" w:cstheme="majorHAnsi"/>
                <w:color w:val="000000"/>
                <w:sz w:val="18"/>
                <w:szCs w:val="18"/>
              </w:rPr>
              <w:t xml:space="preserve"> (2022) </w:t>
            </w:r>
          </w:p>
          <w:p w14:paraId="648EFD05" w14:textId="7B215924" w:rsidR="004818F1" w:rsidRPr="003A39CD" w:rsidRDefault="004818F1" w:rsidP="002D17A3">
            <w:pPr>
              <w:spacing w:after="0" w:line="240" w:lineRule="auto"/>
              <w:rPr>
                <w:rFonts w:ascii="Trebuchet MS" w:eastAsia="Times New Roman" w:hAnsi="Trebuchet MS" w:cstheme="majorHAnsi"/>
                <w:color w:val="000000"/>
                <w:sz w:val="18"/>
                <w:szCs w:val="18"/>
              </w:rPr>
            </w:pPr>
          </w:p>
          <w:p w14:paraId="5C8DA426" w14:textId="6D37F453"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3" w:history="1">
              <w:r w:rsidR="004818F1" w:rsidRPr="003A39CD">
                <w:rPr>
                  <w:rStyle w:val="Hyperlink"/>
                  <w:rFonts w:ascii="Trebuchet MS" w:eastAsia="Times New Roman" w:hAnsi="Trebuchet MS" w:cstheme="majorHAnsi"/>
                  <w:sz w:val="18"/>
                  <w:szCs w:val="18"/>
                </w:rPr>
                <w:t>Post Disaster Needs Assessment for Thailand Flood</w:t>
              </w:r>
            </w:hyperlink>
            <w:r w:rsidR="004818F1" w:rsidRPr="003A39CD">
              <w:rPr>
                <w:rFonts w:ascii="Trebuchet MS" w:eastAsia="Times New Roman" w:hAnsi="Trebuchet MS" w:cstheme="majorHAnsi"/>
                <w:color w:val="000000"/>
                <w:sz w:val="18"/>
                <w:szCs w:val="18"/>
              </w:rPr>
              <w:t xml:space="preserve"> (2011)</w:t>
            </w: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0DF1EE5" w14:textId="0F426654"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4" w:history="1">
              <w:r w:rsidR="004818F1" w:rsidRPr="003A39CD">
                <w:rPr>
                  <w:rStyle w:val="Hyperlink"/>
                  <w:rFonts w:ascii="Trebuchet MS" w:eastAsia="Times New Roman" w:hAnsi="Trebuchet MS" w:cstheme="majorHAnsi"/>
                  <w:sz w:val="18"/>
                  <w:szCs w:val="18"/>
                </w:rPr>
                <w:t>Climate risks and adaptation in Asian coastal megacities: a synthesis report</w:t>
              </w:r>
            </w:hyperlink>
            <w:r w:rsidR="004818F1" w:rsidRPr="003A39CD">
              <w:rPr>
                <w:rFonts w:ascii="Trebuchet MS" w:eastAsia="Times New Roman" w:hAnsi="Trebuchet MS" w:cstheme="majorHAnsi"/>
                <w:color w:val="000000"/>
                <w:sz w:val="18"/>
                <w:szCs w:val="18"/>
              </w:rPr>
              <w:t xml:space="preserve"> (2010)</w:t>
            </w: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AB10FE8" w14:textId="0CA42753"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Thai government ratified two climate change protocols [are?] eligible for our TFs:</w:t>
            </w:r>
          </w:p>
          <w:p w14:paraId="05BC1386" w14:textId="66E6B3FC" w:rsidR="004818F1" w:rsidRPr="003A39CD" w:rsidRDefault="004818F1" w:rsidP="00E61E46">
            <w:pPr>
              <w:pStyle w:val="ListParagraph"/>
              <w:numPr>
                <w:ilvl w:val="0"/>
                <w:numId w:val="6"/>
              </w:num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Paris Agreement</w:t>
            </w:r>
          </w:p>
          <w:p w14:paraId="1B459FCC" w14:textId="2B696C61" w:rsidR="004818F1" w:rsidRPr="003A39CD" w:rsidRDefault="004818F1" w:rsidP="00E61E46">
            <w:pPr>
              <w:pStyle w:val="ListParagraph"/>
              <w:numPr>
                <w:ilvl w:val="0"/>
                <w:numId w:val="6"/>
              </w:num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Kyoto Protocol</w:t>
            </w: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9101DB7" w14:textId="4BDD9976"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OECD  </w:t>
            </w:r>
          </w:p>
        </w:tc>
      </w:tr>
      <w:tr w:rsidR="004818F1" w:rsidRPr="00A24B0E" w14:paraId="1DE246A6" w14:textId="77777777" w:rsidTr="004818F1">
        <w:trPr>
          <w:trHeight w:val="575"/>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93CADD0" w14:textId="2F30AFB1"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57E4EFB5" w14:textId="79D0F802"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41BC37D" w14:textId="65C9271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Project – Additional Financing for Scaling Up Participatory Sustainable Forest Management Project – (P170810)</w:t>
            </w:r>
          </w:p>
          <w:p w14:paraId="78276A73" w14:textId="70ED0514" w:rsidR="004818F1" w:rsidRPr="003A39CD" w:rsidRDefault="004818F1" w:rsidP="002D17A3">
            <w:pPr>
              <w:spacing w:after="0" w:line="240" w:lineRule="auto"/>
              <w:rPr>
                <w:rFonts w:ascii="Trebuchet MS" w:eastAsia="Times New Roman" w:hAnsi="Trebuchet MS" w:cstheme="majorHAnsi"/>
                <w:color w:val="000000"/>
                <w:sz w:val="18"/>
                <w:szCs w:val="18"/>
              </w:rPr>
            </w:pPr>
          </w:p>
          <w:p w14:paraId="1B2BA807" w14:textId="3D56764A"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Project – Thailand HCFC Phase-Out Stage I-II – (P165235)</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4D9DDE5" w14:textId="3904CE6C" w:rsidR="004818F1" w:rsidRPr="003A39CD" w:rsidRDefault="004818F1" w:rsidP="002D17A3">
            <w:pPr>
              <w:spacing w:after="0" w:line="240" w:lineRule="auto"/>
              <w:rPr>
                <w:rFonts w:ascii="Trebuchet MS" w:hAnsi="Trebuchet MS" w:cstheme="majorHAnsi"/>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52293B9" w14:textId="086FE166"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A8A1205" w14:textId="4726C991"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4C577E83" w14:textId="77777777" w:rsidTr="004818F1">
        <w:trPr>
          <w:trHeight w:val="722"/>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CBD1976" w14:textId="0D8A2543" w:rsidR="004818F1" w:rsidRPr="003A39CD" w:rsidRDefault="004818F1" w:rsidP="002D17A3">
            <w:pPr>
              <w:spacing w:after="0" w:line="240" w:lineRule="auto"/>
              <w:rPr>
                <w:rFonts w:ascii="Trebuchet MS" w:eastAsia="Times New Roman" w:hAnsi="Trebuchet MS" w:cstheme="majorHAnsi"/>
                <w:color w:val="000000"/>
                <w:sz w:val="18"/>
                <w:szCs w:val="18"/>
                <w:highlight w:val="cyan"/>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shd w:val="clear" w:color="auto" w:fill="auto"/>
            <w:noWrap/>
          </w:tcPr>
          <w:p w14:paraId="4D867E76" w14:textId="6E78EB1B"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Social Sustainability and Inclusion*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94D8495" w14:textId="4AC499E5" w:rsidR="004818F1" w:rsidRPr="003A39CD" w:rsidRDefault="004818F1" w:rsidP="002D17A3">
            <w:pPr>
              <w:spacing w:after="0" w:line="240" w:lineRule="auto"/>
              <w:rPr>
                <w:rFonts w:ascii="Trebuchet MS" w:eastAsia="Times New Roman" w:hAnsi="Trebuchet MS" w:cstheme="majorHAnsi"/>
                <w:color w:val="000000"/>
                <w:sz w:val="18"/>
                <w:szCs w:val="18"/>
                <w:highlight w:val="cyan"/>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DE41396" w14:textId="7350C2CD"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1D01198" w14:textId="7C4E1FCA"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63FE596" w14:textId="5C26892F"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461CA75B" w14:textId="77777777" w:rsidTr="004818F1">
        <w:trPr>
          <w:trHeight w:val="956"/>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39D4B52" w14:textId="6B0CB7A4" w:rsidR="004818F1" w:rsidRPr="003A39CD" w:rsidRDefault="004818F1" w:rsidP="002D17A3">
            <w:pPr>
              <w:spacing w:after="0" w:line="240" w:lineRule="auto"/>
              <w:rPr>
                <w:rFonts w:ascii="Trebuchet MS" w:eastAsia="Times New Roman" w:hAnsi="Trebuchet MS" w:cstheme="majorHAnsi"/>
                <w:color w:val="000000"/>
                <w:sz w:val="18"/>
                <w:szCs w:val="18"/>
                <w:highlight w:val="cyan"/>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shd w:val="clear" w:color="auto" w:fill="auto"/>
            <w:noWrap/>
          </w:tcPr>
          <w:p w14:paraId="545F5990" w14:textId="07D0ECEF"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Environment, Natural Resources &amp; Blue Economy</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C60CD84" w14:textId="5C373549" w:rsidR="004818F1" w:rsidRPr="003A39CD" w:rsidRDefault="004818F1" w:rsidP="002D17A3">
            <w:pPr>
              <w:spacing w:after="0" w:line="240" w:lineRule="auto"/>
              <w:rPr>
                <w:rFonts w:ascii="Trebuchet MS" w:eastAsia="Times New Roman" w:hAnsi="Trebuchet MS" w:cstheme="majorHAnsi"/>
                <w:color w:val="000000"/>
                <w:sz w:val="18"/>
                <w:szCs w:val="18"/>
                <w:highlight w:val="cyan"/>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8B90836" w14:textId="4D0429C8"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D7CCF7D" w14:textId="33C3B10D"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830E060" w14:textId="756C1FED"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526D12AD" w14:textId="77777777" w:rsidTr="004818F1">
        <w:trPr>
          <w:trHeight w:val="1217"/>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44D17CA" w14:textId="566517B7" w:rsidR="004818F1" w:rsidRPr="003A39CD" w:rsidRDefault="004818F1" w:rsidP="002D17A3">
            <w:pPr>
              <w:spacing w:after="0" w:line="240" w:lineRule="auto"/>
              <w:rPr>
                <w:rFonts w:ascii="Trebuchet MS" w:eastAsia="Times New Roman" w:hAnsi="Trebuchet MS" w:cstheme="majorHAnsi"/>
                <w:color w:val="000000"/>
                <w:sz w:val="18"/>
                <w:szCs w:val="18"/>
                <w:highlight w:val="cyan"/>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shd w:val="clear" w:color="auto" w:fill="auto"/>
            <w:noWrap/>
          </w:tcPr>
          <w:p w14:paraId="2C967008" w14:textId="7255E6A4"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Urban, Disaster Risk Management, Resilience and Land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8555780" w14:textId="7159F4D8" w:rsidR="004818F1" w:rsidRPr="003A39CD" w:rsidRDefault="00460DEC" w:rsidP="002D17A3">
            <w:pPr>
              <w:spacing w:after="0" w:line="240" w:lineRule="auto"/>
              <w:rPr>
                <w:rFonts w:ascii="Trebuchet MS" w:eastAsia="Times New Roman" w:hAnsi="Trebuchet MS" w:cstheme="majorHAnsi"/>
                <w:color w:val="000000"/>
                <w:sz w:val="18"/>
                <w:szCs w:val="18"/>
                <w:highlight w:val="cyan"/>
              </w:rPr>
            </w:pPr>
            <w:hyperlink r:id="rId115" w:history="1">
              <w:r w:rsidR="004818F1" w:rsidRPr="003A39CD">
                <w:rPr>
                  <w:rStyle w:val="Hyperlink"/>
                  <w:rFonts w:ascii="Trebuchet MS" w:eastAsia="Times New Roman" w:hAnsi="Trebuchet MS" w:cstheme="majorHAnsi"/>
                  <w:sz w:val="18"/>
                  <w:szCs w:val="18"/>
                </w:rPr>
                <w:t>RAS – Urban Infrastructure Financing</w:t>
              </w:r>
            </w:hyperlink>
            <w:r w:rsidR="004818F1" w:rsidRPr="003A39CD">
              <w:rPr>
                <w:rFonts w:ascii="Trebuchet MS" w:eastAsia="Times New Roman" w:hAnsi="Trebuchet MS" w:cstheme="majorHAnsi"/>
                <w:color w:val="000000"/>
                <w:sz w:val="18"/>
                <w:szCs w:val="18"/>
              </w:rPr>
              <w:t xml:space="preserve"> (2022-3)</w:t>
            </w: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D0A8B22" w14:textId="45C02DD2"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6" w:history="1">
              <w:r w:rsidR="004818F1" w:rsidRPr="003A39CD">
                <w:rPr>
                  <w:rStyle w:val="Hyperlink"/>
                  <w:rFonts w:ascii="Trebuchet MS" w:eastAsia="Times New Roman" w:hAnsi="Trebuchet MS" w:cstheme="majorHAnsi"/>
                  <w:sz w:val="18"/>
                  <w:szCs w:val="18"/>
                </w:rPr>
                <w:t>East Asia and Pacific Cities: Expanding Opportunities for the Urban Poor</w:t>
              </w:r>
            </w:hyperlink>
            <w:r w:rsidR="004818F1" w:rsidRPr="003A39CD">
              <w:rPr>
                <w:rFonts w:ascii="Trebuchet MS" w:eastAsia="Times New Roman" w:hAnsi="Trebuchet MS" w:cstheme="majorHAnsi"/>
                <w:color w:val="000000"/>
                <w:sz w:val="18"/>
                <w:szCs w:val="18"/>
              </w:rPr>
              <w:t xml:space="preserve"> (2017)</w:t>
            </w: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8889C0D" w14:textId="78AAB9D0"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BD76C93" w14:textId="48A74950"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70379181" w14:textId="77777777" w:rsidTr="004818F1">
        <w:trPr>
          <w:trHeight w:val="247"/>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D72576E" w14:textId="25DA82BB"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6690F5F8" w14:textId="0F5A78A0"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Water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2568149" w14:textId="6C86ACDC" w:rsidR="004818F1" w:rsidRPr="003A39CD" w:rsidRDefault="004818F1" w:rsidP="002D17A3">
            <w:pPr>
              <w:spacing w:after="0" w:line="240" w:lineRule="auto"/>
              <w:rPr>
                <w:rFonts w:ascii="Trebuchet MS" w:hAnsi="Trebuchet MS" w:cstheme="majorHAnsi"/>
                <w:sz w:val="18"/>
                <w:szCs w:val="18"/>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BAAB599" w14:textId="05A262D2"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F056D86" w14:textId="41B5BF2C"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E477755" w14:textId="7473CD41" w:rsidR="004818F1" w:rsidRPr="003A39CD" w:rsidRDefault="004818F1" w:rsidP="002D17A3">
            <w:pPr>
              <w:spacing w:after="0" w:line="240" w:lineRule="auto"/>
              <w:rPr>
                <w:rFonts w:ascii="Trebuchet MS" w:eastAsia="Times New Roman" w:hAnsi="Trebuchet MS" w:cstheme="majorHAnsi"/>
                <w:color w:val="000000"/>
                <w:sz w:val="18"/>
                <w:szCs w:val="18"/>
              </w:rPr>
            </w:pPr>
          </w:p>
          <w:p w14:paraId="16B9E6ED" w14:textId="19962164" w:rsidR="004818F1" w:rsidRPr="003A39CD" w:rsidRDefault="004818F1" w:rsidP="002D17A3">
            <w:pPr>
              <w:spacing w:after="0" w:line="240" w:lineRule="auto"/>
              <w:rPr>
                <w:rFonts w:ascii="Trebuchet MS" w:eastAsia="Times New Roman" w:hAnsi="Trebuchet MS" w:cstheme="majorHAnsi"/>
                <w:color w:val="000000"/>
                <w:sz w:val="18"/>
                <w:szCs w:val="18"/>
              </w:rPr>
            </w:pPr>
          </w:p>
          <w:p w14:paraId="74DCCD10" w14:textId="2F8BA6A9" w:rsidR="004818F1" w:rsidRPr="003A39CD" w:rsidRDefault="004818F1" w:rsidP="002D17A3">
            <w:pPr>
              <w:spacing w:after="0" w:line="240" w:lineRule="auto"/>
              <w:rPr>
                <w:rFonts w:ascii="Trebuchet MS" w:eastAsia="Times New Roman" w:hAnsi="Trebuchet MS" w:cstheme="majorHAnsi"/>
                <w:color w:val="000000"/>
                <w:sz w:val="18"/>
                <w:szCs w:val="18"/>
              </w:rPr>
            </w:pPr>
          </w:p>
          <w:p w14:paraId="55B3DD24" w14:textId="1B85771D"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35F4EDA6" w14:textId="77777777" w:rsidTr="004818F1">
        <w:trPr>
          <w:trHeight w:val="300"/>
        </w:trPr>
        <w:tc>
          <w:tcPr>
            <w:tcW w:w="794"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extDirection w:val="btLr"/>
          </w:tcPr>
          <w:p w14:paraId="1ED6037E" w14:textId="551E489E" w:rsidR="004818F1" w:rsidRPr="003A39CD" w:rsidRDefault="004818F1" w:rsidP="002D17A3">
            <w:pPr>
              <w:spacing w:after="0" w:line="240" w:lineRule="auto"/>
              <w:ind w:left="113" w:right="113"/>
              <w:jc w:val="center"/>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Infrastructure</w:t>
            </w: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1350B58B" w14:textId="4F3EBBB2"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 xml:space="preserve">Digital Development </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D325591" w14:textId="668CA68E"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F0971FE" w14:textId="3CDE8647"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86700B4" w14:textId="3FD232D3"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292D4A7" w14:textId="7DF4AB1B"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49568D63" w14:textId="77777777" w:rsidTr="004818F1">
        <w:trPr>
          <w:trHeight w:val="257"/>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04DD120" w14:textId="1282B94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145C679C" w14:textId="190B4A19"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Energy &amp; Extractives</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F19CDD9" w14:textId="08928D2D"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7" w:history="1">
              <w:r w:rsidR="004818F1" w:rsidRPr="003A39CD">
                <w:rPr>
                  <w:rStyle w:val="Hyperlink"/>
                  <w:rFonts w:ascii="Trebuchet MS" w:eastAsia="Times New Roman" w:hAnsi="Trebuchet MS" w:cstheme="majorHAnsi"/>
                  <w:sz w:val="18"/>
                  <w:szCs w:val="18"/>
                </w:rPr>
                <w:t>Thailand: Clean Energy for Green Low-Carbon Growth</w:t>
              </w:r>
            </w:hyperlink>
            <w:r w:rsidR="004818F1" w:rsidRPr="003A39CD">
              <w:rPr>
                <w:rFonts w:ascii="Trebuchet MS" w:eastAsia="Times New Roman" w:hAnsi="Trebuchet MS" w:cstheme="majorHAnsi"/>
                <w:color w:val="000000"/>
                <w:sz w:val="18"/>
                <w:szCs w:val="18"/>
              </w:rPr>
              <w:t xml:space="preserve"> (2011)</w:t>
            </w: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BFADBF0" w14:textId="793EAAAC"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1D48BC8" w14:textId="74267294"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20372C4" w14:textId="02069FC4"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2A0C2AC5" w14:textId="77777777" w:rsidTr="004818F1">
        <w:trPr>
          <w:trHeight w:val="256"/>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87AF40C" w14:textId="51D9DB18"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3FF1251C" w14:textId="2DB7096D"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EF5B60A" w14:textId="12C42F6E"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RAS – Regulatory Arrangements for Energy Market Transition (P173042)</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355723A" w14:textId="0B5C5C11"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00BF7AF" w14:textId="7144A821"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629BB89" w14:textId="71F2DD6A"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1EC7C6A2" w14:textId="77777777" w:rsidTr="004818F1">
        <w:trPr>
          <w:trHeight w:val="300"/>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FD1A3A8" w14:textId="66443447"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18802093" w14:textId="614BF419"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Infrastructure Finance, PPPs &amp; Guarantees</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70808B7" w14:textId="6F3125FE"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A4329AC" w14:textId="4B8B7304"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2DA2997B" w14:textId="3FC8301A"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1E6D009" w14:textId="7DEA3281"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08164989" w14:textId="77777777" w:rsidTr="004818F1">
        <w:trPr>
          <w:trHeight w:val="300"/>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11BF4C3" w14:textId="51E75B90"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5889DAB8" w14:textId="1675DF0E"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MIGA</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9F266E6" w14:textId="2E271463"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017"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3626E88" w14:textId="2C45E3FF"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2371D3D" w14:textId="104872CC"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7699216" w14:textId="4668C8B0"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5AB1A311" w14:textId="77777777" w:rsidTr="004818F1">
        <w:trPr>
          <w:trHeight w:val="166"/>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A0FC3B1" w14:textId="24B6B905"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1672"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29D33C9C" w14:textId="18FE3888"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Transport</w:t>
            </w: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6509E28" w14:textId="356A979E"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8" w:history="1">
              <w:r w:rsidR="004818F1" w:rsidRPr="003A39CD">
                <w:rPr>
                  <w:rStyle w:val="Hyperlink"/>
                  <w:rFonts w:ascii="Trebuchet MS" w:eastAsia="Times New Roman" w:hAnsi="Trebuchet MS" w:cstheme="majorHAnsi"/>
                  <w:sz w:val="18"/>
                  <w:szCs w:val="18"/>
                </w:rPr>
                <w:t>Speed Variation Analysis: A Case Study for Thailand’s Roads</w:t>
              </w:r>
            </w:hyperlink>
            <w:r w:rsidR="004818F1" w:rsidRPr="003A39CD">
              <w:rPr>
                <w:rFonts w:ascii="Trebuchet MS" w:eastAsia="Times New Roman" w:hAnsi="Trebuchet MS" w:cstheme="majorHAnsi"/>
                <w:color w:val="000000"/>
                <w:sz w:val="18"/>
                <w:szCs w:val="18"/>
              </w:rPr>
              <w:t xml:space="preserve"> (2019)</w:t>
            </w:r>
          </w:p>
          <w:p w14:paraId="3DD04E1B" w14:textId="55475BCB" w:rsidR="004818F1" w:rsidRPr="003A39CD" w:rsidRDefault="004818F1" w:rsidP="002D17A3">
            <w:pPr>
              <w:spacing w:after="0" w:line="240" w:lineRule="auto"/>
              <w:rPr>
                <w:rFonts w:ascii="Trebuchet MS" w:eastAsia="Times New Roman" w:hAnsi="Trebuchet MS" w:cstheme="majorHAnsi"/>
                <w:color w:val="000000"/>
                <w:sz w:val="18"/>
                <w:szCs w:val="18"/>
              </w:rPr>
            </w:pPr>
          </w:p>
          <w:p w14:paraId="7B513906" w14:textId="01370253"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19" w:history="1">
              <w:r w:rsidR="004818F1" w:rsidRPr="003A39CD">
                <w:rPr>
                  <w:rStyle w:val="Hyperlink"/>
                  <w:rFonts w:ascii="Trebuchet MS" w:eastAsia="Times New Roman" w:hAnsi="Trebuchet MS" w:cstheme="majorHAnsi"/>
                  <w:sz w:val="18"/>
                  <w:szCs w:val="18"/>
                </w:rPr>
                <w:t>Thailand: Making Transport More Energy Efficient</w:t>
              </w:r>
            </w:hyperlink>
            <w:r w:rsidR="004818F1" w:rsidRPr="003A39CD">
              <w:rPr>
                <w:rFonts w:ascii="Trebuchet MS" w:eastAsia="Times New Roman" w:hAnsi="Trebuchet MS" w:cstheme="majorHAnsi"/>
                <w:color w:val="000000"/>
                <w:sz w:val="18"/>
                <w:szCs w:val="18"/>
              </w:rPr>
              <w:t xml:space="preserve"> (2009)</w:t>
            </w:r>
          </w:p>
        </w:tc>
        <w:tc>
          <w:tcPr>
            <w:tcW w:w="2017"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76058580" w14:textId="3B4330C2" w:rsidR="004818F1" w:rsidRPr="003A39CD" w:rsidRDefault="004818F1" w:rsidP="002D17A3">
            <w:pPr>
              <w:spacing w:after="0" w:line="240" w:lineRule="auto"/>
              <w:rPr>
                <w:rFonts w:ascii="Trebuchet MS" w:eastAsia="Times New Roman" w:hAnsi="Trebuchet MS" w:cstheme="majorHAnsi"/>
                <w:color w:val="000000"/>
                <w:sz w:val="18"/>
                <w:szCs w:val="18"/>
              </w:rPr>
            </w:pPr>
            <w:r w:rsidRPr="003A39CD">
              <w:rPr>
                <w:rFonts w:ascii="Trebuchet MS" w:eastAsia="Times New Roman" w:hAnsi="Trebuchet MS" w:cstheme="majorHAnsi"/>
                <w:color w:val="000000"/>
                <w:sz w:val="18"/>
                <w:szCs w:val="18"/>
              </w:rPr>
              <w:t>Global Road Safety Facility</w:t>
            </w:r>
          </w:p>
        </w:tc>
        <w:tc>
          <w:tcPr>
            <w:tcW w:w="2716"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CDF761C" w14:textId="1BB26503"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val="restart"/>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33C2FEB1" w14:textId="25D9D219" w:rsidR="004818F1" w:rsidRPr="003A39CD" w:rsidRDefault="004818F1" w:rsidP="002D17A3">
            <w:pPr>
              <w:spacing w:after="0" w:line="240" w:lineRule="auto"/>
              <w:rPr>
                <w:rFonts w:ascii="Trebuchet MS" w:eastAsia="Times New Roman" w:hAnsi="Trebuchet MS" w:cstheme="majorHAnsi"/>
                <w:color w:val="000000"/>
                <w:sz w:val="18"/>
                <w:szCs w:val="18"/>
              </w:rPr>
            </w:pPr>
          </w:p>
        </w:tc>
      </w:tr>
      <w:tr w:rsidR="004818F1" w:rsidRPr="00A24B0E" w14:paraId="23CF7CDC" w14:textId="77777777" w:rsidTr="004818F1">
        <w:trPr>
          <w:trHeight w:val="165"/>
        </w:trPr>
        <w:tc>
          <w:tcPr>
            <w:tcW w:w="794"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6BC9AA0D" w14:textId="1A1FA8B5" w:rsidR="004818F1" w:rsidRPr="0039138A" w:rsidRDefault="004818F1" w:rsidP="002D17A3">
            <w:pPr>
              <w:spacing w:after="0" w:line="240" w:lineRule="auto"/>
              <w:rPr>
                <w:rFonts w:ascii="Trebuchet MS" w:eastAsia="Times New Roman" w:hAnsi="Trebuchet MS" w:cstheme="majorHAnsi"/>
                <w:color w:val="000000"/>
                <w:sz w:val="18"/>
                <w:szCs w:val="18"/>
              </w:rPr>
            </w:pPr>
          </w:p>
        </w:tc>
        <w:tc>
          <w:tcPr>
            <w:tcW w:w="1672"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noWrap/>
          </w:tcPr>
          <w:p w14:paraId="328D9DA0" w14:textId="4B97DAA1" w:rsidR="004818F1" w:rsidRPr="0039138A" w:rsidRDefault="004818F1" w:rsidP="002D17A3">
            <w:pPr>
              <w:spacing w:after="0" w:line="240" w:lineRule="auto"/>
              <w:rPr>
                <w:rFonts w:ascii="Trebuchet MS" w:eastAsia="Times New Roman" w:hAnsi="Trebuchet MS" w:cstheme="majorHAnsi"/>
                <w:color w:val="000000"/>
                <w:sz w:val="18"/>
                <w:szCs w:val="18"/>
              </w:rPr>
            </w:pPr>
          </w:p>
        </w:tc>
        <w:tc>
          <w:tcPr>
            <w:tcW w:w="2804" w:type="dxa"/>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4BF2EFF6" w14:textId="17D92761" w:rsidR="004818F1" w:rsidRPr="0039138A" w:rsidRDefault="004818F1" w:rsidP="002D17A3">
            <w:pPr>
              <w:spacing w:after="0" w:line="240" w:lineRule="auto"/>
              <w:rPr>
                <w:rFonts w:ascii="Trebuchet MS" w:eastAsia="Times New Roman" w:hAnsi="Trebuchet MS" w:cstheme="majorHAnsi"/>
                <w:color w:val="000000"/>
                <w:sz w:val="18"/>
                <w:szCs w:val="18"/>
              </w:rPr>
            </w:pPr>
            <w:r w:rsidRPr="0039138A">
              <w:rPr>
                <w:rFonts w:ascii="Trebuchet MS" w:eastAsia="Times New Roman" w:hAnsi="Trebuchet MS" w:cstheme="majorHAnsi"/>
                <w:color w:val="000000"/>
                <w:sz w:val="18"/>
                <w:szCs w:val="18"/>
              </w:rPr>
              <w:t>EV report to be disclosed soon (RAS Thailand Transformation)</w:t>
            </w:r>
          </w:p>
          <w:p w14:paraId="41EC7D52" w14:textId="00C85FC7" w:rsidR="004818F1" w:rsidRPr="0039138A" w:rsidRDefault="004818F1" w:rsidP="002D17A3">
            <w:pPr>
              <w:spacing w:after="0" w:line="240" w:lineRule="auto"/>
              <w:rPr>
                <w:rFonts w:ascii="Trebuchet MS" w:eastAsia="Times New Roman" w:hAnsi="Trebuchet MS" w:cstheme="majorHAnsi"/>
                <w:color w:val="000000"/>
                <w:sz w:val="18"/>
                <w:szCs w:val="18"/>
              </w:rPr>
            </w:pPr>
          </w:p>
          <w:p w14:paraId="28907B2C" w14:textId="51D5B1BF"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20" w:history="1">
              <w:r w:rsidR="004818F1" w:rsidRPr="003A39CD">
                <w:rPr>
                  <w:rStyle w:val="Hyperlink"/>
                  <w:rFonts w:ascii="Trebuchet MS" w:eastAsia="Times New Roman" w:hAnsi="Trebuchet MS" w:cstheme="majorHAnsi"/>
                  <w:sz w:val="18"/>
                  <w:szCs w:val="18"/>
                </w:rPr>
                <w:t>TF – Road Safety</w:t>
              </w:r>
            </w:hyperlink>
            <w:r w:rsidR="004818F1" w:rsidRPr="003A39CD">
              <w:rPr>
                <w:rFonts w:ascii="Trebuchet MS" w:eastAsia="Times New Roman" w:hAnsi="Trebuchet MS" w:cstheme="majorHAnsi"/>
                <w:color w:val="000000"/>
                <w:sz w:val="18"/>
                <w:szCs w:val="18"/>
              </w:rPr>
              <w:t xml:space="preserve"> (2019)</w:t>
            </w:r>
          </w:p>
          <w:p w14:paraId="49D20C4B" w14:textId="611593F9" w:rsidR="004818F1" w:rsidRPr="003A39CD" w:rsidRDefault="00460DEC" w:rsidP="002D17A3">
            <w:pPr>
              <w:spacing w:after="0" w:line="240" w:lineRule="auto"/>
              <w:rPr>
                <w:rFonts w:ascii="Trebuchet MS" w:eastAsia="Times New Roman" w:hAnsi="Trebuchet MS" w:cstheme="majorHAnsi"/>
                <w:color w:val="000000"/>
                <w:sz w:val="18"/>
                <w:szCs w:val="18"/>
              </w:rPr>
            </w:pPr>
            <w:hyperlink r:id="rId121" w:history="1">
              <w:r w:rsidR="004818F1" w:rsidRPr="003A39CD">
                <w:rPr>
                  <w:rStyle w:val="Hyperlink"/>
                  <w:rFonts w:ascii="Trebuchet MS" w:eastAsia="Times New Roman" w:hAnsi="Trebuchet MS" w:cstheme="majorHAnsi"/>
                  <w:sz w:val="18"/>
                  <w:szCs w:val="18"/>
                </w:rPr>
                <w:t>Project – Chiang Mai Sustainable Urban Transport Project</w:t>
              </w:r>
            </w:hyperlink>
            <w:r w:rsidR="004818F1" w:rsidRPr="003A39CD">
              <w:rPr>
                <w:rFonts w:ascii="Trebuchet MS" w:eastAsia="Times New Roman" w:hAnsi="Trebuchet MS" w:cstheme="majorHAnsi"/>
                <w:color w:val="000000"/>
                <w:sz w:val="18"/>
                <w:szCs w:val="18"/>
              </w:rPr>
              <w:t xml:space="preserve"> (2012-2014)</w:t>
            </w:r>
          </w:p>
        </w:tc>
        <w:tc>
          <w:tcPr>
            <w:tcW w:w="2017"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1A2E73C3" w14:textId="13DA962B"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716"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031BC381" w14:textId="43BFB9E0" w:rsidR="004818F1" w:rsidRPr="003A39CD" w:rsidRDefault="004818F1" w:rsidP="002D17A3">
            <w:pPr>
              <w:spacing w:after="0" w:line="240" w:lineRule="auto"/>
              <w:rPr>
                <w:rFonts w:ascii="Trebuchet MS" w:eastAsia="Times New Roman" w:hAnsi="Trebuchet MS" w:cstheme="majorHAnsi"/>
                <w:color w:val="000000"/>
                <w:sz w:val="18"/>
                <w:szCs w:val="18"/>
              </w:rPr>
            </w:pPr>
          </w:p>
        </w:tc>
        <w:tc>
          <w:tcPr>
            <w:tcW w:w="2285" w:type="dxa"/>
            <w:vMerge/>
            <w:tcBorders>
              <w:top w:val="single" w:sz="4" w:space="0" w:color="97ABC9" w:themeColor="accent6" w:themeTint="66"/>
              <w:left w:val="single" w:sz="4" w:space="0" w:color="97ABC9" w:themeColor="accent6" w:themeTint="66"/>
              <w:bottom w:val="single" w:sz="4" w:space="0" w:color="97ABC9" w:themeColor="accent6" w:themeTint="66"/>
              <w:right w:val="single" w:sz="4" w:space="0" w:color="97ABC9" w:themeColor="accent6" w:themeTint="66"/>
            </w:tcBorders>
          </w:tcPr>
          <w:p w14:paraId="5B27E029" w14:textId="2D4AA071" w:rsidR="004818F1" w:rsidRPr="003A39CD" w:rsidRDefault="004818F1" w:rsidP="002D17A3">
            <w:pPr>
              <w:spacing w:after="0" w:line="240" w:lineRule="auto"/>
              <w:rPr>
                <w:rFonts w:ascii="Trebuchet MS" w:eastAsia="Times New Roman" w:hAnsi="Trebuchet MS" w:cstheme="majorHAnsi"/>
                <w:color w:val="000000"/>
                <w:sz w:val="18"/>
                <w:szCs w:val="18"/>
              </w:rPr>
            </w:pPr>
          </w:p>
        </w:tc>
      </w:tr>
    </w:tbl>
    <w:p w14:paraId="69F5C6FB" w14:textId="649130BA" w:rsidR="00286A3C" w:rsidRDefault="00286A3C" w:rsidP="00286A3C">
      <w:pPr>
        <w:spacing w:after="0" w:line="240" w:lineRule="auto"/>
        <w:jc w:val="both"/>
        <w:rPr>
          <w:rFonts w:ascii="Times New Roman" w:eastAsia="Times New Roman" w:hAnsi="Times New Roman" w:cs="Times New Roman"/>
          <w:b/>
          <w:bCs/>
          <w:color w:val="000000"/>
          <w:sz w:val="24"/>
          <w:szCs w:val="24"/>
        </w:rPr>
      </w:pPr>
    </w:p>
    <w:p w14:paraId="14DF7AD4" w14:textId="31074549" w:rsidR="00286A3C" w:rsidRDefault="00286A3C" w:rsidP="00286A3C">
      <w:pPr>
        <w:rPr>
          <w:rFonts w:ascii="Times New Roman" w:eastAsia="Times New Roman" w:hAnsi="Times New Roman" w:cs="Times New Roman"/>
          <w:color w:val="000000" w:themeColor="text1"/>
          <w:sz w:val="24"/>
          <w:szCs w:val="24"/>
        </w:rPr>
        <w:sectPr w:rsidR="00286A3C" w:rsidSect="0050341E">
          <w:headerReference w:type="default" r:id="rId122"/>
          <w:headerReference w:type="first" r:id="rId123"/>
          <w:pgSz w:w="15840" w:h="12240" w:orient="landscape"/>
          <w:pgMar w:top="1440" w:right="1440" w:bottom="1440" w:left="1440" w:header="720" w:footer="720" w:gutter="0"/>
          <w:cols w:space="720"/>
          <w:titlePg/>
          <w:docGrid w:linePitch="360"/>
        </w:sectPr>
      </w:pPr>
    </w:p>
    <w:p w14:paraId="0D5D3E22" w14:textId="42D50A52" w:rsidR="000A4631" w:rsidRDefault="000A4631" w:rsidP="001C312C">
      <w:pPr>
        <w:pStyle w:val="Heading1"/>
        <w:spacing w:line="240" w:lineRule="auto"/>
        <w:jc w:val="both"/>
      </w:pPr>
      <w:bookmarkStart w:id="458" w:name="_Box_1:_TFP"/>
      <w:bookmarkStart w:id="459" w:name="_Box_2:_Investment"/>
      <w:bookmarkStart w:id="460" w:name="_Toc128392557"/>
      <w:bookmarkStart w:id="461" w:name="_Toc137046533"/>
      <w:bookmarkStart w:id="462" w:name="_Toc137048197"/>
      <w:bookmarkStart w:id="463" w:name="_Toc159763574"/>
      <w:bookmarkEnd w:id="458"/>
      <w:bookmarkEnd w:id="459"/>
      <w:r w:rsidRPr="0051267D">
        <w:lastRenderedPageBreak/>
        <w:t>References</w:t>
      </w:r>
      <w:bookmarkEnd w:id="460"/>
      <w:bookmarkEnd w:id="461"/>
      <w:bookmarkEnd w:id="462"/>
      <w:bookmarkEnd w:id="463"/>
    </w:p>
    <w:p w14:paraId="106A2591" w14:textId="77777777" w:rsidR="004F2632" w:rsidRPr="004F2632" w:rsidRDefault="004F2632" w:rsidP="000B43E9"/>
    <w:p w14:paraId="2B18B3A5"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Barron, P., Cord,</w:t>
      </w:r>
      <w:r>
        <w:rPr>
          <w:rFonts w:ascii="Calibri Light" w:hAnsi="Calibri Light" w:cs="Calibri Light"/>
        </w:rPr>
        <w:t xml:space="preserve"> L.,</w:t>
      </w:r>
      <w:r w:rsidRPr="00F423A4">
        <w:rPr>
          <w:rFonts w:ascii="Calibri Light" w:hAnsi="Calibri Light" w:cs="Calibri Light"/>
        </w:rPr>
        <w:t xml:space="preserve"> Cuesta,</w:t>
      </w:r>
      <w:r>
        <w:rPr>
          <w:rFonts w:ascii="Calibri Light" w:hAnsi="Calibri Light" w:cs="Calibri Light"/>
        </w:rPr>
        <w:t xml:space="preserve"> J.,</w:t>
      </w:r>
      <w:r w:rsidRPr="00F423A4">
        <w:rPr>
          <w:rFonts w:ascii="Calibri Light" w:hAnsi="Calibri Light" w:cs="Calibri Light"/>
        </w:rPr>
        <w:t xml:space="preserve"> Espinoza,</w:t>
      </w:r>
      <w:r>
        <w:rPr>
          <w:rFonts w:ascii="Calibri Light" w:hAnsi="Calibri Light" w:cs="Calibri Light"/>
        </w:rPr>
        <w:t xml:space="preserve"> S.A., </w:t>
      </w:r>
      <w:r w:rsidRPr="00F423A4">
        <w:rPr>
          <w:rFonts w:ascii="Calibri Light" w:hAnsi="Calibri Light" w:cs="Calibri Light"/>
        </w:rPr>
        <w:t xml:space="preserve">Larson, </w:t>
      </w:r>
      <w:r>
        <w:rPr>
          <w:rFonts w:ascii="Calibri Light" w:hAnsi="Calibri Light" w:cs="Calibri Light"/>
        </w:rPr>
        <w:t xml:space="preserve">G., </w:t>
      </w:r>
      <w:r w:rsidRPr="00F423A4">
        <w:rPr>
          <w:rFonts w:ascii="Calibri Light" w:hAnsi="Calibri Light" w:cs="Calibri Light"/>
        </w:rPr>
        <w:t>and Woolcock</w:t>
      </w:r>
      <w:r>
        <w:rPr>
          <w:rFonts w:ascii="Calibri Light" w:hAnsi="Calibri Light" w:cs="Calibri Light"/>
        </w:rPr>
        <w:t>, M.</w:t>
      </w:r>
      <w:r w:rsidRPr="00F423A4">
        <w:rPr>
          <w:rFonts w:ascii="Calibri Light" w:hAnsi="Calibri Light" w:cs="Calibri Light"/>
        </w:rPr>
        <w:t xml:space="preserve"> 2023 </w:t>
      </w:r>
      <w:r w:rsidRPr="00F423A4">
        <w:rPr>
          <w:rFonts w:ascii="Calibri Light" w:hAnsi="Calibri Light" w:cs="Calibri Light"/>
          <w:i/>
        </w:rPr>
        <w:t>Social Sustainability in Development: Meeting the Challenges of the 21st Century: New Frontiers of Social Policy</w:t>
      </w:r>
      <w:r w:rsidRPr="00F423A4">
        <w:rPr>
          <w:rFonts w:ascii="Calibri Light" w:hAnsi="Calibri Light" w:cs="Calibri Light"/>
        </w:rPr>
        <w:t>. World Bank, Washington, DC.</w:t>
      </w:r>
    </w:p>
    <w:p w14:paraId="6DB09B4D"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Burton, M. </w:t>
      </w:r>
      <w:r>
        <w:rPr>
          <w:rFonts w:ascii="Calibri Light" w:hAnsi="Calibri Light" w:cs="Calibri Light"/>
        </w:rPr>
        <w:t xml:space="preserve">2021. </w:t>
      </w:r>
      <w:r w:rsidRPr="00F423A4">
        <w:rPr>
          <w:rFonts w:ascii="Calibri Light" w:hAnsi="Calibri Light" w:cs="Calibri Light"/>
          <w:i/>
          <w:iCs/>
        </w:rPr>
        <w:t xml:space="preserve">Disability and Poverty in Thailand, The </w:t>
      </w:r>
      <w:proofErr w:type="spellStart"/>
      <w:r w:rsidRPr="00F423A4">
        <w:rPr>
          <w:rFonts w:ascii="Calibri Light" w:hAnsi="Calibri Light" w:cs="Calibri Light"/>
          <w:i/>
          <w:iCs/>
        </w:rPr>
        <w:t>Borgen</w:t>
      </w:r>
      <w:proofErr w:type="spellEnd"/>
      <w:r w:rsidRPr="00F423A4">
        <w:rPr>
          <w:rFonts w:ascii="Calibri Light" w:hAnsi="Calibri Light" w:cs="Calibri Light"/>
          <w:i/>
          <w:iCs/>
        </w:rPr>
        <w:t xml:space="preserve"> Project</w:t>
      </w:r>
      <w:r>
        <w:rPr>
          <w:rFonts w:ascii="Calibri Light" w:hAnsi="Calibri Light" w:cs="Calibri Light"/>
        </w:rPr>
        <w:t>.</w:t>
      </w:r>
    </w:p>
    <w:p w14:paraId="2B42DB6D" w14:textId="77777777" w:rsidR="004569E9" w:rsidRPr="00987859" w:rsidRDefault="004569E9" w:rsidP="004569E9">
      <w:pPr>
        <w:spacing w:after="120"/>
        <w:ind w:left="576" w:hanging="576"/>
        <w:rPr>
          <w:rFonts w:ascii="Calibri Light" w:hAnsi="Calibri Light" w:cs="Calibri Light"/>
        </w:rPr>
      </w:pPr>
      <w:r w:rsidRPr="00987859">
        <w:rPr>
          <w:rFonts w:ascii="Calibri Light" w:hAnsi="Calibri Light" w:cs="Calibri Light"/>
        </w:rPr>
        <w:t>Cuesta, J., López-Nova, B., and Niño-</w:t>
      </w:r>
      <w:proofErr w:type="spellStart"/>
      <w:r w:rsidRPr="00987859">
        <w:rPr>
          <w:rFonts w:ascii="Calibri Light" w:hAnsi="Calibri Light" w:cs="Calibri Light"/>
        </w:rPr>
        <w:t>Zarazúa</w:t>
      </w:r>
      <w:proofErr w:type="spellEnd"/>
      <w:r w:rsidRPr="00987859">
        <w:rPr>
          <w:rFonts w:ascii="Calibri Light" w:hAnsi="Calibri Light" w:cs="Calibri Light"/>
        </w:rPr>
        <w:t>, M. 2022. Social Exclusion: Concepts, Measurement, and a Global Estimate. Policy Research Working Papers; 10097. World Bank, Washington, D.C.</w:t>
      </w:r>
    </w:p>
    <w:p w14:paraId="3EE8A137" w14:textId="77777777" w:rsidR="004569E9" w:rsidRPr="00F423A4" w:rsidRDefault="004569E9" w:rsidP="004569E9">
      <w:pPr>
        <w:spacing w:after="120"/>
        <w:ind w:left="576" w:hanging="576"/>
        <w:rPr>
          <w:rFonts w:ascii="Calibri Light" w:hAnsi="Calibri Light" w:cs="Calibri Light"/>
        </w:rPr>
      </w:pPr>
      <w:proofErr w:type="spellStart"/>
      <w:r w:rsidRPr="00F423A4">
        <w:rPr>
          <w:rFonts w:ascii="Calibri Light" w:hAnsi="Calibri Light" w:cs="Calibri Light"/>
        </w:rPr>
        <w:t>Dalferro</w:t>
      </w:r>
      <w:proofErr w:type="spellEnd"/>
      <w:r w:rsidRPr="00F423A4">
        <w:rPr>
          <w:rFonts w:ascii="Calibri Light" w:hAnsi="Calibri Light" w:cs="Calibri Light"/>
        </w:rPr>
        <w:t>, A. 2022. Thailand’s Digital Divide: Leave No One Behind.</w:t>
      </w:r>
    </w:p>
    <w:p w14:paraId="7D7D92CB" w14:textId="77777777" w:rsidR="004569E9" w:rsidRPr="00987859" w:rsidRDefault="004569E9" w:rsidP="004569E9">
      <w:pPr>
        <w:spacing w:after="120"/>
        <w:ind w:left="576" w:hanging="576"/>
        <w:rPr>
          <w:rFonts w:ascii="Calibri Light" w:hAnsi="Calibri Light" w:cs="Calibri Light"/>
        </w:rPr>
      </w:pPr>
      <w:r w:rsidRPr="00987859">
        <w:rPr>
          <w:rFonts w:ascii="Calibri Light" w:hAnsi="Calibri Light" w:cs="Calibri Light"/>
          <w:lang w:val="es-AR"/>
        </w:rPr>
        <w:t xml:space="preserve">Dall’Olio, A. M., et al. 2022. </w:t>
      </w:r>
      <w:r w:rsidRPr="00987859">
        <w:rPr>
          <w:rFonts w:ascii="Calibri Light" w:hAnsi="Calibri Light" w:cs="Calibri Light"/>
        </w:rPr>
        <w:t xml:space="preserve">Are All State-Owned Enterprises Equal? A Taxonomy of Economic Activities to Assess SOE Presence in the Economy. Policy Research Working Paper WPS 10262. World Bank, Washington, D.C. </w:t>
      </w:r>
    </w:p>
    <w:p w14:paraId="55757174"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Dong, M., Doyle,</w:t>
      </w:r>
      <w:r>
        <w:rPr>
          <w:rFonts w:ascii="Calibri Light" w:hAnsi="Calibri Light" w:cs="Calibri Light"/>
        </w:rPr>
        <w:t xml:space="preserve"> J.,</w:t>
      </w:r>
      <w:r w:rsidRPr="00F423A4">
        <w:rPr>
          <w:rFonts w:ascii="Calibri Light" w:hAnsi="Calibri Light" w:cs="Calibri Light"/>
        </w:rPr>
        <w:t xml:space="preserve"> Nicoli,</w:t>
      </w:r>
      <w:r>
        <w:rPr>
          <w:rFonts w:ascii="Calibri Light" w:hAnsi="Calibri Light" w:cs="Calibri Light"/>
        </w:rPr>
        <w:t xml:space="preserve"> M.,</w:t>
      </w:r>
      <w:r w:rsidRPr="00F423A4">
        <w:rPr>
          <w:rFonts w:ascii="Calibri Light" w:hAnsi="Calibri Light" w:cs="Calibri Light"/>
        </w:rPr>
        <w:t xml:space="preserve"> </w:t>
      </w:r>
      <w:proofErr w:type="spellStart"/>
      <w:r w:rsidRPr="00F423A4">
        <w:rPr>
          <w:rFonts w:ascii="Calibri Light" w:hAnsi="Calibri Light" w:cs="Calibri Light"/>
        </w:rPr>
        <w:t>Chantavanich</w:t>
      </w:r>
      <w:proofErr w:type="spellEnd"/>
      <w:r w:rsidRPr="00F423A4">
        <w:rPr>
          <w:rFonts w:ascii="Calibri Light" w:hAnsi="Calibri Light" w:cs="Calibri Light"/>
        </w:rPr>
        <w:t>, S.</w:t>
      </w:r>
      <w:r>
        <w:rPr>
          <w:rFonts w:ascii="Calibri Light" w:hAnsi="Calibri Light" w:cs="Calibri Light"/>
        </w:rPr>
        <w:t>,</w:t>
      </w:r>
      <w:r w:rsidRPr="00F423A4">
        <w:rPr>
          <w:rFonts w:ascii="Calibri Light" w:hAnsi="Calibri Light" w:cs="Calibri Light"/>
        </w:rPr>
        <w:t xml:space="preserve"> Lewis, </w:t>
      </w:r>
      <w:r>
        <w:rPr>
          <w:rFonts w:ascii="Calibri Light" w:hAnsi="Calibri Light" w:cs="Calibri Light"/>
        </w:rPr>
        <w:t>S.,</w:t>
      </w:r>
      <w:r w:rsidRPr="00F423A4">
        <w:rPr>
          <w:rFonts w:ascii="Calibri Light" w:hAnsi="Calibri Light" w:cs="Calibri Light"/>
        </w:rPr>
        <w:t xml:space="preserve"> Capel,</w:t>
      </w:r>
      <w:r>
        <w:rPr>
          <w:rFonts w:ascii="Calibri Light" w:hAnsi="Calibri Light" w:cs="Calibri Light"/>
        </w:rPr>
        <w:t xml:space="preserve"> J.,</w:t>
      </w:r>
      <w:r w:rsidRPr="00F423A4">
        <w:rPr>
          <w:rFonts w:ascii="Calibri Light" w:hAnsi="Calibri Light" w:cs="Calibri Light"/>
        </w:rPr>
        <w:t xml:space="preserve"> and Yi</w:t>
      </w:r>
      <w:r>
        <w:rPr>
          <w:rFonts w:ascii="Calibri Light" w:hAnsi="Calibri Light" w:cs="Calibri Light"/>
        </w:rPr>
        <w:t>, S</w:t>
      </w:r>
      <w:r w:rsidRPr="00F423A4">
        <w:rPr>
          <w:rFonts w:ascii="Calibri Light" w:hAnsi="Calibri Light" w:cs="Calibri Light"/>
        </w:rPr>
        <w:t xml:space="preserve">. Forthcoming. </w:t>
      </w:r>
      <w:r w:rsidRPr="00F423A4">
        <w:rPr>
          <w:rFonts w:ascii="Calibri Light" w:hAnsi="Calibri Light" w:cs="Calibri Light"/>
          <w:i/>
          <w:iCs/>
        </w:rPr>
        <w:t>Promoting Opportunities for Safe Migration and affordable Remittances through the Myanmar-Thailand Migration Corridor.</w:t>
      </w:r>
      <w:r w:rsidRPr="00F423A4">
        <w:rPr>
          <w:rFonts w:ascii="Calibri Light" w:hAnsi="Calibri Light" w:cs="Calibri Light"/>
        </w:rPr>
        <w:t xml:space="preserve"> World Bank, Washington, D</w:t>
      </w:r>
      <w:r>
        <w:rPr>
          <w:rFonts w:ascii="Calibri Light" w:hAnsi="Calibri Light" w:cs="Calibri Light"/>
        </w:rPr>
        <w:t>.</w:t>
      </w:r>
      <w:r w:rsidRPr="00F423A4">
        <w:rPr>
          <w:rFonts w:ascii="Calibri Light" w:hAnsi="Calibri Light" w:cs="Calibri Light"/>
        </w:rPr>
        <w:t>C.</w:t>
      </w:r>
    </w:p>
    <w:p w14:paraId="158E44C9" w14:textId="77777777" w:rsidR="004569E9" w:rsidRPr="00F423A4" w:rsidRDefault="004569E9" w:rsidP="004569E9">
      <w:pPr>
        <w:spacing w:after="120"/>
        <w:ind w:left="576" w:hanging="576"/>
        <w:rPr>
          <w:rFonts w:ascii="Calibri Light" w:hAnsi="Calibri Light" w:cs="Angsana New"/>
        </w:rPr>
      </w:pPr>
      <w:r w:rsidRPr="00F423A4">
        <w:rPr>
          <w:rFonts w:ascii="Calibri Light" w:hAnsi="Calibri Light" w:cs="Angsana New"/>
        </w:rPr>
        <w:t xml:space="preserve">Eckstein, D., </w:t>
      </w:r>
      <w:proofErr w:type="spellStart"/>
      <w:r w:rsidRPr="00F423A4">
        <w:rPr>
          <w:rFonts w:ascii="Calibri Light" w:hAnsi="Calibri Light" w:cs="Angsana New"/>
        </w:rPr>
        <w:t>Künzel</w:t>
      </w:r>
      <w:proofErr w:type="spellEnd"/>
      <w:r w:rsidRPr="00F423A4">
        <w:rPr>
          <w:rFonts w:ascii="Calibri Light" w:hAnsi="Calibri Light" w:cs="Angsana New"/>
        </w:rPr>
        <w:t>,</w:t>
      </w:r>
      <w:r>
        <w:rPr>
          <w:rFonts w:ascii="Calibri Light" w:hAnsi="Calibri Light" w:cs="Angsana New"/>
        </w:rPr>
        <w:t xml:space="preserve"> V.,</w:t>
      </w:r>
      <w:r w:rsidRPr="00F423A4">
        <w:rPr>
          <w:rFonts w:ascii="Calibri Light" w:hAnsi="Calibri Light" w:cs="Angsana New"/>
        </w:rPr>
        <w:t xml:space="preserve"> and Schäfer</w:t>
      </w:r>
      <w:r>
        <w:rPr>
          <w:rFonts w:ascii="Calibri Light" w:hAnsi="Calibri Light" w:cs="Angsana New"/>
        </w:rPr>
        <w:t>, L</w:t>
      </w:r>
      <w:r w:rsidRPr="00F423A4">
        <w:rPr>
          <w:rFonts w:ascii="Calibri Light" w:hAnsi="Calibri Light" w:cs="Angsana New"/>
        </w:rPr>
        <w:t xml:space="preserve">. 2021. </w:t>
      </w:r>
      <w:r w:rsidRPr="00F423A4">
        <w:rPr>
          <w:rFonts w:ascii="Calibri Light" w:hAnsi="Calibri Light" w:cs="Angsana New"/>
          <w:i/>
          <w:iCs/>
        </w:rPr>
        <w:t>Global Climate Risk Index, 2021</w:t>
      </w:r>
      <w:r w:rsidRPr="00F423A4">
        <w:rPr>
          <w:rFonts w:ascii="Calibri Light" w:hAnsi="Calibri Light" w:cs="Angsana New"/>
        </w:rPr>
        <w:t xml:space="preserve">. </w:t>
      </w:r>
      <w:proofErr w:type="spellStart"/>
      <w:r w:rsidRPr="00F423A4">
        <w:rPr>
          <w:rFonts w:ascii="Calibri Light" w:hAnsi="Calibri Light" w:cs="Angsana New"/>
        </w:rPr>
        <w:t>Germanwatch</w:t>
      </w:r>
      <w:proofErr w:type="spellEnd"/>
      <w:r w:rsidRPr="00F423A4">
        <w:rPr>
          <w:rFonts w:ascii="Calibri Light" w:hAnsi="Calibri Light" w:cs="Angsana New"/>
        </w:rPr>
        <w:t xml:space="preserve"> Briefing Paper. https://www.germanwatch.org/sites/default/files/Global%20Climate%20Risk%20Index%202021_2.pdf</w:t>
      </w:r>
    </w:p>
    <w:p w14:paraId="0DF19E1A"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Kose, A. M., and Ohnsorge,</w:t>
      </w:r>
      <w:r>
        <w:rPr>
          <w:rFonts w:ascii="Calibri Light" w:hAnsi="Calibri Light" w:cs="Calibri Light"/>
        </w:rPr>
        <w:t xml:space="preserve"> F.</w:t>
      </w:r>
      <w:r w:rsidRPr="00F423A4">
        <w:rPr>
          <w:rFonts w:ascii="Calibri Light" w:hAnsi="Calibri Light" w:cs="Calibri Light"/>
        </w:rPr>
        <w:t xml:space="preserve"> eds. 2023. </w:t>
      </w:r>
      <w:r w:rsidRPr="00F423A4">
        <w:rPr>
          <w:rFonts w:ascii="Calibri Light" w:hAnsi="Calibri Light" w:cs="Calibri Light"/>
          <w:i/>
        </w:rPr>
        <w:t>Falling Long-Term Growth Prospects: Trends, Expectations, and Policies</w:t>
      </w:r>
      <w:r w:rsidRPr="00F423A4">
        <w:rPr>
          <w:rFonts w:ascii="Calibri Light" w:hAnsi="Calibri Light" w:cs="Calibri Light"/>
        </w:rPr>
        <w:t>. World Bank, Washington, DC.</w:t>
      </w:r>
    </w:p>
    <w:p w14:paraId="094AFF13"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National Statistical Office of Thailand. 2020. Thailand Multiple Indicator Cluster Survey 2019, Survey Findings Report. Bangkok, Thailand: National Statistical Office of Thailand.</w:t>
      </w:r>
    </w:p>
    <w:p w14:paraId="1D283526"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Office of the National Economic and Social Development Council (NESDC).</w:t>
      </w:r>
      <w:r w:rsidRPr="00F423A4">
        <w:rPr>
          <w:rFonts w:ascii="Calibri Light" w:hAnsi="Calibri Light" w:cs="Cordia New"/>
          <w:szCs w:val="28"/>
          <w:lang w:bidi="th-TH"/>
        </w:rPr>
        <w:t xml:space="preserve"> 2022.</w:t>
      </w:r>
      <w:r w:rsidRPr="00F423A4">
        <w:rPr>
          <w:rFonts w:ascii="Calibri Light" w:hAnsi="Calibri Light" w:cs="Calibri Light"/>
        </w:rPr>
        <w:t xml:space="preserve"> Poverty and Inequality Report 2021.</w:t>
      </w:r>
    </w:p>
    <w:p w14:paraId="2A8BC3F4" w14:textId="77777777" w:rsidR="004569E9" w:rsidRPr="00F423A4" w:rsidRDefault="004569E9" w:rsidP="004569E9">
      <w:pPr>
        <w:spacing w:after="120"/>
        <w:ind w:left="576" w:hanging="576"/>
        <w:rPr>
          <w:rFonts w:ascii="Calibri Light" w:hAnsi="Calibri Light" w:cs="Calibri Light"/>
        </w:rPr>
      </w:pPr>
      <w:proofErr w:type="spellStart"/>
      <w:r w:rsidRPr="00F423A4">
        <w:rPr>
          <w:rFonts w:ascii="Calibri Light" w:hAnsi="Calibri Light" w:cs="Calibri Light"/>
        </w:rPr>
        <w:t>Organisation</w:t>
      </w:r>
      <w:proofErr w:type="spellEnd"/>
      <w:r w:rsidRPr="00F423A4">
        <w:rPr>
          <w:rFonts w:ascii="Calibri Light" w:hAnsi="Calibri Light" w:cs="Calibri Light"/>
        </w:rPr>
        <w:t xml:space="preserve"> for Economic Co-operation and Development (OECD). 2012. </w:t>
      </w:r>
      <w:r w:rsidRPr="00F423A4">
        <w:rPr>
          <w:rFonts w:ascii="Calibri Light" w:hAnsi="Calibri Light" w:cs="Calibri Light"/>
          <w:i/>
        </w:rPr>
        <w:t>Redefining “Urban”: A New Way to Measure Metropolitan Areas</w:t>
      </w:r>
      <w:r w:rsidRPr="00F423A4">
        <w:rPr>
          <w:rFonts w:ascii="Calibri Light" w:hAnsi="Calibri Light" w:cs="Calibri Light"/>
        </w:rPr>
        <w:t xml:space="preserve">. https://dx.doi.org/10.1787/9789264174108-en  </w:t>
      </w:r>
    </w:p>
    <w:p w14:paraId="4EE9369D"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2012. </w:t>
      </w:r>
      <w:r w:rsidRPr="00F423A4">
        <w:rPr>
          <w:rFonts w:ascii="Calibri Light" w:hAnsi="Calibri Light" w:cs="Calibri Light"/>
          <w:i/>
          <w:iCs/>
        </w:rPr>
        <w:t>Thailand – Public financial management report 2012: improving service delivery</w:t>
      </w:r>
      <w:r w:rsidRPr="00F423A4">
        <w:rPr>
          <w:rFonts w:ascii="Calibri Light" w:hAnsi="Calibri Light" w:cs="Calibri Light"/>
        </w:rPr>
        <w:t>.</w:t>
      </w:r>
    </w:p>
    <w:p w14:paraId="63E1101B"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2016. </w:t>
      </w:r>
      <w:r w:rsidRPr="00F423A4">
        <w:rPr>
          <w:rFonts w:ascii="Calibri Light" w:hAnsi="Calibri Light" w:cs="Calibri Light"/>
          <w:i/>
          <w:iCs/>
        </w:rPr>
        <w:t>Thailand Systematic Country Diagnostic: Getting Back on Track - Reviving Growth and Securing Prosperity for All.</w:t>
      </w:r>
      <w:r w:rsidRPr="00F423A4">
        <w:rPr>
          <w:rFonts w:ascii="Calibri Light" w:hAnsi="Calibri Light" w:cs="Calibri Light"/>
        </w:rPr>
        <w:t xml:space="preserve"> World Bank, Washington, D.C.</w:t>
      </w:r>
    </w:p>
    <w:p w14:paraId="4C33CB4D"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2017. </w:t>
      </w:r>
      <w:r w:rsidRPr="00F423A4">
        <w:rPr>
          <w:rFonts w:ascii="Calibri Light" w:hAnsi="Calibri Light" w:cs="Calibri Light"/>
          <w:i/>
          <w:iCs/>
        </w:rPr>
        <w:t>Economic Inclusion of LGBTI Groups in Thailand.</w:t>
      </w:r>
    </w:p>
    <w:p w14:paraId="7A0B2D99"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2018. </w:t>
      </w:r>
      <w:r w:rsidRPr="00F423A4">
        <w:rPr>
          <w:rFonts w:ascii="Calibri Light" w:hAnsi="Calibri Light" w:cs="Calibri Light"/>
          <w:i/>
          <w:iCs/>
        </w:rPr>
        <w:t xml:space="preserve">World Development Report 2018: Learning to Realize Education's Promise. </w:t>
      </w:r>
      <w:r w:rsidRPr="00F423A4">
        <w:rPr>
          <w:rFonts w:ascii="Calibri Light" w:hAnsi="Calibri Light" w:cs="Calibri Light"/>
        </w:rPr>
        <w:t>World Bank, Washington, D.C.</w:t>
      </w:r>
    </w:p>
    <w:p w14:paraId="19E1449D"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World Bank. 2020. “</w:t>
      </w:r>
      <w:r w:rsidRPr="00F423A4">
        <w:rPr>
          <w:rFonts w:ascii="Calibri Light" w:hAnsi="Calibri Light" w:cs="Calibri Light"/>
          <w:i/>
        </w:rPr>
        <w:t>Thailand Manufacturing Firm Productivity Report</w:t>
      </w:r>
      <w:r w:rsidRPr="00F423A4">
        <w:rPr>
          <w:rFonts w:ascii="Calibri Light" w:hAnsi="Calibri Light" w:cs="Calibri Light"/>
        </w:rPr>
        <w:t xml:space="preserve">.” World Bank, Washington, DC: </w:t>
      </w:r>
      <w:hyperlink r:id="rId124" w:history="1">
        <w:r w:rsidRPr="00F423A4">
          <w:rPr>
            <w:rFonts w:ascii="Calibri Light" w:hAnsi="Calibri Light" w:cs="Calibri Light"/>
            <w:u w:val="single"/>
          </w:rPr>
          <w:t>https://openknowledge.worldbank.org/server/api/core/bitstreams/c99de724-a22c-558a-a3d9-48d42c0eda33/content</w:t>
        </w:r>
      </w:hyperlink>
    </w:p>
    <w:p w14:paraId="72120297"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lastRenderedPageBreak/>
        <w:t xml:space="preserve">World Bank Group. 2021a. </w:t>
      </w:r>
      <w:r w:rsidRPr="00F423A4">
        <w:rPr>
          <w:rFonts w:ascii="Calibri Light" w:hAnsi="Calibri Light" w:cs="Calibri Light"/>
          <w:i/>
          <w:iCs/>
        </w:rPr>
        <w:t>Aging and the Labor Market in Thailand.</w:t>
      </w:r>
    </w:p>
    <w:p w14:paraId="37FA469A"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2021b. </w:t>
      </w:r>
      <w:r w:rsidRPr="00F423A4">
        <w:rPr>
          <w:rFonts w:ascii="Calibri Light" w:hAnsi="Calibri Light" w:cs="Calibri Light"/>
          <w:i/>
        </w:rPr>
        <w:t xml:space="preserve">Towards Social Protection 4.0: </w:t>
      </w:r>
      <w:r w:rsidRPr="00F423A4">
        <w:rPr>
          <w:rFonts w:ascii="Calibri Light" w:hAnsi="Calibri Light" w:cs="Calibri Light"/>
          <w:i/>
          <w:iCs/>
        </w:rPr>
        <w:t>an Assessment</w:t>
      </w:r>
      <w:r w:rsidRPr="00F423A4">
        <w:rPr>
          <w:rFonts w:ascii="Calibri Light" w:hAnsi="Calibri Light" w:cs="Calibri Light"/>
          <w:i/>
        </w:rPr>
        <w:t xml:space="preserve"> of Thailand’s </w:t>
      </w:r>
      <w:r w:rsidRPr="00F423A4">
        <w:rPr>
          <w:rFonts w:ascii="Calibri Light" w:hAnsi="Calibri Light" w:cs="Calibri Light"/>
          <w:i/>
          <w:iCs/>
        </w:rPr>
        <w:t>Social Protection</w:t>
      </w:r>
      <w:r w:rsidRPr="00F423A4">
        <w:rPr>
          <w:rFonts w:ascii="Calibri Light" w:hAnsi="Calibri Light" w:cs="Calibri Light"/>
          <w:i/>
        </w:rPr>
        <w:t xml:space="preserve"> and </w:t>
      </w:r>
      <w:r w:rsidRPr="00F423A4">
        <w:rPr>
          <w:rFonts w:ascii="Calibri Light" w:hAnsi="Calibri Light" w:cs="Calibri Light"/>
          <w:i/>
          <w:iCs/>
        </w:rPr>
        <w:t>Labor Market Systems.</w:t>
      </w:r>
      <w:r w:rsidRPr="00F423A4">
        <w:rPr>
          <w:rFonts w:ascii="Calibri Light" w:hAnsi="Calibri Light" w:cs="Calibri Light"/>
        </w:rPr>
        <w:t xml:space="preserve"> </w:t>
      </w:r>
      <w:hyperlink r:id="rId125" w:history="1">
        <w:r w:rsidRPr="00F423A4">
          <w:rPr>
            <w:rFonts w:ascii="Calibri Light" w:hAnsi="Calibri Light" w:cs="Calibri Light"/>
            <w:u w:val="single"/>
          </w:rPr>
          <w:t>https://openknowledge.worldbank.org/handle/10986/35695</w:t>
        </w:r>
      </w:hyperlink>
    </w:p>
    <w:p w14:paraId="17736394" w14:textId="77777777" w:rsidR="004569E9" w:rsidRPr="00F423A4" w:rsidRDefault="004569E9" w:rsidP="004569E9">
      <w:pPr>
        <w:spacing w:after="120"/>
        <w:ind w:left="576" w:hanging="576"/>
        <w:rPr>
          <w:rFonts w:ascii="Calibri Light" w:hAnsi="Calibri Light" w:cs="Calibri Light"/>
          <w:u w:val="single"/>
        </w:rPr>
      </w:pPr>
      <w:r w:rsidRPr="00F423A4">
        <w:rPr>
          <w:rFonts w:ascii="Calibri Light" w:hAnsi="Calibri Light" w:cs="Calibri Light"/>
        </w:rPr>
        <w:t xml:space="preserve">World Bank. 2022b. </w:t>
      </w:r>
      <w:r w:rsidRPr="00F423A4">
        <w:rPr>
          <w:rFonts w:ascii="Calibri Light" w:hAnsi="Calibri Light" w:cs="Calibri Light"/>
          <w:i/>
        </w:rPr>
        <w:t xml:space="preserve">Thailand Economic Monitor: Building Back Greener: </w:t>
      </w:r>
      <w:proofErr w:type="gramStart"/>
      <w:r w:rsidRPr="00F423A4">
        <w:rPr>
          <w:rFonts w:ascii="Calibri Light" w:hAnsi="Calibri Light" w:cs="Calibri Light"/>
          <w:i/>
        </w:rPr>
        <w:t>the</w:t>
      </w:r>
      <w:proofErr w:type="gramEnd"/>
      <w:r w:rsidRPr="00F423A4">
        <w:rPr>
          <w:rFonts w:ascii="Calibri Light" w:hAnsi="Calibri Light" w:cs="Calibri Light"/>
          <w:i/>
        </w:rPr>
        <w:t xml:space="preserve"> Circular Economy</w:t>
      </w:r>
      <w:r w:rsidRPr="00F423A4">
        <w:rPr>
          <w:rFonts w:ascii="Calibri Light" w:hAnsi="Calibri Light" w:cs="Calibri Light"/>
        </w:rPr>
        <w:t xml:space="preserve">. World Bank, Bangkok: </w:t>
      </w:r>
      <w:hyperlink r:id="rId126" w:history="1">
        <w:r w:rsidRPr="00F423A4">
          <w:rPr>
            <w:rFonts w:ascii="Calibri Light" w:hAnsi="Calibri Light" w:cs="Calibri Light"/>
            <w:u w:val="single"/>
          </w:rPr>
          <w:t>https://documents1.worldbank.org/curated/en/099630006272216604/pdf/P1774810035ebf0f70b655077d3e195a99b.pdf</w:t>
        </w:r>
      </w:hyperlink>
    </w:p>
    <w:p w14:paraId="40BFF23E"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2022c. </w:t>
      </w:r>
      <w:r w:rsidRPr="00F423A4">
        <w:rPr>
          <w:rFonts w:ascii="Calibri Light" w:hAnsi="Calibri Light" w:cs="Calibri Light"/>
          <w:i/>
          <w:iCs/>
        </w:rPr>
        <w:t>Creating Markets in Thailand: Rebooting Productivity for Resilient Growth. Country Private Sector Diagnostic.</w:t>
      </w:r>
      <w:r w:rsidRPr="00F423A4">
        <w:rPr>
          <w:rFonts w:ascii="Calibri Light" w:hAnsi="Calibri Light" w:cs="Calibri Light"/>
        </w:rPr>
        <w:t xml:space="preserve"> World Bank, Washington, D.C.</w:t>
      </w:r>
    </w:p>
    <w:p w14:paraId="1EBD0752" w14:textId="1B2841B5"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2022d. </w:t>
      </w:r>
      <w:r w:rsidRPr="00F423A4">
        <w:rPr>
          <w:rFonts w:ascii="Calibri Light" w:hAnsi="Calibri Light" w:cs="Calibri Light"/>
          <w:i/>
        </w:rPr>
        <w:t>Thailand Economic Monitor: Fiscal Policy for a Resilient and Equitable Future</w:t>
      </w:r>
      <w:r w:rsidRPr="00F423A4">
        <w:rPr>
          <w:rFonts w:ascii="Calibri Light" w:hAnsi="Calibri Light" w:cs="Calibri Light"/>
        </w:rPr>
        <w:t>. World Bank, Washington, D</w:t>
      </w:r>
      <w:r>
        <w:rPr>
          <w:rFonts w:ascii="Calibri Light" w:hAnsi="Calibri Light" w:cs="Calibri Light"/>
        </w:rPr>
        <w:t>.</w:t>
      </w:r>
      <w:r w:rsidRPr="00F423A4">
        <w:rPr>
          <w:rFonts w:ascii="Calibri Light" w:hAnsi="Calibri Light" w:cs="Calibri Light"/>
        </w:rPr>
        <w:t>C. https://doi.org/10.1596/38410. </w:t>
      </w:r>
    </w:p>
    <w:p w14:paraId="54CEA39D"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2022e. </w:t>
      </w:r>
      <w:r w:rsidRPr="00F423A4">
        <w:rPr>
          <w:rFonts w:ascii="Calibri Light" w:hAnsi="Calibri Light" w:cs="Calibri Light"/>
          <w:i/>
          <w:iCs/>
        </w:rPr>
        <w:t>Thailand Rural Income Diagnostic.</w:t>
      </w:r>
      <w:r w:rsidRPr="00F423A4">
        <w:rPr>
          <w:rFonts w:ascii="Calibri Light" w:hAnsi="Calibri Light" w:cs="Calibri Light"/>
        </w:rPr>
        <w:t xml:space="preserve"> World Bank, Washington, D.C.</w:t>
      </w:r>
    </w:p>
    <w:p w14:paraId="16679B2D" w14:textId="5957111C"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2023a. </w:t>
      </w:r>
      <w:r w:rsidRPr="00F423A4">
        <w:rPr>
          <w:rFonts w:ascii="Calibri Light" w:hAnsi="Calibri Light" w:cs="Calibri Light"/>
          <w:i/>
        </w:rPr>
        <w:t>Global Economic Prospects</w:t>
      </w:r>
      <w:r w:rsidRPr="00F423A4">
        <w:rPr>
          <w:rFonts w:ascii="Calibri Light" w:hAnsi="Calibri Light" w:cs="Calibri Light"/>
        </w:rPr>
        <w:t>. June 2023. World Bank, Washington, D</w:t>
      </w:r>
      <w:r>
        <w:rPr>
          <w:rFonts w:ascii="Calibri Light" w:hAnsi="Calibri Light" w:cs="Calibri Light"/>
        </w:rPr>
        <w:t>.</w:t>
      </w:r>
      <w:r w:rsidRPr="00F423A4">
        <w:rPr>
          <w:rFonts w:ascii="Calibri Light" w:hAnsi="Calibri Light" w:cs="Calibri Light"/>
        </w:rPr>
        <w:t>C.</w:t>
      </w:r>
    </w:p>
    <w:p w14:paraId="1FB8B85C" w14:textId="4288971B"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2023b. </w:t>
      </w:r>
      <w:r w:rsidRPr="00F423A4">
        <w:rPr>
          <w:rFonts w:ascii="Calibri Light" w:hAnsi="Calibri Light" w:cs="Calibri Light"/>
          <w:i/>
          <w:iCs/>
        </w:rPr>
        <w:t>East Asia and Pacific Region Economic Update</w:t>
      </w:r>
      <w:r w:rsidRPr="00F423A4">
        <w:rPr>
          <w:rFonts w:ascii="Calibri Light" w:hAnsi="Calibri Light" w:cs="Calibri Light"/>
        </w:rPr>
        <w:t>. April 2023.</w:t>
      </w:r>
      <w:r>
        <w:rPr>
          <w:rFonts w:ascii="Calibri Light" w:hAnsi="Calibri Light" w:cs="Calibri Light"/>
        </w:rPr>
        <w:t xml:space="preserve"> </w:t>
      </w:r>
      <w:r w:rsidRPr="00F423A4">
        <w:rPr>
          <w:rFonts w:ascii="Calibri Light" w:hAnsi="Calibri Light" w:cs="Calibri Light"/>
        </w:rPr>
        <w:t>World Bank, Washington, D.C.</w:t>
      </w:r>
    </w:p>
    <w:p w14:paraId="0C855EF1"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2023c. </w:t>
      </w:r>
      <w:r w:rsidRPr="00F423A4">
        <w:rPr>
          <w:rFonts w:ascii="Calibri Light" w:hAnsi="Calibri Light" w:cs="Calibri Light"/>
          <w:i/>
          <w:iCs/>
        </w:rPr>
        <w:t>Falling Long-Term Growth Prospects: Trends, Expectations, and Policies.</w:t>
      </w:r>
      <w:r w:rsidRPr="00F423A4">
        <w:rPr>
          <w:rFonts w:ascii="Calibri Light" w:hAnsi="Calibri Light" w:cs="Calibri Light"/>
        </w:rPr>
        <w:t xml:space="preserve"> World Bank, Washington, D.C.</w:t>
      </w:r>
    </w:p>
    <w:p w14:paraId="7397FBE5" w14:textId="7777777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2023d. </w:t>
      </w:r>
      <w:r w:rsidRPr="00F423A4">
        <w:rPr>
          <w:rFonts w:ascii="Calibri Light" w:hAnsi="Calibri Light" w:cs="Calibri Light"/>
          <w:i/>
          <w:iCs/>
        </w:rPr>
        <w:t>Thailand Public Revenue and Spending Assessment: Promoting an Inclusive and Sustainable Future.</w:t>
      </w:r>
      <w:r w:rsidRPr="00F423A4">
        <w:rPr>
          <w:rFonts w:ascii="Calibri Light" w:hAnsi="Calibri Light" w:cs="Calibri Light"/>
        </w:rPr>
        <w:t xml:space="preserve"> World Bank, Bangkok.</w:t>
      </w:r>
    </w:p>
    <w:p w14:paraId="28A770CF" w14:textId="50393917"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2023e. </w:t>
      </w:r>
      <w:r w:rsidRPr="00F423A4">
        <w:rPr>
          <w:rFonts w:ascii="Calibri Light" w:hAnsi="Calibri Light" w:cs="Calibri Light"/>
          <w:i/>
        </w:rPr>
        <w:t>Global Economic Prospects</w:t>
      </w:r>
      <w:r w:rsidRPr="00F423A4">
        <w:rPr>
          <w:rFonts w:ascii="Calibri Light" w:hAnsi="Calibri Light" w:cs="Calibri Light"/>
        </w:rPr>
        <w:t>. January 2023. World Bank, Washington, D</w:t>
      </w:r>
      <w:r>
        <w:rPr>
          <w:rFonts w:ascii="Calibri Light" w:hAnsi="Calibri Light" w:cs="Calibri Light"/>
        </w:rPr>
        <w:t>.</w:t>
      </w:r>
      <w:r w:rsidRPr="00F423A4">
        <w:rPr>
          <w:rFonts w:ascii="Calibri Light" w:hAnsi="Calibri Light" w:cs="Calibri Light"/>
        </w:rPr>
        <w:t>C.</w:t>
      </w:r>
    </w:p>
    <w:p w14:paraId="3A9F8F57" w14:textId="3793611A" w:rsidR="004569E9" w:rsidRPr="00F423A4" w:rsidRDefault="004569E9" w:rsidP="004569E9">
      <w:pPr>
        <w:spacing w:after="120"/>
        <w:ind w:left="576" w:hanging="576"/>
        <w:rPr>
          <w:rFonts w:ascii="Calibri Light" w:hAnsi="Calibri Light" w:cs="Calibri Light"/>
        </w:rPr>
      </w:pPr>
      <w:r w:rsidRPr="00F423A4">
        <w:rPr>
          <w:rFonts w:ascii="Calibri Light" w:hAnsi="Calibri Light" w:cs="Calibri Light"/>
        </w:rPr>
        <w:t xml:space="preserve">World Bank. 2023f. </w:t>
      </w:r>
      <w:r w:rsidRPr="00F423A4">
        <w:rPr>
          <w:rFonts w:ascii="Calibri Light" w:hAnsi="Calibri Light" w:cs="Calibri Light"/>
          <w:i/>
          <w:iCs/>
        </w:rPr>
        <w:t>Bridging the Gap: Inequality and Jobs in Thailand.</w:t>
      </w:r>
      <w:r w:rsidRPr="00F423A4">
        <w:rPr>
          <w:rFonts w:ascii="Calibri Light" w:hAnsi="Calibri Light" w:cs="Calibri Light"/>
        </w:rPr>
        <w:t xml:space="preserve"> World Bank, Washington, D</w:t>
      </w:r>
      <w:r>
        <w:rPr>
          <w:rFonts w:ascii="Calibri Light" w:hAnsi="Calibri Light" w:cs="Calibri Light"/>
        </w:rPr>
        <w:t>.</w:t>
      </w:r>
      <w:r w:rsidRPr="00F423A4">
        <w:rPr>
          <w:rFonts w:ascii="Calibri Light" w:hAnsi="Calibri Light" w:cs="Calibri Light"/>
        </w:rPr>
        <w:t>C.</w:t>
      </w:r>
    </w:p>
    <w:p w14:paraId="099206B0" w14:textId="77777777" w:rsidR="00CE5E2F" w:rsidRPr="004F2632" w:rsidRDefault="00CE5E2F" w:rsidP="007F5670">
      <w:pPr>
        <w:spacing w:after="120" w:line="240" w:lineRule="auto"/>
        <w:ind w:left="576" w:hanging="576"/>
        <w:rPr>
          <w:rFonts w:asciiTheme="majorHAnsi" w:hAnsiTheme="majorHAnsi" w:cstheme="majorHAnsi"/>
        </w:rPr>
      </w:pPr>
    </w:p>
    <w:sectPr w:rsidR="00CE5E2F" w:rsidRPr="004F2632" w:rsidSect="0050341E">
      <w:headerReference w:type="default" r:id="rId127"/>
      <w:headerReference w:type="first" r:id="rId1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94A50" w14:textId="77777777" w:rsidR="0050341E" w:rsidRDefault="0050341E" w:rsidP="008972EA">
      <w:pPr>
        <w:spacing w:after="0" w:line="240" w:lineRule="auto"/>
      </w:pPr>
      <w:r>
        <w:separator/>
      </w:r>
    </w:p>
  </w:endnote>
  <w:endnote w:type="continuationSeparator" w:id="0">
    <w:p w14:paraId="43BED266" w14:textId="77777777" w:rsidR="0050341E" w:rsidRDefault="0050341E" w:rsidP="008972EA">
      <w:pPr>
        <w:spacing w:after="0" w:line="240" w:lineRule="auto"/>
      </w:pPr>
      <w:r>
        <w:continuationSeparator/>
      </w:r>
    </w:p>
  </w:endnote>
  <w:endnote w:type="continuationNotice" w:id="1">
    <w:p w14:paraId="5EB29CFF" w14:textId="77777777" w:rsidR="0050341E" w:rsidRDefault="005034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Helvetica 55 Roman">
    <w:altName w:val="Arial"/>
    <w:panose1 w:val="00000000000000000000"/>
    <w:charset w:val="00"/>
    <w:family w:val="auto"/>
    <w:notTrueType/>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238668"/>
      <w:docPartObj>
        <w:docPartGallery w:val="Page Numbers (Bottom of Page)"/>
        <w:docPartUnique/>
      </w:docPartObj>
    </w:sdtPr>
    <w:sdtEndPr>
      <w:rPr>
        <w:noProof/>
      </w:rPr>
    </w:sdtEndPr>
    <w:sdtContent>
      <w:p w14:paraId="46BC6A83" w14:textId="4FEB865A" w:rsidR="00E042F7" w:rsidRDefault="00E042F7">
        <w:pPr>
          <w:pStyle w:val="Footer"/>
          <w:jc w:val="center"/>
        </w:pPr>
        <w:r>
          <w:fldChar w:fldCharType="begin"/>
        </w:r>
        <w:r>
          <w:instrText xml:space="preserve"> PAGE   \* MERGEFORMAT </w:instrText>
        </w:r>
        <w:r>
          <w:fldChar w:fldCharType="separate"/>
        </w:r>
        <w:r w:rsidR="00017C10">
          <w:rPr>
            <w:noProof/>
          </w:rPr>
          <w:t>2</w:t>
        </w:r>
        <w:r>
          <w:rPr>
            <w:noProof/>
          </w:rPr>
          <w:fldChar w:fldCharType="end"/>
        </w:r>
      </w:p>
    </w:sdtContent>
  </w:sdt>
  <w:p w14:paraId="52663407" w14:textId="77777777" w:rsidR="00E042F7" w:rsidRPr="00500222" w:rsidRDefault="00E042F7" w:rsidP="0050022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044413"/>
      <w:docPartObj>
        <w:docPartGallery w:val="Page Numbers (Bottom of Page)"/>
        <w:docPartUnique/>
      </w:docPartObj>
    </w:sdtPr>
    <w:sdtEndPr>
      <w:rPr>
        <w:noProof/>
      </w:rPr>
    </w:sdtEndPr>
    <w:sdtContent>
      <w:p w14:paraId="5A004A63" w14:textId="2A499B50" w:rsidR="00E042F7" w:rsidRDefault="002278B9" w:rsidP="00863D57">
        <w:pPr>
          <w:pStyle w:val="Footer"/>
          <w:jc w:val="center"/>
        </w:pPr>
        <w:r>
          <w:fldChar w:fldCharType="begin"/>
        </w:r>
        <w:r>
          <w:instrText xml:space="preserve"> PAGE   \* MERGEFORMAT </w:instrText>
        </w:r>
        <w:r>
          <w:fldChar w:fldCharType="separate"/>
        </w:r>
        <w:r w:rsidR="00017C1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4D18D" w14:textId="77777777" w:rsidR="0050341E" w:rsidRDefault="0050341E" w:rsidP="008972EA">
      <w:pPr>
        <w:spacing w:after="0" w:line="240" w:lineRule="auto"/>
      </w:pPr>
      <w:r>
        <w:separator/>
      </w:r>
    </w:p>
  </w:footnote>
  <w:footnote w:type="continuationSeparator" w:id="0">
    <w:p w14:paraId="5DDDE3E5" w14:textId="77777777" w:rsidR="0050341E" w:rsidRDefault="0050341E" w:rsidP="008972EA">
      <w:pPr>
        <w:spacing w:after="0" w:line="240" w:lineRule="auto"/>
      </w:pPr>
      <w:r>
        <w:continuationSeparator/>
      </w:r>
    </w:p>
  </w:footnote>
  <w:footnote w:type="continuationNotice" w:id="1">
    <w:p w14:paraId="610F88A6" w14:textId="77777777" w:rsidR="0050341E" w:rsidRDefault="0050341E">
      <w:pPr>
        <w:spacing w:after="0" w:line="240" w:lineRule="auto"/>
      </w:pPr>
    </w:p>
  </w:footnote>
  <w:footnote w:id="2">
    <w:p w14:paraId="0C29134D" w14:textId="71E2D4F0" w:rsidR="00E042F7" w:rsidRPr="009B7B2B" w:rsidRDefault="00E042F7" w:rsidP="008450DD">
      <w:pPr>
        <w:pStyle w:val="FootnoteText"/>
        <w:spacing w:after="40"/>
        <w:jc w:val="both"/>
        <w:rPr>
          <w:rFonts w:asciiTheme="majorHAnsi" w:hAnsiTheme="majorHAnsi" w:cstheme="majorHAnsi"/>
          <w:sz w:val="18"/>
          <w:szCs w:val="18"/>
        </w:rPr>
      </w:pPr>
      <w:r w:rsidRPr="009B7B2B">
        <w:rPr>
          <w:rStyle w:val="FootnoteReference"/>
          <w:rFonts w:asciiTheme="majorHAnsi" w:hAnsiTheme="majorHAnsi" w:cstheme="majorHAnsi"/>
          <w:szCs w:val="18"/>
          <w:vertAlign w:val="superscript"/>
        </w:rPr>
        <w:footnoteRef/>
      </w:r>
      <w:r w:rsidRPr="009B7B2B">
        <w:rPr>
          <w:rFonts w:asciiTheme="majorHAnsi" w:hAnsiTheme="majorHAnsi" w:cstheme="majorHAnsi"/>
          <w:sz w:val="18"/>
          <w:szCs w:val="18"/>
          <w:vertAlign w:val="superscript"/>
        </w:rPr>
        <w:t xml:space="preserve"> </w:t>
      </w:r>
      <w:r w:rsidRPr="009B7B2B">
        <w:rPr>
          <w:rFonts w:asciiTheme="majorHAnsi" w:hAnsiTheme="majorHAnsi" w:cstheme="majorHAnsi"/>
          <w:sz w:val="18"/>
          <w:szCs w:val="18"/>
        </w:rPr>
        <w:t>Lower marginal capital to output ratio indicates a more efficient allocation of capital to higher quality projects. The marginal capital to output ratio for public investment in Thailand is now higher than most of Thailand’s peer countries, which can be partially explained by Thailand’s relatively high public capital stock, as additional projects would be expected to have lower marginal returns. Nevertheless, Thailand’s ratio is higher than China and Uruguay</w:t>
      </w:r>
      <w:r>
        <w:rPr>
          <w:rFonts w:asciiTheme="majorHAnsi" w:hAnsiTheme="majorHAnsi" w:cstheme="majorHAnsi"/>
          <w:sz w:val="18"/>
          <w:szCs w:val="18"/>
        </w:rPr>
        <w:t>—</w:t>
      </w:r>
      <w:r w:rsidRPr="009B7B2B">
        <w:rPr>
          <w:rFonts w:asciiTheme="majorHAnsi" w:hAnsiTheme="majorHAnsi" w:cstheme="majorHAnsi"/>
          <w:sz w:val="18"/>
          <w:szCs w:val="18"/>
        </w:rPr>
        <w:t>countries that also have a high level of public capital stock relative to their level of development in</w:t>
      </w:r>
      <w:r>
        <w:rPr>
          <w:rFonts w:asciiTheme="majorHAnsi" w:hAnsiTheme="majorHAnsi" w:cstheme="majorHAnsi"/>
          <w:sz w:val="18"/>
          <w:szCs w:val="18"/>
        </w:rPr>
        <w:t>—</w:t>
      </w:r>
      <w:r w:rsidRPr="009B7B2B">
        <w:rPr>
          <w:rFonts w:asciiTheme="majorHAnsi" w:hAnsiTheme="majorHAnsi" w:cstheme="majorHAnsi"/>
          <w:sz w:val="18"/>
          <w:szCs w:val="18"/>
        </w:rPr>
        <w:t>suggesting that there is space to improve the efficiency of public capital allocation.</w:t>
      </w:r>
    </w:p>
  </w:footnote>
  <w:footnote w:id="3">
    <w:p w14:paraId="2345AB43" w14:textId="77777777" w:rsidR="00E042F7" w:rsidRPr="009B7B2B" w:rsidRDefault="00E042F7" w:rsidP="00623176">
      <w:pPr>
        <w:pStyle w:val="FootnoteText"/>
        <w:spacing w:after="40"/>
        <w:jc w:val="both"/>
        <w:rPr>
          <w:rFonts w:asciiTheme="majorHAnsi" w:hAnsiTheme="majorHAnsi" w:cstheme="majorHAnsi"/>
          <w:sz w:val="18"/>
          <w:szCs w:val="18"/>
        </w:rPr>
      </w:pPr>
      <w:r w:rsidRPr="009B7B2B">
        <w:rPr>
          <w:rStyle w:val="FootnoteReference"/>
          <w:rFonts w:asciiTheme="majorHAnsi" w:hAnsiTheme="majorHAnsi" w:cstheme="majorHAnsi"/>
          <w:szCs w:val="18"/>
          <w:vertAlign w:val="superscript"/>
        </w:rPr>
        <w:footnoteRef/>
      </w:r>
      <w:r w:rsidRPr="009B7B2B">
        <w:rPr>
          <w:rFonts w:asciiTheme="majorHAnsi" w:hAnsiTheme="majorHAnsi" w:cstheme="majorHAnsi"/>
          <w:sz w:val="18"/>
          <w:szCs w:val="18"/>
        </w:rPr>
        <w:t xml:space="preserve"> There is a backlog of water sector infrastructure projects. These projects seem to be mostly financed by Government funds, so financing is limited resulting in long delays or piecemeal implementation. Sector reform to adequately cost and price water services is needed coupled with establishing creditworthy utilities/SOEs/municipalities.</w:t>
      </w:r>
    </w:p>
  </w:footnote>
  <w:footnote w:id="4">
    <w:p w14:paraId="1A468A2C" w14:textId="148BEAF7" w:rsidR="00E042F7" w:rsidRPr="009B7B2B" w:rsidRDefault="00E042F7" w:rsidP="008450DD">
      <w:pPr>
        <w:pStyle w:val="FootnoteText"/>
        <w:spacing w:after="40"/>
        <w:jc w:val="both"/>
        <w:rPr>
          <w:rFonts w:asciiTheme="majorHAnsi" w:hAnsiTheme="majorHAnsi" w:cstheme="majorHAnsi"/>
          <w:sz w:val="18"/>
          <w:szCs w:val="18"/>
        </w:rPr>
      </w:pPr>
      <w:r w:rsidRPr="009B7B2B">
        <w:rPr>
          <w:rStyle w:val="FootnoteReference"/>
          <w:rFonts w:asciiTheme="majorHAnsi" w:hAnsiTheme="majorHAnsi" w:cstheme="majorHAnsi"/>
          <w:szCs w:val="18"/>
          <w:vertAlign w:val="superscript"/>
        </w:rPr>
        <w:footnoteRef/>
      </w:r>
      <w:r w:rsidRPr="009B7B2B">
        <w:rPr>
          <w:rFonts w:asciiTheme="majorHAnsi" w:hAnsiTheme="majorHAnsi" w:cstheme="majorHAnsi"/>
          <w:sz w:val="18"/>
          <w:szCs w:val="18"/>
        </w:rPr>
        <w:t xml:space="preserve"> FTAs under discussion include Bay of Bengal Initiative for Multi-Sectoral Technical and Economic Corporation (BIMSTEC) FTA, Thailand-European Free Trade Association (EFTA), Thailand-European Union FTA, Thailand-Pakistan FTA, Thailand-Sri-Lanka FTA, Thailand-</w:t>
      </w:r>
      <w:r w:rsidR="000F1951" w:rsidRPr="000F1951">
        <w:rPr>
          <w:rFonts w:ascii="Arial" w:hAnsi="Arial" w:cs="Arial"/>
          <w:color w:val="202124"/>
          <w:sz w:val="30"/>
          <w:szCs w:val="30"/>
          <w:shd w:val="clear" w:color="auto" w:fill="FFFFFF"/>
        </w:rPr>
        <w:t xml:space="preserve"> </w:t>
      </w:r>
      <w:r w:rsidR="000F1951" w:rsidRPr="000F1951">
        <w:rPr>
          <w:rFonts w:asciiTheme="majorHAnsi" w:hAnsiTheme="majorHAnsi" w:cstheme="majorHAnsi"/>
          <w:sz w:val="18"/>
          <w:szCs w:val="18"/>
        </w:rPr>
        <w:t>Türkiye</w:t>
      </w:r>
      <w:r w:rsidRPr="009B7B2B">
        <w:rPr>
          <w:rFonts w:asciiTheme="majorHAnsi" w:hAnsiTheme="majorHAnsi" w:cstheme="majorHAnsi"/>
          <w:sz w:val="18"/>
          <w:szCs w:val="18"/>
        </w:rPr>
        <w:t xml:space="preserve"> FTA, and ASEAN-Canada FTA.</w:t>
      </w:r>
    </w:p>
  </w:footnote>
  <w:footnote w:id="5">
    <w:p w14:paraId="71952712" w14:textId="70F896EE" w:rsidR="00E042F7" w:rsidRPr="00A71F3C" w:rsidRDefault="00E042F7" w:rsidP="009C41D1">
      <w:pPr>
        <w:pStyle w:val="FootnoteText"/>
        <w:rPr>
          <w:rFonts w:ascii="Times New Roman" w:hAnsi="Times New Roman" w:cs="Times New Roman"/>
        </w:rPr>
      </w:pPr>
      <w:r w:rsidRPr="009F1DB5">
        <w:rPr>
          <w:rFonts w:asciiTheme="majorHAnsi" w:hAnsiTheme="majorHAnsi" w:cstheme="majorHAnsi"/>
          <w:szCs w:val="18"/>
          <w:vertAlign w:val="superscript"/>
        </w:rPr>
        <w:footnoteRef/>
      </w:r>
      <w:r w:rsidRPr="00B41281">
        <w:rPr>
          <w:rFonts w:asciiTheme="majorHAnsi" w:hAnsiTheme="majorHAnsi" w:cstheme="majorHAnsi"/>
          <w:sz w:val="18"/>
          <w:szCs w:val="18"/>
        </w:rPr>
        <w:t xml:space="preserve"> World Bank</w:t>
      </w:r>
      <w:r>
        <w:rPr>
          <w:rFonts w:asciiTheme="majorHAnsi" w:hAnsiTheme="majorHAnsi" w:cstheme="majorHAnsi"/>
          <w:sz w:val="18"/>
          <w:szCs w:val="18"/>
        </w:rPr>
        <w:t>.</w:t>
      </w:r>
      <w:r w:rsidRPr="00B41281">
        <w:rPr>
          <w:rFonts w:asciiTheme="majorHAnsi" w:hAnsiTheme="majorHAnsi" w:cstheme="majorHAnsi"/>
          <w:sz w:val="18"/>
          <w:szCs w:val="18"/>
        </w:rPr>
        <w:t xml:space="preserve"> (2022). Thailand Rural Income Diagnostic: Challenges and opportunities for Rural farmers. World Bank, Bangkok.</w:t>
      </w:r>
    </w:p>
  </w:footnote>
  <w:footnote w:id="6">
    <w:p w14:paraId="0208E337" w14:textId="20A4D75F" w:rsidR="00E042F7" w:rsidRPr="003C7FB2" w:rsidRDefault="00E042F7" w:rsidP="009C41D1">
      <w:pPr>
        <w:pStyle w:val="FootnoteText"/>
        <w:jc w:val="both"/>
        <w:rPr>
          <w:rFonts w:ascii="Times New Roman" w:hAnsi="Times New Roman" w:cs="Times New Roman"/>
          <w:sz w:val="18"/>
          <w:szCs w:val="18"/>
        </w:rPr>
      </w:pPr>
      <w:r w:rsidRPr="009F1DB5">
        <w:rPr>
          <w:rFonts w:asciiTheme="majorHAnsi" w:hAnsiTheme="majorHAnsi" w:cstheme="majorHAnsi"/>
          <w:szCs w:val="18"/>
          <w:vertAlign w:val="superscript"/>
        </w:rPr>
        <w:footnoteRef/>
      </w:r>
      <w:r w:rsidRPr="009F1DB5">
        <w:rPr>
          <w:rFonts w:asciiTheme="majorHAnsi" w:hAnsiTheme="majorHAnsi" w:cstheme="majorHAnsi"/>
          <w:sz w:val="18"/>
          <w:szCs w:val="18"/>
        </w:rPr>
        <w:t xml:space="preserve"> World Bank</w:t>
      </w:r>
      <w:r>
        <w:rPr>
          <w:rFonts w:asciiTheme="majorHAnsi" w:hAnsiTheme="majorHAnsi" w:cstheme="majorHAnsi"/>
          <w:sz w:val="18"/>
          <w:szCs w:val="18"/>
        </w:rPr>
        <w:t>.</w:t>
      </w:r>
      <w:r w:rsidRPr="009F1DB5">
        <w:rPr>
          <w:rFonts w:asciiTheme="majorHAnsi" w:hAnsiTheme="majorHAnsi" w:cstheme="majorHAnsi"/>
          <w:sz w:val="18"/>
          <w:szCs w:val="18"/>
        </w:rPr>
        <w:t xml:space="preserve"> (2021)</w:t>
      </w:r>
      <w:r>
        <w:rPr>
          <w:rFonts w:asciiTheme="majorHAnsi" w:hAnsiTheme="majorHAnsi" w:cstheme="majorHAnsi"/>
          <w:sz w:val="18"/>
          <w:szCs w:val="18"/>
        </w:rPr>
        <w:t>.</w:t>
      </w:r>
      <w:r w:rsidRPr="009F1DB5">
        <w:rPr>
          <w:rFonts w:asciiTheme="majorHAnsi" w:hAnsiTheme="majorHAnsi" w:cstheme="majorHAnsi"/>
          <w:sz w:val="18"/>
          <w:szCs w:val="18"/>
        </w:rPr>
        <w:t xml:space="preserve"> Toward Social Protection 4.0: An assessment of Thailand’s Social Protection and Labor Market Systems.</w:t>
      </w:r>
    </w:p>
  </w:footnote>
  <w:footnote w:id="7">
    <w:p w14:paraId="6101BB60" w14:textId="77777777" w:rsidR="00E042F7" w:rsidRPr="009F1DB5" w:rsidRDefault="00E042F7" w:rsidP="00A27833">
      <w:pPr>
        <w:pStyle w:val="FootnoteText"/>
        <w:rPr>
          <w:rFonts w:asciiTheme="majorHAnsi" w:hAnsiTheme="majorHAnsi" w:cstheme="majorHAnsi"/>
          <w:sz w:val="18"/>
          <w:szCs w:val="18"/>
        </w:rPr>
      </w:pPr>
      <w:r w:rsidRPr="009F1DB5">
        <w:rPr>
          <w:rFonts w:asciiTheme="majorHAnsi" w:hAnsiTheme="majorHAnsi" w:cstheme="majorHAnsi"/>
          <w:szCs w:val="18"/>
          <w:vertAlign w:val="superscript"/>
        </w:rPr>
        <w:footnoteRef/>
      </w:r>
      <w:r w:rsidRPr="009F1DB5">
        <w:rPr>
          <w:rFonts w:asciiTheme="majorHAnsi" w:hAnsiTheme="majorHAnsi" w:cstheme="majorHAnsi"/>
          <w:sz w:val="18"/>
          <w:szCs w:val="18"/>
        </w:rPr>
        <w:t xml:space="preserve"> World Bank (forthcoming). Thailand Inclusion and Jobs Report. </w:t>
      </w:r>
    </w:p>
  </w:footnote>
  <w:footnote w:id="8">
    <w:p w14:paraId="13561F14" w14:textId="77777777" w:rsidR="00E042F7" w:rsidRPr="009F1DB5" w:rsidRDefault="00E042F7" w:rsidP="009C41D1">
      <w:pPr>
        <w:pStyle w:val="FootnoteText"/>
        <w:rPr>
          <w:rFonts w:asciiTheme="majorHAnsi" w:hAnsiTheme="majorHAnsi" w:cstheme="majorHAnsi"/>
          <w:sz w:val="18"/>
          <w:szCs w:val="18"/>
        </w:rPr>
      </w:pPr>
      <w:r w:rsidRPr="006D34FF">
        <w:rPr>
          <w:rFonts w:asciiTheme="majorHAnsi" w:hAnsiTheme="majorHAnsi" w:cstheme="majorHAnsi"/>
          <w:vertAlign w:val="superscript"/>
        </w:rPr>
        <w:footnoteRef/>
      </w:r>
      <w:r w:rsidRPr="009F1DB5">
        <w:rPr>
          <w:rFonts w:asciiTheme="majorHAnsi" w:hAnsiTheme="majorHAnsi" w:cstheme="majorHAnsi"/>
          <w:sz w:val="18"/>
          <w:szCs w:val="18"/>
        </w:rPr>
        <w:t xml:space="preserve"> See Annex 4 for more details of each group.</w:t>
      </w:r>
    </w:p>
  </w:footnote>
  <w:footnote w:id="9">
    <w:p w14:paraId="69F2F61D" w14:textId="77777777" w:rsidR="00E042F7" w:rsidRPr="009F1DB5" w:rsidRDefault="00E042F7" w:rsidP="009C41D1">
      <w:pPr>
        <w:pStyle w:val="FootnoteText"/>
        <w:rPr>
          <w:rFonts w:asciiTheme="majorHAnsi" w:hAnsiTheme="majorHAnsi" w:cstheme="majorHAnsi"/>
          <w:sz w:val="18"/>
          <w:szCs w:val="18"/>
        </w:rPr>
      </w:pPr>
      <w:r w:rsidRPr="006D34FF">
        <w:rPr>
          <w:rFonts w:asciiTheme="majorHAnsi" w:hAnsiTheme="majorHAnsi" w:cstheme="majorHAnsi"/>
          <w:vertAlign w:val="superscript"/>
        </w:rPr>
        <w:footnoteRef/>
      </w:r>
      <w:r w:rsidRPr="006D34FF">
        <w:rPr>
          <w:rFonts w:asciiTheme="majorHAnsi" w:hAnsiTheme="majorHAnsi" w:cstheme="majorHAnsi"/>
          <w:sz w:val="18"/>
          <w:szCs w:val="18"/>
          <w:vertAlign w:val="superscript"/>
        </w:rPr>
        <w:t xml:space="preserve"> </w:t>
      </w:r>
      <w:r w:rsidRPr="009F1DB5">
        <w:rPr>
          <w:rFonts w:asciiTheme="majorHAnsi" w:hAnsiTheme="majorHAnsi" w:cstheme="majorHAnsi"/>
          <w:sz w:val="18"/>
          <w:szCs w:val="18"/>
        </w:rPr>
        <w:t>USAID’s 2022-2030 Climate Strategy.</w:t>
      </w:r>
    </w:p>
  </w:footnote>
  <w:footnote w:id="10">
    <w:p w14:paraId="28D8AB0D" w14:textId="77777777" w:rsidR="00E042F7" w:rsidRPr="004D608F" w:rsidRDefault="00E042F7" w:rsidP="009C41D1">
      <w:pPr>
        <w:pStyle w:val="FootnoteText"/>
        <w:jc w:val="both"/>
        <w:rPr>
          <w:rFonts w:ascii="Times New Roman" w:hAnsi="Times New Roman" w:cs="Times New Roman"/>
          <w:sz w:val="18"/>
          <w:szCs w:val="18"/>
        </w:rPr>
      </w:pPr>
      <w:r w:rsidRPr="001B103B">
        <w:rPr>
          <w:rFonts w:asciiTheme="majorHAnsi" w:hAnsiTheme="majorHAnsi" w:cstheme="majorHAnsi"/>
          <w:vertAlign w:val="superscript"/>
        </w:rPr>
        <w:footnoteRef/>
      </w:r>
      <w:r w:rsidRPr="009F1DB5">
        <w:rPr>
          <w:rFonts w:asciiTheme="majorHAnsi" w:hAnsiTheme="majorHAnsi" w:cstheme="majorHAnsi"/>
          <w:sz w:val="18"/>
          <w:szCs w:val="18"/>
        </w:rPr>
        <w:t xml:space="preserve"> World Bank (2012) and World Bank (2022). “Institutional Strengthening for Improved Service Delivery at the Village Level”</w:t>
      </w:r>
    </w:p>
  </w:footnote>
  <w:footnote w:id="11">
    <w:p w14:paraId="3C6D7A04" w14:textId="77777777" w:rsidR="00E042F7" w:rsidRPr="00DF3CD3" w:rsidRDefault="00E042F7" w:rsidP="009C41D1">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vertAlign w:val="superscript"/>
        </w:rPr>
        <w:t xml:space="preserve"> </w:t>
      </w:r>
      <w:r w:rsidRPr="00DF3CD3">
        <w:rPr>
          <w:rFonts w:asciiTheme="majorHAnsi" w:hAnsiTheme="majorHAnsi" w:cstheme="majorHAnsi"/>
          <w:sz w:val="18"/>
          <w:szCs w:val="18"/>
        </w:rPr>
        <w:t>The terms “indigenous peoples” and “ethnic groups” are found to be used interchangeably in several documents.</w:t>
      </w:r>
    </w:p>
  </w:footnote>
  <w:footnote w:id="12">
    <w:p w14:paraId="4EEEB661" w14:textId="77777777" w:rsidR="00E042F7" w:rsidRPr="00DF3CD3" w:rsidRDefault="00E042F7" w:rsidP="009C41D1">
      <w:pPr>
        <w:spacing w:after="40" w:line="240" w:lineRule="auto"/>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rPr>
        <w:t xml:space="preserve"> </w:t>
      </w:r>
      <w:hyperlink r:id="rId1" w:history="1">
        <w:r w:rsidRPr="00DF3CD3">
          <w:rPr>
            <w:rStyle w:val="Hyperlink"/>
            <w:rFonts w:asciiTheme="majorHAnsi" w:hAnsiTheme="majorHAnsi" w:cstheme="majorHAnsi"/>
            <w:sz w:val="18"/>
            <w:szCs w:val="18"/>
          </w:rPr>
          <w:t>https://www.m-society.go.th/ewtadmin/ewt/mso_web/download/article/article_</w:t>
        </w:r>
        <w:r w:rsidRPr="00DF3CD3">
          <w:rPr>
            <w:rStyle w:val="Hyperlink"/>
            <w:rFonts w:asciiTheme="majorHAnsi" w:hAnsiTheme="majorHAnsi" w:cstheme="majorHAnsi"/>
            <w:sz w:val="18"/>
            <w:szCs w:val="18"/>
            <w:rtl/>
          </w:rPr>
          <w:t>20131226180929.</w:t>
        </w:r>
        <w:r w:rsidRPr="00DF3CD3">
          <w:rPr>
            <w:rStyle w:val="Hyperlink"/>
            <w:rFonts w:asciiTheme="majorHAnsi" w:hAnsiTheme="majorHAnsi" w:cstheme="majorHAnsi"/>
            <w:sz w:val="18"/>
            <w:szCs w:val="18"/>
          </w:rPr>
          <w:t>pdf</w:t>
        </w:r>
      </w:hyperlink>
    </w:p>
  </w:footnote>
  <w:footnote w:id="13">
    <w:p w14:paraId="36D799A8" w14:textId="77777777" w:rsidR="00E042F7" w:rsidRPr="00DF3CD3" w:rsidRDefault="00E042F7" w:rsidP="009C41D1">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vertAlign w:val="superscript"/>
        </w:rPr>
        <w:t xml:space="preserve"> </w:t>
      </w:r>
      <w:r w:rsidRPr="00DF3CD3">
        <w:rPr>
          <w:rFonts w:asciiTheme="majorHAnsi" w:hAnsiTheme="majorHAnsi" w:cstheme="majorHAnsi"/>
          <w:sz w:val="18"/>
          <w:szCs w:val="18"/>
        </w:rPr>
        <w:t>Situation of The Thai Older Persons 2021.</w:t>
      </w:r>
    </w:p>
  </w:footnote>
  <w:footnote w:id="14">
    <w:p w14:paraId="082E8386" w14:textId="77777777" w:rsidR="00E042F7" w:rsidRPr="00DF3CD3" w:rsidRDefault="00E042F7" w:rsidP="009C41D1">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vertAlign w:val="superscript"/>
        </w:rPr>
        <w:t xml:space="preserve"> </w:t>
      </w:r>
      <w:r w:rsidRPr="00DF3CD3">
        <w:rPr>
          <w:rFonts w:asciiTheme="majorHAnsi" w:hAnsiTheme="majorHAnsi" w:cstheme="majorHAnsi"/>
          <w:sz w:val="18"/>
          <w:szCs w:val="18"/>
        </w:rPr>
        <w:t xml:space="preserve">Migrant Workers: </w:t>
      </w:r>
      <w:proofErr w:type="spellStart"/>
      <w:r w:rsidRPr="00DF3CD3">
        <w:rPr>
          <w:rFonts w:asciiTheme="majorHAnsi" w:hAnsiTheme="majorHAnsi" w:cstheme="majorHAnsi"/>
          <w:sz w:val="18"/>
          <w:szCs w:val="18"/>
        </w:rPr>
        <w:t>Labour</w:t>
      </w:r>
      <w:proofErr w:type="spellEnd"/>
      <w:r w:rsidRPr="00DF3CD3">
        <w:rPr>
          <w:rFonts w:asciiTheme="majorHAnsi" w:hAnsiTheme="majorHAnsi" w:cstheme="majorHAnsi"/>
          <w:sz w:val="18"/>
          <w:szCs w:val="18"/>
        </w:rPr>
        <w:t xml:space="preserve"> Act exclusion leads to low pay and challenging conditions for migrant workers in Thai agricultural sector, ILO Press Release, Bangkok, Thailand </w:t>
      </w:r>
      <w:proofErr w:type="gramStart"/>
      <w:r w:rsidRPr="00DF3CD3">
        <w:rPr>
          <w:rFonts w:asciiTheme="majorHAnsi" w:hAnsiTheme="majorHAnsi" w:cstheme="majorHAnsi"/>
          <w:sz w:val="18"/>
          <w:szCs w:val="18"/>
        </w:rPr>
        <w:t>12/15/22</w:t>
      </w:r>
      <w:proofErr w:type="gramEnd"/>
    </w:p>
  </w:footnote>
  <w:footnote w:id="15">
    <w:p w14:paraId="7B7855B6" w14:textId="77777777" w:rsidR="00E042F7" w:rsidRPr="00DF3CD3" w:rsidRDefault="00E042F7" w:rsidP="009C41D1">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rPr>
        <w:t xml:space="preserve"> Department of Women’s Affairs and Family Development (2018). Violence in the Family Report 2018.  </w:t>
      </w:r>
      <w:hyperlink r:id="rId2" w:history="1">
        <w:r w:rsidRPr="00DF3CD3">
          <w:rPr>
            <w:rStyle w:val="Hyperlink"/>
            <w:rFonts w:asciiTheme="majorHAnsi" w:hAnsiTheme="majorHAnsi" w:cstheme="majorHAnsi"/>
            <w:sz w:val="18"/>
            <w:szCs w:val="18"/>
          </w:rPr>
          <w:t>http://www.violence.in.th/publicweb/pdf/M17/M172561.pdf</w:t>
        </w:r>
      </w:hyperlink>
      <w:r w:rsidRPr="00DF3CD3">
        <w:rPr>
          <w:rFonts w:asciiTheme="majorHAnsi" w:hAnsiTheme="majorHAnsi" w:cstheme="majorHAnsi"/>
          <w:sz w:val="18"/>
          <w:szCs w:val="18"/>
        </w:rPr>
        <w:t xml:space="preserve"> (retrieved 22 December 2022).</w:t>
      </w:r>
    </w:p>
  </w:footnote>
  <w:footnote w:id="16">
    <w:p w14:paraId="527D237F" w14:textId="77777777" w:rsidR="00E042F7" w:rsidRPr="00DF3CD3" w:rsidRDefault="00E042F7" w:rsidP="009C41D1">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rPr>
        <w:t xml:space="preserve"> </w:t>
      </w:r>
      <w:hyperlink r:id="rId3" w:history="1">
        <w:r w:rsidRPr="00DF3CD3">
          <w:rPr>
            <w:rStyle w:val="Hyperlink"/>
            <w:rFonts w:asciiTheme="majorHAnsi" w:hAnsiTheme="majorHAnsi" w:cstheme="majorHAnsi"/>
            <w:sz w:val="18"/>
            <w:szCs w:val="18"/>
          </w:rPr>
          <w:t>https://data.unwomen.org/publications/covid-19-and-violence-against-women-evidence-behind-talk</w:t>
        </w:r>
      </w:hyperlink>
      <w:r w:rsidRPr="00DF3CD3">
        <w:rPr>
          <w:rFonts w:asciiTheme="majorHAnsi" w:hAnsiTheme="majorHAnsi" w:cstheme="majorHAnsi"/>
          <w:sz w:val="18"/>
          <w:szCs w:val="18"/>
        </w:rPr>
        <w:t>. (</w:t>
      </w:r>
      <w:proofErr w:type="gramStart"/>
      <w:r w:rsidRPr="00DF3CD3">
        <w:rPr>
          <w:rFonts w:asciiTheme="majorHAnsi" w:hAnsiTheme="majorHAnsi" w:cstheme="majorHAnsi"/>
          <w:sz w:val="18"/>
          <w:szCs w:val="18"/>
        </w:rPr>
        <w:t>retrieved</w:t>
      </w:r>
      <w:proofErr w:type="gramEnd"/>
      <w:r w:rsidRPr="00DF3CD3">
        <w:rPr>
          <w:rFonts w:asciiTheme="majorHAnsi" w:hAnsiTheme="majorHAnsi" w:cstheme="majorHAnsi"/>
          <w:sz w:val="18"/>
          <w:szCs w:val="18"/>
        </w:rPr>
        <w:t xml:space="preserve"> 22 December 2022).</w:t>
      </w:r>
    </w:p>
  </w:footnote>
  <w:footnote w:id="17">
    <w:p w14:paraId="25C7AD0F" w14:textId="77777777" w:rsidR="00E042F7" w:rsidRPr="00E9090B" w:rsidRDefault="00E042F7" w:rsidP="009C41D1">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vertAlign w:val="superscript"/>
        </w:rPr>
        <w:t xml:space="preserve"> </w:t>
      </w:r>
      <w:r w:rsidRPr="00E9090B">
        <w:rPr>
          <w:rFonts w:asciiTheme="majorHAnsi" w:hAnsiTheme="majorHAnsi" w:cstheme="majorHAnsi"/>
          <w:sz w:val="18"/>
          <w:szCs w:val="18"/>
        </w:rPr>
        <w:t>2007 Survey on Health and Welfare National Statistics Office.</w:t>
      </w:r>
    </w:p>
  </w:footnote>
  <w:footnote w:id="18">
    <w:p w14:paraId="7846DDD4" w14:textId="77777777" w:rsidR="00E042F7" w:rsidRPr="00DF3CD3" w:rsidRDefault="00E042F7" w:rsidP="009C41D1">
      <w:pPr>
        <w:pStyle w:val="FootnoteText"/>
        <w:spacing w:after="40"/>
        <w:jc w:val="both"/>
        <w:rPr>
          <w:rFonts w:asciiTheme="majorHAnsi" w:hAnsiTheme="majorHAnsi" w:cstheme="majorHAnsi"/>
          <w:sz w:val="18"/>
          <w:szCs w:val="18"/>
        </w:rPr>
      </w:pPr>
      <w:r w:rsidRPr="00E9090B">
        <w:rPr>
          <w:rStyle w:val="FootnoteReference"/>
          <w:rFonts w:asciiTheme="majorHAnsi" w:hAnsiTheme="majorHAnsi" w:cstheme="majorHAnsi"/>
          <w:szCs w:val="18"/>
          <w:vertAlign w:val="superscript"/>
        </w:rPr>
        <w:footnoteRef/>
      </w:r>
      <w:r w:rsidRPr="00E9090B">
        <w:rPr>
          <w:rFonts w:asciiTheme="majorHAnsi" w:hAnsiTheme="majorHAnsi" w:cstheme="majorHAnsi"/>
          <w:sz w:val="18"/>
          <w:szCs w:val="18"/>
          <w:vertAlign w:val="superscript"/>
        </w:rPr>
        <w:t xml:space="preserve"> </w:t>
      </w:r>
      <w:r w:rsidRPr="00E9090B">
        <w:rPr>
          <w:rFonts w:asciiTheme="majorHAnsi" w:hAnsiTheme="majorHAnsi" w:cstheme="majorHAnsi"/>
          <w:sz w:val="18"/>
          <w:szCs w:val="18"/>
        </w:rPr>
        <w:t>Burton, 2021.</w:t>
      </w:r>
    </w:p>
  </w:footnote>
  <w:footnote w:id="19">
    <w:p w14:paraId="3EF499DB" w14:textId="77777777" w:rsidR="00E042F7" w:rsidRPr="0065192F" w:rsidRDefault="00E042F7" w:rsidP="0065192F">
      <w:pPr>
        <w:pStyle w:val="FootnoteText"/>
        <w:rPr>
          <w:rStyle w:val="FootnoteReference"/>
          <w:rFonts w:asciiTheme="majorHAnsi" w:hAnsiTheme="majorHAnsi" w:cstheme="majorHAnsi"/>
          <w:color w:val="595959" w:themeColor="text1" w:themeTint="A6"/>
          <w:szCs w:val="22"/>
        </w:rPr>
      </w:pPr>
      <w:r w:rsidRPr="0065192F">
        <w:rPr>
          <w:rStyle w:val="FootnoteReference"/>
          <w:rFonts w:asciiTheme="majorHAnsi" w:hAnsiTheme="majorHAnsi" w:cstheme="majorHAnsi"/>
          <w:color w:val="595959" w:themeColor="text1" w:themeTint="A6"/>
          <w:szCs w:val="22"/>
          <w:vertAlign w:val="superscript"/>
        </w:rPr>
        <w:footnoteRef/>
      </w:r>
      <w:r w:rsidRPr="0065192F">
        <w:rPr>
          <w:rStyle w:val="FootnoteReference"/>
          <w:rFonts w:asciiTheme="majorHAnsi" w:hAnsiTheme="majorHAnsi" w:cstheme="majorHAnsi"/>
          <w:color w:val="595959" w:themeColor="text1" w:themeTint="A6"/>
          <w:szCs w:val="22"/>
          <w:vertAlign w:val="superscript"/>
        </w:rPr>
        <w:t xml:space="preserve"> </w:t>
      </w:r>
      <w:r w:rsidRPr="0065192F">
        <w:rPr>
          <w:rStyle w:val="FootnoteReference"/>
          <w:rFonts w:asciiTheme="majorHAnsi" w:hAnsiTheme="majorHAnsi" w:cstheme="majorHAnsi"/>
          <w:color w:val="595959" w:themeColor="text1" w:themeTint="A6"/>
          <w:szCs w:val="22"/>
        </w:rPr>
        <w:fldChar w:fldCharType="begin"/>
      </w:r>
      <w:r w:rsidRPr="0065192F">
        <w:rPr>
          <w:rStyle w:val="FootnoteReference"/>
          <w:rFonts w:asciiTheme="majorHAnsi" w:hAnsiTheme="majorHAnsi" w:cstheme="majorHAnsi"/>
          <w:color w:val="595959" w:themeColor="text1" w:themeTint="A6"/>
          <w:szCs w:val="22"/>
        </w:rPr>
        <w:instrText xml:space="preserve"> ADDIN ZOTERO_BIBL {"uncited":[],"omitted":[],"custom":[]} CSL_BIBLIOGRAPHY </w:instrText>
      </w:r>
      <w:r w:rsidRPr="0065192F">
        <w:rPr>
          <w:rStyle w:val="FootnoteReference"/>
          <w:rFonts w:asciiTheme="majorHAnsi" w:hAnsiTheme="majorHAnsi" w:cstheme="majorHAnsi"/>
          <w:color w:val="595959" w:themeColor="text1" w:themeTint="A6"/>
          <w:szCs w:val="22"/>
        </w:rPr>
        <w:fldChar w:fldCharType="separate"/>
      </w:r>
      <w:r w:rsidRPr="0065192F">
        <w:rPr>
          <w:rStyle w:val="FootnoteReference"/>
          <w:rFonts w:asciiTheme="majorHAnsi" w:hAnsiTheme="majorHAnsi" w:cstheme="majorHAnsi"/>
          <w:color w:val="595959" w:themeColor="text1" w:themeTint="A6"/>
          <w:szCs w:val="22"/>
        </w:rPr>
        <w:t xml:space="preserve">Foster-McGregor, Neil, and Bart </w:t>
      </w:r>
      <w:proofErr w:type="spellStart"/>
      <w:r w:rsidRPr="0065192F">
        <w:rPr>
          <w:rStyle w:val="FootnoteReference"/>
          <w:rFonts w:asciiTheme="majorHAnsi" w:hAnsiTheme="majorHAnsi" w:cstheme="majorHAnsi"/>
          <w:color w:val="595959" w:themeColor="text1" w:themeTint="A6"/>
          <w:szCs w:val="22"/>
        </w:rPr>
        <w:t>Verspagen</w:t>
      </w:r>
      <w:proofErr w:type="spellEnd"/>
      <w:r w:rsidRPr="0065192F">
        <w:rPr>
          <w:rStyle w:val="FootnoteReference"/>
          <w:rFonts w:asciiTheme="majorHAnsi" w:hAnsiTheme="majorHAnsi" w:cstheme="majorHAnsi"/>
          <w:color w:val="595959" w:themeColor="text1" w:themeTint="A6"/>
          <w:szCs w:val="22"/>
        </w:rPr>
        <w:t>. 2016. “The Role of Structural Transformation in the Potential of Asian Economic Growth.” ADB Economics Working Paper Series No. 479.</w:t>
      </w:r>
    </w:p>
    <w:p w14:paraId="48BF46EB" w14:textId="77777777" w:rsidR="00E042F7" w:rsidRPr="0065192F" w:rsidRDefault="00E042F7" w:rsidP="0065192F">
      <w:pPr>
        <w:pStyle w:val="FootnoteText"/>
        <w:rPr>
          <w:rStyle w:val="FootnoteReference"/>
          <w:rFonts w:asciiTheme="majorHAnsi" w:hAnsiTheme="majorHAnsi" w:cstheme="majorHAnsi"/>
          <w:color w:val="595959" w:themeColor="text1" w:themeTint="A6"/>
          <w:szCs w:val="22"/>
        </w:rPr>
      </w:pPr>
      <w:r w:rsidRPr="0065192F">
        <w:rPr>
          <w:rStyle w:val="FootnoteReference"/>
          <w:rFonts w:asciiTheme="majorHAnsi" w:hAnsiTheme="majorHAnsi" w:cstheme="majorHAnsi"/>
          <w:color w:val="595959" w:themeColor="text1" w:themeTint="A6"/>
          <w:szCs w:val="22"/>
        </w:rPr>
        <w:t>Warr, Peter. 2009. “Poverty Reduction through Long-Term Growth: The Thai Experience.” Asian Economic Papers 8 (2): 51–76.</w:t>
      </w:r>
    </w:p>
    <w:p w14:paraId="26FA92EC" w14:textId="6D106F79" w:rsidR="00E042F7" w:rsidRPr="0065192F" w:rsidRDefault="00E042F7" w:rsidP="0065192F">
      <w:pPr>
        <w:pStyle w:val="FootnoteText"/>
        <w:rPr>
          <w:rStyle w:val="FootnoteReference"/>
          <w:rFonts w:asciiTheme="majorHAnsi" w:hAnsiTheme="majorHAnsi" w:cstheme="majorHAnsi"/>
          <w:color w:val="595959" w:themeColor="text1" w:themeTint="A6"/>
          <w:szCs w:val="22"/>
        </w:rPr>
      </w:pPr>
      <w:r w:rsidRPr="0065192F">
        <w:rPr>
          <w:rStyle w:val="FootnoteReference"/>
          <w:rFonts w:asciiTheme="majorHAnsi" w:hAnsiTheme="majorHAnsi" w:cstheme="majorHAnsi"/>
          <w:color w:val="595959" w:themeColor="text1" w:themeTint="A6"/>
          <w:szCs w:val="22"/>
        </w:rPr>
        <w:fldChar w:fldCharType="end"/>
      </w:r>
    </w:p>
  </w:footnote>
  <w:footnote w:id="20">
    <w:p w14:paraId="55718F93" w14:textId="75337AA5" w:rsidR="00E042F7" w:rsidRPr="0065192F" w:rsidRDefault="00E042F7" w:rsidP="0065192F">
      <w:pPr>
        <w:pStyle w:val="FootnoteText"/>
        <w:rPr>
          <w:rStyle w:val="FootnoteReference"/>
          <w:rFonts w:asciiTheme="majorHAnsi" w:hAnsiTheme="majorHAnsi" w:cstheme="majorHAnsi"/>
          <w:color w:val="595959" w:themeColor="text1" w:themeTint="A6"/>
          <w:szCs w:val="22"/>
        </w:rPr>
      </w:pPr>
      <w:r w:rsidRPr="0065192F">
        <w:rPr>
          <w:rStyle w:val="FootnoteReference"/>
          <w:rFonts w:asciiTheme="majorHAnsi" w:hAnsiTheme="majorHAnsi" w:cstheme="majorHAnsi"/>
          <w:color w:val="595959" w:themeColor="text1" w:themeTint="A6"/>
          <w:szCs w:val="22"/>
          <w:vertAlign w:val="superscript"/>
        </w:rPr>
        <w:footnoteRef/>
      </w:r>
      <w:r w:rsidRPr="0065192F">
        <w:rPr>
          <w:rStyle w:val="FootnoteReference"/>
          <w:rFonts w:asciiTheme="majorHAnsi" w:hAnsiTheme="majorHAnsi" w:cstheme="majorHAnsi"/>
          <w:color w:val="595959" w:themeColor="text1" w:themeTint="A6"/>
          <w:szCs w:val="22"/>
        </w:rPr>
        <w:t xml:space="preserve"> This estimation is done outside the model and is based on literature review. Also, in the TFP estimate for Thailand for 2022-30 there is a trend component which does not capture the slowdown in structural transformation and is probably overestimating TFP growth a bit.</w:t>
      </w:r>
    </w:p>
    <w:p w14:paraId="1479205B" w14:textId="009DD8F7" w:rsidR="00E042F7" w:rsidRDefault="00E042F7">
      <w:pPr>
        <w:pStyle w:val="FootnoteText"/>
      </w:pPr>
    </w:p>
  </w:footnote>
  <w:footnote w:id="21">
    <w:p w14:paraId="6D1832EE" w14:textId="77777777" w:rsidR="00E042F7" w:rsidRPr="00AD4B2D" w:rsidRDefault="00E042F7" w:rsidP="00525E3C">
      <w:pPr>
        <w:pStyle w:val="FootnoteText"/>
        <w:spacing w:after="40"/>
        <w:jc w:val="both"/>
        <w:rPr>
          <w:rFonts w:asciiTheme="majorHAnsi" w:hAnsiTheme="majorHAnsi" w:cstheme="majorHAnsi"/>
          <w:sz w:val="18"/>
          <w:szCs w:val="18"/>
        </w:rPr>
      </w:pPr>
      <w:r w:rsidRPr="00AD4B2D">
        <w:rPr>
          <w:rStyle w:val="FootnoteReference"/>
          <w:rFonts w:asciiTheme="majorHAnsi" w:hAnsiTheme="majorHAnsi" w:cstheme="majorHAnsi"/>
          <w:szCs w:val="18"/>
          <w:vertAlign w:val="superscript"/>
        </w:rPr>
        <w:footnoteRef/>
      </w:r>
      <w:r w:rsidRPr="00AD4B2D">
        <w:rPr>
          <w:rFonts w:asciiTheme="majorHAnsi" w:hAnsiTheme="majorHAnsi" w:cstheme="majorHAnsi"/>
          <w:sz w:val="18"/>
          <w:szCs w:val="18"/>
          <w:vertAlign w:val="superscript"/>
        </w:rPr>
        <w:t xml:space="preserve"> </w:t>
      </w:r>
      <w:r w:rsidRPr="00AD4B2D">
        <w:rPr>
          <w:rFonts w:asciiTheme="majorHAnsi" w:hAnsiTheme="majorHAnsi" w:cstheme="majorHAnsi"/>
          <w:sz w:val="18"/>
          <w:szCs w:val="18"/>
        </w:rPr>
        <w:t>OECD-FAO Agricultural Outlook 2022-2031.</w:t>
      </w:r>
    </w:p>
  </w:footnote>
  <w:footnote w:id="22">
    <w:p w14:paraId="5466C168" w14:textId="77777777" w:rsidR="00E042F7" w:rsidRPr="00AD4B2D" w:rsidRDefault="00E042F7" w:rsidP="00525E3C">
      <w:pPr>
        <w:pStyle w:val="FootnoteText"/>
        <w:spacing w:after="40"/>
        <w:jc w:val="both"/>
        <w:rPr>
          <w:rFonts w:asciiTheme="majorHAnsi" w:hAnsiTheme="majorHAnsi" w:cstheme="majorHAnsi"/>
          <w:sz w:val="18"/>
          <w:szCs w:val="18"/>
          <w:vertAlign w:val="superscript"/>
        </w:rPr>
      </w:pPr>
      <w:r w:rsidRPr="00AD4B2D">
        <w:rPr>
          <w:rStyle w:val="FootnoteReference"/>
          <w:rFonts w:asciiTheme="majorHAnsi" w:hAnsiTheme="majorHAnsi" w:cstheme="majorHAnsi"/>
          <w:szCs w:val="18"/>
          <w:vertAlign w:val="superscript"/>
        </w:rPr>
        <w:footnoteRef/>
      </w:r>
      <w:r w:rsidRPr="00AD4B2D">
        <w:rPr>
          <w:rFonts w:asciiTheme="majorHAnsi" w:hAnsiTheme="majorHAnsi" w:cstheme="majorHAnsi"/>
          <w:sz w:val="18"/>
          <w:szCs w:val="18"/>
        </w:rPr>
        <w:t xml:space="preserve"> https://www.trade.gov/country-commercial-guides/thailand-agriculture</w:t>
      </w:r>
    </w:p>
  </w:footnote>
  <w:footnote w:id="23">
    <w:p w14:paraId="051690D2" w14:textId="412D29EE" w:rsidR="00E042F7" w:rsidRPr="00E9090B" w:rsidRDefault="00E042F7" w:rsidP="003A39CD">
      <w:pPr>
        <w:pStyle w:val="FootnoteText"/>
        <w:spacing w:after="40"/>
        <w:rPr>
          <w:rFonts w:asciiTheme="majorHAnsi" w:hAnsiTheme="majorHAnsi" w:cstheme="majorHAnsi"/>
          <w:sz w:val="18"/>
          <w:szCs w:val="18"/>
        </w:rPr>
      </w:pPr>
      <w:r w:rsidRPr="00AD4B2D">
        <w:rPr>
          <w:rStyle w:val="FootnoteReference"/>
          <w:rFonts w:asciiTheme="majorHAnsi" w:hAnsiTheme="majorHAnsi" w:cstheme="majorHAnsi"/>
          <w:szCs w:val="18"/>
          <w:vertAlign w:val="superscript"/>
        </w:rPr>
        <w:footnoteRef/>
      </w:r>
      <w:r w:rsidRPr="00AD4B2D">
        <w:rPr>
          <w:rFonts w:asciiTheme="majorHAnsi" w:hAnsiTheme="majorHAnsi" w:cstheme="majorHAnsi"/>
          <w:sz w:val="18"/>
          <w:szCs w:val="18"/>
        </w:rPr>
        <w:t xml:space="preserve"> https://</w:t>
      </w:r>
      <w:r w:rsidRPr="00E9090B">
        <w:rPr>
          <w:rFonts w:asciiTheme="majorHAnsi" w:hAnsiTheme="majorHAnsi" w:cstheme="majorHAnsi"/>
          <w:sz w:val="18"/>
          <w:szCs w:val="18"/>
        </w:rPr>
        <w:t>www.fas.usda.gov/data/thailand-food-processing-ingredients-4#:~:text=Major%20food%20exports%20include%20rice,of%2011.8%20percent%20from%202020.</w:t>
      </w:r>
    </w:p>
  </w:footnote>
  <w:footnote w:id="24">
    <w:p w14:paraId="4DBE7A31" w14:textId="77777777" w:rsidR="00E042F7" w:rsidRPr="00E9090B" w:rsidRDefault="00E042F7" w:rsidP="00525E3C">
      <w:pPr>
        <w:pStyle w:val="FootnoteText"/>
        <w:spacing w:after="40"/>
        <w:jc w:val="both"/>
        <w:rPr>
          <w:rFonts w:asciiTheme="majorHAnsi" w:hAnsiTheme="majorHAnsi" w:cstheme="majorHAnsi"/>
          <w:sz w:val="18"/>
          <w:szCs w:val="18"/>
        </w:rPr>
      </w:pPr>
      <w:r w:rsidRPr="00E9090B">
        <w:rPr>
          <w:rStyle w:val="FootnoteReference"/>
          <w:rFonts w:asciiTheme="majorHAnsi" w:hAnsiTheme="majorHAnsi" w:cstheme="majorHAnsi"/>
          <w:szCs w:val="18"/>
          <w:vertAlign w:val="superscript"/>
        </w:rPr>
        <w:footnoteRef/>
      </w:r>
      <w:r w:rsidRPr="00E9090B">
        <w:rPr>
          <w:rFonts w:asciiTheme="majorHAnsi" w:hAnsiTheme="majorHAnsi" w:cstheme="majorHAnsi"/>
          <w:sz w:val="18"/>
          <w:szCs w:val="18"/>
        </w:rPr>
        <w:t xml:space="preserve"> World Bank, 2022, Thailand Rural Income Diagnostic</w:t>
      </w:r>
    </w:p>
  </w:footnote>
  <w:footnote w:id="25">
    <w:p w14:paraId="1F628298" w14:textId="77777777" w:rsidR="00E042F7" w:rsidRPr="00AD4B2D" w:rsidRDefault="00E042F7" w:rsidP="00525E3C">
      <w:pPr>
        <w:pStyle w:val="ListParagraph"/>
        <w:spacing w:after="40" w:line="240" w:lineRule="auto"/>
        <w:ind w:left="0"/>
        <w:jc w:val="both"/>
        <w:rPr>
          <w:rFonts w:asciiTheme="majorHAnsi" w:hAnsiTheme="majorHAnsi" w:cstheme="majorHAnsi"/>
          <w:b/>
          <w:sz w:val="18"/>
          <w:szCs w:val="18"/>
        </w:rPr>
      </w:pPr>
      <w:r w:rsidRPr="00E9090B">
        <w:rPr>
          <w:rStyle w:val="FootnoteReference"/>
          <w:rFonts w:asciiTheme="majorHAnsi" w:hAnsiTheme="majorHAnsi" w:cstheme="majorHAnsi"/>
          <w:szCs w:val="18"/>
          <w:vertAlign w:val="superscript"/>
        </w:rPr>
        <w:footnoteRef/>
      </w:r>
      <w:r w:rsidRPr="00E9090B">
        <w:rPr>
          <w:rFonts w:asciiTheme="majorHAnsi" w:hAnsiTheme="majorHAnsi" w:cstheme="majorHAnsi"/>
          <w:sz w:val="18"/>
          <w:szCs w:val="18"/>
        </w:rPr>
        <w:t xml:space="preserve"> Thailand, 13</w:t>
      </w:r>
      <w:r w:rsidRPr="00E9090B">
        <w:rPr>
          <w:rFonts w:asciiTheme="majorHAnsi" w:hAnsiTheme="majorHAnsi" w:cstheme="majorHAnsi"/>
          <w:sz w:val="18"/>
          <w:szCs w:val="18"/>
          <w:vertAlign w:val="superscript"/>
        </w:rPr>
        <w:t>th</w:t>
      </w:r>
      <w:r w:rsidRPr="00E9090B">
        <w:rPr>
          <w:rFonts w:asciiTheme="majorHAnsi" w:hAnsiTheme="majorHAnsi" w:cstheme="majorHAnsi"/>
          <w:sz w:val="18"/>
          <w:szCs w:val="18"/>
        </w:rPr>
        <w:t xml:space="preserve"> Five Year National Economic and Social Development</w:t>
      </w:r>
      <w:r w:rsidRPr="00AD4B2D">
        <w:rPr>
          <w:rFonts w:asciiTheme="majorHAnsi" w:hAnsiTheme="majorHAnsi" w:cstheme="majorHAnsi"/>
          <w:sz w:val="18"/>
          <w:szCs w:val="18"/>
        </w:rPr>
        <w:t xml:space="preserve"> Plan 2023-2027.</w:t>
      </w:r>
    </w:p>
  </w:footnote>
  <w:footnote w:id="26">
    <w:p w14:paraId="5551BC34" w14:textId="77777777" w:rsidR="00E042F7" w:rsidRPr="00E9090B" w:rsidRDefault="00E042F7" w:rsidP="00525E3C">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vertAlign w:val="superscript"/>
        </w:rPr>
        <w:t xml:space="preserve"> </w:t>
      </w:r>
      <w:r w:rsidRPr="00E9090B">
        <w:rPr>
          <w:rFonts w:asciiTheme="majorHAnsi" w:hAnsiTheme="majorHAnsi" w:cstheme="majorHAnsi"/>
          <w:sz w:val="18"/>
          <w:szCs w:val="18"/>
        </w:rPr>
        <w:t>World Bank, 2021, Thailand Rural Income Diagnostic</w:t>
      </w:r>
    </w:p>
  </w:footnote>
  <w:footnote w:id="27">
    <w:p w14:paraId="3BADF527" w14:textId="77777777" w:rsidR="00E042F7" w:rsidRPr="00DF3CD3" w:rsidRDefault="00E042F7" w:rsidP="00525E3C">
      <w:pPr>
        <w:pStyle w:val="FootnoteText"/>
        <w:spacing w:after="40"/>
        <w:jc w:val="both"/>
        <w:rPr>
          <w:rFonts w:asciiTheme="majorHAnsi" w:hAnsiTheme="majorHAnsi" w:cstheme="majorHAnsi"/>
        </w:rPr>
      </w:pPr>
      <w:r w:rsidRPr="00E9090B">
        <w:rPr>
          <w:rStyle w:val="FootnoteReference"/>
          <w:rFonts w:asciiTheme="majorHAnsi" w:hAnsiTheme="majorHAnsi" w:cstheme="majorHAnsi"/>
          <w:szCs w:val="18"/>
          <w:vertAlign w:val="superscript"/>
        </w:rPr>
        <w:footnoteRef/>
      </w:r>
      <w:r w:rsidRPr="00E9090B">
        <w:rPr>
          <w:rFonts w:asciiTheme="majorHAnsi" w:hAnsiTheme="majorHAnsi" w:cstheme="majorHAnsi"/>
          <w:sz w:val="18"/>
          <w:szCs w:val="18"/>
        </w:rPr>
        <w:t xml:space="preserve"> Smallholders are households with farmland less than 2 hectares. Medium size farms are 2 to less than 5 hectares and large size farms are 5 hectares and more.</w:t>
      </w:r>
      <w:r w:rsidRPr="00DF3CD3">
        <w:rPr>
          <w:rFonts w:asciiTheme="majorHAnsi" w:hAnsiTheme="majorHAnsi" w:cstheme="majorHAnsi"/>
        </w:rPr>
        <w:t xml:space="preserve">  </w:t>
      </w:r>
    </w:p>
  </w:footnote>
  <w:footnote w:id="28">
    <w:p w14:paraId="1BA29FFA" w14:textId="77777777" w:rsidR="00E042F7" w:rsidRPr="00E9090B" w:rsidRDefault="00E042F7" w:rsidP="00525E3C">
      <w:pPr>
        <w:pStyle w:val="FootnoteText"/>
        <w:spacing w:after="40"/>
        <w:jc w:val="both"/>
        <w:rPr>
          <w:rFonts w:asciiTheme="majorHAnsi" w:hAnsiTheme="majorHAnsi" w:cstheme="majorHAnsi"/>
          <w:sz w:val="18"/>
          <w:szCs w:val="18"/>
        </w:rPr>
      </w:pPr>
      <w:r w:rsidRPr="00DF3CD3">
        <w:rPr>
          <w:rStyle w:val="FootnoteReference"/>
          <w:rFonts w:asciiTheme="majorHAnsi" w:hAnsiTheme="majorHAnsi" w:cstheme="majorHAnsi"/>
          <w:szCs w:val="18"/>
          <w:vertAlign w:val="superscript"/>
        </w:rPr>
        <w:footnoteRef/>
      </w:r>
      <w:r w:rsidRPr="00DF3CD3">
        <w:rPr>
          <w:rFonts w:asciiTheme="majorHAnsi" w:hAnsiTheme="majorHAnsi" w:cstheme="majorHAnsi"/>
          <w:sz w:val="18"/>
          <w:szCs w:val="18"/>
        </w:rPr>
        <w:t xml:space="preserve"> WB-</w:t>
      </w:r>
      <w:r w:rsidRPr="00E9090B">
        <w:rPr>
          <w:rFonts w:asciiTheme="majorHAnsi" w:hAnsiTheme="majorHAnsi" w:cstheme="majorHAnsi"/>
          <w:sz w:val="18"/>
          <w:szCs w:val="18"/>
        </w:rPr>
        <w:t>ADB, 2021, Climate Risk Country Profile: Thailand.</w:t>
      </w:r>
    </w:p>
  </w:footnote>
  <w:footnote w:id="29">
    <w:p w14:paraId="48E0063F" w14:textId="77777777" w:rsidR="00E042F7" w:rsidRPr="00DF3CD3" w:rsidRDefault="00E042F7" w:rsidP="00525E3C">
      <w:pPr>
        <w:autoSpaceDE w:val="0"/>
        <w:autoSpaceDN w:val="0"/>
        <w:adjustRightInd w:val="0"/>
        <w:spacing w:after="40" w:line="240" w:lineRule="auto"/>
        <w:jc w:val="both"/>
        <w:rPr>
          <w:rFonts w:asciiTheme="majorHAnsi" w:hAnsiTheme="majorHAnsi" w:cstheme="majorHAnsi"/>
          <w:sz w:val="18"/>
          <w:szCs w:val="18"/>
        </w:rPr>
      </w:pPr>
      <w:r w:rsidRPr="00E9090B">
        <w:rPr>
          <w:rStyle w:val="FootnoteReference"/>
          <w:rFonts w:asciiTheme="majorHAnsi" w:hAnsiTheme="majorHAnsi" w:cstheme="majorHAnsi"/>
          <w:szCs w:val="18"/>
          <w:vertAlign w:val="superscript"/>
        </w:rPr>
        <w:footnoteRef/>
      </w:r>
      <w:r w:rsidRPr="00E9090B">
        <w:rPr>
          <w:rFonts w:asciiTheme="majorHAnsi" w:hAnsiTheme="majorHAnsi" w:cstheme="majorHAnsi"/>
          <w:sz w:val="18"/>
          <w:szCs w:val="18"/>
          <w:vertAlign w:val="superscript"/>
        </w:rPr>
        <w:t xml:space="preserve"> </w:t>
      </w:r>
      <w:r w:rsidRPr="00E9090B">
        <w:rPr>
          <w:rFonts w:asciiTheme="majorHAnsi" w:hAnsiTheme="majorHAnsi" w:cstheme="majorHAnsi"/>
          <w:sz w:val="18"/>
          <w:szCs w:val="18"/>
        </w:rPr>
        <w:t>World Bank, 2022, Thailand Rural Income Diagnostic.</w:t>
      </w:r>
    </w:p>
    <w:p w14:paraId="555C8337" w14:textId="77777777" w:rsidR="00E042F7" w:rsidRPr="00664394" w:rsidRDefault="00E042F7" w:rsidP="006426A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EE1F" w14:textId="2E54AC4F" w:rsidR="00E042F7" w:rsidRDefault="00E04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9E4C" w14:textId="5F07A9BB" w:rsidR="00E042F7" w:rsidRDefault="00E042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249D" w14:textId="3D857B1F" w:rsidR="00E042F7" w:rsidRDefault="00E042F7" w:rsidP="007623A7">
    <w:pPr>
      <w:pStyle w:val="Header"/>
      <w:tabs>
        <w:tab w:val="clear" w:pos="4680"/>
        <w:tab w:val="clear" w:pos="9360"/>
        <w:tab w:val="left" w:pos="864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05D9" w14:textId="6F5BBE15" w:rsidR="00E042F7" w:rsidRDefault="00E042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1885" w14:textId="7542C1DC" w:rsidR="00E042F7" w:rsidRDefault="00E042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FEFE" w14:textId="77777777" w:rsidR="00E042F7" w:rsidRDefault="00E042F7">
    <w:pPr>
      <w:pStyle w:val="Header"/>
    </w:pPr>
  </w:p>
</w:hdr>
</file>

<file path=word/intelligence2.xml><?xml version="1.0" encoding="utf-8"?>
<int2:intelligence xmlns:int2="http://schemas.microsoft.com/office/intelligence/2020/intelligence" xmlns:oel="http://schemas.microsoft.com/office/2019/extlst">
  <int2:observations>
    <int2:textHash int2:hashCode="r2M43wvBeLpL5z" int2:id="G8stZWPh">
      <int2:state int2:value="Rejected" int2:type="AugLoop_Text_Critique"/>
    </int2:textHash>
    <int2:textHash int2:hashCode="QTfgmdPWuWJBck" int2:id="HIoikJhl">
      <int2:state int2:value="Rejected" int2:type="AugLoop_Text_Critique"/>
    </int2:textHash>
    <int2:textHash int2:hashCode="vlWkcFS7dzgLNp" int2:id="choLWe5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A96"/>
    <w:multiLevelType w:val="hybridMultilevel"/>
    <w:tmpl w:val="DCFC28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8C2385"/>
    <w:multiLevelType w:val="hybridMultilevel"/>
    <w:tmpl w:val="3C7CA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35C36"/>
    <w:multiLevelType w:val="hybridMultilevel"/>
    <w:tmpl w:val="FFFFFFFF"/>
    <w:lvl w:ilvl="0" w:tplc="9364108C">
      <w:start w:val="1"/>
      <w:numFmt w:val="bullet"/>
      <w:lvlText w:val="%1."/>
      <w:lvlJc w:val="left"/>
      <w:pPr>
        <w:ind w:left="720" w:hanging="360"/>
      </w:pPr>
      <w:rPr>
        <w:rFonts w:ascii="Times New Roman" w:hAnsi="Times New Roman" w:hint="default"/>
      </w:rPr>
    </w:lvl>
    <w:lvl w:ilvl="1" w:tplc="2CBA5500">
      <w:start w:val="1"/>
      <w:numFmt w:val="bullet"/>
      <w:lvlText w:val="o"/>
      <w:lvlJc w:val="left"/>
      <w:pPr>
        <w:ind w:left="1440" w:hanging="360"/>
      </w:pPr>
      <w:rPr>
        <w:rFonts w:ascii="Courier New" w:hAnsi="Courier New" w:hint="default"/>
      </w:rPr>
    </w:lvl>
    <w:lvl w:ilvl="2" w:tplc="72F6D720">
      <w:start w:val="1"/>
      <w:numFmt w:val="bullet"/>
      <w:lvlText w:val=""/>
      <w:lvlJc w:val="left"/>
      <w:pPr>
        <w:ind w:left="2160" w:hanging="360"/>
      </w:pPr>
      <w:rPr>
        <w:rFonts w:ascii="Wingdings" w:hAnsi="Wingdings" w:hint="default"/>
      </w:rPr>
    </w:lvl>
    <w:lvl w:ilvl="3" w:tplc="7A2A1F34">
      <w:start w:val="1"/>
      <w:numFmt w:val="bullet"/>
      <w:lvlText w:val=""/>
      <w:lvlJc w:val="left"/>
      <w:pPr>
        <w:ind w:left="2880" w:hanging="360"/>
      </w:pPr>
      <w:rPr>
        <w:rFonts w:ascii="Symbol" w:hAnsi="Symbol" w:hint="default"/>
      </w:rPr>
    </w:lvl>
    <w:lvl w:ilvl="4" w:tplc="7430DD52">
      <w:start w:val="1"/>
      <w:numFmt w:val="bullet"/>
      <w:lvlText w:val="o"/>
      <w:lvlJc w:val="left"/>
      <w:pPr>
        <w:ind w:left="3600" w:hanging="360"/>
      </w:pPr>
      <w:rPr>
        <w:rFonts w:ascii="Courier New" w:hAnsi="Courier New" w:hint="default"/>
      </w:rPr>
    </w:lvl>
    <w:lvl w:ilvl="5" w:tplc="277AF75E">
      <w:start w:val="1"/>
      <w:numFmt w:val="bullet"/>
      <w:lvlText w:val=""/>
      <w:lvlJc w:val="left"/>
      <w:pPr>
        <w:ind w:left="4320" w:hanging="360"/>
      </w:pPr>
      <w:rPr>
        <w:rFonts w:ascii="Wingdings" w:hAnsi="Wingdings" w:hint="default"/>
      </w:rPr>
    </w:lvl>
    <w:lvl w:ilvl="6" w:tplc="5C56A75E">
      <w:start w:val="1"/>
      <w:numFmt w:val="bullet"/>
      <w:lvlText w:val=""/>
      <w:lvlJc w:val="left"/>
      <w:pPr>
        <w:ind w:left="5040" w:hanging="360"/>
      </w:pPr>
      <w:rPr>
        <w:rFonts w:ascii="Symbol" w:hAnsi="Symbol" w:hint="default"/>
      </w:rPr>
    </w:lvl>
    <w:lvl w:ilvl="7" w:tplc="29BC5BEC">
      <w:start w:val="1"/>
      <w:numFmt w:val="bullet"/>
      <w:lvlText w:val="o"/>
      <w:lvlJc w:val="left"/>
      <w:pPr>
        <w:ind w:left="5760" w:hanging="360"/>
      </w:pPr>
      <w:rPr>
        <w:rFonts w:ascii="Courier New" w:hAnsi="Courier New" w:hint="default"/>
      </w:rPr>
    </w:lvl>
    <w:lvl w:ilvl="8" w:tplc="E7728D2E">
      <w:start w:val="1"/>
      <w:numFmt w:val="bullet"/>
      <w:lvlText w:val=""/>
      <w:lvlJc w:val="left"/>
      <w:pPr>
        <w:ind w:left="6480" w:hanging="360"/>
      </w:pPr>
      <w:rPr>
        <w:rFonts w:ascii="Wingdings" w:hAnsi="Wingdings" w:hint="default"/>
      </w:rPr>
    </w:lvl>
  </w:abstractNum>
  <w:abstractNum w:abstractNumId="3" w15:restartNumberingAfterBreak="0">
    <w:nsid w:val="123D6C79"/>
    <w:multiLevelType w:val="hybridMultilevel"/>
    <w:tmpl w:val="CB52BE9E"/>
    <w:lvl w:ilvl="0" w:tplc="C84EF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D05652"/>
    <w:multiLevelType w:val="hybridMultilevel"/>
    <w:tmpl w:val="A7FE3002"/>
    <w:lvl w:ilvl="0" w:tplc="14A8EDE4">
      <w:start w:val="1"/>
      <w:numFmt w:val="upperLetter"/>
      <w:lvlText w:val="%1."/>
      <w:lvlJc w:val="left"/>
      <w:pPr>
        <w:ind w:left="720" w:hanging="360"/>
      </w:pPr>
      <w:rPr>
        <w:rFonts w:ascii="Calibri Light" w:hAnsi="Calibri Light" w:cs="Calibri Light"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C2D03"/>
    <w:multiLevelType w:val="hybridMultilevel"/>
    <w:tmpl w:val="8FC2B160"/>
    <w:lvl w:ilvl="0" w:tplc="CFDCC7F2">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C74955"/>
    <w:multiLevelType w:val="multilevel"/>
    <w:tmpl w:val="23F2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C90951"/>
    <w:multiLevelType w:val="hybridMultilevel"/>
    <w:tmpl w:val="E9C0ECF2"/>
    <w:lvl w:ilvl="0" w:tplc="FFFFFFFF">
      <w:start w:val="1"/>
      <w:numFmt w:val="decimal"/>
      <w:lvlText w:val="%1."/>
      <w:lvlJc w:val="left"/>
      <w:pPr>
        <w:ind w:left="630" w:hanging="360"/>
      </w:pPr>
      <w:rPr>
        <w:b w:val="0"/>
        <w:bCs w:val="0"/>
        <w:i w:val="0"/>
        <w:iCs/>
        <w:color w:val="auto"/>
        <w:sz w:val="22"/>
        <w:szCs w:val="22"/>
        <w:vertAlign w:val="baseline"/>
      </w:rPr>
    </w:lvl>
    <w:lvl w:ilvl="1" w:tplc="B3984E9E">
      <w:start w:val="1"/>
      <w:numFmt w:val="decimal"/>
      <w:lvlText w:val="%2."/>
      <w:lvlJc w:val="left"/>
      <w:pPr>
        <w:ind w:left="990" w:hanging="360"/>
      </w:pPr>
      <w:rPr>
        <w:rFonts w:asciiTheme="majorHAnsi" w:eastAsiaTheme="majorEastAsia" w:hAnsiTheme="majorHAnsi" w:cstheme="majorBidi"/>
      </w:r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219976AC"/>
    <w:multiLevelType w:val="hybridMultilevel"/>
    <w:tmpl w:val="FFFFFFFF"/>
    <w:lvl w:ilvl="0" w:tplc="06B0F62C">
      <w:start w:val="1"/>
      <w:numFmt w:val="decimal"/>
      <w:lvlText w:val="%1."/>
      <w:lvlJc w:val="left"/>
      <w:pPr>
        <w:ind w:left="720" w:hanging="360"/>
      </w:pPr>
    </w:lvl>
    <w:lvl w:ilvl="1" w:tplc="8B92C782">
      <w:start w:val="1"/>
      <w:numFmt w:val="lowerLetter"/>
      <w:lvlText w:val="%2."/>
      <w:lvlJc w:val="left"/>
      <w:pPr>
        <w:ind w:left="1440" w:hanging="360"/>
      </w:pPr>
    </w:lvl>
    <w:lvl w:ilvl="2" w:tplc="3CD88E60">
      <w:start w:val="1"/>
      <w:numFmt w:val="lowerRoman"/>
      <w:lvlText w:val="%3."/>
      <w:lvlJc w:val="right"/>
      <w:pPr>
        <w:ind w:left="2160" w:hanging="180"/>
      </w:pPr>
    </w:lvl>
    <w:lvl w:ilvl="3" w:tplc="76F069EA">
      <w:start w:val="1"/>
      <w:numFmt w:val="decimal"/>
      <w:lvlText w:val="%4."/>
      <w:lvlJc w:val="left"/>
      <w:pPr>
        <w:ind w:left="2880" w:hanging="360"/>
      </w:pPr>
    </w:lvl>
    <w:lvl w:ilvl="4" w:tplc="A30E0296">
      <w:start w:val="1"/>
      <w:numFmt w:val="lowerLetter"/>
      <w:lvlText w:val="%5."/>
      <w:lvlJc w:val="left"/>
      <w:pPr>
        <w:ind w:left="3600" w:hanging="360"/>
      </w:pPr>
    </w:lvl>
    <w:lvl w:ilvl="5" w:tplc="6BB20042">
      <w:start w:val="1"/>
      <w:numFmt w:val="lowerRoman"/>
      <w:lvlText w:val="%6."/>
      <w:lvlJc w:val="right"/>
      <w:pPr>
        <w:ind w:left="4320" w:hanging="180"/>
      </w:pPr>
    </w:lvl>
    <w:lvl w:ilvl="6" w:tplc="510E170C">
      <w:start w:val="1"/>
      <w:numFmt w:val="decimal"/>
      <w:lvlText w:val="%7."/>
      <w:lvlJc w:val="left"/>
      <w:pPr>
        <w:ind w:left="5040" w:hanging="360"/>
      </w:pPr>
    </w:lvl>
    <w:lvl w:ilvl="7" w:tplc="6FDCD1EC">
      <w:start w:val="1"/>
      <w:numFmt w:val="lowerLetter"/>
      <w:lvlText w:val="%8."/>
      <w:lvlJc w:val="left"/>
      <w:pPr>
        <w:ind w:left="5760" w:hanging="360"/>
      </w:pPr>
    </w:lvl>
    <w:lvl w:ilvl="8" w:tplc="E66681E2">
      <w:start w:val="1"/>
      <w:numFmt w:val="lowerRoman"/>
      <w:lvlText w:val="%9."/>
      <w:lvlJc w:val="right"/>
      <w:pPr>
        <w:ind w:left="6480" w:hanging="180"/>
      </w:pPr>
    </w:lvl>
  </w:abstractNum>
  <w:abstractNum w:abstractNumId="9" w15:restartNumberingAfterBreak="0">
    <w:nsid w:val="29B00881"/>
    <w:multiLevelType w:val="hybridMultilevel"/>
    <w:tmpl w:val="B64ACF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A59CD"/>
    <w:multiLevelType w:val="hybridMultilevel"/>
    <w:tmpl w:val="8D2441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807F3"/>
    <w:multiLevelType w:val="hybridMultilevel"/>
    <w:tmpl w:val="58C8499A"/>
    <w:lvl w:ilvl="0" w:tplc="0409000F">
      <w:start w:val="1"/>
      <w:numFmt w:val="decimal"/>
      <w:lvlText w:val="%1."/>
      <w:lvlJc w:val="left"/>
      <w:pPr>
        <w:ind w:left="360" w:hanging="360"/>
      </w:pPr>
      <w:rPr>
        <w:rFonts w:hint="default"/>
        <w:color w:val="2D435F"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404DB1"/>
    <w:multiLevelType w:val="hybridMultilevel"/>
    <w:tmpl w:val="62BC27B4"/>
    <w:lvl w:ilvl="0" w:tplc="9CD887C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0D1264"/>
    <w:multiLevelType w:val="hybridMultilevel"/>
    <w:tmpl w:val="A87AD5D2"/>
    <w:lvl w:ilvl="0" w:tplc="FFFFFFFF">
      <w:start w:val="1"/>
      <w:numFmt w:val="decimal"/>
      <w:lvlText w:val="%1."/>
      <w:lvlJc w:val="left"/>
      <w:pPr>
        <w:ind w:left="360" w:hanging="360"/>
      </w:pPr>
      <w:rPr>
        <w:rFonts w:hint="default"/>
        <w:color w:val="2D435F"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AA4A32"/>
    <w:multiLevelType w:val="hybridMultilevel"/>
    <w:tmpl w:val="20F4AE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514CA"/>
    <w:multiLevelType w:val="hybridMultilevel"/>
    <w:tmpl w:val="6F8E10C8"/>
    <w:lvl w:ilvl="0" w:tplc="17AA5692">
      <w:start w:val="1"/>
      <w:numFmt w:val="upperLetter"/>
      <w:lvlText w:val="%1."/>
      <w:lvlJc w:val="left"/>
      <w:pPr>
        <w:ind w:left="360" w:hanging="360"/>
      </w:pPr>
      <w:rPr>
        <w:rFonts w:asciiTheme="majorHAnsi" w:eastAsia="Batang"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3D2FB2"/>
    <w:multiLevelType w:val="hybridMultilevel"/>
    <w:tmpl w:val="2BE451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462FF5"/>
    <w:multiLevelType w:val="hybridMultilevel"/>
    <w:tmpl w:val="9BB861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892A94"/>
    <w:multiLevelType w:val="hybridMultilevel"/>
    <w:tmpl w:val="64C2BF5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A6555"/>
    <w:multiLevelType w:val="hybridMultilevel"/>
    <w:tmpl w:val="46105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E76221"/>
    <w:multiLevelType w:val="multilevel"/>
    <w:tmpl w:val="23F2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235EEF"/>
    <w:multiLevelType w:val="hybridMultilevel"/>
    <w:tmpl w:val="362A620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9B3C67"/>
    <w:multiLevelType w:val="multilevel"/>
    <w:tmpl w:val="23F2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CA42E3"/>
    <w:multiLevelType w:val="hybridMultilevel"/>
    <w:tmpl w:val="305E01BE"/>
    <w:lvl w:ilvl="0" w:tplc="1250C66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EA6676"/>
    <w:multiLevelType w:val="multilevel"/>
    <w:tmpl w:val="C4405D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A772387"/>
    <w:multiLevelType w:val="hybridMultilevel"/>
    <w:tmpl w:val="4D62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F5F00"/>
    <w:multiLevelType w:val="hybridMultilevel"/>
    <w:tmpl w:val="49F48B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12717E"/>
    <w:multiLevelType w:val="multilevel"/>
    <w:tmpl w:val="670249E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72B84FE1"/>
    <w:multiLevelType w:val="hybridMultilevel"/>
    <w:tmpl w:val="8678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A26E0A"/>
    <w:multiLevelType w:val="hybridMultilevel"/>
    <w:tmpl w:val="70781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E83DF3"/>
    <w:multiLevelType w:val="hybridMultilevel"/>
    <w:tmpl w:val="5F0493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25962481">
    <w:abstractNumId w:val="7"/>
  </w:num>
  <w:num w:numId="2" w16cid:durableId="1171064952">
    <w:abstractNumId w:val="5"/>
  </w:num>
  <w:num w:numId="3" w16cid:durableId="2053730978">
    <w:abstractNumId w:val="19"/>
  </w:num>
  <w:num w:numId="4" w16cid:durableId="1991791540">
    <w:abstractNumId w:val="28"/>
  </w:num>
  <w:num w:numId="5" w16cid:durableId="1678535659">
    <w:abstractNumId w:val="8"/>
  </w:num>
  <w:num w:numId="6" w16cid:durableId="793326534">
    <w:abstractNumId w:val="2"/>
  </w:num>
  <w:num w:numId="7" w16cid:durableId="1402214002">
    <w:abstractNumId w:val="24"/>
  </w:num>
  <w:num w:numId="8" w16cid:durableId="1011295618">
    <w:abstractNumId w:val="27"/>
  </w:num>
  <w:num w:numId="9" w16cid:durableId="833226874">
    <w:abstractNumId w:val="0"/>
  </w:num>
  <w:num w:numId="10" w16cid:durableId="1060058235">
    <w:abstractNumId w:val="3"/>
  </w:num>
  <w:num w:numId="11" w16cid:durableId="981349224">
    <w:abstractNumId w:val="13"/>
  </w:num>
  <w:num w:numId="12" w16cid:durableId="1187523727">
    <w:abstractNumId w:val="11"/>
  </w:num>
  <w:num w:numId="13" w16cid:durableId="937903741">
    <w:abstractNumId w:val="6"/>
  </w:num>
  <w:num w:numId="14" w16cid:durableId="1855224248">
    <w:abstractNumId w:val="10"/>
  </w:num>
  <w:num w:numId="15" w16cid:durableId="624964330">
    <w:abstractNumId w:val="29"/>
  </w:num>
  <w:num w:numId="16" w16cid:durableId="452134570">
    <w:abstractNumId w:val="1"/>
  </w:num>
  <w:num w:numId="17" w16cid:durableId="312880299">
    <w:abstractNumId w:val="25"/>
  </w:num>
  <w:num w:numId="18" w16cid:durableId="549654978">
    <w:abstractNumId w:val="18"/>
  </w:num>
  <w:num w:numId="19" w16cid:durableId="351881275">
    <w:abstractNumId w:val="22"/>
  </w:num>
  <w:num w:numId="20" w16cid:durableId="1377394739">
    <w:abstractNumId w:val="20"/>
  </w:num>
  <w:num w:numId="21" w16cid:durableId="93209313">
    <w:abstractNumId w:val="21"/>
  </w:num>
  <w:num w:numId="22" w16cid:durableId="399059575">
    <w:abstractNumId w:val="15"/>
  </w:num>
  <w:num w:numId="23" w16cid:durableId="175846830">
    <w:abstractNumId w:val="16"/>
  </w:num>
  <w:num w:numId="24" w16cid:durableId="1819033871">
    <w:abstractNumId w:val="4"/>
  </w:num>
  <w:num w:numId="25" w16cid:durableId="806822846">
    <w:abstractNumId w:val="26"/>
  </w:num>
  <w:num w:numId="26" w16cid:durableId="1941715441">
    <w:abstractNumId w:val="9"/>
  </w:num>
  <w:num w:numId="27" w16cid:durableId="356348032">
    <w:abstractNumId w:val="17"/>
  </w:num>
  <w:num w:numId="28" w16cid:durableId="848182595">
    <w:abstractNumId w:val="30"/>
  </w:num>
  <w:num w:numId="29" w16cid:durableId="1056733831">
    <w:abstractNumId w:val="23"/>
  </w:num>
  <w:num w:numId="30" w16cid:durableId="1373192698">
    <w:abstractNumId w:val="12"/>
  </w:num>
  <w:num w:numId="31" w16cid:durableId="1890608057">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n-CA" w:vendorID="64" w:dllVersion="0" w:nlCheck="1" w:checkStyle="0"/>
  <w:activeWritingStyle w:appName="MSWord" w:lang="es-A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G1MDA1MzI2szA3NDJV0lEKTi0uzszPAykwqQUAB+9nLSwAAAA="/>
  </w:docVars>
  <w:rsids>
    <w:rsidRoot w:val="008972EA"/>
    <w:rsid w:val="00000084"/>
    <w:rsid w:val="00000116"/>
    <w:rsid w:val="000001A5"/>
    <w:rsid w:val="000001C0"/>
    <w:rsid w:val="00000360"/>
    <w:rsid w:val="000003BF"/>
    <w:rsid w:val="000003C2"/>
    <w:rsid w:val="00000544"/>
    <w:rsid w:val="0000055C"/>
    <w:rsid w:val="0000058D"/>
    <w:rsid w:val="000006E2"/>
    <w:rsid w:val="000006E5"/>
    <w:rsid w:val="000008B0"/>
    <w:rsid w:val="000008DB"/>
    <w:rsid w:val="00000958"/>
    <w:rsid w:val="00000971"/>
    <w:rsid w:val="00000972"/>
    <w:rsid w:val="000009E7"/>
    <w:rsid w:val="00000B28"/>
    <w:rsid w:val="00000BF5"/>
    <w:rsid w:val="00000CC0"/>
    <w:rsid w:val="00000DA0"/>
    <w:rsid w:val="00000DEB"/>
    <w:rsid w:val="00000E0A"/>
    <w:rsid w:val="00000E58"/>
    <w:rsid w:val="00000F48"/>
    <w:rsid w:val="000010AE"/>
    <w:rsid w:val="0000113F"/>
    <w:rsid w:val="00001198"/>
    <w:rsid w:val="000011A9"/>
    <w:rsid w:val="000011D0"/>
    <w:rsid w:val="00001401"/>
    <w:rsid w:val="0000147E"/>
    <w:rsid w:val="000014F9"/>
    <w:rsid w:val="000015A6"/>
    <w:rsid w:val="000015BD"/>
    <w:rsid w:val="00001616"/>
    <w:rsid w:val="0000164C"/>
    <w:rsid w:val="0000166F"/>
    <w:rsid w:val="0000167C"/>
    <w:rsid w:val="00001688"/>
    <w:rsid w:val="0000168F"/>
    <w:rsid w:val="0000169E"/>
    <w:rsid w:val="000017F1"/>
    <w:rsid w:val="000018A5"/>
    <w:rsid w:val="00001904"/>
    <w:rsid w:val="00001997"/>
    <w:rsid w:val="000019C0"/>
    <w:rsid w:val="00001A79"/>
    <w:rsid w:val="00001BED"/>
    <w:rsid w:val="00001C2B"/>
    <w:rsid w:val="00001D3C"/>
    <w:rsid w:val="00001E1E"/>
    <w:rsid w:val="00001E3E"/>
    <w:rsid w:val="00001F5D"/>
    <w:rsid w:val="0000228D"/>
    <w:rsid w:val="000022C4"/>
    <w:rsid w:val="000022EF"/>
    <w:rsid w:val="000022F5"/>
    <w:rsid w:val="0000237D"/>
    <w:rsid w:val="0000246C"/>
    <w:rsid w:val="000025FC"/>
    <w:rsid w:val="000026F4"/>
    <w:rsid w:val="00002858"/>
    <w:rsid w:val="00002896"/>
    <w:rsid w:val="00002931"/>
    <w:rsid w:val="00002A42"/>
    <w:rsid w:val="00002A73"/>
    <w:rsid w:val="00002AA6"/>
    <w:rsid w:val="00002B6D"/>
    <w:rsid w:val="00002BFF"/>
    <w:rsid w:val="00002C5D"/>
    <w:rsid w:val="00002CBE"/>
    <w:rsid w:val="00002D9C"/>
    <w:rsid w:val="00002E11"/>
    <w:rsid w:val="00002E82"/>
    <w:rsid w:val="00002E8F"/>
    <w:rsid w:val="00002EC4"/>
    <w:rsid w:val="0000315C"/>
    <w:rsid w:val="00003172"/>
    <w:rsid w:val="00003184"/>
    <w:rsid w:val="000031F1"/>
    <w:rsid w:val="000031F2"/>
    <w:rsid w:val="0000322D"/>
    <w:rsid w:val="00003243"/>
    <w:rsid w:val="000034EA"/>
    <w:rsid w:val="0000352E"/>
    <w:rsid w:val="0000354C"/>
    <w:rsid w:val="00003581"/>
    <w:rsid w:val="000035F6"/>
    <w:rsid w:val="0000366C"/>
    <w:rsid w:val="000036A3"/>
    <w:rsid w:val="000036DC"/>
    <w:rsid w:val="0000372E"/>
    <w:rsid w:val="0000379F"/>
    <w:rsid w:val="000037CA"/>
    <w:rsid w:val="000037F0"/>
    <w:rsid w:val="000038B7"/>
    <w:rsid w:val="00003981"/>
    <w:rsid w:val="000039AC"/>
    <w:rsid w:val="00003A21"/>
    <w:rsid w:val="00003A8B"/>
    <w:rsid w:val="00003B30"/>
    <w:rsid w:val="00003B50"/>
    <w:rsid w:val="00003DD9"/>
    <w:rsid w:val="00003DE3"/>
    <w:rsid w:val="00003E3B"/>
    <w:rsid w:val="00003E64"/>
    <w:rsid w:val="00003E6A"/>
    <w:rsid w:val="00003FD2"/>
    <w:rsid w:val="0000412B"/>
    <w:rsid w:val="00004215"/>
    <w:rsid w:val="00004270"/>
    <w:rsid w:val="00004413"/>
    <w:rsid w:val="00004492"/>
    <w:rsid w:val="000046A6"/>
    <w:rsid w:val="00004734"/>
    <w:rsid w:val="000047A5"/>
    <w:rsid w:val="00004836"/>
    <w:rsid w:val="000048D9"/>
    <w:rsid w:val="00004952"/>
    <w:rsid w:val="00004965"/>
    <w:rsid w:val="00004991"/>
    <w:rsid w:val="000049BD"/>
    <w:rsid w:val="000049FE"/>
    <w:rsid w:val="00004AA7"/>
    <w:rsid w:val="00004BB8"/>
    <w:rsid w:val="00004C46"/>
    <w:rsid w:val="00004C9F"/>
    <w:rsid w:val="00004D91"/>
    <w:rsid w:val="00004DDE"/>
    <w:rsid w:val="00004DE5"/>
    <w:rsid w:val="00004DF1"/>
    <w:rsid w:val="00004E32"/>
    <w:rsid w:val="00004E8B"/>
    <w:rsid w:val="00004F2F"/>
    <w:rsid w:val="00004FA7"/>
    <w:rsid w:val="000051FB"/>
    <w:rsid w:val="000052C8"/>
    <w:rsid w:val="00005441"/>
    <w:rsid w:val="00005466"/>
    <w:rsid w:val="0000556E"/>
    <w:rsid w:val="00005667"/>
    <w:rsid w:val="00005671"/>
    <w:rsid w:val="000057AC"/>
    <w:rsid w:val="0000580A"/>
    <w:rsid w:val="000059F7"/>
    <w:rsid w:val="00005A08"/>
    <w:rsid w:val="00005B10"/>
    <w:rsid w:val="00005C3C"/>
    <w:rsid w:val="00005CE0"/>
    <w:rsid w:val="00005E00"/>
    <w:rsid w:val="00005E17"/>
    <w:rsid w:val="00005F29"/>
    <w:rsid w:val="00006031"/>
    <w:rsid w:val="00006033"/>
    <w:rsid w:val="00006318"/>
    <w:rsid w:val="000064EF"/>
    <w:rsid w:val="00006537"/>
    <w:rsid w:val="000065DA"/>
    <w:rsid w:val="0000666D"/>
    <w:rsid w:val="000066BB"/>
    <w:rsid w:val="000066BE"/>
    <w:rsid w:val="00006731"/>
    <w:rsid w:val="00006851"/>
    <w:rsid w:val="0000685D"/>
    <w:rsid w:val="00006886"/>
    <w:rsid w:val="000068DF"/>
    <w:rsid w:val="00006978"/>
    <w:rsid w:val="00006992"/>
    <w:rsid w:val="000069F6"/>
    <w:rsid w:val="00006A60"/>
    <w:rsid w:val="00006A88"/>
    <w:rsid w:val="00006AA4"/>
    <w:rsid w:val="00006B03"/>
    <w:rsid w:val="00006C34"/>
    <w:rsid w:val="00006CC9"/>
    <w:rsid w:val="00006D1F"/>
    <w:rsid w:val="00006D20"/>
    <w:rsid w:val="00006D37"/>
    <w:rsid w:val="00006D48"/>
    <w:rsid w:val="00006DEB"/>
    <w:rsid w:val="00006E22"/>
    <w:rsid w:val="00006EF9"/>
    <w:rsid w:val="00006F4F"/>
    <w:rsid w:val="00007000"/>
    <w:rsid w:val="00007020"/>
    <w:rsid w:val="0000712D"/>
    <w:rsid w:val="00007149"/>
    <w:rsid w:val="00007192"/>
    <w:rsid w:val="000072C0"/>
    <w:rsid w:val="0000734C"/>
    <w:rsid w:val="000073AA"/>
    <w:rsid w:val="000073F7"/>
    <w:rsid w:val="00007557"/>
    <w:rsid w:val="00007767"/>
    <w:rsid w:val="00007849"/>
    <w:rsid w:val="0000785B"/>
    <w:rsid w:val="000078D5"/>
    <w:rsid w:val="0000790B"/>
    <w:rsid w:val="0000791E"/>
    <w:rsid w:val="0000797C"/>
    <w:rsid w:val="000079B8"/>
    <w:rsid w:val="00007A24"/>
    <w:rsid w:val="00007BC8"/>
    <w:rsid w:val="00007C1C"/>
    <w:rsid w:val="00007C44"/>
    <w:rsid w:val="00007CA8"/>
    <w:rsid w:val="00007CBD"/>
    <w:rsid w:val="00007CEC"/>
    <w:rsid w:val="00007D91"/>
    <w:rsid w:val="00007E0E"/>
    <w:rsid w:val="00007ED0"/>
    <w:rsid w:val="0000E015"/>
    <w:rsid w:val="00010055"/>
    <w:rsid w:val="0001007A"/>
    <w:rsid w:val="0001011E"/>
    <w:rsid w:val="00010343"/>
    <w:rsid w:val="000103DD"/>
    <w:rsid w:val="00010550"/>
    <w:rsid w:val="000105C3"/>
    <w:rsid w:val="00010666"/>
    <w:rsid w:val="00010835"/>
    <w:rsid w:val="00010847"/>
    <w:rsid w:val="00010A51"/>
    <w:rsid w:val="00010A56"/>
    <w:rsid w:val="00010B1C"/>
    <w:rsid w:val="00010BC1"/>
    <w:rsid w:val="00010C1C"/>
    <w:rsid w:val="00010DBA"/>
    <w:rsid w:val="00010DDE"/>
    <w:rsid w:val="00010E2F"/>
    <w:rsid w:val="00010E8D"/>
    <w:rsid w:val="00010ED0"/>
    <w:rsid w:val="00010F5A"/>
    <w:rsid w:val="00010FAB"/>
    <w:rsid w:val="000110E6"/>
    <w:rsid w:val="00011109"/>
    <w:rsid w:val="00011238"/>
    <w:rsid w:val="00011334"/>
    <w:rsid w:val="00011383"/>
    <w:rsid w:val="0001138E"/>
    <w:rsid w:val="0001144E"/>
    <w:rsid w:val="000115DB"/>
    <w:rsid w:val="00011786"/>
    <w:rsid w:val="000117B7"/>
    <w:rsid w:val="0001181D"/>
    <w:rsid w:val="000118B7"/>
    <w:rsid w:val="00011928"/>
    <w:rsid w:val="00011C11"/>
    <w:rsid w:val="00011C28"/>
    <w:rsid w:val="00011C35"/>
    <w:rsid w:val="00011CD6"/>
    <w:rsid w:val="00011D5A"/>
    <w:rsid w:val="00011E15"/>
    <w:rsid w:val="00011E20"/>
    <w:rsid w:val="00011EF0"/>
    <w:rsid w:val="00012441"/>
    <w:rsid w:val="00012496"/>
    <w:rsid w:val="000124C4"/>
    <w:rsid w:val="00012503"/>
    <w:rsid w:val="00012602"/>
    <w:rsid w:val="000126A1"/>
    <w:rsid w:val="000126E1"/>
    <w:rsid w:val="00012989"/>
    <w:rsid w:val="00012A10"/>
    <w:rsid w:val="00012A14"/>
    <w:rsid w:val="00012AF7"/>
    <w:rsid w:val="00012B04"/>
    <w:rsid w:val="00012BC4"/>
    <w:rsid w:val="00012CD9"/>
    <w:rsid w:val="00012E24"/>
    <w:rsid w:val="00012E98"/>
    <w:rsid w:val="00012F4E"/>
    <w:rsid w:val="0001300A"/>
    <w:rsid w:val="000130B4"/>
    <w:rsid w:val="0001312C"/>
    <w:rsid w:val="000132B5"/>
    <w:rsid w:val="000132D9"/>
    <w:rsid w:val="00013396"/>
    <w:rsid w:val="000133F5"/>
    <w:rsid w:val="0001341D"/>
    <w:rsid w:val="00013503"/>
    <w:rsid w:val="0001355A"/>
    <w:rsid w:val="000135C6"/>
    <w:rsid w:val="0001365F"/>
    <w:rsid w:val="000136B0"/>
    <w:rsid w:val="000136D6"/>
    <w:rsid w:val="00013816"/>
    <w:rsid w:val="0001381C"/>
    <w:rsid w:val="00013854"/>
    <w:rsid w:val="00013859"/>
    <w:rsid w:val="0001389C"/>
    <w:rsid w:val="00013967"/>
    <w:rsid w:val="00013989"/>
    <w:rsid w:val="0001398E"/>
    <w:rsid w:val="00013A1B"/>
    <w:rsid w:val="00013AF3"/>
    <w:rsid w:val="00013C3E"/>
    <w:rsid w:val="00013CAD"/>
    <w:rsid w:val="00013CEF"/>
    <w:rsid w:val="00013CF9"/>
    <w:rsid w:val="00013D3D"/>
    <w:rsid w:val="00013E1A"/>
    <w:rsid w:val="00013E80"/>
    <w:rsid w:val="00013F61"/>
    <w:rsid w:val="00014018"/>
    <w:rsid w:val="0001411F"/>
    <w:rsid w:val="00014189"/>
    <w:rsid w:val="00014231"/>
    <w:rsid w:val="00014254"/>
    <w:rsid w:val="000142CF"/>
    <w:rsid w:val="00014332"/>
    <w:rsid w:val="00014711"/>
    <w:rsid w:val="000147BB"/>
    <w:rsid w:val="00014859"/>
    <w:rsid w:val="00014870"/>
    <w:rsid w:val="0001493F"/>
    <w:rsid w:val="0001495E"/>
    <w:rsid w:val="0001498D"/>
    <w:rsid w:val="000149BB"/>
    <w:rsid w:val="000149E9"/>
    <w:rsid w:val="00014A12"/>
    <w:rsid w:val="00014AA3"/>
    <w:rsid w:val="00014AB4"/>
    <w:rsid w:val="00014B33"/>
    <w:rsid w:val="00014B86"/>
    <w:rsid w:val="00014BC4"/>
    <w:rsid w:val="00014C07"/>
    <w:rsid w:val="00014C17"/>
    <w:rsid w:val="00014C75"/>
    <w:rsid w:val="00014C82"/>
    <w:rsid w:val="00014D30"/>
    <w:rsid w:val="00014D8F"/>
    <w:rsid w:val="00014DA4"/>
    <w:rsid w:val="00014DDF"/>
    <w:rsid w:val="00014E8A"/>
    <w:rsid w:val="00014F14"/>
    <w:rsid w:val="00015080"/>
    <w:rsid w:val="000150FF"/>
    <w:rsid w:val="00015215"/>
    <w:rsid w:val="00015363"/>
    <w:rsid w:val="000153EA"/>
    <w:rsid w:val="000153EC"/>
    <w:rsid w:val="000154F9"/>
    <w:rsid w:val="000155C1"/>
    <w:rsid w:val="000155D9"/>
    <w:rsid w:val="00015641"/>
    <w:rsid w:val="0001565D"/>
    <w:rsid w:val="0001578C"/>
    <w:rsid w:val="000158E7"/>
    <w:rsid w:val="000159A3"/>
    <w:rsid w:val="000159C9"/>
    <w:rsid w:val="00015A0B"/>
    <w:rsid w:val="00015B13"/>
    <w:rsid w:val="00015B78"/>
    <w:rsid w:val="00015D1E"/>
    <w:rsid w:val="00015DBF"/>
    <w:rsid w:val="00015E55"/>
    <w:rsid w:val="00015E5B"/>
    <w:rsid w:val="00015F30"/>
    <w:rsid w:val="00015FDF"/>
    <w:rsid w:val="00016006"/>
    <w:rsid w:val="00016091"/>
    <w:rsid w:val="000161F0"/>
    <w:rsid w:val="00016332"/>
    <w:rsid w:val="00016385"/>
    <w:rsid w:val="000163A9"/>
    <w:rsid w:val="000164A9"/>
    <w:rsid w:val="00016554"/>
    <w:rsid w:val="0001661C"/>
    <w:rsid w:val="0001667B"/>
    <w:rsid w:val="000169BC"/>
    <w:rsid w:val="00016A02"/>
    <w:rsid w:val="00016A38"/>
    <w:rsid w:val="00016B81"/>
    <w:rsid w:val="00016C36"/>
    <w:rsid w:val="00016C39"/>
    <w:rsid w:val="00016EE4"/>
    <w:rsid w:val="0001706C"/>
    <w:rsid w:val="00017088"/>
    <w:rsid w:val="000170E0"/>
    <w:rsid w:val="00017202"/>
    <w:rsid w:val="00017254"/>
    <w:rsid w:val="00017287"/>
    <w:rsid w:val="000173B7"/>
    <w:rsid w:val="000173B8"/>
    <w:rsid w:val="000173C6"/>
    <w:rsid w:val="00017547"/>
    <w:rsid w:val="000175A2"/>
    <w:rsid w:val="00017686"/>
    <w:rsid w:val="000176C5"/>
    <w:rsid w:val="00017951"/>
    <w:rsid w:val="00017A05"/>
    <w:rsid w:val="00017AF2"/>
    <w:rsid w:val="00017BF1"/>
    <w:rsid w:val="00017C10"/>
    <w:rsid w:val="00017C74"/>
    <w:rsid w:val="00017CBA"/>
    <w:rsid w:val="00017D01"/>
    <w:rsid w:val="00017DE6"/>
    <w:rsid w:val="00017E41"/>
    <w:rsid w:val="00017FE2"/>
    <w:rsid w:val="0001A61F"/>
    <w:rsid w:val="0001C839"/>
    <w:rsid w:val="00020063"/>
    <w:rsid w:val="000200D1"/>
    <w:rsid w:val="00020136"/>
    <w:rsid w:val="000201E4"/>
    <w:rsid w:val="000201F9"/>
    <w:rsid w:val="0002044C"/>
    <w:rsid w:val="0002047A"/>
    <w:rsid w:val="00020504"/>
    <w:rsid w:val="00020515"/>
    <w:rsid w:val="000205BB"/>
    <w:rsid w:val="00020658"/>
    <w:rsid w:val="0002080F"/>
    <w:rsid w:val="00020A4B"/>
    <w:rsid w:val="00020D9D"/>
    <w:rsid w:val="00020E69"/>
    <w:rsid w:val="00020ED4"/>
    <w:rsid w:val="00020EFD"/>
    <w:rsid w:val="00020F68"/>
    <w:rsid w:val="00021052"/>
    <w:rsid w:val="000210D0"/>
    <w:rsid w:val="000210D9"/>
    <w:rsid w:val="0002113E"/>
    <w:rsid w:val="000211A9"/>
    <w:rsid w:val="0002134D"/>
    <w:rsid w:val="0002139C"/>
    <w:rsid w:val="00021434"/>
    <w:rsid w:val="000214C4"/>
    <w:rsid w:val="000214C5"/>
    <w:rsid w:val="000214EB"/>
    <w:rsid w:val="00021542"/>
    <w:rsid w:val="00021548"/>
    <w:rsid w:val="00021706"/>
    <w:rsid w:val="00021715"/>
    <w:rsid w:val="000217AC"/>
    <w:rsid w:val="000217BD"/>
    <w:rsid w:val="000217F0"/>
    <w:rsid w:val="0002184E"/>
    <w:rsid w:val="00021873"/>
    <w:rsid w:val="00021C93"/>
    <w:rsid w:val="00021C9A"/>
    <w:rsid w:val="00021D05"/>
    <w:rsid w:val="00021D1C"/>
    <w:rsid w:val="00021E3D"/>
    <w:rsid w:val="00021EC8"/>
    <w:rsid w:val="00021F2E"/>
    <w:rsid w:val="0002207F"/>
    <w:rsid w:val="00022118"/>
    <w:rsid w:val="00022143"/>
    <w:rsid w:val="0002218C"/>
    <w:rsid w:val="0002226D"/>
    <w:rsid w:val="00022278"/>
    <w:rsid w:val="00022301"/>
    <w:rsid w:val="000223B6"/>
    <w:rsid w:val="000225CB"/>
    <w:rsid w:val="00022746"/>
    <w:rsid w:val="0002280D"/>
    <w:rsid w:val="000228E1"/>
    <w:rsid w:val="00022AC0"/>
    <w:rsid w:val="00022ACB"/>
    <w:rsid w:val="00022AFF"/>
    <w:rsid w:val="00022B4B"/>
    <w:rsid w:val="00022B71"/>
    <w:rsid w:val="00022D0C"/>
    <w:rsid w:val="00022D59"/>
    <w:rsid w:val="00022EDC"/>
    <w:rsid w:val="00022F45"/>
    <w:rsid w:val="00022F6D"/>
    <w:rsid w:val="000230D5"/>
    <w:rsid w:val="000230EE"/>
    <w:rsid w:val="0002314C"/>
    <w:rsid w:val="000232B4"/>
    <w:rsid w:val="000232B8"/>
    <w:rsid w:val="00023414"/>
    <w:rsid w:val="0002344B"/>
    <w:rsid w:val="00023461"/>
    <w:rsid w:val="00023475"/>
    <w:rsid w:val="00023476"/>
    <w:rsid w:val="000234DD"/>
    <w:rsid w:val="0002353C"/>
    <w:rsid w:val="000235ED"/>
    <w:rsid w:val="0002367F"/>
    <w:rsid w:val="0002369E"/>
    <w:rsid w:val="000236BB"/>
    <w:rsid w:val="0002383A"/>
    <w:rsid w:val="00023867"/>
    <w:rsid w:val="00023873"/>
    <w:rsid w:val="0002387E"/>
    <w:rsid w:val="000238BD"/>
    <w:rsid w:val="00023D50"/>
    <w:rsid w:val="00023D84"/>
    <w:rsid w:val="00023DBB"/>
    <w:rsid w:val="00023E05"/>
    <w:rsid w:val="00023E3D"/>
    <w:rsid w:val="00023E4B"/>
    <w:rsid w:val="00023EF5"/>
    <w:rsid w:val="00023F93"/>
    <w:rsid w:val="00024039"/>
    <w:rsid w:val="0002404A"/>
    <w:rsid w:val="000240F3"/>
    <w:rsid w:val="00024120"/>
    <w:rsid w:val="00024161"/>
    <w:rsid w:val="0002420F"/>
    <w:rsid w:val="0002429A"/>
    <w:rsid w:val="000242A4"/>
    <w:rsid w:val="00024342"/>
    <w:rsid w:val="00024394"/>
    <w:rsid w:val="0002447E"/>
    <w:rsid w:val="00024563"/>
    <w:rsid w:val="00024606"/>
    <w:rsid w:val="00024675"/>
    <w:rsid w:val="0002467C"/>
    <w:rsid w:val="00024732"/>
    <w:rsid w:val="00024751"/>
    <w:rsid w:val="00024769"/>
    <w:rsid w:val="00024864"/>
    <w:rsid w:val="000249AE"/>
    <w:rsid w:val="000249CB"/>
    <w:rsid w:val="00024A2E"/>
    <w:rsid w:val="00024B54"/>
    <w:rsid w:val="00024BC9"/>
    <w:rsid w:val="00024C7A"/>
    <w:rsid w:val="00024CA8"/>
    <w:rsid w:val="00024DA3"/>
    <w:rsid w:val="00024DDA"/>
    <w:rsid w:val="00024E51"/>
    <w:rsid w:val="00024E56"/>
    <w:rsid w:val="00024E59"/>
    <w:rsid w:val="00024ED8"/>
    <w:rsid w:val="00024EE4"/>
    <w:rsid w:val="00024F4B"/>
    <w:rsid w:val="00025063"/>
    <w:rsid w:val="0002534F"/>
    <w:rsid w:val="00025368"/>
    <w:rsid w:val="000253E7"/>
    <w:rsid w:val="00025520"/>
    <w:rsid w:val="00025592"/>
    <w:rsid w:val="000255DC"/>
    <w:rsid w:val="00025762"/>
    <w:rsid w:val="00025802"/>
    <w:rsid w:val="00025810"/>
    <w:rsid w:val="000258BC"/>
    <w:rsid w:val="000258D3"/>
    <w:rsid w:val="00025961"/>
    <w:rsid w:val="00025AB3"/>
    <w:rsid w:val="00025B7D"/>
    <w:rsid w:val="00025B97"/>
    <w:rsid w:val="00025C72"/>
    <w:rsid w:val="00025C78"/>
    <w:rsid w:val="00025CF7"/>
    <w:rsid w:val="00025D1C"/>
    <w:rsid w:val="00025DDB"/>
    <w:rsid w:val="00025E0D"/>
    <w:rsid w:val="00025E52"/>
    <w:rsid w:val="00025F25"/>
    <w:rsid w:val="00026014"/>
    <w:rsid w:val="00026073"/>
    <w:rsid w:val="0002612F"/>
    <w:rsid w:val="0002617C"/>
    <w:rsid w:val="000261A7"/>
    <w:rsid w:val="000261BF"/>
    <w:rsid w:val="000261EC"/>
    <w:rsid w:val="00026370"/>
    <w:rsid w:val="000263DE"/>
    <w:rsid w:val="000263E4"/>
    <w:rsid w:val="00026465"/>
    <w:rsid w:val="00026504"/>
    <w:rsid w:val="000265C8"/>
    <w:rsid w:val="000267C0"/>
    <w:rsid w:val="00026977"/>
    <w:rsid w:val="00026A10"/>
    <w:rsid w:val="00026A24"/>
    <w:rsid w:val="00026B31"/>
    <w:rsid w:val="00026B47"/>
    <w:rsid w:val="00026B6E"/>
    <w:rsid w:val="00026D07"/>
    <w:rsid w:val="00026E1D"/>
    <w:rsid w:val="00026E3B"/>
    <w:rsid w:val="00026E99"/>
    <w:rsid w:val="00026F49"/>
    <w:rsid w:val="00027069"/>
    <w:rsid w:val="00027075"/>
    <w:rsid w:val="000271F2"/>
    <w:rsid w:val="000271FF"/>
    <w:rsid w:val="00027209"/>
    <w:rsid w:val="0002726A"/>
    <w:rsid w:val="0002737D"/>
    <w:rsid w:val="00027494"/>
    <w:rsid w:val="000274BF"/>
    <w:rsid w:val="000274FC"/>
    <w:rsid w:val="0002759F"/>
    <w:rsid w:val="000275AC"/>
    <w:rsid w:val="000275BD"/>
    <w:rsid w:val="00027686"/>
    <w:rsid w:val="0002775F"/>
    <w:rsid w:val="000277C7"/>
    <w:rsid w:val="00027821"/>
    <w:rsid w:val="000279C5"/>
    <w:rsid w:val="00027B0F"/>
    <w:rsid w:val="00027B70"/>
    <w:rsid w:val="00027B8C"/>
    <w:rsid w:val="00027BEF"/>
    <w:rsid w:val="00027D70"/>
    <w:rsid w:val="00027DA0"/>
    <w:rsid w:val="00027E2F"/>
    <w:rsid w:val="00027E33"/>
    <w:rsid w:val="00027EA1"/>
    <w:rsid w:val="00027F47"/>
    <w:rsid w:val="0002A028"/>
    <w:rsid w:val="000301A5"/>
    <w:rsid w:val="000301CB"/>
    <w:rsid w:val="0003020C"/>
    <w:rsid w:val="00030234"/>
    <w:rsid w:val="000302C2"/>
    <w:rsid w:val="00030317"/>
    <w:rsid w:val="00030437"/>
    <w:rsid w:val="0003068E"/>
    <w:rsid w:val="0003074E"/>
    <w:rsid w:val="000308B1"/>
    <w:rsid w:val="000308B5"/>
    <w:rsid w:val="00030995"/>
    <w:rsid w:val="000309C4"/>
    <w:rsid w:val="00030A0C"/>
    <w:rsid w:val="00030A42"/>
    <w:rsid w:val="00030A71"/>
    <w:rsid w:val="00030AEE"/>
    <w:rsid w:val="00030BAA"/>
    <w:rsid w:val="00030C26"/>
    <w:rsid w:val="00030CAB"/>
    <w:rsid w:val="00030D28"/>
    <w:rsid w:val="00030D31"/>
    <w:rsid w:val="00030D5D"/>
    <w:rsid w:val="00030E46"/>
    <w:rsid w:val="00030F7F"/>
    <w:rsid w:val="00031048"/>
    <w:rsid w:val="000310AE"/>
    <w:rsid w:val="000310D5"/>
    <w:rsid w:val="00031102"/>
    <w:rsid w:val="00031124"/>
    <w:rsid w:val="00031171"/>
    <w:rsid w:val="000311AE"/>
    <w:rsid w:val="0003123E"/>
    <w:rsid w:val="000315BB"/>
    <w:rsid w:val="0003168B"/>
    <w:rsid w:val="00031718"/>
    <w:rsid w:val="00031745"/>
    <w:rsid w:val="0003185F"/>
    <w:rsid w:val="000318E6"/>
    <w:rsid w:val="000318FF"/>
    <w:rsid w:val="00031919"/>
    <w:rsid w:val="0003194E"/>
    <w:rsid w:val="000319F8"/>
    <w:rsid w:val="00031A14"/>
    <w:rsid w:val="00031A87"/>
    <w:rsid w:val="00031D13"/>
    <w:rsid w:val="00031DC9"/>
    <w:rsid w:val="00031DDE"/>
    <w:rsid w:val="00031E14"/>
    <w:rsid w:val="00031EA1"/>
    <w:rsid w:val="00031EA2"/>
    <w:rsid w:val="00031F79"/>
    <w:rsid w:val="00031F82"/>
    <w:rsid w:val="00032006"/>
    <w:rsid w:val="0003200B"/>
    <w:rsid w:val="00032261"/>
    <w:rsid w:val="00032310"/>
    <w:rsid w:val="00032457"/>
    <w:rsid w:val="00032469"/>
    <w:rsid w:val="00032474"/>
    <w:rsid w:val="0003251D"/>
    <w:rsid w:val="0003259F"/>
    <w:rsid w:val="000325AE"/>
    <w:rsid w:val="000326A4"/>
    <w:rsid w:val="000326F6"/>
    <w:rsid w:val="000327C2"/>
    <w:rsid w:val="000328F4"/>
    <w:rsid w:val="00032917"/>
    <w:rsid w:val="00032A03"/>
    <w:rsid w:val="00032A3F"/>
    <w:rsid w:val="00032A51"/>
    <w:rsid w:val="00032ACA"/>
    <w:rsid w:val="00032AFB"/>
    <w:rsid w:val="00032C1E"/>
    <w:rsid w:val="00032DBF"/>
    <w:rsid w:val="00032F06"/>
    <w:rsid w:val="00032F71"/>
    <w:rsid w:val="00032FA1"/>
    <w:rsid w:val="0003300F"/>
    <w:rsid w:val="00033027"/>
    <w:rsid w:val="000330A9"/>
    <w:rsid w:val="000330D7"/>
    <w:rsid w:val="000332EA"/>
    <w:rsid w:val="0003334E"/>
    <w:rsid w:val="000333F7"/>
    <w:rsid w:val="000334B6"/>
    <w:rsid w:val="0003352E"/>
    <w:rsid w:val="00033565"/>
    <w:rsid w:val="000335EB"/>
    <w:rsid w:val="000335EC"/>
    <w:rsid w:val="00033793"/>
    <w:rsid w:val="000337F6"/>
    <w:rsid w:val="00033B6D"/>
    <w:rsid w:val="00033BB7"/>
    <w:rsid w:val="00033BCF"/>
    <w:rsid w:val="00033BDB"/>
    <w:rsid w:val="00033C34"/>
    <w:rsid w:val="00033C3C"/>
    <w:rsid w:val="00033C48"/>
    <w:rsid w:val="00033C4E"/>
    <w:rsid w:val="00033C5F"/>
    <w:rsid w:val="00033C6F"/>
    <w:rsid w:val="00033C76"/>
    <w:rsid w:val="00033C96"/>
    <w:rsid w:val="00033D28"/>
    <w:rsid w:val="00033DA8"/>
    <w:rsid w:val="00033EA3"/>
    <w:rsid w:val="00033F96"/>
    <w:rsid w:val="00033FE2"/>
    <w:rsid w:val="00034012"/>
    <w:rsid w:val="00034111"/>
    <w:rsid w:val="00034154"/>
    <w:rsid w:val="00034223"/>
    <w:rsid w:val="00034296"/>
    <w:rsid w:val="00034304"/>
    <w:rsid w:val="000343F9"/>
    <w:rsid w:val="000344A1"/>
    <w:rsid w:val="000344BE"/>
    <w:rsid w:val="00034553"/>
    <w:rsid w:val="0003455F"/>
    <w:rsid w:val="000345B3"/>
    <w:rsid w:val="000345BD"/>
    <w:rsid w:val="0003491F"/>
    <w:rsid w:val="00034A68"/>
    <w:rsid w:val="00034B90"/>
    <w:rsid w:val="00034BDA"/>
    <w:rsid w:val="00034C12"/>
    <w:rsid w:val="00034CBC"/>
    <w:rsid w:val="00034CBD"/>
    <w:rsid w:val="00034E9F"/>
    <w:rsid w:val="00034EF8"/>
    <w:rsid w:val="00034F8F"/>
    <w:rsid w:val="00035068"/>
    <w:rsid w:val="000350FE"/>
    <w:rsid w:val="00035141"/>
    <w:rsid w:val="000351BB"/>
    <w:rsid w:val="000351E9"/>
    <w:rsid w:val="0003525F"/>
    <w:rsid w:val="0003537E"/>
    <w:rsid w:val="000353A8"/>
    <w:rsid w:val="000353B5"/>
    <w:rsid w:val="000353BB"/>
    <w:rsid w:val="000353ED"/>
    <w:rsid w:val="00035422"/>
    <w:rsid w:val="00035447"/>
    <w:rsid w:val="0003545B"/>
    <w:rsid w:val="000354E5"/>
    <w:rsid w:val="00035528"/>
    <w:rsid w:val="00035563"/>
    <w:rsid w:val="000355D5"/>
    <w:rsid w:val="000355E2"/>
    <w:rsid w:val="000356AF"/>
    <w:rsid w:val="000356F7"/>
    <w:rsid w:val="000357F4"/>
    <w:rsid w:val="0003586E"/>
    <w:rsid w:val="000358DE"/>
    <w:rsid w:val="00035A56"/>
    <w:rsid w:val="00035A8A"/>
    <w:rsid w:val="00035B76"/>
    <w:rsid w:val="00035B78"/>
    <w:rsid w:val="00035BDF"/>
    <w:rsid w:val="00035C21"/>
    <w:rsid w:val="00035C82"/>
    <w:rsid w:val="00035C8E"/>
    <w:rsid w:val="00035D42"/>
    <w:rsid w:val="00035D55"/>
    <w:rsid w:val="00035D66"/>
    <w:rsid w:val="00035DCF"/>
    <w:rsid w:val="00035DD8"/>
    <w:rsid w:val="00035E03"/>
    <w:rsid w:val="00035E21"/>
    <w:rsid w:val="00035EB9"/>
    <w:rsid w:val="00035EC4"/>
    <w:rsid w:val="00035FF2"/>
    <w:rsid w:val="0003601D"/>
    <w:rsid w:val="00036064"/>
    <w:rsid w:val="00036097"/>
    <w:rsid w:val="00036217"/>
    <w:rsid w:val="00036292"/>
    <w:rsid w:val="0003638F"/>
    <w:rsid w:val="000365ED"/>
    <w:rsid w:val="00036649"/>
    <w:rsid w:val="000366CB"/>
    <w:rsid w:val="0003670C"/>
    <w:rsid w:val="000367A8"/>
    <w:rsid w:val="00036A21"/>
    <w:rsid w:val="00036A73"/>
    <w:rsid w:val="00036B0C"/>
    <w:rsid w:val="00036B3F"/>
    <w:rsid w:val="00036C8D"/>
    <w:rsid w:val="00036CC1"/>
    <w:rsid w:val="00036DAF"/>
    <w:rsid w:val="00036DCD"/>
    <w:rsid w:val="00036DD1"/>
    <w:rsid w:val="00036EC0"/>
    <w:rsid w:val="00036F29"/>
    <w:rsid w:val="00036F7E"/>
    <w:rsid w:val="00036F85"/>
    <w:rsid w:val="0003700E"/>
    <w:rsid w:val="0003703C"/>
    <w:rsid w:val="00037114"/>
    <w:rsid w:val="0003714F"/>
    <w:rsid w:val="00037282"/>
    <w:rsid w:val="00037292"/>
    <w:rsid w:val="0003731C"/>
    <w:rsid w:val="00037478"/>
    <w:rsid w:val="00037512"/>
    <w:rsid w:val="00037529"/>
    <w:rsid w:val="0003766D"/>
    <w:rsid w:val="0003779E"/>
    <w:rsid w:val="000377F0"/>
    <w:rsid w:val="00037889"/>
    <w:rsid w:val="000378FF"/>
    <w:rsid w:val="0003793B"/>
    <w:rsid w:val="000379C1"/>
    <w:rsid w:val="00037A63"/>
    <w:rsid w:val="00037AB5"/>
    <w:rsid w:val="00037AE6"/>
    <w:rsid w:val="00037B20"/>
    <w:rsid w:val="00037B52"/>
    <w:rsid w:val="00037BAA"/>
    <w:rsid w:val="00037C1B"/>
    <w:rsid w:val="00037CCD"/>
    <w:rsid w:val="00037CFB"/>
    <w:rsid w:val="00037D78"/>
    <w:rsid w:val="00037EA8"/>
    <w:rsid w:val="00037EE7"/>
    <w:rsid w:val="00037F21"/>
    <w:rsid w:val="00037FA3"/>
    <w:rsid w:val="00040112"/>
    <w:rsid w:val="0004013B"/>
    <w:rsid w:val="0004015F"/>
    <w:rsid w:val="00040263"/>
    <w:rsid w:val="000402CE"/>
    <w:rsid w:val="0004032E"/>
    <w:rsid w:val="00040394"/>
    <w:rsid w:val="000405CD"/>
    <w:rsid w:val="00040645"/>
    <w:rsid w:val="00040745"/>
    <w:rsid w:val="0004075D"/>
    <w:rsid w:val="0004076A"/>
    <w:rsid w:val="0004080D"/>
    <w:rsid w:val="000409EC"/>
    <w:rsid w:val="00040A8A"/>
    <w:rsid w:val="00040AAB"/>
    <w:rsid w:val="00040B0B"/>
    <w:rsid w:val="00040B98"/>
    <w:rsid w:val="00040BD3"/>
    <w:rsid w:val="00040C32"/>
    <w:rsid w:val="00040C41"/>
    <w:rsid w:val="00040D6F"/>
    <w:rsid w:val="00040D9F"/>
    <w:rsid w:val="00040ECB"/>
    <w:rsid w:val="00040EFB"/>
    <w:rsid w:val="00040F43"/>
    <w:rsid w:val="000410DF"/>
    <w:rsid w:val="00041295"/>
    <w:rsid w:val="000412AF"/>
    <w:rsid w:val="000412FE"/>
    <w:rsid w:val="000413FF"/>
    <w:rsid w:val="0004148F"/>
    <w:rsid w:val="0004155C"/>
    <w:rsid w:val="00041564"/>
    <w:rsid w:val="000415A6"/>
    <w:rsid w:val="000415F3"/>
    <w:rsid w:val="000416BE"/>
    <w:rsid w:val="00041755"/>
    <w:rsid w:val="00041802"/>
    <w:rsid w:val="0004190A"/>
    <w:rsid w:val="00041916"/>
    <w:rsid w:val="00041960"/>
    <w:rsid w:val="00041A73"/>
    <w:rsid w:val="00041ABD"/>
    <w:rsid w:val="00041C0E"/>
    <w:rsid w:val="00041D48"/>
    <w:rsid w:val="00041D7F"/>
    <w:rsid w:val="00041DD3"/>
    <w:rsid w:val="00041DF8"/>
    <w:rsid w:val="00041E48"/>
    <w:rsid w:val="00041EAF"/>
    <w:rsid w:val="00041EBC"/>
    <w:rsid w:val="00041F71"/>
    <w:rsid w:val="00041F7C"/>
    <w:rsid w:val="0004200A"/>
    <w:rsid w:val="00042189"/>
    <w:rsid w:val="000421FB"/>
    <w:rsid w:val="0004224D"/>
    <w:rsid w:val="000422B2"/>
    <w:rsid w:val="00042349"/>
    <w:rsid w:val="000423B3"/>
    <w:rsid w:val="00042477"/>
    <w:rsid w:val="000424AF"/>
    <w:rsid w:val="000424CD"/>
    <w:rsid w:val="0004256F"/>
    <w:rsid w:val="0004257B"/>
    <w:rsid w:val="000425A2"/>
    <w:rsid w:val="000426AA"/>
    <w:rsid w:val="000426C5"/>
    <w:rsid w:val="0004270A"/>
    <w:rsid w:val="000427D8"/>
    <w:rsid w:val="000428FA"/>
    <w:rsid w:val="000429DB"/>
    <w:rsid w:val="00042A51"/>
    <w:rsid w:val="00042BBE"/>
    <w:rsid w:val="00042C20"/>
    <w:rsid w:val="00042C54"/>
    <w:rsid w:val="00042CF7"/>
    <w:rsid w:val="00042E1A"/>
    <w:rsid w:val="00042FAF"/>
    <w:rsid w:val="00042FDF"/>
    <w:rsid w:val="00043027"/>
    <w:rsid w:val="000430A6"/>
    <w:rsid w:val="000430F2"/>
    <w:rsid w:val="00043125"/>
    <w:rsid w:val="00043132"/>
    <w:rsid w:val="00043155"/>
    <w:rsid w:val="00043280"/>
    <w:rsid w:val="00043388"/>
    <w:rsid w:val="000433C3"/>
    <w:rsid w:val="00043458"/>
    <w:rsid w:val="00043459"/>
    <w:rsid w:val="0004358A"/>
    <w:rsid w:val="0004359D"/>
    <w:rsid w:val="000435A8"/>
    <w:rsid w:val="000436AB"/>
    <w:rsid w:val="000436D5"/>
    <w:rsid w:val="000436E1"/>
    <w:rsid w:val="00043737"/>
    <w:rsid w:val="0004378F"/>
    <w:rsid w:val="00043831"/>
    <w:rsid w:val="00043872"/>
    <w:rsid w:val="00043873"/>
    <w:rsid w:val="000438B9"/>
    <w:rsid w:val="00043968"/>
    <w:rsid w:val="0004397F"/>
    <w:rsid w:val="00043B31"/>
    <w:rsid w:val="00043BEB"/>
    <w:rsid w:val="00043C58"/>
    <w:rsid w:val="00043D1B"/>
    <w:rsid w:val="00043E7A"/>
    <w:rsid w:val="00043F56"/>
    <w:rsid w:val="00043F72"/>
    <w:rsid w:val="00043FA3"/>
    <w:rsid w:val="000442CF"/>
    <w:rsid w:val="00044399"/>
    <w:rsid w:val="00044428"/>
    <w:rsid w:val="000444EA"/>
    <w:rsid w:val="0004454B"/>
    <w:rsid w:val="00044601"/>
    <w:rsid w:val="00044663"/>
    <w:rsid w:val="000447C9"/>
    <w:rsid w:val="00044858"/>
    <w:rsid w:val="0004489B"/>
    <w:rsid w:val="00044912"/>
    <w:rsid w:val="0004497F"/>
    <w:rsid w:val="00044A54"/>
    <w:rsid w:val="00044B19"/>
    <w:rsid w:val="00044B7C"/>
    <w:rsid w:val="00044CDF"/>
    <w:rsid w:val="00044DCA"/>
    <w:rsid w:val="00044F0A"/>
    <w:rsid w:val="00045005"/>
    <w:rsid w:val="0004502F"/>
    <w:rsid w:val="0004514B"/>
    <w:rsid w:val="00045352"/>
    <w:rsid w:val="00045478"/>
    <w:rsid w:val="000454FB"/>
    <w:rsid w:val="000455E9"/>
    <w:rsid w:val="0004562B"/>
    <w:rsid w:val="000456E5"/>
    <w:rsid w:val="000458B1"/>
    <w:rsid w:val="00045984"/>
    <w:rsid w:val="00045AF9"/>
    <w:rsid w:val="00045AFF"/>
    <w:rsid w:val="00045CB0"/>
    <w:rsid w:val="00045CDC"/>
    <w:rsid w:val="00045D23"/>
    <w:rsid w:val="00045F40"/>
    <w:rsid w:val="00046052"/>
    <w:rsid w:val="0004605D"/>
    <w:rsid w:val="0004609E"/>
    <w:rsid w:val="000460DC"/>
    <w:rsid w:val="00046136"/>
    <w:rsid w:val="00046164"/>
    <w:rsid w:val="0004620E"/>
    <w:rsid w:val="000462D9"/>
    <w:rsid w:val="000462DE"/>
    <w:rsid w:val="0004632C"/>
    <w:rsid w:val="0004638E"/>
    <w:rsid w:val="0004646F"/>
    <w:rsid w:val="00046478"/>
    <w:rsid w:val="0004666D"/>
    <w:rsid w:val="00046677"/>
    <w:rsid w:val="00046826"/>
    <w:rsid w:val="000468E0"/>
    <w:rsid w:val="0004698B"/>
    <w:rsid w:val="0004698E"/>
    <w:rsid w:val="00046B0A"/>
    <w:rsid w:val="00046BE6"/>
    <w:rsid w:val="00046C59"/>
    <w:rsid w:val="00046C5B"/>
    <w:rsid w:val="00046DF2"/>
    <w:rsid w:val="00046E2A"/>
    <w:rsid w:val="00046E2B"/>
    <w:rsid w:val="00046E34"/>
    <w:rsid w:val="00046F37"/>
    <w:rsid w:val="00046F3D"/>
    <w:rsid w:val="00046FE5"/>
    <w:rsid w:val="0004704A"/>
    <w:rsid w:val="000470B3"/>
    <w:rsid w:val="000470C5"/>
    <w:rsid w:val="0004728A"/>
    <w:rsid w:val="000472CE"/>
    <w:rsid w:val="00047332"/>
    <w:rsid w:val="0004752D"/>
    <w:rsid w:val="00047617"/>
    <w:rsid w:val="00047632"/>
    <w:rsid w:val="000476F4"/>
    <w:rsid w:val="00047724"/>
    <w:rsid w:val="000477BE"/>
    <w:rsid w:val="00047816"/>
    <w:rsid w:val="00047828"/>
    <w:rsid w:val="00047834"/>
    <w:rsid w:val="0004783C"/>
    <w:rsid w:val="0004789D"/>
    <w:rsid w:val="00047905"/>
    <w:rsid w:val="000479B0"/>
    <w:rsid w:val="000479CF"/>
    <w:rsid w:val="000479DE"/>
    <w:rsid w:val="00047AD3"/>
    <w:rsid w:val="00047C6A"/>
    <w:rsid w:val="00047C78"/>
    <w:rsid w:val="00047D8B"/>
    <w:rsid w:val="00047DC4"/>
    <w:rsid w:val="00047DD0"/>
    <w:rsid w:val="00047E0B"/>
    <w:rsid w:val="00047EA5"/>
    <w:rsid w:val="00047F74"/>
    <w:rsid w:val="00050029"/>
    <w:rsid w:val="000500B7"/>
    <w:rsid w:val="00050209"/>
    <w:rsid w:val="000502C4"/>
    <w:rsid w:val="0005036C"/>
    <w:rsid w:val="00050572"/>
    <w:rsid w:val="00050622"/>
    <w:rsid w:val="00050750"/>
    <w:rsid w:val="00050775"/>
    <w:rsid w:val="00050878"/>
    <w:rsid w:val="00050897"/>
    <w:rsid w:val="000508C5"/>
    <w:rsid w:val="00050946"/>
    <w:rsid w:val="0005096F"/>
    <w:rsid w:val="000509FF"/>
    <w:rsid w:val="00050A32"/>
    <w:rsid w:val="00050D91"/>
    <w:rsid w:val="00050DA2"/>
    <w:rsid w:val="00050DBF"/>
    <w:rsid w:val="00050DD4"/>
    <w:rsid w:val="00050DF8"/>
    <w:rsid w:val="00050E4B"/>
    <w:rsid w:val="00050E60"/>
    <w:rsid w:val="00050EDE"/>
    <w:rsid w:val="00050F4D"/>
    <w:rsid w:val="00050FD7"/>
    <w:rsid w:val="00051112"/>
    <w:rsid w:val="00051140"/>
    <w:rsid w:val="00051179"/>
    <w:rsid w:val="00051181"/>
    <w:rsid w:val="00051439"/>
    <w:rsid w:val="0005160C"/>
    <w:rsid w:val="000516BA"/>
    <w:rsid w:val="00051752"/>
    <w:rsid w:val="00051811"/>
    <w:rsid w:val="00051A2F"/>
    <w:rsid w:val="00051B07"/>
    <w:rsid w:val="00051B73"/>
    <w:rsid w:val="00051C58"/>
    <w:rsid w:val="00051CDC"/>
    <w:rsid w:val="00051CF2"/>
    <w:rsid w:val="00051E17"/>
    <w:rsid w:val="00051F57"/>
    <w:rsid w:val="00051F6D"/>
    <w:rsid w:val="00051FCE"/>
    <w:rsid w:val="0005208B"/>
    <w:rsid w:val="000520F6"/>
    <w:rsid w:val="00052165"/>
    <w:rsid w:val="0005218E"/>
    <w:rsid w:val="000521B9"/>
    <w:rsid w:val="00052201"/>
    <w:rsid w:val="0005225A"/>
    <w:rsid w:val="00052365"/>
    <w:rsid w:val="00052439"/>
    <w:rsid w:val="000524A7"/>
    <w:rsid w:val="000524B2"/>
    <w:rsid w:val="0005261F"/>
    <w:rsid w:val="0005264C"/>
    <w:rsid w:val="000527A5"/>
    <w:rsid w:val="000528AD"/>
    <w:rsid w:val="00052984"/>
    <w:rsid w:val="00052A8E"/>
    <w:rsid w:val="00052C03"/>
    <w:rsid w:val="00052C77"/>
    <w:rsid w:val="00052CB5"/>
    <w:rsid w:val="00052D43"/>
    <w:rsid w:val="00052E7A"/>
    <w:rsid w:val="00052F00"/>
    <w:rsid w:val="00052F2F"/>
    <w:rsid w:val="00052F47"/>
    <w:rsid w:val="00052FED"/>
    <w:rsid w:val="0005306B"/>
    <w:rsid w:val="000530AD"/>
    <w:rsid w:val="00053132"/>
    <w:rsid w:val="000531D8"/>
    <w:rsid w:val="0005321F"/>
    <w:rsid w:val="000532A5"/>
    <w:rsid w:val="000532F0"/>
    <w:rsid w:val="0005333C"/>
    <w:rsid w:val="000533B1"/>
    <w:rsid w:val="000534C0"/>
    <w:rsid w:val="000534C9"/>
    <w:rsid w:val="000534E5"/>
    <w:rsid w:val="00053546"/>
    <w:rsid w:val="000535D8"/>
    <w:rsid w:val="00053687"/>
    <w:rsid w:val="0005368A"/>
    <w:rsid w:val="000537B8"/>
    <w:rsid w:val="0005383E"/>
    <w:rsid w:val="0005384A"/>
    <w:rsid w:val="0005385F"/>
    <w:rsid w:val="00053894"/>
    <w:rsid w:val="000538A3"/>
    <w:rsid w:val="000538EB"/>
    <w:rsid w:val="000538FF"/>
    <w:rsid w:val="000539AB"/>
    <w:rsid w:val="00053A55"/>
    <w:rsid w:val="00053B1C"/>
    <w:rsid w:val="00053BB0"/>
    <w:rsid w:val="00053C11"/>
    <w:rsid w:val="00053DD2"/>
    <w:rsid w:val="00053FF8"/>
    <w:rsid w:val="0005405B"/>
    <w:rsid w:val="0005415E"/>
    <w:rsid w:val="0005423C"/>
    <w:rsid w:val="00054382"/>
    <w:rsid w:val="0005445D"/>
    <w:rsid w:val="0005447E"/>
    <w:rsid w:val="0005457C"/>
    <w:rsid w:val="00054607"/>
    <w:rsid w:val="00054656"/>
    <w:rsid w:val="000547A8"/>
    <w:rsid w:val="000547DF"/>
    <w:rsid w:val="000548AE"/>
    <w:rsid w:val="000548BC"/>
    <w:rsid w:val="000548E4"/>
    <w:rsid w:val="00054938"/>
    <w:rsid w:val="000549FD"/>
    <w:rsid w:val="00054ABD"/>
    <w:rsid w:val="00054C01"/>
    <w:rsid w:val="00054C3F"/>
    <w:rsid w:val="00054CAE"/>
    <w:rsid w:val="00054D49"/>
    <w:rsid w:val="00054DAE"/>
    <w:rsid w:val="00054E69"/>
    <w:rsid w:val="00054E99"/>
    <w:rsid w:val="00054FCA"/>
    <w:rsid w:val="0005500C"/>
    <w:rsid w:val="00055069"/>
    <w:rsid w:val="00055083"/>
    <w:rsid w:val="000550C3"/>
    <w:rsid w:val="000551A5"/>
    <w:rsid w:val="000551B9"/>
    <w:rsid w:val="000552D9"/>
    <w:rsid w:val="0005532C"/>
    <w:rsid w:val="00055432"/>
    <w:rsid w:val="000555A2"/>
    <w:rsid w:val="000556CE"/>
    <w:rsid w:val="000557C7"/>
    <w:rsid w:val="00055956"/>
    <w:rsid w:val="00055A64"/>
    <w:rsid w:val="00055A68"/>
    <w:rsid w:val="00055AB9"/>
    <w:rsid w:val="00055BBB"/>
    <w:rsid w:val="00055BE3"/>
    <w:rsid w:val="00055C13"/>
    <w:rsid w:val="00055CA3"/>
    <w:rsid w:val="00055E52"/>
    <w:rsid w:val="00055E90"/>
    <w:rsid w:val="00055F28"/>
    <w:rsid w:val="00055F77"/>
    <w:rsid w:val="00055FED"/>
    <w:rsid w:val="00056033"/>
    <w:rsid w:val="0005626C"/>
    <w:rsid w:val="00056321"/>
    <w:rsid w:val="0005634E"/>
    <w:rsid w:val="00056379"/>
    <w:rsid w:val="0005638D"/>
    <w:rsid w:val="000563F5"/>
    <w:rsid w:val="000564C0"/>
    <w:rsid w:val="00056533"/>
    <w:rsid w:val="0005661D"/>
    <w:rsid w:val="00056654"/>
    <w:rsid w:val="000567DD"/>
    <w:rsid w:val="00056891"/>
    <w:rsid w:val="000568B4"/>
    <w:rsid w:val="000568E5"/>
    <w:rsid w:val="00056910"/>
    <w:rsid w:val="0005692C"/>
    <w:rsid w:val="00056A2C"/>
    <w:rsid w:val="00056A63"/>
    <w:rsid w:val="00056A92"/>
    <w:rsid w:val="00056CAE"/>
    <w:rsid w:val="00056CE0"/>
    <w:rsid w:val="00056D01"/>
    <w:rsid w:val="00056DF2"/>
    <w:rsid w:val="00056E6C"/>
    <w:rsid w:val="000570B8"/>
    <w:rsid w:val="000570C7"/>
    <w:rsid w:val="00057170"/>
    <w:rsid w:val="000571EE"/>
    <w:rsid w:val="000572DF"/>
    <w:rsid w:val="00057389"/>
    <w:rsid w:val="000573C6"/>
    <w:rsid w:val="00057567"/>
    <w:rsid w:val="00057598"/>
    <w:rsid w:val="0005760D"/>
    <w:rsid w:val="00057658"/>
    <w:rsid w:val="00057692"/>
    <w:rsid w:val="00057711"/>
    <w:rsid w:val="000577AD"/>
    <w:rsid w:val="00057800"/>
    <w:rsid w:val="00057892"/>
    <w:rsid w:val="000578B1"/>
    <w:rsid w:val="00057942"/>
    <w:rsid w:val="00057970"/>
    <w:rsid w:val="00057978"/>
    <w:rsid w:val="00057A1A"/>
    <w:rsid w:val="00057B9F"/>
    <w:rsid w:val="00057BCE"/>
    <w:rsid w:val="00057C3A"/>
    <w:rsid w:val="00057CE9"/>
    <w:rsid w:val="00057CF3"/>
    <w:rsid w:val="00057E5B"/>
    <w:rsid w:val="00057EAE"/>
    <w:rsid w:val="00057EE1"/>
    <w:rsid w:val="0005A034"/>
    <w:rsid w:val="0005FC39"/>
    <w:rsid w:val="0006017F"/>
    <w:rsid w:val="000601D1"/>
    <w:rsid w:val="00060275"/>
    <w:rsid w:val="00060318"/>
    <w:rsid w:val="0006038A"/>
    <w:rsid w:val="000603CB"/>
    <w:rsid w:val="00060522"/>
    <w:rsid w:val="00060694"/>
    <w:rsid w:val="000606B9"/>
    <w:rsid w:val="000609BE"/>
    <w:rsid w:val="00060A1D"/>
    <w:rsid w:val="00060AB0"/>
    <w:rsid w:val="00060B30"/>
    <w:rsid w:val="00060BAE"/>
    <w:rsid w:val="00060D71"/>
    <w:rsid w:val="00060E3F"/>
    <w:rsid w:val="00060ED8"/>
    <w:rsid w:val="00060EFA"/>
    <w:rsid w:val="00060F5E"/>
    <w:rsid w:val="0006101F"/>
    <w:rsid w:val="000610BD"/>
    <w:rsid w:val="00061184"/>
    <w:rsid w:val="00061250"/>
    <w:rsid w:val="000613AE"/>
    <w:rsid w:val="000613C0"/>
    <w:rsid w:val="000613EB"/>
    <w:rsid w:val="00061418"/>
    <w:rsid w:val="0006148F"/>
    <w:rsid w:val="00061504"/>
    <w:rsid w:val="0006152D"/>
    <w:rsid w:val="00061559"/>
    <w:rsid w:val="0006163B"/>
    <w:rsid w:val="00061645"/>
    <w:rsid w:val="000616A0"/>
    <w:rsid w:val="000616FC"/>
    <w:rsid w:val="0006182A"/>
    <w:rsid w:val="0006182D"/>
    <w:rsid w:val="00061849"/>
    <w:rsid w:val="000618FC"/>
    <w:rsid w:val="00061910"/>
    <w:rsid w:val="00061B1B"/>
    <w:rsid w:val="00061BE8"/>
    <w:rsid w:val="00061C26"/>
    <w:rsid w:val="00061C41"/>
    <w:rsid w:val="00061C81"/>
    <w:rsid w:val="00061D62"/>
    <w:rsid w:val="00061DE9"/>
    <w:rsid w:val="00061DEE"/>
    <w:rsid w:val="00061EFA"/>
    <w:rsid w:val="00061F08"/>
    <w:rsid w:val="00061FCE"/>
    <w:rsid w:val="00062098"/>
    <w:rsid w:val="00062358"/>
    <w:rsid w:val="00062399"/>
    <w:rsid w:val="000623F7"/>
    <w:rsid w:val="0006252C"/>
    <w:rsid w:val="000625AA"/>
    <w:rsid w:val="00062615"/>
    <w:rsid w:val="00062637"/>
    <w:rsid w:val="0006266D"/>
    <w:rsid w:val="00062734"/>
    <w:rsid w:val="00062833"/>
    <w:rsid w:val="00062881"/>
    <w:rsid w:val="0006288A"/>
    <w:rsid w:val="00062987"/>
    <w:rsid w:val="000629B1"/>
    <w:rsid w:val="00062A1F"/>
    <w:rsid w:val="00062BC7"/>
    <w:rsid w:val="00062BFE"/>
    <w:rsid w:val="00062C4F"/>
    <w:rsid w:val="00062CA8"/>
    <w:rsid w:val="00062D49"/>
    <w:rsid w:val="00062D60"/>
    <w:rsid w:val="00062D92"/>
    <w:rsid w:val="00062DA8"/>
    <w:rsid w:val="00062E23"/>
    <w:rsid w:val="00062FA5"/>
    <w:rsid w:val="00062FED"/>
    <w:rsid w:val="00063049"/>
    <w:rsid w:val="0006304D"/>
    <w:rsid w:val="000630C8"/>
    <w:rsid w:val="000630D4"/>
    <w:rsid w:val="0006313F"/>
    <w:rsid w:val="0006315B"/>
    <w:rsid w:val="00063222"/>
    <w:rsid w:val="000633B5"/>
    <w:rsid w:val="000633C5"/>
    <w:rsid w:val="000633EB"/>
    <w:rsid w:val="00063486"/>
    <w:rsid w:val="0006359C"/>
    <w:rsid w:val="000635CB"/>
    <w:rsid w:val="000635FA"/>
    <w:rsid w:val="00063648"/>
    <w:rsid w:val="00063808"/>
    <w:rsid w:val="00063900"/>
    <w:rsid w:val="00063994"/>
    <w:rsid w:val="000639C1"/>
    <w:rsid w:val="00063A64"/>
    <w:rsid w:val="00063AF6"/>
    <w:rsid w:val="00063B6E"/>
    <w:rsid w:val="00063B99"/>
    <w:rsid w:val="00063CA6"/>
    <w:rsid w:val="00063CAF"/>
    <w:rsid w:val="00063E4A"/>
    <w:rsid w:val="0006410C"/>
    <w:rsid w:val="000641AF"/>
    <w:rsid w:val="000641E8"/>
    <w:rsid w:val="00064273"/>
    <w:rsid w:val="00064282"/>
    <w:rsid w:val="0006428F"/>
    <w:rsid w:val="000643B5"/>
    <w:rsid w:val="000643F3"/>
    <w:rsid w:val="00064496"/>
    <w:rsid w:val="00064519"/>
    <w:rsid w:val="00064535"/>
    <w:rsid w:val="00064605"/>
    <w:rsid w:val="00064618"/>
    <w:rsid w:val="00064632"/>
    <w:rsid w:val="0006467B"/>
    <w:rsid w:val="00064699"/>
    <w:rsid w:val="00064708"/>
    <w:rsid w:val="000649D0"/>
    <w:rsid w:val="00064A60"/>
    <w:rsid w:val="00064B23"/>
    <w:rsid w:val="00064B24"/>
    <w:rsid w:val="00064B4F"/>
    <w:rsid w:val="00064B65"/>
    <w:rsid w:val="00064B71"/>
    <w:rsid w:val="00064CB6"/>
    <w:rsid w:val="00064D22"/>
    <w:rsid w:val="00064D67"/>
    <w:rsid w:val="00064D9F"/>
    <w:rsid w:val="00064DA2"/>
    <w:rsid w:val="00064E2E"/>
    <w:rsid w:val="00064EDD"/>
    <w:rsid w:val="00064FF1"/>
    <w:rsid w:val="00065066"/>
    <w:rsid w:val="00065099"/>
    <w:rsid w:val="0006510D"/>
    <w:rsid w:val="0006527D"/>
    <w:rsid w:val="00065353"/>
    <w:rsid w:val="00065394"/>
    <w:rsid w:val="000653D0"/>
    <w:rsid w:val="000654AE"/>
    <w:rsid w:val="00065546"/>
    <w:rsid w:val="000655A7"/>
    <w:rsid w:val="000655DD"/>
    <w:rsid w:val="000655F6"/>
    <w:rsid w:val="0006562D"/>
    <w:rsid w:val="00065708"/>
    <w:rsid w:val="0006585B"/>
    <w:rsid w:val="00065861"/>
    <w:rsid w:val="000658BF"/>
    <w:rsid w:val="000658E0"/>
    <w:rsid w:val="00065910"/>
    <w:rsid w:val="000659C6"/>
    <w:rsid w:val="00065A2E"/>
    <w:rsid w:val="00065A49"/>
    <w:rsid w:val="00065AB0"/>
    <w:rsid w:val="00065B28"/>
    <w:rsid w:val="00065BD6"/>
    <w:rsid w:val="00065D58"/>
    <w:rsid w:val="00065DC6"/>
    <w:rsid w:val="00065E84"/>
    <w:rsid w:val="00065F25"/>
    <w:rsid w:val="00065FB1"/>
    <w:rsid w:val="000661D7"/>
    <w:rsid w:val="000661F1"/>
    <w:rsid w:val="0006627E"/>
    <w:rsid w:val="000662D8"/>
    <w:rsid w:val="00066366"/>
    <w:rsid w:val="000663B6"/>
    <w:rsid w:val="00066453"/>
    <w:rsid w:val="00066496"/>
    <w:rsid w:val="000665B8"/>
    <w:rsid w:val="000665E5"/>
    <w:rsid w:val="0006662C"/>
    <w:rsid w:val="0006664F"/>
    <w:rsid w:val="00066719"/>
    <w:rsid w:val="00066780"/>
    <w:rsid w:val="00066810"/>
    <w:rsid w:val="0006685B"/>
    <w:rsid w:val="000669C4"/>
    <w:rsid w:val="00066A0A"/>
    <w:rsid w:val="00066A59"/>
    <w:rsid w:val="00066BB9"/>
    <w:rsid w:val="00066C6A"/>
    <w:rsid w:val="00066D2F"/>
    <w:rsid w:val="00066DAB"/>
    <w:rsid w:val="00066DFD"/>
    <w:rsid w:val="00066F84"/>
    <w:rsid w:val="00067036"/>
    <w:rsid w:val="000670CA"/>
    <w:rsid w:val="0006715C"/>
    <w:rsid w:val="00067176"/>
    <w:rsid w:val="0006718E"/>
    <w:rsid w:val="000671B5"/>
    <w:rsid w:val="000673A1"/>
    <w:rsid w:val="000673A2"/>
    <w:rsid w:val="000673AA"/>
    <w:rsid w:val="00067431"/>
    <w:rsid w:val="0006743A"/>
    <w:rsid w:val="0006772F"/>
    <w:rsid w:val="000677AE"/>
    <w:rsid w:val="000677C4"/>
    <w:rsid w:val="000677D1"/>
    <w:rsid w:val="00067803"/>
    <w:rsid w:val="00067873"/>
    <w:rsid w:val="0006788B"/>
    <w:rsid w:val="000678CD"/>
    <w:rsid w:val="00067971"/>
    <w:rsid w:val="0006799B"/>
    <w:rsid w:val="000679B0"/>
    <w:rsid w:val="00067A4C"/>
    <w:rsid w:val="00067A92"/>
    <w:rsid w:val="00067C6A"/>
    <w:rsid w:val="00067D90"/>
    <w:rsid w:val="00067E4F"/>
    <w:rsid w:val="00067F1D"/>
    <w:rsid w:val="00067F44"/>
    <w:rsid w:val="00068AF9"/>
    <w:rsid w:val="000700EF"/>
    <w:rsid w:val="0007016F"/>
    <w:rsid w:val="0007018C"/>
    <w:rsid w:val="000702C5"/>
    <w:rsid w:val="00070338"/>
    <w:rsid w:val="00070471"/>
    <w:rsid w:val="0007058A"/>
    <w:rsid w:val="00070611"/>
    <w:rsid w:val="00070699"/>
    <w:rsid w:val="0007073D"/>
    <w:rsid w:val="0007082B"/>
    <w:rsid w:val="00070867"/>
    <w:rsid w:val="00070891"/>
    <w:rsid w:val="000709DF"/>
    <w:rsid w:val="00070A06"/>
    <w:rsid w:val="00070AB4"/>
    <w:rsid w:val="00070B9C"/>
    <w:rsid w:val="00070CB9"/>
    <w:rsid w:val="00070DA8"/>
    <w:rsid w:val="00070E7A"/>
    <w:rsid w:val="000710A4"/>
    <w:rsid w:val="0007114C"/>
    <w:rsid w:val="00071181"/>
    <w:rsid w:val="000711AB"/>
    <w:rsid w:val="000711AD"/>
    <w:rsid w:val="0007123A"/>
    <w:rsid w:val="0007143C"/>
    <w:rsid w:val="0007145D"/>
    <w:rsid w:val="0007147C"/>
    <w:rsid w:val="00071521"/>
    <w:rsid w:val="00071566"/>
    <w:rsid w:val="00071598"/>
    <w:rsid w:val="000715E6"/>
    <w:rsid w:val="0007161E"/>
    <w:rsid w:val="0007162D"/>
    <w:rsid w:val="0007164E"/>
    <w:rsid w:val="000717A5"/>
    <w:rsid w:val="000717AC"/>
    <w:rsid w:val="00071802"/>
    <w:rsid w:val="0007180E"/>
    <w:rsid w:val="00071859"/>
    <w:rsid w:val="000719DA"/>
    <w:rsid w:val="00071A71"/>
    <w:rsid w:val="00071BC6"/>
    <w:rsid w:val="00071BE8"/>
    <w:rsid w:val="00071CBB"/>
    <w:rsid w:val="00071CEF"/>
    <w:rsid w:val="00071D07"/>
    <w:rsid w:val="00071DD1"/>
    <w:rsid w:val="00071E6A"/>
    <w:rsid w:val="00071E9A"/>
    <w:rsid w:val="00071ED4"/>
    <w:rsid w:val="00071F2F"/>
    <w:rsid w:val="0007202F"/>
    <w:rsid w:val="0007206E"/>
    <w:rsid w:val="000720F5"/>
    <w:rsid w:val="00072109"/>
    <w:rsid w:val="0007214D"/>
    <w:rsid w:val="0007215C"/>
    <w:rsid w:val="00072264"/>
    <w:rsid w:val="00072271"/>
    <w:rsid w:val="000722C3"/>
    <w:rsid w:val="000722C8"/>
    <w:rsid w:val="0007234B"/>
    <w:rsid w:val="000724E8"/>
    <w:rsid w:val="0007253D"/>
    <w:rsid w:val="00072609"/>
    <w:rsid w:val="0007265D"/>
    <w:rsid w:val="000726C8"/>
    <w:rsid w:val="00072721"/>
    <w:rsid w:val="0007278B"/>
    <w:rsid w:val="00072804"/>
    <w:rsid w:val="00072846"/>
    <w:rsid w:val="00072A43"/>
    <w:rsid w:val="00072B91"/>
    <w:rsid w:val="00072CCA"/>
    <w:rsid w:val="00072D7E"/>
    <w:rsid w:val="00072EE4"/>
    <w:rsid w:val="00072FAD"/>
    <w:rsid w:val="00072FE6"/>
    <w:rsid w:val="00073029"/>
    <w:rsid w:val="000730CD"/>
    <w:rsid w:val="000730FF"/>
    <w:rsid w:val="00073110"/>
    <w:rsid w:val="00073145"/>
    <w:rsid w:val="000732E1"/>
    <w:rsid w:val="00073423"/>
    <w:rsid w:val="0007343E"/>
    <w:rsid w:val="000738DF"/>
    <w:rsid w:val="000738EB"/>
    <w:rsid w:val="000739D9"/>
    <w:rsid w:val="000739E2"/>
    <w:rsid w:val="00073A21"/>
    <w:rsid w:val="00073AB2"/>
    <w:rsid w:val="00073AEC"/>
    <w:rsid w:val="00073B95"/>
    <w:rsid w:val="00073B9B"/>
    <w:rsid w:val="00073C5C"/>
    <w:rsid w:val="00073CEB"/>
    <w:rsid w:val="00073D2C"/>
    <w:rsid w:val="00073E3E"/>
    <w:rsid w:val="00073E86"/>
    <w:rsid w:val="00073E94"/>
    <w:rsid w:val="00073EC0"/>
    <w:rsid w:val="00073FF2"/>
    <w:rsid w:val="000740AD"/>
    <w:rsid w:val="000740AE"/>
    <w:rsid w:val="000740E0"/>
    <w:rsid w:val="000740E1"/>
    <w:rsid w:val="0007436B"/>
    <w:rsid w:val="0007442D"/>
    <w:rsid w:val="00074493"/>
    <w:rsid w:val="00074514"/>
    <w:rsid w:val="00074530"/>
    <w:rsid w:val="00074706"/>
    <w:rsid w:val="0007473A"/>
    <w:rsid w:val="0007497D"/>
    <w:rsid w:val="000749F3"/>
    <w:rsid w:val="00074A48"/>
    <w:rsid w:val="00074AF4"/>
    <w:rsid w:val="00074B7A"/>
    <w:rsid w:val="00074E0F"/>
    <w:rsid w:val="00074E53"/>
    <w:rsid w:val="00074EE9"/>
    <w:rsid w:val="00074F17"/>
    <w:rsid w:val="00075173"/>
    <w:rsid w:val="00075252"/>
    <w:rsid w:val="000752EC"/>
    <w:rsid w:val="00075332"/>
    <w:rsid w:val="000753FD"/>
    <w:rsid w:val="0007548C"/>
    <w:rsid w:val="00075632"/>
    <w:rsid w:val="00075665"/>
    <w:rsid w:val="00075733"/>
    <w:rsid w:val="0007576D"/>
    <w:rsid w:val="00075789"/>
    <w:rsid w:val="000757A2"/>
    <w:rsid w:val="0007587E"/>
    <w:rsid w:val="000758B6"/>
    <w:rsid w:val="00075932"/>
    <w:rsid w:val="00075A6D"/>
    <w:rsid w:val="00075E2E"/>
    <w:rsid w:val="00075E7D"/>
    <w:rsid w:val="00075F24"/>
    <w:rsid w:val="00075F97"/>
    <w:rsid w:val="00075FA1"/>
    <w:rsid w:val="0007601A"/>
    <w:rsid w:val="0007611B"/>
    <w:rsid w:val="00076140"/>
    <w:rsid w:val="000762C1"/>
    <w:rsid w:val="000763BF"/>
    <w:rsid w:val="00076487"/>
    <w:rsid w:val="00076567"/>
    <w:rsid w:val="0007658E"/>
    <w:rsid w:val="000765D4"/>
    <w:rsid w:val="000765EE"/>
    <w:rsid w:val="00076774"/>
    <w:rsid w:val="00076825"/>
    <w:rsid w:val="0007684C"/>
    <w:rsid w:val="00076924"/>
    <w:rsid w:val="000769BC"/>
    <w:rsid w:val="000769CD"/>
    <w:rsid w:val="00076A18"/>
    <w:rsid w:val="00076A8E"/>
    <w:rsid w:val="00076B96"/>
    <w:rsid w:val="00076C41"/>
    <w:rsid w:val="00076CED"/>
    <w:rsid w:val="00076D0E"/>
    <w:rsid w:val="00076D32"/>
    <w:rsid w:val="00076D65"/>
    <w:rsid w:val="00076EB0"/>
    <w:rsid w:val="00076EF6"/>
    <w:rsid w:val="00076F04"/>
    <w:rsid w:val="00076F52"/>
    <w:rsid w:val="00076F65"/>
    <w:rsid w:val="00076FEE"/>
    <w:rsid w:val="00077104"/>
    <w:rsid w:val="000772EC"/>
    <w:rsid w:val="000772F8"/>
    <w:rsid w:val="000773A4"/>
    <w:rsid w:val="000773D2"/>
    <w:rsid w:val="00077424"/>
    <w:rsid w:val="000775DD"/>
    <w:rsid w:val="000776A1"/>
    <w:rsid w:val="000776D7"/>
    <w:rsid w:val="000779BC"/>
    <w:rsid w:val="00077ADB"/>
    <w:rsid w:val="00077ADF"/>
    <w:rsid w:val="00077BD5"/>
    <w:rsid w:val="00077C0C"/>
    <w:rsid w:val="00077C59"/>
    <w:rsid w:val="00077C71"/>
    <w:rsid w:val="00077CAD"/>
    <w:rsid w:val="00077D80"/>
    <w:rsid w:val="00077DCB"/>
    <w:rsid w:val="00077DF6"/>
    <w:rsid w:val="00077DFB"/>
    <w:rsid w:val="00077E90"/>
    <w:rsid w:val="00077F20"/>
    <w:rsid w:val="0007A485"/>
    <w:rsid w:val="00080134"/>
    <w:rsid w:val="00080199"/>
    <w:rsid w:val="000801C5"/>
    <w:rsid w:val="0008023D"/>
    <w:rsid w:val="00080263"/>
    <w:rsid w:val="0008029D"/>
    <w:rsid w:val="000803F6"/>
    <w:rsid w:val="000804F6"/>
    <w:rsid w:val="00080543"/>
    <w:rsid w:val="00080548"/>
    <w:rsid w:val="00080783"/>
    <w:rsid w:val="00080820"/>
    <w:rsid w:val="00080870"/>
    <w:rsid w:val="000808F6"/>
    <w:rsid w:val="0008097B"/>
    <w:rsid w:val="000809F0"/>
    <w:rsid w:val="00080A16"/>
    <w:rsid w:val="00080A36"/>
    <w:rsid w:val="00080A6B"/>
    <w:rsid w:val="00080C2C"/>
    <w:rsid w:val="00080D24"/>
    <w:rsid w:val="00080DE4"/>
    <w:rsid w:val="00080F4A"/>
    <w:rsid w:val="00080F65"/>
    <w:rsid w:val="000810CF"/>
    <w:rsid w:val="00081158"/>
    <w:rsid w:val="0008115B"/>
    <w:rsid w:val="000811C2"/>
    <w:rsid w:val="000811DC"/>
    <w:rsid w:val="000812E2"/>
    <w:rsid w:val="00081465"/>
    <w:rsid w:val="00081485"/>
    <w:rsid w:val="00081496"/>
    <w:rsid w:val="000814EF"/>
    <w:rsid w:val="00081584"/>
    <w:rsid w:val="00081756"/>
    <w:rsid w:val="000817D8"/>
    <w:rsid w:val="000818F7"/>
    <w:rsid w:val="000819C2"/>
    <w:rsid w:val="00081A59"/>
    <w:rsid w:val="00081AA6"/>
    <w:rsid w:val="00081AE0"/>
    <w:rsid w:val="00081B07"/>
    <w:rsid w:val="00081B30"/>
    <w:rsid w:val="00081BE1"/>
    <w:rsid w:val="00081D24"/>
    <w:rsid w:val="00081D29"/>
    <w:rsid w:val="00081D6F"/>
    <w:rsid w:val="00081DBA"/>
    <w:rsid w:val="00081DED"/>
    <w:rsid w:val="00081E28"/>
    <w:rsid w:val="00081E38"/>
    <w:rsid w:val="00081E7A"/>
    <w:rsid w:val="00081E94"/>
    <w:rsid w:val="00081EB7"/>
    <w:rsid w:val="00081F35"/>
    <w:rsid w:val="00082179"/>
    <w:rsid w:val="00082193"/>
    <w:rsid w:val="0008228D"/>
    <w:rsid w:val="0008236F"/>
    <w:rsid w:val="000823DD"/>
    <w:rsid w:val="0008245F"/>
    <w:rsid w:val="000824D2"/>
    <w:rsid w:val="00082544"/>
    <w:rsid w:val="00082586"/>
    <w:rsid w:val="000825A9"/>
    <w:rsid w:val="00082662"/>
    <w:rsid w:val="00082674"/>
    <w:rsid w:val="00082769"/>
    <w:rsid w:val="00082782"/>
    <w:rsid w:val="000827E1"/>
    <w:rsid w:val="000827EF"/>
    <w:rsid w:val="000828A1"/>
    <w:rsid w:val="00082923"/>
    <w:rsid w:val="000829DB"/>
    <w:rsid w:val="00082AF1"/>
    <w:rsid w:val="00082AF2"/>
    <w:rsid w:val="00082C3D"/>
    <w:rsid w:val="00082D13"/>
    <w:rsid w:val="00082EA3"/>
    <w:rsid w:val="00082FB0"/>
    <w:rsid w:val="00082FF3"/>
    <w:rsid w:val="00083179"/>
    <w:rsid w:val="000831B9"/>
    <w:rsid w:val="000831CB"/>
    <w:rsid w:val="00083258"/>
    <w:rsid w:val="000834FB"/>
    <w:rsid w:val="0008357A"/>
    <w:rsid w:val="0008362B"/>
    <w:rsid w:val="00083673"/>
    <w:rsid w:val="000837FF"/>
    <w:rsid w:val="0008380B"/>
    <w:rsid w:val="0008384F"/>
    <w:rsid w:val="00083860"/>
    <w:rsid w:val="00083862"/>
    <w:rsid w:val="000838B1"/>
    <w:rsid w:val="000838BE"/>
    <w:rsid w:val="00083C3D"/>
    <w:rsid w:val="00083CFE"/>
    <w:rsid w:val="00083D3E"/>
    <w:rsid w:val="00083D7E"/>
    <w:rsid w:val="0008406B"/>
    <w:rsid w:val="0008411C"/>
    <w:rsid w:val="0008421E"/>
    <w:rsid w:val="0008435A"/>
    <w:rsid w:val="00084559"/>
    <w:rsid w:val="000845F6"/>
    <w:rsid w:val="00084658"/>
    <w:rsid w:val="0008481D"/>
    <w:rsid w:val="00084828"/>
    <w:rsid w:val="0008485B"/>
    <w:rsid w:val="00084990"/>
    <w:rsid w:val="000849E8"/>
    <w:rsid w:val="00084A80"/>
    <w:rsid w:val="00084B40"/>
    <w:rsid w:val="00084BF3"/>
    <w:rsid w:val="00084D2A"/>
    <w:rsid w:val="00084DC4"/>
    <w:rsid w:val="00084DE1"/>
    <w:rsid w:val="00084DE7"/>
    <w:rsid w:val="00084EEF"/>
    <w:rsid w:val="00084F07"/>
    <w:rsid w:val="000850D4"/>
    <w:rsid w:val="000850F6"/>
    <w:rsid w:val="000851A7"/>
    <w:rsid w:val="000852C9"/>
    <w:rsid w:val="000852D2"/>
    <w:rsid w:val="000852D3"/>
    <w:rsid w:val="00085380"/>
    <w:rsid w:val="0008543B"/>
    <w:rsid w:val="00085470"/>
    <w:rsid w:val="000854D5"/>
    <w:rsid w:val="00085546"/>
    <w:rsid w:val="00085614"/>
    <w:rsid w:val="000856AD"/>
    <w:rsid w:val="0008577E"/>
    <w:rsid w:val="00085826"/>
    <w:rsid w:val="00085951"/>
    <w:rsid w:val="00085956"/>
    <w:rsid w:val="00085A20"/>
    <w:rsid w:val="00085E50"/>
    <w:rsid w:val="00085E5F"/>
    <w:rsid w:val="00085E64"/>
    <w:rsid w:val="00085F30"/>
    <w:rsid w:val="00085F58"/>
    <w:rsid w:val="00085FA1"/>
    <w:rsid w:val="00085FBB"/>
    <w:rsid w:val="00086015"/>
    <w:rsid w:val="00086091"/>
    <w:rsid w:val="000860EF"/>
    <w:rsid w:val="0008612A"/>
    <w:rsid w:val="00086323"/>
    <w:rsid w:val="00086345"/>
    <w:rsid w:val="000863B7"/>
    <w:rsid w:val="000863DC"/>
    <w:rsid w:val="000864F9"/>
    <w:rsid w:val="0008652F"/>
    <w:rsid w:val="000865A6"/>
    <w:rsid w:val="000866E4"/>
    <w:rsid w:val="00086786"/>
    <w:rsid w:val="000867F0"/>
    <w:rsid w:val="0008694C"/>
    <w:rsid w:val="00086954"/>
    <w:rsid w:val="0008697A"/>
    <w:rsid w:val="000869DC"/>
    <w:rsid w:val="000869F4"/>
    <w:rsid w:val="00086A18"/>
    <w:rsid w:val="00086A71"/>
    <w:rsid w:val="00086B6E"/>
    <w:rsid w:val="00086B7D"/>
    <w:rsid w:val="00086B8D"/>
    <w:rsid w:val="00086BEE"/>
    <w:rsid w:val="00086D8C"/>
    <w:rsid w:val="00086E5F"/>
    <w:rsid w:val="00086FDE"/>
    <w:rsid w:val="0008701C"/>
    <w:rsid w:val="0008702C"/>
    <w:rsid w:val="000870A8"/>
    <w:rsid w:val="00087122"/>
    <w:rsid w:val="00087329"/>
    <w:rsid w:val="0008736D"/>
    <w:rsid w:val="000874FC"/>
    <w:rsid w:val="000874FD"/>
    <w:rsid w:val="0008762C"/>
    <w:rsid w:val="00087692"/>
    <w:rsid w:val="000876D6"/>
    <w:rsid w:val="0008783E"/>
    <w:rsid w:val="00087849"/>
    <w:rsid w:val="000878A6"/>
    <w:rsid w:val="000878BB"/>
    <w:rsid w:val="00087985"/>
    <w:rsid w:val="00087A25"/>
    <w:rsid w:val="00087AAD"/>
    <w:rsid w:val="00087AB8"/>
    <w:rsid w:val="00087B65"/>
    <w:rsid w:val="00087C3A"/>
    <w:rsid w:val="00087D5B"/>
    <w:rsid w:val="00087EF3"/>
    <w:rsid w:val="00087FC1"/>
    <w:rsid w:val="0009003E"/>
    <w:rsid w:val="000900E0"/>
    <w:rsid w:val="000901A4"/>
    <w:rsid w:val="000901EB"/>
    <w:rsid w:val="000902BA"/>
    <w:rsid w:val="000902E7"/>
    <w:rsid w:val="000906FC"/>
    <w:rsid w:val="000907B0"/>
    <w:rsid w:val="000908B7"/>
    <w:rsid w:val="00090AC2"/>
    <w:rsid w:val="00090B3B"/>
    <w:rsid w:val="00090B75"/>
    <w:rsid w:val="00090BD7"/>
    <w:rsid w:val="00090C45"/>
    <w:rsid w:val="00090D1B"/>
    <w:rsid w:val="00090D97"/>
    <w:rsid w:val="00090EB3"/>
    <w:rsid w:val="000910DA"/>
    <w:rsid w:val="000912A2"/>
    <w:rsid w:val="0009143E"/>
    <w:rsid w:val="00091465"/>
    <w:rsid w:val="000914C0"/>
    <w:rsid w:val="000916B8"/>
    <w:rsid w:val="0009172B"/>
    <w:rsid w:val="000917B3"/>
    <w:rsid w:val="000917FA"/>
    <w:rsid w:val="00091865"/>
    <w:rsid w:val="00091874"/>
    <w:rsid w:val="000918D2"/>
    <w:rsid w:val="000919D6"/>
    <w:rsid w:val="00091A82"/>
    <w:rsid w:val="00091ADD"/>
    <w:rsid w:val="00091B5A"/>
    <w:rsid w:val="00091B67"/>
    <w:rsid w:val="00091BD3"/>
    <w:rsid w:val="00091C79"/>
    <w:rsid w:val="00091DD2"/>
    <w:rsid w:val="00091E0F"/>
    <w:rsid w:val="00091E35"/>
    <w:rsid w:val="00091E6C"/>
    <w:rsid w:val="00091EDF"/>
    <w:rsid w:val="00091F9A"/>
    <w:rsid w:val="00091FE6"/>
    <w:rsid w:val="00092041"/>
    <w:rsid w:val="00092058"/>
    <w:rsid w:val="0009207E"/>
    <w:rsid w:val="000921E6"/>
    <w:rsid w:val="00092273"/>
    <w:rsid w:val="0009229F"/>
    <w:rsid w:val="000922C0"/>
    <w:rsid w:val="000922E3"/>
    <w:rsid w:val="0009235C"/>
    <w:rsid w:val="000923F2"/>
    <w:rsid w:val="0009265F"/>
    <w:rsid w:val="00092667"/>
    <w:rsid w:val="0009279F"/>
    <w:rsid w:val="000929AE"/>
    <w:rsid w:val="00092BA8"/>
    <w:rsid w:val="00092C08"/>
    <w:rsid w:val="00092C65"/>
    <w:rsid w:val="00092C7D"/>
    <w:rsid w:val="00092D05"/>
    <w:rsid w:val="00092D87"/>
    <w:rsid w:val="00092DAE"/>
    <w:rsid w:val="00092E14"/>
    <w:rsid w:val="00092F1D"/>
    <w:rsid w:val="00092F5B"/>
    <w:rsid w:val="00093009"/>
    <w:rsid w:val="00093070"/>
    <w:rsid w:val="000930FF"/>
    <w:rsid w:val="000931F5"/>
    <w:rsid w:val="000932D8"/>
    <w:rsid w:val="000932D9"/>
    <w:rsid w:val="00093337"/>
    <w:rsid w:val="0009333D"/>
    <w:rsid w:val="0009341F"/>
    <w:rsid w:val="0009349A"/>
    <w:rsid w:val="0009351A"/>
    <w:rsid w:val="0009354C"/>
    <w:rsid w:val="000936F9"/>
    <w:rsid w:val="00093790"/>
    <w:rsid w:val="000937AB"/>
    <w:rsid w:val="000939C1"/>
    <w:rsid w:val="00093A1C"/>
    <w:rsid w:val="00093BF3"/>
    <w:rsid w:val="00093DF1"/>
    <w:rsid w:val="00093ECD"/>
    <w:rsid w:val="00093F72"/>
    <w:rsid w:val="00093FDB"/>
    <w:rsid w:val="00093FEF"/>
    <w:rsid w:val="00093FF1"/>
    <w:rsid w:val="00094047"/>
    <w:rsid w:val="000940D9"/>
    <w:rsid w:val="00094134"/>
    <w:rsid w:val="00094154"/>
    <w:rsid w:val="00094184"/>
    <w:rsid w:val="00094251"/>
    <w:rsid w:val="000942E2"/>
    <w:rsid w:val="0009440D"/>
    <w:rsid w:val="0009441C"/>
    <w:rsid w:val="0009444F"/>
    <w:rsid w:val="000945C0"/>
    <w:rsid w:val="000945C7"/>
    <w:rsid w:val="0009468B"/>
    <w:rsid w:val="00094718"/>
    <w:rsid w:val="0009478E"/>
    <w:rsid w:val="000948ED"/>
    <w:rsid w:val="0009491D"/>
    <w:rsid w:val="0009494D"/>
    <w:rsid w:val="00094A5A"/>
    <w:rsid w:val="00094ACA"/>
    <w:rsid w:val="00094AD7"/>
    <w:rsid w:val="00094B32"/>
    <w:rsid w:val="00094B55"/>
    <w:rsid w:val="00094B84"/>
    <w:rsid w:val="00094BB0"/>
    <w:rsid w:val="00094BCA"/>
    <w:rsid w:val="00094C25"/>
    <w:rsid w:val="00094C38"/>
    <w:rsid w:val="00094CEF"/>
    <w:rsid w:val="00094D14"/>
    <w:rsid w:val="00094D1B"/>
    <w:rsid w:val="00094D1F"/>
    <w:rsid w:val="00094D85"/>
    <w:rsid w:val="00094DBE"/>
    <w:rsid w:val="00094DC5"/>
    <w:rsid w:val="00094E32"/>
    <w:rsid w:val="00094EE6"/>
    <w:rsid w:val="00094F1A"/>
    <w:rsid w:val="0009508E"/>
    <w:rsid w:val="00095107"/>
    <w:rsid w:val="00095163"/>
    <w:rsid w:val="00095202"/>
    <w:rsid w:val="000952C8"/>
    <w:rsid w:val="0009536C"/>
    <w:rsid w:val="0009542F"/>
    <w:rsid w:val="00095488"/>
    <w:rsid w:val="00095584"/>
    <w:rsid w:val="000955A2"/>
    <w:rsid w:val="000957B9"/>
    <w:rsid w:val="000957D3"/>
    <w:rsid w:val="00095851"/>
    <w:rsid w:val="00095890"/>
    <w:rsid w:val="00095891"/>
    <w:rsid w:val="00095934"/>
    <w:rsid w:val="0009596F"/>
    <w:rsid w:val="000959D2"/>
    <w:rsid w:val="000959F6"/>
    <w:rsid w:val="00095A4B"/>
    <w:rsid w:val="00095AEF"/>
    <w:rsid w:val="00095D45"/>
    <w:rsid w:val="00095DDB"/>
    <w:rsid w:val="00095DDF"/>
    <w:rsid w:val="00095E33"/>
    <w:rsid w:val="00095EBE"/>
    <w:rsid w:val="00095EF6"/>
    <w:rsid w:val="00095F06"/>
    <w:rsid w:val="00095FAD"/>
    <w:rsid w:val="0009600E"/>
    <w:rsid w:val="0009601E"/>
    <w:rsid w:val="00096060"/>
    <w:rsid w:val="000960B7"/>
    <w:rsid w:val="00096170"/>
    <w:rsid w:val="00096190"/>
    <w:rsid w:val="00096250"/>
    <w:rsid w:val="0009625E"/>
    <w:rsid w:val="000962FA"/>
    <w:rsid w:val="00096461"/>
    <w:rsid w:val="000964E0"/>
    <w:rsid w:val="000964EA"/>
    <w:rsid w:val="0009651D"/>
    <w:rsid w:val="0009653B"/>
    <w:rsid w:val="0009656D"/>
    <w:rsid w:val="0009657D"/>
    <w:rsid w:val="00096612"/>
    <w:rsid w:val="00096648"/>
    <w:rsid w:val="00096819"/>
    <w:rsid w:val="000968AF"/>
    <w:rsid w:val="000968E6"/>
    <w:rsid w:val="00096971"/>
    <w:rsid w:val="0009697A"/>
    <w:rsid w:val="000969DD"/>
    <w:rsid w:val="00096A40"/>
    <w:rsid w:val="00096A4D"/>
    <w:rsid w:val="00096AB9"/>
    <w:rsid w:val="00096B28"/>
    <w:rsid w:val="00096BBA"/>
    <w:rsid w:val="00096BF9"/>
    <w:rsid w:val="00096C61"/>
    <w:rsid w:val="00096CA5"/>
    <w:rsid w:val="00096CB6"/>
    <w:rsid w:val="00096D2E"/>
    <w:rsid w:val="00096E67"/>
    <w:rsid w:val="00096ECB"/>
    <w:rsid w:val="00096F1C"/>
    <w:rsid w:val="00096F50"/>
    <w:rsid w:val="00097124"/>
    <w:rsid w:val="00097175"/>
    <w:rsid w:val="00097176"/>
    <w:rsid w:val="000971E2"/>
    <w:rsid w:val="0009722F"/>
    <w:rsid w:val="0009727B"/>
    <w:rsid w:val="000972B9"/>
    <w:rsid w:val="00097353"/>
    <w:rsid w:val="00097357"/>
    <w:rsid w:val="000973D7"/>
    <w:rsid w:val="000973F6"/>
    <w:rsid w:val="00097553"/>
    <w:rsid w:val="0009755E"/>
    <w:rsid w:val="000975BF"/>
    <w:rsid w:val="000976AE"/>
    <w:rsid w:val="00097702"/>
    <w:rsid w:val="00097744"/>
    <w:rsid w:val="000977F5"/>
    <w:rsid w:val="000978A8"/>
    <w:rsid w:val="00097A69"/>
    <w:rsid w:val="00097ABE"/>
    <w:rsid w:val="00097B5A"/>
    <w:rsid w:val="00097B9C"/>
    <w:rsid w:val="00097C4F"/>
    <w:rsid w:val="00097CA3"/>
    <w:rsid w:val="00097CB7"/>
    <w:rsid w:val="00097ECA"/>
    <w:rsid w:val="0009B0AC"/>
    <w:rsid w:val="0009BE52"/>
    <w:rsid w:val="000A0109"/>
    <w:rsid w:val="000A0138"/>
    <w:rsid w:val="000A02E1"/>
    <w:rsid w:val="000A04A8"/>
    <w:rsid w:val="000A04AE"/>
    <w:rsid w:val="000A0525"/>
    <w:rsid w:val="000A0611"/>
    <w:rsid w:val="000A0708"/>
    <w:rsid w:val="000A0711"/>
    <w:rsid w:val="000A0783"/>
    <w:rsid w:val="000A07D5"/>
    <w:rsid w:val="000A0834"/>
    <w:rsid w:val="000A08D1"/>
    <w:rsid w:val="000A0A1B"/>
    <w:rsid w:val="000A0AD2"/>
    <w:rsid w:val="000A0C28"/>
    <w:rsid w:val="000A0CC3"/>
    <w:rsid w:val="000A0DDB"/>
    <w:rsid w:val="000A1061"/>
    <w:rsid w:val="000A1082"/>
    <w:rsid w:val="000A11FE"/>
    <w:rsid w:val="000A1338"/>
    <w:rsid w:val="000A153A"/>
    <w:rsid w:val="000A15A7"/>
    <w:rsid w:val="000A161F"/>
    <w:rsid w:val="000A16A9"/>
    <w:rsid w:val="000A16E1"/>
    <w:rsid w:val="000A1796"/>
    <w:rsid w:val="000A1884"/>
    <w:rsid w:val="000A190E"/>
    <w:rsid w:val="000A19C4"/>
    <w:rsid w:val="000A1B39"/>
    <w:rsid w:val="000A1B77"/>
    <w:rsid w:val="000A1BB2"/>
    <w:rsid w:val="000A1DEA"/>
    <w:rsid w:val="000A1E2D"/>
    <w:rsid w:val="000A1E89"/>
    <w:rsid w:val="000A1F1B"/>
    <w:rsid w:val="000A1F3A"/>
    <w:rsid w:val="000A1F55"/>
    <w:rsid w:val="000A1FFC"/>
    <w:rsid w:val="000A22E7"/>
    <w:rsid w:val="000A2322"/>
    <w:rsid w:val="000A234D"/>
    <w:rsid w:val="000A23A6"/>
    <w:rsid w:val="000A246D"/>
    <w:rsid w:val="000A2532"/>
    <w:rsid w:val="000A28E2"/>
    <w:rsid w:val="000A2A3D"/>
    <w:rsid w:val="000A2A7D"/>
    <w:rsid w:val="000A2B02"/>
    <w:rsid w:val="000A2B98"/>
    <w:rsid w:val="000A2C30"/>
    <w:rsid w:val="000A2D39"/>
    <w:rsid w:val="000A2DD0"/>
    <w:rsid w:val="000A2DEF"/>
    <w:rsid w:val="000A2E25"/>
    <w:rsid w:val="000A2E56"/>
    <w:rsid w:val="000A2E70"/>
    <w:rsid w:val="000A2F52"/>
    <w:rsid w:val="000A2FCA"/>
    <w:rsid w:val="000A2FF9"/>
    <w:rsid w:val="000A3007"/>
    <w:rsid w:val="000A30AC"/>
    <w:rsid w:val="000A3118"/>
    <w:rsid w:val="000A33B1"/>
    <w:rsid w:val="000A33FA"/>
    <w:rsid w:val="000A340D"/>
    <w:rsid w:val="000A3486"/>
    <w:rsid w:val="000A34AC"/>
    <w:rsid w:val="000A3548"/>
    <w:rsid w:val="000A354D"/>
    <w:rsid w:val="000A3559"/>
    <w:rsid w:val="000A356C"/>
    <w:rsid w:val="000A35E1"/>
    <w:rsid w:val="000A362A"/>
    <w:rsid w:val="000A363D"/>
    <w:rsid w:val="000A3815"/>
    <w:rsid w:val="000A3821"/>
    <w:rsid w:val="000A38C9"/>
    <w:rsid w:val="000A392E"/>
    <w:rsid w:val="000A3A31"/>
    <w:rsid w:val="000A3AC1"/>
    <w:rsid w:val="000A3BF6"/>
    <w:rsid w:val="000A3C61"/>
    <w:rsid w:val="000A3C87"/>
    <w:rsid w:val="000A3ED1"/>
    <w:rsid w:val="000A40EE"/>
    <w:rsid w:val="000A410D"/>
    <w:rsid w:val="000A4138"/>
    <w:rsid w:val="000A4222"/>
    <w:rsid w:val="000A43DD"/>
    <w:rsid w:val="000A4443"/>
    <w:rsid w:val="000A45A3"/>
    <w:rsid w:val="000A4631"/>
    <w:rsid w:val="000A4691"/>
    <w:rsid w:val="000A46EB"/>
    <w:rsid w:val="000A485F"/>
    <w:rsid w:val="000A494E"/>
    <w:rsid w:val="000A4A2D"/>
    <w:rsid w:val="000A4A9D"/>
    <w:rsid w:val="000A4B67"/>
    <w:rsid w:val="000A4B93"/>
    <w:rsid w:val="000A4BE7"/>
    <w:rsid w:val="000A4CB0"/>
    <w:rsid w:val="000A4D03"/>
    <w:rsid w:val="000A4D54"/>
    <w:rsid w:val="000A4D97"/>
    <w:rsid w:val="000A4ECC"/>
    <w:rsid w:val="000A4F38"/>
    <w:rsid w:val="000A4F87"/>
    <w:rsid w:val="000A501C"/>
    <w:rsid w:val="000A5043"/>
    <w:rsid w:val="000A50AF"/>
    <w:rsid w:val="000A50B7"/>
    <w:rsid w:val="000A50EF"/>
    <w:rsid w:val="000A525E"/>
    <w:rsid w:val="000A5296"/>
    <w:rsid w:val="000A52EF"/>
    <w:rsid w:val="000A54F8"/>
    <w:rsid w:val="000A5500"/>
    <w:rsid w:val="000A553B"/>
    <w:rsid w:val="000A5592"/>
    <w:rsid w:val="000A5699"/>
    <w:rsid w:val="000A575D"/>
    <w:rsid w:val="000A5767"/>
    <w:rsid w:val="000A5852"/>
    <w:rsid w:val="000A58D4"/>
    <w:rsid w:val="000A59B1"/>
    <w:rsid w:val="000A59CC"/>
    <w:rsid w:val="000A5A28"/>
    <w:rsid w:val="000A5B15"/>
    <w:rsid w:val="000A5B56"/>
    <w:rsid w:val="000A5BC2"/>
    <w:rsid w:val="000A5BCC"/>
    <w:rsid w:val="000A5BE3"/>
    <w:rsid w:val="000A5C8E"/>
    <w:rsid w:val="000A5D3C"/>
    <w:rsid w:val="000A5D3E"/>
    <w:rsid w:val="000A5F5C"/>
    <w:rsid w:val="000A605B"/>
    <w:rsid w:val="000A60CD"/>
    <w:rsid w:val="000A61FF"/>
    <w:rsid w:val="000A6279"/>
    <w:rsid w:val="000A6389"/>
    <w:rsid w:val="000A638A"/>
    <w:rsid w:val="000A63B2"/>
    <w:rsid w:val="000A64DE"/>
    <w:rsid w:val="000A6548"/>
    <w:rsid w:val="000A6551"/>
    <w:rsid w:val="000A66BC"/>
    <w:rsid w:val="000A67A5"/>
    <w:rsid w:val="000A6923"/>
    <w:rsid w:val="000A69EB"/>
    <w:rsid w:val="000A6A80"/>
    <w:rsid w:val="000A6A96"/>
    <w:rsid w:val="000A6ADD"/>
    <w:rsid w:val="000A6B05"/>
    <w:rsid w:val="000A6C5D"/>
    <w:rsid w:val="000A6C85"/>
    <w:rsid w:val="000A6CDD"/>
    <w:rsid w:val="000A6DE0"/>
    <w:rsid w:val="000A6E9F"/>
    <w:rsid w:val="000A6EC5"/>
    <w:rsid w:val="000A6ECF"/>
    <w:rsid w:val="000A6F2E"/>
    <w:rsid w:val="000A6F87"/>
    <w:rsid w:val="000A6FF9"/>
    <w:rsid w:val="000A7005"/>
    <w:rsid w:val="000A7022"/>
    <w:rsid w:val="000A706A"/>
    <w:rsid w:val="000A709C"/>
    <w:rsid w:val="000A70C4"/>
    <w:rsid w:val="000A70F8"/>
    <w:rsid w:val="000A7114"/>
    <w:rsid w:val="000A715D"/>
    <w:rsid w:val="000A715F"/>
    <w:rsid w:val="000A72A1"/>
    <w:rsid w:val="000A7456"/>
    <w:rsid w:val="000A752F"/>
    <w:rsid w:val="000A7628"/>
    <w:rsid w:val="000A77D8"/>
    <w:rsid w:val="000A780C"/>
    <w:rsid w:val="000A78DD"/>
    <w:rsid w:val="000A792A"/>
    <w:rsid w:val="000A7AD5"/>
    <w:rsid w:val="000A7B52"/>
    <w:rsid w:val="000A7BDB"/>
    <w:rsid w:val="000A7BF1"/>
    <w:rsid w:val="000A7C7D"/>
    <w:rsid w:val="000A7CFF"/>
    <w:rsid w:val="000A7D09"/>
    <w:rsid w:val="000A7D1A"/>
    <w:rsid w:val="000A7D3E"/>
    <w:rsid w:val="000A7E5A"/>
    <w:rsid w:val="000A7F91"/>
    <w:rsid w:val="000A7FAF"/>
    <w:rsid w:val="000AB619"/>
    <w:rsid w:val="000ACB22"/>
    <w:rsid w:val="000B008B"/>
    <w:rsid w:val="000B038E"/>
    <w:rsid w:val="000B03E0"/>
    <w:rsid w:val="000B0416"/>
    <w:rsid w:val="000B04A8"/>
    <w:rsid w:val="000B04DB"/>
    <w:rsid w:val="000B069F"/>
    <w:rsid w:val="000B06A8"/>
    <w:rsid w:val="000B06B8"/>
    <w:rsid w:val="000B06F4"/>
    <w:rsid w:val="000B06FF"/>
    <w:rsid w:val="000B08D8"/>
    <w:rsid w:val="000B08F9"/>
    <w:rsid w:val="000B0938"/>
    <w:rsid w:val="000B0962"/>
    <w:rsid w:val="000B0AD2"/>
    <w:rsid w:val="000B0B88"/>
    <w:rsid w:val="000B0C92"/>
    <w:rsid w:val="000B0D09"/>
    <w:rsid w:val="000B0D12"/>
    <w:rsid w:val="000B0D1C"/>
    <w:rsid w:val="000B0D65"/>
    <w:rsid w:val="000B0E5B"/>
    <w:rsid w:val="000B0EBE"/>
    <w:rsid w:val="000B0F47"/>
    <w:rsid w:val="000B0F54"/>
    <w:rsid w:val="000B0F86"/>
    <w:rsid w:val="000B0FB9"/>
    <w:rsid w:val="000B10A3"/>
    <w:rsid w:val="000B10F3"/>
    <w:rsid w:val="000B11AF"/>
    <w:rsid w:val="000B1240"/>
    <w:rsid w:val="000B133B"/>
    <w:rsid w:val="000B137F"/>
    <w:rsid w:val="000B13BE"/>
    <w:rsid w:val="000B13DE"/>
    <w:rsid w:val="000B164F"/>
    <w:rsid w:val="000B16EF"/>
    <w:rsid w:val="000B182D"/>
    <w:rsid w:val="000B18D8"/>
    <w:rsid w:val="000B1907"/>
    <w:rsid w:val="000B1967"/>
    <w:rsid w:val="000B19A3"/>
    <w:rsid w:val="000B1A99"/>
    <w:rsid w:val="000B1B9C"/>
    <w:rsid w:val="000B1CD4"/>
    <w:rsid w:val="000B1CE8"/>
    <w:rsid w:val="000B1CF5"/>
    <w:rsid w:val="000B1D53"/>
    <w:rsid w:val="000B1D63"/>
    <w:rsid w:val="000B1E6D"/>
    <w:rsid w:val="000B1F60"/>
    <w:rsid w:val="000B2139"/>
    <w:rsid w:val="000B22C4"/>
    <w:rsid w:val="000B236C"/>
    <w:rsid w:val="000B23DE"/>
    <w:rsid w:val="000B23F6"/>
    <w:rsid w:val="000B2540"/>
    <w:rsid w:val="000B254C"/>
    <w:rsid w:val="000B26A0"/>
    <w:rsid w:val="000B26DE"/>
    <w:rsid w:val="000B2740"/>
    <w:rsid w:val="000B2860"/>
    <w:rsid w:val="000B286A"/>
    <w:rsid w:val="000B2874"/>
    <w:rsid w:val="000B28C1"/>
    <w:rsid w:val="000B2932"/>
    <w:rsid w:val="000B2933"/>
    <w:rsid w:val="000B2A29"/>
    <w:rsid w:val="000B2AC3"/>
    <w:rsid w:val="000B2B7F"/>
    <w:rsid w:val="000B2C44"/>
    <w:rsid w:val="000B2C77"/>
    <w:rsid w:val="000B2CA8"/>
    <w:rsid w:val="000B2E64"/>
    <w:rsid w:val="000B2E75"/>
    <w:rsid w:val="000B2EAB"/>
    <w:rsid w:val="000B2EF3"/>
    <w:rsid w:val="000B2F9B"/>
    <w:rsid w:val="000B2FFF"/>
    <w:rsid w:val="000B30A7"/>
    <w:rsid w:val="000B30BC"/>
    <w:rsid w:val="000B30D9"/>
    <w:rsid w:val="000B31B4"/>
    <w:rsid w:val="000B3250"/>
    <w:rsid w:val="000B32D7"/>
    <w:rsid w:val="000B3321"/>
    <w:rsid w:val="000B3372"/>
    <w:rsid w:val="000B33E8"/>
    <w:rsid w:val="000B33FE"/>
    <w:rsid w:val="000B34D3"/>
    <w:rsid w:val="000B35BE"/>
    <w:rsid w:val="000B36E5"/>
    <w:rsid w:val="000B36FF"/>
    <w:rsid w:val="000B3730"/>
    <w:rsid w:val="000B3753"/>
    <w:rsid w:val="000B3757"/>
    <w:rsid w:val="000B3834"/>
    <w:rsid w:val="000B39FA"/>
    <w:rsid w:val="000B3A3F"/>
    <w:rsid w:val="000B3A52"/>
    <w:rsid w:val="000B3AF5"/>
    <w:rsid w:val="000B3CDC"/>
    <w:rsid w:val="000B3D20"/>
    <w:rsid w:val="000B3D31"/>
    <w:rsid w:val="000B3DEF"/>
    <w:rsid w:val="000B3DF9"/>
    <w:rsid w:val="000B3EDF"/>
    <w:rsid w:val="000B3F33"/>
    <w:rsid w:val="000B3FB1"/>
    <w:rsid w:val="000B4047"/>
    <w:rsid w:val="000B404E"/>
    <w:rsid w:val="000B4140"/>
    <w:rsid w:val="000B41F2"/>
    <w:rsid w:val="000B421D"/>
    <w:rsid w:val="000B4332"/>
    <w:rsid w:val="000B439E"/>
    <w:rsid w:val="000B43E9"/>
    <w:rsid w:val="000B446C"/>
    <w:rsid w:val="000B4475"/>
    <w:rsid w:val="000B46D0"/>
    <w:rsid w:val="000B4765"/>
    <w:rsid w:val="000B4776"/>
    <w:rsid w:val="000B48A3"/>
    <w:rsid w:val="000B49C6"/>
    <w:rsid w:val="000B49CF"/>
    <w:rsid w:val="000B4AA9"/>
    <w:rsid w:val="000B4B24"/>
    <w:rsid w:val="000B4B76"/>
    <w:rsid w:val="000B4BF6"/>
    <w:rsid w:val="000B4D77"/>
    <w:rsid w:val="000B4E30"/>
    <w:rsid w:val="000B4E94"/>
    <w:rsid w:val="000B4ED2"/>
    <w:rsid w:val="000B4EE6"/>
    <w:rsid w:val="000B4FFC"/>
    <w:rsid w:val="000B50CF"/>
    <w:rsid w:val="000B515F"/>
    <w:rsid w:val="000B5161"/>
    <w:rsid w:val="000B53E9"/>
    <w:rsid w:val="000B54A2"/>
    <w:rsid w:val="000B5570"/>
    <w:rsid w:val="000B57BA"/>
    <w:rsid w:val="000B585C"/>
    <w:rsid w:val="000B5A73"/>
    <w:rsid w:val="000B5BF9"/>
    <w:rsid w:val="000B5CA0"/>
    <w:rsid w:val="000B5D50"/>
    <w:rsid w:val="000B5D61"/>
    <w:rsid w:val="000B5D96"/>
    <w:rsid w:val="000B5DB7"/>
    <w:rsid w:val="000B5DEA"/>
    <w:rsid w:val="000B5DFB"/>
    <w:rsid w:val="000B5E44"/>
    <w:rsid w:val="000B5F43"/>
    <w:rsid w:val="000B61B8"/>
    <w:rsid w:val="000B61E0"/>
    <w:rsid w:val="000B61E4"/>
    <w:rsid w:val="000B61EE"/>
    <w:rsid w:val="000B62A6"/>
    <w:rsid w:val="000B630F"/>
    <w:rsid w:val="000B637D"/>
    <w:rsid w:val="000B63AD"/>
    <w:rsid w:val="000B63F9"/>
    <w:rsid w:val="000B6551"/>
    <w:rsid w:val="000B660C"/>
    <w:rsid w:val="000B66DD"/>
    <w:rsid w:val="000B6707"/>
    <w:rsid w:val="000B68A2"/>
    <w:rsid w:val="000B6933"/>
    <w:rsid w:val="000B694C"/>
    <w:rsid w:val="000B6951"/>
    <w:rsid w:val="000B6AAA"/>
    <w:rsid w:val="000B6B2B"/>
    <w:rsid w:val="000B6BA1"/>
    <w:rsid w:val="000B6BAA"/>
    <w:rsid w:val="000B6C07"/>
    <w:rsid w:val="000B6C13"/>
    <w:rsid w:val="000B6C35"/>
    <w:rsid w:val="000B6D4B"/>
    <w:rsid w:val="000B6DB2"/>
    <w:rsid w:val="000B6DD4"/>
    <w:rsid w:val="000B6EEF"/>
    <w:rsid w:val="000B6FF8"/>
    <w:rsid w:val="000B70F2"/>
    <w:rsid w:val="000B714F"/>
    <w:rsid w:val="000B732C"/>
    <w:rsid w:val="000B7352"/>
    <w:rsid w:val="000B739E"/>
    <w:rsid w:val="000B7573"/>
    <w:rsid w:val="000B7646"/>
    <w:rsid w:val="000B7649"/>
    <w:rsid w:val="000B7675"/>
    <w:rsid w:val="000B76D8"/>
    <w:rsid w:val="000B7764"/>
    <w:rsid w:val="000B77F3"/>
    <w:rsid w:val="000B77F5"/>
    <w:rsid w:val="000B7944"/>
    <w:rsid w:val="000B796A"/>
    <w:rsid w:val="000B7AF9"/>
    <w:rsid w:val="000B7B3E"/>
    <w:rsid w:val="000B7BAF"/>
    <w:rsid w:val="000B7BF2"/>
    <w:rsid w:val="000B7CC6"/>
    <w:rsid w:val="000B7CCA"/>
    <w:rsid w:val="000B7D35"/>
    <w:rsid w:val="000B7D40"/>
    <w:rsid w:val="000B7D64"/>
    <w:rsid w:val="000B7D7F"/>
    <w:rsid w:val="000B7E3D"/>
    <w:rsid w:val="000B7F2C"/>
    <w:rsid w:val="000B7FAB"/>
    <w:rsid w:val="000BEB85"/>
    <w:rsid w:val="000BFC6C"/>
    <w:rsid w:val="000C00B0"/>
    <w:rsid w:val="000C0140"/>
    <w:rsid w:val="000C0392"/>
    <w:rsid w:val="000C03B6"/>
    <w:rsid w:val="000C04F3"/>
    <w:rsid w:val="000C0541"/>
    <w:rsid w:val="000C05A7"/>
    <w:rsid w:val="000C05FA"/>
    <w:rsid w:val="000C0693"/>
    <w:rsid w:val="000C070B"/>
    <w:rsid w:val="000C07CA"/>
    <w:rsid w:val="000C082B"/>
    <w:rsid w:val="000C08BF"/>
    <w:rsid w:val="000C08DD"/>
    <w:rsid w:val="000C0958"/>
    <w:rsid w:val="000C09C5"/>
    <w:rsid w:val="000C0C3E"/>
    <w:rsid w:val="000C0C60"/>
    <w:rsid w:val="000C0CF1"/>
    <w:rsid w:val="000C0D3C"/>
    <w:rsid w:val="000C0DB2"/>
    <w:rsid w:val="000C0DE1"/>
    <w:rsid w:val="000C0E06"/>
    <w:rsid w:val="000C0E37"/>
    <w:rsid w:val="000C0E6C"/>
    <w:rsid w:val="000C0E91"/>
    <w:rsid w:val="000C102F"/>
    <w:rsid w:val="000C108D"/>
    <w:rsid w:val="000C122B"/>
    <w:rsid w:val="000C1265"/>
    <w:rsid w:val="000C1339"/>
    <w:rsid w:val="000C13ED"/>
    <w:rsid w:val="000C1471"/>
    <w:rsid w:val="000C14D7"/>
    <w:rsid w:val="000C1580"/>
    <w:rsid w:val="000C15A4"/>
    <w:rsid w:val="000C178E"/>
    <w:rsid w:val="000C186E"/>
    <w:rsid w:val="000C19D6"/>
    <w:rsid w:val="000C19D9"/>
    <w:rsid w:val="000C19F2"/>
    <w:rsid w:val="000C1ADB"/>
    <w:rsid w:val="000C1BA7"/>
    <w:rsid w:val="000C1CA3"/>
    <w:rsid w:val="000C1E17"/>
    <w:rsid w:val="000C1F53"/>
    <w:rsid w:val="000C21FD"/>
    <w:rsid w:val="000C221A"/>
    <w:rsid w:val="000C2239"/>
    <w:rsid w:val="000C2392"/>
    <w:rsid w:val="000C2443"/>
    <w:rsid w:val="000C2453"/>
    <w:rsid w:val="000C253F"/>
    <w:rsid w:val="000C2594"/>
    <w:rsid w:val="000C26B7"/>
    <w:rsid w:val="000C26D2"/>
    <w:rsid w:val="000C2815"/>
    <w:rsid w:val="000C28C2"/>
    <w:rsid w:val="000C296C"/>
    <w:rsid w:val="000C2A13"/>
    <w:rsid w:val="000C2A53"/>
    <w:rsid w:val="000C2A96"/>
    <w:rsid w:val="000C2AA4"/>
    <w:rsid w:val="000C2AE0"/>
    <w:rsid w:val="000C2B1F"/>
    <w:rsid w:val="000C2BC1"/>
    <w:rsid w:val="000C2BD8"/>
    <w:rsid w:val="000C2BDA"/>
    <w:rsid w:val="000C2D3E"/>
    <w:rsid w:val="000C2D48"/>
    <w:rsid w:val="000C2F1E"/>
    <w:rsid w:val="000C2F29"/>
    <w:rsid w:val="000C2FD7"/>
    <w:rsid w:val="000C305A"/>
    <w:rsid w:val="000C308A"/>
    <w:rsid w:val="000C3130"/>
    <w:rsid w:val="000C3280"/>
    <w:rsid w:val="000C328F"/>
    <w:rsid w:val="000C350E"/>
    <w:rsid w:val="000C3798"/>
    <w:rsid w:val="000C396E"/>
    <w:rsid w:val="000C3B12"/>
    <w:rsid w:val="000C3B44"/>
    <w:rsid w:val="000C3BC5"/>
    <w:rsid w:val="000C3BEF"/>
    <w:rsid w:val="000C3C43"/>
    <w:rsid w:val="000C3D07"/>
    <w:rsid w:val="000C3D2A"/>
    <w:rsid w:val="000C3D89"/>
    <w:rsid w:val="000C3E0D"/>
    <w:rsid w:val="000C3E8D"/>
    <w:rsid w:val="000C3EC4"/>
    <w:rsid w:val="000C3EFA"/>
    <w:rsid w:val="000C3F0E"/>
    <w:rsid w:val="000C3F43"/>
    <w:rsid w:val="000C3F5F"/>
    <w:rsid w:val="000C3FB5"/>
    <w:rsid w:val="000C4061"/>
    <w:rsid w:val="000C40B9"/>
    <w:rsid w:val="000C4164"/>
    <w:rsid w:val="000C4284"/>
    <w:rsid w:val="000C432D"/>
    <w:rsid w:val="000C43D2"/>
    <w:rsid w:val="000C43EE"/>
    <w:rsid w:val="000C448B"/>
    <w:rsid w:val="000C448E"/>
    <w:rsid w:val="000C44E9"/>
    <w:rsid w:val="000C452E"/>
    <w:rsid w:val="000C4603"/>
    <w:rsid w:val="000C47BD"/>
    <w:rsid w:val="000C4891"/>
    <w:rsid w:val="000C48E8"/>
    <w:rsid w:val="000C4951"/>
    <w:rsid w:val="000C49AC"/>
    <w:rsid w:val="000C4AAD"/>
    <w:rsid w:val="000C4B15"/>
    <w:rsid w:val="000C4B68"/>
    <w:rsid w:val="000C4CE1"/>
    <w:rsid w:val="000C4EB3"/>
    <w:rsid w:val="000C5090"/>
    <w:rsid w:val="000C50A5"/>
    <w:rsid w:val="000C5103"/>
    <w:rsid w:val="000C51C1"/>
    <w:rsid w:val="000C531F"/>
    <w:rsid w:val="000C538D"/>
    <w:rsid w:val="000C5448"/>
    <w:rsid w:val="000C5499"/>
    <w:rsid w:val="000C5508"/>
    <w:rsid w:val="000C5662"/>
    <w:rsid w:val="000C57E5"/>
    <w:rsid w:val="000C5838"/>
    <w:rsid w:val="000C5856"/>
    <w:rsid w:val="000C58C9"/>
    <w:rsid w:val="000C592A"/>
    <w:rsid w:val="000C59A3"/>
    <w:rsid w:val="000C5B5A"/>
    <w:rsid w:val="000C5BD7"/>
    <w:rsid w:val="000C5C90"/>
    <w:rsid w:val="000C5C92"/>
    <w:rsid w:val="000C5D2A"/>
    <w:rsid w:val="000C5E07"/>
    <w:rsid w:val="000C5E4E"/>
    <w:rsid w:val="000C5E95"/>
    <w:rsid w:val="000C5EDD"/>
    <w:rsid w:val="000C5F33"/>
    <w:rsid w:val="000C6009"/>
    <w:rsid w:val="000C60A4"/>
    <w:rsid w:val="000C6102"/>
    <w:rsid w:val="000C6108"/>
    <w:rsid w:val="000C6241"/>
    <w:rsid w:val="000C62DD"/>
    <w:rsid w:val="000C633A"/>
    <w:rsid w:val="000C6482"/>
    <w:rsid w:val="000C64B1"/>
    <w:rsid w:val="000C6542"/>
    <w:rsid w:val="000C65E7"/>
    <w:rsid w:val="000C6754"/>
    <w:rsid w:val="000C6759"/>
    <w:rsid w:val="000C685C"/>
    <w:rsid w:val="000C6863"/>
    <w:rsid w:val="000C68C4"/>
    <w:rsid w:val="000C68EE"/>
    <w:rsid w:val="000C68F3"/>
    <w:rsid w:val="000C6967"/>
    <w:rsid w:val="000C69AB"/>
    <w:rsid w:val="000C6A44"/>
    <w:rsid w:val="000C6B07"/>
    <w:rsid w:val="000C6B14"/>
    <w:rsid w:val="000C6B35"/>
    <w:rsid w:val="000C6B42"/>
    <w:rsid w:val="000C6BFB"/>
    <w:rsid w:val="000C6C0C"/>
    <w:rsid w:val="000C6D0C"/>
    <w:rsid w:val="000C6D24"/>
    <w:rsid w:val="000C6DAB"/>
    <w:rsid w:val="000C6DBD"/>
    <w:rsid w:val="000C6F7D"/>
    <w:rsid w:val="000C701A"/>
    <w:rsid w:val="000C7057"/>
    <w:rsid w:val="000C71F4"/>
    <w:rsid w:val="000C725B"/>
    <w:rsid w:val="000C73EA"/>
    <w:rsid w:val="000C75C8"/>
    <w:rsid w:val="000C765A"/>
    <w:rsid w:val="000C766B"/>
    <w:rsid w:val="000C767A"/>
    <w:rsid w:val="000C77A0"/>
    <w:rsid w:val="000C77EA"/>
    <w:rsid w:val="000C7938"/>
    <w:rsid w:val="000C7B28"/>
    <w:rsid w:val="000C7B6D"/>
    <w:rsid w:val="000C7C20"/>
    <w:rsid w:val="000C7C31"/>
    <w:rsid w:val="000C7D17"/>
    <w:rsid w:val="000C7E04"/>
    <w:rsid w:val="000C7E6C"/>
    <w:rsid w:val="000C7ED6"/>
    <w:rsid w:val="000C7FA7"/>
    <w:rsid w:val="000C7FA9"/>
    <w:rsid w:val="000C7FB9"/>
    <w:rsid w:val="000C7FDC"/>
    <w:rsid w:val="000C7FF4"/>
    <w:rsid w:val="000C91CF"/>
    <w:rsid w:val="000C97BA"/>
    <w:rsid w:val="000CA824"/>
    <w:rsid w:val="000CFA07"/>
    <w:rsid w:val="000D0111"/>
    <w:rsid w:val="000D01E8"/>
    <w:rsid w:val="000D0251"/>
    <w:rsid w:val="000D02A5"/>
    <w:rsid w:val="000D02D6"/>
    <w:rsid w:val="000D030E"/>
    <w:rsid w:val="000D040C"/>
    <w:rsid w:val="000D0440"/>
    <w:rsid w:val="000D047F"/>
    <w:rsid w:val="000D04A3"/>
    <w:rsid w:val="000D06B7"/>
    <w:rsid w:val="000D06F4"/>
    <w:rsid w:val="000D07B6"/>
    <w:rsid w:val="000D07CA"/>
    <w:rsid w:val="000D07E7"/>
    <w:rsid w:val="000D0806"/>
    <w:rsid w:val="000D08A5"/>
    <w:rsid w:val="000D08C6"/>
    <w:rsid w:val="000D0989"/>
    <w:rsid w:val="000D0A05"/>
    <w:rsid w:val="000D0B81"/>
    <w:rsid w:val="000D0D03"/>
    <w:rsid w:val="000D0D76"/>
    <w:rsid w:val="000D0D77"/>
    <w:rsid w:val="000D0D7A"/>
    <w:rsid w:val="000D0EAC"/>
    <w:rsid w:val="000D0F35"/>
    <w:rsid w:val="000D0F98"/>
    <w:rsid w:val="000D0FBA"/>
    <w:rsid w:val="000D119E"/>
    <w:rsid w:val="000D120B"/>
    <w:rsid w:val="000D1243"/>
    <w:rsid w:val="000D12DB"/>
    <w:rsid w:val="000D132C"/>
    <w:rsid w:val="000D14B3"/>
    <w:rsid w:val="000D17A8"/>
    <w:rsid w:val="000D17F9"/>
    <w:rsid w:val="000D1837"/>
    <w:rsid w:val="000D1A79"/>
    <w:rsid w:val="000D1B14"/>
    <w:rsid w:val="000D1C3F"/>
    <w:rsid w:val="000D1C65"/>
    <w:rsid w:val="000D1DC4"/>
    <w:rsid w:val="000D1DFA"/>
    <w:rsid w:val="000D1E88"/>
    <w:rsid w:val="000D1E94"/>
    <w:rsid w:val="000D201D"/>
    <w:rsid w:val="000D2022"/>
    <w:rsid w:val="000D22E5"/>
    <w:rsid w:val="000D22EE"/>
    <w:rsid w:val="000D24B0"/>
    <w:rsid w:val="000D2593"/>
    <w:rsid w:val="000D2782"/>
    <w:rsid w:val="000D27F8"/>
    <w:rsid w:val="000D29B2"/>
    <w:rsid w:val="000D2A93"/>
    <w:rsid w:val="000D2A9B"/>
    <w:rsid w:val="000D2B93"/>
    <w:rsid w:val="000D2C15"/>
    <w:rsid w:val="000D2C5A"/>
    <w:rsid w:val="000D2CBF"/>
    <w:rsid w:val="000D2E98"/>
    <w:rsid w:val="000D2F90"/>
    <w:rsid w:val="000D302C"/>
    <w:rsid w:val="000D30EE"/>
    <w:rsid w:val="000D315D"/>
    <w:rsid w:val="000D3182"/>
    <w:rsid w:val="000D31B9"/>
    <w:rsid w:val="000D31F8"/>
    <w:rsid w:val="000D3287"/>
    <w:rsid w:val="000D32D3"/>
    <w:rsid w:val="000D34F1"/>
    <w:rsid w:val="000D351F"/>
    <w:rsid w:val="000D353E"/>
    <w:rsid w:val="000D3592"/>
    <w:rsid w:val="000D35C0"/>
    <w:rsid w:val="000D3613"/>
    <w:rsid w:val="000D3661"/>
    <w:rsid w:val="000D3678"/>
    <w:rsid w:val="000D36A1"/>
    <w:rsid w:val="000D36D4"/>
    <w:rsid w:val="000D3801"/>
    <w:rsid w:val="000D3948"/>
    <w:rsid w:val="000D396E"/>
    <w:rsid w:val="000D39FE"/>
    <w:rsid w:val="000D3A51"/>
    <w:rsid w:val="000D3ACC"/>
    <w:rsid w:val="000D3BB4"/>
    <w:rsid w:val="000D3C7C"/>
    <w:rsid w:val="000D3DB4"/>
    <w:rsid w:val="000D3DF9"/>
    <w:rsid w:val="000D3E49"/>
    <w:rsid w:val="000D3E9B"/>
    <w:rsid w:val="000D3F79"/>
    <w:rsid w:val="000D3FD7"/>
    <w:rsid w:val="000D4063"/>
    <w:rsid w:val="000D40E6"/>
    <w:rsid w:val="000D419F"/>
    <w:rsid w:val="000D422E"/>
    <w:rsid w:val="000D425D"/>
    <w:rsid w:val="000D429A"/>
    <w:rsid w:val="000D42A3"/>
    <w:rsid w:val="000D4421"/>
    <w:rsid w:val="000D44A0"/>
    <w:rsid w:val="000D470C"/>
    <w:rsid w:val="000D4715"/>
    <w:rsid w:val="000D474D"/>
    <w:rsid w:val="000D4780"/>
    <w:rsid w:val="000D47C2"/>
    <w:rsid w:val="000D484F"/>
    <w:rsid w:val="000D495E"/>
    <w:rsid w:val="000D49BF"/>
    <w:rsid w:val="000D4A34"/>
    <w:rsid w:val="000D4AE2"/>
    <w:rsid w:val="000D4C1D"/>
    <w:rsid w:val="000D4C6E"/>
    <w:rsid w:val="000D4CCF"/>
    <w:rsid w:val="000D4D5C"/>
    <w:rsid w:val="000D4EA9"/>
    <w:rsid w:val="000D4F41"/>
    <w:rsid w:val="000D4F44"/>
    <w:rsid w:val="000D4F71"/>
    <w:rsid w:val="000D4FAC"/>
    <w:rsid w:val="000D4FD5"/>
    <w:rsid w:val="000D4FE5"/>
    <w:rsid w:val="000D4FF6"/>
    <w:rsid w:val="000D501A"/>
    <w:rsid w:val="000D5097"/>
    <w:rsid w:val="000D51EF"/>
    <w:rsid w:val="000D52B7"/>
    <w:rsid w:val="000D53B1"/>
    <w:rsid w:val="000D53D0"/>
    <w:rsid w:val="000D5471"/>
    <w:rsid w:val="000D5527"/>
    <w:rsid w:val="000D5687"/>
    <w:rsid w:val="000D59F2"/>
    <w:rsid w:val="000D5A62"/>
    <w:rsid w:val="000D5ABE"/>
    <w:rsid w:val="000D5BB6"/>
    <w:rsid w:val="000D5C98"/>
    <w:rsid w:val="000D5CD6"/>
    <w:rsid w:val="000D5D66"/>
    <w:rsid w:val="000D5DE4"/>
    <w:rsid w:val="000D5F4F"/>
    <w:rsid w:val="000D5FCA"/>
    <w:rsid w:val="000D5FE6"/>
    <w:rsid w:val="000D60B7"/>
    <w:rsid w:val="000D60E7"/>
    <w:rsid w:val="000D617C"/>
    <w:rsid w:val="000D625A"/>
    <w:rsid w:val="000D63BC"/>
    <w:rsid w:val="000D63C9"/>
    <w:rsid w:val="000D63DA"/>
    <w:rsid w:val="000D64BE"/>
    <w:rsid w:val="000D64C7"/>
    <w:rsid w:val="000D653D"/>
    <w:rsid w:val="000D657C"/>
    <w:rsid w:val="000D65BB"/>
    <w:rsid w:val="000D65EC"/>
    <w:rsid w:val="000D65FC"/>
    <w:rsid w:val="000D6799"/>
    <w:rsid w:val="000D6901"/>
    <w:rsid w:val="000D6942"/>
    <w:rsid w:val="000D6992"/>
    <w:rsid w:val="000D6A8A"/>
    <w:rsid w:val="000D6B1B"/>
    <w:rsid w:val="000D6B7B"/>
    <w:rsid w:val="000D6BF9"/>
    <w:rsid w:val="000D6C3B"/>
    <w:rsid w:val="000D6CD4"/>
    <w:rsid w:val="000D6D03"/>
    <w:rsid w:val="000D6D98"/>
    <w:rsid w:val="000D6E44"/>
    <w:rsid w:val="000D6F30"/>
    <w:rsid w:val="000D6FDD"/>
    <w:rsid w:val="000D704F"/>
    <w:rsid w:val="000D7127"/>
    <w:rsid w:val="000D718D"/>
    <w:rsid w:val="000D71A9"/>
    <w:rsid w:val="000D71AE"/>
    <w:rsid w:val="000D71E6"/>
    <w:rsid w:val="000D721B"/>
    <w:rsid w:val="000D7534"/>
    <w:rsid w:val="000D7632"/>
    <w:rsid w:val="000D7663"/>
    <w:rsid w:val="000D767C"/>
    <w:rsid w:val="000D76D6"/>
    <w:rsid w:val="000D76DF"/>
    <w:rsid w:val="000D77D1"/>
    <w:rsid w:val="000D7873"/>
    <w:rsid w:val="000D78C6"/>
    <w:rsid w:val="000D794B"/>
    <w:rsid w:val="000D7A4D"/>
    <w:rsid w:val="000D7A71"/>
    <w:rsid w:val="000D7B7F"/>
    <w:rsid w:val="000D7BB0"/>
    <w:rsid w:val="000D7C58"/>
    <w:rsid w:val="000D7CB0"/>
    <w:rsid w:val="000D7CC6"/>
    <w:rsid w:val="000D7E3C"/>
    <w:rsid w:val="000D7E93"/>
    <w:rsid w:val="000D7EC9"/>
    <w:rsid w:val="000D7F29"/>
    <w:rsid w:val="000D7F31"/>
    <w:rsid w:val="000D7FAD"/>
    <w:rsid w:val="000D7FB9"/>
    <w:rsid w:val="000DD86B"/>
    <w:rsid w:val="000E01A4"/>
    <w:rsid w:val="000E01AA"/>
    <w:rsid w:val="000E01D1"/>
    <w:rsid w:val="000E0324"/>
    <w:rsid w:val="000E035F"/>
    <w:rsid w:val="000E036E"/>
    <w:rsid w:val="000E03C8"/>
    <w:rsid w:val="000E054D"/>
    <w:rsid w:val="000E05EF"/>
    <w:rsid w:val="000E08F0"/>
    <w:rsid w:val="000E09D7"/>
    <w:rsid w:val="000E09F7"/>
    <w:rsid w:val="000E0A0C"/>
    <w:rsid w:val="000E0A3A"/>
    <w:rsid w:val="000E0A86"/>
    <w:rsid w:val="000E0B51"/>
    <w:rsid w:val="000E0C2F"/>
    <w:rsid w:val="000E0CB8"/>
    <w:rsid w:val="000E0CEC"/>
    <w:rsid w:val="000E0CEE"/>
    <w:rsid w:val="000E0D07"/>
    <w:rsid w:val="000E0D5C"/>
    <w:rsid w:val="000E0D75"/>
    <w:rsid w:val="000E0D92"/>
    <w:rsid w:val="000E0DA8"/>
    <w:rsid w:val="000E0E78"/>
    <w:rsid w:val="000E0EB2"/>
    <w:rsid w:val="000E0F55"/>
    <w:rsid w:val="000E1050"/>
    <w:rsid w:val="000E10E8"/>
    <w:rsid w:val="000E1213"/>
    <w:rsid w:val="000E1280"/>
    <w:rsid w:val="000E13A4"/>
    <w:rsid w:val="000E13BB"/>
    <w:rsid w:val="000E13D6"/>
    <w:rsid w:val="000E1403"/>
    <w:rsid w:val="000E1494"/>
    <w:rsid w:val="000E1507"/>
    <w:rsid w:val="000E150F"/>
    <w:rsid w:val="000E151D"/>
    <w:rsid w:val="000E1563"/>
    <w:rsid w:val="000E168D"/>
    <w:rsid w:val="000E17E4"/>
    <w:rsid w:val="000E18FD"/>
    <w:rsid w:val="000E1960"/>
    <w:rsid w:val="000E1997"/>
    <w:rsid w:val="000E1A6B"/>
    <w:rsid w:val="000E1AE0"/>
    <w:rsid w:val="000E1AE4"/>
    <w:rsid w:val="000E1BBE"/>
    <w:rsid w:val="000E1C0A"/>
    <w:rsid w:val="000E1C83"/>
    <w:rsid w:val="000E1CB0"/>
    <w:rsid w:val="000E1CE0"/>
    <w:rsid w:val="000E1D8B"/>
    <w:rsid w:val="000E1DBC"/>
    <w:rsid w:val="000E1E28"/>
    <w:rsid w:val="000E1ED2"/>
    <w:rsid w:val="000E1F85"/>
    <w:rsid w:val="000E1FD0"/>
    <w:rsid w:val="000E228C"/>
    <w:rsid w:val="000E22A6"/>
    <w:rsid w:val="000E22CC"/>
    <w:rsid w:val="000E2366"/>
    <w:rsid w:val="000E23EB"/>
    <w:rsid w:val="000E25CC"/>
    <w:rsid w:val="000E25CD"/>
    <w:rsid w:val="000E25F1"/>
    <w:rsid w:val="000E2676"/>
    <w:rsid w:val="000E2690"/>
    <w:rsid w:val="000E26A3"/>
    <w:rsid w:val="000E26D5"/>
    <w:rsid w:val="000E26DB"/>
    <w:rsid w:val="000E2784"/>
    <w:rsid w:val="000E2825"/>
    <w:rsid w:val="000E2944"/>
    <w:rsid w:val="000E2A52"/>
    <w:rsid w:val="000E2A75"/>
    <w:rsid w:val="000E2AE0"/>
    <w:rsid w:val="000E2BEE"/>
    <w:rsid w:val="000E2D8D"/>
    <w:rsid w:val="000E2DC1"/>
    <w:rsid w:val="000E2E12"/>
    <w:rsid w:val="000E2ED6"/>
    <w:rsid w:val="000E2F7F"/>
    <w:rsid w:val="000E3063"/>
    <w:rsid w:val="000E3210"/>
    <w:rsid w:val="000E336C"/>
    <w:rsid w:val="000E33B4"/>
    <w:rsid w:val="000E33E1"/>
    <w:rsid w:val="000E357C"/>
    <w:rsid w:val="000E35C1"/>
    <w:rsid w:val="000E3682"/>
    <w:rsid w:val="000E37B4"/>
    <w:rsid w:val="000E37CD"/>
    <w:rsid w:val="000E3843"/>
    <w:rsid w:val="000E3932"/>
    <w:rsid w:val="000E3987"/>
    <w:rsid w:val="000E3992"/>
    <w:rsid w:val="000E39AF"/>
    <w:rsid w:val="000E3AC1"/>
    <w:rsid w:val="000E3BCC"/>
    <w:rsid w:val="000E3DE2"/>
    <w:rsid w:val="000E3EC9"/>
    <w:rsid w:val="000E3F13"/>
    <w:rsid w:val="000E3F19"/>
    <w:rsid w:val="000E3F4D"/>
    <w:rsid w:val="000E3FFC"/>
    <w:rsid w:val="000E40E5"/>
    <w:rsid w:val="000E4120"/>
    <w:rsid w:val="000E4185"/>
    <w:rsid w:val="000E42B2"/>
    <w:rsid w:val="000E4302"/>
    <w:rsid w:val="000E445B"/>
    <w:rsid w:val="000E4485"/>
    <w:rsid w:val="000E44C3"/>
    <w:rsid w:val="000E45A5"/>
    <w:rsid w:val="000E466E"/>
    <w:rsid w:val="000E46AA"/>
    <w:rsid w:val="000E46DE"/>
    <w:rsid w:val="000E471A"/>
    <w:rsid w:val="000E4724"/>
    <w:rsid w:val="000E472A"/>
    <w:rsid w:val="000E4737"/>
    <w:rsid w:val="000E4774"/>
    <w:rsid w:val="000E47E2"/>
    <w:rsid w:val="000E48F3"/>
    <w:rsid w:val="000E491A"/>
    <w:rsid w:val="000E4967"/>
    <w:rsid w:val="000E497C"/>
    <w:rsid w:val="000E49CB"/>
    <w:rsid w:val="000E4A9D"/>
    <w:rsid w:val="000E4AC6"/>
    <w:rsid w:val="000E4AF3"/>
    <w:rsid w:val="000E4B25"/>
    <w:rsid w:val="000E4C17"/>
    <w:rsid w:val="000E4C40"/>
    <w:rsid w:val="000E4DDD"/>
    <w:rsid w:val="000E4E1D"/>
    <w:rsid w:val="000E4E2D"/>
    <w:rsid w:val="000E4ED6"/>
    <w:rsid w:val="000E4F5C"/>
    <w:rsid w:val="000E504C"/>
    <w:rsid w:val="000E5083"/>
    <w:rsid w:val="000E509A"/>
    <w:rsid w:val="000E50AB"/>
    <w:rsid w:val="000E50C1"/>
    <w:rsid w:val="000E511E"/>
    <w:rsid w:val="000E52E1"/>
    <w:rsid w:val="000E5479"/>
    <w:rsid w:val="000E54E6"/>
    <w:rsid w:val="000E5557"/>
    <w:rsid w:val="000E55B3"/>
    <w:rsid w:val="000E562C"/>
    <w:rsid w:val="000E5657"/>
    <w:rsid w:val="000E56A1"/>
    <w:rsid w:val="000E57D2"/>
    <w:rsid w:val="000E57DE"/>
    <w:rsid w:val="000E581C"/>
    <w:rsid w:val="000E5A31"/>
    <w:rsid w:val="000E5A65"/>
    <w:rsid w:val="000E5A97"/>
    <w:rsid w:val="000E5B2F"/>
    <w:rsid w:val="000E5CB4"/>
    <w:rsid w:val="000E5D0C"/>
    <w:rsid w:val="000E5E80"/>
    <w:rsid w:val="000E5EA5"/>
    <w:rsid w:val="000E5F43"/>
    <w:rsid w:val="000E60A6"/>
    <w:rsid w:val="000E60B1"/>
    <w:rsid w:val="000E6100"/>
    <w:rsid w:val="000E6111"/>
    <w:rsid w:val="000E63C1"/>
    <w:rsid w:val="000E63E9"/>
    <w:rsid w:val="000E64AB"/>
    <w:rsid w:val="000E64DF"/>
    <w:rsid w:val="000E65FE"/>
    <w:rsid w:val="000E6785"/>
    <w:rsid w:val="000E689C"/>
    <w:rsid w:val="000E6931"/>
    <w:rsid w:val="000E6A01"/>
    <w:rsid w:val="000E6A21"/>
    <w:rsid w:val="000E6B30"/>
    <w:rsid w:val="000E6B33"/>
    <w:rsid w:val="000E6B37"/>
    <w:rsid w:val="000E6B6D"/>
    <w:rsid w:val="000E6BB1"/>
    <w:rsid w:val="000E6BF2"/>
    <w:rsid w:val="000E6C5C"/>
    <w:rsid w:val="000E6C9F"/>
    <w:rsid w:val="000E6F06"/>
    <w:rsid w:val="000E7003"/>
    <w:rsid w:val="000E707F"/>
    <w:rsid w:val="000E70A5"/>
    <w:rsid w:val="000E7133"/>
    <w:rsid w:val="000E71AF"/>
    <w:rsid w:val="000E723B"/>
    <w:rsid w:val="000E731D"/>
    <w:rsid w:val="000E7418"/>
    <w:rsid w:val="000E7596"/>
    <w:rsid w:val="000E771C"/>
    <w:rsid w:val="000E7731"/>
    <w:rsid w:val="000E7763"/>
    <w:rsid w:val="000E77DA"/>
    <w:rsid w:val="000E785F"/>
    <w:rsid w:val="000E78C3"/>
    <w:rsid w:val="000E7953"/>
    <w:rsid w:val="000E7ADB"/>
    <w:rsid w:val="000E7C54"/>
    <w:rsid w:val="000E7C60"/>
    <w:rsid w:val="000E7C84"/>
    <w:rsid w:val="000E7CF9"/>
    <w:rsid w:val="000E7D0E"/>
    <w:rsid w:val="000E7D42"/>
    <w:rsid w:val="000E7D57"/>
    <w:rsid w:val="000E7DC1"/>
    <w:rsid w:val="000E7E5A"/>
    <w:rsid w:val="000E7FF2"/>
    <w:rsid w:val="000EC9EF"/>
    <w:rsid w:val="000F0070"/>
    <w:rsid w:val="000F00D9"/>
    <w:rsid w:val="000F0230"/>
    <w:rsid w:val="000F02ED"/>
    <w:rsid w:val="000F0318"/>
    <w:rsid w:val="000F0413"/>
    <w:rsid w:val="000F0420"/>
    <w:rsid w:val="000F0458"/>
    <w:rsid w:val="000F04EC"/>
    <w:rsid w:val="000F0593"/>
    <w:rsid w:val="000F0598"/>
    <w:rsid w:val="000F0686"/>
    <w:rsid w:val="000F06CA"/>
    <w:rsid w:val="000F06CD"/>
    <w:rsid w:val="000F08AE"/>
    <w:rsid w:val="000F0914"/>
    <w:rsid w:val="000F0921"/>
    <w:rsid w:val="000F094E"/>
    <w:rsid w:val="000F098D"/>
    <w:rsid w:val="000F09B1"/>
    <w:rsid w:val="000F09B5"/>
    <w:rsid w:val="000F0A19"/>
    <w:rsid w:val="000F0BD4"/>
    <w:rsid w:val="000F0C22"/>
    <w:rsid w:val="000F0C31"/>
    <w:rsid w:val="000F0D4D"/>
    <w:rsid w:val="000F0D9F"/>
    <w:rsid w:val="000F0DBA"/>
    <w:rsid w:val="000F0F06"/>
    <w:rsid w:val="000F0FF2"/>
    <w:rsid w:val="000F109D"/>
    <w:rsid w:val="000F109F"/>
    <w:rsid w:val="000F10FF"/>
    <w:rsid w:val="000F115F"/>
    <w:rsid w:val="000F140B"/>
    <w:rsid w:val="000F156F"/>
    <w:rsid w:val="000F161F"/>
    <w:rsid w:val="000F1733"/>
    <w:rsid w:val="000F1935"/>
    <w:rsid w:val="000F193C"/>
    <w:rsid w:val="000F1944"/>
    <w:rsid w:val="000F1951"/>
    <w:rsid w:val="000F1980"/>
    <w:rsid w:val="000F19C2"/>
    <w:rsid w:val="000F19F0"/>
    <w:rsid w:val="000F1A00"/>
    <w:rsid w:val="000F1AED"/>
    <w:rsid w:val="000F1B05"/>
    <w:rsid w:val="000F1B34"/>
    <w:rsid w:val="000F1C97"/>
    <w:rsid w:val="000F1D50"/>
    <w:rsid w:val="000F1D78"/>
    <w:rsid w:val="000F1E21"/>
    <w:rsid w:val="000F1E59"/>
    <w:rsid w:val="000F1E85"/>
    <w:rsid w:val="000F1F71"/>
    <w:rsid w:val="000F2019"/>
    <w:rsid w:val="000F2029"/>
    <w:rsid w:val="000F2031"/>
    <w:rsid w:val="000F204F"/>
    <w:rsid w:val="000F21D7"/>
    <w:rsid w:val="000F2283"/>
    <w:rsid w:val="000F2357"/>
    <w:rsid w:val="000F23CB"/>
    <w:rsid w:val="000F244D"/>
    <w:rsid w:val="000F2458"/>
    <w:rsid w:val="000F247F"/>
    <w:rsid w:val="000F2490"/>
    <w:rsid w:val="000F2661"/>
    <w:rsid w:val="000F2731"/>
    <w:rsid w:val="000F28B2"/>
    <w:rsid w:val="000F2936"/>
    <w:rsid w:val="000F296F"/>
    <w:rsid w:val="000F2972"/>
    <w:rsid w:val="000F299D"/>
    <w:rsid w:val="000F29F1"/>
    <w:rsid w:val="000F2A6E"/>
    <w:rsid w:val="000F2AD6"/>
    <w:rsid w:val="000F2AF4"/>
    <w:rsid w:val="000F2BC7"/>
    <w:rsid w:val="000F2BCE"/>
    <w:rsid w:val="000F2BD4"/>
    <w:rsid w:val="000F2C38"/>
    <w:rsid w:val="000F2D6C"/>
    <w:rsid w:val="000F2D70"/>
    <w:rsid w:val="000F2DCA"/>
    <w:rsid w:val="000F2EF7"/>
    <w:rsid w:val="000F2F73"/>
    <w:rsid w:val="000F2F8F"/>
    <w:rsid w:val="000F309C"/>
    <w:rsid w:val="000F315A"/>
    <w:rsid w:val="000F3178"/>
    <w:rsid w:val="000F31A1"/>
    <w:rsid w:val="000F3230"/>
    <w:rsid w:val="000F32BB"/>
    <w:rsid w:val="000F3348"/>
    <w:rsid w:val="000F3485"/>
    <w:rsid w:val="000F35A0"/>
    <w:rsid w:val="000F3749"/>
    <w:rsid w:val="000F375F"/>
    <w:rsid w:val="000F37AF"/>
    <w:rsid w:val="000F38FD"/>
    <w:rsid w:val="000F393B"/>
    <w:rsid w:val="000F39F4"/>
    <w:rsid w:val="000F3A70"/>
    <w:rsid w:val="000F3AD3"/>
    <w:rsid w:val="000F3C38"/>
    <w:rsid w:val="000F3C74"/>
    <w:rsid w:val="000F3C9F"/>
    <w:rsid w:val="000F3CE4"/>
    <w:rsid w:val="000F3EEA"/>
    <w:rsid w:val="000F3EFF"/>
    <w:rsid w:val="000F3FF6"/>
    <w:rsid w:val="000F4017"/>
    <w:rsid w:val="000F4170"/>
    <w:rsid w:val="000F417D"/>
    <w:rsid w:val="000F426F"/>
    <w:rsid w:val="000F427D"/>
    <w:rsid w:val="000F42CF"/>
    <w:rsid w:val="000F42D6"/>
    <w:rsid w:val="000F432F"/>
    <w:rsid w:val="000F439E"/>
    <w:rsid w:val="000F4513"/>
    <w:rsid w:val="000F459C"/>
    <w:rsid w:val="000F462E"/>
    <w:rsid w:val="000F46AB"/>
    <w:rsid w:val="000F46CD"/>
    <w:rsid w:val="000F472D"/>
    <w:rsid w:val="000F472E"/>
    <w:rsid w:val="000F4803"/>
    <w:rsid w:val="000F4844"/>
    <w:rsid w:val="000F4AB6"/>
    <w:rsid w:val="000F4AC0"/>
    <w:rsid w:val="000F4AE4"/>
    <w:rsid w:val="000F4AEC"/>
    <w:rsid w:val="000F4B2A"/>
    <w:rsid w:val="000F4B36"/>
    <w:rsid w:val="000F4B85"/>
    <w:rsid w:val="000F4D0C"/>
    <w:rsid w:val="000F4D2D"/>
    <w:rsid w:val="000F4D85"/>
    <w:rsid w:val="000F4DA4"/>
    <w:rsid w:val="000F4E2E"/>
    <w:rsid w:val="000F4ED0"/>
    <w:rsid w:val="000F4ED9"/>
    <w:rsid w:val="000F4F04"/>
    <w:rsid w:val="000F5006"/>
    <w:rsid w:val="000F5150"/>
    <w:rsid w:val="000F51B4"/>
    <w:rsid w:val="000F52BD"/>
    <w:rsid w:val="000F532B"/>
    <w:rsid w:val="000F5348"/>
    <w:rsid w:val="000F53F5"/>
    <w:rsid w:val="000F5420"/>
    <w:rsid w:val="000F5431"/>
    <w:rsid w:val="000F5468"/>
    <w:rsid w:val="000F549C"/>
    <w:rsid w:val="000F54B7"/>
    <w:rsid w:val="000F54D0"/>
    <w:rsid w:val="000F55EB"/>
    <w:rsid w:val="000F5607"/>
    <w:rsid w:val="000F561F"/>
    <w:rsid w:val="000F562D"/>
    <w:rsid w:val="000F56BD"/>
    <w:rsid w:val="000F5700"/>
    <w:rsid w:val="000F5789"/>
    <w:rsid w:val="000F57C4"/>
    <w:rsid w:val="000F58A3"/>
    <w:rsid w:val="000F58D6"/>
    <w:rsid w:val="000F5AF2"/>
    <w:rsid w:val="000F5B49"/>
    <w:rsid w:val="000F5B73"/>
    <w:rsid w:val="000F5B7B"/>
    <w:rsid w:val="000F5C8E"/>
    <w:rsid w:val="000F5C8F"/>
    <w:rsid w:val="000F5CB2"/>
    <w:rsid w:val="000F5CC9"/>
    <w:rsid w:val="000F5D33"/>
    <w:rsid w:val="000F5D93"/>
    <w:rsid w:val="000F5DE1"/>
    <w:rsid w:val="000F5DF6"/>
    <w:rsid w:val="000F5FD8"/>
    <w:rsid w:val="000F605F"/>
    <w:rsid w:val="000F6199"/>
    <w:rsid w:val="000F61AF"/>
    <w:rsid w:val="000F6388"/>
    <w:rsid w:val="000F642D"/>
    <w:rsid w:val="000F6485"/>
    <w:rsid w:val="000F654C"/>
    <w:rsid w:val="000F6557"/>
    <w:rsid w:val="000F65C1"/>
    <w:rsid w:val="000F6600"/>
    <w:rsid w:val="000F663D"/>
    <w:rsid w:val="000F6646"/>
    <w:rsid w:val="000F666F"/>
    <w:rsid w:val="000F6677"/>
    <w:rsid w:val="000F6723"/>
    <w:rsid w:val="000F6754"/>
    <w:rsid w:val="000F6766"/>
    <w:rsid w:val="000F6834"/>
    <w:rsid w:val="000F6889"/>
    <w:rsid w:val="000F68B3"/>
    <w:rsid w:val="000F6950"/>
    <w:rsid w:val="000F69E6"/>
    <w:rsid w:val="000F6B4F"/>
    <w:rsid w:val="000F6BF2"/>
    <w:rsid w:val="000F6C59"/>
    <w:rsid w:val="000F6D0C"/>
    <w:rsid w:val="000F6E19"/>
    <w:rsid w:val="000F6E34"/>
    <w:rsid w:val="000F6FCE"/>
    <w:rsid w:val="000F7093"/>
    <w:rsid w:val="000F7105"/>
    <w:rsid w:val="000F71A6"/>
    <w:rsid w:val="000F7210"/>
    <w:rsid w:val="000F723C"/>
    <w:rsid w:val="000F72F5"/>
    <w:rsid w:val="000F7456"/>
    <w:rsid w:val="000F74DA"/>
    <w:rsid w:val="000F7512"/>
    <w:rsid w:val="000F752A"/>
    <w:rsid w:val="000F759A"/>
    <w:rsid w:val="000F75D2"/>
    <w:rsid w:val="000F7644"/>
    <w:rsid w:val="000F76C0"/>
    <w:rsid w:val="000F76C2"/>
    <w:rsid w:val="000F7726"/>
    <w:rsid w:val="000F774F"/>
    <w:rsid w:val="000F7782"/>
    <w:rsid w:val="000F77E5"/>
    <w:rsid w:val="000F7875"/>
    <w:rsid w:val="000F78CF"/>
    <w:rsid w:val="000F78FC"/>
    <w:rsid w:val="000F794C"/>
    <w:rsid w:val="000F7C05"/>
    <w:rsid w:val="000F7C2E"/>
    <w:rsid w:val="000F7C88"/>
    <w:rsid w:val="000F7C96"/>
    <w:rsid w:val="000F7CAB"/>
    <w:rsid w:val="000F7E24"/>
    <w:rsid w:val="000F7EDE"/>
    <w:rsid w:val="000FD86E"/>
    <w:rsid w:val="00100020"/>
    <w:rsid w:val="001000D6"/>
    <w:rsid w:val="001000FB"/>
    <w:rsid w:val="00100305"/>
    <w:rsid w:val="0010031F"/>
    <w:rsid w:val="00100400"/>
    <w:rsid w:val="00100432"/>
    <w:rsid w:val="001004ED"/>
    <w:rsid w:val="0010054D"/>
    <w:rsid w:val="00100576"/>
    <w:rsid w:val="001005BC"/>
    <w:rsid w:val="001006BD"/>
    <w:rsid w:val="001008F4"/>
    <w:rsid w:val="001008F5"/>
    <w:rsid w:val="0010090D"/>
    <w:rsid w:val="001009A3"/>
    <w:rsid w:val="00100A08"/>
    <w:rsid w:val="00100A0B"/>
    <w:rsid w:val="00100A2C"/>
    <w:rsid w:val="00100AB5"/>
    <w:rsid w:val="00100AC9"/>
    <w:rsid w:val="00100B67"/>
    <w:rsid w:val="00100CC9"/>
    <w:rsid w:val="00100ECB"/>
    <w:rsid w:val="00100FA9"/>
    <w:rsid w:val="00101092"/>
    <w:rsid w:val="0010114E"/>
    <w:rsid w:val="00101189"/>
    <w:rsid w:val="001011E2"/>
    <w:rsid w:val="00101445"/>
    <w:rsid w:val="0010147E"/>
    <w:rsid w:val="001014A2"/>
    <w:rsid w:val="001014F4"/>
    <w:rsid w:val="00101751"/>
    <w:rsid w:val="0010180B"/>
    <w:rsid w:val="001018DB"/>
    <w:rsid w:val="00101932"/>
    <w:rsid w:val="00101A09"/>
    <w:rsid w:val="00101A3E"/>
    <w:rsid w:val="00101B03"/>
    <w:rsid w:val="00101C24"/>
    <w:rsid w:val="00101CAA"/>
    <w:rsid w:val="00101CC4"/>
    <w:rsid w:val="00101F74"/>
    <w:rsid w:val="001020A9"/>
    <w:rsid w:val="001020F7"/>
    <w:rsid w:val="001021E9"/>
    <w:rsid w:val="001024F5"/>
    <w:rsid w:val="00102500"/>
    <w:rsid w:val="0010251F"/>
    <w:rsid w:val="0010253E"/>
    <w:rsid w:val="00102575"/>
    <w:rsid w:val="001025EF"/>
    <w:rsid w:val="00102656"/>
    <w:rsid w:val="00102695"/>
    <w:rsid w:val="001026B1"/>
    <w:rsid w:val="001026F3"/>
    <w:rsid w:val="00102761"/>
    <w:rsid w:val="0010287D"/>
    <w:rsid w:val="00102954"/>
    <w:rsid w:val="00102A82"/>
    <w:rsid w:val="00102AED"/>
    <w:rsid w:val="00102C69"/>
    <w:rsid w:val="00102C87"/>
    <w:rsid w:val="00102D48"/>
    <w:rsid w:val="00102DF7"/>
    <w:rsid w:val="00102DFE"/>
    <w:rsid w:val="00102F11"/>
    <w:rsid w:val="00102F36"/>
    <w:rsid w:val="00102FA3"/>
    <w:rsid w:val="00102FC6"/>
    <w:rsid w:val="00103180"/>
    <w:rsid w:val="00103246"/>
    <w:rsid w:val="001032EE"/>
    <w:rsid w:val="00103322"/>
    <w:rsid w:val="00103389"/>
    <w:rsid w:val="001033EB"/>
    <w:rsid w:val="0010363A"/>
    <w:rsid w:val="001036B4"/>
    <w:rsid w:val="001037B1"/>
    <w:rsid w:val="0010381D"/>
    <w:rsid w:val="001038EF"/>
    <w:rsid w:val="00103903"/>
    <w:rsid w:val="00103917"/>
    <w:rsid w:val="00103BF4"/>
    <w:rsid w:val="00103C35"/>
    <w:rsid w:val="00103DD1"/>
    <w:rsid w:val="00103DEB"/>
    <w:rsid w:val="00103E5C"/>
    <w:rsid w:val="00103E90"/>
    <w:rsid w:val="00103EB8"/>
    <w:rsid w:val="00103FB2"/>
    <w:rsid w:val="00104012"/>
    <w:rsid w:val="00104075"/>
    <w:rsid w:val="0010407D"/>
    <w:rsid w:val="001040F2"/>
    <w:rsid w:val="00104111"/>
    <w:rsid w:val="00104236"/>
    <w:rsid w:val="00104249"/>
    <w:rsid w:val="001042DA"/>
    <w:rsid w:val="001042E8"/>
    <w:rsid w:val="0010433E"/>
    <w:rsid w:val="001045AB"/>
    <w:rsid w:val="001045B5"/>
    <w:rsid w:val="0010461D"/>
    <w:rsid w:val="0010472C"/>
    <w:rsid w:val="00104898"/>
    <w:rsid w:val="001048AA"/>
    <w:rsid w:val="001049EB"/>
    <w:rsid w:val="00104BCE"/>
    <w:rsid w:val="00104D83"/>
    <w:rsid w:val="00104D8B"/>
    <w:rsid w:val="00104DFF"/>
    <w:rsid w:val="00104E00"/>
    <w:rsid w:val="00104E33"/>
    <w:rsid w:val="00104EF6"/>
    <w:rsid w:val="00104F4F"/>
    <w:rsid w:val="0010513B"/>
    <w:rsid w:val="0010514E"/>
    <w:rsid w:val="001051EC"/>
    <w:rsid w:val="001051FE"/>
    <w:rsid w:val="001052B1"/>
    <w:rsid w:val="0010530C"/>
    <w:rsid w:val="00105620"/>
    <w:rsid w:val="00105629"/>
    <w:rsid w:val="001057A6"/>
    <w:rsid w:val="00105834"/>
    <w:rsid w:val="00105927"/>
    <w:rsid w:val="00105ACA"/>
    <w:rsid w:val="00105AF7"/>
    <w:rsid w:val="00105B5D"/>
    <w:rsid w:val="00105C38"/>
    <w:rsid w:val="00105D32"/>
    <w:rsid w:val="00105E0A"/>
    <w:rsid w:val="00105EA6"/>
    <w:rsid w:val="00105F01"/>
    <w:rsid w:val="00105F05"/>
    <w:rsid w:val="00105FF9"/>
    <w:rsid w:val="00106118"/>
    <w:rsid w:val="001061E6"/>
    <w:rsid w:val="00106220"/>
    <w:rsid w:val="001064D5"/>
    <w:rsid w:val="001064DD"/>
    <w:rsid w:val="00106517"/>
    <w:rsid w:val="00106565"/>
    <w:rsid w:val="0010684F"/>
    <w:rsid w:val="0010686B"/>
    <w:rsid w:val="00106B07"/>
    <w:rsid w:val="00106BB3"/>
    <w:rsid w:val="00106BFB"/>
    <w:rsid w:val="00106CB8"/>
    <w:rsid w:val="00106D66"/>
    <w:rsid w:val="00106DE8"/>
    <w:rsid w:val="001071B7"/>
    <w:rsid w:val="00107227"/>
    <w:rsid w:val="00107395"/>
    <w:rsid w:val="0010741B"/>
    <w:rsid w:val="001074DD"/>
    <w:rsid w:val="001074E2"/>
    <w:rsid w:val="001074ED"/>
    <w:rsid w:val="00107570"/>
    <w:rsid w:val="00107689"/>
    <w:rsid w:val="00107871"/>
    <w:rsid w:val="001078AC"/>
    <w:rsid w:val="00107922"/>
    <w:rsid w:val="00107938"/>
    <w:rsid w:val="00107A0E"/>
    <w:rsid w:val="00107A49"/>
    <w:rsid w:val="00107A66"/>
    <w:rsid w:val="00107AA0"/>
    <w:rsid w:val="00107ABC"/>
    <w:rsid w:val="00107BCD"/>
    <w:rsid w:val="00107BDC"/>
    <w:rsid w:val="00107C2C"/>
    <w:rsid w:val="00107C58"/>
    <w:rsid w:val="00107CC4"/>
    <w:rsid w:val="00107CF0"/>
    <w:rsid w:val="00107D0B"/>
    <w:rsid w:val="00107D62"/>
    <w:rsid w:val="00107D88"/>
    <w:rsid w:val="00107DC9"/>
    <w:rsid w:val="00107DE7"/>
    <w:rsid w:val="00107FE8"/>
    <w:rsid w:val="00108059"/>
    <w:rsid w:val="0011005D"/>
    <w:rsid w:val="00110093"/>
    <w:rsid w:val="001101A5"/>
    <w:rsid w:val="001101E3"/>
    <w:rsid w:val="0011020C"/>
    <w:rsid w:val="001102A2"/>
    <w:rsid w:val="00110312"/>
    <w:rsid w:val="0011032C"/>
    <w:rsid w:val="001103BD"/>
    <w:rsid w:val="001103DF"/>
    <w:rsid w:val="001106DD"/>
    <w:rsid w:val="00110737"/>
    <w:rsid w:val="001107F6"/>
    <w:rsid w:val="0011080E"/>
    <w:rsid w:val="00110875"/>
    <w:rsid w:val="00110878"/>
    <w:rsid w:val="001108BF"/>
    <w:rsid w:val="00110956"/>
    <w:rsid w:val="00110AB0"/>
    <w:rsid w:val="00110B04"/>
    <w:rsid w:val="00110B3D"/>
    <w:rsid w:val="00110B90"/>
    <w:rsid w:val="00110C04"/>
    <w:rsid w:val="00110C2D"/>
    <w:rsid w:val="00110C5B"/>
    <w:rsid w:val="00110DB5"/>
    <w:rsid w:val="00110DF7"/>
    <w:rsid w:val="00110EBD"/>
    <w:rsid w:val="00110F2E"/>
    <w:rsid w:val="00111042"/>
    <w:rsid w:val="00111087"/>
    <w:rsid w:val="00111179"/>
    <w:rsid w:val="00111242"/>
    <w:rsid w:val="001113C6"/>
    <w:rsid w:val="00111439"/>
    <w:rsid w:val="0011143A"/>
    <w:rsid w:val="001115BB"/>
    <w:rsid w:val="001116D3"/>
    <w:rsid w:val="00111702"/>
    <w:rsid w:val="00111739"/>
    <w:rsid w:val="00111852"/>
    <w:rsid w:val="001118CC"/>
    <w:rsid w:val="0011190E"/>
    <w:rsid w:val="00111964"/>
    <w:rsid w:val="001119D4"/>
    <w:rsid w:val="00111A7B"/>
    <w:rsid w:val="00111AC8"/>
    <w:rsid w:val="00111D2F"/>
    <w:rsid w:val="00111D8A"/>
    <w:rsid w:val="00111DCD"/>
    <w:rsid w:val="00111E86"/>
    <w:rsid w:val="00111ED2"/>
    <w:rsid w:val="00111ED3"/>
    <w:rsid w:val="00111ED9"/>
    <w:rsid w:val="00111F43"/>
    <w:rsid w:val="00111F4C"/>
    <w:rsid w:val="00111F76"/>
    <w:rsid w:val="00112024"/>
    <w:rsid w:val="00112036"/>
    <w:rsid w:val="0011215D"/>
    <w:rsid w:val="001121CE"/>
    <w:rsid w:val="00112309"/>
    <w:rsid w:val="00112373"/>
    <w:rsid w:val="0011241E"/>
    <w:rsid w:val="001124B1"/>
    <w:rsid w:val="001124B4"/>
    <w:rsid w:val="00112583"/>
    <w:rsid w:val="00112592"/>
    <w:rsid w:val="00112645"/>
    <w:rsid w:val="0011267A"/>
    <w:rsid w:val="00112724"/>
    <w:rsid w:val="00112755"/>
    <w:rsid w:val="0011279E"/>
    <w:rsid w:val="00112805"/>
    <w:rsid w:val="00112809"/>
    <w:rsid w:val="00112879"/>
    <w:rsid w:val="00112971"/>
    <w:rsid w:val="00112A2E"/>
    <w:rsid w:val="00112B39"/>
    <w:rsid w:val="00112B51"/>
    <w:rsid w:val="00112B6F"/>
    <w:rsid w:val="00112C03"/>
    <w:rsid w:val="00112C6F"/>
    <w:rsid w:val="00112E15"/>
    <w:rsid w:val="00112F20"/>
    <w:rsid w:val="00112F5B"/>
    <w:rsid w:val="00112F5F"/>
    <w:rsid w:val="00112FD5"/>
    <w:rsid w:val="00113078"/>
    <w:rsid w:val="00113118"/>
    <w:rsid w:val="0011314C"/>
    <w:rsid w:val="0011315F"/>
    <w:rsid w:val="001131DA"/>
    <w:rsid w:val="00113235"/>
    <w:rsid w:val="0011326B"/>
    <w:rsid w:val="0011332E"/>
    <w:rsid w:val="00113338"/>
    <w:rsid w:val="00113404"/>
    <w:rsid w:val="0011342C"/>
    <w:rsid w:val="00113463"/>
    <w:rsid w:val="00113571"/>
    <w:rsid w:val="0011357E"/>
    <w:rsid w:val="001135C2"/>
    <w:rsid w:val="0011364A"/>
    <w:rsid w:val="00113687"/>
    <w:rsid w:val="001136AF"/>
    <w:rsid w:val="0011372B"/>
    <w:rsid w:val="00113732"/>
    <w:rsid w:val="001137B5"/>
    <w:rsid w:val="001137EB"/>
    <w:rsid w:val="00113810"/>
    <w:rsid w:val="001138A6"/>
    <w:rsid w:val="001138CE"/>
    <w:rsid w:val="00113914"/>
    <w:rsid w:val="001139A3"/>
    <w:rsid w:val="00113A8F"/>
    <w:rsid w:val="00113AE3"/>
    <w:rsid w:val="00113BC7"/>
    <w:rsid w:val="00113C24"/>
    <w:rsid w:val="00113CCF"/>
    <w:rsid w:val="00113DDC"/>
    <w:rsid w:val="00113FB7"/>
    <w:rsid w:val="00114001"/>
    <w:rsid w:val="001140C4"/>
    <w:rsid w:val="00114336"/>
    <w:rsid w:val="001143C0"/>
    <w:rsid w:val="0011450E"/>
    <w:rsid w:val="0011454B"/>
    <w:rsid w:val="0011465D"/>
    <w:rsid w:val="0011465F"/>
    <w:rsid w:val="00114726"/>
    <w:rsid w:val="00114731"/>
    <w:rsid w:val="00114764"/>
    <w:rsid w:val="00114771"/>
    <w:rsid w:val="00114821"/>
    <w:rsid w:val="001148B9"/>
    <w:rsid w:val="0011491C"/>
    <w:rsid w:val="00114987"/>
    <w:rsid w:val="001149F9"/>
    <w:rsid w:val="00114BEA"/>
    <w:rsid w:val="00114C11"/>
    <w:rsid w:val="00114D0C"/>
    <w:rsid w:val="00114DF5"/>
    <w:rsid w:val="00114E2F"/>
    <w:rsid w:val="00114F9B"/>
    <w:rsid w:val="00114FF6"/>
    <w:rsid w:val="0011506D"/>
    <w:rsid w:val="001150EC"/>
    <w:rsid w:val="00115111"/>
    <w:rsid w:val="001151D6"/>
    <w:rsid w:val="001151E9"/>
    <w:rsid w:val="00115228"/>
    <w:rsid w:val="00115341"/>
    <w:rsid w:val="0011538D"/>
    <w:rsid w:val="0011548E"/>
    <w:rsid w:val="001154DB"/>
    <w:rsid w:val="00115601"/>
    <w:rsid w:val="00115772"/>
    <w:rsid w:val="001157A1"/>
    <w:rsid w:val="00115993"/>
    <w:rsid w:val="00115A0C"/>
    <w:rsid w:val="00115AE2"/>
    <w:rsid w:val="00115BD3"/>
    <w:rsid w:val="00115C9A"/>
    <w:rsid w:val="00115EA4"/>
    <w:rsid w:val="00115F92"/>
    <w:rsid w:val="00115FB4"/>
    <w:rsid w:val="00115FD4"/>
    <w:rsid w:val="0011603A"/>
    <w:rsid w:val="00116069"/>
    <w:rsid w:val="001160CE"/>
    <w:rsid w:val="00116164"/>
    <w:rsid w:val="001161A7"/>
    <w:rsid w:val="001162DC"/>
    <w:rsid w:val="001162E0"/>
    <w:rsid w:val="00116302"/>
    <w:rsid w:val="00116338"/>
    <w:rsid w:val="00116362"/>
    <w:rsid w:val="001164D0"/>
    <w:rsid w:val="00116553"/>
    <w:rsid w:val="00116591"/>
    <w:rsid w:val="001167E5"/>
    <w:rsid w:val="0011686B"/>
    <w:rsid w:val="001168FA"/>
    <w:rsid w:val="001169DC"/>
    <w:rsid w:val="00116A52"/>
    <w:rsid w:val="00116A9A"/>
    <w:rsid w:val="00116B25"/>
    <w:rsid w:val="00116B4E"/>
    <w:rsid w:val="00116C20"/>
    <w:rsid w:val="00116C93"/>
    <w:rsid w:val="00116CC1"/>
    <w:rsid w:val="00116D22"/>
    <w:rsid w:val="00116EF3"/>
    <w:rsid w:val="00116F0C"/>
    <w:rsid w:val="00116FFF"/>
    <w:rsid w:val="0011708B"/>
    <w:rsid w:val="00117136"/>
    <w:rsid w:val="0011714C"/>
    <w:rsid w:val="00117246"/>
    <w:rsid w:val="001173B1"/>
    <w:rsid w:val="0011741D"/>
    <w:rsid w:val="00117434"/>
    <w:rsid w:val="001174C2"/>
    <w:rsid w:val="0011752B"/>
    <w:rsid w:val="001175E9"/>
    <w:rsid w:val="001176A2"/>
    <w:rsid w:val="001176AE"/>
    <w:rsid w:val="001176DF"/>
    <w:rsid w:val="001176EF"/>
    <w:rsid w:val="00117709"/>
    <w:rsid w:val="00117780"/>
    <w:rsid w:val="0011779D"/>
    <w:rsid w:val="001177AF"/>
    <w:rsid w:val="001177C6"/>
    <w:rsid w:val="00117809"/>
    <w:rsid w:val="0011780B"/>
    <w:rsid w:val="00117842"/>
    <w:rsid w:val="001178EA"/>
    <w:rsid w:val="00117920"/>
    <w:rsid w:val="00117928"/>
    <w:rsid w:val="0011792E"/>
    <w:rsid w:val="00117985"/>
    <w:rsid w:val="00117B4D"/>
    <w:rsid w:val="00117C59"/>
    <w:rsid w:val="00117FF2"/>
    <w:rsid w:val="00120057"/>
    <w:rsid w:val="001200AD"/>
    <w:rsid w:val="001201AC"/>
    <w:rsid w:val="001201B1"/>
    <w:rsid w:val="00120317"/>
    <w:rsid w:val="00120694"/>
    <w:rsid w:val="0012070C"/>
    <w:rsid w:val="00120716"/>
    <w:rsid w:val="0012075A"/>
    <w:rsid w:val="00120859"/>
    <w:rsid w:val="001208C2"/>
    <w:rsid w:val="0012090B"/>
    <w:rsid w:val="00120977"/>
    <w:rsid w:val="00120AB2"/>
    <w:rsid w:val="00120D5C"/>
    <w:rsid w:val="00120DDF"/>
    <w:rsid w:val="00120DF4"/>
    <w:rsid w:val="00120F4C"/>
    <w:rsid w:val="00121056"/>
    <w:rsid w:val="00121067"/>
    <w:rsid w:val="0012108E"/>
    <w:rsid w:val="001210CC"/>
    <w:rsid w:val="0012110C"/>
    <w:rsid w:val="00121164"/>
    <w:rsid w:val="00121192"/>
    <w:rsid w:val="0012128A"/>
    <w:rsid w:val="00121364"/>
    <w:rsid w:val="00121379"/>
    <w:rsid w:val="0012140F"/>
    <w:rsid w:val="00121531"/>
    <w:rsid w:val="001215CC"/>
    <w:rsid w:val="001215DF"/>
    <w:rsid w:val="00121792"/>
    <w:rsid w:val="001217FF"/>
    <w:rsid w:val="00121837"/>
    <w:rsid w:val="00121839"/>
    <w:rsid w:val="001218F4"/>
    <w:rsid w:val="0012191F"/>
    <w:rsid w:val="00121935"/>
    <w:rsid w:val="00121BB8"/>
    <w:rsid w:val="00121C0D"/>
    <w:rsid w:val="00121C7F"/>
    <w:rsid w:val="00121D58"/>
    <w:rsid w:val="00121D68"/>
    <w:rsid w:val="00121DAA"/>
    <w:rsid w:val="00121F26"/>
    <w:rsid w:val="00121F52"/>
    <w:rsid w:val="00121F93"/>
    <w:rsid w:val="00122044"/>
    <w:rsid w:val="001220CC"/>
    <w:rsid w:val="001220F2"/>
    <w:rsid w:val="0012228C"/>
    <w:rsid w:val="00122345"/>
    <w:rsid w:val="001223D7"/>
    <w:rsid w:val="001223F7"/>
    <w:rsid w:val="0012250C"/>
    <w:rsid w:val="001226E3"/>
    <w:rsid w:val="001226FE"/>
    <w:rsid w:val="0012274B"/>
    <w:rsid w:val="0012274F"/>
    <w:rsid w:val="00122750"/>
    <w:rsid w:val="00122834"/>
    <w:rsid w:val="00122887"/>
    <w:rsid w:val="00122895"/>
    <w:rsid w:val="00122A86"/>
    <w:rsid w:val="00122B0B"/>
    <w:rsid w:val="00122BDE"/>
    <w:rsid w:val="00122C15"/>
    <w:rsid w:val="00122C33"/>
    <w:rsid w:val="00122D19"/>
    <w:rsid w:val="00122D2A"/>
    <w:rsid w:val="00122D6B"/>
    <w:rsid w:val="00122E6F"/>
    <w:rsid w:val="00122EFE"/>
    <w:rsid w:val="00123021"/>
    <w:rsid w:val="0012304A"/>
    <w:rsid w:val="00123112"/>
    <w:rsid w:val="00123122"/>
    <w:rsid w:val="0012314B"/>
    <w:rsid w:val="00123150"/>
    <w:rsid w:val="00123192"/>
    <w:rsid w:val="0012321B"/>
    <w:rsid w:val="0012331D"/>
    <w:rsid w:val="0012333F"/>
    <w:rsid w:val="0012349A"/>
    <w:rsid w:val="001234A6"/>
    <w:rsid w:val="001234DD"/>
    <w:rsid w:val="001234F9"/>
    <w:rsid w:val="00123642"/>
    <w:rsid w:val="00123723"/>
    <w:rsid w:val="00123844"/>
    <w:rsid w:val="00123845"/>
    <w:rsid w:val="00123867"/>
    <w:rsid w:val="001238A8"/>
    <w:rsid w:val="0012391D"/>
    <w:rsid w:val="00123926"/>
    <w:rsid w:val="00123984"/>
    <w:rsid w:val="001239AD"/>
    <w:rsid w:val="00123B3D"/>
    <w:rsid w:val="00123BA8"/>
    <w:rsid w:val="00123C27"/>
    <w:rsid w:val="00123CD8"/>
    <w:rsid w:val="00123D04"/>
    <w:rsid w:val="00123D5E"/>
    <w:rsid w:val="00123E24"/>
    <w:rsid w:val="00123FCF"/>
    <w:rsid w:val="001240B6"/>
    <w:rsid w:val="001241A3"/>
    <w:rsid w:val="001241AF"/>
    <w:rsid w:val="001242CE"/>
    <w:rsid w:val="001242FA"/>
    <w:rsid w:val="00124306"/>
    <w:rsid w:val="0012433D"/>
    <w:rsid w:val="00124362"/>
    <w:rsid w:val="0012441D"/>
    <w:rsid w:val="001244C3"/>
    <w:rsid w:val="001244DC"/>
    <w:rsid w:val="001245B1"/>
    <w:rsid w:val="001245BF"/>
    <w:rsid w:val="00124612"/>
    <w:rsid w:val="0012465E"/>
    <w:rsid w:val="001246A8"/>
    <w:rsid w:val="001246D1"/>
    <w:rsid w:val="0012474A"/>
    <w:rsid w:val="00124751"/>
    <w:rsid w:val="00124850"/>
    <w:rsid w:val="001248D9"/>
    <w:rsid w:val="00124958"/>
    <w:rsid w:val="0012499A"/>
    <w:rsid w:val="001249B3"/>
    <w:rsid w:val="001249FA"/>
    <w:rsid w:val="00124A23"/>
    <w:rsid w:val="00124A77"/>
    <w:rsid w:val="00124AA7"/>
    <w:rsid w:val="00124B61"/>
    <w:rsid w:val="00124BE6"/>
    <w:rsid w:val="00124C0F"/>
    <w:rsid w:val="00124CAE"/>
    <w:rsid w:val="00124CBB"/>
    <w:rsid w:val="00124DA1"/>
    <w:rsid w:val="00124DFC"/>
    <w:rsid w:val="00124ED1"/>
    <w:rsid w:val="00124FD5"/>
    <w:rsid w:val="0012500F"/>
    <w:rsid w:val="0012506B"/>
    <w:rsid w:val="00125073"/>
    <w:rsid w:val="00125086"/>
    <w:rsid w:val="001251EE"/>
    <w:rsid w:val="001252A6"/>
    <w:rsid w:val="0012539F"/>
    <w:rsid w:val="001253A4"/>
    <w:rsid w:val="001253A5"/>
    <w:rsid w:val="001253C7"/>
    <w:rsid w:val="0012541C"/>
    <w:rsid w:val="00125519"/>
    <w:rsid w:val="00125599"/>
    <w:rsid w:val="00125675"/>
    <w:rsid w:val="00125743"/>
    <w:rsid w:val="001257F5"/>
    <w:rsid w:val="001258EB"/>
    <w:rsid w:val="0012595D"/>
    <w:rsid w:val="001259FA"/>
    <w:rsid w:val="00125DAA"/>
    <w:rsid w:val="00125E0B"/>
    <w:rsid w:val="00125E4F"/>
    <w:rsid w:val="00125EF1"/>
    <w:rsid w:val="001260BA"/>
    <w:rsid w:val="00126179"/>
    <w:rsid w:val="00126193"/>
    <w:rsid w:val="00126211"/>
    <w:rsid w:val="00126235"/>
    <w:rsid w:val="00126287"/>
    <w:rsid w:val="001263CD"/>
    <w:rsid w:val="001266CF"/>
    <w:rsid w:val="001266D5"/>
    <w:rsid w:val="001266F4"/>
    <w:rsid w:val="00126705"/>
    <w:rsid w:val="001267AE"/>
    <w:rsid w:val="001267B8"/>
    <w:rsid w:val="00126805"/>
    <w:rsid w:val="00126820"/>
    <w:rsid w:val="0012697F"/>
    <w:rsid w:val="00126A62"/>
    <w:rsid w:val="00126A6A"/>
    <w:rsid w:val="00126CBF"/>
    <w:rsid w:val="00126D44"/>
    <w:rsid w:val="00126F31"/>
    <w:rsid w:val="00126F46"/>
    <w:rsid w:val="00126F7E"/>
    <w:rsid w:val="0012700C"/>
    <w:rsid w:val="00127038"/>
    <w:rsid w:val="00127089"/>
    <w:rsid w:val="0012712C"/>
    <w:rsid w:val="001271D4"/>
    <w:rsid w:val="0012727E"/>
    <w:rsid w:val="001272B5"/>
    <w:rsid w:val="001272C6"/>
    <w:rsid w:val="00127304"/>
    <w:rsid w:val="00127384"/>
    <w:rsid w:val="001273B1"/>
    <w:rsid w:val="001274E9"/>
    <w:rsid w:val="001275F6"/>
    <w:rsid w:val="0012764B"/>
    <w:rsid w:val="00127812"/>
    <w:rsid w:val="0012782B"/>
    <w:rsid w:val="0012787A"/>
    <w:rsid w:val="0012796D"/>
    <w:rsid w:val="0012798F"/>
    <w:rsid w:val="00127AAC"/>
    <w:rsid w:val="00127ADA"/>
    <w:rsid w:val="00127B04"/>
    <w:rsid w:val="00127B2D"/>
    <w:rsid w:val="00127C26"/>
    <w:rsid w:val="00127C86"/>
    <w:rsid w:val="00127D15"/>
    <w:rsid w:val="00127D52"/>
    <w:rsid w:val="00127DE2"/>
    <w:rsid w:val="00127DFA"/>
    <w:rsid w:val="00127F42"/>
    <w:rsid w:val="00127F5E"/>
    <w:rsid w:val="0012BA60"/>
    <w:rsid w:val="0012CB1B"/>
    <w:rsid w:val="0012DCCC"/>
    <w:rsid w:val="00130044"/>
    <w:rsid w:val="00130045"/>
    <w:rsid w:val="001300AE"/>
    <w:rsid w:val="001300D0"/>
    <w:rsid w:val="00130170"/>
    <w:rsid w:val="00130247"/>
    <w:rsid w:val="00130281"/>
    <w:rsid w:val="0013035B"/>
    <w:rsid w:val="001303B4"/>
    <w:rsid w:val="001303BE"/>
    <w:rsid w:val="00130480"/>
    <w:rsid w:val="00130706"/>
    <w:rsid w:val="0013070F"/>
    <w:rsid w:val="00130713"/>
    <w:rsid w:val="001307B3"/>
    <w:rsid w:val="001307E8"/>
    <w:rsid w:val="001308A3"/>
    <w:rsid w:val="00130A5C"/>
    <w:rsid w:val="00130AA0"/>
    <w:rsid w:val="00130BFA"/>
    <w:rsid w:val="00130CBB"/>
    <w:rsid w:val="00130CEC"/>
    <w:rsid w:val="00130D85"/>
    <w:rsid w:val="00130DB3"/>
    <w:rsid w:val="00130DEB"/>
    <w:rsid w:val="00130EBE"/>
    <w:rsid w:val="00130ECC"/>
    <w:rsid w:val="00130EEA"/>
    <w:rsid w:val="00130F62"/>
    <w:rsid w:val="00130FC9"/>
    <w:rsid w:val="00131133"/>
    <w:rsid w:val="0013121C"/>
    <w:rsid w:val="001312A0"/>
    <w:rsid w:val="001313AC"/>
    <w:rsid w:val="001313B7"/>
    <w:rsid w:val="001315AE"/>
    <w:rsid w:val="001315D9"/>
    <w:rsid w:val="001316A5"/>
    <w:rsid w:val="0013171B"/>
    <w:rsid w:val="001317B8"/>
    <w:rsid w:val="0013184C"/>
    <w:rsid w:val="001318B5"/>
    <w:rsid w:val="0013199D"/>
    <w:rsid w:val="00131BBA"/>
    <w:rsid w:val="00131BED"/>
    <w:rsid w:val="00131C97"/>
    <w:rsid w:val="00131CE1"/>
    <w:rsid w:val="00131DF5"/>
    <w:rsid w:val="00131E25"/>
    <w:rsid w:val="00131E5E"/>
    <w:rsid w:val="00131F0C"/>
    <w:rsid w:val="00131F39"/>
    <w:rsid w:val="00132070"/>
    <w:rsid w:val="00132081"/>
    <w:rsid w:val="0013218E"/>
    <w:rsid w:val="00132196"/>
    <w:rsid w:val="00132222"/>
    <w:rsid w:val="00132226"/>
    <w:rsid w:val="001322DF"/>
    <w:rsid w:val="0013232B"/>
    <w:rsid w:val="001323B9"/>
    <w:rsid w:val="001323E3"/>
    <w:rsid w:val="001324CD"/>
    <w:rsid w:val="0013262F"/>
    <w:rsid w:val="0013263D"/>
    <w:rsid w:val="0013266B"/>
    <w:rsid w:val="001327E8"/>
    <w:rsid w:val="00132859"/>
    <w:rsid w:val="001329C6"/>
    <w:rsid w:val="00132BF4"/>
    <w:rsid w:val="00132DAB"/>
    <w:rsid w:val="00132EA1"/>
    <w:rsid w:val="00132F1C"/>
    <w:rsid w:val="00133033"/>
    <w:rsid w:val="00133060"/>
    <w:rsid w:val="001331AA"/>
    <w:rsid w:val="001332B3"/>
    <w:rsid w:val="001332E3"/>
    <w:rsid w:val="00133340"/>
    <w:rsid w:val="001333C5"/>
    <w:rsid w:val="00133455"/>
    <w:rsid w:val="001335F7"/>
    <w:rsid w:val="00133696"/>
    <w:rsid w:val="00133730"/>
    <w:rsid w:val="00133731"/>
    <w:rsid w:val="00133770"/>
    <w:rsid w:val="0013387A"/>
    <w:rsid w:val="001338CC"/>
    <w:rsid w:val="00133959"/>
    <w:rsid w:val="00133996"/>
    <w:rsid w:val="00133B96"/>
    <w:rsid w:val="00133C03"/>
    <w:rsid w:val="00133CC9"/>
    <w:rsid w:val="00133D4D"/>
    <w:rsid w:val="00133E63"/>
    <w:rsid w:val="00133F1F"/>
    <w:rsid w:val="00133F81"/>
    <w:rsid w:val="00133FFE"/>
    <w:rsid w:val="001340C7"/>
    <w:rsid w:val="00134169"/>
    <w:rsid w:val="001341ED"/>
    <w:rsid w:val="00134215"/>
    <w:rsid w:val="00134277"/>
    <w:rsid w:val="001342C2"/>
    <w:rsid w:val="00134369"/>
    <w:rsid w:val="00134590"/>
    <w:rsid w:val="001346E6"/>
    <w:rsid w:val="0013470C"/>
    <w:rsid w:val="0013478F"/>
    <w:rsid w:val="00134799"/>
    <w:rsid w:val="001347F3"/>
    <w:rsid w:val="00134834"/>
    <w:rsid w:val="00134850"/>
    <w:rsid w:val="00134867"/>
    <w:rsid w:val="0013489D"/>
    <w:rsid w:val="00134BF2"/>
    <w:rsid w:val="00134E07"/>
    <w:rsid w:val="00134EFE"/>
    <w:rsid w:val="00134F02"/>
    <w:rsid w:val="0013515E"/>
    <w:rsid w:val="0013517C"/>
    <w:rsid w:val="001352FD"/>
    <w:rsid w:val="00135342"/>
    <w:rsid w:val="00135348"/>
    <w:rsid w:val="001354D0"/>
    <w:rsid w:val="00135500"/>
    <w:rsid w:val="00135512"/>
    <w:rsid w:val="00135530"/>
    <w:rsid w:val="001355BD"/>
    <w:rsid w:val="001355F9"/>
    <w:rsid w:val="00135639"/>
    <w:rsid w:val="00135699"/>
    <w:rsid w:val="0013575D"/>
    <w:rsid w:val="00135771"/>
    <w:rsid w:val="0013578C"/>
    <w:rsid w:val="001358C5"/>
    <w:rsid w:val="0013594B"/>
    <w:rsid w:val="001359C4"/>
    <w:rsid w:val="00135C48"/>
    <w:rsid w:val="00135CC9"/>
    <w:rsid w:val="00135D01"/>
    <w:rsid w:val="00135D36"/>
    <w:rsid w:val="00135D5A"/>
    <w:rsid w:val="00135E4B"/>
    <w:rsid w:val="00135E73"/>
    <w:rsid w:val="00135E76"/>
    <w:rsid w:val="00135EF9"/>
    <w:rsid w:val="00135F51"/>
    <w:rsid w:val="00135FBA"/>
    <w:rsid w:val="00135FD7"/>
    <w:rsid w:val="0013604D"/>
    <w:rsid w:val="00136092"/>
    <w:rsid w:val="001360B6"/>
    <w:rsid w:val="00136216"/>
    <w:rsid w:val="001362F4"/>
    <w:rsid w:val="00136381"/>
    <w:rsid w:val="00136501"/>
    <w:rsid w:val="0013659C"/>
    <w:rsid w:val="0013661C"/>
    <w:rsid w:val="0013678E"/>
    <w:rsid w:val="00136920"/>
    <w:rsid w:val="001369D5"/>
    <w:rsid w:val="00136AAC"/>
    <w:rsid w:val="00136AD3"/>
    <w:rsid w:val="00136AE3"/>
    <w:rsid w:val="00136B01"/>
    <w:rsid w:val="00136B16"/>
    <w:rsid w:val="00136CF8"/>
    <w:rsid w:val="00136E1C"/>
    <w:rsid w:val="00136E31"/>
    <w:rsid w:val="00136E78"/>
    <w:rsid w:val="00136EFD"/>
    <w:rsid w:val="00136FF6"/>
    <w:rsid w:val="0013706F"/>
    <w:rsid w:val="001371F6"/>
    <w:rsid w:val="0013727A"/>
    <w:rsid w:val="0013731F"/>
    <w:rsid w:val="0013743A"/>
    <w:rsid w:val="00137517"/>
    <w:rsid w:val="00137561"/>
    <w:rsid w:val="0013757E"/>
    <w:rsid w:val="001375A3"/>
    <w:rsid w:val="001375DE"/>
    <w:rsid w:val="001376DC"/>
    <w:rsid w:val="00137758"/>
    <w:rsid w:val="001377C6"/>
    <w:rsid w:val="00137931"/>
    <w:rsid w:val="00137A28"/>
    <w:rsid w:val="00137A3D"/>
    <w:rsid w:val="00137A50"/>
    <w:rsid w:val="00137CBC"/>
    <w:rsid w:val="00137D18"/>
    <w:rsid w:val="00137F5F"/>
    <w:rsid w:val="00137F65"/>
    <w:rsid w:val="0013C9F2"/>
    <w:rsid w:val="0013CB7D"/>
    <w:rsid w:val="00140042"/>
    <w:rsid w:val="00140090"/>
    <w:rsid w:val="00140119"/>
    <w:rsid w:val="00140146"/>
    <w:rsid w:val="0014028A"/>
    <w:rsid w:val="00140297"/>
    <w:rsid w:val="00140384"/>
    <w:rsid w:val="0014038D"/>
    <w:rsid w:val="001403D0"/>
    <w:rsid w:val="00140545"/>
    <w:rsid w:val="001405D2"/>
    <w:rsid w:val="001406B6"/>
    <w:rsid w:val="001406B9"/>
    <w:rsid w:val="001406FF"/>
    <w:rsid w:val="0014070F"/>
    <w:rsid w:val="001407E0"/>
    <w:rsid w:val="0014081C"/>
    <w:rsid w:val="0014085C"/>
    <w:rsid w:val="00140867"/>
    <w:rsid w:val="00140A22"/>
    <w:rsid w:val="00140C1E"/>
    <w:rsid w:val="00140D44"/>
    <w:rsid w:val="00140D56"/>
    <w:rsid w:val="00140DCD"/>
    <w:rsid w:val="00140E17"/>
    <w:rsid w:val="00140E2E"/>
    <w:rsid w:val="00140E41"/>
    <w:rsid w:val="00140EE5"/>
    <w:rsid w:val="00140EF1"/>
    <w:rsid w:val="00140F4F"/>
    <w:rsid w:val="0014133C"/>
    <w:rsid w:val="001414FF"/>
    <w:rsid w:val="0014157C"/>
    <w:rsid w:val="001415B0"/>
    <w:rsid w:val="001415F9"/>
    <w:rsid w:val="00141648"/>
    <w:rsid w:val="001416B8"/>
    <w:rsid w:val="00141721"/>
    <w:rsid w:val="001417F8"/>
    <w:rsid w:val="001419B3"/>
    <w:rsid w:val="00141A4F"/>
    <w:rsid w:val="00141B0F"/>
    <w:rsid w:val="00141B67"/>
    <w:rsid w:val="00141CA3"/>
    <w:rsid w:val="00141CE6"/>
    <w:rsid w:val="00141D0E"/>
    <w:rsid w:val="00141D39"/>
    <w:rsid w:val="00141F36"/>
    <w:rsid w:val="00141F5C"/>
    <w:rsid w:val="00141F68"/>
    <w:rsid w:val="001420CE"/>
    <w:rsid w:val="001420DE"/>
    <w:rsid w:val="001420ED"/>
    <w:rsid w:val="001421D6"/>
    <w:rsid w:val="00142238"/>
    <w:rsid w:val="0014238B"/>
    <w:rsid w:val="00142663"/>
    <w:rsid w:val="0014270A"/>
    <w:rsid w:val="0014270E"/>
    <w:rsid w:val="0014277C"/>
    <w:rsid w:val="00142943"/>
    <w:rsid w:val="00142969"/>
    <w:rsid w:val="001429EB"/>
    <w:rsid w:val="00142A7D"/>
    <w:rsid w:val="00142A80"/>
    <w:rsid w:val="00142C63"/>
    <w:rsid w:val="00142C91"/>
    <w:rsid w:val="00142CC8"/>
    <w:rsid w:val="00142D64"/>
    <w:rsid w:val="00142DD0"/>
    <w:rsid w:val="00142E74"/>
    <w:rsid w:val="00142FEF"/>
    <w:rsid w:val="00143087"/>
    <w:rsid w:val="001430A1"/>
    <w:rsid w:val="00143154"/>
    <w:rsid w:val="001431CC"/>
    <w:rsid w:val="00143255"/>
    <w:rsid w:val="001435AB"/>
    <w:rsid w:val="001435CE"/>
    <w:rsid w:val="001435D9"/>
    <w:rsid w:val="001435EB"/>
    <w:rsid w:val="0014372A"/>
    <w:rsid w:val="00143791"/>
    <w:rsid w:val="00143892"/>
    <w:rsid w:val="001438FE"/>
    <w:rsid w:val="00143B21"/>
    <w:rsid w:val="00143B2B"/>
    <w:rsid w:val="00143CF0"/>
    <w:rsid w:val="00143CF9"/>
    <w:rsid w:val="00143D71"/>
    <w:rsid w:val="00143E20"/>
    <w:rsid w:val="00143E7E"/>
    <w:rsid w:val="00143E87"/>
    <w:rsid w:val="00143ED3"/>
    <w:rsid w:val="0014401E"/>
    <w:rsid w:val="00144041"/>
    <w:rsid w:val="00144129"/>
    <w:rsid w:val="0014415B"/>
    <w:rsid w:val="00144160"/>
    <w:rsid w:val="0014416C"/>
    <w:rsid w:val="0014420E"/>
    <w:rsid w:val="00144304"/>
    <w:rsid w:val="00144441"/>
    <w:rsid w:val="0014452C"/>
    <w:rsid w:val="00144693"/>
    <w:rsid w:val="00144706"/>
    <w:rsid w:val="00144730"/>
    <w:rsid w:val="00144797"/>
    <w:rsid w:val="001447D2"/>
    <w:rsid w:val="001447DA"/>
    <w:rsid w:val="0014480E"/>
    <w:rsid w:val="0014499B"/>
    <w:rsid w:val="001449A4"/>
    <w:rsid w:val="00144A69"/>
    <w:rsid w:val="00144A9B"/>
    <w:rsid w:val="00144B5B"/>
    <w:rsid w:val="00144C85"/>
    <w:rsid w:val="00144CDE"/>
    <w:rsid w:val="00144CF2"/>
    <w:rsid w:val="00144D23"/>
    <w:rsid w:val="00144D28"/>
    <w:rsid w:val="00144D71"/>
    <w:rsid w:val="00144DD1"/>
    <w:rsid w:val="00144DE2"/>
    <w:rsid w:val="00144E33"/>
    <w:rsid w:val="00144E72"/>
    <w:rsid w:val="00144E95"/>
    <w:rsid w:val="00144EFC"/>
    <w:rsid w:val="00144FF5"/>
    <w:rsid w:val="00145081"/>
    <w:rsid w:val="00145114"/>
    <w:rsid w:val="0014512A"/>
    <w:rsid w:val="00145133"/>
    <w:rsid w:val="00145138"/>
    <w:rsid w:val="00145158"/>
    <w:rsid w:val="00145181"/>
    <w:rsid w:val="001452CC"/>
    <w:rsid w:val="001452FB"/>
    <w:rsid w:val="00145481"/>
    <w:rsid w:val="001454FB"/>
    <w:rsid w:val="001454FD"/>
    <w:rsid w:val="001456B8"/>
    <w:rsid w:val="0014578B"/>
    <w:rsid w:val="00145910"/>
    <w:rsid w:val="00145991"/>
    <w:rsid w:val="00145AB8"/>
    <w:rsid w:val="00145BA2"/>
    <w:rsid w:val="00145BB9"/>
    <w:rsid w:val="00145BDC"/>
    <w:rsid w:val="00145C21"/>
    <w:rsid w:val="00145D45"/>
    <w:rsid w:val="00145D50"/>
    <w:rsid w:val="00145D9C"/>
    <w:rsid w:val="00145F85"/>
    <w:rsid w:val="001460A9"/>
    <w:rsid w:val="001460BA"/>
    <w:rsid w:val="00146152"/>
    <w:rsid w:val="0014615C"/>
    <w:rsid w:val="00146197"/>
    <w:rsid w:val="0014624A"/>
    <w:rsid w:val="00146257"/>
    <w:rsid w:val="00146297"/>
    <w:rsid w:val="0014632B"/>
    <w:rsid w:val="0014633C"/>
    <w:rsid w:val="00146346"/>
    <w:rsid w:val="001463F0"/>
    <w:rsid w:val="0014640B"/>
    <w:rsid w:val="001464DE"/>
    <w:rsid w:val="0014657A"/>
    <w:rsid w:val="001465A7"/>
    <w:rsid w:val="00146639"/>
    <w:rsid w:val="0014668A"/>
    <w:rsid w:val="001466D5"/>
    <w:rsid w:val="00146781"/>
    <w:rsid w:val="00146801"/>
    <w:rsid w:val="0014680F"/>
    <w:rsid w:val="0014682C"/>
    <w:rsid w:val="00146838"/>
    <w:rsid w:val="00146982"/>
    <w:rsid w:val="00146A96"/>
    <w:rsid w:val="00146B88"/>
    <w:rsid w:val="00146B99"/>
    <w:rsid w:val="00146BB8"/>
    <w:rsid w:val="00146CA8"/>
    <w:rsid w:val="00146D85"/>
    <w:rsid w:val="00146EE0"/>
    <w:rsid w:val="00146EF8"/>
    <w:rsid w:val="00146F14"/>
    <w:rsid w:val="00146F25"/>
    <w:rsid w:val="0014718F"/>
    <w:rsid w:val="0014724E"/>
    <w:rsid w:val="001472A2"/>
    <w:rsid w:val="001473D3"/>
    <w:rsid w:val="00147402"/>
    <w:rsid w:val="0014743C"/>
    <w:rsid w:val="001476BA"/>
    <w:rsid w:val="0014787C"/>
    <w:rsid w:val="001478B0"/>
    <w:rsid w:val="001478E9"/>
    <w:rsid w:val="00147956"/>
    <w:rsid w:val="00147965"/>
    <w:rsid w:val="0014798B"/>
    <w:rsid w:val="001479F9"/>
    <w:rsid w:val="00147A2A"/>
    <w:rsid w:val="00147AB2"/>
    <w:rsid w:val="00147AC6"/>
    <w:rsid w:val="00147AEE"/>
    <w:rsid w:val="00147AF4"/>
    <w:rsid w:val="00147B3A"/>
    <w:rsid w:val="00147B71"/>
    <w:rsid w:val="00147D1E"/>
    <w:rsid w:val="00147D55"/>
    <w:rsid w:val="00147D88"/>
    <w:rsid w:val="0014D417"/>
    <w:rsid w:val="0014D73C"/>
    <w:rsid w:val="001500D8"/>
    <w:rsid w:val="00150122"/>
    <w:rsid w:val="0015023A"/>
    <w:rsid w:val="001502CA"/>
    <w:rsid w:val="00150388"/>
    <w:rsid w:val="001503B3"/>
    <w:rsid w:val="001503D7"/>
    <w:rsid w:val="001504E1"/>
    <w:rsid w:val="0015050D"/>
    <w:rsid w:val="00150644"/>
    <w:rsid w:val="00150834"/>
    <w:rsid w:val="0015083C"/>
    <w:rsid w:val="001508FB"/>
    <w:rsid w:val="001509E5"/>
    <w:rsid w:val="00150A1E"/>
    <w:rsid w:val="00150A46"/>
    <w:rsid w:val="00150A6C"/>
    <w:rsid w:val="00150ADB"/>
    <w:rsid w:val="00150D24"/>
    <w:rsid w:val="00150DC9"/>
    <w:rsid w:val="00150ED2"/>
    <w:rsid w:val="00150F1E"/>
    <w:rsid w:val="00150F8A"/>
    <w:rsid w:val="001510CE"/>
    <w:rsid w:val="00151178"/>
    <w:rsid w:val="0015124F"/>
    <w:rsid w:val="0015127E"/>
    <w:rsid w:val="001512E4"/>
    <w:rsid w:val="001513F5"/>
    <w:rsid w:val="00151490"/>
    <w:rsid w:val="0015149F"/>
    <w:rsid w:val="001515B3"/>
    <w:rsid w:val="001515BB"/>
    <w:rsid w:val="00151642"/>
    <w:rsid w:val="001518B4"/>
    <w:rsid w:val="001519BA"/>
    <w:rsid w:val="001519DE"/>
    <w:rsid w:val="00151ADE"/>
    <w:rsid w:val="00151DA0"/>
    <w:rsid w:val="00151E46"/>
    <w:rsid w:val="00151E5B"/>
    <w:rsid w:val="00152025"/>
    <w:rsid w:val="00152056"/>
    <w:rsid w:val="00152069"/>
    <w:rsid w:val="0015210C"/>
    <w:rsid w:val="00152167"/>
    <w:rsid w:val="0015218D"/>
    <w:rsid w:val="001521CA"/>
    <w:rsid w:val="0015227C"/>
    <w:rsid w:val="00152291"/>
    <w:rsid w:val="0015234F"/>
    <w:rsid w:val="00152374"/>
    <w:rsid w:val="001523F9"/>
    <w:rsid w:val="0015253A"/>
    <w:rsid w:val="0015259D"/>
    <w:rsid w:val="0015262D"/>
    <w:rsid w:val="00152664"/>
    <w:rsid w:val="001526B2"/>
    <w:rsid w:val="00152753"/>
    <w:rsid w:val="0015278F"/>
    <w:rsid w:val="001527C6"/>
    <w:rsid w:val="00152811"/>
    <w:rsid w:val="00152849"/>
    <w:rsid w:val="00152880"/>
    <w:rsid w:val="001528D9"/>
    <w:rsid w:val="00152995"/>
    <w:rsid w:val="001529E8"/>
    <w:rsid w:val="00152A6C"/>
    <w:rsid w:val="00152B3A"/>
    <w:rsid w:val="00152BFE"/>
    <w:rsid w:val="00152CCC"/>
    <w:rsid w:val="00152F2F"/>
    <w:rsid w:val="00152F95"/>
    <w:rsid w:val="00152FC8"/>
    <w:rsid w:val="00153045"/>
    <w:rsid w:val="001530C9"/>
    <w:rsid w:val="001530ED"/>
    <w:rsid w:val="00153176"/>
    <w:rsid w:val="001531DE"/>
    <w:rsid w:val="00153228"/>
    <w:rsid w:val="001532A5"/>
    <w:rsid w:val="001532BD"/>
    <w:rsid w:val="00153338"/>
    <w:rsid w:val="001533B3"/>
    <w:rsid w:val="00153440"/>
    <w:rsid w:val="00153493"/>
    <w:rsid w:val="0015354E"/>
    <w:rsid w:val="001535A8"/>
    <w:rsid w:val="001535E1"/>
    <w:rsid w:val="0015365D"/>
    <w:rsid w:val="001536EE"/>
    <w:rsid w:val="001537B1"/>
    <w:rsid w:val="0015395A"/>
    <w:rsid w:val="001539D1"/>
    <w:rsid w:val="00153A47"/>
    <w:rsid w:val="00153A8D"/>
    <w:rsid w:val="00153AE9"/>
    <w:rsid w:val="00153B73"/>
    <w:rsid w:val="00153CF9"/>
    <w:rsid w:val="00153E40"/>
    <w:rsid w:val="00154029"/>
    <w:rsid w:val="001540DA"/>
    <w:rsid w:val="001540F3"/>
    <w:rsid w:val="00154177"/>
    <w:rsid w:val="001541FD"/>
    <w:rsid w:val="00154242"/>
    <w:rsid w:val="001542A8"/>
    <w:rsid w:val="001542E5"/>
    <w:rsid w:val="0015435E"/>
    <w:rsid w:val="001544FE"/>
    <w:rsid w:val="00154535"/>
    <w:rsid w:val="0015466A"/>
    <w:rsid w:val="00154724"/>
    <w:rsid w:val="0015477F"/>
    <w:rsid w:val="001547A0"/>
    <w:rsid w:val="00154806"/>
    <w:rsid w:val="00154836"/>
    <w:rsid w:val="001548B1"/>
    <w:rsid w:val="001548BA"/>
    <w:rsid w:val="00154904"/>
    <w:rsid w:val="0015493C"/>
    <w:rsid w:val="001549B3"/>
    <w:rsid w:val="00154A03"/>
    <w:rsid w:val="00154B30"/>
    <w:rsid w:val="00154BA2"/>
    <w:rsid w:val="00154E0C"/>
    <w:rsid w:val="00154FA3"/>
    <w:rsid w:val="00154FD4"/>
    <w:rsid w:val="0015500D"/>
    <w:rsid w:val="0015502F"/>
    <w:rsid w:val="001550AE"/>
    <w:rsid w:val="00155148"/>
    <w:rsid w:val="001552B8"/>
    <w:rsid w:val="0015536E"/>
    <w:rsid w:val="001553F7"/>
    <w:rsid w:val="001554C7"/>
    <w:rsid w:val="0015551A"/>
    <w:rsid w:val="001555B3"/>
    <w:rsid w:val="001557D1"/>
    <w:rsid w:val="00155932"/>
    <w:rsid w:val="001559A7"/>
    <w:rsid w:val="001559BE"/>
    <w:rsid w:val="00155A1B"/>
    <w:rsid w:val="00155B05"/>
    <w:rsid w:val="00155B17"/>
    <w:rsid w:val="00155B3F"/>
    <w:rsid w:val="00155B5A"/>
    <w:rsid w:val="00155BA2"/>
    <w:rsid w:val="00155CD8"/>
    <w:rsid w:val="00155D05"/>
    <w:rsid w:val="00155D5B"/>
    <w:rsid w:val="00155DC9"/>
    <w:rsid w:val="00155E53"/>
    <w:rsid w:val="0015606D"/>
    <w:rsid w:val="00156092"/>
    <w:rsid w:val="00156107"/>
    <w:rsid w:val="0015613F"/>
    <w:rsid w:val="00156274"/>
    <w:rsid w:val="00156279"/>
    <w:rsid w:val="00156355"/>
    <w:rsid w:val="00156522"/>
    <w:rsid w:val="00156558"/>
    <w:rsid w:val="00156578"/>
    <w:rsid w:val="00156582"/>
    <w:rsid w:val="0015671D"/>
    <w:rsid w:val="0015685A"/>
    <w:rsid w:val="0015692A"/>
    <w:rsid w:val="00156976"/>
    <w:rsid w:val="0015698F"/>
    <w:rsid w:val="00156B0A"/>
    <w:rsid w:val="00156B46"/>
    <w:rsid w:val="00156B6C"/>
    <w:rsid w:val="00156D01"/>
    <w:rsid w:val="00156D85"/>
    <w:rsid w:val="00156E03"/>
    <w:rsid w:val="00156E0C"/>
    <w:rsid w:val="00156E2D"/>
    <w:rsid w:val="00156E44"/>
    <w:rsid w:val="00156EF8"/>
    <w:rsid w:val="00156F38"/>
    <w:rsid w:val="00156F72"/>
    <w:rsid w:val="00156FC5"/>
    <w:rsid w:val="0015711F"/>
    <w:rsid w:val="00157188"/>
    <w:rsid w:val="001571AC"/>
    <w:rsid w:val="001571CE"/>
    <w:rsid w:val="00157325"/>
    <w:rsid w:val="0015738B"/>
    <w:rsid w:val="001575C1"/>
    <w:rsid w:val="00157616"/>
    <w:rsid w:val="001576B2"/>
    <w:rsid w:val="00157729"/>
    <w:rsid w:val="00157751"/>
    <w:rsid w:val="00157827"/>
    <w:rsid w:val="00157870"/>
    <w:rsid w:val="001578B3"/>
    <w:rsid w:val="00157920"/>
    <w:rsid w:val="00157938"/>
    <w:rsid w:val="00157994"/>
    <w:rsid w:val="00157996"/>
    <w:rsid w:val="00157A66"/>
    <w:rsid w:val="00157AD2"/>
    <w:rsid w:val="00157B18"/>
    <w:rsid w:val="00157B1E"/>
    <w:rsid w:val="00157B52"/>
    <w:rsid w:val="00157C9D"/>
    <w:rsid w:val="00157D45"/>
    <w:rsid w:val="00157D95"/>
    <w:rsid w:val="00157DA7"/>
    <w:rsid w:val="00157E61"/>
    <w:rsid w:val="00157EFA"/>
    <w:rsid w:val="00157EFC"/>
    <w:rsid w:val="0015E46D"/>
    <w:rsid w:val="0015F652"/>
    <w:rsid w:val="0016001A"/>
    <w:rsid w:val="0016005C"/>
    <w:rsid w:val="001600F3"/>
    <w:rsid w:val="0016020F"/>
    <w:rsid w:val="0016023F"/>
    <w:rsid w:val="00160296"/>
    <w:rsid w:val="001603ED"/>
    <w:rsid w:val="001604C1"/>
    <w:rsid w:val="0016051E"/>
    <w:rsid w:val="001605C1"/>
    <w:rsid w:val="001605F7"/>
    <w:rsid w:val="0016062D"/>
    <w:rsid w:val="0016065D"/>
    <w:rsid w:val="001606A7"/>
    <w:rsid w:val="001607B1"/>
    <w:rsid w:val="001607D5"/>
    <w:rsid w:val="001609F8"/>
    <w:rsid w:val="00160A44"/>
    <w:rsid w:val="00160A4E"/>
    <w:rsid w:val="00160A54"/>
    <w:rsid w:val="00160AAB"/>
    <w:rsid w:val="00160AB0"/>
    <w:rsid w:val="00160D8C"/>
    <w:rsid w:val="00160DB2"/>
    <w:rsid w:val="00160F30"/>
    <w:rsid w:val="00160FEF"/>
    <w:rsid w:val="00160FF3"/>
    <w:rsid w:val="001612B2"/>
    <w:rsid w:val="001613D0"/>
    <w:rsid w:val="001613D8"/>
    <w:rsid w:val="0016148B"/>
    <w:rsid w:val="001614C6"/>
    <w:rsid w:val="0016154D"/>
    <w:rsid w:val="0016172C"/>
    <w:rsid w:val="00161799"/>
    <w:rsid w:val="001618AF"/>
    <w:rsid w:val="001618CB"/>
    <w:rsid w:val="0016196B"/>
    <w:rsid w:val="00161983"/>
    <w:rsid w:val="00161B1E"/>
    <w:rsid w:val="00161B6B"/>
    <w:rsid w:val="00161CFA"/>
    <w:rsid w:val="00161D65"/>
    <w:rsid w:val="00161DD4"/>
    <w:rsid w:val="00161E07"/>
    <w:rsid w:val="00161EEB"/>
    <w:rsid w:val="0016209F"/>
    <w:rsid w:val="001620F6"/>
    <w:rsid w:val="0016214B"/>
    <w:rsid w:val="0016217E"/>
    <w:rsid w:val="00162227"/>
    <w:rsid w:val="001623B8"/>
    <w:rsid w:val="0016244E"/>
    <w:rsid w:val="001624B5"/>
    <w:rsid w:val="001624E9"/>
    <w:rsid w:val="00162523"/>
    <w:rsid w:val="00162536"/>
    <w:rsid w:val="00162547"/>
    <w:rsid w:val="00162555"/>
    <w:rsid w:val="001625D8"/>
    <w:rsid w:val="0016270E"/>
    <w:rsid w:val="00162726"/>
    <w:rsid w:val="0016275C"/>
    <w:rsid w:val="001627FF"/>
    <w:rsid w:val="00162A9D"/>
    <w:rsid w:val="00162B79"/>
    <w:rsid w:val="00162C07"/>
    <w:rsid w:val="00162CC5"/>
    <w:rsid w:val="00162DC4"/>
    <w:rsid w:val="00162EB2"/>
    <w:rsid w:val="00162ED3"/>
    <w:rsid w:val="00162F1A"/>
    <w:rsid w:val="00162F69"/>
    <w:rsid w:val="0016304B"/>
    <w:rsid w:val="0016306A"/>
    <w:rsid w:val="0016306C"/>
    <w:rsid w:val="001630AF"/>
    <w:rsid w:val="001632DF"/>
    <w:rsid w:val="001633BC"/>
    <w:rsid w:val="00163497"/>
    <w:rsid w:val="001636CD"/>
    <w:rsid w:val="0016383C"/>
    <w:rsid w:val="0016386F"/>
    <w:rsid w:val="0016388E"/>
    <w:rsid w:val="001639DB"/>
    <w:rsid w:val="00163A2A"/>
    <w:rsid w:val="00163AE3"/>
    <w:rsid w:val="00163CA7"/>
    <w:rsid w:val="00163CC0"/>
    <w:rsid w:val="00163CD0"/>
    <w:rsid w:val="00163D61"/>
    <w:rsid w:val="00163DD2"/>
    <w:rsid w:val="00163E36"/>
    <w:rsid w:val="00163EC3"/>
    <w:rsid w:val="00163F86"/>
    <w:rsid w:val="00163FAB"/>
    <w:rsid w:val="00164095"/>
    <w:rsid w:val="00164186"/>
    <w:rsid w:val="00164234"/>
    <w:rsid w:val="001642C5"/>
    <w:rsid w:val="001643C0"/>
    <w:rsid w:val="0016448F"/>
    <w:rsid w:val="001644A7"/>
    <w:rsid w:val="0016458A"/>
    <w:rsid w:val="00164602"/>
    <w:rsid w:val="00164635"/>
    <w:rsid w:val="00164638"/>
    <w:rsid w:val="00164730"/>
    <w:rsid w:val="0016478A"/>
    <w:rsid w:val="001647AF"/>
    <w:rsid w:val="001649AF"/>
    <w:rsid w:val="00164A58"/>
    <w:rsid w:val="00164A72"/>
    <w:rsid w:val="00164AB2"/>
    <w:rsid w:val="00164AF9"/>
    <w:rsid w:val="00164B44"/>
    <w:rsid w:val="00164BDF"/>
    <w:rsid w:val="00164CBC"/>
    <w:rsid w:val="00164D31"/>
    <w:rsid w:val="00164D93"/>
    <w:rsid w:val="00164DBB"/>
    <w:rsid w:val="00164DD0"/>
    <w:rsid w:val="00164F05"/>
    <w:rsid w:val="00164F96"/>
    <w:rsid w:val="0016505A"/>
    <w:rsid w:val="00165087"/>
    <w:rsid w:val="0016511B"/>
    <w:rsid w:val="0016512A"/>
    <w:rsid w:val="00165141"/>
    <w:rsid w:val="001651F5"/>
    <w:rsid w:val="0016533D"/>
    <w:rsid w:val="0016534E"/>
    <w:rsid w:val="0016535A"/>
    <w:rsid w:val="0016546A"/>
    <w:rsid w:val="00165475"/>
    <w:rsid w:val="00165512"/>
    <w:rsid w:val="001655CC"/>
    <w:rsid w:val="00165662"/>
    <w:rsid w:val="00165774"/>
    <w:rsid w:val="00165800"/>
    <w:rsid w:val="001658E8"/>
    <w:rsid w:val="00165A4E"/>
    <w:rsid w:val="00165C41"/>
    <w:rsid w:val="00165C4E"/>
    <w:rsid w:val="00165DCA"/>
    <w:rsid w:val="00165E08"/>
    <w:rsid w:val="00165E42"/>
    <w:rsid w:val="00165E8C"/>
    <w:rsid w:val="00165F31"/>
    <w:rsid w:val="00165F54"/>
    <w:rsid w:val="00165FD7"/>
    <w:rsid w:val="00166186"/>
    <w:rsid w:val="001662C3"/>
    <w:rsid w:val="00166352"/>
    <w:rsid w:val="00166362"/>
    <w:rsid w:val="001663B6"/>
    <w:rsid w:val="001663CA"/>
    <w:rsid w:val="00166521"/>
    <w:rsid w:val="001665E2"/>
    <w:rsid w:val="00166604"/>
    <w:rsid w:val="00166665"/>
    <w:rsid w:val="00166666"/>
    <w:rsid w:val="00166681"/>
    <w:rsid w:val="001667E2"/>
    <w:rsid w:val="001668E0"/>
    <w:rsid w:val="001668F7"/>
    <w:rsid w:val="00166910"/>
    <w:rsid w:val="00166933"/>
    <w:rsid w:val="00166A0B"/>
    <w:rsid w:val="00166A92"/>
    <w:rsid w:val="00166BCA"/>
    <w:rsid w:val="00166EBE"/>
    <w:rsid w:val="00166FDD"/>
    <w:rsid w:val="00167050"/>
    <w:rsid w:val="001671D1"/>
    <w:rsid w:val="00167233"/>
    <w:rsid w:val="00167292"/>
    <w:rsid w:val="00167308"/>
    <w:rsid w:val="0016732C"/>
    <w:rsid w:val="001673EC"/>
    <w:rsid w:val="00167421"/>
    <w:rsid w:val="001674AF"/>
    <w:rsid w:val="001674DE"/>
    <w:rsid w:val="0016758B"/>
    <w:rsid w:val="00167840"/>
    <w:rsid w:val="0016787C"/>
    <w:rsid w:val="00167898"/>
    <w:rsid w:val="001678BA"/>
    <w:rsid w:val="001679C9"/>
    <w:rsid w:val="001679F4"/>
    <w:rsid w:val="00167A30"/>
    <w:rsid w:val="00167A70"/>
    <w:rsid w:val="00167B64"/>
    <w:rsid w:val="00167B97"/>
    <w:rsid w:val="00167C44"/>
    <w:rsid w:val="00167D12"/>
    <w:rsid w:val="00167D5F"/>
    <w:rsid w:val="00167F4A"/>
    <w:rsid w:val="00167F7F"/>
    <w:rsid w:val="00169A4C"/>
    <w:rsid w:val="001700C3"/>
    <w:rsid w:val="0017010D"/>
    <w:rsid w:val="00170157"/>
    <w:rsid w:val="00170258"/>
    <w:rsid w:val="0017029D"/>
    <w:rsid w:val="001702C0"/>
    <w:rsid w:val="001702F3"/>
    <w:rsid w:val="0017030F"/>
    <w:rsid w:val="001703CE"/>
    <w:rsid w:val="0017048C"/>
    <w:rsid w:val="001704BC"/>
    <w:rsid w:val="00170593"/>
    <w:rsid w:val="0017059C"/>
    <w:rsid w:val="001706C2"/>
    <w:rsid w:val="0017077E"/>
    <w:rsid w:val="00170810"/>
    <w:rsid w:val="00170A61"/>
    <w:rsid w:val="00170AA7"/>
    <w:rsid w:val="00170AEE"/>
    <w:rsid w:val="00170BAE"/>
    <w:rsid w:val="00170BBE"/>
    <w:rsid w:val="00170C6C"/>
    <w:rsid w:val="00170D2B"/>
    <w:rsid w:val="00170D6F"/>
    <w:rsid w:val="00170D70"/>
    <w:rsid w:val="00170E39"/>
    <w:rsid w:val="00170E98"/>
    <w:rsid w:val="00170E9A"/>
    <w:rsid w:val="00170FB6"/>
    <w:rsid w:val="00171037"/>
    <w:rsid w:val="001711CB"/>
    <w:rsid w:val="00171288"/>
    <w:rsid w:val="0017130D"/>
    <w:rsid w:val="00171329"/>
    <w:rsid w:val="00171392"/>
    <w:rsid w:val="00171397"/>
    <w:rsid w:val="001713A8"/>
    <w:rsid w:val="0017158F"/>
    <w:rsid w:val="001715FC"/>
    <w:rsid w:val="00171790"/>
    <w:rsid w:val="00171915"/>
    <w:rsid w:val="00171962"/>
    <w:rsid w:val="0017199A"/>
    <w:rsid w:val="001719DB"/>
    <w:rsid w:val="00171A53"/>
    <w:rsid w:val="00171A98"/>
    <w:rsid w:val="00171AAC"/>
    <w:rsid w:val="00171B00"/>
    <w:rsid w:val="00171C7A"/>
    <w:rsid w:val="00171CAD"/>
    <w:rsid w:val="00171CBF"/>
    <w:rsid w:val="00171D33"/>
    <w:rsid w:val="00171DC8"/>
    <w:rsid w:val="00171E59"/>
    <w:rsid w:val="00171E9D"/>
    <w:rsid w:val="00171F96"/>
    <w:rsid w:val="00171FAC"/>
    <w:rsid w:val="00171FDF"/>
    <w:rsid w:val="00171FF0"/>
    <w:rsid w:val="00172079"/>
    <w:rsid w:val="001720A2"/>
    <w:rsid w:val="001721BB"/>
    <w:rsid w:val="00172263"/>
    <w:rsid w:val="00172296"/>
    <w:rsid w:val="001722AA"/>
    <w:rsid w:val="0017231D"/>
    <w:rsid w:val="001723BC"/>
    <w:rsid w:val="001723F4"/>
    <w:rsid w:val="00172513"/>
    <w:rsid w:val="0017253B"/>
    <w:rsid w:val="0017263C"/>
    <w:rsid w:val="00172761"/>
    <w:rsid w:val="00172785"/>
    <w:rsid w:val="001727D9"/>
    <w:rsid w:val="001727E4"/>
    <w:rsid w:val="00172830"/>
    <w:rsid w:val="001728DD"/>
    <w:rsid w:val="00172A76"/>
    <w:rsid w:val="00172A9D"/>
    <w:rsid w:val="00172AD7"/>
    <w:rsid w:val="00172B34"/>
    <w:rsid w:val="00172B87"/>
    <w:rsid w:val="00172EB8"/>
    <w:rsid w:val="00172F5E"/>
    <w:rsid w:val="00172F6C"/>
    <w:rsid w:val="0017303D"/>
    <w:rsid w:val="00173167"/>
    <w:rsid w:val="0017320E"/>
    <w:rsid w:val="001732C4"/>
    <w:rsid w:val="001732EF"/>
    <w:rsid w:val="00173463"/>
    <w:rsid w:val="001734C6"/>
    <w:rsid w:val="00173519"/>
    <w:rsid w:val="00173550"/>
    <w:rsid w:val="0017356B"/>
    <w:rsid w:val="0017369F"/>
    <w:rsid w:val="00173771"/>
    <w:rsid w:val="00173775"/>
    <w:rsid w:val="0017381C"/>
    <w:rsid w:val="001738B5"/>
    <w:rsid w:val="00173958"/>
    <w:rsid w:val="00173983"/>
    <w:rsid w:val="001739B6"/>
    <w:rsid w:val="00173A37"/>
    <w:rsid w:val="00173A38"/>
    <w:rsid w:val="00173A56"/>
    <w:rsid w:val="00173A57"/>
    <w:rsid w:val="00173B2F"/>
    <w:rsid w:val="00173BF1"/>
    <w:rsid w:val="00173E19"/>
    <w:rsid w:val="001740B7"/>
    <w:rsid w:val="0017418C"/>
    <w:rsid w:val="0017421B"/>
    <w:rsid w:val="0017423E"/>
    <w:rsid w:val="0017425C"/>
    <w:rsid w:val="001742E0"/>
    <w:rsid w:val="00174457"/>
    <w:rsid w:val="00174469"/>
    <w:rsid w:val="0017447E"/>
    <w:rsid w:val="0017454C"/>
    <w:rsid w:val="0017462E"/>
    <w:rsid w:val="0017472F"/>
    <w:rsid w:val="0017497E"/>
    <w:rsid w:val="00174A93"/>
    <w:rsid w:val="00174A9D"/>
    <w:rsid w:val="00174B2C"/>
    <w:rsid w:val="00174C19"/>
    <w:rsid w:val="00174C84"/>
    <w:rsid w:val="00174CD8"/>
    <w:rsid w:val="00174D0A"/>
    <w:rsid w:val="00174D22"/>
    <w:rsid w:val="00174D85"/>
    <w:rsid w:val="00174D8F"/>
    <w:rsid w:val="00174DC8"/>
    <w:rsid w:val="00174F7F"/>
    <w:rsid w:val="00174F87"/>
    <w:rsid w:val="00175001"/>
    <w:rsid w:val="00175042"/>
    <w:rsid w:val="001750E5"/>
    <w:rsid w:val="001750E6"/>
    <w:rsid w:val="00175209"/>
    <w:rsid w:val="001752BB"/>
    <w:rsid w:val="001752C4"/>
    <w:rsid w:val="001752D6"/>
    <w:rsid w:val="0017535A"/>
    <w:rsid w:val="001753DA"/>
    <w:rsid w:val="00175417"/>
    <w:rsid w:val="001754A4"/>
    <w:rsid w:val="0017552B"/>
    <w:rsid w:val="00175688"/>
    <w:rsid w:val="001756F0"/>
    <w:rsid w:val="00175755"/>
    <w:rsid w:val="00175777"/>
    <w:rsid w:val="001757BE"/>
    <w:rsid w:val="001758A7"/>
    <w:rsid w:val="0017591D"/>
    <w:rsid w:val="00175A98"/>
    <w:rsid w:val="00175B80"/>
    <w:rsid w:val="00175B8D"/>
    <w:rsid w:val="00175C58"/>
    <w:rsid w:val="00175D05"/>
    <w:rsid w:val="00175D45"/>
    <w:rsid w:val="00175EEF"/>
    <w:rsid w:val="00175F4F"/>
    <w:rsid w:val="00175FA1"/>
    <w:rsid w:val="00175FF6"/>
    <w:rsid w:val="0017601F"/>
    <w:rsid w:val="00176040"/>
    <w:rsid w:val="0017611D"/>
    <w:rsid w:val="0017613D"/>
    <w:rsid w:val="0017615D"/>
    <w:rsid w:val="00176184"/>
    <w:rsid w:val="001761F4"/>
    <w:rsid w:val="00176273"/>
    <w:rsid w:val="001765AE"/>
    <w:rsid w:val="0017666B"/>
    <w:rsid w:val="001766CF"/>
    <w:rsid w:val="001766EC"/>
    <w:rsid w:val="0017674C"/>
    <w:rsid w:val="00176940"/>
    <w:rsid w:val="001769C0"/>
    <w:rsid w:val="001769E1"/>
    <w:rsid w:val="00176A2C"/>
    <w:rsid w:val="00176A5F"/>
    <w:rsid w:val="00176C49"/>
    <w:rsid w:val="00176C52"/>
    <w:rsid w:val="00176C87"/>
    <w:rsid w:val="00176DB5"/>
    <w:rsid w:val="00176DD1"/>
    <w:rsid w:val="00176E79"/>
    <w:rsid w:val="00176ECD"/>
    <w:rsid w:val="00176F35"/>
    <w:rsid w:val="001770C1"/>
    <w:rsid w:val="001774AB"/>
    <w:rsid w:val="001774CA"/>
    <w:rsid w:val="001774E2"/>
    <w:rsid w:val="00177506"/>
    <w:rsid w:val="0017753E"/>
    <w:rsid w:val="00177579"/>
    <w:rsid w:val="001775D6"/>
    <w:rsid w:val="0017784F"/>
    <w:rsid w:val="001778E9"/>
    <w:rsid w:val="00177AF9"/>
    <w:rsid w:val="00177B74"/>
    <w:rsid w:val="00177BE5"/>
    <w:rsid w:val="00177BF0"/>
    <w:rsid w:val="00177C4F"/>
    <w:rsid w:val="00177F5B"/>
    <w:rsid w:val="00177F8D"/>
    <w:rsid w:val="00177F90"/>
    <w:rsid w:val="00180060"/>
    <w:rsid w:val="00180191"/>
    <w:rsid w:val="001801C7"/>
    <w:rsid w:val="001801EC"/>
    <w:rsid w:val="001801F8"/>
    <w:rsid w:val="0018026E"/>
    <w:rsid w:val="001803C3"/>
    <w:rsid w:val="001804BC"/>
    <w:rsid w:val="0018051A"/>
    <w:rsid w:val="0018051D"/>
    <w:rsid w:val="00180621"/>
    <w:rsid w:val="001806CC"/>
    <w:rsid w:val="001806DE"/>
    <w:rsid w:val="00180776"/>
    <w:rsid w:val="00180870"/>
    <w:rsid w:val="001808F6"/>
    <w:rsid w:val="00180992"/>
    <w:rsid w:val="00180A56"/>
    <w:rsid w:val="00180A91"/>
    <w:rsid w:val="00180BCF"/>
    <w:rsid w:val="00180C2D"/>
    <w:rsid w:val="00180DEA"/>
    <w:rsid w:val="00180DFD"/>
    <w:rsid w:val="00180E53"/>
    <w:rsid w:val="00180F7C"/>
    <w:rsid w:val="0018104F"/>
    <w:rsid w:val="00181123"/>
    <w:rsid w:val="00181132"/>
    <w:rsid w:val="001811BC"/>
    <w:rsid w:val="00181558"/>
    <w:rsid w:val="001815DC"/>
    <w:rsid w:val="00181649"/>
    <w:rsid w:val="001817A5"/>
    <w:rsid w:val="00181908"/>
    <w:rsid w:val="00181A79"/>
    <w:rsid w:val="00181B41"/>
    <w:rsid w:val="00181B75"/>
    <w:rsid w:val="00181BDE"/>
    <w:rsid w:val="00181C03"/>
    <w:rsid w:val="00181C73"/>
    <w:rsid w:val="00181CF2"/>
    <w:rsid w:val="00181DA3"/>
    <w:rsid w:val="00181DC0"/>
    <w:rsid w:val="00181E19"/>
    <w:rsid w:val="00181E44"/>
    <w:rsid w:val="00181EA0"/>
    <w:rsid w:val="00181F81"/>
    <w:rsid w:val="00181F87"/>
    <w:rsid w:val="00182020"/>
    <w:rsid w:val="0018202F"/>
    <w:rsid w:val="001821E7"/>
    <w:rsid w:val="00182251"/>
    <w:rsid w:val="001823CF"/>
    <w:rsid w:val="00182443"/>
    <w:rsid w:val="001824FE"/>
    <w:rsid w:val="001825A9"/>
    <w:rsid w:val="001825CD"/>
    <w:rsid w:val="00182612"/>
    <w:rsid w:val="001826CB"/>
    <w:rsid w:val="001827F9"/>
    <w:rsid w:val="0018284A"/>
    <w:rsid w:val="00182AAB"/>
    <w:rsid w:val="00182D0D"/>
    <w:rsid w:val="00182D33"/>
    <w:rsid w:val="00182EDE"/>
    <w:rsid w:val="00182F5B"/>
    <w:rsid w:val="00182F61"/>
    <w:rsid w:val="00182FAF"/>
    <w:rsid w:val="00183031"/>
    <w:rsid w:val="00183042"/>
    <w:rsid w:val="00183144"/>
    <w:rsid w:val="00183235"/>
    <w:rsid w:val="00183424"/>
    <w:rsid w:val="0018345F"/>
    <w:rsid w:val="001834DB"/>
    <w:rsid w:val="00183504"/>
    <w:rsid w:val="001835F8"/>
    <w:rsid w:val="0018361D"/>
    <w:rsid w:val="00183640"/>
    <w:rsid w:val="001837AA"/>
    <w:rsid w:val="001837B6"/>
    <w:rsid w:val="00183863"/>
    <w:rsid w:val="00183A43"/>
    <w:rsid w:val="00183ADE"/>
    <w:rsid w:val="00183AE5"/>
    <w:rsid w:val="00183AE7"/>
    <w:rsid w:val="00183B61"/>
    <w:rsid w:val="00183B9D"/>
    <w:rsid w:val="00183DBA"/>
    <w:rsid w:val="00183E5F"/>
    <w:rsid w:val="00183E76"/>
    <w:rsid w:val="00183E8F"/>
    <w:rsid w:val="00183FBA"/>
    <w:rsid w:val="00183FE1"/>
    <w:rsid w:val="00184028"/>
    <w:rsid w:val="0018409B"/>
    <w:rsid w:val="00184103"/>
    <w:rsid w:val="001841A7"/>
    <w:rsid w:val="0018420C"/>
    <w:rsid w:val="00184266"/>
    <w:rsid w:val="00184350"/>
    <w:rsid w:val="00184387"/>
    <w:rsid w:val="001843E2"/>
    <w:rsid w:val="001843E5"/>
    <w:rsid w:val="0018440C"/>
    <w:rsid w:val="00184418"/>
    <w:rsid w:val="001845E7"/>
    <w:rsid w:val="00184742"/>
    <w:rsid w:val="0018477F"/>
    <w:rsid w:val="00184913"/>
    <w:rsid w:val="00184985"/>
    <w:rsid w:val="001849B5"/>
    <w:rsid w:val="00184AE7"/>
    <w:rsid w:val="00184D8B"/>
    <w:rsid w:val="00184DC9"/>
    <w:rsid w:val="00184FA2"/>
    <w:rsid w:val="00184FD8"/>
    <w:rsid w:val="00185215"/>
    <w:rsid w:val="0018522B"/>
    <w:rsid w:val="0018529A"/>
    <w:rsid w:val="001852B6"/>
    <w:rsid w:val="00185307"/>
    <w:rsid w:val="00185539"/>
    <w:rsid w:val="00185554"/>
    <w:rsid w:val="001855C4"/>
    <w:rsid w:val="001856C8"/>
    <w:rsid w:val="00185725"/>
    <w:rsid w:val="001857C8"/>
    <w:rsid w:val="00185875"/>
    <w:rsid w:val="00185998"/>
    <w:rsid w:val="001859CC"/>
    <w:rsid w:val="001859E6"/>
    <w:rsid w:val="00185A0C"/>
    <w:rsid w:val="00185A2F"/>
    <w:rsid w:val="00185C52"/>
    <w:rsid w:val="00185D77"/>
    <w:rsid w:val="00185E66"/>
    <w:rsid w:val="00185FD1"/>
    <w:rsid w:val="0018601B"/>
    <w:rsid w:val="00186087"/>
    <w:rsid w:val="001860FB"/>
    <w:rsid w:val="001861A0"/>
    <w:rsid w:val="001861CD"/>
    <w:rsid w:val="001861D6"/>
    <w:rsid w:val="00186232"/>
    <w:rsid w:val="00186249"/>
    <w:rsid w:val="001862B0"/>
    <w:rsid w:val="00186409"/>
    <w:rsid w:val="001864E5"/>
    <w:rsid w:val="00186535"/>
    <w:rsid w:val="001865A6"/>
    <w:rsid w:val="00186648"/>
    <w:rsid w:val="00186660"/>
    <w:rsid w:val="001866CB"/>
    <w:rsid w:val="001867AD"/>
    <w:rsid w:val="00186844"/>
    <w:rsid w:val="001869DF"/>
    <w:rsid w:val="00186A24"/>
    <w:rsid w:val="00186A48"/>
    <w:rsid w:val="00186D93"/>
    <w:rsid w:val="00186E44"/>
    <w:rsid w:val="00186EFD"/>
    <w:rsid w:val="00186F23"/>
    <w:rsid w:val="00186FBA"/>
    <w:rsid w:val="00187162"/>
    <w:rsid w:val="0018726D"/>
    <w:rsid w:val="0018748C"/>
    <w:rsid w:val="001875F9"/>
    <w:rsid w:val="001876E9"/>
    <w:rsid w:val="00187743"/>
    <w:rsid w:val="001877E5"/>
    <w:rsid w:val="00187914"/>
    <w:rsid w:val="001879B3"/>
    <w:rsid w:val="00187B16"/>
    <w:rsid w:val="00187B2B"/>
    <w:rsid w:val="00187BC7"/>
    <w:rsid w:val="00187BD5"/>
    <w:rsid w:val="00187BED"/>
    <w:rsid w:val="00187C15"/>
    <w:rsid w:val="00187C48"/>
    <w:rsid w:val="00187CA7"/>
    <w:rsid w:val="00187CB8"/>
    <w:rsid w:val="00187D01"/>
    <w:rsid w:val="00187D05"/>
    <w:rsid w:val="00187FF3"/>
    <w:rsid w:val="0018FB83"/>
    <w:rsid w:val="001900EA"/>
    <w:rsid w:val="0019015F"/>
    <w:rsid w:val="0019020D"/>
    <w:rsid w:val="0019043C"/>
    <w:rsid w:val="0019044C"/>
    <w:rsid w:val="001905E1"/>
    <w:rsid w:val="0019087D"/>
    <w:rsid w:val="00190A07"/>
    <w:rsid w:val="00190A8E"/>
    <w:rsid w:val="00190B34"/>
    <w:rsid w:val="00190C31"/>
    <w:rsid w:val="00190C57"/>
    <w:rsid w:val="00190CEA"/>
    <w:rsid w:val="00190D1F"/>
    <w:rsid w:val="00190DC9"/>
    <w:rsid w:val="00190E16"/>
    <w:rsid w:val="00190EE7"/>
    <w:rsid w:val="00190FC4"/>
    <w:rsid w:val="00190FF9"/>
    <w:rsid w:val="001910A1"/>
    <w:rsid w:val="0019117E"/>
    <w:rsid w:val="0019122F"/>
    <w:rsid w:val="0019128C"/>
    <w:rsid w:val="001912B1"/>
    <w:rsid w:val="001912E4"/>
    <w:rsid w:val="00191427"/>
    <w:rsid w:val="00191469"/>
    <w:rsid w:val="001914F6"/>
    <w:rsid w:val="00191556"/>
    <w:rsid w:val="0019167C"/>
    <w:rsid w:val="00191714"/>
    <w:rsid w:val="001917BA"/>
    <w:rsid w:val="001918DB"/>
    <w:rsid w:val="0019193E"/>
    <w:rsid w:val="0019196E"/>
    <w:rsid w:val="00191A68"/>
    <w:rsid w:val="00191C57"/>
    <w:rsid w:val="00191C64"/>
    <w:rsid w:val="00191D50"/>
    <w:rsid w:val="00191DAC"/>
    <w:rsid w:val="00191DD8"/>
    <w:rsid w:val="00191E59"/>
    <w:rsid w:val="00191E8B"/>
    <w:rsid w:val="00191FBC"/>
    <w:rsid w:val="00191FE8"/>
    <w:rsid w:val="00192011"/>
    <w:rsid w:val="0019202D"/>
    <w:rsid w:val="00192087"/>
    <w:rsid w:val="00192117"/>
    <w:rsid w:val="00192215"/>
    <w:rsid w:val="0019224C"/>
    <w:rsid w:val="001922CC"/>
    <w:rsid w:val="00192361"/>
    <w:rsid w:val="0019239C"/>
    <w:rsid w:val="001923C8"/>
    <w:rsid w:val="00192422"/>
    <w:rsid w:val="001924B9"/>
    <w:rsid w:val="001928B6"/>
    <w:rsid w:val="001929CE"/>
    <w:rsid w:val="00192AB0"/>
    <w:rsid w:val="00192B08"/>
    <w:rsid w:val="00192B51"/>
    <w:rsid w:val="00192C47"/>
    <w:rsid w:val="00192CEA"/>
    <w:rsid w:val="00192CF2"/>
    <w:rsid w:val="00192F93"/>
    <w:rsid w:val="00192FC6"/>
    <w:rsid w:val="001930D7"/>
    <w:rsid w:val="0019322D"/>
    <w:rsid w:val="00193320"/>
    <w:rsid w:val="00193332"/>
    <w:rsid w:val="001933E9"/>
    <w:rsid w:val="001933F8"/>
    <w:rsid w:val="001935DA"/>
    <w:rsid w:val="0019378F"/>
    <w:rsid w:val="0019379D"/>
    <w:rsid w:val="00193862"/>
    <w:rsid w:val="0019389E"/>
    <w:rsid w:val="00193925"/>
    <w:rsid w:val="00193986"/>
    <w:rsid w:val="001939C0"/>
    <w:rsid w:val="00193A18"/>
    <w:rsid w:val="00193A2F"/>
    <w:rsid w:val="00193AD2"/>
    <w:rsid w:val="00193D78"/>
    <w:rsid w:val="00193F34"/>
    <w:rsid w:val="0019416F"/>
    <w:rsid w:val="001941C7"/>
    <w:rsid w:val="001942B1"/>
    <w:rsid w:val="00194302"/>
    <w:rsid w:val="001943B8"/>
    <w:rsid w:val="00194502"/>
    <w:rsid w:val="00194646"/>
    <w:rsid w:val="00194736"/>
    <w:rsid w:val="0019474E"/>
    <w:rsid w:val="00194755"/>
    <w:rsid w:val="00194765"/>
    <w:rsid w:val="0019483B"/>
    <w:rsid w:val="0019489E"/>
    <w:rsid w:val="001948A3"/>
    <w:rsid w:val="001948F3"/>
    <w:rsid w:val="0019490F"/>
    <w:rsid w:val="0019497E"/>
    <w:rsid w:val="00194B7A"/>
    <w:rsid w:val="00194C51"/>
    <w:rsid w:val="00194C9B"/>
    <w:rsid w:val="00194CE6"/>
    <w:rsid w:val="00194D64"/>
    <w:rsid w:val="00194D88"/>
    <w:rsid w:val="00194F0F"/>
    <w:rsid w:val="00194F21"/>
    <w:rsid w:val="00194FE1"/>
    <w:rsid w:val="001951BF"/>
    <w:rsid w:val="0019548E"/>
    <w:rsid w:val="001954E4"/>
    <w:rsid w:val="0019553A"/>
    <w:rsid w:val="00195548"/>
    <w:rsid w:val="0019555E"/>
    <w:rsid w:val="00195759"/>
    <w:rsid w:val="00195892"/>
    <w:rsid w:val="00195A06"/>
    <w:rsid w:val="00195A14"/>
    <w:rsid w:val="00195A33"/>
    <w:rsid w:val="00195AF4"/>
    <w:rsid w:val="00195B1E"/>
    <w:rsid w:val="00195BBF"/>
    <w:rsid w:val="00195C39"/>
    <w:rsid w:val="00195C83"/>
    <w:rsid w:val="00195CD2"/>
    <w:rsid w:val="00195D13"/>
    <w:rsid w:val="00195D2F"/>
    <w:rsid w:val="00195D54"/>
    <w:rsid w:val="00195D8C"/>
    <w:rsid w:val="00195E40"/>
    <w:rsid w:val="00195E70"/>
    <w:rsid w:val="00195F08"/>
    <w:rsid w:val="00196049"/>
    <w:rsid w:val="00196101"/>
    <w:rsid w:val="00196115"/>
    <w:rsid w:val="001961D2"/>
    <w:rsid w:val="0019626A"/>
    <w:rsid w:val="00196305"/>
    <w:rsid w:val="00196459"/>
    <w:rsid w:val="00196496"/>
    <w:rsid w:val="00196595"/>
    <w:rsid w:val="001965A5"/>
    <w:rsid w:val="001965AF"/>
    <w:rsid w:val="001965CA"/>
    <w:rsid w:val="00196603"/>
    <w:rsid w:val="00196632"/>
    <w:rsid w:val="0019673B"/>
    <w:rsid w:val="00196860"/>
    <w:rsid w:val="0019696C"/>
    <w:rsid w:val="00196A55"/>
    <w:rsid w:val="00196A86"/>
    <w:rsid w:val="00196B04"/>
    <w:rsid w:val="00196B57"/>
    <w:rsid w:val="00196B58"/>
    <w:rsid w:val="00196B61"/>
    <w:rsid w:val="00196BC2"/>
    <w:rsid w:val="00196C69"/>
    <w:rsid w:val="00196C7D"/>
    <w:rsid w:val="00196C91"/>
    <w:rsid w:val="00196CEE"/>
    <w:rsid w:val="00196D01"/>
    <w:rsid w:val="00196E5D"/>
    <w:rsid w:val="0019702C"/>
    <w:rsid w:val="0019703A"/>
    <w:rsid w:val="00197139"/>
    <w:rsid w:val="001971D0"/>
    <w:rsid w:val="0019727A"/>
    <w:rsid w:val="00197290"/>
    <w:rsid w:val="001972C9"/>
    <w:rsid w:val="00197330"/>
    <w:rsid w:val="001973FA"/>
    <w:rsid w:val="0019747E"/>
    <w:rsid w:val="001974E7"/>
    <w:rsid w:val="00197570"/>
    <w:rsid w:val="0019764C"/>
    <w:rsid w:val="001976EE"/>
    <w:rsid w:val="00197769"/>
    <w:rsid w:val="001977B0"/>
    <w:rsid w:val="0019784F"/>
    <w:rsid w:val="001978A2"/>
    <w:rsid w:val="001979B9"/>
    <w:rsid w:val="001979EF"/>
    <w:rsid w:val="00197BC3"/>
    <w:rsid w:val="00197D4E"/>
    <w:rsid w:val="00197DEF"/>
    <w:rsid w:val="00197E10"/>
    <w:rsid w:val="00197E26"/>
    <w:rsid w:val="00197EE7"/>
    <w:rsid w:val="00197F9D"/>
    <w:rsid w:val="00197FB6"/>
    <w:rsid w:val="0019D30A"/>
    <w:rsid w:val="001A0193"/>
    <w:rsid w:val="001A01C9"/>
    <w:rsid w:val="001A0358"/>
    <w:rsid w:val="001A03DA"/>
    <w:rsid w:val="001A03E9"/>
    <w:rsid w:val="001A03F0"/>
    <w:rsid w:val="001A047E"/>
    <w:rsid w:val="001A04FB"/>
    <w:rsid w:val="001A059F"/>
    <w:rsid w:val="001A0607"/>
    <w:rsid w:val="001A062B"/>
    <w:rsid w:val="001A0879"/>
    <w:rsid w:val="001A0908"/>
    <w:rsid w:val="001A091A"/>
    <w:rsid w:val="001A098F"/>
    <w:rsid w:val="001A099C"/>
    <w:rsid w:val="001A0ACC"/>
    <w:rsid w:val="001A0B1C"/>
    <w:rsid w:val="001A0B44"/>
    <w:rsid w:val="001A0C21"/>
    <w:rsid w:val="001A0C6C"/>
    <w:rsid w:val="001A0C8D"/>
    <w:rsid w:val="001A0D67"/>
    <w:rsid w:val="001A0E47"/>
    <w:rsid w:val="001A0EC9"/>
    <w:rsid w:val="001A0F5F"/>
    <w:rsid w:val="001A0FED"/>
    <w:rsid w:val="001A0FFC"/>
    <w:rsid w:val="001A1048"/>
    <w:rsid w:val="001A1057"/>
    <w:rsid w:val="001A1073"/>
    <w:rsid w:val="001A1101"/>
    <w:rsid w:val="001A1115"/>
    <w:rsid w:val="001A115E"/>
    <w:rsid w:val="001A116B"/>
    <w:rsid w:val="001A11EF"/>
    <w:rsid w:val="001A12E3"/>
    <w:rsid w:val="001A1403"/>
    <w:rsid w:val="001A1413"/>
    <w:rsid w:val="001A1435"/>
    <w:rsid w:val="001A143A"/>
    <w:rsid w:val="001A147F"/>
    <w:rsid w:val="001A149C"/>
    <w:rsid w:val="001A172B"/>
    <w:rsid w:val="001A17B0"/>
    <w:rsid w:val="001A17B8"/>
    <w:rsid w:val="001A17BB"/>
    <w:rsid w:val="001A1888"/>
    <w:rsid w:val="001A1924"/>
    <w:rsid w:val="001A198C"/>
    <w:rsid w:val="001A1A5B"/>
    <w:rsid w:val="001A1A61"/>
    <w:rsid w:val="001A1B2B"/>
    <w:rsid w:val="001A1B35"/>
    <w:rsid w:val="001A1B70"/>
    <w:rsid w:val="001A1BD3"/>
    <w:rsid w:val="001A1C2B"/>
    <w:rsid w:val="001A1D77"/>
    <w:rsid w:val="001A1DC7"/>
    <w:rsid w:val="001A1DCC"/>
    <w:rsid w:val="001A1FD9"/>
    <w:rsid w:val="001A201E"/>
    <w:rsid w:val="001A20A9"/>
    <w:rsid w:val="001A227B"/>
    <w:rsid w:val="001A228A"/>
    <w:rsid w:val="001A22F9"/>
    <w:rsid w:val="001A2300"/>
    <w:rsid w:val="001A2408"/>
    <w:rsid w:val="001A2439"/>
    <w:rsid w:val="001A2573"/>
    <w:rsid w:val="001A27C7"/>
    <w:rsid w:val="001A2AA6"/>
    <w:rsid w:val="001A2AEA"/>
    <w:rsid w:val="001A2B2D"/>
    <w:rsid w:val="001A2C30"/>
    <w:rsid w:val="001A2D16"/>
    <w:rsid w:val="001A2D79"/>
    <w:rsid w:val="001A2E0F"/>
    <w:rsid w:val="001A2ED3"/>
    <w:rsid w:val="001A2FFB"/>
    <w:rsid w:val="001A30D9"/>
    <w:rsid w:val="001A3301"/>
    <w:rsid w:val="001A3423"/>
    <w:rsid w:val="001A3485"/>
    <w:rsid w:val="001A3498"/>
    <w:rsid w:val="001A34E8"/>
    <w:rsid w:val="001A36C0"/>
    <w:rsid w:val="001A36E1"/>
    <w:rsid w:val="001A3768"/>
    <w:rsid w:val="001A376D"/>
    <w:rsid w:val="001A37CC"/>
    <w:rsid w:val="001A38A8"/>
    <w:rsid w:val="001A3982"/>
    <w:rsid w:val="001A39A1"/>
    <w:rsid w:val="001A3A10"/>
    <w:rsid w:val="001A3A6A"/>
    <w:rsid w:val="001A3CB8"/>
    <w:rsid w:val="001A3DE6"/>
    <w:rsid w:val="001A3DEF"/>
    <w:rsid w:val="001A3F34"/>
    <w:rsid w:val="001A3F60"/>
    <w:rsid w:val="001A3F62"/>
    <w:rsid w:val="001A3F98"/>
    <w:rsid w:val="001A4080"/>
    <w:rsid w:val="001A40B1"/>
    <w:rsid w:val="001A4240"/>
    <w:rsid w:val="001A42B6"/>
    <w:rsid w:val="001A432F"/>
    <w:rsid w:val="001A43E2"/>
    <w:rsid w:val="001A4421"/>
    <w:rsid w:val="001A4435"/>
    <w:rsid w:val="001A44BC"/>
    <w:rsid w:val="001A44D5"/>
    <w:rsid w:val="001A451D"/>
    <w:rsid w:val="001A4622"/>
    <w:rsid w:val="001A4745"/>
    <w:rsid w:val="001A47C9"/>
    <w:rsid w:val="001A483E"/>
    <w:rsid w:val="001A4854"/>
    <w:rsid w:val="001A49B0"/>
    <w:rsid w:val="001A49FA"/>
    <w:rsid w:val="001A4C6C"/>
    <w:rsid w:val="001A4C97"/>
    <w:rsid w:val="001A4D22"/>
    <w:rsid w:val="001A4E9A"/>
    <w:rsid w:val="001A4EB4"/>
    <w:rsid w:val="001A4ED0"/>
    <w:rsid w:val="001A4F9B"/>
    <w:rsid w:val="001A4FFE"/>
    <w:rsid w:val="001A5014"/>
    <w:rsid w:val="001A52A4"/>
    <w:rsid w:val="001A5351"/>
    <w:rsid w:val="001A53C7"/>
    <w:rsid w:val="001A53C9"/>
    <w:rsid w:val="001A5414"/>
    <w:rsid w:val="001A55A4"/>
    <w:rsid w:val="001A5618"/>
    <w:rsid w:val="001A565B"/>
    <w:rsid w:val="001A56AD"/>
    <w:rsid w:val="001A5715"/>
    <w:rsid w:val="001A575E"/>
    <w:rsid w:val="001A5764"/>
    <w:rsid w:val="001A57A4"/>
    <w:rsid w:val="001A57AB"/>
    <w:rsid w:val="001A59FA"/>
    <w:rsid w:val="001A5B71"/>
    <w:rsid w:val="001A5B89"/>
    <w:rsid w:val="001A5C3F"/>
    <w:rsid w:val="001A5C60"/>
    <w:rsid w:val="001A5D13"/>
    <w:rsid w:val="001A5D3A"/>
    <w:rsid w:val="001A5D47"/>
    <w:rsid w:val="001A5D5A"/>
    <w:rsid w:val="001A5D8E"/>
    <w:rsid w:val="001A5DA9"/>
    <w:rsid w:val="001A5E88"/>
    <w:rsid w:val="001A5F75"/>
    <w:rsid w:val="001A5FC8"/>
    <w:rsid w:val="001A603C"/>
    <w:rsid w:val="001A6075"/>
    <w:rsid w:val="001A627D"/>
    <w:rsid w:val="001A634C"/>
    <w:rsid w:val="001A63D6"/>
    <w:rsid w:val="001A645A"/>
    <w:rsid w:val="001A64F1"/>
    <w:rsid w:val="001A6659"/>
    <w:rsid w:val="001A66AA"/>
    <w:rsid w:val="001A67E3"/>
    <w:rsid w:val="001A6860"/>
    <w:rsid w:val="001A68F3"/>
    <w:rsid w:val="001A6932"/>
    <w:rsid w:val="001A6944"/>
    <w:rsid w:val="001A698A"/>
    <w:rsid w:val="001A6AAD"/>
    <w:rsid w:val="001A6AB5"/>
    <w:rsid w:val="001A6ABC"/>
    <w:rsid w:val="001A6B28"/>
    <w:rsid w:val="001A6D96"/>
    <w:rsid w:val="001A6E1C"/>
    <w:rsid w:val="001A6F00"/>
    <w:rsid w:val="001A700F"/>
    <w:rsid w:val="001A703C"/>
    <w:rsid w:val="001A7109"/>
    <w:rsid w:val="001A713C"/>
    <w:rsid w:val="001A7167"/>
    <w:rsid w:val="001A7205"/>
    <w:rsid w:val="001A72AE"/>
    <w:rsid w:val="001A73E4"/>
    <w:rsid w:val="001A73F7"/>
    <w:rsid w:val="001A75B7"/>
    <w:rsid w:val="001A76C7"/>
    <w:rsid w:val="001A7725"/>
    <w:rsid w:val="001A7739"/>
    <w:rsid w:val="001A77B1"/>
    <w:rsid w:val="001A78C0"/>
    <w:rsid w:val="001A793B"/>
    <w:rsid w:val="001A7BE0"/>
    <w:rsid w:val="001A7C46"/>
    <w:rsid w:val="001A7CCF"/>
    <w:rsid w:val="001A7D20"/>
    <w:rsid w:val="001A7E39"/>
    <w:rsid w:val="001B0036"/>
    <w:rsid w:val="001B013C"/>
    <w:rsid w:val="001B016E"/>
    <w:rsid w:val="001B01A2"/>
    <w:rsid w:val="001B01FE"/>
    <w:rsid w:val="001B0280"/>
    <w:rsid w:val="001B0287"/>
    <w:rsid w:val="001B03EC"/>
    <w:rsid w:val="001B0430"/>
    <w:rsid w:val="001B04A1"/>
    <w:rsid w:val="001B05D2"/>
    <w:rsid w:val="001B0729"/>
    <w:rsid w:val="001B072F"/>
    <w:rsid w:val="001B0819"/>
    <w:rsid w:val="001B0834"/>
    <w:rsid w:val="001B098F"/>
    <w:rsid w:val="001B09C7"/>
    <w:rsid w:val="001B0BE7"/>
    <w:rsid w:val="001B0DC8"/>
    <w:rsid w:val="001B0E16"/>
    <w:rsid w:val="001B0EAA"/>
    <w:rsid w:val="001B0FFD"/>
    <w:rsid w:val="001B103B"/>
    <w:rsid w:val="001B105A"/>
    <w:rsid w:val="001B11E3"/>
    <w:rsid w:val="001B13B0"/>
    <w:rsid w:val="001B13D3"/>
    <w:rsid w:val="001B13F1"/>
    <w:rsid w:val="001B1480"/>
    <w:rsid w:val="001B15E5"/>
    <w:rsid w:val="001B17C5"/>
    <w:rsid w:val="001B190F"/>
    <w:rsid w:val="001B198F"/>
    <w:rsid w:val="001B1995"/>
    <w:rsid w:val="001B199A"/>
    <w:rsid w:val="001B1AAD"/>
    <w:rsid w:val="001B1AC7"/>
    <w:rsid w:val="001B1BE2"/>
    <w:rsid w:val="001B1D5E"/>
    <w:rsid w:val="001B1E9B"/>
    <w:rsid w:val="001B204B"/>
    <w:rsid w:val="001B20BB"/>
    <w:rsid w:val="001B2144"/>
    <w:rsid w:val="001B21BA"/>
    <w:rsid w:val="001B21D2"/>
    <w:rsid w:val="001B2394"/>
    <w:rsid w:val="001B23C0"/>
    <w:rsid w:val="001B24F5"/>
    <w:rsid w:val="001B255A"/>
    <w:rsid w:val="001B2587"/>
    <w:rsid w:val="001B272B"/>
    <w:rsid w:val="001B2770"/>
    <w:rsid w:val="001B2896"/>
    <w:rsid w:val="001B29B6"/>
    <w:rsid w:val="001B2A0E"/>
    <w:rsid w:val="001B2A1A"/>
    <w:rsid w:val="001B2B72"/>
    <w:rsid w:val="001B2C8B"/>
    <w:rsid w:val="001B2C9D"/>
    <w:rsid w:val="001B2DB0"/>
    <w:rsid w:val="001B2F0B"/>
    <w:rsid w:val="001B2F97"/>
    <w:rsid w:val="001B2FC3"/>
    <w:rsid w:val="001B2FC4"/>
    <w:rsid w:val="001B2FED"/>
    <w:rsid w:val="001B3062"/>
    <w:rsid w:val="001B30D4"/>
    <w:rsid w:val="001B3174"/>
    <w:rsid w:val="001B3185"/>
    <w:rsid w:val="001B3221"/>
    <w:rsid w:val="001B323D"/>
    <w:rsid w:val="001B3299"/>
    <w:rsid w:val="001B3324"/>
    <w:rsid w:val="001B33B6"/>
    <w:rsid w:val="001B3443"/>
    <w:rsid w:val="001B34EF"/>
    <w:rsid w:val="001B351B"/>
    <w:rsid w:val="001B366B"/>
    <w:rsid w:val="001B36C9"/>
    <w:rsid w:val="001B37ED"/>
    <w:rsid w:val="001B38EF"/>
    <w:rsid w:val="001B39A7"/>
    <w:rsid w:val="001B3A05"/>
    <w:rsid w:val="001B3B31"/>
    <w:rsid w:val="001B3B6D"/>
    <w:rsid w:val="001B3B95"/>
    <w:rsid w:val="001B3BB0"/>
    <w:rsid w:val="001B3C51"/>
    <w:rsid w:val="001B3C5B"/>
    <w:rsid w:val="001B3D10"/>
    <w:rsid w:val="001B3DC4"/>
    <w:rsid w:val="001B3E7D"/>
    <w:rsid w:val="001B3EDC"/>
    <w:rsid w:val="001B3F81"/>
    <w:rsid w:val="001B3F9B"/>
    <w:rsid w:val="001B3FF4"/>
    <w:rsid w:val="001B420F"/>
    <w:rsid w:val="001B42FF"/>
    <w:rsid w:val="001B430E"/>
    <w:rsid w:val="001B4317"/>
    <w:rsid w:val="001B4358"/>
    <w:rsid w:val="001B44D4"/>
    <w:rsid w:val="001B44D6"/>
    <w:rsid w:val="001B4555"/>
    <w:rsid w:val="001B462B"/>
    <w:rsid w:val="001B4784"/>
    <w:rsid w:val="001B4794"/>
    <w:rsid w:val="001B48CF"/>
    <w:rsid w:val="001B49BF"/>
    <w:rsid w:val="001B49CB"/>
    <w:rsid w:val="001B4A36"/>
    <w:rsid w:val="001B4A93"/>
    <w:rsid w:val="001B4BA3"/>
    <w:rsid w:val="001B4C0F"/>
    <w:rsid w:val="001B4C6D"/>
    <w:rsid w:val="001B4CA0"/>
    <w:rsid w:val="001B4D23"/>
    <w:rsid w:val="001B4E7C"/>
    <w:rsid w:val="001B5093"/>
    <w:rsid w:val="001B50C0"/>
    <w:rsid w:val="001B514A"/>
    <w:rsid w:val="001B519C"/>
    <w:rsid w:val="001B51B4"/>
    <w:rsid w:val="001B522F"/>
    <w:rsid w:val="001B53C6"/>
    <w:rsid w:val="001B545F"/>
    <w:rsid w:val="001B54D7"/>
    <w:rsid w:val="001B55BA"/>
    <w:rsid w:val="001B5862"/>
    <w:rsid w:val="001B5A22"/>
    <w:rsid w:val="001B5A6B"/>
    <w:rsid w:val="001B5CE8"/>
    <w:rsid w:val="001B5D39"/>
    <w:rsid w:val="001B5D5F"/>
    <w:rsid w:val="001B5E2A"/>
    <w:rsid w:val="001B5E50"/>
    <w:rsid w:val="001B5EAE"/>
    <w:rsid w:val="001B5F88"/>
    <w:rsid w:val="001B5F9A"/>
    <w:rsid w:val="001B60E5"/>
    <w:rsid w:val="001B61CC"/>
    <w:rsid w:val="001B65F6"/>
    <w:rsid w:val="001B66D8"/>
    <w:rsid w:val="001B66F6"/>
    <w:rsid w:val="001B6717"/>
    <w:rsid w:val="001B6831"/>
    <w:rsid w:val="001B683E"/>
    <w:rsid w:val="001B6861"/>
    <w:rsid w:val="001B686D"/>
    <w:rsid w:val="001B6899"/>
    <w:rsid w:val="001B6946"/>
    <w:rsid w:val="001B69A3"/>
    <w:rsid w:val="001B69EF"/>
    <w:rsid w:val="001B6A2B"/>
    <w:rsid w:val="001B6A37"/>
    <w:rsid w:val="001B6A66"/>
    <w:rsid w:val="001B6AF6"/>
    <w:rsid w:val="001B6BE5"/>
    <w:rsid w:val="001B6BF2"/>
    <w:rsid w:val="001B6D41"/>
    <w:rsid w:val="001B6D56"/>
    <w:rsid w:val="001B6E1C"/>
    <w:rsid w:val="001B6E5A"/>
    <w:rsid w:val="001B6E98"/>
    <w:rsid w:val="001B7032"/>
    <w:rsid w:val="001B714E"/>
    <w:rsid w:val="001B71FB"/>
    <w:rsid w:val="001B724D"/>
    <w:rsid w:val="001B725C"/>
    <w:rsid w:val="001B73A1"/>
    <w:rsid w:val="001B73E0"/>
    <w:rsid w:val="001B7494"/>
    <w:rsid w:val="001B76AC"/>
    <w:rsid w:val="001B77AD"/>
    <w:rsid w:val="001B77DB"/>
    <w:rsid w:val="001B7801"/>
    <w:rsid w:val="001B7876"/>
    <w:rsid w:val="001B7894"/>
    <w:rsid w:val="001B7930"/>
    <w:rsid w:val="001B7933"/>
    <w:rsid w:val="001B79C4"/>
    <w:rsid w:val="001B7A1D"/>
    <w:rsid w:val="001B7A74"/>
    <w:rsid w:val="001B7AD2"/>
    <w:rsid w:val="001B7C56"/>
    <w:rsid w:val="001B7DB2"/>
    <w:rsid w:val="001B7F8D"/>
    <w:rsid w:val="001B7FA2"/>
    <w:rsid w:val="001BC69B"/>
    <w:rsid w:val="001BCE38"/>
    <w:rsid w:val="001C0067"/>
    <w:rsid w:val="001C007F"/>
    <w:rsid w:val="001C0135"/>
    <w:rsid w:val="001C01DF"/>
    <w:rsid w:val="001C0223"/>
    <w:rsid w:val="001C02BB"/>
    <w:rsid w:val="001C049D"/>
    <w:rsid w:val="001C0546"/>
    <w:rsid w:val="001C062B"/>
    <w:rsid w:val="001C0648"/>
    <w:rsid w:val="001C0748"/>
    <w:rsid w:val="001C0825"/>
    <w:rsid w:val="001C082C"/>
    <w:rsid w:val="001C092B"/>
    <w:rsid w:val="001C0942"/>
    <w:rsid w:val="001C099E"/>
    <w:rsid w:val="001C0A1A"/>
    <w:rsid w:val="001C0ADD"/>
    <w:rsid w:val="001C0AF7"/>
    <w:rsid w:val="001C0C99"/>
    <w:rsid w:val="001C0CD5"/>
    <w:rsid w:val="001C0CDA"/>
    <w:rsid w:val="001C0D33"/>
    <w:rsid w:val="001C0D61"/>
    <w:rsid w:val="001C0D87"/>
    <w:rsid w:val="001C0E2A"/>
    <w:rsid w:val="001C0EA0"/>
    <w:rsid w:val="001C0EB3"/>
    <w:rsid w:val="001C0F68"/>
    <w:rsid w:val="001C0FC7"/>
    <w:rsid w:val="001C0FF6"/>
    <w:rsid w:val="001C104E"/>
    <w:rsid w:val="001C1187"/>
    <w:rsid w:val="001C11DB"/>
    <w:rsid w:val="001C11FA"/>
    <w:rsid w:val="001C1311"/>
    <w:rsid w:val="001C1341"/>
    <w:rsid w:val="001C1389"/>
    <w:rsid w:val="001C1444"/>
    <w:rsid w:val="001C1447"/>
    <w:rsid w:val="001C145E"/>
    <w:rsid w:val="001C151C"/>
    <w:rsid w:val="001C1581"/>
    <w:rsid w:val="001C15DF"/>
    <w:rsid w:val="001C167A"/>
    <w:rsid w:val="001C1899"/>
    <w:rsid w:val="001C1A2C"/>
    <w:rsid w:val="001C1A7C"/>
    <w:rsid w:val="001C1A7F"/>
    <w:rsid w:val="001C1A91"/>
    <w:rsid w:val="001C1BD6"/>
    <w:rsid w:val="001C1CCC"/>
    <w:rsid w:val="001C1E0C"/>
    <w:rsid w:val="001C1E53"/>
    <w:rsid w:val="001C1E55"/>
    <w:rsid w:val="001C1E97"/>
    <w:rsid w:val="001C1EFE"/>
    <w:rsid w:val="001C1F15"/>
    <w:rsid w:val="001C2124"/>
    <w:rsid w:val="001C21E0"/>
    <w:rsid w:val="001C2203"/>
    <w:rsid w:val="001C222C"/>
    <w:rsid w:val="001C224F"/>
    <w:rsid w:val="001C237C"/>
    <w:rsid w:val="001C24A0"/>
    <w:rsid w:val="001C24FB"/>
    <w:rsid w:val="001C2621"/>
    <w:rsid w:val="001C2766"/>
    <w:rsid w:val="001C2A14"/>
    <w:rsid w:val="001C2A4F"/>
    <w:rsid w:val="001C2B2F"/>
    <w:rsid w:val="001C2BFE"/>
    <w:rsid w:val="001C2C2E"/>
    <w:rsid w:val="001C2D32"/>
    <w:rsid w:val="001C2D56"/>
    <w:rsid w:val="001C2E14"/>
    <w:rsid w:val="001C2E84"/>
    <w:rsid w:val="001C2F67"/>
    <w:rsid w:val="001C2FA0"/>
    <w:rsid w:val="001C3019"/>
    <w:rsid w:val="001C309D"/>
    <w:rsid w:val="001C312C"/>
    <w:rsid w:val="001C31CB"/>
    <w:rsid w:val="001C344A"/>
    <w:rsid w:val="001C344D"/>
    <w:rsid w:val="001C3469"/>
    <w:rsid w:val="001C34C6"/>
    <w:rsid w:val="001C3590"/>
    <w:rsid w:val="001C360B"/>
    <w:rsid w:val="001C3644"/>
    <w:rsid w:val="001C36E9"/>
    <w:rsid w:val="001C370A"/>
    <w:rsid w:val="001C3790"/>
    <w:rsid w:val="001C37AC"/>
    <w:rsid w:val="001C37F5"/>
    <w:rsid w:val="001C381D"/>
    <w:rsid w:val="001C3A85"/>
    <w:rsid w:val="001C3B19"/>
    <w:rsid w:val="001C3B22"/>
    <w:rsid w:val="001C3C3D"/>
    <w:rsid w:val="001C3CD0"/>
    <w:rsid w:val="001C3D67"/>
    <w:rsid w:val="001C3D9B"/>
    <w:rsid w:val="001C3FEB"/>
    <w:rsid w:val="001C4004"/>
    <w:rsid w:val="001C4013"/>
    <w:rsid w:val="001C4114"/>
    <w:rsid w:val="001C4178"/>
    <w:rsid w:val="001C4197"/>
    <w:rsid w:val="001C4330"/>
    <w:rsid w:val="001C4450"/>
    <w:rsid w:val="001C47E6"/>
    <w:rsid w:val="001C47F5"/>
    <w:rsid w:val="001C485D"/>
    <w:rsid w:val="001C4884"/>
    <w:rsid w:val="001C4A88"/>
    <w:rsid w:val="001C4A8A"/>
    <w:rsid w:val="001C4AAF"/>
    <w:rsid w:val="001C4E5F"/>
    <w:rsid w:val="001C4E82"/>
    <w:rsid w:val="001C4FB3"/>
    <w:rsid w:val="001C5040"/>
    <w:rsid w:val="001C50F5"/>
    <w:rsid w:val="001C5167"/>
    <w:rsid w:val="001C5174"/>
    <w:rsid w:val="001C5349"/>
    <w:rsid w:val="001C53C1"/>
    <w:rsid w:val="001C5489"/>
    <w:rsid w:val="001C562F"/>
    <w:rsid w:val="001C5675"/>
    <w:rsid w:val="001C575C"/>
    <w:rsid w:val="001C577B"/>
    <w:rsid w:val="001C57BF"/>
    <w:rsid w:val="001C583E"/>
    <w:rsid w:val="001C584D"/>
    <w:rsid w:val="001C5966"/>
    <w:rsid w:val="001C59A7"/>
    <w:rsid w:val="001C5AA2"/>
    <w:rsid w:val="001C5B26"/>
    <w:rsid w:val="001C5B9B"/>
    <w:rsid w:val="001C5C97"/>
    <w:rsid w:val="001C5CFC"/>
    <w:rsid w:val="001C5D12"/>
    <w:rsid w:val="001C5D9F"/>
    <w:rsid w:val="001C5DB4"/>
    <w:rsid w:val="001C5DF7"/>
    <w:rsid w:val="001C60B2"/>
    <w:rsid w:val="001C622D"/>
    <w:rsid w:val="001C623D"/>
    <w:rsid w:val="001C62B9"/>
    <w:rsid w:val="001C6327"/>
    <w:rsid w:val="001C6348"/>
    <w:rsid w:val="001C6410"/>
    <w:rsid w:val="001C6478"/>
    <w:rsid w:val="001C648C"/>
    <w:rsid w:val="001C64B8"/>
    <w:rsid w:val="001C64D4"/>
    <w:rsid w:val="001C64EB"/>
    <w:rsid w:val="001C64EC"/>
    <w:rsid w:val="001C6621"/>
    <w:rsid w:val="001C666E"/>
    <w:rsid w:val="001C668F"/>
    <w:rsid w:val="001C66B2"/>
    <w:rsid w:val="001C6740"/>
    <w:rsid w:val="001C6756"/>
    <w:rsid w:val="001C67E6"/>
    <w:rsid w:val="001C6878"/>
    <w:rsid w:val="001C6C94"/>
    <w:rsid w:val="001C6CA3"/>
    <w:rsid w:val="001C6D9D"/>
    <w:rsid w:val="001C6E03"/>
    <w:rsid w:val="001C6E0D"/>
    <w:rsid w:val="001C6EF3"/>
    <w:rsid w:val="001C7077"/>
    <w:rsid w:val="001C7197"/>
    <w:rsid w:val="001C721F"/>
    <w:rsid w:val="001C727B"/>
    <w:rsid w:val="001C727F"/>
    <w:rsid w:val="001C72CA"/>
    <w:rsid w:val="001C72E1"/>
    <w:rsid w:val="001C72F8"/>
    <w:rsid w:val="001C737A"/>
    <w:rsid w:val="001C7461"/>
    <w:rsid w:val="001C7469"/>
    <w:rsid w:val="001C746E"/>
    <w:rsid w:val="001C7520"/>
    <w:rsid w:val="001C7554"/>
    <w:rsid w:val="001C7558"/>
    <w:rsid w:val="001C7570"/>
    <w:rsid w:val="001C761D"/>
    <w:rsid w:val="001C7621"/>
    <w:rsid w:val="001C769C"/>
    <w:rsid w:val="001C7751"/>
    <w:rsid w:val="001C77C5"/>
    <w:rsid w:val="001C77CD"/>
    <w:rsid w:val="001C77D1"/>
    <w:rsid w:val="001C7803"/>
    <w:rsid w:val="001C786A"/>
    <w:rsid w:val="001C791B"/>
    <w:rsid w:val="001C7A0E"/>
    <w:rsid w:val="001C7C12"/>
    <w:rsid w:val="001C7C6B"/>
    <w:rsid w:val="001C7C7B"/>
    <w:rsid w:val="001C7F2F"/>
    <w:rsid w:val="001C7F48"/>
    <w:rsid w:val="001C7F65"/>
    <w:rsid w:val="001C7FB8"/>
    <w:rsid w:val="001C7FDE"/>
    <w:rsid w:val="001D0022"/>
    <w:rsid w:val="001D0026"/>
    <w:rsid w:val="001D003C"/>
    <w:rsid w:val="001D0080"/>
    <w:rsid w:val="001D0087"/>
    <w:rsid w:val="001D0102"/>
    <w:rsid w:val="001D0125"/>
    <w:rsid w:val="001D01A0"/>
    <w:rsid w:val="001D025B"/>
    <w:rsid w:val="001D02CE"/>
    <w:rsid w:val="001D032A"/>
    <w:rsid w:val="001D039B"/>
    <w:rsid w:val="001D0463"/>
    <w:rsid w:val="001D0499"/>
    <w:rsid w:val="001D04CC"/>
    <w:rsid w:val="001D05B0"/>
    <w:rsid w:val="001D05C0"/>
    <w:rsid w:val="001D0601"/>
    <w:rsid w:val="001D0691"/>
    <w:rsid w:val="001D0741"/>
    <w:rsid w:val="001D0763"/>
    <w:rsid w:val="001D07A4"/>
    <w:rsid w:val="001D0879"/>
    <w:rsid w:val="001D08D7"/>
    <w:rsid w:val="001D09FA"/>
    <w:rsid w:val="001D0AF4"/>
    <w:rsid w:val="001D0B5A"/>
    <w:rsid w:val="001D0C10"/>
    <w:rsid w:val="001D0C88"/>
    <w:rsid w:val="001D0CF2"/>
    <w:rsid w:val="001D0CF3"/>
    <w:rsid w:val="001D0F0B"/>
    <w:rsid w:val="001D0FA0"/>
    <w:rsid w:val="001D0FB8"/>
    <w:rsid w:val="001D1072"/>
    <w:rsid w:val="001D1152"/>
    <w:rsid w:val="001D11E0"/>
    <w:rsid w:val="001D1255"/>
    <w:rsid w:val="001D12B4"/>
    <w:rsid w:val="001D130E"/>
    <w:rsid w:val="001D1322"/>
    <w:rsid w:val="001D13D6"/>
    <w:rsid w:val="001D1461"/>
    <w:rsid w:val="001D1463"/>
    <w:rsid w:val="001D14A9"/>
    <w:rsid w:val="001D14F3"/>
    <w:rsid w:val="001D150A"/>
    <w:rsid w:val="001D15A2"/>
    <w:rsid w:val="001D1750"/>
    <w:rsid w:val="001D17C1"/>
    <w:rsid w:val="001D1827"/>
    <w:rsid w:val="001D1852"/>
    <w:rsid w:val="001D186F"/>
    <w:rsid w:val="001D1879"/>
    <w:rsid w:val="001D18E9"/>
    <w:rsid w:val="001D18FB"/>
    <w:rsid w:val="001D18FE"/>
    <w:rsid w:val="001D1987"/>
    <w:rsid w:val="001D199F"/>
    <w:rsid w:val="001D19BC"/>
    <w:rsid w:val="001D19DE"/>
    <w:rsid w:val="001D1A6B"/>
    <w:rsid w:val="001D1C24"/>
    <w:rsid w:val="001D1D12"/>
    <w:rsid w:val="001D1E1F"/>
    <w:rsid w:val="001D1E73"/>
    <w:rsid w:val="001D2086"/>
    <w:rsid w:val="001D20A6"/>
    <w:rsid w:val="001D2122"/>
    <w:rsid w:val="001D2258"/>
    <w:rsid w:val="001D226D"/>
    <w:rsid w:val="001D22AB"/>
    <w:rsid w:val="001D22EC"/>
    <w:rsid w:val="001D234C"/>
    <w:rsid w:val="001D2411"/>
    <w:rsid w:val="001D2425"/>
    <w:rsid w:val="001D250A"/>
    <w:rsid w:val="001D25D6"/>
    <w:rsid w:val="001D261E"/>
    <w:rsid w:val="001D2627"/>
    <w:rsid w:val="001D26DF"/>
    <w:rsid w:val="001D27BF"/>
    <w:rsid w:val="001D27D9"/>
    <w:rsid w:val="001D2856"/>
    <w:rsid w:val="001D2932"/>
    <w:rsid w:val="001D29D3"/>
    <w:rsid w:val="001D2A55"/>
    <w:rsid w:val="001D2CD1"/>
    <w:rsid w:val="001D2DBD"/>
    <w:rsid w:val="001D2E73"/>
    <w:rsid w:val="001D2F2A"/>
    <w:rsid w:val="001D2FCF"/>
    <w:rsid w:val="001D3023"/>
    <w:rsid w:val="001D3122"/>
    <w:rsid w:val="001D31C4"/>
    <w:rsid w:val="001D32A7"/>
    <w:rsid w:val="001D32E2"/>
    <w:rsid w:val="001D344D"/>
    <w:rsid w:val="001D35A1"/>
    <w:rsid w:val="001D378F"/>
    <w:rsid w:val="001D37A2"/>
    <w:rsid w:val="001D381A"/>
    <w:rsid w:val="001D38DC"/>
    <w:rsid w:val="001D395F"/>
    <w:rsid w:val="001D39AC"/>
    <w:rsid w:val="001D3A1C"/>
    <w:rsid w:val="001D3BBF"/>
    <w:rsid w:val="001D3C1A"/>
    <w:rsid w:val="001D3C32"/>
    <w:rsid w:val="001D3C83"/>
    <w:rsid w:val="001D3CC1"/>
    <w:rsid w:val="001D3CCB"/>
    <w:rsid w:val="001D3D09"/>
    <w:rsid w:val="001D3D49"/>
    <w:rsid w:val="001D3E25"/>
    <w:rsid w:val="001D3E4A"/>
    <w:rsid w:val="001D3EAB"/>
    <w:rsid w:val="001D3F0A"/>
    <w:rsid w:val="001D3F1E"/>
    <w:rsid w:val="001D3F3F"/>
    <w:rsid w:val="001D3F62"/>
    <w:rsid w:val="001D404E"/>
    <w:rsid w:val="001D407E"/>
    <w:rsid w:val="001D4310"/>
    <w:rsid w:val="001D43FF"/>
    <w:rsid w:val="001D44A5"/>
    <w:rsid w:val="001D4574"/>
    <w:rsid w:val="001D4696"/>
    <w:rsid w:val="001D4698"/>
    <w:rsid w:val="001D476B"/>
    <w:rsid w:val="001D47B6"/>
    <w:rsid w:val="001D47F7"/>
    <w:rsid w:val="001D47FE"/>
    <w:rsid w:val="001D48C2"/>
    <w:rsid w:val="001D4B01"/>
    <w:rsid w:val="001D4B99"/>
    <w:rsid w:val="001D4BF1"/>
    <w:rsid w:val="001D4C6D"/>
    <w:rsid w:val="001D4C9B"/>
    <w:rsid w:val="001D4EF9"/>
    <w:rsid w:val="001D4F53"/>
    <w:rsid w:val="001D4FF5"/>
    <w:rsid w:val="001D5019"/>
    <w:rsid w:val="001D509E"/>
    <w:rsid w:val="001D513E"/>
    <w:rsid w:val="001D51F9"/>
    <w:rsid w:val="001D520F"/>
    <w:rsid w:val="001D5259"/>
    <w:rsid w:val="001D5260"/>
    <w:rsid w:val="001D52C6"/>
    <w:rsid w:val="001D5339"/>
    <w:rsid w:val="001D5381"/>
    <w:rsid w:val="001D53E4"/>
    <w:rsid w:val="001D544D"/>
    <w:rsid w:val="001D54A9"/>
    <w:rsid w:val="001D54FE"/>
    <w:rsid w:val="001D5522"/>
    <w:rsid w:val="001D56BD"/>
    <w:rsid w:val="001D5751"/>
    <w:rsid w:val="001D57D4"/>
    <w:rsid w:val="001D5850"/>
    <w:rsid w:val="001D586B"/>
    <w:rsid w:val="001D59C6"/>
    <w:rsid w:val="001D5A23"/>
    <w:rsid w:val="001D5AA2"/>
    <w:rsid w:val="001D5AF5"/>
    <w:rsid w:val="001D5B19"/>
    <w:rsid w:val="001D5B9B"/>
    <w:rsid w:val="001D5BAE"/>
    <w:rsid w:val="001D5BF3"/>
    <w:rsid w:val="001D5D73"/>
    <w:rsid w:val="001D5DBE"/>
    <w:rsid w:val="001D5DDB"/>
    <w:rsid w:val="001D5F95"/>
    <w:rsid w:val="001D6059"/>
    <w:rsid w:val="001D605D"/>
    <w:rsid w:val="001D60E8"/>
    <w:rsid w:val="001D6111"/>
    <w:rsid w:val="001D6133"/>
    <w:rsid w:val="001D617A"/>
    <w:rsid w:val="001D61E2"/>
    <w:rsid w:val="001D6250"/>
    <w:rsid w:val="001D62BC"/>
    <w:rsid w:val="001D6611"/>
    <w:rsid w:val="001D6629"/>
    <w:rsid w:val="001D664A"/>
    <w:rsid w:val="001D66E2"/>
    <w:rsid w:val="001D6817"/>
    <w:rsid w:val="001D685A"/>
    <w:rsid w:val="001D686C"/>
    <w:rsid w:val="001D68E9"/>
    <w:rsid w:val="001D69DA"/>
    <w:rsid w:val="001D6A79"/>
    <w:rsid w:val="001D6B16"/>
    <w:rsid w:val="001D6C21"/>
    <w:rsid w:val="001D6C2A"/>
    <w:rsid w:val="001D6C71"/>
    <w:rsid w:val="001D6D8B"/>
    <w:rsid w:val="001D6E14"/>
    <w:rsid w:val="001D6FBC"/>
    <w:rsid w:val="001D7050"/>
    <w:rsid w:val="001D70A4"/>
    <w:rsid w:val="001D7181"/>
    <w:rsid w:val="001D71E6"/>
    <w:rsid w:val="001D723F"/>
    <w:rsid w:val="001D724D"/>
    <w:rsid w:val="001D7260"/>
    <w:rsid w:val="001D7345"/>
    <w:rsid w:val="001D73FE"/>
    <w:rsid w:val="001D7481"/>
    <w:rsid w:val="001D7518"/>
    <w:rsid w:val="001D77C0"/>
    <w:rsid w:val="001D7843"/>
    <w:rsid w:val="001D785E"/>
    <w:rsid w:val="001D78AD"/>
    <w:rsid w:val="001D7913"/>
    <w:rsid w:val="001D7917"/>
    <w:rsid w:val="001D7A57"/>
    <w:rsid w:val="001D7A84"/>
    <w:rsid w:val="001D7A8D"/>
    <w:rsid w:val="001D7BC7"/>
    <w:rsid w:val="001D7C09"/>
    <w:rsid w:val="001D7C25"/>
    <w:rsid w:val="001D7D6C"/>
    <w:rsid w:val="001D7E61"/>
    <w:rsid w:val="001D7FF4"/>
    <w:rsid w:val="001DAF8B"/>
    <w:rsid w:val="001E0061"/>
    <w:rsid w:val="001E0080"/>
    <w:rsid w:val="001E00C9"/>
    <w:rsid w:val="001E0122"/>
    <w:rsid w:val="001E0124"/>
    <w:rsid w:val="001E0136"/>
    <w:rsid w:val="001E019E"/>
    <w:rsid w:val="001E01EC"/>
    <w:rsid w:val="001E01EF"/>
    <w:rsid w:val="001E0226"/>
    <w:rsid w:val="001E0259"/>
    <w:rsid w:val="001E02D7"/>
    <w:rsid w:val="001E0371"/>
    <w:rsid w:val="001E0678"/>
    <w:rsid w:val="001E08ED"/>
    <w:rsid w:val="001E08F0"/>
    <w:rsid w:val="001E0981"/>
    <w:rsid w:val="001E0A66"/>
    <w:rsid w:val="001E0AC3"/>
    <w:rsid w:val="001E0B54"/>
    <w:rsid w:val="001E0B68"/>
    <w:rsid w:val="001E0BB1"/>
    <w:rsid w:val="001E0CC6"/>
    <w:rsid w:val="001E0D9D"/>
    <w:rsid w:val="001E0DA6"/>
    <w:rsid w:val="001E0DAA"/>
    <w:rsid w:val="001E0E07"/>
    <w:rsid w:val="001E0E16"/>
    <w:rsid w:val="001E0FA6"/>
    <w:rsid w:val="001E0FDE"/>
    <w:rsid w:val="001E107E"/>
    <w:rsid w:val="001E1115"/>
    <w:rsid w:val="001E11C1"/>
    <w:rsid w:val="001E1229"/>
    <w:rsid w:val="001E12BC"/>
    <w:rsid w:val="001E12BD"/>
    <w:rsid w:val="001E1303"/>
    <w:rsid w:val="001E130D"/>
    <w:rsid w:val="001E157A"/>
    <w:rsid w:val="001E15B9"/>
    <w:rsid w:val="001E15C0"/>
    <w:rsid w:val="001E1820"/>
    <w:rsid w:val="001E1847"/>
    <w:rsid w:val="001E1972"/>
    <w:rsid w:val="001E19C8"/>
    <w:rsid w:val="001E19F8"/>
    <w:rsid w:val="001E1A3E"/>
    <w:rsid w:val="001E1A4B"/>
    <w:rsid w:val="001E1A8D"/>
    <w:rsid w:val="001E1AF4"/>
    <w:rsid w:val="001E1B24"/>
    <w:rsid w:val="001E1CD0"/>
    <w:rsid w:val="001E1CF6"/>
    <w:rsid w:val="001E1E19"/>
    <w:rsid w:val="001E1E84"/>
    <w:rsid w:val="001E1E91"/>
    <w:rsid w:val="001E1E92"/>
    <w:rsid w:val="001E1FAF"/>
    <w:rsid w:val="001E1FDE"/>
    <w:rsid w:val="001E204D"/>
    <w:rsid w:val="001E20E1"/>
    <w:rsid w:val="001E20E8"/>
    <w:rsid w:val="001E2259"/>
    <w:rsid w:val="001E24EA"/>
    <w:rsid w:val="001E2558"/>
    <w:rsid w:val="001E259E"/>
    <w:rsid w:val="001E25BF"/>
    <w:rsid w:val="001E269B"/>
    <w:rsid w:val="001E26EE"/>
    <w:rsid w:val="001E274F"/>
    <w:rsid w:val="001E276A"/>
    <w:rsid w:val="001E27C0"/>
    <w:rsid w:val="001E27ED"/>
    <w:rsid w:val="001E2844"/>
    <w:rsid w:val="001E29D3"/>
    <w:rsid w:val="001E2B60"/>
    <w:rsid w:val="001E2C00"/>
    <w:rsid w:val="001E2C8A"/>
    <w:rsid w:val="001E2CBE"/>
    <w:rsid w:val="001E2CBF"/>
    <w:rsid w:val="001E2EC2"/>
    <w:rsid w:val="001E2F0F"/>
    <w:rsid w:val="001E2F83"/>
    <w:rsid w:val="001E2FCC"/>
    <w:rsid w:val="001E3076"/>
    <w:rsid w:val="001E31EA"/>
    <w:rsid w:val="001E31F9"/>
    <w:rsid w:val="001E3208"/>
    <w:rsid w:val="001E3283"/>
    <w:rsid w:val="001E330B"/>
    <w:rsid w:val="001E332B"/>
    <w:rsid w:val="001E339A"/>
    <w:rsid w:val="001E33AC"/>
    <w:rsid w:val="001E33EF"/>
    <w:rsid w:val="001E3419"/>
    <w:rsid w:val="001E3465"/>
    <w:rsid w:val="001E34C5"/>
    <w:rsid w:val="001E350F"/>
    <w:rsid w:val="001E354D"/>
    <w:rsid w:val="001E3567"/>
    <w:rsid w:val="001E366F"/>
    <w:rsid w:val="001E377C"/>
    <w:rsid w:val="001E37E3"/>
    <w:rsid w:val="001E39A0"/>
    <w:rsid w:val="001E39CB"/>
    <w:rsid w:val="001E39D2"/>
    <w:rsid w:val="001E3B59"/>
    <w:rsid w:val="001E3C73"/>
    <w:rsid w:val="001E3DE2"/>
    <w:rsid w:val="001E3E3E"/>
    <w:rsid w:val="001E3EBF"/>
    <w:rsid w:val="001E3F0B"/>
    <w:rsid w:val="001E3F17"/>
    <w:rsid w:val="001E3FEB"/>
    <w:rsid w:val="001E40EA"/>
    <w:rsid w:val="001E41C0"/>
    <w:rsid w:val="001E4286"/>
    <w:rsid w:val="001E42F3"/>
    <w:rsid w:val="001E4467"/>
    <w:rsid w:val="001E452E"/>
    <w:rsid w:val="001E4572"/>
    <w:rsid w:val="001E4647"/>
    <w:rsid w:val="001E46AD"/>
    <w:rsid w:val="001E4830"/>
    <w:rsid w:val="001E483A"/>
    <w:rsid w:val="001E4897"/>
    <w:rsid w:val="001E48D7"/>
    <w:rsid w:val="001E48FE"/>
    <w:rsid w:val="001E49DA"/>
    <w:rsid w:val="001E4B60"/>
    <w:rsid w:val="001E4B96"/>
    <w:rsid w:val="001E4C04"/>
    <w:rsid w:val="001E4CC6"/>
    <w:rsid w:val="001E4D28"/>
    <w:rsid w:val="001E4D32"/>
    <w:rsid w:val="001E4D85"/>
    <w:rsid w:val="001E4E37"/>
    <w:rsid w:val="001E4F0E"/>
    <w:rsid w:val="001E506C"/>
    <w:rsid w:val="001E50A9"/>
    <w:rsid w:val="001E511F"/>
    <w:rsid w:val="001E515A"/>
    <w:rsid w:val="001E52DB"/>
    <w:rsid w:val="001E530C"/>
    <w:rsid w:val="001E5353"/>
    <w:rsid w:val="001E53D1"/>
    <w:rsid w:val="001E5415"/>
    <w:rsid w:val="001E541F"/>
    <w:rsid w:val="001E5477"/>
    <w:rsid w:val="001E55AD"/>
    <w:rsid w:val="001E57C2"/>
    <w:rsid w:val="001E5819"/>
    <w:rsid w:val="001E58C8"/>
    <w:rsid w:val="001E58F2"/>
    <w:rsid w:val="001E5934"/>
    <w:rsid w:val="001E595F"/>
    <w:rsid w:val="001E5A06"/>
    <w:rsid w:val="001E5A0F"/>
    <w:rsid w:val="001E5B3A"/>
    <w:rsid w:val="001E5BA3"/>
    <w:rsid w:val="001E5BE0"/>
    <w:rsid w:val="001E5C4D"/>
    <w:rsid w:val="001E5D12"/>
    <w:rsid w:val="001E5E87"/>
    <w:rsid w:val="001E5EDE"/>
    <w:rsid w:val="001E5F33"/>
    <w:rsid w:val="001E5F73"/>
    <w:rsid w:val="001E5F9B"/>
    <w:rsid w:val="001E64B5"/>
    <w:rsid w:val="001E651C"/>
    <w:rsid w:val="001E6531"/>
    <w:rsid w:val="001E658D"/>
    <w:rsid w:val="001E664C"/>
    <w:rsid w:val="001E66F7"/>
    <w:rsid w:val="001E680D"/>
    <w:rsid w:val="001E681E"/>
    <w:rsid w:val="001E687B"/>
    <w:rsid w:val="001E69E0"/>
    <w:rsid w:val="001E6A3E"/>
    <w:rsid w:val="001E6A55"/>
    <w:rsid w:val="001E6AEE"/>
    <w:rsid w:val="001E6AF7"/>
    <w:rsid w:val="001E6B0A"/>
    <w:rsid w:val="001E6B14"/>
    <w:rsid w:val="001E6BE3"/>
    <w:rsid w:val="001E6CE7"/>
    <w:rsid w:val="001E6DC0"/>
    <w:rsid w:val="001E6DEB"/>
    <w:rsid w:val="001E6E1F"/>
    <w:rsid w:val="001E6E71"/>
    <w:rsid w:val="001E6EC4"/>
    <w:rsid w:val="001E6EE6"/>
    <w:rsid w:val="001E6F9E"/>
    <w:rsid w:val="001E7087"/>
    <w:rsid w:val="001E70CA"/>
    <w:rsid w:val="001E7128"/>
    <w:rsid w:val="001E7135"/>
    <w:rsid w:val="001E7141"/>
    <w:rsid w:val="001E7163"/>
    <w:rsid w:val="001E7166"/>
    <w:rsid w:val="001E716D"/>
    <w:rsid w:val="001E7179"/>
    <w:rsid w:val="001E71E5"/>
    <w:rsid w:val="001E72EC"/>
    <w:rsid w:val="001E72ED"/>
    <w:rsid w:val="001E7313"/>
    <w:rsid w:val="001E7377"/>
    <w:rsid w:val="001E73BF"/>
    <w:rsid w:val="001E73F1"/>
    <w:rsid w:val="001E7407"/>
    <w:rsid w:val="001E742C"/>
    <w:rsid w:val="001E7534"/>
    <w:rsid w:val="001E7554"/>
    <w:rsid w:val="001E7759"/>
    <w:rsid w:val="001E78AD"/>
    <w:rsid w:val="001E7975"/>
    <w:rsid w:val="001E79E9"/>
    <w:rsid w:val="001E79F8"/>
    <w:rsid w:val="001E7A4B"/>
    <w:rsid w:val="001E7B1C"/>
    <w:rsid w:val="001E7B4A"/>
    <w:rsid w:val="001E7C14"/>
    <w:rsid w:val="001E7C22"/>
    <w:rsid w:val="001E7C81"/>
    <w:rsid w:val="001E7CA4"/>
    <w:rsid w:val="001E7DF1"/>
    <w:rsid w:val="001E7ED4"/>
    <w:rsid w:val="001F00AE"/>
    <w:rsid w:val="001F00F8"/>
    <w:rsid w:val="001F0137"/>
    <w:rsid w:val="001F017C"/>
    <w:rsid w:val="001F0259"/>
    <w:rsid w:val="001F03EE"/>
    <w:rsid w:val="001F0427"/>
    <w:rsid w:val="001F05F0"/>
    <w:rsid w:val="001F05FE"/>
    <w:rsid w:val="001F0627"/>
    <w:rsid w:val="001F0679"/>
    <w:rsid w:val="001F067F"/>
    <w:rsid w:val="001F078F"/>
    <w:rsid w:val="001F07AC"/>
    <w:rsid w:val="001F0827"/>
    <w:rsid w:val="001F08A0"/>
    <w:rsid w:val="001F0A27"/>
    <w:rsid w:val="001F0AEB"/>
    <w:rsid w:val="001F0B07"/>
    <w:rsid w:val="001F0B55"/>
    <w:rsid w:val="001F0E5C"/>
    <w:rsid w:val="001F0F2E"/>
    <w:rsid w:val="001F0F6D"/>
    <w:rsid w:val="001F1060"/>
    <w:rsid w:val="001F119F"/>
    <w:rsid w:val="001F11D3"/>
    <w:rsid w:val="001F11FB"/>
    <w:rsid w:val="001F120D"/>
    <w:rsid w:val="001F12AB"/>
    <w:rsid w:val="001F12D0"/>
    <w:rsid w:val="001F12D3"/>
    <w:rsid w:val="001F1361"/>
    <w:rsid w:val="001F1448"/>
    <w:rsid w:val="001F14E7"/>
    <w:rsid w:val="001F1505"/>
    <w:rsid w:val="001F1675"/>
    <w:rsid w:val="001F171B"/>
    <w:rsid w:val="001F19BC"/>
    <w:rsid w:val="001F1AD2"/>
    <w:rsid w:val="001F1E56"/>
    <w:rsid w:val="001F1E73"/>
    <w:rsid w:val="001F1F66"/>
    <w:rsid w:val="001F1F8C"/>
    <w:rsid w:val="001F1FDF"/>
    <w:rsid w:val="001F2084"/>
    <w:rsid w:val="001F20F0"/>
    <w:rsid w:val="001F21B3"/>
    <w:rsid w:val="001F22B1"/>
    <w:rsid w:val="001F235A"/>
    <w:rsid w:val="001F2484"/>
    <w:rsid w:val="001F24C2"/>
    <w:rsid w:val="001F24C9"/>
    <w:rsid w:val="001F251F"/>
    <w:rsid w:val="001F2520"/>
    <w:rsid w:val="001F259B"/>
    <w:rsid w:val="001F2631"/>
    <w:rsid w:val="001F2704"/>
    <w:rsid w:val="001F2810"/>
    <w:rsid w:val="001F2950"/>
    <w:rsid w:val="001F2A9F"/>
    <w:rsid w:val="001F2C0E"/>
    <w:rsid w:val="001F2C64"/>
    <w:rsid w:val="001F2C66"/>
    <w:rsid w:val="001F2C9D"/>
    <w:rsid w:val="001F2D21"/>
    <w:rsid w:val="001F2E76"/>
    <w:rsid w:val="001F2ED2"/>
    <w:rsid w:val="001F2EE3"/>
    <w:rsid w:val="001F2F29"/>
    <w:rsid w:val="001F2F4D"/>
    <w:rsid w:val="001F302C"/>
    <w:rsid w:val="001F32F4"/>
    <w:rsid w:val="001F33AF"/>
    <w:rsid w:val="001F33E4"/>
    <w:rsid w:val="001F3400"/>
    <w:rsid w:val="001F3417"/>
    <w:rsid w:val="001F3481"/>
    <w:rsid w:val="001F365F"/>
    <w:rsid w:val="001F3781"/>
    <w:rsid w:val="001F37EE"/>
    <w:rsid w:val="001F383E"/>
    <w:rsid w:val="001F3918"/>
    <w:rsid w:val="001F391F"/>
    <w:rsid w:val="001F393E"/>
    <w:rsid w:val="001F39FD"/>
    <w:rsid w:val="001F3AA3"/>
    <w:rsid w:val="001F3ADE"/>
    <w:rsid w:val="001F3AF2"/>
    <w:rsid w:val="001F3BBE"/>
    <w:rsid w:val="001F3C87"/>
    <w:rsid w:val="001F3DCE"/>
    <w:rsid w:val="001F3E31"/>
    <w:rsid w:val="001F3F40"/>
    <w:rsid w:val="001F3FDE"/>
    <w:rsid w:val="001F40D9"/>
    <w:rsid w:val="001F41BF"/>
    <w:rsid w:val="001F4327"/>
    <w:rsid w:val="001F4362"/>
    <w:rsid w:val="001F4441"/>
    <w:rsid w:val="001F4576"/>
    <w:rsid w:val="001F468F"/>
    <w:rsid w:val="001F4692"/>
    <w:rsid w:val="001F46EB"/>
    <w:rsid w:val="001F4727"/>
    <w:rsid w:val="001F4821"/>
    <w:rsid w:val="001F4AF4"/>
    <w:rsid w:val="001F4B3E"/>
    <w:rsid w:val="001F4C74"/>
    <w:rsid w:val="001F4CD7"/>
    <w:rsid w:val="001F4DAC"/>
    <w:rsid w:val="001F4ED9"/>
    <w:rsid w:val="001F4FC6"/>
    <w:rsid w:val="001F50EC"/>
    <w:rsid w:val="001F5168"/>
    <w:rsid w:val="001F51C3"/>
    <w:rsid w:val="001F51EA"/>
    <w:rsid w:val="001F5258"/>
    <w:rsid w:val="001F52AC"/>
    <w:rsid w:val="001F53C9"/>
    <w:rsid w:val="001F54F9"/>
    <w:rsid w:val="001F55EF"/>
    <w:rsid w:val="001F5637"/>
    <w:rsid w:val="001F57ED"/>
    <w:rsid w:val="001F5813"/>
    <w:rsid w:val="001F585C"/>
    <w:rsid w:val="001F59AC"/>
    <w:rsid w:val="001F5A03"/>
    <w:rsid w:val="001F5A2C"/>
    <w:rsid w:val="001F5D04"/>
    <w:rsid w:val="001F5D26"/>
    <w:rsid w:val="001F5D3D"/>
    <w:rsid w:val="001F5E88"/>
    <w:rsid w:val="001F5E8A"/>
    <w:rsid w:val="001F5EA1"/>
    <w:rsid w:val="001F5EF0"/>
    <w:rsid w:val="001F5F51"/>
    <w:rsid w:val="001F5F96"/>
    <w:rsid w:val="001F609B"/>
    <w:rsid w:val="001F6102"/>
    <w:rsid w:val="001F61D4"/>
    <w:rsid w:val="001F626C"/>
    <w:rsid w:val="001F62B1"/>
    <w:rsid w:val="001F62B7"/>
    <w:rsid w:val="001F62DA"/>
    <w:rsid w:val="001F6322"/>
    <w:rsid w:val="001F646B"/>
    <w:rsid w:val="001F64DC"/>
    <w:rsid w:val="001F64F8"/>
    <w:rsid w:val="001F6558"/>
    <w:rsid w:val="001F660E"/>
    <w:rsid w:val="001F66A1"/>
    <w:rsid w:val="001F6776"/>
    <w:rsid w:val="001F6823"/>
    <w:rsid w:val="001F68DF"/>
    <w:rsid w:val="001F69AF"/>
    <w:rsid w:val="001F6A68"/>
    <w:rsid w:val="001F6B00"/>
    <w:rsid w:val="001F6BA8"/>
    <w:rsid w:val="001F6BE7"/>
    <w:rsid w:val="001F6C0C"/>
    <w:rsid w:val="001F6C92"/>
    <w:rsid w:val="001F6CCC"/>
    <w:rsid w:val="001F6CF6"/>
    <w:rsid w:val="001F6D30"/>
    <w:rsid w:val="001F6D3F"/>
    <w:rsid w:val="001F6D45"/>
    <w:rsid w:val="001F6EF9"/>
    <w:rsid w:val="001F6F1E"/>
    <w:rsid w:val="001F6FC9"/>
    <w:rsid w:val="001F6FDB"/>
    <w:rsid w:val="001F7135"/>
    <w:rsid w:val="001F7188"/>
    <w:rsid w:val="001F71F4"/>
    <w:rsid w:val="001F7233"/>
    <w:rsid w:val="001F7298"/>
    <w:rsid w:val="001F7440"/>
    <w:rsid w:val="001F7542"/>
    <w:rsid w:val="001F759E"/>
    <w:rsid w:val="001F7613"/>
    <w:rsid w:val="001F762F"/>
    <w:rsid w:val="001F765D"/>
    <w:rsid w:val="001F76C3"/>
    <w:rsid w:val="001F774B"/>
    <w:rsid w:val="001F7798"/>
    <w:rsid w:val="001F784A"/>
    <w:rsid w:val="001F78C8"/>
    <w:rsid w:val="001F78EE"/>
    <w:rsid w:val="001F7916"/>
    <w:rsid w:val="001F7937"/>
    <w:rsid w:val="001F799C"/>
    <w:rsid w:val="001F79D4"/>
    <w:rsid w:val="001F79FA"/>
    <w:rsid w:val="001F7BA6"/>
    <w:rsid w:val="001F7BB8"/>
    <w:rsid w:val="001F7BDE"/>
    <w:rsid w:val="001F7BE7"/>
    <w:rsid w:val="001F7C5E"/>
    <w:rsid w:val="001F7C9F"/>
    <w:rsid w:val="001F7D88"/>
    <w:rsid w:val="001F7DBD"/>
    <w:rsid w:val="001F7E96"/>
    <w:rsid w:val="001F7EAE"/>
    <w:rsid w:val="001F7EC6"/>
    <w:rsid w:val="001FAD47"/>
    <w:rsid w:val="00200047"/>
    <w:rsid w:val="00200089"/>
    <w:rsid w:val="002000C2"/>
    <w:rsid w:val="0020020A"/>
    <w:rsid w:val="0020025F"/>
    <w:rsid w:val="0020039C"/>
    <w:rsid w:val="002003BA"/>
    <w:rsid w:val="002004A9"/>
    <w:rsid w:val="002004D7"/>
    <w:rsid w:val="002004F6"/>
    <w:rsid w:val="00200689"/>
    <w:rsid w:val="002006FB"/>
    <w:rsid w:val="00200730"/>
    <w:rsid w:val="002007C5"/>
    <w:rsid w:val="0020083D"/>
    <w:rsid w:val="0020085C"/>
    <w:rsid w:val="00200919"/>
    <w:rsid w:val="00200955"/>
    <w:rsid w:val="0020095F"/>
    <w:rsid w:val="00200968"/>
    <w:rsid w:val="0020099E"/>
    <w:rsid w:val="002009C1"/>
    <w:rsid w:val="002009E2"/>
    <w:rsid w:val="00200A41"/>
    <w:rsid w:val="00200A9D"/>
    <w:rsid w:val="00200D7E"/>
    <w:rsid w:val="00200D8A"/>
    <w:rsid w:val="00200DBE"/>
    <w:rsid w:val="00200E41"/>
    <w:rsid w:val="00200E5C"/>
    <w:rsid w:val="00200E7E"/>
    <w:rsid w:val="00200EA9"/>
    <w:rsid w:val="00200FC9"/>
    <w:rsid w:val="00201007"/>
    <w:rsid w:val="0020104A"/>
    <w:rsid w:val="00201062"/>
    <w:rsid w:val="002010FC"/>
    <w:rsid w:val="00201196"/>
    <w:rsid w:val="002011D6"/>
    <w:rsid w:val="002011F0"/>
    <w:rsid w:val="0020148B"/>
    <w:rsid w:val="002014AB"/>
    <w:rsid w:val="002014EA"/>
    <w:rsid w:val="00201563"/>
    <w:rsid w:val="00201597"/>
    <w:rsid w:val="002015BE"/>
    <w:rsid w:val="00201685"/>
    <w:rsid w:val="00201818"/>
    <w:rsid w:val="00201857"/>
    <w:rsid w:val="0020193D"/>
    <w:rsid w:val="002019AB"/>
    <w:rsid w:val="00201A3E"/>
    <w:rsid w:val="00201AC5"/>
    <w:rsid w:val="00201B06"/>
    <w:rsid w:val="00201C62"/>
    <w:rsid w:val="00201C95"/>
    <w:rsid w:val="00201D22"/>
    <w:rsid w:val="00201D71"/>
    <w:rsid w:val="00201DDE"/>
    <w:rsid w:val="00201DFC"/>
    <w:rsid w:val="00201E03"/>
    <w:rsid w:val="00201E32"/>
    <w:rsid w:val="00201F4D"/>
    <w:rsid w:val="00202057"/>
    <w:rsid w:val="002020AA"/>
    <w:rsid w:val="002020D2"/>
    <w:rsid w:val="00202155"/>
    <w:rsid w:val="002021A3"/>
    <w:rsid w:val="002021BE"/>
    <w:rsid w:val="002022CE"/>
    <w:rsid w:val="00202311"/>
    <w:rsid w:val="002023DB"/>
    <w:rsid w:val="002023ED"/>
    <w:rsid w:val="00202486"/>
    <w:rsid w:val="002024D2"/>
    <w:rsid w:val="002024EC"/>
    <w:rsid w:val="0020257E"/>
    <w:rsid w:val="00202629"/>
    <w:rsid w:val="002026A5"/>
    <w:rsid w:val="002026EB"/>
    <w:rsid w:val="002026F5"/>
    <w:rsid w:val="0020281D"/>
    <w:rsid w:val="00202839"/>
    <w:rsid w:val="00202927"/>
    <w:rsid w:val="00202AF5"/>
    <w:rsid w:val="00202AFC"/>
    <w:rsid w:val="00202B10"/>
    <w:rsid w:val="00202B45"/>
    <w:rsid w:val="00202C3B"/>
    <w:rsid w:val="00202F4E"/>
    <w:rsid w:val="00203194"/>
    <w:rsid w:val="00203258"/>
    <w:rsid w:val="00203310"/>
    <w:rsid w:val="00203311"/>
    <w:rsid w:val="00203390"/>
    <w:rsid w:val="002033A7"/>
    <w:rsid w:val="00203459"/>
    <w:rsid w:val="002034DD"/>
    <w:rsid w:val="0020354D"/>
    <w:rsid w:val="002035EC"/>
    <w:rsid w:val="00203775"/>
    <w:rsid w:val="0020389D"/>
    <w:rsid w:val="002038CB"/>
    <w:rsid w:val="00203976"/>
    <w:rsid w:val="00203A00"/>
    <w:rsid w:val="00203D25"/>
    <w:rsid w:val="00203D8D"/>
    <w:rsid w:val="00203E8D"/>
    <w:rsid w:val="00203F39"/>
    <w:rsid w:val="0020405C"/>
    <w:rsid w:val="002041B8"/>
    <w:rsid w:val="002041D8"/>
    <w:rsid w:val="002041F8"/>
    <w:rsid w:val="00204249"/>
    <w:rsid w:val="002042A6"/>
    <w:rsid w:val="00204396"/>
    <w:rsid w:val="0020441C"/>
    <w:rsid w:val="00204464"/>
    <w:rsid w:val="0020458A"/>
    <w:rsid w:val="002045A4"/>
    <w:rsid w:val="002045D6"/>
    <w:rsid w:val="002045E8"/>
    <w:rsid w:val="002045F1"/>
    <w:rsid w:val="00204661"/>
    <w:rsid w:val="00204662"/>
    <w:rsid w:val="00204698"/>
    <w:rsid w:val="002046EF"/>
    <w:rsid w:val="002046F7"/>
    <w:rsid w:val="00204714"/>
    <w:rsid w:val="00204717"/>
    <w:rsid w:val="002047B2"/>
    <w:rsid w:val="002048D6"/>
    <w:rsid w:val="002049CE"/>
    <w:rsid w:val="00204A48"/>
    <w:rsid w:val="00204BB2"/>
    <w:rsid w:val="00204BBB"/>
    <w:rsid w:val="00204CE4"/>
    <w:rsid w:val="00204D2E"/>
    <w:rsid w:val="00204D4F"/>
    <w:rsid w:val="00204F07"/>
    <w:rsid w:val="00204F4A"/>
    <w:rsid w:val="0020508D"/>
    <w:rsid w:val="002050DF"/>
    <w:rsid w:val="002050FC"/>
    <w:rsid w:val="00205137"/>
    <w:rsid w:val="0020515D"/>
    <w:rsid w:val="00205207"/>
    <w:rsid w:val="00205313"/>
    <w:rsid w:val="0020539C"/>
    <w:rsid w:val="002053B8"/>
    <w:rsid w:val="0020547F"/>
    <w:rsid w:val="00205593"/>
    <w:rsid w:val="0020561E"/>
    <w:rsid w:val="00205660"/>
    <w:rsid w:val="002056D9"/>
    <w:rsid w:val="002057F6"/>
    <w:rsid w:val="0020587B"/>
    <w:rsid w:val="00205921"/>
    <w:rsid w:val="002059F6"/>
    <w:rsid w:val="00205A21"/>
    <w:rsid w:val="00205A5C"/>
    <w:rsid w:val="00205CC2"/>
    <w:rsid w:val="00205D6B"/>
    <w:rsid w:val="00205DA4"/>
    <w:rsid w:val="00205DA5"/>
    <w:rsid w:val="00205DC6"/>
    <w:rsid w:val="00205DE8"/>
    <w:rsid w:val="00205E5A"/>
    <w:rsid w:val="00205F15"/>
    <w:rsid w:val="00205F46"/>
    <w:rsid w:val="00205FC5"/>
    <w:rsid w:val="00205FCF"/>
    <w:rsid w:val="00206186"/>
    <w:rsid w:val="002061C0"/>
    <w:rsid w:val="00206276"/>
    <w:rsid w:val="00206297"/>
    <w:rsid w:val="00206318"/>
    <w:rsid w:val="00206334"/>
    <w:rsid w:val="00206348"/>
    <w:rsid w:val="00206391"/>
    <w:rsid w:val="002063A3"/>
    <w:rsid w:val="00206430"/>
    <w:rsid w:val="00206481"/>
    <w:rsid w:val="002065FB"/>
    <w:rsid w:val="0020661D"/>
    <w:rsid w:val="00206722"/>
    <w:rsid w:val="0020677B"/>
    <w:rsid w:val="002067B0"/>
    <w:rsid w:val="002067B6"/>
    <w:rsid w:val="0020685A"/>
    <w:rsid w:val="0020688A"/>
    <w:rsid w:val="002068B8"/>
    <w:rsid w:val="002068F0"/>
    <w:rsid w:val="00206923"/>
    <w:rsid w:val="00206940"/>
    <w:rsid w:val="00206A1E"/>
    <w:rsid w:val="00206A78"/>
    <w:rsid w:val="00206B59"/>
    <w:rsid w:val="00206C6F"/>
    <w:rsid w:val="00206CBC"/>
    <w:rsid w:val="00206D38"/>
    <w:rsid w:val="00206D97"/>
    <w:rsid w:val="00206DA5"/>
    <w:rsid w:val="00206DD2"/>
    <w:rsid w:val="00206E14"/>
    <w:rsid w:val="00206E84"/>
    <w:rsid w:val="002070E3"/>
    <w:rsid w:val="00207109"/>
    <w:rsid w:val="0020715F"/>
    <w:rsid w:val="002071E6"/>
    <w:rsid w:val="00207214"/>
    <w:rsid w:val="00207293"/>
    <w:rsid w:val="002072A4"/>
    <w:rsid w:val="002072D5"/>
    <w:rsid w:val="002073D7"/>
    <w:rsid w:val="0020745E"/>
    <w:rsid w:val="00207575"/>
    <w:rsid w:val="0020759D"/>
    <w:rsid w:val="00207608"/>
    <w:rsid w:val="00207621"/>
    <w:rsid w:val="0020764A"/>
    <w:rsid w:val="00207654"/>
    <w:rsid w:val="00207711"/>
    <w:rsid w:val="00207726"/>
    <w:rsid w:val="00207772"/>
    <w:rsid w:val="0020785C"/>
    <w:rsid w:val="0020785F"/>
    <w:rsid w:val="00207A52"/>
    <w:rsid w:val="00207A8E"/>
    <w:rsid w:val="00207AC1"/>
    <w:rsid w:val="00207BCB"/>
    <w:rsid w:val="00207D08"/>
    <w:rsid w:val="00207D34"/>
    <w:rsid w:val="00207DA0"/>
    <w:rsid w:val="00207DEF"/>
    <w:rsid w:val="00207E64"/>
    <w:rsid w:val="00207E74"/>
    <w:rsid w:val="00207EA1"/>
    <w:rsid w:val="00207F32"/>
    <w:rsid w:val="00207F42"/>
    <w:rsid w:val="0020F8F3"/>
    <w:rsid w:val="002101D9"/>
    <w:rsid w:val="0021020B"/>
    <w:rsid w:val="0021039E"/>
    <w:rsid w:val="002103A3"/>
    <w:rsid w:val="00210720"/>
    <w:rsid w:val="00210770"/>
    <w:rsid w:val="00210815"/>
    <w:rsid w:val="002108FB"/>
    <w:rsid w:val="00210A25"/>
    <w:rsid w:val="00210B86"/>
    <w:rsid w:val="00210C3D"/>
    <w:rsid w:val="00210C9B"/>
    <w:rsid w:val="00210D38"/>
    <w:rsid w:val="00210D9C"/>
    <w:rsid w:val="00210DAD"/>
    <w:rsid w:val="00210DB4"/>
    <w:rsid w:val="00210DCB"/>
    <w:rsid w:val="00210DDF"/>
    <w:rsid w:val="00210E31"/>
    <w:rsid w:val="00210E49"/>
    <w:rsid w:val="00210F52"/>
    <w:rsid w:val="00210F88"/>
    <w:rsid w:val="00210FE6"/>
    <w:rsid w:val="0021100B"/>
    <w:rsid w:val="0021100F"/>
    <w:rsid w:val="002110A1"/>
    <w:rsid w:val="002110CF"/>
    <w:rsid w:val="00211103"/>
    <w:rsid w:val="00211133"/>
    <w:rsid w:val="002111CD"/>
    <w:rsid w:val="00211220"/>
    <w:rsid w:val="00211293"/>
    <w:rsid w:val="0021130A"/>
    <w:rsid w:val="00211360"/>
    <w:rsid w:val="0021138E"/>
    <w:rsid w:val="002113A8"/>
    <w:rsid w:val="002113AB"/>
    <w:rsid w:val="00211462"/>
    <w:rsid w:val="002115F2"/>
    <w:rsid w:val="0021166F"/>
    <w:rsid w:val="002116F6"/>
    <w:rsid w:val="00211750"/>
    <w:rsid w:val="002117E7"/>
    <w:rsid w:val="002118A9"/>
    <w:rsid w:val="002118B3"/>
    <w:rsid w:val="0021193B"/>
    <w:rsid w:val="00211981"/>
    <w:rsid w:val="002119C3"/>
    <w:rsid w:val="002119D9"/>
    <w:rsid w:val="00211AA5"/>
    <w:rsid w:val="00211AB3"/>
    <w:rsid w:val="00211C6D"/>
    <w:rsid w:val="00211DA0"/>
    <w:rsid w:val="00211ED2"/>
    <w:rsid w:val="00211EE4"/>
    <w:rsid w:val="00211F2F"/>
    <w:rsid w:val="00211F73"/>
    <w:rsid w:val="00211F78"/>
    <w:rsid w:val="00211FAC"/>
    <w:rsid w:val="00211FE7"/>
    <w:rsid w:val="0021206B"/>
    <w:rsid w:val="00212137"/>
    <w:rsid w:val="00212201"/>
    <w:rsid w:val="002122FB"/>
    <w:rsid w:val="00212414"/>
    <w:rsid w:val="0021245C"/>
    <w:rsid w:val="0021248C"/>
    <w:rsid w:val="00212580"/>
    <w:rsid w:val="00212617"/>
    <w:rsid w:val="002126BE"/>
    <w:rsid w:val="002126F9"/>
    <w:rsid w:val="00212709"/>
    <w:rsid w:val="00212792"/>
    <w:rsid w:val="00212835"/>
    <w:rsid w:val="0021293E"/>
    <w:rsid w:val="00212965"/>
    <w:rsid w:val="00212B41"/>
    <w:rsid w:val="00212C26"/>
    <w:rsid w:val="00212CF3"/>
    <w:rsid w:val="00212D29"/>
    <w:rsid w:val="00212DD9"/>
    <w:rsid w:val="00212E60"/>
    <w:rsid w:val="00212EA0"/>
    <w:rsid w:val="00212F39"/>
    <w:rsid w:val="00212FBC"/>
    <w:rsid w:val="00213027"/>
    <w:rsid w:val="0021306B"/>
    <w:rsid w:val="00213260"/>
    <w:rsid w:val="00213344"/>
    <w:rsid w:val="00213539"/>
    <w:rsid w:val="00213547"/>
    <w:rsid w:val="002135DE"/>
    <w:rsid w:val="00213655"/>
    <w:rsid w:val="0021366B"/>
    <w:rsid w:val="002136B0"/>
    <w:rsid w:val="0021370E"/>
    <w:rsid w:val="00213716"/>
    <w:rsid w:val="0021377C"/>
    <w:rsid w:val="00213799"/>
    <w:rsid w:val="002137C5"/>
    <w:rsid w:val="00213898"/>
    <w:rsid w:val="00213924"/>
    <w:rsid w:val="0021396F"/>
    <w:rsid w:val="002139D7"/>
    <w:rsid w:val="00213BA0"/>
    <w:rsid w:val="00213C45"/>
    <w:rsid w:val="00213C82"/>
    <w:rsid w:val="00213D74"/>
    <w:rsid w:val="00213E30"/>
    <w:rsid w:val="00213F54"/>
    <w:rsid w:val="00213F9B"/>
    <w:rsid w:val="0021408F"/>
    <w:rsid w:val="002140BF"/>
    <w:rsid w:val="002140DF"/>
    <w:rsid w:val="0021413A"/>
    <w:rsid w:val="00214257"/>
    <w:rsid w:val="002142A3"/>
    <w:rsid w:val="00214330"/>
    <w:rsid w:val="0021442E"/>
    <w:rsid w:val="00214586"/>
    <w:rsid w:val="0021465B"/>
    <w:rsid w:val="00214684"/>
    <w:rsid w:val="00214719"/>
    <w:rsid w:val="00214722"/>
    <w:rsid w:val="0021477C"/>
    <w:rsid w:val="00214862"/>
    <w:rsid w:val="00214872"/>
    <w:rsid w:val="00214948"/>
    <w:rsid w:val="0021495B"/>
    <w:rsid w:val="002149AB"/>
    <w:rsid w:val="00214AB7"/>
    <w:rsid w:val="00214B02"/>
    <w:rsid w:val="00214C72"/>
    <w:rsid w:val="00214D5F"/>
    <w:rsid w:val="00214D8F"/>
    <w:rsid w:val="00214EAC"/>
    <w:rsid w:val="00214F02"/>
    <w:rsid w:val="00214F05"/>
    <w:rsid w:val="00215360"/>
    <w:rsid w:val="00215368"/>
    <w:rsid w:val="002153A8"/>
    <w:rsid w:val="0021549E"/>
    <w:rsid w:val="002154C5"/>
    <w:rsid w:val="00215507"/>
    <w:rsid w:val="0021552A"/>
    <w:rsid w:val="00215564"/>
    <w:rsid w:val="00215763"/>
    <w:rsid w:val="00215956"/>
    <w:rsid w:val="00215C7A"/>
    <w:rsid w:val="00215CD0"/>
    <w:rsid w:val="00215DAF"/>
    <w:rsid w:val="00215DC1"/>
    <w:rsid w:val="00215DC6"/>
    <w:rsid w:val="00215E96"/>
    <w:rsid w:val="00215F1E"/>
    <w:rsid w:val="00215FFB"/>
    <w:rsid w:val="00216020"/>
    <w:rsid w:val="00216073"/>
    <w:rsid w:val="002160C4"/>
    <w:rsid w:val="0021616F"/>
    <w:rsid w:val="002161B9"/>
    <w:rsid w:val="002161D8"/>
    <w:rsid w:val="00216206"/>
    <w:rsid w:val="0021628F"/>
    <w:rsid w:val="002162C4"/>
    <w:rsid w:val="0021635D"/>
    <w:rsid w:val="0021638E"/>
    <w:rsid w:val="00216446"/>
    <w:rsid w:val="002164A6"/>
    <w:rsid w:val="00216525"/>
    <w:rsid w:val="00216613"/>
    <w:rsid w:val="0021661D"/>
    <w:rsid w:val="002167E5"/>
    <w:rsid w:val="0021689E"/>
    <w:rsid w:val="0021690C"/>
    <w:rsid w:val="002169A2"/>
    <w:rsid w:val="002169BF"/>
    <w:rsid w:val="00216BF5"/>
    <w:rsid w:val="00216C1D"/>
    <w:rsid w:val="00216CDE"/>
    <w:rsid w:val="00216D95"/>
    <w:rsid w:val="00216DD6"/>
    <w:rsid w:val="00216E1C"/>
    <w:rsid w:val="00217016"/>
    <w:rsid w:val="002170BD"/>
    <w:rsid w:val="0021712B"/>
    <w:rsid w:val="00217144"/>
    <w:rsid w:val="002171DB"/>
    <w:rsid w:val="00217338"/>
    <w:rsid w:val="0021736B"/>
    <w:rsid w:val="00217679"/>
    <w:rsid w:val="002176CB"/>
    <w:rsid w:val="0021772F"/>
    <w:rsid w:val="0021774C"/>
    <w:rsid w:val="0021775B"/>
    <w:rsid w:val="0021776D"/>
    <w:rsid w:val="002177FD"/>
    <w:rsid w:val="00217852"/>
    <w:rsid w:val="00217866"/>
    <w:rsid w:val="00217976"/>
    <w:rsid w:val="002179B9"/>
    <w:rsid w:val="00217A1A"/>
    <w:rsid w:val="00217A3A"/>
    <w:rsid w:val="00217BD5"/>
    <w:rsid w:val="00217CC4"/>
    <w:rsid w:val="00217E50"/>
    <w:rsid w:val="002200E5"/>
    <w:rsid w:val="0022019E"/>
    <w:rsid w:val="0022020D"/>
    <w:rsid w:val="00220268"/>
    <w:rsid w:val="0022027B"/>
    <w:rsid w:val="002202C6"/>
    <w:rsid w:val="0022030E"/>
    <w:rsid w:val="00220333"/>
    <w:rsid w:val="002203A3"/>
    <w:rsid w:val="002203AF"/>
    <w:rsid w:val="0022049D"/>
    <w:rsid w:val="002204F9"/>
    <w:rsid w:val="002205B9"/>
    <w:rsid w:val="00220769"/>
    <w:rsid w:val="00220772"/>
    <w:rsid w:val="002209B9"/>
    <w:rsid w:val="002209C7"/>
    <w:rsid w:val="00220ABE"/>
    <w:rsid w:val="00220B76"/>
    <w:rsid w:val="00220C1A"/>
    <w:rsid w:val="00220C93"/>
    <w:rsid w:val="00220CDC"/>
    <w:rsid w:val="00220CF9"/>
    <w:rsid w:val="00220D7E"/>
    <w:rsid w:val="00220D89"/>
    <w:rsid w:val="00220E40"/>
    <w:rsid w:val="00220E5F"/>
    <w:rsid w:val="00220EEE"/>
    <w:rsid w:val="00220FE5"/>
    <w:rsid w:val="00221075"/>
    <w:rsid w:val="002210AD"/>
    <w:rsid w:val="0022112B"/>
    <w:rsid w:val="00221196"/>
    <w:rsid w:val="002211C7"/>
    <w:rsid w:val="002211DD"/>
    <w:rsid w:val="00221288"/>
    <w:rsid w:val="0022129D"/>
    <w:rsid w:val="00221393"/>
    <w:rsid w:val="0022146B"/>
    <w:rsid w:val="00221593"/>
    <w:rsid w:val="002215BE"/>
    <w:rsid w:val="00221653"/>
    <w:rsid w:val="0022169B"/>
    <w:rsid w:val="0022170E"/>
    <w:rsid w:val="00221778"/>
    <w:rsid w:val="002217D9"/>
    <w:rsid w:val="00221807"/>
    <w:rsid w:val="0022188B"/>
    <w:rsid w:val="00221916"/>
    <w:rsid w:val="00221928"/>
    <w:rsid w:val="00221965"/>
    <w:rsid w:val="00221AAA"/>
    <w:rsid w:val="00221ACB"/>
    <w:rsid w:val="00221B2E"/>
    <w:rsid w:val="00221B7B"/>
    <w:rsid w:val="00221CD0"/>
    <w:rsid w:val="00221DF3"/>
    <w:rsid w:val="00221EF8"/>
    <w:rsid w:val="00221F04"/>
    <w:rsid w:val="00221F14"/>
    <w:rsid w:val="00221FC5"/>
    <w:rsid w:val="00221FF2"/>
    <w:rsid w:val="00222008"/>
    <w:rsid w:val="0022211C"/>
    <w:rsid w:val="00222132"/>
    <w:rsid w:val="00222134"/>
    <w:rsid w:val="00222208"/>
    <w:rsid w:val="00222663"/>
    <w:rsid w:val="002226FB"/>
    <w:rsid w:val="00222714"/>
    <w:rsid w:val="00222872"/>
    <w:rsid w:val="0022289C"/>
    <w:rsid w:val="002228BD"/>
    <w:rsid w:val="002228BE"/>
    <w:rsid w:val="00222987"/>
    <w:rsid w:val="00222A2A"/>
    <w:rsid w:val="00222A35"/>
    <w:rsid w:val="00222A9F"/>
    <w:rsid w:val="00222AAF"/>
    <w:rsid w:val="00222C26"/>
    <w:rsid w:val="00222C3E"/>
    <w:rsid w:val="00222CEC"/>
    <w:rsid w:val="00222D51"/>
    <w:rsid w:val="00222F0E"/>
    <w:rsid w:val="00223107"/>
    <w:rsid w:val="00223116"/>
    <w:rsid w:val="0022318A"/>
    <w:rsid w:val="0022323A"/>
    <w:rsid w:val="00223267"/>
    <w:rsid w:val="0022329A"/>
    <w:rsid w:val="00223418"/>
    <w:rsid w:val="00223442"/>
    <w:rsid w:val="002234C4"/>
    <w:rsid w:val="0022370F"/>
    <w:rsid w:val="00223763"/>
    <w:rsid w:val="002237AD"/>
    <w:rsid w:val="002237BB"/>
    <w:rsid w:val="00223852"/>
    <w:rsid w:val="00223863"/>
    <w:rsid w:val="002238DC"/>
    <w:rsid w:val="00223937"/>
    <w:rsid w:val="00223BFE"/>
    <w:rsid w:val="00223C7B"/>
    <w:rsid w:val="00223CB0"/>
    <w:rsid w:val="00223D11"/>
    <w:rsid w:val="00223DFF"/>
    <w:rsid w:val="00223E1E"/>
    <w:rsid w:val="00223E83"/>
    <w:rsid w:val="002241AD"/>
    <w:rsid w:val="00224303"/>
    <w:rsid w:val="00224441"/>
    <w:rsid w:val="00224549"/>
    <w:rsid w:val="002245A9"/>
    <w:rsid w:val="0022463A"/>
    <w:rsid w:val="00224658"/>
    <w:rsid w:val="00224692"/>
    <w:rsid w:val="00224693"/>
    <w:rsid w:val="002246C5"/>
    <w:rsid w:val="00224756"/>
    <w:rsid w:val="0022476A"/>
    <w:rsid w:val="00224895"/>
    <w:rsid w:val="00224899"/>
    <w:rsid w:val="0022489E"/>
    <w:rsid w:val="002248B4"/>
    <w:rsid w:val="00224921"/>
    <w:rsid w:val="002249BB"/>
    <w:rsid w:val="00224D30"/>
    <w:rsid w:val="00224E86"/>
    <w:rsid w:val="00224EEA"/>
    <w:rsid w:val="00224EEB"/>
    <w:rsid w:val="00225005"/>
    <w:rsid w:val="00225066"/>
    <w:rsid w:val="002250FB"/>
    <w:rsid w:val="00225247"/>
    <w:rsid w:val="00225289"/>
    <w:rsid w:val="002252EE"/>
    <w:rsid w:val="002252FF"/>
    <w:rsid w:val="00225317"/>
    <w:rsid w:val="00225429"/>
    <w:rsid w:val="002254C8"/>
    <w:rsid w:val="00225574"/>
    <w:rsid w:val="0022563B"/>
    <w:rsid w:val="00225665"/>
    <w:rsid w:val="00225678"/>
    <w:rsid w:val="00225772"/>
    <w:rsid w:val="002257E6"/>
    <w:rsid w:val="002258C3"/>
    <w:rsid w:val="0022592E"/>
    <w:rsid w:val="0022599A"/>
    <w:rsid w:val="00225A70"/>
    <w:rsid w:val="00225A91"/>
    <w:rsid w:val="00225BCB"/>
    <w:rsid w:val="00225C69"/>
    <w:rsid w:val="00225CFB"/>
    <w:rsid w:val="00225E11"/>
    <w:rsid w:val="00225E87"/>
    <w:rsid w:val="00226011"/>
    <w:rsid w:val="0022602B"/>
    <w:rsid w:val="002260D9"/>
    <w:rsid w:val="002260F6"/>
    <w:rsid w:val="00226172"/>
    <w:rsid w:val="00226283"/>
    <w:rsid w:val="00226307"/>
    <w:rsid w:val="002263C7"/>
    <w:rsid w:val="00226481"/>
    <w:rsid w:val="00226483"/>
    <w:rsid w:val="002264B3"/>
    <w:rsid w:val="002264CB"/>
    <w:rsid w:val="0022657B"/>
    <w:rsid w:val="0022668C"/>
    <w:rsid w:val="0022680D"/>
    <w:rsid w:val="00226977"/>
    <w:rsid w:val="0022698E"/>
    <w:rsid w:val="002269CB"/>
    <w:rsid w:val="002269D3"/>
    <w:rsid w:val="002269F4"/>
    <w:rsid w:val="00226A66"/>
    <w:rsid w:val="00226A9C"/>
    <w:rsid w:val="00226C85"/>
    <w:rsid w:val="00226E04"/>
    <w:rsid w:val="00226E52"/>
    <w:rsid w:val="00226E71"/>
    <w:rsid w:val="00226EF9"/>
    <w:rsid w:val="00226F6A"/>
    <w:rsid w:val="00226F87"/>
    <w:rsid w:val="00226FBF"/>
    <w:rsid w:val="00227019"/>
    <w:rsid w:val="002270D3"/>
    <w:rsid w:val="00227172"/>
    <w:rsid w:val="0022718D"/>
    <w:rsid w:val="002271D6"/>
    <w:rsid w:val="00227219"/>
    <w:rsid w:val="002273EF"/>
    <w:rsid w:val="0022750D"/>
    <w:rsid w:val="002275EC"/>
    <w:rsid w:val="00227671"/>
    <w:rsid w:val="0022773F"/>
    <w:rsid w:val="0022779F"/>
    <w:rsid w:val="002277BA"/>
    <w:rsid w:val="00227817"/>
    <w:rsid w:val="002278B9"/>
    <w:rsid w:val="002279C5"/>
    <w:rsid w:val="00227A1E"/>
    <w:rsid w:val="00227A49"/>
    <w:rsid w:val="00227AC1"/>
    <w:rsid w:val="00227C3C"/>
    <w:rsid w:val="00227C3E"/>
    <w:rsid w:val="00227CC4"/>
    <w:rsid w:val="00227CEE"/>
    <w:rsid w:val="00227DDF"/>
    <w:rsid w:val="00227E03"/>
    <w:rsid w:val="00227E9A"/>
    <w:rsid w:val="00227EBD"/>
    <w:rsid w:val="00227EE2"/>
    <w:rsid w:val="00227FEE"/>
    <w:rsid w:val="00230065"/>
    <w:rsid w:val="0023016A"/>
    <w:rsid w:val="002301A6"/>
    <w:rsid w:val="00230213"/>
    <w:rsid w:val="00230251"/>
    <w:rsid w:val="00230364"/>
    <w:rsid w:val="00230496"/>
    <w:rsid w:val="002304AE"/>
    <w:rsid w:val="00230549"/>
    <w:rsid w:val="0023064F"/>
    <w:rsid w:val="00230709"/>
    <w:rsid w:val="00230739"/>
    <w:rsid w:val="00230822"/>
    <w:rsid w:val="00230859"/>
    <w:rsid w:val="00230868"/>
    <w:rsid w:val="0023087E"/>
    <w:rsid w:val="002308FF"/>
    <w:rsid w:val="00230A15"/>
    <w:rsid w:val="00230B15"/>
    <w:rsid w:val="00230B93"/>
    <w:rsid w:val="00230C70"/>
    <w:rsid w:val="00230D09"/>
    <w:rsid w:val="00230D31"/>
    <w:rsid w:val="00230DC8"/>
    <w:rsid w:val="00230FCA"/>
    <w:rsid w:val="00231048"/>
    <w:rsid w:val="00231158"/>
    <w:rsid w:val="0023128C"/>
    <w:rsid w:val="00231325"/>
    <w:rsid w:val="002313C0"/>
    <w:rsid w:val="00231409"/>
    <w:rsid w:val="00231448"/>
    <w:rsid w:val="00231490"/>
    <w:rsid w:val="002314A0"/>
    <w:rsid w:val="002314FA"/>
    <w:rsid w:val="00231614"/>
    <w:rsid w:val="0023174A"/>
    <w:rsid w:val="002317A0"/>
    <w:rsid w:val="00231855"/>
    <w:rsid w:val="002318B4"/>
    <w:rsid w:val="002318C3"/>
    <w:rsid w:val="002318CE"/>
    <w:rsid w:val="002319B4"/>
    <w:rsid w:val="00231AD2"/>
    <w:rsid w:val="00231BCC"/>
    <w:rsid w:val="00231C08"/>
    <w:rsid w:val="00231CC6"/>
    <w:rsid w:val="00231D1C"/>
    <w:rsid w:val="00231DA0"/>
    <w:rsid w:val="00231FC7"/>
    <w:rsid w:val="00231FEE"/>
    <w:rsid w:val="002320E9"/>
    <w:rsid w:val="00232111"/>
    <w:rsid w:val="00232220"/>
    <w:rsid w:val="002322D1"/>
    <w:rsid w:val="002322E8"/>
    <w:rsid w:val="0023235D"/>
    <w:rsid w:val="002323B8"/>
    <w:rsid w:val="00232416"/>
    <w:rsid w:val="0023241C"/>
    <w:rsid w:val="00232475"/>
    <w:rsid w:val="00232590"/>
    <w:rsid w:val="002325D7"/>
    <w:rsid w:val="002325DC"/>
    <w:rsid w:val="00232611"/>
    <w:rsid w:val="00232688"/>
    <w:rsid w:val="002326D4"/>
    <w:rsid w:val="0023276F"/>
    <w:rsid w:val="0023286E"/>
    <w:rsid w:val="00232884"/>
    <w:rsid w:val="00232928"/>
    <w:rsid w:val="0023293B"/>
    <w:rsid w:val="0023297A"/>
    <w:rsid w:val="002329DF"/>
    <w:rsid w:val="00232A5D"/>
    <w:rsid w:val="00232AFD"/>
    <w:rsid w:val="00232C28"/>
    <w:rsid w:val="00232C68"/>
    <w:rsid w:val="00232CA4"/>
    <w:rsid w:val="00232CF0"/>
    <w:rsid w:val="00232E07"/>
    <w:rsid w:val="00232EC9"/>
    <w:rsid w:val="00232F2F"/>
    <w:rsid w:val="00232F33"/>
    <w:rsid w:val="00232FF0"/>
    <w:rsid w:val="002330D9"/>
    <w:rsid w:val="002331FC"/>
    <w:rsid w:val="00233248"/>
    <w:rsid w:val="00233275"/>
    <w:rsid w:val="002333D1"/>
    <w:rsid w:val="00233418"/>
    <w:rsid w:val="002335C1"/>
    <w:rsid w:val="002335CF"/>
    <w:rsid w:val="002337CA"/>
    <w:rsid w:val="002337DC"/>
    <w:rsid w:val="0023380F"/>
    <w:rsid w:val="0023394F"/>
    <w:rsid w:val="002339AF"/>
    <w:rsid w:val="00233A25"/>
    <w:rsid w:val="00233AFF"/>
    <w:rsid w:val="00233BD2"/>
    <w:rsid w:val="00233C22"/>
    <w:rsid w:val="00233D26"/>
    <w:rsid w:val="00233D90"/>
    <w:rsid w:val="00233DD2"/>
    <w:rsid w:val="00233DDB"/>
    <w:rsid w:val="00233DF1"/>
    <w:rsid w:val="00233E59"/>
    <w:rsid w:val="00233E8E"/>
    <w:rsid w:val="00233E96"/>
    <w:rsid w:val="00234013"/>
    <w:rsid w:val="0023401F"/>
    <w:rsid w:val="0023406C"/>
    <w:rsid w:val="0023406D"/>
    <w:rsid w:val="002340A1"/>
    <w:rsid w:val="002341EE"/>
    <w:rsid w:val="00234297"/>
    <w:rsid w:val="002342CD"/>
    <w:rsid w:val="0023431C"/>
    <w:rsid w:val="00234354"/>
    <w:rsid w:val="00234488"/>
    <w:rsid w:val="002344B8"/>
    <w:rsid w:val="00234569"/>
    <w:rsid w:val="002347B7"/>
    <w:rsid w:val="00234834"/>
    <w:rsid w:val="002348EE"/>
    <w:rsid w:val="00234925"/>
    <w:rsid w:val="00234A44"/>
    <w:rsid w:val="00234ACC"/>
    <w:rsid w:val="00234AFA"/>
    <w:rsid w:val="00234C0F"/>
    <w:rsid w:val="00234C19"/>
    <w:rsid w:val="00234C5B"/>
    <w:rsid w:val="00234D10"/>
    <w:rsid w:val="00234D59"/>
    <w:rsid w:val="00234D90"/>
    <w:rsid w:val="00234E3B"/>
    <w:rsid w:val="00234E53"/>
    <w:rsid w:val="00234E7B"/>
    <w:rsid w:val="00234E98"/>
    <w:rsid w:val="00234F37"/>
    <w:rsid w:val="00235087"/>
    <w:rsid w:val="002350EC"/>
    <w:rsid w:val="0023517D"/>
    <w:rsid w:val="002351A5"/>
    <w:rsid w:val="002351B2"/>
    <w:rsid w:val="002351E5"/>
    <w:rsid w:val="00235349"/>
    <w:rsid w:val="002353B3"/>
    <w:rsid w:val="00235419"/>
    <w:rsid w:val="00235474"/>
    <w:rsid w:val="00235497"/>
    <w:rsid w:val="00235559"/>
    <w:rsid w:val="002355E3"/>
    <w:rsid w:val="00235616"/>
    <w:rsid w:val="0023563F"/>
    <w:rsid w:val="00235659"/>
    <w:rsid w:val="002356B3"/>
    <w:rsid w:val="00235701"/>
    <w:rsid w:val="0023574F"/>
    <w:rsid w:val="0023577A"/>
    <w:rsid w:val="002358D8"/>
    <w:rsid w:val="002358E2"/>
    <w:rsid w:val="00235A4C"/>
    <w:rsid w:val="00235A88"/>
    <w:rsid w:val="00235B98"/>
    <w:rsid w:val="00235BB0"/>
    <w:rsid w:val="00235D19"/>
    <w:rsid w:val="00235D8C"/>
    <w:rsid w:val="00235DAF"/>
    <w:rsid w:val="00235DB9"/>
    <w:rsid w:val="00235DE1"/>
    <w:rsid w:val="00235F2D"/>
    <w:rsid w:val="00236008"/>
    <w:rsid w:val="00236046"/>
    <w:rsid w:val="0023618D"/>
    <w:rsid w:val="00236237"/>
    <w:rsid w:val="002362A4"/>
    <w:rsid w:val="00236333"/>
    <w:rsid w:val="00236389"/>
    <w:rsid w:val="002363BB"/>
    <w:rsid w:val="002363D2"/>
    <w:rsid w:val="002364A3"/>
    <w:rsid w:val="0023666C"/>
    <w:rsid w:val="0023667A"/>
    <w:rsid w:val="002366A8"/>
    <w:rsid w:val="00236736"/>
    <w:rsid w:val="002367BE"/>
    <w:rsid w:val="002367C3"/>
    <w:rsid w:val="002367DD"/>
    <w:rsid w:val="00236855"/>
    <w:rsid w:val="00236A6C"/>
    <w:rsid w:val="00236B83"/>
    <w:rsid w:val="00236CAD"/>
    <w:rsid w:val="00236D5E"/>
    <w:rsid w:val="00236DA0"/>
    <w:rsid w:val="00236EA2"/>
    <w:rsid w:val="00237010"/>
    <w:rsid w:val="002370BC"/>
    <w:rsid w:val="002370D7"/>
    <w:rsid w:val="002370E4"/>
    <w:rsid w:val="002370EA"/>
    <w:rsid w:val="0023723C"/>
    <w:rsid w:val="00237259"/>
    <w:rsid w:val="0023727F"/>
    <w:rsid w:val="00237288"/>
    <w:rsid w:val="002372FB"/>
    <w:rsid w:val="00237327"/>
    <w:rsid w:val="002373C4"/>
    <w:rsid w:val="0023743A"/>
    <w:rsid w:val="00237461"/>
    <w:rsid w:val="002374F7"/>
    <w:rsid w:val="002375EB"/>
    <w:rsid w:val="00237646"/>
    <w:rsid w:val="00237664"/>
    <w:rsid w:val="0023767A"/>
    <w:rsid w:val="002376C4"/>
    <w:rsid w:val="00237711"/>
    <w:rsid w:val="002377C4"/>
    <w:rsid w:val="00237839"/>
    <w:rsid w:val="0023785F"/>
    <w:rsid w:val="002379EC"/>
    <w:rsid w:val="00237AAB"/>
    <w:rsid w:val="00237AD8"/>
    <w:rsid w:val="00237B2C"/>
    <w:rsid w:val="00237B99"/>
    <w:rsid w:val="00237BC5"/>
    <w:rsid w:val="00237C9E"/>
    <w:rsid w:val="00237CBB"/>
    <w:rsid w:val="00237CCE"/>
    <w:rsid w:val="00237D58"/>
    <w:rsid w:val="00237DC1"/>
    <w:rsid w:val="00237F36"/>
    <w:rsid w:val="0023878B"/>
    <w:rsid w:val="00239F5B"/>
    <w:rsid w:val="00240098"/>
    <w:rsid w:val="002401AE"/>
    <w:rsid w:val="002401EE"/>
    <w:rsid w:val="0024028C"/>
    <w:rsid w:val="0024032C"/>
    <w:rsid w:val="002403AB"/>
    <w:rsid w:val="0024041C"/>
    <w:rsid w:val="0024041E"/>
    <w:rsid w:val="00240500"/>
    <w:rsid w:val="0024051E"/>
    <w:rsid w:val="00240523"/>
    <w:rsid w:val="0024052B"/>
    <w:rsid w:val="00240569"/>
    <w:rsid w:val="0024056B"/>
    <w:rsid w:val="002405FC"/>
    <w:rsid w:val="0024065B"/>
    <w:rsid w:val="00240821"/>
    <w:rsid w:val="00240864"/>
    <w:rsid w:val="002408F4"/>
    <w:rsid w:val="00240A0F"/>
    <w:rsid w:val="00240AF4"/>
    <w:rsid w:val="00240B14"/>
    <w:rsid w:val="00240BBD"/>
    <w:rsid w:val="00240BD2"/>
    <w:rsid w:val="00240C1E"/>
    <w:rsid w:val="00240C35"/>
    <w:rsid w:val="00240C87"/>
    <w:rsid w:val="00240D00"/>
    <w:rsid w:val="00240DF2"/>
    <w:rsid w:val="00240E37"/>
    <w:rsid w:val="00240E7B"/>
    <w:rsid w:val="00240EB7"/>
    <w:rsid w:val="00240ECE"/>
    <w:rsid w:val="00240F29"/>
    <w:rsid w:val="0024101A"/>
    <w:rsid w:val="00241044"/>
    <w:rsid w:val="0024106B"/>
    <w:rsid w:val="00241127"/>
    <w:rsid w:val="0024113F"/>
    <w:rsid w:val="0024120D"/>
    <w:rsid w:val="00241233"/>
    <w:rsid w:val="002412EC"/>
    <w:rsid w:val="00241306"/>
    <w:rsid w:val="002413D8"/>
    <w:rsid w:val="00241485"/>
    <w:rsid w:val="0024155E"/>
    <w:rsid w:val="0024167B"/>
    <w:rsid w:val="002416CE"/>
    <w:rsid w:val="002417AA"/>
    <w:rsid w:val="00241B57"/>
    <w:rsid w:val="00241B81"/>
    <w:rsid w:val="00241D15"/>
    <w:rsid w:val="00241D75"/>
    <w:rsid w:val="00241D8A"/>
    <w:rsid w:val="00241DD1"/>
    <w:rsid w:val="00241E26"/>
    <w:rsid w:val="00241E29"/>
    <w:rsid w:val="00242003"/>
    <w:rsid w:val="00242048"/>
    <w:rsid w:val="002420A1"/>
    <w:rsid w:val="00242142"/>
    <w:rsid w:val="0024218C"/>
    <w:rsid w:val="002422BB"/>
    <w:rsid w:val="002422BC"/>
    <w:rsid w:val="002422CE"/>
    <w:rsid w:val="002423F7"/>
    <w:rsid w:val="0024248D"/>
    <w:rsid w:val="002424DB"/>
    <w:rsid w:val="00242552"/>
    <w:rsid w:val="002425B6"/>
    <w:rsid w:val="002425C9"/>
    <w:rsid w:val="00242644"/>
    <w:rsid w:val="00242660"/>
    <w:rsid w:val="00242781"/>
    <w:rsid w:val="002427E5"/>
    <w:rsid w:val="002427FE"/>
    <w:rsid w:val="002429AA"/>
    <w:rsid w:val="002429CF"/>
    <w:rsid w:val="002429E8"/>
    <w:rsid w:val="00242C01"/>
    <w:rsid w:val="00242C30"/>
    <w:rsid w:val="00242CCA"/>
    <w:rsid w:val="00242CD0"/>
    <w:rsid w:val="00242CE9"/>
    <w:rsid w:val="00242D4F"/>
    <w:rsid w:val="00242D57"/>
    <w:rsid w:val="00242DC7"/>
    <w:rsid w:val="00242DD5"/>
    <w:rsid w:val="00242F29"/>
    <w:rsid w:val="00242F92"/>
    <w:rsid w:val="002430AA"/>
    <w:rsid w:val="002430B1"/>
    <w:rsid w:val="002430FA"/>
    <w:rsid w:val="0024315F"/>
    <w:rsid w:val="00243174"/>
    <w:rsid w:val="002431F2"/>
    <w:rsid w:val="0024320C"/>
    <w:rsid w:val="00243225"/>
    <w:rsid w:val="00243236"/>
    <w:rsid w:val="0024326D"/>
    <w:rsid w:val="002434FA"/>
    <w:rsid w:val="00243523"/>
    <w:rsid w:val="00243583"/>
    <w:rsid w:val="0024359C"/>
    <w:rsid w:val="002435EE"/>
    <w:rsid w:val="00243608"/>
    <w:rsid w:val="0024362F"/>
    <w:rsid w:val="00243652"/>
    <w:rsid w:val="00243662"/>
    <w:rsid w:val="0024372F"/>
    <w:rsid w:val="00243803"/>
    <w:rsid w:val="002439CB"/>
    <w:rsid w:val="002439E3"/>
    <w:rsid w:val="00243AEE"/>
    <w:rsid w:val="00243B0D"/>
    <w:rsid w:val="00243D30"/>
    <w:rsid w:val="00243FFD"/>
    <w:rsid w:val="0024400E"/>
    <w:rsid w:val="00244017"/>
    <w:rsid w:val="002440E4"/>
    <w:rsid w:val="00244161"/>
    <w:rsid w:val="002441EA"/>
    <w:rsid w:val="00244211"/>
    <w:rsid w:val="00244295"/>
    <w:rsid w:val="002442B6"/>
    <w:rsid w:val="002442CB"/>
    <w:rsid w:val="00244378"/>
    <w:rsid w:val="0024438C"/>
    <w:rsid w:val="0024438E"/>
    <w:rsid w:val="002443E5"/>
    <w:rsid w:val="0024445D"/>
    <w:rsid w:val="002445D6"/>
    <w:rsid w:val="002446B9"/>
    <w:rsid w:val="0024473E"/>
    <w:rsid w:val="002447D0"/>
    <w:rsid w:val="00244895"/>
    <w:rsid w:val="00244A86"/>
    <w:rsid w:val="00244DA7"/>
    <w:rsid w:val="00244E73"/>
    <w:rsid w:val="00244F72"/>
    <w:rsid w:val="00244FC7"/>
    <w:rsid w:val="00244FFF"/>
    <w:rsid w:val="002450A5"/>
    <w:rsid w:val="002451F3"/>
    <w:rsid w:val="00245750"/>
    <w:rsid w:val="00245939"/>
    <w:rsid w:val="00245942"/>
    <w:rsid w:val="00245A0F"/>
    <w:rsid w:val="00245B5B"/>
    <w:rsid w:val="00245B8C"/>
    <w:rsid w:val="00245C31"/>
    <w:rsid w:val="00245C9B"/>
    <w:rsid w:val="00245CAC"/>
    <w:rsid w:val="00245D9C"/>
    <w:rsid w:val="00245E9B"/>
    <w:rsid w:val="00245F4F"/>
    <w:rsid w:val="00245FE0"/>
    <w:rsid w:val="00245FFC"/>
    <w:rsid w:val="00246020"/>
    <w:rsid w:val="00246276"/>
    <w:rsid w:val="0024631E"/>
    <w:rsid w:val="0024633D"/>
    <w:rsid w:val="002465C7"/>
    <w:rsid w:val="002465DE"/>
    <w:rsid w:val="00246682"/>
    <w:rsid w:val="002466C7"/>
    <w:rsid w:val="00246813"/>
    <w:rsid w:val="002468DD"/>
    <w:rsid w:val="00246B0E"/>
    <w:rsid w:val="00246BF2"/>
    <w:rsid w:val="00246E31"/>
    <w:rsid w:val="00246EE2"/>
    <w:rsid w:val="00246FB4"/>
    <w:rsid w:val="002470F4"/>
    <w:rsid w:val="0024712E"/>
    <w:rsid w:val="00247143"/>
    <w:rsid w:val="00247188"/>
    <w:rsid w:val="002473E4"/>
    <w:rsid w:val="0024747B"/>
    <w:rsid w:val="002474AA"/>
    <w:rsid w:val="00247538"/>
    <w:rsid w:val="0024758E"/>
    <w:rsid w:val="002475AD"/>
    <w:rsid w:val="002475AE"/>
    <w:rsid w:val="002475E2"/>
    <w:rsid w:val="002475FD"/>
    <w:rsid w:val="0024762C"/>
    <w:rsid w:val="0024763B"/>
    <w:rsid w:val="0024775E"/>
    <w:rsid w:val="002477C0"/>
    <w:rsid w:val="00247834"/>
    <w:rsid w:val="0024794D"/>
    <w:rsid w:val="00247A71"/>
    <w:rsid w:val="00247AC5"/>
    <w:rsid w:val="00247BE4"/>
    <w:rsid w:val="00247C01"/>
    <w:rsid w:val="00247C37"/>
    <w:rsid w:val="00247C49"/>
    <w:rsid w:val="00247E65"/>
    <w:rsid w:val="00247ECC"/>
    <w:rsid w:val="0024D4C6"/>
    <w:rsid w:val="0024E74A"/>
    <w:rsid w:val="0025000B"/>
    <w:rsid w:val="0025015C"/>
    <w:rsid w:val="002503A3"/>
    <w:rsid w:val="00250451"/>
    <w:rsid w:val="0025048C"/>
    <w:rsid w:val="002504EB"/>
    <w:rsid w:val="002506C1"/>
    <w:rsid w:val="002506D1"/>
    <w:rsid w:val="00250750"/>
    <w:rsid w:val="0025084C"/>
    <w:rsid w:val="0025087C"/>
    <w:rsid w:val="00250992"/>
    <w:rsid w:val="00250B04"/>
    <w:rsid w:val="00250B34"/>
    <w:rsid w:val="00250B72"/>
    <w:rsid w:val="00250B8B"/>
    <w:rsid w:val="00250B93"/>
    <w:rsid w:val="00250BA8"/>
    <w:rsid w:val="00250CE1"/>
    <w:rsid w:val="00250D25"/>
    <w:rsid w:val="00250D48"/>
    <w:rsid w:val="00250D9D"/>
    <w:rsid w:val="00250E13"/>
    <w:rsid w:val="00250E17"/>
    <w:rsid w:val="00250EFB"/>
    <w:rsid w:val="00250F42"/>
    <w:rsid w:val="00251066"/>
    <w:rsid w:val="002510F8"/>
    <w:rsid w:val="00251144"/>
    <w:rsid w:val="00251199"/>
    <w:rsid w:val="00251310"/>
    <w:rsid w:val="0025155F"/>
    <w:rsid w:val="002517C2"/>
    <w:rsid w:val="002517E0"/>
    <w:rsid w:val="00251868"/>
    <w:rsid w:val="00251941"/>
    <w:rsid w:val="00251CFD"/>
    <w:rsid w:val="00251D30"/>
    <w:rsid w:val="00251DA1"/>
    <w:rsid w:val="00251E52"/>
    <w:rsid w:val="00251E7E"/>
    <w:rsid w:val="00251EA4"/>
    <w:rsid w:val="00251EF6"/>
    <w:rsid w:val="00251F8C"/>
    <w:rsid w:val="00252026"/>
    <w:rsid w:val="002520B6"/>
    <w:rsid w:val="002521F0"/>
    <w:rsid w:val="00252257"/>
    <w:rsid w:val="00252310"/>
    <w:rsid w:val="0025237F"/>
    <w:rsid w:val="00252449"/>
    <w:rsid w:val="0025249A"/>
    <w:rsid w:val="002524AB"/>
    <w:rsid w:val="002524DA"/>
    <w:rsid w:val="00252593"/>
    <w:rsid w:val="00252645"/>
    <w:rsid w:val="0025264B"/>
    <w:rsid w:val="0025266F"/>
    <w:rsid w:val="00252691"/>
    <w:rsid w:val="00252736"/>
    <w:rsid w:val="00252846"/>
    <w:rsid w:val="002528CC"/>
    <w:rsid w:val="00252981"/>
    <w:rsid w:val="00252A33"/>
    <w:rsid w:val="00252A4B"/>
    <w:rsid w:val="00252AF3"/>
    <w:rsid w:val="00252B28"/>
    <w:rsid w:val="00252B97"/>
    <w:rsid w:val="00252D0F"/>
    <w:rsid w:val="00252D1F"/>
    <w:rsid w:val="00252DB6"/>
    <w:rsid w:val="00252F00"/>
    <w:rsid w:val="00253011"/>
    <w:rsid w:val="00253099"/>
    <w:rsid w:val="002530C7"/>
    <w:rsid w:val="002530F0"/>
    <w:rsid w:val="00253159"/>
    <w:rsid w:val="002531AB"/>
    <w:rsid w:val="0025326D"/>
    <w:rsid w:val="00253330"/>
    <w:rsid w:val="0025347A"/>
    <w:rsid w:val="002534AD"/>
    <w:rsid w:val="00253505"/>
    <w:rsid w:val="0025358C"/>
    <w:rsid w:val="002535F8"/>
    <w:rsid w:val="0025361A"/>
    <w:rsid w:val="002536AE"/>
    <w:rsid w:val="002536B7"/>
    <w:rsid w:val="0025379E"/>
    <w:rsid w:val="002537A9"/>
    <w:rsid w:val="002538AA"/>
    <w:rsid w:val="002538CC"/>
    <w:rsid w:val="00253951"/>
    <w:rsid w:val="00253A2D"/>
    <w:rsid w:val="00253B45"/>
    <w:rsid w:val="00253B86"/>
    <w:rsid w:val="00253BC4"/>
    <w:rsid w:val="00253CB3"/>
    <w:rsid w:val="00253CBB"/>
    <w:rsid w:val="00253DE4"/>
    <w:rsid w:val="00253E8F"/>
    <w:rsid w:val="00253EF7"/>
    <w:rsid w:val="00253F9A"/>
    <w:rsid w:val="0025405D"/>
    <w:rsid w:val="002540CF"/>
    <w:rsid w:val="002540EF"/>
    <w:rsid w:val="00254105"/>
    <w:rsid w:val="002541A8"/>
    <w:rsid w:val="002542E8"/>
    <w:rsid w:val="00254354"/>
    <w:rsid w:val="002543B5"/>
    <w:rsid w:val="0025447F"/>
    <w:rsid w:val="002545D7"/>
    <w:rsid w:val="002546C6"/>
    <w:rsid w:val="002546E8"/>
    <w:rsid w:val="002546EA"/>
    <w:rsid w:val="002547D1"/>
    <w:rsid w:val="00254809"/>
    <w:rsid w:val="00254878"/>
    <w:rsid w:val="0025489A"/>
    <w:rsid w:val="002548C8"/>
    <w:rsid w:val="0025496F"/>
    <w:rsid w:val="002549B1"/>
    <w:rsid w:val="002549EF"/>
    <w:rsid w:val="002549F4"/>
    <w:rsid w:val="00254B56"/>
    <w:rsid w:val="00254BA3"/>
    <w:rsid w:val="00254C13"/>
    <w:rsid w:val="00254DD2"/>
    <w:rsid w:val="00254E36"/>
    <w:rsid w:val="00254EDB"/>
    <w:rsid w:val="00254FAE"/>
    <w:rsid w:val="00254FC9"/>
    <w:rsid w:val="0025506C"/>
    <w:rsid w:val="002550A7"/>
    <w:rsid w:val="002550B6"/>
    <w:rsid w:val="002550EE"/>
    <w:rsid w:val="00255118"/>
    <w:rsid w:val="00255126"/>
    <w:rsid w:val="00255200"/>
    <w:rsid w:val="0025527C"/>
    <w:rsid w:val="002552A3"/>
    <w:rsid w:val="002552EC"/>
    <w:rsid w:val="00255427"/>
    <w:rsid w:val="002554E3"/>
    <w:rsid w:val="00255648"/>
    <w:rsid w:val="002556CD"/>
    <w:rsid w:val="002556D3"/>
    <w:rsid w:val="002556DD"/>
    <w:rsid w:val="00255795"/>
    <w:rsid w:val="002557CA"/>
    <w:rsid w:val="0025581C"/>
    <w:rsid w:val="002558FC"/>
    <w:rsid w:val="00255926"/>
    <w:rsid w:val="002559D7"/>
    <w:rsid w:val="002559EB"/>
    <w:rsid w:val="00255AA1"/>
    <w:rsid w:val="00255AD9"/>
    <w:rsid w:val="00255C68"/>
    <w:rsid w:val="00255D3A"/>
    <w:rsid w:val="00255EC6"/>
    <w:rsid w:val="00255F6B"/>
    <w:rsid w:val="00255FA1"/>
    <w:rsid w:val="00256016"/>
    <w:rsid w:val="00256035"/>
    <w:rsid w:val="00256213"/>
    <w:rsid w:val="002562A4"/>
    <w:rsid w:val="002562B4"/>
    <w:rsid w:val="002562C4"/>
    <w:rsid w:val="00256325"/>
    <w:rsid w:val="00256339"/>
    <w:rsid w:val="002563F6"/>
    <w:rsid w:val="002564CE"/>
    <w:rsid w:val="002564D1"/>
    <w:rsid w:val="00256565"/>
    <w:rsid w:val="002566F2"/>
    <w:rsid w:val="00256701"/>
    <w:rsid w:val="0025670A"/>
    <w:rsid w:val="00256749"/>
    <w:rsid w:val="0025682A"/>
    <w:rsid w:val="00256992"/>
    <w:rsid w:val="00256A1B"/>
    <w:rsid w:val="00256ABA"/>
    <w:rsid w:val="00256B13"/>
    <w:rsid w:val="00256C7C"/>
    <w:rsid w:val="00256D3D"/>
    <w:rsid w:val="00256D43"/>
    <w:rsid w:val="00256D6A"/>
    <w:rsid w:val="00256D84"/>
    <w:rsid w:val="00256D9A"/>
    <w:rsid w:val="00256DB5"/>
    <w:rsid w:val="00256E8E"/>
    <w:rsid w:val="00256FF5"/>
    <w:rsid w:val="002570FB"/>
    <w:rsid w:val="00257160"/>
    <w:rsid w:val="002571FA"/>
    <w:rsid w:val="0025721A"/>
    <w:rsid w:val="00257299"/>
    <w:rsid w:val="002572AC"/>
    <w:rsid w:val="002572B6"/>
    <w:rsid w:val="00257336"/>
    <w:rsid w:val="0025740A"/>
    <w:rsid w:val="00257426"/>
    <w:rsid w:val="002575F7"/>
    <w:rsid w:val="002576E0"/>
    <w:rsid w:val="00257790"/>
    <w:rsid w:val="0025779A"/>
    <w:rsid w:val="00257897"/>
    <w:rsid w:val="002578FC"/>
    <w:rsid w:val="002579D9"/>
    <w:rsid w:val="00257C01"/>
    <w:rsid w:val="00257D14"/>
    <w:rsid w:val="00257DBF"/>
    <w:rsid w:val="00257DC0"/>
    <w:rsid w:val="00257DEB"/>
    <w:rsid w:val="00257F50"/>
    <w:rsid w:val="00257FB7"/>
    <w:rsid w:val="002601F0"/>
    <w:rsid w:val="00260240"/>
    <w:rsid w:val="002602D3"/>
    <w:rsid w:val="00260382"/>
    <w:rsid w:val="00260426"/>
    <w:rsid w:val="002604AF"/>
    <w:rsid w:val="00260605"/>
    <w:rsid w:val="0026068B"/>
    <w:rsid w:val="00260695"/>
    <w:rsid w:val="002607CE"/>
    <w:rsid w:val="00260844"/>
    <w:rsid w:val="002608F1"/>
    <w:rsid w:val="00260A93"/>
    <w:rsid w:val="00260B11"/>
    <w:rsid w:val="00260BF5"/>
    <w:rsid w:val="00260C5E"/>
    <w:rsid w:val="00260CF5"/>
    <w:rsid w:val="00260D2F"/>
    <w:rsid w:val="00260D32"/>
    <w:rsid w:val="00260D55"/>
    <w:rsid w:val="00260E71"/>
    <w:rsid w:val="00260E83"/>
    <w:rsid w:val="00260F96"/>
    <w:rsid w:val="00260FC3"/>
    <w:rsid w:val="00261113"/>
    <w:rsid w:val="002613D7"/>
    <w:rsid w:val="002614B9"/>
    <w:rsid w:val="00261594"/>
    <w:rsid w:val="0026168E"/>
    <w:rsid w:val="002616C7"/>
    <w:rsid w:val="002616EB"/>
    <w:rsid w:val="002616F6"/>
    <w:rsid w:val="0026178A"/>
    <w:rsid w:val="00261991"/>
    <w:rsid w:val="002619D9"/>
    <w:rsid w:val="00261AC3"/>
    <w:rsid w:val="00261EBA"/>
    <w:rsid w:val="00261EC8"/>
    <w:rsid w:val="00261EF3"/>
    <w:rsid w:val="00261F0E"/>
    <w:rsid w:val="00261F99"/>
    <w:rsid w:val="00261FDE"/>
    <w:rsid w:val="00262142"/>
    <w:rsid w:val="002621C0"/>
    <w:rsid w:val="0026225E"/>
    <w:rsid w:val="00262296"/>
    <w:rsid w:val="002622AB"/>
    <w:rsid w:val="00262399"/>
    <w:rsid w:val="002624C4"/>
    <w:rsid w:val="0026262F"/>
    <w:rsid w:val="0026268C"/>
    <w:rsid w:val="00262773"/>
    <w:rsid w:val="00262809"/>
    <w:rsid w:val="0026283F"/>
    <w:rsid w:val="00262841"/>
    <w:rsid w:val="002629E9"/>
    <w:rsid w:val="00262A4E"/>
    <w:rsid w:val="00262A8E"/>
    <w:rsid w:val="00262ACE"/>
    <w:rsid w:val="00262B07"/>
    <w:rsid w:val="00262B6F"/>
    <w:rsid w:val="00262C56"/>
    <w:rsid w:val="00262CD1"/>
    <w:rsid w:val="00262D10"/>
    <w:rsid w:val="00262D92"/>
    <w:rsid w:val="00262DC3"/>
    <w:rsid w:val="00262E41"/>
    <w:rsid w:val="00262E8C"/>
    <w:rsid w:val="00262E8D"/>
    <w:rsid w:val="00262EB3"/>
    <w:rsid w:val="00262F43"/>
    <w:rsid w:val="00262F57"/>
    <w:rsid w:val="00262FDD"/>
    <w:rsid w:val="0026311B"/>
    <w:rsid w:val="00263194"/>
    <w:rsid w:val="00263252"/>
    <w:rsid w:val="00263262"/>
    <w:rsid w:val="0026326F"/>
    <w:rsid w:val="002632DE"/>
    <w:rsid w:val="0026352B"/>
    <w:rsid w:val="002635AA"/>
    <w:rsid w:val="002635DB"/>
    <w:rsid w:val="002635F5"/>
    <w:rsid w:val="002636B4"/>
    <w:rsid w:val="0026370C"/>
    <w:rsid w:val="002638E7"/>
    <w:rsid w:val="00263904"/>
    <w:rsid w:val="002639FF"/>
    <w:rsid w:val="00263A59"/>
    <w:rsid w:val="00263AE4"/>
    <w:rsid w:val="00263C08"/>
    <w:rsid w:val="00263C60"/>
    <w:rsid w:val="00263CBC"/>
    <w:rsid w:val="00263CCA"/>
    <w:rsid w:val="00263D04"/>
    <w:rsid w:val="00263D1A"/>
    <w:rsid w:val="00263D20"/>
    <w:rsid w:val="00263D24"/>
    <w:rsid w:val="00263EC8"/>
    <w:rsid w:val="00263F45"/>
    <w:rsid w:val="00263F47"/>
    <w:rsid w:val="00263FC4"/>
    <w:rsid w:val="002640E2"/>
    <w:rsid w:val="0026419F"/>
    <w:rsid w:val="002641C5"/>
    <w:rsid w:val="002642E5"/>
    <w:rsid w:val="002642F3"/>
    <w:rsid w:val="00264459"/>
    <w:rsid w:val="0026462C"/>
    <w:rsid w:val="00264675"/>
    <w:rsid w:val="00264740"/>
    <w:rsid w:val="002647AD"/>
    <w:rsid w:val="002647CF"/>
    <w:rsid w:val="00264806"/>
    <w:rsid w:val="00264A78"/>
    <w:rsid w:val="00264AC1"/>
    <w:rsid w:val="00264B32"/>
    <w:rsid w:val="00264B50"/>
    <w:rsid w:val="00264B81"/>
    <w:rsid w:val="00264BD4"/>
    <w:rsid w:val="00264D37"/>
    <w:rsid w:val="00264D91"/>
    <w:rsid w:val="00264DB9"/>
    <w:rsid w:val="00264E29"/>
    <w:rsid w:val="00264E4D"/>
    <w:rsid w:val="00264ECC"/>
    <w:rsid w:val="00264FFB"/>
    <w:rsid w:val="0026505C"/>
    <w:rsid w:val="00265095"/>
    <w:rsid w:val="002650D0"/>
    <w:rsid w:val="00265252"/>
    <w:rsid w:val="00265298"/>
    <w:rsid w:val="0026531F"/>
    <w:rsid w:val="002653A4"/>
    <w:rsid w:val="002654A9"/>
    <w:rsid w:val="002655D9"/>
    <w:rsid w:val="00265734"/>
    <w:rsid w:val="0026574D"/>
    <w:rsid w:val="00265758"/>
    <w:rsid w:val="00265787"/>
    <w:rsid w:val="002658C4"/>
    <w:rsid w:val="0026594C"/>
    <w:rsid w:val="002659CE"/>
    <w:rsid w:val="00265A5C"/>
    <w:rsid w:val="00265AE3"/>
    <w:rsid w:val="00265B26"/>
    <w:rsid w:val="00265BC8"/>
    <w:rsid w:val="00265BE0"/>
    <w:rsid w:val="00265C86"/>
    <w:rsid w:val="00265C94"/>
    <w:rsid w:val="00265CF1"/>
    <w:rsid w:val="00265D7A"/>
    <w:rsid w:val="00265DBB"/>
    <w:rsid w:val="00265DD9"/>
    <w:rsid w:val="00265E4E"/>
    <w:rsid w:val="00265F18"/>
    <w:rsid w:val="00265F82"/>
    <w:rsid w:val="0026607A"/>
    <w:rsid w:val="002662B3"/>
    <w:rsid w:val="00266318"/>
    <w:rsid w:val="002663D0"/>
    <w:rsid w:val="002664BB"/>
    <w:rsid w:val="002664BF"/>
    <w:rsid w:val="002664CB"/>
    <w:rsid w:val="00266645"/>
    <w:rsid w:val="00266659"/>
    <w:rsid w:val="00266707"/>
    <w:rsid w:val="00266845"/>
    <w:rsid w:val="00266888"/>
    <w:rsid w:val="0026690D"/>
    <w:rsid w:val="00266935"/>
    <w:rsid w:val="00266998"/>
    <w:rsid w:val="00266A28"/>
    <w:rsid w:val="00266A3C"/>
    <w:rsid w:val="00266A3E"/>
    <w:rsid w:val="00266DBE"/>
    <w:rsid w:val="00266DFA"/>
    <w:rsid w:val="00266E6E"/>
    <w:rsid w:val="00266E89"/>
    <w:rsid w:val="00266E92"/>
    <w:rsid w:val="00266ECB"/>
    <w:rsid w:val="00266F0B"/>
    <w:rsid w:val="00266F5A"/>
    <w:rsid w:val="00266F8B"/>
    <w:rsid w:val="0026702F"/>
    <w:rsid w:val="002670E4"/>
    <w:rsid w:val="002670FA"/>
    <w:rsid w:val="00267184"/>
    <w:rsid w:val="002671AF"/>
    <w:rsid w:val="002671D2"/>
    <w:rsid w:val="002672BA"/>
    <w:rsid w:val="0026731E"/>
    <w:rsid w:val="002673E8"/>
    <w:rsid w:val="0026742F"/>
    <w:rsid w:val="0026743C"/>
    <w:rsid w:val="002674BA"/>
    <w:rsid w:val="002674DB"/>
    <w:rsid w:val="00267596"/>
    <w:rsid w:val="0026770F"/>
    <w:rsid w:val="00267739"/>
    <w:rsid w:val="0026798D"/>
    <w:rsid w:val="002679FB"/>
    <w:rsid w:val="00267C01"/>
    <w:rsid w:val="00267D5B"/>
    <w:rsid w:val="00267DBA"/>
    <w:rsid w:val="00270066"/>
    <w:rsid w:val="0027012A"/>
    <w:rsid w:val="0027019C"/>
    <w:rsid w:val="002701F0"/>
    <w:rsid w:val="00270232"/>
    <w:rsid w:val="002702A5"/>
    <w:rsid w:val="00270322"/>
    <w:rsid w:val="002703C5"/>
    <w:rsid w:val="0027042E"/>
    <w:rsid w:val="00270495"/>
    <w:rsid w:val="00270517"/>
    <w:rsid w:val="0027051C"/>
    <w:rsid w:val="00270539"/>
    <w:rsid w:val="002705D5"/>
    <w:rsid w:val="00270620"/>
    <w:rsid w:val="00270622"/>
    <w:rsid w:val="00270683"/>
    <w:rsid w:val="00270731"/>
    <w:rsid w:val="00270735"/>
    <w:rsid w:val="00270760"/>
    <w:rsid w:val="00270777"/>
    <w:rsid w:val="002707A0"/>
    <w:rsid w:val="002708EC"/>
    <w:rsid w:val="00270901"/>
    <w:rsid w:val="002709CE"/>
    <w:rsid w:val="002709E2"/>
    <w:rsid w:val="00270B5A"/>
    <w:rsid w:val="00270BA1"/>
    <w:rsid w:val="00270C32"/>
    <w:rsid w:val="00270D11"/>
    <w:rsid w:val="00270D8F"/>
    <w:rsid w:val="00270F38"/>
    <w:rsid w:val="00271200"/>
    <w:rsid w:val="0027134E"/>
    <w:rsid w:val="00271458"/>
    <w:rsid w:val="002714BA"/>
    <w:rsid w:val="002714F0"/>
    <w:rsid w:val="002715B9"/>
    <w:rsid w:val="002715DF"/>
    <w:rsid w:val="00271630"/>
    <w:rsid w:val="00271695"/>
    <w:rsid w:val="00271699"/>
    <w:rsid w:val="002716CD"/>
    <w:rsid w:val="002717A7"/>
    <w:rsid w:val="002717B1"/>
    <w:rsid w:val="0027184D"/>
    <w:rsid w:val="00271874"/>
    <w:rsid w:val="002718BF"/>
    <w:rsid w:val="002719D0"/>
    <w:rsid w:val="002719D8"/>
    <w:rsid w:val="00271A08"/>
    <w:rsid w:val="00271A58"/>
    <w:rsid w:val="00271C6A"/>
    <w:rsid w:val="00271C9B"/>
    <w:rsid w:val="00271CA7"/>
    <w:rsid w:val="00271DD5"/>
    <w:rsid w:val="00271DE3"/>
    <w:rsid w:val="00271DEE"/>
    <w:rsid w:val="00271E1D"/>
    <w:rsid w:val="00271E6E"/>
    <w:rsid w:val="00271E79"/>
    <w:rsid w:val="00271EE3"/>
    <w:rsid w:val="00272073"/>
    <w:rsid w:val="002720A2"/>
    <w:rsid w:val="002720F9"/>
    <w:rsid w:val="002721FF"/>
    <w:rsid w:val="00272328"/>
    <w:rsid w:val="00272339"/>
    <w:rsid w:val="0027239C"/>
    <w:rsid w:val="00272425"/>
    <w:rsid w:val="00272432"/>
    <w:rsid w:val="002724F6"/>
    <w:rsid w:val="002725A5"/>
    <w:rsid w:val="00272673"/>
    <w:rsid w:val="00272726"/>
    <w:rsid w:val="00272871"/>
    <w:rsid w:val="002728AE"/>
    <w:rsid w:val="00272A4A"/>
    <w:rsid w:val="00272A67"/>
    <w:rsid w:val="00272A93"/>
    <w:rsid w:val="00272C05"/>
    <w:rsid w:val="00272C1A"/>
    <w:rsid w:val="00272C37"/>
    <w:rsid w:val="00272C78"/>
    <w:rsid w:val="00272CC8"/>
    <w:rsid w:val="00272E15"/>
    <w:rsid w:val="00272F5E"/>
    <w:rsid w:val="00273029"/>
    <w:rsid w:val="00273059"/>
    <w:rsid w:val="00273064"/>
    <w:rsid w:val="002731AC"/>
    <w:rsid w:val="00273240"/>
    <w:rsid w:val="0027327A"/>
    <w:rsid w:val="002733B9"/>
    <w:rsid w:val="002733E8"/>
    <w:rsid w:val="0027343B"/>
    <w:rsid w:val="002734FC"/>
    <w:rsid w:val="00273693"/>
    <w:rsid w:val="002736C1"/>
    <w:rsid w:val="00273757"/>
    <w:rsid w:val="00273772"/>
    <w:rsid w:val="002737E7"/>
    <w:rsid w:val="0027381E"/>
    <w:rsid w:val="0027387F"/>
    <w:rsid w:val="002738C5"/>
    <w:rsid w:val="002738DD"/>
    <w:rsid w:val="00273981"/>
    <w:rsid w:val="00273999"/>
    <w:rsid w:val="002739EB"/>
    <w:rsid w:val="00273AC1"/>
    <w:rsid w:val="00273BC5"/>
    <w:rsid w:val="00273BC8"/>
    <w:rsid w:val="00273C10"/>
    <w:rsid w:val="00273D1B"/>
    <w:rsid w:val="00273DAD"/>
    <w:rsid w:val="00273E06"/>
    <w:rsid w:val="00273E2A"/>
    <w:rsid w:val="00273E33"/>
    <w:rsid w:val="00273EB9"/>
    <w:rsid w:val="00273ED7"/>
    <w:rsid w:val="00273FC2"/>
    <w:rsid w:val="00274004"/>
    <w:rsid w:val="00274088"/>
    <w:rsid w:val="002740AB"/>
    <w:rsid w:val="002740E8"/>
    <w:rsid w:val="002741FF"/>
    <w:rsid w:val="002742DA"/>
    <w:rsid w:val="0027431E"/>
    <w:rsid w:val="002744C1"/>
    <w:rsid w:val="002745B1"/>
    <w:rsid w:val="002745D7"/>
    <w:rsid w:val="002746A9"/>
    <w:rsid w:val="002746CA"/>
    <w:rsid w:val="0027471C"/>
    <w:rsid w:val="00274749"/>
    <w:rsid w:val="00274800"/>
    <w:rsid w:val="0027484B"/>
    <w:rsid w:val="00274A02"/>
    <w:rsid w:val="00274A1A"/>
    <w:rsid w:val="00274AD5"/>
    <w:rsid w:val="00274B35"/>
    <w:rsid w:val="00274BAE"/>
    <w:rsid w:val="00274BFC"/>
    <w:rsid w:val="00274C7A"/>
    <w:rsid w:val="00274C98"/>
    <w:rsid w:val="00274D12"/>
    <w:rsid w:val="00274D3C"/>
    <w:rsid w:val="00274D59"/>
    <w:rsid w:val="00274D84"/>
    <w:rsid w:val="00274DDE"/>
    <w:rsid w:val="00274E78"/>
    <w:rsid w:val="00274F3E"/>
    <w:rsid w:val="002750FE"/>
    <w:rsid w:val="00275134"/>
    <w:rsid w:val="0027517B"/>
    <w:rsid w:val="00275325"/>
    <w:rsid w:val="00275357"/>
    <w:rsid w:val="002755CE"/>
    <w:rsid w:val="0027566F"/>
    <w:rsid w:val="0027568E"/>
    <w:rsid w:val="002756C4"/>
    <w:rsid w:val="00275744"/>
    <w:rsid w:val="0027575B"/>
    <w:rsid w:val="00275825"/>
    <w:rsid w:val="00275992"/>
    <w:rsid w:val="002759A0"/>
    <w:rsid w:val="002759D1"/>
    <w:rsid w:val="00275BE9"/>
    <w:rsid w:val="00275C30"/>
    <w:rsid w:val="00275CB2"/>
    <w:rsid w:val="00275CDE"/>
    <w:rsid w:val="00275D80"/>
    <w:rsid w:val="00275E36"/>
    <w:rsid w:val="00275E5E"/>
    <w:rsid w:val="00275ED4"/>
    <w:rsid w:val="00276037"/>
    <w:rsid w:val="00276048"/>
    <w:rsid w:val="002760ED"/>
    <w:rsid w:val="00276153"/>
    <w:rsid w:val="00276199"/>
    <w:rsid w:val="002761FA"/>
    <w:rsid w:val="002763EF"/>
    <w:rsid w:val="00276535"/>
    <w:rsid w:val="002767A4"/>
    <w:rsid w:val="0027688E"/>
    <w:rsid w:val="00276B8A"/>
    <w:rsid w:val="00276C96"/>
    <w:rsid w:val="00276D21"/>
    <w:rsid w:val="00276DE5"/>
    <w:rsid w:val="00276DF5"/>
    <w:rsid w:val="00276EC9"/>
    <w:rsid w:val="00277100"/>
    <w:rsid w:val="0027712B"/>
    <w:rsid w:val="00277166"/>
    <w:rsid w:val="00277173"/>
    <w:rsid w:val="002772B0"/>
    <w:rsid w:val="002772E5"/>
    <w:rsid w:val="00277316"/>
    <w:rsid w:val="00277370"/>
    <w:rsid w:val="002773CC"/>
    <w:rsid w:val="002773FD"/>
    <w:rsid w:val="0027745D"/>
    <w:rsid w:val="00277507"/>
    <w:rsid w:val="0027751F"/>
    <w:rsid w:val="002776AA"/>
    <w:rsid w:val="002777DE"/>
    <w:rsid w:val="0027786E"/>
    <w:rsid w:val="00277873"/>
    <w:rsid w:val="00277879"/>
    <w:rsid w:val="00277B26"/>
    <w:rsid w:val="00277BDB"/>
    <w:rsid w:val="00277C20"/>
    <w:rsid w:val="00277DC2"/>
    <w:rsid w:val="00277DDF"/>
    <w:rsid w:val="00277E44"/>
    <w:rsid w:val="00277E9E"/>
    <w:rsid w:val="00277F93"/>
    <w:rsid w:val="0028004E"/>
    <w:rsid w:val="002800F5"/>
    <w:rsid w:val="00280128"/>
    <w:rsid w:val="0028017C"/>
    <w:rsid w:val="00280195"/>
    <w:rsid w:val="00280199"/>
    <w:rsid w:val="002801F3"/>
    <w:rsid w:val="002802BD"/>
    <w:rsid w:val="002802E8"/>
    <w:rsid w:val="00280378"/>
    <w:rsid w:val="002803E7"/>
    <w:rsid w:val="00280509"/>
    <w:rsid w:val="002805CB"/>
    <w:rsid w:val="002805EB"/>
    <w:rsid w:val="00280653"/>
    <w:rsid w:val="002806B9"/>
    <w:rsid w:val="002806C1"/>
    <w:rsid w:val="00280779"/>
    <w:rsid w:val="00280879"/>
    <w:rsid w:val="0028090B"/>
    <w:rsid w:val="00280929"/>
    <w:rsid w:val="00280955"/>
    <w:rsid w:val="00280965"/>
    <w:rsid w:val="002809EA"/>
    <w:rsid w:val="00280A37"/>
    <w:rsid w:val="00280A4E"/>
    <w:rsid w:val="00280A6F"/>
    <w:rsid w:val="00280A8D"/>
    <w:rsid w:val="00280C3B"/>
    <w:rsid w:val="00280C7C"/>
    <w:rsid w:val="00280CFB"/>
    <w:rsid w:val="00280E39"/>
    <w:rsid w:val="00280E78"/>
    <w:rsid w:val="00280F28"/>
    <w:rsid w:val="00280F2B"/>
    <w:rsid w:val="00280F34"/>
    <w:rsid w:val="00280F39"/>
    <w:rsid w:val="00280F90"/>
    <w:rsid w:val="00280FA6"/>
    <w:rsid w:val="00280FB8"/>
    <w:rsid w:val="00281184"/>
    <w:rsid w:val="00281271"/>
    <w:rsid w:val="0028130E"/>
    <w:rsid w:val="002813A7"/>
    <w:rsid w:val="0028151B"/>
    <w:rsid w:val="0028154F"/>
    <w:rsid w:val="002815CE"/>
    <w:rsid w:val="002815E0"/>
    <w:rsid w:val="0028166B"/>
    <w:rsid w:val="00281713"/>
    <w:rsid w:val="00281724"/>
    <w:rsid w:val="00281726"/>
    <w:rsid w:val="0028173A"/>
    <w:rsid w:val="00281893"/>
    <w:rsid w:val="002818B3"/>
    <w:rsid w:val="0028195E"/>
    <w:rsid w:val="00281980"/>
    <w:rsid w:val="002819E0"/>
    <w:rsid w:val="00281AAC"/>
    <w:rsid w:val="00281B85"/>
    <w:rsid w:val="00281BD0"/>
    <w:rsid w:val="00281C5C"/>
    <w:rsid w:val="00281D13"/>
    <w:rsid w:val="00281D24"/>
    <w:rsid w:val="00281D5B"/>
    <w:rsid w:val="00281D86"/>
    <w:rsid w:val="00281E12"/>
    <w:rsid w:val="00281E1F"/>
    <w:rsid w:val="00281E45"/>
    <w:rsid w:val="00281EA0"/>
    <w:rsid w:val="00281EE8"/>
    <w:rsid w:val="00281F01"/>
    <w:rsid w:val="00281F4E"/>
    <w:rsid w:val="00282081"/>
    <w:rsid w:val="00282157"/>
    <w:rsid w:val="0028219D"/>
    <w:rsid w:val="002821F0"/>
    <w:rsid w:val="0028222B"/>
    <w:rsid w:val="00282259"/>
    <w:rsid w:val="00282342"/>
    <w:rsid w:val="0028236F"/>
    <w:rsid w:val="0028242A"/>
    <w:rsid w:val="00282456"/>
    <w:rsid w:val="00282498"/>
    <w:rsid w:val="002824B5"/>
    <w:rsid w:val="00282511"/>
    <w:rsid w:val="002825DD"/>
    <w:rsid w:val="0028261B"/>
    <w:rsid w:val="0028284F"/>
    <w:rsid w:val="00282857"/>
    <w:rsid w:val="002828C6"/>
    <w:rsid w:val="00282965"/>
    <w:rsid w:val="00282A62"/>
    <w:rsid w:val="00282C23"/>
    <w:rsid w:val="00282C7A"/>
    <w:rsid w:val="00282DBE"/>
    <w:rsid w:val="00282EC8"/>
    <w:rsid w:val="00282EE9"/>
    <w:rsid w:val="00282FAA"/>
    <w:rsid w:val="00283173"/>
    <w:rsid w:val="00283194"/>
    <w:rsid w:val="00283281"/>
    <w:rsid w:val="00283288"/>
    <w:rsid w:val="002832A9"/>
    <w:rsid w:val="002832AC"/>
    <w:rsid w:val="00283469"/>
    <w:rsid w:val="00283483"/>
    <w:rsid w:val="00283587"/>
    <w:rsid w:val="0028359E"/>
    <w:rsid w:val="0028361B"/>
    <w:rsid w:val="00283694"/>
    <w:rsid w:val="00283765"/>
    <w:rsid w:val="0028376A"/>
    <w:rsid w:val="002837C3"/>
    <w:rsid w:val="00283802"/>
    <w:rsid w:val="0028380A"/>
    <w:rsid w:val="002838CB"/>
    <w:rsid w:val="0028392F"/>
    <w:rsid w:val="00283939"/>
    <w:rsid w:val="0028395E"/>
    <w:rsid w:val="00283967"/>
    <w:rsid w:val="00283983"/>
    <w:rsid w:val="002839EE"/>
    <w:rsid w:val="002839F6"/>
    <w:rsid w:val="00283C20"/>
    <w:rsid w:val="00283C3F"/>
    <w:rsid w:val="00283C94"/>
    <w:rsid w:val="00283CBC"/>
    <w:rsid w:val="00283D29"/>
    <w:rsid w:val="00283D63"/>
    <w:rsid w:val="00283DED"/>
    <w:rsid w:val="00283E52"/>
    <w:rsid w:val="00283F13"/>
    <w:rsid w:val="00283F98"/>
    <w:rsid w:val="00284015"/>
    <w:rsid w:val="002840B7"/>
    <w:rsid w:val="00284161"/>
    <w:rsid w:val="002843A9"/>
    <w:rsid w:val="002843D7"/>
    <w:rsid w:val="00284693"/>
    <w:rsid w:val="0028476F"/>
    <w:rsid w:val="00284793"/>
    <w:rsid w:val="00284865"/>
    <w:rsid w:val="002848C1"/>
    <w:rsid w:val="002848D1"/>
    <w:rsid w:val="002848E0"/>
    <w:rsid w:val="0028495B"/>
    <w:rsid w:val="002849E0"/>
    <w:rsid w:val="00284A6A"/>
    <w:rsid w:val="00284A8C"/>
    <w:rsid w:val="00284AF4"/>
    <w:rsid w:val="00284B21"/>
    <w:rsid w:val="00284BA5"/>
    <w:rsid w:val="00284BBC"/>
    <w:rsid w:val="00284BC6"/>
    <w:rsid w:val="00284C92"/>
    <w:rsid w:val="00284D2C"/>
    <w:rsid w:val="00284E10"/>
    <w:rsid w:val="00285025"/>
    <w:rsid w:val="00285101"/>
    <w:rsid w:val="002851C9"/>
    <w:rsid w:val="0028523A"/>
    <w:rsid w:val="0028523B"/>
    <w:rsid w:val="00285257"/>
    <w:rsid w:val="002852C5"/>
    <w:rsid w:val="002853D2"/>
    <w:rsid w:val="0028540A"/>
    <w:rsid w:val="00285474"/>
    <w:rsid w:val="002854CF"/>
    <w:rsid w:val="0028553C"/>
    <w:rsid w:val="00285662"/>
    <w:rsid w:val="0028572C"/>
    <w:rsid w:val="0028578B"/>
    <w:rsid w:val="002857CD"/>
    <w:rsid w:val="00285A80"/>
    <w:rsid w:val="00285BD8"/>
    <w:rsid w:val="00285D08"/>
    <w:rsid w:val="00285D23"/>
    <w:rsid w:val="00285D64"/>
    <w:rsid w:val="00285F67"/>
    <w:rsid w:val="00286052"/>
    <w:rsid w:val="0028607E"/>
    <w:rsid w:val="002861B3"/>
    <w:rsid w:val="002861C6"/>
    <w:rsid w:val="00286244"/>
    <w:rsid w:val="0028632F"/>
    <w:rsid w:val="0028637A"/>
    <w:rsid w:val="0028638F"/>
    <w:rsid w:val="0028639A"/>
    <w:rsid w:val="002863FE"/>
    <w:rsid w:val="00286450"/>
    <w:rsid w:val="00286451"/>
    <w:rsid w:val="00286458"/>
    <w:rsid w:val="002864BA"/>
    <w:rsid w:val="00286652"/>
    <w:rsid w:val="0028670A"/>
    <w:rsid w:val="00286804"/>
    <w:rsid w:val="002868E7"/>
    <w:rsid w:val="002869C0"/>
    <w:rsid w:val="00286A3C"/>
    <w:rsid w:val="00286A6C"/>
    <w:rsid w:val="00286A84"/>
    <w:rsid w:val="00286AEF"/>
    <w:rsid w:val="00286B57"/>
    <w:rsid w:val="00286BC9"/>
    <w:rsid w:val="00286CAD"/>
    <w:rsid w:val="00286CBB"/>
    <w:rsid w:val="00286CF0"/>
    <w:rsid w:val="00286DC6"/>
    <w:rsid w:val="00286E82"/>
    <w:rsid w:val="00286FBF"/>
    <w:rsid w:val="0028703E"/>
    <w:rsid w:val="00287067"/>
    <w:rsid w:val="00287142"/>
    <w:rsid w:val="0028718A"/>
    <w:rsid w:val="00287290"/>
    <w:rsid w:val="00287333"/>
    <w:rsid w:val="002873A7"/>
    <w:rsid w:val="00287438"/>
    <w:rsid w:val="0028748B"/>
    <w:rsid w:val="002874A5"/>
    <w:rsid w:val="00287516"/>
    <w:rsid w:val="002875F1"/>
    <w:rsid w:val="002877AE"/>
    <w:rsid w:val="00287927"/>
    <w:rsid w:val="00287A3D"/>
    <w:rsid w:val="00287A99"/>
    <w:rsid w:val="00287ABD"/>
    <w:rsid w:val="00287AE3"/>
    <w:rsid w:val="00287AE8"/>
    <w:rsid w:val="00287B0A"/>
    <w:rsid w:val="00287BF2"/>
    <w:rsid w:val="00287C13"/>
    <w:rsid w:val="00287C96"/>
    <w:rsid w:val="00287DC3"/>
    <w:rsid w:val="00287E02"/>
    <w:rsid w:val="00287EA1"/>
    <w:rsid w:val="0028E46A"/>
    <w:rsid w:val="0028ED8E"/>
    <w:rsid w:val="0028FEA3"/>
    <w:rsid w:val="00290010"/>
    <w:rsid w:val="0029009C"/>
    <w:rsid w:val="002900E7"/>
    <w:rsid w:val="00290101"/>
    <w:rsid w:val="002902F3"/>
    <w:rsid w:val="002903B5"/>
    <w:rsid w:val="002903D8"/>
    <w:rsid w:val="00290511"/>
    <w:rsid w:val="00290562"/>
    <w:rsid w:val="002905BE"/>
    <w:rsid w:val="002905F5"/>
    <w:rsid w:val="00290652"/>
    <w:rsid w:val="00290861"/>
    <w:rsid w:val="00290873"/>
    <w:rsid w:val="002908D7"/>
    <w:rsid w:val="00290912"/>
    <w:rsid w:val="0029095F"/>
    <w:rsid w:val="00290985"/>
    <w:rsid w:val="002909E8"/>
    <w:rsid w:val="00290A09"/>
    <w:rsid w:val="00290B9C"/>
    <w:rsid w:val="00290C77"/>
    <w:rsid w:val="00290CB0"/>
    <w:rsid w:val="00290E07"/>
    <w:rsid w:val="00290E50"/>
    <w:rsid w:val="00290F72"/>
    <w:rsid w:val="00290F99"/>
    <w:rsid w:val="00290FB0"/>
    <w:rsid w:val="00290FC3"/>
    <w:rsid w:val="00291005"/>
    <w:rsid w:val="002910B0"/>
    <w:rsid w:val="00291153"/>
    <w:rsid w:val="002912D0"/>
    <w:rsid w:val="002912D3"/>
    <w:rsid w:val="002912EA"/>
    <w:rsid w:val="002913C3"/>
    <w:rsid w:val="002913C9"/>
    <w:rsid w:val="00291528"/>
    <w:rsid w:val="00291665"/>
    <w:rsid w:val="0029169D"/>
    <w:rsid w:val="002916A1"/>
    <w:rsid w:val="00291723"/>
    <w:rsid w:val="0029185E"/>
    <w:rsid w:val="00291A25"/>
    <w:rsid w:val="00291A3E"/>
    <w:rsid w:val="00291A5C"/>
    <w:rsid w:val="00291F43"/>
    <w:rsid w:val="0029201E"/>
    <w:rsid w:val="0029208F"/>
    <w:rsid w:val="002920DC"/>
    <w:rsid w:val="00292283"/>
    <w:rsid w:val="00292347"/>
    <w:rsid w:val="00292389"/>
    <w:rsid w:val="00292467"/>
    <w:rsid w:val="00292517"/>
    <w:rsid w:val="00292588"/>
    <w:rsid w:val="002925BA"/>
    <w:rsid w:val="0029268D"/>
    <w:rsid w:val="0029289A"/>
    <w:rsid w:val="002928A5"/>
    <w:rsid w:val="002928F2"/>
    <w:rsid w:val="00292964"/>
    <w:rsid w:val="00292A16"/>
    <w:rsid w:val="00292BF5"/>
    <w:rsid w:val="00292C52"/>
    <w:rsid w:val="00292CFC"/>
    <w:rsid w:val="00292D07"/>
    <w:rsid w:val="00292E4F"/>
    <w:rsid w:val="00292E97"/>
    <w:rsid w:val="00292EA6"/>
    <w:rsid w:val="00292EBA"/>
    <w:rsid w:val="00293115"/>
    <w:rsid w:val="002931C2"/>
    <w:rsid w:val="002931CC"/>
    <w:rsid w:val="00293214"/>
    <w:rsid w:val="00293246"/>
    <w:rsid w:val="00293271"/>
    <w:rsid w:val="0029338C"/>
    <w:rsid w:val="00293464"/>
    <w:rsid w:val="002934B9"/>
    <w:rsid w:val="002934CF"/>
    <w:rsid w:val="002936E2"/>
    <w:rsid w:val="0029370F"/>
    <w:rsid w:val="0029379E"/>
    <w:rsid w:val="002937DD"/>
    <w:rsid w:val="00293862"/>
    <w:rsid w:val="002938E1"/>
    <w:rsid w:val="00293974"/>
    <w:rsid w:val="00293A71"/>
    <w:rsid w:val="00293CBE"/>
    <w:rsid w:val="00293D2A"/>
    <w:rsid w:val="00293D39"/>
    <w:rsid w:val="00293E1C"/>
    <w:rsid w:val="00293E2B"/>
    <w:rsid w:val="00293E82"/>
    <w:rsid w:val="00293F2F"/>
    <w:rsid w:val="00293FA8"/>
    <w:rsid w:val="00293FB6"/>
    <w:rsid w:val="00293FF2"/>
    <w:rsid w:val="002941F7"/>
    <w:rsid w:val="00294206"/>
    <w:rsid w:val="002942A6"/>
    <w:rsid w:val="002942B3"/>
    <w:rsid w:val="00294439"/>
    <w:rsid w:val="002944A5"/>
    <w:rsid w:val="00294598"/>
    <w:rsid w:val="002946F7"/>
    <w:rsid w:val="002947EE"/>
    <w:rsid w:val="002948A1"/>
    <w:rsid w:val="002948E8"/>
    <w:rsid w:val="00294923"/>
    <w:rsid w:val="00294982"/>
    <w:rsid w:val="00294AD1"/>
    <w:rsid w:val="00294D50"/>
    <w:rsid w:val="00294D57"/>
    <w:rsid w:val="00294DB9"/>
    <w:rsid w:val="00294DFF"/>
    <w:rsid w:val="00295022"/>
    <w:rsid w:val="00295079"/>
    <w:rsid w:val="002950E7"/>
    <w:rsid w:val="002950EA"/>
    <w:rsid w:val="00295112"/>
    <w:rsid w:val="002952D6"/>
    <w:rsid w:val="0029536D"/>
    <w:rsid w:val="0029545A"/>
    <w:rsid w:val="002954DC"/>
    <w:rsid w:val="002955DD"/>
    <w:rsid w:val="002956A1"/>
    <w:rsid w:val="002956BD"/>
    <w:rsid w:val="002957C1"/>
    <w:rsid w:val="00295862"/>
    <w:rsid w:val="0029586F"/>
    <w:rsid w:val="002958F1"/>
    <w:rsid w:val="00295AB5"/>
    <w:rsid w:val="00295AEA"/>
    <w:rsid w:val="00295B03"/>
    <w:rsid w:val="00295B8B"/>
    <w:rsid w:val="00295BD2"/>
    <w:rsid w:val="00295BFE"/>
    <w:rsid w:val="00295C1D"/>
    <w:rsid w:val="00295D4C"/>
    <w:rsid w:val="00295D79"/>
    <w:rsid w:val="00295DAE"/>
    <w:rsid w:val="00295F33"/>
    <w:rsid w:val="00295F48"/>
    <w:rsid w:val="00295F7B"/>
    <w:rsid w:val="00295F8F"/>
    <w:rsid w:val="00295FA7"/>
    <w:rsid w:val="0029603C"/>
    <w:rsid w:val="00296124"/>
    <w:rsid w:val="0029612C"/>
    <w:rsid w:val="002961D2"/>
    <w:rsid w:val="002961D6"/>
    <w:rsid w:val="00296205"/>
    <w:rsid w:val="00296261"/>
    <w:rsid w:val="002962ED"/>
    <w:rsid w:val="002963DF"/>
    <w:rsid w:val="002963FB"/>
    <w:rsid w:val="00296517"/>
    <w:rsid w:val="0029655B"/>
    <w:rsid w:val="002965A2"/>
    <w:rsid w:val="002965EF"/>
    <w:rsid w:val="002966D5"/>
    <w:rsid w:val="00296805"/>
    <w:rsid w:val="00296809"/>
    <w:rsid w:val="00296841"/>
    <w:rsid w:val="002968DF"/>
    <w:rsid w:val="0029697B"/>
    <w:rsid w:val="00296A39"/>
    <w:rsid w:val="00296A66"/>
    <w:rsid w:val="00296B0F"/>
    <w:rsid w:val="00296B77"/>
    <w:rsid w:val="00296C5C"/>
    <w:rsid w:val="00296DB8"/>
    <w:rsid w:val="00296DE8"/>
    <w:rsid w:val="00296F02"/>
    <w:rsid w:val="00296F8F"/>
    <w:rsid w:val="00296FE6"/>
    <w:rsid w:val="0029703B"/>
    <w:rsid w:val="002971ED"/>
    <w:rsid w:val="002971F8"/>
    <w:rsid w:val="0029723F"/>
    <w:rsid w:val="00297415"/>
    <w:rsid w:val="002975FB"/>
    <w:rsid w:val="002976D3"/>
    <w:rsid w:val="002976EC"/>
    <w:rsid w:val="0029770C"/>
    <w:rsid w:val="00297726"/>
    <w:rsid w:val="002977BE"/>
    <w:rsid w:val="002978EE"/>
    <w:rsid w:val="00297905"/>
    <w:rsid w:val="00297A5F"/>
    <w:rsid w:val="00297A62"/>
    <w:rsid w:val="00297AEF"/>
    <w:rsid w:val="00297B97"/>
    <w:rsid w:val="00297ED2"/>
    <w:rsid w:val="00297FB6"/>
    <w:rsid w:val="002A010B"/>
    <w:rsid w:val="002A0156"/>
    <w:rsid w:val="002A01D7"/>
    <w:rsid w:val="002A0257"/>
    <w:rsid w:val="002A030E"/>
    <w:rsid w:val="002A03A1"/>
    <w:rsid w:val="002A03A7"/>
    <w:rsid w:val="002A0490"/>
    <w:rsid w:val="002A04CD"/>
    <w:rsid w:val="002A052C"/>
    <w:rsid w:val="002A05B7"/>
    <w:rsid w:val="002A05F8"/>
    <w:rsid w:val="002A06DD"/>
    <w:rsid w:val="002A08FF"/>
    <w:rsid w:val="002A0A3C"/>
    <w:rsid w:val="002A0B15"/>
    <w:rsid w:val="002A0B79"/>
    <w:rsid w:val="002A0C42"/>
    <w:rsid w:val="002A0C49"/>
    <w:rsid w:val="002A0C53"/>
    <w:rsid w:val="002A0DED"/>
    <w:rsid w:val="002A0E02"/>
    <w:rsid w:val="002A0EFE"/>
    <w:rsid w:val="002A0F8F"/>
    <w:rsid w:val="002A110C"/>
    <w:rsid w:val="002A12E4"/>
    <w:rsid w:val="002A1363"/>
    <w:rsid w:val="002A14A9"/>
    <w:rsid w:val="002A1510"/>
    <w:rsid w:val="002A153A"/>
    <w:rsid w:val="002A1562"/>
    <w:rsid w:val="002A1617"/>
    <w:rsid w:val="002A1673"/>
    <w:rsid w:val="002A168C"/>
    <w:rsid w:val="002A16CF"/>
    <w:rsid w:val="002A1780"/>
    <w:rsid w:val="002A1858"/>
    <w:rsid w:val="002A1898"/>
    <w:rsid w:val="002A18A9"/>
    <w:rsid w:val="002A196F"/>
    <w:rsid w:val="002A1977"/>
    <w:rsid w:val="002A19C6"/>
    <w:rsid w:val="002A19CB"/>
    <w:rsid w:val="002A19F4"/>
    <w:rsid w:val="002A1B52"/>
    <w:rsid w:val="002A1BC3"/>
    <w:rsid w:val="002A1C90"/>
    <w:rsid w:val="002A1CB2"/>
    <w:rsid w:val="002A1D9F"/>
    <w:rsid w:val="002A1E27"/>
    <w:rsid w:val="002A1E75"/>
    <w:rsid w:val="002A1E7F"/>
    <w:rsid w:val="002A1E80"/>
    <w:rsid w:val="002A1EE5"/>
    <w:rsid w:val="002A1F5E"/>
    <w:rsid w:val="002A1FB7"/>
    <w:rsid w:val="002A2039"/>
    <w:rsid w:val="002A2060"/>
    <w:rsid w:val="002A2160"/>
    <w:rsid w:val="002A217C"/>
    <w:rsid w:val="002A2232"/>
    <w:rsid w:val="002A224B"/>
    <w:rsid w:val="002A22D6"/>
    <w:rsid w:val="002A2515"/>
    <w:rsid w:val="002A25BF"/>
    <w:rsid w:val="002A262A"/>
    <w:rsid w:val="002A26F6"/>
    <w:rsid w:val="002A284D"/>
    <w:rsid w:val="002A2861"/>
    <w:rsid w:val="002A2875"/>
    <w:rsid w:val="002A28C4"/>
    <w:rsid w:val="002A28C6"/>
    <w:rsid w:val="002A292A"/>
    <w:rsid w:val="002A29D6"/>
    <w:rsid w:val="002A2A14"/>
    <w:rsid w:val="002A2AC6"/>
    <w:rsid w:val="002A2AD6"/>
    <w:rsid w:val="002A2B0C"/>
    <w:rsid w:val="002A2C1F"/>
    <w:rsid w:val="002A2D9C"/>
    <w:rsid w:val="002A2DAD"/>
    <w:rsid w:val="002A2DB8"/>
    <w:rsid w:val="002A2DBF"/>
    <w:rsid w:val="002A2F3F"/>
    <w:rsid w:val="002A30A2"/>
    <w:rsid w:val="002A311A"/>
    <w:rsid w:val="002A3292"/>
    <w:rsid w:val="002A32FD"/>
    <w:rsid w:val="002A3331"/>
    <w:rsid w:val="002A337E"/>
    <w:rsid w:val="002A33AA"/>
    <w:rsid w:val="002A347D"/>
    <w:rsid w:val="002A34B5"/>
    <w:rsid w:val="002A34D6"/>
    <w:rsid w:val="002A351A"/>
    <w:rsid w:val="002A3566"/>
    <w:rsid w:val="002A357B"/>
    <w:rsid w:val="002A360F"/>
    <w:rsid w:val="002A3625"/>
    <w:rsid w:val="002A3629"/>
    <w:rsid w:val="002A3648"/>
    <w:rsid w:val="002A365C"/>
    <w:rsid w:val="002A370C"/>
    <w:rsid w:val="002A37D3"/>
    <w:rsid w:val="002A37D5"/>
    <w:rsid w:val="002A3883"/>
    <w:rsid w:val="002A3957"/>
    <w:rsid w:val="002A39B1"/>
    <w:rsid w:val="002A39EE"/>
    <w:rsid w:val="002A39F5"/>
    <w:rsid w:val="002A3AA8"/>
    <w:rsid w:val="002A3B8C"/>
    <w:rsid w:val="002A3BAD"/>
    <w:rsid w:val="002A3C32"/>
    <w:rsid w:val="002A3CC9"/>
    <w:rsid w:val="002A3F99"/>
    <w:rsid w:val="002A4061"/>
    <w:rsid w:val="002A412F"/>
    <w:rsid w:val="002A414B"/>
    <w:rsid w:val="002A4166"/>
    <w:rsid w:val="002A41FF"/>
    <w:rsid w:val="002A4221"/>
    <w:rsid w:val="002A42F0"/>
    <w:rsid w:val="002A42F9"/>
    <w:rsid w:val="002A446C"/>
    <w:rsid w:val="002A44C7"/>
    <w:rsid w:val="002A44FC"/>
    <w:rsid w:val="002A450D"/>
    <w:rsid w:val="002A45EE"/>
    <w:rsid w:val="002A4973"/>
    <w:rsid w:val="002A4981"/>
    <w:rsid w:val="002A4990"/>
    <w:rsid w:val="002A4998"/>
    <w:rsid w:val="002A49D2"/>
    <w:rsid w:val="002A4A53"/>
    <w:rsid w:val="002A4A67"/>
    <w:rsid w:val="002A4B83"/>
    <w:rsid w:val="002A4BF4"/>
    <w:rsid w:val="002A4C33"/>
    <w:rsid w:val="002A4D53"/>
    <w:rsid w:val="002A4DEB"/>
    <w:rsid w:val="002A4F06"/>
    <w:rsid w:val="002A4F3E"/>
    <w:rsid w:val="002A4FCE"/>
    <w:rsid w:val="002A5001"/>
    <w:rsid w:val="002A5093"/>
    <w:rsid w:val="002A50E4"/>
    <w:rsid w:val="002A514B"/>
    <w:rsid w:val="002A51CC"/>
    <w:rsid w:val="002A52AF"/>
    <w:rsid w:val="002A5343"/>
    <w:rsid w:val="002A5399"/>
    <w:rsid w:val="002A53AD"/>
    <w:rsid w:val="002A5682"/>
    <w:rsid w:val="002A56CD"/>
    <w:rsid w:val="002A587E"/>
    <w:rsid w:val="002A596F"/>
    <w:rsid w:val="002A59A2"/>
    <w:rsid w:val="002A59CF"/>
    <w:rsid w:val="002A5A7C"/>
    <w:rsid w:val="002A5A7F"/>
    <w:rsid w:val="002A5A93"/>
    <w:rsid w:val="002A5B39"/>
    <w:rsid w:val="002A5BCA"/>
    <w:rsid w:val="002A5C01"/>
    <w:rsid w:val="002A5CB4"/>
    <w:rsid w:val="002A5D21"/>
    <w:rsid w:val="002A5D9B"/>
    <w:rsid w:val="002A5DA4"/>
    <w:rsid w:val="002A5E48"/>
    <w:rsid w:val="002A5F54"/>
    <w:rsid w:val="002A6023"/>
    <w:rsid w:val="002A60F9"/>
    <w:rsid w:val="002A61D3"/>
    <w:rsid w:val="002A62EC"/>
    <w:rsid w:val="002A630A"/>
    <w:rsid w:val="002A6425"/>
    <w:rsid w:val="002A663A"/>
    <w:rsid w:val="002A66CC"/>
    <w:rsid w:val="002A677C"/>
    <w:rsid w:val="002A6856"/>
    <w:rsid w:val="002A6A54"/>
    <w:rsid w:val="002A6AAC"/>
    <w:rsid w:val="002A6B2E"/>
    <w:rsid w:val="002A6CB9"/>
    <w:rsid w:val="002A6D2E"/>
    <w:rsid w:val="002A6E28"/>
    <w:rsid w:val="002A6E71"/>
    <w:rsid w:val="002A6F10"/>
    <w:rsid w:val="002A6F3C"/>
    <w:rsid w:val="002A6F7A"/>
    <w:rsid w:val="002A6F9C"/>
    <w:rsid w:val="002A7087"/>
    <w:rsid w:val="002A713F"/>
    <w:rsid w:val="002A72AC"/>
    <w:rsid w:val="002A72E1"/>
    <w:rsid w:val="002A73AB"/>
    <w:rsid w:val="002A746D"/>
    <w:rsid w:val="002A75C5"/>
    <w:rsid w:val="002A7646"/>
    <w:rsid w:val="002A76C0"/>
    <w:rsid w:val="002A771B"/>
    <w:rsid w:val="002A78E3"/>
    <w:rsid w:val="002A7919"/>
    <w:rsid w:val="002A79F2"/>
    <w:rsid w:val="002A7A3F"/>
    <w:rsid w:val="002A7A89"/>
    <w:rsid w:val="002A7AF3"/>
    <w:rsid w:val="002A7B04"/>
    <w:rsid w:val="002A7B36"/>
    <w:rsid w:val="002A7B5B"/>
    <w:rsid w:val="002A7C74"/>
    <w:rsid w:val="002A7CBF"/>
    <w:rsid w:val="002A7CDE"/>
    <w:rsid w:val="002A7DA5"/>
    <w:rsid w:val="002A7DBD"/>
    <w:rsid w:val="002A7DDA"/>
    <w:rsid w:val="002A7E0A"/>
    <w:rsid w:val="002A7EC7"/>
    <w:rsid w:val="002A7F66"/>
    <w:rsid w:val="002A7FB8"/>
    <w:rsid w:val="002A8775"/>
    <w:rsid w:val="002AB6AC"/>
    <w:rsid w:val="002ADE97"/>
    <w:rsid w:val="002AFD22"/>
    <w:rsid w:val="002B026F"/>
    <w:rsid w:val="002B02DD"/>
    <w:rsid w:val="002B035C"/>
    <w:rsid w:val="002B037A"/>
    <w:rsid w:val="002B03A1"/>
    <w:rsid w:val="002B041A"/>
    <w:rsid w:val="002B04A0"/>
    <w:rsid w:val="002B07CD"/>
    <w:rsid w:val="002B0866"/>
    <w:rsid w:val="002B09E1"/>
    <w:rsid w:val="002B0AE9"/>
    <w:rsid w:val="002B0B25"/>
    <w:rsid w:val="002B0C6F"/>
    <w:rsid w:val="002B0C85"/>
    <w:rsid w:val="002B0DD4"/>
    <w:rsid w:val="002B0DD6"/>
    <w:rsid w:val="002B0E16"/>
    <w:rsid w:val="002B0F10"/>
    <w:rsid w:val="002B1089"/>
    <w:rsid w:val="002B11B1"/>
    <w:rsid w:val="002B11B6"/>
    <w:rsid w:val="002B11DE"/>
    <w:rsid w:val="002B1253"/>
    <w:rsid w:val="002B126F"/>
    <w:rsid w:val="002B1663"/>
    <w:rsid w:val="002B1751"/>
    <w:rsid w:val="002B18EB"/>
    <w:rsid w:val="002B18FC"/>
    <w:rsid w:val="002B192C"/>
    <w:rsid w:val="002B1987"/>
    <w:rsid w:val="002B199C"/>
    <w:rsid w:val="002B19E6"/>
    <w:rsid w:val="002B1A6E"/>
    <w:rsid w:val="002B1AD1"/>
    <w:rsid w:val="002B1B85"/>
    <w:rsid w:val="002B1C1C"/>
    <w:rsid w:val="002B1C26"/>
    <w:rsid w:val="002B1C6E"/>
    <w:rsid w:val="002B1CA7"/>
    <w:rsid w:val="002B1CC4"/>
    <w:rsid w:val="002B1CEB"/>
    <w:rsid w:val="002B1CF1"/>
    <w:rsid w:val="002B1CFE"/>
    <w:rsid w:val="002B1D14"/>
    <w:rsid w:val="002B1D15"/>
    <w:rsid w:val="002B1DD0"/>
    <w:rsid w:val="002B1E85"/>
    <w:rsid w:val="002B1EA1"/>
    <w:rsid w:val="002B1ED5"/>
    <w:rsid w:val="002B1F64"/>
    <w:rsid w:val="002B22B3"/>
    <w:rsid w:val="002B22DD"/>
    <w:rsid w:val="002B22F2"/>
    <w:rsid w:val="002B23FB"/>
    <w:rsid w:val="002B24D2"/>
    <w:rsid w:val="002B2618"/>
    <w:rsid w:val="002B261A"/>
    <w:rsid w:val="002B266E"/>
    <w:rsid w:val="002B267F"/>
    <w:rsid w:val="002B2728"/>
    <w:rsid w:val="002B2838"/>
    <w:rsid w:val="002B286D"/>
    <w:rsid w:val="002B288B"/>
    <w:rsid w:val="002B2932"/>
    <w:rsid w:val="002B295F"/>
    <w:rsid w:val="002B2991"/>
    <w:rsid w:val="002B29CF"/>
    <w:rsid w:val="002B2AF7"/>
    <w:rsid w:val="002B2BE6"/>
    <w:rsid w:val="002B2C9C"/>
    <w:rsid w:val="002B2DA0"/>
    <w:rsid w:val="002B2E14"/>
    <w:rsid w:val="002B2E74"/>
    <w:rsid w:val="002B2EAB"/>
    <w:rsid w:val="002B2F08"/>
    <w:rsid w:val="002B2F12"/>
    <w:rsid w:val="002B3054"/>
    <w:rsid w:val="002B30E3"/>
    <w:rsid w:val="002B3132"/>
    <w:rsid w:val="002B31BD"/>
    <w:rsid w:val="002B32FB"/>
    <w:rsid w:val="002B3301"/>
    <w:rsid w:val="002B33D2"/>
    <w:rsid w:val="002B344F"/>
    <w:rsid w:val="002B3501"/>
    <w:rsid w:val="002B3508"/>
    <w:rsid w:val="002B352C"/>
    <w:rsid w:val="002B35CA"/>
    <w:rsid w:val="002B3631"/>
    <w:rsid w:val="002B36D2"/>
    <w:rsid w:val="002B37E0"/>
    <w:rsid w:val="002B3878"/>
    <w:rsid w:val="002B38C7"/>
    <w:rsid w:val="002B3977"/>
    <w:rsid w:val="002B39BC"/>
    <w:rsid w:val="002B3A43"/>
    <w:rsid w:val="002B3A7D"/>
    <w:rsid w:val="002B3A98"/>
    <w:rsid w:val="002B3AE0"/>
    <w:rsid w:val="002B3B3A"/>
    <w:rsid w:val="002B3C91"/>
    <w:rsid w:val="002B3CB3"/>
    <w:rsid w:val="002B3EDD"/>
    <w:rsid w:val="002B401E"/>
    <w:rsid w:val="002B404C"/>
    <w:rsid w:val="002B40F3"/>
    <w:rsid w:val="002B4154"/>
    <w:rsid w:val="002B4261"/>
    <w:rsid w:val="002B42A1"/>
    <w:rsid w:val="002B4492"/>
    <w:rsid w:val="002B452B"/>
    <w:rsid w:val="002B46F2"/>
    <w:rsid w:val="002B4863"/>
    <w:rsid w:val="002B486C"/>
    <w:rsid w:val="002B4898"/>
    <w:rsid w:val="002B492D"/>
    <w:rsid w:val="002B494C"/>
    <w:rsid w:val="002B4A50"/>
    <w:rsid w:val="002B4B02"/>
    <w:rsid w:val="002B4BA8"/>
    <w:rsid w:val="002B4BC4"/>
    <w:rsid w:val="002B4CD8"/>
    <w:rsid w:val="002B4E04"/>
    <w:rsid w:val="002B4EF7"/>
    <w:rsid w:val="002B4F15"/>
    <w:rsid w:val="002B4F5F"/>
    <w:rsid w:val="002B5159"/>
    <w:rsid w:val="002B523B"/>
    <w:rsid w:val="002B529B"/>
    <w:rsid w:val="002B551F"/>
    <w:rsid w:val="002B5625"/>
    <w:rsid w:val="002B579C"/>
    <w:rsid w:val="002B57F3"/>
    <w:rsid w:val="002B5806"/>
    <w:rsid w:val="002B5838"/>
    <w:rsid w:val="002B58F8"/>
    <w:rsid w:val="002B58FC"/>
    <w:rsid w:val="002B5923"/>
    <w:rsid w:val="002B5968"/>
    <w:rsid w:val="002B5A32"/>
    <w:rsid w:val="002B5A64"/>
    <w:rsid w:val="002B5B25"/>
    <w:rsid w:val="002B5BE9"/>
    <w:rsid w:val="002B5C06"/>
    <w:rsid w:val="002B5C26"/>
    <w:rsid w:val="002B5C7D"/>
    <w:rsid w:val="002B5F48"/>
    <w:rsid w:val="002B5F8C"/>
    <w:rsid w:val="002B5F9B"/>
    <w:rsid w:val="002B6136"/>
    <w:rsid w:val="002B61DA"/>
    <w:rsid w:val="002B6217"/>
    <w:rsid w:val="002B621E"/>
    <w:rsid w:val="002B62C5"/>
    <w:rsid w:val="002B6361"/>
    <w:rsid w:val="002B63BB"/>
    <w:rsid w:val="002B64AD"/>
    <w:rsid w:val="002B65A2"/>
    <w:rsid w:val="002B65D2"/>
    <w:rsid w:val="002B6774"/>
    <w:rsid w:val="002B67DB"/>
    <w:rsid w:val="002B6941"/>
    <w:rsid w:val="002B69C3"/>
    <w:rsid w:val="002B6A84"/>
    <w:rsid w:val="002B6A86"/>
    <w:rsid w:val="002B6ADF"/>
    <w:rsid w:val="002B6AFE"/>
    <w:rsid w:val="002B6BBB"/>
    <w:rsid w:val="002B6D54"/>
    <w:rsid w:val="002B6ED0"/>
    <w:rsid w:val="002B6F29"/>
    <w:rsid w:val="002B716D"/>
    <w:rsid w:val="002B7253"/>
    <w:rsid w:val="002B7298"/>
    <w:rsid w:val="002B7332"/>
    <w:rsid w:val="002B737F"/>
    <w:rsid w:val="002B7409"/>
    <w:rsid w:val="002B741E"/>
    <w:rsid w:val="002B745C"/>
    <w:rsid w:val="002B7465"/>
    <w:rsid w:val="002B748E"/>
    <w:rsid w:val="002B74C7"/>
    <w:rsid w:val="002B7609"/>
    <w:rsid w:val="002B761B"/>
    <w:rsid w:val="002B7644"/>
    <w:rsid w:val="002B765C"/>
    <w:rsid w:val="002B7700"/>
    <w:rsid w:val="002B775F"/>
    <w:rsid w:val="002B785F"/>
    <w:rsid w:val="002B78B0"/>
    <w:rsid w:val="002B79B0"/>
    <w:rsid w:val="002B7A40"/>
    <w:rsid w:val="002B7B34"/>
    <w:rsid w:val="002B7B8C"/>
    <w:rsid w:val="002B7BD7"/>
    <w:rsid w:val="002B7D1D"/>
    <w:rsid w:val="002B7D46"/>
    <w:rsid w:val="002B7D70"/>
    <w:rsid w:val="002B7D99"/>
    <w:rsid w:val="002B7E2C"/>
    <w:rsid w:val="002B7E71"/>
    <w:rsid w:val="002B7FAC"/>
    <w:rsid w:val="002C0095"/>
    <w:rsid w:val="002C010A"/>
    <w:rsid w:val="002C0120"/>
    <w:rsid w:val="002C0144"/>
    <w:rsid w:val="002C01D1"/>
    <w:rsid w:val="002C02F3"/>
    <w:rsid w:val="002C030E"/>
    <w:rsid w:val="002C034A"/>
    <w:rsid w:val="002C03B5"/>
    <w:rsid w:val="002C0455"/>
    <w:rsid w:val="002C04C4"/>
    <w:rsid w:val="002C04D2"/>
    <w:rsid w:val="002C06DD"/>
    <w:rsid w:val="002C06FE"/>
    <w:rsid w:val="002C079B"/>
    <w:rsid w:val="002C07B1"/>
    <w:rsid w:val="002C0902"/>
    <w:rsid w:val="002C0978"/>
    <w:rsid w:val="002C09E3"/>
    <w:rsid w:val="002C0B2F"/>
    <w:rsid w:val="002C0B36"/>
    <w:rsid w:val="002C0C6A"/>
    <w:rsid w:val="002C0C90"/>
    <w:rsid w:val="002C0D21"/>
    <w:rsid w:val="002C0E58"/>
    <w:rsid w:val="002C0EFC"/>
    <w:rsid w:val="002C0F18"/>
    <w:rsid w:val="002C0F49"/>
    <w:rsid w:val="002C0FBB"/>
    <w:rsid w:val="002C0FCC"/>
    <w:rsid w:val="002C0FE6"/>
    <w:rsid w:val="002C108D"/>
    <w:rsid w:val="002C10AB"/>
    <w:rsid w:val="002C10EF"/>
    <w:rsid w:val="002C1121"/>
    <w:rsid w:val="002C113C"/>
    <w:rsid w:val="002C12A4"/>
    <w:rsid w:val="002C1318"/>
    <w:rsid w:val="002C1361"/>
    <w:rsid w:val="002C141F"/>
    <w:rsid w:val="002C146D"/>
    <w:rsid w:val="002C1521"/>
    <w:rsid w:val="002C1529"/>
    <w:rsid w:val="002C1658"/>
    <w:rsid w:val="002C1782"/>
    <w:rsid w:val="002C17C6"/>
    <w:rsid w:val="002C18D8"/>
    <w:rsid w:val="002C1946"/>
    <w:rsid w:val="002C19E3"/>
    <w:rsid w:val="002C1AC1"/>
    <w:rsid w:val="002C1CEE"/>
    <w:rsid w:val="002C1D8A"/>
    <w:rsid w:val="002C1D8B"/>
    <w:rsid w:val="002C1E89"/>
    <w:rsid w:val="002C1FF3"/>
    <w:rsid w:val="002C1FF9"/>
    <w:rsid w:val="002C206D"/>
    <w:rsid w:val="002C20E2"/>
    <w:rsid w:val="002C2114"/>
    <w:rsid w:val="002C2133"/>
    <w:rsid w:val="002C218D"/>
    <w:rsid w:val="002C22D1"/>
    <w:rsid w:val="002C2326"/>
    <w:rsid w:val="002C236D"/>
    <w:rsid w:val="002C2389"/>
    <w:rsid w:val="002C23AF"/>
    <w:rsid w:val="002C249B"/>
    <w:rsid w:val="002C2591"/>
    <w:rsid w:val="002C2597"/>
    <w:rsid w:val="002C26DD"/>
    <w:rsid w:val="002C26DE"/>
    <w:rsid w:val="002C280A"/>
    <w:rsid w:val="002C2830"/>
    <w:rsid w:val="002C28D4"/>
    <w:rsid w:val="002C2939"/>
    <w:rsid w:val="002C2944"/>
    <w:rsid w:val="002C2A27"/>
    <w:rsid w:val="002C2A82"/>
    <w:rsid w:val="002C2C29"/>
    <w:rsid w:val="002C2C2C"/>
    <w:rsid w:val="002C2DD0"/>
    <w:rsid w:val="002C2E9F"/>
    <w:rsid w:val="002C2F11"/>
    <w:rsid w:val="002C305E"/>
    <w:rsid w:val="002C3124"/>
    <w:rsid w:val="002C31A9"/>
    <w:rsid w:val="002C3216"/>
    <w:rsid w:val="002C32C9"/>
    <w:rsid w:val="002C333C"/>
    <w:rsid w:val="002C33DB"/>
    <w:rsid w:val="002C345E"/>
    <w:rsid w:val="002C35D2"/>
    <w:rsid w:val="002C3677"/>
    <w:rsid w:val="002C37F0"/>
    <w:rsid w:val="002C385A"/>
    <w:rsid w:val="002C38AA"/>
    <w:rsid w:val="002C38EA"/>
    <w:rsid w:val="002C38F1"/>
    <w:rsid w:val="002C39F6"/>
    <w:rsid w:val="002C3A90"/>
    <w:rsid w:val="002C3B3E"/>
    <w:rsid w:val="002C3C2B"/>
    <w:rsid w:val="002C3D16"/>
    <w:rsid w:val="002C3D7E"/>
    <w:rsid w:val="002C3DAF"/>
    <w:rsid w:val="002C3E96"/>
    <w:rsid w:val="002C3E9F"/>
    <w:rsid w:val="002C3F4C"/>
    <w:rsid w:val="002C3F71"/>
    <w:rsid w:val="002C40D9"/>
    <w:rsid w:val="002C4158"/>
    <w:rsid w:val="002C41AB"/>
    <w:rsid w:val="002C4283"/>
    <w:rsid w:val="002C4294"/>
    <w:rsid w:val="002C42D5"/>
    <w:rsid w:val="002C42F6"/>
    <w:rsid w:val="002C43AA"/>
    <w:rsid w:val="002C44A9"/>
    <w:rsid w:val="002C44D8"/>
    <w:rsid w:val="002C4576"/>
    <w:rsid w:val="002C460C"/>
    <w:rsid w:val="002C47B7"/>
    <w:rsid w:val="002C4803"/>
    <w:rsid w:val="002C481F"/>
    <w:rsid w:val="002C48E8"/>
    <w:rsid w:val="002C48F4"/>
    <w:rsid w:val="002C49D7"/>
    <w:rsid w:val="002C4A26"/>
    <w:rsid w:val="002C4A6C"/>
    <w:rsid w:val="002C4B46"/>
    <w:rsid w:val="002C4C51"/>
    <w:rsid w:val="002C4C6E"/>
    <w:rsid w:val="002C4CFF"/>
    <w:rsid w:val="002C4EF1"/>
    <w:rsid w:val="002C4F52"/>
    <w:rsid w:val="002C5196"/>
    <w:rsid w:val="002C526E"/>
    <w:rsid w:val="002C5317"/>
    <w:rsid w:val="002C54CA"/>
    <w:rsid w:val="002C55BB"/>
    <w:rsid w:val="002C55E4"/>
    <w:rsid w:val="002C5643"/>
    <w:rsid w:val="002C57D5"/>
    <w:rsid w:val="002C5960"/>
    <w:rsid w:val="002C59C8"/>
    <w:rsid w:val="002C5ABD"/>
    <w:rsid w:val="002C5B6E"/>
    <w:rsid w:val="002C5BAF"/>
    <w:rsid w:val="002C5BBD"/>
    <w:rsid w:val="002C5C2A"/>
    <w:rsid w:val="002C5D61"/>
    <w:rsid w:val="002C5DB0"/>
    <w:rsid w:val="002C5E7D"/>
    <w:rsid w:val="002C5EC0"/>
    <w:rsid w:val="002C5F33"/>
    <w:rsid w:val="002C60FB"/>
    <w:rsid w:val="002C610D"/>
    <w:rsid w:val="002C62CD"/>
    <w:rsid w:val="002C62E4"/>
    <w:rsid w:val="002C6354"/>
    <w:rsid w:val="002C635D"/>
    <w:rsid w:val="002C6465"/>
    <w:rsid w:val="002C650A"/>
    <w:rsid w:val="002C659B"/>
    <w:rsid w:val="002C65EF"/>
    <w:rsid w:val="002C6640"/>
    <w:rsid w:val="002C66B4"/>
    <w:rsid w:val="002C66D9"/>
    <w:rsid w:val="002C6750"/>
    <w:rsid w:val="002C67EA"/>
    <w:rsid w:val="002C68DF"/>
    <w:rsid w:val="002C6AD9"/>
    <w:rsid w:val="002C6AE8"/>
    <w:rsid w:val="002C6B2A"/>
    <w:rsid w:val="002C6B65"/>
    <w:rsid w:val="002C6BF0"/>
    <w:rsid w:val="002C6C64"/>
    <w:rsid w:val="002C6D0F"/>
    <w:rsid w:val="002C6D22"/>
    <w:rsid w:val="002C6E34"/>
    <w:rsid w:val="002C6FA6"/>
    <w:rsid w:val="002C6FC6"/>
    <w:rsid w:val="002C7048"/>
    <w:rsid w:val="002C7080"/>
    <w:rsid w:val="002C7150"/>
    <w:rsid w:val="002C716C"/>
    <w:rsid w:val="002C7176"/>
    <w:rsid w:val="002C725F"/>
    <w:rsid w:val="002C72A0"/>
    <w:rsid w:val="002C7306"/>
    <w:rsid w:val="002C7373"/>
    <w:rsid w:val="002C7376"/>
    <w:rsid w:val="002C7399"/>
    <w:rsid w:val="002C7527"/>
    <w:rsid w:val="002C758F"/>
    <w:rsid w:val="002C75AC"/>
    <w:rsid w:val="002C761F"/>
    <w:rsid w:val="002C7718"/>
    <w:rsid w:val="002C780D"/>
    <w:rsid w:val="002C7871"/>
    <w:rsid w:val="002C788C"/>
    <w:rsid w:val="002C7A52"/>
    <w:rsid w:val="002C7AFD"/>
    <w:rsid w:val="002C7B21"/>
    <w:rsid w:val="002C7C64"/>
    <w:rsid w:val="002C7D0A"/>
    <w:rsid w:val="002C7D79"/>
    <w:rsid w:val="002C7E08"/>
    <w:rsid w:val="002C7E56"/>
    <w:rsid w:val="002C7E74"/>
    <w:rsid w:val="002C7EB7"/>
    <w:rsid w:val="002C7F38"/>
    <w:rsid w:val="002C7F4B"/>
    <w:rsid w:val="002CD5FF"/>
    <w:rsid w:val="002D0002"/>
    <w:rsid w:val="002D010A"/>
    <w:rsid w:val="002D0167"/>
    <w:rsid w:val="002D01F3"/>
    <w:rsid w:val="002D021B"/>
    <w:rsid w:val="002D022B"/>
    <w:rsid w:val="002D0256"/>
    <w:rsid w:val="002D03EF"/>
    <w:rsid w:val="002D044B"/>
    <w:rsid w:val="002D04A2"/>
    <w:rsid w:val="002D0605"/>
    <w:rsid w:val="002D0620"/>
    <w:rsid w:val="002D064E"/>
    <w:rsid w:val="002D065D"/>
    <w:rsid w:val="002D0719"/>
    <w:rsid w:val="002D0737"/>
    <w:rsid w:val="002D07B8"/>
    <w:rsid w:val="002D083D"/>
    <w:rsid w:val="002D091A"/>
    <w:rsid w:val="002D0934"/>
    <w:rsid w:val="002D0AEC"/>
    <w:rsid w:val="002D0BEA"/>
    <w:rsid w:val="002D0C53"/>
    <w:rsid w:val="002D0D13"/>
    <w:rsid w:val="002D0D1F"/>
    <w:rsid w:val="002D0D21"/>
    <w:rsid w:val="002D0F0F"/>
    <w:rsid w:val="002D0FAB"/>
    <w:rsid w:val="002D0FDA"/>
    <w:rsid w:val="002D1010"/>
    <w:rsid w:val="002D1095"/>
    <w:rsid w:val="002D11F3"/>
    <w:rsid w:val="002D1209"/>
    <w:rsid w:val="002D1219"/>
    <w:rsid w:val="002D133C"/>
    <w:rsid w:val="002D13AD"/>
    <w:rsid w:val="002D13C1"/>
    <w:rsid w:val="002D142A"/>
    <w:rsid w:val="002D148B"/>
    <w:rsid w:val="002D14B5"/>
    <w:rsid w:val="002D175A"/>
    <w:rsid w:val="002D17A3"/>
    <w:rsid w:val="002D1816"/>
    <w:rsid w:val="002D186B"/>
    <w:rsid w:val="002D186D"/>
    <w:rsid w:val="002D19EB"/>
    <w:rsid w:val="002D1A14"/>
    <w:rsid w:val="002D1AE6"/>
    <w:rsid w:val="002D1C1B"/>
    <w:rsid w:val="002D1E77"/>
    <w:rsid w:val="002D202B"/>
    <w:rsid w:val="002D203F"/>
    <w:rsid w:val="002D20D0"/>
    <w:rsid w:val="002D231B"/>
    <w:rsid w:val="002D24AF"/>
    <w:rsid w:val="002D261F"/>
    <w:rsid w:val="002D262A"/>
    <w:rsid w:val="002D267F"/>
    <w:rsid w:val="002D26C5"/>
    <w:rsid w:val="002D27FD"/>
    <w:rsid w:val="002D2910"/>
    <w:rsid w:val="002D2969"/>
    <w:rsid w:val="002D29F6"/>
    <w:rsid w:val="002D2AA6"/>
    <w:rsid w:val="002D2BFC"/>
    <w:rsid w:val="002D2D02"/>
    <w:rsid w:val="002D2D06"/>
    <w:rsid w:val="002D2D5F"/>
    <w:rsid w:val="002D2D62"/>
    <w:rsid w:val="002D2E79"/>
    <w:rsid w:val="002D2F00"/>
    <w:rsid w:val="002D3018"/>
    <w:rsid w:val="002D3085"/>
    <w:rsid w:val="002D3101"/>
    <w:rsid w:val="002D3268"/>
    <w:rsid w:val="002D32DD"/>
    <w:rsid w:val="002D33CD"/>
    <w:rsid w:val="002D3431"/>
    <w:rsid w:val="002D3488"/>
    <w:rsid w:val="002D3595"/>
    <w:rsid w:val="002D35FE"/>
    <w:rsid w:val="002D361B"/>
    <w:rsid w:val="002D3899"/>
    <w:rsid w:val="002D3911"/>
    <w:rsid w:val="002D39EF"/>
    <w:rsid w:val="002D3A5F"/>
    <w:rsid w:val="002D3ACA"/>
    <w:rsid w:val="002D3B28"/>
    <w:rsid w:val="002D3B7A"/>
    <w:rsid w:val="002D3D60"/>
    <w:rsid w:val="002D3D68"/>
    <w:rsid w:val="002D3E5C"/>
    <w:rsid w:val="002D3E8C"/>
    <w:rsid w:val="002D3E90"/>
    <w:rsid w:val="002D3F24"/>
    <w:rsid w:val="002D3F6C"/>
    <w:rsid w:val="002D40EE"/>
    <w:rsid w:val="002D4103"/>
    <w:rsid w:val="002D4184"/>
    <w:rsid w:val="002D41C8"/>
    <w:rsid w:val="002D4238"/>
    <w:rsid w:val="002D4264"/>
    <w:rsid w:val="002D438D"/>
    <w:rsid w:val="002D43E6"/>
    <w:rsid w:val="002D443C"/>
    <w:rsid w:val="002D446B"/>
    <w:rsid w:val="002D446E"/>
    <w:rsid w:val="002D4510"/>
    <w:rsid w:val="002D4515"/>
    <w:rsid w:val="002D45A5"/>
    <w:rsid w:val="002D461F"/>
    <w:rsid w:val="002D4779"/>
    <w:rsid w:val="002D478D"/>
    <w:rsid w:val="002D47D0"/>
    <w:rsid w:val="002D47EA"/>
    <w:rsid w:val="002D4854"/>
    <w:rsid w:val="002D4927"/>
    <w:rsid w:val="002D4948"/>
    <w:rsid w:val="002D4A94"/>
    <w:rsid w:val="002D4AF6"/>
    <w:rsid w:val="002D4BAE"/>
    <w:rsid w:val="002D4BCC"/>
    <w:rsid w:val="002D4C97"/>
    <w:rsid w:val="002D4CCC"/>
    <w:rsid w:val="002D4D8C"/>
    <w:rsid w:val="002D4DD8"/>
    <w:rsid w:val="002D4EA5"/>
    <w:rsid w:val="002D4EE4"/>
    <w:rsid w:val="002D4F0E"/>
    <w:rsid w:val="002D4F37"/>
    <w:rsid w:val="002D4F60"/>
    <w:rsid w:val="002D4F95"/>
    <w:rsid w:val="002D5043"/>
    <w:rsid w:val="002D5064"/>
    <w:rsid w:val="002D507D"/>
    <w:rsid w:val="002D509B"/>
    <w:rsid w:val="002D5132"/>
    <w:rsid w:val="002D5278"/>
    <w:rsid w:val="002D52EB"/>
    <w:rsid w:val="002D534A"/>
    <w:rsid w:val="002D550B"/>
    <w:rsid w:val="002D563E"/>
    <w:rsid w:val="002D5646"/>
    <w:rsid w:val="002D5650"/>
    <w:rsid w:val="002D56F3"/>
    <w:rsid w:val="002D57C5"/>
    <w:rsid w:val="002D5956"/>
    <w:rsid w:val="002D5966"/>
    <w:rsid w:val="002D5995"/>
    <w:rsid w:val="002D59B0"/>
    <w:rsid w:val="002D5A5F"/>
    <w:rsid w:val="002D5B6A"/>
    <w:rsid w:val="002D5D47"/>
    <w:rsid w:val="002D5D58"/>
    <w:rsid w:val="002D5D89"/>
    <w:rsid w:val="002D5DFC"/>
    <w:rsid w:val="002D5E7F"/>
    <w:rsid w:val="002D5F2F"/>
    <w:rsid w:val="002D5F4E"/>
    <w:rsid w:val="002D602E"/>
    <w:rsid w:val="002D60CF"/>
    <w:rsid w:val="002D6123"/>
    <w:rsid w:val="002D61ED"/>
    <w:rsid w:val="002D621A"/>
    <w:rsid w:val="002D6329"/>
    <w:rsid w:val="002D6349"/>
    <w:rsid w:val="002D64C2"/>
    <w:rsid w:val="002D6562"/>
    <w:rsid w:val="002D6598"/>
    <w:rsid w:val="002D65B4"/>
    <w:rsid w:val="002D6615"/>
    <w:rsid w:val="002D6619"/>
    <w:rsid w:val="002D664E"/>
    <w:rsid w:val="002D6758"/>
    <w:rsid w:val="002D676B"/>
    <w:rsid w:val="002D6808"/>
    <w:rsid w:val="002D689E"/>
    <w:rsid w:val="002D6920"/>
    <w:rsid w:val="002D6960"/>
    <w:rsid w:val="002D6ACB"/>
    <w:rsid w:val="002D6B14"/>
    <w:rsid w:val="002D6B2A"/>
    <w:rsid w:val="002D6C33"/>
    <w:rsid w:val="002D6C47"/>
    <w:rsid w:val="002D6C6A"/>
    <w:rsid w:val="002D6CB0"/>
    <w:rsid w:val="002D6D15"/>
    <w:rsid w:val="002D6E05"/>
    <w:rsid w:val="002D6E2B"/>
    <w:rsid w:val="002D6F01"/>
    <w:rsid w:val="002D6F88"/>
    <w:rsid w:val="002D6F8E"/>
    <w:rsid w:val="002D6FD9"/>
    <w:rsid w:val="002D7011"/>
    <w:rsid w:val="002D7064"/>
    <w:rsid w:val="002D706D"/>
    <w:rsid w:val="002D70D6"/>
    <w:rsid w:val="002D7147"/>
    <w:rsid w:val="002D7153"/>
    <w:rsid w:val="002D725A"/>
    <w:rsid w:val="002D7387"/>
    <w:rsid w:val="002D73D7"/>
    <w:rsid w:val="002D741B"/>
    <w:rsid w:val="002D74D3"/>
    <w:rsid w:val="002D74FD"/>
    <w:rsid w:val="002D74FF"/>
    <w:rsid w:val="002D7579"/>
    <w:rsid w:val="002D758B"/>
    <w:rsid w:val="002D758E"/>
    <w:rsid w:val="002D75B5"/>
    <w:rsid w:val="002D768F"/>
    <w:rsid w:val="002D76AC"/>
    <w:rsid w:val="002D76FA"/>
    <w:rsid w:val="002D77A4"/>
    <w:rsid w:val="002D78A4"/>
    <w:rsid w:val="002D78CB"/>
    <w:rsid w:val="002D78E0"/>
    <w:rsid w:val="002D795A"/>
    <w:rsid w:val="002D7A5A"/>
    <w:rsid w:val="002D7A6D"/>
    <w:rsid w:val="002D7AAB"/>
    <w:rsid w:val="002D7B7F"/>
    <w:rsid w:val="002D7BC8"/>
    <w:rsid w:val="002D7C21"/>
    <w:rsid w:val="002D7CDF"/>
    <w:rsid w:val="002D7D02"/>
    <w:rsid w:val="002D7D60"/>
    <w:rsid w:val="002D7D9A"/>
    <w:rsid w:val="002D7DB1"/>
    <w:rsid w:val="002D7DD9"/>
    <w:rsid w:val="002D7EEF"/>
    <w:rsid w:val="002DA52D"/>
    <w:rsid w:val="002DBD9E"/>
    <w:rsid w:val="002E014E"/>
    <w:rsid w:val="002E016D"/>
    <w:rsid w:val="002E024C"/>
    <w:rsid w:val="002E028F"/>
    <w:rsid w:val="002E0507"/>
    <w:rsid w:val="002E0590"/>
    <w:rsid w:val="002E05B1"/>
    <w:rsid w:val="002E05F6"/>
    <w:rsid w:val="002E061A"/>
    <w:rsid w:val="002E0667"/>
    <w:rsid w:val="002E0761"/>
    <w:rsid w:val="002E0876"/>
    <w:rsid w:val="002E08E8"/>
    <w:rsid w:val="002E093B"/>
    <w:rsid w:val="002E09E1"/>
    <w:rsid w:val="002E0ABC"/>
    <w:rsid w:val="002E0BA8"/>
    <w:rsid w:val="002E0C12"/>
    <w:rsid w:val="002E0CF4"/>
    <w:rsid w:val="002E0D0B"/>
    <w:rsid w:val="002E0D84"/>
    <w:rsid w:val="002E0DE7"/>
    <w:rsid w:val="002E0DFB"/>
    <w:rsid w:val="002E0E49"/>
    <w:rsid w:val="002E0E64"/>
    <w:rsid w:val="002E0EEB"/>
    <w:rsid w:val="002E0F52"/>
    <w:rsid w:val="002E10F2"/>
    <w:rsid w:val="002E11EB"/>
    <w:rsid w:val="002E1377"/>
    <w:rsid w:val="002E1388"/>
    <w:rsid w:val="002E157D"/>
    <w:rsid w:val="002E1692"/>
    <w:rsid w:val="002E16C8"/>
    <w:rsid w:val="002E16D7"/>
    <w:rsid w:val="002E1714"/>
    <w:rsid w:val="002E178C"/>
    <w:rsid w:val="002E17C2"/>
    <w:rsid w:val="002E180B"/>
    <w:rsid w:val="002E18F3"/>
    <w:rsid w:val="002E18F6"/>
    <w:rsid w:val="002E1946"/>
    <w:rsid w:val="002E1994"/>
    <w:rsid w:val="002E19A9"/>
    <w:rsid w:val="002E1A73"/>
    <w:rsid w:val="002E1B96"/>
    <w:rsid w:val="002E1BB0"/>
    <w:rsid w:val="002E1BFA"/>
    <w:rsid w:val="002E1C0D"/>
    <w:rsid w:val="002E1C23"/>
    <w:rsid w:val="002E1D23"/>
    <w:rsid w:val="002E1D25"/>
    <w:rsid w:val="002E1D71"/>
    <w:rsid w:val="002E205F"/>
    <w:rsid w:val="002E22E4"/>
    <w:rsid w:val="002E22EB"/>
    <w:rsid w:val="002E234A"/>
    <w:rsid w:val="002E2377"/>
    <w:rsid w:val="002E23D8"/>
    <w:rsid w:val="002E23FA"/>
    <w:rsid w:val="002E2445"/>
    <w:rsid w:val="002E24B4"/>
    <w:rsid w:val="002E261C"/>
    <w:rsid w:val="002E26C5"/>
    <w:rsid w:val="002E26D9"/>
    <w:rsid w:val="002E2700"/>
    <w:rsid w:val="002E2858"/>
    <w:rsid w:val="002E288F"/>
    <w:rsid w:val="002E2897"/>
    <w:rsid w:val="002E2A45"/>
    <w:rsid w:val="002E2A59"/>
    <w:rsid w:val="002E2A65"/>
    <w:rsid w:val="002E2A6B"/>
    <w:rsid w:val="002E2B3E"/>
    <w:rsid w:val="002E2C28"/>
    <w:rsid w:val="002E2C2F"/>
    <w:rsid w:val="002E2C33"/>
    <w:rsid w:val="002E2CD8"/>
    <w:rsid w:val="002E2D03"/>
    <w:rsid w:val="002E2D94"/>
    <w:rsid w:val="002E2DDD"/>
    <w:rsid w:val="002E2E0D"/>
    <w:rsid w:val="002E2F26"/>
    <w:rsid w:val="002E2F6A"/>
    <w:rsid w:val="002E2F8C"/>
    <w:rsid w:val="002E3074"/>
    <w:rsid w:val="002E30A3"/>
    <w:rsid w:val="002E3111"/>
    <w:rsid w:val="002E3140"/>
    <w:rsid w:val="002E3141"/>
    <w:rsid w:val="002E318B"/>
    <w:rsid w:val="002E3212"/>
    <w:rsid w:val="002E3267"/>
    <w:rsid w:val="002E33E7"/>
    <w:rsid w:val="002E3424"/>
    <w:rsid w:val="002E3447"/>
    <w:rsid w:val="002E3470"/>
    <w:rsid w:val="002E356D"/>
    <w:rsid w:val="002E36AC"/>
    <w:rsid w:val="002E3711"/>
    <w:rsid w:val="002E37EF"/>
    <w:rsid w:val="002E397C"/>
    <w:rsid w:val="002E39C1"/>
    <w:rsid w:val="002E39D1"/>
    <w:rsid w:val="002E39DD"/>
    <w:rsid w:val="002E39E4"/>
    <w:rsid w:val="002E3AAD"/>
    <w:rsid w:val="002E3AE3"/>
    <w:rsid w:val="002E3B08"/>
    <w:rsid w:val="002E3B60"/>
    <w:rsid w:val="002E3BA7"/>
    <w:rsid w:val="002E3BBB"/>
    <w:rsid w:val="002E3BD0"/>
    <w:rsid w:val="002E3CC4"/>
    <w:rsid w:val="002E3F58"/>
    <w:rsid w:val="002E3F60"/>
    <w:rsid w:val="002E401F"/>
    <w:rsid w:val="002E4077"/>
    <w:rsid w:val="002E440D"/>
    <w:rsid w:val="002E45E5"/>
    <w:rsid w:val="002E45FF"/>
    <w:rsid w:val="002E4642"/>
    <w:rsid w:val="002E4706"/>
    <w:rsid w:val="002E4810"/>
    <w:rsid w:val="002E4870"/>
    <w:rsid w:val="002E4956"/>
    <w:rsid w:val="002E49AD"/>
    <w:rsid w:val="002E49D6"/>
    <w:rsid w:val="002E4AAA"/>
    <w:rsid w:val="002E4CC5"/>
    <w:rsid w:val="002E4CD0"/>
    <w:rsid w:val="002E4CD5"/>
    <w:rsid w:val="002E4D65"/>
    <w:rsid w:val="002E4D6A"/>
    <w:rsid w:val="002E4DFB"/>
    <w:rsid w:val="002E4EAB"/>
    <w:rsid w:val="002E4ECC"/>
    <w:rsid w:val="002E4ED8"/>
    <w:rsid w:val="002E502C"/>
    <w:rsid w:val="002E51E6"/>
    <w:rsid w:val="002E52A8"/>
    <w:rsid w:val="002E52E8"/>
    <w:rsid w:val="002E54F4"/>
    <w:rsid w:val="002E5512"/>
    <w:rsid w:val="002E55AE"/>
    <w:rsid w:val="002E565B"/>
    <w:rsid w:val="002E58EA"/>
    <w:rsid w:val="002E594A"/>
    <w:rsid w:val="002E5AAF"/>
    <w:rsid w:val="002E5AF7"/>
    <w:rsid w:val="002E5B55"/>
    <w:rsid w:val="002E5C24"/>
    <w:rsid w:val="002E5CE2"/>
    <w:rsid w:val="002E5DC1"/>
    <w:rsid w:val="002E5E36"/>
    <w:rsid w:val="002E5E53"/>
    <w:rsid w:val="002E5E67"/>
    <w:rsid w:val="002E5F06"/>
    <w:rsid w:val="002E5F1D"/>
    <w:rsid w:val="002E602E"/>
    <w:rsid w:val="002E60FE"/>
    <w:rsid w:val="002E61C1"/>
    <w:rsid w:val="002E61C4"/>
    <w:rsid w:val="002E6233"/>
    <w:rsid w:val="002E6234"/>
    <w:rsid w:val="002E6305"/>
    <w:rsid w:val="002E6318"/>
    <w:rsid w:val="002E63A4"/>
    <w:rsid w:val="002E649E"/>
    <w:rsid w:val="002E6504"/>
    <w:rsid w:val="002E654E"/>
    <w:rsid w:val="002E659E"/>
    <w:rsid w:val="002E66DB"/>
    <w:rsid w:val="002E6811"/>
    <w:rsid w:val="002E69DC"/>
    <w:rsid w:val="002E6A10"/>
    <w:rsid w:val="002E6A1F"/>
    <w:rsid w:val="002E6A6D"/>
    <w:rsid w:val="002E6B4E"/>
    <w:rsid w:val="002E6BE4"/>
    <w:rsid w:val="002E6C48"/>
    <w:rsid w:val="002E6CE4"/>
    <w:rsid w:val="002E6D8E"/>
    <w:rsid w:val="002E6EDE"/>
    <w:rsid w:val="002E6F7E"/>
    <w:rsid w:val="002E702B"/>
    <w:rsid w:val="002E705D"/>
    <w:rsid w:val="002E7122"/>
    <w:rsid w:val="002E7327"/>
    <w:rsid w:val="002E7358"/>
    <w:rsid w:val="002E7420"/>
    <w:rsid w:val="002E742E"/>
    <w:rsid w:val="002E7475"/>
    <w:rsid w:val="002E74C6"/>
    <w:rsid w:val="002E74DC"/>
    <w:rsid w:val="002E7596"/>
    <w:rsid w:val="002E76E8"/>
    <w:rsid w:val="002E7719"/>
    <w:rsid w:val="002E7731"/>
    <w:rsid w:val="002E7952"/>
    <w:rsid w:val="002E7BA3"/>
    <w:rsid w:val="002E7BE9"/>
    <w:rsid w:val="002E7BF7"/>
    <w:rsid w:val="002E7CBF"/>
    <w:rsid w:val="002E7CEF"/>
    <w:rsid w:val="002E7DF1"/>
    <w:rsid w:val="002E7E53"/>
    <w:rsid w:val="002E7EEE"/>
    <w:rsid w:val="002E7F2A"/>
    <w:rsid w:val="002E7F57"/>
    <w:rsid w:val="002E7FE0"/>
    <w:rsid w:val="002F0064"/>
    <w:rsid w:val="002F00D3"/>
    <w:rsid w:val="002F0102"/>
    <w:rsid w:val="002F0113"/>
    <w:rsid w:val="002F0229"/>
    <w:rsid w:val="002F034B"/>
    <w:rsid w:val="002F038E"/>
    <w:rsid w:val="002F0637"/>
    <w:rsid w:val="002F0649"/>
    <w:rsid w:val="002F06CE"/>
    <w:rsid w:val="002F0761"/>
    <w:rsid w:val="002F07FF"/>
    <w:rsid w:val="002F08E9"/>
    <w:rsid w:val="002F09D9"/>
    <w:rsid w:val="002F0A28"/>
    <w:rsid w:val="002F0B24"/>
    <w:rsid w:val="002F0B60"/>
    <w:rsid w:val="002F0CB5"/>
    <w:rsid w:val="002F0D48"/>
    <w:rsid w:val="002F0DD8"/>
    <w:rsid w:val="002F0DEE"/>
    <w:rsid w:val="002F0E46"/>
    <w:rsid w:val="002F0E8F"/>
    <w:rsid w:val="002F0EA6"/>
    <w:rsid w:val="002F0EDD"/>
    <w:rsid w:val="002F0EE8"/>
    <w:rsid w:val="002F0F27"/>
    <w:rsid w:val="002F1204"/>
    <w:rsid w:val="002F1395"/>
    <w:rsid w:val="002F139D"/>
    <w:rsid w:val="002F13B2"/>
    <w:rsid w:val="002F1599"/>
    <w:rsid w:val="002F1620"/>
    <w:rsid w:val="002F16CB"/>
    <w:rsid w:val="002F1712"/>
    <w:rsid w:val="002F178F"/>
    <w:rsid w:val="002F17D5"/>
    <w:rsid w:val="002F184F"/>
    <w:rsid w:val="002F1A5D"/>
    <w:rsid w:val="002F1AAF"/>
    <w:rsid w:val="002F1B7E"/>
    <w:rsid w:val="002F1B95"/>
    <w:rsid w:val="002F1C70"/>
    <w:rsid w:val="002F1D28"/>
    <w:rsid w:val="002F1DB2"/>
    <w:rsid w:val="002F1E9B"/>
    <w:rsid w:val="002F1FDC"/>
    <w:rsid w:val="002F2031"/>
    <w:rsid w:val="002F2279"/>
    <w:rsid w:val="002F23AE"/>
    <w:rsid w:val="002F2435"/>
    <w:rsid w:val="002F248D"/>
    <w:rsid w:val="002F2764"/>
    <w:rsid w:val="002F2771"/>
    <w:rsid w:val="002F2810"/>
    <w:rsid w:val="002F2873"/>
    <w:rsid w:val="002F2963"/>
    <w:rsid w:val="002F2A85"/>
    <w:rsid w:val="002F2B41"/>
    <w:rsid w:val="002F2BA4"/>
    <w:rsid w:val="002F2BE0"/>
    <w:rsid w:val="002F2C20"/>
    <w:rsid w:val="002F2C51"/>
    <w:rsid w:val="002F2CF0"/>
    <w:rsid w:val="002F2D1B"/>
    <w:rsid w:val="002F2D5A"/>
    <w:rsid w:val="002F3089"/>
    <w:rsid w:val="002F30EE"/>
    <w:rsid w:val="002F3464"/>
    <w:rsid w:val="002F3513"/>
    <w:rsid w:val="002F35A9"/>
    <w:rsid w:val="002F35D2"/>
    <w:rsid w:val="002F36F4"/>
    <w:rsid w:val="002F36F6"/>
    <w:rsid w:val="002F375E"/>
    <w:rsid w:val="002F383C"/>
    <w:rsid w:val="002F3A3F"/>
    <w:rsid w:val="002F3A51"/>
    <w:rsid w:val="002F3B62"/>
    <w:rsid w:val="002F3B9C"/>
    <w:rsid w:val="002F3CE3"/>
    <w:rsid w:val="002F3CEC"/>
    <w:rsid w:val="002F3D85"/>
    <w:rsid w:val="002F3E8E"/>
    <w:rsid w:val="002F3F03"/>
    <w:rsid w:val="002F3F83"/>
    <w:rsid w:val="002F401A"/>
    <w:rsid w:val="002F409F"/>
    <w:rsid w:val="002F40C9"/>
    <w:rsid w:val="002F4167"/>
    <w:rsid w:val="002F41E7"/>
    <w:rsid w:val="002F425A"/>
    <w:rsid w:val="002F4274"/>
    <w:rsid w:val="002F43DB"/>
    <w:rsid w:val="002F4418"/>
    <w:rsid w:val="002F4467"/>
    <w:rsid w:val="002F45B1"/>
    <w:rsid w:val="002F46CC"/>
    <w:rsid w:val="002F4777"/>
    <w:rsid w:val="002F4791"/>
    <w:rsid w:val="002F4799"/>
    <w:rsid w:val="002F47BB"/>
    <w:rsid w:val="002F48CE"/>
    <w:rsid w:val="002F49C9"/>
    <w:rsid w:val="002F4A60"/>
    <w:rsid w:val="002F4A9C"/>
    <w:rsid w:val="002F4AE5"/>
    <w:rsid w:val="002F4B34"/>
    <w:rsid w:val="002F4BE6"/>
    <w:rsid w:val="002F4C60"/>
    <w:rsid w:val="002F4D19"/>
    <w:rsid w:val="002F4E9D"/>
    <w:rsid w:val="002F4EA0"/>
    <w:rsid w:val="002F4F28"/>
    <w:rsid w:val="002F50A9"/>
    <w:rsid w:val="002F519A"/>
    <w:rsid w:val="002F51C6"/>
    <w:rsid w:val="002F52B5"/>
    <w:rsid w:val="002F52BF"/>
    <w:rsid w:val="002F532C"/>
    <w:rsid w:val="002F534F"/>
    <w:rsid w:val="002F53F2"/>
    <w:rsid w:val="002F53FB"/>
    <w:rsid w:val="002F5459"/>
    <w:rsid w:val="002F54F1"/>
    <w:rsid w:val="002F5571"/>
    <w:rsid w:val="002F5594"/>
    <w:rsid w:val="002F569A"/>
    <w:rsid w:val="002F56A2"/>
    <w:rsid w:val="002F5760"/>
    <w:rsid w:val="002F5799"/>
    <w:rsid w:val="002F582F"/>
    <w:rsid w:val="002F5837"/>
    <w:rsid w:val="002F586E"/>
    <w:rsid w:val="002F5886"/>
    <w:rsid w:val="002F5B2B"/>
    <w:rsid w:val="002F5C5F"/>
    <w:rsid w:val="002F5CDB"/>
    <w:rsid w:val="002F5E69"/>
    <w:rsid w:val="002F617D"/>
    <w:rsid w:val="002F61DC"/>
    <w:rsid w:val="002F61FE"/>
    <w:rsid w:val="002F632A"/>
    <w:rsid w:val="002F639F"/>
    <w:rsid w:val="002F6744"/>
    <w:rsid w:val="002F674C"/>
    <w:rsid w:val="002F67A6"/>
    <w:rsid w:val="002F6874"/>
    <w:rsid w:val="002F6887"/>
    <w:rsid w:val="002F68BE"/>
    <w:rsid w:val="002F690C"/>
    <w:rsid w:val="002F691C"/>
    <w:rsid w:val="002F6A02"/>
    <w:rsid w:val="002F6A93"/>
    <w:rsid w:val="002F6AE0"/>
    <w:rsid w:val="002F6C1E"/>
    <w:rsid w:val="002F6C43"/>
    <w:rsid w:val="002F6CFD"/>
    <w:rsid w:val="002F6D60"/>
    <w:rsid w:val="002F6DC1"/>
    <w:rsid w:val="002F6E33"/>
    <w:rsid w:val="002F6F8A"/>
    <w:rsid w:val="002F7067"/>
    <w:rsid w:val="002F7077"/>
    <w:rsid w:val="002F70B5"/>
    <w:rsid w:val="002F715E"/>
    <w:rsid w:val="002F726E"/>
    <w:rsid w:val="002F72AB"/>
    <w:rsid w:val="002F736B"/>
    <w:rsid w:val="002F7388"/>
    <w:rsid w:val="002F7456"/>
    <w:rsid w:val="002F745D"/>
    <w:rsid w:val="002F74A9"/>
    <w:rsid w:val="002F74BB"/>
    <w:rsid w:val="002F74D3"/>
    <w:rsid w:val="002F750A"/>
    <w:rsid w:val="002F766D"/>
    <w:rsid w:val="002F77EB"/>
    <w:rsid w:val="002F77EC"/>
    <w:rsid w:val="002F781A"/>
    <w:rsid w:val="002F784D"/>
    <w:rsid w:val="002F78EB"/>
    <w:rsid w:val="002F792F"/>
    <w:rsid w:val="002F79C0"/>
    <w:rsid w:val="002F7AD4"/>
    <w:rsid w:val="002F7C5F"/>
    <w:rsid w:val="002F7CC5"/>
    <w:rsid w:val="002F7D9B"/>
    <w:rsid w:val="002F7E7A"/>
    <w:rsid w:val="002F7F9D"/>
    <w:rsid w:val="002FE578"/>
    <w:rsid w:val="003000C1"/>
    <w:rsid w:val="00300182"/>
    <w:rsid w:val="003001BA"/>
    <w:rsid w:val="00300246"/>
    <w:rsid w:val="00300296"/>
    <w:rsid w:val="003002EE"/>
    <w:rsid w:val="00300450"/>
    <w:rsid w:val="00300503"/>
    <w:rsid w:val="00300635"/>
    <w:rsid w:val="00300659"/>
    <w:rsid w:val="003006C1"/>
    <w:rsid w:val="003006D7"/>
    <w:rsid w:val="0030070E"/>
    <w:rsid w:val="0030076B"/>
    <w:rsid w:val="00300792"/>
    <w:rsid w:val="0030082B"/>
    <w:rsid w:val="003008D2"/>
    <w:rsid w:val="00300975"/>
    <w:rsid w:val="00300A48"/>
    <w:rsid w:val="00300A8A"/>
    <w:rsid w:val="00300AD4"/>
    <w:rsid w:val="00300AFC"/>
    <w:rsid w:val="00300AFE"/>
    <w:rsid w:val="00300B77"/>
    <w:rsid w:val="00300B89"/>
    <w:rsid w:val="00300C32"/>
    <w:rsid w:val="00300E99"/>
    <w:rsid w:val="003010DF"/>
    <w:rsid w:val="003010E9"/>
    <w:rsid w:val="003011E2"/>
    <w:rsid w:val="00301354"/>
    <w:rsid w:val="003013DC"/>
    <w:rsid w:val="0030147A"/>
    <w:rsid w:val="0030149A"/>
    <w:rsid w:val="003016A0"/>
    <w:rsid w:val="00301802"/>
    <w:rsid w:val="003018AF"/>
    <w:rsid w:val="003019B1"/>
    <w:rsid w:val="00301A0D"/>
    <w:rsid w:val="00301B68"/>
    <w:rsid w:val="00301BB4"/>
    <w:rsid w:val="00301CD8"/>
    <w:rsid w:val="00301DC1"/>
    <w:rsid w:val="00301ECC"/>
    <w:rsid w:val="00301ED7"/>
    <w:rsid w:val="00301F2A"/>
    <w:rsid w:val="00302001"/>
    <w:rsid w:val="003020A5"/>
    <w:rsid w:val="0030211B"/>
    <w:rsid w:val="0030211F"/>
    <w:rsid w:val="00302240"/>
    <w:rsid w:val="003022DD"/>
    <w:rsid w:val="003022DF"/>
    <w:rsid w:val="00302426"/>
    <w:rsid w:val="0030253F"/>
    <w:rsid w:val="003025B6"/>
    <w:rsid w:val="003025FA"/>
    <w:rsid w:val="003027B0"/>
    <w:rsid w:val="003028DC"/>
    <w:rsid w:val="00302B93"/>
    <w:rsid w:val="00302C22"/>
    <w:rsid w:val="00302C4F"/>
    <w:rsid w:val="00302D38"/>
    <w:rsid w:val="00302DAF"/>
    <w:rsid w:val="00302EFB"/>
    <w:rsid w:val="00302F26"/>
    <w:rsid w:val="00302F66"/>
    <w:rsid w:val="00303034"/>
    <w:rsid w:val="0030308F"/>
    <w:rsid w:val="003031CE"/>
    <w:rsid w:val="0030336C"/>
    <w:rsid w:val="0030344A"/>
    <w:rsid w:val="003034B5"/>
    <w:rsid w:val="003034C0"/>
    <w:rsid w:val="003034D5"/>
    <w:rsid w:val="003034FC"/>
    <w:rsid w:val="00303543"/>
    <w:rsid w:val="003035A0"/>
    <w:rsid w:val="003035D7"/>
    <w:rsid w:val="00303615"/>
    <w:rsid w:val="003036D1"/>
    <w:rsid w:val="003037AE"/>
    <w:rsid w:val="00303832"/>
    <w:rsid w:val="00303A1F"/>
    <w:rsid w:val="00303A36"/>
    <w:rsid w:val="00303D45"/>
    <w:rsid w:val="00303E33"/>
    <w:rsid w:val="00303E4B"/>
    <w:rsid w:val="00303EE4"/>
    <w:rsid w:val="00303F30"/>
    <w:rsid w:val="00304031"/>
    <w:rsid w:val="003040CC"/>
    <w:rsid w:val="003041D4"/>
    <w:rsid w:val="00304235"/>
    <w:rsid w:val="003042D1"/>
    <w:rsid w:val="003042ED"/>
    <w:rsid w:val="00304344"/>
    <w:rsid w:val="00304428"/>
    <w:rsid w:val="00304525"/>
    <w:rsid w:val="00304620"/>
    <w:rsid w:val="003046CF"/>
    <w:rsid w:val="003046E2"/>
    <w:rsid w:val="0030471D"/>
    <w:rsid w:val="00304766"/>
    <w:rsid w:val="003047CF"/>
    <w:rsid w:val="003048B2"/>
    <w:rsid w:val="003048DD"/>
    <w:rsid w:val="00304940"/>
    <w:rsid w:val="00304A4C"/>
    <w:rsid w:val="00304AB2"/>
    <w:rsid w:val="00304AF6"/>
    <w:rsid w:val="00304AFE"/>
    <w:rsid w:val="00304B2E"/>
    <w:rsid w:val="00304C1F"/>
    <w:rsid w:val="00304D3A"/>
    <w:rsid w:val="00304D8E"/>
    <w:rsid w:val="0030504E"/>
    <w:rsid w:val="00305230"/>
    <w:rsid w:val="003052A6"/>
    <w:rsid w:val="003052DD"/>
    <w:rsid w:val="003053E6"/>
    <w:rsid w:val="00305458"/>
    <w:rsid w:val="003054BF"/>
    <w:rsid w:val="003055D4"/>
    <w:rsid w:val="003055ED"/>
    <w:rsid w:val="003056B4"/>
    <w:rsid w:val="00305705"/>
    <w:rsid w:val="0030577E"/>
    <w:rsid w:val="00305791"/>
    <w:rsid w:val="003059EE"/>
    <w:rsid w:val="00305A0D"/>
    <w:rsid w:val="00305AAE"/>
    <w:rsid w:val="00305BD9"/>
    <w:rsid w:val="00305C73"/>
    <w:rsid w:val="00305D99"/>
    <w:rsid w:val="00305DA5"/>
    <w:rsid w:val="00305E32"/>
    <w:rsid w:val="00305E5B"/>
    <w:rsid w:val="00305F96"/>
    <w:rsid w:val="00306038"/>
    <w:rsid w:val="00306068"/>
    <w:rsid w:val="003060CC"/>
    <w:rsid w:val="003061A8"/>
    <w:rsid w:val="00306215"/>
    <w:rsid w:val="00306288"/>
    <w:rsid w:val="003065B5"/>
    <w:rsid w:val="00306619"/>
    <w:rsid w:val="0030681B"/>
    <w:rsid w:val="003069A5"/>
    <w:rsid w:val="003069B5"/>
    <w:rsid w:val="003069C0"/>
    <w:rsid w:val="00306A3A"/>
    <w:rsid w:val="00306B75"/>
    <w:rsid w:val="00306CBB"/>
    <w:rsid w:val="00306CE2"/>
    <w:rsid w:val="00306D40"/>
    <w:rsid w:val="00306E70"/>
    <w:rsid w:val="00306FAF"/>
    <w:rsid w:val="00307101"/>
    <w:rsid w:val="00307266"/>
    <w:rsid w:val="00307285"/>
    <w:rsid w:val="00307296"/>
    <w:rsid w:val="003072AA"/>
    <w:rsid w:val="003072C9"/>
    <w:rsid w:val="003072DE"/>
    <w:rsid w:val="00307406"/>
    <w:rsid w:val="00307454"/>
    <w:rsid w:val="003074AD"/>
    <w:rsid w:val="00307644"/>
    <w:rsid w:val="00307669"/>
    <w:rsid w:val="00307754"/>
    <w:rsid w:val="0030775B"/>
    <w:rsid w:val="0030776C"/>
    <w:rsid w:val="0030779B"/>
    <w:rsid w:val="00307886"/>
    <w:rsid w:val="0030794C"/>
    <w:rsid w:val="00307A8A"/>
    <w:rsid w:val="00307B01"/>
    <w:rsid w:val="00307B5E"/>
    <w:rsid w:val="00307C3A"/>
    <w:rsid w:val="00307C64"/>
    <w:rsid w:val="00307C70"/>
    <w:rsid w:val="00307CC3"/>
    <w:rsid w:val="00307CEC"/>
    <w:rsid w:val="00307D41"/>
    <w:rsid w:val="00307DD8"/>
    <w:rsid w:val="00307EEB"/>
    <w:rsid w:val="00307F9B"/>
    <w:rsid w:val="0030AC6D"/>
    <w:rsid w:val="003100E1"/>
    <w:rsid w:val="003100E3"/>
    <w:rsid w:val="00310190"/>
    <w:rsid w:val="003101EB"/>
    <w:rsid w:val="00310201"/>
    <w:rsid w:val="00310276"/>
    <w:rsid w:val="00310310"/>
    <w:rsid w:val="003103F7"/>
    <w:rsid w:val="0031044A"/>
    <w:rsid w:val="0031065B"/>
    <w:rsid w:val="003106AB"/>
    <w:rsid w:val="00310767"/>
    <w:rsid w:val="00310839"/>
    <w:rsid w:val="00310928"/>
    <w:rsid w:val="00310977"/>
    <w:rsid w:val="003109FC"/>
    <w:rsid w:val="00310A40"/>
    <w:rsid w:val="00310AC6"/>
    <w:rsid w:val="00310B67"/>
    <w:rsid w:val="00310C77"/>
    <w:rsid w:val="00310C89"/>
    <w:rsid w:val="00310DED"/>
    <w:rsid w:val="00310E9E"/>
    <w:rsid w:val="00310FAB"/>
    <w:rsid w:val="00310FD6"/>
    <w:rsid w:val="0031102F"/>
    <w:rsid w:val="0031103A"/>
    <w:rsid w:val="003111AD"/>
    <w:rsid w:val="00311263"/>
    <w:rsid w:val="003112A4"/>
    <w:rsid w:val="0031135F"/>
    <w:rsid w:val="0031138B"/>
    <w:rsid w:val="00311412"/>
    <w:rsid w:val="003114CD"/>
    <w:rsid w:val="003114CE"/>
    <w:rsid w:val="003116BA"/>
    <w:rsid w:val="00311756"/>
    <w:rsid w:val="0031176E"/>
    <w:rsid w:val="003117A2"/>
    <w:rsid w:val="003117BF"/>
    <w:rsid w:val="00311847"/>
    <w:rsid w:val="00311909"/>
    <w:rsid w:val="0031190C"/>
    <w:rsid w:val="00311927"/>
    <w:rsid w:val="0031194B"/>
    <w:rsid w:val="003119FE"/>
    <w:rsid w:val="00311A36"/>
    <w:rsid w:val="00311A8A"/>
    <w:rsid w:val="00311B98"/>
    <w:rsid w:val="00311BAE"/>
    <w:rsid w:val="00311BCD"/>
    <w:rsid w:val="00311BF8"/>
    <w:rsid w:val="00311D11"/>
    <w:rsid w:val="00311D54"/>
    <w:rsid w:val="00311E5F"/>
    <w:rsid w:val="00311EFA"/>
    <w:rsid w:val="00312003"/>
    <w:rsid w:val="0031208B"/>
    <w:rsid w:val="00312209"/>
    <w:rsid w:val="0031226B"/>
    <w:rsid w:val="003122AE"/>
    <w:rsid w:val="00312315"/>
    <w:rsid w:val="003123A0"/>
    <w:rsid w:val="003123DD"/>
    <w:rsid w:val="0031265C"/>
    <w:rsid w:val="003127F2"/>
    <w:rsid w:val="003128EF"/>
    <w:rsid w:val="00312911"/>
    <w:rsid w:val="0031298A"/>
    <w:rsid w:val="003129C7"/>
    <w:rsid w:val="00312A1D"/>
    <w:rsid w:val="00312A95"/>
    <w:rsid w:val="00312AB4"/>
    <w:rsid w:val="00312CEB"/>
    <w:rsid w:val="00312E3B"/>
    <w:rsid w:val="00312EA1"/>
    <w:rsid w:val="00312EA6"/>
    <w:rsid w:val="00312FB8"/>
    <w:rsid w:val="00312FC3"/>
    <w:rsid w:val="0031318F"/>
    <w:rsid w:val="003131A9"/>
    <w:rsid w:val="003131BC"/>
    <w:rsid w:val="0031331C"/>
    <w:rsid w:val="0031346F"/>
    <w:rsid w:val="0031358E"/>
    <w:rsid w:val="00313600"/>
    <w:rsid w:val="00313710"/>
    <w:rsid w:val="0031376E"/>
    <w:rsid w:val="00313771"/>
    <w:rsid w:val="003137BB"/>
    <w:rsid w:val="003138D9"/>
    <w:rsid w:val="003138E4"/>
    <w:rsid w:val="003139E3"/>
    <w:rsid w:val="00313B26"/>
    <w:rsid w:val="00313B4C"/>
    <w:rsid w:val="00313D0B"/>
    <w:rsid w:val="00313D14"/>
    <w:rsid w:val="00313DF2"/>
    <w:rsid w:val="00313E36"/>
    <w:rsid w:val="00313F0B"/>
    <w:rsid w:val="003140BD"/>
    <w:rsid w:val="003140F6"/>
    <w:rsid w:val="00314123"/>
    <w:rsid w:val="00314306"/>
    <w:rsid w:val="00314328"/>
    <w:rsid w:val="00314352"/>
    <w:rsid w:val="0031439E"/>
    <w:rsid w:val="003143DB"/>
    <w:rsid w:val="003144F7"/>
    <w:rsid w:val="00314511"/>
    <w:rsid w:val="003145B1"/>
    <w:rsid w:val="00314610"/>
    <w:rsid w:val="003146A9"/>
    <w:rsid w:val="003146E8"/>
    <w:rsid w:val="0031475A"/>
    <w:rsid w:val="00314850"/>
    <w:rsid w:val="003148C0"/>
    <w:rsid w:val="003148CC"/>
    <w:rsid w:val="003149DD"/>
    <w:rsid w:val="00314A0A"/>
    <w:rsid w:val="00314A41"/>
    <w:rsid w:val="00314A71"/>
    <w:rsid w:val="00314B72"/>
    <w:rsid w:val="00314B89"/>
    <w:rsid w:val="00314BFD"/>
    <w:rsid w:val="00314CF1"/>
    <w:rsid w:val="00314F21"/>
    <w:rsid w:val="00314F98"/>
    <w:rsid w:val="0031503F"/>
    <w:rsid w:val="00315090"/>
    <w:rsid w:val="003150FB"/>
    <w:rsid w:val="0031512F"/>
    <w:rsid w:val="00315204"/>
    <w:rsid w:val="00315300"/>
    <w:rsid w:val="00315319"/>
    <w:rsid w:val="0031532C"/>
    <w:rsid w:val="003154CE"/>
    <w:rsid w:val="003154E9"/>
    <w:rsid w:val="0031567F"/>
    <w:rsid w:val="00315681"/>
    <w:rsid w:val="00315711"/>
    <w:rsid w:val="003157FC"/>
    <w:rsid w:val="00315821"/>
    <w:rsid w:val="0031591D"/>
    <w:rsid w:val="00315A0C"/>
    <w:rsid w:val="00315A11"/>
    <w:rsid w:val="00315A20"/>
    <w:rsid w:val="00315B4B"/>
    <w:rsid w:val="00315BE3"/>
    <w:rsid w:val="00315C00"/>
    <w:rsid w:val="00315E4F"/>
    <w:rsid w:val="00315E67"/>
    <w:rsid w:val="00315F05"/>
    <w:rsid w:val="00315F7E"/>
    <w:rsid w:val="00316103"/>
    <w:rsid w:val="00316160"/>
    <w:rsid w:val="0031662C"/>
    <w:rsid w:val="00316756"/>
    <w:rsid w:val="003168CE"/>
    <w:rsid w:val="003168D9"/>
    <w:rsid w:val="0031695E"/>
    <w:rsid w:val="00316973"/>
    <w:rsid w:val="00316A1E"/>
    <w:rsid w:val="00316AAE"/>
    <w:rsid w:val="00316BD7"/>
    <w:rsid w:val="00316BF1"/>
    <w:rsid w:val="00316C12"/>
    <w:rsid w:val="00316D46"/>
    <w:rsid w:val="00316D9A"/>
    <w:rsid w:val="00316E7C"/>
    <w:rsid w:val="00316F66"/>
    <w:rsid w:val="00316FAC"/>
    <w:rsid w:val="00316FCB"/>
    <w:rsid w:val="003170ED"/>
    <w:rsid w:val="003170FA"/>
    <w:rsid w:val="003172EF"/>
    <w:rsid w:val="00317350"/>
    <w:rsid w:val="003173BF"/>
    <w:rsid w:val="003173CC"/>
    <w:rsid w:val="0031745C"/>
    <w:rsid w:val="003175AF"/>
    <w:rsid w:val="00317643"/>
    <w:rsid w:val="00317689"/>
    <w:rsid w:val="003176D2"/>
    <w:rsid w:val="003177E9"/>
    <w:rsid w:val="00317809"/>
    <w:rsid w:val="00317A50"/>
    <w:rsid w:val="00317A73"/>
    <w:rsid w:val="00317A79"/>
    <w:rsid w:val="00317B23"/>
    <w:rsid w:val="00317CD9"/>
    <w:rsid w:val="00317CF3"/>
    <w:rsid w:val="00317D3B"/>
    <w:rsid w:val="00317DBD"/>
    <w:rsid w:val="00317DE5"/>
    <w:rsid w:val="00317E19"/>
    <w:rsid w:val="00317E35"/>
    <w:rsid w:val="00317FE3"/>
    <w:rsid w:val="00320088"/>
    <w:rsid w:val="0032018F"/>
    <w:rsid w:val="003202B6"/>
    <w:rsid w:val="00320476"/>
    <w:rsid w:val="00320520"/>
    <w:rsid w:val="0032057E"/>
    <w:rsid w:val="003205DC"/>
    <w:rsid w:val="00320617"/>
    <w:rsid w:val="00320637"/>
    <w:rsid w:val="0032065C"/>
    <w:rsid w:val="0032067E"/>
    <w:rsid w:val="00320732"/>
    <w:rsid w:val="00320788"/>
    <w:rsid w:val="003207E8"/>
    <w:rsid w:val="0032081D"/>
    <w:rsid w:val="003208EF"/>
    <w:rsid w:val="00320904"/>
    <w:rsid w:val="003209E6"/>
    <w:rsid w:val="00320A4E"/>
    <w:rsid w:val="00320B42"/>
    <w:rsid w:val="00320B8B"/>
    <w:rsid w:val="00320BDF"/>
    <w:rsid w:val="00320D1E"/>
    <w:rsid w:val="00320EE4"/>
    <w:rsid w:val="00320F3C"/>
    <w:rsid w:val="003210C1"/>
    <w:rsid w:val="0032118D"/>
    <w:rsid w:val="003211AF"/>
    <w:rsid w:val="003211FC"/>
    <w:rsid w:val="0032121D"/>
    <w:rsid w:val="003213CE"/>
    <w:rsid w:val="0032147F"/>
    <w:rsid w:val="003215B4"/>
    <w:rsid w:val="00321642"/>
    <w:rsid w:val="0032164D"/>
    <w:rsid w:val="00321760"/>
    <w:rsid w:val="003217AA"/>
    <w:rsid w:val="003217F8"/>
    <w:rsid w:val="00321898"/>
    <w:rsid w:val="003218B3"/>
    <w:rsid w:val="003219A4"/>
    <w:rsid w:val="003219C2"/>
    <w:rsid w:val="00321AFF"/>
    <w:rsid w:val="00321B29"/>
    <w:rsid w:val="00321DE5"/>
    <w:rsid w:val="00321E49"/>
    <w:rsid w:val="00321EDC"/>
    <w:rsid w:val="00321F28"/>
    <w:rsid w:val="00321F4C"/>
    <w:rsid w:val="00322088"/>
    <w:rsid w:val="0032218E"/>
    <w:rsid w:val="0032221B"/>
    <w:rsid w:val="0032242A"/>
    <w:rsid w:val="00322480"/>
    <w:rsid w:val="0032250A"/>
    <w:rsid w:val="00322635"/>
    <w:rsid w:val="0032264D"/>
    <w:rsid w:val="00322667"/>
    <w:rsid w:val="003226FC"/>
    <w:rsid w:val="003227D3"/>
    <w:rsid w:val="003227E1"/>
    <w:rsid w:val="00322839"/>
    <w:rsid w:val="00322933"/>
    <w:rsid w:val="0032298E"/>
    <w:rsid w:val="003229CF"/>
    <w:rsid w:val="00322A28"/>
    <w:rsid w:val="00322ACE"/>
    <w:rsid w:val="00322B98"/>
    <w:rsid w:val="00322C29"/>
    <w:rsid w:val="00322CCF"/>
    <w:rsid w:val="00322D56"/>
    <w:rsid w:val="00322D91"/>
    <w:rsid w:val="00322E52"/>
    <w:rsid w:val="00322F1F"/>
    <w:rsid w:val="00322FB5"/>
    <w:rsid w:val="00322FF7"/>
    <w:rsid w:val="00323096"/>
    <w:rsid w:val="0032315A"/>
    <w:rsid w:val="003231FA"/>
    <w:rsid w:val="003231FE"/>
    <w:rsid w:val="00323212"/>
    <w:rsid w:val="00323236"/>
    <w:rsid w:val="003234BA"/>
    <w:rsid w:val="0032355D"/>
    <w:rsid w:val="003235EB"/>
    <w:rsid w:val="00323702"/>
    <w:rsid w:val="00323746"/>
    <w:rsid w:val="0032375C"/>
    <w:rsid w:val="0032383B"/>
    <w:rsid w:val="0032386C"/>
    <w:rsid w:val="0032399E"/>
    <w:rsid w:val="003239BC"/>
    <w:rsid w:val="00323A1D"/>
    <w:rsid w:val="00323A55"/>
    <w:rsid w:val="00323A57"/>
    <w:rsid w:val="00323B02"/>
    <w:rsid w:val="00323C2B"/>
    <w:rsid w:val="00323C53"/>
    <w:rsid w:val="00323C93"/>
    <w:rsid w:val="003240C9"/>
    <w:rsid w:val="003241F9"/>
    <w:rsid w:val="0032422E"/>
    <w:rsid w:val="003242E0"/>
    <w:rsid w:val="0032434A"/>
    <w:rsid w:val="0032454D"/>
    <w:rsid w:val="003245B8"/>
    <w:rsid w:val="003245D9"/>
    <w:rsid w:val="00324666"/>
    <w:rsid w:val="0032469B"/>
    <w:rsid w:val="0032475B"/>
    <w:rsid w:val="00324766"/>
    <w:rsid w:val="0032477F"/>
    <w:rsid w:val="00324847"/>
    <w:rsid w:val="003248F2"/>
    <w:rsid w:val="00324932"/>
    <w:rsid w:val="00324A97"/>
    <w:rsid w:val="00324AF7"/>
    <w:rsid w:val="00324BCE"/>
    <w:rsid w:val="00324C67"/>
    <w:rsid w:val="00324D2C"/>
    <w:rsid w:val="00324DAB"/>
    <w:rsid w:val="00324DE6"/>
    <w:rsid w:val="00324ED3"/>
    <w:rsid w:val="00325049"/>
    <w:rsid w:val="00325058"/>
    <w:rsid w:val="003250CB"/>
    <w:rsid w:val="003251F8"/>
    <w:rsid w:val="0032534E"/>
    <w:rsid w:val="003253AD"/>
    <w:rsid w:val="003254AB"/>
    <w:rsid w:val="0032552A"/>
    <w:rsid w:val="0032561E"/>
    <w:rsid w:val="0032562F"/>
    <w:rsid w:val="003256B7"/>
    <w:rsid w:val="003258A7"/>
    <w:rsid w:val="003258DC"/>
    <w:rsid w:val="00325A18"/>
    <w:rsid w:val="00325B09"/>
    <w:rsid w:val="00325B1B"/>
    <w:rsid w:val="00325B23"/>
    <w:rsid w:val="00325B3A"/>
    <w:rsid w:val="00325BD4"/>
    <w:rsid w:val="00325C12"/>
    <w:rsid w:val="00325C27"/>
    <w:rsid w:val="00325C6B"/>
    <w:rsid w:val="00325C8E"/>
    <w:rsid w:val="00325CCC"/>
    <w:rsid w:val="00325CE4"/>
    <w:rsid w:val="00325E05"/>
    <w:rsid w:val="00325E11"/>
    <w:rsid w:val="00325E6A"/>
    <w:rsid w:val="00325E82"/>
    <w:rsid w:val="00325EF0"/>
    <w:rsid w:val="0032609E"/>
    <w:rsid w:val="003262BA"/>
    <w:rsid w:val="00326401"/>
    <w:rsid w:val="00326522"/>
    <w:rsid w:val="003267F6"/>
    <w:rsid w:val="0032683F"/>
    <w:rsid w:val="00326852"/>
    <w:rsid w:val="00326A3C"/>
    <w:rsid w:val="00326B71"/>
    <w:rsid w:val="00326D7D"/>
    <w:rsid w:val="00326D80"/>
    <w:rsid w:val="003270B8"/>
    <w:rsid w:val="003270F0"/>
    <w:rsid w:val="00327130"/>
    <w:rsid w:val="00327264"/>
    <w:rsid w:val="003273E9"/>
    <w:rsid w:val="003274EF"/>
    <w:rsid w:val="00327505"/>
    <w:rsid w:val="00327508"/>
    <w:rsid w:val="00327541"/>
    <w:rsid w:val="0032765B"/>
    <w:rsid w:val="0032766F"/>
    <w:rsid w:val="0032769F"/>
    <w:rsid w:val="00327758"/>
    <w:rsid w:val="003277F7"/>
    <w:rsid w:val="00327829"/>
    <w:rsid w:val="00327883"/>
    <w:rsid w:val="0032788E"/>
    <w:rsid w:val="00327996"/>
    <w:rsid w:val="00327AA7"/>
    <w:rsid w:val="00327AB1"/>
    <w:rsid w:val="00327AF0"/>
    <w:rsid w:val="00327B30"/>
    <w:rsid w:val="00327B5F"/>
    <w:rsid w:val="00327B83"/>
    <w:rsid w:val="00327C94"/>
    <w:rsid w:val="00327DD0"/>
    <w:rsid w:val="00327F23"/>
    <w:rsid w:val="00327F55"/>
    <w:rsid w:val="00327F61"/>
    <w:rsid w:val="00327F8B"/>
    <w:rsid w:val="00327FD9"/>
    <w:rsid w:val="00330211"/>
    <w:rsid w:val="00330291"/>
    <w:rsid w:val="003303DC"/>
    <w:rsid w:val="00330577"/>
    <w:rsid w:val="00330612"/>
    <w:rsid w:val="0033066A"/>
    <w:rsid w:val="003306AC"/>
    <w:rsid w:val="003306B2"/>
    <w:rsid w:val="003306C2"/>
    <w:rsid w:val="003308BB"/>
    <w:rsid w:val="00330900"/>
    <w:rsid w:val="00330959"/>
    <w:rsid w:val="00330A6D"/>
    <w:rsid w:val="00330A80"/>
    <w:rsid w:val="00330B65"/>
    <w:rsid w:val="00330BC8"/>
    <w:rsid w:val="00330D08"/>
    <w:rsid w:val="00330D12"/>
    <w:rsid w:val="00330E58"/>
    <w:rsid w:val="00330E97"/>
    <w:rsid w:val="00330F94"/>
    <w:rsid w:val="00330FA7"/>
    <w:rsid w:val="00330FEC"/>
    <w:rsid w:val="00331019"/>
    <w:rsid w:val="003310E9"/>
    <w:rsid w:val="003311BE"/>
    <w:rsid w:val="003312BF"/>
    <w:rsid w:val="00331319"/>
    <w:rsid w:val="003314FC"/>
    <w:rsid w:val="00331620"/>
    <w:rsid w:val="00331684"/>
    <w:rsid w:val="003316D8"/>
    <w:rsid w:val="0033187B"/>
    <w:rsid w:val="00331906"/>
    <w:rsid w:val="00331955"/>
    <w:rsid w:val="00331971"/>
    <w:rsid w:val="0033199E"/>
    <w:rsid w:val="00331A60"/>
    <w:rsid w:val="00331BDC"/>
    <w:rsid w:val="00331C77"/>
    <w:rsid w:val="00331E10"/>
    <w:rsid w:val="00331E35"/>
    <w:rsid w:val="00331EEB"/>
    <w:rsid w:val="00331F70"/>
    <w:rsid w:val="0033203A"/>
    <w:rsid w:val="0033207C"/>
    <w:rsid w:val="00332264"/>
    <w:rsid w:val="0033226E"/>
    <w:rsid w:val="0033234E"/>
    <w:rsid w:val="0033239C"/>
    <w:rsid w:val="00332514"/>
    <w:rsid w:val="003325CE"/>
    <w:rsid w:val="0033266C"/>
    <w:rsid w:val="003326D9"/>
    <w:rsid w:val="003326EA"/>
    <w:rsid w:val="00332806"/>
    <w:rsid w:val="003328B3"/>
    <w:rsid w:val="003328C8"/>
    <w:rsid w:val="00332923"/>
    <w:rsid w:val="00332B1D"/>
    <w:rsid w:val="00332B70"/>
    <w:rsid w:val="00332C1C"/>
    <w:rsid w:val="00332D88"/>
    <w:rsid w:val="00332EA4"/>
    <w:rsid w:val="00332ED6"/>
    <w:rsid w:val="00332F1B"/>
    <w:rsid w:val="0033305B"/>
    <w:rsid w:val="0033308D"/>
    <w:rsid w:val="003330EA"/>
    <w:rsid w:val="0033311D"/>
    <w:rsid w:val="003331BD"/>
    <w:rsid w:val="003332D5"/>
    <w:rsid w:val="00333376"/>
    <w:rsid w:val="003333C9"/>
    <w:rsid w:val="0033345B"/>
    <w:rsid w:val="00333490"/>
    <w:rsid w:val="003334E0"/>
    <w:rsid w:val="00333567"/>
    <w:rsid w:val="00333578"/>
    <w:rsid w:val="0033367F"/>
    <w:rsid w:val="00333740"/>
    <w:rsid w:val="00333757"/>
    <w:rsid w:val="003338CE"/>
    <w:rsid w:val="0033391C"/>
    <w:rsid w:val="00333948"/>
    <w:rsid w:val="003339FE"/>
    <w:rsid w:val="00333A3B"/>
    <w:rsid w:val="00333A4B"/>
    <w:rsid w:val="00333AC4"/>
    <w:rsid w:val="00333B36"/>
    <w:rsid w:val="00333C5B"/>
    <w:rsid w:val="0033405D"/>
    <w:rsid w:val="003340BC"/>
    <w:rsid w:val="00334103"/>
    <w:rsid w:val="003342A2"/>
    <w:rsid w:val="0033431B"/>
    <w:rsid w:val="00334345"/>
    <w:rsid w:val="00334411"/>
    <w:rsid w:val="003344B8"/>
    <w:rsid w:val="00334613"/>
    <w:rsid w:val="0033477D"/>
    <w:rsid w:val="00334871"/>
    <w:rsid w:val="003348C5"/>
    <w:rsid w:val="00334B39"/>
    <w:rsid w:val="00334C72"/>
    <w:rsid w:val="00334CCD"/>
    <w:rsid w:val="00334CE0"/>
    <w:rsid w:val="00334F5F"/>
    <w:rsid w:val="00334FB3"/>
    <w:rsid w:val="00335027"/>
    <w:rsid w:val="00335044"/>
    <w:rsid w:val="00335061"/>
    <w:rsid w:val="003350A7"/>
    <w:rsid w:val="0033512C"/>
    <w:rsid w:val="00335143"/>
    <w:rsid w:val="003351C8"/>
    <w:rsid w:val="0033534E"/>
    <w:rsid w:val="00335365"/>
    <w:rsid w:val="00335481"/>
    <w:rsid w:val="00335515"/>
    <w:rsid w:val="00335546"/>
    <w:rsid w:val="0033558B"/>
    <w:rsid w:val="00335599"/>
    <w:rsid w:val="00335619"/>
    <w:rsid w:val="003356A0"/>
    <w:rsid w:val="003357B6"/>
    <w:rsid w:val="0033586D"/>
    <w:rsid w:val="0033591F"/>
    <w:rsid w:val="00335B92"/>
    <w:rsid w:val="00335C0D"/>
    <w:rsid w:val="00335D66"/>
    <w:rsid w:val="00335DC1"/>
    <w:rsid w:val="00335E8A"/>
    <w:rsid w:val="00335FC5"/>
    <w:rsid w:val="003361C5"/>
    <w:rsid w:val="0033621A"/>
    <w:rsid w:val="00336391"/>
    <w:rsid w:val="003364D1"/>
    <w:rsid w:val="0033671B"/>
    <w:rsid w:val="00336809"/>
    <w:rsid w:val="00336851"/>
    <w:rsid w:val="003368DB"/>
    <w:rsid w:val="00336940"/>
    <w:rsid w:val="00336954"/>
    <w:rsid w:val="00336976"/>
    <w:rsid w:val="00336A52"/>
    <w:rsid w:val="00336B09"/>
    <w:rsid w:val="00336B45"/>
    <w:rsid w:val="00336BEA"/>
    <w:rsid w:val="003370A5"/>
    <w:rsid w:val="00337137"/>
    <w:rsid w:val="00337197"/>
    <w:rsid w:val="003371A3"/>
    <w:rsid w:val="003371AC"/>
    <w:rsid w:val="0033720B"/>
    <w:rsid w:val="003372A2"/>
    <w:rsid w:val="0033740F"/>
    <w:rsid w:val="0033746C"/>
    <w:rsid w:val="003374A2"/>
    <w:rsid w:val="003376A3"/>
    <w:rsid w:val="0033770D"/>
    <w:rsid w:val="0033770E"/>
    <w:rsid w:val="00337855"/>
    <w:rsid w:val="00337870"/>
    <w:rsid w:val="00337AB5"/>
    <w:rsid w:val="00337B2A"/>
    <w:rsid w:val="00337B58"/>
    <w:rsid w:val="00337BA1"/>
    <w:rsid w:val="00337C39"/>
    <w:rsid w:val="00337CA9"/>
    <w:rsid w:val="00337DF0"/>
    <w:rsid w:val="00337EC6"/>
    <w:rsid w:val="00337F7C"/>
    <w:rsid w:val="00338C05"/>
    <w:rsid w:val="003394E3"/>
    <w:rsid w:val="00340030"/>
    <w:rsid w:val="0034003C"/>
    <w:rsid w:val="0034005A"/>
    <w:rsid w:val="00340070"/>
    <w:rsid w:val="00340141"/>
    <w:rsid w:val="00340177"/>
    <w:rsid w:val="003401A8"/>
    <w:rsid w:val="00340250"/>
    <w:rsid w:val="003402B9"/>
    <w:rsid w:val="0034037F"/>
    <w:rsid w:val="0034043E"/>
    <w:rsid w:val="003405A5"/>
    <w:rsid w:val="003405B5"/>
    <w:rsid w:val="0034062C"/>
    <w:rsid w:val="0034075C"/>
    <w:rsid w:val="00340816"/>
    <w:rsid w:val="00340826"/>
    <w:rsid w:val="00340880"/>
    <w:rsid w:val="0034095E"/>
    <w:rsid w:val="00340A38"/>
    <w:rsid w:val="00340A7A"/>
    <w:rsid w:val="00340AD9"/>
    <w:rsid w:val="00340B59"/>
    <w:rsid w:val="00340B73"/>
    <w:rsid w:val="00340BEC"/>
    <w:rsid w:val="00340C44"/>
    <w:rsid w:val="00340C82"/>
    <w:rsid w:val="00340D41"/>
    <w:rsid w:val="00340F8B"/>
    <w:rsid w:val="0034108B"/>
    <w:rsid w:val="003410C4"/>
    <w:rsid w:val="0034129A"/>
    <w:rsid w:val="003413C5"/>
    <w:rsid w:val="00341416"/>
    <w:rsid w:val="0034150B"/>
    <w:rsid w:val="0034159A"/>
    <w:rsid w:val="00341643"/>
    <w:rsid w:val="00341694"/>
    <w:rsid w:val="003416F9"/>
    <w:rsid w:val="003417C1"/>
    <w:rsid w:val="00341889"/>
    <w:rsid w:val="0034188A"/>
    <w:rsid w:val="00341946"/>
    <w:rsid w:val="0034197B"/>
    <w:rsid w:val="00341B9A"/>
    <w:rsid w:val="00341BC1"/>
    <w:rsid w:val="00341C34"/>
    <w:rsid w:val="00341D0D"/>
    <w:rsid w:val="00341D83"/>
    <w:rsid w:val="00341D98"/>
    <w:rsid w:val="00341E07"/>
    <w:rsid w:val="00341E78"/>
    <w:rsid w:val="00341E8B"/>
    <w:rsid w:val="00341E98"/>
    <w:rsid w:val="00341EA2"/>
    <w:rsid w:val="00341F1C"/>
    <w:rsid w:val="00341F5F"/>
    <w:rsid w:val="0034201C"/>
    <w:rsid w:val="003420F8"/>
    <w:rsid w:val="003421F8"/>
    <w:rsid w:val="00342224"/>
    <w:rsid w:val="003422A6"/>
    <w:rsid w:val="003422B2"/>
    <w:rsid w:val="003422BF"/>
    <w:rsid w:val="00342407"/>
    <w:rsid w:val="0034245A"/>
    <w:rsid w:val="0034249D"/>
    <w:rsid w:val="0034254D"/>
    <w:rsid w:val="003426AD"/>
    <w:rsid w:val="00342826"/>
    <w:rsid w:val="0034294B"/>
    <w:rsid w:val="00342A53"/>
    <w:rsid w:val="00342B3A"/>
    <w:rsid w:val="00342BB3"/>
    <w:rsid w:val="00342C06"/>
    <w:rsid w:val="00342CF1"/>
    <w:rsid w:val="00342D34"/>
    <w:rsid w:val="00342F8D"/>
    <w:rsid w:val="003430D7"/>
    <w:rsid w:val="0034311A"/>
    <w:rsid w:val="003431B6"/>
    <w:rsid w:val="0034324E"/>
    <w:rsid w:val="003432F0"/>
    <w:rsid w:val="0034345C"/>
    <w:rsid w:val="003434EE"/>
    <w:rsid w:val="003435F7"/>
    <w:rsid w:val="003435FA"/>
    <w:rsid w:val="003438B2"/>
    <w:rsid w:val="00343984"/>
    <w:rsid w:val="003439FA"/>
    <w:rsid w:val="00343B3C"/>
    <w:rsid w:val="00343C1F"/>
    <w:rsid w:val="00343DBD"/>
    <w:rsid w:val="00343FEE"/>
    <w:rsid w:val="003440AE"/>
    <w:rsid w:val="003440EB"/>
    <w:rsid w:val="00344120"/>
    <w:rsid w:val="0034419F"/>
    <w:rsid w:val="00344207"/>
    <w:rsid w:val="00344209"/>
    <w:rsid w:val="00344256"/>
    <w:rsid w:val="0034427B"/>
    <w:rsid w:val="00344355"/>
    <w:rsid w:val="00344442"/>
    <w:rsid w:val="0034444A"/>
    <w:rsid w:val="00344581"/>
    <w:rsid w:val="0034459A"/>
    <w:rsid w:val="003445AE"/>
    <w:rsid w:val="003446C6"/>
    <w:rsid w:val="003446FA"/>
    <w:rsid w:val="003446FB"/>
    <w:rsid w:val="00344791"/>
    <w:rsid w:val="00344827"/>
    <w:rsid w:val="003448EE"/>
    <w:rsid w:val="003449CE"/>
    <w:rsid w:val="00344A9B"/>
    <w:rsid w:val="00344AC3"/>
    <w:rsid w:val="00344C15"/>
    <w:rsid w:val="00344C42"/>
    <w:rsid w:val="00344CA2"/>
    <w:rsid w:val="00344DEC"/>
    <w:rsid w:val="00344F5D"/>
    <w:rsid w:val="003450BB"/>
    <w:rsid w:val="00345107"/>
    <w:rsid w:val="003451CF"/>
    <w:rsid w:val="00345287"/>
    <w:rsid w:val="003452AB"/>
    <w:rsid w:val="003453B2"/>
    <w:rsid w:val="00345439"/>
    <w:rsid w:val="00345467"/>
    <w:rsid w:val="0034549B"/>
    <w:rsid w:val="003454C2"/>
    <w:rsid w:val="00345575"/>
    <w:rsid w:val="00345895"/>
    <w:rsid w:val="0034592F"/>
    <w:rsid w:val="00345954"/>
    <w:rsid w:val="003459C5"/>
    <w:rsid w:val="00345A59"/>
    <w:rsid w:val="00345B28"/>
    <w:rsid w:val="00345B4B"/>
    <w:rsid w:val="00345BA8"/>
    <w:rsid w:val="00345C17"/>
    <w:rsid w:val="00345E23"/>
    <w:rsid w:val="00345E90"/>
    <w:rsid w:val="0034600B"/>
    <w:rsid w:val="00346011"/>
    <w:rsid w:val="0034604A"/>
    <w:rsid w:val="003462C2"/>
    <w:rsid w:val="003462C4"/>
    <w:rsid w:val="00346473"/>
    <w:rsid w:val="003464B9"/>
    <w:rsid w:val="00346538"/>
    <w:rsid w:val="00346637"/>
    <w:rsid w:val="00346662"/>
    <w:rsid w:val="00346786"/>
    <w:rsid w:val="003468C8"/>
    <w:rsid w:val="0034697C"/>
    <w:rsid w:val="003469C0"/>
    <w:rsid w:val="00346A97"/>
    <w:rsid w:val="00346B42"/>
    <w:rsid w:val="00346C43"/>
    <w:rsid w:val="00346C55"/>
    <w:rsid w:val="00346CAB"/>
    <w:rsid w:val="00346CEF"/>
    <w:rsid w:val="00346D55"/>
    <w:rsid w:val="00346D5E"/>
    <w:rsid w:val="00346D95"/>
    <w:rsid w:val="00346DFD"/>
    <w:rsid w:val="00346E32"/>
    <w:rsid w:val="00346E88"/>
    <w:rsid w:val="00346F40"/>
    <w:rsid w:val="00346F41"/>
    <w:rsid w:val="00346F78"/>
    <w:rsid w:val="00346F8B"/>
    <w:rsid w:val="00346FD0"/>
    <w:rsid w:val="00347067"/>
    <w:rsid w:val="00347088"/>
    <w:rsid w:val="0034709F"/>
    <w:rsid w:val="003470BF"/>
    <w:rsid w:val="003473C5"/>
    <w:rsid w:val="003473C7"/>
    <w:rsid w:val="003473CB"/>
    <w:rsid w:val="003473D1"/>
    <w:rsid w:val="003473FA"/>
    <w:rsid w:val="0034744D"/>
    <w:rsid w:val="003474BB"/>
    <w:rsid w:val="003474C1"/>
    <w:rsid w:val="003475BA"/>
    <w:rsid w:val="003475DA"/>
    <w:rsid w:val="00347683"/>
    <w:rsid w:val="0034768B"/>
    <w:rsid w:val="0034769D"/>
    <w:rsid w:val="003476B5"/>
    <w:rsid w:val="003476DB"/>
    <w:rsid w:val="003476EE"/>
    <w:rsid w:val="00347732"/>
    <w:rsid w:val="00347771"/>
    <w:rsid w:val="003478BE"/>
    <w:rsid w:val="0034796A"/>
    <w:rsid w:val="0034798E"/>
    <w:rsid w:val="00347A5E"/>
    <w:rsid w:val="00347B55"/>
    <w:rsid w:val="00347B5E"/>
    <w:rsid w:val="00347BA3"/>
    <w:rsid w:val="00347BFF"/>
    <w:rsid w:val="00347C32"/>
    <w:rsid w:val="00347CDD"/>
    <w:rsid w:val="00347D05"/>
    <w:rsid w:val="00347E1B"/>
    <w:rsid w:val="00347F92"/>
    <w:rsid w:val="00347F98"/>
    <w:rsid w:val="00347F9A"/>
    <w:rsid w:val="0034F52E"/>
    <w:rsid w:val="00350049"/>
    <w:rsid w:val="0035004C"/>
    <w:rsid w:val="00350050"/>
    <w:rsid w:val="00350073"/>
    <w:rsid w:val="003500EE"/>
    <w:rsid w:val="00350157"/>
    <w:rsid w:val="00350269"/>
    <w:rsid w:val="0035029D"/>
    <w:rsid w:val="003502C6"/>
    <w:rsid w:val="003502CE"/>
    <w:rsid w:val="0035034B"/>
    <w:rsid w:val="00350358"/>
    <w:rsid w:val="0035038D"/>
    <w:rsid w:val="0035038E"/>
    <w:rsid w:val="003503C2"/>
    <w:rsid w:val="003503E6"/>
    <w:rsid w:val="003503F6"/>
    <w:rsid w:val="003503FE"/>
    <w:rsid w:val="0035045D"/>
    <w:rsid w:val="00350466"/>
    <w:rsid w:val="00350473"/>
    <w:rsid w:val="003504EB"/>
    <w:rsid w:val="0035058B"/>
    <w:rsid w:val="003506CA"/>
    <w:rsid w:val="00350817"/>
    <w:rsid w:val="00350905"/>
    <w:rsid w:val="00350941"/>
    <w:rsid w:val="003509DA"/>
    <w:rsid w:val="00350A02"/>
    <w:rsid w:val="00350BD0"/>
    <w:rsid w:val="00350C4D"/>
    <w:rsid w:val="00350CF5"/>
    <w:rsid w:val="00350DE0"/>
    <w:rsid w:val="00350E65"/>
    <w:rsid w:val="00350E83"/>
    <w:rsid w:val="00350EFC"/>
    <w:rsid w:val="00350F7E"/>
    <w:rsid w:val="00350F9F"/>
    <w:rsid w:val="00350FD4"/>
    <w:rsid w:val="003510D1"/>
    <w:rsid w:val="0035127D"/>
    <w:rsid w:val="0035148A"/>
    <w:rsid w:val="00351582"/>
    <w:rsid w:val="0035159D"/>
    <w:rsid w:val="003515DB"/>
    <w:rsid w:val="003515E9"/>
    <w:rsid w:val="00351663"/>
    <w:rsid w:val="003516F3"/>
    <w:rsid w:val="003517F6"/>
    <w:rsid w:val="003519BC"/>
    <w:rsid w:val="003519CF"/>
    <w:rsid w:val="00351A07"/>
    <w:rsid w:val="00351A80"/>
    <w:rsid w:val="00351D36"/>
    <w:rsid w:val="00351D97"/>
    <w:rsid w:val="00351E41"/>
    <w:rsid w:val="00351E68"/>
    <w:rsid w:val="00351EC9"/>
    <w:rsid w:val="00351F60"/>
    <w:rsid w:val="00352056"/>
    <w:rsid w:val="0035215C"/>
    <w:rsid w:val="00352238"/>
    <w:rsid w:val="0035226D"/>
    <w:rsid w:val="003522E7"/>
    <w:rsid w:val="00352369"/>
    <w:rsid w:val="00352394"/>
    <w:rsid w:val="003523CF"/>
    <w:rsid w:val="0035250E"/>
    <w:rsid w:val="00352563"/>
    <w:rsid w:val="00352584"/>
    <w:rsid w:val="00352681"/>
    <w:rsid w:val="003526DD"/>
    <w:rsid w:val="0035274D"/>
    <w:rsid w:val="0035289A"/>
    <w:rsid w:val="00352A53"/>
    <w:rsid w:val="00352B17"/>
    <w:rsid w:val="00352BC2"/>
    <w:rsid w:val="00352C22"/>
    <w:rsid w:val="00352DB1"/>
    <w:rsid w:val="00352E27"/>
    <w:rsid w:val="00352E4C"/>
    <w:rsid w:val="00352F41"/>
    <w:rsid w:val="0035304E"/>
    <w:rsid w:val="0035306B"/>
    <w:rsid w:val="003530D1"/>
    <w:rsid w:val="0035313E"/>
    <w:rsid w:val="003531E1"/>
    <w:rsid w:val="00353344"/>
    <w:rsid w:val="003533D0"/>
    <w:rsid w:val="0035347A"/>
    <w:rsid w:val="003536B6"/>
    <w:rsid w:val="00353B1B"/>
    <w:rsid w:val="00353B6F"/>
    <w:rsid w:val="00353C1C"/>
    <w:rsid w:val="00353C27"/>
    <w:rsid w:val="00353CFE"/>
    <w:rsid w:val="00353F85"/>
    <w:rsid w:val="003541F4"/>
    <w:rsid w:val="00354264"/>
    <w:rsid w:val="0035436A"/>
    <w:rsid w:val="00354391"/>
    <w:rsid w:val="003543E3"/>
    <w:rsid w:val="00354513"/>
    <w:rsid w:val="003545F5"/>
    <w:rsid w:val="0035466B"/>
    <w:rsid w:val="003546D5"/>
    <w:rsid w:val="0035474C"/>
    <w:rsid w:val="00354771"/>
    <w:rsid w:val="00354838"/>
    <w:rsid w:val="0035483A"/>
    <w:rsid w:val="00354878"/>
    <w:rsid w:val="00354B16"/>
    <w:rsid w:val="00354B23"/>
    <w:rsid w:val="00354B78"/>
    <w:rsid w:val="00354BA7"/>
    <w:rsid w:val="00354C12"/>
    <w:rsid w:val="00354CAB"/>
    <w:rsid w:val="00354D62"/>
    <w:rsid w:val="00354D63"/>
    <w:rsid w:val="00354D77"/>
    <w:rsid w:val="00355078"/>
    <w:rsid w:val="00355096"/>
    <w:rsid w:val="0035517D"/>
    <w:rsid w:val="003551C0"/>
    <w:rsid w:val="00355227"/>
    <w:rsid w:val="00355241"/>
    <w:rsid w:val="0035527B"/>
    <w:rsid w:val="00355320"/>
    <w:rsid w:val="0035532C"/>
    <w:rsid w:val="00355467"/>
    <w:rsid w:val="0035551B"/>
    <w:rsid w:val="00355540"/>
    <w:rsid w:val="00355614"/>
    <w:rsid w:val="00355665"/>
    <w:rsid w:val="003556F4"/>
    <w:rsid w:val="003557ED"/>
    <w:rsid w:val="00355847"/>
    <w:rsid w:val="003558C4"/>
    <w:rsid w:val="00355947"/>
    <w:rsid w:val="00355A6C"/>
    <w:rsid w:val="00355A88"/>
    <w:rsid w:val="00355B74"/>
    <w:rsid w:val="00355C34"/>
    <w:rsid w:val="00355CBB"/>
    <w:rsid w:val="00355D1D"/>
    <w:rsid w:val="00355D32"/>
    <w:rsid w:val="00355DB4"/>
    <w:rsid w:val="00355DB7"/>
    <w:rsid w:val="00355E10"/>
    <w:rsid w:val="00355FF6"/>
    <w:rsid w:val="00356073"/>
    <w:rsid w:val="003560EF"/>
    <w:rsid w:val="003560F5"/>
    <w:rsid w:val="003561EF"/>
    <w:rsid w:val="00356242"/>
    <w:rsid w:val="00356275"/>
    <w:rsid w:val="00356327"/>
    <w:rsid w:val="0035637A"/>
    <w:rsid w:val="003563CB"/>
    <w:rsid w:val="00356408"/>
    <w:rsid w:val="0035642C"/>
    <w:rsid w:val="003564B7"/>
    <w:rsid w:val="003565AB"/>
    <w:rsid w:val="003565AC"/>
    <w:rsid w:val="003565B1"/>
    <w:rsid w:val="0035662B"/>
    <w:rsid w:val="00356672"/>
    <w:rsid w:val="003566C3"/>
    <w:rsid w:val="003566CE"/>
    <w:rsid w:val="003566DF"/>
    <w:rsid w:val="00356727"/>
    <w:rsid w:val="00356A49"/>
    <w:rsid w:val="00356A5A"/>
    <w:rsid w:val="00356A6C"/>
    <w:rsid w:val="00356B51"/>
    <w:rsid w:val="00356C8E"/>
    <w:rsid w:val="00356CE6"/>
    <w:rsid w:val="00356E9F"/>
    <w:rsid w:val="003570F6"/>
    <w:rsid w:val="00357115"/>
    <w:rsid w:val="00357332"/>
    <w:rsid w:val="00357348"/>
    <w:rsid w:val="0035751C"/>
    <w:rsid w:val="0035760F"/>
    <w:rsid w:val="00357612"/>
    <w:rsid w:val="00357631"/>
    <w:rsid w:val="00357769"/>
    <w:rsid w:val="003577A3"/>
    <w:rsid w:val="0035786B"/>
    <w:rsid w:val="00357937"/>
    <w:rsid w:val="00357955"/>
    <w:rsid w:val="00357A0A"/>
    <w:rsid w:val="00357A24"/>
    <w:rsid w:val="00357B1C"/>
    <w:rsid w:val="00357B50"/>
    <w:rsid w:val="00357BCB"/>
    <w:rsid w:val="00357BED"/>
    <w:rsid w:val="00357C2E"/>
    <w:rsid w:val="00357C83"/>
    <w:rsid w:val="00357D1E"/>
    <w:rsid w:val="00357DF9"/>
    <w:rsid w:val="00357E11"/>
    <w:rsid w:val="00357EDD"/>
    <w:rsid w:val="00360053"/>
    <w:rsid w:val="00360126"/>
    <w:rsid w:val="00360176"/>
    <w:rsid w:val="00360189"/>
    <w:rsid w:val="0036026B"/>
    <w:rsid w:val="00360363"/>
    <w:rsid w:val="0036039A"/>
    <w:rsid w:val="00360476"/>
    <w:rsid w:val="003604D6"/>
    <w:rsid w:val="003605DC"/>
    <w:rsid w:val="003605F9"/>
    <w:rsid w:val="0036075C"/>
    <w:rsid w:val="00360967"/>
    <w:rsid w:val="00360BAE"/>
    <w:rsid w:val="00360C3D"/>
    <w:rsid w:val="00360CC7"/>
    <w:rsid w:val="00360D65"/>
    <w:rsid w:val="00360D9E"/>
    <w:rsid w:val="00360E78"/>
    <w:rsid w:val="00360F73"/>
    <w:rsid w:val="00360FBF"/>
    <w:rsid w:val="00361034"/>
    <w:rsid w:val="00361038"/>
    <w:rsid w:val="003610B3"/>
    <w:rsid w:val="00361130"/>
    <w:rsid w:val="00361138"/>
    <w:rsid w:val="00361148"/>
    <w:rsid w:val="003611FF"/>
    <w:rsid w:val="003612C2"/>
    <w:rsid w:val="00361362"/>
    <w:rsid w:val="003613C2"/>
    <w:rsid w:val="003613CD"/>
    <w:rsid w:val="003613EB"/>
    <w:rsid w:val="00361402"/>
    <w:rsid w:val="00361443"/>
    <w:rsid w:val="0036144F"/>
    <w:rsid w:val="003614B2"/>
    <w:rsid w:val="003614C4"/>
    <w:rsid w:val="003616EF"/>
    <w:rsid w:val="00361781"/>
    <w:rsid w:val="003617BF"/>
    <w:rsid w:val="003617E9"/>
    <w:rsid w:val="0036182F"/>
    <w:rsid w:val="0036188F"/>
    <w:rsid w:val="003618A1"/>
    <w:rsid w:val="003618D5"/>
    <w:rsid w:val="003618DA"/>
    <w:rsid w:val="00361980"/>
    <w:rsid w:val="003619F9"/>
    <w:rsid w:val="00361C7C"/>
    <w:rsid w:val="00361C8B"/>
    <w:rsid w:val="00361D0D"/>
    <w:rsid w:val="00361DD4"/>
    <w:rsid w:val="0036207A"/>
    <w:rsid w:val="00362122"/>
    <w:rsid w:val="00362129"/>
    <w:rsid w:val="00362213"/>
    <w:rsid w:val="0036223D"/>
    <w:rsid w:val="003622D0"/>
    <w:rsid w:val="003622F9"/>
    <w:rsid w:val="00362351"/>
    <w:rsid w:val="0036239E"/>
    <w:rsid w:val="003623E9"/>
    <w:rsid w:val="0036241B"/>
    <w:rsid w:val="00362434"/>
    <w:rsid w:val="0036252C"/>
    <w:rsid w:val="00362631"/>
    <w:rsid w:val="00362669"/>
    <w:rsid w:val="00362692"/>
    <w:rsid w:val="00362710"/>
    <w:rsid w:val="00362814"/>
    <w:rsid w:val="00362A47"/>
    <w:rsid w:val="00362A75"/>
    <w:rsid w:val="00362AD8"/>
    <w:rsid w:val="00362B11"/>
    <w:rsid w:val="00362B91"/>
    <w:rsid w:val="00362BB4"/>
    <w:rsid w:val="00362CA8"/>
    <w:rsid w:val="00362CD2"/>
    <w:rsid w:val="00362E53"/>
    <w:rsid w:val="00362E8F"/>
    <w:rsid w:val="00363024"/>
    <w:rsid w:val="00363241"/>
    <w:rsid w:val="00363249"/>
    <w:rsid w:val="003632BC"/>
    <w:rsid w:val="0036331A"/>
    <w:rsid w:val="00363377"/>
    <w:rsid w:val="003634CC"/>
    <w:rsid w:val="003634E8"/>
    <w:rsid w:val="0036359B"/>
    <w:rsid w:val="00363605"/>
    <w:rsid w:val="00363619"/>
    <w:rsid w:val="003636A7"/>
    <w:rsid w:val="00363726"/>
    <w:rsid w:val="003637DA"/>
    <w:rsid w:val="0036381A"/>
    <w:rsid w:val="00363874"/>
    <w:rsid w:val="00363948"/>
    <w:rsid w:val="003639DB"/>
    <w:rsid w:val="00363BE5"/>
    <w:rsid w:val="00363D23"/>
    <w:rsid w:val="00363E33"/>
    <w:rsid w:val="00363E7C"/>
    <w:rsid w:val="00364171"/>
    <w:rsid w:val="0036418A"/>
    <w:rsid w:val="003642F1"/>
    <w:rsid w:val="0036430A"/>
    <w:rsid w:val="00364316"/>
    <w:rsid w:val="00364486"/>
    <w:rsid w:val="00364576"/>
    <w:rsid w:val="00364598"/>
    <w:rsid w:val="00364759"/>
    <w:rsid w:val="003647BD"/>
    <w:rsid w:val="003647DC"/>
    <w:rsid w:val="003648E8"/>
    <w:rsid w:val="00364A50"/>
    <w:rsid w:val="00364A71"/>
    <w:rsid w:val="00364B6C"/>
    <w:rsid w:val="00364BDC"/>
    <w:rsid w:val="00364C41"/>
    <w:rsid w:val="00364D8E"/>
    <w:rsid w:val="00364DAA"/>
    <w:rsid w:val="00364DC1"/>
    <w:rsid w:val="00364DEF"/>
    <w:rsid w:val="00364EFC"/>
    <w:rsid w:val="00364FCB"/>
    <w:rsid w:val="003650A2"/>
    <w:rsid w:val="00365169"/>
    <w:rsid w:val="003651D7"/>
    <w:rsid w:val="00365210"/>
    <w:rsid w:val="0036529E"/>
    <w:rsid w:val="0036536F"/>
    <w:rsid w:val="0036550A"/>
    <w:rsid w:val="00365592"/>
    <w:rsid w:val="003655DC"/>
    <w:rsid w:val="0036563B"/>
    <w:rsid w:val="0036569E"/>
    <w:rsid w:val="003657B4"/>
    <w:rsid w:val="003658E6"/>
    <w:rsid w:val="00365935"/>
    <w:rsid w:val="0036599A"/>
    <w:rsid w:val="003659C1"/>
    <w:rsid w:val="003659C6"/>
    <w:rsid w:val="00365AA5"/>
    <w:rsid w:val="00365AC1"/>
    <w:rsid w:val="00365BBE"/>
    <w:rsid w:val="00365D68"/>
    <w:rsid w:val="00365DA5"/>
    <w:rsid w:val="00365F73"/>
    <w:rsid w:val="00365F7F"/>
    <w:rsid w:val="003661EB"/>
    <w:rsid w:val="00366295"/>
    <w:rsid w:val="00366465"/>
    <w:rsid w:val="003664A6"/>
    <w:rsid w:val="00366587"/>
    <w:rsid w:val="00366656"/>
    <w:rsid w:val="00366725"/>
    <w:rsid w:val="003667DC"/>
    <w:rsid w:val="00366812"/>
    <w:rsid w:val="0036686B"/>
    <w:rsid w:val="003668CA"/>
    <w:rsid w:val="003669AD"/>
    <w:rsid w:val="003669F4"/>
    <w:rsid w:val="00366A35"/>
    <w:rsid w:val="00366AB9"/>
    <w:rsid w:val="00366B94"/>
    <w:rsid w:val="00366C04"/>
    <w:rsid w:val="00366CA6"/>
    <w:rsid w:val="00366D54"/>
    <w:rsid w:val="00366E56"/>
    <w:rsid w:val="00366F5A"/>
    <w:rsid w:val="00366FA2"/>
    <w:rsid w:val="00366FF2"/>
    <w:rsid w:val="00367009"/>
    <w:rsid w:val="003670B5"/>
    <w:rsid w:val="00367186"/>
    <w:rsid w:val="003671F0"/>
    <w:rsid w:val="00367225"/>
    <w:rsid w:val="003673FF"/>
    <w:rsid w:val="00367408"/>
    <w:rsid w:val="00367415"/>
    <w:rsid w:val="00367433"/>
    <w:rsid w:val="00367482"/>
    <w:rsid w:val="0036756A"/>
    <w:rsid w:val="003675C3"/>
    <w:rsid w:val="0036763D"/>
    <w:rsid w:val="003677CA"/>
    <w:rsid w:val="00367942"/>
    <w:rsid w:val="0036794A"/>
    <w:rsid w:val="003679B5"/>
    <w:rsid w:val="003679C5"/>
    <w:rsid w:val="00367A3F"/>
    <w:rsid w:val="00367A88"/>
    <w:rsid w:val="00367A97"/>
    <w:rsid w:val="00367B6F"/>
    <w:rsid w:val="00367BC1"/>
    <w:rsid w:val="00367BC9"/>
    <w:rsid w:val="00367C1F"/>
    <w:rsid w:val="00367CBD"/>
    <w:rsid w:val="00367D68"/>
    <w:rsid w:val="00367D79"/>
    <w:rsid w:val="00367D9B"/>
    <w:rsid w:val="00367E5B"/>
    <w:rsid w:val="00367E9F"/>
    <w:rsid w:val="00367EB1"/>
    <w:rsid w:val="00367F1E"/>
    <w:rsid w:val="00367F3E"/>
    <w:rsid w:val="00369757"/>
    <w:rsid w:val="0036C9A8"/>
    <w:rsid w:val="0037012A"/>
    <w:rsid w:val="003704A5"/>
    <w:rsid w:val="0037053E"/>
    <w:rsid w:val="00370562"/>
    <w:rsid w:val="00370729"/>
    <w:rsid w:val="00370849"/>
    <w:rsid w:val="003708D9"/>
    <w:rsid w:val="003709F2"/>
    <w:rsid w:val="00370A63"/>
    <w:rsid w:val="00370AE6"/>
    <w:rsid w:val="00370B49"/>
    <w:rsid w:val="00370B9E"/>
    <w:rsid w:val="00370BEE"/>
    <w:rsid w:val="00370C41"/>
    <w:rsid w:val="00370D97"/>
    <w:rsid w:val="00370EAC"/>
    <w:rsid w:val="0037118A"/>
    <w:rsid w:val="003711B3"/>
    <w:rsid w:val="003711DE"/>
    <w:rsid w:val="003712B2"/>
    <w:rsid w:val="00371331"/>
    <w:rsid w:val="00371334"/>
    <w:rsid w:val="003714BE"/>
    <w:rsid w:val="003714EE"/>
    <w:rsid w:val="00371608"/>
    <w:rsid w:val="00371694"/>
    <w:rsid w:val="0037176C"/>
    <w:rsid w:val="003717BB"/>
    <w:rsid w:val="0037197F"/>
    <w:rsid w:val="0037198A"/>
    <w:rsid w:val="00371A52"/>
    <w:rsid w:val="00371A8C"/>
    <w:rsid w:val="00371AC8"/>
    <w:rsid w:val="00371B19"/>
    <w:rsid w:val="00371BBF"/>
    <w:rsid w:val="00371BC0"/>
    <w:rsid w:val="00371C1F"/>
    <w:rsid w:val="00371C57"/>
    <w:rsid w:val="00371CF7"/>
    <w:rsid w:val="00371D0E"/>
    <w:rsid w:val="00371DB7"/>
    <w:rsid w:val="00371E0E"/>
    <w:rsid w:val="00371F19"/>
    <w:rsid w:val="00372065"/>
    <w:rsid w:val="003720C8"/>
    <w:rsid w:val="003720FD"/>
    <w:rsid w:val="00372103"/>
    <w:rsid w:val="00372126"/>
    <w:rsid w:val="00372175"/>
    <w:rsid w:val="00372243"/>
    <w:rsid w:val="003722AC"/>
    <w:rsid w:val="003722DD"/>
    <w:rsid w:val="00372399"/>
    <w:rsid w:val="00372445"/>
    <w:rsid w:val="00372543"/>
    <w:rsid w:val="0037266E"/>
    <w:rsid w:val="003726B7"/>
    <w:rsid w:val="003727E4"/>
    <w:rsid w:val="003728BE"/>
    <w:rsid w:val="00372927"/>
    <w:rsid w:val="00372A87"/>
    <w:rsid w:val="00372AB7"/>
    <w:rsid w:val="00372C38"/>
    <w:rsid w:val="00372C83"/>
    <w:rsid w:val="00372E29"/>
    <w:rsid w:val="003730E4"/>
    <w:rsid w:val="00373192"/>
    <w:rsid w:val="003731B0"/>
    <w:rsid w:val="0037333C"/>
    <w:rsid w:val="00373601"/>
    <w:rsid w:val="003736B3"/>
    <w:rsid w:val="003736BB"/>
    <w:rsid w:val="003737AC"/>
    <w:rsid w:val="00373802"/>
    <w:rsid w:val="003738DE"/>
    <w:rsid w:val="00373956"/>
    <w:rsid w:val="003739A9"/>
    <w:rsid w:val="003739D4"/>
    <w:rsid w:val="00373A17"/>
    <w:rsid w:val="00373B4B"/>
    <w:rsid w:val="00373BAA"/>
    <w:rsid w:val="00373BC7"/>
    <w:rsid w:val="00373BE0"/>
    <w:rsid w:val="00373D41"/>
    <w:rsid w:val="00373DE6"/>
    <w:rsid w:val="00373FA2"/>
    <w:rsid w:val="003742F1"/>
    <w:rsid w:val="003742F9"/>
    <w:rsid w:val="0037433E"/>
    <w:rsid w:val="0037437C"/>
    <w:rsid w:val="00374489"/>
    <w:rsid w:val="003744A6"/>
    <w:rsid w:val="003744D6"/>
    <w:rsid w:val="003744EA"/>
    <w:rsid w:val="00374549"/>
    <w:rsid w:val="0037456B"/>
    <w:rsid w:val="003746A9"/>
    <w:rsid w:val="003746DB"/>
    <w:rsid w:val="003747BD"/>
    <w:rsid w:val="00374801"/>
    <w:rsid w:val="00374812"/>
    <w:rsid w:val="0037484B"/>
    <w:rsid w:val="0037499C"/>
    <w:rsid w:val="003749D7"/>
    <w:rsid w:val="003749DB"/>
    <w:rsid w:val="00374A29"/>
    <w:rsid w:val="00374BD6"/>
    <w:rsid w:val="00374C7F"/>
    <w:rsid w:val="00374DB3"/>
    <w:rsid w:val="00374E92"/>
    <w:rsid w:val="00374FEE"/>
    <w:rsid w:val="0037501B"/>
    <w:rsid w:val="003751A2"/>
    <w:rsid w:val="0037525C"/>
    <w:rsid w:val="00375264"/>
    <w:rsid w:val="0037526C"/>
    <w:rsid w:val="0037528E"/>
    <w:rsid w:val="00375340"/>
    <w:rsid w:val="0037536A"/>
    <w:rsid w:val="0037536D"/>
    <w:rsid w:val="0037543F"/>
    <w:rsid w:val="0037547E"/>
    <w:rsid w:val="003754C3"/>
    <w:rsid w:val="00375588"/>
    <w:rsid w:val="00375633"/>
    <w:rsid w:val="00375689"/>
    <w:rsid w:val="00375711"/>
    <w:rsid w:val="00375747"/>
    <w:rsid w:val="0037593B"/>
    <w:rsid w:val="00375993"/>
    <w:rsid w:val="003759A8"/>
    <w:rsid w:val="00375A6A"/>
    <w:rsid w:val="00375A89"/>
    <w:rsid w:val="00375B05"/>
    <w:rsid w:val="00375B66"/>
    <w:rsid w:val="00375C47"/>
    <w:rsid w:val="00375C70"/>
    <w:rsid w:val="00375D8D"/>
    <w:rsid w:val="00375DA7"/>
    <w:rsid w:val="00375DB7"/>
    <w:rsid w:val="00375DB8"/>
    <w:rsid w:val="00375ED8"/>
    <w:rsid w:val="00375F40"/>
    <w:rsid w:val="00375F9A"/>
    <w:rsid w:val="003760E7"/>
    <w:rsid w:val="00376178"/>
    <w:rsid w:val="0037627D"/>
    <w:rsid w:val="003762D5"/>
    <w:rsid w:val="0037632F"/>
    <w:rsid w:val="00376377"/>
    <w:rsid w:val="003763FC"/>
    <w:rsid w:val="00376499"/>
    <w:rsid w:val="003765DA"/>
    <w:rsid w:val="00376608"/>
    <w:rsid w:val="003766AA"/>
    <w:rsid w:val="003766CC"/>
    <w:rsid w:val="0037677C"/>
    <w:rsid w:val="003767E9"/>
    <w:rsid w:val="003767F0"/>
    <w:rsid w:val="0037686B"/>
    <w:rsid w:val="003768CF"/>
    <w:rsid w:val="003768D3"/>
    <w:rsid w:val="0037691E"/>
    <w:rsid w:val="00376962"/>
    <w:rsid w:val="00376966"/>
    <w:rsid w:val="00376A90"/>
    <w:rsid w:val="00376B10"/>
    <w:rsid w:val="00376C32"/>
    <w:rsid w:val="00376C9A"/>
    <w:rsid w:val="00376CA0"/>
    <w:rsid w:val="00376CE7"/>
    <w:rsid w:val="00376DB6"/>
    <w:rsid w:val="00376E12"/>
    <w:rsid w:val="00376E22"/>
    <w:rsid w:val="00376E3D"/>
    <w:rsid w:val="00376E69"/>
    <w:rsid w:val="00376E7C"/>
    <w:rsid w:val="00376EA4"/>
    <w:rsid w:val="00376F7E"/>
    <w:rsid w:val="00377097"/>
    <w:rsid w:val="003770FE"/>
    <w:rsid w:val="00377125"/>
    <w:rsid w:val="003773C3"/>
    <w:rsid w:val="0037747F"/>
    <w:rsid w:val="00377568"/>
    <w:rsid w:val="003775B4"/>
    <w:rsid w:val="003776B5"/>
    <w:rsid w:val="003776FD"/>
    <w:rsid w:val="0037770D"/>
    <w:rsid w:val="003778DA"/>
    <w:rsid w:val="0037797D"/>
    <w:rsid w:val="00377A68"/>
    <w:rsid w:val="00377B06"/>
    <w:rsid w:val="00377D10"/>
    <w:rsid w:val="00377D70"/>
    <w:rsid w:val="00377EFB"/>
    <w:rsid w:val="00377F81"/>
    <w:rsid w:val="00377FA1"/>
    <w:rsid w:val="003800E7"/>
    <w:rsid w:val="0038017C"/>
    <w:rsid w:val="003803DE"/>
    <w:rsid w:val="00380485"/>
    <w:rsid w:val="00380585"/>
    <w:rsid w:val="003806F4"/>
    <w:rsid w:val="00380772"/>
    <w:rsid w:val="00380862"/>
    <w:rsid w:val="00380890"/>
    <w:rsid w:val="00380906"/>
    <w:rsid w:val="0038095F"/>
    <w:rsid w:val="00380B11"/>
    <w:rsid w:val="00380B8A"/>
    <w:rsid w:val="00380BBA"/>
    <w:rsid w:val="00380C2E"/>
    <w:rsid w:val="00380D2C"/>
    <w:rsid w:val="00380D4D"/>
    <w:rsid w:val="00380D79"/>
    <w:rsid w:val="00380E55"/>
    <w:rsid w:val="00380ED5"/>
    <w:rsid w:val="00381035"/>
    <w:rsid w:val="003810D6"/>
    <w:rsid w:val="003810EE"/>
    <w:rsid w:val="003812C8"/>
    <w:rsid w:val="00381347"/>
    <w:rsid w:val="003813A0"/>
    <w:rsid w:val="003813A6"/>
    <w:rsid w:val="003813E4"/>
    <w:rsid w:val="003815F0"/>
    <w:rsid w:val="00381689"/>
    <w:rsid w:val="003816CC"/>
    <w:rsid w:val="003816E7"/>
    <w:rsid w:val="00381779"/>
    <w:rsid w:val="003817B3"/>
    <w:rsid w:val="00381899"/>
    <w:rsid w:val="003819EA"/>
    <w:rsid w:val="00381A73"/>
    <w:rsid w:val="00381AAC"/>
    <w:rsid w:val="00381B2C"/>
    <w:rsid w:val="00381BC6"/>
    <w:rsid w:val="00381BEA"/>
    <w:rsid w:val="00381C27"/>
    <w:rsid w:val="00381C8D"/>
    <w:rsid w:val="00381CA4"/>
    <w:rsid w:val="00381CD7"/>
    <w:rsid w:val="00381DA6"/>
    <w:rsid w:val="00381DCE"/>
    <w:rsid w:val="00381E1E"/>
    <w:rsid w:val="00381ED4"/>
    <w:rsid w:val="00381F53"/>
    <w:rsid w:val="00382032"/>
    <w:rsid w:val="003820FB"/>
    <w:rsid w:val="00382114"/>
    <w:rsid w:val="003821A4"/>
    <w:rsid w:val="003822F4"/>
    <w:rsid w:val="00382307"/>
    <w:rsid w:val="0038232C"/>
    <w:rsid w:val="0038238A"/>
    <w:rsid w:val="0038241F"/>
    <w:rsid w:val="0038250B"/>
    <w:rsid w:val="003825A2"/>
    <w:rsid w:val="003825F9"/>
    <w:rsid w:val="00382748"/>
    <w:rsid w:val="0038286F"/>
    <w:rsid w:val="003828BD"/>
    <w:rsid w:val="003828D4"/>
    <w:rsid w:val="00382947"/>
    <w:rsid w:val="003829D8"/>
    <w:rsid w:val="00382A15"/>
    <w:rsid w:val="00382B5D"/>
    <w:rsid w:val="00382BD1"/>
    <w:rsid w:val="00382C20"/>
    <w:rsid w:val="00382D3F"/>
    <w:rsid w:val="00382F80"/>
    <w:rsid w:val="00383104"/>
    <w:rsid w:val="003831D0"/>
    <w:rsid w:val="003831D1"/>
    <w:rsid w:val="003832C4"/>
    <w:rsid w:val="003832F7"/>
    <w:rsid w:val="00383334"/>
    <w:rsid w:val="003833A9"/>
    <w:rsid w:val="00383483"/>
    <w:rsid w:val="003834CF"/>
    <w:rsid w:val="00383549"/>
    <w:rsid w:val="00383641"/>
    <w:rsid w:val="003836F7"/>
    <w:rsid w:val="003837CB"/>
    <w:rsid w:val="003837E3"/>
    <w:rsid w:val="0038397D"/>
    <w:rsid w:val="003839B2"/>
    <w:rsid w:val="00383ABF"/>
    <w:rsid w:val="00383B13"/>
    <w:rsid w:val="00383BB7"/>
    <w:rsid w:val="00383BF1"/>
    <w:rsid w:val="00383C8C"/>
    <w:rsid w:val="00383D55"/>
    <w:rsid w:val="00383D60"/>
    <w:rsid w:val="00383DD8"/>
    <w:rsid w:val="00383ED1"/>
    <w:rsid w:val="00383FB4"/>
    <w:rsid w:val="003842B3"/>
    <w:rsid w:val="0038432B"/>
    <w:rsid w:val="00384370"/>
    <w:rsid w:val="00384454"/>
    <w:rsid w:val="0038455E"/>
    <w:rsid w:val="003845A8"/>
    <w:rsid w:val="003848F3"/>
    <w:rsid w:val="00384911"/>
    <w:rsid w:val="00384943"/>
    <w:rsid w:val="00384956"/>
    <w:rsid w:val="003849A9"/>
    <w:rsid w:val="00384A23"/>
    <w:rsid w:val="00384A91"/>
    <w:rsid w:val="00384A94"/>
    <w:rsid w:val="00384D11"/>
    <w:rsid w:val="00384DB1"/>
    <w:rsid w:val="00384FC5"/>
    <w:rsid w:val="003851B1"/>
    <w:rsid w:val="0038527B"/>
    <w:rsid w:val="0038534D"/>
    <w:rsid w:val="00385392"/>
    <w:rsid w:val="003853AC"/>
    <w:rsid w:val="003853C5"/>
    <w:rsid w:val="0038546A"/>
    <w:rsid w:val="003854D3"/>
    <w:rsid w:val="00385538"/>
    <w:rsid w:val="00385572"/>
    <w:rsid w:val="003855A9"/>
    <w:rsid w:val="003855AD"/>
    <w:rsid w:val="00385620"/>
    <w:rsid w:val="00385675"/>
    <w:rsid w:val="003857BB"/>
    <w:rsid w:val="0038585B"/>
    <w:rsid w:val="003858E3"/>
    <w:rsid w:val="00385A98"/>
    <w:rsid w:val="00385B2C"/>
    <w:rsid w:val="00385CE6"/>
    <w:rsid w:val="00385E42"/>
    <w:rsid w:val="00385E77"/>
    <w:rsid w:val="00385F0D"/>
    <w:rsid w:val="00385F82"/>
    <w:rsid w:val="00385FBE"/>
    <w:rsid w:val="0038605A"/>
    <w:rsid w:val="00386268"/>
    <w:rsid w:val="00386323"/>
    <w:rsid w:val="0038640A"/>
    <w:rsid w:val="00386467"/>
    <w:rsid w:val="00386470"/>
    <w:rsid w:val="0038647D"/>
    <w:rsid w:val="00386498"/>
    <w:rsid w:val="00386526"/>
    <w:rsid w:val="00386555"/>
    <w:rsid w:val="0038661B"/>
    <w:rsid w:val="0038662B"/>
    <w:rsid w:val="003867EC"/>
    <w:rsid w:val="00386849"/>
    <w:rsid w:val="00386886"/>
    <w:rsid w:val="00386B24"/>
    <w:rsid w:val="00386B5F"/>
    <w:rsid w:val="00386BBA"/>
    <w:rsid w:val="00386C23"/>
    <w:rsid w:val="00386C7A"/>
    <w:rsid w:val="00386CCC"/>
    <w:rsid w:val="00386D65"/>
    <w:rsid w:val="00386E8B"/>
    <w:rsid w:val="00386F87"/>
    <w:rsid w:val="00387005"/>
    <w:rsid w:val="0038704B"/>
    <w:rsid w:val="00387086"/>
    <w:rsid w:val="003870B8"/>
    <w:rsid w:val="003870B9"/>
    <w:rsid w:val="003870F4"/>
    <w:rsid w:val="0038722A"/>
    <w:rsid w:val="0038722E"/>
    <w:rsid w:val="0038724C"/>
    <w:rsid w:val="00387297"/>
    <w:rsid w:val="0038734C"/>
    <w:rsid w:val="00387667"/>
    <w:rsid w:val="003876CF"/>
    <w:rsid w:val="00387866"/>
    <w:rsid w:val="00387AA4"/>
    <w:rsid w:val="00387BC8"/>
    <w:rsid w:val="00387C89"/>
    <w:rsid w:val="00387CC3"/>
    <w:rsid w:val="00387DA2"/>
    <w:rsid w:val="00387DBB"/>
    <w:rsid w:val="00387E24"/>
    <w:rsid w:val="00387EDD"/>
    <w:rsid w:val="0038C61B"/>
    <w:rsid w:val="00390046"/>
    <w:rsid w:val="003900EA"/>
    <w:rsid w:val="0039011E"/>
    <w:rsid w:val="00390167"/>
    <w:rsid w:val="003901FE"/>
    <w:rsid w:val="00390380"/>
    <w:rsid w:val="00390406"/>
    <w:rsid w:val="003904F5"/>
    <w:rsid w:val="00390525"/>
    <w:rsid w:val="003906BA"/>
    <w:rsid w:val="003907DB"/>
    <w:rsid w:val="0039087D"/>
    <w:rsid w:val="00390891"/>
    <w:rsid w:val="0039089A"/>
    <w:rsid w:val="00390B20"/>
    <w:rsid w:val="00390B9D"/>
    <w:rsid w:val="00390BBF"/>
    <w:rsid w:val="00390BD4"/>
    <w:rsid w:val="00390C60"/>
    <w:rsid w:val="00390E1B"/>
    <w:rsid w:val="00390EBF"/>
    <w:rsid w:val="00390EEF"/>
    <w:rsid w:val="00390F41"/>
    <w:rsid w:val="00390FB7"/>
    <w:rsid w:val="00391004"/>
    <w:rsid w:val="0039101C"/>
    <w:rsid w:val="00391037"/>
    <w:rsid w:val="0039108E"/>
    <w:rsid w:val="00391213"/>
    <w:rsid w:val="00391219"/>
    <w:rsid w:val="003912B1"/>
    <w:rsid w:val="00391328"/>
    <w:rsid w:val="00391339"/>
    <w:rsid w:val="0039138A"/>
    <w:rsid w:val="00391539"/>
    <w:rsid w:val="0039159C"/>
    <w:rsid w:val="003916DE"/>
    <w:rsid w:val="003917EB"/>
    <w:rsid w:val="003917F8"/>
    <w:rsid w:val="00391806"/>
    <w:rsid w:val="003918C0"/>
    <w:rsid w:val="0039191E"/>
    <w:rsid w:val="003919DB"/>
    <w:rsid w:val="00391A3F"/>
    <w:rsid w:val="00391A45"/>
    <w:rsid w:val="00391AB7"/>
    <w:rsid w:val="00391ABE"/>
    <w:rsid w:val="00391B46"/>
    <w:rsid w:val="00391B86"/>
    <w:rsid w:val="00391B90"/>
    <w:rsid w:val="00391DAE"/>
    <w:rsid w:val="00391EA1"/>
    <w:rsid w:val="00391EA5"/>
    <w:rsid w:val="00391F97"/>
    <w:rsid w:val="00391FB6"/>
    <w:rsid w:val="00391FEE"/>
    <w:rsid w:val="00392009"/>
    <w:rsid w:val="00392141"/>
    <w:rsid w:val="0039217E"/>
    <w:rsid w:val="00392181"/>
    <w:rsid w:val="003921E4"/>
    <w:rsid w:val="00392254"/>
    <w:rsid w:val="003924A0"/>
    <w:rsid w:val="003924A6"/>
    <w:rsid w:val="003924AC"/>
    <w:rsid w:val="00392609"/>
    <w:rsid w:val="00392617"/>
    <w:rsid w:val="00392665"/>
    <w:rsid w:val="00392680"/>
    <w:rsid w:val="0039269E"/>
    <w:rsid w:val="003926E2"/>
    <w:rsid w:val="003926E7"/>
    <w:rsid w:val="003927AB"/>
    <w:rsid w:val="00392807"/>
    <w:rsid w:val="0039284E"/>
    <w:rsid w:val="0039295C"/>
    <w:rsid w:val="003929AB"/>
    <w:rsid w:val="00392B4B"/>
    <w:rsid w:val="00392B58"/>
    <w:rsid w:val="00392BC2"/>
    <w:rsid w:val="00392BC4"/>
    <w:rsid w:val="00392C57"/>
    <w:rsid w:val="00392D3B"/>
    <w:rsid w:val="00392F75"/>
    <w:rsid w:val="003930FF"/>
    <w:rsid w:val="003931B9"/>
    <w:rsid w:val="003931D3"/>
    <w:rsid w:val="003931E0"/>
    <w:rsid w:val="00393207"/>
    <w:rsid w:val="00393304"/>
    <w:rsid w:val="00393352"/>
    <w:rsid w:val="0039335C"/>
    <w:rsid w:val="00393387"/>
    <w:rsid w:val="003933EC"/>
    <w:rsid w:val="0039343C"/>
    <w:rsid w:val="00393482"/>
    <w:rsid w:val="00393595"/>
    <w:rsid w:val="003935E7"/>
    <w:rsid w:val="0039372B"/>
    <w:rsid w:val="00393775"/>
    <w:rsid w:val="0039384C"/>
    <w:rsid w:val="003938E5"/>
    <w:rsid w:val="003939B1"/>
    <w:rsid w:val="003939E0"/>
    <w:rsid w:val="00393ACB"/>
    <w:rsid w:val="00393B47"/>
    <w:rsid w:val="00393B59"/>
    <w:rsid w:val="00393BB7"/>
    <w:rsid w:val="00393C61"/>
    <w:rsid w:val="00393CE2"/>
    <w:rsid w:val="00393DA3"/>
    <w:rsid w:val="00393DD1"/>
    <w:rsid w:val="00393EF4"/>
    <w:rsid w:val="0039411A"/>
    <w:rsid w:val="003941A7"/>
    <w:rsid w:val="003941B2"/>
    <w:rsid w:val="0039424A"/>
    <w:rsid w:val="0039424E"/>
    <w:rsid w:val="0039431E"/>
    <w:rsid w:val="0039436F"/>
    <w:rsid w:val="0039447F"/>
    <w:rsid w:val="00394490"/>
    <w:rsid w:val="00394553"/>
    <w:rsid w:val="00394556"/>
    <w:rsid w:val="0039457E"/>
    <w:rsid w:val="00394649"/>
    <w:rsid w:val="003946A3"/>
    <w:rsid w:val="003946DC"/>
    <w:rsid w:val="003947C6"/>
    <w:rsid w:val="00394869"/>
    <w:rsid w:val="0039492C"/>
    <w:rsid w:val="003949FF"/>
    <w:rsid w:val="00394A7B"/>
    <w:rsid w:val="00394B0B"/>
    <w:rsid w:val="00394CC5"/>
    <w:rsid w:val="00394FAE"/>
    <w:rsid w:val="00395054"/>
    <w:rsid w:val="00395197"/>
    <w:rsid w:val="00395219"/>
    <w:rsid w:val="0039521A"/>
    <w:rsid w:val="00395227"/>
    <w:rsid w:val="003952CD"/>
    <w:rsid w:val="00395335"/>
    <w:rsid w:val="00395490"/>
    <w:rsid w:val="0039555B"/>
    <w:rsid w:val="003957A1"/>
    <w:rsid w:val="003957B2"/>
    <w:rsid w:val="003957E7"/>
    <w:rsid w:val="0039586F"/>
    <w:rsid w:val="003958EC"/>
    <w:rsid w:val="0039598F"/>
    <w:rsid w:val="00395A3D"/>
    <w:rsid w:val="00395A51"/>
    <w:rsid w:val="00395A92"/>
    <w:rsid w:val="00395AB6"/>
    <w:rsid w:val="00395AFF"/>
    <w:rsid w:val="00395B57"/>
    <w:rsid w:val="00395C1A"/>
    <w:rsid w:val="00395C1E"/>
    <w:rsid w:val="00395D11"/>
    <w:rsid w:val="00395E7F"/>
    <w:rsid w:val="00395F00"/>
    <w:rsid w:val="00395F69"/>
    <w:rsid w:val="00395F81"/>
    <w:rsid w:val="0039609E"/>
    <w:rsid w:val="00396212"/>
    <w:rsid w:val="003962E5"/>
    <w:rsid w:val="00396574"/>
    <w:rsid w:val="003965E4"/>
    <w:rsid w:val="0039668C"/>
    <w:rsid w:val="003966D4"/>
    <w:rsid w:val="0039687E"/>
    <w:rsid w:val="0039691F"/>
    <w:rsid w:val="003969B2"/>
    <w:rsid w:val="00396A52"/>
    <w:rsid w:val="00396B10"/>
    <w:rsid w:val="00396BDC"/>
    <w:rsid w:val="00396BF9"/>
    <w:rsid w:val="00396C91"/>
    <w:rsid w:val="00396D15"/>
    <w:rsid w:val="00396DE8"/>
    <w:rsid w:val="00396EBC"/>
    <w:rsid w:val="00396EBE"/>
    <w:rsid w:val="00396EE2"/>
    <w:rsid w:val="00397021"/>
    <w:rsid w:val="00397091"/>
    <w:rsid w:val="00397170"/>
    <w:rsid w:val="003971CB"/>
    <w:rsid w:val="0039732E"/>
    <w:rsid w:val="0039747B"/>
    <w:rsid w:val="0039769F"/>
    <w:rsid w:val="003976F6"/>
    <w:rsid w:val="0039773B"/>
    <w:rsid w:val="00397820"/>
    <w:rsid w:val="00397830"/>
    <w:rsid w:val="003978B1"/>
    <w:rsid w:val="003978CE"/>
    <w:rsid w:val="0039798A"/>
    <w:rsid w:val="00397A45"/>
    <w:rsid w:val="00397AD7"/>
    <w:rsid w:val="00397B33"/>
    <w:rsid w:val="00397C7D"/>
    <w:rsid w:val="00397CE7"/>
    <w:rsid w:val="00397D2D"/>
    <w:rsid w:val="00397DF5"/>
    <w:rsid w:val="00397E25"/>
    <w:rsid w:val="00397EAA"/>
    <w:rsid w:val="00397EE6"/>
    <w:rsid w:val="00397F24"/>
    <w:rsid w:val="00397F2C"/>
    <w:rsid w:val="00397FE9"/>
    <w:rsid w:val="003983E0"/>
    <w:rsid w:val="003A005D"/>
    <w:rsid w:val="003A0180"/>
    <w:rsid w:val="003A01C3"/>
    <w:rsid w:val="003A0236"/>
    <w:rsid w:val="003A035F"/>
    <w:rsid w:val="003A03CD"/>
    <w:rsid w:val="003A0408"/>
    <w:rsid w:val="003A0426"/>
    <w:rsid w:val="003A044C"/>
    <w:rsid w:val="003A0583"/>
    <w:rsid w:val="003A05B3"/>
    <w:rsid w:val="003A05B5"/>
    <w:rsid w:val="003A0601"/>
    <w:rsid w:val="003A063E"/>
    <w:rsid w:val="003A0640"/>
    <w:rsid w:val="003A06AE"/>
    <w:rsid w:val="003A07A9"/>
    <w:rsid w:val="003A08E8"/>
    <w:rsid w:val="003A094E"/>
    <w:rsid w:val="003A0963"/>
    <w:rsid w:val="003A098B"/>
    <w:rsid w:val="003A0A27"/>
    <w:rsid w:val="003A0A8F"/>
    <w:rsid w:val="003A0B41"/>
    <w:rsid w:val="003A0BFD"/>
    <w:rsid w:val="003A0C89"/>
    <w:rsid w:val="003A0CC9"/>
    <w:rsid w:val="003A0EE1"/>
    <w:rsid w:val="003A0F5A"/>
    <w:rsid w:val="003A0FD5"/>
    <w:rsid w:val="003A0FEE"/>
    <w:rsid w:val="003A1018"/>
    <w:rsid w:val="003A1076"/>
    <w:rsid w:val="003A10CE"/>
    <w:rsid w:val="003A119B"/>
    <w:rsid w:val="003A12BD"/>
    <w:rsid w:val="003A14E6"/>
    <w:rsid w:val="003A14E7"/>
    <w:rsid w:val="003A15C2"/>
    <w:rsid w:val="003A15EA"/>
    <w:rsid w:val="003A1742"/>
    <w:rsid w:val="003A1793"/>
    <w:rsid w:val="003A18C7"/>
    <w:rsid w:val="003A19EE"/>
    <w:rsid w:val="003A1A9E"/>
    <w:rsid w:val="003A1AAA"/>
    <w:rsid w:val="003A1AE0"/>
    <w:rsid w:val="003A1BC7"/>
    <w:rsid w:val="003A1C70"/>
    <w:rsid w:val="003A1C7B"/>
    <w:rsid w:val="003A1C81"/>
    <w:rsid w:val="003A1D84"/>
    <w:rsid w:val="003A1E52"/>
    <w:rsid w:val="003A1ED9"/>
    <w:rsid w:val="003A20B0"/>
    <w:rsid w:val="003A2130"/>
    <w:rsid w:val="003A215D"/>
    <w:rsid w:val="003A2200"/>
    <w:rsid w:val="003A2263"/>
    <w:rsid w:val="003A229C"/>
    <w:rsid w:val="003A2328"/>
    <w:rsid w:val="003A23AE"/>
    <w:rsid w:val="003A240D"/>
    <w:rsid w:val="003A260D"/>
    <w:rsid w:val="003A265C"/>
    <w:rsid w:val="003A26BA"/>
    <w:rsid w:val="003A26F0"/>
    <w:rsid w:val="003A274D"/>
    <w:rsid w:val="003A28C5"/>
    <w:rsid w:val="003A2977"/>
    <w:rsid w:val="003A29A9"/>
    <w:rsid w:val="003A2A8F"/>
    <w:rsid w:val="003A2A9C"/>
    <w:rsid w:val="003A2BA8"/>
    <w:rsid w:val="003A2BE8"/>
    <w:rsid w:val="003A2CBC"/>
    <w:rsid w:val="003A2E31"/>
    <w:rsid w:val="003A30AA"/>
    <w:rsid w:val="003A31B0"/>
    <w:rsid w:val="003A3300"/>
    <w:rsid w:val="003A3353"/>
    <w:rsid w:val="003A338F"/>
    <w:rsid w:val="003A346D"/>
    <w:rsid w:val="003A34B0"/>
    <w:rsid w:val="003A3556"/>
    <w:rsid w:val="003A3606"/>
    <w:rsid w:val="003A360D"/>
    <w:rsid w:val="003A3644"/>
    <w:rsid w:val="003A3647"/>
    <w:rsid w:val="003A36D9"/>
    <w:rsid w:val="003A36ED"/>
    <w:rsid w:val="003A36F2"/>
    <w:rsid w:val="003A375F"/>
    <w:rsid w:val="003A37C8"/>
    <w:rsid w:val="003A38BB"/>
    <w:rsid w:val="003A38CE"/>
    <w:rsid w:val="003A3911"/>
    <w:rsid w:val="003A397E"/>
    <w:rsid w:val="003A3997"/>
    <w:rsid w:val="003A39CD"/>
    <w:rsid w:val="003A3A1A"/>
    <w:rsid w:val="003A3A75"/>
    <w:rsid w:val="003A3B6C"/>
    <w:rsid w:val="003A3BE8"/>
    <w:rsid w:val="003A3C82"/>
    <w:rsid w:val="003A3CED"/>
    <w:rsid w:val="003A3D37"/>
    <w:rsid w:val="003A3EB3"/>
    <w:rsid w:val="003A3EC1"/>
    <w:rsid w:val="003A3EEF"/>
    <w:rsid w:val="003A4039"/>
    <w:rsid w:val="003A40E4"/>
    <w:rsid w:val="003A418B"/>
    <w:rsid w:val="003A4192"/>
    <w:rsid w:val="003A4278"/>
    <w:rsid w:val="003A4295"/>
    <w:rsid w:val="003A42C4"/>
    <w:rsid w:val="003A42C7"/>
    <w:rsid w:val="003A441C"/>
    <w:rsid w:val="003A446D"/>
    <w:rsid w:val="003A4527"/>
    <w:rsid w:val="003A45EF"/>
    <w:rsid w:val="003A4634"/>
    <w:rsid w:val="003A463A"/>
    <w:rsid w:val="003A4676"/>
    <w:rsid w:val="003A46DF"/>
    <w:rsid w:val="003A47F2"/>
    <w:rsid w:val="003A495D"/>
    <w:rsid w:val="003A4B42"/>
    <w:rsid w:val="003A4CB9"/>
    <w:rsid w:val="003A4D3F"/>
    <w:rsid w:val="003A4EA9"/>
    <w:rsid w:val="003A5091"/>
    <w:rsid w:val="003A50A1"/>
    <w:rsid w:val="003A5165"/>
    <w:rsid w:val="003A5168"/>
    <w:rsid w:val="003A5346"/>
    <w:rsid w:val="003A5367"/>
    <w:rsid w:val="003A53D0"/>
    <w:rsid w:val="003A53F2"/>
    <w:rsid w:val="003A54A9"/>
    <w:rsid w:val="003A55A5"/>
    <w:rsid w:val="003A55D4"/>
    <w:rsid w:val="003A5744"/>
    <w:rsid w:val="003A57E7"/>
    <w:rsid w:val="003A582C"/>
    <w:rsid w:val="003A5856"/>
    <w:rsid w:val="003A5A58"/>
    <w:rsid w:val="003A5B14"/>
    <w:rsid w:val="003A5B5F"/>
    <w:rsid w:val="003A5B63"/>
    <w:rsid w:val="003A5C57"/>
    <w:rsid w:val="003A5D21"/>
    <w:rsid w:val="003A5D88"/>
    <w:rsid w:val="003A5D95"/>
    <w:rsid w:val="003A5E56"/>
    <w:rsid w:val="003A5EBF"/>
    <w:rsid w:val="003A6049"/>
    <w:rsid w:val="003A604D"/>
    <w:rsid w:val="003A60CE"/>
    <w:rsid w:val="003A613D"/>
    <w:rsid w:val="003A6348"/>
    <w:rsid w:val="003A64AF"/>
    <w:rsid w:val="003A64C5"/>
    <w:rsid w:val="003A64D8"/>
    <w:rsid w:val="003A650F"/>
    <w:rsid w:val="003A6516"/>
    <w:rsid w:val="003A6530"/>
    <w:rsid w:val="003A6532"/>
    <w:rsid w:val="003A662D"/>
    <w:rsid w:val="003A66BB"/>
    <w:rsid w:val="003A6762"/>
    <w:rsid w:val="003A67F0"/>
    <w:rsid w:val="003A67F7"/>
    <w:rsid w:val="003A683F"/>
    <w:rsid w:val="003A6A47"/>
    <w:rsid w:val="003A6AD1"/>
    <w:rsid w:val="003A6B3B"/>
    <w:rsid w:val="003A6B4B"/>
    <w:rsid w:val="003A6B56"/>
    <w:rsid w:val="003A6B8B"/>
    <w:rsid w:val="003A6B94"/>
    <w:rsid w:val="003A6C3D"/>
    <w:rsid w:val="003A6C68"/>
    <w:rsid w:val="003A6C71"/>
    <w:rsid w:val="003A6CD3"/>
    <w:rsid w:val="003A6D21"/>
    <w:rsid w:val="003A6D44"/>
    <w:rsid w:val="003A6D91"/>
    <w:rsid w:val="003A6E00"/>
    <w:rsid w:val="003A6E31"/>
    <w:rsid w:val="003A6E8A"/>
    <w:rsid w:val="003A6E8D"/>
    <w:rsid w:val="003A6F74"/>
    <w:rsid w:val="003A6FB9"/>
    <w:rsid w:val="003A6FEF"/>
    <w:rsid w:val="003A704D"/>
    <w:rsid w:val="003A70C3"/>
    <w:rsid w:val="003A70D7"/>
    <w:rsid w:val="003A715A"/>
    <w:rsid w:val="003A71F4"/>
    <w:rsid w:val="003A7215"/>
    <w:rsid w:val="003A724E"/>
    <w:rsid w:val="003A727C"/>
    <w:rsid w:val="003A7291"/>
    <w:rsid w:val="003A755F"/>
    <w:rsid w:val="003A7564"/>
    <w:rsid w:val="003A758A"/>
    <w:rsid w:val="003A75B6"/>
    <w:rsid w:val="003A7663"/>
    <w:rsid w:val="003A7674"/>
    <w:rsid w:val="003A76BE"/>
    <w:rsid w:val="003A76DA"/>
    <w:rsid w:val="003A774B"/>
    <w:rsid w:val="003A77B5"/>
    <w:rsid w:val="003A78AE"/>
    <w:rsid w:val="003A7908"/>
    <w:rsid w:val="003A790D"/>
    <w:rsid w:val="003A7A2A"/>
    <w:rsid w:val="003A7A77"/>
    <w:rsid w:val="003A7B67"/>
    <w:rsid w:val="003A7D5B"/>
    <w:rsid w:val="003A7DA0"/>
    <w:rsid w:val="003ABBAC"/>
    <w:rsid w:val="003AD092"/>
    <w:rsid w:val="003B002C"/>
    <w:rsid w:val="003B0099"/>
    <w:rsid w:val="003B00F8"/>
    <w:rsid w:val="003B0174"/>
    <w:rsid w:val="003B0257"/>
    <w:rsid w:val="003B02D4"/>
    <w:rsid w:val="003B030A"/>
    <w:rsid w:val="003B03A8"/>
    <w:rsid w:val="003B03ED"/>
    <w:rsid w:val="003B0416"/>
    <w:rsid w:val="003B0449"/>
    <w:rsid w:val="003B0622"/>
    <w:rsid w:val="003B0692"/>
    <w:rsid w:val="003B07B7"/>
    <w:rsid w:val="003B07C7"/>
    <w:rsid w:val="003B0875"/>
    <w:rsid w:val="003B089A"/>
    <w:rsid w:val="003B0974"/>
    <w:rsid w:val="003B0982"/>
    <w:rsid w:val="003B09EE"/>
    <w:rsid w:val="003B0A11"/>
    <w:rsid w:val="003B0A72"/>
    <w:rsid w:val="003B0ACB"/>
    <w:rsid w:val="003B0B20"/>
    <w:rsid w:val="003B0B4B"/>
    <w:rsid w:val="003B0B8B"/>
    <w:rsid w:val="003B0BB5"/>
    <w:rsid w:val="003B0CEE"/>
    <w:rsid w:val="003B0E6C"/>
    <w:rsid w:val="003B0EA1"/>
    <w:rsid w:val="003B1051"/>
    <w:rsid w:val="003B1148"/>
    <w:rsid w:val="003B1198"/>
    <w:rsid w:val="003B11E6"/>
    <w:rsid w:val="003B1256"/>
    <w:rsid w:val="003B1324"/>
    <w:rsid w:val="003B138A"/>
    <w:rsid w:val="003B1396"/>
    <w:rsid w:val="003B1420"/>
    <w:rsid w:val="003B14B7"/>
    <w:rsid w:val="003B14BF"/>
    <w:rsid w:val="003B1610"/>
    <w:rsid w:val="003B166B"/>
    <w:rsid w:val="003B16E6"/>
    <w:rsid w:val="003B178A"/>
    <w:rsid w:val="003B1800"/>
    <w:rsid w:val="003B1819"/>
    <w:rsid w:val="003B1831"/>
    <w:rsid w:val="003B1998"/>
    <w:rsid w:val="003B19F1"/>
    <w:rsid w:val="003B1A08"/>
    <w:rsid w:val="003B1B32"/>
    <w:rsid w:val="003B1B46"/>
    <w:rsid w:val="003B1BEB"/>
    <w:rsid w:val="003B1C05"/>
    <w:rsid w:val="003B1C38"/>
    <w:rsid w:val="003B1C6C"/>
    <w:rsid w:val="003B1C8E"/>
    <w:rsid w:val="003B1D75"/>
    <w:rsid w:val="003B1E54"/>
    <w:rsid w:val="003B1ED0"/>
    <w:rsid w:val="003B1EF9"/>
    <w:rsid w:val="003B1F90"/>
    <w:rsid w:val="003B2052"/>
    <w:rsid w:val="003B20B9"/>
    <w:rsid w:val="003B21A6"/>
    <w:rsid w:val="003B2220"/>
    <w:rsid w:val="003B2423"/>
    <w:rsid w:val="003B24AB"/>
    <w:rsid w:val="003B253E"/>
    <w:rsid w:val="003B25B6"/>
    <w:rsid w:val="003B266F"/>
    <w:rsid w:val="003B2746"/>
    <w:rsid w:val="003B286D"/>
    <w:rsid w:val="003B28B4"/>
    <w:rsid w:val="003B29C4"/>
    <w:rsid w:val="003B2BEE"/>
    <w:rsid w:val="003B2EB2"/>
    <w:rsid w:val="003B30A2"/>
    <w:rsid w:val="003B30AF"/>
    <w:rsid w:val="003B30CA"/>
    <w:rsid w:val="003B315D"/>
    <w:rsid w:val="003B31CA"/>
    <w:rsid w:val="003B3219"/>
    <w:rsid w:val="003B3264"/>
    <w:rsid w:val="003B33D5"/>
    <w:rsid w:val="003B34D1"/>
    <w:rsid w:val="003B350F"/>
    <w:rsid w:val="003B3561"/>
    <w:rsid w:val="003B369B"/>
    <w:rsid w:val="003B36DC"/>
    <w:rsid w:val="003B3845"/>
    <w:rsid w:val="003B386B"/>
    <w:rsid w:val="003B3930"/>
    <w:rsid w:val="003B393C"/>
    <w:rsid w:val="003B3968"/>
    <w:rsid w:val="003B39DB"/>
    <w:rsid w:val="003B3A3F"/>
    <w:rsid w:val="003B3A9C"/>
    <w:rsid w:val="003B3C93"/>
    <w:rsid w:val="003B3E50"/>
    <w:rsid w:val="003B3E93"/>
    <w:rsid w:val="003B3EB2"/>
    <w:rsid w:val="003B3FA0"/>
    <w:rsid w:val="003B3FC1"/>
    <w:rsid w:val="003B3FD9"/>
    <w:rsid w:val="003B3FDB"/>
    <w:rsid w:val="003B3FFA"/>
    <w:rsid w:val="003B410C"/>
    <w:rsid w:val="003B4278"/>
    <w:rsid w:val="003B4293"/>
    <w:rsid w:val="003B459E"/>
    <w:rsid w:val="003B45EE"/>
    <w:rsid w:val="003B464D"/>
    <w:rsid w:val="003B470D"/>
    <w:rsid w:val="003B4808"/>
    <w:rsid w:val="003B48ED"/>
    <w:rsid w:val="003B4BFD"/>
    <w:rsid w:val="003B4EE4"/>
    <w:rsid w:val="003B4F28"/>
    <w:rsid w:val="003B4FD3"/>
    <w:rsid w:val="003B4FFD"/>
    <w:rsid w:val="003B503C"/>
    <w:rsid w:val="003B503D"/>
    <w:rsid w:val="003B5159"/>
    <w:rsid w:val="003B515A"/>
    <w:rsid w:val="003B5343"/>
    <w:rsid w:val="003B53A1"/>
    <w:rsid w:val="003B5480"/>
    <w:rsid w:val="003B565F"/>
    <w:rsid w:val="003B5775"/>
    <w:rsid w:val="003B57DB"/>
    <w:rsid w:val="003B57DE"/>
    <w:rsid w:val="003B57E9"/>
    <w:rsid w:val="003B58E4"/>
    <w:rsid w:val="003B5913"/>
    <w:rsid w:val="003B5924"/>
    <w:rsid w:val="003B5A19"/>
    <w:rsid w:val="003B5AA6"/>
    <w:rsid w:val="003B5B25"/>
    <w:rsid w:val="003B5BF6"/>
    <w:rsid w:val="003B5C14"/>
    <w:rsid w:val="003B5C51"/>
    <w:rsid w:val="003B5D07"/>
    <w:rsid w:val="003B5D2E"/>
    <w:rsid w:val="003B5DD3"/>
    <w:rsid w:val="003B5DDC"/>
    <w:rsid w:val="003B5EEB"/>
    <w:rsid w:val="003B5EFE"/>
    <w:rsid w:val="003B5FBC"/>
    <w:rsid w:val="003B5FC0"/>
    <w:rsid w:val="003B6072"/>
    <w:rsid w:val="003B60D8"/>
    <w:rsid w:val="003B62A0"/>
    <w:rsid w:val="003B63C2"/>
    <w:rsid w:val="003B63F7"/>
    <w:rsid w:val="003B647A"/>
    <w:rsid w:val="003B65D0"/>
    <w:rsid w:val="003B66E8"/>
    <w:rsid w:val="003B6746"/>
    <w:rsid w:val="003B67FA"/>
    <w:rsid w:val="003B6843"/>
    <w:rsid w:val="003B6A19"/>
    <w:rsid w:val="003B6A35"/>
    <w:rsid w:val="003B6A50"/>
    <w:rsid w:val="003B6D45"/>
    <w:rsid w:val="003B6D9F"/>
    <w:rsid w:val="003B6E59"/>
    <w:rsid w:val="003B6E94"/>
    <w:rsid w:val="003B6EDD"/>
    <w:rsid w:val="003B6F9F"/>
    <w:rsid w:val="003B7224"/>
    <w:rsid w:val="003B73A4"/>
    <w:rsid w:val="003B73E5"/>
    <w:rsid w:val="003B756A"/>
    <w:rsid w:val="003B7572"/>
    <w:rsid w:val="003B75AF"/>
    <w:rsid w:val="003B75E8"/>
    <w:rsid w:val="003B7646"/>
    <w:rsid w:val="003B764D"/>
    <w:rsid w:val="003B766A"/>
    <w:rsid w:val="003B780E"/>
    <w:rsid w:val="003B783B"/>
    <w:rsid w:val="003B788D"/>
    <w:rsid w:val="003B79CA"/>
    <w:rsid w:val="003B7B2B"/>
    <w:rsid w:val="003B7B46"/>
    <w:rsid w:val="003B7B62"/>
    <w:rsid w:val="003B7B67"/>
    <w:rsid w:val="003B7C3C"/>
    <w:rsid w:val="003B7C64"/>
    <w:rsid w:val="003B7D67"/>
    <w:rsid w:val="003B7DF7"/>
    <w:rsid w:val="003C0105"/>
    <w:rsid w:val="003C0124"/>
    <w:rsid w:val="003C028E"/>
    <w:rsid w:val="003C02BF"/>
    <w:rsid w:val="003C0335"/>
    <w:rsid w:val="003C035F"/>
    <w:rsid w:val="003C0423"/>
    <w:rsid w:val="003C0484"/>
    <w:rsid w:val="003C0492"/>
    <w:rsid w:val="003C0575"/>
    <w:rsid w:val="003C0582"/>
    <w:rsid w:val="003C0725"/>
    <w:rsid w:val="003C072E"/>
    <w:rsid w:val="003C0773"/>
    <w:rsid w:val="003C0921"/>
    <w:rsid w:val="003C09D8"/>
    <w:rsid w:val="003C0A88"/>
    <w:rsid w:val="003C0B2A"/>
    <w:rsid w:val="003C0B31"/>
    <w:rsid w:val="003C0B7F"/>
    <w:rsid w:val="003C0BC3"/>
    <w:rsid w:val="003C0D43"/>
    <w:rsid w:val="003C0D52"/>
    <w:rsid w:val="003C0D76"/>
    <w:rsid w:val="003C0E39"/>
    <w:rsid w:val="003C0F7B"/>
    <w:rsid w:val="003C0F9D"/>
    <w:rsid w:val="003C1017"/>
    <w:rsid w:val="003C103F"/>
    <w:rsid w:val="003C1064"/>
    <w:rsid w:val="003C107C"/>
    <w:rsid w:val="003C113C"/>
    <w:rsid w:val="003C136F"/>
    <w:rsid w:val="003C13BF"/>
    <w:rsid w:val="003C151A"/>
    <w:rsid w:val="003C151E"/>
    <w:rsid w:val="003C1529"/>
    <w:rsid w:val="003C1538"/>
    <w:rsid w:val="003C1592"/>
    <w:rsid w:val="003C15F3"/>
    <w:rsid w:val="003C17D9"/>
    <w:rsid w:val="003C18DA"/>
    <w:rsid w:val="003C1A07"/>
    <w:rsid w:val="003C1AC6"/>
    <w:rsid w:val="003C1B0C"/>
    <w:rsid w:val="003C1BA8"/>
    <w:rsid w:val="003C1BB7"/>
    <w:rsid w:val="003C1C0A"/>
    <w:rsid w:val="003C1C27"/>
    <w:rsid w:val="003C1C2A"/>
    <w:rsid w:val="003C1C91"/>
    <w:rsid w:val="003C1D01"/>
    <w:rsid w:val="003C1E40"/>
    <w:rsid w:val="003C1E42"/>
    <w:rsid w:val="003C1E44"/>
    <w:rsid w:val="003C20B3"/>
    <w:rsid w:val="003C2187"/>
    <w:rsid w:val="003C2320"/>
    <w:rsid w:val="003C24F1"/>
    <w:rsid w:val="003C2617"/>
    <w:rsid w:val="003C268A"/>
    <w:rsid w:val="003C2831"/>
    <w:rsid w:val="003C2865"/>
    <w:rsid w:val="003C2880"/>
    <w:rsid w:val="003C28A0"/>
    <w:rsid w:val="003C28B2"/>
    <w:rsid w:val="003C28D2"/>
    <w:rsid w:val="003C292F"/>
    <w:rsid w:val="003C2A2B"/>
    <w:rsid w:val="003C2B06"/>
    <w:rsid w:val="003C2B62"/>
    <w:rsid w:val="003C2BF7"/>
    <w:rsid w:val="003C2D18"/>
    <w:rsid w:val="003C2D40"/>
    <w:rsid w:val="003C2E9F"/>
    <w:rsid w:val="003C2F71"/>
    <w:rsid w:val="003C2FA9"/>
    <w:rsid w:val="003C3153"/>
    <w:rsid w:val="003C324C"/>
    <w:rsid w:val="003C32BC"/>
    <w:rsid w:val="003C32F4"/>
    <w:rsid w:val="003C331E"/>
    <w:rsid w:val="003C3490"/>
    <w:rsid w:val="003C34D1"/>
    <w:rsid w:val="003C3536"/>
    <w:rsid w:val="003C3580"/>
    <w:rsid w:val="003C3626"/>
    <w:rsid w:val="003C3662"/>
    <w:rsid w:val="003C381A"/>
    <w:rsid w:val="003C3868"/>
    <w:rsid w:val="003C386E"/>
    <w:rsid w:val="003C387E"/>
    <w:rsid w:val="003C39B3"/>
    <w:rsid w:val="003C3A72"/>
    <w:rsid w:val="003C3A8F"/>
    <w:rsid w:val="003C3A97"/>
    <w:rsid w:val="003C3BE5"/>
    <w:rsid w:val="003C3CC3"/>
    <w:rsid w:val="003C3D1C"/>
    <w:rsid w:val="003C3E31"/>
    <w:rsid w:val="003C3E82"/>
    <w:rsid w:val="003C3E87"/>
    <w:rsid w:val="003C3EA9"/>
    <w:rsid w:val="003C3EC5"/>
    <w:rsid w:val="003C3F42"/>
    <w:rsid w:val="003C3F46"/>
    <w:rsid w:val="003C3F49"/>
    <w:rsid w:val="003C3F67"/>
    <w:rsid w:val="003C3FC3"/>
    <w:rsid w:val="003C3FFC"/>
    <w:rsid w:val="003C4003"/>
    <w:rsid w:val="003C4007"/>
    <w:rsid w:val="003C4420"/>
    <w:rsid w:val="003C447F"/>
    <w:rsid w:val="003C449C"/>
    <w:rsid w:val="003C45B7"/>
    <w:rsid w:val="003C45FC"/>
    <w:rsid w:val="003C463C"/>
    <w:rsid w:val="003C4647"/>
    <w:rsid w:val="003C468A"/>
    <w:rsid w:val="003C4930"/>
    <w:rsid w:val="003C4983"/>
    <w:rsid w:val="003C4A5A"/>
    <w:rsid w:val="003C4A84"/>
    <w:rsid w:val="003C4ABD"/>
    <w:rsid w:val="003C4B37"/>
    <w:rsid w:val="003C4C71"/>
    <w:rsid w:val="003C4D06"/>
    <w:rsid w:val="003C4FC8"/>
    <w:rsid w:val="003C5034"/>
    <w:rsid w:val="003C5100"/>
    <w:rsid w:val="003C515F"/>
    <w:rsid w:val="003C5289"/>
    <w:rsid w:val="003C529F"/>
    <w:rsid w:val="003C556D"/>
    <w:rsid w:val="003C55ED"/>
    <w:rsid w:val="003C5602"/>
    <w:rsid w:val="003C5691"/>
    <w:rsid w:val="003C56A8"/>
    <w:rsid w:val="003C57ED"/>
    <w:rsid w:val="003C58EE"/>
    <w:rsid w:val="003C5901"/>
    <w:rsid w:val="003C593A"/>
    <w:rsid w:val="003C59DC"/>
    <w:rsid w:val="003C59EB"/>
    <w:rsid w:val="003C5B0A"/>
    <w:rsid w:val="003C5C3A"/>
    <w:rsid w:val="003C5C43"/>
    <w:rsid w:val="003C5C50"/>
    <w:rsid w:val="003C5CC9"/>
    <w:rsid w:val="003C5D52"/>
    <w:rsid w:val="003C5D80"/>
    <w:rsid w:val="003C5E61"/>
    <w:rsid w:val="003C5EFC"/>
    <w:rsid w:val="003C5F25"/>
    <w:rsid w:val="003C5F27"/>
    <w:rsid w:val="003C6060"/>
    <w:rsid w:val="003C606A"/>
    <w:rsid w:val="003C60D9"/>
    <w:rsid w:val="003C617E"/>
    <w:rsid w:val="003C6315"/>
    <w:rsid w:val="003C644A"/>
    <w:rsid w:val="003C6483"/>
    <w:rsid w:val="003C64BE"/>
    <w:rsid w:val="003C6576"/>
    <w:rsid w:val="003C659C"/>
    <w:rsid w:val="003C65F1"/>
    <w:rsid w:val="003C664B"/>
    <w:rsid w:val="003C6687"/>
    <w:rsid w:val="003C67A4"/>
    <w:rsid w:val="003C67E8"/>
    <w:rsid w:val="003C68CD"/>
    <w:rsid w:val="003C6965"/>
    <w:rsid w:val="003C6A73"/>
    <w:rsid w:val="003C6AE0"/>
    <w:rsid w:val="003C6B98"/>
    <w:rsid w:val="003C6BAF"/>
    <w:rsid w:val="003C6C06"/>
    <w:rsid w:val="003C6CC6"/>
    <w:rsid w:val="003C6E3E"/>
    <w:rsid w:val="003C704A"/>
    <w:rsid w:val="003C7053"/>
    <w:rsid w:val="003C7054"/>
    <w:rsid w:val="003C70D5"/>
    <w:rsid w:val="003C720D"/>
    <w:rsid w:val="003C72AF"/>
    <w:rsid w:val="003C72E2"/>
    <w:rsid w:val="003C736E"/>
    <w:rsid w:val="003C7411"/>
    <w:rsid w:val="003C74C0"/>
    <w:rsid w:val="003C7570"/>
    <w:rsid w:val="003C75E5"/>
    <w:rsid w:val="003C765F"/>
    <w:rsid w:val="003C7783"/>
    <w:rsid w:val="003C7848"/>
    <w:rsid w:val="003C793C"/>
    <w:rsid w:val="003C79C0"/>
    <w:rsid w:val="003C79DF"/>
    <w:rsid w:val="003C7AB6"/>
    <w:rsid w:val="003C7C7C"/>
    <w:rsid w:val="003C7D01"/>
    <w:rsid w:val="003C7D74"/>
    <w:rsid w:val="003C7DBE"/>
    <w:rsid w:val="003C7DCE"/>
    <w:rsid w:val="003C7E38"/>
    <w:rsid w:val="003C7E73"/>
    <w:rsid w:val="003C7EA4"/>
    <w:rsid w:val="003C7EE3"/>
    <w:rsid w:val="003C7FB2"/>
    <w:rsid w:val="003CAF6C"/>
    <w:rsid w:val="003D0034"/>
    <w:rsid w:val="003D0040"/>
    <w:rsid w:val="003D0297"/>
    <w:rsid w:val="003D02F7"/>
    <w:rsid w:val="003D0334"/>
    <w:rsid w:val="003D035C"/>
    <w:rsid w:val="003D0364"/>
    <w:rsid w:val="003D0441"/>
    <w:rsid w:val="003D04B1"/>
    <w:rsid w:val="003D0535"/>
    <w:rsid w:val="003D064D"/>
    <w:rsid w:val="003D068C"/>
    <w:rsid w:val="003D0693"/>
    <w:rsid w:val="003D06BA"/>
    <w:rsid w:val="003D07AD"/>
    <w:rsid w:val="003D0803"/>
    <w:rsid w:val="003D0915"/>
    <w:rsid w:val="003D0921"/>
    <w:rsid w:val="003D09AA"/>
    <w:rsid w:val="003D09ED"/>
    <w:rsid w:val="003D0C16"/>
    <w:rsid w:val="003D0C32"/>
    <w:rsid w:val="003D0C7F"/>
    <w:rsid w:val="003D0C9C"/>
    <w:rsid w:val="003D0D05"/>
    <w:rsid w:val="003D0DFD"/>
    <w:rsid w:val="003D0F7B"/>
    <w:rsid w:val="003D11C2"/>
    <w:rsid w:val="003D11DE"/>
    <w:rsid w:val="003D1299"/>
    <w:rsid w:val="003D12A7"/>
    <w:rsid w:val="003D1395"/>
    <w:rsid w:val="003D13B9"/>
    <w:rsid w:val="003D141C"/>
    <w:rsid w:val="003D145B"/>
    <w:rsid w:val="003D156A"/>
    <w:rsid w:val="003D1579"/>
    <w:rsid w:val="003D166A"/>
    <w:rsid w:val="003D18AB"/>
    <w:rsid w:val="003D18C8"/>
    <w:rsid w:val="003D1A05"/>
    <w:rsid w:val="003D1A41"/>
    <w:rsid w:val="003D1B7B"/>
    <w:rsid w:val="003D1B97"/>
    <w:rsid w:val="003D1C6E"/>
    <w:rsid w:val="003D1DC6"/>
    <w:rsid w:val="003D1E06"/>
    <w:rsid w:val="003D1E36"/>
    <w:rsid w:val="003D219F"/>
    <w:rsid w:val="003D223A"/>
    <w:rsid w:val="003D229F"/>
    <w:rsid w:val="003D22C6"/>
    <w:rsid w:val="003D23DA"/>
    <w:rsid w:val="003D2410"/>
    <w:rsid w:val="003D2453"/>
    <w:rsid w:val="003D246E"/>
    <w:rsid w:val="003D2500"/>
    <w:rsid w:val="003D2690"/>
    <w:rsid w:val="003D26D1"/>
    <w:rsid w:val="003D2794"/>
    <w:rsid w:val="003D27AE"/>
    <w:rsid w:val="003D2840"/>
    <w:rsid w:val="003D28FD"/>
    <w:rsid w:val="003D2998"/>
    <w:rsid w:val="003D29C3"/>
    <w:rsid w:val="003D2B85"/>
    <w:rsid w:val="003D2CFA"/>
    <w:rsid w:val="003D2DA5"/>
    <w:rsid w:val="003D2E9F"/>
    <w:rsid w:val="003D2FFB"/>
    <w:rsid w:val="003D3059"/>
    <w:rsid w:val="003D307A"/>
    <w:rsid w:val="003D30A4"/>
    <w:rsid w:val="003D30CC"/>
    <w:rsid w:val="003D3141"/>
    <w:rsid w:val="003D32B4"/>
    <w:rsid w:val="003D32BB"/>
    <w:rsid w:val="003D3312"/>
    <w:rsid w:val="003D3385"/>
    <w:rsid w:val="003D33CA"/>
    <w:rsid w:val="003D34C9"/>
    <w:rsid w:val="003D34F6"/>
    <w:rsid w:val="003D3554"/>
    <w:rsid w:val="003D36EA"/>
    <w:rsid w:val="003D3731"/>
    <w:rsid w:val="003D388B"/>
    <w:rsid w:val="003D38F4"/>
    <w:rsid w:val="003D3959"/>
    <w:rsid w:val="003D39AC"/>
    <w:rsid w:val="003D3A3A"/>
    <w:rsid w:val="003D3BD9"/>
    <w:rsid w:val="003D3CA1"/>
    <w:rsid w:val="003D3CDB"/>
    <w:rsid w:val="003D3CED"/>
    <w:rsid w:val="003D3D00"/>
    <w:rsid w:val="003D3D0B"/>
    <w:rsid w:val="003D3D78"/>
    <w:rsid w:val="003D3DBC"/>
    <w:rsid w:val="003D3F93"/>
    <w:rsid w:val="003D4087"/>
    <w:rsid w:val="003D40BE"/>
    <w:rsid w:val="003D40BF"/>
    <w:rsid w:val="003D4157"/>
    <w:rsid w:val="003D416F"/>
    <w:rsid w:val="003D417F"/>
    <w:rsid w:val="003D41CF"/>
    <w:rsid w:val="003D423E"/>
    <w:rsid w:val="003D4352"/>
    <w:rsid w:val="003D436B"/>
    <w:rsid w:val="003D4388"/>
    <w:rsid w:val="003D4467"/>
    <w:rsid w:val="003D446A"/>
    <w:rsid w:val="003D44FC"/>
    <w:rsid w:val="003D45B9"/>
    <w:rsid w:val="003D46C5"/>
    <w:rsid w:val="003D4705"/>
    <w:rsid w:val="003D47B7"/>
    <w:rsid w:val="003D489C"/>
    <w:rsid w:val="003D48CC"/>
    <w:rsid w:val="003D4922"/>
    <w:rsid w:val="003D49E7"/>
    <w:rsid w:val="003D4A08"/>
    <w:rsid w:val="003D4ADB"/>
    <w:rsid w:val="003D4B02"/>
    <w:rsid w:val="003D4B6F"/>
    <w:rsid w:val="003D4BB6"/>
    <w:rsid w:val="003D4BC7"/>
    <w:rsid w:val="003D4BEF"/>
    <w:rsid w:val="003D4C3E"/>
    <w:rsid w:val="003D4C66"/>
    <w:rsid w:val="003D4C7C"/>
    <w:rsid w:val="003D4CA1"/>
    <w:rsid w:val="003D4CD0"/>
    <w:rsid w:val="003D4CDE"/>
    <w:rsid w:val="003D4D2C"/>
    <w:rsid w:val="003D4EB4"/>
    <w:rsid w:val="003D4EB5"/>
    <w:rsid w:val="003D4F75"/>
    <w:rsid w:val="003D4FD9"/>
    <w:rsid w:val="003D51E1"/>
    <w:rsid w:val="003D5270"/>
    <w:rsid w:val="003D52F2"/>
    <w:rsid w:val="003D5583"/>
    <w:rsid w:val="003D55F2"/>
    <w:rsid w:val="003D5644"/>
    <w:rsid w:val="003D5670"/>
    <w:rsid w:val="003D56F0"/>
    <w:rsid w:val="003D5760"/>
    <w:rsid w:val="003D579C"/>
    <w:rsid w:val="003D57B8"/>
    <w:rsid w:val="003D592F"/>
    <w:rsid w:val="003D597C"/>
    <w:rsid w:val="003D5AC1"/>
    <w:rsid w:val="003D5C47"/>
    <w:rsid w:val="003D5CCE"/>
    <w:rsid w:val="003D5DC6"/>
    <w:rsid w:val="003D5E3A"/>
    <w:rsid w:val="003D5F26"/>
    <w:rsid w:val="003D5F8E"/>
    <w:rsid w:val="003D5FB5"/>
    <w:rsid w:val="003D619F"/>
    <w:rsid w:val="003D61A3"/>
    <w:rsid w:val="003D6252"/>
    <w:rsid w:val="003D6288"/>
    <w:rsid w:val="003D62A8"/>
    <w:rsid w:val="003D62F0"/>
    <w:rsid w:val="003D6467"/>
    <w:rsid w:val="003D64BB"/>
    <w:rsid w:val="003D64D0"/>
    <w:rsid w:val="003D65E1"/>
    <w:rsid w:val="003D6684"/>
    <w:rsid w:val="003D6696"/>
    <w:rsid w:val="003D669E"/>
    <w:rsid w:val="003D66B9"/>
    <w:rsid w:val="003D66FF"/>
    <w:rsid w:val="003D67A0"/>
    <w:rsid w:val="003D6863"/>
    <w:rsid w:val="003D6889"/>
    <w:rsid w:val="003D68DF"/>
    <w:rsid w:val="003D6A2C"/>
    <w:rsid w:val="003D6AD3"/>
    <w:rsid w:val="003D6BB1"/>
    <w:rsid w:val="003D6BD8"/>
    <w:rsid w:val="003D6C4F"/>
    <w:rsid w:val="003D6C84"/>
    <w:rsid w:val="003D6C9A"/>
    <w:rsid w:val="003D6D37"/>
    <w:rsid w:val="003D6D4B"/>
    <w:rsid w:val="003D6D6E"/>
    <w:rsid w:val="003D6DE9"/>
    <w:rsid w:val="003D6DF2"/>
    <w:rsid w:val="003D6E3D"/>
    <w:rsid w:val="003D6FE3"/>
    <w:rsid w:val="003D7001"/>
    <w:rsid w:val="003D708C"/>
    <w:rsid w:val="003D70F7"/>
    <w:rsid w:val="003D7257"/>
    <w:rsid w:val="003D7286"/>
    <w:rsid w:val="003D7292"/>
    <w:rsid w:val="003D739F"/>
    <w:rsid w:val="003D73C7"/>
    <w:rsid w:val="003D743E"/>
    <w:rsid w:val="003D748D"/>
    <w:rsid w:val="003D7498"/>
    <w:rsid w:val="003D75C5"/>
    <w:rsid w:val="003D75D2"/>
    <w:rsid w:val="003D75EC"/>
    <w:rsid w:val="003D760A"/>
    <w:rsid w:val="003D765F"/>
    <w:rsid w:val="003D7763"/>
    <w:rsid w:val="003D7918"/>
    <w:rsid w:val="003D7A12"/>
    <w:rsid w:val="003D7A27"/>
    <w:rsid w:val="003D7AFE"/>
    <w:rsid w:val="003D7BC2"/>
    <w:rsid w:val="003D7C3F"/>
    <w:rsid w:val="003D7C43"/>
    <w:rsid w:val="003D7D06"/>
    <w:rsid w:val="003D7D32"/>
    <w:rsid w:val="003D7D9B"/>
    <w:rsid w:val="003D7DA7"/>
    <w:rsid w:val="003D7DF0"/>
    <w:rsid w:val="003D7FC1"/>
    <w:rsid w:val="003DE2A5"/>
    <w:rsid w:val="003E00D0"/>
    <w:rsid w:val="003E00F2"/>
    <w:rsid w:val="003E0189"/>
    <w:rsid w:val="003E023C"/>
    <w:rsid w:val="003E02A6"/>
    <w:rsid w:val="003E02F0"/>
    <w:rsid w:val="003E032A"/>
    <w:rsid w:val="003E03BA"/>
    <w:rsid w:val="003E03DA"/>
    <w:rsid w:val="003E0562"/>
    <w:rsid w:val="003E05A2"/>
    <w:rsid w:val="003E060A"/>
    <w:rsid w:val="003E0651"/>
    <w:rsid w:val="003E06D1"/>
    <w:rsid w:val="003E076C"/>
    <w:rsid w:val="003E07F4"/>
    <w:rsid w:val="003E0860"/>
    <w:rsid w:val="003E0872"/>
    <w:rsid w:val="003E094D"/>
    <w:rsid w:val="003E0B34"/>
    <w:rsid w:val="003E0C3F"/>
    <w:rsid w:val="003E0C5B"/>
    <w:rsid w:val="003E0CA8"/>
    <w:rsid w:val="003E0CB0"/>
    <w:rsid w:val="003E0D4D"/>
    <w:rsid w:val="003E0F41"/>
    <w:rsid w:val="003E0F99"/>
    <w:rsid w:val="003E12A4"/>
    <w:rsid w:val="003E14AF"/>
    <w:rsid w:val="003E14E0"/>
    <w:rsid w:val="003E150F"/>
    <w:rsid w:val="003E15BF"/>
    <w:rsid w:val="003E15EF"/>
    <w:rsid w:val="003E1739"/>
    <w:rsid w:val="003E17AC"/>
    <w:rsid w:val="003E19DE"/>
    <w:rsid w:val="003E1A13"/>
    <w:rsid w:val="003E1A94"/>
    <w:rsid w:val="003E1B2E"/>
    <w:rsid w:val="003E1B3F"/>
    <w:rsid w:val="003E1D22"/>
    <w:rsid w:val="003E1DE4"/>
    <w:rsid w:val="003E1EB1"/>
    <w:rsid w:val="003E1EC7"/>
    <w:rsid w:val="003E20B8"/>
    <w:rsid w:val="003E20E3"/>
    <w:rsid w:val="003E213A"/>
    <w:rsid w:val="003E2155"/>
    <w:rsid w:val="003E226B"/>
    <w:rsid w:val="003E2366"/>
    <w:rsid w:val="003E239E"/>
    <w:rsid w:val="003E23BC"/>
    <w:rsid w:val="003E23DD"/>
    <w:rsid w:val="003E243E"/>
    <w:rsid w:val="003E24C0"/>
    <w:rsid w:val="003E24FC"/>
    <w:rsid w:val="003E2580"/>
    <w:rsid w:val="003E2629"/>
    <w:rsid w:val="003E274B"/>
    <w:rsid w:val="003E27AE"/>
    <w:rsid w:val="003E2805"/>
    <w:rsid w:val="003E2854"/>
    <w:rsid w:val="003E2859"/>
    <w:rsid w:val="003E286E"/>
    <w:rsid w:val="003E2875"/>
    <w:rsid w:val="003E2B05"/>
    <w:rsid w:val="003E2B4C"/>
    <w:rsid w:val="003E2B6A"/>
    <w:rsid w:val="003E2B8B"/>
    <w:rsid w:val="003E2BBC"/>
    <w:rsid w:val="003E2C6A"/>
    <w:rsid w:val="003E2CCC"/>
    <w:rsid w:val="003E2D74"/>
    <w:rsid w:val="003E2F06"/>
    <w:rsid w:val="003E2F99"/>
    <w:rsid w:val="003E2FC2"/>
    <w:rsid w:val="003E2FCD"/>
    <w:rsid w:val="003E2FD7"/>
    <w:rsid w:val="003E2FFC"/>
    <w:rsid w:val="003E300A"/>
    <w:rsid w:val="003E30B8"/>
    <w:rsid w:val="003E3127"/>
    <w:rsid w:val="003E3131"/>
    <w:rsid w:val="003E31A0"/>
    <w:rsid w:val="003E31CC"/>
    <w:rsid w:val="003E3310"/>
    <w:rsid w:val="003E35B9"/>
    <w:rsid w:val="003E36B7"/>
    <w:rsid w:val="003E36C2"/>
    <w:rsid w:val="003E36DD"/>
    <w:rsid w:val="003E3700"/>
    <w:rsid w:val="003E37FF"/>
    <w:rsid w:val="003E3834"/>
    <w:rsid w:val="003E38EB"/>
    <w:rsid w:val="003E3BFC"/>
    <w:rsid w:val="003E3C4B"/>
    <w:rsid w:val="003E3CC0"/>
    <w:rsid w:val="003E3D25"/>
    <w:rsid w:val="003E3D36"/>
    <w:rsid w:val="003E3DD9"/>
    <w:rsid w:val="003E3E05"/>
    <w:rsid w:val="003E3E0F"/>
    <w:rsid w:val="003E3E38"/>
    <w:rsid w:val="003E3E7B"/>
    <w:rsid w:val="003E3E87"/>
    <w:rsid w:val="003E3EA3"/>
    <w:rsid w:val="003E3F72"/>
    <w:rsid w:val="003E3FE7"/>
    <w:rsid w:val="003E409E"/>
    <w:rsid w:val="003E40BA"/>
    <w:rsid w:val="003E40DE"/>
    <w:rsid w:val="003E40EC"/>
    <w:rsid w:val="003E4101"/>
    <w:rsid w:val="003E4137"/>
    <w:rsid w:val="003E4161"/>
    <w:rsid w:val="003E422C"/>
    <w:rsid w:val="003E442A"/>
    <w:rsid w:val="003E442E"/>
    <w:rsid w:val="003E451B"/>
    <w:rsid w:val="003E4614"/>
    <w:rsid w:val="003E46F2"/>
    <w:rsid w:val="003E4732"/>
    <w:rsid w:val="003E473A"/>
    <w:rsid w:val="003E48C2"/>
    <w:rsid w:val="003E48F6"/>
    <w:rsid w:val="003E490A"/>
    <w:rsid w:val="003E4936"/>
    <w:rsid w:val="003E49D6"/>
    <w:rsid w:val="003E49EB"/>
    <w:rsid w:val="003E4AF3"/>
    <w:rsid w:val="003E4BA4"/>
    <w:rsid w:val="003E4C8E"/>
    <w:rsid w:val="003E4D19"/>
    <w:rsid w:val="003E4D95"/>
    <w:rsid w:val="003E4DBB"/>
    <w:rsid w:val="003E4F15"/>
    <w:rsid w:val="003E4F9D"/>
    <w:rsid w:val="003E4FF1"/>
    <w:rsid w:val="003E5019"/>
    <w:rsid w:val="003E50DE"/>
    <w:rsid w:val="003E50FE"/>
    <w:rsid w:val="003E5112"/>
    <w:rsid w:val="003E5166"/>
    <w:rsid w:val="003E51CA"/>
    <w:rsid w:val="003E51FD"/>
    <w:rsid w:val="003E5242"/>
    <w:rsid w:val="003E53CC"/>
    <w:rsid w:val="003E53D9"/>
    <w:rsid w:val="003E5488"/>
    <w:rsid w:val="003E5494"/>
    <w:rsid w:val="003E54E9"/>
    <w:rsid w:val="003E5517"/>
    <w:rsid w:val="003E554D"/>
    <w:rsid w:val="003E55E9"/>
    <w:rsid w:val="003E5618"/>
    <w:rsid w:val="003E5669"/>
    <w:rsid w:val="003E567B"/>
    <w:rsid w:val="003E5701"/>
    <w:rsid w:val="003E5771"/>
    <w:rsid w:val="003E5785"/>
    <w:rsid w:val="003E5A2C"/>
    <w:rsid w:val="003E5AC6"/>
    <w:rsid w:val="003E5AE6"/>
    <w:rsid w:val="003E5AF3"/>
    <w:rsid w:val="003E5C21"/>
    <w:rsid w:val="003E5CBF"/>
    <w:rsid w:val="003E5D47"/>
    <w:rsid w:val="003E5D4C"/>
    <w:rsid w:val="003E5D7F"/>
    <w:rsid w:val="003E5EBF"/>
    <w:rsid w:val="003E5FDE"/>
    <w:rsid w:val="003E6097"/>
    <w:rsid w:val="003E62BF"/>
    <w:rsid w:val="003E640C"/>
    <w:rsid w:val="003E64DC"/>
    <w:rsid w:val="003E6604"/>
    <w:rsid w:val="003E6704"/>
    <w:rsid w:val="003E68AA"/>
    <w:rsid w:val="003E691B"/>
    <w:rsid w:val="003E694F"/>
    <w:rsid w:val="003E698E"/>
    <w:rsid w:val="003E69F7"/>
    <w:rsid w:val="003E6B20"/>
    <w:rsid w:val="003E6BA5"/>
    <w:rsid w:val="003E6C44"/>
    <w:rsid w:val="003E6CF0"/>
    <w:rsid w:val="003E6D43"/>
    <w:rsid w:val="003E6D47"/>
    <w:rsid w:val="003E6E28"/>
    <w:rsid w:val="003E6FEA"/>
    <w:rsid w:val="003E70D9"/>
    <w:rsid w:val="003E70F1"/>
    <w:rsid w:val="003E7138"/>
    <w:rsid w:val="003E7177"/>
    <w:rsid w:val="003E71B8"/>
    <w:rsid w:val="003E721B"/>
    <w:rsid w:val="003E7325"/>
    <w:rsid w:val="003E736C"/>
    <w:rsid w:val="003E7593"/>
    <w:rsid w:val="003E75A3"/>
    <w:rsid w:val="003E75FF"/>
    <w:rsid w:val="003E7640"/>
    <w:rsid w:val="003E766A"/>
    <w:rsid w:val="003E76E5"/>
    <w:rsid w:val="003E778F"/>
    <w:rsid w:val="003E786E"/>
    <w:rsid w:val="003E78A9"/>
    <w:rsid w:val="003E7A61"/>
    <w:rsid w:val="003E7AB4"/>
    <w:rsid w:val="003E7B16"/>
    <w:rsid w:val="003E7C12"/>
    <w:rsid w:val="003E7C3B"/>
    <w:rsid w:val="003E7C43"/>
    <w:rsid w:val="003E7C54"/>
    <w:rsid w:val="003E7C76"/>
    <w:rsid w:val="003E7E51"/>
    <w:rsid w:val="003E7E74"/>
    <w:rsid w:val="003F006F"/>
    <w:rsid w:val="003F00CE"/>
    <w:rsid w:val="003F026B"/>
    <w:rsid w:val="003F042B"/>
    <w:rsid w:val="003F04A7"/>
    <w:rsid w:val="003F050F"/>
    <w:rsid w:val="003F066D"/>
    <w:rsid w:val="003F0679"/>
    <w:rsid w:val="003F06E3"/>
    <w:rsid w:val="003F0709"/>
    <w:rsid w:val="003F077A"/>
    <w:rsid w:val="003F0876"/>
    <w:rsid w:val="003F08C8"/>
    <w:rsid w:val="003F0906"/>
    <w:rsid w:val="003F09AF"/>
    <w:rsid w:val="003F0A0B"/>
    <w:rsid w:val="003F0A57"/>
    <w:rsid w:val="003F0AAB"/>
    <w:rsid w:val="003F0B4E"/>
    <w:rsid w:val="003F0B88"/>
    <w:rsid w:val="003F0BB7"/>
    <w:rsid w:val="003F0BDA"/>
    <w:rsid w:val="003F0DF3"/>
    <w:rsid w:val="003F0E45"/>
    <w:rsid w:val="003F0E5F"/>
    <w:rsid w:val="003F0E87"/>
    <w:rsid w:val="003F0EAC"/>
    <w:rsid w:val="003F0FC5"/>
    <w:rsid w:val="003F1012"/>
    <w:rsid w:val="003F1090"/>
    <w:rsid w:val="003F10FE"/>
    <w:rsid w:val="003F1193"/>
    <w:rsid w:val="003F120D"/>
    <w:rsid w:val="003F1268"/>
    <w:rsid w:val="003F12D6"/>
    <w:rsid w:val="003F12FB"/>
    <w:rsid w:val="003F1336"/>
    <w:rsid w:val="003F13AE"/>
    <w:rsid w:val="003F1409"/>
    <w:rsid w:val="003F15AF"/>
    <w:rsid w:val="003F1642"/>
    <w:rsid w:val="003F1664"/>
    <w:rsid w:val="003F16B0"/>
    <w:rsid w:val="003F1770"/>
    <w:rsid w:val="003F1869"/>
    <w:rsid w:val="003F194D"/>
    <w:rsid w:val="003F19C2"/>
    <w:rsid w:val="003F1A0A"/>
    <w:rsid w:val="003F1A47"/>
    <w:rsid w:val="003F1B0F"/>
    <w:rsid w:val="003F1B1D"/>
    <w:rsid w:val="003F1B8F"/>
    <w:rsid w:val="003F1BEE"/>
    <w:rsid w:val="003F1CBD"/>
    <w:rsid w:val="003F1CDD"/>
    <w:rsid w:val="003F1D4D"/>
    <w:rsid w:val="003F1E33"/>
    <w:rsid w:val="003F1F00"/>
    <w:rsid w:val="003F1F4F"/>
    <w:rsid w:val="003F1FAB"/>
    <w:rsid w:val="003F2120"/>
    <w:rsid w:val="003F21CE"/>
    <w:rsid w:val="003F221A"/>
    <w:rsid w:val="003F22BB"/>
    <w:rsid w:val="003F2384"/>
    <w:rsid w:val="003F23B4"/>
    <w:rsid w:val="003F24FC"/>
    <w:rsid w:val="003F257F"/>
    <w:rsid w:val="003F25C0"/>
    <w:rsid w:val="003F2619"/>
    <w:rsid w:val="003F2630"/>
    <w:rsid w:val="003F26E6"/>
    <w:rsid w:val="003F275D"/>
    <w:rsid w:val="003F27AB"/>
    <w:rsid w:val="003F283A"/>
    <w:rsid w:val="003F2888"/>
    <w:rsid w:val="003F2A5B"/>
    <w:rsid w:val="003F2AA8"/>
    <w:rsid w:val="003F2AAD"/>
    <w:rsid w:val="003F2AB1"/>
    <w:rsid w:val="003F2E0B"/>
    <w:rsid w:val="003F2E33"/>
    <w:rsid w:val="003F2E3C"/>
    <w:rsid w:val="003F2E95"/>
    <w:rsid w:val="003F2EA2"/>
    <w:rsid w:val="003F313A"/>
    <w:rsid w:val="003F31C1"/>
    <w:rsid w:val="003F31FB"/>
    <w:rsid w:val="003F322D"/>
    <w:rsid w:val="003F33AC"/>
    <w:rsid w:val="003F3568"/>
    <w:rsid w:val="003F35D5"/>
    <w:rsid w:val="003F36BE"/>
    <w:rsid w:val="003F3700"/>
    <w:rsid w:val="003F3948"/>
    <w:rsid w:val="003F3B0C"/>
    <w:rsid w:val="003F3B4B"/>
    <w:rsid w:val="003F3B5E"/>
    <w:rsid w:val="003F3BB8"/>
    <w:rsid w:val="003F3C04"/>
    <w:rsid w:val="003F3C0B"/>
    <w:rsid w:val="003F3C70"/>
    <w:rsid w:val="003F3C75"/>
    <w:rsid w:val="003F3CD2"/>
    <w:rsid w:val="003F3D66"/>
    <w:rsid w:val="003F3D9B"/>
    <w:rsid w:val="003F3DAF"/>
    <w:rsid w:val="003F3E13"/>
    <w:rsid w:val="003F3E51"/>
    <w:rsid w:val="003F3E58"/>
    <w:rsid w:val="003F3FCD"/>
    <w:rsid w:val="003F3FD1"/>
    <w:rsid w:val="003F3FDB"/>
    <w:rsid w:val="003F408B"/>
    <w:rsid w:val="003F40A4"/>
    <w:rsid w:val="003F41F9"/>
    <w:rsid w:val="003F42CC"/>
    <w:rsid w:val="003F4372"/>
    <w:rsid w:val="003F439C"/>
    <w:rsid w:val="003F442D"/>
    <w:rsid w:val="003F44C3"/>
    <w:rsid w:val="003F4585"/>
    <w:rsid w:val="003F472D"/>
    <w:rsid w:val="003F4746"/>
    <w:rsid w:val="003F4954"/>
    <w:rsid w:val="003F4A02"/>
    <w:rsid w:val="003F4A46"/>
    <w:rsid w:val="003F4A5F"/>
    <w:rsid w:val="003F4D18"/>
    <w:rsid w:val="003F4DDC"/>
    <w:rsid w:val="003F4EB5"/>
    <w:rsid w:val="003F4F3B"/>
    <w:rsid w:val="003F5351"/>
    <w:rsid w:val="003F538F"/>
    <w:rsid w:val="003F540E"/>
    <w:rsid w:val="003F54B3"/>
    <w:rsid w:val="003F54EB"/>
    <w:rsid w:val="003F55B1"/>
    <w:rsid w:val="003F5721"/>
    <w:rsid w:val="003F5722"/>
    <w:rsid w:val="003F5778"/>
    <w:rsid w:val="003F5797"/>
    <w:rsid w:val="003F57A1"/>
    <w:rsid w:val="003F57C4"/>
    <w:rsid w:val="003F57E7"/>
    <w:rsid w:val="003F5890"/>
    <w:rsid w:val="003F5956"/>
    <w:rsid w:val="003F59D5"/>
    <w:rsid w:val="003F5AF7"/>
    <w:rsid w:val="003F5B31"/>
    <w:rsid w:val="003F5C4F"/>
    <w:rsid w:val="003F5D89"/>
    <w:rsid w:val="003F5E72"/>
    <w:rsid w:val="003F5F04"/>
    <w:rsid w:val="003F5F6E"/>
    <w:rsid w:val="003F5FAD"/>
    <w:rsid w:val="003F60AD"/>
    <w:rsid w:val="003F611C"/>
    <w:rsid w:val="003F624E"/>
    <w:rsid w:val="003F632E"/>
    <w:rsid w:val="003F641E"/>
    <w:rsid w:val="003F650D"/>
    <w:rsid w:val="003F6547"/>
    <w:rsid w:val="003F65FB"/>
    <w:rsid w:val="003F6647"/>
    <w:rsid w:val="003F665A"/>
    <w:rsid w:val="003F674E"/>
    <w:rsid w:val="003F6771"/>
    <w:rsid w:val="003F6825"/>
    <w:rsid w:val="003F68B9"/>
    <w:rsid w:val="003F6A96"/>
    <w:rsid w:val="003F6AAB"/>
    <w:rsid w:val="003F6AFC"/>
    <w:rsid w:val="003F6B63"/>
    <w:rsid w:val="003F6BB3"/>
    <w:rsid w:val="003F6C77"/>
    <w:rsid w:val="003F6CE9"/>
    <w:rsid w:val="003F6D29"/>
    <w:rsid w:val="003F6D47"/>
    <w:rsid w:val="003F6DAE"/>
    <w:rsid w:val="003F6DF7"/>
    <w:rsid w:val="003F705B"/>
    <w:rsid w:val="003F7066"/>
    <w:rsid w:val="003F719B"/>
    <w:rsid w:val="003F71B1"/>
    <w:rsid w:val="003F7227"/>
    <w:rsid w:val="003F7252"/>
    <w:rsid w:val="003F7299"/>
    <w:rsid w:val="003F7351"/>
    <w:rsid w:val="003F7456"/>
    <w:rsid w:val="003F7457"/>
    <w:rsid w:val="003F74ED"/>
    <w:rsid w:val="003F757C"/>
    <w:rsid w:val="003F7586"/>
    <w:rsid w:val="003F75FA"/>
    <w:rsid w:val="003F7722"/>
    <w:rsid w:val="003F77CE"/>
    <w:rsid w:val="003F788A"/>
    <w:rsid w:val="003F7960"/>
    <w:rsid w:val="003F79A8"/>
    <w:rsid w:val="003F79A9"/>
    <w:rsid w:val="003F7B35"/>
    <w:rsid w:val="003F7B61"/>
    <w:rsid w:val="003F7BC5"/>
    <w:rsid w:val="003F7C4E"/>
    <w:rsid w:val="003F7C4F"/>
    <w:rsid w:val="003F7D22"/>
    <w:rsid w:val="003F7DC3"/>
    <w:rsid w:val="003F7DD8"/>
    <w:rsid w:val="003F7FFE"/>
    <w:rsid w:val="003F8D8E"/>
    <w:rsid w:val="00400126"/>
    <w:rsid w:val="00400195"/>
    <w:rsid w:val="00400200"/>
    <w:rsid w:val="00400263"/>
    <w:rsid w:val="004002FF"/>
    <w:rsid w:val="00400490"/>
    <w:rsid w:val="004004AE"/>
    <w:rsid w:val="0040051D"/>
    <w:rsid w:val="004005EB"/>
    <w:rsid w:val="00400637"/>
    <w:rsid w:val="004006F0"/>
    <w:rsid w:val="00400708"/>
    <w:rsid w:val="004007C8"/>
    <w:rsid w:val="00400803"/>
    <w:rsid w:val="0040084E"/>
    <w:rsid w:val="004008A6"/>
    <w:rsid w:val="0040090B"/>
    <w:rsid w:val="004009F7"/>
    <w:rsid w:val="00400A1B"/>
    <w:rsid w:val="00400A85"/>
    <w:rsid w:val="00400AD2"/>
    <w:rsid w:val="00400AEF"/>
    <w:rsid w:val="00400B30"/>
    <w:rsid w:val="00400C1B"/>
    <w:rsid w:val="00400D77"/>
    <w:rsid w:val="00400E17"/>
    <w:rsid w:val="00400E3D"/>
    <w:rsid w:val="00400E52"/>
    <w:rsid w:val="00400E53"/>
    <w:rsid w:val="004010E1"/>
    <w:rsid w:val="004010F3"/>
    <w:rsid w:val="0040112F"/>
    <w:rsid w:val="00401150"/>
    <w:rsid w:val="00401248"/>
    <w:rsid w:val="00401291"/>
    <w:rsid w:val="004012DD"/>
    <w:rsid w:val="00401332"/>
    <w:rsid w:val="004013A0"/>
    <w:rsid w:val="00401540"/>
    <w:rsid w:val="00401557"/>
    <w:rsid w:val="004015A2"/>
    <w:rsid w:val="0040176D"/>
    <w:rsid w:val="004017F8"/>
    <w:rsid w:val="0040184F"/>
    <w:rsid w:val="0040186F"/>
    <w:rsid w:val="00401936"/>
    <w:rsid w:val="00401A3B"/>
    <w:rsid w:val="00401A5C"/>
    <w:rsid w:val="00401B2F"/>
    <w:rsid w:val="00401BAB"/>
    <w:rsid w:val="00401C31"/>
    <w:rsid w:val="00401C8C"/>
    <w:rsid w:val="00401CC3"/>
    <w:rsid w:val="00401CD2"/>
    <w:rsid w:val="00401DC6"/>
    <w:rsid w:val="00401E40"/>
    <w:rsid w:val="00401F19"/>
    <w:rsid w:val="00401F2C"/>
    <w:rsid w:val="00401F81"/>
    <w:rsid w:val="00402027"/>
    <w:rsid w:val="004020D1"/>
    <w:rsid w:val="004021A3"/>
    <w:rsid w:val="004021E9"/>
    <w:rsid w:val="0040233E"/>
    <w:rsid w:val="004023CB"/>
    <w:rsid w:val="004023F9"/>
    <w:rsid w:val="00402482"/>
    <w:rsid w:val="004024BD"/>
    <w:rsid w:val="004024DB"/>
    <w:rsid w:val="0040250F"/>
    <w:rsid w:val="004027A3"/>
    <w:rsid w:val="00402813"/>
    <w:rsid w:val="004028C3"/>
    <w:rsid w:val="00402A99"/>
    <w:rsid w:val="00402B3D"/>
    <w:rsid w:val="00402B6C"/>
    <w:rsid w:val="00402BA3"/>
    <w:rsid w:val="00402BC2"/>
    <w:rsid w:val="00402D50"/>
    <w:rsid w:val="00402D82"/>
    <w:rsid w:val="00402E6E"/>
    <w:rsid w:val="00402FEE"/>
    <w:rsid w:val="00403003"/>
    <w:rsid w:val="0040303F"/>
    <w:rsid w:val="0040304B"/>
    <w:rsid w:val="00403163"/>
    <w:rsid w:val="004033BF"/>
    <w:rsid w:val="00403567"/>
    <w:rsid w:val="004035E4"/>
    <w:rsid w:val="00403740"/>
    <w:rsid w:val="0040378B"/>
    <w:rsid w:val="004037B4"/>
    <w:rsid w:val="0040383A"/>
    <w:rsid w:val="00403870"/>
    <w:rsid w:val="00403AF8"/>
    <w:rsid w:val="00403B51"/>
    <w:rsid w:val="00403D24"/>
    <w:rsid w:val="00403E2E"/>
    <w:rsid w:val="00403E30"/>
    <w:rsid w:val="00403E83"/>
    <w:rsid w:val="00403F14"/>
    <w:rsid w:val="0040408B"/>
    <w:rsid w:val="0040415F"/>
    <w:rsid w:val="004041EC"/>
    <w:rsid w:val="00404246"/>
    <w:rsid w:val="004042A5"/>
    <w:rsid w:val="004042BD"/>
    <w:rsid w:val="0040433F"/>
    <w:rsid w:val="00404384"/>
    <w:rsid w:val="0040456D"/>
    <w:rsid w:val="00404573"/>
    <w:rsid w:val="00404604"/>
    <w:rsid w:val="004047C5"/>
    <w:rsid w:val="0040488C"/>
    <w:rsid w:val="00404A97"/>
    <w:rsid w:val="00404AC8"/>
    <w:rsid w:val="00404AF8"/>
    <w:rsid w:val="00404B15"/>
    <w:rsid w:val="00404B37"/>
    <w:rsid w:val="00404B5F"/>
    <w:rsid w:val="00404C8C"/>
    <w:rsid w:val="00404C90"/>
    <w:rsid w:val="00404D92"/>
    <w:rsid w:val="00404DB6"/>
    <w:rsid w:val="00404EAB"/>
    <w:rsid w:val="00404EC7"/>
    <w:rsid w:val="00404ED2"/>
    <w:rsid w:val="00404F1C"/>
    <w:rsid w:val="00404FEC"/>
    <w:rsid w:val="00404FFA"/>
    <w:rsid w:val="004050FA"/>
    <w:rsid w:val="004051B9"/>
    <w:rsid w:val="0040521B"/>
    <w:rsid w:val="00405467"/>
    <w:rsid w:val="004054B4"/>
    <w:rsid w:val="004055A6"/>
    <w:rsid w:val="00405679"/>
    <w:rsid w:val="00405817"/>
    <w:rsid w:val="00405846"/>
    <w:rsid w:val="00405887"/>
    <w:rsid w:val="004058D8"/>
    <w:rsid w:val="00405955"/>
    <w:rsid w:val="00405990"/>
    <w:rsid w:val="00405A98"/>
    <w:rsid w:val="00405CC9"/>
    <w:rsid w:val="00405CF5"/>
    <w:rsid w:val="00405D54"/>
    <w:rsid w:val="00405E6E"/>
    <w:rsid w:val="00405FD2"/>
    <w:rsid w:val="00405FFF"/>
    <w:rsid w:val="0040623D"/>
    <w:rsid w:val="004062CA"/>
    <w:rsid w:val="00406340"/>
    <w:rsid w:val="00406372"/>
    <w:rsid w:val="004063B1"/>
    <w:rsid w:val="004063E4"/>
    <w:rsid w:val="00406450"/>
    <w:rsid w:val="004064B0"/>
    <w:rsid w:val="004064D7"/>
    <w:rsid w:val="004065CB"/>
    <w:rsid w:val="004065DD"/>
    <w:rsid w:val="00406678"/>
    <w:rsid w:val="004066E6"/>
    <w:rsid w:val="004067E0"/>
    <w:rsid w:val="004069EB"/>
    <w:rsid w:val="00406A72"/>
    <w:rsid w:val="00406BA9"/>
    <w:rsid w:val="00406BD0"/>
    <w:rsid w:val="00406BEC"/>
    <w:rsid w:val="00406C0C"/>
    <w:rsid w:val="00406C2B"/>
    <w:rsid w:val="00406C7E"/>
    <w:rsid w:val="00406CAB"/>
    <w:rsid w:val="00406D77"/>
    <w:rsid w:val="00406DA7"/>
    <w:rsid w:val="00406E0A"/>
    <w:rsid w:val="00406E4B"/>
    <w:rsid w:val="00406EE3"/>
    <w:rsid w:val="00406F73"/>
    <w:rsid w:val="0040701E"/>
    <w:rsid w:val="00407151"/>
    <w:rsid w:val="0040716B"/>
    <w:rsid w:val="0040717C"/>
    <w:rsid w:val="0040722C"/>
    <w:rsid w:val="0040727C"/>
    <w:rsid w:val="00407299"/>
    <w:rsid w:val="0040729C"/>
    <w:rsid w:val="00407315"/>
    <w:rsid w:val="004073F2"/>
    <w:rsid w:val="004074D2"/>
    <w:rsid w:val="0040755E"/>
    <w:rsid w:val="004075A8"/>
    <w:rsid w:val="004075B5"/>
    <w:rsid w:val="004076E9"/>
    <w:rsid w:val="00407911"/>
    <w:rsid w:val="00407AD8"/>
    <w:rsid w:val="00407B1D"/>
    <w:rsid w:val="00407B22"/>
    <w:rsid w:val="00407B3E"/>
    <w:rsid w:val="00407B4B"/>
    <w:rsid w:val="00407BAF"/>
    <w:rsid w:val="00407C5C"/>
    <w:rsid w:val="00407C6E"/>
    <w:rsid w:val="00407C78"/>
    <w:rsid w:val="00407CAA"/>
    <w:rsid w:val="00407D15"/>
    <w:rsid w:val="00407F9A"/>
    <w:rsid w:val="0040F047"/>
    <w:rsid w:val="0041008E"/>
    <w:rsid w:val="00410135"/>
    <w:rsid w:val="00410326"/>
    <w:rsid w:val="0041054E"/>
    <w:rsid w:val="00410560"/>
    <w:rsid w:val="0041060D"/>
    <w:rsid w:val="00410956"/>
    <w:rsid w:val="004109F3"/>
    <w:rsid w:val="00410A40"/>
    <w:rsid w:val="00410AC3"/>
    <w:rsid w:val="00410B73"/>
    <w:rsid w:val="00410BA5"/>
    <w:rsid w:val="00410C02"/>
    <w:rsid w:val="00410C0B"/>
    <w:rsid w:val="00410C79"/>
    <w:rsid w:val="00410C86"/>
    <w:rsid w:val="00410CBC"/>
    <w:rsid w:val="00410CF1"/>
    <w:rsid w:val="00410DB3"/>
    <w:rsid w:val="00410DBE"/>
    <w:rsid w:val="00410E5E"/>
    <w:rsid w:val="00410E79"/>
    <w:rsid w:val="00410F4C"/>
    <w:rsid w:val="00410FD8"/>
    <w:rsid w:val="00410FDB"/>
    <w:rsid w:val="00411200"/>
    <w:rsid w:val="00411242"/>
    <w:rsid w:val="00411266"/>
    <w:rsid w:val="004112A9"/>
    <w:rsid w:val="004113AF"/>
    <w:rsid w:val="00411457"/>
    <w:rsid w:val="00411539"/>
    <w:rsid w:val="0041160B"/>
    <w:rsid w:val="00411717"/>
    <w:rsid w:val="0041177D"/>
    <w:rsid w:val="00411825"/>
    <w:rsid w:val="004118FA"/>
    <w:rsid w:val="00411929"/>
    <w:rsid w:val="00411971"/>
    <w:rsid w:val="004119F1"/>
    <w:rsid w:val="00411B2D"/>
    <w:rsid w:val="00411BEE"/>
    <w:rsid w:val="00411C6D"/>
    <w:rsid w:val="00411CFF"/>
    <w:rsid w:val="00411D28"/>
    <w:rsid w:val="00411DF7"/>
    <w:rsid w:val="00411E26"/>
    <w:rsid w:val="00411E35"/>
    <w:rsid w:val="00411EAD"/>
    <w:rsid w:val="00411F9F"/>
    <w:rsid w:val="00411FDE"/>
    <w:rsid w:val="00411FF3"/>
    <w:rsid w:val="00412063"/>
    <w:rsid w:val="00412134"/>
    <w:rsid w:val="00412142"/>
    <w:rsid w:val="004121A1"/>
    <w:rsid w:val="004121CF"/>
    <w:rsid w:val="004122C3"/>
    <w:rsid w:val="004123B3"/>
    <w:rsid w:val="004125FF"/>
    <w:rsid w:val="0041270E"/>
    <w:rsid w:val="00412779"/>
    <w:rsid w:val="0041287A"/>
    <w:rsid w:val="004128FD"/>
    <w:rsid w:val="00412910"/>
    <w:rsid w:val="00412948"/>
    <w:rsid w:val="00412960"/>
    <w:rsid w:val="004129D5"/>
    <w:rsid w:val="004129E7"/>
    <w:rsid w:val="00412BE0"/>
    <w:rsid w:val="00412D58"/>
    <w:rsid w:val="00412E0D"/>
    <w:rsid w:val="00412F3C"/>
    <w:rsid w:val="00413007"/>
    <w:rsid w:val="004130EC"/>
    <w:rsid w:val="004131FA"/>
    <w:rsid w:val="00413489"/>
    <w:rsid w:val="0041349E"/>
    <w:rsid w:val="004134AB"/>
    <w:rsid w:val="004134E7"/>
    <w:rsid w:val="00413515"/>
    <w:rsid w:val="00413568"/>
    <w:rsid w:val="0041379B"/>
    <w:rsid w:val="004137BD"/>
    <w:rsid w:val="004137C5"/>
    <w:rsid w:val="004137F8"/>
    <w:rsid w:val="004138C9"/>
    <w:rsid w:val="004138E1"/>
    <w:rsid w:val="0041391E"/>
    <w:rsid w:val="00413997"/>
    <w:rsid w:val="00413A63"/>
    <w:rsid w:val="00413BF6"/>
    <w:rsid w:val="00413CAD"/>
    <w:rsid w:val="00413CB1"/>
    <w:rsid w:val="00413EC6"/>
    <w:rsid w:val="00413F4C"/>
    <w:rsid w:val="00413FFA"/>
    <w:rsid w:val="00414051"/>
    <w:rsid w:val="00414072"/>
    <w:rsid w:val="0041410D"/>
    <w:rsid w:val="00414246"/>
    <w:rsid w:val="004142AD"/>
    <w:rsid w:val="004143B9"/>
    <w:rsid w:val="004143EF"/>
    <w:rsid w:val="0041440B"/>
    <w:rsid w:val="0041444B"/>
    <w:rsid w:val="00414556"/>
    <w:rsid w:val="0041466C"/>
    <w:rsid w:val="0041478C"/>
    <w:rsid w:val="004147A1"/>
    <w:rsid w:val="004148D3"/>
    <w:rsid w:val="004149A4"/>
    <w:rsid w:val="00414BD3"/>
    <w:rsid w:val="00414D7A"/>
    <w:rsid w:val="00414DBA"/>
    <w:rsid w:val="00414F5C"/>
    <w:rsid w:val="00414FEE"/>
    <w:rsid w:val="00415084"/>
    <w:rsid w:val="004150A0"/>
    <w:rsid w:val="004150C4"/>
    <w:rsid w:val="004150D1"/>
    <w:rsid w:val="004150ED"/>
    <w:rsid w:val="00415176"/>
    <w:rsid w:val="004151B5"/>
    <w:rsid w:val="004151BD"/>
    <w:rsid w:val="0041526B"/>
    <w:rsid w:val="004152F4"/>
    <w:rsid w:val="0041536F"/>
    <w:rsid w:val="00415374"/>
    <w:rsid w:val="0041538F"/>
    <w:rsid w:val="004153C5"/>
    <w:rsid w:val="004155A6"/>
    <w:rsid w:val="0041571C"/>
    <w:rsid w:val="00415A1A"/>
    <w:rsid w:val="00415A6B"/>
    <w:rsid w:val="00415AFF"/>
    <w:rsid w:val="00415B4E"/>
    <w:rsid w:val="00415B6C"/>
    <w:rsid w:val="00415BBE"/>
    <w:rsid w:val="00415C27"/>
    <w:rsid w:val="00415C2B"/>
    <w:rsid w:val="00415C89"/>
    <w:rsid w:val="00415C9C"/>
    <w:rsid w:val="00415CCF"/>
    <w:rsid w:val="00415DC1"/>
    <w:rsid w:val="00415F3A"/>
    <w:rsid w:val="00415F6B"/>
    <w:rsid w:val="00416070"/>
    <w:rsid w:val="00416086"/>
    <w:rsid w:val="0041611C"/>
    <w:rsid w:val="0041616E"/>
    <w:rsid w:val="004161F9"/>
    <w:rsid w:val="00416235"/>
    <w:rsid w:val="004162CC"/>
    <w:rsid w:val="00416454"/>
    <w:rsid w:val="0041648C"/>
    <w:rsid w:val="00416577"/>
    <w:rsid w:val="00416742"/>
    <w:rsid w:val="004167BC"/>
    <w:rsid w:val="004167EB"/>
    <w:rsid w:val="004167EC"/>
    <w:rsid w:val="004168A9"/>
    <w:rsid w:val="004168BE"/>
    <w:rsid w:val="0041694C"/>
    <w:rsid w:val="00416957"/>
    <w:rsid w:val="00416B14"/>
    <w:rsid w:val="00416C20"/>
    <w:rsid w:val="00416CB6"/>
    <w:rsid w:val="00416DB2"/>
    <w:rsid w:val="00416E68"/>
    <w:rsid w:val="00416F0D"/>
    <w:rsid w:val="00416F29"/>
    <w:rsid w:val="00416F82"/>
    <w:rsid w:val="00416F93"/>
    <w:rsid w:val="0041712C"/>
    <w:rsid w:val="004171BA"/>
    <w:rsid w:val="00417270"/>
    <w:rsid w:val="00417433"/>
    <w:rsid w:val="00417522"/>
    <w:rsid w:val="00417543"/>
    <w:rsid w:val="00417700"/>
    <w:rsid w:val="00417777"/>
    <w:rsid w:val="00417858"/>
    <w:rsid w:val="004178AB"/>
    <w:rsid w:val="004178DA"/>
    <w:rsid w:val="0041792F"/>
    <w:rsid w:val="00417998"/>
    <w:rsid w:val="00417A3F"/>
    <w:rsid w:val="00417BAF"/>
    <w:rsid w:val="00417C1B"/>
    <w:rsid w:val="00417C27"/>
    <w:rsid w:val="00417D0C"/>
    <w:rsid w:val="00417D7D"/>
    <w:rsid w:val="00417D81"/>
    <w:rsid w:val="00417DDC"/>
    <w:rsid w:val="00417E8B"/>
    <w:rsid w:val="00417F54"/>
    <w:rsid w:val="00417FE5"/>
    <w:rsid w:val="00420005"/>
    <w:rsid w:val="00420048"/>
    <w:rsid w:val="004200E6"/>
    <w:rsid w:val="0042018F"/>
    <w:rsid w:val="004202A8"/>
    <w:rsid w:val="004202F9"/>
    <w:rsid w:val="00420326"/>
    <w:rsid w:val="0042038B"/>
    <w:rsid w:val="004203E1"/>
    <w:rsid w:val="00420431"/>
    <w:rsid w:val="00420481"/>
    <w:rsid w:val="004205FF"/>
    <w:rsid w:val="004206B0"/>
    <w:rsid w:val="004206C6"/>
    <w:rsid w:val="00420771"/>
    <w:rsid w:val="00420797"/>
    <w:rsid w:val="004209A6"/>
    <w:rsid w:val="00420A79"/>
    <w:rsid w:val="00420ACF"/>
    <w:rsid w:val="00420AF7"/>
    <w:rsid w:val="00420BDC"/>
    <w:rsid w:val="00420C19"/>
    <w:rsid w:val="00420C96"/>
    <w:rsid w:val="00420E6D"/>
    <w:rsid w:val="004210C1"/>
    <w:rsid w:val="00421473"/>
    <w:rsid w:val="004216AC"/>
    <w:rsid w:val="004218AD"/>
    <w:rsid w:val="004218D1"/>
    <w:rsid w:val="004218FA"/>
    <w:rsid w:val="00421929"/>
    <w:rsid w:val="004219E9"/>
    <w:rsid w:val="00421B4D"/>
    <w:rsid w:val="00421BA0"/>
    <w:rsid w:val="00421C4F"/>
    <w:rsid w:val="00421C55"/>
    <w:rsid w:val="00421CB3"/>
    <w:rsid w:val="00421CCB"/>
    <w:rsid w:val="00421D5A"/>
    <w:rsid w:val="00421FD8"/>
    <w:rsid w:val="004220DB"/>
    <w:rsid w:val="004220E5"/>
    <w:rsid w:val="00422111"/>
    <w:rsid w:val="004222BD"/>
    <w:rsid w:val="00422503"/>
    <w:rsid w:val="00422594"/>
    <w:rsid w:val="0042277D"/>
    <w:rsid w:val="004228CD"/>
    <w:rsid w:val="004229BC"/>
    <w:rsid w:val="00422A26"/>
    <w:rsid w:val="00422B3C"/>
    <w:rsid w:val="00422C12"/>
    <w:rsid w:val="00422D27"/>
    <w:rsid w:val="00422D35"/>
    <w:rsid w:val="00422D68"/>
    <w:rsid w:val="00422E45"/>
    <w:rsid w:val="00422EB4"/>
    <w:rsid w:val="00422F16"/>
    <w:rsid w:val="00422F9C"/>
    <w:rsid w:val="00422FAD"/>
    <w:rsid w:val="004230E2"/>
    <w:rsid w:val="004231EC"/>
    <w:rsid w:val="0042324B"/>
    <w:rsid w:val="00423364"/>
    <w:rsid w:val="00423373"/>
    <w:rsid w:val="004233FD"/>
    <w:rsid w:val="004234E8"/>
    <w:rsid w:val="004235FD"/>
    <w:rsid w:val="00423630"/>
    <w:rsid w:val="004236AE"/>
    <w:rsid w:val="004236EC"/>
    <w:rsid w:val="00423710"/>
    <w:rsid w:val="00423712"/>
    <w:rsid w:val="00423717"/>
    <w:rsid w:val="00423772"/>
    <w:rsid w:val="00423775"/>
    <w:rsid w:val="004237A5"/>
    <w:rsid w:val="00423894"/>
    <w:rsid w:val="004238E8"/>
    <w:rsid w:val="00423AB1"/>
    <w:rsid w:val="00423AC9"/>
    <w:rsid w:val="00423B13"/>
    <w:rsid w:val="00423B43"/>
    <w:rsid w:val="00423B6F"/>
    <w:rsid w:val="00423BCC"/>
    <w:rsid w:val="00423C0C"/>
    <w:rsid w:val="00423D2A"/>
    <w:rsid w:val="00423D90"/>
    <w:rsid w:val="00423E49"/>
    <w:rsid w:val="00423E9E"/>
    <w:rsid w:val="00423EA2"/>
    <w:rsid w:val="00424072"/>
    <w:rsid w:val="004240CB"/>
    <w:rsid w:val="004242CC"/>
    <w:rsid w:val="004242D7"/>
    <w:rsid w:val="00424370"/>
    <w:rsid w:val="0042442C"/>
    <w:rsid w:val="0042450D"/>
    <w:rsid w:val="004245C7"/>
    <w:rsid w:val="00424654"/>
    <w:rsid w:val="00424681"/>
    <w:rsid w:val="0042474F"/>
    <w:rsid w:val="004248B0"/>
    <w:rsid w:val="00424956"/>
    <w:rsid w:val="00424B47"/>
    <w:rsid w:val="00424B69"/>
    <w:rsid w:val="00424C54"/>
    <w:rsid w:val="00424C98"/>
    <w:rsid w:val="00424CAC"/>
    <w:rsid w:val="00424CBC"/>
    <w:rsid w:val="00424D3E"/>
    <w:rsid w:val="00424EB6"/>
    <w:rsid w:val="00424EB8"/>
    <w:rsid w:val="00424FD5"/>
    <w:rsid w:val="0042509F"/>
    <w:rsid w:val="0042528B"/>
    <w:rsid w:val="004252AB"/>
    <w:rsid w:val="004252F2"/>
    <w:rsid w:val="0042536A"/>
    <w:rsid w:val="00425402"/>
    <w:rsid w:val="00425542"/>
    <w:rsid w:val="00425591"/>
    <w:rsid w:val="00425607"/>
    <w:rsid w:val="0042563A"/>
    <w:rsid w:val="00425707"/>
    <w:rsid w:val="00425829"/>
    <w:rsid w:val="004258D6"/>
    <w:rsid w:val="00425954"/>
    <w:rsid w:val="00425AB0"/>
    <w:rsid w:val="00425B4C"/>
    <w:rsid w:val="00425B57"/>
    <w:rsid w:val="00425B98"/>
    <w:rsid w:val="00425BAF"/>
    <w:rsid w:val="00425C0F"/>
    <w:rsid w:val="00425C39"/>
    <w:rsid w:val="00425C67"/>
    <w:rsid w:val="00425E57"/>
    <w:rsid w:val="00425EDC"/>
    <w:rsid w:val="004260BE"/>
    <w:rsid w:val="00426230"/>
    <w:rsid w:val="00426255"/>
    <w:rsid w:val="0042628E"/>
    <w:rsid w:val="00426355"/>
    <w:rsid w:val="0042646A"/>
    <w:rsid w:val="004264A5"/>
    <w:rsid w:val="004264FC"/>
    <w:rsid w:val="0042650A"/>
    <w:rsid w:val="00426722"/>
    <w:rsid w:val="00426840"/>
    <w:rsid w:val="004268A6"/>
    <w:rsid w:val="00426924"/>
    <w:rsid w:val="00426939"/>
    <w:rsid w:val="004269EE"/>
    <w:rsid w:val="00426A0F"/>
    <w:rsid w:val="00426B67"/>
    <w:rsid w:val="00426BE9"/>
    <w:rsid w:val="00426BF2"/>
    <w:rsid w:val="00426C0E"/>
    <w:rsid w:val="00426CA3"/>
    <w:rsid w:val="00426E0B"/>
    <w:rsid w:val="00426E45"/>
    <w:rsid w:val="00426EDA"/>
    <w:rsid w:val="00426EE9"/>
    <w:rsid w:val="00426F52"/>
    <w:rsid w:val="00426FD1"/>
    <w:rsid w:val="00426FF3"/>
    <w:rsid w:val="00427092"/>
    <w:rsid w:val="00427132"/>
    <w:rsid w:val="004272A6"/>
    <w:rsid w:val="00427378"/>
    <w:rsid w:val="0042737D"/>
    <w:rsid w:val="004273ED"/>
    <w:rsid w:val="0042745D"/>
    <w:rsid w:val="0042759C"/>
    <w:rsid w:val="004275ED"/>
    <w:rsid w:val="00427683"/>
    <w:rsid w:val="004276E9"/>
    <w:rsid w:val="00427781"/>
    <w:rsid w:val="00427B09"/>
    <w:rsid w:val="00427B68"/>
    <w:rsid w:val="00427B9E"/>
    <w:rsid w:val="00427BE5"/>
    <w:rsid w:val="00427BF5"/>
    <w:rsid w:val="00427C15"/>
    <w:rsid w:val="00427CC0"/>
    <w:rsid w:val="00427E16"/>
    <w:rsid w:val="00427E67"/>
    <w:rsid w:val="00427EAA"/>
    <w:rsid w:val="00427ED1"/>
    <w:rsid w:val="00427FDA"/>
    <w:rsid w:val="00430025"/>
    <w:rsid w:val="004300D9"/>
    <w:rsid w:val="004300E4"/>
    <w:rsid w:val="004302CE"/>
    <w:rsid w:val="004302DC"/>
    <w:rsid w:val="0043038D"/>
    <w:rsid w:val="00430398"/>
    <w:rsid w:val="004303E3"/>
    <w:rsid w:val="0043048B"/>
    <w:rsid w:val="004304A5"/>
    <w:rsid w:val="004304F9"/>
    <w:rsid w:val="00430598"/>
    <w:rsid w:val="0043075D"/>
    <w:rsid w:val="004308C3"/>
    <w:rsid w:val="00430900"/>
    <w:rsid w:val="00430952"/>
    <w:rsid w:val="0043095A"/>
    <w:rsid w:val="00430A48"/>
    <w:rsid w:val="00430C57"/>
    <w:rsid w:val="00430D83"/>
    <w:rsid w:val="00430DA2"/>
    <w:rsid w:val="00430E26"/>
    <w:rsid w:val="00430E28"/>
    <w:rsid w:val="00430F18"/>
    <w:rsid w:val="00430FC5"/>
    <w:rsid w:val="00431006"/>
    <w:rsid w:val="00431027"/>
    <w:rsid w:val="0043113A"/>
    <w:rsid w:val="004311D4"/>
    <w:rsid w:val="004311E9"/>
    <w:rsid w:val="004313FB"/>
    <w:rsid w:val="0043141A"/>
    <w:rsid w:val="004314FF"/>
    <w:rsid w:val="004315AC"/>
    <w:rsid w:val="00431827"/>
    <w:rsid w:val="004318BA"/>
    <w:rsid w:val="00431962"/>
    <w:rsid w:val="00431BD6"/>
    <w:rsid w:val="00431C67"/>
    <w:rsid w:val="00431C91"/>
    <w:rsid w:val="00431D39"/>
    <w:rsid w:val="00431E36"/>
    <w:rsid w:val="00431E98"/>
    <w:rsid w:val="00431F69"/>
    <w:rsid w:val="004320CD"/>
    <w:rsid w:val="0043213B"/>
    <w:rsid w:val="00432189"/>
    <w:rsid w:val="00432190"/>
    <w:rsid w:val="004321B3"/>
    <w:rsid w:val="004321B5"/>
    <w:rsid w:val="004321DF"/>
    <w:rsid w:val="0043237E"/>
    <w:rsid w:val="00432394"/>
    <w:rsid w:val="0043249D"/>
    <w:rsid w:val="004325E8"/>
    <w:rsid w:val="004325F1"/>
    <w:rsid w:val="0043269E"/>
    <w:rsid w:val="004326B0"/>
    <w:rsid w:val="004327D2"/>
    <w:rsid w:val="004327D8"/>
    <w:rsid w:val="004327EE"/>
    <w:rsid w:val="00432826"/>
    <w:rsid w:val="0043287C"/>
    <w:rsid w:val="00432958"/>
    <w:rsid w:val="00432A54"/>
    <w:rsid w:val="00432A5E"/>
    <w:rsid w:val="00432A95"/>
    <w:rsid w:val="00432B40"/>
    <w:rsid w:val="00432CBF"/>
    <w:rsid w:val="00432D3C"/>
    <w:rsid w:val="00432E5B"/>
    <w:rsid w:val="00432E70"/>
    <w:rsid w:val="00433084"/>
    <w:rsid w:val="00433202"/>
    <w:rsid w:val="0043320A"/>
    <w:rsid w:val="0043331D"/>
    <w:rsid w:val="004333A8"/>
    <w:rsid w:val="004333F1"/>
    <w:rsid w:val="00433517"/>
    <w:rsid w:val="004335AF"/>
    <w:rsid w:val="0043369C"/>
    <w:rsid w:val="004336BB"/>
    <w:rsid w:val="004336D7"/>
    <w:rsid w:val="0043371D"/>
    <w:rsid w:val="004337C6"/>
    <w:rsid w:val="004337EA"/>
    <w:rsid w:val="004338B9"/>
    <w:rsid w:val="004339A5"/>
    <w:rsid w:val="004339BB"/>
    <w:rsid w:val="004339D0"/>
    <w:rsid w:val="00433A4A"/>
    <w:rsid w:val="00433A7E"/>
    <w:rsid w:val="00433AD0"/>
    <w:rsid w:val="00433AF7"/>
    <w:rsid w:val="00433B10"/>
    <w:rsid w:val="00433C28"/>
    <w:rsid w:val="00433D53"/>
    <w:rsid w:val="00433E0D"/>
    <w:rsid w:val="00433EF5"/>
    <w:rsid w:val="00433F03"/>
    <w:rsid w:val="0043421A"/>
    <w:rsid w:val="00434306"/>
    <w:rsid w:val="004343FA"/>
    <w:rsid w:val="00434406"/>
    <w:rsid w:val="004344B2"/>
    <w:rsid w:val="00434631"/>
    <w:rsid w:val="00434727"/>
    <w:rsid w:val="0043475C"/>
    <w:rsid w:val="0043499F"/>
    <w:rsid w:val="00434B32"/>
    <w:rsid w:val="00434B49"/>
    <w:rsid w:val="00434C31"/>
    <w:rsid w:val="00434D5B"/>
    <w:rsid w:val="00434F4F"/>
    <w:rsid w:val="00434F5B"/>
    <w:rsid w:val="00434FD3"/>
    <w:rsid w:val="00434FEE"/>
    <w:rsid w:val="00435052"/>
    <w:rsid w:val="004350D3"/>
    <w:rsid w:val="00435135"/>
    <w:rsid w:val="00435254"/>
    <w:rsid w:val="004352CB"/>
    <w:rsid w:val="00435349"/>
    <w:rsid w:val="004353A9"/>
    <w:rsid w:val="004355B6"/>
    <w:rsid w:val="004355F1"/>
    <w:rsid w:val="00435606"/>
    <w:rsid w:val="0043566A"/>
    <w:rsid w:val="004356A2"/>
    <w:rsid w:val="004356EB"/>
    <w:rsid w:val="00435A1D"/>
    <w:rsid w:val="00435B4D"/>
    <w:rsid w:val="00435B62"/>
    <w:rsid w:val="00435C41"/>
    <w:rsid w:val="00435CDE"/>
    <w:rsid w:val="00435D7A"/>
    <w:rsid w:val="00435D83"/>
    <w:rsid w:val="00435E31"/>
    <w:rsid w:val="00435E61"/>
    <w:rsid w:val="00435EAE"/>
    <w:rsid w:val="00435F5E"/>
    <w:rsid w:val="00435F63"/>
    <w:rsid w:val="0043624D"/>
    <w:rsid w:val="00436307"/>
    <w:rsid w:val="00436310"/>
    <w:rsid w:val="0043637F"/>
    <w:rsid w:val="00436395"/>
    <w:rsid w:val="004363AC"/>
    <w:rsid w:val="004363E0"/>
    <w:rsid w:val="004364A6"/>
    <w:rsid w:val="00436555"/>
    <w:rsid w:val="0043661F"/>
    <w:rsid w:val="004366AF"/>
    <w:rsid w:val="00436769"/>
    <w:rsid w:val="004367F3"/>
    <w:rsid w:val="00436892"/>
    <w:rsid w:val="00436904"/>
    <w:rsid w:val="00436966"/>
    <w:rsid w:val="00436A5F"/>
    <w:rsid w:val="00436AB2"/>
    <w:rsid w:val="00436ACB"/>
    <w:rsid w:val="00436B40"/>
    <w:rsid w:val="00436B69"/>
    <w:rsid w:val="00436B97"/>
    <w:rsid w:val="00436CE1"/>
    <w:rsid w:val="00436CE4"/>
    <w:rsid w:val="00436D32"/>
    <w:rsid w:val="00436D54"/>
    <w:rsid w:val="00436EF6"/>
    <w:rsid w:val="00436F87"/>
    <w:rsid w:val="00437046"/>
    <w:rsid w:val="004370EC"/>
    <w:rsid w:val="00437176"/>
    <w:rsid w:val="00437221"/>
    <w:rsid w:val="0043730D"/>
    <w:rsid w:val="00437336"/>
    <w:rsid w:val="004373B8"/>
    <w:rsid w:val="0043745E"/>
    <w:rsid w:val="004374C7"/>
    <w:rsid w:val="004374D1"/>
    <w:rsid w:val="004375C0"/>
    <w:rsid w:val="004375CA"/>
    <w:rsid w:val="004375E9"/>
    <w:rsid w:val="00437634"/>
    <w:rsid w:val="00437675"/>
    <w:rsid w:val="004376C4"/>
    <w:rsid w:val="0043778B"/>
    <w:rsid w:val="00437797"/>
    <w:rsid w:val="00437851"/>
    <w:rsid w:val="00437982"/>
    <w:rsid w:val="00437A05"/>
    <w:rsid w:val="00437AFF"/>
    <w:rsid w:val="00437B00"/>
    <w:rsid w:val="00437B4A"/>
    <w:rsid w:val="00437B6E"/>
    <w:rsid w:val="00437CC3"/>
    <w:rsid w:val="00437D31"/>
    <w:rsid w:val="00437DF5"/>
    <w:rsid w:val="00437E29"/>
    <w:rsid w:val="00437E41"/>
    <w:rsid w:val="00437E67"/>
    <w:rsid w:val="00437EBC"/>
    <w:rsid w:val="0043802B"/>
    <w:rsid w:val="0044005A"/>
    <w:rsid w:val="00440099"/>
    <w:rsid w:val="0044016E"/>
    <w:rsid w:val="00440244"/>
    <w:rsid w:val="004402CD"/>
    <w:rsid w:val="00440328"/>
    <w:rsid w:val="004403A9"/>
    <w:rsid w:val="004403B1"/>
    <w:rsid w:val="004404C6"/>
    <w:rsid w:val="004404D5"/>
    <w:rsid w:val="0044058E"/>
    <w:rsid w:val="004405F1"/>
    <w:rsid w:val="00440758"/>
    <w:rsid w:val="0044076B"/>
    <w:rsid w:val="0044099F"/>
    <w:rsid w:val="00440A73"/>
    <w:rsid w:val="00440AA5"/>
    <w:rsid w:val="00440B02"/>
    <w:rsid w:val="00440BD6"/>
    <w:rsid w:val="00440F8A"/>
    <w:rsid w:val="00440F98"/>
    <w:rsid w:val="00440FB8"/>
    <w:rsid w:val="00440FF6"/>
    <w:rsid w:val="0044105E"/>
    <w:rsid w:val="004410D7"/>
    <w:rsid w:val="0044122C"/>
    <w:rsid w:val="00441291"/>
    <w:rsid w:val="004412A3"/>
    <w:rsid w:val="004413A3"/>
    <w:rsid w:val="0044143E"/>
    <w:rsid w:val="0044144D"/>
    <w:rsid w:val="0044146D"/>
    <w:rsid w:val="00441608"/>
    <w:rsid w:val="00441635"/>
    <w:rsid w:val="004416DD"/>
    <w:rsid w:val="00441790"/>
    <w:rsid w:val="004417A5"/>
    <w:rsid w:val="0044185A"/>
    <w:rsid w:val="00441885"/>
    <w:rsid w:val="004419DB"/>
    <w:rsid w:val="00441BAD"/>
    <w:rsid w:val="00441CC4"/>
    <w:rsid w:val="00441DB2"/>
    <w:rsid w:val="0044206C"/>
    <w:rsid w:val="004420F8"/>
    <w:rsid w:val="00442346"/>
    <w:rsid w:val="0044247D"/>
    <w:rsid w:val="004424CF"/>
    <w:rsid w:val="00442554"/>
    <w:rsid w:val="00442616"/>
    <w:rsid w:val="00442715"/>
    <w:rsid w:val="004427B2"/>
    <w:rsid w:val="00442871"/>
    <w:rsid w:val="00442876"/>
    <w:rsid w:val="00442892"/>
    <w:rsid w:val="00442E29"/>
    <w:rsid w:val="00442EBC"/>
    <w:rsid w:val="00442F34"/>
    <w:rsid w:val="004430BA"/>
    <w:rsid w:val="00443146"/>
    <w:rsid w:val="004431E6"/>
    <w:rsid w:val="00443249"/>
    <w:rsid w:val="0044326A"/>
    <w:rsid w:val="00443354"/>
    <w:rsid w:val="00443397"/>
    <w:rsid w:val="004433FF"/>
    <w:rsid w:val="00443490"/>
    <w:rsid w:val="004434FD"/>
    <w:rsid w:val="004435A6"/>
    <w:rsid w:val="0044366B"/>
    <w:rsid w:val="00443783"/>
    <w:rsid w:val="004437EC"/>
    <w:rsid w:val="004438B5"/>
    <w:rsid w:val="004438CD"/>
    <w:rsid w:val="004438DB"/>
    <w:rsid w:val="004439A5"/>
    <w:rsid w:val="00443A81"/>
    <w:rsid w:val="00443ACE"/>
    <w:rsid w:val="00443B37"/>
    <w:rsid w:val="00443B93"/>
    <w:rsid w:val="00443C65"/>
    <w:rsid w:val="00443C9D"/>
    <w:rsid w:val="00443E58"/>
    <w:rsid w:val="0044403D"/>
    <w:rsid w:val="00444083"/>
    <w:rsid w:val="004440AB"/>
    <w:rsid w:val="00444141"/>
    <w:rsid w:val="004441E4"/>
    <w:rsid w:val="0044422C"/>
    <w:rsid w:val="00444280"/>
    <w:rsid w:val="004443F7"/>
    <w:rsid w:val="00444504"/>
    <w:rsid w:val="00444582"/>
    <w:rsid w:val="0044458A"/>
    <w:rsid w:val="004446DC"/>
    <w:rsid w:val="004446F7"/>
    <w:rsid w:val="00444722"/>
    <w:rsid w:val="004447F1"/>
    <w:rsid w:val="00444820"/>
    <w:rsid w:val="00444873"/>
    <w:rsid w:val="0044491F"/>
    <w:rsid w:val="00444979"/>
    <w:rsid w:val="00444DB4"/>
    <w:rsid w:val="00444DF6"/>
    <w:rsid w:val="00444E3D"/>
    <w:rsid w:val="00444EAD"/>
    <w:rsid w:val="00444F14"/>
    <w:rsid w:val="00444F74"/>
    <w:rsid w:val="00445044"/>
    <w:rsid w:val="00445193"/>
    <w:rsid w:val="004451A5"/>
    <w:rsid w:val="004453EE"/>
    <w:rsid w:val="00445472"/>
    <w:rsid w:val="0044547D"/>
    <w:rsid w:val="004455A6"/>
    <w:rsid w:val="00445629"/>
    <w:rsid w:val="0044563C"/>
    <w:rsid w:val="004456B5"/>
    <w:rsid w:val="004456CA"/>
    <w:rsid w:val="004457EB"/>
    <w:rsid w:val="004457EE"/>
    <w:rsid w:val="0044583F"/>
    <w:rsid w:val="00445986"/>
    <w:rsid w:val="0044598F"/>
    <w:rsid w:val="004459EC"/>
    <w:rsid w:val="00445A21"/>
    <w:rsid w:val="00445A68"/>
    <w:rsid w:val="00445A6D"/>
    <w:rsid w:val="00445B46"/>
    <w:rsid w:val="00445BB0"/>
    <w:rsid w:val="00445CAC"/>
    <w:rsid w:val="00445D62"/>
    <w:rsid w:val="00445D6D"/>
    <w:rsid w:val="00445DEC"/>
    <w:rsid w:val="00445EEC"/>
    <w:rsid w:val="00445F67"/>
    <w:rsid w:val="00445FE1"/>
    <w:rsid w:val="00446080"/>
    <w:rsid w:val="004460F7"/>
    <w:rsid w:val="004461D8"/>
    <w:rsid w:val="0044622A"/>
    <w:rsid w:val="00446244"/>
    <w:rsid w:val="00446297"/>
    <w:rsid w:val="00446303"/>
    <w:rsid w:val="004463DB"/>
    <w:rsid w:val="004463F6"/>
    <w:rsid w:val="004464F9"/>
    <w:rsid w:val="004468C2"/>
    <w:rsid w:val="004468E7"/>
    <w:rsid w:val="0044699A"/>
    <w:rsid w:val="00446A27"/>
    <w:rsid w:val="00446B80"/>
    <w:rsid w:val="00446B99"/>
    <w:rsid w:val="00446BCA"/>
    <w:rsid w:val="00446F11"/>
    <w:rsid w:val="00446FF8"/>
    <w:rsid w:val="00447263"/>
    <w:rsid w:val="0044727E"/>
    <w:rsid w:val="00447310"/>
    <w:rsid w:val="004473A6"/>
    <w:rsid w:val="004473C0"/>
    <w:rsid w:val="00447485"/>
    <w:rsid w:val="00447588"/>
    <w:rsid w:val="00447666"/>
    <w:rsid w:val="00447756"/>
    <w:rsid w:val="0044780B"/>
    <w:rsid w:val="004478BA"/>
    <w:rsid w:val="004478F6"/>
    <w:rsid w:val="004479A0"/>
    <w:rsid w:val="00447AD2"/>
    <w:rsid w:val="00447C8B"/>
    <w:rsid w:val="00447E1B"/>
    <w:rsid w:val="00447E5C"/>
    <w:rsid w:val="00447ED4"/>
    <w:rsid w:val="00447FC9"/>
    <w:rsid w:val="00448A60"/>
    <w:rsid w:val="0045006C"/>
    <w:rsid w:val="004500DC"/>
    <w:rsid w:val="0045025F"/>
    <w:rsid w:val="00450275"/>
    <w:rsid w:val="004502F1"/>
    <w:rsid w:val="004503C1"/>
    <w:rsid w:val="0045046C"/>
    <w:rsid w:val="00450476"/>
    <w:rsid w:val="00450483"/>
    <w:rsid w:val="0045048A"/>
    <w:rsid w:val="004505E9"/>
    <w:rsid w:val="00450733"/>
    <w:rsid w:val="00450755"/>
    <w:rsid w:val="0045079F"/>
    <w:rsid w:val="004507CC"/>
    <w:rsid w:val="004507D3"/>
    <w:rsid w:val="00450839"/>
    <w:rsid w:val="0045097C"/>
    <w:rsid w:val="00450A03"/>
    <w:rsid w:val="00450A22"/>
    <w:rsid w:val="00450BB8"/>
    <w:rsid w:val="00450BE3"/>
    <w:rsid w:val="00450C6B"/>
    <w:rsid w:val="00450D3E"/>
    <w:rsid w:val="00450E30"/>
    <w:rsid w:val="00450F7A"/>
    <w:rsid w:val="0045107F"/>
    <w:rsid w:val="00451089"/>
    <w:rsid w:val="004510AB"/>
    <w:rsid w:val="004510F0"/>
    <w:rsid w:val="00451162"/>
    <w:rsid w:val="0045119B"/>
    <w:rsid w:val="0045122C"/>
    <w:rsid w:val="00451241"/>
    <w:rsid w:val="004513B2"/>
    <w:rsid w:val="004513E8"/>
    <w:rsid w:val="0045146B"/>
    <w:rsid w:val="0045158F"/>
    <w:rsid w:val="004515D4"/>
    <w:rsid w:val="004515FD"/>
    <w:rsid w:val="00451682"/>
    <w:rsid w:val="0045173A"/>
    <w:rsid w:val="00451799"/>
    <w:rsid w:val="0045179B"/>
    <w:rsid w:val="0045181E"/>
    <w:rsid w:val="00451ADE"/>
    <w:rsid w:val="00451BAE"/>
    <w:rsid w:val="00451CA9"/>
    <w:rsid w:val="00451CD3"/>
    <w:rsid w:val="00451D3B"/>
    <w:rsid w:val="00451D78"/>
    <w:rsid w:val="00451DB0"/>
    <w:rsid w:val="00451E05"/>
    <w:rsid w:val="00451E8E"/>
    <w:rsid w:val="00451F73"/>
    <w:rsid w:val="00451F89"/>
    <w:rsid w:val="004520F9"/>
    <w:rsid w:val="004522AD"/>
    <w:rsid w:val="00452357"/>
    <w:rsid w:val="00452359"/>
    <w:rsid w:val="004523A1"/>
    <w:rsid w:val="0045244B"/>
    <w:rsid w:val="00452588"/>
    <w:rsid w:val="004525F3"/>
    <w:rsid w:val="004526F6"/>
    <w:rsid w:val="0045278A"/>
    <w:rsid w:val="0045278F"/>
    <w:rsid w:val="00452835"/>
    <w:rsid w:val="00452841"/>
    <w:rsid w:val="0045286F"/>
    <w:rsid w:val="0045290F"/>
    <w:rsid w:val="00452911"/>
    <w:rsid w:val="00452929"/>
    <w:rsid w:val="00452BD0"/>
    <w:rsid w:val="00452C3A"/>
    <w:rsid w:val="00452D25"/>
    <w:rsid w:val="00452D3F"/>
    <w:rsid w:val="00452E92"/>
    <w:rsid w:val="00452EC4"/>
    <w:rsid w:val="00452F78"/>
    <w:rsid w:val="00453012"/>
    <w:rsid w:val="004530AA"/>
    <w:rsid w:val="00453110"/>
    <w:rsid w:val="00453125"/>
    <w:rsid w:val="00453135"/>
    <w:rsid w:val="0045314A"/>
    <w:rsid w:val="0045317E"/>
    <w:rsid w:val="0045326F"/>
    <w:rsid w:val="00453342"/>
    <w:rsid w:val="00453349"/>
    <w:rsid w:val="00453378"/>
    <w:rsid w:val="0045342D"/>
    <w:rsid w:val="00453462"/>
    <w:rsid w:val="0045349E"/>
    <w:rsid w:val="004536FD"/>
    <w:rsid w:val="004537A5"/>
    <w:rsid w:val="00453808"/>
    <w:rsid w:val="00453850"/>
    <w:rsid w:val="004538C1"/>
    <w:rsid w:val="004538F5"/>
    <w:rsid w:val="0045395E"/>
    <w:rsid w:val="00453A20"/>
    <w:rsid w:val="00453A7A"/>
    <w:rsid w:val="00453A90"/>
    <w:rsid w:val="00453B86"/>
    <w:rsid w:val="00453CA2"/>
    <w:rsid w:val="00453E13"/>
    <w:rsid w:val="00453E55"/>
    <w:rsid w:val="00453F0D"/>
    <w:rsid w:val="00453FFA"/>
    <w:rsid w:val="0045409D"/>
    <w:rsid w:val="004541CF"/>
    <w:rsid w:val="004541E7"/>
    <w:rsid w:val="00454220"/>
    <w:rsid w:val="0045438F"/>
    <w:rsid w:val="004543A8"/>
    <w:rsid w:val="00454438"/>
    <w:rsid w:val="0045448C"/>
    <w:rsid w:val="00454518"/>
    <w:rsid w:val="00454528"/>
    <w:rsid w:val="00454590"/>
    <w:rsid w:val="004545F8"/>
    <w:rsid w:val="004545FE"/>
    <w:rsid w:val="0045469C"/>
    <w:rsid w:val="004546AD"/>
    <w:rsid w:val="0045481B"/>
    <w:rsid w:val="00454881"/>
    <w:rsid w:val="004548A2"/>
    <w:rsid w:val="00454929"/>
    <w:rsid w:val="004549B3"/>
    <w:rsid w:val="004549E2"/>
    <w:rsid w:val="004549E9"/>
    <w:rsid w:val="00454A5E"/>
    <w:rsid w:val="00454AAA"/>
    <w:rsid w:val="00454AD9"/>
    <w:rsid w:val="00454B76"/>
    <w:rsid w:val="00454B90"/>
    <w:rsid w:val="00454CB2"/>
    <w:rsid w:val="00454CC1"/>
    <w:rsid w:val="00454D64"/>
    <w:rsid w:val="00454DD9"/>
    <w:rsid w:val="00454F05"/>
    <w:rsid w:val="0045505D"/>
    <w:rsid w:val="0045506A"/>
    <w:rsid w:val="00455136"/>
    <w:rsid w:val="00455252"/>
    <w:rsid w:val="004552B4"/>
    <w:rsid w:val="00455324"/>
    <w:rsid w:val="00455442"/>
    <w:rsid w:val="004554DB"/>
    <w:rsid w:val="004554F4"/>
    <w:rsid w:val="00455547"/>
    <w:rsid w:val="00455730"/>
    <w:rsid w:val="004557A9"/>
    <w:rsid w:val="004557CA"/>
    <w:rsid w:val="00455954"/>
    <w:rsid w:val="00455958"/>
    <w:rsid w:val="00455B65"/>
    <w:rsid w:val="00455C05"/>
    <w:rsid w:val="00455D3E"/>
    <w:rsid w:val="00455DD5"/>
    <w:rsid w:val="00455E17"/>
    <w:rsid w:val="00455E39"/>
    <w:rsid w:val="00455EBB"/>
    <w:rsid w:val="00455EE0"/>
    <w:rsid w:val="00455F0A"/>
    <w:rsid w:val="00455F11"/>
    <w:rsid w:val="00455FCC"/>
    <w:rsid w:val="0045606B"/>
    <w:rsid w:val="0045614A"/>
    <w:rsid w:val="00456224"/>
    <w:rsid w:val="00456226"/>
    <w:rsid w:val="004563B1"/>
    <w:rsid w:val="004564B2"/>
    <w:rsid w:val="004565A5"/>
    <w:rsid w:val="00456609"/>
    <w:rsid w:val="00456751"/>
    <w:rsid w:val="00456784"/>
    <w:rsid w:val="0045682F"/>
    <w:rsid w:val="0045688B"/>
    <w:rsid w:val="004568A8"/>
    <w:rsid w:val="004569E9"/>
    <w:rsid w:val="00456A46"/>
    <w:rsid w:val="00456B81"/>
    <w:rsid w:val="00456B8F"/>
    <w:rsid w:val="00456BA9"/>
    <w:rsid w:val="00456C55"/>
    <w:rsid w:val="00456DDF"/>
    <w:rsid w:val="00456EEF"/>
    <w:rsid w:val="00456EF5"/>
    <w:rsid w:val="00456F00"/>
    <w:rsid w:val="004570B1"/>
    <w:rsid w:val="0045716E"/>
    <w:rsid w:val="004571B5"/>
    <w:rsid w:val="004571CE"/>
    <w:rsid w:val="004571DF"/>
    <w:rsid w:val="00457259"/>
    <w:rsid w:val="00457275"/>
    <w:rsid w:val="00457336"/>
    <w:rsid w:val="00457487"/>
    <w:rsid w:val="004576A2"/>
    <w:rsid w:val="00457735"/>
    <w:rsid w:val="004578CD"/>
    <w:rsid w:val="00457921"/>
    <w:rsid w:val="00457954"/>
    <w:rsid w:val="00457977"/>
    <w:rsid w:val="004579C2"/>
    <w:rsid w:val="004579C6"/>
    <w:rsid w:val="004579E8"/>
    <w:rsid w:val="00457A17"/>
    <w:rsid w:val="00457B27"/>
    <w:rsid w:val="00457BF8"/>
    <w:rsid w:val="00457C3D"/>
    <w:rsid w:val="00457E25"/>
    <w:rsid w:val="00457F1F"/>
    <w:rsid w:val="00457F6B"/>
    <w:rsid w:val="00457FBC"/>
    <w:rsid w:val="0046006C"/>
    <w:rsid w:val="00460151"/>
    <w:rsid w:val="0046016D"/>
    <w:rsid w:val="00460190"/>
    <w:rsid w:val="004601D3"/>
    <w:rsid w:val="0046031C"/>
    <w:rsid w:val="004603FF"/>
    <w:rsid w:val="00460598"/>
    <w:rsid w:val="00460635"/>
    <w:rsid w:val="004606EB"/>
    <w:rsid w:val="004606FC"/>
    <w:rsid w:val="00460804"/>
    <w:rsid w:val="00460980"/>
    <w:rsid w:val="004609C4"/>
    <w:rsid w:val="004609E6"/>
    <w:rsid w:val="00460ACB"/>
    <w:rsid w:val="00460C02"/>
    <w:rsid w:val="00460CC2"/>
    <w:rsid w:val="00460D5F"/>
    <w:rsid w:val="00460DEB"/>
    <w:rsid w:val="00460DEC"/>
    <w:rsid w:val="00460E48"/>
    <w:rsid w:val="00461002"/>
    <w:rsid w:val="0046100D"/>
    <w:rsid w:val="00461014"/>
    <w:rsid w:val="00461146"/>
    <w:rsid w:val="004611DD"/>
    <w:rsid w:val="00461240"/>
    <w:rsid w:val="0046124D"/>
    <w:rsid w:val="004612E6"/>
    <w:rsid w:val="004613C6"/>
    <w:rsid w:val="004613F2"/>
    <w:rsid w:val="00461450"/>
    <w:rsid w:val="004614E3"/>
    <w:rsid w:val="0046155B"/>
    <w:rsid w:val="004615E7"/>
    <w:rsid w:val="0046160F"/>
    <w:rsid w:val="004616CA"/>
    <w:rsid w:val="00461714"/>
    <w:rsid w:val="00461777"/>
    <w:rsid w:val="004617AA"/>
    <w:rsid w:val="00461903"/>
    <w:rsid w:val="00461980"/>
    <w:rsid w:val="004619DF"/>
    <w:rsid w:val="00461BE7"/>
    <w:rsid w:val="00461DC2"/>
    <w:rsid w:val="00461E20"/>
    <w:rsid w:val="00461E52"/>
    <w:rsid w:val="00461F34"/>
    <w:rsid w:val="00462092"/>
    <w:rsid w:val="004620C7"/>
    <w:rsid w:val="00462246"/>
    <w:rsid w:val="00462366"/>
    <w:rsid w:val="00462464"/>
    <w:rsid w:val="00462468"/>
    <w:rsid w:val="004624FB"/>
    <w:rsid w:val="004624FF"/>
    <w:rsid w:val="004625B5"/>
    <w:rsid w:val="004626C2"/>
    <w:rsid w:val="0046270B"/>
    <w:rsid w:val="00462796"/>
    <w:rsid w:val="004627BD"/>
    <w:rsid w:val="004627E6"/>
    <w:rsid w:val="0046288F"/>
    <w:rsid w:val="004628D1"/>
    <w:rsid w:val="004629D3"/>
    <w:rsid w:val="00462A7F"/>
    <w:rsid w:val="00462C3B"/>
    <w:rsid w:val="00462CD3"/>
    <w:rsid w:val="00462E5F"/>
    <w:rsid w:val="00462E7C"/>
    <w:rsid w:val="00462F7E"/>
    <w:rsid w:val="00462FD1"/>
    <w:rsid w:val="0046302F"/>
    <w:rsid w:val="00463092"/>
    <w:rsid w:val="004630A3"/>
    <w:rsid w:val="004630EA"/>
    <w:rsid w:val="00463238"/>
    <w:rsid w:val="00463348"/>
    <w:rsid w:val="0046335B"/>
    <w:rsid w:val="004633C3"/>
    <w:rsid w:val="004633E9"/>
    <w:rsid w:val="0046344F"/>
    <w:rsid w:val="0046347C"/>
    <w:rsid w:val="004634A0"/>
    <w:rsid w:val="0046362C"/>
    <w:rsid w:val="00463758"/>
    <w:rsid w:val="004637B5"/>
    <w:rsid w:val="004637FD"/>
    <w:rsid w:val="00463855"/>
    <w:rsid w:val="0046388F"/>
    <w:rsid w:val="0046391F"/>
    <w:rsid w:val="0046395F"/>
    <w:rsid w:val="00463978"/>
    <w:rsid w:val="00463A3D"/>
    <w:rsid w:val="00463A76"/>
    <w:rsid w:val="00463A8F"/>
    <w:rsid w:val="00463AA7"/>
    <w:rsid w:val="00463B0A"/>
    <w:rsid w:val="00463B25"/>
    <w:rsid w:val="00463BEA"/>
    <w:rsid w:val="00463C07"/>
    <w:rsid w:val="00463C9F"/>
    <w:rsid w:val="00463CD0"/>
    <w:rsid w:val="00463D04"/>
    <w:rsid w:val="00463D51"/>
    <w:rsid w:val="00463D8B"/>
    <w:rsid w:val="00463E05"/>
    <w:rsid w:val="00463E2E"/>
    <w:rsid w:val="00463E69"/>
    <w:rsid w:val="00463F31"/>
    <w:rsid w:val="00463F50"/>
    <w:rsid w:val="00463FB9"/>
    <w:rsid w:val="00463FD2"/>
    <w:rsid w:val="00463FF9"/>
    <w:rsid w:val="00464109"/>
    <w:rsid w:val="004641A2"/>
    <w:rsid w:val="00464291"/>
    <w:rsid w:val="004642C9"/>
    <w:rsid w:val="004642F9"/>
    <w:rsid w:val="00464360"/>
    <w:rsid w:val="00464457"/>
    <w:rsid w:val="00464601"/>
    <w:rsid w:val="0046462E"/>
    <w:rsid w:val="00464684"/>
    <w:rsid w:val="004646F1"/>
    <w:rsid w:val="00464749"/>
    <w:rsid w:val="0046476F"/>
    <w:rsid w:val="00464808"/>
    <w:rsid w:val="004648A8"/>
    <w:rsid w:val="0046492C"/>
    <w:rsid w:val="00464A5F"/>
    <w:rsid w:val="00464C1B"/>
    <w:rsid w:val="00464D21"/>
    <w:rsid w:val="00464DA5"/>
    <w:rsid w:val="00464E1B"/>
    <w:rsid w:val="00464E76"/>
    <w:rsid w:val="00464F25"/>
    <w:rsid w:val="00465017"/>
    <w:rsid w:val="00465041"/>
    <w:rsid w:val="004650EE"/>
    <w:rsid w:val="0046520C"/>
    <w:rsid w:val="00465286"/>
    <w:rsid w:val="00465473"/>
    <w:rsid w:val="004654D9"/>
    <w:rsid w:val="00465591"/>
    <w:rsid w:val="004655A6"/>
    <w:rsid w:val="00465683"/>
    <w:rsid w:val="004656F0"/>
    <w:rsid w:val="00465751"/>
    <w:rsid w:val="004657C3"/>
    <w:rsid w:val="00465869"/>
    <w:rsid w:val="004658C7"/>
    <w:rsid w:val="00465ACF"/>
    <w:rsid w:val="00465BF7"/>
    <w:rsid w:val="00465C1A"/>
    <w:rsid w:val="00465D6A"/>
    <w:rsid w:val="00465E88"/>
    <w:rsid w:val="00465EE1"/>
    <w:rsid w:val="00465F20"/>
    <w:rsid w:val="00465F46"/>
    <w:rsid w:val="0046600A"/>
    <w:rsid w:val="00466016"/>
    <w:rsid w:val="00466163"/>
    <w:rsid w:val="004661DD"/>
    <w:rsid w:val="00466240"/>
    <w:rsid w:val="00466257"/>
    <w:rsid w:val="00466385"/>
    <w:rsid w:val="00466449"/>
    <w:rsid w:val="004665BF"/>
    <w:rsid w:val="00466645"/>
    <w:rsid w:val="0046668D"/>
    <w:rsid w:val="004666C3"/>
    <w:rsid w:val="004666C6"/>
    <w:rsid w:val="00466801"/>
    <w:rsid w:val="00466816"/>
    <w:rsid w:val="00466826"/>
    <w:rsid w:val="004669A1"/>
    <w:rsid w:val="00466A29"/>
    <w:rsid w:val="00466A58"/>
    <w:rsid w:val="00466AFD"/>
    <w:rsid w:val="00466B13"/>
    <w:rsid w:val="00466C5E"/>
    <w:rsid w:val="00466E22"/>
    <w:rsid w:val="00466E45"/>
    <w:rsid w:val="00466F3A"/>
    <w:rsid w:val="00466F75"/>
    <w:rsid w:val="00466FED"/>
    <w:rsid w:val="00466FEF"/>
    <w:rsid w:val="004670E4"/>
    <w:rsid w:val="00467280"/>
    <w:rsid w:val="0046728A"/>
    <w:rsid w:val="00467446"/>
    <w:rsid w:val="004674FA"/>
    <w:rsid w:val="00467502"/>
    <w:rsid w:val="0046752C"/>
    <w:rsid w:val="0046755B"/>
    <w:rsid w:val="0046756C"/>
    <w:rsid w:val="004675C4"/>
    <w:rsid w:val="0046765C"/>
    <w:rsid w:val="004676FE"/>
    <w:rsid w:val="00467849"/>
    <w:rsid w:val="00467929"/>
    <w:rsid w:val="00467980"/>
    <w:rsid w:val="00467AA1"/>
    <w:rsid w:val="00467ABD"/>
    <w:rsid w:val="00467ABE"/>
    <w:rsid w:val="00467AEF"/>
    <w:rsid w:val="00467C07"/>
    <w:rsid w:val="00467C12"/>
    <w:rsid w:val="00467CB0"/>
    <w:rsid w:val="00467CF0"/>
    <w:rsid w:val="00467D76"/>
    <w:rsid w:val="00469A3E"/>
    <w:rsid w:val="0046BF19"/>
    <w:rsid w:val="0046F97D"/>
    <w:rsid w:val="0047011A"/>
    <w:rsid w:val="00470135"/>
    <w:rsid w:val="004701B9"/>
    <w:rsid w:val="0047069D"/>
    <w:rsid w:val="00470737"/>
    <w:rsid w:val="0047081E"/>
    <w:rsid w:val="00470857"/>
    <w:rsid w:val="0047087B"/>
    <w:rsid w:val="00470888"/>
    <w:rsid w:val="00470922"/>
    <w:rsid w:val="00470AC6"/>
    <w:rsid w:val="00470B00"/>
    <w:rsid w:val="00470B11"/>
    <w:rsid w:val="00470B71"/>
    <w:rsid w:val="00470B77"/>
    <w:rsid w:val="00470C66"/>
    <w:rsid w:val="00470CCD"/>
    <w:rsid w:val="00470F8C"/>
    <w:rsid w:val="00470F8E"/>
    <w:rsid w:val="00470FBD"/>
    <w:rsid w:val="0047108F"/>
    <w:rsid w:val="0047109F"/>
    <w:rsid w:val="004710B5"/>
    <w:rsid w:val="004711CA"/>
    <w:rsid w:val="004711F2"/>
    <w:rsid w:val="0047120B"/>
    <w:rsid w:val="0047124D"/>
    <w:rsid w:val="0047125E"/>
    <w:rsid w:val="00471289"/>
    <w:rsid w:val="004712F5"/>
    <w:rsid w:val="00471354"/>
    <w:rsid w:val="00471364"/>
    <w:rsid w:val="0047139A"/>
    <w:rsid w:val="004714C5"/>
    <w:rsid w:val="004714D9"/>
    <w:rsid w:val="00471547"/>
    <w:rsid w:val="004715AB"/>
    <w:rsid w:val="004715B6"/>
    <w:rsid w:val="004715C9"/>
    <w:rsid w:val="004718BE"/>
    <w:rsid w:val="004718FD"/>
    <w:rsid w:val="00471A5E"/>
    <w:rsid w:val="00471B42"/>
    <w:rsid w:val="00471BBC"/>
    <w:rsid w:val="00471C06"/>
    <w:rsid w:val="00471DFA"/>
    <w:rsid w:val="00471E35"/>
    <w:rsid w:val="00471E39"/>
    <w:rsid w:val="00471E9C"/>
    <w:rsid w:val="00471F5B"/>
    <w:rsid w:val="00471F61"/>
    <w:rsid w:val="00472014"/>
    <w:rsid w:val="00472027"/>
    <w:rsid w:val="004720B4"/>
    <w:rsid w:val="00472127"/>
    <w:rsid w:val="004721A8"/>
    <w:rsid w:val="00472246"/>
    <w:rsid w:val="00472253"/>
    <w:rsid w:val="00472254"/>
    <w:rsid w:val="004722E1"/>
    <w:rsid w:val="0047231A"/>
    <w:rsid w:val="004723A8"/>
    <w:rsid w:val="004723E6"/>
    <w:rsid w:val="00472407"/>
    <w:rsid w:val="004724B6"/>
    <w:rsid w:val="00472571"/>
    <w:rsid w:val="00472647"/>
    <w:rsid w:val="004726A8"/>
    <w:rsid w:val="004726FA"/>
    <w:rsid w:val="004726FB"/>
    <w:rsid w:val="004727CD"/>
    <w:rsid w:val="00472871"/>
    <w:rsid w:val="004728EE"/>
    <w:rsid w:val="0047299F"/>
    <w:rsid w:val="00472A5F"/>
    <w:rsid w:val="00472B83"/>
    <w:rsid w:val="00472C4E"/>
    <w:rsid w:val="00472C8C"/>
    <w:rsid w:val="00472CEC"/>
    <w:rsid w:val="00472DE9"/>
    <w:rsid w:val="00472E35"/>
    <w:rsid w:val="00473100"/>
    <w:rsid w:val="00473144"/>
    <w:rsid w:val="00473154"/>
    <w:rsid w:val="004731CA"/>
    <w:rsid w:val="004732CC"/>
    <w:rsid w:val="00473406"/>
    <w:rsid w:val="00473615"/>
    <w:rsid w:val="004736A7"/>
    <w:rsid w:val="004736BC"/>
    <w:rsid w:val="0047378F"/>
    <w:rsid w:val="00473828"/>
    <w:rsid w:val="004738BC"/>
    <w:rsid w:val="0047395C"/>
    <w:rsid w:val="00473BDF"/>
    <w:rsid w:val="00473E98"/>
    <w:rsid w:val="00473EA1"/>
    <w:rsid w:val="00473EE4"/>
    <w:rsid w:val="00473F1F"/>
    <w:rsid w:val="00473F87"/>
    <w:rsid w:val="00473F8A"/>
    <w:rsid w:val="00474036"/>
    <w:rsid w:val="0047407C"/>
    <w:rsid w:val="004740DA"/>
    <w:rsid w:val="0047414B"/>
    <w:rsid w:val="004741EC"/>
    <w:rsid w:val="004742B4"/>
    <w:rsid w:val="004742CD"/>
    <w:rsid w:val="00474321"/>
    <w:rsid w:val="00474365"/>
    <w:rsid w:val="00474373"/>
    <w:rsid w:val="004743A6"/>
    <w:rsid w:val="004743CA"/>
    <w:rsid w:val="004743E3"/>
    <w:rsid w:val="0047440F"/>
    <w:rsid w:val="004744DA"/>
    <w:rsid w:val="0047459B"/>
    <w:rsid w:val="004745B7"/>
    <w:rsid w:val="004745FF"/>
    <w:rsid w:val="0047462E"/>
    <w:rsid w:val="00474637"/>
    <w:rsid w:val="00474667"/>
    <w:rsid w:val="00474691"/>
    <w:rsid w:val="00474760"/>
    <w:rsid w:val="004747DA"/>
    <w:rsid w:val="004748F1"/>
    <w:rsid w:val="00474944"/>
    <w:rsid w:val="0047494B"/>
    <w:rsid w:val="00474979"/>
    <w:rsid w:val="004749F3"/>
    <w:rsid w:val="004749FB"/>
    <w:rsid w:val="00474A1E"/>
    <w:rsid w:val="00474B03"/>
    <w:rsid w:val="00474B86"/>
    <w:rsid w:val="00474BB9"/>
    <w:rsid w:val="00474C79"/>
    <w:rsid w:val="00474F53"/>
    <w:rsid w:val="00474FCC"/>
    <w:rsid w:val="0047502C"/>
    <w:rsid w:val="00475061"/>
    <w:rsid w:val="00475326"/>
    <w:rsid w:val="0047535E"/>
    <w:rsid w:val="0047536D"/>
    <w:rsid w:val="004753DD"/>
    <w:rsid w:val="0047541F"/>
    <w:rsid w:val="00475450"/>
    <w:rsid w:val="00475562"/>
    <w:rsid w:val="0047563C"/>
    <w:rsid w:val="0047571A"/>
    <w:rsid w:val="00475754"/>
    <w:rsid w:val="0047576C"/>
    <w:rsid w:val="004757AA"/>
    <w:rsid w:val="004757C9"/>
    <w:rsid w:val="004757DE"/>
    <w:rsid w:val="004757F4"/>
    <w:rsid w:val="00475855"/>
    <w:rsid w:val="004758C7"/>
    <w:rsid w:val="0047596B"/>
    <w:rsid w:val="0047599F"/>
    <w:rsid w:val="00475A12"/>
    <w:rsid w:val="00475A1E"/>
    <w:rsid w:val="00475A20"/>
    <w:rsid w:val="00475A5A"/>
    <w:rsid w:val="00475A7C"/>
    <w:rsid w:val="00475B52"/>
    <w:rsid w:val="00475C1D"/>
    <w:rsid w:val="00475CB1"/>
    <w:rsid w:val="00475FC4"/>
    <w:rsid w:val="00475FE5"/>
    <w:rsid w:val="004760B2"/>
    <w:rsid w:val="0047615E"/>
    <w:rsid w:val="004761D6"/>
    <w:rsid w:val="004762FF"/>
    <w:rsid w:val="00476376"/>
    <w:rsid w:val="004763AF"/>
    <w:rsid w:val="00476478"/>
    <w:rsid w:val="004764A4"/>
    <w:rsid w:val="00476560"/>
    <w:rsid w:val="004766B0"/>
    <w:rsid w:val="004766BE"/>
    <w:rsid w:val="004766EE"/>
    <w:rsid w:val="004768A4"/>
    <w:rsid w:val="0047698B"/>
    <w:rsid w:val="00476A2F"/>
    <w:rsid w:val="00476A9E"/>
    <w:rsid w:val="00476C1B"/>
    <w:rsid w:val="00476E3A"/>
    <w:rsid w:val="00476EEC"/>
    <w:rsid w:val="00476F88"/>
    <w:rsid w:val="00477053"/>
    <w:rsid w:val="004770F2"/>
    <w:rsid w:val="0047748F"/>
    <w:rsid w:val="00477584"/>
    <w:rsid w:val="004775DF"/>
    <w:rsid w:val="00477658"/>
    <w:rsid w:val="004776BF"/>
    <w:rsid w:val="00477798"/>
    <w:rsid w:val="004777B8"/>
    <w:rsid w:val="004777CB"/>
    <w:rsid w:val="004777D8"/>
    <w:rsid w:val="004778DC"/>
    <w:rsid w:val="00477A2E"/>
    <w:rsid w:val="00477A3E"/>
    <w:rsid w:val="00477A55"/>
    <w:rsid w:val="00477AAD"/>
    <w:rsid w:val="00477AEA"/>
    <w:rsid w:val="00477BEA"/>
    <w:rsid w:val="00477E8E"/>
    <w:rsid w:val="00477E9B"/>
    <w:rsid w:val="00477F0A"/>
    <w:rsid w:val="00477F80"/>
    <w:rsid w:val="00477FDC"/>
    <w:rsid w:val="00477FF9"/>
    <w:rsid w:val="00478049"/>
    <w:rsid w:val="0047B3DD"/>
    <w:rsid w:val="004800C1"/>
    <w:rsid w:val="004800CA"/>
    <w:rsid w:val="004801ED"/>
    <w:rsid w:val="004802F5"/>
    <w:rsid w:val="004803ED"/>
    <w:rsid w:val="00480524"/>
    <w:rsid w:val="0048056C"/>
    <w:rsid w:val="00480583"/>
    <w:rsid w:val="004805F6"/>
    <w:rsid w:val="00480685"/>
    <w:rsid w:val="004806D4"/>
    <w:rsid w:val="00480703"/>
    <w:rsid w:val="004809A3"/>
    <w:rsid w:val="00480A92"/>
    <w:rsid w:val="00480A9F"/>
    <w:rsid w:val="00480BB1"/>
    <w:rsid w:val="00480BDB"/>
    <w:rsid w:val="00480C20"/>
    <w:rsid w:val="00480C45"/>
    <w:rsid w:val="00480C91"/>
    <w:rsid w:val="00480D67"/>
    <w:rsid w:val="00480DD0"/>
    <w:rsid w:val="00480E1E"/>
    <w:rsid w:val="00480E2B"/>
    <w:rsid w:val="00480EE6"/>
    <w:rsid w:val="00480FEB"/>
    <w:rsid w:val="00480FF6"/>
    <w:rsid w:val="00481060"/>
    <w:rsid w:val="00481210"/>
    <w:rsid w:val="00481221"/>
    <w:rsid w:val="00481235"/>
    <w:rsid w:val="00481432"/>
    <w:rsid w:val="00481437"/>
    <w:rsid w:val="00481444"/>
    <w:rsid w:val="004814A0"/>
    <w:rsid w:val="00481597"/>
    <w:rsid w:val="004815C8"/>
    <w:rsid w:val="004815E9"/>
    <w:rsid w:val="00481687"/>
    <w:rsid w:val="004816E1"/>
    <w:rsid w:val="004817F4"/>
    <w:rsid w:val="004818CE"/>
    <w:rsid w:val="004818F1"/>
    <w:rsid w:val="004819C4"/>
    <w:rsid w:val="00481A05"/>
    <w:rsid w:val="00481BF6"/>
    <w:rsid w:val="00481E69"/>
    <w:rsid w:val="00481E74"/>
    <w:rsid w:val="00481EA7"/>
    <w:rsid w:val="00481EDC"/>
    <w:rsid w:val="00481F8C"/>
    <w:rsid w:val="004820D0"/>
    <w:rsid w:val="004821B6"/>
    <w:rsid w:val="004821B8"/>
    <w:rsid w:val="004822AA"/>
    <w:rsid w:val="00482361"/>
    <w:rsid w:val="00482377"/>
    <w:rsid w:val="0048247F"/>
    <w:rsid w:val="004824D8"/>
    <w:rsid w:val="004825CE"/>
    <w:rsid w:val="004825DD"/>
    <w:rsid w:val="00482660"/>
    <w:rsid w:val="004826FA"/>
    <w:rsid w:val="004827A3"/>
    <w:rsid w:val="0048281B"/>
    <w:rsid w:val="00482956"/>
    <w:rsid w:val="00482A3A"/>
    <w:rsid w:val="00482AA9"/>
    <w:rsid w:val="00482ADA"/>
    <w:rsid w:val="00482B23"/>
    <w:rsid w:val="00482CC9"/>
    <w:rsid w:val="00482D8B"/>
    <w:rsid w:val="00483129"/>
    <w:rsid w:val="0048317C"/>
    <w:rsid w:val="0048328C"/>
    <w:rsid w:val="00483297"/>
    <w:rsid w:val="004832F0"/>
    <w:rsid w:val="0048330A"/>
    <w:rsid w:val="00483408"/>
    <w:rsid w:val="00483488"/>
    <w:rsid w:val="004834CA"/>
    <w:rsid w:val="00483536"/>
    <w:rsid w:val="0048354D"/>
    <w:rsid w:val="0048355D"/>
    <w:rsid w:val="004835C7"/>
    <w:rsid w:val="00483606"/>
    <w:rsid w:val="00483652"/>
    <w:rsid w:val="00483685"/>
    <w:rsid w:val="00483696"/>
    <w:rsid w:val="004836A5"/>
    <w:rsid w:val="004836D6"/>
    <w:rsid w:val="0048381D"/>
    <w:rsid w:val="0048387E"/>
    <w:rsid w:val="004839C0"/>
    <w:rsid w:val="004839E0"/>
    <w:rsid w:val="00483A03"/>
    <w:rsid w:val="00483A10"/>
    <w:rsid w:val="00483A73"/>
    <w:rsid w:val="00483ACC"/>
    <w:rsid w:val="00483AE2"/>
    <w:rsid w:val="00483C99"/>
    <w:rsid w:val="00483D63"/>
    <w:rsid w:val="00483D75"/>
    <w:rsid w:val="00483F23"/>
    <w:rsid w:val="00483F38"/>
    <w:rsid w:val="00483FDF"/>
    <w:rsid w:val="00484013"/>
    <w:rsid w:val="00484046"/>
    <w:rsid w:val="00484322"/>
    <w:rsid w:val="0048434A"/>
    <w:rsid w:val="0048436F"/>
    <w:rsid w:val="00484657"/>
    <w:rsid w:val="00484750"/>
    <w:rsid w:val="00484761"/>
    <w:rsid w:val="004847C0"/>
    <w:rsid w:val="004847EC"/>
    <w:rsid w:val="00484828"/>
    <w:rsid w:val="00484838"/>
    <w:rsid w:val="004848CF"/>
    <w:rsid w:val="00484A2C"/>
    <w:rsid w:val="00484A42"/>
    <w:rsid w:val="00484C30"/>
    <w:rsid w:val="00484D4D"/>
    <w:rsid w:val="00484D71"/>
    <w:rsid w:val="00484DCB"/>
    <w:rsid w:val="00484EC4"/>
    <w:rsid w:val="00484EDC"/>
    <w:rsid w:val="00484F5F"/>
    <w:rsid w:val="00484F76"/>
    <w:rsid w:val="00485051"/>
    <w:rsid w:val="00485196"/>
    <w:rsid w:val="00485204"/>
    <w:rsid w:val="00485242"/>
    <w:rsid w:val="00485269"/>
    <w:rsid w:val="004852CE"/>
    <w:rsid w:val="00485313"/>
    <w:rsid w:val="004853C5"/>
    <w:rsid w:val="00485430"/>
    <w:rsid w:val="0048550A"/>
    <w:rsid w:val="00485549"/>
    <w:rsid w:val="004855A6"/>
    <w:rsid w:val="004858D8"/>
    <w:rsid w:val="00485958"/>
    <w:rsid w:val="00485966"/>
    <w:rsid w:val="00485988"/>
    <w:rsid w:val="004859B9"/>
    <w:rsid w:val="00485A80"/>
    <w:rsid w:val="00485AA2"/>
    <w:rsid w:val="00485B09"/>
    <w:rsid w:val="00485B3C"/>
    <w:rsid w:val="00485BFD"/>
    <w:rsid w:val="00485C28"/>
    <w:rsid w:val="00485E24"/>
    <w:rsid w:val="00485F15"/>
    <w:rsid w:val="004861D4"/>
    <w:rsid w:val="004862BE"/>
    <w:rsid w:val="00486307"/>
    <w:rsid w:val="00486497"/>
    <w:rsid w:val="004864B4"/>
    <w:rsid w:val="004864E8"/>
    <w:rsid w:val="004865C0"/>
    <w:rsid w:val="004867BF"/>
    <w:rsid w:val="00486875"/>
    <w:rsid w:val="004868D2"/>
    <w:rsid w:val="00486976"/>
    <w:rsid w:val="004869EC"/>
    <w:rsid w:val="004869FB"/>
    <w:rsid w:val="00486A0B"/>
    <w:rsid w:val="00486A3D"/>
    <w:rsid w:val="00486AF1"/>
    <w:rsid w:val="00486BF8"/>
    <w:rsid w:val="00486D39"/>
    <w:rsid w:val="00486EE3"/>
    <w:rsid w:val="00486EF7"/>
    <w:rsid w:val="00486F36"/>
    <w:rsid w:val="00486FFF"/>
    <w:rsid w:val="00487162"/>
    <w:rsid w:val="00487209"/>
    <w:rsid w:val="00487382"/>
    <w:rsid w:val="004873CF"/>
    <w:rsid w:val="00487427"/>
    <w:rsid w:val="0048742C"/>
    <w:rsid w:val="004874EB"/>
    <w:rsid w:val="00487570"/>
    <w:rsid w:val="0048761E"/>
    <w:rsid w:val="004876B4"/>
    <w:rsid w:val="004876F1"/>
    <w:rsid w:val="00487744"/>
    <w:rsid w:val="00487769"/>
    <w:rsid w:val="0048779D"/>
    <w:rsid w:val="004877AB"/>
    <w:rsid w:val="004877B3"/>
    <w:rsid w:val="004877F1"/>
    <w:rsid w:val="00487807"/>
    <w:rsid w:val="00487929"/>
    <w:rsid w:val="0048795F"/>
    <w:rsid w:val="004879C4"/>
    <w:rsid w:val="00487A11"/>
    <w:rsid w:val="00487B0A"/>
    <w:rsid w:val="00487B24"/>
    <w:rsid w:val="00487C1E"/>
    <w:rsid w:val="00487D33"/>
    <w:rsid w:val="00487D3A"/>
    <w:rsid w:val="00487F1B"/>
    <w:rsid w:val="00487FAA"/>
    <w:rsid w:val="0049000A"/>
    <w:rsid w:val="00490074"/>
    <w:rsid w:val="0049007B"/>
    <w:rsid w:val="004900C2"/>
    <w:rsid w:val="004902A1"/>
    <w:rsid w:val="00490417"/>
    <w:rsid w:val="004904C8"/>
    <w:rsid w:val="004904CA"/>
    <w:rsid w:val="0049063E"/>
    <w:rsid w:val="0049070A"/>
    <w:rsid w:val="0049073F"/>
    <w:rsid w:val="0049075B"/>
    <w:rsid w:val="00490873"/>
    <w:rsid w:val="004908AD"/>
    <w:rsid w:val="00490986"/>
    <w:rsid w:val="004909D3"/>
    <w:rsid w:val="00490A07"/>
    <w:rsid w:val="00490A88"/>
    <w:rsid w:val="00490AA0"/>
    <w:rsid w:val="00490AC7"/>
    <w:rsid w:val="00490ACA"/>
    <w:rsid w:val="00490BA9"/>
    <w:rsid w:val="00490CF8"/>
    <w:rsid w:val="00490E7D"/>
    <w:rsid w:val="00490F46"/>
    <w:rsid w:val="00490FAE"/>
    <w:rsid w:val="00490FCD"/>
    <w:rsid w:val="00490FF3"/>
    <w:rsid w:val="004911BA"/>
    <w:rsid w:val="0049135A"/>
    <w:rsid w:val="0049147B"/>
    <w:rsid w:val="004916D5"/>
    <w:rsid w:val="00491828"/>
    <w:rsid w:val="0049186C"/>
    <w:rsid w:val="00491894"/>
    <w:rsid w:val="004918CA"/>
    <w:rsid w:val="0049194A"/>
    <w:rsid w:val="004919AA"/>
    <w:rsid w:val="00491AB9"/>
    <w:rsid w:val="00491B59"/>
    <w:rsid w:val="00491DE6"/>
    <w:rsid w:val="00491E4A"/>
    <w:rsid w:val="00491E54"/>
    <w:rsid w:val="00491E62"/>
    <w:rsid w:val="00491F35"/>
    <w:rsid w:val="0049205E"/>
    <w:rsid w:val="004920EC"/>
    <w:rsid w:val="00492129"/>
    <w:rsid w:val="0049243F"/>
    <w:rsid w:val="004924E4"/>
    <w:rsid w:val="00492623"/>
    <w:rsid w:val="00492649"/>
    <w:rsid w:val="004926F8"/>
    <w:rsid w:val="004927DF"/>
    <w:rsid w:val="00492886"/>
    <w:rsid w:val="004928B0"/>
    <w:rsid w:val="00492A12"/>
    <w:rsid w:val="00492A1D"/>
    <w:rsid w:val="00492A89"/>
    <w:rsid w:val="00492A94"/>
    <w:rsid w:val="00492AD5"/>
    <w:rsid w:val="00492B57"/>
    <w:rsid w:val="00492E3A"/>
    <w:rsid w:val="00492F4F"/>
    <w:rsid w:val="0049304B"/>
    <w:rsid w:val="0049306D"/>
    <w:rsid w:val="00493097"/>
    <w:rsid w:val="00493211"/>
    <w:rsid w:val="0049329A"/>
    <w:rsid w:val="0049331A"/>
    <w:rsid w:val="00493378"/>
    <w:rsid w:val="004933AF"/>
    <w:rsid w:val="004933F0"/>
    <w:rsid w:val="00493470"/>
    <w:rsid w:val="00493565"/>
    <w:rsid w:val="004935BB"/>
    <w:rsid w:val="004935EC"/>
    <w:rsid w:val="00493623"/>
    <w:rsid w:val="00493627"/>
    <w:rsid w:val="0049365F"/>
    <w:rsid w:val="0049369A"/>
    <w:rsid w:val="00493742"/>
    <w:rsid w:val="004938B9"/>
    <w:rsid w:val="004938BE"/>
    <w:rsid w:val="0049392E"/>
    <w:rsid w:val="004939EE"/>
    <w:rsid w:val="00493C9F"/>
    <w:rsid w:val="00493CC9"/>
    <w:rsid w:val="00493CDA"/>
    <w:rsid w:val="00493CFC"/>
    <w:rsid w:val="00493D66"/>
    <w:rsid w:val="00493D93"/>
    <w:rsid w:val="00493E76"/>
    <w:rsid w:val="00493EA2"/>
    <w:rsid w:val="00493F09"/>
    <w:rsid w:val="00493F12"/>
    <w:rsid w:val="00493F7A"/>
    <w:rsid w:val="004940E4"/>
    <w:rsid w:val="004940E6"/>
    <w:rsid w:val="00494136"/>
    <w:rsid w:val="0049418B"/>
    <w:rsid w:val="00494215"/>
    <w:rsid w:val="0049426A"/>
    <w:rsid w:val="00494380"/>
    <w:rsid w:val="004944BC"/>
    <w:rsid w:val="004945AA"/>
    <w:rsid w:val="0049460B"/>
    <w:rsid w:val="00494646"/>
    <w:rsid w:val="00494680"/>
    <w:rsid w:val="0049474F"/>
    <w:rsid w:val="00494789"/>
    <w:rsid w:val="004948A4"/>
    <w:rsid w:val="0049492D"/>
    <w:rsid w:val="00494946"/>
    <w:rsid w:val="00494981"/>
    <w:rsid w:val="00494B79"/>
    <w:rsid w:val="00494C56"/>
    <w:rsid w:val="00494C8B"/>
    <w:rsid w:val="00494C9E"/>
    <w:rsid w:val="00494D09"/>
    <w:rsid w:val="00494DD7"/>
    <w:rsid w:val="00494E74"/>
    <w:rsid w:val="00494E76"/>
    <w:rsid w:val="00494F3E"/>
    <w:rsid w:val="00494F78"/>
    <w:rsid w:val="00495039"/>
    <w:rsid w:val="00495099"/>
    <w:rsid w:val="00495171"/>
    <w:rsid w:val="00495183"/>
    <w:rsid w:val="0049537D"/>
    <w:rsid w:val="004953AC"/>
    <w:rsid w:val="004953E3"/>
    <w:rsid w:val="0049540C"/>
    <w:rsid w:val="00495477"/>
    <w:rsid w:val="004954A9"/>
    <w:rsid w:val="00495537"/>
    <w:rsid w:val="0049553F"/>
    <w:rsid w:val="00495549"/>
    <w:rsid w:val="004956F5"/>
    <w:rsid w:val="00495757"/>
    <w:rsid w:val="00495788"/>
    <w:rsid w:val="0049581A"/>
    <w:rsid w:val="004958A1"/>
    <w:rsid w:val="00495914"/>
    <w:rsid w:val="00495998"/>
    <w:rsid w:val="00495AF8"/>
    <w:rsid w:val="00495C6F"/>
    <w:rsid w:val="00495CCC"/>
    <w:rsid w:val="00495CD8"/>
    <w:rsid w:val="00495CED"/>
    <w:rsid w:val="00495F05"/>
    <w:rsid w:val="00495F3E"/>
    <w:rsid w:val="004960A6"/>
    <w:rsid w:val="004961E2"/>
    <w:rsid w:val="004962C8"/>
    <w:rsid w:val="0049631D"/>
    <w:rsid w:val="00496360"/>
    <w:rsid w:val="00496422"/>
    <w:rsid w:val="00496449"/>
    <w:rsid w:val="0049648C"/>
    <w:rsid w:val="004964CC"/>
    <w:rsid w:val="0049652B"/>
    <w:rsid w:val="0049655C"/>
    <w:rsid w:val="00496563"/>
    <w:rsid w:val="00496696"/>
    <w:rsid w:val="004966B4"/>
    <w:rsid w:val="00496701"/>
    <w:rsid w:val="004967A6"/>
    <w:rsid w:val="004967D3"/>
    <w:rsid w:val="0049686D"/>
    <w:rsid w:val="004969B9"/>
    <w:rsid w:val="004969E0"/>
    <w:rsid w:val="00496A27"/>
    <w:rsid w:val="00496A37"/>
    <w:rsid w:val="00496A71"/>
    <w:rsid w:val="00496B15"/>
    <w:rsid w:val="00496C0D"/>
    <w:rsid w:val="00496D7B"/>
    <w:rsid w:val="00496F84"/>
    <w:rsid w:val="0049707A"/>
    <w:rsid w:val="004970C8"/>
    <w:rsid w:val="004970D4"/>
    <w:rsid w:val="004970F4"/>
    <w:rsid w:val="00497114"/>
    <w:rsid w:val="00497220"/>
    <w:rsid w:val="00497244"/>
    <w:rsid w:val="00497265"/>
    <w:rsid w:val="00497290"/>
    <w:rsid w:val="00497295"/>
    <w:rsid w:val="004972A5"/>
    <w:rsid w:val="004972AD"/>
    <w:rsid w:val="004973A1"/>
    <w:rsid w:val="004973DE"/>
    <w:rsid w:val="004974B9"/>
    <w:rsid w:val="004975E4"/>
    <w:rsid w:val="00497635"/>
    <w:rsid w:val="00497687"/>
    <w:rsid w:val="0049784C"/>
    <w:rsid w:val="0049787C"/>
    <w:rsid w:val="00497893"/>
    <w:rsid w:val="004978A9"/>
    <w:rsid w:val="0049797C"/>
    <w:rsid w:val="004979F5"/>
    <w:rsid w:val="00497A54"/>
    <w:rsid w:val="00497B1D"/>
    <w:rsid w:val="00497BBE"/>
    <w:rsid w:val="00497C45"/>
    <w:rsid w:val="00497DA2"/>
    <w:rsid w:val="00497E50"/>
    <w:rsid w:val="00497F01"/>
    <w:rsid w:val="00497F5E"/>
    <w:rsid w:val="00497F80"/>
    <w:rsid w:val="00497FE2"/>
    <w:rsid w:val="0049AC6C"/>
    <w:rsid w:val="004A0124"/>
    <w:rsid w:val="004A015C"/>
    <w:rsid w:val="004A0161"/>
    <w:rsid w:val="004A025A"/>
    <w:rsid w:val="004A0281"/>
    <w:rsid w:val="004A02F1"/>
    <w:rsid w:val="004A0433"/>
    <w:rsid w:val="004A04B1"/>
    <w:rsid w:val="004A04E4"/>
    <w:rsid w:val="004A0554"/>
    <w:rsid w:val="004A059B"/>
    <w:rsid w:val="004A05D8"/>
    <w:rsid w:val="004A065F"/>
    <w:rsid w:val="004A079F"/>
    <w:rsid w:val="004A097F"/>
    <w:rsid w:val="004A0A66"/>
    <w:rsid w:val="004A0A89"/>
    <w:rsid w:val="004A0ADD"/>
    <w:rsid w:val="004A0B88"/>
    <w:rsid w:val="004A0D14"/>
    <w:rsid w:val="004A0D27"/>
    <w:rsid w:val="004A0D59"/>
    <w:rsid w:val="004A0D72"/>
    <w:rsid w:val="004A0DF2"/>
    <w:rsid w:val="004A0E0C"/>
    <w:rsid w:val="004A0E51"/>
    <w:rsid w:val="004A0F38"/>
    <w:rsid w:val="004A0FC3"/>
    <w:rsid w:val="004A1109"/>
    <w:rsid w:val="004A11C1"/>
    <w:rsid w:val="004A1203"/>
    <w:rsid w:val="004A12A0"/>
    <w:rsid w:val="004A12B9"/>
    <w:rsid w:val="004A146A"/>
    <w:rsid w:val="004A1477"/>
    <w:rsid w:val="004A1518"/>
    <w:rsid w:val="004A1593"/>
    <w:rsid w:val="004A15C8"/>
    <w:rsid w:val="004A1638"/>
    <w:rsid w:val="004A16D7"/>
    <w:rsid w:val="004A1778"/>
    <w:rsid w:val="004A17DA"/>
    <w:rsid w:val="004A1916"/>
    <w:rsid w:val="004A1975"/>
    <w:rsid w:val="004A1A84"/>
    <w:rsid w:val="004A1A8B"/>
    <w:rsid w:val="004A1AE2"/>
    <w:rsid w:val="004A1B9D"/>
    <w:rsid w:val="004A1BBC"/>
    <w:rsid w:val="004A1D0B"/>
    <w:rsid w:val="004A1F79"/>
    <w:rsid w:val="004A1F8A"/>
    <w:rsid w:val="004A2035"/>
    <w:rsid w:val="004A2057"/>
    <w:rsid w:val="004A205C"/>
    <w:rsid w:val="004A2073"/>
    <w:rsid w:val="004A20AF"/>
    <w:rsid w:val="004A20F1"/>
    <w:rsid w:val="004A21CF"/>
    <w:rsid w:val="004A22E0"/>
    <w:rsid w:val="004A2536"/>
    <w:rsid w:val="004A257C"/>
    <w:rsid w:val="004A2627"/>
    <w:rsid w:val="004A268D"/>
    <w:rsid w:val="004A2865"/>
    <w:rsid w:val="004A2899"/>
    <w:rsid w:val="004A2926"/>
    <w:rsid w:val="004A29C3"/>
    <w:rsid w:val="004A29D9"/>
    <w:rsid w:val="004A29E4"/>
    <w:rsid w:val="004A29FF"/>
    <w:rsid w:val="004A2B46"/>
    <w:rsid w:val="004A2B61"/>
    <w:rsid w:val="004A2D96"/>
    <w:rsid w:val="004A2E01"/>
    <w:rsid w:val="004A2E78"/>
    <w:rsid w:val="004A2EB3"/>
    <w:rsid w:val="004A2F48"/>
    <w:rsid w:val="004A2F8C"/>
    <w:rsid w:val="004A2FFE"/>
    <w:rsid w:val="004A30E2"/>
    <w:rsid w:val="004A31C5"/>
    <w:rsid w:val="004A3213"/>
    <w:rsid w:val="004A3231"/>
    <w:rsid w:val="004A3382"/>
    <w:rsid w:val="004A33BD"/>
    <w:rsid w:val="004A34CB"/>
    <w:rsid w:val="004A3535"/>
    <w:rsid w:val="004A3549"/>
    <w:rsid w:val="004A3569"/>
    <w:rsid w:val="004A37A6"/>
    <w:rsid w:val="004A37BA"/>
    <w:rsid w:val="004A380D"/>
    <w:rsid w:val="004A3881"/>
    <w:rsid w:val="004A388C"/>
    <w:rsid w:val="004A39F5"/>
    <w:rsid w:val="004A3A8D"/>
    <w:rsid w:val="004A3C89"/>
    <w:rsid w:val="004A3D5C"/>
    <w:rsid w:val="004A3D6D"/>
    <w:rsid w:val="004A3D82"/>
    <w:rsid w:val="004A3D86"/>
    <w:rsid w:val="004A3E9E"/>
    <w:rsid w:val="004A4062"/>
    <w:rsid w:val="004A40AB"/>
    <w:rsid w:val="004A41B6"/>
    <w:rsid w:val="004A420F"/>
    <w:rsid w:val="004A428F"/>
    <w:rsid w:val="004A42A9"/>
    <w:rsid w:val="004A431A"/>
    <w:rsid w:val="004A435B"/>
    <w:rsid w:val="004A43BF"/>
    <w:rsid w:val="004A44CD"/>
    <w:rsid w:val="004A45DE"/>
    <w:rsid w:val="004A4632"/>
    <w:rsid w:val="004A474E"/>
    <w:rsid w:val="004A4754"/>
    <w:rsid w:val="004A478D"/>
    <w:rsid w:val="004A47EE"/>
    <w:rsid w:val="004A488C"/>
    <w:rsid w:val="004A496B"/>
    <w:rsid w:val="004A4B1A"/>
    <w:rsid w:val="004A4B53"/>
    <w:rsid w:val="004A4BE7"/>
    <w:rsid w:val="004A4C46"/>
    <w:rsid w:val="004A4D3D"/>
    <w:rsid w:val="004A4E79"/>
    <w:rsid w:val="004A4ED1"/>
    <w:rsid w:val="004A4F16"/>
    <w:rsid w:val="004A4F50"/>
    <w:rsid w:val="004A4F77"/>
    <w:rsid w:val="004A4FA5"/>
    <w:rsid w:val="004A4FD1"/>
    <w:rsid w:val="004A50C7"/>
    <w:rsid w:val="004A5349"/>
    <w:rsid w:val="004A540C"/>
    <w:rsid w:val="004A54B0"/>
    <w:rsid w:val="004A54D2"/>
    <w:rsid w:val="004A550A"/>
    <w:rsid w:val="004A5521"/>
    <w:rsid w:val="004A55A0"/>
    <w:rsid w:val="004A55F8"/>
    <w:rsid w:val="004A56CC"/>
    <w:rsid w:val="004A56EB"/>
    <w:rsid w:val="004A5764"/>
    <w:rsid w:val="004A593C"/>
    <w:rsid w:val="004A5A30"/>
    <w:rsid w:val="004A5A35"/>
    <w:rsid w:val="004A5A71"/>
    <w:rsid w:val="004A5AF0"/>
    <w:rsid w:val="004A5AFD"/>
    <w:rsid w:val="004A5BE7"/>
    <w:rsid w:val="004A5C5D"/>
    <w:rsid w:val="004A5CC4"/>
    <w:rsid w:val="004A5E63"/>
    <w:rsid w:val="004A5F23"/>
    <w:rsid w:val="004A5F3B"/>
    <w:rsid w:val="004A5F54"/>
    <w:rsid w:val="004A5F9B"/>
    <w:rsid w:val="004A60B9"/>
    <w:rsid w:val="004A6102"/>
    <w:rsid w:val="004A611B"/>
    <w:rsid w:val="004A6173"/>
    <w:rsid w:val="004A638F"/>
    <w:rsid w:val="004A6532"/>
    <w:rsid w:val="004A6676"/>
    <w:rsid w:val="004A6739"/>
    <w:rsid w:val="004A674A"/>
    <w:rsid w:val="004A674E"/>
    <w:rsid w:val="004A68BE"/>
    <w:rsid w:val="004A68D8"/>
    <w:rsid w:val="004A6948"/>
    <w:rsid w:val="004A6A93"/>
    <w:rsid w:val="004A6A9F"/>
    <w:rsid w:val="004A6AE9"/>
    <w:rsid w:val="004A6BFF"/>
    <w:rsid w:val="004A6D31"/>
    <w:rsid w:val="004A6D47"/>
    <w:rsid w:val="004A6D99"/>
    <w:rsid w:val="004A6E51"/>
    <w:rsid w:val="004A6EFA"/>
    <w:rsid w:val="004A6F32"/>
    <w:rsid w:val="004A6FDC"/>
    <w:rsid w:val="004A703D"/>
    <w:rsid w:val="004A7047"/>
    <w:rsid w:val="004A70AD"/>
    <w:rsid w:val="004A7116"/>
    <w:rsid w:val="004A71A0"/>
    <w:rsid w:val="004A71AF"/>
    <w:rsid w:val="004A71C8"/>
    <w:rsid w:val="004A7206"/>
    <w:rsid w:val="004A7220"/>
    <w:rsid w:val="004A7256"/>
    <w:rsid w:val="004A73B5"/>
    <w:rsid w:val="004A73FF"/>
    <w:rsid w:val="004A741A"/>
    <w:rsid w:val="004A744B"/>
    <w:rsid w:val="004A75B5"/>
    <w:rsid w:val="004A7700"/>
    <w:rsid w:val="004A775C"/>
    <w:rsid w:val="004A7917"/>
    <w:rsid w:val="004A7A2B"/>
    <w:rsid w:val="004A7A97"/>
    <w:rsid w:val="004A7C45"/>
    <w:rsid w:val="004A7CBC"/>
    <w:rsid w:val="004A7CBF"/>
    <w:rsid w:val="004A7CEB"/>
    <w:rsid w:val="004A7DFE"/>
    <w:rsid w:val="004A7E42"/>
    <w:rsid w:val="004A7E91"/>
    <w:rsid w:val="004A7EEB"/>
    <w:rsid w:val="004A7F71"/>
    <w:rsid w:val="004A7F72"/>
    <w:rsid w:val="004A7FCC"/>
    <w:rsid w:val="004AAFFE"/>
    <w:rsid w:val="004AC8EA"/>
    <w:rsid w:val="004ACDFC"/>
    <w:rsid w:val="004AD9CB"/>
    <w:rsid w:val="004B0028"/>
    <w:rsid w:val="004B0085"/>
    <w:rsid w:val="004B00E4"/>
    <w:rsid w:val="004B0105"/>
    <w:rsid w:val="004B0107"/>
    <w:rsid w:val="004B03B5"/>
    <w:rsid w:val="004B040F"/>
    <w:rsid w:val="004B0441"/>
    <w:rsid w:val="004B04CC"/>
    <w:rsid w:val="004B05B0"/>
    <w:rsid w:val="004B05B3"/>
    <w:rsid w:val="004B0610"/>
    <w:rsid w:val="004B0714"/>
    <w:rsid w:val="004B0727"/>
    <w:rsid w:val="004B074D"/>
    <w:rsid w:val="004B0843"/>
    <w:rsid w:val="004B0A98"/>
    <w:rsid w:val="004B0B9C"/>
    <w:rsid w:val="004B0C1A"/>
    <w:rsid w:val="004B0CB1"/>
    <w:rsid w:val="004B0CEE"/>
    <w:rsid w:val="004B0D6E"/>
    <w:rsid w:val="004B1049"/>
    <w:rsid w:val="004B106F"/>
    <w:rsid w:val="004B1134"/>
    <w:rsid w:val="004B1145"/>
    <w:rsid w:val="004B1149"/>
    <w:rsid w:val="004B11E9"/>
    <w:rsid w:val="004B130C"/>
    <w:rsid w:val="004B141C"/>
    <w:rsid w:val="004B142D"/>
    <w:rsid w:val="004B146B"/>
    <w:rsid w:val="004B14B0"/>
    <w:rsid w:val="004B1581"/>
    <w:rsid w:val="004B15D2"/>
    <w:rsid w:val="004B160D"/>
    <w:rsid w:val="004B1654"/>
    <w:rsid w:val="004B184B"/>
    <w:rsid w:val="004B184D"/>
    <w:rsid w:val="004B18F7"/>
    <w:rsid w:val="004B1999"/>
    <w:rsid w:val="004B19B3"/>
    <w:rsid w:val="004B19FC"/>
    <w:rsid w:val="004B1A66"/>
    <w:rsid w:val="004B1CC6"/>
    <w:rsid w:val="004B1CFB"/>
    <w:rsid w:val="004B1DC1"/>
    <w:rsid w:val="004B1E94"/>
    <w:rsid w:val="004B1F18"/>
    <w:rsid w:val="004B1F1B"/>
    <w:rsid w:val="004B2011"/>
    <w:rsid w:val="004B20B1"/>
    <w:rsid w:val="004B21EC"/>
    <w:rsid w:val="004B2330"/>
    <w:rsid w:val="004B24FB"/>
    <w:rsid w:val="004B25A3"/>
    <w:rsid w:val="004B2717"/>
    <w:rsid w:val="004B278E"/>
    <w:rsid w:val="004B27E9"/>
    <w:rsid w:val="004B28AB"/>
    <w:rsid w:val="004B29F1"/>
    <w:rsid w:val="004B2A64"/>
    <w:rsid w:val="004B2B5E"/>
    <w:rsid w:val="004B2BA7"/>
    <w:rsid w:val="004B2C17"/>
    <w:rsid w:val="004B2C64"/>
    <w:rsid w:val="004B2CAF"/>
    <w:rsid w:val="004B2CE3"/>
    <w:rsid w:val="004B2CEF"/>
    <w:rsid w:val="004B2D8C"/>
    <w:rsid w:val="004B2E4F"/>
    <w:rsid w:val="004B2EA4"/>
    <w:rsid w:val="004B2EBA"/>
    <w:rsid w:val="004B2F5B"/>
    <w:rsid w:val="004B2FAE"/>
    <w:rsid w:val="004B32CB"/>
    <w:rsid w:val="004B33A5"/>
    <w:rsid w:val="004B33AC"/>
    <w:rsid w:val="004B3465"/>
    <w:rsid w:val="004B3507"/>
    <w:rsid w:val="004B3578"/>
    <w:rsid w:val="004B35ED"/>
    <w:rsid w:val="004B360C"/>
    <w:rsid w:val="004B3778"/>
    <w:rsid w:val="004B37BF"/>
    <w:rsid w:val="004B3825"/>
    <w:rsid w:val="004B385B"/>
    <w:rsid w:val="004B38DE"/>
    <w:rsid w:val="004B3AA2"/>
    <w:rsid w:val="004B3B92"/>
    <w:rsid w:val="004B3BFC"/>
    <w:rsid w:val="004B3CAB"/>
    <w:rsid w:val="004B3CC1"/>
    <w:rsid w:val="004B3CD0"/>
    <w:rsid w:val="004B3DF4"/>
    <w:rsid w:val="004B3EBF"/>
    <w:rsid w:val="004B4002"/>
    <w:rsid w:val="004B4021"/>
    <w:rsid w:val="004B4023"/>
    <w:rsid w:val="004B40A1"/>
    <w:rsid w:val="004B41B4"/>
    <w:rsid w:val="004B420C"/>
    <w:rsid w:val="004B4299"/>
    <w:rsid w:val="004B4312"/>
    <w:rsid w:val="004B4356"/>
    <w:rsid w:val="004B43D9"/>
    <w:rsid w:val="004B4546"/>
    <w:rsid w:val="004B462C"/>
    <w:rsid w:val="004B4656"/>
    <w:rsid w:val="004B47E3"/>
    <w:rsid w:val="004B47F1"/>
    <w:rsid w:val="004B47FB"/>
    <w:rsid w:val="004B4A19"/>
    <w:rsid w:val="004B4A6C"/>
    <w:rsid w:val="004B4B99"/>
    <w:rsid w:val="004B4BA4"/>
    <w:rsid w:val="004B4CDB"/>
    <w:rsid w:val="004B4D08"/>
    <w:rsid w:val="004B4D34"/>
    <w:rsid w:val="004B4D7C"/>
    <w:rsid w:val="004B4EAF"/>
    <w:rsid w:val="004B4F99"/>
    <w:rsid w:val="004B4FA1"/>
    <w:rsid w:val="004B5059"/>
    <w:rsid w:val="004B50B7"/>
    <w:rsid w:val="004B520A"/>
    <w:rsid w:val="004B5272"/>
    <w:rsid w:val="004B5301"/>
    <w:rsid w:val="004B538E"/>
    <w:rsid w:val="004B5474"/>
    <w:rsid w:val="004B55A3"/>
    <w:rsid w:val="004B55DA"/>
    <w:rsid w:val="004B5730"/>
    <w:rsid w:val="004B5849"/>
    <w:rsid w:val="004B585C"/>
    <w:rsid w:val="004B5876"/>
    <w:rsid w:val="004B589F"/>
    <w:rsid w:val="004B58EB"/>
    <w:rsid w:val="004B594F"/>
    <w:rsid w:val="004B5952"/>
    <w:rsid w:val="004B5A8B"/>
    <w:rsid w:val="004B5A8D"/>
    <w:rsid w:val="004B5AC0"/>
    <w:rsid w:val="004B5B83"/>
    <w:rsid w:val="004B5DA4"/>
    <w:rsid w:val="004B5DD3"/>
    <w:rsid w:val="004B5DF4"/>
    <w:rsid w:val="004B5E4E"/>
    <w:rsid w:val="004B5F2D"/>
    <w:rsid w:val="004B5F81"/>
    <w:rsid w:val="004B5F85"/>
    <w:rsid w:val="004B604A"/>
    <w:rsid w:val="004B608B"/>
    <w:rsid w:val="004B60D3"/>
    <w:rsid w:val="004B6245"/>
    <w:rsid w:val="004B6258"/>
    <w:rsid w:val="004B6361"/>
    <w:rsid w:val="004B6378"/>
    <w:rsid w:val="004B6391"/>
    <w:rsid w:val="004B6697"/>
    <w:rsid w:val="004B6817"/>
    <w:rsid w:val="004B6837"/>
    <w:rsid w:val="004B6858"/>
    <w:rsid w:val="004B6860"/>
    <w:rsid w:val="004B68A6"/>
    <w:rsid w:val="004B692A"/>
    <w:rsid w:val="004B6966"/>
    <w:rsid w:val="004B6CF6"/>
    <w:rsid w:val="004B6D95"/>
    <w:rsid w:val="004B6DDA"/>
    <w:rsid w:val="004B6E2E"/>
    <w:rsid w:val="004B6FF2"/>
    <w:rsid w:val="004B7031"/>
    <w:rsid w:val="004B70DD"/>
    <w:rsid w:val="004B7299"/>
    <w:rsid w:val="004B7309"/>
    <w:rsid w:val="004B7328"/>
    <w:rsid w:val="004B7337"/>
    <w:rsid w:val="004B7383"/>
    <w:rsid w:val="004B7473"/>
    <w:rsid w:val="004B754A"/>
    <w:rsid w:val="004B75AC"/>
    <w:rsid w:val="004B7638"/>
    <w:rsid w:val="004B7855"/>
    <w:rsid w:val="004B78E6"/>
    <w:rsid w:val="004B7A4C"/>
    <w:rsid w:val="004B7CA9"/>
    <w:rsid w:val="004B7FF2"/>
    <w:rsid w:val="004BC963"/>
    <w:rsid w:val="004BDCFD"/>
    <w:rsid w:val="004C0042"/>
    <w:rsid w:val="004C0044"/>
    <w:rsid w:val="004C00AB"/>
    <w:rsid w:val="004C00CD"/>
    <w:rsid w:val="004C00DC"/>
    <w:rsid w:val="004C00E5"/>
    <w:rsid w:val="004C0105"/>
    <w:rsid w:val="004C0193"/>
    <w:rsid w:val="004C0197"/>
    <w:rsid w:val="004C01FF"/>
    <w:rsid w:val="004C0221"/>
    <w:rsid w:val="004C0245"/>
    <w:rsid w:val="004C02E9"/>
    <w:rsid w:val="004C0416"/>
    <w:rsid w:val="004C045F"/>
    <w:rsid w:val="004C0492"/>
    <w:rsid w:val="004C04BB"/>
    <w:rsid w:val="004C054D"/>
    <w:rsid w:val="004C07D5"/>
    <w:rsid w:val="004C0935"/>
    <w:rsid w:val="004C0A45"/>
    <w:rsid w:val="004C0A7C"/>
    <w:rsid w:val="004C0A9E"/>
    <w:rsid w:val="004C0AF2"/>
    <w:rsid w:val="004C0B02"/>
    <w:rsid w:val="004C0B62"/>
    <w:rsid w:val="004C0B79"/>
    <w:rsid w:val="004C0B9B"/>
    <w:rsid w:val="004C0D82"/>
    <w:rsid w:val="004C0EF5"/>
    <w:rsid w:val="004C0F2B"/>
    <w:rsid w:val="004C0F71"/>
    <w:rsid w:val="004C1120"/>
    <w:rsid w:val="004C1142"/>
    <w:rsid w:val="004C1398"/>
    <w:rsid w:val="004C13F2"/>
    <w:rsid w:val="004C144F"/>
    <w:rsid w:val="004C1470"/>
    <w:rsid w:val="004C14AD"/>
    <w:rsid w:val="004C1728"/>
    <w:rsid w:val="004C1743"/>
    <w:rsid w:val="004C177B"/>
    <w:rsid w:val="004C181C"/>
    <w:rsid w:val="004C18ED"/>
    <w:rsid w:val="004C1920"/>
    <w:rsid w:val="004C1A72"/>
    <w:rsid w:val="004C1ADE"/>
    <w:rsid w:val="004C1BC9"/>
    <w:rsid w:val="004C1BE2"/>
    <w:rsid w:val="004C1BF5"/>
    <w:rsid w:val="004C1C2D"/>
    <w:rsid w:val="004C1DCB"/>
    <w:rsid w:val="004C1E19"/>
    <w:rsid w:val="004C1EE6"/>
    <w:rsid w:val="004C1FF0"/>
    <w:rsid w:val="004C1FF5"/>
    <w:rsid w:val="004C210F"/>
    <w:rsid w:val="004C21B7"/>
    <w:rsid w:val="004C21F3"/>
    <w:rsid w:val="004C22B1"/>
    <w:rsid w:val="004C22EC"/>
    <w:rsid w:val="004C235F"/>
    <w:rsid w:val="004C24FB"/>
    <w:rsid w:val="004C2508"/>
    <w:rsid w:val="004C25D3"/>
    <w:rsid w:val="004C25F3"/>
    <w:rsid w:val="004C2606"/>
    <w:rsid w:val="004C2638"/>
    <w:rsid w:val="004C26B3"/>
    <w:rsid w:val="004C26C8"/>
    <w:rsid w:val="004C27E7"/>
    <w:rsid w:val="004C29E7"/>
    <w:rsid w:val="004C2A8F"/>
    <w:rsid w:val="004C2B05"/>
    <w:rsid w:val="004C303C"/>
    <w:rsid w:val="004C30C9"/>
    <w:rsid w:val="004C30D6"/>
    <w:rsid w:val="004C30EB"/>
    <w:rsid w:val="004C325D"/>
    <w:rsid w:val="004C3260"/>
    <w:rsid w:val="004C33EE"/>
    <w:rsid w:val="004C347B"/>
    <w:rsid w:val="004C3514"/>
    <w:rsid w:val="004C353D"/>
    <w:rsid w:val="004C3574"/>
    <w:rsid w:val="004C35A9"/>
    <w:rsid w:val="004C373C"/>
    <w:rsid w:val="004C374F"/>
    <w:rsid w:val="004C3787"/>
    <w:rsid w:val="004C395D"/>
    <w:rsid w:val="004C39A7"/>
    <w:rsid w:val="004C3A3C"/>
    <w:rsid w:val="004C3AB2"/>
    <w:rsid w:val="004C3BCD"/>
    <w:rsid w:val="004C3BD2"/>
    <w:rsid w:val="004C3C06"/>
    <w:rsid w:val="004C3C5A"/>
    <w:rsid w:val="004C3C72"/>
    <w:rsid w:val="004C3C7C"/>
    <w:rsid w:val="004C3E39"/>
    <w:rsid w:val="004C3E76"/>
    <w:rsid w:val="004C3E7C"/>
    <w:rsid w:val="004C3EB6"/>
    <w:rsid w:val="004C3FCD"/>
    <w:rsid w:val="004C402E"/>
    <w:rsid w:val="004C4043"/>
    <w:rsid w:val="004C4074"/>
    <w:rsid w:val="004C414B"/>
    <w:rsid w:val="004C41A3"/>
    <w:rsid w:val="004C41AA"/>
    <w:rsid w:val="004C41EA"/>
    <w:rsid w:val="004C4297"/>
    <w:rsid w:val="004C43A9"/>
    <w:rsid w:val="004C4448"/>
    <w:rsid w:val="004C499A"/>
    <w:rsid w:val="004C49CB"/>
    <w:rsid w:val="004C4C50"/>
    <w:rsid w:val="004C4CDF"/>
    <w:rsid w:val="004C4D85"/>
    <w:rsid w:val="004C4D8C"/>
    <w:rsid w:val="004C4E2F"/>
    <w:rsid w:val="004C4E7C"/>
    <w:rsid w:val="004C4E7E"/>
    <w:rsid w:val="004C514C"/>
    <w:rsid w:val="004C524B"/>
    <w:rsid w:val="004C538C"/>
    <w:rsid w:val="004C5527"/>
    <w:rsid w:val="004C5583"/>
    <w:rsid w:val="004C558B"/>
    <w:rsid w:val="004C55DE"/>
    <w:rsid w:val="004C580D"/>
    <w:rsid w:val="004C5812"/>
    <w:rsid w:val="004C5893"/>
    <w:rsid w:val="004C59B4"/>
    <w:rsid w:val="004C59F2"/>
    <w:rsid w:val="004C5A34"/>
    <w:rsid w:val="004C5A9A"/>
    <w:rsid w:val="004C5B30"/>
    <w:rsid w:val="004C5B72"/>
    <w:rsid w:val="004C5BBC"/>
    <w:rsid w:val="004C5CB9"/>
    <w:rsid w:val="004C5D96"/>
    <w:rsid w:val="004C5DC4"/>
    <w:rsid w:val="004C5DFC"/>
    <w:rsid w:val="004C6092"/>
    <w:rsid w:val="004C60AD"/>
    <w:rsid w:val="004C6123"/>
    <w:rsid w:val="004C619C"/>
    <w:rsid w:val="004C61B6"/>
    <w:rsid w:val="004C61F8"/>
    <w:rsid w:val="004C629C"/>
    <w:rsid w:val="004C6345"/>
    <w:rsid w:val="004C63BE"/>
    <w:rsid w:val="004C641F"/>
    <w:rsid w:val="004C66EA"/>
    <w:rsid w:val="004C681A"/>
    <w:rsid w:val="004C6823"/>
    <w:rsid w:val="004C6888"/>
    <w:rsid w:val="004C68BD"/>
    <w:rsid w:val="004C68C9"/>
    <w:rsid w:val="004C6933"/>
    <w:rsid w:val="004C69B2"/>
    <w:rsid w:val="004C6D45"/>
    <w:rsid w:val="004C6E46"/>
    <w:rsid w:val="004C6EC9"/>
    <w:rsid w:val="004C6EEB"/>
    <w:rsid w:val="004C7029"/>
    <w:rsid w:val="004C7035"/>
    <w:rsid w:val="004C7164"/>
    <w:rsid w:val="004C71FA"/>
    <w:rsid w:val="004C72C0"/>
    <w:rsid w:val="004C7358"/>
    <w:rsid w:val="004C735F"/>
    <w:rsid w:val="004C75AB"/>
    <w:rsid w:val="004C7612"/>
    <w:rsid w:val="004C7621"/>
    <w:rsid w:val="004C7715"/>
    <w:rsid w:val="004C7732"/>
    <w:rsid w:val="004C7780"/>
    <w:rsid w:val="004C77D1"/>
    <w:rsid w:val="004C787A"/>
    <w:rsid w:val="004C7A49"/>
    <w:rsid w:val="004C7A7C"/>
    <w:rsid w:val="004C7AE7"/>
    <w:rsid w:val="004C7BCC"/>
    <w:rsid w:val="004C7C32"/>
    <w:rsid w:val="004C7C77"/>
    <w:rsid w:val="004C7CBB"/>
    <w:rsid w:val="004C7CD4"/>
    <w:rsid w:val="004C7D3C"/>
    <w:rsid w:val="004C7DB8"/>
    <w:rsid w:val="004C7E18"/>
    <w:rsid w:val="004C7E7C"/>
    <w:rsid w:val="004C7EAB"/>
    <w:rsid w:val="004D00C7"/>
    <w:rsid w:val="004D01B8"/>
    <w:rsid w:val="004D01CA"/>
    <w:rsid w:val="004D027C"/>
    <w:rsid w:val="004D0281"/>
    <w:rsid w:val="004D03E1"/>
    <w:rsid w:val="004D0402"/>
    <w:rsid w:val="004D048D"/>
    <w:rsid w:val="004D049E"/>
    <w:rsid w:val="004D04E1"/>
    <w:rsid w:val="004D053F"/>
    <w:rsid w:val="004D05A8"/>
    <w:rsid w:val="004D05E2"/>
    <w:rsid w:val="004D0647"/>
    <w:rsid w:val="004D0664"/>
    <w:rsid w:val="004D0715"/>
    <w:rsid w:val="004D07A2"/>
    <w:rsid w:val="004D07B6"/>
    <w:rsid w:val="004D07FF"/>
    <w:rsid w:val="004D0818"/>
    <w:rsid w:val="004D086C"/>
    <w:rsid w:val="004D0870"/>
    <w:rsid w:val="004D0A81"/>
    <w:rsid w:val="004D0AA9"/>
    <w:rsid w:val="004D0AE8"/>
    <w:rsid w:val="004D0C79"/>
    <w:rsid w:val="004D0CB0"/>
    <w:rsid w:val="004D0CCA"/>
    <w:rsid w:val="004D0DDB"/>
    <w:rsid w:val="004D0DF4"/>
    <w:rsid w:val="004D0E54"/>
    <w:rsid w:val="004D0FCF"/>
    <w:rsid w:val="004D0FFE"/>
    <w:rsid w:val="004D1024"/>
    <w:rsid w:val="004D10F6"/>
    <w:rsid w:val="004D11EB"/>
    <w:rsid w:val="004D1302"/>
    <w:rsid w:val="004D131D"/>
    <w:rsid w:val="004D13A1"/>
    <w:rsid w:val="004D1419"/>
    <w:rsid w:val="004D145F"/>
    <w:rsid w:val="004D148E"/>
    <w:rsid w:val="004D1539"/>
    <w:rsid w:val="004D15C8"/>
    <w:rsid w:val="004D1696"/>
    <w:rsid w:val="004D178B"/>
    <w:rsid w:val="004D19AA"/>
    <w:rsid w:val="004D1A95"/>
    <w:rsid w:val="004D1AC7"/>
    <w:rsid w:val="004D1BBA"/>
    <w:rsid w:val="004D1C90"/>
    <w:rsid w:val="004D1CFE"/>
    <w:rsid w:val="004D1D99"/>
    <w:rsid w:val="004D1E4B"/>
    <w:rsid w:val="004D1ECF"/>
    <w:rsid w:val="004D1F1B"/>
    <w:rsid w:val="004D1F6A"/>
    <w:rsid w:val="004D1FFE"/>
    <w:rsid w:val="004D2065"/>
    <w:rsid w:val="004D20BA"/>
    <w:rsid w:val="004D2264"/>
    <w:rsid w:val="004D23B8"/>
    <w:rsid w:val="004D2414"/>
    <w:rsid w:val="004D2587"/>
    <w:rsid w:val="004D2604"/>
    <w:rsid w:val="004D26FA"/>
    <w:rsid w:val="004D283A"/>
    <w:rsid w:val="004D283E"/>
    <w:rsid w:val="004D2853"/>
    <w:rsid w:val="004D29E9"/>
    <w:rsid w:val="004D2A34"/>
    <w:rsid w:val="004D2A4B"/>
    <w:rsid w:val="004D2AE8"/>
    <w:rsid w:val="004D2B3B"/>
    <w:rsid w:val="004D2B71"/>
    <w:rsid w:val="004D2BFA"/>
    <w:rsid w:val="004D2C89"/>
    <w:rsid w:val="004D2CF8"/>
    <w:rsid w:val="004D2D2D"/>
    <w:rsid w:val="004D2D6B"/>
    <w:rsid w:val="004D2F62"/>
    <w:rsid w:val="004D2F6B"/>
    <w:rsid w:val="004D2FC0"/>
    <w:rsid w:val="004D2FF0"/>
    <w:rsid w:val="004D314A"/>
    <w:rsid w:val="004D3364"/>
    <w:rsid w:val="004D3365"/>
    <w:rsid w:val="004D352C"/>
    <w:rsid w:val="004D35B5"/>
    <w:rsid w:val="004D35F6"/>
    <w:rsid w:val="004D35FF"/>
    <w:rsid w:val="004D3636"/>
    <w:rsid w:val="004D3687"/>
    <w:rsid w:val="004D374D"/>
    <w:rsid w:val="004D3788"/>
    <w:rsid w:val="004D390F"/>
    <w:rsid w:val="004D39D0"/>
    <w:rsid w:val="004D39F7"/>
    <w:rsid w:val="004D3AA9"/>
    <w:rsid w:val="004D3B62"/>
    <w:rsid w:val="004D3CB8"/>
    <w:rsid w:val="004D3D7F"/>
    <w:rsid w:val="004D3FC2"/>
    <w:rsid w:val="004D4130"/>
    <w:rsid w:val="004D420A"/>
    <w:rsid w:val="004D4235"/>
    <w:rsid w:val="004D4278"/>
    <w:rsid w:val="004D44FC"/>
    <w:rsid w:val="004D4579"/>
    <w:rsid w:val="004D45AD"/>
    <w:rsid w:val="004D45BB"/>
    <w:rsid w:val="004D469B"/>
    <w:rsid w:val="004D46B8"/>
    <w:rsid w:val="004D4777"/>
    <w:rsid w:val="004D47C7"/>
    <w:rsid w:val="004D482A"/>
    <w:rsid w:val="004D4870"/>
    <w:rsid w:val="004D4881"/>
    <w:rsid w:val="004D4928"/>
    <w:rsid w:val="004D496F"/>
    <w:rsid w:val="004D4BD1"/>
    <w:rsid w:val="004D4C39"/>
    <w:rsid w:val="004D4D51"/>
    <w:rsid w:val="004D4DFD"/>
    <w:rsid w:val="004D4E30"/>
    <w:rsid w:val="004D4EEF"/>
    <w:rsid w:val="004D4F5E"/>
    <w:rsid w:val="004D4FA2"/>
    <w:rsid w:val="004D5029"/>
    <w:rsid w:val="004D5033"/>
    <w:rsid w:val="004D5056"/>
    <w:rsid w:val="004D505A"/>
    <w:rsid w:val="004D50DD"/>
    <w:rsid w:val="004D526B"/>
    <w:rsid w:val="004D5327"/>
    <w:rsid w:val="004D53DC"/>
    <w:rsid w:val="004D54C5"/>
    <w:rsid w:val="004D54F4"/>
    <w:rsid w:val="004D55AD"/>
    <w:rsid w:val="004D55C1"/>
    <w:rsid w:val="004D5712"/>
    <w:rsid w:val="004D5739"/>
    <w:rsid w:val="004D57DC"/>
    <w:rsid w:val="004D5809"/>
    <w:rsid w:val="004D5937"/>
    <w:rsid w:val="004D5A3E"/>
    <w:rsid w:val="004D5AC6"/>
    <w:rsid w:val="004D5BB8"/>
    <w:rsid w:val="004D5BED"/>
    <w:rsid w:val="004D5CE3"/>
    <w:rsid w:val="004D5D08"/>
    <w:rsid w:val="004D5E2E"/>
    <w:rsid w:val="004D5EB3"/>
    <w:rsid w:val="004D5F4F"/>
    <w:rsid w:val="004D5F8D"/>
    <w:rsid w:val="004D5FC3"/>
    <w:rsid w:val="004D6068"/>
    <w:rsid w:val="004D608F"/>
    <w:rsid w:val="004D6194"/>
    <w:rsid w:val="004D61FE"/>
    <w:rsid w:val="004D627A"/>
    <w:rsid w:val="004D62D7"/>
    <w:rsid w:val="004D62F9"/>
    <w:rsid w:val="004D6303"/>
    <w:rsid w:val="004D6389"/>
    <w:rsid w:val="004D63B7"/>
    <w:rsid w:val="004D6529"/>
    <w:rsid w:val="004D6587"/>
    <w:rsid w:val="004D659A"/>
    <w:rsid w:val="004D6671"/>
    <w:rsid w:val="004D66BD"/>
    <w:rsid w:val="004D66EF"/>
    <w:rsid w:val="004D6778"/>
    <w:rsid w:val="004D67E0"/>
    <w:rsid w:val="004D6803"/>
    <w:rsid w:val="004D693E"/>
    <w:rsid w:val="004D696E"/>
    <w:rsid w:val="004D6A8A"/>
    <w:rsid w:val="004D6AC1"/>
    <w:rsid w:val="004D6BB3"/>
    <w:rsid w:val="004D6BF6"/>
    <w:rsid w:val="004D6C7B"/>
    <w:rsid w:val="004D6C9E"/>
    <w:rsid w:val="004D6CE0"/>
    <w:rsid w:val="004D6CEC"/>
    <w:rsid w:val="004D6D7F"/>
    <w:rsid w:val="004D6D83"/>
    <w:rsid w:val="004D6DE3"/>
    <w:rsid w:val="004D6E2A"/>
    <w:rsid w:val="004D6E93"/>
    <w:rsid w:val="004D6EB8"/>
    <w:rsid w:val="004D6EC7"/>
    <w:rsid w:val="004D6FEE"/>
    <w:rsid w:val="004D70D5"/>
    <w:rsid w:val="004D70ED"/>
    <w:rsid w:val="004D7122"/>
    <w:rsid w:val="004D7143"/>
    <w:rsid w:val="004D7181"/>
    <w:rsid w:val="004D71A8"/>
    <w:rsid w:val="004D7203"/>
    <w:rsid w:val="004D720C"/>
    <w:rsid w:val="004D7296"/>
    <w:rsid w:val="004D7305"/>
    <w:rsid w:val="004D750A"/>
    <w:rsid w:val="004D768E"/>
    <w:rsid w:val="004D7962"/>
    <w:rsid w:val="004D7AF6"/>
    <w:rsid w:val="004D7BC2"/>
    <w:rsid w:val="004D7D36"/>
    <w:rsid w:val="004D7D6A"/>
    <w:rsid w:val="004D7E56"/>
    <w:rsid w:val="004D7E9C"/>
    <w:rsid w:val="004D7EF4"/>
    <w:rsid w:val="004D7FC9"/>
    <w:rsid w:val="004D7FF6"/>
    <w:rsid w:val="004DB25B"/>
    <w:rsid w:val="004E0003"/>
    <w:rsid w:val="004E0046"/>
    <w:rsid w:val="004E004D"/>
    <w:rsid w:val="004E0080"/>
    <w:rsid w:val="004E0089"/>
    <w:rsid w:val="004E0146"/>
    <w:rsid w:val="004E0239"/>
    <w:rsid w:val="004E029D"/>
    <w:rsid w:val="004E02AD"/>
    <w:rsid w:val="004E0392"/>
    <w:rsid w:val="004E03F1"/>
    <w:rsid w:val="004E050E"/>
    <w:rsid w:val="004E056A"/>
    <w:rsid w:val="004E05EB"/>
    <w:rsid w:val="004E0688"/>
    <w:rsid w:val="004E06B2"/>
    <w:rsid w:val="004E081D"/>
    <w:rsid w:val="004E0878"/>
    <w:rsid w:val="004E08AC"/>
    <w:rsid w:val="004E08F5"/>
    <w:rsid w:val="004E0A34"/>
    <w:rsid w:val="004E0AB4"/>
    <w:rsid w:val="004E0C54"/>
    <w:rsid w:val="004E0CEC"/>
    <w:rsid w:val="004E0CF6"/>
    <w:rsid w:val="004E0EE0"/>
    <w:rsid w:val="004E0F3B"/>
    <w:rsid w:val="004E0F62"/>
    <w:rsid w:val="004E0FD3"/>
    <w:rsid w:val="004E1040"/>
    <w:rsid w:val="004E107F"/>
    <w:rsid w:val="004E115D"/>
    <w:rsid w:val="004E12B1"/>
    <w:rsid w:val="004E142C"/>
    <w:rsid w:val="004E150B"/>
    <w:rsid w:val="004E1566"/>
    <w:rsid w:val="004E1764"/>
    <w:rsid w:val="004E1828"/>
    <w:rsid w:val="004E1890"/>
    <w:rsid w:val="004E19D0"/>
    <w:rsid w:val="004E1A3B"/>
    <w:rsid w:val="004E1A83"/>
    <w:rsid w:val="004E1A8C"/>
    <w:rsid w:val="004E1CB7"/>
    <w:rsid w:val="004E1ED7"/>
    <w:rsid w:val="004E1EF1"/>
    <w:rsid w:val="004E1F75"/>
    <w:rsid w:val="004E20C2"/>
    <w:rsid w:val="004E20D7"/>
    <w:rsid w:val="004E2101"/>
    <w:rsid w:val="004E219F"/>
    <w:rsid w:val="004E21FC"/>
    <w:rsid w:val="004E2391"/>
    <w:rsid w:val="004E23A8"/>
    <w:rsid w:val="004E25B0"/>
    <w:rsid w:val="004E25B6"/>
    <w:rsid w:val="004E265A"/>
    <w:rsid w:val="004E2A2E"/>
    <w:rsid w:val="004E2A6D"/>
    <w:rsid w:val="004E2A7B"/>
    <w:rsid w:val="004E2AE1"/>
    <w:rsid w:val="004E2B01"/>
    <w:rsid w:val="004E2B73"/>
    <w:rsid w:val="004E2D7E"/>
    <w:rsid w:val="004E2DE6"/>
    <w:rsid w:val="004E2E2C"/>
    <w:rsid w:val="004E2E4A"/>
    <w:rsid w:val="004E301F"/>
    <w:rsid w:val="004E30DB"/>
    <w:rsid w:val="004E32DD"/>
    <w:rsid w:val="004E3302"/>
    <w:rsid w:val="004E332F"/>
    <w:rsid w:val="004E3340"/>
    <w:rsid w:val="004E3445"/>
    <w:rsid w:val="004E3498"/>
    <w:rsid w:val="004E3563"/>
    <w:rsid w:val="004E36EE"/>
    <w:rsid w:val="004E390A"/>
    <w:rsid w:val="004E3938"/>
    <w:rsid w:val="004E3A01"/>
    <w:rsid w:val="004E3A2B"/>
    <w:rsid w:val="004E3BDE"/>
    <w:rsid w:val="004E3BF1"/>
    <w:rsid w:val="004E3C75"/>
    <w:rsid w:val="004E3CBE"/>
    <w:rsid w:val="004E3D8F"/>
    <w:rsid w:val="004E3DF2"/>
    <w:rsid w:val="004E3EBB"/>
    <w:rsid w:val="004E3EED"/>
    <w:rsid w:val="004E401E"/>
    <w:rsid w:val="004E41DA"/>
    <w:rsid w:val="004E41E7"/>
    <w:rsid w:val="004E4287"/>
    <w:rsid w:val="004E43DB"/>
    <w:rsid w:val="004E43EE"/>
    <w:rsid w:val="004E4457"/>
    <w:rsid w:val="004E45C7"/>
    <w:rsid w:val="004E45E7"/>
    <w:rsid w:val="004E464F"/>
    <w:rsid w:val="004E4669"/>
    <w:rsid w:val="004E46A0"/>
    <w:rsid w:val="004E475A"/>
    <w:rsid w:val="004E4817"/>
    <w:rsid w:val="004E48C0"/>
    <w:rsid w:val="004E4948"/>
    <w:rsid w:val="004E4AAB"/>
    <w:rsid w:val="004E4B5D"/>
    <w:rsid w:val="004E4C5B"/>
    <w:rsid w:val="004E4E21"/>
    <w:rsid w:val="004E4FDE"/>
    <w:rsid w:val="004E507D"/>
    <w:rsid w:val="004E50EA"/>
    <w:rsid w:val="004E50FD"/>
    <w:rsid w:val="004E51B7"/>
    <w:rsid w:val="004E537E"/>
    <w:rsid w:val="004E53D1"/>
    <w:rsid w:val="004E53D8"/>
    <w:rsid w:val="004E547A"/>
    <w:rsid w:val="004E559C"/>
    <w:rsid w:val="004E55B1"/>
    <w:rsid w:val="004E55BF"/>
    <w:rsid w:val="004E55F2"/>
    <w:rsid w:val="004E55FB"/>
    <w:rsid w:val="004E563E"/>
    <w:rsid w:val="004E564F"/>
    <w:rsid w:val="004E56BC"/>
    <w:rsid w:val="004E59A7"/>
    <w:rsid w:val="004E59CE"/>
    <w:rsid w:val="004E5A19"/>
    <w:rsid w:val="004E5B22"/>
    <w:rsid w:val="004E5B43"/>
    <w:rsid w:val="004E5D3A"/>
    <w:rsid w:val="004E5D4E"/>
    <w:rsid w:val="004E5EA9"/>
    <w:rsid w:val="004E5EB7"/>
    <w:rsid w:val="004E5ECB"/>
    <w:rsid w:val="004E5F23"/>
    <w:rsid w:val="004E5F41"/>
    <w:rsid w:val="004E5F5B"/>
    <w:rsid w:val="004E5FDD"/>
    <w:rsid w:val="004E6089"/>
    <w:rsid w:val="004E6258"/>
    <w:rsid w:val="004E62C8"/>
    <w:rsid w:val="004E64C3"/>
    <w:rsid w:val="004E655F"/>
    <w:rsid w:val="004E65C4"/>
    <w:rsid w:val="004E65D8"/>
    <w:rsid w:val="004E6740"/>
    <w:rsid w:val="004E6744"/>
    <w:rsid w:val="004E6781"/>
    <w:rsid w:val="004E6A47"/>
    <w:rsid w:val="004E6BEE"/>
    <w:rsid w:val="004E6FCC"/>
    <w:rsid w:val="004E70C7"/>
    <w:rsid w:val="004E7185"/>
    <w:rsid w:val="004E71B3"/>
    <w:rsid w:val="004E72A3"/>
    <w:rsid w:val="004E7399"/>
    <w:rsid w:val="004E741F"/>
    <w:rsid w:val="004E748F"/>
    <w:rsid w:val="004E74A9"/>
    <w:rsid w:val="004E7562"/>
    <w:rsid w:val="004E7667"/>
    <w:rsid w:val="004E778D"/>
    <w:rsid w:val="004E782D"/>
    <w:rsid w:val="004E7841"/>
    <w:rsid w:val="004E7940"/>
    <w:rsid w:val="004E7960"/>
    <w:rsid w:val="004E7979"/>
    <w:rsid w:val="004E7A0D"/>
    <w:rsid w:val="004E7AD3"/>
    <w:rsid w:val="004E7BCB"/>
    <w:rsid w:val="004E7C06"/>
    <w:rsid w:val="004E7CF6"/>
    <w:rsid w:val="004E7DE9"/>
    <w:rsid w:val="004E7F7A"/>
    <w:rsid w:val="004E7F94"/>
    <w:rsid w:val="004E7FA9"/>
    <w:rsid w:val="004E8324"/>
    <w:rsid w:val="004F0191"/>
    <w:rsid w:val="004F03CF"/>
    <w:rsid w:val="004F04CF"/>
    <w:rsid w:val="004F04FE"/>
    <w:rsid w:val="004F058D"/>
    <w:rsid w:val="004F06C6"/>
    <w:rsid w:val="004F07E3"/>
    <w:rsid w:val="004F0806"/>
    <w:rsid w:val="004F08C5"/>
    <w:rsid w:val="004F0920"/>
    <w:rsid w:val="004F0928"/>
    <w:rsid w:val="004F0969"/>
    <w:rsid w:val="004F09A0"/>
    <w:rsid w:val="004F09C4"/>
    <w:rsid w:val="004F0A39"/>
    <w:rsid w:val="004F0CDE"/>
    <w:rsid w:val="004F0D9E"/>
    <w:rsid w:val="004F0E42"/>
    <w:rsid w:val="004F0EC0"/>
    <w:rsid w:val="004F0EE7"/>
    <w:rsid w:val="004F0F29"/>
    <w:rsid w:val="004F115D"/>
    <w:rsid w:val="004F1163"/>
    <w:rsid w:val="004F1324"/>
    <w:rsid w:val="004F13D7"/>
    <w:rsid w:val="004F13DB"/>
    <w:rsid w:val="004F1403"/>
    <w:rsid w:val="004F1407"/>
    <w:rsid w:val="004F14BA"/>
    <w:rsid w:val="004F14E3"/>
    <w:rsid w:val="004F16CA"/>
    <w:rsid w:val="004F16FD"/>
    <w:rsid w:val="004F1838"/>
    <w:rsid w:val="004F19A4"/>
    <w:rsid w:val="004F19CE"/>
    <w:rsid w:val="004F19E2"/>
    <w:rsid w:val="004F1B8E"/>
    <w:rsid w:val="004F1B96"/>
    <w:rsid w:val="004F1C9F"/>
    <w:rsid w:val="004F1CC3"/>
    <w:rsid w:val="004F1D47"/>
    <w:rsid w:val="004F1E75"/>
    <w:rsid w:val="004F1F31"/>
    <w:rsid w:val="004F20A2"/>
    <w:rsid w:val="004F2101"/>
    <w:rsid w:val="004F2155"/>
    <w:rsid w:val="004F2204"/>
    <w:rsid w:val="004F2241"/>
    <w:rsid w:val="004F22CA"/>
    <w:rsid w:val="004F22DF"/>
    <w:rsid w:val="004F2365"/>
    <w:rsid w:val="004F23CB"/>
    <w:rsid w:val="004F25C1"/>
    <w:rsid w:val="004F25FD"/>
    <w:rsid w:val="004F2632"/>
    <w:rsid w:val="004F269C"/>
    <w:rsid w:val="004F26FB"/>
    <w:rsid w:val="004F2835"/>
    <w:rsid w:val="004F28FD"/>
    <w:rsid w:val="004F294A"/>
    <w:rsid w:val="004F29E2"/>
    <w:rsid w:val="004F29F2"/>
    <w:rsid w:val="004F2C09"/>
    <w:rsid w:val="004F2C42"/>
    <w:rsid w:val="004F2C65"/>
    <w:rsid w:val="004F2C9A"/>
    <w:rsid w:val="004F2CFC"/>
    <w:rsid w:val="004F2E0B"/>
    <w:rsid w:val="004F2FEF"/>
    <w:rsid w:val="004F303C"/>
    <w:rsid w:val="004F3096"/>
    <w:rsid w:val="004F3140"/>
    <w:rsid w:val="004F31B8"/>
    <w:rsid w:val="004F31FC"/>
    <w:rsid w:val="004F33EC"/>
    <w:rsid w:val="004F34DD"/>
    <w:rsid w:val="004F35A4"/>
    <w:rsid w:val="004F35E6"/>
    <w:rsid w:val="004F366B"/>
    <w:rsid w:val="004F36C5"/>
    <w:rsid w:val="004F3871"/>
    <w:rsid w:val="004F38E8"/>
    <w:rsid w:val="004F3960"/>
    <w:rsid w:val="004F397F"/>
    <w:rsid w:val="004F3A60"/>
    <w:rsid w:val="004F3A9B"/>
    <w:rsid w:val="004F3B92"/>
    <w:rsid w:val="004F3C59"/>
    <w:rsid w:val="004F3C96"/>
    <w:rsid w:val="004F3DBB"/>
    <w:rsid w:val="004F3E4B"/>
    <w:rsid w:val="004F406E"/>
    <w:rsid w:val="004F4117"/>
    <w:rsid w:val="004F4203"/>
    <w:rsid w:val="004F4204"/>
    <w:rsid w:val="004F432C"/>
    <w:rsid w:val="004F4341"/>
    <w:rsid w:val="004F4477"/>
    <w:rsid w:val="004F447F"/>
    <w:rsid w:val="004F449B"/>
    <w:rsid w:val="004F452F"/>
    <w:rsid w:val="004F4785"/>
    <w:rsid w:val="004F47B2"/>
    <w:rsid w:val="004F47D0"/>
    <w:rsid w:val="004F4803"/>
    <w:rsid w:val="004F4870"/>
    <w:rsid w:val="004F48A6"/>
    <w:rsid w:val="004F48B4"/>
    <w:rsid w:val="004F4935"/>
    <w:rsid w:val="004F4936"/>
    <w:rsid w:val="004F49A3"/>
    <w:rsid w:val="004F49D1"/>
    <w:rsid w:val="004F4A48"/>
    <w:rsid w:val="004F4A6A"/>
    <w:rsid w:val="004F4ADA"/>
    <w:rsid w:val="004F4C26"/>
    <w:rsid w:val="004F4C33"/>
    <w:rsid w:val="004F4CA5"/>
    <w:rsid w:val="004F4ED6"/>
    <w:rsid w:val="004F4F97"/>
    <w:rsid w:val="004F5037"/>
    <w:rsid w:val="004F5047"/>
    <w:rsid w:val="004F50C0"/>
    <w:rsid w:val="004F50CE"/>
    <w:rsid w:val="004F518F"/>
    <w:rsid w:val="004F51DE"/>
    <w:rsid w:val="004F520B"/>
    <w:rsid w:val="004F5307"/>
    <w:rsid w:val="004F54BC"/>
    <w:rsid w:val="004F54F3"/>
    <w:rsid w:val="004F54FE"/>
    <w:rsid w:val="004F5631"/>
    <w:rsid w:val="004F56A5"/>
    <w:rsid w:val="004F5713"/>
    <w:rsid w:val="004F573D"/>
    <w:rsid w:val="004F579D"/>
    <w:rsid w:val="004F57A6"/>
    <w:rsid w:val="004F5804"/>
    <w:rsid w:val="004F58F7"/>
    <w:rsid w:val="004F5969"/>
    <w:rsid w:val="004F59D6"/>
    <w:rsid w:val="004F59EB"/>
    <w:rsid w:val="004F5AA2"/>
    <w:rsid w:val="004F5BC4"/>
    <w:rsid w:val="004F5C0B"/>
    <w:rsid w:val="004F5C9E"/>
    <w:rsid w:val="004F5CC9"/>
    <w:rsid w:val="004F5CCC"/>
    <w:rsid w:val="004F5D15"/>
    <w:rsid w:val="004F5D6E"/>
    <w:rsid w:val="004F5DAB"/>
    <w:rsid w:val="004F5DC8"/>
    <w:rsid w:val="004F5DE4"/>
    <w:rsid w:val="004F5DF4"/>
    <w:rsid w:val="004F5E3C"/>
    <w:rsid w:val="004F5EEE"/>
    <w:rsid w:val="004F5F57"/>
    <w:rsid w:val="004F5FC7"/>
    <w:rsid w:val="004F6002"/>
    <w:rsid w:val="004F61AA"/>
    <w:rsid w:val="004F61CE"/>
    <w:rsid w:val="004F62F2"/>
    <w:rsid w:val="004F633F"/>
    <w:rsid w:val="004F637F"/>
    <w:rsid w:val="004F6444"/>
    <w:rsid w:val="004F6629"/>
    <w:rsid w:val="004F66C3"/>
    <w:rsid w:val="004F6709"/>
    <w:rsid w:val="004F67D0"/>
    <w:rsid w:val="004F6826"/>
    <w:rsid w:val="004F692A"/>
    <w:rsid w:val="004F6AB2"/>
    <w:rsid w:val="004F6B86"/>
    <w:rsid w:val="004F6BA5"/>
    <w:rsid w:val="004F6C20"/>
    <w:rsid w:val="004F6C8D"/>
    <w:rsid w:val="004F6DCA"/>
    <w:rsid w:val="004F6F88"/>
    <w:rsid w:val="004F7039"/>
    <w:rsid w:val="004F7170"/>
    <w:rsid w:val="004F71BE"/>
    <w:rsid w:val="004F7215"/>
    <w:rsid w:val="004F7355"/>
    <w:rsid w:val="004F73FD"/>
    <w:rsid w:val="004F7437"/>
    <w:rsid w:val="004F74C6"/>
    <w:rsid w:val="004F753F"/>
    <w:rsid w:val="004F7563"/>
    <w:rsid w:val="004F757C"/>
    <w:rsid w:val="004F75E0"/>
    <w:rsid w:val="004F76E6"/>
    <w:rsid w:val="004F77E0"/>
    <w:rsid w:val="004F7809"/>
    <w:rsid w:val="004F7816"/>
    <w:rsid w:val="004F7849"/>
    <w:rsid w:val="004F7955"/>
    <w:rsid w:val="004F799E"/>
    <w:rsid w:val="004F7A79"/>
    <w:rsid w:val="004F7AA7"/>
    <w:rsid w:val="004F7ACD"/>
    <w:rsid w:val="004F7B50"/>
    <w:rsid w:val="004F7BEE"/>
    <w:rsid w:val="004F7BF5"/>
    <w:rsid w:val="004F7C2C"/>
    <w:rsid w:val="004F7C69"/>
    <w:rsid w:val="004F7D39"/>
    <w:rsid w:val="004F7D92"/>
    <w:rsid w:val="004F7E12"/>
    <w:rsid w:val="004F7EA3"/>
    <w:rsid w:val="00500003"/>
    <w:rsid w:val="00500069"/>
    <w:rsid w:val="0050010E"/>
    <w:rsid w:val="00500222"/>
    <w:rsid w:val="0050041B"/>
    <w:rsid w:val="00500568"/>
    <w:rsid w:val="0050059E"/>
    <w:rsid w:val="0050069C"/>
    <w:rsid w:val="00500767"/>
    <w:rsid w:val="005008C9"/>
    <w:rsid w:val="005008F1"/>
    <w:rsid w:val="00500958"/>
    <w:rsid w:val="00500B99"/>
    <w:rsid w:val="00500BDC"/>
    <w:rsid w:val="00500C32"/>
    <w:rsid w:val="00500C4B"/>
    <w:rsid w:val="00500C8F"/>
    <w:rsid w:val="00500CD1"/>
    <w:rsid w:val="00500ED9"/>
    <w:rsid w:val="00500F46"/>
    <w:rsid w:val="00501079"/>
    <w:rsid w:val="00501171"/>
    <w:rsid w:val="00501236"/>
    <w:rsid w:val="00501351"/>
    <w:rsid w:val="005014A4"/>
    <w:rsid w:val="0050152A"/>
    <w:rsid w:val="0050166D"/>
    <w:rsid w:val="00501671"/>
    <w:rsid w:val="005017B2"/>
    <w:rsid w:val="0050185A"/>
    <w:rsid w:val="00501880"/>
    <w:rsid w:val="00501935"/>
    <w:rsid w:val="00501936"/>
    <w:rsid w:val="005019B4"/>
    <w:rsid w:val="00501A17"/>
    <w:rsid w:val="00501B55"/>
    <w:rsid w:val="00501B97"/>
    <w:rsid w:val="00501C7E"/>
    <w:rsid w:val="00501D28"/>
    <w:rsid w:val="00501D86"/>
    <w:rsid w:val="00501DA2"/>
    <w:rsid w:val="00501F6C"/>
    <w:rsid w:val="0050211E"/>
    <w:rsid w:val="00502207"/>
    <w:rsid w:val="0050233E"/>
    <w:rsid w:val="00502493"/>
    <w:rsid w:val="0050249A"/>
    <w:rsid w:val="005024B5"/>
    <w:rsid w:val="005024CA"/>
    <w:rsid w:val="005025D5"/>
    <w:rsid w:val="005025F6"/>
    <w:rsid w:val="0050267E"/>
    <w:rsid w:val="005027DD"/>
    <w:rsid w:val="00502806"/>
    <w:rsid w:val="00502851"/>
    <w:rsid w:val="0050286D"/>
    <w:rsid w:val="00502893"/>
    <w:rsid w:val="0050290E"/>
    <w:rsid w:val="00502951"/>
    <w:rsid w:val="0050298A"/>
    <w:rsid w:val="005029B5"/>
    <w:rsid w:val="005029BD"/>
    <w:rsid w:val="00502AF1"/>
    <w:rsid w:val="00502B89"/>
    <w:rsid w:val="00502BE3"/>
    <w:rsid w:val="00502C19"/>
    <w:rsid w:val="00502C27"/>
    <w:rsid w:val="00502CB5"/>
    <w:rsid w:val="00502CD6"/>
    <w:rsid w:val="00502D22"/>
    <w:rsid w:val="00502DA3"/>
    <w:rsid w:val="00502DB2"/>
    <w:rsid w:val="00502E24"/>
    <w:rsid w:val="00502EFA"/>
    <w:rsid w:val="00502F1C"/>
    <w:rsid w:val="00502F8A"/>
    <w:rsid w:val="0050301E"/>
    <w:rsid w:val="00503064"/>
    <w:rsid w:val="005030DF"/>
    <w:rsid w:val="0050314F"/>
    <w:rsid w:val="0050333D"/>
    <w:rsid w:val="00503351"/>
    <w:rsid w:val="0050341E"/>
    <w:rsid w:val="005034C1"/>
    <w:rsid w:val="005034FB"/>
    <w:rsid w:val="0050350D"/>
    <w:rsid w:val="00503569"/>
    <w:rsid w:val="005035B9"/>
    <w:rsid w:val="005035DB"/>
    <w:rsid w:val="005035EC"/>
    <w:rsid w:val="00503610"/>
    <w:rsid w:val="0050364A"/>
    <w:rsid w:val="005037A8"/>
    <w:rsid w:val="00503813"/>
    <w:rsid w:val="00503931"/>
    <w:rsid w:val="00503AC6"/>
    <w:rsid w:val="00503AD5"/>
    <w:rsid w:val="00503BA3"/>
    <w:rsid w:val="00503D3E"/>
    <w:rsid w:val="00503EEB"/>
    <w:rsid w:val="00503FA2"/>
    <w:rsid w:val="00503FC6"/>
    <w:rsid w:val="00504027"/>
    <w:rsid w:val="00504051"/>
    <w:rsid w:val="00504192"/>
    <w:rsid w:val="00504254"/>
    <w:rsid w:val="005042B6"/>
    <w:rsid w:val="00504383"/>
    <w:rsid w:val="005043B7"/>
    <w:rsid w:val="0050448A"/>
    <w:rsid w:val="005044F6"/>
    <w:rsid w:val="00504520"/>
    <w:rsid w:val="0050457C"/>
    <w:rsid w:val="00504687"/>
    <w:rsid w:val="00504727"/>
    <w:rsid w:val="00504821"/>
    <w:rsid w:val="0050492B"/>
    <w:rsid w:val="00504A7C"/>
    <w:rsid w:val="00504B3A"/>
    <w:rsid w:val="00504B6C"/>
    <w:rsid w:val="00504BAB"/>
    <w:rsid w:val="00504D27"/>
    <w:rsid w:val="00504D6E"/>
    <w:rsid w:val="00504D8D"/>
    <w:rsid w:val="00504DCD"/>
    <w:rsid w:val="00504DCF"/>
    <w:rsid w:val="00504DFB"/>
    <w:rsid w:val="00504F67"/>
    <w:rsid w:val="0050507E"/>
    <w:rsid w:val="005050EF"/>
    <w:rsid w:val="005051DB"/>
    <w:rsid w:val="00505264"/>
    <w:rsid w:val="0050532F"/>
    <w:rsid w:val="00505382"/>
    <w:rsid w:val="005054D3"/>
    <w:rsid w:val="005056C0"/>
    <w:rsid w:val="005057DA"/>
    <w:rsid w:val="005057FE"/>
    <w:rsid w:val="00505966"/>
    <w:rsid w:val="005059A7"/>
    <w:rsid w:val="00505A09"/>
    <w:rsid w:val="00505A41"/>
    <w:rsid w:val="00505AA9"/>
    <w:rsid w:val="00505AC9"/>
    <w:rsid w:val="00505B47"/>
    <w:rsid w:val="00505CB7"/>
    <w:rsid w:val="00505CFE"/>
    <w:rsid w:val="00505D26"/>
    <w:rsid w:val="00505DCD"/>
    <w:rsid w:val="00505DEA"/>
    <w:rsid w:val="00505E29"/>
    <w:rsid w:val="00505E41"/>
    <w:rsid w:val="00505E46"/>
    <w:rsid w:val="00505E4B"/>
    <w:rsid w:val="00505ED7"/>
    <w:rsid w:val="00505F5B"/>
    <w:rsid w:val="00506012"/>
    <w:rsid w:val="00506045"/>
    <w:rsid w:val="00506119"/>
    <w:rsid w:val="0050616D"/>
    <w:rsid w:val="005063E1"/>
    <w:rsid w:val="00506476"/>
    <w:rsid w:val="0050649D"/>
    <w:rsid w:val="005064A8"/>
    <w:rsid w:val="00506543"/>
    <w:rsid w:val="005065E2"/>
    <w:rsid w:val="00506644"/>
    <w:rsid w:val="005066D7"/>
    <w:rsid w:val="005066DB"/>
    <w:rsid w:val="0050676A"/>
    <w:rsid w:val="0050676F"/>
    <w:rsid w:val="005067BC"/>
    <w:rsid w:val="005068D6"/>
    <w:rsid w:val="005068E5"/>
    <w:rsid w:val="00506960"/>
    <w:rsid w:val="00506CD6"/>
    <w:rsid w:val="00506D14"/>
    <w:rsid w:val="00506F7C"/>
    <w:rsid w:val="00506FC2"/>
    <w:rsid w:val="00506FDB"/>
    <w:rsid w:val="00506FE3"/>
    <w:rsid w:val="00507096"/>
    <w:rsid w:val="005070DA"/>
    <w:rsid w:val="00507173"/>
    <w:rsid w:val="0050722A"/>
    <w:rsid w:val="00507393"/>
    <w:rsid w:val="0050739A"/>
    <w:rsid w:val="0050746C"/>
    <w:rsid w:val="005074ED"/>
    <w:rsid w:val="00507546"/>
    <w:rsid w:val="00507567"/>
    <w:rsid w:val="0050756D"/>
    <w:rsid w:val="00507633"/>
    <w:rsid w:val="00507806"/>
    <w:rsid w:val="00507863"/>
    <w:rsid w:val="005078D4"/>
    <w:rsid w:val="005078E9"/>
    <w:rsid w:val="00507938"/>
    <w:rsid w:val="00507980"/>
    <w:rsid w:val="005079A2"/>
    <w:rsid w:val="00507A08"/>
    <w:rsid w:val="00507ADC"/>
    <w:rsid w:val="00507AF7"/>
    <w:rsid w:val="00507AFC"/>
    <w:rsid w:val="00507B90"/>
    <w:rsid w:val="00507DDD"/>
    <w:rsid w:val="00507ED9"/>
    <w:rsid w:val="00507F3E"/>
    <w:rsid w:val="00507F85"/>
    <w:rsid w:val="00507FC2"/>
    <w:rsid w:val="0050BC7D"/>
    <w:rsid w:val="0050C40B"/>
    <w:rsid w:val="00510315"/>
    <w:rsid w:val="0051033E"/>
    <w:rsid w:val="0051036D"/>
    <w:rsid w:val="005103A3"/>
    <w:rsid w:val="005103E3"/>
    <w:rsid w:val="0051047C"/>
    <w:rsid w:val="005105B3"/>
    <w:rsid w:val="005108C3"/>
    <w:rsid w:val="005108E6"/>
    <w:rsid w:val="00510918"/>
    <w:rsid w:val="005109D5"/>
    <w:rsid w:val="00510A1E"/>
    <w:rsid w:val="00510A33"/>
    <w:rsid w:val="00510ADD"/>
    <w:rsid w:val="00510B8A"/>
    <w:rsid w:val="00510C19"/>
    <w:rsid w:val="00510C5E"/>
    <w:rsid w:val="00510CFE"/>
    <w:rsid w:val="00510D8A"/>
    <w:rsid w:val="00510E39"/>
    <w:rsid w:val="00510F21"/>
    <w:rsid w:val="00510FFC"/>
    <w:rsid w:val="0051109E"/>
    <w:rsid w:val="005111C1"/>
    <w:rsid w:val="00511292"/>
    <w:rsid w:val="005112C7"/>
    <w:rsid w:val="005113C7"/>
    <w:rsid w:val="005113D8"/>
    <w:rsid w:val="00511509"/>
    <w:rsid w:val="0051159D"/>
    <w:rsid w:val="005115BF"/>
    <w:rsid w:val="005115CF"/>
    <w:rsid w:val="0051164E"/>
    <w:rsid w:val="005116F8"/>
    <w:rsid w:val="00511792"/>
    <w:rsid w:val="005117EB"/>
    <w:rsid w:val="005118EA"/>
    <w:rsid w:val="005118F0"/>
    <w:rsid w:val="00511919"/>
    <w:rsid w:val="0051197F"/>
    <w:rsid w:val="005119ED"/>
    <w:rsid w:val="00511A49"/>
    <w:rsid w:val="00511AAF"/>
    <w:rsid w:val="00511AFA"/>
    <w:rsid w:val="00511B82"/>
    <w:rsid w:val="00511B9E"/>
    <w:rsid w:val="00511BC0"/>
    <w:rsid w:val="00511C88"/>
    <w:rsid w:val="00511EBA"/>
    <w:rsid w:val="00511F4C"/>
    <w:rsid w:val="00511FC6"/>
    <w:rsid w:val="00511FF1"/>
    <w:rsid w:val="005121B3"/>
    <w:rsid w:val="00512220"/>
    <w:rsid w:val="0051227E"/>
    <w:rsid w:val="005122A0"/>
    <w:rsid w:val="005122E7"/>
    <w:rsid w:val="00512370"/>
    <w:rsid w:val="00512379"/>
    <w:rsid w:val="005123D0"/>
    <w:rsid w:val="005123F5"/>
    <w:rsid w:val="00512439"/>
    <w:rsid w:val="00512547"/>
    <w:rsid w:val="0051264E"/>
    <w:rsid w:val="0051267D"/>
    <w:rsid w:val="005126AC"/>
    <w:rsid w:val="005126F8"/>
    <w:rsid w:val="005127C2"/>
    <w:rsid w:val="0051297F"/>
    <w:rsid w:val="00512A00"/>
    <w:rsid w:val="00512A99"/>
    <w:rsid w:val="00512AAE"/>
    <w:rsid w:val="00512AEF"/>
    <w:rsid w:val="00512B87"/>
    <w:rsid w:val="00512CAC"/>
    <w:rsid w:val="00512DBA"/>
    <w:rsid w:val="00512E15"/>
    <w:rsid w:val="00512F83"/>
    <w:rsid w:val="00512FDA"/>
    <w:rsid w:val="00513081"/>
    <w:rsid w:val="00513107"/>
    <w:rsid w:val="00513173"/>
    <w:rsid w:val="005131AE"/>
    <w:rsid w:val="005131D5"/>
    <w:rsid w:val="00513264"/>
    <w:rsid w:val="00513271"/>
    <w:rsid w:val="0051333C"/>
    <w:rsid w:val="0051335F"/>
    <w:rsid w:val="00513372"/>
    <w:rsid w:val="005133A2"/>
    <w:rsid w:val="005133FC"/>
    <w:rsid w:val="00513475"/>
    <w:rsid w:val="005134B5"/>
    <w:rsid w:val="005135A2"/>
    <w:rsid w:val="005135A7"/>
    <w:rsid w:val="005135D4"/>
    <w:rsid w:val="005135EA"/>
    <w:rsid w:val="00513617"/>
    <w:rsid w:val="005137B1"/>
    <w:rsid w:val="00513A79"/>
    <w:rsid w:val="00513AB6"/>
    <w:rsid w:val="00513ADB"/>
    <w:rsid w:val="00513B1C"/>
    <w:rsid w:val="00513C1D"/>
    <w:rsid w:val="00513C4B"/>
    <w:rsid w:val="00513C95"/>
    <w:rsid w:val="00513D93"/>
    <w:rsid w:val="00513D99"/>
    <w:rsid w:val="00513E41"/>
    <w:rsid w:val="00513EE2"/>
    <w:rsid w:val="00513F1F"/>
    <w:rsid w:val="00513F58"/>
    <w:rsid w:val="00514009"/>
    <w:rsid w:val="005141AB"/>
    <w:rsid w:val="005141E7"/>
    <w:rsid w:val="0051424A"/>
    <w:rsid w:val="00514270"/>
    <w:rsid w:val="00514304"/>
    <w:rsid w:val="00514346"/>
    <w:rsid w:val="00514417"/>
    <w:rsid w:val="00514535"/>
    <w:rsid w:val="005145C3"/>
    <w:rsid w:val="00514610"/>
    <w:rsid w:val="005146AC"/>
    <w:rsid w:val="005146C8"/>
    <w:rsid w:val="00514719"/>
    <w:rsid w:val="00514784"/>
    <w:rsid w:val="005147AC"/>
    <w:rsid w:val="005148E0"/>
    <w:rsid w:val="0051494D"/>
    <w:rsid w:val="00514B0B"/>
    <w:rsid w:val="00514C9A"/>
    <w:rsid w:val="00514CC7"/>
    <w:rsid w:val="00514CF1"/>
    <w:rsid w:val="00514CFF"/>
    <w:rsid w:val="00514DAD"/>
    <w:rsid w:val="00514DE9"/>
    <w:rsid w:val="00514E52"/>
    <w:rsid w:val="00514F94"/>
    <w:rsid w:val="0051500D"/>
    <w:rsid w:val="00515017"/>
    <w:rsid w:val="00515046"/>
    <w:rsid w:val="00515078"/>
    <w:rsid w:val="005150F5"/>
    <w:rsid w:val="0051516C"/>
    <w:rsid w:val="00515189"/>
    <w:rsid w:val="0051535D"/>
    <w:rsid w:val="005154F1"/>
    <w:rsid w:val="00515528"/>
    <w:rsid w:val="0051556F"/>
    <w:rsid w:val="00515610"/>
    <w:rsid w:val="0051562B"/>
    <w:rsid w:val="00515725"/>
    <w:rsid w:val="00515767"/>
    <w:rsid w:val="00515797"/>
    <w:rsid w:val="00515815"/>
    <w:rsid w:val="00515AA2"/>
    <w:rsid w:val="00515B7B"/>
    <w:rsid w:val="00515C07"/>
    <w:rsid w:val="00515C1F"/>
    <w:rsid w:val="00515C74"/>
    <w:rsid w:val="00515CA0"/>
    <w:rsid w:val="00515D4A"/>
    <w:rsid w:val="00515D8E"/>
    <w:rsid w:val="00515E0C"/>
    <w:rsid w:val="00515E1E"/>
    <w:rsid w:val="00515F52"/>
    <w:rsid w:val="00515FC3"/>
    <w:rsid w:val="00515FE0"/>
    <w:rsid w:val="00516007"/>
    <w:rsid w:val="0051601D"/>
    <w:rsid w:val="005160F2"/>
    <w:rsid w:val="00516322"/>
    <w:rsid w:val="00516406"/>
    <w:rsid w:val="005164B4"/>
    <w:rsid w:val="005164B6"/>
    <w:rsid w:val="00516519"/>
    <w:rsid w:val="005165B7"/>
    <w:rsid w:val="0051663B"/>
    <w:rsid w:val="00516641"/>
    <w:rsid w:val="00516791"/>
    <w:rsid w:val="0051683D"/>
    <w:rsid w:val="0051688D"/>
    <w:rsid w:val="00516908"/>
    <w:rsid w:val="00516C2F"/>
    <w:rsid w:val="00516C30"/>
    <w:rsid w:val="00516CF4"/>
    <w:rsid w:val="00516CFF"/>
    <w:rsid w:val="00516E2D"/>
    <w:rsid w:val="00516F56"/>
    <w:rsid w:val="00516F6B"/>
    <w:rsid w:val="00517231"/>
    <w:rsid w:val="0051737B"/>
    <w:rsid w:val="0051738F"/>
    <w:rsid w:val="00517423"/>
    <w:rsid w:val="00517433"/>
    <w:rsid w:val="005174BC"/>
    <w:rsid w:val="005174FC"/>
    <w:rsid w:val="0051759C"/>
    <w:rsid w:val="005175FA"/>
    <w:rsid w:val="00517716"/>
    <w:rsid w:val="00517720"/>
    <w:rsid w:val="005177BA"/>
    <w:rsid w:val="005177D1"/>
    <w:rsid w:val="005177D8"/>
    <w:rsid w:val="005177E4"/>
    <w:rsid w:val="005178F2"/>
    <w:rsid w:val="005178F6"/>
    <w:rsid w:val="00517948"/>
    <w:rsid w:val="00517987"/>
    <w:rsid w:val="00517A75"/>
    <w:rsid w:val="00517B57"/>
    <w:rsid w:val="00517B9E"/>
    <w:rsid w:val="00517C6F"/>
    <w:rsid w:val="00517D45"/>
    <w:rsid w:val="00517DED"/>
    <w:rsid w:val="00517FA0"/>
    <w:rsid w:val="00517FAC"/>
    <w:rsid w:val="00517FE1"/>
    <w:rsid w:val="0051EAE8"/>
    <w:rsid w:val="0051ED8F"/>
    <w:rsid w:val="0052001E"/>
    <w:rsid w:val="00520155"/>
    <w:rsid w:val="00520167"/>
    <w:rsid w:val="00520287"/>
    <w:rsid w:val="0052040B"/>
    <w:rsid w:val="00520677"/>
    <w:rsid w:val="00520681"/>
    <w:rsid w:val="0052070B"/>
    <w:rsid w:val="00520715"/>
    <w:rsid w:val="0052076C"/>
    <w:rsid w:val="00520888"/>
    <w:rsid w:val="0052093D"/>
    <w:rsid w:val="00520AFF"/>
    <w:rsid w:val="00520B43"/>
    <w:rsid w:val="00520B75"/>
    <w:rsid w:val="00520C09"/>
    <w:rsid w:val="00520CB6"/>
    <w:rsid w:val="00520D7F"/>
    <w:rsid w:val="00520DB3"/>
    <w:rsid w:val="00520DBD"/>
    <w:rsid w:val="00520F5D"/>
    <w:rsid w:val="005210BD"/>
    <w:rsid w:val="005211B8"/>
    <w:rsid w:val="005211D8"/>
    <w:rsid w:val="00521205"/>
    <w:rsid w:val="005212AC"/>
    <w:rsid w:val="00521413"/>
    <w:rsid w:val="0052144D"/>
    <w:rsid w:val="005216CF"/>
    <w:rsid w:val="005216D1"/>
    <w:rsid w:val="00521774"/>
    <w:rsid w:val="0052178E"/>
    <w:rsid w:val="0052179E"/>
    <w:rsid w:val="005217A2"/>
    <w:rsid w:val="005217B9"/>
    <w:rsid w:val="005217C1"/>
    <w:rsid w:val="005218AF"/>
    <w:rsid w:val="005218D8"/>
    <w:rsid w:val="005218F1"/>
    <w:rsid w:val="00521905"/>
    <w:rsid w:val="00521956"/>
    <w:rsid w:val="005219DC"/>
    <w:rsid w:val="00521A56"/>
    <w:rsid w:val="00521B36"/>
    <w:rsid w:val="00521BC6"/>
    <w:rsid w:val="00521C44"/>
    <w:rsid w:val="00521D4C"/>
    <w:rsid w:val="00521E1C"/>
    <w:rsid w:val="00521E69"/>
    <w:rsid w:val="00521E9E"/>
    <w:rsid w:val="00521F29"/>
    <w:rsid w:val="005220F4"/>
    <w:rsid w:val="0052218F"/>
    <w:rsid w:val="0052231C"/>
    <w:rsid w:val="0052239F"/>
    <w:rsid w:val="005223C7"/>
    <w:rsid w:val="005223E6"/>
    <w:rsid w:val="005223F7"/>
    <w:rsid w:val="00522447"/>
    <w:rsid w:val="00522462"/>
    <w:rsid w:val="00522599"/>
    <w:rsid w:val="005225C1"/>
    <w:rsid w:val="00522775"/>
    <w:rsid w:val="005227B7"/>
    <w:rsid w:val="005228C1"/>
    <w:rsid w:val="00522958"/>
    <w:rsid w:val="00522BA3"/>
    <w:rsid w:val="00522CB6"/>
    <w:rsid w:val="00522E54"/>
    <w:rsid w:val="00522F3C"/>
    <w:rsid w:val="00523002"/>
    <w:rsid w:val="005230C4"/>
    <w:rsid w:val="00523193"/>
    <w:rsid w:val="005231A9"/>
    <w:rsid w:val="005231EC"/>
    <w:rsid w:val="005232B4"/>
    <w:rsid w:val="0052334F"/>
    <w:rsid w:val="005233D3"/>
    <w:rsid w:val="0052342D"/>
    <w:rsid w:val="00523445"/>
    <w:rsid w:val="0052353F"/>
    <w:rsid w:val="0052368A"/>
    <w:rsid w:val="005236D8"/>
    <w:rsid w:val="005237D1"/>
    <w:rsid w:val="0052383F"/>
    <w:rsid w:val="00523997"/>
    <w:rsid w:val="00523A3B"/>
    <w:rsid w:val="00523A45"/>
    <w:rsid w:val="00523B77"/>
    <w:rsid w:val="00523BF1"/>
    <w:rsid w:val="00523C58"/>
    <w:rsid w:val="00523CB5"/>
    <w:rsid w:val="00523E0C"/>
    <w:rsid w:val="00523F29"/>
    <w:rsid w:val="00524178"/>
    <w:rsid w:val="0052422B"/>
    <w:rsid w:val="0052429A"/>
    <w:rsid w:val="005243E9"/>
    <w:rsid w:val="005244F8"/>
    <w:rsid w:val="005245D6"/>
    <w:rsid w:val="00524787"/>
    <w:rsid w:val="00524863"/>
    <w:rsid w:val="0052489A"/>
    <w:rsid w:val="005248B2"/>
    <w:rsid w:val="00524903"/>
    <w:rsid w:val="00524920"/>
    <w:rsid w:val="0052492C"/>
    <w:rsid w:val="00524955"/>
    <w:rsid w:val="005249F2"/>
    <w:rsid w:val="00524AEE"/>
    <w:rsid w:val="00524B38"/>
    <w:rsid w:val="00524C6F"/>
    <w:rsid w:val="00524C7E"/>
    <w:rsid w:val="00524C99"/>
    <w:rsid w:val="00524E1C"/>
    <w:rsid w:val="00524E6A"/>
    <w:rsid w:val="00524EB5"/>
    <w:rsid w:val="00524EC0"/>
    <w:rsid w:val="00524F65"/>
    <w:rsid w:val="00524FA3"/>
    <w:rsid w:val="00525026"/>
    <w:rsid w:val="00525137"/>
    <w:rsid w:val="0052513E"/>
    <w:rsid w:val="005251E7"/>
    <w:rsid w:val="005252E2"/>
    <w:rsid w:val="00525315"/>
    <w:rsid w:val="00525362"/>
    <w:rsid w:val="0052536F"/>
    <w:rsid w:val="00525386"/>
    <w:rsid w:val="00525388"/>
    <w:rsid w:val="00525452"/>
    <w:rsid w:val="0052550B"/>
    <w:rsid w:val="005255AF"/>
    <w:rsid w:val="005255C3"/>
    <w:rsid w:val="00525646"/>
    <w:rsid w:val="00525655"/>
    <w:rsid w:val="0052565F"/>
    <w:rsid w:val="00525686"/>
    <w:rsid w:val="005256DA"/>
    <w:rsid w:val="00525902"/>
    <w:rsid w:val="00525960"/>
    <w:rsid w:val="00525ACA"/>
    <w:rsid w:val="00525B5A"/>
    <w:rsid w:val="00525BDB"/>
    <w:rsid w:val="00525C26"/>
    <w:rsid w:val="00525C5F"/>
    <w:rsid w:val="00525C91"/>
    <w:rsid w:val="00525CB3"/>
    <w:rsid w:val="00525D31"/>
    <w:rsid w:val="00525DA4"/>
    <w:rsid w:val="00525E3C"/>
    <w:rsid w:val="00526108"/>
    <w:rsid w:val="005262B6"/>
    <w:rsid w:val="005262C1"/>
    <w:rsid w:val="00526488"/>
    <w:rsid w:val="0052670C"/>
    <w:rsid w:val="00526819"/>
    <w:rsid w:val="0052683E"/>
    <w:rsid w:val="00526884"/>
    <w:rsid w:val="005268E3"/>
    <w:rsid w:val="0052692B"/>
    <w:rsid w:val="005269A5"/>
    <w:rsid w:val="00526AFA"/>
    <w:rsid w:val="00526C75"/>
    <w:rsid w:val="00526C97"/>
    <w:rsid w:val="00526CF6"/>
    <w:rsid w:val="00526E37"/>
    <w:rsid w:val="00526EF5"/>
    <w:rsid w:val="00527084"/>
    <w:rsid w:val="005271D9"/>
    <w:rsid w:val="0052720A"/>
    <w:rsid w:val="00527235"/>
    <w:rsid w:val="0052724C"/>
    <w:rsid w:val="00527415"/>
    <w:rsid w:val="00527644"/>
    <w:rsid w:val="00527692"/>
    <w:rsid w:val="0052770D"/>
    <w:rsid w:val="00527713"/>
    <w:rsid w:val="00527795"/>
    <w:rsid w:val="005277A5"/>
    <w:rsid w:val="00527819"/>
    <w:rsid w:val="00527928"/>
    <w:rsid w:val="00527C3C"/>
    <w:rsid w:val="00527C7F"/>
    <w:rsid w:val="00527D1C"/>
    <w:rsid w:val="00527DAC"/>
    <w:rsid w:val="00527EFB"/>
    <w:rsid w:val="00530151"/>
    <w:rsid w:val="0053033A"/>
    <w:rsid w:val="00530354"/>
    <w:rsid w:val="00530571"/>
    <w:rsid w:val="005307AB"/>
    <w:rsid w:val="005307C4"/>
    <w:rsid w:val="00530861"/>
    <w:rsid w:val="005308CA"/>
    <w:rsid w:val="00530936"/>
    <w:rsid w:val="00530999"/>
    <w:rsid w:val="005309A7"/>
    <w:rsid w:val="005309D0"/>
    <w:rsid w:val="00530A7C"/>
    <w:rsid w:val="00530B1B"/>
    <w:rsid w:val="00530B63"/>
    <w:rsid w:val="00530BE4"/>
    <w:rsid w:val="00530C55"/>
    <w:rsid w:val="00530C57"/>
    <w:rsid w:val="00530CA0"/>
    <w:rsid w:val="00530E03"/>
    <w:rsid w:val="00530EBA"/>
    <w:rsid w:val="00530F45"/>
    <w:rsid w:val="005310E3"/>
    <w:rsid w:val="005312CA"/>
    <w:rsid w:val="005312D2"/>
    <w:rsid w:val="0053131C"/>
    <w:rsid w:val="00531369"/>
    <w:rsid w:val="00531374"/>
    <w:rsid w:val="0053148B"/>
    <w:rsid w:val="00531497"/>
    <w:rsid w:val="005314E6"/>
    <w:rsid w:val="005315EB"/>
    <w:rsid w:val="00531692"/>
    <w:rsid w:val="005316E9"/>
    <w:rsid w:val="0053189B"/>
    <w:rsid w:val="005318B9"/>
    <w:rsid w:val="00531919"/>
    <w:rsid w:val="00531920"/>
    <w:rsid w:val="00531924"/>
    <w:rsid w:val="00531992"/>
    <w:rsid w:val="005319EB"/>
    <w:rsid w:val="00531A48"/>
    <w:rsid w:val="00531B05"/>
    <w:rsid w:val="00531B64"/>
    <w:rsid w:val="00531BCA"/>
    <w:rsid w:val="00531C0E"/>
    <w:rsid w:val="00531D0F"/>
    <w:rsid w:val="00531D8D"/>
    <w:rsid w:val="00531DAD"/>
    <w:rsid w:val="00531E59"/>
    <w:rsid w:val="00531EBE"/>
    <w:rsid w:val="00532013"/>
    <w:rsid w:val="00532076"/>
    <w:rsid w:val="005320ED"/>
    <w:rsid w:val="005320F2"/>
    <w:rsid w:val="00532187"/>
    <w:rsid w:val="005321FD"/>
    <w:rsid w:val="00532213"/>
    <w:rsid w:val="0053221C"/>
    <w:rsid w:val="005323AA"/>
    <w:rsid w:val="005323EA"/>
    <w:rsid w:val="005324AB"/>
    <w:rsid w:val="0053254E"/>
    <w:rsid w:val="005326DC"/>
    <w:rsid w:val="0053276B"/>
    <w:rsid w:val="00532771"/>
    <w:rsid w:val="00532786"/>
    <w:rsid w:val="00532A71"/>
    <w:rsid w:val="00532ACC"/>
    <w:rsid w:val="00532B43"/>
    <w:rsid w:val="00532C41"/>
    <w:rsid w:val="00532C52"/>
    <w:rsid w:val="00532CA2"/>
    <w:rsid w:val="00532CA5"/>
    <w:rsid w:val="00532E42"/>
    <w:rsid w:val="00532E5D"/>
    <w:rsid w:val="00532EFC"/>
    <w:rsid w:val="0053307C"/>
    <w:rsid w:val="005330E1"/>
    <w:rsid w:val="0053315E"/>
    <w:rsid w:val="0053316F"/>
    <w:rsid w:val="005331EB"/>
    <w:rsid w:val="00533262"/>
    <w:rsid w:val="0053328C"/>
    <w:rsid w:val="0053332B"/>
    <w:rsid w:val="00533368"/>
    <w:rsid w:val="00533383"/>
    <w:rsid w:val="005335E6"/>
    <w:rsid w:val="005336B4"/>
    <w:rsid w:val="005336C9"/>
    <w:rsid w:val="0053374A"/>
    <w:rsid w:val="005337C0"/>
    <w:rsid w:val="00533882"/>
    <w:rsid w:val="005338A5"/>
    <w:rsid w:val="00533A63"/>
    <w:rsid w:val="00533AE7"/>
    <w:rsid w:val="00533B57"/>
    <w:rsid w:val="00533C3A"/>
    <w:rsid w:val="00533C3F"/>
    <w:rsid w:val="00533C5B"/>
    <w:rsid w:val="00533D16"/>
    <w:rsid w:val="00533E3E"/>
    <w:rsid w:val="00533F1E"/>
    <w:rsid w:val="00533F5C"/>
    <w:rsid w:val="0053410E"/>
    <w:rsid w:val="00534124"/>
    <w:rsid w:val="0053413D"/>
    <w:rsid w:val="005341F2"/>
    <w:rsid w:val="005341FD"/>
    <w:rsid w:val="00534278"/>
    <w:rsid w:val="005342E3"/>
    <w:rsid w:val="00534342"/>
    <w:rsid w:val="005345A9"/>
    <w:rsid w:val="005345BB"/>
    <w:rsid w:val="005346A1"/>
    <w:rsid w:val="00534907"/>
    <w:rsid w:val="00534945"/>
    <w:rsid w:val="005349E7"/>
    <w:rsid w:val="00534CCE"/>
    <w:rsid w:val="00534D8D"/>
    <w:rsid w:val="00534DD2"/>
    <w:rsid w:val="00534FB5"/>
    <w:rsid w:val="00534FB7"/>
    <w:rsid w:val="00535049"/>
    <w:rsid w:val="00535196"/>
    <w:rsid w:val="0053521E"/>
    <w:rsid w:val="00535250"/>
    <w:rsid w:val="00535282"/>
    <w:rsid w:val="0053533B"/>
    <w:rsid w:val="0053537B"/>
    <w:rsid w:val="0053550C"/>
    <w:rsid w:val="005355F8"/>
    <w:rsid w:val="0053561D"/>
    <w:rsid w:val="005357AC"/>
    <w:rsid w:val="0053585D"/>
    <w:rsid w:val="00535865"/>
    <w:rsid w:val="0053587C"/>
    <w:rsid w:val="0053592E"/>
    <w:rsid w:val="0053595E"/>
    <w:rsid w:val="005359EE"/>
    <w:rsid w:val="00535A66"/>
    <w:rsid w:val="00535AF4"/>
    <w:rsid w:val="00535B2C"/>
    <w:rsid w:val="00535B3F"/>
    <w:rsid w:val="00535C6C"/>
    <w:rsid w:val="00535CE6"/>
    <w:rsid w:val="00535D79"/>
    <w:rsid w:val="00535DAB"/>
    <w:rsid w:val="00535DEE"/>
    <w:rsid w:val="00535EE3"/>
    <w:rsid w:val="00535F26"/>
    <w:rsid w:val="00535F95"/>
    <w:rsid w:val="0053613F"/>
    <w:rsid w:val="005361D9"/>
    <w:rsid w:val="00536241"/>
    <w:rsid w:val="005362BE"/>
    <w:rsid w:val="0053634D"/>
    <w:rsid w:val="0053645D"/>
    <w:rsid w:val="005364A8"/>
    <w:rsid w:val="00536509"/>
    <w:rsid w:val="00536588"/>
    <w:rsid w:val="0053665F"/>
    <w:rsid w:val="0053669A"/>
    <w:rsid w:val="00536756"/>
    <w:rsid w:val="005367A1"/>
    <w:rsid w:val="005367B8"/>
    <w:rsid w:val="005368C3"/>
    <w:rsid w:val="00536946"/>
    <w:rsid w:val="00536A34"/>
    <w:rsid w:val="00536A56"/>
    <w:rsid w:val="00536C59"/>
    <w:rsid w:val="00536CBE"/>
    <w:rsid w:val="00536CC7"/>
    <w:rsid w:val="00536DCD"/>
    <w:rsid w:val="00536E5E"/>
    <w:rsid w:val="00536EAA"/>
    <w:rsid w:val="00536FC9"/>
    <w:rsid w:val="00536FDD"/>
    <w:rsid w:val="00537017"/>
    <w:rsid w:val="00537028"/>
    <w:rsid w:val="005370E9"/>
    <w:rsid w:val="00537164"/>
    <w:rsid w:val="005371A7"/>
    <w:rsid w:val="005371F5"/>
    <w:rsid w:val="0053738A"/>
    <w:rsid w:val="005373AA"/>
    <w:rsid w:val="0053752F"/>
    <w:rsid w:val="005375EB"/>
    <w:rsid w:val="00537607"/>
    <w:rsid w:val="00537620"/>
    <w:rsid w:val="0053770D"/>
    <w:rsid w:val="0053775C"/>
    <w:rsid w:val="00537889"/>
    <w:rsid w:val="005378B4"/>
    <w:rsid w:val="005378E9"/>
    <w:rsid w:val="005379A2"/>
    <w:rsid w:val="00537B90"/>
    <w:rsid w:val="00537BCA"/>
    <w:rsid w:val="00537C3C"/>
    <w:rsid w:val="00537C3E"/>
    <w:rsid w:val="00537E4A"/>
    <w:rsid w:val="00537EB3"/>
    <w:rsid w:val="00537F30"/>
    <w:rsid w:val="00537F3E"/>
    <w:rsid w:val="00539968"/>
    <w:rsid w:val="005400D9"/>
    <w:rsid w:val="005400ED"/>
    <w:rsid w:val="005401CA"/>
    <w:rsid w:val="005401EA"/>
    <w:rsid w:val="005401EC"/>
    <w:rsid w:val="0054032B"/>
    <w:rsid w:val="0054046A"/>
    <w:rsid w:val="0054046D"/>
    <w:rsid w:val="0054047F"/>
    <w:rsid w:val="00540487"/>
    <w:rsid w:val="005404D6"/>
    <w:rsid w:val="005405C4"/>
    <w:rsid w:val="005405E2"/>
    <w:rsid w:val="00540668"/>
    <w:rsid w:val="0054091E"/>
    <w:rsid w:val="00540925"/>
    <w:rsid w:val="005409B2"/>
    <w:rsid w:val="005409C3"/>
    <w:rsid w:val="00540B6B"/>
    <w:rsid w:val="00540B95"/>
    <w:rsid w:val="00540DC8"/>
    <w:rsid w:val="00540DD7"/>
    <w:rsid w:val="00540DEE"/>
    <w:rsid w:val="00540F0F"/>
    <w:rsid w:val="00540F71"/>
    <w:rsid w:val="00541319"/>
    <w:rsid w:val="00541424"/>
    <w:rsid w:val="0054167C"/>
    <w:rsid w:val="005417D1"/>
    <w:rsid w:val="00541936"/>
    <w:rsid w:val="0054198E"/>
    <w:rsid w:val="00541A8E"/>
    <w:rsid w:val="00541AC0"/>
    <w:rsid w:val="00541B42"/>
    <w:rsid w:val="00541B5E"/>
    <w:rsid w:val="00541B83"/>
    <w:rsid w:val="00541B8A"/>
    <w:rsid w:val="00541BC7"/>
    <w:rsid w:val="00541CC0"/>
    <w:rsid w:val="00541CDE"/>
    <w:rsid w:val="00541D06"/>
    <w:rsid w:val="00541FEF"/>
    <w:rsid w:val="00542032"/>
    <w:rsid w:val="00542091"/>
    <w:rsid w:val="00542239"/>
    <w:rsid w:val="00542380"/>
    <w:rsid w:val="005423A8"/>
    <w:rsid w:val="005424DE"/>
    <w:rsid w:val="0054252B"/>
    <w:rsid w:val="0054274F"/>
    <w:rsid w:val="00542756"/>
    <w:rsid w:val="0054286A"/>
    <w:rsid w:val="005428C2"/>
    <w:rsid w:val="00542914"/>
    <w:rsid w:val="00542927"/>
    <w:rsid w:val="0054293A"/>
    <w:rsid w:val="005429DE"/>
    <w:rsid w:val="00542AD8"/>
    <w:rsid w:val="00542BD0"/>
    <w:rsid w:val="00542C12"/>
    <w:rsid w:val="00542CF6"/>
    <w:rsid w:val="00542D19"/>
    <w:rsid w:val="00542D1E"/>
    <w:rsid w:val="00542D85"/>
    <w:rsid w:val="00542E12"/>
    <w:rsid w:val="00542E7F"/>
    <w:rsid w:val="00542F56"/>
    <w:rsid w:val="00542FFE"/>
    <w:rsid w:val="00543021"/>
    <w:rsid w:val="00543027"/>
    <w:rsid w:val="00543086"/>
    <w:rsid w:val="005430DC"/>
    <w:rsid w:val="0054321C"/>
    <w:rsid w:val="00543511"/>
    <w:rsid w:val="00543657"/>
    <w:rsid w:val="0054370D"/>
    <w:rsid w:val="00543795"/>
    <w:rsid w:val="005438D8"/>
    <w:rsid w:val="005438E9"/>
    <w:rsid w:val="00543975"/>
    <w:rsid w:val="005439B6"/>
    <w:rsid w:val="00543B48"/>
    <w:rsid w:val="00543B66"/>
    <w:rsid w:val="00543D39"/>
    <w:rsid w:val="00543F50"/>
    <w:rsid w:val="00543F7F"/>
    <w:rsid w:val="00543FAD"/>
    <w:rsid w:val="00544029"/>
    <w:rsid w:val="00544041"/>
    <w:rsid w:val="005441F9"/>
    <w:rsid w:val="00544306"/>
    <w:rsid w:val="0054437E"/>
    <w:rsid w:val="00544399"/>
    <w:rsid w:val="005443AA"/>
    <w:rsid w:val="005443E4"/>
    <w:rsid w:val="005443EE"/>
    <w:rsid w:val="00544404"/>
    <w:rsid w:val="0054441B"/>
    <w:rsid w:val="00544517"/>
    <w:rsid w:val="0054456F"/>
    <w:rsid w:val="005445C2"/>
    <w:rsid w:val="0054460C"/>
    <w:rsid w:val="005446B5"/>
    <w:rsid w:val="00544799"/>
    <w:rsid w:val="005447FD"/>
    <w:rsid w:val="00544887"/>
    <w:rsid w:val="00544992"/>
    <w:rsid w:val="00544A0B"/>
    <w:rsid w:val="00544BF2"/>
    <w:rsid w:val="00544C1B"/>
    <w:rsid w:val="00544CAE"/>
    <w:rsid w:val="00544E95"/>
    <w:rsid w:val="00544E9F"/>
    <w:rsid w:val="00544EFC"/>
    <w:rsid w:val="00544F2A"/>
    <w:rsid w:val="00544F62"/>
    <w:rsid w:val="00544F6D"/>
    <w:rsid w:val="00544FBB"/>
    <w:rsid w:val="00545172"/>
    <w:rsid w:val="005451E9"/>
    <w:rsid w:val="0054521A"/>
    <w:rsid w:val="0054522E"/>
    <w:rsid w:val="00545246"/>
    <w:rsid w:val="00545327"/>
    <w:rsid w:val="00545370"/>
    <w:rsid w:val="005453BC"/>
    <w:rsid w:val="0054544D"/>
    <w:rsid w:val="005454DE"/>
    <w:rsid w:val="0054554A"/>
    <w:rsid w:val="00545655"/>
    <w:rsid w:val="005456F2"/>
    <w:rsid w:val="005456F3"/>
    <w:rsid w:val="00545716"/>
    <w:rsid w:val="00545762"/>
    <w:rsid w:val="0054576E"/>
    <w:rsid w:val="0054584C"/>
    <w:rsid w:val="0054594D"/>
    <w:rsid w:val="005459FC"/>
    <w:rsid w:val="00545AEE"/>
    <w:rsid w:val="00545BC3"/>
    <w:rsid w:val="00545CA1"/>
    <w:rsid w:val="00545CCB"/>
    <w:rsid w:val="00545CF8"/>
    <w:rsid w:val="00545D4F"/>
    <w:rsid w:val="00545D6F"/>
    <w:rsid w:val="00545DB1"/>
    <w:rsid w:val="00545EB3"/>
    <w:rsid w:val="00545F80"/>
    <w:rsid w:val="005461A0"/>
    <w:rsid w:val="005461C4"/>
    <w:rsid w:val="0054624D"/>
    <w:rsid w:val="005462CB"/>
    <w:rsid w:val="00546305"/>
    <w:rsid w:val="00546321"/>
    <w:rsid w:val="005464C0"/>
    <w:rsid w:val="005464C4"/>
    <w:rsid w:val="005465A2"/>
    <w:rsid w:val="005465E6"/>
    <w:rsid w:val="00546640"/>
    <w:rsid w:val="0054668C"/>
    <w:rsid w:val="00546815"/>
    <w:rsid w:val="0054685B"/>
    <w:rsid w:val="005468BC"/>
    <w:rsid w:val="0054690B"/>
    <w:rsid w:val="0054690C"/>
    <w:rsid w:val="0054696B"/>
    <w:rsid w:val="00546A26"/>
    <w:rsid w:val="00546AB1"/>
    <w:rsid w:val="00546ABC"/>
    <w:rsid w:val="00546AC1"/>
    <w:rsid w:val="00546B11"/>
    <w:rsid w:val="00546B21"/>
    <w:rsid w:val="00546B4C"/>
    <w:rsid w:val="00546B9C"/>
    <w:rsid w:val="00546BF7"/>
    <w:rsid w:val="00546D77"/>
    <w:rsid w:val="00546DA8"/>
    <w:rsid w:val="00546E32"/>
    <w:rsid w:val="00546E7C"/>
    <w:rsid w:val="00546EB4"/>
    <w:rsid w:val="00546F3F"/>
    <w:rsid w:val="0054713B"/>
    <w:rsid w:val="00547167"/>
    <w:rsid w:val="005471B0"/>
    <w:rsid w:val="0054731B"/>
    <w:rsid w:val="00547357"/>
    <w:rsid w:val="00547435"/>
    <w:rsid w:val="00547444"/>
    <w:rsid w:val="00547495"/>
    <w:rsid w:val="005474F0"/>
    <w:rsid w:val="0054763F"/>
    <w:rsid w:val="005477BC"/>
    <w:rsid w:val="005477D3"/>
    <w:rsid w:val="005477DD"/>
    <w:rsid w:val="005478E2"/>
    <w:rsid w:val="00547A4F"/>
    <w:rsid w:val="00547AA1"/>
    <w:rsid w:val="00547ACE"/>
    <w:rsid w:val="00547BEA"/>
    <w:rsid w:val="00547C72"/>
    <w:rsid w:val="00547DD8"/>
    <w:rsid w:val="00547E26"/>
    <w:rsid w:val="00547EA6"/>
    <w:rsid w:val="00547EA7"/>
    <w:rsid w:val="00547F01"/>
    <w:rsid w:val="00547F47"/>
    <w:rsid w:val="00547F75"/>
    <w:rsid w:val="00550017"/>
    <w:rsid w:val="0055008F"/>
    <w:rsid w:val="005501E8"/>
    <w:rsid w:val="00550260"/>
    <w:rsid w:val="00550360"/>
    <w:rsid w:val="00550385"/>
    <w:rsid w:val="005503C7"/>
    <w:rsid w:val="005503F5"/>
    <w:rsid w:val="005506B7"/>
    <w:rsid w:val="00550723"/>
    <w:rsid w:val="0055084C"/>
    <w:rsid w:val="0055085D"/>
    <w:rsid w:val="00550B09"/>
    <w:rsid w:val="00550B94"/>
    <w:rsid w:val="00550D12"/>
    <w:rsid w:val="00550D8A"/>
    <w:rsid w:val="00550D8D"/>
    <w:rsid w:val="00550F02"/>
    <w:rsid w:val="00550F11"/>
    <w:rsid w:val="00550F52"/>
    <w:rsid w:val="00551048"/>
    <w:rsid w:val="00551056"/>
    <w:rsid w:val="00551137"/>
    <w:rsid w:val="005511EF"/>
    <w:rsid w:val="005516CC"/>
    <w:rsid w:val="0055182F"/>
    <w:rsid w:val="00551908"/>
    <w:rsid w:val="0055192F"/>
    <w:rsid w:val="00551951"/>
    <w:rsid w:val="00551A68"/>
    <w:rsid w:val="00551B84"/>
    <w:rsid w:val="00551D87"/>
    <w:rsid w:val="00551DF5"/>
    <w:rsid w:val="00551ED9"/>
    <w:rsid w:val="00551F5D"/>
    <w:rsid w:val="00551FA1"/>
    <w:rsid w:val="00552040"/>
    <w:rsid w:val="005521FE"/>
    <w:rsid w:val="005522D7"/>
    <w:rsid w:val="0055231F"/>
    <w:rsid w:val="00552356"/>
    <w:rsid w:val="00552380"/>
    <w:rsid w:val="005523DA"/>
    <w:rsid w:val="005523DB"/>
    <w:rsid w:val="005525FE"/>
    <w:rsid w:val="00552899"/>
    <w:rsid w:val="005528CD"/>
    <w:rsid w:val="00552936"/>
    <w:rsid w:val="00552961"/>
    <w:rsid w:val="005529FC"/>
    <w:rsid w:val="00552C82"/>
    <w:rsid w:val="00552C8B"/>
    <w:rsid w:val="00552CCA"/>
    <w:rsid w:val="00552CE1"/>
    <w:rsid w:val="00552D4E"/>
    <w:rsid w:val="00552F2E"/>
    <w:rsid w:val="00552F66"/>
    <w:rsid w:val="00552F87"/>
    <w:rsid w:val="005530C2"/>
    <w:rsid w:val="00553121"/>
    <w:rsid w:val="0055318D"/>
    <w:rsid w:val="00553247"/>
    <w:rsid w:val="005532FA"/>
    <w:rsid w:val="00553369"/>
    <w:rsid w:val="005533EA"/>
    <w:rsid w:val="0055347C"/>
    <w:rsid w:val="005534E1"/>
    <w:rsid w:val="0055352B"/>
    <w:rsid w:val="0055379F"/>
    <w:rsid w:val="005537E1"/>
    <w:rsid w:val="00553961"/>
    <w:rsid w:val="00553C3E"/>
    <w:rsid w:val="00553C52"/>
    <w:rsid w:val="00553CB1"/>
    <w:rsid w:val="00553D8F"/>
    <w:rsid w:val="00553DCE"/>
    <w:rsid w:val="00553E52"/>
    <w:rsid w:val="00553F75"/>
    <w:rsid w:val="00553FFE"/>
    <w:rsid w:val="00554082"/>
    <w:rsid w:val="00554086"/>
    <w:rsid w:val="005540A8"/>
    <w:rsid w:val="00554172"/>
    <w:rsid w:val="005542A3"/>
    <w:rsid w:val="005542AC"/>
    <w:rsid w:val="00554330"/>
    <w:rsid w:val="005543E5"/>
    <w:rsid w:val="00554428"/>
    <w:rsid w:val="005545C1"/>
    <w:rsid w:val="005545DC"/>
    <w:rsid w:val="005546B3"/>
    <w:rsid w:val="005546CA"/>
    <w:rsid w:val="0055492B"/>
    <w:rsid w:val="00554B69"/>
    <w:rsid w:val="00554BCA"/>
    <w:rsid w:val="00554BCB"/>
    <w:rsid w:val="00554C5B"/>
    <w:rsid w:val="00554C9B"/>
    <w:rsid w:val="00554CD5"/>
    <w:rsid w:val="00554CE8"/>
    <w:rsid w:val="00554CFE"/>
    <w:rsid w:val="00554D9E"/>
    <w:rsid w:val="00554E75"/>
    <w:rsid w:val="00554E78"/>
    <w:rsid w:val="00554E7E"/>
    <w:rsid w:val="00554E9D"/>
    <w:rsid w:val="00554F17"/>
    <w:rsid w:val="005550E4"/>
    <w:rsid w:val="005550FC"/>
    <w:rsid w:val="0055514B"/>
    <w:rsid w:val="00555248"/>
    <w:rsid w:val="00555259"/>
    <w:rsid w:val="00555321"/>
    <w:rsid w:val="00555326"/>
    <w:rsid w:val="00555336"/>
    <w:rsid w:val="005553BB"/>
    <w:rsid w:val="005553F2"/>
    <w:rsid w:val="005553F7"/>
    <w:rsid w:val="005554D0"/>
    <w:rsid w:val="005554F6"/>
    <w:rsid w:val="00555537"/>
    <w:rsid w:val="005557A2"/>
    <w:rsid w:val="005558C8"/>
    <w:rsid w:val="00555910"/>
    <w:rsid w:val="00555AD3"/>
    <w:rsid w:val="00555B11"/>
    <w:rsid w:val="00555C43"/>
    <w:rsid w:val="00555C47"/>
    <w:rsid w:val="00555C4F"/>
    <w:rsid w:val="00555D21"/>
    <w:rsid w:val="00555D4B"/>
    <w:rsid w:val="00555D76"/>
    <w:rsid w:val="00555D85"/>
    <w:rsid w:val="00555DF4"/>
    <w:rsid w:val="00555E2B"/>
    <w:rsid w:val="00555E4A"/>
    <w:rsid w:val="00555EA5"/>
    <w:rsid w:val="00555EA6"/>
    <w:rsid w:val="00555F16"/>
    <w:rsid w:val="00555F82"/>
    <w:rsid w:val="00555F98"/>
    <w:rsid w:val="00556053"/>
    <w:rsid w:val="005560A2"/>
    <w:rsid w:val="005560B7"/>
    <w:rsid w:val="005560CC"/>
    <w:rsid w:val="005561AC"/>
    <w:rsid w:val="00556329"/>
    <w:rsid w:val="00556340"/>
    <w:rsid w:val="005563BA"/>
    <w:rsid w:val="005563FA"/>
    <w:rsid w:val="005564CC"/>
    <w:rsid w:val="005565BC"/>
    <w:rsid w:val="00556636"/>
    <w:rsid w:val="0055667C"/>
    <w:rsid w:val="00556743"/>
    <w:rsid w:val="00556749"/>
    <w:rsid w:val="00556779"/>
    <w:rsid w:val="00556825"/>
    <w:rsid w:val="005569F1"/>
    <w:rsid w:val="00556A4E"/>
    <w:rsid w:val="00556AD6"/>
    <w:rsid w:val="00556BD5"/>
    <w:rsid w:val="00556BFD"/>
    <w:rsid w:val="00556C7A"/>
    <w:rsid w:val="00556CA2"/>
    <w:rsid w:val="00556CBB"/>
    <w:rsid w:val="00556CE9"/>
    <w:rsid w:val="00556D1A"/>
    <w:rsid w:val="00556DD4"/>
    <w:rsid w:val="00556DE5"/>
    <w:rsid w:val="00556E2F"/>
    <w:rsid w:val="00556F09"/>
    <w:rsid w:val="00556FE8"/>
    <w:rsid w:val="00557091"/>
    <w:rsid w:val="005571F9"/>
    <w:rsid w:val="0055731A"/>
    <w:rsid w:val="00557353"/>
    <w:rsid w:val="00557372"/>
    <w:rsid w:val="0055738F"/>
    <w:rsid w:val="005573B0"/>
    <w:rsid w:val="0055741A"/>
    <w:rsid w:val="0055741B"/>
    <w:rsid w:val="00557519"/>
    <w:rsid w:val="00557544"/>
    <w:rsid w:val="00557625"/>
    <w:rsid w:val="00557796"/>
    <w:rsid w:val="005577DC"/>
    <w:rsid w:val="005577F9"/>
    <w:rsid w:val="00557959"/>
    <w:rsid w:val="00557986"/>
    <w:rsid w:val="00557AB3"/>
    <w:rsid w:val="00557B3C"/>
    <w:rsid w:val="00557B45"/>
    <w:rsid w:val="00557C5E"/>
    <w:rsid w:val="00557C84"/>
    <w:rsid w:val="00557CD3"/>
    <w:rsid w:val="00557CFB"/>
    <w:rsid w:val="00557CFF"/>
    <w:rsid w:val="00557D21"/>
    <w:rsid w:val="00557DE0"/>
    <w:rsid w:val="00557E6E"/>
    <w:rsid w:val="00557EBE"/>
    <w:rsid w:val="00557F04"/>
    <w:rsid w:val="00557F64"/>
    <w:rsid w:val="00557F99"/>
    <w:rsid w:val="00559556"/>
    <w:rsid w:val="0055A3DA"/>
    <w:rsid w:val="0055B9FF"/>
    <w:rsid w:val="00560065"/>
    <w:rsid w:val="00560087"/>
    <w:rsid w:val="00560088"/>
    <w:rsid w:val="005600B3"/>
    <w:rsid w:val="005600C6"/>
    <w:rsid w:val="00560113"/>
    <w:rsid w:val="00560203"/>
    <w:rsid w:val="00560329"/>
    <w:rsid w:val="005603E5"/>
    <w:rsid w:val="00560443"/>
    <w:rsid w:val="005604A3"/>
    <w:rsid w:val="005604D1"/>
    <w:rsid w:val="00560562"/>
    <w:rsid w:val="005605A3"/>
    <w:rsid w:val="005605BD"/>
    <w:rsid w:val="00560653"/>
    <w:rsid w:val="0056069F"/>
    <w:rsid w:val="0056070C"/>
    <w:rsid w:val="0056073B"/>
    <w:rsid w:val="00560832"/>
    <w:rsid w:val="00560881"/>
    <w:rsid w:val="005608D2"/>
    <w:rsid w:val="005608D4"/>
    <w:rsid w:val="005608EE"/>
    <w:rsid w:val="005609EC"/>
    <w:rsid w:val="005609F6"/>
    <w:rsid w:val="00560A44"/>
    <w:rsid w:val="00560CB4"/>
    <w:rsid w:val="00560CB5"/>
    <w:rsid w:val="00560CD4"/>
    <w:rsid w:val="00560DF0"/>
    <w:rsid w:val="00560E11"/>
    <w:rsid w:val="00560E1B"/>
    <w:rsid w:val="00560E48"/>
    <w:rsid w:val="00560E90"/>
    <w:rsid w:val="00560FFD"/>
    <w:rsid w:val="005610FD"/>
    <w:rsid w:val="00561102"/>
    <w:rsid w:val="005611D7"/>
    <w:rsid w:val="005612EA"/>
    <w:rsid w:val="0056130C"/>
    <w:rsid w:val="005613A1"/>
    <w:rsid w:val="005613C2"/>
    <w:rsid w:val="005615BA"/>
    <w:rsid w:val="0056168B"/>
    <w:rsid w:val="0056169F"/>
    <w:rsid w:val="005617A2"/>
    <w:rsid w:val="00561A95"/>
    <w:rsid w:val="00561B13"/>
    <w:rsid w:val="00561B81"/>
    <w:rsid w:val="00561E5F"/>
    <w:rsid w:val="00561FF6"/>
    <w:rsid w:val="0056202C"/>
    <w:rsid w:val="005620C7"/>
    <w:rsid w:val="00562131"/>
    <w:rsid w:val="005621D1"/>
    <w:rsid w:val="005621E1"/>
    <w:rsid w:val="00562337"/>
    <w:rsid w:val="005623CB"/>
    <w:rsid w:val="005623CF"/>
    <w:rsid w:val="00562516"/>
    <w:rsid w:val="00562607"/>
    <w:rsid w:val="00562640"/>
    <w:rsid w:val="005626BF"/>
    <w:rsid w:val="0056286E"/>
    <w:rsid w:val="005628FF"/>
    <w:rsid w:val="0056290A"/>
    <w:rsid w:val="00562ADE"/>
    <w:rsid w:val="00562D04"/>
    <w:rsid w:val="00562D69"/>
    <w:rsid w:val="00562D78"/>
    <w:rsid w:val="00562E09"/>
    <w:rsid w:val="00562E27"/>
    <w:rsid w:val="00562E47"/>
    <w:rsid w:val="00562E53"/>
    <w:rsid w:val="00562EAA"/>
    <w:rsid w:val="00562ED3"/>
    <w:rsid w:val="00562F12"/>
    <w:rsid w:val="00562F1D"/>
    <w:rsid w:val="00562F5D"/>
    <w:rsid w:val="0056308A"/>
    <w:rsid w:val="005630A8"/>
    <w:rsid w:val="005630FB"/>
    <w:rsid w:val="0056313B"/>
    <w:rsid w:val="00563164"/>
    <w:rsid w:val="00563328"/>
    <w:rsid w:val="00563376"/>
    <w:rsid w:val="00563385"/>
    <w:rsid w:val="0056338E"/>
    <w:rsid w:val="005633A8"/>
    <w:rsid w:val="00563407"/>
    <w:rsid w:val="00563597"/>
    <w:rsid w:val="0056366B"/>
    <w:rsid w:val="0056374C"/>
    <w:rsid w:val="00563788"/>
    <w:rsid w:val="005637A7"/>
    <w:rsid w:val="005638E7"/>
    <w:rsid w:val="00563917"/>
    <w:rsid w:val="0056392B"/>
    <w:rsid w:val="00563A5D"/>
    <w:rsid w:val="00563A66"/>
    <w:rsid w:val="00563A8A"/>
    <w:rsid w:val="00563AEE"/>
    <w:rsid w:val="00563BFE"/>
    <w:rsid w:val="00563CFC"/>
    <w:rsid w:val="00563D59"/>
    <w:rsid w:val="00563DC4"/>
    <w:rsid w:val="00563DC7"/>
    <w:rsid w:val="00563DCC"/>
    <w:rsid w:val="00563E01"/>
    <w:rsid w:val="00563E23"/>
    <w:rsid w:val="00563E73"/>
    <w:rsid w:val="00563E84"/>
    <w:rsid w:val="00563ED0"/>
    <w:rsid w:val="00563EDF"/>
    <w:rsid w:val="00563F4C"/>
    <w:rsid w:val="00564001"/>
    <w:rsid w:val="005640B6"/>
    <w:rsid w:val="005640FB"/>
    <w:rsid w:val="005641DD"/>
    <w:rsid w:val="00564298"/>
    <w:rsid w:val="0056471A"/>
    <w:rsid w:val="00564865"/>
    <w:rsid w:val="00564973"/>
    <w:rsid w:val="00564A2B"/>
    <w:rsid w:val="00564ABE"/>
    <w:rsid w:val="00564C60"/>
    <w:rsid w:val="00564CBB"/>
    <w:rsid w:val="00564CE3"/>
    <w:rsid w:val="00564D14"/>
    <w:rsid w:val="00564D1C"/>
    <w:rsid w:val="00564D88"/>
    <w:rsid w:val="00564E10"/>
    <w:rsid w:val="00564E45"/>
    <w:rsid w:val="00564E4F"/>
    <w:rsid w:val="00564E75"/>
    <w:rsid w:val="00564E97"/>
    <w:rsid w:val="00564F17"/>
    <w:rsid w:val="00564F22"/>
    <w:rsid w:val="00564F4B"/>
    <w:rsid w:val="00565008"/>
    <w:rsid w:val="0056500F"/>
    <w:rsid w:val="005650E6"/>
    <w:rsid w:val="00565135"/>
    <w:rsid w:val="00565150"/>
    <w:rsid w:val="005651B8"/>
    <w:rsid w:val="005651CD"/>
    <w:rsid w:val="005651E6"/>
    <w:rsid w:val="00565346"/>
    <w:rsid w:val="005654B1"/>
    <w:rsid w:val="0056556A"/>
    <w:rsid w:val="005655A4"/>
    <w:rsid w:val="005656D1"/>
    <w:rsid w:val="0056571D"/>
    <w:rsid w:val="0056572D"/>
    <w:rsid w:val="00565875"/>
    <w:rsid w:val="00565924"/>
    <w:rsid w:val="0056596B"/>
    <w:rsid w:val="00565A4D"/>
    <w:rsid w:val="00565AE5"/>
    <w:rsid w:val="00565BB1"/>
    <w:rsid w:val="00565BBE"/>
    <w:rsid w:val="00565CA8"/>
    <w:rsid w:val="00565CBB"/>
    <w:rsid w:val="00565CD8"/>
    <w:rsid w:val="00565D16"/>
    <w:rsid w:val="00565D45"/>
    <w:rsid w:val="00565D8A"/>
    <w:rsid w:val="00565EE1"/>
    <w:rsid w:val="00565EFF"/>
    <w:rsid w:val="00565F2E"/>
    <w:rsid w:val="00565F87"/>
    <w:rsid w:val="00566024"/>
    <w:rsid w:val="00566066"/>
    <w:rsid w:val="0056615B"/>
    <w:rsid w:val="0056637B"/>
    <w:rsid w:val="005663BD"/>
    <w:rsid w:val="005663C6"/>
    <w:rsid w:val="0056641C"/>
    <w:rsid w:val="0056644E"/>
    <w:rsid w:val="005664EF"/>
    <w:rsid w:val="00566553"/>
    <w:rsid w:val="00566595"/>
    <w:rsid w:val="005665B4"/>
    <w:rsid w:val="005665C2"/>
    <w:rsid w:val="00566681"/>
    <w:rsid w:val="0056675E"/>
    <w:rsid w:val="0056689D"/>
    <w:rsid w:val="0056692F"/>
    <w:rsid w:val="005669B7"/>
    <w:rsid w:val="005669E4"/>
    <w:rsid w:val="00566A01"/>
    <w:rsid w:val="00566A16"/>
    <w:rsid w:val="00566AC6"/>
    <w:rsid w:val="00566B55"/>
    <w:rsid w:val="00566BB6"/>
    <w:rsid w:val="00566D14"/>
    <w:rsid w:val="00566E01"/>
    <w:rsid w:val="00566E75"/>
    <w:rsid w:val="00566F2B"/>
    <w:rsid w:val="00566F94"/>
    <w:rsid w:val="00566FF7"/>
    <w:rsid w:val="00567003"/>
    <w:rsid w:val="00567070"/>
    <w:rsid w:val="0056716F"/>
    <w:rsid w:val="00567223"/>
    <w:rsid w:val="0056728C"/>
    <w:rsid w:val="0056737A"/>
    <w:rsid w:val="005673BF"/>
    <w:rsid w:val="00567557"/>
    <w:rsid w:val="005675BC"/>
    <w:rsid w:val="005675C9"/>
    <w:rsid w:val="005675FB"/>
    <w:rsid w:val="00567621"/>
    <w:rsid w:val="00567663"/>
    <w:rsid w:val="00567717"/>
    <w:rsid w:val="0056773F"/>
    <w:rsid w:val="00567888"/>
    <w:rsid w:val="00567A1F"/>
    <w:rsid w:val="00567A49"/>
    <w:rsid w:val="00567BF2"/>
    <w:rsid w:val="00567C16"/>
    <w:rsid w:val="00567C5D"/>
    <w:rsid w:val="00567D43"/>
    <w:rsid w:val="00567D80"/>
    <w:rsid w:val="00567DE7"/>
    <w:rsid w:val="00567EA8"/>
    <w:rsid w:val="00567ED8"/>
    <w:rsid w:val="00568047"/>
    <w:rsid w:val="00570052"/>
    <w:rsid w:val="005700E9"/>
    <w:rsid w:val="00570112"/>
    <w:rsid w:val="00570250"/>
    <w:rsid w:val="00570316"/>
    <w:rsid w:val="00570487"/>
    <w:rsid w:val="0057049C"/>
    <w:rsid w:val="005705F5"/>
    <w:rsid w:val="0057068B"/>
    <w:rsid w:val="0057077F"/>
    <w:rsid w:val="00570794"/>
    <w:rsid w:val="00570795"/>
    <w:rsid w:val="00570866"/>
    <w:rsid w:val="00570909"/>
    <w:rsid w:val="00570982"/>
    <w:rsid w:val="00570A42"/>
    <w:rsid w:val="00570A87"/>
    <w:rsid w:val="00570B6C"/>
    <w:rsid w:val="00570BF8"/>
    <w:rsid w:val="00570D55"/>
    <w:rsid w:val="00570D7D"/>
    <w:rsid w:val="00570DC7"/>
    <w:rsid w:val="00570DFA"/>
    <w:rsid w:val="00570E06"/>
    <w:rsid w:val="00570F76"/>
    <w:rsid w:val="00570FA8"/>
    <w:rsid w:val="00571066"/>
    <w:rsid w:val="00571088"/>
    <w:rsid w:val="0057115F"/>
    <w:rsid w:val="005711DC"/>
    <w:rsid w:val="0057122A"/>
    <w:rsid w:val="005712AF"/>
    <w:rsid w:val="00571332"/>
    <w:rsid w:val="00571367"/>
    <w:rsid w:val="005713B7"/>
    <w:rsid w:val="005713E9"/>
    <w:rsid w:val="00571411"/>
    <w:rsid w:val="00571461"/>
    <w:rsid w:val="005714AA"/>
    <w:rsid w:val="005715C7"/>
    <w:rsid w:val="005716BB"/>
    <w:rsid w:val="005716C2"/>
    <w:rsid w:val="0057170E"/>
    <w:rsid w:val="00571855"/>
    <w:rsid w:val="005718DA"/>
    <w:rsid w:val="005719D0"/>
    <w:rsid w:val="005719D9"/>
    <w:rsid w:val="00571A34"/>
    <w:rsid w:val="00571A52"/>
    <w:rsid w:val="00571B79"/>
    <w:rsid w:val="00571BCF"/>
    <w:rsid w:val="00571D3E"/>
    <w:rsid w:val="00571D6E"/>
    <w:rsid w:val="00571E13"/>
    <w:rsid w:val="00571E91"/>
    <w:rsid w:val="00571F45"/>
    <w:rsid w:val="00571F76"/>
    <w:rsid w:val="00572050"/>
    <w:rsid w:val="005720AF"/>
    <w:rsid w:val="00572140"/>
    <w:rsid w:val="0057227C"/>
    <w:rsid w:val="005723F0"/>
    <w:rsid w:val="00572419"/>
    <w:rsid w:val="005724A2"/>
    <w:rsid w:val="005724B9"/>
    <w:rsid w:val="005725E0"/>
    <w:rsid w:val="00572656"/>
    <w:rsid w:val="00572690"/>
    <w:rsid w:val="005726AA"/>
    <w:rsid w:val="0057280C"/>
    <w:rsid w:val="00572828"/>
    <w:rsid w:val="005728AF"/>
    <w:rsid w:val="0057296B"/>
    <w:rsid w:val="00572989"/>
    <w:rsid w:val="005729C6"/>
    <w:rsid w:val="00572A96"/>
    <w:rsid w:val="00572B60"/>
    <w:rsid w:val="00572B62"/>
    <w:rsid w:val="00572B77"/>
    <w:rsid w:val="00572E0F"/>
    <w:rsid w:val="00572EE7"/>
    <w:rsid w:val="00572EFB"/>
    <w:rsid w:val="00572F79"/>
    <w:rsid w:val="0057304A"/>
    <w:rsid w:val="0057314A"/>
    <w:rsid w:val="00573166"/>
    <w:rsid w:val="005731BF"/>
    <w:rsid w:val="00573314"/>
    <w:rsid w:val="00573329"/>
    <w:rsid w:val="005733FE"/>
    <w:rsid w:val="00573479"/>
    <w:rsid w:val="00573486"/>
    <w:rsid w:val="00573589"/>
    <w:rsid w:val="005735B5"/>
    <w:rsid w:val="005736D7"/>
    <w:rsid w:val="005737B7"/>
    <w:rsid w:val="005737BB"/>
    <w:rsid w:val="00573960"/>
    <w:rsid w:val="00573961"/>
    <w:rsid w:val="005739C4"/>
    <w:rsid w:val="00573B16"/>
    <w:rsid w:val="00573B9A"/>
    <w:rsid w:val="00573C72"/>
    <w:rsid w:val="00573C9C"/>
    <w:rsid w:val="00573CD1"/>
    <w:rsid w:val="00573CFA"/>
    <w:rsid w:val="00573E1C"/>
    <w:rsid w:val="005740B0"/>
    <w:rsid w:val="00574252"/>
    <w:rsid w:val="005742DC"/>
    <w:rsid w:val="0057433B"/>
    <w:rsid w:val="00574348"/>
    <w:rsid w:val="00574351"/>
    <w:rsid w:val="0057444F"/>
    <w:rsid w:val="005744DF"/>
    <w:rsid w:val="00574515"/>
    <w:rsid w:val="0057452C"/>
    <w:rsid w:val="0057453C"/>
    <w:rsid w:val="00574557"/>
    <w:rsid w:val="00574782"/>
    <w:rsid w:val="005747CF"/>
    <w:rsid w:val="00574869"/>
    <w:rsid w:val="00574A2A"/>
    <w:rsid w:val="00574BE0"/>
    <w:rsid w:val="00574BEE"/>
    <w:rsid w:val="00574BF2"/>
    <w:rsid w:val="00574CA4"/>
    <w:rsid w:val="00574D0C"/>
    <w:rsid w:val="00574D42"/>
    <w:rsid w:val="00574DDA"/>
    <w:rsid w:val="00574DF9"/>
    <w:rsid w:val="00574E27"/>
    <w:rsid w:val="00574E39"/>
    <w:rsid w:val="00574EEE"/>
    <w:rsid w:val="00574F7E"/>
    <w:rsid w:val="00575010"/>
    <w:rsid w:val="0057502A"/>
    <w:rsid w:val="005750F5"/>
    <w:rsid w:val="00575114"/>
    <w:rsid w:val="00575218"/>
    <w:rsid w:val="0057521D"/>
    <w:rsid w:val="005752EC"/>
    <w:rsid w:val="005754D6"/>
    <w:rsid w:val="00575580"/>
    <w:rsid w:val="005755CF"/>
    <w:rsid w:val="005755F8"/>
    <w:rsid w:val="00575610"/>
    <w:rsid w:val="00575756"/>
    <w:rsid w:val="0057580A"/>
    <w:rsid w:val="0057580C"/>
    <w:rsid w:val="00575935"/>
    <w:rsid w:val="005759C4"/>
    <w:rsid w:val="005759E3"/>
    <w:rsid w:val="00575A06"/>
    <w:rsid w:val="00575A0F"/>
    <w:rsid w:val="00575A62"/>
    <w:rsid w:val="00575A99"/>
    <w:rsid w:val="00575C23"/>
    <w:rsid w:val="00575C6C"/>
    <w:rsid w:val="00575CE5"/>
    <w:rsid w:val="00575D9E"/>
    <w:rsid w:val="00575DD9"/>
    <w:rsid w:val="00575E04"/>
    <w:rsid w:val="00575EA9"/>
    <w:rsid w:val="00575F15"/>
    <w:rsid w:val="00575F78"/>
    <w:rsid w:val="00575FB0"/>
    <w:rsid w:val="0057601B"/>
    <w:rsid w:val="00576089"/>
    <w:rsid w:val="00576206"/>
    <w:rsid w:val="00576227"/>
    <w:rsid w:val="005762A6"/>
    <w:rsid w:val="00576346"/>
    <w:rsid w:val="0057634D"/>
    <w:rsid w:val="00576408"/>
    <w:rsid w:val="005764C8"/>
    <w:rsid w:val="005764F8"/>
    <w:rsid w:val="00576505"/>
    <w:rsid w:val="0057657A"/>
    <w:rsid w:val="00576587"/>
    <w:rsid w:val="00576684"/>
    <w:rsid w:val="005766AF"/>
    <w:rsid w:val="005768C3"/>
    <w:rsid w:val="00576966"/>
    <w:rsid w:val="0057698E"/>
    <w:rsid w:val="00576AAB"/>
    <w:rsid w:val="00576B08"/>
    <w:rsid w:val="00576B56"/>
    <w:rsid w:val="00576B87"/>
    <w:rsid w:val="00576BAC"/>
    <w:rsid w:val="00576E64"/>
    <w:rsid w:val="00576EE6"/>
    <w:rsid w:val="00576F5A"/>
    <w:rsid w:val="00576FC2"/>
    <w:rsid w:val="00576FCF"/>
    <w:rsid w:val="00577065"/>
    <w:rsid w:val="0057712E"/>
    <w:rsid w:val="005771BC"/>
    <w:rsid w:val="0057729D"/>
    <w:rsid w:val="005772A5"/>
    <w:rsid w:val="00577486"/>
    <w:rsid w:val="005775D0"/>
    <w:rsid w:val="005775F6"/>
    <w:rsid w:val="00577641"/>
    <w:rsid w:val="005776A1"/>
    <w:rsid w:val="005776BD"/>
    <w:rsid w:val="005776C0"/>
    <w:rsid w:val="0057771C"/>
    <w:rsid w:val="00577794"/>
    <w:rsid w:val="00577883"/>
    <w:rsid w:val="00577896"/>
    <w:rsid w:val="005778EA"/>
    <w:rsid w:val="0057796A"/>
    <w:rsid w:val="00577A34"/>
    <w:rsid w:val="00577DA2"/>
    <w:rsid w:val="00577E14"/>
    <w:rsid w:val="00577EAC"/>
    <w:rsid w:val="00577EEA"/>
    <w:rsid w:val="00577EF9"/>
    <w:rsid w:val="00577FA7"/>
    <w:rsid w:val="00577FD2"/>
    <w:rsid w:val="0057BB25"/>
    <w:rsid w:val="0057E9D7"/>
    <w:rsid w:val="005800A4"/>
    <w:rsid w:val="00580220"/>
    <w:rsid w:val="00580257"/>
    <w:rsid w:val="005802D4"/>
    <w:rsid w:val="00580336"/>
    <w:rsid w:val="00580405"/>
    <w:rsid w:val="00580415"/>
    <w:rsid w:val="00580433"/>
    <w:rsid w:val="00580468"/>
    <w:rsid w:val="005804A1"/>
    <w:rsid w:val="005805B8"/>
    <w:rsid w:val="005805F5"/>
    <w:rsid w:val="00580643"/>
    <w:rsid w:val="00580728"/>
    <w:rsid w:val="0058075D"/>
    <w:rsid w:val="0058077D"/>
    <w:rsid w:val="005807FF"/>
    <w:rsid w:val="005808DD"/>
    <w:rsid w:val="005809C7"/>
    <w:rsid w:val="005809E7"/>
    <w:rsid w:val="005809EF"/>
    <w:rsid w:val="00580A59"/>
    <w:rsid w:val="00580C81"/>
    <w:rsid w:val="00580C96"/>
    <w:rsid w:val="00580DF2"/>
    <w:rsid w:val="00580EA1"/>
    <w:rsid w:val="00580F50"/>
    <w:rsid w:val="00580F88"/>
    <w:rsid w:val="00580F8A"/>
    <w:rsid w:val="00580F90"/>
    <w:rsid w:val="00580FE1"/>
    <w:rsid w:val="0058106F"/>
    <w:rsid w:val="005810D3"/>
    <w:rsid w:val="005813EE"/>
    <w:rsid w:val="0058166B"/>
    <w:rsid w:val="00581887"/>
    <w:rsid w:val="005818C8"/>
    <w:rsid w:val="00581901"/>
    <w:rsid w:val="00581A48"/>
    <w:rsid w:val="00581A8C"/>
    <w:rsid w:val="00581B13"/>
    <w:rsid w:val="00581B2E"/>
    <w:rsid w:val="00581B5E"/>
    <w:rsid w:val="00581BAB"/>
    <w:rsid w:val="00581E60"/>
    <w:rsid w:val="00581EAC"/>
    <w:rsid w:val="00581F42"/>
    <w:rsid w:val="00581F67"/>
    <w:rsid w:val="00581FE1"/>
    <w:rsid w:val="00582066"/>
    <w:rsid w:val="0058217E"/>
    <w:rsid w:val="005822C3"/>
    <w:rsid w:val="00582330"/>
    <w:rsid w:val="005823C6"/>
    <w:rsid w:val="00582450"/>
    <w:rsid w:val="005824A8"/>
    <w:rsid w:val="005824D0"/>
    <w:rsid w:val="00582567"/>
    <w:rsid w:val="005826C0"/>
    <w:rsid w:val="005826D3"/>
    <w:rsid w:val="00582826"/>
    <w:rsid w:val="0058285F"/>
    <w:rsid w:val="0058287A"/>
    <w:rsid w:val="00582A3B"/>
    <w:rsid w:val="00582A8D"/>
    <w:rsid w:val="00582B49"/>
    <w:rsid w:val="00582B5A"/>
    <w:rsid w:val="00582CA0"/>
    <w:rsid w:val="00582D4F"/>
    <w:rsid w:val="00582E51"/>
    <w:rsid w:val="00582E89"/>
    <w:rsid w:val="00583049"/>
    <w:rsid w:val="0058308B"/>
    <w:rsid w:val="00583116"/>
    <w:rsid w:val="00583182"/>
    <w:rsid w:val="00583195"/>
    <w:rsid w:val="005832E9"/>
    <w:rsid w:val="005832F8"/>
    <w:rsid w:val="0058334F"/>
    <w:rsid w:val="005833A9"/>
    <w:rsid w:val="00583616"/>
    <w:rsid w:val="00583653"/>
    <w:rsid w:val="005836A0"/>
    <w:rsid w:val="005836B6"/>
    <w:rsid w:val="00583728"/>
    <w:rsid w:val="005837CF"/>
    <w:rsid w:val="00583842"/>
    <w:rsid w:val="00583934"/>
    <w:rsid w:val="00583958"/>
    <w:rsid w:val="0058395B"/>
    <w:rsid w:val="00583AF2"/>
    <w:rsid w:val="00583B6B"/>
    <w:rsid w:val="00583BBB"/>
    <w:rsid w:val="00583BE8"/>
    <w:rsid w:val="00583C3C"/>
    <w:rsid w:val="00583CC5"/>
    <w:rsid w:val="00583D6D"/>
    <w:rsid w:val="00583D85"/>
    <w:rsid w:val="00583DE6"/>
    <w:rsid w:val="00583E79"/>
    <w:rsid w:val="00583E7C"/>
    <w:rsid w:val="00583F5B"/>
    <w:rsid w:val="00583F62"/>
    <w:rsid w:val="00583F8D"/>
    <w:rsid w:val="0058413A"/>
    <w:rsid w:val="0058421D"/>
    <w:rsid w:val="00584332"/>
    <w:rsid w:val="005844ED"/>
    <w:rsid w:val="005845A2"/>
    <w:rsid w:val="00584640"/>
    <w:rsid w:val="005846EE"/>
    <w:rsid w:val="0058472E"/>
    <w:rsid w:val="005847C6"/>
    <w:rsid w:val="005847D7"/>
    <w:rsid w:val="00584816"/>
    <w:rsid w:val="005848BA"/>
    <w:rsid w:val="00584907"/>
    <w:rsid w:val="005849AA"/>
    <w:rsid w:val="00584B55"/>
    <w:rsid w:val="00584C01"/>
    <w:rsid w:val="00584C77"/>
    <w:rsid w:val="00584DE9"/>
    <w:rsid w:val="00584E1E"/>
    <w:rsid w:val="00584E43"/>
    <w:rsid w:val="00584EBD"/>
    <w:rsid w:val="00584FB9"/>
    <w:rsid w:val="00584FE0"/>
    <w:rsid w:val="0058502B"/>
    <w:rsid w:val="005850AD"/>
    <w:rsid w:val="00585193"/>
    <w:rsid w:val="005851EB"/>
    <w:rsid w:val="0058529C"/>
    <w:rsid w:val="00585352"/>
    <w:rsid w:val="00585353"/>
    <w:rsid w:val="0058538C"/>
    <w:rsid w:val="005855C0"/>
    <w:rsid w:val="00585701"/>
    <w:rsid w:val="00585722"/>
    <w:rsid w:val="0058576D"/>
    <w:rsid w:val="0058590C"/>
    <w:rsid w:val="0058595C"/>
    <w:rsid w:val="00585B6D"/>
    <w:rsid w:val="00585B82"/>
    <w:rsid w:val="00585B99"/>
    <w:rsid w:val="00585BB6"/>
    <w:rsid w:val="00585C0E"/>
    <w:rsid w:val="00585C0F"/>
    <w:rsid w:val="00585C9E"/>
    <w:rsid w:val="00585D60"/>
    <w:rsid w:val="00585DA2"/>
    <w:rsid w:val="00585E9D"/>
    <w:rsid w:val="00585EEE"/>
    <w:rsid w:val="00585F6A"/>
    <w:rsid w:val="00585FBC"/>
    <w:rsid w:val="00586049"/>
    <w:rsid w:val="005861AA"/>
    <w:rsid w:val="005861AD"/>
    <w:rsid w:val="0058622C"/>
    <w:rsid w:val="00586262"/>
    <w:rsid w:val="0058626A"/>
    <w:rsid w:val="005862D1"/>
    <w:rsid w:val="00586321"/>
    <w:rsid w:val="00586394"/>
    <w:rsid w:val="00586403"/>
    <w:rsid w:val="0058641C"/>
    <w:rsid w:val="005864A1"/>
    <w:rsid w:val="0058659A"/>
    <w:rsid w:val="00586626"/>
    <w:rsid w:val="00586773"/>
    <w:rsid w:val="005867CF"/>
    <w:rsid w:val="005867EF"/>
    <w:rsid w:val="00586887"/>
    <w:rsid w:val="0058698D"/>
    <w:rsid w:val="00586B02"/>
    <w:rsid w:val="00586B5B"/>
    <w:rsid w:val="00586B86"/>
    <w:rsid w:val="00586C30"/>
    <w:rsid w:val="00586C66"/>
    <w:rsid w:val="00586CE5"/>
    <w:rsid w:val="00586D12"/>
    <w:rsid w:val="00586DBE"/>
    <w:rsid w:val="00586E0E"/>
    <w:rsid w:val="00586E60"/>
    <w:rsid w:val="00586E7C"/>
    <w:rsid w:val="00586FBB"/>
    <w:rsid w:val="00586FC6"/>
    <w:rsid w:val="0058712A"/>
    <w:rsid w:val="0058713A"/>
    <w:rsid w:val="0058715F"/>
    <w:rsid w:val="005871B0"/>
    <w:rsid w:val="005871F5"/>
    <w:rsid w:val="00587291"/>
    <w:rsid w:val="00587392"/>
    <w:rsid w:val="005873ED"/>
    <w:rsid w:val="005873F8"/>
    <w:rsid w:val="0058742A"/>
    <w:rsid w:val="005874ED"/>
    <w:rsid w:val="0058751B"/>
    <w:rsid w:val="0058755F"/>
    <w:rsid w:val="0058757B"/>
    <w:rsid w:val="0058765E"/>
    <w:rsid w:val="0058766F"/>
    <w:rsid w:val="00587677"/>
    <w:rsid w:val="00587727"/>
    <w:rsid w:val="0058776E"/>
    <w:rsid w:val="0058781C"/>
    <w:rsid w:val="0058781D"/>
    <w:rsid w:val="0058786F"/>
    <w:rsid w:val="005878C5"/>
    <w:rsid w:val="00587969"/>
    <w:rsid w:val="005879D3"/>
    <w:rsid w:val="00587CBE"/>
    <w:rsid w:val="00587D5A"/>
    <w:rsid w:val="00587D78"/>
    <w:rsid w:val="00587DFB"/>
    <w:rsid w:val="00587E0F"/>
    <w:rsid w:val="00587E33"/>
    <w:rsid w:val="00587E52"/>
    <w:rsid w:val="00587E83"/>
    <w:rsid w:val="00587E86"/>
    <w:rsid w:val="00587F53"/>
    <w:rsid w:val="00587FAD"/>
    <w:rsid w:val="00587FE5"/>
    <w:rsid w:val="0058EC62"/>
    <w:rsid w:val="00590098"/>
    <w:rsid w:val="0059018B"/>
    <w:rsid w:val="005901DD"/>
    <w:rsid w:val="0059023A"/>
    <w:rsid w:val="00590271"/>
    <w:rsid w:val="005903B1"/>
    <w:rsid w:val="005903EC"/>
    <w:rsid w:val="00590413"/>
    <w:rsid w:val="0059065C"/>
    <w:rsid w:val="00590695"/>
    <w:rsid w:val="005908CC"/>
    <w:rsid w:val="00590A43"/>
    <w:rsid w:val="00590B0F"/>
    <w:rsid w:val="00590BBD"/>
    <w:rsid w:val="00590BEA"/>
    <w:rsid w:val="00590CD1"/>
    <w:rsid w:val="00590F03"/>
    <w:rsid w:val="00590F09"/>
    <w:rsid w:val="00590F1A"/>
    <w:rsid w:val="00591047"/>
    <w:rsid w:val="005910C5"/>
    <w:rsid w:val="005910D6"/>
    <w:rsid w:val="005912A0"/>
    <w:rsid w:val="00591373"/>
    <w:rsid w:val="00591428"/>
    <w:rsid w:val="0059149D"/>
    <w:rsid w:val="005914D3"/>
    <w:rsid w:val="005914D7"/>
    <w:rsid w:val="00591514"/>
    <w:rsid w:val="00591542"/>
    <w:rsid w:val="005915DB"/>
    <w:rsid w:val="0059162A"/>
    <w:rsid w:val="0059172C"/>
    <w:rsid w:val="0059190E"/>
    <w:rsid w:val="005919E9"/>
    <w:rsid w:val="00591A5F"/>
    <w:rsid w:val="00591A7D"/>
    <w:rsid w:val="00591AB6"/>
    <w:rsid w:val="00591D62"/>
    <w:rsid w:val="00591DDB"/>
    <w:rsid w:val="00591EAC"/>
    <w:rsid w:val="00591EF0"/>
    <w:rsid w:val="005921C3"/>
    <w:rsid w:val="0059235D"/>
    <w:rsid w:val="005923B2"/>
    <w:rsid w:val="005923E7"/>
    <w:rsid w:val="0059248C"/>
    <w:rsid w:val="005925C9"/>
    <w:rsid w:val="005925EC"/>
    <w:rsid w:val="005926FB"/>
    <w:rsid w:val="00592716"/>
    <w:rsid w:val="005927E2"/>
    <w:rsid w:val="00592A2F"/>
    <w:rsid w:val="00592A85"/>
    <w:rsid w:val="00592B9A"/>
    <w:rsid w:val="00592C0D"/>
    <w:rsid w:val="00592C37"/>
    <w:rsid w:val="00592C4C"/>
    <w:rsid w:val="00592C76"/>
    <w:rsid w:val="00592ED1"/>
    <w:rsid w:val="00592F37"/>
    <w:rsid w:val="005931A8"/>
    <w:rsid w:val="0059321F"/>
    <w:rsid w:val="0059327F"/>
    <w:rsid w:val="0059329D"/>
    <w:rsid w:val="005934E4"/>
    <w:rsid w:val="00593597"/>
    <w:rsid w:val="005935D0"/>
    <w:rsid w:val="0059360A"/>
    <w:rsid w:val="0059365A"/>
    <w:rsid w:val="00593782"/>
    <w:rsid w:val="00593793"/>
    <w:rsid w:val="0059379B"/>
    <w:rsid w:val="0059388D"/>
    <w:rsid w:val="00593902"/>
    <w:rsid w:val="005939E7"/>
    <w:rsid w:val="00593AFA"/>
    <w:rsid w:val="00593BE3"/>
    <w:rsid w:val="00593CA6"/>
    <w:rsid w:val="00593D76"/>
    <w:rsid w:val="00593F5D"/>
    <w:rsid w:val="00593FCA"/>
    <w:rsid w:val="00593FF9"/>
    <w:rsid w:val="0059406A"/>
    <w:rsid w:val="00594132"/>
    <w:rsid w:val="00594292"/>
    <w:rsid w:val="0059429C"/>
    <w:rsid w:val="005942B7"/>
    <w:rsid w:val="005942CF"/>
    <w:rsid w:val="005942E0"/>
    <w:rsid w:val="00594344"/>
    <w:rsid w:val="00594401"/>
    <w:rsid w:val="00594442"/>
    <w:rsid w:val="005944A1"/>
    <w:rsid w:val="005944D6"/>
    <w:rsid w:val="005944FC"/>
    <w:rsid w:val="00594501"/>
    <w:rsid w:val="005945F0"/>
    <w:rsid w:val="005945FF"/>
    <w:rsid w:val="005946C3"/>
    <w:rsid w:val="00594A13"/>
    <w:rsid w:val="00594B56"/>
    <w:rsid w:val="00594B75"/>
    <w:rsid w:val="00594D46"/>
    <w:rsid w:val="00594D5F"/>
    <w:rsid w:val="00594DBC"/>
    <w:rsid w:val="00594E31"/>
    <w:rsid w:val="00594F32"/>
    <w:rsid w:val="00594F54"/>
    <w:rsid w:val="005950D9"/>
    <w:rsid w:val="00595186"/>
    <w:rsid w:val="005951AA"/>
    <w:rsid w:val="005952BE"/>
    <w:rsid w:val="005952F3"/>
    <w:rsid w:val="0059533F"/>
    <w:rsid w:val="0059542A"/>
    <w:rsid w:val="005954A5"/>
    <w:rsid w:val="005954CC"/>
    <w:rsid w:val="005954CD"/>
    <w:rsid w:val="00595519"/>
    <w:rsid w:val="0059558A"/>
    <w:rsid w:val="00595693"/>
    <w:rsid w:val="00595732"/>
    <w:rsid w:val="0059583E"/>
    <w:rsid w:val="00595872"/>
    <w:rsid w:val="00595986"/>
    <w:rsid w:val="005959A9"/>
    <w:rsid w:val="00595AA8"/>
    <w:rsid w:val="00595B39"/>
    <w:rsid w:val="00595D1D"/>
    <w:rsid w:val="00595D75"/>
    <w:rsid w:val="00595D82"/>
    <w:rsid w:val="00595DCB"/>
    <w:rsid w:val="00595EAA"/>
    <w:rsid w:val="00595F1A"/>
    <w:rsid w:val="00595F5E"/>
    <w:rsid w:val="00595F6B"/>
    <w:rsid w:val="00596003"/>
    <w:rsid w:val="00596016"/>
    <w:rsid w:val="005960E6"/>
    <w:rsid w:val="00596115"/>
    <w:rsid w:val="00596213"/>
    <w:rsid w:val="00596273"/>
    <w:rsid w:val="00596293"/>
    <w:rsid w:val="00596404"/>
    <w:rsid w:val="00596516"/>
    <w:rsid w:val="00596532"/>
    <w:rsid w:val="00596664"/>
    <w:rsid w:val="005966DC"/>
    <w:rsid w:val="005966FC"/>
    <w:rsid w:val="005967DB"/>
    <w:rsid w:val="005968C8"/>
    <w:rsid w:val="00596922"/>
    <w:rsid w:val="00596A98"/>
    <w:rsid w:val="00596B35"/>
    <w:rsid w:val="00596B97"/>
    <w:rsid w:val="00596C88"/>
    <w:rsid w:val="00596CCB"/>
    <w:rsid w:val="00596D0A"/>
    <w:rsid w:val="00596D5E"/>
    <w:rsid w:val="00596D95"/>
    <w:rsid w:val="00596E81"/>
    <w:rsid w:val="00596F2B"/>
    <w:rsid w:val="00596FB6"/>
    <w:rsid w:val="00596FCB"/>
    <w:rsid w:val="0059762A"/>
    <w:rsid w:val="00597672"/>
    <w:rsid w:val="00597694"/>
    <w:rsid w:val="005976C0"/>
    <w:rsid w:val="0059778C"/>
    <w:rsid w:val="005977E2"/>
    <w:rsid w:val="005977FC"/>
    <w:rsid w:val="00597801"/>
    <w:rsid w:val="0059785D"/>
    <w:rsid w:val="005978CB"/>
    <w:rsid w:val="005978EA"/>
    <w:rsid w:val="0059798F"/>
    <w:rsid w:val="00597A5D"/>
    <w:rsid w:val="00597BA4"/>
    <w:rsid w:val="00597BB8"/>
    <w:rsid w:val="00597BC4"/>
    <w:rsid w:val="00597C34"/>
    <w:rsid w:val="00597C42"/>
    <w:rsid w:val="00597D2D"/>
    <w:rsid w:val="00597D8C"/>
    <w:rsid w:val="00597D98"/>
    <w:rsid w:val="00597DED"/>
    <w:rsid w:val="00597E12"/>
    <w:rsid w:val="005A0090"/>
    <w:rsid w:val="005A0123"/>
    <w:rsid w:val="005A01F7"/>
    <w:rsid w:val="005A0287"/>
    <w:rsid w:val="005A02AF"/>
    <w:rsid w:val="005A02B3"/>
    <w:rsid w:val="005A03F3"/>
    <w:rsid w:val="005A04F7"/>
    <w:rsid w:val="005A0511"/>
    <w:rsid w:val="005A058C"/>
    <w:rsid w:val="005A0628"/>
    <w:rsid w:val="005A0841"/>
    <w:rsid w:val="005A08F4"/>
    <w:rsid w:val="005A08FF"/>
    <w:rsid w:val="005A09C3"/>
    <w:rsid w:val="005A09F3"/>
    <w:rsid w:val="005A0B0B"/>
    <w:rsid w:val="005A0B24"/>
    <w:rsid w:val="005A0C10"/>
    <w:rsid w:val="005A0C72"/>
    <w:rsid w:val="005A0C99"/>
    <w:rsid w:val="005A0CBB"/>
    <w:rsid w:val="005A0CD6"/>
    <w:rsid w:val="005A0DDE"/>
    <w:rsid w:val="005A0EC3"/>
    <w:rsid w:val="005A0EDD"/>
    <w:rsid w:val="005A0F6D"/>
    <w:rsid w:val="005A0F95"/>
    <w:rsid w:val="005A1169"/>
    <w:rsid w:val="005A1297"/>
    <w:rsid w:val="005A12DC"/>
    <w:rsid w:val="005A130F"/>
    <w:rsid w:val="005A13BC"/>
    <w:rsid w:val="005A1605"/>
    <w:rsid w:val="005A164E"/>
    <w:rsid w:val="005A178E"/>
    <w:rsid w:val="005A17BD"/>
    <w:rsid w:val="005A1892"/>
    <w:rsid w:val="005A1962"/>
    <w:rsid w:val="005A198D"/>
    <w:rsid w:val="005A1A9E"/>
    <w:rsid w:val="005A1B9C"/>
    <w:rsid w:val="005A1BE2"/>
    <w:rsid w:val="005A1CF4"/>
    <w:rsid w:val="005A1E0B"/>
    <w:rsid w:val="005A1EAD"/>
    <w:rsid w:val="005A1EEB"/>
    <w:rsid w:val="005A1FAB"/>
    <w:rsid w:val="005A20EA"/>
    <w:rsid w:val="005A210A"/>
    <w:rsid w:val="005A2366"/>
    <w:rsid w:val="005A23BA"/>
    <w:rsid w:val="005A23DC"/>
    <w:rsid w:val="005A249B"/>
    <w:rsid w:val="005A2517"/>
    <w:rsid w:val="005A2573"/>
    <w:rsid w:val="005A25FA"/>
    <w:rsid w:val="005A26D2"/>
    <w:rsid w:val="005A2735"/>
    <w:rsid w:val="005A2935"/>
    <w:rsid w:val="005A29EF"/>
    <w:rsid w:val="005A2A7A"/>
    <w:rsid w:val="005A2AD9"/>
    <w:rsid w:val="005A2AF1"/>
    <w:rsid w:val="005A2B9D"/>
    <w:rsid w:val="005A2BC8"/>
    <w:rsid w:val="005A2C18"/>
    <w:rsid w:val="005A2D19"/>
    <w:rsid w:val="005A2E52"/>
    <w:rsid w:val="005A2E64"/>
    <w:rsid w:val="005A2ECD"/>
    <w:rsid w:val="005A300E"/>
    <w:rsid w:val="005A3106"/>
    <w:rsid w:val="005A3212"/>
    <w:rsid w:val="005A334D"/>
    <w:rsid w:val="005A3379"/>
    <w:rsid w:val="005A34D0"/>
    <w:rsid w:val="005A3549"/>
    <w:rsid w:val="005A35B8"/>
    <w:rsid w:val="005A35C9"/>
    <w:rsid w:val="005A36B7"/>
    <w:rsid w:val="005A370F"/>
    <w:rsid w:val="005A3835"/>
    <w:rsid w:val="005A38B4"/>
    <w:rsid w:val="005A38C9"/>
    <w:rsid w:val="005A38E6"/>
    <w:rsid w:val="005A397E"/>
    <w:rsid w:val="005A3A62"/>
    <w:rsid w:val="005A3B5D"/>
    <w:rsid w:val="005A3BB2"/>
    <w:rsid w:val="005A3C4A"/>
    <w:rsid w:val="005A3E37"/>
    <w:rsid w:val="005A3E8E"/>
    <w:rsid w:val="005A3ECE"/>
    <w:rsid w:val="005A416F"/>
    <w:rsid w:val="005A4224"/>
    <w:rsid w:val="005A436E"/>
    <w:rsid w:val="005A43B5"/>
    <w:rsid w:val="005A43CA"/>
    <w:rsid w:val="005A441C"/>
    <w:rsid w:val="005A4580"/>
    <w:rsid w:val="005A462F"/>
    <w:rsid w:val="005A467C"/>
    <w:rsid w:val="005A46C3"/>
    <w:rsid w:val="005A46F8"/>
    <w:rsid w:val="005A46FD"/>
    <w:rsid w:val="005A47CC"/>
    <w:rsid w:val="005A491A"/>
    <w:rsid w:val="005A49F7"/>
    <w:rsid w:val="005A4BD2"/>
    <w:rsid w:val="005A4BD4"/>
    <w:rsid w:val="005A4BEF"/>
    <w:rsid w:val="005A4C14"/>
    <w:rsid w:val="005A4C44"/>
    <w:rsid w:val="005A4C7C"/>
    <w:rsid w:val="005A4C95"/>
    <w:rsid w:val="005A4E9F"/>
    <w:rsid w:val="005A4EAC"/>
    <w:rsid w:val="005A504E"/>
    <w:rsid w:val="005A5147"/>
    <w:rsid w:val="005A51AB"/>
    <w:rsid w:val="005A523D"/>
    <w:rsid w:val="005A52E1"/>
    <w:rsid w:val="005A532F"/>
    <w:rsid w:val="005A54B3"/>
    <w:rsid w:val="005A567A"/>
    <w:rsid w:val="005A56ED"/>
    <w:rsid w:val="005A57CF"/>
    <w:rsid w:val="005A58CB"/>
    <w:rsid w:val="005A5A2B"/>
    <w:rsid w:val="005A5B83"/>
    <w:rsid w:val="005A5BED"/>
    <w:rsid w:val="005A5E48"/>
    <w:rsid w:val="005A6173"/>
    <w:rsid w:val="005A64DD"/>
    <w:rsid w:val="005A64FB"/>
    <w:rsid w:val="005A64FC"/>
    <w:rsid w:val="005A651F"/>
    <w:rsid w:val="005A656E"/>
    <w:rsid w:val="005A6651"/>
    <w:rsid w:val="005A665B"/>
    <w:rsid w:val="005A66B9"/>
    <w:rsid w:val="005A6766"/>
    <w:rsid w:val="005A68EF"/>
    <w:rsid w:val="005A691D"/>
    <w:rsid w:val="005A6984"/>
    <w:rsid w:val="005A699A"/>
    <w:rsid w:val="005A69C6"/>
    <w:rsid w:val="005A69E9"/>
    <w:rsid w:val="005A6C20"/>
    <w:rsid w:val="005A6C26"/>
    <w:rsid w:val="005A6C6B"/>
    <w:rsid w:val="005A6D0D"/>
    <w:rsid w:val="005A6D30"/>
    <w:rsid w:val="005A6D6E"/>
    <w:rsid w:val="005A6D79"/>
    <w:rsid w:val="005A6ECC"/>
    <w:rsid w:val="005A6FDB"/>
    <w:rsid w:val="005A71CE"/>
    <w:rsid w:val="005A71EE"/>
    <w:rsid w:val="005A71F9"/>
    <w:rsid w:val="005A7296"/>
    <w:rsid w:val="005A72A8"/>
    <w:rsid w:val="005A72E1"/>
    <w:rsid w:val="005A7441"/>
    <w:rsid w:val="005A759C"/>
    <w:rsid w:val="005A77FB"/>
    <w:rsid w:val="005A7868"/>
    <w:rsid w:val="005A788B"/>
    <w:rsid w:val="005A7911"/>
    <w:rsid w:val="005A79FE"/>
    <w:rsid w:val="005A7A1F"/>
    <w:rsid w:val="005A7A6F"/>
    <w:rsid w:val="005A7B39"/>
    <w:rsid w:val="005A7BED"/>
    <w:rsid w:val="005A7C4F"/>
    <w:rsid w:val="005A7CDF"/>
    <w:rsid w:val="005A7DE6"/>
    <w:rsid w:val="005A7FF9"/>
    <w:rsid w:val="005A8545"/>
    <w:rsid w:val="005AE665"/>
    <w:rsid w:val="005AFEA8"/>
    <w:rsid w:val="005B0065"/>
    <w:rsid w:val="005B00EA"/>
    <w:rsid w:val="005B0169"/>
    <w:rsid w:val="005B018E"/>
    <w:rsid w:val="005B0217"/>
    <w:rsid w:val="005B029A"/>
    <w:rsid w:val="005B029C"/>
    <w:rsid w:val="005B02F7"/>
    <w:rsid w:val="005B0338"/>
    <w:rsid w:val="005B03D3"/>
    <w:rsid w:val="005B048B"/>
    <w:rsid w:val="005B0504"/>
    <w:rsid w:val="005B0545"/>
    <w:rsid w:val="005B0620"/>
    <w:rsid w:val="005B0671"/>
    <w:rsid w:val="005B076D"/>
    <w:rsid w:val="005B07CE"/>
    <w:rsid w:val="005B0800"/>
    <w:rsid w:val="005B0A05"/>
    <w:rsid w:val="005B0A5E"/>
    <w:rsid w:val="005B0A79"/>
    <w:rsid w:val="005B0C23"/>
    <w:rsid w:val="005B0D3C"/>
    <w:rsid w:val="005B0D7E"/>
    <w:rsid w:val="005B0E4F"/>
    <w:rsid w:val="005B1017"/>
    <w:rsid w:val="005B1050"/>
    <w:rsid w:val="005B108C"/>
    <w:rsid w:val="005B11B1"/>
    <w:rsid w:val="005B1210"/>
    <w:rsid w:val="005B12D5"/>
    <w:rsid w:val="005B12D9"/>
    <w:rsid w:val="005B1366"/>
    <w:rsid w:val="005B13C9"/>
    <w:rsid w:val="005B141D"/>
    <w:rsid w:val="005B1425"/>
    <w:rsid w:val="005B145B"/>
    <w:rsid w:val="005B14A1"/>
    <w:rsid w:val="005B1536"/>
    <w:rsid w:val="005B155E"/>
    <w:rsid w:val="005B15B6"/>
    <w:rsid w:val="005B1620"/>
    <w:rsid w:val="005B1633"/>
    <w:rsid w:val="005B168C"/>
    <w:rsid w:val="005B168F"/>
    <w:rsid w:val="005B17C9"/>
    <w:rsid w:val="005B188D"/>
    <w:rsid w:val="005B1901"/>
    <w:rsid w:val="005B1958"/>
    <w:rsid w:val="005B195F"/>
    <w:rsid w:val="005B196C"/>
    <w:rsid w:val="005B1983"/>
    <w:rsid w:val="005B1AB8"/>
    <w:rsid w:val="005B1B11"/>
    <w:rsid w:val="005B1BCF"/>
    <w:rsid w:val="005B1C23"/>
    <w:rsid w:val="005B1C51"/>
    <w:rsid w:val="005B1CB2"/>
    <w:rsid w:val="005B1D24"/>
    <w:rsid w:val="005B1DE9"/>
    <w:rsid w:val="005B1E26"/>
    <w:rsid w:val="005B1E70"/>
    <w:rsid w:val="005B1E8B"/>
    <w:rsid w:val="005B1EC6"/>
    <w:rsid w:val="005B1F9A"/>
    <w:rsid w:val="005B1FC7"/>
    <w:rsid w:val="005B2048"/>
    <w:rsid w:val="005B219C"/>
    <w:rsid w:val="005B245A"/>
    <w:rsid w:val="005B2620"/>
    <w:rsid w:val="005B2660"/>
    <w:rsid w:val="005B27B2"/>
    <w:rsid w:val="005B27E0"/>
    <w:rsid w:val="005B283E"/>
    <w:rsid w:val="005B2873"/>
    <w:rsid w:val="005B28EC"/>
    <w:rsid w:val="005B28FD"/>
    <w:rsid w:val="005B2930"/>
    <w:rsid w:val="005B2943"/>
    <w:rsid w:val="005B294C"/>
    <w:rsid w:val="005B298A"/>
    <w:rsid w:val="005B29D2"/>
    <w:rsid w:val="005B2C24"/>
    <w:rsid w:val="005B2C6F"/>
    <w:rsid w:val="005B2C9D"/>
    <w:rsid w:val="005B2D78"/>
    <w:rsid w:val="005B2DA0"/>
    <w:rsid w:val="005B2DCE"/>
    <w:rsid w:val="005B2F6E"/>
    <w:rsid w:val="005B2FEB"/>
    <w:rsid w:val="005B300E"/>
    <w:rsid w:val="005B3031"/>
    <w:rsid w:val="005B308A"/>
    <w:rsid w:val="005B30B3"/>
    <w:rsid w:val="005B30BA"/>
    <w:rsid w:val="005B3122"/>
    <w:rsid w:val="005B3144"/>
    <w:rsid w:val="005B328D"/>
    <w:rsid w:val="005B332E"/>
    <w:rsid w:val="005B33E0"/>
    <w:rsid w:val="005B3426"/>
    <w:rsid w:val="005B3521"/>
    <w:rsid w:val="005B361C"/>
    <w:rsid w:val="005B364B"/>
    <w:rsid w:val="005B36BD"/>
    <w:rsid w:val="005B36FE"/>
    <w:rsid w:val="005B3735"/>
    <w:rsid w:val="005B3856"/>
    <w:rsid w:val="005B3909"/>
    <w:rsid w:val="005B3979"/>
    <w:rsid w:val="005B3A61"/>
    <w:rsid w:val="005B3AB5"/>
    <w:rsid w:val="005B3AFF"/>
    <w:rsid w:val="005B3C0B"/>
    <w:rsid w:val="005B3C25"/>
    <w:rsid w:val="005B3C8C"/>
    <w:rsid w:val="005B3CA3"/>
    <w:rsid w:val="005B3CA6"/>
    <w:rsid w:val="005B3DDF"/>
    <w:rsid w:val="005B3E3B"/>
    <w:rsid w:val="005B3E4D"/>
    <w:rsid w:val="005B3EE6"/>
    <w:rsid w:val="005B4004"/>
    <w:rsid w:val="005B403D"/>
    <w:rsid w:val="005B40B2"/>
    <w:rsid w:val="005B40D5"/>
    <w:rsid w:val="005B418C"/>
    <w:rsid w:val="005B418D"/>
    <w:rsid w:val="005B41A3"/>
    <w:rsid w:val="005B4264"/>
    <w:rsid w:val="005B433D"/>
    <w:rsid w:val="005B4358"/>
    <w:rsid w:val="005B4377"/>
    <w:rsid w:val="005B4494"/>
    <w:rsid w:val="005B4522"/>
    <w:rsid w:val="005B45AC"/>
    <w:rsid w:val="005B45FC"/>
    <w:rsid w:val="005B4644"/>
    <w:rsid w:val="005B4651"/>
    <w:rsid w:val="005B4663"/>
    <w:rsid w:val="005B46B4"/>
    <w:rsid w:val="005B46BD"/>
    <w:rsid w:val="005B4835"/>
    <w:rsid w:val="005B4931"/>
    <w:rsid w:val="005B4A73"/>
    <w:rsid w:val="005B4A8C"/>
    <w:rsid w:val="005B4A92"/>
    <w:rsid w:val="005B4B73"/>
    <w:rsid w:val="005B4BCF"/>
    <w:rsid w:val="005B4C44"/>
    <w:rsid w:val="005B4CDD"/>
    <w:rsid w:val="005B4EB1"/>
    <w:rsid w:val="005B4EC3"/>
    <w:rsid w:val="005B4F26"/>
    <w:rsid w:val="005B4F98"/>
    <w:rsid w:val="005B4FCF"/>
    <w:rsid w:val="005B5131"/>
    <w:rsid w:val="005B51BB"/>
    <w:rsid w:val="005B52D8"/>
    <w:rsid w:val="005B531E"/>
    <w:rsid w:val="005B534F"/>
    <w:rsid w:val="005B54D1"/>
    <w:rsid w:val="005B566D"/>
    <w:rsid w:val="005B56C8"/>
    <w:rsid w:val="005B56D1"/>
    <w:rsid w:val="005B57BA"/>
    <w:rsid w:val="005B5818"/>
    <w:rsid w:val="005B583D"/>
    <w:rsid w:val="005B5898"/>
    <w:rsid w:val="005B5900"/>
    <w:rsid w:val="005B5940"/>
    <w:rsid w:val="005B5943"/>
    <w:rsid w:val="005B5AEF"/>
    <w:rsid w:val="005B5BD9"/>
    <w:rsid w:val="005B5CA6"/>
    <w:rsid w:val="005B5D27"/>
    <w:rsid w:val="005B5D9D"/>
    <w:rsid w:val="005B5E8D"/>
    <w:rsid w:val="005B5E93"/>
    <w:rsid w:val="005B5F5B"/>
    <w:rsid w:val="005B5FDC"/>
    <w:rsid w:val="005B6113"/>
    <w:rsid w:val="005B616C"/>
    <w:rsid w:val="005B61F1"/>
    <w:rsid w:val="005B6261"/>
    <w:rsid w:val="005B6265"/>
    <w:rsid w:val="005B62F2"/>
    <w:rsid w:val="005B6386"/>
    <w:rsid w:val="005B64C6"/>
    <w:rsid w:val="005B64E5"/>
    <w:rsid w:val="005B64EA"/>
    <w:rsid w:val="005B673A"/>
    <w:rsid w:val="005B681B"/>
    <w:rsid w:val="005B6925"/>
    <w:rsid w:val="005B6972"/>
    <w:rsid w:val="005B6A36"/>
    <w:rsid w:val="005B6AE0"/>
    <w:rsid w:val="005B6B6F"/>
    <w:rsid w:val="005B6B8A"/>
    <w:rsid w:val="005B6BC6"/>
    <w:rsid w:val="005B6BEF"/>
    <w:rsid w:val="005B6C5F"/>
    <w:rsid w:val="005B6C64"/>
    <w:rsid w:val="005B6C81"/>
    <w:rsid w:val="005B6C8D"/>
    <w:rsid w:val="005B6E16"/>
    <w:rsid w:val="005B6E9A"/>
    <w:rsid w:val="005B6EA4"/>
    <w:rsid w:val="005B6F7A"/>
    <w:rsid w:val="005B7170"/>
    <w:rsid w:val="005B71CB"/>
    <w:rsid w:val="005B7277"/>
    <w:rsid w:val="005B7298"/>
    <w:rsid w:val="005B75D7"/>
    <w:rsid w:val="005B7616"/>
    <w:rsid w:val="005B77E9"/>
    <w:rsid w:val="005B7889"/>
    <w:rsid w:val="005B789B"/>
    <w:rsid w:val="005B7947"/>
    <w:rsid w:val="005B7B0F"/>
    <w:rsid w:val="005B7CC4"/>
    <w:rsid w:val="005B7CDE"/>
    <w:rsid w:val="005B7DC1"/>
    <w:rsid w:val="005B7E61"/>
    <w:rsid w:val="005B7ED7"/>
    <w:rsid w:val="005B7EE8"/>
    <w:rsid w:val="005B7F35"/>
    <w:rsid w:val="005B9F73"/>
    <w:rsid w:val="005C0069"/>
    <w:rsid w:val="005C010A"/>
    <w:rsid w:val="005C0114"/>
    <w:rsid w:val="005C0151"/>
    <w:rsid w:val="005C01DD"/>
    <w:rsid w:val="005C02A6"/>
    <w:rsid w:val="005C03E5"/>
    <w:rsid w:val="005C0428"/>
    <w:rsid w:val="005C06AD"/>
    <w:rsid w:val="005C06C0"/>
    <w:rsid w:val="005C0715"/>
    <w:rsid w:val="005C071C"/>
    <w:rsid w:val="005C0758"/>
    <w:rsid w:val="005C07AF"/>
    <w:rsid w:val="005C0816"/>
    <w:rsid w:val="005C0923"/>
    <w:rsid w:val="005C099A"/>
    <w:rsid w:val="005C09BC"/>
    <w:rsid w:val="005C0AC1"/>
    <w:rsid w:val="005C0AF5"/>
    <w:rsid w:val="005C0B09"/>
    <w:rsid w:val="005C0CF9"/>
    <w:rsid w:val="005C0D3D"/>
    <w:rsid w:val="005C0F2A"/>
    <w:rsid w:val="005C0F74"/>
    <w:rsid w:val="005C119D"/>
    <w:rsid w:val="005C120D"/>
    <w:rsid w:val="005C1231"/>
    <w:rsid w:val="005C1238"/>
    <w:rsid w:val="005C1259"/>
    <w:rsid w:val="005C12F8"/>
    <w:rsid w:val="005C1314"/>
    <w:rsid w:val="005C1327"/>
    <w:rsid w:val="005C1355"/>
    <w:rsid w:val="005C1492"/>
    <w:rsid w:val="005C175B"/>
    <w:rsid w:val="005C17A9"/>
    <w:rsid w:val="005C17FB"/>
    <w:rsid w:val="005C1973"/>
    <w:rsid w:val="005C19BF"/>
    <w:rsid w:val="005C1BD3"/>
    <w:rsid w:val="005C1CCB"/>
    <w:rsid w:val="005C1E5C"/>
    <w:rsid w:val="005C20AF"/>
    <w:rsid w:val="005C20C1"/>
    <w:rsid w:val="005C2184"/>
    <w:rsid w:val="005C219F"/>
    <w:rsid w:val="005C21E6"/>
    <w:rsid w:val="005C221F"/>
    <w:rsid w:val="005C224B"/>
    <w:rsid w:val="005C231D"/>
    <w:rsid w:val="005C232A"/>
    <w:rsid w:val="005C23B0"/>
    <w:rsid w:val="005C23EB"/>
    <w:rsid w:val="005C2452"/>
    <w:rsid w:val="005C246E"/>
    <w:rsid w:val="005C24AE"/>
    <w:rsid w:val="005C24B6"/>
    <w:rsid w:val="005C24E7"/>
    <w:rsid w:val="005C251C"/>
    <w:rsid w:val="005C26CF"/>
    <w:rsid w:val="005C26E7"/>
    <w:rsid w:val="005C27E7"/>
    <w:rsid w:val="005C27EE"/>
    <w:rsid w:val="005C2838"/>
    <w:rsid w:val="005C28EC"/>
    <w:rsid w:val="005C28EF"/>
    <w:rsid w:val="005C28F8"/>
    <w:rsid w:val="005C2993"/>
    <w:rsid w:val="005C2A2E"/>
    <w:rsid w:val="005C2AFF"/>
    <w:rsid w:val="005C2B14"/>
    <w:rsid w:val="005C2BCA"/>
    <w:rsid w:val="005C2CCF"/>
    <w:rsid w:val="005C2FC7"/>
    <w:rsid w:val="005C3103"/>
    <w:rsid w:val="005C3122"/>
    <w:rsid w:val="005C329E"/>
    <w:rsid w:val="005C32F7"/>
    <w:rsid w:val="005C330C"/>
    <w:rsid w:val="005C336A"/>
    <w:rsid w:val="005C345B"/>
    <w:rsid w:val="005C34D7"/>
    <w:rsid w:val="005C3568"/>
    <w:rsid w:val="005C36C7"/>
    <w:rsid w:val="005C36F6"/>
    <w:rsid w:val="005C3705"/>
    <w:rsid w:val="005C374A"/>
    <w:rsid w:val="005C37EC"/>
    <w:rsid w:val="005C3870"/>
    <w:rsid w:val="005C387E"/>
    <w:rsid w:val="005C399A"/>
    <w:rsid w:val="005C39C6"/>
    <w:rsid w:val="005C3A08"/>
    <w:rsid w:val="005C3A0F"/>
    <w:rsid w:val="005C3A35"/>
    <w:rsid w:val="005C3AF2"/>
    <w:rsid w:val="005C3B12"/>
    <w:rsid w:val="005C3C3E"/>
    <w:rsid w:val="005C3CBF"/>
    <w:rsid w:val="005C3D86"/>
    <w:rsid w:val="005C3EA1"/>
    <w:rsid w:val="005C3FB9"/>
    <w:rsid w:val="005C4035"/>
    <w:rsid w:val="005C4076"/>
    <w:rsid w:val="005C4079"/>
    <w:rsid w:val="005C409A"/>
    <w:rsid w:val="005C415D"/>
    <w:rsid w:val="005C43D6"/>
    <w:rsid w:val="005C4454"/>
    <w:rsid w:val="005C45D8"/>
    <w:rsid w:val="005C4600"/>
    <w:rsid w:val="005C466E"/>
    <w:rsid w:val="005C473C"/>
    <w:rsid w:val="005C4868"/>
    <w:rsid w:val="005C48D6"/>
    <w:rsid w:val="005C4922"/>
    <w:rsid w:val="005C49F5"/>
    <w:rsid w:val="005C4ACA"/>
    <w:rsid w:val="005C4AE2"/>
    <w:rsid w:val="005C4AEF"/>
    <w:rsid w:val="005C4B80"/>
    <w:rsid w:val="005C4BC9"/>
    <w:rsid w:val="005C4DBA"/>
    <w:rsid w:val="005C4DE4"/>
    <w:rsid w:val="005C4E4A"/>
    <w:rsid w:val="005C4F02"/>
    <w:rsid w:val="005C4F50"/>
    <w:rsid w:val="005C4F6B"/>
    <w:rsid w:val="005C51B1"/>
    <w:rsid w:val="005C5327"/>
    <w:rsid w:val="005C5379"/>
    <w:rsid w:val="005C5445"/>
    <w:rsid w:val="005C5518"/>
    <w:rsid w:val="005C55D2"/>
    <w:rsid w:val="005C55E9"/>
    <w:rsid w:val="005C58FE"/>
    <w:rsid w:val="005C5938"/>
    <w:rsid w:val="005C5998"/>
    <w:rsid w:val="005C59CA"/>
    <w:rsid w:val="005C5A2B"/>
    <w:rsid w:val="005C5A92"/>
    <w:rsid w:val="005C5A9A"/>
    <w:rsid w:val="005C5C82"/>
    <w:rsid w:val="005C5CF2"/>
    <w:rsid w:val="005C5E6C"/>
    <w:rsid w:val="005C5F58"/>
    <w:rsid w:val="005C5FE8"/>
    <w:rsid w:val="005C5FF3"/>
    <w:rsid w:val="005C601B"/>
    <w:rsid w:val="005C61E8"/>
    <w:rsid w:val="005C6201"/>
    <w:rsid w:val="005C629C"/>
    <w:rsid w:val="005C62DD"/>
    <w:rsid w:val="005C62FC"/>
    <w:rsid w:val="005C65B8"/>
    <w:rsid w:val="005C66A9"/>
    <w:rsid w:val="005C66B6"/>
    <w:rsid w:val="005C66F3"/>
    <w:rsid w:val="005C6779"/>
    <w:rsid w:val="005C67B0"/>
    <w:rsid w:val="005C67C7"/>
    <w:rsid w:val="005C67EC"/>
    <w:rsid w:val="005C681B"/>
    <w:rsid w:val="005C6A4F"/>
    <w:rsid w:val="005C6A8E"/>
    <w:rsid w:val="005C6B30"/>
    <w:rsid w:val="005C6B47"/>
    <w:rsid w:val="005C6BE6"/>
    <w:rsid w:val="005C6C4D"/>
    <w:rsid w:val="005C6C86"/>
    <w:rsid w:val="005C6CB9"/>
    <w:rsid w:val="005C6DBF"/>
    <w:rsid w:val="005C6DD3"/>
    <w:rsid w:val="005C6DE2"/>
    <w:rsid w:val="005C6E12"/>
    <w:rsid w:val="005C6E29"/>
    <w:rsid w:val="005C6E63"/>
    <w:rsid w:val="005C6EC9"/>
    <w:rsid w:val="005C6F65"/>
    <w:rsid w:val="005C6F8F"/>
    <w:rsid w:val="005C7078"/>
    <w:rsid w:val="005C707D"/>
    <w:rsid w:val="005C726E"/>
    <w:rsid w:val="005C729B"/>
    <w:rsid w:val="005C76E7"/>
    <w:rsid w:val="005C7743"/>
    <w:rsid w:val="005C7787"/>
    <w:rsid w:val="005C77CD"/>
    <w:rsid w:val="005C78B7"/>
    <w:rsid w:val="005C78FE"/>
    <w:rsid w:val="005C795F"/>
    <w:rsid w:val="005C797E"/>
    <w:rsid w:val="005C79FE"/>
    <w:rsid w:val="005C7A5C"/>
    <w:rsid w:val="005C7A8C"/>
    <w:rsid w:val="005C7B38"/>
    <w:rsid w:val="005C7C7A"/>
    <w:rsid w:val="005C7CBD"/>
    <w:rsid w:val="005C7D46"/>
    <w:rsid w:val="005C7D8C"/>
    <w:rsid w:val="005C7D9D"/>
    <w:rsid w:val="005C7EF9"/>
    <w:rsid w:val="005C7FA3"/>
    <w:rsid w:val="005CA3FA"/>
    <w:rsid w:val="005CC84D"/>
    <w:rsid w:val="005D0108"/>
    <w:rsid w:val="005D0143"/>
    <w:rsid w:val="005D01C0"/>
    <w:rsid w:val="005D01CE"/>
    <w:rsid w:val="005D02FC"/>
    <w:rsid w:val="005D031B"/>
    <w:rsid w:val="005D032C"/>
    <w:rsid w:val="005D0362"/>
    <w:rsid w:val="005D03C4"/>
    <w:rsid w:val="005D056E"/>
    <w:rsid w:val="005D05C2"/>
    <w:rsid w:val="005D05D0"/>
    <w:rsid w:val="005D05D4"/>
    <w:rsid w:val="005D06A9"/>
    <w:rsid w:val="005D073D"/>
    <w:rsid w:val="005D0747"/>
    <w:rsid w:val="005D0755"/>
    <w:rsid w:val="005D0785"/>
    <w:rsid w:val="005D07C1"/>
    <w:rsid w:val="005D082C"/>
    <w:rsid w:val="005D0854"/>
    <w:rsid w:val="005D08B7"/>
    <w:rsid w:val="005D08D8"/>
    <w:rsid w:val="005D09D0"/>
    <w:rsid w:val="005D0A6F"/>
    <w:rsid w:val="005D0B3F"/>
    <w:rsid w:val="005D0BCB"/>
    <w:rsid w:val="005D0C68"/>
    <w:rsid w:val="005D0C75"/>
    <w:rsid w:val="005D0CEE"/>
    <w:rsid w:val="005D0D4B"/>
    <w:rsid w:val="005D0DD7"/>
    <w:rsid w:val="005D0E47"/>
    <w:rsid w:val="005D0EB4"/>
    <w:rsid w:val="005D0F38"/>
    <w:rsid w:val="005D0F63"/>
    <w:rsid w:val="005D1091"/>
    <w:rsid w:val="005D1259"/>
    <w:rsid w:val="005D1566"/>
    <w:rsid w:val="005D1631"/>
    <w:rsid w:val="005D164E"/>
    <w:rsid w:val="005D1699"/>
    <w:rsid w:val="005D16FA"/>
    <w:rsid w:val="005D170E"/>
    <w:rsid w:val="005D17EF"/>
    <w:rsid w:val="005D187B"/>
    <w:rsid w:val="005D18E5"/>
    <w:rsid w:val="005D190E"/>
    <w:rsid w:val="005D1960"/>
    <w:rsid w:val="005D19D8"/>
    <w:rsid w:val="005D1A30"/>
    <w:rsid w:val="005D1BA5"/>
    <w:rsid w:val="005D1CEF"/>
    <w:rsid w:val="005D1D56"/>
    <w:rsid w:val="005D1D5D"/>
    <w:rsid w:val="005D1E45"/>
    <w:rsid w:val="005D1F80"/>
    <w:rsid w:val="005D1FE0"/>
    <w:rsid w:val="005D20A8"/>
    <w:rsid w:val="005D20E3"/>
    <w:rsid w:val="005D20F5"/>
    <w:rsid w:val="005D21B8"/>
    <w:rsid w:val="005D21C0"/>
    <w:rsid w:val="005D21D0"/>
    <w:rsid w:val="005D2204"/>
    <w:rsid w:val="005D2228"/>
    <w:rsid w:val="005D2277"/>
    <w:rsid w:val="005D236A"/>
    <w:rsid w:val="005D244D"/>
    <w:rsid w:val="005D24A9"/>
    <w:rsid w:val="005D259E"/>
    <w:rsid w:val="005D25D8"/>
    <w:rsid w:val="005D270F"/>
    <w:rsid w:val="005D293E"/>
    <w:rsid w:val="005D2962"/>
    <w:rsid w:val="005D2CCB"/>
    <w:rsid w:val="005D2D37"/>
    <w:rsid w:val="005D2D99"/>
    <w:rsid w:val="005D2DE4"/>
    <w:rsid w:val="005D2E03"/>
    <w:rsid w:val="005D2E2F"/>
    <w:rsid w:val="005D2E9F"/>
    <w:rsid w:val="005D2F36"/>
    <w:rsid w:val="005D2F5C"/>
    <w:rsid w:val="005D3043"/>
    <w:rsid w:val="005D30EC"/>
    <w:rsid w:val="005D3186"/>
    <w:rsid w:val="005D31CB"/>
    <w:rsid w:val="005D31EE"/>
    <w:rsid w:val="005D33D2"/>
    <w:rsid w:val="005D346F"/>
    <w:rsid w:val="005D3470"/>
    <w:rsid w:val="005D362B"/>
    <w:rsid w:val="005D3A18"/>
    <w:rsid w:val="005D3B31"/>
    <w:rsid w:val="005D3CB4"/>
    <w:rsid w:val="005D3CCA"/>
    <w:rsid w:val="005D3D86"/>
    <w:rsid w:val="005D3EFE"/>
    <w:rsid w:val="005D3F2D"/>
    <w:rsid w:val="005D3FD4"/>
    <w:rsid w:val="005D410D"/>
    <w:rsid w:val="005D4117"/>
    <w:rsid w:val="005D4246"/>
    <w:rsid w:val="005D433F"/>
    <w:rsid w:val="005D43CA"/>
    <w:rsid w:val="005D43F6"/>
    <w:rsid w:val="005D447D"/>
    <w:rsid w:val="005D45E3"/>
    <w:rsid w:val="005D46E7"/>
    <w:rsid w:val="005D47A2"/>
    <w:rsid w:val="005D490E"/>
    <w:rsid w:val="005D4993"/>
    <w:rsid w:val="005D49BA"/>
    <w:rsid w:val="005D49BD"/>
    <w:rsid w:val="005D4B54"/>
    <w:rsid w:val="005D4BAB"/>
    <w:rsid w:val="005D4BC4"/>
    <w:rsid w:val="005D4C24"/>
    <w:rsid w:val="005D4CCC"/>
    <w:rsid w:val="005D4CF7"/>
    <w:rsid w:val="005D4DF8"/>
    <w:rsid w:val="005D4E49"/>
    <w:rsid w:val="005D4F9F"/>
    <w:rsid w:val="005D4FD7"/>
    <w:rsid w:val="005D4FE4"/>
    <w:rsid w:val="005D51B1"/>
    <w:rsid w:val="005D528A"/>
    <w:rsid w:val="005D5297"/>
    <w:rsid w:val="005D5338"/>
    <w:rsid w:val="005D556F"/>
    <w:rsid w:val="005D5587"/>
    <w:rsid w:val="005D55C6"/>
    <w:rsid w:val="005D564B"/>
    <w:rsid w:val="005D581D"/>
    <w:rsid w:val="005D5883"/>
    <w:rsid w:val="005D58E7"/>
    <w:rsid w:val="005D59DE"/>
    <w:rsid w:val="005D59FA"/>
    <w:rsid w:val="005D5B89"/>
    <w:rsid w:val="005D5C41"/>
    <w:rsid w:val="005D5CCA"/>
    <w:rsid w:val="005D5D88"/>
    <w:rsid w:val="005D5D9F"/>
    <w:rsid w:val="005D5DA0"/>
    <w:rsid w:val="005D5DBA"/>
    <w:rsid w:val="005D5DF0"/>
    <w:rsid w:val="005D5E8D"/>
    <w:rsid w:val="005D5EDA"/>
    <w:rsid w:val="005D5EFA"/>
    <w:rsid w:val="005D5F04"/>
    <w:rsid w:val="005D5F4B"/>
    <w:rsid w:val="005D5FCE"/>
    <w:rsid w:val="005D600F"/>
    <w:rsid w:val="005D60DC"/>
    <w:rsid w:val="005D61F4"/>
    <w:rsid w:val="005D6261"/>
    <w:rsid w:val="005D6397"/>
    <w:rsid w:val="005D63D4"/>
    <w:rsid w:val="005D667F"/>
    <w:rsid w:val="005D6853"/>
    <w:rsid w:val="005D68AD"/>
    <w:rsid w:val="005D6979"/>
    <w:rsid w:val="005D6A40"/>
    <w:rsid w:val="005D6A42"/>
    <w:rsid w:val="005D6A44"/>
    <w:rsid w:val="005D6B54"/>
    <w:rsid w:val="005D6B86"/>
    <w:rsid w:val="005D6BBA"/>
    <w:rsid w:val="005D6BDC"/>
    <w:rsid w:val="005D6BF9"/>
    <w:rsid w:val="005D6C03"/>
    <w:rsid w:val="005D6E1F"/>
    <w:rsid w:val="005D6E2E"/>
    <w:rsid w:val="005D6ED3"/>
    <w:rsid w:val="005D6F86"/>
    <w:rsid w:val="005D7100"/>
    <w:rsid w:val="005D71CB"/>
    <w:rsid w:val="005D728F"/>
    <w:rsid w:val="005D72DF"/>
    <w:rsid w:val="005D7339"/>
    <w:rsid w:val="005D73AC"/>
    <w:rsid w:val="005D741C"/>
    <w:rsid w:val="005D7519"/>
    <w:rsid w:val="005D75E4"/>
    <w:rsid w:val="005D75E9"/>
    <w:rsid w:val="005D78DF"/>
    <w:rsid w:val="005D7956"/>
    <w:rsid w:val="005D7A4A"/>
    <w:rsid w:val="005D7A8B"/>
    <w:rsid w:val="005D7AAD"/>
    <w:rsid w:val="005D7B26"/>
    <w:rsid w:val="005D7B4D"/>
    <w:rsid w:val="005D7B61"/>
    <w:rsid w:val="005D7C24"/>
    <w:rsid w:val="005D7C69"/>
    <w:rsid w:val="005D7DD1"/>
    <w:rsid w:val="005D7DDA"/>
    <w:rsid w:val="005D7E6F"/>
    <w:rsid w:val="005D7F8E"/>
    <w:rsid w:val="005DB57C"/>
    <w:rsid w:val="005E001E"/>
    <w:rsid w:val="005E0124"/>
    <w:rsid w:val="005E0128"/>
    <w:rsid w:val="005E012A"/>
    <w:rsid w:val="005E0171"/>
    <w:rsid w:val="005E0205"/>
    <w:rsid w:val="005E0298"/>
    <w:rsid w:val="005E02A7"/>
    <w:rsid w:val="005E02F3"/>
    <w:rsid w:val="005E038F"/>
    <w:rsid w:val="005E03C8"/>
    <w:rsid w:val="005E0457"/>
    <w:rsid w:val="005E04A6"/>
    <w:rsid w:val="005E04B7"/>
    <w:rsid w:val="005E066F"/>
    <w:rsid w:val="005E0695"/>
    <w:rsid w:val="005E07DA"/>
    <w:rsid w:val="005E07F9"/>
    <w:rsid w:val="005E0890"/>
    <w:rsid w:val="005E08CD"/>
    <w:rsid w:val="005E097B"/>
    <w:rsid w:val="005E09D0"/>
    <w:rsid w:val="005E09F0"/>
    <w:rsid w:val="005E0A58"/>
    <w:rsid w:val="005E0A7E"/>
    <w:rsid w:val="005E0B7C"/>
    <w:rsid w:val="005E0D1A"/>
    <w:rsid w:val="005E0DC6"/>
    <w:rsid w:val="005E0E69"/>
    <w:rsid w:val="005E0F18"/>
    <w:rsid w:val="005E0FCD"/>
    <w:rsid w:val="005E1063"/>
    <w:rsid w:val="005E10A7"/>
    <w:rsid w:val="005E1170"/>
    <w:rsid w:val="005E11D7"/>
    <w:rsid w:val="005E1257"/>
    <w:rsid w:val="005E1258"/>
    <w:rsid w:val="005E1427"/>
    <w:rsid w:val="005E1468"/>
    <w:rsid w:val="005E1482"/>
    <w:rsid w:val="005E1490"/>
    <w:rsid w:val="005E1593"/>
    <w:rsid w:val="005E15FB"/>
    <w:rsid w:val="005E160C"/>
    <w:rsid w:val="005E163A"/>
    <w:rsid w:val="005E1666"/>
    <w:rsid w:val="005E16B9"/>
    <w:rsid w:val="005E180B"/>
    <w:rsid w:val="005E1953"/>
    <w:rsid w:val="005E19CD"/>
    <w:rsid w:val="005E1A35"/>
    <w:rsid w:val="005E1A56"/>
    <w:rsid w:val="005E1A98"/>
    <w:rsid w:val="005E1BEF"/>
    <w:rsid w:val="005E1C6F"/>
    <w:rsid w:val="005E1CD7"/>
    <w:rsid w:val="005E1D53"/>
    <w:rsid w:val="005E1E03"/>
    <w:rsid w:val="005E1E9B"/>
    <w:rsid w:val="005E1F04"/>
    <w:rsid w:val="005E1F26"/>
    <w:rsid w:val="005E1FBA"/>
    <w:rsid w:val="005E20AD"/>
    <w:rsid w:val="005E20D6"/>
    <w:rsid w:val="005E21D0"/>
    <w:rsid w:val="005E22EA"/>
    <w:rsid w:val="005E22F4"/>
    <w:rsid w:val="005E233A"/>
    <w:rsid w:val="005E239B"/>
    <w:rsid w:val="005E23EE"/>
    <w:rsid w:val="005E23FD"/>
    <w:rsid w:val="005E2418"/>
    <w:rsid w:val="005E25F6"/>
    <w:rsid w:val="005E264B"/>
    <w:rsid w:val="005E26C5"/>
    <w:rsid w:val="005E2844"/>
    <w:rsid w:val="005E290D"/>
    <w:rsid w:val="005E29A3"/>
    <w:rsid w:val="005E29A9"/>
    <w:rsid w:val="005E29B2"/>
    <w:rsid w:val="005E2C2C"/>
    <w:rsid w:val="005E2C51"/>
    <w:rsid w:val="005E2D5B"/>
    <w:rsid w:val="005E2DD2"/>
    <w:rsid w:val="005E2DD8"/>
    <w:rsid w:val="005E2FB2"/>
    <w:rsid w:val="005E2FBB"/>
    <w:rsid w:val="005E3035"/>
    <w:rsid w:val="005E3068"/>
    <w:rsid w:val="005E30B3"/>
    <w:rsid w:val="005E30FA"/>
    <w:rsid w:val="005E312E"/>
    <w:rsid w:val="005E3151"/>
    <w:rsid w:val="005E32A8"/>
    <w:rsid w:val="005E32C5"/>
    <w:rsid w:val="005E32D6"/>
    <w:rsid w:val="005E3313"/>
    <w:rsid w:val="005E3339"/>
    <w:rsid w:val="005E33B5"/>
    <w:rsid w:val="005E34C8"/>
    <w:rsid w:val="005E352D"/>
    <w:rsid w:val="005E3583"/>
    <w:rsid w:val="005E35BA"/>
    <w:rsid w:val="005E3606"/>
    <w:rsid w:val="005E360A"/>
    <w:rsid w:val="005E36B4"/>
    <w:rsid w:val="005E36D1"/>
    <w:rsid w:val="005E37EC"/>
    <w:rsid w:val="005E3A11"/>
    <w:rsid w:val="005E3AB9"/>
    <w:rsid w:val="005E3AC4"/>
    <w:rsid w:val="005E3B45"/>
    <w:rsid w:val="005E3C0D"/>
    <w:rsid w:val="005E3CE3"/>
    <w:rsid w:val="005E3D2F"/>
    <w:rsid w:val="005E3D45"/>
    <w:rsid w:val="005E3DB7"/>
    <w:rsid w:val="005E3DE9"/>
    <w:rsid w:val="005E3EB4"/>
    <w:rsid w:val="005E3F18"/>
    <w:rsid w:val="005E3F6F"/>
    <w:rsid w:val="005E3FB6"/>
    <w:rsid w:val="005E400F"/>
    <w:rsid w:val="005E404D"/>
    <w:rsid w:val="005E40A3"/>
    <w:rsid w:val="005E414F"/>
    <w:rsid w:val="005E41F7"/>
    <w:rsid w:val="005E425B"/>
    <w:rsid w:val="005E42A7"/>
    <w:rsid w:val="005E42B7"/>
    <w:rsid w:val="005E432B"/>
    <w:rsid w:val="005E4376"/>
    <w:rsid w:val="005E4433"/>
    <w:rsid w:val="005E4458"/>
    <w:rsid w:val="005E44FA"/>
    <w:rsid w:val="005E450E"/>
    <w:rsid w:val="005E455B"/>
    <w:rsid w:val="005E4563"/>
    <w:rsid w:val="005E466F"/>
    <w:rsid w:val="005E46F6"/>
    <w:rsid w:val="005E477A"/>
    <w:rsid w:val="005E485E"/>
    <w:rsid w:val="005E4959"/>
    <w:rsid w:val="005E4963"/>
    <w:rsid w:val="005E4A46"/>
    <w:rsid w:val="005E4ABD"/>
    <w:rsid w:val="005E4CE3"/>
    <w:rsid w:val="005E4D4C"/>
    <w:rsid w:val="005E4DA6"/>
    <w:rsid w:val="005E4DCD"/>
    <w:rsid w:val="005E4E66"/>
    <w:rsid w:val="005E4E82"/>
    <w:rsid w:val="005E5000"/>
    <w:rsid w:val="005E5123"/>
    <w:rsid w:val="005E5142"/>
    <w:rsid w:val="005E520E"/>
    <w:rsid w:val="005E52E9"/>
    <w:rsid w:val="005E539A"/>
    <w:rsid w:val="005E54E2"/>
    <w:rsid w:val="005E57B8"/>
    <w:rsid w:val="005E5851"/>
    <w:rsid w:val="005E58FF"/>
    <w:rsid w:val="005E5935"/>
    <w:rsid w:val="005E59B1"/>
    <w:rsid w:val="005E59F8"/>
    <w:rsid w:val="005E5B0A"/>
    <w:rsid w:val="005E5B72"/>
    <w:rsid w:val="005E5B91"/>
    <w:rsid w:val="005E5BA3"/>
    <w:rsid w:val="005E5CBA"/>
    <w:rsid w:val="005E5E15"/>
    <w:rsid w:val="005E5E87"/>
    <w:rsid w:val="005E5F2C"/>
    <w:rsid w:val="005E5FF0"/>
    <w:rsid w:val="005E602A"/>
    <w:rsid w:val="005E61F4"/>
    <w:rsid w:val="005E6225"/>
    <w:rsid w:val="005E645F"/>
    <w:rsid w:val="005E649C"/>
    <w:rsid w:val="005E6559"/>
    <w:rsid w:val="005E65F2"/>
    <w:rsid w:val="005E66AF"/>
    <w:rsid w:val="005E6745"/>
    <w:rsid w:val="005E6797"/>
    <w:rsid w:val="005E68B4"/>
    <w:rsid w:val="005E68C8"/>
    <w:rsid w:val="005E6925"/>
    <w:rsid w:val="005E6950"/>
    <w:rsid w:val="005E69A2"/>
    <w:rsid w:val="005E69D4"/>
    <w:rsid w:val="005E69DE"/>
    <w:rsid w:val="005E6C15"/>
    <w:rsid w:val="005E6CC3"/>
    <w:rsid w:val="005E6DCB"/>
    <w:rsid w:val="005E6F20"/>
    <w:rsid w:val="005E6F4A"/>
    <w:rsid w:val="005E6FE2"/>
    <w:rsid w:val="005E6FE7"/>
    <w:rsid w:val="005E7360"/>
    <w:rsid w:val="005E7388"/>
    <w:rsid w:val="005E741A"/>
    <w:rsid w:val="005E7430"/>
    <w:rsid w:val="005E7495"/>
    <w:rsid w:val="005E74B4"/>
    <w:rsid w:val="005E752B"/>
    <w:rsid w:val="005E75AE"/>
    <w:rsid w:val="005E76DC"/>
    <w:rsid w:val="005E773B"/>
    <w:rsid w:val="005E775B"/>
    <w:rsid w:val="005E799E"/>
    <w:rsid w:val="005E7B2C"/>
    <w:rsid w:val="005E7B96"/>
    <w:rsid w:val="005E7BE9"/>
    <w:rsid w:val="005E7CB8"/>
    <w:rsid w:val="005E7E15"/>
    <w:rsid w:val="005F0010"/>
    <w:rsid w:val="005F001E"/>
    <w:rsid w:val="005F0264"/>
    <w:rsid w:val="005F0358"/>
    <w:rsid w:val="005F03D1"/>
    <w:rsid w:val="005F044D"/>
    <w:rsid w:val="005F0530"/>
    <w:rsid w:val="005F05FE"/>
    <w:rsid w:val="005F06BF"/>
    <w:rsid w:val="005F072C"/>
    <w:rsid w:val="005F07AF"/>
    <w:rsid w:val="005F0A2A"/>
    <w:rsid w:val="005F0B67"/>
    <w:rsid w:val="005F0BD9"/>
    <w:rsid w:val="005F0BFD"/>
    <w:rsid w:val="005F0C97"/>
    <w:rsid w:val="005F0CEF"/>
    <w:rsid w:val="005F0D7B"/>
    <w:rsid w:val="005F0E24"/>
    <w:rsid w:val="005F0E97"/>
    <w:rsid w:val="005F0F2A"/>
    <w:rsid w:val="005F0F36"/>
    <w:rsid w:val="005F0F5B"/>
    <w:rsid w:val="005F0FB6"/>
    <w:rsid w:val="005F1197"/>
    <w:rsid w:val="005F1214"/>
    <w:rsid w:val="005F12A7"/>
    <w:rsid w:val="005F12D0"/>
    <w:rsid w:val="005F1360"/>
    <w:rsid w:val="005F1432"/>
    <w:rsid w:val="005F1450"/>
    <w:rsid w:val="005F1478"/>
    <w:rsid w:val="005F14E3"/>
    <w:rsid w:val="005F150D"/>
    <w:rsid w:val="005F167E"/>
    <w:rsid w:val="005F1718"/>
    <w:rsid w:val="005F173E"/>
    <w:rsid w:val="005F1781"/>
    <w:rsid w:val="005F186A"/>
    <w:rsid w:val="005F195A"/>
    <w:rsid w:val="005F1977"/>
    <w:rsid w:val="005F197E"/>
    <w:rsid w:val="005F19BA"/>
    <w:rsid w:val="005F19E8"/>
    <w:rsid w:val="005F1A32"/>
    <w:rsid w:val="005F1A78"/>
    <w:rsid w:val="005F1DE1"/>
    <w:rsid w:val="005F1E03"/>
    <w:rsid w:val="005F1EE6"/>
    <w:rsid w:val="005F202E"/>
    <w:rsid w:val="005F20B7"/>
    <w:rsid w:val="005F20BD"/>
    <w:rsid w:val="005F210C"/>
    <w:rsid w:val="005F216F"/>
    <w:rsid w:val="005F2194"/>
    <w:rsid w:val="005F22A0"/>
    <w:rsid w:val="005F23B2"/>
    <w:rsid w:val="005F24C8"/>
    <w:rsid w:val="005F254D"/>
    <w:rsid w:val="005F2588"/>
    <w:rsid w:val="005F2683"/>
    <w:rsid w:val="005F2752"/>
    <w:rsid w:val="005F2806"/>
    <w:rsid w:val="005F287B"/>
    <w:rsid w:val="005F2A37"/>
    <w:rsid w:val="005F2A78"/>
    <w:rsid w:val="005F2A7A"/>
    <w:rsid w:val="005F2BBA"/>
    <w:rsid w:val="005F2BFA"/>
    <w:rsid w:val="005F2CF1"/>
    <w:rsid w:val="005F2DE0"/>
    <w:rsid w:val="005F2E8B"/>
    <w:rsid w:val="005F2FE9"/>
    <w:rsid w:val="005F30C4"/>
    <w:rsid w:val="005F313C"/>
    <w:rsid w:val="005F3141"/>
    <w:rsid w:val="005F324A"/>
    <w:rsid w:val="005F332D"/>
    <w:rsid w:val="005F3365"/>
    <w:rsid w:val="005F3486"/>
    <w:rsid w:val="005F34E5"/>
    <w:rsid w:val="005F3529"/>
    <w:rsid w:val="005F3532"/>
    <w:rsid w:val="005F3541"/>
    <w:rsid w:val="005F35F9"/>
    <w:rsid w:val="005F367C"/>
    <w:rsid w:val="005F3767"/>
    <w:rsid w:val="005F3846"/>
    <w:rsid w:val="005F3866"/>
    <w:rsid w:val="005F3995"/>
    <w:rsid w:val="005F3AE5"/>
    <w:rsid w:val="005F3BDC"/>
    <w:rsid w:val="005F3C31"/>
    <w:rsid w:val="005F3D7E"/>
    <w:rsid w:val="005F3DCD"/>
    <w:rsid w:val="005F3E89"/>
    <w:rsid w:val="005F3E8C"/>
    <w:rsid w:val="005F4024"/>
    <w:rsid w:val="005F40AB"/>
    <w:rsid w:val="005F414A"/>
    <w:rsid w:val="005F434E"/>
    <w:rsid w:val="005F4397"/>
    <w:rsid w:val="005F440C"/>
    <w:rsid w:val="005F4536"/>
    <w:rsid w:val="005F4537"/>
    <w:rsid w:val="005F4627"/>
    <w:rsid w:val="005F465D"/>
    <w:rsid w:val="005F4666"/>
    <w:rsid w:val="005F47DC"/>
    <w:rsid w:val="005F485C"/>
    <w:rsid w:val="005F48A1"/>
    <w:rsid w:val="005F4A8B"/>
    <w:rsid w:val="005F4B9B"/>
    <w:rsid w:val="005F4C1E"/>
    <w:rsid w:val="005F4C44"/>
    <w:rsid w:val="005F4C49"/>
    <w:rsid w:val="005F4C54"/>
    <w:rsid w:val="005F4C96"/>
    <w:rsid w:val="005F4D53"/>
    <w:rsid w:val="005F4DF5"/>
    <w:rsid w:val="005F505D"/>
    <w:rsid w:val="005F50B0"/>
    <w:rsid w:val="005F511E"/>
    <w:rsid w:val="005F5164"/>
    <w:rsid w:val="005F5335"/>
    <w:rsid w:val="005F5352"/>
    <w:rsid w:val="005F5392"/>
    <w:rsid w:val="005F5430"/>
    <w:rsid w:val="005F5448"/>
    <w:rsid w:val="005F547C"/>
    <w:rsid w:val="005F54D1"/>
    <w:rsid w:val="005F55A0"/>
    <w:rsid w:val="005F57BD"/>
    <w:rsid w:val="005F584F"/>
    <w:rsid w:val="005F5896"/>
    <w:rsid w:val="005F5A19"/>
    <w:rsid w:val="005F5B5F"/>
    <w:rsid w:val="005F5B70"/>
    <w:rsid w:val="005F5B72"/>
    <w:rsid w:val="005F5B7B"/>
    <w:rsid w:val="005F5C55"/>
    <w:rsid w:val="005F5CAB"/>
    <w:rsid w:val="005F5CD4"/>
    <w:rsid w:val="005F5D7E"/>
    <w:rsid w:val="005F5EAD"/>
    <w:rsid w:val="005F5ED2"/>
    <w:rsid w:val="005F5F09"/>
    <w:rsid w:val="005F5F72"/>
    <w:rsid w:val="005F5FBA"/>
    <w:rsid w:val="005F6023"/>
    <w:rsid w:val="005F61DD"/>
    <w:rsid w:val="005F62E7"/>
    <w:rsid w:val="005F62F4"/>
    <w:rsid w:val="005F62FC"/>
    <w:rsid w:val="005F6306"/>
    <w:rsid w:val="005F63A0"/>
    <w:rsid w:val="005F63AF"/>
    <w:rsid w:val="005F64D4"/>
    <w:rsid w:val="005F6572"/>
    <w:rsid w:val="005F65D8"/>
    <w:rsid w:val="005F6678"/>
    <w:rsid w:val="005F66E9"/>
    <w:rsid w:val="005F6702"/>
    <w:rsid w:val="005F671A"/>
    <w:rsid w:val="005F673D"/>
    <w:rsid w:val="005F67BA"/>
    <w:rsid w:val="005F6819"/>
    <w:rsid w:val="005F687D"/>
    <w:rsid w:val="005F6916"/>
    <w:rsid w:val="005F6917"/>
    <w:rsid w:val="005F69C1"/>
    <w:rsid w:val="005F6AFC"/>
    <w:rsid w:val="005F6B21"/>
    <w:rsid w:val="005F6B7C"/>
    <w:rsid w:val="005F6C83"/>
    <w:rsid w:val="005F6CFB"/>
    <w:rsid w:val="005F6D66"/>
    <w:rsid w:val="005F6EE7"/>
    <w:rsid w:val="005F6F00"/>
    <w:rsid w:val="005F6F18"/>
    <w:rsid w:val="005F6FA3"/>
    <w:rsid w:val="005F7177"/>
    <w:rsid w:val="005F72AA"/>
    <w:rsid w:val="005F7302"/>
    <w:rsid w:val="005F7317"/>
    <w:rsid w:val="005F73A4"/>
    <w:rsid w:val="005F73D5"/>
    <w:rsid w:val="005F7486"/>
    <w:rsid w:val="005F7706"/>
    <w:rsid w:val="005F7869"/>
    <w:rsid w:val="005F7908"/>
    <w:rsid w:val="005F7A5E"/>
    <w:rsid w:val="005F7AEA"/>
    <w:rsid w:val="005F7B18"/>
    <w:rsid w:val="005F7B81"/>
    <w:rsid w:val="005F7BC5"/>
    <w:rsid w:val="005F7E31"/>
    <w:rsid w:val="005F7F10"/>
    <w:rsid w:val="005F7F14"/>
    <w:rsid w:val="005F7F2E"/>
    <w:rsid w:val="005FF153"/>
    <w:rsid w:val="0060004C"/>
    <w:rsid w:val="00600057"/>
    <w:rsid w:val="0060015A"/>
    <w:rsid w:val="0060016E"/>
    <w:rsid w:val="006001E9"/>
    <w:rsid w:val="00600229"/>
    <w:rsid w:val="006003AB"/>
    <w:rsid w:val="00600402"/>
    <w:rsid w:val="006004A8"/>
    <w:rsid w:val="006005F8"/>
    <w:rsid w:val="006006CA"/>
    <w:rsid w:val="00600714"/>
    <w:rsid w:val="00600987"/>
    <w:rsid w:val="00600B29"/>
    <w:rsid w:val="00600B4C"/>
    <w:rsid w:val="00600BA9"/>
    <w:rsid w:val="00600DEA"/>
    <w:rsid w:val="00600ED4"/>
    <w:rsid w:val="00600EFD"/>
    <w:rsid w:val="00600F5E"/>
    <w:rsid w:val="00600F96"/>
    <w:rsid w:val="006011D4"/>
    <w:rsid w:val="0060123B"/>
    <w:rsid w:val="00601302"/>
    <w:rsid w:val="00601322"/>
    <w:rsid w:val="00601335"/>
    <w:rsid w:val="00601375"/>
    <w:rsid w:val="00601379"/>
    <w:rsid w:val="00601395"/>
    <w:rsid w:val="0060158E"/>
    <w:rsid w:val="00601726"/>
    <w:rsid w:val="0060176B"/>
    <w:rsid w:val="006017AC"/>
    <w:rsid w:val="006017F0"/>
    <w:rsid w:val="00601947"/>
    <w:rsid w:val="006019AA"/>
    <w:rsid w:val="006019BA"/>
    <w:rsid w:val="00601A45"/>
    <w:rsid w:val="00601A70"/>
    <w:rsid w:val="00601AAE"/>
    <w:rsid w:val="00601B7D"/>
    <w:rsid w:val="00601B93"/>
    <w:rsid w:val="00601BB7"/>
    <w:rsid w:val="00601C49"/>
    <w:rsid w:val="00601C8B"/>
    <w:rsid w:val="00601CED"/>
    <w:rsid w:val="00601D6F"/>
    <w:rsid w:val="00601E3C"/>
    <w:rsid w:val="00601E59"/>
    <w:rsid w:val="00601E87"/>
    <w:rsid w:val="00601F90"/>
    <w:rsid w:val="00601FB4"/>
    <w:rsid w:val="00602023"/>
    <w:rsid w:val="006020C6"/>
    <w:rsid w:val="0060216C"/>
    <w:rsid w:val="006021FF"/>
    <w:rsid w:val="00602244"/>
    <w:rsid w:val="00602328"/>
    <w:rsid w:val="00602329"/>
    <w:rsid w:val="0060263C"/>
    <w:rsid w:val="0060265C"/>
    <w:rsid w:val="00602715"/>
    <w:rsid w:val="0060279F"/>
    <w:rsid w:val="00602D34"/>
    <w:rsid w:val="00602DFE"/>
    <w:rsid w:val="00602F03"/>
    <w:rsid w:val="00603029"/>
    <w:rsid w:val="0060304A"/>
    <w:rsid w:val="0060307D"/>
    <w:rsid w:val="00603085"/>
    <w:rsid w:val="0060310E"/>
    <w:rsid w:val="00603149"/>
    <w:rsid w:val="00603155"/>
    <w:rsid w:val="0060317A"/>
    <w:rsid w:val="0060318B"/>
    <w:rsid w:val="006031B1"/>
    <w:rsid w:val="006031FC"/>
    <w:rsid w:val="00603442"/>
    <w:rsid w:val="00603491"/>
    <w:rsid w:val="0060352E"/>
    <w:rsid w:val="00603585"/>
    <w:rsid w:val="006035E3"/>
    <w:rsid w:val="0060363D"/>
    <w:rsid w:val="006036D1"/>
    <w:rsid w:val="0060379E"/>
    <w:rsid w:val="00603844"/>
    <w:rsid w:val="00603949"/>
    <w:rsid w:val="0060397A"/>
    <w:rsid w:val="00603AC7"/>
    <w:rsid w:val="00603AFE"/>
    <w:rsid w:val="00603B08"/>
    <w:rsid w:val="00603B70"/>
    <w:rsid w:val="00603C28"/>
    <w:rsid w:val="00603C43"/>
    <w:rsid w:val="00603C4D"/>
    <w:rsid w:val="00603CDE"/>
    <w:rsid w:val="00603F24"/>
    <w:rsid w:val="00603F5A"/>
    <w:rsid w:val="00603FB6"/>
    <w:rsid w:val="00604082"/>
    <w:rsid w:val="0060413C"/>
    <w:rsid w:val="0060414E"/>
    <w:rsid w:val="006041EE"/>
    <w:rsid w:val="006042D7"/>
    <w:rsid w:val="00604302"/>
    <w:rsid w:val="00604362"/>
    <w:rsid w:val="006043E3"/>
    <w:rsid w:val="006043E6"/>
    <w:rsid w:val="006043F9"/>
    <w:rsid w:val="00604419"/>
    <w:rsid w:val="00604488"/>
    <w:rsid w:val="00604497"/>
    <w:rsid w:val="006044D9"/>
    <w:rsid w:val="006044F4"/>
    <w:rsid w:val="00604507"/>
    <w:rsid w:val="00604667"/>
    <w:rsid w:val="006046B2"/>
    <w:rsid w:val="006046FF"/>
    <w:rsid w:val="0060477A"/>
    <w:rsid w:val="006047CD"/>
    <w:rsid w:val="0060495A"/>
    <w:rsid w:val="006049E4"/>
    <w:rsid w:val="00604AD0"/>
    <w:rsid w:val="00604B6C"/>
    <w:rsid w:val="00604B80"/>
    <w:rsid w:val="00604B83"/>
    <w:rsid w:val="00604CEF"/>
    <w:rsid w:val="00604D08"/>
    <w:rsid w:val="00604E2F"/>
    <w:rsid w:val="00604F9E"/>
    <w:rsid w:val="0060501D"/>
    <w:rsid w:val="00605043"/>
    <w:rsid w:val="0060507E"/>
    <w:rsid w:val="00605121"/>
    <w:rsid w:val="006051EF"/>
    <w:rsid w:val="00605256"/>
    <w:rsid w:val="0060525F"/>
    <w:rsid w:val="00605332"/>
    <w:rsid w:val="00605386"/>
    <w:rsid w:val="006053F4"/>
    <w:rsid w:val="006054AB"/>
    <w:rsid w:val="006054B7"/>
    <w:rsid w:val="006055E4"/>
    <w:rsid w:val="00605673"/>
    <w:rsid w:val="006056CC"/>
    <w:rsid w:val="00605769"/>
    <w:rsid w:val="0060578B"/>
    <w:rsid w:val="006057D1"/>
    <w:rsid w:val="006057EC"/>
    <w:rsid w:val="0060586F"/>
    <w:rsid w:val="00605880"/>
    <w:rsid w:val="00605895"/>
    <w:rsid w:val="006058BB"/>
    <w:rsid w:val="006059D4"/>
    <w:rsid w:val="00605B33"/>
    <w:rsid w:val="00605B9A"/>
    <w:rsid w:val="00605C16"/>
    <w:rsid w:val="00605C73"/>
    <w:rsid w:val="00605C78"/>
    <w:rsid w:val="00605C82"/>
    <w:rsid w:val="00605D9D"/>
    <w:rsid w:val="00605F14"/>
    <w:rsid w:val="00605FFB"/>
    <w:rsid w:val="006060C2"/>
    <w:rsid w:val="00606110"/>
    <w:rsid w:val="00606157"/>
    <w:rsid w:val="00606176"/>
    <w:rsid w:val="006061A6"/>
    <w:rsid w:val="006061C9"/>
    <w:rsid w:val="00606232"/>
    <w:rsid w:val="006062F0"/>
    <w:rsid w:val="006063F7"/>
    <w:rsid w:val="0060643F"/>
    <w:rsid w:val="0060645C"/>
    <w:rsid w:val="006064EF"/>
    <w:rsid w:val="006064FD"/>
    <w:rsid w:val="00606657"/>
    <w:rsid w:val="0060678B"/>
    <w:rsid w:val="00606886"/>
    <w:rsid w:val="006068AE"/>
    <w:rsid w:val="00606911"/>
    <w:rsid w:val="006069FA"/>
    <w:rsid w:val="00606AD7"/>
    <w:rsid w:val="00606B2A"/>
    <w:rsid w:val="00606B9D"/>
    <w:rsid w:val="00606BF5"/>
    <w:rsid w:val="00606CBE"/>
    <w:rsid w:val="00606DD1"/>
    <w:rsid w:val="00606DD7"/>
    <w:rsid w:val="00606E21"/>
    <w:rsid w:val="00606FC5"/>
    <w:rsid w:val="00606FF4"/>
    <w:rsid w:val="006070F1"/>
    <w:rsid w:val="00607163"/>
    <w:rsid w:val="0060728D"/>
    <w:rsid w:val="006072B8"/>
    <w:rsid w:val="006072C7"/>
    <w:rsid w:val="00607358"/>
    <w:rsid w:val="00607425"/>
    <w:rsid w:val="0060768D"/>
    <w:rsid w:val="0060774A"/>
    <w:rsid w:val="00607760"/>
    <w:rsid w:val="006077CA"/>
    <w:rsid w:val="0060785C"/>
    <w:rsid w:val="00607B29"/>
    <w:rsid w:val="00607B9A"/>
    <w:rsid w:val="00607BE3"/>
    <w:rsid w:val="00607C73"/>
    <w:rsid w:val="00607C97"/>
    <w:rsid w:val="00607CD1"/>
    <w:rsid w:val="00607D8A"/>
    <w:rsid w:val="00607DD3"/>
    <w:rsid w:val="00607DE0"/>
    <w:rsid w:val="00607E3D"/>
    <w:rsid w:val="00607F12"/>
    <w:rsid w:val="0060B68D"/>
    <w:rsid w:val="0060C966"/>
    <w:rsid w:val="00610020"/>
    <w:rsid w:val="006100EF"/>
    <w:rsid w:val="00610396"/>
    <w:rsid w:val="006105A7"/>
    <w:rsid w:val="0061064D"/>
    <w:rsid w:val="0061069A"/>
    <w:rsid w:val="006106C0"/>
    <w:rsid w:val="00610724"/>
    <w:rsid w:val="0061074B"/>
    <w:rsid w:val="00610819"/>
    <w:rsid w:val="006108C7"/>
    <w:rsid w:val="0061091E"/>
    <w:rsid w:val="0061092A"/>
    <w:rsid w:val="0061094D"/>
    <w:rsid w:val="00610A45"/>
    <w:rsid w:val="00610A90"/>
    <w:rsid w:val="00610B70"/>
    <w:rsid w:val="00610C96"/>
    <w:rsid w:val="00610CAC"/>
    <w:rsid w:val="00610D83"/>
    <w:rsid w:val="00610DDF"/>
    <w:rsid w:val="00610EA7"/>
    <w:rsid w:val="00610EBC"/>
    <w:rsid w:val="00611096"/>
    <w:rsid w:val="006110F2"/>
    <w:rsid w:val="0061112B"/>
    <w:rsid w:val="00611181"/>
    <w:rsid w:val="00611265"/>
    <w:rsid w:val="006112C7"/>
    <w:rsid w:val="006112CB"/>
    <w:rsid w:val="0061130A"/>
    <w:rsid w:val="00611338"/>
    <w:rsid w:val="006113F2"/>
    <w:rsid w:val="00611413"/>
    <w:rsid w:val="006114A7"/>
    <w:rsid w:val="006114AF"/>
    <w:rsid w:val="006115C1"/>
    <w:rsid w:val="00611622"/>
    <w:rsid w:val="0061168F"/>
    <w:rsid w:val="006116CB"/>
    <w:rsid w:val="006116F9"/>
    <w:rsid w:val="00611777"/>
    <w:rsid w:val="006117A0"/>
    <w:rsid w:val="00611958"/>
    <w:rsid w:val="00611AE2"/>
    <w:rsid w:val="00611B3F"/>
    <w:rsid w:val="00611BE9"/>
    <w:rsid w:val="00611BF1"/>
    <w:rsid w:val="00611D27"/>
    <w:rsid w:val="00611DAF"/>
    <w:rsid w:val="00611DFB"/>
    <w:rsid w:val="00611E2A"/>
    <w:rsid w:val="00612017"/>
    <w:rsid w:val="006120A0"/>
    <w:rsid w:val="006120C4"/>
    <w:rsid w:val="006121D3"/>
    <w:rsid w:val="006122D9"/>
    <w:rsid w:val="006123FF"/>
    <w:rsid w:val="00612409"/>
    <w:rsid w:val="006124E7"/>
    <w:rsid w:val="00612578"/>
    <w:rsid w:val="006126A1"/>
    <w:rsid w:val="006126D4"/>
    <w:rsid w:val="00612756"/>
    <w:rsid w:val="0061277F"/>
    <w:rsid w:val="006128CB"/>
    <w:rsid w:val="00612B73"/>
    <w:rsid w:val="00612B77"/>
    <w:rsid w:val="00612B91"/>
    <w:rsid w:val="00612C68"/>
    <w:rsid w:val="00612D52"/>
    <w:rsid w:val="00612E18"/>
    <w:rsid w:val="00612E1A"/>
    <w:rsid w:val="00612ED7"/>
    <w:rsid w:val="00612F04"/>
    <w:rsid w:val="00612F19"/>
    <w:rsid w:val="00612FA3"/>
    <w:rsid w:val="00612FBC"/>
    <w:rsid w:val="006130BC"/>
    <w:rsid w:val="006130F3"/>
    <w:rsid w:val="00613236"/>
    <w:rsid w:val="006132A5"/>
    <w:rsid w:val="006132EA"/>
    <w:rsid w:val="0061349F"/>
    <w:rsid w:val="00613552"/>
    <w:rsid w:val="006135AE"/>
    <w:rsid w:val="00613608"/>
    <w:rsid w:val="0061360F"/>
    <w:rsid w:val="006136D3"/>
    <w:rsid w:val="006137D6"/>
    <w:rsid w:val="0061389C"/>
    <w:rsid w:val="006138B4"/>
    <w:rsid w:val="00613A0C"/>
    <w:rsid w:val="00613DAE"/>
    <w:rsid w:val="00613DBC"/>
    <w:rsid w:val="00613DF8"/>
    <w:rsid w:val="00613E6D"/>
    <w:rsid w:val="00613EA2"/>
    <w:rsid w:val="006140A0"/>
    <w:rsid w:val="006140D7"/>
    <w:rsid w:val="006141F4"/>
    <w:rsid w:val="00614218"/>
    <w:rsid w:val="0061427B"/>
    <w:rsid w:val="006143DE"/>
    <w:rsid w:val="006144DE"/>
    <w:rsid w:val="00614508"/>
    <w:rsid w:val="0061451C"/>
    <w:rsid w:val="00614595"/>
    <w:rsid w:val="00614774"/>
    <w:rsid w:val="0061477C"/>
    <w:rsid w:val="00614900"/>
    <w:rsid w:val="006149CB"/>
    <w:rsid w:val="006149DB"/>
    <w:rsid w:val="00614A56"/>
    <w:rsid w:val="00614AE2"/>
    <w:rsid w:val="00614BDF"/>
    <w:rsid w:val="00614C6D"/>
    <w:rsid w:val="00614CC4"/>
    <w:rsid w:val="00614E4F"/>
    <w:rsid w:val="00614FA3"/>
    <w:rsid w:val="00614FCF"/>
    <w:rsid w:val="00614FDB"/>
    <w:rsid w:val="00614FE2"/>
    <w:rsid w:val="00615003"/>
    <w:rsid w:val="0061505B"/>
    <w:rsid w:val="006150F4"/>
    <w:rsid w:val="006151B7"/>
    <w:rsid w:val="00615346"/>
    <w:rsid w:val="00615391"/>
    <w:rsid w:val="00615408"/>
    <w:rsid w:val="00615432"/>
    <w:rsid w:val="006154C3"/>
    <w:rsid w:val="00615522"/>
    <w:rsid w:val="0061577F"/>
    <w:rsid w:val="00615836"/>
    <w:rsid w:val="006158C8"/>
    <w:rsid w:val="0061598A"/>
    <w:rsid w:val="00615A5B"/>
    <w:rsid w:val="00615AF8"/>
    <w:rsid w:val="00615B64"/>
    <w:rsid w:val="00615BAD"/>
    <w:rsid w:val="00615BCB"/>
    <w:rsid w:val="00615D6C"/>
    <w:rsid w:val="00615D99"/>
    <w:rsid w:val="00615E21"/>
    <w:rsid w:val="00615E9F"/>
    <w:rsid w:val="00615ECA"/>
    <w:rsid w:val="00615F18"/>
    <w:rsid w:val="00615F6E"/>
    <w:rsid w:val="00615FDB"/>
    <w:rsid w:val="006160A6"/>
    <w:rsid w:val="006160BE"/>
    <w:rsid w:val="0061611C"/>
    <w:rsid w:val="0061614F"/>
    <w:rsid w:val="00616167"/>
    <w:rsid w:val="006161D6"/>
    <w:rsid w:val="0061623D"/>
    <w:rsid w:val="0061633E"/>
    <w:rsid w:val="006163AC"/>
    <w:rsid w:val="006164C4"/>
    <w:rsid w:val="0061679F"/>
    <w:rsid w:val="006167E9"/>
    <w:rsid w:val="006167FC"/>
    <w:rsid w:val="00616876"/>
    <w:rsid w:val="00616891"/>
    <w:rsid w:val="00616B21"/>
    <w:rsid w:val="00616B6C"/>
    <w:rsid w:val="00616B76"/>
    <w:rsid w:val="00616D2B"/>
    <w:rsid w:val="00616F20"/>
    <w:rsid w:val="00616F48"/>
    <w:rsid w:val="00616F59"/>
    <w:rsid w:val="00616F72"/>
    <w:rsid w:val="00616FF7"/>
    <w:rsid w:val="00617147"/>
    <w:rsid w:val="00617280"/>
    <w:rsid w:val="006172E1"/>
    <w:rsid w:val="006172FC"/>
    <w:rsid w:val="0061733E"/>
    <w:rsid w:val="00617399"/>
    <w:rsid w:val="006173C8"/>
    <w:rsid w:val="0061744B"/>
    <w:rsid w:val="00617617"/>
    <w:rsid w:val="006176AD"/>
    <w:rsid w:val="006176F3"/>
    <w:rsid w:val="006177EB"/>
    <w:rsid w:val="006178E5"/>
    <w:rsid w:val="00617944"/>
    <w:rsid w:val="006179DC"/>
    <w:rsid w:val="00617A51"/>
    <w:rsid w:val="00617BE5"/>
    <w:rsid w:val="00617C08"/>
    <w:rsid w:val="00617C62"/>
    <w:rsid w:val="00617D3E"/>
    <w:rsid w:val="00617EB2"/>
    <w:rsid w:val="00617F88"/>
    <w:rsid w:val="00617F96"/>
    <w:rsid w:val="00617FC7"/>
    <w:rsid w:val="00620052"/>
    <w:rsid w:val="00620055"/>
    <w:rsid w:val="00620078"/>
    <w:rsid w:val="00620132"/>
    <w:rsid w:val="00620187"/>
    <w:rsid w:val="006201D0"/>
    <w:rsid w:val="006201D3"/>
    <w:rsid w:val="00620203"/>
    <w:rsid w:val="00620278"/>
    <w:rsid w:val="0062036E"/>
    <w:rsid w:val="00620426"/>
    <w:rsid w:val="006204B6"/>
    <w:rsid w:val="006204FF"/>
    <w:rsid w:val="0062059F"/>
    <w:rsid w:val="006205B2"/>
    <w:rsid w:val="006207CD"/>
    <w:rsid w:val="006207F1"/>
    <w:rsid w:val="00620847"/>
    <w:rsid w:val="00620864"/>
    <w:rsid w:val="006209B1"/>
    <w:rsid w:val="00620A4E"/>
    <w:rsid w:val="00620B65"/>
    <w:rsid w:val="00620C2F"/>
    <w:rsid w:val="00620C8F"/>
    <w:rsid w:val="00620C99"/>
    <w:rsid w:val="00620D01"/>
    <w:rsid w:val="00620FA1"/>
    <w:rsid w:val="00620FE5"/>
    <w:rsid w:val="00621068"/>
    <w:rsid w:val="00621088"/>
    <w:rsid w:val="00621176"/>
    <w:rsid w:val="0062121B"/>
    <w:rsid w:val="00621246"/>
    <w:rsid w:val="0062124A"/>
    <w:rsid w:val="00621281"/>
    <w:rsid w:val="00621328"/>
    <w:rsid w:val="00621359"/>
    <w:rsid w:val="00621490"/>
    <w:rsid w:val="006214AF"/>
    <w:rsid w:val="006214BC"/>
    <w:rsid w:val="006215AB"/>
    <w:rsid w:val="006216C2"/>
    <w:rsid w:val="00621735"/>
    <w:rsid w:val="006217B9"/>
    <w:rsid w:val="00621872"/>
    <w:rsid w:val="0062199C"/>
    <w:rsid w:val="006219BD"/>
    <w:rsid w:val="00621A1B"/>
    <w:rsid w:val="00621A65"/>
    <w:rsid w:val="00621A89"/>
    <w:rsid w:val="00621AB9"/>
    <w:rsid w:val="00621AE4"/>
    <w:rsid w:val="00621B02"/>
    <w:rsid w:val="00621C02"/>
    <w:rsid w:val="00621C13"/>
    <w:rsid w:val="00622059"/>
    <w:rsid w:val="00622063"/>
    <w:rsid w:val="006221B4"/>
    <w:rsid w:val="0062224E"/>
    <w:rsid w:val="006223A6"/>
    <w:rsid w:val="006224D2"/>
    <w:rsid w:val="00622534"/>
    <w:rsid w:val="00622832"/>
    <w:rsid w:val="00622938"/>
    <w:rsid w:val="0062295D"/>
    <w:rsid w:val="00622A05"/>
    <w:rsid w:val="00622B3F"/>
    <w:rsid w:val="00622BAA"/>
    <w:rsid w:val="00622E3D"/>
    <w:rsid w:val="00622E64"/>
    <w:rsid w:val="00622EDB"/>
    <w:rsid w:val="006230B9"/>
    <w:rsid w:val="00623176"/>
    <w:rsid w:val="006231FC"/>
    <w:rsid w:val="0062333D"/>
    <w:rsid w:val="006234AE"/>
    <w:rsid w:val="006234EC"/>
    <w:rsid w:val="006234F5"/>
    <w:rsid w:val="0062351E"/>
    <w:rsid w:val="006235D5"/>
    <w:rsid w:val="00623683"/>
    <w:rsid w:val="006236F8"/>
    <w:rsid w:val="006238C7"/>
    <w:rsid w:val="006238E4"/>
    <w:rsid w:val="0062393A"/>
    <w:rsid w:val="00623985"/>
    <w:rsid w:val="006239FF"/>
    <w:rsid w:val="00623A9C"/>
    <w:rsid w:val="00623AD7"/>
    <w:rsid w:val="00623AE1"/>
    <w:rsid w:val="00623B02"/>
    <w:rsid w:val="00623C06"/>
    <w:rsid w:val="00623D4D"/>
    <w:rsid w:val="00623D53"/>
    <w:rsid w:val="00623D7D"/>
    <w:rsid w:val="0062405A"/>
    <w:rsid w:val="006240BE"/>
    <w:rsid w:val="006240F1"/>
    <w:rsid w:val="0062419E"/>
    <w:rsid w:val="006241A5"/>
    <w:rsid w:val="006242AC"/>
    <w:rsid w:val="006243D8"/>
    <w:rsid w:val="00624418"/>
    <w:rsid w:val="006247E6"/>
    <w:rsid w:val="006248A3"/>
    <w:rsid w:val="00624927"/>
    <w:rsid w:val="00624999"/>
    <w:rsid w:val="006249BE"/>
    <w:rsid w:val="00624A4C"/>
    <w:rsid w:val="00624AD5"/>
    <w:rsid w:val="00624AF4"/>
    <w:rsid w:val="00624B69"/>
    <w:rsid w:val="00624BA7"/>
    <w:rsid w:val="00624C37"/>
    <w:rsid w:val="00624CB7"/>
    <w:rsid w:val="00624D07"/>
    <w:rsid w:val="00624DD4"/>
    <w:rsid w:val="00624E3B"/>
    <w:rsid w:val="00624EB8"/>
    <w:rsid w:val="00624EDD"/>
    <w:rsid w:val="00624F0D"/>
    <w:rsid w:val="00624F75"/>
    <w:rsid w:val="00624F94"/>
    <w:rsid w:val="00624FE0"/>
    <w:rsid w:val="00625071"/>
    <w:rsid w:val="0062508F"/>
    <w:rsid w:val="0062509C"/>
    <w:rsid w:val="006251E5"/>
    <w:rsid w:val="00625240"/>
    <w:rsid w:val="00625249"/>
    <w:rsid w:val="00625270"/>
    <w:rsid w:val="006252C9"/>
    <w:rsid w:val="0062544A"/>
    <w:rsid w:val="006254B4"/>
    <w:rsid w:val="006254BA"/>
    <w:rsid w:val="00625520"/>
    <w:rsid w:val="006256E3"/>
    <w:rsid w:val="00625762"/>
    <w:rsid w:val="0062578D"/>
    <w:rsid w:val="006257C6"/>
    <w:rsid w:val="006259D9"/>
    <w:rsid w:val="00625A14"/>
    <w:rsid w:val="00625B1B"/>
    <w:rsid w:val="00625B20"/>
    <w:rsid w:val="00625DA7"/>
    <w:rsid w:val="00625DE6"/>
    <w:rsid w:val="00625E56"/>
    <w:rsid w:val="00625EB0"/>
    <w:rsid w:val="00625F37"/>
    <w:rsid w:val="00625F47"/>
    <w:rsid w:val="00625F80"/>
    <w:rsid w:val="006261C4"/>
    <w:rsid w:val="00626274"/>
    <w:rsid w:val="006262A9"/>
    <w:rsid w:val="006262E6"/>
    <w:rsid w:val="0062632D"/>
    <w:rsid w:val="00626654"/>
    <w:rsid w:val="0062665A"/>
    <w:rsid w:val="0062668E"/>
    <w:rsid w:val="006266C7"/>
    <w:rsid w:val="00626865"/>
    <w:rsid w:val="00626904"/>
    <w:rsid w:val="0062690F"/>
    <w:rsid w:val="006269F9"/>
    <w:rsid w:val="00626A48"/>
    <w:rsid w:val="00626AE1"/>
    <w:rsid w:val="00626B15"/>
    <w:rsid w:val="00626BAC"/>
    <w:rsid w:val="00626CE3"/>
    <w:rsid w:val="00626E3A"/>
    <w:rsid w:val="00626E8B"/>
    <w:rsid w:val="00626FC0"/>
    <w:rsid w:val="00627007"/>
    <w:rsid w:val="00627013"/>
    <w:rsid w:val="006271D1"/>
    <w:rsid w:val="0062728C"/>
    <w:rsid w:val="00627618"/>
    <w:rsid w:val="00627703"/>
    <w:rsid w:val="00627714"/>
    <w:rsid w:val="00627748"/>
    <w:rsid w:val="00627845"/>
    <w:rsid w:val="0062785F"/>
    <w:rsid w:val="006278E4"/>
    <w:rsid w:val="00627AA6"/>
    <w:rsid w:val="00627BB5"/>
    <w:rsid w:val="00627C2C"/>
    <w:rsid w:val="00627C9A"/>
    <w:rsid w:val="00627DA4"/>
    <w:rsid w:val="00627EBB"/>
    <w:rsid w:val="00627ED7"/>
    <w:rsid w:val="00627F40"/>
    <w:rsid w:val="00627F87"/>
    <w:rsid w:val="00627FCB"/>
    <w:rsid w:val="0062AEF2"/>
    <w:rsid w:val="0062EAB3"/>
    <w:rsid w:val="00630005"/>
    <w:rsid w:val="0063005A"/>
    <w:rsid w:val="0063005E"/>
    <w:rsid w:val="006300F5"/>
    <w:rsid w:val="00630166"/>
    <w:rsid w:val="006301C3"/>
    <w:rsid w:val="006302D6"/>
    <w:rsid w:val="0063033C"/>
    <w:rsid w:val="006303E0"/>
    <w:rsid w:val="006305D6"/>
    <w:rsid w:val="00630664"/>
    <w:rsid w:val="006306B0"/>
    <w:rsid w:val="00630746"/>
    <w:rsid w:val="0063083F"/>
    <w:rsid w:val="00630855"/>
    <w:rsid w:val="00630ACA"/>
    <w:rsid w:val="00630B3B"/>
    <w:rsid w:val="00630B5C"/>
    <w:rsid w:val="00630BEE"/>
    <w:rsid w:val="00630C7B"/>
    <w:rsid w:val="00630CF3"/>
    <w:rsid w:val="00630DD9"/>
    <w:rsid w:val="00630E0D"/>
    <w:rsid w:val="00630E8C"/>
    <w:rsid w:val="00630F7A"/>
    <w:rsid w:val="006310F2"/>
    <w:rsid w:val="00631143"/>
    <w:rsid w:val="0063125C"/>
    <w:rsid w:val="00631310"/>
    <w:rsid w:val="00631327"/>
    <w:rsid w:val="006313AE"/>
    <w:rsid w:val="006313D1"/>
    <w:rsid w:val="0063143F"/>
    <w:rsid w:val="0063147D"/>
    <w:rsid w:val="00631595"/>
    <w:rsid w:val="0063178E"/>
    <w:rsid w:val="006317AF"/>
    <w:rsid w:val="00631928"/>
    <w:rsid w:val="0063193D"/>
    <w:rsid w:val="00631A2D"/>
    <w:rsid w:val="00631A75"/>
    <w:rsid w:val="00631D7E"/>
    <w:rsid w:val="00631DBB"/>
    <w:rsid w:val="00631DBF"/>
    <w:rsid w:val="00631E44"/>
    <w:rsid w:val="00631E7B"/>
    <w:rsid w:val="00631EF1"/>
    <w:rsid w:val="00632022"/>
    <w:rsid w:val="006320D9"/>
    <w:rsid w:val="0063225E"/>
    <w:rsid w:val="0063233D"/>
    <w:rsid w:val="0063238B"/>
    <w:rsid w:val="006323C9"/>
    <w:rsid w:val="0063241F"/>
    <w:rsid w:val="0063244F"/>
    <w:rsid w:val="0063257E"/>
    <w:rsid w:val="00632678"/>
    <w:rsid w:val="006327BF"/>
    <w:rsid w:val="0063292F"/>
    <w:rsid w:val="00632A3D"/>
    <w:rsid w:val="00632B7D"/>
    <w:rsid w:val="00632CE7"/>
    <w:rsid w:val="00632E0D"/>
    <w:rsid w:val="00632E3D"/>
    <w:rsid w:val="00632EA3"/>
    <w:rsid w:val="00632EBA"/>
    <w:rsid w:val="00632ECA"/>
    <w:rsid w:val="00633192"/>
    <w:rsid w:val="00633226"/>
    <w:rsid w:val="0063326C"/>
    <w:rsid w:val="006332E3"/>
    <w:rsid w:val="00633382"/>
    <w:rsid w:val="006333D7"/>
    <w:rsid w:val="00633421"/>
    <w:rsid w:val="0063345E"/>
    <w:rsid w:val="0063349F"/>
    <w:rsid w:val="006335CB"/>
    <w:rsid w:val="006335F5"/>
    <w:rsid w:val="0063362F"/>
    <w:rsid w:val="00633662"/>
    <w:rsid w:val="006337C1"/>
    <w:rsid w:val="006337FE"/>
    <w:rsid w:val="00633A08"/>
    <w:rsid w:val="00633AB3"/>
    <w:rsid w:val="00633B31"/>
    <w:rsid w:val="00633BFE"/>
    <w:rsid w:val="00633C36"/>
    <w:rsid w:val="00633D2F"/>
    <w:rsid w:val="00633FDE"/>
    <w:rsid w:val="0063401B"/>
    <w:rsid w:val="0063406F"/>
    <w:rsid w:val="00634077"/>
    <w:rsid w:val="00634116"/>
    <w:rsid w:val="0063413E"/>
    <w:rsid w:val="00634206"/>
    <w:rsid w:val="00634221"/>
    <w:rsid w:val="00634242"/>
    <w:rsid w:val="00634290"/>
    <w:rsid w:val="00634311"/>
    <w:rsid w:val="00634471"/>
    <w:rsid w:val="00634487"/>
    <w:rsid w:val="00634584"/>
    <w:rsid w:val="006345E6"/>
    <w:rsid w:val="00634740"/>
    <w:rsid w:val="006347CD"/>
    <w:rsid w:val="0063487C"/>
    <w:rsid w:val="00634909"/>
    <w:rsid w:val="00634977"/>
    <w:rsid w:val="00634998"/>
    <w:rsid w:val="006349FA"/>
    <w:rsid w:val="00634A4D"/>
    <w:rsid w:val="00634AE5"/>
    <w:rsid w:val="00634B6C"/>
    <w:rsid w:val="00634B71"/>
    <w:rsid w:val="00634B76"/>
    <w:rsid w:val="00634C70"/>
    <w:rsid w:val="00634C74"/>
    <w:rsid w:val="00634C9B"/>
    <w:rsid w:val="00634CB2"/>
    <w:rsid w:val="00634D8C"/>
    <w:rsid w:val="00634E15"/>
    <w:rsid w:val="0063503D"/>
    <w:rsid w:val="0063505B"/>
    <w:rsid w:val="0063505C"/>
    <w:rsid w:val="006350A6"/>
    <w:rsid w:val="006350AF"/>
    <w:rsid w:val="00635133"/>
    <w:rsid w:val="006351B3"/>
    <w:rsid w:val="0063523B"/>
    <w:rsid w:val="00635369"/>
    <w:rsid w:val="006354AC"/>
    <w:rsid w:val="0063574D"/>
    <w:rsid w:val="00635923"/>
    <w:rsid w:val="006359A2"/>
    <w:rsid w:val="00635A1F"/>
    <w:rsid w:val="00635ACB"/>
    <w:rsid w:val="00635AF7"/>
    <w:rsid w:val="00635B37"/>
    <w:rsid w:val="00635BF9"/>
    <w:rsid w:val="00635D56"/>
    <w:rsid w:val="00635E84"/>
    <w:rsid w:val="00635FE0"/>
    <w:rsid w:val="006360EE"/>
    <w:rsid w:val="00636220"/>
    <w:rsid w:val="0063629F"/>
    <w:rsid w:val="00636381"/>
    <w:rsid w:val="00636591"/>
    <w:rsid w:val="006365FC"/>
    <w:rsid w:val="00636634"/>
    <w:rsid w:val="00636655"/>
    <w:rsid w:val="006367D3"/>
    <w:rsid w:val="00636828"/>
    <w:rsid w:val="006368D7"/>
    <w:rsid w:val="006368DD"/>
    <w:rsid w:val="006368FB"/>
    <w:rsid w:val="00636939"/>
    <w:rsid w:val="006369FA"/>
    <w:rsid w:val="00636ABA"/>
    <w:rsid w:val="00636BD8"/>
    <w:rsid w:val="00636C67"/>
    <w:rsid w:val="00636D61"/>
    <w:rsid w:val="00636F7C"/>
    <w:rsid w:val="006371B9"/>
    <w:rsid w:val="00637283"/>
    <w:rsid w:val="00637294"/>
    <w:rsid w:val="006372D1"/>
    <w:rsid w:val="006372F5"/>
    <w:rsid w:val="0063744C"/>
    <w:rsid w:val="00637617"/>
    <w:rsid w:val="0063763C"/>
    <w:rsid w:val="006376D2"/>
    <w:rsid w:val="00637729"/>
    <w:rsid w:val="0063780C"/>
    <w:rsid w:val="00637853"/>
    <w:rsid w:val="006378AE"/>
    <w:rsid w:val="00637948"/>
    <w:rsid w:val="006379A5"/>
    <w:rsid w:val="00637AF0"/>
    <w:rsid w:val="00637B39"/>
    <w:rsid w:val="00637F67"/>
    <w:rsid w:val="00637F76"/>
    <w:rsid w:val="0063F5B5"/>
    <w:rsid w:val="006400FA"/>
    <w:rsid w:val="0064014C"/>
    <w:rsid w:val="00640224"/>
    <w:rsid w:val="006402E2"/>
    <w:rsid w:val="00640413"/>
    <w:rsid w:val="00640472"/>
    <w:rsid w:val="00640632"/>
    <w:rsid w:val="0064066F"/>
    <w:rsid w:val="00640838"/>
    <w:rsid w:val="00640A33"/>
    <w:rsid w:val="00640C64"/>
    <w:rsid w:val="00640DD4"/>
    <w:rsid w:val="00640E1A"/>
    <w:rsid w:val="00640E8E"/>
    <w:rsid w:val="00640EA8"/>
    <w:rsid w:val="00640ED7"/>
    <w:rsid w:val="00640F4B"/>
    <w:rsid w:val="00640F73"/>
    <w:rsid w:val="00640FEA"/>
    <w:rsid w:val="006410C6"/>
    <w:rsid w:val="00641168"/>
    <w:rsid w:val="0064123B"/>
    <w:rsid w:val="0064128B"/>
    <w:rsid w:val="006412DC"/>
    <w:rsid w:val="00641400"/>
    <w:rsid w:val="0064168D"/>
    <w:rsid w:val="006416B1"/>
    <w:rsid w:val="006416D5"/>
    <w:rsid w:val="006416E3"/>
    <w:rsid w:val="00641746"/>
    <w:rsid w:val="00641814"/>
    <w:rsid w:val="0064185B"/>
    <w:rsid w:val="00641894"/>
    <w:rsid w:val="006418C7"/>
    <w:rsid w:val="006418F4"/>
    <w:rsid w:val="006419C1"/>
    <w:rsid w:val="006419D7"/>
    <w:rsid w:val="00641A00"/>
    <w:rsid w:val="00641B1F"/>
    <w:rsid w:val="00641B37"/>
    <w:rsid w:val="00641B90"/>
    <w:rsid w:val="00641B9B"/>
    <w:rsid w:val="00641BA5"/>
    <w:rsid w:val="00641CA9"/>
    <w:rsid w:val="00641CCD"/>
    <w:rsid w:val="00641F1F"/>
    <w:rsid w:val="00641F33"/>
    <w:rsid w:val="00641FAE"/>
    <w:rsid w:val="006420C8"/>
    <w:rsid w:val="006420FB"/>
    <w:rsid w:val="006421AA"/>
    <w:rsid w:val="006421C2"/>
    <w:rsid w:val="00642206"/>
    <w:rsid w:val="0064223B"/>
    <w:rsid w:val="00642283"/>
    <w:rsid w:val="006422AE"/>
    <w:rsid w:val="0064236C"/>
    <w:rsid w:val="006423B0"/>
    <w:rsid w:val="00642467"/>
    <w:rsid w:val="00642556"/>
    <w:rsid w:val="0064257E"/>
    <w:rsid w:val="006425C0"/>
    <w:rsid w:val="006426AA"/>
    <w:rsid w:val="006426E9"/>
    <w:rsid w:val="00642768"/>
    <w:rsid w:val="00642770"/>
    <w:rsid w:val="006428B4"/>
    <w:rsid w:val="0064291A"/>
    <w:rsid w:val="00642952"/>
    <w:rsid w:val="00642981"/>
    <w:rsid w:val="006429B2"/>
    <w:rsid w:val="00642A12"/>
    <w:rsid w:val="00642B0C"/>
    <w:rsid w:val="00642B20"/>
    <w:rsid w:val="00642B33"/>
    <w:rsid w:val="00642C18"/>
    <w:rsid w:val="00642CCD"/>
    <w:rsid w:val="00642CE8"/>
    <w:rsid w:val="00642E5E"/>
    <w:rsid w:val="00642E69"/>
    <w:rsid w:val="00642ECD"/>
    <w:rsid w:val="00642FE5"/>
    <w:rsid w:val="0064301E"/>
    <w:rsid w:val="00643127"/>
    <w:rsid w:val="00643194"/>
    <w:rsid w:val="006431EF"/>
    <w:rsid w:val="006431FE"/>
    <w:rsid w:val="00643372"/>
    <w:rsid w:val="0064337C"/>
    <w:rsid w:val="00643395"/>
    <w:rsid w:val="0064342A"/>
    <w:rsid w:val="0064352B"/>
    <w:rsid w:val="0064357C"/>
    <w:rsid w:val="006435ED"/>
    <w:rsid w:val="006436AA"/>
    <w:rsid w:val="006436AF"/>
    <w:rsid w:val="0064373F"/>
    <w:rsid w:val="0064375A"/>
    <w:rsid w:val="00643769"/>
    <w:rsid w:val="006437EA"/>
    <w:rsid w:val="00643831"/>
    <w:rsid w:val="006438FB"/>
    <w:rsid w:val="00643904"/>
    <w:rsid w:val="00643923"/>
    <w:rsid w:val="00643A1D"/>
    <w:rsid w:val="00643A46"/>
    <w:rsid w:val="00643AEC"/>
    <w:rsid w:val="00643B93"/>
    <w:rsid w:val="00643CAF"/>
    <w:rsid w:val="00643D03"/>
    <w:rsid w:val="00643D3F"/>
    <w:rsid w:val="00643D90"/>
    <w:rsid w:val="00643DA3"/>
    <w:rsid w:val="00643F2B"/>
    <w:rsid w:val="0064409B"/>
    <w:rsid w:val="006440C1"/>
    <w:rsid w:val="006441C6"/>
    <w:rsid w:val="006441E9"/>
    <w:rsid w:val="00644270"/>
    <w:rsid w:val="006442C3"/>
    <w:rsid w:val="00644330"/>
    <w:rsid w:val="006443A1"/>
    <w:rsid w:val="006444F1"/>
    <w:rsid w:val="006445EA"/>
    <w:rsid w:val="006445EB"/>
    <w:rsid w:val="00644675"/>
    <w:rsid w:val="00644726"/>
    <w:rsid w:val="0064478E"/>
    <w:rsid w:val="006447F2"/>
    <w:rsid w:val="00644814"/>
    <w:rsid w:val="00644816"/>
    <w:rsid w:val="00644849"/>
    <w:rsid w:val="006448F8"/>
    <w:rsid w:val="00644937"/>
    <w:rsid w:val="00644B28"/>
    <w:rsid w:val="00644CC8"/>
    <w:rsid w:val="00644CD9"/>
    <w:rsid w:val="00644E4B"/>
    <w:rsid w:val="00644F53"/>
    <w:rsid w:val="00644FC6"/>
    <w:rsid w:val="00645091"/>
    <w:rsid w:val="0064515F"/>
    <w:rsid w:val="006451E3"/>
    <w:rsid w:val="00645212"/>
    <w:rsid w:val="0064522A"/>
    <w:rsid w:val="00645342"/>
    <w:rsid w:val="006454C3"/>
    <w:rsid w:val="006455CB"/>
    <w:rsid w:val="00645649"/>
    <w:rsid w:val="00645796"/>
    <w:rsid w:val="006457C5"/>
    <w:rsid w:val="00645866"/>
    <w:rsid w:val="00645903"/>
    <w:rsid w:val="00645972"/>
    <w:rsid w:val="006459D1"/>
    <w:rsid w:val="00645ACD"/>
    <w:rsid w:val="00645AD2"/>
    <w:rsid w:val="00645B2B"/>
    <w:rsid w:val="00645BC3"/>
    <w:rsid w:val="00645CAA"/>
    <w:rsid w:val="00645D6F"/>
    <w:rsid w:val="00645E01"/>
    <w:rsid w:val="00645E44"/>
    <w:rsid w:val="00645E59"/>
    <w:rsid w:val="00645EA4"/>
    <w:rsid w:val="00645EF0"/>
    <w:rsid w:val="00645FAA"/>
    <w:rsid w:val="00645FFD"/>
    <w:rsid w:val="00646021"/>
    <w:rsid w:val="0064603D"/>
    <w:rsid w:val="0064611B"/>
    <w:rsid w:val="00646198"/>
    <w:rsid w:val="00646295"/>
    <w:rsid w:val="00646446"/>
    <w:rsid w:val="00646682"/>
    <w:rsid w:val="006466A3"/>
    <w:rsid w:val="006466AF"/>
    <w:rsid w:val="0064674E"/>
    <w:rsid w:val="00646805"/>
    <w:rsid w:val="0064686F"/>
    <w:rsid w:val="00646875"/>
    <w:rsid w:val="006468FE"/>
    <w:rsid w:val="00646919"/>
    <w:rsid w:val="00646943"/>
    <w:rsid w:val="00646A24"/>
    <w:rsid w:val="00646A9E"/>
    <w:rsid w:val="00646ABD"/>
    <w:rsid w:val="00646B45"/>
    <w:rsid w:val="00646BF6"/>
    <w:rsid w:val="00646CA0"/>
    <w:rsid w:val="00646CC5"/>
    <w:rsid w:val="00646D02"/>
    <w:rsid w:val="00646E45"/>
    <w:rsid w:val="00646FA1"/>
    <w:rsid w:val="0064707C"/>
    <w:rsid w:val="006470CC"/>
    <w:rsid w:val="0064711F"/>
    <w:rsid w:val="006471B2"/>
    <w:rsid w:val="006471E2"/>
    <w:rsid w:val="006471FE"/>
    <w:rsid w:val="00647207"/>
    <w:rsid w:val="0064725B"/>
    <w:rsid w:val="006475AC"/>
    <w:rsid w:val="006475E3"/>
    <w:rsid w:val="00647670"/>
    <w:rsid w:val="006477AD"/>
    <w:rsid w:val="0064781F"/>
    <w:rsid w:val="00647836"/>
    <w:rsid w:val="00647B48"/>
    <w:rsid w:val="00647BC7"/>
    <w:rsid w:val="00647BE0"/>
    <w:rsid w:val="00647BF8"/>
    <w:rsid w:val="00647DA3"/>
    <w:rsid w:val="00647DF7"/>
    <w:rsid w:val="00647E2C"/>
    <w:rsid w:val="00647F7B"/>
    <w:rsid w:val="00649B89"/>
    <w:rsid w:val="0064CD4C"/>
    <w:rsid w:val="0064D9EA"/>
    <w:rsid w:val="0064F4B6"/>
    <w:rsid w:val="00650024"/>
    <w:rsid w:val="00650141"/>
    <w:rsid w:val="006501A9"/>
    <w:rsid w:val="006501C8"/>
    <w:rsid w:val="006501CF"/>
    <w:rsid w:val="006502F0"/>
    <w:rsid w:val="00650338"/>
    <w:rsid w:val="006503C6"/>
    <w:rsid w:val="006503C9"/>
    <w:rsid w:val="006504CD"/>
    <w:rsid w:val="006505BF"/>
    <w:rsid w:val="006505CE"/>
    <w:rsid w:val="006505DD"/>
    <w:rsid w:val="00650603"/>
    <w:rsid w:val="006507E2"/>
    <w:rsid w:val="006507ED"/>
    <w:rsid w:val="00650836"/>
    <w:rsid w:val="0065083C"/>
    <w:rsid w:val="00650863"/>
    <w:rsid w:val="006508B9"/>
    <w:rsid w:val="006508C7"/>
    <w:rsid w:val="006508D1"/>
    <w:rsid w:val="0065092D"/>
    <w:rsid w:val="006509D0"/>
    <w:rsid w:val="00650A75"/>
    <w:rsid w:val="00650B72"/>
    <w:rsid w:val="00650B89"/>
    <w:rsid w:val="00650C31"/>
    <w:rsid w:val="00650C89"/>
    <w:rsid w:val="00650D50"/>
    <w:rsid w:val="00650D95"/>
    <w:rsid w:val="00650E20"/>
    <w:rsid w:val="00650E86"/>
    <w:rsid w:val="00650FB5"/>
    <w:rsid w:val="00650FBB"/>
    <w:rsid w:val="00650FBC"/>
    <w:rsid w:val="0065102C"/>
    <w:rsid w:val="0065103E"/>
    <w:rsid w:val="006510AD"/>
    <w:rsid w:val="006510B2"/>
    <w:rsid w:val="006510CD"/>
    <w:rsid w:val="006511DE"/>
    <w:rsid w:val="00651246"/>
    <w:rsid w:val="00651308"/>
    <w:rsid w:val="00651329"/>
    <w:rsid w:val="006514A6"/>
    <w:rsid w:val="006515AA"/>
    <w:rsid w:val="00651694"/>
    <w:rsid w:val="00651713"/>
    <w:rsid w:val="0065174C"/>
    <w:rsid w:val="006517BD"/>
    <w:rsid w:val="006517C1"/>
    <w:rsid w:val="00651863"/>
    <w:rsid w:val="00651900"/>
    <w:rsid w:val="0065192F"/>
    <w:rsid w:val="006519F5"/>
    <w:rsid w:val="00651A38"/>
    <w:rsid w:val="00651B6A"/>
    <w:rsid w:val="00651BC4"/>
    <w:rsid w:val="00651C90"/>
    <w:rsid w:val="00651E2D"/>
    <w:rsid w:val="00651F1D"/>
    <w:rsid w:val="00651F5B"/>
    <w:rsid w:val="00651F71"/>
    <w:rsid w:val="00651FAF"/>
    <w:rsid w:val="006520C0"/>
    <w:rsid w:val="006520EC"/>
    <w:rsid w:val="006521E7"/>
    <w:rsid w:val="00652268"/>
    <w:rsid w:val="00652306"/>
    <w:rsid w:val="006523DE"/>
    <w:rsid w:val="00652531"/>
    <w:rsid w:val="00652579"/>
    <w:rsid w:val="006525C2"/>
    <w:rsid w:val="006525D7"/>
    <w:rsid w:val="0065266D"/>
    <w:rsid w:val="0065288C"/>
    <w:rsid w:val="006528B6"/>
    <w:rsid w:val="00652A60"/>
    <w:rsid w:val="00652AC6"/>
    <w:rsid w:val="00652AE5"/>
    <w:rsid w:val="00652B07"/>
    <w:rsid w:val="00652C37"/>
    <w:rsid w:val="00652D19"/>
    <w:rsid w:val="00652D7B"/>
    <w:rsid w:val="00652D98"/>
    <w:rsid w:val="00652E43"/>
    <w:rsid w:val="00652F20"/>
    <w:rsid w:val="0065301B"/>
    <w:rsid w:val="0065307A"/>
    <w:rsid w:val="00653160"/>
    <w:rsid w:val="00653165"/>
    <w:rsid w:val="00653200"/>
    <w:rsid w:val="006533CF"/>
    <w:rsid w:val="006533DB"/>
    <w:rsid w:val="00653429"/>
    <w:rsid w:val="006534A4"/>
    <w:rsid w:val="0065364D"/>
    <w:rsid w:val="0065368E"/>
    <w:rsid w:val="00653751"/>
    <w:rsid w:val="00653783"/>
    <w:rsid w:val="006537C2"/>
    <w:rsid w:val="006537D3"/>
    <w:rsid w:val="006537EC"/>
    <w:rsid w:val="006538A3"/>
    <w:rsid w:val="00653A4B"/>
    <w:rsid w:val="00653A76"/>
    <w:rsid w:val="00653AD6"/>
    <w:rsid w:val="00653AFF"/>
    <w:rsid w:val="00653B3B"/>
    <w:rsid w:val="00653BA4"/>
    <w:rsid w:val="00653BA9"/>
    <w:rsid w:val="00653DAE"/>
    <w:rsid w:val="00653DB7"/>
    <w:rsid w:val="00653E41"/>
    <w:rsid w:val="00653F84"/>
    <w:rsid w:val="00653FA6"/>
    <w:rsid w:val="00653FF8"/>
    <w:rsid w:val="0065408E"/>
    <w:rsid w:val="006540FE"/>
    <w:rsid w:val="00654118"/>
    <w:rsid w:val="006541B0"/>
    <w:rsid w:val="0065428F"/>
    <w:rsid w:val="006542B2"/>
    <w:rsid w:val="00654355"/>
    <w:rsid w:val="00654386"/>
    <w:rsid w:val="006543D0"/>
    <w:rsid w:val="00654413"/>
    <w:rsid w:val="00654444"/>
    <w:rsid w:val="00654503"/>
    <w:rsid w:val="00654561"/>
    <w:rsid w:val="006545E2"/>
    <w:rsid w:val="006545F3"/>
    <w:rsid w:val="0065468D"/>
    <w:rsid w:val="006546D8"/>
    <w:rsid w:val="006546EA"/>
    <w:rsid w:val="006547B0"/>
    <w:rsid w:val="006548BC"/>
    <w:rsid w:val="006548D3"/>
    <w:rsid w:val="006548FD"/>
    <w:rsid w:val="0065497C"/>
    <w:rsid w:val="00654A27"/>
    <w:rsid w:val="00654A48"/>
    <w:rsid w:val="00654C02"/>
    <w:rsid w:val="00654C1F"/>
    <w:rsid w:val="00654C70"/>
    <w:rsid w:val="00654D2B"/>
    <w:rsid w:val="00654D7A"/>
    <w:rsid w:val="00654DA2"/>
    <w:rsid w:val="00654E87"/>
    <w:rsid w:val="00654EA9"/>
    <w:rsid w:val="00654EC1"/>
    <w:rsid w:val="00655002"/>
    <w:rsid w:val="00655041"/>
    <w:rsid w:val="006551B7"/>
    <w:rsid w:val="00655266"/>
    <w:rsid w:val="006552F8"/>
    <w:rsid w:val="00655328"/>
    <w:rsid w:val="006553D1"/>
    <w:rsid w:val="00655413"/>
    <w:rsid w:val="006554C5"/>
    <w:rsid w:val="006555A2"/>
    <w:rsid w:val="006555BB"/>
    <w:rsid w:val="0065562F"/>
    <w:rsid w:val="0065573D"/>
    <w:rsid w:val="0065589C"/>
    <w:rsid w:val="006558A1"/>
    <w:rsid w:val="00655963"/>
    <w:rsid w:val="00655C35"/>
    <w:rsid w:val="00655F5C"/>
    <w:rsid w:val="0065608C"/>
    <w:rsid w:val="0065619A"/>
    <w:rsid w:val="0065621C"/>
    <w:rsid w:val="0065625A"/>
    <w:rsid w:val="00656289"/>
    <w:rsid w:val="006563A7"/>
    <w:rsid w:val="006563E7"/>
    <w:rsid w:val="0065640B"/>
    <w:rsid w:val="00656455"/>
    <w:rsid w:val="006564B3"/>
    <w:rsid w:val="006564C1"/>
    <w:rsid w:val="00656684"/>
    <w:rsid w:val="00656695"/>
    <w:rsid w:val="00656823"/>
    <w:rsid w:val="00656905"/>
    <w:rsid w:val="00656A19"/>
    <w:rsid w:val="00656A3D"/>
    <w:rsid w:val="00656A41"/>
    <w:rsid w:val="00656A5A"/>
    <w:rsid w:val="00656AD1"/>
    <w:rsid w:val="00656ADF"/>
    <w:rsid w:val="00656AE3"/>
    <w:rsid w:val="00656B3C"/>
    <w:rsid w:val="00656C1D"/>
    <w:rsid w:val="00656CC4"/>
    <w:rsid w:val="00656EE5"/>
    <w:rsid w:val="00656F3A"/>
    <w:rsid w:val="006570E5"/>
    <w:rsid w:val="00657114"/>
    <w:rsid w:val="00657195"/>
    <w:rsid w:val="00657205"/>
    <w:rsid w:val="0065726A"/>
    <w:rsid w:val="006572B9"/>
    <w:rsid w:val="006573D5"/>
    <w:rsid w:val="00657499"/>
    <w:rsid w:val="00657581"/>
    <w:rsid w:val="006575AB"/>
    <w:rsid w:val="00657680"/>
    <w:rsid w:val="0065768B"/>
    <w:rsid w:val="0065771A"/>
    <w:rsid w:val="0065784A"/>
    <w:rsid w:val="00657984"/>
    <w:rsid w:val="00657A1B"/>
    <w:rsid w:val="00657A64"/>
    <w:rsid w:val="00657A85"/>
    <w:rsid w:val="00657B54"/>
    <w:rsid w:val="00657BB9"/>
    <w:rsid w:val="00657CA9"/>
    <w:rsid w:val="00657E05"/>
    <w:rsid w:val="00657E4A"/>
    <w:rsid w:val="0066005B"/>
    <w:rsid w:val="0066007E"/>
    <w:rsid w:val="006600B7"/>
    <w:rsid w:val="00660106"/>
    <w:rsid w:val="0066011B"/>
    <w:rsid w:val="00660142"/>
    <w:rsid w:val="00660182"/>
    <w:rsid w:val="00660490"/>
    <w:rsid w:val="00660595"/>
    <w:rsid w:val="006605C0"/>
    <w:rsid w:val="00660603"/>
    <w:rsid w:val="006607BD"/>
    <w:rsid w:val="0066081B"/>
    <w:rsid w:val="00660A35"/>
    <w:rsid w:val="00660C12"/>
    <w:rsid w:val="00660CD5"/>
    <w:rsid w:val="00660DC7"/>
    <w:rsid w:val="00660E61"/>
    <w:rsid w:val="00660E75"/>
    <w:rsid w:val="00660FE0"/>
    <w:rsid w:val="00661005"/>
    <w:rsid w:val="00661060"/>
    <w:rsid w:val="0066107A"/>
    <w:rsid w:val="006610B2"/>
    <w:rsid w:val="006610E9"/>
    <w:rsid w:val="00661289"/>
    <w:rsid w:val="00661455"/>
    <w:rsid w:val="006614E2"/>
    <w:rsid w:val="006615F0"/>
    <w:rsid w:val="00661621"/>
    <w:rsid w:val="00661627"/>
    <w:rsid w:val="006618F5"/>
    <w:rsid w:val="00661953"/>
    <w:rsid w:val="0066196A"/>
    <w:rsid w:val="00661995"/>
    <w:rsid w:val="00661A64"/>
    <w:rsid w:val="00661F51"/>
    <w:rsid w:val="00661F6D"/>
    <w:rsid w:val="006621D2"/>
    <w:rsid w:val="00662267"/>
    <w:rsid w:val="006622FA"/>
    <w:rsid w:val="0066238F"/>
    <w:rsid w:val="0066242F"/>
    <w:rsid w:val="006626FE"/>
    <w:rsid w:val="00662777"/>
    <w:rsid w:val="0066294C"/>
    <w:rsid w:val="0066294D"/>
    <w:rsid w:val="006629A0"/>
    <w:rsid w:val="00662ABB"/>
    <w:rsid w:val="00662AC9"/>
    <w:rsid w:val="00662CC6"/>
    <w:rsid w:val="00662D6B"/>
    <w:rsid w:val="00662F14"/>
    <w:rsid w:val="00662F52"/>
    <w:rsid w:val="00663056"/>
    <w:rsid w:val="006630F6"/>
    <w:rsid w:val="00663141"/>
    <w:rsid w:val="00663295"/>
    <w:rsid w:val="00663319"/>
    <w:rsid w:val="00663357"/>
    <w:rsid w:val="006633A8"/>
    <w:rsid w:val="006633B5"/>
    <w:rsid w:val="006633BE"/>
    <w:rsid w:val="00663432"/>
    <w:rsid w:val="00663455"/>
    <w:rsid w:val="0066345C"/>
    <w:rsid w:val="006634B5"/>
    <w:rsid w:val="00663518"/>
    <w:rsid w:val="0066353D"/>
    <w:rsid w:val="006635A3"/>
    <w:rsid w:val="006635FF"/>
    <w:rsid w:val="0066368F"/>
    <w:rsid w:val="00663748"/>
    <w:rsid w:val="00663849"/>
    <w:rsid w:val="006638A9"/>
    <w:rsid w:val="006638C2"/>
    <w:rsid w:val="006638CC"/>
    <w:rsid w:val="00663961"/>
    <w:rsid w:val="0066399C"/>
    <w:rsid w:val="00663A1A"/>
    <w:rsid w:val="00663ABD"/>
    <w:rsid w:val="00663B0A"/>
    <w:rsid w:val="00663D08"/>
    <w:rsid w:val="00663D6E"/>
    <w:rsid w:val="00663D7A"/>
    <w:rsid w:val="00663E51"/>
    <w:rsid w:val="00663EE0"/>
    <w:rsid w:val="00663F28"/>
    <w:rsid w:val="00663F32"/>
    <w:rsid w:val="0066400D"/>
    <w:rsid w:val="006640BE"/>
    <w:rsid w:val="0066417C"/>
    <w:rsid w:val="00664320"/>
    <w:rsid w:val="006643FE"/>
    <w:rsid w:val="00664472"/>
    <w:rsid w:val="00664611"/>
    <w:rsid w:val="0066461F"/>
    <w:rsid w:val="006647D2"/>
    <w:rsid w:val="0066480F"/>
    <w:rsid w:val="0066487C"/>
    <w:rsid w:val="006648B3"/>
    <w:rsid w:val="00664B69"/>
    <w:rsid w:val="00664C33"/>
    <w:rsid w:val="00664DBB"/>
    <w:rsid w:val="00664DF4"/>
    <w:rsid w:val="00664EE2"/>
    <w:rsid w:val="00665026"/>
    <w:rsid w:val="00665068"/>
    <w:rsid w:val="006650F9"/>
    <w:rsid w:val="0066516A"/>
    <w:rsid w:val="00665270"/>
    <w:rsid w:val="00665511"/>
    <w:rsid w:val="00665552"/>
    <w:rsid w:val="00665553"/>
    <w:rsid w:val="00665730"/>
    <w:rsid w:val="0066574F"/>
    <w:rsid w:val="006657B3"/>
    <w:rsid w:val="006657FD"/>
    <w:rsid w:val="00665A47"/>
    <w:rsid w:val="00665A8D"/>
    <w:rsid w:val="00665ACB"/>
    <w:rsid w:val="00665B07"/>
    <w:rsid w:val="00665B29"/>
    <w:rsid w:val="00665C24"/>
    <w:rsid w:val="00665CFB"/>
    <w:rsid w:val="00665D5E"/>
    <w:rsid w:val="00665DA9"/>
    <w:rsid w:val="00665DF5"/>
    <w:rsid w:val="00665E9E"/>
    <w:rsid w:val="00665EAF"/>
    <w:rsid w:val="00665EC6"/>
    <w:rsid w:val="00665F83"/>
    <w:rsid w:val="00666201"/>
    <w:rsid w:val="0066630A"/>
    <w:rsid w:val="00666325"/>
    <w:rsid w:val="006663FE"/>
    <w:rsid w:val="00666427"/>
    <w:rsid w:val="00666482"/>
    <w:rsid w:val="006664B7"/>
    <w:rsid w:val="006664E1"/>
    <w:rsid w:val="00666542"/>
    <w:rsid w:val="006665B3"/>
    <w:rsid w:val="006665BD"/>
    <w:rsid w:val="006666B6"/>
    <w:rsid w:val="006666C0"/>
    <w:rsid w:val="0066679B"/>
    <w:rsid w:val="00666818"/>
    <w:rsid w:val="006668D5"/>
    <w:rsid w:val="00666943"/>
    <w:rsid w:val="00666AA8"/>
    <w:rsid w:val="00666B78"/>
    <w:rsid w:val="00666C15"/>
    <w:rsid w:val="00666C2D"/>
    <w:rsid w:val="00666C82"/>
    <w:rsid w:val="00666CA4"/>
    <w:rsid w:val="00666CC9"/>
    <w:rsid w:val="00666DEC"/>
    <w:rsid w:val="00666E10"/>
    <w:rsid w:val="00666E93"/>
    <w:rsid w:val="00666E98"/>
    <w:rsid w:val="00666EB3"/>
    <w:rsid w:val="00666EDA"/>
    <w:rsid w:val="00666EFF"/>
    <w:rsid w:val="00666F42"/>
    <w:rsid w:val="00666FDC"/>
    <w:rsid w:val="0066702A"/>
    <w:rsid w:val="0066708A"/>
    <w:rsid w:val="006670AB"/>
    <w:rsid w:val="00667151"/>
    <w:rsid w:val="006671BC"/>
    <w:rsid w:val="006671F2"/>
    <w:rsid w:val="00667208"/>
    <w:rsid w:val="006672FD"/>
    <w:rsid w:val="00667302"/>
    <w:rsid w:val="006674D7"/>
    <w:rsid w:val="006677C5"/>
    <w:rsid w:val="006678E9"/>
    <w:rsid w:val="00667B0F"/>
    <w:rsid w:val="00667B35"/>
    <w:rsid w:val="00667B6B"/>
    <w:rsid w:val="00667B91"/>
    <w:rsid w:val="00667BAF"/>
    <w:rsid w:val="00667BED"/>
    <w:rsid w:val="00667C02"/>
    <w:rsid w:val="00667D70"/>
    <w:rsid w:val="00667EA3"/>
    <w:rsid w:val="00667EA6"/>
    <w:rsid w:val="00667EBE"/>
    <w:rsid w:val="00667F60"/>
    <w:rsid w:val="0066DB77"/>
    <w:rsid w:val="00670108"/>
    <w:rsid w:val="0067011F"/>
    <w:rsid w:val="0067014C"/>
    <w:rsid w:val="006701E9"/>
    <w:rsid w:val="006702EE"/>
    <w:rsid w:val="00670420"/>
    <w:rsid w:val="0067044A"/>
    <w:rsid w:val="006704E8"/>
    <w:rsid w:val="006705A7"/>
    <w:rsid w:val="006705D7"/>
    <w:rsid w:val="00670639"/>
    <w:rsid w:val="00670698"/>
    <w:rsid w:val="00670716"/>
    <w:rsid w:val="00670762"/>
    <w:rsid w:val="00670932"/>
    <w:rsid w:val="006709D4"/>
    <w:rsid w:val="006709E1"/>
    <w:rsid w:val="00670A2E"/>
    <w:rsid w:val="00670AC6"/>
    <w:rsid w:val="00670B53"/>
    <w:rsid w:val="00670B6D"/>
    <w:rsid w:val="00670B7F"/>
    <w:rsid w:val="00670D30"/>
    <w:rsid w:val="00670EE8"/>
    <w:rsid w:val="00670FDD"/>
    <w:rsid w:val="00671034"/>
    <w:rsid w:val="00671081"/>
    <w:rsid w:val="00671105"/>
    <w:rsid w:val="0067119A"/>
    <w:rsid w:val="006711E1"/>
    <w:rsid w:val="006711EE"/>
    <w:rsid w:val="00671365"/>
    <w:rsid w:val="0067138A"/>
    <w:rsid w:val="00671418"/>
    <w:rsid w:val="0067144E"/>
    <w:rsid w:val="006714B4"/>
    <w:rsid w:val="006714C0"/>
    <w:rsid w:val="006714C7"/>
    <w:rsid w:val="006714CB"/>
    <w:rsid w:val="006716AF"/>
    <w:rsid w:val="0067175D"/>
    <w:rsid w:val="006718F5"/>
    <w:rsid w:val="00671980"/>
    <w:rsid w:val="006719B8"/>
    <w:rsid w:val="00671A1B"/>
    <w:rsid w:val="00671A6F"/>
    <w:rsid w:val="00671ADE"/>
    <w:rsid w:val="00671B67"/>
    <w:rsid w:val="00671C22"/>
    <w:rsid w:val="00671CCB"/>
    <w:rsid w:val="00671D43"/>
    <w:rsid w:val="00671D95"/>
    <w:rsid w:val="00671E77"/>
    <w:rsid w:val="00671EC7"/>
    <w:rsid w:val="00671FE3"/>
    <w:rsid w:val="00672083"/>
    <w:rsid w:val="006720DE"/>
    <w:rsid w:val="006720EF"/>
    <w:rsid w:val="006720F5"/>
    <w:rsid w:val="0067216A"/>
    <w:rsid w:val="00672187"/>
    <w:rsid w:val="00672190"/>
    <w:rsid w:val="0067220F"/>
    <w:rsid w:val="006722D0"/>
    <w:rsid w:val="00672361"/>
    <w:rsid w:val="00672394"/>
    <w:rsid w:val="006723F3"/>
    <w:rsid w:val="0067245C"/>
    <w:rsid w:val="00672485"/>
    <w:rsid w:val="006724FA"/>
    <w:rsid w:val="00672569"/>
    <w:rsid w:val="006725CE"/>
    <w:rsid w:val="0067275E"/>
    <w:rsid w:val="00672761"/>
    <w:rsid w:val="0067283A"/>
    <w:rsid w:val="00672887"/>
    <w:rsid w:val="00672A24"/>
    <w:rsid w:val="00672A75"/>
    <w:rsid w:val="00672C0A"/>
    <w:rsid w:val="00672C40"/>
    <w:rsid w:val="00672C74"/>
    <w:rsid w:val="00672CD8"/>
    <w:rsid w:val="00672D6B"/>
    <w:rsid w:val="00672E47"/>
    <w:rsid w:val="00672E4A"/>
    <w:rsid w:val="00672E65"/>
    <w:rsid w:val="00672F37"/>
    <w:rsid w:val="00672F84"/>
    <w:rsid w:val="00673021"/>
    <w:rsid w:val="0067307A"/>
    <w:rsid w:val="006732AA"/>
    <w:rsid w:val="00673424"/>
    <w:rsid w:val="00673454"/>
    <w:rsid w:val="006734AE"/>
    <w:rsid w:val="006734CB"/>
    <w:rsid w:val="006734E0"/>
    <w:rsid w:val="0067352E"/>
    <w:rsid w:val="00673600"/>
    <w:rsid w:val="0067361C"/>
    <w:rsid w:val="00673695"/>
    <w:rsid w:val="006736D5"/>
    <w:rsid w:val="006736F0"/>
    <w:rsid w:val="0067379F"/>
    <w:rsid w:val="006737D7"/>
    <w:rsid w:val="006737FB"/>
    <w:rsid w:val="00673860"/>
    <w:rsid w:val="006738EE"/>
    <w:rsid w:val="0067393B"/>
    <w:rsid w:val="006739F3"/>
    <w:rsid w:val="00673ADB"/>
    <w:rsid w:val="00673AF4"/>
    <w:rsid w:val="00673AF7"/>
    <w:rsid w:val="00673B1D"/>
    <w:rsid w:val="00673CFC"/>
    <w:rsid w:val="00673DD2"/>
    <w:rsid w:val="00673E65"/>
    <w:rsid w:val="00673E9F"/>
    <w:rsid w:val="00673EC5"/>
    <w:rsid w:val="00673EE5"/>
    <w:rsid w:val="00673F0D"/>
    <w:rsid w:val="006740A0"/>
    <w:rsid w:val="0067415E"/>
    <w:rsid w:val="0067426B"/>
    <w:rsid w:val="006742E3"/>
    <w:rsid w:val="0067433E"/>
    <w:rsid w:val="0067435C"/>
    <w:rsid w:val="006743DB"/>
    <w:rsid w:val="0067449A"/>
    <w:rsid w:val="0067461C"/>
    <w:rsid w:val="00674626"/>
    <w:rsid w:val="00674797"/>
    <w:rsid w:val="00674885"/>
    <w:rsid w:val="00674893"/>
    <w:rsid w:val="00674901"/>
    <w:rsid w:val="00674B4D"/>
    <w:rsid w:val="00674CFE"/>
    <w:rsid w:val="00674CFF"/>
    <w:rsid w:val="00674D39"/>
    <w:rsid w:val="00674E81"/>
    <w:rsid w:val="00674EFD"/>
    <w:rsid w:val="00674FEC"/>
    <w:rsid w:val="00675011"/>
    <w:rsid w:val="00675092"/>
    <w:rsid w:val="00675257"/>
    <w:rsid w:val="00675286"/>
    <w:rsid w:val="00675335"/>
    <w:rsid w:val="00675360"/>
    <w:rsid w:val="00675387"/>
    <w:rsid w:val="006755D0"/>
    <w:rsid w:val="0067561F"/>
    <w:rsid w:val="00675671"/>
    <w:rsid w:val="0067579E"/>
    <w:rsid w:val="006757CE"/>
    <w:rsid w:val="006757E0"/>
    <w:rsid w:val="0067586C"/>
    <w:rsid w:val="006758B7"/>
    <w:rsid w:val="00675A42"/>
    <w:rsid w:val="00675AA9"/>
    <w:rsid w:val="00675B10"/>
    <w:rsid w:val="00675B5F"/>
    <w:rsid w:val="00675B9A"/>
    <w:rsid w:val="00675BC4"/>
    <w:rsid w:val="00675BE6"/>
    <w:rsid w:val="00675CB1"/>
    <w:rsid w:val="00675CF9"/>
    <w:rsid w:val="00675DE6"/>
    <w:rsid w:val="00675E3F"/>
    <w:rsid w:val="00675E72"/>
    <w:rsid w:val="00675FCB"/>
    <w:rsid w:val="00676062"/>
    <w:rsid w:val="00676097"/>
    <w:rsid w:val="006760A0"/>
    <w:rsid w:val="0067619B"/>
    <w:rsid w:val="006762A2"/>
    <w:rsid w:val="00676326"/>
    <w:rsid w:val="00676365"/>
    <w:rsid w:val="006763DE"/>
    <w:rsid w:val="006763F2"/>
    <w:rsid w:val="00676471"/>
    <w:rsid w:val="00676482"/>
    <w:rsid w:val="00676497"/>
    <w:rsid w:val="0067650A"/>
    <w:rsid w:val="006765E2"/>
    <w:rsid w:val="00676650"/>
    <w:rsid w:val="006766B5"/>
    <w:rsid w:val="00676703"/>
    <w:rsid w:val="0067675B"/>
    <w:rsid w:val="006767E8"/>
    <w:rsid w:val="0067681A"/>
    <w:rsid w:val="006768A0"/>
    <w:rsid w:val="006768E6"/>
    <w:rsid w:val="00676900"/>
    <w:rsid w:val="006769AE"/>
    <w:rsid w:val="006769C3"/>
    <w:rsid w:val="00676AC2"/>
    <w:rsid w:val="00676B12"/>
    <w:rsid w:val="00676B1E"/>
    <w:rsid w:val="00676BF4"/>
    <w:rsid w:val="00676CF6"/>
    <w:rsid w:val="00676D22"/>
    <w:rsid w:val="00676D57"/>
    <w:rsid w:val="00676DB3"/>
    <w:rsid w:val="00676DCF"/>
    <w:rsid w:val="00676EC7"/>
    <w:rsid w:val="00676F8B"/>
    <w:rsid w:val="006773EB"/>
    <w:rsid w:val="0067744E"/>
    <w:rsid w:val="00677493"/>
    <w:rsid w:val="00677572"/>
    <w:rsid w:val="006776FE"/>
    <w:rsid w:val="00677742"/>
    <w:rsid w:val="00677776"/>
    <w:rsid w:val="006777C1"/>
    <w:rsid w:val="006777C4"/>
    <w:rsid w:val="00677890"/>
    <w:rsid w:val="006778DB"/>
    <w:rsid w:val="00677960"/>
    <w:rsid w:val="00677A4E"/>
    <w:rsid w:val="00677A6C"/>
    <w:rsid w:val="00677B8E"/>
    <w:rsid w:val="00677BD3"/>
    <w:rsid w:val="00677CFD"/>
    <w:rsid w:val="00677EE7"/>
    <w:rsid w:val="00677F69"/>
    <w:rsid w:val="00677FF0"/>
    <w:rsid w:val="0067D686"/>
    <w:rsid w:val="00680055"/>
    <w:rsid w:val="0068027A"/>
    <w:rsid w:val="0068027E"/>
    <w:rsid w:val="00680330"/>
    <w:rsid w:val="00680385"/>
    <w:rsid w:val="006803C5"/>
    <w:rsid w:val="0068054E"/>
    <w:rsid w:val="00680674"/>
    <w:rsid w:val="006806D8"/>
    <w:rsid w:val="00680763"/>
    <w:rsid w:val="00680937"/>
    <w:rsid w:val="0068093C"/>
    <w:rsid w:val="006809AF"/>
    <w:rsid w:val="006809DF"/>
    <w:rsid w:val="00680B2F"/>
    <w:rsid w:val="00680B32"/>
    <w:rsid w:val="00680B3C"/>
    <w:rsid w:val="00680C1F"/>
    <w:rsid w:val="00680C70"/>
    <w:rsid w:val="00680C71"/>
    <w:rsid w:val="00680C79"/>
    <w:rsid w:val="00680D12"/>
    <w:rsid w:val="00680E77"/>
    <w:rsid w:val="00680EA6"/>
    <w:rsid w:val="00680EB3"/>
    <w:rsid w:val="00680ECD"/>
    <w:rsid w:val="00680F47"/>
    <w:rsid w:val="00680FCC"/>
    <w:rsid w:val="00681178"/>
    <w:rsid w:val="006811E8"/>
    <w:rsid w:val="006812B2"/>
    <w:rsid w:val="0068137A"/>
    <w:rsid w:val="0068137F"/>
    <w:rsid w:val="006813F0"/>
    <w:rsid w:val="00681445"/>
    <w:rsid w:val="0068147B"/>
    <w:rsid w:val="0068149E"/>
    <w:rsid w:val="00681552"/>
    <w:rsid w:val="00681571"/>
    <w:rsid w:val="0068158C"/>
    <w:rsid w:val="006818B2"/>
    <w:rsid w:val="006818D8"/>
    <w:rsid w:val="0068196B"/>
    <w:rsid w:val="00681A7F"/>
    <w:rsid w:val="00681B5C"/>
    <w:rsid w:val="00681BD7"/>
    <w:rsid w:val="00681C95"/>
    <w:rsid w:val="00681D51"/>
    <w:rsid w:val="00681DA8"/>
    <w:rsid w:val="00681EA9"/>
    <w:rsid w:val="00681FFD"/>
    <w:rsid w:val="00682002"/>
    <w:rsid w:val="006820A0"/>
    <w:rsid w:val="0068210B"/>
    <w:rsid w:val="00682116"/>
    <w:rsid w:val="006821B5"/>
    <w:rsid w:val="0068222D"/>
    <w:rsid w:val="00682412"/>
    <w:rsid w:val="00682429"/>
    <w:rsid w:val="006826D5"/>
    <w:rsid w:val="00682796"/>
    <w:rsid w:val="006827DB"/>
    <w:rsid w:val="006828F0"/>
    <w:rsid w:val="00682900"/>
    <w:rsid w:val="00682951"/>
    <w:rsid w:val="00682964"/>
    <w:rsid w:val="00682A56"/>
    <w:rsid w:val="00682AE4"/>
    <w:rsid w:val="00682C52"/>
    <w:rsid w:val="00682C5F"/>
    <w:rsid w:val="00682C90"/>
    <w:rsid w:val="00682CC8"/>
    <w:rsid w:val="00682D71"/>
    <w:rsid w:val="00682EAC"/>
    <w:rsid w:val="00682F0D"/>
    <w:rsid w:val="00682F8F"/>
    <w:rsid w:val="00683195"/>
    <w:rsid w:val="006832E8"/>
    <w:rsid w:val="006833A4"/>
    <w:rsid w:val="006833AC"/>
    <w:rsid w:val="00683463"/>
    <w:rsid w:val="006834D7"/>
    <w:rsid w:val="0068357B"/>
    <w:rsid w:val="0068359B"/>
    <w:rsid w:val="006835AA"/>
    <w:rsid w:val="00683615"/>
    <w:rsid w:val="0068364A"/>
    <w:rsid w:val="0068367B"/>
    <w:rsid w:val="00683680"/>
    <w:rsid w:val="006836C6"/>
    <w:rsid w:val="0068373D"/>
    <w:rsid w:val="0068375D"/>
    <w:rsid w:val="00683770"/>
    <w:rsid w:val="00683969"/>
    <w:rsid w:val="0068397A"/>
    <w:rsid w:val="00683A25"/>
    <w:rsid w:val="00683A74"/>
    <w:rsid w:val="00683C1D"/>
    <w:rsid w:val="00683C54"/>
    <w:rsid w:val="00683D0D"/>
    <w:rsid w:val="00683D72"/>
    <w:rsid w:val="00683E37"/>
    <w:rsid w:val="00683E53"/>
    <w:rsid w:val="006842A1"/>
    <w:rsid w:val="00684327"/>
    <w:rsid w:val="006843E5"/>
    <w:rsid w:val="006844AC"/>
    <w:rsid w:val="0068450B"/>
    <w:rsid w:val="00684530"/>
    <w:rsid w:val="00684555"/>
    <w:rsid w:val="00684612"/>
    <w:rsid w:val="0068473B"/>
    <w:rsid w:val="006847C6"/>
    <w:rsid w:val="00684936"/>
    <w:rsid w:val="00684947"/>
    <w:rsid w:val="0068499D"/>
    <w:rsid w:val="00684A4F"/>
    <w:rsid w:val="00684A90"/>
    <w:rsid w:val="00684CB9"/>
    <w:rsid w:val="00684D1D"/>
    <w:rsid w:val="00684F35"/>
    <w:rsid w:val="00684F78"/>
    <w:rsid w:val="00685082"/>
    <w:rsid w:val="00685130"/>
    <w:rsid w:val="00685137"/>
    <w:rsid w:val="006852AE"/>
    <w:rsid w:val="0068539B"/>
    <w:rsid w:val="006853C3"/>
    <w:rsid w:val="00685423"/>
    <w:rsid w:val="006855AD"/>
    <w:rsid w:val="00685641"/>
    <w:rsid w:val="0068564F"/>
    <w:rsid w:val="006857D8"/>
    <w:rsid w:val="00685974"/>
    <w:rsid w:val="006859AD"/>
    <w:rsid w:val="006859E5"/>
    <w:rsid w:val="00685AB8"/>
    <w:rsid w:val="00685B68"/>
    <w:rsid w:val="00685BF3"/>
    <w:rsid w:val="00685C50"/>
    <w:rsid w:val="00685C7D"/>
    <w:rsid w:val="00685D17"/>
    <w:rsid w:val="00685D3B"/>
    <w:rsid w:val="00685E5B"/>
    <w:rsid w:val="00685E7B"/>
    <w:rsid w:val="00685F5B"/>
    <w:rsid w:val="00685F6D"/>
    <w:rsid w:val="00686065"/>
    <w:rsid w:val="006860E3"/>
    <w:rsid w:val="00686122"/>
    <w:rsid w:val="0068627F"/>
    <w:rsid w:val="00686458"/>
    <w:rsid w:val="0068646D"/>
    <w:rsid w:val="006864BA"/>
    <w:rsid w:val="0068659C"/>
    <w:rsid w:val="00686639"/>
    <w:rsid w:val="00686647"/>
    <w:rsid w:val="00686764"/>
    <w:rsid w:val="00686829"/>
    <w:rsid w:val="00686855"/>
    <w:rsid w:val="00686A07"/>
    <w:rsid w:val="00686A13"/>
    <w:rsid w:val="00686A43"/>
    <w:rsid w:val="00686B1C"/>
    <w:rsid w:val="00686B42"/>
    <w:rsid w:val="00686BD0"/>
    <w:rsid w:val="00686C3C"/>
    <w:rsid w:val="00686C8F"/>
    <w:rsid w:val="00686D24"/>
    <w:rsid w:val="00686DA7"/>
    <w:rsid w:val="00686E67"/>
    <w:rsid w:val="00686E84"/>
    <w:rsid w:val="00687026"/>
    <w:rsid w:val="00687048"/>
    <w:rsid w:val="00687162"/>
    <w:rsid w:val="00687183"/>
    <w:rsid w:val="00687234"/>
    <w:rsid w:val="0068746C"/>
    <w:rsid w:val="006874EE"/>
    <w:rsid w:val="006874FD"/>
    <w:rsid w:val="00687514"/>
    <w:rsid w:val="006877C3"/>
    <w:rsid w:val="0068781D"/>
    <w:rsid w:val="0068783C"/>
    <w:rsid w:val="0068784C"/>
    <w:rsid w:val="006878A8"/>
    <w:rsid w:val="00687925"/>
    <w:rsid w:val="00687926"/>
    <w:rsid w:val="00687976"/>
    <w:rsid w:val="00687AA4"/>
    <w:rsid w:val="00687AA8"/>
    <w:rsid w:val="00687AE3"/>
    <w:rsid w:val="00687B05"/>
    <w:rsid w:val="00687BBA"/>
    <w:rsid w:val="00687BC6"/>
    <w:rsid w:val="00687BDF"/>
    <w:rsid w:val="00687C64"/>
    <w:rsid w:val="00687D75"/>
    <w:rsid w:val="00687E97"/>
    <w:rsid w:val="00687FF0"/>
    <w:rsid w:val="0068C26D"/>
    <w:rsid w:val="00690057"/>
    <w:rsid w:val="00690058"/>
    <w:rsid w:val="00690131"/>
    <w:rsid w:val="00690234"/>
    <w:rsid w:val="006902B3"/>
    <w:rsid w:val="006902C4"/>
    <w:rsid w:val="00690347"/>
    <w:rsid w:val="00690496"/>
    <w:rsid w:val="006904AC"/>
    <w:rsid w:val="006905FE"/>
    <w:rsid w:val="00690697"/>
    <w:rsid w:val="006906DE"/>
    <w:rsid w:val="0069070C"/>
    <w:rsid w:val="0069077E"/>
    <w:rsid w:val="006907A3"/>
    <w:rsid w:val="006908C1"/>
    <w:rsid w:val="00690909"/>
    <w:rsid w:val="00690999"/>
    <w:rsid w:val="00690A4A"/>
    <w:rsid w:val="00690B90"/>
    <w:rsid w:val="00690BAC"/>
    <w:rsid w:val="00690C10"/>
    <w:rsid w:val="00690ED0"/>
    <w:rsid w:val="00690F0C"/>
    <w:rsid w:val="0069113B"/>
    <w:rsid w:val="006911AA"/>
    <w:rsid w:val="006912C4"/>
    <w:rsid w:val="00691316"/>
    <w:rsid w:val="00691371"/>
    <w:rsid w:val="0069148A"/>
    <w:rsid w:val="00691619"/>
    <w:rsid w:val="006916C6"/>
    <w:rsid w:val="0069180F"/>
    <w:rsid w:val="0069197C"/>
    <w:rsid w:val="00691AC1"/>
    <w:rsid w:val="00691AE7"/>
    <w:rsid w:val="00691C2C"/>
    <w:rsid w:val="00691C42"/>
    <w:rsid w:val="00691C8D"/>
    <w:rsid w:val="00691D20"/>
    <w:rsid w:val="00691D4F"/>
    <w:rsid w:val="00691DAF"/>
    <w:rsid w:val="00691E31"/>
    <w:rsid w:val="00691E6F"/>
    <w:rsid w:val="0069202E"/>
    <w:rsid w:val="006920EB"/>
    <w:rsid w:val="006921A4"/>
    <w:rsid w:val="00692232"/>
    <w:rsid w:val="0069224C"/>
    <w:rsid w:val="00692283"/>
    <w:rsid w:val="006922C3"/>
    <w:rsid w:val="0069230D"/>
    <w:rsid w:val="00692339"/>
    <w:rsid w:val="0069254F"/>
    <w:rsid w:val="00692658"/>
    <w:rsid w:val="0069273A"/>
    <w:rsid w:val="006927B0"/>
    <w:rsid w:val="006927CB"/>
    <w:rsid w:val="006927E9"/>
    <w:rsid w:val="0069289F"/>
    <w:rsid w:val="00692AA5"/>
    <w:rsid w:val="00692BB5"/>
    <w:rsid w:val="00692C38"/>
    <w:rsid w:val="00692D4B"/>
    <w:rsid w:val="00692DD7"/>
    <w:rsid w:val="00692EF7"/>
    <w:rsid w:val="00692F5C"/>
    <w:rsid w:val="00692FAC"/>
    <w:rsid w:val="00693028"/>
    <w:rsid w:val="00693140"/>
    <w:rsid w:val="006932F4"/>
    <w:rsid w:val="0069333A"/>
    <w:rsid w:val="00693366"/>
    <w:rsid w:val="006933A4"/>
    <w:rsid w:val="00693454"/>
    <w:rsid w:val="00693529"/>
    <w:rsid w:val="0069356E"/>
    <w:rsid w:val="0069364C"/>
    <w:rsid w:val="006936D6"/>
    <w:rsid w:val="0069391D"/>
    <w:rsid w:val="00693A51"/>
    <w:rsid w:val="00693B6C"/>
    <w:rsid w:val="00693C55"/>
    <w:rsid w:val="00693CFE"/>
    <w:rsid w:val="00693D0E"/>
    <w:rsid w:val="00693DA2"/>
    <w:rsid w:val="00693DB8"/>
    <w:rsid w:val="00693E08"/>
    <w:rsid w:val="00693E54"/>
    <w:rsid w:val="00693F09"/>
    <w:rsid w:val="00693FC5"/>
    <w:rsid w:val="00694067"/>
    <w:rsid w:val="0069409F"/>
    <w:rsid w:val="006941F1"/>
    <w:rsid w:val="00694348"/>
    <w:rsid w:val="00694395"/>
    <w:rsid w:val="0069455D"/>
    <w:rsid w:val="00694563"/>
    <w:rsid w:val="00694699"/>
    <w:rsid w:val="006948B8"/>
    <w:rsid w:val="00694918"/>
    <w:rsid w:val="00694A12"/>
    <w:rsid w:val="00694AD3"/>
    <w:rsid w:val="00694B9F"/>
    <w:rsid w:val="00694BE1"/>
    <w:rsid w:val="00694CB8"/>
    <w:rsid w:val="00694CD9"/>
    <w:rsid w:val="00694D01"/>
    <w:rsid w:val="00694D82"/>
    <w:rsid w:val="00694F00"/>
    <w:rsid w:val="00694FB9"/>
    <w:rsid w:val="006950C2"/>
    <w:rsid w:val="006950E0"/>
    <w:rsid w:val="0069514E"/>
    <w:rsid w:val="00695230"/>
    <w:rsid w:val="00695234"/>
    <w:rsid w:val="00695285"/>
    <w:rsid w:val="0069532B"/>
    <w:rsid w:val="00695337"/>
    <w:rsid w:val="00695523"/>
    <w:rsid w:val="0069552D"/>
    <w:rsid w:val="006956F5"/>
    <w:rsid w:val="00695708"/>
    <w:rsid w:val="00695942"/>
    <w:rsid w:val="00695992"/>
    <w:rsid w:val="00695A37"/>
    <w:rsid w:val="00695B03"/>
    <w:rsid w:val="00695B16"/>
    <w:rsid w:val="00695BE6"/>
    <w:rsid w:val="00695C09"/>
    <w:rsid w:val="00695C34"/>
    <w:rsid w:val="00695C48"/>
    <w:rsid w:val="00695CD6"/>
    <w:rsid w:val="00695DA4"/>
    <w:rsid w:val="00695EAC"/>
    <w:rsid w:val="00695EC2"/>
    <w:rsid w:val="00695EEE"/>
    <w:rsid w:val="00695F7F"/>
    <w:rsid w:val="006960F8"/>
    <w:rsid w:val="006960FD"/>
    <w:rsid w:val="006961A4"/>
    <w:rsid w:val="006961C7"/>
    <w:rsid w:val="006961E0"/>
    <w:rsid w:val="00696335"/>
    <w:rsid w:val="0069633D"/>
    <w:rsid w:val="00696354"/>
    <w:rsid w:val="006963BA"/>
    <w:rsid w:val="00696410"/>
    <w:rsid w:val="0069642C"/>
    <w:rsid w:val="00696467"/>
    <w:rsid w:val="006964B6"/>
    <w:rsid w:val="0069655A"/>
    <w:rsid w:val="006965D0"/>
    <w:rsid w:val="006967CE"/>
    <w:rsid w:val="006967D1"/>
    <w:rsid w:val="006968C8"/>
    <w:rsid w:val="00696995"/>
    <w:rsid w:val="006969A9"/>
    <w:rsid w:val="00696BEA"/>
    <w:rsid w:val="00696C49"/>
    <w:rsid w:val="00696C68"/>
    <w:rsid w:val="00696C6E"/>
    <w:rsid w:val="00696CC3"/>
    <w:rsid w:val="00696CE7"/>
    <w:rsid w:val="00696E12"/>
    <w:rsid w:val="00696E79"/>
    <w:rsid w:val="00696F60"/>
    <w:rsid w:val="006970C4"/>
    <w:rsid w:val="006971ED"/>
    <w:rsid w:val="0069722B"/>
    <w:rsid w:val="0069724A"/>
    <w:rsid w:val="0069730A"/>
    <w:rsid w:val="0069732F"/>
    <w:rsid w:val="006973AA"/>
    <w:rsid w:val="006973DF"/>
    <w:rsid w:val="0069742E"/>
    <w:rsid w:val="0069748E"/>
    <w:rsid w:val="006976E4"/>
    <w:rsid w:val="00697821"/>
    <w:rsid w:val="00697862"/>
    <w:rsid w:val="0069787C"/>
    <w:rsid w:val="00697939"/>
    <w:rsid w:val="00697953"/>
    <w:rsid w:val="00697B27"/>
    <w:rsid w:val="00697BE5"/>
    <w:rsid w:val="00697CB0"/>
    <w:rsid w:val="00697CCB"/>
    <w:rsid w:val="00697DB3"/>
    <w:rsid w:val="00697DC2"/>
    <w:rsid w:val="00697EF1"/>
    <w:rsid w:val="00697EFB"/>
    <w:rsid w:val="00697F83"/>
    <w:rsid w:val="0069B173"/>
    <w:rsid w:val="006A011C"/>
    <w:rsid w:val="006A0149"/>
    <w:rsid w:val="006A014B"/>
    <w:rsid w:val="006A0150"/>
    <w:rsid w:val="006A015C"/>
    <w:rsid w:val="006A01E9"/>
    <w:rsid w:val="006A01F3"/>
    <w:rsid w:val="006A0248"/>
    <w:rsid w:val="006A040B"/>
    <w:rsid w:val="006A04D8"/>
    <w:rsid w:val="006A0595"/>
    <w:rsid w:val="006A05F6"/>
    <w:rsid w:val="006A06B5"/>
    <w:rsid w:val="006A07FC"/>
    <w:rsid w:val="006A0809"/>
    <w:rsid w:val="006A0845"/>
    <w:rsid w:val="006A0859"/>
    <w:rsid w:val="006A0865"/>
    <w:rsid w:val="006A089E"/>
    <w:rsid w:val="006A092B"/>
    <w:rsid w:val="006A098D"/>
    <w:rsid w:val="006A0999"/>
    <w:rsid w:val="006A0B44"/>
    <w:rsid w:val="006A0C97"/>
    <w:rsid w:val="006A0CDF"/>
    <w:rsid w:val="006A0DD7"/>
    <w:rsid w:val="006A0F5D"/>
    <w:rsid w:val="006A0F6A"/>
    <w:rsid w:val="006A0F91"/>
    <w:rsid w:val="006A10A8"/>
    <w:rsid w:val="006A10EA"/>
    <w:rsid w:val="006A10F2"/>
    <w:rsid w:val="006A1223"/>
    <w:rsid w:val="006A1278"/>
    <w:rsid w:val="006A12B0"/>
    <w:rsid w:val="006A12F1"/>
    <w:rsid w:val="006A131F"/>
    <w:rsid w:val="006A14D4"/>
    <w:rsid w:val="006A15F4"/>
    <w:rsid w:val="006A169B"/>
    <w:rsid w:val="006A176C"/>
    <w:rsid w:val="006A178F"/>
    <w:rsid w:val="006A17CE"/>
    <w:rsid w:val="006A17FC"/>
    <w:rsid w:val="006A17FE"/>
    <w:rsid w:val="006A1834"/>
    <w:rsid w:val="006A18D1"/>
    <w:rsid w:val="006A195B"/>
    <w:rsid w:val="006A1963"/>
    <w:rsid w:val="006A1B7B"/>
    <w:rsid w:val="006A1B83"/>
    <w:rsid w:val="006A1B92"/>
    <w:rsid w:val="006A1E09"/>
    <w:rsid w:val="006A1F4A"/>
    <w:rsid w:val="006A1FF3"/>
    <w:rsid w:val="006A2018"/>
    <w:rsid w:val="006A218E"/>
    <w:rsid w:val="006A223D"/>
    <w:rsid w:val="006A22F3"/>
    <w:rsid w:val="006A23B1"/>
    <w:rsid w:val="006A23E2"/>
    <w:rsid w:val="006A24AB"/>
    <w:rsid w:val="006A24F5"/>
    <w:rsid w:val="006A257B"/>
    <w:rsid w:val="006A258A"/>
    <w:rsid w:val="006A25F0"/>
    <w:rsid w:val="006A260A"/>
    <w:rsid w:val="006A26D3"/>
    <w:rsid w:val="006A27F0"/>
    <w:rsid w:val="006A2838"/>
    <w:rsid w:val="006A28BA"/>
    <w:rsid w:val="006A2905"/>
    <w:rsid w:val="006A2912"/>
    <w:rsid w:val="006A29C6"/>
    <w:rsid w:val="006A2AC6"/>
    <w:rsid w:val="006A2BAE"/>
    <w:rsid w:val="006A2BCC"/>
    <w:rsid w:val="006A2BE4"/>
    <w:rsid w:val="006A2C1A"/>
    <w:rsid w:val="006A2C41"/>
    <w:rsid w:val="006A2DCA"/>
    <w:rsid w:val="006A2E82"/>
    <w:rsid w:val="006A2EFB"/>
    <w:rsid w:val="006A2F2B"/>
    <w:rsid w:val="006A3091"/>
    <w:rsid w:val="006A312F"/>
    <w:rsid w:val="006A31F1"/>
    <w:rsid w:val="006A32AE"/>
    <w:rsid w:val="006A32C7"/>
    <w:rsid w:val="006A32D9"/>
    <w:rsid w:val="006A3393"/>
    <w:rsid w:val="006A33EA"/>
    <w:rsid w:val="006A34C3"/>
    <w:rsid w:val="006A34C6"/>
    <w:rsid w:val="006A3552"/>
    <w:rsid w:val="006A356E"/>
    <w:rsid w:val="006A357E"/>
    <w:rsid w:val="006A3687"/>
    <w:rsid w:val="006A38A4"/>
    <w:rsid w:val="006A39CA"/>
    <w:rsid w:val="006A3A2B"/>
    <w:rsid w:val="006A3A6A"/>
    <w:rsid w:val="006A3B66"/>
    <w:rsid w:val="006A3C22"/>
    <w:rsid w:val="006A3CB3"/>
    <w:rsid w:val="006A3DF5"/>
    <w:rsid w:val="006A3E1C"/>
    <w:rsid w:val="006A3E2C"/>
    <w:rsid w:val="006A3E4D"/>
    <w:rsid w:val="006A3F26"/>
    <w:rsid w:val="006A3F53"/>
    <w:rsid w:val="006A3F5F"/>
    <w:rsid w:val="006A4051"/>
    <w:rsid w:val="006A4113"/>
    <w:rsid w:val="006A411F"/>
    <w:rsid w:val="006A4278"/>
    <w:rsid w:val="006A4805"/>
    <w:rsid w:val="006A48EC"/>
    <w:rsid w:val="006A4982"/>
    <w:rsid w:val="006A49BA"/>
    <w:rsid w:val="006A49F1"/>
    <w:rsid w:val="006A4B47"/>
    <w:rsid w:val="006A4C52"/>
    <w:rsid w:val="006A4CD0"/>
    <w:rsid w:val="006A4D08"/>
    <w:rsid w:val="006A4D40"/>
    <w:rsid w:val="006A4DCA"/>
    <w:rsid w:val="006A4E0D"/>
    <w:rsid w:val="006A4EA0"/>
    <w:rsid w:val="006A4ED5"/>
    <w:rsid w:val="006A4FF6"/>
    <w:rsid w:val="006A5076"/>
    <w:rsid w:val="006A508D"/>
    <w:rsid w:val="006A51B5"/>
    <w:rsid w:val="006A5645"/>
    <w:rsid w:val="006A568A"/>
    <w:rsid w:val="006A5741"/>
    <w:rsid w:val="006A58B0"/>
    <w:rsid w:val="006A59CD"/>
    <w:rsid w:val="006A5A38"/>
    <w:rsid w:val="006A5AD3"/>
    <w:rsid w:val="006A5B10"/>
    <w:rsid w:val="006A5B55"/>
    <w:rsid w:val="006A5BF6"/>
    <w:rsid w:val="006A5CB9"/>
    <w:rsid w:val="006A5CCF"/>
    <w:rsid w:val="006A5E5D"/>
    <w:rsid w:val="006A5F5E"/>
    <w:rsid w:val="006A5F7D"/>
    <w:rsid w:val="006A610C"/>
    <w:rsid w:val="006A6167"/>
    <w:rsid w:val="006A618E"/>
    <w:rsid w:val="006A61DB"/>
    <w:rsid w:val="006A61FE"/>
    <w:rsid w:val="006A6206"/>
    <w:rsid w:val="006A62EC"/>
    <w:rsid w:val="006A62F6"/>
    <w:rsid w:val="006A6342"/>
    <w:rsid w:val="006A6451"/>
    <w:rsid w:val="006A680F"/>
    <w:rsid w:val="006A687C"/>
    <w:rsid w:val="006A6B3B"/>
    <w:rsid w:val="006A6BC4"/>
    <w:rsid w:val="006A6C0A"/>
    <w:rsid w:val="006A6C2F"/>
    <w:rsid w:val="006A6DCC"/>
    <w:rsid w:val="006A6DDE"/>
    <w:rsid w:val="006A6EA5"/>
    <w:rsid w:val="006A6EB3"/>
    <w:rsid w:val="006A7125"/>
    <w:rsid w:val="006A7217"/>
    <w:rsid w:val="006A747E"/>
    <w:rsid w:val="006A74C0"/>
    <w:rsid w:val="006A74EA"/>
    <w:rsid w:val="006A74FD"/>
    <w:rsid w:val="006A76C6"/>
    <w:rsid w:val="006A7731"/>
    <w:rsid w:val="006A77E0"/>
    <w:rsid w:val="006A788A"/>
    <w:rsid w:val="006A78C8"/>
    <w:rsid w:val="006A78D6"/>
    <w:rsid w:val="006A78E1"/>
    <w:rsid w:val="006A79B4"/>
    <w:rsid w:val="006A7AE3"/>
    <w:rsid w:val="006A7BF0"/>
    <w:rsid w:val="006A7C60"/>
    <w:rsid w:val="006A7D21"/>
    <w:rsid w:val="006A7DA7"/>
    <w:rsid w:val="006A7EBB"/>
    <w:rsid w:val="006A7F0F"/>
    <w:rsid w:val="006A95F8"/>
    <w:rsid w:val="006AC0B6"/>
    <w:rsid w:val="006B0025"/>
    <w:rsid w:val="006B0135"/>
    <w:rsid w:val="006B0166"/>
    <w:rsid w:val="006B018F"/>
    <w:rsid w:val="006B0297"/>
    <w:rsid w:val="006B0299"/>
    <w:rsid w:val="006B02B8"/>
    <w:rsid w:val="006B03BF"/>
    <w:rsid w:val="006B0413"/>
    <w:rsid w:val="006B047A"/>
    <w:rsid w:val="006B05D8"/>
    <w:rsid w:val="006B070C"/>
    <w:rsid w:val="006B0838"/>
    <w:rsid w:val="006B0850"/>
    <w:rsid w:val="006B0911"/>
    <w:rsid w:val="006B091D"/>
    <w:rsid w:val="006B0AB0"/>
    <w:rsid w:val="006B0B4F"/>
    <w:rsid w:val="006B0B80"/>
    <w:rsid w:val="006B0BD2"/>
    <w:rsid w:val="006B0D95"/>
    <w:rsid w:val="006B0DF1"/>
    <w:rsid w:val="006B0E0D"/>
    <w:rsid w:val="006B0F2A"/>
    <w:rsid w:val="006B0FF1"/>
    <w:rsid w:val="006B1035"/>
    <w:rsid w:val="006B109A"/>
    <w:rsid w:val="006B11AB"/>
    <w:rsid w:val="006B1211"/>
    <w:rsid w:val="006B126E"/>
    <w:rsid w:val="006B1342"/>
    <w:rsid w:val="006B1357"/>
    <w:rsid w:val="006B1390"/>
    <w:rsid w:val="006B13B9"/>
    <w:rsid w:val="006B1427"/>
    <w:rsid w:val="006B146C"/>
    <w:rsid w:val="006B14AA"/>
    <w:rsid w:val="006B173D"/>
    <w:rsid w:val="006B1779"/>
    <w:rsid w:val="006B180D"/>
    <w:rsid w:val="006B1830"/>
    <w:rsid w:val="006B185A"/>
    <w:rsid w:val="006B1885"/>
    <w:rsid w:val="006B18F8"/>
    <w:rsid w:val="006B1913"/>
    <w:rsid w:val="006B199E"/>
    <w:rsid w:val="006B19AC"/>
    <w:rsid w:val="006B19F6"/>
    <w:rsid w:val="006B1A35"/>
    <w:rsid w:val="006B1B19"/>
    <w:rsid w:val="006B1B3E"/>
    <w:rsid w:val="006B1B43"/>
    <w:rsid w:val="006B1BB8"/>
    <w:rsid w:val="006B1C02"/>
    <w:rsid w:val="006B1C4A"/>
    <w:rsid w:val="006B1C65"/>
    <w:rsid w:val="006B1D05"/>
    <w:rsid w:val="006B1EA3"/>
    <w:rsid w:val="006B1EB4"/>
    <w:rsid w:val="006B1EC1"/>
    <w:rsid w:val="006B1EDF"/>
    <w:rsid w:val="006B200C"/>
    <w:rsid w:val="006B2103"/>
    <w:rsid w:val="006B223C"/>
    <w:rsid w:val="006B2243"/>
    <w:rsid w:val="006B22B2"/>
    <w:rsid w:val="006B2418"/>
    <w:rsid w:val="006B2455"/>
    <w:rsid w:val="006B253F"/>
    <w:rsid w:val="006B2573"/>
    <w:rsid w:val="006B25B3"/>
    <w:rsid w:val="006B25C5"/>
    <w:rsid w:val="006B2692"/>
    <w:rsid w:val="006B26BD"/>
    <w:rsid w:val="006B2781"/>
    <w:rsid w:val="006B27B4"/>
    <w:rsid w:val="006B27BC"/>
    <w:rsid w:val="006B2820"/>
    <w:rsid w:val="006B2880"/>
    <w:rsid w:val="006B28C3"/>
    <w:rsid w:val="006B2949"/>
    <w:rsid w:val="006B2A58"/>
    <w:rsid w:val="006B2A87"/>
    <w:rsid w:val="006B2AC3"/>
    <w:rsid w:val="006B2AF5"/>
    <w:rsid w:val="006B2BBF"/>
    <w:rsid w:val="006B2C27"/>
    <w:rsid w:val="006B2D73"/>
    <w:rsid w:val="006B2DDA"/>
    <w:rsid w:val="006B2E0B"/>
    <w:rsid w:val="006B2F37"/>
    <w:rsid w:val="006B2F70"/>
    <w:rsid w:val="006B30D1"/>
    <w:rsid w:val="006B32B0"/>
    <w:rsid w:val="006B3405"/>
    <w:rsid w:val="006B343E"/>
    <w:rsid w:val="006B348F"/>
    <w:rsid w:val="006B3566"/>
    <w:rsid w:val="006B35B3"/>
    <w:rsid w:val="006B35FF"/>
    <w:rsid w:val="006B36B5"/>
    <w:rsid w:val="006B3752"/>
    <w:rsid w:val="006B3814"/>
    <w:rsid w:val="006B3860"/>
    <w:rsid w:val="006B3867"/>
    <w:rsid w:val="006B39C0"/>
    <w:rsid w:val="006B3BE3"/>
    <w:rsid w:val="006B3C3D"/>
    <w:rsid w:val="006B3CFA"/>
    <w:rsid w:val="006B3DBB"/>
    <w:rsid w:val="006B4106"/>
    <w:rsid w:val="006B4193"/>
    <w:rsid w:val="006B434C"/>
    <w:rsid w:val="006B438A"/>
    <w:rsid w:val="006B439E"/>
    <w:rsid w:val="006B452D"/>
    <w:rsid w:val="006B45D9"/>
    <w:rsid w:val="006B464F"/>
    <w:rsid w:val="006B4672"/>
    <w:rsid w:val="006B4727"/>
    <w:rsid w:val="006B4844"/>
    <w:rsid w:val="006B4888"/>
    <w:rsid w:val="006B4960"/>
    <w:rsid w:val="006B49BC"/>
    <w:rsid w:val="006B4CAE"/>
    <w:rsid w:val="006B4CE8"/>
    <w:rsid w:val="006B4D1A"/>
    <w:rsid w:val="006B4D7E"/>
    <w:rsid w:val="006B4D83"/>
    <w:rsid w:val="006B4D90"/>
    <w:rsid w:val="006B4D9B"/>
    <w:rsid w:val="006B4DA2"/>
    <w:rsid w:val="006B4DC0"/>
    <w:rsid w:val="006B4EF7"/>
    <w:rsid w:val="006B4F79"/>
    <w:rsid w:val="006B4F80"/>
    <w:rsid w:val="006B5136"/>
    <w:rsid w:val="006B52D4"/>
    <w:rsid w:val="006B5383"/>
    <w:rsid w:val="006B540B"/>
    <w:rsid w:val="006B5506"/>
    <w:rsid w:val="006B556A"/>
    <w:rsid w:val="006B55A3"/>
    <w:rsid w:val="006B563D"/>
    <w:rsid w:val="006B565D"/>
    <w:rsid w:val="006B589D"/>
    <w:rsid w:val="006B59DB"/>
    <w:rsid w:val="006B5A45"/>
    <w:rsid w:val="006B5AAE"/>
    <w:rsid w:val="006B5BAE"/>
    <w:rsid w:val="006B5BBA"/>
    <w:rsid w:val="006B5BFC"/>
    <w:rsid w:val="006B5BFD"/>
    <w:rsid w:val="006B5CA9"/>
    <w:rsid w:val="006B5D7F"/>
    <w:rsid w:val="006B5DDE"/>
    <w:rsid w:val="006B5E05"/>
    <w:rsid w:val="006B5E0E"/>
    <w:rsid w:val="006B5E6C"/>
    <w:rsid w:val="006B5EB1"/>
    <w:rsid w:val="006B5EC8"/>
    <w:rsid w:val="006B5F48"/>
    <w:rsid w:val="006B5F91"/>
    <w:rsid w:val="006B6051"/>
    <w:rsid w:val="006B6328"/>
    <w:rsid w:val="006B6351"/>
    <w:rsid w:val="006B6362"/>
    <w:rsid w:val="006B64F3"/>
    <w:rsid w:val="006B64FE"/>
    <w:rsid w:val="006B6575"/>
    <w:rsid w:val="006B6578"/>
    <w:rsid w:val="006B65B6"/>
    <w:rsid w:val="006B6656"/>
    <w:rsid w:val="006B6702"/>
    <w:rsid w:val="006B6821"/>
    <w:rsid w:val="006B687D"/>
    <w:rsid w:val="006B68B8"/>
    <w:rsid w:val="006B68D9"/>
    <w:rsid w:val="006B6924"/>
    <w:rsid w:val="006B69A0"/>
    <w:rsid w:val="006B69E7"/>
    <w:rsid w:val="006B6A55"/>
    <w:rsid w:val="006B6A77"/>
    <w:rsid w:val="006B6B0B"/>
    <w:rsid w:val="006B6BF0"/>
    <w:rsid w:val="006B6C1E"/>
    <w:rsid w:val="006B6D28"/>
    <w:rsid w:val="006B6D29"/>
    <w:rsid w:val="006B6D83"/>
    <w:rsid w:val="006B6E2F"/>
    <w:rsid w:val="006B6EB3"/>
    <w:rsid w:val="006B6EDB"/>
    <w:rsid w:val="006B6EE9"/>
    <w:rsid w:val="006B6F33"/>
    <w:rsid w:val="006B6F34"/>
    <w:rsid w:val="006B6FA6"/>
    <w:rsid w:val="006B6FCA"/>
    <w:rsid w:val="006B70AF"/>
    <w:rsid w:val="006B70B4"/>
    <w:rsid w:val="006B71D8"/>
    <w:rsid w:val="006B71F0"/>
    <w:rsid w:val="006B72D4"/>
    <w:rsid w:val="006B7456"/>
    <w:rsid w:val="006B745B"/>
    <w:rsid w:val="006B746B"/>
    <w:rsid w:val="006B7478"/>
    <w:rsid w:val="006B760F"/>
    <w:rsid w:val="006B763B"/>
    <w:rsid w:val="006B778A"/>
    <w:rsid w:val="006B77BF"/>
    <w:rsid w:val="006B77D6"/>
    <w:rsid w:val="006B78FB"/>
    <w:rsid w:val="006B7934"/>
    <w:rsid w:val="006B7938"/>
    <w:rsid w:val="006B79AF"/>
    <w:rsid w:val="006B7A26"/>
    <w:rsid w:val="006B7B6B"/>
    <w:rsid w:val="006B7BE1"/>
    <w:rsid w:val="006B7CAD"/>
    <w:rsid w:val="006B7CFF"/>
    <w:rsid w:val="006B7D20"/>
    <w:rsid w:val="006B7EA5"/>
    <w:rsid w:val="006B7F4D"/>
    <w:rsid w:val="006B7FEA"/>
    <w:rsid w:val="006BA376"/>
    <w:rsid w:val="006C0082"/>
    <w:rsid w:val="006C0256"/>
    <w:rsid w:val="006C02C8"/>
    <w:rsid w:val="006C0317"/>
    <w:rsid w:val="006C0341"/>
    <w:rsid w:val="006C040B"/>
    <w:rsid w:val="006C0424"/>
    <w:rsid w:val="006C050C"/>
    <w:rsid w:val="006C0607"/>
    <w:rsid w:val="006C0691"/>
    <w:rsid w:val="006C09E2"/>
    <w:rsid w:val="006C09F7"/>
    <w:rsid w:val="006C0A54"/>
    <w:rsid w:val="006C0B29"/>
    <w:rsid w:val="006C0B5D"/>
    <w:rsid w:val="006C0B77"/>
    <w:rsid w:val="006C0BD9"/>
    <w:rsid w:val="006C0D29"/>
    <w:rsid w:val="006C0E91"/>
    <w:rsid w:val="006C0EBF"/>
    <w:rsid w:val="006C0EEF"/>
    <w:rsid w:val="006C0EFD"/>
    <w:rsid w:val="006C0EFF"/>
    <w:rsid w:val="006C0F24"/>
    <w:rsid w:val="006C0F50"/>
    <w:rsid w:val="006C0FBF"/>
    <w:rsid w:val="006C0FDB"/>
    <w:rsid w:val="006C0FF0"/>
    <w:rsid w:val="006C1121"/>
    <w:rsid w:val="006C12AB"/>
    <w:rsid w:val="006C134F"/>
    <w:rsid w:val="006C135F"/>
    <w:rsid w:val="006C1402"/>
    <w:rsid w:val="006C148E"/>
    <w:rsid w:val="006C14CF"/>
    <w:rsid w:val="006C1568"/>
    <w:rsid w:val="006C15B4"/>
    <w:rsid w:val="006C15EA"/>
    <w:rsid w:val="006C1693"/>
    <w:rsid w:val="006C1912"/>
    <w:rsid w:val="006C1AA7"/>
    <w:rsid w:val="006C1AFB"/>
    <w:rsid w:val="006C1B02"/>
    <w:rsid w:val="006C1B77"/>
    <w:rsid w:val="006C1C08"/>
    <w:rsid w:val="006C1E3B"/>
    <w:rsid w:val="006C1EE6"/>
    <w:rsid w:val="006C2009"/>
    <w:rsid w:val="006C2071"/>
    <w:rsid w:val="006C216B"/>
    <w:rsid w:val="006C21F6"/>
    <w:rsid w:val="006C230B"/>
    <w:rsid w:val="006C2351"/>
    <w:rsid w:val="006C250A"/>
    <w:rsid w:val="006C25A5"/>
    <w:rsid w:val="006C25BB"/>
    <w:rsid w:val="006C2785"/>
    <w:rsid w:val="006C2878"/>
    <w:rsid w:val="006C295E"/>
    <w:rsid w:val="006C2A6B"/>
    <w:rsid w:val="006C2C28"/>
    <w:rsid w:val="006C2C7E"/>
    <w:rsid w:val="006C2DDD"/>
    <w:rsid w:val="006C2EB7"/>
    <w:rsid w:val="006C2EE4"/>
    <w:rsid w:val="006C2F01"/>
    <w:rsid w:val="006C2F45"/>
    <w:rsid w:val="006C3025"/>
    <w:rsid w:val="006C30B6"/>
    <w:rsid w:val="006C30D9"/>
    <w:rsid w:val="006C30DE"/>
    <w:rsid w:val="006C30E0"/>
    <w:rsid w:val="006C30E2"/>
    <w:rsid w:val="006C3125"/>
    <w:rsid w:val="006C326A"/>
    <w:rsid w:val="006C326D"/>
    <w:rsid w:val="006C3317"/>
    <w:rsid w:val="006C33CA"/>
    <w:rsid w:val="006C3435"/>
    <w:rsid w:val="006C349E"/>
    <w:rsid w:val="006C3515"/>
    <w:rsid w:val="006C3543"/>
    <w:rsid w:val="006C3570"/>
    <w:rsid w:val="006C35B5"/>
    <w:rsid w:val="006C38DE"/>
    <w:rsid w:val="006C3906"/>
    <w:rsid w:val="006C3A40"/>
    <w:rsid w:val="006C3A54"/>
    <w:rsid w:val="006C3B1E"/>
    <w:rsid w:val="006C3B54"/>
    <w:rsid w:val="006C3D36"/>
    <w:rsid w:val="006C3D8B"/>
    <w:rsid w:val="006C3E6A"/>
    <w:rsid w:val="006C3F6E"/>
    <w:rsid w:val="006C3FE9"/>
    <w:rsid w:val="006C418D"/>
    <w:rsid w:val="006C41B0"/>
    <w:rsid w:val="006C4242"/>
    <w:rsid w:val="006C4322"/>
    <w:rsid w:val="006C436C"/>
    <w:rsid w:val="006C43D0"/>
    <w:rsid w:val="006C4455"/>
    <w:rsid w:val="006C4482"/>
    <w:rsid w:val="006C44E3"/>
    <w:rsid w:val="006C4564"/>
    <w:rsid w:val="006C466E"/>
    <w:rsid w:val="006C46EA"/>
    <w:rsid w:val="006C473F"/>
    <w:rsid w:val="006C4828"/>
    <w:rsid w:val="006C489F"/>
    <w:rsid w:val="006C4986"/>
    <w:rsid w:val="006C4A5F"/>
    <w:rsid w:val="006C4BC3"/>
    <w:rsid w:val="006C4C8A"/>
    <w:rsid w:val="006C4CF6"/>
    <w:rsid w:val="006C4E29"/>
    <w:rsid w:val="006C4FF0"/>
    <w:rsid w:val="006C5046"/>
    <w:rsid w:val="006C50A5"/>
    <w:rsid w:val="006C512F"/>
    <w:rsid w:val="006C514F"/>
    <w:rsid w:val="006C51A1"/>
    <w:rsid w:val="006C51A6"/>
    <w:rsid w:val="006C5266"/>
    <w:rsid w:val="006C53CE"/>
    <w:rsid w:val="006C53E3"/>
    <w:rsid w:val="006C543E"/>
    <w:rsid w:val="006C5556"/>
    <w:rsid w:val="006C5589"/>
    <w:rsid w:val="006C55A1"/>
    <w:rsid w:val="006C55D0"/>
    <w:rsid w:val="006C562F"/>
    <w:rsid w:val="006C5689"/>
    <w:rsid w:val="006C56CB"/>
    <w:rsid w:val="006C5774"/>
    <w:rsid w:val="006C583F"/>
    <w:rsid w:val="006C58B1"/>
    <w:rsid w:val="006C58FA"/>
    <w:rsid w:val="006C5A1C"/>
    <w:rsid w:val="006C5BAC"/>
    <w:rsid w:val="006C5BDB"/>
    <w:rsid w:val="006C5C20"/>
    <w:rsid w:val="006C5C43"/>
    <w:rsid w:val="006C5C46"/>
    <w:rsid w:val="006C5C9A"/>
    <w:rsid w:val="006C5F82"/>
    <w:rsid w:val="006C604A"/>
    <w:rsid w:val="006C628C"/>
    <w:rsid w:val="006C62B5"/>
    <w:rsid w:val="006C6300"/>
    <w:rsid w:val="006C63A2"/>
    <w:rsid w:val="006C648F"/>
    <w:rsid w:val="006C6561"/>
    <w:rsid w:val="006C666A"/>
    <w:rsid w:val="006C6818"/>
    <w:rsid w:val="006C6886"/>
    <w:rsid w:val="006C6895"/>
    <w:rsid w:val="006C6990"/>
    <w:rsid w:val="006C69FC"/>
    <w:rsid w:val="006C6A42"/>
    <w:rsid w:val="006C6AE8"/>
    <w:rsid w:val="006C6AF1"/>
    <w:rsid w:val="006C6B00"/>
    <w:rsid w:val="006C6BC3"/>
    <w:rsid w:val="006C6DCA"/>
    <w:rsid w:val="006C6DF3"/>
    <w:rsid w:val="006C6E78"/>
    <w:rsid w:val="006C6EC6"/>
    <w:rsid w:val="006C6F65"/>
    <w:rsid w:val="006C71D7"/>
    <w:rsid w:val="006C72DD"/>
    <w:rsid w:val="006C7311"/>
    <w:rsid w:val="006C74CA"/>
    <w:rsid w:val="006C750A"/>
    <w:rsid w:val="006C752D"/>
    <w:rsid w:val="006C75E6"/>
    <w:rsid w:val="006C768F"/>
    <w:rsid w:val="006C7851"/>
    <w:rsid w:val="006C79D3"/>
    <w:rsid w:val="006C7A84"/>
    <w:rsid w:val="006C7ABC"/>
    <w:rsid w:val="006C7B01"/>
    <w:rsid w:val="006C7B1B"/>
    <w:rsid w:val="006C7B22"/>
    <w:rsid w:val="006C7B69"/>
    <w:rsid w:val="006C7C07"/>
    <w:rsid w:val="006C7C5F"/>
    <w:rsid w:val="006C7C74"/>
    <w:rsid w:val="006C7D7A"/>
    <w:rsid w:val="006C7E33"/>
    <w:rsid w:val="006C7E47"/>
    <w:rsid w:val="006C86A2"/>
    <w:rsid w:val="006D00E3"/>
    <w:rsid w:val="006D0138"/>
    <w:rsid w:val="006D0175"/>
    <w:rsid w:val="006D0184"/>
    <w:rsid w:val="006D0238"/>
    <w:rsid w:val="006D025D"/>
    <w:rsid w:val="006D0434"/>
    <w:rsid w:val="006D0502"/>
    <w:rsid w:val="006D0561"/>
    <w:rsid w:val="006D057A"/>
    <w:rsid w:val="006D060F"/>
    <w:rsid w:val="006D06AD"/>
    <w:rsid w:val="006D0771"/>
    <w:rsid w:val="006D085E"/>
    <w:rsid w:val="006D0A54"/>
    <w:rsid w:val="006D0A7F"/>
    <w:rsid w:val="006D0B8B"/>
    <w:rsid w:val="006D0C75"/>
    <w:rsid w:val="006D0C9E"/>
    <w:rsid w:val="006D0D2C"/>
    <w:rsid w:val="006D0D2D"/>
    <w:rsid w:val="006D0D3C"/>
    <w:rsid w:val="006D0E33"/>
    <w:rsid w:val="006D0E5E"/>
    <w:rsid w:val="006D0E6E"/>
    <w:rsid w:val="006D0E8D"/>
    <w:rsid w:val="006D1049"/>
    <w:rsid w:val="006D10B3"/>
    <w:rsid w:val="006D1161"/>
    <w:rsid w:val="006D11F9"/>
    <w:rsid w:val="006D1269"/>
    <w:rsid w:val="006D1390"/>
    <w:rsid w:val="006D1391"/>
    <w:rsid w:val="006D1515"/>
    <w:rsid w:val="006D1537"/>
    <w:rsid w:val="006D1585"/>
    <w:rsid w:val="006D1633"/>
    <w:rsid w:val="006D16A0"/>
    <w:rsid w:val="006D16D5"/>
    <w:rsid w:val="006D1740"/>
    <w:rsid w:val="006D174C"/>
    <w:rsid w:val="006D1941"/>
    <w:rsid w:val="006D19B1"/>
    <w:rsid w:val="006D1CC1"/>
    <w:rsid w:val="006D1D53"/>
    <w:rsid w:val="006D1D64"/>
    <w:rsid w:val="006D1DAB"/>
    <w:rsid w:val="006D1DDD"/>
    <w:rsid w:val="006D1E09"/>
    <w:rsid w:val="006D1E13"/>
    <w:rsid w:val="006D2026"/>
    <w:rsid w:val="006D2055"/>
    <w:rsid w:val="006D2273"/>
    <w:rsid w:val="006D235B"/>
    <w:rsid w:val="006D23ED"/>
    <w:rsid w:val="006D25AE"/>
    <w:rsid w:val="006D2673"/>
    <w:rsid w:val="006D2682"/>
    <w:rsid w:val="006D28B7"/>
    <w:rsid w:val="006D28E6"/>
    <w:rsid w:val="006D2932"/>
    <w:rsid w:val="006D298E"/>
    <w:rsid w:val="006D2A40"/>
    <w:rsid w:val="006D2A48"/>
    <w:rsid w:val="006D2AB8"/>
    <w:rsid w:val="006D2B68"/>
    <w:rsid w:val="006D2BB1"/>
    <w:rsid w:val="006D2D31"/>
    <w:rsid w:val="006D2DA9"/>
    <w:rsid w:val="006D2DCC"/>
    <w:rsid w:val="006D2E4C"/>
    <w:rsid w:val="006D2EB2"/>
    <w:rsid w:val="006D2F3F"/>
    <w:rsid w:val="006D2F4A"/>
    <w:rsid w:val="006D3023"/>
    <w:rsid w:val="006D3051"/>
    <w:rsid w:val="006D3092"/>
    <w:rsid w:val="006D314E"/>
    <w:rsid w:val="006D33B2"/>
    <w:rsid w:val="006D343B"/>
    <w:rsid w:val="006D34FF"/>
    <w:rsid w:val="006D3550"/>
    <w:rsid w:val="006D3575"/>
    <w:rsid w:val="006D3700"/>
    <w:rsid w:val="006D37C6"/>
    <w:rsid w:val="006D38AF"/>
    <w:rsid w:val="006D3A59"/>
    <w:rsid w:val="006D3A81"/>
    <w:rsid w:val="006D3B3F"/>
    <w:rsid w:val="006D3BB5"/>
    <w:rsid w:val="006D3C37"/>
    <w:rsid w:val="006D3C54"/>
    <w:rsid w:val="006D3CC9"/>
    <w:rsid w:val="006D3D0C"/>
    <w:rsid w:val="006D3E14"/>
    <w:rsid w:val="006D3F40"/>
    <w:rsid w:val="006D3FE9"/>
    <w:rsid w:val="006D4031"/>
    <w:rsid w:val="006D405F"/>
    <w:rsid w:val="006D417A"/>
    <w:rsid w:val="006D4216"/>
    <w:rsid w:val="006D42DA"/>
    <w:rsid w:val="006D42DF"/>
    <w:rsid w:val="006D42EB"/>
    <w:rsid w:val="006D430D"/>
    <w:rsid w:val="006D441E"/>
    <w:rsid w:val="006D44AF"/>
    <w:rsid w:val="006D45AA"/>
    <w:rsid w:val="006D4626"/>
    <w:rsid w:val="006D464D"/>
    <w:rsid w:val="006D4676"/>
    <w:rsid w:val="006D474B"/>
    <w:rsid w:val="006D47A5"/>
    <w:rsid w:val="006D47E9"/>
    <w:rsid w:val="006D4802"/>
    <w:rsid w:val="006D480D"/>
    <w:rsid w:val="006D480E"/>
    <w:rsid w:val="006D4850"/>
    <w:rsid w:val="006D48E8"/>
    <w:rsid w:val="006D4919"/>
    <w:rsid w:val="006D4AA4"/>
    <w:rsid w:val="006D4B1C"/>
    <w:rsid w:val="006D4B26"/>
    <w:rsid w:val="006D4B73"/>
    <w:rsid w:val="006D4D1B"/>
    <w:rsid w:val="006D4E62"/>
    <w:rsid w:val="006D4EB0"/>
    <w:rsid w:val="006D4F1A"/>
    <w:rsid w:val="006D4FCF"/>
    <w:rsid w:val="006D4FFF"/>
    <w:rsid w:val="006D5128"/>
    <w:rsid w:val="006D513D"/>
    <w:rsid w:val="006D52A9"/>
    <w:rsid w:val="006D52BD"/>
    <w:rsid w:val="006D5335"/>
    <w:rsid w:val="006D544F"/>
    <w:rsid w:val="006D549D"/>
    <w:rsid w:val="006D5529"/>
    <w:rsid w:val="006D567B"/>
    <w:rsid w:val="006D5699"/>
    <w:rsid w:val="006D57F4"/>
    <w:rsid w:val="006D58E2"/>
    <w:rsid w:val="006D59B3"/>
    <w:rsid w:val="006D5A87"/>
    <w:rsid w:val="006D5ACD"/>
    <w:rsid w:val="006D5B38"/>
    <w:rsid w:val="006D5B8C"/>
    <w:rsid w:val="006D5B93"/>
    <w:rsid w:val="006D5C78"/>
    <w:rsid w:val="006D5DE3"/>
    <w:rsid w:val="006D5DEF"/>
    <w:rsid w:val="006D5ED9"/>
    <w:rsid w:val="006D5F09"/>
    <w:rsid w:val="006D5F8D"/>
    <w:rsid w:val="006D6147"/>
    <w:rsid w:val="006D615A"/>
    <w:rsid w:val="006D617B"/>
    <w:rsid w:val="006D6362"/>
    <w:rsid w:val="006D63AC"/>
    <w:rsid w:val="006D63F7"/>
    <w:rsid w:val="006D6410"/>
    <w:rsid w:val="006D6414"/>
    <w:rsid w:val="006D64B7"/>
    <w:rsid w:val="006D64BB"/>
    <w:rsid w:val="006D64D1"/>
    <w:rsid w:val="006D6506"/>
    <w:rsid w:val="006D6529"/>
    <w:rsid w:val="006D658C"/>
    <w:rsid w:val="006D65FF"/>
    <w:rsid w:val="006D662C"/>
    <w:rsid w:val="006D664A"/>
    <w:rsid w:val="006D673D"/>
    <w:rsid w:val="006D67A0"/>
    <w:rsid w:val="006D67EA"/>
    <w:rsid w:val="006D696D"/>
    <w:rsid w:val="006D6977"/>
    <w:rsid w:val="006D69E8"/>
    <w:rsid w:val="006D6A44"/>
    <w:rsid w:val="006D6AC1"/>
    <w:rsid w:val="006D6B1E"/>
    <w:rsid w:val="006D6B32"/>
    <w:rsid w:val="006D6B82"/>
    <w:rsid w:val="006D6BA0"/>
    <w:rsid w:val="006D6C05"/>
    <w:rsid w:val="006D6C37"/>
    <w:rsid w:val="006D6C4D"/>
    <w:rsid w:val="006D6CA6"/>
    <w:rsid w:val="006D6CBA"/>
    <w:rsid w:val="006D6D0A"/>
    <w:rsid w:val="006D6E0A"/>
    <w:rsid w:val="006D6EA8"/>
    <w:rsid w:val="006D6EEF"/>
    <w:rsid w:val="006D6F73"/>
    <w:rsid w:val="006D6FA6"/>
    <w:rsid w:val="006D6FFC"/>
    <w:rsid w:val="006D70EC"/>
    <w:rsid w:val="006D71DD"/>
    <w:rsid w:val="006D71E0"/>
    <w:rsid w:val="006D72AB"/>
    <w:rsid w:val="006D72B1"/>
    <w:rsid w:val="006D73BF"/>
    <w:rsid w:val="006D73CA"/>
    <w:rsid w:val="006D7445"/>
    <w:rsid w:val="006D745D"/>
    <w:rsid w:val="006D750A"/>
    <w:rsid w:val="006D7594"/>
    <w:rsid w:val="006D75BA"/>
    <w:rsid w:val="006D7613"/>
    <w:rsid w:val="006D7690"/>
    <w:rsid w:val="006D7700"/>
    <w:rsid w:val="006D7726"/>
    <w:rsid w:val="006D79E4"/>
    <w:rsid w:val="006D7B67"/>
    <w:rsid w:val="006D7BE0"/>
    <w:rsid w:val="006D7E19"/>
    <w:rsid w:val="006D7E94"/>
    <w:rsid w:val="006D7FB2"/>
    <w:rsid w:val="006DB00E"/>
    <w:rsid w:val="006DB52E"/>
    <w:rsid w:val="006DED67"/>
    <w:rsid w:val="006E0042"/>
    <w:rsid w:val="006E007B"/>
    <w:rsid w:val="006E0203"/>
    <w:rsid w:val="006E0214"/>
    <w:rsid w:val="006E021B"/>
    <w:rsid w:val="006E0262"/>
    <w:rsid w:val="006E0284"/>
    <w:rsid w:val="006E02F4"/>
    <w:rsid w:val="006E0312"/>
    <w:rsid w:val="006E036B"/>
    <w:rsid w:val="006E039B"/>
    <w:rsid w:val="006E0518"/>
    <w:rsid w:val="006E0815"/>
    <w:rsid w:val="006E08E9"/>
    <w:rsid w:val="006E0BA3"/>
    <w:rsid w:val="006E0BB4"/>
    <w:rsid w:val="006E0CC9"/>
    <w:rsid w:val="006E0DDF"/>
    <w:rsid w:val="006E0E5A"/>
    <w:rsid w:val="006E0F50"/>
    <w:rsid w:val="006E0FA2"/>
    <w:rsid w:val="006E100D"/>
    <w:rsid w:val="006E1039"/>
    <w:rsid w:val="006E108B"/>
    <w:rsid w:val="006E108D"/>
    <w:rsid w:val="006E1141"/>
    <w:rsid w:val="006E1173"/>
    <w:rsid w:val="006E127D"/>
    <w:rsid w:val="006E1290"/>
    <w:rsid w:val="006E13DA"/>
    <w:rsid w:val="006E140A"/>
    <w:rsid w:val="006E1475"/>
    <w:rsid w:val="006E151D"/>
    <w:rsid w:val="006E153E"/>
    <w:rsid w:val="006E1628"/>
    <w:rsid w:val="006E162C"/>
    <w:rsid w:val="006E1659"/>
    <w:rsid w:val="006E168B"/>
    <w:rsid w:val="006E181A"/>
    <w:rsid w:val="006E183E"/>
    <w:rsid w:val="006E18AE"/>
    <w:rsid w:val="006E1954"/>
    <w:rsid w:val="006E196A"/>
    <w:rsid w:val="006E19EF"/>
    <w:rsid w:val="006E1B8B"/>
    <w:rsid w:val="006E1BAD"/>
    <w:rsid w:val="006E1E09"/>
    <w:rsid w:val="006E1E40"/>
    <w:rsid w:val="006E1EB4"/>
    <w:rsid w:val="006E1FAD"/>
    <w:rsid w:val="006E2111"/>
    <w:rsid w:val="006E21E6"/>
    <w:rsid w:val="006E226C"/>
    <w:rsid w:val="006E2335"/>
    <w:rsid w:val="006E2411"/>
    <w:rsid w:val="006E2477"/>
    <w:rsid w:val="006E25B3"/>
    <w:rsid w:val="006E26BF"/>
    <w:rsid w:val="006E26D1"/>
    <w:rsid w:val="006E2765"/>
    <w:rsid w:val="006E2778"/>
    <w:rsid w:val="006E2A14"/>
    <w:rsid w:val="006E2A30"/>
    <w:rsid w:val="006E2D2E"/>
    <w:rsid w:val="006E2D63"/>
    <w:rsid w:val="006E2D8E"/>
    <w:rsid w:val="006E3058"/>
    <w:rsid w:val="006E3087"/>
    <w:rsid w:val="006E30B0"/>
    <w:rsid w:val="006E3115"/>
    <w:rsid w:val="006E3189"/>
    <w:rsid w:val="006E3196"/>
    <w:rsid w:val="006E31C7"/>
    <w:rsid w:val="006E31F8"/>
    <w:rsid w:val="006E3201"/>
    <w:rsid w:val="006E3214"/>
    <w:rsid w:val="006E323F"/>
    <w:rsid w:val="006E3363"/>
    <w:rsid w:val="006E3372"/>
    <w:rsid w:val="006E338F"/>
    <w:rsid w:val="006E3537"/>
    <w:rsid w:val="006E35A0"/>
    <w:rsid w:val="006E35CD"/>
    <w:rsid w:val="006E36EA"/>
    <w:rsid w:val="006E387E"/>
    <w:rsid w:val="006E38B8"/>
    <w:rsid w:val="006E38F6"/>
    <w:rsid w:val="006E3907"/>
    <w:rsid w:val="006E3A6B"/>
    <w:rsid w:val="006E3B01"/>
    <w:rsid w:val="006E3CD8"/>
    <w:rsid w:val="006E3CFC"/>
    <w:rsid w:val="006E3D4D"/>
    <w:rsid w:val="006E3DA4"/>
    <w:rsid w:val="006E3DB9"/>
    <w:rsid w:val="006E3F9A"/>
    <w:rsid w:val="006E404A"/>
    <w:rsid w:val="006E406A"/>
    <w:rsid w:val="006E411E"/>
    <w:rsid w:val="006E429A"/>
    <w:rsid w:val="006E4335"/>
    <w:rsid w:val="006E4371"/>
    <w:rsid w:val="006E437C"/>
    <w:rsid w:val="006E4483"/>
    <w:rsid w:val="006E44AE"/>
    <w:rsid w:val="006E44B2"/>
    <w:rsid w:val="006E4509"/>
    <w:rsid w:val="006E45AC"/>
    <w:rsid w:val="006E4916"/>
    <w:rsid w:val="006E4930"/>
    <w:rsid w:val="006E499F"/>
    <w:rsid w:val="006E4C8C"/>
    <w:rsid w:val="006E4DF9"/>
    <w:rsid w:val="006E4E61"/>
    <w:rsid w:val="006E4F61"/>
    <w:rsid w:val="006E4F7D"/>
    <w:rsid w:val="006E4FA3"/>
    <w:rsid w:val="006E4FC8"/>
    <w:rsid w:val="006E508A"/>
    <w:rsid w:val="006E50B7"/>
    <w:rsid w:val="006E50EF"/>
    <w:rsid w:val="006E50FA"/>
    <w:rsid w:val="006E5107"/>
    <w:rsid w:val="006E5136"/>
    <w:rsid w:val="006E5151"/>
    <w:rsid w:val="006E5254"/>
    <w:rsid w:val="006E5342"/>
    <w:rsid w:val="006E5382"/>
    <w:rsid w:val="006E544A"/>
    <w:rsid w:val="006E5484"/>
    <w:rsid w:val="006E54C4"/>
    <w:rsid w:val="006E5527"/>
    <w:rsid w:val="006E558C"/>
    <w:rsid w:val="006E55A2"/>
    <w:rsid w:val="006E55EF"/>
    <w:rsid w:val="006E5843"/>
    <w:rsid w:val="006E59FD"/>
    <w:rsid w:val="006E5A87"/>
    <w:rsid w:val="006E5ABF"/>
    <w:rsid w:val="006E5AC5"/>
    <w:rsid w:val="006E5AF6"/>
    <w:rsid w:val="006E5AF9"/>
    <w:rsid w:val="006E5C19"/>
    <w:rsid w:val="006E5D03"/>
    <w:rsid w:val="006E5D90"/>
    <w:rsid w:val="006E5F27"/>
    <w:rsid w:val="006E5F58"/>
    <w:rsid w:val="006E6006"/>
    <w:rsid w:val="006E60CB"/>
    <w:rsid w:val="006E62B2"/>
    <w:rsid w:val="006E62D6"/>
    <w:rsid w:val="006E648D"/>
    <w:rsid w:val="006E6494"/>
    <w:rsid w:val="006E66D8"/>
    <w:rsid w:val="006E66DA"/>
    <w:rsid w:val="006E66DE"/>
    <w:rsid w:val="006E683C"/>
    <w:rsid w:val="006E68CE"/>
    <w:rsid w:val="006E690C"/>
    <w:rsid w:val="006E6A04"/>
    <w:rsid w:val="006E6A3D"/>
    <w:rsid w:val="006E6BDB"/>
    <w:rsid w:val="006E6C94"/>
    <w:rsid w:val="006E6D97"/>
    <w:rsid w:val="006E6DC2"/>
    <w:rsid w:val="006E6E5F"/>
    <w:rsid w:val="006E6F0A"/>
    <w:rsid w:val="006E6F80"/>
    <w:rsid w:val="006E6FF9"/>
    <w:rsid w:val="006E7035"/>
    <w:rsid w:val="006E708F"/>
    <w:rsid w:val="006E70F0"/>
    <w:rsid w:val="006E712A"/>
    <w:rsid w:val="006E720A"/>
    <w:rsid w:val="006E7302"/>
    <w:rsid w:val="006E7363"/>
    <w:rsid w:val="006E73FE"/>
    <w:rsid w:val="006E7478"/>
    <w:rsid w:val="006E74F5"/>
    <w:rsid w:val="006E7539"/>
    <w:rsid w:val="006E7556"/>
    <w:rsid w:val="006E7563"/>
    <w:rsid w:val="006E7581"/>
    <w:rsid w:val="006E7675"/>
    <w:rsid w:val="006E7694"/>
    <w:rsid w:val="006E7735"/>
    <w:rsid w:val="006E77E5"/>
    <w:rsid w:val="006E77E7"/>
    <w:rsid w:val="006E78D7"/>
    <w:rsid w:val="006E79DB"/>
    <w:rsid w:val="006E7AD4"/>
    <w:rsid w:val="006E7AE8"/>
    <w:rsid w:val="006E7B9B"/>
    <w:rsid w:val="006E7C9D"/>
    <w:rsid w:val="006E7D74"/>
    <w:rsid w:val="006E7DE2"/>
    <w:rsid w:val="006E7F33"/>
    <w:rsid w:val="006F007C"/>
    <w:rsid w:val="006F009E"/>
    <w:rsid w:val="006F01B4"/>
    <w:rsid w:val="006F036F"/>
    <w:rsid w:val="006F043F"/>
    <w:rsid w:val="006F0550"/>
    <w:rsid w:val="006F05FB"/>
    <w:rsid w:val="006F05FE"/>
    <w:rsid w:val="006F071D"/>
    <w:rsid w:val="006F0799"/>
    <w:rsid w:val="006F083F"/>
    <w:rsid w:val="006F0850"/>
    <w:rsid w:val="006F08B0"/>
    <w:rsid w:val="006F093B"/>
    <w:rsid w:val="006F0A0F"/>
    <w:rsid w:val="006F0AB8"/>
    <w:rsid w:val="006F0AE6"/>
    <w:rsid w:val="006F0B05"/>
    <w:rsid w:val="006F0B9F"/>
    <w:rsid w:val="006F0BCA"/>
    <w:rsid w:val="006F0C8C"/>
    <w:rsid w:val="006F0DDA"/>
    <w:rsid w:val="006F0E40"/>
    <w:rsid w:val="006F0ED2"/>
    <w:rsid w:val="006F0FED"/>
    <w:rsid w:val="006F10BF"/>
    <w:rsid w:val="006F112F"/>
    <w:rsid w:val="006F1165"/>
    <w:rsid w:val="006F11AF"/>
    <w:rsid w:val="006F11B0"/>
    <w:rsid w:val="006F123F"/>
    <w:rsid w:val="006F12AC"/>
    <w:rsid w:val="006F13B3"/>
    <w:rsid w:val="006F13F1"/>
    <w:rsid w:val="006F1427"/>
    <w:rsid w:val="006F1428"/>
    <w:rsid w:val="006F1467"/>
    <w:rsid w:val="006F15D7"/>
    <w:rsid w:val="006F160E"/>
    <w:rsid w:val="006F1688"/>
    <w:rsid w:val="006F169E"/>
    <w:rsid w:val="006F16E9"/>
    <w:rsid w:val="006F1775"/>
    <w:rsid w:val="006F183C"/>
    <w:rsid w:val="006F1864"/>
    <w:rsid w:val="006F1868"/>
    <w:rsid w:val="006F196C"/>
    <w:rsid w:val="006F19A2"/>
    <w:rsid w:val="006F1B88"/>
    <w:rsid w:val="006F1BBF"/>
    <w:rsid w:val="006F1C1F"/>
    <w:rsid w:val="006F1CB0"/>
    <w:rsid w:val="006F1CC1"/>
    <w:rsid w:val="006F1E09"/>
    <w:rsid w:val="006F1E55"/>
    <w:rsid w:val="006F1EC3"/>
    <w:rsid w:val="006F1EE0"/>
    <w:rsid w:val="006F1F52"/>
    <w:rsid w:val="006F1FDF"/>
    <w:rsid w:val="006F1FED"/>
    <w:rsid w:val="006F205C"/>
    <w:rsid w:val="006F20D1"/>
    <w:rsid w:val="006F21A5"/>
    <w:rsid w:val="006F21B6"/>
    <w:rsid w:val="006F2325"/>
    <w:rsid w:val="006F23FD"/>
    <w:rsid w:val="006F25DE"/>
    <w:rsid w:val="006F267C"/>
    <w:rsid w:val="006F2716"/>
    <w:rsid w:val="006F2745"/>
    <w:rsid w:val="006F2799"/>
    <w:rsid w:val="006F283D"/>
    <w:rsid w:val="006F2947"/>
    <w:rsid w:val="006F29C4"/>
    <w:rsid w:val="006F2A02"/>
    <w:rsid w:val="006F2A2C"/>
    <w:rsid w:val="006F2AA8"/>
    <w:rsid w:val="006F2AC0"/>
    <w:rsid w:val="006F2B1E"/>
    <w:rsid w:val="006F2B78"/>
    <w:rsid w:val="006F2BEA"/>
    <w:rsid w:val="006F2D7D"/>
    <w:rsid w:val="006F2DBE"/>
    <w:rsid w:val="006F2DDB"/>
    <w:rsid w:val="006F2DE4"/>
    <w:rsid w:val="006F2DFE"/>
    <w:rsid w:val="006F2E2F"/>
    <w:rsid w:val="006F30EE"/>
    <w:rsid w:val="006F310B"/>
    <w:rsid w:val="006F3189"/>
    <w:rsid w:val="006F318D"/>
    <w:rsid w:val="006F342D"/>
    <w:rsid w:val="006F350E"/>
    <w:rsid w:val="006F352F"/>
    <w:rsid w:val="006F35D0"/>
    <w:rsid w:val="006F35D8"/>
    <w:rsid w:val="006F35E4"/>
    <w:rsid w:val="006F3683"/>
    <w:rsid w:val="006F3797"/>
    <w:rsid w:val="006F380C"/>
    <w:rsid w:val="006F3820"/>
    <w:rsid w:val="006F38EA"/>
    <w:rsid w:val="006F392D"/>
    <w:rsid w:val="006F3AFF"/>
    <w:rsid w:val="006F3B2D"/>
    <w:rsid w:val="006F3BBD"/>
    <w:rsid w:val="006F3C2B"/>
    <w:rsid w:val="006F3CE3"/>
    <w:rsid w:val="006F3D33"/>
    <w:rsid w:val="006F3D9B"/>
    <w:rsid w:val="006F3DB7"/>
    <w:rsid w:val="006F3E2D"/>
    <w:rsid w:val="006F3E6F"/>
    <w:rsid w:val="006F40D3"/>
    <w:rsid w:val="006F40E0"/>
    <w:rsid w:val="006F413E"/>
    <w:rsid w:val="006F4292"/>
    <w:rsid w:val="006F44E3"/>
    <w:rsid w:val="006F4612"/>
    <w:rsid w:val="006F46C0"/>
    <w:rsid w:val="006F487F"/>
    <w:rsid w:val="006F48D5"/>
    <w:rsid w:val="006F490D"/>
    <w:rsid w:val="006F496E"/>
    <w:rsid w:val="006F49BF"/>
    <w:rsid w:val="006F4AC7"/>
    <w:rsid w:val="006F4B6A"/>
    <w:rsid w:val="006F4CE6"/>
    <w:rsid w:val="006F4CFB"/>
    <w:rsid w:val="006F4DA6"/>
    <w:rsid w:val="006F4F09"/>
    <w:rsid w:val="006F4F58"/>
    <w:rsid w:val="006F5004"/>
    <w:rsid w:val="006F512F"/>
    <w:rsid w:val="006F5132"/>
    <w:rsid w:val="006F5154"/>
    <w:rsid w:val="006F51AE"/>
    <w:rsid w:val="006F5434"/>
    <w:rsid w:val="006F551C"/>
    <w:rsid w:val="006F57EE"/>
    <w:rsid w:val="006F5985"/>
    <w:rsid w:val="006F5A07"/>
    <w:rsid w:val="006F5AA5"/>
    <w:rsid w:val="006F5B30"/>
    <w:rsid w:val="006F5B39"/>
    <w:rsid w:val="006F5B59"/>
    <w:rsid w:val="006F5C9E"/>
    <w:rsid w:val="006F5CCC"/>
    <w:rsid w:val="006F5E02"/>
    <w:rsid w:val="006F5E36"/>
    <w:rsid w:val="006F5E4D"/>
    <w:rsid w:val="006F5ECA"/>
    <w:rsid w:val="006F5EFB"/>
    <w:rsid w:val="006F5FEA"/>
    <w:rsid w:val="006F60C8"/>
    <w:rsid w:val="006F615B"/>
    <w:rsid w:val="006F6208"/>
    <w:rsid w:val="006F620E"/>
    <w:rsid w:val="006F62EC"/>
    <w:rsid w:val="006F63E5"/>
    <w:rsid w:val="006F63F5"/>
    <w:rsid w:val="006F64AB"/>
    <w:rsid w:val="006F652C"/>
    <w:rsid w:val="006F653D"/>
    <w:rsid w:val="006F6582"/>
    <w:rsid w:val="006F65FE"/>
    <w:rsid w:val="006F669F"/>
    <w:rsid w:val="006F6712"/>
    <w:rsid w:val="006F67B4"/>
    <w:rsid w:val="006F681A"/>
    <w:rsid w:val="006F6942"/>
    <w:rsid w:val="006F6ACE"/>
    <w:rsid w:val="006F6B19"/>
    <w:rsid w:val="006F6B96"/>
    <w:rsid w:val="006F6C13"/>
    <w:rsid w:val="006F6C74"/>
    <w:rsid w:val="006F6CC2"/>
    <w:rsid w:val="006F6D8D"/>
    <w:rsid w:val="006F6EAF"/>
    <w:rsid w:val="006F6ED5"/>
    <w:rsid w:val="006F6EF0"/>
    <w:rsid w:val="006F6F14"/>
    <w:rsid w:val="006F6F17"/>
    <w:rsid w:val="006F701D"/>
    <w:rsid w:val="006F702A"/>
    <w:rsid w:val="006F7082"/>
    <w:rsid w:val="006F70A8"/>
    <w:rsid w:val="006F70F4"/>
    <w:rsid w:val="006F7109"/>
    <w:rsid w:val="006F7112"/>
    <w:rsid w:val="006F71CB"/>
    <w:rsid w:val="006F726F"/>
    <w:rsid w:val="006F7462"/>
    <w:rsid w:val="006F748D"/>
    <w:rsid w:val="006F76CC"/>
    <w:rsid w:val="006F76FD"/>
    <w:rsid w:val="006F7744"/>
    <w:rsid w:val="006F7835"/>
    <w:rsid w:val="006F7916"/>
    <w:rsid w:val="006F79EC"/>
    <w:rsid w:val="006F79F7"/>
    <w:rsid w:val="006F7AB5"/>
    <w:rsid w:val="006F7B5A"/>
    <w:rsid w:val="006F7DE5"/>
    <w:rsid w:val="006F7DF3"/>
    <w:rsid w:val="006F7E38"/>
    <w:rsid w:val="006F7F47"/>
    <w:rsid w:val="006F7FD3"/>
    <w:rsid w:val="006FEBA2"/>
    <w:rsid w:val="00700068"/>
    <w:rsid w:val="00700182"/>
    <w:rsid w:val="00700255"/>
    <w:rsid w:val="0070027A"/>
    <w:rsid w:val="00700315"/>
    <w:rsid w:val="00700367"/>
    <w:rsid w:val="00700396"/>
    <w:rsid w:val="007003CD"/>
    <w:rsid w:val="007003F1"/>
    <w:rsid w:val="007003F7"/>
    <w:rsid w:val="007004F4"/>
    <w:rsid w:val="0070064D"/>
    <w:rsid w:val="0070066D"/>
    <w:rsid w:val="00700771"/>
    <w:rsid w:val="0070080B"/>
    <w:rsid w:val="0070083B"/>
    <w:rsid w:val="0070087C"/>
    <w:rsid w:val="00700B71"/>
    <w:rsid w:val="00700C6F"/>
    <w:rsid w:val="00700CA4"/>
    <w:rsid w:val="00700CDD"/>
    <w:rsid w:val="00700CED"/>
    <w:rsid w:val="00700E42"/>
    <w:rsid w:val="00700EEF"/>
    <w:rsid w:val="00700FC3"/>
    <w:rsid w:val="00700FD1"/>
    <w:rsid w:val="0070103C"/>
    <w:rsid w:val="0070119B"/>
    <w:rsid w:val="007011F8"/>
    <w:rsid w:val="0070126F"/>
    <w:rsid w:val="007012DA"/>
    <w:rsid w:val="0070132C"/>
    <w:rsid w:val="007014DA"/>
    <w:rsid w:val="007014F2"/>
    <w:rsid w:val="007015B3"/>
    <w:rsid w:val="007015F3"/>
    <w:rsid w:val="007016F5"/>
    <w:rsid w:val="007017D4"/>
    <w:rsid w:val="00701848"/>
    <w:rsid w:val="00701939"/>
    <w:rsid w:val="0070197C"/>
    <w:rsid w:val="007019D5"/>
    <w:rsid w:val="00701BB3"/>
    <w:rsid w:val="00701C34"/>
    <w:rsid w:val="00701CC6"/>
    <w:rsid w:val="00701D00"/>
    <w:rsid w:val="00701DBB"/>
    <w:rsid w:val="00701E2B"/>
    <w:rsid w:val="00701E68"/>
    <w:rsid w:val="00701EB9"/>
    <w:rsid w:val="00702113"/>
    <w:rsid w:val="0070211D"/>
    <w:rsid w:val="00702165"/>
    <w:rsid w:val="007021A3"/>
    <w:rsid w:val="00702237"/>
    <w:rsid w:val="00702425"/>
    <w:rsid w:val="0070246F"/>
    <w:rsid w:val="0070254A"/>
    <w:rsid w:val="00702598"/>
    <w:rsid w:val="00702612"/>
    <w:rsid w:val="00702633"/>
    <w:rsid w:val="0070264B"/>
    <w:rsid w:val="00702758"/>
    <w:rsid w:val="00702918"/>
    <w:rsid w:val="007029A2"/>
    <w:rsid w:val="00702CA2"/>
    <w:rsid w:val="00702D03"/>
    <w:rsid w:val="00702D12"/>
    <w:rsid w:val="00702D15"/>
    <w:rsid w:val="00702D5C"/>
    <w:rsid w:val="00702E4E"/>
    <w:rsid w:val="00702EA5"/>
    <w:rsid w:val="00702EC4"/>
    <w:rsid w:val="00702F12"/>
    <w:rsid w:val="00702F6D"/>
    <w:rsid w:val="00702FC6"/>
    <w:rsid w:val="007032C5"/>
    <w:rsid w:val="007034D9"/>
    <w:rsid w:val="0070350B"/>
    <w:rsid w:val="00703517"/>
    <w:rsid w:val="007035E7"/>
    <w:rsid w:val="007037EC"/>
    <w:rsid w:val="007038C7"/>
    <w:rsid w:val="007039F6"/>
    <w:rsid w:val="00703A15"/>
    <w:rsid w:val="00703A95"/>
    <w:rsid w:val="00703AFF"/>
    <w:rsid w:val="00703B1A"/>
    <w:rsid w:val="00703C2C"/>
    <w:rsid w:val="00703CD4"/>
    <w:rsid w:val="00703DA1"/>
    <w:rsid w:val="00703E2A"/>
    <w:rsid w:val="00703F5D"/>
    <w:rsid w:val="00703F70"/>
    <w:rsid w:val="00703FA7"/>
    <w:rsid w:val="0070401B"/>
    <w:rsid w:val="0070402D"/>
    <w:rsid w:val="0070409B"/>
    <w:rsid w:val="007040C5"/>
    <w:rsid w:val="00704158"/>
    <w:rsid w:val="007041AF"/>
    <w:rsid w:val="00704238"/>
    <w:rsid w:val="00704249"/>
    <w:rsid w:val="00704298"/>
    <w:rsid w:val="007042F5"/>
    <w:rsid w:val="0070431F"/>
    <w:rsid w:val="00704381"/>
    <w:rsid w:val="007043E1"/>
    <w:rsid w:val="00704442"/>
    <w:rsid w:val="00704474"/>
    <w:rsid w:val="00704477"/>
    <w:rsid w:val="00704488"/>
    <w:rsid w:val="007044B2"/>
    <w:rsid w:val="00704595"/>
    <w:rsid w:val="007045B3"/>
    <w:rsid w:val="007045F3"/>
    <w:rsid w:val="007045FC"/>
    <w:rsid w:val="0070461B"/>
    <w:rsid w:val="00704682"/>
    <w:rsid w:val="007046B2"/>
    <w:rsid w:val="007046CC"/>
    <w:rsid w:val="007047BB"/>
    <w:rsid w:val="00704826"/>
    <w:rsid w:val="00704850"/>
    <w:rsid w:val="007048AF"/>
    <w:rsid w:val="00704A21"/>
    <w:rsid w:val="00704A90"/>
    <w:rsid w:val="00704AEE"/>
    <w:rsid w:val="00704B0D"/>
    <w:rsid w:val="00704B20"/>
    <w:rsid w:val="00704C63"/>
    <w:rsid w:val="00704C7B"/>
    <w:rsid w:val="00704D61"/>
    <w:rsid w:val="00704E51"/>
    <w:rsid w:val="00704E58"/>
    <w:rsid w:val="00704EC3"/>
    <w:rsid w:val="00704ED8"/>
    <w:rsid w:val="00704EDE"/>
    <w:rsid w:val="00704F3B"/>
    <w:rsid w:val="00704F55"/>
    <w:rsid w:val="00704FB3"/>
    <w:rsid w:val="007052B4"/>
    <w:rsid w:val="007053E7"/>
    <w:rsid w:val="0070543F"/>
    <w:rsid w:val="0070550F"/>
    <w:rsid w:val="007055AA"/>
    <w:rsid w:val="00705618"/>
    <w:rsid w:val="007056CC"/>
    <w:rsid w:val="0070573D"/>
    <w:rsid w:val="007057D8"/>
    <w:rsid w:val="00705863"/>
    <w:rsid w:val="007059E0"/>
    <w:rsid w:val="00705A09"/>
    <w:rsid w:val="00705A92"/>
    <w:rsid w:val="00705AD3"/>
    <w:rsid w:val="00705AE2"/>
    <w:rsid w:val="00705B43"/>
    <w:rsid w:val="00705C9C"/>
    <w:rsid w:val="00705CB8"/>
    <w:rsid w:val="00705CF3"/>
    <w:rsid w:val="00705D51"/>
    <w:rsid w:val="00705DE4"/>
    <w:rsid w:val="00705E19"/>
    <w:rsid w:val="00705E36"/>
    <w:rsid w:val="00705FE0"/>
    <w:rsid w:val="00706022"/>
    <w:rsid w:val="00706050"/>
    <w:rsid w:val="0070613D"/>
    <w:rsid w:val="00706210"/>
    <w:rsid w:val="00706288"/>
    <w:rsid w:val="007063CE"/>
    <w:rsid w:val="007063EC"/>
    <w:rsid w:val="0070645E"/>
    <w:rsid w:val="007064B0"/>
    <w:rsid w:val="00706587"/>
    <w:rsid w:val="007065BA"/>
    <w:rsid w:val="0070660B"/>
    <w:rsid w:val="00706682"/>
    <w:rsid w:val="00706712"/>
    <w:rsid w:val="0070679D"/>
    <w:rsid w:val="007067A4"/>
    <w:rsid w:val="0070688C"/>
    <w:rsid w:val="007069AD"/>
    <w:rsid w:val="00706AC3"/>
    <w:rsid w:val="00706AF9"/>
    <w:rsid w:val="00706B15"/>
    <w:rsid w:val="00706C19"/>
    <w:rsid w:val="00706C68"/>
    <w:rsid w:val="00706CD5"/>
    <w:rsid w:val="00706CEA"/>
    <w:rsid w:val="00706D20"/>
    <w:rsid w:val="00706D70"/>
    <w:rsid w:val="00706DCB"/>
    <w:rsid w:val="00706E72"/>
    <w:rsid w:val="00706E7C"/>
    <w:rsid w:val="0070706E"/>
    <w:rsid w:val="007070A1"/>
    <w:rsid w:val="00707100"/>
    <w:rsid w:val="0070716B"/>
    <w:rsid w:val="007071C8"/>
    <w:rsid w:val="007071FF"/>
    <w:rsid w:val="0070722D"/>
    <w:rsid w:val="007072E4"/>
    <w:rsid w:val="007073A6"/>
    <w:rsid w:val="00707434"/>
    <w:rsid w:val="0070746C"/>
    <w:rsid w:val="007074DB"/>
    <w:rsid w:val="007074EF"/>
    <w:rsid w:val="007075CB"/>
    <w:rsid w:val="00707665"/>
    <w:rsid w:val="00707929"/>
    <w:rsid w:val="00707A93"/>
    <w:rsid w:val="00707ABF"/>
    <w:rsid w:val="00707B30"/>
    <w:rsid w:val="00707DE1"/>
    <w:rsid w:val="00707F28"/>
    <w:rsid w:val="00707F60"/>
    <w:rsid w:val="0070E9E8"/>
    <w:rsid w:val="007100C0"/>
    <w:rsid w:val="00710105"/>
    <w:rsid w:val="00710165"/>
    <w:rsid w:val="007102E6"/>
    <w:rsid w:val="00710305"/>
    <w:rsid w:val="00710406"/>
    <w:rsid w:val="00710464"/>
    <w:rsid w:val="00710511"/>
    <w:rsid w:val="007105C6"/>
    <w:rsid w:val="00710779"/>
    <w:rsid w:val="0071077C"/>
    <w:rsid w:val="007107FA"/>
    <w:rsid w:val="007108BE"/>
    <w:rsid w:val="0071091A"/>
    <w:rsid w:val="0071093B"/>
    <w:rsid w:val="00710A6D"/>
    <w:rsid w:val="00710B9C"/>
    <w:rsid w:val="00710D5B"/>
    <w:rsid w:val="00710D70"/>
    <w:rsid w:val="00710E40"/>
    <w:rsid w:val="00710E98"/>
    <w:rsid w:val="00710F23"/>
    <w:rsid w:val="007110B7"/>
    <w:rsid w:val="0071116B"/>
    <w:rsid w:val="0071118B"/>
    <w:rsid w:val="0071129D"/>
    <w:rsid w:val="007114DF"/>
    <w:rsid w:val="0071156D"/>
    <w:rsid w:val="007115F0"/>
    <w:rsid w:val="00711612"/>
    <w:rsid w:val="00711765"/>
    <w:rsid w:val="0071179A"/>
    <w:rsid w:val="00711805"/>
    <w:rsid w:val="007119E2"/>
    <w:rsid w:val="00711A0B"/>
    <w:rsid w:val="00711A0C"/>
    <w:rsid w:val="00711A81"/>
    <w:rsid w:val="00711ADC"/>
    <w:rsid w:val="00711B50"/>
    <w:rsid w:val="00711CA4"/>
    <w:rsid w:val="00711D86"/>
    <w:rsid w:val="00711E6D"/>
    <w:rsid w:val="00711EE4"/>
    <w:rsid w:val="00711F60"/>
    <w:rsid w:val="0071207A"/>
    <w:rsid w:val="007120B7"/>
    <w:rsid w:val="0071210A"/>
    <w:rsid w:val="007121FA"/>
    <w:rsid w:val="007124C6"/>
    <w:rsid w:val="0071250D"/>
    <w:rsid w:val="007125FC"/>
    <w:rsid w:val="007127B5"/>
    <w:rsid w:val="00712867"/>
    <w:rsid w:val="00712953"/>
    <w:rsid w:val="00712A1B"/>
    <w:rsid w:val="00712C14"/>
    <w:rsid w:val="00712C26"/>
    <w:rsid w:val="00712C45"/>
    <w:rsid w:val="00712E10"/>
    <w:rsid w:val="00712E5E"/>
    <w:rsid w:val="00712E7A"/>
    <w:rsid w:val="00712EC8"/>
    <w:rsid w:val="00712FB2"/>
    <w:rsid w:val="007131B1"/>
    <w:rsid w:val="007131FC"/>
    <w:rsid w:val="00713218"/>
    <w:rsid w:val="007132D0"/>
    <w:rsid w:val="00713323"/>
    <w:rsid w:val="0071334B"/>
    <w:rsid w:val="00713431"/>
    <w:rsid w:val="00713475"/>
    <w:rsid w:val="007134A6"/>
    <w:rsid w:val="00713561"/>
    <w:rsid w:val="00713576"/>
    <w:rsid w:val="007136E4"/>
    <w:rsid w:val="00713748"/>
    <w:rsid w:val="007137A4"/>
    <w:rsid w:val="007137E2"/>
    <w:rsid w:val="00713812"/>
    <w:rsid w:val="0071382E"/>
    <w:rsid w:val="0071390F"/>
    <w:rsid w:val="0071398E"/>
    <w:rsid w:val="00713A67"/>
    <w:rsid w:val="00713A6D"/>
    <w:rsid w:val="00713AC2"/>
    <w:rsid w:val="00713AF3"/>
    <w:rsid w:val="00713B90"/>
    <w:rsid w:val="00713C20"/>
    <w:rsid w:val="00713C35"/>
    <w:rsid w:val="00713C3C"/>
    <w:rsid w:val="00713CA6"/>
    <w:rsid w:val="00713E0C"/>
    <w:rsid w:val="00713E29"/>
    <w:rsid w:val="00713E8C"/>
    <w:rsid w:val="00713EB3"/>
    <w:rsid w:val="00713EB4"/>
    <w:rsid w:val="00713F09"/>
    <w:rsid w:val="00713F47"/>
    <w:rsid w:val="00713FA6"/>
    <w:rsid w:val="00714112"/>
    <w:rsid w:val="007141B4"/>
    <w:rsid w:val="00714293"/>
    <w:rsid w:val="00714350"/>
    <w:rsid w:val="00714422"/>
    <w:rsid w:val="0071446B"/>
    <w:rsid w:val="007144A3"/>
    <w:rsid w:val="007144C5"/>
    <w:rsid w:val="007144D0"/>
    <w:rsid w:val="00714504"/>
    <w:rsid w:val="00714517"/>
    <w:rsid w:val="0071463A"/>
    <w:rsid w:val="0071464C"/>
    <w:rsid w:val="007147D5"/>
    <w:rsid w:val="007147DC"/>
    <w:rsid w:val="00714827"/>
    <w:rsid w:val="00714905"/>
    <w:rsid w:val="00714A14"/>
    <w:rsid w:val="00714A83"/>
    <w:rsid w:val="00714C29"/>
    <w:rsid w:val="00714D21"/>
    <w:rsid w:val="00714DB0"/>
    <w:rsid w:val="00714DD7"/>
    <w:rsid w:val="00714F4E"/>
    <w:rsid w:val="00714FA1"/>
    <w:rsid w:val="007150B8"/>
    <w:rsid w:val="007150FC"/>
    <w:rsid w:val="00715121"/>
    <w:rsid w:val="0071522A"/>
    <w:rsid w:val="0071525C"/>
    <w:rsid w:val="007152B8"/>
    <w:rsid w:val="007152F3"/>
    <w:rsid w:val="007153BB"/>
    <w:rsid w:val="0071540D"/>
    <w:rsid w:val="007154B6"/>
    <w:rsid w:val="0071552E"/>
    <w:rsid w:val="00715808"/>
    <w:rsid w:val="007159AC"/>
    <w:rsid w:val="00715A31"/>
    <w:rsid w:val="00715B04"/>
    <w:rsid w:val="00715CA6"/>
    <w:rsid w:val="00715CB4"/>
    <w:rsid w:val="00715D21"/>
    <w:rsid w:val="00715D94"/>
    <w:rsid w:val="00715D9A"/>
    <w:rsid w:val="00715E4F"/>
    <w:rsid w:val="00715FF6"/>
    <w:rsid w:val="00715FFF"/>
    <w:rsid w:val="00716088"/>
    <w:rsid w:val="00716125"/>
    <w:rsid w:val="00716268"/>
    <w:rsid w:val="00716336"/>
    <w:rsid w:val="007163D8"/>
    <w:rsid w:val="007164DD"/>
    <w:rsid w:val="00716585"/>
    <w:rsid w:val="0071669F"/>
    <w:rsid w:val="007167B0"/>
    <w:rsid w:val="007167BD"/>
    <w:rsid w:val="007167D9"/>
    <w:rsid w:val="00716897"/>
    <w:rsid w:val="007168D3"/>
    <w:rsid w:val="00716922"/>
    <w:rsid w:val="00716935"/>
    <w:rsid w:val="0071697C"/>
    <w:rsid w:val="00716AFC"/>
    <w:rsid w:val="00716B55"/>
    <w:rsid w:val="00716B83"/>
    <w:rsid w:val="00716BBB"/>
    <w:rsid w:val="00716BC3"/>
    <w:rsid w:val="00716D1E"/>
    <w:rsid w:val="00716D92"/>
    <w:rsid w:val="00716F2F"/>
    <w:rsid w:val="00716FEA"/>
    <w:rsid w:val="007170B3"/>
    <w:rsid w:val="007171F1"/>
    <w:rsid w:val="00717219"/>
    <w:rsid w:val="007174A6"/>
    <w:rsid w:val="007174C5"/>
    <w:rsid w:val="007174DB"/>
    <w:rsid w:val="007174E7"/>
    <w:rsid w:val="00717566"/>
    <w:rsid w:val="00717641"/>
    <w:rsid w:val="0071768B"/>
    <w:rsid w:val="007177AD"/>
    <w:rsid w:val="007177D6"/>
    <w:rsid w:val="007177DD"/>
    <w:rsid w:val="007177DF"/>
    <w:rsid w:val="00717822"/>
    <w:rsid w:val="00717959"/>
    <w:rsid w:val="00717A16"/>
    <w:rsid w:val="00717B6E"/>
    <w:rsid w:val="00717B72"/>
    <w:rsid w:val="00717B87"/>
    <w:rsid w:val="00717CE4"/>
    <w:rsid w:val="00717DFB"/>
    <w:rsid w:val="00717E24"/>
    <w:rsid w:val="00717F75"/>
    <w:rsid w:val="00717FEA"/>
    <w:rsid w:val="0071D75D"/>
    <w:rsid w:val="007201D7"/>
    <w:rsid w:val="00720256"/>
    <w:rsid w:val="00720262"/>
    <w:rsid w:val="007202E4"/>
    <w:rsid w:val="0072036E"/>
    <w:rsid w:val="0072039F"/>
    <w:rsid w:val="00720470"/>
    <w:rsid w:val="0072051A"/>
    <w:rsid w:val="00720635"/>
    <w:rsid w:val="00720671"/>
    <w:rsid w:val="00720691"/>
    <w:rsid w:val="007206BF"/>
    <w:rsid w:val="00720703"/>
    <w:rsid w:val="00720808"/>
    <w:rsid w:val="00720809"/>
    <w:rsid w:val="00720885"/>
    <w:rsid w:val="00720B31"/>
    <w:rsid w:val="00720C72"/>
    <w:rsid w:val="00720C9F"/>
    <w:rsid w:val="00720D0F"/>
    <w:rsid w:val="00720E11"/>
    <w:rsid w:val="00720E57"/>
    <w:rsid w:val="0072114D"/>
    <w:rsid w:val="007211DA"/>
    <w:rsid w:val="007211EC"/>
    <w:rsid w:val="007211F5"/>
    <w:rsid w:val="0072125B"/>
    <w:rsid w:val="0072138F"/>
    <w:rsid w:val="00721526"/>
    <w:rsid w:val="007216C5"/>
    <w:rsid w:val="00721792"/>
    <w:rsid w:val="007217B0"/>
    <w:rsid w:val="00721868"/>
    <w:rsid w:val="007218C3"/>
    <w:rsid w:val="00721955"/>
    <w:rsid w:val="007219CD"/>
    <w:rsid w:val="00721A1A"/>
    <w:rsid w:val="00721B74"/>
    <w:rsid w:val="00721C11"/>
    <w:rsid w:val="00721C46"/>
    <w:rsid w:val="00721C4E"/>
    <w:rsid w:val="00721D48"/>
    <w:rsid w:val="00721FC3"/>
    <w:rsid w:val="0072210E"/>
    <w:rsid w:val="00722131"/>
    <w:rsid w:val="007221DD"/>
    <w:rsid w:val="007222AA"/>
    <w:rsid w:val="007222B0"/>
    <w:rsid w:val="007222CE"/>
    <w:rsid w:val="007223E6"/>
    <w:rsid w:val="007224B5"/>
    <w:rsid w:val="0072251D"/>
    <w:rsid w:val="0072255D"/>
    <w:rsid w:val="00722780"/>
    <w:rsid w:val="00722A02"/>
    <w:rsid w:val="00722A24"/>
    <w:rsid w:val="00722A8C"/>
    <w:rsid w:val="00722B29"/>
    <w:rsid w:val="00722C39"/>
    <w:rsid w:val="00722CF8"/>
    <w:rsid w:val="00722E62"/>
    <w:rsid w:val="00722EB4"/>
    <w:rsid w:val="0072304B"/>
    <w:rsid w:val="0072309B"/>
    <w:rsid w:val="0072312D"/>
    <w:rsid w:val="00723314"/>
    <w:rsid w:val="0072334F"/>
    <w:rsid w:val="007233D4"/>
    <w:rsid w:val="007233F3"/>
    <w:rsid w:val="0072343B"/>
    <w:rsid w:val="007234A0"/>
    <w:rsid w:val="00723502"/>
    <w:rsid w:val="00723617"/>
    <w:rsid w:val="00723751"/>
    <w:rsid w:val="007237BA"/>
    <w:rsid w:val="007237BB"/>
    <w:rsid w:val="007237C0"/>
    <w:rsid w:val="00723804"/>
    <w:rsid w:val="00723925"/>
    <w:rsid w:val="0072393C"/>
    <w:rsid w:val="007239AC"/>
    <w:rsid w:val="00723AEB"/>
    <w:rsid w:val="00723B20"/>
    <w:rsid w:val="00723B7C"/>
    <w:rsid w:val="00723C69"/>
    <w:rsid w:val="00723D08"/>
    <w:rsid w:val="00723E32"/>
    <w:rsid w:val="00723EEA"/>
    <w:rsid w:val="007241EF"/>
    <w:rsid w:val="00724284"/>
    <w:rsid w:val="007242A3"/>
    <w:rsid w:val="007244BC"/>
    <w:rsid w:val="007245E7"/>
    <w:rsid w:val="00724762"/>
    <w:rsid w:val="0072481F"/>
    <w:rsid w:val="00724820"/>
    <w:rsid w:val="0072486E"/>
    <w:rsid w:val="00724896"/>
    <w:rsid w:val="007248D4"/>
    <w:rsid w:val="007249EA"/>
    <w:rsid w:val="00724B2C"/>
    <w:rsid w:val="00724BC2"/>
    <w:rsid w:val="00724C41"/>
    <w:rsid w:val="00724C5F"/>
    <w:rsid w:val="00724D03"/>
    <w:rsid w:val="00724D22"/>
    <w:rsid w:val="00724DA8"/>
    <w:rsid w:val="00724DBA"/>
    <w:rsid w:val="00724DEE"/>
    <w:rsid w:val="00724EB8"/>
    <w:rsid w:val="007250AF"/>
    <w:rsid w:val="00725100"/>
    <w:rsid w:val="0072520E"/>
    <w:rsid w:val="007252CE"/>
    <w:rsid w:val="007252F0"/>
    <w:rsid w:val="007253E9"/>
    <w:rsid w:val="007253FA"/>
    <w:rsid w:val="00725577"/>
    <w:rsid w:val="00725578"/>
    <w:rsid w:val="00725629"/>
    <w:rsid w:val="0072563F"/>
    <w:rsid w:val="00725694"/>
    <w:rsid w:val="00725820"/>
    <w:rsid w:val="00725913"/>
    <w:rsid w:val="007259EF"/>
    <w:rsid w:val="00725A30"/>
    <w:rsid w:val="00725A6E"/>
    <w:rsid w:val="00725AE7"/>
    <w:rsid w:val="00725CEC"/>
    <w:rsid w:val="00725D9E"/>
    <w:rsid w:val="00725DB3"/>
    <w:rsid w:val="00726007"/>
    <w:rsid w:val="007260ED"/>
    <w:rsid w:val="00726159"/>
    <w:rsid w:val="0072626A"/>
    <w:rsid w:val="0072628C"/>
    <w:rsid w:val="00726299"/>
    <w:rsid w:val="0072629F"/>
    <w:rsid w:val="00726342"/>
    <w:rsid w:val="0072638A"/>
    <w:rsid w:val="0072644D"/>
    <w:rsid w:val="007264CA"/>
    <w:rsid w:val="0072657B"/>
    <w:rsid w:val="0072661D"/>
    <w:rsid w:val="00726691"/>
    <w:rsid w:val="007266FB"/>
    <w:rsid w:val="00726728"/>
    <w:rsid w:val="0072672A"/>
    <w:rsid w:val="00726810"/>
    <w:rsid w:val="007269CF"/>
    <w:rsid w:val="007269D6"/>
    <w:rsid w:val="00726BB7"/>
    <w:rsid w:val="00726C1F"/>
    <w:rsid w:val="00726CE0"/>
    <w:rsid w:val="00726D58"/>
    <w:rsid w:val="00726DFA"/>
    <w:rsid w:val="00726E39"/>
    <w:rsid w:val="00726E3C"/>
    <w:rsid w:val="00726E88"/>
    <w:rsid w:val="00726EBE"/>
    <w:rsid w:val="007270D0"/>
    <w:rsid w:val="00727131"/>
    <w:rsid w:val="007271B1"/>
    <w:rsid w:val="00727222"/>
    <w:rsid w:val="0072722F"/>
    <w:rsid w:val="00727260"/>
    <w:rsid w:val="007272A7"/>
    <w:rsid w:val="00727388"/>
    <w:rsid w:val="007273D7"/>
    <w:rsid w:val="0072748D"/>
    <w:rsid w:val="00727528"/>
    <w:rsid w:val="00727626"/>
    <w:rsid w:val="0072774D"/>
    <w:rsid w:val="007277A1"/>
    <w:rsid w:val="007277D7"/>
    <w:rsid w:val="00727827"/>
    <w:rsid w:val="007278DD"/>
    <w:rsid w:val="007278E9"/>
    <w:rsid w:val="00727A20"/>
    <w:rsid w:val="00727AEB"/>
    <w:rsid w:val="00727BB8"/>
    <w:rsid w:val="00727C41"/>
    <w:rsid w:val="00727CDE"/>
    <w:rsid w:val="00727D37"/>
    <w:rsid w:val="00727DD2"/>
    <w:rsid w:val="00727F81"/>
    <w:rsid w:val="00727FE7"/>
    <w:rsid w:val="00727FEB"/>
    <w:rsid w:val="0072B6A6"/>
    <w:rsid w:val="00730154"/>
    <w:rsid w:val="00730280"/>
    <w:rsid w:val="00730368"/>
    <w:rsid w:val="007304C4"/>
    <w:rsid w:val="00730714"/>
    <w:rsid w:val="0073085B"/>
    <w:rsid w:val="00730868"/>
    <w:rsid w:val="0073087B"/>
    <w:rsid w:val="00730967"/>
    <w:rsid w:val="00730B90"/>
    <w:rsid w:val="00730C60"/>
    <w:rsid w:val="00730C9D"/>
    <w:rsid w:val="00730CA4"/>
    <w:rsid w:val="00730CE2"/>
    <w:rsid w:val="00730D6B"/>
    <w:rsid w:val="00730E86"/>
    <w:rsid w:val="00730F09"/>
    <w:rsid w:val="00730F7F"/>
    <w:rsid w:val="0073100C"/>
    <w:rsid w:val="0073102A"/>
    <w:rsid w:val="0073106B"/>
    <w:rsid w:val="007311AA"/>
    <w:rsid w:val="007311DD"/>
    <w:rsid w:val="007311FA"/>
    <w:rsid w:val="007314C6"/>
    <w:rsid w:val="00731578"/>
    <w:rsid w:val="00731773"/>
    <w:rsid w:val="007318E6"/>
    <w:rsid w:val="0073192F"/>
    <w:rsid w:val="00731947"/>
    <w:rsid w:val="00731A72"/>
    <w:rsid w:val="00731BBE"/>
    <w:rsid w:val="00731C2C"/>
    <w:rsid w:val="00731C4D"/>
    <w:rsid w:val="00731C5D"/>
    <w:rsid w:val="00731C66"/>
    <w:rsid w:val="00731C69"/>
    <w:rsid w:val="00731D81"/>
    <w:rsid w:val="00731E2F"/>
    <w:rsid w:val="00731ED8"/>
    <w:rsid w:val="00731F57"/>
    <w:rsid w:val="007320A8"/>
    <w:rsid w:val="00732162"/>
    <w:rsid w:val="0073219D"/>
    <w:rsid w:val="007321DA"/>
    <w:rsid w:val="00732217"/>
    <w:rsid w:val="00732247"/>
    <w:rsid w:val="0073231B"/>
    <w:rsid w:val="00732347"/>
    <w:rsid w:val="007323AD"/>
    <w:rsid w:val="00732534"/>
    <w:rsid w:val="0073258E"/>
    <w:rsid w:val="00732594"/>
    <w:rsid w:val="00732657"/>
    <w:rsid w:val="007326D2"/>
    <w:rsid w:val="00732703"/>
    <w:rsid w:val="0073270E"/>
    <w:rsid w:val="007327D7"/>
    <w:rsid w:val="007327F7"/>
    <w:rsid w:val="00732896"/>
    <w:rsid w:val="007329C3"/>
    <w:rsid w:val="00732B3B"/>
    <w:rsid w:val="00732B99"/>
    <w:rsid w:val="00732B9E"/>
    <w:rsid w:val="00732BA1"/>
    <w:rsid w:val="00732E85"/>
    <w:rsid w:val="00732E8B"/>
    <w:rsid w:val="00732EDF"/>
    <w:rsid w:val="00732FED"/>
    <w:rsid w:val="0073316F"/>
    <w:rsid w:val="0073317F"/>
    <w:rsid w:val="007331BC"/>
    <w:rsid w:val="0073321D"/>
    <w:rsid w:val="00733295"/>
    <w:rsid w:val="0073332A"/>
    <w:rsid w:val="00733381"/>
    <w:rsid w:val="00733549"/>
    <w:rsid w:val="007335A9"/>
    <w:rsid w:val="0073368B"/>
    <w:rsid w:val="007338D8"/>
    <w:rsid w:val="00733953"/>
    <w:rsid w:val="00733982"/>
    <w:rsid w:val="0073398B"/>
    <w:rsid w:val="0073399D"/>
    <w:rsid w:val="007339A8"/>
    <w:rsid w:val="00733A3D"/>
    <w:rsid w:val="00733B46"/>
    <w:rsid w:val="00733BF9"/>
    <w:rsid w:val="00733BFD"/>
    <w:rsid w:val="00733CB4"/>
    <w:rsid w:val="00733D14"/>
    <w:rsid w:val="00733D35"/>
    <w:rsid w:val="00733D5F"/>
    <w:rsid w:val="00733EBD"/>
    <w:rsid w:val="00733EE5"/>
    <w:rsid w:val="00733EE7"/>
    <w:rsid w:val="00733F42"/>
    <w:rsid w:val="00734020"/>
    <w:rsid w:val="0073403B"/>
    <w:rsid w:val="0073408E"/>
    <w:rsid w:val="007341FA"/>
    <w:rsid w:val="00734203"/>
    <w:rsid w:val="007343F0"/>
    <w:rsid w:val="007344B3"/>
    <w:rsid w:val="007344D3"/>
    <w:rsid w:val="007346E2"/>
    <w:rsid w:val="0073473F"/>
    <w:rsid w:val="0073476D"/>
    <w:rsid w:val="0073478E"/>
    <w:rsid w:val="0073481D"/>
    <w:rsid w:val="00734835"/>
    <w:rsid w:val="00734880"/>
    <w:rsid w:val="0073490D"/>
    <w:rsid w:val="00734944"/>
    <w:rsid w:val="00734A69"/>
    <w:rsid w:val="00734BB1"/>
    <w:rsid w:val="00734BC4"/>
    <w:rsid w:val="00734C8E"/>
    <w:rsid w:val="00734F29"/>
    <w:rsid w:val="00735123"/>
    <w:rsid w:val="00735126"/>
    <w:rsid w:val="00735164"/>
    <w:rsid w:val="0073517C"/>
    <w:rsid w:val="0073527F"/>
    <w:rsid w:val="00735350"/>
    <w:rsid w:val="007353AE"/>
    <w:rsid w:val="00735427"/>
    <w:rsid w:val="00735525"/>
    <w:rsid w:val="00735714"/>
    <w:rsid w:val="00735724"/>
    <w:rsid w:val="0073576A"/>
    <w:rsid w:val="00735811"/>
    <w:rsid w:val="00735897"/>
    <w:rsid w:val="007358F5"/>
    <w:rsid w:val="00735900"/>
    <w:rsid w:val="00735A73"/>
    <w:rsid w:val="00735BF9"/>
    <w:rsid w:val="00735CD2"/>
    <w:rsid w:val="00735D30"/>
    <w:rsid w:val="00735E46"/>
    <w:rsid w:val="00735ED8"/>
    <w:rsid w:val="00735EDF"/>
    <w:rsid w:val="00735F41"/>
    <w:rsid w:val="00735F80"/>
    <w:rsid w:val="00736042"/>
    <w:rsid w:val="007360EB"/>
    <w:rsid w:val="00736218"/>
    <w:rsid w:val="007362AD"/>
    <w:rsid w:val="00736323"/>
    <w:rsid w:val="0073647E"/>
    <w:rsid w:val="00736653"/>
    <w:rsid w:val="007367C6"/>
    <w:rsid w:val="00736892"/>
    <w:rsid w:val="007368D9"/>
    <w:rsid w:val="007368DD"/>
    <w:rsid w:val="00736936"/>
    <w:rsid w:val="007369A5"/>
    <w:rsid w:val="00736BA5"/>
    <w:rsid w:val="00736C1F"/>
    <w:rsid w:val="00736C33"/>
    <w:rsid w:val="00736C73"/>
    <w:rsid w:val="00736D2C"/>
    <w:rsid w:val="00736DD7"/>
    <w:rsid w:val="00736E3F"/>
    <w:rsid w:val="00736E77"/>
    <w:rsid w:val="00736F76"/>
    <w:rsid w:val="00736F86"/>
    <w:rsid w:val="0073705F"/>
    <w:rsid w:val="00737067"/>
    <w:rsid w:val="0073707B"/>
    <w:rsid w:val="00737297"/>
    <w:rsid w:val="007373C7"/>
    <w:rsid w:val="007373C8"/>
    <w:rsid w:val="0073748B"/>
    <w:rsid w:val="007374D0"/>
    <w:rsid w:val="007374DB"/>
    <w:rsid w:val="00737544"/>
    <w:rsid w:val="00737727"/>
    <w:rsid w:val="00737866"/>
    <w:rsid w:val="007378AE"/>
    <w:rsid w:val="007379D1"/>
    <w:rsid w:val="00737A50"/>
    <w:rsid w:val="00737C17"/>
    <w:rsid w:val="00737D6D"/>
    <w:rsid w:val="00737F05"/>
    <w:rsid w:val="0073BC53"/>
    <w:rsid w:val="00740019"/>
    <w:rsid w:val="007400F1"/>
    <w:rsid w:val="00740120"/>
    <w:rsid w:val="00740227"/>
    <w:rsid w:val="007402BA"/>
    <w:rsid w:val="007402D6"/>
    <w:rsid w:val="0074035A"/>
    <w:rsid w:val="007403E9"/>
    <w:rsid w:val="00740496"/>
    <w:rsid w:val="00740638"/>
    <w:rsid w:val="007406AA"/>
    <w:rsid w:val="007406F5"/>
    <w:rsid w:val="00740704"/>
    <w:rsid w:val="00740732"/>
    <w:rsid w:val="007407C4"/>
    <w:rsid w:val="00740A3A"/>
    <w:rsid w:val="00740A98"/>
    <w:rsid w:val="00740AAA"/>
    <w:rsid w:val="00740B57"/>
    <w:rsid w:val="00740B5A"/>
    <w:rsid w:val="00740B80"/>
    <w:rsid w:val="00740C10"/>
    <w:rsid w:val="00740CA9"/>
    <w:rsid w:val="00740CAD"/>
    <w:rsid w:val="00740DB0"/>
    <w:rsid w:val="00740DE4"/>
    <w:rsid w:val="00740F22"/>
    <w:rsid w:val="00740FEB"/>
    <w:rsid w:val="00740FF4"/>
    <w:rsid w:val="0074101F"/>
    <w:rsid w:val="00741027"/>
    <w:rsid w:val="00741122"/>
    <w:rsid w:val="007411A8"/>
    <w:rsid w:val="007411F0"/>
    <w:rsid w:val="0074122D"/>
    <w:rsid w:val="007412F5"/>
    <w:rsid w:val="0074136C"/>
    <w:rsid w:val="007414D4"/>
    <w:rsid w:val="007414FE"/>
    <w:rsid w:val="00741572"/>
    <w:rsid w:val="007415AC"/>
    <w:rsid w:val="00741647"/>
    <w:rsid w:val="0074168F"/>
    <w:rsid w:val="007416B1"/>
    <w:rsid w:val="00741704"/>
    <w:rsid w:val="007417C7"/>
    <w:rsid w:val="00741867"/>
    <w:rsid w:val="007419F7"/>
    <w:rsid w:val="00741A34"/>
    <w:rsid w:val="00741A6E"/>
    <w:rsid w:val="00741B2B"/>
    <w:rsid w:val="00741B97"/>
    <w:rsid w:val="00741B9E"/>
    <w:rsid w:val="00741CBF"/>
    <w:rsid w:val="00741D58"/>
    <w:rsid w:val="00741DCD"/>
    <w:rsid w:val="00741E19"/>
    <w:rsid w:val="00741F1A"/>
    <w:rsid w:val="00741F1B"/>
    <w:rsid w:val="00741F88"/>
    <w:rsid w:val="0074200B"/>
    <w:rsid w:val="00742049"/>
    <w:rsid w:val="00742069"/>
    <w:rsid w:val="00742075"/>
    <w:rsid w:val="007420E7"/>
    <w:rsid w:val="0074211B"/>
    <w:rsid w:val="00742145"/>
    <w:rsid w:val="007421A4"/>
    <w:rsid w:val="00742222"/>
    <w:rsid w:val="0074229A"/>
    <w:rsid w:val="0074230D"/>
    <w:rsid w:val="0074244F"/>
    <w:rsid w:val="00742603"/>
    <w:rsid w:val="00742644"/>
    <w:rsid w:val="007427CA"/>
    <w:rsid w:val="0074284F"/>
    <w:rsid w:val="00742880"/>
    <w:rsid w:val="007428A9"/>
    <w:rsid w:val="007428BE"/>
    <w:rsid w:val="00742A9F"/>
    <w:rsid w:val="00742AD0"/>
    <w:rsid w:val="00742D18"/>
    <w:rsid w:val="00742D6B"/>
    <w:rsid w:val="00742E30"/>
    <w:rsid w:val="00742F84"/>
    <w:rsid w:val="0074308F"/>
    <w:rsid w:val="007430AF"/>
    <w:rsid w:val="007430C2"/>
    <w:rsid w:val="00743287"/>
    <w:rsid w:val="0074330E"/>
    <w:rsid w:val="00743310"/>
    <w:rsid w:val="0074337B"/>
    <w:rsid w:val="0074347C"/>
    <w:rsid w:val="0074349D"/>
    <w:rsid w:val="007434FF"/>
    <w:rsid w:val="00743605"/>
    <w:rsid w:val="007436F9"/>
    <w:rsid w:val="007437A4"/>
    <w:rsid w:val="007438ED"/>
    <w:rsid w:val="00743936"/>
    <w:rsid w:val="00743955"/>
    <w:rsid w:val="007439CB"/>
    <w:rsid w:val="00743A21"/>
    <w:rsid w:val="00743ADD"/>
    <w:rsid w:val="00743AEE"/>
    <w:rsid w:val="00743B42"/>
    <w:rsid w:val="00743B60"/>
    <w:rsid w:val="00743B75"/>
    <w:rsid w:val="00743C2E"/>
    <w:rsid w:val="00743D39"/>
    <w:rsid w:val="00743DD5"/>
    <w:rsid w:val="00743F8B"/>
    <w:rsid w:val="00744003"/>
    <w:rsid w:val="00744171"/>
    <w:rsid w:val="007441D7"/>
    <w:rsid w:val="00744399"/>
    <w:rsid w:val="007443A9"/>
    <w:rsid w:val="007443B5"/>
    <w:rsid w:val="007443D9"/>
    <w:rsid w:val="00744413"/>
    <w:rsid w:val="007444A1"/>
    <w:rsid w:val="007444C7"/>
    <w:rsid w:val="007444D5"/>
    <w:rsid w:val="0074450F"/>
    <w:rsid w:val="007448CA"/>
    <w:rsid w:val="007448F3"/>
    <w:rsid w:val="00744923"/>
    <w:rsid w:val="00744932"/>
    <w:rsid w:val="00744AF8"/>
    <w:rsid w:val="00744B06"/>
    <w:rsid w:val="00744B8E"/>
    <w:rsid w:val="00744C12"/>
    <w:rsid w:val="00744CE8"/>
    <w:rsid w:val="00744D5D"/>
    <w:rsid w:val="00744DBF"/>
    <w:rsid w:val="00744DF7"/>
    <w:rsid w:val="00744E26"/>
    <w:rsid w:val="00745014"/>
    <w:rsid w:val="0074508E"/>
    <w:rsid w:val="007451ED"/>
    <w:rsid w:val="00745265"/>
    <w:rsid w:val="007452D5"/>
    <w:rsid w:val="0074534F"/>
    <w:rsid w:val="007453E2"/>
    <w:rsid w:val="00745411"/>
    <w:rsid w:val="00745412"/>
    <w:rsid w:val="007454CC"/>
    <w:rsid w:val="00745561"/>
    <w:rsid w:val="0074556A"/>
    <w:rsid w:val="00745626"/>
    <w:rsid w:val="00745632"/>
    <w:rsid w:val="007458B0"/>
    <w:rsid w:val="00745A22"/>
    <w:rsid w:val="00745AE1"/>
    <w:rsid w:val="00745B05"/>
    <w:rsid w:val="00745B87"/>
    <w:rsid w:val="00745C6A"/>
    <w:rsid w:val="00745C6B"/>
    <w:rsid w:val="00745C8F"/>
    <w:rsid w:val="00745CB4"/>
    <w:rsid w:val="00745CBC"/>
    <w:rsid w:val="00745D2E"/>
    <w:rsid w:val="00745DD5"/>
    <w:rsid w:val="00745E3D"/>
    <w:rsid w:val="00745F8E"/>
    <w:rsid w:val="00746133"/>
    <w:rsid w:val="007461CB"/>
    <w:rsid w:val="00746251"/>
    <w:rsid w:val="00746448"/>
    <w:rsid w:val="007464A7"/>
    <w:rsid w:val="007464F8"/>
    <w:rsid w:val="00746513"/>
    <w:rsid w:val="0074653E"/>
    <w:rsid w:val="0074664C"/>
    <w:rsid w:val="00746668"/>
    <w:rsid w:val="007467A0"/>
    <w:rsid w:val="0074690D"/>
    <w:rsid w:val="007469C7"/>
    <w:rsid w:val="007469E1"/>
    <w:rsid w:val="007469F7"/>
    <w:rsid w:val="00746A41"/>
    <w:rsid w:val="00746AA8"/>
    <w:rsid w:val="00746AB6"/>
    <w:rsid w:val="00746B2E"/>
    <w:rsid w:val="00746C29"/>
    <w:rsid w:val="00746CF7"/>
    <w:rsid w:val="00746E65"/>
    <w:rsid w:val="00746E6D"/>
    <w:rsid w:val="00746F7D"/>
    <w:rsid w:val="00747003"/>
    <w:rsid w:val="007470BE"/>
    <w:rsid w:val="007470CF"/>
    <w:rsid w:val="0074713B"/>
    <w:rsid w:val="007471B9"/>
    <w:rsid w:val="007471ED"/>
    <w:rsid w:val="00747320"/>
    <w:rsid w:val="007473E6"/>
    <w:rsid w:val="00747416"/>
    <w:rsid w:val="00747427"/>
    <w:rsid w:val="00747463"/>
    <w:rsid w:val="007474E6"/>
    <w:rsid w:val="00747566"/>
    <w:rsid w:val="00747571"/>
    <w:rsid w:val="007475D9"/>
    <w:rsid w:val="007475DB"/>
    <w:rsid w:val="0074763A"/>
    <w:rsid w:val="0074766C"/>
    <w:rsid w:val="00747695"/>
    <w:rsid w:val="00747822"/>
    <w:rsid w:val="00747873"/>
    <w:rsid w:val="007478ED"/>
    <w:rsid w:val="007479AB"/>
    <w:rsid w:val="007479B8"/>
    <w:rsid w:val="007479CF"/>
    <w:rsid w:val="00747A64"/>
    <w:rsid w:val="00747A67"/>
    <w:rsid w:val="00747D2E"/>
    <w:rsid w:val="00747DBC"/>
    <w:rsid w:val="00747E1A"/>
    <w:rsid w:val="00747E2C"/>
    <w:rsid w:val="00747EBB"/>
    <w:rsid w:val="00747EC0"/>
    <w:rsid w:val="00747F91"/>
    <w:rsid w:val="00750023"/>
    <w:rsid w:val="00750115"/>
    <w:rsid w:val="0075021A"/>
    <w:rsid w:val="00750289"/>
    <w:rsid w:val="0075030A"/>
    <w:rsid w:val="0075032A"/>
    <w:rsid w:val="0075045E"/>
    <w:rsid w:val="00750460"/>
    <w:rsid w:val="0075048E"/>
    <w:rsid w:val="0075049D"/>
    <w:rsid w:val="00750585"/>
    <w:rsid w:val="007505C5"/>
    <w:rsid w:val="007505EE"/>
    <w:rsid w:val="00750637"/>
    <w:rsid w:val="007506EA"/>
    <w:rsid w:val="007507F5"/>
    <w:rsid w:val="00750B06"/>
    <w:rsid w:val="00750D4D"/>
    <w:rsid w:val="00750E61"/>
    <w:rsid w:val="00750F1D"/>
    <w:rsid w:val="00750F29"/>
    <w:rsid w:val="00750F6F"/>
    <w:rsid w:val="00751076"/>
    <w:rsid w:val="007510D1"/>
    <w:rsid w:val="00751137"/>
    <w:rsid w:val="00751217"/>
    <w:rsid w:val="0075128A"/>
    <w:rsid w:val="0075129C"/>
    <w:rsid w:val="0075137B"/>
    <w:rsid w:val="0075138C"/>
    <w:rsid w:val="007513C1"/>
    <w:rsid w:val="00751415"/>
    <w:rsid w:val="00751435"/>
    <w:rsid w:val="0075149B"/>
    <w:rsid w:val="00751613"/>
    <w:rsid w:val="007516C6"/>
    <w:rsid w:val="007516F2"/>
    <w:rsid w:val="0075175A"/>
    <w:rsid w:val="00751B5B"/>
    <w:rsid w:val="00751BD1"/>
    <w:rsid w:val="00751EB6"/>
    <w:rsid w:val="007520AC"/>
    <w:rsid w:val="00752210"/>
    <w:rsid w:val="00752244"/>
    <w:rsid w:val="00752320"/>
    <w:rsid w:val="0075239C"/>
    <w:rsid w:val="007523DC"/>
    <w:rsid w:val="00752506"/>
    <w:rsid w:val="00752533"/>
    <w:rsid w:val="0075257E"/>
    <w:rsid w:val="007525B4"/>
    <w:rsid w:val="007525DE"/>
    <w:rsid w:val="0075265A"/>
    <w:rsid w:val="0075268B"/>
    <w:rsid w:val="00752754"/>
    <w:rsid w:val="00752756"/>
    <w:rsid w:val="007527EA"/>
    <w:rsid w:val="0075292F"/>
    <w:rsid w:val="0075298A"/>
    <w:rsid w:val="007529A1"/>
    <w:rsid w:val="00752A30"/>
    <w:rsid w:val="00752A3E"/>
    <w:rsid w:val="00752A6D"/>
    <w:rsid w:val="00752A71"/>
    <w:rsid w:val="00752AB7"/>
    <w:rsid w:val="00752B09"/>
    <w:rsid w:val="00752B6D"/>
    <w:rsid w:val="00752B8F"/>
    <w:rsid w:val="00752C0A"/>
    <w:rsid w:val="00752C96"/>
    <w:rsid w:val="00752CCA"/>
    <w:rsid w:val="00752CE1"/>
    <w:rsid w:val="00752F3B"/>
    <w:rsid w:val="00752F3E"/>
    <w:rsid w:val="00752F58"/>
    <w:rsid w:val="00753125"/>
    <w:rsid w:val="0075319F"/>
    <w:rsid w:val="00753228"/>
    <w:rsid w:val="0075322D"/>
    <w:rsid w:val="0075336B"/>
    <w:rsid w:val="00753450"/>
    <w:rsid w:val="00753461"/>
    <w:rsid w:val="0075347B"/>
    <w:rsid w:val="007535A5"/>
    <w:rsid w:val="007535DD"/>
    <w:rsid w:val="0075366D"/>
    <w:rsid w:val="00753AC3"/>
    <w:rsid w:val="00753AD9"/>
    <w:rsid w:val="00753B56"/>
    <w:rsid w:val="00753C13"/>
    <w:rsid w:val="00753C17"/>
    <w:rsid w:val="00753CAF"/>
    <w:rsid w:val="00753CB5"/>
    <w:rsid w:val="00753CC7"/>
    <w:rsid w:val="00753D5C"/>
    <w:rsid w:val="00753E77"/>
    <w:rsid w:val="00754074"/>
    <w:rsid w:val="007540E7"/>
    <w:rsid w:val="00754165"/>
    <w:rsid w:val="00754174"/>
    <w:rsid w:val="00754335"/>
    <w:rsid w:val="0075437D"/>
    <w:rsid w:val="00754444"/>
    <w:rsid w:val="0075456A"/>
    <w:rsid w:val="007546C1"/>
    <w:rsid w:val="007546E2"/>
    <w:rsid w:val="00754750"/>
    <w:rsid w:val="007547E7"/>
    <w:rsid w:val="0075497D"/>
    <w:rsid w:val="00754A99"/>
    <w:rsid w:val="00754ACD"/>
    <w:rsid w:val="00754BA6"/>
    <w:rsid w:val="00754CB4"/>
    <w:rsid w:val="00754CB5"/>
    <w:rsid w:val="00754D1B"/>
    <w:rsid w:val="00754DF3"/>
    <w:rsid w:val="00754E96"/>
    <w:rsid w:val="00754EAC"/>
    <w:rsid w:val="00754F35"/>
    <w:rsid w:val="00754FD5"/>
    <w:rsid w:val="007552C3"/>
    <w:rsid w:val="007552D6"/>
    <w:rsid w:val="00755337"/>
    <w:rsid w:val="00755366"/>
    <w:rsid w:val="00755372"/>
    <w:rsid w:val="0075551C"/>
    <w:rsid w:val="00755596"/>
    <w:rsid w:val="00755597"/>
    <w:rsid w:val="0075569F"/>
    <w:rsid w:val="007557CD"/>
    <w:rsid w:val="00755842"/>
    <w:rsid w:val="007559A9"/>
    <w:rsid w:val="007559D2"/>
    <w:rsid w:val="00755A17"/>
    <w:rsid w:val="00755B97"/>
    <w:rsid w:val="00755C05"/>
    <w:rsid w:val="00755C6C"/>
    <w:rsid w:val="00755C70"/>
    <w:rsid w:val="00755E21"/>
    <w:rsid w:val="00755E9D"/>
    <w:rsid w:val="007560B5"/>
    <w:rsid w:val="007560B8"/>
    <w:rsid w:val="0075616B"/>
    <w:rsid w:val="0075626B"/>
    <w:rsid w:val="0075630C"/>
    <w:rsid w:val="00756332"/>
    <w:rsid w:val="00756354"/>
    <w:rsid w:val="0075659F"/>
    <w:rsid w:val="00756650"/>
    <w:rsid w:val="007566CE"/>
    <w:rsid w:val="0075670F"/>
    <w:rsid w:val="007567F1"/>
    <w:rsid w:val="00756810"/>
    <w:rsid w:val="007568B5"/>
    <w:rsid w:val="007568DA"/>
    <w:rsid w:val="007568DB"/>
    <w:rsid w:val="00756982"/>
    <w:rsid w:val="00756984"/>
    <w:rsid w:val="007569B2"/>
    <w:rsid w:val="00756AA5"/>
    <w:rsid w:val="00756C53"/>
    <w:rsid w:val="00756C63"/>
    <w:rsid w:val="00756CAD"/>
    <w:rsid w:val="00756CDF"/>
    <w:rsid w:val="00756DFE"/>
    <w:rsid w:val="00756E4C"/>
    <w:rsid w:val="00756F31"/>
    <w:rsid w:val="00756F5A"/>
    <w:rsid w:val="007570AD"/>
    <w:rsid w:val="007571B9"/>
    <w:rsid w:val="00757242"/>
    <w:rsid w:val="00757288"/>
    <w:rsid w:val="007572D6"/>
    <w:rsid w:val="007572E2"/>
    <w:rsid w:val="0075734B"/>
    <w:rsid w:val="00757391"/>
    <w:rsid w:val="007573E2"/>
    <w:rsid w:val="0075741F"/>
    <w:rsid w:val="00757488"/>
    <w:rsid w:val="007574AD"/>
    <w:rsid w:val="007576C5"/>
    <w:rsid w:val="00757707"/>
    <w:rsid w:val="00757790"/>
    <w:rsid w:val="00757797"/>
    <w:rsid w:val="00757846"/>
    <w:rsid w:val="0075785E"/>
    <w:rsid w:val="00757877"/>
    <w:rsid w:val="007578B5"/>
    <w:rsid w:val="007578CD"/>
    <w:rsid w:val="007578D9"/>
    <w:rsid w:val="00757A80"/>
    <w:rsid w:val="00757B88"/>
    <w:rsid w:val="00757BA5"/>
    <w:rsid w:val="00757D4E"/>
    <w:rsid w:val="00757EF0"/>
    <w:rsid w:val="00757F1B"/>
    <w:rsid w:val="00757F30"/>
    <w:rsid w:val="00757FF0"/>
    <w:rsid w:val="00760010"/>
    <w:rsid w:val="00760016"/>
    <w:rsid w:val="0076013C"/>
    <w:rsid w:val="0076022C"/>
    <w:rsid w:val="00760272"/>
    <w:rsid w:val="00760284"/>
    <w:rsid w:val="0076032D"/>
    <w:rsid w:val="007603C7"/>
    <w:rsid w:val="007603FC"/>
    <w:rsid w:val="00760474"/>
    <w:rsid w:val="00760507"/>
    <w:rsid w:val="0076051E"/>
    <w:rsid w:val="0076054D"/>
    <w:rsid w:val="0076061F"/>
    <w:rsid w:val="00760857"/>
    <w:rsid w:val="00760860"/>
    <w:rsid w:val="0076098F"/>
    <w:rsid w:val="00760A72"/>
    <w:rsid w:val="00760ACF"/>
    <w:rsid w:val="00760AEE"/>
    <w:rsid w:val="00760B24"/>
    <w:rsid w:val="00760CEA"/>
    <w:rsid w:val="00760D4B"/>
    <w:rsid w:val="00760D58"/>
    <w:rsid w:val="00760E36"/>
    <w:rsid w:val="00760E86"/>
    <w:rsid w:val="00760F11"/>
    <w:rsid w:val="00760FA0"/>
    <w:rsid w:val="0076101C"/>
    <w:rsid w:val="0076112B"/>
    <w:rsid w:val="00761134"/>
    <w:rsid w:val="0076117C"/>
    <w:rsid w:val="00761253"/>
    <w:rsid w:val="00761283"/>
    <w:rsid w:val="00761286"/>
    <w:rsid w:val="007614C8"/>
    <w:rsid w:val="007614DA"/>
    <w:rsid w:val="0076156C"/>
    <w:rsid w:val="00761597"/>
    <w:rsid w:val="007615B5"/>
    <w:rsid w:val="007616F2"/>
    <w:rsid w:val="00761701"/>
    <w:rsid w:val="00761766"/>
    <w:rsid w:val="0076177B"/>
    <w:rsid w:val="007618A2"/>
    <w:rsid w:val="00761A81"/>
    <w:rsid w:val="00761AF9"/>
    <w:rsid w:val="00761C6C"/>
    <w:rsid w:val="00761CA4"/>
    <w:rsid w:val="00761CEF"/>
    <w:rsid w:val="00761DE2"/>
    <w:rsid w:val="00761E32"/>
    <w:rsid w:val="00761EC1"/>
    <w:rsid w:val="00762092"/>
    <w:rsid w:val="007620D6"/>
    <w:rsid w:val="00762163"/>
    <w:rsid w:val="0076219F"/>
    <w:rsid w:val="00762295"/>
    <w:rsid w:val="00762318"/>
    <w:rsid w:val="007623A7"/>
    <w:rsid w:val="00762406"/>
    <w:rsid w:val="00762411"/>
    <w:rsid w:val="00762441"/>
    <w:rsid w:val="0076249F"/>
    <w:rsid w:val="007624C6"/>
    <w:rsid w:val="0076253B"/>
    <w:rsid w:val="007625F3"/>
    <w:rsid w:val="007626E5"/>
    <w:rsid w:val="0076276F"/>
    <w:rsid w:val="00762866"/>
    <w:rsid w:val="007628A5"/>
    <w:rsid w:val="007628BC"/>
    <w:rsid w:val="007629A6"/>
    <w:rsid w:val="007629A7"/>
    <w:rsid w:val="00762A5F"/>
    <w:rsid w:val="00762AC8"/>
    <w:rsid w:val="00762B23"/>
    <w:rsid w:val="00762B5A"/>
    <w:rsid w:val="00762C07"/>
    <w:rsid w:val="00762C6E"/>
    <w:rsid w:val="00762D3F"/>
    <w:rsid w:val="00762FC6"/>
    <w:rsid w:val="0076309A"/>
    <w:rsid w:val="007630FA"/>
    <w:rsid w:val="00763142"/>
    <w:rsid w:val="00763148"/>
    <w:rsid w:val="007631AE"/>
    <w:rsid w:val="0076320E"/>
    <w:rsid w:val="007633C6"/>
    <w:rsid w:val="007633FC"/>
    <w:rsid w:val="00763466"/>
    <w:rsid w:val="0076348F"/>
    <w:rsid w:val="007635F5"/>
    <w:rsid w:val="00763647"/>
    <w:rsid w:val="007636BE"/>
    <w:rsid w:val="007637D6"/>
    <w:rsid w:val="0076381D"/>
    <w:rsid w:val="00763828"/>
    <w:rsid w:val="007638C5"/>
    <w:rsid w:val="007639D4"/>
    <w:rsid w:val="00763B57"/>
    <w:rsid w:val="00763B7E"/>
    <w:rsid w:val="00763B9B"/>
    <w:rsid w:val="00763BE6"/>
    <w:rsid w:val="00763C5F"/>
    <w:rsid w:val="00763CE4"/>
    <w:rsid w:val="00763D4D"/>
    <w:rsid w:val="00763E21"/>
    <w:rsid w:val="00763F0E"/>
    <w:rsid w:val="00763FEE"/>
    <w:rsid w:val="00764052"/>
    <w:rsid w:val="007640A4"/>
    <w:rsid w:val="007642C7"/>
    <w:rsid w:val="007642FA"/>
    <w:rsid w:val="0076430B"/>
    <w:rsid w:val="00764461"/>
    <w:rsid w:val="0076451C"/>
    <w:rsid w:val="007645DB"/>
    <w:rsid w:val="00764722"/>
    <w:rsid w:val="00764801"/>
    <w:rsid w:val="0076481F"/>
    <w:rsid w:val="00764828"/>
    <w:rsid w:val="00764856"/>
    <w:rsid w:val="0076487C"/>
    <w:rsid w:val="0076495B"/>
    <w:rsid w:val="007649B4"/>
    <w:rsid w:val="007649D1"/>
    <w:rsid w:val="00764A4F"/>
    <w:rsid w:val="00764A66"/>
    <w:rsid w:val="00764A86"/>
    <w:rsid w:val="00764AAC"/>
    <w:rsid w:val="00764DA0"/>
    <w:rsid w:val="00764DD3"/>
    <w:rsid w:val="00764E2A"/>
    <w:rsid w:val="00764EC1"/>
    <w:rsid w:val="00764ED2"/>
    <w:rsid w:val="00764EEC"/>
    <w:rsid w:val="00764F29"/>
    <w:rsid w:val="00765028"/>
    <w:rsid w:val="00765101"/>
    <w:rsid w:val="007651B8"/>
    <w:rsid w:val="00765210"/>
    <w:rsid w:val="007652A1"/>
    <w:rsid w:val="0076537A"/>
    <w:rsid w:val="00765405"/>
    <w:rsid w:val="007654C9"/>
    <w:rsid w:val="0076552C"/>
    <w:rsid w:val="00765590"/>
    <w:rsid w:val="007656DB"/>
    <w:rsid w:val="00765751"/>
    <w:rsid w:val="00765765"/>
    <w:rsid w:val="00765842"/>
    <w:rsid w:val="0076587E"/>
    <w:rsid w:val="0076590D"/>
    <w:rsid w:val="0076592A"/>
    <w:rsid w:val="00765951"/>
    <w:rsid w:val="007659A0"/>
    <w:rsid w:val="00765ABA"/>
    <w:rsid w:val="00765C18"/>
    <w:rsid w:val="00765CC7"/>
    <w:rsid w:val="00765CD5"/>
    <w:rsid w:val="00765D19"/>
    <w:rsid w:val="00765D35"/>
    <w:rsid w:val="00765DED"/>
    <w:rsid w:val="00765F25"/>
    <w:rsid w:val="00766042"/>
    <w:rsid w:val="0076619A"/>
    <w:rsid w:val="00766267"/>
    <w:rsid w:val="007662B2"/>
    <w:rsid w:val="007662BF"/>
    <w:rsid w:val="007662E8"/>
    <w:rsid w:val="0076642A"/>
    <w:rsid w:val="00766480"/>
    <w:rsid w:val="00766491"/>
    <w:rsid w:val="007664CE"/>
    <w:rsid w:val="007664DC"/>
    <w:rsid w:val="007664DE"/>
    <w:rsid w:val="00766570"/>
    <w:rsid w:val="0076662E"/>
    <w:rsid w:val="00766711"/>
    <w:rsid w:val="00766713"/>
    <w:rsid w:val="007667BF"/>
    <w:rsid w:val="0076685D"/>
    <w:rsid w:val="00766867"/>
    <w:rsid w:val="00766AC6"/>
    <w:rsid w:val="00766BD3"/>
    <w:rsid w:val="00766D0E"/>
    <w:rsid w:val="00766F69"/>
    <w:rsid w:val="007670AF"/>
    <w:rsid w:val="00767177"/>
    <w:rsid w:val="0076723E"/>
    <w:rsid w:val="00767296"/>
    <w:rsid w:val="00767480"/>
    <w:rsid w:val="00767591"/>
    <w:rsid w:val="00767598"/>
    <w:rsid w:val="0076760E"/>
    <w:rsid w:val="0076772F"/>
    <w:rsid w:val="007679EC"/>
    <w:rsid w:val="00767A9F"/>
    <w:rsid w:val="00767B8A"/>
    <w:rsid w:val="00767B8D"/>
    <w:rsid w:val="00767C18"/>
    <w:rsid w:val="00767DE8"/>
    <w:rsid w:val="00767E50"/>
    <w:rsid w:val="00767E73"/>
    <w:rsid w:val="00767EBA"/>
    <w:rsid w:val="00767F40"/>
    <w:rsid w:val="0077002C"/>
    <w:rsid w:val="00770038"/>
    <w:rsid w:val="00770041"/>
    <w:rsid w:val="00770106"/>
    <w:rsid w:val="007701B5"/>
    <w:rsid w:val="007701CF"/>
    <w:rsid w:val="007701D6"/>
    <w:rsid w:val="00770228"/>
    <w:rsid w:val="00770327"/>
    <w:rsid w:val="0077033B"/>
    <w:rsid w:val="007703D1"/>
    <w:rsid w:val="00770402"/>
    <w:rsid w:val="007704CE"/>
    <w:rsid w:val="00770591"/>
    <w:rsid w:val="007705C2"/>
    <w:rsid w:val="00770694"/>
    <w:rsid w:val="007707FD"/>
    <w:rsid w:val="00770803"/>
    <w:rsid w:val="007708CC"/>
    <w:rsid w:val="007709A6"/>
    <w:rsid w:val="007709B9"/>
    <w:rsid w:val="007709CA"/>
    <w:rsid w:val="00770B5C"/>
    <w:rsid w:val="00770BB6"/>
    <w:rsid w:val="00770C65"/>
    <w:rsid w:val="00770CD7"/>
    <w:rsid w:val="00770F8D"/>
    <w:rsid w:val="00770FCE"/>
    <w:rsid w:val="007711DD"/>
    <w:rsid w:val="00771332"/>
    <w:rsid w:val="007713DE"/>
    <w:rsid w:val="007714E2"/>
    <w:rsid w:val="0077150E"/>
    <w:rsid w:val="00771670"/>
    <w:rsid w:val="007716C0"/>
    <w:rsid w:val="0077173C"/>
    <w:rsid w:val="007718BE"/>
    <w:rsid w:val="00771A13"/>
    <w:rsid w:val="00771A46"/>
    <w:rsid w:val="00771A4E"/>
    <w:rsid w:val="00771AC7"/>
    <w:rsid w:val="00771ACA"/>
    <w:rsid w:val="00771EBF"/>
    <w:rsid w:val="00771FF9"/>
    <w:rsid w:val="007721C3"/>
    <w:rsid w:val="007721ED"/>
    <w:rsid w:val="00772259"/>
    <w:rsid w:val="007724CE"/>
    <w:rsid w:val="007724FE"/>
    <w:rsid w:val="007725D8"/>
    <w:rsid w:val="00772762"/>
    <w:rsid w:val="007727B4"/>
    <w:rsid w:val="007727FD"/>
    <w:rsid w:val="0077280A"/>
    <w:rsid w:val="00772861"/>
    <w:rsid w:val="0077288E"/>
    <w:rsid w:val="00772932"/>
    <w:rsid w:val="00772949"/>
    <w:rsid w:val="00772AD1"/>
    <w:rsid w:val="00772CD1"/>
    <w:rsid w:val="00772CE5"/>
    <w:rsid w:val="00772DF1"/>
    <w:rsid w:val="00772E1A"/>
    <w:rsid w:val="00772EB5"/>
    <w:rsid w:val="00772EEE"/>
    <w:rsid w:val="00772F00"/>
    <w:rsid w:val="00772F2A"/>
    <w:rsid w:val="00772FAF"/>
    <w:rsid w:val="007730B9"/>
    <w:rsid w:val="00773120"/>
    <w:rsid w:val="00773179"/>
    <w:rsid w:val="007731F1"/>
    <w:rsid w:val="00773288"/>
    <w:rsid w:val="007732BB"/>
    <w:rsid w:val="00773440"/>
    <w:rsid w:val="00773445"/>
    <w:rsid w:val="007734AF"/>
    <w:rsid w:val="00773591"/>
    <w:rsid w:val="00773628"/>
    <w:rsid w:val="007738F4"/>
    <w:rsid w:val="007739D5"/>
    <w:rsid w:val="00773D58"/>
    <w:rsid w:val="00773F17"/>
    <w:rsid w:val="00773F99"/>
    <w:rsid w:val="00773F9F"/>
    <w:rsid w:val="0077403A"/>
    <w:rsid w:val="0077407E"/>
    <w:rsid w:val="007740A0"/>
    <w:rsid w:val="007740FC"/>
    <w:rsid w:val="007741A1"/>
    <w:rsid w:val="007741BB"/>
    <w:rsid w:val="007741C8"/>
    <w:rsid w:val="0077425F"/>
    <w:rsid w:val="0077438A"/>
    <w:rsid w:val="00774411"/>
    <w:rsid w:val="00774432"/>
    <w:rsid w:val="00774482"/>
    <w:rsid w:val="007744A0"/>
    <w:rsid w:val="007744CC"/>
    <w:rsid w:val="00774583"/>
    <w:rsid w:val="0077458F"/>
    <w:rsid w:val="0077467D"/>
    <w:rsid w:val="007746D6"/>
    <w:rsid w:val="007746E5"/>
    <w:rsid w:val="007748F9"/>
    <w:rsid w:val="00774900"/>
    <w:rsid w:val="00774905"/>
    <w:rsid w:val="00774A41"/>
    <w:rsid w:val="00774B7C"/>
    <w:rsid w:val="00774BDD"/>
    <w:rsid w:val="00774BE6"/>
    <w:rsid w:val="00774BF0"/>
    <w:rsid w:val="00774C9F"/>
    <w:rsid w:val="00774E5D"/>
    <w:rsid w:val="00774EA8"/>
    <w:rsid w:val="00774EB5"/>
    <w:rsid w:val="00774F81"/>
    <w:rsid w:val="00775013"/>
    <w:rsid w:val="00775091"/>
    <w:rsid w:val="00775129"/>
    <w:rsid w:val="00775293"/>
    <w:rsid w:val="007752B7"/>
    <w:rsid w:val="0077531E"/>
    <w:rsid w:val="007753DF"/>
    <w:rsid w:val="007754A2"/>
    <w:rsid w:val="0077579A"/>
    <w:rsid w:val="007757E4"/>
    <w:rsid w:val="0077581D"/>
    <w:rsid w:val="0077587B"/>
    <w:rsid w:val="007758CA"/>
    <w:rsid w:val="007758EE"/>
    <w:rsid w:val="00775976"/>
    <w:rsid w:val="00775A00"/>
    <w:rsid w:val="00775AAB"/>
    <w:rsid w:val="00775BDE"/>
    <w:rsid w:val="00775CC7"/>
    <w:rsid w:val="00775E84"/>
    <w:rsid w:val="00775F19"/>
    <w:rsid w:val="00776045"/>
    <w:rsid w:val="007760A3"/>
    <w:rsid w:val="0077616F"/>
    <w:rsid w:val="007761DF"/>
    <w:rsid w:val="00776202"/>
    <w:rsid w:val="00776254"/>
    <w:rsid w:val="0077628B"/>
    <w:rsid w:val="00776328"/>
    <w:rsid w:val="00776587"/>
    <w:rsid w:val="007765A2"/>
    <w:rsid w:val="007766E2"/>
    <w:rsid w:val="007767B0"/>
    <w:rsid w:val="007767B6"/>
    <w:rsid w:val="00776892"/>
    <w:rsid w:val="0077689A"/>
    <w:rsid w:val="007768E3"/>
    <w:rsid w:val="0077695A"/>
    <w:rsid w:val="00776A44"/>
    <w:rsid w:val="00776AAE"/>
    <w:rsid w:val="00776AF6"/>
    <w:rsid w:val="00776B27"/>
    <w:rsid w:val="00776B3F"/>
    <w:rsid w:val="00776E57"/>
    <w:rsid w:val="00776EDB"/>
    <w:rsid w:val="00777088"/>
    <w:rsid w:val="0077711D"/>
    <w:rsid w:val="007771DD"/>
    <w:rsid w:val="00777271"/>
    <w:rsid w:val="007772D6"/>
    <w:rsid w:val="007773AB"/>
    <w:rsid w:val="007775F5"/>
    <w:rsid w:val="0077760A"/>
    <w:rsid w:val="00777703"/>
    <w:rsid w:val="00777895"/>
    <w:rsid w:val="0077791C"/>
    <w:rsid w:val="0077797B"/>
    <w:rsid w:val="0077798B"/>
    <w:rsid w:val="00777A74"/>
    <w:rsid w:val="00777A79"/>
    <w:rsid w:val="00777ADC"/>
    <w:rsid w:val="00777B81"/>
    <w:rsid w:val="00777BF7"/>
    <w:rsid w:val="00777C6E"/>
    <w:rsid w:val="00777D35"/>
    <w:rsid w:val="00777D5A"/>
    <w:rsid w:val="00777DC8"/>
    <w:rsid w:val="00777E26"/>
    <w:rsid w:val="0078006B"/>
    <w:rsid w:val="0078009F"/>
    <w:rsid w:val="007800BF"/>
    <w:rsid w:val="007801EC"/>
    <w:rsid w:val="00780241"/>
    <w:rsid w:val="00780282"/>
    <w:rsid w:val="00780317"/>
    <w:rsid w:val="0078038C"/>
    <w:rsid w:val="00780395"/>
    <w:rsid w:val="00780397"/>
    <w:rsid w:val="0078048E"/>
    <w:rsid w:val="007804DF"/>
    <w:rsid w:val="007804E0"/>
    <w:rsid w:val="007804FD"/>
    <w:rsid w:val="00780574"/>
    <w:rsid w:val="00780589"/>
    <w:rsid w:val="0078061A"/>
    <w:rsid w:val="00780632"/>
    <w:rsid w:val="00780782"/>
    <w:rsid w:val="007807FD"/>
    <w:rsid w:val="00780847"/>
    <w:rsid w:val="007808EA"/>
    <w:rsid w:val="0078097A"/>
    <w:rsid w:val="00780A43"/>
    <w:rsid w:val="00780B31"/>
    <w:rsid w:val="00780BB6"/>
    <w:rsid w:val="00780BB9"/>
    <w:rsid w:val="00780BF3"/>
    <w:rsid w:val="00780C31"/>
    <w:rsid w:val="00780C4F"/>
    <w:rsid w:val="00780D0F"/>
    <w:rsid w:val="00780DE7"/>
    <w:rsid w:val="00780F65"/>
    <w:rsid w:val="00780FB9"/>
    <w:rsid w:val="00781091"/>
    <w:rsid w:val="0078109E"/>
    <w:rsid w:val="007810AB"/>
    <w:rsid w:val="007811C5"/>
    <w:rsid w:val="0078126F"/>
    <w:rsid w:val="007812CC"/>
    <w:rsid w:val="0078136B"/>
    <w:rsid w:val="00781459"/>
    <w:rsid w:val="007814C1"/>
    <w:rsid w:val="00781568"/>
    <w:rsid w:val="0078157D"/>
    <w:rsid w:val="0078159B"/>
    <w:rsid w:val="007816E0"/>
    <w:rsid w:val="00781709"/>
    <w:rsid w:val="00781886"/>
    <w:rsid w:val="0078189B"/>
    <w:rsid w:val="00781999"/>
    <w:rsid w:val="00781A98"/>
    <w:rsid w:val="00781AC9"/>
    <w:rsid w:val="00781B94"/>
    <w:rsid w:val="00781C33"/>
    <w:rsid w:val="00781C3D"/>
    <w:rsid w:val="00781C4D"/>
    <w:rsid w:val="00781CDE"/>
    <w:rsid w:val="00781D11"/>
    <w:rsid w:val="00781D18"/>
    <w:rsid w:val="00781DAB"/>
    <w:rsid w:val="00781DB1"/>
    <w:rsid w:val="00781DB2"/>
    <w:rsid w:val="00781DF5"/>
    <w:rsid w:val="00781EA6"/>
    <w:rsid w:val="00781EF1"/>
    <w:rsid w:val="00781F24"/>
    <w:rsid w:val="00781F71"/>
    <w:rsid w:val="00781FAA"/>
    <w:rsid w:val="0078205B"/>
    <w:rsid w:val="0078208E"/>
    <w:rsid w:val="0078209F"/>
    <w:rsid w:val="00782132"/>
    <w:rsid w:val="00782467"/>
    <w:rsid w:val="007824CD"/>
    <w:rsid w:val="007824F9"/>
    <w:rsid w:val="0078258F"/>
    <w:rsid w:val="007827A5"/>
    <w:rsid w:val="007827D9"/>
    <w:rsid w:val="00782A41"/>
    <w:rsid w:val="00782B60"/>
    <w:rsid w:val="00782BD1"/>
    <w:rsid w:val="00782BF0"/>
    <w:rsid w:val="00782D91"/>
    <w:rsid w:val="00782D9F"/>
    <w:rsid w:val="00782DD0"/>
    <w:rsid w:val="00782DEA"/>
    <w:rsid w:val="00782F29"/>
    <w:rsid w:val="007831BB"/>
    <w:rsid w:val="007832DF"/>
    <w:rsid w:val="00783371"/>
    <w:rsid w:val="00783380"/>
    <w:rsid w:val="0078351E"/>
    <w:rsid w:val="0078369E"/>
    <w:rsid w:val="00783782"/>
    <w:rsid w:val="0078382B"/>
    <w:rsid w:val="007838C4"/>
    <w:rsid w:val="007838D7"/>
    <w:rsid w:val="007838DE"/>
    <w:rsid w:val="00783AEA"/>
    <w:rsid w:val="00783B23"/>
    <w:rsid w:val="00783B8E"/>
    <w:rsid w:val="00783B9F"/>
    <w:rsid w:val="00783BC8"/>
    <w:rsid w:val="00783BE5"/>
    <w:rsid w:val="00783E2B"/>
    <w:rsid w:val="00783E5D"/>
    <w:rsid w:val="00783E7B"/>
    <w:rsid w:val="00783F33"/>
    <w:rsid w:val="00783F6C"/>
    <w:rsid w:val="00783F7B"/>
    <w:rsid w:val="00783F9C"/>
    <w:rsid w:val="00784082"/>
    <w:rsid w:val="00784097"/>
    <w:rsid w:val="0078418B"/>
    <w:rsid w:val="007841F2"/>
    <w:rsid w:val="007842EC"/>
    <w:rsid w:val="007842F7"/>
    <w:rsid w:val="007842FF"/>
    <w:rsid w:val="00784354"/>
    <w:rsid w:val="00784582"/>
    <w:rsid w:val="0078476E"/>
    <w:rsid w:val="007847A6"/>
    <w:rsid w:val="00784980"/>
    <w:rsid w:val="00784A0F"/>
    <w:rsid w:val="00784A31"/>
    <w:rsid w:val="00784AFC"/>
    <w:rsid w:val="00784B40"/>
    <w:rsid w:val="00784CCD"/>
    <w:rsid w:val="00784D0E"/>
    <w:rsid w:val="00784D66"/>
    <w:rsid w:val="00784D95"/>
    <w:rsid w:val="00784FF7"/>
    <w:rsid w:val="00785005"/>
    <w:rsid w:val="007852CD"/>
    <w:rsid w:val="00785343"/>
    <w:rsid w:val="0078542F"/>
    <w:rsid w:val="007854A0"/>
    <w:rsid w:val="00785529"/>
    <w:rsid w:val="00785548"/>
    <w:rsid w:val="00785558"/>
    <w:rsid w:val="007855E9"/>
    <w:rsid w:val="00785620"/>
    <w:rsid w:val="00785621"/>
    <w:rsid w:val="007856A5"/>
    <w:rsid w:val="007856F5"/>
    <w:rsid w:val="0078582A"/>
    <w:rsid w:val="0078591F"/>
    <w:rsid w:val="00785AAF"/>
    <w:rsid w:val="00785C62"/>
    <w:rsid w:val="00785C8E"/>
    <w:rsid w:val="00785CD4"/>
    <w:rsid w:val="00785CEC"/>
    <w:rsid w:val="00785D15"/>
    <w:rsid w:val="00785E16"/>
    <w:rsid w:val="00785EA3"/>
    <w:rsid w:val="00785ECD"/>
    <w:rsid w:val="00785F50"/>
    <w:rsid w:val="00785FC5"/>
    <w:rsid w:val="00785FFA"/>
    <w:rsid w:val="0078611D"/>
    <w:rsid w:val="00786144"/>
    <w:rsid w:val="00786152"/>
    <w:rsid w:val="007861F5"/>
    <w:rsid w:val="0078626D"/>
    <w:rsid w:val="00786288"/>
    <w:rsid w:val="0078632B"/>
    <w:rsid w:val="0078636A"/>
    <w:rsid w:val="00786431"/>
    <w:rsid w:val="0078645E"/>
    <w:rsid w:val="00786489"/>
    <w:rsid w:val="00786549"/>
    <w:rsid w:val="00786613"/>
    <w:rsid w:val="0078661E"/>
    <w:rsid w:val="00786630"/>
    <w:rsid w:val="00786657"/>
    <w:rsid w:val="00786775"/>
    <w:rsid w:val="007867EF"/>
    <w:rsid w:val="0078681D"/>
    <w:rsid w:val="00786883"/>
    <w:rsid w:val="0078695D"/>
    <w:rsid w:val="00786B38"/>
    <w:rsid w:val="00786BD7"/>
    <w:rsid w:val="00786BDE"/>
    <w:rsid w:val="00786C23"/>
    <w:rsid w:val="00786C28"/>
    <w:rsid w:val="00786C33"/>
    <w:rsid w:val="00786D4E"/>
    <w:rsid w:val="00786DB1"/>
    <w:rsid w:val="00786E06"/>
    <w:rsid w:val="00786E1B"/>
    <w:rsid w:val="00786EC4"/>
    <w:rsid w:val="00786EEA"/>
    <w:rsid w:val="00786F4D"/>
    <w:rsid w:val="0078706D"/>
    <w:rsid w:val="00787388"/>
    <w:rsid w:val="00787458"/>
    <w:rsid w:val="0078747E"/>
    <w:rsid w:val="007874ED"/>
    <w:rsid w:val="0078757D"/>
    <w:rsid w:val="007875E9"/>
    <w:rsid w:val="0078772A"/>
    <w:rsid w:val="007877A1"/>
    <w:rsid w:val="007878CB"/>
    <w:rsid w:val="00787A3C"/>
    <w:rsid w:val="00787C84"/>
    <w:rsid w:val="00787D18"/>
    <w:rsid w:val="00787D2C"/>
    <w:rsid w:val="00787D9D"/>
    <w:rsid w:val="00787DB2"/>
    <w:rsid w:val="00787DD9"/>
    <w:rsid w:val="00787E8C"/>
    <w:rsid w:val="00787EFE"/>
    <w:rsid w:val="00790028"/>
    <w:rsid w:val="0079003A"/>
    <w:rsid w:val="0079008B"/>
    <w:rsid w:val="007901B3"/>
    <w:rsid w:val="0079020F"/>
    <w:rsid w:val="0079027B"/>
    <w:rsid w:val="00790333"/>
    <w:rsid w:val="00790364"/>
    <w:rsid w:val="007903D1"/>
    <w:rsid w:val="0079043E"/>
    <w:rsid w:val="0079047E"/>
    <w:rsid w:val="00790547"/>
    <w:rsid w:val="007906B7"/>
    <w:rsid w:val="00790703"/>
    <w:rsid w:val="00790772"/>
    <w:rsid w:val="007908C5"/>
    <w:rsid w:val="0079090A"/>
    <w:rsid w:val="0079098B"/>
    <w:rsid w:val="007909A8"/>
    <w:rsid w:val="00790AED"/>
    <w:rsid w:val="00790B81"/>
    <w:rsid w:val="00790B98"/>
    <w:rsid w:val="00790BF0"/>
    <w:rsid w:val="00790C0D"/>
    <w:rsid w:val="00790CD7"/>
    <w:rsid w:val="00790CD8"/>
    <w:rsid w:val="00790CF2"/>
    <w:rsid w:val="00790D82"/>
    <w:rsid w:val="00790DC6"/>
    <w:rsid w:val="00790E3C"/>
    <w:rsid w:val="00790EEA"/>
    <w:rsid w:val="00790F13"/>
    <w:rsid w:val="00790F8D"/>
    <w:rsid w:val="00790FC6"/>
    <w:rsid w:val="007910E0"/>
    <w:rsid w:val="0079116C"/>
    <w:rsid w:val="007911E7"/>
    <w:rsid w:val="007911F5"/>
    <w:rsid w:val="0079129A"/>
    <w:rsid w:val="0079134A"/>
    <w:rsid w:val="007913BC"/>
    <w:rsid w:val="007913FE"/>
    <w:rsid w:val="007914C2"/>
    <w:rsid w:val="0079155B"/>
    <w:rsid w:val="007915C7"/>
    <w:rsid w:val="007915F1"/>
    <w:rsid w:val="00791651"/>
    <w:rsid w:val="00791684"/>
    <w:rsid w:val="007916BE"/>
    <w:rsid w:val="0079188D"/>
    <w:rsid w:val="0079189B"/>
    <w:rsid w:val="00791920"/>
    <w:rsid w:val="00791967"/>
    <w:rsid w:val="007919C3"/>
    <w:rsid w:val="00791B6D"/>
    <w:rsid w:val="00791BB5"/>
    <w:rsid w:val="00791BD8"/>
    <w:rsid w:val="00791C9F"/>
    <w:rsid w:val="00791CC2"/>
    <w:rsid w:val="00791D02"/>
    <w:rsid w:val="00791D5E"/>
    <w:rsid w:val="00791D7C"/>
    <w:rsid w:val="00791D80"/>
    <w:rsid w:val="00791E55"/>
    <w:rsid w:val="00791ED7"/>
    <w:rsid w:val="00791F48"/>
    <w:rsid w:val="0079206B"/>
    <w:rsid w:val="00792114"/>
    <w:rsid w:val="007921E9"/>
    <w:rsid w:val="00792253"/>
    <w:rsid w:val="007922BF"/>
    <w:rsid w:val="00792414"/>
    <w:rsid w:val="00792439"/>
    <w:rsid w:val="007924DD"/>
    <w:rsid w:val="0079256C"/>
    <w:rsid w:val="007925A2"/>
    <w:rsid w:val="00792652"/>
    <w:rsid w:val="00792654"/>
    <w:rsid w:val="007926C8"/>
    <w:rsid w:val="0079276D"/>
    <w:rsid w:val="007928A9"/>
    <w:rsid w:val="007929E2"/>
    <w:rsid w:val="00792A24"/>
    <w:rsid w:val="00792ABD"/>
    <w:rsid w:val="00792B47"/>
    <w:rsid w:val="00792B61"/>
    <w:rsid w:val="00792BBB"/>
    <w:rsid w:val="00792C6C"/>
    <w:rsid w:val="00792CAB"/>
    <w:rsid w:val="00792CBE"/>
    <w:rsid w:val="00792D0D"/>
    <w:rsid w:val="00792D63"/>
    <w:rsid w:val="00792DDC"/>
    <w:rsid w:val="00792E7E"/>
    <w:rsid w:val="00792EB7"/>
    <w:rsid w:val="00792EFB"/>
    <w:rsid w:val="00793086"/>
    <w:rsid w:val="007932A7"/>
    <w:rsid w:val="007932B0"/>
    <w:rsid w:val="007932F8"/>
    <w:rsid w:val="00793354"/>
    <w:rsid w:val="007933E0"/>
    <w:rsid w:val="0079350E"/>
    <w:rsid w:val="007936CE"/>
    <w:rsid w:val="00793715"/>
    <w:rsid w:val="00793994"/>
    <w:rsid w:val="007939C8"/>
    <w:rsid w:val="00793A7D"/>
    <w:rsid w:val="00793B7B"/>
    <w:rsid w:val="00793B87"/>
    <w:rsid w:val="00793D29"/>
    <w:rsid w:val="00793E38"/>
    <w:rsid w:val="00793ED3"/>
    <w:rsid w:val="00793EE4"/>
    <w:rsid w:val="00793F8A"/>
    <w:rsid w:val="00793FB8"/>
    <w:rsid w:val="00793FDE"/>
    <w:rsid w:val="0079409E"/>
    <w:rsid w:val="00794158"/>
    <w:rsid w:val="007941FE"/>
    <w:rsid w:val="007943F4"/>
    <w:rsid w:val="007944E6"/>
    <w:rsid w:val="007944F0"/>
    <w:rsid w:val="0079461D"/>
    <w:rsid w:val="007946DD"/>
    <w:rsid w:val="00794728"/>
    <w:rsid w:val="0079474E"/>
    <w:rsid w:val="00794A59"/>
    <w:rsid w:val="00794A6E"/>
    <w:rsid w:val="00794AC9"/>
    <w:rsid w:val="00794BA3"/>
    <w:rsid w:val="00794C66"/>
    <w:rsid w:val="00794CCF"/>
    <w:rsid w:val="00794EB7"/>
    <w:rsid w:val="00794F17"/>
    <w:rsid w:val="00794F93"/>
    <w:rsid w:val="00794FA2"/>
    <w:rsid w:val="0079501F"/>
    <w:rsid w:val="007950EB"/>
    <w:rsid w:val="00795131"/>
    <w:rsid w:val="007951C0"/>
    <w:rsid w:val="00795212"/>
    <w:rsid w:val="00795255"/>
    <w:rsid w:val="007952FE"/>
    <w:rsid w:val="00795346"/>
    <w:rsid w:val="00795421"/>
    <w:rsid w:val="0079544C"/>
    <w:rsid w:val="007954E2"/>
    <w:rsid w:val="007954EC"/>
    <w:rsid w:val="0079553F"/>
    <w:rsid w:val="0079577D"/>
    <w:rsid w:val="00795785"/>
    <w:rsid w:val="0079578A"/>
    <w:rsid w:val="0079578F"/>
    <w:rsid w:val="00795836"/>
    <w:rsid w:val="00795859"/>
    <w:rsid w:val="0079598E"/>
    <w:rsid w:val="007959BC"/>
    <w:rsid w:val="00795A23"/>
    <w:rsid w:val="00795AF9"/>
    <w:rsid w:val="00795C2F"/>
    <w:rsid w:val="00795C6E"/>
    <w:rsid w:val="00795D05"/>
    <w:rsid w:val="00795D38"/>
    <w:rsid w:val="00795D9C"/>
    <w:rsid w:val="00795DC2"/>
    <w:rsid w:val="00795EBD"/>
    <w:rsid w:val="00795EDE"/>
    <w:rsid w:val="00795EFC"/>
    <w:rsid w:val="0079610B"/>
    <w:rsid w:val="0079618D"/>
    <w:rsid w:val="00796240"/>
    <w:rsid w:val="00796248"/>
    <w:rsid w:val="00796468"/>
    <w:rsid w:val="00796678"/>
    <w:rsid w:val="00796746"/>
    <w:rsid w:val="00796781"/>
    <w:rsid w:val="00796A01"/>
    <w:rsid w:val="00796A07"/>
    <w:rsid w:val="00796A37"/>
    <w:rsid w:val="00796A46"/>
    <w:rsid w:val="00796AF7"/>
    <w:rsid w:val="00796B0F"/>
    <w:rsid w:val="00796B68"/>
    <w:rsid w:val="00796B79"/>
    <w:rsid w:val="00796C98"/>
    <w:rsid w:val="00796C9C"/>
    <w:rsid w:val="00796CAE"/>
    <w:rsid w:val="00796E56"/>
    <w:rsid w:val="00796F0A"/>
    <w:rsid w:val="00796F93"/>
    <w:rsid w:val="00796FE4"/>
    <w:rsid w:val="007970C9"/>
    <w:rsid w:val="007970D9"/>
    <w:rsid w:val="00797221"/>
    <w:rsid w:val="00797301"/>
    <w:rsid w:val="00797408"/>
    <w:rsid w:val="007974BC"/>
    <w:rsid w:val="0079750E"/>
    <w:rsid w:val="00797565"/>
    <w:rsid w:val="007976AD"/>
    <w:rsid w:val="00797757"/>
    <w:rsid w:val="007977D7"/>
    <w:rsid w:val="0079796F"/>
    <w:rsid w:val="007979B4"/>
    <w:rsid w:val="007979FF"/>
    <w:rsid w:val="00797A92"/>
    <w:rsid w:val="00797B88"/>
    <w:rsid w:val="00797BB3"/>
    <w:rsid w:val="00797C11"/>
    <w:rsid w:val="00797C21"/>
    <w:rsid w:val="00797D51"/>
    <w:rsid w:val="00797DCF"/>
    <w:rsid w:val="00797E98"/>
    <w:rsid w:val="00797F64"/>
    <w:rsid w:val="00797FAE"/>
    <w:rsid w:val="007A00C5"/>
    <w:rsid w:val="007A0126"/>
    <w:rsid w:val="007A01B3"/>
    <w:rsid w:val="007A0286"/>
    <w:rsid w:val="007A02A4"/>
    <w:rsid w:val="007A02A9"/>
    <w:rsid w:val="007A02BC"/>
    <w:rsid w:val="007A0618"/>
    <w:rsid w:val="007A070C"/>
    <w:rsid w:val="007A07A1"/>
    <w:rsid w:val="007A07FE"/>
    <w:rsid w:val="007A09CC"/>
    <w:rsid w:val="007A0A0E"/>
    <w:rsid w:val="007A0BD7"/>
    <w:rsid w:val="007A0BF2"/>
    <w:rsid w:val="007A0C28"/>
    <w:rsid w:val="007A0C36"/>
    <w:rsid w:val="007A0CD2"/>
    <w:rsid w:val="007A0D6B"/>
    <w:rsid w:val="007A0D7D"/>
    <w:rsid w:val="007A0E0A"/>
    <w:rsid w:val="007A0E40"/>
    <w:rsid w:val="007A0EB4"/>
    <w:rsid w:val="007A0F06"/>
    <w:rsid w:val="007A0F7B"/>
    <w:rsid w:val="007A100A"/>
    <w:rsid w:val="007A10B9"/>
    <w:rsid w:val="007A118B"/>
    <w:rsid w:val="007A1319"/>
    <w:rsid w:val="007A1337"/>
    <w:rsid w:val="007A1456"/>
    <w:rsid w:val="007A15A6"/>
    <w:rsid w:val="007A164A"/>
    <w:rsid w:val="007A16F1"/>
    <w:rsid w:val="007A189B"/>
    <w:rsid w:val="007A18D9"/>
    <w:rsid w:val="007A18EF"/>
    <w:rsid w:val="007A1961"/>
    <w:rsid w:val="007A19AC"/>
    <w:rsid w:val="007A19DB"/>
    <w:rsid w:val="007A1AF2"/>
    <w:rsid w:val="007A1B9C"/>
    <w:rsid w:val="007A1BB6"/>
    <w:rsid w:val="007A1BDF"/>
    <w:rsid w:val="007A1CFC"/>
    <w:rsid w:val="007A1EA3"/>
    <w:rsid w:val="007A1FB2"/>
    <w:rsid w:val="007A205B"/>
    <w:rsid w:val="007A20CF"/>
    <w:rsid w:val="007A2118"/>
    <w:rsid w:val="007A22C7"/>
    <w:rsid w:val="007A236A"/>
    <w:rsid w:val="007A23F0"/>
    <w:rsid w:val="007A2482"/>
    <w:rsid w:val="007A24FF"/>
    <w:rsid w:val="007A262A"/>
    <w:rsid w:val="007A2695"/>
    <w:rsid w:val="007A27CC"/>
    <w:rsid w:val="007A27CD"/>
    <w:rsid w:val="007A27EB"/>
    <w:rsid w:val="007A2819"/>
    <w:rsid w:val="007A2890"/>
    <w:rsid w:val="007A28E4"/>
    <w:rsid w:val="007A2924"/>
    <w:rsid w:val="007A29AC"/>
    <w:rsid w:val="007A2A98"/>
    <w:rsid w:val="007A2C8D"/>
    <w:rsid w:val="007A2D5A"/>
    <w:rsid w:val="007A2D6C"/>
    <w:rsid w:val="007A2E83"/>
    <w:rsid w:val="007A2F28"/>
    <w:rsid w:val="007A3049"/>
    <w:rsid w:val="007A31EC"/>
    <w:rsid w:val="007A31FD"/>
    <w:rsid w:val="007A3229"/>
    <w:rsid w:val="007A32AC"/>
    <w:rsid w:val="007A335F"/>
    <w:rsid w:val="007A3434"/>
    <w:rsid w:val="007A343A"/>
    <w:rsid w:val="007A3446"/>
    <w:rsid w:val="007A34C6"/>
    <w:rsid w:val="007A3500"/>
    <w:rsid w:val="007A362F"/>
    <w:rsid w:val="007A3646"/>
    <w:rsid w:val="007A36BD"/>
    <w:rsid w:val="007A3859"/>
    <w:rsid w:val="007A390D"/>
    <w:rsid w:val="007A3994"/>
    <w:rsid w:val="007A3A25"/>
    <w:rsid w:val="007A3A34"/>
    <w:rsid w:val="007A3A41"/>
    <w:rsid w:val="007A3B1A"/>
    <w:rsid w:val="007A3C5C"/>
    <w:rsid w:val="007A3C60"/>
    <w:rsid w:val="007A3D2B"/>
    <w:rsid w:val="007A3DB4"/>
    <w:rsid w:val="007A3DEE"/>
    <w:rsid w:val="007A3E6A"/>
    <w:rsid w:val="007A3EB4"/>
    <w:rsid w:val="007A3F65"/>
    <w:rsid w:val="007A4042"/>
    <w:rsid w:val="007A405C"/>
    <w:rsid w:val="007A417F"/>
    <w:rsid w:val="007A424F"/>
    <w:rsid w:val="007A42D9"/>
    <w:rsid w:val="007A42E3"/>
    <w:rsid w:val="007A4414"/>
    <w:rsid w:val="007A444B"/>
    <w:rsid w:val="007A44DC"/>
    <w:rsid w:val="007A4523"/>
    <w:rsid w:val="007A452A"/>
    <w:rsid w:val="007A46DC"/>
    <w:rsid w:val="007A470D"/>
    <w:rsid w:val="007A47A6"/>
    <w:rsid w:val="007A49CD"/>
    <w:rsid w:val="007A49D2"/>
    <w:rsid w:val="007A4ABA"/>
    <w:rsid w:val="007A4B6D"/>
    <w:rsid w:val="007A4D25"/>
    <w:rsid w:val="007A4D5F"/>
    <w:rsid w:val="007A4E19"/>
    <w:rsid w:val="007A4E4A"/>
    <w:rsid w:val="007A4E99"/>
    <w:rsid w:val="007A4FA2"/>
    <w:rsid w:val="007A5127"/>
    <w:rsid w:val="007A5246"/>
    <w:rsid w:val="007A5253"/>
    <w:rsid w:val="007A52DE"/>
    <w:rsid w:val="007A531A"/>
    <w:rsid w:val="007A531B"/>
    <w:rsid w:val="007A5346"/>
    <w:rsid w:val="007A53DB"/>
    <w:rsid w:val="007A53E1"/>
    <w:rsid w:val="007A541F"/>
    <w:rsid w:val="007A54B2"/>
    <w:rsid w:val="007A54CB"/>
    <w:rsid w:val="007A555E"/>
    <w:rsid w:val="007A55DA"/>
    <w:rsid w:val="007A5658"/>
    <w:rsid w:val="007A57DA"/>
    <w:rsid w:val="007A581A"/>
    <w:rsid w:val="007A5841"/>
    <w:rsid w:val="007A58CC"/>
    <w:rsid w:val="007A59F5"/>
    <w:rsid w:val="007A5A24"/>
    <w:rsid w:val="007A5A7A"/>
    <w:rsid w:val="007A5AE6"/>
    <w:rsid w:val="007A5B1E"/>
    <w:rsid w:val="007A5B69"/>
    <w:rsid w:val="007A5BAE"/>
    <w:rsid w:val="007A5C49"/>
    <w:rsid w:val="007A5C7A"/>
    <w:rsid w:val="007A5C88"/>
    <w:rsid w:val="007A5CAA"/>
    <w:rsid w:val="007A5CD7"/>
    <w:rsid w:val="007A5EEF"/>
    <w:rsid w:val="007A600D"/>
    <w:rsid w:val="007A605F"/>
    <w:rsid w:val="007A6083"/>
    <w:rsid w:val="007A6114"/>
    <w:rsid w:val="007A611B"/>
    <w:rsid w:val="007A61D6"/>
    <w:rsid w:val="007A629A"/>
    <w:rsid w:val="007A6419"/>
    <w:rsid w:val="007A64FE"/>
    <w:rsid w:val="007A65D2"/>
    <w:rsid w:val="007A6601"/>
    <w:rsid w:val="007A6614"/>
    <w:rsid w:val="007A668E"/>
    <w:rsid w:val="007A6749"/>
    <w:rsid w:val="007A676E"/>
    <w:rsid w:val="007A687A"/>
    <w:rsid w:val="007A6A51"/>
    <w:rsid w:val="007A6AB7"/>
    <w:rsid w:val="007A6B5D"/>
    <w:rsid w:val="007A6BBA"/>
    <w:rsid w:val="007A6BF9"/>
    <w:rsid w:val="007A6C04"/>
    <w:rsid w:val="007A6E27"/>
    <w:rsid w:val="007A6EAC"/>
    <w:rsid w:val="007A6EEE"/>
    <w:rsid w:val="007A6F5A"/>
    <w:rsid w:val="007A6F5D"/>
    <w:rsid w:val="007A6F78"/>
    <w:rsid w:val="007A6F9C"/>
    <w:rsid w:val="007A6FB1"/>
    <w:rsid w:val="007A713E"/>
    <w:rsid w:val="007A7179"/>
    <w:rsid w:val="007A71B2"/>
    <w:rsid w:val="007A71FB"/>
    <w:rsid w:val="007A7316"/>
    <w:rsid w:val="007A7377"/>
    <w:rsid w:val="007A73A8"/>
    <w:rsid w:val="007A73FA"/>
    <w:rsid w:val="007A7421"/>
    <w:rsid w:val="007A7498"/>
    <w:rsid w:val="007A74A9"/>
    <w:rsid w:val="007A74D5"/>
    <w:rsid w:val="007A76C8"/>
    <w:rsid w:val="007A7714"/>
    <w:rsid w:val="007A7768"/>
    <w:rsid w:val="007A77CC"/>
    <w:rsid w:val="007A7855"/>
    <w:rsid w:val="007A7858"/>
    <w:rsid w:val="007A78C3"/>
    <w:rsid w:val="007A78D3"/>
    <w:rsid w:val="007A78FB"/>
    <w:rsid w:val="007A790A"/>
    <w:rsid w:val="007A7952"/>
    <w:rsid w:val="007A7997"/>
    <w:rsid w:val="007A7A10"/>
    <w:rsid w:val="007A7C5D"/>
    <w:rsid w:val="007A7DB0"/>
    <w:rsid w:val="007A7DC0"/>
    <w:rsid w:val="007A7E25"/>
    <w:rsid w:val="007A7EDA"/>
    <w:rsid w:val="007A7EF1"/>
    <w:rsid w:val="007A7F03"/>
    <w:rsid w:val="007A7F69"/>
    <w:rsid w:val="007AE0C2"/>
    <w:rsid w:val="007AEB45"/>
    <w:rsid w:val="007B005C"/>
    <w:rsid w:val="007B0148"/>
    <w:rsid w:val="007B018B"/>
    <w:rsid w:val="007B0232"/>
    <w:rsid w:val="007B024C"/>
    <w:rsid w:val="007B02D7"/>
    <w:rsid w:val="007B03D9"/>
    <w:rsid w:val="007B0401"/>
    <w:rsid w:val="007B04EB"/>
    <w:rsid w:val="007B05A1"/>
    <w:rsid w:val="007B063D"/>
    <w:rsid w:val="007B06D5"/>
    <w:rsid w:val="007B0738"/>
    <w:rsid w:val="007B07F6"/>
    <w:rsid w:val="007B0856"/>
    <w:rsid w:val="007B0BA2"/>
    <w:rsid w:val="007B0BEF"/>
    <w:rsid w:val="007B0C12"/>
    <w:rsid w:val="007B0C58"/>
    <w:rsid w:val="007B0C63"/>
    <w:rsid w:val="007B0C89"/>
    <w:rsid w:val="007B0CFF"/>
    <w:rsid w:val="007B0DC9"/>
    <w:rsid w:val="007B0E68"/>
    <w:rsid w:val="007B0FAC"/>
    <w:rsid w:val="007B0FB0"/>
    <w:rsid w:val="007B122D"/>
    <w:rsid w:val="007B122F"/>
    <w:rsid w:val="007B124D"/>
    <w:rsid w:val="007B1269"/>
    <w:rsid w:val="007B12F3"/>
    <w:rsid w:val="007B1313"/>
    <w:rsid w:val="007B1347"/>
    <w:rsid w:val="007B1429"/>
    <w:rsid w:val="007B14E2"/>
    <w:rsid w:val="007B1512"/>
    <w:rsid w:val="007B1530"/>
    <w:rsid w:val="007B155D"/>
    <w:rsid w:val="007B1571"/>
    <w:rsid w:val="007B1662"/>
    <w:rsid w:val="007B16BF"/>
    <w:rsid w:val="007B16D9"/>
    <w:rsid w:val="007B16E1"/>
    <w:rsid w:val="007B174D"/>
    <w:rsid w:val="007B1805"/>
    <w:rsid w:val="007B1853"/>
    <w:rsid w:val="007B1872"/>
    <w:rsid w:val="007B1969"/>
    <w:rsid w:val="007B1D16"/>
    <w:rsid w:val="007B1E31"/>
    <w:rsid w:val="007B1EC9"/>
    <w:rsid w:val="007B1F7B"/>
    <w:rsid w:val="007B2138"/>
    <w:rsid w:val="007B214C"/>
    <w:rsid w:val="007B21B7"/>
    <w:rsid w:val="007B24FB"/>
    <w:rsid w:val="007B25C0"/>
    <w:rsid w:val="007B262C"/>
    <w:rsid w:val="007B26B2"/>
    <w:rsid w:val="007B2713"/>
    <w:rsid w:val="007B2789"/>
    <w:rsid w:val="007B2810"/>
    <w:rsid w:val="007B2818"/>
    <w:rsid w:val="007B2942"/>
    <w:rsid w:val="007B2B64"/>
    <w:rsid w:val="007B2B7C"/>
    <w:rsid w:val="007B2BB5"/>
    <w:rsid w:val="007B2CF0"/>
    <w:rsid w:val="007B2D9B"/>
    <w:rsid w:val="007B2F6F"/>
    <w:rsid w:val="007B2F8F"/>
    <w:rsid w:val="007B2FCB"/>
    <w:rsid w:val="007B2FDC"/>
    <w:rsid w:val="007B31A0"/>
    <w:rsid w:val="007B325B"/>
    <w:rsid w:val="007B3311"/>
    <w:rsid w:val="007B33F6"/>
    <w:rsid w:val="007B3446"/>
    <w:rsid w:val="007B344E"/>
    <w:rsid w:val="007B3492"/>
    <w:rsid w:val="007B34AC"/>
    <w:rsid w:val="007B34C0"/>
    <w:rsid w:val="007B353F"/>
    <w:rsid w:val="007B3543"/>
    <w:rsid w:val="007B35AE"/>
    <w:rsid w:val="007B3682"/>
    <w:rsid w:val="007B36BC"/>
    <w:rsid w:val="007B36E9"/>
    <w:rsid w:val="007B36ED"/>
    <w:rsid w:val="007B3782"/>
    <w:rsid w:val="007B3824"/>
    <w:rsid w:val="007B3875"/>
    <w:rsid w:val="007B3885"/>
    <w:rsid w:val="007B3924"/>
    <w:rsid w:val="007B3929"/>
    <w:rsid w:val="007B39B5"/>
    <w:rsid w:val="007B3A97"/>
    <w:rsid w:val="007B3C44"/>
    <w:rsid w:val="007B3C6C"/>
    <w:rsid w:val="007B3CC3"/>
    <w:rsid w:val="007B3CDE"/>
    <w:rsid w:val="007B3E1E"/>
    <w:rsid w:val="007B3EFA"/>
    <w:rsid w:val="007B405D"/>
    <w:rsid w:val="007B412E"/>
    <w:rsid w:val="007B41A6"/>
    <w:rsid w:val="007B41E0"/>
    <w:rsid w:val="007B41EC"/>
    <w:rsid w:val="007B42AB"/>
    <w:rsid w:val="007B4341"/>
    <w:rsid w:val="007B4351"/>
    <w:rsid w:val="007B439E"/>
    <w:rsid w:val="007B43B7"/>
    <w:rsid w:val="007B43C6"/>
    <w:rsid w:val="007B4412"/>
    <w:rsid w:val="007B44A4"/>
    <w:rsid w:val="007B44DE"/>
    <w:rsid w:val="007B44FF"/>
    <w:rsid w:val="007B451E"/>
    <w:rsid w:val="007B45A3"/>
    <w:rsid w:val="007B45BB"/>
    <w:rsid w:val="007B45EC"/>
    <w:rsid w:val="007B4642"/>
    <w:rsid w:val="007B465D"/>
    <w:rsid w:val="007B4691"/>
    <w:rsid w:val="007B470B"/>
    <w:rsid w:val="007B475E"/>
    <w:rsid w:val="007B47D3"/>
    <w:rsid w:val="007B480C"/>
    <w:rsid w:val="007B488C"/>
    <w:rsid w:val="007B48CD"/>
    <w:rsid w:val="007B48EF"/>
    <w:rsid w:val="007B4976"/>
    <w:rsid w:val="007B49E0"/>
    <w:rsid w:val="007B4ABA"/>
    <w:rsid w:val="007B4AC0"/>
    <w:rsid w:val="007B4AEA"/>
    <w:rsid w:val="007B4B46"/>
    <w:rsid w:val="007B4B63"/>
    <w:rsid w:val="007B4C45"/>
    <w:rsid w:val="007B4C8F"/>
    <w:rsid w:val="007B4E5F"/>
    <w:rsid w:val="007B4E62"/>
    <w:rsid w:val="007B4EA1"/>
    <w:rsid w:val="007B4F50"/>
    <w:rsid w:val="007B5112"/>
    <w:rsid w:val="007B517E"/>
    <w:rsid w:val="007B5298"/>
    <w:rsid w:val="007B542D"/>
    <w:rsid w:val="007B5433"/>
    <w:rsid w:val="007B5541"/>
    <w:rsid w:val="007B55B3"/>
    <w:rsid w:val="007B5624"/>
    <w:rsid w:val="007B56EF"/>
    <w:rsid w:val="007B57E5"/>
    <w:rsid w:val="007B57F9"/>
    <w:rsid w:val="007B5A4C"/>
    <w:rsid w:val="007B5A81"/>
    <w:rsid w:val="007B5AA9"/>
    <w:rsid w:val="007B5B54"/>
    <w:rsid w:val="007B5BDE"/>
    <w:rsid w:val="007B5CB0"/>
    <w:rsid w:val="007B5D0F"/>
    <w:rsid w:val="007B5E06"/>
    <w:rsid w:val="007B5E80"/>
    <w:rsid w:val="007B5F24"/>
    <w:rsid w:val="007B5FC6"/>
    <w:rsid w:val="007B5FF2"/>
    <w:rsid w:val="007B6023"/>
    <w:rsid w:val="007B603A"/>
    <w:rsid w:val="007B603C"/>
    <w:rsid w:val="007B6047"/>
    <w:rsid w:val="007B6509"/>
    <w:rsid w:val="007B653B"/>
    <w:rsid w:val="007B6559"/>
    <w:rsid w:val="007B65D7"/>
    <w:rsid w:val="007B65F3"/>
    <w:rsid w:val="007B660E"/>
    <w:rsid w:val="007B6709"/>
    <w:rsid w:val="007B68B3"/>
    <w:rsid w:val="007B68F2"/>
    <w:rsid w:val="007B6A8B"/>
    <w:rsid w:val="007B6AF9"/>
    <w:rsid w:val="007B6B78"/>
    <w:rsid w:val="007B6BB3"/>
    <w:rsid w:val="007B6BBE"/>
    <w:rsid w:val="007B6C3C"/>
    <w:rsid w:val="007B6DD4"/>
    <w:rsid w:val="007B6E36"/>
    <w:rsid w:val="007B6F28"/>
    <w:rsid w:val="007B6F78"/>
    <w:rsid w:val="007B6F87"/>
    <w:rsid w:val="007B7069"/>
    <w:rsid w:val="007B710F"/>
    <w:rsid w:val="007B7129"/>
    <w:rsid w:val="007B7173"/>
    <w:rsid w:val="007B7262"/>
    <w:rsid w:val="007B7328"/>
    <w:rsid w:val="007B7361"/>
    <w:rsid w:val="007B74F4"/>
    <w:rsid w:val="007B7587"/>
    <w:rsid w:val="007B75CE"/>
    <w:rsid w:val="007B763B"/>
    <w:rsid w:val="007B7662"/>
    <w:rsid w:val="007B769F"/>
    <w:rsid w:val="007B76EA"/>
    <w:rsid w:val="007B7705"/>
    <w:rsid w:val="007B7780"/>
    <w:rsid w:val="007B787D"/>
    <w:rsid w:val="007B790F"/>
    <w:rsid w:val="007B7993"/>
    <w:rsid w:val="007B7A53"/>
    <w:rsid w:val="007B7B00"/>
    <w:rsid w:val="007B7B51"/>
    <w:rsid w:val="007B7B78"/>
    <w:rsid w:val="007B7C3F"/>
    <w:rsid w:val="007B7C6B"/>
    <w:rsid w:val="007B7D1D"/>
    <w:rsid w:val="007B7D2F"/>
    <w:rsid w:val="007B7DD4"/>
    <w:rsid w:val="007B7DEB"/>
    <w:rsid w:val="007B7E61"/>
    <w:rsid w:val="007B7F8D"/>
    <w:rsid w:val="007BA9B4"/>
    <w:rsid w:val="007C00C6"/>
    <w:rsid w:val="007C016E"/>
    <w:rsid w:val="007C019F"/>
    <w:rsid w:val="007C020C"/>
    <w:rsid w:val="007C024B"/>
    <w:rsid w:val="007C028B"/>
    <w:rsid w:val="007C03A2"/>
    <w:rsid w:val="007C044E"/>
    <w:rsid w:val="007C04DB"/>
    <w:rsid w:val="007C05E0"/>
    <w:rsid w:val="007C0625"/>
    <w:rsid w:val="007C06FC"/>
    <w:rsid w:val="007C074F"/>
    <w:rsid w:val="007C07D9"/>
    <w:rsid w:val="007C0929"/>
    <w:rsid w:val="007C093A"/>
    <w:rsid w:val="007C0977"/>
    <w:rsid w:val="007C09A3"/>
    <w:rsid w:val="007C0AAE"/>
    <w:rsid w:val="007C0AD3"/>
    <w:rsid w:val="007C0BBA"/>
    <w:rsid w:val="007C0C07"/>
    <w:rsid w:val="007C0CB3"/>
    <w:rsid w:val="007C0E02"/>
    <w:rsid w:val="007C0F44"/>
    <w:rsid w:val="007C0F60"/>
    <w:rsid w:val="007C0FFC"/>
    <w:rsid w:val="007C106B"/>
    <w:rsid w:val="007C115B"/>
    <w:rsid w:val="007C128D"/>
    <w:rsid w:val="007C1331"/>
    <w:rsid w:val="007C1482"/>
    <w:rsid w:val="007C1504"/>
    <w:rsid w:val="007C1596"/>
    <w:rsid w:val="007C15B8"/>
    <w:rsid w:val="007C1615"/>
    <w:rsid w:val="007C16A2"/>
    <w:rsid w:val="007C173F"/>
    <w:rsid w:val="007C17BF"/>
    <w:rsid w:val="007C1A10"/>
    <w:rsid w:val="007C1B35"/>
    <w:rsid w:val="007C1B55"/>
    <w:rsid w:val="007C1B78"/>
    <w:rsid w:val="007C1C7D"/>
    <w:rsid w:val="007C1D7F"/>
    <w:rsid w:val="007C1E8F"/>
    <w:rsid w:val="007C1F28"/>
    <w:rsid w:val="007C1F7C"/>
    <w:rsid w:val="007C1FC0"/>
    <w:rsid w:val="007C2032"/>
    <w:rsid w:val="007C2079"/>
    <w:rsid w:val="007C208D"/>
    <w:rsid w:val="007C20D7"/>
    <w:rsid w:val="007C20FD"/>
    <w:rsid w:val="007C2154"/>
    <w:rsid w:val="007C219D"/>
    <w:rsid w:val="007C21B2"/>
    <w:rsid w:val="007C2345"/>
    <w:rsid w:val="007C23C5"/>
    <w:rsid w:val="007C23EC"/>
    <w:rsid w:val="007C2404"/>
    <w:rsid w:val="007C243E"/>
    <w:rsid w:val="007C24CC"/>
    <w:rsid w:val="007C2619"/>
    <w:rsid w:val="007C2624"/>
    <w:rsid w:val="007C26BD"/>
    <w:rsid w:val="007C26FE"/>
    <w:rsid w:val="007C282A"/>
    <w:rsid w:val="007C28E5"/>
    <w:rsid w:val="007C2A76"/>
    <w:rsid w:val="007C2AAB"/>
    <w:rsid w:val="007C2B0C"/>
    <w:rsid w:val="007C2B44"/>
    <w:rsid w:val="007C2CB6"/>
    <w:rsid w:val="007C2D13"/>
    <w:rsid w:val="007C2E44"/>
    <w:rsid w:val="007C2EC1"/>
    <w:rsid w:val="007C2EE7"/>
    <w:rsid w:val="007C2F1C"/>
    <w:rsid w:val="007C2F7B"/>
    <w:rsid w:val="007C3016"/>
    <w:rsid w:val="007C30AA"/>
    <w:rsid w:val="007C30CA"/>
    <w:rsid w:val="007C315F"/>
    <w:rsid w:val="007C31A4"/>
    <w:rsid w:val="007C31AD"/>
    <w:rsid w:val="007C31B9"/>
    <w:rsid w:val="007C336C"/>
    <w:rsid w:val="007C3423"/>
    <w:rsid w:val="007C34BB"/>
    <w:rsid w:val="007C3509"/>
    <w:rsid w:val="007C35BE"/>
    <w:rsid w:val="007C364C"/>
    <w:rsid w:val="007C367B"/>
    <w:rsid w:val="007C36F0"/>
    <w:rsid w:val="007C3740"/>
    <w:rsid w:val="007C376B"/>
    <w:rsid w:val="007C3807"/>
    <w:rsid w:val="007C389A"/>
    <w:rsid w:val="007C3903"/>
    <w:rsid w:val="007C3961"/>
    <w:rsid w:val="007C39E1"/>
    <w:rsid w:val="007C3AE1"/>
    <w:rsid w:val="007C3BD7"/>
    <w:rsid w:val="007C3BF7"/>
    <w:rsid w:val="007C3C10"/>
    <w:rsid w:val="007C3DDA"/>
    <w:rsid w:val="007C3E40"/>
    <w:rsid w:val="007C3E7A"/>
    <w:rsid w:val="007C3F1D"/>
    <w:rsid w:val="007C3FBC"/>
    <w:rsid w:val="007C40A3"/>
    <w:rsid w:val="007C4183"/>
    <w:rsid w:val="007C41DE"/>
    <w:rsid w:val="007C4270"/>
    <w:rsid w:val="007C428D"/>
    <w:rsid w:val="007C42A7"/>
    <w:rsid w:val="007C4374"/>
    <w:rsid w:val="007C43B1"/>
    <w:rsid w:val="007C43B2"/>
    <w:rsid w:val="007C4694"/>
    <w:rsid w:val="007C479B"/>
    <w:rsid w:val="007C48C8"/>
    <w:rsid w:val="007C49FA"/>
    <w:rsid w:val="007C4A17"/>
    <w:rsid w:val="007C4B20"/>
    <w:rsid w:val="007C4BE9"/>
    <w:rsid w:val="007C4F28"/>
    <w:rsid w:val="007C5038"/>
    <w:rsid w:val="007C50AF"/>
    <w:rsid w:val="007C5100"/>
    <w:rsid w:val="007C513C"/>
    <w:rsid w:val="007C5160"/>
    <w:rsid w:val="007C51F2"/>
    <w:rsid w:val="007C5335"/>
    <w:rsid w:val="007C5374"/>
    <w:rsid w:val="007C541E"/>
    <w:rsid w:val="007C546A"/>
    <w:rsid w:val="007C55BB"/>
    <w:rsid w:val="007C5609"/>
    <w:rsid w:val="007C576D"/>
    <w:rsid w:val="007C57D8"/>
    <w:rsid w:val="007C58F0"/>
    <w:rsid w:val="007C5968"/>
    <w:rsid w:val="007C5A96"/>
    <w:rsid w:val="007C5B4C"/>
    <w:rsid w:val="007C5C03"/>
    <w:rsid w:val="007C5C5C"/>
    <w:rsid w:val="007C5D72"/>
    <w:rsid w:val="007C5DCD"/>
    <w:rsid w:val="007C5EAE"/>
    <w:rsid w:val="007C5F8E"/>
    <w:rsid w:val="007C6101"/>
    <w:rsid w:val="007C61D5"/>
    <w:rsid w:val="007C61E6"/>
    <w:rsid w:val="007C62EA"/>
    <w:rsid w:val="007C6303"/>
    <w:rsid w:val="007C6361"/>
    <w:rsid w:val="007C63B1"/>
    <w:rsid w:val="007C63B6"/>
    <w:rsid w:val="007C6418"/>
    <w:rsid w:val="007C646E"/>
    <w:rsid w:val="007C649B"/>
    <w:rsid w:val="007C64D3"/>
    <w:rsid w:val="007C6518"/>
    <w:rsid w:val="007C6525"/>
    <w:rsid w:val="007C6708"/>
    <w:rsid w:val="007C6739"/>
    <w:rsid w:val="007C6770"/>
    <w:rsid w:val="007C6893"/>
    <w:rsid w:val="007C69A7"/>
    <w:rsid w:val="007C6A3F"/>
    <w:rsid w:val="007C6B2E"/>
    <w:rsid w:val="007C6B99"/>
    <w:rsid w:val="007C6BBA"/>
    <w:rsid w:val="007C6C3D"/>
    <w:rsid w:val="007C6CA9"/>
    <w:rsid w:val="007C6CE9"/>
    <w:rsid w:val="007C6D44"/>
    <w:rsid w:val="007C6D8E"/>
    <w:rsid w:val="007C6F7C"/>
    <w:rsid w:val="007C6FC9"/>
    <w:rsid w:val="007C703C"/>
    <w:rsid w:val="007C71D3"/>
    <w:rsid w:val="007C725A"/>
    <w:rsid w:val="007C7275"/>
    <w:rsid w:val="007C72A6"/>
    <w:rsid w:val="007C7348"/>
    <w:rsid w:val="007C7448"/>
    <w:rsid w:val="007C74C2"/>
    <w:rsid w:val="007C75AB"/>
    <w:rsid w:val="007C75C7"/>
    <w:rsid w:val="007C7654"/>
    <w:rsid w:val="007C76A9"/>
    <w:rsid w:val="007C7748"/>
    <w:rsid w:val="007C7762"/>
    <w:rsid w:val="007C77B1"/>
    <w:rsid w:val="007C785A"/>
    <w:rsid w:val="007C7886"/>
    <w:rsid w:val="007C78C5"/>
    <w:rsid w:val="007C78E0"/>
    <w:rsid w:val="007C7993"/>
    <w:rsid w:val="007C79CD"/>
    <w:rsid w:val="007C7A91"/>
    <w:rsid w:val="007C7B0F"/>
    <w:rsid w:val="007C7B70"/>
    <w:rsid w:val="007C7BA6"/>
    <w:rsid w:val="007C7C41"/>
    <w:rsid w:val="007C7C8B"/>
    <w:rsid w:val="007C7CD7"/>
    <w:rsid w:val="007C7D31"/>
    <w:rsid w:val="007CCA43"/>
    <w:rsid w:val="007D0008"/>
    <w:rsid w:val="007D009B"/>
    <w:rsid w:val="007D00C7"/>
    <w:rsid w:val="007D029B"/>
    <w:rsid w:val="007D03E2"/>
    <w:rsid w:val="007D0521"/>
    <w:rsid w:val="007D05AE"/>
    <w:rsid w:val="007D05BC"/>
    <w:rsid w:val="007D0780"/>
    <w:rsid w:val="007D0841"/>
    <w:rsid w:val="007D088C"/>
    <w:rsid w:val="007D08DC"/>
    <w:rsid w:val="007D091B"/>
    <w:rsid w:val="007D0AC6"/>
    <w:rsid w:val="007D0AE4"/>
    <w:rsid w:val="007D0B11"/>
    <w:rsid w:val="007D0B5A"/>
    <w:rsid w:val="007D0BDA"/>
    <w:rsid w:val="007D0CD4"/>
    <w:rsid w:val="007D0E43"/>
    <w:rsid w:val="007D10F8"/>
    <w:rsid w:val="007D1119"/>
    <w:rsid w:val="007D1156"/>
    <w:rsid w:val="007D1380"/>
    <w:rsid w:val="007D1463"/>
    <w:rsid w:val="007D1649"/>
    <w:rsid w:val="007D17DF"/>
    <w:rsid w:val="007D17EC"/>
    <w:rsid w:val="007D180A"/>
    <w:rsid w:val="007D1833"/>
    <w:rsid w:val="007D1875"/>
    <w:rsid w:val="007D19A1"/>
    <w:rsid w:val="007D1C08"/>
    <w:rsid w:val="007D1C9E"/>
    <w:rsid w:val="007D1D24"/>
    <w:rsid w:val="007D1D28"/>
    <w:rsid w:val="007D1D71"/>
    <w:rsid w:val="007D1DC9"/>
    <w:rsid w:val="007D1E54"/>
    <w:rsid w:val="007D1FB8"/>
    <w:rsid w:val="007D215E"/>
    <w:rsid w:val="007D2222"/>
    <w:rsid w:val="007D23A9"/>
    <w:rsid w:val="007D23FE"/>
    <w:rsid w:val="007D24BD"/>
    <w:rsid w:val="007D24CB"/>
    <w:rsid w:val="007D24E0"/>
    <w:rsid w:val="007D26CC"/>
    <w:rsid w:val="007D26FB"/>
    <w:rsid w:val="007D2786"/>
    <w:rsid w:val="007D29B0"/>
    <w:rsid w:val="007D2AC9"/>
    <w:rsid w:val="007D2AD0"/>
    <w:rsid w:val="007D2BCD"/>
    <w:rsid w:val="007D2BE9"/>
    <w:rsid w:val="007D2C16"/>
    <w:rsid w:val="007D2C9B"/>
    <w:rsid w:val="007D2E17"/>
    <w:rsid w:val="007D2E23"/>
    <w:rsid w:val="007D2F70"/>
    <w:rsid w:val="007D2F79"/>
    <w:rsid w:val="007D2FAC"/>
    <w:rsid w:val="007D300E"/>
    <w:rsid w:val="007D306B"/>
    <w:rsid w:val="007D3076"/>
    <w:rsid w:val="007D30D6"/>
    <w:rsid w:val="007D3194"/>
    <w:rsid w:val="007D3235"/>
    <w:rsid w:val="007D32C4"/>
    <w:rsid w:val="007D32D0"/>
    <w:rsid w:val="007D32F8"/>
    <w:rsid w:val="007D3347"/>
    <w:rsid w:val="007D34D4"/>
    <w:rsid w:val="007D3503"/>
    <w:rsid w:val="007D3580"/>
    <w:rsid w:val="007D38C9"/>
    <w:rsid w:val="007D3911"/>
    <w:rsid w:val="007D39DB"/>
    <w:rsid w:val="007D3A81"/>
    <w:rsid w:val="007D3B2A"/>
    <w:rsid w:val="007D3B7E"/>
    <w:rsid w:val="007D3C19"/>
    <w:rsid w:val="007D3C2C"/>
    <w:rsid w:val="007D3C31"/>
    <w:rsid w:val="007D3C63"/>
    <w:rsid w:val="007D3CD4"/>
    <w:rsid w:val="007D3E6A"/>
    <w:rsid w:val="007D4065"/>
    <w:rsid w:val="007D409A"/>
    <w:rsid w:val="007D40A3"/>
    <w:rsid w:val="007D40EB"/>
    <w:rsid w:val="007D40ED"/>
    <w:rsid w:val="007D4145"/>
    <w:rsid w:val="007D41A4"/>
    <w:rsid w:val="007D427A"/>
    <w:rsid w:val="007D43C3"/>
    <w:rsid w:val="007D4463"/>
    <w:rsid w:val="007D45B4"/>
    <w:rsid w:val="007D478F"/>
    <w:rsid w:val="007D48D3"/>
    <w:rsid w:val="007D493F"/>
    <w:rsid w:val="007D49C3"/>
    <w:rsid w:val="007D4B67"/>
    <w:rsid w:val="007D4CAD"/>
    <w:rsid w:val="007D4CEA"/>
    <w:rsid w:val="007D4ECB"/>
    <w:rsid w:val="007D4ED2"/>
    <w:rsid w:val="007D4FB3"/>
    <w:rsid w:val="007D4FEE"/>
    <w:rsid w:val="007D5048"/>
    <w:rsid w:val="007D51AB"/>
    <w:rsid w:val="007D5244"/>
    <w:rsid w:val="007D526E"/>
    <w:rsid w:val="007D527E"/>
    <w:rsid w:val="007D529C"/>
    <w:rsid w:val="007D5346"/>
    <w:rsid w:val="007D5417"/>
    <w:rsid w:val="007D549E"/>
    <w:rsid w:val="007D54E0"/>
    <w:rsid w:val="007D55A3"/>
    <w:rsid w:val="007D56C4"/>
    <w:rsid w:val="007D56D3"/>
    <w:rsid w:val="007D57DA"/>
    <w:rsid w:val="007D57F1"/>
    <w:rsid w:val="007D5A4A"/>
    <w:rsid w:val="007D5C1E"/>
    <w:rsid w:val="007D5C24"/>
    <w:rsid w:val="007D5C41"/>
    <w:rsid w:val="007D5E69"/>
    <w:rsid w:val="007D5EA5"/>
    <w:rsid w:val="007D5F56"/>
    <w:rsid w:val="007D5F83"/>
    <w:rsid w:val="007D5F8B"/>
    <w:rsid w:val="007D6087"/>
    <w:rsid w:val="007D622D"/>
    <w:rsid w:val="007D6269"/>
    <w:rsid w:val="007D6279"/>
    <w:rsid w:val="007D6386"/>
    <w:rsid w:val="007D638F"/>
    <w:rsid w:val="007D6495"/>
    <w:rsid w:val="007D64B2"/>
    <w:rsid w:val="007D6564"/>
    <w:rsid w:val="007D65A1"/>
    <w:rsid w:val="007D6717"/>
    <w:rsid w:val="007D6810"/>
    <w:rsid w:val="007D686E"/>
    <w:rsid w:val="007D6936"/>
    <w:rsid w:val="007D69D9"/>
    <w:rsid w:val="007D69E2"/>
    <w:rsid w:val="007D6B14"/>
    <w:rsid w:val="007D6BD5"/>
    <w:rsid w:val="007D6C94"/>
    <w:rsid w:val="007D6CBA"/>
    <w:rsid w:val="007D6DE5"/>
    <w:rsid w:val="007D6DFF"/>
    <w:rsid w:val="007D6F5C"/>
    <w:rsid w:val="007D7032"/>
    <w:rsid w:val="007D7079"/>
    <w:rsid w:val="007D70A2"/>
    <w:rsid w:val="007D7134"/>
    <w:rsid w:val="007D724C"/>
    <w:rsid w:val="007D7269"/>
    <w:rsid w:val="007D74F4"/>
    <w:rsid w:val="007D75C4"/>
    <w:rsid w:val="007D766F"/>
    <w:rsid w:val="007D7825"/>
    <w:rsid w:val="007D786C"/>
    <w:rsid w:val="007D79A2"/>
    <w:rsid w:val="007D7A03"/>
    <w:rsid w:val="007D7AD2"/>
    <w:rsid w:val="007D7B3B"/>
    <w:rsid w:val="007D7B73"/>
    <w:rsid w:val="007D7BEB"/>
    <w:rsid w:val="007D7CA9"/>
    <w:rsid w:val="007D7D89"/>
    <w:rsid w:val="007D7DEE"/>
    <w:rsid w:val="007D7E67"/>
    <w:rsid w:val="007D7FB7"/>
    <w:rsid w:val="007D7FC1"/>
    <w:rsid w:val="007D7FC2"/>
    <w:rsid w:val="007D7FD8"/>
    <w:rsid w:val="007D8E53"/>
    <w:rsid w:val="007D94AC"/>
    <w:rsid w:val="007D976C"/>
    <w:rsid w:val="007E02EE"/>
    <w:rsid w:val="007E039A"/>
    <w:rsid w:val="007E044B"/>
    <w:rsid w:val="007E0543"/>
    <w:rsid w:val="007E0583"/>
    <w:rsid w:val="007E0689"/>
    <w:rsid w:val="007E0696"/>
    <w:rsid w:val="007E090F"/>
    <w:rsid w:val="007E092D"/>
    <w:rsid w:val="007E0940"/>
    <w:rsid w:val="007E09A2"/>
    <w:rsid w:val="007E09BC"/>
    <w:rsid w:val="007E09D3"/>
    <w:rsid w:val="007E09E5"/>
    <w:rsid w:val="007E0A15"/>
    <w:rsid w:val="007E0A21"/>
    <w:rsid w:val="007E0DC9"/>
    <w:rsid w:val="007E0F6E"/>
    <w:rsid w:val="007E0FD9"/>
    <w:rsid w:val="007E105D"/>
    <w:rsid w:val="007E1213"/>
    <w:rsid w:val="007E12B6"/>
    <w:rsid w:val="007E12F1"/>
    <w:rsid w:val="007E1417"/>
    <w:rsid w:val="007E156F"/>
    <w:rsid w:val="007E158A"/>
    <w:rsid w:val="007E1623"/>
    <w:rsid w:val="007E1685"/>
    <w:rsid w:val="007E19EA"/>
    <w:rsid w:val="007E1B03"/>
    <w:rsid w:val="007E1B5B"/>
    <w:rsid w:val="007E1BFA"/>
    <w:rsid w:val="007E1C1C"/>
    <w:rsid w:val="007E1C4D"/>
    <w:rsid w:val="007E1CAD"/>
    <w:rsid w:val="007E1DCC"/>
    <w:rsid w:val="007E1F14"/>
    <w:rsid w:val="007E1F19"/>
    <w:rsid w:val="007E1F4D"/>
    <w:rsid w:val="007E1FF9"/>
    <w:rsid w:val="007E201E"/>
    <w:rsid w:val="007E20B1"/>
    <w:rsid w:val="007E213C"/>
    <w:rsid w:val="007E2159"/>
    <w:rsid w:val="007E218E"/>
    <w:rsid w:val="007E224F"/>
    <w:rsid w:val="007E24E9"/>
    <w:rsid w:val="007E24F8"/>
    <w:rsid w:val="007E269A"/>
    <w:rsid w:val="007E26C0"/>
    <w:rsid w:val="007E293E"/>
    <w:rsid w:val="007E29AF"/>
    <w:rsid w:val="007E2B19"/>
    <w:rsid w:val="007E2CDD"/>
    <w:rsid w:val="007E2E0D"/>
    <w:rsid w:val="007E2EBA"/>
    <w:rsid w:val="007E2F14"/>
    <w:rsid w:val="007E2F39"/>
    <w:rsid w:val="007E2F52"/>
    <w:rsid w:val="007E2FB1"/>
    <w:rsid w:val="007E3018"/>
    <w:rsid w:val="007E3020"/>
    <w:rsid w:val="007E302A"/>
    <w:rsid w:val="007E302F"/>
    <w:rsid w:val="007E30F4"/>
    <w:rsid w:val="007E3198"/>
    <w:rsid w:val="007E3381"/>
    <w:rsid w:val="007E33A4"/>
    <w:rsid w:val="007E33B5"/>
    <w:rsid w:val="007E35FB"/>
    <w:rsid w:val="007E36B3"/>
    <w:rsid w:val="007E375B"/>
    <w:rsid w:val="007E3861"/>
    <w:rsid w:val="007E386D"/>
    <w:rsid w:val="007E397C"/>
    <w:rsid w:val="007E3A26"/>
    <w:rsid w:val="007E3A67"/>
    <w:rsid w:val="007E3ACB"/>
    <w:rsid w:val="007E3B3A"/>
    <w:rsid w:val="007E3C22"/>
    <w:rsid w:val="007E3D9A"/>
    <w:rsid w:val="007E3DF9"/>
    <w:rsid w:val="007E3EEB"/>
    <w:rsid w:val="007E3F02"/>
    <w:rsid w:val="007E40F6"/>
    <w:rsid w:val="007E4103"/>
    <w:rsid w:val="007E4198"/>
    <w:rsid w:val="007E42AB"/>
    <w:rsid w:val="007E42DC"/>
    <w:rsid w:val="007E4329"/>
    <w:rsid w:val="007E4374"/>
    <w:rsid w:val="007E4376"/>
    <w:rsid w:val="007E43B5"/>
    <w:rsid w:val="007E43FD"/>
    <w:rsid w:val="007E4425"/>
    <w:rsid w:val="007E44D8"/>
    <w:rsid w:val="007E44D9"/>
    <w:rsid w:val="007E4553"/>
    <w:rsid w:val="007E4588"/>
    <w:rsid w:val="007E46D2"/>
    <w:rsid w:val="007E46F4"/>
    <w:rsid w:val="007E472D"/>
    <w:rsid w:val="007E4803"/>
    <w:rsid w:val="007E483D"/>
    <w:rsid w:val="007E489F"/>
    <w:rsid w:val="007E48BD"/>
    <w:rsid w:val="007E495E"/>
    <w:rsid w:val="007E4AE6"/>
    <w:rsid w:val="007E4B36"/>
    <w:rsid w:val="007E4B61"/>
    <w:rsid w:val="007E4BC1"/>
    <w:rsid w:val="007E4BDA"/>
    <w:rsid w:val="007E4C63"/>
    <w:rsid w:val="007E4CC3"/>
    <w:rsid w:val="007E4D56"/>
    <w:rsid w:val="007E4E49"/>
    <w:rsid w:val="007E5039"/>
    <w:rsid w:val="007E5201"/>
    <w:rsid w:val="007E529B"/>
    <w:rsid w:val="007E52E4"/>
    <w:rsid w:val="007E5385"/>
    <w:rsid w:val="007E53DA"/>
    <w:rsid w:val="007E555D"/>
    <w:rsid w:val="007E572B"/>
    <w:rsid w:val="007E57A5"/>
    <w:rsid w:val="007E5871"/>
    <w:rsid w:val="007E5882"/>
    <w:rsid w:val="007E5A46"/>
    <w:rsid w:val="007E5B01"/>
    <w:rsid w:val="007E5B3D"/>
    <w:rsid w:val="007E5C13"/>
    <w:rsid w:val="007E5C18"/>
    <w:rsid w:val="007E5C4B"/>
    <w:rsid w:val="007E5D49"/>
    <w:rsid w:val="007E5DB6"/>
    <w:rsid w:val="007E5F03"/>
    <w:rsid w:val="007E6028"/>
    <w:rsid w:val="007E606C"/>
    <w:rsid w:val="007E6114"/>
    <w:rsid w:val="007E613D"/>
    <w:rsid w:val="007E6171"/>
    <w:rsid w:val="007E62B8"/>
    <w:rsid w:val="007E62CC"/>
    <w:rsid w:val="007E62FE"/>
    <w:rsid w:val="007E6303"/>
    <w:rsid w:val="007E6398"/>
    <w:rsid w:val="007E63BC"/>
    <w:rsid w:val="007E6461"/>
    <w:rsid w:val="007E66C1"/>
    <w:rsid w:val="007E676D"/>
    <w:rsid w:val="007E67CD"/>
    <w:rsid w:val="007E6899"/>
    <w:rsid w:val="007E68DB"/>
    <w:rsid w:val="007E68E6"/>
    <w:rsid w:val="007E6946"/>
    <w:rsid w:val="007E694F"/>
    <w:rsid w:val="007E6977"/>
    <w:rsid w:val="007E6B70"/>
    <w:rsid w:val="007E6BC7"/>
    <w:rsid w:val="007E6C1D"/>
    <w:rsid w:val="007E6C47"/>
    <w:rsid w:val="007E6CA9"/>
    <w:rsid w:val="007E6D65"/>
    <w:rsid w:val="007E6D99"/>
    <w:rsid w:val="007E6DC3"/>
    <w:rsid w:val="007E6E16"/>
    <w:rsid w:val="007E6E36"/>
    <w:rsid w:val="007E6EAE"/>
    <w:rsid w:val="007E6EEB"/>
    <w:rsid w:val="007E6F7B"/>
    <w:rsid w:val="007E71DA"/>
    <w:rsid w:val="007E724D"/>
    <w:rsid w:val="007E7252"/>
    <w:rsid w:val="007E72B8"/>
    <w:rsid w:val="007E7316"/>
    <w:rsid w:val="007E73E4"/>
    <w:rsid w:val="007E7416"/>
    <w:rsid w:val="007E75A1"/>
    <w:rsid w:val="007E7666"/>
    <w:rsid w:val="007E769D"/>
    <w:rsid w:val="007E7902"/>
    <w:rsid w:val="007E79EE"/>
    <w:rsid w:val="007E7A6A"/>
    <w:rsid w:val="007E7B00"/>
    <w:rsid w:val="007E7B7E"/>
    <w:rsid w:val="007E7D1D"/>
    <w:rsid w:val="007E7F6A"/>
    <w:rsid w:val="007F006D"/>
    <w:rsid w:val="007F0126"/>
    <w:rsid w:val="007F0153"/>
    <w:rsid w:val="007F019E"/>
    <w:rsid w:val="007F02F3"/>
    <w:rsid w:val="007F03D1"/>
    <w:rsid w:val="007F03D7"/>
    <w:rsid w:val="007F0465"/>
    <w:rsid w:val="007F049B"/>
    <w:rsid w:val="007F049F"/>
    <w:rsid w:val="007F04A9"/>
    <w:rsid w:val="007F051C"/>
    <w:rsid w:val="007F0661"/>
    <w:rsid w:val="007F095C"/>
    <w:rsid w:val="007F0961"/>
    <w:rsid w:val="007F096E"/>
    <w:rsid w:val="007F09BF"/>
    <w:rsid w:val="007F0A2B"/>
    <w:rsid w:val="007F0A9B"/>
    <w:rsid w:val="007F0ADE"/>
    <w:rsid w:val="007F0AF3"/>
    <w:rsid w:val="007F0BE7"/>
    <w:rsid w:val="007F0D83"/>
    <w:rsid w:val="007F0F47"/>
    <w:rsid w:val="007F1069"/>
    <w:rsid w:val="007F108A"/>
    <w:rsid w:val="007F1097"/>
    <w:rsid w:val="007F10A7"/>
    <w:rsid w:val="007F10C8"/>
    <w:rsid w:val="007F10E5"/>
    <w:rsid w:val="007F10F8"/>
    <w:rsid w:val="007F1124"/>
    <w:rsid w:val="007F11B8"/>
    <w:rsid w:val="007F1295"/>
    <w:rsid w:val="007F12F8"/>
    <w:rsid w:val="007F148B"/>
    <w:rsid w:val="007F1649"/>
    <w:rsid w:val="007F168D"/>
    <w:rsid w:val="007F17F2"/>
    <w:rsid w:val="007F1982"/>
    <w:rsid w:val="007F1987"/>
    <w:rsid w:val="007F19CD"/>
    <w:rsid w:val="007F1A66"/>
    <w:rsid w:val="007F1A82"/>
    <w:rsid w:val="007F1AF2"/>
    <w:rsid w:val="007F1B75"/>
    <w:rsid w:val="007F1C54"/>
    <w:rsid w:val="007F1CE9"/>
    <w:rsid w:val="007F1D15"/>
    <w:rsid w:val="007F1DA6"/>
    <w:rsid w:val="007F1DE8"/>
    <w:rsid w:val="007F1E12"/>
    <w:rsid w:val="007F1E48"/>
    <w:rsid w:val="007F1EFA"/>
    <w:rsid w:val="007F1F43"/>
    <w:rsid w:val="007F20AC"/>
    <w:rsid w:val="007F210A"/>
    <w:rsid w:val="007F224F"/>
    <w:rsid w:val="007F2307"/>
    <w:rsid w:val="007F23F3"/>
    <w:rsid w:val="007F247E"/>
    <w:rsid w:val="007F260A"/>
    <w:rsid w:val="007F2610"/>
    <w:rsid w:val="007F26B7"/>
    <w:rsid w:val="007F2746"/>
    <w:rsid w:val="007F2965"/>
    <w:rsid w:val="007F2A99"/>
    <w:rsid w:val="007F2C1E"/>
    <w:rsid w:val="007F2D62"/>
    <w:rsid w:val="007F2DFD"/>
    <w:rsid w:val="007F2E50"/>
    <w:rsid w:val="007F2EC0"/>
    <w:rsid w:val="007F2FA9"/>
    <w:rsid w:val="007F2FE2"/>
    <w:rsid w:val="007F2FF1"/>
    <w:rsid w:val="007F30E4"/>
    <w:rsid w:val="007F32DE"/>
    <w:rsid w:val="007F3310"/>
    <w:rsid w:val="007F33B5"/>
    <w:rsid w:val="007F33FD"/>
    <w:rsid w:val="007F344F"/>
    <w:rsid w:val="007F34D0"/>
    <w:rsid w:val="007F350E"/>
    <w:rsid w:val="007F3610"/>
    <w:rsid w:val="007F3722"/>
    <w:rsid w:val="007F37F8"/>
    <w:rsid w:val="007F393C"/>
    <w:rsid w:val="007F3A85"/>
    <w:rsid w:val="007F3BA5"/>
    <w:rsid w:val="007F3C5C"/>
    <w:rsid w:val="007F3D6F"/>
    <w:rsid w:val="007F3D7E"/>
    <w:rsid w:val="007F3FF2"/>
    <w:rsid w:val="007F4066"/>
    <w:rsid w:val="007F40FA"/>
    <w:rsid w:val="007F4118"/>
    <w:rsid w:val="007F42BF"/>
    <w:rsid w:val="007F43C1"/>
    <w:rsid w:val="007F4513"/>
    <w:rsid w:val="007F4574"/>
    <w:rsid w:val="007F4576"/>
    <w:rsid w:val="007F457E"/>
    <w:rsid w:val="007F4597"/>
    <w:rsid w:val="007F4612"/>
    <w:rsid w:val="007F46FE"/>
    <w:rsid w:val="007F4750"/>
    <w:rsid w:val="007F488C"/>
    <w:rsid w:val="007F49B8"/>
    <w:rsid w:val="007F4A4B"/>
    <w:rsid w:val="007F4CE6"/>
    <w:rsid w:val="007F4E9F"/>
    <w:rsid w:val="007F4EED"/>
    <w:rsid w:val="007F4FCF"/>
    <w:rsid w:val="007F5037"/>
    <w:rsid w:val="007F50A7"/>
    <w:rsid w:val="007F50EC"/>
    <w:rsid w:val="007F51F0"/>
    <w:rsid w:val="007F5493"/>
    <w:rsid w:val="007F5511"/>
    <w:rsid w:val="007F5530"/>
    <w:rsid w:val="007F5538"/>
    <w:rsid w:val="007F5670"/>
    <w:rsid w:val="007F56E8"/>
    <w:rsid w:val="007F5718"/>
    <w:rsid w:val="007F5723"/>
    <w:rsid w:val="007F584F"/>
    <w:rsid w:val="007F5A2E"/>
    <w:rsid w:val="007F5A8D"/>
    <w:rsid w:val="007F5B4A"/>
    <w:rsid w:val="007F5C32"/>
    <w:rsid w:val="007F5D79"/>
    <w:rsid w:val="007F5DB5"/>
    <w:rsid w:val="007F5DC1"/>
    <w:rsid w:val="007F606B"/>
    <w:rsid w:val="007F611A"/>
    <w:rsid w:val="007F614F"/>
    <w:rsid w:val="007F62A1"/>
    <w:rsid w:val="007F6309"/>
    <w:rsid w:val="007F6313"/>
    <w:rsid w:val="007F6493"/>
    <w:rsid w:val="007F6495"/>
    <w:rsid w:val="007F64EE"/>
    <w:rsid w:val="007F6642"/>
    <w:rsid w:val="007F6836"/>
    <w:rsid w:val="007F6870"/>
    <w:rsid w:val="007F689E"/>
    <w:rsid w:val="007F6B13"/>
    <w:rsid w:val="007F6CA3"/>
    <w:rsid w:val="007F6CA7"/>
    <w:rsid w:val="007F6CCC"/>
    <w:rsid w:val="007F6D45"/>
    <w:rsid w:val="007F6D88"/>
    <w:rsid w:val="007F6DE5"/>
    <w:rsid w:val="007F71A1"/>
    <w:rsid w:val="007F71E6"/>
    <w:rsid w:val="007F72BF"/>
    <w:rsid w:val="007F7437"/>
    <w:rsid w:val="007F7438"/>
    <w:rsid w:val="007F7470"/>
    <w:rsid w:val="007F7585"/>
    <w:rsid w:val="007F75EB"/>
    <w:rsid w:val="007F7624"/>
    <w:rsid w:val="007F765B"/>
    <w:rsid w:val="007F775C"/>
    <w:rsid w:val="007F77B4"/>
    <w:rsid w:val="007F7AC5"/>
    <w:rsid w:val="007F7AE7"/>
    <w:rsid w:val="007F7B2C"/>
    <w:rsid w:val="007F7BAA"/>
    <w:rsid w:val="007F7CC3"/>
    <w:rsid w:val="007F7D09"/>
    <w:rsid w:val="007F7D18"/>
    <w:rsid w:val="007F7D9C"/>
    <w:rsid w:val="007F7E90"/>
    <w:rsid w:val="007F7FAE"/>
    <w:rsid w:val="008000D4"/>
    <w:rsid w:val="00800150"/>
    <w:rsid w:val="0080026A"/>
    <w:rsid w:val="00800312"/>
    <w:rsid w:val="0080033D"/>
    <w:rsid w:val="00800348"/>
    <w:rsid w:val="0080036B"/>
    <w:rsid w:val="008007FF"/>
    <w:rsid w:val="0080085C"/>
    <w:rsid w:val="0080090A"/>
    <w:rsid w:val="0080090F"/>
    <w:rsid w:val="00800CE6"/>
    <w:rsid w:val="00800D56"/>
    <w:rsid w:val="00800D99"/>
    <w:rsid w:val="00800F10"/>
    <w:rsid w:val="00801026"/>
    <w:rsid w:val="008010D5"/>
    <w:rsid w:val="008011AE"/>
    <w:rsid w:val="008011DD"/>
    <w:rsid w:val="00801288"/>
    <w:rsid w:val="008012DE"/>
    <w:rsid w:val="008012EB"/>
    <w:rsid w:val="008013A3"/>
    <w:rsid w:val="0080147B"/>
    <w:rsid w:val="00801495"/>
    <w:rsid w:val="00801501"/>
    <w:rsid w:val="00801524"/>
    <w:rsid w:val="008015B7"/>
    <w:rsid w:val="00801645"/>
    <w:rsid w:val="008016F1"/>
    <w:rsid w:val="00801763"/>
    <w:rsid w:val="0080179D"/>
    <w:rsid w:val="00801825"/>
    <w:rsid w:val="0080185C"/>
    <w:rsid w:val="008018EB"/>
    <w:rsid w:val="008018EC"/>
    <w:rsid w:val="00801905"/>
    <w:rsid w:val="00801920"/>
    <w:rsid w:val="00801CAE"/>
    <w:rsid w:val="00801DA9"/>
    <w:rsid w:val="00801E4E"/>
    <w:rsid w:val="00801F50"/>
    <w:rsid w:val="00801F5E"/>
    <w:rsid w:val="0080201B"/>
    <w:rsid w:val="008020B9"/>
    <w:rsid w:val="00802931"/>
    <w:rsid w:val="008029E2"/>
    <w:rsid w:val="00802A29"/>
    <w:rsid w:val="00802A9C"/>
    <w:rsid w:val="00802B39"/>
    <w:rsid w:val="00802CF9"/>
    <w:rsid w:val="00802D01"/>
    <w:rsid w:val="00802DAD"/>
    <w:rsid w:val="00802ED0"/>
    <w:rsid w:val="00802F86"/>
    <w:rsid w:val="00802F9A"/>
    <w:rsid w:val="008030B5"/>
    <w:rsid w:val="008030B9"/>
    <w:rsid w:val="008030CD"/>
    <w:rsid w:val="0080311D"/>
    <w:rsid w:val="0080315C"/>
    <w:rsid w:val="0080318B"/>
    <w:rsid w:val="0080319F"/>
    <w:rsid w:val="00803220"/>
    <w:rsid w:val="0080328F"/>
    <w:rsid w:val="0080339F"/>
    <w:rsid w:val="008034A8"/>
    <w:rsid w:val="00803597"/>
    <w:rsid w:val="008035E4"/>
    <w:rsid w:val="008035EE"/>
    <w:rsid w:val="008037CA"/>
    <w:rsid w:val="00803820"/>
    <w:rsid w:val="00803937"/>
    <w:rsid w:val="00803960"/>
    <w:rsid w:val="008039A5"/>
    <w:rsid w:val="00803B19"/>
    <w:rsid w:val="00803DC8"/>
    <w:rsid w:val="00803FB8"/>
    <w:rsid w:val="00804313"/>
    <w:rsid w:val="00804451"/>
    <w:rsid w:val="00804518"/>
    <w:rsid w:val="0080471E"/>
    <w:rsid w:val="0080477D"/>
    <w:rsid w:val="008047A3"/>
    <w:rsid w:val="00804867"/>
    <w:rsid w:val="008049FE"/>
    <w:rsid w:val="00804AA3"/>
    <w:rsid w:val="00804AEF"/>
    <w:rsid w:val="00804B2E"/>
    <w:rsid w:val="00804B4D"/>
    <w:rsid w:val="00804BA6"/>
    <w:rsid w:val="00804C3C"/>
    <w:rsid w:val="00804D17"/>
    <w:rsid w:val="00804E27"/>
    <w:rsid w:val="00804E2E"/>
    <w:rsid w:val="00804E30"/>
    <w:rsid w:val="00804E6C"/>
    <w:rsid w:val="00804EE9"/>
    <w:rsid w:val="00804F21"/>
    <w:rsid w:val="00804F56"/>
    <w:rsid w:val="00805014"/>
    <w:rsid w:val="0080501C"/>
    <w:rsid w:val="008050F2"/>
    <w:rsid w:val="008050FD"/>
    <w:rsid w:val="0080516D"/>
    <w:rsid w:val="008051EF"/>
    <w:rsid w:val="008051F2"/>
    <w:rsid w:val="008051F4"/>
    <w:rsid w:val="00805270"/>
    <w:rsid w:val="00805401"/>
    <w:rsid w:val="00805498"/>
    <w:rsid w:val="008055A8"/>
    <w:rsid w:val="0080562D"/>
    <w:rsid w:val="0080582C"/>
    <w:rsid w:val="00805848"/>
    <w:rsid w:val="008058FF"/>
    <w:rsid w:val="00805977"/>
    <w:rsid w:val="008059FC"/>
    <w:rsid w:val="00805AC0"/>
    <w:rsid w:val="00805ACB"/>
    <w:rsid w:val="00805B57"/>
    <w:rsid w:val="00805B9E"/>
    <w:rsid w:val="00805D5B"/>
    <w:rsid w:val="00805E7E"/>
    <w:rsid w:val="00805EF3"/>
    <w:rsid w:val="00805F72"/>
    <w:rsid w:val="0080614F"/>
    <w:rsid w:val="00806290"/>
    <w:rsid w:val="008063DB"/>
    <w:rsid w:val="008064D7"/>
    <w:rsid w:val="00806504"/>
    <w:rsid w:val="008065DA"/>
    <w:rsid w:val="0080672A"/>
    <w:rsid w:val="00806733"/>
    <w:rsid w:val="0080687F"/>
    <w:rsid w:val="008069A0"/>
    <w:rsid w:val="008069A5"/>
    <w:rsid w:val="00806B80"/>
    <w:rsid w:val="00806C0F"/>
    <w:rsid w:val="00806C65"/>
    <w:rsid w:val="00806CEC"/>
    <w:rsid w:val="00806D2F"/>
    <w:rsid w:val="00806D4C"/>
    <w:rsid w:val="00806DB9"/>
    <w:rsid w:val="00806DC7"/>
    <w:rsid w:val="00806E42"/>
    <w:rsid w:val="00806E8B"/>
    <w:rsid w:val="00806E91"/>
    <w:rsid w:val="00806EF6"/>
    <w:rsid w:val="00806F50"/>
    <w:rsid w:val="00806FBC"/>
    <w:rsid w:val="00807021"/>
    <w:rsid w:val="00807036"/>
    <w:rsid w:val="008070AC"/>
    <w:rsid w:val="00807188"/>
    <w:rsid w:val="008071D2"/>
    <w:rsid w:val="008072A2"/>
    <w:rsid w:val="00807425"/>
    <w:rsid w:val="00807459"/>
    <w:rsid w:val="008075F2"/>
    <w:rsid w:val="008077A6"/>
    <w:rsid w:val="008078B7"/>
    <w:rsid w:val="008078C9"/>
    <w:rsid w:val="008079EF"/>
    <w:rsid w:val="008079F3"/>
    <w:rsid w:val="00807AD8"/>
    <w:rsid w:val="00807BE5"/>
    <w:rsid w:val="00807CD9"/>
    <w:rsid w:val="00807CF8"/>
    <w:rsid w:val="00807D6C"/>
    <w:rsid w:val="00807E14"/>
    <w:rsid w:val="00807E67"/>
    <w:rsid w:val="00807E77"/>
    <w:rsid w:val="00807F0E"/>
    <w:rsid w:val="00807F87"/>
    <w:rsid w:val="0080D4F8"/>
    <w:rsid w:val="00810009"/>
    <w:rsid w:val="00810134"/>
    <w:rsid w:val="0081018B"/>
    <w:rsid w:val="008101F2"/>
    <w:rsid w:val="008103A0"/>
    <w:rsid w:val="008103E2"/>
    <w:rsid w:val="00810601"/>
    <w:rsid w:val="008106BD"/>
    <w:rsid w:val="00810824"/>
    <w:rsid w:val="0081088E"/>
    <w:rsid w:val="008108CF"/>
    <w:rsid w:val="00810A55"/>
    <w:rsid w:val="00810BBA"/>
    <w:rsid w:val="00810BEB"/>
    <w:rsid w:val="00810C1B"/>
    <w:rsid w:val="00810CB0"/>
    <w:rsid w:val="00810FE7"/>
    <w:rsid w:val="00811112"/>
    <w:rsid w:val="0081112B"/>
    <w:rsid w:val="00811145"/>
    <w:rsid w:val="008111B3"/>
    <w:rsid w:val="00811296"/>
    <w:rsid w:val="00811375"/>
    <w:rsid w:val="008113D4"/>
    <w:rsid w:val="00811425"/>
    <w:rsid w:val="00811456"/>
    <w:rsid w:val="0081145D"/>
    <w:rsid w:val="008114F5"/>
    <w:rsid w:val="00811529"/>
    <w:rsid w:val="00811557"/>
    <w:rsid w:val="008115B8"/>
    <w:rsid w:val="008115FA"/>
    <w:rsid w:val="00811742"/>
    <w:rsid w:val="0081184F"/>
    <w:rsid w:val="00811A19"/>
    <w:rsid w:val="00811B0B"/>
    <w:rsid w:val="00811C96"/>
    <w:rsid w:val="00811F78"/>
    <w:rsid w:val="0081206A"/>
    <w:rsid w:val="00812091"/>
    <w:rsid w:val="008121C6"/>
    <w:rsid w:val="008122B4"/>
    <w:rsid w:val="0081245B"/>
    <w:rsid w:val="008124BE"/>
    <w:rsid w:val="008124CF"/>
    <w:rsid w:val="008124E4"/>
    <w:rsid w:val="00812682"/>
    <w:rsid w:val="008126B3"/>
    <w:rsid w:val="008126B7"/>
    <w:rsid w:val="008126DA"/>
    <w:rsid w:val="0081272C"/>
    <w:rsid w:val="0081289D"/>
    <w:rsid w:val="00812917"/>
    <w:rsid w:val="0081293D"/>
    <w:rsid w:val="008129D7"/>
    <w:rsid w:val="00812A0D"/>
    <w:rsid w:val="00812AEE"/>
    <w:rsid w:val="00812B0E"/>
    <w:rsid w:val="00812BE1"/>
    <w:rsid w:val="00812C2C"/>
    <w:rsid w:val="00812C69"/>
    <w:rsid w:val="00812CF4"/>
    <w:rsid w:val="00812D6D"/>
    <w:rsid w:val="00812DEC"/>
    <w:rsid w:val="00812E50"/>
    <w:rsid w:val="00812EA9"/>
    <w:rsid w:val="00812FA4"/>
    <w:rsid w:val="0081310A"/>
    <w:rsid w:val="008131E4"/>
    <w:rsid w:val="0081321F"/>
    <w:rsid w:val="0081325C"/>
    <w:rsid w:val="008132E5"/>
    <w:rsid w:val="00813315"/>
    <w:rsid w:val="008133D9"/>
    <w:rsid w:val="00813449"/>
    <w:rsid w:val="00813493"/>
    <w:rsid w:val="008134CC"/>
    <w:rsid w:val="008135CF"/>
    <w:rsid w:val="00813617"/>
    <w:rsid w:val="0081361A"/>
    <w:rsid w:val="0081365D"/>
    <w:rsid w:val="00813675"/>
    <w:rsid w:val="008137F5"/>
    <w:rsid w:val="008139F4"/>
    <w:rsid w:val="00813A31"/>
    <w:rsid w:val="00813A53"/>
    <w:rsid w:val="00813C28"/>
    <w:rsid w:val="00813D3D"/>
    <w:rsid w:val="00813D75"/>
    <w:rsid w:val="00814005"/>
    <w:rsid w:val="008140DA"/>
    <w:rsid w:val="0081417D"/>
    <w:rsid w:val="008141B6"/>
    <w:rsid w:val="008142D1"/>
    <w:rsid w:val="008143B4"/>
    <w:rsid w:val="008143EB"/>
    <w:rsid w:val="00814539"/>
    <w:rsid w:val="00814640"/>
    <w:rsid w:val="0081464D"/>
    <w:rsid w:val="00814735"/>
    <w:rsid w:val="00814896"/>
    <w:rsid w:val="00814A5F"/>
    <w:rsid w:val="00814AE8"/>
    <w:rsid w:val="00814B2E"/>
    <w:rsid w:val="00814BBD"/>
    <w:rsid w:val="00814BBE"/>
    <w:rsid w:val="00814C7C"/>
    <w:rsid w:val="00814CA6"/>
    <w:rsid w:val="00814E6D"/>
    <w:rsid w:val="00814E86"/>
    <w:rsid w:val="00814EA0"/>
    <w:rsid w:val="00814EC8"/>
    <w:rsid w:val="00814ED5"/>
    <w:rsid w:val="00814EFE"/>
    <w:rsid w:val="00815007"/>
    <w:rsid w:val="008151B9"/>
    <w:rsid w:val="008151C6"/>
    <w:rsid w:val="00815219"/>
    <w:rsid w:val="00815381"/>
    <w:rsid w:val="008153D7"/>
    <w:rsid w:val="0081546E"/>
    <w:rsid w:val="0081574C"/>
    <w:rsid w:val="0081586F"/>
    <w:rsid w:val="008158D1"/>
    <w:rsid w:val="00815918"/>
    <w:rsid w:val="00815996"/>
    <w:rsid w:val="008159B8"/>
    <w:rsid w:val="00815A99"/>
    <w:rsid w:val="00815DF3"/>
    <w:rsid w:val="00815E2B"/>
    <w:rsid w:val="00815E7E"/>
    <w:rsid w:val="00815EBF"/>
    <w:rsid w:val="00815F8C"/>
    <w:rsid w:val="00815F8F"/>
    <w:rsid w:val="00815FA5"/>
    <w:rsid w:val="00816067"/>
    <w:rsid w:val="00816083"/>
    <w:rsid w:val="00816095"/>
    <w:rsid w:val="008160C0"/>
    <w:rsid w:val="00816136"/>
    <w:rsid w:val="0081620D"/>
    <w:rsid w:val="0081622F"/>
    <w:rsid w:val="00816321"/>
    <w:rsid w:val="00816374"/>
    <w:rsid w:val="00816416"/>
    <w:rsid w:val="0081647D"/>
    <w:rsid w:val="00816586"/>
    <w:rsid w:val="008165A0"/>
    <w:rsid w:val="00816680"/>
    <w:rsid w:val="008166CE"/>
    <w:rsid w:val="008169B5"/>
    <w:rsid w:val="00816BB8"/>
    <w:rsid w:val="00816E08"/>
    <w:rsid w:val="00816ED5"/>
    <w:rsid w:val="00816F0E"/>
    <w:rsid w:val="00816FEC"/>
    <w:rsid w:val="00817136"/>
    <w:rsid w:val="00817141"/>
    <w:rsid w:val="00817190"/>
    <w:rsid w:val="00817377"/>
    <w:rsid w:val="00817474"/>
    <w:rsid w:val="00817496"/>
    <w:rsid w:val="00817530"/>
    <w:rsid w:val="00817534"/>
    <w:rsid w:val="0081761B"/>
    <w:rsid w:val="00817907"/>
    <w:rsid w:val="008179B8"/>
    <w:rsid w:val="00817AFC"/>
    <w:rsid w:val="00817B85"/>
    <w:rsid w:val="00817CA8"/>
    <w:rsid w:val="00817D5A"/>
    <w:rsid w:val="00817D9F"/>
    <w:rsid w:val="00817DED"/>
    <w:rsid w:val="00817FE1"/>
    <w:rsid w:val="00819FD9"/>
    <w:rsid w:val="0081CFB6"/>
    <w:rsid w:val="00820027"/>
    <w:rsid w:val="0082005D"/>
    <w:rsid w:val="0082006D"/>
    <w:rsid w:val="008200EE"/>
    <w:rsid w:val="0082012B"/>
    <w:rsid w:val="00820182"/>
    <w:rsid w:val="00820211"/>
    <w:rsid w:val="008202B1"/>
    <w:rsid w:val="008202E9"/>
    <w:rsid w:val="00820343"/>
    <w:rsid w:val="0082041A"/>
    <w:rsid w:val="00820428"/>
    <w:rsid w:val="008204BE"/>
    <w:rsid w:val="00820508"/>
    <w:rsid w:val="00820512"/>
    <w:rsid w:val="0082055D"/>
    <w:rsid w:val="00820590"/>
    <w:rsid w:val="0082076C"/>
    <w:rsid w:val="00820835"/>
    <w:rsid w:val="0082083E"/>
    <w:rsid w:val="00820868"/>
    <w:rsid w:val="0082099F"/>
    <w:rsid w:val="008209A7"/>
    <w:rsid w:val="008209DA"/>
    <w:rsid w:val="00820A73"/>
    <w:rsid w:val="00820BEE"/>
    <w:rsid w:val="00820CB6"/>
    <w:rsid w:val="00820D03"/>
    <w:rsid w:val="00820E4F"/>
    <w:rsid w:val="00820EAF"/>
    <w:rsid w:val="00820EE3"/>
    <w:rsid w:val="00821135"/>
    <w:rsid w:val="008212D7"/>
    <w:rsid w:val="0082134A"/>
    <w:rsid w:val="00821430"/>
    <w:rsid w:val="008215D8"/>
    <w:rsid w:val="008216D4"/>
    <w:rsid w:val="008216E7"/>
    <w:rsid w:val="0082175A"/>
    <w:rsid w:val="0082178E"/>
    <w:rsid w:val="00821805"/>
    <w:rsid w:val="00821867"/>
    <w:rsid w:val="008218E8"/>
    <w:rsid w:val="008219F3"/>
    <w:rsid w:val="00821A06"/>
    <w:rsid w:val="00821A11"/>
    <w:rsid w:val="00821A36"/>
    <w:rsid w:val="00821A58"/>
    <w:rsid w:val="00821AA5"/>
    <w:rsid w:val="00821B78"/>
    <w:rsid w:val="00821C44"/>
    <w:rsid w:val="00821CBC"/>
    <w:rsid w:val="00821CF6"/>
    <w:rsid w:val="00821DA8"/>
    <w:rsid w:val="00821E2D"/>
    <w:rsid w:val="00821E73"/>
    <w:rsid w:val="00821EB7"/>
    <w:rsid w:val="00821F02"/>
    <w:rsid w:val="00822157"/>
    <w:rsid w:val="0082217F"/>
    <w:rsid w:val="008221AB"/>
    <w:rsid w:val="0082224D"/>
    <w:rsid w:val="00822345"/>
    <w:rsid w:val="008223C4"/>
    <w:rsid w:val="0082241B"/>
    <w:rsid w:val="00822606"/>
    <w:rsid w:val="00822669"/>
    <w:rsid w:val="008226C0"/>
    <w:rsid w:val="008226CD"/>
    <w:rsid w:val="00822781"/>
    <w:rsid w:val="008227DE"/>
    <w:rsid w:val="008227E6"/>
    <w:rsid w:val="00822B1D"/>
    <w:rsid w:val="00822B3C"/>
    <w:rsid w:val="00822B72"/>
    <w:rsid w:val="00822BE6"/>
    <w:rsid w:val="00822C34"/>
    <w:rsid w:val="00822C82"/>
    <w:rsid w:val="00822D52"/>
    <w:rsid w:val="00822EBD"/>
    <w:rsid w:val="00822F23"/>
    <w:rsid w:val="00822F9B"/>
    <w:rsid w:val="008230DB"/>
    <w:rsid w:val="00823106"/>
    <w:rsid w:val="00823250"/>
    <w:rsid w:val="0082334D"/>
    <w:rsid w:val="008233C2"/>
    <w:rsid w:val="008234B4"/>
    <w:rsid w:val="00823607"/>
    <w:rsid w:val="008236AA"/>
    <w:rsid w:val="00823740"/>
    <w:rsid w:val="0082377E"/>
    <w:rsid w:val="008237FA"/>
    <w:rsid w:val="0082385E"/>
    <w:rsid w:val="00823ABF"/>
    <w:rsid w:val="00823AE4"/>
    <w:rsid w:val="00823AF9"/>
    <w:rsid w:val="00823C37"/>
    <w:rsid w:val="00823CCE"/>
    <w:rsid w:val="00823E52"/>
    <w:rsid w:val="00823EB6"/>
    <w:rsid w:val="00823F00"/>
    <w:rsid w:val="00823F2D"/>
    <w:rsid w:val="00824083"/>
    <w:rsid w:val="0082427D"/>
    <w:rsid w:val="00824287"/>
    <w:rsid w:val="008243D2"/>
    <w:rsid w:val="0082449C"/>
    <w:rsid w:val="00824504"/>
    <w:rsid w:val="00824548"/>
    <w:rsid w:val="0082457B"/>
    <w:rsid w:val="008246E0"/>
    <w:rsid w:val="008248C9"/>
    <w:rsid w:val="00824900"/>
    <w:rsid w:val="00824954"/>
    <w:rsid w:val="00824A1A"/>
    <w:rsid w:val="00824A37"/>
    <w:rsid w:val="00824AC3"/>
    <w:rsid w:val="00824AE3"/>
    <w:rsid w:val="00824BF1"/>
    <w:rsid w:val="00824C4A"/>
    <w:rsid w:val="00824CD2"/>
    <w:rsid w:val="00824CEF"/>
    <w:rsid w:val="00824D37"/>
    <w:rsid w:val="00824DBD"/>
    <w:rsid w:val="00824DFC"/>
    <w:rsid w:val="00824EAA"/>
    <w:rsid w:val="00824EBC"/>
    <w:rsid w:val="00824F56"/>
    <w:rsid w:val="00824F84"/>
    <w:rsid w:val="00824FB8"/>
    <w:rsid w:val="0082500B"/>
    <w:rsid w:val="0082500E"/>
    <w:rsid w:val="0082519D"/>
    <w:rsid w:val="00825251"/>
    <w:rsid w:val="00825411"/>
    <w:rsid w:val="0082541D"/>
    <w:rsid w:val="00825464"/>
    <w:rsid w:val="00825499"/>
    <w:rsid w:val="008254A0"/>
    <w:rsid w:val="008254F7"/>
    <w:rsid w:val="008254FA"/>
    <w:rsid w:val="008255F9"/>
    <w:rsid w:val="00825613"/>
    <w:rsid w:val="00825658"/>
    <w:rsid w:val="008256D5"/>
    <w:rsid w:val="00825738"/>
    <w:rsid w:val="00825763"/>
    <w:rsid w:val="0082576A"/>
    <w:rsid w:val="008259D8"/>
    <w:rsid w:val="00825A1A"/>
    <w:rsid w:val="00825A6A"/>
    <w:rsid w:val="00825B05"/>
    <w:rsid w:val="00825B65"/>
    <w:rsid w:val="00825BC8"/>
    <w:rsid w:val="00825BE1"/>
    <w:rsid w:val="00825CFC"/>
    <w:rsid w:val="00825D78"/>
    <w:rsid w:val="00825DB9"/>
    <w:rsid w:val="00825DF5"/>
    <w:rsid w:val="00825EE3"/>
    <w:rsid w:val="00825FCA"/>
    <w:rsid w:val="008260A0"/>
    <w:rsid w:val="008261CB"/>
    <w:rsid w:val="0082629B"/>
    <w:rsid w:val="00826387"/>
    <w:rsid w:val="008263C6"/>
    <w:rsid w:val="0082644C"/>
    <w:rsid w:val="00826504"/>
    <w:rsid w:val="00826549"/>
    <w:rsid w:val="00826555"/>
    <w:rsid w:val="00826596"/>
    <w:rsid w:val="008266AB"/>
    <w:rsid w:val="0082670B"/>
    <w:rsid w:val="008267E2"/>
    <w:rsid w:val="00826850"/>
    <w:rsid w:val="0082687E"/>
    <w:rsid w:val="00826946"/>
    <w:rsid w:val="008269D3"/>
    <w:rsid w:val="00826A8F"/>
    <w:rsid w:val="00826ABB"/>
    <w:rsid w:val="00826BA2"/>
    <w:rsid w:val="00826BA4"/>
    <w:rsid w:val="00826C2B"/>
    <w:rsid w:val="00826D58"/>
    <w:rsid w:val="00826DD6"/>
    <w:rsid w:val="00826E37"/>
    <w:rsid w:val="00826E8E"/>
    <w:rsid w:val="00826FEF"/>
    <w:rsid w:val="00826FFA"/>
    <w:rsid w:val="008270AB"/>
    <w:rsid w:val="008270E2"/>
    <w:rsid w:val="008272E3"/>
    <w:rsid w:val="0082733A"/>
    <w:rsid w:val="00827497"/>
    <w:rsid w:val="0082749F"/>
    <w:rsid w:val="00827549"/>
    <w:rsid w:val="008276B2"/>
    <w:rsid w:val="00827758"/>
    <w:rsid w:val="0082789B"/>
    <w:rsid w:val="00827A1B"/>
    <w:rsid w:val="00827A71"/>
    <w:rsid w:val="00827AED"/>
    <w:rsid w:val="00827B59"/>
    <w:rsid w:val="00827BB7"/>
    <w:rsid w:val="00827BD3"/>
    <w:rsid w:val="00827C45"/>
    <w:rsid w:val="00827CA8"/>
    <w:rsid w:val="00827D1D"/>
    <w:rsid w:val="00827D4B"/>
    <w:rsid w:val="00827D97"/>
    <w:rsid w:val="00827E7F"/>
    <w:rsid w:val="00827F7E"/>
    <w:rsid w:val="00827FDB"/>
    <w:rsid w:val="008300B9"/>
    <w:rsid w:val="008301FF"/>
    <w:rsid w:val="00830234"/>
    <w:rsid w:val="00830371"/>
    <w:rsid w:val="00830527"/>
    <w:rsid w:val="0083055D"/>
    <w:rsid w:val="00830571"/>
    <w:rsid w:val="0083057E"/>
    <w:rsid w:val="008305B3"/>
    <w:rsid w:val="008305D7"/>
    <w:rsid w:val="00830651"/>
    <w:rsid w:val="0083072C"/>
    <w:rsid w:val="0083077F"/>
    <w:rsid w:val="00830807"/>
    <w:rsid w:val="0083085A"/>
    <w:rsid w:val="0083099B"/>
    <w:rsid w:val="008309E8"/>
    <w:rsid w:val="008309FB"/>
    <w:rsid w:val="00830BBE"/>
    <w:rsid w:val="00830BFD"/>
    <w:rsid w:val="00830CC9"/>
    <w:rsid w:val="00830D6D"/>
    <w:rsid w:val="00830DDB"/>
    <w:rsid w:val="00830EAD"/>
    <w:rsid w:val="00830ED8"/>
    <w:rsid w:val="00830F60"/>
    <w:rsid w:val="00830FB4"/>
    <w:rsid w:val="008310BA"/>
    <w:rsid w:val="008310DA"/>
    <w:rsid w:val="00831336"/>
    <w:rsid w:val="00831353"/>
    <w:rsid w:val="00831372"/>
    <w:rsid w:val="00831450"/>
    <w:rsid w:val="0083147E"/>
    <w:rsid w:val="00831571"/>
    <w:rsid w:val="008315A5"/>
    <w:rsid w:val="00831710"/>
    <w:rsid w:val="008318B7"/>
    <w:rsid w:val="00831981"/>
    <w:rsid w:val="008319AD"/>
    <w:rsid w:val="008319F6"/>
    <w:rsid w:val="00831B5D"/>
    <w:rsid w:val="00831B7E"/>
    <w:rsid w:val="00831BA5"/>
    <w:rsid w:val="00831BEA"/>
    <w:rsid w:val="00831C1E"/>
    <w:rsid w:val="00831C31"/>
    <w:rsid w:val="00831C85"/>
    <w:rsid w:val="00831D27"/>
    <w:rsid w:val="00831D93"/>
    <w:rsid w:val="00831DAF"/>
    <w:rsid w:val="00831DCB"/>
    <w:rsid w:val="00831E37"/>
    <w:rsid w:val="00831E68"/>
    <w:rsid w:val="00831F36"/>
    <w:rsid w:val="00831FA2"/>
    <w:rsid w:val="00832279"/>
    <w:rsid w:val="0083235D"/>
    <w:rsid w:val="00832389"/>
    <w:rsid w:val="008323F1"/>
    <w:rsid w:val="008323F9"/>
    <w:rsid w:val="008324D7"/>
    <w:rsid w:val="00832518"/>
    <w:rsid w:val="00832570"/>
    <w:rsid w:val="008325D2"/>
    <w:rsid w:val="008325D4"/>
    <w:rsid w:val="0083264A"/>
    <w:rsid w:val="0083268B"/>
    <w:rsid w:val="008327A5"/>
    <w:rsid w:val="008327B6"/>
    <w:rsid w:val="00832831"/>
    <w:rsid w:val="0083284B"/>
    <w:rsid w:val="008328F0"/>
    <w:rsid w:val="008328F9"/>
    <w:rsid w:val="008329C6"/>
    <w:rsid w:val="008329F2"/>
    <w:rsid w:val="00832A61"/>
    <w:rsid w:val="00832AE3"/>
    <w:rsid w:val="00832CB9"/>
    <w:rsid w:val="00832D16"/>
    <w:rsid w:val="00832E67"/>
    <w:rsid w:val="00832F62"/>
    <w:rsid w:val="00832F7A"/>
    <w:rsid w:val="008330C8"/>
    <w:rsid w:val="00833193"/>
    <w:rsid w:val="0083326F"/>
    <w:rsid w:val="008332A6"/>
    <w:rsid w:val="0083332F"/>
    <w:rsid w:val="00833355"/>
    <w:rsid w:val="008333A0"/>
    <w:rsid w:val="008333A3"/>
    <w:rsid w:val="008333F5"/>
    <w:rsid w:val="0083341A"/>
    <w:rsid w:val="0083353A"/>
    <w:rsid w:val="00833639"/>
    <w:rsid w:val="0083367C"/>
    <w:rsid w:val="008336F9"/>
    <w:rsid w:val="0083375B"/>
    <w:rsid w:val="0083394F"/>
    <w:rsid w:val="00833A50"/>
    <w:rsid w:val="00833A5E"/>
    <w:rsid w:val="00833ADA"/>
    <w:rsid w:val="00833AE5"/>
    <w:rsid w:val="00833B1C"/>
    <w:rsid w:val="00833B52"/>
    <w:rsid w:val="00833B78"/>
    <w:rsid w:val="00833C6D"/>
    <w:rsid w:val="00833C76"/>
    <w:rsid w:val="00833CB8"/>
    <w:rsid w:val="00833D7F"/>
    <w:rsid w:val="00833EA4"/>
    <w:rsid w:val="00833FC4"/>
    <w:rsid w:val="00834030"/>
    <w:rsid w:val="00834104"/>
    <w:rsid w:val="00834188"/>
    <w:rsid w:val="00834194"/>
    <w:rsid w:val="008341D4"/>
    <w:rsid w:val="00834208"/>
    <w:rsid w:val="0083420D"/>
    <w:rsid w:val="0083428C"/>
    <w:rsid w:val="00834460"/>
    <w:rsid w:val="0083454C"/>
    <w:rsid w:val="00834557"/>
    <w:rsid w:val="00834614"/>
    <w:rsid w:val="008346F7"/>
    <w:rsid w:val="00834745"/>
    <w:rsid w:val="00834835"/>
    <w:rsid w:val="00834937"/>
    <w:rsid w:val="00834969"/>
    <w:rsid w:val="0083496B"/>
    <w:rsid w:val="008349A4"/>
    <w:rsid w:val="00834AA1"/>
    <w:rsid w:val="00834B43"/>
    <w:rsid w:val="00834B58"/>
    <w:rsid w:val="00834BD6"/>
    <w:rsid w:val="00834C0D"/>
    <w:rsid w:val="00834C0F"/>
    <w:rsid w:val="00834C68"/>
    <w:rsid w:val="00834D4F"/>
    <w:rsid w:val="00834D50"/>
    <w:rsid w:val="00834DAD"/>
    <w:rsid w:val="00834E8A"/>
    <w:rsid w:val="00834EBB"/>
    <w:rsid w:val="00834FB9"/>
    <w:rsid w:val="0083503C"/>
    <w:rsid w:val="008350D4"/>
    <w:rsid w:val="00835130"/>
    <w:rsid w:val="00835133"/>
    <w:rsid w:val="00835219"/>
    <w:rsid w:val="00835258"/>
    <w:rsid w:val="008352B2"/>
    <w:rsid w:val="0083533C"/>
    <w:rsid w:val="0083541F"/>
    <w:rsid w:val="0083551B"/>
    <w:rsid w:val="008355AF"/>
    <w:rsid w:val="008357A4"/>
    <w:rsid w:val="0083584C"/>
    <w:rsid w:val="00835864"/>
    <w:rsid w:val="0083589D"/>
    <w:rsid w:val="00835989"/>
    <w:rsid w:val="00835BEF"/>
    <w:rsid w:val="00835C9E"/>
    <w:rsid w:val="00835CAA"/>
    <w:rsid w:val="00835D7F"/>
    <w:rsid w:val="00835DA6"/>
    <w:rsid w:val="00835DDE"/>
    <w:rsid w:val="00835E0C"/>
    <w:rsid w:val="00835E10"/>
    <w:rsid w:val="00835EE4"/>
    <w:rsid w:val="00836275"/>
    <w:rsid w:val="008362B7"/>
    <w:rsid w:val="008362BC"/>
    <w:rsid w:val="008362C7"/>
    <w:rsid w:val="008363AD"/>
    <w:rsid w:val="008363BF"/>
    <w:rsid w:val="0083649D"/>
    <w:rsid w:val="00836604"/>
    <w:rsid w:val="00836727"/>
    <w:rsid w:val="00836739"/>
    <w:rsid w:val="00836784"/>
    <w:rsid w:val="00836817"/>
    <w:rsid w:val="00836827"/>
    <w:rsid w:val="008369E8"/>
    <w:rsid w:val="00836A09"/>
    <w:rsid w:val="00836A21"/>
    <w:rsid w:val="00836A48"/>
    <w:rsid w:val="00836A49"/>
    <w:rsid w:val="00836AFA"/>
    <w:rsid w:val="00836B05"/>
    <w:rsid w:val="00836B20"/>
    <w:rsid w:val="00836B2B"/>
    <w:rsid w:val="00836BAB"/>
    <w:rsid w:val="00836BBC"/>
    <w:rsid w:val="00836CE2"/>
    <w:rsid w:val="00836DD3"/>
    <w:rsid w:val="00836E62"/>
    <w:rsid w:val="00836EC1"/>
    <w:rsid w:val="00836FBB"/>
    <w:rsid w:val="00837124"/>
    <w:rsid w:val="00837131"/>
    <w:rsid w:val="008371B6"/>
    <w:rsid w:val="0083735F"/>
    <w:rsid w:val="0083738B"/>
    <w:rsid w:val="008373C2"/>
    <w:rsid w:val="008373F9"/>
    <w:rsid w:val="00837401"/>
    <w:rsid w:val="008374A6"/>
    <w:rsid w:val="008374AA"/>
    <w:rsid w:val="0083756C"/>
    <w:rsid w:val="00837664"/>
    <w:rsid w:val="00837767"/>
    <w:rsid w:val="008378C1"/>
    <w:rsid w:val="0083796A"/>
    <w:rsid w:val="00837B45"/>
    <w:rsid w:val="00837D04"/>
    <w:rsid w:val="00837D62"/>
    <w:rsid w:val="00837D71"/>
    <w:rsid w:val="00837DD4"/>
    <w:rsid w:val="00837FE2"/>
    <w:rsid w:val="0083A146"/>
    <w:rsid w:val="0083E191"/>
    <w:rsid w:val="008400CF"/>
    <w:rsid w:val="008400DD"/>
    <w:rsid w:val="0084012E"/>
    <w:rsid w:val="0084016C"/>
    <w:rsid w:val="008401F1"/>
    <w:rsid w:val="008403C8"/>
    <w:rsid w:val="0084042A"/>
    <w:rsid w:val="0084047E"/>
    <w:rsid w:val="00840496"/>
    <w:rsid w:val="0084050B"/>
    <w:rsid w:val="00840584"/>
    <w:rsid w:val="008406FA"/>
    <w:rsid w:val="00840754"/>
    <w:rsid w:val="00840800"/>
    <w:rsid w:val="008408A5"/>
    <w:rsid w:val="008408BA"/>
    <w:rsid w:val="008408D9"/>
    <w:rsid w:val="008408F0"/>
    <w:rsid w:val="00840916"/>
    <w:rsid w:val="00840A34"/>
    <w:rsid w:val="00840AAF"/>
    <w:rsid w:val="00840D08"/>
    <w:rsid w:val="00840DEC"/>
    <w:rsid w:val="00840E11"/>
    <w:rsid w:val="00840E9E"/>
    <w:rsid w:val="00840ED8"/>
    <w:rsid w:val="00840F0A"/>
    <w:rsid w:val="00840F1A"/>
    <w:rsid w:val="0084114B"/>
    <w:rsid w:val="0084118B"/>
    <w:rsid w:val="00841286"/>
    <w:rsid w:val="00841656"/>
    <w:rsid w:val="00841777"/>
    <w:rsid w:val="008417F8"/>
    <w:rsid w:val="00841805"/>
    <w:rsid w:val="00841862"/>
    <w:rsid w:val="008418E4"/>
    <w:rsid w:val="008419BE"/>
    <w:rsid w:val="00841A66"/>
    <w:rsid w:val="00841B2B"/>
    <w:rsid w:val="00841B41"/>
    <w:rsid w:val="00841BF6"/>
    <w:rsid w:val="00841C52"/>
    <w:rsid w:val="00841F2D"/>
    <w:rsid w:val="00841F3D"/>
    <w:rsid w:val="00841F58"/>
    <w:rsid w:val="008420E6"/>
    <w:rsid w:val="0084221B"/>
    <w:rsid w:val="00842266"/>
    <w:rsid w:val="00842418"/>
    <w:rsid w:val="00842421"/>
    <w:rsid w:val="008424AF"/>
    <w:rsid w:val="008424C6"/>
    <w:rsid w:val="0084255F"/>
    <w:rsid w:val="00842633"/>
    <w:rsid w:val="00842683"/>
    <w:rsid w:val="00842690"/>
    <w:rsid w:val="00842693"/>
    <w:rsid w:val="00842763"/>
    <w:rsid w:val="00842923"/>
    <w:rsid w:val="00842925"/>
    <w:rsid w:val="00842958"/>
    <w:rsid w:val="00842A00"/>
    <w:rsid w:val="00842A0F"/>
    <w:rsid w:val="00842AA5"/>
    <w:rsid w:val="00842ADF"/>
    <w:rsid w:val="00842C02"/>
    <w:rsid w:val="00842C99"/>
    <w:rsid w:val="00842CD9"/>
    <w:rsid w:val="00842CDA"/>
    <w:rsid w:val="00842D35"/>
    <w:rsid w:val="00842F43"/>
    <w:rsid w:val="00842FC8"/>
    <w:rsid w:val="00843056"/>
    <w:rsid w:val="008430E3"/>
    <w:rsid w:val="008430F5"/>
    <w:rsid w:val="00843216"/>
    <w:rsid w:val="0084332B"/>
    <w:rsid w:val="00843389"/>
    <w:rsid w:val="008433A2"/>
    <w:rsid w:val="0084342D"/>
    <w:rsid w:val="008434B0"/>
    <w:rsid w:val="008434DF"/>
    <w:rsid w:val="00843519"/>
    <w:rsid w:val="008436C8"/>
    <w:rsid w:val="00843782"/>
    <w:rsid w:val="008437A6"/>
    <w:rsid w:val="008437E4"/>
    <w:rsid w:val="00843920"/>
    <w:rsid w:val="00843A5A"/>
    <w:rsid w:val="00843CC8"/>
    <w:rsid w:val="00843D58"/>
    <w:rsid w:val="00843E4F"/>
    <w:rsid w:val="00843EA8"/>
    <w:rsid w:val="00843F19"/>
    <w:rsid w:val="00843FDA"/>
    <w:rsid w:val="00844074"/>
    <w:rsid w:val="008440DB"/>
    <w:rsid w:val="0084413C"/>
    <w:rsid w:val="0084426D"/>
    <w:rsid w:val="0084436E"/>
    <w:rsid w:val="0084436F"/>
    <w:rsid w:val="0084440A"/>
    <w:rsid w:val="00844412"/>
    <w:rsid w:val="008444AC"/>
    <w:rsid w:val="008444E6"/>
    <w:rsid w:val="0084457D"/>
    <w:rsid w:val="008446D6"/>
    <w:rsid w:val="00844813"/>
    <w:rsid w:val="00844943"/>
    <w:rsid w:val="0084497E"/>
    <w:rsid w:val="00844986"/>
    <w:rsid w:val="00844A69"/>
    <w:rsid w:val="00844A87"/>
    <w:rsid w:val="00844B35"/>
    <w:rsid w:val="00844B83"/>
    <w:rsid w:val="00844C58"/>
    <w:rsid w:val="00844CA4"/>
    <w:rsid w:val="00844CFE"/>
    <w:rsid w:val="00844E1E"/>
    <w:rsid w:val="00844E9C"/>
    <w:rsid w:val="00844EBF"/>
    <w:rsid w:val="00844F09"/>
    <w:rsid w:val="00845086"/>
    <w:rsid w:val="008450DD"/>
    <w:rsid w:val="00845209"/>
    <w:rsid w:val="00845484"/>
    <w:rsid w:val="0084550C"/>
    <w:rsid w:val="00845559"/>
    <w:rsid w:val="0084557A"/>
    <w:rsid w:val="008456E0"/>
    <w:rsid w:val="00845763"/>
    <w:rsid w:val="008457A7"/>
    <w:rsid w:val="008457CC"/>
    <w:rsid w:val="00845A68"/>
    <w:rsid w:val="00845B8E"/>
    <w:rsid w:val="00845BB6"/>
    <w:rsid w:val="00845BE8"/>
    <w:rsid w:val="00845C1A"/>
    <w:rsid w:val="00845D19"/>
    <w:rsid w:val="00845D23"/>
    <w:rsid w:val="00845D5C"/>
    <w:rsid w:val="00845D9A"/>
    <w:rsid w:val="00845F3C"/>
    <w:rsid w:val="0084619D"/>
    <w:rsid w:val="00846203"/>
    <w:rsid w:val="00846211"/>
    <w:rsid w:val="0084626B"/>
    <w:rsid w:val="00846334"/>
    <w:rsid w:val="00846425"/>
    <w:rsid w:val="008464A4"/>
    <w:rsid w:val="008464BC"/>
    <w:rsid w:val="008464DD"/>
    <w:rsid w:val="0084654B"/>
    <w:rsid w:val="008465A4"/>
    <w:rsid w:val="00846636"/>
    <w:rsid w:val="00846641"/>
    <w:rsid w:val="0084665D"/>
    <w:rsid w:val="008466F2"/>
    <w:rsid w:val="00846702"/>
    <w:rsid w:val="00846725"/>
    <w:rsid w:val="0084675F"/>
    <w:rsid w:val="0084677F"/>
    <w:rsid w:val="008468BE"/>
    <w:rsid w:val="00846954"/>
    <w:rsid w:val="0084695E"/>
    <w:rsid w:val="0084699C"/>
    <w:rsid w:val="00846B68"/>
    <w:rsid w:val="00846CAF"/>
    <w:rsid w:val="00846DA9"/>
    <w:rsid w:val="00846DE3"/>
    <w:rsid w:val="00846E58"/>
    <w:rsid w:val="00846EF6"/>
    <w:rsid w:val="00846F42"/>
    <w:rsid w:val="00846F6C"/>
    <w:rsid w:val="00846F8A"/>
    <w:rsid w:val="00846F8E"/>
    <w:rsid w:val="00846FC2"/>
    <w:rsid w:val="00846FE0"/>
    <w:rsid w:val="00846FE7"/>
    <w:rsid w:val="0084703E"/>
    <w:rsid w:val="008471E3"/>
    <w:rsid w:val="008472CF"/>
    <w:rsid w:val="0084730E"/>
    <w:rsid w:val="00847453"/>
    <w:rsid w:val="00847515"/>
    <w:rsid w:val="00847545"/>
    <w:rsid w:val="00847555"/>
    <w:rsid w:val="008475E4"/>
    <w:rsid w:val="0084785D"/>
    <w:rsid w:val="008478FC"/>
    <w:rsid w:val="0084798F"/>
    <w:rsid w:val="00847AE8"/>
    <w:rsid w:val="00847B99"/>
    <w:rsid w:val="00847C16"/>
    <w:rsid w:val="00847C25"/>
    <w:rsid w:val="00847C9B"/>
    <w:rsid w:val="0085003D"/>
    <w:rsid w:val="00850072"/>
    <w:rsid w:val="008500DA"/>
    <w:rsid w:val="00850135"/>
    <w:rsid w:val="00850149"/>
    <w:rsid w:val="008501E1"/>
    <w:rsid w:val="00850233"/>
    <w:rsid w:val="0085035D"/>
    <w:rsid w:val="00850520"/>
    <w:rsid w:val="008505D0"/>
    <w:rsid w:val="0085063D"/>
    <w:rsid w:val="00850705"/>
    <w:rsid w:val="00850760"/>
    <w:rsid w:val="008507AB"/>
    <w:rsid w:val="008507F0"/>
    <w:rsid w:val="00850835"/>
    <w:rsid w:val="008508E2"/>
    <w:rsid w:val="0085095A"/>
    <w:rsid w:val="008509E6"/>
    <w:rsid w:val="00850A5E"/>
    <w:rsid w:val="00850A8C"/>
    <w:rsid w:val="00850A9B"/>
    <w:rsid w:val="00850AA3"/>
    <w:rsid w:val="00850CC2"/>
    <w:rsid w:val="00850DF6"/>
    <w:rsid w:val="00850E0B"/>
    <w:rsid w:val="008510A1"/>
    <w:rsid w:val="008510A5"/>
    <w:rsid w:val="00851264"/>
    <w:rsid w:val="008512E2"/>
    <w:rsid w:val="008513BC"/>
    <w:rsid w:val="0085141C"/>
    <w:rsid w:val="0085151C"/>
    <w:rsid w:val="008515C6"/>
    <w:rsid w:val="00851627"/>
    <w:rsid w:val="008516AD"/>
    <w:rsid w:val="0085174C"/>
    <w:rsid w:val="00851761"/>
    <w:rsid w:val="008517C6"/>
    <w:rsid w:val="008517F5"/>
    <w:rsid w:val="00851811"/>
    <w:rsid w:val="00851860"/>
    <w:rsid w:val="008518B1"/>
    <w:rsid w:val="008518C7"/>
    <w:rsid w:val="0085199E"/>
    <w:rsid w:val="00851A0F"/>
    <w:rsid w:val="00851A3A"/>
    <w:rsid w:val="00851B24"/>
    <w:rsid w:val="00851BF0"/>
    <w:rsid w:val="00851C7E"/>
    <w:rsid w:val="00851CED"/>
    <w:rsid w:val="00851EEC"/>
    <w:rsid w:val="00851F23"/>
    <w:rsid w:val="00852072"/>
    <w:rsid w:val="0085217C"/>
    <w:rsid w:val="00852309"/>
    <w:rsid w:val="00852327"/>
    <w:rsid w:val="0085235B"/>
    <w:rsid w:val="00852466"/>
    <w:rsid w:val="00852489"/>
    <w:rsid w:val="008524ED"/>
    <w:rsid w:val="00852521"/>
    <w:rsid w:val="008525C9"/>
    <w:rsid w:val="00852660"/>
    <w:rsid w:val="0085268D"/>
    <w:rsid w:val="00852706"/>
    <w:rsid w:val="0085273D"/>
    <w:rsid w:val="008527B3"/>
    <w:rsid w:val="008527F9"/>
    <w:rsid w:val="00852A41"/>
    <w:rsid w:val="00852AC5"/>
    <w:rsid w:val="00852BD8"/>
    <w:rsid w:val="00852C37"/>
    <w:rsid w:val="00852DF7"/>
    <w:rsid w:val="00852E05"/>
    <w:rsid w:val="00852E47"/>
    <w:rsid w:val="00852F80"/>
    <w:rsid w:val="00853029"/>
    <w:rsid w:val="00853175"/>
    <w:rsid w:val="00853191"/>
    <w:rsid w:val="008531D3"/>
    <w:rsid w:val="00853465"/>
    <w:rsid w:val="008535B3"/>
    <w:rsid w:val="0085370B"/>
    <w:rsid w:val="008537C0"/>
    <w:rsid w:val="00853838"/>
    <w:rsid w:val="00853852"/>
    <w:rsid w:val="008539D7"/>
    <w:rsid w:val="00853A2B"/>
    <w:rsid w:val="00853AAA"/>
    <w:rsid w:val="00853CE1"/>
    <w:rsid w:val="00853E43"/>
    <w:rsid w:val="00853E5F"/>
    <w:rsid w:val="00853F10"/>
    <w:rsid w:val="00853F21"/>
    <w:rsid w:val="00853F74"/>
    <w:rsid w:val="00853FE4"/>
    <w:rsid w:val="0085403F"/>
    <w:rsid w:val="00854069"/>
    <w:rsid w:val="008540DD"/>
    <w:rsid w:val="00854175"/>
    <w:rsid w:val="008541E8"/>
    <w:rsid w:val="008541F2"/>
    <w:rsid w:val="00854252"/>
    <w:rsid w:val="008542A3"/>
    <w:rsid w:val="0085438E"/>
    <w:rsid w:val="00854411"/>
    <w:rsid w:val="00854484"/>
    <w:rsid w:val="008544A9"/>
    <w:rsid w:val="008544B1"/>
    <w:rsid w:val="0085456A"/>
    <w:rsid w:val="00854686"/>
    <w:rsid w:val="008546DE"/>
    <w:rsid w:val="008547AE"/>
    <w:rsid w:val="0085488B"/>
    <w:rsid w:val="008548C2"/>
    <w:rsid w:val="00854913"/>
    <w:rsid w:val="0085491B"/>
    <w:rsid w:val="00854945"/>
    <w:rsid w:val="0085495B"/>
    <w:rsid w:val="008549FD"/>
    <w:rsid w:val="00854A26"/>
    <w:rsid w:val="00854A3D"/>
    <w:rsid w:val="00854C39"/>
    <w:rsid w:val="00854C80"/>
    <w:rsid w:val="00854C9F"/>
    <w:rsid w:val="00854CAC"/>
    <w:rsid w:val="00854D43"/>
    <w:rsid w:val="00854DAD"/>
    <w:rsid w:val="00854E7F"/>
    <w:rsid w:val="00854F2D"/>
    <w:rsid w:val="008550D2"/>
    <w:rsid w:val="00855121"/>
    <w:rsid w:val="00855134"/>
    <w:rsid w:val="00855149"/>
    <w:rsid w:val="008552E9"/>
    <w:rsid w:val="0085532A"/>
    <w:rsid w:val="00855375"/>
    <w:rsid w:val="00855400"/>
    <w:rsid w:val="00855405"/>
    <w:rsid w:val="00855459"/>
    <w:rsid w:val="0085559D"/>
    <w:rsid w:val="00855618"/>
    <w:rsid w:val="00855673"/>
    <w:rsid w:val="008559A7"/>
    <w:rsid w:val="008559EC"/>
    <w:rsid w:val="00855AD0"/>
    <w:rsid w:val="00855B2B"/>
    <w:rsid w:val="00855B76"/>
    <w:rsid w:val="00855B8D"/>
    <w:rsid w:val="00855C3F"/>
    <w:rsid w:val="00855C89"/>
    <w:rsid w:val="00855CC0"/>
    <w:rsid w:val="00855D08"/>
    <w:rsid w:val="00855D27"/>
    <w:rsid w:val="00855D60"/>
    <w:rsid w:val="00855DAA"/>
    <w:rsid w:val="00855DEA"/>
    <w:rsid w:val="00855E6E"/>
    <w:rsid w:val="00855EBA"/>
    <w:rsid w:val="00855F0D"/>
    <w:rsid w:val="00855F66"/>
    <w:rsid w:val="00855FA3"/>
    <w:rsid w:val="00856137"/>
    <w:rsid w:val="00856264"/>
    <w:rsid w:val="008562FF"/>
    <w:rsid w:val="0085636E"/>
    <w:rsid w:val="008563B0"/>
    <w:rsid w:val="0085649A"/>
    <w:rsid w:val="008565F2"/>
    <w:rsid w:val="00856693"/>
    <w:rsid w:val="0085678B"/>
    <w:rsid w:val="008567A2"/>
    <w:rsid w:val="008567E7"/>
    <w:rsid w:val="008568AD"/>
    <w:rsid w:val="0085693B"/>
    <w:rsid w:val="008569EC"/>
    <w:rsid w:val="00856A89"/>
    <w:rsid w:val="00856B66"/>
    <w:rsid w:val="00856C11"/>
    <w:rsid w:val="00856CB9"/>
    <w:rsid w:val="00857033"/>
    <w:rsid w:val="0085707D"/>
    <w:rsid w:val="00857097"/>
    <w:rsid w:val="008570F1"/>
    <w:rsid w:val="00857266"/>
    <w:rsid w:val="0085730A"/>
    <w:rsid w:val="0085737B"/>
    <w:rsid w:val="0085744B"/>
    <w:rsid w:val="00857507"/>
    <w:rsid w:val="00857524"/>
    <w:rsid w:val="0085754C"/>
    <w:rsid w:val="008576AF"/>
    <w:rsid w:val="0085773E"/>
    <w:rsid w:val="0085775E"/>
    <w:rsid w:val="008577A4"/>
    <w:rsid w:val="008577EC"/>
    <w:rsid w:val="0085783D"/>
    <w:rsid w:val="00857977"/>
    <w:rsid w:val="00857CCA"/>
    <w:rsid w:val="00857EED"/>
    <w:rsid w:val="00860024"/>
    <w:rsid w:val="00860061"/>
    <w:rsid w:val="00860093"/>
    <w:rsid w:val="0086013F"/>
    <w:rsid w:val="008601DC"/>
    <w:rsid w:val="00860277"/>
    <w:rsid w:val="0086040D"/>
    <w:rsid w:val="0086048D"/>
    <w:rsid w:val="0086057F"/>
    <w:rsid w:val="008605A1"/>
    <w:rsid w:val="008605E3"/>
    <w:rsid w:val="00860663"/>
    <w:rsid w:val="00860711"/>
    <w:rsid w:val="0086087B"/>
    <w:rsid w:val="00860882"/>
    <w:rsid w:val="008608DF"/>
    <w:rsid w:val="008609B3"/>
    <w:rsid w:val="00860A30"/>
    <w:rsid w:val="00860ADC"/>
    <w:rsid w:val="00860AE9"/>
    <w:rsid w:val="00860D8C"/>
    <w:rsid w:val="00860DA5"/>
    <w:rsid w:val="00860EE1"/>
    <w:rsid w:val="00860F74"/>
    <w:rsid w:val="0086105F"/>
    <w:rsid w:val="00861095"/>
    <w:rsid w:val="00861096"/>
    <w:rsid w:val="008610FE"/>
    <w:rsid w:val="008611A9"/>
    <w:rsid w:val="008611AF"/>
    <w:rsid w:val="00861231"/>
    <w:rsid w:val="008612DE"/>
    <w:rsid w:val="008613B8"/>
    <w:rsid w:val="008613B9"/>
    <w:rsid w:val="00861568"/>
    <w:rsid w:val="0086160C"/>
    <w:rsid w:val="00861846"/>
    <w:rsid w:val="0086193B"/>
    <w:rsid w:val="00861962"/>
    <w:rsid w:val="00861AED"/>
    <w:rsid w:val="00861B42"/>
    <w:rsid w:val="00861B9F"/>
    <w:rsid w:val="00861BFB"/>
    <w:rsid w:val="00861C89"/>
    <w:rsid w:val="00861C91"/>
    <w:rsid w:val="00861CC1"/>
    <w:rsid w:val="00861D21"/>
    <w:rsid w:val="00861E3F"/>
    <w:rsid w:val="00861ECE"/>
    <w:rsid w:val="00861FFF"/>
    <w:rsid w:val="0086203C"/>
    <w:rsid w:val="008620EF"/>
    <w:rsid w:val="008621E1"/>
    <w:rsid w:val="008623F8"/>
    <w:rsid w:val="0086247C"/>
    <w:rsid w:val="008624F6"/>
    <w:rsid w:val="00862521"/>
    <w:rsid w:val="0086253C"/>
    <w:rsid w:val="0086259F"/>
    <w:rsid w:val="00862648"/>
    <w:rsid w:val="008626A2"/>
    <w:rsid w:val="0086270A"/>
    <w:rsid w:val="0086276E"/>
    <w:rsid w:val="00862770"/>
    <w:rsid w:val="008627F3"/>
    <w:rsid w:val="00862827"/>
    <w:rsid w:val="008628EE"/>
    <w:rsid w:val="00862932"/>
    <w:rsid w:val="00862AE2"/>
    <w:rsid w:val="00862AFD"/>
    <w:rsid w:val="00862B88"/>
    <w:rsid w:val="00862B9B"/>
    <w:rsid w:val="00862C05"/>
    <w:rsid w:val="00862C24"/>
    <w:rsid w:val="00862C4D"/>
    <w:rsid w:val="00862C56"/>
    <w:rsid w:val="00862CDA"/>
    <w:rsid w:val="00862E95"/>
    <w:rsid w:val="00862EF9"/>
    <w:rsid w:val="00862F0B"/>
    <w:rsid w:val="00862F83"/>
    <w:rsid w:val="00863060"/>
    <w:rsid w:val="0086306A"/>
    <w:rsid w:val="008630EB"/>
    <w:rsid w:val="008631BF"/>
    <w:rsid w:val="008631D6"/>
    <w:rsid w:val="00863282"/>
    <w:rsid w:val="008632CF"/>
    <w:rsid w:val="008632F0"/>
    <w:rsid w:val="008635D2"/>
    <w:rsid w:val="008635EE"/>
    <w:rsid w:val="008636CA"/>
    <w:rsid w:val="008636E1"/>
    <w:rsid w:val="0086384A"/>
    <w:rsid w:val="00863927"/>
    <w:rsid w:val="0086393A"/>
    <w:rsid w:val="00863AAE"/>
    <w:rsid w:val="00863AC6"/>
    <w:rsid w:val="00863B82"/>
    <w:rsid w:val="00863B99"/>
    <w:rsid w:val="00863C3E"/>
    <w:rsid w:val="00863C68"/>
    <w:rsid w:val="00863D50"/>
    <w:rsid w:val="00863D57"/>
    <w:rsid w:val="00863E19"/>
    <w:rsid w:val="00863F18"/>
    <w:rsid w:val="0086407A"/>
    <w:rsid w:val="008640A7"/>
    <w:rsid w:val="008640E6"/>
    <w:rsid w:val="008640ED"/>
    <w:rsid w:val="008640FC"/>
    <w:rsid w:val="0086417A"/>
    <w:rsid w:val="008641C3"/>
    <w:rsid w:val="008641DC"/>
    <w:rsid w:val="008642E3"/>
    <w:rsid w:val="00864344"/>
    <w:rsid w:val="00864401"/>
    <w:rsid w:val="00864468"/>
    <w:rsid w:val="008645B7"/>
    <w:rsid w:val="008645FC"/>
    <w:rsid w:val="00864722"/>
    <w:rsid w:val="00864910"/>
    <w:rsid w:val="0086495C"/>
    <w:rsid w:val="00864B98"/>
    <w:rsid w:val="00864D55"/>
    <w:rsid w:val="00864D6F"/>
    <w:rsid w:val="00864DAF"/>
    <w:rsid w:val="00864E86"/>
    <w:rsid w:val="00864EC3"/>
    <w:rsid w:val="00864ECF"/>
    <w:rsid w:val="00864F7E"/>
    <w:rsid w:val="0086504D"/>
    <w:rsid w:val="00865067"/>
    <w:rsid w:val="00865114"/>
    <w:rsid w:val="008651AE"/>
    <w:rsid w:val="008651CF"/>
    <w:rsid w:val="00865247"/>
    <w:rsid w:val="00865256"/>
    <w:rsid w:val="008652E0"/>
    <w:rsid w:val="00865594"/>
    <w:rsid w:val="008655B3"/>
    <w:rsid w:val="008656BD"/>
    <w:rsid w:val="008657E3"/>
    <w:rsid w:val="008658B0"/>
    <w:rsid w:val="008658F7"/>
    <w:rsid w:val="008658FA"/>
    <w:rsid w:val="00865938"/>
    <w:rsid w:val="0086596E"/>
    <w:rsid w:val="00865996"/>
    <w:rsid w:val="00865ABF"/>
    <w:rsid w:val="00865B1F"/>
    <w:rsid w:val="00865BE0"/>
    <w:rsid w:val="00865C1B"/>
    <w:rsid w:val="00865CF2"/>
    <w:rsid w:val="00865E6C"/>
    <w:rsid w:val="00865E80"/>
    <w:rsid w:val="00865EC3"/>
    <w:rsid w:val="00865F10"/>
    <w:rsid w:val="00865F21"/>
    <w:rsid w:val="00865FB9"/>
    <w:rsid w:val="008660B4"/>
    <w:rsid w:val="00866160"/>
    <w:rsid w:val="00866172"/>
    <w:rsid w:val="008661FE"/>
    <w:rsid w:val="0086641D"/>
    <w:rsid w:val="0086650D"/>
    <w:rsid w:val="00866610"/>
    <w:rsid w:val="008666B7"/>
    <w:rsid w:val="00866787"/>
    <w:rsid w:val="008668CC"/>
    <w:rsid w:val="00866A2A"/>
    <w:rsid w:val="00866AA2"/>
    <w:rsid w:val="00866B10"/>
    <w:rsid w:val="00866B54"/>
    <w:rsid w:val="00866B82"/>
    <w:rsid w:val="00866C64"/>
    <w:rsid w:val="00866CEC"/>
    <w:rsid w:val="00866DCA"/>
    <w:rsid w:val="00866DDE"/>
    <w:rsid w:val="00866FD0"/>
    <w:rsid w:val="008670FF"/>
    <w:rsid w:val="008672F2"/>
    <w:rsid w:val="00867356"/>
    <w:rsid w:val="00867377"/>
    <w:rsid w:val="00867404"/>
    <w:rsid w:val="008674CB"/>
    <w:rsid w:val="008674D2"/>
    <w:rsid w:val="0086781E"/>
    <w:rsid w:val="0086787D"/>
    <w:rsid w:val="0086789F"/>
    <w:rsid w:val="008678FA"/>
    <w:rsid w:val="00867907"/>
    <w:rsid w:val="00867992"/>
    <w:rsid w:val="008679E8"/>
    <w:rsid w:val="00867AE9"/>
    <w:rsid w:val="00867B0B"/>
    <w:rsid w:val="00867B86"/>
    <w:rsid w:val="00867BFE"/>
    <w:rsid w:val="00867C72"/>
    <w:rsid w:val="00867D92"/>
    <w:rsid w:val="00867DA5"/>
    <w:rsid w:val="00867E1A"/>
    <w:rsid w:val="00867E24"/>
    <w:rsid w:val="00867E56"/>
    <w:rsid w:val="00867EEC"/>
    <w:rsid w:val="00867F3E"/>
    <w:rsid w:val="00867F53"/>
    <w:rsid w:val="00867F75"/>
    <w:rsid w:val="0086AA62"/>
    <w:rsid w:val="0086D421"/>
    <w:rsid w:val="00870083"/>
    <w:rsid w:val="00870091"/>
    <w:rsid w:val="008701CF"/>
    <w:rsid w:val="00870254"/>
    <w:rsid w:val="008702F0"/>
    <w:rsid w:val="00870332"/>
    <w:rsid w:val="008703FF"/>
    <w:rsid w:val="0087046D"/>
    <w:rsid w:val="008704CA"/>
    <w:rsid w:val="008704DB"/>
    <w:rsid w:val="008704FF"/>
    <w:rsid w:val="00870642"/>
    <w:rsid w:val="0087064C"/>
    <w:rsid w:val="008706A4"/>
    <w:rsid w:val="0087072C"/>
    <w:rsid w:val="00870787"/>
    <w:rsid w:val="008707A0"/>
    <w:rsid w:val="008707D3"/>
    <w:rsid w:val="00870855"/>
    <w:rsid w:val="008709C8"/>
    <w:rsid w:val="00870A70"/>
    <w:rsid w:val="00870B12"/>
    <w:rsid w:val="00870BDD"/>
    <w:rsid w:val="00870BE7"/>
    <w:rsid w:val="00870C65"/>
    <w:rsid w:val="00870EF5"/>
    <w:rsid w:val="00870F46"/>
    <w:rsid w:val="00870F5D"/>
    <w:rsid w:val="00870F82"/>
    <w:rsid w:val="00870FD9"/>
    <w:rsid w:val="00871039"/>
    <w:rsid w:val="0087114C"/>
    <w:rsid w:val="008711E3"/>
    <w:rsid w:val="008711F6"/>
    <w:rsid w:val="008712E1"/>
    <w:rsid w:val="00871300"/>
    <w:rsid w:val="00871342"/>
    <w:rsid w:val="00871452"/>
    <w:rsid w:val="00871458"/>
    <w:rsid w:val="008714B9"/>
    <w:rsid w:val="008714C5"/>
    <w:rsid w:val="008714DF"/>
    <w:rsid w:val="008715F2"/>
    <w:rsid w:val="008716AC"/>
    <w:rsid w:val="008716F0"/>
    <w:rsid w:val="008716FA"/>
    <w:rsid w:val="00871754"/>
    <w:rsid w:val="008717A5"/>
    <w:rsid w:val="00871843"/>
    <w:rsid w:val="00871844"/>
    <w:rsid w:val="0087185D"/>
    <w:rsid w:val="00871949"/>
    <w:rsid w:val="0087195C"/>
    <w:rsid w:val="00871987"/>
    <w:rsid w:val="00871C0A"/>
    <w:rsid w:val="00871C5B"/>
    <w:rsid w:val="00871CDE"/>
    <w:rsid w:val="00871CDF"/>
    <w:rsid w:val="00871D27"/>
    <w:rsid w:val="00871D57"/>
    <w:rsid w:val="00871D9D"/>
    <w:rsid w:val="00871F0C"/>
    <w:rsid w:val="00871F31"/>
    <w:rsid w:val="0087208D"/>
    <w:rsid w:val="0087209D"/>
    <w:rsid w:val="00872147"/>
    <w:rsid w:val="00872151"/>
    <w:rsid w:val="00872190"/>
    <w:rsid w:val="00872228"/>
    <w:rsid w:val="00872325"/>
    <w:rsid w:val="008723A9"/>
    <w:rsid w:val="008724B9"/>
    <w:rsid w:val="008725FF"/>
    <w:rsid w:val="008726BB"/>
    <w:rsid w:val="00872718"/>
    <w:rsid w:val="0087275B"/>
    <w:rsid w:val="00872877"/>
    <w:rsid w:val="008728DC"/>
    <w:rsid w:val="00872994"/>
    <w:rsid w:val="00872A09"/>
    <w:rsid w:val="00872AD4"/>
    <w:rsid w:val="00872B04"/>
    <w:rsid w:val="00872B6B"/>
    <w:rsid w:val="00872B73"/>
    <w:rsid w:val="00872BC3"/>
    <w:rsid w:val="00872C12"/>
    <w:rsid w:val="00872E2B"/>
    <w:rsid w:val="00872E2E"/>
    <w:rsid w:val="00872E68"/>
    <w:rsid w:val="00872EAE"/>
    <w:rsid w:val="00872F21"/>
    <w:rsid w:val="00872FB2"/>
    <w:rsid w:val="00872FF5"/>
    <w:rsid w:val="0087305A"/>
    <w:rsid w:val="008730AB"/>
    <w:rsid w:val="00873143"/>
    <w:rsid w:val="00873149"/>
    <w:rsid w:val="008731F6"/>
    <w:rsid w:val="00873201"/>
    <w:rsid w:val="008732CA"/>
    <w:rsid w:val="00873322"/>
    <w:rsid w:val="00873449"/>
    <w:rsid w:val="0087351D"/>
    <w:rsid w:val="00873637"/>
    <w:rsid w:val="00873641"/>
    <w:rsid w:val="00873690"/>
    <w:rsid w:val="008736DE"/>
    <w:rsid w:val="00873803"/>
    <w:rsid w:val="0087382C"/>
    <w:rsid w:val="008738E1"/>
    <w:rsid w:val="0087396D"/>
    <w:rsid w:val="00873A04"/>
    <w:rsid w:val="00873A16"/>
    <w:rsid w:val="00873A65"/>
    <w:rsid w:val="00873ABD"/>
    <w:rsid w:val="00873AE7"/>
    <w:rsid w:val="00873B58"/>
    <w:rsid w:val="00873BA1"/>
    <w:rsid w:val="00873BB3"/>
    <w:rsid w:val="00873BC5"/>
    <w:rsid w:val="00873C08"/>
    <w:rsid w:val="00873C2E"/>
    <w:rsid w:val="00873CA2"/>
    <w:rsid w:val="00873CE4"/>
    <w:rsid w:val="00873D23"/>
    <w:rsid w:val="00873D9F"/>
    <w:rsid w:val="00873E17"/>
    <w:rsid w:val="00873E97"/>
    <w:rsid w:val="00873ECE"/>
    <w:rsid w:val="00874035"/>
    <w:rsid w:val="0087404B"/>
    <w:rsid w:val="00874149"/>
    <w:rsid w:val="008742D1"/>
    <w:rsid w:val="00874305"/>
    <w:rsid w:val="008743BA"/>
    <w:rsid w:val="008743CA"/>
    <w:rsid w:val="008743D7"/>
    <w:rsid w:val="008744BC"/>
    <w:rsid w:val="00874559"/>
    <w:rsid w:val="00874572"/>
    <w:rsid w:val="00874599"/>
    <w:rsid w:val="008745B9"/>
    <w:rsid w:val="0087463B"/>
    <w:rsid w:val="0087478A"/>
    <w:rsid w:val="00874942"/>
    <w:rsid w:val="0087494F"/>
    <w:rsid w:val="00874995"/>
    <w:rsid w:val="00874AD1"/>
    <w:rsid w:val="00874B48"/>
    <w:rsid w:val="00874B58"/>
    <w:rsid w:val="00874B8D"/>
    <w:rsid w:val="00874C76"/>
    <w:rsid w:val="00874CF8"/>
    <w:rsid w:val="00874D46"/>
    <w:rsid w:val="00874EC6"/>
    <w:rsid w:val="00874F6A"/>
    <w:rsid w:val="00874FF1"/>
    <w:rsid w:val="00874FFA"/>
    <w:rsid w:val="00875091"/>
    <w:rsid w:val="0087509E"/>
    <w:rsid w:val="008751BE"/>
    <w:rsid w:val="00875235"/>
    <w:rsid w:val="0087548B"/>
    <w:rsid w:val="00875500"/>
    <w:rsid w:val="0087569A"/>
    <w:rsid w:val="008756EC"/>
    <w:rsid w:val="00875746"/>
    <w:rsid w:val="0087574B"/>
    <w:rsid w:val="00875845"/>
    <w:rsid w:val="0087588F"/>
    <w:rsid w:val="00875A89"/>
    <w:rsid w:val="00875B59"/>
    <w:rsid w:val="00875B9E"/>
    <w:rsid w:val="00875CBE"/>
    <w:rsid w:val="00875DAA"/>
    <w:rsid w:val="00875DAD"/>
    <w:rsid w:val="00875DCA"/>
    <w:rsid w:val="00875DDE"/>
    <w:rsid w:val="00875F1A"/>
    <w:rsid w:val="00875FE0"/>
    <w:rsid w:val="00876177"/>
    <w:rsid w:val="00876291"/>
    <w:rsid w:val="0087647F"/>
    <w:rsid w:val="0087649A"/>
    <w:rsid w:val="00876517"/>
    <w:rsid w:val="0087655D"/>
    <w:rsid w:val="00876583"/>
    <w:rsid w:val="008765E8"/>
    <w:rsid w:val="00876762"/>
    <w:rsid w:val="0087676D"/>
    <w:rsid w:val="00876870"/>
    <w:rsid w:val="0087689F"/>
    <w:rsid w:val="00876955"/>
    <w:rsid w:val="0087699C"/>
    <w:rsid w:val="008769AE"/>
    <w:rsid w:val="008769E2"/>
    <w:rsid w:val="008769F6"/>
    <w:rsid w:val="00876A72"/>
    <w:rsid w:val="00876AB4"/>
    <w:rsid w:val="00876B75"/>
    <w:rsid w:val="00876C22"/>
    <w:rsid w:val="00876CE4"/>
    <w:rsid w:val="00876DF3"/>
    <w:rsid w:val="00876E61"/>
    <w:rsid w:val="00877058"/>
    <w:rsid w:val="008770CA"/>
    <w:rsid w:val="008770D8"/>
    <w:rsid w:val="008770F7"/>
    <w:rsid w:val="00877200"/>
    <w:rsid w:val="00877253"/>
    <w:rsid w:val="00877261"/>
    <w:rsid w:val="0087726A"/>
    <w:rsid w:val="008772EE"/>
    <w:rsid w:val="0087747B"/>
    <w:rsid w:val="00877491"/>
    <w:rsid w:val="008774E1"/>
    <w:rsid w:val="00877538"/>
    <w:rsid w:val="00877590"/>
    <w:rsid w:val="00877649"/>
    <w:rsid w:val="008776D8"/>
    <w:rsid w:val="00877756"/>
    <w:rsid w:val="0087793F"/>
    <w:rsid w:val="00877947"/>
    <w:rsid w:val="008779CD"/>
    <w:rsid w:val="00877A92"/>
    <w:rsid w:val="00877AA3"/>
    <w:rsid w:val="00877ABC"/>
    <w:rsid w:val="00877AF7"/>
    <w:rsid w:val="00877CFF"/>
    <w:rsid w:val="0087B9F1"/>
    <w:rsid w:val="0087CABF"/>
    <w:rsid w:val="00880049"/>
    <w:rsid w:val="0088006B"/>
    <w:rsid w:val="008800BC"/>
    <w:rsid w:val="008800FC"/>
    <w:rsid w:val="00880129"/>
    <w:rsid w:val="00880252"/>
    <w:rsid w:val="00880271"/>
    <w:rsid w:val="0088030E"/>
    <w:rsid w:val="008803F8"/>
    <w:rsid w:val="00880441"/>
    <w:rsid w:val="0088066B"/>
    <w:rsid w:val="0088067E"/>
    <w:rsid w:val="008806D5"/>
    <w:rsid w:val="00880704"/>
    <w:rsid w:val="00880753"/>
    <w:rsid w:val="0088077B"/>
    <w:rsid w:val="00880961"/>
    <w:rsid w:val="008809FE"/>
    <w:rsid w:val="00880A75"/>
    <w:rsid w:val="00880AF4"/>
    <w:rsid w:val="00880B27"/>
    <w:rsid w:val="00880D69"/>
    <w:rsid w:val="00880D94"/>
    <w:rsid w:val="00880D99"/>
    <w:rsid w:val="00880E6E"/>
    <w:rsid w:val="0088108F"/>
    <w:rsid w:val="008810F2"/>
    <w:rsid w:val="00881163"/>
    <w:rsid w:val="008811B9"/>
    <w:rsid w:val="0088123B"/>
    <w:rsid w:val="0088133F"/>
    <w:rsid w:val="00881357"/>
    <w:rsid w:val="00881368"/>
    <w:rsid w:val="00881480"/>
    <w:rsid w:val="0088155A"/>
    <w:rsid w:val="00881730"/>
    <w:rsid w:val="00881738"/>
    <w:rsid w:val="008817AC"/>
    <w:rsid w:val="008817BA"/>
    <w:rsid w:val="00881865"/>
    <w:rsid w:val="00881875"/>
    <w:rsid w:val="008818E6"/>
    <w:rsid w:val="00881B65"/>
    <w:rsid w:val="00881B78"/>
    <w:rsid w:val="00881C83"/>
    <w:rsid w:val="00881CAF"/>
    <w:rsid w:val="00881D02"/>
    <w:rsid w:val="00881D05"/>
    <w:rsid w:val="00881D12"/>
    <w:rsid w:val="00881EA0"/>
    <w:rsid w:val="00881EC8"/>
    <w:rsid w:val="00881EDA"/>
    <w:rsid w:val="00881EFE"/>
    <w:rsid w:val="00881FA6"/>
    <w:rsid w:val="00881FB2"/>
    <w:rsid w:val="00882044"/>
    <w:rsid w:val="0088204A"/>
    <w:rsid w:val="008820F3"/>
    <w:rsid w:val="00882127"/>
    <w:rsid w:val="008821C0"/>
    <w:rsid w:val="00882209"/>
    <w:rsid w:val="0088226B"/>
    <w:rsid w:val="008822B1"/>
    <w:rsid w:val="00882361"/>
    <w:rsid w:val="008823A1"/>
    <w:rsid w:val="008823CB"/>
    <w:rsid w:val="008823F2"/>
    <w:rsid w:val="008824A6"/>
    <w:rsid w:val="008824F1"/>
    <w:rsid w:val="0088250D"/>
    <w:rsid w:val="008826E4"/>
    <w:rsid w:val="0088280B"/>
    <w:rsid w:val="00882926"/>
    <w:rsid w:val="00882A32"/>
    <w:rsid w:val="00882A70"/>
    <w:rsid w:val="00882A9A"/>
    <w:rsid w:val="00882AE8"/>
    <w:rsid w:val="00882BB0"/>
    <w:rsid w:val="00882D66"/>
    <w:rsid w:val="00882D69"/>
    <w:rsid w:val="00882E85"/>
    <w:rsid w:val="00882ED3"/>
    <w:rsid w:val="00882F46"/>
    <w:rsid w:val="00882FEC"/>
    <w:rsid w:val="00883056"/>
    <w:rsid w:val="008831D5"/>
    <w:rsid w:val="00883280"/>
    <w:rsid w:val="00883314"/>
    <w:rsid w:val="0088331C"/>
    <w:rsid w:val="008833AD"/>
    <w:rsid w:val="008833B6"/>
    <w:rsid w:val="008833BB"/>
    <w:rsid w:val="008833D7"/>
    <w:rsid w:val="0088342A"/>
    <w:rsid w:val="00883489"/>
    <w:rsid w:val="008834A2"/>
    <w:rsid w:val="00883500"/>
    <w:rsid w:val="008836CF"/>
    <w:rsid w:val="008836DB"/>
    <w:rsid w:val="00883897"/>
    <w:rsid w:val="008838B2"/>
    <w:rsid w:val="0088397C"/>
    <w:rsid w:val="008839CF"/>
    <w:rsid w:val="00883A63"/>
    <w:rsid w:val="00883A65"/>
    <w:rsid w:val="00883A99"/>
    <w:rsid w:val="00883BB3"/>
    <w:rsid w:val="00883DFE"/>
    <w:rsid w:val="00883E05"/>
    <w:rsid w:val="00883E41"/>
    <w:rsid w:val="00883EC8"/>
    <w:rsid w:val="00883F44"/>
    <w:rsid w:val="0088404D"/>
    <w:rsid w:val="0088419F"/>
    <w:rsid w:val="008841CB"/>
    <w:rsid w:val="00884596"/>
    <w:rsid w:val="00884652"/>
    <w:rsid w:val="008846AD"/>
    <w:rsid w:val="008846B3"/>
    <w:rsid w:val="0088470E"/>
    <w:rsid w:val="0088476B"/>
    <w:rsid w:val="00884803"/>
    <w:rsid w:val="00884851"/>
    <w:rsid w:val="008849E5"/>
    <w:rsid w:val="00884A23"/>
    <w:rsid w:val="00884A3F"/>
    <w:rsid w:val="00884AA6"/>
    <w:rsid w:val="00884AC4"/>
    <w:rsid w:val="00884B97"/>
    <w:rsid w:val="00884CDB"/>
    <w:rsid w:val="00884D20"/>
    <w:rsid w:val="00884D2B"/>
    <w:rsid w:val="00884D4D"/>
    <w:rsid w:val="00884EE2"/>
    <w:rsid w:val="00884EEF"/>
    <w:rsid w:val="00884F6B"/>
    <w:rsid w:val="00885062"/>
    <w:rsid w:val="0088508C"/>
    <w:rsid w:val="008850B0"/>
    <w:rsid w:val="008850EF"/>
    <w:rsid w:val="0088516A"/>
    <w:rsid w:val="008851FF"/>
    <w:rsid w:val="00885513"/>
    <w:rsid w:val="00885593"/>
    <w:rsid w:val="008855EE"/>
    <w:rsid w:val="008856A3"/>
    <w:rsid w:val="0088573E"/>
    <w:rsid w:val="00885753"/>
    <w:rsid w:val="008857CC"/>
    <w:rsid w:val="008858AC"/>
    <w:rsid w:val="00885914"/>
    <w:rsid w:val="00885A02"/>
    <w:rsid w:val="00885A23"/>
    <w:rsid w:val="00885B18"/>
    <w:rsid w:val="00885B54"/>
    <w:rsid w:val="00885B8D"/>
    <w:rsid w:val="00885BD0"/>
    <w:rsid w:val="00885BF5"/>
    <w:rsid w:val="00885D4E"/>
    <w:rsid w:val="00885DA1"/>
    <w:rsid w:val="00885EA9"/>
    <w:rsid w:val="00885EC9"/>
    <w:rsid w:val="00885EED"/>
    <w:rsid w:val="00885F9D"/>
    <w:rsid w:val="00886012"/>
    <w:rsid w:val="00886047"/>
    <w:rsid w:val="008860A0"/>
    <w:rsid w:val="00886193"/>
    <w:rsid w:val="0088622B"/>
    <w:rsid w:val="008862D3"/>
    <w:rsid w:val="0088631C"/>
    <w:rsid w:val="00886366"/>
    <w:rsid w:val="00886427"/>
    <w:rsid w:val="00886489"/>
    <w:rsid w:val="008864B7"/>
    <w:rsid w:val="00886594"/>
    <w:rsid w:val="0088659A"/>
    <w:rsid w:val="00886788"/>
    <w:rsid w:val="00886793"/>
    <w:rsid w:val="00886807"/>
    <w:rsid w:val="00886842"/>
    <w:rsid w:val="0088684E"/>
    <w:rsid w:val="0088686F"/>
    <w:rsid w:val="008868E9"/>
    <w:rsid w:val="00886908"/>
    <w:rsid w:val="0088699F"/>
    <w:rsid w:val="00886A27"/>
    <w:rsid w:val="00886A62"/>
    <w:rsid w:val="00886B0D"/>
    <w:rsid w:val="00886B41"/>
    <w:rsid w:val="00886BB3"/>
    <w:rsid w:val="00886CF6"/>
    <w:rsid w:val="00886D91"/>
    <w:rsid w:val="00886E64"/>
    <w:rsid w:val="00886F16"/>
    <w:rsid w:val="00886F1C"/>
    <w:rsid w:val="00886F2E"/>
    <w:rsid w:val="00886FFE"/>
    <w:rsid w:val="0088700B"/>
    <w:rsid w:val="00887068"/>
    <w:rsid w:val="0088717D"/>
    <w:rsid w:val="00887188"/>
    <w:rsid w:val="008871A3"/>
    <w:rsid w:val="008871B5"/>
    <w:rsid w:val="00887239"/>
    <w:rsid w:val="0088728D"/>
    <w:rsid w:val="00887345"/>
    <w:rsid w:val="0088736B"/>
    <w:rsid w:val="00887372"/>
    <w:rsid w:val="008873FB"/>
    <w:rsid w:val="00887439"/>
    <w:rsid w:val="0088748A"/>
    <w:rsid w:val="008874D0"/>
    <w:rsid w:val="008875BC"/>
    <w:rsid w:val="00887679"/>
    <w:rsid w:val="008876C8"/>
    <w:rsid w:val="0088782F"/>
    <w:rsid w:val="00887AC6"/>
    <w:rsid w:val="00887AE6"/>
    <w:rsid w:val="00887AFE"/>
    <w:rsid w:val="00887BD4"/>
    <w:rsid w:val="00887CAD"/>
    <w:rsid w:val="00887D09"/>
    <w:rsid w:val="00887D20"/>
    <w:rsid w:val="00887D8C"/>
    <w:rsid w:val="00887E11"/>
    <w:rsid w:val="00887E4F"/>
    <w:rsid w:val="00887E76"/>
    <w:rsid w:val="00887EA4"/>
    <w:rsid w:val="00887EBE"/>
    <w:rsid w:val="00887F4A"/>
    <w:rsid w:val="0089000F"/>
    <w:rsid w:val="00890292"/>
    <w:rsid w:val="008902D4"/>
    <w:rsid w:val="00890366"/>
    <w:rsid w:val="008903F9"/>
    <w:rsid w:val="008905FE"/>
    <w:rsid w:val="008906C5"/>
    <w:rsid w:val="0089078A"/>
    <w:rsid w:val="0089078C"/>
    <w:rsid w:val="00890836"/>
    <w:rsid w:val="008908F0"/>
    <w:rsid w:val="00890AC0"/>
    <w:rsid w:val="00890AFC"/>
    <w:rsid w:val="00890CA0"/>
    <w:rsid w:val="00890E16"/>
    <w:rsid w:val="00890F1B"/>
    <w:rsid w:val="00890F7E"/>
    <w:rsid w:val="00890FC9"/>
    <w:rsid w:val="00890FD6"/>
    <w:rsid w:val="00891008"/>
    <w:rsid w:val="008911EE"/>
    <w:rsid w:val="00891200"/>
    <w:rsid w:val="008912B9"/>
    <w:rsid w:val="008912C1"/>
    <w:rsid w:val="00891300"/>
    <w:rsid w:val="0089131A"/>
    <w:rsid w:val="00891374"/>
    <w:rsid w:val="00891575"/>
    <w:rsid w:val="00891673"/>
    <w:rsid w:val="008916AE"/>
    <w:rsid w:val="008916F8"/>
    <w:rsid w:val="00891702"/>
    <w:rsid w:val="00891956"/>
    <w:rsid w:val="00891974"/>
    <w:rsid w:val="008919BB"/>
    <w:rsid w:val="00891A8D"/>
    <w:rsid w:val="00891C3E"/>
    <w:rsid w:val="00891D5F"/>
    <w:rsid w:val="00891D89"/>
    <w:rsid w:val="00891E45"/>
    <w:rsid w:val="00891E88"/>
    <w:rsid w:val="00891ECF"/>
    <w:rsid w:val="00891F07"/>
    <w:rsid w:val="00891F86"/>
    <w:rsid w:val="0089202B"/>
    <w:rsid w:val="00892072"/>
    <w:rsid w:val="0089212C"/>
    <w:rsid w:val="00892191"/>
    <w:rsid w:val="008921B7"/>
    <w:rsid w:val="00892330"/>
    <w:rsid w:val="0089238B"/>
    <w:rsid w:val="008923EB"/>
    <w:rsid w:val="008924DC"/>
    <w:rsid w:val="008924E3"/>
    <w:rsid w:val="008925EA"/>
    <w:rsid w:val="00892708"/>
    <w:rsid w:val="00892914"/>
    <w:rsid w:val="008929E6"/>
    <w:rsid w:val="00892A9B"/>
    <w:rsid w:val="00892AC4"/>
    <w:rsid w:val="00892D0F"/>
    <w:rsid w:val="00892D58"/>
    <w:rsid w:val="00892D6A"/>
    <w:rsid w:val="00892D9E"/>
    <w:rsid w:val="00892F5B"/>
    <w:rsid w:val="00892FEF"/>
    <w:rsid w:val="0089311B"/>
    <w:rsid w:val="0089318B"/>
    <w:rsid w:val="0089332D"/>
    <w:rsid w:val="00893364"/>
    <w:rsid w:val="008933AF"/>
    <w:rsid w:val="008933B5"/>
    <w:rsid w:val="008933FC"/>
    <w:rsid w:val="008934B5"/>
    <w:rsid w:val="008934BD"/>
    <w:rsid w:val="008934CE"/>
    <w:rsid w:val="008934F4"/>
    <w:rsid w:val="008935A4"/>
    <w:rsid w:val="00893760"/>
    <w:rsid w:val="0089377B"/>
    <w:rsid w:val="008937FC"/>
    <w:rsid w:val="00893805"/>
    <w:rsid w:val="00893859"/>
    <w:rsid w:val="008938B0"/>
    <w:rsid w:val="0089395E"/>
    <w:rsid w:val="00893995"/>
    <w:rsid w:val="00893A76"/>
    <w:rsid w:val="00893BE2"/>
    <w:rsid w:val="00893C7D"/>
    <w:rsid w:val="00893CFF"/>
    <w:rsid w:val="00893D88"/>
    <w:rsid w:val="00893E23"/>
    <w:rsid w:val="00893F3B"/>
    <w:rsid w:val="00893FCD"/>
    <w:rsid w:val="008941EF"/>
    <w:rsid w:val="0089430E"/>
    <w:rsid w:val="00894423"/>
    <w:rsid w:val="00894546"/>
    <w:rsid w:val="0089473B"/>
    <w:rsid w:val="008947B2"/>
    <w:rsid w:val="008947DE"/>
    <w:rsid w:val="0089481D"/>
    <w:rsid w:val="00894946"/>
    <w:rsid w:val="00894B28"/>
    <w:rsid w:val="00894B85"/>
    <w:rsid w:val="00894B8F"/>
    <w:rsid w:val="00894E57"/>
    <w:rsid w:val="00894EA3"/>
    <w:rsid w:val="00894F06"/>
    <w:rsid w:val="00894F73"/>
    <w:rsid w:val="00894F7F"/>
    <w:rsid w:val="00894FA0"/>
    <w:rsid w:val="00894FC5"/>
    <w:rsid w:val="008950BE"/>
    <w:rsid w:val="0089521C"/>
    <w:rsid w:val="008952A5"/>
    <w:rsid w:val="008953C1"/>
    <w:rsid w:val="008953E9"/>
    <w:rsid w:val="00895420"/>
    <w:rsid w:val="00895445"/>
    <w:rsid w:val="00895448"/>
    <w:rsid w:val="008954F9"/>
    <w:rsid w:val="0089573A"/>
    <w:rsid w:val="00895788"/>
    <w:rsid w:val="008957E2"/>
    <w:rsid w:val="0089584A"/>
    <w:rsid w:val="00895A0C"/>
    <w:rsid w:val="00895B2B"/>
    <w:rsid w:val="00895B4C"/>
    <w:rsid w:val="00895C45"/>
    <w:rsid w:val="00895E3A"/>
    <w:rsid w:val="00895E7D"/>
    <w:rsid w:val="00895F10"/>
    <w:rsid w:val="00895F94"/>
    <w:rsid w:val="008960E9"/>
    <w:rsid w:val="008960FF"/>
    <w:rsid w:val="00896209"/>
    <w:rsid w:val="00896236"/>
    <w:rsid w:val="008962A7"/>
    <w:rsid w:val="008962D3"/>
    <w:rsid w:val="008962FC"/>
    <w:rsid w:val="00896337"/>
    <w:rsid w:val="0089656C"/>
    <w:rsid w:val="008967D4"/>
    <w:rsid w:val="008968B5"/>
    <w:rsid w:val="00896B8B"/>
    <w:rsid w:val="00896CC7"/>
    <w:rsid w:val="00896D5B"/>
    <w:rsid w:val="00896D6C"/>
    <w:rsid w:val="00896DCA"/>
    <w:rsid w:val="00896DF3"/>
    <w:rsid w:val="00896E19"/>
    <w:rsid w:val="00896FF5"/>
    <w:rsid w:val="0089713B"/>
    <w:rsid w:val="0089715F"/>
    <w:rsid w:val="0089727E"/>
    <w:rsid w:val="008972EA"/>
    <w:rsid w:val="00897314"/>
    <w:rsid w:val="008973CC"/>
    <w:rsid w:val="00897410"/>
    <w:rsid w:val="008974A2"/>
    <w:rsid w:val="008974DB"/>
    <w:rsid w:val="0089754E"/>
    <w:rsid w:val="0089760B"/>
    <w:rsid w:val="00897651"/>
    <w:rsid w:val="008976CD"/>
    <w:rsid w:val="008976D4"/>
    <w:rsid w:val="00897812"/>
    <w:rsid w:val="00897AB9"/>
    <w:rsid w:val="00897B23"/>
    <w:rsid w:val="00897CC4"/>
    <w:rsid w:val="00897CF0"/>
    <w:rsid w:val="00897DBB"/>
    <w:rsid w:val="00897EB2"/>
    <w:rsid w:val="00897ED0"/>
    <w:rsid w:val="00897F6A"/>
    <w:rsid w:val="008A0213"/>
    <w:rsid w:val="008A0405"/>
    <w:rsid w:val="008A04CB"/>
    <w:rsid w:val="008A055E"/>
    <w:rsid w:val="008A06CA"/>
    <w:rsid w:val="008A0703"/>
    <w:rsid w:val="008A079F"/>
    <w:rsid w:val="008A07CE"/>
    <w:rsid w:val="008A0883"/>
    <w:rsid w:val="008A08C9"/>
    <w:rsid w:val="008A08FB"/>
    <w:rsid w:val="008A0912"/>
    <w:rsid w:val="008A09E4"/>
    <w:rsid w:val="008A09FB"/>
    <w:rsid w:val="008A0B03"/>
    <w:rsid w:val="008A0B9D"/>
    <w:rsid w:val="008A0C1E"/>
    <w:rsid w:val="008A0C9E"/>
    <w:rsid w:val="008A0D20"/>
    <w:rsid w:val="008A0D54"/>
    <w:rsid w:val="008A0EA5"/>
    <w:rsid w:val="008A120C"/>
    <w:rsid w:val="008A13E9"/>
    <w:rsid w:val="008A1484"/>
    <w:rsid w:val="008A1531"/>
    <w:rsid w:val="008A157C"/>
    <w:rsid w:val="008A16AF"/>
    <w:rsid w:val="008A17E7"/>
    <w:rsid w:val="008A1834"/>
    <w:rsid w:val="008A1909"/>
    <w:rsid w:val="008A19C2"/>
    <w:rsid w:val="008A1AC6"/>
    <w:rsid w:val="008A1B0A"/>
    <w:rsid w:val="008A1CBC"/>
    <w:rsid w:val="008A1D46"/>
    <w:rsid w:val="008A1E29"/>
    <w:rsid w:val="008A1EFB"/>
    <w:rsid w:val="008A1F03"/>
    <w:rsid w:val="008A1F34"/>
    <w:rsid w:val="008A20BC"/>
    <w:rsid w:val="008A20C1"/>
    <w:rsid w:val="008A2422"/>
    <w:rsid w:val="008A248A"/>
    <w:rsid w:val="008A2533"/>
    <w:rsid w:val="008A259A"/>
    <w:rsid w:val="008A2644"/>
    <w:rsid w:val="008A27B4"/>
    <w:rsid w:val="008A280D"/>
    <w:rsid w:val="008A2948"/>
    <w:rsid w:val="008A29E5"/>
    <w:rsid w:val="008A2A26"/>
    <w:rsid w:val="008A2A72"/>
    <w:rsid w:val="008A2B0E"/>
    <w:rsid w:val="008A2B4E"/>
    <w:rsid w:val="008A2C76"/>
    <w:rsid w:val="008A2CA2"/>
    <w:rsid w:val="008A2CF7"/>
    <w:rsid w:val="008A2CFD"/>
    <w:rsid w:val="008A2DAD"/>
    <w:rsid w:val="008A2DCE"/>
    <w:rsid w:val="008A2DF3"/>
    <w:rsid w:val="008A2E2C"/>
    <w:rsid w:val="008A2E3E"/>
    <w:rsid w:val="008A2EE4"/>
    <w:rsid w:val="008A3076"/>
    <w:rsid w:val="008A30A1"/>
    <w:rsid w:val="008A30B2"/>
    <w:rsid w:val="008A30D0"/>
    <w:rsid w:val="008A317C"/>
    <w:rsid w:val="008A31D8"/>
    <w:rsid w:val="008A3249"/>
    <w:rsid w:val="008A32E9"/>
    <w:rsid w:val="008A3314"/>
    <w:rsid w:val="008A3378"/>
    <w:rsid w:val="008A3385"/>
    <w:rsid w:val="008A3446"/>
    <w:rsid w:val="008A35BE"/>
    <w:rsid w:val="008A35C4"/>
    <w:rsid w:val="008A35D4"/>
    <w:rsid w:val="008A364A"/>
    <w:rsid w:val="008A3717"/>
    <w:rsid w:val="008A375F"/>
    <w:rsid w:val="008A3905"/>
    <w:rsid w:val="008A3A15"/>
    <w:rsid w:val="008A3A64"/>
    <w:rsid w:val="008A3C2D"/>
    <w:rsid w:val="008A3CF8"/>
    <w:rsid w:val="008A3D26"/>
    <w:rsid w:val="008A3E78"/>
    <w:rsid w:val="008A3EFF"/>
    <w:rsid w:val="008A3F4B"/>
    <w:rsid w:val="008A3FE3"/>
    <w:rsid w:val="008A40AB"/>
    <w:rsid w:val="008A40C3"/>
    <w:rsid w:val="008A40FF"/>
    <w:rsid w:val="008A41FE"/>
    <w:rsid w:val="008A41FF"/>
    <w:rsid w:val="008A4438"/>
    <w:rsid w:val="008A46A4"/>
    <w:rsid w:val="008A47B7"/>
    <w:rsid w:val="008A4880"/>
    <w:rsid w:val="008A48A0"/>
    <w:rsid w:val="008A48C3"/>
    <w:rsid w:val="008A49D3"/>
    <w:rsid w:val="008A49E3"/>
    <w:rsid w:val="008A4AA6"/>
    <w:rsid w:val="008A4CDE"/>
    <w:rsid w:val="008A4D05"/>
    <w:rsid w:val="008A4D30"/>
    <w:rsid w:val="008A4D3F"/>
    <w:rsid w:val="008A4D4D"/>
    <w:rsid w:val="008A4DB0"/>
    <w:rsid w:val="008A5024"/>
    <w:rsid w:val="008A50B4"/>
    <w:rsid w:val="008A5115"/>
    <w:rsid w:val="008A52EB"/>
    <w:rsid w:val="008A5351"/>
    <w:rsid w:val="008A53E0"/>
    <w:rsid w:val="008A53E1"/>
    <w:rsid w:val="008A5494"/>
    <w:rsid w:val="008A5585"/>
    <w:rsid w:val="008A5626"/>
    <w:rsid w:val="008A5716"/>
    <w:rsid w:val="008A589F"/>
    <w:rsid w:val="008A58B9"/>
    <w:rsid w:val="008A5A4B"/>
    <w:rsid w:val="008A5ABD"/>
    <w:rsid w:val="008A5AF8"/>
    <w:rsid w:val="008A5B30"/>
    <w:rsid w:val="008A5B40"/>
    <w:rsid w:val="008A5B68"/>
    <w:rsid w:val="008A5B85"/>
    <w:rsid w:val="008A5C16"/>
    <w:rsid w:val="008A5CB3"/>
    <w:rsid w:val="008A5DC5"/>
    <w:rsid w:val="008A5E1F"/>
    <w:rsid w:val="008A5E94"/>
    <w:rsid w:val="008A5EBA"/>
    <w:rsid w:val="008A5EE9"/>
    <w:rsid w:val="008A5F2B"/>
    <w:rsid w:val="008A5F2E"/>
    <w:rsid w:val="008A5F62"/>
    <w:rsid w:val="008A5F99"/>
    <w:rsid w:val="008A606A"/>
    <w:rsid w:val="008A61B1"/>
    <w:rsid w:val="008A61D9"/>
    <w:rsid w:val="008A61FF"/>
    <w:rsid w:val="008A625C"/>
    <w:rsid w:val="008A62F4"/>
    <w:rsid w:val="008A649B"/>
    <w:rsid w:val="008A64DD"/>
    <w:rsid w:val="008A6577"/>
    <w:rsid w:val="008A66BF"/>
    <w:rsid w:val="008A66E2"/>
    <w:rsid w:val="008A688A"/>
    <w:rsid w:val="008A6897"/>
    <w:rsid w:val="008A69B9"/>
    <w:rsid w:val="008A69D1"/>
    <w:rsid w:val="008A6B1A"/>
    <w:rsid w:val="008A6B2F"/>
    <w:rsid w:val="008A6B51"/>
    <w:rsid w:val="008A6C51"/>
    <w:rsid w:val="008A6CB5"/>
    <w:rsid w:val="008A6CED"/>
    <w:rsid w:val="008A6D9B"/>
    <w:rsid w:val="008A6DC8"/>
    <w:rsid w:val="008A6E0D"/>
    <w:rsid w:val="008A7086"/>
    <w:rsid w:val="008A7140"/>
    <w:rsid w:val="008A716D"/>
    <w:rsid w:val="008A7170"/>
    <w:rsid w:val="008A71A2"/>
    <w:rsid w:val="008A7207"/>
    <w:rsid w:val="008A727D"/>
    <w:rsid w:val="008A72CF"/>
    <w:rsid w:val="008A75CF"/>
    <w:rsid w:val="008A7610"/>
    <w:rsid w:val="008A7769"/>
    <w:rsid w:val="008A7799"/>
    <w:rsid w:val="008A7888"/>
    <w:rsid w:val="008A78AE"/>
    <w:rsid w:val="008A79A5"/>
    <w:rsid w:val="008A79C0"/>
    <w:rsid w:val="008A79C4"/>
    <w:rsid w:val="008A7A50"/>
    <w:rsid w:val="008A7A7A"/>
    <w:rsid w:val="008A7CE0"/>
    <w:rsid w:val="008A7CE1"/>
    <w:rsid w:val="008A7E09"/>
    <w:rsid w:val="008A7F5E"/>
    <w:rsid w:val="008B00DF"/>
    <w:rsid w:val="008B02FF"/>
    <w:rsid w:val="008B0390"/>
    <w:rsid w:val="008B04B7"/>
    <w:rsid w:val="008B060E"/>
    <w:rsid w:val="008B06BE"/>
    <w:rsid w:val="008B0771"/>
    <w:rsid w:val="008B0830"/>
    <w:rsid w:val="008B08C7"/>
    <w:rsid w:val="008B0909"/>
    <w:rsid w:val="008B0990"/>
    <w:rsid w:val="008B0995"/>
    <w:rsid w:val="008B09E2"/>
    <w:rsid w:val="008B0A64"/>
    <w:rsid w:val="008B0A83"/>
    <w:rsid w:val="008B0AA7"/>
    <w:rsid w:val="008B0B0F"/>
    <w:rsid w:val="008B0DAF"/>
    <w:rsid w:val="008B0DCB"/>
    <w:rsid w:val="008B0EFC"/>
    <w:rsid w:val="008B0F50"/>
    <w:rsid w:val="008B0F67"/>
    <w:rsid w:val="008B1098"/>
    <w:rsid w:val="008B10A3"/>
    <w:rsid w:val="008B10AA"/>
    <w:rsid w:val="008B10FA"/>
    <w:rsid w:val="008B10FF"/>
    <w:rsid w:val="008B1171"/>
    <w:rsid w:val="008B11A3"/>
    <w:rsid w:val="008B12EE"/>
    <w:rsid w:val="008B137F"/>
    <w:rsid w:val="008B1399"/>
    <w:rsid w:val="008B167A"/>
    <w:rsid w:val="008B186B"/>
    <w:rsid w:val="008B1920"/>
    <w:rsid w:val="008B19FA"/>
    <w:rsid w:val="008B1A40"/>
    <w:rsid w:val="008B1A72"/>
    <w:rsid w:val="008B1AC7"/>
    <w:rsid w:val="008B1BB3"/>
    <w:rsid w:val="008B1BC7"/>
    <w:rsid w:val="008B1BEB"/>
    <w:rsid w:val="008B1CC0"/>
    <w:rsid w:val="008B1D22"/>
    <w:rsid w:val="008B1E8B"/>
    <w:rsid w:val="008B1EC7"/>
    <w:rsid w:val="008B1F13"/>
    <w:rsid w:val="008B1F64"/>
    <w:rsid w:val="008B1FD8"/>
    <w:rsid w:val="008B201A"/>
    <w:rsid w:val="008B228E"/>
    <w:rsid w:val="008B236E"/>
    <w:rsid w:val="008B24A7"/>
    <w:rsid w:val="008B24BD"/>
    <w:rsid w:val="008B24F8"/>
    <w:rsid w:val="008B2505"/>
    <w:rsid w:val="008B2586"/>
    <w:rsid w:val="008B2628"/>
    <w:rsid w:val="008B2679"/>
    <w:rsid w:val="008B26C8"/>
    <w:rsid w:val="008B2B16"/>
    <w:rsid w:val="008B2B73"/>
    <w:rsid w:val="008B2BC0"/>
    <w:rsid w:val="008B2BCA"/>
    <w:rsid w:val="008B2C58"/>
    <w:rsid w:val="008B2CCA"/>
    <w:rsid w:val="008B2CED"/>
    <w:rsid w:val="008B2D90"/>
    <w:rsid w:val="008B2E94"/>
    <w:rsid w:val="008B2EB0"/>
    <w:rsid w:val="008B2F5A"/>
    <w:rsid w:val="008B2FDE"/>
    <w:rsid w:val="008B31B5"/>
    <w:rsid w:val="008B323A"/>
    <w:rsid w:val="008B326F"/>
    <w:rsid w:val="008B3487"/>
    <w:rsid w:val="008B348A"/>
    <w:rsid w:val="008B34A9"/>
    <w:rsid w:val="008B34DF"/>
    <w:rsid w:val="008B353D"/>
    <w:rsid w:val="008B35BB"/>
    <w:rsid w:val="008B364B"/>
    <w:rsid w:val="008B3746"/>
    <w:rsid w:val="008B374D"/>
    <w:rsid w:val="008B3877"/>
    <w:rsid w:val="008B39DA"/>
    <w:rsid w:val="008B3B9B"/>
    <w:rsid w:val="008B3BD7"/>
    <w:rsid w:val="008B3C03"/>
    <w:rsid w:val="008B3C3F"/>
    <w:rsid w:val="008B3D2D"/>
    <w:rsid w:val="008B3D67"/>
    <w:rsid w:val="008B3DF1"/>
    <w:rsid w:val="008B3ECB"/>
    <w:rsid w:val="008B3F42"/>
    <w:rsid w:val="008B3FA7"/>
    <w:rsid w:val="008B3FFE"/>
    <w:rsid w:val="008B4003"/>
    <w:rsid w:val="008B402C"/>
    <w:rsid w:val="008B4030"/>
    <w:rsid w:val="008B4035"/>
    <w:rsid w:val="008B40B0"/>
    <w:rsid w:val="008B41BC"/>
    <w:rsid w:val="008B4268"/>
    <w:rsid w:val="008B4295"/>
    <w:rsid w:val="008B430D"/>
    <w:rsid w:val="008B43C9"/>
    <w:rsid w:val="008B446B"/>
    <w:rsid w:val="008B44C3"/>
    <w:rsid w:val="008B4518"/>
    <w:rsid w:val="008B459C"/>
    <w:rsid w:val="008B459F"/>
    <w:rsid w:val="008B46D8"/>
    <w:rsid w:val="008B46DB"/>
    <w:rsid w:val="008B4837"/>
    <w:rsid w:val="008B4851"/>
    <w:rsid w:val="008B48E1"/>
    <w:rsid w:val="008B4960"/>
    <w:rsid w:val="008B4A0F"/>
    <w:rsid w:val="008B4A4D"/>
    <w:rsid w:val="008B4A5C"/>
    <w:rsid w:val="008B4C3B"/>
    <w:rsid w:val="008B4CDF"/>
    <w:rsid w:val="008B4D40"/>
    <w:rsid w:val="008B4E45"/>
    <w:rsid w:val="008B4E70"/>
    <w:rsid w:val="008B4F0F"/>
    <w:rsid w:val="008B502D"/>
    <w:rsid w:val="008B5089"/>
    <w:rsid w:val="008B509E"/>
    <w:rsid w:val="008B5105"/>
    <w:rsid w:val="008B52CD"/>
    <w:rsid w:val="008B55C8"/>
    <w:rsid w:val="008B56D4"/>
    <w:rsid w:val="008B57A2"/>
    <w:rsid w:val="008B57EB"/>
    <w:rsid w:val="008B57EF"/>
    <w:rsid w:val="008B5887"/>
    <w:rsid w:val="008B597C"/>
    <w:rsid w:val="008B5A42"/>
    <w:rsid w:val="008B5A50"/>
    <w:rsid w:val="008B5BD8"/>
    <w:rsid w:val="008B5BDB"/>
    <w:rsid w:val="008B5F43"/>
    <w:rsid w:val="008B5FDA"/>
    <w:rsid w:val="008B6083"/>
    <w:rsid w:val="008B60BB"/>
    <w:rsid w:val="008B6145"/>
    <w:rsid w:val="008B61C8"/>
    <w:rsid w:val="008B61FC"/>
    <w:rsid w:val="008B6267"/>
    <w:rsid w:val="008B6298"/>
    <w:rsid w:val="008B62DF"/>
    <w:rsid w:val="008B62EC"/>
    <w:rsid w:val="008B6340"/>
    <w:rsid w:val="008B63AC"/>
    <w:rsid w:val="008B6435"/>
    <w:rsid w:val="008B64D0"/>
    <w:rsid w:val="008B6500"/>
    <w:rsid w:val="008B65B3"/>
    <w:rsid w:val="008B6600"/>
    <w:rsid w:val="008B673A"/>
    <w:rsid w:val="008B6744"/>
    <w:rsid w:val="008B676A"/>
    <w:rsid w:val="008B69F6"/>
    <w:rsid w:val="008B6C01"/>
    <w:rsid w:val="008B6D72"/>
    <w:rsid w:val="008B6DC2"/>
    <w:rsid w:val="008B6E06"/>
    <w:rsid w:val="008B6E1C"/>
    <w:rsid w:val="008B6E92"/>
    <w:rsid w:val="008B6F73"/>
    <w:rsid w:val="008B703F"/>
    <w:rsid w:val="008B70AE"/>
    <w:rsid w:val="008B70D9"/>
    <w:rsid w:val="008B714D"/>
    <w:rsid w:val="008B7184"/>
    <w:rsid w:val="008B71C9"/>
    <w:rsid w:val="008B71DD"/>
    <w:rsid w:val="008B71EC"/>
    <w:rsid w:val="008B74F8"/>
    <w:rsid w:val="008B7623"/>
    <w:rsid w:val="008B7657"/>
    <w:rsid w:val="008B7699"/>
    <w:rsid w:val="008B7726"/>
    <w:rsid w:val="008B78B9"/>
    <w:rsid w:val="008B79E2"/>
    <w:rsid w:val="008B7B09"/>
    <w:rsid w:val="008B7B96"/>
    <w:rsid w:val="008B7D13"/>
    <w:rsid w:val="008B7E31"/>
    <w:rsid w:val="008B7E34"/>
    <w:rsid w:val="008B7EF0"/>
    <w:rsid w:val="008B7F13"/>
    <w:rsid w:val="008B7F2A"/>
    <w:rsid w:val="008B8276"/>
    <w:rsid w:val="008C0093"/>
    <w:rsid w:val="008C00CC"/>
    <w:rsid w:val="008C0244"/>
    <w:rsid w:val="008C02E0"/>
    <w:rsid w:val="008C048E"/>
    <w:rsid w:val="008C0621"/>
    <w:rsid w:val="008C0732"/>
    <w:rsid w:val="008C0801"/>
    <w:rsid w:val="008C0807"/>
    <w:rsid w:val="008C0847"/>
    <w:rsid w:val="008C0872"/>
    <w:rsid w:val="008C08BE"/>
    <w:rsid w:val="008C08C9"/>
    <w:rsid w:val="008C08D0"/>
    <w:rsid w:val="008C0905"/>
    <w:rsid w:val="008C0907"/>
    <w:rsid w:val="008C097C"/>
    <w:rsid w:val="008C0B0D"/>
    <w:rsid w:val="008C0B53"/>
    <w:rsid w:val="008C0C0A"/>
    <w:rsid w:val="008C0CD6"/>
    <w:rsid w:val="008C0D1F"/>
    <w:rsid w:val="008C0D40"/>
    <w:rsid w:val="008C0D44"/>
    <w:rsid w:val="008C0DC2"/>
    <w:rsid w:val="008C0DDE"/>
    <w:rsid w:val="008C0E64"/>
    <w:rsid w:val="008C0E78"/>
    <w:rsid w:val="008C0F01"/>
    <w:rsid w:val="008C0F80"/>
    <w:rsid w:val="008C1013"/>
    <w:rsid w:val="008C1081"/>
    <w:rsid w:val="008C1353"/>
    <w:rsid w:val="008C141B"/>
    <w:rsid w:val="008C147D"/>
    <w:rsid w:val="008C1597"/>
    <w:rsid w:val="008C16CE"/>
    <w:rsid w:val="008C16EA"/>
    <w:rsid w:val="008C1741"/>
    <w:rsid w:val="008C1850"/>
    <w:rsid w:val="008C1A71"/>
    <w:rsid w:val="008C1ADC"/>
    <w:rsid w:val="008C1BAC"/>
    <w:rsid w:val="008C1BC2"/>
    <w:rsid w:val="008C1CC6"/>
    <w:rsid w:val="008C1EE0"/>
    <w:rsid w:val="008C1F3B"/>
    <w:rsid w:val="008C1F5D"/>
    <w:rsid w:val="008C2035"/>
    <w:rsid w:val="008C212F"/>
    <w:rsid w:val="008C2198"/>
    <w:rsid w:val="008C21E2"/>
    <w:rsid w:val="008C21F3"/>
    <w:rsid w:val="008C22B8"/>
    <w:rsid w:val="008C231C"/>
    <w:rsid w:val="008C2374"/>
    <w:rsid w:val="008C2397"/>
    <w:rsid w:val="008C23E5"/>
    <w:rsid w:val="008C2440"/>
    <w:rsid w:val="008C2550"/>
    <w:rsid w:val="008C259B"/>
    <w:rsid w:val="008C25C8"/>
    <w:rsid w:val="008C25E9"/>
    <w:rsid w:val="008C2960"/>
    <w:rsid w:val="008C2B74"/>
    <w:rsid w:val="008C2CDE"/>
    <w:rsid w:val="008C31E9"/>
    <w:rsid w:val="008C3260"/>
    <w:rsid w:val="008C3487"/>
    <w:rsid w:val="008C35C4"/>
    <w:rsid w:val="008C35CE"/>
    <w:rsid w:val="008C35FF"/>
    <w:rsid w:val="008C3760"/>
    <w:rsid w:val="008C37A2"/>
    <w:rsid w:val="008C37C9"/>
    <w:rsid w:val="008C37E7"/>
    <w:rsid w:val="008C38F7"/>
    <w:rsid w:val="008C3931"/>
    <w:rsid w:val="008C393C"/>
    <w:rsid w:val="008C3A07"/>
    <w:rsid w:val="008C3A4E"/>
    <w:rsid w:val="008C3AFC"/>
    <w:rsid w:val="008C3AFD"/>
    <w:rsid w:val="008C3B25"/>
    <w:rsid w:val="008C3B4B"/>
    <w:rsid w:val="008C3BBE"/>
    <w:rsid w:val="008C3BE0"/>
    <w:rsid w:val="008C3CFF"/>
    <w:rsid w:val="008C3D9B"/>
    <w:rsid w:val="008C3DB7"/>
    <w:rsid w:val="008C3EAD"/>
    <w:rsid w:val="008C3F3E"/>
    <w:rsid w:val="008C3F6D"/>
    <w:rsid w:val="008C3FE9"/>
    <w:rsid w:val="008C422C"/>
    <w:rsid w:val="008C4250"/>
    <w:rsid w:val="008C4268"/>
    <w:rsid w:val="008C4546"/>
    <w:rsid w:val="008C4547"/>
    <w:rsid w:val="008C45E6"/>
    <w:rsid w:val="008C46AE"/>
    <w:rsid w:val="008C46E2"/>
    <w:rsid w:val="008C4734"/>
    <w:rsid w:val="008C497B"/>
    <w:rsid w:val="008C49A8"/>
    <w:rsid w:val="008C49C0"/>
    <w:rsid w:val="008C4A41"/>
    <w:rsid w:val="008C4AB3"/>
    <w:rsid w:val="008C4C53"/>
    <w:rsid w:val="008C4C5E"/>
    <w:rsid w:val="008C4C6D"/>
    <w:rsid w:val="008C4D2D"/>
    <w:rsid w:val="008C4EC9"/>
    <w:rsid w:val="008C5109"/>
    <w:rsid w:val="008C517D"/>
    <w:rsid w:val="008C5265"/>
    <w:rsid w:val="008C5283"/>
    <w:rsid w:val="008C5288"/>
    <w:rsid w:val="008C53CE"/>
    <w:rsid w:val="008C5484"/>
    <w:rsid w:val="008C54D5"/>
    <w:rsid w:val="008C56A8"/>
    <w:rsid w:val="008C5726"/>
    <w:rsid w:val="008C57CE"/>
    <w:rsid w:val="008C581A"/>
    <w:rsid w:val="008C58AA"/>
    <w:rsid w:val="008C5989"/>
    <w:rsid w:val="008C5992"/>
    <w:rsid w:val="008C59BB"/>
    <w:rsid w:val="008C5A0D"/>
    <w:rsid w:val="008C5A2E"/>
    <w:rsid w:val="008C5A6E"/>
    <w:rsid w:val="008C5AC6"/>
    <w:rsid w:val="008C5C24"/>
    <w:rsid w:val="008C5C39"/>
    <w:rsid w:val="008C5D35"/>
    <w:rsid w:val="008C5D92"/>
    <w:rsid w:val="008C5E14"/>
    <w:rsid w:val="008C5EC7"/>
    <w:rsid w:val="008C5FEE"/>
    <w:rsid w:val="008C603F"/>
    <w:rsid w:val="008C6062"/>
    <w:rsid w:val="008C6080"/>
    <w:rsid w:val="008C6109"/>
    <w:rsid w:val="008C629B"/>
    <w:rsid w:val="008C62D1"/>
    <w:rsid w:val="008C6366"/>
    <w:rsid w:val="008C63B0"/>
    <w:rsid w:val="008C643E"/>
    <w:rsid w:val="008C655B"/>
    <w:rsid w:val="008C663B"/>
    <w:rsid w:val="008C6799"/>
    <w:rsid w:val="008C67F1"/>
    <w:rsid w:val="008C6837"/>
    <w:rsid w:val="008C688D"/>
    <w:rsid w:val="008C6990"/>
    <w:rsid w:val="008C6A63"/>
    <w:rsid w:val="008C6C5B"/>
    <w:rsid w:val="008C6C62"/>
    <w:rsid w:val="008C6CE2"/>
    <w:rsid w:val="008C6D7F"/>
    <w:rsid w:val="008C6DB2"/>
    <w:rsid w:val="008C6E8B"/>
    <w:rsid w:val="008C6EA5"/>
    <w:rsid w:val="008C7001"/>
    <w:rsid w:val="008C709B"/>
    <w:rsid w:val="008C7149"/>
    <w:rsid w:val="008C718A"/>
    <w:rsid w:val="008C71F8"/>
    <w:rsid w:val="008C7320"/>
    <w:rsid w:val="008C73B8"/>
    <w:rsid w:val="008C73C9"/>
    <w:rsid w:val="008C7440"/>
    <w:rsid w:val="008C7490"/>
    <w:rsid w:val="008C74BB"/>
    <w:rsid w:val="008C74BD"/>
    <w:rsid w:val="008C7547"/>
    <w:rsid w:val="008C757C"/>
    <w:rsid w:val="008C75B3"/>
    <w:rsid w:val="008C767B"/>
    <w:rsid w:val="008C76F0"/>
    <w:rsid w:val="008C771F"/>
    <w:rsid w:val="008C7741"/>
    <w:rsid w:val="008C7772"/>
    <w:rsid w:val="008C7891"/>
    <w:rsid w:val="008C79B5"/>
    <w:rsid w:val="008C7A2B"/>
    <w:rsid w:val="008C7B7E"/>
    <w:rsid w:val="008C7CAA"/>
    <w:rsid w:val="008C7E3D"/>
    <w:rsid w:val="008C7F97"/>
    <w:rsid w:val="008C8B0A"/>
    <w:rsid w:val="008D009C"/>
    <w:rsid w:val="008D0197"/>
    <w:rsid w:val="008D027F"/>
    <w:rsid w:val="008D02A3"/>
    <w:rsid w:val="008D030C"/>
    <w:rsid w:val="008D0389"/>
    <w:rsid w:val="008D0493"/>
    <w:rsid w:val="008D04BE"/>
    <w:rsid w:val="008D053C"/>
    <w:rsid w:val="008D0574"/>
    <w:rsid w:val="008D057E"/>
    <w:rsid w:val="008D058C"/>
    <w:rsid w:val="008D06F4"/>
    <w:rsid w:val="008D077D"/>
    <w:rsid w:val="008D0782"/>
    <w:rsid w:val="008D082D"/>
    <w:rsid w:val="008D0830"/>
    <w:rsid w:val="008D09D5"/>
    <w:rsid w:val="008D09E5"/>
    <w:rsid w:val="008D0A20"/>
    <w:rsid w:val="008D0A4C"/>
    <w:rsid w:val="008D0B02"/>
    <w:rsid w:val="008D0BCB"/>
    <w:rsid w:val="008D0C16"/>
    <w:rsid w:val="008D0C81"/>
    <w:rsid w:val="008D0CC4"/>
    <w:rsid w:val="008D0D4E"/>
    <w:rsid w:val="008D0D50"/>
    <w:rsid w:val="008D0EAB"/>
    <w:rsid w:val="008D0EC9"/>
    <w:rsid w:val="008D0F65"/>
    <w:rsid w:val="008D1255"/>
    <w:rsid w:val="008D12D9"/>
    <w:rsid w:val="008D1353"/>
    <w:rsid w:val="008D1472"/>
    <w:rsid w:val="008D16CE"/>
    <w:rsid w:val="008D172B"/>
    <w:rsid w:val="008D1814"/>
    <w:rsid w:val="008D18A6"/>
    <w:rsid w:val="008D19BB"/>
    <w:rsid w:val="008D1A29"/>
    <w:rsid w:val="008D1BD3"/>
    <w:rsid w:val="008D1C0C"/>
    <w:rsid w:val="008D2060"/>
    <w:rsid w:val="008D2071"/>
    <w:rsid w:val="008D2259"/>
    <w:rsid w:val="008D225C"/>
    <w:rsid w:val="008D2348"/>
    <w:rsid w:val="008D23EF"/>
    <w:rsid w:val="008D246E"/>
    <w:rsid w:val="008D2560"/>
    <w:rsid w:val="008D26A8"/>
    <w:rsid w:val="008D26AC"/>
    <w:rsid w:val="008D27DE"/>
    <w:rsid w:val="008D28C6"/>
    <w:rsid w:val="008D292D"/>
    <w:rsid w:val="008D2A0F"/>
    <w:rsid w:val="008D2B04"/>
    <w:rsid w:val="008D2BEC"/>
    <w:rsid w:val="008D2BF3"/>
    <w:rsid w:val="008D2C2E"/>
    <w:rsid w:val="008D2CAA"/>
    <w:rsid w:val="008D2CD8"/>
    <w:rsid w:val="008D2DF3"/>
    <w:rsid w:val="008D2F1A"/>
    <w:rsid w:val="008D3030"/>
    <w:rsid w:val="008D30DA"/>
    <w:rsid w:val="008D311D"/>
    <w:rsid w:val="008D322C"/>
    <w:rsid w:val="008D325D"/>
    <w:rsid w:val="008D3374"/>
    <w:rsid w:val="008D347C"/>
    <w:rsid w:val="008D3573"/>
    <w:rsid w:val="008D35D2"/>
    <w:rsid w:val="008D370C"/>
    <w:rsid w:val="008D370E"/>
    <w:rsid w:val="008D3750"/>
    <w:rsid w:val="008D37C0"/>
    <w:rsid w:val="008D3964"/>
    <w:rsid w:val="008D3A16"/>
    <w:rsid w:val="008D3AAE"/>
    <w:rsid w:val="008D3B9E"/>
    <w:rsid w:val="008D3C89"/>
    <w:rsid w:val="008D3D0C"/>
    <w:rsid w:val="008D3D16"/>
    <w:rsid w:val="008D3E01"/>
    <w:rsid w:val="008D3E15"/>
    <w:rsid w:val="008D3ED6"/>
    <w:rsid w:val="008D3FDA"/>
    <w:rsid w:val="008D4041"/>
    <w:rsid w:val="008D405A"/>
    <w:rsid w:val="008D4181"/>
    <w:rsid w:val="008D4225"/>
    <w:rsid w:val="008D4253"/>
    <w:rsid w:val="008D435A"/>
    <w:rsid w:val="008D44A2"/>
    <w:rsid w:val="008D44F2"/>
    <w:rsid w:val="008D46FA"/>
    <w:rsid w:val="008D473D"/>
    <w:rsid w:val="008D476E"/>
    <w:rsid w:val="008D478E"/>
    <w:rsid w:val="008D4881"/>
    <w:rsid w:val="008D48AF"/>
    <w:rsid w:val="008D496F"/>
    <w:rsid w:val="008D49B7"/>
    <w:rsid w:val="008D49F7"/>
    <w:rsid w:val="008D4BCA"/>
    <w:rsid w:val="008D4BEC"/>
    <w:rsid w:val="008D4BF2"/>
    <w:rsid w:val="008D4C1C"/>
    <w:rsid w:val="008D4D67"/>
    <w:rsid w:val="008D4D8B"/>
    <w:rsid w:val="008D4E44"/>
    <w:rsid w:val="008D4E4F"/>
    <w:rsid w:val="008D4E5A"/>
    <w:rsid w:val="008D4FE6"/>
    <w:rsid w:val="008D50C3"/>
    <w:rsid w:val="008D513A"/>
    <w:rsid w:val="008D51EA"/>
    <w:rsid w:val="008D51F0"/>
    <w:rsid w:val="008D51F4"/>
    <w:rsid w:val="008D525D"/>
    <w:rsid w:val="008D52DF"/>
    <w:rsid w:val="008D53A2"/>
    <w:rsid w:val="008D53F8"/>
    <w:rsid w:val="008D5440"/>
    <w:rsid w:val="008D546E"/>
    <w:rsid w:val="008D54AA"/>
    <w:rsid w:val="008D54B6"/>
    <w:rsid w:val="008D54F0"/>
    <w:rsid w:val="008D5518"/>
    <w:rsid w:val="008D553E"/>
    <w:rsid w:val="008D556E"/>
    <w:rsid w:val="008D5574"/>
    <w:rsid w:val="008D568A"/>
    <w:rsid w:val="008D56B3"/>
    <w:rsid w:val="008D57B1"/>
    <w:rsid w:val="008D5828"/>
    <w:rsid w:val="008D5881"/>
    <w:rsid w:val="008D58D4"/>
    <w:rsid w:val="008D5912"/>
    <w:rsid w:val="008D5923"/>
    <w:rsid w:val="008D5935"/>
    <w:rsid w:val="008D595A"/>
    <w:rsid w:val="008D5A3C"/>
    <w:rsid w:val="008D5ABB"/>
    <w:rsid w:val="008D5AD2"/>
    <w:rsid w:val="008D5B2F"/>
    <w:rsid w:val="008D5BB1"/>
    <w:rsid w:val="008D5BE8"/>
    <w:rsid w:val="008D5C2F"/>
    <w:rsid w:val="008D5CD8"/>
    <w:rsid w:val="008D5CDC"/>
    <w:rsid w:val="008D5D90"/>
    <w:rsid w:val="008D5E2E"/>
    <w:rsid w:val="008D5EAD"/>
    <w:rsid w:val="008D5F01"/>
    <w:rsid w:val="008D5F64"/>
    <w:rsid w:val="008D5F74"/>
    <w:rsid w:val="008D604C"/>
    <w:rsid w:val="008D6074"/>
    <w:rsid w:val="008D609F"/>
    <w:rsid w:val="008D625E"/>
    <w:rsid w:val="008D62EB"/>
    <w:rsid w:val="008D6372"/>
    <w:rsid w:val="008D64DF"/>
    <w:rsid w:val="008D6597"/>
    <w:rsid w:val="008D65AC"/>
    <w:rsid w:val="008D664D"/>
    <w:rsid w:val="008D6668"/>
    <w:rsid w:val="008D668B"/>
    <w:rsid w:val="008D66CB"/>
    <w:rsid w:val="008D67FE"/>
    <w:rsid w:val="008D6833"/>
    <w:rsid w:val="008D683E"/>
    <w:rsid w:val="008D6842"/>
    <w:rsid w:val="008D6899"/>
    <w:rsid w:val="008D69BC"/>
    <w:rsid w:val="008D69C6"/>
    <w:rsid w:val="008D69DD"/>
    <w:rsid w:val="008D6A09"/>
    <w:rsid w:val="008D6AA9"/>
    <w:rsid w:val="008D6AD4"/>
    <w:rsid w:val="008D6AE0"/>
    <w:rsid w:val="008D6B3E"/>
    <w:rsid w:val="008D6B5F"/>
    <w:rsid w:val="008D6BBC"/>
    <w:rsid w:val="008D6C79"/>
    <w:rsid w:val="008D6C86"/>
    <w:rsid w:val="008D6CB8"/>
    <w:rsid w:val="008D6D60"/>
    <w:rsid w:val="008D6DDC"/>
    <w:rsid w:val="008D6E18"/>
    <w:rsid w:val="008D6F2A"/>
    <w:rsid w:val="008D7085"/>
    <w:rsid w:val="008D70BC"/>
    <w:rsid w:val="008D710A"/>
    <w:rsid w:val="008D715B"/>
    <w:rsid w:val="008D7263"/>
    <w:rsid w:val="008D73EA"/>
    <w:rsid w:val="008D760E"/>
    <w:rsid w:val="008D76A1"/>
    <w:rsid w:val="008D76CC"/>
    <w:rsid w:val="008D77F4"/>
    <w:rsid w:val="008D7837"/>
    <w:rsid w:val="008D786E"/>
    <w:rsid w:val="008D788C"/>
    <w:rsid w:val="008D79DF"/>
    <w:rsid w:val="008D7A6E"/>
    <w:rsid w:val="008D7B07"/>
    <w:rsid w:val="008D7BC8"/>
    <w:rsid w:val="008D7C6F"/>
    <w:rsid w:val="008D7D2B"/>
    <w:rsid w:val="008D7DE5"/>
    <w:rsid w:val="008D7F21"/>
    <w:rsid w:val="008D7FA9"/>
    <w:rsid w:val="008E0088"/>
    <w:rsid w:val="008E010F"/>
    <w:rsid w:val="008E0165"/>
    <w:rsid w:val="008E01F2"/>
    <w:rsid w:val="008E022F"/>
    <w:rsid w:val="008E02B5"/>
    <w:rsid w:val="008E0327"/>
    <w:rsid w:val="008E03B7"/>
    <w:rsid w:val="008E03BB"/>
    <w:rsid w:val="008E04DA"/>
    <w:rsid w:val="008E0536"/>
    <w:rsid w:val="008E05E3"/>
    <w:rsid w:val="008E05ED"/>
    <w:rsid w:val="008E05FC"/>
    <w:rsid w:val="008E0909"/>
    <w:rsid w:val="008E0919"/>
    <w:rsid w:val="008E09CC"/>
    <w:rsid w:val="008E09EB"/>
    <w:rsid w:val="008E0A59"/>
    <w:rsid w:val="008E0B67"/>
    <w:rsid w:val="008E0BA6"/>
    <w:rsid w:val="008E0E94"/>
    <w:rsid w:val="008E0EE8"/>
    <w:rsid w:val="008E0F8A"/>
    <w:rsid w:val="008E1005"/>
    <w:rsid w:val="008E1085"/>
    <w:rsid w:val="008E11D5"/>
    <w:rsid w:val="008E122F"/>
    <w:rsid w:val="008E123B"/>
    <w:rsid w:val="008E1400"/>
    <w:rsid w:val="008E1442"/>
    <w:rsid w:val="008E14CB"/>
    <w:rsid w:val="008E15C1"/>
    <w:rsid w:val="008E1637"/>
    <w:rsid w:val="008E16AD"/>
    <w:rsid w:val="008E1711"/>
    <w:rsid w:val="008E1726"/>
    <w:rsid w:val="008E176E"/>
    <w:rsid w:val="008E177A"/>
    <w:rsid w:val="008E1784"/>
    <w:rsid w:val="008E179B"/>
    <w:rsid w:val="008E17AA"/>
    <w:rsid w:val="008E1807"/>
    <w:rsid w:val="008E1820"/>
    <w:rsid w:val="008E18F2"/>
    <w:rsid w:val="008E1AB4"/>
    <w:rsid w:val="008E1BC3"/>
    <w:rsid w:val="008E1BF2"/>
    <w:rsid w:val="008E1D06"/>
    <w:rsid w:val="008E1D38"/>
    <w:rsid w:val="008E1D66"/>
    <w:rsid w:val="008E1DBA"/>
    <w:rsid w:val="008E1FC7"/>
    <w:rsid w:val="008E2018"/>
    <w:rsid w:val="008E2045"/>
    <w:rsid w:val="008E20BF"/>
    <w:rsid w:val="008E21AF"/>
    <w:rsid w:val="008E22AF"/>
    <w:rsid w:val="008E23D8"/>
    <w:rsid w:val="008E2500"/>
    <w:rsid w:val="008E2608"/>
    <w:rsid w:val="008E2647"/>
    <w:rsid w:val="008E2767"/>
    <w:rsid w:val="008E27C1"/>
    <w:rsid w:val="008E28BE"/>
    <w:rsid w:val="008E296D"/>
    <w:rsid w:val="008E2A18"/>
    <w:rsid w:val="008E2AD4"/>
    <w:rsid w:val="008E2B34"/>
    <w:rsid w:val="008E2B51"/>
    <w:rsid w:val="008E2D44"/>
    <w:rsid w:val="008E2D5C"/>
    <w:rsid w:val="008E2DE5"/>
    <w:rsid w:val="008E2F85"/>
    <w:rsid w:val="008E2FB2"/>
    <w:rsid w:val="008E301C"/>
    <w:rsid w:val="008E30D2"/>
    <w:rsid w:val="008E311A"/>
    <w:rsid w:val="008E320B"/>
    <w:rsid w:val="008E3244"/>
    <w:rsid w:val="008E32C5"/>
    <w:rsid w:val="008E32DE"/>
    <w:rsid w:val="008E342D"/>
    <w:rsid w:val="008E3478"/>
    <w:rsid w:val="008E34A2"/>
    <w:rsid w:val="008E34AA"/>
    <w:rsid w:val="008E3541"/>
    <w:rsid w:val="008E3542"/>
    <w:rsid w:val="008E355F"/>
    <w:rsid w:val="008E35A4"/>
    <w:rsid w:val="008E35AF"/>
    <w:rsid w:val="008E3613"/>
    <w:rsid w:val="008E3649"/>
    <w:rsid w:val="008E36F8"/>
    <w:rsid w:val="008E37BE"/>
    <w:rsid w:val="008E37CD"/>
    <w:rsid w:val="008E3834"/>
    <w:rsid w:val="008E386D"/>
    <w:rsid w:val="008E38F8"/>
    <w:rsid w:val="008E3920"/>
    <w:rsid w:val="008E3A94"/>
    <w:rsid w:val="008E3B7C"/>
    <w:rsid w:val="008E3BE0"/>
    <w:rsid w:val="008E3C88"/>
    <w:rsid w:val="008E3CDA"/>
    <w:rsid w:val="008E3D3F"/>
    <w:rsid w:val="008E3DB4"/>
    <w:rsid w:val="008E3E08"/>
    <w:rsid w:val="008E3F16"/>
    <w:rsid w:val="008E40D7"/>
    <w:rsid w:val="008E40EF"/>
    <w:rsid w:val="008E4197"/>
    <w:rsid w:val="008E44F0"/>
    <w:rsid w:val="008E4727"/>
    <w:rsid w:val="008E4795"/>
    <w:rsid w:val="008E47EE"/>
    <w:rsid w:val="008E485C"/>
    <w:rsid w:val="008E4907"/>
    <w:rsid w:val="008E499D"/>
    <w:rsid w:val="008E4A84"/>
    <w:rsid w:val="008E4B48"/>
    <w:rsid w:val="008E4C6A"/>
    <w:rsid w:val="008E4D00"/>
    <w:rsid w:val="008E4D04"/>
    <w:rsid w:val="008E4D0F"/>
    <w:rsid w:val="008E4E79"/>
    <w:rsid w:val="008E5074"/>
    <w:rsid w:val="008E5092"/>
    <w:rsid w:val="008E5171"/>
    <w:rsid w:val="008E525A"/>
    <w:rsid w:val="008E5385"/>
    <w:rsid w:val="008E53C1"/>
    <w:rsid w:val="008E5402"/>
    <w:rsid w:val="008E5477"/>
    <w:rsid w:val="008E54AC"/>
    <w:rsid w:val="008E5526"/>
    <w:rsid w:val="008E563D"/>
    <w:rsid w:val="008E567B"/>
    <w:rsid w:val="008E5732"/>
    <w:rsid w:val="008E5813"/>
    <w:rsid w:val="008E5878"/>
    <w:rsid w:val="008E5928"/>
    <w:rsid w:val="008E5978"/>
    <w:rsid w:val="008E5A22"/>
    <w:rsid w:val="008E5A39"/>
    <w:rsid w:val="008E5A45"/>
    <w:rsid w:val="008E5BB4"/>
    <w:rsid w:val="008E5D87"/>
    <w:rsid w:val="008E5DCF"/>
    <w:rsid w:val="008E5E67"/>
    <w:rsid w:val="008E6091"/>
    <w:rsid w:val="008E60E8"/>
    <w:rsid w:val="008E6174"/>
    <w:rsid w:val="008E61CA"/>
    <w:rsid w:val="008E6274"/>
    <w:rsid w:val="008E62DF"/>
    <w:rsid w:val="008E6301"/>
    <w:rsid w:val="008E631D"/>
    <w:rsid w:val="008E654A"/>
    <w:rsid w:val="008E672B"/>
    <w:rsid w:val="008E6744"/>
    <w:rsid w:val="008E679F"/>
    <w:rsid w:val="008E67A6"/>
    <w:rsid w:val="008E67AA"/>
    <w:rsid w:val="008E67EF"/>
    <w:rsid w:val="008E6801"/>
    <w:rsid w:val="008E68E4"/>
    <w:rsid w:val="008E691E"/>
    <w:rsid w:val="008E6947"/>
    <w:rsid w:val="008E695E"/>
    <w:rsid w:val="008E698F"/>
    <w:rsid w:val="008E69F7"/>
    <w:rsid w:val="008E6BBA"/>
    <w:rsid w:val="008E6BE8"/>
    <w:rsid w:val="008E6C20"/>
    <w:rsid w:val="008E6D42"/>
    <w:rsid w:val="008E6DAD"/>
    <w:rsid w:val="008E6E39"/>
    <w:rsid w:val="008E6EAC"/>
    <w:rsid w:val="008E6EF8"/>
    <w:rsid w:val="008E6F5B"/>
    <w:rsid w:val="008E6FB7"/>
    <w:rsid w:val="008E7079"/>
    <w:rsid w:val="008E70BC"/>
    <w:rsid w:val="008E7239"/>
    <w:rsid w:val="008E726B"/>
    <w:rsid w:val="008E72C2"/>
    <w:rsid w:val="008E72C8"/>
    <w:rsid w:val="008E72D0"/>
    <w:rsid w:val="008E73EA"/>
    <w:rsid w:val="008E73F3"/>
    <w:rsid w:val="008E7435"/>
    <w:rsid w:val="008E746E"/>
    <w:rsid w:val="008E75D0"/>
    <w:rsid w:val="008E77EC"/>
    <w:rsid w:val="008E7889"/>
    <w:rsid w:val="008E7906"/>
    <w:rsid w:val="008E7941"/>
    <w:rsid w:val="008E79BC"/>
    <w:rsid w:val="008E79CB"/>
    <w:rsid w:val="008E7ADA"/>
    <w:rsid w:val="008E7B3B"/>
    <w:rsid w:val="008E7B67"/>
    <w:rsid w:val="008E7B6B"/>
    <w:rsid w:val="008E7C07"/>
    <w:rsid w:val="008E7C22"/>
    <w:rsid w:val="008E7C30"/>
    <w:rsid w:val="008E7CBC"/>
    <w:rsid w:val="008E7CD7"/>
    <w:rsid w:val="008E7D28"/>
    <w:rsid w:val="008E7D85"/>
    <w:rsid w:val="008E7D91"/>
    <w:rsid w:val="008E7E19"/>
    <w:rsid w:val="008E7E5C"/>
    <w:rsid w:val="008E7F7B"/>
    <w:rsid w:val="008F0157"/>
    <w:rsid w:val="008F01B4"/>
    <w:rsid w:val="008F01B5"/>
    <w:rsid w:val="008F01F2"/>
    <w:rsid w:val="008F023C"/>
    <w:rsid w:val="008F0330"/>
    <w:rsid w:val="008F03C3"/>
    <w:rsid w:val="008F044A"/>
    <w:rsid w:val="008F044E"/>
    <w:rsid w:val="008F04FC"/>
    <w:rsid w:val="008F0706"/>
    <w:rsid w:val="008F07C9"/>
    <w:rsid w:val="008F0822"/>
    <w:rsid w:val="008F09F8"/>
    <w:rsid w:val="008F0A39"/>
    <w:rsid w:val="008F0A76"/>
    <w:rsid w:val="008F0B42"/>
    <w:rsid w:val="008F0B9C"/>
    <w:rsid w:val="008F0BDD"/>
    <w:rsid w:val="008F0C0E"/>
    <w:rsid w:val="008F0C93"/>
    <w:rsid w:val="008F0CC7"/>
    <w:rsid w:val="008F0D2B"/>
    <w:rsid w:val="008F0DE9"/>
    <w:rsid w:val="008F0E3B"/>
    <w:rsid w:val="008F0F3E"/>
    <w:rsid w:val="008F1163"/>
    <w:rsid w:val="008F120E"/>
    <w:rsid w:val="008F1300"/>
    <w:rsid w:val="008F13A7"/>
    <w:rsid w:val="008F140A"/>
    <w:rsid w:val="008F14E2"/>
    <w:rsid w:val="008F1635"/>
    <w:rsid w:val="008F1697"/>
    <w:rsid w:val="008F177E"/>
    <w:rsid w:val="008F187A"/>
    <w:rsid w:val="008F195F"/>
    <w:rsid w:val="008F1995"/>
    <w:rsid w:val="008F1996"/>
    <w:rsid w:val="008F19A9"/>
    <w:rsid w:val="008F19B5"/>
    <w:rsid w:val="008F19C6"/>
    <w:rsid w:val="008F1B35"/>
    <w:rsid w:val="008F1B4F"/>
    <w:rsid w:val="008F1B54"/>
    <w:rsid w:val="008F1C6A"/>
    <w:rsid w:val="008F1C8E"/>
    <w:rsid w:val="008F1CDD"/>
    <w:rsid w:val="008F1D23"/>
    <w:rsid w:val="008F1D8F"/>
    <w:rsid w:val="008F1DAF"/>
    <w:rsid w:val="008F1E31"/>
    <w:rsid w:val="008F1E62"/>
    <w:rsid w:val="008F1EAA"/>
    <w:rsid w:val="008F1EC5"/>
    <w:rsid w:val="008F1F81"/>
    <w:rsid w:val="008F2101"/>
    <w:rsid w:val="008F219E"/>
    <w:rsid w:val="008F2233"/>
    <w:rsid w:val="008F22B5"/>
    <w:rsid w:val="008F22BF"/>
    <w:rsid w:val="008F2392"/>
    <w:rsid w:val="008F2398"/>
    <w:rsid w:val="008F2453"/>
    <w:rsid w:val="008F246F"/>
    <w:rsid w:val="008F2474"/>
    <w:rsid w:val="008F2631"/>
    <w:rsid w:val="008F26D4"/>
    <w:rsid w:val="008F2755"/>
    <w:rsid w:val="008F277D"/>
    <w:rsid w:val="008F2921"/>
    <w:rsid w:val="008F296A"/>
    <w:rsid w:val="008F29B1"/>
    <w:rsid w:val="008F2B50"/>
    <w:rsid w:val="008F2CC8"/>
    <w:rsid w:val="008F2CE1"/>
    <w:rsid w:val="008F2D24"/>
    <w:rsid w:val="008F2DEF"/>
    <w:rsid w:val="008F2E3D"/>
    <w:rsid w:val="008F2E89"/>
    <w:rsid w:val="008F2F05"/>
    <w:rsid w:val="008F2F38"/>
    <w:rsid w:val="008F2F88"/>
    <w:rsid w:val="008F313E"/>
    <w:rsid w:val="008F3168"/>
    <w:rsid w:val="008F3179"/>
    <w:rsid w:val="008F31A2"/>
    <w:rsid w:val="008F31B6"/>
    <w:rsid w:val="008F321D"/>
    <w:rsid w:val="008F323A"/>
    <w:rsid w:val="008F3244"/>
    <w:rsid w:val="008F32A6"/>
    <w:rsid w:val="008F32FE"/>
    <w:rsid w:val="008F32FF"/>
    <w:rsid w:val="008F3355"/>
    <w:rsid w:val="008F33AE"/>
    <w:rsid w:val="008F344D"/>
    <w:rsid w:val="008F3456"/>
    <w:rsid w:val="008F3466"/>
    <w:rsid w:val="008F35A4"/>
    <w:rsid w:val="008F35EC"/>
    <w:rsid w:val="008F3742"/>
    <w:rsid w:val="008F379B"/>
    <w:rsid w:val="008F386A"/>
    <w:rsid w:val="008F3942"/>
    <w:rsid w:val="008F3962"/>
    <w:rsid w:val="008F3A3D"/>
    <w:rsid w:val="008F3B65"/>
    <w:rsid w:val="008F3C33"/>
    <w:rsid w:val="008F3CED"/>
    <w:rsid w:val="008F3D48"/>
    <w:rsid w:val="008F3DE1"/>
    <w:rsid w:val="008F3FA1"/>
    <w:rsid w:val="008F3FAC"/>
    <w:rsid w:val="008F3FD0"/>
    <w:rsid w:val="008F41A0"/>
    <w:rsid w:val="008F424E"/>
    <w:rsid w:val="008F426C"/>
    <w:rsid w:val="008F433E"/>
    <w:rsid w:val="008F4341"/>
    <w:rsid w:val="008F4363"/>
    <w:rsid w:val="008F44F6"/>
    <w:rsid w:val="008F454F"/>
    <w:rsid w:val="008F4556"/>
    <w:rsid w:val="008F45F1"/>
    <w:rsid w:val="008F4922"/>
    <w:rsid w:val="008F493B"/>
    <w:rsid w:val="008F4BA0"/>
    <w:rsid w:val="008F4BCC"/>
    <w:rsid w:val="008F4C8A"/>
    <w:rsid w:val="008F4C96"/>
    <w:rsid w:val="008F4C9E"/>
    <w:rsid w:val="008F4CBC"/>
    <w:rsid w:val="008F4D13"/>
    <w:rsid w:val="008F4D95"/>
    <w:rsid w:val="008F4D9B"/>
    <w:rsid w:val="008F4E3D"/>
    <w:rsid w:val="008F4E4D"/>
    <w:rsid w:val="008F4E69"/>
    <w:rsid w:val="008F4E9C"/>
    <w:rsid w:val="008F4F24"/>
    <w:rsid w:val="008F4FE7"/>
    <w:rsid w:val="008F5081"/>
    <w:rsid w:val="008F51F0"/>
    <w:rsid w:val="008F52AB"/>
    <w:rsid w:val="008F52F6"/>
    <w:rsid w:val="008F5346"/>
    <w:rsid w:val="008F5375"/>
    <w:rsid w:val="008F539B"/>
    <w:rsid w:val="008F53E7"/>
    <w:rsid w:val="008F545B"/>
    <w:rsid w:val="008F54AA"/>
    <w:rsid w:val="008F54E2"/>
    <w:rsid w:val="008F557F"/>
    <w:rsid w:val="008F56CA"/>
    <w:rsid w:val="008F593F"/>
    <w:rsid w:val="008F597A"/>
    <w:rsid w:val="008F59EC"/>
    <w:rsid w:val="008F5A45"/>
    <w:rsid w:val="008F5A8E"/>
    <w:rsid w:val="008F5B70"/>
    <w:rsid w:val="008F5B71"/>
    <w:rsid w:val="008F5BBA"/>
    <w:rsid w:val="008F5CE8"/>
    <w:rsid w:val="008F5D11"/>
    <w:rsid w:val="008F5DE9"/>
    <w:rsid w:val="008F5F7E"/>
    <w:rsid w:val="008F5FC2"/>
    <w:rsid w:val="008F5FFE"/>
    <w:rsid w:val="008F602B"/>
    <w:rsid w:val="008F603A"/>
    <w:rsid w:val="008F60D4"/>
    <w:rsid w:val="008F6157"/>
    <w:rsid w:val="008F61C2"/>
    <w:rsid w:val="008F61E6"/>
    <w:rsid w:val="008F6257"/>
    <w:rsid w:val="008F6296"/>
    <w:rsid w:val="008F62DC"/>
    <w:rsid w:val="008F63E2"/>
    <w:rsid w:val="008F6436"/>
    <w:rsid w:val="008F644E"/>
    <w:rsid w:val="008F64AA"/>
    <w:rsid w:val="008F6526"/>
    <w:rsid w:val="008F678D"/>
    <w:rsid w:val="008F6881"/>
    <w:rsid w:val="008F6A29"/>
    <w:rsid w:val="008F6AEE"/>
    <w:rsid w:val="008F6AFB"/>
    <w:rsid w:val="008F6BEA"/>
    <w:rsid w:val="008F6C81"/>
    <w:rsid w:val="008F7147"/>
    <w:rsid w:val="008F71E8"/>
    <w:rsid w:val="008F72F4"/>
    <w:rsid w:val="008F731F"/>
    <w:rsid w:val="008F7337"/>
    <w:rsid w:val="008F7378"/>
    <w:rsid w:val="008F73E8"/>
    <w:rsid w:val="008F7477"/>
    <w:rsid w:val="008F747F"/>
    <w:rsid w:val="008F76CD"/>
    <w:rsid w:val="008F77B8"/>
    <w:rsid w:val="008F7878"/>
    <w:rsid w:val="008F7AF3"/>
    <w:rsid w:val="008F7B21"/>
    <w:rsid w:val="008F7C1F"/>
    <w:rsid w:val="008F7C87"/>
    <w:rsid w:val="008F7DA2"/>
    <w:rsid w:val="008F7E5E"/>
    <w:rsid w:val="008F7ECB"/>
    <w:rsid w:val="008F7F58"/>
    <w:rsid w:val="008F7FE1"/>
    <w:rsid w:val="00900003"/>
    <w:rsid w:val="00900038"/>
    <w:rsid w:val="0090014E"/>
    <w:rsid w:val="00900156"/>
    <w:rsid w:val="00900195"/>
    <w:rsid w:val="009002A0"/>
    <w:rsid w:val="00900367"/>
    <w:rsid w:val="009004B6"/>
    <w:rsid w:val="009005B6"/>
    <w:rsid w:val="009006B4"/>
    <w:rsid w:val="0090080A"/>
    <w:rsid w:val="0090087B"/>
    <w:rsid w:val="00900897"/>
    <w:rsid w:val="009008B0"/>
    <w:rsid w:val="009008B4"/>
    <w:rsid w:val="009008DB"/>
    <w:rsid w:val="00900962"/>
    <w:rsid w:val="0090099F"/>
    <w:rsid w:val="009009C0"/>
    <w:rsid w:val="00900A20"/>
    <w:rsid w:val="00900A6A"/>
    <w:rsid w:val="00900B79"/>
    <w:rsid w:val="00900BDE"/>
    <w:rsid w:val="00900D17"/>
    <w:rsid w:val="00900D32"/>
    <w:rsid w:val="00900D37"/>
    <w:rsid w:val="00900D96"/>
    <w:rsid w:val="00900E6B"/>
    <w:rsid w:val="00900E83"/>
    <w:rsid w:val="00900EBC"/>
    <w:rsid w:val="00900F10"/>
    <w:rsid w:val="0090106E"/>
    <w:rsid w:val="009011C5"/>
    <w:rsid w:val="0090121B"/>
    <w:rsid w:val="0090127D"/>
    <w:rsid w:val="009013A9"/>
    <w:rsid w:val="009014CC"/>
    <w:rsid w:val="00901518"/>
    <w:rsid w:val="0090163A"/>
    <w:rsid w:val="009016AD"/>
    <w:rsid w:val="00901757"/>
    <w:rsid w:val="009017E7"/>
    <w:rsid w:val="00901815"/>
    <w:rsid w:val="00901887"/>
    <w:rsid w:val="009018D9"/>
    <w:rsid w:val="0090192A"/>
    <w:rsid w:val="00901A20"/>
    <w:rsid w:val="00901C30"/>
    <w:rsid w:val="00901C8A"/>
    <w:rsid w:val="00901CF9"/>
    <w:rsid w:val="00901D09"/>
    <w:rsid w:val="00901DFE"/>
    <w:rsid w:val="00901EA4"/>
    <w:rsid w:val="00901F79"/>
    <w:rsid w:val="00901F82"/>
    <w:rsid w:val="00901F9F"/>
    <w:rsid w:val="00901FC0"/>
    <w:rsid w:val="0090217A"/>
    <w:rsid w:val="00902216"/>
    <w:rsid w:val="00902249"/>
    <w:rsid w:val="00902275"/>
    <w:rsid w:val="00902290"/>
    <w:rsid w:val="009022FE"/>
    <w:rsid w:val="00902414"/>
    <w:rsid w:val="00902683"/>
    <w:rsid w:val="009027EA"/>
    <w:rsid w:val="0090288F"/>
    <w:rsid w:val="009028C0"/>
    <w:rsid w:val="0090290C"/>
    <w:rsid w:val="00902B80"/>
    <w:rsid w:val="00902BAF"/>
    <w:rsid w:val="00902BDA"/>
    <w:rsid w:val="00902C89"/>
    <w:rsid w:val="00902E76"/>
    <w:rsid w:val="00902F3A"/>
    <w:rsid w:val="00902FD1"/>
    <w:rsid w:val="00902FDE"/>
    <w:rsid w:val="009031AA"/>
    <w:rsid w:val="00903216"/>
    <w:rsid w:val="00903328"/>
    <w:rsid w:val="0090348B"/>
    <w:rsid w:val="009034B4"/>
    <w:rsid w:val="009035E0"/>
    <w:rsid w:val="00903602"/>
    <w:rsid w:val="00903750"/>
    <w:rsid w:val="009037DC"/>
    <w:rsid w:val="0090381F"/>
    <w:rsid w:val="009038AE"/>
    <w:rsid w:val="009038BB"/>
    <w:rsid w:val="00903929"/>
    <w:rsid w:val="009039B5"/>
    <w:rsid w:val="009039F2"/>
    <w:rsid w:val="00903A41"/>
    <w:rsid w:val="00903BE8"/>
    <w:rsid w:val="00903C87"/>
    <w:rsid w:val="00903D30"/>
    <w:rsid w:val="00903DB8"/>
    <w:rsid w:val="00903E52"/>
    <w:rsid w:val="00903E59"/>
    <w:rsid w:val="00903EE9"/>
    <w:rsid w:val="00904091"/>
    <w:rsid w:val="00904104"/>
    <w:rsid w:val="009043F8"/>
    <w:rsid w:val="00904416"/>
    <w:rsid w:val="00904455"/>
    <w:rsid w:val="00904473"/>
    <w:rsid w:val="00904517"/>
    <w:rsid w:val="00904565"/>
    <w:rsid w:val="0090459B"/>
    <w:rsid w:val="009045AE"/>
    <w:rsid w:val="009045C6"/>
    <w:rsid w:val="00904731"/>
    <w:rsid w:val="009048D2"/>
    <w:rsid w:val="00904A22"/>
    <w:rsid w:val="00904BF0"/>
    <w:rsid w:val="00904C6E"/>
    <w:rsid w:val="00904E12"/>
    <w:rsid w:val="00904E41"/>
    <w:rsid w:val="00904E69"/>
    <w:rsid w:val="00904F41"/>
    <w:rsid w:val="00904F7B"/>
    <w:rsid w:val="00904FBF"/>
    <w:rsid w:val="00905063"/>
    <w:rsid w:val="00905139"/>
    <w:rsid w:val="0090513A"/>
    <w:rsid w:val="009052EA"/>
    <w:rsid w:val="00905350"/>
    <w:rsid w:val="00905359"/>
    <w:rsid w:val="00905470"/>
    <w:rsid w:val="009054DD"/>
    <w:rsid w:val="00905529"/>
    <w:rsid w:val="009055D5"/>
    <w:rsid w:val="009055EA"/>
    <w:rsid w:val="00905607"/>
    <w:rsid w:val="009056D7"/>
    <w:rsid w:val="009056F4"/>
    <w:rsid w:val="00905721"/>
    <w:rsid w:val="009057D1"/>
    <w:rsid w:val="009058D3"/>
    <w:rsid w:val="00905929"/>
    <w:rsid w:val="00905991"/>
    <w:rsid w:val="00905B8D"/>
    <w:rsid w:val="00905BFF"/>
    <w:rsid w:val="00905D53"/>
    <w:rsid w:val="00905D5E"/>
    <w:rsid w:val="00905DDD"/>
    <w:rsid w:val="00905E63"/>
    <w:rsid w:val="0090601D"/>
    <w:rsid w:val="009060B7"/>
    <w:rsid w:val="00906100"/>
    <w:rsid w:val="00906184"/>
    <w:rsid w:val="009061DE"/>
    <w:rsid w:val="009061E6"/>
    <w:rsid w:val="00906210"/>
    <w:rsid w:val="009062C1"/>
    <w:rsid w:val="009063FE"/>
    <w:rsid w:val="0090653F"/>
    <w:rsid w:val="00906598"/>
    <w:rsid w:val="009065E5"/>
    <w:rsid w:val="00906622"/>
    <w:rsid w:val="00906684"/>
    <w:rsid w:val="0090677A"/>
    <w:rsid w:val="00906782"/>
    <w:rsid w:val="009067CE"/>
    <w:rsid w:val="009067DD"/>
    <w:rsid w:val="00906855"/>
    <w:rsid w:val="00906907"/>
    <w:rsid w:val="00906ABD"/>
    <w:rsid w:val="00906AEE"/>
    <w:rsid w:val="00906B95"/>
    <w:rsid w:val="00906BA5"/>
    <w:rsid w:val="00906C6C"/>
    <w:rsid w:val="00906DC5"/>
    <w:rsid w:val="00906DC8"/>
    <w:rsid w:val="00906ED9"/>
    <w:rsid w:val="00906F15"/>
    <w:rsid w:val="00906FFC"/>
    <w:rsid w:val="0090702F"/>
    <w:rsid w:val="00907092"/>
    <w:rsid w:val="009070D1"/>
    <w:rsid w:val="009070F9"/>
    <w:rsid w:val="00907113"/>
    <w:rsid w:val="009071AE"/>
    <w:rsid w:val="009073A3"/>
    <w:rsid w:val="009074F8"/>
    <w:rsid w:val="00907548"/>
    <w:rsid w:val="009075E1"/>
    <w:rsid w:val="00907661"/>
    <w:rsid w:val="00907713"/>
    <w:rsid w:val="00907729"/>
    <w:rsid w:val="009077AF"/>
    <w:rsid w:val="009077FA"/>
    <w:rsid w:val="00907821"/>
    <w:rsid w:val="0090795A"/>
    <w:rsid w:val="00907989"/>
    <w:rsid w:val="009079C4"/>
    <w:rsid w:val="00907ACB"/>
    <w:rsid w:val="00907AF7"/>
    <w:rsid w:val="00907DD8"/>
    <w:rsid w:val="00907F4A"/>
    <w:rsid w:val="0090ED3C"/>
    <w:rsid w:val="00910139"/>
    <w:rsid w:val="00910185"/>
    <w:rsid w:val="0091019D"/>
    <w:rsid w:val="0091027B"/>
    <w:rsid w:val="00910388"/>
    <w:rsid w:val="009103C8"/>
    <w:rsid w:val="009103D7"/>
    <w:rsid w:val="009103DA"/>
    <w:rsid w:val="009104EF"/>
    <w:rsid w:val="0091050B"/>
    <w:rsid w:val="00910615"/>
    <w:rsid w:val="00910678"/>
    <w:rsid w:val="009106A6"/>
    <w:rsid w:val="009106B0"/>
    <w:rsid w:val="00910889"/>
    <w:rsid w:val="00910891"/>
    <w:rsid w:val="009108B6"/>
    <w:rsid w:val="00910934"/>
    <w:rsid w:val="00910957"/>
    <w:rsid w:val="00910965"/>
    <w:rsid w:val="0091099F"/>
    <w:rsid w:val="009109AC"/>
    <w:rsid w:val="009109B1"/>
    <w:rsid w:val="009109CB"/>
    <w:rsid w:val="00910A89"/>
    <w:rsid w:val="00910AAE"/>
    <w:rsid w:val="00910AE8"/>
    <w:rsid w:val="00910AFD"/>
    <w:rsid w:val="00910D0B"/>
    <w:rsid w:val="00910ECF"/>
    <w:rsid w:val="00910F14"/>
    <w:rsid w:val="00910F4A"/>
    <w:rsid w:val="0091104E"/>
    <w:rsid w:val="00911179"/>
    <w:rsid w:val="009111CD"/>
    <w:rsid w:val="0091137C"/>
    <w:rsid w:val="009113A4"/>
    <w:rsid w:val="009113D3"/>
    <w:rsid w:val="00911449"/>
    <w:rsid w:val="00911575"/>
    <w:rsid w:val="009115B9"/>
    <w:rsid w:val="00911666"/>
    <w:rsid w:val="009116A5"/>
    <w:rsid w:val="00911702"/>
    <w:rsid w:val="0091179D"/>
    <w:rsid w:val="009117DC"/>
    <w:rsid w:val="00911847"/>
    <w:rsid w:val="00911A9C"/>
    <w:rsid w:val="00911B8B"/>
    <w:rsid w:val="00911BF8"/>
    <w:rsid w:val="00911C1F"/>
    <w:rsid w:val="00911C43"/>
    <w:rsid w:val="00911C48"/>
    <w:rsid w:val="00911D10"/>
    <w:rsid w:val="00911F24"/>
    <w:rsid w:val="00911F43"/>
    <w:rsid w:val="00911F6C"/>
    <w:rsid w:val="00912009"/>
    <w:rsid w:val="009120A2"/>
    <w:rsid w:val="009120A8"/>
    <w:rsid w:val="0091213F"/>
    <w:rsid w:val="00912168"/>
    <w:rsid w:val="00912208"/>
    <w:rsid w:val="00912372"/>
    <w:rsid w:val="00912383"/>
    <w:rsid w:val="0091244A"/>
    <w:rsid w:val="009124E5"/>
    <w:rsid w:val="0091256D"/>
    <w:rsid w:val="009125ED"/>
    <w:rsid w:val="00912688"/>
    <w:rsid w:val="00912871"/>
    <w:rsid w:val="00912A62"/>
    <w:rsid w:val="00912BB9"/>
    <w:rsid w:val="00912BF5"/>
    <w:rsid w:val="00912C1C"/>
    <w:rsid w:val="00912C6A"/>
    <w:rsid w:val="00912D50"/>
    <w:rsid w:val="00912DEE"/>
    <w:rsid w:val="00912F3C"/>
    <w:rsid w:val="00912F5F"/>
    <w:rsid w:val="009131DE"/>
    <w:rsid w:val="00913271"/>
    <w:rsid w:val="009133C1"/>
    <w:rsid w:val="0091344E"/>
    <w:rsid w:val="00913493"/>
    <w:rsid w:val="00913671"/>
    <w:rsid w:val="009136BE"/>
    <w:rsid w:val="00913741"/>
    <w:rsid w:val="00913905"/>
    <w:rsid w:val="00913907"/>
    <w:rsid w:val="009139C3"/>
    <w:rsid w:val="009139D9"/>
    <w:rsid w:val="00913AA1"/>
    <w:rsid w:val="00913B1C"/>
    <w:rsid w:val="00913B5B"/>
    <w:rsid w:val="00913C0D"/>
    <w:rsid w:val="00913C76"/>
    <w:rsid w:val="00913CBE"/>
    <w:rsid w:val="00913D3D"/>
    <w:rsid w:val="00913DAA"/>
    <w:rsid w:val="00913E2C"/>
    <w:rsid w:val="00913E99"/>
    <w:rsid w:val="00913E9B"/>
    <w:rsid w:val="00913F52"/>
    <w:rsid w:val="00913F5B"/>
    <w:rsid w:val="00913FA3"/>
    <w:rsid w:val="00913FCF"/>
    <w:rsid w:val="0091406F"/>
    <w:rsid w:val="00914167"/>
    <w:rsid w:val="00914197"/>
    <w:rsid w:val="009142E0"/>
    <w:rsid w:val="0091456F"/>
    <w:rsid w:val="009145CD"/>
    <w:rsid w:val="0091475F"/>
    <w:rsid w:val="009147A5"/>
    <w:rsid w:val="009147FD"/>
    <w:rsid w:val="009148E8"/>
    <w:rsid w:val="009149E5"/>
    <w:rsid w:val="00914AF7"/>
    <w:rsid w:val="00914BB5"/>
    <w:rsid w:val="00914BFF"/>
    <w:rsid w:val="00914CF0"/>
    <w:rsid w:val="00914D75"/>
    <w:rsid w:val="00914DF8"/>
    <w:rsid w:val="00914EFF"/>
    <w:rsid w:val="00914F8C"/>
    <w:rsid w:val="009150EF"/>
    <w:rsid w:val="009151E4"/>
    <w:rsid w:val="009152C6"/>
    <w:rsid w:val="00915308"/>
    <w:rsid w:val="00915344"/>
    <w:rsid w:val="009153BD"/>
    <w:rsid w:val="0091541B"/>
    <w:rsid w:val="00915488"/>
    <w:rsid w:val="0091555D"/>
    <w:rsid w:val="009155BE"/>
    <w:rsid w:val="009156CA"/>
    <w:rsid w:val="009157E6"/>
    <w:rsid w:val="009157F6"/>
    <w:rsid w:val="0091593C"/>
    <w:rsid w:val="0091596E"/>
    <w:rsid w:val="009159B8"/>
    <w:rsid w:val="009159D9"/>
    <w:rsid w:val="00915AF7"/>
    <w:rsid w:val="00915BF7"/>
    <w:rsid w:val="00915CA3"/>
    <w:rsid w:val="00915CA9"/>
    <w:rsid w:val="00915CEC"/>
    <w:rsid w:val="00915D3F"/>
    <w:rsid w:val="00915DB8"/>
    <w:rsid w:val="00915FA1"/>
    <w:rsid w:val="00916009"/>
    <w:rsid w:val="00916199"/>
    <w:rsid w:val="009161AA"/>
    <w:rsid w:val="009161C9"/>
    <w:rsid w:val="0091634B"/>
    <w:rsid w:val="00916369"/>
    <w:rsid w:val="00916523"/>
    <w:rsid w:val="009165A1"/>
    <w:rsid w:val="009165F2"/>
    <w:rsid w:val="00916758"/>
    <w:rsid w:val="009167C1"/>
    <w:rsid w:val="00916837"/>
    <w:rsid w:val="00916916"/>
    <w:rsid w:val="009169D2"/>
    <w:rsid w:val="00916A9C"/>
    <w:rsid w:val="00916ADC"/>
    <w:rsid w:val="00916B59"/>
    <w:rsid w:val="00916C73"/>
    <w:rsid w:val="00916C86"/>
    <w:rsid w:val="00916CBA"/>
    <w:rsid w:val="00916CC3"/>
    <w:rsid w:val="00916D89"/>
    <w:rsid w:val="00916E31"/>
    <w:rsid w:val="00916EB5"/>
    <w:rsid w:val="00916F4C"/>
    <w:rsid w:val="009171F9"/>
    <w:rsid w:val="00917216"/>
    <w:rsid w:val="00917228"/>
    <w:rsid w:val="009172AC"/>
    <w:rsid w:val="009172CF"/>
    <w:rsid w:val="0091731B"/>
    <w:rsid w:val="0091737D"/>
    <w:rsid w:val="009173BF"/>
    <w:rsid w:val="009173CD"/>
    <w:rsid w:val="00917538"/>
    <w:rsid w:val="00917578"/>
    <w:rsid w:val="00917587"/>
    <w:rsid w:val="009175C5"/>
    <w:rsid w:val="009175ED"/>
    <w:rsid w:val="00917604"/>
    <w:rsid w:val="0091774B"/>
    <w:rsid w:val="00917776"/>
    <w:rsid w:val="009177E9"/>
    <w:rsid w:val="0091782B"/>
    <w:rsid w:val="009178D8"/>
    <w:rsid w:val="0091796E"/>
    <w:rsid w:val="00917A6A"/>
    <w:rsid w:val="00917B45"/>
    <w:rsid w:val="00917BE5"/>
    <w:rsid w:val="00917C27"/>
    <w:rsid w:val="00917C88"/>
    <w:rsid w:val="00917CA2"/>
    <w:rsid w:val="00917D6C"/>
    <w:rsid w:val="00917DF1"/>
    <w:rsid w:val="00917E36"/>
    <w:rsid w:val="00917E53"/>
    <w:rsid w:val="00917FC8"/>
    <w:rsid w:val="0091D8B9"/>
    <w:rsid w:val="0091F8F0"/>
    <w:rsid w:val="009200F8"/>
    <w:rsid w:val="0092012C"/>
    <w:rsid w:val="0092020C"/>
    <w:rsid w:val="00920234"/>
    <w:rsid w:val="00920257"/>
    <w:rsid w:val="0092028E"/>
    <w:rsid w:val="009203A5"/>
    <w:rsid w:val="0092045A"/>
    <w:rsid w:val="0092048C"/>
    <w:rsid w:val="0092050D"/>
    <w:rsid w:val="00920610"/>
    <w:rsid w:val="009209DE"/>
    <w:rsid w:val="00920A11"/>
    <w:rsid w:val="00920A4A"/>
    <w:rsid w:val="00920B6E"/>
    <w:rsid w:val="00920BDE"/>
    <w:rsid w:val="00920CAE"/>
    <w:rsid w:val="00920CC5"/>
    <w:rsid w:val="00920D3E"/>
    <w:rsid w:val="00920D6D"/>
    <w:rsid w:val="00920D9A"/>
    <w:rsid w:val="00920DCE"/>
    <w:rsid w:val="00920E8A"/>
    <w:rsid w:val="00920EB6"/>
    <w:rsid w:val="00921084"/>
    <w:rsid w:val="009211AB"/>
    <w:rsid w:val="009211F8"/>
    <w:rsid w:val="0092128D"/>
    <w:rsid w:val="00921301"/>
    <w:rsid w:val="00921348"/>
    <w:rsid w:val="0092158C"/>
    <w:rsid w:val="00921768"/>
    <w:rsid w:val="0092176A"/>
    <w:rsid w:val="00921946"/>
    <w:rsid w:val="00921AD8"/>
    <w:rsid w:val="00921B43"/>
    <w:rsid w:val="00921BB1"/>
    <w:rsid w:val="00921BD2"/>
    <w:rsid w:val="00921C8B"/>
    <w:rsid w:val="00921CD5"/>
    <w:rsid w:val="00921D5B"/>
    <w:rsid w:val="00921DA8"/>
    <w:rsid w:val="00921F67"/>
    <w:rsid w:val="009220DE"/>
    <w:rsid w:val="0092216A"/>
    <w:rsid w:val="00922183"/>
    <w:rsid w:val="009221FD"/>
    <w:rsid w:val="00922217"/>
    <w:rsid w:val="00922230"/>
    <w:rsid w:val="00922235"/>
    <w:rsid w:val="00922332"/>
    <w:rsid w:val="0092253F"/>
    <w:rsid w:val="0092259E"/>
    <w:rsid w:val="009225D3"/>
    <w:rsid w:val="00922639"/>
    <w:rsid w:val="00922655"/>
    <w:rsid w:val="009226B6"/>
    <w:rsid w:val="0092271F"/>
    <w:rsid w:val="00922732"/>
    <w:rsid w:val="009228A6"/>
    <w:rsid w:val="00922914"/>
    <w:rsid w:val="00922B8C"/>
    <w:rsid w:val="00922BF9"/>
    <w:rsid w:val="00922C6A"/>
    <w:rsid w:val="00922D58"/>
    <w:rsid w:val="00922E1E"/>
    <w:rsid w:val="00922F45"/>
    <w:rsid w:val="0092303D"/>
    <w:rsid w:val="0092306F"/>
    <w:rsid w:val="0092308A"/>
    <w:rsid w:val="009230A2"/>
    <w:rsid w:val="00923173"/>
    <w:rsid w:val="009231E1"/>
    <w:rsid w:val="009231EF"/>
    <w:rsid w:val="00923212"/>
    <w:rsid w:val="009232A6"/>
    <w:rsid w:val="009232B2"/>
    <w:rsid w:val="009232DE"/>
    <w:rsid w:val="009232F6"/>
    <w:rsid w:val="00923336"/>
    <w:rsid w:val="009233BE"/>
    <w:rsid w:val="009233DD"/>
    <w:rsid w:val="00923428"/>
    <w:rsid w:val="00923599"/>
    <w:rsid w:val="009235B5"/>
    <w:rsid w:val="009235B9"/>
    <w:rsid w:val="00923657"/>
    <w:rsid w:val="00923678"/>
    <w:rsid w:val="00923679"/>
    <w:rsid w:val="0092378C"/>
    <w:rsid w:val="00923793"/>
    <w:rsid w:val="0092379D"/>
    <w:rsid w:val="009237CF"/>
    <w:rsid w:val="00923863"/>
    <w:rsid w:val="009238E5"/>
    <w:rsid w:val="009238F1"/>
    <w:rsid w:val="00923ABB"/>
    <w:rsid w:val="00923B55"/>
    <w:rsid w:val="00923BA4"/>
    <w:rsid w:val="00923BD0"/>
    <w:rsid w:val="00923C20"/>
    <w:rsid w:val="00923C95"/>
    <w:rsid w:val="00923D0D"/>
    <w:rsid w:val="00923DA3"/>
    <w:rsid w:val="00923F86"/>
    <w:rsid w:val="00923FA9"/>
    <w:rsid w:val="00924310"/>
    <w:rsid w:val="0092432F"/>
    <w:rsid w:val="00924353"/>
    <w:rsid w:val="00924387"/>
    <w:rsid w:val="00924471"/>
    <w:rsid w:val="009245B5"/>
    <w:rsid w:val="009246D8"/>
    <w:rsid w:val="0092473C"/>
    <w:rsid w:val="009247D1"/>
    <w:rsid w:val="009247EF"/>
    <w:rsid w:val="00924830"/>
    <w:rsid w:val="00924856"/>
    <w:rsid w:val="00924899"/>
    <w:rsid w:val="00924917"/>
    <w:rsid w:val="009249A9"/>
    <w:rsid w:val="00924A98"/>
    <w:rsid w:val="00924A9C"/>
    <w:rsid w:val="00924B5B"/>
    <w:rsid w:val="00924B62"/>
    <w:rsid w:val="00924BC2"/>
    <w:rsid w:val="00924C74"/>
    <w:rsid w:val="00924C90"/>
    <w:rsid w:val="00924E9F"/>
    <w:rsid w:val="00924FB6"/>
    <w:rsid w:val="0092508A"/>
    <w:rsid w:val="0092516D"/>
    <w:rsid w:val="009251DD"/>
    <w:rsid w:val="009252C0"/>
    <w:rsid w:val="009253B4"/>
    <w:rsid w:val="009253EF"/>
    <w:rsid w:val="00925488"/>
    <w:rsid w:val="00925589"/>
    <w:rsid w:val="009255B6"/>
    <w:rsid w:val="00925767"/>
    <w:rsid w:val="009257AA"/>
    <w:rsid w:val="0092582D"/>
    <w:rsid w:val="00925920"/>
    <w:rsid w:val="0092592F"/>
    <w:rsid w:val="009259AA"/>
    <w:rsid w:val="009259D1"/>
    <w:rsid w:val="00925A8C"/>
    <w:rsid w:val="00925AE0"/>
    <w:rsid w:val="00925B63"/>
    <w:rsid w:val="00925B88"/>
    <w:rsid w:val="00925C6B"/>
    <w:rsid w:val="00925CD9"/>
    <w:rsid w:val="00925D49"/>
    <w:rsid w:val="00925D91"/>
    <w:rsid w:val="00925DC0"/>
    <w:rsid w:val="00925EC1"/>
    <w:rsid w:val="00925EEF"/>
    <w:rsid w:val="00925F76"/>
    <w:rsid w:val="00925FDB"/>
    <w:rsid w:val="009261CB"/>
    <w:rsid w:val="009261DD"/>
    <w:rsid w:val="009262D4"/>
    <w:rsid w:val="0092636E"/>
    <w:rsid w:val="009263C2"/>
    <w:rsid w:val="00926439"/>
    <w:rsid w:val="00926516"/>
    <w:rsid w:val="0092659B"/>
    <w:rsid w:val="00926601"/>
    <w:rsid w:val="00926657"/>
    <w:rsid w:val="0092671C"/>
    <w:rsid w:val="00926730"/>
    <w:rsid w:val="009267B5"/>
    <w:rsid w:val="009267F2"/>
    <w:rsid w:val="009268AA"/>
    <w:rsid w:val="009268D2"/>
    <w:rsid w:val="00926977"/>
    <w:rsid w:val="00926A0A"/>
    <w:rsid w:val="00926A94"/>
    <w:rsid w:val="00926ADD"/>
    <w:rsid w:val="00926B6F"/>
    <w:rsid w:val="00926C85"/>
    <w:rsid w:val="00926C88"/>
    <w:rsid w:val="00926CB5"/>
    <w:rsid w:val="00926D47"/>
    <w:rsid w:val="00926E07"/>
    <w:rsid w:val="00927097"/>
    <w:rsid w:val="009270E3"/>
    <w:rsid w:val="0092711E"/>
    <w:rsid w:val="0092713B"/>
    <w:rsid w:val="0092715B"/>
    <w:rsid w:val="009271AB"/>
    <w:rsid w:val="00927257"/>
    <w:rsid w:val="009272A8"/>
    <w:rsid w:val="00927375"/>
    <w:rsid w:val="00927395"/>
    <w:rsid w:val="009273F0"/>
    <w:rsid w:val="009273F9"/>
    <w:rsid w:val="009274E0"/>
    <w:rsid w:val="00927504"/>
    <w:rsid w:val="009275A0"/>
    <w:rsid w:val="009275C1"/>
    <w:rsid w:val="00927630"/>
    <w:rsid w:val="0092767B"/>
    <w:rsid w:val="0092771C"/>
    <w:rsid w:val="00927765"/>
    <w:rsid w:val="00927847"/>
    <w:rsid w:val="00927859"/>
    <w:rsid w:val="009278C4"/>
    <w:rsid w:val="009278FB"/>
    <w:rsid w:val="00927903"/>
    <w:rsid w:val="00927931"/>
    <w:rsid w:val="00927938"/>
    <w:rsid w:val="00927958"/>
    <w:rsid w:val="0092796B"/>
    <w:rsid w:val="009279DA"/>
    <w:rsid w:val="00927A5F"/>
    <w:rsid w:val="00927ADD"/>
    <w:rsid w:val="00927BEE"/>
    <w:rsid w:val="00927C6F"/>
    <w:rsid w:val="00927D8E"/>
    <w:rsid w:val="00927EC6"/>
    <w:rsid w:val="00927F94"/>
    <w:rsid w:val="00927FF2"/>
    <w:rsid w:val="0092C02A"/>
    <w:rsid w:val="0093001B"/>
    <w:rsid w:val="00930070"/>
    <w:rsid w:val="009300A4"/>
    <w:rsid w:val="009301FE"/>
    <w:rsid w:val="0093032F"/>
    <w:rsid w:val="00930336"/>
    <w:rsid w:val="00930367"/>
    <w:rsid w:val="00930801"/>
    <w:rsid w:val="009308C4"/>
    <w:rsid w:val="0093097B"/>
    <w:rsid w:val="009309D2"/>
    <w:rsid w:val="00930A1D"/>
    <w:rsid w:val="00930A84"/>
    <w:rsid w:val="00930BDD"/>
    <w:rsid w:val="00930C8C"/>
    <w:rsid w:val="00930D2C"/>
    <w:rsid w:val="00930D3A"/>
    <w:rsid w:val="00930E2F"/>
    <w:rsid w:val="00930ED8"/>
    <w:rsid w:val="00930F30"/>
    <w:rsid w:val="00930FBA"/>
    <w:rsid w:val="00930FD0"/>
    <w:rsid w:val="00931056"/>
    <w:rsid w:val="009310BB"/>
    <w:rsid w:val="009310C7"/>
    <w:rsid w:val="00931131"/>
    <w:rsid w:val="009311DA"/>
    <w:rsid w:val="00931263"/>
    <w:rsid w:val="0093126B"/>
    <w:rsid w:val="0093128B"/>
    <w:rsid w:val="00931323"/>
    <w:rsid w:val="009313B5"/>
    <w:rsid w:val="009313F7"/>
    <w:rsid w:val="00931437"/>
    <w:rsid w:val="009314DD"/>
    <w:rsid w:val="00931558"/>
    <w:rsid w:val="0093160A"/>
    <w:rsid w:val="009316FA"/>
    <w:rsid w:val="00931775"/>
    <w:rsid w:val="009317B6"/>
    <w:rsid w:val="00931838"/>
    <w:rsid w:val="0093192D"/>
    <w:rsid w:val="00931A7A"/>
    <w:rsid w:val="00931BB4"/>
    <w:rsid w:val="00931CB4"/>
    <w:rsid w:val="00931D62"/>
    <w:rsid w:val="00931E03"/>
    <w:rsid w:val="00931E64"/>
    <w:rsid w:val="00931ED6"/>
    <w:rsid w:val="00931F00"/>
    <w:rsid w:val="00931F15"/>
    <w:rsid w:val="0093202C"/>
    <w:rsid w:val="00932091"/>
    <w:rsid w:val="00932193"/>
    <w:rsid w:val="009321C2"/>
    <w:rsid w:val="00932226"/>
    <w:rsid w:val="00932360"/>
    <w:rsid w:val="0093242B"/>
    <w:rsid w:val="009324B1"/>
    <w:rsid w:val="009324CF"/>
    <w:rsid w:val="00932570"/>
    <w:rsid w:val="00932576"/>
    <w:rsid w:val="009325D1"/>
    <w:rsid w:val="00932649"/>
    <w:rsid w:val="009326C1"/>
    <w:rsid w:val="0093278D"/>
    <w:rsid w:val="00932799"/>
    <w:rsid w:val="009327DC"/>
    <w:rsid w:val="00932A23"/>
    <w:rsid w:val="00932AB9"/>
    <w:rsid w:val="00932B6E"/>
    <w:rsid w:val="00932C4B"/>
    <w:rsid w:val="00932C65"/>
    <w:rsid w:val="00932CE8"/>
    <w:rsid w:val="00932D8E"/>
    <w:rsid w:val="00932F53"/>
    <w:rsid w:val="009330C9"/>
    <w:rsid w:val="0093312C"/>
    <w:rsid w:val="0093315C"/>
    <w:rsid w:val="00933269"/>
    <w:rsid w:val="00933328"/>
    <w:rsid w:val="0093333B"/>
    <w:rsid w:val="00933354"/>
    <w:rsid w:val="009333FC"/>
    <w:rsid w:val="009334FF"/>
    <w:rsid w:val="00933546"/>
    <w:rsid w:val="0093358E"/>
    <w:rsid w:val="00933740"/>
    <w:rsid w:val="0093389D"/>
    <w:rsid w:val="009339C2"/>
    <w:rsid w:val="00933A55"/>
    <w:rsid w:val="00933AD8"/>
    <w:rsid w:val="00933B5C"/>
    <w:rsid w:val="00933BFC"/>
    <w:rsid w:val="00933CCB"/>
    <w:rsid w:val="00933DE6"/>
    <w:rsid w:val="00933E9C"/>
    <w:rsid w:val="009340CC"/>
    <w:rsid w:val="00934122"/>
    <w:rsid w:val="0093414B"/>
    <w:rsid w:val="0093415D"/>
    <w:rsid w:val="009341C7"/>
    <w:rsid w:val="00934419"/>
    <w:rsid w:val="009344EB"/>
    <w:rsid w:val="0093451D"/>
    <w:rsid w:val="00934685"/>
    <w:rsid w:val="009347BE"/>
    <w:rsid w:val="009348A6"/>
    <w:rsid w:val="009348BB"/>
    <w:rsid w:val="009348F7"/>
    <w:rsid w:val="00934921"/>
    <w:rsid w:val="0093493E"/>
    <w:rsid w:val="00934A0B"/>
    <w:rsid w:val="00934A98"/>
    <w:rsid w:val="00934B2C"/>
    <w:rsid w:val="00934B89"/>
    <w:rsid w:val="00934BB5"/>
    <w:rsid w:val="00934C11"/>
    <w:rsid w:val="00934F24"/>
    <w:rsid w:val="00934FB4"/>
    <w:rsid w:val="009351E4"/>
    <w:rsid w:val="00935303"/>
    <w:rsid w:val="00935598"/>
    <w:rsid w:val="00935648"/>
    <w:rsid w:val="009356E3"/>
    <w:rsid w:val="00935744"/>
    <w:rsid w:val="00935774"/>
    <w:rsid w:val="009357FC"/>
    <w:rsid w:val="00935895"/>
    <w:rsid w:val="009358B3"/>
    <w:rsid w:val="00935934"/>
    <w:rsid w:val="00935A07"/>
    <w:rsid w:val="00935A90"/>
    <w:rsid w:val="00935A92"/>
    <w:rsid w:val="00935ACB"/>
    <w:rsid w:val="00935C4C"/>
    <w:rsid w:val="00935C72"/>
    <w:rsid w:val="00935CD9"/>
    <w:rsid w:val="00935D93"/>
    <w:rsid w:val="00935DE4"/>
    <w:rsid w:val="00935E1A"/>
    <w:rsid w:val="00935E74"/>
    <w:rsid w:val="00936083"/>
    <w:rsid w:val="0093609C"/>
    <w:rsid w:val="009360D3"/>
    <w:rsid w:val="009361AD"/>
    <w:rsid w:val="00936288"/>
    <w:rsid w:val="00936449"/>
    <w:rsid w:val="00936647"/>
    <w:rsid w:val="00936749"/>
    <w:rsid w:val="00936923"/>
    <w:rsid w:val="009369A6"/>
    <w:rsid w:val="00936A18"/>
    <w:rsid w:val="00936A2D"/>
    <w:rsid w:val="00936A94"/>
    <w:rsid w:val="00936B77"/>
    <w:rsid w:val="00936C02"/>
    <w:rsid w:val="00936CF8"/>
    <w:rsid w:val="00936DF9"/>
    <w:rsid w:val="00936E4E"/>
    <w:rsid w:val="00936E56"/>
    <w:rsid w:val="00936E5E"/>
    <w:rsid w:val="00936F83"/>
    <w:rsid w:val="009370D3"/>
    <w:rsid w:val="0093713F"/>
    <w:rsid w:val="0093714C"/>
    <w:rsid w:val="00937205"/>
    <w:rsid w:val="0093746B"/>
    <w:rsid w:val="009374C8"/>
    <w:rsid w:val="00937546"/>
    <w:rsid w:val="0093769D"/>
    <w:rsid w:val="009376C8"/>
    <w:rsid w:val="009376FC"/>
    <w:rsid w:val="0093773E"/>
    <w:rsid w:val="009377B7"/>
    <w:rsid w:val="009377CD"/>
    <w:rsid w:val="009377D1"/>
    <w:rsid w:val="009378B2"/>
    <w:rsid w:val="00937A78"/>
    <w:rsid w:val="00937B2B"/>
    <w:rsid w:val="00937BFD"/>
    <w:rsid w:val="00937C2B"/>
    <w:rsid w:val="00937CAB"/>
    <w:rsid w:val="00937D65"/>
    <w:rsid w:val="00937DE7"/>
    <w:rsid w:val="00937E06"/>
    <w:rsid w:val="00937F39"/>
    <w:rsid w:val="00937FE0"/>
    <w:rsid w:val="00939374"/>
    <w:rsid w:val="00940079"/>
    <w:rsid w:val="00940118"/>
    <w:rsid w:val="00940168"/>
    <w:rsid w:val="0094018D"/>
    <w:rsid w:val="00940366"/>
    <w:rsid w:val="0094037B"/>
    <w:rsid w:val="009404B0"/>
    <w:rsid w:val="009404CE"/>
    <w:rsid w:val="009406C1"/>
    <w:rsid w:val="009406DF"/>
    <w:rsid w:val="00940754"/>
    <w:rsid w:val="00940786"/>
    <w:rsid w:val="0094079B"/>
    <w:rsid w:val="009407E6"/>
    <w:rsid w:val="009409BF"/>
    <w:rsid w:val="00940A54"/>
    <w:rsid w:val="00940A5C"/>
    <w:rsid w:val="00940AA3"/>
    <w:rsid w:val="00940B3C"/>
    <w:rsid w:val="00940B50"/>
    <w:rsid w:val="00940B53"/>
    <w:rsid w:val="00940BA4"/>
    <w:rsid w:val="00940BB4"/>
    <w:rsid w:val="00940C21"/>
    <w:rsid w:val="00940CDB"/>
    <w:rsid w:val="00940D06"/>
    <w:rsid w:val="00940D71"/>
    <w:rsid w:val="00940D72"/>
    <w:rsid w:val="00940DD9"/>
    <w:rsid w:val="00940E37"/>
    <w:rsid w:val="00940E92"/>
    <w:rsid w:val="00940EAC"/>
    <w:rsid w:val="00940EC9"/>
    <w:rsid w:val="00940F14"/>
    <w:rsid w:val="00940F2B"/>
    <w:rsid w:val="00940F58"/>
    <w:rsid w:val="00940F9C"/>
    <w:rsid w:val="00940FE5"/>
    <w:rsid w:val="00941017"/>
    <w:rsid w:val="009410E8"/>
    <w:rsid w:val="0094112E"/>
    <w:rsid w:val="00941192"/>
    <w:rsid w:val="0094125A"/>
    <w:rsid w:val="00941283"/>
    <w:rsid w:val="009412CE"/>
    <w:rsid w:val="00941346"/>
    <w:rsid w:val="0094139A"/>
    <w:rsid w:val="00941419"/>
    <w:rsid w:val="0094145E"/>
    <w:rsid w:val="00941542"/>
    <w:rsid w:val="00941565"/>
    <w:rsid w:val="0094159E"/>
    <w:rsid w:val="009416C1"/>
    <w:rsid w:val="009416E3"/>
    <w:rsid w:val="009416F1"/>
    <w:rsid w:val="00941911"/>
    <w:rsid w:val="00941A5B"/>
    <w:rsid w:val="00941B16"/>
    <w:rsid w:val="00941B38"/>
    <w:rsid w:val="00941B46"/>
    <w:rsid w:val="00941BE2"/>
    <w:rsid w:val="00941F10"/>
    <w:rsid w:val="00941F1C"/>
    <w:rsid w:val="00941F6B"/>
    <w:rsid w:val="00942092"/>
    <w:rsid w:val="00942115"/>
    <w:rsid w:val="0094211A"/>
    <w:rsid w:val="00942275"/>
    <w:rsid w:val="009422C5"/>
    <w:rsid w:val="00942305"/>
    <w:rsid w:val="009424C2"/>
    <w:rsid w:val="009425EB"/>
    <w:rsid w:val="009426A2"/>
    <w:rsid w:val="0094274B"/>
    <w:rsid w:val="0094294B"/>
    <w:rsid w:val="009429A5"/>
    <w:rsid w:val="00942A2F"/>
    <w:rsid w:val="00942BA0"/>
    <w:rsid w:val="00942C0B"/>
    <w:rsid w:val="00942C36"/>
    <w:rsid w:val="00942CD3"/>
    <w:rsid w:val="00942DCA"/>
    <w:rsid w:val="00942EB1"/>
    <w:rsid w:val="00943084"/>
    <w:rsid w:val="00943184"/>
    <w:rsid w:val="009431BC"/>
    <w:rsid w:val="009431F7"/>
    <w:rsid w:val="00943238"/>
    <w:rsid w:val="00943324"/>
    <w:rsid w:val="0094332B"/>
    <w:rsid w:val="0094346D"/>
    <w:rsid w:val="009434A5"/>
    <w:rsid w:val="009434C6"/>
    <w:rsid w:val="009434F6"/>
    <w:rsid w:val="009434FD"/>
    <w:rsid w:val="00943549"/>
    <w:rsid w:val="009435B7"/>
    <w:rsid w:val="009435B8"/>
    <w:rsid w:val="009435E9"/>
    <w:rsid w:val="009435F1"/>
    <w:rsid w:val="0094369D"/>
    <w:rsid w:val="009436E2"/>
    <w:rsid w:val="009436FB"/>
    <w:rsid w:val="00943779"/>
    <w:rsid w:val="009438E0"/>
    <w:rsid w:val="00943933"/>
    <w:rsid w:val="0094394E"/>
    <w:rsid w:val="0094397C"/>
    <w:rsid w:val="00943A80"/>
    <w:rsid w:val="00943AAE"/>
    <w:rsid w:val="00943AFF"/>
    <w:rsid w:val="00943B7C"/>
    <w:rsid w:val="00943BA9"/>
    <w:rsid w:val="00943BED"/>
    <w:rsid w:val="00943C57"/>
    <w:rsid w:val="00943C7F"/>
    <w:rsid w:val="00943CFE"/>
    <w:rsid w:val="00943D76"/>
    <w:rsid w:val="00943DC0"/>
    <w:rsid w:val="00943DDF"/>
    <w:rsid w:val="00943DEE"/>
    <w:rsid w:val="00943EA1"/>
    <w:rsid w:val="00943ECB"/>
    <w:rsid w:val="00943F22"/>
    <w:rsid w:val="00943F3F"/>
    <w:rsid w:val="00943F99"/>
    <w:rsid w:val="00943FAA"/>
    <w:rsid w:val="00943FBD"/>
    <w:rsid w:val="00944164"/>
    <w:rsid w:val="009441C7"/>
    <w:rsid w:val="00944299"/>
    <w:rsid w:val="009442C5"/>
    <w:rsid w:val="009443BF"/>
    <w:rsid w:val="009443C0"/>
    <w:rsid w:val="00944746"/>
    <w:rsid w:val="00944769"/>
    <w:rsid w:val="0094479E"/>
    <w:rsid w:val="009447F9"/>
    <w:rsid w:val="0094490D"/>
    <w:rsid w:val="009449A0"/>
    <w:rsid w:val="009449D6"/>
    <w:rsid w:val="00944AC5"/>
    <w:rsid w:val="00944B13"/>
    <w:rsid w:val="00944B46"/>
    <w:rsid w:val="00944B9C"/>
    <w:rsid w:val="00944C16"/>
    <w:rsid w:val="00944C1B"/>
    <w:rsid w:val="00944C71"/>
    <w:rsid w:val="00944E18"/>
    <w:rsid w:val="00944EDC"/>
    <w:rsid w:val="00944F23"/>
    <w:rsid w:val="0094501E"/>
    <w:rsid w:val="00945060"/>
    <w:rsid w:val="009450AB"/>
    <w:rsid w:val="009450F7"/>
    <w:rsid w:val="00945172"/>
    <w:rsid w:val="009451A8"/>
    <w:rsid w:val="00945328"/>
    <w:rsid w:val="00945405"/>
    <w:rsid w:val="0094554F"/>
    <w:rsid w:val="0094556C"/>
    <w:rsid w:val="009456D6"/>
    <w:rsid w:val="00945760"/>
    <w:rsid w:val="0094576D"/>
    <w:rsid w:val="00945797"/>
    <w:rsid w:val="009457B0"/>
    <w:rsid w:val="009458C0"/>
    <w:rsid w:val="00945907"/>
    <w:rsid w:val="009459BC"/>
    <w:rsid w:val="00945A5E"/>
    <w:rsid w:val="00945AE9"/>
    <w:rsid w:val="00945AEA"/>
    <w:rsid w:val="00945B32"/>
    <w:rsid w:val="00945BCB"/>
    <w:rsid w:val="00945BE0"/>
    <w:rsid w:val="00945BFA"/>
    <w:rsid w:val="00945C18"/>
    <w:rsid w:val="00945C90"/>
    <w:rsid w:val="00945D16"/>
    <w:rsid w:val="00945D18"/>
    <w:rsid w:val="00945D35"/>
    <w:rsid w:val="00945DB2"/>
    <w:rsid w:val="00945DB5"/>
    <w:rsid w:val="00945F43"/>
    <w:rsid w:val="00946079"/>
    <w:rsid w:val="0094612C"/>
    <w:rsid w:val="009462EC"/>
    <w:rsid w:val="009463AB"/>
    <w:rsid w:val="009463DD"/>
    <w:rsid w:val="00946482"/>
    <w:rsid w:val="009464D8"/>
    <w:rsid w:val="00946623"/>
    <w:rsid w:val="009466AA"/>
    <w:rsid w:val="009467DE"/>
    <w:rsid w:val="009467E5"/>
    <w:rsid w:val="009467F2"/>
    <w:rsid w:val="00946837"/>
    <w:rsid w:val="0094687C"/>
    <w:rsid w:val="00946981"/>
    <w:rsid w:val="00946989"/>
    <w:rsid w:val="00946998"/>
    <w:rsid w:val="00946AF0"/>
    <w:rsid w:val="00946B33"/>
    <w:rsid w:val="00946BAC"/>
    <w:rsid w:val="00946C69"/>
    <w:rsid w:val="00946DC1"/>
    <w:rsid w:val="00946ED5"/>
    <w:rsid w:val="00946F55"/>
    <w:rsid w:val="00946FF0"/>
    <w:rsid w:val="009470B3"/>
    <w:rsid w:val="0094714B"/>
    <w:rsid w:val="00947163"/>
    <w:rsid w:val="00947182"/>
    <w:rsid w:val="009471B7"/>
    <w:rsid w:val="009473CA"/>
    <w:rsid w:val="009473E7"/>
    <w:rsid w:val="00947473"/>
    <w:rsid w:val="009476F3"/>
    <w:rsid w:val="00947702"/>
    <w:rsid w:val="00947775"/>
    <w:rsid w:val="00947922"/>
    <w:rsid w:val="00947A0D"/>
    <w:rsid w:val="00947B42"/>
    <w:rsid w:val="00947DAB"/>
    <w:rsid w:val="00947DEF"/>
    <w:rsid w:val="00947FB4"/>
    <w:rsid w:val="0094C477"/>
    <w:rsid w:val="0095002B"/>
    <w:rsid w:val="00950070"/>
    <w:rsid w:val="009500A6"/>
    <w:rsid w:val="009500C8"/>
    <w:rsid w:val="009500F0"/>
    <w:rsid w:val="00950184"/>
    <w:rsid w:val="009502DB"/>
    <w:rsid w:val="00950323"/>
    <w:rsid w:val="009503C4"/>
    <w:rsid w:val="0095043E"/>
    <w:rsid w:val="009504D5"/>
    <w:rsid w:val="0095051B"/>
    <w:rsid w:val="00950523"/>
    <w:rsid w:val="009505FC"/>
    <w:rsid w:val="009506F9"/>
    <w:rsid w:val="00950DB0"/>
    <w:rsid w:val="00950DC2"/>
    <w:rsid w:val="00950E44"/>
    <w:rsid w:val="00950ECE"/>
    <w:rsid w:val="00950ED5"/>
    <w:rsid w:val="00950F1F"/>
    <w:rsid w:val="00950F6E"/>
    <w:rsid w:val="00950F7C"/>
    <w:rsid w:val="00950FA1"/>
    <w:rsid w:val="00950FCF"/>
    <w:rsid w:val="00950FF5"/>
    <w:rsid w:val="0095124B"/>
    <w:rsid w:val="00951278"/>
    <w:rsid w:val="009513F5"/>
    <w:rsid w:val="0095151C"/>
    <w:rsid w:val="00951536"/>
    <w:rsid w:val="00951586"/>
    <w:rsid w:val="0095160E"/>
    <w:rsid w:val="00951750"/>
    <w:rsid w:val="009517E7"/>
    <w:rsid w:val="009517F7"/>
    <w:rsid w:val="00951830"/>
    <w:rsid w:val="00951973"/>
    <w:rsid w:val="00951A8C"/>
    <w:rsid w:val="00951AE0"/>
    <w:rsid w:val="00951B04"/>
    <w:rsid w:val="00951D46"/>
    <w:rsid w:val="00951DC8"/>
    <w:rsid w:val="00951DD8"/>
    <w:rsid w:val="00951E3F"/>
    <w:rsid w:val="00951EA7"/>
    <w:rsid w:val="009520FD"/>
    <w:rsid w:val="009521BA"/>
    <w:rsid w:val="009521BE"/>
    <w:rsid w:val="00952268"/>
    <w:rsid w:val="009522AE"/>
    <w:rsid w:val="0095234E"/>
    <w:rsid w:val="0095241E"/>
    <w:rsid w:val="00952462"/>
    <w:rsid w:val="00952646"/>
    <w:rsid w:val="00952719"/>
    <w:rsid w:val="00952752"/>
    <w:rsid w:val="009527B5"/>
    <w:rsid w:val="00952ACE"/>
    <w:rsid w:val="00952BAC"/>
    <w:rsid w:val="00952BEA"/>
    <w:rsid w:val="00952C0D"/>
    <w:rsid w:val="00952D1A"/>
    <w:rsid w:val="00952D41"/>
    <w:rsid w:val="00952DCC"/>
    <w:rsid w:val="00953015"/>
    <w:rsid w:val="00953041"/>
    <w:rsid w:val="0095304C"/>
    <w:rsid w:val="009530E5"/>
    <w:rsid w:val="00953216"/>
    <w:rsid w:val="0095324D"/>
    <w:rsid w:val="0095332D"/>
    <w:rsid w:val="009533F7"/>
    <w:rsid w:val="00953481"/>
    <w:rsid w:val="00953546"/>
    <w:rsid w:val="00953597"/>
    <w:rsid w:val="0095372A"/>
    <w:rsid w:val="009537AE"/>
    <w:rsid w:val="00953802"/>
    <w:rsid w:val="00953856"/>
    <w:rsid w:val="009538E2"/>
    <w:rsid w:val="0095390B"/>
    <w:rsid w:val="00953990"/>
    <w:rsid w:val="00953A72"/>
    <w:rsid w:val="00953AC2"/>
    <w:rsid w:val="00953B6C"/>
    <w:rsid w:val="00953BE8"/>
    <w:rsid w:val="00953D3F"/>
    <w:rsid w:val="00953D87"/>
    <w:rsid w:val="00953DA5"/>
    <w:rsid w:val="00953E7B"/>
    <w:rsid w:val="00953F3C"/>
    <w:rsid w:val="00954123"/>
    <w:rsid w:val="009541DA"/>
    <w:rsid w:val="009541E1"/>
    <w:rsid w:val="00954203"/>
    <w:rsid w:val="00954256"/>
    <w:rsid w:val="009543E0"/>
    <w:rsid w:val="00954441"/>
    <w:rsid w:val="00954452"/>
    <w:rsid w:val="009544D9"/>
    <w:rsid w:val="009544DE"/>
    <w:rsid w:val="0095451C"/>
    <w:rsid w:val="009545E3"/>
    <w:rsid w:val="009545ED"/>
    <w:rsid w:val="009545EE"/>
    <w:rsid w:val="00954615"/>
    <w:rsid w:val="009546C5"/>
    <w:rsid w:val="00954881"/>
    <w:rsid w:val="00954991"/>
    <w:rsid w:val="00954993"/>
    <w:rsid w:val="009549CB"/>
    <w:rsid w:val="009549F0"/>
    <w:rsid w:val="00954A3B"/>
    <w:rsid w:val="00954ACF"/>
    <w:rsid w:val="00954EDD"/>
    <w:rsid w:val="009551C9"/>
    <w:rsid w:val="009551F6"/>
    <w:rsid w:val="00955277"/>
    <w:rsid w:val="00955310"/>
    <w:rsid w:val="00955354"/>
    <w:rsid w:val="009554E3"/>
    <w:rsid w:val="009555FD"/>
    <w:rsid w:val="0095564B"/>
    <w:rsid w:val="009556B7"/>
    <w:rsid w:val="009556CA"/>
    <w:rsid w:val="00955813"/>
    <w:rsid w:val="0095583A"/>
    <w:rsid w:val="00955903"/>
    <w:rsid w:val="00955904"/>
    <w:rsid w:val="00955955"/>
    <w:rsid w:val="00955A6A"/>
    <w:rsid w:val="00955AAA"/>
    <w:rsid w:val="00955C62"/>
    <w:rsid w:val="00955CCF"/>
    <w:rsid w:val="00955CD4"/>
    <w:rsid w:val="00955E16"/>
    <w:rsid w:val="00955F49"/>
    <w:rsid w:val="00955FFA"/>
    <w:rsid w:val="0095602F"/>
    <w:rsid w:val="00956089"/>
    <w:rsid w:val="0095614E"/>
    <w:rsid w:val="009561C4"/>
    <w:rsid w:val="00956364"/>
    <w:rsid w:val="009563B8"/>
    <w:rsid w:val="009563DF"/>
    <w:rsid w:val="00956495"/>
    <w:rsid w:val="00956589"/>
    <w:rsid w:val="00956667"/>
    <w:rsid w:val="009566F6"/>
    <w:rsid w:val="00956705"/>
    <w:rsid w:val="00956800"/>
    <w:rsid w:val="00956870"/>
    <w:rsid w:val="00956A56"/>
    <w:rsid w:val="00956A8A"/>
    <w:rsid w:val="00956A94"/>
    <w:rsid w:val="00956BA0"/>
    <w:rsid w:val="00956BD3"/>
    <w:rsid w:val="00956CB6"/>
    <w:rsid w:val="00956CCC"/>
    <w:rsid w:val="00956D86"/>
    <w:rsid w:val="00956EC5"/>
    <w:rsid w:val="00956EF1"/>
    <w:rsid w:val="00956FC2"/>
    <w:rsid w:val="00957082"/>
    <w:rsid w:val="0095708D"/>
    <w:rsid w:val="009570BB"/>
    <w:rsid w:val="009570C7"/>
    <w:rsid w:val="00957161"/>
    <w:rsid w:val="0095724F"/>
    <w:rsid w:val="009572F7"/>
    <w:rsid w:val="0095736B"/>
    <w:rsid w:val="0095740C"/>
    <w:rsid w:val="009574F0"/>
    <w:rsid w:val="00957524"/>
    <w:rsid w:val="009576D8"/>
    <w:rsid w:val="0095771D"/>
    <w:rsid w:val="009577B7"/>
    <w:rsid w:val="00957851"/>
    <w:rsid w:val="00957970"/>
    <w:rsid w:val="00957A1A"/>
    <w:rsid w:val="00957A35"/>
    <w:rsid w:val="00957A55"/>
    <w:rsid w:val="00957A6B"/>
    <w:rsid w:val="00957A74"/>
    <w:rsid w:val="00957ADB"/>
    <w:rsid w:val="00957BCD"/>
    <w:rsid w:val="00957BE0"/>
    <w:rsid w:val="00957BEA"/>
    <w:rsid w:val="00957F3F"/>
    <w:rsid w:val="00957F68"/>
    <w:rsid w:val="00957FC7"/>
    <w:rsid w:val="00959544"/>
    <w:rsid w:val="00959A25"/>
    <w:rsid w:val="0095E0C8"/>
    <w:rsid w:val="00960038"/>
    <w:rsid w:val="00960074"/>
    <w:rsid w:val="009600AA"/>
    <w:rsid w:val="00960128"/>
    <w:rsid w:val="00960197"/>
    <w:rsid w:val="009601B7"/>
    <w:rsid w:val="00960205"/>
    <w:rsid w:val="00960210"/>
    <w:rsid w:val="00960291"/>
    <w:rsid w:val="0096037A"/>
    <w:rsid w:val="009603A5"/>
    <w:rsid w:val="0096050A"/>
    <w:rsid w:val="009605A5"/>
    <w:rsid w:val="009605B4"/>
    <w:rsid w:val="009605F3"/>
    <w:rsid w:val="00960674"/>
    <w:rsid w:val="009607C4"/>
    <w:rsid w:val="00960810"/>
    <w:rsid w:val="0096088C"/>
    <w:rsid w:val="00960A20"/>
    <w:rsid w:val="00960A48"/>
    <w:rsid w:val="00960A77"/>
    <w:rsid w:val="00960A9F"/>
    <w:rsid w:val="00960AA4"/>
    <w:rsid w:val="00960B1B"/>
    <w:rsid w:val="00960B62"/>
    <w:rsid w:val="00960FB9"/>
    <w:rsid w:val="0096113C"/>
    <w:rsid w:val="0096135E"/>
    <w:rsid w:val="009613BF"/>
    <w:rsid w:val="0096140D"/>
    <w:rsid w:val="0096144D"/>
    <w:rsid w:val="00961624"/>
    <w:rsid w:val="009616B5"/>
    <w:rsid w:val="0096170E"/>
    <w:rsid w:val="0096171E"/>
    <w:rsid w:val="00961739"/>
    <w:rsid w:val="0096173F"/>
    <w:rsid w:val="0096176B"/>
    <w:rsid w:val="00961800"/>
    <w:rsid w:val="00961838"/>
    <w:rsid w:val="009619FE"/>
    <w:rsid w:val="00961A95"/>
    <w:rsid w:val="00961B9B"/>
    <w:rsid w:val="00961BC0"/>
    <w:rsid w:val="00961BFA"/>
    <w:rsid w:val="00961D4A"/>
    <w:rsid w:val="00961DD4"/>
    <w:rsid w:val="00961E22"/>
    <w:rsid w:val="00961EDF"/>
    <w:rsid w:val="00961F87"/>
    <w:rsid w:val="009621BE"/>
    <w:rsid w:val="0096225A"/>
    <w:rsid w:val="00962278"/>
    <w:rsid w:val="00962284"/>
    <w:rsid w:val="00962328"/>
    <w:rsid w:val="00962356"/>
    <w:rsid w:val="009623B4"/>
    <w:rsid w:val="00962539"/>
    <w:rsid w:val="00962568"/>
    <w:rsid w:val="00962599"/>
    <w:rsid w:val="00962631"/>
    <w:rsid w:val="0096268F"/>
    <w:rsid w:val="009626D8"/>
    <w:rsid w:val="00962806"/>
    <w:rsid w:val="009628AC"/>
    <w:rsid w:val="00962943"/>
    <w:rsid w:val="00962A11"/>
    <w:rsid w:val="00962A3B"/>
    <w:rsid w:val="00962AA8"/>
    <w:rsid w:val="00962AE3"/>
    <w:rsid w:val="00962BCE"/>
    <w:rsid w:val="00962C77"/>
    <w:rsid w:val="00962C83"/>
    <w:rsid w:val="00962C91"/>
    <w:rsid w:val="00962D32"/>
    <w:rsid w:val="00962E4A"/>
    <w:rsid w:val="00962F79"/>
    <w:rsid w:val="00963073"/>
    <w:rsid w:val="009632A9"/>
    <w:rsid w:val="009632FA"/>
    <w:rsid w:val="00963399"/>
    <w:rsid w:val="00963505"/>
    <w:rsid w:val="00963514"/>
    <w:rsid w:val="00963529"/>
    <w:rsid w:val="009635C1"/>
    <w:rsid w:val="009636F0"/>
    <w:rsid w:val="009636F5"/>
    <w:rsid w:val="00963886"/>
    <w:rsid w:val="009638A5"/>
    <w:rsid w:val="0096390B"/>
    <w:rsid w:val="00963921"/>
    <w:rsid w:val="0096396B"/>
    <w:rsid w:val="00963A99"/>
    <w:rsid w:val="00963AEF"/>
    <w:rsid w:val="00963B0D"/>
    <w:rsid w:val="00963B32"/>
    <w:rsid w:val="00963CC9"/>
    <w:rsid w:val="00963E5A"/>
    <w:rsid w:val="00963E5B"/>
    <w:rsid w:val="00963EC8"/>
    <w:rsid w:val="00963EC9"/>
    <w:rsid w:val="00963F01"/>
    <w:rsid w:val="00963FA5"/>
    <w:rsid w:val="00964044"/>
    <w:rsid w:val="00964046"/>
    <w:rsid w:val="00964097"/>
    <w:rsid w:val="009640AA"/>
    <w:rsid w:val="0096417E"/>
    <w:rsid w:val="00964467"/>
    <w:rsid w:val="00964479"/>
    <w:rsid w:val="00964497"/>
    <w:rsid w:val="009644C3"/>
    <w:rsid w:val="0096450B"/>
    <w:rsid w:val="0096452E"/>
    <w:rsid w:val="009645B9"/>
    <w:rsid w:val="009645C2"/>
    <w:rsid w:val="00964742"/>
    <w:rsid w:val="009648A4"/>
    <w:rsid w:val="0096495F"/>
    <w:rsid w:val="009649A6"/>
    <w:rsid w:val="00964A1B"/>
    <w:rsid w:val="00964A5E"/>
    <w:rsid w:val="00964B85"/>
    <w:rsid w:val="00964C0D"/>
    <w:rsid w:val="00964C49"/>
    <w:rsid w:val="00964C7D"/>
    <w:rsid w:val="00964CEB"/>
    <w:rsid w:val="00964CEF"/>
    <w:rsid w:val="00964D15"/>
    <w:rsid w:val="00964D1A"/>
    <w:rsid w:val="00964D25"/>
    <w:rsid w:val="00964D7E"/>
    <w:rsid w:val="00964DDD"/>
    <w:rsid w:val="00965014"/>
    <w:rsid w:val="00965092"/>
    <w:rsid w:val="009651D5"/>
    <w:rsid w:val="0096524C"/>
    <w:rsid w:val="0096534D"/>
    <w:rsid w:val="009653FB"/>
    <w:rsid w:val="0096548A"/>
    <w:rsid w:val="009654F2"/>
    <w:rsid w:val="0096551E"/>
    <w:rsid w:val="00965524"/>
    <w:rsid w:val="00965590"/>
    <w:rsid w:val="00965593"/>
    <w:rsid w:val="009655D8"/>
    <w:rsid w:val="00965712"/>
    <w:rsid w:val="00965797"/>
    <w:rsid w:val="009657B0"/>
    <w:rsid w:val="00965823"/>
    <w:rsid w:val="009659EC"/>
    <w:rsid w:val="00965AE3"/>
    <w:rsid w:val="00965B00"/>
    <w:rsid w:val="00965B5E"/>
    <w:rsid w:val="00965B6E"/>
    <w:rsid w:val="00965D14"/>
    <w:rsid w:val="00965D80"/>
    <w:rsid w:val="00965DAD"/>
    <w:rsid w:val="00965F16"/>
    <w:rsid w:val="00966001"/>
    <w:rsid w:val="00966015"/>
    <w:rsid w:val="00966092"/>
    <w:rsid w:val="009660A2"/>
    <w:rsid w:val="0096613D"/>
    <w:rsid w:val="0096624F"/>
    <w:rsid w:val="00966276"/>
    <w:rsid w:val="009662C7"/>
    <w:rsid w:val="009662EA"/>
    <w:rsid w:val="009662F1"/>
    <w:rsid w:val="009662FC"/>
    <w:rsid w:val="00966348"/>
    <w:rsid w:val="00966358"/>
    <w:rsid w:val="00966455"/>
    <w:rsid w:val="0096658D"/>
    <w:rsid w:val="009665E1"/>
    <w:rsid w:val="00966625"/>
    <w:rsid w:val="00966742"/>
    <w:rsid w:val="00966769"/>
    <w:rsid w:val="0096691E"/>
    <w:rsid w:val="009669F2"/>
    <w:rsid w:val="00966B28"/>
    <w:rsid w:val="00966D1D"/>
    <w:rsid w:val="00966F55"/>
    <w:rsid w:val="00966FDD"/>
    <w:rsid w:val="00966FE6"/>
    <w:rsid w:val="009671C5"/>
    <w:rsid w:val="009672AD"/>
    <w:rsid w:val="00967415"/>
    <w:rsid w:val="00967426"/>
    <w:rsid w:val="00967590"/>
    <w:rsid w:val="0096768D"/>
    <w:rsid w:val="00967715"/>
    <w:rsid w:val="00967720"/>
    <w:rsid w:val="0096774B"/>
    <w:rsid w:val="00967766"/>
    <w:rsid w:val="00967828"/>
    <w:rsid w:val="009678EB"/>
    <w:rsid w:val="00967902"/>
    <w:rsid w:val="00967904"/>
    <w:rsid w:val="00967978"/>
    <w:rsid w:val="009679FE"/>
    <w:rsid w:val="00967A3E"/>
    <w:rsid w:val="00967A7C"/>
    <w:rsid w:val="00967AA3"/>
    <w:rsid w:val="00967C06"/>
    <w:rsid w:val="00967C59"/>
    <w:rsid w:val="00967DC7"/>
    <w:rsid w:val="00967E14"/>
    <w:rsid w:val="00967E21"/>
    <w:rsid w:val="00967E69"/>
    <w:rsid w:val="00967FE4"/>
    <w:rsid w:val="00970060"/>
    <w:rsid w:val="0097011E"/>
    <w:rsid w:val="0097016D"/>
    <w:rsid w:val="009701BF"/>
    <w:rsid w:val="0097020D"/>
    <w:rsid w:val="00970252"/>
    <w:rsid w:val="009703B0"/>
    <w:rsid w:val="009703E8"/>
    <w:rsid w:val="0097048F"/>
    <w:rsid w:val="0097052A"/>
    <w:rsid w:val="0097079E"/>
    <w:rsid w:val="0097088A"/>
    <w:rsid w:val="009709DC"/>
    <w:rsid w:val="00970A47"/>
    <w:rsid w:val="00970A51"/>
    <w:rsid w:val="00970AFC"/>
    <w:rsid w:val="00970BEC"/>
    <w:rsid w:val="00970D82"/>
    <w:rsid w:val="00970DE3"/>
    <w:rsid w:val="00970DF2"/>
    <w:rsid w:val="00970E97"/>
    <w:rsid w:val="00970FD6"/>
    <w:rsid w:val="0097101B"/>
    <w:rsid w:val="0097114C"/>
    <w:rsid w:val="00971563"/>
    <w:rsid w:val="0097171E"/>
    <w:rsid w:val="0097174E"/>
    <w:rsid w:val="00971752"/>
    <w:rsid w:val="00971756"/>
    <w:rsid w:val="00971864"/>
    <w:rsid w:val="00971885"/>
    <w:rsid w:val="009718AF"/>
    <w:rsid w:val="009718C2"/>
    <w:rsid w:val="00971925"/>
    <w:rsid w:val="00971954"/>
    <w:rsid w:val="009719B5"/>
    <w:rsid w:val="00971B6D"/>
    <w:rsid w:val="00971BD4"/>
    <w:rsid w:val="00971CCF"/>
    <w:rsid w:val="00971CD6"/>
    <w:rsid w:val="00971CE8"/>
    <w:rsid w:val="00971D2C"/>
    <w:rsid w:val="00971DAC"/>
    <w:rsid w:val="00971EAF"/>
    <w:rsid w:val="00971ECE"/>
    <w:rsid w:val="00971F66"/>
    <w:rsid w:val="00971FC9"/>
    <w:rsid w:val="00971FD7"/>
    <w:rsid w:val="0097238C"/>
    <w:rsid w:val="009723C4"/>
    <w:rsid w:val="009723F8"/>
    <w:rsid w:val="00972507"/>
    <w:rsid w:val="009725AF"/>
    <w:rsid w:val="009725DA"/>
    <w:rsid w:val="009726A7"/>
    <w:rsid w:val="009726C6"/>
    <w:rsid w:val="009727AB"/>
    <w:rsid w:val="009728FC"/>
    <w:rsid w:val="00972989"/>
    <w:rsid w:val="00972991"/>
    <w:rsid w:val="009729A2"/>
    <w:rsid w:val="00972A53"/>
    <w:rsid w:val="00972A6F"/>
    <w:rsid w:val="00972B88"/>
    <w:rsid w:val="00972BC2"/>
    <w:rsid w:val="00972C42"/>
    <w:rsid w:val="00972C68"/>
    <w:rsid w:val="00972CC9"/>
    <w:rsid w:val="00972CE2"/>
    <w:rsid w:val="00972DC8"/>
    <w:rsid w:val="00972EA6"/>
    <w:rsid w:val="0097307C"/>
    <w:rsid w:val="009730C5"/>
    <w:rsid w:val="009730D9"/>
    <w:rsid w:val="0097336D"/>
    <w:rsid w:val="00973382"/>
    <w:rsid w:val="009733A3"/>
    <w:rsid w:val="009733BE"/>
    <w:rsid w:val="00973452"/>
    <w:rsid w:val="00973517"/>
    <w:rsid w:val="009736C6"/>
    <w:rsid w:val="0097370B"/>
    <w:rsid w:val="00973759"/>
    <w:rsid w:val="00973A31"/>
    <w:rsid w:val="00973A7C"/>
    <w:rsid w:val="00973AA0"/>
    <w:rsid w:val="00973B98"/>
    <w:rsid w:val="00973C76"/>
    <w:rsid w:val="00973C9B"/>
    <w:rsid w:val="00973DD7"/>
    <w:rsid w:val="00973E76"/>
    <w:rsid w:val="00973EAD"/>
    <w:rsid w:val="00974125"/>
    <w:rsid w:val="00974199"/>
    <w:rsid w:val="0097432E"/>
    <w:rsid w:val="0097434C"/>
    <w:rsid w:val="00974379"/>
    <w:rsid w:val="00974382"/>
    <w:rsid w:val="009743A5"/>
    <w:rsid w:val="00974599"/>
    <w:rsid w:val="009745B0"/>
    <w:rsid w:val="00974814"/>
    <w:rsid w:val="00974818"/>
    <w:rsid w:val="0097492B"/>
    <w:rsid w:val="00974969"/>
    <w:rsid w:val="009749AD"/>
    <w:rsid w:val="009749BD"/>
    <w:rsid w:val="009749CC"/>
    <w:rsid w:val="00974A5E"/>
    <w:rsid w:val="00974AA6"/>
    <w:rsid w:val="00974AD7"/>
    <w:rsid w:val="00974AE3"/>
    <w:rsid w:val="00974B9D"/>
    <w:rsid w:val="00974BCB"/>
    <w:rsid w:val="00974BEF"/>
    <w:rsid w:val="00974C73"/>
    <w:rsid w:val="00974C81"/>
    <w:rsid w:val="00974D6E"/>
    <w:rsid w:val="00974E29"/>
    <w:rsid w:val="00974E65"/>
    <w:rsid w:val="00974F40"/>
    <w:rsid w:val="00974FAB"/>
    <w:rsid w:val="00974FD6"/>
    <w:rsid w:val="00975029"/>
    <w:rsid w:val="009751CE"/>
    <w:rsid w:val="009752FD"/>
    <w:rsid w:val="0097531E"/>
    <w:rsid w:val="009753B0"/>
    <w:rsid w:val="009753BB"/>
    <w:rsid w:val="00975462"/>
    <w:rsid w:val="00975463"/>
    <w:rsid w:val="0097546D"/>
    <w:rsid w:val="00975591"/>
    <w:rsid w:val="00975666"/>
    <w:rsid w:val="00975670"/>
    <w:rsid w:val="00975697"/>
    <w:rsid w:val="0097581E"/>
    <w:rsid w:val="00975837"/>
    <w:rsid w:val="0097586C"/>
    <w:rsid w:val="00975874"/>
    <w:rsid w:val="009758B1"/>
    <w:rsid w:val="0097595D"/>
    <w:rsid w:val="0097598F"/>
    <w:rsid w:val="009759D4"/>
    <w:rsid w:val="009759DD"/>
    <w:rsid w:val="00975B20"/>
    <w:rsid w:val="00975B89"/>
    <w:rsid w:val="00975CD9"/>
    <w:rsid w:val="00975D65"/>
    <w:rsid w:val="00975DB9"/>
    <w:rsid w:val="00975DF4"/>
    <w:rsid w:val="00975E2A"/>
    <w:rsid w:val="0097604C"/>
    <w:rsid w:val="0097605B"/>
    <w:rsid w:val="009760BD"/>
    <w:rsid w:val="009762F4"/>
    <w:rsid w:val="00976555"/>
    <w:rsid w:val="00976592"/>
    <w:rsid w:val="00976620"/>
    <w:rsid w:val="0097665D"/>
    <w:rsid w:val="009767ED"/>
    <w:rsid w:val="00976A49"/>
    <w:rsid w:val="00976B81"/>
    <w:rsid w:val="00976BFB"/>
    <w:rsid w:val="00976CC4"/>
    <w:rsid w:val="00976DB1"/>
    <w:rsid w:val="00976DC6"/>
    <w:rsid w:val="00976DDB"/>
    <w:rsid w:val="00976DEA"/>
    <w:rsid w:val="00976F24"/>
    <w:rsid w:val="00976F7D"/>
    <w:rsid w:val="00976FE5"/>
    <w:rsid w:val="0097705D"/>
    <w:rsid w:val="0097711E"/>
    <w:rsid w:val="009771D9"/>
    <w:rsid w:val="00977257"/>
    <w:rsid w:val="009772D5"/>
    <w:rsid w:val="00977398"/>
    <w:rsid w:val="009775CB"/>
    <w:rsid w:val="0097767B"/>
    <w:rsid w:val="009777C0"/>
    <w:rsid w:val="009777CE"/>
    <w:rsid w:val="009778A6"/>
    <w:rsid w:val="0097792E"/>
    <w:rsid w:val="0097796C"/>
    <w:rsid w:val="009779BF"/>
    <w:rsid w:val="00977A3B"/>
    <w:rsid w:val="00977BC2"/>
    <w:rsid w:val="00977C20"/>
    <w:rsid w:val="00977CF0"/>
    <w:rsid w:val="00977D83"/>
    <w:rsid w:val="00977DC6"/>
    <w:rsid w:val="00977DC8"/>
    <w:rsid w:val="00977DFD"/>
    <w:rsid w:val="0097B5A6"/>
    <w:rsid w:val="0097F5A1"/>
    <w:rsid w:val="0098005C"/>
    <w:rsid w:val="009800D9"/>
    <w:rsid w:val="00980103"/>
    <w:rsid w:val="0098019D"/>
    <w:rsid w:val="009802F2"/>
    <w:rsid w:val="0098059B"/>
    <w:rsid w:val="00980687"/>
    <w:rsid w:val="00980761"/>
    <w:rsid w:val="0098076B"/>
    <w:rsid w:val="00980997"/>
    <w:rsid w:val="00980C55"/>
    <w:rsid w:val="00980CAD"/>
    <w:rsid w:val="00980E88"/>
    <w:rsid w:val="00980FA6"/>
    <w:rsid w:val="00981177"/>
    <w:rsid w:val="00981252"/>
    <w:rsid w:val="009812AE"/>
    <w:rsid w:val="00981603"/>
    <w:rsid w:val="0098173D"/>
    <w:rsid w:val="0098177F"/>
    <w:rsid w:val="00981789"/>
    <w:rsid w:val="0098179D"/>
    <w:rsid w:val="009817A7"/>
    <w:rsid w:val="00981867"/>
    <w:rsid w:val="00981922"/>
    <w:rsid w:val="00981995"/>
    <w:rsid w:val="009819D1"/>
    <w:rsid w:val="009819DC"/>
    <w:rsid w:val="009819DD"/>
    <w:rsid w:val="00981A09"/>
    <w:rsid w:val="00981B14"/>
    <w:rsid w:val="00981B2D"/>
    <w:rsid w:val="00981B6D"/>
    <w:rsid w:val="00981C05"/>
    <w:rsid w:val="00981CFB"/>
    <w:rsid w:val="00981DDE"/>
    <w:rsid w:val="00981E5C"/>
    <w:rsid w:val="00981E5D"/>
    <w:rsid w:val="00982075"/>
    <w:rsid w:val="00982083"/>
    <w:rsid w:val="009820C1"/>
    <w:rsid w:val="009823AB"/>
    <w:rsid w:val="009824E9"/>
    <w:rsid w:val="0098254B"/>
    <w:rsid w:val="00982729"/>
    <w:rsid w:val="0098277F"/>
    <w:rsid w:val="009829A9"/>
    <w:rsid w:val="00982A53"/>
    <w:rsid w:val="00982CF1"/>
    <w:rsid w:val="00982E29"/>
    <w:rsid w:val="00982EAD"/>
    <w:rsid w:val="00982EFD"/>
    <w:rsid w:val="00982F13"/>
    <w:rsid w:val="00982F2F"/>
    <w:rsid w:val="0098311D"/>
    <w:rsid w:val="00983444"/>
    <w:rsid w:val="0098352F"/>
    <w:rsid w:val="00983536"/>
    <w:rsid w:val="009836CA"/>
    <w:rsid w:val="009836D4"/>
    <w:rsid w:val="009836D8"/>
    <w:rsid w:val="009837BB"/>
    <w:rsid w:val="00983922"/>
    <w:rsid w:val="00983A37"/>
    <w:rsid w:val="00983B2F"/>
    <w:rsid w:val="00983C3A"/>
    <w:rsid w:val="00983C89"/>
    <w:rsid w:val="00983CED"/>
    <w:rsid w:val="00983F92"/>
    <w:rsid w:val="00983FF6"/>
    <w:rsid w:val="00984091"/>
    <w:rsid w:val="009842EA"/>
    <w:rsid w:val="00984373"/>
    <w:rsid w:val="0098450A"/>
    <w:rsid w:val="00984546"/>
    <w:rsid w:val="00984613"/>
    <w:rsid w:val="00984683"/>
    <w:rsid w:val="009847F1"/>
    <w:rsid w:val="00984817"/>
    <w:rsid w:val="00984918"/>
    <w:rsid w:val="00984936"/>
    <w:rsid w:val="00984957"/>
    <w:rsid w:val="0098497F"/>
    <w:rsid w:val="00984B17"/>
    <w:rsid w:val="00984B64"/>
    <w:rsid w:val="00984E33"/>
    <w:rsid w:val="00984E4E"/>
    <w:rsid w:val="00984EBB"/>
    <w:rsid w:val="00984F27"/>
    <w:rsid w:val="00984F98"/>
    <w:rsid w:val="00985009"/>
    <w:rsid w:val="0098508C"/>
    <w:rsid w:val="0098510C"/>
    <w:rsid w:val="00985178"/>
    <w:rsid w:val="00985330"/>
    <w:rsid w:val="0098536C"/>
    <w:rsid w:val="00985485"/>
    <w:rsid w:val="0098551F"/>
    <w:rsid w:val="009855F3"/>
    <w:rsid w:val="0098565F"/>
    <w:rsid w:val="009856A0"/>
    <w:rsid w:val="0098579D"/>
    <w:rsid w:val="0098579E"/>
    <w:rsid w:val="009857FF"/>
    <w:rsid w:val="0098586F"/>
    <w:rsid w:val="00985876"/>
    <w:rsid w:val="00985966"/>
    <w:rsid w:val="009859B4"/>
    <w:rsid w:val="009859F1"/>
    <w:rsid w:val="00985A0F"/>
    <w:rsid w:val="00985A6E"/>
    <w:rsid w:val="00985A80"/>
    <w:rsid w:val="00985DD3"/>
    <w:rsid w:val="00985DD9"/>
    <w:rsid w:val="00985FC2"/>
    <w:rsid w:val="00986023"/>
    <w:rsid w:val="00986056"/>
    <w:rsid w:val="0098605E"/>
    <w:rsid w:val="00986200"/>
    <w:rsid w:val="00986267"/>
    <w:rsid w:val="0098627D"/>
    <w:rsid w:val="00986294"/>
    <w:rsid w:val="00986387"/>
    <w:rsid w:val="009863A5"/>
    <w:rsid w:val="009863F4"/>
    <w:rsid w:val="00986414"/>
    <w:rsid w:val="009865C7"/>
    <w:rsid w:val="0098663F"/>
    <w:rsid w:val="00986647"/>
    <w:rsid w:val="00986668"/>
    <w:rsid w:val="009867A1"/>
    <w:rsid w:val="0098684F"/>
    <w:rsid w:val="00986887"/>
    <w:rsid w:val="009869BC"/>
    <w:rsid w:val="009869CC"/>
    <w:rsid w:val="00986CCD"/>
    <w:rsid w:val="00986D2E"/>
    <w:rsid w:val="00986D3F"/>
    <w:rsid w:val="00986E54"/>
    <w:rsid w:val="00986EC4"/>
    <w:rsid w:val="00986F24"/>
    <w:rsid w:val="00986F7C"/>
    <w:rsid w:val="00986F9F"/>
    <w:rsid w:val="00986FD1"/>
    <w:rsid w:val="00987035"/>
    <w:rsid w:val="0098713F"/>
    <w:rsid w:val="0098715C"/>
    <w:rsid w:val="00987229"/>
    <w:rsid w:val="00987276"/>
    <w:rsid w:val="009872B4"/>
    <w:rsid w:val="00987321"/>
    <w:rsid w:val="00987354"/>
    <w:rsid w:val="009873B3"/>
    <w:rsid w:val="009873B4"/>
    <w:rsid w:val="009873D0"/>
    <w:rsid w:val="00987493"/>
    <w:rsid w:val="00987599"/>
    <w:rsid w:val="0098770F"/>
    <w:rsid w:val="0098780D"/>
    <w:rsid w:val="0098783A"/>
    <w:rsid w:val="00987840"/>
    <w:rsid w:val="00987ACC"/>
    <w:rsid w:val="00987B99"/>
    <w:rsid w:val="00987BF2"/>
    <w:rsid w:val="00987CB6"/>
    <w:rsid w:val="00987CCD"/>
    <w:rsid w:val="00987D28"/>
    <w:rsid w:val="00987E02"/>
    <w:rsid w:val="0098AFFF"/>
    <w:rsid w:val="0098E596"/>
    <w:rsid w:val="009900E7"/>
    <w:rsid w:val="00990122"/>
    <w:rsid w:val="0099014C"/>
    <w:rsid w:val="0099017B"/>
    <w:rsid w:val="00990198"/>
    <w:rsid w:val="00990246"/>
    <w:rsid w:val="00990482"/>
    <w:rsid w:val="00990488"/>
    <w:rsid w:val="00990548"/>
    <w:rsid w:val="009905AA"/>
    <w:rsid w:val="009906A5"/>
    <w:rsid w:val="0099075F"/>
    <w:rsid w:val="00990860"/>
    <w:rsid w:val="009908BD"/>
    <w:rsid w:val="00990A12"/>
    <w:rsid w:val="00990A36"/>
    <w:rsid w:val="00990A70"/>
    <w:rsid w:val="00990C0C"/>
    <w:rsid w:val="00990D6B"/>
    <w:rsid w:val="00990E32"/>
    <w:rsid w:val="00990E57"/>
    <w:rsid w:val="00990F14"/>
    <w:rsid w:val="00990F88"/>
    <w:rsid w:val="00990FE1"/>
    <w:rsid w:val="00990FF2"/>
    <w:rsid w:val="0099117F"/>
    <w:rsid w:val="0099124F"/>
    <w:rsid w:val="0099133B"/>
    <w:rsid w:val="00991347"/>
    <w:rsid w:val="00991354"/>
    <w:rsid w:val="009913C8"/>
    <w:rsid w:val="009914A5"/>
    <w:rsid w:val="0099150F"/>
    <w:rsid w:val="009915F6"/>
    <w:rsid w:val="00991882"/>
    <w:rsid w:val="009918BF"/>
    <w:rsid w:val="00991A16"/>
    <w:rsid w:val="00991A24"/>
    <w:rsid w:val="00991ABC"/>
    <w:rsid w:val="00991AF7"/>
    <w:rsid w:val="00991B44"/>
    <w:rsid w:val="00991B63"/>
    <w:rsid w:val="00991B9F"/>
    <w:rsid w:val="00991BC3"/>
    <w:rsid w:val="00991BD0"/>
    <w:rsid w:val="00991C3B"/>
    <w:rsid w:val="00991C74"/>
    <w:rsid w:val="00991C97"/>
    <w:rsid w:val="00991C9D"/>
    <w:rsid w:val="00991CF0"/>
    <w:rsid w:val="00991CF9"/>
    <w:rsid w:val="00991DCC"/>
    <w:rsid w:val="00991E3E"/>
    <w:rsid w:val="00991ECF"/>
    <w:rsid w:val="00991ED4"/>
    <w:rsid w:val="00991F7A"/>
    <w:rsid w:val="00991FF0"/>
    <w:rsid w:val="00992065"/>
    <w:rsid w:val="00992129"/>
    <w:rsid w:val="0099224A"/>
    <w:rsid w:val="009922E7"/>
    <w:rsid w:val="0099237F"/>
    <w:rsid w:val="00992388"/>
    <w:rsid w:val="00992448"/>
    <w:rsid w:val="0099245C"/>
    <w:rsid w:val="0099246F"/>
    <w:rsid w:val="009924F6"/>
    <w:rsid w:val="0099265E"/>
    <w:rsid w:val="009926C2"/>
    <w:rsid w:val="00992777"/>
    <w:rsid w:val="009927FB"/>
    <w:rsid w:val="009928B4"/>
    <w:rsid w:val="0099290D"/>
    <w:rsid w:val="00992989"/>
    <w:rsid w:val="00992A50"/>
    <w:rsid w:val="00992AED"/>
    <w:rsid w:val="00992BD1"/>
    <w:rsid w:val="00992BD4"/>
    <w:rsid w:val="00992DD5"/>
    <w:rsid w:val="00992E16"/>
    <w:rsid w:val="00992E52"/>
    <w:rsid w:val="00992EF8"/>
    <w:rsid w:val="00992EFF"/>
    <w:rsid w:val="00992F1A"/>
    <w:rsid w:val="00992F5A"/>
    <w:rsid w:val="00992FFB"/>
    <w:rsid w:val="00993008"/>
    <w:rsid w:val="0099311E"/>
    <w:rsid w:val="009931C2"/>
    <w:rsid w:val="0099325C"/>
    <w:rsid w:val="00993268"/>
    <w:rsid w:val="00993380"/>
    <w:rsid w:val="009933EA"/>
    <w:rsid w:val="0099342B"/>
    <w:rsid w:val="009934BC"/>
    <w:rsid w:val="009934E2"/>
    <w:rsid w:val="0099352D"/>
    <w:rsid w:val="00993587"/>
    <w:rsid w:val="009935FE"/>
    <w:rsid w:val="009936D8"/>
    <w:rsid w:val="0099372F"/>
    <w:rsid w:val="009937B5"/>
    <w:rsid w:val="0099380C"/>
    <w:rsid w:val="00993825"/>
    <w:rsid w:val="0099389E"/>
    <w:rsid w:val="0099390C"/>
    <w:rsid w:val="00993921"/>
    <w:rsid w:val="00993960"/>
    <w:rsid w:val="009939F4"/>
    <w:rsid w:val="00993B37"/>
    <w:rsid w:val="00993B5D"/>
    <w:rsid w:val="00993BD5"/>
    <w:rsid w:val="00993C84"/>
    <w:rsid w:val="00993CB4"/>
    <w:rsid w:val="00993D47"/>
    <w:rsid w:val="00993DD4"/>
    <w:rsid w:val="00993DE0"/>
    <w:rsid w:val="00993E43"/>
    <w:rsid w:val="00993EAD"/>
    <w:rsid w:val="00993FA3"/>
    <w:rsid w:val="00993FF2"/>
    <w:rsid w:val="00994077"/>
    <w:rsid w:val="009940BF"/>
    <w:rsid w:val="009940F5"/>
    <w:rsid w:val="00994177"/>
    <w:rsid w:val="0099421B"/>
    <w:rsid w:val="0099423F"/>
    <w:rsid w:val="00994348"/>
    <w:rsid w:val="00994396"/>
    <w:rsid w:val="009943F7"/>
    <w:rsid w:val="0099452B"/>
    <w:rsid w:val="009945C9"/>
    <w:rsid w:val="009946D3"/>
    <w:rsid w:val="00994833"/>
    <w:rsid w:val="00994837"/>
    <w:rsid w:val="00994947"/>
    <w:rsid w:val="00994AC0"/>
    <w:rsid w:val="00994ACC"/>
    <w:rsid w:val="00994B7E"/>
    <w:rsid w:val="00994BA6"/>
    <w:rsid w:val="00994BD0"/>
    <w:rsid w:val="00994BD2"/>
    <w:rsid w:val="00994C8A"/>
    <w:rsid w:val="00994DE8"/>
    <w:rsid w:val="00994DF7"/>
    <w:rsid w:val="00994ED2"/>
    <w:rsid w:val="00994FD3"/>
    <w:rsid w:val="0099505E"/>
    <w:rsid w:val="00995194"/>
    <w:rsid w:val="009951EC"/>
    <w:rsid w:val="00995245"/>
    <w:rsid w:val="009952E8"/>
    <w:rsid w:val="00995366"/>
    <w:rsid w:val="009953DE"/>
    <w:rsid w:val="0099544F"/>
    <w:rsid w:val="00995457"/>
    <w:rsid w:val="009954BF"/>
    <w:rsid w:val="0099574F"/>
    <w:rsid w:val="0099580B"/>
    <w:rsid w:val="00995820"/>
    <w:rsid w:val="0099586B"/>
    <w:rsid w:val="009958BE"/>
    <w:rsid w:val="0099599C"/>
    <w:rsid w:val="009959D0"/>
    <w:rsid w:val="009959F2"/>
    <w:rsid w:val="00995A03"/>
    <w:rsid w:val="00995B16"/>
    <w:rsid w:val="00995B25"/>
    <w:rsid w:val="00995F2F"/>
    <w:rsid w:val="00995F74"/>
    <w:rsid w:val="009960D2"/>
    <w:rsid w:val="00996129"/>
    <w:rsid w:val="00996177"/>
    <w:rsid w:val="009961E8"/>
    <w:rsid w:val="00996261"/>
    <w:rsid w:val="0099634E"/>
    <w:rsid w:val="009963C6"/>
    <w:rsid w:val="009963E8"/>
    <w:rsid w:val="009965FB"/>
    <w:rsid w:val="00996645"/>
    <w:rsid w:val="009966F7"/>
    <w:rsid w:val="0099676B"/>
    <w:rsid w:val="009967E7"/>
    <w:rsid w:val="00996859"/>
    <w:rsid w:val="0099685D"/>
    <w:rsid w:val="00996864"/>
    <w:rsid w:val="00996915"/>
    <w:rsid w:val="00996996"/>
    <w:rsid w:val="009969C4"/>
    <w:rsid w:val="009969C8"/>
    <w:rsid w:val="00996A4F"/>
    <w:rsid w:val="00996AFA"/>
    <w:rsid w:val="00996AFB"/>
    <w:rsid w:val="00996B7A"/>
    <w:rsid w:val="00996BD1"/>
    <w:rsid w:val="00996C42"/>
    <w:rsid w:val="00996C4D"/>
    <w:rsid w:val="00996E26"/>
    <w:rsid w:val="00996E50"/>
    <w:rsid w:val="00996E61"/>
    <w:rsid w:val="00996F31"/>
    <w:rsid w:val="00996F5A"/>
    <w:rsid w:val="00996FC2"/>
    <w:rsid w:val="00996FE6"/>
    <w:rsid w:val="0099701C"/>
    <w:rsid w:val="0099707B"/>
    <w:rsid w:val="009970F9"/>
    <w:rsid w:val="00997272"/>
    <w:rsid w:val="0099729E"/>
    <w:rsid w:val="0099739E"/>
    <w:rsid w:val="009973C1"/>
    <w:rsid w:val="009974B8"/>
    <w:rsid w:val="00997646"/>
    <w:rsid w:val="0099772D"/>
    <w:rsid w:val="0099774B"/>
    <w:rsid w:val="0099780C"/>
    <w:rsid w:val="009978BE"/>
    <w:rsid w:val="00997966"/>
    <w:rsid w:val="009979CB"/>
    <w:rsid w:val="00997A24"/>
    <w:rsid w:val="00997A44"/>
    <w:rsid w:val="00997A4D"/>
    <w:rsid w:val="00997A59"/>
    <w:rsid w:val="00997B4F"/>
    <w:rsid w:val="00997BC0"/>
    <w:rsid w:val="00997CE5"/>
    <w:rsid w:val="00997E42"/>
    <w:rsid w:val="00997E99"/>
    <w:rsid w:val="00997F26"/>
    <w:rsid w:val="00997F4D"/>
    <w:rsid w:val="00997FAE"/>
    <w:rsid w:val="0099BF78"/>
    <w:rsid w:val="0099CD83"/>
    <w:rsid w:val="009A0243"/>
    <w:rsid w:val="009A0247"/>
    <w:rsid w:val="009A027A"/>
    <w:rsid w:val="009A027F"/>
    <w:rsid w:val="009A02F8"/>
    <w:rsid w:val="009A03CE"/>
    <w:rsid w:val="009A043D"/>
    <w:rsid w:val="009A047E"/>
    <w:rsid w:val="009A04A1"/>
    <w:rsid w:val="009A05CB"/>
    <w:rsid w:val="009A0684"/>
    <w:rsid w:val="009A0717"/>
    <w:rsid w:val="009A0776"/>
    <w:rsid w:val="009A093F"/>
    <w:rsid w:val="009A0A4E"/>
    <w:rsid w:val="009A0B91"/>
    <w:rsid w:val="009A0BB2"/>
    <w:rsid w:val="009A0DA2"/>
    <w:rsid w:val="009A0DE1"/>
    <w:rsid w:val="009A0E0C"/>
    <w:rsid w:val="009A0E7B"/>
    <w:rsid w:val="009A0E88"/>
    <w:rsid w:val="009A0EC2"/>
    <w:rsid w:val="009A0FB6"/>
    <w:rsid w:val="009A1069"/>
    <w:rsid w:val="009A112F"/>
    <w:rsid w:val="009A11B7"/>
    <w:rsid w:val="009A11BF"/>
    <w:rsid w:val="009A1305"/>
    <w:rsid w:val="009A133F"/>
    <w:rsid w:val="009A14C7"/>
    <w:rsid w:val="009A154C"/>
    <w:rsid w:val="009A1580"/>
    <w:rsid w:val="009A1582"/>
    <w:rsid w:val="009A15B9"/>
    <w:rsid w:val="009A1628"/>
    <w:rsid w:val="009A1838"/>
    <w:rsid w:val="009A1879"/>
    <w:rsid w:val="009A18C1"/>
    <w:rsid w:val="009A19B5"/>
    <w:rsid w:val="009A1BA0"/>
    <w:rsid w:val="009A1D2B"/>
    <w:rsid w:val="009A1D41"/>
    <w:rsid w:val="009A1E1E"/>
    <w:rsid w:val="009A1E4D"/>
    <w:rsid w:val="009A1EC7"/>
    <w:rsid w:val="009A1F8B"/>
    <w:rsid w:val="009A2028"/>
    <w:rsid w:val="009A203D"/>
    <w:rsid w:val="009A209D"/>
    <w:rsid w:val="009A20CA"/>
    <w:rsid w:val="009A20CD"/>
    <w:rsid w:val="009A224D"/>
    <w:rsid w:val="009A224E"/>
    <w:rsid w:val="009A228E"/>
    <w:rsid w:val="009A230D"/>
    <w:rsid w:val="009A2341"/>
    <w:rsid w:val="009A23B0"/>
    <w:rsid w:val="009A2515"/>
    <w:rsid w:val="009A2644"/>
    <w:rsid w:val="009A2749"/>
    <w:rsid w:val="009A2892"/>
    <w:rsid w:val="009A28AF"/>
    <w:rsid w:val="009A2AE4"/>
    <w:rsid w:val="009A2B45"/>
    <w:rsid w:val="009A2BAB"/>
    <w:rsid w:val="009A2C34"/>
    <w:rsid w:val="009A2CBA"/>
    <w:rsid w:val="009A2DBE"/>
    <w:rsid w:val="009A2E95"/>
    <w:rsid w:val="009A2EFA"/>
    <w:rsid w:val="009A2F0B"/>
    <w:rsid w:val="009A2F80"/>
    <w:rsid w:val="009A2F9C"/>
    <w:rsid w:val="009A3004"/>
    <w:rsid w:val="009A3091"/>
    <w:rsid w:val="009A30C0"/>
    <w:rsid w:val="009A3144"/>
    <w:rsid w:val="009A318F"/>
    <w:rsid w:val="009A3283"/>
    <w:rsid w:val="009A32B2"/>
    <w:rsid w:val="009A32C8"/>
    <w:rsid w:val="009A32EB"/>
    <w:rsid w:val="009A331D"/>
    <w:rsid w:val="009A3355"/>
    <w:rsid w:val="009A33FF"/>
    <w:rsid w:val="009A3450"/>
    <w:rsid w:val="009A34E1"/>
    <w:rsid w:val="009A363C"/>
    <w:rsid w:val="009A36E9"/>
    <w:rsid w:val="009A3747"/>
    <w:rsid w:val="009A375C"/>
    <w:rsid w:val="009A3992"/>
    <w:rsid w:val="009A39AF"/>
    <w:rsid w:val="009A39FB"/>
    <w:rsid w:val="009A3A39"/>
    <w:rsid w:val="009A3D51"/>
    <w:rsid w:val="009A3E20"/>
    <w:rsid w:val="009A3F05"/>
    <w:rsid w:val="009A3FBB"/>
    <w:rsid w:val="009A4023"/>
    <w:rsid w:val="009A402F"/>
    <w:rsid w:val="009A405C"/>
    <w:rsid w:val="009A40B9"/>
    <w:rsid w:val="009A40D2"/>
    <w:rsid w:val="009A4131"/>
    <w:rsid w:val="009A4168"/>
    <w:rsid w:val="009A422F"/>
    <w:rsid w:val="009A439C"/>
    <w:rsid w:val="009A4454"/>
    <w:rsid w:val="009A44A5"/>
    <w:rsid w:val="009A44AB"/>
    <w:rsid w:val="009A45FD"/>
    <w:rsid w:val="009A463E"/>
    <w:rsid w:val="009A469B"/>
    <w:rsid w:val="009A472F"/>
    <w:rsid w:val="009A4760"/>
    <w:rsid w:val="009A478A"/>
    <w:rsid w:val="009A4811"/>
    <w:rsid w:val="009A48B0"/>
    <w:rsid w:val="009A4999"/>
    <w:rsid w:val="009A49AE"/>
    <w:rsid w:val="009A4DAB"/>
    <w:rsid w:val="009A4F15"/>
    <w:rsid w:val="009A4F32"/>
    <w:rsid w:val="009A5067"/>
    <w:rsid w:val="009A5297"/>
    <w:rsid w:val="009A52D2"/>
    <w:rsid w:val="009A535E"/>
    <w:rsid w:val="009A53D5"/>
    <w:rsid w:val="009A547A"/>
    <w:rsid w:val="009A55DB"/>
    <w:rsid w:val="009A55E9"/>
    <w:rsid w:val="009A5632"/>
    <w:rsid w:val="009A56A4"/>
    <w:rsid w:val="009A576F"/>
    <w:rsid w:val="009A578F"/>
    <w:rsid w:val="009A57D9"/>
    <w:rsid w:val="009A5AA0"/>
    <w:rsid w:val="009A5AB1"/>
    <w:rsid w:val="009A5AFF"/>
    <w:rsid w:val="009A5B77"/>
    <w:rsid w:val="009A5B97"/>
    <w:rsid w:val="009A5CFB"/>
    <w:rsid w:val="009A5D2B"/>
    <w:rsid w:val="009A5DC8"/>
    <w:rsid w:val="009A5F9C"/>
    <w:rsid w:val="009A6080"/>
    <w:rsid w:val="009A60CF"/>
    <w:rsid w:val="009A61F1"/>
    <w:rsid w:val="009A62C2"/>
    <w:rsid w:val="009A6388"/>
    <w:rsid w:val="009A63A2"/>
    <w:rsid w:val="009A649B"/>
    <w:rsid w:val="009A6520"/>
    <w:rsid w:val="009A6546"/>
    <w:rsid w:val="009A661C"/>
    <w:rsid w:val="009A6640"/>
    <w:rsid w:val="009A6778"/>
    <w:rsid w:val="009A67B9"/>
    <w:rsid w:val="009A67D7"/>
    <w:rsid w:val="009A68B4"/>
    <w:rsid w:val="009A6907"/>
    <w:rsid w:val="009A6977"/>
    <w:rsid w:val="009A6B18"/>
    <w:rsid w:val="009A6C99"/>
    <w:rsid w:val="009A6DE1"/>
    <w:rsid w:val="009A6E94"/>
    <w:rsid w:val="009A7038"/>
    <w:rsid w:val="009A703F"/>
    <w:rsid w:val="009A7197"/>
    <w:rsid w:val="009A7260"/>
    <w:rsid w:val="009A73EF"/>
    <w:rsid w:val="009A75E0"/>
    <w:rsid w:val="009A75F8"/>
    <w:rsid w:val="009A7602"/>
    <w:rsid w:val="009A7605"/>
    <w:rsid w:val="009A7650"/>
    <w:rsid w:val="009A7666"/>
    <w:rsid w:val="009A76C7"/>
    <w:rsid w:val="009A76DD"/>
    <w:rsid w:val="009A77C3"/>
    <w:rsid w:val="009A7818"/>
    <w:rsid w:val="009A78D9"/>
    <w:rsid w:val="009A7946"/>
    <w:rsid w:val="009A7B00"/>
    <w:rsid w:val="009A7D39"/>
    <w:rsid w:val="009A7E4A"/>
    <w:rsid w:val="009A7E99"/>
    <w:rsid w:val="009A7F2A"/>
    <w:rsid w:val="009AF5D3"/>
    <w:rsid w:val="009B0099"/>
    <w:rsid w:val="009B025D"/>
    <w:rsid w:val="009B0298"/>
    <w:rsid w:val="009B02DD"/>
    <w:rsid w:val="009B0304"/>
    <w:rsid w:val="009B0337"/>
    <w:rsid w:val="009B037F"/>
    <w:rsid w:val="009B03F6"/>
    <w:rsid w:val="009B0551"/>
    <w:rsid w:val="009B0738"/>
    <w:rsid w:val="009B0790"/>
    <w:rsid w:val="009B07FA"/>
    <w:rsid w:val="009B083F"/>
    <w:rsid w:val="009B0874"/>
    <w:rsid w:val="009B08A5"/>
    <w:rsid w:val="009B09CC"/>
    <w:rsid w:val="009B0B3E"/>
    <w:rsid w:val="009B0BF9"/>
    <w:rsid w:val="009B0C0A"/>
    <w:rsid w:val="009B0C97"/>
    <w:rsid w:val="009B0CA8"/>
    <w:rsid w:val="009B0D30"/>
    <w:rsid w:val="009B0D3F"/>
    <w:rsid w:val="009B0D68"/>
    <w:rsid w:val="009B0ED2"/>
    <w:rsid w:val="009B1042"/>
    <w:rsid w:val="009B10EA"/>
    <w:rsid w:val="009B11FB"/>
    <w:rsid w:val="009B1255"/>
    <w:rsid w:val="009B1327"/>
    <w:rsid w:val="009B1375"/>
    <w:rsid w:val="009B14D9"/>
    <w:rsid w:val="009B1507"/>
    <w:rsid w:val="009B1629"/>
    <w:rsid w:val="009B1680"/>
    <w:rsid w:val="009B17CF"/>
    <w:rsid w:val="009B18AF"/>
    <w:rsid w:val="009B1AAE"/>
    <w:rsid w:val="009B1B0E"/>
    <w:rsid w:val="009B1B68"/>
    <w:rsid w:val="009B1BCE"/>
    <w:rsid w:val="009B1C6E"/>
    <w:rsid w:val="009B1CD5"/>
    <w:rsid w:val="009B1DC4"/>
    <w:rsid w:val="009B1DEC"/>
    <w:rsid w:val="009B1E1A"/>
    <w:rsid w:val="009B1E37"/>
    <w:rsid w:val="009B1EAC"/>
    <w:rsid w:val="009B215C"/>
    <w:rsid w:val="009B221F"/>
    <w:rsid w:val="009B224F"/>
    <w:rsid w:val="009B22D4"/>
    <w:rsid w:val="009B230D"/>
    <w:rsid w:val="009B2342"/>
    <w:rsid w:val="009B236D"/>
    <w:rsid w:val="009B2370"/>
    <w:rsid w:val="009B2424"/>
    <w:rsid w:val="009B24E7"/>
    <w:rsid w:val="009B24EF"/>
    <w:rsid w:val="009B2506"/>
    <w:rsid w:val="009B2579"/>
    <w:rsid w:val="009B259B"/>
    <w:rsid w:val="009B25A6"/>
    <w:rsid w:val="009B2609"/>
    <w:rsid w:val="009B260C"/>
    <w:rsid w:val="009B2750"/>
    <w:rsid w:val="009B2752"/>
    <w:rsid w:val="009B2769"/>
    <w:rsid w:val="009B2804"/>
    <w:rsid w:val="009B296C"/>
    <w:rsid w:val="009B2A52"/>
    <w:rsid w:val="009B2BFC"/>
    <w:rsid w:val="009B2C57"/>
    <w:rsid w:val="009B2CB3"/>
    <w:rsid w:val="009B2D1C"/>
    <w:rsid w:val="009B2D32"/>
    <w:rsid w:val="009B2DA1"/>
    <w:rsid w:val="009B2E9F"/>
    <w:rsid w:val="009B2F06"/>
    <w:rsid w:val="009B2F2F"/>
    <w:rsid w:val="009B2F7D"/>
    <w:rsid w:val="009B2F88"/>
    <w:rsid w:val="009B2FCB"/>
    <w:rsid w:val="009B303A"/>
    <w:rsid w:val="009B30E0"/>
    <w:rsid w:val="009B313E"/>
    <w:rsid w:val="009B31FC"/>
    <w:rsid w:val="009B327B"/>
    <w:rsid w:val="009B3301"/>
    <w:rsid w:val="009B3305"/>
    <w:rsid w:val="009B332A"/>
    <w:rsid w:val="009B33EF"/>
    <w:rsid w:val="009B34BF"/>
    <w:rsid w:val="009B3511"/>
    <w:rsid w:val="009B36CB"/>
    <w:rsid w:val="009B36E0"/>
    <w:rsid w:val="009B378D"/>
    <w:rsid w:val="009B3798"/>
    <w:rsid w:val="009B37F7"/>
    <w:rsid w:val="009B38F5"/>
    <w:rsid w:val="009B390B"/>
    <w:rsid w:val="009B3A69"/>
    <w:rsid w:val="009B3AC9"/>
    <w:rsid w:val="009B3B62"/>
    <w:rsid w:val="009B3CA4"/>
    <w:rsid w:val="009B3CAC"/>
    <w:rsid w:val="009B3D38"/>
    <w:rsid w:val="009B3DCD"/>
    <w:rsid w:val="009B3ED7"/>
    <w:rsid w:val="009B3FF2"/>
    <w:rsid w:val="009B410D"/>
    <w:rsid w:val="009B410E"/>
    <w:rsid w:val="009B413C"/>
    <w:rsid w:val="009B4156"/>
    <w:rsid w:val="009B41D2"/>
    <w:rsid w:val="009B42B2"/>
    <w:rsid w:val="009B4453"/>
    <w:rsid w:val="009B44E9"/>
    <w:rsid w:val="009B4510"/>
    <w:rsid w:val="009B4521"/>
    <w:rsid w:val="009B4553"/>
    <w:rsid w:val="009B4564"/>
    <w:rsid w:val="009B4591"/>
    <w:rsid w:val="009B45C0"/>
    <w:rsid w:val="009B4652"/>
    <w:rsid w:val="009B46EC"/>
    <w:rsid w:val="009B471B"/>
    <w:rsid w:val="009B48AC"/>
    <w:rsid w:val="009B4994"/>
    <w:rsid w:val="009B49B5"/>
    <w:rsid w:val="009B49D6"/>
    <w:rsid w:val="009B4A97"/>
    <w:rsid w:val="009B4B65"/>
    <w:rsid w:val="009B4C15"/>
    <w:rsid w:val="009B4D73"/>
    <w:rsid w:val="009B4EB5"/>
    <w:rsid w:val="009B4EEB"/>
    <w:rsid w:val="009B5056"/>
    <w:rsid w:val="009B507D"/>
    <w:rsid w:val="009B508D"/>
    <w:rsid w:val="009B51A2"/>
    <w:rsid w:val="009B51C5"/>
    <w:rsid w:val="009B52AC"/>
    <w:rsid w:val="009B52D1"/>
    <w:rsid w:val="009B530F"/>
    <w:rsid w:val="009B5411"/>
    <w:rsid w:val="009B554B"/>
    <w:rsid w:val="009B55D2"/>
    <w:rsid w:val="009B5608"/>
    <w:rsid w:val="009B5625"/>
    <w:rsid w:val="009B5692"/>
    <w:rsid w:val="009B5699"/>
    <w:rsid w:val="009B56AE"/>
    <w:rsid w:val="009B56C0"/>
    <w:rsid w:val="009B56CB"/>
    <w:rsid w:val="009B579E"/>
    <w:rsid w:val="009B579F"/>
    <w:rsid w:val="009B57C5"/>
    <w:rsid w:val="009B57D3"/>
    <w:rsid w:val="009B5984"/>
    <w:rsid w:val="009B5AC2"/>
    <w:rsid w:val="009B5B12"/>
    <w:rsid w:val="009B5B1E"/>
    <w:rsid w:val="009B5B83"/>
    <w:rsid w:val="009B5C0A"/>
    <w:rsid w:val="009B5CE8"/>
    <w:rsid w:val="009B6138"/>
    <w:rsid w:val="009B6171"/>
    <w:rsid w:val="009B65C4"/>
    <w:rsid w:val="009B65F9"/>
    <w:rsid w:val="009B6799"/>
    <w:rsid w:val="009B67A7"/>
    <w:rsid w:val="009B692F"/>
    <w:rsid w:val="009B693B"/>
    <w:rsid w:val="009B6AFD"/>
    <w:rsid w:val="009B6B1E"/>
    <w:rsid w:val="009B6B3C"/>
    <w:rsid w:val="009B6B49"/>
    <w:rsid w:val="009B6BA3"/>
    <w:rsid w:val="009B6D31"/>
    <w:rsid w:val="009B6D5F"/>
    <w:rsid w:val="009B6E15"/>
    <w:rsid w:val="009B6E79"/>
    <w:rsid w:val="009B6F49"/>
    <w:rsid w:val="009B7058"/>
    <w:rsid w:val="009B708F"/>
    <w:rsid w:val="009B711A"/>
    <w:rsid w:val="009B727C"/>
    <w:rsid w:val="009B7312"/>
    <w:rsid w:val="009B741D"/>
    <w:rsid w:val="009B74D6"/>
    <w:rsid w:val="009B752F"/>
    <w:rsid w:val="009B7545"/>
    <w:rsid w:val="009B75A2"/>
    <w:rsid w:val="009B776B"/>
    <w:rsid w:val="009B77B2"/>
    <w:rsid w:val="009B77FF"/>
    <w:rsid w:val="009B786C"/>
    <w:rsid w:val="009B79B9"/>
    <w:rsid w:val="009B7A37"/>
    <w:rsid w:val="009B7A61"/>
    <w:rsid w:val="009B7A79"/>
    <w:rsid w:val="009B7B0C"/>
    <w:rsid w:val="009B7B2B"/>
    <w:rsid w:val="009B7B88"/>
    <w:rsid w:val="009B7BB9"/>
    <w:rsid w:val="009B7BD5"/>
    <w:rsid w:val="009B7C32"/>
    <w:rsid w:val="009B7EF2"/>
    <w:rsid w:val="009B7F57"/>
    <w:rsid w:val="009C00B0"/>
    <w:rsid w:val="009C00E7"/>
    <w:rsid w:val="009C02A2"/>
    <w:rsid w:val="009C0571"/>
    <w:rsid w:val="009C074A"/>
    <w:rsid w:val="009C084B"/>
    <w:rsid w:val="009C096A"/>
    <w:rsid w:val="009C09D3"/>
    <w:rsid w:val="009C0AA8"/>
    <w:rsid w:val="009C0AAB"/>
    <w:rsid w:val="009C0B00"/>
    <w:rsid w:val="009C0B7D"/>
    <w:rsid w:val="009C0BEB"/>
    <w:rsid w:val="009C0D57"/>
    <w:rsid w:val="009C0D60"/>
    <w:rsid w:val="009C0E5D"/>
    <w:rsid w:val="009C0E65"/>
    <w:rsid w:val="009C0ED8"/>
    <w:rsid w:val="009C0EE0"/>
    <w:rsid w:val="009C0F32"/>
    <w:rsid w:val="009C0F5D"/>
    <w:rsid w:val="009C1087"/>
    <w:rsid w:val="009C10CE"/>
    <w:rsid w:val="009C1220"/>
    <w:rsid w:val="009C13D9"/>
    <w:rsid w:val="009C1454"/>
    <w:rsid w:val="009C14D1"/>
    <w:rsid w:val="009C1715"/>
    <w:rsid w:val="009C1733"/>
    <w:rsid w:val="009C1797"/>
    <w:rsid w:val="009C1810"/>
    <w:rsid w:val="009C1A8A"/>
    <w:rsid w:val="009C1BA0"/>
    <w:rsid w:val="009C1C1D"/>
    <w:rsid w:val="009C1C70"/>
    <w:rsid w:val="009C1D85"/>
    <w:rsid w:val="009C1E23"/>
    <w:rsid w:val="009C1F14"/>
    <w:rsid w:val="009C1F60"/>
    <w:rsid w:val="009C2050"/>
    <w:rsid w:val="009C227E"/>
    <w:rsid w:val="009C26C8"/>
    <w:rsid w:val="009C26ED"/>
    <w:rsid w:val="009C2705"/>
    <w:rsid w:val="009C27A2"/>
    <w:rsid w:val="009C2831"/>
    <w:rsid w:val="009C2896"/>
    <w:rsid w:val="009C28E9"/>
    <w:rsid w:val="009C2982"/>
    <w:rsid w:val="009C2A55"/>
    <w:rsid w:val="009C2ADA"/>
    <w:rsid w:val="009C2BB9"/>
    <w:rsid w:val="009C2E6C"/>
    <w:rsid w:val="009C2EA4"/>
    <w:rsid w:val="009C2EF6"/>
    <w:rsid w:val="009C2FFE"/>
    <w:rsid w:val="009C315D"/>
    <w:rsid w:val="009C31BC"/>
    <w:rsid w:val="009C32F3"/>
    <w:rsid w:val="009C333C"/>
    <w:rsid w:val="009C35B0"/>
    <w:rsid w:val="009C364D"/>
    <w:rsid w:val="009C367E"/>
    <w:rsid w:val="009C36CE"/>
    <w:rsid w:val="009C37AC"/>
    <w:rsid w:val="009C3803"/>
    <w:rsid w:val="009C380A"/>
    <w:rsid w:val="009C3890"/>
    <w:rsid w:val="009C38FC"/>
    <w:rsid w:val="009C3A82"/>
    <w:rsid w:val="009C3AE5"/>
    <w:rsid w:val="009C3AF0"/>
    <w:rsid w:val="009C3B7C"/>
    <w:rsid w:val="009C3C31"/>
    <w:rsid w:val="009C3CC2"/>
    <w:rsid w:val="009C3D32"/>
    <w:rsid w:val="009C3D8A"/>
    <w:rsid w:val="009C3E4E"/>
    <w:rsid w:val="009C3E87"/>
    <w:rsid w:val="009C3E98"/>
    <w:rsid w:val="009C3FDE"/>
    <w:rsid w:val="009C4012"/>
    <w:rsid w:val="009C40E5"/>
    <w:rsid w:val="009C41D1"/>
    <w:rsid w:val="009C421F"/>
    <w:rsid w:val="009C425B"/>
    <w:rsid w:val="009C427E"/>
    <w:rsid w:val="009C42F3"/>
    <w:rsid w:val="009C43FF"/>
    <w:rsid w:val="009C448A"/>
    <w:rsid w:val="009C44CD"/>
    <w:rsid w:val="009C4506"/>
    <w:rsid w:val="009C45F0"/>
    <w:rsid w:val="009C46CD"/>
    <w:rsid w:val="009C4852"/>
    <w:rsid w:val="009C495C"/>
    <w:rsid w:val="009C4A4E"/>
    <w:rsid w:val="009C4AD1"/>
    <w:rsid w:val="009C4C0F"/>
    <w:rsid w:val="009C4C9E"/>
    <w:rsid w:val="009C4CDF"/>
    <w:rsid w:val="009C4E25"/>
    <w:rsid w:val="009C4E37"/>
    <w:rsid w:val="009C4EAC"/>
    <w:rsid w:val="009C4F27"/>
    <w:rsid w:val="009C4FBE"/>
    <w:rsid w:val="009C5028"/>
    <w:rsid w:val="009C504B"/>
    <w:rsid w:val="009C5080"/>
    <w:rsid w:val="009C51C7"/>
    <w:rsid w:val="009C5216"/>
    <w:rsid w:val="009C5240"/>
    <w:rsid w:val="009C52CF"/>
    <w:rsid w:val="009C5427"/>
    <w:rsid w:val="009C54F5"/>
    <w:rsid w:val="009C5506"/>
    <w:rsid w:val="009C561A"/>
    <w:rsid w:val="009C5684"/>
    <w:rsid w:val="009C56D4"/>
    <w:rsid w:val="009C573E"/>
    <w:rsid w:val="009C5913"/>
    <w:rsid w:val="009C59D8"/>
    <w:rsid w:val="009C5A01"/>
    <w:rsid w:val="009C5ABD"/>
    <w:rsid w:val="009C5AED"/>
    <w:rsid w:val="009C5B04"/>
    <w:rsid w:val="009C5C02"/>
    <w:rsid w:val="009C5C37"/>
    <w:rsid w:val="009C5CA7"/>
    <w:rsid w:val="009C5CE1"/>
    <w:rsid w:val="009C5D7F"/>
    <w:rsid w:val="009C5E82"/>
    <w:rsid w:val="009C5F4A"/>
    <w:rsid w:val="009C60FF"/>
    <w:rsid w:val="009C613B"/>
    <w:rsid w:val="009C6148"/>
    <w:rsid w:val="009C615B"/>
    <w:rsid w:val="009C61C4"/>
    <w:rsid w:val="009C623A"/>
    <w:rsid w:val="009C624C"/>
    <w:rsid w:val="009C6271"/>
    <w:rsid w:val="009C62D3"/>
    <w:rsid w:val="009C62E5"/>
    <w:rsid w:val="009C63B5"/>
    <w:rsid w:val="009C646F"/>
    <w:rsid w:val="009C64D6"/>
    <w:rsid w:val="009C64F4"/>
    <w:rsid w:val="009C6705"/>
    <w:rsid w:val="009C6777"/>
    <w:rsid w:val="009C68A0"/>
    <w:rsid w:val="009C68C1"/>
    <w:rsid w:val="009C68E2"/>
    <w:rsid w:val="009C68E3"/>
    <w:rsid w:val="009C6A51"/>
    <w:rsid w:val="009C6ABC"/>
    <w:rsid w:val="009C6B32"/>
    <w:rsid w:val="009C6B99"/>
    <w:rsid w:val="009C6BB3"/>
    <w:rsid w:val="009C6CF3"/>
    <w:rsid w:val="009C6CF5"/>
    <w:rsid w:val="009C6ED3"/>
    <w:rsid w:val="009C70E9"/>
    <w:rsid w:val="009C7118"/>
    <w:rsid w:val="009C7162"/>
    <w:rsid w:val="009C7332"/>
    <w:rsid w:val="009C73D1"/>
    <w:rsid w:val="009C7403"/>
    <w:rsid w:val="009C7415"/>
    <w:rsid w:val="009C7461"/>
    <w:rsid w:val="009C7537"/>
    <w:rsid w:val="009C7594"/>
    <w:rsid w:val="009C76D2"/>
    <w:rsid w:val="009C7720"/>
    <w:rsid w:val="009C77DD"/>
    <w:rsid w:val="009C77E6"/>
    <w:rsid w:val="009C782F"/>
    <w:rsid w:val="009C785D"/>
    <w:rsid w:val="009C7863"/>
    <w:rsid w:val="009C78E7"/>
    <w:rsid w:val="009C790E"/>
    <w:rsid w:val="009C792B"/>
    <w:rsid w:val="009C796E"/>
    <w:rsid w:val="009C79A7"/>
    <w:rsid w:val="009C7B5C"/>
    <w:rsid w:val="009C7B80"/>
    <w:rsid w:val="009C7C08"/>
    <w:rsid w:val="009C7C0E"/>
    <w:rsid w:val="009C7C93"/>
    <w:rsid w:val="009C7D93"/>
    <w:rsid w:val="009C7DBF"/>
    <w:rsid w:val="009C7DD2"/>
    <w:rsid w:val="009CCB97"/>
    <w:rsid w:val="009D00E8"/>
    <w:rsid w:val="009D0402"/>
    <w:rsid w:val="009D05B8"/>
    <w:rsid w:val="009D06A1"/>
    <w:rsid w:val="009D0771"/>
    <w:rsid w:val="009D07CB"/>
    <w:rsid w:val="009D087A"/>
    <w:rsid w:val="009D0887"/>
    <w:rsid w:val="009D08CB"/>
    <w:rsid w:val="009D0932"/>
    <w:rsid w:val="009D0979"/>
    <w:rsid w:val="009D09A6"/>
    <w:rsid w:val="009D09D9"/>
    <w:rsid w:val="009D0A35"/>
    <w:rsid w:val="009D0A6F"/>
    <w:rsid w:val="009D0AEC"/>
    <w:rsid w:val="009D0C14"/>
    <w:rsid w:val="009D0C6F"/>
    <w:rsid w:val="009D0CBA"/>
    <w:rsid w:val="009D0CC3"/>
    <w:rsid w:val="009D0DE1"/>
    <w:rsid w:val="009D0EA9"/>
    <w:rsid w:val="009D0EB7"/>
    <w:rsid w:val="009D0F38"/>
    <w:rsid w:val="009D0F58"/>
    <w:rsid w:val="009D0FBB"/>
    <w:rsid w:val="009D103F"/>
    <w:rsid w:val="009D1049"/>
    <w:rsid w:val="009D10A7"/>
    <w:rsid w:val="009D10B8"/>
    <w:rsid w:val="009D10D6"/>
    <w:rsid w:val="009D1226"/>
    <w:rsid w:val="009D1232"/>
    <w:rsid w:val="009D1257"/>
    <w:rsid w:val="009D1273"/>
    <w:rsid w:val="009D1276"/>
    <w:rsid w:val="009D12FE"/>
    <w:rsid w:val="009D1349"/>
    <w:rsid w:val="009D1354"/>
    <w:rsid w:val="009D1404"/>
    <w:rsid w:val="009D14C7"/>
    <w:rsid w:val="009D1609"/>
    <w:rsid w:val="009D172E"/>
    <w:rsid w:val="009D175B"/>
    <w:rsid w:val="009D18F0"/>
    <w:rsid w:val="009D1928"/>
    <w:rsid w:val="009D1969"/>
    <w:rsid w:val="009D197A"/>
    <w:rsid w:val="009D197E"/>
    <w:rsid w:val="009D19A3"/>
    <w:rsid w:val="009D19CE"/>
    <w:rsid w:val="009D1A02"/>
    <w:rsid w:val="009D1BEC"/>
    <w:rsid w:val="009D1C0F"/>
    <w:rsid w:val="009D1DDE"/>
    <w:rsid w:val="009D1E7E"/>
    <w:rsid w:val="009D1EFD"/>
    <w:rsid w:val="009D1FEE"/>
    <w:rsid w:val="009D20C5"/>
    <w:rsid w:val="009D217F"/>
    <w:rsid w:val="009D21A3"/>
    <w:rsid w:val="009D21EF"/>
    <w:rsid w:val="009D2319"/>
    <w:rsid w:val="009D2336"/>
    <w:rsid w:val="009D233E"/>
    <w:rsid w:val="009D2499"/>
    <w:rsid w:val="009D269A"/>
    <w:rsid w:val="009D26FD"/>
    <w:rsid w:val="009D2836"/>
    <w:rsid w:val="009D28D3"/>
    <w:rsid w:val="009D2971"/>
    <w:rsid w:val="009D2A01"/>
    <w:rsid w:val="009D2A0E"/>
    <w:rsid w:val="009D2AF7"/>
    <w:rsid w:val="009D2C4D"/>
    <w:rsid w:val="009D2D04"/>
    <w:rsid w:val="009D2D76"/>
    <w:rsid w:val="009D2F95"/>
    <w:rsid w:val="009D2FA8"/>
    <w:rsid w:val="009D2FB5"/>
    <w:rsid w:val="009D3190"/>
    <w:rsid w:val="009D32DD"/>
    <w:rsid w:val="009D3387"/>
    <w:rsid w:val="009D338E"/>
    <w:rsid w:val="009D33B0"/>
    <w:rsid w:val="009D3467"/>
    <w:rsid w:val="009D35A3"/>
    <w:rsid w:val="009D3623"/>
    <w:rsid w:val="009D362F"/>
    <w:rsid w:val="009D3659"/>
    <w:rsid w:val="009D36AC"/>
    <w:rsid w:val="009D36C7"/>
    <w:rsid w:val="009D37E0"/>
    <w:rsid w:val="009D3A6F"/>
    <w:rsid w:val="009D3A84"/>
    <w:rsid w:val="009D3DB6"/>
    <w:rsid w:val="009D3E0E"/>
    <w:rsid w:val="009D3E66"/>
    <w:rsid w:val="009D4028"/>
    <w:rsid w:val="009D419B"/>
    <w:rsid w:val="009D422F"/>
    <w:rsid w:val="009D42FE"/>
    <w:rsid w:val="009D439D"/>
    <w:rsid w:val="009D451C"/>
    <w:rsid w:val="009D457A"/>
    <w:rsid w:val="009D4586"/>
    <w:rsid w:val="009D458C"/>
    <w:rsid w:val="009D45C4"/>
    <w:rsid w:val="009D4619"/>
    <w:rsid w:val="009D4632"/>
    <w:rsid w:val="009D4641"/>
    <w:rsid w:val="009D4648"/>
    <w:rsid w:val="009D468C"/>
    <w:rsid w:val="009D4698"/>
    <w:rsid w:val="009D471D"/>
    <w:rsid w:val="009D479A"/>
    <w:rsid w:val="009D47AB"/>
    <w:rsid w:val="009D4817"/>
    <w:rsid w:val="009D482D"/>
    <w:rsid w:val="009D4830"/>
    <w:rsid w:val="009D4990"/>
    <w:rsid w:val="009D4B89"/>
    <w:rsid w:val="009D4CD3"/>
    <w:rsid w:val="009D4E89"/>
    <w:rsid w:val="009D5046"/>
    <w:rsid w:val="009D50A6"/>
    <w:rsid w:val="009D50B5"/>
    <w:rsid w:val="009D50FB"/>
    <w:rsid w:val="009D5177"/>
    <w:rsid w:val="009D5263"/>
    <w:rsid w:val="009D526D"/>
    <w:rsid w:val="009D52F5"/>
    <w:rsid w:val="009D5318"/>
    <w:rsid w:val="009D5360"/>
    <w:rsid w:val="009D53F8"/>
    <w:rsid w:val="009D5465"/>
    <w:rsid w:val="009D5546"/>
    <w:rsid w:val="009D5595"/>
    <w:rsid w:val="009D55F7"/>
    <w:rsid w:val="009D56A4"/>
    <w:rsid w:val="009D5752"/>
    <w:rsid w:val="009D589C"/>
    <w:rsid w:val="009D5A53"/>
    <w:rsid w:val="009D5B40"/>
    <w:rsid w:val="009D5C07"/>
    <w:rsid w:val="009D5C37"/>
    <w:rsid w:val="009D5C59"/>
    <w:rsid w:val="009D5C5A"/>
    <w:rsid w:val="009D5D40"/>
    <w:rsid w:val="009D5F4B"/>
    <w:rsid w:val="009D5F70"/>
    <w:rsid w:val="009D6024"/>
    <w:rsid w:val="009D604D"/>
    <w:rsid w:val="009D607F"/>
    <w:rsid w:val="009D6222"/>
    <w:rsid w:val="009D62EC"/>
    <w:rsid w:val="009D630D"/>
    <w:rsid w:val="009D63BE"/>
    <w:rsid w:val="009D6404"/>
    <w:rsid w:val="009D6510"/>
    <w:rsid w:val="009D6544"/>
    <w:rsid w:val="009D655A"/>
    <w:rsid w:val="009D65B7"/>
    <w:rsid w:val="009D668C"/>
    <w:rsid w:val="009D6719"/>
    <w:rsid w:val="009D6766"/>
    <w:rsid w:val="009D67A4"/>
    <w:rsid w:val="009D6813"/>
    <w:rsid w:val="009D6922"/>
    <w:rsid w:val="009D693E"/>
    <w:rsid w:val="009D69A5"/>
    <w:rsid w:val="009D6A5E"/>
    <w:rsid w:val="009D6B51"/>
    <w:rsid w:val="009D6BB1"/>
    <w:rsid w:val="009D6C1E"/>
    <w:rsid w:val="009D6D25"/>
    <w:rsid w:val="009D6DEE"/>
    <w:rsid w:val="009D6E17"/>
    <w:rsid w:val="009D6F28"/>
    <w:rsid w:val="009D6F68"/>
    <w:rsid w:val="009D6FBA"/>
    <w:rsid w:val="009D6FFC"/>
    <w:rsid w:val="009D715C"/>
    <w:rsid w:val="009D7194"/>
    <w:rsid w:val="009D71B1"/>
    <w:rsid w:val="009D71EE"/>
    <w:rsid w:val="009D7241"/>
    <w:rsid w:val="009D72A6"/>
    <w:rsid w:val="009D7370"/>
    <w:rsid w:val="009D7430"/>
    <w:rsid w:val="009D7600"/>
    <w:rsid w:val="009D7696"/>
    <w:rsid w:val="009D77A6"/>
    <w:rsid w:val="009D77E0"/>
    <w:rsid w:val="009D78CE"/>
    <w:rsid w:val="009D791D"/>
    <w:rsid w:val="009D7A16"/>
    <w:rsid w:val="009D7A74"/>
    <w:rsid w:val="009D7ABC"/>
    <w:rsid w:val="009D7AFF"/>
    <w:rsid w:val="009D7B69"/>
    <w:rsid w:val="009D7B6F"/>
    <w:rsid w:val="009D7CEC"/>
    <w:rsid w:val="009D7D50"/>
    <w:rsid w:val="009D7E0F"/>
    <w:rsid w:val="009D7ED0"/>
    <w:rsid w:val="009D7F3B"/>
    <w:rsid w:val="009D7FCD"/>
    <w:rsid w:val="009D9998"/>
    <w:rsid w:val="009DBC61"/>
    <w:rsid w:val="009E0005"/>
    <w:rsid w:val="009E000F"/>
    <w:rsid w:val="009E01B1"/>
    <w:rsid w:val="009E0230"/>
    <w:rsid w:val="009E04EA"/>
    <w:rsid w:val="009E08A7"/>
    <w:rsid w:val="009E091F"/>
    <w:rsid w:val="009E09AF"/>
    <w:rsid w:val="009E09EB"/>
    <w:rsid w:val="009E0A3B"/>
    <w:rsid w:val="009E0B54"/>
    <w:rsid w:val="009E0C9A"/>
    <w:rsid w:val="009E0CB7"/>
    <w:rsid w:val="009E0E1C"/>
    <w:rsid w:val="009E0F23"/>
    <w:rsid w:val="009E0F31"/>
    <w:rsid w:val="009E1014"/>
    <w:rsid w:val="009E1046"/>
    <w:rsid w:val="009E10DF"/>
    <w:rsid w:val="009E11A7"/>
    <w:rsid w:val="009E120E"/>
    <w:rsid w:val="009E121A"/>
    <w:rsid w:val="009E122A"/>
    <w:rsid w:val="009E12D3"/>
    <w:rsid w:val="009E1331"/>
    <w:rsid w:val="009E1389"/>
    <w:rsid w:val="009E13C0"/>
    <w:rsid w:val="009E14A2"/>
    <w:rsid w:val="009E14BD"/>
    <w:rsid w:val="009E14F8"/>
    <w:rsid w:val="009E154F"/>
    <w:rsid w:val="009E157C"/>
    <w:rsid w:val="009E16E3"/>
    <w:rsid w:val="009E1743"/>
    <w:rsid w:val="009E195F"/>
    <w:rsid w:val="009E1961"/>
    <w:rsid w:val="009E1A42"/>
    <w:rsid w:val="009E1B02"/>
    <w:rsid w:val="009E1C1F"/>
    <w:rsid w:val="009E1DF0"/>
    <w:rsid w:val="009E1E2B"/>
    <w:rsid w:val="009E1E82"/>
    <w:rsid w:val="009E1FA4"/>
    <w:rsid w:val="009E1FBD"/>
    <w:rsid w:val="009E1FF8"/>
    <w:rsid w:val="009E204B"/>
    <w:rsid w:val="009E2063"/>
    <w:rsid w:val="009E20F9"/>
    <w:rsid w:val="009E2111"/>
    <w:rsid w:val="009E21D1"/>
    <w:rsid w:val="009E2215"/>
    <w:rsid w:val="009E2233"/>
    <w:rsid w:val="009E228E"/>
    <w:rsid w:val="009E22FC"/>
    <w:rsid w:val="009E24DD"/>
    <w:rsid w:val="009E2564"/>
    <w:rsid w:val="009E25F0"/>
    <w:rsid w:val="009E2698"/>
    <w:rsid w:val="009E26A7"/>
    <w:rsid w:val="009E273A"/>
    <w:rsid w:val="009E2783"/>
    <w:rsid w:val="009E29D0"/>
    <w:rsid w:val="009E2A2D"/>
    <w:rsid w:val="009E2A52"/>
    <w:rsid w:val="009E2B53"/>
    <w:rsid w:val="009E2B69"/>
    <w:rsid w:val="009E2BF5"/>
    <w:rsid w:val="009E2C2E"/>
    <w:rsid w:val="009E2CBD"/>
    <w:rsid w:val="009E2D08"/>
    <w:rsid w:val="009E2DF4"/>
    <w:rsid w:val="009E2E7A"/>
    <w:rsid w:val="009E2E9E"/>
    <w:rsid w:val="009E3001"/>
    <w:rsid w:val="009E30BF"/>
    <w:rsid w:val="009E3254"/>
    <w:rsid w:val="009E3376"/>
    <w:rsid w:val="009E34A3"/>
    <w:rsid w:val="009E34B7"/>
    <w:rsid w:val="009E3559"/>
    <w:rsid w:val="009E35AB"/>
    <w:rsid w:val="009E35C2"/>
    <w:rsid w:val="009E35C9"/>
    <w:rsid w:val="009E360B"/>
    <w:rsid w:val="009E37C5"/>
    <w:rsid w:val="009E3967"/>
    <w:rsid w:val="009E39AC"/>
    <w:rsid w:val="009E3A71"/>
    <w:rsid w:val="009E3C16"/>
    <w:rsid w:val="009E3CA1"/>
    <w:rsid w:val="009E3CD7"/>
    <w:rsid w:val="009E3D75"/>
    <w:rsid w:val="009E3E16"/>
    <w:rsid w:val="009E3E1B"/>
    <w:rsid w:val="009E3F28"/>
    <w:rsid w:val="009E3F4F"/>
    <w:rsid w:val="009E3F7F"/>
    <w:rsid w:val="009E400C"/>
    <w:rsid w:val="009E4010"/>
    <w:rsid w:val="009E410C"/>
    <w:rsid w:val="009E412F"/>
    <w:rsid w:val="009E423E"/>
    <w:rsid w:val="009E4247"/>
    <w:rsid w:val="009E4290"/>
    <w:rsid w:val="009E42EC"/>
    <w:rsid w:val="009E433D"/>
    <w:rsid w:val="009E43CD"/>
    <w:rsid w:val="009E43E5"/>
    <w:rsid w:val="009E4469"/>
    <w:rsid w:val="009E44D9"/>
    <w:rsid w:val="009E456B"/>
    <w:rsid w:val="009E45A3"/>
    <w:rsid w:val="009E45E8"/>
    <w:rsid w:val="009E4666"/>
    <w:rsid w:val="009E46B3"/>
    <w:rsid w:val="009E46D9"/>
    <w:rsid w:val="009E472D"/>
    <w:rsid w:val="009E4775"/>
    <w:rsid w:val="009E47C0"/>
    <w:rsid w:val="009E4961"/>
    <w:rsid w:val="009E4969"/>
    <w:rsid w:val="009E49FD"/>
    <w:rsid w:val="009E4A5C"/>
    <w:rsid w:val="009E4ABB"/>
    <w:rsid w:val="009E4B99"/>
    <w:rsid w:val="009E4CD5"/>
    <w:rsid w:val="009E4E38"/>
    <w:rsid w:val="009E4E50"/>
    <w:rsid w:val="009E4FD8"/>
    <w:rsid w:val="009E4FEF"/>
    <w:rsid w:val="009E4FFD"/>
    <w:rsid w:val="009E52FA"/>
    <w:rsid w:val="009E5395"/>
    <w:rsid w:val="009E544E"/>
    <w:rsid w:val="009E558A"/>
    <w:rsid w:val="009E5645"/>
    <w:rsid w:val="009E5672"/>
    <w:rsid w:val="009E578E"/>
    <w:rsid w:val="009E594F"/>
    <w:rsid w:val="009E5953"/>
    <w:rsid w:val="009E5980"/>
    <w:rsid w:val="009E5A0A"/>
    <w:rsid w:val="009E5B62"/>
    <w:rsid w:val="009E5BB5"/>
    <w:rsid w:val="009E5C43"/>
    <w:rsid w:val="009E5C82"/>
    <w:rsid w:val="009E5CD0"/>
    <w:rsid w:val="009E60EC"/>
    <w:rsid w:val="009E62A1"/>
    <w:rsid w:val="009E632E"/>
    <w:rsid w:val="009E6347"/>
    <w:rsid w:val="009E638F"/>
    <w:rsid w:val="009E643B"/>
    <w:rsid w:val="009E6446"/>
    <w:rsid w:val="009E649A"/>
    <w:rsid w:val="009E6545"/>
    <w:rsid w:val="009E6554"/>
    <w:rsid w:val="009E65A0"/>
    <w:rsid w:val="009E6620"/>
    <w:rsid w:val="009E664E"/>
    <w:rsid w:val="009E6685"/>
    <w:rsid w:val="009E67E3"/>
    <w:rsid w:val="009E6887"/>
    <w:rsid w:val="009E6992"/>
    <w:rsid w:val="009E69C1"/>
    <w:rsid w:val="009E69CE"/>
    <w:rsid w:val="009E69F5"/>
    <w:rsid w:val="009E6B3A"/>
    <w:rsid w:val="009E6D24"/>
    <w:rsid w:val="009E6D8D"/>
    <w:rsid w:val="009E6DC1"/>
    <w:rsid w:val="009E6DE0"/>
    <w:rsid w:val="009E6DEE"/>
    <w:rsid w:val="009E6E07"/>
    <w:rsid w:val="009E6E42"/>
    <w:rsid w:val="009E6F05"/>
    <w:rsid w:val="009E702B"/>
    <w:rsid w:val="009E7054"/>
    <w:rsid w:val="009E7123"/>
    <w:rsid w:val="009E71CA"/>
    <w:rsid w:val="009E71EA"/>
    <w:rsid w:val="009E726B"/>
    <w:rsid w:val="009E72F8"/>
    <w:rsid w:val="009E7352"/>
    <w:rsid w:val="009E738B"/>
    <w:rsid w:val="009E739A"/>
    <w:rsid w:val="009E73E1"/>
    <w:rsid w:val="009E740E"/>
    <w:rsid w:val="009E7492"/>
    <w:rsid w:val="009E7548"/>
    <w:rsid w:val="009E7550"/>
    <w:rsid w:val="009E7586"/>
    <w:rsid w:val="009E7628"/>
    <w:rsid w:val="009E764B"/>
    <w:rsid w:val="009E768E"/>
    <w:rsid w:val="009E76A2"/>
    <w:rsid w:val="009E76D6"/>
    <w:rsid w:val="009E7813"/>
    <w:rsid w:val="009E7840"/>
    <w:rsid w:val="009E7895"/>
    <w:rsid w:val="009E78E9"/>
    <w:rsid w:val="009E79B0"/>
    <w:rsid w:val="009E7AA0"/>
    <w:rsid w:val="009E7B30"/>
    <w:rsid w:val="009E7C7D"/>
    <w:rsid w:val="009E7DE9"/>
    <w:rsid w:val="009E7E04"/>
    <w:rsid w:val="009E7F14"/>
    <w:rsid w:val="009E7F5D"/>
    <w:rsid w:val="009E7FC2"/>
    <w:rsid w:val="009E7FE4"/>
    <w:rsid w:val="009EA953"/>
    <w:rsid w:val="009EB7DC"/>
    <w:rsid w:val="009EBFB5"/>
    <w:rsid w:val="009EF6CB"/>
    <w:rsid w:val="009F00A7"/>
    <w:rsid w:val="009F00AE"/>
    <w:rsid w:val="009F0118"/>
    <w:rsid w:val="009F01AB"/>
    <w:rsid w:val="009F0206"/>
    <w:rsid w:val="009F0241"/>
    <w:rsid w:val="009F0310"/>
    <w:rsid w:val="009F0387"/>
    <w:rsid w:val="009F03CE"/>
    <w:rsid w:val="009F03ED"/>
    <w:rsid w:val="009F04EE"/>
    <w:rsid w:val="009F0599"/>
    <w:rsid w:val="009F062A"/>
    <w:rsid w:val="009F075A"/>
    <w:rsid w:val="009F0784"/>
    <w:rsid w:val="009F0805"/>
    <w:rsid w:val="009F08A3"/>
    <w:rsid w:val="009F08B5"/>
    <w:rsid w:val="009F0904"/>
    <w:rsid w:val="009F09DE"/>
    <w:rsid w:val="009F0A04"/>
    <w:rsid w:val="009F0AF6"/>
    <w:rsid w:val="009F0BB3"/>
    <w:rsid w:val="009F0BE7"/>
    <w:rsid w:val="009F0C40"/>
    <w:rsid w:val="009F0D6D"/>
    <w:rsid w:val="009F0E4F"/>
    <w:rsid w:val="009F0E7B"/>
    <w:rsid w:val="009F0E9D"/>
    <w:rsid w:val="009F0F50"/>
    <w:rsid w:val="009F11F4"/>
    <w:rsid w:val="009F1306"/>
    <w:rsid w:val="009F1331"/>
    <w:rsid w:val="009F137F"/>
    <w:rsid w:val="009F13AE"/>
    <w:rsid w:val="009F14D3"/>
    <w:rsid w:val="009F14E4"/>
    <w:rsid w:val="009F14E9"/>
    <w:rsid w:val="009F16DE"/>
    <w:rsid w:val="009F195C"/>
    <w:rsid w:val="009F19E7"/>
    <w:rsid w:val="009F1B08"/>
    <w:rsid w:val="009F1B70"/>
    <w:rsid w:val="009F1BE8"/>
    <w:rsid w:val="009F1BFF"/>
    <w:rsid w:val="009F1C8C"/>
    <w:rsid w:val="009F1DA2"/>
    <w:rsid w:val="009F1DB5"/>
    <w:rsid w:val="009F1DC1"/>
    <w:rsid w:val="009F1F04"/>
    <w:rsid w:val="009F2079"/>
    <w:rsid w:val="009F2174"/>
    <w:rsid w:val="009F2183"/>
    <w:rsid w:val="009F2319"/>
    <w:rsid w:val="009F251B"/>
    <w:rsid w:val="009F256C"/>
    <w:rsid w:val="009F25B5"/>
    <w:rsid w:val="009F2769"/>
    <w:rsid w:val="009F2781"/>
    <w:rsid w:val="009F2A05"/>
    <w:rsid w:val="009F2A9C"/>
    <w:rsid w:val="009F2ADC"/>
    <w:rsid w:val="009F2B04"/>
    <w:rsid w:val="009F2B5A"/>
    <w:rsid w:val="009F2C0A"/>
    <w:rsid w:val="009F2C2E"/>
    <w:rsid w:val="009F2D4B"/>
    <w:rsid w:val="009F2D69"/>
    <w:rsid w:val="009F2E69"/>
    <w:rsid w:val="009F3055"/>
    <w:rsid w:val="009F3102"/>
    <w:rsid w:val="009F31DE"/>
    <w:rsid w:val="009F3223"/>
    <w:rsid w:val="009F32E9"/>
    <w:rsid w:val="009F3305"/>
    <w:rsid w:val="009F3339"/>
    <w:rsid w:val="009F3365"/>
    <w:rsid w:val="009F33AB"/>
    <w:rsid w:val="009F343A"/>
    <w:rsid w:val="009F352F"/>
    <w:rsid w:val="009F35CE"/>
    <w:rsid w:val="009F3679"/>
    <w:rsid w:val="009F3757"/>
    <w:rsid w:val="009F3799"/>
    <w:rsid w:val="009F3885"/>
    <w:rsid w:val="009F38A8"/>
    <w:rsid w:val="009F3970"/>
    <w:rsid w:val="009F39F8"/>
    <w:rsid w:val="009F3AE2"/>
    <w:rsid w:val="009F3BDD"/>
    <w:rsid w:val="009F3CD8"/>
    <w:rsid w:val="009F3D91"/>
    <w:rsid w:val="009F3F04"/>
    <w:rsid w:val="009F4014"/>
    <w:rsid w:val="009F4071"/>
    <w:rsid w:val="009F413F"/>
    <w:rsid w:val="009F422C"/>
    <w:rsid w:val="009F423F"/>
    <w:rsid w:val="009F4269"/>
    <w:rsid w:val="009F4381"/>
    <w:rsid w:val="009F43B4"/>
    <w:rsid w:val="009F457B"/>
    <w:rsid w:val="009F4633"/>
    <w:rsid w:val="009F469B"/>
    <w:rsid w:val="009F46B4"/>
    <w:rsid w:val="009F47C5"/>
    <w:rsid w:val="009F48CE"/>
    <w:rsid w:val="009F4963"/>
    <w:rsid w:val="009F499F"/>
    <w:rsid w:val="009F49A0"/>
    <w:rsid w:val="009F49D1"/>
    <w:rsid w:val="009F4A45"/>
    <w:rsid w:val="009F4A59"/>
    <w:rsid w:val="009F4A88"/>
    <w:rsid w:val="009F4A9C"/>
    <w:rsid w:val="009F4AA6"/>
    <w:rsid w:val="009F4BB9"/>
    <w:rsid w:val="009F4CCC"/>
    <w:rsid w:val="009F4CE3"/>
    <w:rsid w:val="009F4D6D"/>
    <w:rsid w:val="009F4E0D"/>
    <w:rsid w:val="009F4E46"/>
    <w:rsid w:val="009F4E78"/>
    <w:rsid w:val="009F4F15"/>
    <w:rsid w:val="009F4F5D"/>
    <w:rsid w:val="009F4FE8"/>
    <w:rsid w:val="009F5077"/>
    <w:rsid w:val="009F51B3"/>
    <w:rsid w:val="009F5267"/>
    <w:rsid w:val="009F52B5"/>
    <w:rsid w:val="009F5349"/>
    <w:rsid w:val="009F536C"/>
    <w:rsid w:val="009F5380"/>
    <w:rsid w:val="009F5398"/>
    <w:rsid w:val="009F53C7"/>
    <w:rsid w:val="009F545A"/>
    <w:rsid w:val="009F546A"/>
    <w:rsid w:val="009F5496"/>
    <w:rsid w:val="009F54EE"/>
    <w:rsid w:val="009F5547"/>
    <w:rsid w:val="009F5573"/>
    <w:rsid w:val="009F55AB"/>
    <w:rsid w:val="009F55DA"/>
    <w:rsid w:val="009F563F"/>
    <w:rsid w:val="009F5788"/>
    <w:rsid w:val="009F57EA"/>
    <w:rsid w:val="009F5838"/>
    <w:rsid w:val="009F5843"/>
    <w:rsid w:val="009F58FA"/>
    <w:rsid w:val="009F590A"/>
    <w:rsid w:val="009F5A52"/>
    <w:rsid w:val="009F5A61"/>
    <w:rsid w:val="009F5AA4"/>
    <w:rsid w:val="009F5B32"/>
    <w:rsid w:val="009F5B6A"/>
    <w:rsid w:val="009F5B98"/>
    <w:rsid w:val="009F5C06"/>
    <w:rsid w:val="009F5C13"/>
    <w:rsid w:val="009F5C89"/>
    <w:rsid w:val="009F5CB8"/>
    <w:rsid w:val="009F5D52"/>
    <w:rsid w:val="009F5D5F"/>
    <w:rsid w:val="009F5DE3"/>
    <w:rsid w:val="009F5E12"/>
    <w:rsid w:val="009F5F1C"/>
    <w:rsid w:val="009F5F62"/>
    <w:rsid w:val="009F6005"/>
    <w:rsid w:val="009F6011"/>
    <w:rsid w:val="009F60DF"/>
    <w:rsid w:val="009F61AD"/>
    <w:rsid w:val="009F6225"/>
    <w:rsid w:val="009F623E"/>
    <w:rsid w:val="009F62E2"/>
    <w:rsid w:val="009F6355"/>
    <w:rsid w:val="009F639F"/>
    <w:rsid w:val="009F6431"/>
    <w:rsid w:val="009F65A1"/>
    <w:rsid w:val="009F66DA"/>
    <w:rsid w:val="009F6714"/>
    <w:rsid w:val="009F6796"/>
    <w:rsid w:val="009F6876"/>
    <w:rsid w:val="009F6881"/>
    <w:rsid w:val="009F6886"/>
    <w:rsid w:val="009F68A2"/>
    <w:rsid w:val="009F68B3"/>
    <w:rsid w:val="009F68C1"/>
    <w:rsid w:val="009F68E0"/>
    <w:rsid w:val="009F6911"/>
    <w:rsid w:val="009F6958"/>
    <w:rsid w:val="009F6A18"/>
    <w:rsid w:val="009F6A25"/>
    <w:rsid w:val="009F6A4F"/>
    <w:rsid w:val="009F6A95"/>
    <w:rsid w:val="009F6AD5"/>
    <w:rsid w:val="009F6B07"/>
    <w:rsid w:val="009F6D8F"/>
    <w:rsid w:val="009F6D98"/>
    <w:rsid w:val="009F6DF2"/>
    <w:rsid w:val="009F6E2F"/>
    <w:rsid w:val="009F6E89"/>
    <w:rsid w:val="009F7085"/>
    <w:rsid w:val="009F70C2"/>
    <w:rsid w:val="009F715E"/>
    <w:rsid w:val="009F729A"/>
    <w:rsid w:val="009F7376"/>
    <w:rsid w:val="009F738F"/>
    <w:rsid w:val="009F73AE"/>
    <w:rsid w:val="009F73DC"/>
    <w:rsid w:val="009F747C"/>
    <w:rsid w:val="009F76FA"/>
    <w:rsid w:val="009F7800"/>
    <w:rsid w:val="009F7811"/>
    <w:rsid w:val="009F7832"/>
    <w:rsid w:val="009F787C"/>
    <w:rsid w:val="009F789E"/>
    <w:rsid w:val="009F78CD"/>
    <w:rsid w:val="009F78DD"/>
    <w:rsid w:val="009F790C"/>
    <w:rsid w:val="009F7953"/>
    <w:rsid w:val="009F7998"/>
    <w:rsid w:val="009F7A9A"/>
    <w:rsid w:val="009F7AE0"/>
    <w:rsid w:val="009F7B48"/>
    <w:rsid w:val="009F7B55"/>
    <w:rsid w:val="009F7C47"/>
    <w:rsid w:val="009F7C55"/>
    <w:rsid w:val="009F7C5D"/>
    <w:rsid w:val="009F7EDF"/>
    <w:rsid w:val="009FB496"/>
    <w:rsid w:val="00A000E3"/>
    <w:rsid w:val="00A001C1"/>
    <w:rsid w:val="00A00297"/>
    <w:rsid w:val="00A003E7"/>
    <w:rsid w:val="00A003EC"/>
    <w:rsid w:val="00A00424"/>
    <w:rsid w:val="00A0046A"/>
    <w:rsid w:val="00A004ED"/>
    <w:rsid w:val="00A0055D"/>
    <w:rsid w:val="00A0059E"/>
    <w:rsid w:val="00A00602"/>
    <w:rsid w:val="00A00625"/>
    <w:rsid w:val="00A006F4"/>
    <w:rsid w:val="00A0077F"/>
    <w:rsid w:val="00A00925"/>
    <w:rsid w:val="00A00CF7"/>
    <w:rsid w:val="00A00D87"/>
    <w:rsid w:val="00A00DCF"/>
    <w:rsid w:val="00A00F82"/>
    <w:rsid w:val="00A01081"/>
    <w:rsid w:val="00A0117E"/>
    <w:rsid w:val="00A012D5"/>
    <w:rsid w:val="00A01333"/>
    <w:rsid w:val="00A0141C"/>
    <w:rsid w:val="00A01443"/>
    <w:rsid w:val="00A016C1"/>
    <w:rsid w:val="00A016D4"/>
    <w:rsid w:val="00A01866"/>
    <w:rsid w:val="00A0187F"/>
    <w:rsid w:val="00A0195E"/>
    <w:rsid w:val="00A019B1"/>
    <w:rsid w:val="00A019DD"/>
    <w:rsid w:val="00A01A17"/>
    <w:rsid w:val="00A01AD2"/>
    <w:rsid w:val="00A01B10"/>
    <w:rsid w:val="00A01CDA"/>
    <w:rsid w:val="00A01CE4"/>
    <w:rsid w:val="00A01CE6"/>
    <w:rsid w:val="00A01D40"/>
    <w:rsid w:val="00A01E05"/>
    <w:rsid w:val="00A01F09"/>
    <w:rsid w:val="00A01F8D"/>
    <w:rsid w:val="00A01FB2"/>
    <w:rsid w:val="00A02025"/>
    <w:rsid w:val="00A020B6"/>
    <w:rsid w:val="00A020F1"/>
    <w:rsid w:val="00A0211E"/>
    <w:rsid w:val="00A021DE"/>
    <w:rsid w:val="00A021F2"/>
    <w:rsid w:val="00A02214"/>
    <w:rsid w:val="00A022C4"/>
    <w:rsid w:val="00A022E4"/>
    <w:rsid w:val="00A022E7"/>
    <w:rsid w:val="00A02407"/>
    <w:rsid w:val="00A0261A"/>
    <w:rsid w:val="00A0263F"/>
    <w:rsid w:val="00A0286E"/>
    <w:rsid w:val="00A02899"/>
    <w:rsid w:val="00A028EA"/>
    <w:rsid w:val="00A02ACE"/>
    <w:rsid w:val="00A02B71"/>
    <w:rsid w:val="00A02BBA"/>
    <w:rsid w:val="00A02C3C"/>
    <w:rsid w:val="00A02C6C"/>
    <w:rsid w:val="00A02CD9"/>
    <w:rsid w:val="00A02CDA"/>
    <w:rsid w:val="00A02CFE"/>
    <w:rsid w:val="00A02D4B"/>
    <w:rsid w:val="00A02D68"/>
    <w:rsid w:val="00A02EA9"/>
    <w:rsid w:val="00A02F22"/>
    <w:rsid w:val="00A02F76"/>
    <w:rsid w:val="00A02F81"/>
    <w:rsid w:val="00A02FA7"/>
    <w:rsid w:val="00A02FAB"/>
    <w:rsid w:val="00A02FF3"/>
    <w:rsid w:val="00A03014"/>
    <w:rsid w:val="00A03029"/>
    <w:rsid w:val="00A03062"/>
    <w:rsid w:val="00A0309C"/>
    <w:rsid w:val="00A030B6"/>
    <w:rsid w:val="00A030BB"/>
    <w:rsid w:val="00A030C7"/>
    <w:rsid w:val="00A031A2"/>
    <w:rsid w:val="00A031BC"/>
    <w:rsid w:val="00A032FC"/>
    <w:rsid w:val="00A033D0"/>
    <w:rsid w:val="00A03447"/>
    <w:rsid w:val="00A034F6"/>
    <w:rsid w:val="00A0351B"/>
    <w:rsid w:val="00A0354A"/>
    <w:rsid w:val="00A0356C"/>
    <w:rsid w:val="00A0356E"/>
    <w:rsid w:val="00A036A1"/>
    <w:rsid w:val="00A036A4"/>
    <w:rsid w:val="00A037E7"/>
    <w:rsid w:val="00A037FB"/>
    <w:rsid w:val="00A03852"/>
    <w:rsid w:val="00A03A86"/>
    <w:rsid w:val="00A03F44"/>
    <w:rsid w:val="00A03F6E"/>
    <w:rsid w:val="00A04046"/>
    <w:rsid w:val="00A040BA"/>
    <w:rsid w:val="00A04192"/>
    <w:rsid w:val="00A04227"/>
    <w:rsid w:val="00A04273"/>
    <w:rsid w:val="00A042A2"/>
    <w:rsid w:val="00A042DD"/>
    <w:rsid w:val="00A042EE"/>
    <w:rsid w:val="00A04383"/>
    <w:rsid w:val="00A043D3"/>
    <w:rsid w:val="00A04440"/>
    <w:rsid w:val="00A04479"/>
    <w:rsid w:val="00A04503"/>
    <w:rsid w:val="00A04533"/>
    <w:rsid w:val="00A0456E"/>
    <w:rsid w:val="00A0469D"/>
    <w:rsid w:val="00A046CC"/>
    <w:rsid w:val="00A046E4"/>
    <w:rsid w:val="00A046FB"/>
    <w:rsid w:val="00A0471E"/>
    <w:rsid w:val="00A04755"/>
    <w:rsid w:val="00A047C2"/>
    <w:rsid w:val="00A048C2"/>
    <w:rsid w:val="00A0491C"/>
    <w:rsid w:val="00A04928"/>
    <w:rsid w:val="00A04A96"/>
    <w:rsid w:val="00A04BA8"/>
    <w:rsid w:val="00A04C78"/>
    <w:rsid w:val="00A04CB3"/>
    <w:rsid w:val="00A04E64"/>
    <w:rsid w:val="00A04EAF"/>
    <w:rsid w:val="00A04F77"/>
    <w:rsid w:val="00A05091"/>
    <w:rsid w:val="00A052D5"/>
    <w:rsid w:val="00A05374"/>
    <w:rsid w:val="00A05391"/>
    <w:rsid w:val="00A054AE"/>
    <w:rsid w:val="00A054B6"/>
    <w:rsid w:val="00A054EC"/>
    <w:rsid w:val="00A054FD"/>
    <w:rsid w:val="00A05510"/>
    <w:rsid w:val="00A055D4"/>
    <w:rsid w:val="00A055DD"/>
    <w:rsid w:val="00A055F5"/>
    <w:rsid w:val="00A0561F"/>
    <w:rsid w:val="00A05651"/>
    <w:rsid w:val="00A057E0"/>
    <w:rsid w:val="00A0580F"/>
    <w:rsid w:val="00A058A9"/>
    <w:rsid w:val="00A05947"/>
    <w:rsid w:val="00A05971"/>
    <w:rsid w:val="00A059B7"/>
    <w:rsid w:val="00A05A45"/>
    <w:rsid w:val="00A05A4C"/>
    <w:rsid w:val="00A05AE0"/>
    <w:rsid w:val="00A05B90"/>
    <w:rsid w:val="00A05C4A"/>
    <w:rsid w:val="00A05CA3"/>
    <w:rsid w:val="00A05CF0"/>
    <w:rsid w:val="00A05FCB"/>
    <w:rsid w:val="00A061A3"/>
    <w:rsid w:val="00A062FE"/>
    <w:rsid w:val="00A06357"/>
    <w:rsid w:val="00A063B6"/>
    <w:rsid w:val="00A06405"/>
    <w:rsid w:val="00A0647F"/>
    <w:rsid w:val="00A064DF"/>
    <w:rsid w:val="00A065ED"/>
    <w:rsid w:val="00A0668E"/>
    <w:rsid w:val="00A066C6"/>
    <w:rsid w:val="00A066EE"/>
    <w:rsid w:val="00A0671B"/>
    <w:rsid w:val="00A067AF"/>
    <w:rsid w:val="00A0680D"/>
    <w:rsid w:val="00A0683D"/>
    <w:rsid w:val="00A0692E"/>
    <w:rsid w:val="00A0695B"/>
    <w:rsid w:val="00A06963"/>
    <w:rsid w:val="00A06988"/>
    <w:rsid w:val="00A069C9"/>
    <w:rsid w:val="00A06A98"/>
    <w:rsid w:val="00A06B01"/>
    <w:rsid w:val="00A06B0F"/>
    <w:rsid w:val="00A06B85"/>
    <w:rsid w:val="00A06B9C"/>
    <w:rsid w:val="00A06C75"/>
    <w:rsid w:val="00A06CD4"/>
    <w:rsid w:val="00A06D01"/>
    <w:rsid w:val="00A06DF2"/>
    <w:rsid w:val="00A06E2E"/>
    <w:rsid w:val="00A0709C"/>
    <w:rsid w:val="00A07177"/>
    <w:rsid w:val="00A071C1"/>
    <w:rsid w:val="00A071D9"/>
    <w:rsid w:val="00A0726C"/>
    <w:rsid w:val="00A07360"/>
    <w:rsid w:val="00A0742F"/>
    <w:rsid w:val="00A0772D"/>
    <w:rsid w:val="00A077A2"/>
    <w:rsid w:val="00A077A8"/>
    <w:rsid w:val="00A077AC"/>
    <w:rsid w:val="00A07817"/>
    <w:rsid w:val="00A078B2"/>
    <w:rsid w:val="00A07AA9"/>
    <w:rsid w:val="00A07B26"/>
    <w:rsid w:val="00A07B34"/>
    <w:rsid w:val="00A07B99"/>
    <w:rsid w:val="00A07CD2"/>
    <w:rsid w:val="00A07CED"/>
    <w:rsid w:val="00A07E39"/>
    <w:rsid w:val="00A07E97"/>
    <w:rsid w:val="00A07EF4"/>
    <w:rsid w:val="00A07F65"/>
    <w:rsid w:val="00A100D4"/>
    <w:rsid w:val="00A101E7"/>
    <w:rsid w:val="00A10228"/>
    <w:rsid w:val="00A10263"/>
    <w:rsid w:val="00A102FE"/>
    <w:rsid w:val="00A10302"/>
    <w:rsid w:val="00A10312"/>
    <w:rsid w:val="00A103A5"/>
    <w:rsid w:val="00A104F2"/>
    <w:rsid w:val="00A10749"/>
    <w:rsid w:val="00A107E1"/>
    <w:rsid w:val="00A10810"/>
    <w:rsid w:val="00A1083F"/>
    <w:rsid w:val="00A10950"/>
    <w:rsid w:val="00A1099B"/>
    <w:rsid w:val="00A10A11"/>
    <w:rsid w:val="00A10A5F"/>
    <w:rsid w:val="00A10CB7"/>
    <w:rsid w:val="00A10CF0"/>
    <w:rsid w:val="00A10D21"/>
    <w:rsid w:val="00A10D22"/>
    <w:rsid w:val="00A10F4C"/>
    <w:rsid w:val="00A1100E"/>
    <w:rsid w:val="00A110DC"/>
    <w:rsid w:val="00A111D1"/>
    <w:rsid w:val="00A112C0"/>
    <w:rsid w:val="00A112CA"/>
    <w:rsid w:val="00A113C4"/>
    <w:rsid w:val="00A1145C"/>
    <w:rsid w:val="00A1146A"/>
    <w:rsid w:val="00A11505"/>
    <w:rsid w:val="00A1159C"/>
    <w:rsid w:val="00A115FB"/>
    <w:rsid w:val="00A11702"/>
    <w:rsid w:val="00A11722"/>
    <w:rsid w:val="00A11771"/>
    <w:rsid w:val="00A11805"/>
    <w:rsid w:val="00A1181F"/>
    <w:rsid w:val="00A1184C"/>
    <w:rsid w:val="00A1197E"/>
    <w:rsid w:val="00A11A4D"/>
    <w:rsid w:val="00A11B89"/>
    <w:rsid w:val="00A11C54"/>
    <w:rsid w:val="00A11CD1"/>
    <w:rsid w:val="00A11D27"/>
    <w:rsid w:val="00A11DBE"/>
    <w:rsid w:val="00A11E97"/>
    <w:rsid w:val="00A11E9B"/>
    <w:rsid w:val="00A11F38"/>
    <w:rsid w:val="00A11FB9"/>
    <w:rsid w:val="00A12242"/>
    <w:rsid w:val="00A1228E"/>
    <w:rsid w:val="00A122F9"/>
    <w:rsid w:val="00A12478"/>
    <w:rsid w:val="00A1255F"/>
    <w:rsid w:val="00A12690"/>
    <w:rsid w:val="00A12759"/>
    <w:rsid w:val="00A127B1"/>
    <w:rsid w:val="00A127BA"/>
    <w:rsid w:val="00A12830"/>
    <w:rsid w:val="00A128FD"/>
    <w:rsid w:val="00A12900"/>
    <w:rsid w:val="00A12902"/>
    <w:rsid w:val="00A1296F"/>
    <w:rsid w:val="00A129F1"/>
    <w:rsid w:val="00A12AE0"/>
    <w:rsid w:val="00A12AFA"/>
    <w:rsid w:val="00A12B1D"/>
    <w:rsid w:val="00A12BE0"/>
    <w:rsid w:val="00A12CD9"/>
    <w:rsid w:val="00A12D60"/>
    <w:rsid w:val="00A12DEB"/>
    <w:rsid w:val="00A12E01"/>
    <w:rsid w:val="00A12E93"/>
    <w:rsid w:val="00A12E95"/>
    <w:rsid w:val="00A12F7E"/>
    <w:rsid w:val="00A13118"/>
    <w:rsid w:val="00A132E2"/>
    <w:rsid w:val="00A1331C"/>
    <w:rsid w:val="00A13482"/>
    <w:rsid w:val="00A13493"/>
    <w:rsid w:val="00A13590"/>
    <w:rsid w:val="00A135A0"/>
    <w:rsid w:val="00A13603"/>
    <w:rsid w:val="00A13630"/>
    <w:rsid w:val="00A136B3"/>
    <w:rsid w:val="00A136F2"/>
    <w:rsid w:val="00A138F5"/>
    <w:rsid w:val="00A13926"/>
    <w:rsid w:val="00A13999"/>
    <w:rsid w:val="00A13B3D"/>
    <w:rsid w:val="00A13C21"/>
    <w:rsid w:val="00A13C4E"/>
    <w:rsid w:val="00A13C59"/>
    <w:rsid w:val="00A13D46"/>
    <w:rsid w:val="00A13D7F"/>
    <w:rsid w:val="00A13DB7"/>
    <w:rsid w:val="00A13DC3"/>
    <w:rsid w:val="00A13E22"/>
    <w:rsid w:val="00A13E31"/>
    <w:rsid w:val="00A13F59"/>
    <w:rsid w:val="00A13F6D"/>
    <w:rsid w:val="00A13F84"/>
    <w:rsid w:val="00A1400F"/>
    <w:rsid w:val="00A14063"/>
    <w:rsid w:val="00A1416D"/>
    <w:rsid w:val="00A14181"/>
    <w:rsid w:val="00A141C2"/>
    <w:rsid w:val="00A1426E"/>
    <w:rsid w:val="00A14378"/>
    <w:rsid w:val="00A144E5"/>
    <w:rsid w:val="00A14586"/>
    <w:rsid w:val="00A145AB"/>
    <w:rsid w:val="00A1464B"/>
    <w:rsid w:val="00A1465B"/>
    <w:rsid w:val="00A146F5"/>
    <w:rsid w:val="00A14724"/>
    <w:rsid w:val="00A148CB"/>
    <w:rsid w:val="00A148F6"/>
    <w:rsid w:val="00A14918"/>
    <w:rsid w:val="00A149E4"/>
    <w:rsid w:val="00A14B96"/>
    <w:rsid w:val="00A14C99"/>
    <w:rsid w:val="00A14E39"/>
    <w:rsid w:val="00A14EDE"/>
    <w:rsid w:val="00A1512F"/>
    <w:rsid w:val="00A151B1"/>
    <w:rsid w:val="00A151B2"/>
    <w:rsid w:val="00A152D1"/>
    <w:rsid w:val="00A15354"/>
    <w:rsid w:val="00A153A3"/>
    <w:rsid w:val="00A153AB"/>
    <w:rsid w:val="00A153E0"/>
    <w:rsid w:val="00A154EF"/>
    <w:rsid w:val="00A15595"/>
    <w:rsid w:val="00A155A2"/>
    <w:rsid w:val="00A15637"/>
    <w:rsid w:val="00A15638"/>
    <w:rsid w:val="00A15659"/>
    <w:rsid w:val="00A157AD"/>
    <w:rsid w:val="00A157B5"/>
    <w:rsid w:val="00A15884"/>
    <w:rsid w:val="00A1596B"/>
    <w:rsid w:val="00A15976"/>
    <w:rsid w:val="00A159EF"/>
    <w:rsid w:val="00A159F9"/>
    <w:rsid w:val="00A15A6F"/>
    <w:rsid w:val="00A15BBE"/>
    <w:rsid w:val="00A15EAF"/>
    <w:rsid w:val="00A160B2"/>
    <w:rsid w:val="00A160CF"/>
    <w:rsid w:val="00A16116"/>
    <w:rsid w:val="00A1612B"/>
    <w:rsid w:val="00A16260"/>
    <w:rsid w:val="00A162F1"/>
    <w:rsid w:val="00A163EA"/>
    <w:rsid w:val="00A1642D"/>
    <w:rsid w:val="00A1656A"/>
    <w:rsid w:val="00A1664F"/>
    <w:rsid w:val="00A1683D"/>
    <w:rsid w:val="00A16860"/>
    <w:rsid w:val="00A169A8"/>
    <w:rsid w:val="00A16AB5"/>
    <w:rsid w:val="00A16AD7"/>
    <w:rsid w:val="00A16B60"/>
    <w:rsid w:val="00A16CE8"/>
    <w:rsid w:val="00A16D12"/>
    <w:rsid w:val="00A16D59"/>
    <w:rsid w:val="00A16E59"/>
    <w:rsid w:val="00A16F66"/>
    <w:rsid w:val="00A17004"/>
    <w:rsid w:val="00A170F0"/>
    <w:rsid w:val="00A170F4"/>
    <w:rsid w:val="00A1724B"/>
    <w:rsid w:val="00A17423"/>
    <w:rsid w:val="00A17453"/>
    <w:rsid w:val="00A174C0"/>
    <w:rsid w:val="00A17519"/>
    <w:rsid w:val="00A1772E"/>
    <w:rsid w:val="00A17765"/>
    <w:rsid w:val="00A17773"/>
    <w:rsid w:val="00A1779F"/>
    <w:rsid w:val="00A177BE"/>
    <w:rsid w:val="00A177D1"/>
    <w:rsid w:val="00A178BD"/>
    <w:rsid w:val="00A178CB"/>
    <w:rsid w:val="00A1790E"/>
    <w:rsid w:val="00A17C87"/>
    <w:rsid w:val="00A17C91"/>
    <w:rsid w:val="00A17C9C"/>
    <w:rsid w:val="00A17CA9"/>
    <w:rsid w:val="00A17CB4"/>
    <w:rsid w:val="00A17D2A"/>
    <w:rsid w:val="00A17D35"/>
    <w:rsid w:val="00A17D6E"/>
    <w:rsid w:val="00A17E58"/>
    <w:rsid w:val="00A17ED2"/>
    <w:rsid w:val="00A17F6B"/>
    <w:rsid w:val="00A17FAB"/>
    <w:rsid w:val="00A1E30F"/>
    <w:rsid w:val="00A20155"/>
    <w:rsid w:val="00A2032E"/>
    <w:rsid w:val="00A2037E"/>
    <w:rsid w:val="00A20411"/>
    <w:rsid w:val="00A20416"/>
    <w:rsid w:val="00A20435"/>
    <w:rsid w:val="00A20498"/>
    <w:rsid w:val="00A20602"/>
    <w:rsid w:val="00A206EA"/>
    <w:rsid w:val="00A20861"/>
    <w:rsid w:val="00A20863"/>
    <w:rsid w:val="00A20983"/>
    <w:rsid w:val="00A209C0"/>
    <w:rsid w:val="00A20A35"/>
    <w:rsid w:val="00A20BCD"/>
    <w:rsid w:val="00A20C80"/>
    <w:rsid w:val="00A20CFB"/>
    <w:rsid w:val="00A20D39"/>
    <w:rsid w:val="00A20D3F"/>
    <w:rsid w:val="00A20D61"/>
    <w:rsid w:val="00A20E1B"/>
    <w:rsid w:val="00A20E88"/>
    <w:rsid w:val="00A20F56"/>
    <w:rsid w:val="00A20FF1"/>
    <w:rsid w:val="00A2100F"/>
    <w:rsid w:val="00A21041"/>
    <w:rsid w:val="00A210E8"/>
    <w:rsid w:val="00A210F5"/>
    <w:rsid w:val="00A21182"/>
    <w:rsid w:val="00A212C2"/>
    <w:rsid w:val="00A21380"/>
    <w:rsid w:val="00A213E3"/>
    <w:rsid w:val="00A2147E"/>
    <w:rsid w:val="00A21541"/>
    <w:rsid w:val="00A21584"/>
    <w:rsid w:val="00A215A3"/>
    <w:rsid w:val="00A21641"/>
    <w:rsid w:val="00A21660"/>
    <w:rsid w:val="00A216B4"/>
    <w:rsid w:val="00A217BD"/>
    <w:rsid w:val="00A219D1"/>
    <w:rsid w:val="00A21A0A"/>
    <w:rsid w:val="00A21A1C"/>
    <w:rsid w:val="00A21A25"/>
    <w:rsid w:val="00A21B40"/>
    <w:rsid w:val="00A21BB3"/>
    <w:rsid w:val="00A21BC6"/>
    <w:rsid w:val="00A21BD1"/>
    <w:rsid w:val="00A21C3E"/>
    <w:rsid w:val="00A21C9B"/>
    <w:rsid w:val="00A21CF0"/>
    <w:rsid w:val="00A21DC2"/>
    <w:rsid w:val="00A21FC7"/>
    <w:rsid w:val="00A22065"/>
    <w:rsid w:val="00A2206C"/>
    <w:rsid w:val="00A2207B"/>
    <w:rsid w:val="00A22087"/>
    <w:rsid w:val="00A2210E"/>
    <w:rsid w:val="00A22124"/>
    <w:rsid w:val="00A223CA"/>
    <w:rsid w:val="00A22595"/>
    <w:rsid w:val="00A225E6"/>
    <w:rsid w:val="00A2267E"/>
    <w:rsid w:val="00A2275A"/>
    <w:rsid w:val="00A22813"/>
    <w:rsid w:val="00A22822"/>
    <w:rsid w:val="00A2299E"/>
    <w:rsid w:val="00A22A9D"/>
    <w:rsid w:val="00A22AF1"/>
    <w:rsid w:val="00A22B3E"/>
    <w:rsid w:val="00A22D1D"/>
    <w:rsid w:val="00A22DE1"/>
    <w:rsid w:val="00A22E19"/>
    <w:rsid w:val="00A22E1B"/>
    <w:rsid w:val="00A22F20"/>
    <w:rsid w:val="00A22F39"/>
    <w:rsid w:val="00A22FAD"/>
    <w:rsid w:val="00A23042"/>
    <w:rsid w:val="00A23066"/>
    <w:rsid w:val="00A230A1"/>
    <w:rsid w:val="00A23162"/>
    <w:rsid w:val="00A231A9"/>
    <w:rsid w:val="00A23203"/>
    <w:rsid w:val="00A23235"/>
    <w:rsid w:val="00A2326C"/>
    <w:rsid w:val="00A2327E"/>
    <w:rsid w:val="00A232BD"/>
    <w:rsid w:val="00A23355"/>
    <w:rsid w:val="00A2337D"/>
    <w:rsid w:val="00A2340D"/>
    <w:rsid w:val="00A23419"/>
    <w:rsid w:val="00A23468"/>
    <w:rsid w:val="00A234B6"/>
    <w:rsid w:val="00A23561"/>
    <w:rsid w:val="00A235DC"/>
    <w:rsid w:val="00A2372E"/>
    <w:rsid w:val="00A2382E"/>
    <w:rsid w:val="00A2389D"/>
    <w:rsid w:val="00A23939"/>
    <w:rsid w:val="00A23953"/>
    <w:rsid w:val="00A239B5"/>
    <w:rsid w:val="00A23A95"/>
    <w:rsid w:val="00A23AA5"/>
    <w:rsid w:val="00A23B43"/>
    <w:rsid w:val="00A23B6A"/>
    <w:rsid w:val="00A23B8F"/>
    <w:rsid w:val="00A23C2E"/>
    <w:rsid w:val="00A23CA7"/>
    <w:rsid w:val="00A23CF9"/>
    <w:rsid w:val="00A23DB0"/>
    <w:rsid w:val="00A23DB8"/>
    <w:rsid w:val="00A23E43"/>
    <w:rsid w:val="00A23EBE"/>
    <w:rsid w:val="00A23F56"/>
    <w:rsid w:val="00A240D7"/>
    <w:rsid w:val="00A24209"/>
    <w:rsid w:val="00A24284"/>
    <w:rsid w:val="00A24451"/>
    <w:rsid w:val="00A244D0"/>
    <w:rsid w:val="00A2453B"/>
    <w:rsid w:val="00A245CE"/>
    <w:rsid w:val="00A24721"/>
    <w:rsid w:val="00A247AC"/>
    <w:rsid w:val="00A247EC"/>
    <w:rsid w:val="00A2482B"/>
    <w:rsid w:val="00A24889"/>
    <w:rsid w:val="00A248B8"/>
    <w:rsid w:val="00A24929"/>
    <w:rsid w:val="00A2493A"/>
    <w:rsid w:val="00A2495A"/>
    <w:rsid w:val="00A24A21"/>
    <w:rsid w:val="00A24A60"/>
    <w:rsid w:val="00A24AB1"/>
    <w:rsid w:val="00A24B0E"/>
    <w:rsid w:val="00A24BF6"/>
    <w:rsid w:val="00A24C18"/>
    <w:rsid w:val="00A24CDF"/>
    <w:rsid w:val="00A24D1C"/>
    <w:rsid w:val="00A24D3C"/>
    <w:rsid w:val="00A24DDC"/>
    <w:rsid w:val="00A24FA1"/>
    <w:rsid w:val="00A24FD0"/>
    <w:rsid w:val="00A24FF7"/>
    <w:rsid w:val="00A25025"/>
    <w:rsid w:val="00A2505C"/>
    <w:rsid w:val="00A2505E"/>
    <w:rsid w:val="00A250B1"/>
    <w:rsid w:val="00A250F5"/>
    <w:rsid w:val="00A250F7"/>
    <w:rsid w:val="00A25121"/>
    <w:rsid w:val="00A2516E"/>
    <w:rsid w:val="00A251B4"/>
    <w:rsid w:val="00A2520B"/>
    <w:rsid w:val="00A2529F"/>
    <w:rsid w:val="00A252D3"/>
    <w:rsid w:val="00A25376"/>
    <w:rsid w:val="00A253B8"/>
    <w:rsid w:val="00A253D7"/>
    <w:rsid w:val="00A25425"/>
    <w:rsid w:val="00A2542A"/>
    <w:rsid w:val="00A254C8"/>
    <w:rsid w:val="00A25564"/>
    <w:rsid w:val="00A2562D"/>
    <w:rsid w:val="00A256BA"/>
    <w:rsid w:val="00A257AF"/>
    <w:rsid w:val="00A258C5"/>
    <w:rsid w:val="00A258E0"/>
    <w:rsid w:val="00A258EA"/>
    <w:rsid w:val="00A25953"/>
    <w:rsid w:val="00A25A9F"/>
    <w:rsid w:val="00A25AB4"/>
    <w:rsid w:val="00A25ABC"/>
    <w:rsid w:val="00A25CA5"/>
    <w:rsid w:val="00A25CAE"/>
    <w:rsid w:val="00A25DD6"/>
    <w:rsid w:val="00A25E18"/>
    <w:rsid w:val="00A25E67"/>
    <w:rsid w:val="00A25ED2"/>
    <w:rsid w:val="00A260AF"/>
    <w:rsid w:val="00A261CA"/>
    <w:rsid w:val="00A26407"/>
    <w:rsid w:val="00A2654A"/>
    <w:rsid w:val="00A26617"/>
    <w:rsid w:val="00A26642"/>
    <w:rsid w:val="00A2665E"/>
    <w:rsid w:val="00A2682B"/>
    <w:rsid w:val="00A26870"/>
    <w:rsid w:val="00A268F3"/>
    <w:rsid w:val="00A26992"/>
    <w:rsid w:val="00A26A7E"/>
    <w:rsid w:val="00A26B61"/>
    <w:rsid w:val="00A26C5A"/>
    <w:rsid w:val="00A26EC6"/>
    <w:rsid w:val="00A26F24"/>
    <w:rsid w:val="00A26F6E"/>
    <w:rsid w:val="00A2706F"/>
    <w:rsid w:val="00A270AB"/>
    <w:rsid w:val="00A2713A"/>
    <w:rsid w:val="00A271B4"/>
    <w:rsid w:val="00A27273"/>
    <w:rsid w:val="00A273B9"/>
    <w:rsid w:val="00A273EC"/>
    <w:rsid w:val="00A273EF"/>
    <w:rsid w:val="00A27429"/>
    <w:rsid w:val="00A2745E"/>
    <w:rsid w:val="00A27475"/>
    <w:rsid w:val="00A275A2"/>
    <w:rsid w:val="00A2765B"/>
    <w:rsid w:val="00A276AC"/>
    <w:rsid w:val="00A27750"/>
    <w:rsid w:val="00A27767"/>
    <w:rsid w:val="00A277BE"/>
    <w:rsid w:val="00A2781D"/>
    <w:rsid w:val="00A27833"/>
    <w:rsid w:val="00A27880"/>
    <w:rsid w:val="00A278DC"/>
    <w:rsid w:val="00A27925"/>
    <w:rsid w:val="00A27975"/>
    <w:rsid w:val="00A279BD"/>
    <w:rsid w:val="00A27A16"/>
    <w:rsid w:val="00A27A5F"/>
    <w:rsid w:val="00A27A72"/>
    <w:rsid w:val="00A27B33"/>
    <w:rsid w:val="00A27B6E"/>
    <w:rsid w:val="00A27BFC"/>
    <w:rsid w:val="00A27DB9"/>
    <w:rsid w:val="00A27DBE"/>
    <w:rsid w:val="00A27DDA"/>
    <w:rsid w:val="00A27E7F"/>
    <w:rsid w:val="00A29028"/>
    <w:rsid w:val="00A2E010"/>
    <w:rsid w:val="00A300B3"/>
    <w:rsid w:val="00A3016E"/>
    <w:rsid w:val="00A30176"/>
    <w:rsid w:val="00A30194"/>
    <w:rsid w:val="00A301A1"/>
    <w:rsid w:val="00A301CA"/>
    <w:rsid w:val="00A30204"/>
    <w:rsid w:val="00A3021A"/>
    <w:rsid w:val="00A30259"/>
    <w:rsid w:val="00A302AF"/>
    <w:rsid w:val="00A30451"/>
    <w:rsid w:val="00A304DE"/>
    <w:rsid w:val="00A30597"/>
    <w:rsid w:val="00A305E0"/>
    <w:rsid w:val="00A307D2"/>
    <w:rsid w:val="00A30848"/>
    <w:rsid w:val="00A30855"/>
    <w:rsid w:val="00A308D1"/>
    <w:rsid w:val="00A3093C"/>
    <w:rsid w:val="00A30B0E"/>
    <w:rsid w:val="00A30B4A"/>
    <w:rsid w:val="00A30B8D"/>
    <w:rsid w:val="00A30BFD"/>
    <w:rsid w:val="00A30D02"/>
    <w:rsid w:val="00A30D79"/>
    <w:rsid w:val="00A30DD3"/>
    <w:rsid w:val="00A30E6C"/>
    <w:rsid w:val="00A30F66"/>
    <w:rsid w:val="00A30F8E"/>
    <w:rsid w:val="00A3106D"/>
    <w:rsid w:val="00A310FE"/>
    <w:rsid w:val="00A31103"/>
    <w:rsid w:val="00A31162"/>
    <w:rsid w:val="00A3117E"/>
    <w:rsid w:val="00A31269"/>
    <w:rsid w:val="00A31276"/>
    <w:rsid w:val="00A313A0"/>
    <w:rsid w:val="00A314B2"/>
    <w:rsid w:val="00A31634"/>
    <w:rsid w:val="00A31663"/>
    <w:rsid w:val="00A31672"/>
    <w:rsid w:val="00A31772"/>
    <w:rsid w:val="00A31B46"/>
    <w:rsid w:val="00A31D7F"/>
    <w:rsid w:val="00A31DEF"/>
    <w:rsid w:val="00A31DF0"/>
    <w:rsid w:val="00A31DFD"/>
    <w:rsid w:val="00A31E11"/>
    <w:rsid w:val="00A31E69"/>
    <w:rsid w:val="00A31EAD"/>
    <w:rsid w:val="00A31F3F"/>
    <w:rsid w:val="00A31F59"/>
    <w:rsid w:val="00A3216C"/>
    <w:rsid w:val="00A3222F"/>
    <w:rsid w:val="00A32481"/>
    <w:rsid w:val="00A32494"/>
    <w:rsid w:val="00A324D2"/>
    <w:rsid w:val="00A324D6"/>
    <w:rsid w:val="00A324FC"/>
    <w:rsid w:val="00A325D1"/>
    <w:rsid w:val="00A32625"/>
    <w:rsid w:val="00A3262E"/>
    <w:rsid w:val="00A32966"/>
    <w:rsid w:val="00A32B44"/>
    <w:rsid w:val="00A32BF9"/>
    <w:rsid w:val="00A32C24"/>
    <w:rsid w:val="00A32CA2"/>
    <w:rsid w:val="00A32D68"/>
    <w:rsid w:val="00A32D79"/>
    <w:rsid w:val="00A32E82"/>
    <w:rsid w:val="00A32FB6"/>
    <w:rsid w:val="00A32FF5"/>
    <w:rsid w:val="00A33070"/>
    <w:rsid w:val="00A33153"/>
    <w:rsid w:val="00A33279"/>
    <w:rsid w:val="00A33368"/>
    <w:rsid w:val="00A33402"/>
    <w:rsid w:val="00A33436"/>
    <w:rsid w:val="00A33457"/>
    <w:rsid w:val="00A33458"/>
    <w:rsid w:val="00A33480"/>
    <w:rsid w:val="00A334E1"/>
    <w:rsid w:val="00A335F3"/>
    <w:rsid w:val="00A33639"/>
    <w:rsid w:val="00A33692"/>
    <w:rsid w:val="00A337D1"/>
    <w:rsid w:val="00A338C5"/>
    <w:rsid w:val="00A33A41"/>
    <w:rsid w:val="00A33AA3"/>
    <w:rsid w:val="00A33ACA"/>
    <w:rsid w:val="00A33AEC"/>
    <w:rsid w:val="00A33B25"/>
    <w:rsid w:val="00A33B38"/>
    <w:rsid w:val="00A33B56"/>
    <w:rsid w:val="00A33C3B"/>
    <w:rsid w:val="00A33CFC"/>
    <w:rsid w:val="00A33D36"/>
    <w:rsid w:val="00A33E08"/>
    <w:rsid w:val="00A33F06"/>
    <w:rsid w:val="00A33F3E"/>
    <w:rsid w:val="00A33FCB"/>
    <w:rsid w:val="00A3409C"/>
    <w:rsid w:val="00A340EF"/>
    <w:rsid w:val="00A34156"/>
    <w:rsid w:val="00A343B7"/>
    <w:rsid w:val="00A34444"/>
    <w:rsid w:val="00A3465B"/>
    <w:rsid w:val="00A347EF"/>
    <w:rsid w:val="00A349B2"/>
    <w:rsid w:val="00A349E4"/>
    <w:rsid w:val="00A34A02"/>
    <w:rsid w:val="00A34A7F"/>
    <w:rsid w:val="00A34B4A"/>
    <w:rsid w:val="00A34BA8"/>
    <w:rsid w:val="00A34C24"/>
    <w:rsid w:val="00A34C3B"/>
    <w:rsid w:val="00A34D14"/>
    <w:rsid w:val="00A34D21"/>
    <w:rsid w:val="00A34D3A"/>
    <w:rsid w:val="00A34D9A"/>
    <w:rsid w:val="00A34DDF"/>
    <w:rsid w:val="00A34DE0"/>
    <w:rsid w:val="00A34F94"/>
    <w:rsid w:val="00A35046"/>
    <w:rsid w:val="00A3505F"/>
    <w:rsid w:val="00A350B8"/>
    <w:rsid w:val="00A35136"/>
    <w:rsid w:val="00A3526D"/>
    <w:rsid w:val="00A3530D"/>
    <w:rsid w:val="00A35328"/>
    <w:rsid w:val="00A35414"/>
    <w:rsid w:val="00A3543D"/>
    <w:rsid w:val="00A3544D"/>
    <w:rsid w:val="00A35456"/>
    <w:rsid w:val="00A354CC"/>
    <w:rsid w:val="00A354EE"/>
    <w:rsid w:val="00A3551D"/>
    <w:rsid w:val="00A35634"/>
    <w:rsid w:val="00A356D2"/>
    <w:rsid w:val="00A35701"/>
    <w:rsid w:val="00A35718"/>
    <w:rsid w:val="00A35768"/>
    <w:rsid w:val="00A3581C"/>
    <w:rsid w:val="00A35844"/>
    <w:rsid w:val="00A3588E"/>
    <w:rsid w:val="00A35936"/>
    <w:rsid w:val="00A35962"/>
    <w:rsid w:val="00A3597F"/>
    <w:rsid w:val="00A359C3"/>
    <w:rsid w:val="00A359FA"/>
    <w:rsid w:val="00A35A12"/>
    <w:rsid w:val="00A35A3B"/>
    <w:rsid w:val="00A35AE6"/>
    <w:rsid w:val="00A35B48"/>
    <w:rsid w:val="00A35BCF"/>
    <w:rsid w:val="00A35BD2"/>
    <w:rsid w:val="00A35C63"/>
    <w:rsid w:val="00A35CE0"/>
    <w:rsid w:val="00A35EAA"/>
    <w:rsid w:val="00A35F0E"/>
    <w:rsid w:val="00A35FB9"/>
    <w:rsid w:val="00A3607C"/>
    <w:rsid w:val="00A36108"/>
    <w:rsid w:val="00A36142"/>
    <w:rsid w:val="00A361C4"/>
    <w:rsid w:val="00A36441"/>
    <w:rsid w:val="00A365A8"/>
    <w:rsid w:val="00A3672F"/>
    <w:rsid w:val="00A3677D"/>
    <w:rsid w:val="00A367DE"/>
    <w:rsid w:val="00A3683B"/>
    <w:rsid w:val="00A36890"/>
    <w:rsid w:val="00A368DB"/>
    <w:rsid w:val="00A36929"/>
    <w:rsid w:val="00A36D79"/>
    <w:rsid w:val="00A36D97"/>
    <w:rsid w:val="00A36DF5"/>
    <w:rsid w:val="00A36E1B"/>
    <w:rsid w:val="00A36EF5"/>
    <w:rsid w:val="00A36FCB"/>
    <w:rsid w:val="00A37083"/>
    <w:rsid w:val="00A3708B"/>
    <w:rsid w:val="00A370FE"/>
    <w:rsid w:val="00A3715D"/>
    <w:rsid w:val="00A3718C"/>
    <w:rsid w:val="00A37225"/>
    <w:rsid w:val="00A37355"/>
    <w:rsid w:val="00A373AF"/>
    <w:rsid w:val="00A3741F"/>
    <w:rsid w:val="00A375FD"/>
    <w:rsid w:val="00A378B3"/>
    <w:rsid w:val="00A37941"/>
    <w:rsid w:val="00A37A49"/>
    <w:rsid w:val="00A37D3C"/>
    <w:rsid w:val="00A37D43"/>
    <w:rsid w:val="00A37D54"/>
    <w:rsid w:val="00A37D74"/>
    <w:rsid w:val="00A37E08"/>
    <w:rsid w:val="00A37E43"/>
    <w:rsid w:val="00A37E89"/>
    <w:rsid w:val="00A37F67"/>
    <w:rsid w:val="00A3F55B"/>
    <w:rsid w:val="00A400E2"/>
    <w:rsid w:val="00A40174"/>
    <w:rsid w:val="00A4022F"/>
    <w:rsid w:val="00A40267"/>
    <w:rsid w:val="00A402C1"/>
    <w:rsid w:val="00A40301"/>
    <w:rsid w:val="00A4032F"/>
    <w:rsid w:val="00A4047E"/>
    <w:rsid w:val="00A40484"/>
    <w:rsid w:val="00A404B6"/>
    <w:rsid w:val="00A404C7"/>
    <w:rsid w:val="00A405A0"/>
    <w:rsid w:val="00A405F1"/>
    <w:rsid w:val="00A40656"/>
    <w:rsid w:val="00A40675"/>
    <w:rsid w:val="00A4079B"/>
    <w:rsid w:val="00A408C6"/>
    <w:rsid w:val="00A40906"/>
    <w:rsid w:val="00A40922"/>
    <w:rsid w:val="00A409C4"/>
    <w:rsid w:val="00A40AAE"/>
    <w:rsid w:val="00A40B4C"/>
    <w:rsid w:val="00A40B4E"/>
    <w:rsid w:val="00A40B51"/>
    <w:rsid w:val="00A40C28"/>
    <w:rsid w:val="00A40C32"/>
    <w:rsid w:val="00A40E37"/>
    <w:rsid w:val="00A40EA2"/>
    <w:rsid w:val="00A4101A"/>
    <w:rsid w:val="00A41032"/>
    <w:rsid w:val="00A4108D"/>
    <w:rsid w:val="00A4108E"/>
    <w:rsid w:val="00A4109B"/>
    <w:rsid w:val="00A41173"/>
    <w:rsid w:val="00A4136A"/>
    <w:rsid w:val="00A41372"/>
    <w:rsid w:val="00A41460"/>
    <w:rsid w:val="00A414B5"/>
    <w:rsid w:val="00A4153E"/>
    <w:rsid w:val="00A41581"/>
    <w:rsid w:val="00A415CF"/>
    <w:rsid w:val="00A4167C"/>
    <w:rsid w:val="00A41766"/>
    <w:rsid w:val="00A41812"/>
    <w:rsid w:val="00A4190C"/>
    <w:rsid w:val="00A41991"/>
    <w:rsid w:val="00A419A1"/>
    <w:rsid w:val="00A419AB"/>
    <w:rsid w:val="00A41A22"/>
    <w:rsid w:val="00A41AB4"/>
    <w:rsid w:val="00A41ACA"/>
    <w:rsid w:val="00A41B50"/>
    <w:rsid w:val="00A41B74"/>
    <w:rsid w:val="00A41BDF"/>
    <w:rsid w:val="00A41C5F"/>
    <w:rsid w:val="00A41CB8"/>
    <w:rsid w:val="00A41D32"/>
    <w:rsid w:val="00A41D8A"/>
    <w:rsid w:val="00A41E23"/>
    <w:rsid w:val="00A41E5B"/>
    <w:rsid w:val="00A41F2C"/>
    <w:rsid w:val="00A41FC5"/>
    <w:rsid w:val="00A41FCB"/>
    <w:rsid w:val="00A42088"/>
    <w:rsid w:val="00A4208C"/>
    <w:rsid w:val="00A4215E"/>
    <w:rsid w:val="00A423BB"/>
    <w:rsid w:val="00A423C5"/>
    <w:rsid w:val="00A4246C"/>
    <w:rsid w:val="00A42585"/>
    <w:rsid w:val="00A425A5"/>
    <w:rsid w:val="00A425CB"/>
    <w:rsid w:val="00A42640"/>
    <w:rsid w:val="00A42667"/>
    <w:rsid w:val="00A427FC"/>
    <w:rsid w:val="00A427FD"/>
    <w:rsid w:val="00A428D3"/>
    <w:rsid w:val="00A42940"/>
    <w:rsid w:val="00A429DF"/>
    <w:rsid w:val="00A42A7D"/>
    <w:rsid w:val="00A42B72"/>
    <w:rsid w:val="00A42C9C"/>
    <w:rsid w:val="00A42D12"/>
    <w:rsid w:val="00A42D4E"/>
    <w:rsid w:val="00A42D68"/>
    <w:rsid w:val="00A42EA0"/>
    <w:rsid w:val="00A430F7"/>
    <w:rsid w:val="00A43101"/>
    <w:rsid w:val="00A43139"/>
    <w:rsid w:val="00A4325F"/>
    <w:rsid w:val="00A43264"/>
    <w:rsid w:val="00A432A6"/>
    <w:rsid w:val="00A43421"/>
    <w:rsid w:val="00A4345A"/>
    <w:rsid w:val="00A434F7"/>
    <w:rsid w:val="00A434FE"/>
    <w:rsid w:val="00A43527"/>
    <w:rsid w:val="00A43640"/>
    <w:rsid w:val="00A436CA"/>
    <w:rsid w:val="00A437F2"/>
    <w:rsid w:val="00A43806"/>
    <w:rsid w:val="00A43A42"/>
    <w:rsid w:val="00A43AA2"/>
    <w:rsid w:val="00A43BA1"/>
    <w:rsid w:val="00A43D37"/>
    <w:rsid w:val="00A43DBC"/>
    <w:rsid w:val="00A43DE4"/>
    <w:rsid w:val="00A43E6A"/>
    <w:rsid w:val="00A43F1E"/>
    <w:rsid w:val="00A43FD0"/>
    <w:rsid w:val="00A44231"/>
    <w:rsid w:val="00A4434D"/>
    <w:rsid w:val="00A443E3"/>
    <w:rsid w:val="00A44441"/>
    <w:rsid w:val="00A4457F"/>
    <w:rsid w:val="00A44588"/>
    <w:rsid w:val="00A4459D"/>
    <w:rsid w:val="00A4459F"/>
    <w:rsid w:val="00A44754"/>
    <w:rsid w:val="00A44797"/>
    <w:rsid w:val="00A447B8"/>
    <w:rsid w:val="00A44873"/>
    <w:rsid w:val="00A44898"/>
    <w:rsid w:val="00A4492C"/>
    <w:rsid w:val="00A44959"/>
    <w:rsid w:val="00A449F3"/>
    <w:rsid w:val="00A44A16"/>
    <w:rsid w:val="00A44A3B"/>
    <w:rsid w:val="00A44AE6"/>
    <w:rsid w:val="00A44B33"/>
    <w:rsid w:val="00A44B43"/>
    <w:rsid w:val="00A44BB7"/>
    <w:rsid w:val="00A44D49"/>
    <w:rsid w:val="00A44DDC"/>
    <w:rsid w:val="00A44F59"/>
    <w:rsid w:val="00A44F92"/>
    <w:rsid w:val="00A450FA"/>
    <w:rsid w:val="00A4516A"/>
    <w:rsid w:val="00A4523F"/>
    <w:rsid w:val="00A4529D"/>
    <w:rsid w:val="00A455CE"/>
    <w:rsid w:val="00A45629"/>
    <w:rsid w:val="00A456A7"/>
    <w:rsid w:val="00A456BD"/>
    <w:rsid w:val="00A45756"/>
    <w:rsid w:val="00A45771"/>
    <w:rsid w:val="00A457AC"/>
    <w:rsid w:val="00A458DA"/>
    <w:rsid w:val="00A45969"/>
    <w:rsid w:val="00A4597E"/>
    <w:rsid w:val="00A45A1A"/>
    <w:rsid w:val="00A45A6C"/>
    <w:rsid w:val="00A45ABA"/>
    <w:rsid w:val="00A45AE1"/>
    <w:rsid w:val="00A45B18"/>
    <w:rsid w:val="00A45B6D"/>
    <w:rsid w:val="00A45B95"/>
    <w:rsid w:val="00A45DC8"/>
    <w:rsid w:val="00A45E8E"/>
    <w:rsid w:val="00A45F0F"/>
    <w:rsid w:val="00A45F9C"/>
    <w:rsid w:val="00A45FDA"/>
    <w:rsid w:val="00A45FEE"/>
    <w:rsid w:val="00A460A1"/>
    <w:rsid w:val="00A460C1"/>
    <w:rsid w:val="00A46328"/>
    <w:rsid w:val="00A46361"/>
    <w:rsid w:val="00A463B7"/>
    <w:rsid w:val="00A4642C"/>
    <w:rsid w:val="00A464D7"/>
    <w:rsid w:val="00A464E4"/>
    <w:rsid w:val="00A46770"/>
    <w:rsid w:val="00A46946"/>
    <w:rsid w:val="00A46948"/>
    <w:rsid w:val="00A46B73"/>
    <w:rsid w:val="00A46BB4"/>
    <w:rsid w:val="00A46BBD"/>
    <w:rsid w:val="00A46CA8"/>
    <w:rsid w:val="00A46CB8"/>
    <w:rsid w:val="00A46E33"/>
    <w:rsid w:val="00A46F23"/>
    <w:rsid w:val="00A46FE8"/>
    <w:rsid w:val="00A47097"/>
    <w:rsid w:val="00A470E2"/>
    <w:rsid w:val="00A471DB"/>
    <w:rsid w:val="00A472F4"/>
    <w:rsid w:val="00A473A2"/>
    <w:rsid w:val="00A4752D"/>
    <w:rsid w:val="00A475B7"/>
    <w:rsid w:val="00A4778C"/>
    <w:rsid w:val="00A47848"/>
    <w:rsid w:val="00A4792C"/>
    <w:rsid w:val="00A479F4"/>
    <w:rsid w:val="00A47AC0"/>
    <w:rsid w:val="00A47CC9"/>
    <w:rsid w:val="00A47CFD"/>
    <w:rsid w:val="00A47DE1"/>
    <w:rsid w:val="00A47EB8"/>
    <w:rsid w:val="00A47EE5"/>
    <w:rsid w:val="00A47F89"/>
    <w:rsid w:val="00A4E5EE"/>
    <w:rsid w:val="00A50101"/>
    <w:rsid w:val="00A501B5"/>
    <w:rsid w:val="00A50207"/>
    <w:rsid w:val="00A5027E"/>
    <w:rsid w:val="00A50336"/>
    <w:rsid w:val="00A504A3"/>
    <w:rsid w:val="00A504F3"/>
    <w:rsid w:val="00A50578"/>
    <w:rsid w:val="00A505AD"/>
    <w:rsid w:val="00A505B2"/>
    <w:rsid w:val="00A506C2"/>
    <w:rsid w:val="00A506DD"/>
    <w:rsid w:val="00A50779"/>
    <w:rsid w:val="00A507F1"/>
    <w:rsid w:val="00A5084E"/>
    <w:rsid w:val="00A508A4"/>
    <w:rsid w:val="00A508B4"/>
    <w:rsid w:val="00A509E9"/>
    <w:rsid w:val="00A50A71"/>
    <w:rsid w:val="00A50ADC"/>
    <w:rsid w:val="00A50BDB"/>
    <w:rsid w:val="00A50C9A"/>
    <w:rsid w:val="00A50CE5"/>
    <w:rsid w:val="00A50CED"/>
    <w:rsid w:val="00A50D8E"/>
    <w:rsid w:val="00A50DC6"/>
    <w:rsid w:val="00A50DCB"/>
    <w:rsid w:val="00A50DE9"/>
    <w:rsid w:val="00A50E12"/>
    <w:rsid w:val="00A50FFC"/>
    <w:rsid w:val="00A5108C"/>
    <w:rsid w:val="00A511DD"/>
    <w:rsid w:val="00A51217"/>
    <w:rsid w:val="00A5122D"/>
    <w:rsid w:val="00A51318"/>
    <w:rsid w:val="00A51328"/>
    <w:rsid w:val="00A51334"/>
    <w:rsid w:val="00A51626"/>
    <w:rsid w:val="00A51828"/>
    <w:rsid w:val="00A51855"/>
    <w:rsid w:val="00A51860"/>
    <w:rsid w:val="00A51A13"/>
    <w:rsid w:val="00A51AA7"/>
    <w:rsid w:val="00A51B6A"/>
    <w:rsid w:val="00A51BA7"/>
    <w:rsid w:val="00A51C57"/>
    <w:rsid w:val="00A51D61"/>
    <w:rsid w:val="00A51E0A"/>
    <w:rsid w:val="00A51E1A"/>
    <w:rsid w:val="00A51E33"/>
    <w:rsid w:val="00A51F0F"/>
    <w:rsid w:val="00A51F34"/>
    <w:rsid w:val="00A51F46"/>
    <w:rsid w:val="00A51F7F"/>
    <w:rsid w:val="00A51F9E"/>
    <w:rsid w:val="00A51FF4"/>
    <w:rsid w:val="00A520E5"/>
    <w:rsid w:val="00A52139"/>
    <w:rsid w:val="00A5216E"/>
    <w:rsid w:val="00A521C3"/>
    <w:rsid w:val="00A522FC"/>
    <w:rsid w:val="00A525A1"/>
    <w:rsid w:val="00A52628"/>
    <w:rsid w:val="00A5262E"/>
    <w:rsid w:val="00A526BD"/>
    <w:rsid w:val="00A52716"/>
    <w:rsid w:val="00A52764"/>
    <w:rsid w:val="00A52814"/>
    <w:rsid w:val="00A5281B"/>
    <w:rsid w:val="00A52912"/>
    <w:rsid w:val="00A52958"/>
    <w:rsid w:val="00A52A94"/>
    <w:rsid w:val="00A52B31"/>
    <w:rsid w:val="00A52C28"/>
    <w:rsid w:val="00A52CDA"/>
    <w:rsid w:val="00A52D79"/>
    <w:rsid w:val="00A52E87"/>
    <w:rsid w:val="00A52F26"/>
    <w:rsid w:val="00A52F2E"/>
    <w:rsid w:val="00A52F81"/>
    <w:rsid w:val="00A5302C"/>
    <w:rsid w:val="00A53347"/>
    <w:rsid w:val="00A5352C"/>
    <w:rsid w:val="00A535B8"/>
    <w:rsid w:val="00A536DB"/>
    <w:rsid w:val="00A53A2C"/>
    <w:rsid w:val="00A53A79"/>
    <w:rsid w:val="00A53A83"/>
    <w:rsid w:val="00A53BBA"/>
    <w:rsid w:val="00A53BC3"/>
    <w:rsid w:val="00A53CED"/>
    <w:rsid w:val="00A53D04"/>
    <w:rsid w:val="00A53D70"/>
    <w:rsid w:val="00A53DB4"/>
    <w:rsid w:val="00A53DBE"/>
    <w:rsid w:val="00A53DFA"/>
    <w:rsid w:val="00A54044"/>
    <w:rsid w:val="00A5407F"/>
    <w:rsid w:val="00A540C2"/>
    <w:rsid w:val="00A541CA"/>
    <w:rsid w:val="00A54224"/>
    <w:rsid w:val="00A54267"/>
    <w:rsid w:val="00A542AF"/>
    <w:rsid w:val="00A542D1"/>
    <w:rsid w:val="00A54411"/>
    <w:rsid w:val="00A5443D"/>
    <w:rsid w:val="00A544D4"/>
    <w:rsid w:val="00A544FE"/>
    <w:rsid w:val="00A54520"/>
    <w:rsid w:val="00A545E7"/>
    <w:rsid w:val="00A546E3"/>
    <w:rsid w:val="00A54869"/>
    <w:rsid w:val="00A548AF"/>
    <w:rsid w:val="00A548F6"/>
    <w:rsid w:val="00A5491A"/>
    <w:rsid w:val="00A5497E"/>
    <w:rsid w:val="00A54A3B"/>
    <w:rsid w:val="00A54BCC"/>
    <w:rsid w:val="00A54C80"/>
    <w:rsid w:val="00A54D2D"/>
    <w:rsid w:val="00A54D5F"/>
    <w:rsid w:val="00A54EA6"/>
    <w:rsid w:val="00A54EFB"/>
    <w:rsid w:val="00A54F69"/>
    <w:rsid w:val="00A55007"/>
    <w:rsid w:val="00A5504F"/>
    <w:rsid w:val="00A550F3"/>
    <w:rsid w:val="00A5516C"/>
    <w:rsid w:val="00A5520F"/>
    <w:rsid w:val="00A552D6"/>
    <w:rsid w:val="00A553C0"/>
    <w:rsid w:val="00A5542F"/>
    <w:rsid w:val="00A555AA"/>
    <w:rsid w:val="00A5561B"/>
    <w:rsid w:val="00A556CB"/>
    <w:rsid w:val="00A55809"/>
    <w:rsid w:val="00A55853"/>
    <w:rsid w:val="00A558C5"/>
    <w:rsid w:val="00A55994"/>
    <w:rsid w:val="00A55B9F"/>
    <w:rsid w:val="00A55BBE"/>
    <w:rsid w:val="00A55BE1"/>
    <w:rsid w:val="00A55C13"/>
    <w:rsid w:val="00A55CEB"/>
    <w:rsid w:val="00A55F8C"/>
    <w:rsid w:val="00A56093"/>
    <w:rsid w:val="00A561D9"/>
    <w:rsid w:val="00A56262"/>
    <w:rsid w:val="00A5630E"/>
    <w:rsid w:val="00A563B2"/>
    <w:rsid w:val="00A563C2"/>
    <w:rsid w:val="00A564B6"/>
    <w:rsid w:val="00A564C7"/>
    <w:rsid w:val="00A565FC"/>
    <w:rsid w:val="00A566A8"/>
    <w:rsid w:val="00A567F1"/>
    <w:rsid w:val="00A56958"/>
    <w:rsid w:val="00A569BE"/>
    <w:rsid w:val="00A569D7"/>
    <w:rsid w:val="00A569DC"/>
    <w:rsid w:val="00A56A97"/>
    <w:rsid w:val="00A56A9C"/>
    <w:rsid w:val="00A56B44"/>
    <w:rsid w:val="00A56B95"/>
    <w:rsid w:val="00A56CC3"/>
    <w:rsid w:val="00A56CCA"/>
    <w:rsid w:val="00A56D15"/>
    <w:rsid w:val="00A56D48"/>
    <w:rsid w:val="00A56D69"/>
    <w:rsid w:val="00A56D7E"/>
    <w:rsid w:val="00A56DAF"/>
    <w:rsid w:val="00A56E83"/>
    <w:rsid w:val="00A56E93"/>
    <w:rsid w:val="00A56F00"/>
    <w:rsid w:val="00A56FB2"/>
    <w:rsid w:val="00A57001"/>
    <w:rsid w:val="00A57017"/>
    <w:rsid w:val="00A5712E"/>
    <w:rsid w:val="00A571D2"/>
    <w:rsid w:val="00A57236"/>
    <w:rsid w:val="00A572C9"/>
    <w:rsid w:val="00A57332"/>
    <w:rsid w:val="00A573BF"/>
    <w:rsid w:val="00A573E5"/>
    <w:rsid w:val="00A574B2"/>
    <w:rsid w:val="00A574BA"/>
    <w:rsid w:val="00A575BA"/>
    <w:rsid w:val="00A576A3"/>
    <w:rsid w:val="00A576BC"/>
    <w:rsid w:val="00A5772E"/>
    <w:rsid w:val="00A57736"/>
    <w:rsid w:val="00A577B3"/>
    <w:rsid w:val="00A577E6"/>
    <w:rsid w:val="00A5783C"/>
    <w:rsid w:val="00A578EF"/>
    <w:rsid w:val="00A5797E"/>
    <w:rsid w:val="00A57A6B"/>
    <w:rsid w:val="00A57B26"/>
    <w:rsid w:val="00A57C80"/>
    <w:rsid w:val="00A57CE2"/>
    <w:rsid w:val="00A57DA0"/>
    <w:rsid w:val="00A57E01"/>
    <w:rsid w:val="00A57E0E"/>
    <w:rsid w:val="00A57EDD"/>
    <w:rsid w:val="00A57F7F"/>
    <w:rsid w:val="00A57FF6"/>
    <w:rsid w:val="00A6002B"/>
    <w:rsid w:val="00A600F4"/>
    <w:rsid w:val="00A60115"/>
    <w:rsid w:val="00A601F0"/>
    <w:rsid w:val="00A60211"/>
    <w:rsid w:val="00A602E6"/>
    <w:rsid w:val="00A603A0"/>
    <w:rsid w:val="00A60403"/>
    <w:rsid w:val="00A60434"/>
    <w:rsid w:val="00A604F0"/>
    <w:rsid w:val="00A605D4"/>
    <w:rsid w:val="00A6060A"/>
    <w:rsid w:val="00A606D9"/>
    <w:rsid w:val="00A60764"/>
    <w:rsid w:val="00A607B8"/>
    <w:rsid w:val="00A607B9"/>
    <w:rsid w:val="00A60976"/>
    <w:rsid w:val="00A60BB1"/>
    <w:rsid w:val="00A60BBB"/>
    <w:rsid w:val="00A60CC4"/>
    <w:rsid w:val="00A60DB8"/>
    <w:rsid w:val="00A60DF8"/>
    <w:rsid w:val="00A60EDC"/>
    <w:rsid w:val="00A60FAC"/>
    <w:rsid w:val="00A6100D"/>
    <w:rsid w:val="00A6107B"/>
    <w:rsid w:val="00A610C2"/>
    <w:rsid w:val="00A610C9"/>
    <w:rsid w:val="00A6117F"/>
    <w:rsid w:val="00A612DD"/>
    <w:rsid w:val="00A612E5"/>
    <w:rsid w:val="00A613BC"/>
    <w:rsid w:val="00A613DA"/>
    <w:rsid w:val="00A6144A"/>
    <w:rsid w:val="00A618C5"/>
    <w:rsid w:val="00A61986"/>
    <w:rsid w:val="00A619B8"/>
    <w:rsid w:val="00A61A29"/>
    <w:rsid w:val="00A61A37"/>
    <w:rsid w:val="00A61C7A"/>
    <w:rsid w:val="00A61D09"/>
    <w:rsid w:val="00A61D93"/>
    <w:rsid w:val="00A61DC9"/>
    <w:rsid w:val="00A61E50"/>
    <w:rsid w:val="00A61EE5"/>
    <w:rsid w:val="00A61F69"/>
    <w:rsid w:val="00A61F90"/>
    <w:rsid w:val="00A61FA9"/>
    <w:rsid w:val="00A61FE8"/>
    <w:rsid w:val="00A62157"/>
    <w:rsid w:val="00A6218D"/>
    <w:rsid w:val="00A6219A"/>
    <w:rsid w:val="00A62361"/>
    <w:rsid w:val="00A62393"/>
    <w:rsid w:val="00A62509"/>
    <w:rsid w:val="00A62525"/>
    <w:rsid w:val="00A62568"/>
    <w:rsid w:val="00A62569"/>
    <w:rsid w:val="00A625DB"/>
    <w:rsid w:val="00A6275D"/>
    <w:rsid w:val="00A62A03"/>
    <w:rsid w:val="00A62A52"/>
    <w:rsid w:val="00A62A93"/>
    <w:rsid w:val="00A62ABB"/>
    <w:rsid w:val="00A62C7B"/>
    <w:rsid w:val="00A62D34"/>
    <w:rsid w:val="00A62DB7"/>
    <w:rsid w:val="00A62DE9"/>
    <w:rsid w:val="00A63029"/>
    <w:rsid w:val="00A630E5"/>
    <w:rsid w:val="00A63138"/>
    <w:rsid w:val="00A63194"/>
    <w:rsid w:val="00A631FA"/>
    <w:rsid w:val="00A63286"/>
    <w:rsid w:val="00A632B4"/>
    <w:rsid w:val="00A633B4"/>
    <w:rsid w:val="00A633B7"/>
    <w:rsid w:val="00A63411"/>
    <w:rsid w:val="00A63429"/>
    <w:rsid w:val="00A634EA"/>
    <w:rsid w:val="00A63545"/>
    <w:rsid w:val="00A63550"/>
    <w:rsid w:val="00A635D2"/>
    <w:rsid w:val="00A63918"/>
    <w:rsid w:val="00A63941"/>
    <w:rsid w:val="00A63A63"/>
    <w:rsid w:val="00A63AB9"/>
    <w:rsid w:val="00A63BE9"/>
    <w:rsid w:val="00A63D63"/>
    <w:rsid w:val="00A63DAA"/>
    <w:rsid w:val="00A63DF2"/>
    <w:rsid w:val="00A63F3D"/>
    <w:rsid w:val="00A63F76"/>
    <w:rsid w:val="00A64021"/>
    <w:rsid w:val="00A64034"/>
    <w:rsid w:val="00A64059"/>
    <w:rsid w:val="00A64077"/>
    <w:rsid w:val="00A640DF"/>
    <w:rsid w:val="00A640EB"/>
    <w:rsid w:val="00A6413A"/>
    <w:rsid w:val="00A641FA"/>
    <w:rsid w:val="00A64314"/>
    <w:rsid w:val="00A64359"/>
    <w:rsid w:val="00A643EF"/>
    <w:rsid w:val="00A644F5"/>
    <w:rsid w:val="00A6454F"/>
    <w:rsid w:val="00A6455C"/>
    <w:rsid w:val="00A645C2"/>
    <w:rsid w:val="00A646E1"/>
    <w:rsid w:val="00A647A7"/>
    <w:rsid w:val="00A648D3"/>
    <w:rsid w:val="00A64A1D"/>
    <w:rsid w:val="00A64A7B"/>
    <w:rsid w:val="00A64AAE"/>
    <w:rsid w:val="00A64C2E"/>
    <w:rsid w:val="00A64C54"/>
    <w:rsid w:val="00A64CC7"/>
    <w:rsid w:val="00A64D60"/>
    <w:rsid w:val="00A64DDB"/>
    <w:rsid w:val="00A64E01"/>
    <w:rsid w:val="00A64E94"/>
    <w:rsid w:val="00A64E9B"/>
    <w:rsid w:val="00A64ECF"/>
    <w:rsid w:val="00A65028"/>
    <w:rsid w:val="00A650E7"/>
    <w:rsid w:val="00A651E6"/>
    <w:rsid w:val="00A65286"/>
    <w:rsid w:val="00A65443"/>
    <w:rsid w:val="00A654BB"/>
    <w:rsid w:val="00A654BC"/>
    <w:rsid w:val="00A65593"/>
    <w:rsid w:val="00A6563D"/>
    <w:rsid w:val="00A658DE"/>
    <w:rsid w:val="00A659FC"/>
    <w:rsid w:val="00A65B08"/>
    <w:rsid w:val="00A65C06"/>
    <w:rsid w:val="00A65CC2"/>
    <w:rsid w:val="00A65CCD"/>
    <w:rsid w:val="00A65D2C"/>
    <w:rsid w:val="00A65DAB"/>
    <w:rsid w:val="00A65DF7"/>
    <w:rsid w:val="00A65E42"/>
    <w:rsid w:val="00A65E44"/>
    <w:rsid w:val="00A65F30"/>
    <w:rsid w:val="00A65FCD"/>
    <w:rsid w:val="00A65FD1"/>
    <w:rsid w:val="00A66021"/>
    <w:rsid w:val="00A660F6"/>
    <w:rsid w:val="00A66172"/>
    <w:rsid w:val="00A6617C"/>
    <w:rsid w:val="00A66199"/>
    <w:rsid w:val="00A663F5"/>
    <w:rsid w:val="00A664AA"/>
    <w:rsid w:val="00A664B6"/>
    <w:rsid w:val="00A66666"/>
    <w:rsid w:val="00A66708"/>
    <w:rsid w:val="00A6676F"/>
    <w:rsid w:val="00A6677F"/>
    <w:rsid w:val="00A66797"/>
    <w:rsid w:val="00A6688A"/>
    <w:rsid w:val="00A668E0"/>
    <w:rsid w:val="00A668E5"/>
    <w:rsid w:val="00A669EF"/>
    <w:rsid w:val="00A66A7E"/>
    <w:rsid w:val="00A66A89"/>
    <w:rsid w:val="00A66B7A"/>
    <w:rsid w:val="00A66BCC"/>
    <w:rsid w:val="00A66BF8"/>
    <w:rsid w:val="00A66C41"/>
    <w:rsid w:val="00A66CC2"/>
    <w:rsid w:val="00A66D68"/>
    <w:rsid w:val="00A66E36"/>
    <w:rsid w:val="00A66E3E"/>
    <w:rsid w:val="00A66EBB"/>
    <w:rsid w:val="00A66F0F"/>
    <w:rsid w:val="00A66F15"/>
    <w:rsid w:val="00A66F24"/>
    <w:rsid w:val="00A6703A"/>
    <w:rsid w:val="00A6703E"/>
    <w:rsid w:val="00A6704E"/>
    <w:rsid w:val="00A670CD"/>
    <w:rsid w:val="00A6713F"/>
    <w:rsid w:val="00A67155"/>
    <w:rsid w:val="00A671D4"/>
    <w:rsid w:val="00A6727B"/>
    <w:rsid w:val="00A6732A"/>
    <w:rsid w:val="00A67341"/>
    <w:rsid w:val="00A673A0"/>
    <w:rsid w:val="00A67455"/>
    <w:rsid w:val="00A674F0"/>
    <w:rsid w:val="00A67561"/>
    <w:rsid w:val="00A6757D"/>
    <w:rsid w:val="00A6759C"/>
    <w:rsid w:val="00A675A2"/>
    <w:rsid w:val="00A67667"/>
    <w:rsid w:val="00A676BB"/>
    <w:rsid w:val="00A67803"/>
    <w:rsid w:val="00A67863"/>
    <w:rsid w:val="00A678DC"/>
    <w:rsid w:val="00A67A84"/>
    <w:rsid w:val="00A67B31"/>
    <w:rsid w:val="00A67B86"/>
    <w:rsid w:val="00A67C37"/>
    <w:rsid w:val="00A67C5C"/>
    <w:rsid w:val="00A67CD6"/>
    <w:rsid w:val="00A67D4D"/>
    <w:rsid w:val="00A67E19"/>
    <w:rsid w:val="00A67F39"/>
    <w:rsid w:val="00A67F7A"/>
    <w:rsid w:val="00A67F8D"/>
    <w:rsid w:val="00A7014E"/>
    <w:rsid w:val="00A7018C"/>
    <w:rsid w:val="00A701B5"/>
    <w:rsid w:val="00A701EA"/>
    <w:rsid w:val="00A70229"/>
    <w:rsid w:val="00A702AD"/>
    <w:rsid w:val="00A702B5"/>
    <w:rsid w:val="00A702DD"/>
    <w:rsid w:val="00A702F0"/>
    <w:rsid w:val="00A70408"/>
    <w:rsid w:val="00A70411"/>
    <w:rsid w:val="00A704E7"/>
    <w:rsid w:val="00A70570"/>
    <w:rsid w:val="00A70611"/>
    <w:rsid w:val="00A70677"/>
    <w:rsid w:val="00A706A1"/>
    <w:rsid w:val="00A70765"/>
    <w:rsid w:val="00A707D0"/>
    <w:rsid w:val="00A7081D"/>
    <w:rsid w:val="00A7085C"/>
    <w:rsid w:val="00A7085F"/>
    <w:rsid w:val="00A708B1"/>
    <w:rsid w:val="00A708F4"/>
    <w:rsid w:val="00A70955"/>
    <w:rsid w:val="00A7099E"/>
    <w:rsid w:val="00A70A35"/>
    <w:rsid w:val="00A70A4C"/>
    <w:rsid w:val="00A70A84"/>
    <w:rsid w:val="00A70AB2"/>
    <w:rsid w:val="00A70AB6"/>
    <w:rsid w:val="00A70B6A"/>
    <w:rsid w:val="00A70BF7"/>
    <w:rsid w:val="00A70CF9"/>
    <w:rsid w:val="00A70D2E"/>
    <w:rsid w:val="00A70F42"/>
    <w:rsid w:val="00A70F8C"/>
    <w:rsid w:val="00A70FD8"/>
    <w:rsid w:val="00A71115"/>
    <w:rsid w:val="00A7113D"/>
    <w:rsid w:val="00A7155C"/>
    <w:rsid w:val="00A7159D"/>
    <w:rsid w:val="00A716C7"/>
    <w:rsid w:val="00A718AF"/>
    <w:rsid w:val="00A71907"/>
    <w:rsid w:val="00A7199F"/>
    <w:rsid w:val="00A71AFE"/>
    <w:rsid w:val="00A71CD0"/>
    <w:rsid w:val="00A71D95"/>
    <w:rsid w:val="00A71DFA"/>
    <w:rsid w:val="00A71E11"/>
    <w:rsid w:val="00A71E2E"/>
    <w:rsid w:val="00A71F3C"/>
    <w:rsid w:val="00A71F3D"/>
    <w:rsid w:val="00A71FEC"/>
    <w:rsid w:val="00A7202E"/>
    <w:rsid w:val="00A72098"/>
    <w:rsid w:val="00A72176"/>
    <w:rsid w:val="00A721E3"/>
    <w:rsid w:val="00A72264"/>
    <w:rsid w:val="00A72296"/>
    <w:rsid w:val="00A72324"/>
    <w:rsid w:val="00A7236A"/>
    <w:rsid w:val="00A723C8"/>
    <w:rsid w:val="00A7249C"/>
    <w:rsid w:val="00A725AF"/>
    <w:rsid w:val="00A725D5"/>
    <w:rsid w:val="00A725D8"/>
    <w:rsid w:val="00A72601"/>
    <w:rsid w:val="00A72607"/>
    <w:rsid w:val="00A7266F"/>
    <w:rsid w:val="00A7275F"/>
    <w:rsid w:val="00A728EA"/>
    <w:rsid w:val="00A72927"/>
    <w:rsid w:val="00A7293F"/>
    <w:rsid w:val="00A729C3"/>
    <w:rsid w:val="00A729D8"/>
    <w:rsid w:val="00A72A1A"/>
    <w:rsid w:val="00A72A47"/>
    <w:rsid w:val="00A72A7C"/>
    <w:rsid w:val="00A72A9B"/>
    <w:rsid w:val="00A72A9F"/>
    <w:rsid w:val="00A72B0D"/>
    <w:rsid w:val="00A72BE6"/>
    <w:rsid w:val="00A72C90"/>
    <w:rsid w:val="00A72D44"/>
    <w:rsid w:val="00A72E23"/>
    <w:rsid w:val="00A72E29"/>
    <w:rsid w:val="00A72E73"/>
    <w:rsid w:val="00A72E76"/>
    <w:rsid w:val="00A73027"/>
    <w:rsid w:val="00A730FC"/>
    <w:rsid w:val="00A73141"/>
    <w:rsid w:val="00A73307"/>
    <w:rsid w:val="00A73370"/>
    <w:rsid w:val="00A73393"/>
    <w:rsid w:val="00A73452"/>
    <w:rsid w:val="00A7347D"/>
    <w:rsid w:val="00A73495"/>
    <w:rsid w:val="00A73552"/>
    <w:rsid w:val="00A73568"/>
    <w:rsid w:val="00A73732"/>
    <w:rsid w:val="00A73769"/>
    <w:rsid w:val="00A73792"/>
    <w:rsid w:val="00A73904"/>
    <w:rsid w:val="00A73A6E"/>
    <w:rsid w:val="00A73AC2"/>
    <w:rsid w:val="00A73B8C"/>
    <w:rsid w:val="00A73C8B"/>
    <w:rsid w:val="00A73CB8"/>
    <w:rsid w:val="00A73CE4"/>
    <w:rsid w:val="00A73DA5"/>
    <w:rsid w:val="00A73DD8"/>
    <w:rsid w:val="00A73E91"/>
    <w:rsid w:val="00A73EEA"/>
    <w:rsid w:val="00A73F8C"/>
    <w:rsid w:val="00A74033"/>
    <w:rsid w:val="00A74062"/>
    <w:rsid w:val="00A740FF"/>
    <w:rsid w:val="00A741A7"/>
    <w:rsid w:val="00A741C9"/>
    <w:rsid w:val="00A742F8"/>
    <w:rsid w:val="00A74372"/>
    <w:rsid w:val="00A745B7"/>
    <w:rsid w:val="00A74610"/>
    <w:rsid w:val="00A7464B"/>
    <w:rsid w:val="00A74746"/>
    <w:rsid w:val="00A747AB"/>
    <w:rsid w:val="00A7482F"/>
    <w:rsid w:val="00A748A8"/>
    <w:rsid w:val="00A748F2"/>
    <w:rsid w:val="00A74953"/>
    <w:rsid w:val="00A749D0"/>
    <w:rsid w:val="00A74AA6"/>
    <w:rsid w:val="00A74C56"/>
    <w:rsid w:val="00A74CA5"/>
    <w:rsid w:val="00A74D8C"/>
    <w:rsid w:val="00A74EBC"/>
    <w:rsid w:val="00A74F34"/>
    <w:rsid w:val="00A750B3"/>
    <w:rsid w:val="00A75221"/>
    <w:rsid w:val="00A752BE"/>
    <w:rsid w:val="00A75413"/>
    <w:rsid w:val="00A75486"/>
    <w:rsid w:val="00A754F9"/>
    <w:rsid w:val="00A75543"/>
    <w:rsid w:val="00A755B3"/>
    <w:rsid w:val="00A755C0"/>
    <w:rsid w:val="00A75729"/>
    <w:rsid w:val="00A7580C"/>
    <w:rsid w:val="00A758D2"/>
    <w:rsid w:val="00A758D6"/>
    <w:rsid w:val="00A7598A"/>
    <w:rsid w:val="00A75A56"/>
    <w:rsid w:val="00A75AF6"/>
    <w:rsid w:val="00A75B86"/>
    <w:rsid w:val="00A75BD7"/>
    <w:rsid w:val="00A75C89"/>
    <w:rsid w:val="00A75DF5"/>
    <w:rsid w:val="00A75EF7"/>
    <w:rsid w:val="00A75EFE"/>
    <w:rsid w:val="00A75F32"/>
    <w:rsid w:val="00A75F55"/>
    <w:rsid w:val="00A75FC8"/>
    <w:rsid w:val="00A76093"/>
    <w:rsid w:val="00A76164"/>
    <w:rsid w:val="00A7634E"/>
    <w:rsid w:val="00A7635C"/>
    <w:rsid w:val="00A76431"/>
    <w:rsid w:val="00A7661B"/>
    <w:rsid w:val="00A76685"/>
    <w:rsid w:val="00A76764"/>
    <w:rsid w:val="00A7677F"/>
    <w:rsid w:val="00A767CB"/>
    <w:rsid w:val="00A76883"/>
    <w:rsid w:val="00A768A9"/>
    <w:rsid w:val="00A768C6"/>
    <w:rsid w:val="00A7695B"/>
    <w:rsid w:val="00A76B92"/>
    <w:rsid w:val="00A76C24"/>
    <w:rsid w:val="00A76C4C"/>
    <w:rsid w:val="00A76CA3"/>
    <w:rsid w:val="00A76D74"/>
    <w:rsid w:val="00A76EDD"/>
    <w:rsid w:val="00A76EFF"/>
    <w:rsid w:val="00A76FFC"/>
    <w:rsid w:val="00A770F0"/>
    <w:rsid w:val="00A770F6"/>
    <w:rsid w:val="00A77111"/>
    <w:rsid w:val="00A7719C"/>
    <w:rsid w:val="00A771DF"/>
    <w:rsid w:val="00A771E0"/>
    <w:rsid w:val="00A772A0"/>
    <w:rsid w:val="00A772B3"/>
    <w:rsid w:val="00A7736A"/>
    <w:rsid w:val="00A77372"/>
    <w:rsid w:val="00A774A1"/>
    <w:rsid w:val="00A774B8"/>
    <w:rsid w:val="00A77625"/>
    <w:rsid w:val="00A77730"/>
    <w:rsid w:val="00A77758"/>
    <w:rsid w:val="00A77821"/>
    <w:rsid w:val="00A77872"/>
    <w:rsid w:val="00A77892"/>
    <w:rsid w:val="00A77899"/>
    <w:rsid w:val="00A778DC"/>
    <w:rsid w:val="00A77935"/>
    <w:rsid w:val="00A779D1"/>
    <w:rsid w:val="00A77ACF"/>
    <w:rsid w:val="00A77ADE"/>
    <w:rsid w:val="00A77B31"/>
    <w:rsid w:val="00A77B37"/>
    <w:rsid w:val="00A77B91"/>
    <w:rsid w:val="00A77B95"/>
    <w:rsid w:val="00A77BD9"/>
    <w:rsid w:val="00A77C0C"/>
    <w:rsid w:val="00A77C33"/>
    <w:rsid w:val="00A77C45"/>
    <w:rsid w:val="00A77C6E"/>
    <w:rsid w:val="00A77D2A"/>
    <w:rsid w:val="00A77D7F"/>
    <w:rsid w:val="00A77E65"/>
    <w:rsid w:val="00A77EA4"/>
    <w:rsid w:val="00A77F18"/>
    <w:rsid w:val="00A77F68"/>
    <w:rsid w:val="00A80015"/>
    <w:rsid w:val="00A8010C"/>
    <w:rsid w:val="00A80143"/>
    <w:rsid w:val="00A80208"/>
    <w:rsid w:val="00A80344"/>
    <w:rsid w:val="00A80345"/>
    <w:rsid w:val="00A803EE"/>
    <w:rsid w:val="00A80407"/>
    <w:rsid w:val="00A80513"/>
    <w:rsid w:val="00A8065F"/>
    <w:rsid w:val="00A806B1"/>
    <w:rsid w:val="00A80773"/>
    <w:rsid w:val="00A80A57"/>
    <w:rsid w:val="00A80A96"/>
    <w:rsid w:val="00A80CD2"/>
    <w:rsid w:val="00A80D6B"/>
    <w:rsid w:val="00A80DCD"/>
    <w:rsid w:val="00A80DE2"/>
    <w:rsid w:val="00A80E2B"/>
    <w:rsid w:val="00A80E5E"/>
    <w:rsid w:val="00A80E99"/>
    <w:rsid w:val="00A80F1A"/>
    <w:rsid w:val="00A80F7A"/>
    <w:rsid w:val="00A810AF"/>
    <w:rsid w:val="00A8116A"/>
    <w:rsid w:val="00A81179"/>
    <w:rsid w:val="00A81201"/>
    <w:rsid w:val="00A814BB"/>
    <w:rsid w:val="00A81531"/>
    <w:rsid w:val="00A8154E"/>
    <w:rsid w:val="00A81563"/>
    <w:rsid w:val="00A81655"/>
    <w:rsid w:val="00A816F4"/>
    <w:rsid w:val="00A8180A"/>
    <w:rsid w:val="00A81856"/>
    <w:rsid w:val="00A818D0"/>
    <w:rsid w:val="00A818E7"/>
    <w:rsid w:val="00A818F3"/>
    <w:rsid w:val="00A81A78"/>
    <w:rsid w:val="00A81B41"/>
    <w:rsid w:val="00A81B53"/>
    <w:rsid w:val="00A81BDF"/>
    <w:rsid w:val="00A81C69"/>
    <w:rsid w:val="00A81D63"/>
    <w:rsid w:val="00A81E3C"/>
    <w:rsid w:val="00A81EF1"/>
    <w:rsid w:val="00A81EF5"/>
    <w:rsid w:val="00A821F1"/>
    <w:rsid w:val="00A8225D"/>
    <w:rsid w:val="00A82400"/>
    <w:rsid w:val="00A8242B"/>
    <w:rsid w:val="00A8243A"/>
    <w:rsid w:val="00A82445"/>
    <w:rsid w:val="00A82638"/>
    <w:rsid w:val="00A82672"/>
    <w:rsid w:val="00A827C5"/>
    <w:rsid w:val="00A829E2"/>
    <w:rsid w:val="00A82A0C"/>
    <w:rsid w:val="00A82A10"/>
    <w:rsid w:val="00A82A2E"/>
    <w:rsid w:val="00A82B14"/>
    <w:rsid w:val="00A82B89"/>
    <w:rsid w:val="00A82CF7"/>
    <w:rsid w:val="00A82D26"/>
    <w:rsid w:val="00A82D5B"/>
    <w:rsid w:val="00A82DB6"/>
    <w:rsid w:val="00A82EEF"/>
    <w:rsid w:val="00A82FB5"/>
    <w:rsid w:val="00A83043"/>
    <w:rsid w:val="00A831DD"/>
    <w:rsid w:val="00A832AB"/>
    <w:rsid w:val="00A83309"/>
    <w:rsid w:val="00A8340D"/>
    <w:rsid w:val="00A834A9"/>
    <w:rsid w:val="00A83549"/>
    <w:rsid w:val="00A835BF"/>
    <w:rsid w:val="00A83606"/>
    <w:rsid w:val="00A83628"/>
    <w:rsid w:val="00A83633"/>
    <w:rsid w:val="00A83899"/>
    <w:rsid w:val="00A83912"/>
    <w:rsid w:val="00A83971"/>
    <w:rsid w:val="00A83A26"/>
    <w:rsid w:val="00A83B9A"/>
    <w:rsid w:val="00A83BA0"/>
    <w:rsid w:val="00A83CA3"/>
    <w:rsid w:val="00A83CD1"/>
    <w:rsid w:val="00A83CF5"/>
    <w:rsid w:val="00A83E79"/>
    <w:rsid w:val="00A83EDC"/>
    <w:rsid w:val="00A83FEB"/>
    <w:rsid w:val="00A84191"/>
    <w:rsid w:val="00A841D6"/>
    <w:rsid w:val="00A841D8"/>
    <w:rsid w:val="00A841DB"/>
    <w:rsid w:val="00A841E8"/>
    <w:rsid w:val="00A843A8"/>
    <w:rsid w:val="00A84470"/>
    <w:rsid w:val="00A84596"/>
    <w:rsid w:val="00A84638"/>
    <w:rsid w:val="00A84656"/>
    <w:rsid w:val="00A84664"/>
    <w:rsid w:val="00A84794"/>
    <w:rsid w:val="00A8479A"/>
    <w:rsid w:val="00A84839"/>
    <w:rsid w:val="00A848CA"/>
    <w:rsid w:val="00A84954"/>
    <w:rsid w:val="00A84B97"/>
    <w:rsid w:val="00A84D7B"/>
    <w:rsid w:val="00A84DF3"/>
    <w:rsid w:val="00A84F77"/>
    <w:rsid w:val="00A84F7B"/>
    <w:rsid w:val="00A84FA8"/>
    <w:rsid w:val="00A851F5"/>
    <w:rsid w:val="00A8530D"/>
    <w:rsid w:val="00A8543F"/>
    <w:rsid w:val="00A85486"/>
    <w:rsid w:val="00A85538"/>
    <w:rsid w:val="00A8568C"/>
    <w:rsid w:val="00A8569B"/>
    <w:rsid w:val="00A856C9"/>
    <w:rsid w:val="00A856F1"/>
    <w:rsid w:val="00A8570C"/>
    <w:rsid w:val="00A85745"/>
    <w:rsid w:val="00A85773"/>
    <w:rsid w:val="00A8579A"/>
    <w:rsid w:val="00A85846"/>
    <w:rsid w:val="00A858A6"/>
    <w:rsid w:val="00A858AA"/>
    <w:rsid w:val="00A85B19"/>
    <w:rsid w:val="00A85B34"/>
    <w:rsid w:val="00A85B37"/>
    <w:rsid w:val="00A85C1F"/>
    <w:rsid w:val="00A85CC2"/>
    <w:rsid w:val="00A85DB6"/>
    <w:rsid w:val="00A85DDD"/>
    <w:rsid w:val="00A85DF6"/>
    <w:rsid w:val="00A85E85"/>
    <w:rsid w:val="00A86009"/>
    <w:rsid w:val="00A86057"/>
    <w:rsid w:val="00A86150"/>
    <w:rsid w:val="00A8616F"/>
    <w:rsid w:val="00A862FF"/>
    <w:rsid w:val="00A86321"/>
    <w:rsid w:val="00A86341"/>
    <w:rsid w:val="00A864F2"/>
    <w:rsid w:val="00A86538"/>
    <w:rsid w:val="00A86564"/>
    <w:rsid w:val="00A86789"/>
    <w:rsid w:val="00A867FB"/>
    <w:rsid w:val="00A868BE"/>
    <w:rsid w:val="00A869B4"/>
    <w:rsid w:val="00A869CA"/>
    <w:rsid w:val="00A869D6"/>
    <w:rsid w:val="00A86B3A"/>
    <w:rsid w:val="00A86B51"/>
    <w:rsid w:val="00A86B5D"/>
    <w:rsid w:val="00A86BCA"/>
    <w:rsid w:val="00A86C45"/>
    <w:rsid w:val="00A86C73"/>
    <w:rsid w:val="00A86D5E"/>
    <w:rsid w:val="00A86E0F"/>
    <w:rsid w:val="00A86E51"/>
    <w:rsid w:val="00A86E78"/>
    <w:rsid w:val="00A8701C"/>
    <w:rsid w:val="00A870BA"/>
    <w:rsid w:val="00A87122"/>
    <w:rsid w:val="00A87158"/>
    <w:rsid w:val="00A8718F"/>
    <w:rsid w:val="00A87289"/>
    <w:rsid w:val="00A872A5"/>
    <w:rsid w:val="00A87350"/>
    <w:rsid w:val="00A8740A"/>
    <w:rsid w:val="00A87432"/>
    <w:rsid w:val="00A874A4"/>
    <w:rsid w:val="00A87513"/>
    <w:rsid w:val="00A87596"/>
    <w:rsid w:val="00A875EC"/>
    <w:rsid w:val="00A8764D"/>
    <w:rsid w:val="00A87720"/>
    <w:rsid w:val="00A87772"/>
    <w:rsid w:val="00A8778D"/>
    <w:rsid w:val="00A879D0"/>
    <w:rsid w:val="00A879FA"/>
    <w:rsid w:val="00A87A24"/>
    <w:rsid w:val="00A87A99"/>
    <w:rsid w:val="00A87B07"/>
    <w:rsid w:val="00A87B09"/>
    <w:rsid w:val="00A87C2E"/>
    <w:rsid w:val="00A87CE4"/>
    <w:rsid w:val="00A87D7E"/>
    <w:rsid w:val="00A87DD6"/>
    <w:rsid w:val="00A87DF6"/>
    <w:rsid w:val="00A87E63"/>
    <w:rsid w:val="00A87F02"/>
    <w:rsid w:val="00A87FF7"/>
    <w:rsid w:val="00A9000E"/>
    <w:rsid w:val="00A90165"/>
    <w:rsid w:val="00A901B3"/>
    <w:rsid w:val="00A90206"/>
    <w:rsid w:val="00A9022B"/>
    <w:rsid w:val="00A902E0"/>
    <w:rsid w:val="00A903B5"/>
    <w:rsid w:val="00A903DD"/>
    <w:rsid w:val="00A90480"/>
    <w:rsid w:val="00A904D4"/>
    <w:rsid w:val="00A9053D"/>
    <w:rsid w:val="00A90551"/>
    <w:rsid w:val="00A90558"/>
    <w:rsid w:val="00A905DE"/>
    <w:rsid w:val="00A905F0"/>
    <w:rsid w:val="00A90605"/>
    <w:rsid w:val="00A906F7"/>
    <w:rsid w:val="00A9073F"/>
    <w:rsid w:val="00A90746"/>
    <w:rsid w:val="00A90820"/>
    <w:rsid w:val="00A90861"/>
    <w:rsid w:val="00A90903"/>
    <w:rsid w:val="00A9095D"/>
    <w:rsid w:val="00A9099D"/>
    <w:rsid w:val="00A90A57"/>
    <w:rsid w:val="00A90AA7"/>
    <w:rsid w:val="00A90AD0"/>
    <w:rsid w:val="00A90B16"/>
    <w:rsid w:val="00A90B8C"/>
    <w:rsid w:val="00A90BF2"/>
    <w:rsid w:val="00A90D40"/>
    <w:rsid w:val="00A90D6A"/>
    <w:rsid w:val="00A90D8A"/>
    <w:rsid w:val="00A90DD0"/>
    <w:rsid w:val="00A90DDF"/>
    <w:rsid w:val="00A90E02"/>
    <w:rsid w:val="00A90E0B"/>
    <w:rsid w:val="00A90E33"/>
    <w:rsid w:val="00A90E98"/>
    <w:rsid w:val="00A910DB"/>
    <w:rsid w:val="00A910F5"/>
    <w:rsid w:val="00A91251"/>
    <w:rsid w:val="00A91270"/>
    <w:rsid w:val="00A912B9"/>
    <w:rsid w:val="00A9131B"/>
    <w:rsid w:val="00A91323"/>
    <w:rsid w:val="00A9145D"/>
    <w:rsid w:val="00A9151E"/>
    <w:rsid w:val="00A9157E"/>
    <w:rsid w:val="00A915B4"/>
    <w:rsid w:val="00A91622"/>
    <w:rsid w:val="00A916C8"/>
    <w:rsid w:val="00A916E1"/>
    <w:rsid w:val="00A91843"/>
    <w:rsid w:val="00A91847"/>
    <w:rsid w:val="00A918A1"/>
    <w:rsid w:val="00A918DF"/>
    <w:rsid w:val="00A918FE"/>
    <w:rsid w:val="00A919EA"/>
    <w:rsid w:val="00A919ED"/>
    <w:rsid w:val="00A91C43"/>
    <w:rsid w:val="00A91C6F"/>
    <w:rsid w:val="00A91D26"/>
    <w:rsid w:val="00A91D3D"/>
    <w:rsid w:val="00A91DF5"/>
    <w:rsid w:val="00A91E4E"/>
    <w:rsid w:val="00A92024"/>
    <w:rsid w:val="00A9206D"/>
    <w:rsid w:val="00A92156"/>
    <w:rsid w:val="00A92177"/>
    <w:rsid w:val="00A921A6"/>
    <w:rsid w:val="00A9237B"/>
    <w:rsid w:val="00A923F3"/>
    <w:rsid w:val="00A92440"/>
    <w:rsid w:val="00A92572"/>
    <w:rsid w:val="00A9261A"/>
    <w:rsid w:val="00A9265D"/>
    <w:rsid w:val="00A92695"/>
    <w:rsid w:val="00A9272E"/>
    <w:rsid w:val="00A928B3"/>
    <w:rsid w:val="00A929D4"/>
    <w:rsid w:val="00A92A18"/>
    <w:rsid w:val="00A92BD1"/>
    <w:rsid w:val="00A92BDC"/>
    <w:rsid w:val="00A92C65"/>
    <w:rsid w:val="00A92C7D"/>
    <w:rsid w:val="00A92C8E"/>
    <w:rsid w:val="00A92E7C"/>
    <w:rsid w:val="00A92F65"/>
    <w:rsid w:val="00A92F71"/>
    <w:rsid w:val="00A92F80"/>
    <w:rsid w:val="00A93053"/>
    <w:rsid w:val="00A9310D"/>
    <w:rsid w:val="00A933F7"/>
    <w:rsid w:val="00A93568"/>
    <w:rsid w:val="00A93577"/>
    <w:rsid w:val="00A935CF"/>
    <w:rsid w:val="00A9362F"/>
    <w:rsid w:val="00A936B4"/>
    <w:rsid w:val="00A937C6"/>
    <w:rsid w:val="00A9387C"/>
    <w:rsid w:val="00A93A13"/>
    <w:rsid w:val="00A93A70"/>
    <w:rsid w:val="00A93A74"/>
    <w:rsid w:val="00A93AC4"/>
    <w:rsid w:val="00A93B5F"/>
    <w:rsid w:val="00A93C6B"/>
    <w:rsid w:val="00A93C75"/>
    <w:rsid w:val="00A93CA5"/>
    <w:rsid w:val="00A93D95"/>
    <w:rsid w:val="00A93DB4"/>
    <w:rsid w:val="00A94083"/>
    <w:rsid w:val="00A940F0"/>
    <w:rsid w:val="00A9413E"/>
    <w:rsid w:val="00A9420A"/>
    <w:rsid w:val="00A942C2"/>
    <w:rsid w:val="00A94318"/>
    <w:rsid w:val="00A94466"/>
    <w:rsid w:val="00A94477"/>
    <w:rsid w:val="00A94499"/>
    <w:rsid w:val="00A944AC"/>
    <w:rsid w:val="00A94569"/>
    <w:rsid w:val="00A94602"/>
    <w:rsid w:val="00A94610"/>
    <w:rsid w:val="00A94657"/>
    <w:rsid w:val="00A946AD"/>
    <w:rsid w:val="00A9477A"/>
    <w:rsid w:val="00A947C5"/>
    <w:rsid w:val="00A9483A"/>
    <w:rsid w:val="00A9489F"/>
    <w:rsid w:val="00A948DE"/>
    <w:rsid w:val="00A948F4"/>
    <w:rsid w:val="00A949EE"/>
    <w:rsid w:val="00A94A83"/>
    <w:rsid w:val="00A94A94"/>
    <w:rsid w:val="00A94AE1"/>
    <w:rsid w:val="00A94B3C"/>
    <w:rsid w:val="00A94B54"/>
    <w:rsid w:val="00A94BDC"/>
    <w:rsid w:val="00A94BE2"/>
    <w:rsid w:val="00A94BF4"/>
    <w:rsid w:val="00A94C7A"/>
    <w:rsid w:val="00A94D18"/>
    <w:rsid w:val="00A94D25"/>
    <w:rsid w:val="00A94E4A"/>
    <w:rsid w:val="00A94F31"/>
    <w:rsid w:val="00A94F80"/>
    <w:rsid w:val="00A94FCB"/>
    <w:rsid w:val="00A94FE3"/>
    <w:rsid w:val="00A95043"/>
    <w:rsid w:val="00A95097"/>
    <w:rsid w:val="00A950C5"/>
    <w:rsid w:val="00A952E4"/>
    <w:rsid w:val="00A9534D"/>
    <w:rsid w:val="00A95381"/>
    <w:rsid w:val="00A953A6"/>
    <w:rsid w:val="00A95541"/>
    <w:rsid w:val="00A95677"/>
    <w:rsid w:val="00A95731"/>
    <w:rsid w:val="00A957A6"/>
    <w:rsid w:val="00A95887"/>
    <w:rsid w:val="00A9592F"/>
    <w:rsid w:val="00A95939"/>
    <w:rsid w:val="00A959CC"/>
    <w:rsid w:val="00A95A15"/>
    <w:rsid w:val="00A95A86"/>
    <w:rsid w:val="00A95BDD"/>
    <w:rsid w:val="00A95CB9"/>
    <w:rsid w:val="00A95CC1"/>
    <w:rsid w:val="00A95CF0"/>
    <w:rsid w:val="00A95D5B"/>
    <w:rsid w:val="00A95D89"/>
    <w:rsid w:val="00A9601A"/>
    <w:rsid w:val="00A96080"/>
    <w:rsid w:val="00A960B8"/>
    <w:rsid w:val="00A96128"/>
    <w:rsid w:val="00A96130"/>
    <w:rsid w:val="00A9614F"/>
    <w:rsid w:val="00A96152"/>
    <w:rsid w:val="00A96164"/>
    <w:rsid w:val="00A96207"/>
    <w:rsid w:val="00A96210"/>
    <w:rsid w:val="00A96293"/>
    <w:rsid w:val="00A963EB"/>
    <w:rsid w:val="00A964DD"/>
    <w:rsid w:val="00A965D4"/>
    <w:rsid w:val="00A96774"/>
    <w:rsid w:val="00A967FB"/>
    <w:rsid w:val="00A9686C"/>
    <w:rsid w:val="00A96923"/>
    <w:rsid w:val="00A969B6"/>
    <w:rsid w:val="00A969F4"/>
    <w:rsid w:val="00A96ABB"/>
    <w:rsid w:val="00A96B39"/>
    <w:rsid w:val="00A96CE2"/>
    <w:rsid w:val="00A96D04"/>
    <w:rsid w:val="00A96DA6"/>
    <w:rsid w:val="00A96DDB"/>
    <w:rsid w:val="00A96DDC"/>
    <w:rsid w:val="00A96E09"/>
    <w:rsid w:val="00A96F1D"/>
    <w:rsid w:val="00A9703B"/>
    <w:rsid w:val="00A97163"/>
    <w:rsid w:val="00A97216"/>
    <w:rsid w:val="00A97225"/>
    <w:rsid w:val="00A972D4"/>
    <w:rsid w:val="00A972D6"/>
    <w:rsid w:val="00A97340"/>
    <w:rsid w:val="00A9744A"/>
    <w:rsid w:val="00A9747F"/>
    <w:rsid w:val="00A9748C"/>
    <w:rsid w:val="00A97496"/>
    <w:rsid w:val="00A9767A"/>
    <w:rsid w:val="00A977D8"/>
    <w:rsid w:val="00A978A0"/>
    <w:rsid w:val="00A978E1"/>
    <w:rsid w:val="00A979B8"/>
    <w:rsid w:val="00A97AA7"/>
    <w:rsid w:val="00A97B4B"/>
    <w:rsid w:val="00A97DBA"/>
    <w:rsid w:val="00A97E53"/>
    <w:rsid w:val="00A97F4B"/>
    <w:rsid w:val="00A97F67"/>
    <w:rsid w:val="00A97FE5"/>
    <w:rsid w:val="00A993A5"/>
    <w:rsid w:val="00A9EF97"/>
    <w:rsid w:val="00AA00EF"/>
    <w:rsid w:val="00AA0169"/>
    <w:rsid w:val="00AA0248"/>
    <w:rsid w:val="00AA0420"/>
    <w:rsid w:val="00AA0664"/>
    <w:rsid w:val="00AA0665"/>
    <w:rsid w:val="00AA06F5"/>
    <w:rsid w:val="00AA06FD"/>
    <w:rsid w:val="00AA0819"/>
    <w:rsid w:val="00AA0935"/>
    <w:rsid w:val="00AA0945"/>
    <w:rsid w:val="00AA0960"/>
    <w:rsid w:val="00AA09D2"/>
    <w:rsid w:val="00AA0AE1"/>
    <w:rsid w:val="00AA0B21"/>
    <w:rsid w:val="00AA0B44"/>
    <w:rsid w:val="00AA0B7D"/>
    <w:rsid w:val="00AA0BB2"/>
    <w:rsid w:val="00AA0D3F"/>
    <w:rsid w:val="00AA110B"/>
    <w:rsid w:val="00AA113A"/>
    <w:rsid w:val="00AA1182"/>
    <w:rsid w:val="00AA118A"/>
    <w:rsid w:val="00AA11E9"/>
    <w:rsid w:val="00AA123B"/>
    <w:rsid w:val="00AA126B"/>
    <w:rsid w:val="00AA127B"/>
    <w:rsid w:val="00AA128C"/>
    <w:rsid w:val="00AA13E2"/>
    <w:rsid w:val="00AA143D"/>
    <w:rsid w:val="00AA148C"/>
    <w:rsid w:val="00AA14B0"/>
    <w:rsid w:val="00AA14C5"/>
    <w:rsid w:val="00AA1540"/>
    <w:rsid w:val="00AA19F5"/>
    <w:rsid w:val="00AA19FA"/>
    <w:rsid w:val="00AA1DFD"/>
    <w:rsid w:val="00AA1EE1"/>
    <w:rsid w:val="00AA1F3F"/>
    <w:rsid w:val="00AA1FFE"/>
    <w:rsid w:val="00AA202F"/>
    <w:rsid w:val="00AA205E"/>
    <w:rsid w:val="00AA2071"/>
    <w:rsid w:val="00AA2092"/>
    <w:rsid w:val="00AA20E0"/>
    <w:rsid w:val="00AA2170"/>
    <w:rsid w:val="00AA21C5"/>
    <w:rsid w:val="00AA2213"/>
    <w:rsid w:val="00AA2264"/>
    <w:rsid w:val="00AA22B7"/>
    <w:rsid w:val="00AA22DA"/>
    <w:rsid w:val="00AA23CB"/>
    <w:rsid w:val="00AA2505"/>
    <w:rsid w:val="00AA2512"/>
    <w:rsid w:val="00AA259E"/>
    <w:rsid w:val="00AA25D4"/>
    <w:rsid w:val="00AA25F1"/>
    <w:rsid w:val="00AA2652"/>
    <w:rsid w:val="00AA26BA"/>
    <w:rsid w:val="00AA2736"/>
    <w:rsid w:val="00AA27B1"/>
    <w:rsid w:val="00AA27D0"/>
    <w:rsid w:val="00AA27E7"/>
    <w:rsid w:val="00AA289A"/>
    <w:rsid w:val="00AA28AC"/>
    <w:rsid w:val="00AA2957"/>
    <w:rsid w:val="00AA2AC2"/>
    <w:rsid w:val="00AA2ADF"/>
    <w:rsid w:val="00AA2BB4"/>
    <w:rsid w:val="00AA2C45"/>
    <w:rsid w:val="00AA2D33"/>
    <w:rsid w:val="00AA2DB1"/>
    <w:rsid w:val="00AA2E61"/>
    <w:rsid w:val="00AA2EE1"/>
    <w:rsid w:val="00AA2EE8"/>
    <w:rsid w:val="00AA2F0D"/>
    <w:rsid w:val="00AA2F8A"/>
    <w:rsid w:val="00AA30FB"/>
    <w:rsid w:val="00AA31AE"/>
    <w:rsid w:val="00AA3226"/>
    <w:rsid w:val="00AA3269"/>
    <w:rsid w:val="00AA32E1"/>
    <w:rsid w:val="00AA33FD"/>
    <w:rsid w:val="00AA3522"/>
    <w:rsid w:val="00AA36DB"/>
    <w:rsid w:val="00AA3754"/>
    <w:rsid w:val="00AA37CD"/>
    <w:rsid w:val="00AA3857"/>
    <w:rsid w:val="00AA386E"/>
    <w:rsid w:val="00AA3883"/>
    <w:rsid w:val="00AA38D3"/>
    <w:rsid w:val="00AA3905"/>
    <w:rsid w:val="00AA39CB"/>
    <w:rsid w:val="00AA3B3E"/>
    <w:rsid w:val="00AA3B4A"/>
    <w:rsid w:val="00AA3B84"/>
    <w:rsid w:val="00AA3DE6"/>
    <w:rsid w:val="00AA3EBA"/>
    <w:rsid w:val="00AA3EC0"/>
    <w:rsid w:val="00AA3EC3"/>
    <w:rsid w:val="00AA3F92"/>
    <w:rsid w:val="00AA4013"/>
    <w:rsid w:val="00AA4113"/>
    <w:rsid w:val="00AA424F"/>
    <w:rsid w:val="00AA42DF"/>
    <w:rsid w:val="00AA44D9"/>
    <w:rsid w:val="00AA452F"/>
    <w:rsid w:val="00AA4687"/>
    <w:rsid w:val="00AA470F"/>
    <w:rsid w:val="00AA4718"/>
    <w:rsid w:val="00AA4727"/>
    <w:rsid w:val="00AA4838"/>
    <w:rsid w:val="00AA496F"/>
    <w:rsid w:val="00AA49B4"/>
    <w:rsid w:val="00AA4A9A"/>
    <w:rsid w:val="00AA4ABE"/>
    <w:rsid w:val="00AA4B3C"/>
    <w:rsid w:val="00AA4C9F"/>
    <w:rsid w:val="00AA4D12"/>
    <w:rsid w:val="00AA4D18"/>
    <w:rsid w:val="00AA4E4C"/>
    <w:rsid w:val="00AA4E6E"/>
    <w:rsid w:val="00AA5005"/>
    <w:rsid w:val="00AA509B"/>
    <w:rsid w:val="00AA50B0"/>
    <w:rsid w:val="00AA50DB"/>
    <w:rsid w:val="00AA5112"/>
    <w:rsid w:val="00AA5193"/>
    <w:rsid w:val="00AA51DF"/>
    <w:rsid w:val="00AA5202"/>
    <w:rsid w:val="00AA54DF"/>
    <w:rsid w:val="00AA55CB"/>
    <w:rsid w:val="00AA56AE"/>
    <w:rsid w:val="00AA56BD"/>
    <w:rsid w:val="00AA57E0"/>
    <w:rsid w:val="00AA5804"/>
    <w:rsid w:val="00AA597A"/>
    <w:rsid w:val="00AA5A28"/>
    <w:rsid w:val="00AA5A9F"/>
    <w:rsid w:val="00AA5AB4"/>
    <w:rsid w:val="00AA5C5E"/>
    <w:rsid w:val="00AA5C92"/>
    <w:rsid w:val="00AA5EDD"/>
    <w:rsid w:val="00AA5FC2"/>
    <w:rsid w:val="00AA6037"/>
    <w:rsid w:val="00AA6065"/>
    <w:rsid w:val="00AA606B"/>
    <w:rsid w:val="00AA6087"/>
    <w:rsid w:val="00AA6088"/>
    <w:rsid w:val="00AA60C2"/>
    <w:rsid w:val="00AA6185"/>
    <w:rsid w:val="00AA61E8"/>
    <w:rsid w:val="00AA6274"/>
    <w:rsid w:val="00AA628E"/>
    <w:rsid w:val="00AA62B3"/>
    <w:rsid w:val="00AA6459"/>
    <w:rsid w:val="00AA65D7"/>
    <w:rsid w:val="00AA6690"/>
    <w:rsid w:val="00AA67AA"/>
    <w:rsid w:val="00AA67F6"/>
    <w:rsid w:val="00AA681A"/>
    <w:rsid w:val="00AA68CC"/>
    <w:rsid w:val="00AA6943"/>
    <w:rsid w:val="00AA6AE6"/>
    <w:rsid w:val="00AA6B65"/>
    <w:rsid w:val="00AA6BBA"/>
    <w:rsid w:val="00AA6D9F"/>
    <w:rsid w:val="00AA6DA6"/>
    <w:rsid w:val="00AA6ED2"/>
    <w:rsid w:val="00AA6F01"/>
    <w:rsid w:val="00AA6F10"/>
    <w:rsid w:val="00AA6F1C"/>
    <w:rsid w:val="00AA700F"/>
    <w:rsid w:val="00AA706C"/>
    <w:rsid w:val="00AA70DD"/>
    <w:rsid w:val="00AA71AF"/>
    <w:rsid w:val="00AA71D5"/>
    <w:rsid w:val="00AA72A5"/>
    <w:rsid w:val="00AA7351"/>
    <w:rsid w:val="00AA737D"/>
    <w:rsid w:val="00AA73BE"/>
    <w:rsid w:val="00AA73EE"/>
    <w:rsid w:val="00AA74B2"/>
    <w:rsid w:val="00AA74DE"/>
    <w:rsid w:val="00AA773C"/>
    <w:rsid w:val="00AA77CD"/>
    <w:rsid w:val="00AA78C4"/>
    <w:rsid w:val="00AA7903"/>
    <w:rsid w:val="00AA790C"/>
    <w:rsid w:val="00AA7A78"/>
    <w:rsid w:val="00AA7AC1"/>
    <w:rsid w:val="00AA7BCC"/>
    <w:rsid w:val="00AA7BD3"/>
    <w:rsid w:val="00AA7C50"/>
    <w:rsid w:val="00AA7C6C"/>
    <w:rsid w:val="00AA7D6D"/>
    <w:rsid w:val="00AA7D7D"/>
    <w:rsid w:val="00AA7F50"/>
    <w:rsid w:val="00AA7F6A"/>
    <w:rsid w:val="00AA7FDE"/>
    <w:rsid w:val="00AACCD6"/>
    <w:rsid w:val="00AB0053"/>
    <w:rsid w:val="00AB00B5"/>
    <w:rsid w:val="00AB0135"/>
    <w:rsid w:val="00AB013C"/>
    <w:rsid w:val="00AB0231"/>
    <w:rsid w:val="00AB028D"/>
    <w:rsid w:val="00AB03DC"/>
    <w:rsid w:val="00AB041C"/>
    <w:rsid w:val="00AB0480"/>
    <w:rsid w:val="00AB04EB"/>
    <w:rsid w:val="00AB04F4"/>
    <w:rsid w:val="00AB0677"/>
    <w:rsid w:val="00AB083B"/>
    <w:rsid w:val="00AB089C"/>
    <w:rsid w:val="00AB091D"/>
    <w:rsid w:val="00AB0996"/>
    <w:rsid w:val="00AB099D"/>
    <w:rsid w:val="00AB09BC"/>
    <w:rsid w:val="00AB09EA"/>
    <w:rsid w:val="00AB0A3C"/>
    <w:rsid w:val="00AB0A43"/>
    <w:rsid w:val="00AB0A4A"/>
    <w:rsid w:val="00AB0A5A"/>
    <w:rsid w:val="00AB0CD1"/>
    <w:rsid w:val="00AB0D56"/>
    <w:rsid w:val="00AB0D7F"/>
    <w:rsid w:val="00AB0E59"/>
    <w:rsid w:val="00AB0E67"/>
    <w:rsid w:val="00AB0EB3"/>
    <w:rsid w:val="00AB0EE8"/>
    <w:rsid w:val="00AB1129"/>
    <w:rsid w:val="00AB118C"/>
    <w:rsid w:val="00AB11E8"/>
    <w:rsid w:val="00AB12C4"/>
    <w:rsid w:val="00AB13AB"/>
    <w:rsid w:val="00AB14F2"/>
    <w:rsid w:val="00AB16E1"/>
    <w:rsid w:val="00AB1720"/>
    <w:rsid w:val="00AB1754"/>
    <w:rsid w:val="00AB17D0"/>
    <w:rsid w:val="00AB186D"/>
    <w:rsid w:val="00AB18B4"/>
    <w:rsid w:val="00AB18FE"/>
    <w:rsid w:val="00AB1931"/>
    <w:rsid w:val="00AB1999"/>
    <w:rsid w:val="00AB1A63"/>
    <w:rsid w:val="00AB1AFB"/>
    <w:rsid w:val="00AB1DAF"/>
    <w:rsid w:val="00AB1DEA"/>
    <w:rsid w:val="00AB1E56"/>
    <w:rsid w:val="00AB1E87"/>
    <w:rsid w:val="00AB1FA9"/>
    <w:rsid w:val="00AB20CC"/>
    <w:rsid w:val="00AB2116"/>
    <w:rsid w:val="00AB218A"/>
    <w:rsid w:val="00AB21BE"/>
    <w:rsid w:val="00AB2346"/>
    <w:rsid w:val="00AB2348"/>
    <w:rsid w:val="00AB238E"/>
    <w:rsid w:val="00AB23D9"/>
    <w:rsid w:val="00AB2468"/>
    <w:rsid w:val="00AB2504"/>
    <w:rsid w:val="00AB25BD"/>
    <w:rsid w:val="00AB25CB"/>
    <w:rsid w:val="00AB2641"/>
    <w:rsid w:val="00AB2662"/>
    <w:rsid w:val="00AB2711"/>
    <w:rsid w:val="00AB275D"/>
    <w:rsid w:val="00AB27A2"/>
    <w:rsid w:val="00AB281D"/>
    <w:rsid w:val="00AB288E"/>
    <w:rsid w:val="00AB2899"/>
    <w:rsid w:val="00AB28BB"/>
    <w:rsid w:val="00AB299B"/>
    <w:rsid w:val="00AB29FC"/>
    <w:rsid w:val="00AB2A0B"/>
    <w:rsid w:val="00AB2BB9"/>
    <w:rsid w:val="00AB2BF7"/>
    <w:rsid w:val="00AB2BFA"/>
    <w:rsid w:val="00AB2C06"/>
    <w:rsid w:val="00AB2D2E"/>
    <w:rsid w:val="00AB2DA4"/>
    <w:rsid w:val="00AB2E05"/>
    <w:rsid w:val="00AB2E61"/>
    <w:rsid w:val="00AB2F2E"/>
    <w:rsid w:val="00AB2FAB"/>
    <w:rsid w:val="00AB3020"/>
    <w:rsid w:val="00AB312A"/>
    <w:rsid w:val="00AB31B1"/>
    <w:rsid w:val="00AB3210"/>
    <w:rsid w:val="00AB337A"/>
    <w:rsid w:val="00AB33F3"/>
    <w:rsid w:val="00AB3525"/>
    <w:rsid w:val="00AB37FB"/>
    <w:rsid w:val="00AB38A2"/>
    <w:rsid w:val="00AB38F1"/>
    <w:rsid w:val="00AB3968"/>
    <w:rsid w:val="00AB3A5E"/>
    <w:rsid w:val="00AB3B45"/>
    <w:rsid w:val="00AB3B7D"/>
    <w:rsid w:val="00AB3BA1"/>
    <w:rsid w:val="00AB3C85"/>
    <w:rsid w:val="00AB3D0A"/>
    <w:rsid w:val="00AB3DA2"/>
    <w:rsid w:val="00AB3EAA"/>
    <w:rsid w:val="00AB3F33"/>
    <w:rsid w:val="00AB3F6A"/>
    <w:rsid w:val="00AB3FDC"/>
    <w:rsid w:val="00AB3FE3"/>
    <w:rsid w:val="00AB4094"/>
    <w:rsid w:val="00AB40E7"/>
    <w:rsid w:val="00AB4324"/>
    <w:rsid w:val="00AB451E"/>
    <w:rsid w:val="00AB453D"/>
    <w:rsid w:val="00AB45BC"/>
    <w:rsid w:val="00AB461F"/>
    <w:rsid w:val="00AB4682"/>
    <w:rsid w:val="00AB471B"/>
    <w:rsid w:val="00AB4733"/>
    <w:rsid w:val="00AB4768"/>
    <w:rsid w:val="00AB47CA"/>
    <w:rsid w:val="00AB48AA"/>
    <w:rsid w:val="00AB48E8"/>
    <w:rsid w:val="00AB4903"/>
    <w:rsid w:val="00AB49A6"/>
    <w:rsid w:val="00AB4AA6"/>
    <w:rsid w:val="00AB4AE5"/>
    <w:rsid w:val="00AB4B86"/>
    <w:rsid w:val="00AB4C85"/>
    <w:rsid w:val="00AB4D0C"/>
    <w:rsid w:val="00AB4D3F"/>
    <w:rsid w:val="00AB4E5A"/>
    <w:rsid w:val="00AB4F2C"/>
    <w:rsid w:val="00AB4FCF"/>
    <w:rsid w:val="00AB5297"/>
    <w:rsid w:val="00AB52E7"/>
    <w:rsid w:val="00AB538D"/>
    <w:rsid w:val="00AB551F"/>
    <w:rsid w:val="00AB55A6"/>
    <w:rsid w:val="00AB5624"/>
    <w:rsid w:val="00AB5652"/>
    <w:rsid w:val="00AB5735"/>
    <w:rsid w:val="00AB579E"/>
    <w:rsid w:val="00AB5854"/>
    <w:rsid w:val="00AB58EE"/>
    <w:rsid w:val="00AB5995"/>
    <w:rsid w:val="00AB59D5"/>
    <w:rsid w:val="00AB5B9B"/>
    <w:rsid w:val="00AB5BD4"/>
    <w:rsid w:val="00AB5C38"/>
    <w:rsid w:val="00AB5D25"/>
    <w:rsid w:val="00AB5D6C"/>
    <w:rsid w:val="00AB5D93"/>
    <w:rsid w:val="00AB5DBA"/>
    <w:rsid w:val="00AB5F4D"/>
    <w:rsid w:val="00AB60F3"/>
    <w:rsid w:val="00AB612B"/>
    <w:rsid w:val="00AB61D3"/>
    <w:rsid w:val="00AB61DE"/>
    <w:rsid w:val="00AB6298"/>
    <w:rsid w:val="00AB6360"/>
    <w:rsid w:val="00AB63CE"/>
    <w:rsid w:val="00AB644E"/>
    <w:rsid w:val="00AB64A0"/>
    <w:rsid w:val="00AB6600"/>
    <w:rsid w:val="00AB6657"/>
    <w:rsid w:val="00AB665E"/>
    <w:rsid w:val="00AB6668"/>
    <w:rsid w:val="00AB6713"/>
    <w:rsid w:val="00AB674B"/>
    <w:rsid w:val="00AB67B6"/>
    <w:rsid w:val="00AB6847"/>
    <w:rsid w:val="00AB687D"/>
    <w:rsid w:val="00AB6971"/>
    <w:rsid w:val="00AB6990"/>
    <w:rsid w:val="00AB6A5F"/>
    <w:rsid w:val="00AB6A78"/>
    <w:rsid w:val="00AB6AF1"/>
    <w:rsid w:val="00AB6B57"/>
    <w:rsid w:val="00AB6BB9"/>
    <w:rsid w:val="00AB6C19"/>
    <w:rsid w:val="00AB6DE0"/>
    <w:rsid w:val="00AB6F67"/>
    <w:rsid w:val="00AB6FD8"/>
    <w:rsid w:val="00AB6FE5"/>
    <w:rsid w:val="00AB7013"/>
    <w:rsid w:val="00AB7077"/>
    <w:rsid w:val="00AB7093"/>
    <w:rsid w:val="00AB7146"/>
    <w:rsid w:val="00AB728D"/>
    <w:rsid w:val="00AB73EA"/>
    <w:rsid w:val="00AB760A"/>
    <w:rsid w:val="00AB7769"/>
    <w:rsid w:val="00AB7779"/>
    <w:rsid w:val="00AB7794"/>
    <w:rsid w:val="00AB77AA"/>
    <w:rsid w:val="00AB7887"/>
    <w:rsid w:val="00AB795A"/>
    <w:rsid w:val="00AB79BE"/>
    <w:rsid w:val="00AB7AAD"/>
    <w:rsid w:val="00AB7B0D"/>
    <w:rsid w:val="00AB7B65"/>
    <w:rsid w:val="00AB7BCD"/>
    <w:rsid w:val="00AB7C46"/>
    <w:rsid w:val="00AB7D6C"/>
    <w:rsid w:val="00AB7EFB"/>
    <w:rsid w:val="00AB7F87"/>
    <w:rsid w:val="00AB7FDA"/>
    <w:rsid w:val="00ABBB39"/>
    <w:rsid w:val="00ABE13E"/>
    <w:rsid w:val="00AC0036"/>
    <w:rsid w:val="00AC01E0"/>
    <w:rsid w:val="00AC029A"/>
    <w:rsid w:val="00AC0390"/>
    <w:rsid w:val="00AC03A0"/>
    <w:rsid w:val="00AC03CB"/>
    <w:rsid w:val="00AC04CE"/>
    <w:rsid w:val="00AC06D1"/>
    <w:rsid w:val="00AC0744"/>
    <w:rsid w:val="00AC08C3"/>
    <w:rsid w:val="00AC0A16"/>
    <w:rsid w:val="00AC0E18"/>
    <w:rsid w:val="00AC0E6C"/>
    <w:rsid w:val="00AC0EC4"/>
    <w:rsid w:val="00AC0ECD"/>
    <w:rsid w:val="00AC0F16"/>
    <w:rsid w:val="00AC0F36"/>
    <w:rsid w:val="00AC106C"/>
    <w:rsid w:val="00AC111E"/>
    <w:rsid w:val="00AC11A6"/>
    <w:rsid w:val="00AC1270"/>
    <w:rsid w:val="00AC127C"/>
    <w:rsid w:val="00AC1328"/>
    <w:rsid w:val="00AC1385"/>
    <w:rsid w:val="00AC13B4"/>
    <w:rsid w:val="00AC149A"/>
    <w:rsid w:val="00AC14D1"/>
    <w:rsid w:val="00AC14E0"/>
    <w:rsid w:val="00AC15B7"/>
    <w:rsid w:val="00AC15E6"/>
    <w:rsid w:val="00AC167A"/>
    <w:rsid w:val="00AC1698"/>
    <w:rsid w:val="00AC1804"/>
    <w:rsid w:val="00AC1837"/>
    <w:rsid w:val="00AC1964"/>
    <w:rsid w:val="00AC1A4A"/>
    <w:rsid w:val="00AC1A69"/>
    <w:rsid w:val="00AC1B4A"/>
    <w:rsid w:val="00AC1BC6"/>
    <w:rsid w:val="00AC1C99"/>
    <w:rsid w:val="00AC1C9C"/>
    <w:rsid w:val="00AC1D93"/>
    <w:rsid w:val="00AC1E5A"/>
    <w:rsid w:val="00AC1E89"/>
    <w:rsid w:val="00AC1EA8"/>
    <w:rsid w:val="00AC1EEC"/>
    <w:rsid w:val="00AC1F1B"/>
    <w:rsid w:val="00AC2009"/>
    <w:rsid w:val="00AC2090"/>
    <w:rsid w:val="00AC21C3"/>
    <w:rsid w:val="00AC225D"/>
    <w:rsid w:val="00AC2265"/>
    <w:rsid w:val="00AC2281"/>
    <w:rsid w:val="00AC2541"/>
    <w:rsid w:val="00AC2558"/>
    <w:rsid w:val="00AC2610"/>
    <w:rsid w:val="00AC268B"/>
    <w:rsid w:val="00AC272F"/>
    <w:rsid w:val="00AC2743"/>
    <w:rsid w:val="00AC27DB"/>
    <w:rsid w:val="00AC2841"/>
    <w:rsid w:val="00AC2861"/>
    <w:rsid w:val="00AC2AA9"/>
    <w:rsid w:val="00AC2BA5"/>
    <w:rsid w:val="00AC2BE2"/>
    <w:rsid w:val="00AC2C04"/>
    <w:rsid w:val="00AC2CE2"/>
    <w:rsid w:val="00AC2DFC"/>
    <w:rsid w:val="00AC2E10"/>
    <w:rsid w:val="00AC2E40"/>
    <w:rsid w:val="00AC2F41"/>
    <w:rsid w:val="00AC30F4"/>
    <w:rsid w:val="00AC3198"/>
    <w:rsid w:val="00AC32AE"/>
    <w:rsid w:val="00AC3366"/>
    <w:rsid w:val="00AC3415"/>
    <w:rsid w:val="00AC35E8"/>
    <w:rsid w:val="00AC3612"/>
    <w:rsid w:val="00AC363B"/>
    <w:rsid w:val="00AC398A"/>
    <w:rsid w:val="00AC399D"/>
    <w:rsid w:val="00AC39FE"/>
    <w:rsid w:val="00AC3A1C"/>
    <w:rsid w:val="00AC3A27"/>
    <w:rsid w:val="00AC3AF3"/>
    <w:rsid w:val="00AC3B08"/>
    <w:rsid w:val="00AC3B51"/>
    <w:rsid w:val="00AC3C50"/>
    <w:rsid w:val="00AC3C64"/>
    <w:rsid w:val="00AC3D55"/>
    <w:rsid w:val="00AC3D63"/>
    <w:rsid w:val="00AC3D87"/>
    <w:rsid w:val="00AC3D95"/>
    <w:rsid w:val="00AC3E43"/>
    <w:rsid w:val="00AC3ECC"/>
    <w:rsid w:val="00AC3F26"/>
    <w:rsid w:val="00AC3F6C"/>
    <w:rsid w:val="00AC3FF9"/>
    <w:rsid w:val="00AC4091"/>
    <w:rsid w:val="00AC40D0"/>
    <w:rsid w:val="00AC4111"/>
    <w:rsid w:val="00AC42B4"/>
    <w:rsid w:val="00AC435B"/>
    <w:rsid w:val="00AC4398"/>
    <w:rsid w:val="00AC43BC"/>
    <w:rsid w:val="00AC43F0"/>
    <w:rsid w:val="00AC4655"/>
    <w:rsid w:val="00AC467D"/>
    <w:rsid w:val="00AC4715"/>
    <w:rsid w:val="00AC4749"/>
    <w:rsid w:val="00AC47A5"/>
    <w:rsid w:val="00AC484A"/>
    <w:rsid w:val="00AC49C2"/>
    <w:rsid w:val="00AC4B90"/>
    <w:rsid w:val="00AC4CD4"/>
    <w:rsid w:val="00AC4CFB"/>
    <w:rsid w:val="00AC4DA9"/>
    <w:rsid w:val="00AC4E28"/>
    <w:rsid w:val="00AC4E78"/>
    <w:rsid w:val="00AC4F24"/>
    <w:rsid w:val="00AC50CC"/>
    <w:rsid w:val="00AC516D"/>
    <w:rsid w:val="00AC5355"/>
    <w:rsid w:val="00AC53D9"/>
    <w:rsid w:val="00AC53E7"/>
    <w:rsid w:val="00AC550F"/>
    <w:rsid w:val="00AC554C"/>
    <w:rsid w:val="00AC55B1"/>
    <w:rsid w:val="00AC56A9"/>
    <w:rsid w:val="00AC56B8"/>
    <w:rsid w:val="00AC572D"/>
    <w:rsid w:val="00AC5759"/>
    <w:rsid w:val="00AC5808"/>
    <w:rsid w:val="00AC586C"/>
    <w:rsid w:val="00AC597C"/>
    <w:rsid w:val="00AC59DC"/>
    <w:rsid w:val="00AC5AC6"/>
    <w:rsid w:val="00AC5C12"/>
    <w:rsid w:val="00AC5C5B"/>
    <w:rsid w:val="00AC5CA0"/>
    <w:rsid w:val="00AC5CA5"/>
    <w:rsid w:val="00AC5CDF"/>
    <w:rsid w:val="00AC5CFB"/>
    <w:rsid w:val="00AC5D71"/>
    <w:rsid w:val="00AC5D74"/>
    <w:rsid w:val="00AC5DAD"/>
    <w:rsid w:val="00AC5E50"/>
    <w:rsid w:val="00AC5F5B"/>
    <w:rsid w:val="00AC5F9E"/>
    <w:rsid w:val="00AC6037"/>
    <w:rsid w:val="00AC60B2"/>
    <w:rsid w:val="00AC6191"/>
    <w:rsid w:val="00AC61E8"/>
    <w:rsid w:val="00AC6289"/>
    <w:rsid w:val="00AC62B4"/>
    <w:rsid w:val="00AC6371"/>
    <w:rsid w:val="00AC63BA"/>
    <w:rsid w:val="00AC658F"/>
    <w:rsid w:val="00AC669D"/>
    <w:rsid w:val="00AC6756"/>
    <w:rsid w:val="00AC679F"/>
    <w:rsid w:val="00AC6822"/>
    <w:rsid w:val="00AC68B1"/>
    <w:rsid w:val="00AC6BE6"/>
    <w:rsid w:val="00AC6CB8"/>
    <w:rsid w:val="00AC6CF7"/>
    <w:rsid w:val="00AC6D16"/>
    <w:rsid w:val="00AC6E68"/>
    <w:rsid w:val="00AC6E6F"/>
    <w:rsid w:val="00AC703B"/>
    <w:rsid w:val="00AC7097"/>
    <w:rsid w:val="00AC70D0"/>
    <w:rsid w:val="00AC7130"/>
    <w:rsid w:val="00AC71D5"/>
    <w:rsid w:val="00AC7337"/>
    <w:rsid w:val="00AC7383"/>
    <w:rsid w:val="00AC73BE"/>
    <w:rsid w:val="00AC744C"/>
    <w:rsid w:val="00AC74FD"/>
    <w:rsid w:val="00AC751E"/>
    <w:rsid w:val="00AC7568"/>
    <w:rsid w:val="00AC76C8"/>
    <w:rsid w:val="00AC76E0"/>
    <w:rsid w:val="00AC7808"/>
    <w:rsid w:val="00AC78AF"/>
    <w:rsid w:val="00AC7B34"/>
    <w:rsid w:val="00AC7C22"/>
    <w:rsid w:val="00AC7C8E"/>
    <w:rsid w:val="00AC7D33"/>
    <w:rsid w:val="00AC7DAB"/>
    <w:rsid w:val="00AC7DFA"/>
    <w:rsid w:val="00AC7E00"/>
    <w:rsid w:val="00AC7ED3"/>
    <w:rsid w:val="00AC7F21"/>
    <w:rsid w:val="00AC7F36"/>
    <w:rsid w:val="00AC7F6E"/>
    <w:rsid w:val="00AD0034"/>
    <w:rsid w:val="00AD0201"/>
    <w:rsid w:val="00AD0310"/>
    <w:rsid w:val="00AD0343"/>
    <w:rsid w:val="00AD0382"/>
    <w:rsid w:val="00AD042B"/>
    <w:rsid w:val="00AD0471"/>
    <w:rsid w:val="00AD0514"/>
    <w:rsid w:val="00AD069E"/>
    <w:rsid w:val="00AD0702"/>
    <w:rsid w:val="00AD0724"/>
    <w:rsid w:val="00AD07C3"/>
    <w:rsid w:val="00AD07F0"/>
    <w:rsid w:val="00AD090D"/>
    <w:rsid w:val="00AD091E"/>
    <w:rsid w:val="00AD0924"/>
    <w:rsid w:val="00AD0948"/>
    <w:rsid w:val="00AD095E"/>
    <w:rsid w:val="00AD096E"/>
    <w:rsid w:val="00AD0A3E"/>
    <w:rsid w:val="00AD0B84"/>
    <w:rsid w:val="00AD0D35"/>
    <w:rsid w:val="00AD0D89"/>
    <w:rsid w:val="00AD0DAA"/>
    <w:rsid w:val="00AD0E23"/>
    <w:rsid w:val="00AD0E60"/>
    <w:rsid w:val="00AD0F4C"/>
    <w:rsid w:val="00AD104F"/>
    <w:rsid w:val="00AD1143"/>
    <w:rsid w:val="00AD11EE"/>
    <w:rsid w:val="00AD1211"/>
    <w:rsid w:val="00AD12B9"/>
    <w:rsid w:val="00AD12CC"/>
    <w:rsid w:val="00AD12E4"/>
    <w:rsid w:val="00AD135A"/>
    <w:rsid w:val="00AD1384"/>
    <w:rsid w:val="00AD1476"/>
    <w:rsid w:val="00AD15C1"/>
    <w:rsid w:val="00AD15CD"/>
    <w:rsid w:val="00AD1616"/>
    <w:rsid w:val="00AD1619"/>
    <w:rsid w:val="00AD1630"/>
    <w:rsid w:val="00AD1699"/>
    <w:rsid w:val="00AD16A9"/>
    <w:rsid w:val="00AD16CE"/>
    <w:rsid w:val="00AD1708"/>
    <w:rsid w:val="00AD18FD"/>
    <w:rsid w:val="00AD19EA"/>
    <w:rsid w:val="00AD1A46"/>
    <w:rsid w:val="00AD1C48"/>
    <w:rsid w:val="00AD1CEE"/>
    <w:rsid w:val="00AD1DBC"/>
    <w:rsid w:val="00AD1DDB"/>
    <w:rsid w:val="00AD1F45"/>
    <w:rsid w:val="00AD1FB0"/>
    <w:rsid w:val="00AD213C"/>
    <w:rsid w:val="00AD223E"/>
    <w:rsid w:val="00AD2299"/>
    <w:rsid w:val="00AD22DD"/>
    <w:rsid w:val="00AD2302"/>
    <w:rsid w:val="00AD2312"/>
    <w:rsid w:val="00AD2320"/>
    <w:rsid w:val="00AD2394"/>
    <w:rsid w:val="00AD2395"/>
    <w:rsid w:val="00AD23DC"/>
    <w:rsid w:val="00AD23E5"/>
    <w:rsid w:val="00AD24EC"/>
    <w:rsid w:val="00AD254A"/>
    <w:rsid w:val="00AD25BF"/>
    <w:rsid w:val="00AD264B"/>
    <w:rsid w:val="00AD2734"/>
    <w:rsid w:val="00AD273D"/>
    <w:rsid w:val="00AD2757"/>
    <w:rsid w:val="00AD2799"/>
    <w:rsid w:val="00AD28EF"/>
    <w:rsid w:val="00AD2993"/>
    <w:rsid w:val="00AD2A48"/>
    <w:rsid w:val="00AD2AC1"/>
    <w:rsid w:val="00AD2B5D"/>
    <w:rsid w:val="00AD2B86"/>
    <w:rsid w:val="00AD2C0F"/>
    <w:rsid w:val="00AD2C41"/>
    <w:rsid w:val="00AD2D2E"/>
    <w:rsid w:val="00AD2D57"/>
    <w:rsid w:val="00AD2D7B"/>
    <w:rsid w:val="00AD2E15"/>
    <w:rsid w:val="00AD2E16"/>
    <w:rsid w:val="00AD2E45"/>
    <w:rsid w:val="00AD2EB0"/>
    <w:rsid w:val="00AD31E1"/>
    <w:rsid w:val="00AD351F"/>
    <w:rsid w:val="00AD353C"/>
    <w:rsid w:val="00AD3639"/>
    <w:rsid w:val="00AD3688"/>
    <w:rsid w:val="00AD36AD"/>
    <w:rsid w:val="00AD36B9"/>
    <w:rsid w:val="00AD3724"/>
    <w:rsid w:val="00AD3836"/>
    <w:rsid w:val="00AD38CC"/>
    <w:rsid w:val="00AD38F5"/>
    <w:rsid w:val="00AD3B53"/>
    <w:rsid w:val="00AD3C2B"/>
    <w:rsid w:val="00AD3C69"/>
    <w:rsid w:val="00AD3CF9"/>
    <w:rsid w:val="00AD3D4E"/>
    <w:rsid w:val="00AD3D9C"/>
    <w:rsid w:val="00AD3E54"/>
    <w:rsid w:val="00AD4018"/>
    <w:rsid w:val="00AD424C"/>
    <w:rsid w:val="00AD434A"/>
    <w:rsid w:val="00AD438C"/>
    <w:rsid w:val="00AD43AA"/>
    <w:rsid w:val="00AD43B6"/>
    <w:rsid w:val="00AD44B5"/>
    <w:rsid w:val="00AD44CE"/>
    <w:rsid w:val="00AD4806"/>
    <w:rsid w:val="00AD48D9"/>
    <w:rsid w:val="00AD48E3"/>
    <w:rsid w:val="00AD49C4"/>
    <w:rsid w:val="00AD4B2D"/>
    <w:rsid w:val="00AD4CD0"/>
    <w:rsid w:val="00AD4D0D"/>
    <w:rsid w:val="00AD4D21"/>
    <w:rsid w:val="00AD4D4A"/>
    <w:rsid w:val="00AD4E33"/>
    <w:rsid w:val="00AD4EAC"/>
    <w:rsid w:val="00AD5008"/>
    <w:rsid w:val="00AD5010"/>
    <w:rsid w:val="00AD5063"/>
    <w:rsid w:val="00AD5183"/>
    <w:rsid w:val="00AD51A1"/>
    <w:rsid w:val="00AD5254"/>
    <w:rsid w:val="00AD5288"/>
    <w:rsid w:val="00AD5475"/>
    <w:rsid w:val="00AD5613"/>
    <w:rsid w:val="00AD5625"/>
    <w:rsid w:val="00AD569A"/>
    <w:rsid w:val="00AD570E"/>
    <w:rsid w:val="00AD57C8"/>
    <w:rsid w:val="00AD5945"/>
    <w:rsid w:val="00AD5956"/>
    <w:rsid w:val="00AD59A5"/>
    <w:rsid w:val="00AD5A52"/>
    <w:rsid w:val="00AD5A57"/>
    <w:rsid w:val="00AD5AFD"/>
    <w:rsid w:val="00AD5B29"/>
    <w:rsid w:val="00AD5B77"/>
    <w:rsid w:val="00AD5C43"/>
    <w:rsid w:val="00AD5C81"/>
    <w:rsid w:val="00AD5CCE"/>
    <w:rsid w:val="00AD5D07"/>
    <w:rsid w:val="00AD5D6F"/>
    <w:rsid w:val="00AD5E07"/>
    <w:rsid w:val="00AD5E9C"/>
    <w:rsid w:val="00AD616B"/>
    <w:rsid w:val="00AD633B"/>
    <w:rsid w:val="00AD63B1"/>
    <w:rsid w:val="00AD642A"/>
    <w:rsid w:val="00AD64AD"/>
    <w:rsid w:val="00AD64D0"/>
    <w:rsid w:val="00AD672A"/>
    <w:rsid w:val="00AD692C"/>
    <w:rsid w:val="00AD699F"/>
    <w:rsid w:val="00AD6AB5"/>
    <w:rsid w:val="00AD6B46"/>
    <w:rsid w:val="00AD6BD3"/>
    <w:rsid w:val="00AD6C5D"/>
    <w:rsid w:val="00AD6D70"/>
    <w:rsid w:val="00AD6E16"/>
    <w:rsid w:val="00AD6E95"/>
    <w:rsid w:val="00AD6F29"/>
    <w:rsid w:val="00AD6F8B"/>
    <w:rsid w:val="00AD702C"/>
    <w:rsid w:val="00AD7074"/>
    <w:rsid w:val="00AD7125"/>
    <w:rsid w:val="00AD7154"/>
    <w:rsid w:val="00AD728B"/>
    <w:rsid w:val="00AD7387"/>
    <w:rsid w:val="00AD74A4"/>
    <w:rsid w:val="00AD74AB"/>
    <w:rsid w:val="00AD75A2"/>
    <w:rsid w:val="00AD764B"/>
    <w:rsid w:val="00AD77F6"/>
    <w:rsid w:val="00AD7912"/>
    <w:rsid w:val="00AD797C"/>
    <w:rsid w:val="00AD7A2E"/>
    <w:rsid w:val="00AD7A4A"/>
    <w:rsid w:val="00AD7BF3"/>
    <w:rsid w:val="00AD7C71"/>
    <w:rsid w:val="00AD7CB1"/>
    <w:rsid w:val="00AD7CE2"/>
    <w:rsid w:val="00AD7D18"/>
    <w:rsid w:val="00AD7EFE"/>
    <w:rsid w:val="00AD7F29"/>
    <w:rsid w:val="00AD7F59"/>
    <w:rsid w:val="00AD7F7E"/>
    <w:rsid w:val="00ADDC03"/>
    <w:rsid w:val="00AE0014"/>
    <w:rsid w:val="00AE0072"/>
    <w:rsid w:val="00AE0129"/>
    <w:rsid w:val="00AE0178"/>
    <w:rsid w:val="00AE018C"/>
    <w:rsid w:val="00AE019C"/>
    <w:rsid w:val="00AE0228"/>
    <w:rsid w:val="00AE026E"/>
    <w:rsid w:val="00AE038D"/>
    <w:rsid w:val="00AE0396"/>
    <w:rsid w:val="00AE0523"/>
    <w:rsid w:val="00AE0621"/>
    <w:rsid w:val="00AE076D"/>
    <w:rsid w:val="00AE07B2"/>
    <w:rsid w:val="00AE081D"/>
    <w:rsid w:val="00AE08E7"/>
    <w:rsid w:val="00AE097F"/>
    <w:rsid w:val="00AE09AD"/>
    <w:rsid w:val="00AE0AEC"/>
    <w:rsid w:val="00AE0C96"/>
    <w:rsid w:val="00AE0D5B"/>
    <w:rsid w:val="00AE0D89"/>
    <w:rsid w:val="00AE0EF1"/>
    <w:rsid w:val="00AE10F8"/>
    <w:rsid w:val="00AE12A7"/>
    <w:rsid w:val="00AE12B6"/>
    <w:rsid w:val="00AE12F4"/>
    <w:rsid w:val="00AE15FD"/>
    <w:rsid w:val="00AE1604"/>
    <w:rsid w:val="00AE1631"/>
    <w:rsid w:val="00AE17C1"/>
    <w:rsid w:val="00AE17D8"/>
    <w:rsid w:val="00AE18BF"/>
    <w:rsid w:val="00AE18C4"/>
    <w:rsid w:val="00AE1942"/>
    <w:rsid w:val="00AE19E5"/>
    <w:rsid w:val="00AE1A0B"/>
    <w:rsid w:val="00AE1ADE"/>
    <w:rsid w:val="00AE1B8B"/>
    <w:rsid w:val="00AE1C27"/>
    <w:rsid w:val="00AE1C35"/>
    <w:rsid w:val="00AE1DCA"/>
    <w:rsid w:val="00AE1E63"/>
    <w:rsid w:val="00AE1F66"/>
    <w:rsid w:val="00AE1FCB"/>
    <w:rsid w:val="00AE201B"/>
    <w:rsid w:val="00AE2042"/>
    <w:rsid w:val="00AE20AB"/>
    <w:rsid w:val="00AE2140"/>
    <w:rsid w:val="00AE214C"/>
    <w:rsid w:val="00AE21CF"/>
    <w:rsid w:val="00AE224A"/>
    <w:rsid w:val="00AE242A"/>
    <w:rsid w:val="00AE2488"/>
    <w:rsid w:val="00AE24F0"/>
    <w:rsid w:val="00AE24F2"/>
    <w:rsid w:val="00AE2507"/>
    <w:rsid w:val="00AE257C"/>
    <w:rsid w:val="00AE262F"/>
    <w:rsid w:val="00AE2669"/>
    <w:rsid w:val="00AE2788"/>
    <w:rsid w:val="00AE27F0"/>
    <w:rsid w:val="00AE2829"/>
    <w:rsid w:val="00AE2876"/>
    <w:rsid w:val="00AE2878"/>
    <w:rsid w:val="00AE2901"/>
    <w:rsid w:val="00AE29AB"/>
    <w:rsid w:val="00AE29BD"/>
    <w:rsid w:val="00AE2A19"/>
    <w:rsid w:val="00AE2A24"/>
    <w:rsid w:val="00AE2A3F"/>
    <w:rsid w:val="00AE2B57"/>
    <w:rsid w:val="00AE2BF2"/>
    <w:rsid w:val="00AE2C26"/>
    <w:rsid w:val="00AE2C70"/>
    <w:rsid w:val="00AE2D4F"/>
    <w:rsid w:val="00AE2E61"/>
    <w:rsid w:val="00AE2E73"/>
    <w:rsid w:val="00AE2ED8"/>
    <w:rsid w:val="00AE2F31"/>
    <w:rsid w:val="00AE3155"/>
    <w:rsid w:val="00AE324D"/>
    <w:rsid w:val="00AE326B"/>
    <w:rsid w:val="00AE32D1"/>
    <w:rsid w:val="00AE32FC"/>
    <w:rsid w:val="00AE3324"/>
    <w:rsid w:val="00AE335F"/>
    <w:rsid w:val="00AE3412"/>
    <w:rsid w:val="00AE348C"/>
    <w:rsid w:val="00AE34ED"/>
    <w:rsid w:val="00AE351A"/>
    <w:rsid w:val="00AE3567"/>
    <w:rsid w:val="00AE3597"/>
    <w:rsid w:val="00AE35DF"/>
    <w:rsid w:val="00AE35EB"/>
    <w:rsid w:val="00AE366A"/>
    <w:rsid w:val="00AE3680"/>
    <w:rsid w:val="00AE3908"/>
    <w:rsid w:val="00AE3939"/>
    <w:rsid w:val="00AE393C"/>
    <w:rsid w:val="00AE3A0B"/>
    <w:rsid w:val="00AE3AA8"/>
    <w:rsid w:val="00AE3B1C"/>
    <w:rsid w:val="00AE3BCB"/>
    <w:rsid w:val="00AE3CD2"/>
    <w:rsid w:val="00AE3D2F"/>
    <w:rsid w:val="00AE3DF1"/>
    <w:rsid w:val="00AE3E3C"/>
    <w:rsid w:val="00AE3F6F"/>
    <w:rsid w:val="00AE3F8C"/>
    <w:rsid w:val="00AE407E"/>
    <w:rsid w:val="00AE409B"/>
    <w:rsid w:val="00AE41AB"/>
    <w:rsid w:val="00AE41B0"/>
    <w:rsid w:val="00AE4240"/>
    <w:rsid w:val="00AE4291"/>
    <w:rsid w:val="00AE4323"/>
    <w:rsid w:val="00AE4327"/>
    <w:rsid w:val="00AE4470"/>
    <w:rsid w:val="00AE44B2"/>
    <w:rsid w:val="00AE45F9"/>
    <w:rsid w:val="00AE4687"/>
    <w:rsid w:val="00AE46FB"/>
    <w:rsid w:val="00AE4728"/>
    <w:rsid w:val="00AE4788"/>
    <w:rsid w:val="00AE4820"/>
    <w:rsid w:val="00AE482D"/>
    <w:rsid w:val="00AE4834"/>
    <w:rsid w:val="00AE4874"/>
    <w:rsid w:val="00AE4895"/>
    <w:rsid w:val="00AE499F"/>
    <w:rsid w:val="00AE4A44"/>
    <w:rsid w:val="00AE4C11"/>
    <w:rsid w:val="00AE4C43"/>
    <w:rsid w:val="00AE4CA8"/>
    <w:rsid w:val="00AE4CC9"/>
    <w:rsid w:val="00AE4D01"/>
    <w:rsid w:val="00AE4D91"/>
    <w:rsid w:val="00AE4E16"/>
    <w:rsid w:val="00AE4F9A"/>
    <w:rsid w:val="00AE5025"/>
    <w:rsid w:val="00AE503A"/>
    <w:rsid w:val="00AE50B2"/>
    <w:rsid w:val="00AE50BD"/>
    <w:rsid w:val="00AE51A5"/>
    <w:rsid w:val="00AE536D"/>
    <w:rsid w:val="00AE53A6"/>
    <w:rsid w:val="00AE5635"/>
    <w:rsid w:val="00AE58CF"/>
    <w:rsid w:val="00AE59E3"/>
    <w:rsid w:val="00AE5A57"/>
    <w:rsid w:val="00AE5A61"/>
    <w:rsid w:val="00AE5AED"/>
    <w:rsid w:val="00AE5B49"/>
    <w:rsid w:val="00AE5BAA"/>
    <w:rsid w:val="00AE5C0D"/>
    <w:rsid w:val="00AE5C4F"/>
    <w:rsid w:val="00AE5D29"/>
    <w:rsid w:val="00AE5D73"/>
    <w:rsid w:val="00AE5ED0"/>
    <w:rsid w:val="00AE5FCB"/>
    <w:rsid w:val="00AE6064"/>
    <w:rsid w:val="00AE60D3"/>
    <w:rsid w:val="00AE61CE"/>
    <w:rsid w:val="00AE62A3"/>
    <w:rsid w:val="00AE6371"/>
    <w:rsid w:val="00AE652E"/>
    <w:rsid w:val="00AE6543"/>
    <w:rsid w:val="00AE658D"/>
    <w:rsid w:val="00AE6613"/>
    <w:rsid w:val="00AE66D5"/>
    <w:rsid w:val="00AE66FD"/>
    <w:rsid w:val="00AE67F7"/>
    <w:rsid w:val="00AE687B"/>
    <w:rsid w:val="00AE6992"/>
    <w:rsid w:val="00AE6A81"/>
    <w:rsid w:val="00AE6B5F"/>
    <w:rsid w:val="00AE6C62"/>
    <w:rsid w:val="00AE6D5A"/>
    <w:rsid w:val="00AE6E86"/>
    <w:rsid w:val="00AE6FE8"/>
    <w:rsid w:val="00AE70A0"/>
    <w:rsid w:val="00AE70F7"/>
    <w:rsid w:val="00AE7260"/>
    <w:rsid w:val="00AE7345"/>
    <w:rsid w:val="00AE73E8"/>
    <w:rsid w:val="00AE7464"/>
    <w:rsid w:val="00AE74F6"/>
    <w:rsid w:val="00AE75F8"/>
    <w:rsid w:val="00AE7732"/>
    <w:rsid w:val="00AE7737"/>
    <w:rsid w:val="00AE77D0"/>
    <w:rsid w:val="00AE786C"/>
    <w:rsid w:val="00AE7887"/>
    <w:rsid w:val="00AE7C3C"/>
    <w:rsid w:val="00AE7CFB"/>
    <w:rsid w:val="00AE7E5A"/>
    <w:rsid w:val="00AE7E7F"/>
    <w:rsid w:val="00AE7EBB"/>
    <w:rsid w:val="00AE7EF5"/>
    <w:rsid w:val="00AE7F10"/>
    <w:rsid w:val="00AF0033"/>
    <w:rsid w:val="00AF00FD"/>
    <w:rsid w:val="00AF0123"/>
    <w:rsid w:val="00AF01C1"/>
    <w:rsid w:val="00AF02F4"/>
    <w:rsid w:val="00AF0321"/>
    <w:rsid w:val="00AF0599"/>
    <w:rsid w:val="00AF0670"/>
    <w:rsid w:val="00AF06AF"/>
    <w:rsid w:val="00AF06E5"/>
    <w:rsid w:val="00AF06F7"/>
    <w:rsid w:val="00AF08C4"/>
    <w:rsid w:val="00AF0A28"/>
    <w:rsid w:val="00AF0AF9"/>
    <w:rsid w:val="00AF0B1F"/>
    <w:rsid w:val="00AF0B28"/>
    <w:rsid w:val="00AF0BD7"/>
    <w:rsid w:val="00AF0D8D"/>
    <w:rsid w:val="00AF0DD6"/>
    <w:rsid w:val="00AF0DF3"/>
    <w:rsid w:val="00AF0E0A"/>
    <w:rsid w:val="00AF1035"/>
    <w:rsid w:val="00AF1057"/>
    <w:rsid w:val="00AF111A"/>
    <w:rsid w:val="00AF112A"/>
    <w:rsid w:val="00AF1273"/>
    <w:rsid w:val="00AF127A"/>
    <w:rsid w:val="00AF1494"/>
    <w:rsid w:val="00AF14A4"/>
    <w:rsid w:val="00AF17D3"/>
    <w:rsid w:val="00AF183A"/>
    <w:rsid w:val="00AF19CC"/>
    <w:rsid w:val="00AF1B03"/>
    <w:rsid w:val="00AF1C1F"/>
    <w:rsid w:val="00AF1C82"/>
    <w:rsid w:val="00AF1D37"/>
    <w:rsid w:val="00AF1D56"/>
    <w:rsid w:val="00AF1D96"/>
    <w:rsid w:val="00AF1E8A"/>
    <w:rsid w:val="00AF1EE7"/>
    <w:rsid w:val="00AF1F82"/>
    <w:rsid w:val="00AF1FBB"/>
    <w:rsid w:val="00AF2072"/>
    <w:rsid w:val="00AF2076"/>
    <w:rsid w:val="00AF20AB"/>
    <w:rsid w:val="00AF20F1"/>
    <w:rsid w:val="00AF2157"/>
    <w:rsid w:val="00AF21C0"/>
    <w:rsid w:val="00AF21FD"/>
    <w:rsid w:val="00AF2315"/>
    <w:rsid w:val="00AF238C"/>
    <w:rsid w:val="00AF2572"/>
    <w:rsid w:val="00AF2763"/>
    <w:rsid w:val="00AF2897"/>
    <w:rsid w:val="00AF29B8"/>
    <w:rsid w:val="00AF29CD"/>
    <w:rsid w:val="00AF2A12"/>
    <w:rsid w:val="00AF2B15"/>
    <w:rsid w:val="00AF2B4E"/>
    <w:rsid w:val="00AF2CE3"/>
    <w:rsid w:val="00AF2CEC"/>
    <w:rsid w:val="00AF2D12"/>
    <w:rsid w:val="00AF2D18"/>
    <w:rsid w:val="00AF2D78"/>
    <w:rsid w:val="00AF2DC5"/>
    <w:rsid w:val="00AF2E44"/>
    <w:rsid w:val="00AF2E54"/>
    <w:rsid w:val="00AF2E81"/>
    <w:rsid w:val="00AF302F"/>
    <w:rsid w:val="00AF3058"/>
    <w:rsid w:val="00AF30B7"/>
    <w:rsid w:val="00AF3166"/>
    <w:rsid w:val="00AF32A8"/>
    <w:rsid w:val="00AF3332"/>
    <w:rsid w:val="00AF33BC"/>
    <w:rsid w:val="00AF35BD"/>
    <w:rsid w:val="00AF371E"/>
    <w:rsid w:val="00AF379E"/>
    <w:rsid w:val="00AF383A"/>
    <w:rsid w:val="00AF391F"/>
    <w:rsid w:val="00AF3929"/>
    <w:rsid w:val="00AF399F"/>
    <w:rsid w:val="00AF39D4"/>
    <w:rsid w:val="00AF39D6"/>
    <w:rsid w:val="00AF3A3C"/>
    <w:rsid w:val="00AF3A7F"/>
    <w:rsid w:val="00AF3A92"/>
    <w:rsid w:val="00AF3B14"/>
    <w:rsid w:val="00AF3BC6"/>
    <w:rsid w:val="00AF3C5D"/>
    <w:rsid w:val="00AF3D2C"/>
    <w:rsid w:val="00AF3D3B"/>
    <w:rsid w:val="00AF3D40"/>
    <w:rsid w:val="00AF3D6D"/>
    <w:rsid w:val="00AF3DA8"/>
    <w:rsid w:val="00AF3E78"/>
    <w:rsid w:val="00AF3E91"/>
    <w:rsid w:val="00AF3F57"/>
    <w:rsid w:val="00AF3F63"/>
    <w:rsid w:val="00AF40F9"/>
    <w:rsid w:val="00AF4271"/>
    <w:rsid w:val="00AF43CD"/>
    <w:rsid w:val="00AF4437"/>
    <w:rsid w:val="00AF449D"/>
    <w:rsid w:val="00AF4503"/>
    <w:rsid w:val="00AF4568"/>
    <w:rsid w:val="00AF45B2"/>
    <w:rsid w:val="00AF4784"/>
    <w:rsid w:val="00AF47B9"/>
    <w:rsid w:val="00AF4857"/>
    <w:rsid w:val="00AF48AA"/>
    <w:rsid w:val="00AF4965"/>
    <w:rsid w:val="00AF49D6"/>
    <w:rsid w:val="00AF4AE2"/>
    <w:rsid w:val="00AF4B29"/>
    <w:rsid w:val="00AF4C95"/>
    <w:rsid w:val="00AF4FC0"/>
    <w:rsid w:val="00AF4FD7"/>
    <w:rsid w:val="00AF5142"/>
    <w:rsid w:val="00AF5232"/>
    <w:rsid w:val="00AF5382"/>
    <w:rsid w:val="00AF546E"/>
    <w:rsid w:val="00AF559C"/>
    <w:rsid w:val="00AF55D8"/>
    <w:rsid w:val="00AF565F"/>
    <w:rsid w:val="00AF56EC"/>
    <w:rsid w:val="00AF57D9"/>
    <w:rsid w:val="00AF582A"/>
    <w:rsid w:val="00AF58A4"/>
    <w:rsid w:val="00AF591F"/>
    <w:rsid w:val="00AF5943"/>
    <w:rsid w:val="00AF5A3D"/>
    <w:rsid w:val="00AF5A6E"/>
    <w:rsid w:val="00AF5B95"/>
    <w:rsid w:val="00AF5BBB"/>
    <w:rsid w:val="00AF5C06"/>
    <w:rsid w:val="00AF5C08"/>
    <w:rsid w:val="00AF5C2E"/>
    <w:rsid w:val="00AF5CC8"/>
    <w:rsid w:val="00AF5DB4"/>
    <w:rsid w:val="00AF5DBB"/>
    <w:rsid w:val="00AF5FAB"/>
    <w:rsid w:val="00AF60BA"/>
    <w:rsid w:val="00AF60D4"/>
    <w:rsid w:val="00AF619D"/>
    <w:rsid w:val="00AF6228"/>
    <w:rsid w:val="00AF62BB"/>
    <w:rsid w:val="00AF62EF"/>
    <w:rsid w:val="00AF63CA"/>
    <w:rsid w:val="00AF6435"/>
    <w:rsid w:val="00AF6493"/>
    <w:rsid w:val="00AF6525"/>
    <w:rsid w:val="00AF6610"/>
    <w:rsid w:val="00AF661C"/>
    <w:rsid w:val="00AF6838"/>
    <w:rsid w:val="00AF6873"/>
    <w:rsid w:val="00AF6904"/>
    <w:rsid w:val="00AF6A4E"/>
    <w:rsid w:val="00AF6D5B"/>
    <w:rsid w:val="00AF6D71"/>
    <w:rsid w:val="00AF6DCC"/>
    <w:rsid w:val="00AF6EBC"/>
    <w:rsid w:val="00AF6FEE"/>
    <w:rsid w:val="00AF701C"/>
    <w:rsid w:val="00AF7038"/>
    <w:rsid w:val="00AF7076"/>
    <w:rsid w:val="00AF7081"/>
    <w:rsid w:val="00AF709B"/>
    <w:rsid w:val="00AF70B9"/>
    <w:rsid w:val="00AF7182"/>
    <w:rsid w:val="00AF71CF"/>
    <w:rsid w:val="00AF7263"/>
    <w:rsid w:val="00AF726A"/>
    <w:rsid w:val="00AF727E"/>
    <w:rsid w:val="00AF72EA"/>
    <w:rsid w:val="00AF7519"/>
    <w:rsid w:val="00AF7636"/>
    <w:rsid w:val="00AF76D3"/>
    <w:rsid w:val="00AF771D"/>
    <w:rsid w:val="00AF7784"/>
    <w:rsid w:val="00AF787C"/>
    <w:rsid w:val="00AF78A5"/>
    <w:rsid w:val="00AF78DC"/>
    <w:rsid w:val="00AF7B89"/>
    <w:rsid w:val="00AF7D14"/>
    <w:rsid w:val="00AF7D3A"/>
    <w:rsid w:val="00AF7D9C"/>
    <w:rsid w:val="00AF7DA7"/>
    <w:rsid w:val="00AF7DDC"/>
    <w:rsid w:val="00AF7E42"/>
    <w:rsid w:val="00AF7EAE"/>
    <w:rsid w:val="00AF7F48"/>
    <w:rsid w:val="00AF7FC6"/>
    <w:rsid w:val="00AF90C6"/>
    <w:rsid w:val="00AFD0EC"/>
    <w:rsid w:val="00B00052"/>
    <w:rsid w:val="00B000BE"/>
    <w:rsid w:val="00B0019D"/>
    <w:rsid w:val="00B00285"/>
    <w:rsid w:val="00B002AA"/>
    <w:rsid w:val="00B0038B"/>
    <w:rsid w:val="00B00425"/>
    <w:rsid w:val="00B004EC"/>
    <w:rsid w:val="00B00529"/>
    <w:rsid w:val="00B00616"/>
    <w:rsid w:val="00B00748"/>
    <w:rsid w:val="00B0074B"/>
    <w:rsid w:val="00B0083E"/>
    <w:rsid w:val="00B008C7"/>
    <w:rsid w:val="00B008FB"/>
    <w:rsid w:val="00B0090E"/>
    <w:rsid w:val="00B0091F"/>
    <w:rsid w:val="00B00931"/>
    <w:rsid w:val="00B00A0E"/>
    <w:rsid w:val="00B00A49"/>
    <w:rsid w:val="00B00A99"/>
    <w:rsid w:val="00B00BDD"/>
    <w:rsid w:val="00B00D47"/>
    <w:rsid w:val="00B00D9D"/>
    <w:rsid w:val="00B00E3B"/>
    <w:rsid w:val="00B00ECD"/>
    <w:rsid w:val="00B00EE3"/>
    <w:rsid w:val="00B00EE4"/>
    <w:rsid w:val="00B010B6"/>
    <w:rsid w:val="00B010E1"/>
    <w:rsid w:val="00B01233"/>
    <w:rsid w:val="00B012B7"/>
    <w:rsid w:val="00B012C1"/>
    <w:rsid w:val="00B0131E"/>
    <w:rsid w:val="00B01448"/>
    <w:rsid w:val="00B01476"/>
    <w:rsid w:val="00B016D0"/>
    <w:rsid w:val="00B01710"/>
    <w:rsid w:val="00B0173F"/>
    <w:rsid w:val="00B0185A"/>
    <w:rsid w:val="00B01915"/>
    <w:rsid w:val="00B01949"/>
    <w:rsid w:val="00B019BF"/>
    <w:rsid w:val="00B01A82"/>
    <w:rsid w:val="00B01B9F"/>
    <w:rsid w:val="00B01C0F"/>
    <w:rsid w:val="00B01D0B"/>
    <w:rsid w:val="00B01E0D"/>
    <w:rsid w:val="00B01E98"/>
    <w:rsid w:val="00B01EA2"/>
    <w:rsid w:val="00B01EAC"/>
    <w:rsid w:val="00B01EEB"/>
    <w:rsid w:val="00B01EED"/>
    <w:rsid w:val="00B01F98"/>
    <w:rsid w:val="00B01FA0"/>
    <w:rsid w:val="00B020D6"/>
    <w:rsid w:val="00B0213B"/>
    <w:rsid w:val="00B02191"/>
    <w:rsid w:val="00B0226F"/>
    <w:rsid w:val="00B0228A"/>
    <w:rsid w:val="00B0231B"/>
    <w:rsid w:val="00B023B7"/>
    <w:rsid w:val="00B023F0"/>
    <w:rsid w:val="00B02401"/>
    <w:rsid w:val="00B02433"/>
    <w:rsid w:val="00B02459"/>
    <w:rsid w:val="00B02466"/>
    <w:rsid w:val="00B024BF"/>
    <w:rsid w:val="00B024CC"/>
    <w:rsid w:val="00B0254C"/>
    <w:rsid w:val="00B025D8"/>
    <w:rsid w:val="00B02677"/>
    <w:rsid w:val="00B027A1"/>
    <w:rsid w:val="00B02858"/>
    <w:rsid w:val="00B02887"/>
    <w:rsid w:val="00B02963"/>
    <w:rsid w:val="00B029EA"/>
    <w:rsid w:val="00B029F9"/>
    <w:rsid w:val="00B02B1F"/>
    <w:rsid w:val="00B02BA8"/>
    <w:rsid w:val="00B02DBB"/>
    <w:rsid w:val="00B02FA5"/>
    <w:rsid w:val="00B030DE"/>
    <w:rsid w:val="00B031C0"/>
    <w:rsid w:val="00B03223"/>
    <w:rsid w:val="00B0325C"/>
    <w:rsid w:val="00B03282"/>
    <w:rsid w:val="00B032E0"/>
    <w:rsid w:val="00B0346A"/>
    <w:rsid w:val="00B034C5"/>
    <w:rsid w:val="00B034D3"/>
    <w:rsid w:val="00B03630"/>
    <w:rsid w:val="00B036CD"/>
    <w:rsid w:val="00B03858"/>
    <w:rsid w:val="00B038FB"/>
    <w:rsid w:val="00B03911"/>
    <w:rsid w:val="00B03984"/>
    <w:rsid w:val="00B03B2D"/>
    <w:rsid w:val="00B03C71"/>
    <w:rsid w:val="00B03D06"/>
    <w:rsid w:val="00B03D10"/>
    <w:rsid w:val="00B03E35"/>
    <w:rsid w:val="00B03E6A"/>
    <w:rsid w:val="00B03F18"/>
    <w:rsid w:val="00B03F9A"/>
    <w:rsid w:val="00B0401C"/>
    <w:rsid w:val="00B0408B"/>
    <w:rsid w:val="00B040A9"/>
    <w:rsid w:val="00B040DC"/>
    <w:rsid w:val="00B04104"/>
    <w:rsid w:val="00B04199"/>
    <w:rsid w:val="00B04213"/>
    <w:rsid w:val="00B0431E"/>
    <w:rsid w:val="00B04383"/>
    <w:rsid w:val="00B043A8"/>
    <w:rsid w:val="00B043E5"/>
    <w:rsid w:val="00B04558"/>
    <w:rsid w:val="00B045B0"/>
    <w:rsid w:val="00B04700"/>
    <w:rsid w:val="00B047F3"/>
    <w:rsid w:val="00B047FD"/>
    <w:rsid w:val="00B0481C"/>
    <w:rsid w:val="00B048AC"/>
    <w:rsid w:val="00B04B32"/>
    <w:rsid w:val="00B04B3A"/>
    <w:rsid w:val="00B04B7B"/>
    <w:rsid w:val="00B04BD8"/>
    <w:rsid w:val="00B04C34"/>
    <w:rsid w:val="00B04F18"/>
    <w:rsid w:val="00B04F8F"/>
    <w:rsid w:val="00B04FF0"/>
    <w:rsid w:val="00B05082"/>
    <w:rsid w:val="00B050FE"/>
    <w:rsid w:val="00B0518A"/>
    <w:rsid w:val="00B05256"/>
    <w:rsid w:val="00B05322"/>
    <w:rsid w:val="00B05417"/>
    <w:rsid w:val="00B054D9"/>
    <w:rsid w:val="00B054EF"/>
    <w:rsid w:val="00B055E1"/>
    <w:rsid w:val="00B05635"/>
    <w:rsid w:val="00B056C1"/>
    <w:rsid w:val="00B05796"/>
    <w:rsid w:val="00B057A6"/>
    <w:rsid w:val="00B057AF"/>
    <w:rsid w:val="00B057F0"/>
    <w:rsid w:val="00B05828"/>
    <w:rsid w:val="00B0586C"/>
    <w:rsid w:val="00B05931"/>
    <w:rsid w:val="00B059D8"/>
    <w:rsid w:val="00B05B95"/>
    <w:rsid w:val="00B05C42"/>
    <w:rsid w:val="00B05D91"/>
    <w:rsid w:val="00B05E3F"/>
    <w:rsid w:val="00B05E4E"/>
    <w:rsid w:val="00B05FD4"/>
    <w:rsid w:val="00B06077"/>
    <w:rsid w:val="00B061FA"/>
    <w:rsid w:val="00B06280"/>
    <w:rsid w:val="00B06385"/>
    <w:rsid w:val="00B063FC"/>
    <w:rsid w:val="00B06424"/>
    <w:rsid w:val="00B06426"/>
    <w:rsid w:val="00B06507"/>
    <w:rsid w:val="00B0654D"/>
    <w:rsid w:val="00B065A9"/>
    <w:rsid w:val="00B065EE"/>
    <w:rsid w:val="00B06634"/>
    <w:rsid w:val="00B067B8"/>
    <w:rsid w:val="00B06800"/>
    <w:rsid w:val="00B069C6"/>
    <w:rsid w:val="00B06A5E"/>
    <w:rsid w:val="00B06A6A"/>
    <w:rsid w:val="00B06AE8"/>
    <w:rsid w:val="00B06C13"/>
    <w:rsid w:val="00B06C27"/>
    <w:rsid w:val="00B06CF8"/>
    <w:rsid w:val="00B06D28"/>
    <w:rsid w:val="00B06D4E"/>
    <w:rsid w:val="00B06E73"/>
    <w:rsid w:val="00B06FB5"/>
    <w:rsid w:val="00B07030"/>
    <w:rsid w:val="00B0706A"/>
    <w:rsid w:val="00B070C0"/>
    <w:rsid w:val="00B071DE"/>
    <w:rsid w:val="00B07263"/>
    <w:rsid w:val="00B073FA"/>
    <w:rsid w:val="00B075DA"/>
    <w:rsid w:val="00B07608"/>
    <w:rsid w:val="00B0768E"/>
    <w:rsid w:val="00B07725"/>
    <w:rsid w:val="00B0795D"/>
    <w:rsid w:val="00B07A6F"/>
    <w:rsid w:val="00B07BD5"/>
    <w:rsid w:val="00B07BFA"/>
    <w:rsid w:val="00B07C04"/>
    <w:rsid w:val="00B07D5B"/>
    <w:rsid w:val="00B07D97"/>
    <w:rsid w:val="00B07D98"/>
    <w:rsid w:val="00B07E30"/>
    <w:rsid w:val="00B07F73"/>
    <w:rsid w:val="00B07F9D"/>
    <w:rsid w:val="00B10135"/>
    <w:rsid w:val="00B1014F"/>
    <w:rsid w:val="00B101FE"/>
    <w:rsid w:val="00B1027B"/>
    <w:rsid w:val="00B1029F"/>
    <w:rsid w:val="00B102B8"/>
    <w:rsid w:val="00B10311"/>
    <w:rsid w:val="00B1039F"/>
    <w:rsid w:val="00B103A8"/>
    <w:rsid w:val="00B103F6"/>
    <w:rsid w:val="00B1047C"/>
    <w:rsid w:val="00B1048C"/>
    <w:rsid w:val="00B1050C"/>
    <w:rsid w:val="00B105DE"/>
    <w:rsid w:val="00B10688"/>
    <w:rsid w:val="00B1077C"/>
    <w:rsid w:val="00B107A3"/>
    <w:rsid w:val="00B1087D"/>
    <w:rsid w:val="00B10890"/>
    <w:rsid w:val="00B10975"/>
    <w:rsid w:val="00B10994"/>
    <w:rsid w:val="00B109EB"/>
    <w:rsid w:val="00B10A9C"/>
    <w:rsid w:val="00B10B27"/>
    <w:rsid w:val="00B10BAD"/>
    <w:rsid w:val="00B10BBC"/>
    <w:rsid w:val="00B10D0F"/>
    <w:rsid w:val="00B10D60"/>
    <w:rsid w:val="00B10D63"/>
    <w:rsid w:val="00B10DFA"/>
    <w:rsid w:val="00B10E5C"/>
    <w:rsid w:val="00B10E89"/>
    <w:rsid w:val="00B10F0D"/>
    <w:rsid w:val="00B10FF4"/>
    <w:rsid w:val="00B11087"/>
    <w:rsid w:val="00B11107"/>
    <w:rsid w:val="00B1110C"/>
    <w:rsid w:val="00B11119"/>
    <w:rsid w:val="00B11131"/>
    <w:rsid w:val="00B11176"/>
    <w:rsid w:val="00B11185"/>
    <w:rsid w:val="00B1120F"/>
    <w:rsid w:val="00B1129A"/>
    <w:rsid w:val="00B112C7"/>
    <w:rsid w:val="00B1132C"/>
    <w:rsid w:val="00B1139C"/>
    <w:rsid w:val="00B1139D"/>
    <w:rsid w:val="00B1141E"/>
    <w:rsid w:val="00B1167C"/>
    <w:rsid w:val="00B116D5"/>
    <w:rsid w:val="00B11768"/>
    <w:rsid w:val="00B117DF"/>
    <w:rsid w:val="00B118F5"/>
    <w:rsid w:val="00B11901"/>
    <w:rsid w:val="00B11922"/>
    <w:rsid w:val="00B11978"/>
    <w:rsid w:val="00B1198D"/>
    <w:rsid w:val="00B119B0"/>
    <w:rsid w:val="00B119F3"/>
    <w:rsid w:val="00B11B80"/>
    <w:rsid w:val="00B11C0E"/>
    <w:rsid w:val="00B11CAD"/>
    <w:rsid w:val="00B11CDC"/>
    <w:rsid w:val="00B11E94"/>
    <w:rsid w:val="00B11EAB"/>
    <w:rsid w:val="00B1206C"/>
    <w:rsid w:val="00B120CB"/>
    <w:rsid w:val="00B12172"/>
    <w:rsid w:val="00B121D0"/>
    <w:rsid w:val="00B12242"/>
    <w:rsid w:val="00B12336"/>
    <w:rsid w:val="00B12347"/>
    <w:rsid w:val="00B124B6"/>
    <w:rsid w:val="00B124BF"/>
    <w:rsid w:val="00B124E1"/>
    <w:rsid w:val="00B12606"/>
    <w:rsid w:val="00B12680"/>
    <w:rsid w:val="00B12730"/>
    <w:rsid w:val="00B12762"/>
    <w:rsid w:val="00B12775"/>
    <w:rsid w:val="00B127CA"/>
    <w:rsid w:val="00B127FA"/>
    <w:rsid w:val="00B12886"/>
    <w:rsid w:val="00B129ED"/>
    <w:rsid w:val="00B12A0D"/>
    <w:rsid w:val="00B12B55"/>
    <w:rsid w:val="00B12B5C"/>
    <w:rsid w:val="00B12D60"/>
    <w:rsid w:val="00B12DA7"/>
    <w:rsid w:val="00B12DDB"/>
    <w:rsid w:val="00B12ECD"/>
    <w:rsid w:val="00B12EF7"/>
    <w:rsid w:val="00B12F6D"/>
    <w:rsid w:val="00B13104"/>
    <w:rsid w:val="00B133A2"/>
    <w:rsid w:val="00B134C8"/>
    <w:rsid w:val="00B1351A"/>
    <w:rsid w:val="00B135E0"/>
    <w:rsid w:val="00B136FC"/>
    <w:rsid w:val="00B1373D"/>
    <w:rsid w:val="00B13795"/>
    <w:rsid w:val="00B13A52"/>
    <w:rsid w:val="00B13B4E"/>
    <w:rsid w:val="00B13BA1"/>
    <w:rsid w:val="00B13BDF"/>
    <w:rsid w:val="00B13CA1"/>
    <w:rsid w:val="00B13D51"/>
    <w:rsid w:val="00B13D92"/>
    <w:rsid w:val="00B13E55"/>
    <w:rsid w:val="00B13F5F"/>
    <w:rsid w:val="00B13FF0"/>
    <w:rsid w:val="00B14062"/>
    <w:rsid w:val="00B1408D"/>
    <w:rsid w:val="00B140C5"/>
    <w:rsid w:val="00B140DB"/>
    <w:rsid w:val="00B14147"/>
    <w:rsid w:val="00B1419F"/>
    <w:rsid w:val="00B141FF"/>
    <w:rsid w:val="00B14216"/>
    <w:rsid w:val="00B142A0"/>
    <w:rsid w:val="00B14349"/>
    <w:rsid w:val="00B14565"/>
    <w:rsid w:val="00B145E1"/>
    <w:rsid w:val="00B14639"/>
    <w:rsid w:val="00B14699"/>
    <w:rsid w:val="00B1473C"/>
    <w:rsid w:val="00B14795"/>
    <w:rsid w:val="00B147AF"/>
    <w:rsid w:val="00B14819"/>
    <w:rsid w:val="00B148C2"/>
    <w:rsid w:val="00B14909"/>
    <w:rsid w:val="00B1490D"/>
    <w:rsid w:val="00B149D9"/>
    <w:rsid w:val="00B14A4E"/>
    <w:rsid w:val="00B14B39"/>
    <w:rsid w:val="00B14D2D"/>
    <w:rsid w:val="00B14E22"/>
    <w:rsid w:val="00B14E9D"/>
    <w:rsid w:val="00B14EC2"/>
    <w:rsid w:val="00B14F28"/>
    <w:rsid w:val="00B14FC0"/>
    <w:rsid w:val="00B14FC5"/>
    <w:rsid w:val="00B14FD0"/>
    <w:rsid w:val="00B15005"/>
    <w:rsid w:val="00B15068"/>
    <w:rsid w:val="00B1514E"/>
    <w:rsid w:val="00B151B7"/>
    <w:rsid w:val="00B1525E"/>
    <w:rsid w:val="00B153D7"/>
    <w:rsid w:val="00B15404"/>
    <w:rsid w:val="00B1544D"/>
    <w:rsid w:val="00B15609"/>
    <w:rsid w:val="00B15627"/>
    <w:rsid w:val="00B15646"/>
    <w:rsid w:val="00B15692"/>
    <w:rsid w:val="00B1570C"/>
    <w:rsid w:val="00B1576B"/>
    <w:rsid w:val="00B1585A"/>
    <w:rsid w:val="00B158FC"/>
    <w:rsid w:val="00B1597A"/>
    <w:rsid w:val="00B15A34"/>
    <w:rsid w:val="00B15B8B"/>
    <w:rsid w:val="00B15BB7"/>
    <w:rsid w:val="00B15C8B"/>
    <w:rsid w:val="00B15C8E"/>
    <w:rsid w:val="00B15CB4"/>
    <w:rsid w:val="00B15D9B"/>
    <w:rsid w:val="00B15E7A"/>
    <w:rsid w:val="00B15E97"/>
    <w:rsid w:val="00B15ECE"/>
    <w:rsid w:val="00B15FCE"/>
    <w:rsid w:val="00B160FE"/>
    <w:rsid w:val="00B16133"/>
    <w:rsid w:val="00B1613B"/>
    <w:rsid w:val="00B1613E"/>
    <w:rsid w:val="00B16284"/>
    <w:rsid w:val="00B1631E"/>
    <w:rsid w:val="00B1643A"/>
    <w:rsid w:val="00B1649A"/>
    <w:rsid w:val="00B165A7"/>
    <w:rsid w:val="00B1666A"/>
    <w:rsid w:val="00B16806"/>
    <w:rsid w:val="00B1683A"/>
    <w:rsid w:val="00B1683F"/>
    <w:rsid w:val="00B1685D"/>
    <w:rsid w:val="00B168BD"/>
    <w:rsid w:val="00B16954"/>
    <w:rsid w:val="00B16A1E"/>
    <w:rsid w:val="00B16B0C"/>
    <w:rsid w:val="00B16B88"/>
    <w:rsid w:val="00B16D50"/>
    <w:rsid w:val="00B16DA8"/>
    <w:rsid w:val="00B16F50"/>
    <w:rsid w:val="00B16F56"/>
    <w:rsid w:val="00B16FDF"/>
    <w:rsid w:val="00B17197"/>
    <w:rsid w:val="00B172DE"/>
    <w:rsid w:val="00B1731A"/>
    <w:rsid w:val="00B1731E"/>
    <w:rsid w:val="00B17465"/>
    <w:rsid w:val="00B17493"/>
    <w:rsid w:val="00B1754A"/>
    <w:rsid w:val="00B17554"/>
    <w:rsid w:val="00B1768B"/>
    <w:rsid w:val="00B1773F"/>
    <w:rsid w:val="00B177D2"/>
    <w:rsid w:val="00B178F3"/>
    <w:rsid w:val="00B17925"/>
    <w:rsid w:val="00B17934"/>
    <w:rsid w:val="00B17958"/>
    <w:rsid w:val="00B17964"/>
    <w:rsid w:val="00B1798E"/>
    <w:rsid w:val="00B179AD"/>
    <w:rsid w:val="00B17B4A"/>
    <w:rsid w:val="00B17B5A"/>
    <w:rsid w:val="00B17C0E"/>
    <w:rsid w:val="00B17D08"/>
    <w:rsid w:val="00B17D0C"/>
    <w:rsid w:val="00B17DF3"/>
    <w:rsid w:val="00B17E58"/>
    <w:rsid w:val="00B1F720"/>
    <w:rsid w:val="00B200B2"/>
    <w:rsid w:val="00B2011A"/>
    <w:rsid w:val="00B20237"/>
    <w:rsid w:val="00B2023F"/>
    <w:rsid w:val="00B20263"/>
    <w:rsid w:val="00B2036A"/>
    <w:rsid w:val="00B203AF"/>
    <w:rsid w:val="00B203FD"/>
    <w:rsid w:val="00B2045E"/>
    <w:rsid w:val="00B20539"/>
    <w:rsid w:val="00B20570"/>
    <w:rsid w:val="00B205BA"/>
    <w:rsid w:val="00B20622"/>
    <w:rsid w:val="00B20638"/>
    <w:rsid w:val="00B206DD"/>
    <w:rsid w:val="00B207B2"/>
    <w:rsid w:val="00B207EA"/>
    <w:rsid w:val="00B20819"/>
    <w:rsid w:val="00B20836"/>
    <w:rsid w:val="00B209EE"/>
    <w:rsid w:val="00B20A1B"/>
    <w:rsid w:val="00B20A37"/>
    <w:rsid w:val="00B20BC9"/>
    <w:rsid w:val="00B20CEF"/>
    <w:rsid w:val="00B20D09"/>
    <w:rsid w:val="00B20D3D"/>
    <w:rsid w:val="00B20D3F"/>
    <w:rsid w:val="00B20DD5"/>
    <w:rsid w:val="00B20E31"/>
    <w:rsid w:val="00B20EAB"/>
    <w:rsid w:val="00B2109D"/>
    <w:rsid w:val="00B212D2"/>
    <w:rsid w:val="00B212E0"/>
    <w:rsid w:val="00B21471"/>
    <w:rsid w:val="00B21490"/>
    <w:rsid w:val="00B2149D"/>
    <w:rsid w:val="00B214AB"/>
    <w:rsid w:val="00B21554"/>
    <w:rsid w:val="00B21568"/>
    <w:rsid w:val="00B215DD"/>
    <w:rsid w:val="00B216AD"/>
    <w:rsid w:val="00B2170E"/>
    <w:rsid w:val="00B21755"/>
    <w:rsid w:val="00B2178A"/>
    <w:rsid w:val="00B21846"/>
    <w:rsid w:val="00B218E6"/>
    <w:rsid w:val="00B21927"/>
    <w:rsid w:val="00B21936"/>
    <w:rsid w:val="00B219F7"/>
    <w:rsid w:val="00B21AAB"/>
    <w:rsid w:val="00B21AFE"/>
    <w:rsid w:val="00B21B0D"/>
    <w:rsid w:val="00B21B5C"/>
    <w:rsid w:val="00B21B5F"/>
    <w:rsid w:val="00B21B6E"/>
    <w:rsid w:val="00B21C12"/>
    <w:rsid w:val="00B21E49"/>
    <w:rsid w:val="00B21E6A"/>
    <w:rsid w:val="00B21EB7"/>
    <w:rsid w:val="00B21EBA"/>
    <w:rsid w:val="00B21F8A"/>
    <w:rsid w:val="00B21FE6"/>
    <w:rsid w:val="00B22008"/>
    <w:rsid w:val="00B2204E"/>
    <w:rsid w:val="00B220A0"/>
    <w:rsid w:val="00B220D1"/>
    <w:rsid w:val="00B22109"/>
    <w:rsid w:val="00B221E3"/>
    <w:rsid w:val="00B2228D"/>
    <w:rsid w:val="00B222C0"/>
    <w:rsid w:val="00B222D0"/>
    <w:rsid w:val="00B222FA"/>
    <w:rsid w:val="00B22308"/>
    <w:rsid w:val="00B2248B"/>
    <w:rsid w:val="00B2278E"/>
    <w:rsid w:val="00B22830"/>
    <w:rsid w:val="00B22859"/>
    <w:rsid w:val="00B2285D"/>
    <w:rsid w:val="00B22883"/>
    <w:rsid w:val="00B22925"/>
    <w:rsid w:val="00B22934"/>
    <w:rsid w:val="00B22952"/>
    <w:rsid w:val="00B22A4F"/>
    <w:rsid w:val="00B22BED"/>
    <w:rsid w:val="00B22C47"/>
    <w:rsid w:val="00B22C9F"/>
    <w:rsid w:val="00B22F05"/>
    <w:rsid w:val="00B22F20"/>
    <w:rsid w:val="00B2302E"/>
    <w:rsid w:val="00B2304F"/>
    <w:rsid w:val="00B2309D"/>
    <w:rsid w:val="00B23144"/>
    <w:rsid w:val="00B231EB"/>
    <w:rsid w:val="00B23288"/>
    <w:rsid w:val="00B232EC"/>
    <w:rsid w:val="00B2346B"/>
    <w:rsid w:val="00B2346F"/>
    <w:rsid w:val="00B234B9"/>
    <w:rsid w:val="00B23539"/>
    <w:rsid w:val="00B23544"/>
    <w:rsid w:val="00B235D0"/>
    <w:rsid w:val="00B236F2"/>
    <w:rsid w:val="00B2373E"/>
    <w:rsid w:val="00B2378B"/>
    <w:rsid w:val="00B23813"/>
    <w:rsid w:val="00B239B5"/>
    <w:rsid w:val="00B239EF"/>
    <w:rsid w:val="00B23B82"/>
    <w:rsid w:val="00B23BC7"/>
    <w:rsid w:val="00B23D57"/>
    <w:rsid w:val="00B23D71"/>
    <w:rsid w:val="00B23EB9"/>
    <w:rsid w:val="00B23ECE"/>
    <w:rsid w:val="00B23F0C"/>
    <w:rsid w:val="00B23FAC"/>
    <w:rsid w:val="00B23FF7"/>
    <w:rsid w:val="00B2402E"/>
    <w:rsid w:val="00B24057"/>
    <w:rsid w:val="00B240AE"/>
    <w:rsid w:val="00B240F2"/>
    <w:rsid w:val="00B242D5"/>
    <w:rsid w:val="00B242EC"/>
    <w:rsid w:val="00B2443E"/>
    <w:rsid w:val="00B244B9"/>
    <w:rsid w:val="00B24598"/>
    <w:rsid w:val="00B2459B"/>
    <w:rsid w:val="00B2459E"/>
    <w:rsid w:val="00B245A0"/>
    <w:rsid w:val="00B2461A"/>
    <w:rsid w:val="00B24700"/>
    <w:rsid w:val="00B2479B"/>
    <w:rsid w:val="00B24860"/>
    <w:rsid w:val="00B249C7"/>
    <w:rsid w:val="00B24A54"/>
    <w:rsid w:val="00B24A65"/>
    <w:rsid w:val="00B24AF7"/>
    <w:rsid w:val="00B24C7E"/>
    <w:rsid w:val="00B24CC6"/>
    <w:rsid w:val="00B24D6E"/>
    <w:rsid w:val="00B24D71"/>
    <w:rsid w:val="00B24D92"/>
    <w:rsid w:val="00B24F36"/>
    <w:rsid w:val="00B24F3E"/>
    <w:rsid w:val="00B25015"/>
    <w:rsid w:val="00B250D2"/>
    <w:rsid w:val="00B25128"/>
    <w:rsid w:val="00B251B5"/>
    <w:rsid w:val="00B251E7"/>
    <w:rsid w:val="00B25208"/>
    <w:rsid w:val="00B252CD"/>
    <w:rsid w:val="00B25457"/>
    <w:rsid w:val="00B25476"/>
    <w:rsid w:val="00B254A7"/>
    <w:rsid w:val="00B25565"/>
    <w:rsid w:val="00B25604"/>
    <w:rsid w:val="00B25653"/>
    <w:rsid w:val="00B256BF"/>
    <w:rsid w:val="00B256EA"/>
    <w:rsid w:val="00B25700"/>
    <w:rsid w:val="00B25794"/>
    <w:rsid w:val="00B258BC"/>
    <w:rsid w:val="00B25B0F"/>
    <w:rsid w:val="00B25BFE"/>
    <w:rsid w:val="00B25D26"/>
    <w:rsid w:val="00B25F93"/>
    <w:rsid w:val="00B26051"/>
    <w:rsid w:val="00B26078"/>
    <w:rsid w:val="00B26119"/>
    <w:rsid w:val="00B26136"/>
    <w:rsid w:val="00B26144"/>
    <w:rsid w:val="00B261C7"/>
    <w:rsid w:val="00B2622F"/>
    <w:rsid w:val="00B262F0"/>
    <w:rsid w:val="00B2640F"/>
    <w:rsid w:val="00B26438"/>
    <w:rsid w:val="00B26440"/>
    <w:rsid w:val="00B26662"/>
    <w:rsid w:val="00B266C0"/>
    <w:rsid w:val="00B268AD"/>
    <w:rsid w:val="00B268FC"/>
    <w:rsid w:val="00B26927"/>
    <w:rsid w:val="00B2698A"/>
    <w:rsid w:val="00B26992"/>
    <w:rsid w:val="00B26ABE"/>
    <w:rsid w:val="00B26B5B"/>
    <w:rsid w:val="00B26D33"/>
    <w:rsid w:val="00B26D82"/>
    <w:rsid w:val="00B26DE8"/>
    <w:rsid w:val="00B26E33"/>
    <w:rsid w:val="00B26E67"/>
    <w:rsid w:val="00B26E74"/>
    <w:rsid w:val="00B26E87"/>
    <w:rsid w:val="00B26EC5"/>
    <w:rsid w:val="00B26EF5"/>
    <w:rsid w:val="00B26EFA"/>
    <w:rsid w:val="00B26FC0"/>
    <w:rsid w:val="00B26FED"/>
    <w:rsid w:val="00B2703B"/>
    <w:rsid w:val="00B27126"/>
    <w:rsid w:val="00B27144"/>
    <w:rsid w:val="00B271F7"/>
    <w:rsid w:val="00B2728D"/>
    <w:rsid w:val="00B272C3"/>
    <w:rsid w:val="00B272FD"/>
    <w:rsid w:val="00B2743F"/>
    <w:rsid w:val="00B2757E"/>
    <w:rsid w:val="00B275F3"/>
    <w:rsid w:val="00B27659"/>
    <w:rsid w:val="00B2767C"/>
    <w:rsid w:val="00B276BF"/>
    <w:rsid w:val="00B276E7"/>
    <w:rsid w:val="00B2779E"/>
    <w:rsid w:val="00B277CB"/>
    <w:rsid w:val="00B2780E"/>
    <w:rsid w:val="00B27819"/>
    <w:rsid w:val="00B278CA"/>
    <w:rsid w:val="00B278F4"/>
    <w:rsid w:val="00B27965"/>
    <w:rsid w:val="00B27A82"/>
    <w:rsid w:val="00B27B0A"/>
    <w:rsid w:val="00B27B60"/>
    <w:rsid w:val="00B27C72"/>
    <w:rsid w:val="00B27D8B"/>
    <w:rsid w:val="00B27DB7"/>
    <w:rsid w:val="00B27DE9"/>
    <w:rsid w:val="00B27E19"/>
    <w:rsid w:val="00B27F12"/>
    <w:rsid w:val="00B2EC5D"/>
    <w:rsid w:val="00B30046"/>
    <w:rsid w:val="00B3013C"/>
    <w:rsid w:val="00B30143"/>
    <w:rsid w:val="00B30373"/>
    <w:rsid w:val="00B303C9"/>
    <w:rsid w:val="00B303D2"/>
    <w:rsid w:val="00B303F5"/>
    <w:rsid w:val="00B30426"/>
    <w:rsid w:val="00B3042E"/>
    <w:rsid w:val="00B304BF"/>
    <w:rsid w:val="00B30523"/>
    <w:rsid w:val="00B30646"/>
    <w:rsid w:val="00B30739"/>
    <w:rsid w:val="00B3080A"/>
    <w:rsid w:val="00B3084E"/>
    <w:rsid w:val="00B30867"/>
    <w:rsid w:val="00B308EA"/>
    <w:rsid w:val="00B3091F"/>
    <w:rsid w:val="00B3098B"/>
    <w:rsid w:val="00B30A21"/>
    <w:rsid w:val="00B30A53"/>
    <w:rsid w:val="00B30A67"/>
    <w:rsid w:val="00B30B2E"/>
    <w:rsid w:val="00B30B7D"/>
    <w:rsid w:val="00B30C06"/>
    <w:rsid w:val="00B30EBB"/>
    <w:rsid w:val="00B30F18"/>
    <w:rsid w:val="00B31019"/>
    <w:rsid w:val="00B310DE"/>
    <w:rsid w:val="00B31211"/>
    <w:rsid w:val="00B31241"/>
    <w:rsid w:val="00B31249"/>
    <w:rsid w:val="00B312EF"/>
    <w:rsid w:val="00B31351"/>
    <w:rsid w:val="00B31402"/>
    <w:rsid w:val="00B314DD"/>
    <w:rsid w:val="00B3150B"/>
    <w:rsid w:val="00B31567"/>
    <w:rsid w:val="00B315F9"/>
    <w:rsid w:val="00B31645"/>
    <w:rsid w:val="00B316FC"/>
    <w:rsid w:val="00B31744"/>
    <w:rsid w:val="00B3175D"/>
    <w:rsid w:val="00B317E9"/>
    <w:rsid w:val="00B317EA"/>
    <w:rsid w:val="00B3184A"/>
    <w:rsid w:val="00B318D3"/>
    <w:rsid w:val="00B318F1"/>
    <w:rsid w:val="00B31932"/>
    <w:rsid w:val="00B31ABD"/>
    <w:rsid w:val="00B31BF3"/>
    <w:rsid w:val="00B31CE4"/>
    <w:rsid w:val="00B31E02"/>
    <w:rsid w:val="00B31ED2"/>
    <w:rsid w:val="00B31F23"/>
    <w:rsid w:val="00B31F58"/>
    <w:rsid w:val="00B31F8F"/>
    <w:rsid w:val="00B3206C"/>
    <w:rsid w:val="00B32107"/>
    <w:rsid w:val="00B321B0"/>
    <w:rsid w:val="00B322B8"/>
    <w:rsid w:val="00B322D1"/>
    <w:rsid w:val="00B32310"/>
    <w:rsid w:val="00B323AF"/>
    <w:rsid w:val="00B3244D"/>
    <w:rsid w:val="00B32464"/>
    <w:rsid w:val="00B3254B"/>
    <w:rsid w:val="00B32595"/>
    <w:rsid w:val="00B32797"/>
    <w:rsid w:val="00B327E9"/>
    <w:rsid w:val="00B32812"/>
    <w:rsid w:val="00B32829"/>
    <w:rsid w:val="00B3296D"/>
    <w:rsid w:val="00B3299E"/>
    <w:rsid w:val="00B32BA0"/>
    <w:rsid w:val="00B32C82"/>
    <w:rsid w:val="00B32D08"/>
    <w:rsid w:val="00B32D0B"/>
    <w:rsid w:val="00B32D69"/>
    <w:rsid w:val="00B32ECF"/>
    <w:rsid w:val="00B32F24"/>
    <w:rsid w:val="00B3313C"/>
    <w:rsid w:val="00B3314C"/>
    <w:rsid w:val="00B33264"/>
    <w:rsid w:val="00B3345F"/>
    <w:rsid w:val="00B334BF"/>
    <w:rsid w:val="00B334E6"/>
    <w:rsid w:val="00B335BC"/>
    <w:rsid w:val="00B335D7"/>
    <w:rsid w:val="00B336C0"/>
    <w:rsid w:val="00B33701"/>
    <w:rsid w:val="00B33803"/>
    <w:rsid w:val="00B33948"/>
    <w:rsid w:val="00B339F8"/>
    <w:rsid w:val="00B33ABB"/>
    <w:rsid w:val="00B33AEF"/>
    <w:rsid w:val="00B33B0B"/>
    <w:rsid w:val="00B33B19"/>
    <w:rsid w:val="00B33B20"/>
    <w:rsid w:val="00B33B4B"/>
    <w:rsid w:val="00B33CA4"/>
    <w:rsid w:val="00B33D08"/>
    <w:rsid w:val="00B33D72"/>
    <w:rsid w:val="00B33E05"/>
    <w:rsid w:val="00B34073"/>
    <w:rsid w:val="00B340A1"/>
    <w:rsid w:val="00B3416F"/>
    <w:rsid w:val="00B34174"/>
    <w:rsid w:val="00B342AB"/>
    <w:rsid w:val="00B342D0"/>
    <w:rsid w:val="00B34303"/>
    <w:rsid w:val="00B34353"/>
    <w:rsid w:val="00B3437F"/>
    <w:rsid w:val="00B34428"/>
    <w:rsid w:val="00B3456A"/>
    <w:rsid w:val="00B3457B"/>
    <w:rsid w:val="00B3457D"/>
    <w:rsid w:val="00B345B2"/>
    <w:rsid w:val="00B34707"/>
    <w:rsid w:val="00B34893"/>
    <w:rsid w:val="00B348E1"/>
    <w:rsid w:val="00B348EB"/>
    <w:rsid w:val="00B34972"/>
    <w:rsid w:val="00B349A5"/>
    <w:rsid w:val="00B34AF5"/>
    <w:rsid w:val="00B34B07"/>
    <w:rsid w:val="00B34B50"/>
    <w:rsid w:val="00B34BB9"/>
    <w:rsid w:val="00B34CA4"/>
    <w:rsid w:val="00B34CDE"/>
    <w:rsid w:val="00B34CFE"/>
    <w:rsid w:val="00B34D32"/>
    <w:rsid w:val="00B34DB3"/>
    <w:rsid w:val="00B34ECE"/>
    <w:rsid w:val="00B34F00"/>
    <w:rsid w:val="00B34F33"/>
    <w:rsid w:val="00B34F8A"/>
    <w:rsid w:val="00B35108"/>
    <w:rsid w:val="00B35288"/>
    <w:rsid w:val="00B35296"/>
    <w:rsid w:val="00B35365"/>
    <w:rsid w:val="00B35482"/>
    <w:rsid w:val="00B3553F"/>
    <w:rsid w:val="00B35553"/>
    <w:rsid w:val="00B3564A"/>
    <w:rsid w:val="00B3564B"/>
    <w:rsid w:val="00B356F1"/>
    <w:rsid w:val="00B356FD"/>
    <w:rsid w:val="00B3573B"/>
    <w:rsid w:val="00B35796"/>
    <w:rsid w:val="00B3588F"/>
    <w:rsid w:val="00B358D8"/>
    <w:rsid w:val="00B358E4"/>
    <w:rsid w:val="00B359DB"/>
    <w:rsid w:val="00B35A57"/>
    <w:rsid w:val="00B35A96"/>
    <w:rsid w:val="00B35B36"/>
    <w:rsid w:val="00B35BB5"/>
    <w:rsid w:val="00B35BDC"/>
    <w:rsid w:val="00B35C09"/>
    <w:rsid w:val="00B35C21"/>
    <w:rsid w:val="00B35C46"/>
    <w:rsid w:val="00B35E8D"/>
    <w:rsid w:val="00B35FD4"/>
    <w:rsid w:val="00B36089"/>
    <w:rsid w:val="00B36180"/>
    <w:rsid w:val="00B36185"/>
    <w:rsid w:val="00B3620F"/>
    <w:rsid w:val="00B36237"/>
    <w:rsid w:val="00B3625F"/>
    <w:rsid w:val="00B3637B"/>
    <w:rsid w:val="00B3646A"/>
    <w:rsid w:val="00B364D2"/>
    <w:rsid w:val="00B364E3"/>
    <w:rsid w:val="00B36536"/>
    <w:rsid w:val="00B36571"/>
    <w:rsid w:val="00B3660F"/>
    <w:rsid w:val="00B36709"/>
    <w:rsid w:val="00B367F2"/>
    <w:rsid w:val="00B3684E"/>
    <w:rsid w:val="00B36883"/>
    <w:rsid w:val="00B368B5"/>
    <w:rsid w:val="00B368C6"/>
    <w:rsid w:val="00B36954"/>
    <w:rsid w:val="00B36971"/>
    <w:rsid w:val="00B369C2"/>
    <w:rsid w:val="00B36BEA"/>
    <w:rsid w:val="00B36C2B"/>
    <w:rsid w:val="00B36C9E"/>
    <w:rsid w:val="00B36DCB"/>
    <w:rsid w:val="00B36E2B"/>
    <w:rsid w:val="00B36E50"/>
    <w:rsid w:val="00B36E53"/>
    <w:rsid w:val="00B36F32"/>
    <w:rsid w:val="00B37086"/>
    <w:rsid w:val="00B3728E"/>
    <w:rsid w:val="00B37373"/>
    <w:rsid w:val="00B37434"/>
    <w:rsid w:val="00B37444"/>
    <w:rsid w:val="00B37649"/>
    <w:rsid w:val="00B378E9"/>
    <w:rsid w:val="00B37914"/>
    <w:rsid w:val="00B37917"/>
    <w:rsid w:val="00B379EB"/>
    <w:rsid w:val="00B37A38"/>
    <w:rsid w:val="00B37A8E"/>
    <w:rsid w:val="00B37F9C"/>
    <w:rsid w:val="00B3C13B"/>
    <w:rsid w:val="00B4014F"/>
    <w:rsid w:val="00B4022B"/>
    <w:rsid w:val="00B402DE"/>
    <w:rsid w:val="00B40301"/>
    <w:rsid w:val="00B4051D"/>
    <w:rsid w:val="00B4053C"/>
    <w:rsid w:val="00B4055E"/>
    <w:rsid w:val="00B40920"/>
    <w:rsid w:val="00B4099D"/>
    <w:rsid w:val="00B409F2"/>
    <w:rsid w:val="00B40B40"/>
    <w:rsid w:val="00B40B94"/>
    <w:rsid w:val="00B40C4E"/>
    <w:rsid w:val="00B40C5F"/>
    <w:rsid w:val="00B40CD5"/>
    <w:rsid w:val="00B40D8D"/>
    <w:rsid w:val="00B40EB3"/>
    <w:rsid w:val="00B40F3A"/>
    <w:rsid w:val="00B40FA3"/>
    <w:rsid w:val="00B40FF9"/>
    <w:rsid w:val="00B41094"/>
    <w:rsid w:val="00B410DA"/>
    <w:rsid w:val="00B41128"/>
    <w:rsid w:val="00B4115A"/>
    <w:rsid w:val="00B41163"/>
    <w:rsid w:val="00B411A3"/>
    <w:rsid w:val="00B411DC"/>
    <w:rsid w:val="00B41281"/>
    <w:rsid w:val="00B41423"/>
    <w:rsid w:val="00B414FA"/>
    <w:rsid w:val="00B4158A"/>
    <w:rsid w:val="00B415FE"/>
    <w:rsid w:val="00B4161C"/>
    <w:rsid w:val="00B41675"/>
    <w:rsid w:val="00B4168E"/>
    <w:rsid w:val="00B41778"/>
    <w:rsid w:val="00B41867"/>
    <w:rsid w:val="00B41897"/>
    <w:rsid w:val="00B418EB"/>
    <w:rsid w:val="00B41B94"/>
    <w:rsid w:val="00B41BFA"/>
    <w:rsid w:val="00B41C1D"/>
    <w:rsid w:val="00B41C24"/>
    <w:rsid w:val="00B41C42"/>
    <w:rsid w:val="00B41CFE"/>
    <w:rsid w:val="00B41D41"/>
    <w:rsid w:val="00B41E9C"/>
    <w:rsid w:val="00B41EB9"/>
    <w:rsid w:val="00B41F80"/>
    <w:rsid w:val="00B41FC8"/>
    <w:rsid w:val="00B4207B"/>
    <w:rsid w:val="00B420AE"/>
    <w:rsid w:val="00B420AF"/>
    <w:rsid w:val="00B42183"/>
    <w:rsid w:val="00B42202"/>
    <w:rsid w:val="00B4222D"/>
    <w:rsid w:val="00B4226A"/>
    <w:rsid w:val="00B422F6"/>
    <w:rsid w:val="00B423A6"/>
    <w:rsid w:val="00B42473"/>
    <w:rsid w:val="00B4250B"/>
    <w:rsid w:val="00B42526"/>
    <w:rsid w:val="00B4256C"/>
    <w:rsid w:val="00B425BD"/>
    <w:rsid w:val="00B425CE"/>
    <w:rsid w:val="00B42631"/>
    <w:rsid w:val="00B42793"/>
    <w:rsid w:val="00B427CF"/>
    <w:rsid w:val="00B427F9"/>
    <w:rsid w:val="00B42818"/>
    <w:rsid w:val="00B42977"/>
    <w:rsid w:val="00B429A7"/>
    <w:rsid w:val="00B42AA8"/>
    <w:rsid w:val="00B42AD7"/>
    <w:rsid w:val="00B42BAA"/>
    <w:rsid w:val="00B42C52"/>
    <w:rsid w:val="00B42CA3"/>
    <w:rsid w:val="00B42CDC"/>
    <w:rsid w:val="00B42D98"/>
    <w:rsid w:val="00B42DD7"/>
    <w:rsid w:val="00B42E36"/>
    <w:rsid w:val="00B42E85"/>
    <w:rsid w:val="00B42F5D"/>
    <w:rsid w:val="00B430EA"/>
    <w:rsid w:val="00B430FF"/>
    <w:rsid w:val="00B4318A"/>
    <w:rsid w:val="00B431E1"/>
    <w:rsid w:val="00B43262"/>
    <w:rsid w:val="00B432AB"/>
    <w:rsid w:val="00B432E3"/>
    <w:rsid w:val="00B4331B"/>
    <w:rsid w:val="00B433A6"/>
    <w:rsid w:val="00B43884"/>
    <w:rsid w:val="00B438CB"/>
    <w:rsid w:val="00B43978"/>
    <w:rsid w:val="00B43A61"/>
    <w:rsid w:val="00B43ABA"/>
    <w:rsid w:val="00B43BDE"/>
    <w:rsid w:val="00B43BF8"/>
    <w:rsid w:val="00B43C7B"/>
    <w:rsid w:val="00B43C8A"/>
    <w:rsid w:val="00B43E02"/>
    <w:rsid w:val="00B43E1B"/>
    <w:rsid w:val="00B43E39"/>
    <w:rsid w:val="00B43EDC"/>
    <w:rsid w:val="00B43EE0"/>
    <w:rsid w:val="00B43F05"/>
    <w:rsid w:val="00B43F68"/>
    <w:rsid w:val="00B43F6C"/>
    <w:rsid w:val="00B43F93"/>
    <w:rsid w:val="00B44027"/>
    <w:rsid w:val="00B44043"/>
    <w:rsid w:val="00B440B4"/>
    <w:rsid w:val="00B44171"/>
    <w:rsid w:val="00B44193"/>
    <w:rsid w:val="00B442A5"/>
    <w:rsid w:val="00B444A4"/>
    <w:rsid w:val="00B44517"/>
    <w:rsid w:val="00B445B0"/>
    <w:rsid w:val="00B445FE"/>
    <w:rsid w:val="00B446AE"/>
    <w:rsid w:val="00B446D1"/>
    <w:rsid w:val="00B447E3"/>
    <w:rsid w:val="00B449B1"/>
    <w:rsid w:val="00B449BA"/>
    <w:rsid w:val="00B44A84"/>
    <w:rsid w:val="00B44B89"/>
    <w:rsid w:val="00B44BF7"/>
    <w:rsid w:val="00B44E46"/>
    <w:rsid w:val="00B44EF3"/>
    <w:rsid w:val="00B44FFA"/>
    <w:rsid w:val="00B450AB"/>
    <w:rsid w:val="00B4513C"/>
    <w:rsid w:val="00B45296"/>
    <w:rsid w:val="00B452CD"/>
    <w:rsid w:val="00B4534D"/>
    <w:rsid w:val="00B453AF"/>
    <w:rsid w:val="00B453BB"/>
    <w:rsid w:val="00B45428"/>
    <w:rsid w:val="00B45456"/>
    <w:rsid w:val="00B455CA"/>
    <w:rsid w:val="00B455D9"/>
    <w:rsid w:val="00B45625"/>
    <w:rsid w:val="00B45630"/>
    <w:rsid w:val="00B4563B"/>
    <w:rsid w:val="00B45781"/>
    <w:rsid w:val="00B45786"/>
    <w:rsid w:val="00B457D6"/>
    <w:rsid w:val="00B45834"/>
    <w:rsid w:val="00B45838"/>
    <w:rsid w:val="00B45874"/>
    <w:rsid w:val="00B45918"/>
    <w:rsid w:val="00B45A33"/>
    <w:rsid w:val="00B45A59"/>
    <w:rsid w:val="00B45A6E"/>
    <w:rsid w:val="00B45B50"/>
    <w:rsid w:val="00B45C07"/>
    <w:rsid w:val="00B45D4D"/>
    <w:rsid w:val="00B45D5D"/>
    <w:rsid w:val="00B45ED4"/>
    <w:rsid w:val="00B45F2B"/>
    <w:rsid w:val="00B45F8B"/>
    <w:rsid w:val="00B45FAB"/>
    <w:rsid w:val="00B460E9"/>
    <w:rsid w:val="00B463FC"/>
    <w:rsid w:val="00B464A3"/>
    <w:rsid w:val="00B46519"/>
    <w:rsid w:val="00B4652C"/>
    <w:rsid w:val="00B46553"/>
    <w:rsid w:val="00B46581"/>
    <w:rsid w:val="00B4663A"/>
    <w:rsid w:val="00B46666"/>
    <w:rsid w:val="00B46850"/>
    <w:rsid w:val="00B46869"/>
    <w:rsid w:val="00B4691E"/>
    <w:rsid w:val="00B4693C"/>
    <w:rsid w:val="00B46967"/>
    <w:rsid w:val="00B469B1"/>
    <w:rsid w:val="00B46A0B"/>
    <w:rsid w:val="00B46B89"/>
    <w:rsid w:val="00B46BAC"/>
    <w:rsid w:val="00B46BE3"/>
    <w:rsid w:val="00B46BF9"/>
    <w:rsid w:val="00B46D32"/>
    <w:rsid w:val="00B46D41"/>
    <w:rsid w:val="00B46DA2"/>
    <w:rsid w:val="00B46DB0"/>
    <w:rsid w:val="00B46E11"/>
    <w:rsid w:val="00B46E7D"/>
    <w:rsid w:val="00B46EE8"/>
    <w:rsid w:val="00B46F15"/>
    <w:rsid w:val="00B47148"/>
    <w:rsid w:val="00B47310"/>
    <w:rsid w:val="00B47311"/>
    <w:rsid w:val="00B4734B"/>
    <w:rsid w:val="00B47351"/>
    <w:rsid w:val="00B473EB"/>
    <w:rsid w:val="00B47406"/>
    <w:rsid w:val="00B4742E"/>
    <w:rsid w:val="00B47572"/>
    <w:rsid w:val="00B475A8"/>
    <w:rsid w:val="00B475D2"/>
    <w:rsid w:val="00B475DA"/>
    <w:rsid w:val="00B477DF"/>
    <w:rsid w:val="00B477E7"/>
    <w:rsid w:val="00B47912"/>
    <w:rsid w:val="00B47914"/>
    <w:rsid w:val="00B47A14"/>
    <w:rsid w:val="00B47A18"/>
    <w:rsid w:val="00B47A28"/>
    <w:rsid w:val="00B47A6B"/>
    <w:rsid w:val="00B47AF4"/>
    <w:rsid w:val="00B47B26"/>
    <w:rsid w:val="00B47D1F"/>
    <w:rsid w:val="00B47E8B"/>
    <w:rsid w:val="00B47F51"/>
    <w:rsid w:val="00B47F7F"/>
    <w:rsid w:val="00B47FB2"/>
    <w:rsid w:val="00B47FC8"/>
    <w:rsid w:val="00B47FF2"/>
    <w:rsid w:val="00B47FF9"/>
    <w:rsid w:val="00B4D307"/>
    <w:rsid w:val="00B5007D"/>
    <w:rsid w:val="00B50084"/>
    <w:rsid w:val="00B50145"/>
    <w:rsid w:val="00B501A2"/>
    <w:rsid w:val="00B501EC"/>
    <w:rsid w:val="00B502C9"/>
    <w:rsid w:val="00B50398"/>
    <w:rsid w:val="00B5039B"/>
    <w:rsid w:val="00B505F4"/>
    <w:rsid w:val="00B5069E"/>
    <w:rsid w:val="00B50822"/>
    <w:rsid w:val="00B508A6"/>
    <w:rsid w:val="00B508C0"/>
    <w:rsid w:val="00B509A8"/>
    <w:rsid w:val="00B50ADE"/>
    <w:rsid w:val="00B50CA5"/>
    <w:rsid w:val="00B50CD3"/>
    <w:rsid w:val="00B50D03"/>
    <w:rsid w:val="00B50F24"/>
    <w:rsid w:val="00B5105C"/>
    <w:rsid w:val="00B51199"/>
    <w:rsid w:val="00B511D1"/>
    <w:rsid w:val="00B511D7"/>
    <w:rsid w:val="00B51226"/>
    <w:rsid w:val="00B5129B"/>
    <w:rsid w:val="00B51313"/>
    <w:rsid w:val="00B51380"/>
    <w:rsid w:val="00B513CA"/>
    <w:rsid w:val="00B51425"/>
    <w:rsid w:val="00B514E2"/>
    <w:rsid w:val="00B51518"/>
    <w:rsid w:val="00B51553"/>
    <w:rsid w:val="00B5156F"/>
    <w:rsid w:val="00B5158B"/>
    <w:rsid w:val="00B5158D"/>
    <w:rsid w:val="00B518A3"/>
    <w:rsid w:val="00B518ED"/>
    <w:rsid w:val="00B5192E"/>
    <w:rsid w:val="00B51934"/>
    <w:rsid w:val="00B5197D"/>
    <w:rsid w:val="00B51A33"/>
    <w:rsid w:val="00B51AAB"/>
    <w:rsid w:val="00B51B30"/>
    <w:rsid w:val="00B51B77"/>
    <w:rsid w:val="00B51C38"/>
    <w:rsid w:val="00B51CAA"/>
    <w:rsid w:val="00B51CE2"/>
    <w:rsid w:val="00B51CE9"/>
    <w:rsid w:val="00B51CED"/>
    <w:rsid w:val="00B51DE7"/>
    <w:rsid w:val="00B51E33"/>
    <w:rsid w:val="00B51F91"/>
    <w:rsid w:val="00B51F98"/>
    <w:rsid w:val="00B520B4"/>
    <w:rsid w:val="00B520C5"/>
    <w:rsid w:val="00B52115"/>
    <w:rsid w:val="00B5213E"/>
    <w:rsid w:val="00B52188"/>
    <w:rsid w:val="00B521B9"/>
    <w:rsid w:val="00B521E3"/>
    <w:rsid w:val="00B522E2"/>
    <w:rsid w:val="00B52395"/>
    <w:rsid w:val="00B524BE"/>
    <w:rsid w:val="00B5251B"/>
    <w:rsid w:val="00B5257E"/>
    <w:rsid w:val="00B525A6"/>
    <w:rsid w:val="00B5263A"/>
    <w:rsid w:val="00B5267B"/>
    <w:rsid w:val="00B5293D"/>
    <w:rsid w:val="00B52945"/>
    <w:rsid w:val="00B52B18"/>
    <w:rsid w:val="00B52BA7"/>
    <w:rsid w:val="00B52BB3"/>
    <w:rsid w:val="00B52C70"/>
    <w:rsid w:val="00B52C7C"/>
    <w:rsid w:val="00B52C84"/>
    <w:rsid w:val="00B52D19"/>
    <w:rsid w:val="00B52E36"/>
    <w:rsid w:val="00B52F40"/>
    <w:rsid w:val="00B52FA9"/>
    <w:rsid w:val="00B52FB0"/>
    <w:rsid w:val="00B53060"/>
    <w:rsid w:val="00B5312A"/>
    <w:rsid w:val="00B5312C"/>
    <w:rsid w:val="00B53133"/>
    <w:rsid w:val="00B531FB"/>
    <w:rsid w:val="00B5326A"/>
    <w:rsid w:val="00B5340E"/>
    <w:rsid w:val="00B5340F"/>
    <w:rsid w:val="00B534E2"/>
    <w:rsid w:val="00B53500"/>
    <w:rsid w:val="00B53706"/>
    <w:rsid w:val="00B5371C"/>
    <w:rsid w:val="00B5371E"/>
    <w:rsid w:val="00B53808"/>
    <w:rsid w:val="00B53852"/>
    <w:rsid w:val="00B538AF"/>
    <w:rsid w:val="00B538BF"/>
    <w:rsid w:val="00B53A98"/>
    <w:rsid w:val="00B53AB2"/>
    <w:rsid w:val="00B53B50"/>
    <w:rsid w:val="00B53B59"/>
    <w:rsid w:val="00B53C02"/>
    <w:rsid w:val="00B53C56"/>
    <w:rsid w:val="00B53E13"/>
    <w:rsid w:val="00B54077"/>
    <w:rsid w:val="00B540A4"/>
    <w:rsid w:val="00B5427C"/>
    <w:rsid w:val="00B542AB"/>
    <w:rsid w:val="00B54375"/>
    <w:rsid w:val="00B543D3"/>
    <w:rsid w:val="00B543E9"/>
    <w:rsid w:val="00B54403"/>
    <w:rsid w:val="00B54405"/>
    <w:rsid w:val="00B54440"/>
    <w:rsid w:val="00B54453"/>
    <w:rsid w:val="00B544E3"/>
    <w:rsid w:val="00B5468D"/>
    <w:rsid w:val="00B546E6"/>
    <w:rsid w:val="00B54799"/>
    <w:rsid w:val="00B548F5"/>
    <w:rsid w:val="00B54A5B"/>
    <w:rsid w:val="00B54AED"/>
    <w:rsid w:val="00B54B87"/>
    <w:rsid w:val="00B54C7F"/>
    <w:rsid w:val="00B54D53"/>
    <w:rsid w:val="00B54E62"/>
    <w:rsid w:val="00B54E91"/>
    <w:rsid w:val="00B54EFA"/>
    <w:rsid w:val="00B54F98"/>
    <w:rsid w:val="00B54FBB"/>
    <w:rsid w:val="00B54FCC"/>
    <w:rsid w:val="00B54FE3"/>
    <w:rsid w:val="00B550D0"/>
    <w:rsid w:val="00B5512A"/>
    <w:rsid w:val="00B5512F"/>
    <w:rsid w:val="00B55180"/>
    <w:rsid w:val="00B55182"/>
    <w:rsid w:val="00B55257"/>
    <w:rsid w:val="00B5534E"/>
    <w:rsid w:val="00B554AA"/>
    <w:rsid w:val="00B55572"/>
    <w:rsid w:val="00B5570F"/>
    <w:rsid w:val="00B55770"/>
    <w:rsid w:val="00B55A99"/>
    <w:rsid w:val="00B55B53"/>
    <w:rsid w:val="00B55C1E"/>
    <w:rsid w:val="00B55C56"/>
    <w:rsid w:val="00B55D58"/>
    <w:rsid w:val="00B55EBB"/>
    <w:rsid w:val="00B55F03"/>
    <w:rsid w:val="00B55F4C"/>
    <w:rsid w:val="00B55F5E"/>
    <w:rsid w:val="00B56050"/>
    <w:rsid w:val="00B56059"/>
    <w:rsid w:val="00B56090"/>
    <w:rsid w:val="00B56095"/>
    <w:rsid w:val="00B5611E"/>
    <w:rsid w:val="00B56145"/>
    <w:rsid w:val="00B56154"/>
    <w:rsid w:val="00B561E3"/>
    <w:rsid w:val="00B5631E"/>
    <w:rsid w:val="00B563EC"/>
    <w:rsid w:val="00B563EF"/>
    <w:rsid w:val="00B56423"/>
    <w:rsid w:val="00B564E9"/>
    <w:rsid w:val="00B5666D"/>
    <w:rsid w:val="00B567CF"/>
    <w:rsid w:val="00B567D4"/>
    <w:rsid w:val="00B568B8"/>
    <w:rsid w:val="00B56911"/>
    <w:rsid w:val="00B5697D"/>
    <w:rsid w:val="00B56BA1"/>
    <w:rsid w:val="00B56BED"/>
    <w:rsid w:val="00B56CE8"/>
    <w:rsid w:val="00B56DA1"/>
    <w:rsid w:val="00B56DAA"/>
    <w:rsid w:val="00B56DE1"/>
    <w:rsid w:val="00B56E39"/>
    <w:rsid w:val="00B57035"/>
    <w:rsid w:val="00B570AB"/>
    <w:rsid w:val="00B570EA"/>
    <w:rsid w:val="00B571AB"/>
    <w:rsid w:val="00B571B8"/>
    <w:rsid w:val="00B5722D"/>
    <w:rsid w:val="00B57289"/>
    <w:rsid w:val="00B572CC"/>
    <w:rsid w:val="00B573BC"/>
    <w:rsid w:val="00B5742E"/>
    <w:rsid w:val="00B574A9"/>
    <w:rsid w:val="00B575CF"/>
    <w:rsid w:val="00B576C0"/>
    <w:rsid w:val="00B57742"/>
    <w:rsid w:val="00B57744"/>
    <w:rsid w:val="00B5778B"/>
    <w:rsid w:val="00B5782B"/>
    <w:rsid w:val="00B5785A"/>
    <w:rsid w:val="00B578A1"/>
    <w:rsid w:val="00B578C2"/>
    <w:rsid w:val="00B57936"/>
    <w:rsid w:val="00B579A4"/>
    <w:rsid w:val="00B57AE2"/>
    <w:rsid w:val="00B57BC4"/>
    <w:rsid w:val="00B57C64"/>
    <w:rsid w:val="00B57C8E"/>
    <w:rsid w:val="00B57D4D"/>
    <w:rsid w:val="00B57E03"/>
    <w:rsid w:val="00B57E4D"/>
    <w:rsid w:val="00B57EA9"/>
    <w:rsid w:val="00B57EAC"/>
    <w:rsid w:val="00B57F1C"/>
    <w:rsid w:val="00B57FD2"/>
    <w:rsid w:val="00B58C62"/>
    <w:rsid w:val="00B5AA5B"/>
    <w:rsid w:val="00B60053"/>
    <w:rsid w:val="00B6009B"/>
    <w:rsid w:val="00B600AF"/>
    <w:rsid w:val="00B60102"/>
    <w:rsid w:val="00B60154"/>
    <w:rsid w:val="00B60173"/>
    <w:rsid w:val="00B60184"/>
    <w:rsid w:val="00B60245"/>
    <w:rsid w:val="00B60272"/>
    <w:rsid w:val="00B603ED"/>
    <w:rsid w:val="00B6045A"/>
    <w:rsid w:val="00B60497"/>
    <w:rsid w:val="00B604C4"/>
    <w:rsid w:val="00B605C9"/>
    <w:rsid w:val="00B6066B"/>
    <w:rsid w:val="00B60709"/>
    <w:rsid w:val="00B60870"/>
    <w:rsid w:val="00B60882"/>
    <w:rsid w:val="00B608A9"/>
    <w:rsid w:val="00B60901"/>
    <w:rsid w:val="00B60915"/>
    <w:rsid w:val="00B6097F"/>
    <w:rsid w:val="00B60CFE"/>
    <w:rsid w:val="00B60DBF"/>
    <w:rsid w:val="00B60EC3"/>
    <w:rsid w:val="00B60F42"/>
    <w:rsid w:val="00B60FE0"/>
    <w:rsid w:val="00B61187"/>
    <w:rsid w:val="00B611CF"/>
    <w:rsid w:val="00B612B7"/>
    <w:rsid w:val="00B6132A"/>
    <w:rsid w:val="00B61365"/>
    <w:rsid w:val="00B61388"/>
    <w:rsid w:val="00B613DA"/>
    <w:rsid w:val="00B61481"/>
    <w:rsid w:val="00B614C8"/>
    <w:rsid w:val="00B614D0"/>
    <w:rsid w:val="00B614D5"/>
    <w:rsid w:val="00B61693"/>
    <w:rsid w:val="00B616CC"/>
    <w:rsid w:val="00B616DF"/>
    <w:rsid w:val="00B6170F"/>
    <w:rsid w:val="00B61894"/>
    <w:rsid w:val="00B618C5"/>
    <w:rsid w:val="00B61A24"/>
    <w:rsid w:val="00B61B15"/>
    <w:rsid w:val="00B61B31"/>
    <w:rsid w:val="00B61B47"/>
    <w:rsid w:val="00B61B48"/>
    <w:rsid w:val="00B61B6D"/>
    <w:rsid w:val="00B61B71"/>
    <w:rsid w:val="00B61C27"/>
    <w:rsid w:val="00B61C36"/>
    <w:rsid w:val="00B61CF5"/>
    <w:rsid w:val="00B61D5F"/>
    <w:rsid w:val="00B61DFC"/>
    <w:rsid w:val="00B61E61"/>
    <w:rsid w:val="00B61FE8"/>
    <w:rsid w:val="00B620A9"/>
    <w:rsid w:val="00B620B9"/>
    <w:rsid w:val="00B620EE"/>
    <w:rsid w:val="00B62150"/>
    <w:rsid w:val="00B62228"/>
    <w:rsid w:val="00B6237B"/>
    <w:rsid w:val="00B6244F"/>
    <w:rsid w:val="00B62510"/>
    <w:rsid w:val="00B62687"/>
    <w:rsid w:val="00B62712"/>
    <w:rsid w:val="00B6271C"/>
    <w:rsid w:val="00B6290A"/>
    <w:rsid w:val="00B62A02"/>
    <w:rsid w:val="00B62A6E"/>
    <w:rsid w:val="00B62A80"/>
    <w:rsid w:val="00B62A85"/>
    <w:rsid w:val="00B62AAA"/>
    <w:rsid w:val="00B62ADA"/>
    <w:rsid w:val="00B62B14"/>
    <w:rsid w:val="00B62B3E"/>
    <w:rsid w:val="00B62B5E"/>
    <w:rsid w:val="00B62BB3"/>
    <w:rsid w:val="00B62BEE"/>
    <w:rsid w:val="00B62C27"/>
    <w:rsid w:val="00B62C3C"/>
    <w:rsid w:val="00B62C63"/>
    <w:rsid w:val="00B62CDE"/>
    <w:rsid w:val="00B62D59"/>
    <w:rsid w:val="00B62E8E"/>
    <w:rsid w:val="00B62F23"/>
    <w:rsid w:val="00B62FDE"/>
    <w:rsid w:val="00B63017"/>
    <w:rsid w:val="00B6309C"/>
    <w:rsid w:val="00B630D0"/>
    <w:rsid w:val="00B631D4"/>
    <w:rsid w:val="00B63286"/>
    <w:rsid w:val="00B632C0"/>
    <w:rsid w:val="00B632C5"/>
    <w:rsid w:val="00B632CF"/>
    <w:rsid w:val="00B632F6"/>
    <w:rsid w:val="00B635FD"/>
    <w:rsid w:val="00B637F1"/>
    <w:rsid w:val="00B63860"/>
    <w:rsid w:val="00B63867"/>
    <w:rsid w:val="00B63888"/>
    <w:rsid w:val="00B63A25"/>
    <w:rsid w:val="00B63A47"/>
    <w:rsid w:val="00B63A48"/>
    <w:rsid w:val="00B63A58"/>
    <w:rsid w:val="00B63D84"/>
    <w:rsid w:val="00B63DA5"/>
    <w:rsid w:val="00B63E05"/>
    <w:rsid w:val="00B63F39"/>
    <w:rsid w:val="00B63F5C"/>
    <w:rsid w:val="00B63F73"/>
    <w:rsid w:val="00B63FFC"/>
    <w:rsid w:val="00B641A1"/>
    <w:rsid w:val="00B6426D"/>
    <w:rsid w:val="00B642A9"/>
    <w:rsid w:val="00B644E8"/>
    <w:rsid w:val="00B64516"/>
    <w:rsid w:val="00B64592"/>
    <w:rsid w:val="00B64612"/>
    <w:rsid w:val="00B64727"/>
    <w:rsid w:val="00B64760"/>
    <w:rsid w:val="00B64822"/>
    <w:rsid w:val="00B648CD"/>
    <w:rsid w:val="00B648E4"/>
    <w:rsid w:val="00B648F1"/>
    <w:rsid w:val="00B64972"/>
    <w:rsid w:val="00B64A79"/>
    <w:rsid w:val="00B64AE8"/>
    <w:rsid w:val="00B64B17"/>
    <w:rsid w:val="00B64B1A"/>
    <w:rsid w:val="00B64B41"/>
    <w:rsid w:val="00B64CC8"/>
    <w:rsid w:val="00B64D2E"/>
    <w:rsid w:val="00B64D3E"/>
    <w:rsid w:val="00B64DCE"/>
    <w:rsid w:val="00B64E40"/>
    <w:rsid w:val="00B64F18"/>
    <w:rsid w:val="00B64F5C"/>
    <w:rsid w:val="00B64F6B"/>
    <w:rsid w:val="00B6503E"/>
    <w:rsid w:val="00B650A2"/>
    <w:rsid w:val="00B650C1"/>
    <w:rsid w:val="00B65134"/>
    <w:rsid w:val="00B6514E"/>
    <w:rsid w:val="00B65260"/>
    <w:rsid w:val="00B65325"/>
    <w:rsid w:val="00B65396"/>
    <w:rsid w:val="00B653AD"/>
    <w:rsid w:val="00B656DB"/>
    <w:rsid w:val="00B65813"/>
    <w:rsid w:val="00B659C3"/>
    <w:rsid w:val="00B659C7"/>
    <w:rsid w:val="00B65A53"/>
    <w:rsid w:val="00B65A7F"/>
    <w:rsid w:val="00B65A83"/>
    <w:rsid w:val="00B65A9C"/>
    <w:rsid w:val="00B65B10"/>
    <w:rsid w:val="00B65BC3"/>
    <w:rsid w:val="00B65C2F"/>
    <w:rsid w:val="00B65C7D"/>
    <w:rsid w:val="00B65D02"/>
    <w:rsid w:val="00B65E81"/>
    <w:rsid w:val="00B65E9D"/>
    <w:rsid w:val="00B66186"/>
    <w:rsid w:val="00B66272"/>
    <w:rsid w:val="00B66299"/>
    <w:rsid w:val="00B662C5"/>
    <w:rsid w:val="00B66300"/>
    <w:rsid w:val="00B6639A"/>
    <w:rsid w:val="00B6652E"/>
    <w:rsid w:val="00B6658C"/>
    <w:rsid w:val="00B665BC"/>
    <w:rsid w:val="00B66739"/>
    <w:rsid w:val="00B66823"/>
    <w:rsid w:val="00B66A1D"/>
    <w:rsid w:val="00B66A24"/>
    <w:rsid w:val="00B66A31"/>
    <w:rsid w:val="00B66AC8"/>
    <w:rsid w:val="00B66AE6"/>
    <w:rsid w:val="00B66BD9"/>
    <w:rsid w:val="00B66DB5"/>
    <w:rsid w:val="00B66E6A"/>
    <w:rsid w:val="00B66EEF"/>
    <w:rsid w:val="00B66F56"/>
    <w:rsid w:val="00B67093"/>
    <w:rsid w:val="00B673BE"/>
    <w:rsid w:val="00B673EF"/>
    <w:rsid w:val="00B67624"/>
    <w:rsid w:val="00B67838"/>
    <w:rsid w:val="00B67848"/>
    <w:rsid w:val="00B6795B"/>
    <w:rsid w:val="00B67989"/>
    <w:rsid w:val="00B679D0"/>
    <w:rsid w:val="00B67A55"/>
    <w:rsid w:val="00B67AF8"/>
    <w:rsid w:val="00B67B44"/>
    <w:rsid w:val="00B67BB2"/>
    <w:rsid w:val="00B67C39"/>
    <w:rsid w:val="00B67CE7"/>
    <w:rsid w:val="00B67D67"/>
    <w:rsid w:val="00B67E80"/>
    <w:rsid w:val="00B67F42"/>
    <w:rsid w:val="00B6901E"/>
    <w:rsid w:val="00B6B1F9"/>
    <w:rsid w:val="00B6F511"/>
    <w:rsid w:val="00B6FC3C"/>
    <w:rsid w:val="00B70082"/>
    <w:rsid w:val="00B700D4"/>
    <w:rsid w:val="00B7015A"/>
    <w:rsid w:val="00B7020E"/>
    <w:rsid w:val="00B70221"/>
    <w:rsid w:val="00B7024E"/>
    <w:rsid w:val="00B70278"/>
    <w:rsid w:val="00B7028E"/>
    <w:rsid w:val="00B703A9"/>
    <w:rsid w:val="00B7042B"/>
    <w:rsid w:val="00B70431"/>
    <w:rsid w:val="00B7050C"/>
    <w:rsid w:val="00B705BC"/>
    <w:rsid w:val="00B705E2"/>
    <w:rsid w:val="00B706EB"/>
    <w:rsid w:val="00B707D2"/>
    <w:rsid w:val="00B7085D"/>
    <w:rsid w:val="00B708AB"/>
    <w:rsid w:val="00B708B1"/>
    <w:rsid w:val="00B7092B"/>
    <w:rsid w:val="00B70948"/>
    <w:rsid w:val="00B709C0"/>
    <w:rsid w:val="00B709D8"/>
    <w:rsid w:val="00B70AB9"/>
    <w:rsid w:val="00B70ABE"/>
    <w:rsid w:val="00B70AE6"/>
    <w:rsid w:val="00B70AE8"/>
    <w:rsid w:val="00B70AEA"/>
    <w:rsid w:val="00B70BD8"/>
    <w:rsid w:val="00B70C2D"/>
    <w:rsid w:val="00B70C78"/>
    <w:rsid w:val="00B70C87"/>
    <w:rsid w:val="00B70C93"/>
    <w:rsid w:val="00B70D0D"/>
    <w:rsid w:val="00B70E5D"/>
    <w:rsid w:val="00B70E75"/>
    <w:rsid w:val="00B70EA1"/>
    <w:rsid w:val="00B70EE0"/>
    <w:rsid w:val="00B70F44"/>
    <w:rsid w:val="00B7105B"/>
    <w:rsid w:val="00B710C7"/>
    <w:rsid w:val="00B711A9"/>
    <w:rsid w:val="00B711AD"/>
    <w:rsid w:val="00B712B3"/>
    <w:rsid w:val="00B71455"/>
    <w:rsid w:val="00B7146E"/>
    <w:rsid w:val="00B71570"/>
    <w:rsid w:val="00B715C4"/>
    <w:rsid w:val="00B716C7"/>
    <w:rsid w:val="00B716D0"/>
    <w:rsid w:val="00B71718"/>
    <w:rsid w:val="00B71778"/>
    <w:rsid w:val="00B71834"/>
    <w:rsid w:val="00B71977"/>
    <w:rsid w:val="00B71983"/>
    <w:rsid w:val="00B719D3"/>
    <w:rsid w:val="00B71A2F"/>
    <w:rsid w:val="00B71A77"/>
    <w:rsid w:val="00B71CD0"/>
    <w:rsid w:val="00B71D6F"/>
    <w:rsid w:val="00B71F33"/>
    <w:rsid w:val="00B72201"/>
    <w:rsid w:val="00B7220C"/>
    <w:rsid w:val="00B72214"/>
    <w:rsid w:val="00B72383"/>
    <w:rsid w:val="00B723BE"/>
    <w:rsid w:val="00B725AA"/>
    <w:rsid w:val="00B7263D"/>
    <w:rsid w:val="00B7277B"/>
    <w:rsid w:val="00B72B97"/>
    <w:rsid w:val="00B72C3B"/>
    <w:rsid w:val="00B72C85"/>
    <w:rsid w:val="00B72D18"/>
    <w:rsid w:val="00B72D27"/>
    <w:rsid w:val="00B72D3F"/>
    <w:rsid w:val="00B72D7E"/>
    <w:rsid w:val="00B72D82"/>
    <w:rsid w:val="00B72D8C"/>
    <w:rsid w:val="00B72E31"/>
    <w:rsid w:val="00B72FAB"/>
    <w:rsid w:val="00B73020"/>
    <w:rsid w:val="00B7306C"/>
    <w:rsid w:val="00B731A9"/>
    <w:rsid w:val="00B731FD"/>
    <w:rsid w:val="00B73213"/>
    <w:rsid w:val="00B732A7"/>
    <w:rsid w:val="00B732D1"/>
    <w:rsid w:val="00B732E5"/>
    <w:rsid w:val="00B734B0"/>
    <w:rsid w:val="00B734B2"/>
    <w:rsid w:val="00B734C2"/>
    <w:rsid w:val="00B73560"/>
    <w:rsid w:val="00B73596"/>
    <w:rsid w:val="00B7360D"/>
    <w:rsid w:val="00B736ED"/>
    <w:rsid w:val="00B736F7"/>
    <w:rsid w:val="00B7373D"/>
    <w:rsid w:val="00B7375B"/>
    <w:rsid w:val="00B7377E"/>
    <w:rsid w:val="00B737A4"/>
    <w:rsid w:val="00B7380F"/>
    <w:rsid w:val="00B73885"/>
    <w:rsid w:val="00B73A00"/>
    <w:rsid w:val="00B73A43"/>
    <w:rsid w:val="00B73B09"/>
    <w:rsid w:val="00B73B59"/>
    <w:rsid w:val="00B73CAD"/>
    <w:rsid w:val="00B73CB7"/>
    <w:rsid w:val="00B73CF5"/>
    <w:rsid w:val="00B73D17"/>
    <w:rsid w:val="00B73E50"/>
    <w:rsid w:val="00B73ECF"/>
    <w:rsid w:val="00B73F84"/>
    <w:rsid w:val="00B73FD0"/>
    <w:rsid w:val="00B74034"/>
    <w:rsid w:val="00B74176"/>
    <w:rsid w:val="00B7421A"/>
    <w:rsid w:val="00B74334"/>
    <w:rsid w:val="00B74363"/>
    <w:rsid w:val="00B7437F"/>
    <w:rsid w:val="00B74540"/>
    <w:rsid w:val="00B74563"/>
    <w:rsid w:val="00B745F3"/>
    <w:rsid w:val="00B74601"/>
    <w:rsid w:val="00B74694"/>
    <w:rsid w:val="00B746A3"/>
    <w:rsid w:val="00B746FB"/>
    <w:rsid w:val="00B7478C"/>
    <w:rsid w:val="00B74853"/>
    <w:rsid w:val="00B748AD"/>
    <w:rsid w:val="00B748DB"/>
    <w:rsid w:val="00B74982"/>
    <w:rsid w:val="00B749F1"/>
    <w:rsid w:val="00B74A45"/>
    <w:rsid w:val="00B74AD6"/>
    <w:rsid w:val="00B74AF5"/>
    <w:rsid w:val="00B74C1C"/>
    <w:rsid w:val="00B74E1E"/>
    <w:rsid w:val="00B74F36"/>
    <w:rsid w:val="00B74F7E"/>
    <w:rsid w:val="00B7502A"/>
    <w:rsid w:val="00B750F5"/>
    <w:rsid w:val="00B75136"/>
    <w:rsid w:val="00B7519A"/>
    <w:rsid w:val="00B751F5"/>
    <w:rsid w:val="00B7523D"/>
    <w:rsid w:val="00B752A9"/>
    <w:rsid w:val="00B753B2"/>
    <w:rsid w:val="00B753C3"/>
    <w:rsid w:val="00B753D6"/>
    <w:rsid w:val="00B75478"/>
    <w:rsid w:val="00B7549A"/>
    <w:rsid w:val="00B754C2"/>
    <w:rsid w:val="00B75540"/>
    <w:rsid w:val="00B75591"/>
    <w:rsid w:val="00B755D2"/>
    <w:rsid w:val="00B75719"/>
    <w:rsid w:val="00B75728"/>
    <w:rsid w:val="00B75810"/>
    <w:rsid w:val="00B758B8"/>
    <w:rsid w:val="00B75B3C"/>
    <w:rsid w:val="00B75B44"/>
    <w:rsid w:val="00B75D2E"/>
    <w:rsid w:val="00B75D69"/>
    <w:rsid w:val="00B75D9F"/>
    <w:rsid w:val="00B75E1E"/>
    <w:rsid w:val="00B75EF6"/>
    <w:rsid w:val="00B75F09"/>
    <w:rsid w:val="00B75F54"/>
    <w:rsid w:val="00B7604B"/>
    <w:rsid w:val="00B761AB"/>
    <w:rsid w:val="00B761B2"/>
    <w:rsid w:val="00B7622A"/>
    <w:rsid w:val="00B763CC"/>
    <w:rsid w:val="00B763E5"/>
    <w:rsid w:val="00B763EF"/>
    <w:rsid w:val="00B76478"/>
    <w:rsid w:val="00B76582"/>
    <w:rsid w:val="00B7658C"/>
    <w:rsid w:val="00B76647"/>
    <w:rsid w:val="00B76665"/>
    <w:rsid w:val="00B76679"/>
    <w:rsid w:val="00B7668B"/>
    <w:rsid w:val="00B766F7"/>
    <w:rsid w:val="00B76702"/>
    <w:rsid w:val="00B7689F"/>
    <w:rsid w:val="00B768EF"/>
    <w:rsid w:val="00B76918"/>
    <w:rsid w:val="00B769AF"/>
    <w:rsid w:val="00B769C6"/>
    <w:rsid w:val="00B76C15"/>
    <w:rsid w:val="00B76D02"/>
    <w:rsid w:val="00B76E07"/>
    <w:rsid w:val="00B76E20"/>
    <w:rsid w:val="00B76E61"/>
    <w:rsid w:val="00B76EBF"/>
    <w:rsid w:val="00B76F6F"/>
    <w:rsid w:val="00B76FC6"/>
    <w:rsid w:val="00B76FFB"/>
    <w:rsid w:val="00B77008"/>
    <w:rsid w:val="00B77031"/>
    <w:rsid w:val="00B77096"/>
    <w:rsid w:val="00B770AD"/>
    <w:rsid w:val="00B770D6"/>
    <w:rsid w:val="00B77115"/>
    <w:rsid w:val="00B77211"/>
    <w:rsid w:val="00B772EF"/>
    <w:rsid w:val="00B773D4"/>
    <w:rsid w:val="00B773F6"/>
    <w:rsid w:val="00B7742F"/>
    <w:rsid w:val="00B7745C"/>
    <w:rsid w:val="00B774BA"/>
    <w:rsid w:val="00B774F4"/>
    <w:rsid w:val="00B775DA"/>
    <w:rsid w:val="00B7768C"/>
    <w:rsid w:val="00B776F4"/>
    <w:rsid w:val="00B777D9"/>
    <w:rsid w:val="00B777ED"/>
    <w:rsid w:val="00B7780E"/>
    <w:rsid w:val="00B7783A"/>
    <w:rsid w:val="00B77919"/>
    <w:rsid w:val="00B779EE"/>
    <w:rsid w:val="00B77A58"/>
    <w:rsid w:val="00B77AD1"/>
    <w:rsid w:val="00B77B0A"/>
    <w:rsid w:val="00B77B48"/>
    <w:rsid w:val="00B77D41"/>
    <w:rsid w:val="00B77E1A"/>
    <w:rsid w:val="00B77EC6"/>
    <w:rsid w:val="00B77F5A"/>
    <w:rsid w:val="00B80015"/>
    <w:rsid w:val="00B800A1"/>
    <w:rsid w:val="00B800E3"/>
    <w:rsid w:val="00B8014B"/>
    <w:rsid w:val="00B801D9"/>
    <w:rsid w:val="00B80270"/>
    <w:rsid w:val="00B802B6"/>
    <w:rsid w:val="00B80331"/>
    <w:rsid w:val="00B80357"/>
    <w:rsid w:val="00B803E8"/>
    <w:rsid w:val="00B80698"/>
    <w:rsid w:val="00B8075F"/>
    <w:rsid w:val="00B80772"/>
    <w:rsid w:val="00B809BB"/>
    <w:rsid w:val="00B809CB"/>
    <w:rsid w:val="00B80A53"/>
    <w:rsid w:val="00B80AB9"/>
    <w:rsid w:val="00B80AE4"/>
    <w:rsid w:val="00B80B2F"/>
    <w:rsid w:val="00B80B4C"/>
    <w:rsid w:val="00B80BD7"/>
    <w:rsid w:val="00B80CE3"/>
    <w:rsid w:val="00B80CED"/>
    <w:rsid w:val="00B80D21"/>
    <w:rsid w:val="00B80D69"/>
    <w:rsid w:val="00B80F32"/>
    <w:rsid w:val="00B80FA8"/>
    <w:rsid w:val="00B80FBE"/>
    <w:rsid w:val="00B80FE8"/>
    <w:rsid w:val="00B810BE"/>
    <w:rsid w:val="00B8118F"/>
    <w:rsid w:val="00B811B9"/>
    <w:rsid w:val="00B8133E"/>
    <w:rsid w:val="00B81619"/>
    <w:rsid w:val="00B816B6"/>
    <w:rsid w:val="00B8178D"/>
    <w:rsid w:val="00B817BC"/>
    <w:rsid w:val="00B817D6"/>
    <w:rsid w:val="00B817ED"/>
    <w:rsid w:val="00B817FA"/>
    <w:rsid w:val="00B818E5"/>
    <w:rsid w:val="00B818E6"/>
    <w:rsid w:val="00B81AAF"/>
    <w:rsid w:val="00B81BCD"/>
    <w:rsid w:val="00B81D11"/>
    <w:rsid w:val="00B81E3D"/>
    <w:rsid w:val="00B81E42"/>
    <w:rsid w:val="00B81EA1"/>
    <w:rsid w:val="00B81EC3"/>
    <w:rsid w:val="00B81F1A"/>
    <w:rsid w:val="00B81F6A"/>
    <w:rsid w:val="00B81FEB"/>
    <w:rsid w:val="00B8216D"/>
    <w:rsid w:val="00B82298"/>
    <w:rsid w:val="00B822D7"/>
    <w:rsid w:val="00B82303"/>
    <w:rsid w:val="00B823BF"/>
    <w:rsid w:val="00B823DC"/>
    <w:rsid w:val="00B82442"/>
    <w:rsid w:val="00B824E4"/>
    <w:rsid w:val="00B82571"/>
    <w:rsid w:val="00B825DE"/>
    <w:rsid w:val="00B82601"/>
    <w:rsid w:val="00B82624"/>
    <w:rsid w:val="00B8268C"/>
    <w:rsid w:val="00B826D0"/>
    <w:rsid w:val="00B82731"/>
    <w:rsid w:val="00B82747"/>
    <w:rsid w:val="00B827C2"/>
    <w:rsid w:val="00B827FC"/>
    <w:rsid w:val="00B82807"/>
    <w:rsid w:val="00B82828"/>
    <w:rsid w:val="00B82960"/>
    <w:rsid w:val="00B82997"/>
    <w:rsid w:val="00B829C2"/>
    <w:rsid w:val="00B82A1C"/>
    <w:rsid w:val="00B82D76"/>
    <w:rsid w:val="00B82F5A"/>
    <w:rsid w:val="00B82F73"/>
    <w:rsid w:val="00B82FD0"/>
    <w:rsid w:val="00B82FF4"/>
    <w:rsid w:val="00B83126"/>
    <w:rsid w:val="00B83167"/>
    <w:rsid w:val="00B83177"/>
    <w:rsid w:val="00B83178"/>
    <w:rsid w:val="00B8321E"/>
    <w:rsid w:val="00B83307"/>
    <w:rsid w:val="00B83671"/>
    <w:rsid w:val="00B8370A"/>
    <w:rsid w:val="00B83717"/>
    <w:rsid w:val="00B83797"/>
    <w:rsid w:val="00B837CA"/>
    <w:rsid w:val="00B83809"/>
    <w:rsid w:val="00B83877"/>
    <w:rsid w:val="00B83983"/>
    <w:rsid w:val="00B839C1"/>
    <w:rsid w:val="00B83AED"/>
    <w:rsid w:val="00B83B47"/>
    <w:rsid w:val="00B83BC8"/>
    <w:rsid w:val="00B83BD3"/>
    <w:rsid w:val="00B83CC8"/>
    <w:rsid w:val="00B83E2B"/>
    <w:rsid w:val="00B83E6D"/>
    <w:rsid w:val="00B84199"/>
    <w:rsid w:val="00B84430"/>
    <w:rsid w:val="00B8445E"/>
    <w:rsid w:val="00B845F9"/>
    <w:rsid w:val="00B8463C"/>
    <w:rsid w:val="00B84722"/>
    <w:rsid w:val="00B847EA"/>
    <w:rsid w:val="00B84893"/>
    <w:rsid w:val="00B84929"/>
    <w:rsid w:val="00B8495D"/>
    <w:rsid w:val="00B84B7B"/>
    <w:rsid w:val="00B84B8A"/>
    <w:rsid w:val="00B84BB9"/>
    <w:rsid w:val="00B84BF2"/>
    <w:rsid w:val="00B84C13"/>
    <w:rsid w:val="00B84C60"/>
    <w:rsid w:val="00B84CF4"/>
    <w:rsid w:val="00B84DD1"/>
    <w:rsid w:val="00B84EBF"/>
    <w:rsid w:val="00B84F07"/>
    <w:rsid w:val="00B85014"/>
    <w:rsid w:val="00B850F2"/>
    <w:rsid w:val="00B851E2"/>
    <w:rsid w:val="00B851E5"/>
    <w:rsid w:val="00B85206"/>
    <w:rsid w:val="00B85263"/>
    <w:rsid w:val="00B853D7"/>
    <w:rsid w:val="00B8541B"/>
    <w:rsid w:val="00B8541E"/>
    <w:rsid w:val="00B85483"/>
    <w:rsid w:val="00B85488"/>
    <w:rsid w:val="00B8562F"/>
    <w:rsid w:val="00B856BF"/>
    <w:rsid w:val="00B856FA"/>
    <w:rsid w:val="00B857F5"/>
    <w:rsid w:val="00B85873"/>
    <w:rsid w:val="00B85922"/>
    <w:rsid w:val="00B859C2"/>
    <w:rsid w:val="00B859D2"/>
    <w:rsid w:val="00B85BB8"/>
    <w:rsid w:val="00B85BBE"/>
    <w:rsid w:val="00B85CAB"/>
    <w:rsid w:val="00B85DE6"/>
    <w:rsid w:val="00B85F4D"/>
    <w:rsid w:val="00B85F8D"/>
    <w:rsid w:val="00B86000"/>
    <w:rsid w:val="00B860BE"/>
    <w:rsid w:val="00B860D6"/>
    <w:rsid w:val="00B8613C"/>
    <w:rsid w:val="00B8616D"/>
    <w:rsid w:val="00B86248"/>
    <w:rsid w:val="00B86350"/>
    <w:rsid w:val="00B863B3"/>
    <w:rsid w:val="00B86474"/>
    <w:rsid w:val="00B866E3"/>
    <w:rsid w:val="00B86903"/>
    <w:rsid w:val="00B86963"/>
    <w:rsid w:val="00B869AF"/>
    <w:rsid w:val="00B86A81"/>
    <w:rsid w:val="00B86A87"/>
    <w:rsid w:val="00B86AB0"/>
    <w:rsid w:val="00B86C01"/>
    <w:rsid w:val="00B86C04"/>
    <w:rsid w:val="00B86C4A"/>
    <w:rsid w:val="00B86CC9"/>
    <w:rsid w:val="00B86D33"/>
    <w:rsid w:val="00B86E08"/>
    <w:rsid w:val="00B86FDA"/>
    <w:rsid w:val="00B87009"/>
    <w:rsid w:val="00B8701D"/>
    <w:rsid w:val="00B8706A"/>
    <w:rsid w:val="00B87106"/>
    <w:rsid w:val="00B87334"/>
    <w:rsid w:val="00B8733D"/>
    <w:rsid w:val="00B87404"/>
    <w:rsid w:val="00B87479"/>
    <w:rsid w:val="00B87480"/>
    <w:rsid w:val="00B874C0"/>
    <w:rsid w:val="00B874CC"/>
    <w:rsid w:val="00B8750F"/>
    <w:rsid w:val="00B87631"/>
    <w:rsid w:val="00B876A4"/>
    <w:rsid w:val="00B87705"/>
    <w:rsid w:val="00B8770A"/>
    <w:rsid w:val="00B877B4"/>
    <w:rsid w:val="00B8786F"/>
    <w:rsid w:val="00B87909"/>
    <w:rsid w:val="00B8791E"/>
    <w:rsid w:val="00B87949"/>
    <w:rsid w:val="00B8797E"/>
    <w:rsid w:val="00B879B7"/>
    <w:rsid w:val="00B879FB"/>
    <w:rsid w:val="00B87A51"/>
    <w:rsid w:val="00B87A60"/>
    <w:rsid w:val="00B87B28"/>
    <w:rsid w:val="00B87BA0"/>
    <w:rsid w:val="00B87BC1"/>
    <w:rsid w:val="00B87C45"/>
    <w:rsid w:val="00B87C50"/>
    <w:rsid w:val="00B87D41"/>
    <w:rsid w:val="00B87D94"/>
    <w:rsid w:val="00B87DA4"/>
    <w:rsid w:val="00B87E92"/>
    <w:rsid w:val="00B87F4C"/>
    <w:rsid w:val="00B87F85"/>
    <w:rsid w:val="00B889C4"/>
    <w:rsid w:val="00B8AB5D"/>
    <w:rsid w:val="00B8FF33"/>
    <w:rsid w:val="00B90023"/>
    <w:rsid w:val="00B901A8"/>
    <w:rsid w:val="00B90216"/>
    <w:rsid w:val="00B9021D"/>
    <w:rsid w:val="00B902C3"/>
    <w:rsid w:val="00B90389"/>
    <w:rsid w:val="00B903FC"/>
    <w:rsid w:val="00B904F5"/>
    <w:rsid w:val="00B90692"/>
    <w:rsid w:val="00B90771"/>
    <w:rsid w:val="00B90776"/>
    <w:rsid w:val="00B9097A"/>
    <w:rsid w:val="00B90A4F"/>
    <w:rsid w:val="00B90BA1"/>
    <w:rsid w:val="00B90C79"/>
    <w:rsid w:val="00B90DE1"/>
    <w:rsid w:val="00B90F6A"/>
    <w:rsid w:val="00B90FFD"/>
    <w:rsid w:val="00B9104E"/>
    <w:rsid w:val="00B91052"/>
    <w:rsid w:val="00B91075"/>
    <w:rsid w:val="00B9109F"/>
    <w:rsid w:val="00B910E9"/>
    <w:rsid w:val="00B911ED"/>
    <w:rsid w:val="00B91286"/>
    <w:rsid w:val="00B912D8"/>
    <w:rsid w:val="00B91308"/>
    <w:rsid w:val="00B91364"/>
    <w:rsid w:val="00B914AA"/>
    <w:rsid w:val="00B914AF"/>
    <w:rsid w:val="00B91549"/>
    <w:rsid w:val="00B9154E"/>
    <w:rsid w:val="00B915DF"/>
    <w:rsid w:val="00B9165F"/>
    <w:rsid w:val="00B9171F"/>
    <w:rsid w:val="00B91771"/>
    <w:rsid w:val="00B918C6"/>
    <w:rsid w:val="00B91976"/>
    <w:rsid w:val="00B91993"/>
    <w:rsid w:val="00B91A57"/>
    <w:rsid w:val="00B91B06"/>
    <w:rsid w:val="00B91B07"/>
    <w:rsid w:val="00B91BE3"/>
    <w:rsid w:val="00B91C4A"/>
    <w:rsid w:val="00B91CD7"/>
    <w:rsid w:val="00B91D8E"/>
    <w:rsid w:val="00B91DA8"/>
    <w:rsid w:val="00B9216B"/>
    <w:rsid w:val="00B92177"/>
    <w:rsid w:val="00B9222C"/>
    <w:rsid w:val="00B92319"/>
    <w:rsid w:val="00B92337"/>
    <w:rsid w:val="00B92361"/>
    <w:rsid w:val="00B9245C"/>
    <w:rsid w:val="00B926A5"/>
    <w:rsid w:val="00B926C1"/>
    <w:rsid w:val="00B927B1"/>
    <w:rsid w:val="00B927C4"/>
    <w:rsid w:val="00B927D1"/>
    <w:rsid w:val="00B92843"/>
    <w:rsid w:val="00B929F6"/>
    <w:rsid w:val="00B92AAF"/>
    <w:rsid w:val="00B92B22"/>
    <w:rsid w:val="00B92B6A"/>
    <w:rsid w:val="00B92BE5"/>
    <w:rsid w:val="00B92C00"/>
    <w:rsid w:val="00B92C8F"/>
    <w:rsid w:val="00B92CD6"/>
    <w:rsid w:val="00B92CE5"/>
    <w:rsid w:val="00B92D58"/>
    <w:rsid w:val="00B92E2A"/>
    <w:rsid w:val="00B92E3C"/>
    <w:rsid w:val="00B92E3E"/>
    <w:rsid w:val="00B92E41"/>
    <w:rsid w:val="00B92E75"/>
    <w:rsid w:val="00B92E87"/>
    <w:rsid w:val="00B92EBA"/>
    <w:rsid w:val="00B92F5B"/>
    <w:rsid w:val="00B92FCA"/>
    <w:rsid w:val="00B92FF6"/>
    <w:rsid w:val="00B930E5"/>
    <w:rsid w:val="00B93132"/>
    <w:rsid w:val="00B93177"/>
    <w:rsid w:val="00B933A3"/>
    <w:rsid w:val="00B9350A"/>
    <w:rsid w:val="00B935F0"/>
    <w:rsid w:val="00B93640"/>
    <w:rsid w:val="00B938F2"/>
    <w:rsid w:val="00B9390A"/>
    <w:rsid w:val="00B93995"/>
    <w:rsid w:val="00B93A59"/>
    <w:rsid w:val="00B93AA8"/>
    <w:rsid w:val="00B93B02"/>
    <w:rsid w:val="00B93B71"/>
    <w:rsid w:val="00B93B8F"/>
    <w:rsid w:val="00B93C77"/>
    <w:rsid w:val="00B93CD7"/>
    <w:rsid w:val="00B93D64"/>
    <w:rsid w:val="00B93D87"/>
    <w:rsid w:val="00B94052"/>
    <w:rsid w:val="00B9409B"/>
    <w:rsid w:val="00B940A6"/>
    <w:rsid w:val="00B940E8"/>
    <w:rsid w:val="00B94125"/>
    <w:rsid w:val="00B94190"/>
    <w:rsid w:val="00B941A1"/>
    <w:rsid w:val="00B94390"/>
    <w:rsid w:val="00B94392"/>
    <w:rsid w:val="00B94441"/>
    <w:rsid w:val="00B944BB"/>
    <w:rsid w:val="00B944C9"/>
    <w:rsid w:val="00B944E2"/>
    <w:rsid w:val="00B94599"/>
    <w:rsid w:val="00B945AE"/>
    <w:rsid w:val="00B945E8"/>
    <w:rsid w:val="00B94603"/>
    <w:rsid w:val="00B9466E"/>
    <w:rsid w:val="00B94823"/>
    <w:rsid w:val="00B94904"/>
    <w:rsid w:val="00B94939"/>
    <w:rsid w:val="00B949A0"/>
    <w:rsid w:val="00B949FB"/>
    <w:rsid w:val="00B94AC0"/>
    <w:rsid w:val="00B94AD0"/>
    <w:rsid w:val="00B94B46"/>
    <w:rsid w:val="00B94BD4"/>
    <w:rsid w:val="00B94BDD"/>
    <w:rsid w:val="00B94C72"/>
    <w:rsid w:val="00B94CEC"/>
    <w:rsid w:val="00B94DE6"/>
    <w:rsid w:val="00B94DF7"/>
    <w:rsid w:val="00B94E51"/>
    <w:rsid w:val="00B94EA6"/>
    <w:rsid w:val="00B94EDF"/>
    <w:rsid w:val="00B94F28"/>
    <w:rsid w:val="00B95023"/>
    <w:rsid w:val="00B95042"/>
    <w:rsid w:val="00B9513D"/>
    <w:rsid w:val="00B951A0"/>
    <w:rsid w:val="00B951E1"/>
    <w:rsid w:val="00B951FF"/>
    <w:rsid w:val="00B952C8"/>
    <w:rsid w:val="00B952E7"/>
    <w:rsid w:val="00B95330"/>
    <w:rsid w:val="00B9536A"/>
    <w:rsid w:val="00B9547F"/>
    <w:rsid w:val="00B95496"/>
    <w:rsid w:val="00B95498"/>
    <w:rsid w:val="00B95639"/>
    <w:rsid w:val="00B956C0"/>
    <w:rsid w:val="00B95829"/>
    <w:rsid w:val="00B95831"/>
    <w:rsid w:val="00B95877"/>
    <w:rsid w:val="00B95886"/>
    <w:rsid w:val="00B959EF"/>
    <w:rsid w:val="00B95A63"/>
    <w:rsid w:val="00B95B52"/>
    <w:rsid w:val="00B95B98"/>
    <w:rsid w:val="00B95BB8"/>
    <w:rsid w:val="00B95C8D"/>
    <w:rsid w:val="00B95CD4"/>
    <w:rsid w:val="00B95E43"/>
    <w:rsid w:val="00B95E7A"/>
    <w:rsid w:val="00B95F73"/>
    <w:rsid w:val="00B96162"/>
    <w:rsid w:val="00B96241"/>
    <w:rsid w:val="00B9627B"/>
    <w:rsid w:val="00B962A5"/>
    <w:rsid w:val="00B962B1"/>
    <w:rsid w:val="00B96498"/>
    <w:rsid w:val="00B96641"/>
    <w:rsid w:val="00B9670A"/>
    <w:rsid w:val="00B9673F"/>
    <w:rsid w:val="00B96831"/>
    <w:rsid w:val="00B96876"/>
    <w:rsid w:val="00B968ED"/>
    <w:rsid w:val="00B96973"/>
    <w:rsid w:val="00B9699D"/>
    <w:rsid w:val="00B96A20"/>
    <w:rsid w:val="00B96B39"/>
    <w:rsid w:val="00B96B84"/>
    <w:rsid w:val="00B96C6B"/>
    <w:rsid w:val="00B96CD0"/>
    <w:rsid w:val="00B96CF8"/>
    <w:rsid w:val="00B96DF7"/>
    <w:rsid w:val="00B97109"/>
    <w:rsid w:val="00B972B8"/>
    <w:rsid w:val="00B97381"/>
    <w:rsid w:val="00B97399"/>
    <w:rsid w:val="00B9740C"/>
    <w:rsid w:val="00B97430"/>
    <w:rsid w:val="00B9755E"/>
    <w:rsid w:val="00B97611"/>
    <w:rsid w:val="00B97762"/>
    <w:rsid w:val="00B97839"/>
    <w:rsid w:val="00B9784F"/>
    <w:rsid w:val="00B97891"/>
    <w:rsid w:val="00B979A1"/>
    <w:rsid w:val="00B979B1"/>
    <w:rsid w:val="00B979E6"/>
    <w:rsid w:val="00B97A29"/>
    <w:rsid w:val="00B97C68"/>
    <w:rsid w:val="00B97C87"/>
    <w:rsid w:val="00B97CE1"/>
    <w:rsid w:val="00B97F1D"/>
    <w:rsid w:val="00B97F5B"/>
    <w:rsid w:val="00B97F9D"/>
    <w:rsid w:val="00B9E1A0"/>
    <w:rsid w:val="00BA0082"/>
    <w:rsid w:val="00BA00E9"/>
    <w:rsid w:val="00BA0131"/>
    <w:rsid w:val="00BA0314"/>
    <w:rsid w:val="00BA0355"/>
    <w:rsid w:val="00BA0427"/>
    <w:rsid w:val="00BA0553"/>
    <w:rsid w:val="00BA05B9"/>
    <w:rsid w:val="00BA05F2"/>
    <w:rsid w:val="00BA068B"/>
    <w:rsid w:val="00BA0792"/>
    <w:rsid w:val="00BA0AC0"/>
    <w:rsid w:val="00BA0AFD"/>
    <w:rsid w:val="00BA100D"/>
    <w:rsid w:val="00BA10E9"/>
    <w:rsid w:val="00BA10F5"/>
    <w:rsid w:val="00BA1319"/>
    <w:rsid w:val="00BA13C2"/>
    <w:rsid w:val="00BA154D"/>
    <w:rsid w:val="00BA1569"/>
    <w:rsid w:val="00BA16C2"/>
    <w:rsid w:val="00BA1789"/>
    <w:rsid w:val="00BA17A0"/>
    <w:rsid w:val="00BA18B2"/>
    <w:rsid w:val="00BA196D"/>
    <w:rsid w:val="00BA19AC"/>
    <w:rsid w:val="00BA19DD"/>
    <w:rsid w:val="00BA1A60"/>
    <w:rsid w:val="00BA1A95"/>
    <w:rsid w:val="00BA1C7B"/>
    <w:rsid w:val="00BA1D30"/>
    <w:rsid w:val="00BA1E17"/>
    <w:rsid w:val="00BA200E"/>
    <w:rsid w:val="00BA209E"/>
    <w:rsid w:val="00BA220A"/>
    <w:rsid w:val="00BA2232"/>
    <w:rsid w:val="00BA2338"/>
    <w:rsid w:val="00BA2437"/>
    <w:rsid w:val="00BA25F6"/>
    <w:rsid w:val="00BA269A"/>
    <w:rsid w:val="00BA2709"/>
    <w:rsid w:val="00BA27AF"/>
    <w:rsid w:val="00BA283B"/>
    <w:rsid w:val="00BA28C6"/>
    <w:rsid w:val="00BA28DB"/>
    <w:rsid w:val="00BA28EA"/>
    <w:rsid w:val="00BA2A5D"/>
    <w:rsid w:val="00BA2A7A"/>
    <w:rsid w:val="00BA2AAB"/>
    <w:rsid w:val="00BA2B40"/>
    <w:rsid w:val="00BA2C74"/>
    <w:rsid w:val="00BA2CE7"/>
    <w:rsid w:val="00BA2D33"/>
    <w:rsid w:val="00BA2DE2"/>
    <w:rsid w:val="00BA2DE8"/>
    <w:rsid w:val="00BA2E2C"/>
    <w:rsid w:val="00BA2E79"/>
    <w:rsid w:val="00BA2EB0"/>
    <w:rsid w:val="00BA2EED"/>
    <w:rsid w:val="00BA2F3D"/>
    <w:rsid w:val="00BA2F97"/>
    <w:rsid w:val="00BA2F9B"/>
    <w:rsid w:val="00BA2FEB"/>
    <w:rsid w:val="00BA3099"/>
    <w:rsid w:val="00BA30B8"/>
    <w:rsid w:val="00BA31FB"/>
    <w:rsid w:val="00BA3289"/>
    <w:rsid w:val="00BA3494"/>
    <w:rsid w:val="00BA34A0"/>
    <w:rsid w:val="00BA34C6"/>
    <w:rsid w:val="00BA34DA"/>
    <w:rsid w:val="00BA34DB"/>
    <w:rsid w:val="00BA3504"/>
    <w:rsid w:val="00BA3519"/>
    <w:rsid w:val="00BA3534"/>
    <w:rsid w:val="00BA363D"/>
    <w:rsid w:val="00BA37A5"/>
    <w:rsid w:val="00BA37BE"/>
    <w:rsid w:val="00BA37FD"/>
    <w:rsid w:val="00BA3826"/>
    <w:rsid w:val="00BA383F"/>
    <w:rsid w:val="00BA396D"/>
    <w:rsid w:val="00BA39C5"/>
    <w:rsid w:val="00BA3B2B"/>
    <w:rsid w:val="00BA3B76"/>
    <w:rsid w:val="00BA3C62"/>
    <w:rsid w:val="00BA3C91"/>
    <w:rsid w:val="00BA3D1F"/>
    <w:rsid w:val="00BA3EDF"/>
    <w:rsid w:val="00BA3FDA"/>
    <w:rsid w:val="00BA4014"/>
    <w:rsid w:val="00BA413C"/>
    <w:rsid w:val="00BA41EA"/>
    <w:rsid w:val="00BA4286"/>
    <w:rsid w:val="00BA4298"/>
    <w:rsid w:val="00BA4372"/>
    <w:rsid w:val="00BA447B"/>
    <w:rsid w:val="00BA44AC"/>
    <w:rsid w:val="00BA44B0"/>
    <w:rsid w:val="00BA4556"/>
    <w:rsid w:val="00BA4670"/>
    <w:rsid w:val="00BA469A"/>
    <w:rsid w:val="00BA46F3"/>
    <w:rsid w:val="00BA4775"/>
    <w:rsid w:val="00BA479C"/>
    <w:rsid w:val="00BA48AB"/>
    <w:rsid w:val="00BA491A"/>
    <w:rsid w:val="00BA49B2"/>
    <w:rsid w:val="00BA4A19"/>
    <w:rsid w:val="00BA4A33"/>
    <w:rsid w:val="00BA4B00"/>
    <w:rsid w:val="00BA4C77"/>
    <w:rsid w:val="00BA4D1D"/>
    <w:rsid w:val="00BA4F53"/>
    <w:rsid w:val="00BA5082"/>
    <w:rsid w:val="00BA5175"/>
    <w:rsid w:val="00BA518D"/>
    <w:rsid w:val="00BA5224"/>
    <w:rsid w:val="00BA5251"/>
    <w:rsid w:val="00BA52A0"/>
    <w:rsid w:val="00BA52DB"/>
    <w:rsid w:val="00BA539E"/>
    <w:rsid w:val="00BA54B2"/>
    <w:rsid w:val="00BA55C8"/>
    <w:rsid w:val="00BA55E0"/>
    <w:rsid w:val="00BA55FE"/>
    <w:rsid w:val="00BA568B"/>
    <w:rsid w:val="00BA5784"/>
    <w:rsid w:val="00BA57E4"/>
    <w:rsid w:val="00BA582F"/>
    <w:rsid w:val="00BA586B"/>
    <w:rsid w:val="00BA59C5"/>
    <w:rsid w:val="00BA59CF"/>
    <w:rsid w:val="00BA59D0"/>
    <w:rsid w:val="00BA5BD5"/>
    <w:rsid w:val="00BA5C55"/>
    <w:rsid w:val="00BA5CAB"/>
    <w:rsid w:val="00BA5CFA"/>
    <w:rsid w:val="00BA5E0F"/>
    <w:rsid w:val="00BA5ED7"/>
    <w:rsid w:val="00BA60E9"/>
    <w:rsid w:val="00BA60F4"/>
    <w:rsid w:val="00BA616A"/>
    <w:rsid w:val="00BA6260"/>
    <w:rsid w:val="00BA6362"/>
    <w:rsid w:val="00BA63B4"/>
    <w:rsid w:val="00BA6542"/>
    <w:rsid w:val="00BA6659"/>
    <w:rsid w:val="00BA68FB"/>
    <w:rsid w:val="00BA69B5"/>
    <w:rsid w:val="00BA6C2C"/>
    <w:rsid w:val="00BA6CCC"/>
    <w:rsid w:val="00BA6CE3"/>
    <w:rsid w:val="00BA6E19"/>
    <w:rsid w:val="00BA6EBB"/>
    <w:rsid w:val="00BA6FB7"/>
    <w:rsid w:val="00BA6FFA"/>
    <w:rsid w:val="00BA713C"/>
    <w:rsid w:val="00BA7144"/>
    <w:rsid w:val="00BA7165"/>
    <w:rsid w:val="00BA7167"/>
    <w:rsid w:val="00BA7205"/>
    <w:rsid w:val="00BA7211"/>
    <w:rsid w:val="00BA7428"/>
    <w:rsid w:val="00BA75AB"/>
    <w:rsid w:val="00BA75D1"/>
    <w:rsid w:val="00BA75EC"/>
    <w:rsid w:val="00BA75F0"/>
    <w:rsid w:val="00BA7671"/>
    <w:rsid w:val="00BA7708"/>
    <w:rsid w:val="00BA7715"/>
    <w:rsid w:val="00BA77D4"/>
    <w:rsid w:val="00BA7863"/>
    <w:rsid w:val="00BA7986"/>
    <w:rsid w:val="00BA7994"/>
    <w:rsid w:val="00BA79D7"/>
    <w:rsid w:val="00BA79D8"/>
    <w:rsid w:val="00BA7B12"/>
    <w:rsid w:val="00BA7C13"/>
    <w:rsid w:val="00BA7E0B"/>
    <w:rsid w:val="00BA7E8D"/>
    <w:rsid w:val="00BA7F20"/>
    <w:rsid w:val="00BA7F26"/>
    <w:rsid w:val="00BA7F76"/>
    <w:rsid w:val="00BA7FF6"/>
    <w:rsid w:val="00BA8902"/>
    <w:rsid w:val="00BB003D"/>
    <w:rsid w:val="00BB0075"/>
    <w:rsid w:val="00BB0147"/>
    <w:rsid w:val="00BB01E4"/>
    <w:rsid w:val="00BB0246"/>
    <w:rsid w:val="00BB02BC"/>
    <w:rsid w:val="00BB038C"/>
    <w:rsid w:val="00BB03D2"/>
    <w:rsid w:val="00BB05FD"/>
    <w:rsid w:val="00BB077D"/>
    <w:rsid w:val="00BB0810"/>
    <w:rsid w:val="00BB09AD"/>
    <w:rsid w:val="00BB0A86"/>
    <w:rsid w:val="00BB0AC0"/>
    <w:rsid w:val="00BB0B88"/>
    <w:rsid w:val="00BB0C75"/>
    <w:rsid w:val="00BB0D14"/>
    <w:rsid w:val="00BB0D5A"/>
    <w:rsid w:val="00BB0E2F"/>
    <w:rsid w:val="00BB0E71"/>
    <w:rsid w:val="00BB0EBA"/>
    <w:rsid w:val="00BB0F54"/>
    <w:rsid w:val="00BB101E"/>
    <w:rsid w:val="00BB1196"/>
    <w:rsid w:val="00BB128F"/>
    <w:rsid w:val="00BB131A"/>
    <w:rsid w:val="00BB13F4"/>
    <w:rsid w:val="00BB1482"/>
    <w:rsid w:val="00BB14EB"/>
    <w:rsid w:val="00BB160F"/>
    <w:rsid w:val="00BB1643"/>
    <w:rsid w:val="00BB171F"/>
    <w:rsid w:val="00BB17C6"/>
    <w:rsid w:val="00BB17DB"/>
    <w:rsid w:val="00BB182D"/>
    <w:rsid w:val="00BB186F"/>
    <w:rsid w:val="00BB1872"/>
    <w:rsid w:val="00BB190B"/>
    <w:rsid w:val="00BB1A28"/>
    <w:rsid w:val="00BB1AAA"/>
    <w:rsid w:val="00BB1C4E"/>
    <w:rsid w:val="00BB1C9A"/>
    <w:rsid w:val="00BB1CB2"/>
    <w:rsid w:val="00BB1DB4"/>
    <w:rsid w:val="00BB1DED"/>
    <w:rsid w:val="00BB1EAD"/>
    <w:rsid w:val="00BB1EC5"/>
    <w:rsid w:val="00BB1F72"/>
    <w:rsid w:val="00BB1F7C"/>
    <w:rsid w:val="00BB1FF0"/>
    <w:rsid w:val="00BB2076"/>
    <w:rsid w:val="00BB20C8"/>
    <w:rsid w:val="00BB20DB"/>
    <w:rsid w:val="00BB217F"/>
    <w:rsid w:val="00BB22EC"/>
    <w:rsid w:val="00BB23EC"/>
    <w:rsid w:val="00BB2460"/>
    <w:rsid w:val="00BB24E5"/>
    <w:rsid w:val="00BB253C"/>
    <w:rsid w:val="00BB254A"/>
    <w:rsid w:val="00BB2591"/>
    <w:rsid w:val="00BB25A4"/>
    <w:rsid w:val="00BB262E"/>
    <w:rsid w:val="00BB2746"/>
    <w:rsid w:val="00BB279B"/>
    <w:rsid w:val="00BB28A7"/>
    <w:rsid w:val="00BB2971"/>
    <w:rsid w:val="00BB2A19"/>
    <w:rsid w:val="00BB2BD0"/>
    <w:rsid w:val="00BB2DE3"/>
    <w:rsid w:val="00BB2F07"/>
    <w:rsid w:val="00BB2FD0"/>
    <w:rsid w:val="00BB2FE8"/>
    <w:rsid w:val="00BB302E"/>
    <w:rsid w:val="00BB30F3"/>
    <w:rsid w:val="00BB3151"/>
    <w:rsid w:val="00BB318C"/>
    <w:rsid w:val="00BB3243"/>
    <w:rsid w:val="00BB3287"/>
    <w:rsid w:val="00BB34B3"/>
    <w:rsid w:val="00BB354D"/>
    <w:rsid w:val="00BB35D4"/>
    <w:rsid w:val="00BB38CE"/>
    <w:rsid w:val="00BB3930"/>
    <w:rsid w:val="00BB3997"/>
    <w:rsid w:val="00BB39D8"/>
    <w:rsid w:val="00BB3B72"/>
    <w:rsid w:val="00BB3B85"/>
    <w:rsid w:val="00BB3BE3"/>
    <w:rsid w:val="00BB3C0F"/>
    <w:rsid w:val="00BB3D97"/>
    <w:rsid w:val="00BB3E09"/>
    <w:rsid w:val="00BB3E65"/>
    <w:rsid w:val="00BB3EC2"/>
    <w:rsid w:val="00BB3EDB"/>
    <w:rsid w:val="00BB3F9C"/>
    <w:rsid w:val="00BB3FF5"/>
    <w:rsid w:val="00BB4050"/>
    <w:rsid w:val="00BB40BE"/>
    <w:rsid w:val="00BB4169"/>
    <w:rsid w:val="00BB430E"/>
    <w:rsid w:val="00BB4313"/>
    <w:rsid w:val="00BB4318"/>
    <w:rsid w:val="00BB4373"/>
    <w:rsid w:val="00BB439B"/>
    <w:rsid w:val="00BB43A8"/>
    <w:rsid w:val="00BB44F3"/>
    <w:rsid w:val="00BB4520"/>
    <w:rsid w:val="00BB4664"/>
    <w:rsid w:val="00BB46C1"/>
    <w:rsid w:val="00BB4758"/>
    <w:rsid w:val="00BB4836"/>
    <w:rsid w:val="00BB48C5"/>
    <w:rsid w:val="00BB4B4E"/>
    <w:rsid w:val="00BB4B8E"/>
    <w:rsid w:val="00BB4C2E"/>
    <w:rsid w:val="00BB4C36"/>
    <w:rsid w:val="00BB4C91"/>
    <w:rsid w:val="00BB4D0D"/>
    <w:rsid w:val="00BB4DD2"/>
    <w:rsid w:val="00BB4EA8"/>
    <w:rsid w:val="00BB4ECA"/>
    <w:rsid w:val="00BB4F1F"/>
    <w:rsid w:val="00BB4F37"/>
    <w:rsid w:val="00BB5066"/>
    <w:rsid w:val="00BB506C"/>
    <w:rsid w:val="00BB50B1"/>
    <w:rsid w:val="00BB50E1"/>
    <w:rsid w:val="00BB5103"/>
    <w:rsid w:val="00BB5398"/>
    <w:rsid w:val="00BB53BB"/>
    <w:rsid w:val="00BB53DD"/>
    <w:rsid w:val="00BB5428"/>
    <w:rsid w:val="00BB54D1"/>
    <w:rsid w:val="00BB5584"/>
    <w:rsid w:val="00BB5586"/>
    <w:rsid w:val="00BB55FB"/>
    <w:rsid w:val="00BB57E1"/>
    <w:rsid w:val="00BB5839"/>
    <w:rsid w:val="00BB586E"/>
    <w:rsid w:val="00BB5944"/>
    <w:rsid w:val="00BB59A0"/>
    <w:rsid w:val="00BB5A3C"/>
    <w:rsid w:val="00BB5A7D"/>
    <w:rsid w:val="00BB5AC0"/>
    <w:rsid w:val="00BB5B7D"/>
    <w:rsid w:val="00BB5B80"/>
    <w:rsid w:val="00BB5BDA"/>
    <w:rsid w:val="00BB5C8B"/>
    <w:rsid w:val="00BB5CB5"/>
    <w:rsid w:val="00BB5E88"/>
    <w:rsid w:val="00BB5EB8"/>
    <w:rsid w:val="00BB5F69"/>
    <w:rsid w:val="00BB6149"/>
    <w:rsid w:val="00BB61D4"/>
    <w:rsid w:val="00BB620D"/>
    <w:rsid w:val="00BB624A"/>
    <w:rsid w:val="00BB62C3"/>
    <w:rsid w:val="00BB63BE"/>
    <w:rsid w:val="00BB64E3"/>
    <w:rsid w:val="00BB67E4"/>
    <w:rsid w:val="00BB67FC"/>
    <w:rsid w:val="00BB6816"/>
    <w:rsid w:val="00BB6934"/>
    <w:rsid w:val="00BB6A24"/>
    <w:rsid w:val="00BB6BBC"/>
    <w:rsid w:val="00BB6C5A"/>
    <w:rsid w:val="00BB6DA7"/>
    <w:rsid w:val="00BB6DBC"/>
    <w:rsid w:val="00BB6DEF"/>
    <w:rsid w:val="00BB6DF0"/>
    <w:rsid w:val="00BB6E40"/>
    <w:rsid w:val="00BB6F11"/>
    <w:rsid w:val="00BB6F91"/>
    <w:rsid w:val="00BB6F97"/>
    <w:rsid w:val="00BB704E"/>
    <w:rsid w:val="00BB705D"/>
    <w:rsid w:val="00BB7101"/>
    <w:rsid w:val="00BB720D"/>
    <w:rsid w:val="00BB740F"/>
    <w:rsid w:val="00BB745B"/>
    <w:rsid w:val="00BB74EC"/>
    <w:rsid w:val="00BB7675"/>
    <w:rsid w:val="00BB76A6"/>
    <w:rsid w:val="00BB774B"/>
    <w:rsid w:val="00BB7759"/>
    <w:rsid w:val="00BB77AA"/>
    <w:rsid w:val="00BB78C1"/>
    <w:rsid w:val="00BB7905"/>
    <w:rsid w:val="00BB791A"/>
    <w:rsid w:val="00BB7928"/>
    <w:rsid w:val="00BB7980"/>
    <w:rsid w:val="00BB7997"/>
    <w:rsid w:val="00BB7B4B"/>
    <w:rsid w:val="00BB7B4F"/>
    <w:rsid w:val="00BB7B84"/>
    <w:rsid w:val="00BB7BEC"/>
    <w:rsid w:val="00BB7CA4"/>
    <w:rsid w:val="00BB7CB4"/>
    <w:rsid w:val="00BB7CC7"/>
    <w:rsid w:val="00BB7D2B"/>
    <w:rsid w:val="00BB7E98"/>
    <w:rsid w:val="00BB7F07"/>
    <w:rsid w:val="00BB7F2B"/>
    <w:rsid w:val="00BB7F4C"/>
    <w:rsid w:val="00BC0066"/>
    <w:rsid w:val="00BC0242"/>
    <w:rsid w:val="00BC025A"/>
    <w:rsid w:val="00BC050D"/>
    <w:rsid w:val="00BC0536"/>
    <w:rsid w:val="00BC0624"/>
    <w:rsid w:val="00BC0674"/>
    <w:rsid w:val="00BC06A9"/>
    <w:rsid w:val="00BC0723"/>
    <w:rsid w:val="00BC0847"/>
    <w:rsid w:val="00BC08E6"/>
    <w:rsid w:val="00BC095C"/>
    <w:rsid w:val="00BC09D2"/>
    <w:rsid w:val="00BC09F0"/>
    <w:rsid w:val="00BC0A9C"/>
    <w:rsid w:val="00BC0B5F"/>
    <w:rsid w:val="00BC0BF7"/>
    <w:rsid w:val="00BC0BFB"/>
    <w:rsid w:val="00BC0C33"/>
    <w:rsid w:val="00BC0D1A"/>
    <w:rsid w:val="00BC0D80"/>
    <w:rsid w:val="00BC0F05"/>
    <w:rsid w:val="00BC1013"/>
    <w:rsid w:val="00BC1024"/>
    <w:rsid w:val="00BC1069"/>
    <w:rsid w:val="00BC1096"/>
    <w:rsid w:val="00BC10A6"/>
    <w:rsid w:val="00BC10D9"/>
    <w:rsid w:val="00BC112E"/>
    <w:rsid w:val="00BC119E"/>
    <w:rsid w:val="00BC11DE"/>
    <w:rsid w:val="00BC1229"/>
    <w:rsid w:val="00BC12CA"/>
    <w:rsid w:val="00BC12E9"/>
    <w:rsid w:val="00BC130C"/>
    <w:rsid w:val="00BC14CD"/>
    <w:rsid w:val="00BC150C"/>
    <w:rsid w:val="00BC1593"/>
    <w:rsid w:val="00BC17C9"/>
    <w:rsid w:val="00BC1852"/>
    <w:rsid w:val="00BC199D"/>
    <w:rsid w:val="00BC1BB2"/>
    <w:rsid w:val="00BC1C11"/>
    <w:rsid w:val="00BC1CB6"/>
    <w:rsid w:val="00BC1D5F"/>
    <w:rsid w:val="00BC1E69"/>
    <w:rsid w:val="00BC1F65"/>
    <w:rsid w:val="00BC1F66"/>
    <w:rsid w:val="00BC2053"/>
    <w:rsid w:val="00BC219F"/>
    <w:rsid w:val="00BC21F3"/>
    <w:rsid w:val="00BC2294"/>
    <w:rsid w:val="00BC233A"/>
    <w:rsid w:val="00BC24A9"/>
    <w:rsid w:val="00BC25DE"/>
    <w:rsid w:val="00BC2701"/>
    <w:rsid w:val="00BC2813"/>
    <w:rsid w:val="00BC2837"/>
    <w:rsid w:val="00BC289C"/>
    <w:rsid w:val="00BC28A2"/>
    <w:rsid w:val="00BC28EC"/>
    <w:rsid w:val="00BC2A63"/>
    <w:rsid w:val="00BC2A91"/>
    <w:rsid w:val="00BC2BAA"/>
    <w:rsid w:val="00BC2C01"/>
    <w:rsid w:val="00BC2C6D"/>
    <w:rsid w:val="00BC2DED"/>
    <w:rsid w:val="00BC2E47"/>
    <w:rsid w:val="00BC2E4D"/>
    <w:rsid w:val="00BC2ED5"/>
    <w:rsid w:val="00BC2EF7"/>
    <w:rsid w:val="00BC2F1D"/>
    <w:rsid w:val="00BC3037"/>
    <w:rsid w:val="00BC3141"/>
    <w:rsid w:val="00BC3153"/>
    <w:rsid w:val="00BC31C9"/>
    <w:rsid w:val="00BC3250"/>
    <w:rsid w:val="00BC328F"/>
    <w:rsid w:val="00BC335D"/>
    <w:rsid w:val="00BC33C3"/>
    <w:rsid w:val="00BC3415"/>
    <w:rsid w:val="00BC34D1"/>
    <w:rsid w:val="00BC3666"/>
    <w:rsid w:val="00BC36E1"/>
    <w:rsid w:val="00BC3782"/>
    <w:rsid w:val="00BC37B6"/>
    <w:rsid w:val="00BC3844"/>
    <w:rsid w:val="00BC3899"/>
    <w:rsid w:val="00BC3B3C"/>
    <w:rsid w:val="00BC3CAF"/>
    <w:rsid w:val="00BC3CED"/>
    <w:rsid w:val="00BC3D40"/>
    <w:rsid w:val="00BC3DC6"/>
    <w:rsid w:val="00BC3E02"/>
    <w:rsid w:val="00BC3E1C"/>
    <w:rsid w:val="00BC3E3F"/>
    <w:rsid w:val="00BC3F36"/>
    <w:rsid w:val="00BC3F73"/>
    <w:rsid w:val="00BC3FF9"/>
    <w:rsid w:val="00BC4007"/>
    <w:rsid w:val="00BC4071"/>
    <w:rsid w:val="00BC41AC"/>
    <w:rsid w:val="00BC43FE"/>
    <w:rsid w:val="00BC4426"/>
    <w:rsid w:val="00BC446C"/>
    <w:rsid w:val="00BC46C7"/>
    <w:rsid w:val="00BC46DA"/>
    <w:rsid w:val="00BC4708"/>
    <w:rsid w:val="00BC4756"/>
    <w:rsid w:val="00BC4764"/>
    <w:rsid w:val="00BC47E6"/>
    <w:rsid w:val="00BC4807"/>
    <w:rsid w:val="00BC4842"/>
    <w:rsid w:val="00BC4856"/>
    <w:rsid w:val="00BC48E4"/>
    <w:rsid w:val="00BC48F9"/>
    <w:rsid w:val="00BC49CA"/>
    <w:rsid w:val="00BC4A0D"/>
    <w:rsid w:val="00BC4BAF"/>
    <w:rsid w:val="00BC4BDC"/>
    <w:rsid w:val="00BC4C2B"/>
    <w:rsid w:val="00BC4C8C"/>
    <w:rsid w:val="00BC4D64"/>
    <w:rsid w:val="00BC4DA7"/>
    <w:rsid w:val="00BC4E58"/>
    <w:rsid w:val="00BC4E7B"/>
    <w:rsid w:val="00BC4E83"/>
    <w:rsid w:val="00BC4EBA"/>
    <w:rsid w:val="00BC4F96"/>
    <w:rsid w:val="00BC4F9D"/>
    <w:rsid w:val="00BC50C9"/>
    <w:rsid w:val="00BC50EF"/>
    <w:rsid w:val="00BC50F2"/>
    <w:rsid w:val="00BC50F6"/>
    <w:rsid w:val="00BC510C"/>
    <w:rsid w:val="00BC515E"/>
    <w:rsid w:val="00BC51E9"/>
    <w:rsid w:val="00BC5286"/>
    <w:rsid w:val="00BC5433"/>
    <w:rsid w:val="00BC5520"/>
    <w:rsid w:val="00BC555E"/>
    <w:rsid w:val="00BC5585"/>
    <w:rsid w:val="00BC582F"/>
    <w:rsid w:val="00BC5854"/>
    <w:rsid w:val="00BC58D6"/>
    <w:rsid w:val="00BC593E"/>
    <w:rsid w:val="00BC5996"/>
    <w:rsid w:val="00BC5AD4"/>
    <w:rsid w:val="00BC5C00"/>
    <w:rsid w:val="00BC5C0E"/>
    <w:rsid w:val="00BC5C5D"/>
    <w:rsid w:val="00BC5CB6"/>
    <w:rsid w:val="00BC5D17"/>
    <w:rsid w:val="00BC5DFC"/>
    <w:rsid w:val="00BC5ED9"/>
    <w:rsid w:val="00BC5F2F"/>
    <w:rsid w:val="00BC5FAF"/>
    <w:rsid w:val="00BC6096"/>
    <w:rsid w:val="00BC6154"/>
    <w:rsid w:val="00BC61E6"/>
    <w:rsid w:val="00BC62BA"/>
    <w:rsid w:val="00BC62E0"/>
    <w:rsid w:val="00BC654E"/>
    <w:rsid w:val="00BC698F"/>
    <w:rsid w:val="00BC69F1"/>
    <w:rsid w:val="00BC6A9A"/>
    <w:rsid w:val="00BC6A9D"/>
    <w:rsid w:val="00BC6ADF"/>
    <w:rsid w:val="00BC6B1F"/>
    <w:rsid w:val="00BC6B20"/>
    <w:rsid w:val="00BC6BD9"/>
    <w:rsid w:val="00BC6C4E"/>
    <w:rsid w:val="00BC6EFF"/>
    <w:rsid w:val="00BC6F09"/>
    <w:rsid w:val="00BC6F5B"/>
    <w:rsid w:val="00BC6F65"/>
    <w:rsid w:val="00BC6F8F"/>
    <w:rsid w:val="00BC70AB"/>
    <w:rsid w:val="00BC7103"/>
    <w:rsid w:val="00BC72B7"/>
    <w:rsid w:val="00BC72BF"/>
    <w:rsid w:val="00BC72CB"/>
    <w:rsid w:val="00BC732F"/>
    <w:rsid w:val="00BC73B2"/>
    <w:rsid w:val="00BC74AD"/>
    <w:rsid w:val="00BC74C5"/>
    <w:rsid w:val="00BC753B"/>
    <w:rsid w:val="00BC7581"/>
    <w:rsid w:val="00BC75F2"/>
    <w:rsid w:val="00BC761A"/>
    <w:rsid w:val="00BC7661"/>
    <w:rsid w:val="00BC775A"/>
    <w:rsid w:val="00BC7ACD"/>
    <w:rsid w:val="00BC7B48"/>
    <w:rsid w:val="00BC7C14"/>
    <w:rsid w:val="00BC7D1D"/>
    <w:rsid w:val="00BC7DA0"/>
    <w:rsid w:val="00BC7DAE"/>
    <w:rsid w:val="00BC7DEC"/>
    <w:rsid w:val="00BC7E0D"/>
    <w:rsid w:val="00BC7E2A"/>
    <w:rsid w:val="00BC7E3B"/>
    <w:rsid w:val="00BC7E45"/>
    <w:rsid w:val="00BC7EAF"/>
    <w:rsid w:val="00BCB878"/>
    <w:rsid w:val="00BCEF0D"/>
    <w:rsid w:val="00BD005B"/>
    <w:rsid w:val="00BD010B"/>
    <w:rsid w:val="00BD01E9"/>
    <w:rsid w:val="00BD01FD"/>
    <w:rsid w:val="00BD024C"/>
    <w:rsid w:val="00BD0250"/>
    <w:rsid w:val="00BD0425"/>
    <w:rsid w:val="00BD0454"/>
    <w:rsid w:val="00BD052D"/>
    <w:rsid w:val="00BD0579"/>
    <w:rsid w:val="00BD06C0"/>
    <w:rsid w:val="00BD07FD"/>
    <w:rsid w:val="00BD0894"/>
    <w:rsid w:val="00BD08D7"/>
    <w:rsid w:val="00BD0935"/>
    <w:rsid w:val="00BD0A95"/>
    <w:rsid w:val="00BD0AC6"/>
    <w:rsid w:val="00BD0B16"/>
    <w:rsid w:val="00BD0B71"/>
    <w:rsid w:val="00BD0C0A"/>
    <w:rsid w:val="00BD0C53"/>
    <w:rsid w:val="00BD0E6D"/>
    <w:rsid w:val="00BD0F52"/>
    <w:rsid w:val="00BD0F5C"/>
    <w:rsid w:val="00BD0FF3"/>
    <w:rsid w:val="00BD10A8"/>
    <w:rsid w:val="00BD10C3"/>
    <w:rsid w:val="00BD1235"/>
    <w:rsid w:val="00BD1284"/>
    <w:rsid w:val="00BD1399"/>
    <w:rsid w:val="00BD1529"/>
    <w:rsid w:val="00BD159C"/>
    <w:rsid w:val="00BD15A5"/>
    <w:rsid w:val="00BD165E"/>
    <w:rsid w:val="00BD1785"/>
    <w:rsid w:val="00BD1803"/>
    <w:rsid w:val="00BD180E"/>
    <w:rsid w:val="00BD1920"/>
    <w:rsid w:val="00BD1AC3"/>
    <w:rsid w:val="00BD1B13"/>
    <w:rsid w:val="00BD1C59"/>
    <w:rsid w:val="00BD1D07"/>
    <w:rsid w:val="00BD1DEC"/>
    <w:rsid w:val="00BD1EFC"/>
    <w:rsid w:val="00BD207C"/>
    <w:rsid w:val="00BD20FD"/>
    <w:rsid w:val="00BD2135"/>
    <w:rsid w:val="00BD2170"/>
    <w:rsid w:val="00BD22B4"/>
    <w:rsid w:val="00BD2416"/>
    <w:rsid w:val="00BD242F"/>
    <w:rsid w:val="00BD2522"/>
    <w:rsid w:val="00BD2607"/>
    <w:rsid w:val="00BD271A"/>
    <w:rsid w:val="00BD272A"/>
    <w:rsid w:val="00BD2794"/>
    <w:rsid w:val="00BD27FE"/>
    <w:rsid w:val="00BD288E"/>
    <w:rsid w:val="00BD2897"/>
    <w:rsid w:val="00BD28DB"/>
    <w:rsid w:val="00BD2978"/>
    <w:rsid w:val="00BD2A1C"/>
    <w:rsid w:val="00BD2ADE"/>
    <w:rsid w:val="00BD2B9A"/>
    <w:rsid w:val="00BD2BF8"/>
    <w:rsid w:val="00BD2C07"/>
    <w:rsid w:val="00BD2CCA"/>
    <w:rsid w:val="00BD2D58"/>
    <w:rsid w:val="00BD2EC8"/>
    <w:rsid w:val="00BD2FC5"/>
    <w:rsid w:val="00BD3004"/>
    <w:rsid w:val="00BD30AA"/>
    <w:rsid w:val="00BD30B0"/>
    <w:rsid w:val="00BD30F9"/>
    <w:rsid w:val="00BD31B0"/>
    <w:rsid w:val="00BD3244"/>
    <w:rsid w:val="00BD32B3"/>
    <w:rsid w:val="00BD32F9"/>
    <w:rsid w:val="00BD32FB"/>
    <w:rsid w:val="00BD33D9"/>
    <w:rsid w:val="00BD3479"/>
    <w:rsid w:val="00BD3595"/>
    <w:rsid w:val="00BD35B7"/>
    <w:rsid w:val="00BD35CF"/>
    <w:rsid w:val="00BD3605"/>
    <w:rsid w:val="00BD3635"/>
    <w:rsid w:val="00BD3701"/>
    <w:rsid w:val="00BD370E"/>
    <w:rsid w:val="00BD377D"/>
    <w:rsid w:val="00BD378C"/>
    <w:rsid w:val="00BD383E"/>
    <w:rsid w:val="00BD3998"/>
    <w:rsid w:val="00BD39B3"/>
    <w:rsid w:val="00BD3AEC"/>
    <w:rsid w:val="00BD3C00"/>
    <w:rsid w:val="00BD3D40"/>
    <w:rsid w:val="00BD3D89"/>
    <w:rsid w:val="00BD3DB7"/>
    <w:rsid w:val="00BD3E02"/>
    <w:rsid w:val="00BD3FA7"/>
    <w:rsid w:val="00BD3FAD"/>
    <w:rsid w:val="00BD40E0"/>
    <w:rsid w:val="00BD411C"/>
    <w:rsid w:val="00BD4140"/>
    <w:rsid w:val="00BD42A0"/>
    <w:rsid w:val="00BD42E8"/>
    <w:rsid w:val="00BD4386"/>
    <w:rsid w:val="00BD4420"/>
    <w:rsid w:val="00BD44DB"/>
    <w:rsid w:val="00BD4592"/>
    <w:rsid w:val="00BD45D6"/>
    <w:rsid w:val="00BD4600"/>
    <w:rsid w:val="00BD494D"/>
    <w:rsid w:val="00BD4992"/>
    <w:rsid w:val="00BD4A89"/>
    <w:rsid w:val="00BD4AC3"/>
    <w:rsid w:val="00BD4AFB"/>
    <w:rsid w:val="00BD4C55"/>
    <w:rsid w:val="00BD4C99"/>
    <w:rsid w:val="00BD4DAA"/>
    <w:rsid w:val="00BD4DEA"/>
    <w:rsid w:val="00BD4E0C"/>
    <w:rsid w:val="00BD5096"/>
    <w:rsid w:val="00BD50B4"/>
    <w:rsid w:val="00BD50BA"/>
    <w:rsid w:val="00BD523B"/>
    <w:rsid w:val="00BD5287"/>
    <w:rsid w:val="00BD52F9"/>
    <w:rsid w:val="00BD545A"/>
    <w:rsid w:val="00BD5558"/>
    <w:rsid w:val="00BD55EB"/>
    <w:rsid w:val="00BD562B"/>
    <w:rsid w:val="00BD56D7"/>
    <w:rsid w:val="00BD56DE"/>
    <w:rsid w:val="00BD57F2"/>
    <w:rsid w:val="00BD59E8"/>
    <w:rsid w:val="00BD5A91"/>
    <w:rsid w:val="00BD5B77"/>
    <w:rsid w:val="00BD5BD3"/>
    <w:rsid w:val="00BD5C0B"/>
    <w:rsid w:val="00BD5C4E"/>
    <w:rsid w:val="00BD5C7F"/>
    <w:rsid w:val="00BD5EAA"/>
    <w:rsid w:val="00BD5F12"/>
    <w:rsid w:val="00BD5F3D"/>
    <w:rsid w:val="00BD5F70"/>
    <w:rsid w:val="00BD60F8"/>
    <w:rsid w:val="00BD6287"/>
    <w:rsid w:val="00BD6362"/>
    <w:rsid w:val="00BD63A0"/>
    <w:rsid w:val="00BD64A4"/>
    <w:rsid w:val="00BD658F"/>
    <w:rsid w:val="00BD65D7"/>
    <w:rsid w:val="00BD664C"/>
    <w:rsid w:val="00BD67D8"/>
    <w:rsid w:val="00BD6835"/>
    <w:rsid w:val="00BD68C3"/>
    <w:rsid w:val="00BD6D75"/>
    <w:rsid w:val="00BD6E29"/>
    <w:rsid w:val="00BD6E4D"/>
    <w:rsid w:val="00BD6F1E"/>
    <w:rsid w:val="00BD6F28"/>
    <w:rsid w:val="00BD7062"/>
    <w:rsid w:val="00BD7077"/>
    <w:rsid w:val="00BD71CC"/>
    <w:rsid w:val="00BD71D5"/>
    <w:rsid w:val="00BD71E0"/>
    <w:rsid w:val="00BD7317"/>
    <w:rsid w:val="00BD7325"/>
    <w:rsid w:val="00BD7359"/>
    <w:rsid w:val="00BD736B"/>
    <w:rsid w:val="00BD73C1"/>
    <w:rsid w:val="00BD7442"/>
    <w:rsid w:val="00BD74CE"/>
    <w:rsid w:val="00BD77B8"/>
    <w:rsid w:val="00BD784F"/>
    <w:rsid w:val="00BD78E2"/>
    <w:rsid w:val="00BD7994"/>
    <w:rsid w:val="00BD7A5E"/>
    <w:rsid w:val="00BD7AC4"/>
    <w:rsid w:val="00BD7B62"/>
    <w:rsid w:val="00BD7BA1"/>
    <w:rsid w:val="00BD7CB4"/>
    <w:rsid w:val="00BD7CDB"/>
    <w:rsid w:val="00BD7CE1"/>
    <w:rsid w:val="00BD7CF7"/>
    <w:rsid w:val="00BD7D2C"/>
    <w:rsid w:val="00BD7F47"/>
    <w:rsid w:val="00BD7F5A"/>
    <w:rsid w:val="00BD7FFE"/>
    <w:rsid w:val="00BDDB56"/>
    <w:rsid w:val="00BE0165"/>
    <w:rsid w:val="00BE016C"/>
    <w:rsid w:val="00BE01BD"/>
    <w:rsid w:val="00BE01D4"/>
    <w:rsid w:val="00BE01DB"/>
    <w:rsid w:val="00BE023F"/>
    <w:rsid w:val="00BE02C2"/>
    <w:rsid w:val="00BE0421"/>
    <w:rsid w:val="00BE04CA"/>
    <w:rsid w:val="00BE04D1"/>
    <w:rsid w:val="00BE0540"/>
    <w:rsid w:val="00BE05BF"/>
    <w:rsid w:val="00BE0608"/>
    <w:rsid w:val="00BE068A"/>
    <w:rsid w:val="00BE074A"/>
    <w:rsid w:val="00BE07FF"/>
    <w:rsid w:val="00BE08AA"/>
    <w:rsid w:val="00BE08BB"/>
    <w:rsid w:val="00BE0913"/>
    <w:rsid w:val="00BE0943"/>
    <w:rsid w:val="00BE09A9"/>
    <w:rsid w:val="00BE09C3"/>
    <w:rsid w:val="00BE0A03"/>
    <w:rsid w:val="00BE0A23"/>
    <w:rsid w:val="00BE0B27"/>
    <w:rsid w:val="00BE0B48"/>
    <w:rsid w:val="00BE0C2A"/>
    <w:rsid w:val="00BE0C2F"/>
    <w:rsid w:val="00BE0C37"/>
    <w:rsid w:val="00BE0C7B"/>
    <w:rsid w:val="00BE0D0E"/>
    <w:rsid w:val="00BE0D7C"/>
    <w:rsid w:val="00BE0E42"/>
    <w:rsid w:val="00BE0F30"/>
    <w:rsid w:val="00BE0F55"/>
    <w:rsid w:val="00BE0FC6"/>
    <w:rsid w:val="00BE1029"/>
    <w:rsid w:val="00BE1048"/>
    <w:rsid w:val="00BE1049"/>
    <w:rsid w:val="00BE1113"/>
    <w:rsid w:val="00BE1131"/>
    <w:rsid w:val="00BE1198"/>
    <w:rsid w:val="00BE12B2"/>
    <w:rsid w:val="00BE12CC"/>
    <w:rsid w:val="00BE139A"/>
    <w:rsid w:val="00BE13E3"/>
    <w:rsid w:val="00BE144F"/>
    <w:rsid w:val="00BE1533"/>
    <w:rsid w:val="00BE18C4"/>
    <w:rsid w:val="00BE18D6"/>
    <w:rsid w:val="00BE1A7B"/>
    <w:rsid w:val="00BE1A95"/>
    <w:rsid w:val="00BE1B1F"/>
    <w:rsid w:val="00BE1BD1"/>
    <w:rsid w:val="00BE1BE5"/>
    <w:rsid w:val="00BE1BF8"/>
    <w:rsid w:val="00BE1CEE"/>
    <w:rsid w:val="00BE1CF4"/>
    <w:rsid w:val="00BE1CFE"/>
    <w:rsid w:val="00BE1E3A"/>
    <w:rsid w:val="00BE1E86"/>
    <w:rsid w:val="00BE1E93"/>
    <w:rsid w:val="00BE1ED0"/>
    <w:rsid w:val="00BE2052"/>
    <w:rsid w:val="00BE229E"/>
    <w:rsid w:val="00BE237C"/>
    <w:rsid w:val="00BE2609"/>
    <w:rsid w:val="00BE2667"/>
    <w:rsid w:val="00BE27A8"/>
    <w:rsid w:val="00BE27BE"/>
    <w:rsid w:val="00BE28A3"/>
    <w:rsid w:val="00BE28FE"/>
    <w:rsid w:val="00BE2927"/>
    <w:rsid w:val="00BE29E8"/>
    <w:rsid w:val="00BE2B7B"/>
    <w:rsid w:val="00BE2D5C"/>
    <w:rsid w:val="00BE2E63"/>
    <w:rsid w:val="00BE2F6C"/>
    <w:rsid w:val="00BE2FED"/>
    <w:rsid w:val="00BE302D"/>
    <w:rsid w:val="00BE3142"/>
    <w:rsid w:val="00BE31AC"/>
    <w:rsid w:val="00BE31E1"/>
    <w:rsid w:val="00BE3263"/>
    <w:rsid w:val="00BE3307"/>
    <w:rsid w:val="00BE3358"/>
    <w:rsid w:val="00BE3362"/>
    <w:rsid w:val="00BE339A"/>
    <w:rsid w:val="00BE33D9"/>
    <w:rsid w:val="00BE35D6"/>
    <w:rsid w:val="00BE35EE"/>
    <w:rsid w:val="00BE36CB"/>
    <w:rsid w:val="00BE371B"/>
    <w:rsid w:val="00BE3807"/>
    <w:rsid w:val="00BE39C9"/>
    <w:rsid w:val="00BE3A2E"/>
    <w:rsid w:val="00BE3A56"/>
    <w:rsid w:val="00BE3A60"/>
    <w:rsid w:val="00BE3A83"/>
    <w:rsid w:val="00BE3B0B"/>
    <w:rsid w:val="00BE3BDB"/>
    <w:rsid w:val="00BE3BF2"/>
    <w:rsid w:val="00BE3C5D"/>
    <w:rsid w:val="00BE3C6D"/>
    <w:rsid w:val="00BE3CE4"/>
    <w:rsid w:val="00BE3D77"/>
    <w:rsid w:val="00BE3DB0"/>
    <w:rsid w:val="00BE3E65"/>
    <w:rsid w:val="00BE3ECA"/>
    <w:rsid w:val="00BE3F34"/>
    <w:rsid w:val="00BE3F4A"/>
    <w:rsid w:val="00BE3F57"/>
    <w:rsid w:val="00BE3FF6"/>
    <w:rsid w:val="00BE4158"/>
    <w:rsid w:val="00BE4167"/>
    <w:rsid w:val="00BE4406"/>
    <w:rsid w:val="00BE447E"/>
    <w:rsid w:val="00BE449A"/>
    <w:rsid w:val="00BE44CB"/>
    <w:rsid w:val="00BE44FB"/>
    <w:rsid w:val="00BE4595"/>
    <w:rsid w:val="00BE4722"/>
    <w:rsid w:val="00BE47B9"/>
    <w:rsid w:val="00BE47DA"/>
    <w:rsid w:val="00BE48EF"/>
    <w:rsid w:val="00BE4937"/>
    <w:rsid w:val="00BE4B72"/>
    <w:rsid w:val="00BE4CA9"/>
    <w:rsid w:val="00BE4E35"/>
    <w:rsid w:val="00BE4E8E"/>
    <w:rsid w:val="00BE4F44"/>
    <w:rsid w:val="00BE4FD3"/>
    <w:rsid w:val="00BE5037"/>
    <w:rsid w:val="00BE504C"/>
    <w:rsid w:val="00BE50B2"/>
    <w:rsid w:val="00BE5119"/>
    <w:rsid w:val="00BE51E4"/>
    <w:rsid w:val="00BE5221"/>
    <w:rsid w:val="00BE5457"/>
    <w:rsid w:val="00BE549F"/>
    <w:rsid w:val="00BE54B4"/>
    <w:rsid w:val="00BE54BF"/>
    <w:rsid w:val="00BE54D3"/>
    <w:rsid w:val="00BE571C"/>
    <w:rsid w:val="00BE5726"/>
    <w:rsid w:val="00BE5728"/>
    <w:rsid w:val="00BE5778"/>
    <w:rsid w:val="00BE59DE"/>
    <w:rsid w:val="00BE5A5A"/>
    <w:rsid w:val="00BE5AB5"/>
    <w:rsid w:val="00BE5AE2"/>
    <w:rsid w:val="00BE5C20"/>
    <w:rsid w:val="00BE5C52"/>
    <w:rsid w:val="00BE5CBD"/>
    <w:rsid w:val="00BE5D22"/>
    <w:rsid w:val="00BE5D4D"/>
    <w:rsid w:val="00BE5E56"/>
    <w:rsid w:val="00BE5FA4"/>
    <w:rsid w:val="00BE5FC0"/>
    <w:rsid w:val="00BE60B9"/>
    <w:rsid w:val="00BE62F2"/>
    <w:rsid w:val="00BE6305"/>
    <w:rsid w:val="00BE6311"/>
    <w:rsid w:val="00BE638B"/>
    <w:rsid w:val="00BE63DD"/>
    <w:rsid w:val="00BE6405"/>
    <w:rsid w:val="00BE6542"/>
    <w:rsid w:val="00BE6560"/>
    <w:rsid w:val="00BE663C"/>
    <w:rsid w:val="00BE665E"/>
    <w:rsid w:val="00BE670F"/>
    <w:rsid w:val="00BE675B"/>
    <w:rsid w:val="00BE6A8E"/>
    <w:rsid w:val="00BE6A96"/>
    <w:rsid w:val="00BE6B07"/>
    <w:rsid w:val="00BE6B3C"/>
    <w:rsid w:val="00BE6B96"/>
    <w:rsid w:val="00BE6BA5"/>
    <w:rsid w:val="00BE6C00"/>
    <w:rsid w:val="00BE6C92"/>
    <w:rsid w:val="00BE6C98"/>
    <w:rsid w:val="00BE6CEB"/>
    <w:rsid w:val="00BE6DF6"/>
    <w:rsid w:val="00BE6DFA"/>
    <w:rsid w:val="00BE6E42"/>
    <w:rsid w:val="00BE6E61"/>
    <w:rsid w:val="00BE6EA9"/>
    <w:rsid w:val="00BE6EE2"/>
    <w:rsid w:val="00BE6F18"/>
    <w:rsid w:val="00BE6F3E"/>
    <w:rsid w:val="00BE6F79"/>
    <w:rsid w:val="00BE705C"/>
    <w:rsid w:val="00BE70CA"/>
    <w:rsid w:val="00BE7108"/>
    <w:rsid w:val="00BE711D"/>
    <w:rsid w:val="00BE724C"/>
    <w:rsid w:val="00BE7268"/>
    <w:rsid w:val="00BE727B"/>
    <w:rsid w:val="00BE72F0"/>
    <w:rsid w:val="00BE7383"/>
    <w:rsid w:val="00BE7389"/>
    <w:rsid w:val="00BE7408"/>
    <w:rsid w:val="00BE7444"/>
    <w:rsid w:val="00BE74B9"/>
    <w:rsid w:val="00BE7546"/>
    <w:rsid w:val="00BE76A9"/>
    <w:rsid w:val="00BE78A7"/>
    <w:rsid w:val="00BE790B"/>
    <w:rsid w:val="00BE7B7D"/>
    <w:rsid w:val="00BE7B94"/>
    <w:rsid w:val="00BE7BD4"/>
    <w:rsid w:val="00BE7C7A"/>
    <w:rsid w:val="00BE7CA4"/>
    <w:rsid w:val="00BE7D53"/>
    <w:rsid w:val="00BE7D9A"/>
    <w:rsid w:val="00BE7E03"/>
    <w:rsid w:val="00BE7E08"/>
    <w:rsid w:val="00BE7E19"/>
    <w:rsid w:val="00BED9AC"/>
    <w:rsid w:val="00BEF53D"/>
    <w:rsid w:val="00BF003E"/>
    <w:rsid w:val="00BF0052"/>
    <w:rsid w:val="00BF018E"/>
    <w:rsid w:val="00BF021C"/>
    <w:rsid w:val="00BF0222"/>
    <w:rsid w:val="00BF0338"/>
    <w:rsid w:val="00BF03AD"/>
    <w:rsid w:val="00BF03F7"/>
    <w:rsid w:val="00BF0612"/>
    <w:rsid w:val="00BF06D0"/>
    <w:rsid w:val="00BF079D"/>
    <w:rsid w:val="00BF07B5"/>
    <w:rsid w:val="00BF07FF"/>
    <w:rsid w:val="00BF0861"/>
    <w:rsid w:val="00BF08C1"/>
    <w:rsid w:val="00BF08CB"/>
    <w:rsid w:val="00BF093A"/>
    <w:rsid w:val="00BF0970"/>
    <w:rsid w:val="00BF0A00"/>
    <w:rsid w:val="00BF0A53"/>
    <w:rsid w:val="00BF0A83"/>
    <w:rsid w:val="00BF0B34"/>
    <w:rsid w:val="00BF0B99"/>
    <w:rsid w:val="00BF0CAD"/>
    <w:rsid w:val="00BF0CE3"/>
    <w:rsid w:val="00BF0D32"/>
    <w:rsid w:val="00BF0DD3"/>
    <w:rsid w:val="00BF0DFB"/>
    <w:rsid w:val="00BF0F0E"/>
    <w:rsid w:val="00BF0F14"/>
    <w:rsid w:val="00BF0F2F"/>
    <w:rsid w:val="00BF101F"/>
    <w:rsid w:val="00BF1213"/>
    <w:rsid w:val="00BF146B"/>
    <w:rsid w:val="00BF1476"/>
    <w:rsid w:val="00BF1707"/>
    <w:rsid w:val="00BF1867"/>
    <w:rsid w:val="00BF1928"/>
    <w:rsid w:val="00BF1984"/>
    <w:rsid w:val="00BF1A80"/>
    <w:rsid w:val="00BF1B0F"/>
    <w:rsid w:val="00BF1C38"/>
    <w:rsid w:val="00BF1C9C"/>
    <w:rsid w:val="00BF1CD7"/>
    <w:rsid w:val="00BF1DA2"/>
    <w:rsid w:val="00BF1DC5"/>
    <w:rsid w:val="00BF1F6B"/>
    <w:rsid w:val="00BF1FAF"/>
    <w:rsid w:val="00BF2029"/>
    <w:rsid w:val="00BF2093"/>
    <w:rsid w:val="00BF20E6"/>
    <w:rsid w:val="00BF218E"/>
    <w:rsid w:val="00BF2253"/>
    <w:rsid w:val="00BF2258"/>
    <w:rsid w:val="00BF2295"/>
    <w:rsid w:val="00BF233D"/>
    <w:rsid w:val="00BF242D"/>
    <w:rsid w:val="00BF250F"/>
    <w:rsid w:val="00BF25BD"/>
    <w:rsid w:val="00BF26E2"/>
    <w:rsid w:val="00BF27B8"/>
    <w:rsid w:val="00BF27F9"/>
    <w:rsid w:val="00BF280B"/>
    <w:rsid w:val="00BF2938"/>
    <w:rsid w:val="00BF2948"/>
    <w:rsid w:val="00BF2A29"/>
    <w:rsid w:val="00BF2A48"/>
    <w:rsid w:val="00BF2BB4"/>
    <w:rsid w:val="00BF2C89"/>
    <w:rsid w:val="00BF2CA0"/>
    <w:rsid w:val="00BF2D21"/>
    <w:rsid w:val="00BF2D3B"/>
    <w:rsid w:val="00BF2D91"/>
    <w:rsid w:val="00BF2DE5"/>
    <w:rsid w:val="00BF2DF8"/>
    <w:rsid w:val="00BF2E5A"/>
    <w:rsid w:val="00BF2E7A"/>
    <w:rsid w:val="00BF305B"/>
    <w:rsid w:val="00BF310A"/>
    <w:rsid w:val="00BF312D"/>
    <w:rsid w:val="00BF3144"/>
    <w:rsid w:val="00BF3176"/>
    <w:rsid w:val="00BF32C5"/>
    <w:rsid w:val="00BF32DA"/>
    <w:rsid w:val="00BF333F"/>
    <w:rsid w:val="00BF3349"/>
    <w:rsid w:val="00BF34D2"/>
    <w:rsid w:val="00BF3609"/>
    <w:rsid w:val="00BF3687"/>
    <w:rsid w:val="00BF38C7"/>
    <w:rsid w:val="00BF39DC"/>
    <w:rsid w:val="00BF39E5"/>
    <w:rsid w:val="00BF3BEC"/>
    <w:rsid w:val="00BF3C89"/>
    <w:rsid w:val="00BF3C90"/>
    <w:rsid w:val="00BF3CF1"/>
    <w:rsid w:val="00BF3CFC"/>
    <w:rsid w:val="00BF3DB0"/>
    <w:rsid w:val="00BF3DBA"/>
    <w:rsid w:val="00BF3E8A"/>
    <w:rsid w:val="00BF3EFE"/>
    <w:rsid w:val="00BF3F2C"/>
    <w:rsid w:val="00BF4015"/>
    <w:rsid w:val="00BF4033"/>
    <w:rsid w:val="00BF40B0"/>
    <w:rsid w:val="00BF40E3"/>
    <w:rsid w:val="00BF41F5"/>
    <w:rsid w:val="00BF4288"/>
    <w:rsid w:val="00BF42B7"/>
    <w:rsid w:val="00BF42C6"/>
    <w:rsid w:val="00BF431B"/>
    <w:rsid w:val="00BF437A"/>
    <w:rsid w:val="00BF43F6"/>
    <w:rsid w:val="00BF4439"/>
    <w:rsid w:val="00BF4567"/>
    <w:rsid w:val="00BF4569"/>
    <w:rsid w:val="00BF4577"/>
    <w:rsid w:val="00BF465A"/>
    <w:rsid w:val="00BF4892"/>
    <w:rsid w:val="00BF48D7"/>
    <w:rsid w:val="00BF48E0"/>
    <w:rsid w:val="00BF48FA"/>
    <w:rsid w:val="00BF49F7"/>
    <w:rsid w:val="00BF4A67"/>
    <w:rsid w:val="00BF4B38"/>
    <w:rsid w:val="00BF4BC1"/>
    <w:rsid w:val="00BF4BC8"/>
    <w:rsid w:val="00BF4C15"/>
    <w:rsid w:val="00BF4CB1"/>
    <w:rsid w:val="00BF4CBA"/>
    <w:rsid w:val="00BF4D97"/>
    <w:rsid w:val="00BF4E0E"/>
    <w:rsid w:val="00BF4E5D"/>
    <w:rsid w:val="00BF509B"/>
    <w:rsid w:val="00BF5245"/>
    <w:rsid w:val="00BF5280"/>
    <w:rsid w:val="00BF52BB"/>
    <w:rsid w:val="00BF52D5"/>
    <w:rsid w:val="00BF5308"/>
    <w:rsid w:val="00BF531D"/>
    <w:rsid w:val="00BF536A"/>
    <w:rsid w:val="00BF53E6"/>
    <w:rsid w:val="00BF5476"/>
    <w:rsid w:val="00BF54DA"/>
    <w:rsid w:val="00BF55E5"/>
    <w:rsid w:val="00BF563E"/>
    <w:rsid w:val="00BF5766"/>
    <w:rsid w:val="00BF5776"/>
    <w:rsid w:val="00BF57D7"/>
    <w:rsid w:val="00BF57E3"/>
    <w:rsid w:val="00BF58DD"/>
    <w:rsid w:val="00BF58FA"/>
    <w:rsid w:val="00BF59A9"/>
    <w:rsid w:val="00BF59AC"/>
    <w:rsid w:val="00BF5A23"/>
    <w:rsid w:val="00BF5A3B"/>
    <w:rsid w:val="00BF5A77"/>
    <w:rsid w:val="00BF5A93"/>
    <w:rsid w:val="00BF5AEF"/>
    <w:rsid w:val="00BF5C03"/>
    <w:rsid w:val="00BF5D76"/>
    <w:rsid w:val="00BF5DDB"/>
    <w:rsid w:val="00BF5E6F"/>
    <w:rsid w:val="00BF5F4B"/>
    <w:rsid w:val="00BF5F58"/>
    <w:rsid w:val="00BF5F9C"/>
    <w:rsid w:val="00BF5FDC"/>
    <w:rsid w:val="00BF6072"/>
    <w:rsid w:val="00BF607C"/>
    <w:rsid w:val="00BF60AF"/>
    <w:rsid w:val="00BF60F9"/>
    <w:rsid w:val="00BF613F"/>
    <w:rsid w:val="00BF621B"/>
    <w:rsid w:val="00BF6231"/>
    <w:rsid w:val="00BF6408"/>
    <w:rsid w:val="00BF641E"/>
    <w:rsid w:val="00BF645A"/>
    <w:rsid w:val="00BF6549"/>
    <w:rsid w:val="00BF65DD"/>
    <w:rsid w:val="00BF6620"/>
    <w:rsid w:val="00BF6689"/>
    <w:rsid w:val="00BF66AB"/>
    <w:rsid w:val="00BF66B7"/>
    <w:rsid w:val="00BF67A3"/>
    <w:rsid w:val="00BF687E"/>
    <w:rsid w:val="00BF690C"/>
    <w:rsid w:val="00BF6B45"/>
    <w:rsid w:val="00BF6CBA"/>
    <w:rsid w:val="00BF6DD2"/>
    <w:rsid w:val="00BF6E47"/>
    <w:rsid w:val="00BF6EEF"/>
    <w:rsid w:val="00BF6F6C"/>
    <w:rsid w:val="00BF6F8C"/>
    <w:rsid w:val="00BF7014"/>
    <w:rsid w:val="00BF7105"/>
    <w:rsid w:val="00BF7318"/>
    <w:rsid w:val="00BF73CF"/>
    <w:rsid w:val="00BF7485"/>
    <w:rsid w:val="00BF75AC"/>
    <w:rsid w:val="00BF75B7"/>
    <w:rsid w:val="00BF7616"/>
    <w:rsid w:val="00BF7621"/>
    <w:rsid w:val="00BF7657"/>
    <w:rsid w:val="00BF766A"/>
    <w:rsid w:val="00BF76EF"/>
    <w:rsid w:val="00BF7709"/>
    <w:rsid w:val="00BF770D"/>
    <w:rsid w:val="00BF772D"/>
    <w:rsid w:val="00BF78B1"/>
    <w:rsid w:val="00BF78C5"/>
    <w:rsid w:val="00BF795C"/>
    <w:rsid w:val="00BF796C"/>
    <w:rsid w:val="00BF7AA4"/>
    <w:rsid w:val="00BF7AF1"/>
    <w:rsid w:val="00BF7BD9"/>
    <w:rsid w:val="00BF7BF2"/>
    <w:rsid w:val="00BF7CF5"/>
    <w:rsid w:val="00BF7D65"/>
    <w:rsid w:val="00BF7D7A"/>
    <w:rsid w:val="00BF7D83"/>
    <w:rsid w:val="00BF7EA3"/>
    <w:rsid w:val="00BF7EC0"/>
    <w:rsid w:val="00BF7EFD"/>
    <w:rsid w:val="00BF7F92"/>
    <w:rsid w:val="00BF841B"/>
    <w:rsid w:val="00BFAA6B"/>
    <w:rsid w:val="00C0012F"/>
    <w:rsid w:val="00C00159"/>
    <w:rsid w:val="00C0026B"/>
    <w:rsid w:val="00C002EF"/>
    <w:rsid w:val="00C00364"/>
    <w:rsid w:val="00C00373"/>
    <w:rsid w:val="00C003D3"/>
    <w:rsid w:val="00C003EF"/>
    <w:rsid w:val="00C00477"/>
    <w:rsid w:val="00C00516"/>
    <w:rsid w:val="00C00602"/>
    <w:rsid w:val="00C00611"/>
    <w:rsid w:val="00C0061A"/>
    <w:rsid w:val="00C006B6"/>
    <w:rsid w:val="00C006F0"/>
    <w:rsid w:val="00C006F8"/>
    <w:rsid w:val="00C00790"/>
    <w:rsid w:val="00C00892"/>
    <w:rsid w:val="00C009BD"/>
    <w:rsid w:val="00C00A77"/>
    <w:rsid w:val="00C00BAB"/>
    <w:rsid w:val="00C00C5C"/>
    <w:rsid w:val="00C00D16"/>
    <w:rsid w:val="00C00E93"/>
    <w:rsid w:val="00C00EED"/>
    <w:rsid w:val="00C00F5D"/>
    <w:rsid w:val="00C010DF"/>
    <w:rsid w:val="00C010EF"/>
    <w:rsid w:val="00C01100"/>
    <w:rsid w:val="00C0117F"/>
    <w:rsid w:val="00C011A0"/>
    <w:rsid w:val="00C01209"/>
    <w:rsid w:val="00C01338"/>
    <w:rsid w:val="00C0139B"/>
    <w:rsid w:val="00C01410"/>
    <w:rsid w:val="00C0145C"/>
    <w:rsid w:val="00C0146F"/>
    <w:rsid w:val="00C014CA"/>
    <w:rsid w:val="00C014DB"/>
    <w:rsid w:val="00C015D2"/>
    <w:rsid w:val="00C015D3"/>
    <w:rsid w:val="00C0166E"/>
    <w:rsid w:val="00C01671"/>
    <w:rsid w:val="00C017A8"/>
    <w:rsid w:val="00C017F8"/>
    <w:rsid w:val="00C0182C"/>
    <w:rsid w:val="00C01840"/>
    <w:rsid w:val="00C0187C"/>
    <w:rsid w:val="00C01891"/>
    <w:rsid w:val="00C01A76"/>
    <w:rsid w:val="00C01B6F"/>
    <w:rsid w:val="00C01BC0"/>
    <w:rsid w:val="00C01C8C"/>
    <w:rsid w:val="00C01E22"/>
    <w:rsid w:val="00C01E47"/>
    <w:rsid w:val="00C01ED0"/>
    <w:rsid w:val="00C01FD5"/>
    <w:rsid w:val="00C02061"/>
    <w:rsid w:val="00C0207F"/>
    <w:rsid w:val="00C02140"/>
    <w:rsid w:val="00C0216C"/>
    <w:rsid w:val="00C0232B"/>
    <w:rsid w:val="00C023CB"/>
    <w:rsid w:val="00C023D2"/>
    <w:rsid w:val="00C02525"/>
    <w:rsid w:val="00C025BE"/>
    <w:rsid w:val="00C025C2"/>
    <w:rsid w:val="00C026F2"/>
    <w:rsid w:val="00C0281B"/>
    <w:rsid w:val="00C028A3"/>
    <w:rsid w:val="00C029A9"/>
    <w:rsid w:val="00C029EC"/>
    <w:rsid w:val="00C02A3C"/>
    <w:rsid w:val="00C02A9C"/>
    <w:rsid w:val="00C02C27"/>
    <w:rsid w:val="00C02D54"/>
    <w:rsid w:val="00C02DF2"/>
    <w:rsid w:val="00C02DFE"/>
    <w:rsid w:val="00C02E8B"/>
    <w:rsid w:val="00C02E99"/>
    <w:rsid w:val="00C02F4D"/>
    <w:rsid w:val="00C02FAF"/>
    <w:rsid w:val="00C031F0"/>
    <w:rsid w:val="00C03234"/>
    <w:rsid w:val="00C03290"/>
    <w:rsid w:val="00C032B7"/>
    <w:rsid w:val="00C032C3"/>
    <w:rsid w:val="00C033CB"/>
    <w:rsid w:val="00C033DD"/>
    <w:rsid w:val="00C03509"/>
    <w:rsid w:val="00C0351D"/>
    <w:rsid w:val="00C0353A"/>
    <w:rsid w:val="00C03663"/>
    <w:rsid w:val="00C038BB"/>
    <w:rsid w:val="00C03B58"/>
    <w:rsid w:val="00C03BFC"/>
    <w:rsid w:val="00C03CDA"/>
    <w:rsid w:val="00C03FA1"/>
    <w:rsid w:val="00C0403A"/>
    <w:rsid w:val="00C040B7"/>
    <w:rsid w:val="00C04221"/>
    <w:rsid w:val="00C0423D"/>
    <w:rsid w:val="00C04274"/>
    <w:rsid w:val="00C0438E"/>
    <w:rsid w:val="00C0445E"/>
    <w:rsid w:val="00C046CD"/>
    <w:rsid w:val="00C046EC"/>
    <w:rsid w:val="00C046F0"/>
    <w:rsid w:val="00C0486B"/>
    <w:rsid w:val="00C048A7"/>
    <w:rsid w:val="00C048AA"/>
    <w:rsid w:val="00C048F0"/>
    <w:rsid w:val="00C049F3"/>
    <w:rsid w:val="00C04C37"/>
    <w:rsid w:val="00C04CC8"/>
    <w:rsid w:val="00C04CFA"/>
    <w:rsid w:val="00C04D58"/>
    <w:rsid w:val="00C04E44"/>
    <w:rsid w:val="00C04FB2"/>
    <w:rsid w:val="00C04FF7"/>
    <w:rsid w:val="00C05000"/>
    <w:rsid w:val="00C05028"/>
    <w:rsid w:val="00C0506D"/>
    <w:rsid w:val="00C050AE"/>
    <w:rsid w:val="00C050CF"/>
    <w:rsid w:val="00C05114"/>
    <w:rsid w:val="00C051DC"/>
    <w:rsid w:val="00C0530C"/>
    <w:rsid w:val="00C05331"/>
    <w:rsid w:val="00C0534F"/>
    <w:rsid w:val="00C0537E"/>
    <w:rsid w:val="00C05387"/>
    <w:rsid w:val="00C053A5"/>
    <w:rsid w:val="00C054FA"/>
    <w:rsid w:val="00C05711"/>
    <w:rsid w:val="00C0571D"/>
    <w:rsid w:val="00C05743"/>
    <w:rsid w:val="00C057AA"/>
    <w:rsid w:val="00C057D8"/>
    <w:rsid w:val="00C057E8"/>
    <w:rsid w:val="00C057EB"/>
    <w:rsid w:val="00C058FE"/>
    <w:rsid w:val="00C059F9"/>
    <w:rsid w:val="00C05A4F"/>
    <w:rsid w:val="00C05A88"/>
    <w:rsid w:val="00C05A9E"/>
    <w:rsid w:val="00C05AC8"/>
    <w:rsid w:val="00C05BC7"/>
    <w:rsid w:val="00C05CD7"/>
    <w:rsid w:val="00C05DEB"/>
    <w:rsid w:val="00C05EE6"/>
    <w:rsid w:val="00C05F86"/>
    <w:rsid w:val="00C05F8A"/>
    <w:rsid w:val="00C0603B"/>
    <w:rsid w:val="00C060BC"/>
    <w:rsid w:val="00C060D7"/>
    <w:rsid w:val="00C06231"/>
    <w:rsid w:val="00C06339"/>
    <w:rsid w:val="00C06389"/>
    <w:rsid w:val="00C0639A"/>
    <w:rsid w:val="00C063D3"/>
    <w:rsid w:val="00C063D7"/>
    <w:rsid w:val="00C063FB"/>
    <w:rsid w:val="00C06466"/>
    <w:rsid w:val="00C0669A"/>
    <w:rsid w:val="00C066D2"/>
    <w:rsid w:val="00C06725"/>
    <w:rsid w:val="00C067E3"/>
    <w:rsid w:val="00C068A2"/>
    <w:rsid w:val="00C06914"/>
    <w:rsid w:val="00C06ACB"/>
    <w:rsid w:val="00C06C80"/>
    <w:rsid w:val="00C06E1C"/>
    <w:rsid w:val="00C06E69"/>
    <w:rsid w:val="00C06E6A"/>
    <w:rsid w:val="00C06E7B"/>
    <w:rsid w:val="00C06EB8"/>
    <w:rsid w:val="00C06F0A"/>
    <w:rsid w:val="00C06F8D"/>
    <w:rsid w:val="00C0708F"/>
    <w:rsid w:val="00C0710B"/>
    <w:rsid w:val="00C0712F"/>
    <w:rsid w:val="00C07151"/>
    <w:rsid w:val="00C07253"/>
    <w:rsid w:val="00C07374"/>
    <w:rsid w:val="00C0754F"/>
    <w:rsid w:val="00C0773F"/>
    <w:rsid w:val="00C0787B"/>
    <w:rsid w:val="00C078DD"/>
    <w:rsid w:val="00C0795C"/>
    <w:rsid w:val="00C0798C"/>
    <w:rsid w:val="00C079A5"/>
    <w:rsid w:val="00C07A11"/>
    <w:rsid w:val="00C07A94"/>
    <w:rsid w:val="00C07B99"/>
    <w:rsid w:val="00C07C0A"/>
    <w:rsid w:val="00C07C4D"/>
    <w:rsid w:val="00C07CDA"/>
    <w:rsid w:val="00C07E3F"/>
    <w:rsid w:val="00C07E4F"/>
    <w:rsid w:val="00C07E75"/>
    <w:rsid w:val="00C07FDA"/>
    <w:rsid w:val="00C07FF7"/>
    <w:rsid w:val="00C07FFB"/>
    <w:rsid w:val="00C0865B"/>
    <w:rsid w:val="00C0C3C4"/>
    <w:rsid w:val="00C0D57A"/>
    <w:rsid w:val="00C10089"/>
    <w:rsid w:val="00C100FA"/>
    <w:rsid w:val="00C10142"/>
    <w:rsid w:val="00C10261"/>
    <w:rsid w:val="00C10289"/>
    <w:rsid w:val="00C103DB"/>
    <w:rsid w:val="00C103EE"/>
    <w:rsid w:val="00C104D3"/>
    <w:rsid w:val="00C10538"/>
    <w:rsid w:val="00C1069D"/>
    <w:rsid w:val="00C106FA"/>
    <w:rsid w:val="00C1072F"/>
    <w:rsid w:val="00C1075A"/>
    <w:rsid w:val="00C10781"/>
    <w:rsid w:val="00C10857"/>
    <w:rsid w:val="00C108ED"/>
    <w:rsid w:val="00C10BDE"/>
    <w:rsid w:val="00C10C50"/>
    <w:rsid w:val="00C10D4A"/>
    <w:rsid w:val="00C10D6D"/>
    <w:rsid w:val="00C10E72"/>
    <w:rsid w:val="00C10EB6"/>
    <w:rsid w:val="00C10F21"/>
    <w:rsid w:val="00C10FB0"/>
    <w:rsid w:val="00C1106C"/>
    <w:rsid w:val="00C11097"/>
    <w:rsid w:val="00C1110C"/>
    <w:rsid w:val="00C1116F"/>
    <w:rsid w:val="00C1128E"/>
    <w:rsid w:val="00C11326"/>
    <w:rsid w:val="00C113BB"/>
    <w:rsid w:val="00C113F1"/>
    <w:rsid w:val="00C114B4"/>
    <w:rsid w:val="00C114DD"/>
    <w:rsid w:val="00C115B1"/>
    <w:rsid w:val="00C116C7"/>
    <w:rsid w:val="00C116FF"/>
    <w:rsid w:val="00C1175B"/>
    <w:rsid w:val="00C11808"/>
    <w:rsid w:val="00C11820"/>
    <w:rsid w:val="00C118C2"/>
    <w:rsid w:val="00C118CF"/>
    <w:rsid w:val="00C1196A"/>
    <w:rsid w:val="00C119A0"/>
    <w:rsid w:val="00C11A65"/>
    <w:rsid w:val="00C11AC3"/>
    <w:rsid w:val="00C11BDF"/>
    <w:rsid w:val="00C11BF2"/>
    <w:rsid w:val="00C11C44"/>
    <w:rsid w:val="00C11E1C"/>
    <w:rsid w:val="00C11E22"/>
    <w:rsid w:val="00C11E9A"/>
    <w:rsid w:val="00C11FFB"/>
    <w:rsid w:val="00C12090"/>
    <w:rsid w:val="00C12250"/>
    <w:rsid w:val="00C1225C"/>
    <w:rsid w:val="00C122F1"/>
    <w:rsid w:val="00C124F8"/>
    <w:rsid w:val="00C12525"/>
    <w:rsid w:val="00C1263E"/>
    <w:rsid w:val="00C12684"/>
    <w:rsid w:val="00C126CE"/>
    <w:rsid w:val="00C126DF"/>
    <w:rsid w:val="00C1277C"/>
    <w:rsid w:val="00C127A3"/>
    <w:rsid w:val="00C127D4"/>
    <w:rsid w:val="00C12842"/>
    <w:rsid w:val="00C128BF"/>
    <w:rsid w:val="00C12910"/>
    <w:rsid w:val="00C12ACA"/>
    <w:rsid w:val="00C12B5D"/>
    <w:rsid w:val="00C12BA1"/>
    <w:rsid w:val="00C12BF3"/>
    <w:rsid w:val="00C12CA5"/>
    <w:rsid w:val="00C12DEA"/>
    <w:rsid w:val="00C12F92"/>
    <w:rsid w:val="00C12FD1"/>
    <w:rsid w:val="00C131E3"/>
    <w:rsid w:val="00C132AE"/>
    <w:rsid w:val="00C13305"/>
    <w:rsid w:val="00C13344"/>
    <w:rsid w:val="00C13369"/>
    <w:rsid w:val="00C13402"/>
    <w:rsid w:val="00C1354C"/>
    <w:rsid w:val="00C13672"/>
    <w:rsid w:val="00C1368D"/>
    <w:rsid w:val="00C13782"/>
    <w:rsid w:val="00C13817"/>
    <w:rsid w:val="00C1387B"/>
    <w:rsid w:val="00C138D4"/>
    <w:rsid w:val="00C138EB"/>
    <w:rsid w:val="00C1391A"/>
    <w:rsid w:val="00C1395A"/>
    <w:rsid w:val="00C13AB7"/>
    <w:rsid w:val="00C13B60"/>
    <w:rsid w:val="00C13B89"/>
    <w:rsid w:val="00C13BA8"/>
    <w:rsid w:val="00C13BD8"/>
    <w:rsid w:val="00C13CE7"/>
    <w:rsid w:val="00C13DFE"/>
    <w:rsid w:val="00C13E36"/>
    <w:rsid w:val="00C13E49"/>
    <w:rsid w:val="00C14020"/>
    <w:rsid w:val="00C1402E"/>
    <w:rsid w:val="00C14108"/>
    <w:rsid w:val="00C14214"/>
    <w:rsid w:val="00C142BE"/>
    <w:rsid w:val="00C142CD"/>
    <w:rsid w:val="00C14354"/>
    <w:rsid w:val="00C14375"/>
    <w:rsid w:val="00C143AA"/>
    <w:rsid w:val="00C143E8"/>
    <w:rsid w:val="00C143EA"/>
    <w:rsid w:val="00C14460"/>
    <w:rsid w:val="00C1450B"/>
    <w:rsid w:val="00C1460F"/>
    <w:rsid w:val="00C14666"/>
    <w:rsid w:val="00C14770"/>
    <w:rsid w:val="00C147F1"/>
    <w:rsid w:val="00C1483B"/>
    <w:rsid w:val="00C1487F"/>
    <w:rsid w:val="00C1489F"/>
    <w:rsid w:val="00C149DE"/>
    <w:rsid w:val="00C14AB2"/>
    <w:rsid w:val="00C14C6F"/>
    <w:rsid w:val="00C14CF4"/>
    <w:rsid w:val="00C14DFA"/>
    <w:rsid w:val="00C14E49"/>
    <w:rsid w:val="00C1500A"/>
    <w:rsid w:val="00C150BA"/>
    <w:rsid w:val="00C15199"/>
    <w:rsid w:val="00C151D7"/>
    <w:rsid w:val="00C151D9"/>
    <w:rsid w:val="00C1530A"/>
    <w:rsid w:val="00C15391"/>
    <w:rsid w:val="00C15422"/>
    <w:rsid w:val="00C154AB"/>
    <w:rsid w:val="00C154C1"/>
    <w:rsid w:val="00C154C8"/>
    <w:rsid w:val="00C156C5"/>
    <w:rsid w:val="00C15711"/>
    <w:rsid w:val="00C15748"/>
    <w:rsid w:val="00C158AB"/>
    <w:rsid w:val="00C158BC"/>
    <w:rsid w:val="00C158E8"/>
    <w:rsid w:val="00C15941"/>
    <w:rsid w:val="00C15975"/>
    <w:rsid w:val="00C159AA"/>
    <w:rsid w:val="00C15A71"/>
    <w:rsid w:val="00C15B33"/>
    <w:rsid w:val="00C15C7E"/>
    <w:rsid w:val="00C15D02"/>
    <w:rsid w:val="00C15D36"/>
    <w:rsid w:val="00C15DF3"/>
    <w:rsid w:val="00C15E24"/>
    <w:rsid w:val="00C15E44"/>
    <w:rsid w:val="00C15ECB"/>
    <w:rsid w:val="00C15F31"/>
    <w:rsid w:val="00C15F7D"/>
    <w:rsid w:val="00C16167"/>
    <w:rsid w:val="00C161AA"/>
    <w:rsid w:val="00C1628C"/>
    <w:rsid w:val="00C163FA"/>
    <w:rsid w:val="00C16456"/>
    <w:rsid w:val="00C1649A"/>
    <w:rsid w:val="00C1668C"/>
    <w:rsid w:val="00C166B6"/>
    <w:rsid w:val="00C166D6"/>
    <w:rsid w:val="00C16773"/>
    <w:rsid w:val="00C16829"/>
    <w:rsid w:val="00C16928"/>
    <w:rsid w:val="00C169EB"/>
    <w:rsid w:val="00C16A07"/>
    <w:rsid w:val="00C16AE7"/>
    <w:rsid w:val="00C16B04"/>
    <w:rsid w:val="00C16B40"/>
    <w:rsid w:val="00C16B8F"/>
    <w:rsid w:val="00C16B94"/>
    <w:rsid w:val="00C16BD6"/>
    <w:rsid w:val="00C16C6D"/>
    <w:rsid w:val="00C16D25"/>
    <w:rsid w:val="00C16D81"/>
    <w:rsid w:val="00C16DAB"/>
    <w:rsid w:val="00C16DDC"/>
    <w:rsid w:val="00C16E0D"/>
    <w:rsid w:val="00C16E5B"/>
    <w:rsid w:val="00C16FC6"/>
    <w:rsid w:val="00C17079"/>
    <w:rsid w:val="00C1707C"/>
    <w:rsid w:val="00C170A9"/>
    <w:rsid w:val="00C170DC"/>
    <w:rsid w:val="00C172D5"/>
    <w:rsid w:val="00C173AD"/>
    <w:rsid w:val="00C173F4"/>
    <w:rsid w:val="00C173F5"/>
    <w:rsid w:val="00C17431"/>
    <w:rsid w:val="00C174DE"/>
    <w:rsid w:val="00C1755F"/>
    <w:rsid w:val="00C176BE"/>
    <w:rsid w:val="00C1785B"/>
    <w:rsid w:val="00C178CE"/>
    <w:rsid w:val="00C178F6"/>
    <w:rsid w:val="00C179A4"/>
    <w:rsid w:val="00C17A86"/>
    <w:rsid w:val="00C17B1B"/>
    <w:rsid w:val="00C17BDA"/>
    <w:rsid w:val="00C17C3A"/>
    <w:rsid w:val="00C17D2E"/>
    <w:rsid w:val="00C17DCA"/>
    <w:rsid w:val="00C17EA7"/>
    <w:rsid w:val="00C17ED4"/>
    <w:rsid w:val="00C17F03"/>
    <w:rsid w:val="00C17F2A"/>
    <w:rsid w:val="00C17F49"/>
    <w:rsid w:val="00C17F79"/>
    <w:rsid w:val="00C17F98"/>
    <w:rsid w:val="00C18B86"/>
    <w:rsid w:val="00C1A750"/>
    <w:rsid w:val="00C1EDA7"/>
    <w:rsid w:val="00C2008E"/>
    <w:rsid w:val="00C200AC"/>
    <w:rsid w:val="00C200AF"/>
    <w:rsid w:val="00C202D8"/>
    <w:rsid w:val="00C20357"/>
    <w:rsid w:val="00C2036D"/>
    <w:rsid w:val="00C203CA"/>
    <w:rsid w:val="00C2051D"/>
    <w:rsid w:val="00C205ED"/>
    <w:rsid w:val="00C20680"/>
    <w:rsid w:val="00C206D7"/>
    <w:rsid w:val="00C207D4"/>
    <w:rsid w:val="00C209D4"/>
    <w:rsid w:val="00C20A3B"/>
    <w:rsid w:val="00C20A74"/>
    <w:rsid w:val="00C20D08"/>
    <w:rsid w:val="00C20D0C"/>
    <w:rsid w:val="00C20D61"/>
    <w:rsid w:val="00C20DDA"/>
    <w:rsid w:val="00C20E65"/>
    <w:rsid w:val="00C20F62"/>
    <w:rsid w:val="00C20FF3"/>
    <w:rsid w:val="00C2112B"/>
    <w:rsid w:val="00C21188"/>
    <w:rsid w:val="00C2119C"/>
    <w:rsid w:val="00C213D2"/>
    <w:rsid w:val="00C214EB"/>
    <w:rsid w:val="00C21540"/>
    <w:rsid w:val="00C215C8"/>
    <w:rsid w:val="00C21704"/>
    <w:rsid w:val="00C2172A"/>
    <w:rsid w:val="00C2177C"/>
    <w:rsid w:val="00C217A5"/>
    <w:rsid w:val="00C21826"/>
    <w:rsid w:val="00C218D1"/>
    <w:rsid w:val="00C21913"/>
    <w:rsid w:val="00C21BE0"/>
    <w:rsid w:val="00C21BE8"/>
    <w:rsid w:val="00C21C7C"/>
    <w:rsid w:val="00C21C9A"/>
    <w:rsid w:val="00C21DE1"/>
    <w:rsid w:val="00C21F77"/>
    <w:rsid w:val="00C21F93"/>
    <w:rsid w:val="00C22036"/>
    <w:rsid w:val="00C22064"/>
    <w:rsid w:val="00C223CB"/>
    <w:rsid w:val="00C2243B"/>
    <w:rsid w:val="00C2257B"/>
    <w:rsid w:val="00C225ED"/>
    <w:rsid w:val="00C22601"/>
    <w:rsid w:val="00C2272F"/>
    <w:rsid w:val="00C22C00"/>
    <w:rsid w:val="00C22C14"/>
    <w:rsid w:val="00C22C34"/>
    <w:rsid w:val="00C22C77"/>
    <w:rsid w:val="00C22C90"/>
    <w:rsid w:val="00C22CB5"/>
    <w:rsid w:val="00C22CDA"/>
    <w:rsid w:val="00C22D49"/>
    <w:rsid w:val="00C22D4F"/>
    <w:rsid w:val="00C22E6B"/>
    <w:rsid w:val="00C22E82"/>
    <w:rsid w:val="00C22E91"/>
    <w:rsid w:val="00C22E92"/>
    <w:rsid w:val="00C22F36"/>
    <w:rsid w:val="00C22F65"/>
    <w:rsid w:val="00C23035"/>
    <w:rsid w:val="00C231C2"/>
    <w:rsid w:val="00C23260"/>
    <w:rsid w:val="00C232A3"/>
    <w:rsid w:val="00C232BA"/>
    <w:rsid w:val="00C23319"/>
    <w:rsid w:val="00C23340"/>
    <w:rsid w:val="00C23408"/>
    <w:rsid w:val="00C23462"/>
    <w:rsid w:val="00C236DA"/>
    <w:rsid w:val="00C238EF"/>
    <w:rsid w:val="00C23932"/>
    <w:rsid w:val="00C2396E"/>
    <w:rsid w:val="00C239AC"/>
    <w:rsid w:val="00C23A61"/>
    <w:rsid w:val="00C23BB4"/>
    <w:rsid w:val="00C23BB8"/>
    <w:rsid w:val="00C23CA4"/>
    <w:rsid w:val="00C23CF5"/>
    <w:rsid w:val="00C23D90"/>
    <w:rsid w:val="00C23DF2"/>
    <w:rsid w:val="00C2404B"/>
    <w:rsid w:val="00C2422B"/>
    <w:rsid w:val="00C24268"/>
    <w:rsid w:val="00C242B6"/>
    <w:rsid w:val="00C242C6"/>
    <w:rsid w:val="00C24320"/>
    <w:rsid w:val="00C24321"/>
    <w:rsid w:val="00C24428"/>
    <w:rsid w:val="00C24485"/>
    <w:rsid w:val="00C2459E"/>
    <w:rsid w:val="00C24683"/>
    <w:rsid w:val="00C246E7"/>
    <w:rsid w:val="00C2484D"/>
    <w:rsid w:val="00C248B0"/>
    <w:rsid w:val="00C249C3"/>
    <w:rsid w:val="00C24A30"/>
    <w:rsid w:val="00C24DCF"/>
    <w:rsid w:val="00C24E86"/>
    <w:rsid w:val="00C24E89"/>
    <w:rsid w:val="00C24F2E"/>
    <w:rsid w:val="00C24F5A"/>
    <w:rsid w:val="00C25287"/>
    <w:rsid w:val="00C252BA"/>
    <w:rsid w:val="00C25390"/>
    <w:rsid w:val="00C2546B"/>
    <w:rsid w:val="00C2547B"/>
    <w:rsid w:val="00C2555E"/>
    <w:rsid w:val="00C256A1"/>
    <w:rsid w:val="00C25872"/>
    <w:rsid w:val="00C258E6"/>
    <w:rsid w:val="00C2596E"/>
    <w:rsid w:val="00C259C6"/>
    <w:rsid w:val="00C25A3C"/>
    <w:rsid w:val="00C25B7C"/>
    <w:rsid w:val="00C25BBA"/>
    <w:rsid w:val="00C25C05"/>
    <w:rsid w:val="00C25C1D"/>
    <w:rsid w:val="00C25CC2"/>
    <w:rsid w:val="00C25D1D"/>
    <w:rsid w:val="00C25DDF"/>
    <w:rsid w:val="00C25E0B"/>
    <w:rsid w:val="00C25E5E"/>
    <w:rsid w:val="00C25F49"/>
    <w:rsid w:val="00C25F94"/>
    <w:rsid w:val="00C25FAD"/>
    <w:rsid w:val="00C25FD5"/>
    <w:rsid w:val="00C2601B"/>
    <w:rsid w:val="00C26139"/>
    <w:rsid w:val="00C2615F"/>
    <w:rsid w:val="00C26217"/>
    <w:rsid w:val="00C263C8"/>
    <w:rsid w:val="00C2658A"/>
    <w:rsid w:val="00C265B6"/>
    <w:rsid w:val="00C26656"/>
    <w:rsid w:val="00C266A3"/>
    <w:rsid w:val="00C26781"/>
    <w:rsid w:val="00C2684A"/>
    <w:rsid w:val="00C268FE"/>
    <w:rsid w:val="00C26978"/>
    <w:rsid w:val="00C269E3"/>
    <w:rsid w:val="00C26A61"/>
    <w:rsid w:val="00C26A6C"/>
    <w:rsid w:val="00C26B51"/>
    <w:rsid w:val="00C26BE8"/>
    <w:rsid w:val="00C26C26"/>
    <w:rsid w:val="00C26C40"/>
    <w:rsid w:val="00C26D27"/>
    <w:rsid w:val="00C26DD3"/>
    <w:rsid w:val="00C26E37"/>
    <w:rsid w:val="00C26F0E"/>
    <w:rsid w:val="00C27096"/>
    <w:rsid w:val="00C27121"/>
    <w:rsid w:val="00C27147"/>
    <w:rsid w:val="00C271EB"/>
    <w:rsid w:val="00C27287"/>
    <w:rsid w:val="00C27339"/>
    <w:rsid w:val="00C273BA"/>
    <w:rsid w:val="00C27483"/>
    <w:rsid w:val="00C274B1"/>
    <w:rsid w:val="00C275DA"/>
    <w:rsid w:val="00C2764C"/>
    <w:rsid w:val="00C27670"/>
    <w:rsid w:val="00C276CC"/>
    <w:rsid w:val="00C2774E"/>
    <w:rsid w:val="00C277FF"/>
    <w:rsid w:val="00C2781C"/>
    <w:rsid w:val="00C2789D"/>
    <w:rsid w:val="00C2793F"/>
    <w:rsid w:val="00C27A3E"/>
    <w:rsid w:val="00C27A9C"/>
    <w:rsid w:val="00C27B58"/>
    <w:rsid w:val="00C27BB9"/>
    <w:rsid w:val="00C27BC7"/>
    <w:rsid w:val="00C27BDC"/>
    <w:rsid w:val="00C27C72"/>
    <w:rsid w:val="00C27CD0"/>
    <w:rsid w:val="00C27D6B"/>
    <w:rsid w:val="00C27E3E"/>
    <w:rsid w:val="00C2BC8A"/>
    <w:rsid w:val="00C2DA90"/>
    <w:rsid w:val="00C2E999"/>
    <w:rsid w:val="00C3002D"/>
    <w:rsid w:val="00C301DC"/>
    <w:rsid w:val="00C30339"/>
    <w:rsid w:val="00C3034F"/>
    <w:rsid w:val="00C30361"/>
    <w:rsid w:val="00C304CC"/>
    <w:rsid w:val="00C30543"/>
    <w:rsid w:val="00C30683"/>
    <w:rsid w:val="00C3071C"/>
    <w:rsid w:val="00C3081C"/>
    <w:rsid w:val="00C309D4"/>
    <w:rsid w:val="00C309D5"/>
    <w:rsid w:val="00C309E6"/>
    <w:rsid w:val="00C30AC6"/>
    <w:rsid w:val="00C30B69"/>
    <w:rsid w:val="00C30BE2"/>
    <w:rsid w:val="00C30C59"/>
    <w:rsid w:val="00C30D2C"/>
    <w:rsid w:val="00C30DEF"/>
    <w:rsid w:val="00C30E01"/>
    <w:rsid w:val="00C30E05"/>
    <w:rsid w:val="00C30E96"/>
    <w:rsid w:val="00C30EE6"/>
    <w:rsid w:val="00C30FCD"/>
    <w:rsid w:val="00C3100C"/>
    <w:rsid w:val="00C31060"/>
    <w:rsid w:val="00C31065"/>
    <w:rsid w:val="00C31195"/>
    <w:rsid w:val="00C311E2"/>
    <w:rsid w:val="00C3123B"/>
    <w:rsid w:val="00C31297"/>
    <w:rsid w:val="00C31422"/>
    <w:rsid w:val="00C31579"/>
    <w:rsid w:val="00C316C5"/>
    <w:rsid w:val="00C31734"/>
    <w:rsid w:val="00C319BE"/>
    <w:rsid w:val="00C31A75"/>
    <w:rsid w:val="00C31A8B"/>
    <w:rsid w:val="00C31B9B"/>
    <w:rsid w:val="00C31B9F"/>
    <w:rsid w:val="00C31BDD"/>
    <w:rsid w:val="00C31C47"/>
    <w:rsid w:val="00C31C68"/>
    <w:rsid w:val="00C31C77"/>
    <w:rsid w:val="00C31DA6"/>
    <w:rsid w:val="00C31DCF"/>
    <w:rsid w:val="00C31E2D"/>
    <w:rsid w:val="00C31F6A"/>
    <w:rsid w:val="00C31FE2"/>
    <w:rsid w:val="00C3213F"/>
    <w:rsid w:val="00C321BC"/>
    <w:rsid w:val="00C3236B"/>
    <w:rsid w:val="00C32441"/>
    <w:rsid w:val="00C325E3"/>
    <w:rsid w:val="00C326EF"/>
    <w:rsid w:val="00C3279D"/>
    <w:rsid w:val="00C328F3"/>
    <w:rsid w:val="00C32966"/>
    <w:rsid w:val="00C32A65"/>
    <w:rsid w:val="00C32B40"/>
    <w:rsid w:val="00C32B6B"/>
    <w:rsid w:val="00C32C75"/>
    <w:rsid w:val="00C32D05"/>
    <w:rsid w:val="00C32D9B"/>
    <w:rsid w:val="00C32E1B"/>
    <w:rsid w:val="00C32EC6"/>
    <w:rsid w:val="00C32F7A"/>
    <w:rsid w:val="00C32FF6"/>
    <w:rsid w:val="00C33119"/>
    <w:rsid w:val="00C3319D"/>
    <w:rsid w:val="00C332BD"/>
    <w:rsid w:val="00C332E5"/>
    <w:rsid w:val="00C3339D"/>
    <w:rsid w:val="00C333CA"/>
    <w:rsid w:val="00C3343C"/>
    <w:rsid w:val="00C334CD"/>
    <w:rsid w:val="00C334E8"/>
    <w:rsid w:val="00C335F9"/>
    <w:rsid w:val="00C3367D"/>
    <w:rsid w:val="00C3371B"/>
    <w:rsid w:val="00C33757"/>
    <w:rsid w:val="00C33841"/>
    <w:rsid w:val="00C338F5"/>
    <w:rsid w:val="00C33B41"/>
    <w:rsid w:val="00C33C35"/>
    <w:rsid w:val="00C33C72"/>
    <w:rsid w:val="00C33D72"/>
    <w:rsid w:val="00C33DE8"/>
    <w:rsid w:val="00C33E31"/>
    <w:rsid w:val="00C33E42"/>
    <w:rsid w:val="00C33EB5"/>
    <w:rsid w:val="00C33F2B"/>
    <w:rsid w:val="00C33FAA"/>
    <w:rsid w:val="00C33FFE"/>
    <w:rsid w:val="00C34041"/>
    <w:rsid w:val="00C340E0"/>
    <w:rsid w:val="00C3416F"/>
    <w:rsid w:val="00C34213"/>
    <w:rsid w:val="00C34383"/>
    <w:rsid w:val="00C3456A"/>
    <w:rsid w:val="00C345A6"/>
    <w:rsid w:val="00C3473B"/>
    <w:rsid w:val="00C34776"/>
    <w:rsid w:val="00C348FF"/>
    <w:rsid w:val="00C349A0"/>
    <w:rsid w:val="00C349C2"/>
    <w:rsid w:val="00C34ABF"/>
    <w:rsid w:val="00C34AD4"/>
    <w:rsid w:val="00C34B70"/>
    <w:rsid w:val="00C34BA8"/>
    <w:rsid w:val="00C34C37"/>
    <w:rsid w:val="00C34D45"/>
    <w:rsid w:val="00C34ECF"/>
    <w:rsid w:val="00C34EDA"/>
    <w:rsid w:val="00C34FE4"/>
    <w:rsid w:val="00C35328"/>
    <w:rsid w:val="00C354C0"/>
    <w:rsid w:val="00C355C3"/>
    <w:rsid w:val="00C3568D"/>
    <w:rsid w:val="00C35701"/>
    <w:rsid w:val="00C35759"/>
    <w:rsid w:val="00C357B4"/>
    <w:rsid w:val="00C357C4"/>
    <w:rsid w:val="00C35852"/>
    <w:rsid w:val="00C35944"/>
    <w:rsid w:val="00C35AAE"/>
    <w:rsid w:val="00C35AE9"/>
    <w:rsid w:val="00C35B43"/>
    <w:rsid w:val="00C35B99"/>
    <w:rsid w:val="00C35C4E"/>
    <w:rsid w:val="00C35CD8"/>
    <w:rsid w:val="00C35CDE"/>
    <w:rsid w:val="00C35D78"/>
    <w:rsid w:val="00C35EE2"/>
    <w:rsid w:val="00C35F36"/>
    <w:rsid w:val="00C35FA4"/>
    <w:rsid w:val="00C35FCC"/>
    <w:rsid w:val="00C360DD"/>
    <w:rsid w:val="00C36186"/>
    <w:rsid w:val="00C36206"/>
    <w:rsid w:val="00C3621E"/>
    <w:rsid w:val="00C36294"/>
    <w:rsid w:val="00C363C0"/>
    <w:rsid w:val="00C3646C"/>
    <w:rsid w:val="00C36498"/>
    <w:rsid w:val="00C364C7"/>
    <w:rsid w:val="00C36582"/>
    <w:rsid w:val="00C365F5"/>
    <w:rsid w:val="00C36624"/>
    <w:rsid w:val="00C36679"/>
    <w:rsid w:val="00C366C0"/>
    <w:rsid w:val="00C36740"/>
    <w:rsid w:val="00C3674E"/>
    <w:rsid w:val="00C367FF"/>
    <w:rsid w:val="00C3693F"/>
    <w:rsid w:val="00C369D5"/>
    <w:rsid w:val="00C36A45"/>
    <w:rsid w:val="00C36A97"/>
    <w:rsid w:val="00C36BAD"/>
    <w:rsid w:val="00C36C16"/>
    <w:rsid w:val="00C36C94"/>
    <w:rsid w:val="00C36D39"/>
    <w:rsid w:val="00C36DEF"/>
    <w:rsid w:val="00C36E1B"/>
    <w:rsid w:val="00C36E24"/>
    <w:rsid w:val="00C36E8C"/>
    <w:rsid w:val="00C36EE1"/>
    <w:rsid w:val="00C36EFA"/>
    <w:rsid w:val="00C3705E"/>
    <w:rsid w:val="00C371F9"/>
    <w:rsid w:val="00C37340"/>
    <w:rsid w:val="00C373A8"/>
    <w:rsid w:val="00C3748F"/>
    <w:rsid w:val="00C374EE"/>
    <w:rsid w:val="00C375A9"/>
    <w:rsid w:val="00C3762D"/>
    <w:rsid w:val="00C3767D"/>
    <w:rsid w:val="00C37739"/>
    <w:rsid w:val="00C3773D"/>
    <w:rsid w:val="00C377DA"/>
    <w:rsid w:val="00C37831"/>
    <w:rsid w:val="00C37859"/>
    <w:rsid w:val="00C378AB"/>
    <w:rsid w:val="00C378F0"/>
    <w:rsid w:val="00C37943"/>
    <w:rsid w:val="00C3795A"/>
    <w:rsid w:val="00C3798C"/>
    <w:rsid w:val="00C37A0B"/>
    <w:rsid w:val="00C37AC4"/>
    <w:rsid w:val="00C37B53"/>
    <w:rsid w:val="00C37BF4"/>
    <w:rsid w:val="00C37C63"/>
    <w:rsid w:val="00C37CA4"/>
    <w:rsid w:val="00C37CD7"/>
    <w:rsid w:val="00C37D75"/>
    <w:rsid w:val="00C37E0A"/>
    <w:rsid w:val="00C37E6F"/>
    <w:rsid w:val="00C37E8C"/>
    <w:rsid w:val="00C37EE4"/>
    <w:rsid w:val="00C3E885"/>
    <w:rsid w:val="00C4000B"/>
    <w:rsid w:val="00C40066"/>
    <w:rsid w:val="00C401DF"/>
    <w:rsid w:val="00C40280"/>
    <w:rsid w:val="00C40325"/>
    <w:rsid w:val="00C40342"/>
    <w:rsid w:val="00C4034E"/>
    <w:rsid w:val="00C403C9"/>
    <w:rsid w:val="00C40649"/>
    <w:rsid w:val="00C40898"/>
    <w:rsid w:val="00C409CB"/>
    <w:rsid w:val="00C409CF"/>
    <w:rsid w:val="00C409E5"/>
    <w:rsid w:val="00C40B80"/>
    <w:rsid w:val="00C40C26"/>
    <w:rsid w:val="00C40C32"/>
    <w:rsid w:val="00C40C8D"/>
    <w:rsid w:val="00C40CE6"/>
    <w:rsid w:val="00C40D8E"/>
    <w:rsid w:val="00C40EAF"/>
    <w:rsid w:val="00C40F5D"/>
    <w:rsid w:val="00C40FA8"/>
    <w:rsid w:val="00C410D6"/>
    <w:rsid w:val="00C41162"/>
    <w:rsid w:val="00C411D1"/>
    <w:rsid w:val="00C4122F"/>
    <w:rsid w:val="00C41331"/>
    <w:rsid w:val="00C41377"/>
    <w:rsid w:val="00C413BE"/>
    <w:rsid w:val="00C413F5"/>
    <w:rsid w:val="00C41455"/>
    <w:rsid w:val="00C415F4"/>
    <w:rsid w:val="00C4169A"/>
    <w:rsid w:val="00C417C2"/>
    <w:rsid w:val="00C4189A"/>
    <w:rsid w:val="00C41A04"/>
    <w:rsid w:val="00C41A65"/>
    <w:rsid w:val="00C41A7A"/>
    <w:rsid w:val="00C41AE0"/>
    <w:rsid w:val="00C41AE5"/>
    <w:rsid w:val="00C41BBE"/>
    <w:rsid w:val="00C41BF5"/>
    <w:rsid w:val="00C41C48"/>
    <w:rsid w:val="00C41CCD"/>
    <w:rsid w:val="00C41D47"/>
    <w:rsid w:val="00C41E6F"/>
    <w:rsid w:val="00C41FE9"/>
    <w:rsid w:val="00C4201C"/>
    <w:rsid w:val="00C420AC"/>
    <w:rsid w:val="00C420B1"/>
    <w:rsid w:val="00C420F0"/>
    <w:rsid w:val="00C4229D"/>
    <w:rsid w:val="00C423D2"/>
    <w:rsid w:val="00C42404"/>
    <w:rsid w:val="00C42543"/>
    <w:rsid w:val="00C42581"/>
    <w:rsid w:val="00C426F4"/>
    <w:rsid w:val="00C428FF"/>
    <w:rsid w:val="00C42926"/>
    <w:rsid w:val="00C42982"/>
    <w:rsid w:val="00C429CB"/>
    <w:rsid w:val="00C42AA8"/>
    <w:rsid w:val="00C42AEC"/>
    <w:rsid w:val="00C42C04"/>
    <w:rsid w:val="00C42C37"/>
    <w:rsid w:val="00C42D05"/>
    <w:rsid w:val="00C42D10"/>
    <w:rsid w:val="00C42DDF"/>
    <w:rsid w:val="00C42E2D"/>
    <w:rsid w:val="00C42E5F"/>
    <w:rsid w:val="00C42EE6"/>
    <w:rsid w:val="00C42F71"/>
    <w:rsid w:val="00C42F7F"/>
    <w:rsid w:val="00C42FF2"/>
    <w:rsid w:val="00C43120"/>
    <w:rsid w:val="00C43192"/>
    <w:rsid w:val="00C431FE"/>
    <w:rsid w:val="00C432BD"/>
    <w:rsid w:val="00C43311"/>
    <w:rsid w:val="00C4331B"/>
    <w:rsid w:val="00C4336A"/>
    <w:rsid w:val="00C4345F"/>
    <w:rsid w:val="00C43579"/>
    <w:rsid w:val="00C43687"/>
    <w:rsid w:val="00C436DC"/>
    <w:rsid w:val="00C438CF"/>
    <w:rsid w:val="00C438E9"/>
    <w:rsid w:val="00C43977"/>
    <w:rsid w:val="00C43BFA"/>
    <w:rsid w:val="00C43D02"/>
    <w:rsid w:val="00C43DE2"/>
    <w:rsid w:val="00C43E2A"/>
    <w:rsid w:val="00C43E5C"/>
    <w:rsid w:val="00C43EAA"/>
    <w:rsid w:val="00C43EB3"/>
    <w:rsid w:val="00C440A8"/>
    <w:rsid w:val="00C440C6"/>
    <w:rsid w:val="00C44111"/>
    <w:rsid w:val="00C4419E"/>
    <w:rsid w:val="00C441EE"/>
    <w:rsid w:val="00C4422A"/>
    <w:rsid w:val="00C442C3"/>
    <w:rsid w:val="00C442E8"/>
    <w:rsid w:val="00C44305"/>
    <w:rsid w:val="00C4433B"/>
    <w:rsid w:val="00C443E9"/>
    <w:rsid w:val="00C4441D"/>
    <w:rsid w:val="00C44443"/>
    <w:rsid w:val="00C44578"/>
    <w:rsid w:val="00C44739"/>
    <w:rsid w:val="00C44755"/>
    <w:rsid w:val="00C447D2"/>
    <w:rsid w:val="00C448BB"/>
    <w:rsid w:val="00C448D1"/>
    <w:rsid w:val="00C448E7"/>
    <w:rsid w:val="00C449ED"/>
    <w:rsid w:val="00C44B00"/>
    <w:rsid w:val="00C44C8E"/>
    <w:rsid w:val="00C44F6E"/>
    <w:rsid w:val="00C45030"/>
    <w:rsid w:val="00C45054"/>
    <w:rsid w:val="00C4508D"/>
    <w:rsid w:val="00C45148"/>
    <w:rsid w:val="00C451BB"/>
    <w:rsid w:val="00C451EB"/>
    <w:rsid w:val="00C452EC"/>
    <w:rsid w:val="00C4536B"/>
    <w:rsid w:val="00C45461"/>
    <w:rsid w:val="00C45465"/>
    <w:rsid w:val="00C4548F"/>
    <w:rsid w:val="00C45577"/>
    <w:rsid w:val="00C455BD"/>
    <w:rsid w:val="00C45692"/>
    <w:rsid w:val="00C4569B"/>
    <w:rsid w:val="00C456F2"/>
    <w:rsid w:val="00C45769"/>
    <w:rsid w:val="00C4585E"/>
    <w:rsid w:val="00C45937"/>
    <w:rsid w:val="00C4597D"/>
    <w:rsid w:val="00C45A91"/>
    <w:rsid w:val="00C45B58"/>
    <w:rsid w:val="00C45BEF"/>
    <w:rsid w:val="00C45C38"/>
    <w:rsid w:val="00C45C58"/>
    <w:rsid w:val="00C45CA7"/>
    <w:rsid w:val="00C45CE8"/>
    <w:rsid w:val="00C45D0B"/>
    <w:rsid w:val="00C45D57"/>
    <w:rsid w:val="00C45F1F"/>
    <w:rsid w:val="00C45FE2"/>
    <w:rsid w:val="00C461EC"/>
    <w:rsid w:val="00C46269"/>
    <w:rsid w:val="00C46432"/>
    <w:rsid w:val="00C4649F"/>
    <w:rsid w:val="00C4664D"/>
    <w:rsid w:val="00C46660"/>
    <w:rsid w:val="00C467D4"/>
    <w:rsid w:val="00C4682F"/>
    <w:rsid w:val="00C46975"/>
    <w:rsid w:val="00C469AA"/>
    <w:rsid w:val="00C469D9"/>
    <w:rsid w:val="00C46ABD"/>
    <w:rsid w:val="00C46B81"/>
    <w:rsid w:val="00C46C61"/>
    <w:rsid w:val="00C46DBD"/>
    <w:rsid w:val="00C46E0A"/>
    <w:rsid w:val="00C46E36"/>
    <w:rsid w:val="00C46F0F"/>
    <w:rsid w:val="00C46F79"/>
    <w:rsid w:val="00C46F92"/>
    <w:rsid w:val="00C47057"/>
    <w:rsid w:val="00C470C3"/>
    <w:rsid w:val="00C47141"/>
    <w:rsid w:val="00C4725E"/>
    <w:rsid w:val="00C47328"/>
    <w:rsid w:val="00C47339"/>
    <w:rsid w:val="00C473F7"/>
    <w:rsid w:val="00C47427"/>
    <w:rsid w:val="00C47464"/>
    <w:rsid w:val="00C47598"/>
    <w:rsid w:val="00C476B2"/>
    <w:rsid w:val="00C476D4"/>
    <w:rsid w:val="00C476D7"/>
    <w:rsid w:val="00C47757"/>
    <w:rsid w:val="00C477E6"/>
    <w:rsid w:val="00C479D2"/>
    <w:rsid w:val="00C47B58"/>
    <w:rsid w:val="00C47B7C"/>
    <w:rsid w:val="00C47BE2"/>
    <w:rsid w:val="00C47C56"/>
    <w:rsid w:val="00C47C5B"/>
    <w:rsid w:val="00C47C5C"/>
    <w:rsid w:val="00C47E7C"/>
    <w:rsid w:val="00C47F0F"/>
    <w:rsid w:val="00C47F39"/>
    <w:rsid w:val="00C47F79"/>
    <w:rsid w:val="00C47FA1"/>
    <w:rsid w:val="00C47FE3"/>
    <w:rsid w:val="00C47FFC"/>
    <w:rsid w:val="00C4B08F"/>
    <w:rsid w:val="00C5006B"/>
    <w:rsid w:val="00C5016E"/>
    <w:rsid w:val="00C50216"/>
    <w:rsid w:val="00C50253"/>
    <w:rsid w:val="00C503C2"/>
    <w:rsid w:val="00C5052C"/>
    <w:rsid w:val="00C5058F"/>
    <w:rsid w:val="00C505DB"/>
    <w:rsid w:val="00C50654"/>
    <w:rsid w:val="00C50756"/>
    <w:rsid w:val="00C507B5"/>
    <w:rsid w:val="00C50838"/>
    <w:rsid w:val="00C50856"/>
    <w:rsid w:val="00C50905"/>
    <w:rsid w:val="00C50AA3"/>
    <w:rsid w:val="00C50C8F"/>
    <w:rsid w:val="00C50CD4"/>
    <w:rsid w:val="00C50CE0"/>
    <w:rsid w:val="00C50D2D"/>
    <w:rsid w:val="00C50F52"/>
    <w:rsid w:val="00C50F54"/>
    <w:rsid w:val="00C51043"/>
    <w:rsid w:val="00C510C3"/>
    <w:rsid w:val="00C511E8"/>
    <w:rsid w:val="00C512AB"/>
    <w:rsid w:val="00C512BC"/>
    <w:rsid w:val="00C512CA"/>
    <w:rsid w:val="00C512D1"/>
    <w:rsid w:val="00C51360"/>
    <w:rsid w:val="00C5136A"/>
    <w:rsid w:val="00C51392"/>
    <w:rsid w:val="00C51395"/>
    <w:rsid w:val="00C51430"/>
    <w:rsid w:val="00C515A5"/>
    <w:rsid w:val="00C51654"/>
    <w:rsid w:val="00C51663"/>
    <w:rsid w:val="00C5183F"/>
    <w:rsid w:val="00C5186C"/>
    <w:rsid w:val="00C51876"/>
    <w:rsid w:val="00C51926"/>
    <w:rsid w:val="00C51969"/>
    <w:rsid w:val="00C51A4D"/>
    <w:rsid w:val="00C51B18"/>
    <w:rsid w:val="00C51C3A"/>
    <w:rsid w:val="00C51C93"/>
    <w:rsid w:val="00C51CD5"/>
    <w:rsid w:val="00C51EC2"/>
    <w:rsid w:val="00C520B5"/>
    <w:rsid w:val="00C520F3"/>
    <w:rsid w:val="00C521D7"/>
    <w:rsid w:val="00C52247"/>
    <w:rsid w:val="00C52368"/>
    <w:rsid w:val="00C525D4"/>
    <w:rsid w:val="00C52675"/>
    <w:rsid w:val="00C52682"/>
    <w:rsid w:val="00C528A1"/>
    <w:rsid w:val="00C529A1"/>
    <w:rsid w:val="00C52A0F"/>
    <w:rsid w:val="00C52A53"/>
    <w:rsid w:val="00C52AD3"/>
    <w:rsid w:val="00C52AFA"/>
    <w:rsid w:val="00C52B66"/>
    <w:rsid w:val="00C52B75"/>
    <w:rsid w:val="00C52C3B"/>
    <w:rsid w:val="00C52C69"/>
    <w:rsid w:val="00C52CE2"/>
    <w:rsid w:val="00C52D63"/>
    <w:rsid w:val="00C52F26"/>
    <w:rsid w:val="00C52FF4"/>
    <w:rsid w:val="00C5307F"/>
    <w:rsid w:val="00C530AB"/>
    <w:rsid w:val="00C5316A"/>
    <w:rsid w:val="00C531BB"/>
    <w:rsid w:val="00C53242"/>
    <w:rsid w:val="00C532C2"/>
    <w:rsid w:val="00C53321"/>
    <w:rsid w:val="00C533E0"/>
    <w:rsid w:val="00C533E7"/>
    <w:rsid w:val="00C534BE"/>
    <w:rsid w:val="00C534D2"/>
    <w:rsid w:val="00C53517"/>
    <w:rsid w:val="00C53583"/>
    <w:rsid w:val="00C5365B"/>
    <w:rsid w:val="00C53719"/>
    <w:rsid w:val="00C537B4"/>
    <w:rsid w:val="00C53970"/>
    <w:rsid w:val="00C53976"/>
    <w:rsid w:val="00C53A1B"/>
    <w:rsid w:val="00C53B32"/>
    <w:rsid w:val="00C53B80"/>
    <w:rsid w:val="00C53C6F"/>
    <w:rsid w:val="00C53CBC"/>
    <w:rsid w:val="00C53D3D"/>
    <w:rsid w:val="00C53D72"/>
    <w:rsid w:val="00C53D98"/>
    <w:rsid w:val="00C53E32"/>
    <w:rsid w:val="00C53FA4"/>
    <w:rsid w:val="00C53FB1"/>
    <w:rsid w:val="00C540C0"/>
    <w:rsid w:val="00C54120"/>
    <w:rsid w:val="00C542CE"/>
    <w:rsid w:val="00C544C4"/>
    <w:rsid w:val="00C544D2"/>
    <w:rsid w:val="00C546BB"/>
    <w:rsid w:val="00C54855"/>
    <w:rsid w:val="00C54902"/>
    <w:rsid w:val="00C54933"/>
    <w:rsid w:val="00C549FC"/>
    <w:rsid w:val="00C54AD8"/>
    <w:rsid w:val="00C54C3D"/>
    <w:rsid w:val="00C54CF3"/>
    <w:rsid w:val="00C54DD6"/>
    <w:rsid w:val="00C54E6F"/>
    <w:rsid w:val="00C54E78"/>
    <w:rsid w:val="00C54E99"/>
    <w:rsid w:val="00C54EDA"/>
    <w:rsid w:val="00C54FF7"/>
    <w:rsid w:val="00C55067"/>
    <w:rsid w:val="00C550F5"/>
    <w:rsid w:val="00C55334"/>
    <w:rsid w:val="00C55353"/>
    <w:rsid w:val="00C55357"/>
    <w:rsid w:val="00C55367"/>
    <w:rsid w:val="00C554A6"/>
    <w:rsid w:val="00C555C1"/>
    <w:rsid w:val="00C55655"/>
    <w:rsid w:val="00C556A1"/>
    <w:rsid w:val="00C556D8"/>
    <w:rsid w:val="00C556F5"/>
    <w:rsid w:val="00C55729"/>
    <w:rsid w:val="00C55747"/>
    <w:rsid w:val="00C55757"/>
    <w:rsid w:val="00C55794"/>
    <w:rsid w:val="00C55796"/>
    <w:rsid w:val="00C557A0"/>
    <w:rsid w:val="00C557C1"/>
    <w:rsid w:val="00C557E4"/>
    <w:rsid w:val="00C5597C"/>
    <w:rsid w:val="00C559B7"/>
    <w:rsid w:val="00C55A04"/>
    <w:rsid w:val="00C55B31"/>
    <w:rsid w:val="00C55B57"/>
    <w:rsid w:val="00C55BA4"/>
    <w:rsid w:val="00C55BDE"/>
    <w:rsid w:val="00C55C4D"/>
    <w:rsid w:val="00C55D78"/>
    <w:rsid w:val="00C55DBC"/>
    <w:rsid w:val="00C55E3B"/>
    <w:rsid w:val="00C55E67"/>
    <w:rsid w:val="00C55F05"/>
    <w:rsid w:val="00C55F25"/>
    <w:rsid w:val="00C56174"/>
    <w:rsid w:val="00C561EE"/>
    <w:rsid w:val="00C5622B"/>
    <w:rsid w:val="00C56354"/>
    <w:rsid w:val="00C56372"/>
    <w:rsid w:val="00C56385"/>
    <w:rsid w:val="00C563BE"/>
    <w:rsid w:val="00C563FC"/>
    <w:rsid w:val="00C56434"/>
    <w:rsid w:val="00C565C0"/>
    <w:rsid w:val="00C565EF"/>
    <w:rsid w:val="00C566FF"/>
    <w:rsid w:val="00C567C6"/>
    <w:rsid w:val="00C56989"/>
    <w:rsid w:val="00C56A4A"/>
    <w:rsid w:val="00C56B20"/>
    <w:rsid w:val="00C56BF1"/>
    <w:rsid w:val="00C56C5D"/>
    <w:rsid w:val="00C56DEB"/>
    <w:rsid w:val="00C56E34"/>
    <w:rsid w:val="00C56E6D"/>
    <w:rsid w:val="00C56EB0"/>
    <w:rsid w:val="00C56F6D"/>
    <w:rsid w:val="00C57076"/>
    <w:rsid w:val="00C5709D"/>
    <w:rsid w:val="00C5710B"/>
    <w:rsid w:val="00C57131"/>
    <w:rsid w:val="00C5722E"/>
    <w:rsid w:val="00C572C6"/>
    <w:rsid w:val="00C57317"/>
    <w:rsid w:val="00C57496"/>
    <w:rsid w:val="00C574B6"/>
    <w:rsid w:val="00C574C5"/>
    <w:rsid w:val="00C574E4"/>
    <w:rsid w:val="00C5751A"/>
    <w:rsid w:val="00C576E3"/>
    <w:rsid w:val="00C57783"/>
    <w:rsid w:val="00C57792"/>
    <w:rsid w:val="00C577C5"/>
    <w:rsid w:val="00C577C7"/>
    <w:rsid w:val="00C57894"/>
    <w:rsid w:val="00C578F8"/>
    <w:rsid w:val="00C57992"/>
    <w:rsid w:val="00C57A9F"/>
    <w:rsid w:val="00C57AE2"/>
    <w:rsid w:val="00C57B39"/>
    <w:rsid w:val="00C57B62"/>
    <w:rsid w:val="00C57B7A"/>
    <w:rsid w:val="00C57B87"/>
    <w:rsid w:val="00C57BEF"/>
    <w:rsid w:val="00C57E38"/>
    <w:rsid w:val="00C57F24"/>
    <w:rsid w:val="00C57F6E"/>
    <w:rsid w:val="00C57FD7"/>
    <w:rsid w:val="00C58D8D"/>
    <w:rsid w:val="00C6014A"/>
    <w:rsid w:val="00C6014E"/>
    <w:rsid w:val="00C6016A"/>
    <w:rsid w:val="00C60385"/>
    <w:rsid w:val="00C603A8"/>
    <w:rsid w:val="00C603B1"/>
    <w:rsid w:val="00C60422"/>
    <w:rsid w:val="00C60572"/>
    <w:rsid w:val="00C60601"/>
    <w:rsid w:val="00C60699"/>
    <w:rsid w:val="00C606CB"/>
    <w:rsid w:val="00C607CC"/>
    <w:rsid w:val="00C60802"/>
    <w:rsid w:val="00C6084C"/>
    <w:rsid w:val="00C60C33"/>
    <w:rsid w:val="00C60D4E"/>
    <w:rsid w:val="00C60D7F"/>
    <w:rsid w:val="00C60D9A"/>
    <w:rsid w:val="00C60DC3"/>
    <w:rsid w:val="00C60DD5"/>
    <w:rsid w:val="00C60E28"/>
    <w:rsid w:val="00C60EAE"/>
    <w:rsid w:val="00C60F74"/>
    <w:rsid w:val="00C61024"/>
    <w:rsid w:val="00C61029"/>
    <w:rsid w:val="00C61048"/>
    <w:rsid w:val="00C610F0"/>
    <w:rsid w:val="00C61112"/>
    <w:rsid w:val="00C611D6"/>
    <w:rsid w:val="00C612F4"/>
    <w:rsid w:val="00C6148F"/>
    <w:rsid w:val="00C61495"/>
    <w:rsid w:val="00C615BF"/>
    <w:rsid w:val="00C61788"/>
    <w:rsid w:val="00C6178E"/>
    <w:rsid w:val="00C617A1"/>
    <w:rsid w:val="00C6183A"/>
    <w:rsid w:val="00C6194E"/>
    <w:rsid w:val="00C619BB"/>
    <w:rsid w:val="00C61A6A"/>
    <w:rsid w:val="00C61B96"/>
    <w:rsid w:val="00C61BA2"/>
    <w:rsid w:val="00C61BA9"/>
    <w:rsid w:val="00C61C91"/>
    <w:rsid w:val="00C61DC1"/>
    <w:rsid w:val="00C61F93"/>
    <w:rsid w:val="00C62094"/>
    <w:rsid w:val="00C62095"/>
    <w:rsid w:val="00C62148"/>
    <w:rsid w:val="00C621CA"/>
    <w:rsid w:val="00C621ED"/>
    <w:rsid w:val="00C62211"/>
    <w:rsid w:val="00C6224A"/>
    <w:rsid w:val="00C622C7"/>
    <w:rsid w:val="00C622E5"/>
    <w:rsid w:val="00C62341"/>
    <w:rsid w:val="00C62501"/>
    <w:rsid w:val="00C626A3"/>
    <w:rsid w:val="00C626A9"/>
    <w:rsid w:val="00C626B9"/>
    <w:rsid w:val="00C626F3"/>
    <w:rsid w:val="00C6270C"/>
    <w:rsid w:val="00C6275F"/>
    <w:rsid w:val="00C6282C"/>
    <w:rsid w:val="00C62869"/>
    <w:rsid w:val="00C62941"/>
    <w:rsid w:val="00C629CD"/>
    <w:rsid w:val="00C62A25"/>
    <w:rsid w:val="00C62A43"/>
    <w:rsid w:val="00C62B3E"/>
    <w:rsid w:val="00C62B40"/>
    <w:rsid w:val="00C62B51"/>
    <w:rsid w:val="00C62B54"/>
    <w:rsid w:val="00C62BAC"/>
    <w:rsid w:val="00C62C08"/>
    <w:rsid w:val="00C62C15"/>
    <w:rsid w:val="00C62C46"/>
    <w:rsid w:val="00C62D15"/>
    <w:rsid w:val="00C62D3D"/>
    <w:rsid w:val="00C62DF1"/>
    <w:rsid w:val="00C62E3B"/>
    <w:rsid w:val="00C62EA8"/>
    <w:rsid w:val="00C62F11"/>
    <w:rsid w:val="00C62F3F"/>
    <w:rsid w:val="00C62FB5"/>
    <w:rsid w:val="00C6315B"/>
    <w:rsid w:val="00C63189"/>
    <w:rsid w:val="00C631C1"/>
    <w:rsid w:val="00C631E8"/>
    <w:rsid w:val="00C63292"/>
    <w:rsid w:val="00C632DF"/>
    <w:rsid w:val="00C6342C"/>
    <w:rsid w:val="00C6349B"/>
    <w:rsid w:val="00C63598"/>
    <w:rsid w:val="00C63620"/>
    <w:rsid w:val="00C6373E"/>
    <w:rsid w:val="00C63767"/>
    <w:rsid w:val="00C63803"/>
    <w:rsid w:val="00C63875"/>
    <w:rsid w:val="00C638AD"/>
    <w:rsid w:val="00C6392B"/>
    <w:rsid w:val="00C63936"/>
    <w:rsid w:val="00C63A98"/>
    <w:rsid w:val="00C63C95"/>
    <w:rsid w:val="00C63CC6"/>
    <w:rsid w:val="00C63CC8"/>
    <w:rsid w:val="00C63DAB"/>
    <w:rsid w:val="00C63E3E"/>
    <w:rsid w:val="00C63F8D"/>
    <w:rsid w:val="00C64101"/>
    <w:rsid w:val="00C6413E"/>
    <w:rsid w:val="00C64142"/>
    <w:rsid w:val="00C6415F"/>
    <w:rsid w:val="00C642D9"/>
    <w:rsid w:val="00C64354"/>
    <w:rsid w:val="00C64486"/>
    <w:rsid w:val="00C644B2"/>
    <w:rsid w:val="00C64524"/>
    <w:rsid w:val="00C6458A"/>
    <w:rsid w:val="00C645CC"/>
    <w:rsid w:val="00C6464E"/>
    <w:rsid w:val="00C64714"/>
    <w:rsid w:val="00C64778"/>
    <w:rsid w:val="00C6477E"/>
    <w:rsid w:val="00C6480F"/>
    <w:rsid w:val="00C648AA"/>
    <w:rsid w:val="00C648CD"/>
    <w:rsid w:val="00C6492E"/>
    <w:rsid w:val="00C64AC4"/>
    <w:rsid w:val="00C64B31"/>
    <w:rsid w:val="00C64B6D"/>
    <w:rsid w:val="00C64BF6"/>
    <w:rsid w:val="00C64C8B"/>
    <w:rsid w:val="00C64D06"/>
    <w:rsid w:val="00C64D53"/>
    <w:rsid w:val="00C64EA6"/>
    <w:rsid w:val="00C64ECC"/>
    <w:rsid w:val="00C64FA0"/>
    <w:rsid w:val="00C64FF0"/>
    <w:rsid w:val="00C651C5"/>
    <w:rsid w:val="00C651C9"/>
    <w:rsid w:val="00C651EC"/>
    <w:rsid w:val="00C6523B"/>
    <w:rsid w:val="00C652A2"/>
    <w:rsid w:val="00C652B9"/>
    <w:rsid w:val="00C652DF"/>
    <w:rsid w:val="00C65317"/>
    <w:rsid w:val="00C653AF"/>
    <w:rsid w:val="00C653BD"/>
    <w:rsid w:val="00C653EC"/>
    <w:rsid w:val="00C65418"/>
    <w:rsid w:val="00C65444"/>
    <w:rsid w:val="00C6546C"/>
    <w:rsid w:val="00C65499"/>
    <w:rsid w:val="00C654DB"/>
    <w:rsid w:val="00C65502"/>
    <w:rsid w:val="00C65625"/>
    <w:rsid w:val="00C6577C"/>
    <w:rsid w:val="00C657A3"/>
    <w:rsid w:val="00C657B0"/>
    <w:rsid w:val="00C657B1"/>
    <w:rsid w:val="00C657F7"/>
    <w:rsid w:val="00C65885"/>
    <w:rsid w:val="00C65B87"/>
    <w:rsid w:val="00C65CB8"/>
    <w:rsid w:val="00C65DAB"/>
    <w:rsid w:val="00C65E50"/>
    <w:rsid w:val="00C65EAC"/>
    <w:rsid w:val="00C65EC6"/>
    <w:rsid w:val="00C65FC5"/>
    <w:rsid w:val="00C6615D"/>
    <w:rsid w:val="00C662C7"/>
    <w:rsid w:val="00C662D0"/>
    <w:rsid w:val="00C66484"/>
    <w:rsid w:val="00C66582"/>
    <w:rsid w:val="00C6669B"/>
    <w:rsid w:val="00C66814"/>
    <w:rsid w:val="00C6690D"/>
    <w:rsid w:val="00C66930"/>
    <w:rsid w:val="00C66A40"/>
    <w:rsid w:val="00C66A46"/>
    <w:rsid w:val="00C66B54"/>
    <w:rsid w:val="00C66BC3"/>
    <w:rsid w:val="00C66D3B"/>
    <w:rsid w:val="00C66D8B"/>
    <w:rsid w:val="00C66DA2"/>
    <w:rsid w:val="00C66DC0"/>
    <w:rsid w:val="00C66E81"/>
    <w:rsid w:val="00C66F11"/>
    <w:rsid w:val="00C66F99"/>
    <w:rsid w:val="00C6705A"/>
    <w:rsid w:val="00C67084"/>
    <w:rsid w:val="00C67245"/>
    <w:rsid w:val="00C672EA"/>
    <w:rsid w:val="00C67381"/>
    <w:rsid w:val="00C67439"/>
    <w:rsid w:val="00C674CC"/>
    <w:rsid w:val="00C6756D"/>
    <w:rsid w:val="00C677B2"/>
    <w:rsid w:val="00C677CF"/>
    <w:rsid w:val="00C678F6"/>
    <w:rsid w:val="00C6792D"/>
    <w:rsid w:val="00C67936"/>
    <w:rsid w:val="00C67959"/>
    <w:rsid w:val="00C6796A"/>
    <w:rsid w:val="00C67A16"/>
    <w:rsid w:val="00C67B0B"/>
    <w:rsid w:val="00C67B21"/>
    <w:rsid w:val="00C67B52"/>
    <w:rsid w:val="00C67C26"/>
    <w:rsid w:val="00C67D8E"/>
    <w:rsid w:val="00C67DC2"/>
    <w:rsid w:val="00C67F54"/>
    <w:rsid w:val="00C67FC7"/>
    <w:rsid w:val="00C67FCA"/>
    <w:rsid w:val="00C67FE5"/>
    <w:rsid w:val="00C67FEC"/>
    <w:rsid w:val="00C6C249"/>
    <w:rsid w:val="00C6D89D"/>
    <w:rsid w:val="00C700A5"/>
    <w:rsid w:val="00C701C4"/>
    <w:rsid w:val="00C701E5"/>
    <w:rsid w:val="00C701F1"/>
    <w:rsid w:val="00C70308"/>
    <w:rsid w:val="00C7031C"/>
    <w:rsid w:val="00C704A4"/>
    <w:rsid w:val="00C70538"/>
    <w:rsid w:val="00C70577"/>
    <w:rsid w:val="00C70762"/>
    <w:rsid w:val="00C70767"/>
    <w:rsid w:val="00C707B7"/>
    <w:rsid w:val="00C7086C"/>
    <w:rsid w:val="00C7088D"/>
    <w:rsid w:val="00C709F0"/>
    <w:rsid w:val="00C70BC3"/>
    <w:rsid w:val="00C70BE0"/>
    <w:rsid w:val="00C70C05"/>
    <w:rsid w:val="00C70C4F"/>
    <w:rsid w:val="00C70D10"/>
    <w:rsid w:val="00C70DC4"/>
    <w:rsid w:val="00C70DEA"/>
    <w:rsid w:val="00C70DF9"/>
    <w:rsid w:val="00C70EC3"/>
    <w:rsid w:val="00C70EF0"/>
    <w:rsid w:val="00C70F8B"/>
    <w:rsid w:val="00C70FD6"/>
    <w:rsid w:val="00C7103F"/>
    <w:rsid w:val="00C71082"/>
    <w:rsid w:val="00C710DC"/>
    <w:rsid w:val="00C71107"/>
    <w:rsid w:val="00C7110B"/>
    <w:rsid w:val="00C711AD"/>
    <w:rsid w:val="00C711C1"/>
    <w:rsid w:val="00C712A2"/>
    <w:rsid w:val="00C713D1"/>
    <w:rsid w:val="00C71481"/>
    <w:rsid w:val="00C715BB"/>
    <w:rsid w:val="00C71937"/>
    <w:rsid w:val="00C719AB"/>
    <w:rsid w:val="00C71A74"/>
    <w:rsid w:val="00C71CA5"/>
    <w:rsid w:val="00C71D45"/>
    <w:rsid w:val="00C71DF5"/>
    <w:rsid w:val="00C71EC3"/>
    <w:rsid w:val="00C71F11"/>
    <w:rsid w:val="00C71FE8"/>
    <w:rsid w:val="00C72145"/>
    <w:rsid w:val="00C72241"/>
    <w:rsid w:val="00C72288"/>
    <w:rsid w:val="00C7234C"/>
    <w:rsid w:val="00C723A7"/>
    <w:rsid w:val="00C7244C"/>
    <w:rsid w:val="00C72611"/>
    <w:rsid w:val="00C7270A"/>
    <w:rsid w:val="00C72855"/>
    <w:rsid w:val="00C7291D"/>
    <w:rsid w:val="00C7294E"/>
    <w:rsid w:val="00C72B94"/>
    <w:rsid w:val="00C72D59"/>
    <w:rsid w:val="00C72DC6"/>
    <w:rsid w:val="00C72E3C"/>
    <w:rsid w:val="00C72EBA"/>
    <w:rsid w:val="00C72EC4"/>
    <w:rsid w:val="00C72EE4"/>
    <w:rsid w:val="00C72F10"/>
    <w:rsid w:val="00C72F15"/>
    <w:rsid w:val="00C72FFF"/>
    <w:rsid w:val="00C73066"/>
    <w:rsid w:val="00C7314A"/>
    <w:rsid w:val="00C731BA"/>
    <w:rsid w:val="00C732AB"/>
    <w:rsid w:val="00C73344"/>
    <w:rsid w:val="00C7335B"/>
    <w:rsid w:val="00C73455"/>
    <w:rsid w:val="00C7355C"/>
    <w:rsid w:val="00C73671"/>
    <w:rsid w:val="00C7389F"/>
    <w:rsid w:val="00C738F5"/>
    <w:rsid w:val="00C739DF"/>
    <w:rsid w:val="00C73A84"/>
    <w:rsid w:val="00C73BB5"/>
    <w:rsid w:val="00C73C26"/>
    <w:rsid w:val="00C73DFA"/>
    <w:rsid w:val="00C73E34"/>
    <w:rsid w:val="00C73E78"/>
    <w:rsid w:val="00C73EFE"/>
    <w:rsid w:val="00C74023"/>
    <w:rsid w:val="00C74049"/>
    <w:rsid w:val="00C74064"/>
    <w:rsid w:val="00C74107"/>
    <w:rsid w:val="00C74155"/>
    <w:rsid w:val="00C74157"/>
    <w:rsid w:val="00C7415E"/>
    <w:rsid w:val="00C74213"/>
    <w:rsid w:val="00C74256"/>
    <w:rsid w:val="00C742D4"/>
    <w:rsid w:val="00C742EC"/>
    <w:rsid w:val="00C744AC"/>
    <w:rsid w:val="00C7469F"/>
    <w:rsid w:val="00C74753"/>
    <w:rsid w:val="00C7479A"/>
    <w:rsid w:val="00C747F6"/>
    <w:rsid w:val="00C74821"/>
    <w:rsid w:val="00C7498D"/>
    <w:rsid w:val="00C749B3"/>
    <w:rsid w:val="00C74BEB"/>
    <w:rsid w:val="00C74CC3"/>
    <w:rsid w:val="00C74D22"/>
    <w:rsid w:val="00C74DE2"/>
    <w:rsid w:val="00C74DED"/>
    <w:rsid w:val="00C74E1A"/>
    <w:rsid w:val="00C74E77"/>
    <w:rsid w:val="00C74F38"/>
    <w:rsid w:val="00C7500C"/>
    <w:rsid w:val="00C7508B"/>
    <w:rsid w:val="00C75281"/>
    <w:rsid w:val="00C752B4"/>
    <w:rsid w:val="00C753E3"/>
    <w:rsid w:val="00C7545E"/>
    <w:rsid w:val="00C756AC"/>
    <w:rsid w:val="00C756C8"/>
    <w:rsid w:val="00C7577A"/>
    <w:rsid w:val="00C757CD"/>
    <w:rsid w:val="00C759D5"/>
    <w:rsid w:val="00C75B2D"/>
    <w:rsid w:val="00C75C88"/>
    <w:rsid w:val="00C75DA5"/>
    <w:rsid w:val="00C75DDA"/>
    <w:rsid w:val="00C75F39"/>
    <w:rsid w:val="00C75FA2"/>
    <w:rsid w:val="00C75FF8"/>
    <w:rsid w:val="00C7610A"/>
    <w:rsid w:val="00C762AE"/>
    <w:rsid w:val="00C764AA"/>
    <w:rsid w:val="00C764C0"/>
    <w:rsid w:val="00C7657E"/>
    <w:rsid w:val="00C765AF"/>
    <w:rsid w:val="00C76658"/>
    <w:rsid w:val="00C7671A"/>
    <w:rsid w:val="00C768C3"/>
    <w:rsid w:val="00C76AB4"/>
    <w:rsid w:val="00C76AD7"/>
    <w:rsid w:val="00C76B0E"/>
    <w:rsid w:val="00C76C00"/>
    <w:rsid w:val="00C76C0E"/>
    <w:rsid w:val="00C76C95"/>
    <w:rsid w:val="00C76CFB"/>
    <w:rsid w:val="00C76D2F"/>
    <w:rsid w:val="00C76E08"/>
    <w:rsid w:val="00C76EE2"/>
    <w:rsid w:val="00C76F57"/>
    <w:rsid w:val="00C76FB9"/>
    <w:rsid w:val="00C77031"/>
    <w:rsid w:val="00C77154"/>
    <w:rsid w:val="00C7724B"/>
    <w:rsid w:val="00C7727B"/>
    <w:rsid w:val="00C7731B"/>
    <w:rsid w:val="00C774BA"/>
    <w:rsid w:val="00C774E3"/>
    <w:rsid w:val="00C77633"/>
    <w:rsid w:val="00C77684"/>
    <w:rsid w:val="00C776CA"/>
    <w:rsid w:val="00C776EB"/>
    <w:rsid w:val="00C77731"/>
    <w:rsid w:val="00C77829"/>
    <w:rsid w:val="00C7782E"/>
    <w:rsid w:val="00C7787E"/>
    <w:rsid w:val="00C778C2"/>
    <w:rsid w:val="00C77922"/>
    <w:rsid w:val="00C77A28"/>
    <w:rsid w:val="00C77A39"/>
    <w:rsid w:val="00C77AC1"/>
    <w:rsid w:val="00C77BF9"/>
    <w:rsid w:val="00C77CDA"/>
    <w:rsid w:val="00C77DA3"/>
    <w:rsid w:val="00C77E32"/>
    <w:rsid w:val="00C77E4B"/>
    <w:rsid w:val="00C77E50"/>
    <w:rsid w:val="00C77E5D"/>
    <w:rsid w:val="00C80097"/>
    <w:rsid w:val="00C80299"/>
    <w:rsid w:val="00C802FC"/>
    <w:rsid w:val="00C80328"/>
    <w:rsid w:val="00C80599"/>
    <w:rsid w:val="00C80651"/>
    <w:rsid w:val="00C80684"/>
    <w:rsid w:val="00C807A4"/>
    <w:rsid w:val="00C807F9"/>
    <w:rsid w:val="00C807FB"/>
    <w:rsid w:val="00C80859"/>
    <w:rsid w:val="00C808AB"/>
    <w:rsid w:val="00C809B3"/>
    <w:rsid w:val="00C80B66"/>
    <w:rsid w:val="00C80BCA"/>
    <w:rsid w:val="00C80C0F"/>
    <w:rsid w:val="00C80C85"/>
    <w:rsid w:val="00C80CEA"/>
    <w:rsid w:val="00C80D5A"/>
    <w:rsid w:val="00C80D7E"/>
    <w:rsid w:val="00C80E0B"/>
    <w:rsid w:val="00C80E69"/>
    <w:rsid w:val="00C80E6E"/>
    <w:rsid w:val="00C80E9E"/>
    <w:rsid w:val="00C80F0C"/>
    <w:rsid w:val="00C80F9C"/>
    <w:rsid w:val="00C81091"/>
    <w:rsid w:val="00C8123C"/>
    <w:rsid w:val="00C81279"/>
    <w:rsid w:val="00C812B9"/>
    <w:rsid w:val="00C813B6"/>
    <w:rsid w:val="00C814A8"/>
    <w:rsid w:val="00C814D3"/>
    <w:rsid w:val="00C81645"/>
    <w:rsid w:val="00C8177E"/>
    <w:rsid w:val="00C817C1"/>
    <w:rsid w:val="00C81851"/>
    <w:rsid w:val="00C8189B"/>
    <w:rsid w:val="00C818E6"/>
    <w:rsid w:val="00C819F2"/>
    <w:rsid w:val="00C81A2F"/>
    <w:rsid w:val="00C81AD0"/>
    <w:rsid w:val="00C81B80"/>
    <w:rsid w:val="00C81B85"/>
    <w:rsid w:val="00C81CC8"/>
    <w:rsid w:val="00C81E64"/>
    <w:rsid w:val="00C81E83"/>
    <w:rsid w:val="00C81F02"/>
    <w:rsid w:val="00C81FF6"/>
    <w:rsid w:val="00C82056"/>
    <w:rsid w:val="00C8207E"/>
    <w:rsid w:val="00C82161"/>
    <w:rsid w:val="00C821CC"/>
    <w:rsid w:val="00C822AA"/>
    <w:rsid w:val="00C82342"/>
    <w:rsid w:val="00C8236A"/>
    <w:rsid w:val="00C82385"/>
    <w:rsid w:val="00C82466"/>
    <w:rsid w:val="00C824A5"/>
    <w:rsid w:val="00C82504"/>
    <w:rsid w:val="00C82535"/>
    <w:rsid w:val="00C8253C"/>
    <w:rsid w:val="00C825A9"/>
    <w:rsid w:val="00C82630"/>
    <w:rsid w:val="00C82635"/>
    <w:rsid w:val="00C826D0"/>
    <w:rsid w:val="00C82733"/>
    <w:rsid w:val="00C827CE"/>
    <w:rsid w:val="00C82A4A"/>
    <w:rsid w:val="00C82BB3"/>
    <w:rsid w:val="00C82C59"/>
    <w:rsid w:val="00C82CA0"/>
    <w:rsid w:val="00C82CE0"/>
    <w:rsid w:val="00C82EB9"/>
    <w:rsid w:val="00C82ECE"/>
    <w:rsid w:val="00C82ED1"/>
    <w:rsid w:val="00C82F4A"/>
    <w:rsid w:val="00C82F96"/>
    <w:rsid w:val="00C82FB2"/>
    <w:rsid w:val="00C830F5"/>
    <w:rsid w:val="00C8315F"/>
    <w:rsid w:val="00C831B4"/>
    <w:rsid w:val="00C8321D"/>
    <w:rsid w:val="00C8327A"/>
    <w:rsid w:val="00C83329"/>
    <w:rsid w:val="00C83354"/>
    <w:rsid w:val="00C8339B"/>
    <w:rsid w:val="00C8354B"/>
    <w:rsid w:val="00C83793"/>
    <w:rsid w:val="00C837A5"/>
    <w:rsid w:val="00C83801"/>
    <w:rsid w:val="00C83885"/>
    <w:rsid w:val="00C83984"/>
    <w:rsid w:val="00C839BE"/>
    <w:rsid w:val="00C83A60"/>
    <w:rsid w:val="00C83AF6"/>
    <w:rsid w:val="00C83B24"/>
    <w:rsid w:val="00C83B27"/>
    <w:rsid w:val="00C83B39"/>
    <w:rsid w:val="00C83BC9"/>
    <w:rsid w:val="00C83BF5"/>
    <w:rsid w:val="00C83C0F"/>
    <w:rsid w:val="00C83C34"/>
    <w:rsid w:val="00C83C9C"/>
    <w:rsid w:val="00C83E2E"/>
    <w:rsid w:val="00C83E37"/>
    <w:rsid w:val="00C84132"/>
    <w:rsid w:val="00C84271"/>
    <w:rsid w:val="00C843BB"/>
    <w:rsid w:val="00C843EB"/>
    <w:rsid w:val="00C8440D"/>
    <w:rsid w:val="00C84539"/>
    <w:rsid w:val="00C84579"/>
    <w:rsid w:val="00C84699"/>
    <w:rsid w:val="00C84753"/>
    <w:rsid w:val="00C84778"/>
    <w:rsid w:val="00C8486A"/>
    <w:rsid w:val="00C84899"/>
    <w:rsid w:val="00C84AA1"/>
    <w:rsid w:val="00C84BBC"/>
    <w:rsid w:val="00C84D63"/>
    <w:rsid w:val="00C84D70"/>
    <w:rsid w:val="00C84FBB"/>
    <w:rsid w:val="00C8521A"/>
    <w:rsid w:val="00C8526B"/>
    <w:rsid w:val="00C85450"/>
    <w:rsid w:val="00C85506"/>
    <w:rsid w:val="00C85570"/>
    <w:rsid w:val="00C855C0"/>
    <w:rsid w:val="00C85612"/>
    <w:rsid w:val="00C859EF"/>
    <w:rsid w:val="00C85A25"/>
    <w:rsid w:val="00C85B4E"/>
    <w:rsid w:val="00C85B54"/>
    <w:rsid w:val="00C85BC8"/>
    <w:rsid w:val="00C85BD6"/>
    <w:rsid w:val="00C85E29"/>
    <w:rsid w:val="00C85E76"/>
    <w:rsid w:val="00C85ECE"/>
    <w:rsid w:val="00C85ED5"/>
    <w:rsid w:val="00C85F5B"/>
    <w:rsid w:val="00C860B3"/>
    <w:rsid w:val="00C8626C"/>
    <w:rsid w:val="00C862A1"/>
    <w:rsid w:val="00C86305"/>
    <w:rsid w:val="00C86397"/>
    <w:rsid w:val="00C86453"/>
    <w:rsid w:val="00C86577"/>
    <w:rsid w:val="00C865E4"/>
    <w:rsid w:val="00C8661C"/>
    <w:rsid w:val="00C86621"/>
    <w:rsid w:val="00C8663E"/>
    <w:rsid w:val="00C866A3"/>
    <w:rsid w:val="00C866AB"/>
    <w:rsid w:val="00C8671C"/>
    <w:rsid w:val="00C867BB"/>
    <w:rsid w:val="00C86845"/>
    <w:rsid w:val="00C86869"/>
    <w:rsid w:val="00C868A6"/>
    <w:rsid w:val="00C869C5"/>
    <w:rsid w:val="00C86A1A"/>
    <w:rsid w:val="00C86A80"/>
    <w:rsid w:val="00C86C26"/>
    <w:rsid w:val="00C86D56"/>
    <w:rsid w:val="00C86E4B"/>
    <w:rsid w:val="00C8700F"/>
    <w:rsid w:val="00C870D3"/>
    <w:rsid w:val="00C87147"/>
    <w:rsid w:val="00C871A9"/>
    <w:rsid w:val="00C871CE"/>
    <w:rsid w:val="00C872C4"/>
    <w:rsid w:val="00C8749D"/>
    <w:rsid w:val="00C874CC"/>
    <w:rsid w:val="00C875E5"/>
    <w:rsid w:val="00C876FF"/>
    <w:rsid w:val="00C877B0"/>
    <w:rsid w:val="00C87902"/>
    <w:rsid w:val="00C879E6"/>
    <w:rsid w:val="00C87B47"/>
    <w:rsid w:val="00C87BCC"/>
    <w:rsid w:val="00C87BEC"/>
    <w:rsid w:val="00C87CB9"/>
    <w:rsid w:val="00C87E28"/>
    <w:rsid w:val="00C87FCB"/>
    <w:rsid w:val="00C87FF0"/>
    <w:rsid w:val="00C8F6E6"/>
    <w:rsid w:val="00C90024"/>
    <w:rsid w:val="00C90040"/>
    <w:rsid w:val="00C90163"/>
    <w:rsid w:val="00C90180"/>
    <w:rsid w:val="00C90287"/>
    <w:rsid w:val="00C90319"/>
    <w:rsid w:val="00C90406"/>
    <w:rsid w:val="00C9053A"/>
    <w:rsid w:val="00C908F0"/>
    <w:rsid w:val="00C90951"/>
    <w:rsid w:val="00C9097D"/>
    <w:rsid w:val="00C909F5"/>
    <w:rsid w:val="00C90A47"/>
    <w:rsid w:val="00C90A70"/>
    <w:rsid w:val="00C90C26"/>
    <w:rsid w:val="00C90E09"/>
    <w:rsid w:val="00C90E3A"/>
    <w:rsid w:val="00C90E88"/>
    <w:rsid w:val="00C90E95"/>
    <w:rsid w:val="00C90F4B"/>
    <w:rsid w:val="00C910F2"/>
    <w:rsid w:val="00C91105"/>
    <w:rsid w:val="00C9117F"/>
    <w:rsid w:val="00C9124E"/>
    <w:rsid w:val="00C912CF"/>
    <w:rsid w:val="00C9139D"/>
    <w:rsid w:val="00C914CA"/>
    <w:rsid w:val="00C91523"/>
    <w:rsid w:val="00C9154B"/>
    <w:rsid w:val="00C91586"/>
    <w:rsid w:val="00C91625"/>
    <w:rsid w:val="00C916BC"/>
    <w:rsid w:val="00C91772"/>
    <w:rsid w:val="00C9178D"/>
    <w:rsid w:val="00C917C3"/>
    <w:rsid w:val="00C91AF1"/>
    <w:rsid w:val="00C91B1D"/>
    <w:rsid w:val="00C91B72"/>
    <w:rsid w:val="00C91C71"/>
    <w:rsid w:val="00C91D19"/>
    <w:rsid w:val="00C91D22"/>
    <w:rsid w:val="00C91D93"/>
    <w:rsid w:val="00C91DF3"/>
    <w:rsid w:val="00C91E9F"/>
    <w:rsid w:val="00C91EEA"/>
    <w:rsid w:val="00C91FC9"/>
    <w:rsid w:val="00C920FD"/>
    <w:rsid w:val="00C9220A"/>
    <w:rsid w:val="00C9226E"/>
    <w:rsid w:val="00C92278"/>
    <w:rsid w:val="00C922D1"/>
    <w:rsid w:val="00C92389"/>
    <w:rsid w:val="00C9242F"/>
    <w:rsid w:val="00C92496"/>
    <w:rsid w:val="00C924AF"/>
    <w:rsid w:val="00C92590"/>
    <w:rsid w:val="00C92625"/>
    <w:rsid w:val="00C926A6"/>
    <w:rsid w:val="00C92730"/>
    <w:rsid w:val="00C92896"/>
    <w:rsid w:val="00C92A7B"/>
    <w:rsid w:val="00C92AE7"/>
    <w:rsid w:val="00C92B60"/>
    <w:rsid w:val="00C92B73"/>
    <w:rsid w:val="00C92BF7"/>
    <w:rsid w:val="00C92C11"/>
    <w:rsid w:val="00C92CC5"/>
    <w:rsid w:val="00C92E23"/>
    <w:rsid w:val="00C92E46"/>
    <w:rsid w:val="00C92E69"/>
    <w:rsid w:val="00C92EC8"/>
    <w:rsid w:val="00C92F36"/>
    <w:rsid w:val="00C92FCD"/>
    <w:rsid w:val="00C92FF9"/>
    <w:rsid w:val="00C93083"/>
    <w:rsid w:val="00C931D6"/>
    <w:rsid w:val="00C932E8"/>
    <w:rsid w:val="00C93410"/>
    <w:rsid w:val="00C93412"/>
    <w:rsid w:val="00C9345A"/>
    <w:rsid w:val="00C93576"/>
    <w:rsid w:val="00C9357E"/>
    <w:rsid w:val="00C936C6"/>
    <w:rsid w:val="00C937C0"/>
    <w:rsid w:val="00C9384F"/>
    <w:rsid w:val="00C93855"/>
    <w:rsid w:val="00C93927"/>
    <w:rsid w:val="00C9395C"/>
    <w:rsid w:val="00C9398B"/>
    <w:rsid w:val="00C93A38"/>
    <w:rsid w:val="00C93A5F"/>
    <w:rsid w:val="00C93A72"/>
    <w:rsid w:val="00C93A9D"/>
    <w:rsid w:val="00C93AAF"/>
    <w:rsid w:val="00C93AB2"/>
    <w:rsid w:val="00C93AC4"/>
    <w:rsid w:val="00C93AF6"/>
    <w:rsid w:val="00C93AF7"/>
    <w:rsid w:val="00C93C1F"/>
    <w:rsid w:val="00C93C52"/>
    <w:rsid w:val="00C93D19"/>
    <w:rsid w:val="00C93D6E"/>
    <w:rsid w:val="00C93D95"/>
    <w:rsid w:val="00C93E3F"/>
    <w:rsid w:val="00C93EB3"/>
    <w:rsid w:val="00C9400C"/>
    <w:rsid w:val="00C94023"/>
    <w:rsid w:val="00C94089"/>
    <w:rsid w:val="00C940C0"/>
    <w:rsid w:val="00C94152"/>
    <w:rsid w:val="00C94174"/>
    <w:rsid w:val="00C941A3"/>
    <w:rsid w:val="00C942D3"/>
    <w:rsid w:val="00C94336"/>
    <w:rsid w:val="00C94353"/>
    <w:rsid w:val="00C94354"/>
    <w:rsid w:val="00C943FC"/>
    <w:rsid w:val="00C9452F"/>
    <w:rsid w:val="00C94770"/>
    <w:rsid w:val="00C94877"/>
    <w:rsid w:val="00C9490B"/>
    <w:rsid w:val="00C9494C"/>
    <w:rsid w:val="00C94969"/>
    <w:rsid w:val="00C94A3E"/>
    <w:rsid w:val="00C94ACD"/>
    <w:rsid w:val="00C94CEB"/>
    <w:rsid w:val="00C94F5C"/>
    <w:rsid w:val="00C9515A"/>
    <w:rsid w:val="00C95171"/>
    <w:rsid w:val="00C951C5"/>
    <w:rsid w:val="00C9536A"/>
    <w:rsid w:val="00C953B9"/>
    <w:rsid w:val="00C953F5"/>
    <w:rsid w:val="00C9540F"/>
    <w:rsid w:val="00C95579"/>
    <w:rsid w:val="00C9557C"/>
    <w:rsid w:val="00C95653"/>
    <w:rsid w:val="00C957EE"/>
    <w:rsid w:val="00C95867"/>
    <w:rsid w:val="00C9588E"/>
    <w:rsid w:val="00C958E2"/>
    <w:rsid w:val="00C95921"/>
    <w:rsid w:val="00C95976"/>
    <w:rsid w:val="00C959DF"/>
    <w:rsid w:val="00C95B59"/>
    <w:rsid w:val="00C95CCA"/>
    <w:rsid w:val="00C95D00"/>
    <w:rsid w:val="00C95E15"/>
    <w:rsid w:val="00C95E3E"/>
    <w:rsid w:val="00C95E41"/>
    <w:rsid w:val="00C95FC0"/>
    <w:rsid w:val="00C960E6"/>
    <w:rsid w:val="00C9616C"/>
    <w:rsid w:val="00C962E7"/>
    <w:rsid w:val="00C96326"/>
    <w:rsid w:val="00C96442"/>
    <w:rsid w:val="00C965F6"/>
    <w:rsid w:val="00C9662A"/>
    <w:rsid w:val="00C96644"/>
    <w:rsid w:val="00C96717"/>
    <w:rsid w:val="00C96732"/>
    <w:rsid w:val="00C9681B"/>
    <w:rsid w:val="00C9682F"/>
    <w:rsid w:val="00C9695F"/>
    <w:rsid w:val="00C96CBC"/>
    <w:rsid w:val="00C96D39"/>
    <w:rsid w:val="00C96DC0"/>
    <w:rsid w:val="00C96E39"/>
    <w:rsid w:val="00C9702E"/>
    <w:rsid w:val="00C9707E"/>
    <w:rsid w:val="00C970A7"/>
    <w:rsid w:val="00C970D8"/>
    <w:rsid w:val="00C970DC"/>
    <w:rsid w:val="00C9732A"/>
    <w:rsid w:val="00C97454"/>
    <w:rsid w:val="00C975A6"/>
    <w:rsid w:val="00C975FA"/>
    <w:rsid w:val="00C97621"/>
    <w:rsid w:val="00C978ED"/>
    <w:rsid w:val="00C978FC"/>
    <w:rsid w:val="00C97907"/>
    <w:rsid w:val="00C979AC"/>
    <w:rsid w:val="00C979F1"/>
    <w:rsid w:val="00C97A2A"/>
    <w:rsid w:val="00C97AB3"/>
    <w:rsid w:val="00C97BA2"/>
    <w:rsid w:val="00C97BD5"/>
    <w:rsid w:val="00C97C6C"/>
    <w:rsid w:val="00C97D48"/>
    <w:rsid w:val="00C97E76"/>
    <w:rsid w:val="00C97E7C"/>
    <w:rsid w:val="00C97EBD"/>
    <w:rsid w:val="00CA0067"/>
    <w:rsid w:val="00CA03B2"/>
    <w:rsid w:val="00CA047C"/>
    <w:rsid w:val="00CA061C"/>
    <w:rsid w:val="00CA0632"/>
    <w:rsid w:val="00CA06BD"/>
    <w:rsid w:val="00CA082A"/>
    <w:rsid w:val="00CA0913"/>
    <w:rsid w:val="00CA09A7"/>
    <w:rsid w:val="00CA0AC3"/>
    <w:rsid w:val="00CA0ACB"/>
    <w:rsid w:val="00CA0B4D"/>
    <w:rsid w:val="00CA0C8F"/>
    <w:rsid w:val="00CA0C9E"/>
    <w:rsid w:val="00CA0D6C"/>
    <w:rsid w:val="00CA0D95"/>
    <w:rsid w:val="00CA0DC8"/>
    <w:rsid w:val="00CA0E17"/>
    <w:rsid w:val="00CA0F1E"/>
    <w:rsid w:val="00CA0FC5"/>
    <w:rsid w:val="00CA1075"/>
    <w:rsid w:val="00CA10A4"/>
    <w:rsid w:val="00CA10AA"/>
    <w:rsid w:val="00CA12CC"/>
    <w:rsid w:val="00CA12F0"/>
    <w:rsid w:val="00CA131C"/>
    <w:rsid w:val="00CA1458"/>
    <w:rsid w:val="00CA14CB"/>
    <w:rsid w:val="00CA15C1"/>
    <w:rsid w:val="00CA1712"/>
    <w:rsid w:val="00CA1A44"/>
    <w:rsid w:val="00CA1ABB"/>
    <w:rsid w:val="00CA1D84"/>
    <w:rsid w:val="00CA1E50"/>
    <w:rsid w:val="00CA1EDB"/>
    <w:rsid w:val="00CA1FBE"/>
    <w:rsid w:val="00CA1FF9"/>
    <w:rsid w:val="00CA20FD"/>
    <w:rsid w:val="00CA2132"/>
    <w:rsid w:val="00CA21A1"/>
    <w:rsid w:val="00CA2206"/>
    <w:rsid w:val="00CA224A"/>
    <w:rsid w:val="00CA229C"/>
    <w:rsid w:val="00CA2408"/>
    <w:rsid w:val="00CA249A"/>
    <w:rsid w:val="00CA2657"/>
    <w:rsid w:val="00CA26B8"/>
    <w:rsid w:val="00CA2788"/>
    <w:rsid w:val="00CA29E7"/>
    <w:rsid w:val="00CA2B75"/>
    <w:rsid w:val="00CA2BAD"/>
    <w:rsid w:val="00CA2BB9"/>
    <w:rsid w:val="00CA2CE9"/>
    <w:rsid w:val="00CA2D5C"/>
    <w:rsid w:val="00CA2E65"/>
    <w:rsid w:val="00CA2EED"/>
    <w:rsid w:val="00CA3054"/>
    <w:rsid w:val="00CA30EF"/>
    <w:rsid w:val="00CA319E"/>
    <w:rsid w:val="00CA31E9"/>
    <w:rsid w:val="00CA3283"/>
    <w:rsid w:val="00CA32E2"/>
    <w:rsid w:val="00CA33A9"/>
    <w:rsid w:val="00CA33B4"/>
    <w:rsid w:val="00CA3423"/>
    <w:rsid w:val="00CA3425"/>
    <w:rsid w:val="00CA348D"/>
    <w:rsid w:val="00CA34BC"/>
    <w:rsid w:val="00CA3535"/>
    <w:rsid w:val="00CA3644"/>
    <w:rsid w:val="00CA38E0"/>
    <w:rsid w:val="00CA3910"/>
    <w:rsid w:val="00CA3953"/>
    <w:rsid w:val="00CA3971"/>
    <w:rsid w:val="00CA39D8"/>
    <w:rsid w:val="00CA3B60"/>
    <w:rsid w:val="00CA3B64"/>
    <w:rsid w:val="00CA3B7C"/>
    <w:rsid w:val="00CA3CEC"/>
    <w:rsid w:val="00CA3EDE"/>
    <w:rsid w:val="00CA3FCB"/>
    <w:rsid w:val="00CA4131"/>
    <w:rsid w:val="00CA415F"/>
    <w:rsid w:val="00CA41CD"/>
    <w:rsid w:val="00CA41F7"/>
    <w:rsid w:val="00CA4225"/>
    <w:rsid w:val="00CA42D1"/>
    <w:rsid w:val="00CA437B"/>
    <w:rsid w:val="00CA439A"/>
    <w:rsid w:val="00CA444D"/>
    <w:rsid w:val="00CA444E"/>
    <w:rsid w:val="00CA44DF"/>
    <w:rsid w:val="00CA44EC"/>
    <w:rsid w:val="00CA4511"/>
    <w:rsid w:val="00CA4529"/>
    <w:rsid w:val="00CA4702"/>
    <w:rsid w:val="00CA485B"/>
    <w:rsid w:val="00CA4B20"/>
    <w:rsid w:val="00CA4B70"/>
    <w:rsid w:val="00CA4BAD"/>
    <w:rsid w:val="00CA4BC7"/>
    <w:rsid w:val="00CA4CC8"/>
    <w:rsid w:val="00CA4D47"/>
    <w:rsid w:val="00CA4D56"/>
    <w:rsid w:val="00CA4D73"/>
    <w:rsid w:val="00CA4D92"/>
    <w:rsid w:val="00CA4E3F"/>
    <w:rsid w:val="00CA4EED"/>
    <w:rsid w:val="00CA4FEC"/>
    <w:rsid w:val="00CA51A2"/>
    <w:rsid w:val="00CA52BB"/>
    <w:rsid w:val="00CA52EA"/>
    <w:rsid w:val="00CA52F7"/>
    <w:rsid w:val="00CA52F9"/>
    <w:rsid w:val="00CA5311"/>
    <w:rsid w:val="00CA5454"/>
    <w:rsid w:val="00CA55D5"/>
    <w:rsid w:val="00CA55F1"/>
    <w:rsid w:val="00CA56ED"/>
    <w:rsid w:val="00CA58C2"/>
    <w:rsid w:val="00CA58CE"/>
    <w:rsid w:val="00CA59E2"/>
    <w:rsid w:val="00CA5B02"/>
    <w:rsid w:val="00CA5B70"/>
    <w:rsid w:val="00CA5C27"/>
    <w:rsid w:val="00CA5D8A"/>
    <w:rsid w:val="00CA5DCF"/>
    <w:rsid w:val="00CA5ECC"/>
    <w:rsid w:val="00CA5F00"/>
    <w:rsid w:val="00CA5F0F"/>
    <w:rsid w:val="00CA5FCD"/>
    <w:rsid w:val="00CA60BB"/>
    <w:rsid w:val="00CA6185"/>
    <w:rsid w:val="00CA62DE"/>
    <w:rsid w:val="00CA62EA"/>
    <w:rsid w:val="00CA63CB"/>
    <w:rsid w:val="00CA6403"/>
    <w:rsid w:val="00CA644B"/>
    <w:rsid w:val="00CA651E"/>
    <w:rsid w:val="00CA653D"/>
    <w:rsid w:val="00CA66B1"/>
    <w:rsid w:val="00CA66D6"/>
    <w:rsid w:val="00CA6723"/>
    <w:rsid w:val="00CA6796"/>
    <w:rsid w:val="00CA681F"/>
    <w:rsid w:val="00CA6875"/>
    <w:rsid w:val="00CA693C"/>
    <w:rsid w:val="00CA698B"/>
    <w:rsid w:val="00CA699D"/>
    <w:rsid w:val="00CA6AA3"/>
    <w:rsid w:val="00CA6AF2"/>
    <w:rsid w:val="00CA6B47"/>
    <w:rsid w:val="00CA6B8F"/>
    <w:rsid w:val="00CA6EE2"/>
    <w:rsid w:val="00CA6EEA"/>
    <w:rsid w:val="00CA6F6C"/>
    <w:rsid w:val="00CA7061"/>
    <w:rsid w:val="00CA7076"/>
    <w:rsid w:val="00CA7156"/>
    <w:rsid w:val="00CA7160"/>
    <w:rsid w:val="00CA72AF"/>
    <w:rsid w:val="00CA73B3"/>
    <w:rsid w:val="00CA73D0"/>
    <w:rsid w:val="00CA7761"/>
    <w:rsid w:val="00CA7886"/>
    <w:rsid w:val="00CA78CA"/>
    <w:rsid w:val="00CA79DB"/>
    <w:rsid w:val="00CA7A2B"/>
    <w:rsid w:val="00CA7C5C"/>
    <w:rsid w:val="00CA7C76"/>
    <w:rsid w:val="00CA7CBA"/>
    <w:rsid w:val="00CA7CBE"/>
    <w:rsid w:val="00CA7D1D"/>
    <w:rsid w:val="00CA7D81"/>
    <w:rsid w:val="00CA7EE2"/>
    <w:rsid w:val="00CA8747"/>
    <w:rsid w:val="00CAA88F"/>
    <w:rsid w:val="00CAD60A"/>
    <w:rsid w:val="00CB005D"/>
    <w:rsid w:val="00CB00B4"/>
    <w:rsid w:val="00CB00C1"/>
    <w:rsid w:val="00CB02EB"/>
    <w:rsid w:val="00CB0413"/>
    <w:rsid w:val="00CB0458"/>
    <w:rsid w:val="00CB0492"/>
    <w:rsid w:val="00CB0563"/>
    <w:rsid w:val="00CB0566"/>
    <w:rsid w:val="00CB056F"/>
    <w:rsid w:val="00CB0645"/>
    <w:rsid w:val="00CB0674"/>
    <w:rsid w:val="00CB06CA"/>
    <w:rsid w:val="00CB07AD"/>
    <w:rsid w:val="00CB07B4"/>
    <w:rsid w:val="00CB0808"/>
    <w:rsid w:val="00CB0850"/>
    <w:rsid w:val="00CB0888"/>
    <w:rsid w:val="00CB08D2"/>
    <w:rsid w:val="00CB094E"/>
    <w:rsid w:val="00CB095F"/>
    <w:rsid w:val="00CB0982"/>
    <w:rsid w:val="00CB09A8"/>
    <w:rsid w:val="00CB09AF"/>
    <w:rsid w:val="00CB0A2E"/>
    <w:rsid w:val="00CB0A30"/>
    <w:rsid w:val="00CB0BA6"/>
    <w:rsid w:val="00CB0C47"/>
    <w:rsid w:val="00CB0CAE"/>
    <w:rsid w:val="00CB0D9F"/>
    <w:rsid w:val="00CB0E1B"/>
    <w:rsid w:val="00CB0E64"/>
    <w:rsid w:val="00CB0EA1"/>
    <w:rsid w:val="00CB0F42"/>
    <w:rsid w:val="00CB0F56"/>
    <w:rsid w:val="00CB0F5E"/>
    <w:rsid w:val="00CB0F7A"/>
    <w:rsid w:val="00CB0FA4"/>
    <w:rsid w:val="00CB0FD5"/>
    <w:rsid w:val="00CB1068"/>
    <w:rsid w:val="00CB10AA"/>
    <w:rsid w:val="00CB1120"/>
    <w:rsid w:val="00CB12BA"/>
    <w:rsid w:val="00CB1379"/>
    <w:rsid w:val="00CB138C"/>
    <w:rsid w:val="00CB1394"/>
    <w:rsid w:val="00CB16E5"/>
    <w:rsid w:val="00CB174D"/>
    <w:rsid w:val="00CB18A9"/>
    <w:rsid w:val="00CB18E6"/>
    <w:rsid w:val="00CB1927"/>
    <w:rsid w:val="00CB195A"/>
    <w:rsid w:val="00CB1C74"/>
    <w:rsid w:val="00CB1DBB"/>
    <w:rsid w:val="00CB1E14"/>
    <w:rsid w:val="00CB1EB4"/>
    <w:rsid w:val="00CB1EEB"/>
    <w:rsid w:val="00CB1F11"/>
    <w:rsid w:val="00CB1FA3"/>
    <w:rsid w:val="00CB1FD1"/>
    <w:rsid w:val="00CB20FC"/>
    <w:rsid w:val="00CB2207"/>
    <w:rsid w:val="00CB22AF"/>
    <w:rsid w:val="00CB2335"/>
    <w:rsid w:val="00CB2445"/>
    <w:rsid w:val="00CB244A"/>
    <w:rsid w:val="00CB24D4"/>
    <w:rsid w:val="00CB2693"/>
    <w:rsid w:val="00CB2772"/>
    <w:rsid w:val="00CB281D"/>
    <w:rsid w:val="00CB2899"/>
    <w:rsid w:val="00CB28A0"/>
    <w:rsid w:val="00CB29D2"/>
    <w:rsid w:val="00CB2B52"/>
    <w:rsid w:val="00CB2BFF"/>
    <w:rsid w:val="00CB2C4B"/>
    <w:rsid w:val="00CB2C50"/>
    <w:rsid w:val="00CB2C68"/>
    <w:rsid w:val="00CB2C98"/>
    <w:rsid w:val="00CB2D66"/>
    <w:rsid w:val="00CB2DE0"/>
    <w:rsid w:val="00CB2E44"/>
    <w:rsid w:val="00CB2E80"/>
    <w:rsid w:val="00CB2EA2"/>
    <w:rsid w:val="00CB2FCD"/>
    <w:rsid w:val="00CB2FDD"/>
    <w:rsid w:val="00CB2FF1"/>
    <w:rsid w:val="00CB300B"/>
    <w:rsid w:val="00CB3081"/>
    <w:rsid w:val="00CB30A1"/>
    <w:rsid w:val="00CB32B7"/>
    <w:rsid w:val="00CB343F"/>
    <w:rsid w:val="00CB3474"/>
    <w:rsid w:val="00CB35B7"/>
    <w:rsid w:val="00CB35D4"/>
    <w:rsid w:val="00CB35F9"/>
    <w:rsid w:val="00CB3675"/>
    <w:rsid w:val="00CB3732"/>
    <w:rsid w:val="00CB3741"/>
    <w:rsid w:val="00CB378E"/>
    <w:rsid w:val="00CB37A6"/>
    <w:rsid w:val="00CB3865"/>
    <w:rsid w:val="00CB38E5"/>
    <w:rsid w:val="00CB38F8"/>
    <w:rsid w:val="00CB3989"/>
    <w:rsid w:val="00CB3A17"/>
    <w:rsid w:val="00CB3A36"/>
    <w:rsid w:val="00CB3A4F"/>
    <w:rsid w:val="00CB3ADC"/>
    <w:rsid w:val="00CB3B27"/>
    <w:rsid w:val="00CB3BFA"/>
    <w:rsid w:val="00CB3D41"/>
    <w:rsid w:val="00CB3D57"/>
    <w:rsid w:val="00CB3DB9"/>
    <w:rsid w:val="00CB3DC9"/>
    <w:rsid w:val="00CB3E7F"/>
    <w:rsid w:val="00CB4083"/>
    <w:rsid w:val="00CB409E"/>
    <w:rsid w:val="00CB40E5"/>
    <w:rsid w:val="00CB40FC"/>
    <w:rsid w:val="00CB420F"/>
    <w:rsid w:val="00CB42C0"/>
    <w:rsid w:val="00CB43C5"/>
    <w:rsid w:val="00CB43C6"/>
    <w:rsid w:val="00CB43E5"/>
    <w:rsid w:val="00CB43EE"/>
    <w:rsid w:val="00CB43F9"/>
    <w:rsid w:val="00CB445F"/>
    <w:rsid w:val="00CB44A2"/>
    <w:rsid w:val="00CB44B8"/>
    <w:rsid w:val="00CB44DE"/>
    <w:rsid w:val="00CB454E"/>
    <w:rsid w:val="00CB4585"/>
    <w:rsid w:val="00CB466D"/>
    <w:rsid w:val="00CB46D9"/>
    <w:rsid w:val="00CB4725"/>
    <w:rsid w:val="00CB49E4"/>
    <w:rsid w:val="00CB4A3A"/>
    <w:rsid w:val="00CB4B4C"/>
    <w:rsid w:val="00CB4BC1"/>
    <w:rsid w:val="00CB4BF7"/>
    <w:rsid w:val="00CB4C23"/>
    <w:rsid w:val="00CB4CEE"/>
    <w:rsid w:val="00CB4D34"/>
    <w:rsid w:val="00CB4D6A"/>
    <w:rsid w:val="00CB4E39"/>
    <w:rsid w:val="00CB4EB4"/>
    <w:rsid w:val="00CB4ED7"/>
    <w:rsid w:val="00CB50CC"/>
    <w:rsid w:val="00CB5103"/>
    <w:rsid w:val="00CB513F"/>
    <w:rsid w:val="00CB515B"/>
    <w:rsid w:val="00CB5172"/>
    <w:rsid w:val="00CB51F5"/>
    <w:rsid w:val="00CB538C"/>
    <w:rsid w:val="00CB53A5"/>
    <w:rsid w:val="00CB5524"/>
    <w:rsid w:val="00CB5589"/>
    <w:rsid w:val="00CB55B1"/>
    <w:rsid w:val="00CB56A1"/>
    <w:rsid w:val="00CB56BC"/>
    <w:rsid w:val="00CB5751"/>
    <w:rsid w:val="00CB59CE"/>
    <w:rsid w:val="00CB59FE"/>
    <w:rsid w:val="00CB5AD6"/>
    <w:rsid w:val="00CB5EC8"/>
    <w:rsid w:val="00CB5F5F"/>
    <w:rsid w:val="00CB6056"/>
    <w:rsid w:val="00CB6082"/>
    <w:rsid w:val="00CB6129"/>
    <w:rsid w:val="00CB6147"/>
    <w:rsid w:val="00CB6289"/>
    <w:rsid w:val="00CB6392"/>
    <w:rsid w:val="00CB63BD"/>
    <w:rsid w:val="00CB6430"/>
    <w:rsid w:val="00CB644D"/>
    <w:rsid w:val="00CB6473"/>
    <w:rsid w:val="00CB64EC"/>
    <w:rsid w:val="00CB6519"/>
    <w:rsid w:val="00CB6661"/>
    <w:rsid w:val="00CB6734"/>
    <w:rsid w:val="00CB676C"/>
    <w:rsid w:val="00CB6849"/>
    <w:rsid w:val="00CB6958"/>
    <w:rsid w:val="00CB6A76"/>
    <w:rsid w:val="00CB6AA3"/>
    <w:rsid w:val="00CB6AB8"/>
    <w:rsid w:val="00CB6BE2"/>
    <w:rsid w:val="00CB6C43"/>
    <w:rsid w:val="00CB6CE5"/>
    <w:rsid w:val="00CB6DBA"/>
    <w:rsid w:val="00CB6E06"/>
    <w:rsid w:val="00CB6ECD"/>
    <w:rsid w:val="00CB6EE5"/>
    <w:rsid w:val="00CB6FD7"/>
    <w:rsid w:val="00CB7244"/>
    <w:rsid w:val="00CB7262"/>
    <w:rsid w:val="00CB73C6"/>
    <w:rsid w:val="00CB73D1"/>
    <w:rsid w:val="00CB7443"/>
    <w:rsid w:val="00CB74B5"/>
    <w:rsid w:val="00CB7504"/>
    <w:rsid w:val="00CB754A"/>
    <w:rsid w:val="00CB7816"/>
    <w:rsid w:val="00CB78E6"/>
    <w:rsid w:val="00CB7940"/>
    <w:rsid w:val="00CB7959"/>
    <w:rsid w:val="00CB79E3"/>
    <w:rsid w:val="00CB7C4A"/>
    <w:rsid w:val="00CB7CB3"/>
    <w:rsid w:val="00CB7DCB"/>
    <w:rsid w:val="00CB7DE7"/>
    <w:rsid w:val="00CB7E6A"/>
    <w:rsid w:val="00CB7E6C"/>
    <w:rsid w:val="00CBAE14"/>
    <w:rsid w:val="00CBBF83"/>
    <w:rsid w:val="00CC0086"/>
    <w:rsid w:val="00CC0134"/>
    <w:rsid w:val="00CC0152"/>
    <w:rsid w:val="00CC018F"/>
    <w:rsid w:val="00CC01E0"/>
    <w:rsid w:val="00CC01F0"/>
    <w:rsid w:val="00CC02B5"/>
    <w:rsid w:val="00CC0485"/>
    <w:rsid w:val="00CC0508"/>
    <w:rsid w:val="00CC051F"/>
    <w:rsid w:val="00CC063C"/>
    <w:rsid w:val="00CC069E"/>
    <w:rsid w:val="00CC0748"/>
    <w:rsid w:val="00CC0758"/>
    <w:rsid w:val="00CC08E9"/>
    <w:rsid w:val="00CC0994"/>
    <w:rsid w:val="00CC0A92"/>
    <w:rsid w:val="00CC0B2B"/>
    <w:rsid w:val="00CC0BFA"/>
    <w:rsid w:val="00CC0C3C"/>
    <w:rsid w:val="00CC0C82"/>
    <w:rsid w:val="00CC0C86"/>
    <w:rsid w:val="00CC0C90"/>
    <w:rsid w:val="00CC0D08"/>
    <w:rsid w:val="00CC0D1E"/>
    <w:rsid w:val="00CC0D71"/>
    <w:rsid w:val="00CC0DF4"/>
    <w:rsid w:val="00CC0E5B"/>
    <w:rsid w:val="00CC0E5C"/>
    <w:rsid w:val="00CC0E94"/>
    <w:rsid w:val="00CC0F7E"/>
    <w:rsid w:val="00CC0F84"/>
    <w:rsid w:val="00CC104D"/>
    <w:rsid w:val="00CC10B5"/>
    <w:rsid w:val="00CC112F"/>
    <w:rsid w:val="00CC1198"/>
    <w:rsid w:val="00CC11A8"/>
    <w:rsid w:val="00CC11E8"/>
    <w:rsid w:val="00CC1322"/>
    <w:rsid w:val="00CC1351"/>
    <w:rsid w:val="00CC13E0"/>
    <w:rsid w:val="00CC13E7"/>
    <w:rsid w:val="00CC14A5"/>
    <w:rsid w:val="00CC14A7"/>
    <w:rsid w:val="00CC1501"/>
    <w:rsid w:val="00CC1502"/>
    <w:rsid w:val="00CC15D2"/>
    <w:rsid w:val="00CC163B"/>
    <w:rsid w:val="00CC17D2"/>
    <w:rsid w:val="00CC1833"/>
    <w:rsid w:val="00CC1895"/>
    <w:rsid w:val="00CC18F3"/>
    <w:rsid w:val="00CC1A2E"/>
    <w:rsid w:val="00CC1AEC"/>
    <w:rsid w:val="00CC1B69"/>
    <w:rsid w:val="00CC1B94"/>
    <w:rsid w:val="00CC1C2A"/>
    <w:rsid w:val="00CC1D2D"/>
    <w:rsid w:val="00CC1D9F"/>
    <w:rsid w:val="00CC1E9F"/>
    <w:rsid w:val="00CC2213"/>
    <w:rsid w:val="00CC2264"/>
    <w:rsid w:val="00CC2267"/>
    <w:rsid w:val="00CC2398"/>
    <w:rsid w:val="00CC2453"/>
    <w:rsid w:val="00CC24A3"/>
    <w:rsid w:val="00CC266A"/>
    <w:rsid w:val="00CC2753"/>
    <w:rsid w:val="00CC27C8"/>
    <w:rsid w:val="00CC29AC"/>
    <w:rsid w:val="00CC29E4"/>
    <w:rsid w:val="00CC2ADF"/>
    <w:rsid w:val="00CC2B19"/>
    <w:rsid w:val="00CC2BF1"/>
    <w:rsid w:val="00CC2CB7"/>
    <w:rsid w:val="00CC2E72"/>
    <w:rsid w:val="00CC2E7E"/>
    <w:rsid w:val="00CC2EF9"/>
    <w:rsid w:val="00CC2F62"/>
    <w:rsid w:val="00CC302C"/>
    <w:rsid w:val="00CC30D9"/>
    <w:rsid w:val="00CC30FD"/>
    <w:rsid w:val="00CC3118"/>
    <w:rsid w:val="00CC311B"/>
    <w:rsid w:val="00CC31D6"/>
    <w:rsid w:val="00CC3227"/>
    <w:rsid w:val="00CC328E"/>
    <w:rsid w:val="00CC3292"/>
    <w:rsid w:val="00CC330E"/>
    <w:rsid w:val="00CC333D"/>
    <w:rsid w:val="00CC33E6"/>
    <w:rsid w:val="00CC3450"/>
    <w:rsid w:val="00CC3474"/>
    <w:rsid w:val="00CC36CE"/>
    <w:rsid w:val="00CC3778"/>
    <w:rsid w:val="00CC3798"/>
    <w:rsid w:val="00CC37BF"/>
    <w:rsid w:val="00CC37D1"/>
    <w:rsid w:val="00CC3905"/>
    <w:rsid w:val="00CC3949"/>
    <w:rsid w:val="00CC3965"/>
    <w:rsid w:val="00CC3A2E"/>
    <w:rsid w:val="00CC3A50"/>
    <w:rsid w:val="00CC3AB1"/>
    <w:rsid w:val="00CC3AEC"/>
    <w:rsid w:val="00CC3B11"/>
    <w:rsid w:val="00CC3BE7"/>
    <w:rsid w:val="00CC3C09"/>
    <w:rsid w:val="00CC3C76"/>
    <w:rsid w:val="00CC3D21"/>
    <w:rsid w:val="00CC4121"/>
    <w:rsid w:val="00CC433F"/>
    <w:rsid w:val="00CC43AA"/>
    <w:rsid w:val="00CC440C"/>
    <w:rsid w:val="00CC4421"/>
    <w:rsid w:val="00CC454A"/>
    <w:rsid w:val="00CC461E"/>
    <w:rsid w:val="00CC4632"/>
    <w:rsid w:val="00CC4668"/>
    <w:rsid w:val="00CC466F"/>
    <w:rsid w:val="00CC4710"/>
    <w:rsid w:val="00CC4725"/>
    <w:rsid w:val="00CC49DE"/>
    <w:rsid w:val="00CC49E9"/>
    <w:rsid w:val="00CC4A65"/>
    <w:rsid w:val="00CC4D5B"/>
    <w:rsid w:val="00CC4FD2"/>
    <w:rsid w:val="00CC504D"/>
    <w:rsid w:val="00CC5119"/>
    <w:rsid w:val="00CC526D"/>
    <w:rsid w:val="00CC52B4"/>
    <w:rsid w:val="00CC533B"/>
    <w:rsid w:val="00CC5397"/>
    <w:rsid w:val="00CC5413"/>
    <w:rsid w:val="00CC542D"/>
    <w:rsid w:val="00CC558A"/>
    <w:rsid w:val="00CC55F9"/>
    <w:rsid w:val="00CC5660"/>
    <w:rsid w:val="00CC5720"/>
    <w:rsid w:val="00CC57BC"/>
    <w:rsid w:val="00CC57D4"/>
    <w:rsid w:val="00CC5A05"/>
    <w:rsid w:val="00CC5A15"/>
    <w:rsid w:val="00CC5A47"/>
    <w:rsid w:val="00CC5B0E"/>
    <w:rsid w:val="00CC5CDD"/>
    <w:rsid w:val="00CC5D7A"/>
    <w:rsid w:val="00CC5E7D"/>
    <w:rsid w:val="00CC5F30"/>
    <w:rsid w:val="00CC5FDD"/>
    <w:rsid w:val="00CC60B6"/>
    <w:rsid w:val="00CC6112"/>
    <w:rsid w:val="00CC6147"/>
    <w:rsid w:val="00CC618B"/>
    <w:rsid w:val="00CC61B5"/>
    <w:rsid w:val="00CC61D5"/>
    <w:rsid w:val="00CC61FD"/>
    <w:rsid w:val="00CC63EB"/>
    <w:rsid w:val="00CC6415"/>
    <w:rsid w:val="00CC64C2"/>
    <w:rsid w:val="00CC6575"/>
    <w:rsid w:val="00CC673A"/>
    <w:rsid w:val="00CC675E"/>
    <w:rsid w:val="00CC680F"/>
    <w:rsid w:val="00CC6883"/>
    <w:rsid w:val="00CC691F"/>
    <w:rsid w:val="00CC6929"/>
    <w:rsid w:val="00CC69BB"/>
    <w:rsid w:val="00CC69D8"/>
    <w:rsid w:val="00CC6A12"/>
    <w:rsid w:val="00CC6B02"/>
    <w:rsid w:val="00CC6B07"/>
    <w:rsid w:val="00CC6B70"/>
    <w:rsid w:val="00CC6B9D"/>
    <w:rsid w:val="00CC6BA6"/>
    <w:rsid w:val="00CC6C1C"/>
    <w:rsid w:val="00CC6C1F"/>
    <w:rsid w:val="00CC6CA3"/>
    <w:rsid w:val="00CC6CD9"/>
    <w:rsid w:val="00CC6D71"/>
    <w:rsid w:val="00CC6E3A"/>
    <w:rsid w:val="00CC6E99"/>
    <w:rsid w:val="00CC6F1D"/>
    <w:rsid w:val="00CC723A"/>
    <w:rsid w:val="00CC7248"/>
    <w:rsid w:val="00CC7297"/>
    <w:rsid w:val="00CC733D"/>
    <w:rsid w:val="00CC7402"/>
    <w:rsid w:val="00CC741D"/>
    <w:rsid w:val="00CC752F"/>
    <w:rsid w:val="00CC7533"/>
    <w:rsid w:val="00CC7682"/>
    <w:rsid w:val="00CC773E"/>
    <w:rsid w:val="00CC7817"/>
    <w:rsid w:val="00CC78D9"/>
    <w:rsid w:val="00CC7900"/>
    <w:rsid w:val="00CC7961"/>
    <w:rsid w:val="00CC7977"/>
    <w:rsid w:val="00CC7A72"/>
    <w:rsid w:val="00CC7AA4"/>
    <w:rsid w:val="00CC7B51"/>
    <w:rsid w:val="00CC7B78"/>
    <w:rsid w:val="00CC7CF0"/>
    <w:rsid w:val="00CC7D1D"/>
    <w:rsid w:val="00CC7D50"/>
    <w:rsid w:val="00CC7EC3"/>
    <w:rsid w:val="00CC7F0A"/>
    <w:rsid w:val="00CC7F49"/>
    <w:rsid w:val="00CC7FED"/>
    <w:rsid w:val="00CD0500"/>
    <w:rsid w:val="00CD05D7"/>
    <w:rsid w:val="00CD0711"/>
    <w:rsid w:val="00CD07FB"/>
    <w:rsid w:val="00CD0908"/>
    <w:rsid w:val="00CD09A5"/>
    <w:rsid w:val="00CD09FD"/>
    <w:rsid w:val="00CD0B5F"/>
    <w:rsid w:val="00CD0B60"/>
    <w:rsid w:val="00CD0B7E"/>
    <w:rsid w:val="00CD0CA1"/>
    <w:rsid w:val="00CD0D65"/>
    <w:rsid w:val="00CD0D7B"/>
    <w:rsid w:val="00CD0E87"/>
    <w:rsid w:val="00CD0EF2"/>
    <w:rsid w:val="00CD1013"/>
    <w:rsid w:val="00CD1046"/>
    <w:rsid w:val="00CD114B"/>
    <w:rsid w:val="00CD11E2"/>
    <w:rsid w:val="00CD13F8"/>
    <w:rsid w:val="00CD1439"/>
    <w:rsid w:val="00CD14C6"/>
    <w:rsid w:val="00CD14F1"/>
    <w:rsid w:val="00CD152B"/>
    <w:rsid w:val="00CD15A6"/>
    <w:rsid w:val="00CD15EB"/>
    <w:rsid w:val="00CD163D"/>
    <w:rsid w:val="00CD1677"/>
    <w:rsid w:val="00CD16C2"/>
    <w:rsid w:val="00CD16EC"/>
    <w:rsid w:val="00CD1955"/>
    <w:rsid w:val="00CD1962"/>
    <w:rsid w:val="00CD1A3B"/>
    <w:rsid w:val="00CD1AFC"/>
    <w:rsid w:val="00CD1B53"/>
    <w:rsid w:val="00CD1B6D"/>
    <w:rsid w:val="00CD1C81"/>
    <w:rsid w:val="00CD1CB2"/>
    <w:rsid w:val="00CD1D82"/>
    <w:rsid w:val="00CD1EDF"/>
    <w:rsid w:val="00CD1F87"/>
    <w:rsid w:val="00CD1F92"/>
    <w:rsid w:val="00CD1FD8"/>
    <w:rsid w:val="00CD1FFE"/>
    <w:rsid w:val="00CD2110"/>
    <w:rsid w:val="00CD21AC"/>
    <w:rsid w:val="00CD2299"/>
    <w:rsid w:val="00CD2386"/>
    <w:rsid w:val="00CD23F6"/>
    <w:rsid w:val="00CD2428"/>
    <w:rsid w:val="00CD24DC"/>
    <w:rsid w:val="00CD25C4"/>
    <w:rsid w:val="00CD28B5"/>
    <w:rsid w:val="00CD2A51"/>
    <w:rsid w:val="00CD2AA2"/>
    <w:rsid w:val="00CD2B34"/>
    <w:rsid w:val="00CD2B71"/>
    <w:rsid w:val="00CD2B7B"/>
    <w:rsid w:val="00CD2B94"/>
    <w:rsid w:val="00CD2C3C"/>
    <w:rsid w:val="00CD2C62"/>
    <w:rsid w:val="00CD2CA0"/>
    <w:rsid w:val="00CD2D56"/>
    <w:rsid w:val="00CD2DC3"/>
    <w:rsid w:val="00CD2DFF"/>
    <w:rsid w:val="00CD2E0A"/>
    <w:rsid w:val="00CD2E0C"/>
    <w:rsid w:val="00CD2EF6"/>
    <w:rsid w:val="00CD2FBC"/>
    <w:rsid w:val="00CD315C"/>
    <w:rsid w:val="00CD317B"/>
    <w:rsid w:val="00CD31EA"/>
    <w:rsid w:val="00CD31F4"/>
    <w:rsid w:val="00CD3214"/>
    <w:rsid w:val="00CD3237"/>
    <w:rsid w:val="00CD328B"/>
    <w:rsid w:val="00CD3306"/>
    <w:rsid w:val="00CD3359"/>
    <w:rsid w:val="00CD3454"/>
    <w:rsid w:val="00CD35CB"/>
    <w:rsid w:val="00CD3612"/>
    <w:rsid w:val="00CD369C"/>
    <w:rsid w:val="00CD36BA"/>
    <w:rsid w:val="00CD376B"/>
    <w:rsid w:val="00CD37D4"/>
    <w:rsid w:val="00CD3809"/>
    <w:rsid w:val="00CD3880"/>
    <w:rsid w:val="00CD3927"/>
    <w:rsid w:val="00CD395E"/>
    <w:rsid w:val="00CD396F"/>
    <w:rsid w:val="00CD39C8"/>
    <w:rsid w:val="00CD3AB1"/>
    <w:rsid w:val="00CD3B2C"/>
    <w:rsid w:val="00CD3B77"/>
    <w:rsid w:val="00CD3C0E"/>
    <w:rsid w:val="00CD3C16"/>
    <w:rsid w:val="00CD3C5D"/>
    <w:rsid w:val="00CD3C63"/>
    <w:rsid w:val="00CD3C8B"/>
    <w:rsid w:val="00CD3D3A"/>
    <w:rsid w:val="00CD3D72"/>
    <w:rsid w:val="00CD3E5D"/>
    <w:rsid w:val="00CD3E6D"/>
    <w:rsid w:val="00CD3EAA"/>
    <w:rsid w:val="00CD3F49"/>
    <w:rsid w:val="00CD3FFB"/>
    <w:rsid w:val="00CD40CF"/>
    <w:rsid w:val="00CD417D"/>
    <w:rsid w:val="00CD4194"/>
    <w:rsid w:val="00CD41B5"/>
    <w:rsid w:val="00CD4200"/>
    <w:rsid w:val="00CD4239"/>
    <w:rsid w:val="00CD42FE"/>
    <w:rsid w:val="00CD436B"/>
    <w:rsid w:val="00CD440B"/>
    <w:rsid w:val="00CD4480"/>
    <w:rsid w:val="00CD44D0"/>
    <w:rsid w:val="00CD452B"/>
    <w:rsid w:val="00CD458A"/>
    <w:rsid w:val="00CD4654"/>
    <w:rsid w:val="00CD4735"/>
    <w:rsid w:val="00CD4747"/>
    <w:rsid w:val="00CD4774"/>
    <w:rsid w:val="00CD488A"/>
    <w:rsid w:val="00CD4986"/>
    <w:rsid w:val="00CD49D1"/>
    <w:rsid w:val="00CD4A38"/>
    <w:rsid w:val="00CD4B7C"/>
    <w:rsid w:val="00CD4BD1"/>
    <w:rsid w:val="00CD4D4F"/>
    <w:rsid w:val="00CD4DC9"/>
    <w:rsid w:val="00CD4E72"/>
    <w:rsid w:val="00CD4EE7"/>
    <w:rsid w:val="00CD4FA2"/>
    <w:rsid w:val="00CD5009"/>
    <w:rsid w:val="00CD513D"/>
    <w:rsid w:val="00CD5174"/>
    <w:rsid w:val="00CD51F9"/>
    <w:rsid w:val="00CD5302"/>
    <w:rsid w:val="00CD5310"/>
    <w:rsid w:val="00CD5321"/>
    <w:rsid w:val="00CD53A8"/>
    <w:rsid w:val="00CD5626"/>
    <w:rsid w:val="00CD5721"/>
    <w:rsid w:val="00CD5861"/>
    <w:rsid w:val="00CD58D8"/>
    <w:rsid w:val="00CD5907"/>
    <w:rsid w:val="00CD5909"/>
    <w:rsid w:val="00CD5978"/>
    <w:rsid w:val="00CD59F2"/>
    <w:rsid w:val="00CD5AA8"/>
    <w:rsid w:val="00CD5BCD"/>
    <w:rsid w:val="00CD5BDB"/>
    <w:rsid w:val="00CD5D42"/>
    <w:rsid w:val="00CD5DED"/>
    <w:rsid w:val="00CD5E09"/>
    <w:rsid w:val="00CD5E4F"/>
    <w:rsid w:val="00CD5F77"/>
    <w:rsid w:val="00CD6063"/>
    <w:rsid w:val="00CD60B3"/>
    <w:rsid w:val="00CD61A2"/>
    <w:rsid w:val="00CD61FF"/>
    <w:rsid w:val="00CD6269"/>
    <w:rsid w:val="00CD636E"/>
    <w:rsid w:val="00CD6485"/>
    <w:rsid w:val="00CD657A"/>
    <w:rsid w:val="00CD6599"/>
    <w:rsid w:val="00CD65C0"/>
    <w:rsid w:val="00CD665C"/>
    <w:rsid w:val="00CD67D4"/>
    <w:rsid w:val="00CD68A3"/>
    <w:rsid w:val="00CD68E8"/>
    <w:rsid w:val="00CD69E1"/>
    <w:rsid w:val="00CD69EC"/>
    <w:rsid w:val="00CD6A7B"/>
    <w:rsid w:val="00CD6A85"/>
    <w:rsid w:val="00CD6A9C"/>
    <w:rsid w:val="00CD6BEB"/>
    <w:rsid w:val="00CD6DC4"/>
    <w:rsid w:val="00CD6E64"/>
    <w:rsid w:val="00CD6E86"/>
    <w:rsid w:val="00CD6ECF"/>
    <w:rsid w:val="00CD6F38"/>
    <w:rsid w:val="00CD6F53"/>
    <w:rsid w:val="00CD6F79"/>
    <w:rsid w:val="00CD6FCD"/>
    <w:rsid w:val="00CD7069"/>
    <w:rsid w:val="00CD7074"/>
    <w:rsid w:val="00CD70AF"/>
    <w:rsid w:val="00CD70B9"/>
    <w:rsid w:val="00CD717F"/>
    <w:rsid w:val="00CD7344"/>
    <w:rsid w:val="00CD7371"/>
    <w:rsid w:val="00CD7419"/>
    <w:rsid w:val="00CD7490"/>
    <w:rsid w:val="00CD74DF"/>
    <w:rsid w:val="00CD7548"/>
    <w:rsid w:val="00CD755B"/>
    <w:rsid w:val="00CD7934"/>
    <w:rsid w:val="00CD7A2C"/>
    <w:rsid w:val="00CD7BA1"/>
    <w:rsid w:val="00CD7BC3"/>
    <w:rsid w:val="00CD7BCC"/>
    <w:rsid w:val="00CD7CB1"/>
    <w:rsid w:val="00CD7CB9"/>
    <w:rsid w:val="00CD7DE6"/>
    <w:rsid w:val="00CD7E1D"/>
    <w:rsid w:val="00CD7E31"/>
    <w:rsid w:val="00CD7E85"/>
    <w:rsid w:val="00CD7E94"/>
    <w:rsid w:val="00CD7F67"/>
    <w:rsid w:val="00CE01A9"/>
    <w:rsid w:val="00CE0211"/>
    <w:rsid w:val="00CE02B8"/>
    <w:rsid w:val="00CE0346"/>
    <w:rsid w:val="00CE040E"/>
    <w:rsid w:val="00CE0420"/>
    <w:rsid w:val="00CE0483"/>
    <w:rsid w:val="00CE0490"/>
    <w:rsid w:val="00CE04AA"/>
    <w:rsid w:val="00CE04AD"/>
    <w:rsid w:val="00CE064B"/>
    <w:rsid w:val="00CE069E"/>
    <w:rsid w:val="00CE06E1"/>
    <w:rsid w:val="00CE06E3"/>
    <w:rsid w:val="00CE06E8"/>
    <w:rsid w:val="00CE074A"/>
    <w:rsid w:val="00CE0810"/>
    <w:rsid w:val="00CE0892"/>
    <w:rsid w:val="00CE095B"/>
    <w:rsid w:val="00CE0A34"/>
    <w:rsid w:val="00CE0A50"/>
    <w:rsid w:val="00CE0AAF"/>
    <w:rsid w:val="00CE0CD2"/>
    <w:rsid w:val="00CE0F76"/>
    <w:rsid w:val="00CE0FCD"/>
    <w:rsid w:val="00CE1038"/>
    <w:rsid w:val="00CE104D"/>
    <w:rsid w:val="00CE1108"/>
    <w:rsid w:val="00CE11D0"/>
    <w:rsid w:val="00CE14B6"/>
    <w:rsid w:val="00CE14D1"/>
    <w:rsid w:val="00CE1531"/>
    <w:rsid w:val="00CE15A4"/>
    <w:rsid w:val="00CE15D6"/>
    <w:rsid w:val="00CE1641"/>
    <w:rsid w:val="00CE1653"/>
    <w:rsid w:val="00CE1715"/>
    <w:rsid w:val="00CE176F"/>
    <w:rsid w:val="00CE1778"/>
    <w:rsid w:val="00CE1795"/>
    <w:rsid w:val="00CE17AB"/>
    <w:rsid w:val="00CE181B"/>
    <w:rsid w:val="00CE1845"/>
    <w:rsid w:val="00CE189F"/>
    <w:rsid w:val="00CE18A2"/>
    <w:rsid w:val="00CE1A0B"/>
    <w:rsid w:val="00CE1A41"/>
    <w:rsid w:val="00CE1AF1"/>
    <w:rsid w:val="00CE1BBF"/>
    <w:rsid w:val="00CE1C3F"/>
    <w:rsid w:val="00CE1D91"/>
    <w:rsid w:val="00CE1DC2"/>
    <w:rsid w:val="00CE1E88"/>
    <w:rsid w:val="00CE1E8A"/>
    <w:rsid w:val="00CE1E8E"/>
    <w:rsid w:val="00CE1F5C"/>
    <w:rsid w:val="00CE201B"/>
    <w:rsid w:val="00CE2054"/>
    <w:rsid w:val="00CE205A"/>
    <w:rsid w:val="00CE21BB"/>
    <w:rsid w:val="00CE21F4"/>
    <w:rsid w:val="00CE22D2"/>
    <w:rsid w:val="00CE23B7"/>
    <w:rsid w:val="00CE23C8"/>
    <w:rsid w:val="00CE23D5"/>
    <w:rsid w:val="00CE2457"/>
    <w:rsid w:val="00CE24C9"/>
    <w:rsid w:val="00CE25AE"/>
    <w:rsid w:val="00CE2734"/>
    <w:rsid w:val="00CE27AD"/>
    <w:rsid w:val="00CE2869"/>
    <w:rsid w:val="00CE2AA0"/>
    <w:rsid w:val="00CE2AE8"/>
    <w:rsid w:val="00CE2B5D"/>
    <w:rsid w:val="00CE2C88"/>
    <w:rsid w:val="00CE2D2B"/>
    <w:rsid w:val="00CE2D9D"/>
    <w:rsid w:val="00CE2DAE"/>
    <w:rsid w:val="00CE2DDC"/>
    <w:rsid w:val="00CE2ECD"/>
    <w:rsid w:val="00CE2F04"/>
    <w:rsid w:val="00CE2F54"/>
    <w:rsid w:val="00CE30F0"/>
    <w:rsid w:val="00CE3185"/>
    <w:rsid w:val="00CE3239"/>
    <w:rsid w:val="00CE3310"/>
    <w:rsid w:val="00CE3374"/>
    <w:rsid w:val="00CE3472"/>
    <w:rsid w:val="00CE34C2"/>
    <w:rsid w:val="00CE35FB"/>
    <w:rsid w:val="00CE3676"/>
    <w:rsid w:val="00CE3769"/>
    <w:rsid w:val="00CE37D2"/>
    <w:rsid w:val="00CE37ED"/>
    <w:rsid w:val="00CE3887"/>
    <w:rsid w:val="00CE3888"/>
    <w:rsid w:val="00CE38D4"/>
    <w:rsid w:val="00CE39C6"/>
    <w:rsid w:val="00CE3A32"/>
    <w:rsid w:val="00CE3A60"/>
    <w:rsid w:val="00CE3A9C"/>
    <w:rsid w:val="00CE3B41"/>
    <w:rsid w:val="00CE3B66"/>
    <w:rsid w:val="00CE3BFB"/>
    <w:rsid w:val="00CE3D20"/>
    <w:rsid w:val="00CE3D3B"/>
    <w:rsid w:val="00CE3D73"/>
    <w:rsid w:val="00CE3DA0"/>
    <w:rsid w:val="00CE3E22"/>
    <w:rsid w:val="00CE3EFE"/>
    <w:rsid w:val="00CE3F56"/>
    <w:rsid w:val="00CE3F77"/>
    <w:rsid w:val="00CE3FD6"/>
    <w:rsid w:val="00CE4012"/>
    <w:rsid w:val="00CE4279"/>
    <w:rsid w:val="00CE4351"/>
    <w:rsid w:val="00CE4451"/>
    <w:rsid w:val="00CE44D8"/>
    <w:rsid w:val="00CE450F"/>
    <w:rsid w:val="00CE4522"/>
    <w:rsid w:val="00CE4554"/>
    <w:rsid w:val="00CE45BC"/>
    <w:rsid w:val="00CE46A0"/>
    <w:rsid w:val="00CE4796"/>
    <w:rsid w:val="00CE47B1"/>
    <w:rsid w:val="00CE47E8"/>
    <w:rsid w:val="00CE4938"/>
    <w:rsid w:val="00CE4A4A"/>
    <w:rsid w:val="00CE4B28"/>
    <w:rsid w:val="00CE4B48"/>
    <w:rsid w:val="00CE4B7B"/>
    <w:rsid w:val="00CE4C0C"/>
    <w:rsid w:val="00CE4C61"/>
    <w:rsid w:val="00CE4C83"/>
    <w:rsid w:val="00CE4D21"/>
    <w:rsid w:val="00CE4D38"/>
    <w:rsid w:val="00CE4D3D"/>
    <w:rsid w:val="00CE4D93"/>
    <w:rsid w:val="00CE4F5A"/>
    <w:rsid w:val="00CE4F6E"/>
    <w:rsid w:val="00CE5046"/>
    <w:rsid w:val="00CE50E9"/>
    <w:rsid w:val="00CE50EA"/>
    <w:rsid w:val="00CE5154"/>
    <w:rsid w:val="00CE518A"/>
    <w:rsid w:val="00CE51DA"/>
    <w:rsid w:val="00CE51F4"/>
    <w:rsid w:val="00CE5268"/>
    <w:rsid w:val="00CE528B"/>
    <w:rsid w:val="00CE52BE"/>
    <w:rsid w:val="00CE53E3"/>
    <w:rsid w:val="00CE5452"/>
    <w:rsid w:val="00CE546F"/>
    <w:rsid w:val="00CE54FD"/>
    <w:rsid w:val="00CE57A1"/>
    <w:rsid w:val="00CE57BA"/>
    <w:rsid w:val="00CE5962"/>
    <w:rsid w:val="00CE59CA"/>
    <w:rsid w:val="00CE5AEA"/>
    <w:rsid w:val="00CE5C3F"/>
    <w:rsid w:val="00CE5C93"/>
    <w:rsid w:val="00CE5CCE"/>
    <w:rsid w:val="00CE5E1E"/>
    <w:rsid w:val="00CE5E2F"/>
    <w:rsid w:val="00CE5EB3"/>
    <w:rsid w:val="00CE5EBA"/>
    <w:rsid w:val="00CE5EF0"/>
    <w:rsid w:val="00CE5FF0"/>
    <w:rsid w:val="00CE606B"/>
    <w:rsid w:val="00CE611A"/>
    <w:rsid w:val="00CE623D"/>
    <w:rsid w:val="00CE6290"/>
    <w:rsid w:val="00CE62C4"/>
    <w:rsid w:val="00CE62CC"/>
    <w:rsid w:val="00CE630B"/>
    <w:rsid w:val="00CE636A"/>
    <w:rsid w:val="00CE638E"/>
    <w:rsid w:val="00CE63DE"/>
    <w:rsid w:val="00CE654A"/>
    <w:rsid w:val="00CE6674"/>
    <w:rsid w:val="00CE6706"/>
    <w:rsid w:val="00CE6719"/>
    <w:rsid w:val="00CE6733"/>
    <w:rsid w:val="00CE68CA"/>
    <w:rsid w:val="00CE68CE"/>
    <w:rsid w:val="00CE6915"/>
    <w:rsid w:val="00CE6A07"/>
    <w:rsid w:val="00CE6A82"/>
    <w:rsid w:val="00CE6A8B"/>
    <w:rsid w:val="00CE6B01"/>
    <w:rsid w:val="00CE6B0F"/>
    <w:rsid w:val="00CE6B49"/>
    <w:rsid w:val="00CE6C13"/>
    <w:rsid w:val="00CE6C9C"/>
    <w:rsid w:val="00CE6E59"/>
    <w:rsid w:val="00CE6ED2"/>
    <w:rsid w:val="00CE70D8"/>
    <w:rsid w:val="00CE7191"/>
    <w:rsid w:val="00CE71D9"/>
    <w:rsid w:val="00CE71EC"/>
    <w:rsid w:val="00CE73BD"/>
    <w:rsid w:val="00CE7421"/>
    <w:rsid w:val="00CE754D"/>
    <w:rsid w:val="00CE75F3"/>
    <w:rsid w:val="00CE768F"/>
    <w:rsid w:val="00CE7961"/>
    <w:rsid w:val="00CE7963"/>
    <w:rsid w:val="00CE799B"/>
    <w:rsid w:val="00CE7A31"/>
    <w:rsid w:val="00CE7A3B"/>
    <w:rsid w:val="00CE7AC2"/>
    <w:rsid w:val="00CE7AD8"/>
    <w:rsid w:val="00CE7AE6"/>
    <w:rsid w:val="00CE7B43"/>
    <w:rsid w:val="00CE7B9D"/>
    <w:rsid w:val="00CE7BD2"/>
    <w:rsid w:val="00CE7C37"/>
    <w:rsid w:val="00CE7DA9"/>
    <w:rsid w:val="00CE7E2C"/>
    <w:rsid w:val="00CE7E41"/>
    <w:rsid w:val="00CE7FB2"/>
    <w:rsid w:val="00CE7FB4"/>
    <w:rsid w:val="00CED5E3"/>
    <w:rsid w:val="00CF00E1"/>
    <w:rsid w:val="00CF01C2"/>
    <w:rsid w:val="00CF01FB"/>
    <w:rsid w:val="00CF022F"/>
    <w:rsid w:val="00CF02B1"/>
    <w:rsid w:val="00CF02E0"/>
    <w:rsid w:val="00CF030A"/>
    <w:rsid w:val="00CF039A"/>
    <w:rsid w:val="00CF03C8"/>
    <w:rsid w:val="00CF0479"/>
    <w:rsid w:val="00CF0601"/>
    <w:rsid w:val="00CF0623"/>
    <w:rsid w:val="00CF065D"/>
    <w:rsid w:val="00CF0796"/>
    <w:rsid w:val="00CF08B9"/>
    <w:rsid w:val="00CF09A2"/>
    <w:rsid w:val="00CF0A0E"/>
    <w:rsid w:val="00CF0A26"/>
    <w:rsid w:val="00CF0AD3"/>
    <w:rsid w:val="00CF0AF4"/>
    <w:rsid w:val="00CF0B9F"/>
    <w:rsid w:val="00CF0BC4"/>
    <w:rsid w:val="00CF0BE6"/>
    <w:rsid w:val="00CF0E3E"/>
    <w:rsid w:val="00CF0F81"/>
    <w:rsid w:val="00CF1048"/>
    <w:rsid w:val="00CF107E"/>
    <w:rsid w:val="00CF1080"/>
    <w:rsid w:val="00CF109C"/>
    <w:rsid w:val="00CF10CD"/>
    <w:rsid w:val="00CF1161"/>
    <w:rsid w:val="00CF1182"/>
    <w:rsid w:val="00CF118C"/>
    <w:rsid w:val="00CF1221"/>
    <w:rsid w:val="00CF124D"/>
    <w:rsid w:val="00CF12B0"/>
    <w:rsid w:val="00CF133D"/>
    <w:rsid w:val="00CF1394"/>
    <w:rsid w:val="00CF13C1"/>
    <w:rsid w:val="00CF13E7"/>
    <w:rsid w:val="00CF1404"/>
    <w:rsid w:val="00CF14AA"/>
    <w:rsid w:val="00CF14BC"/>
    <w:rsid w:val="00CF14CB"/>
    <w:rsid w:val="00CF1589"/>
    <w:rsid w:val="00CF1688"/>
    <w:rsid w:val="00CF18C8"/>
    <w:rsid w:val="00CF1B65"/>
    <w:rsid w:val="00CF1BBD"/>
    <w:rsid w:val="00CF1C0D"/>
    <w:rsid w:val="00CF1D54"/>
    <w:rsid w:val="00CF1DDA"/>
    <w:rsid w:val="00CF1DEE"/>
    <w:rsid w:val="00CF1E62"/>
    <w:rsid w:val="00CF1E78"/>
    <w:rsid w:val="00CF20D5"/>
    <w:rsid w:val="00CF216A"/>
    <w:rsid w:val="00CF2184"/>
    <w:rsid w:val="00CF2266"/>
    <w:rsid w:val="00CF2298"/>
    <w:rsid w:val="00CF2347"/>
    <w:rsid w:val="00CF237E"/>
    <w:rsid w:val="00CF2395"/>
    <w:rsid w:val="00CF25E8"/>
    <w:rsid w:val="00CF26D0"/>
    <w:rsid w:val="00CF272B"/>
    <w:rsid w:val="00CF28D2"/>
    <w:rsid w:val="00CF2949"/>
    <w:rsid w:val="00CF2965"/>
    <w:rsid w:val="00CF29AA"/>
    <w:rsid w:val="00CF29D3"/>
    <w:rsid w:val="00CF2A51"/>
    <w:rsid w:val="00CF2A60"/>
    <w:rsid w:val="00CF2A75"/>
    <w:rsid w:val="00CF2AC2"/>
    <w:rsid w:val="00CF2B9F"/>
    <w:rsid w:val="00CF2CAC"/>
    <w:rsid w:val="00CF2F9C"/>
    <w:rsid w:val="00CF2F9E"/>
    <w:rsid w:val="00CF3066"/>
    <w:rsid w:val="00CF30D1"/>
    <w:rsid w:val="00CF30E7"/>
    <w:rsid w:val="00CF3126"/>
    <w:rsid w:val="00CF3238"/>
    <w:rsid w:val="00CF336C"/>
    <w:rsid w:val="00CF3453"/>
    <w:rsid w:val="00CF349A"/>
    <w:rsid w:val="00CF356D"/>
    <w:rsid w:val="00CF3581"/>
    <w:rsid w:val="00CF3624"/>
    <w:rsid w:val="00CF3710"/>
    <w:rsid w:val="00CF3744"/>
    <w:rsid w:val="00CF37D6"/>
    <w:rsid w:val="00CF39CF"/>
    <w:rsid w:val="00CF39E3"/>
    <w:rsid w:val="00CF3B38"/>
    <w:rsid w:val="00CF3BBE"/>
    <w:rsid w:val="00CF3C52"/>
    <w:rsid w:val="00CF3C73"/>
    <w:rsid w:val="00CF3C89"/>
    <w:rsid w:val="00CF3CD1"/>
    <w:rsid w:val="00CF3D39"/>
    <w:rsid w:val="00CF3DBD"/>
    <w:rsid w:val="00CF3E62"/>
    <w:rsid w:val="00CF3ECD"/>
    <w:rsid w:val="00CF3EFC"/>
    <w:rsid w:val="00CF3F50"/>
    <w:rsid w:val="00CF4044"/>
    <w:rsid w:val="00CF40CB"/>
    <w:rsid w:val="00CF4129"/>
    <w:rsid w:val="00CF41A3"/>
    <w:rsid w:val="00CF41C8"/>
    <w:rsid w:val="00CF42F1"/>
    <w:rsid w:val="00CF4310"/>
    <w:rsid w:val="00CF432A"/>
    <w:rsid w:val="00CF4355"/>
    <w:rsid w:val="00CF437B"/>
    <w:rsid w:val="00CF440F"/>
    <w:rsid w:val="00CF467B"/>
    <w:rsid w:val="00CF46A3"/>
    <w:rsid w:val="00CF4763"/>
    <w:rsid w:val="00CF4936"/>
    <w:rsid w:val="00CF4A41"/>
    <w:rsid w:val="00CF4AF1"/>
    <w:rsid w:val="00CF4B05"/>
    <w:rsid w:val="00CF4B7C"/>
    <w:rsid w:val="00CF4BD7"/>
    <w:rsid w:val="00CF4BDB"/>
    <w:rsid w:val="00CF4C72"/>
    <w:rsid w:val="00CF4CA4"/>
    <w:rsid w:val="00CF4D3D"/>
    <w:rsid w:val="00CF4D5F"/>
    <w:rsid w:val="00CF4DCA"/>
    <w:rsid w:val="00CF4E05"/>
    <w:rsid w:val="00CF4E2C"/>
    <w:rsid w:val="00CF4F91"/>
    <w:rsid w:val="00CF500F"/>
    <w:rsid w:val="00CF5069"/>
    <w:rsid w:val="00CF5091"/>
    <w:rsid w:val="00CF50AB"/>
    <w:rsid w:val="00CF50ED"/>
    <w:rsid w:val="00CF5138"/>
    <w:rsid w:val="00CF516F"/>
    <w:rsid w:val="00CF5247"/>
    <w:rsid w:val="00CF5290"/>
    <w:rsid w:val="00CF53C5"/>
    <w:rsid w:val="00CF5465"/>
    <w:rsid w:val="00CF551D"/>
    <w:rsid w:val="00CF55D4"/>
    <w:rsid w:val="00CF55E8"/>
    <w:rsid w:val="00CF5641"/>
    <w:rsid w:val="00CF56AB"/>
    <w:rsid w:val="00CF56F3"/>
    <w:rsid w:val="00CF572C"/>
    <w:rsid w:val="00CF574E"/>
    <w:rsid w:val="00CF57B0"/>
    <w:rsid w:val="00CF5817"/>
    <w:rsid w:val="00CF597D"/>
    <w:rsid w:val="00CF5997"/>
    <w:rsid w:val="00CF5BF1"/>
    <w:rsid w:val="00CF5D71"/>
    <w:rsid w:val="00CF5D97"/>
    <w:rsid w:val="00CF5E50"/>
    <w:rsid w:val="00CF5F9C"/>
    <w:rsid w:val="00CF5FBB"/>
    <w:rsid w:val="00CF5FF0"/>
    <w:rsid w:val="00CF6107"/>
    <w:rsid w:val="00CF61F2"/>
    <w:rsid w:val="00CF63AA"/>
    <w:rsid w:val="00CF63DF"/>
    <w:rsid w:val="00CF64C3"/>
    <w:rsid w:val="00CF655D"/>
    <w:rsid w:val="00CF6656"/>
    <w:rsid w:val="00CF665F"/>
    <w:rsid w:val="00CF675B"/>
    <w:rsid w:val="00CF6771"/>
    <w:rsid w:val="00CF682F"/>
    <w:rsid w:val="00CF688A"/>
    <w:rsid w:val="00CF6901"/>
    <w:rsid w:val="00CF6A33"/>
    <w:rsid w:val="00CF6BCD"/>
    <w:rsid w:val="00CF6C34"/>
    <w:rsid w:val="00CF6D27"/>
    <w:rsid w:val="00CF6D71"/>
    <w:rsid w:val="00CF6E02"/>
    <w:rsid w:val="00CF6E0F"/>
    <w:rsid w:val="00CF6E13"/>
    <w:rsid w:val="00CF6E1D"/>
    <w:rsid w:val="00CF6EC9"/>
    <w:rsid w:val="00CF70FC"/>
    <w:rsid w:val="00CF7141"/>
    <w:rsid w:val="00CF717C"/>
    <w:rsid w:val="00CF7326"/>
    <w:rsid w:val="00CF733E"/>
    <w:rsid w:val="00CF7518"/>
    <w:rsid w:val="00CF7542"/>
    <w:rsid w:val="00CF75A4"/>
    <w:rsid w:val="00CF75D5"/>
    <w:rsid w:val="00CF771B"/>
    <w:rsid w:val="00CF77FA"/>
    <w:rsid w:val="00CF78BB"/>
    <w:rsid w:val="00CF7A7A"/>
    <w:rsid w:val="00CF7B44"/>
    <w:rsid w:val="00CF7C09"/>
    <w:rsid w:val="00CF7D40"/>
    <w:rsid w:val="00CF7D9F"/>
    <w:rsid w:val="00CF7E02"/>
    <w:rsid w:val="00CF7E5C"/>
    <w:rsid w:val="00CF7EA9"/>
    <w:rsid w:val="00CF7EC1"/>
    <w:rsid w:val="00CF7FCD"/>
    <w:rsid w:val="00CF7FF5"/>
    <w:rsid w:val="00CFDE9C"/>
    <w:rsid w:val="00D0001D"/>
    <w:rsid w:val="00D000D4"/>
    <w:rsid w:val="00D00105"/>
    <w:rsid w:val="00D00179"/>
    <w:rsid w:val="00D001FB"/>
    <w:rsid w:val="00D0021D"/>
    <w:rsid w:val="00D0023A"/>
    <w:rsid w:val="00D00353"/>
    <w:rsid w:val="00D0048D"/>
    <w:rsid w:val="00D004DB"/>
    <w:rsid w:val="00D004E0"/>
    <w:rsid w:val="00D005C3"/>
    <w:rsid w:val="00D00859"/>
    <w:rsid w:val="00D00909"/>
    <w:rsid w:val="00D00997"/>
    <w:rsid w:val="00D009B6"/>
    <w:rsid w:val="00D00A3E"/>
    <w:rsid w:val="00D00A41"/>
    <w:rsid w:val="00D00B82"/>
    <w:rsid w:val="00D00B87"/>
    <w:rsid w:val="00D00CD4"/>
    <w:rsid w:val="00D00D6A"/>
    <w:rsid w:val="00D00EA1"/>
    <w:rsid w:val="00D00F47"/>
    <w:rsid w:val="00D00FC5"/>
    <w:rsid w:val="00D01021"/>
    <w:rsid w:val="00D01060"/>
    <w:rsid w:val="00D01100"/>
    <w:rsid w:val="00D01185"/>
    <w:rsid w:val="00D0123B"/>
    <w:rsid w:val="00D0129F"/>
    <w:rsid w:val="00D01368"/>
    <w:rsid w:val="00D013C0"/>
    <w:rsid w:val="00D01430"/>
    <w:rsid w:val="00D01578"/>
    <w:rsid w:val="00D015C4"/>
    <w:rsid w:val="00D0175B"/>
    <w:rsid w:val="00D018D3"/>
    <w:rsid w:val="00D01A25"/>
    <w:rsid w:val="00D01AA3"/>
    <w:rsid w:val="00D01C97"/>
    <w:rsid w:val="00D01CC0"/>
    <w:rsid w:val="00D01D30"/>
    <w:rsid w:val="00D01F1C"/>
    <w:rsid w:val="00D01F2B"/>
    <w:rsid w:val="00D01F5F"/>
    <w:rsid w:val="00D020A7"/>
    <w:rsid w:val="00D020F7"/>
    <w:rsid w:val="00D02175"/>
    <w:rsid w:val="00D021C9"/>
    <w:rsid w:val="00D0220A"/>
    <w:rsid w:val="00D0235E"/>
    <w:rsid w:val="00D0240E"/>
    <w:rsid w:val="00D02477"/>
    <w:rsid w:val="00D02557"/>
    <w:rsid w:val="00D02679"/>
    <w:rsid w:val="00D02681"/>
    <w:rsid w:val="00D026B7"/>
    <w:rsid w:val="00D026C2"/>
    <w:rsid w:val="00D026EE"/>
    <w:rsid w:val="00D028FB"/>
    <w:rsid w:val="00D029E0"/>
    <w:rsid w:val="00D029E8"/>
    <w:rsid w:val="00D02B05"/>
    <w:rsid w:val="00D02D04"/>
    <w:rsid w:val="00D02DE9"/>
    <w:rsid w:val="00D02E45"/>
    <w:rsid w:val="00D02E5F"/>
    <w:rsid w:val="00D02EDD"/>
    <w:rsid w:val="00D02F40"/>
    <w:rsid w:val="00D02F8F"/>
    <w:rsid w:val="00D02FD0"/>
    <w:rsid w:val="00D03044"/>
    <w:rsid w:val="00D0305F"/>
    <w:rsid w:val="00D03071"/>
    <w:rsid w:val="00D0319F"/>
    <w:rsid w:val="00D03251"/>
    <w:rsid w:val="00D033DF"/>
    <w:rsid w:val="00D03452"/>
    <w:rsid w:val="00D0349B"/>
    <w:rsid w:val="00D035B5"/>
    <w:rsid w:val="00D035F2"/>
    <w:rsid w:val="00D03686"/>
    <w:rsid w:val="00D03711"/>
    <w:rsid w:val="00D037E3"/>
    <w:rsid w:val="00D03887"/>
    <w:rsid w:val="00D0389C"/>
    <w:rsid w:val="00D0390B"/>
    <w:rsid w:val="00D03AB5"/>
    <w:rsid w:val="00D03AE4"/>
    <w:rsid w:val="00D03B05"/>
    <w:rsid w:val="00D03B14"/>
    <w:rsid w:val="00D03BE0"/>
    <w:rsid w:val="00D03C34"/>
    <w:rsid w:val="00D03CA8"/>
    <w:rsid w:val="00D03CE6"/>
    <w:rsid w:val="00D03D5F"/>
    <w:rsid w:val="00D03D61"/>
    <w:rsid w:val="00D03D80"/>
    <w:rsid w:val="00D04011"/>
    <w:rsid w:val="00D04044"/>
    <w:rsid w:val="00D040FE"/>
    <w:rsid w:val="00D04129"/>
    <w:rsid w:val="00D041EE"/>
    <w:rsid w:val="00D042E7"/>
    <w:rsid w:val="00D042F1"/>
    <w:rsid w:val="00D04361"/>
    <w:rsid w:val="00D0446F"/>
    <w:rsid w:val="00D044F0"/>
    <w:rsid w:val="00D04653"/>
    <w:rsid w:val="00D04693"/>
    <w:rsid w:val="00D047B1"/>
    <w:rsid w:val="00D047DA"/>
    <w:rsid w:val="00D0498F"/>
    <w:rsid w:val="00D04A0C"/>
    <w:rsid w:val="00D04ABE"/>
    <w:rsid w:val="00D04C1A"/>
    <w:rsid w:val="00D04E01"/>
    <w:rsid w:val="00D04EB4"/>
    <w:rsid w:val="00D04EF0"/>
    <w:rsid w:val="00D04EF7"/>
    <w:rsid w:val="00D04FEB"/>
    <w:rsid w:val="00D050BD"/>
    <w:rsid w:val="00D050C6"/>
    <w:rsid w:val="00D0515A"/>
    <w:rsid w:val="00D051C8"/>
    <w:rsid w:val="00D051F8"/>
    <w:rsid w:val="00D05261"/>
    <w:rsid w:val="00D0526E"/>
    <w:rsid w:val="00D05333"/>
    <w:rsid w:val="00D0534C"/>
    <w:rsid w:val="00D05389"/>
    <w:rsid w:val="00D0543B"/>
    <w:rsid w:val="00D0543E"/>
    <w:rsid w:val="00D0546C"/>
    <w:rsid w:val="00D054E5"/>
    <w:rsid w:val="00D05532"/>
    <w:rsid w:val="00D0563E"/>
    <w:rsid w:val="00D0574C"/>
    <w:rsid w:val="00D058AD"/>
    <w:rsid w:val="00D058E9"/>
    <w:rsid w:val="00D059B9"/>
    <w:rsid w:val="00D05A30"/>
    <w:rsid w:val="00D05AB8"/>
    <w:rsid w:val="00D05B34"/>
    <w:rsid w:val="00D05BBC"/>
    <w:rsid w:val="00D05BF9"/>
    <w:rsid w:val="00D05C07"/>
    <w:rsid w:val="00D05C49"/>
    <w:rsid w:val="00D05C4B"/>
    <w:rsid w:val="00D05D45"/>
    <w:rsid w:val="00D05DB1"/>
    <w:rsid w:val="00D05E1F"/>
    <w:rsid w:val="00D05EAF"/>
    <w:rsid w:val="00D05F32"/>
    <w:rsid w:val="00D05FE0"/>
    <w:rsid w:val="00D06045"/>
    <w:rsid w:val="00D06093"/>
    <w:rsid w:val="00D06094"/>
    <w:rsid w:val="00D06095"/>
    <w:rsid w:val="00D0609B"/>
    <w:rsid w:val="00D060B5"/>
    <w:rsid w:val="00D06180"/>
    <w:rsid w:val="00D0620F"/>
    <w:rsid w:val="00D06351"/>
    <w:rsid w:val="00D063BE"/>
    <w:rsid w:val="00D063F8"/>
    <w:rsid w:val="00D064BD"/>
    <w:rsid w:val="00D064E8"/>
    <w:rsid w:val="00D06524"/>
    <w:rsid w:val="00D0657D"/>
    <w:rsid w:val="00D06604"/>
    <w:rsid w:val="00D06865"/>
    <w:rsid w:val="00D068ED"/>
    <w:rsid w:val="00D0692C"/>
    <w:rsid w:val="00D06966"/>
    <w:rsid w:val="00D069C9"/>
    <w:rsid w:val="00D06A41"/>
    <w:rsid w:val="00D06AA7"/>
    <w:rsid w:val="00D06B29"/>
    <w:rsid w:val="00D06BC2"/>
    <w:rsid w:val="00D06BF3"/>
    <w:rsid w:val="00D06C26"/>
    <w:rsid w:val="00D06C66"/>
    <w:rsid w:val="00D06D84"/>
    <w:rsid w:val="00D06E2A"/>
    <w:rsid w:val="00D06FA8"/>
    <w:rsid w:val="00D07179"/>
    <w:rsid w:val="00D0717F"/>
    <w:rsid w:val="00D071F9"/>
    <w:rsid w:val="00D071FF"/>
    <w:rsid w:val="00D072D7"/>
    <w:rsid w:val="00D07369"/>
    <w:rsid w:val="00D07389"/>
    <w:rsid w:val="00D07394"/>
    <w:rsid w:val="00D075DE"/>
    <w:rsid w:val="00D07807"/>
    <w:rsid w:val="00D0783B"/>
    <w:rsid w:val="00D07910"/>
    <w:rsid w:val="00D079CD"/>
    <w:rsid w:val="00D07A3B"/>
    <w:rsid w:val="00D07B8C"/>
    <w:rsid w:val="00D07D6C"/>
    <w:rsid w:val="00D07DA4"/>
    <w:rsid w:val="00D07DF1"/>
    <w:rsid w:val="00D07EF9"/>
    <w:rsid w:val="00D07F95"/>
    <w:rsid w:val="00D07FCE"/>
    <w:rsid w:val="00D084A4"/>
    <w:rsid w:val="00D1000B"/>
    <w:rsid w:val="00D10118"/>
    <w:rsid w:val="00D10183"/>
    <w:rsid w:val="00D101C0"/>
    <w:rsid w:val="00D101E7"/>
    <w:rsid w:val="00D10264"/>
    <w:rsid w:val="00D10313"/>
    <w:rsid w:val="00D1032B"/>
    <w:rsid w:val="00D104C0"/>
    <w:rsid w:val="00D1054C"/>
    <w:rsid w:val="00D10637"/>
    <w:rsid w:val="00D1063E"/>
    <w:rsid w:val="00D10688"/>
    <w:rsid w:val="00D106C8"/>
    <w:rsid w:val="00D1073E"/>
    <w:rsid w:val="00D107DB"/>
    <w:rsid w:val="00D108BC"/>
    <w:rsid w:val="00D108F3"/>
    <w:rsid w:val="00D10976"/>
    <w:rsid w:val="00D10A08"/>
    <w:rsid w:val="00D10A2C"/>
    <w:rsid w:val="00D10AC4"/>
    <w:rsid w:val="00D10AFE"/>
    <w:rsid w:val="00D10B50"/>
    <w:rsid w:val="00D10C63"/>
    <w:rsid w:val="00D10CD9"/>
    <w:rsid w:val="00D10D97"/>
    <w:rsid w:val="00D10E33"/>
    <w:rsid w:val="00D10E34"/>
    <w:rsid w:val="00D10ECB"/>
    <w:rsid w:val="00D1100B"/>
    <w:rsid w:val="00D111A4"/>
    <w:rsid w:val="00D111EC"/>
    <w:rsid w:val="00D1143C"/>
    <w:rsid w:val="00D114E9"/>
    <w:rsid w:val="00D114EA"/>
    <w:rsid w:val="00D114FD"/>
    <w:rsid w:val="00D11537"/>
    <w:rsid w:val="00D1157A"/>
    <w:rsid w:val="00D1172D"/>
    <w:rsid w:val="00D11A5C"/>
    <w:rsid w:val="00D11B3B"/>
    <w:rsid w:val="00D11BC8"/>
    <w:rsid w:val="00D11BD9"/>
    <w:rsid w:val="00D11BFB"/>
    <w:rsid w:val="00D11C20"/>
    <w:rsid w:val="00D11D34"/>
    <w:rsid w:val="00D11ED9"/>
    <w:rsid w:val="00D11F6B"/>
    <w:rsid w:val="00D12194"/>
    <w:rsid w:val="00D122F6"/>
    <w:rsid w:val="00D122FE"/>
    <w:rsid w:val="00D12316"/>
    <w:rsid w:val="00D123C3"/>
    <w:rsid w:val="00D12403"/>
    <w:rsid w:val="00D124AD"/>
    <w:rsid w:val="00D12537"/>
    <w:rsid w:val="00D12607"/>
    <w:rsid w:val="00D12639"/>
    <w:rsid w:val="00D1264F"/>
    <w:rsid w:val="00D12765"/>
    <w:rsid w:val="00D127A0"/>
    <w:rsid w:val="00D127B2"/>
    <w:rsid w:val="00D127D7"/>
    <w:rsid w:val="00D12831"/>
    <w:rsid w:val="00D128B2"/>
    <w:rsid w:val="00D12922"/>
    <w:rsid w:val="00D12A0A"/>
    <w:rsid w:val="00D12A21"/>
    <w:rsid w:val="00D12CA0"/>
    <w:rsid w:val="00D12D5E"/>
    <w:rsid w:val="00D12D9D"/>
    <w:rsid w:val="00D12DD8"/>
    <w:rsid w:val="00D12EB7"/>
    <w:rsid w:val="00D12EF4"/>
    <w:rsid w:val="00D12FCE"/>
    <w:rsid w:val="00D130C6"/>
    <w:rsid w:val="00D13281"/>
    <w:rsid w:val="00D13333"/>
    <w:rsid w:val="00D134D6"/>
    <w:rsid w:val="00D134EA"/>
    <w:rsid w:val="00D1356D"/>
    <w:rsid w:val="00D13597"/>
    <w:rsid w:val="00D1359C"/>
    <w:rsid w:val="00D136DE"/>
    <w:rsid w:val="00D1377F"/>
    <w:rsid w:val="00D13843"/>
    <w:rsid w:val="00D139DE"/>
    <w:rsid w:val="00D13A5F"/>
    <w:rsid w:val="00D13C6F"/>
    <w:rsid w:val="00D13CDE"/>
    <w:rsid w:val="00D13CE5"/>
    <w:rsid w:val="00D13D66"/>
    <w:rsid w:val="00D13DEC"/>
    <w:rsid w:val="00D13E68"/>
    <w:rsid w:val="00D13EBE"/>
    <w:rsid w:val="00D13EBF"/>
    <w:rsid w:val="00D13F15"/>
    <w:rsid w:val="00D13F32"/>
    <w:rsid w:val="00D13F74"/>
    <w:rsid w:val="00D14082"/>
    <w:rsid w:val="00D140B4"/>
    <w:rsid w:val="00D140D7"/>
    <w:rsid w:val="00D1429F"/>
    <w:rsid w:val="00D142D7"/>
    <w:rsid w:val="00D14380"/>
    <w:rsid w:val="00D14398"/>
    <w:rsid w:val="00D1448A"/>
    <w:rsid w:val="00D144D6"/>
    <w:rsid w:val="00D144FA"/>
    <w:rsid w:val="00D14504"/>
    <w:rsid w:val="00D145FF"/>
    <w:rsid w:val="00D14645"/>
    <w:rsid w:val="00D14677"/>
    <w:rsid w:val="00D1474B"/>
    <w:rsid w:val="00D147AA"/>
    <w:rsid w:val="00D147C6"/>
    <w:rsid w:val="00D149C0"/>
    <w:rsid w:val="00D14ABE"/>
    <w:rsid w:val="00D14B3F"/>
    <w:rsid w:val="00D14B7A"/>
    <w:rsid w:val="00D14B84"/>
    <w:rsid w:val="00D14BA6"/>
    <w:rsid w:val="00D14BC7"/>
    <w:rsid w:val="00D14C6C"/>
    <w:rsid w:val="00D14D8E"/>
    <w:rsid w:val="00D14DA5"/>
    <w:rsid w:val="00D14ED1"/>
    <w:rsid w:val="00D14F64"/>
    <w:rsid w:val="00D14F80"/>
    <w:rsid w:val="00D14FC2"/>
    <w:rsid w:val="00D14FF4"/>
    <w:rsid w:val="00D15021"/>
    <w:rsid w:val="00D1503E"/>
    <w:rsid w:val="00D15206"/>
    <w:rsid w:val="00D15342"/>
    <w:rsid w:val="00D15384"/>
    <w:rsid w:val="00D154A3"/>
    <w:rsid w:val="00D15550"/>
    <w:rsid w:val="00D1555C"/>
    <w:rsid w:val="00D15743"/>
    <w:rsid w:val="00D15819"/>
    <w:rsid w:val="00D1587A"/>
    <w:rsid w:val="00D15894"/>
    <w:rsid w:val="00D1592A"/>
    <w:rsid w:val="00D159BF"/>
    <w:rsid w:val="00D159DB"/>
    <w:rsid w:val="00D15AD4"/>
    <w:rsid w:val="00D15B43"/>
    <w:rsid w:val="00D15BFC"/>
    <w:rsid w:val="00D15CEC"/>
    <w:rsid w:val="00D15D0C"/>
    <w:rsid w:val="00D15D1E"/>
    <w:rsid w:val="00D15DB2"/>
    <w:rsid w:val="00D15E34"/>
    <w:rsid w:val="00D15EB1"/>
    <w:rsid w:val="00D160D2"/>
    <w:rsid w:val="00D16125"/>
    <w:rsid w:val="00D16165"/>
    <w:rsid w:val="00D161DC"/>
    <w:rsid w:val="00D16212"/>
    <w:rsid w:val="00D1631E"/>
    <w:rsid w:val="00D164D9"/>
    <w:rsid w:val="00D16589"/>
    <w:rsid w:val="00D165C0"/>
    <w:rsid w:val="00D165EE"/>
    <w:rsid w:val="00D166F8"/>
    <w:rsid w:val="00D16751"/>
    <w:rsid w:val="00D1687B"/>
    <w:rsid w:val="00D16A55"/>
    <w:rsid w:val="00D16C17"/>
    <w:rsid w:val="00D16CA7"/>
    <w:rsid w:val="00D16ED6"/>
    <w:rsid w:val="00D16ED7"/>
    <w:rsid w:val="00D16F03"/>
    <w:rsid w:val="00D16F3A"/>
    <w:rsid w:val="00D16F68"/>
    <w:rsid w:val="00D16FB0"/>
    <w:rsid w:val="00D1708B"/>
    <w:rsid w:val="00D170D3"/>
    <w:rsid w:val="00D171EA"/>
    <w:rsid w:val="00D1721D"/>
    <w:rsid w:val="00D1727A"/>
    <w:rsid w:val="00D17388"/>
    <w:rsid w:val="00D17449"/>
    <w:rsid w:val="00D17484"/>
    <w:rsid w:val="00D1759E"/>
    <w:rsid w:val="00D176B3"/>
    <w:rsid w:val="00D177C1"/>
    <w:rsid w:val="00D177FA"/>
    <w:rsid w:val="00D1781E"/>
    <w:rsid w:val="00D17912"/>
    <w:rsid w:val="00D1791F"/>
    <w:rsid w:val="00D1793E"/>
    <w:rsid w:val="00D179FF"/>
    <w:rsid w:val="00D17A28"/>
    <w:rsid w:val="00D17A9C"/>
    <w:rsid w:val="00D17B1B"/>
    <w:rsid w:val="00D17B5E"/>
    <w:rsid w:val="00D17E48"/>
    <w:rsid w:val="00D17E91"/>
    <w:rsid w:val="00D17ED7"/>
    <w:rsid w:val="00D17EEE"/>
    <w:rsid w:val="00D17FF5"/>
    <w:rsid w:val="00D1F075"/>
    <w:rsid w:val="00D200F6"/>
    <w:rsid w:val="00D20209"/>
    <w:rsid w:val="00D20280"/>
    <w:rsid w:val="00D202F1"/>
    <w:rsid w:val="00D203DE"/>
    <w:rsid w:val="00D204E8"/>
    <w:rsid w:val="00D20586"/>
    <w:rsid w:val="00D20688"/>
    <w:rsid w:val="00D2068C"/>
    <w:rsid w:val="00D20765"/>
    <w:rsid w:val="00D2087E"/>
    <w:rsid w:val="00D208D6"/>
    <w:rsid w:val="00D209C6"/>
    <w:rsid w:val="00D209C7"/>
    <w:rsid w:val="00D20B0E"/>
    <w:rsid w:val="00D20B17"/>
    <w:rsid w:val="00D20CEE"/>
    <w:rsid w:val="00D20D91"/>
    <w:rsid w:val="00D20E19"/>
    <w:rsid w:val="00D20E8F"/>
    <w:rsid w:val="00D20F22"/>
    <w:rsid w:val="00D20F2F"/>
    <w:rsid w:val="00D20FBF"/>
    <w:rsid w:val="00D20FC5"/>
    <w:rsid w:val="00D20FD4"/>
    <w:rsid w:val="00D21007"/>
    <w:rsid w:val="00D21175"/>
    <w:rsid w:val="00D21283"/>
    <w:rsid w:val="00D21365"/>
    <w:rsid w:val="00D21393"/>
    <w:rsid w:val="00D213CC"/>
    <w:rsid w:val="00D213EE"/>
    <w:rsid w:val="00D214BD"/>
    <w:rsid w:val="00D214F9"/>
    <w:rsid w:val="00D21523"/>
    <w:rsid w:val="00D21570"/>
    <w:rsid w:val="00D2157F"/>
    <w:rsid w:val="00D21608"/>
    <w:rsid w:val="00D21767"/>
    <w:rsid w:val="00D21784"/>
    <w:rsid w:val="00D21D04"/>
    <w:rsid w:val="00D21E58"/>
    <w:rsid w:val="00D21E74"/>
    <w:rsid w:val="00D21EC1"/>
    <w:rsid w:val="00D21ED2"/>
    <w:rsid w:val="00D21F08"/>
    <w:rsid w:val="00D21F4B"/>
    <w:rsid w:val="00D21F6D"/>
    <w:rsid w:val="00D21F6F"/>
    <w:rsid w:val="00D220BE"/>
    <w:rsid w:val="00D2239C"/>
    <w:rsid w:val="00D22428"/>
    <w:rsid w:val="00D22429"/>
    <w:rsid w:val="00D2245A"/>
    <w:rsid w:val="00D22503"/>
    <w:rsid w:val="00D2251C"/>
    <w:rsid w:val="00D22640"/>
    <w:rsid w:val="00D226DA"/>
    <w:rsid w:val="00D2281F"/>
    <w:rsid w:val="00D2289B"/>
    <w:rsid w:val="00D228BE"/>
    <w:rsid w:val="00D228DA"/>
    <w:rsid w:val="00D22966"/>
    <w:rsid w:val="00D22981"/>
    <w:rsid w:val="00D22997"/>
    <w:rsid w:val="00D22A20"/>
    <w:rsid w:val="00D22AC7"/>
    <w:rsid w:val="00D22AEF"/>
    <w:rsid w:val="00D22AF8"/>
    <w:rsid w:val="00D22C11"/>
    <w:rsid w:val="00D22C69"/>
    <w:rsid w:val="00D22CEB"/>
    <w:rsid w:val="00D22D7F"/>
    <w:rsid w:val="00D22DE6"/>
    <w:rsid w:val="00D22E18"/>
    <w:rsid w:val="00D22FEF"/>
    <w:rsid w:val="00D230DA"/>
    <w:rsid w:val="00D231D4"/>
    <w:rsid w:val="00D23219"/>
    <w:rsid w:val="00D232AA"/>
    <w:rsid w:val="00D233F2"/>
    <w:rsid w:val="00D235AC"/>
    <w:rsid w:val="00D23712"/>
    <w:rsid w:val="00D23823"/>
    <w:rsid w:val="00D2397C"/>
    <w:rsid w:val="00D239C0"/>
    <w:rsid w:val="00D239C8"/>
    <w:rsid w:val="00D239D8"/>
    <w:rsid w:val="00D23ADF"/>
    <w:rsid w:val="00D23B3A"/>
    <w:rsid w:val="00D23BBD"/>
    <w:rsid w:val="00D23BD0"/>
    <w:rsid w:val="00D23BE3"/>
    <w:rsid w:val="00D23C5D"/>
    <w:rsid w:val="00D23D0B"/>
    <w:rsid w:val="00D23E84"/>
    <w:rsid w:val="00D23F06"/>
    <w:rsid w:val="00D23F14"/>
    <w:rsid w:val="00D23F6A"/>
    <w:rsid w:val="00D23FAA"/>
    <w:rsid w:val="00D24075"/>
    <w:rsid w:val="00D240C8"/>
    <w:rsid w:val="00D24146"/>
    <w:rsid w:val="00D24213"/>
    <w:rsid w:val="00D24296"/>
    <w:rsid w:val="00D242C2"/>
    <w:rsid w:val="00D24320"/>
    <w:rsid w:val="00D24462"/>
    <w:rsid w:val="00D245A7"/>
    <w:rsid w:val="00D246C7"/>
    <w:rsid w:val="00D2476E"/>
    <w:rsid w:val="00D2481A"/>
    <w:rsid w:val="00D24891"/>
    <w:rsid w:val="00D2498F"/>
    <w:rsid w:val="00D249E5"/>
    <w:rsid w:val="00D24A8D"/>
    <w:rsid w:val="00D24B8C"/>
    <w:rsid w:val="00D24CA3"/>
    <w:rsid w:val="00D24E70"/>
    <w:rsid w:val="00D24FA5"/>
    <w:rsid w:val="00D25006"/>
    <w:rsid w:val="00D25170"/>
    <w:rsid w:val="00D251E7"/>
    <w:rsid w:val="00D252E7"/>
    <w:rsid w:val="00D253D6"/>
    <w:rsid w:val="00D25415"/>
    <w:rsid w:val="00D25463"/>
    <w:rsid w:val="00D2548C"/>
    <w:rsid w:val="00D25555"/>
    <w:rsid w:val="00D25772"/>
    <w:rsid w:val="00D257F9"/>
    <w:rsid w:val="00D257FC"/>
    <w:rsid w:val="00D2582F"/>
    <w:rsid w:val="00D2584E"/>
    <w:rsid w:val="00D2598E"/>
    <w:rsid w:val="00D259D1"/>
    <w:rsid w:val="00D25A04"/>
    <w:rsid w:val="00D25A5E"/>
    <w:rsid w:val="00D25AC5"/>
    <w:rsid w:val="00D25AF8"/>
    <w:rsid w:val="00D25B45"/>
    <w:rsid w:val="00D25D44"/>
    <w:rsid w:val="00D25DF7"/>
    <w:rsid w:val="00D25E30"/>
    <w:rsid w:val="00D25E42"/>
    <w:rsid w:val="00D25E75"/>
    <w:rsid w:val="00D25FB6"/>
    <w:rsid w:val="00D26112"/>
    <w:rsid w:val="00D26153"/>
    <w:rsid w:val="00D26196"/>
    <w:rsid w:val="00D26227"/>
    <w:rsid w:val="00D262A0"/>
    <w:rsid w:val="00D26447"/>
    <w:rsid w:val="00D2644C"/>
    <w:rsid w:val="00D2645E"/>
    <w:rsid w:val="00D2663B"/>
    <w:rsid w:val="00D267CE"/>
    <w:rsid w:val="00D2680E"/>
    <w:rsid w:val="00D26860"/>
    <w:rsid w:val="00D26A4D"/>
    <w:rsid w:val="00D26A5E"/>
    <w:rsid w:val="00D26B0D"/>
    <w:rsid w:val="00D26BD2"/>
    <w:rsid w:val="00D26C2F"/>
    <w:rsid w:val="00D26C97"/>
    <w:rsid w:val="00D26DDD"/>
    <w:rsid w:val="00D26E1D"/>
    <w:rsid w:val="00D26E23"/>
    <w:rsid w:val="00D26F80"/>
    <w:rsid w:val="00D270EC"/>
    <w:rsid w:val="00D27149"/>
    <w:rsid w:val="00D2715D"/>
    <w:rsid w:val="00D271EE"/>
    <w:rsid w:val="00D272CC"/>
    <w:rsid w:val="00D2732D"/>
    <w:rsid w:val="00D2747F"/>
    <w:rsid w:val="00D2750F"/>
    <w:rsid w:val="00D27566"/>
    <w:rsid w:val="00D275D3"/>
    <w:rsid w:val="00D275F0"/>
    <w:rsid w:val="00D2763E"/>
    <w:rsid w:val="00D27689"/>
    <w:rsid w:val="00D2778A"/>
    <w:rsid w:val="00D27794"/>
    <w:rsid w:val="00D277EA"/>
    <w:rsid w:val="00D27810"/>
    <w:rsid w:val="00D27825"/>
    <w:rsid w:val="00D27835"/>
    <w:rsid w:val="00D27A69"/>
    <w:rsid w:val="00D27A96"/>
    <w:rsid w:val="00D27AC9"/>
    <w:rsid w:val="00D27CCC"/>
    <w:rsid w:val="00D27D88"/>
    <w:rsid w:val="00D29B42"/>
    <w:rsid w:val="00D2B600"/>
    <w:rsid w:val="00D2FED4"/>
    <w:rsid w:val="00D30059"/>
    <w:rsid w:val="00D300D3"/>
    <w:rsid w:val="00D30157"/>
    <w:rsid w:val="00D302F9"/>
    <w:rsid w:val="00D3034D"/>
    <w:rsid w:val="00D3035F"/>
    <w:rsid w:val="00D303D0"/>
    <w:rsid w:val="00D30416"/>
    <w:rsid w:val="00D3054D"/>
    <w:rsid w:val="00D305AD"/>
    <w:rsid w:val="00D305AF"/>
    <w:rsid w:val="00D3067E"/>
    <w:rsid w:val="00D307CE"/>
    <w:rsid w:val="00D308BC"/>
    <w:rsid w:val="00D308D3"/>
    <w:rsid w:val="00D3096A"/>
    <w:rsid w:val="00D30983"/>
    <w:rsid w:val="00D30A42"/>
    <w:rsid w:val="00D30AC7"/>
    <w:rsid w:val="00D30B1E"/>
    <w:rsid w:val="00D30C22"/>
    <w:rsid w:val="00D30DA4"/>
    <w:rsid w:val="00D30E0E"/>
    <w:rsid w:val="00D30E80"/>
    <w:rsid w:val="00D30E86"/>
    <w:rsid w:val="00D30EFF"/>
    <w:rsid w:val="00D30FDF"/>
    <w:rsid w:val="00D31132"/>
    <w:rsid w:val="00D31147"/>
    <w:rsid w:val="00D311FB"/>
    <w:rsid w:val="00D31349"/>
    <w:rsid w:val="00D31363"/>
    <w:rsid w:val="00D3143B"/>
    <w:rsid w:val="00D3145C"/>
    <w:rsid w:val="00D31465"/>
    <w:rsid w:val="00D31557"/>
    <w:rsid w:val="00D31630"/>
    <w:rsid w:val="00D316DD"/>
    <w:rsid w:val="00D316ED"/>
    <w:rsid w:val="00D31737"/>
    <w:rsid w:val="00D31791"/>
    <w:rsid w:val="00D3179A"/>
    <w:rsid w:val="00D317B5"/>
    <w:rsid w:val="00D31816"/>
    <w:rsid w:val="00D318E8"/>
    <w:rsid w:val="00D31962"/>
    <w:rsid w:val="00D319BD"/>
    <w:rsid w:val="00D31A29"/>
    <w:rsid w:val="00D31D0F"/>
    <w:rsid w:val="00D31DEF"/>
    <w:rsid w:val="00D31F80"/>
    <w:rsid w:val="00D31F87"/>
    <w:rsid w:val="00D32053"/>
    <w:rsid w:val="00D32062"/>
    <w:rsid w:val="00D32102"/>
    <w:rsid w:val="00D32172"/>
    <w:rsid w:val="00D32495"/>
    <w:rsid w:val="00D32520"/>
    <w:rsid w:val="00D325D1"/>
    <w:rsid w:val="00D32728"/>
    <w:rsid w:val="00D32951"/>
    <w:rsid w:val="00D3295C"/>
    <w:rsid w:val="00D32983"/>
    <w:rsid w:val="00D32AB9"/>
    <w:rsid w:val="00D32AD8"/>
    <w:rsid w:val="00D32B68"/>
    <w:rsid w:val="00D32B94"/>
    <w:rsid w:val="00D32BB9"/>
    <w:rsid w:val="00D32BC3"/>
    <w:rsid w:val="00D32BCE"/>
    <w:rsid w:val="00D32C16"/>
    <w:rsid w:val="00D32D00"/>
    <w:rsid w:val="00D32D8E"/>
    <w:rsid w:val="00D32DAD"/>
    <w:rsid w:val="00D32F2F"/>
    <w:rsid w:val="00D32F4F"/>
    <w:rsid w:val="00D33137"/>
    <w:rsid w:val="00D331FC"/>
    <w:rsid w:val="00D33224"/>
    <w:rsid w:val="00D3339A"/>
    <w:rsid w:val="00D33423"/>
    <w:rsid w:val="00D334B8"/>
    <w:rsid w:val="00D334C6"/>
    <w:rsid w:val="00D334E7"/>
    <w:rsid w:val="00D3350B"/>
    <w:rsid w:val="00D337CF"/>
    <w:rsid w:val="00D3385F"/>
    <w:rsid w:val="00D33878"/>
    <w:rsid w:val="00D33942"/>
    <w:rsid w:val="00D3398B"/>
    <w:rsid w:val="00D339B3"/>
    <w:rsid w:val="00D339C1"/>
    <w:rsid w:val="00D339C4"/>
    <w:rsid w:val="00D33A02"/>
    <w:rsid w:val="00D33C13"/>
    <w:rsid w:val="00D33C43"/>
    <w:rsid w:val="00D33E42"/>
    <w:rsid w:val="00D33E73"/>
    <w:rsid w:val="00D33E8C"/>
    <w:rsid w:val="00D33EC6"/>
    <w:rsid w:val="00D33F44"/>
    <w:rsid w:val="00D33FDB"/>
    <w:rsid w:val="00D340E6"/>
    <w:rsid w:val="00D341FB"/>
    <w:rsid w:val="00D34214"/>
    <w:rsid w:val="00D34223"/>
    <w:rsid w:val="00D342B1"/>
    <w:rsid w:val="00D342F3"/>
    <w:rsid w:val="00D34749"/>
    <w:rsid w:val="00D3474D"/>
    <w:rsid w:val="00D347C0"/>
    <w:rsid w:val="00D3488E"/>
    <w:rsid w:val="00D34A3E"/>
    <w:rsid w:val="00D34B6C"/>
    <w:rsid w:val="00D34C4B"/>
    <w:rsid w:val="00D34C8A"/>
    <w:rsid w:val="00D34C8F"/>
    <w:rsid w:val="00D34D5C"/>
    <w:rsid w:val="00D34E62"/>
    <w:rsid w:val="00D34E88"/>
    <w:rsid w:val="00D34EA4"/>
    <w:rsid w:val="00D34EAC"/>
    <w:rsid w:val="00D34F26"/>
    <w:rsid w:val="00D34F3D"/>
    <w:rsid w:val="00D34FBD"/>
    <w:rsid w:val="00D35070"/>
    <w:rsid w:val="00D35157"/>
    <w:rsid w:val="00D35236"/>
    <w:rsid w:val="00D3526E"/>
    <w:rsid w:val="00D35317"/>
    <w:rsid w:val="00D35475"/>
    <w:rsid w:val="00D3548D"/>
    <w:rsid w:val="00D354FD"/>
    <w:rsid w:val="00D35583"/>
    <w:rsid w:val="00D3560C"/>
    <w:rsid w:val="00D3561D"/>
    <w:rsid w:val="00D357EF"/>
    <w:rsid w:val="00D358CE"/>
    <w:rsid w:val="00D359B2"/>
    <w:rsid w:val="00D35ADC"/>
    <w:rsid w:val="00D35B42"/>
    <w:rsid w:val="00D35C22"/>
    <w:rsid w:val="00D35DE3"/>
    <w:rsid w:val="00D35F1D"/>
    <w:rsid w:val="00D35F7D"/>
    <w:rsid w:val="00D35F7E"/>
    <w:rsid w:val="00D35FF2"/>
    <w:rsid w:val="00D3603D"/>
    <w:rsid w:val="00D36051"/>
    <w:rsid w:val="00D36069"/>
    <w:rsid w:val="00D36225"/>
    <w:rsid w:val="00D364E3"/>
    <w:rsid w:val="00D36542"/>
    <w:rsid w:val="00D36579"/>
    <w:rsid w:val="00D366E1"/>
    <w:rsid w:val="00D367BA"/>
    <w:rsid w:val="00D3682B"/>
    <w:rsid w:val="00D368DD"/>
    <w:rsid w:val="00D36967"/>
    <w:rsid w:val="00D36B1B"/>
    <w:rsid w:val="00D36C2D"/>
    <w:rsid w:val="00D36DA6"/>
    <w:rsid w:val="00D36E54"/>
    <w:rsid w:val="00D36E6A"/>
    <w:rsid w:val="00D36ED2"/>
    <w:rsid w:val="00D36F2D"/>
    <w:rsid w:val="00D3718B"/>
    <w:rsid w:val="00D37286"/>
    <w:rsid w:val="00D37510"/>
    <w:rsid w:val="00D3751D"/>
    <w:rsid w:val="00D375CF"/>
    <w:rsid w:val="00D37606"/>
    <w:rsid w:val="00D37625"/>
    <w:rsid w:val="00D3768B"/>
    <w:rsid w:val="00D3769A"/>
    <w:rsid w:val="00D37704"/>
    <w:rsid w:val="00D378BD"/>
    <w:rsid w:val="00D379CA"/>
    <w:rsid w:val="00D379D7"/>
    <w:rsid w:val="00D37A5B"/>
    <w:rsid w:val="00D37AE2"/>
    <w:rsid w:val="00D37BA1"/>
    <w:rsid w:val="00D37DD9"/>
    <w:rsid w:val="00D37E93"/>
    <w:rsid w:val="00D40039"/>
    <w:rsid w:val="00D40091"/>
    <w:rsid w:val="00D400D8"/>
    <w:rsid w:val="00D40166"/>
    <w:rsid w:val="00D401D0"/>
    <w:rsid w:val="00D402B1"/>
    <w:rsid w:val="00D402F1"/>
    <w:rsid w:val="00D4037B"/>
    <w:rsid w:val="00D403A8"/>
    <w:rsid w:val="00D404BA"/>
    <w:rsid w:val="00D404E5"/>
    <w:rsid w:val="00D40503"/>
    <w:rsid w:val="00D40567"/>
    <w:rsid w:val="00D4066F"/>
    <w:rsid w:val="00D4067A"/>
    <w:rsid w:val="00D406C9"/>
    <w:rsid w:val="00D4090B"/>
    <w:rsid w:val="00D40942"/>
    <w:rsid w:val="00D409D3"/>
    <w:rsid w:val="00D40AA4"/>
    <w:rsid w:val="00D40AB3"/>
    <w:rsid w:val="00D40AB6"/>
    <w:rsid w:val="00D40AF0"/>
    <w:rsid w:val="00D40B62"/>
    <w:rsid w:val="00D40B7A"/>
    <w:rsid w:val="00D40CC4"/>
    <w:rsid w:val="00D40D89"/>
    <w:rsid w:val="00D40E04"/>
    <w:rsid w:val="00D40E12"/>
    <w:rsid w:val="00D40FA1"/>
    <w:rsid w:val="00D40FC7"/>
    <w:rsid w:val="00D41005"/>
    <w:rsid w:val="00D410C1"/>
    <w:rsid w:val="00D410CC"/>
    <w:rsid w:val="00D410CE"/>
    <w:rsid w:val="00D410D0"/>
    <w:rsid w:val="00D41108"/>
    <w:rsid w:val="00D41127"/>
    <w:rsid w:val="00D4119F"/>
    <w:rsid w:val="00D41201"/>
    <w:rsid w:val="00D414F4"/>
    <w:rsid w:val="00D416A6"/>
    <w:rsid w:val="00D4170A"/>
    <w:rsid w:val="00D4187C"/>
    <w:rsid w:val="00D41950"/>
    <w:rsid w:val="00D419A3"/>
    <w:rsid w:val="00D41CBF"/>
    <w:rsid w:val="00D41E0B"/>
    <w:rsid w:val="00D41E17"/>
    <w:rsid w:val="00D41E4E"/>
    <w:rsid w:val="00D41EA8"/>
    <w:rsid w:val="00D41EAD"/>
    <w:rsid w:val="00D41ECC"/>
    <w:rsid w:val="00D41F5B"/>
    <w:rsid w:val="00D41FDB"/>
    <w:rsid w:val="00D41FDF"/>
    <w:rsid w:val="00D42001"/>
    <w:rsid w:val="00D42077"/>
    <w:rsid w:val="00D42179"/>
    <w:rsid w:val="00D421A1"/>
    <w:rsid w:val="00D421A8"/>
    <w:rsid w:val="00D422B7"/>
    <w:rsid w:val="00D423D4"/>
    <w:rsid w:val="00D4240E"/>
    <w:rsid w:val="00D42488"/>
    <w:rsid w:val="00D42551"/>
    <w:rsid w:val="00D425E1"/>
    <w:rsid w:val="00D42866"/>
    <w:rsid w:val="00D428B7"/>
    <w:rsid w:val="00D42910"/>
    <w:rsid w:val="00D42A43"/>
    <w:rsid w:val="00D42B32"/>
    <w:rsid w:val="00D42BBE"/>
    <w:rsid w:val="00D42F31"/>
    <w:rsid w:val="00D42F7B"/>
    <w:rsid w:val="00D43206"/>
    <w:rsid w:val="00D432BF"/>
    <w:rsid w:val="00D4331F"/>
    <w:rsid w:val="00D43395"/>
    <w:rsid w:val="00D43432"/>
    <w:rsid w:val="00D4348F"/>
    <w:rsid w:val="00D434A3"/>
    <w:rsid w:val="00D43631"/>
    <w:rsid w:val="00D4374D"/>
    <w:rsid w:val="00D4378E"/>
    <w:rsid w:val="00D437ED"/>
    <w:rsid w:val="00D439EC"/>
    <w:rsid w:val="00D43AA8"/>
    <w:rsid w:val="00D43AE0"/>
    <w:rsid w:val="00D43B29"/>
    <w:rsid w:val="00D43CAC"/>
    <w:rsid w:val="00D43D55"/>
    <w:rsid w:val="00D43E7B"/>
    <w:rsid w:val="00D43E93"/>
    <w:rsid w:val="00D43F0E"/>
    <w:rsid w:val="00D44011"/>
    <w:rsid w:val="00D4409D"/>
    <w:rsid w:val="00D4417D"/>
    <w:rsid w:val="00D4419A"/>
    <w:rsid w:val="00D441A7"/>
    <w:rsid w:val="00D44599"/>
    <w:rsid w:val="00D4463D"/>
    <w:rsid w:val="00D446DF"/>
    <w:rsid w:val="00D4478D"/>
    <w:rsid w:val="00D447F2"/>
    <w:rsid w:val="00D44858"/>
    <w:rsid w:val="00D44917"/>
    <w:rsid w:val="00D4493E"/>
    <w:rsid w:val="00D449B9"/>
    <w:rsid w:val="00D449E8"/>
    <w:rsid w:val="00D44A0D"/>
    <w:rsid w:val="00D44B75"/>
    <w:rsid w:val="00D44C7F"/>
    <w:rsid w:val="00D44CCA"/>
    <w:rsid w:val="00D44D09"/>
    <w:rsid w:val="00D44D30"/>
    <w:rsid w:val="00D44D70"/>
    <w:rsid w:val="00D44E0B"/>
    <w:rsid w:val="00D44E48"/>
    <w:rsid w:val="00D44E7B"/>
    <w:rsid w:val="00D44E82"/>
    <w:rsid w:val="00D44EEC"/>
    <w:rsid w:val="00D450D9"/>
    <w:rsid w:val="00D45126"/>
    <w:rsid w:val="00D451C2"/>
    <w:rsid w:val="00D45396"/>
    <w:rsid w:val="00D453DA"/>
    <w:rsid w:val="00D45403"/>
    <w:rsid w:val="00D45541"/>
    <w:rsid w:val="00D4571F"/>
    <w:rsid w:val="00D45784"/>
    <w:rsid w:val="00D457EE"/>
    <w:rsid w:val="00D4586D"/>
    <w:rsid w:val="00D45874"/>
    <w:rsid w:val="00D458B1"/>
    <w:rsid w:val="00D458C2"/>
    <w:rsid w:val="00D4593B"/>
    <w:rsid w:val="00D4596F"/>
    <w:rsid w:val="00D459DC"/>
    <w:rsid w:val="00D45A68"/>
    <w:rsid w:val="00D45A6A"/>
    <w:rsid w:val="00D45A71"/>
    <w:rsid w:val="00D45B3E"/>
    <w:rsid w:val="00D45C33"/>
    <w:rsid w:val="00D45D89"/>
    <w:rsid w:val="00D45D97"/>
    <w:rsid w:val="00D45E3D"/>
    <w:rsid w:val="00D45EB0"/>
    <w:rsid w:val="00D45F6C"/>
    <w:rsid w:val="00D45F6F"/>
    <w:rsid w:val="00D45FD1"/>
    <w:rsid w:val="00D46034"/>
    <w:rsid w:val="00D4621C"/>
    <w:rsid w:val="00D46264"/>
    <w:rsid w:val="00D46279"/>
    <w:rsid w:val="00D462F8"/>
    <w:rsid w:val="00D46325"/>
    <w:rsid w:val="00D4649F"/>
    <w:rsid w:val="00D46517"/>
    <w:rsid w:val="00D465B9"/>
    <w:rsid w:val="00D46714"/>
    <w:rsid w:val="00D46744"/>
    <w:rsid w:val="00D46768"/>
    <w:rsid w:val="00D468E5"/>
    <w:rsid w:val="00D46948"/>
    <w:rsid w:val="00D469AA"/>
    <w:rsid w:val="00D46A3B"/>
    <w:rsid w:val="00D46A6A"/>
    <w:rsid w:val="00D46C2A"/>
    <w:rsid w:val="00D46C54"/>
    <w:rsid w:val="00D46C8F"/>
    <w:rsid w:val="00D46CBD"/>
    <w:rsid w:val="00D46CE8"/>
    <w:rsid w:val="00D46DB1"/>
    <w:rsid w:val="00D46DCC"/>
    <w:rsid w:val="00D46E14"/>
    <w:rsid w:val="00D46EEE"/>
    <w:rsid w:val="00D46F68"/>
    <w:rsid w:val="00D47083"/>
    <w:rsid w:val="00D4710B"/>
    <w:rsid w:val="00D4714A"/>
    <w:rsid w:val="00D47165"/>
    <w:rsid w:val="00D4724B"/>
    <w:rsid w:val="00D47318"/>
    <w:rsid w:val="00D47334"/>
    <w:rsid w:val="00D47490"/>
    <w:rsid w:val="00D47494"/>
    <w:rsid w:val="00D4749A"/>
    <w:rsid w:val="00D475E7"/>
    <w:rsid w:val="00D47687"/>
    <w:rsid w:val="00D476EA"/>
    <w:rsid w:val="00D4771E"/>
    <w:rsid w:val="00D47728"/>
    <w:rsid w:val="00D477DD"/>
    <w:rsid w:val="00D47941"/>
    <w:rsid w:val="00D47962"/>
    <w:rsid w:val="00D4798F"/>
    <w:rsid w:val="00D479A5"/>
    <w:rsid w:val="00D47A6E"/>
    <w:rsid w:val="00D47AA7"/>
    <w:rsid w:val="00D47AD9"/>
    <w:rsid w:val="00D47B43"/>
    <w:rsid w:val="00D47BC0"/>
    <w:rsid w:val="00D47C07"/>
    <w:rsid w:val="00D47C8F"/>
    <w:rsid w:val="00D47CA8"/>
    <w:rsid w:val="00D47CBC"/>
    <w:rsid w:val="00D47D18"/>
    <w:rsid w:val="00D47D5E"/>
    <w:rsid w:val="00D47E07"/>
    <w:rsid w:val="00D4BF24"/>
    <w:rsid w:val="00D50022"/>
    <w:rsid w:val="00D500A0"/>
    <w:rsid w:val="00D500BB"/>
    <w:rsid w:val="00D5031B"/>
    <w:rsid w:val="00D50325"/>
    <w:rsid w:val="00D50386"/>
    <w:rsid w:val="00D50620"/>
    <w:rsid w:val="00D5063C"/>
    <w:rsid w:val="00D50754"/>
    <w:rsid w:val="00D507F4"/>
    <w:rsid w:val="00D50810"/>
    <w:rsid w:val="00D50884"/>
    <w:rsid w:val="00D508E8"/>
    <w:rsid w:val="00D50946"/>
    <w:rsid w:val="00D509AE"/>
    <w:rsid w:val="00D50A4F"/>
    <w:rsid w:val="00D50A79"/>
    <w:rsid w:val="00D50AB8"/>
    <w:rsid w:val="00D50BDC"/>
    <w:rsid w:val="00D50C0C"/>
    <w:rsid w:val="00D50C28"/>
    <w:rsid w:val="00D50C6A"/>
    <w:rsid w:val="00D50C91"/>
    <w:rsid w:val="00D50CBD"/>
    <w:rsid w:val="00D50CD4"/>
    <w:rsid w:val="00D50CD8"/>
    <w:rsid w:val="00D50D12"/>
    <w:rsid w:val="00D50EB0"/>
    <w:rsid w:val="00D50F63"/>
    <w:rsid w:val="00D50FA9"/>
    <w:rsid w:val="00D51156"/>
    <w:rsid w:val="00D51167"/>
    <w:rsid w:val="00D5125F"/>
    <w:rsid w:val="00D514EF"/>
    <w:rsid w:val="00D515C6"/>
    <w:rsid w:val="00D516CF"/>
    <w:rsid w:val="00D51773"/>
    <w:rsid w:val="00D5197D"/>
    <w:rsid w:val="00D51B55"/>
    <w:rsid w:val="00D51B6E"/>
    <w:rsid w:val="00D51D29"/>
    <w:rsid w:val="00D51D7B"/>
    <w:rsid w:val="00D51DA0"/>
    <w:rsid w:val="00D51DAA"/>
    <w:rsid w:val="00D51DED"/>
    <w:rsid w:val="00D51E00"/>
    <w:rsid w:val="00D51EE1"/>
    <w:rsid w:val="00D51F09"/>
    <w:rsid w:val="00D51F76"/>
    <w:rsid w:val="00D51F97"/>
    <w:rsid w:val="00D52202"/>
    <w:rsid w:val="00D522C2"/>
    <w:rsid w:val="00D52391"/>
    <w:rsid w:val="00D52401"/>
    <w:rsid w:val="00D5243E"/>
    <w:rsid w:val="00D52663"/>
    <w:rsid w:val="00D52746"/>
    <w:rsid w:val="00D527EB"/>
    <w:rsid w:val="00D52B66"/>
    <w:rsid w:val="00D52B99"/>
    <w:rsid w:val="00D52D25"/>
    <w:rsid w:val="00D52D33"/>
    <w:rsid w:val="00D52D74"/>
    <w:rsid w:val="00D52DFD"/>
    <w:rsid w:val="00D52E0A"/>
    <w:rsid w:val="00D52E3B"/>
    <w:rsid w:val="00D52EBD"/>
    <w:rsid w:val="00D52ECA"/>
    <w:rsid w:val="00D52F17"/>
    <w:rsid w:val="00D52F51"/>
    <w:rsid w:val="00D52FE6"/>
    <w:rsid w:val="00D52FFC"/>
    <w:rsid w:val="00D5307D"/>
    <w:rsid w:val="00D5313E"/>
    <w:rsid w:val="00D53262"/>
    <w:rsid w:val="00D532AC"/>
    <w:rsid w:val="00D5341A"/>
    <w:rsid w:val="00D53479"/>
    <w:rsid w:val="00D534C0"/>
    <w:rsid w:val="00D534F2"/>
    <w:rsid w:val="00D534FB"/>
    <w:rsid w:val="00D5352A"/>
    <w:rsid w:val="00D53558"/>
    <w:rsid w:val="00D537A5"/>
    <w:rsid w:val="00D537AC"/>
    <w:rsid w:val="00D537C3"/>
    <w:rsid w:val="00D53801"/>
    <w:rsid w:val="00D538FC"/>
    <w:rsid w:val="00D53906"/>
    <w:rsid w:val="00D53C35"/>
    <w:rsid w:val="00D53C57"/>
    <w:rsid w:val="00D53E2B"/>
    <w:rsid w:val="00D53EB9"/>
    <w:rsid w:val="00D54033"/>
    <w:rsid w:val="00D54057"/>
    <w:rsid w:val="00D540A5"/>
    <w:rsid w:val="00D54101"/>
    <w:rsid w:val="00D54239"/>
    <w:rsid w:val="00D54255"/>
    <w:rsid w:val="00D5428D"/>
    <w:rsid w:val="00D5431F"/>
    <w:rsid w:val="00D543FC"/>
    <w:rsid w:val="00D544D7"/>
    <w:rsid w:val="00D54501"/>
    <w:rsid w:val="00D545BD"/>
    <w:rsid w:val="00D545EC"/>
    <w:rsid w:val="00D54658"/>
    <w:rsid w:val="00D546AF"/>
    <w:rsid w:val="00D547AD"/>
    <w:rsid w:val="00D54848"/>
    <w:rsid w:val="00D5491C"/>
    <w:rsid w:val="00D549D2"/>
    <w:rsid w:val="00D54AA7"/>
    <w:rsid w:val="00D54C15"/>
    <w:rsid w:val="00D54C40"/>
    <w:rsid w:val="00D54CAA"/>
    <w:rsid w:val="00D54D1A"/>
    <w:rsid w:val="00D54D4C"/>
    <w:rsid w:val="00D54DFB"/>
    <w:rsid w:val="00D54E7C"/>
    <w:rsid w:val="00D551F1"/>
    <w:rsid w:val="00D5523F"/>
    <w:rsid w:val="00D55314"/>
    <w:rsid w:val="00D55382"/>
    <w:rsid w:val="00D553E8"/>
    <w:rsid w:val="00D555ED"/>
    <w:rsid w:val="00D556D9"/>
    <w:rsid w:val="00D55721"/>
    <w:rsid w:val="00D558C2"/>
    <w:rsid w:val="00D559F9"/>
    <w:rsid w:val="00D55A10"/>
    <w:rsid w:val="00D55A1B"/>
    <w:rsid w:val="00D55A24"/>
    <w:rsid w:val="00D55AD1"/>
    <w:rsid w:val="00D55B42"/>
    <w:rsid w:val="00D55B4A"/>
    <w:rsid w:val="00D55BC8"/>
    <w:rsid w:val="00D55C17"/>
    <w:rsid w:val="00D55C74"/>
    <w:rsid w:val="00D55C91"/>
    <w:rsid w:val="00D55D24"/>
    <w:rsid w:val="00D55E55"/>
    <w:rsid w:val="00D55FD3"/>
    <w:rsid w:val="00D55FD5"/>
    <w:rsid w:val="00D56089"/>
    <w:rsid w:val="00D560F0"/>
    <w:rsid w:val="00D561C9"/>
    <w:rsid w:val="00D561E7"/>
    <w:rsid w:val="00D5628C"/>
    <w:rsid w:val="00D5628F"/>
    <w:rsid w:val="00D562D9"/>
    <w:rsid w:val="00D56355"/>
    <w:rsid w:val="00D566B2"/>
    <w:rsid w:val="00D566C9"/>
    <w:rsid w:val="00D566EA"/>
    <w:rsid w:val="00D5692A"/>
    <w:rsid w:val="00D569D0"/>
    <w:rsid w:val="00D56A08"/>
    <w:rsid w:val="00D56A2B"/>
    <w:rsid w:val="00D56A8D"/>
    <w:rsid w:val="00D56AEE"/>
    <w:rsid w:val="00D56BFF"/>
    <w:rsid w:val="00D56D32"/>
    <w:rsid w:val="00D56EC3"/>
    <w:rsid w:val="00D56F31"/>
    <w:rsid w:val="00D57116"/>
    <w:rsid w:val="00D57122"/>
    <w:rsid w:val="00D57153"/>
    <w:rsid w:val="00D57165"/>
    <w:rsid w:val="00D5716A"/>
    <w:rsid w:val="00D571AF"/>
    <w:rsid w:val="00D571D7"/>
    <w:rsid w:val="00D57250"/>
    <w:rsid w:val="00D573A0"/>
    <w:rsid w:val="00D574A7"/>
    <w:rsid w:val="00D574C3"/>
    <w:rsid w:val="00D57548"/>
    <w:rsid w:val="00D57578"/>
    <w:rsid w:val="00D575D5"/>
    <w:rsid w:val="00D57687"/>
    <w:rsid w:val="00D57690"/>
    <w:rsid w:val="00D577C1"/>
    <w:rsid w:val="00D578C1"/>
    <w:rsid w:val="00D578E1"/>
    <w:rsid w:val="00D57902"/>
    <w:rsid w:val="00D57A54"/>
    <w:rsid w:val="00D57A6A"/>
    <w:rsid w:val="00D57AD1"/>
    <w:rsid w:val="00D57AF8"/>
    <w:rsid w:val="00D57B4E"/>
    <w:rsid w:val="00D57B63"/>
    <w:rsid w:val="00D57B7B"/>
    <w:rsid w:val="00D57B85"/>
    <w:rsid w:val="00D57BFB"/>
    <w:rsid w:val="00D57C66"/>
    <w:rsid w:val="00D57CC6"/>
    <w:rsid w:val="00D57D28"/>
    <w:rsid w:val="00D57EAA"/>
    <w:rsid w:val="00D57EEE"/>
    <w:rsid w:val="00D57FB3"/>
    <w:rsid w:val="00D5F1F0"/>
    <w:rsid w:val="00D6001F"/>
    <w:rsid w:val="00D60052"/>
    <w:rsid w:val="00D60072"/>
    <w:rsid w:val="00D60147"/>
    <w:rsid w:val="00D601FF"/>
    <w:rsid w:val="00D60265"/>
    <w:rsid w:val="00D603FE"/>
    <w:rsid w:val="00D604BE"/>
    <w:rsid w:val="00D604EE"/>
    <w:rsid w:val="00D60571"/>
    <w:rsid w:val="00D60678"/>
    <w:rsid w:val="00D60784"/>
    <w:rsid w:val="00D6081F"/>
    <w:rsid w:val="00D6083B"/>
    <w:rsid w:val="00D60863"/>
    <w:rsid w:val="00D608FF"/>
    <w:rsid w:val="00D6090D"/>
    <w:rsid w:val="00D60944"/>
    <w:rsid w:val="00D60AA4"/>
    <w:rsid w:val="00D60AEF"/>
    <w:rsid w:val="00D60C37"/>
    <w:rsid w:val="00D60C4A"/>
    <w:rsid w:val="00D60D4A"/>
    <w:rsid w:val="00D60F27"/>
    <w:rsid w:val="00D60F7E"/>
    <w:rsid w:val="00D60F9F"/>
    <w:rsid w:val="00D60FBD"/>
    <w:rsid w:val="00D611B3"/>
    <w:rsid w:val="00D6128E"/>
    <w:rsid w:val="00D612BC"/>
    <w:rsid w:val="00D61314"/>
    <w:rsid w:val="00D61333"/>
    <w:rsid w:val="00D6138F"/>
    <w:rsid w:val="00D614A0"/>
    <w:rsid w:val="00D61519"/>
    <w:rsid w:val="00D61628"/>
    <w:rsid w:val="00D6165C"/>
    <w:rsid w:val="00D61668"/>
    <w:rsid w:val="00D61672"/>
    <w:rsid w:val="00D616D7"/>
    <w:rsid w:val="00D61819"/>
    <w:rsid w:val="00D61830"/>
    <w:rsid w:val="00D61897"/>
    <w:rsid w:val="00D618DA"/>
    <w:rsid w:val="00D618F7"/>
    <w:rsid w:val="00D6192A"/>
    <w:rsid w:val="00D61986"/>
    <w:rsid w:val="00D61A97"/>
    <w:rsid w:val="00D61B7D"/>
    <w:rsid w:val="00D61C62"/>
    <w:rsid w:val="00D61D01"/>
    <w:rsid w:val="00D61D40"/>
    <w:rsid w:val="00D61D73"/>
    <w:rsid w:val="00D61D84"/>
    <w:rsid w:val="00D61D9C"/>
    <w:rsid w:val="00D61DA7"/>
    <w:rsid w:val="00D61E7A"/>
    <w:rsid w:val="00D61E9F"/>
    <w:rsid w:val="00D61EA1"/>
    <w:rsid w:val="00D62050"/>
    <w:rsid w:val="00D620B4"/>
    <w:rsid w:val="00D6215E"/>
    <w:rsid w:val="00D62184"/>
    <w:rsid w:val="00D621D7"/>
    <w:rsid w:val="00D6226A"/>
    <w:rsid w:val="00D6226D"/>
    <w:rsid w:val="00D62286"/>
    <w:rsid w:val="00D62350"/>
    <w:rsid w:val="00D624CE"/>
    <w:rsid w:val="00D624E5"/>
    <w:rsid w:val="00D62509"/>
    <w:rsid w:val="00D625FA"/>
    <w:rsid w:val="00D62650"/>
    <w:rsid w:val="00D62651"/>
    <w:rsid w:val="00D628C6"/>
    <w:rsid w:val="00D628CE"/>
    <w:rsid w:val="00D628F3"/>
    <w:rsid w:val="00D62946"/>
    <w:rsid w:val="00D629AC"/>
    <w:rsid w:val="00D62A22"/>
    <w:rsid w:val="00D62A79"/>
    <w:rsid w:val="00D62A88"/>
    <w:rsid w:val="00D62ACB"/>
    <w:rsid w:val="00D62B5F"/>
    <w:rsid w:val="00D62B74"/>
    <w:rsid w:val="00D62DA9"/>
    <w:rsid w:val="00D62E28"/>
    <w:rsid w:val="00D62E3A"/>
    <w:rsid w:val="00D62EDE"/>
    <w:rsid w:val="00D62F13"/>
    <w:rsid w:val="00D62F3C"/>
    <w:rsid w:val="00D630A7"/>
    <w:rsid w:val="00D631BB"/>
    <w:rsid w:val="00D6320C"/>
    <w:rsid w:val="00D63268"/>
    <w:rsid w:val="00D632A3"/>
    <w:rsid w:val="00D632DC"/>
    <w:rsid w:val="00D63320"/>
    <w:rsid w:val="00D63344"/>
    <w:rsid w:val="00D6334F"/>
    <w:rsid w:val="00D63386"/>
    <w:rsid w:val="00D633D7"/>
    <w:rsid w:val="00D63417"/>
    <w:rsid w:val="00D634E7"/>
    <w:rsid w:val="00D6360F"/>
    <w:rsid w:val="00D636B0"/>
    <w:rsid w:val="00D636C0"/>
    <w:rsid w:val="00D63709"/>
    <w:rsid w:val="00D6395E"/>
    <w:rsid w:val="00D639AC"/>
    <w:rsid w:val="00D63B2B"/>
    <w:rsid w:val="00D63BD5"/>
    <w:rsid w:val="00D63BDD"/>
    <w:rsid w:val="00D63E67"/>
    <w:rsid w:val="00D63EA4"/>
    <w:rsid w:val="00D63F5D"/>
    <w:rsid w:val="00D64095"/>
    <w:rsid w:val="00D64182"/>
    <w:rsid w:val="00D642B0"/>
    <w:rsid w:val="00D642D1"/>
    <w:rsid w:val="00D642D6"/>
    <w:rsid w:val="00D6433A"/>
    <w:rsid w:val="00D64401"/>
    <w:rsid w:val="00D64470"/>
    <w:rsid w:val="00D6454F"/>
    <w:rsid w:val="00D645CC"/>
    <w:rsid w:val="00D646ED"/>
    <w:rsid w:val="00D64745"/>
    <w:rsid w:val="00D6474F"/>
    <w:rsid w:val="00D648B8"/>
    <w:rsid w:val="00D6493B"/>
    <w:rsid w:val="00D6497B"/>
    <w:rsid w:val="00D649D9"/>
    <w:rsid w:val="00D649F5"/>
    <w:rsid w:val="00D64A2A"/>
    <w:rsid w:val="00D64A40"/>
    <w:rsid w:val="00D64B44"/>
    <w:rsid w:val="00D64B4F"/>
    <w:rsid w:val="00D64C39"/>
    <w:rsid w:val="00D64C90"/>
    <w:rsid w:val="00D64CAF"/>
    <w:rsid w:val="00D64DCD"/>
    <w:rsid w:val="00D64E28"/>
    <w:rsid w:val="00D64EE9"/>
    <w:rsid w:val="00D64F36"/>
    <w:rsid w:val="00D64FC5"/>
    <w:rsid w:val="00D65011"/>
    <w:rsid w:val="00D652DD"/>
    <w:rsid w:val="00D652EF"/>
    <w:rsid w:val="00D65366"/>
    <w:rsid w:val="00D6537B"/>
    <w:rsid w:val="00D653A0"/>
    <w:rsid w:val="00D6583F"/>
    <w:rsid w:val="00D65870"/>
    <w:rsid w:val="00D6596E"/>
    <w:rsid w:val="00D6597B"/>
    <w:rsid w:val="00D659E4"/>
    <w:rsid w:val="00D65A27"/>
    <w:rsid w:val="00D65A6B"/>
    <w:rsid w:val="00D65B2D"/>
    <w:rsid w:val="00D65B39"/>
    <w:rsid w:val="00D65BBA"/>
    <w:rsid w:val="00D65BF0"/>
    <w:rsid w:val="00D65D2D"/>
    <w:rsid w:val="00D65D85"/>
    <w:rsid w:val="00D65DA1"/>
    <w:rsid w:val="00D65DC0"/>
    <w:rsid w:val="00D65E29"/>
    <w:rsid w:val="00D65E3B"/>
    <w:rsid w:val="00D65E72"/>
    <w:rsid w:val="00D65FB6"/>
    <w:rsid w:val="00D65FC7"/>
    <w:rsid w:val="00D66021"/>
    <w:rsid w:val="00D661E4"/>
    <w:rsid w:val="00D662A0"/>
    <w:rsid w:val="00D66368"/>
    <w:rsid w:val="00D665D7"/>
    <w:rsid w:val="00D66793"/>
    <w:rsid w:val="00D668D5"/>
    <w:rsid w:val="00D66960"/>
    <w:rsid w:val="00D669B4"/>
    <w:rsid w:val="00D669E5"/>
    <w:rsid w:val="00D66A3C"/>
    <w:rsid w:val="00D66A4D"/>
    <w:rsid w:val="00D66C22"/>
    <w:rsid w:val="00D66C62"/>
    <w:rsid w:val="00D66C7B"/>
    <w:rsid w:val="00D66C97"/>
    <w:rsid w:val="00D66CA4"/>
    <w:rsid w:val="00D66CCF"/>
    <w:rsid w:val="00D66DAF"/>
    <w:rsid w:val="00D66E14"/>
    <w:rsid w:val="00D66EEB"/>
    <w:rsid w:val="00D66F52"/>
    <w:rsid w:val="00D67238"/>
    <w:rsid w:val="00D6726C"/>
    <w:rsid w:val="00D67284"/>
    <w:rsid w:val="00D672B1"/>
    <w:rsid w:val="00D672E0"/>
    <w:rsid w:val="00D6733C"/>
    <w:rsid w:val="00D673A6"/>
    <w:rsid w:val="00D674B4"/>
    <w:rsid w:val="00D67570"/>
    <w:rsid w:val="00D6763E"/>
    <w:rsid w:val="00D676FA"/>
    <w:rsid w:val="00D6775C"/>
    <w:rsid w:val="00D67776"/>
    <w:rsid w:val="00D6777E"/>
    <w:rsid w:val="00D677D4"/>
    <w:rsid w:val="00D678C7"/>
    <w:rsid w:val="00D67970"/>
    <w:rsid w:val="00D679A8"/>
    <w:rsid w:val="00D679D1"/>
    <w:rsid w:val="00D67BEA"/>
    <w:rsid w:val="00D67C1F"/>
    <w:rsid w:val="00D67C21"/>
    <w:rsid w:val="00D67C35"/>
    <w:rsid w:val="00D67DC9"/>
    <w:rsid w:val="00D67E59"/>
    <w:rsid w:val="00D67EA3"/>
    <w:rsid w:val="00D67ECB"/>
    <w:rsid w:val="00D67EDA"/>
    <w:rsid w:val="00D69BC3"/>
    <w:rsid w:val="00D7003A"/>
    <w:rsid w:val="00D7006E"/>
    <w:rsid w:val="00D7006F"/>
    <w:rsid w:val="00D70078"/>
    <w:rsid w:val="00D700F7"/>
    <w:rsid w:val="00D7012D"/>
    <w:rsid w:val="00D7015D"/>
    <w:rsid w:val="00D70185"/>
    <w:rsid w:val="00D70194"/>
    <w:rsid w:val="00D70235"/>
    <w:rsid w:val="00D7031F"/>
    <w:rsid w:val="00D70359"/>
    <w:rsid w:val="00D70407"/>
    <w:rsid w:val="00D70468"/>
    <w:rsid w:val="00D70515"/>
    <w:rsid w:val="00D70541"/>
    <w:rsid w:val="00D70569"/>
    <w:rsid w:val="00D705B0"/>
    <w:rsid w:val="00D706C0"/>
    <w:rsid w:val="00D70784"/>
    <w:rsid w:val="00D70840"/>
    <w:rsid w:val="00D708B8"/>
    <w:rsid w:val="00D70975"/>
    <w:rsid w:val="00D709FD"/>
    <w:rsid w:val="00D70A29"/>
    <w:rsid w:val="00D70B4A"/>
    <w:rsid w:val="00D70BDF"/>
    <w:rsid w:val="00D70C42"/>
    <w:rsid w:val="00D70C55"/>
    <w:rsid w:val="00D70C56"/>
    <w:rsid w:val="00D70D28"/>
    <w:rsid w:val="00D70DE3"/>
    <w:rsid w:val="00D70E54"/>
    <w:rsid w:val="00D70FC2"/>
    <w:rsid w:val="00D7100C"/>
    <w:rsid w:val="00D711E4"/>
    <w:rsid w:val="00D71240"/>
    <w:rsid w:val="00D712AE"/>
    <w:rsid w:val="00D71358"/>
    <w:rsid w:val="00D7138F"/>
    <w:rsid w:val="00D71391"/>
    <w:rsid w:val="00D713EF"/>
    <w:rsid w:val="00D71410"/>
    <w:rsid w:val="00D714CC"/>
    <w:rsid w:val="00D715CE"/>
    <w:rsid w:val="00D715CF"/>
    <w:rsid w:val="00D71723"/>
    <w:rsid w:val="00D71756"/>
    <w:rsid w:val="00D7177E"/>
    <w:rsid w:val="00D71A3E"/>
    <w:rsid w:val="00D71D5C"/>
    <w:rsid w:val="00D71DBE"/>
    <w:rsid w:val="00D71E4D"/>
    <w:rsid w:val="00D71E61"/>
    <w:rsid w:val="00D71EED"/>
    <w:rsid w:val="00D71FB8"/>
    <w:rsid w:val="00D72004"/>
    <w:rsid w:val="00D7202B"/>
    <w:rsid w:val="00D7204B"/>
    <w:rsid w:val="00D7208E"/>
    <w:rsid w:val="00D72212"/>
    <w:rsid w:val="00D72254"/>
    <w:rsid w:val="00D72369"/>
    <w:rsid w:val="00D7239F"/>
    <w:rsid w:val="00D723C8"/>
    <w:rsid w:val="00D7250B"/>
    <w:rsid w:val="00D725CD"/>
    <w:rsid w:val="00D72667"/>
    <w:rsid w:val="00D72775"/>
    <w:rsid w:val="00D7279F"/>
    <w:rsid w:val="00D728A2"/>
    <w:rsid w:val="00D728F8"/>
    <w:rsid w:val="00D72966"/>
    <w:rsid w:val="00D729CE"/>
    <w:rsid w:val="00D729E4"/>
    <w:rsid w:val="00D72AD4"/>
    <w:rsid w:val="00D72AD8"/>
    <w:rsid w:val="00D72AEE"/>
    <w:rsid w:val="00D72B1D"/>
    <w:rsid w:val="00D72B7D"/>
    <w:rsid w:val="00D72B92"/>
    <w:rsid w:val="00D72C98"/>
    <w:rsid w:val="00D72CFA"/>
    <w:rsid w:val="00D72D06"/>
    <w:rsid w:val="00D72D09"/>
    <w:rsid w:val="00D72DE5"/>
    <w:rsid w:val="00D72E2F"/>
    <w:rsid w:val="00D72E54"/>
    <w:rsid w:val="00D72EF0"/>
    <w:rsid w:val="00D72F1A"/>
    <w:rsid w:val="00D72FAA"/>
    <w:rsid w:val="00D730AF"/>
    <w:rsid w:val="00D730EE"/>
    <w:rsid w:val="00D731AE"/>
    <w:rsid w:val="00D731DB"/>
    <w:rsid w:val="00D73208"/>
    <w:rsid w:val="00D73345"/>
    <w:rsid w:val="00D73489"/>
    <w:rsid w:val="00D734C5"/>
    <w:rsid w:val="00D7354E"/>
    <w:rsid w:val="00D7358C"/>
    <w:rsid w:val="00D73715"/>
    <w:rsid w:val="00D73737"/>
    <w:rsid w:val="00D73742"/>
    <w:rsid w:val="00D7376F"/>
    <w:rsid w:val="00D7380C"/>
    <w:rsid w:val="00D739A4"/>
    <w:rsid w:val="00D73A30"/>
    <w:rsid w:val="00D73B97"/>
    <w:rsid w:val="00D73BBB"/>
    <w:rsid w:val="00D73C48"/>
    <w:rsid w:val="00D73CEC"/>
    <w:rsid w:val="00D73D5D"/>
    <w:rsid w:val="00D73DEE"/>
    <w:rsid w:val="00D73EC7"/>
    <w:rsid w:val="00D73F46"/>
    <w:rsid w:val="00D74165"/>
    <w:rsid w:val="00D742D9"/>
    <w:rsid w:val="00D742E9"/>
    <w:rsid w:val="00D742EC"/>
    <w:rsid w:val="00D742F2"/>
    <w:rsid w:val="00D74384"/>
    <w:rsid w:val="00D743F1"/>
    <w:rsid w:val="00D747C0"/>
    <w:rsid w:val="00D747DC"/>
    <w:rsid w:val="00D74844"/>
    <w:rsid w:val="00D748A8"/>
    <w:rsid w:val="00D749AE"/>
    <w:rsid w:val="00D74B24"/>
    <w:rsid w:val="00D74B6B"/>
    <w:rsid w:val="00D74BAC"/>
    <w:rsid w:val="00D74C94"/>
    <w:rsid w:val="00D74DAA"/>
    <w:rsid w:val="00D74DB8"/>
    <w:rsid w:val="00D74E0A"/>
    <w:rsid w:val="00D74F49"/>
    <w:rsid w:val="00D74FF0"/>
    <w:rsid w:val="00D75032"/>
    <w:rsid w:val="00D750CD"/>
    <w:rsid w:val="00D750DE"/>
    <w:rsid w:val="00D751B0"/>
    <w:rsid w:val="00D751C0"/>
    <w:rsid w:val="00D7520D"/>
    <w:rsid w:val="00D75225"/>
    <w:rsid w:val="00D752B5"/>
    <w:rsid w:val="00D75419"/>
    <w:rsid w:val="00D7554C"/>
    <w:rsid w:val="00D755E7"/>
    <w:rsid w:val="00D75606"/>
    <w:rsid w:val="00D75629"/>
    <w:rsid w:val="00D75668"/>
    <w:rsid w:val="00D7567B"/>
    <w:rsid w:val="00D756F9"/>
    <w:rsid w:val="00D75723"/>
    <w:rsid w:val="00D75728"/>
    <w:rsid w:val="00D75874"/>
    <w:rsid w:val="00D75922"/>
    <w:rsid w:val="00D759F5"/>
    <w:rsid w:val="00D75A46"/>
    <w:rsid w:val="00D75BB5"/>
    <w:rsid w:val="00D75BBA"/>
    <w:rsid w:val="00D75E18"/>
    <w:rsid w:val="00D75FB9"/>
    <w:rsid w:val="00D76068"/>
    <w:rsid w:val="00D76149"/>
    <w:rsid w:val="00D7615A"/>
    <w:rsid w:val="00D76169"/>
    <w:rsid w:val="00D7629C"/>
    <w:rsid w:val="00D762A9"/>
    <w:rsid w:val="00D762C0"/>
    <w:rsid w:val="00D762E6"/>
    <w:rsid w:val="00D762F7"/>
    <w:rsid w:val="00D7638D"/>
    <w:rsid w:val="00D7659A"/>
    <w:rsid w:val="00D765C5"/>
    <w:rsid w:val="00D76689"/>
    <w:rsid w:val="00D766AE"/>
    <w:rsid w:val="00D766BC"/>
    <w:rsid w:val="00D76753"/>
    <w:rsid w:val="00D76838"/>
    <w:rsid w:val="00D76847"/>
    <w:rsid w:val="00D76898"/>
    <w:rsid w:val="00D76920"/>
    <w:rsid w:val="00D76986"/>
    <w:rsid w:val="00D769D6"/>
    <w:rsid w:val="00D76A7F"/>
    <w:rsid w:val="00D76D3B"/>
    <w:rsid w:val="00D76D48"/>
    <w:rsid w:val="00D76E39"/>
    <w:rsid w:val="00D76E9C"/>
    <w:rsid w:val="00D76F0F"/>
    <w:rsid w:val="00D77191"/>
    <w:rsid w:val="00D771C6"/>
    <w:rsid w:val="00D772B6"/>
    <w:rsid w:val="00D772CE"/>
    <w:rsid w:val="00D77417"/>
    <w:rsid w:val="00D7756F"/>
    <w:rsid w:val="00D77572"/>
    <w:rsid w:val="00D7777B"/>
    <w:rsid w:val="00D77780"/>
    <w:rsid w:val="00D77794"/>
    <w:rsid w:val="00D7785A"/>
    <w:rsid w:val="00D77966"/>
    <w:rsid w:val="00D779B4"/>
    <w:rsid w:val="00D77A0F"/>
    <w:rsid w:val="00D77A3C"/>
    <w:rsid w:val="00D77ABB"/>
    <w:rsid w:val="00D77B04"/>
    <w:rsid w:val="00D77B0E"/>
    <w:rsid w:val="00D77C71"/>
    <w:rsid w:val="00D77C9B"/>
    <w:rsid w:val="00D77CE3"/>
    <w:rsid w:val="00D77D16"/>
    <w:rsid w:val="00D77D2C"/>
    <w:rsid w:val="00D77DEE"/>
    <w:rsid w:val="00D77EE2"/>
    <w:rsid w:val="00D77F3D"/>
    <w:rsid w:val="00D77FB5"/>
    <w:rsid w:val="00D7BF9F"/>
    <w:rsid w:val="00D7DDE2"/>
    <w:rsid w:val="00D7DE4B"/>
    <w:rsid w:val="00D80030"/>
    <w:rsid w:val="00D80109"/>
    <w:rsid w:val="00D80162"/>
    <w:rsid w:val="00D80189"/>
    <w:rsid w:val="00D80251"/>
    <w:rsid w:val="00D80265"/>
    <w:rsid w:val="00D80268"/>
    <w:rsid w:val="00D80294"/>
    <w:rsid w:val="00D80386"/>
    <w:rsid w:val="00D80396"/>
    <w:rsid w:val="00D803C3"/>
    <w:rsid w:val="00D805FF"/>
    <w:rsid w:val="00D80643"/>
    <w:rsid w:val="00D80694"/>
    <w:rsid w:val="00D807EE"/>
    <w:rsid w:val="00D808E6"/>
    <w:rsid w:val="00D80963"/>
    <w:rsid w:val="00D8096B"/>
    <w:rsid w:val="00D809C2"/>
    <w:rsid w:val="00D80B02"/>
    <w:rsid w:val="00D80C0B"/>
    <w:rsid w:val="00D80CA7"/>
    <w:rsid w:val="00D810B4"/>
    <w:rsid w:val="00D81101"/>
    <w:rsid w:val="00D8112D"/>
    <w:rsid w:val="00D81151"/>
    <w:rsid w:val="00D811C4"/>
    <w:rsid w:val="00D812F1"/>
    <w:rsid w:val="00D8133F"/>
    <w:rsid w:val="00D81349"/>
    <w:rsid w:val="00D8138E"/>
    <w:rsid w:val="00D81469"/>
    <w:rsid w:val="00D81493"/>
    <w:rsid w:val="00D814F7"/>
    <w:rsid w:val="00D8154C"/>
    <w:rsid w:val="00D817E7"/>
    <w:rsid w:val="00D8191E"/>
    <w:rsid w:val="00D819A2"/>
    <w:rsid w:val="00D819A6"/>
    <w:rsid w:val="00D819AA"/>
    <w:rsid w:val="00D81A91"/>
    <w:rsid w:val="00D81B4C"/>
    <w:rsid w:val="00D81C81"/>
    <w:rsid w:val="00D81F23"/>
    <w:rsid w:val="00D81F5D"/>
    <w:rsid w:val="00D81FC0"/>
    <w:rsid w:val="00D81FF9"/>
    <w:rsid w:val="00D82035"/>
    <w:rsid w:val="00D820FB"/>
    <w:rsid w:val="00D82143"/>
    <w:rsid w:val="00D82366"/>
    <w:rsid w:val="00D82449"/>
    <w:rsid w:val="00D82450"/>
    <w:rsid w:val="00D824A2"/>
    <w:rsid w:val="00D826DB"/>
    <w:rsid w:val="00D82800"/>
    <w:rsid w:val="00D828F6"/>
    <w:rsid w:val="00D82991"/>
    <w:rsid w:val="00D82A02"/>
    <w:rsid w:val="00D82A26"/>
    <w:rsid w:val="00D82ABE"/>
    <w:rsid w:val="00D82B3D"/>
    <w:rsid w:val="00D82C9E"/>
    <w:rsid w:val="00D82D1A"/>
    <w:rsid w:val="00D82D9E"/>
    <w:rsid w:val="00D82E4E"/>
    <w:rsid w:val="00D82F59"/>
    <w:rsid w:val="00D82FC1"/>
    <w:rsid w:val="00D82FF6"/>
    <w:rsid w:val="00D830EA"/>
    <w:rsid w:val="00D8314B"/>
    <w:rsid w:val="00D8315B"/>
    <w:rsid w:val="00D831C2"/>
    <w:rsid w:val="00D832AB"/>
    <w:rsid w:val="00D832BE"/>
    <w:rsid w:val="00D8334B"/>
    <w:rsid w:val="00D83487"/>
    <w:rsid w:val="00D8354A"/>
    <w:rsid w:val="00D83575"/>
    <w:rsid w:val="00D835E2"/>
    <w:rsid w:val="00D8367A"/>
    <w:rsid w:val="00D8368B"/>
    <w:rsid w:val="00D837BD"/>
    <w:rsid w:val="00D83865"/>
    <w:rsid w:val="00D838B1"/>
    <w:rsid w:val="00D839CC"/>
    <w:rsid w:val="00D83A7F"/>
    <w:rsid w:val="00D83A91"/>
    <w:rsid w:val="00D83ADC"/>
    <w:rsid w:val="00D83B0B"/>
    <w:rsid w:val="00D83BEA"/>
    <w:rsid w:val="00D83C64"/>
    <w:rsid w:val="00D83D63"/>
    <w:rsid w:val="00D83DDD"/>
    <w:rsid w:val="00D83E31"/>
    <w:rsid w:val="00D83ED6"/>
    <w:rsid w:val="00D83F0A"/>
    <w:rsid w:val="00D83F9F"/>
    <w:rsid w:val="00D840FE"/>
    <w:rsid w:val="00D84106"/>
    <w:rsid w:val="00D84148"/>
    <w:rsid w:val="00D84239"/>
    <w:rsid w:val="00D843E3"/>
    <w:rsid w:val="00D84420"/>
    <w:rsid w:val="00D8457E"/>
    <w:rsid w:val="00D84596"/>
    <w:rsid w:val="00D845EF"/>
    <w:rsid w:val="00D845F3"/>
    <w:rsid w:val="00D84642"/>
    <w:rsid w:val="00D84705"/>
    <w:rsid w:val="00D8475D"/>
    <w:rsid w:val="00D847B3"/>
    <w:rsid w:val="00D8485D"/>
    <w:rsid w:val="00D848C1"/>
    <w:rsid w:val="00D849EB"/>
    <w:rsid w:val="00D84B18"/>
    <w:rsid w:val="00D84B92"/>
    <w:rsid w:val="00D84B9A"/>
    <w:rsid w:val="00D84DC9"/>
    <w:rsid w:val="00D84E1E"/>
    <w:rsid w:val="00D84E5E"/>
    <w:rsid w:val="00D84E73"/>
    <w:rsid w:val="00D84ED0"/>
    <w:rsid w:val="00D84EF3"/>
    <w:rsid w:val="00D84FA2"/>
    <w:rsid w:val="00D8517B"/>
    <w:rsid w:val="00D852AF"/>
    <w:rsid w:val="00D8536C"/>
    <w:rsid w:val="00D8543D"/>
    <w:rsid w:val="00D8548B"/>
    <w:rsid w:val="00D8549E"/>
    <w:rsid w:val="00D854AD"/>
    <w:rsid w:val="00D85680"/>
    <w:rsid w:val="00D8573B"/>
    <w:rsid w:val="00D857C5"/>
    <w:rsid w:val="00D858B8"/>
    <w:rsid w:val="00D859BD"/>
    <w:rsid w:val="00D85A63"/>
    <w:rsid w:val="00D85A70"/>
    <w:rsid w:val="00D85AAD"/>
    <w:rsid w:val="00D85C21"/>
    <w:rsid w:val="00D85D11"/>
    <w:rsid w:val="00D85D62"/>
    <w:rsid w:val="00D85DC8"/>
    <w:rsid w:val="00D85E41"/>
    <w:rsid w:val="00D85F0F"/>
    <w:rsid w:val="00D85F5E"/>
    <w:rsid w:val="00D85F78"/>
    <w:rsid w:val="00D85F9E"/>
    <w:rsid w:val="00D8601B"/>
    <w:rsid w:val="00D860AA"/>
    <w:rsid w:val="00D86208"/>
    <w:rsid w:val="00D86252"/>
    <w:rsid w:val="00D8625C"/>
    <w:rsid w:val="00D862D6"/>
    <w:rsid w:val="00D863C7"/>
    <w:rsid w:val="00D8641A"/>
    <w:rsid w:val="00D8665C"/>
    <w:rsid w:val="00D866EC"/>
    <w:rsid w:val="00D86736"/>
    <w:rsid w:val="00D867ED"/>
    <w:rsid w:val="00D86A40"/>
    <w:rsid w:val="00D86C64"/>
    <w:rsid w:val="00D86E18"/>
    <w:rsid w:val="00D870E0"/>
    <w:rsid w:val="00D871D7"/>
    <w:rsid w:val="00D871DD"/>
    <w:rsid w:val="00D8727D"/>
    <w:rsid w:val="00D873A5"/>
    <w:rsid w:val="00D8741E"/>
    <w:rsid w:val="00D875E0"/>
    <w:rsid w:val="00D875E2"/>
    <w:rsid w:val="00D87745"/>
    <w:rsid w:val="00D879BB"/>
    <w:rsid w:val="00D87B16"/>
    <w:rsid w:val="00D87B5F"/>
    <w:rsid w:val="00D87E66"/>
    <w:rsid w:val="00D87F31"/>
    <w:rsid w:val="00D87F6F"/>
    <w:rsid w:val="00D87FB3"/>
    <w:rsid w:val="00D901CC"/>
    <w:rsid w:val="00D9022B"/>
    <w:rsid w:val="00D9026F"/>
    <w:rsid w:val="00D90277"/>
    <w:rsid w:val="00D90281"/>
    <w:rsid w:val="00D902A4"/>
    <w:rsid w:val="00D902B2"/>
    <w:rsid w:val="00D90407"/>
    <w:rsid w:val="00D90559"/>
    <w:rsid w:val="00D9057A"/>
    <w:rsid w:val="00D9057F"/>
    <w:rsid w:val="00D90680"/>
    <w:rsid w:val="00D90860"/>
    <w:rsid w:val="00D908DC"/>
    <w:rsid w:val="00D90908"/>
    <w:rsid w:val="00D909C8"/>
    <w:rsid w:val="00D90A0F"/>
    <w:rsid w:val="00D90AA1"/>
    <w:rsid w:val="00D90B2C"/>
    <w:rsid w:val="00D90B95"/>
    <w:rsid w:val="00D90C38"/>
    <w:rsid w:val="00D90C6B"/>
    <w:rsid w:val="00D90C7B"/>
    <w:rsid w:val="00D90CCC"/>
    <w:rsid w:val="00D90D2F"/>
    <w:rsid w:val="00D90D3F"/>
    <w:rsid w:val="00D90D6C"/>
    <w:rsid w:val="00D90D6E"/>
    <w:rsid w:val="00D90D7C"/>
    <w:rsid w:val="00D90E1C"/>
    <w:rsid w:val="00D90FAE"/>
    <w:rsid w:val="00D910C7"/>
    <w:rsid w:val="00D910FD"/>
    <w:rsid w:val="00D91137"/>
    <w:rsid w:val="00D91146"/>
    <w:rsid w:val="00D911D8"/>
    <w:rsid w:val="00D91208"/>
    <w:rsid w:val="00D912E5"/>
    <w:rsid w:val="00D9136F"/>
    <w:rsid w:val="00D914E8"/>
    <w:rsid w:val="00D915EC"/>
    <w:rsid w:val="00D9167B"/>
    <w:rsid w:val="00D91740"/>
    <w:rsid w:val="00D917C6"/>
    <w:rsid w:val="00D918F4"/>
    <w:rsid w:val="00D91A24"/>
    <w:rsid w:val="00D91A52"/>
    <w:rsid w:val="00D91B0B"/>
    <w:rsid w:val="00D91C51"/>
    <w:rsid w:val="00D91CD6"/>
    <w:rsid w:val="00D91D49"/>
    <w:rsid w:val="00D91DFA"/>
    <w:rsid w:val="00D91E1C"/>
    <w:rsid w:val="00D91E58"/>
    <w:rsid w:val="00D91E91"/>
    <w:rsid w:val="00D91F4C"/>
    <w:rsid w:val="00D91FAA"/>
    <w:rsid w:val="00D91FB9"/>
    <w:rsid w:val="00D9200E"/>
    <w:rsid w:val="00D92223"/>
    <w:rsid w:val="00D9232D"/>
    <w:rsid w:val="00D923CA"/>
    <w:rsid w:val="00D92604"/>
    <w:rsid w:val="00D92614"/>
    <w:rsid w:val="00D92648"/>
    <w:rsid w:val="00D92656"/>
    <w:rsid w:val="00D92674"/>
    <w:rsid w:val="00D92776"/>
    <w:rsid w:val="00D929A1"/>
    <w:rsid w:val="00D929BF"/>
    <w:rsid w:val="00D929E2"/>
    <w:rsid w:val="00D92AFC"/>
    <w:rsid w:val="00D92B21"/>
    <w:rsid w:val="00D92BBF"/>
    <w:rsid w:val="00D92BE6"/>
    <w:rsid w:val="00D92DA4"/>
    <w:rsid w:val="00D92E43"/>
    <w:rsid w:val="00D92E49"/>
    <w:rsid w:val="00D92FAF"/>
    <w:rsid w:val="00D93009"/>
    <w:rsid w:val="00D9305B"/>
    <w:rsid w:val="00D93237"/>
    <w:rsid w:val="00D932C2"/>
    <w:rsid w:val="00D9333E"/>
    <w:rsid w:val="00D93457"/>
    <w:rsid w:val="00D93489"/>
    <w:rsid w:val="00D9357F"/>
    <w:rsid w:val="00D9358D"/>
    <w:rsid w:val="00D935B1"/>
    <w:rsid w:val="00D93642"/>
    <w:rsid w:val="00D9371C"/>
    <w:rsid w:val="00D93786"/>
    <w:rsid w:val="00D9380D"/>
    <w:rsid w:val="00D93812"/>
    <w:rsid w:val="00D938D3"/>
    <w:rsid w:val="00D93944"/>
    <w:rsid w:val="00D9399E"/>
    <w:rsid w:val="00D93A16"/>
    <w:rsid w:val="00D93A55"/>
    <w:rsid w:val="00D93A6D"/>
    <w:rsid w:val="00D93AD3"/>
    <w:rsid w:val="00D93B55"/>
    <w:rsid w:val="00D93C06"/>
    <w:rsid w:val="00D93CA4"/>
    <w:rsid w:val="00D93CD1"/>
    <w:rsid w:val="00D93CFC"/>
    <w:rsid w:val="00D93DE8"/>
    <w:rsid w:val="00D93F02"/>
    <w:rsid w:val="00D93F2A"/>
    <w:rsid w:val="00D93F34"/>
    <w:rsid w:val="00D93F97"/>
    <w:rsid w:val="00D93FE1"/>
    <w:rsid w:val="00D9400F"/>
    <w:rsid w:val="00D94041"/>
    <w:rsid w:val="00D94193"/>
    <w:rsid w:val="00D941AE"/>
    <w:rsid w:val="00D9421F"/>
    <w:rsid w:val="00D94240"/>
    <w:rsid w:val="00D9437D"/>
    <w:rsid w:val="00D94474"/>
    <w:rsid w:val="00D9447A"/>
    <w:rsid w:val="00D94618"/>
    <w:rsid w:val="00D9463C"/>
    <w:rsid w:val="00D94642"/>
    <w:rsid w:val="00D9472B"/>
    <w:rsid w:val="00D947A3"/>
    <w:rsid w:val="00D9480C"/>
    <w:rsid w:val="00D94899"/>
    <w:rsid w:val="00D948A4"/>
    <w:rsid w:val="00D948D2"/>
    <w:rsid w:val="00D9494E"/>
    <w:rsid w:val="00D94A56"/>
    <w:rsid w:val="00D94B4B"/>
    <w:rsid w:val="00D94B7B"/>
    <w:rsid w:val="00D94BD5"/>
    <w:rsid w:val="00D94C15"/>
    <w:rsid w:val="00D94C2D"/>
    <w:rsid w:val="00D94CFE"/>
    <w:rsid w:val="00D94E74"/>
    <w:rsid w:val="00D9510B"/>
    <w:rsid w:val="00D9510E"/>
    <w:rsid w:val="00D95114"/>
    <w:rsid w:val="00D951AE"/>
    <w:rsid w:val="00D953BA"/>
    <w:rsid w:val="00D954E4"/>
    <w:rsid w:val="00D9553E"/>
    <w:rsid w:val="00D956AC"/>
    <w:rsid w:val="00D95718"/>
    <w:rsid w:val="00D95746"/>
    <w:rsid w:val="00D95785"/>
    <w:rsid w:val="00D95792"/>
    <w:rsid w:val="00D957E2"/>
    <w:rsid w:val="00D959D1"/>
    <w:rsid w:val="00D95A6D"/>
    <w:rsid w:val="00D95B02"/>
    <w:rsid w:val="00D95B62"/>
    <w:rsid w:val="00D95B89"/>
    <w:rsid w:val="00D95CC4"/>
    <w:rsid w:val="00D95D4F"/>
    <w:rsid w:val="00D95D63"/>
    <w:rsid w:val="00D95DCF"/>
    <w:rsid w:val="00D95F67"/>
    <w:rsid w:val="00D95F7C"/>
    <w:rsid w:val="00D95FFC"/>
    <w:rsid w:val="00D9606C"/>
    <w:rsid w:val="00D9624B"/>
    <w:rsid w:val="00D96327"/>
    <w:rsid w:val="00D96361"/>
    <w:rsid w:val="00D96460"/>
    <w:rsid w:val="00D96469"/>
    <w:rsid w:val="00D96499"/>
    <w:rsid w:val="00D964DD"/>
    <w:rsid w:val="00D96545"/>
    <w:rsid w:val="00D96581"/>
    <w:rsid w:val="00D966A6"/>
    <w:rsid w:val="00D966A9"/>
    <w:rsid w:val="00D966CE"/>
    <w:rsid w:val="00D966E9"/>
    <w:rsid w:val="00D96830"/>
    <w:rsid w:val="00D9687A"/>
    <w:rsid w:val="00D968EA"/>
    <w:rsid w:val="00D96951"/>
    <w:rsid w:val="00D96A42"/>
    <w:rsid w:val="00D96AA5"/>
    <w:rsid w:val="00D96AFC"/>
    <w:rsid w:val="00D96BA5"/>
    <w:rsid w:val="00D96C83"/>
    <w:rsid w:val="00D96CF5"/>
    <w:rsid w:val="00D96D74"/>
    <w:rsid w:val="00D96E29"/>
    <w:rsid w:val="00D96E46"/>
    <w:rsid w:val="00D96EF1"/>
    <w:rsid w:val="00D96FF5"/>
    <w:rsid w:val="00D97026"/>
    <w:rsid w:val="00D97051"/>
    <w:rsid w:val="00D9705E"/>
    <w:rsid w:val="00D97077"/>
    <w:rsid w:val="00D9708A"/>
    <w:rsid w:val="00D97195"/>
    <w:rsid w:val="00D97391"/>
    <w:rsid w:val="00D973E2"/>
    <w:rsid w:val="00D97405"/>
    <w:rsid w:val="00D97486"/>
    <w:rsid w:val="00D974F1"/>
    <w:rsid w:val="00D9764E"/>
    <w:rsid w:val="00D97652"/>
    <w:rsid w:val="00D9769A"/>
    <w:rsid w:val="00D97868"/>
    <w:rsid w:val="00D9795C"/>
    <w:rsid w:val="00D97976"/>
    <w:rsid w:val="00D97A24"/>
    <w:rsid w:val="00D97B0C"/>
    <w:rsid w:val="00D97B65"/>
    <w:rsid w:val="00D97C7D"/>
    <w:rsid w:val="00D97D20"/>
    <w:rsid w:val="00D97D32"/>
    <w:rsid w:val="00D97D7A"/>
    <w:rsid w:val="00D97DFE"/>
    <w:rsid w:val="00D97F5C"/>
    <w:rsid w:val="00D97F8E"/>
    <w:rsid w:val="00D991CE"/>
    <w:rsid w:val="00DA0007"/>
    <w:rsid w:val="00DA01CB"/>
    <w:rsid w:val="00DA02E2"/>
    <w:rsid w:val="00DA0423"/>
    <w:rsid w:val="00DA046C"/>
    <w:rsid w:val="00DA04B8"/>
    <w:rsid w:val="00DA0505"/>
    <w:rsid w:val="00DA0602"/>
    <w:rsid w:val="00DA0753"/>
    <w:rsid w:val="00DA094D"/>
    <w:rsid w:val="00DA0A5B"/>
    <w:rsid w:val="00DA0A63"/>
    <w:rsid w:val="00DA0A8C"/>
    <w:rsid w:val="00DA0B05"/>
    <w:rsid w:val="00DA0BBD"/>
    <w:rsid w:val="00DA0DD4"/>
    <w:rsid w:val="00DA0DEF"/>
    <w:rsid w:val="00DA0EA5"/>
    <w:rsid w:val="00DA0EF5"/>
    <w:rsid w:val="00DA0F63"/>
    <w:rsid w:val="00DA0F89"/>
    <w:rsid w:val="00DA0FD1"/>
    <w:rsid w:val="00DA0FDE"/>
    <w:rsid w:val="00DA102A"/>
    <w:rsid w:val="00DA103E"/>
    <w:rsid w:val="00DA1056"/>
    <w:rsid w:val="00DA11BA"/>
    <w:rsid w:val="00DA1219"/>
    <w:rsid w:val="00DA1249"/>
    <w:rsid w:val="00DA1323"/>
    <w:rsid w:val="00DA1399"/>
    <w:rsid w:val="00DA1420"/>
    <w:rsid w:val="00DA1441"/>
    <w:rsid w:val="00DA146C"/>
    <w:rsid w:val="00DA14E2"/>
    <w:rsid w:val="00DA14F8"/>
    <w:rsid w:val="00DA1502"/>
    <w:rsid w:val="00DA154A"/>
    <w:rsid w:val="00DA17E0"/>
    <w:rsid w:val="00DA1909"/>
    <w:rsid w:val="00DA1937"/>
    <w:rsid w:val="00DA199D"/>
    <w:rsid w:val="00DA1A67"/>
    <w:rsid w:val="00DA1AAE"/>
    <w:rsid w:val="00DA1AF2"/>
    <w:rsid w:val="00DA1B87"/>
    <w:rsid w:val="00DA1C04"/>
    <w:rsid w:val="00DA1CA0"/>
    <w:rsid w:val="00DA1EA4"/>
    <w:rsid w:val="00DA1EBD"/>
    <w:rsid w:val="00DA2045"/>
    <w:rsid w:val="00DA2047"/>
    <w:rsid w:val="00DA21A0"/>
    <w:rsid w:val="00DA21EA"/>
    <w:rsid w:val="00DA2291"/>
    <w:rsid w:val="00DA232E"/>
    <w:rsid w:val="00DA2334"/>
    <w:rsid w:val="00DA23F1"/>
    <w:rsid w:val="00DA25E9"/>
    <w:rsid w:val="00DA25FC"/>
    <w:rsid w:val="00DA276E"/>
    <w:rsid w:val="00DA2799"/>
    <w:rsid w:val="00DA27F7"/>
    <w:rsid w:val="00DA28C5"/>
    <w:rsid w:val="00DA296E"/>
    <w:rsid w:val="00DA29FF"/>
    <w:rsid w:val="00DA2A49"/>
    <w:rsid w:val="00DA2BE5"/>
    <w:rsid w:val="00DA2C79"/>
    <w:rsid w:val="00DA2CED"/>
    <w:rsid w:val="00DA2D49"/>
    <w:rsid w:val="00DA2DB5"/>
    <w:rsid w:val="00DA2E77"/>
    <w:rsid w:val="00DA2F6B"/>
    <w:rsid w:val="00DA2FAB"/>
    <w:rsid w:val="00DA309D"/>
    <w:rsid w:val="00DA326D"/>
    <w:rsid w:val="00DA32D2"/>
    <w:rsid w:val="00DA3326"/>
    <w:rsid w:val="00DA33C7"/>
    <w:rsid w:val="00DA3516"/>
    <w:rsid w:val="00DA3625"/>
    <w:rsid w:val="00DA375C"/>
    <w:rsid w:val="00DA378D"/>
    <w:rsid w:val="00DA38DF"/>
    <w:rsid w:val="00DA396E"/>
    <w:rsid w:val="00DA3AD8"/>
    <w:rsid w:val="00DA3B81"/>
    <w:rsid w:val="00DA3D95"/>
    <w:rsid w:val="00DA3DF2"/>
    <w:rsid w:val="00DA3E22"/>
    <w:rsid w:val="00DA3E64"/>
    <w:rsid w:val="00DA3E6B"/>
    <w:rsid w:val="00DA3F5F"/>
    <w:rsid w:val="00DA3F7F"/>
    <w:rsid w:val="00DA3F9E"/>
    <w:rsid w:val="00DA3FC9"/>
    <w:rsid w:val="00DA3FF0"/>
    <w:rsid w:val="00DA4053"/>
    <w:rsid w:val="00DA40A2"/>
    <w:rsid w:val="00DA40CC"/>
    <w:rsid w:val="00DA4126"/>
    <w:rsid w:val="00DA4162"/>
    <w:rsid w:val="00DA4197"/>
    <w:rsid w:val="00DA41BF"/>
    <w:rsid w:val="00DA41CD"/>
    <w:rsid w:val="00DA4268"/>
    <w:rsid w:val="00DA42D3"/>
    <w:rsid w:val="00DA4311"/>
    <w:rsid w:val="00DA4390"/>
    <w:rsid w:val="00DA443B"/>
    <w:rsid w:val="00DA44EE"/>
    <w:rsid w:val="00DA4569"/>
    <w:rsid w:val="00DA457F"/>
    <w:rsid w:val="00DA45B0"/>
    <w:rsid w:val="00DA467D"/>
    <w:rsid w:val="00DA47E3"/>
    <w:rsid w:val="00DA4812"/>
    <w:rsid w:val="00DA494F"/>
    <w:rsid w:val="00DA4A3B"/>
    <w:rsid w:val="00DA4AC1"/>
    <w:rsid w:val="00DA4B2B"/>
    <w:rsid w:val="00DA4B67"/>
    <w:rsid w:val="00DA4D58"/>
    <w:rsid w:val="00DA4ED9"/>
    <w:rsid w:val="00DA4F02"/>
    <w:rsid w:val="00DA4F7F"/>
    <w:rsid w:val="00DA4FA9"/>
    <w:rsid w:val="00DA4FF8"/>
    <w:rsid w:val="00DA50E3"/>
    <w:rsid w:val="00DA50EA"/>
    <w:rsid w:val="00DA5106"/>
    <w:rsid w:val="00DA512F"/>
    <w:rsid w:val="00DA5145"/>
    <w:rsid w:val="00DA516B"/>
    <w:rsid w:val="00DA5174"/>
    <w:rsid w:val="00DA51CF"/>
    <w:rsid w:val="00DA51EB"/>
    <w:rsid w:val="00DA5231"/>
    <w:rsid w:val="00DA5254"/>
    <w:rsid w:val="00DA530C"/>
    <w:rsid w:val="00DA5384"/>
    <w:rsid w:val="00DA543C"/>
    <w:rsid w:val="00DA5517"/>
    <w:rsid w:val="00DA5560"/>
    <w:rsid w:val="00DA5565"/>
    <w:rsid w:val="00DA56C9"/>
    <w:rsid w:val="00DA573D"/>
    <w:rsid w:val="00DA5801"/>
    <w:rsid w:val="00DA5842"/>
    <w:rsid w:val="00DA5937"/>
    <w:rsid w:val="00DA5956"/>
    <w:rsid w:val="00DA599D"/>
    <w:rsid w:val="00DA5A74"/>
    <w:rsid w:val="00DA5B3F"/>
    <w:rsid w:val="00DA5C0E"/>
    <w:rsid w:val="00DA5C39"/>
    <w:rsid w:val="00DA5C50"/>
    <w:rsid w:val="00DA5C99"/>
    <w:rsid w:val="00DA5CA0"/>
    <w:rsid w:val="00DA5DD9"/>
    <w:rsid w:val="00DA5E49"/>
    <w:rsid w:val="00DA5E53"/>
    <w:rsid w:val="00DA5E5B"/>
    <w:rsid w:val="00DA5E6C"/>
    <w:rsid w:val="00DA603F"/>
    <w:rsid w:val="00DA622F"/>
    <w:rsid w:val="00DA62EA"/>
    <w:rsid w:val="00DA638C"/>
    <w:rsid w:val="00DA6447"/>
    <w:rsid w:val="00DA6497"/>
    <w:rsid w:val="00DA66C9"/>
    <w:rsid w:val="00DA66EC"/>
    <w:rsid w:val="00DA6803"/>
    <w:rsid w:val="00DA6856"/>
    <w:rsid w:val="00DA685F"/>
    <w:rsid w:val="00DA6908"/>
    <w:rsid w:val="00DA6911"/>
    <w:rsid w:val="00DA6955"/>
    <w:rsid w:val="00DA6AB7"/>
    <w:rsid w:val="00DA6B7E"/>
    <w:rsid w:val="00DA6B82"/>
    <w:rsid w:val="00DA6BB9"/>
    <w:rsid w:val="00DA6D92"/>
    <w:rsid w:val="00DA6DB7"/>
    <w:rsid w:val="00DA6E2E"/>
    <w:rsid w:val="00DA6E3D"/>
    <w:rsid w:val="00DA6EA2"/>
    <w:rsid w:val="00DA6F96"/>
    <w:rsid w:val="00DA70C9"/>
    <w:rsid w:val="00DA7239"/>
    <w:rsid w:val="00DA7281"/>
    <w:rsid w:val="00DA729F"/>
    <w:rsid w:val="00DA7307"/>
    <w:rsid w:val="00DA7518"/>
    <w:rsid w:val="00DA7631"/>
    <w:rsid w:val="00DA770D"/>
    <w:rsid w:val="00DA772C"/>
    <w:rsid w:val="00DA7848"/>
    <w:rsid w:val="00DA7897"/>
    <w:rsid w:val="00DA78B1"/>
    <w:rsid w:val="00DA7A92"/>
    <w:rsid w:val="00DA7B36"/>
    <w:rsid w:val="00DA7B88"/>
    <w:rsid w:val="00DA7BB0"/>
    <w:rsid w:val="00DA7C15"/>
    <w:rsid w:val="00DA7C25"/>
    <w:rsid w:val="00DA7D22"/>
    <w:rsid w:val="00DA7D7C"/>
    <w:rsid w:val="00DA7DE9"/>
    <w:rsid w:val="00DA7DF0"/>
    <w:rsid w:val="00DA7E33"/>
    <w:rsid w:val="00DA7F23"/>
    <w:rsid w:val="00DA7FEB"/>
    <w:rsid w:val="00DA7FF5"/>
    <w:rsid w:val="00DAF625"/>
    <w:rsid w:val="00DB0069"/>
    <w:rsid w:val="00DB009E"/>
    <w:rsid w:val="00DB00E3"/>
    <w:rsid w:val="00DB0105"/>
    <w:rsid w:val="00DB012D"/>
    <w:rsid w:val="00DB02A3"/>
    <w:rsid w:val="00DB02AD"/>
    <w:rsid w:val="00DB0343"/>
    <w:rsid w:val="00DB03D2"/>
    <w:rsid w:val="00DB0471"/>
    <w:rsid w:val="00DB0473"/>
    <w:rsid w:val="00DB04EF"/>
    <w:rsid w:val="00DB05B2"/>
    <w:rsid w:val="00DB064D"/>
    <w:rsid w:val="00DB0789"/>
    <w:rsid w:val="00DB07D2"/>
    <w:rsid w:val="00DB07DD"/>
    <w:rsid w:val="00DB09B3"/>
    <w:rsid w:val="00DB09F8"/>
    <w:rsid w:val="00DB0A21"/>
    <w:rsid w:val="00DB0A3A"/>
    <w:rsid w:val="00DB0B0C"/>
    <w:rsid w:val="00DB0B3E"/>
    <w:rsid w:val="00DB0B53"/>
    <w:rsid w:val="00DB0B5D"/>
    <w:rsid w:val="00DB0BAD"/>
    <w:rsid w:val="00DB0C9A"/>
    <w:rsid w:val="00DB0CC6"/>
    <w:rsid w:val="00DB0D60"/>
    <w:rsid w:val="00DB0DD7"/>
    <w:rsid w:val="00DB0E7C"/>
    <w:rsid w:val="00DB0EAE"/>
    <w:rsid w:val="00DB104F"/>
    <w:rsid w:val="00DB12F5"/>
    <w:rsid w:val="00DB1376"/>
    <w:rsid w:val="00DB1405"/>
    <w:rsid w:val="00DB1516"/>
    <w:rsid w:val="00DB1593"/>
    <w:rsid w:val="00DB15DA"/>
    <w:rsid w:val="00DB1899"/>
    <w:rsid w:val="00DB18E8"/>
    <w:rsid w:val="00DB1A6F"/>
    <w:rsid w:val="00DB1AB7"/>
    <w:rsid w:val="00DB1B70"/>
    <w:rsid w:val="00DB1BBD"/>
    <w:rsid w:val="00DB1C22"/>
    <w:rsid w:val="00DB1C85"/>
    <w:rsid w:val="00DB1E47"/>
    <w:rsid w:val="00DB1E8F"/>
    <w:rsid w:val="00DB1F46"/>
    <w:rsid w:val="00DB1FB6"/>
    <w:rsid w:val="00DB202F"/>
    <w:rsid w:val="00DB203C"/>
    <w:rsid w:val="00DB21F7"/>
    <w:rsid w:val="00DB224F"/>
    <w:rsid w:val="00DB22AD"/>
    <w:rsid w:val="00DB2452"/>
    <w:rsid w:val="00DB246F"/>
    <w:rsid w:val="00DB25FF"/>
    <w:rsid w:val="00DB2608"/>
    <w:rsid w:val="00DB26D9"/>
    <w:rsid w:val="00DB2782"/>
    <w:rsid w:val="00DB2859"/>
    <w:rsid w:val="00DB2A3A"/>
    <w:rsid w:val="00DB2A5E"/>
    <w:rsid w:val="00DB2B75"/>
    <w:rsid w:val="00DB2C09"/>
    <w:rsid w:val="00DB2C34"/>
    <w:rsid w:val="00DB2C5D"/>
    <w:rsid w:val="00DB2C8A"/>
    <w:rsid w:val="00DB2CC6"/>
    <w:rsid w:val="00DB2D0C"/>
    <w:rsid w:val="00DB2E2D"/>
    <w:rsid w:val="00DB2E5F"/>
    <w:rsid w:val="00DB3081"/>
    <w:rsid w:val="00DB31EE"/>
    <w:rsid w:val="00DB3315"/>
    <w:rsid w:val="00DB343E"/>
    <w:rsid w:val="00DB346F"/>
    <w:rsid w:val="00DB3477"/>
    <w:rsid w:val="00DB350C"/>
    <w:rsid w:val="00DB351B"/>
    <w:rsid w:val="00DB35AC"/>
    <w:rsid w:val="00DB3653"/>
    <w:rsid w:val="00DB368C"/>
    <w:rsid w:val="00DB36F2"/>
    <w:rsid w:val="00DB37BC"/>
    <w:rsid w:val="00DB37EE"/>
    <w:rsid w:val="00DB382B"/>
    <w:rsid w:val="00DB383E"/>
    <w:rsid w:val="00DB38BD"/>
    <w:rsid w:val="00DB38F6"/>
    <w:rsid w:val="00DB38F9"/>
    <w:rsid w:val="00DB3919"/>
    <w:rsid w:val="00DB39DB"/>
    <w:rsid w:val="00DB3A2A"/>
    <w:rsid w:val="00DB3AA2"/>
    <w:rsid w:val="00DB3B27"/>
    <w:rsid w:val="00DB3B6D"/>
    <w:rsid w:val="00DB3C75"/>
    <w:rsid w:val="00DB3CA7"/>
    <w:rsid w:val="00DB3E21"/>
    <w:rsid w:val="00DB3E6A"/>
    <w:rsid w:val="00DB3E7F"/>
    <w:rsid w:val="00DB3E9E"/>
    <w:rsid w:val="00DB3F2E"/>
    <w:rsid w:val="00DB3F63"/>
    <w:rsid w:val="00DB3F6D"/>
    <w:rsid w:val="00DB3FD4"/>
    <w:rsid w:val="00DB4088"/>
    <w:rsid w:val="00DB41CF"/>
    <w:rsid w:val="00DB42A1"/>
    <w:rsid w:val="00DB42E5"/>
    <w:rsid w:val="00DB43F0"/>
    <w:rsid w:val="00DB4438"/>
    <w:rsid w:val="00DB456A"/>
    <w:rsid w:val="00DB46A4"/>
    <w:rsid w:val="00DB46F8"/>
    <w:rsid w:val="00DB48A4"/>
    <w:rsid w:val="00DB4944"/>
    <w:rsid w:val="00DB494D"/>
    <w:rsid w:val="00DB495F"/>
    <w:rsid w:val="00DB49EC"/>
    <w:rsid w:val="00DB4A27"/>
    <w:rsid w:val="00DB4A91"/>
    <w:rsid w:val="00DB4C32"/>
    <w:rsid w:val="00DB4D2A"/>
    <w:rsid w:val="00DB4D81"/>
    <w:rsid w:val="00DB4E06"/>
    <w:rsid w:val="00DB4E26"/>
    <w:rsid w:val="00DB4ED3"/>
    <w:rsid w:val="00DB4F7C"/>
    <w:rsid w:val="00DB4FBC"/>
    <w:rsid w:val="00DB4FD8"/>
    <w:rsid w:val="00DB4FE0"/>
    <w:rsid w:val="00DB509E"/>
    <w:rsid w:val="00DB532A"/>
    <w:rsid w:val="00DB5365"/>
    <w:rsid w:val="00DB5428"/>
    <w:rsid w:val="00DB5470"/>
    <w:rsid w:val="00DB54C3"/>
    <w:rsid w:val="00DB54D7"/>
    <w:rsid w:val="00DB55B8"/>
    <w:rsid w:val="00DB5638"/>
    <w:rsid w:val="00DB579C"/>
    <w:rsid w:val="00DB585C"/>
    <w:rsid w:val="00DB594B"/>
    <w:rsid w:val="00DB59AD"/>
    <w:rsid w:val="00DB59E2"/>
    <w:rsid w:val="00DB59EA"/>
    <w:rsid w:val="00DB5A35"/>
    <w:rsid w:val="00DB5BE2"/>
    <w:rsid w:val="00DB5BFD"/>
    <w:rsid w:val="00DB5E3C"/>
    <w:rsid w:val="00DB5EF1"/>
    <w:rsid w:val="00DB5EF6"/>
    <w:rsid w:val="00DB5F52"/>
    <w:rsid w:val="00DB60F2"/>
    <w:rsid w:val="00DB62A6"/>
    <w:rsid w:val="00DB630A"/>
    <w:rsid w:val="00DB6364"/>
    <w:rsid w:val="00DB6366"/>
    <w:rsid w:val="00DB6430"/>
    <w:rsid w:val="00DB6510"/>
    <w:rsid w:val="00DB6534"/>
    <w:rsid w:val="00DB6676"/>
    <w:rsid w:val="00DB66A3"/>
    <w:rsid w:val="00DB66EE"/>
    <w:rsid w:val="00DB6877"/>
    <w:rsid w:val="00DB68DA"/>
    <w:rsid w:val="00DB6934"/>
    <w:rsid w:val="00DB6985"/>
    <w:rsid w:val="00DB6A8F"/>
    <w:rsid w:val="00DB6AF1"/>
    <w:rsid w:val="00DB6BB4"/>
    <w:rsid w:val="00DB6BFE"/>
    <w:rsid w:val="00DB6CED"/>
    <w:rsid w:val="00DB6D0D"/>
    <w:rsid w:val="00DB6D25"/>
    <w:rsid w:val="00DB6D2F"/>
    <w:rsid w:val="00DB6E22"/>
    <w:rsid w:val="00DB6EF5"/>
    <w:rsid w:val="00DB6FDA"/>
    <w:rsid w:val="00DB7029"/>
    <w:rsid w:val="00DB7126"/>
    <w:rsid w:val="00DB715C"/>
    <w:rsid w:val="00DB71E4"/>
    <w:rsid w:val="00DB72EE"/>
    <w:rsid w:val="00DB7327"/>
    <w:rsid w:val="00DB73CD"/>
    <w:rsid w:val="00DB748E"/>
    <w:rsid w:val="00DB74F2"/>
    <w:rsid w:val="00DB76FD"/>
    <w:rsid w:val="00DB7759"/>
    <w:rsid w:val="00DB79F8"/>
    <w:rsid w:val="00DB7AD1"/>
    <w:rsid w:val="00DB7B07"/>
    <w:rsid w:val="00DB7C18"/>
    <w:rsid w:val="00DB7C32"/>
    <w:rsid w:val="00DB7C5E"/>
    <w:rsid w:val="00DB7CD4"/>
    <w:rsid w:val="00DB7CDA"/>
    <w:rsid w:val="00DB7D14"/>
    <w:rsid w:val="00DB7D59"/>
    <w:rsid w:val="00DB7D7A"/>
    <w:rsid w:val="00DB7DC2"/>
    <w:rsid w:val="00DB7E14"/>
    <w:rsid w:val="00DB7E18"/>
    <w:rsid w:val="00DB7E56"/>
    <w:rsid w:val="00DB7E59"/>
    <w:rsid w:val="00DB7EA2"/>
    <w:rsid w:val="00DB7EC9"/>
    <w:rsid w:val="00DB7FEC"/>
    <w:rsid w:val="00DB7FF6"/>
    <w:rsid w:val="00DBA4D7"/>
    <w:rsid w:val="00DC0057"/>
    <w:rsid w:val="00DC009C"/>
    <w:rsid w:val="00DC00D3"/>
    <w:rsid w:val="00DC0139"/>
    <w:rsid w:val="00DC0153"/>
    <w:rsid w:val="00DC0353"/>
    <w:rsid w:val="00DC0524"/>
    <w:rsid w:val="00DC0542"/>
    <w:rsid w:val="00DC059C"/>
    <w:rsid w:val="00DC08E2"/>
    <w:rsid w:val="00DC08FA"/>
    <w:rsid w:val="00DC095A"/>
    <w:rsid w:val="00DC0992"/>
    <w:rsid w:val="00DC0AC0"/>
    <w:rsid w:val="00DC0AF7"/>
    <w:rsid w:val="00DC0BE5"/>
    <w:rsid w:val="00DC0C44"/>
    <w:rsid w:val="00DC0C5A"/>
    <w:rsid w:val="00DC0C9F"/>
    <w:rsid w:val="00DC0D89"/>
    <w:rsid w:val="00DC0E3A"/>
    <w:rsid w:val="00DC0E67"/>
    <w:rsid w:val="00DC100D"/>
    <w:rsid w:val="00DC1057"/>
    <w:rsid w:val="00DC10D2"/>
    <w:rsid w:val="00DC12E1"/>
    <w:rsid w:val="00DC1364"/>
    <w:rsid w:val="00DC1389"/>
    <w:rsid w:val="00DC139B"/>
    <w:rsid w:val="00DC14E1"/>
    <w:rsid w:val="00DC1560"/>
    <w:rsid w:val="00DC15D5"/>
    <w:rsid w:val="00DC1872"/>
    <w:rsid w:val="00DC18AA"/>
    <w:rsid w:val="00DC195A"/>
    <w:rsid w:val="00DC1A03"/>
    <w:rsid w:val="00DC1A6A"/>
    <w:rsid w:val="00DC1BC3"/>
    <w:rsid w:val="00DC1C07"/>
    <w:rsid w:val="00DC1F66"/>
    <w:rsid w:val="00DC203D"/>
    <w:rsid w:val="00DC2098"/>
    <w:rsid w:val="00DC21EB"/>
    <w:rsid w:val="00DC224B"/>
    <w:rsid w:val="00DC22E4"/>
    <w:rsid w:val="00DC2370"/>
    <w:rsid w:val="00DC23E6"/>
    <w:rsid w:val="00DC23FD"/>
    <w:rsid w:val="00DC2401"/>
    <w:rsid w:val="00DC25AF"/>
    <w:rsid w:val="00DC25C3"/>
    <w:rsid w:val="00DC25CB"/>
    <w:rsid w:val="00DC26F4"/>
    <w:rsid w:val="00DC28E8"/>
    <w:rsid w:val="00DC2912"/>
    <w:rsid w:val="00DC295F"/>
    <w:rsid w:val="00DC29DA"/>
    <w:rsid w:val="00DC2A29"/>
    <w:rsid w:val="00DC2AA0"/>
    <w:rsid w:val="00DC2AB7"/>
    <w:rsid w:val="00DC2AE4"/>
    <w:rsid w:val="00DC2B38"/>
    <w:rsid w:val="00DC2C33"/>
    <w:rsid w:val="00DC2C4B"/>
    <w:rsid w:val="00DC2D90"/>
    <w:rsid w:val="00DC2D9C"/>
    <w:rsid w:val="00DC2E96"/>
    <w:rsid w:val="00DC2EDC"/>
    <w:rsid w:val="00DC2F69"/>
    <w:rsid w:val="00DC2FD8"/>
    <w:rsid w:val="00DC2FF8"/>
    <w:rsid w:val="00DC30A9"/>
    <w:rsid w:val="00DC30E7"/>
    <w:rsid w:val="00DC30FA"/>
    <w:rsid w:val="00DC311C"/>
    <w:rsid w:val="00DC3163"/>
    <w:rsid w:val="00DC3198"/>
    <w:rsid w:val="00DC31F3"/>
    <w:rsid w:val="00DC32D7"/>
    <w:rsid w:val="00DC33A7"/>
    <w:rsid w:val="00DC33BA"/>
    <w:rsid w:val="00DC3419"/>
    <w:rsid w:val="00DC35EB"/>
    <w:rsid w:val="00DC3698"/>
    <w:rsid w:val="00DC36CE"/>
    <w:rsid w:val="00DC37E2"/>
    <w:rsid w:val="00DC37EC"/>
    <w:rsid w:val="00DC381C"/>
    <w:rsid w:val="00DC38C9"/>
    <w:rsid w:val="00DC39B5"/>
    <w:rsid w:val="00DC39E7"/>
    <w:rsid w:val="00DC3ADE"/>
    <w:rsid w:val="00DC3B2B"/>
    <w:rsid w:val="00DC3B73"/>
    <w:rsid w:val="00DC3C45"/>
    <w:rsid w:val="00DC3C58"/>
    <w:rsid w:val="00DC3C8B"/>
    <w:rsid w:val="00DC3CDF"/>
    <w:rsid w:val="00DC3D35"/>
    <w:rsid w:val="00DC3D86"/>
    <w:rsid w:val="00DC3EE2"/>
    <w:rsid w:val="00DC3F1F"/>
    <w:rsid w:val="00DC3F30"/>
    <w:rsid w:val="00DC3F54"/>
    <w:rsid w:val="00DC3FB5"/>
    <w:rsid w:val="00DC4033"/>
    <w:rsid w:val="00DC4055"/>
    <w:rsid w:val="00DC4067"/>
    <w:rsid w:val="00DC407F"/>
    <w:rsid w:val="00DC40FC"/>
    <w:rsid w:val="00DC43DC"/>
    <w:rsid w:val="00DC4405"/>
    <w:rsid w:val="00DC4421"/>
    <w:rsid w:val="00DC4459"/>
    <w:rsid w:val="00DC4495"/>
    <w:rsid w:val="00DC4529"/>
    <w:rsid w:val="00DC456E"/>
    <w:rsid w:val="00DC4598"/>
    <w:rsid w:val="00DC4644"/>
    <w:rsid w:val="00DC4713"/>
    <w:rsid w:val="00DC472B"/>
    <w:rsid w:val="00DC481C"/>
    <w:rsid w:val="00DC4862"/>
    <w:rsid w:val="00DC489E"/>
    <w:rsid w:val="00DC48C4"/>
    <w:rsid w:val="00DC49C9"/>
    <w:rsid w:val="00DC4AD4"/>
    <w:rsid w:val="00DC4BF3"/>
    <w:rsid w:val="00DC4C5B"/>
    <w:rsid w:val="00DC4D4F"/>
    <w:rsid w:val="00DC4E0B"/>
    <w:rsid w:val="00DC4E3F"/>
    <w:rsid w:val="00DC4EE6"/>
    <w:rsid w:val="00DC50E5"/>
    <w:rsid w:val="00DC50EE"/>
    <w:rsid w:val="00DC5158"/>
    <w:rsid w:val="00DC5197"/>
    <w:rsid w:val="00DC51C3"/>
    <w:rsid w:val="00DC5206"/>
    <w:rsid w:val="00DC52F7"/>
    <w:rsid w:val="00DC5306"/>
    <w:rsid w:val="00DC5315"/>
    <w:rsid w:val="00DC534A"/>
    <w:rsid w:val="00DC5351"/>
    <w:rsid w:val="00DC5369"/>
    <w:rsid w:val="00DC54BE"/>
    <w:rsid w:val="00DC5568"/>
    <w:rsid w:val="00DC584E"/>
    <w:rsid w:val="00DC5940"/>
    <w:rsid w:val="00DC5BFC"/>
    <w:rsid w:val="00DC5C65"/>
    <w:rsid w:val="00DC5CC0"/>
    <w:rsid w:val="00DC5CFE"/>
    <w:rsid w:val="00DC5D08"/>
    <w:rsid w:val="00DC5D6C"/>
    <w:rsid w:val="00DC5F1D"/>
    <w:rsid w:val="00DC605D"/>
    <w:rsid w:val="00DC606D"/>
    <w:rsid w:val="00DC607A"/>
    <w:rsid w:val="00DC60A8"/>
    <w:rsid w:val="00DC60A9"/>
    <w:rsid w:val="00DC60BF"/>
    <w:rsid w:val="00DC61FA"/>
    <w:rsid w:val="00DC63C4"/>
    <w:rsid w:val="00DC6483"/>
    <w:rsid w:val="00DC6491"/>
    <w:rsid w:val="00DC652E"/>
    <w:rsid w:val="00DC66E7"/>
    <w:rsid w:val="00DC67A1"/>
    <w:rsid w:val="00DC694C"/>
    <w:rsid w:val="00DC6950"/>
    <w:rsid w:val="00DC69AC"/>
    <w:rsid w:val="00DC69C8"/>
    <w:rsid w:val="00DC6A0D"/>
    <w:rsid w:val="00DC6A72"/>
    <w:rsid w:val="00DC6AF8"/>
    <w:rsid w:val="00DC6BCC"/>
    <w:rsid w:val="00DC6DE9"/>
    <w:rsid w:val="00DC6E20"/>
    <w:rsid w:val="00DC6E47"/>
    <w:rsid w:val="00DC6EF1"/>
    <w:rsid w:val="00DC6F1C"/>
    <w:rsid w:val="00DC701D"/>
    <w:rsid w:val="00DC707F"/>
    <w:rsid w:val="00DC724C"/>
    <w:rsid w:val="00DC72D5"/>
    <w:rsid w:val="00DC7434"/>
    <w:rsid w:val="00DC758D"/>
    <w:rsid w:val="00DC75CD"/>
    <w:rsid w:val="00DC7645"/>
    <w:rsid w:val="00DC76C0"/>
    <w:rsid w:val="00DC76EA"/>
    <w:rsid w:val="00DC7743"/>
    <w:rsid w:val="00DC7835"/>
    <w:rsid w:val="00DC7848"/>
    <w:rsid w:val="00DC7872"/>
    <w:rsid w:val="00DC790B"/>
    <w:rsid w:val="00DC797A"/>
    <w:rsid w:val="00DC7A31"/>
    <w:rsid w:val="00DC7A5E"/>
    <w:rsid w:val="00DC7AA5"/>
    <w:rsid w:val="00DC7AFD"/>
    <w:rsid w:val="00DC7B46"/>
    <w:rsid w:val="00DC7BE9"/>
    <w:rsid w:val="00DC7C2D"/>
    <w:rsid w:val="00DC7C41"/>
    <w:rsid w:val="00DC7C56"/>
    <w:rsid w:val="00DC7CB7"/>
    <w:rsid w:val="00DC7D42"/>
    <w:rsid w:val="00DC7D63"/>
    <w:rsid w:val="00DC7D74"/>
    <w:rsid w:val="00DC7DD2"/>
    <w:rsid w:val="00DC7E6E"/>
    <w:rsid w:val="00DC8563"/>
    <w:rsid w:val="00DCA9AB"/>
    <w:rsid w:val="00DD011E"/>
    <w:rsid w:val="00DD014D"/>
    <w:rsid w:val="00DD019F"/>
    <w:rsid w:val="00DD01DB"/>
    <w:rsid w:val="00DD03CF"/>
    <w:rsid w:val="00DD044D"/>
    <w:rsid w:val="00DD0499"/>
    <w:rsid w:val="00DD04B7"/>
    <w:rsid w:val="00DD0556"/>
    <w:rsid w:val="00DD062A"/>
    <w:rsid w:val="00DD063C"/>
    <w:rsid w:val="00DD06E2"/>
    <w:rsid w:val="00DD07ED"/>
    <w:rsid w:val="00DD082F"/>
    <w:rsid w:val="00DD096A"/>
    <w:rsid w:val="00DD096E"/>
    <w:rsid w:val="00DD09CF"/>
    <w:rsid w:val="00DD0B46"/>
    <w:rsid w:val="00DD0B50"/>
    <w:rsid w:val="00DD0D05"/>
    <w:rsid w:val="00DD0D1C"/>
    <w:rsid w:val="00DD0D8B"/>
    <w:rsid w:val="00DD0DC1"/>
    <w:rsid w:val="00DD0DFE"/>
    <w:rsid w:val="00DD0E63"/>
    <w:rsid w:val="00DD0E66"/>
    <w:rsid w:val="00DD0EAB"/>
    <w:rsid w:val="00DD0EE3"/>
    <w:rsid w:val="00DD0FFB"/>
    <w:rsid w:val="00DD1009"/>
    <w:rsid w:val="00DD100F"/>
    <w:rsid w:val="00DD1053"/>
    <w:rsid w:val="00DD1111"/>
    <w:rsid w:val="00DD13A7"/>
    <w:rsid w:val="00DD13C8"/>
    <w:rsid w:val="00DD148E"/>
    <w:rsid w:val="00DD14BC"/>
    <w:rsid w:val="00DD1553"/>
    <w:rsid w:val="00DD1573"/>
    <w:rsid w:val="00DD159E"/>
    <w:rsid w:val="00DD1718"/>
    <w:rsid w:val="00DD1825"/>
    <w:rsid w:val="00DD1866"/>
    <w:rsid w:val="00DD189C"/>
    <w:rsid w:val="00DD18D6"/>
    <w:rsid w:val="00DD1A01"/>
    <w:rsid w:val="00DD1AB6"/>
    <w:rsid w:val="00DD1B0B"/>
    <w:rsid w:val="00DD1B66"/>
    <w:rsid w:val="00DD1BC0"/>
    <w:rsid w:val="00DD1C36"/>
    <w:rsid w:val="00DD1D47"/>
    <w:rsid w:val="00DD1D99"/>
    <w:rsid w:val="00DD1E28"/>
    <w:rsid w:val="00DD1FB6"/>
    <w:rsid w:val="00DD207B"/>
    <w:rsid w:val="00DD222C"/>
    <w:rsid w:val="00DD2283"/>
    <w:rsid w:val="00DD2445"/>
    <w:rsid w:val="00DD2479"/>
    <w:rsid w:val="00DD255E"/>
    <w:rsid w:val="00DD2560"/>
    <w:rsid w:val="00DD2595"/>
    <w:rsid w:val="00DD25B5"/>
    <w:rsid w:val="00DD260D"/>
    <w:rsid w:val="00DD2626"/>
    <w:rsid w:val="00DD262A"/>
    <w:rsid w:val="00DD2688"/>
    <w:rsid w:val="00DD2760"/>
    <w:rsid w:val="00DD2793"/>
    <w:rsid w:val="00DD28C3"/>
    <w:rsid w:val="00DD292C"/>
    <w:rsid w:val="00DD2940"/>
    <w:rsid w:val="00DD2949"/>
    <w:rsid w:val="00DD298A"/>
    <w:rsid w:val="00DD2A03"/>
    <w:rsid w:val="00DD2A09"/>
    <w:rsid w:val="00DD2A90"/>
    <w:rsid w:val="00DD2AEB"/>
    <w:rsid w:val="00DD2B7E"/>
    <w:rsid w:val="00DD2BE6"/>
    <w:rsid w:val="00DD2E9D"/>
    <w:rsid w:val="00DD2EA9"/>
    <w:rsid w:val="00DD2EBE"/>
    <w:rsid w:val="00DD2F5E"/>
    <w:rsid w:val="00DD2F81"/>
    <w:rsid w:val="00DD2FDD"/>
    <w:rsid w:val="00DD3162"/>
    <w:rsid w:val="00DD3287"/>
    <w:rsid w:val="00DD335B"/>
    <w:rsid w:val="00DD33BB"/>
    <w:rsid w:val="00DD33DD"/>
    <w:rsid w:val="00DD33DE"/>
    <w:rsid w:val="00DD3405"/>
    <w:rsid w:val="00DD3435"/>
    <w:rsid w:val="00DD34DD"/>
    <w:rsid w:val="00DD351E"/>
    <w:rsid w:val="00DD358D"/>
    <w:rsid w:val="00DD35D1"/>
    <w:rsid w:val="00DD366E"/>
    <w:rsid w:val="00DD36C5"/>
    <w:rsid w:val="00DD382A"/>
    <w:rsid w:val="00DD382E"/>
    <w:rsid w:val="00DD39B9"/>
    <w:rsid w:val="00DD3A03"/>
    <w:rsid w:val="00DD3A5B"/>
    <w:rsid w:val="00DD3BBB"/>
    <w:rsid w:val="00DD3C14"/>
    <w:rsid w:val="00DD3C1A"/>
    <w:rsid w:val="00DD3C23"/>
    <w:rsid w:val="00DD3D31"/>
    <w:rsid w:val="00DD3D7A"/>
    <w:rsid w:val="00DD3D84"/>
    <w:rsid w:val="00DD3DC7"/>
    <w:rsid w:val="00DD3DDA"/>
    <w:rsid w:val="00DD3E34"/>
    <w:rsid w:val="00DD3E51"/>
    <w:rsid w:val="00DD3E86"/>
    <w:rsid w:val="00DD3EB7"/>
    <w:rsid w:val="00DD3F59"/>
    <w:rsid w:val="00DD3F87"/>
    <w:rsid w:val="00DD400C"/>
    <w:rsid w:val="00DD40CF"/>
    <w:rsid w:val="00DD4153"/>
    <w:rsid w:val="00DD41C4"/>
    <w:rsid w:val="00DD41E5"/>
    <w:rsid w:val="00DD4211"/>
    <w:rsid w:val="00DD4215"/>
    <w:rsid w:val="00DD425D"/>
    <w:rsid w:val="00DD432E"/>
    <w:rsid w:val="00DD43A3"/>
    <w:rsid w:val="00DD43CF"/>
    <w:rsid w:val="00DD443D"/>
    <w:rsid w:val="00DD443E"/>
    <w:rsid w:val="00DD44EA"/>
    <w:rsid w:val="00DD4596"/>
    <w:rsid w:val="00DD466C"/>
    <w:rsid w:val="00DD47CD"/>
    <w:rsid w:val="00DD47DF"/>
    <w:rsid w:val="00DD4895"/>
    <w:rsid w:val="00DD48B7"/>
    <w:rsid w:val="00DD48B9"/>
    <w:rsid w:val="00DD4A3E"/>
    <w:rsid w:val="00DD4A75"/>
    <w:rsid w:val="00DD4BCE"/>
    <w:rsid w:val="00DD4BD9"/>
    <w:rsid w:val="00DD4D21"/>
    <w:rsid w:val="00DD4DDE"/>
    <w:rsid w:val="00DD4EDC"/>
    <w:rsid w:val="00DD4F7E"/>
    <w:rsid w:val="00DD4FBB"/>
    <w:rsid w:val="00DD4FFC"/>
    <w:rsid w:val="00DD5049"/>
    <w:rsid w:val="00DD5163"/>
    <w:rsid w:val="00DD5176"/>
    <w:rsid w:val="00DD51EA"/>
    <w:rsid w:val="00DD5222"/>
    <w:rsid w:val="00DD5260"/>
    <w:rsid w:val="00DD52C5"/>
    <w:rsid w:val="00DD5341"/>
    <w:rsid w:val="00DD5346"/>
    <w:rsid w:val="00DD538D"/>
    <w:rsid w:val="00DD5548"/>
    <w:rsid w:val="00DD56A6"/>
    <w:rsid w:val="00DD56AC"/>
    <w:rsid w:val="00DD56DF"/>
    <w:rsid w:val="00DD571B"/>
    <w:rsid w:val="00DD57D5"/>
    <w:rsid w:val="00DD57E0"/>
    <w:rsid w:val="00DD5834"/>
    <w:rsid w:val="00DD585C"/>
    <w:rsid w:val="00DD5877"/>
    <w:rsid w:val="00DD58E3"/>
    <w:rsid w:val="00DD597D"/>
    <w:rsid w:val="00DD5AB2"/>
    <w:rsid w:val="00DD5AB7"/>
    <w:rsid w:val="00DD5ACF"/>
    <w:rsid w:val="00DD5AED"/>
    <w:rsid w:val="00DD5C43"/>
    <w:rsid w:val="00DD5E8C"/>
    <w:rsid w:val="00DD5F39"/>
    <w:rsid w:val="00DD6073"/>
    <w:rsid w:val="00DD608D"/>
    <w:rsid w:val="00DD6196"/>
    <w:rsid w:val="00DD61CF"/>
    <w:rsid w:val="00DD624F"/>
    <w:rsid w:val="00DD6347"/>
    <w:rsid w:val="00DD641A"/>
    <w:rsid w:val="00DD644F"/>
    <w:rsid w:val="00DD647A"/>
    <w:rsid w:val="00DD647F"/>
    <w:rsid w:val="00DD64C0"/>
    <w:rsid w:val="00DD655D"/>
    <w:rsid w:val="00DD666B"/>
    <w:rsid w:val="00DD67BB"/>
    <w:rsid w:val="00DD67C0"/>
    <w:rsid w:val="00DD67DF"/>
    <w:rsid w:val="00DD6812"/>
    <w:rsid w:val="00DD68A5"/>
    <w:rsid w:val="00DD6B45"/>
    <w:rsid w:val="00DD6C48"/>
    <w:rsid w:val="00DD6CB1"/>
    <w:rsid w:val="00DD6CBB"/>
    <w:rsid w:val="00DD6E2F"/>
    <w:rsid w:val="00DD6E4C"/>
    <w:rsid w:val="00DD6EE9"/>
    <w:rsid w:val="00DD6F2B"/>
    <w:rsid w:val="00DD72F2"/>
    <w:rsid w:val="00DD73B6"/>
    <w:rsid w:val="00DD740E"/>
    <w:rsid w:val="00DD752A"/>
    <w:rsid w:val="00DD7729"/>
    <w:rsid w:val="00DD77D9"/>
    <w:rsid w:val="00DD7809"/>
    <w:rsid w:val="00DD783B"/>
    <w:rsid w:val="00DD78AA"/>
    <w:rsid w:val="00DD7A20"/>
    <w:rsid w:val="00DD7CCA"/>
    <w:rsid w:val="00DD7D5D"/>
    <w:rsid w:val="00DD7DA8"/>
    <w:rsid w:val="00DD7E1D"/>
    <w:rsid w:val="00DD7F67"/>
    <w:rsid w:val="00DD7FC2"/>
    <w:rsid w:val="00DD989B"/>
    <w:rsid w:val="00DE0103"/>
    <w:rsid w:val="00DE0130"/>
    <w:rsid w:val="00DE01A4"/>
    <w:rsid w:val="00DE01D8"/>
    <w:rsid w:val="00DE0226"/>
    <w:rsid w:val="00DE02C4"/>
    <w:rsid w:val="00DE02F2"/>
    <w:rsid w:val="00DE0315"/>
    <w:rsid w:val="00DE0359"/>
    <w:rsid w:val="00DE03CE"/>
    <w:rsid w:val="00DE041F"/>
    <w:rsid w:val="00DE0465"/>
    <w:rsid w:val="00DE0467"/>
    <w:rsid w:val="00DE05A0"/>
    <w:rsid w:val="00DE06D7"/>
    <w:rsid w:val="00DE0780"/>
    <w:rsid w:val="00DE0842"/>
    <w:rsid w:val="00DE087D"/>
    <w:rsid w:val="00DE08D0"/>
    <w:rsid w:val="00DE09E4"/>
    <w:rsid w:val="00DE0A7B"/>
    <w:rsid w:val="00DE0AD5"/>
    <w:rsid w:val="00DE0BEB"/>
    <w:rsid w:val="00DE0C29"/>
    <w:rsid w:val="00DE0D22"/>
    <w:rsid w:val="00DE0D9F"/>
    <w:rsid w:val="00DE0DB7"/>
    <w:rsid w:val="00DE0FC9"/>
    <w:rsid w:val="00DE101B"/>
    <w:rsid w:val="00DE103C"/>
    <w:rsid w:val="00DE10B2"/>
    <w:rsid w:val="00DE12D4"/>
    <w:rsid w:val="00DE1417"/>
    <w:rsid w:val="00DE1422"/>
    <w:rsid w:val="00DE153C"/>
    <w:rsid w:val="00DE158F"/>
    <w:rsid w:val="00DE160C"/>
    <w:rsid w:val="00DE169E"/>
    <w:rsid w:val="00DE1998"/>
    <w:rsid w:val="00DE1AAA"/>
    <w:rsid w:val="00DE1ACF"/>
    <w:rsid w:val="00DE1AD3"/>
    <w:rsid w:val="00DE1C0F"/>
    <w:rsid w:val="00DE1C4F"/>
    <w:rsid w:val="00DE1C85"/>
    <w:rsid w:val="00DE1D93"/>
    <w:rsid w:val="00DE1D96"/>
    <w:rsid w:val="00DE1E15"/>
    <w:rsid w:val="00DE1EE1"/>
    <w:rsid w:val="00DE1F5F"/>
    <w:rsid w:val="00DE1FDB"/>
    <w:rsid w:val="00DE20BC"/>
    <w:rsid w:val="00DE20FE"/>
    <w:rsid w:val="00DE2184"/>
    <w:rsid w:val="00DE221C"/>
    <w:rsid w:val="00DE2247"/>
    <w:rsid w:val="00DE2305"/>
    <w:rsid w:val="00DE2347"/>
    <w:rsid w:val="00DE2387"/>
    <w:rsid w:val="00DE2440"/>
    <w:rsid w:val="00DE2485"/>
    <w:rsid w:val="00DE24D9"/>
    <w:rsid w:val="00DE2500"/>
    <w:rsid w:val="00DE26F4"/>
    <w:rsid w:val="00DE2748"/>
    <w:rsid w:val="00DE29A4"/>
    <w:rsid w:val="00DE29D8"/>
    <w:rsid w:val="00DE2A19"/>
    <w:rsid w:val="00DE2B13"/>
    <w:rsid w:val="00DE2B44"/>
    <w:rsid w:val="00DE2BDC"/>
    <w:rsid w:val="00DE2C16"/>
    <w:rsid w:val="00DE2C93"/>
    <w:rsid w:val="00DE2D29"/>
    <w:rsid w:val="00DE2D30"/>
    <w:rsid w:val="00DE2DBF"/>
    <w:rsid w:val="00DE2EFC"/>
    <w:rsid w:val="00DE3008"/>
    <w:rsid w:val="00DE311C"/>
    <w:rsid w:val="00DE313B"/>
    <w:rsid w:val="00DE3174"/>
    <w:rsid w:val="00DE322D"/>
    <w:rsid w:val="00DE32E8"/>
    <w:rsid w:val="00DE3308"/>
    <w:rsid w:val="00DE330D"/>
    <w:rsid w:val="00DE3324"/>
    <w:rsid w:val="00DE34B4"/>
    <w:rsid w:val="00DE352A"/>
    <w:rsid w:val="00DE3535"/>
    <w:rsid w:val="00DE364B"/>
    <w:rsid w:val="00DE378E"/>
    <w:rsid w:val="00DE391D"/>
    <w:rsid w:val="00DE3982"/>
    <w:rsid w:val="00DE39CA"/>
    <w:rsid w:val="00DE3A21"/>
    <w:rsid w:val="00DE3A29"/>
    <w:rsid w:val="00DE3A84"/>
    <w:rsid w:val="00DE3AE9"/>
    <w:rsid w:val="00DE3BC7"/>
    <w:rsid w:val="00DE3C8C"/>
    <w:rsid w:val="00DE3D00"/>
    <w:rsid w:val="00DE3D78"/>
    <w:rsid w:val="00DE3DB2"/>
    <w:rsid w:val="00DE3E24"/>
    <w:rsid w:val="00DE3F90"/>
    <w:rsid w:val="00DE4014"/>
    <w:rsid w:val="00DE4083"/>
    <w:rsid w:val="00DE40AC"/>
    <w:rsid w:val="00DE4129"/>
    <w:rsid w:val="00DE415C"/>
    <w:rsid w:val="00DE425A"/>
    <w:rsid w:val="00DE4349"/>
    <w:rsid w:val="00DE43C7"/>
    <w:rsid w:val="00DE43EE"/>
    <w:rsid w:val="00DE443E"/>
    <w:rsid w:val="00DE4469"/>
    <w:rsid w:val="00DE44E9"/>
    <w:rsid w:val="00DE4595"/>
    <w:rsid w:val="00DE45AF"/>
    <w:rsid w:val="00DE4655"/>
    <w:rsid w:val="00DE4673"/>
    <w:rsid w:val="00DE4692"/>
    <w:rsid w:val="00DE477F"/>
    <w:rsid w:val="00DE47CA"/>
    <w:rsid w:val="00DE47D1"/>
    <w:rsid w:val="00DE482F"/>
    <w:rsid w:val="00DE49EF"/>
    <w:rsid w:val="00DE4A79"/>
    <w:rsid w:val="00DE4B33"/>
    <w:rsid w:val="00DE4B7E"/>
    <w:rsid w:val="00DE4B81"/>
    <w:rsid w:val="00DE4BE5"/>
    <w:rsid w:val="00DE4BE6"/>
    <w:rsid w:val="00DE4C80"/>
    <w:rsid w:val="00DE4CE7"/>
    <w:rsid w:val="00DE4DE9"/>
    <w:rsid w:val="00DE4DEF"/>
    <w:rsid w:val="00DE4E2A"/>
    <w:rsid w:val="00DE4ED6"/>
    <w:rsid w:val="00DE4F15"/>
    <w:rsid w:val="00DE4F78"/>
    <w:rsid w:val="00DE4FD4"/>
    <w:rsid w:val="00DE505B"/>
    <w:rsid w:val="00DE518C"/>
    <w:rsid w:val="00DE5193"/>
    <w:rsid w:val="00DE519A"/>
    <w:rsid w:val="00DE51A5"/>
    <w:rsid w:val="00DE51B7"/>
    <w:rsid w:val="00DE51D0"/>
    <w:rsid w:val="00DE523D"/>
    <w:rsid w:val="00DE5255"/>
    <w:rsid w:val="00DE5261"/>
    <w:rsid w:val="00DE52DE"/>
    <w:rsid w:val="00DE545C"/>
    <w:rsid w:val="00DE54A5"/>
    <w:rsid w:val="00DE54D2"/>
    <w:rsid w:val="00DE552E"/>
    <w:rsid w:val="00DE5655"/>
    <w:rsid w:val="00DE56C6"/>
    <w:rsid w:val="00DE5734"/>
    <w:rsid w:val="00DE57E3"/>
    <w:rsid w:val="00DE5816"/>
    <w:rsid w:val="00DE5984"/>
    <w:rsid w:val="00DE5A26"/>
    <w:rsid w:val="00DE5B03"/>
    <w:rsid w:val="00DE5C65"/>
    <w:rsid w:val="00DE5D63"/>
    <w:rsid w:val="00DE5DCD"/>
    <w:rsid w:val="00DE5E29"/>
    <w:rsid w:val="00DE5E81"/>
    <w:rsid w:val="00DE5EAA"/>
    <w:rsid w:val="00DE60EC"/>
    <w:rsid w:val="00DE6221"/>
    <w:rsid w:val="00DE6262"/>
    <w:rsid w:val="00DE6285"/>
    <w:rsid w:val="00DE6289"/>
    <w:rsid w:val="00DE62E7"/>
    <w:rsid w:val="00DE6307"/>
    <w:rsid w:val="00DE63E6"/>
    <w:rsid w:val="00DE6478"/>
    <w:rsid w:val="00DE64BD"/>
    <w:rsid w:val="00DE65A2"/>
    <w:rsid w:val="00DE6885"/>
    <w:rsid w:val="00DE6ADD"/>
    <w:rsid w:val="00DE6B35"/>
    <w:rsid w:val="00DE6C65"/>
    <w:rsid w:val="00DE6CE3"/>
    <w:rsid w:val="00DE6D0B"/>
    <w:rsid w:val="00DE6D89"/>
    <w:rsid w:val="00DE6DD6"/>
    <w:rsid w:val="00DE6E49"/>
    <w:rsid w:val="00DE6F03"/>
    <w:rsid w:val="00DE6F0F"/>
    <w:rsid w:val="00DE6F23"/>
    <w:rsid w:val="00DE7063"/>
    <w:rsid w:val="00DE7212"/>
    <w:rsid w:val="00DE7272"/>
    <w:rsid w:val="00DE72D0"/>
    <w:rsid w:val="00DE74E9"/>
    <w:rsid w:val="00DE75C8"/>
    <w:rsid w:val="00DE7832"/>
    <w:rsid w:val="00DE7844"/>
    <w:rsid w:val="00DE79D7"/>
    <w:rsid w:val="00DE7A92"/>
    <w:rsid w:val="00DE7B7D"/>
    <w:rsid w:val="00DE7BB6"/>
    <w:rsid w:val="00DE7BD5"/>
    <w:rsid w:val="00DE7C25"/>
    <w:rsid w:val="00DE7D30"/>
    <w:rsid w:val="00DE7E63"/>
    <w:rsid w:val="00DECB28"/>
    <w:rsid w:val="00DF007B"/>
    <w:rsid w:val="00DF0088"/>
    <w:rsid w:val="00DF0135"/>
    <w:rsid w:val="00DF0238"/>
    <w:rsid w:val="00DF032D"/>
    <w:rsid w:val="00DF0474"/>
    <w:rsid w:val="00DF0582"/>
    <w:rsid w:val="00DF063C"/>
    <w:rsid w:val="00DF06F6"/>
    <w:rsid w:val="00DF0700"/>
    <w:rsid w:val="00DF086A"/>
    <w:rsid w:val="00DF088C"/>
    <w:rsid w:val="00DF097C"/>
    <w:rsid w:val="00DF09B4"/>
    <w:rsid w:val="00DF09BB"/>
    <w:rsid w:val="00DF09E1"/>
    <w:rsid w:val="00DF0A66"/>
    <w:rsid w:val="00DF0C34"/>
    <w:rsid w:val="00DF0C44"/>
    <w:rsid w:val="00DF0DDF"/>
    <w:rsid w:val="00DF0E0C"/>
    <w:rsid w:val="00DF0E1E"/>
    <w:rsid w:val="00DF0E96"/>
    <w:rsid w:val="00DF0EA8"/>
    <w:rsid w:val="00DF0F08"/>
    <w:rsid w:val="00DF0FE3"/>
    <w:rsid w:val="00DF10A5"/>
    <w:rsid w:val="00DF111E"/>
    <w:rsid w:val="00DF116D"/>
    <w:rsid w:val="00DF12A6"/>
    <w:rsid w:val="00DF12CE"/>
    <w:rsid w:val="00DF1521"/>
    <w:rsid w:val="00DF1522"/>
    <w:rsid w:val="00DF1622"/>
    <w:rsid w:val="00DF1692"/>
    <w:rsid w:val="00DF16AB"/>
    <w:rsid w:val="00DF17B8"/>
    <w:rsid w:val="00DF183D"/>
    <w:rsid w:val="00DF1844"/>
    <w:rsid w:val="00DF19CD"/>
    <w:rsid w:val="00DF1A09"/>
    <w:rsid w:val="00DF1B21"/>
    <w:rsid w:val="00DF1B3A"/>
    <w:rsid w:val="00DF1DA7"/>
    <w:rsid w:val="00DF1ECC"/>
    <w:rsid w:val="00DF1F45"/>
    <w:rsid w:val="00DF2078"/>
    <w:rsid w:val="00DF2133"/>
    <w:rsid w:val="00DF2179"/>
    <w:rsid w:val="00DF21BF"/>
    <w:rsid w:val="00DF21CC"/>
    <w:rsid w:val="00DF22D8"/>
    <w:rsid w:val="00DF2333"/>
    <w:rsid w:val="00DF236A"/>
    <w:rsid w:val="00DF23A1"/>
    <w:rsid w:val="00DF2402"/>
    <w:rsid w:val="00DF2531"/>
    <w:rsid w:val="00DF2536"/>
    <w:rsid w:val="00DF25DA"/>
    <w:rsid w:val="00DF25F4"/>
    <w:rsid w:val="00DF2605"/>
    <w:rsid w:val="00DF261F"/>
    <w:rsid w:val="00DF2713"/>
    <w:rsid w:val="00DF2791"/>
    <w:rsid w:val="00DF2896"/>
    <w:rsid w:val="00DF28EF"/>
    <w:rsid w:val="00DF28FB"/>
    <w:rsid w:val="00DF2965"/>
    <w:rsid w:val="00DF2A14"/>
    <w:rsid w:val="00DF2A69"/>
    <w:rsid w:val="00DF2B51"/>
    <w:rsid w:val="00DF2C64"/>
    <w:rsid w:val="00DF2E54"/>
    <w:rsid w:val="00DF2E64"/>
    <w:rsid w:val="00DF2F53"/>
    <w:rsid w:val="00DF3009"/>
    <w:rsid w:val="00DF300C"/>
    <w:rsid w:val="00DF3040"/>
    <w:rsid w:val="00DF309E"/>
    <w:rsid w:val="00DF3212"/>
    <w:rsid w:val="00DF340C"/>
    <w:rsid w:val="00DF3476"/>
    <w:rsid w:val="00DF3515"/>
    <w:rsid w:val="00DF35DE"/>
    <w:rsid w:val="00DF361C"/>
    <w:rsid w:val="00DF3717"/>
    <w:rsid w:val="00DF37B1"/>
    <w:rsid w:val="00DF39A9"/>
    <w:rsid w:val="00DF3A23"/>
    <w:rsid w:val="00DF3AC5"/>
    <w:rsid w:val="00DF3AEE"/>
    <w:rsid w:val="00DF3B38"/>
    <w:rsid w:val="00DF3B43"/>
    <w:rsid w:val="00DF3CD3"/>
    <w:rsid w:val="00DF3CE1"/>
    <w:rsid w:val="00DF3DEE"/>
    <w:rsid w:val="00DF3ECC"/>
    <w:rsid w:val="00DF3FDD"/>
    <w:rsid w:val="00DF413E"/>
    <w:rsid w:val="00DF415B"/>
    <w:rsid w:val="00DF41AD"/>
    <w:rsid w:val="00DF41F1"/>
    <w:rsid w:val="00DF42FE"/>
    <w:rsid w:val="00DF432D"/>
    <w:rsid w:val="00DF4354"/>
    <w:rsid w:val="00DF4386"/>
    <w:rsid w:val="00DF441A"/>
    <w:rsid w:val="00DF4453"/>
    <w:rsid w:val="00DF476C"/>
    <w:rsid w:val="00DF47D9"/>
    <w:rsid w:val="00DF487F"/>
    <w:rsid w:val="00DF48C7"/>
    <w:rsid w:val="00DF49A4"/>
    <w:rsid w:val="00DF49B0"/>
    <w:rsid w:val="00DF4A00"/>
    <w:rsid w:val="00DF4A37"/>
    <w:rsid w:val="00DF4AB3"/>
    <w:rsid w:val="00DF4BBF"/>
    <w:rsid w:val="00DF4CE0"/>
    <w:rsid w:val="00DF4D21"/>
    <w:rsid w:val="00DF4D91"/>
    <w:rsid w:val="00DF4DD8"/>
    <w:rsid w:val="00DF4F3C"/>
    <w:rsid w:val="00DF4F5C"/>
    <w:rsid w:val="00DF5068"/>
    <w:rsid w:val="00DF51BC"/>
    <w:rsid w:val="00DF52C3"/>
    <w:rsid w:val="00DF5373"/>
    <w:rsid w:val="00DF53D3"/>
    <w:rsid w:val="00DF53F9"/>
    <w:rsid w:val="00DF53FB"/>
    <w:rsid w:val="00DF5494"/>
    <w:rsid w:val="00DF5558"/>
    <w:rsid w:val="00DF5584"/>
    <w:rsid w:val="00DF5726"/>
    <w:rsid w:val="00DF573A"/>
    <w:rsid w:val="00DF58E8"/>
    <w:rsid w:val="00DF591D"/>
    <w:rsid w:val="00DF594B"/>
    <w:rsid w:val="00DF5964"/>
    <w:rsid w:val="00DF5A1E"/>
    <w:rsid w:val="00DF5B39"/>
    <w:rsid w:val="00DF5B63"/>
    <w:rsid w:val="00DF5B6C"/>
    <w:rsid w:val="00DF5B98"/>
    <w:rsid w:val="00DF5C07"/>
    <w:rsid w:val="00DF5C1B"/>
    <w:rsid w:val="00DF5CC4"/>
    <w:rsid w:val="00DF5D48"/>
    <w:rsid w:val="00DF5DAA"/>
    <w:rsid w:val="00DF5ECC"/>
    <w:rsid w:val="00DF5F92"/>
    <w:rsid w:val="00DF5FA4"/>
    <w:rsid w:val="00DF6038"/>
    <w:rsid w:val="00DF606C"/>
    <w:rsid w:val="00DF60D9"/>
    <w:rsid w:val="00DF6146"/>
    <w:rsid w:val="00DF6168"/>
    <w:rsid w:val="00DF6189"/>
    <w:rsid w:val="00DF61B8"/>
    <w:rsid w:val="00DF61D6"/>
    <w:rsid w:val="00DF622C"/>
    <w:rsid w:val="00DF6259"/>
    <w:rsid w:val="00DF6317"/>
    <w:rsid w:val="00DF664F"/>
    <w:rsid w:val="00DF6678"/>
    <w:rsid w:val="00DF66FD"/>
    <w:rsid w:val="00DF6723"/>
    <w:rsid w:val="00DF673A"/>
    <w:rsid w:val="00DF6797"/>
    <w:rsid w:val="00DF6832"/>
    <w:rsid w:val="00DF69ED"/>
    <w:rsid w:val="00DF6A2C"/>
    <w:rsid w:val="00DF6AD0"/>
    <w:rsid w:val="00DF6B14"/>
    <w:rsid w:val="00DF6B29"/>
    <w:rsid w:val="00DF6BBB"/>
    <w:rsid w:val="00DF6CEE"/>
    <w:rsid w:val="00DF6CF8"/>
    <w:rsid w:val="00DF6D02"/>
    <w:rsid w:val="00DF6D73"/>
    <w:rsid w:val="00DF6DAC"/>
    <w:rsid w:val="00DF6E35"/>
    <w:rsid w:val="00DF6F27"/>
    <w:rsid w:val="00DF7002"/>
    <w:rsid w:val="00DF7067"/>
    <w:rsid w:val="00DF70BB"/>
    <w:rsid w:val="00DF7210"/>
    <w:rsid w:val="00DF722A"/>
    <w:rsid w:val="00DF727E"/>
    <w:rsid w:val="00DF733C"/>
    <w:rsid w:val="00DF7373"/>
    <w:rsid w:val="00DF739C"/>
    <w:rsid w:val="00DF77FD"/>
    <w:rsid w:val="00DF782D"/>
    <w:rsid w:val="00DF790B"/>
    <w:rsid w:val="00DF7911"/>
    <w:rsid w:val="00DF7919"/>
    <w:rsid w:val="00DF794F"/>
    <w:rsid w:val="00DF7A57"/>
    <w:rsid w:val="00DF7A5F"/>
    <w:rsid w:val="00DF7B88"/>
    <w:rsid w:val="00DF7BDA"/>
    <w:rsid w:val="00DF7BF8"/>
    <w:rsid w:val="00DF7F02"/>
    <w:rsid w:val="00DF7F1D"/>
    <w:rsid w:val="00DF7FCF"/>
    <w:rsid w:val="00DFC4A7"/>
    <w:rsid w:val="00DFF382"/>
    <w:rsid w:val="00E000A9"/>
    <w:rsid w:val="00E000B0"/>
    <w:rsid w:val="00E00148"/>
    <w:rsid w:val="00E00150"/>
    <w:rsid w:val="00E001E8"/>
    <w:rsid w:val="00E0021B"/>
    <w:rsid w:val="00E0023E"/>
    <w:rsid w:val="00E00261"/>
    <w:rsid w:val="00E00310"/>
    <w:rsid w:val="00E00428"/>
    <w:rsid w:val="00E00576"/>
    <w:rsid w:val="00E00630"/>
    <w:rsid w:val="00E00685"/>
    <w:rsid w:val="00E006CE"/>
    <w:rsid w:val="00E006E0"/>
    <w:rsid w:val="00E00769"/>
    <w:rsid w:val="00E008B4"/>
    <w:rsid w:val="00E008D4"/>
    <w:rsid w:val="00E008FF"/>
    <w:rsid w:val="00E00924"/>
    <w:rsid w:val="00E009FD"/>
    <w:rsid w:val="00E00A18"/>
    <w:rsid w:val="00E00A63"/>
    <w:rsid w:val="00E00AC0"/>
    <w:rsid w:val="00E00B5D"/>
    <w:rsid w:val="00E00B84"/>
    <w:rsid w:val="00E00C8D"/>
    <w:rsid w:val="00E00D05"/>
    <w:rsid w:val="00E00D60"/>
    <w:rsid w:val="00E00D9D"/>
    <w:rsid w:val="00E00E31"/>
    <w:rsid w:val="00E00E4C"/>
    <w:rsid w:val="00E00F25"/>
    <w:rsid w:val="00E00F43"/>
    <w:rsid w:val="00E00F58"/>
    <w:rsid w:val="00E0105C"/>
    <w:rsid w:val="00E0121F"/>
    <w:rsid w:val="00E01363"/>
    <w:rsid w:val="00E014F9"/>
    <w:rsid w:val="00E01533"/>
    <w:rsid w:val="00E01577"/>
    <w:rsid w:val="00E0185C"/>
    <w:rsid w:val="00E018CC"/>
    <w:rsid w:val="00E01A0E"/>
    <w:rsid w:val="00E01AA8"/>
    <w:rsid w:val="00E01B4C"/>
    <w:rsid w:val="00E01B55"/>
    <w:rsid w:val="00E01C6C"/>
    <w:rsid w:val="00E01F30"/>
    <w:rsid w:val="00E023EC"/>
    <w:rsid w:val="00E023FE"/>
    <w:rsid w:val="00E02449"/>
    <w:rsid w:val="00E02511"/>
    <w:rsid w:val="00E0264D"/>
    <w:rsid w:val="00E0267D"/>
    <w:rsid w:val="00E026E3"/>
    <w:rsid w:val="00E02700"/>
    <w:rsid w:val="00E0289E"/>
    <w:rsid w:val="00E029E6"/>
    <w:rsid w:val="00E02A74"/>
    <w:rsid w:val="00E02AD6"/>
    <w:rsid w:val="00E02B9A"/>
    <w:rsid w:val="00E02B9D"/>
    <w:rsid w:val="00E02BC8"/>
    <w:rsid w:val="00E02C42"/>
    <w:rsid w:val="00E02C4B"/>
    <w:rsid w:val="00E02CA0"/>
    <w:rsid w:val="00E02CDA"/>
    <w:rsid w:val="00E02D6E"/>
    <w:rsid w:val="00E02E3F"/>
    <w:rsid w:val="00E02E7C"/>
    <w:rsid w:val="00E02FF9"/>
    <w:rsid w:val="00E03195"/>
    <w:rsid w:val="00E033C5"/>
    <w:rsid w:val="00E034D0"/>
    <w:rsid w:val="00E03520"/>
    <w:rsid w:val="00E035D2"/>
    <w:rsid w:val="00E03672"/>
    <w:rsid w:val="00E036F4"/>
    <w:rsid w:val="00E03C0C"/>
    <w:rsid w:val="00E03C47"/>
    <w:rsid w:val="00E03CE0"/>
    <w:rsid w:val="00E03D2C"/>
    <w:rsid w:val="00E03E74"/>
    <w:rsid w:val="00E03EA1"/>
    <w:rsid w:val="00E0402E"/>
    <w:rsid w:val="00E040DC"/>
    <w:rsid w:val="00E040E3"/>
    <w:rsid w:val="00E0418F"/>
    <w:rsid w:val="00E0421D"/>
    <w:rsid w:val="00E042F7"/>
    <w:rsid w:val="00E04353"/>
    <w:rsid w:val="00E043A8"/>
    <w:rsid w:val="00E04449"/>
    <w:rsid w:val="00E04584"/>
    <w:rsid w:val="00E045BD"/>
    <w:rsid w:val="00E045C3"/>
    <w:rsid w:val="00E045D5"/>
    <w:rsid w:val="00E045EA"/>
    <w:rsid w:val="00E045F7"/>
    <w:rsid w:val="00E04601"/>
    <w:rsid w:val="00E046EA"/>
    <w:rsid w:val="00E046F9"/>
    <w:rsid w:val="00E04743"/>
    <w:rsid w:val="00E04777"/>
    <w:rsid w:val="00E047AD"/>
    <w:rsid w:val="00E0482B"/>
    <w:rsid w:val="00E04A38"/>
    <w:rsid w:val="00E04A4F"/>
    <w:rsid w:val="00E04A9C"/>
    <w:rsid w:val="00E04ADE"/>
    <w:rsid w:val="00E04BB9"/>
    <w:rsid w:val="00E04CCC"/>
    <w:rsid w:val="00E04F61"/>
    <w:rsid w:val="00E04FC7"/>
    <w:rsid w:val="00E04FD0"/>
    <w:rsid w:val="00E05060"/>
    <w:rsid w:val="00E051A0"/>
    <w:rsid w:val="00E051EB"/>
    <w:rsid w:val="00E05223"/>
    <w:rsid w:val="00E052AB"/>
    <w:rsid w:val="00E05399"/>
    <w:rsid w:val="00E0540B"/>
    <w:rsid w:val="00E05469"/>
    <w:rsid w:val="00E05483"/>
    <w:rsid w:val="00E055F6"/>
    <w:rsid w:val="00E05642"/>
    <w:rsid w:val="00E056A3"/>
    <w:rsid w:val="00E05727"/>
    <w:rsid w:val="00E05844"/>
    <w:rsid w:val="00E05994"/>
    <w:rsid w:val="00E05A6B"/>
    <w:rsid w:val="00E05AB5"/>
    <w:rsid w:val="00E05AD9"/>
    <w:rsid w:val="00E05BE6"/>
    <w:rsid w:val="00E05C5F"/>
    <w:rsid w:val="00E05DA2"/>
    <w:rsid w:val="00E05DBD"/>
    <w:rsid w:val="00E05DCC"/>
    <w:rsid w:val="00E05E1F"/>
    <w:rsid w:val="00E05E60"/>
    <w:rsid w:val="00E05EA0"/>
    <w:rsid w:val="00E05FE3"/>
    <w:rsid w:val="00E06021"/>
    <w:rsid w:val="00E060F9"/>
    <w:rsid w:val="00E06168"/>
    <w:rsid w:val="00E06275"/>
    <w:rsid w:val="00E06572"/>
    <w:rsid w:val="00E0667A"/>
    <w:rsid w:val="00E066FD"/>
    <w:rsid w:val="00E06792"/>
    <w:rsid w:val="00E067C5"/>
    <w:rsid w:val="00E069CF"/>
    <w:rsid w:val="00E069E5"/>
    <w:rsid w:val="00E069F5"/>
    <w:rsid w:val="00E06A87"/>
    <w:rsid w:val="00E06A94"/>
    <w:rsid w:val="00E06ADB"/>
    <w:rsid w:val="00E06B3E"/>
    <w:rsid w:val="00E06C53"/>
    <w:rsid w:val="00E06EBF"/>
    <w:rsid w:val="00E06FF3"/>
    <w:rsid w:val="00E07089"/>
    <w:rsid w:val="00E07158"/>
    <w:rsid w:val="00E0715C"/>
    <w:rsid w:val="00E071E4"/>
    <w:rsid w:val="00E0724E"/>
    <w:rsid w:val="00E074FD"/>
    <w:rsid w:val="00E0754B"/>
    <w:rsid w:val="00E075E9"/>
    <w:rsid w:val="00E07639"/>
    <w:rsid w:val="00E07693"/>
    <w:rsid w:val="00E0770C"/>
    <w:rsid w:val="00E07712"/>
    <w:rsid w:val="00E0787E"/>
    <w:rsid w:val="00E07AFC"/>
    <w:rsid w:val="00E07B9A"/>
    <w:rsid w:val="00E07D5F"/>
    <w:rsid w:val="00E07F79"/>
    <w:rsid w:val="00E07F94"/>
    <w:rsid w:val="00E10123"/>
    <w:rsid w:val="00E10271"/>
    <w:rsid w:val="00E102FC"/>
    <w:rsid w:val="00E10334"/>
    <w:rsid w:val="00E1033C"/>
    <w:rsid w:val="00E103D5"/>
    <w:rsid w:val="00E104A6"/>
    <w:rsid w:val="00E106ED"/>
    <w:rsid w:val="00E107A4"/>
    <w:rsid w:val="00E1086B"/>
    <w:rsid w:val="00E1091C"/>
    <w:rsid w:val="00E10928"/>
    <w:rsid w:val="00E10A41"/>
    <w:rsid w:val="00E10C73"/>
    <w:rsid w:val="00E10D06"/>
    <w:rsid w:val="00E10D1A"/>
    <w:rsid w:val="00E10E11"/>
    <w:rsid w:val="00E10E8D"/>
    <w:rsid w:val="00E10E8F"/>
    <w:rsid w:val="00E10FFE"/>
    <w:rsid w:val="00E111D5"/>
    <w:rsid w:val="00E111E8"/>
    <w:rsid w:val="00E11223"/>
    <w:rsid w:val="00E11270"/>
    <w:rsid w:val="00E11416"/>
    <w:rsid w:val="00E11470"/>
    <w:rsid w:val="00E114BF"/>
    <w:rsid w:val="00E1150B"/>
    <w:rsid w:val="00E11687"/>
    <w:rsid w:val="00E11798"/>
    <w:rsid w:val="00E117FB"/>
    <w:rsid w:val="00E118BF"/>
    <w:rsid w:val="00E119F0"/>
    <w:rsid w:val="00E11AE5"/>
    <w:rsid w:val="00E11B5C"/>
    <w:rsid w:val="00E11B75"/>
    <w:rsid w:val="00E11BF6"/>
    <w:rsid w:val="00E11BFD"/>
    <w:rsid w:val="00E11CEB"/>
    <w:rsid w:val="00E11CFF"/>
    <w:rsid w:val="00E11D30"/>
    <w:rsid w:val="00E11D35"/>
    <w:rsid w:val="00E11D91"/>
    <w:rsid w:val="00E11DB6"/>
    <w:rsid w:val="00E11E90"/>
    <w:rsid w:val="00E11F32"/>
    <w:rsid w:val="00E12038"/>
    <w:rsid w:val="00E1209E"/>
    <w:rsid w:val="00E12398"/>
    <w:rsid w:val="00E1250D"/>
    <w:rsid w:val="00E12585"/>
    <w:rsid w:val="00E125F7"/>
    <w:rsid w:val="00E12667"/>
    <w:rsid w:val="00E126FD"/>
    <w:rsid w:val="00E127A9"/>
    <w:rsid w:val="00E127DD"/>
    <w:rsid w:val="00E128AA"/>
    <w:rsid w:val="00E128FF"/>
    <w:rsid w:val="00E1297B"/>
    <w:rsid w:val="00E12AF7"/>
    <w:rsid w:val="00E12B60"/>
    <w:rsid w:val="00E12BA8"/>
    <w:rsid w:val="00E12BB6"/>
    <w:rsid w:val="00E12C77"/>
    <w:rsid w:val="00E12C9B"/>
    <w:rsid w:val="00E12CB7"/>
    <w:rsid w:val="00E12D63"/>
    <w:rsid w:val="00E12DAB"/>
    <w:rsid w:val="00E12E5C"/>
    <w:rsid w:val="00E12F26"/>
    <w:rsid w:val="00E12FFC"/>
    <w:rsid w:val="00E13042"/>
    <w:rsid w:val="00E13149"/>
    <w:rsid w:val="00E13194"/>
    <w:rsid w:val="00E1322C"/>
    <w:rsid w:val="00E13286"/>
    <w:rsid w:val="00E1330B"/>
    <w:rsid w:val="00E133D5"/>
    <w:rsid w:val="00E133E6"/>
    <w:rsid w:val="00E13487"/>
    <w:rsid w:val="00E13698"/>
    <w:rsid w:val="00E1369B"/>
    <w:rsid w:val="00E13727"/>
    <w:rsid w:val="00E137B6"/>
    <w:rsid w:val="00E13A3B"/>
    <w:rsid w:val="00E13A52"/>
    <w:rsid w:val="00E13AA3"/>
    <w:rsid w:val="00E13AF7"/>
    <w:rsid w:val="00E13C9C"/>
    <w:rsid w:val="00E13D51"/>
    <w:rsid w:val="00E13D77"/>
    <w:rsid w:val="00E1422E"/>
    <w:rsid w:val="00E14266"/>
    <w:rsid w:val="00E14485"/>
    <w:rsid w:val="00E14529"/>
    <w:rsid w:val="00E146C5"/>
    <w:rsid w:val="00E146EE"/>
    <w:rsid w:val="00E14809"/>
    <w:rsid w:val="00E1494C"/>
    <w:rsid w:val="00E1494D"/>
    <w:rsid w:val="00E14961"/>
    <w:rsid w:val="00E14A66"/>
    <w:rsid w:val="00E14B0C"/>
    <w:rsid w:val="00E14B57"/>
    <w:rsid w:val="00E14BCE"/>
    <w:rsid w:val="00E14C00"/>
    <w:rsid w:val="00E14C11"/>
    <w:rsid w:val="00E14D75"/>
    <w:rsid w:val="00E14E7A"/>
    <w:rsid w:val="00E14F0A"/>
    <w:rsid w:val="00E15014"/>
    <w:rsid w:val="00E1506E"/>
    <w:rsid w:val="00E151FE"/>
    <w:rsid w:val="00E15246"/>
    <w:rsid w:val="00E1568F"/>
    <w:rsid w:val="00E15805"/>
    <w:rsid w:val="00E15820"/>
    <w:rsid w:val="00E15942"/>
    <w:rsid w:val="00E15965"/>
    <w:rsid w:val="00E159E9"/>
    <w:rsid w:val="00E15AA6"/>
    <w:rsid w:val="00E15B2A"/>
    <w:rsid w:val="00E15BD5"/>
    <w:rsid w:val="00E15BEA"/>
    <w:rsid w:val="00E15D75"/>
    <w:rsid w:val="00E15DE3"/>
    <w:rsid w:val="00E15E65"/>
    <w:rsid w:val="00E15EB5"/>
    <w:rsid w:val="00E16079"/>
    <w:rsid w:val="00E160D4"/>
    <w:rsid w:val="00E161A6"/>
    <w:rsid w:val="00E16275"/>
    <w:rsid w:val="00E162AC"/>
    <w:rsid w:val="00E162D4"/>
    <w:rsid w:val="00E16365"/>
    <w:rsid w:val="00E163F7"/>
    <w:rsid w:val="00E1652C"/>
    <w:rsid w:val="00E16671"/>
    <w:rsid w:val="00E16712"/>
    <w:rsid w:val="00E16A85"/>
    <w:rsid w:val="00E16AA4"/>
    <w:rsid w:val="00E16B61"/>
    <w:rsid w:val="00E16C29"/>
    <w:rsid w:val="00E16C81"/>
    <w:rsid w:val="00E16CFC"/>
    <w:rsid w:val="00E16F69"/>
    <w:rsid w:val="00E1702F"/>
    <w:rsid w:val="00E1703B"/>
    <w:rsid w:val="00E170B8"/>
    <w:rsid w:val="00E17141"/>
    <w:rsid w:val="00E1719C"/>
    <w:rsid w:val="00E17292"/>
    <w:rsid w:val="00E1736D"/>
    <w:rsid w:val="00E175A3"/>
    <w:rsid w:val="00E17611"/>
    <w:rsid w:val="00E17677"/>
    <w:rsid w:val="00E17682"/>
    <w:rsid w:val="00E176CA"/>
    <w:rsid w:val="00E176DC"/>
    <w:rsid w:val="00E1774A"/>
    <w:rsid w:val="00E17818"/>
    <w:rsid w:val="00E17828"/>
    <w:rsid w:val="00E17846"/>
    <w:rsid w:val="00E17955"/>
    <w:rsid w:val="00E1796D"/>
    <w:rsid w:val="00E17A6D"/>
    <w:rsid w:val="00E17AE0"/>
    <w:rsid w:val="00E17B0B"/>
    <w:rsid w:val="00E17CF0"/>
    <w:rsid w:val="00E17E3E"/>
    <w:rsid w:val="00E17F3B"/>
    <w:rsid w:val="00E17FD7"/>
    <w:rsid w:val="00E17FD9"/>
    <w:rsid w:val="00E1BF7E"/>
    <w:rsid w:val="00E200A9"/>
    <w:rsid w:val="00E20152"/>
    <w:rsid w:val="00E20189"/>
    <w:rsid w:val="00E2019C"/>
    <w:rsid w:val="00E202AB"/>
    <w:rsid w:val="00E202EA"/>
    <w:rsid w:val="00E20339"/>
    <w:rsid w:val="00E20379"/>
    <w:rsid w:val="00E20437"/>
    <w:rsid w:val="00E2056D"/>
    <w:rsid w:val="00E206A6"/>
    <w:rsid w:val="00E206B8"/>
    <w:rsid w:val="00E20818"/>
    <w:rsid w:val="00E2085A"/>
    <w:rsid w:val="00E20892"/>
    <w:rsid w:val="00E2097D"/>
    <w:rsid w:val="00E20A51"/>
    <w:rsid w:val="00E20A5E"/>
    <w:rsid w:val="00E20B05"/>
    <w:rsid w:val="00E20B3B"/>
    <w:rsid w:val="00E20B47"/>
    <w:rsid w:val="00E20B80"/>
    <w:rsid w:val="00E20C2E"/>
    <w:rsid w:val="00E20CFD"/>
    <w:rsid w:val="00E20D2B"/>
    <w:rsid w:val="00E20D4D"/>
    <w:rsid w:val="00E20FA2"/>
    <w:rsid w:val="00E20FDF"/>
    <w:rsid w:val="00E21019"/>
    <w:rsid w:val="00E2116E"/>
    <w:rsid w:val="00E2118B"/>
    <w:rsid w:val="00E211C5"/>
    <w:rsid w:val="00E211D3"/>
    <w:rsid w:val="00E212E1"/>
    <w:rsid w:val="00E21406"/>
    <w:rsid w:val="00E214F5"/>
    <w:rsid w:val="00E215CC"/>
    <w:rsid w:val="00E2163D"/>
    <w:rsid w:val="00E2166F"/>
    <w:rsid w:val="00E218F9"/>
    <w:rsid w:val="00E2195C"/>
    <w:rsid w:val="00E2199A"/>
    <w:rsid w:val="00E219F9"/>
    <w:rsid w:val="00E21A77"/>
    <w:rsid w:val="00E21AD5"/>
    <w:rsid w:val="00E21BE1"/>
    <w:rsid w:val="00E21C3A"/>
    <w:rsid w:val="00E21C5C"/>
    <w:rsid w:val="00E21DE0"/>
    <w:rsid w:val="00E21E08"/>
    <w:rsid w:val="00E21F44"/>
    <w:rsid w:val="00E21F76"/>
    <w:rsid w:val="00E22015"/>
    <w:rsid w:val="00E2208D"/>
    <w:rsid w:val="00E22189"/>
    <w:rsid w:val="00E2219C"/>
    <w:rsid w:val="00E2225D"/>
    <w:rsid w:val="00E222A5"/>
    <w:rsid w:val="00E22439"/>
    <w:rsid w:val="00E2248C"/>
    <w:rsid w:val="00E2255D"/>
    <w:rsid w:val="00E225A2"/>
    <w:rsid w:val="00E2263D"/>
    <w:rsid w:val="00E2295F"/>
    <w:rsid w:val="00E229EE"/>
    <w:rsid w:val="00E22AAB"/>
    <w:rsid w:val="00E22B62"/>
    <w:rsid w:val="00E22BEF"/>
    <w:rsid w:val="00E22D7C"/>
    <w:rsid w:val="00E22D8E"/>
    <w:rsid w:val="00E22F11"/>
    <w:rsid w:val="00E23142"/>
    <w:rsid w:val="00E23147"/>
    <w:rsid w:val="00E231E4"/>
    <w:rsid w:val="00E232B0"/>
    <w:rsid w:val="00E23378"/>
    <w:rsid w:val="00E2337F"/>
    <w:rsid w:val="00E2338A"/>
    <w:rsid w:val="00E23396"/>
    <w:rsid w:val="00E23404"/>
    <w:rsid w:val="00E23478"/>
    <w:rsid w:val="00E234B6"/>
    <w:rsid w:val="00E23541"/>
    <w:rsid w:val="00E23557"/>
    <w:rsid w:val="00E235F3"/>
    <w:rsid w:val="00E2365F"/>
    <w:rsid w:val="00E236CD"/>
    <w:rsid w:val="00E23786"/>
    <w:rsid w:val="00E237B8"/>
    <w:rsid w:val="00E2381A"/>
    <w:rsid w:val="00E2394B"/>
    <w:rsid w:val="00E23977"/>
    <w:rsid w:val="00E23A7E"/>
    <w:rsid w:val="00E23B71"/>
    <w:rsid w:val="00E23BF6"/>
    <w:rsid w:val="00E23CEB"/>
    <w:rsid w:val="00E23D37"/>
    <w:rsid w:val="00E23D40"/>
    <w:rsid w:val="00E23DEC"/>
    <w:rsid w:val="00E23FA0"/>
    <w:rsid w:val="00E240CD"/>
    <w:rsid w:val="00E24227"/>
    <w:rsid w:val="00E2430E"/>
    <w:rsid w:val="00E24332"/>
    <w:rsid w:val="00E243CA"/>
    <w:rsid w:val="00E2441D"/>
    <w:rsid w:val="00E2452F"/>
    <w:rsid w:val="00E2457F"/>
    <w:rsid w:val="00E245B0"/>
    <w:rsid w:val="00E246F5"/>
    <w:rsid w:val="00E2479D"/>
    <w:rsid w:val="00E247FE"/>
    <w:rsid w:val="00E24873"/>
    <w:rsid w:val="00E24A1E"/>
    <w:rsid w:val="00E24AA6"/>
    <w:rsid w:val="00E24AEA"/>
    <w:rsid w:val="00E24B4B"/>
    <w:rsid w:val="00E24C13"/>
    <w:rsid w:val="00E24C71"/>
    <w:rsid w:val="00E24CA3"/>
    <w:rsid w:val="00E24E01"/>
    <w:rsid w:val="00E24E02"/>
    <w:rsid w:val="00E24E50"/>
    <w:rsid w:val="00E24F5A"/>
    <w:rsid w:val="00E24F82"/>
    <w:rsid w:val="00E25046"/>
    <w:rsid w:val="00E251AB"/>
    <w:rsid w:val="00E2540D"/>
    <w:rsid w:val="00E254A6"/>
    <w:rsid w:val="00E25501"/>
    <w:rsid w:val="00E25599"/>
    <w:rsid w:val="00E2560E"/>
    <w:rsid w:val="00E256DD"/>
    <w:rsid w:val="00E2577A"/>
    <w:rsid w:val="00E257E7"/>
    <w:rsid w:val="00E258D2"/>
    <w:rsid w:val="00E259B0"/>
    <w:rsid w:val="00E25AB0"/>
    <w:rsid w:val="00E25AF2"/>
    <w:rsid w:val="00E25B94"/>
    <w:rsid w:val="00E25B9F"/>
    <w:rsid w:val="00E25C49"/>
    <w:rsid w:val="00E25C88"/>
    <w:rsid w:val="00E25CEA"/>
    <w:rsid w:val="00E25D55"/>
    <w:rsid w:val="00E25DE6"/>
    <w:rsid w:val="00E25E0E"/>
    <w:rsid w:val="00E25F92"/>
    <w:rsid w:val="00E2604E"/>
    <w:rsid w:val="00E260F7"/>
    <w:rsid w:val="00E26100"/>
    <w:rsid w:val="00E26144"/>
    <w:rsid w:val="00E26222"/>
    <w:rsid w:val="00E26299"/>
    <w:rsid w:val="00E26337"/>
    <w:rsid w:val="00E264D2"/>
    <w:rsid w:val="00E26553"/>
    <w:rsid w:val="00E266B8"/>
    <w:rsid w:val="00E26731"/>
    <w:rsid w:val="00E2686D"/>
    <w:rsid w:val="00E268BD"/>
    <w:rsid w:val="00E26980"/>
    <w:rsid w:val="00E26B09"/>
    <w:rsid w:val="00E26B0A"/>
    <w:rsid w:val="00E26BE0"/>
    <w:rsid w:val="00E26C5F"/>
    <w:rsid w:val="00E26D1D"/>
    <w:rsid w:val="00E26DA1"/>
    <w:rsid w:val="00E26EC5"/>
    <w:rsid w:val="00E270CD"/>
    <w:rsid w:val="00E270F3"/>
    <w:rsid w:val="00E27184"/>
    <w:rsid w:val="00E27227"/>
    <w:rsid w:val="00E2728F"/>
    <w:rsid w:val="00E27311"/>
    <w:rsid w:val="00E2735C"/>
    <w:rsid w:val="00E27364"/>
    <w:rsid w:val="00E2759A"/>
    <w:rsid w:val="00E2766B"/>
    <w:rsid w:val="00E27676"/>
    <w:rsid w:val="00E2767A"/>
    <w:rsid w:val="00E2776C"/>
    <w:rsid w:val="00E278CE"/>
    <w:rsid w:val="00E27943"/>
    <w:rsid w:val="00E279AA"/>
    <w:rsid w:val="00E279C0"/>
    <w:rsid w:val="00E27A35"/>
    <w:rsid w:val="00E27A42"/>
    <w:rsid w:val="00E27A78"/>
    <w:rsid w:val="00E27AAB"/>
    <w:rsid w:val="00E27E48"/>
    <w:rsid w:val="00E27FF5"/>
    <w:rsid w:val="00E3002C"/>
    <w:rsid w:val="00E300A6"/>
    <w:rsid w:val="00E300F9"/>
    <w:rsid w:val="00E3010B"/>
    <w:rsid w:val="00E30261"/>
    <w:rsid w:val="00E3028B"/>
    <w:rsid w:val="00E302D3"/>
    <w:rsid w:val="00E304CE"/>
    <w:rsid w:val="00E30523"/>
    <w:rsid w:val="00E305C7"/>
    <w:rsid w:val="00E305D2"/>
    <w:rsid w:val="00E30612"/>
    <w:rsid w:val="00E3066B"/>
    <w:rsid w:val="00E30711"/>
    <w:rsid w:val="00E3089D"/>
    <w:rsid w:val="00E308C2"/>
    <w:rsid w:val="00E30999"/>
    <w:rsid w:val="00E309D6"/>
    <w:rsid w:val="00E30A3E"/>
    <w:rsid w:val="00E30B14"/>
    <w:rsid w:val="00E30B68"/>
    <w:rsid w:val="00E30C03"/>
    <w:rsid w:val="00E30C59"/>
    <w:rsid w:val="00E30C60"/>
    <w:rsid w:val="00E30C62"/>
    <w:rsid w:val="00E30CAF"/>
    <w:rsid w:val="00E30D20"/>
    <w:rsid w:val="00E30E7F"/>
    <w:rsid w:val="00E30F9D"/>
    <w:rsid w:val="00E31103"/>
    <w:rsid w:val="00E31170"/>
    <w:rsid w:val="00E31599"/>
    <w:rsid w:val="00E3166B"/>
    <w:rsid w:val="00E316F2"/>
    <w:rsid w:val="00E31865"/>
    <w:rsid w:val="00E318F8"/>
    <w:rsid w:val="00E318FE"/>
    <w:rsid w:val="00E31995"/>
    <w:rsid w:val="00E31A28"/>
    <w:rsid w:val="00E31A57"/>
    <w:rsid w:val="00E31A60"/>
    <w:rsid w:val="00E31B95"/>
    <w:rsid w:val="00E31D19"/>
    <w:rsid w:val="00E31DB9"/>
    <w:rsid w:val="00E31DC8"/>
    <w:rsid w:val="00E31F3B"/>
    <w:rsid w:val="00E31F4D"/>
    <w:rsid w:val="00E31FD5"/>
    <w:rsid w:val="00E320AF"/>
    <w:rsid w:val="00E321C8"/>
    <w:rsid w:val="00E321E4"/>
    <w:rsid w:val="00E3227B"/>
    <w:rsid w:val="00E32329"/>
    <w:rsid w:val="00E3245D"/>
    <w:rsid w:val="00E324C2"/>
    <w:rsid w:val="00E3265E"/>
    <w:rsid w:val="00E32697"/>
    <w:rsid w:val="00E32788"/>
    <w:rsid w:val="00E32806"/>
    <w:rsid w:val="00E32871"/>
    <w:rsid w:val="00E32966"/>
    <w:rsid w:val="00E32971"/>
    <w:rsid w:val="00E32ADC"/>
    <w:rsid w:val="00E32BFC"/>
    <w:rsid w:val="00E32C0B"/>
    <w:rsid w:val="00E32C0C"/>
    <w:rsid w:val="00E32C32"/>
    <w:rsid w:val="00E32C3A"/>
    <w:rsid w:val="00E32CCA"/>
    <w:rsid w:val="00E32D30"/>
    <w:rsid w:val="00E32D46"/>
    <w:rsid w:val="00E32DD4"/>
    <w:rsid w:val="00E32DE6"/>
    <w:rsid w:val="00E32E2C"/>
    <w:rsid w:val="00E32ED7"/>
    <w:rsid w:val="00E32F11"/>
    <w:rsid w:val="00E32F1C"/>
    <w:rsid w:val="00E32F97"/>
    <w:rsid w:val="00E3300E"/>
    <w:rsid w:val="00E330DC"/>
    <w:rsid w:val="00E33158"/>
    <w:rsid w:val="00E33191"/>
    <w:rsid w:val="00E33246"/>
    <w:rsid w:val="00E3333A"/>
    <w:rsid w:val="00E33381"/>
    <w:rsid w:val="00E335FD"/>
    <w:rsid w:val="00E3362E"/>
    <w:rsid w:val="00E33677"/>
    <w:rsid w:val="00E336B4"/>
    <w:rsid w:val="00E3384E"/>
    <w:rsid w:val="00E338FB"/>
    <w:rsid w:val="00E339CE"/>
    <w:rsid w:val="00E339FD"/>
    <w:rsid w:val="00E339FF"/>
    <w:rsid w:val="00E33B3C"/>
    <w:rsid w:val="00E33BE4"/>
    <w:rsid w:val="00E33C50"/>
    <w:rsid w:val="00E33D0B"/>
    <w:rsid w:val="00E33D9F"/>
    <w:rsid w:val="00E33E57"/>
    <w:rsid w:val="00E33F74"/>
    <w:rsid w:val="00E33FC8"/>
    <w:rsid w:val="00E33FF4"/>
    <w:rsid w:val="00E3406F"/>
    <w:rsid w:val="00E34276"/>
    <w:rsid w:val="00E342AE"/>
    <w:rsid w:val="00E342D8"/>
    <w:rsid w:val="00E3433F"/>
    <w:rsid w:val="00E3448D"/>
    <w:rsid w:val="00E3456E"/>
    <w:rsid w:val="00E34580"/>
    <w:rsid w:val="00E346F9"/>
    <w:rsid w:val="00E3471C"/>
    <w:rsid w:val="00E3473F"/>
    <w:rsid w:val="00E34799"/>
    <w:rsid w:val="00E34914"/>
    <w:rsid w:val="00E34990"/>
    <w:rsid w:val="00E34ADB"/>
    <w:rsid w:val="00E34B21"/>
    <w:rsid w:val="00E34B3E"/>
    <w:rsid w:val="00E34BD0"/>
    <w:rsid w:val="00E34C89"/>
    <w:rsid w:val="00E34EB0"/>
    <w:rsid w:val="00E34EC9"/>
    <w:rsid w:val="00E34EE2"/>
    <w:rsid w:val="00E34F4F"/>
    <w:rsid w:val="00E34FDC"/>
    <w:rsid w:val="00E350D8"/>
    <w:rsid w:val="00E3516C"/>
    <w:rsid w:val="00E351DF"/>
    <w:rsid w:val="00E3520D"/>
    <w:rsid w:val="00E35228"/>
    <w:rsid w:val="00E352BA"/>
    <w:rsid w:val="00E3543D"/>
    <w:rsid w:val="00E35487"/>
    <w:rsid w:val="00E35493"/>
    <w:rsid w:val="00E355EA"/>
    <w:rsid w:val="00E356C8"/>
    <w:rsid w:val="00E35714"/>
    <w:rsid w:val="00E35828"/>
    <w:rsid w:val="00E3590D"/>
    <w:rsid w:val="00E3599F"/>
    <w:rsid w:val="00E359F2"/>
    <w:rsid w:val="00E35A2F"/>
    <w:rsid w:val="00E35A8B"/>
    <w:rsid w:val="00E35AC5"/>
    <w:rsid w:val="00E35B77"/>
    <w:rsid w:val="00E35D10"/>
    <w:rsid w:val="00E35D63"/>
    <w:rsid w:val="00E35E1A"/>
    <w:rsid w:val="00E35EB3"/>
    <w:rsid w:val="00E36066"/>
    <w:rsid w:val="00E36146"/>
    <w:rsid w:val="00E362CA"/>
    <w:rsid w:val="00E36382"/>
    <w:rsid w:val="00E363D2"/>
    <w:rsid w:val="00E363E6"/>
    <w:rsid w:val="00E3645F"/>
    <w:rsid w:val="00E36487"/>
    <w:rsid w:val="00E364CD"/>
    <w:rsid w:val="00E364E0"/>
    <w:rsid w:val="00E36532"/>
    <w:rsid w:val="00E366CD"/>
    <w:rsid w:val="00E367E4"/>
    <w:rsid w:val="00E36803"/>
    <w:rsid w:val="00E3690C"/>
    <w:rsid w:val="00E36976"/>
    <w:rsid w:val="00E36995"/>
    <w:rsid w:val="00E369C7"/>
    <w:rsid w:val="00E36A2D"/>
    <w:rsid w:val="00E36AC8"/>
    <w:rsid w:val="00E36AE1"/>
    <w:rsid w:val="00E36F2F"/>
    <w:rsid w:val="00E36F61"/>
    <w:rsid w:val="00E37059"/>
    <w:rsid w:val="00E371C6"/>
    <w:rsid w:val="00E372D2"/>
    <w:rsid w:val="00E372E4"/>
    <w:rsid w:val="00E372E7"/>
    <w:rsid w:val="00E3734D"/>
    <w:rsid w:val="00E37360"/>
    <w:rsid w:val="00E3752D"/>
    <w:rsid w:val="00E37596"/>
    <w:rsid w:val="00E375DF"/>
    <w:rsid w:val="00E37614"/>
    <w:rsid w:val="00E376D4"/>
    <w:rsid w:val="00E376E1"/>
    <w:rsid w:val="00E37707"/>
    <w:rsid w:val="00E37710"/>
    <w:rsid w:val="00E37740"/>
    <w:rsid w:val="00E3774A"/>
    <w:rsid w:val="00E378D6"/>
    <w:rsid w:val="00E37993"/>
    <w:rsid w:val="00E37A2F"/>
    <w:rsid w:val="00E37A65"/>
    <w:rsid w:val="00E37CBF"/>
    <w:rsid w:val="00E37CC9"/>
    <w:rsid w:val="00E37CDE"/>
    <w:rsid w:val="00E37E08"/>
    <w:rsid w:val="00E37EB4"/>
    <w:rsid w:val="00E37F11"/>
    <w:rsid w:val="00E40054"/>
    <w:rsid w:val="00E4005F"/>
    <w:rsid w:val="00E40063"/>
    <w:rsid w:val="00E40201"/>
    <w:rsid w:val="00E40264"/>
    <w:rsid w:val="00E402AF"/>
    <w:rsid w:val="00E403D6"/>
    <w:rsid w:val="00E40418"/>
    <w:rsid w:val="00E4045F"/>
    <w:rsid w:val="00E404E4"/>
    <w:rsid w:val="00E40757"/>
    <w:rsid w:val="00E40851"/>
    <w:rsid w:val="00E408F6"/>
    <w:rsid w:val="00E409A4"/>
    <w:rsid w:val="00E40D00"/>
    <w:rsid w:val="00E40DE4"/>
    <w:rsid w:val="00E40EA6"/>
    <w:rsid w:val="00E40F67"/>
    <w:rsid w:val="00E41042"/>
    <w:rsid w:val="00E41059"/>
    <w:rsid w:val="00E41182"/>
    <w:rsid w:val="00E411B2"/>
    <w:rsid w:val="00E411C1"/>
    <w:rsid w:val="00E4124F"/>
    <w:rsid w:val="00E4140E"/>
    <w:rsid w:val="00E4142E"/>
    <w:rsid w:val="00E414A1"/>
    <w:rsid w:val="00E414B4"/>
    <w:rsid w:val="00E414C7"/>
    <w:rsid w:val="00E414D2"/>
    <w:rsid w:val="00E414DC"/>
    <w:rsid w:val="00E41551"/>
    <w:rsid w:val="00E415D3"/>
    <w:rsid w:val="00E41774"/>
    <w:rsid w:val="00E4191A"/>
    <w:rsid w:val="00E419B2"/>
    <w:rsid w:val="00E419CC"/>
    <w:rsid w:val="00E419EF"/>
    <w:rsid w:val="00E41BB7"/>
    <w:rsid w:val="00E41C08"/>
    <w:rsid w:val="00E41C63"/>
    <w:rsid w:val="00E41D4C"/>
    <w:rsid w:val="00E41DD7"/>
    <w:rsid w:val="00E41E5F"/>
    <w:rsid w:val="00E41EC9"/>
    <w:rsid w:val="00E41F7E"/>
    <w:rsid w:val="00E41FED"/>
    <w:rsid w:val="00E420CA"/>
    <w:rsid w:val="00E4219C"/>
    <w:rsid w:val="00E4227E"/>
    <w:rsid w:val="00E422DF"/>
    <w:rsid w:val="00E422ED"/>
    <w:rsid w:val="00E422F8"/>
    <w:rsid w:val="00E423F8"/>
    <w:rsid w:val="00E4243D"/>
    <w:rsid w:val="00E4244D"/>
    <w:rsid w:val="00E4257F"/>
    <w:rsid w:val="00E425B4"/>
    <w:rsid w:val="00E42761"/>
    <w:rsid w:val="00E428A5"/>
    <w:rsid w:val="00E42997"/>
    <w:rsid w:val="00E42A00"/>
    <w:rsid w:val="00E42A08"/>
    <w:rsid w:val="00E42A36"/>
    <w:rsid w:val="00E42AA6"/>
    <w:rsid w:val="00E42AFA"/>
    <w:rsid w:val="00E42B0E"/>
    <w:rsid w:val="00E42B80"/>
    <w:rsid w:val="00E42C57"/>
    <w:rsid w:val="00E42D40"/>
    <w:rsid w:val="00E42EE9"/>
    <w:rsid w:val="00E42F29"/>
    <w:rsid w:val="00E42F5D"/>
    <w:rsid w:val="00E43076"/>
    <w:rsid w:val="00E4308D"/>
    <w:rsid w:val="00E430B5"/>
    <w:rsid w:val="00E430C2"/>
    <w:rsid w:val="00E43140"/>
    <w:rsid w:val="00E431C0"/>
    <w:rsid w:val="00E431D2"/>
    <w:rsid w:val="00E43269"/>
    <w:rsid w:val="00E433CC"/>
    <w:rsid w:val="00E433FC"/>
    <w:rsid w:val="00E435CD"/>
    <w:rsid w:val="00E436B9"/>
    <w:rsid w:val="00E43773"/>
    <w:rsid w:val="00E437FE"/>
    <w:rsid w:val="00E43828"/>
    <w:rsid w:val="00E43894"/>
    <w:rsid w:val="00E438B9"/>
    <w:rsid w:val="00E43909"/>
    <w:rsid w:val="00E43A9D"/>
    <w:rsid w:val="00E43AE9"/>
    <w:rsid w:val="00E43B47"/>
    <w:rsid w:val="00E43C0C"/>
    <w:rsid w:val="00E43C75"/>
    <w:rsid w:val="00E43CB6"/>
    <w:rsid w:val="00E43CB8"/>
    <w:rsid w:val="00E43D50"/>
    <w:rsid w:val="00E43ECF"/>
    <w:rsid w:val="00E43FB5"/>
    <w:rsid w:val="00E44044"/>
    <w:rsid w:val="00E440E2"/>
    <w:rsid w:val="00E44390"/>
    <w:rsid w:val="00E444F8"/>
    <w:rsid w:val="00E4458D"/>
    <w:rsid w:val="00E445C1"/>
    <w:rsid w:val="00E44618"/>
    <w:rsid w:val="00E44678"/>
    <w:rsid w:val="00E446A1"/>
    <w:rsid w:val="00E44719"/>
    <w:rsid w:val="00E447B7"/>
    <w:rsid w:val="00E4482C"/>
    <w:rsid w:val="00E44842"/>
    <w:rsid w:val="00E448AB"/>
    <w:rsid w:val="00E448E9"/>
    <w:rsid w:val="00E44975"/>
    <w:rsid w:val="00E44A09"/>
    <w:rsid w:val="00E44A3C"/>
    <w:rsid w:val="00E44A4E"/>
    <w:rsid w:val="00E44D55"/>
    <w:rsid w:val="00E44D56"/>
    <w:rsid w:val="00E44E08"/>
    <w:rsid w:val="00E44F89"/>
    <w:rsid w:val="00E45078"/>
    <w:rsid w:val="00E45121"/>
    <w:rsid w:val="00E45191"/>
    <w:rsid w:val="00E4525B"/>
    <w:rsid w:val="00E452C7"/>
    <w:rsid w:val="00E452DD"/>
    <w:rsid w:val="00E45327"/>
    <w:rsid w:val="00E45337"/>
    <w:rsid w:val="00E453F5"/>
    <w:rsid w:val="00E454FB"/>
    <w:rsid w:val="00E45692"/>
    <w:rsid w:val="00E45741"/>
    <w:rsid w:val="00E45773"/>
    <w:rsid w:val="00E457EC"/>
    <w:rsid w:val="00E4582D"/>
    <w:rsid w:val="00E45891"/>
    <w:rsid w:val="00E458A7"/>
    <w:rsid w:val="00E45902"/>
    <w:rsid w:val="00E459A0"/>
    <w:rsid w:val="00E459D9"/>
    <w:rsid w:val="00E45A25"/>
    <w:rsid w:val="00E45A7C"/>
    <w:rsid w:val="00E45B47"/>
    <w:rsid w:val="00E45BBD"/>
    <w:rsid w:val="00E45BD9"/>
    <w:rsid w:val="00E45BF0"/>
    <w:rsid w:val="00E45C0F"/>
    <w:rsid w:val="00E45C84"/>
    <w:rsid w:val="00E45CB6"/>
    <w:rsid w:val="00E45CDE"/>
    <w:rsid w:val="00E45CE6"/>
    <w:rsid w:val="00E45CEE"/>
    <w:rsid w:val="00E45D34"/>
    <w:rsid w:val="00E45D46"/>
    <w:rsid w:val="00E45D5F"/>
    <w:rsid w:val="00E45DE8"/>
    <w:rsid w:val="00E45E21"/>
    <w:rsid w:val="00E45EA5"/>
    <w:rsid w:val="00E460B7"/>
    <w:rsid w:val="00E460F5"/>
    <w:rsid w:val="00E4612D"/>
    <w:rsid w:val="00E461AA"/>
    <w:rsid w:val="00E461FE"/>
    <w:rsid w:val="00E463ED"/>
    <w:rsid w:val="00E465C9"/>
    <w:rsid w:val="00E4663D"/>
    <w:rsid w:val="00E466BB"/>
    <w:rsid w:val="00E46759"/>
    <w:rsid w:val="00E46761"/>
    <w:rsid w:val="00E46776"/>
    <w:rsid w:val="00E467DD"/>
    <w:rsid w:val="00E4683D"/>
    <w:rsid w:val="00E46891"/>
    <w:rsid w:val="00E468B9"/>
    <w:rsid w:val="00E46987"/>
    <w:rsid w:val="00E469EA"/>
    <w:rsid w:val="00E469ED"/>
    <w:rsid w:val="00E46A28"/>
    <w:rsid w:val="00E46A82"/>
    <w:rsid w:val="00E46AFF"/>
    <w:rsid w:val="00E46B11"/>
    <w:rsid w:val="00E46C00"/>
    <w:rsid w:val="00E46D48"/>
    <w:rsid w:val="00E46DB0"/>
    <w:rsid w:val="00E46DCD"/>
    <w:rsid w:val="00E46DFE"/>
    <w:rsid w:val="00E46E67"/>
    <w:rsid w:val="00E46FB9"/>
    <w:rsid w:val="00E46FC0"/>
    <w:rsid w:val="00E47016"/>
    <w:rsid w:val="00E4701D"/>
    <w:rsid w:val="00E47040"/>
    <w:rsid w:val="00E4725B"/>
    <w:rsid w:val="00E47310"/>
    <w:rsid w:val="00E47349"/>
    <w:rsid w:val="00E4741B"/>
    <w:rsid w:val="00E4761C"/>
    <w:rsid w:val="00E47725"/>
    <w:rsid w:val="00E47852"/>
    <w:rsid w:val="00E47869"/>
    <w:rsid w:val="00E47896"/>
    <w:rsid w:val="00E47A8E"/>
    <w:rsid w:val="00E47B31"/>
    <w:rsid w:val="00E47C16"/>
    <w:rsid w:val="00E47EC9"/>
    <w:rsid w:val="00E47FE3"/>
    <w:rsid w:val="00E4ED4D"/>
    <w:rsid w:val="00E501B9"/>
    <w:rsid w:val="00E502BC"/>
    <w:rsid w:val="00E50310"/>
    <w:rsid w:val="00E50319"/>
    <w:rsid w:val="00E5031B"/>
    <w:rsid w:val="00E5041E"/>
    <w:rsid w:val="00E50493"/>
    <w:rsid w:val="00E5058F"/>
    <w:rsid w:val="00E5078E"/>
    <w:rsid w:val="00E508F1"/>
    <w:rsid w:val="00E5090A"/>
    <w:rsid w:val="00E509B4"/>
    <w:rsid w:val="00E50AAA"/>
    <w:rsid w:val="00E50AE4"/>
    <w:rsid w:val="00E50C70"/>
    <w:rsid w:val="00E50C87"/>
    <w:rsid w:val="00E50CFF"/>
    <w:rsid w:val="00E50D66"/>
    <w:rsid w:val="00E50DA2"/>
    <w:rsid w:val="00E50F2F"/>
    <w:rsid w:val="00E50F51"/>
    <w:rsid w:val="00E51049"/>
    <w:rsid w:val="00E51122"/>
    <w:rsid w:val="00E5119A"/>
    <w:rsid w:val="00E5126D"/>
    <w:rsid w:val="00E5134E"/>
    <w:rsid w:val="00E51436"/>
    <w:rsid w:val="00E515DA"/>
    <w:rsid w:val="00E51634"/>
    <w:rsid w:val="00E5167C"/>
    <w:rsid w:val="00E51898"/>
    <w:rsid w:val="00E51A03"/>
    <w:rsid w:val="00E51AF3"/>
    <w:rsid w:val="00E51B89"/>
    <w:rsid w:val="00E51C12"/>
    <w:rsid w:val="00E51C5C"/>
    <w:rsid w:val="00E51DB0"/>
    <w:rsid w:val="00E5206A"/>
    <w:rsid w:val="00E520A0"/>
    <w:rsid w:val="00E520A2"/>
    <w:rsid w:val="00E521A6"/>
    <w:rsid w:val="00E52276"/>
    <w:rsid w:val="00E52324"/>
    <w:rsid w:val="00E5235F"/>
    <w:rsid w:val="00E52582"/>
    <w:rsid w:val="00E5258C"/>
    <w:rsid w:val="00E52664"/>
    <w:rsid w:val="00E5274B"/>
    <w:rsid w:val="00E527ED"/>
    <w:rsid w:val="00E529A9"/>
    <w:rsid w:val="00E529DF"/>
    <w:rsid w:val="00E52A1F"/>
    <w:rsid w:val="00E52AE5"/>
    <w:rsid w:val="00E52B28"/>
    <w:rsid w:val="00E52BD3"/>
    <w:rsid w:val="00E52BDE"/>
    <w:rsid w:val="00E52C0C"/>
    <w:rsid w:val="00E52C31"/>
    <w:rsid w:val="00E52C3D"/>
    <w:rsid w:val="00E52C60"/>
    <w:rsid w:val="00E52C70"/>
    <w:rsid w:val="00E52CAA"/>
    <w:rsid w:val="00E52DDA"/>
    <w:rsid w:val="00E5300B"/>
    <w:rsid w:val="00E5314D"/>
    <w:rsid w:val="00E5324B"/>
    <w:rsid w:val="00E53271"/>
    <w:rsid w:val="00E5328D"/>
    <w:rsid w:val="00E532A7"/>
    <w:rsid w:val="00E53380"/>
    <w:rsid w:val="00E5352B"/>
    <w:rsid w:val="00E535C5"/>
    <w:rsid w:val="00E5364A"/>
    <w:rsid w:val="00E53667"/>
    <w:rsid w:val="00E53694"/>
    <w:rsid w:val="00E536BF"/>
    <w:rsid w:val="00E53712"/>
    <w:rsid w:val="00E53AA7"/>
    <w:rsid w:val="00E53B73"/>
    <w:rsid w:val="00E53C03"/>
    <w:rsid w:val="00E53C4D"/>
    <w:rsid w:val="00E53D31"/>
    <w:rsid w:val="00E53DF9"/>
    <w:rsid w:val="00E53E5F"/>
    <w:rsid w:val="00E53FAC"/>
    <w:rsid w:val="00E53FB5"/>
    <w:rsid w:val="00E540D0"/>
    <w:rsid w:val="00E540E3"/>
    <w:rsid w:val="00E5423E"/>
    <w:rsid w:val="00E542A4"/>
    <w:rsid w:val="00E542C9"/>
    <w:rsid w:val="00E54364"/>
    <w:rsid w:val="00E5443D"/>
    <w:rsid w:val="00E5445D"/>
    <w:rsid w:val="00E54618"/>
    <w:rsid w:val="00E54621"/>
    <w:rsid w:val="00E54751"/>
    <w:rsid w:val="00E547ED"/>
    <w:rsid w:val="00E5482B"/>
    <w:rsid w:val="00E54867"/>
    <w:rsid w:val="00E548E0"/>
    <w:rsid w:val="00E54A63"/>
    <w:rsid w:val="00E54B0F"/>
    <w:rsid w:val="00E54B54"/>
    <w:rsid w:val="00E54BDC"/>
    <w:rsid w:val="00E54C19"/>
    <w:rsid w:val="00E54C62"/>
    <w:rsid w:val="00E54C96"/>
    <w:rsid w:val="00E54E4D"/>
    <w:rsid w:val="00E54EB4"/>
    <w:rsid w:val="00E55057"/>
    <w:rsid w:val="00E55164"/>
    <w:rsid w:val="00E552C6"/>
    <w:rsid w:val="00E552D5"/>
    <w:rsid w:val="00E552FD"/>
    <w:rsid w:val="00E55491"/>
    <w:rsid w:val="00E5555B"/>
    <w:rsid w:val="00E555E3"/>
    <w:rsid w:val="00E556FB"/>
    <w:rsid w:val="00E557E6"/>
    <w:rsid w:val="00E55B0C"/>
    <w:rsid w:val="00E55B1F"/>
    <w:rsid w:val="00E55B43"/>
    <w:rsid w:val="00E55BE4"/>
    <w:rsid w:val="00E55C00"/>
    <w:rsid w:val="00E55D6A"/>
    <w:rsid w:val="00E55D87"/>
    <w:rsid w:val="00E55DD1"/>
    <w:rsid w:val="00E55E5E"/>
    <w:rsid w:val="00E55E7B"/>
    <w:rsid w:val="00E55F37"/>
    <w:rsid w:val="00E55F5D"/>
    <w:rsid w:val="00E560F8"/>
    <w:rsid w:val="00E56125"/>
    <w:rsid w:val="00E5612B"/>
    <w:rsid w:val="00E561D4"/>
    <w:rsid w:val="00E561FA"/>
    <w:rsid w:val="00E5637D"/>
    <w:rsid w:val="00E565C7"/>
    <w:rsid w:val="00E565FE"/>
    <w:rsid w:val="00E56837"/>
    <w:rsid w:val="00E568C2"/>
    <w:rsid w:val="00E56910"/>
    <w:rsid w:val="00E56950"/>
    <w:rsid w:val="00E56968"/>
    <w:rsid w:val="00E56998"/>
    <w:rsid w:val="00E569FB"/>
    <w:rsid w:val="00E56CD6"/>
    <w:rsid w:val="00E56D52"/>
    <w:rsid w:val="00E56D9E"/>
    <w:rsid w:val="00E56DDC"/>
    <w:rsid w:val="00E5700D"/>
    <w:rsid w:val="00E57028"/>
    <w:rsid w:val="00E57191"/>
    <w:rsid w:val="00E57215"/>
    <w:rsid w:val="00E572F4"/>
    <w:rsid w:val="00E573D7"/>
    <w:rsid w:val="00E57566"/>
    <w:rsid w:val="00E5757F"/>
    <w:rsid w:val="00E575E2"/>
    <w:rsid w:val="00E575EC"/>
    <w:rsid w:val="00E577AE"/>
    <w:rsid w:val="00E5782E"/>
    <w:rsid w:val="00E57853"/>
    <w:rsid w:val="00E57886"/>
    <w:rsid w:val="00E578B4"/>
    <w:rsid w:val="00E578CD"/>
    <w:rsid w:val="00E578EC"/>
    <w:rsid w:val="00E57AFE"/>
    <w:rsid w:val="00E57BBA"/>
    <w:rsid w:val="00E57C3E"/>
    <w:rsid w:val="00E57D69"/>
    <w:rsid w:val="00E57E47"/>
    <w:rsid w:val="00E57E8A"/>
    <w:rsid w:val="00E5AB0F"/>
    <w:rsid w:val="00E5DEB7"/>
    <w:rsid w:val="00E5EA60"/>
    <w:rsid w:val="00E60035"/>
    <w:rsid w:val="00E60062"/>
    <w:rsid w:val="00E6007B"/>
    <w:rsid w:val="00E60093"/>
    <w:rsid w:val="00E60175"/>
    <w:rsid w:val="00E60193"/>
    <w:rsid w:val="00E601AB"/>
    <w:rsid w:val="00E6029F"/>
    <w:rsid w:val="00E602EA"/>
    <w:rsid w:val="00E60660"/>
    <w:rsid w:val="00E6067A"/>
    <w:rsid w:val="00E606DC"/>
    <w:rsid w:val="00E607F1"/>
    <w:rsid w:val="00E60808"/>
    <w:rsid w:val="00E60816"/>
    <w:rsid w:val="00E608D5"/>
    <w:rsid w:val="00E60942"/>
    <w:rsid w:val="00E6097C"/>
    <w:rsid w:val="00E60A06"/>
    <w:rsid w:val="00E60A09"/>
    <w:rsid w:val="00E60A64"/>
    <w:rsid w:val="00E60B18"/>
    <w:rsid w:val="00E60CC0"/>
    <w:rsid w:val="00E60D3D"/>
    <w:rsid w:val="00E60D9B"/>
    <w:rsid w:val="00E60DCB"/>
    <w:rsid w:val="00E60DDD"/>
    <w:rsid w:val="00E60F0B"/>
    <w:rsid w:val="00E61098"/>
    <w:rsid w:val="00E610B7"/>
    <w:rsid w:val="00E610B9"/>
    <w:rsid w:val="00E6119B"/>
    <w:rsid w:val="00E61471"/>
    <w:rsid w:val="00E615B9"/>
    <w:rsid w:val="00E61692"/>
    <w:rsid w:val="00E6184F"/>
    <w:rsid w:val="00E6187E"/>
    <w:rsid w:val="00E61965"/>
    <w:rsid w:val="00E619D2"/>
    <w:rsid w:val="00E61A88"/>
    <w:rsid w:val="00E61BA8"/>
    <w:rsid w:val="00E61BDB"/>
    <w:rsid w:val="00E61BF7"/>
    <w:rsid w:val="00E61C90"/>
    <w:rsid w:val="00E61D27"/>
    <w:rsid w:val="00E61D47"/>
    <w:rsid w:val="00E61D5D"/>
    <w:rsid w:val="00E61E46"/>
    <w:rsid w:val="00E61E4E"/>
    <w:rsid w:val="00E620AD"/>
    <w:rsid w:val="00E62149"/>
    <w:rsid w:val="00E62170"/>
    <w:rsid w:val="00E62195"/>
    <w:rsid w:val="00E622EB"/>
    <w:rsid w:val="00E6236A"/>
    <w:rsid w:val="00E623C3"/>
    <w:rsid w:val="00E62430"/>
    <w:rsid w:val="00E62465"/>
    <w:rsid w:val="00E6249F"/>
    <w:rsid w:val="00E62559"/>
    <w:rsid w:val="00E62592"/>
    <w:rsid w:val="00E625A0"/>
    <w:rsid w:val="00E625EE"/>
    <w:rsid w:val="00E626E3"/>
    <w:rsid w:val="00E62732"/>
    <w:rsid w:val="00E628C8"/>
    <w:rsid w:val="00E62A94"/>
    <w:rsid w:val="00E62AE0"/>
    <w:rsid w:val="00E62E0A"/>
    <w:rsid w:val="00E62E13"/>
    <w:rsid w:val="00E62E27"/>
    <w:rsid w:val="00E62E54"/>
    <w:rsid w:val="00E62E5C"/>
    <w:rsid w:val="00E62EDF"/>
    <w:rsid w:val="00E62EF1"/>
    <w:rsid w:val="00E62FEC"/>
    <w:rsid w:val="00E63133"/>
    <w:rsid w:val="00E631FA"/>
    <w:rsid w:val="00E631FC"/>
    <w:rsid w:val="00E632BE"/>
    <w:rsid w:val="00E632C0"/>
    <w:rsid w:val="00E632F3"/>
    <w:rsid w:val="00E63327"/>
    <w:rsid w:val="00E633AC"/>
    <w:rsid w:val="00E633C7"/>
    <w:rsid w:val="00E633F4"/>
    <w:rsid w:val="00E63471"/>
    <w:rsid w:val="00E63550"/>
    <w:rsid w:val="00E6360E"/>
    <w:rsid w:val="00E63661"/>
    <w:rsid w:val="00E637AE"/>
    <w:rsid w:val="00E637ED"/>
    <w:rsid w:val="00E638AE"/>
    <w:rsid w:val="00E639E5"/>
    <w:rsid w:val="00E639E6"/>
    <w:rsid w:val="00E63A14"/>
    <w:rsid w:val="00E63A5E"/>
    <w:rsid w:val="00E63C02"/>
    <w:rsid w:val="00E63DA9"/>
    <w:rsid w:val="00E63DF4"/>
    <w:rsid w:val="00E63EFA"/>
    <w:rsid w:val="00E63F38"/>
    <w:rsid w:val="00E640B7"/>
    <w:rsid w:val="00E643DA"/>
    <w:rsid w:val="00E643EE"/>
    <w:rsid w:val="00E64758"/>
    <w:rsid w:val="00E647C5"/>
    <w:rsid w:val="00E647E7"/>
    <w:rsid w:val="00E64801"/>
    <w:rsid w:val="00E64854"/>
    <w:rsid w:val="00E6486D"/>
    <w:rsid w:val="00E64884"/>
    <w:rsid w:val="00E648A5"/>
    <w:rsid w:val="00E648AA"/>
    <w:rsid w:val="00E648F8"/>
    <w:rsid w:val="00E64937"/>
    <w:rsid w:val="00E64986"/>
    <w:rsid w:val="00E64A0A"/>
    <w:rsid w:val="00E64A78"/>
    <w:rsid w:val="00E64AB5"/>
    <w:rsid w:val="00E64CEA"/>
    <w:rsid w:val="00E64D07"/>
    <w:rsid w:val="00E64D3B"/>
    <w:rsid w:val="00E64D90"/>
    <w:rsid w:val="00E64DF6"/>
    <w:rsid w:val="00E64E21"/>
    <w:rsid w:val="00E64E6E"/>
    <w:rsid w:val="00E64EE3"/>
    <w:rsid w:val="00E64F2E"/>
    <w:rsid w:val="00E64F34"/>
    <w:rsid w:val="00E64F78"/>
    <w:rsid w:val="00E65089"/>
    <w:rsid w:val="00E650D1"/>
    <w:rsid w:val="00E65154"/>
    <w:rsid w:val="00E653C7"/>
    <w:rsid w:val="00E653E4"/>
    <w:rsid w:val="00E65565"/>
    <w:rsid w:val="00E65609"/>
    <w:rsid w:val="00E6570F"/>
    <w:rsid w:val="00E65726"/>
    <w:rsid w:val="00E658ED"/>
    <w:rsid w:val="00E658FF"/>
    <w:rsid w:val="00E65965"/>
    <w:rsid w:val="00E659F3"/>
    <w:rsid w:val="00E65ACC"/>
    <w:rsid w:val="00E65BD2"/>
    <w:rsid w:val="00E65E3A"/>
    <w:rsid w:val="00E65F68"/>
    <w:rsid w:val="00E65FE9"/>
    <w:rsid w:val="00E66036"/>
    <w:rsid w:val="00E660B9"/>
    <w:rsid w:val="00E6611E"/>
    <w:rsid w:val="00E662E2"/>
    <w:rsid w:val="00E66320"/>
    <w:rsid w:val="00E66334"/>
    <w:rsid w:val="00E6641D"/>
    <w:rsid w:val="00E66429"/>
    <w:rsid w:val="00E6655F"/>
    <w:rsid w:val="00E6682D"/>
    <w:rsid w:val="00E6695C"/>
    <w:rsid w:val="00E669E1"/>
    <w:rsid w:val="00E66A52"/>
    <w:rsid w:val="00E66B24"/>
    <w:rsid w:val="00E66B61"/>
    <w:rsid w:val="00E66B8A"/>
    <w:rsid w:val="00E66BF2"/>
    <w:rsid w:val="00E66C5F"/>
    <w:rsid w:val="00E66CCC"/>
    <w:rsid w:val="00E66DEC"/>
    <w:rsid w:val="00E66F15"/>
    <w:rsid w:val="00E67045"/>
    <w:rsid w:val="00E670C7"/>
    <w:rsid w:val="00E671C6"/>
    <w:rsid w:val="00E671F5"/>
    <w:rsid w:val="00E67210"/>
    <w:rsid w:val="00E6721D"/>
    <w:rsid w:val="00E672E0"/>
    <w:rsid w:val="00E673D4"/>
    <w:rsid w:val="00E67506"/>
    <w:rsid w:val="00E67627"/>
    <w:rsid w:val="00E676AC"/>
    <w:rsid w:val="00E67708"/>
    <w:rsid w:val="00E6776B"/>
    <w:rsid w:val="00E67793"/>
    <w:rsid w:val="00E677D8"/>
    <w:rsid w:val="00E67B17"/>
    <w:rsid w:val="00E67B49"/>
    <w:rsid w:val="00E67C0B"/>
    <w:rsid w:val="00E67C11"/>
    <w:rsid w:val="00E67D5A"/>
    <w:rsid w:val="00E67D7C"/>
    <w:rsid w:val="00E67D7E"/>
    <w:rsid w:val="00E67D98"/>
    <w:rsid w:val="00E67E40"/>
    <w:rsid w:val="00E67E46"/>
    <w:rsid w:val="00E67F30"/>
    <w:rsid w:val="00E67F6B"/>
    <w:rsid w:val="00E67FEB"/>
    <w:rsid w:val="00E687E3"/>
    <w:rsid w:val="00E70004"/>
    <w:rsid w:val="00E70051"/>
    <w:rsid w:val="00E70055"/>
    <w:rsid w:val="00E7013C"/>
    <w:rsid w:val="00E70201"/>
    <w:rsid w:val="00E70508"/>
    <w:rsid w:val="00E7054E"/>
    <w:rsid w:val="00E70606"/>
    <w:rsid w:val="00E70718"/>
    <w:rsid w:val="00E707FA"/>
    <w:rsid w:val="00E70848"/>
    <w:rsid w:val="00E70A95"/>
    <w:rsid w:val="00E70ADB"/>
    <w:rsid w:val="00E70AEA"/>
    <w:rsid w:val="00E70B4A"/>
    <w:rsid w:val="00E70BEC"/>
    <w:rsid w:val="00E70BF2"/>
    <w:rsid w:val="00E70C12"/>
    <w:rsid w:val="00E70CC5"/>
    <w:rsid w:val="00E70EE8"/>
    <w:rsid w:val="00E70F05"/>
    <w:rsid w:val="00E7102D"/>
    <w:rsid w:val="00E7107A"/>
    <w:rsid w:val="00E710C4"/>
    <w:rsid w:val="00E7124E"/>
    <w:rsid w:val="00E712FF"/>
    <w:rsid w:val="00E71314"/>
    <w:rsid w:val="00E71376"/>
    <w:rsid w:val="00E7144A"/>
    <w:rsid w:val="00E71517"/>
    <w:rsid w:val="00E71613"/>
    <w:rsid w:val="00E7161C"/>
    <w:rsid w:val="00E71667"/>
    <w:rsid w:val="00E716BD"/>
    <w:rsid w:val="00E716CC"/>
    <w:rsid w:val="00E7174F"/>
    <w:rsid w:val="00E71806"/>
    <w:rsid w:val="00E718C5"/>
    <w:rsid w:val="00E71913"/>
    <w:rsid w:val="00E71A27"/>
    <w:rsid w:val="00E71D04"/>
    <w:rsid w:val="00E71ECF"/>
    <w:rsid w:val="00E71EFE"/>
    <w:rsid w:val="00E71F6B"/>
    <w:rsid w:val="00E71F7C"/>
    <w:rsid w:val="00E71F91"/>
    <w:rsid w:val="00E71FEC"/>
    <w:rsid w:val="00E720A2"/>
    <w:rsid w:val="00E72180"/>
    <w:rsid w:val="00E721A2"/>
    <w:rsid w:val="00E721B1"/>
    <w:rsid w:val="00E7232A"/>
    <w:rsid w:val="00E723FC"/>
    <w:rsid w:val="00E72480"/>
    <w:rsid w:val="00E724AE"/>
    <w:rsid w:val="00E724FB"/>
    <w:rsid w:val="00E72504"/>
    <w:rsid w:val="00E7252D"/>
    <w:rsid w:val="00E725D9"/>
    <w:rsid w:val="00E725DB"/>
    <w:rsid w:val="00E72685"/>
    <w:rsid w:val="00E726D2"/>
    <w:rsid w:val="00E727A1"/>
    <w:rsid w:val="00E7295E"/>
    <w:rsid w:val="00E729D7"/>
    <w:rsid w:val="00E72A17"/>
    <w:rsid w:val="00E72AB5"/>
    <w:rsid w:val="00E72B24"/>
    <w:rsid w:val="00E72B5B"/>
    <w:rsid w:val="00E72BDD"/>
    <w:rsid w:val="00E72BE0"/>
    <w:rsid w:val="00E72C2E"/>
    <w:rsid w:val="00E72C51"/>
    <w:rsid w:val="00E72CC1"/>
    <w:rsid w:val="00E72DAD"/>
    <w:rsid w:val="00E72FEB"/>
    <w:rsid w:val="00E7306A"/>
    <w:rsid w:val="00E73086"/>
    <w:rsid w:val="00E730E1"/>
    <w:rsid w:val="00E7329F"/>
    <w:rsid w:val="00E734C9"/>
    <w:rsid w:val="00E7352E"/>
    <w:rsid w:val="00E73598"/>
    <w:rsid w:val="00E73753"/>
    <w:rsid w:val="00E73878"/>
    <w:rsid w:val="00E73903"/>
    <w:rsid w:val="00E73A88"/>
    <w:rsid w:val="00E73A98"/>
    <w:rsid w:val="00E73AEB"/>
    <w:rsid w:val="00E73B43"/>
    <w:rsid w:val="00E73B77"/>
    <w:rsid w:val="00E73BB6"/>
    <w:rsid w:val="00E73C51"/>
    <w:rsid w:val="00E73CDA"/>
    <w:rsid w:val="00E73D1D"/>
    <w:rsid w:val="00E73D22"/>
    <w:rsid w:val="00E73D35"/>
    <w:rsid w:val="00E73D8A"/>
    <w:rsid w:val="00E73DF6"/>
    <w:rsid w:val="00E73E0D"/>
    <w:rsid w:val="00E73E16"/>
    <w:rsid w:val="00E73E29"/>
    <w:rsid w:val="00E73EA7"/>
    <w:rsid w:val="00E73FD5"/>
    <w:rsid w:val="00E73FE3"/>
    <w:rsid w:val="00E73FF3"/>
    <w:rsid w:val="00E7405F"/>
    <w:rsid w:val="00E74076"/>
    <w:rsid w:val="00E740A8"/>
    <w:rsid w:val="00E740B7"/>
    <w:rsid w:val="00E74178"/>
    <w:rsid w:val="00E741CD"/>
    <w:rsid w:val="00E742AC"/>
    <w:rsid w:val="00E742C5"/>
    <w:rsid w:val="00E742CD"/>
    <w:rsid w:val="00E7431C"/>
    <w:rsid w:val="00E74382"/>
    <w:rsid w:val="00E744A4"/>
    <w:rsid w:val="00E7457C"/>
    <w:rsid w:val="00E745ED"/>
    <w:rsid w:val="00E74692"/>
    <w:rsid w:val="00E746B2"/>
    <w:rsid w:val="00E746EE"/>
    <w:rsid w:val="00E74783"/>
    <w:rsid w:val="00E747D7"/>
    <w:rsid w:val="00E747DC"/>
    <w:rsid w:val="00E74884"/>
    <w:rsid w:val="00E7491B"/>
    <w:rsid w:val="00E7494F"/>
    <w:rsid w:val="00E749AF"/>
    <w:rsid w:val="00E749FE"/>
    <w:rsid w:val="00E74A69"/>
    <w:rsid w:val="00E74AC5"/>
    <w:rsid w:val="00E74AD8"/>
    <w:rsid w:val="00E74BF0"/>
    <w:rsid w:val="00E74C60"/>
    <w:rsid w:val="00E74CC5"/>
    <w:rsid w:val="00E74D36"/>
    <w:rsid w:val="00E74E0F"/>
    <w:rsid w:val="00E74E22"/>
    <w:rsid w:val="00E74E90"/>
    <w:rsid w:val="00E74F42"/>
    <w:rsid w:val="00E74FD0"/>
    <w:rsid w:val="00E75094"/>
    <w:rsid w:val="00E7517C"/>
    <w:rsid w:val="00E75214"/>
    <w:rsid w:val="00E752D9"/>
    <w:rsid w:val="00E753FB"/>
    <w:rsid w:val="00E754DD"/>
    <w:rsid w:val="00E75545"/>
    <w:rsid w:val="00E75577"/>
    <w:rsid w:val="00E7559D"/>
    <w:rsid w:val="00E755B1"/>
    <w:rsid w:val="00E755F3"/>
    <w:rsid w:val="00E75652"/>
    <w:rsid w:val="00E756D9"/>
    <w:rsid w:val="00E75778"/>
    <w:rsid w:val="00E757FF"/>
    <w:rsid w:val="00E7584B"/>
    <w:rsid w:val="00E75896"/>
    <w:rsid w:val="00E75943"/>
    <w:rsid w:val="00E75B87"/>
    <w:rsid w:val="00E75C2C"/>
    <w:rsid w:val="00E75C68"/>
    <w:rsid w:val="00E75D22"/>
    <w:rsid w:val="00E75DB5"/>
    <w:rsid w:val="00E75E2C"/>
    <w:rsid w:val="00E75EDA"/>
    <w:rsid w:val="00E75F06"/>
    <w:rsid w:val="00E75FA5"/>
    <w:rsid w:val="00E75FC7"/>
    <w:rsid w:val="00E75FD5"/>
    <w:rsid w:val="00E75FDC"/>
    <w:rsid w:val="00E7616C"/>
    <w:rsid w:val="00E761A5"/>
    <w:rsid w:val="00E761FC"/>
    <w:rsid w:val="00E762AE"/>
    <w:rsid w:val="00E7631E"/>
    <w:rsid w:val="00E76376"/>
    <w:rsid w:val="00E76382"/>
    <w:rsid w:val="00E7641F"/>
    <w:rsid w:val="00E76447"/>
    <w:rsid w:val="00E76459"/>
    <w:rsid w:val="00E7678E"/>
    <w:rsid w:val="00E767DF"/>
    <w:rsid w:val="00E76831"/>
    <w:rsid w:val="00E768A3"/>
    <w:rsid w:val="00E76956"/>
    <w:rsid w:val="00E76A6A"/>
    <w:rsid w:val="00E76B38"/>
    <w:rsid w:val="00E76C93"/>
    <w:rsid w:val="00E76CAE"/>
    <w:rsid w:val="00E76CB8"/>
    <w:rsid w:val="00E76DA9"/>
    <w:rsid w:val="00E76DCE"/>
    <w:rsid w:val="00E76E64"/>
    <w:rsid w:val="00E76ED6"/>
    <w:rsid w:val="00E76FF5"/>
    <w:rsid w:val="00E77003"/>
    <w:rsid w:val="00E7705A"/>
    <w:rsid w:val="00E770AE"/>
    <w:rsid w:val="00E771DF"/>
    <w:rsid w:val="00E77236"/>
    <w:rsid w:val="00E77273"/>
    <w:rsid w:val="00E7730D"/>
    <w:rsid w:val="00E7735F"/>
    <w:rsid w:val="00E7736F"/>
    <w:rsid w:val="00E77397"/>
    <w:rsid w:val="00E773D4"/>
    <w:rsid w:val="00E773EB"/>
    <w:rsid w:val="00E77459"/>
    <w:rsid w:val="00E775A2"/>
    <w:rsid w:val="00E77611"/>
    <w:rsid w:val="00E7776A"/>
    <w:rsid w:val="00E77772"/>
    <w:rsid w:val="00E77785"/>
    <w:rsid w:val="00E7792A"/>
    <w:rsid w:val="00E77951"/>
    <w:rsid w:val="00E77969"/>
    <w:rsid w:val="00E779A6"/>
    <w:rsid w:val="00E77A12"/>
    <w:rsid w:val="00E77C88"/>
    <w:rsid w:val="00E77CA5"/>
    <w:rsid w:val="00E77CAF"/>
    <w:rsid w:val="00E77CBD"/>
    <w:rsid w:val="00E77CF6"/>
    <w:rsid w:val="00E77DCD"/>
    <w:rsid w:val="00E77E1C"/>
    <w:rsid w:val="00E77E23"/>
    <w:rsid w:val="00E77E7E"/>
    <w:rsid w:val="00E77FAE"/>
    <w:rsid w:val="00E7ABF6"/>
    <w:rsid w:val="00E800D1"/>
    <w:rsid w:val="00E8025D"/>
    <w:rsid w:val="00E802CD"/>
    <w:rsid w:val="00E8031C"/>
    <w:rsid w:val="00E8038F"/>
    <w:rsid w:val="00E8045C"/>
    <w:rsid w:val="00E804A3"/>
    <w:rsid w:val="00E8056F"/>
    <w:rsid w:val="00E805D3"/>
    <w:rsid w:val="00E806E6"/>
    <w:rsid w:val="00E80710"/>
    <w:rsid w:val="00E8087C"/>
    <w:rsid w:val="00E8093A"/>
    <w:rsid w:val="00E80948"/>
    <w:rsid w:val="00E8099C"/>
    <w:rsid w:val="00E809E6"/>
    <w:rsid w:val="00E80A10"/>
    <w:rsid w:val="00E80AAA"/>
    <w:rsid w:val="00E80D20"/>
    <w:rsid w:val="00E80D68"/>
    <w:rsid w:val="00E80D69"/>
    <w:rsid w:val="00E80D91"/>
    <w:rsid w:val="00E80E78"/>
    <w:rsid w:val="00E80E89"/>
    <w:rsid w:val="00E80EEC"/>
    <w:rsid w:val="00E80F68"/>
    <w:rsid w:val="00E80FBF"/>
    <w:rsid w:val="00E80FF7"/>
    <w:rsid w:val="00E8112B"/>
    <w:rsid w:val="00E811A3"/>
    <w:rsid w:val="00E811BB"/>
    <w:rsid w:val="00E811D7"/>
    <w:rsid w:val="00E8120C"/>
    <w:rsid w:val="00E81227"/>
    <w:rsid w:val="00E81263"/>
    <w:rsid w:val="00E812DD"/>
    <w:rsid w:val="00E81374"/>
    <w:rsid w:val="00E813CD"/>
    <w:rsid w:val="00E81408"/>
    <w:rsid w:val="00E8146A"/>
    <w:rsid w:val="00E81528"/>
    <w:rsid w:val="00E8172E"/>
    <w:rsid w:val="00E818EF"/>
    <w:rsid w:val="00E81A2D"/>
    <w:rsid w:val="00E81BA9"/>
    <w:rsid w:val="00E81BD2"/>
    <w:rsid w:val="00E81BDC"/>
    <w:rsid w:val="00E81C1F"/>
    <w:rsid w:val="00E81CA1"/>
    <w:rsid w:val="00E81CF4"/>
    <w:rsid w:val="00E81D0B"/>
    <w:rsid w:val="00E81E01"/>
    <w:rsid w:val="00E81E34"/>
    <w:rsid w:val="00E81E68"/>
    <w:rsid w:val="00E81EF2"/>
    <w:rsid w:val="00E81F19"/>
    <w:rsid w:val="00E81F90"/>
    <w:rsid w:val="00E81FA1"/>
    <w:rsid w:val="00E8210E"/>
    <w:rsid w:val="00E821B4"/>
    <w:rsid w:val="00E821D4"/>
    <w:rsid w:val="00E8227C"/>
    <w:rsid w:val="00E822E3"/>
    <w:rsid w:val="00E824D4"/>
    <w:rsid w:val="00E82532"/>
    <w:rsid w:val="00E82625"/>
    <w:rsid w:val="00E82764"/>
    <w:rsid w:val="00E82804"/>
    <w:rsid w:val="00E82843"/>
    <w:rsid w:val="00E82852"/>
    <w:rsid w:val="00E828A3"/>
    <w:rsid w:val="00E828A6"/>
    <w:rsid w:val="00E829D5"/>
    <w:rsid w:val="00E82A69"/>
    <w:rsid w:val="00E82AEB"/>
    <w:rsid w:val="00E82C76"/>
    <w:rsid w:val="00E82E0C"/>
    <w:rsid w:val="00E82E55"/>
    <w:rsid w:val="00E82E95"/>
    <w:rsid w:val="00E82EC3"/>
    <w:rsid w:val="00E82F31"/>
    <w:rsid w:val="00E82F3A"/>
    <w:rsid w:val="00E82FA0"/>
    <w:rsid w:val="00E82FC5"/>
    <w:rsid w:val="00E83031"/>
    <w:rsid w:val="00E83174"/>
    <w:rsid w:val="00E832D7"/>
    <w:rsid w:val="00E83481"/>
    <w:rsid w:val="00E8353A"/>
    <w:rsid w:val="00E83553"/>
    <w:rsid w:val="00E835E1"/>
    <w:rsid w:val="00E8361B"/>
    <w:rsid w:val="00E83686"/>
    <w:rsid w:val="00E837BA"/>
    <w:rsid w:val="00E837BD"/>
    <w:rsid w:val="00E837C4"/>
    <w:rsid w:val="00E837DB"/>
    <w:rsid w:val="00E83A2D"/>
    <w:rsid w:val="00E83AF9"/>
    <w:rsid w:val="00E83C65"/>
    <w:rsid w:val="00E83C66"/>
    <w:rsid w:val="00E83CE8"/>
    <w:rsid w:val="00E83D23"/>
    <w:rsid w:val="00E83D5E"/>
    <w:rsid w:val="00E83DA9"/>
    <w:rsid w:val="00E83EFD"/>
    <w:rsid w:val="00E83F31"/>
    <w:rsid w:val="00E83F52"/>
    <w:rsid w:val="00E83FB7"/>
    <w:rsid w:val="00E84041"/>
    <w:rsid w:val="00E84059"/>
    <w:rsid w:val="00E840A6"/>
    <w:rsid w:val="00E84181"/>
    <w:rsid w:val="00E84219"/>
    <w:rsid w:val="00E8421B"/>
    <w:rsid w:val="00E84248"/>
    <w:rsid w:val="00E84290"/>
    <w:rsid w:val="00E842AB"/>
    <w:rsid w:val="00E842E3"/>
    <w:rsid w:val="00E84342"/>
    <w:rsid w:val="00E843B2"/>
    <w:rsid w:val="00E843C9"/>
    <w:rsid w:val="00E844EF"/>
    <w:rsid w:val="00E845E4"/>
    <w:rsid w:val="00E845E8"/>
    <w:rsid w:val="00E846AC"/>
    <w:rsid w:val="00E84781"/>
    <w:rsid w:val="00E847BC"/>
    <w:rsid w:val="00E8482A"/>
    <w:rsid w:val="00E848E3"/>
    <w:rsid w:val="00E84996"/>
    <w:rsid w:val="00E849A2"/>
    <w:rsid w:val="00E849D7"/>
    <w:rsid w:val="00E849F6"/>
    <w:rsid w:val="00E84A51"/>
    <w:rsid w:val="00E84AAD"/>
    <w:rsid w:val="00E84ADF"/>
    <w:rsid w:val="00E84B37"/>
    <w:rsid w:val="00E84B3A"/>
    <w:rsid w:val="00E84BE5"/>
    <w:rsid w:val="00E84C40"/>
    <w:rsid w:val="00E84C65"/>
    <w:rsid w:val="00E84CB1"/>
    <w:rsid w:val="00E84D89"/>
    <w:rsid w:val="00E84D8A"/>
    <w:rsid w:val="00E84DA3"/>
    <w:rsid w:val="00E84E60"/>
    <w:rsid w:val="00E84E81"/>
    <w:rsid w:val="00E84EA2"/>
    <w:rsid w:val="00E84FA0"/>
    <w:rsid w:val="00E85021"/>
    <w:rsid w:val="00E850B8"/>
    <w:rsid w:val="00E850D6"/>
    <w:rsid w:val="00E850F4"/>
    <w:rsid w:val="00E85124"/>
    <w:rsid w:val="00E85313"/>
    <w:rsid w:val="00E85327"/>
    <w:rsid w:val="00E853AC"/>
    <w:rsid w:val="00E853FE"/>
    <w:rsid w:val="00E85486"/>
    <w:rsid w:val="00E8553C"/>
    <w:rsid w:val="00E85541"/>
    <w:rsid w:val="00E855A5"/>
    <w:rsid w:val="00E856C8"/>
    <w:rsid w:val="00E856D0"/>
    <w:rsid w:val="00E856D2"/>
    <w:rsid w:val="00E8573F"/>
    <w:rsid w:val="00E85745"/>
    <w:rsid w:val="00E857B0"/>
    <w:rsid w:val="00E8582F"/>
    <w:rsid w:val="00E858A5"/>
    <w:rsid w:val="00E85947"/>
    <w:rsid w:val="00E85948"/>
    <w:rsid w:val="00E85ABE"/>
    <w:rsid w:val="00E85B2E"/>
    <w:rsid w:val="00E85B72"/>
    <w:rsid w:val="00E85D79"/>
    <w:rsid w:val="00E85DF6"/>
    <w:rsid w:val="00E85E30"/>
    <w:rsid w:val="00E85E40"/>
    <w:rsid w:val="00E85E6E"/>
    <w:rsid w:val="00E85EB3"/>
    <w:rsid w:val="00E86007"/>
    <w:rsid w:val="00E860A6"/>
    <w:rsid w:val="00E860D8"/>
    <w:rsid w:val="00E86163"/>
    <w:rsid w:val="00E861F7"/>
    <w:rsid w:val="00E86303"/>
    <w:rsid w:val="00E86354"/>
    <w:rsid w:val="00E86412"/>
    <w:rsid w:val="00E86446"/>
    <w:rsid w:val="00E86460"/>
    <w:rsid w:val="00E86478"/>
    <w:rsid w:val="00E865EB"/>
    <w:rsid w:val="00E866CA"/>
    <w:rsid w:val="00E866D9"/>
    <w:rsid w:val="00E86855"/>
    <w:rsid w:val="00E868A5"/>
    <w:rsid w:val="00E86910"/>
    <w:rsid w:val="00E86A5A"/>
    <w:rsid w:val="00E86BFA"/>
    <w:rsid w:val="00E86DBB"/>
    <w:rsid w:val="00E870CB"/>
    <w:rsid w:val="00E8716B"/>
    <w:rsid w:val="00E871BB"/>
    <w:rsid w:val="00E871D7"/>
    <w:rsid w:val="00E8724E"/>
    <w:rsid w:val="00E8725E"/>
    <w:rsid w:val="00E87299"/>
    <w:rsid w:val="00E873DD"/>
    <w:rsid w:val="00E874D3"/>
    <w:rsid w:val="00E8754C"/>
    <w:rsid w:val="00E87AFA"/>
    <w:rsid w:val="00E87C82"/>
    <w:rsid w:val="00E87C97"/>
    <w:rsid w:val="00E87CF2"/>
    <w:rsid w:val="00E87D30"/>
    <w:rsid w:val="00E87D3A"/>
    <w:rsid w:val="00E87D9C"/>
    <w:rsid w:val="00E87DD6"/>
    <w:rsid w:val="00E87F3B"/>
    <w:rsid w:val="00E87F40"/>
    <w:rsid w:val="00E87FC3"/>
    <w:rsid w:val="00E87FDB"/>
    <w:rsid w:val="00E8B885"/>
    <w:rsid w:val="00E8E383"/>
    <w:rsid w:val="00E90023"/>
    <w:rsid w:val="00E90074"/>
    <w:rsid w:val="00E90186"/>
    <w:rsid w:val="00E9021F"/>
    <w:rsid w:val="00E90233"/>
    <w:rsid w:val="00E903C1"/>
    <w:rsid w:val="00E903CD"/>
    <w:rsid w:val="00E903D6"/>
    <w:rsid w:val="00E9048A"/>
    <w:rsid w:val="00E9056F"/>
    <w:rsid w:val="00E906A6"/>
    <w:rsid w:val="00E9078D"/>
    <w:rsid w:val="00E9084E"/>
    <w:rsid w:val="00E9088D"/>
    <w:rsid w:val="00E9090B"/>
    <w:rsid w:val="00E90921"/>
    <w:rsid w:val="00E90925"/>
    <w:rsid w:val="00E90929"/>
    <w:rsid w:val="00E90954"/>
    <w:rsid w:val="00E909EB"/>
    <w:rsid w:val="00E909F5"/>
    <w:rsid w:val="00E90A0B"/>
    <w:rsid w:val="00E90BD1"/>
    <w:rsid w:val="00E90C93"/>
    <w:rsid w:val="00E90D04"/>
    <w:rsid w:val="00E90DB7"/>
    <w:rsid w:val="00E90EBE"/>
    <w:rsid w:val="00E90F05"/>
    <w:rsid w:val="00E90F25"/>
    <w:rsid w:val="00E90F37"/>
    <w:rsid w:val="00E90F6B"/>
    <w:rsid w:val="00E9100C"/>
    <w:rsid w:val="00E91025"/>
    <w:rsid w:val="00E91071"/>
    <w:rsid w:val="00E910C7"/>
    <w:rsid w:val="00E91117"/>
    <w:rsid w:val="00E9119C"/>
    <w:rsid w:val="00E912A4"/>
    <w:rsid w:val="00E913B2"/>
    <w:rsid w:val="00E913CF"/>
    <w:rsid w:val="00E91586"/>
    <w:rsid w:val="00E915EE"/>
    <w:rsid w:val="00E916BC"/>
    <w:rsid w:val="00E916EC"/>
    <w:rsid w:val="00E91747"/>
    <w:rsid w:val="00E9184C"/>
    <w:rsid w:val="00E91945"/>
    <w:rsid w:val="00E91A17"/>
    <w:rsid w:val="00E91A9B"/>
    <w:rsid w:val="00E91ABE"/>
    <w:rsid w:val="00E91AEE"/>
    <w:rsid w:val="00E91B0E"/>
    <w:rsid w:val="00E91CCF"/>
    <w:rsid w:val="00E91CED"/>
    <w:rsid w:val="00E91D35"/>
    <w:rsid w:val="00E91DF8"/>
    <w:rsid w:val="00E91E78"/>
    <w:rsid w:val="00E91E97"/>
    <w:rsid w:val="00E91ECB"/>
    <w:rsid w:val="00E91ECF"/>
    <w:rsid w:val="00E91ED1"/>
    <w:rsid w:val="00E91ED4"/>
    <w:rsid w:val="00E91ED6"/>
    <w:rsid w:val="00E91FE7"/>
    <w:rsid w:val="00E92102"/>
    <w:rsid w:val="00E92126"/>
    <w:rsid w:val="00E9215B"/>
    <w:rsid w:val="00E9217A"/>
    <w:rsid w:val="00E92192"/>
    <w:rsid w:val="00E9219E"/>
    <w:rsid w:val="00E921E0"/>
    <w:rsid w:val="00E9225A"/>
    <w:rsid w:val="00E922EF"/>
    <w:rsid w:val="00E92308"/>
    <w:rsid w:val="00E9234B"/>
    <w:rsid w:val="00E92353"/>
    <w:rsid w:val="00E923DA"/>
    <w:rsid w:val="00E92457"/>
    <w:rsid w:val="00E924C5"/>
    <w:rsid w:val="00E925CC"/>
    <w:rsid w:val="00E92690"/>
    <w:rsid w:val="00E927E1"/>
    <w:rsid w:val="00E92831"/>
    <w:rsid w:val="00E92870"/>
    <w:rsid w:val="00E928E2"/>
    <w:rsid w:val="00E9291F"/>
    <w:rsid w:val="00E929AA"/>
    <w:rsid w:val="00E929E6"/>
    <w:rsid w:val="00E92A94"/>
    <w:rsid w:val="00E92AD0"/>
    <w:rsid w:val="00E92AF6"/>
    <w:rsid w:val="00E92BE9"/>
    <w:rsid w:val="00E92D1B"/>
    <w:rsid w:val="00E92D5F"/>
    <w:rsid w:val="00E92F4C"/>
    <w:rsid w:val="00E92FD1"/>
    <w:rsid w:val="00E93157"/>
    <w:rsid w:val="00E93284"/>
    <w:rsid w:val="00E9332D"/>
    <w:rsid w:val="00E93345"/>
    <w:rsid w:val="00E93509"/>
    <w:rsid w:val="00E9360B"/>
    <w:rsid w:val="00E9361B"/>
    <w:rsid w:val="00E9374C"/>
    <w:rsid w:val="00E9374F"/>
    <w:rsid w:val="00E937FA"/>
    <w:rsid w:val="00E9388B"/>
    <w:rsid w:val="00E938E9"/>
    <w:rsid w:val="00E9394E"/>
    <w:rsid w:val="00E93A97"/>
    <w:rsid w:val="00E93AB0"/>
    <w:rsid w:val="00E93B60"/>
    <w:rsid w:val="00E93D78"/>
    <w:rsid w:val="00E93DA1"/>
    <w:rsid w:val="00E93DF0"/>
    <w:rsid w:val="00E93E87"/>
    <w:rsid w:val="00E93EA5"/>
    <w:rsid w:val="00E93F2E"/>
    <w:rsid w:val="00E93FDB"/>
    <w:rsid w:val="00E9400A"/>
    <w:rsid w:val="00E94087"/>
    <w:rsid w:val="00E940CA"/>
    <w:rsid w:val="00E940E3"/>
    <w:rsid w:val="00E941A1"/>
    <w:rsid w:val="00E9420C"/>
    <w:rsid w:val="00E94226"/>
    <w:rsid w:val="00E94404"/>
    <w:rsid w:val="00E9458A"/>
    <w:rsid w:val="00E945F7"/>
    <w:rsid w:val="00E946F8"/>
    <w:rsid w:val="00E946FA"/>
    <w:rsid w:val="00E9472C"/>
    <w:rsid w:val="00E949EF"/>
    <w:rsid w:val="00E94A49"/>
    <w:rsid w:val="00E94A9C"/>
    <w:rsid w:val="00E94ABF"/>
    <w:rsid w:val="00E94B51"/>
    <w:rsid w:val="00E94B6C"/>
    <w:rsid w:val="00E94BE9"/>
    <w:rsid w:val="00E94CB1"/>
    <w:rsid w:val="00E94CBC"/>
    <w:rsid w:val="00E94CFC"/>
    <w:rsid w:val="00E94DB4"/>
    <w:rsid w:val="00E94EAD"/>
    <w:rsid w:val="00E94FC4"/>
    <w:rsid w:val="00E9508E"/>
    <w:rsid w:val="00E95113"/>
    <w:rsid w:val="00E95154"/>
    <w:rsid w:val="00E95169"/>
    <w:rsid w:val="00E951F0"/>
    <w:rsid w:val="00E952AC"/>
    <w:rsid w:val="00E95362"/>
    <w:rsid w:val="00E95380"/>
    <w:rsid w:val="00E953FA"/>
    <w:rsid w:val="00E954B0"/>
    <w:rsid w:val="00E9571C"/>
    <w:rsid w:val="00E957BA"/>
    <w:rsid w:val="00E957D5"/>
    <w:rsid w:val="00E9586B"/>
    <w:rsid w:val="00E95885"/>
    <w:rsid w:val="00E95A30"/>
    <w:rsid w:val="00E95B6C"/>
    <w:rsid w:val="00E95B75"/>
    <w:rsid w:val="00E95B8F"/>
    <w:rsid w:val="00E95B92"/>
    <w:rsid w:val="00E95BC2"/>
    <w:rsid w:val="00E95C48"/>
    <w:rsid w:val="00E95C9E"/>
    <w:rsid w:val="00E95DDE"/>
    <w:rsid w:val="00E95E53"/>
    <w:rsid w:val="00E95E96"/>
    <w:rsid w:val="00E95EC9"/>
    <w:rsid w:val="00E95F76"/>
    <w:rsid w:val="00E960F4"/>
    <w:rsid w:val="00E96109"/>
    <w:rsid w:val="00E96219"/>
    <w:rsid w:val="00E964A7"/>
    <w:rsid w:val="00E964D7"/>
    <w:rsid w:val="00E964EF"/>
    <w:rsid w:val="00E9667E"/>
    <w:rsid w:val="00E966D0"/>
    <w:rsid w:val="00E96975"/>
    <w:rsid w:val="00E9699A"/>
    <w:rsid w:val="00E969F1"/>
    <w:rsid w:val="00E96A5C"/>
    <w:rsid w:val="00E96A7C"/>
    <w:rsid w:val="00E96B65"/>
    <w:rsid w:val="00E96B93"/>
    <w:rsid w:val="00E96BA8"/>
    <w:rsid w:val="00E96CE2"/>
    <w:rsid w:val="00E96E18"/>
    <w:rsid w:val="00E96FAB"/>
    <w:rsid w:val="00E97077"/>
    <w:rsid w:val="00E97175"/>
    <w:rsid w:val="00E971AD"/>
    <w:rsid w:val="00E971E8"/>
    <w:rsid w:val="00E97262"/>
    <w:rsid w:val="00E972C4"/>
    <w:rsid w:val="00E97354"/>
    <w:rsid w:val="00E97527"/>
    <w:rsid w:val="00E97559"/>
    <w:rsid w:val="00E97871"/>
    <w:rsid w:val="00E97996"/>
    <w:rsid w:val="00E9799D"/>
    <w:rsid w:val="00E979AE"/>
    <w:rsid w:val="00E979B1"/>
    <w:rsid w:val="00E97A04"/>
    <w:rsid w:val="00E97B6B"/>
    <w:rsid w:val="00E97BBD"/>
    <w:rsid w:val="00E97BC2"/>
    <w:rsid w:val="00E97C10"/>
    <w:rsid w:val="00E97CC7"/>
    <w:rsid w:val="00E97D23"/>
    <w:rsid w:val="00E97D46"/>
    <w:rsid w:val="00E97EDD"/>
    <w:rsid w:val="00E97EDE"/>
    <w:rsid w:val="00E97F56"/>
    <w:rsid w:val="00E97FB0"/>
    <w:rsid w:val="00EA0004"/>
    <w:rsid w:val="00EA003E"/>
    <w:rsid w:val="00EA0181"/>
    <w:rsid w:val="00EA01AF"/>
    <w:rsid w:val="00EA01E9"/>
    <w:rsid w:val="00EA022E"/>
    <w:rsid w:val="00EA028B"/>
    <w:rsid w:val="00EA02DE"/>
    <w:rsid w:val="00EA02FD"/>
    <w:rsid w:val="00EA034B"/>
    <w:rsid w:val="00EA05A9"/>
    <w:rsid w:val="00EA05C8"/>
    <w:rsid w:val="00EA0648"/>
    <w:rsid w:val="00EA0710"/>
    <w:rsid w:val="00EA0736"/>
    <w:rsid w:val="00EA075D"/>
    <w:rsid w:val="00EA08B3"/>
    <w:rsid w:val="00EA08C6"/>
    <w:rsid w:val="00EA08E8"/>
    <w:rsid w:val="00EA08F3"/>
    <w:rsid w:val="00EA0A99"/>
    <w:rsid w:val="00EA0B13"/>
    <w:rsid w:val="00EA0B3A"/>
    <w:rsid w:val="00EA0B63"/>
    <w:rsid w:val="00EA0B7D"/>
    <w:rsid w:val="00EA0D69"/>
    <w:rsid w:val="00EA0DD4"/>
    <w:rsid w:val="00EA0DFE"/>
    <w:rsid w:val="00EA0E47"/>
    <w:rsid w:val="00EA100D"/>
    <w:rsid w:val="00EA1048"/>
    <w:rsid w:val="00EA10E7"/>
    <w:rsid w:val="00EA1227"/>
    <w:rsid w:val="00EA126D"/>
    <w:rsid w:val="00EA12AA"/>
    <w:rsid w:val="00EA12F7"/>
    <w:rsid w:val="00EA134D"/>
    <w:rsid w:val="00EA13A1"/>
    <w:rsid w:val="00EA1557"/>
    <w:rsid w:val="00EA1641"/>
    <w:rsid w:val="00EA16D8"/>
    <w:rsid w:val="00EA1764"/>
    <w:rsid w:val="00EA17DC"/>
    <w:rsid w:val="00EA1847"/>
    <w:rsid w:val="00EA18D4"/>
    <w:rsid w:val="00EA1960"/>
    <w:rsid w:val="00EA1B14"/>
    <w:rsid w:val="00EA1C5C"/>
    <w:rsid w:val="00EA1C8E"/>
    <w:rsid w:val="00EA1DF4"/>
    <w:rsid w:val="00EA1E00"/>
    <w:rsid w:val="00EA1E71"/>
    <w:rsid w:val="00EA1EA8"/>
    <w:rsid w:val="00EA1EE0"/>
    <w:rsid w:val="00EA1EE6"/>
    <w:rsid w:val="00EA1FDF"/>
    <w:rsid w:val="00EA1FF3"/>
    <w:rsid w:val="00EA24EA"/>
    <w:rsid w:val="00EA25BA"/>
    <w:rsid w:val="00EA25C4"/>
    <w:rsid w:val="00EA25E8"/>
    <w:rsid w:val="00EA2610"/>
    <w:rsid w:val="00EA2629"/>
    <w:rsid w:val="00EA2645"/>
    <w:rsid w:val="00EA27B0"/>
    <w:rsid w:val="00EA2860"/>
    <w:rsid w:val="00EA2867"/>
    <w:rsid w:val="00EA28B2"/>
    <w:rsid w:val="00EA28BE"/>
    <w:rsid w:val="00EA2B48"/>
    <w:rsid w:val="00EA2B7F"/>
    <w:rsid w:val="00EA2CCB"/>
    <w:rsid w:val="00EA2CFA"/>
    <w:rsid w:val="00EA2D20"/>
    <w:rsid w:val="00EA2DB8"/>
    <w:rsid w:val="00EA2DF9"/>
    <w:rsid w:val="00EA2E74"/>
    <w:rsid w:val="00EA2EC6"/>
    <w:rsid w:val="00EA2ED4"/>
    <w:rsid w:val="00EA2F31"/>
    <w:rsid w:val="00EA2FCC"/>
    <w:rsid w:val="00EA2FD4"/>
    <w:rsid w:val="00EA30E2"/>
    <w:rsid w:val="00EA3183"/>
    <w:rsid w:val="00EA31EC"/>
    <w:rsid w:val="00EA3210"/>
    <w:rsid w:val="00EA3223"/>
    <w:rsid w:val="00EA32D2"/>
    <w:rsid w:val="00EA3332"/>
    <w:rsid w:val="00EA3403"/>
    <w:rsid w:val="00EA34B7"/>
    <w:rsid w:val="00EA34B8"/>
    <w:rsid w:val="00EA34D8"/>
    <w:rsid w:val="00EA3554"/>
    <w:rsid w:val="00EA371C"/>
    <w:rsid w:val="00EA37CA"/>
    <w:rsid w:val="00EA3836"/>
    <w:rsid w:val="00EA3997"/>
    <w:rsid w:val="00EA3C44"/>
    <w:rsid w:val="00EA3C46"/>
    <w:rsid w:val="00EA3C53"/>
    <w:rsid w:val="00EA3C67"/>
    <w:rsid w:val="00EA3C8D"/>
    <w:rsid w:val="00EA3CBD"/>
    <w:rsid w:val="00EA3D5C"/>
    <w:rsid w:val="00EA3D99"/>
    <w:rsid w:val="00EA3E3D"/>
    <w:rsid w:val="00EA3F17"/>
    <w:rsid w:val="00EA3FA4"/>
    <w:rsid w:val="00EA403E"/>
    <w:rsid w:val="00EA40E5"/>
    <w:rsid w:val="00EA412E"/>
    <w:rsid w:val="00EA4362"/>
    <w:rsid w:val="00EA4373"/>
    <w:rsid w:val="00EA445A"/>
    <w:rsid w:val="00EA4497"/>
    <w:rsid w:val="00EA44FA"/>
    <w:rsid w:val="00EA44FE"/>
    <w:rsid w:val="00EA456B"/>
    <w:rsid w:val="00EA459D"/>
    <w:rsid w:val="00EA4682"/>
    <w:rsid w:val="00EA46B2"/>
    <w:rsid w:val="00EA4858"/>
    <w:rsid w:val="00EA4892"/>
    <w:rsid w:val="00EA495C"/>
    <w:rsid w:val="00EA498D"/>
    <w:rsid w:val="00EA49A0"/>
    <w:rsid w:val="00EA4AE6"/>
    <w:rsid w:val="00EA4B31"/>
    <w:rsid w:val="00EA4C98"/>
    <w:rsid w:val="00EA4DC2"/>
    <w:rsid w:val="00EA4E70"/>
    <w:rsid w:val="00EA4EBE"/>
    <w:rsid w:val="00EA4F66"/>
    <w:rsid w:val="00EA4F91"/>
    <w:rsid w:val="00EA5075"/>
    <w:rsid w:val="00EA50B6"/>
    <w:rsid w:val="00EA5178"/>
    <w:rsid w:val="00EA5225"/>
    <w:rsid w:val="00EA5364"/>
    <w:rsid w:val="00EA53C1"/>
    <w:rsid w:val="00EA53FC"/>
    <w:rsid w:val="00EA54A5"/>
    <w:rsid w:val="00EA554D"/>
    <w:rsid w:val="00EA558C"/>
    <w:rsid w:val="00EA55A4"/>
    <w:rsid w:val="00EA5631"/>
    <w:rsid w:val="00EA57B4"/>
    <w:rsid w:val="00EA5857"/>
    <w:rsid w:val="00EA5879"/>
    <w:rsid w:val="00EA59C3"/>
    <w:rsid w:val="00EA5A21"/>
    <w:rsid w:val="00EA5A37"/>
    <w:rsid w:val="00EA5A78"/>
    <w:rsid w:val="00EA5B1D"/>
    <w:rsid w:val="00EA5BC4"/>
    <w:rsid w:val="00EA61A3"/>
    <w:rsid w:val="00EA620A"/>
    <w:rsid w:val="00EA6214"/>
    <w:rsid w:val="00EA624E"/>
    <w:rsid w:val="00EA63BC"/>
    <w:rsid w:val="00EA6423"/>
    <w:rsid w:val="00EA644E"/>
    <w:rsid w:val="00EA65C6"/>
    <w:rsid w:val="00EA6688"/>
    <w:rsid w:val="00EA66B4"/>
    <w:rsid w:val="00EA66EB"/>
    <w:rsid w:val="00EA672F"/>
    <w:rsid w:val="00EA6784"/>
    <w:rsid w:val="00EA679F"/>
    <w:rsid w:val="00EA67EA"/>
    <w:rsid w:val="00EA68DA"/>
    <w:rsid w:val="00EA6B44"/>
    <w:rsid w:val="00EA6D65"/>
    <w:rsid w:val="00EA6D6B"/>
    <w:rsid w:val="00EA711A"/>
    <w:rsid w:val="00EA724E"/>
    <w:rsid w:val="00EA73E2"/>
    <w:rsid w:val="00EA741E"/>
    <w:rsid w:val="00EA776E"/>
    <w:rsid w:val="00EA77F4"/>
    <w:rsid w:val="00EA7870"/>
    <w:rsid w:val="00EA7A09"/>
    <w:rsid w:val="00EA7AAC"/>
    <w:rsid w:val="00EA7BC0"/>
    <w:rsid w:val="00EA7C64"/>
    <w:rsid w:val="00EA7DBF"/>
    <w:rsid w:val="00EA7E83"/>
    <w:rsid w:val="00EA7FE2"/>
    <w:rsid w:val="00EA7FE5"/>
    <w:rsid w:val="00EAC419"/>
    <w:rsid w:val="00EB013B"/>
    <w:rsid w:val="00EB020E"/>
    <w:rsid w:val="00EB0216"/>
    <w:rsid w:val="00EB032D"/>
    <w:rsid w:val="00EB039C"/>
    <w:rsid w:val="00EB03C0"/>
    <w:rsid w:val="00EB04A3"/>
    <w:rsid w:val="00EB04F7"/>
    <w:rsid w:val="00EB0537"/>
    <w:rsid w:val="00EB05C7"/>
    <w:rsid w:val="00EB060F"/>
    <w:rsid w:val="00EB062B"/>
    <w:rsid w:val="00EB0658"/>
    <w:rsid w:val="00EB068B"/>
    <w:rsid w:val="00EB083F"/>
    <w:rsid w:val="00EB0894"/>
    <w:rsid w:val="00EB0980"/>
    <w:rsid w:val="00EB09B4"/>
    <w:rsid w:val="00EB0B2B"/>
    <w:rsid w:val="00EB0B45"/>
    <w:rsid w:val="00EB0D61"/>
    <w:rsid w:val="00EB0D72"/>
    <w:rsid w:val="00EB0E05"/>
    <w:rsid w:val="00EB0E18"/>
    <w:rsid w:val="00EB0E4F"/>
    <w:rsid w:val="00EB0EA9"/>
    <w:rsid w:val="00EB0F29"/>
    <w:rsid w:val="00EB0F97"/>
    <w:rsid w:val="00EB109C"/>
    <w:rsid w:val="00EB1109"/>
    <w:rsid w:val="00EB1134"/>
    <w:rsid w:val="00EB1178"/>
    <w:rsid w:val="00EB11B8"/>
    <w:rsid w:val="00EB12FC"/>
    <w:rsid w:val="00EB1396"/>
    <w:rsid w:val="00EB14B3"/>
    <w:rsid w:val="00EB14B7"/>
    <w:rsid w:val="00EB166B"/>
    <w:rsid w:val="00EB17E1"/>
    <w:rsid w:val="00EB18A9"/>
    <w:rsid w:val="00EB18CC"/>
    <w:rsid w:val="00EB19F5"/>
    <w:rsid w:val="00EB1A05"/>
    <w:rsid w:val="00EB1A81"/>
    <w:rsid w:val="00EB1B43"/>
    <w:rsid w:val="00EB1B62"/>
    <w:rsid w:val="00EB1C57"/>
    <w:rsid w:val="00EB1E02"/>
    <w:rsid w:val="00EB1E24"/>
    <w:rsid w:val="00EB1EF7"/>
    <w:rsid w:val="00EB20DC"/>
    <w:rsid w:val="00EB20FD"/>
    <w:rsid w:val="00EB210F"/>
    <w:rsid w:val="00EB2112"/>
    <w:rsid w:val="00EB2131"/>
    <w:rsid w:val="00EB2187"/>
    <w:rsid w:val="00EB220D"/>
    <w:rsid w:val="00EB220E"/>
    <w:rsid w:val="00EB2269"/>
    <w:rsid w:val="00EB229A"/>
    <w:rsid w:val="00EB252A"/>
    <w:rsid w:val="00EB2579"/>
    <w:rsid w:val="00EB258E"/>
    <w:rsid w:val="00EB25A2"/>
    <w:rsid w:val="00EB283C"/>
    <w:rsid w:val="00EB290F"/>
    <w:rsid w:val="00EB2A0E"/>
    <w:rsid w:val="00EB2A70"/>
    <w:rsid w:val="00EB2BFD"/>
    <w:rsid w:val="00EB2CF7"/>
    <w:rsid w:val="00EB2DB0"/>
    <w:rsid w:val="00EB2E3D"/>
    <w:rsid w:val="00EB2E9B"/>
    <w:rsid w:val="00EB3001"/>
    <w:rsid w:val="00EB324A"/>
    <w:rsid w:val="00EB32F2"/>
    <w:rsid w:val="00EB3405"/>
    <w:rsid w:val="00EB343C"/>
    <w:rsid w:val="00EB34C7"/>
    <w:rsid w:val="00EB36D7"/>
    <w:rsid w:val="00EB3840"/>
    <w:rsid w:val="00EB38F4"/>
    <w:rsid w:val="00EB393E"/>
    <w:rsid w:val="00EB397E"/>
    <w:rsid w:val="00EB3A08"/>
    <w:rsid w:val="00EB3B05"/>
    <w:rsid w:val="00EB3BDD"/>
    <w:rsid w:val="00EB3CCE"/>
    <w:rsid w:val="00EB3D3F"/>
    <w:rsid w:val="00EB3DF3"/>
    <w:rsid w:val="00EB3E06"/>
    <w:rsid w:val="00EB3E34"/>
    <w:rsid w:val="00EB3EC2"/>
    <w:rsid w:val="00EB3F4C"/>
    <w:rsid w:val="00EB3FCC"/>
    <w:rsid w:val="00EB4180"/>
    <w:rsid w:val="00EB4188"/>
    <w:rsid w:val="00EB4270"/>
    <w:rsid w:val="00EB4333"/>
    <w:rsid w:val="00EB43B8"/>
    <w:rsid w:val="00EB4419"/>
    <w:rsid w:val="00EB4442"/>
    <w:rsid w:val="00EB4483"/>
    <w:rsid w:val="00EB4536"/>
    <w:rsid w:val="00EB456E"/>
    <w:rsid w:val="00EB45B3"/>
    <w:rsid w:val="00EB45CD"/>
    <w:rsid w:val="00EB4641"/>
    <w:rsid w:val="00EB4764"/>
    <w:rsid w:val="00EB47A0"/>
    <w:rsid w:val="00EB47BE"/>
    <w:rsid w:val="00EB4868"/>
    <w:rsid w:val="00EB487F"/>
    <w:rsid w:val="00EB4884"/>
    <w:rsid w:val="00EB48D8"/>
    <w:rsid w:val="00EB49D1"/>
    <w:rsid w:val="00EB4A36"/>
    <w:rsid w:val="00EB4A46"/>
    <w:rsid w:val="00EB4B3B"/>
    <w:rsid w:val="00EB4BA6"/>
    <w:rsid w:val="00EB4C2B"/>
    <w:rsid w:val="00EB4E1B"/>
    <w:rsid w:val="00EB4ED1"/>
    <w:rsid w:val="00EB50D8"/>
    <w:rsid w:val="00EB518B"/>
    <w:rsid w:val="00EB52F1"/>
    <w:rsid w:val="00EB5369"/>
    <w:rsid w:val="00EB5381"/>
    <w:rsid w:val="00EB5487"/>
    <w:rsid w:val="00EB5606"/>
    <w:rsid w:val="00EB565C"/>
    <w:rsid w:val="00EB56E9"/>
    <w:rsid w:val="00EB56ED"/>
    <w:rsid w:val="00EB57BB"/>
    <w:rsid w:val="00EB57EA"/>
    <w:rsid w:val="00EB5865"/>
    <w:rsid w:val="00EB58A8"/>
    <w:rsid w:val="00EB58F0"/>
    <w:rsid w:val="00EB58F6"/>
    <w:rsid w:val="00EB590B"/>
    <w:rsid w:val="00EB59EF"/>
    <w:rsid w:val="00EB5A76"/>
    <w:rsid w:val="00EB5B0F"/>
    <w:rsid w:val="00EB5B83"/>
    <w:rsid w:val="00EB5BAC"/>
    <w:rsid w:val="00EB5C13"/>
    <w:rsid w:val="00EB5E97"/>
    <w:rsid w:val="00EB5FF1"/>
    <w:rsid w:val="00EB600D"/>
    <w:rsid w:val="00EB60BC"/>
    <w:rsid w:val="00EB60FF"/>
    <w:rsid w:val="00EB6145"/>
    <w:rsid w:val="00EB617B"/>
    <w:rsid w:val="00EB6220"/>
    <w:rsid w:val="00EB637F"/>
    <w:rsid w:val="00EB63A2"/>
    <w:rsid w:val="00EB64A2"/>
    <w:rsid w:val="00EB6534"/>
    <w:rsid w:val="00EB653D"/>
    <w:rsid w:val="00EB654F"/>
    <w:rsid w:val="00EB6577"/>
    <w:rsid w:val="00EB6622"/>
    <w:rsid w:val="00EB678F"/>
    <w:rsid w:val="00EB67BC"/>
    <w:rsid w:val="00EB6810"/>
    <w:rsid w:val="00EB68D5"/>
    <w:rsid w:val="00EB68FA"/>
    <w:rsid w:val="00EB6993"/>
    <w:rsid w:val="00EB6C86"/>
    <w:rsid w:val="00EB6CB8"/>
    <w:rsid w:val="00EB6DA8"/>
    <w:rsid w:val="00EB6E2A"/>
    <w:rsid w:val="00EB6F2E"/>
    <w:rsid w:val="00EB7143"/>
    <w:rsid w:val="00EB718C"/>
    <w:rsid w:val="00EB719D"/>
    <w:rsid w:val="00EB7265"/>
    <w:rsid w:val="00EB7451"/>
    <w:rsid w:val="00EB7571"/>
    <w:rsid w:val="00EB7578"/>
    <w:rsid w:val="00EB76D8"/>
    <w:rsid w:val="00EB7726"/>
    <w:rsid w:val="00EB77F9"/>
    <w:rsid w:val="00EB7806"/>
    <w:rsid w:val="00EB7872"/>
    <w:rsid w:val="00EB79FE"/>
    <w:rsid w:val="00EB7A0A"/>
    <w:rsid w:val="00EB7B23"/>
    <w:rsid w:val="00EB7B75"/>
    <w:rsid w:val="00EB7D2B"/>
    <w:rsid w:val="00EB7DCB"/>
    <w:rsid w:val="00EB7F04"/>
    <w:rsid w:val="00EB7F2E"/>
    <w:rsid w:val="00EB9398"/>
    <w:rsid w:val="00EBA3E4"/>
    <w:rsid w:val="00EC00CF"/>
    <w:rsid w:val="00EC00E0"/>
    <w:rsid w:val="00EC0151"/>
    <w:rsid w:val="00EC01F5"/>
    <w:rsid w:val="00EC029D"/>
    <w:rsid w:val="00EC030B"/>
    <w:rsid w:val="00EC036E"/>
    <w:rsid w:val="00EC03AE"/>
    <w:rsid w:val="00EC052F"/>
    <w:rsid w:val="00EC05F2"/>
    <w:rsid w:val="00EC06FB"/>
    <w:rsid w:val="00EC073D"/>
    <w:rsid w:val="00EC076E"/>
    <w:rsid w:val="00EC0805"/>
    <w:rsid w:val="00EC081D"/>
    <w:rsid w:val="00EC08CC"/>
    <w:rsid w:val="00EC0980"/>
    <w:rsid w:val="00EC09AE"/>
    <w:rsid w:val="00EC0A10"/>
    <w:rsid w:val="00EC0CA4"/>
    <w:rsid w:val="00EC0D81"/>
    <w:rsid w:val="00EC0D83"/>
    <w:rsid w:val="00EC0E4D"/>
    <w:rsid w:val="00EC0EB1"/>
    <w:rsid w:val="00EC0FC1"/>
    <w:rsid w:val="00EC10A6"/>
    <w:rsid w:val="00EC10B3"/>
    <w:rsid w:val="00EC112E"/>
    <w:rsid w:val="00EC1149"/>
    <w:rsid w:val="00EC11B3"/>
    <w:rsid w:val="00EC1213"/>
    <w:rsid w:val="00EC12D8"/>
    <w:rsid w:val="00EC1320"/>
    <w:rsid w:val="00EC146E"/>
    <w:rsid w:val="00EC148F"/>
    <w:rsid w:val="00EC14C2"/>
    <w:rsid w:val="00EC1647"/>
    <w:rsid w:val="00EC173A"/>
    <w:rsid w:val="00EC1740"/>
    <w:rsid w:val="00EC175D"/>
    <w:rsid w:val="00EC17F8"/>
    <w:rsid w:val="00EC18BA"/>
    <w:rsid w:val="00EC18E0"/>
    <w:rsid w:val="00EC195A"/>
    <w:rsid w:val="00EC1A6D"/>
    <w:rsid w:val="00EC1A94"/>
    <w:rsid w:val="00EC1B1C"/>
    <w:rsid w:val="00EC1BC2"/>
    <w:rsid w:val="00EC1BD1"/>
    <w:rsid w:val="00EC1C1B"/>
    <w:rsid w:val="00EC1C5C"/>
    <w:rsid w:val="00EC1DAF"/>
    <w:rsid w:val="00EC1F17"/>
    <w:rsid w:val="00EC1F74"/>
    <w:rsid w:val="00EC1FDE"/>
    <w:rsid w:val="00EC20C2"/>
    <w:rsid w:val="00EC2158"/>
    <w:rsid w:val="00EC2202"/>
    <w:rsid w:val="00EC224B"/>
    <w:rsid w:val="00EC2343"/>
    <w:rsid w:val="00EC2547"/>
    <w:rsid w:val="00EC25BE"/>
    <w:rsid w:val="00EC26A3"/>
    <w:rsid w:val="00EC2702"/>
    <w:rsid w:val="00EC2790"/>
    <w:rsid w:val="00EC2811"/>
    <w:rsid w:val="00EC282C"/>
    <w:rsid w:val="00EC2880"/>
    <w:rsid w:val="00EC28C5"/>
    <w:rsid w:val="00EC2910"/>
    <w:rsid w:val="00EC295A"/>
    <w:rsid w:val="00EC2A3A"/>
    <w:rsid w:val="00EC2ADB"/>
    <w:rsid w:val="00EC2BF9"/>
    <w:rsid w:val="00EC2CCE"/>
    <w:rsid w:val="00EC2D36"/>
    <w:rsid w:val="00EC2F3F"/>
    <w:rsid w:val="00EC2F9C"/>
    <w:rsid w:val="00EC3024"/>
    <w:rsid w:val="00EC318A"/>
    <w:rsid w:val="00EC31B2"/>
    <w:rsid w:val="00EC3331"/>
    <w:rsid w:val="00EC3421"/>
    <w:rsid w:val="00EC3478"/>
    <w:rsid w:val="00EC34C3"/>
    <w:rsid w:val="00EC3615"/>
    <w:rsid w:val="00EC3687"/>
    <w:rsid w:val="00EC36A5"/>
    <w:rsid w:val="00EC36B1"/>
    <w:rsid w:val="00EC36EE"/>
    <w:rsid w:val="00EC3764"/>
    <w:rsid w:val="00EC3792"/>
    <w:rsid w:val="00EC3805"/>
    <w:rsid w:val="00EC3865"/>
    <w:rsid w:val="00EC3990"/>
    <w:rsid w:val="00EC39E6"/>
    <w:rsid w:val="00EC39F6"/>
    <w:rsid w:val="00EC3C0A"/>
    <w:rsid w:val="00EC3CC9"/>
    <w:rsid w:val="00EC3D2C"/>
    <w:rsid w:val="00EC3E01"/>
    <w:rsid w:val="00EC3E1D"/>
    <w:rsid w:val="00EC3E92"/>
    <w:rsid w:val="00EC3FFC"/>
    <w:rsid w:val="00EC418E"/>
    <w:rsid w:val="00EC41FA"/>
    <w:rsid w:val="00EC4206"/>
    <w:rsid w:val="00EC4221"/>
    <w:rsid w:val="00EC438E"/>
    <w:rsid w:val="00EC4422"/>
    <w:rsid w:val="00EC4437"/>
    <w:rsid w:val="00EC44C5"/>
    <w:rsid w:val="00EC4532"/>
    <w:rsid w:val="00EC45CE"/>
    <w:rsid w:val="00EC4695"/>
    <w:rsid w:val="00EC46A9"/>
    <w:rsid w:val="00EC46C9"/>
    <w:rsid w:val="00EC477F"/>
    <w:rsid w:val="00EC47AF"/>
    <w:rsid w:val="00EC4868"/>
    <w:rsid w:val="00EC486B"/>
    <w:rsid w:val="00EC4A88"/>
    <w:rsid w:val="00EC4B08"/>
    <w:rsid w:val="00EC4B19"/>
    <w:rsid w:val="00EC4BDB"/>
    <w:rsid w:val="00EC4DBA"/>
    <w:rsid w:val="00EC4F8B"/>
    <w:rsid w:val="00EC4FCA"/>
    <w:rsid w:val="00EC501D"/>
    <w:rsid w:val="00EC5039"/>
    <w:rsid w:val="00EC503F"/>
    <w:rsid w:val="00EC509A"/>
    <w:rsid w:val="00EC509F"/>
    <w:rsid w:val="00EC5210"/>
    <w:rsid w:val="00EC523F"/>
    <w:rsid w:val="00EC5246"/>
    <w:rsid w:val="00EC535D"/>
    <w:rsid w:val="00EC53F4"/>
    <w:rsid w:val="00EC53FC"/>
    <w:rsid w:val="00EC5429"/>
    <w:rsid w:val="00EC5472"/>
    <w:rsid w:val="00EC548C"/>
    <w:rsid w:val="00EC54EC"/>
    <w:rsid w:val="00EC556E"/>
    <w:rsid w:val="00EC55C9"/>
    <w:rsid w:val="00EC55F7"/>
    <w:rsid w:val="00EC55FF"/>
    <w:rsid w:val="00EC5609"/>
    <w:rsid w:val="00EC5731"/>
    <w:rsid w:val="00EC5902"/>
    <w:rsid w:val="00EC5907"/>
    <w:rsid w:val="00EC592C"/>
    <w:rsid w:val="00EC5999"/>
    <w:rsid w:val="00EC5AFD"/>
    <w:rsid w:val="00EC5B25"/>
    <w:rsid w:val="00EC5B70"/>
    <w:rsid w:val="00EC5C71"/>
    <w:rsid w:val="00EC5D94"/>
    <w:rsid w:val="00EC5DBA"/>
    <w:rsid w:val="00EC5EDA"/>
    <w:rsid w:val="00EC5EFD"/>
    <w:rsid w:val="00EC5F2F"/>
    <w:rsid w:val="00EC611D"/>
    <w:rsid w:val="00EC615C"/>
    <w:rsid w:val="00EC6291"/>
    <w:rsid w:val="00EC62A4"/>
    <w:rsid w:val="00EC62CC"/>
    <w:rsid w:val="00EC630A"/>
    <w:rsid w:val="00EC6407"/>
    <w:rsid w:val="00EC64CF"/>
    <w:rsid w:val="00EC658E"/>
    <w:rsid w:val="00EC6613"/>
    <w:rsid w:val="00EC6728"/>
    <w:rsid w:val="00EC67F7"/>
    <w:rsid w:val="00EC6808"/>
    <w:rsid w:val="00EC680C"/>
    <w:rsid w:val="00EC6844"/>
    <w:rsid w:val="00EC694B"/>
    <w:rsid w:val="00EC6954"/>
    <w:rsid w:val="00EC6AE2"/>
    <w:rsid w:val="00EC6BB3"/>
    <w:rsid w:val="00EC6BC3"/>
    <w:rsid w:val="00EC6C26"/>
    <w:rsid w:val="00EC6C60"/>
    <w:rsid w:val="00EC6C94"/>
    <w:rsid w:val="00EC6FB4"/>
    <w:rsid w:val="00EC6FD4"/>
    <w:rsid w:val="00EC7141"/>
    <w:rsid w:val="00EC7309"/>
    <w:rsid w:val="00EC73DC"/>
    <w:rsid w:val="00EC7451"/>
    <w:rsid w:val="00EC7454"/>
    <w:rsid w:val="00EC7472"/>
    <w:rsid w:val="00EC74E0"/>
    <w:rsid w:val="00EC753C"/>
    <w:rsid w:val="00EC7545"/>
    <w:rsid w:val="00EC75E0"/>
    <w:rsid w:val="00EC7634"/>
    <w:rsid w:val="00EC763E"/>
    <w:rsid w:val="00EC767E"/>
    <w:rsid w:val="00EC76AC"/>
    <w:rsid w:val="00EC79D0"/>
    <w:rsid w:val="00EC7A01"/>
    <w:rsid w:val="00EC7A13"/>
    <w:rsid w:val="00EC7B76"/>
    <w:rsid w:val="00EC7BA5"/>
    <w:rsid w:val="00EC7C72"/>
    <w:rsid w:val="00EC7C81"/>
    <w:rsid w:val="00EC7E02"/>
    <w:rsid w:val="00EC7F5E"/>
    <w:rsid w:val="00EC7F7D"/>
    <w:rsid w:val="00ED01F4"/>
    <w:rsid w:val="00ED0200"/>
    <w:rsid w:val="00ED021A"/>
    <w:rsid w:val="00ED0293"/>
    <w:rsid w:val="00ED032C"/>
    <w:rsid w:val="00ED0381"/>
    <w:rsid w:val="00ED04CE"/>
    <w:rsid w:val="00ED05A7"/>
    <w:rsid w:val="00ED05E1"/>
    <w:rsid w:val="00ED06D9"/>
    <w:rsid w:val="00ED0731"/>
    <w:rsid w:val="00ED0937"/>
    <w:rsid w:val="00ED0998"/>
    <w:rsid w:val="00ED09DE"/>
    <w:rsid w:val="00ED0A37"/>
    <w:rsid w:val="00ED0B42"/>
    <w:rsid w:val="00ED0B57"/>
    <w:rsid w:val="00ED0C76"/>
    <w:rsid w:val="00ED0CCA"/>
    <w:rsid w:val="00ED0E1D"/>
    <w:rsid w:val="00ED0E35"/>
    <w:rsid w:val="00ED0E54"/>
    <w:rsid w:val="00ED0E90"/>
    <w:rsid w:val="00ED0FC8"/>
    <w:rsid w:val="00ED11AC"/>
    <w:rsid w:val="00ED11B3"/>
    <w:rsid w:val="00ED13B3"/>
    <w:rsid w:val="00ED153C"/>
    <w:rsid w:val="00ED1685"/>
    <w:rsid w:val="00ED1713"/>
    <w:rsid w:val="00ED173F"/>
    <w:rsid w:val="00ED17F0"/>
    <w:rsid w:val="00ED1802"/>
    <w:rsid w:val="00ED18F2"/>
    <w:rsid w:val="00ED1943"/>
    <w:rsid w:val="00ED19A6"/>
    <w:rsid w:val="00ED1B28"/>
    <w:rsid w:val="00ED1B32"/>
    <w:rsid w:val="00ED1B6B"/>
    <w:rsid w:val="00ED1B6F"/>
    <w:rsid w:val="00ED1BC1"/>
    <w:rsid w:val="00ED1BD5"/>
    <w:rsid w:val="00ED1D20"/>
    <w:rsid w:val="00ED1EAA"/>
    <w:rsid w:val="00ED1ECD"/>
    <w:rsid w:val="00ED1F50"/>
    <w:rsid w:val="00ED1F96"/>
    <w:rsid w:val="00ED20EC"/>
    <w:rsid w:val="00ED210E"/>
    <w:rsid w:val="00ED2222"/>
    <w:rsid w:val="00ED2261"/>
    <w:rsid w:val="00ED228B"/>
    <w:rsid w:val="00ED2385"/>
    <w:rsid w:val="00ED25E2"/>
    <w:rsid w:val="00ED275B"/>
    <w:rsid w:val="00ED2883"/>
    <w:rsid w:val="00ED289C"/>
    <w:rsid w:val="00ED28E8"/>
    <w:rsid w:val="00ED298A"/>
    <w:rsid w:val="00ED2993"/>
    <w:rsid w:val="00ED2A79"/>
    <w:rsid w:val="00ED2AF4"/>
    <w:rsid w:val="00ED2BA6"/>
    <w:rsid w:val="00ED2C3A"/>
    <w:rsid w:val="00ED2D60"/>
    <w:rsid w:val="00ED302B"/>
    <w:rsid w:val="00ED332F"/>
    <w:rsid w:val="00ED3342"/>
    <w:rsid w:val="00ED33D4"/>
    <w:rsid w:val="00ED33DB"/>
    <w:rsid w:val="00ED364F"/>
    <w:rsid w:val="00ED36E6"/>
    <w:rsid w:val="00ED36F6"/>
    <w:rsid w:val="00ED374F"/>
    <w:rsid w:val="00ED379F"/>
    <w:rsid w:val="00ED3814"/>
    <w:rsid w:val="00ED3876"/>
    <w:rsid w:val="00ED3887"/>
    <w:rsid w:val="00ED38E2"/>
    <w:rsid w:val="00ED3921"/>
    <w:rsid w:val="00ED3A56"/>
    <w:rsid w:val="00ED3B0E"/>
    <w:rsid w:val="00ED3B3A"/>
    <w:rsid w:val="00ED3B4A"/>
    <w:rsid w:val="00ED3BB1"/>
    <w:rsid w:val="00ED3C1E"/>
    <w:rsid w:val="00ED3CA2"/>
    <w:rsid w:val="00ED3CE2"/>
    <w:rsid w:val="00ED3D7D"/>
    <w:rsid w:val="00ED3E18"/>
    <w:rsid w:val="00ED3E87"/>
    <w:rsid w:val="00ED4045"/>
    <w:rsid w:val="00ED414B"/>
    <w:rsid w:val="00ED41A0"/>
    <w:rsid w:val="00ED4316"/>
    <w:rsid w:val="00ED432D"/>
    <w:rsid w:val="00ED4333"/>
    <w:rsid w:val="00ED437E"/>
    <w:rsid w:val="00ED43BC"/>
    <w:rsid w:val="00ED4462"/>
    <w:rsid w:val="00ED47BA"/>
    <w:rsid w:val="00ED4865"/>
    <w:rsid w:val="00ED4887"/>
    <w:rsid w:val="00ED494F"/>
    <w:rsid w:val="00ED4AF0"/>
    <w:rsid w:val="00ED4B6A"/>
    <w:rsid w:val="00ED4BC4"/>
    <w:rsid w:val="00ED4C17"/>
    <w:rsid w:val="00ED4CC9"/>
    <w:rsid w:val="00ED4D38"/>
    <w:rsid w:val="00ED4F9C"/>
    <w:rsid w:val="00ED5121"/>
    <w:rsid w:val="00ED516F"/>
    <w:rsid w:val="00ED5248"/>
    <w:rsid w:val="00ED5284"/>
    <w:rsid w:val="00ED52DE"/>
    <w:rsid w:val="00ED5316"/>
    <w:rsid w:val="00ED548B"/>
    <w:rsid w:val="00ED54F1"/>
    <w:rsid w:val="00ED55B9"/>
    <w:rsid w:val="00ED5744"/>
    <w:rsid w:val="00ED576D"/>
    <w:rsid w:val="00ED5790"/>
    <w:rsid w:val="00ED5795"/>
    <w:rsid w:val="00ED58CB"/>
    <w:rsid w:val="00ED592D"/>
    <w:rsid w:val="00ED5951"/>
    <w:rsid w:val="00ED598C"/>
    <w:rsid w:val="00ED59BB"/>
    <w:rsid w:val="00ED5B6F"/>
    <w:rsid w:val="00ED5C4D"/>
    <w:rsid w:val="00ED5C69"/>
    <w:rsid w:val="00ED5D2E"/>
    <w:rsid w:val="00ED5D3F"/>
    <w:rsid w:val="00ED5D9E"/>
    <w:rsid w:val="00ED5DA9"/>
    <w:rsid w:val="00ED5E71"/>
    <w:rsid w:val="00ED5EE6"/>
    <w:rsid w:val="00ED5FCE"/>
    <w:rsid w:val="00ED6015"/>
    <w:rsid w:val="00ED6027"/>
    <w:rsid w:val="00ED608C"/>
    <w:rsid w:val="00ED6119"/>
    <w:rsid w:val="00ED6121"/>
    <w:rsid w:val="00ED620B"/>
    <w:rsid w:val="00ED62BD"/>
    <w:rsid w:val="00ED63C9"/>
    <w:rsid w:val="00ED641F"/>
    <w:rsid w:val="00ED64C1"/>
    <w:rsid w:val="00ED6646"/>
    <w:rsid w:val="00ED6873"/>
    <w:rsid w:val="00ED687F"/>
    <w:rsid w:val="00ED6A78"/>
    <w:rsid w:val="00ED6AA2"/>
    <w:rsid w:val="00ED6ADD"/>
    <w:rsid w:val="00ED6C42"/>
    <w:rsid w:val="00ED6C9D"/>
    <w:rsid w:val="00ED6E2B"/>
    <w:rsid w:val="00ED6EAC"/>
    <w:rsid w:val="00ED6EFE"/>
    <w:rsid w:val="00ED6F96"/>
    <w:rsid w:val="00ED6FB7"/>
    <w:rsid w:val="00ED6FD5"/>
    <w:rsid w:val="00ED6FFE"/>
    <w:rsid w:val="00ED71AB"/>
    <w:rsid w:val="00ED71B0"/>
    <w:rsid w:val="00ED72FC"/>
    <w:rsid w:val="00ED73AA"/>
    <w:rsid w:val="00ED73EF"/>
    <w:rsid w:val="00ED7439"/>
    <w:rsid w:val="00ED7544"/>
    <w:rsid w:val="00ED7794"/>
    <w:rsid w:val="00ED787C"/>
    <w:rsid w:val="00ED7884"/>
    <w:rsid w:val="00ED795B"/>
    <w:rsid w:val="00ED79C6"/>
    <w:rsid w:val="00ED79F0"/>
    <w:rsid w:val="00ED7A21"/>
    <w:rsid w:val="00ED7A6E"/>
    <w:rsid w:val="00ED7B16"/>
    <w:rsid w:val="00ED7D13"/>
    <w:rsid w:val="00ED7D53"/>
    <w:rsid w:val="00ED7E6E"/>
    <w:rsid w:val="00ED7EB4"/>
    <w:rsid w:val="00ED932A"/>
    <w:rsid w:val="00EDCE8A"/>
    <w:rsid w:val="00EDF2A6"/>
    <w:rsid w:val="00EE0097"/>
    <w:rsid w:val="00EE01C4"/>
    <w:rsid w:val="00EE0214"/>
    <w:rsid w:val="00EE0241"/>
    <w:rsid w:val="00EE032F"/>
    <w:rsid w:val="00EE03D0"/>
    <w:rsid w:val="00EE03FB"/>
    <w:rsid w:val="00EE0453"/>
    <w:rsid w:val="00EE0522"/>
    <w:rsid w:val="00EE057C"/>
    <w:rsid w:val="00EE061D"/>
    <w:rsid w:val="00EE0664"/>
    <w:rsid w:val="00EE0671"/>
    <w:rsid w:val="00EE06BB"/>
    <w:rsid w:val="00EE0865"/>
    <w:rsid w:val="00EE091A"/>
    <w:rsid w:val="00EE09E0"/>
    <w:rsid w:val="00EE0B35"/>
    <w:rsid w:val="00EE0B69"/>
    <w:rsid w:val="00EE0D47"/>
    <w:rsid w:val="00EE0DB6"/>
    <w:rsid w:val="00EE0ECD"/>
    <w:rsid w:val="00EE0F6F"/>
    <w:rsid w:val="00EE105C"/>
    <w:rsid w:val="00EE10B7"/>
    <w:rsid w:val="00EE1117"/>
    <w:rsid w:val="00EE1131"/>
    <w:rsid w:val="00EE1137"/>
    <w:rsid w:val="00EE126A"/>
    <w:rsid w:val="00EE1282"/>
    <w:rsid w:val="00EE129C"/>
    <w:rsid w:val="00EE13EB"/>
    <w:rsid w:val="00EE150B"/>
    <w:rsid w:val="00EE1525"/>
    <w:rsid w:val="00EE16C1"/>
    <w:rsid w:val="00EE16F4"/>
    <w:rsid w:val="00EE1760"/>
    <w:rsid w:val="00EE1783"/>
    <w:rsid w:val="00EE17CD"/>
    <w:rsid w:val="00EE1909"/>
    <w:rsid w:val="00EE1A2C"/>
    <w:rsid w:val="00EE1CC1"/>
    <w:rsid w:val="00EE1E30"/>
    <w:rsid w:val="00EE1E39"/>
    <w:rsid w:val="00EE1E3E"/>
    <w:rsid w:val="00EE1E99"/>
    <w:rsid w:val="00EE1E9F"/>
    <w:rsid w:val="00EE1F0F"/>
    <w:rsid w:val="00EE1F97"/>
    <w:rsid w:val="00EE2031"/>
    <w:rsid w:val="00EE203F"/>
    <w:rsid w:val="00EE2380"/>
    <w:rsid w:val="00EE242D"/>
    <w:rsid w:val="00EE272E"/>
    <w:rsid w:val="00EE2865"/>
    <w:rsid w:val="00EE287E"/>
    <w:rsid w:val="00EE28BA"/>
    <w:rsid w:val="00EE2A47"/>
    <w:rsid w:val="00EE2C05"/>
    <w:rsid w:val="00EE2CD6"/>
    <w:rsid w:val="00EE2D58"/>
    <w:rsid w:val="00EE2EE4"/>
    <w:rsid w:val="00EE2FBB"/>
    <w:rsid w:val="00EE2FCE"/>
    <w:rsid w:val="00EE2FF9"/>
    <w:rsid w:val="00EE3064"/>
    <w:rsid w:val="00EE309A"/>
    <w:rsid w:val="00EE312C"/>
    <w:rsid w:val="00EE31A9"/>
    <w:rsid w:val="00EE31B6"/>
    <w:rsid w:val="00EE331A"/>
    <w:rsid w:val="00EE371E"/>
    <w:rsid w:val="00EE3723"/>
    <w:rsid w:val="00EE3895"/>
    <w:rsid w:val="00EE3937"/>
    <w:rsid w:val="00EE393E"/>
    <w:rsid w:val="00EE394F"/>
    <w:rsid w:val="00EE3A45"/>
    <w:rsid w:val="00EE3B53"/>
    <w:rsid w:val="00EE3BE1"/>
    <w:rsid w:val="00EE3C0A"/>
    <w:rsid w:val="00EE3C92"/>
    <w:rsid w:val="00EE3CC9"/>
    <w:rsid w:val="00EE3D11"/>
    <w:rsid w:val="00EE3FA0"/>
    <w:rsid w:val="00EE405A"/>
    <w:rsid w:val="00EE40A0"/>
    <w:rsid w:val="00EE4141"/>
    <w:rsid w:val="00EE4258"/>
    <w:rsid w:val="00EE4259"/>
    <w:rsid w:val="00EE426C"/>
    <w:rsid w:val="00EE42AA"/>
    <w:rsid w:val="00EE4312"/>
    <w:rsid w:val="00EE44DF"/>
    <w:rsid w:val="00EE45EC"/>
    <w:rsid w:val="00EE4630"/>
    <w:rsid w:val="00EE46E9"/>
    <w:rsid w:val="00EE4770"/>
    <w:rsid w:val="00EE4782"/>
    <w:rsid w:val="00EE47D6"/>
    <w:rsid w:val="00EE4884"/>
    <w:rsid w:val="00EE4982"/>
    <w:rsid w:val="00EE4A11"/>
    <w:rsid w:val="00EE4AAF"/>
    <w:rsid w:val="00EE4B26"/>
    <w:rsid w:val="00EE4BD3"/>
    <w:rsid w:val="00EE4C4F"/>
    <w:rsid w:val="00EE4C54"/>
    <w:rsid w:val="00EE4CAB"/>
    <w:rsid w:val="00EE4D54"/>
    <w:rsid w:val="00EE4DB8"/>
    <w:rsid w:val="00EE4E74"/>
    <w:rsid w:val="00EE4F94"/>
    <w:rsid w:val="00EE50BC"/>
    <w:rsid w:val="00EE50C1"/>
    <w:rsid w:val="00EE50ED"/>
    <w:rsid w:val="00EE529E"/>
    <w:rsid w:val="00EE5313"/>
    <w:rsid w:val="00EE5350"/>
    <w:rsid w:val="00EE5386"/>
    <w:rsid w:val="00EE5490"/>
    <w:rsid w:val="00EE5546"/>
    <w:rsid w:val="00EE562C"/>
    <w:rsid w:val="00EE5644"/>
    <w:rsid w:val="00EE5748"/>
    <w:rsid w:val="00EE57FC"/>
    <w:rsid w:val="00EE5814"/>
    <w:rsid w:val="00EE595B"/>
    <w:rsid w:val="00EE59F5"/>
    <w:rsid w:val="00EE59FB"/>
    <w:rsid w:val="00EE5A09"/>
    <w:rsid w:val="00EE5B77"/>
    <w:rsid w:val="00EE5BE4"/>
    <w:rsid w:val="00EE5C70"/>
    <w:rsid w:val="00EE5E42"/>
    <w:rsid w:val="00EE5FD6"/>
    <w:rsid w:val="00EE601C"/>
    <w:rsid w:val="00EE60CD"/>
    <w:rsid w:val="00EE6119"/>
    <w:rsid w:val="00EE621B"/>
    <w:rsid w:val="00EE6294"/>
    <w:rsid w:val="00EE62E7"/>
    <w:rsid w:val="00EE63DC"/>
    <w:rsid w:val="00EE64A0"/>
    <w:rsid w:val="00EE64C2"/>
    <w:rsid w:val="00EE64D4"/>
    <w:rsid w:val="00EE64E1"/>
    <w:rsid w:val="00EE6536"/>
    <w:rsid w:val="00EE65F4"/>
    <w:rsid w:val="00EE6783"/>
    <w:rsid w:val="00EE689A"/>
    <w:rsid w:val="00EE6914"/>
    <w:rsid w:val="00EE6998"/>
    <w:rsid w:val="00EE69FD"/>
    <w:rsid w:val="00EE6B2A"/>
    <w:rsid w:val="00EE6B75"/>
    <w:rsid w:val="00EE6BA7"/>
    <w:rsid w:val="00EE6C60"/>
    <w:rsid w:val="00EE6C9E"/>
    <w:rsid w:val="00EE6D08"/>
    <w:rsid w:val="00EE6D8D"/>
    <w:rsid w:val="00EE6EDB"/>
    <w:rsid w:val="00EE6F36"/>
    <w:rsid w:val="00EE6FBC"/>
    <w:rsid w:val="00EE6FD6"/>
    <w:rsid w:val="00EE7263"/>
    <w:rsid w:val="00EE72D8"/>
    <w:rsid w:val="00EE73E6"/>
    <w:rsid w:val="00EE7513"/>
    <w:rsid w:val="00EE7548"/>
    <w:rsid w:val="00EE75B5"/>
    <w:rsid w:val="00EE7780"/>
    <w:rsid w:val="00EE779D"/>
    <w:rsid w:val="00EE7839"/>
    <w:rsid w:val="00EE78AD"/>
    <w:rsid w:val="00EE78E2"/>
    <w:rsid w:val="00EE7999"/>
    <w:rsid w:val="00EE7C19"/>
    <w:rsid w:val="00EE7C8B"/>
    <w:rsid w:val="00EE7D01"/>
    <w:rsid w:val="00EE7D21"/>
    <w:rsid w:val="00EE7DAE"/>
    <w:rsid w:val="00EE7DF3"/>
    <w:rsid w:val="00EE7E2E"/>
    <w:rsid w:val="00EE7E70"/>
    <w:rsid w:val="00EE7E93"/>
    <w:rsid w:val="00EE7E94"/>
    <w:rsid w:val="00EE7EEF"/>
    <w:rsid w:val="00EE7F05"/>
    <w:rsid w:val="00EEA00C"/>
    <w:rsid w:val="00EF014F"/>
    <w:rsid w:val="00EF0180"/>
    <w:rsid w:val="00EF0270"/>
    <w:rsid w:val="00EF04BC"/>
    <w:rsid w:val="00EF066E"/>
    <w:rsid w:val="00EF07B3"/>
    <w:rsid w:val="00EF0A14"/>
    <w:rsid w:val="00EF0A3C"/>
    <w:rsid w:val="00EF0A65"/>
    <w:rsid w:val="00EF0BBB"/>
    <w:rsid w:val="00EF0BCF"/>
    <w:rsid w:val="00EF0BDB"/>
    <w:rsid w:val="00EF0E21"/>
    <w:rsid w:val="00EF0EA2"/>
    <w:rsid w:val="00EF0ECA"/>
    <w:rsid w:val="00EF102A"/>
    <w:rsid w:val="00EF11A4"/>
    <w:rsid w:val="00EF11AE"/>
    <w:rsid w:val="00EF11F8"/>
    <w:rsid w:val="00EF1237"/>
    <w:rsid w:val="00EF1242"/>
    <w:rsid w:val="00EF12F6"/>
    <w:rsid w:val="00EF1398"/>
    <w:rsid w:val="00EF148C"/>
    <w:rsid w:val="00EF1492"/>
    <w:rsid w:val="00EF14EA"/>
    <w:rsid w:val="00EF1564"/>
    <w:rsid w:val="00EF1578"/>
    <w:rsid w:val="00EF15DD"/>
    <w:rsid w:val="00EF16D0"/>
    <w:rsid w:val="00EF16E6"/>
    <w:rsid w:val="00EF1744"/>
    <w:rsid w:val="00EF1827"/>
    <w:rsid w:val="00EF194D"/>
    <w:rsid w:val="00EF195E"/>
    <w:rsid w:val="00EF19C8"/>
    <w:rsid w:val="00EF19FD"/>
    <w:rsid w:val="00EF1AD3"/>
    <w:rsid w:val="00EF1B50"/>
    <w:rsid w:val="00EF1C63"/>
    <w:rsid w:val="00EF1DC4"/>
    <w:rsid w:val="00EF1E2E"/>
    <w:rsid w:val="00EF1E4B"/>
    <w:rsid w:val="00EF1F03"/>
    <w:rsid w:val="00EF1F11"/>
    <w:rsid w:val="00EF1F34"/>
    <w:rsid w:val="00EF203A"/>
    <w:rsid w:val="00EF2073"/>
    <w:rsid w:val="00EF20D1"/>
    <w:rsid w:val="00EF22C6"/>
    <w:rsid w:val="00EF22E9"/>
    <w:rsid w:val="00EF2424"/>
    <w:rsid w:val="00EF24BB"/>
    <w:rsid w:val="00EF24CD"/>
    <w:rsid w:val="00EF2580"/>
    <w:rsid w:val="00EF2627"/>
    <w:rsid w:val="00EF273B"/>
    <w:rsid w:val="00EF27D0"/>
    <w:rsid w:val="00EF292A"/>
    <w:rsid w:val="00EF29AA"/>
    <w:rsid w:val="00EF29D2"/>
    <w:rsid w:val="00EF2C2D"/>
    <w:rsid w:val="00EF2C73"/>
    <w:rsid w:val="00EF2CFE"/>
    <w:rsid w:val="00EF2D8C"/>
    <w:rsid w:val="00EF2DAE"/>
    <w:rsid w:val="00EF2DF8"/>
    <w:rsid w:val="00EF2EB0"/>
    <w:rsid w:val="00EF2EC0"/>
    <w:rsid w:val="00EF2F18"/>
    <w:rsid w:val="00EF2F2B"/>
    <w:rsid w:val="00EF30B5"/>
    <w:rsid w:val="00EF31CB"/>
    <w:rsid w:val="00EF324F"/>
    <w:rsid w:val="00EF32D5"/>
    <w:rsid w:val="00EF346F"/>
    <w:rsid w:val="00EF3474"/>
    <w:rsid w:val="00EF35C0"/>
    <w:rsid w:val="00EF35D8"/>
    <w:rsid w:val="00EF35F6"/>
    <w:rsid w:val="00EF362C"/>
    <w:rsid w:val="00EF3642"/>
    <w:rsid w:val="00EF3727"/>
    <w:rsid w:val="00EF3748"/>
    <w:rsid w:val="00EF375B"/>
    <w:rsid w:val="00EF3860"/>
    <w:rsid w:val="00EF3A68"/>
    <w:rsid w:val="00EF3AD8"/>
    <w:rsid w:val="00EF3BA1"/>
    <w:rsid w:val="00EF3BE7"/>
    <w:rsid w:val="00EF3C67"/>
    <w:rsid w:val="00EF3CEC"/>
    <w:rsid w:val="00EF3D7D"/>
    <w:rsid w:val="00EF3E50"/>
    <w:rsid w:val="00EF3EBB"/>
    <w:rsid w:val="00EF3FC0"/>
    <w:rsid w:val="00EF4087"/>
    <w:rsid w:val="00EF408A"/>
    <w:rsid w:val="00EF4316"/>
    <w:rsid w:val="00EF43AE"/>
    <w:rsid w:val="00EF43DC"/>
    <w:rsid w:val="00EF4438"/>
    <w:rsid w:val="00EF4496"/>
    <w:rsid w:val="00EF44D5"/>
    <w:rsid w:val="00EF451C"/>
    <w:rsid w:val="00EF45BF"/>
    <w:rsid w:val="00EF45F6"/>
    <w:rsid w:val="00EF461C"/>
    <w:rsid w:val="00EF486B"/>
    <w:rsid w:val="00EF489F"/>
    <w:rsid w:val="00EF497C"/>
    <w:rsid w:val="00EF49A0"/>
    <w:rsid w:val="00EF49D0"/>
    <w:rsid w:val="00EF4A07"/>
    <w:rsid w:val="00EF4ADF"/>
    <w:rsid w:val="00EF4B32"/>
    <w:rsid w:val="00EF4BAA"/>
    <w:rsid w:val="00EF4C37"/>
    <w:rsid w:val="00EF4C9E"/>
    <w:rsid w:val="00EF4CA7"/>
    <w:rsid w:val="00EF4D1C"/>
    <w:rsid w:val="00EF4D2F"/>
    <w:rsid w:val="00EF4D82"/>
    <w:rsid w:val="00EF4E88"/>
    <w:rsid w:val="00EF4FF6"/>
    <w:rsid w:val="00EF5008"/>
    <w:rsid w:val="00EF5299"/>
    <w:rsid w:val="00EF538D"/>
    <w:rsid w:val="00EF5435"/>
    <w:rsid w:val="00EF5459"/>
    <w:rsid w:val="00EF5461"/>
    <w:rsid w:val="00EF5485"/>
    <w:rsid w:val="00EF54C6"/>
    <w:rsid w:val="00EF5523"/>
    <w:rsid w:val="00EF557D"/>
    <w:rsid w:val="00EF55BE"/>
    <w:rsid w:val="00EF5626"/>
    <w:rsid w:val="00EF5678"/>
    <w:rsid w:val="00EF5753"/>
    <w:rsid w:val="00EF59D9"/>
    <w:rsid w:val="00EF5A06"/>
    <w:rsid w:val="00EF5A80"/>
    <w:rsid w:val="00EF5C22"/>
    <w:rsid w:val="00EF5D90"/>
    <w:rsid w:val="00EF5E3C"/>
    <w:rsid w:val="00EF5FBD"/>
    <w:rsid w:val="00EF5FD9"/>
    <w:rsid w:val="00EF6016"/>
    <w:rsid w:val="00EF6025"/>
    <w:rsid w:val="00EF6117"/>
    <w:rsid w:val="00EF6126"/>
    <w:rsid w:val="00EF61AD"/>
    <w:rsid w:val="00EF62D2"/>
    <w:rsid w:val="00EF62DA"/>
    <w:rsid w:val="00EF63B5"/>
    <w:rsid w:val="00EF63D7"/>
    <w:rsid w:val="00EF64C6"/>
    <w:rsid w:val="00EF6552"/>
    <w:rsid w:val="00EF6563"/>
    <w:rsid w:val="00EF6664"/>
    <w:rsid w:val="00EF66EA"/>
    <w:rsid w:val="00EF67E0"/>
    <w:rsid w:val="00EF6828"/>
    <w:rsid w:val="00EF6920"/>
    <w:rsid w:val="00EF692B"/>
    <w:rsid w:val="00EF6940"/>
    <w:rsid w:val="00EF6948"/>
    <w:rsid w:val="00EF6995"/>
    <w:rsid w:val="00EF6AEF"/>
    <w:rsid w:val="00EF6B56"/>
    <w:rsid w:val="00EF6BDA"/>
    <w:rsid w:val="00EF6C2B"/>
    <w:rsid w:val="00EF6C77"/>
    <w:rsid w:val="00EF6D36"/>
    <w:rsid w:val="00EF6E73"/>
    <w:rsid w:val="00EF6E79"/>
    <w:rsid w:val="00EF6EBD"/>
    <w:rsid w:val="00EF7005"/>
    <w:rsid w:val="00EF7084"/>
    <w:rsid w:val="00EF71D8"/>
    <w:rsid w:val="00EF7285"/>
    <w:rsid w:val="00EF72B7"/>
    <w:rsid w:val="00EF7448"/>
    <w:rsid w:val="00EF7478"/>
    <w:rsid w:val="00EF74F0"/>
    <w:rsid w:val="00EF75A0"/>
    <w:rsid w:val="00EF7653"/>
    <w:rsid w:val="00EF78B7"/>
    <w:rsid w:val="00EF78F4"/>
    <w:rsid w:val="00EF7959"/>
    <w:rsid w:val="00EF7996"/>
    <w:rsid w:val="00EF7A38"/>
    <w:rsid w:val="00EF7A6C"/>
    <w:rsid w:val="00EF7A7D"/>
    <w:rsid w:val="00EF7A88"/>
    <w:rsid w:val="00EF7B29"/>
    <w:rsid w:val="00EF7BAD"/>
    <w:rsid w:val="00EF7C54"/>
    <w:rsid w:val="00EF7CAD"/>
    <w:rsid w:val="00EF7CED"/>
    <w:rsid w:val="00EF7E74"/>
    <w:rsid w:val="00EF7EF4"/>
    <w:rsid w:val="00EF7F64"/>
    <w:rsid w:val="00F00025"/>
    <w:rsid w:val="00F00195"/>
    <w:rsid w:val="00F00200"/>
    <w:rsid w:val="00F00240"/>
    <w:rsid w:val="00F00363"/>
    <w:rsid w:val="00F00369"/>
    <w:rsid w:val="00F00452"/>
    <w:rsid w:val="00F00458"/>
    <w:rsid w:val="00F0070D"/>
    <w:rsid w:val="00F00864"/>
    <w:rsid w:val="00F00887"/>
    <w:rsid w:val="00F0088E"/>
    <w:rsid w:val="00F00ADD"/>
    <w:rsid w:val="00F00C78"/>
    <w:rsid w:val="00F00D20"/>
    <w:rsid w:val="00F00F71"/>
    <w:rsid w:val="00F01231"/>
    <w:rsid w:val="00F01265"/>
    <w:rsid w:val="00F012E8"/>
    <w:rsid w:val="00F013B4"/>
    <w:rsid w:val="00F014DA"/>
    <w:rsid w:val="00F01554"/>
    <w:rsid w:val="00F01650"/>
    <w:rsid w:val="00F0171E"/>
    <w:rsid w:val="00F017D4"/>
    <w:rsid w:val="00F01864"/>
    <w:rsid w:val="00F018F0"/>
    <w:rsid w:val="00F01978"/>
    <w:rsid w:val="00F01982"/>
    <w:rsid w:val="00F01A03"/>
    <w:rsid w:val="00F01B15"/>
    <w:rsid w:val="00F01B5C"/>
    <w:rsid w:val="00F01C6F"/>
    <w:rsid w:val="00F01CD4"/>
    <w:rsid w:val="00F01D09"/>
    <w:rsid w:val="00F01D93"/>
    <w:rsid w:val="00F01EF8"/>
    <w:rsid w:val="00F02005"/>
    <w:rsid w:val="00F0203D"/>
    <w:rsid w:val="00F02073"/>
    <w:rsid w:val="00F02102"/>
    <w:rsid w:val="00F02435"/>
    <w:rsid w:val="00F02680"/>
    <w:rsid w:val="00F027BB"/>
    <w:rsid w:val="00F0295A"/>
    <w:rsid w:val="00F02A1F"/>
    <w:rsid w:val="00F02A58"/>
    <w:rsid w:val="00F02AAD"/>
    <w:rsid w:val="00F02B82"/>
    <w:rsid w:val="00F02CB0"/>
    <w:rsid w:val="00F02D10"/>
    <w:rsid w:val="00F02D16"/>
    <w:rsid w:val="00F02ECA"/>
    <w:rsid w:val="00F02F21"/>
    <w:rsid w:val="00F02FBF"/>
    <w:rsid w:val="00F0303A"/>
    <w:rsid w:val="00F03272"/>
    <w:rsid w:val="00F032F9"/>
    <w:rsid w:val="00F033B6"/>
    <w:rsid w:val="00F033B9"/>
    <w:rsid w:val="00F034DA"/>
    <w:rsid w:val="00F03511"/>
    <w:rsid w:val="00F03600"/>
    <w:rsid w:val="00F037C2"/>
    <w:rsid w:val="00F03813"/>
    <w:rsid w:val="00F03942"/>
    <w:rsid w:val="00F03953"/>
    <w:rsid w:val="00F03964"/>
    <w:rsid w:val="00F03A5E"/>
    <w:rsid w:val="00F03DEC"/>
    <w:rsid w:val="00F03E44"/>
    <w:rsid w:val="00F03EE0"/>
    <w:rsid w:val="00F0408C"/>
    <w:rsid w:val="00F040A3"/>
    <w:rsid w:val="00F040C7"/>
    <w:rsid w:val="00F0410E"/>
    <w:rsid w:val="00F04353"/>
    <w:rsid w:val="00F04365"/>
    <w:rsid w:val="00F043A2"/>
    <w:rsid w:val="00F043D0"/>
    <w:rsid w:val="00F04532"/>
    <w:rsid w:val="00F045DA"/>
    <w:rsid w:val="00F047E4"/>
    <w:rsid w:val="00F04AE2"/>
    <w:rsid w:val="00F04BCF"/>
    <w:rsid w:val="00F04C22"/>
    <w:rsid w:val="00F04D3D"/>
    <w:rsid w:val="00F04DA3"/>
    <w:rsid w:val="00F04DAD"/>
    <w:rsid w:val="00F04DC8"/>
    <w:rsid w:val="00F04E62"/>
    <w:rsid w:val="00F04ECD"/>
    <w:rsid w:val="00F05019"/>
    <w:rsid w:val="00F05037"/>
    <w:rsid w:val="00F05180"/>
    <w:rsid w:val="00F051D2"/>
    <w:rsid w:val="00F05204"/>
    <w:rsid w:val="00F0527C"/>
    <w:rsid w:val="00F0537B"/>
    <w:rsid w:val="00F055AF"/>
    <w:rsid w:val="00F0562C"/>
    <w:rsid w:val="00F056FA"/>
    <w:rsid w:val="00F057C7"/>
    <w:rsid w:val="00F05861"/>
    <w:rsid w:val="00F05930"/>
    <w:rsid w:val="00F05974"/>
    <w:rsid w:val="00F059B3"/>
    <w:rsid w:val="00F05A12"/>
    <w:rsid w:val="00F05A44"/>
    <w:rsid w:val="00F05BA8"/>
    <w:rsid w:val="00F05C40"/>
    <w:rsid w:val="00F05C8B"/>
    <w:rsid w:val="00F05D18"/>
    <w:rsid w:val="00F05DB8"/>
    <w:rsid w:val="00F05E5B"/>
    <w:rsid w:val="00F05FB7"/>
    <w:rsid w:val="00F05FC8"/>
    <w:rsid w:val="00F06056"/>
    <w:rsid w:val="00F0608D"/>
    <w:rsid w:val="00F060C4"/>
    <w:rsid w:val="00F06146"/>
    <w:rsid w:val="00F0618B"/>
    <w:rsid w:val="00F0622D"/>
    <w:rsid w:val="00F06247"/>
    <w:rsid w:val="00F063D0"/>
    <w:rsid w:val="00F06444"/>
    <w:rsid w:val="00F0648E"/>
    <w:rsid w:val="00F065A0"/>
    <w:rsid w:val="00F065B7"/>
    <w:rsid w:val="00F0674A"/>
    <w:rsid w:val="00F06765"/>
    <w:rsid w:val="00F0676E"/>
    <w:rsid w:val="00F067BE"/>
    <w:rsid w:val="00F0681E"/>
    <w:rsid w:val="00F068DF"/>
    <w:rsid w:val="00F06956"/>
    <w:rsid w:val="00F069D7"/>
    <w:rsid w:val="00F06B09"/>
    <w:rsid w:val="00F06BF8"/>
    <w:rsid w:val="00F06C3B"/>
    <w:rsid w:val="00F06CB6"/>
    <w:rsid w:val="00F06CDF"/>
    <w:rsid w:val="00F06DA2"/>
    <w:rsid w:val="00F06DF9"/>
    <w:rsid w:val="00F06E48"/>
    <w:rsid w:val="00F07024"/>
    <w:rsid w:val="00F0707F"/>
    <w:rsid w:val="00F070E3"/>
    <w:rsid w:val="00F07125"/>
    <w:rsid w:val="00F0716F"/>
    <w:rsid w:val="00F072BC"/>
    <w:rsid w:val="00F072E1"/>
    <w:rsid w:val="00F07369"/>
    <w:rsid w:val="00F073DF"/>
    <w:rsid w:val="00F07469"/>
    <w:rsid w:val="00F074EA"/>
    <w:rsid w:val="00F074F0"/>
    <w:rsid w:val="00F07551"/>
    <w:rsid w:val="00F0762F"/>
    <w:rsid w:val="00F07769"/>
    <w:rsid w:val="00F077A5"/>
    <w:rsid w:val="00F077ED"/>
    <w:rsid w:val="00F079E9"/>
    <w:rsid w:val="00F07B5B"/>
    <w:rsid w:val="00F07B88"/>
    <w:rsid w:val="00F07B8E"/>
    <w:rsid w:val="00F07C42"/>
    <w:rsid w:val="00F07E4D"/>
    <w:rsid w:val="00F07EF3"/>
    <w:rsid w:val="00F07F1E"/>
    <w:rsid w:val="00F10008"/>
    <w:rsid w:val="00F1001B"/>
    <w:rsid w:val="00F10178"/>
    <w:rsid w:val="00F101FE"/>
    <w:rsid w:val="00F1021B"/>
    <w:rsid w:val="00F10253"/>
    <w:rsid w:val="00F10495"/>
    <w:rsid w:val="00F1053D"/>
    <w:rsid w:val="00F10589"/>
    <w:rsid w:val="00F105C2"/>
    <w:rsid w:val="00F1061E"/>
    <w:rsid w:val="00F106B6"/>
    <w:rsid w:val="00F106C1"/>
    <w:rsid w:val="00F106F9"/>
    <w:rsid w:val="00F107D8"/>
    <w:rsid w:val="00F10850"/>
    <w:rsid w:val="00F10870"/>
    <w:rsid w:val="00F10B82"/>
    <w:rsid w:val="00F10C4C"/>
    <w:rsid w:val="00F10CD0"/>
    <w:rsid w:val="00F10DA4"/>
    <w:rsid w:val="00F10DB0"/>
    <w:rsid w:val="00F10E38"/>
    <w:rsid w:val="00F10E8E"/>
    <w:rsid w:val="00F10ED5"/>
    <w:rsid w:val="00F10FB7"/>
    <w:rsid w:val="00F11091"/>
    <w:rsid w:val="00F110CA"/>
    <w:rsid w:val="00F1115E"/>
    <w:rsid w:val="00F1116C"/>
    <w:rsid w:val="00F1121A"/>
    <w:rsid w:val="00F11264"/>
    <w:rsid w:val="00F1136C"/>
    <w:rsid w:val="00F11428"/>
    <w:rsid w:val="00F1147C"/>
    <w:rsid w:val="00F1149D"/>
    <w:rsid w:val="00F11565"/>
    <w:rsid w:val="00F1158C"/>
    <w:rsid w:val="00F115DE"/>
    <w:rsid w:val="00F115F8"/>
    <w:rsid w:val="00F1173C"/>
    <w:rsid w:val="00F11770"/>
    <w:rsid w:val="00F118BB"/>
    <w:rsid w:val="00F11950"/>
    <w:rsid w:val="00F11ABA"/>
    <w:rsid w:val="00F11BB7"/>
    <w:rsid w:val="00F11C9B"/>
    <w:rsid w:val="00F11CD9"/>
    <w:rsid w:val="00F11E65"/>
    <w:rsid w:val="00F11EE3"/>
    <w:rsid w:val="00F11F75"/>
    <w:rsid w:val="00F11F7C"/>
    <w:rsid w:val="00F12027"/>
    <w:rsid w:val="00F12053"/>
    <w:rsid w:val="00F120E2"/>
    <w:rsid w:val="00F12117"/>
    <w:rsid w:val="00F1223A"/>
    <w:rsid w:val="00F124EF"/>
    <w:rsid w:val="00F1252D"/>
    <w:rsid w:val="00F12538"/>
    <w:rsid w:val="00F12578"/>
    <w:rsid w:val="00F125F9"/>
    <w:rsid w:val="00F12797"/>
    <w:rsid w:val="00F12822"/>
    <w:rsid w:val="00F1291E"/>
    <w:rsid w:val="00F12A71"/>
    <w:rsid w:val="00F12AE5"/>
    <w:rsid w:val="00F12CA3"/>
    <w:rsid w:val="00F12D31"/>
    <w:rsid w:val="00F12DCE"/>
    <w:rsid w:val="00F12E71"/>
    <w:rsid w:val="00F12F24"/>
    <w:rsid w:val="00F12FA5"/>
    <w:rsid w:val="00F12FFA"/>
    <w:rsid w:val="00F13070"/>
    <w:rsid w:val="00F1307E"/>
    <w:rsid w:val="00F13081"/>
    <w:rsid w:val="00F13122"/>
    <w:rsid w:val="00F131A4"/>
    <w:rsid w:val="00F132FA"/>
    <w:rsid w:val="00F13313"/>
    <w:rsid w:val="00F133CD"/>
    <w:rsid w:val="00F13497"/>
    <w:rsid w:val="00F13626"/>
    <w:rsid w:val="00F1363E"/>
    <w:rsid w:val="00F136B9"/>
    <w:rsid w:val="00F13742"/>
    <w:rsid w:val="00F137CF"/>
    <w:rsid w:val="00F13919"/>
    <w:rsid w:val="00F13931"/>
    <w:rsid w:val="00F13ACD"/>
    <w:rsid w:val="00F13AF9"/>
    <w:rsid w:val="00F13B57"/>
    <w:rsid w:val="00F13B58"/>
    <w:rsid w:val="00F13B67"/>
    <w:rsid w:val="00F13B78"/>
    <w:rsid w:val="00F13CB1"/>
    <w:rsid w:val="00F13CD9"/>
    <w:rsid w:val="00F13D09"/>
    <w:rsid w:val="00F13D32"/>
    <w:rsid w:val="00F13D90"/>
    <w:rsid w:val="00F13E2C"/>
    <w:rsid w:val="00F13EA5"/>
    <w:rsid w:val="00F13F9D"/>
    <w:rsid w:val="00F14006"/>
    <w:rsid w:val="00F14192"/>
    <w:rsid w:val="00F1425E"/>
    <w:rsid w:val="00F143C2"/>
    <w:rsid w:val="00F14510"/>
    <w:rsid w:val="00F145CA"/>
    <w:rsid w:val="00F1475A"/>
    <w:rsid w:val="00F14952"/>
    <w:rsid w:val="00F149B4"/>
    <w:rsid w:val="00F14A41"/>
    <w:rsid w:val="00F14C33"/>
    <w:rsid w:val="00F14D02"/>
    <w:rsid w:val="00F14F08"/>
    <w:rsid w:val="00F14F25"/>
    <w:rsid w:val="00F14F32"/>
    <w:rsid w:val="00F14F81"/>
    <w:rsid w:val="00F14FB9"/>
    <w:rsid w:val="00F15060"/>
    <w:rsid w:val="00F150B0"/>
    <w:rsid w:val="00F150FC"/>
    <w:rsid w:val="00F15350"/>
    <w:rsid w:val="00F1536A"/>
    <w:rsid w:val="00F15427"/>
    <w:rsid w:val="00F1546C"/>
    <w:rsid w:val="00F15680"/>
    <w:rsid w:val="00F1568D"/>
    <w:rsid w:val="00F15694"/>
    <w:rsid w:val="00F15729"/>
    <w:rsid w:val="00F157D1"/>
    <w:rsid w:val="00F157E5"/>
    <w:rsid w:val="00F157FC"/>
    <w:rsid w:val="00F15808"/>
    <w:rsid w:val="00F1594F"/>
    <w:rsid w:val="00F15969"/>
    <w:rsid w:val="00F159E4"/>
    <w:rsid w:val="00F159E7"/>
    <w:rsid w:val="00F159FF"/>
    <w:rsid w:val="00F15A27"/>
    <w:rsid w:val="00F15A9B"/>
    <w:rsid w:val="00F15B0F"/>
    <w:rsid w:val="00F15BEF"/>
    <w:rsid w:val="00F15C42"/>
    <w:rsid w:val="00F15CDC"/>
    <w:rsid w:val="00F15CF6"/>
    <w:rsid w:val="00F15CF7"/>
    <w:rsid w:val="00F15D06"/>
    <w:rsid w:val="00F15D3B"/>
    <w:rsid w:val="00F15D4C"/>
    <w:rsid w:val="00F15D52"/>
    <w:rsid w:val="00F15D59"/>
    <w:rsid w:val="00F15E9A"/>
    <w:rsid w:val="00F15EBF"/>
    <w:rsid w:val="00F160B3"/>
    <w:rsid w:val="00F16198"/>
    <w:rsid w:val="00F16294"/>
    <w:rsid w:val="00F16490"/>
    <w:rsid w:val="00F16575"/>
    <w:rsid w:val="00F165EB"/>
    <w:rsid w:val="00F1661C"/>
    <w:rsid w:val="00F16640"/>
    <w:rsid w:val="00F16731"/>
    <w:rsid w:val="00F1681C"/>
    <w:rsid w:val="00F1681D"/>
    <w:rsid w:val="00F16849"/>
    <w:rsid w:val="00F1684E"/>
    <w:rsid w:val="00F169CF"/>
    <w:rsid w:val="00F16AEB"/>
    <w:rsid w:val="00F16AFA"/>
    <w:rsid w:val="00F16B38"/>
    <w:rsid w:val="00F16B48"/>
    <w:rsid w:val="00F16BB8"/>
    <w:rsid w:val="00F16C3E"/>
    <w:rsid w:val="00F16CFE"/>
    <w:rsid w:val="00F16DCF"/>
    <w:rsid w:val="00F16F5F"/>
    <w:rsid w:val="00F17025"/>
    <w:rsid w:val="00F170DA"/>
    <w:rsid w:val="00F1719B"/>
    <w:rsid w:val="00F17207"/>
    <w:rsid w:val="00F17274"/>
    <w:rsid w:val="00F173AE"/>
    <w:rsid w:val="00F174A7"/>
    <w:rsid w:val="00F175C7"/>
    <w:rsid w:val="00F17640"/>
    <w:rsid w:val="00F17777"/>
    <w:rsid w:val="00F1778B"/>
    <w:rsid w:val="00F177DD"/>
    <w:rsid w:val="00F17824"/>
    <w:rsid w:val="00F178C6"/>
    <w:rsid w:val="00F178F5"/>
    <w:rsid w:val="00F17AD1"/>
    <w:rsid w:val="00F17B55"/>
    <w:rsid w:val="00F17C1F"/>
    <w:rsid w:val="00F17CB2"/>
    <w:rsid w:val="00F17CDC"/>
    <w:rsid w:val="00F17CED"/>
    <w:rsid w:val="00F17D7D"/>
    <w:rsid w:val="00F17DD6"/>
    <w:rsid w:val="00F17F36"/>
    <w:rsid w:val="00F200A8"/>
    <w:rsid w:val="00F20119"/>
    <w:rsid w:val="00F2027F"/>
    <w:rsid w:val="00F20365"/>
    <w:rsid w:val="00F2055A"/>
    <w:rsid w:val="00F205FB"/>
    <w:rsid w:val="00F20604"/>
    <w:rsid w:val="00F2084D"/>
    <w:rsid w:val="00F20911"/>
    <w:rsid w:val="00F209AB"/>
    <w:rsid w:val="00F209F4"/>
    <w:rsid w:val="00F20A38"/>
    <w:rsid w:val="00F20BD0"/>
    <w:rsid w:val="00F20E07"/>
    <w:rsid w:val="00F20E24"/>
    <w:rsid w:val="00F20E4E"/>
    <w:rsid w:val="00F20FBE"/>
    <w:rsid w:val="00F20FD2"/>
    <w:rsid w:val="00F20FE1"/>
    <w:rsid w:val="00F21060"/>
    <w:rsid w:val="00F2109D"/>
    <w:rsid w:val="00F21109"/>
    <w:rsid w:val="00F21116"/>
    <w:rsid w:val="00F211AB"/>
    <w:rsid w:val="00F211D0"/>
    <w:rsid w:val="00F214DF"/>
    <w:rsid w:val="00F21508"/>
    <w:rsid w:val="00F21534"/>
    <w:rsid w:val="00F215B0"/>
    <w:rsid w:val="00F21646"/>
    <w:rsid w:val="00F216D5"/>
    <w:rsid w:val="00F217CC"/>
    <w:rsid w:val="00F21800"/>
    <w:rsid w:val="00F2180D"/>
    <w:rsid w:val="00F21A41"/>
    <w:rsid w:val="00F21A7D"/>
    <w:rsid w:val="00F21C00"/>
    <w:rsid w:val="00F21C8F"/>
    <w:rsid w:val="00F21C9B"/>
    <w:rsid w:val="00F21D2C"/>
    <w:rsid w:val="00F21D40"/>
    <w:rsid w:val="00F21FA0"/>
    <w:rsid w:val="00F222F4"/>
    <w:rsid w:val="00F2239E"/>
    <w:rsid w:val="00F223F0"/>
    <w:rsid w:val="00F22424"/>
    <w:rsid w:val="00F22571"/>
    <w:rsid w:val="00F2259F"/>
    <w:rsid w:val="00F225A4"/>
    <w:rsid w:val="00F2263D"/>
    <w:rsid w:val="00F226C2"/>
    <w:rsid w:val="00F229E7"/>
    <w:rsid w:val="00F22AA4"/>
    <w:rsid w:val="00F22AD9"/>
    <w:rsid w:val="00F22AF7"/>
    <w:rsid w:val="00F22B05"/>
    <w:rsid w:val="00F22BFF"/>
    <w:rsid w:val="00F22C16"/>
    <w:rsid w:val="00F22C34"/>
    <w:rsid w:val="00F22CCA"/>
    <w:rsid w:val="00F22D12"/>
    <w:rsid w:val="00F22DA5"/>
    <w:rsid w:val="00F22E1F"/>
    <w:rsid w:val="00F22EC0"/>
    <w:rsid w:val="00F22F29"/>
    <w:rsid w:val="00F23014"/>
    <w:rsid w:val="00F2311E"/>
    <w:rsid w:val="00F2319D"/>
    <w:rsid w:val="00F232E3"/>
    <w:rsid w:val="00F23329"/>
    <w:rsid w:val="00F23379"/>
    <w:rsid w:val="00F23397"/>
    <w:rsid w:val="00F236C5"/>
    <w:rsid w:val="00F2376B"/>
    <w:rsid w:val="00F23772"/>
    <w:rsid w:val="00F23875"/>
    <w:rsid w:val="00F238FE"/>
    <w:rsid w:val="00F23953"/>
    <w:rsid w:val="00F23B13"/>
    <w:rsid w:val="00F23C25"/>
    <w:rsid w:val="00F23C48"/>
    <w:rsid w:val="00F23C4B"/>
    <w:rsid w:val="00F23D5E"/>
    <w:rsid w:val="00F23DD5"/>
    <w:rsid w:val="00F23E2B"/>
    <w:rsid w:val="00F23E2D"/>
    <w:rsid w:val="00F23EB6"/>
    <w:rsid w:val="00F23F41"/>
    <w:rsid w:val="00F23F9A"/>
    <w:rsid w:val="00F24001"/>
    <w:rsid w:val="00F2401F"/>
    <w:rsid w:val="00F24065"/>
    <w:rsid w:val="00F24126"/>
    <w:rsid w:val="00F241E9"/>
    <w:rsid w:val="00F24295"/>
    <w:rsid w:val="00F242BC"/>
    <w:rsid w:val="00F2439B"/>
    <w:rsid w:val="00F243D7"/>
    <w:rsid w:val="00F2450A"/>
    <w:rsid w:val="00F24535"/>
    <w:rsid w:val="00F24723"/>
    <w:rsid w:val="00F24757"/>
    <w:rsid w:val="00F24869"/>
    <w:rsid w:val="00F248BB"/>
    <w:rsid w:val="00F24924"/>
    <w:rsid w:val="00F24969"/>
    <w:rsid w:val="00F24A3E"/>
    <w:rsid w:val="00F24A41"/>
    <w:rsid w:val="00F24B17"/>
    <w:rsid w:val="00F24B1E"/>
    <w:rsid w:val="00F24C46"/>
    <w:rsid w:val="00F24C77"/>
    <w:rsid w:val="00F24CC2"/>
    <w:rsid w:val="00F24D6D"/>
    <w:rsid w:val="00F24DB0"/>
    <w:rsid w:val="00F24DCB"/>
    <w:rsid w:val="00F24DDF"/>
    <w:rsid w:val="00F24E0D"/>
    <w:rsid w:val="00F24FB3"/>
    <w:rsid w:val="00F250B1"/>
    <w:rsid w:val="00F25175"/>
    <w:rsid w:val="00F251BC"/>
    <w:rsid w:val="00F25346"/>
    <w:rsid w:val="00F25393"/>
    <w:rsid w:val="00F25409"/>
    <w:rsid w:val="00F25468"/>
    <w:rsid w:val="00F25498"/>
    <w:rsid w:val="00F25534"/>
    <w:rsid w:val="00F255C1"/>
    <w:rsid w:val="00F256CE"/>
    <w:rsid w:val="00F2570F"/>
    <w:rsid w:val="00F2572F"/>
    <w:rsid w:val="00F258A6"/>
    <w:rsid w:val="00F259EF"/>
    <w:rsid w:val="00F25A00"/>
    <w:rsid w:val="00F25AC4"/>
    <w:rsid w:val="00F25B35"/>
    <w:rsid w:val="00F25C31"/>
    <w:rsid w:val="00F25C6D"/>
    <w:rsid w:val="00F25CAA"/>
    <w:rsid w:val="00F25D9C"/>
    <w:rsid w:val="00F25DFE"/>
    <w:rsid w:val="00F25E3B"/>
    <w:rsid w:val="00F25EE7"/>
    <w:rsid w:val="00F25F0D"/>
    <w:rsid w:val="00F25FDA"/>
    <w:rsid w:val="00F26122"/>
    <w:rsid w:val="00F26194"/>
    <w:rsid w:val="00F2629B"/>
    <w:rsid w:val="00F26388"/>
    <w:rsid w:val="00F263F4"/>
    <w:rsid w:val="00F2655F"/>
    <w:rsid w:val="00F265F3"/>
    <w:rsid w:val="00F265F8"/>
    <w:rsid w:val="00F266BA"/>
    <w:rsid w:val="00F2670A"/>
    <w:rsid w:val="00F26778"/>
    <w:rsid w:val="00F26973"/>
    <w:rsid w:val="00F2698C"/>
    <w:rsid w:val="00F269A6"/>
    <w:rsid w:val="00F269C7"/>
    <w:rsid w:val="00F269F6"/>
    <w:rsid w:val="00F26A4F"/>
    <w:rsid w:val="00F26B67"/>
    <w:rsid w:val="00F26BE4"/>
    <w:rsid w:val="00F26C37"/>
    <w:rsid w:val="00F26CC8"/>
    <w:rsid w:val="00F26D22"/>
    <w:rsid w:val="00F26D4C"/>
    <w:rsid w:val="00F26D78"/>
    <w:rsid w:val="00F26D8F"/>
    <w:rsid w:val="00F26DB2"/>
    <w:rsid w:val="00F26DBC"/>
    <w:rsid w:val="00F26DD7"/>
    <w:rsid w:val="00F26EA0"/>
    <w:rsid w:val="00F26F60"/>
    <w:rsid w:val="00F26F72"/>
    <w:rsid w:val="00F26FCD"/>
    <w:rsid w:val="00F27005"/>
    <w:rsid w:val="00F2711D"/>
    <w:rsid w:val="00F2717D"/>
    <w:rsid w:val="00F272A5"/>
    <w:rsid w:val="00F27332"/>
    <w:rsid w:val="00F273FC"/>
    <w:rsid w:val="00F275F7"/>
    <w:rsid w:val="00F27600"/>
    <w:rsid w:val="00F27755"/>
    <w:rsid w:val="00F2777F"/>
    <w:rsid w:val="00F278D5"/>
    <w:rsid w:val="00F27915"/>
    <w:rsid w:val="00F27ABA"/>
    <w:rsid w:val="00F27B7C"/>
    <w:rsid w:val="00F27D88"/>
    <w:rsid w:val="00F27DB3"/>
    <w:rsid w:val="00F27E05"/>
    <w:rsid w:val="00F300E9"/>
    <w:rsid w:val="00F301F2"/>
    <w:rsid w:val="00F302CC"/>
    <w:rsid w:val="00F30454"/>
    <w:rsid w:val="00F305B2"/>
    <w:rsid w:val="00F305B4"/>
    <w:rsid w:val="00F30606"/>
    <w:rsid w:val="00F30609"/>
    <w:rsid w:val="00F3062F"/>
    <w:rsid w:val="00F306F0"/>
    <w:rsid w:val="00F30716"/>
    <w:rsid w:val="00F307E3"/>
    <w:rsid w:val="00F30806"/>
    <w:rsid w:val="00F30848"/>
    <w:rsid w:val="00F309B7"/>
    <w:rsid w:val="00F30ABC"/>
    <w:rsid w:val="00F30C1F"/>
    <w:rsid w:val="00F30C49"/>
    <w:rsid w:val="00F30DBA"/>
    <w:rsid w:val="00F30F57"/>
    <w:rsid w:val="00F30FD2"/>
    <w:rsid w:val="00F310AA"/>
    <w:rsid w:val="00F311D9"/>
    <w:rsid w:val="00F3123A"/>
    <w:rsid w:val="00F31278"/>
    <w:rsid w:val="00F3133A"/>
    <w:rsid w:val="00F3138E"/>
    <w:rsid w:val="00F31432"/>
    <w:rsid w:val="00F314E5"/>
    <w:rsid w:val="00F31503"/>
    <w:rsid w:val="00F3161C"/>
    <w:rsid w:val="00F31637"/>
    <w:rsid w:val="00F31684"/>
    <w:rsid w:val="00F316BE"/>
    <w:rsid w:val="00F316EE"/>
    <w:rsid w:val="00F31795"/>
    <w:rsid w:val="00F3183A"/>
    <w:rsid w:val="00F31872"/>
    <w:rsid w:val="00F3189E"/>
    <w:rsid w:val="00F318B7"/>
    <w:rsid w:val="00F318B9"/>
    <w:rsid w:val="00F3191D"/>
    <w:rsid w:val="00F319CC"/>
    <w:rsid w:val="00F31A80"/>
    <w:rsid w:val="00F31AA8"/>
    <w:rsid w:val="00F31AF4"/>
    <w:rsid w:val="00F31B30"/>
    <w:rsid w:val="00F31CBB"/>
    <w:rsid w:val="00F31D2B"/>
    <w:rsid w:val="00F31EF3"/>
    <w:rsid w:val="00F31F32"/>
    <w:rsid w:val="00F31F57"/>
    <w:rsid w:val="00F3200B"/>
    <w:rsid w:val="00F320BC"/>
    <w:rsid w:val="00F32117"/>
    <w:rsid w:val="00F3213A"/>
    <w:rsid w:val="00F3213E"/>
    <w:rsid w:val="00F3217B"/>
    <w:rsid w:val="00F321C7"/>
    <w:rsid w:val="00F321E7"/>
    <w:rsid w:val="00F322B4"/>
    <w:rsid w:val="00F322D6"/>
    <w:rsid w:val="00F323DD"/>
    <w:rsid w:val="00F324C4"/>
    <w:rsid w:val="00F325C7"/>
    <w:rsid w:val="00F32630"/>
    <w:rsid w:val="00F32641"/>
    <w:rsid w:val="00F32723"/>
    <w:rsid w:val="00F327D3"/>
    <w:rsid w:val="00F32A3D"/>
    <w:rsid w:val="00F32AAC"/>
    <w:rsid w:val="00F32B90"/>
    <w:rsid w:val="00F32BF2"/>
    <w:rsid w:val="00F32D9C"/>
    <w:rsid w:val="00F32E78"/>
    <w:rsid w:val="00F32EBB"/>
    <w:rsid w:val="00F32F5A"/>
    <w:rsid w:val="00F32F68"/>
    <w:rsid w:val="00F32FA0"/>
    <w:rsid w:val="00F330E4"/>
    <w:rsid w:val="00F3311F"/>
    <w:rsid w:val="00F33147"/>
    <w:rsid w:val="00F3321B"/>
    <w:rsid w:val="00F33236"/>
    <w:rsid w:val="00F332A6"/>
    <w:rsid w:val="00F3355F"/>
    <w:rsid w:val="00F3358A"/>
    <w:rsid w:val="00F335FC"/>
    <w:rsid w:val="00F33635"/>
    <w:rsid w:val="00F33651"/>
    <w:rsid w:val="00F33709"/>
    <w:rsid w:val="00F3373D"/>
    <w:rsid w:val="00F33749"/>
    <w:rsid w:val="00F337D9"/>
    <w:rsid w:val="00F3386E"/>
    <w:rsid w:val="00F3387E"/>
    <w:rsid w:val="00F33925"/>
    <w:rsid w:val="00F3393B"/>
    <w:rsid w:val="00F33960"/>
    <w:rsid w:val="00F339BE"/>
    <w:rsid w:val="00F33AEA"/>
    <w:rsid w:val="00F33DDF"/>
    <w:rsid w:val="00F33E2B"/>
    <w:rsid w:val="00F33FAC"/>
    <w:rsid w:val="00F33FBA"/>
    <w:rsid w:val="00F3406A"/>
    <w:rsid w:val="00F3422B"/>
    <w:rsid w:val="00F34287"/>
    <w:rsid w:val="00F3464B"/>
    <w:rsid w:val="00F346C3"/>
    <w:rsid w:val="00F346FF"/>
    <w:rsid w:val="00F34826"/>
    <w:rsid w:val="00F3484A"/>
    <w:rsid w:val="00F34855"/>
    <w:rsid w:val="00F348B7"/>
    <w:rsid w:val="00F34962"/>
    <w:rsid w:val="00F3498F"/>
    <w:rsid w:val="00F34A9E"/>
    <w:rsid w:val="00F34AB8"/>
    <w:rsid w:val="00F34BB4"/>
    <w:rsid w:val="00F34CC0"/>
    <w:rsid w:val="00F34E22"/>
    <w:rsid w:val="00F34E61"/>
    <w:rsid w:val="00F34E97"/>
    <w:rsid w:val="00F34F94"/>
    <w:rsid w:val="00F350E5"/>
    <w:rsid w:val="00F351E3"/>
    <w:rsid w:val="00F35219"/>
    <w:rsid w:val="00F3521B"/>
    <w:rsid w:val="00F353F4"/>
    <w:rsid w:val="00F3542E"/>
    <w:rsid w:val="00F3544A"/>
    <w:rsid w:val="00F35481"/>
    <w:rsid w:val="00F3549B"/>
    <w:rsid w:val="00F3553E"/>
    <w:rsid w:val="00F3558D"/>
    <w:rsid w:val="00F3566E"/>
    <w:rsid w:val="00F357A5"/>
    <w:rsid w:val="00F357F1"/>
    <w:rsid w:val="00F35817"/>
    <w:rsid w:val="00F35899"/>
    <w:rsid w:val="00F358D7"/>
    <w:rsid w:val="00F35948"/>
    <w:rsid w:val="00F359D3"/>
    <w:rsid w:val="00F35AF8"/>
    <w:rsid w:val="00F35B2E"/>
    <w:rsid w:val="00F35B4A"/>
    <w:rsid w:val="00F35C2C"/>
    <w:rsid w:val="00F35DD1"/>
    <w:rsid w:val="00F35E37"/>
    <w:rsid w:val="00F35E4B"/>
    <w:rsid w:val="00F35E4C"/>
    <w:rsid w:val="00F35F59"/>
    <w:rsid w:val="00F35F9E"/>
    <w:rsid w:val="00F35FE8"/>
    <w:rsid w:val="00F36026"/>
    <w:rsid w:val="00F3605D"/>
    <w:rsid w:val="00F360AE"/>
    <w:rsid w:val="00F36186"/>
    <w:rsid w:val="00F361CD"/>
    <w:rsid w:val="00F361DE"/>
    <w:rsid w:val="00F36222"/>
    <w:rsid w:val="00F36224"/>
    <w:rsid w:val="00F3631C"/>
    <w:rsid w:val="00F36394"/>
    <w:rsid w:val="00F363BD"/>
    <w:rsid w:val="00F363D3"/>
    <w:rsid w:val="00F364DC"/>
    <w:rsid w:val="00F364F2"/>
    <w:rsid w:val="00F36537"/>
    <w:rsid w:val="00F36574"/>
    <w:rsid w:val="00F36591"/>
    <w:rsid w:val="00F365F9"/>
    <w:rsid w:val="00F366C2"/>
    <w:rsid w:val="00F3677A"/>
    <w:rsid w:val="00F36827"/>
    <w:rsid w:val="00F36883"/>
    <w:rsid w:val="00F368FC"/>
    <w:rsid w:val="00F36A3F"/>
    <w:rsid w:val="00F36A7A"/>
    <w:rsid w:val="00F36CD6"/>
    <w:rsid w:val="00F36D47"/>
    <w:rsid w:val="00F36ECB"/>
    <w:rsid w:val="00F37058"/>
    <w:rsid w:val="00F370D4"/>
    <w:rsid w:val="00F371C0"/>
    <w:rsid w:val="00F371E7"/>
    <w:rsid w:val="00F3721E"/>
    <w:rsid w:val="00F37273"/>
    <w:rsid w:val="00F372ED"/>
    <w:rsid w:val="00F37346"/>
    <w:rsid w:val="00F3736C"/>
    <w:rsid w:val="00F373F5"/>
    <w:rsid w:val="00F374AF"/>
    <w:rsid w:val="00F37566"/>
    <w:rsid w:val="00F37636"/>
    <w:rsid w:val="00F37640"/>
    <w:rsid w:val="00F376A1"/>
    <w:rsid w:val="00F376D4"/>
    <w:rsid w:val="00F3771F"/>
    <w:rsid w:val="00F37748"/>
    <w:rsid w:val="00F37799"/>
    <w:rsid w:val="00F377C1"/>
    <w:rsid w:val="00F377C6"/>
    <w:rsid w:val="00F37837"/>
    <w:rsid w:val="00F37883"/>
    <w:rsid w:val="00F3795F"/>
    <w:rsid w:val="00F379DD"/>
    <w:rsid w:val="00F37B0F"/>
    <w:rsid w:val="00F37BBA"/>
    <w:rsid w:val="00F37C30"/>
    <w:rsid w:val="00F37CF2"/>
    <w:rsid w:val="00F37CF8"/>
    <w:rsid w:val="00F37D05"/>
    <w:rsid w:val="00F37D07"/>
    <w:rsid w:val="00F37D27"/>
    <w:rsid w:val="00F37D82"/>
    <w:rsid w:val="00F37E09"/>
    <w:rsid w:val="00F37ED0"/>
    <w:rsid w:val="00F3A3E9"/>
    <w:rsid w:val="00F3E5A5"/>
    <w:rsid w:val="00F40118"/>
    <w:rsid w:val="00F4027A"/>
    <w:rsid w:val="00F402D9"/>
    <w:rsid w:val="00F4031A"/>
    <w:rsid w:val="00F4031D"/>
    <w:rsid w:val="00F404DD"/>
    <w:rsid w:val="00F405F4"/>
    <w:rsid w:val="00F406BE"/>
    <w:rsid w:val="00F40791"/>
    <w:rsid w:val="00F40863"/>
    <w:rsid w:val="00F40974"/>
    <w:rsid w:val="00F40ABB"/>
    <w:rsid w:val="00F40AF3"/>
    <w:rsid w:val="00F40B55"/>
    <w:rsid w:val="00F40B76"/>
    <w:rsid w:val="00F40B79"/>
    <w:rsid w:val="00F40B7F"/>
    <w:rsid w:val="00F40D55"/>
    <w:rsid w:val="00F40D6C"/>
    <w:rsid w:val="00F40DBD"/>
    <w:rsid w:val="00F40EA2"/>
    <w:rsid w:val="00F40EB2"/>
    <w:rsid w:val="00F40EDF"/>
    <w:rsid w:val="00F40F47"/>
    <w:rsid w:val="00F40F9C"/>
    <w:rsid w:val="00F4110D"/>
    <w:rsid w:val="00F411AD"/>
    <w:rsid w:val="00F412DB"/>
    <w:rsid w:val="00F41303"/>
    <w:rsid w:val="00F41317"/>
    <w:rsid w:val="00F41405"/>
    <w:rsid w:val="00F4148C"/>
    <w:rsid w:val="00F414C2"/>
    <w:rsid w:val="00F41502"/>
    <w:rsid w:val="00F4153C"/>
    <w:rsid w:val="00F4180E"/>
    <w:rsid w:val="00F41858"/>
    <w:rsid w:val="00F4186C"/>
    <w:rsid w:val="00F418D2"/>
    <w:rsid w:val="00F41A57"/>
    <w:rsid w:val="00F41AF0"/>
    <w:rsid w:val="00F41C31"/>
    <w:rsid w:val="00F41C3A"/>
    <w:rsid w:val="00F41CA5"/>
    <w:rsid w:val="00F41CBA"/>
    <w:rsid w:val="00F41DE0"/>
    <w:rsid w:val="00F420B5"/>
    <w:rsid w:val="00F4218D"/>
    <w:rsid w:val="00F421D0"/>
    <w:rsid w:val="00F42257"/>
    <w:rsid w:val="00F42274"/>
    <w:rsid w:val="00F422FA"/>
    <w:rsid w:val="00F423BB"/>
    <w:rsid w:val="00F42430"/>
    <w:rsid w:val="00F424DD"/>
    <w:rsid w:val="00F424E3"/>
    <w:rsid w:val="00F42658"/>
    <w:rsid w:val="00F42668"/>
    <w:rsid w:val="00F42803"/>
    <w:rsid w:val="00F42ACC"/>
    <w:rsid w:val="00F42B0A"/>
    <w:rsid w:val="00F42D62"/>
    <w:rsid w:val="00F42E41"/>
    <w:rsid w:val="00F42F38"/>
    <w:rsid w:val="00F42FCF"/>
    <w:rsid w:val="00F42FD3"/>
    <w:rsid w:val="00F42FDB"/>
    <w:rsid w:val="00F43007"/>
    <w:rsid w:val="00F4301D"/>
    <w:rsid w:val="00F43073"/>
    <w:rsid w:val="00F4310D"/>
    <w:rsid w:val="00F43125"/>
    <w:rsid w:val="00F43141"/>
    <w:rsid w:val="00F43183"/>
    <w:rsid w:val="00F43309"/>
    <w:rsid w:val="00F43341"/>
    <w:rsid w:val="00F433A0"/>
    <w:rsid w:val="00F433FD"/>
    <w:rsid w:val="00F43469"/>
    <w:rsid w:val="00F43505"/>
    <w:rsid w:val="00F43630"/>
    <w:rsid w:val="00F436B3"/>
    <w:rsid w:val="00F43721"/>
    <w:rsid w:val="00F43734"/>
    <w:rsid w:val="00F43807"/>
    <w:rsid w:val="00F43870"/>
    <w:rsid w:val="00F4387A"/>
    <w:rsid w:val="00F439D2"/>
    <w:rsid w:val="00F439FB"/>
    <w:rsid w:val="00F43A16"/>
    <w:rsid w:val="00F43B2C"/>
    <w:rsid w:val="00F43D0F"/>
    <w:rsid w:val="00F43EC3"/>
    <w:rsid w:val="00F43F3A"/>
    <w:rsid w:val="00F43FBA"/>
    <w:rsid w:val="00F43FE9"/>
    <w:rsid w:val="00F44028"/>
    <w:rsid w:val="00F4403E"/>
    <w:rsid w:val="00F44157"/>
    <w:rsid w:val="00F4430E"/>
    <w:rsid w:val="00F44312"/>
    <w:rsid w:val="00F4437D"/>
    <w:rsid w:val="00F4439A"/>
    <w:rsid w:val="00F443FB"/>
    <w:rsid w:val="00F44454"/>
    <w:rsid w:val="00F4449F"/>
    <w:rsid w:val="00F444E5"/>
    <w:rsid w:val="00F445E6"/>
    <w:rsid w:val="00F44701"/>
    <w:rsid w:val="00F44774"/>
    <w:rsid w:val="00F447B1"/>
    <w:rsid w:val="00F44865"/>
    <w:rsid w:val="00F44A85"/>
    <w:rsid w:val="00F44A96"/>
    <w:rsid w:val="00F44B25"/>
    <w:rsid w:val="00F44B50"/>
    <w:rsid w:val="00F44C57"/>
    <w:rsid w:val="00F44D70"/>
    <w:rsid w:val="00F44E74"/>
    <w:rsid w:val="00F44E81"/>
    <w:rsid w:val="00F44F0E"/>
    <w:rsid w:val="00F44F23"/>
    <w:rsid w:val="00F44F35"/>
    <w:rsid w:val="00F450B2"/>
    <w:rsid w:val="00F450C0"/>
    <w:rsid w:val="00F45187"/>
    <w:rsid w:val="00F4518E"/>
    <w:rsid w:val="00F45240"/>
    <w:rsid w:val="00F452A1"/>
    <w:rsid w:val="00F45493"/>
    <w:rsid w:val="00F454DE"/>
    <w:rsid w:val="00F455EC"/>
    <w:rsid w:val="00F45609"/>
    <w:rsid w:val="00F45739"/>
    <w:rsid w:val="00F45798"/>
    <w:rsid w:val="00F45811"/>
    <w:rsid w:val="00F45857"/>
    <w:rsid w:val="00F45894"/>
    <w:rsid w:val="00F458D2"/>
    <w:rsid w:val="00F4591A"/>
    <w:rsid w:val="00F4597E"/>
    <w:rsid w:val="00F45A5F"/>
    <w:rsid w:val="00F45A8F"/>
    <w:rsid w:val="00F45BC0"/>
    <w:rsid w:val="00F45BDC"/>
    <w:rsid w:val="00F45BF0"/>
    <w:rsid w:val="00F45CD7"/>
    <w:rsid w:val="00F45D7D"/>
    <w:rsid w:val="00F45DD8"/>
    <w:rsid w:val="00F45E68"/>
    <w:rsid w:val="00F45EA4"/>
    <w:rsid w:val="00F45EA9"/>
    <w:rsid w:val="00F45F8F"/>
    <w:rsid w:val="00F45FC5"/>
    <w:rsid w:val="00F4606F"/>
    <w:rsid w:val="00F46106"/>
    <w:rsid w:val="00F46131"/>
    <w:rsid w:val="00F462B8"/>
    <w:rsid w:val="00F46364"/>
    <w:rsid w:val="00F4653D"/>
    <w:rsid w:val="00F46651"/>
    <w:rsid w:val="00F466AB"/>
    <w:rsid w:val="00F46952"/>
    <w:rsid w:val="00F469BF"/>
    <w:rsid w:val="00F46C05"/>
    <w:rsid w:val="00F46C36"/>
    <w:rsid w:val="00F46C4C"/>
    <w:rsid w:val="00F46E06"/>
    <w:rsid w:val="00F46FB5"/>
    <w:rsid w:val="00F47142"/>
    <w:rsid w:val="00F47198"/>
    <w:rsid w:val="00F471FD"/>
    <w:rsid w:val="00F47321"/>
    <w:rsid w:val="00F47431"/>
    <w:rsid w:val="00F47560"/>
    <w:rsid w:val="00F47623"/>
    <w:rsid w:val="00F47652"/>
    <w:rsid w:val="00F476F1"/>
    <w:rsid w:val="00F47855"/>
    <w:rsid w:val="00F4787C"/>
    <w:rsid w:val="00F478C4"/>
    <w:rsid w:val="00F478CC"/>
    <w:rsid w:val="00F478D6"/>
    <w:rsid w:val="00F478DF"/>
    <w:rsid w:val="00F47A65"/>
    <w:rsid w:val="00F47A87"/>
    <w:rsid w:val="00F47B2B"/>
    <w:rsid w:val="00F47B6B"/>
    <w:rsid w:val="00F47BA5"/>
    <w:rsid w:val="00F47C20"/>
    <w:rsid w:val="00F47C40"/>
    <w:rsid w:val="00F47CAF"/>
    <w:rsid w:val="00F47D10"/>
    <w:rsid w:val="00F47DD8"/>
    <w:rsid w:val="00F4EBF8"/>
    <w:rsid w:val="00F501E7"/>
    <w:rsid w:val="00F501FC"/>
    <w:rsid w:val="00F50229"/>
    <w:rsid w:val="00F5024C"/>
    <w:rsid w:val="00F50442"/>
    <w:rsid w:val="00F504E5"/>
    <w:rsid w:val="00F50650"/>
    <w:rsid w:val="00F506E2"/>
    <w:rsid w:val="00F5076F"/>
    <w:rsid w:val="00F507C6"/>
    <w:rsid w:val="00F508AF"/>
    <w:rsid w:val="00F508B1"/>
    <w:rsid w:val="00F509D8"/>
    <w:rsid w:val="00F50A36"/>
    <w:rsid w:val="00F50AC8"/>
    <w:rsid w:val="00F50ACE"/>
    <w:rsid w:val="00F50B0A"/>
    <w:rsid w:val="00F50C1B"/>
    <w:rsid w:val="00F50C30"/>
    <w:rsid w:val="00F50D09"/>
    <w:rsid w:val="00F50D0B"/>
    <w:rsid w:val="00F50D41"/>
    <w:rsid w:val="00F50E5B"/>
    <w:rsid w:val="00F50E93"/>
    <w:rsid w:val="00F50EB3"/>
    <w:rsid w:val="00F50F6A"/>
    <w:rsid w:val="00F50FC4"/>
    <w:rsid w:val="00F50FD7"/>
    <w:rsid w:val="00F5100D"/>
    <w:rsid w:val="00F51048"/>
    <w:rsid w:val="00F51063"/>
    <w:rsid w:val="00F51082"/>
    <w:rsid w:val="00F51149"/>
    <w:rsid w:val="00F5117C"/>
    <w:rsid w:val="00F511B3"/>
    <w:rsid w:val="00F51290"/>
    <w:rsid w:val="00F512AF"/>
    <w:rsid w:val="00F512F2"/>
    <w:rsid w:val="00F51320"/>
    <w:rsid w:val="00F513BE"/>
    <w:rsid w:val="00F513C8"/>
    <w:rsid w:val="00F51448"/>
    <w:rsid w:val="00F514C2"/>
    <w:rsid w:val="00F5150D"/>
    <w:rsid w:val="00F5166C"/>
    <w:rsid w:val="00F51714"/>
    <w:rsid w:val="00F51788"/>
    <w:rsid w:val="00F51791"/>
    <w:rsid w:val="00F517AC"/>
    <w:rsid w:val="00F51A3B"/>
    <w:rsid w:val="00F51AA4"/>
    <w:rsid w:val="00F51AE5"/>
    <w:rsid w:val="00F51BA7"/>
    <w:rsid w:val="00F51D74"/>
    <w:rsid w:val="00F51E46"/>
    <w:rsid w:val="00F51EB1"/>
    <w:rsid w:val="00F51F34"/>
    <w:rsid w:val="00F5212F"/>
    <w:rsid w:val="00F52164"/>
    <w:rsid w:val="00F521F2"/>
    <w:rsid w:val="00F52268"/>
    <w:rsid w:val="00F52343"/>
    <w:rsid w:val="00F523BB"/>
    <w:rsid w:val="00F523DB"/>
    <w:rsid w:val="00F52439"/>
    <w:rsid w:val="00F5246D"/>
    <w:rsid w:val="00F524CD"/>
    <w:rsid w:val="00F525AF"/>
    <w:rsid w:val="00F5267D"/>
    <w:rsid w:val="00F5278E"/>
    <w:rsid w:val="00F528A3"/>
    <w:rsid w:val="00F528BE"/>
    <w:rsid w:val="00F529D5"/>
    <w:rsid w:val="00F52A2E"/>
    <w:rsid w:val="00F52A8E"/>
    <w:rsid w:val="00F52ACC"/>
    <w:rsid w:val="00F52BF0"/>
    <w:rsid w:val="00F52C4B"/>
    <w:rsid w:val="00F52CA2"/>
    <w:rsid w:val="00F52CA5"/>
    <w:rsid w:val="00F52CA9"/>
    <w:rsid w:val="00F52D63"/>
    <w:rsid w:val="00F52EF3"/>
    <w:rsid w:val="00F52F76"/>
    <w:rsid w:val="00F52FAF"/>
    <w:rsid w:val="00F53047"/>
    <w:rsid w:val="00F530CD"/>
    <w:rsid w:val="00F5310F"/>
    <w:rsid w:val="00F532FE"/>
    <w:rsid w:val="00F5343D"/>
    <w:rsid w:val="00F534C2"/>
    <w:rsid w:val="00F5351E"/>
    <w:rsid w:val="00F53669"/>
    <w:rsid w:val="00F5373C"/>
    <w:rsid w:val="00F53873"/>
    <w:rsid w:val="00F5399A"/>
    <w:rsid w:val="00F5399B"/>
    <w:rsid w:val="00F5399F"/>
    <w:rsid w:val="00F53A8A"/>
    <w:rsid w:val="00F53C8E"/>
    <w:rsid w:val="00F53EAB"/>
    <w:rsid w:val="00F54015"/>
    <w:rsid w:val="00F5409E"/>
    <w:rsid w:val="00F54173"/>
    <w:rsid w:val="00F541A1"/>
    <w:rsid w:val="00F541E4"/>
    <w:rsid w:val="00F54343"/>
    <w:rsid w:val="00F54481"/>
    <w:rsid w:val="00F544BC"/>
    <w:rsid w:val="00F54789"/>
    <w:rsid w:val="00F5481E"/>
    <w:rsid w:val="00F548A0"/>
    <w:rsid w:val="00F54904"/>
    <w:rsid w:val="00F54964"/>
    <w:rsid w:val="00F5498C"/>
    <w:rsid w:val="00F54B39"/>
    <w:rsid w:val="00F54C64"/>
    <w:rsid w:val="00F54ED3"/>
    <w:rsid w:val="00F54EF9"/>
    <w:rsid w:val="00F54F5E"/>
    <w:rsid w:val="00F54F65"/>
    <w:rsid w:val="00F54F83"/>
    <w:rsid w:val="00F55076"/>
    <w:rsid w:val="00F55114"/>
    <w:rsid w:val="00F551F0"/>
    <w:rsid w:val="00F5526F"/>
    <w:rsid w:val="00F55360"/>
    <w:rsid w:val="00F5536C"/>
    <w:rsid w:val="00F55392"/>
    <w:rsid w:val="00F5539D"/>
    <w:rsid w:val="00F553F8"/>
    <w:rsid w:val="00F554A4"/>
    <w:rsid w:val="00F5550D"/>
    <w:rsid w:val="00F55593"/>
    <w:rsid w:val="00F55618"/>
    <w:rsid w:val="00F55619"/>
    <w:rsid w:val="00F556C6"/>
    <w:rsid w:val="00F5580C"/>
    <w:rsid w:val="00F55829"/>
    <w:rsid w:val="00F5588C"/>
    <w:rsid w:val="00F558E8"/>
    <w:rsid w:val="00F558EC"/>
    <w:rsid w:val="00F559D8"/>
    <w:rsid w:val="00F55A6C"/>
    <w:rsid w:val="00F55AE8"/>
    <w:rsid w:val="00F55B32"/>
    <w:rsid w:val="00F55B6C"/>
    <w:rsid w:val="00F55CA0"/>
    <w:rsid w:val="00F55DCC"/>
    <w:rsid w:val="00F55DD4"/>
    <w:rsid w:val="00F55EB8"/>
    <w:rsid w:val="00F55FC8"/>
    <w:rsid w:val="00F5600B"/>
    <w:rsid w:val="00F560F8"/>
    <w:rsid w:val="00F56108"/>
    <w:rsid w:val="00F56153"/>
    <w:rsid w:val="00F56236"/>
    <w:rsid w:val="00F56295"/>
    <w:rsid w:val="00F562A3"/>
    <w:rsid w:val="00F5637A"/>
    <w:rsid w:val="00F563C2"/>
    <w:rsid w:val="00F5641D"/>
    <w:rsid w:val="00F564A3"/>
    <w:rsid w:val="00F564CD"/>
    <w:rsid w:val="00F56615"/>
    <w:rsid w:val="00F56640"/>
    <w:rsid w:val="00F566DB"/>
    <w:rsid w:val="00F567CE"/>
    <w:rsid w:val="00F5687C"/>
    <w:rsid w:val="00F568E2"/>
    <w:rsid w:val="00F56936"/>
    <w:rsid w:val="00F56991"/>
    <w:rsid w:val="00F56C8B"/>
    <w:rsid w:val="00F56D19"/>
    <w:rsid w:val="00F56D6A"/>
    <w:rsid w:val="00F56DBC"/>
    <w:rsid w:val="00F56E47"/>
    <w:rsid w:val="00F56E54"/>
    <w:rsid w:val="00F56F4E"/>
    <w:rsid w:val="00F56FC0"/>
    <w:rsid w:val="00F56FCA"/>
    <w:rsid w:val="00F5708E"/>
    <w:rsid w:val="00F570C4"/>
    <w:rsid w:val="00F57364"/>
    <w:rsid w:val="00F57395"/>
    <w:rsid w:val="00F57458"/>
    <w:rsid w:val="00F574D0"/>
    <w:rsid w:val="00F574F3"/>
    <w:rsid w:val="00F57502"/>
    <w:rsid w:val="00F57596"/>
    <w:rsid w:val="00F575CB"/>
    <w:rsid w:val="00F57654"/>
    <w:rsid w:val="00F576A6"/>
    <w:rsid w:val="00F57820"/>
    <w:rsid w:val="00F5791A"/>
    <w:rsid w:val="00F57941"/>
    <w:rsid w:val="00F57942"/>
    <w:rsid w:val="00F579C5"/>
    <w:rsid w:val="00F57A7D"/>
    <w:rsid w:val="00F57B9E"/>
    <w:rsid w:val="00F57CA9"/>
    <w:rsid w:val="00F57D36"/>
    <w:rsid w:val="00F57DAA"/>
    <w:rsid w:val="00F57DAB"/>
    <w:rsid w:val="00F57E51"/>
    <w:rsid w:val="00F57EDC"/>
    <w:rsid w:val="00F57F4A"/>
    <w:rsid w:val="00F57FE1"/>
    <w:rsid w:val="00F60041"/>
    <w:rsid w:val="00F6021C"/>
    <w:rsid w:val="00F60272"/>
    <w:rsid w:val="00F6033B"/>
    <w:rsid w:val="00F603E1"/>
    <w:rsid w:val="00F6041A"/>
    <w:rsid w:val="00F60619"/>
    <w:rsid w:val="00F60790"/>
    <w:rsid w:val="00F607E9"/>
    <w:rsid w:val="00F6085E"/>
    <w:rsid w:val="00F609C6"/>
    <w:rsid w:val="00F60B92"/>
    <w:rsid w:val="00F60BCE"/>
    <w:rsid w:val="00F60BEE"/>
    <w:rsid w:val="00F60C59"/>
    <w:rsid w:val="00F60D4D"/>
    <w:rsid w:val="00F60D50"/>
    <w:rsid w:val="00F60D7F"/>
    <w:rsid w:val="00F60DF8"/>
    <w:rsid w:val="00F60E0A"/>
    <w:rsid w:val="00F60E71"/>
    <w:rsid w:val="00F60F9B"/>
    <w:rsid w:val="00F61057"/>
    <w:rsid w:val="00F6120A"/>
    <w:rsid w:val="00F61220"/>
    <w:rsid w:val="00F61271"/>
    <w:rsid w:val="00F61339"/>
    <w:rsid w:val="00F613AB"/>
    <w:rsid w:val="00F613CC"/>
    <w:rsid w:val="00F613EB"/>
    <w:rsid w:val="00F613F8"/>
    <w:rsid w:val="00F6155B"/>
    <w:rsid w:val="00F61571"/>
    <w:rsid w:val="00F616C9"/>
    <w:rsid w:val="00F616D9"/>
    <w:rsid w:val="00F61794"/>
    <w:rsid w:val="00F6181B"/>
    <w:rsid w:val="00F61839"/>
    <w:rsid w:val="00F61856"/>
    <w:rsid w:val="00F618AE"/>
    <w:rsid w:val="00F618F7"/>
    <w:rsid w:val="00F61932"/>
    <w:rsid w:val="00F619EC"/>
    <w:rsid w:val="00F61B92"/>
    <w:rsid w:val="00F61BB4"/>
    <w:rsid w:val="00F61D27"/>
    <w:rsid w:val="00F61DAA"/>
    <w:rsid w:val="00F61F14"/>
    <w:rsid w:val="00F61F79"/>
    <w:rsid w:val="00F62010"/>
    <w:rsid w:val="00F621D1"/>
    <w:rsid w:val="00F621EA"/>
    <w:rsid w:val="00F62221"/>
    <w:rsid w:val="00F622E2"/>
    <w:rsid w:val="00F622FF"/>
    <w:rsid w:val="00F62340"/>
    <w:rsid w:val="00F62377"/>
    <w:rsid w:val="00F62489"/>
    <w:rsid w:val="00F625DE"/>
    <w:rsid w:val="00F6274B"/>
    <w:rsid w:val="00F62753"/>
    <w:rsid w:val="00F62770"/>
    <w:rsid w:val="00F6278E"/>
    <w:rsid w:val="00F62790"/>
    <w:rsid w:val="00F627CC"/>
    <w:rsid w:val="00F627EB"/>
    <w:rsid w:val="00F6285A"/>
    <w:rsid w:val="00F62943"/>
    <w:rsid w:val="00F62979"/>
    <w:rsid w:val="00F629E4"/>
    <w:rsid w:val="00F62A24"/>
    <w:rsid w:val="00F62BBE"/>
    <w:rsid w:val="00F62C1A"/>
    <w:rsid w:val="00F62E31"/>
    <w:rsid w:val="00F62EB0"/>
    <w:rsid w:val="00F62FD5"/>
    <w:rsid w:val="00F63048"/>
    <w:rsid w:val="00F6307E"/>
    <w:rsid w:val="00F630A0"/>
    <w:rsid w:val="00F630A9"/>
    <w:rsid w:val="00F630CA"/>
    <w:rsid w:val="00F631A6"/>
    <w:rsid w:val="00F63365"/>
    <w:rsid w:val="00F633DF"/>
    <w:rsid w:val="00F634E7"/>
    <w:rsid w:val="00F63537"/>
    <w:rsid w:val="00F63763"/>
    <w:rsid w:val="00F637CA"/>
    <w:rsid w:val="00F6392C"/>
    <w:rsid w:val="00F639E7"/>
    <w:rsid w:val="00F63C03"/>
    <w:rsid w:val="00F63CDA"/>
    <w:rsid w:val="00F63D07"/>
    <w:rsid w:val="00F63DEE"/>
    <w:rsid w:val="00F63EC2"/>
    <w:rsid w:val="00F640FD"/>
    <w:rsid w:val="00F64172"/>
    <w:rsid w:val="00F64197"/>
    <w:rsid w:val="00F64238"/>
    <w:rsid w:val="00F642A1"/>
    <w:rsid w:val="00F6442D"/>
    <w:rsid w:val="00F6443D"/>
    <w:rsid w:val="00F64458"/>
    <w:rsid w:val="00F64498"/>
    <w:rsid w:val="00F64564"/>
    <w:rsid w:val="00F645F5"/>
    <w:rsid w:val="00F6469A"/>
    <w:rsid w:val="00F646BD"/>
    <w:rsid w:val="00F646DF"/>
    <w:rsid w:val="00F6473F"/>
    <w:rsid w:val="00F64746"/>
    <w:rsid w:val="00F64787"/>
    <w:rsid w:val="00F647E9"/>
    <w:rsid w:val="00F64898"/>
    <w:rsid w:val="00F6489D"/>
    <w:rsid w:val="00F649C3"/>
    <w:rsid w:val="00F649E3"/>
    <w:rsid w:val="00F64A05"/>
    <w:rsid w:val="00F64A14"/>
    <w:rsid w:val="00F64AED"/>
    <w:rsid w:val="00F64B7C"/>
    <w:rsid w:val="00F64BF1"/>
    <w:rsid w:val="00F64C69"/>
    <w:rsid w:val="00F64C91"/>
    <w:rsid w:val="00F64D55"/>
    <w:rsid w:val="00F64DA4"/>
    <w:rsid w:val="00F64DB0"/>
    <w:rsid w:val="00F64F33"/>
    <w:rsid w:val="00F64F67"/>
    <w:rsid w:val="00F6501B"/>
    <w:rsid w:val="00F6515C"/>
    <w:rsid w:val="00F6522D"/>
    <w:rsid w:val="00F65295"/>
    <w:rsid w:val="00F652A3"/>
    <w:rsid w:val="00F6533C"/>
    <w:rsid w:val="00F65470"/>
    <w:rsid w:val="00F654D6"/>
    <w:rsid w:val="00F655B1"/>
    <w:rsid w:val="00F657D4"/>
    <w:rsid w:val="00F6583C"/>
    <w:rsid w:val="00F658B2"/>
    <w:rsid w:val="00F658BF"/>
    <w:rsid w:val="00F6590C"/>
    <w:rsid w:val="00F65A04"/>
    <w:rsid w:val="00F65AF5"/>
    <w:rsid w:val="00F65AFE"/>
    <w:rsid w:val="00F65B84"/>
    <w:rsid w:val="00F65BA1"/>
    <w:rsid w:val="00F65C9C"/>
    <w:rsid w:val="00F65CF6"/>
    <w:rsid w:val="00F65D67"/>
    <w:rsid w:val="00F65D93"/>
    <w:rsid w:val="00F65EAA"/>
    <w:rsid w:val="00F65ECB"/>
    <w:rsid w:val="00F65F0E"/>
    <w:rsid w:val="00F66029"/>
    <w:rsid w:val="00F661DA"/>
    <w:rsid w:val="00F6626F"/>
    <w:rsid w:val="00F664BB"/>
    <w:rsid w:val="00F66584"/>
    <w:rsid w:val="00F6678E"/>
    <w:rsid w:val="00F6680C"/>
    <w:rsid w:val="00F66874"/>
    <w:rsid w:val="00F668BB"/>
    <w:rsid w:val="00F668EF"/>
    <w:rsid w:val="00F668FE"/>
    <w:rsid w:val="00F66955"/>
    <w:rsid w:val="00F66A36"/>
    <w:rsid w:val="00F66A45"/>
    <w:rsid w:val="00F66ABA"/>
    <w:rsid w:val="00F66B0E"/>
    <w:rsid w:val="00F66B71"/>
    <w:rsid w:val="00F66BDC"/>
    <w:rsid w:val="00F66BEC"/>
    <w:rsid w:val="00F66D47"/>
    <w:rsid w:val="00F66DD8"/>
    <w:rsid w:val="00F66E00"/>
    <w:rsid w:val="00F66F4B"/>
    <w:rsid w:val="00F66FB1"/>
    <w:rsid w:val="00F66FC0"/>
    <w:rsid w:val="00F66FE8"/>
    <w:rsid w:val="00F67018"/>
    <w:rsid w:val="00F670A5"/>
    <w:rsid w:val="00F67467"/>
    <w:rsid w:val="00F676CE"/>
    <w:rsid w:val="00F67940"/>
    <w:rsid w:val="00F67A77"/>
    <w:rsid w:val="00F67B03"/>
    <w:rsid w:val="00F67BDD"/>
    <w:rsid w:val="00F67C1A"/>
    <w:rsid w:val="00F67CD8"/>
    <w:rsid w:val="00F67D5D"/>
    <w:rsid w:val="00F67EF6"/>
    <w:rsid w:val="00F67F43"/>
    <w:rsid w:val="00F67F71"/>
    <w:rsid w:val="00F67F8C"/>
    <w:rsid w:val="00F67F9C"/>
    <w:rsid w:val="00F67FA7"/>
    <w:rsid w:val="00F67FC9"/>
    <w:rsid w:val="00F6CB39"/>
    <w:rsid w:val="00F70002"/>
    <w:rsid w:val="00F70199"/>
    <w:rsid w:val="00F7019B"/>
    <w:rsid w:val="00F701D4"/>
    <w:rsid w:val="00F702C1"/>
    <w:rsid w:val="00F70321"/>
    <w:rsid w:val="00F70330"/>
    <w:rsid w:val="00F70499"/>
    <w:rsid w:val="00F704D9"/>
    <w:rsid w:val="00F705B8"/>
    <w:rsid w:val="00F705DD"/>
    <w:rsid w:val="00F70646"/>
    <w:rsid w:val="00F7065D"/>
    <w:rsid w:val="00F706C7"/>
    <w:rsid w:val="00F706EC"/>
    <w:rsid w:val="00F7071C"/>
    <w:rsid w:val="00F7080A"/>
    <w:rsid w:val="00F70990"/>
    <w:rsid w:val="00F70A08"/>
    <w:rsid w:val="00F70A72"/>
    <w:rsid w:val="00F70ADE"/>
    <w:rsid w:val="00F70B51"/>
    <w:rsid w:val="00F70CED"/>
    <w:rsid w:val="00F70D2A"/>
    <w:rsid w:val="00F70DED"/>
    <w:rsid w:val="00F71050"/>
    <w:rsid w:val="00F71098"/>
    <w:rsid w:val="00F71154"/>
    <w:rsid w:val="00F71190"/>
    <w:rsid w:val="00F71209"/>
    <w:rsid w:val="00F713F3"/>
    <w:rsid w:val="00F71435"/>
    <w:rsid w:val="00F714F7"/>
    <w:rsid w:val="00F7150A"/>
    <w:rsid w:val="00F71662"/>
    <w:rsid w:val="00F71683"/>
    <w:rsid w:val="00F71690"/>
    <w:rsid w:val="00F716DE"/>
    <w:rsid w:val="00F71713"/>
    <w:rsid w:val="00F71760"/>
    <w:rsid w:val="00F718F2"/>
    <w:rsid w:val="00F7198C"/>
    <w:rsid w:val="00F71A31"/>
    <w:rsid w:val="00F71A72"/>
    <w:rsid w:val="00F71B4B"/>
    <w:rsid w:val="00F71BF8"/>
    <w:rsid w:val="00F71C92"/>
    <w:rsid w:val="00F71CEE"/>
    <w:rsid w:val="00F71D4B"/>
    <w:rsid w:val="00F71DA0"/>
    <w:rsid w:val="00F71DD5"/>
    <w:rsid w:val="00F71E0D"/>
    <w:rsid w:val="00F71E12"/>
    <w:rsid w:val="00F71EC6"/>
    <w:rsid w:val="00F71EE3"/>
    <w:rsid w:val="00F71F4F"/>
    <w:rsid w:val="00F7201B"/>
    <w:rsid w:val="00F72021"/>
    <w:rsid w:val="00F720C9"/>
    <w:rsid w:val="00F7214A"/>
    <w:rsid w:val="00F72246"/>
    <w:rsid w:val="00F72377"/>
    <w:rsid w:val="00F723AB"/>
    <w:rsid w:val="00F72411"/>
    <w:rsid w:val="00F7250C"/>
    <w:rsid w:val="00F72559"/>
    <w:rsid w:val="00F7285F"/>
    <w:rsid w:val="00F72985"/>
    <w:rsid w:val="00F72B1D"/>
    <w:rsid w:val="00F72EAE"/>
    <w:rsid w:val="00F72F87"/>
    <w:rsid w:val="00F730C9"/>
    <w:rsid w:val="00F730E5"/>
    <w:rsid w:val="00F73111"/>
    <w:rsid w:val="00F73142"/>
    <w:rsid w:val="00F731C7"/>
    <w:rsid w:val="00F73205"/>
    <w:rsid w:val="00F73215"/>
    <w:rsid w:val="00F73314"/>
    <w:rsid w:val="00F73316"/>
    <w:rsid w:val="00F73331"/>
    <w:rsid w:val="00F734BD"/>
    <w:rsid w:val="00F7352F"/>
    <w:rsid w:val="00F7357C"/>
    <w:rsid w:val="00F73596"/>
    <w:rsid w:val="00F735DA"/>
    <w:rsid w:val="00F73790"/>
    <w:rsid w:val="00F73869"/>
    <w:rsid w:val="00F73895"/>
    <w:rsid w:val="00F7392D"/>
    <w:rsid w:val="00F73953"/>
    <w:rsid w:val="00F739A3"/>
    <w:rsid w:val="00F739D6"/>
    <w:rsid w:val="00F73A41"/>
    <w:rsid w:val="00F73B39"/>
    <w:rsid w:val="00F73C3A"/>
    <w:rsid w:val="00F73DE9"/>
    <w:rsid w:val="00F73DF4"/>
    <w:rsid w:val="00F73E5A"/>
    <w:rsid w:val="00F73F8A"/>
    <w:rsid w:val="00F74032"/>
    <w:rsid w:val="00F7406D"/>
    <w:rsid w:val="00F7408C"/>
    <w:rsid w:val="00F740D7"/>
    <w:rsid w:val="00F740F1"/>
    <w:rsid w:val="00F740F5"/>
    <w:rsid w:val="00F7413D"/>
    <w:rsid w:val="00F742ED"/>
    <w:rsid w:val="00F74355"/>
    <w:rsid w:val="00F7436E"/>
    <w:rsid w:val="00F743CB"/>
    <w:rsid w:val="00F743E6"/>
    <w:rsid w:val="00F743ED"/>
    <w:rsid w:val="00F7447A"/>
    <w:rsid w:val="00F7457C"/>
    <w:rsid w:val="00F745CB"/>
    <w:rsid w:val="00F7464B"/>
    <w:rsid w:val="00F74932"/>
    <w:rsid w:val="00F74983"/>
    <w:rsid w:val="00F749FC"/>
    <w:rsid w:val="00F74A4A"/>
    <w:rsid w:val="00F74B44"/>
    <w:rsid w:val="00F74B69"/>
    <w:rsid w:val="00F74B97"/>
    <w:rsid w:val="00F74BF7"/>
    <w:rsid w:val="00F74C1E"/>
    <w:rsid w:val="00F74C20"/>
    <w:rsid w:val="00F74C3A"/>
    <w:rsid w:val="00F74C7D"/>
    <w:rsid w:val="00F74E6B"/>
    <w:rsid w:val="00F74FB4"/>
    <w:rsid w:val="00F7504A"/>
    <w:rsid w:val="00F750A5"/>
    <w:rsid w:val="00F75287"/>
    <w:rsid w:val="00F75301"/>
    <w:rsid w:val="00F753DA"/>
    <w:rsid w:val="00F7541C"/>
    <w:rsid w:val="00F75436"/>
    <w:rsid w:val="00F75449"/>
    <w:rsid w:val="00F7554A"/>
    <w:rsid w:val="00F7561E"/>
    <w:rsid w:val="00F75631"/>
    <w:rsid w:val="00F75651"/>
    <w:rsid w:val="00F75663"/>
    <w:rsid w:val="00F7567A"/>
    <w:rsid w:val="00F75733"/>
    <w:rsid w:val="00F75789"/>
    <w:rsid w:val="00F75824"/>
    <w:rsid w:val="00F75855"/>
    <w:rsid w:val="00F758C0"/>
    <w:rsid w:val="00F75931"/>
    <w:rsid w:val="00F75942"/>
    <w:rsid w:val="00F75996"/>
    <w:rsid w:val="00F75A24"/>
    <w:rsid w:val="00F75A27"/>
    <w:rsid w:val="00F75AAE"/>
    <w:rsid w:val="00F75B2A"/>
    <w:rsid w:val="00F75B65"/>
    <w:rsid w:val="00F75B88"/>
    <w:rsid w:val="00F75C3D"/>
    <w:rsid w:val="00F75DEB"/>
    <w:rsid w:val="00F75E22"/>
    <w:rsid w:val="00F75EE2"/>
    <w:rsid w:val="00F75F00"/>
    <w:rsid w:val="00F76036"/>
    <w:rsid w:val="00F7603D"/>
    <w:rsid w:val="00F761A3"/>
    <w:rsid w:val="00F761A9"/>
    <w:rsid w:val="00F761BE"/>
    <w:rsid w:val="00F76378"/>
    <w:rsid w:val="00F76453"/>
    <w:rsid w:val="00F764D9"/>
    <w:rsid w:val="00F7654D"/>
    <w:rsid w:val="00F76580"/>
    <w:rsid w:val="00F765AD"/>
    <w:rsid w:val="00F76656"/>
    <w:rsid w:val="00F766F5"/>
    <w:rsid w:val="00F7672C"/>
    <w:rsid w:val="00F7672F"/>
    <w:rsid w:val="00F76794"/>
    <w:rsid w:val="00F767F6"/>
    <w:rsid w:val="00F767F8"/>
    <w:rsid w:val="00F7683A"/>
    <w:rsid w:val="00F768E1"/>
    <w:rsid w:val="00F76A2C"/>
    <w:rsid w:val="00F76A9B"/>
    <w:rsid w:val="00F76A9D"/>
    <w:rsid w:val="00F76B3A"/>
    <w:rsid w:val="00F76B61"/>
    <w:rsid w:val="00F76B9E"/>
    <w:rsid w:val="00F76C0C"/>
    <w:rsid w:val="00F76C11"/>
    <w:rsid w:val="00F76C30"/>
    <w:rsid w:val="00F76EEC"/>
    <w:rsid w:val="00F76F2E"/>
    <w:rsid w:val="00F76F73"/>
    <w:rsid w:val="00F76FDB"/>
    <w:rsid w:val="00F76FE1"/>
    <w:rsid w:val="00F77154"/>
    <w:rsid w:val="00F77160"/>
    <w:rsid w:val="00F772A8"/>
    <w:rsid w:val="00F772ED"/>
    <w:rsid w:val="00F77319"/>
    <w:rsid w:val="00F77356"/>
    <w:rsid w:val="00F77499"/>
    <w:rsid w:val="00F77598"/>
    <w:rsid w:val="00F77646"/>
    <w:rsid w:val="00F77651"/>
    <w:rsid w:val="00F77696"/>
    <w:rsid w:val="00F77882"/>
    <w:rsid w:val="00F7796E"/>
    <w:rsid w:val="00F77A41"/>
    <w:rsid w:val="00F77BB2"/>
    <w:rsid w:val="00F77CF7"/>
    <w:rsid w:val="00F77D05"/>
    <w:rsid w:val="00F77E3F"/>
    <w:rsid w:val="00F77ED5"/>
    <w:rsid w:val="00F77F8A"/>
    <w:rsid w:val="00F8002B"/>
    <w:rsid w:val="00F802D7"/>
    <w:rsid w:val="00F803C7"/>
    <w:rsid w:val="00F80412"/>
    <w:rsid w:val="00F80467"/>
    <w:rsid w:val="00F8054A"/>
    <w:rsid w:val="00F8057A"/>
    <w:rsid w:val="00F80677"/>
    <w:rsid w:val="00F80694"/>
    <w:rsid w:val="00F808AD"/>
    <w:rsid w:val="00F80909"/>
    <w:rsid w:val="00F80AA3"/>
    <w:rsid w:val="00F80B4E"/>
    <w:rsid w:val="00F80BEC"/>
    <w:rsid w:val="00F80C75"/>
    <w:rsid w:val="00F80CA2"/>
    <w:rsid w:val="00F80DED"/>
    <w:rsid w:val="00F80E67"/>
    <w:rsid w:val="00F81040"/>
    <w:rsid w:val="00F81054"/>
    <w:rsid w:val="00F812F0"/>
    <w:rsid w:val="00F813D1"/>
    <w:rsid w:val="00F815E2"/>
    <w:rsid w:val="00F8168D"/>
    <w:rsid w:val="00F81744"/>
    <w:rsid w:val="00F817A6"/>
    <w:rsid w:val="00F8182A"/>
    <w:rsid w:val="00F8183F"/>
    <w:rsid w:val="00F81942"/>
    <w:rsid w:val="00F8198A"/>
    <w:rsid w:val="00F81992"/>
    <w:rsid w:val="00F819DB"/>
    <w:rsid w:val="00F81A93"/>
    <w:rsid w:val="00F81C31"/>
    <w:rsid w:val="00F81DAD"/>
    <w:rsid w:val="00F81E14"/>
    <w:rsid w:val="00F81E1B"/>
    <w:rsid w:val="00F81E70"/>
    <w:rsid w:val="00F82046"/>
    <w:rsid w:val="00F82187"/>
    <w:rsid w:val="00F82313"/>
    <w:rsid w:val="00F82355"/>
    <w:rsid w:val="00F82583"/>
    <w:rsid w:val="00F82651"/>
    <w:rsid w:val="00F8265B"/>
    <w:rsid w:val="00F829B2"/>
    <w:rsid w:val="00F82A3A"/>
    <w:rsid w:val="00F82AE8"/>
    <w:rsid w:val="00F82B82"/>
    <w:rsid w:val="00F82CB3"/>
    <w:rsid w:val="00F82CEB"/>
    <w:rsid w:val="00F82D23"/>
    <w:rsid w:val="00F82D2C"/>
    <w:rsid w:val="00F82EB9"/>
    <w:rsid w:val="00F82F19"/>
    <w:rsid w:val="00F82F96"/>
    <w:rsid w:val="00F83070"/>
    <w:rsid w:val="00F830E8"/>
    <w:rsid w:val="00F8315F"/>
    <w:rsid w:val="00F8326F"/>
    <w:rsid w:val="00F83485"/>
    <w:rsid w:val="00F83583"/>
    <w:rsid w:val="00F8359D"/>
    <w:rsid w:val="00F8372A"/>
    <w:rsid w:val="00F837BB"/>
    <w:rsid w:val="00F8382B"/>
    <w:rsid w:val="00F8391F"/>
    <w:rsid w:val="00F83990"/>
    <w:rsid w:val="00F83A52"/>
    <w:rsid w:val="00F83AFB"/>
    <w:rsid w:val="00F83BDE"/>
    <w:rsid w:val="00F83C57"/>
    <w:rsid w:val="00F83CF9"/>
    <w:rsid w:val="00F840C0"/>
    <w:rsid w:val="00F840C9"/>
    <w:rsid w:val="00F84154"/>
    <w:rsid w:val="00F8420E"/>
    <w:rsid w:val="00F84229"/>
    <w:rsid w:val="00F842E2"/>
    <w:rsid w:val="00F84327"/>
    <w:rsid w:val="00F8438B"/>
    <w:rsid w:val="00F843B4"/>
    <w:rsid w:val="00F844F8"/>
    <w:rsid w:val="00F844FB"/>
    <w:rsid w:val="00F846E4"/>
    <w:rsid w:val="00F84729"/>
    <w:rsid w:val="00F84753"/>
    <w:rsid w:val="00F84763"/>
    <w:rsid w:val="00F848FB"/>
    <w:rsid w:val="00F84939"/>
    <w:rsid w:val="00F84B28"/>
    <w:rsid w:val="00F84B69"/>
    <w:rsid w:val="00F84B84"/>
    <w:rsid w:val="00F84E5C"/>
    <w:rsid w:val="00F84EB3"/>
    <w:rsid w:val="00F84F05"/>
    <w:rsid w:val="00F84FA9"/>
    <w:rsid w:val="00F84FC4"/>
    <w:rsid w:val="00F85013"/>
    <w:rsid w:val="00F850A7"/>
    <w:rsid w:val="00F850F0"/>
    <w:rsid w:val="00F85131"/>
    <w:rsid w:val="00F85162"/>
    <w:rsid w:val="00F85242"/>
    <w:rsid w:val="00F852D6"/>
    <w:rsid w:val="00F85395"/>
    <w:rsid w:val="00F853C3"/>
    <w:rsid w:val="00F853D6"/>
    <w:rsid w:val="00F8546C"/>
    <w:rsid w:val="00F854E2"/>
    <w:rsid w:val="00F8555C"/>
    <w:rsid w:val="00F8571D"/>
    <w:rsid w:val="00F8575B"/>
    <w:rsid w:val="00F857DB"/>
    <w:rsid w:val="00F8583B"/>
    <w:rsid w:val="00F858A9"/>
    <w:rsid w:val="00F858AC"/>
    <w:rsid w:val="00F85A0A"/>
    <w:rsid w:val="00F85A42"/>
    <w:rsid w:val="00F85A93"/>
    <w:rsid w:val="00F85DE9"/>
    <w:rsid w:val="00F85E18"/>
    <w:rsid w:val="00F85E37"/>
    <w:rsid w:val="00F85E91"/>
    <w:rsid w:val="00F85E94"/>
    <w:rsid w:val="00F85F9D"/>
    <w:rsid w:val="00F85FD5"/>
    <w:rsid w:val="00F86109"/>
    <w:rsid w:val="00F86117"/>
    <w:rsid w:val="00F8625F"/>
    <w:rsid w:val="00F86297"/>
    <w:rsid w:val="00F8644F"/>
    <w:rsid w:val="00F86510"/>
    <w:rsid w:val="00F866C5"/>
    <w:rsid w:val="00F866CF"/>
    <w:rsid w:val="00F8680C"/>
    <w:rsid w:val="00F868D3"/>
    <w:rsid w:val="00F86946"/>
    <w:rsid w:val="00F869FC"/>
    <w:rsid w:val="00F86B4E"/>
    <w:rsid w:val="00F86B73"/>
    <w:rsid w:val="00F86BB2"/>
    <w:rsid w:val="00F86C16"/>
    <w:rsid w:val="00F86C89"/>
    <w:rsid w:val="00F86CFC"/>
    <w:rsid w:val="00F86D38"/>
    <w:rsid w:val="00F86E1B"/>
    <w:rsid w:val="00F86E3D"/>
    <w:rsid w:val="00F86E85"/>
    <w:rsid w:val="00F86EE3"/>
    <w:rsid w:val="00F870F3"/>
    <w:rsid w:val="00F8719B"/>
    <w:rsid w:val="00F87242"/>
    <w:rsid w:val="00F872E8"/>
    <w:rsid w:val="00F873B2"/>
    <w:rsid w:val="00F873C6"/>
    <w:rsid w:val="00F873D0"/>
    <w:rsid w:val="00F873F9"/>
    <w:rsid w:val="00F87433"/>
    <w:rsid w:val="00F8747F"/>
    <w:rsid w:val="00F874E5"/>
    <w:rsid w:val="00F87550"/>
    <w:rsid w:val="00F8763D"/>
    <w:rsid w:val="00F8766E"/>
    <w:rsid w:val="00F8772E"/>
    <w:rsid w:val="00F87730"/>
    <w:rsid w:val="00F87822"/>
    <w:rsid w:val="00F87871"/>
    <w:rsid w:val="00F87919"/>
    <w:rsid w:val="00F87936"/>
    <w:rsid w:val="00F87947"/>
    <w:rsid w:val="00F8796B"/>
    <w:rsid w:val="00F879C8"/>
    <w:rsid w:val="00F87BD8"/>
    <w:rsid w:val="00F87FA8"/>
    <w:rsid w:val="00F89037"/>
    <w:rsid w:val="00F9002C"/>
    <w:rsid w:val="00F900DF"/>
    <w:rsid w:val="00F901ED"/>
    <w:rsid w:val="00F90334"/>
    <w:rsid w:val="00F90356"/>
    <w:rsid w:val="00F90383"/>
    <w:rsid w:val="00F90488"/>
    <w:rsid w:val="00F9051A"/>
    <w:rsid w:val="00F90553"/>
    <w:rsid w:val="00F90569"/>
    <w:rsid w:val="00F906E0"/>
    <w:rsid w:val="00F90A70"/>
    <w:rsid w:val="00F90A7C"/>
    <w:rsid w:val="00F90A9E"/>
    <w:rsid w:val="00F90BDD"/>
    <w:rsid w:val="00F90BFC"/>
    <w:rsid w:val="00F90C77"/>
    <w:rsid w:val="00F90E45"/>
    <w:rsid w:val="00F90F25"/>
    <w:rsid w:val="00F91260"/>
    <w:rsid w:val="00F9126C"/>
    <w:rsid w:val="00F912B5"/>
    <w:rsid w:val="00F91334"/>
    <w:rsid w:val="00F9144C"/>
    <w:rsid w:val="00F91478"/>
    <w:rsid w:val="00F91482"/>
    <w:rsid w:val="00F9148E"/>
    <w:rsid w:val="00F915FF"/>
    <w:rsid w:val="00F916F0"/>
    <w:rsid w:val="00F91777"/>
    <w:rsid w:val="00F917AD"/>
    <w:rsid w:val="00F917C0"/>
    <w:rsid w:val="00F917E5"/>
    <w:rsid w:val="00F917FB"/>
    <w:rsid w:val="00F91853"/>
    <w:rsid w:val="00F91886"/>
    <w:rsid w:val="00F91AE3"/>
    <w:rsid w:val="00F91B7C"/>
    <w:rsid w:val="00F91BBA"/>
    <w:rsid w:val="00F91C38"/>
    <w:rsid w:val="00F91C5B"/>
    <w:rsid w:val="00F91CD2"/>
    <w:rsid w:val="00F91CDD"/>
    <w:rsid w:val="00F91D26"/>
    <w:rsid w:val="00F91D9B"/>
    <w:rsid w:val="00F91E58"/>
    <w:rsid w:val="00F91E78"/>
    <w:rsid w:val="00F91E83"/>
    <w:rsid w:val="00F91EFD"/>
    <w:rsid w:val="00F91FD4"/>
    <w:rsid w:val="00F92089"/>
    <w:rsid w:val="00F920B9"/>
    <w:rsid w:val="00F921A3"/>
    <w:rsid w:val="00F92277"/>
    <w:rsid w:val="00F92282"/>
    <w:rsid w:val="00F9228B"/>
    <w:rsid w:val="00F922D0"/>
    <w:rsid w:val="00F922E3"/>
    <w:rsid w:val="00F9232B"/>
    <w:rsid w:val="00F92356"/>
    <w:rsid w:val="00F923C3"/>
    <w:rsid w:val="00F9254B"/>
    <w:rsid w:val="00F9267C"/>
    <w:rsid w:val="00F926E9"/>
    <w:rsid w:val="00F9277D"/>
    <w:rsid w:val="00F92987"/>
    <w:rsid w:val="00F92A5F"/>
    <w:rsid w:val="00F92CE5"/>
    <w:rsid w:val="00F92D8F"/>
    <w:rsid w:val="00F92EA8"/>
    <w:rsid w:val="00F92F44"/>
    <w:rsid w:val="00F92FF4"/>
    <w:rsid w:val="00F92FFF"/>
    <w:rsid w:val="00F93021"/>
    <w:rsid w:val="00F93090"/>
    <w:rsid w:val="00F93131"/>
    <w:rsid w:val="00F9313D"/>
    <w:rsid w:val="00F931F5"/>
    <w:rsid w:val="00F93229"/>
    <w:rsid w:val="00F93442"/>
    <w:rsid w:val="00F934AD"/>
    <w:rsid w:val="00F934D6"/>
    <w:rsid w:val="00F93576"/>
    <w:rsid w:val="00F935C8"/>
    <w:rsid w:val="00F935FA"/>
    <w:rsid w:val="00F936D6"/>
    <w:rsid w:val="00F936FF"/>
    <w:rsid w:val="00F938DC"/>
    <w:rsid w:val="00F938FE"/>
    <w:rsid w:val="00F9398E"/>
    <w:rsid w:val="00F93A37"/>
    <w:rsid w:val="00F93A77"/>
    <w:rsid w:val="00F93AB8"/>
    <w:rsid w:val="00F93AFA"/>
    <w:rsid w:val="00F93B1F"/>
    <w:rsid w:val="00F93BA0"/>
    <w:rsid w:val="00F93BEF"/>
    <w:rsid w:val="00F93BF4"/>
    <w:rsid w:val="00F93C48"/>
    <w:rsid w:val="00F93C59"/>
    <w:rsid w:val="00F93C63"/>
    <w:rsid w:val="00F93CFB"/>
    <w:rsid w:val="00F93D86"/>
    <w:rsid w:val="00F93DBC"/>
    <w:rsid w:val="00F93E48"/>
    <w:rsid w:val="00F93F78"/>
    <w:rsid w:val="00F93FD0"/>
    <w:rsid w:val="00F9408E"/>
    <w:rsid w:val="00F94090"/>
    <w:rsid w:val="00F9409B"/>
    <w:rsid w:val="00F940F1"/>
    <w:rsid w:val="00F94132"/>
    <w:rsid w:val="00F94232"/>
    <w:rsid w:val="00F9423C"/>
    <w:rsid w:val="00F94356"/>
    <w:rsid w:val="00F943C9"/>
    <w:rsid w:val="00F94466"/>
    <w:rsid w:val="00F944E7"/>
    <w:rsid w:val="00F94603"/>
    <w:rsid w:val="00F9476E"/>
    <w:rsid w:val="00F9486B"/>
    <w:rsid w:val="00F94A3E"/>
    <w:rsid w:val="00F94B9A"/>
    <w:rsid w:val="00F94DB0"/>
    <w:rsid w:val="00F94E1D"/>
    <w:rsid w:val="00F94F2B"/>
    <w:rsid w:val="00F94F34"/>
    <w:rsid w:val="00F94FA1"/>
    <w:rsid w:val="00F9507B"/>
    <w:rsid w:val="00F9510D"/>
    <w:rsid w:val="00F95166"/>
    <w:rsid w:val="00F951A3"/>
    <w:rsid w:val="00F951A9"/>
    <w:rsid w:val="00F951EF"/>
    <w:rsid w:val="00F95334"/>
    <w:rsid w:val="00F95472"/>
    <w:rsid w:val="00F95496"/>
    <w:rsid w:val="00F955C5"/>
    <w:rsid w:val="00F955E8"/>
    <w:rsid w:val="00F955FE"/>
    <w:rsid w:val="00F9567B"/>
    <w:rsid w:val="00F956FF"/>
    <w:rsid w:val="00F958A2"/>
    <w:rsid w:val="00F958D5"/>
    <w:rsid w:val="00F9593E"/>
    <w:rsid w:val="00F95B03"/>
    <w:rsid w:val="00F95B13"/>
    <w:rsid w:val="00F95BB9"/>
    <w:rsid w:val="00F95C4A"/>
    <w:rsid w:val="00F95CB2"/>
    <w:rsid w:val="00F95D4F"/>
    <w:rsid w:val="00F95D9C"/>
    <w:rsid w:val="00F95DF9"/>
    <w:rsid w:val="00F95ED7"/>
    <w:rsid w:val="00F95F0F"/>
    <w:rsid w:val="00F96076"/>
    <w:rsid w:val="00F96111"/>
    <w:rsid w:val="00F96154"/>
    <w:rsid w:val="00F96198"/>
    <w:rsid w:val="00F961B7"/>
    <w:rsid w:val="00F962D9"/>
    <w:rsid w:val="00F9637E"/>
    <w:rsid w:val="00F96385"/>
    <w:rsid w:val="00F963FF"/>
    <w:rsid w:val="00F96426"/>
    <w:rsid w:val="00F9643F"/>
    <w:rsid w:val="00F96538"/>
    <w:rsid w:val="00F9662F"/>
    <w:rsid w:val="00F966EA"/>
    <w:rsid w:val="00F9682E"/>
    <w:rsid w:val="00F968A1"/>
    <w:rsid w:val="00F968E9"/>
    <w:rsid w:val="00F96976"/>
    <w:rsid w:val="00F96A01"/>
    <w:rsid w:val="00F96AA6"/>
    <w:rsid w:val="00F96AC0"/>
    <w:rsid w:val="00F96B45"/>
    <w:rsid w:val="00F96B4D"/>
    <w:rsid w:val="00F96C5F"/>
    <w:rsid w:val="00F96CC5"/>
    <w:rsid w:val="00F96D79"/>
    <w:rsid w:val="00F96DDE"/>
    <w:rsid w:val="00F96EFE"/>
    <w:rsid w:val="00F96F99"/>
    <w:rsid w:val="00F9704C"/>
    <w:rsid w:val="00F9704E"/>
    <w:rsid w:val="00F9714F"/>
    <w:rsid w:val="00F9729E"/>
    <w:rsid w:val="00F97540"/>
    <w:rsid w:val="00F975C1"/>
    <w:rsid w:val="00F975E3"/>
    <w:rsid w:val="00F975F8"/>
    <w:rsid w:val="00F9760B"/>
    <w:rsid w:val="00F976B0"/>
    <w:rsid w:val="00F9778E"/>
    <w:rsid w:val="00F978A0"/>
    <w:rsid w:val="00F978ED"/>
    <w:rsid w:val="00F978FA"/>
    <w:rsid w:val="00F97992"/>
    <w:rsid w:val="00F97A57"/>
    <w:rsid w:val="00F97B9A"/>
    <w:rsid w:val="00F97C0C"/>
    <w:rsid w:val="00F97C28"/>
    <w:rsid w:val="00F97C7D"/>
    <w:rsid w:val="00F97CC2"/>
    <w:rsid w:val="00F97CDE"/>
    <w:rsid w:val="00F97D67"/>
    <w:rsid w:val="00F97DCA"/>
    <w:rsid w:val="00F97DED"/>
    <w:rsid w:val="00F97E5E"/>
    <w:rsid w:val="00F97E87"/>
    <w:rsid w:val="00F97F7A"/>
    <w:rsid w:val="00F97FF2"/>
    <w:rsid w:val="00FA0011"/>
    <w:rsid w:val="00FA0073"/>
    <w:rsid w:val="00FA03E5"/>
    <w:rsid w:val="00FA0575"/>
    <w:rsid w:val="00FA0595"/>
    <w:rsid w:val="00FA06E8"/>
    <w:rsid w:val="00FA078B"/>
    <w:rsid w:val="00FA07D7"/>
    <w:rsid w:val="00FA0820"/>
    <w:rsid w:val="00FA086D"/>
    <w:rsid w:val="00FA09DF"/>
    <w:rsid w:val="00FA0A90"/>
    <w:rsid w:val="00FA0ACF"/>
    <w:rsid w:val="00FA0B18"/>
    <w:rsid w:val="00FA0D57"/>
    <w:rsid w:val="00FA0E5B"/>
    <w:rsid w:val="00FA1092"/>
    <w:rsid w:val="00FA1130"/>
    <w:rsid w:val="00FA11A9"/>
    <w:rsid w:val="00FA11B7"/>
    <w:rsid w:val="00FA1275"/>
    <w:rsid w:val="00FA1300"/>
    <w:rsid w:val="00FA13B6"/>
    <w:rsid w:val="00FA153B"/>
    <w:rsid w:val="00FA156B"/>
    <w:rsid w:val="00FA159B"/>
    <w:rsid w:val="00FA15FB"/>
    <w:rsid w:val="00FA163D"/>
    <w:rsid w:val="00FA1670"/>
    <w:rsid w:val="00FA168E"/>
    <w:rsid w:val="00FA1812"/>
    <w:rsid w:val="00FA18F0"/>
    <w:rsid w:val="00FA1936"/>
    <w:rsid w:val="00FA193C"/>
    <w:rsid w:val="00FA1972"/>
    <w:rsid w:val="00FA1A19"/>
    <w:rsid w:val="00FA1CDC"/>
    <w:rsid w:val="00FA1D80"/>
    <w:rsid w:val="00FA1E29"/>
    <w:rsid w:val="00FA1E2B"/>
    <w:rsid w:val="00FA1E40"/>
    <w:rsid w:val="00FA219C"/>
    <w:rsid w:val="00FA21C7"/>
    <w:rsid w:val="00FA22EA"/>
    <w:rsid w:val="00FA24EA"/>
    <w:rsid w:val="00FA258E"/>
    <w:rsid w:val="00FA25A5"/>
    <w:rsid w:val="00FA269F"/>
    <w:rsid w:val="00FA26BF"/>
    <w:rsid w:val="00FA26EF"/>
    <w:rsid w:val="00FA2989"/>
    <w:rsid w:val="00FA2A71"/>
    <w:rsid w:val="00FA2A78"/>
    <w:rsid w:val="00FA2B8B"/>
    <w:rsid w:val="00FA2B9E"/>
    <w:rsid w:val="00FA2C4A"/>
    <w:rsid w:val="00FA2C60"/>
    <w:rsid w:val="00FA2CCC"/>
    <w:rsid w:val="00FA2D3B"/>
    <w:rsid w:val="00FA2D82"/>
    <w:rsid w:val="00FA2F13"/>
    <w:rsid w:val="00FA2F2A"/>
    <w:rsid w:val="00FA2F73"/>
    <w:rsid w:val="00FA2F8F"/>
    <w:rsid w:val="00FA304A"/>
    <w:rsid w:val="00FA3181"/>
    <w:rsid w:val="00FA33A4"/>
    <w:rsid w:val="00FA356D"/>
    <w:rsid w:val="00FA36FE"/>
    <w:rsid w:val="00FA3709"/>
    <w:rsid w:val="00FA370D"/>
    <w:rsid w:val="00FA377A"/>
    <w:rsid w:val="00FA37D1"/>
    <w:rsid w:val="00FA3839"/>
    <w:rsid w:val="00FA384D"/>
    <w:rsid w:val="00FA3928"/>
    <w:rsid w:val="00FA3938"/>
    <w:rsid w:val="00FA3B89"/>
    <w:rsid w:val="00FA3BA6"/>
    <w:rsid w:val="00FA3C89"/>
    <w:rsid w:val="00FA3D8D"/>
    <w:rsid w:val="00FA3E5A"/>
    <w:rsid w:val="00FA3EC0"/>
    <w:rsid w:val="00FA3ED8"/>
    <w:rsid w:val="00FA3F28"/>
    <w:rsid w:val="00FA3F4E"/>
    <w:rsid w:val="00FA3FA9"/>
    <w:rsid w:val="00FA408B"/>
    <w:rsid w:val="00FA410F"/>
    <w:rsid w:val="00FA4187"/>
    <w:rsid w:val="00FA42A7"/>
    <w:rsid w:val="00FA42C9"/>
    <w:rsid w:val="00FA4332"/>
    <w:rsid w:val="00FA4347"/>
    <w:rsid w:val="00FA449A"/>
    <w:rsid w:val="00FA478A"/>
    <w:rsid w:val="00FA47AA"/>
    <w:rsid w:val="00FA4801"/>
    <w:rsid w:val="00FA4820"/>
    <w:rsid w:val="00FA4840"/>
    <w:rsid w:val="00FA4859"/>
    <w:rsid w:val="00FA485F"/>
    <w:rsid w:val="00FA4884"/>
    <w:rsid w:val="00FA49CF"/>
    <w:rsid w:val="00FA4A75"/>
    <w:rsid w:val="00FA4AE3"/>
    <w:rsid w:val="00FA4B04"/>
    <w:rsid w:val="00FA4B8C"/>
    <w:rsid w:val="00FA4BD8"/>
    <w:rsid w:val="00FA4C9C"/>
    <w:rsid w:val="00FA4F56"/>
    <w:rsid w:val="00FA4FCA"/>
    <w:rsid w:val="00FA4FF2"/>
    <w:rsid w:val="00FA5050"/>
    <w:rsid w:val="00FA50E1"/>
    <w:rsid w:val="00FA5198"/>
    <w:rsid w:val="00FA5205"/>
    <w:rsid w:val="00FA5317"/>
    <w:rsid w:val="00FA53CE"/>
    <w:rsid w:val="00FA53DB"/>
    <w:rsid w:val="00FA5464"/>
    <w:rsid w:val="00FA5519"/>
    <w:rsid w:val="00FA5661"/>
    <w:rsid w:val="00FA56C6"/>
    <w:rsid w:val="00FA5746"/>
    <w:rsid w:val="00FA581B"/>
    <w:rsid w:val="00FA58AF"/>
    <w:rsid w:val="00FA592E"/>
    <w:rsid w:val="00FA5947"/>
    <w:rsid w:val="00FA59CE"/>
    <w:rsid w:val="00FA5A35"/>
    <w:rsid w:val="00FA5A3D"/>
    <w:rsid w:val="00FA5B12"/>
    <w:rsid w:val="00FA5BF5"/>
    <w:rsid w:val="00FA5C09"/>
    <w:rsid w:val="00FA5D1F"/>
    <w:rsid w:val="00FA5E98"/>
    <w:rsid w:val="00FA5F17"/>
    <w:rsid w:val="00FA5F3B"/>
    <w:rsid w:val="00FA5FFB"/>
    <w:rsid w:val="00FA6053"/>
    <w:rsid w:val="00FA6367"/>
    <w:rsid w:val="00FA63AC"/>
    <w:rsid w:val="00FA643E"/>
    <w:rsid w:val="00FA64BC"/>
    <w:rsid w:val="00FA6546"/>
    <w:rsid w:val="00FA6551"/>
    <w:rsid w:val="00FA6614"/>
    <w:rsid w:val="00FA6649"/>
    <w:rsid w:val="00FA6670"/>
    <w:rsid w:val="00FA6699"/>
    <w:rsid w:val="00FA66D4"/>
    <w:rsid w:val="00FA66D7"/>
    <w:rsid w:val="00FA67C9"/>
    <w:rsid w:val="00FA681F"/>
    <w:rsid w:val="00FA68D5"/>
    <w:rsid w:val="00FA68FF"/>
    <w:rsid w:val="00FA698D"/>
    <w:rsid w:val="00FA69B8"/>
    <w:rsid w:val="00FA6AEA"/>
    <w:rsid w:val="00FA6B1E"/>
    <w:rsid w:val="00FA6B3F"/>
    <w:rsid w:val="00FA6E2E"/>
    <w:rsid w:val="00FA6EC3"/>
    <w:rsid w:val="00FA6F2C"/>
    <w:rsid w:val="00FA6F53"/>
    <w:rsid w:val="00FA7064"/>
    <w:rsid w:val="00FA71BE"/>
    <w:rsid w:val="00FA72D3"/>
    <w:rsid w:val="00FA7543"/>
    <w:rsid w:val="00FA768B"/>
    <w:rsid w:val="00FA76CC"/>
    <w:rsid w:val="00FA7709"/>
    <w:rsid w:val="00FA779A"/>
    <w:rsid w:val="00FA77F2"/>
    <w:rsid w:val="00FA79DC"/>
    <w:rsid w:val="00FA7AC5"/>
    <w:rsid w:val="00FA7B60"/>
    <w:rsid w:val="00FA7BE8"/>
    <w:rsid w:val="00FA7CAB"/>
    <w:rsid w:val="00FAD22A"/>
    <w:rsid w:val="00FAFB21"/>
    <w:rsid w:val="00FB001B"/>
    <w:rsid w:val="00FB0098"/>
    <w:rsid w:val="00FB00A8"/>
    <w:rsid w:val="00FB00BA"/>
    <w:rsid w:val="00FB0184"/>
    <w:rsid w:val="00FB0220"/>
    <w:rsid w:val="00FB0241"/>
    <w:rsid w:val="00FB02E9"/>
    <w:rsid w:val="00FB0337"/>
    <w:rsid w:val="00FB0378"/>
    <w:rsid w:val="00FB04FD"/>
    <w:rsid w:val="00FB061B"/>
    <w:rsid w:val="00FB07C7"/>
    <w:rsid w:val="00FB082F"/>
    <w:rsid w:val="00FB09CD"/>
    <w:rsid w:val="00FB09E5"/>
    <w:rsid w:val="00FB0BE7"/>
    <w:rsid w:val="00FB0C4B"/>
    <w:rsid w:val="00FB0D60"/>
    <w:rsid w:val="00FB0D81"/>
    <w:rsid w:val="00FB0E7E"/>
    <w:rsid w:val="00FB0FD7"/>
    <w:rsid w:val="00FB11F7"/>
    <w:rsid w:val="00FB1230"/>
    <w:rsid w:val="00FB1248"/>
    <w:rsid w:val="00FB12DC"/>
    <w:rsid w:val="00FB1304"/>
    <w:rsid w:val="00FB136A"/>
    <w:rsid w:val="00FB1418"/>
    <w:rsid w:val="00FB1465"/>
    <w:rsid w:val="00FB1530"/>
    <w:rsid w:val="00FB1557"/>
    <w:rsid w:val="00FB16CD"/>
    <w:rsid w:val="00FB1702"/>
    <w:rsid w:val="00FB1760"/>
    <w:rsid w:val="00FB18FA"/>
    <w:rsid w:val="00FB19B5"/>
    <w:rsid w:val="00FB19C6"/>
    <w:rsid w:val="00FB1B03"/>
    <w:rsid w:val="00FB1B06"/>
    <w:rsid w:val="00FB1B43"/>
    <w:rsid w:val="00FB1B73"/>
    <w:rsid w:val="00FB1B93"/>
    <w:rsid w:val="00FB1BA8"/>
    <w:rsid w:val="00FB1BE2"/>
    <w:rsid w:val="00FB1C0F"/>
    <w:rsid w:val="00FB1C8A"/>
    <w:rsid w:val="00FB1CED"/>
    <w:rsid w:val="00FB1E21"/>
    <w:rsid w:val="00FB1E71"/>
    <w:rsid w:val="00FB1EC1"/>
    <w:rsid w:val="00FB2125"/>
    <w:rsid w:val="00FB225F"/>
    <w:rsid w:val="00FB2288"/>
    <w:rsid w:val="00FB2318"/>
    <w:rsid w:val="00FB2489"/>
    <w:rsid w:val="00FB256B"/>
    <w:rsid w:val="00FB2577"/>
    <w:rsid w:val="00FB265C"/>
    <w:rsid w:val="00FB26F3"/>
    <w:rsid w:val="00FB2715"/>
    <w:rsid w:val="00FB2785"/>
    <w:rsid w:val="00FB2892"/>
    <w:rsid w:val="00FB2901"/>
    <w:rsid w:val="00FB2AED"/>
    <w:rsid w:val="00FB2D04"/>
    <w:rsid w:val="00FB2DAF"/>
    <w:rsid w:val="00FB2ED7"/>
    <w:rsid w:val="00FB2F01"/>
    <w:rsid w:val="00FB2F4C"/>
    <w:rsid w:val="00FB3063"/>
    <w:rsid w:val="00FB30FC"/>
    <w:rsid w:val="00FB3231"/>
    <w:rsid w:val="00FB3264"/>
    <w:rsid w:val="00FB3331"/>
    <w:rsid w:val="00FB34EF"/>
    <w:rsid w:val="00FB3594"/>
    <w:rsid w:val="00FB3729"/>
    <w:rsid w:val="00FB3766"/>
    <w:rsid w:val="00FB3911"/>
    <w:rsid w:val="00FB3A3D"/>
    <w:rsid w:val="00FB3A74"/>
    <w:rsid w:val="00FB3A9A"/>
    <w:rsid w:val="00FB3ABD"/>
    <w:rsid w:val="00FB3B15"/>
    <w:rsid w:val="00FB3D0C"/>
    <w:rsid w:val="00FB3D46"/>
    <w:rsid w:val="00FB3D85"/>
    <w:rsid w:val="00FB3DCB"/>
    <w:rsid w:val="00FB3F20"/>
    <w:rsid w:val="00FB3F56"/>
    <w:rsid w:val="00FB4067"/>
    <w:rsid w:val="00FB41F8"/>
    <w:rsid w:val="00FB422F"/>
    <w:rsid w:val="00FB428B"/>
    <w:rsid w:val="00FB42D0"/>
    <w:rsid w:val="00FB43F6"/>
    <w:rsid w:val="00FB441B"/>
    <w:rsid w:val="00FB4677"/>
    <w:rsid w:val="00FB474F"/>
    <w:rsid w:val="00FB47A7"/>
    <w:rsid w:val="00FB480F"/>
    <w:rsid w:val="00FB4820"/>
    <w:rsid w:val="00FB4843"/>
    <w:rsid w:val="00FB4A14"/>
    <w:rsid w:val="00FB4AA9"/>
    <w:rsid w:val="00FB4B11"/>
    <w:rsid w:val="00FB4C33"/>
    <w:rsid w:val="00FB4C3E"/>
    <w:rsid w:val="00FB4C62"/>
    <w:rsid w:val="00FB4C94"/>
    <w:rsid w:val="00FB4D06"/>
    <w:rsid w:val="00FB4D9E"/>
    <w:rsid w:val="00FB4DAE"/>
    <w:rsid w:val="00FB4DBF"/>
    <w:rsid w:val="00FB4E3B"/>
    <w:rsid w:val="00FB4E61"/>
    <w:rsid w:val="00FB4EB3"/>
    <w:rsid w:val="00FB4F1C"/>
    <w:rsid w:val="00FB4F90"/>
    <w:rsid w:val="00FB507F"/>
    <w:rsid w:val="00FB5132"/>
    <w:rsid w:val="00FB5179"/>
    <w:rsid w:val="00FB54B8"/>
    <w:rsid w:val="00FB555C"/>
    <w:rsid w:val="00FB55F4"/>
    <w:rsid w:val="00FB56E5"/>
    <w:rsid w:val="00FB57B2"/>
    <w:rsid w:val="00FB57C6"/>
    <w:rsid w:val="00FB5963"/>
    <w:rsid w:val="00FB5BA2"/>
    <w:rsid w:val="00FB5BF6"/>
    <w:rsid w:val="00FB5C64"/>
    <w:rsid w:val="00FB5D70"/>
    <w:rsid w:val="00FB5E92"/>
    <w:rsid w:val="00FB5EAE"/>
    <w:rsid w:val="00FB5EBD"/>
    <w:rsid w:val="00FB5FA0"/>
    <w:rsid w:val="00FB618D"/>
    <w:rsid w:val="00FB623A"/>
    <w:rsid w:val="00FB626D"/>
    <w:rsid w:val="00FB6288"/>
    <w:rsid w:val="00FB62B0"/>
    <w:rsid w:val="00FB630F"/>
    <w:rsid w:val="00FB6331"/>
    <w:rsid w:val="00FB63F2"/>
    <w:rsid w:val="00FB6431"/>
    <w:rsid w:val="00FB6523"/>
    <w:rsid w:val="00FB6537"/>
    <w:rsid w:val="00FB6690"/>
    <w:rsid w:val="00FB6696"/>
    <w:rsid w:val="00FB6699"/>
    <w:rsid w:val="00FB66DB"/>
    <w:rsid w:val="00FB677D"/>
    <w:rsid w:val="00FB6805"/>
    <w:rsid w:val="00FB6841"/>
    <w:rsid w:val="00FB69CA"/>
    <w:rsid w:val="00FB6A35"/>
    <w:rsid w:val="00FB6A91"/>
    <w:rsid w:val="00FB6AA6"/>
    <w:rsid w:val="00FB6AE7"/>
    <w:rsid w:val="00FB6BCF"/>
    <w:rsid w:val="00FB6BDD"/>
    <w:rsid w:val="00FB6CB7"/>
    <w:rsid w:val="00FB6CEC"/>
    <w:rsid w:val="00FB6D06"/>
    <w:rsid w:val="00FB6D1A"/>
    <w:rsid w:val="00FB6D5F"/>
    <w:rsid w:val="00FB6E37"/>
    <w:rsid w:val="00FB6EF1"/>
    <w:rsid w:val="00FB6F1F"/>
    <w:rsid w:val="00FB70A5"/>
    <w:rsid w:val="00FB7127"/>
    <w:rsid w:val="00FB71F6"/>
    <w:rsid w:val="00FB7284"/>
    <w:rsid w:val="00FB7308"/>
    <w:rsid w:val="00FB7319"/>
    <w:rsid w:val="00FB7380"/>
    <w:rsid w:val="00FB73E7"/>
    <w:rsid w:val="00FB740F"/>
    <w:rsid w:val="00FB7477"/>
    <w:rsid w:val="00FB74AF"/>
    <w:rsid w:val="00FB7521"/>
    <w:rsid w:val="00FB7545"/>
    <w:rsid w:val="00FB7584"/>
    <w:rsid w:val="00FB7648"/>
    <w:rsid w:val="00FB76EE"/>
    <w:rsid w:val="00FB7828"/>
    <w:rsid w:val="00FB7892"/>
    <w:rsid w:val="00FB78A0"/>
    <w:rsid w:val="00FB78F6"/>
    <w:rsid w:val="00FB79D4"/>
    <w:rsid w:val="00FB7A7E"/>
    <w:rsid w:val="00FB7AC3"/>
    <w:rsid w:val="00FB7B5A"/>
    <w:rsid w:val="00FB7C27"/>
    <w:rsid w:val="00FB7C34"/>
    <w:rsid w:val="00FB7C61"/>
    <w:rsid w:val="00FB7CC2"/>
    <w:rsid w:val="00FB7CFC"/>
    <w:rsid w:val="00FB7D0B"/>
    <w:rsid w:val="00FB7E43"/>
    <w:rsid w:val="00FB7EF0"/>
    <w:rsid w:val="00FC002D"/>
    <w:rsid w:val="00FC005A"/>
    <w:rsid w:val="00FC00CE"/>
    <w:rsid w:val="00FC0174"/>
    <w:rsid w:val="00FC035F"/>
    <w:rsid w:val="00FC03C2"/>
    <w:rsid w:val="00FC04A6"/>
    <w:rsid w:val="00FC0563"/>
    <w:rsid w:val="00FC0686"/>
    <w:rsid w:val="00FC0760"/>
    <w:rsid w:val="00FC0814"/>
    <w:rsid w:val="00FC0873"/>
    <w:rsid w:val="00FC09BC"/>
    <w:rsid w:val="00FC0B58"/>
    <w:rsid w:val="00FC0C81"/>
    <w:rsid w:val="00FC0DD5"/>
    <w:rsid w:val="00FC0DDD"/>
    <w:rsid w:val="00FC0EE3"/>
    <w:rsid w:val="00FC0F0E"/>
    <w:rsid w:val="00FC1045"/>
    <w:rsid w:val="00FC11BA"/>
    <w:rsid w:val="00FC12A6"/>
    <w:rsid w:val="00FC14A2"/>
    <w:rsid w:val="00FC14E0"/>
    <w:rsid w:val="00FC166F"/>
    <w:rsid w:val="00FC16AA"/>
    <w:rsid w:val="00FC17C6"/>
    <w:rsid w:val="00FC17FF"/>
    <w:rsid w:val="00FC198F"/>
    <w:rsid w:val="00FC19CD"/>
    <w:rsid w:val="00FC19F1"/>
    <w:rsid w:val="00FC1A55"/>
    <w:rsid w:val="00FC1A7B"/>
    <w:rsid w:val="00FC1A8C"/>
    <w:rsid w:val="00FC1AF5"/>
    <w:rsid w:val="00FC1BAD"/>
    <w:rsid w:val="00FC1C5E"/>
    <w:rsid w:val="00FC1C9E"/>
    <w:rsid w:val="00FC1CD8"/>
    <w:rsid w:val="00FC1CFC"/>
    <w:rsid w:val="00FC1D18"/>
    <w:rsid w:val="00FC1E06"/>
    <w:rsid w:val="00FC1EC9"/>
    <w:rsid w:val="00FC1EF1"/>
    <w:rsid w:val="00FC20BE"/>
    <w:rsid w:val="00FC20DF"/>
    <w:rsid w:val="00FC2119"/>
    <w:rsid w:val="00FC2179"/>
    <w:rsid w:val="00FC2292"/>
    <w:rsid w:val="00FC236F"/>
    <w:rsid w:val="00FC2411"/>
    <w:rsid w:val="00FC2422"/>
    <w:rsid w:val="00FC2493"/>
    <w:rsid w:val="00FC24FF"/>
    <w:rsid w:val="00FC2647"/>
    <w:rsid w:val="00FC2678"/>
    <w:rsid w:val="00FC2765"/>
    <w:rsid w:val="00FC280B"/>
    <w:rsid w:val="00FC2815"/>
    <w:rsid w:val="00FC282B"/>
    <w:rsid w:val="00FC292B"/>
    <w:rsid w:val="00FC2999"/>
    <w:rsid w:val="00FC2A90"/>
    <w:rsid w:val="00FC2A94"/>
    <w:rsid w:val="00FC2AAA"/>
    <w:rsid w:val="00FC2AF8"/>
    <w:rsid w:val="00FC2B57"/>
    <w:rsid w:val="00FC2BF0"/>
    <w:rsid w:val="00FC2C48"/>
    <w:rsid w:val="00FC2CD6"/>
    <w:rsid w:val="00FC2DFF"/>
    <w:rsid w:val="00FC2E0C"/>
    <w:rsid w:val="00FC2F19"/>
    <w:rsid w:val="00FC2F76"/>
    <w:rsid w:val="00FC2FBC"/>
    <w:rsid w:val="00FC308E"/>
    <w:rsid w:val="00FC30F2"/>
    <w:rsid w:val="00FC31C9"/>
    <w:rsid w:val="00FC3221"/>
    <w:rsid w:val="00FC32AE"/>
    <w:rsid w:val="00FC3401"/>
    <w:rsid w:val="00FC3440"/>
    <w:rsid w:val="00FC34B2"/>
    <w:rsid w:val="00FC35C4"/>
    <w:rsid w:val="00FC3724"/>
    <w:rsid w:val="00FC37DE"/>
    <w:rsid w:val="00FC3935"/>
    <w:rsid w:val="00FC398E"/>
    <w:rsid w:val="00FC3A23"/>
    <w:rsid w:val="00FC3A55"/>
    <w:rsid w:val="00FC3D13"/>
    <w:rsid w:val="00FC3D38"/>
    <w:rsid w:val="00FC3D4E"/>
    <w:rsid w:val="00FC3DAC"/>
    <w:rsid w:val="00FC3DED"/>
    <w:rsid w:val="00FC3E40"/>
    <w:rsid w:val="00FC3EA6"/>
    <w:rsid w:val="00FC3F40"/>
    <w:rsid w:val="00FC4023"/>
    <w:rsid w:val="00FC4089"/>
    <w:rsid w:val="00FC409E"/>
    <w:rsid w:val="00FC4287"/>
    <w:rsid w:val="00FC4394"/>
    <w:rsid w:val="00FC43C2"/>
    <w:rsid w:val="00FC43EA"/>
    <w:rsid w:val="00FC44A9"/>
    <w:rsid w:val="00FC454F"/>
    <w:rsid w:val="00FC468A"/>
    <w:rsid w:val="00FC46B4"/>
    <w:rsid w:val="00FC46D2"/>
    <w:rsid w:val="00FC4847"/>
    <w:rsid w:val="00FC48C8"/>
    <w:rsid w:val="00FC4928"/>
    <w:rsid w:val="00FC4947"/>
    <w:rsid w:val="00FC4A2F"/>
    <w:rsid w:val="00FC4A90"/>
    <w:rsid w:val="00FC4ACD"/>
    <w:rsid w:val="00FC4B17"/>
    <w:rsid w:val="00FC4BCF"/>
    <w:rsid w:val="00FC4FB5"/>
    <w:rsid w:val="00FC512B"/>
    <w:rsid w:val="00FC5212"/>
    <w:rsid w:val="00FC5302"/>
    <w:rsid w:val="00FC531A"/>
    <w:rsid w:val="00FC533B"/>
    <w:rsid w:val="00FC5441"/>
    <w:rsid w:val="00FC5526"/>
    <w:rsid w:val="00FC5690"/>
    <w:rsid w:val="00FC56A9"/>
    <w:rsid w:val="00FC5736"/>
    <w:rsid w:val="00FC57A0"/>
    <w:rsid w:val="00FC584A"/>
    <w:rsid w:val="00FC58C6"/>
    <w:rsid w:val="00FC596A"/>
    <w:rsid w:val="00FC59E2"/>
    <w:rsid w:val="00FC59FE"/>
    <w:rsid w:val="00FC5C2D"/>
    <w:rsid w:val="00FC5E6B"/>
    <w:rsid w:val="00FC5E88"/>
    <w:rsid w:val="00FC5ED6"/>
    <w:rsid w:val="00FC5EDA"/>
    <w:rsid w:val="00FC5EDF"/>
    <w:rsid w:val="00FC5F63"/>
    <w:rsid w:val="00FC5FB0"/>
    <w:rsid w:val="00FC604D"/>
    <w:rsid w:val="00FC6081"/>
    <w:rsid w:val="00FC6145"/>
    <w:rsid w:val="00FC6239"/>
    <w:rsid w:val="00FC6298"/>
    <w:rsid w:val="00FC63C7"/>
    <w:rsid w:val="00FC6526"/>
    <w:rsid w:val="00FC6551"/>
    <w:rsid w:val="00FC655C"/>
    <w:rsid w:val="00FC66C5"/>
    <w:rsid w:val="00FC6753"/>
    <w:rsid w:val="00FC6896"/>
    <w:rsid w:val="00FC68AF"/>
    <w:rsid w:val="00FC68F9"/>
    <w:rsid w:val="00FC69D0"/>
    <w:rsid w:val="00FC6A35"/>
    <w:rsid w:val="00FC6A4E"/>
    <w:rsid w:val="00FC6A78"/>
    <w:rsid w:val="00FC6AA4"/>
    <w:rsid w:val="00FC6AE1"/>
    <w:rsid w:val="00FC6B1E"/>
    <w:rsid w:val="00FC6BD4"/>
    <w:rsid w:val="00FC6C5F"/>
    <w:rsid w:val="00FC6CC8"/>
    <w:rsid w:val="00FC6CFD"/>
    <w:rsid w:val="00FC6D0C"/>
    <w:rsid w:val="00FC6D1F"/>
    <w:rsid w:val="00FC6D4E"/>
    <w:rsid w:val="00FC6EBF"/>
    <w:rsid w:val="00FC709A"/>
    <w:rsid w:val="00FC7258"/>
    <w:rsid w:val="00FC7285"/>
    <w:rsid w:val="00FC73CB"/>
    <w:rsid w:val="00FC7445"/>
    <w:rsid w:val="00FC74AC"/>
    <w:rsid w:val="00FC74EF"/>
    <w:rsid w:val="00FC7519"/>
    <w:rsid w:val="00FC7557"/>
    <w:rsid w:val="00FC762B"/>
    <w:rsid w:val="00FC7696"/>
    <w:rsid w:val="00FC774E"/>
    <w:rsid w:val="00FC77A0"/>
    <w:rsid w:val="00FC77A7"/>
    <w:rsid w:val="00FC79E6"/>
    <w:rsid w:val="00FC7A1A"/>
    <w:rsid w:val="00FC7A42"/>
    <w:rsid w:val="00FC7AA4"/>
    <w:rsid w:val="00FC7BD2"/>
    <w:rsid w:val="00FC7CAE"/>
    <w:rsid w:val="00FC7DD1"/>
    <w:rsid w:val="00FC7DFE"/>
    <w:rsid w:val="00FC7E2E"/>
    <w:rsid w:val="00FC7EAC"/>
    <w:rsid w:val="00FC7EB9"/>
    <w:rsid w:val="00FC7F63"/>
    <w:rsid w:val="00FC7F7C"/>
    <w:rsid w:val="00FC7FEB"/>
    <w:rsid w:val="00FCC738"/>
    <w:rsid w:val="00FD006E"/>
    <w:rsid w:val="00FD00E0"/>
    <w:rsid w:val="00FD01C8"/>
    <w:rsid w:val="00FD01D9"/>
    <w:rsid w:val="00FD024E"/>
    <w:rsid w:val="00FD0283"/>
    <w:rsid w:val="00FD028B"/>
    <w:rsid w:val="00FD0336"/>
    <w:rsid w:val="00FD035A"/>
    <w:rsid w:val="00FD0374"/>
    <w:rsid w:val="00FD04A5"/>
    <w:rsid w:val="00FD0579"/>
    <w:rsid w:val="00FD0659"/>
    <w:rsid w:val="00FD0713"/>
    <w:rsid w:val="00FD0856"/>
    <w:rsid w:val="00FD0916"/>
    <w:rsid w:val="00FD0921"/>
    <w:rsid w:val="00FD09B3"/>
    <w:rsid w:val="00FD09C2"/>
    <w:rsid w:val="00FD0B06"/>
    <w:rsid w:val="00FD0DD1"/>
    <w:rsid w:val="00FD0E47"/>
    <w:rsid w:val="00FD0EB5"/>
    <w:rsid w:val="00FD0F52"/>
    <w:rsid w:val="00FD0F79"/>
    <w:rsid w:val="00FD1018"/>
    <w:rsid w:val="00FD1158"/>
    <w:rsid w:val="00FD118A"/>
    <w:rsid w:val="00FD130F"/>
    <w:rsid w:val="00FD1331"/>
    <w:rsid w:val="00FD1337"/>
    <w:rsid w:val="00FD1340"/>
    <w:rsid w:val="00FD1426"/>
    <w:rsid w:val="00FD15CB"/>
    <w:rsid w:val="00FD16F0"/>
    <w:rsid w:val="00FD182E"/>
    <w:rsid w:val="00FD186F"/>
    <w:rsid w:val="00FD18AF"/>
    <w:rsid w:val="00FD18E1"/>
    <w:rsid w:val="00FD18F8"/>
    <w:rsid w:val="00FD19B9"/>
    <w:rsid w:val="00FD1A2A"/>
    <w:rsid w:val="00FD1A5B"/>
    <w:rsid w:val="00FD1ADB"/>
    <w:rsid w:val="00FD1B4C"/>
    <w:rsid w:val="00FD1C53"/>
    <w:rsid w:val="00FD1CDF"/>
    <w:rsid w:val="00FD1D53"/>
    <w:rsid w:val="00FD1FAC"/>
    <w:rsid w:val="00FD1FE7"/>
    <w:rsid w:val="00FD1FEA"/>
    <w:rsid w:val="00FD2099"/>
    <w:rsid w:val="00FD20B0"/>
    <w:rsid w:val="00FD2224"/>
    <w:rsid w:val="00FD224B"/>
    <w:rsid w:val="00FD23DB"/>
    <w:rsid w:val="00FD241D"/>
    <w:rsid w:val="00FD245A"/>
    <w:rsid w:val="00FD252B"/>
    <w:rsid w:val="00FD25B1"/>
    <w:rsid w:val="00FD25E3"/>
    <w:rsid w:val="00FD261B"/>
    <w:rsid w:val="00FD26D9"/>
    <w:rsid w:val="00FD272A"/>
    <w:rsid w:val="00FD275A"/>
    <w:rsid w:val="00FD27D3"/>
    <w:rsid w:val="00FD285A"/>
    <w:rsid w:val="00FD290E"/>
    <w:rsid w:val="00FD29A1"/>
    <w:rsid w:val="00FD2AFB"/>
    <w:rsid w:val="00FD2B59"/>
    <w:rsid w:val="00FD2BBB"/>
    <w:rsid w:val="00FD2BDD"/>
    <w:rsid w:val="00FD2C0C"/>
    <w:rsid w:val="00FD2D30"/>
    <w:rsid w:val="00FD2D93"/>
    <w:rsid w:val="00FD2DC1"/>
    <w:rsid w:val="00FD2EA8"/>
    <w:rsid w:val="00FD2EF6"/>
    <w:rsid w:val="00FD2FB5"/>
    <w:rsid w:val="00FD316B"/>
    <w:rsid w:val="00FD31D3"/>
    <w:rsid w:val="00FD31E3"/>
    <w:rsid w:val="00FD3262"/>
    <w:rsid w:val="00FD3504"/>
    <w:rsid w:val="00FD358B"/>
    <w:rsid w:val="00FD369B"/>
    <w:rsid w:val="00FD36BA"/>
    <w:rsid w:val="00FD3708"/>
    <w:rsid w:val="00FD374D"/>
    <w:rsid w:val="00FD37DA"/>
    <w:rsid w:val="00FD3882"/>
    <w:rsid w:val="00FD39C3"/>
    <w:rsid w:val="00FD3A52"/>
    <w:rsid w:val="00FD3B27"/>
    <w:rsid w:val="00FD3B6B"/>
    <w:rsid w:val="00FD3CDA"/>
    <w:rsid w:val="00FD3CFB"/>
    <w:rsid w:val="00FD3D0B"/>
    <w:rsid w:val="00FD3D7C"/>
    <w:rsid w:val="00FD3DCB"/>
    <w:rsid w:val="00FD3DE9"/>
    <w:rsid w:val="00FD3E89"/>
    <w:rsid w:val="00FD3FB2"/>
    <w:rsid w:val="00FD41B7"/>
    <w:rsid w:val="00FD428C"/>
    <w:rsid w:val="00FD446C"/>
    <w:rsid w:val="00FD4482"/>
    <w:rsid w:val="00FD465A"/>
    <w:rsid w:val="00FD46E3"/>
    <w:rsid w:val="00FD4853"/>
    <w:rsid w:val="00FD48F3"/>
    <w:rsid w:val="00FD4992"/>
    <w:rsid w:val="00FD4A98"/>
    <w:rsid w:val="00FD4D00"/>
    <w:rsid w:val="00FD4DEB"/>
    <w:rsid w:val="00FD5033"/>
    <w:rsid w:val="00FD5316"/>
    <w:rsid w:val="00FD53AC"/>
    <w:rsid w:val="00FD5472"/>
    <w:rsid w:val="00FD5599"/>
    <w:rsid w:val="00FD56A4"/>
    <w:rsid w:val="00FD56C4"/>
    <w:rsid w:val="00FD57F0"/>
    <w:rsid w:val="00FD5983"/>
    <w:rsid w:val="00FD59D4"/>
    <w:rsid w:val="00FD5A10"/>
    <w:rsid w:val="00FD5A72"/>
    <w:rsid w:val="00FD5AA6"/>
    <w:rsid w:val="00FD5AC8"/>
    <w:rsid w:val="00FD5CF8"/>
    <w:rsid w:val="00FD5DB2"/>
    <w:rsid w:val="00FD5E0A"/>
    <w:rsid w:val="00FD5F67"/>
    <w:rsid w:val="00FD6049"/>
    <w:rsid w:val="00FD6097"/>
    <w:rsid w:val="00FD60A9"/>
    <w:rsid w:val="00FD614F"/>
    <w:rsid w:val="00FD6240"/>
    <w:rsid w:val="00FD6287"/>
    <w:rsid w:val="00FD62C4"/>
    <w:rsid w:val="00FD6444"/>
    <w:rsid w:val="00FD64B0"/>
    <w:rsid w:val="00FD668B"/>
    <w:rsid w:val="00FD6799"/>
    <w:rsid w:val="00FD67E0"/>
    <w:rsid w:val="00FD6871"/>
    <w:rsid w:val="00FD68A0"/>
    <w:rsid w:val="00FD69D9"/>
    <w:rsid w:val="00FD6B28"/>
    <w:rsid w:val="00FD6B48"/>
    <w:rsid w:val="00FD6C93"/>
    <w:rsid w:val="00FD6E6E"/>
    <w:rsid w:val="00FD6F03"/>
    <w:rsid w:val="00FD6F3F"/>
    <w:rsid w:val="00FD6F84"/>
    <w:rsid w:val="00FD7281"/>
    <w:rsid w:val="00FD728F"/>
    <w:rsid w:val="00FD7298"/>
    <w:rsid w:val="00FD7453"/>
    <w:rsid w:val="00FD74AC"/>
    <w:rsid w:val="00FD7560"/>
    <w:rsid w:val="00FD7597"/>
    <w:rsid w:val="00FD7646"/>
    <w:rsid w:val="00FD7704"/>
    <w:rsid w:val="00FD777E"/>
    <w:rsid w:val="00FD778F"/>
    <w:rsid w:val="00FD7792"/>
    <w:rsid w:val="00FD790D"/>
    <w:rsid w:val="00FD791B"/>
    <w:rsid w:val="00FD7A4F"/>
    <w:rsid w:val="00FD7A5E"/>
    <w:rsid w:val="00FD7AAA"/>
    <w:rsid w:val="00FD7B75"/>
    <w:rsid w:val="00FD7C1D"/>
    <w:rsid w:val="00FD7D19"/>
    <w:rsid w:val="00FD7D87"/>
    <w:rsid w:val="00FD7E4C"/>
    <w:rsid w:val="00FD7EAB"/>
    <w:rsid w:val="00FD7EFC"/>
    <w:rsid w:val="00FD7EFE"/>
    <w:rsid w:val="00FD9D16"/>
    <w:rsid w:val="00FE00D0"/>
    <w:rsid w:val="00FE0197"/>
    <w:rsid w:val="00FE01C8"/>
    <w:rsid w:val="00FE024E"/>
    <w:rsid w:val="00FE03B0"/>
    <w:rsid w:val="00FE03BA"/>
    <w:rsid w:val="00FE03D2"/>
    <w:rsid w:val="00FE03E3"/>
    <w:rsid w:val="00FE049F"/>
    <w:rsid w:val="00FE04B9"/>
    <w:rsid w:val="00FE04CC"/>
    <w:rsid w:val="00FE0501"/>
    <w:rsid w:val="00FE0589"/>
    <w:rsid w:val="00FE05C0"/>
    <w:rsid w:val="00FE0638"/>
    <w:rsid w:val="00FE06BF"/>
    <w:rsid w:val="00FE0751"/>
    <w:rsid w:val="00FE07C3"/>
    <w:rsid w:val="00FE080C"/>
    <w:rsid w:val="00FE082F"/>
    <w:rsid w:val="00FE08AB"/>
    <w:rsid w:val="00FE08FE"/>
    <w:rsid w:val="00FE097E"/>
    <w:rsid w:val="00FE0EF8"/>
    <w:rsid w:val="00FE0F29"/>
    <w:rsid w:val="00FE0F79"/>
    <w:rsid w:val="00FE1113"/>
    <w:rsid w:val="00FE129D"/>
    <w:rsid w:val="00FE1316"/>
    <w:rsid w:val="00FE13E7"/>
    <w:rsid w:val="00FE147C"/>
    <w:rsid w:val="00FE14A5"/>
    <w:rsid w:val="00FE1536"/>
    <w:rsid w:val="00FE15B3"/>
    <w:rsid w:val="00FE1739"/>
    <w:rsid w:val="00FE17A2"/>
    <w:rsid w:val="00FE17E7"/>
    <w:rsid w:val="00FE1828"/>
    <w:rsid w:val="00FE1885"/>
    <w:rsid w:val="00FE18AC"/>
    <w:rsid w:val="00FE1C58"/>
    <w:rsid w:val="00FE1CA2"/>
    <w:rsid w:val="00FE1CB8"/>
    <w:rsid w:val="00FE1D9D"/>
    <w:rsid w:val="00FE1E22"/>
    <w:rsid w:val="00FE1E34"/>
    <w:rsid w:val="00FE1E6F"/>
    <w:rsid w:val="00FE1EDB"/>
    <w:rsid w:val="00FE1EEF"/>
    <w:rsid w:val="00FE2004"/>
    <w:rsid w:val="00FE208C"/>
    <w:rsid w:val="00FE2211"/>
    <w:rsid w:val="00FE2321"/>
    <w:rsid w:val="00FE2347"/>
    <w:rsid w:val="00FE24CF"/>
    <w:rsid w:val="00FE2537"/>
    <w:rsid w:val="00FE270B"/>
    <w:rsid w:val="00FE276E"/>
    <w:rsid w:val="00FE280E"/>
    <w:rsid w:val="00FE2811"/>
    <w:rsid w:val="00FE2832"/>
    <w:rsid w:val="00FE28E4"/>
    <w:rsid w:val="00FE296B"/>
    <w:rsid w:val="00FE2A11"/>
    <w:rsid w:val="00FE2A13"/>
    <w:rsid w:val="00FE2B1F"/>
    <w:rsid w:val="00FE2B93"/>
    <w:rsid w:val="00FE2C02"/>
    <w:rsid w:val="00FE2C0D"/>
    <w:rsid w:val="00FE2C7A"/>
    <w:rsid w:val="00FE2C9F"/>
    <w:rsid w:val="00FE2D3B"/>
    <w:rsid w:val="00FE2D77"/>
    <w:rsid w:val="00FE2D78"/>
    <w:rsid w:val="00FE2D7A"/>
    <w:rsid w:val="00FE2DCF"/>
    <w:rsid w:val="00FE2F4F"/>
    <w:rsid w:val="00FE2FDB"/>
    <w:rsid w:val="00FE30C8"/>
    <w:rsid w:val="00FE30DB"/>
    <w:rsid w:val="00FE31AA"/>
    <w:rsid w:val="00FE3230"/>
    <w:rsid w:val="00FE3302"/>
    <w:rsid w:val="00FE33E9"/>
    <w:rsid w:val="00FE34C6"/>
    <w:rsid w:val="00FE35AB"/>
    <w:rsid w:val="00FE35C4"/>
    <w:rsid w:val="00FE35CD"/>
    <w:rsid w:val="00FE35DC"/>
    <w:rsid w:val="00FE36FE"/>
    <w:rsid w:val="00FE37D4"/>
    <w:rsid w:val="00FE380C"/>
    <w:rsid w:val="00FE385C"/>
    <w:rsid w:val="00FE3887"/>
    <w:rsid w:val="00FE39C7"/>
    <w:rsid w:val="00FE39D5"/>
    <w:rsid w:val="00FE3A85"/>
    <w:rsid w:val="00FE3B2A"/>
    <w:rsid w:val="00FE3B4D"/>
    <w:rsid w:val="00FE3C01"/>
    <w:rsid w:val="00FE3C60"/>
    <w:rsid w:val="00FE3DFD"/>
    <w:rsid w:val="00FE3E50"/>
    <w:rsid w:val="00FE4055"/>
    <w:rsid w:val="00FE4073"/>
    <w:rsid w:val="00FE40CE"/>
    <w:rsid w:val="00FE4128"/>
    <w:rsid w:val="00FE4138"/>
    <w:rsid w:val="00FE413A"/>
    <w:rsid w:val="00FE41B3"/>
    <w:rsid w:val="00FE4256"/>
    <w:rsid w:val="00FE4362"/>
    <w:rsid w:val="00FE43EC"/>
    <w:rsid w:val="00FE4421"/>
    <w:rsid w:val="00FE4516"/>
    <w:rsid w:val="00FE4587"/>
    <w:rsid w:val="00FE459E"/>
    <w:rsid w:val="00FE4654"/>
    <w:rsid w:val="00FE4695"/>
    <w:rsid w:val="00FE4979"/>
    <w:rsid w:val="00FE4A4E"/>
    <w:rsid w:val="00FE4CED"/>
    <w:rsid w:val="00FE4D2F"/>
    <w:rsid w:val="00FE4E43"/>
    <w:rsid w:val="00FE4F41"/>
    <w:rsid w:val="00FE4F8C"/>
    <w:rsid w:val="00FE4FB3"/>
    <w:rsid w:val="00FE4FB4"/>
    <w:rsid w:val="00FE5038"/>
    <w:rsid w:val="00FE504B"/>
    <w:rsid w:val="00FE5062"/>
    <w:rsid w:val="00FE509E"/>
    <w:rsid w:val="00FE5118"/>
    <w:rsid w:val="00FE52C1"/>
    <w:rsid w:val="00FE53F3"/>
    <w:rsid w:val="00FE5402"/>
    <w:rsid w:val="00FE548D"/>
    <w:rsid w:val="00FE5511"/>
    <w:rsid w:val="00FE5595"/>
    <w:rsid w:val="00FE566E"/>
    <w:rsid w:val="00FE5697"/>
    <w:rsid w:val="00FE572D"/>
    <w:rsid w:val="00FE57DF"/>
    <w:rsid w:val="00FE585B"/>
    <w:rsid w:val="00FE585E"/>
    <w:rsid w:val="00FE5866"/>
    <w:rsid w:val="00FE5867"/>
    <w:rsid w:val="00FE591E"/>
    <w:rsid w:val="00FE5BCA"/>
    <w:rsid w:val="00FE5BD7"/>
    <w:rsid w:val="00FE5BF1"/>
    <w:rsid w:val="00FE5DB5"/>
    <w:rsid w:val="00FE5E34"/>
    <w:rsid w:val="00FE5EAC"/>
    <w:rsid w:val="00FE5F0E"/>
    <w:rsid w:val="00FE5F92"/>
    <w:rsid w:val="00FE6063"/>
    <w:rsid w:val="00FE611A"/>
    <w:rsid w:val="00FE6146"/>
    <w:rsid w:val="00FE6164"/>
    <w:rsid w:val="00FE624A"/>
    <w:rsid w:val="00FE628F"/>
    <w:rsid w:val="00FE63BE"/>
    <w:rsid w:val="00FE6401"/>
    <w:rsid w:val="00FE64C3"/>
    <w:rsid w:val="00FE6565"/>
    <w:rsid w:val="00FE6634"/>
    <w:rsid w:val="00FE6676"/>
    <w:rsid w:val="00FE66B3"/>
    <w:rsid w:val="00FE6776"/>
    <w:rsid w:val="00FE67C1"/>
    <w:rsid w:val="00FE67D6"/>
    <w:rsid w:val="00FE68E5"/>
    <w:rsid w:val="00FE6995"/>
    <w:rsid w:val="00FE6B80"/>
    <w:rsid w:val="00FE6C23"/>
    <w:rsid w:val="00FE6C8E"/>
    <w:rsid w:val="00FE6E68"/>
    <w:rsid w:val="00FE6E8D"/>
    <w:rsid w:val="00FE6F7A"/>
    <w:rsid w:val="00FE71EB"/>
    <w:rsid w:val="00FE739C"/>
    <w:rsid w:val="00FE74E6"/>
    <w:rsid w:val="00FE75DE"/>
    <w:rsid w:val="00FE75E4"/>
    <w:rsid w:val="00FE7728"/>
    <w:rsid w:val="00FE774A"/>
    <w:rsid w:val="00FE7798"/>
    <w:rsid w:val="00FE77B4"/>
    <w:rsid w:val="00FE77D6"/>
    <w:rsid w:val="00FE785C"/>
    <w:rsid w:val="00FE78AA"/>
    <w:rsid w:val="00FE791D"/>
    <w:rsid w:val="00FE79E4"/>
    <w:rsid w:val="00FE79F2"/>
    <w:rsid w:val="00FE7A17"/>
    <w:rsid w:val="00FE7A7D"/>
    <w:rsid w:val="00FE7AF3"/>
    <w:rsid w:val="00FE7CD8"/>
    <w:rsid w:val="00FE7CF1"/>
    <w:rsid w:val="00FE7EC4"/>
    <w:rsid w:val="00FE7F4D"/>
    <w:rsid w:val="00FE7F67"/>
    <w:rsid w:val="00FE7FE8"/>
    <w:rsid w:val="00FF0046"/>
    <w:rsid w:val="00FF005E"/>
    <w:rsid w:val="00FF0067"/>
    <w:rsid w:val="00FF0096"/>
    <w:rsid w:val="00FF0176"/>
    <w:rsid w:val="00FF01DF"/>
    <w:rsid w:val="00FF0297"/>
    <w:rsid w:val="00FF02A0"/>
    <w:rsid w:val="00FF02F1"/>
    <w:rsid w:val="00FF0380"/>
    <w:rsid w:val="00FF03DC"/>
    <w:rsid w:val="00FF0419"/>
    <w:rsid w:val="00FF0439"/>
    <w:rsid w:val="00FF0446"/>
    <w:rsid w:val="00FF0522"/>
    <w:rsid w:val="00FF052F"/>
    <w:rsid w:val="00FF0538"/>
    <w:rsid w:val="00FF057F"/>
    <w:rsid w:val="00FF087C"/>
    <w:rsid w:val="00FF0A23"/>
    <w:rsid w:val="00FF0A57"/>
    <w:rsid w:val="00FF0A8C"/>
    <w:rsid w:val="00FF0AE9"/>
    <w:rsid w:val="00FF0B41"/>
    <w:rsid w:val="00FF0B45"/>
    <w:rsid w:val="00FF0C61"/>
    <w:rsid w:val="00FF0DAD"/>
    <w:rsid w:val="00FF0DD2"/>
    <w:rsid w:val="00FF0E09"/>
    <w:rsid w:val="00FF0E4B"/>
    <w:rsid w:val="00FF0EE4"/>
    <w:rsid w:val="00FF0F5E"/>
    <w:rsid w:val="00FF0FCB"/>
    <w:rsid w:val="00FF1007"/>
    <w:rsid w:val="00FF101B"/>
    <w:rsid w:val="00FF108A"/>
    <w:rsid w:val="00FF1100"/>
    <w:rsid w:val="00FF12E4"/>
    <w:rsid w:val="00FF1360"/>
    <w:rsid w:val="00FF14AD"/>
    <w:rsid w:val="00FF14BA"/>
    <w:rsid w:val="00FF1538"/>
    <w:rsid w:val="00FF175D"/>
    <w:rsid w:val="00FF17CC"/>
    <w:rsid w:val="00FF186D"/>
    <w:rsid w:val="00FF1944"/>
    <w:rsid w:val="00FF1A0F"/>
    <w:rsid w:val="00FF1ACE"/>
    <w:rsid w:val="00FF1ADB"/>
    <w:rsid w:val="00FF1B58"/>
    <w:rsid w:val="00FF1B66"/>
    <w:rsid w:val="00FF1BAB"/>
    <w:rsid w:val="00FF1C65"/>
    <w:rsid w:val="00FF1D51"/>
    <w:rsid w:val="00FF1DF3"/>
    <w:rsid w:val="00FF1E87"/>
    <w:rsid w:val="00FF1E93"/>
    <w:rsid w:val="00FF1F2E"/>
    <w:rsid w:val="00FF1FC4"/>
    <w:rsid w:val="00FF2020"/>
    <w:rsid w:val="00FF204B"/>
    <w:rsid w:val="00FF2177"/>
    <w:rsid w:val="00FF21F5"/>
    <w:rsid w:val="00FF2202"/>
    <w:rsid w:val="00FF22A5"/>
    <w:rsid w:val="00FF231D"/>
    <w:rsid w:val="00FF232F"/>
    <w:rsid w:val="00FF238F"/>
    <w:rsid w:val="00FF2598"/>
    <w:rsid w:val="00FF2623"/>
    <w:rsid w:val="00FF263B"/>
    <w:rsid w:val="00FF279D"/>
    <w:rsid w:val="00FF2886"/>
    <w:rsid w:val="00FF293B"/>
    <w:rsid w:val="00FF2940"/>
    <w:rsid w:val="00FF29CF"/>
    <w:rsid w:val="00FF2A35"/>
    <w:rsid w:val="00FF2BCA"/>
    <w:rsid w:val="00FF2C54"/>
    <w:rsid w:val="00FF2D43"/>
    <w:rsid w:val="00FF2DBB"/>
    <w:rsid w:val="00FF2DEE"/>
    <w:rsid w:val="00FF2E23"/>
    <w:rsid w:val="00FF2E5B"/>
    <w:rsid w:val="00FF2F19"/>
    <w:rsid w:val="00FF2FBF"/>
    <w:rsid w:val="00FF30DA"/>
    <w:rsid w:val="00FF30F3"/>
    <w:rsid w:val="00FF30FB"/>
    <w:rsid w:val="00FF3129"/>
    <w:rsid w:val="00FF315E"/>
    <w:rsid w:val="00FF3171"/>
    <w:rsid w:val="00FF3217"/>
    <w:rsid w:val="00FF326E"/>
    <w:rsid w:val="00FF334B"/>
    <w:rsid w:val="00FF3373"/>
    <w:rsid w:val="00FF338C"/>
    <w:rsid w:val="00FF3392"/>
    <w:rsid w:val="00FF33AC"/>
    <w:rsid w:val="00FF344B"/>
    <w:rsid w:val="00FF34AF"/>
    <w:rsid w:val="00FF34DE"/>
    <w:rsid w:val="00FF3533"/>
    <w:rsid w:val="00FF35BA"/>
    <w:rsid w:val="00FF35DE"/>
    <w:rsid w:val="00FF36CF"/>
    <w:rsid w:val="00FF3743"/>
    <w:rsid w:val="00FF37C1"/>
    <w:rsid w:val="00FF3903"/>
    <w:rsid w:val="00FF3975"/>
    <w:rsid w:val="00FF3976"/>
    <w:rsid w:val="00FF3A07"/>
    <w:rsid w:val="00FF3A93"/>
    <w:rsid w:val="00FF3B35"/>
    <w:rsid w:val="00FF3CA7"/>
    <w:rsid w:val="00FF3CB8"/>
    <w:rsid w:val="00FF3D39"/>
    <w:rsid w:val="00FF3D90"/>
    <w:rsid w:val="00FF3F7C"/>
    <w:rsid w:val="00FF4074"/>
    <w:rsid w:val="00FF407E"/>
    <w:rsid w:val="00FF40B3"/>
    <w:rsid w:val="00FF40DC"/>
    <w:rsid w:val="00FF40F2"/>
    <w:rsid w:val="00FF4129"/>
    <w:rsid w:val="00FF4192"/>
    <w:rsid w:val="00FF41FE"/>
    <w:rsid w:val="00FF426A"/>
    <w:rsid w:val="00FF43B1"/>
    <w:rsid w:val="00FF448F"/>
    <w:rsid w:val="00FF44BA"/>
    <w:rsid w:val="00FF44CD"/>
    <w:rsid w:val="00FF45DC"/>
    <w:rsid w:val="00FF4655"/>
    <w:rsid w:val="00FF46A2"/>
    <w:rsid w:val="00FF46AE"/>
    <w:rsid w:val="00FF46F7"/>
    <w:rsid w:val="00FF4946"/>
    <w:rsid w:val="00FF49C7"/>
    <w:rsid w:val="00FF4A20"/>
    <w:rsid w:val="00FF4ACB"/>
    <w:rsid w:val="00FF4B3D"/>
    <w:rsid w:val="00FF4B5E"/>
    <w:rsid w:val="00FF4BA6"/>
    <w:rsid w:val="00FF4BDE"/>
    <w:rsid w:val="00FF4C38"/>
    <w:rsid w:val="00FF4DAF"/>
    <w:rsid w:val="00FF4E77"/>
    <w:rsid w:val="00FF4EB4"/>
    <w:rsid w:val="00FF4EC5"/>
    <w:rsid w:val="00FF5033"/>
    <w:rsid w:val="00FF5061"/>
    <w:rsid w:val="00FF5074"/>
    <w:rsid w:val="00FF5102"/>
    <w:rsid w:val="00FF5117"/>
    <w:rsid w:val="00FF512E"/>
    <w:rsid w:val="00FF516A"/>
    <w:rsid w:val="00FF5195"/>
    <w:rsid w:val="00FF521E"/>
    <w:rsid w:val="00FF526A"/>
    <w:rsid w:val="00FF53FD"/>
    <w:rsid w:val="00FF5458"/>
    <w:rsid w:val="00FF5497"/>
    <w:rsid w:val="00FF552F"/>
    <w:rsid w:val="00FF553C"/>
    <w:rsid w:val="00FF5587"/>
    <w:rsid w:val="00FF55F9"/>
    <w:rsid w:val="00FF573C"/>
    <w:rsid w:val="00FF5824"/>
    <w:rsid w:val="00FF584F"/>
    <w:rsid w:val="00FF59CE"/>
    <w:rsid w:val="00FF5A02"/>
    <w:rsid w:val="00FF5A82"/>
    <w:rsid w:val="00FF5B18"/>
    <w:rsid w:val="00FF5C5A"/>
    <w:rsid w:val="00FF5CC2"/>
    <w:rsid w:val="00FF5D7B"/>
    <w:rsid w:val="00FF5DC8"/>
    <w:rsid w:val="00FF5E16"/>
    <w:rsid w:val="00FF5E6A"/>
    <w:rsid w:val="00FF5E91"/>
    <w:rsid w:val="00FF5FF7"/>
    <w:rsid w:val="00FF6039"/>
    <w:rsid w:val="00FF60B4"/>
    <w:rsid w:val="00FF6159"/>
    <w:rsid w:val="00FF6163"/>
    <w:rsid w:val="00FF621D"/>
    <w:rsid w:val="00FF6365"/>
    <w:rsid w:val="00FF6485"/>
    <w:rsid w:val="00FF649B"/>
    <w:rsid w:val="00FF64BB"/>
    <w:rsid w:val="00FF6729"/>
    <w:rsid w:val="00FF6747"/>
    <w:rsid w:val="00FF6758"/>
    <w:rsid w:val="00FF684A"/>
    <w:rsid w:val="00FF6854"/>
    <w:rsid w:val="00FF68C1"/>
    <w:rsid w:val="00FF694D"/>
    <w:rsid w:val="00FF6A21"/>
    <w:rsid w:val="00FF6A42"/>
    <w:rsid w:val="00FF6A4F"/>
    <w:rsid w:val="00FF6AC8"/>
    <w:rsid w:val="00FF6B90"/>
    <w:rsid w:val="00FF6BB2"/>
    <w:rsid w:val="00FF6BC9"/>
    <w:rsid w:val="00FF6CED"/>
    <w:rsid w:val="00FF6D20"/>
    <w:rsid w:val="00FF6E75"/>
    <w:rsid w:val="00FF6E89"/>
    <w:rsid w:val="00FF70C5"/>
    <w:rsid w:val="00FF70CC"/>
    <w:rsid w:val="00FF7159"/>
    <w:rsid w:val="00FF7196"/>
    <w:rsid w:val="00FF7303"/>
    <w:rsid w:val="00FF7344"/>
    <w:rsid w:val="00FF7389"/>
    <w:rsid w:val="00FF7394"/>
    <w:rsid w:val="00FF7476"/>
    <w:rsid w:val="00FF74B6"/>
    <w:rsid w:val="00FF74C1"/>
    <w:rsid w:val="00FF74DE"/>
    <w:rsid w:val="00FF7625"/>
    <w:rsid w:val="00FF7655"/>
    <w:rsid w:val="00FF76BB"/>
    <w:rsid w:val="00FF7949"/>
    <w:rsid w:val="00FF796E"/>
    <w:rsid w:val="00FF7CDE"/>
    <w:rsid w:val="00FF7D7F"/>
    <w:rsid w:val="00FF7E94"/>
    <w:rsid w:val="00FF7EF8"/>
    <w:rsid w:val="00FF97D0"/>
    <w:rsid w:val="01009CB4"/>
    <w:rsid w:val="01020CF9"/>
    <w:rsid w:val="01021414"/>
    <w:rsid w:val="010231BE"/>
    <w:rsid w:val="01031926"/>
    <w:rsid w:val="01040731"/>
    <w:rsid w:val="0104684B"/>
    <w:rsid w:val="010537E2"/>
    <w:rsid w:val="0105D123"/>
    <w:rsid w:val="0107390A"/>
    <w:rsid w:val="0107464A"/>
    <w:rsid w:val="0107B38B"/>
    <w:rsid w:val="0108B3F7"/>
    <w:rsid w:val="0108D711"/>
    <w:rsid w:val="0109D841"/>
    <w:rsid w:val="010A00CD"/>
    <w:rsid w:val="010B6E59"/>
    <w:rsid w:val="010C96BF"/>
    <w:rsid w:val="010CB4AF"/>
    <w:rsid w:val="010D018E"/>
    <w:rsid w:val="010DD1E5"/>
    <w:rsid w:val="010F0E65"/>
    <w:rsid w:val="0110F706"/>
    <w:rsid w:val="0111005B"/>
    <w:rsid w:val="01116566"/>
    <w:rsid w:val="011198D1"/>
    <w:rsid w:val="0111F77C"/>
    <w:rsid w:val="01123E85"/>
    <w:rsid w:val="01131471"/>
    <w:rsid w:val="01131B63"/>
    <w:rsid w:val="01135DE6"/>
    <w:rsid w:val="01141822"/>
    <w:rsid w:val="01142275"/>
    <w:rsid w:val="01149242"/>
    <w:rsid w:val="01150E22"/>
    <w:rsid w:val="01156F0A"/>
    <w:rsid w:val="01158EA6"/>
    <w:rsid w:val="0116121B"/>
    <w:rsid w:val="011642E9"/>
    <w:rsid w:val="01164CA2"/>
    <w:rsid w:val="011680F5"/>
    <w:rsid w:val="01177BD4"/>
    <w:rsid w:val="0117A92F"/>
    <w:rsid w:val="0117B3F8"/>
    <w:rsid w:val="0117B747"/>
    <w:rsid w:val="01180A09"/>
    <w:rsid w:val="01180A4A"/>
    <w:rsid w:val="01181846"/>
    <w:rsid w:val="011902DA"/>
    <w:rsid w:val="01190E5D"/>
    <w:rsid w:val="0119242E"/>
    <w:rsid w:val="01194F50"/>
    <w:rsid w:val="0119662C"/>
    <w:rsid w:val="011B5AA5"/>
    <w:rsid w:val="011BF831"/>
    <w:rsid w:val="011BFC05"/>
    <w:rsid w:val="011C38B1"/>
    <w:rsid w:val="011C5FEC"/>
    <w:rsid w:val="011CE5FF"/>
    <w:rsid w:val="011D3CA2"/>
    <w:rsid w:val="011D6556"/>
    <w:rsid w:val="011D67AE"/>
    <w:rsid w:val="011DA01E"/>
    <w:rsid w:val="011DB162"/>
    <w:rsid w:val="011E0E37"/>
    <w:rsid w:val="011FF6DC"/>
    <w:rsid w:val="01208ABE"/>
    <w:rsid w:val="0120EFB5"/>
    <w:rsid w:val="01221147"/>
    <w:rsid w:val="0123BE24"/>
    <w:rsid w:val="0123C4C9"/>
    <w:rsid w:val="012401A5"/>
    <w:rsid w:val="01242891"/>
    <w:rsid w:val="012433D6"/>
    <w:rsid w:val="012531B2"/>
    <w:rsid w:val="01256A09"/>
    <w:rsid w:val="0126E59A"/>
    <w:rsid w:val="0127487D"/>
    <w:rsid w:val="01275565"/>
    <w:rsid w:val="0127AE11"/>
    <w:rsid w:val="01285C05"/>
    <w:rsid w:val="01288BC1"/>
    <w:rsid w:val="0129554D"/>
    <w:rsid w:val="012A1A29"/>
    <w:rsid w:val="012B0C5D"/>
    <w:rsid w:val="012B6CBE"/>
    <w:rsid w:val="012CCDFC"/>
    <w:rsid w:val="012DA12F"/>
    <w:rsid w:val="012EA71C"/>
    <w:rsid w:val="012F4315"/>
    <w:rsid w:val="012FAC0E"/>
    <w:rsid w:val="012FFFE5"/>
    <w:rsid w:val="0130B97F"/>
    <w:rsid w:val="01319C27"/>
    <w:rsid w:val="0131ECF4"/>
    <w:rsid w:val="0132292D"/>
    <w:rsid w:val="013235B6"/>
    <w:rsid w:val="0132FECA"/>
    <w:rsid w:val="01338D95"/>
    <w:rsid w:val="0133FB38"/>
    <w:rsid w:val="01350873"/>
    <w:rsid w:val="01352528"/>
    <w:rsid w:val="01364A17"/>
    <w:rsid w:val="01382222"/>
    <w:rsid w:val="01382243"/>
    <w:rsid w:val="0138DFD7"/>
    <w:rsid w:val="0139703E"/>
    <w:rsid w:val="0139C419"/>
    <w:rsid w:val="013AD27F"/>
    <w:rsid w:val="013AFE90"/>
    <w:rsid w:val="013B0A36"/>
    <w:rsid w:val="013B6613"/>
    <w:rsid w:val="013BEB79"/>
    <w:rsid w:val="013C08B4"/>
    <w:rsid w:val="013C65F2"/>
    <w:rsid w:val="013DE926"/>
    <w:rsid w:val="013E2014"/>
    <w:rsid w:val="013E3AAD"/>
    <w:rsid w:val="013EDF90"/>
    <w:rsid w:val="013F5E17"/>
    <w:rsid w:val="013F98A0"/>
    <w:rsid w:val="013FACBB"/>
    <w:rsid w:val="013FAE51"/>
    <w:rsid w:val="013FB4C9"/>
    <w:rsid w:val="01403960"/>
    <w:rsid w:val="014068E1"/>
    <w:rsid w:val="01407E00"/>
    <w:rsid w:val="0140B876"/>
    <w:rsid w:val="014105CB"/>
    <w:rsid w:val="01411E18"/>
    <w:rsid w:val="01416988"/>
    <w:rsid w:val="01418A6B"/>
    <w:rsid w:val="0141CB5D"/>
    <w:rsid w:val="0141F9D5"/>
    <w:rsid w:val="0141FC30"/>
    <w:rsid w:val="0143B9F3"/>
    <w:rsid w:val="01442576"/>
    <w:rsid w:val="0144D992"/>
    <w:rsid w:val="01471BFA"/>
    <w:rsid w:val="01481B88"/>
    <w:rsid w:val="014900FE"/>
    <w:rsid w:val="01499785"/>
    <w:rsid w:val="0149C888"/>
    <w:rsid w:val="0149E459"/>
    <w:rsid w:val="014C15B7"/>
    <w:rsid w:val="014CACEC"/>
    <w:rsid w:val="014D177E"/>
    <w:rsid w:val="014D1909"/>
    <w:rsid w:val="014D21FC"/>
    <w:rsid w:val="014D8030"/>
    <w:rsid w:val="014D8E8C"/>
    <w:rsid w:val="014E66DF"/>
    <w:rsid w:val="014EDB71"/>
    <w:rsid w:val="014FCA88"/>
    <w:rsid w:val="014FE409"/>
    <w:rsid w:val="01531F26"/>
    <w:rsid w:val="01533DDD"/>
    <w:rsid w:val="0153C9FF"/>
    <w:rsid w:val="01540B40"/>
    <w:rsid w:val="0154AFBD"/>
    <w:rsid w:val="01556439"/>
    <w:rsid w:val="01565757"/>
    <w:rsid w:val="01565BD0"/>
    <w:rsid w:val="015721B5"/>
    <w:rsid w:val="01578B55"/>
    <w:rsid w:val="01579B8A"/>
    <w:rsid w:val="015A0626"/>
    <w:rsid w:val="015A677D"/>
    <w:rsid w:val="015A7BCD"/>
    <w:rsid w:val="015AA66B"/>
    <w:rsid w:val="015AF7E4"/>
    <w:rsid w:val="015B36D7"/>
    <w:rsid w:val="015B3BA2"/>
    <w:rsid w:val="015BF420"/>
    <w:rsid w:val="015D3D4C"/>
    <w:rsid w:val="015D3D90"/>
    <w:rsid w:val="015D5FFD"/>
    <w:rsid w:val="015E13B6"/>
    <w:rsid w:val="015E1F16"/>
    <w:rsid w:val="016147D0"/>
    <w:rsid w:val="01619945"/>
    <w:rsid w:val="01623F1D"/>
    <w:rsid w:val="0162A8CC"/>
    <w:rsid w:val="016309C0"/>
    <w:rsid w:val="01633781"/>
    <w:rsid w:val="0165D72A"/>
    <w:rsid w:val="0166A32B"/>
    <w:rsid w:val="016739CA"/>
    <w:rsid w:val="0167C6A8"/>
    <w:rsid w:val="0168CC3A"/>
    <w:rsid w:val="016A2CF1"/>
    <w:rsid w:val="016ABBC3"/>
    <w:rsid w:val="016ABC35"/>
    <w:rsid w:val="016AC489"/>
    <w:rsid w:val="016ADFB5"/>
    <w:rsid w:val="016B4FB0"/>
    <w:rsid w:val="016C0EF7"/>
    <w:rsid w:val="016DA239"/>
    <w:rsid w:val="016DBF18"/>
    <w:rsid w:val="016E959E"/>
    <w:rsid w:val="016EF909"/>
    <w:rsid w:val="016F0B7A"/>
    <w:rsid w:val="016F3AD5"/>
    <w:rsid w:val="016F8CB5"/>
    <w:rsid w:val="0170F90B"/>
    <w:rsid w:val="01716CBE"/>
    <w:rsid w:val="0171AD80"/>
    <w:rsid w:val="0172EEBC"/>
    <w:rsid w:val="01733A61"/>
    <w:rsid w:val="01744C7B"/>
    <w:rsid w:val="0174E89F"/>
    <w:rsid w:val="0174ED8C"/>
    <w:rsid w:val="01754F80"/>
    <w:rsid w:val="01767620"/>
    <w:rsid w:val="01770B0E"/>
    <w:rsid w:val="01771FFE"/>
    <w:rsid w:val="01774AD9"/>
    <w:rsid w:val="01775840"/>
    <w:rsid w:val="01775951"/>
    <w:rsid w:val="01776F1A"/>
    <w:rsid w:val="0177854D"/>
    <w:rsid w:val="01778557"/>
    <w:rsid w:val="017897B9"/>
    <w:rsid w:val="0178C61B"/>
    <w:rsid w:val="0178F9FB"/>
    <w:rsid w:val="017938F1"/>
    <w:rsid w:val="01795D6C"/>
    <w:rsid w:val="0179B0DC"/>
    <w:rsid w:val="0179EAF2"/>
    <w:rsid w:val="017A0A57"/>
    <w:rsid w:val="017A0E87"/>
    <w:rsid w:val="017A3CE2"/>
    <w:rsid w:val="017BCB02"/>
    <w:rsid w:val="017C52FC"/>
    <w:rsid w:val="017C88B5"/>
    <w:rsid w:val="017CB8CD"/>
    <w:rsid w:val="017CBD8A"/>
    <w:rsid w:val="017CFF4B"/>
    <w:rsid w:val="017D537C"/>
    <w:rsid w:val="017E0086"/>
    <w:rsid w:val="017E2285"/>
    <w:rsid w:val="017E8A51"/>
    <w:rsid w:val="017EB6B6"/>
    <w:rsid w:val="017EC084"/>
    <w:rsid w:val="017FA0D1"/>
    <w:rsid w:val="017FF95E"/>
    <w:rsid w:val="0180042A"/>
    <w:rsid w:val="01804916"/>
    <w:rsid w:val="01805E4B"/>
    <w:rsid w:val="0180E232"/>
    <w:rsid w:val="01813BA9"/>
    <w:rsid w:val="018323CE"/>
    <w:rsid w:val="0184526F"/>
    <w:rsid w:val="01849E49"/>
    <w:rsid w:val="018563EB"/>
    <w:rsid w:val="01859440"/>
    <w:rsid w:val="0185B9ED"/>
    <w:rsid w:val="0186E436"/>
    <w:rsid w:val="01877A1A"/>
    <w:rsid w:val="0187A324"/>
    <w:rsid w:val="01886A83"/>
    <w:rsid w:val="018877B4"/>
    <w:rsid w:val="01891612"/>
    <w:rsid w:val="01894E28"/>
    <w:rsid w:val="018A4E09"/>
    <w:rsid w:val="018AF420"/>
    <w:rsid w:val="018B4A13"/>
    <w:rsid w:val="018C4D81"/>
    <w:rsid w:val="018C733F"/>
    <w:rsid w:val="018C9E33"/>
    <w:rsid w:val="018CEF2A"/>
    <w:rsid w:val="018D2123"/>
    <w:rsid w:val="018E23CE"/>
    <w:rsid w:val="018E7783"/>
    <w:rsid w:val="018ECF20"/>
    <w:rsid w:val="018ED771"/>
    <w:rsid w:val="018F9949"/>
    <w:rsid w:val="0190C567"/>
    <w:rsid w:val="0190FD5D"/>
    <w:rsid w:val="01912F33"/>
    <w:rsid w:val="0193485C"/>
    <w:rsid w:val="0193B10E"/>
    <w:rsid w:val="0193B3E8"/>
    <w:rsid w:val="01942390"/>
    <w:rsid w:val="01942EC6"/>
    <w:rsid w:val="019430C9"/>
    <w:rsid w:val="019471DC"/>
    <w:rsid w:val="01953BAD"/>
    <w:rsid w:val="01963D22"/>
    <w:rsid w:val="01967C0B"/>
    <w:rsid w:val="0197367A"/>
    <w:rsid w:val="01975566"/>
    <w:rsid w:val="019830EB"/>
    <w:rsid w:val="01983D97"/>
    <w:rsid w:val="0198DB5A"/>
    <w:rsid w:val="0199868E"/>
    <w:rsid w:val="0199DACF"/>
    <w:rsid w:val="019A3A43"/>
    <w:rsid w:val="019A4A9E"/>
    <w:rsid w:val="019AC2B7"/>
    <w:rsid w:val="019B26F0"/>
    <w:rsid w:val="019B3DE8"/>
    <w:rsid w:val="019B44CA"/>
    <w:rsid w:val="019BE5F7"/>
    <w:rsid w:val="019BFC3D"/>
    <w:rsid w:val="019CDD15"/>
    <w:rsid w:val="019E0004"/>
    <w:rsid w:val="019E6CCE"/>
    <w:rsid w:val="019E9CEF"/>
    <w:rsid w:val="019F71C5"/>
    <w:rsid w:val="019F78B9"/>
    <w:rsid w:val="019FF025"/>
    <w:rsid w:val="01A05C21"/>
    <w:rsid w:val="01A08CC4"/>
    <w:rsid w:val="01A18874"/>
    <w:rsid w:val="01A2907D"/>
    <w:rsid w:val="01A45554"/>
    <w:rsid w:val="01A4B5FD"/>
    <w:rsid w:val="01A4D592"/>
    <w:rsid w:val="01A69500"/>
    <w:rsid w:val="01A81302"/>
    <w:rsid w:val="01A84E05"/>
    <w:rsid w:val="01A89753"/>
    <w:rsid w:val="01A8BD54"/>
    <w:rsid w:val="01A8BE77"/>
    <w:rsid w:val="01A94862"/>
    <w:rsid w:val="01AA2C95"/>
    <w:rsid w:val="01AB718D"/>
    <w:rsid w:val="01ABBB35"/>
    <w:rsid w:val="01AD8771"/>
    <w:rsid w:val="01ADE95C"/>
    <w:rsid w:val="01AE41BE"/>
    <w:rsid w:val="01AE45B4"/>
    <w:rsid w:val="01AE6D1C"/>
    <w:rsid w:val="01AEC0DE"/>
    <w:rsid w:val="01AF3427"/>
    <w:rsid w:val="01B023B0"/>
    <w:rsid w:val="01B06800"/>
    <w:rsid w:val="01B34877"/>
    <w:rsid w:val="01B4A9D0"/>
    <w:rsid w:val="01B4D29B"/>
    <w:rsid w:val="01B53463"/>
    <w:rsid w:val="01B5455B"/>
    <w:rsid w:val="01B683FB"/>
    <w:rsid w:val="01B6ADB3"/>
    <w:rsid w:val="01B738D5"/>
    <w:rsid w:val="01B762C8"/>
    <w:rsid w:val="01B7EE05"/>
    <w:rsid w:val="01B8643A"/>
    <w:rsid w:val="01B91D00"/>
    <w:rsid w:val="01B95940"/>
    <w:rsid w:val="01B9C1A7"/>
    <w:rsid w:val="01B9F844"/>
    <w:rsid w:val="01BA3A50"/>
    <w:rsid w:val="01BB3372"/>
    <w:rsid w:val="01BB6840"/>
    <w:rsid w:val="01BB6C8F"/>
    <w:rsid w:val="01BB9A96"/>
    <w:rsid w:val="01BBB2D6"/>
    <w:rsid w:val="01BD48FC"/>
    <w:rsid w:val="01BD5B85"/>
    <w:rsid w:val="01BE1033"/>
    <w:rsid w:val="01BE44CF"/>
    <w:rsid w:val="01BE807F"/>
    <w:rsid w:val="01BE9D3D"/>
    <w:rsid w:val="01BEF777"/>
    <w:rsid w:val="01BFDE4E"/>
    <w:rsid w:val="01C04F91"/>
    <w:rsid w:val="01C05B4D"/>
    <w:rsid w:val="01C17A47"/>
    <w:rsid w:val="01C2EB5F"/>
    <w:rsid w:val="01C36B69"/>
    <w:rsid w:val="01C399A0"/>
    <w:rsid w:val="01C4A97D"/>
    <w:rsid w:val="01C4BC5E"/>
    <w:rsid w:val="01C4C966"/>
    <w:rsid w:val="01C53931"/>
    <w:rsid w:val="01C621CD"/>
    <w:rsid w:val="01C6AB79"/>
    <w:rsid w:val="01C79A50"/>
    <w:rsid w:val="01C812B0"/>
    <w:rsid w:val="01C8FCC4"/>
    <w:rsid w:val="01C92133"/>
    <w:rsid w:val="01C94463"/>
    <w:rsid w:val="01C94600"/>
    <w:rsid w:val="01C9A00B"/>
    <w:rsid w:val="01CB5709"/>
    <w:rsid w:val="01CB7580"/>
    <w:rsid w:val="01CBFF26"/>
    <w:rsid w:val="01CCEAA5"/>
    <w:rsid w:val="01CD2043"/>
    <w:rsid w:val="01CD2540"/>
    <w:rsid w:val="01CD9B34"/>
    <w:rsid w:val="01CDAE4B"/>
    <w:rsid w:val="01CE8D66"/>
    <w:rsid w:val="01CF3C1D"/>
    <w:rsid w:val="01CF8F63"/>
    <w:rsid w:val="01D03B42"/>
    <w:rsid w:val="01D1060B"/>
    <w:rsid w:val="01D174B2"/>
    <w:rsid w:val="01D17D66"/>
    <w:rsid w:val="01D18521"/>
    <w:rsid w:val="01D20A1A"/>
    <w:rsid w:val="01D25307"/>
    <w:rsid w:val="01D2D6E9"/>
    <w:rsid w:val="01D30560"/>
    <w:rsid w:val="01D3CD8A"/>
    <w:rsid w:val="01D4AEDC"/>
    <w:rsid w:val="01D53225"/>
    <w:rsid w:val="01D5850F"/>
    <w:rsid w:val="01D6CD66"/>
    <w:rsid w:val="01D722F3"/>
    <w:rsid w:val="01D8C12F"/>
    <w:rsid w:val="01D8E342"/>
    <w:rsid w:val="01D8E586"/>
    <w:rsid w:val="01D951D9"/>
    <w:rsid w:val="01D9A529"/>
    <w:rsid w:val="01DA6113"/>
    <w:rsid w:val="01DA6224"/>
    <w:rsid w:val="01DC27CE"/>
    <w:rsid w:val="01DC5C82"/>
    <w:rsid w:val="01DDCCD7"/>
    <w:rsid w:val="01DDEC1D"/>
    <w:rsid w:val="01DDEDA6"/>
    <w:rsid w:val="01DF3118"/>
    <w:rsid w:val="01E06FBD"/>
    <w:rsid w:val="01E0B64E"/>
    <w:rsid w:val="01E0D674"/>
    <w:rsid w:val="01E0D869"/>
    <w:rsid w:val="01E124DF"/>
    <w:rsid w:val="01E24424"/>
    <w:rsid w:val="01E319CD"/>
    <w:rsid w:val="01E3D287"/>
    <w:rsid w:val="01E440A0"/>
    <w:rsid w:val="01E48BAD"/>
    <w:rsid w:val="01E49703"/>
    <w:rsid w:val="01E4A9C5"/>
    <w:rsid w:val="01E4CE21"/>
    <w:rsid w:val="01E4D01B"/>
    <w:rsid w:val="01E5055A"/>
    <w:rsid w:val="01E56272"/>
    <w:rsid w:val="01E63642"/>
    <w:rsid w:val="01E639F1"/>
    <w:rsid w:val="01E64C55"/>
    <w:rsid w:val="01E6CFB9"/>
    <w:rsid w:val="01E6DD61"/>
    <w:rsid w:val="01E7C330"/>
    <w:rsid w:val="01E7E339"/>
    <w:rsid w:val="01E7FA77"/>
    <w:rsid w:val="01E8DF45"/>
    <w:rsid w:val="01E92A12"/>
    <w:rsid w:val="01E96E31"/>
    <w:rsid w:val="01E989DB"/>
    <w:rsid w:val="01E99D45"/>
    <w:rsid w:val="01E9E453"/>
    <w:rsid w:val="01EA2CA6"/>
    <w:rsid w:val="01EAA49E"/>
    <w:rsid w:val="01EB032F"/>
    <w:rsid w:val="01EB67A7"/>
    <w:rsid w:val="01EBB533"/>
    <w:rsid w:val="01EBD242"/>
    <w:rsid w:val="01EE2FD3"/>
    <w:rsid w:val="01EE84DF"/>
    <w:rsid w:val="01EEBC95"/>
    <w:rsid w:val="01EF0B8B"/>
    <w:rsid w:val="01EF7A23"/>
    <w:rsid w:val="01EFAF97"/>
    <w:rsid w:val="01F05B02"/>
    <w:rsid w:val="01F0BDA9"/>
    <w:rsid w:val="01F0C3D4"/>
    <w:rsid w:val="01F157F2"/>
    <w:rsid w:val="01F159AB"/>
    <w:rsid w:val="01F22353"/>
    <w:rsid w:val="01F46470"/>
    <w:rsid w:val="01F5821A"/>
    <w:rsid w:val="01F5ACB9"/>
    <w:rsid w:val="01F5B11B"/>
    <w:rsid w:val="01F5F617"/>
    <w:rsid w:val="01F62419"/>
    <w:rsid w:val="01F688C3"/>
    <w:rsid w:val="01F69476"/>
    <w:rsid w:val="01F695CA"/>
    <w:rsid w:val="01F69B6D"/>
    <w:rsid w:val="01F79A1E"/>
    <w:rsid w:val="01F7CD1B"/>
    <w:rsid w:val="01F8A848"/>
    <w:rsid w:val="01F8C36A"/>
    <w:rsid w:val="01FA6AAE"/>
    <w:rsid w:val="01FBE391"/>
    <w:rsid w:val="01FD0A5D"/>
    <w:rsid w:val="01FD48AF"/>
    <w:rsid w:val="01FD6662"/>
    <w:rsid w:val="01FD7506"/>
    <w:rsid w:val="01FE48E6"/>
    <w:rsid w:val="01FEB50D"/>
    <w:rsid w:val="01FEEF22"/>
    <w:rsid w:val="01FF7201"/>
    <w:rsid w:val="02000E38"/>
    <w:rsid w:val="0200F8F0"/>
    <w:rsid w:val="02019342"/>
    <w:rsid w:val="0201BBD4"/>
    <w:rsid w:val="02024E99"/>
    <w:rsid w:val="020348B9"/>
    <w:rsid w:val="0204A58C"/>
    <w:rsid w:val="0204F9E0"/>
    <w:rsid w:val="020537A5"/>
    <w:rsid w:val="0205513C"/>
    <w:rsid w:val="0205B793"/>
    <w:rsid w:val="0205BBC4"/>
    <w:rsid w:val="02066467"/>
    <w:rsid w:val="020732AA"/>
    <w:rsid w:val="02076B66"/>
    <w:rsid w:val="0208E8AC"/>
    <w:rsid w:val="020906C9"/>
    <w:rsid w:val="02095D09"/>
    <w:rsid w:val="02098345"/>
    <w:rsid w:val="020A1934"/>
    <w:rsid w:val="020B27E0"/>
    <w:rsid w:val="020BEC0B"/>
    <w:rsid w:val="020CAB87"/>
    <w:rsid w:val="020E21CC"/>
    <w:rsid w:val="020E28D6"/>
    <w:rsid w:val="02104045"/>
    <w:rsid w:val="0210CE06"/>
    <w:rsid w:val="02114797"/>
    <w:rsid w:val="0211FC84"/>
    <w:rsid w:val="02124299"/>
    <w:rsid w:val="0212D53C"/>
    <w:rsid w:val="02134607"/>
    <w:rsid w:val="0213487A"/>
    <w:rsid w:val="0213942D"/>
    <w:rsid w:val="0213A1B6"/>
    <w:rsid w:val="0213F421"/>
    <w:rsid w:val="02143136"/>
    <w:rsid w:val="0214A950"/>
    <w:rsid w:val="021679BA"/>
    <w:rsid w:val="02167B70"/>
    <w:rsid w:val="0216C93E"/>
    <w:rsid w:val="0216DB09"/>
    <w:rsid w:val="0217E9B4"/>
    <w:rsid w:val="02180D47"/>
    <w:rsid w:val="0218B1AF"/>
    <w:rsid w:val="0218B6D8"/>
    <w:rsid w:val="0218E977"/>
    <w:rsid w:val="0218EDC2"/>
    <w:rsid w:val="0219353F"/>
    <w:rsid w:val="02193A4B"/>
    <w:rsid w:val="021AFD99"/>
    <w:rsid w:val="021B35B5"/>
    <w:rsid w:val="021BBE29"/>
    <w:rsid w:val="021BD7CB"/>
    <w:rsid w:val="021BFC25"/>
    <w:rsid w:val="021C9569"/>
    <w:rsid w:val="021D1555"/>
    <w:rsid w:val="021D8472"/>
    <w:rsid w:val="021DDF9E"/>
    <w:rsid w:val="021EA7E6"/>
    <w:rsid w:val="021EB3F8"/>
    <w:rsid w:val="021FD0BC"/>
    <w:rsid w:val="02203667"/>
    <w:rsid w:val="02206ECF"/>
    <w:rsid w:val="0220E58A"/>
    <w:rsid w:val="022105D8"/>
    <w:rsid w:val="0221B16E"/>
    <w:rsid w:val="0221B2E9"/>
    <w:rsid w:val="022237AB"/>
    <w:rsid w:val="02223CFA"/>
    <w:rsid w:val="0223D9A7"/>
    <w:rsid w:val="02249A7D"/>
    <w:rsid w:val="0225A0F7"/>
    <w:rsid w:val="0225EE2E"/>
    <w:rsid w:val="0226BDE6"/>
    <w:rsid w:val="02271C65"/>
    <w:rsid w:val="02277B82"/>
    <w:rsid w:val="0227A34D"/>
    <w:rsid w:val="0227B024"/>
    <w:rsid w:val="022821C7"/>
    <w:rsid w:val="0228592E"/>
    <w:rsid w:val="02286838"/>
    <w:rsid w:val="0229780D"/>
    <w:rsid w:val="022C5234"/>
    <w:rsid w:val="022C8278"/>
    <w:rsid w:val="022E4A90"/>
    <w:rsid w:val="023052EE"/>
    <w:rsid w:val="02305E4F"/>
    <w:rsid w:val="0231289E"/>
    <w:rsid w:val="023129E2"/>
    <w:rsid w:val="0232BD43"/>
    <w:rsid w:val="02331C64"/>
    <w:rsid w:val="02339EA2"/>
    <w:rsid w:val="0234612B"/>
    <w:rsid w:val="02347159"/>
    <w:rsid w:val="0234D4AA"/>
    <w:rsid w:val="0235BA7A"/>
    <w:rsid w:val="02365A15"/>
    <w:rsid w:val="0236EC9B"/>
    <w:rsid w:val="0236F6A1"/>
    <w:rsid w:val="02373675"/>
    <w:rsid w:val="02376FF8"/>
    <w:rsid w:val="023826F4"/>
    <w:rsid w:val="0238648B"/>
    <w:rsid w:val="02386AB8"/>
    <w:rsid w:val="0238990E"/>
    <w:rsid w:val="0239BB9D"/>
    <w:rsid w:val="023B3610"/>
    <w:rsid w:val="023B973F"/>
    <w:rsid w:val="023BD387"/>
    <w:rsid w:val="023C3F69"/>
    <w:rsid w:val="023CC8F5"/>
    <w:rsid w:val="023DB6C5"/>
    <w:rsid w:val="023DEB48"/>
    <w:rsid w:val="023ECD43"/>
    <w:rsid w:val="023F259B"/>
    <w:rsid w:val="023F510D"/>
    <w:rsid w:val="023FC3BA"/>
    <w:rsid w:val="023FCAEE"/>
    <w:rsid w:val="023FF53B"/>
    <w:rsid w:val="02408750"/>
    <w:rsid w:val="024107B1"/>
    <w:rsid w:val="02410EB8"/>
    <w:rsid w:val="02416DB4"/>
    <w:rsid w:val="024190F9"/>
    <w:rsid w:val="02437A00"/>
    <w:rsid w:val="0243C4D8"/>
    <w:rsid w:val="0245CFBC"/>
    <w:rsid w:val="024618B7"/>
    <w:rsid w:val="0246B19C"/>
    <w:rsid w:val="0246E314"/>
    <w:rsid w:val="024741D1"/>
    <w:rsid w:val="02479114"/>
    <w:rsid w:val="0247DB1E"/>
    <w:rsid w:val="024865F1"/>
    <w:rsid w:val="02486E0F"/>
    <w:rsid w:val="024907AE"/>
    <w:rsid w:val="02492E90"/>
    <w:rsid w:val="0249544F"/>
    <w:rsid w:val="024B2A07"/>
    <w:rsid w:val="024B39EC"/>
    <w:rsid w:val="024B97E4"/>
    <w:rsid w:val="024C57C1"/>
    <w:rsid w:val="024C9FAD"/>
    <w:rsid w:val="024CCA41"/>
    <w:rsid w:val="024D2810"/>
    <w:rsid w:val="024D651E"/>
    <w:rsid w:val="024DBEF7"/>
    <w:rsid w:val="024F4ECA"/>
    <w:rsid w:val="02502DF0"/>
    <w:rsid w:val="02505DE4"/>
    <w:rsid w:val="0250E09B"/>
    <w:rsid w:val="025192CB"/>
    <w:rsid w:val="0251D7DE"/>
    <w:rsid w:val="02524B46"/>
    <w:rsid w:val="0253B0FC"/>
    <w:rsid w:val="0253E9EE"/>
    <w:rsid w:val="0255E74D"/>
    <w:rsid w:val="0255F4BE"/>
    <w:rsid w:val="02562D06"/>
    <w:rsid w:val="0257B3D8"/>
    <w:rsid w:val="0257BB12"/>
    <w:rsid w:val="0257EA00"/>
    <w:rsid w:val="02593028"/>
    <w:rsid w:val="0259AF99"/>
    <w:rsid w:val="0259F13E"/>
    <w:rsid w:val="025A15F5"/>
    <w:rsid w:val="025A3568"/>
    <w:rsid w:val="025A6793"/>
    <w:rsid w:val="025B2700"/>
    <w:rsid w:val="025B45EE"/>
    <w:rsid w:val="025CECAF"/>
    <w:rsid w:val="025D99F6"/>
    <w:rsid w:val="025E95DA"/>
    <w:rsid w:val="025EC54F"/>
    <w:rsid w:val="025ED0F4"/>
    <w:rsid w:val="025F089F"/>
    <w:rsid w:val="025F3248"/>
    <w:rsid w:val="025F56E5"/>
    <w:rsid w:val="02615342"/>
    <w:rsid w:val="0262502B"/>
    <w:rsid w:val="0262DFBE"/>
    <w:rsid w:val="0263410D"/>
    <w:rsid w:val="02641E13"/>
    <w:rsid w:val="02656532"/>
    <w:rsid w:val="026598BB"/>
    <w:rsid w:val="0265A143"/>
    <w:rsid w:val="0265BB82"/>
    <w:rsid w:val="0266B026"/>
    <w:rsid w:val="02676159"/>
    <w:rsid w:val="02681CC4"/>
    <w:rsid w:val="0269378F"/>
    <w:rsid w:val="02694E07"/>
    <w:rsid w:val="0269EF32"/>
    <w:rsid w:val="0269F55D"/>
    <w:rsid w:val="0269FC42"/>
    <w:rsid w:val="026A31AD"/>
    <w:rsid w:val="026C1AA9"/>
    <w:rsid w:val="026C5249"/>
    <w:rsid w:val="026C62CA"/>
    <w:rsid w:val="026C7BCD"/>
    <w:rsid w:val="026D7002"/>
    <w:rsid w:val="026DDDEE"/>
    <w:rsid w:val="026FFC56"/>
    <w:rsid w:val="0271054F"/>
    <w:rsid w:val="0271BFDB"/>
    <w:rsid w:val="0272DD7C"/>
    <w:rsid w:val="02736AC7"/>
    <w:rsid w:val="0274647A"/>
    <w:rsid w:val="0274931B"/>
    <w:rsid w:val="02759742"/>
    <w:rsid w:val="0275D099"/>
    <w:rsid w:val="0275F39F"/>
    <w:rsid w:val="02762CDE"/>
    <w:rsid w:val="0276E7F4"/>
    <w:rsid w:val="027794BC"/>
    <w:rsid w:val="0277ECAD"/>
    <w:rsid w:val="02780ECB"/>
    <w:rsid w:val="02785D54"/>
    <w:rsid w:val="02786771"/>
    <w:rsid w:val="02787C00"/>
    <w:rsid w:val="02789A17"/>
    <w:rsid w:val="02789FB2"/>
    <w:rsid w:val="027A5194"/>
    <w:rsid w:val="027AACA6"/>
    <w:rsid w:val="027B670D"/>
    <w:rsid w:val="027CCBC7"/>
    <w:rsid w:val="027DDF3D"/>
    <w:rsid w:val="027E010B"/>
    <w:rsid w:val="027E1EA0"/>
    <w:rsid w:val="027E5971"/>
    <w:rsid w:val="027EE7B1"/>
    <w:rsid w:val="027F170C"/>
    <w:rsid w:val="027F4273"/>
    <w:rsid w:val="0280B8A6"/>
    <w:rsid w:val="0281E133"/>
    <w:rsid w:val="0283472D"/>
    <w:rsid w:val="0283D96A"/>
    <w:rsid w:val="02844415"/>
    <w:rsid w:val="02844995"/>
    <w:rsid w:val="02864735"/>
    <w:rsid w:val="0286E07A"/>
    <w:rsid w:val="0286E098"/>
    <w:rsid w:val="0287A206"/>
    <w:rsid w:val="02880531"/>
    <w:rsid w:val="02888B37"/>
    <w:rsid w:val="0288AD7E"/>
    <w:rsid w:val="0288B922"/>
    <w:rsid w:val="028A4CE7"/>
    <w:rsid w:val="028AA2B4"/>
    <w:rsid w:val="028B6E26"/>
    <w:rsid w:val="028BB5D1"/>
    <w:rsid w:val="028DAB53"/>
    <w:rsid w:val="028DD8B7"/>
    <w:rsid w:val="028E912A"/>
    <w:rsid w:val="028EF05E"/>
    <w:rsid w:val="028F8490"/>
    <w:rsid w:val="028FA990"/>
    <w:rsid w:val="028FF3B4"/>
    <w:rsid w:val="0290A644"/>
    <w:rsid w:val="02928B69"/>
    <w:rsid w:val="0292D82F"/>
    <w:rsid w:val="029370C1"/>
    <w:rsid w:val="0293C6A5"/>
    <w:rsid w:val="0294993A"/>
    <w:rsid w:val="02972396"/>
    <w:rsid w:val="02976B07"/>
    <w:rsid w:val="0297D242"/>
    <w:rsid w:val="0298915D"/>
    <w:rsid w:val="029925B4"/>
    <w:rsid w:val="0299405F"/>
    <w:rsid w:val="0299CB80"/>
    <w:rsid w:val="0299E6E0"/>
    <w:rsid w:val="029A1CAD"/>
    <w:rsid w:val="029A658A"/>
    <w:rsid w:val="029B26D0"/>
    <w:rsid w:val="029B2A90"/>
    <w:rsid w:val="029B7BC2"/>
    <w:rsid w:val="029B7D65"/>
    <w:rsid w:val="029BF90D"/>
    <w:rsid w:val="029C6558"/>
    <w:rsid w:val="029D90EE"/>
    <w:rsid w:val="029E01D1"/>
    <w:rsid w:val="029E08C4"/>
    <w:rsid w:val="029E4D8A"/>
    <w:rsid w:val="029EC935"/>
    <w:rsid w:val="029F714E"/>
    <w:rsid w:val="029F8D7D"/>
    <w:rsid w:val="029F942F"/>
    <w:rsid w:val="02A0C6F1"/>
    <w:rsid w:val="02A22B5D"/>
    <w:rsid w:val="02A2BF08"/>
    <w:rsid w:val="02A36F4B"/>
    <w:rsid w:val="02A3D92D"/>
    <w:rsid w:val="02A42293"/>
    <w:rsid w:val="02A46612"/>
    <w:rsid w:val="02A49549"/>
    <w:rsid w:val="02A522ED"/>
    <w:rsid w:val="02A554E3"/>
    <w:rsid w:val="02A64101"/>
    <w:rsid w:val="02A6E73C"/>
    <w:rsid w:val="02A751D8"/>
    <w:rsid w:val="02A813C8"/>
    <w:rsid w:val="02A95605"/>
    <w:rsid w:val="02AA911F"/>
    <w:rsid w:val="02AA99DC"/>
    <w:rsid w:val="02AAE6E6"/>
    <w:rsid w:val="02AAF3CC"/>
    <w:rsid w:val="02AAFDBC"/>
    <w:rsid w:val="02ABC67F"/>
    <w:rsid w:val="02ABEE80"/>
    <w:rsid w:val="02AC7FB7"/>
    <w:rsid w:val="02AC8158"/>
    <w:rsid w:val="02ACB0C9"/>
    <w:rsid w:val="02ACCDB1"/>
    <w:rsid w:val="02AD0DEE"/>
    <w:rsid w:val="02AF0BE8"/>
    <w:rsid w:val="02AF4E31"/>
    <w:rsid w:val="02AF9568"/>
    <w:rsid w:val="02AF9B21"/>
    <w:rsid w:val="02B0E752"/>
    <w:rsid w:val="02B141B0"/>
    <w:rsid w:val="02B16E8A"/>
    <w:rsid w:val="02B1AD55"/>
    <w:rsid w:val="02B1E108"/>
    <w:rsid w:val="02B1FB11"/>
    <w:rsid w:val="02B3B85D"/>
    <w:rsid w:val="02B566D9"/>
    <w:rsid w:val="02B582D1"/>
    <w:rsid w:val="02B6AAEB"/>
    <w:rsid w:val="02B6FE7F"/>
    <w:rsid w:val="02B730F8"/>
    <w:rsid w:val="02B756A8"/>
    <w:rsid w:val="02B7AC30"/>
    <w:rsid w:val="02B7E473"/>
    <w:rsid w:val="02B7EA5D"/>
    <w:rsid w:val="02B958FB"/>
    <w:rsid w:val="02B992B2"/>
    <w:rsid w:val="02B998B7"/>
    <w:rsid w:val="02B9BFC2"/>
    <w:rsid w:val="02BAC9E1"/>
    <w:rsid w:val="02BADDC2"/>
    <w:rsid w:val="02BB484F"/>
    <w:rsid w:val="02BBA311"/>
    <w:rsid w:val="02BBCF37"/>
    <w:rsid w:val="02BBF9DC"/>
    <w:rsid w:val="02BC9676"/>
    <w:rsid w:val="02BDCB65"/>
    <w:rsid w:val="02BDF4EF"/>
    <w:rsid w:val="02BE09D1"/>
    <w:rsid w:val="02BEA557"/>
    <w:rsid w:val="02BEBD7D"/>
    <w:rsid w:val="02BF0796"/>
    <w:rsid w:val="02BF9A24"/>
    <w:rsid w:val="02C0D5AF"/>
    <w:rsid w:val="02C117B1"/>
    <w:rsid w:val="02C1518D"/>
    <w:rsid w:val="02C1C01A"/>
    <w:rsid w:val="02C1CF9D"/>
    <w:rsid w:val="02C2D57F"/>
    <w:rsid w:val="02C32F26"/>
    <w:rsid w:val="02C380E3"/>
    <w:rsid w:val="02C44343"/>
    <w:rsid w:val="02C49944"/>
    <w:rsid w:val="02C4D905"/>
    <w:rsid w:val="02C51EFB"/>
    <w:rsid w:val="02C5C55F"/>
    <w:rsid w:val="02C68926"/>
    <w:rsid w:val="02C68963"/>
    <w:rsid w:val="02C6AF13"/>
    <w:rsid w:val="02C6FB1C"/>
    <w:rsid w:val="02C7D235"/>
    <w:rsid w:val="02C835A4"/>
    <w:rsid w:val="02C84F8F"/>
    <w:rsid w:val="02C8D606"/>
    <w:rsid w:val="02C92407"/>
    <w:rsid w:val="02C9A79B"/>
    <w:rsid w:val="02C9AB01"/>
    <w:rsid w:val="02C9AECC"/>
    <w:rsid w:val="02C9D892"/>
    <w:rsid w:val="02C9E827"/>
    <w:rsid w:val="02CA372B"/>
    <w:rsid w:val="02CAE2F0"/>
    <w:rsid w:val="02CB28E5"/>
    <w:rsid w:val="02CC345D"/>
    <w:rsid w:val="02CCB263"/>
    <w:rsid w:val="02CD9686"/>
    <w:rsid w:val="02CDFA49"/>
    <w:rsid w:val="02CE3387"/>
    <w:rsid w:val="02CE85EF"/>
    <w:rsid w:val="02CEEF8F"/>
    <w:rsid w:val="02CFCF1D"/>
    <w:rsid w:val="02CFD75C"/>
    <w:rsid w:val="02CFF3BD"/>
    <w:rsid w:val="02D082E4"/>
    <w:rsid w:val="02D0B252"/>
    <w:rsid w:val="02D19642"/>
    <w:rsid w:val="02D1C80C"/>
    <w:rsid w:val="02D2D249"/>
    <w:rsid w:val="02D344DC"/>
    <w:rsid w:val="02D3508B"/>
    <w:rsid w:val="02D466DF"/>
    <w:rsid w:val="02D5549F"/>
    <w:rsid w:val="02D5E117"/>
    <w:rsid w:val="02D5E493"/>
    <w:rsid w:val="02D6310C"/>
    <w:rsid w:val="02D6C429"/>
    <w:rsid w:val="02D6F704"/>
    <w:rsid w:val="02D7202F"/>
    <w:rsid w:val="02D788DA"/>
    <w:rsid w:val="02D99F82"/>
    <w:rsid w:val="02D9E7ED"/>
    <w:rsid w:val="02DAC695"/>
    <w:rsid w:val="02DC4EA8"/>
    <w:rsid w:val="02DC9D3C"/>
    <w:rsid w:val="02DD6430"/>
    <w:rsid w:val="02DDAE72"/>
    <w:rsid w:val="02DEA169"/>
    <w:rsid w:val="02DEBFFF"/>
    <w:rsid w:val="02DFE840"/>
    <w:rsid w:val="02E0D3B6"/>
    <w:rsid w:val="02E202E8"/>
    <w:rsid w:val="02E27BA9"/>
    <w:rsid w:val="02E3CB6C"/>
    <w:rsid w:val="02E4F337"/>
    <w:rsid w:val="02E5DC9D"/>
    <w:rsid w:val="02E5E974"/>
    <w:rsid w:val="02E7118D"/>
    <w:rsid w:val="02E7A910"/>
    <w:rsid w:val="02E7C953"/>
    <w:rsid w:val="02E81A6B"/>
    <w:rsid w:val="02E835CA"/>
    <w:rsid w:val="02E8612E"/>
    <w:rsid w:val="02E8EAE8"/>
    <w:rsid w:val="02E8FFCA"/>
    <w:rsid w:val="02E942B6"/>
    <w:rsid w:val="02E948A6"/>
    <w:rsid w:val="02EA2992"/>
    <w:rsid w:val="02EA54F4"/>
    <w:rsid w:val="02EAC29F"/>
    <w:rsid w:val="02EB0045"/>
    <w:rsid w:val="02EBAB0F"/>
    <w:rsid w:val="02EBF1A5"/>
    <w:rsid w:val="02EBF22E"/>
    <w:rsid w:val="02EC36A3"/>
    <w:rsid w:val="02ECCC56"/>
    <w:rsid w:val="02ED8A8F"/>
    <w:rsid w:val="02EE1BED"/>
    <w:rsid w:val="02EE91AD"/>
    <w:rsid w:val="02EECDA1"/>
    <w:rsid w:val="02EF5FCD"/>
    <w:rsid w:val="02F0A2C1"/>
    <w:rsid w:val="02F0A748"/>
    <w:rsid w:val="02F18CEF"/>
    <w:rsid w:val="02F2F955"/>
    <w:rsid w:val="02F368EF"/>
    <w:rsid w:val="02F37BAA"/>
    <w:rsid w:val="02F4D17A"/>
    <w:rsid w:val="02F500C3"/>
    <w:rsid w:val="02F63515"/>
    <w:rsid w:val="02F6FBE3"/>
    <w:rsid w:val="02F82926"/>
    <w:rsid w:val="02F9157C"/>
    <w:rsid w:val="02FA5104"/>
    <w:rsid w:val="02FD332E"/>
    <w:rsid w:val="02FDF3D5"/>
    <w:rsid w:val="02FE191F"/>
    <w:rsid w:val="02FE9B95"/>
    <w:rsid w:val="02FED505"/>
    <w:rsid w:val="02FFBFD8"/>
    <w:rsid w:val="03012F9C"/>
    <w:rsid w:val="0301CA75"/>
    <w:rsid w:val="030247C5"/>
    <w:rsid w:val="0302FBDC"/>
    <w:rsid w:val="03036271"/>
    <w:rsid w:val="030453F4"/>
    <w:rsid w:val="03046B4D"/>
    <w:rsid w:val="03048EC8"/>
    <w:rsid w:val="03051B42"/>
    <w:rsid w:val="0305C801"/>
    <w:rsid w:val="030732B5"/>
    <w:rsid w:val="0307F0FB"/>
    <w:rsid w:val="0307FD23"/>
    <w:rsid w:val="03087F50"/>
    <w:rsid w:val="030976A9"/>
    <w:rsid w:val="030A8623"/>
    <w:rsid w:val="030AE080"/>
    <w:rsid w:val="030B1A81"/>
    <w:rsid w:val="030B28E3"/>
    <w:rsid w:val="030B4F90"/>
    <w:rsid w:val="030CB7FC"/>
    <w:rsid w:val="030CB884"/>
    <w:rsid w:val="030CED9F"/>
    <w:rsid w:val="030D0CBC"/>
    <w:rsid w:val="030ED401"/>
    <w:rsid w:val="03103021"/>
    <w:rsid w:val="03103887"/>
    <w:rsid w:val="0310BE5E"/>
    <w:rsid w:val="03110FFF"/>
    <w:rsid w:val="0311798D"/>
    <w:rsid w:val="031229DF"/>
    <w:rsid w:val="03128390"/>
    <w:rsid w:val="03134363"/>
    <w:rsid w:val="03135A8C"/>
    <w:rsid w:val="03141270"/>
    <w:rsid w:val="031497E1"/>
    <w:rsid w:val="03154DB0"/>
    <w:rsid w:val="0315B8F6"/>
    <w:rsid w:val="03160AC8"/>
    <w:rsid w:val="03162770"/>
    <w:rsid w:val="03178F1B"/>
    <w:rsid w:val="03183F23"/>
    <w:rsid w:val="03187C8C"/>
    <w:rsid w:val="03192D84"/>
    <w:rsid w:val="031986C1"/>
    <w:rsid w:val="0319D0C1"/>
    <w:rsid w:val="031AA64C"/>
    <w:rsid w:val="031ACDB5"/>
    <w:rsid w:val="031B8085"/>
    <w:rsid w:val="031B8C09"/>
    <w:rsid w:val="031BC47D"/>
    <w:rsid w:val="031C00B7"/>
    <w:rsid w:val="031CA893"/>
    <w:rsid w:val="031CC3BD"/>
    <w:rsid w:val="031CDA20"/>
    <w:rsid w:val="031D45E7"/>
    <w:rsid w:val="031DDDA1"/>
    <w:rsid w:val="031F3AC0"/>
    <w:rsid w:val="031F4392"/>
    <w:rsid w:val="031F5C19"/>
    <w:rsid w:val="031FA670"/>
    <w:rsid w:val="031FBFCC"/>
    <w:rsid w:val="03201B8B"/>
    <w:rsid w:val="03204892"/>
    <w:rsid w:val="03207D8F"/>
    <w:rsid w:val="0320BE25"/>
    <w:rsid w:val="0320D7B3"/>
    <w:rsid w:val="03212E1C"/>
    <w:rsid w:val="03214AB6"/>
    <w:rsid w:val="0321CED1"/>
    <w:rsid w:val="0322F40D"/>
    <w:rsid w:val="03245031"/>
    <w:rsid w:val="03245AC6"/>
    <w:rsid w:val="03246C34"/>
    <w:rsid w:val="0324AA40"/>
    <w:rsid w:val="0324F664"/>
    <w:rsid w:val="03256151"/>
    <w:rsid w:val="0325CDC5"/>
    <w:rsid w:val="0325CE32"/>
    <w:rsid w:val="03260636"/>
    <w:rsid w:val="03261B52"/>
    <w:rsid w:val="03264FC8"/>
    <w:rsid w:val="03266305"/>
    <w:rsid w:val="03273433"/>
    <w:rsid w:val="0327C494"/>
    <w:rsid w:val="0328BFEA"/>
    <w:rsid w:val="03297B23"/>
    <w:rsid w:val="03298E0A"/>
    <w:rsid w:val="0329E401"/>
    <w:rsid w:val="032A38E1"/>
    <w:rsid w:val="032AFE55"/>
    <w:rsid w:val="032B4023"/>
    <w:rsid w:val="032B99F5"/>
    <w:rsid w:val="032C17BE"/>
    <w:rsid w:val="032C9617"/>
    <w:rsid w:val="032D27A7"/>
    <w:rsid w:val="032DC44F"/>
    <w:rsid w:val="032E24FA"/>
    <w:rsid w:val="032E3F19"/>
    <w:rsid w:val="032E94F9"/>
    <w:rsid w:val="032EB94C"/>
    <w:rsid w:val="03300EF7"/>
    <w:rsid w:val="03301451"/>
    <w:rsid w:val="03303143"/>
    <w:rsid w:val="03316711"/>
    <w:rsid w:val="03316E9A"/>
    <w:rsid w:val="03317BF3"/>
    <w:rsid w:val="0331998F"/>
    <w:rsid w:val="0332A738"/>
    <w:rsid w:val="0332C533"/>
    <w:rsid w:val="03331178"/>
    <w:rsid w:val="033587AE"/>
    <w:rsid w:val="0335B483"/>
    <w:rsid w:val="03368156"/>
    <w:rsid w:val="033758CB"/>
    <w:rsid w:val="0337E25A"/>
    <w:rsid w:val="033825AD"/>
    <w:rsid w:val="033909F4"/>
    <w:rsid w:val="0339CC23"/>
    <w:rsid w:val="0339F198"/>
    <w:rsid w:val="033A3F21"/>
    <w:rsid w:val="033A80C8"/>
    <w:rsid w:val="033AD43C"/>
    <w:rsid w:val="033BC0FB"/>
    <w:rsid w:val="033EF81B"/>
    <w:rsid w:val="033EFA63"/>
    <w:rsid w:val="033F0E10"/>
    <w:rsid w:val="033F71C1"/>
    <w:rsid w:val="033FB106"/>
    <w:rsid w:val="0340402A"/>
    <w:rsid w:val="0341103E"/>
    <w:rsid w:val="0341B4BE"/>
    <w:rsid w:val="0341ECA3"/>
    <w:rsid w:val="0342D404"/>
    <w:rsid w:val="0342E817"/>
    <w:rsid w:val="0342ED7E"/>
    <w:rsid w:val="034310F1"/>
    <w:rsid w:val="03435305"/>
    <w:rsid w:val="0343F14D"/>
    <w:rsid w:val="03445B4E"/>
    <w:rsid w:val="034470AA"/>
    <w:rsid w:val="034609D7"/>
    <w:rsid w:val="0346D8DE"/>
    <w:rsid w:val="03487715"/>
    <w:rsid w:val="03489885"/>
    <w:rsid w:val="03489DCD"/>
    <w:rsid w:val="0348CF70"/>
    <w:rsid w:val="03491C2E"/>
    <w:rsid w:val="03493C8E"/>
    <w:rsid w:val="03495524"/>
    <w:rsid w:val="034A578C"/>
    <w:rsid w:val="034A5B1E"/>
    <w:rsid w:val="034A5C90"/>
    <w:rsid w:val="034A6D00"/>
    <w:rsid w:val="034ACF44"/>
    <w:rsid w:val="034B5AF7"/>
    <w:rsid w:val="034DF9E0"/>
    <w:rsid w:val="034FF0A0"/>
    <w:rsid w:val="035025B6"/>
    <w:rsid w:val="0351C091"/>
    <w:rsid w:val="0352BC21"/>
    <w:rsid w:val="03533136"/>
    <w:rsid w:val="035356D8"/>
    <w:rsid w:val="0353AFE3"/>
    <w:rsid w:val="035401FB"/>
    <w:rsid w:val="03549F9D"/>
    <w:rsid w:val="03559A2E"/>
    <w:rsid w:val="0355F759"/>
    <w:rsid w:val="03571844"/>
    <w:rsid w:val="0357313D"/>
    <w:rsid w:val="0357EF40"/>
    <w:rsid w:val="03592CB1"/>
    <w:rsid w:val="03595B08"/>
    <w:rsid w:val="03596778"/>
    <w:rsid w:val="035A6F6B"/>
    <w:rsid w:val="035A86AD"/>
    <w:rsid w:val="035ADBE4"/>
    <w:rsid w:val="035BDA79"/>
    <w:rsid w:val="035C5529"/>
    <w:rsid w:val="035C64A4"/>
    <w:rsid w:val="035CE0AB"/>
    <w:rsid w:val="035CF299"/>
    <w:rsid w:val="035D5BE9"/>
    <w:rsid w:val="035DF450"/>
    <w:rsid w:val="035DFD0F"/>
    <w:rsid w:val="035E0B5C"/>
    <w:rsid w:val="035EF3D0"/>
    <w:rsid w:val="035F0C81"/>
    <w:rsid w:val="035F9D3B"/>
    <w:rsid w:val="035FDB97"/>
    <w:rsid w:val="0360A08D"/>
    <w:rsid w:val="0361B9D0"/>
    <w:rsid w:val="0361E9CB"/>
    <w:rsid w:val="03625C5E"/>
    <w:rsid w:val="0363F72C"/>
    <w:rsid w:val="03641C87"/>
    <w:rsid w:val="03644332"/>
    <w:rsid w:val="03645B68"/>
    <w:rsid w:val="03645DB0"/>
    <w:rsid w:val="0364E000"/>
    <w:rsid w:val="03661FDF"/>
    <w:rsid w:val="036660CD"/>
    <w:rsid w:val="03668CD3"/>
    <w:rsid w:val="0366FB04"/>
    <w:rsid w:val="03671659"/>
    <w:rsid w:val="036805D0"/>
    <w:rsid w:val="03682006"/>
    <w:rsid w:val="036838BA"/>
    <w:rsid w:val="03685AF3"/>
    <w:rsid w:val="03688F17"/>
    <w:rsid w:val="036939C0"/>
    <w:rsid w:val="036A282A"/>
    <w:rsid w:val="036B1C59"/>
    <w:rsid w:val="036B3107"/>
    <w:rsid w:val="036B4BB2"/>
    <w:rsid w:val="036BE498"/>
    <w:rsid w:val="036BFF2B"/>
    <w:rsid w:val="036D986F"/>
    <w:rsid w:val="036E91A5"/>
    <w:rsid w:val="036EF7E0"/>
    <w:rsid w:val="03707D01"/>
    <w:rsid w:val="0370D290"/>
    <w:rsid w:val="0370EF1A"/>
    <w:rsid w:val="0372884F"/>
    <w:rsid w:val="0372BC64"/>
    <w:rsid w:val="0372C8D6"/>
    <w:rsid w:val="03734891"/>
    <w:rsid w:val="0373F6D3"/>
    <w:rsid w:val="0373FA54"/>
    <w:rsid w:val="037457E0"/>
    <w:rsid w:val="037496B8"/>
    <w:rsid w:val="0374C149"/>
    <w:rsid w:val="0375D040"/>
    <w:rsid w:val="0375E242"/>
    <w:rsid w:val="0375FF1C"/>
    <w:rsid w:val="03763693"/>
    <w:rsid w:val="0376B479"/>
    <w:rsid w:val="0376E6F0"/>
    <w:rsid w:val="03784095"/>
    <w:rsid w:val="0378A39C"/>
    <w:rsid w:val="037952F4"/>
    <w:rsid w:val="03798978"/>
    <w:rsid w:val="037A2977"/>
    <w:rsid w:val="037A9D9D"/>
    <w:rsid w:val="037AEC62"/>
    <w:rsid w:val="037B8B22"/>
    <w:rsid w:val="037CE43F"/>
    <w:rsid w:val="037CF6F6"/>
    <w:rsid w:val="037D2C2C"/>
    <w:rsid w:val="037E463E"/>
    <w:rsid w:val="037E7ACC"/>
    <w:rsid w:val="037EB6B6"/>
    <w:rsid w:val="037F7CCC"/>
    <w:rsid w:val="03800E06"/>
    <w:rsid w:val="0380B35C"/>
    <w:rsid w:val="03812645"/>
    <w:rsid w:val="03814F96"/>
    <w:rsid w:val="0382AB64"/>
    <w:rsid w:val="0382CA94"/>
    <w:rsid w:val="0383A458"/>
    <w:rsid w:val="03842875"/>
    <w:rsid w:val="0384A97A"/>
    <w:rsid w:val="038503E9"/>
    <w:rsid w:val="03850BCD"/>
    <w:rsid w:val="03854784"/>
    <w:rsid w:val="03856224"/>
    <w:rsid w:val="03857012"/>
    <w:rsid w:val="0385DD5D"/>
    <w:rsid w:val="0385DF08"/>
    <w:rsid w:val="03866B8E"/>
    <w:rsid w:val="03868266"/>
    <w:rsid w:val="0386C13D"/>
    <w:rsid w:val="03870957"/>
    <w:rsid w:val="0387A15E"/>
    <w:rsid w:val="03885B27"/>
    <w:rsid w:val="038880B5"/>
    <w:rsid w:val="038956F4"/>
    <w:rsid w:val="03899988"/>
    <w:rsid w:val="0389DE31"/>
    <w:rsid w:val="038A434E"/>
    <w:rsid w:val="038AC881"/>
    <w:rsid w:val="038ADB13"/>
    <w:rsid w:val="038AE81D"/>
    <w:rsid w:val="038C04C1"/>
    <w:rsid w:val="038C6665"/>
    <w:rsid w:val="038D6ADC"/>
    <w:rsid w:val="038D73B5"/>
    <w:rsid w:val="038E0836"/>
    <w:rsid w:val="038E2002"/>
    <w:rsid w:val="038EB997"/>
    <w:rsid w:val="038EDCF7"/>
    <w:rsid w:val="038F4FF9"/>
    <w:rsid w:val="038F5F8F"/>
    <w:rsid w:val="038F6B46"/>
    <w:rsid w:val="038F85B5"/>
    <w:rsid w:val="038FA7D8"/>
    <w:rsid w:val="038FC61C"/>
    <w:rsid w:val="039085F3"/>
    <w:rsid w:val="0390A64A"/>
    <w:rsid w:val="0390CF71"/>
    <w:rsid w:val="0390F5CF"/>
    <w:rsid w:val="0391BA80"/>
    <w:rsid w:val="039385B1"/>
    <w:rsid w:val="0393D9F6"/>
    <w:rsid w:val="0394058E"/>
    <w:rsid w:val="03960019"/>
    <w:rsid w:val="03965605"/>
    <w:rsid w:val="0396CE91"/>
    <w:rsid w:val="03970097"/>
    <w:rsid w:val="039779B9"/>
    <w:rsid w:val="0397A5A8"/>
    <w:rsid w:val="0397EF47"/>
    <w:rsid w:val="039884B8"/>
    <w:rsid w:val="03989212"/>
    <w:rsid w:val="039A292D"/>
    <w:rsid w:val="039ABD12"/>
    <w:rsid w:val="039B97C7"/>
    <w:rsid w:val="039BF932"/>
    <w:rsid w:val="039C0C2A"/>
    <w:rsid w:val="039C462E"/>
    <w:rsid w:val="039CBE8C"/>
    <w:rsid w:val="039CE9B5"/>
    <w:rsid w:val="039D012B"/>
    <w:rsid w:val="039E28E5"/>
    <w:rsid w:val="039E5C46"/>
    <w:rsid w:val="039EFC0A"/>
    <w:rsid w:val="039FA73A"/>
    <w:rsid w:val="039FF47A"/>
    <w:rsid w:val="03A0288B"/>
    <w:rsid w:val="03A106CC"/>
    <w:rsid w:val="03A1638D"/>
    <w:rsid w:val="03A1B54C"/>
    <w:rsid w:val="03A1E54D"/>
    <w:rsid w:val="03A26C23"/>
    <w:rsid w:val="03A2DDD6"/>
    <w:rsid w:val="03A2F704"/>
    <w:rsid w:val="03A36657"/>
    <w:rsid w:val="03A39174"/>
    <w:rsid w:val="03A3A011"/>
    <w:rsid w:val="03A3C841"/>
    <w:rsid w:val="03A44F72"/>
    <w:rsid w:val="03A58DAE"/>
    <w:rsid w:val="03A7623D"/>
    <w:rsid w:val="03A79B10"/>
    <w:rsid w:val="03A8E18D"/>
    <w:rsid w:val="03A8E372"/>
    <w:rsid w:val="03A8E9B1"/>
    <w:rsid w:val="03AA6EB9"/>
    <w:rsid w:val="03AB2114"/>
    <w:rsid w:val="03AB55F8"/>
    <w:rsid w:val="03AC03F5"/>
    <w:rsid w:val="03AC2047"/>
    <w:rsid w:val="03ACC656"/>
    <w:rsid w:val="03ACFB96"/>
    <w:rsid w:val="03AD2354"/>
    <w:rsid w:val="03AD75D4"/>
    <w:rsid w:val="03AD878C"/>
    <w:rsid w:val="03AE4663"/>
    <w:rsid w:val="03AEE44C"/>
    <w:rsid w:val="03AF1A81"/>
    <w:rsid w:val="03AF880E"/>
    <w:rsid w:val="03B0390C"/>
    <w:rsid w:val="03B043DD"/>
    <w:rsid w:val="03B0522D"/>
    <w:rsid w:val="03B1BA2A"/>
    <w:rsid w:val="03B21732"/>
    <w:rsid w:val="03B29784"/>
    <w:rsid w:val="03B2DEE6"/>
    <w:rsid w:val="03B3E2A9"/>
    <w:rsid w:val="03B4106F"/>
    <w:rsid w:val="03B454EC"/>
    <w:rsid w:val="03B45CE8"/>
    <w:rsid w:val="03B5AB56"/>
    <w:rsid w:val="03B5E1BF"/>
    <w:rsid w:val="03B6085F"/>
    <w:rsid w:val="03B66D53"/>
    <w:rsid w:val="03B6FB4E"/>
    <w:rsid w:val="03B7691F"/>
    <w:rsid w:val="03B7F756"/>
    <w:rsid w:val="03B821F5"/>
    <w:rsid w:val="03B87E2F"/>
    <w:rsid w:val="03B8DEE5"/>
    <w:rsid w:val="03B91012"/>
    <w:rsid w:val="03B95BE2"/>
    <w:rsid w:val="03B9994C"/>
    <w:rsid w:val="03BA2EC0"/>
    <w:rsid w:val="03BAE2CC"/>
    <w:rsid w:val="03BB0D4E"/>
    <w:rsid w:val="03BB1A27"/>
    <w:rsid w:val="03BB41A8"/>
    <w:rsid w:val="03BBE0AF"/>
    <w:rsid w:val="03BDE87A"/>
    <w:rsid w:val="03BE2065"/>
    <w:rsid w:val="03BE2C7A"/>
    <w:rsid w:val="03BEC716"/>
    <w:rsid w:val="03BECF53"/>
    <w:rsid w:val="03BED28C"/>
    <w:rsid w:val="03C16BDC"/>
    <w:rsid w:val="03C2298A"/>
    <w:rsid w:val="03C35DFC"/>
    <w:rsid w:val="03C36DC2"/>
    <w:rsid w:val="03C382EE"/>
    <w:rsid w:val="03C3F493"/>
    <w:rsid w:val="03C41520"/>
    <w:rsid w:val="03C43503"/>
    <w:rsid w:val="03C4546F"/>
    <w:rsid w:val="03C46A07"/>
    <w:rsid w:val="03C48258"/>
    <w:rsid w:val="03C4BAAE"/>
    <w:rsid w:val="03C52872"/>
    <w:rsid w:val="03C5577F"/>
    <w:rsid w:val="03C5C216"/>
    <w:rsid w:val="03C5E2A5"/>
    <w:rsid w:val="03C5EAAF"/>
    <w:rsid w:val="03C6A186"/>
    <w:rsid w:val="03C7E400"/>
    <w:rsid w:val="03C870B4"/>
    <w:rsid w:val="03C8E842"/>
    <w:rsid w:val="03C9D273"/>
    <w:rsid w:val="03CB6AAD"/>
    <w:rsid w:val="03CB732A"/>
    <w:rsid w:val="03CC8B94"/>
    <w:rsid w:val="03CCF559"/>
    <w:rsid w:val="03CDA401"/>
    <w:rsid w:val="03CF11B7"/>
    <w:rsid w:val="03D125F9"/>
    <w:rsid w:val="03D19976"/>
    <w:rsid w:val="03D1F9D3"/>
    <w:rsid w:val="03D27211"/>
    <w:rsid w:val="03D380E7"/>
    <w:rsid w:val="03D413E6"/>
    <w:rsid w:val="03D4D4E1"/>
    <w:rsid w:val="03D4FCA0"/>
    <w:rsid w:val="03D5D5F9"/>
    <w:rsid w:val="03D62AE6"/>
    <w:rsid w:val="03D7A70B"/>
    <w:rsid w:val="03D92CB6"/>
    <w:rsid w:val="03D98309"/>
    <w:rsid w:val="03D9A6FA"/>
    <w:rsid w:val="03D9B6FD"/>
    <w:rsid w:val="03DA5F2D"/>
    <w:rsid w:val="03DA7BAF"/>
    <w:rsid w:val="03DAB84A"/>
    <w:rsid w:val="03DACFDF"/>
    <w:rsid w:val="03DB363B"/>
    <w:rsid w:val="03DBB9E3"/>
    <w:rsid w:val="03DBD50D"/>
    <w:rsid w:val="03DC2FA4"/>
    <w:rsid w:val="03DC71C4"/>
    <w:rsid w:val="03DCD82D"/>
    <w:rsid w:val="03DCE6C3"/>
    <w:rsid w:val="03DD4A68"/>
    <w:rsid w:val="03DD724D"/>
    <w:rsid w:val="03DD82A8"/>
    <w:rsid w:val="03DE6100"/>
    <w:rsid w:val="03DE82C9"/>
    <w:rsid w:val="03DF8073"/>
    <w:rsid w:val="03E06D7E"/>
    <w:rsid w:val="03E12374"/>
    <w:rsid w:val="03E147DF"/>
    <w:rsid w:val="03E17942"/>
    <w:rsid w:val="03E1FF61"/>
    <w:rsid w:val="03E25C8D"/>
    <w:rsid w:val="03E2ED89"/>
    <w:rsid w:val="03E42984"/>
    <w:rsid w:val="03E53ABB"/>
    <w:rsid w:val="03E5788B"/>
    <w:rsid w:val="03E5F7C0"/>
    <w:rsid w:val="03E80280"/>
    <w:rsid w:val="03E89102"/>
    <w:rsid w:val="03E8A47D"/>
    <w:rsid w:val="03E8C46D"/>
    <w:rsid w:val="03E8C4D1"/>
    <w:rsid w:val="03E92D68"/>
    <w:rsid w:val="03E9BC78"/>
    <w:rsid w:val="03EA55FD"/>
    <w:rsid w:val="03EACBA0"/>
    <w:rsid w:val="03EB34EF"/>
    <w:rsid w:val="03EB35F8"/>
    <w:rsid w:val="03EB7B2E"/>
    <w:rsid w:val="03EB80FB"/>
    <w:rsid w:val="03EDAE93"/>
    <w:rsid w:val="03EE68A0"/>
    <w:rsid w:val="03EED23B"/>
    <w:rsid w:val="03F032DF"/>
    <w:rsid w:val="03F04A74"/>
    <w:rsid w:val="03F14059"/>
    <w:rsid w:val="03F253B2"/>
    <w:rsid w:val="03F26704"/>
    <w:rsid w:val="03F29BA9"/>
    <w:rsid w:val="03F2D813"/>
    <w:rsid w:val="03F2E1F8"/>
    <w:rsid w:val="03F2E45B"/>
    <w:rsid w:val="03F2E8E6"/>
    <w:rsid w:val="03F3A439"/>
    <w:rsid w:val="03F3CFF9"/>
    <w:rsid w:val="03F3DF38"/>
    <w:rsid w:val="03F432A8"/>
    <w:rsid w:val="03F516A7"/>
    <w:rsid w:val="03F564B9"/>
    <w:rsid w:val="03F593DA"/>
    <w:rsid w:val="03F620F5"/>
    <w:rsid w:val="03F65D05"/>
    <w:rsid w:val="03F6936A"/>
    <w:rsid w:val="03F6FC1C"/>
    <w:rsid w:val="03F6FC40"/>
    <w:rsid w:val="03F90277"/>
    <w:rsid w:val="03F93802"/>
    <w:rsid w:val="03F9D05B"/>
    <w:rsid w:val="03FA01C5"/>
    <w:rsid w:val="03FA6FF0"/>
    <w:rsid w:val="03FB6F57"/>
    <w:rsid w:val="03FC49F4"/>
    <w:rsid w:val="03FCD90D"/>
    <w:rsid w:val="03FE0B2F"/>
    <w:rsid w:val="03FE8B2B"/>
    <w:rsid w:val="03FF1261"/>
    <w:rsid w:val="03FF18B9"/>
    <w:rsid w:val="03FF37FB"/>
    <w:rsid w:val="03FF73DB"/>
    <w:rsid w:val="03FFCCA1"/>
    <w:rsid w:val="0400EB89"/>
    <w:rsid w:val="04029B7A"/>
    <w:rsid w:val="04029E74"/>
    <w:rsid w:val="0402F9ED"/>
    <w:rsid w:val="0403BFCE"/>
    <w:rsid w:val="0403D8A0"/>
    <w:rsid w:val="0403E267"/>
    <w:rsid w:val="0405512A"/>
    <w:rsid w:val="0405ADDF"/>
    <w:rsid w:val="0405F756"/>
    <w:rsid w:val="0406AA49"/>
    <w:rsid w:val="0406FDB3"/>
    <w:rsid w:val="04076C62"/>
    <w:rsid w:val="0407C186"/>
    <w:rsid w:val="04085BC1"/>
    <w:rsid w:val="0408676B"/>
    <w:rsid w:val="0408A672"/>
    <w:rsid w:val="0408EC57"/>
    <w:rsid w:val="040A4E9B"/>
    <w:rsid w:val="040A9B34"/>
    <w:rsid w:val="040ADD89"/>
    <w:rsid w:val="040B86C8"/>
    <w:rsid w:val="040C3671"/>
    <w:rsid w:val="040D6F41"/>
    <w:rsid w:val="040E0F99"/>
    <w:rsid w:val="040EA876"/>
    <w:rsid w:val="040EB976"/>
    <w:rsid w:val="040EE5E9"/>
    <w:rsid w:val="040EF8F1"/>
    <w:rsid w:val="040F3C62"/>
    <w:rsid w:val="0411792D"/>
    <w:rsid w:val="041182AE"/>
    <w:rsid w:val="0411C53F"/>
    <w:rsid w:val="04121445"/>
    <w:rsid w:val="0412148F"/>
    <w:rsid w:val="0412B925"/>
    <w:rsid w:val="0412CC89"/>
    <w:rsid w:val="0413ECD6"/>
    <w:rsid w:val="041404E8"/>
    <w:rsid w:val="041421A3"/>
    <w:rsid w:val="04158A50"/>
    <w:rsid w:val="041754B7"/>
    <w:rsid w:val="04178F16"/>
    <w:rsid w:val="041809F0"/>
    <w:rsid w:val="041924A3"/>
    <w:rsid w:val="0419E7F1"/>
    <w:rsid w:val="041A1DCF"/>
    <w:rsid w:val="041A2D4C"/>
    <w:rsid w:val="041A842A"/>
    <w:rsid w:val="041B1A0F"/>
    <w:rsid w:val="041BECFD"/>
    <w:rsid w:val="041DBD26"/>
    <w:rsid w:val="041DF764"/>
    <w:rsid w:val="041DF7F0"/>
    <w:rsid w:val="041E88EE"/>
    <w:rsid w:val="041EE362"/>
    <w:rsid w:val="041FC964"/>
    <w:rsid w:val="041FD77C"/>
    <w:rsid w:val="04206E69"/>
    <w:rsid w:val="04214290"/>
    <w:rsid w:val="04219C06"/>
    <w:rsid w:val="0421C5C1"/>
    <w:rsid w:val="0421CF25"/>
    <w:rsid w:val="04227AC2"/>
    <w:rsid w:val="042377CA"/>
    <w:rsid w:val="0423D789"/>
    <w:rsid w:val="042411CC"/>
    <w:rsid w:val="0424F4B2"/>
    <w:rsid w:val="04250E16"/>
    <w:rsid w:val="042562DF"/>
    <w:rsid w:val="0425785B"/>
    <w:rsid w:val="04257E13"/>
    <w:rsid w:val="0425D07D"/>
    <w:rsid w:val="0426BD6D"/>
    <w:rsid w:val="04275462"/>
    <w:rsid w:val="04289A49"/>
    <w:rsid w:val="0428BCDC"/>
    <w:rsid w:val="0428D73E"/>
    <w:rsid w:val="0428E4BA"/>
    <w:rsid w:val="04293354"/>
    <w:rsid w:val="04299640"/>
    <w:rsid w:val="0429F039"/>
    <w:rsid w:val="042A4027"/>
    <w:rsid w:val="042A665B"/>
    <w:rsid w:val="042B2B2E"/>
    <w:rsid w:val="042B6BEC"/>
    <w:rsid w:val="042BB42E"/>
    <w:rsid w:val="042C215A"/>
    <w:rsid w:val="042C9D3C"/>
    <w:rsid w:val="042EB7CA"/>
    <w:rsid w:val="042F443F"/>
    <w:rsid w:val="04300B01"/>
    <w:rsid w:val="0430452D"/>
    <w:rsid w:val="04309C1C"/>
    <w:rsid w:val="0431ADF9"/>
    <w:rsid w:val="0431E321"/>
    <w:rsid w:val="043229EB"/>
    <w:rsid w:val="04324D12"/>
    <w:rsid w:val="0432A9EC"/>
    <w:rsid w:val="04336735"/>
    <w:rsid w:val="0433B5E0"/>
    <w:rsid w:val="0433ED8A"/>
    <w:rsid w:val="04356E13"/>
    <w:rsid w:val="04359AF3"/>
    <w:rsid w:val="0435AD06"/>
    <w:rsid w:val="0435C20E"/>
    <w:rsid w:val="0435D496"/>
    <w:rsid w:val="04367980"/>
    <w:rsid w:val="04392AD0"/>
    <w:rsid w:val="0439304E"/>
    <w:rsid w:val="043957D9"/>
    <w:rsid w:val="0439E097"/>
    <w:rsid w:val="043A69A2"/>
    <w:rsid w:val="043AF82D"/>
    <w:rsid w:val="043B4D18"/>
    <w:rsid w:val="043B9583"/>
    <w:rsid w:val="043BD86D"/>
    <w:rsid w:val="043C0F83"/>
    <w:rsid w:val="043C2F5D"/>
    <w:rsid w:val="043C4EC9"/>
    <w:rsid w:val="043C5919"/>
    <w:rsid w:val="043DF33E"/>
    <w:rsid w:val="043E64BD"/>
    <w:rsid w:val="043EB919"/>
    <w:rsid w:val="043F0380"/>
    <w:rsid w:val="043FA801"/>
    <w:rsid w:val="043FC39D"/>
    <w:rsid w:val="043FEACA"/>
    <w:rsid w:val="04416CDE"/>
    <w:rsid w:val="04417E7C"/>
    <w:rsid w:val="0441950F"/>
    <w:rsid w:val="04421FA5"/>
    <w:rsid w:val="04428574"/>
    <w:rsid w:val="04437253"/>
    <w:rsid w:val="04437808"/>
    <w:rsid w:val="0444338E"/>
    <w:rsid w:val="0444C8C1"/>
    <w:rsid w:val="044519B2"/>
    <w:rsid w:val="04453F86"/>
    <w:rsid w:val="04454DFD"/>
    <w:rsid w:val="044552A4"/>
    <w:rsid w:val="04490774"/>
    <w:rsid w:val="0449207F"/>
    <w:rsid w:val="0449654B"/>
    <w:rsid w:val="044B5E5F"/>
    <w:rsid w:val="044C4D2E"/>
    <w:rsid w:val="044C5D8E"/>
    <w:rsid w:val="044CF695"/>
    <w:rsid w:val="044DEDCD"/>
    <w:rsid w:val="044E9C89"/>
    <w:rsid w:val="044EB7CE"/>
    <w:rsid w:val="044EC59F"/>
    <w:rsid w:val="044F2E09"/>
    <w:rsid w:val="0450FB34"/>
    <w:rsid w:val="04513F92"/>
    <w:rsid w:val="04516633"/>
    <w:rsid w:val="04516A69"/>
    <w:rsid w:val="0452D102"/>
    <w:rsid w:val="04541DC1"/>
    <w:rsid w:val="0454A053"/>
    <w:rsid w:val="0454E557"/>
    <w:rsid w:val="04550E06"/>
    <w:rsid w:val="04550E0B"/>
    <w:rsid w:val="04553E62"/>
    <w:rsid w:val="045555AD"/>
    <w:rsid w:val="0455BE32"/>
    <w:rsid w:val="0455E2B4"/>
    <w:rsid w:val="0456C24E"/>
    <w:rsid w:val="0456DB8E"/>
    <w:rsid w:val="0458BAE1"/>
    <w:rsid w:val="04590C57"/>
    <w:rsid w:val="045918DE"/>
    <w:rsid w:val="04594A40"/>
    <w:rsid w:val="0459574D"/>
    <w:rsid w:val="0459AF7A"/>
    <w:rsid w:val="045A74D7"/>
    <w:rsid w:val="045BEDE1"/>
    <w:rsid w:val="045C132E"/>
    <w:rsid w:val="045D4D04"/>
    <w:rsid w:val="045E2AFC"/>
    <w:rsid w:val="045FCC85"/>
    <w:rsid w:val="045FF3C2"/>
    <w:rsid w:val="04603D83"/>
    <w:rsid w:val="0460ADA3"/>
    <w:rsid w:val="046103A6"/>
    <w:rsid w:val="046189F1"/>
    <w:rsid w:val="04627829"/>
    <w:rsid w:val="0462F583"/>
    <w:rsid w:val="0463B49F"/>
    <w:rsid w:val="0463D27F"/>
    <w:rsid w:val="04641652"/>
    <w:rsid w:val="0464E6C7"/>
    <w:rsid w:val="0465546D"/>
    <w:rsid w:val="04656D80"/>
    <w:rsid w:val="04659BB6"/>
    <w:rsid w:val="0467A005"/>
    <w:rsid w:val="0467A1DF"/>
    <w:rsid w:val="046846D8"/>
    <w:rsid w:val="0469527D"/>
    <w:rsid w:val="046A7214"/>
    <w:rsid w:val="046A81C5"/>
    <w:rsid w:val="046B392C"/>
    <w:rsid w:val="046BE47F"/>
    <w:rsid w:val="046C959D"/>
    <w:rsid w:val="046CDECE"/>
    <w:rsid w:val="046E566A"/>
    <w:rsid w:val="046EB79B"/>
    <w:rsid w:val="046F0931"/>
    <w:rsid w:val="046F19A4"/>
    <w:rsid w:val="046FDB89"/>
    <w:rsid w:val="04709DE7"/>
    <w:rsid w:val="0470FB50"/>
    <w:rsid w:val="04712E85"/>
    <w:rsid w:val="04719683"/>
    <w:rsid w:val="047196BB"/>
    <w:rsid w:val="0471DD0E"/>
    <w:rsid w:val="04727744"/>
    <w:rsid w:val="04743D12"/>
    <w:rsid w:val="04752D3A"/>
    <w:rsid w:val="04753FF8"/>
    <w:rsid w:val="047659F6"/>
    <w:rsid w:val="04773021"/>
    <w:rsid w:val="047778F1"/>
    <w:rsid w:val="04785747"/>
    <w:rsid w:val="0478DAF9"/>
    <w:rsid w:val="047A9AAF"/>
    <w:rsid w:val="047ADB6E"/>
    <w:rsid w:val="047BB04B"/>
    <w:rsid w:val="047BCF26"/>
    <w:rsid w:val="047BF9AF"/>
    <w:rsid w:val="047C0E50"/>
    <w:rsid w:val="047C198B"/>
    <w:rsid w:val="047D6DF2"/>
    <w:rsid w:val="047D8FF9"/>
    <w:rsid w:val="047DEEBD"/>
    <w:rsid w:val="047F0648"/>
    <w:rsid w:val="047F362B"/>
    <w:rsid w:val="047F5075"/>
    <w:rsid w:val="047F8E9B"/>
    <w:rsid w:val="048024C6"/>
    <w:rsid w:val="04812355"/>
    <w:rsid w:val="0481C411"/>
    <w:rsid w:val="04823D49"/>
    <w:rsid w:val="048261D7"/>
    <w:rsid w:val="048266C3"/>
    <w:rsid w:val="048330F5"/>
    <w:rsid w:val="0484493F"/>
    <w:rsid w:val="04848027"/>
    <w:rsid w:val="0485E1DC"/>
    <w:rsid w:val="0487271F"/>
    <w:rsid w:val="0487DE2C"/>
    <w:rsid w:val="04898B04"/>
    <w:rsid w:val="0489DCF3"/>
    <w:rsid w:val="0489E3ED"/>
    <w:rsid w:val="048A41E2"/>
    <w:rsid w:val="048A8D8A"/>
    <w:rsid w:val="048AB445"/>
    <w:rsid w:val="048ABADA"/>
    <w:rsid w:val="048AE7CA"/>
    <w:rsid w:val="048B838B"/>
    <w:rsid w:val="048C2F97"/>
    <w:rsid w:val="048CDEBB"/>
    <w:rsid w:val="048D0BD3"/>
    <w:rsid w:val="048E4926"/>
    <w:rsid w:val="048ED07E"/>
    <w:rsid w:val="048F4E3C"/>
    <w:rsid w:val="04906B25"/>
    <w:rsid w:val="04915681"/>
    <w:rsid w:val="0491B26D"/>
    <w:rsid w:val="0491D383"/>
    <w:rsid w:val="04920AE3"/>
    <w:rsid w:val="04922D45"/>
    <w:rsid w:val="0492A05A"/>
    <w:rsid w:val="0492A2A5"/>
    <w:rsid w:val="0492B740"/>
    <w:rsid w:val="0492BAE1"/>
    <w:rsid w:val="0492D776"/>
    <w:rsid w:val="04938919"/>
    <w:rsid w:val="04950D6C"/>
    <w:rsid w:val="04957850"/>
    <w:rsid w:val="0495D56F"/>
    <w:rsid w:val="04961D33"/>
    <w:rsid w:val="049657F1"/>
    <w:rsid w:val="04965CFE"/>
    <w:rsid w:val="0496ADBF"/>
    <w:rsid w:val="04973D1A"/>
    <w:rsid w:val="0497A311"/>
    <w:rsid w:val="04981916"/>
    <w:rsid w:val="04984340"/>
    <w:rsid w:val="04986BE0"/>
    <w:rsid w:val="049895D0"/>
    <w:rsid w:val="0498D800"/>
    <w:rsid w:val="04990DA7"/>
    <w:rsid w:val="049A8734"/>
    <w:rsid w:val="049AC07F"/>
    <w:rsid w:val="049AF386"/>
    <w:rsid w:val="049BD494"/>
    <w:rsid w:val="049CC674"/>
    <w:rsid w:val="049D496D"/>
    <w:rsid w:val="049DE81E"/>
    <w:rsid w:val="049DFB2B"/>
    <w:rsid w:val="049E8CF0"/>
    <w:rsid w:val="049EB899"/>
    <w:rsid w:val="049F2242"/>
    <w:rsid w:val="049F490F"/>
    <w:rsid w:val="049FC195"/>
    <w:rsid w:val="049FEEAF"/>
    <w:rsid w:val="04A05338"/>
    <w:rsid w:val="04A09DBB"/>
    <w:rsid w:val="04A109B2"/>
    <w:rsid w:val="04A10C10"/>
    <w:rsid w:val="04A11301"/>
    <w:rsid w:val="04A19B4D"/>
    <w:rsid w:val="04A26773"/>
    <w:rsid w:val="04A3C750"/>
    <w:rsid w:val="04A4024E"/>
    <w:rsid w:val="04A4499C"/>
    <w:rsid w:val="04A498D1"/>
    <w:rsid w:val="04A4CBB8"/>
    <w:rsid w:val="04A4D47D"/>
    <w:rsid w:val="04A502BC"/>
    <w:rsid w:val="04A521F8"/>
    <w:rsid w:val="04A69EB4"/>
    <w:rsid w:val="04A6CF2B"/>
    <w:rsid w:val="04A89463"/>
    <w:rsid w:val="04A89D7B"/>
    <w:rsid w:val="04A90A8D"/>
    <w:rsid w:val="04A949CE"/>
    <w:rsid w:val="04A9AD30"/>
    <w:rsid w:val="04AAFB00"/>
    <w:rsid w:val="04AB2BAA"/>
    <w:rsid w:val="04AD8CF0"/>
    <w:rsid w:val="04AE1BAE"/>
    <w:rsid w:val="04AF54C4"/>
    <w:rsid w:val="04AFB242"/>
    <w:rsid w:val="04B020A7"/>
    <w:rsid w:val="04B18B14"/>
    <w:rsid w:val="04B1B9B9"/>
    <w:rsid w:val="04B2382E"/>
    <w:rsid w:val="04B29E05"/>
    <w:rsid w:val="04B2AE01"/>
    <w:rsid w:val="04B2EC9A"/>
    <w:rsid w:val="04B30763"/>
    <w:rsid w:val="04B31FDB"/>
    <w:rsid w:val="04B329D2"/>
    <w:rsid w:val="04B3996E"/>
    <w:rsid w:val="04B3A7C8"/>
    <w:rsid w:val="04B3D3D9"/>
    <w:rsid w:val="04B40927"/>
    <w:rsid w:val="04B4C015"/>
    <w:rsid w:val="04B50003"/>
    <w:rsid w:val="04B53F99"/>
    <w:rsid w:val="04B5EF05"/>
    <w:rsid w:val="04B646B7"/>
    <w:rsid w:val="04B648E7"/>
    <w:rsid w:val="04B6A496"/>
    <w:rsid w:val="04B6F116"/>
    <w:rsid w:val="04B70B62"/>
    <w:rsid w:val="04B783DF"/>
    <w:rsid w:val="04B806E9"/>
    <w:rsid w:val="04B8D736"/>
    <w:rsid w:val="04B8FAFA"/>
    <w:rsid w:val="04B90066"/>
    <w:rsid w:val="04B9D6A6"/>
    <w:rsid w:val="04BA05E2"/>
    <w:rsid w:val="04BA1D4F"/>
    <w:rsid w:val="04BBAE3B"/>
    <w:rsid w:val="04BBF774"/>
    <w:rsid w:val="04BD2D87"/>
    <w:rsid w:val="04BDD9BE"/>
    <w:rsid w:val="04BE1FB7"/>
    <w:rsid w:val="04BE636B"/>
    <w:rsid w:val="04BE68D3"/>
    <w:rsid w:val="04BE70E5"/>
    <w:rsid w:val="04BE7878"/>
    <w:rsid w:val="04BE813D"/>
    <w:rsid w:val="04BEC366"/>
    <w:rsid w:val="04BFB1BB"/>
    <w:rsid w:val="04C066AE"/>
    <w:rsid w:val="04C0B188"/>
    <w:rsid w:val="04C0CF03"/>
    <w:rsid w:val="04C198EC"/>
    <w:rsid w:val="04C235D5"/>
    <w:rsid w:val="04C272F7"/>
    <w:rsid w:val="04C47452"/>
    <w:rsid w:val="04C4B26F"/>
    <w:rsid w:val="04C526FC"/>
    <w:rsid w:val="04C5D4EB"/>
    <w:rsid w:val="04C69FC3"/>
    <w:rsid w:val="04C6AD69"/>
    <w:rsid w:val="04C6D241"/>
    <w:rsid w:val="04C6D345"/>
    <w:rsid w:val="04C7712D"/>
    <w:rsid w:val="04C792F4"/>
    <w:rsid w:val="04C85881"/>
    <w:rsid w:val="04C896AD"/>
    <w:rsid w:val="04C8A4CC"/>
    <w:rsid w:val="04C98DDF"/>
    <w:rsid w:val="04CA1BC0"/>
    <w:rsid w:val="04CA7A5C"/>
    <w:rsid w:val="04CAEBB1"/>
    <w:rsid w:val="04CB65A5"/>
    <w:rsid w:val="04CC4560"/>
    <w:rsid w:val="04CC79C8"/>
    <w:rsid w:val="04CCDCDC"/>
    <w:rsid w:val="04CD15FD"/>
    <w:rsid w:val="04CD3504"/>
    <w:rsid w:val="04CDD03F"/>
    <w:rsid w:val="04CE514A"/>
    <w:rsid w:val="04CF6FBA"/>
    <w:rsid w:val="04CFA539"/>
    <w:rsid w:val="04D0556B"/>
    <w:rsid w:val="04D112B3"/>
    <w:rsid w:val="04D2302C"/>
    <w:rsid w:val="04D31378"/>
    <w:rsid w:val="04D3946B"/>
    <w:rsid w:val="04D3B316"/>
    <w:rsid w:val="04D3B643"/>
    <w:rsid w:val="04D3E43D"/>
    <w:rsid w:val="04D3F608"/>
    <w:rsid w:val="04D4D979"/>
    <w:rsid w:val="04D505C0"/>
    <w:rsid w:val="04D60E85"/>
    <w:rsid w:val="04D65526"/>
    <w:rsid w:val="04D66AB4"/>
    <w:rsid w:val="04D673E2"/>
    <w:rsid w:val="04D718F6"/>
    <w:rsid w:val="04D93E8B"/>
    <w:rsid w:val="04D9B101"/>
    <w:rsid w:val="04DA5C39"/>
    <w:rsid w:val="04DC5FCA"/>
    <w:rsid w:val="04DCA369"/>
    <w:rsid w:val="04DDBD5C"/>
    <w:rsid w:val="04DE2389"/>
    <w:rsid w:val="04DEEB5C"/>
    <w:rsid w:val="04DFCFB4"/>
    <w:rsid w:val="04E00F7B"/>
    <w:rsid w:val="04E0311C"/>
    <w:rsid w:val="04E0A7CA"/>
    <w:rsid w:val="04E102B1"/>
    <w:rsid w:val="04E1D6EE"/>
    <w:rsid w:val="04E24E02"/>
    <w:rsid w:val="04E29298"/>
    <w:rsid w:val="04E3133F"/>
    <w:rsid w:val="04E343BF"/>
    <w:rsid w:val="04E39394"/>
    <w:rsid w:val="04E46557"/>
    <w:rsid w:val="04E4795E"/>
    <w:rsid w:val="04E5A166"/>
    <w:rsid w:val="04E5CC56"/>
    <w:rsid w:val="04E63860"/>
    <w:rsid w:val="04E710EA"/>
    <w:rsid w:val="04E7CCEE"/>
    <w:rsid w:val="04E7F382"/>
    <w:rsid w:val="04E86432"/>
    <w:rsid w:val="04E87889"/>
    <w:rsid w:val="04E89377"/>
    <w:rsid w:val="04E92CFE"/>
    <w:rsid w:val="04E95854"/>
    <w:rsid w:val="04E9C4AE"/>
    <w:rsid w:val="04E9C82E"/>
    <w:rsid w:val="04EA080B"/>
    <w:rsid w:val="04EA082C"/>
    <w:rsid w:val="04EB20DC"/>
    <w:rsid w:val="04EB2932"/>
    <w:rsid w:val="04EB669B"/>
    <w:rsid w:val="04EB873A"/>
    <w:rsid w:val="04EBB7E9"/>
    <w:rsid w:val="04EBD80C"/>
    <w:rsid w:val="04EBF959"/>
    <w:rsid w:val="04ECECD6"/>
    <w:rsid w:val="04EED5CB"/>
    <w:rsid w:val="04EEDE8B"/>
    <w:rsid w:val="04F08166"/>
    <w:rsid w:val="04F0CAB5"/>
    <w:rsid w:val="04F1CA6A"/>
    <w:rsid w:val="04F22F67"/>
    <w:rsid w:val="04F2436C"/>
    <w:rsid w:val="04F28AF5"/>
    <w:rsid w:val="04F2BA75"/>
    <w:rsid w:val="04F310F0"/>
    <w:rsid w:val="04F41DEA"/>
    <w:rsid w:val="04F4F11E"/>
    <w:rsid w:val="04F5A6A4"/>
    <w:rsid w:val="04F5EA82"/>
    <w:rsid w:val="04F664BA"/>
    <w:rsid w:val="04F6888B"/>
    <w:rsid w:val="04F6B1F6"/>
    <w:rsid w:val="04F6C7E3"/>
    <w:rsid w:val="04F7411A"/>
    <w:rsid w:val="04F828A0"/>
    <w:rsid w:val="04F84E4D"/>
    <w:rsid w:val="04F86463"/>
    <w:rsid w:val="04F869D0"/>
    <w:rsid w:val="04F8BCCC"/>
    <w:rsid w:val="04F98BE5"/>
    <w:rsid w:val="04F99E27"/>
    <w:rsid w:val="04FA0C42"/>
    <w:rsid w:val="04FAB685"/>
    <w:rsid w:val="04FABD42"/>
    <w:rsid w:val="04FB4AF1"/>
    <w:rsid w:val="04FB8BA6"/>
    <w:rsid w:val="04FBC8D6"/>
    <w:rsid w:val="04FBEBD3"/>
    <w:rsid w:val="04FC67A0"/>
    <w:rsid w:val="04FC95E6"/>
    <w:rsid w:val="04FCB2F3"/>
    <w:rsid w:val="04FD1E57"/>
    <w:rsid w:val="04FD2A40"/>
    <w:rsid w:val="04FDB89F"/>
    <w:rsid w:val="04FDFFE5"/>
    <w:rsid w:val="04FE1187"/>
    <w:rsid w:val="04FE29C9"/>
    <w:rsid w:val="04FEDF6D"/>
    <w:rsid w:val="04FEEFB9"/>
    <w:rsid w:val="04FF0369"/>
    <w:rsid w:val="04FF1F9D"/>
    <w:rsid w:val="04FFA2FC"/>
    <w:rsid w:val="04FFFD28"/>
    <w:rsid w:val="050078BF"/>
    <w:rsid w:val="0500933F"/>
    <w:rsid w:val="0500FA68"/>
    <w:rsid w:val="0501113D"/>
    <w:rsid w:val="050190EF"/>
    <w:rsid w:val="0501AC3D"/>
    <w:rsid w:val="0502C9D1"/>
    <w:rsid w:val="0503AAB4"/>
    <w:rsid w:val="0503E867"/>
    <w:rsid w:val="05055539"/>
    <w:rsid w:val="05059769"/>
    <w:rsid w:val="05065F88"/>
    <w:rsid w:val="05069286"/>
    <w:rsid w:val="05073961"/>
    <w:rsid w:val="05075E80"/>
    <w:rsid w:val="05076562"/>
    <w:rsid w:val="0507C779"/>
    <w:rsid w:val="050826A7"/>
    <w:rsid w:val="0508FB24"/>
    <w:rsid w:val="05092815"/>
    <w:rsid w:val="05098797"/>
    <w:rsid w:val="0509B2F6"/>
    <w:rsid w:val="0509EA1D"/>
    <w:rsid w:val="050AA805"/>
    <w:rsid w:val="050B68F8"/>
    <w:rsid w:val="050BB4F4"/>
    <w:rsid w:val="050C784C"/>
    <w:rsid w:val="050D1F47"/>
    <w:rsid w:val="050D4C5B"/>
    <w:rsid w:val="050D90C5"/>
    <w:rsid w:val="050DAE35"/>
    <w:rsid w:val="050E1440"/>
    <w:rsid w:val="050F3631"/>
    <w:rsid w:val="050FBD6E"/>
    <w:rsid w:val="051042D2"/>
    <w:rsid w:val="0510EA2E"/>
    <w:rsid w:val="0510EDDD"/>
    <w:rsid w:val="0511D748"/>
    <w:rsid w:val="05124E50"/>
    <w:rsid w:val="0512D77E"/>
    <w:rsid w:val="05135A24"/>
    <w:rsid w:val="05136BBC"/>
    <w:rsid w:val="0513E926"/>
    <w:rsid w:val="051616D8"/>
    <w:rsid w:val="0516314D"/>
    <w:rsid w:val="0516832E"/>
    <w:rsid w:val="0516E0C6"/>
    <w:rsid w:val="0517219F"/>
    <w:rsid w:val="05189089"/>
    <w:rsid w:val="05192053"/>
    <w:rsid w:val="05192316"/>
    <w:rsid w:val="051A07C9"/>
    <w:rsid w:val="051ADDB3"/>
    <w:rsid w:val="051B676C"/>
    <w:rsid w:val="051BB4E2"/>
    <w:rsid w:val="051C52C2"/>
    <w:rsid w:val="051D66EA"/>
    <w:rsid w:val="051DECF2"/>
    <w:rsid w:val="051ED5EE"/>
    <w:rsid w:val="052055C4"/>
    <w:rsid w:val="0520932C"/>
    <w:rsid w:val="0520A779"/>
    <w:rsid w:val="052177B8"/>
    <w:rsid w:val="0521A92A"/>
    <w:rsid w:val="0521BE9E"/>
    <w:rsid w:val="0521FB5E"/>
    <w:rsid w:val="05222028"/>
    <w:rsid w:val="05222F6F"/>
    <w:rsid w:val="0522C3FB"/>
    <w:rsid w:val="0522FB17"/>
    <w:rsid w:val="05246894"/>
    <w:rsid w:val="0524B323"/>
    <w:rsid w:val="0524EB9D"/>
    <w:rsid w:val="05259BA1"/>
    <w:rsid w:val="0525EC03"/>
    <w:rsid w:val="0526643A"/>
    <w:rsid w:val="05272343"/>
    <w:rsid w:val="0527C815"/>
    <w:rsid w:val="0527D84F"/>
    <w:rsid w:val="05282203"/>
    <w:rsid w:val="05286273"/>
    <w:rsid w:val="0528849A"/>
    <w:rsid w:val="05294403"/>
    <w:rsid w:val="05294CD7"/>
    <w:rsid w:val="052B3EBC"/>
    <w:rsid w:val="052C6915"/>
    <w:rsid w:val="052CC38E"/>
    <w:rsid w:val="052CFECC"/>
    <w:rsid w:val="052D7599"/>
    <w:rsid w:val="052DCBCA"/>
    <w:rsid w:val="052E1552"/>
    <w:rsid w:val="052E2B2B"/>
    <w:rsid w:val="052E5CD7"/>
    <w:rsid w:val="052EE051"/>
    <w:rsid w:val="052F1CD3"/>
    <w:rsid w:val="052F269C"/>
    <w:rsid w:val="052F7CCE"/>
    <w:rsid w:val="05301AF9"/>
    <w:rsid w:val="0530D9D4"/>
    <w:rsid w:val="0531513B"/>
    <w:rsid w:val="0531AA02"/>
    <w:rsid w:val="0531E532"/>
    <w:rsid w:val="05323537"/>
    <w:rsid w:val="05324F04"/>
    <w:rsid w:val="0533211B"/>
    <w:rsid w:val="05332482"/>
    <w:rsid w:val="05335AFF"/>
    <w:rsid w:val="05338813"/>
    <w:rsid w:val="0533CBAB"/>
    <w:rsid w:val="05341475"/>
    <w:rsid w:val="053427B8"/>
    <w:rsid w:val="05346259"/>
    <w:rsid w:val="05351751"/>
    <w:rsid w:val="05354A86"/>
    <w:rsid w:val="053595E9"/>
    <w:rsid w:val="0536B52E"/>
    <w:rsid w:val="0537897C"/>
    <w:rsid w:val="0537B2BA"/>
    <w:rsid w:val="053815FE"/>
    <w:rsid w:val="05390B13"/>
    <w:rsid w:val="05394743"/>
    <w:rsid w:val="05399F4C"/>
    <w:rsid w:val="053BEEFD"/>
    <w:rsid w:val="053C29AD"/>
    <w:rsid w:val="053C4DFB"/>
    <w:rsid w:val="053CE468"/>
    <w:rsid w:val="053CEC85"/>
    <w:rsid w:val="053CEE30"/>
    <w:rsid w:val="053D5C78"/>
    <w:rsid w:val="053DB49B"/>
    <w:rsid w:val="053E1A78"/>
    <w:rsid w:val="053E50B2"/>
    <w:rsid w:val="053E7F25"/>
    <w:rsid w:val="053E974B"/>
    <w:rsid w:val="053E9F73"/>
    <w:rsid w:val="053EE430"/>
    <w:rsid w:val="054012A9"/>
    <w:rsid w:val="05406DBB"/>
    <w:rsid w:val="05408156"/>
    <w:rsid w:val="0541AA6C"/>
    <w:rsid w:val="0541C173"/>
    <w:rsid w:val="05423A4D"/>
    <w:rsid w:val="05424F2B"/>
    <w:rsid w:val="0542E575"/>
    <w:rsid w:val="054344B4"/>
    <w:rsid w:val="05441473"/>
    <w:rsid w:val="05442C06"/>
    <w:rsid w:val="05443A49"/>
    <w:rsid w:val="0544D498"/>
    <w:rsid w:val="05450702"/>
    <w:rsid w:val="05455D27"/>
    <w:rsid w:val="054614BD"/>
    <w:rsid w:val="05461AB7"/>
    <w:rsid w:val="0546A27E"/>
    <w:rsid w:val="0546C3C5"/>
    <w:rsid w:val="054723BB"/>
    <w:rsid w:val="0547CFDB"/>
    <w:rsid w:val="0547E6EE"/>
    <w:rsid w:val="054851CC"/>
    <w:rsid w:val="0548FB4E"/>
    <w:rsid w:val="0548FB7C"/>
    <w:rsid w:val="054909C2"/>
    <w:rsid w:val="0549904E"/>
    <w:rsid w:val="0549E0C2"/>
    <w:rsid w:val="054A03DD"/>
    <w:rsid w:val="054ACD22"/>
    <w:rsid w:val="054ACFAD"/>
    <w:rsid w:val="054B200C"/>
    <w:rsid w:val="054B60AF"/>
    <w:rsid w:val="054C8AD1"/>
    <w:rsid w:val="054D181E"/>
    <w:rsid w:val="054D84E4"/>
    <w:rsid w:val="054E0CF3"/>
    <w:rsid w:val="054EE6DD"/>
    <w:rsid w:val="054EE973"/>
    <w:rsid w:val="054F14EA"/>
    <w:rsid w:val="054F19B8"/>
    <w:rsid w:val="054FB0E5"/>
    <w:rsid w:val="054FC2D9"/>
    <w:rsid w:val="05500A16"/>
    <w:rsid w:val="05501E92"/>
    <w:rsid w:val="055066BD"/>
    <w:rsid w:val="05506A9F"/>
    <w:rsid w:val="05507E13"/>
    <w:rsid w:val="0550A07F"/>
    <w:rsid w:val="0550AE1E"/>
    <w:rsid w:val="0550FAA4"/>
    <w:rsid w:val="0551314A"/>
    <w:rsid w:val="055242F7"/>
    <w:rsid w:val="05525FFA"/>
    <w:rsid w:val="0552D463"/>
    <w:rsid w:val="0552FAFB"/>
    <w:rsid w:val="0553D19A"/>
    <w:rsid w:val="05541062"/>
    <w:rsid w:val="055410AC"/>
    <w:rsid w:val="0554A4BC"/>
    <w:rsid w:val="055593FB"/>
    <w:rsid w:val="05565D11"/>
    <w:rsid w:val="0556FD71"/>
    <w:rsid w:val="05578B3D"/>
    <w:rsid w:val="05579A6E"/>
    <w:rsid w:val="055988BC"/>
    <w:rsid w:val="0559E6BF"/>
    <w:rsid w:val="0559F3A6"/>
    <w:rsid w:val="055D6D13"/>
    <w:rsid w:val="055D7B06"/>
    <w:rsid w:val="055D97D9"/>
    <w:rsid w:val="055DDBF8"/>
    <w:rsid w:val="055E1AA6"/>
    <w:rsid w:val="055E1DA0"/>
    <w:rsid w:val="055E853E"/>
    <w:rsid w:val="056205A5"/>
    <w:rsid w:val="05622243"/>
    <w:rsid w:val="0562A057"/>
    <w:rsid w:val="0562AD46"/>
    <w:rsid w:val="0562D6F4"/>
    <w:rsid w:val="0562F90E"/>
    <w:rsid w:val="056405E0"/>
    <w:rsid w:val="05645B81"/>
    <w:rsid w:val="05657AC4"/>
    <w:rsid w:val="0565B892"/>
    <w:rsid w:val="0565D2FA"/>
    <w:rsid w:val="0566EE93"/>
    <w:rsid w:val="05670C94"/>
    <w:rsid w:val="05683C9F"/>
    <w:rsid w:val="05684757"/>
    <w:rsid w:val="056865CD"/>
    <w:rsid w:val="05695B73"/>
    <w:rsid w:val="0569CEF7"/>
    <w:rsid w:val="056A1CC8"/>
    <w:rsid w:val="056AEB86"/>
    <w:rsid w:val="056C81D2"/>
    <w:rsid w:val="056CEFA7"/>
    <w:rsid w:val="056CF08E"/>
    <w:rsid w:val="056D42AD"/>
    <w:rsid w:val="056EE88C"/>
    <w:rsid w:val="056F3568"/>
    <w:rsid w:val="056F4E73"/>
    <w:rsid w:val="056FF3A5"/>
    <w:rsid w:val="0570489D"/>
    <w:rsid w:val="05705983"/>
    <w:rsid w:val="05708658"/>
    <w:rsid w:val="05712B94"/>
    <w:rsid w:val="0571E561"/>
    <w:rsid w:val="057245A2"/>
    <w:rsid w:val="0572DA1E"/>
    <w:rsid w:val="0573CF21"/>
    <w:rsid w:val="0573D6B0"/>
    <w:rsid w:val="0574EFE9"/>
    <w:rsid w:val="057568DF"/>
    <w:rsid w:val="0575A97E"/>
    <w:rsid w:val="057651B1"/>
    <w:rsid w:val="0576E4E8"/>
    <w:rsid w:val="05771788"/>
    <w:rsid w:val="05777567"/>
    <w:rsid w:val="05777F20"/>
    <w:rsid w:val="0577B520"/>
    <w:rsid w:val="05781E7F"/>
    <w:rsid w:val="057855D0"/>
    <w:rsid w:val="05786F04"/>
    <w:rsid w:val="0578A4EC"/>
    <w:rsid w:val="0578B0A1"/>
    <w:rsid w:val="05790974"/>
    <w:rsid w:val="0579CE76"/>
    <w:rsid w:val="057A5B86"/>
    <w:rsid w:val="057B30F1"/>
    <w:rsid w:val="057B9D2F"/>
    <w:rsid w:val="057D453E"/>
    <w:rsid w:val="057D8F88"/>
    <w:rsid w:val="057DD22E"/>
    <w:rsid w:val="057F31DF"/>
    <w:rsid w:val="05804B93"/>
    <w:rsid w:val="05807E01"/>
    <w:rsid w:val="05813663"/>
    <w:rsid w:val="0582037A"/>
    <w:rsid w:val="05821628"/>
    <w:rsid w:val="05825971"/>
    <w:rsid w:val="05829020"/>
    <w:rsid w:val="05844C76"/>
    <w:rsid w:val="05863014"/>
    <w:rsid w:val="05868EBF"/>
    <w:rsid w:val="0586ABE1"/>
    <w:rsid w:val="0586D750"/>
    <w:rsid w:val="0586F81B"/>
    <w:rsid w:val="05877BE1"/>
    <w:rsid w:val="0588E628"/>
    <w:rsid w:val="05895F3A"/>
    <w:rsid w:val="058A4741"/>
    <w:rsid w:val="058AF9E5"/>
    <w:rsid w:val="058B98F4"/>
    <w:rsid w:val="058C1C45"/>
    <w:rsid w:val="058D71E4"/>
    <w:rsid w:val="058D96C5"/>
    <w:rsid w:val="058DD40F"/>
    <w:rsid w:val="058DFCE9"/>
    <w:rsid w:val="058ECF56"/>
    <w:rsid w:val="058ED354"/>
    <w:rsid w:val="058F4B6F"/>
    <w:rsid w:val="058F9F7F"/>
    <w:rsid w:val="05905E88"/>
    <w:rsid w:val="05909737"/>
    <w:rsid w:val="0590D23A"/>
    <w:rsid w:val="0591470C"/>
    <w:rsid w:val="0591DAAC"/>
    <w:rsid w:val="0591EF55"/>
    <w:rsid w:val="0591FD66"/>
    <w:rsid w:val="059375B2"/>
    <w:rsid w:val="0593AC27"/>
    <w:rsid w:val="059428C4"/>
    <w:rsid w:val="059448B2"/>
    <w:rsid w:val="0594A8D4"/>
    <w:rsid w:val="0594C919"/>
    <w:rsid w:val="0595BE98"/>
    <w:rsid w:val="0596384E"/>
    <w:rsid w:val="0596D822"/>
    <w:rsid w:val="0596F756"/>
    <w:rsid w:val="059712E4"/>
    <w:rsid w:val="05977B2E"/>
    <w:rsid w:val="0598DE53"/>
    <w:rsid w:val="0599259C"/>
    <w:rsid w:val="059A1CCC"/>
    <w:rsid w:val="059A2951"/>
    <w:rsid w:val="059AA24B"/>
    <w:rsid w:val="059C31D9"/>
    <w:rsid w:val="059CCE97"/>
    <w:rsid w:val="059D7ED6"/>
    <w:rsid w:val="059D9D7F"/>
    <w:rsid w:val="059DBDE0"/>
    <w:rsid w:val="059E154E"/>
    <w:rsid w:val="059E8372"/>
    <w:rsid w:val="059E8F88"/>
    <w:rsid w:val="059EA3D8"/>
    <w:rsid w:val="059FA3DC"/>
    <w:rsid w:val="05A01CDD"/>
    <w:rsid w:val="05A030FB"/>
    <w:rsid w:val="05A08043"/>
    <w:rsid w:val="05A0ADC4"/>
    <w:rsid w:val="05A0B2BF"/>
    <w:rsid w:val="05A157ED"/>
    <w:rsid w:val="05A1C549"/>
    <w:rsid w:val="05A2308E"/>
    <w:rsid w:val="05A26D40"/>
    <w:rsid w:val="05A2B986"/>
    <w:rsid w:val="05A35599"/>
    <w:rsid w:val="05A390C8"/>
    <w:rsid w:val="05A513F0"/>
    <w:rsid w:val="05A53DE7"/>
    <w:rsid w:val="05A5E768"/>
    <w:rsid w:val="05A61A1D"/>
    <w:rsid w:val="05A67105"/>
    <w:rsid w:val="05A75BE5"/>
    <w:rsid w:val="05A7BC87"/>
    <w:rsid w:val="05A80EA8"/>
    <w:rsid w:val="05A83244"/>
    <w:rsid w:val="05A92789"/>
    <w:rsid w:val="05A92988"/>
    <w:rsid w:val="05A9808F"/>
    <w:rsid w:val="05A99C69"/>
    <w:rsid w:val="05AAD7B9"/>
    <w:rsid w:val="05AC09E4"/>
    <w:rsid w:val="05AC38B9"/>
    <w:rsid w:val="05ACB315"/>
    <w:rsid w:val="05AE26BA"/>
    <w:rsid w:val="05AEC7DB"/>
    <w:rsid w:val="05AF0294"/>
    <w:rsid w:val="05AFC06F"/>
    <w:rsid w:val="05B081D4"/>
    <w:rsid w:val="05B32E1F"/>
    <w:rsid w:val="05B42427"/>
    <w:rsid w:val="05B47A0E"/>
    <w:rsid w:val="05B5B7F5"/>
    <w:rsid w:val="05B5E4D1"/>
    <w:rsid w:val="05B5EA6C"/>
    <w:rsid w:val="05B5F7A0"/>
    <w:rsid w:val="05B66681"/>
    <w:rsid w:val="05B6C034"/>
    <w:rsid w:val="05B73A5A"/>
    <w:rsid w:val="05B7E52A"/>
    <w:rsid w:val="05B7FC50"/>
    <w:rsid w:val="05B8CAC2"/>
    <w:rsid w:val="05BA65C6"/>
    <w:rsid w:val="05BA6A06"/>
    <w:rsid w:val="05BBE7A0"/>
    <w:rsid w:val="05BD6D89"/>
    <w:rsid w:val="05BE100C"/>
    <w:rsid w:val="05BE3CF7"/>
    <w:rsid w:val="05BE8710"/>
    <w:rsid w:val="05BF4C7B"/>
    <w:rsid w:val="05BF7DC7"/>
    <w:rsid w:val="05C04DED"/>
    <w:rsid w:val="05C05F11"/>
    <w:rsid w:val="05C08EDF"/>
    <w:rsid w:val="05C0F5E6"/>
    <w:rsid w:val="05C1012C"/>
    <w:rsid w:val="05C1115F"/>
    <w:rsid w:val="05C1240B"/>
    <w:rsid w:val="05C1F016"/>
    <w:rsid w:val="05C257FF"/>
    <w:rsid w:val="05C2BA6D"/>
    <w:rsid w:val="05C30EBA"/>
    <w:rsid w:val="05C31E37"/>
    <w:rsid w:val="05C34ACB"/>
    <w:rsid w:val="05C39477"/>
    <w:rsid w:val="05C3BBFD"/>
    <w:rsid w:val="05C3BEC4"/>
    <w:rsid w:val="05C3C5CD"/>
    <w:rsid w:val="05C3DF4B"/>
    <w:rsid w:val="05C477DC"/>
    <w:rsid w:val="05C51FDA"/>
    <w:rsid w:val="05C5F15A"/>
    <w:rsid w:val="05C6866E"/>
    <w:rsid w:val="05C68ACC"/>
    <w:rsid w:val="05C6DA9F"/>
    <w:rsid w:val="05C83F4B"/>
    <w:rsid w:val="05C8FAA2"/>
    <w:rsid w:val="05C923B0"/>
    <w:rsid w:val="05C97D9F"/>
    <w:rsid w:val="05C97E55"/>
    <w:rsid w:val="05CA4F00"/>
    <w:rsid w:val="05CAF967"/>
    <w:rsid w:val="05CAFEEF"/>
    <w:rsid w:val="05CB33EF"/>
    <w:rsid w:val="05CB710A"/>
    <w:rsid w:val="05CBB9ED"/>
    <w:rsid w:val="05CBC3F3"/>
    <w:rsid w:val="05CDCCE8"/>
    <w:rsid w:val="05CE2ED2"/>
    <w:rsid w:val="05CEB279"/>
    <w:rsid w:val="05CF336B"/>
    <w:rsid w:val="05CF7E8E"/>
    <w:rsid w:val="05D06EBA"/>
    <w:rsid w:val="05D1B7F1"/>
    <w:rsid w:val="05D36C92"/>
    <w:rsid w:val="05D3AB85"/>
    <w:rsid w:val="05D3E6D3"/>
    <w:rsid w:val="05D4CF8B"/>
    <w:rsid w:val="05D56509"/>
    <w:rsid w:val="05D57D19"/>
    <w:rsid w:val="05D60BDC"/>
    <w:rsid w:val="05D6A3B2"/>
    <w:rsid w:val="05D7BE1A"/>
    <w:rsid w:val="05D7D060"/>
    <w:rsid w:val="05D8D18C"/>
    <w:rsid w:val="05DA0A6C"/>
    <w:rsid w:val="05DB1FEC"/>
    <w:rsid w:val="05DB2BB4"/>
    <w:rsid w:val="05DB6249"/>
    <w:rsid w:val="05DB9DCA"/>
    <w:rsid w:val="05DBD8AD"/>
    <w:rsid w:val="05DC7A25"/>
    <w:rsid w:val="05DDAC09"/>
    <w:rsid w:val="05DE2BDA"/>
    <w:rsid w:val="05DF0AE5"/>
    <w:rsid w:val="05DFAE92"/>
    <w:rsid w:val="05E0044D"/>
    <w:rsid w:val="05E0949E"/>
    <w:rsid w:val="05E09E7A"/>
    <w:rsid w:val="05E13B36"/>
    <w:rsid w:val="05E13F2A"/>
    <w:rsid w:val="05E1FAA2"/>
    <w:rsid w:val="05E2D026"/>
    <w:rsid w:val="05E3050F"/>
    <w:rsid w:val="05E35D8B"/>
    <w:rsid w:val="05E373B1"/>
    <w:rsid w:val="05E48F11"/>
    <w:rsid w:val="05E4E5F4"/>
    <w:rsid w:val="05E50539"/>
    <w:rsid w:val="05E5183A"/>
    <w:rsid w:val="05E53E32"/>
    <w:rsid w:val="05E58391"/>
    <w:rsid w:val="05E5F2F8"/>
    <w:rsid w:val="05E603B5"/>
    <w:rsid w:val="05E608D1"/>
    <w:rsid w:val="05E69731"/>
    <w:rsid w:val="05E717D5"/>
    <w:rsid w:val="05E807A2"/>
    <w:rsid w:val="05E83377"/>
    <w:rsid w:val="05E85A85"/>
    <w:rsid w:val="05E90F0B"/>
    <w:rsid w:val="05E91038"/>
    <w:rsid w:val="05E9BB35"/>
    <w:rsid w:val="05E9DDB2"/>
    <w:rsid w:val="05E9E98C"/>
    <w:rsid w:val="05EB0099"/>
    <w:rsid w:val="05EB4762"/>
    <w:rsid w:val="05EC8341"/>
    <w:rsid w:val="05ED0C0A"/>
    <w:rsid w:val="05ED3B5F"/>
    <w:rsid w:val="05EDBB72"/>
    <w:rsid w:val="05EDC98B"/>
    <w:rsid w:val="05EE0266"/>
    <w:rsid w:val="05EE7FC4"/>
    <w:rsid w:val="05F06231"/>
    <w:rsid w:val="05F0FC8F"/>
    <w:rsid w:val="05F169CF"/>
    <w:rsid w:val="05F2D68D"/>
    <w:rsid w:val="05F31A7E"/>
    <w:rsid w:val="05F5B126"/>
    <w:rsid w:val="05F5D2D4"/>
    <w:rsid w:val="05F6330F"/>
    <w:rsid w:val="05F672BF"/>
    <w:rsid w:val="05F6C637"/>
    <w:rsid w:val="05F6DA6C"/>
    <w:rsid w:val="05F867F9"/>
    <w:rsid w:val="05F980A5"/>
    <w:rsid w:val="05F98E23"/>
    <w:rsid w:val="05F9F598"/>
    <w:rsid w:val="05FA3666"/>
    <w:rsid w:val="05FA4915"/>
    <w:rsid w:val="05FAA81B"/>
    <w:rsid w:val="05FB100D"/>
    <w:rsid w:val="05FB9B3C"/>
    <w:rsid w:val="05FBF01E"/>
    <w:rsid w:val="05FC08D0"/>
    <w:rsid w:val="05FC7E20"/>
    <w:rsid w:val="05FCB34C"/>
    <w:rsid w:val="05FD1261"/>
    <w:rsid w:val="05FD376C"/>
    <w:rsid w:val="05FE14CA"/>
    <w:rsid w:val="05FE1778"/>
    <w:rsid w:val="05FE40D4"/>
    <w:rsid w:val="05FE88D4"/>
    <w:rsid w:val="060078FC"/>
    <w:rsid w:val="060129FD"/>
    <w:rsid w:val="06018010"/>
    <w:rsid w:val="06025CB6"/>
    <w:rsid w:val="06026037"/>
    <w:rsid w:val="0602AAA1"/>
    <w:rsid w:val="0602B44C"/>
    <w:rsid w:val="0603D3F8"/>
    <w:rsid w:val="0604103F"/>
    <w:rsid w:val="060440D9"/>
    <w:rsid w:val="0604C45F"/>
    <w:rsid w:val="06054880"/>
    <w:rsid w:val="06056C1D"/>
    <w:rsid w:val="06069DB4"/>
    <w:rsid w:val="0606EEBF"/>
    <w:rsid w:val="06073539"/>
    <w:rsid w:val="06075D64"/>
    <w:rsid w:val="06076CF6"/>
    <w:rsid w:val="06078785"/>
    <w:rsid w:val="0607F623"/>
    <w:rsid w:val="06082999"/>
    <w:rsid w:val="06086DA2"/>
    <w:rsid w:val="06091A1B"/>
    <w:rsid w:val="060950D0"/>
    <w:rsid w:val="0609A657"/>
    <w:rsid w:val="060A9481"/>
    <w:rsid w:val="060AB35B"/>
    <w:rsid w:val="060ACD8F"/>
    <w:rsid w:val="060C4B0E"/>
    <w:rsid w:val="060C9415"/>
    <w:rsid w:val="060DBC80"/>
    <w:rsid w:val="060E0949"/>
    <w:rsid w:val="060EA42D"/>
    <w:rsid w:val="060F0DBC"/>
    <w:rsid w:val="060FD157"/>
    <w:rsid w:val="060FDA41"/>
    <w:rsid w:val="06105A69"/>
    <w:rsid w:val="06106083"/>
    <w:rsid w:val="0611693D"/>
    <w:rsid w:val="061193EC"/>
    <w:rsid w:val="061196EB"/>
    <w:rsid w:val="06129F7E"/>
    <w:rsid w:val="0614342A"/>
    <w:rsid w:val="0614D26B"/>
    <w:rsid w:val="0614E01E"/>
    <w:rsid w:val="06160F66"/>
    <w:rsid w:val="061628F1"/>
    <w:rsid w:val="061629D8"/>
    <w:rsid w:val="061671A4"/>
    <w:rsid w:val="0616875E"/>
    <w:rsid w:val="061757CC"/>
    <w:rsid w:val="0617BDA3"/>
    <w:rsid w:val="06189F7F"/>
    <w:rsid w:val="0618D001"/>
    <w:rsid w:val="06194322"/>
    <w:rsid w:val="061A2543"/>
    <w:rsid w:val="061AAD05"/>
    <w:rsid w:val="061B3640"/>
    <w:rsid w:val="061BE0A1"/>
    <w:rsid w:val="061DC506"/>
    <w:rsid w:val="061ECB84"/>
    <w:rsid w:val="061F18F3"/>
    <w:rsid w:val="06201D7F"/>
    <w:rsid w:val="06211E77"/>
    <w:rsid w:val="06212FB7"/>
    <w:rsid w:val="06228C1C"/>
    <w:rsid w:val="0622F3AD"/>
    <w:rsid w:val="06248B53"/>
    <w:rsid w:val="0625C839"/>
    <w:rsid w:val="06266E27"/>
    <w:rsid w:val="0626E070"/>
    <w:rsid w:val="062756F6"/>
    <w:rsid w:val="06283B8B"/>
    <w:rsid w:val="06291661"/>
    <w:rsid w:val="062A8558"/>
    <w:rsid w:val="062A8F63"/>
    <w:rsid w:val="062ABC2C"/>
    <w:rsid w:val="062B9E91"/>
    <w:rsid w:val="062C5502"/>
    <w:rsid w:val="062C7646"/>
    <w:rsid w:val="062C8457"/>
    <w:rsid w:val="062CF47B"/>
    <w:rsid w:val="062D5499"/>
    <w:rsid w:val="062D55ED"/>
    <w:rsid w:val="062D7B26"/>
    <w:rsid w:val="062D8873"/>
    <w:rsid w:val="062DF63F"/>
    <w:rsid w:val="062E704F"/>
    <w:rsid w:val="062E8814"/>
    <w:rsid w:val="062EFAD1"/>
    <w:rsid w:val="062F9985"/>
    <w:rsid w:val="0630EF58"/>
    <w:rsid w:val="06323B7C"/>
    <w:rsid w:val="063397B7"/>
    <w:rsid w:val="0633C355"/>
    <w:rsid w:val="06345509"/>
    <w:rsid w:val="0634C9BF"/>
    <w:rsid w:val="06350BD1"/>
    <w:rsid w:val="06357610"/>
    <w:rsid w:val="0635EB70"/>
    <w:rsid w:val="06361379"/>
    <w:rsid w:val="0636ADD3"/>
    <w:rsid w:val="06371AB5"/>
    <w:rsid w:val="06373E3D"/>
    <w:rsid w:val="063744AC"/>
    <w:rsid w:val="06378426"/>
    <w:rsid w:val="0637CEC1"/>
    <w:rsid w:val="06384F6B"/>
    <w:rsid w:val="06385492"/>
    <w:rsid w:val="06388139"/>
    <w:rsid w:val="06391A46"/>
    <w:rsid w:val="0639B140"/>
    <w:rsid w:val="0639C825"/>
    <w:rsid w:val="063A41B2"/>
    <w:rsid w:val="063A5A47"/>
    <w:rsid w:val="063AD44D"/>
    <w:rsid w:val="063C8C06"/>
    <w:rsid w:val="063CC00A"/>
    <w:rsid w:val="063D3988"/>
    <w:rsid w:val="063E2757"/>
    <w:rsid w:val="063F5B47"/>
    <w:rsid w:val="06412DD6"/>
    <w:rsid w:val="064145A5"/>
    <w:rsid w:val="06431C41"/>
    <w:rsid w:val="06439F05"/>
    <w:rsid w:val="0644A5AF"/>
    <w:rsid w:val="0644C857"/>
    <w:rsid w:val="06458440"/>
    <w:rsid w:val="064641ED"/>
    <w:rsid w:val="0646C559"/>
    <w:rsid w:val="06471758"/>
    <w:rsid w:val="0647C35E"/>
    <w:rsid w:val="0647FCFC"/>
    <w:rsid w:val="0647FE17"/>
    <w:rsid w:val="06485AB6"/>
    <w:rsid w:val="06487EE4"/>
    <w:rsid w:val="064918EE"/>
    <w:rsid w:val="06499ACF"/>
    <w:rsid w:val="064A5A73"/>
    <w:rsid w:val="064A9987"/>
    <w:rsid w:val="064AD151"/>
    <w:rsid w:val="064B0361"/>
    <w:rsid w:val="064B2F4D"/>
    <w:rsid w:val="064B989F"/>
    <w:rsid w:val="064CEDD3"/>
    <w:rsid w:val="064D4BA5"/>
    <w:rsid w:val="064D8BC0"/>
    <w:rsid w:val="064DFF7B"/>
    <w:rsid w:val="064E5AD0"/>
    <w:rsid w:val="064F97B9"/>
    <w:rsid w:val="0651B654"/>
    <w:rsid w:val="0651F51D"/>
    <w:rsid w:val="0652318B"/>
    <w:rsid w:val="0652A28C"/>
    <w:rsid w:val="0652ADCA"/>
    <w:rsid w:val="0652E2FD"/>
    <w:rsid w:val="0652EF56"/>
    <w:rsid w:val="0655B073"/>
    <w:rsid w:val="0655EF5D"/>
    <w:rsid w:val="0655F8CB"/>
    <w:rsid w:val="0656E4C5"/>
    <w:rsid w:val="065711A5"/>
    <w:rsid w:val="0657D8AF"/>
    <w:rsid w:val="0657E496"/>
    <w:rsid w:val="06587140"/>
    <w:rsid w:val="06590085"/>
    <w:rsid w:val="065951CB"/>
    <w:rsid w:val="0659D7C8"/>
    <w:rsid w:val="065A2810"/>
    <w:rsid w:val="065BC7B3"/>
    <w:rsid w:val="065C6907"/>
    <w:rsid w:val="065C7660"/>
    <w:rsid w:val="065C7A1E"/>
    <w:rsid w:val="065C8658"/>
    <w:rsid w:val="065D53DC"/>
    <w:rsid w:val="065DC87A"/>
    <w:rsid w:val="065DEFCF"/>
    <w:rsid w:val="065F60AE"/>
    <w:rsid w:val="06605B19"/>
    <w:rsid w:val="06606DBC"/>
    <w:rsid w:val="06612ECA"/>
    <w:rsid w:val="066322DE"/>
    <w:rsid w:val="066348CF"/>
    <w:rsid w:val="066486DD"/>
    <w:rsid w:val="0664CF90"/>
    <w:rsid w:val="06650278"/>
    <w:rsid w:val="06651756"/>
    <w:rsid w:val="066572A3"/>
    <w:rsid w:val="0666337E"/>
    <w:rsid w:val="066681BB"/>
    <w:rsid w:val="0666DE29"/>
    <w:rsid w:val="06670106"/>
    <w:rsid w:val="06670E16"/>
    <w:rsid w:val="06678E54"/>
    <w:rsid w:val="06684075"/>
    <w:rsid w:val="06684B69"/>
    <w:rsid w:val="06685663"/>
    <w:rsid w:val="066880E8"/>
    <w:rsid w:val="0668AE76"/>
    <w:rsid w:val="06691584"/>
    <w:rsid w:val="066B9542"/>
    <w:rsid w:val="066DAB20"/>
    <w:rsid w:val="066DD983"/>
    <w:rsid w:val="066E3AA5"/>
    <w:rsid w:val="066E5028"/>
    <w:rsid w:val="066EF41D"/>
    <w:rsid w:val="066F076A"/>
    <w:rsid w:val="066FB292"/>
    <w:rsid w:val="06703C62"/>
    <w:rsid w:val="0670D123"/>
    <w:rsid w:val="0670E66E"/>
    <w:rsid w:val="0670FCEB"/>
    <w:rsid w:val="06712DD8"/>
    <w:rsid w:val="06714143"/>
    <w:rsid w:val="0671C05A"/>
    <w:rsid w:val="067399CC"/>
    <w:rsid w:val="0673D12A"/>
    <w:rsid w:val="06745F3A"/>
    <w:rsid w:val="067488EF"/>
    <w:rsid w:val="06749153"/>
    <w:rsid w:val="06749604"/>
    <w:rsid w:val="06749CA8"/>
    <w:rsid w:val="0678DEB7"/>
    <w:rsid w:val="0678E94D"/>
    <w:rsid w:val="06798E40"/>
    <w:rsid w:val="0679AB9E"/>
    <w:rsid w:val="0679C683"/>
    <w:rsid w:val="067A978A"/>
    <w:rsid w:val="067AC94C"/>
    <w:rsid w:val="067AEC10"/>
    <w:rsid w:val="067B979D"/>
    <w:rsid w:val="067C1404"/>
    <w:rsid w:val="067C53EA"/>
    <w:rsid w:val="067C8814"/>
    <w:rsid w:val="067E22B5"/>
    <w:rsid w:val="067E8137"/>
    <w:rsid w:val="067F3A64"/>
    <w:rsid w:val="067F6349"/>
    <w:rsid w:val="067F8AD8"/>
    <w:rsid w:val="067F9E30"/>
    <w:rsid w:val="06805CB1"/>
    <w:rsid w:val="0681C7F5"/>
    <w:rsid w:val="0681F2EA"/>
    <w:rsid w:val="06820E3C"/>
    <w:rsid w:val="06824A76"/>
    <w:rsid w:val="06826854"/>
    <w:rsid w:val="06827EBE"/>
    <w:rsid w:val="0682B069"/>
    <w:rsid w:val="0682BBFB"/>
    <w:rsid w:val="0682FA83"/>
    <w:rsid w:val="06831620"/>
    <w:rsid w:val="068443CC"/>
    <w:rsid w:val="0684D064"/>
    <w:rsid w:val="0684D1FD"/>
    <w:rsid w:val="0685538E"/>
    <w:rsid w:val="0685B092"/>
    <w:rsid w:val="0685C7FB"/>
    <w:rsid w:val="0686E2A2"/>
    <w:rsid w:val="06873107"/>
    <w:rsid w:val="06875A4E"/>
    <w:rsid w:val="06880C87"/>
    <w:rsid w:val="0688C2F5"/>
    <w:rsid w:val="0688D1F1"/>
    <w:rsid w:val="0689996E"/>
    <w:rsid w:val="06899AD0"/>
    <w:rsid w:val="06899B25"/>
    <w:rsid w:val="068B070A"/>
    <w:rsid w:val="068B5181"/>
    <w:rsid w:val="068B78E4"/>
    <w:rsid w:val="068BD706"/>
    <w:rsid w:val="068C65C8"/>
    <w:rsid w:val="068CC9C9"/>
    <w:rsid w:val="068D0A10"/>
    <w:rsid w:val="068D5E79"/>
    <w:rsid w:val="068DB040"/>
    <w:rsid w:val="068E5006"/>
    <w:rsid w:val="068F5805"/>
    <w:rsid w:val="068FA70F"/>
    <w:rsid w:val="068FDF65"/>
    <w:rsid w:val="068FF7BF"/>
    <w:rsid w:val="06904903"/>
    <w:rsid w:val="0692D3D5"/>
    <w:rsid w:val="0692EDFE"/>
    <w:rsid w:val="06931B6F"/>
    <w:rsid w:val="0693F971"/>
    <w:rsid w:val="0693FF25"/>
    <w:rsid w:val="06940A36"/>
    <w:rsid w:val="069458CB"/>
    <w:rsid w:val="0694B850"/>
    <w:rsid w:val="0694D7DD"/>
    <w:rsid w:val="0695A189"/>
    <w:rsid w:val="06965C40"/>
    <w:rsid w:val="06968323"/>
    <w:rsid w:val="0697CD8B"/>
    <w:rsid w:val="0698FCCA"/>
    <w:rsid w:val="069976EF"/>
    <w:rsid w:val="069ABCFC"/>
    <w:rsid w:val="069AD41C"/>
    <w:rsid w:val="069AE97D"/>
    <w:rsid w:val="069B0813"/>
    <w:rsid w:val="069D4FFC"/>
    <w:rsid w:val="069DCDED"/>
    <w:rsid w:val="069F890F"/>
    <w:rsid w:val="069FA6CE"/>
    <w:rsid w:val="06A0DEB1"/>
    <w:rsid w:val="06A12853"/>
    <w:rsid w:val="06A2A73C"/>
    <w:rsid w:val="06A2EEDB"/>
    <w:rsid w:val="06A41233"/>
    <w:rsid w:val="06A5228A"/>
    <w:rsid w:val="06A52FDF"/>
    <w:rsid w:val="06A74F4D"/>
    <w:rsid w:val="06A75B1F"/>
    <w:rsid w:val="06A76BE9"/>
    <w:rsid w:val="06A76FEB"/>
    <w:rsid w:val="06A7B764"/>
    <w:rsid w:val="06A96937"/>
    <w:rsid w:val="06A9D10F"/>
    <w:rsid w:val="06A9E4A2"/>
    <w:rsid w:val="06AAA2C5"/>
    <w:rsid w:val="06AAB90D"/>
    <w:rsid w:val="06AB7277"/>
    <w:rsid w:val="06ADE65B"/>
    <w:rsid w:val="06AE1705"/>
    <w:rsid w:val="06AE7540"/>
    <w:rsid w:val="06AED9F8"/>
    <w:rsid w:val="06AEDC6B"/>
    <w:rsid w:val="06AF579B"/>
    <w:rsid w:val="06AF5C24"/>
    <w:rsid w:val="06AFE7E9"/>
    <w:rsid w:val="06B06C6B"/>
    <w:rsid w:val="06B08695"/>
    <w:rsid w:val="06B0C061"/>
    <w:rsid w:val="06B0C7F6"/>
    <w:rsid w:val="06B0FA3F"/>
    <w:rsid w:val="06B141A7"/>
    <w:rsid w:val="06B153AA"/>
    <w:rsid w:val="06B17F66"/>
    <w:rsid w:val="06B2A00B"/>
    <w:rsid w:val="06B2C84C"/>
    <w:rsid w:val="06B2F298"/>
    <w:rsid w:val="06B30A3D"/>
    <w:rsid w:val="06B31E22"/>
    <w:rsid w:val="06B4B7B4"/>
    <w:rsid w:val="06B54D7D"/>
    <w:rsid w:val="06B58C1C"/>
    <w:rsid w:val="06B6A4DF"/>
    <w:rsid w:val="06B6C40E"/>
    <w:rsid w:val="06B768B8"/>
    <w:rsid w:val="06B84BF1"/>
    <w:rsid w:val="06B95D41"/>
    <w:rsid w:val="06B9D95C"/>
    <w:rsid w:val="06BA28CB"/>
    <w:rsid w:val="06BA5BB0"/>
    <w:rsid w:val="06BD4A6D"/>
    <w:rsid w:val="06BDAF4D"/>
    <w:rsid w:val="06BEA683"/>
    <w:rsid w:val="06BF7363"/>
    <w:rsid w:val="06C0ABC4"/>
    <w:rsid w:val="06C30F0A"/>
    <w:rsid w:val="06C3D6D0"/>
    <w:rsid w:val="06C41763"/>
    <w:rsid w:val="06C45794"/>
    <w:rsid w:val="06C4D183"/>
    <w:rsid w:val="06C4E359"/>
    <w:rsid w:val="06C60E24"/>
    <w:rsid w:val="06C616B2"/>
    <w:rsid w:val="06C631A4"/>
    <w:rsid w:val="06C64603"/>
    <w:rsid w:val="06C78E78"/>
    <w:rsid w:val="06C83644"/>
    <w:rsid w:val="06C84164"/>
    <w:rsid w:val="06C8D4F9"/>
    <w:rsid w:val="06C978F5"/>
    <w:rsid w:val="06C9AB20"/>
    <w:rsid w:val="06C9AC31"/>
    <w:rsid w:val="06C9CB81"/>
    <w:rsid w:val="06CAA718"/>
    <w:rsid w:val="06CACB87"/>
    <w:rsid w:val="06CC87FA"/>
    <w:rsid w:val="06CC9333"/>
    <w:rsid w:val="06CCACE5"/>
    <w:rsid w:val="06CCC065"/>
    <w:rsid w:val="06CD3E83"/>
    <w:rsid w:val="06CE3B43"/>
    <w:rsid w:val="06CE6F8D"/>
    <w:rsid w:val="06CE7095"/>
    <w:rsid w:val="06CEA1AF"/>
    <w:rsid w:val="06CF2BA5"/>
    <w:rsid w:val="06CF6E0D"/>
    <w:rsid w:val="06CFED43"/>
    <w:rsid w:val="06D0326D"/>
    <w:rsid w:val="06D14023"/>
    <w:rsid w:val="06D1B0EF"/>
    <w:rsid w:val="06D22A9E"/>
    <w:rsid w:val="06D3E293"/>
    <w:rsid w:val="06D3FF2E"/>
    <w:rsid w:val="06D48E92"/>
    <w:rsid w:val="06D4CD6F"/>
    <w:rsid w:val="06D4E4E8"/>
    <w:rsid w:val="06D6B7BC"/>
    <w:rsid w:val="06D7635D"/>
    <w:rsid w:val="06D7EEB4"/>
    <w:rsid w:val="06D87A74"/>
    <w:rsid w:val="06D87C38"/>
    <w:rsid w:val="06D8B0F3"/>
    <w:rsid w:val="06D90120"/>
    <w:rsid w:val="06D98481"/>
    <w:rsid w:val="06DAA852"/>
    <w:rsid w:val="06DB6174"/>
    <w:rsid w:val="06DB6C89"/>
    <w:rsid w:val="06DB8988"/>
    <w:rsid w:val="06DC7E89"/>
    <w:rsid w:val="06DD12FA"/>
    <w:rsid w:val="06DD4DD1"/>
    <w:rsid w:val="06DF2C80"/>
    <w:rsid w:val="06DF60DA"/>
    <w:rsid w:val="06E0F25E"/>
    <w:rsid w:val="06E10755"/>
    <w:rsid w:val="06E1D14C"/>
    <w:rsid w:val="06E1E491"/>
    <w:rsid w:val="06E22CD1"/>
    <w:rsid w:val="06E2AAC5"/>
    <w:rsid w:val="06E506B6"/>
    <w:rsid w:val="06E5B54E"/>
    <w:rsid w:val="06E629C6"/>
    <w:rsid w:val="06E6B337"/>
    <w:rsid w:val="06E823EB"/>
    <w:rsid w:val="06E8DE32"/>
    <w:rsid w:val="06E921F8"/>
    <w:rsid w:val="06E97E79"/>
    <w:rsid w:val="06E97FF7"/>
    <w:rsid w:val="06E9F48F"/>
    <w:rsid w:val="06EA4497"/>
    <w:rsid w:val="06EBCD1B"/>
    <w:rsid w:val="06EC20D6"/>
    <w:rsid w:val="06ED4703"/>
    <w:rsid w:val="06ED4C5E"/>
    <w:rsid w:val="06ED550A"/>
    <w:rsid w:val="06ED6234"/>
    <w:rsid w:val="06ED8E97"/>
    <w:rsid w:val="06EE75AD"/>
    <w:rsid w:val="06F04A99"/>
    <w:rsid w:val="06F06B39"/>
    <w:rsid w:val="06F0A648"/>
    <w:rsid w:val="06F16727"/>
    <w:rsid w:val="06F17EB1"/>
    <w:rsid w:val="06F1952F"/>
    <w:rsid w:val="06F2B241"/>
    <w:rsid w:val="06F44F92"/>
    <w:rsid w:val="06F473CB"/>
    <w:rsid w:val="06F4E64D"/>
    <w:rsid w:val="06F4E972"/>
    <w:rsid w:val="06F508E2"/>
    <w:rsid w:val="06F53392"/>
    <w:rsid w:val="06F5AA74"/>
    <w:rsid w:val="06F5D9E5"/>
    <w:rsid w:val="06F66789"/>
    <w:rsid w:val="06F6985E"/>
    <w:rsid w:val="06F78A7A"/>
    <w:rsid w:val="06F7C20A"/>
    <w:rsid w:val="06F83C3D"/>
    <w:rsid w:val="06F866FE"/>
    <w:rsid w:val="06F87B12"/>
    <w:rsid w:val="06F90164"/>
    <w:rsid w:val="06F933FC"/>
    <w:rsid w:val="06F957F8"/>
    <w:rsid w:val="06F9E638"/>
    <w:rsid w:val="06FA6FF8"/>
    <w:rsid w:val="06FBEC2C"/>
    <w:rsid w:val="06FC8EF5"/>
    <w:rsid w:val="06FD0EE4"/>
    <w:rsid w:val="06FD6DA6"/>
    <w:rsid w:val="06FD82E0"/>
    <w:rsid w:val="06FDE4BF"/>
    <w:rsid w:val="06FE31D1"/>
    <w:rsid w:val="06FEFCE3"/>
    <w:rsid w:val="06FF4635"/>
    <w:rsid w:val="06FF5BA6"/>
    <w:rsid w:val="06FF783E"/>
    <w:rsid w:val="07000F58"/>
    <w:rsid w:val="0700465D"/>
    <w:rsid w:val="0700D2D0"/>
    <w:rsid w:val="0701FFAC"/>
    <w:rsid w:val="07034AFD"/>
    <w:rsid w:val="07051603"/>
    <w:rsid w:val="0705C6AD"/>
    <w:rsid w:val="07063D16"/>
    <w:rsid w:val="0706AECC"/>
    <w:rsid w:val="07072B0A"/>
    <w:rsid w:val="070879B6"/>
    <w:rsid w:val="07088EAD"/>
    <w:rsid w:val="0708E913"/>
    <w:rsid w:val="07092BB4"/>
    <w:rsid w:val="070986F5"/>
    <w:rsid w:val="0709DB6D"/>
    <w:rsid w:val="0709DCFA"/>
    <w:rsid w:val="0709E72A"/>
    <w:rsid w:val="070A63DB"/>
    <w:rsid w:val="070C63CC"/>
    <w:rsid w:val="070CD1BB"/>
    <w:rsid w:val="070D314A"/>
    <w:rsid w:val="070DD9D5"/>
    <w:rsid w:val="070E883B"/>
    <w:rsid w:val="070EA97B"/>
    <w:rsid w:val="070EF3EF"/>
    <w:rsid w:val="070F9048"/>
    <w:rsid w:val="0710A219"/>
    <w:rsid w:val="0710F555"/>
    <w:rsid w:val="0711381C"/>
    <w:rsid w:val="0711BDF5"/>
    <w:rsid w:val="0712B033"/>
    <w:rsid w:val="0713FBFB"/>
    <w:rsid w:val="07146DBF"/>
    <w:rsid w:val="07149FA3"/>
    <w:rsid w:val="07156A03"/>
    <w:rsid w:val="0715BAC3"/>
    <w:rsid w:val="0715E438"/>
    <w:rsid w:val="07164B4C"/>
    <w:rsid w:val="0716A594"/>
    <w:rsid w:val="071704B5"/>
    <w:rsid w:val="07171600"/>
    <w:rsid w:val="071765DD"/>
    <w:rsid w:val="071817D8"/>
    <w:rsid w:val="07189945"/>
    <w:rsid w:val="071946C3"/>
    <w:rsid w:val="0719E825"/>
    <w:rsid w:val="0719E963"/>
    <w:rsid w:val="071B0F6C"/>
    <w:rsid w:val="071BBD12"/>
    <w:rsid w:val="071BD028"/>
    <w:rsid w:val="071D541A"/>
    <w:rsid w:val="071DAD72"/>
    <w:rsid w:val="071E5A24"/>
    <w:rsid w:val="071F5E76"/>
    <w:rsid w:val="071F6D87"/>
    <w:rsid w:val="07200B89"/>
    <w:rsid w:val="07204FA5"/>
    <w:rsid w:val="07219024"/>
    <w:rsid w:val="072220ED"/>
    <w:rsid w:val="07243602"/>
    <w:rsid w:val="0724A8AE"/>
    <w:rsid w:val="0724B3E1"/>
    <w:rsid w:val="0725A3EE"/>
    <w:rsid w:val="07262505"/>
    <w:rsid w:val="072663E0"/>
    <w:rsid w:val="0726FEBE"/>
    <w:rsid w:val="07275048"/>
    <w:rsid w:val="0727DD5C"/>
    <w:rsid w:val="0727F16F"/>
    <w:rsid w:val="072808BB"/>
    <w:rsid w:val="07297062"/>
    <w:rsid w:val="0729B755"/>
    <w:rsid w:val="0729C768"/>
    <w:rsid w:val="072AA250"/>
    <w:rsid w:val="072B02F3"/>
    <w:rsid w:val="072BB74C"/>
    <w:rsid w:val="072C961B"/>
    <w:rsid w:val="072CA3C3"/>
    <w:rsid w:val="072DB97C"/>
    <w:rsid w:val="072EE41C"/>
    <w:rsid w:val="07305389"/>
    <w:rsid w:val="07306E22"/>
    <w:rsid w:val="07308A9B"/>
    <w:rsid w:val="07310516"/>
    <w:rsid w:val="073157A4"/>
    <w:rsid w:val="073161DE"/>
    <w:rsid w:val="0731664D"/>
    <w:rsid w:val="07325A22"/>
    <w:rsid w:val="07333DD7"/>
    <w:rsid w:val="073400A5"/>
    <w:rsid w:val="07347DC7"/>
    <w:rsid w:val="0734CCC4"/>
    <w:rsid w:val="07379249"/>
    <w:rsid w:val="0737BB18"/>
    <w:rsid w:val="0739B3A3"/>
    <w:rsid w:val="0739C576"/>
    <w:rsid w:val="0739DBF9"/>
    <w:rsid w:val="073A5344"/>
    <w:rsid w:val="073A7AC5"/>
    <w:rsid w:val="073A8699"/>
    <w:rsid w:val="073B8357"/>
    <w:rsid w:val="073BCC40"/>
    <w:rsid w:val="073CEDF9"/>
    <w:rsid w:val="073ED537"/>
    <w:rsid w:val="073EEE68"/>
    <w:rsid w:val="073F5C67"/>
    <w:rsid w:val="073FC05D"/>
    <w:rsid w:val="07411759"/>
    <w:rsid w:val="0741A430"/>
    <w:rsid w:val="0741D432"/>
    <w:rsid w:val="0742251C"/>
    <w:rsid w:val="074282A9"/>
    <w:rsid w:val="0743AB4C"/>
    <w:rsid w:val="0743DAA1"/>
    <w:rsid w:val="0744464B"/>
    <w:rsid w:val="0744C40C"/>
    <w:rsid w:val="0744CAB4"/>
    <w:rsid w:val="07453967"/>
    <w:rsid w:val="07459A4F"/>
    <w:rsid w:val="07460BD5"/>
    <w:rsid w:val="07461376"/>
    <w:rsid w:val="074665EB"/>
    <w:rsid w:val="0746D312"/>
    <w:rsid w:val="0747697A"/>
    <w:rsid w:val="0748085B"/>
    <w:rsid w:val="07487F61"/>
    <w:rsid w:val="0748CC09"/>
    <w:rsid w:val="0749D535"/>
    <w:rsid w:val="0749E0E3"/>
    <w:rsid w:val="074AA314"/>
    <w:rsid w:val="074BB61A"/>
    <w:rsid w:val="074C56E9"/>
    <w:rsid w:val="074D760B"/>
    <w:rsid w:val="074DFECC"/>
    <w:rsid w:val="074E10BD"/>
    <w:rsid w:val="074EAC66"/>
    <w:rsid w:val="074EADB2"/>
    <w:rsid w:val="074F5004"/>
    <w:rsid w:val="07506E5C"/>
    <w:rsid w:val="07521BDD"/>
    <w:rsid w:val="075228CA"/>
    <w:rsid w:val="07529526"/>
    <w:rsid w:val="0752E60F"/>
    <w:rsid w:val="07534138"/>
    <w:rsid w:val="075369D0"/>
    <w:rsid w:val="0753B064"/>
    <w:rsid w:val="0754667F"/>
    <w:rsid w:val="07547CE2"/>
    <w:rsid w:val="07562F40"/>
    <w:rsid w:val="07566678"/>
    <w:rsid w:val="075694CB"/>
    <w:rsid w:val="0758310A"/>
    <w:rsid w:val="0759A404"/>
    <w:rsid w:val="075A03C7"/>
    <w:rsid w:val="075A7883"/>
    <w:rsid w:val="075AF3B5"/>
    <w:rsid w:val="075B2285"/>
    <w:rsid w:val="075C4F46"/>
    <w:rsid w:val="075D091F"/>
    <w:rsid w:val="075D9940"/>
    <w:rsid w:val="075DA422"/>
    <w:rsid w:val="075DFAC9"/>
    <w:rsid w:val="075E18C4"/>
    <w:rsid w:val="075E694A"/>
    <w:rsid w:val="075E8CDB"/>
    <w:rsid w:val="075EBA55"/>
    <w:rsid w:val="075F14AA"/>
    <w:rsid w:val="075F3482"/>
    <w:rsid w:val="075FD6ED"/>
    <w:rsid w:val="0760E7A1"/>
    <w:rsid w:val="0761276C"/>
    <w:rsid w:val="076161BE"/>
    <w:rsid w:val="07628731"/>
    <w:rsid w:val="0762B256"/>
    <w:rsid w:val="0762C7A0"/>
    <w:rsid w:val="0763F350"/>
    <w:rsid w:val="07642503"/>
    <w:rsid w:val="0764387C"/>
    <w:rsid w:val="076576FC"/>
    <w:rsid w:val="0765B753"/>
    <w:rsid w:val="0765DB08"/>
    <w:rsid w:val="07662896"/>
    <w:rsid w:val="076670C0"/>
    <w:rsid w:val="0767C05E"/>
    <w:rsid w:val="0768875A"/>
    <w:rsid w:val="0768C3BE"/>
    <w:rsid w:val="076A088C"/>
    <w:rsid w:val="076A3AEF"/>
    <w:rsid w:val="076ABFBA"/>
    <w:rsid w:val="076B1415"/>
    <w:rsid w:val="076B62E9"/>
    <w:rsid w:val="076BA123"/>
    <w:rsid w:val="076BF573"/>
    <w:rsid w:val="076CC84F"/>
    <w:rsid w:val="076D6200"/>
    <w:rsid w:val="076DA106"/>
    <w:rsid w:val="076DEFAB"/>
    <w:rsid w:val="076EF05A"/>
    <w:rsid w:val="076F5399"/>
    <w:rsid w:val="076F98D2"/>
    <w:rsid w:val="076FA717"/>
    <w:rsid w:val="07702D5A"/>
    <w:rsid w:val="077033E5"/>
    <w:rsid w:val="07704ACD"/>
    <w:rsid w:val="07705931"/>
    <w:rsid w:val="0770AEB0"/>
    <w:rsid w:val="077166C0"/>
    <w:rsid w:val="077211E1"/>
    <w:rsid w:val="07724146"/>
    <w:rsid w:val="0772687D"/>
    <w:rsid w:val="0772BCB9"/>
    <w:rsid w:val="0772BD00"/>
    <w:rsid w:val="0772D6BC"/>
    <w:rsid w:val="07733B43"/>
    <w:rsid w:val="07735497"/>
    <w:rsid w:val="0773CF44"/>
    <w:rsid w:val="0773FF87"/>
    <w:rsid w:val="07757678"/>
    <w:rsid w:val="0775F1B9"/>
    <w:rsid w:val="0776043B"/>
    <w:rsid w:val="07767CE6"/>
    <w:rsid w:val="0777289F"/>
    <w:rsid w:val="07779CB3"/>
    <w:rsid w:val="0777C9DE"/>
    <w:rsid w:val="0778FFA7"/>
    <w:rsid w:val="07797DD6"/>
    <w:rsid w:val="077AEF74"/>
    <w:rsid w:val="077B3831"/>
    <w:rsid w:val="077C28D1"/>
    <w:rsid w:val="077C7392"/>
    <w:rsid w:val="077CE0DD"/>
    <w:rsid w:val="077D0EE6"/>
    <w:rsid w:val="077D1BDF"/>
    <w:rsid w:val="077D3327"/>
    <w:rsid w:val="077EF04E"/>
    <w:rsid w:val="077F6A31"/>
    <w:rsid w:val="077F76CE"/>
    <w:rsid w:val="077FD7B7"/>
    <w:rsid w:val="077FE23C"/>
    <w:rsid w:val="0780162F"/>
    <w:rsid w:val="07808DF7"/>
    <w:rsid w:val="078163B2"/>
    <w:rsid w:val="078163BA"/>
    <w:rsid w:val="0782B1C6"/>
    <w:rsid w:val="07835B57"/>
    <w:rsid w:val="078437D1"/>
    <w:rsid w:val="07844510"/>
    <w:rsid w:val="07846370"/>
    <w:rsid w:val="07846743"/>
    <w:rsid w:val="07846DB5"/>
    <w:rsid w:val="07849729"/>
    <w:rsid w:val="0784BEA5"/>
    <w:rsid w:val="0784DE02"/>
    <w:rsid w:val="0785288B"/>
    <w:rsid w:val="07859ADE"/>
    <w:rsid w:val="0785CD6A"/>
    <w:rsid w:val="0785CDA2"/>
    <w:rsid w:val="078884CE"/>
    <w:rsid w:val="0788AD81"/>
    <w:rsid w:val="0788E5AE"/>
    <w:rsid w:val="07894412"/>
    <w:rsid w:val="078B6790"/>
    <w:rsid w:val="078B6B74"/>
    <w:rsid w:val="078BE1CD"/>
    <w:rsid w:val="078C44B2"/>
    <w:rsid w:val="078CF254"/>
    <w:rsid w:val="078D0A04"/>
    <w:rsid w:val="078D43DC"/>
    <w:rsid w:val="078D4E68"/>
    <w:rsid w:val="078DDFF1"/>
    <w:rsid w:val="078DE1FE"/>
    <w:rsid w:val="078DF4EB"/>
    <w:rsid w:val="078E6B7C"/>
    <w:rsid w:val="078E8D74"/>
    <w:rsid w:val="078EF30F"/>
    <w:rsid w:val="078F9106"/>
    <w:rsid w:val="0790AEF8"/>
    <w:rsid w:val="0790D91C"/>
    <w:rsid w:val="07915664"/>
    <w:rsid w:val="07917C77"/>
    <w:rsid w:val="0791BA2F"/>
    <w:rsid w:val="079239C2"/>
    <w:rsid w:val="07924364"/>
    <w:rsid w:val="079378B4"/>
    <w:rsid w:val="0793C274"/>
    <w:rsid w:val="0793F7D0"/>
    <w:rsid w:val="0795522B"/>
    <w:rsid w:val="07957AD3"/>
    <w:rsid w:val="0795F25F"/>
    <w:rsid w:val="0796B3A2"/>
    <w:rsid w:val="0796C0B5"/>
    <w:rsid w:val="07974058"/>
    <w:rsid w:val="0797D753"/>
    <w:rsid w:val="079AF440"/>
    <w:rsid w:val="079C27B9"/>
    <w:rsid w:val="079C5D37"/>
    <w:rsid w:val="079CA57D"/>
    <w:rsid w:val="079D78C7"/>
    <w:rsid w:val="079DE06A"/>
    <w:rsid w:val="079F3132"/>
    <w:rsid w:val="079FC16A"/>
    <w:rsid w:val="07A0FB86"/>
    <w:rsid w:val="07A21C32"/>
    <w:rsid w:val="07A29828"/>
    <w:rsid w:val="07A2F584"/>
    <w:rsid w:val="07A3348C"/>
    <w:rsid w:val="07A377F6"/>
    <w:rsid w:val="07A40878"/>
    <w:rsid w:val="07A41442"/>
    <w:rsid w:val="07A59414"/>
    <w:rsid w:val="07A5C1F1"/>
    <w:rsid w:val="07A5D3EC"/>
    <w:rsid w:val="07A6154A"/>
    <w:rsid w:val="07A6E2C0"/>
    <w:rsid w:val="07A8DA89"/>
    <w:rsid w:val="07A9CAB6"/>
    <w:rsid w:val="07AABB79"/>
    <w:rsid w:val="07AABEDB"/>
    <w:rsid w:val="07AB0293"/>
    <w:rsid w:val="07AC122C"/>
    <w:rsid w:val="07ACCFB1"/>
    <w:rsid w:val="07ACF4EB"/>
    <w:rsid w:val="07AD283B"/>
    <w:rsid w:val="07AD7440"/>
    <w:rsid w:val="07AE1883"/>
    <w:rsid w:val="07AEDCC5"/>
    <w:rsid w:val="07AEE162"/>
    <w:rsid w:val="07B0CD8E"/>
    <w:rsid w:val="07B0E7D8"/>
    <w:rsid w:val="07B1554F"/>
    <w:rsid w:val="07B1B8F5"/>
    <w:rsid w:val="07B1D4E4"/>
    <w:rsid w:val="07B2F942"/>
    <w:rsid w:val="07B3F108"/>
    <w:rsid w:val="07B3FE0C"/>
    <w:rsid w:val="07B4DBA2"/>
    <w:rsid w:val="07B57D09"/>
    <w:rsid w:val="07B5A0EB"/>
    <w:rsid w:val="07B5A73C"/>
    <w:rsid w:val="07B5AB4E"/>
    <w:rsid w:val="07B5AD1E"/>
    <w:rsid w:val="07B5FF84"/>
    <w:rsid w:val="07B6A1FE"/>
    <w:rsid w:val="07B737EF"/>
    <w:rsid w:val="07B73A4F"/>
    <w:rsid w:val="07B77BED"/>
    <w:rsid w:val="07B7BD9F"/>
    <w:rsid w:val="07B7D1F4"/>
    <w:rsid w:val="07B7EB5C"/>
    <w:rsid w:val="07B96BEB"/>
    <w:rsid w:val="07BB6A3A"/>
    <w:rsid w:val="07BC492C"/>
    <w:rsid w:val="07BC4F91"/>
    <w:rsid w:val="07BD2E2B"/>
    <w:rsid w:val="07BD36FC"/>
    <w:rsid w:val="07BFC08F"/>
    <w:rsid w:val="07BFE3C1"/>
    <w:rsid w:val="07C09735"/>
    <w:rsid w:val="07C1CDA9"/>
    <w:rsid w:val="07C2DC0F"/>
    <w:rsid w:val="07C3476B"/>
    <w:rsid w:val="07C355CC"/>
    <w:rsid w:val="07C37E07"/>
    <w:rsid w:val="07C39B83"/>
    <w:rsid w:val="07C3F6DE"/>
    <w:rsid w:val="07C453F0"/>
    <w:rsid w:val="07C46BDD"/>
    <w:rsid w:val="07C573A8"/>
    <w:rsid w:val="07C5875D"/>
    <w:rsid w:val="07C628EA"/>
    <w:rsid w:val="07C6772C"/>
    <w:rsid w:val="07C6C89D"/>
    <w:rsid w:val="07C88F20"/>
    <w:rsid w:val="07C8A000"/>
    <w:rsid w:val="07C8D32A"/>
    <w:rsid w:val="07C9210F"/>
    <w:rsid w:val="07C9DD06"/>
    <w:rsid w:val="07C9EC83"/>
    <w:rsid w:val="07CA9E7A"/>
    <w:rsid w:val="07CAF265"/>
    <w:rsid w:val="07CB6B16"/>
    <w:rsid w:val="07CCCDA2"/>
    <w:rsid w:val="07CDE2A0"/>
    <w:rsid w:val="07CE218A"/>
    <w:rsid w:val="07CF5E55"/>
    <w:rsid w:val="07CFFEA1"/>
    <w:rsid w:val="07D00DCA"/>
    <w:rsid w:val="07D0DED4"/>
    <w:rsid w:val="07D0F69A"/>
    <w:rsid w:val="07D1702E"/>
    <w:rsid w:val="07D1B0FF"/>
    <w:rsid w:val="07D20474"/>
    <w:rsid w:val="07D295F8"/>
    <w:rsid w:val="07D34FF7"/>
    <w:rsid w:val="07D3C883"/>
    <w:rsid w:val="07D3DFFD"/>
    <w:rsid w:val="07D4598D"/>
    <w:rsid w:val="07D45D16"/>
    <w:rsid w:val="07D4A86B"/>
    <w:rsid w:val="07D4DBC9"/>
    <w:rsid w:val="07D5B04B"/>
    <w:rsid w:val="07D5D73D"/>
    <w:rsid w:val="07D5DE41"/>
    <w:rsid w:val="07D6BFA3"/>
    <w:rsid w:val="07D6C722"/>
    <w:rsid w:val="07D74E7A"/>
    <w:rsid w:val="07D7C4D8"/>
    <w:rsid w:val="07D81F87"/>
    <w:rsid w:val="07D8F257"/>
    <w:rsid w:val="07D900D7"/>
    <w:rsid w:val="07D9DC09"/>
    <w:rsid w:val="07DA14A2"/>
    <w:rsid w:val="07DA3295"/>
    <w:rsid w:val="07DABE64"/>
    <w:rsid w:val="07DAFF91"/>
    <w:rsid w:val="07DBC309"/>
    <w:rsid w:val="07DBD10B"/>
    <w:rsid w:val="07DC2DD8"/>
    <w:rsid w:val="07DC6726"/>
    <w:rsid w:val="07DD7F16"/>
    <w:rsid w:val="07DD9746"/>
    <w:rsid w:val="07DDB95B"/>
    <w:rsid w:val="07DDD521"/>
    <w:rsid w:val="07DEB196"/>
    <w:rsid w:val="07DF1AB2"/>
    <w:rsid w:val="07DF8CAE"/>
    <w:rsid w:val="07DFB1E7"/>
    <w:rsid w:val="07DFE6DD"/>
    <w:rsid w:val="07E04ED5"/>
    <w:rsid w:val="07E1B7CA"/>
    <w:rsid w:val="07E1BCC8"/>
    <w:rsid w:val="07E21B0A"/>
    <w:rsid w:val="07E25CE7"/>
    <w:rsid w:val="07E2B5FC"/>
    <w:rsid w:val="07E35FA2"/>
    <w:rsid w:val="07E3B5BB"/>
    <w:rsid w:val="07E3F97A"/>
    <w:rsid w:val="07E64ED0"/>
    <w:rsid w:val="07E6508A"/>
    <w:rsid w:val="07E672D0"/>
    <w:rsid w:val="07E7983B"/>
    <w:rsid w:val="07E83AC5"/>
    <w:rsid w:val="07E8A15B"/>
    <w:rsid w:val="07E9392F"/>
    <w:rsid w:val="07EACA36"/>
    <w:rsid w:val="07EACBFF"/>
    <w:rsid w:val="07EADFC8"/>
    <w:rsid w:val="07EB8947"/>
    <w:rsid w:val="07EC1159"/>
    <w:rsid w:val="07ED7C3A"/>
    <w:rsid w:val="07ED7F29"/>
    <w:rsid w:val="07EDA9CE"/>
    <w:rsid w:val="07EDFBCE"/>
    <w:rsid w:val="07EE2740"/>
    <w:rsid w:val="07EF12AD"/>
    <w:rsid w:val="07EF1A6D"/>
    <w:rsid w:val="07EF3C94"/>
    <w:rsid w:val="07EF80C8"/>
    <w:rsid w:val="07EF8B15"/>
    <w:rsid w:val="07EFFA74"/>
    <w:rsid w:val="07F095CB"/>
    <w:rsid w:val="07F0DFF2"/>
    <w:rsid w:val="07F11510"/>
    <w:rsid w:val="07F17045"/>
    <w:rsid w:val="07F1F235"/>
    <w:rsid w:val="07F24D59"/>
    <w:rsid w:val="07F27EF5"/>
    <w:rsid w:val="07F3CFFF"/>
    <w:rsid w:val="07F4049E"/>
    <w:rsid w:val="07F42B43"/>
    <w:rsid w:val="07F4D3D9"/>
    <w:rsid w:val="07F548EF"/>
    <w:rsid w:val="07F5B825"/>
    <w:rsid w:val="07F69010"/>
    <w:rsid w:val="07F7378A"/>
    <w:rsid w:val="07F78DBC"/>
    <w:rsid w:val="07F83B8B"/>
    <w:rsid w:val="07F8429A"/>
    <w:rsid w:val="07F87C32"/>
    <w:rsid w:val="07F8D41E"/>
    <w:rsid w:val="07F921EA"/>
    <w:rsid w:val="07F998BA"/>
    <w:rsid w:val="07FA4A00"/>
    <w:rsid w:val="07FA8373"/>
    <w:rsid w:val="07FAB988"/>
    <w:rsid w:val="07FB27D1"/>
    <w:rsid w:val="07FB5B35"/>
    <w:rsid w:val="07FC40D1"/>
    <w:rsid w:val="07FCC40C"/>
    <w:rsid w:val="07FCDC0A"/>
    <w:rsid w:val="07FD0168"/>
    <w:rsid w:val="07FD566A"/>
    <w:rsid w:val="07FE2696"/>
    <w:rsid w:val="07FE4600"/>
    <w:rsid w:val="07FE64DB"/>
    <w:rsid w:val="07FE93FC"/>
    <w:rsid w:val="07FF881F"/>
    <w:rsid w:val="07FFC5C7"/>
    <w:rsid w:val="080076DE"/>
    <w:rsid w:val="0800C2E2"/>
    <w:rsid w:val="08017BC9"/>
    <w:rsid w:val="0801ABEC"/>
    <w:rsid w:val="0801F45C"/>
    <w:rsid w:val="0802BD12"/>
    <w:rsid w:val="08030DCC"/>
    <w:rsid w:val="08048C01"/>
    <w:rsid w:val="0804E259"/>
    <w:rsid w:val="08059B27"/>
    <w:rsid w:val="0806252A"/>
    <w:rsid w:val="0806BA9D"/>
    <w:rsid w:val="0807922C"/>
    <w:rsid w:val="0807B445"/>
    <w:rsid w:val="08086281"/>
    <w:rsid w:val="08086F66"/>
    <w:rsid w:val="0808BF86"/>
    <w:rsid w:val="08092314"/>
    <w:rsid w:val="080B55F7"/>
    <w:rsid w:val="080B7422"/>
    <w:rsid w:val="080BCE07"/>
    <w:rsid w:val="080C6BEB"/>
    <w:rsid w:val="080CD346"/>
    <w:rsid w:val="080D0E10"/>
    <w:rsid w:val="080DBD94"/>
    <w:rsid w:val="080E0282"/>
    <w:rsid w:val="080E64AF"/>
    <w:rsid w:val="080E67FA"/>
    <w:rsid w:val="080EB8C8"/>
    <w:rsid w:val="081048E2"/>
    <w:rsid w:val="08110202"/>
    <w:rsid w:val="0811B0E9"/>
    <w:rsid w:val="0811E8D6"/>
    <w:rsid w:val="08120CAF"/>
    <w:rsid w:val="08121D3F"/>
    <w:rsid w:val="08123787"/>
    <w:rsid w:val="0812D52E"/>
    <w:rsid w:val="0813BA40"/>
    <w:rsid w:val="0813F5B0"/>
    <w:rsid w:val="08149167"/>
    <w:rsid w:val="0814A42A"/>
    <w:rsid w:val="081509B7"/>
    <w:rsid w:val="0815BF1B"/>
    <w:rsid w:val="0816639C"/>
    <w:rsid w:val="08169443"/>
    <w:rsid w:val="0816BB3E"/>
    <w:rsid w:val="0817C6EE"/>
    <w:rsid w:val="08181069"/>
    <w:rsid w:val="08181744"/>
    <w:rsid w:val="08194C6E"/>
    <w:rsid w:val="08196156"/>
    <w:rsid w:val="08198F45"/>
    <w:rsid w:val="081B50CD"/>
    <w:rsid w:val="081C8CB7"/>
    <w:rsid w:val="081C92B7"/>
    <w:rsid w:val="081CFAEE"/>
    <w:rsid w:val="081D0EF8"/>
    <w:rsid w:val="081D8546"/>
    <w:rsid w:val="081D8940"/>
    <w:rsid w:val="081DC371"/>
    <w:rsid w:val="081DE437"/>
    <w:rsid w:val="081E8C5C"/>
    <w:rsid w:val="081F2EFD"/>
    <w:rsid w:val="0820EE55"/>
    <w:rsid w:val="0820F798"/>
    <w:rsid w:val="08236E89"/>
    <w:rsid w:val="0823B8EF"/>
    <w:rsid w:val="0824939F"/>
    <w:rsid w:val="0824B982"/>
    <w:rsid w:val="0825A3B0"/>
    <w:rsid w:val="0825AB16"/>
    <w:rsid w:val="082633CF"/>
    <w:rsid w:val="08267E7F"/>
    <w:rsid w:val="08269666"/>
    <w:rsid w:val="0826EF1B"/>
    <w:rsid w:val="0828333D"/>
    <w:rsid w:val="082886AA"/>
    <w:rsid w:val="0829287B"/>
    <w:rsid w:val="082A54A5"/>
    <w:rsid w:val="082A9833"/>
    <w:rsid w:val="082AC01B"/>
    <w:rsid w:val="082B87C9"/>
    <w:rsid w:val="082D2929"/>
    <w:rsid w:val="082D3CB2"/>
    <w:rsid w:val="082D5694"/>
    <w:rsid w:val="082DC2F8"/>
    <w:rsid w:val="082E210C"/>
    <w:rsid w:val="082E6890"/>
    <w:rsid w:val="082E7729"/>
    <w:rsid w:val="082E9B54"/>
    <w:rsid w:val="082E9BC1"/>
    <w:rsid w:val="082EE25D"/>
    <w:rsid w:val="082F3C11"/>
    <w:rsid w:val="082FA3C4"/>
    <w:rsid w:val="0830412E"/>
    <w:rsid w:val="08306500"/>
    <w:rsid w:val="08317AEB"/>
    <w:rsid w:val="083186F1"/>
    <w:rsid w:val="0831A2FF"/>
    <w:rsid w:val="0832F110"/>
    <w:rsid w:val="083375FC"/>
    <w:rsid w:val="08339834"/>
    <w:rsid w:val="0833A770"/>
    <w:rsid w:val="0833DD45"/>
    <w:rsid w:val="0833E238"/>
    <w:rsid w:val="083597F9"/>
    <w:rsid w:val="0835C135"/>
    <w:rsid w:val="08362101"/>
    <w:rsid w:val="08378DD3"/>
    <w:rsid w:val="083814FB"/>
    <w:rsid w:val="083841C6"/>
    <w:rsid w:val="08390017"/>
    <w:rsid w:val="08399740"/>
    <w:rsid w:val="0839B8CA"/>
    <w:rsid w:val="083B2AEF"/>
    <w:rsid w:val="083D08DC"/>
    <w:rsid w:val="083D12F9"/>
    <w:rsid w:val="083D38A6"/>
    <w:rsid w:val="083D4F1C"/>
    <w:rsid w:val="083EC54D"/>
    <w:rsid w:val="083F45E4"/>
    <w:rsid w:val="083FF8C2"/>
    <w:rsid w:val="08404D57"/>
    <w:rsid w:val="08414F54"/>
    <w:rsid w:val="084218B8"/>
    <w:rsid w:val="0843DF7D"/>
    <w:rsid w:val="0844308F"/>
    <w:rsid w:val="08443919"/>
    <w:rsid w:val="08448D41"/>
    <w:rsid w:val="0844BFF9"/>
    <w:rsid w:val="0845AB7A"/>
    <w:rsid w:val="0845BDFD"/>
    <w:rsid w:val="08473DF7"/>
    <w:rsid w:val="08475631"/>
    <w:rsid w:val="0847A3E5"/>
    <w:rsid w:val="08483C63"/>
    <w:rsid w:val="08492D15"/>
    <w:rsid w:val="0849BCC6"/>
    <w:rsid w:val="084A1DB6"/>
    <w:rsid w:val="084AE36B"/>
    <w:rsid w:val="084BCBFB"/>
    <w:rsid w:val="084BD687"/>
    <w:rsid w:val="084C01B3"/>
    <w:rsid w:val="084C0A3E"/>
    <w:rsid w:val="084C701E"/>
    <w:rsid w:val="084CB0D6"/>
    <w:rsid w:val="084D9E1B"/>
    <w:rsid w:val="084E34EE"/>
    <w:rsid w:val="084E4395"/>
    <w:rsid w:val="084E5A83"/>
    <w:rsid w:val="084E6422"/>
    <w:rsid w:val="084E7D8E"/>
    <w:rsid w:val="084EBC14"/>
    <w:rsid w:val="084FB931"/>
    <w:rsid w:val="084FF001"/>
    <w:rsid w:val="0850A10D"/>
    <w:rsid w:val="0850A7E5"/>
    <w:rsid w:val="085119D9"/>
    <w:rsid w:val="08513266"/>
    <w:rsid w:val="085133E3"/>
    <w:rsid w:val="08516B18"/>
    <w:rsid w:val="0851F6FF"/>
    <w:rsid w:val="0853401E"/>
    <w:rsid w:val="08534B97"/>
    <w:rsid w:val="0853983C"/>
    <w:rsid w:val="0855546B"/>
    <w:rsid w:val="08568D92"/>
    <w:rsid w:val="08569D83"/>
    <w:rsid w:val="08576622"/>
    <w:rsid w:val="0857830B"/>
    <w:rsid w:val="0857A039"/>
    <w:rsid w:val="0857E493"/>
    <w:rsid w:val="08581CB9"/>
    <w:rsid w:val="08596F64"/>
    <w:rsid w:val="085AE792"/>
    <w:rsid w:val="085B924F"/>
    <w:rsid w:val="085B9300"/>
    <w:rsid w:val="085B9BAE"/>
    <w:rsid w:val="085C4551"/>
    <w:rsid w:val="085C6832"/>
    <w:rsid w:val="085CA247"/>
    <w:rsid w:val="085DD427"/>
    <w:rsid w:val="085DF48C"/>
    <w:rsid w:val="085E2B66"/>
    <w:rsid w:val="085E2EAA"/>
    <w:rsid w:val="085E8EB2"/>
    <w:rsid w:val="085F77E1"/>
    <w:rsid w:val="085FC332"/>
    <w:rsid w:val="085FF0FF"/>
    <w:rsid w:val="08607426"/>
    <w:rsid w:val="0860EC96"/>
    <w:rsid w:val="086163CC"/>
    <w:rsid w:val="08616C80"/>
    <w:rsid w:val="086176E7"/>
    <w:rsid w:val="0861810F"/>
    <w:rsid w:val="08628E59"/>
    <w:rsid w:val="086290C9"/>
    <w:rsid w:val="0863752D"/>
    <w:rsid w:val="0863AB3B"/>
    <w:rsid w:val="0863F24E"/>
    <w:rsid w:val="0864265C"/>
    <w:rsid w:val="08643603"/>
    <w:rsid w:val="08645938"/>
    <w:rsid w:val="08648C57"/>
    <w:rsid w:val="0864A0F2"/>
    <w:rsid w:val="086521C0"/>
    <w:rsid w:val="086553CE"/>
    <w:rsid w:val="0865BDF1"/>
    <w:rsid w:val="0865BE0A"/>
    <w:rsid w:val="0867481D"/>
    <w:rsid w:val="08678968"/>
    <w:rsid w:val="086877AD"/>
    <w:rsid w:val="0868DC79"/>
    <w:rsid w:val="0869601D"/>
    <w:rsid w:val="0869C2D2"/>
    <w:rsid w:val="086A048D"/>
    <w:rsid w:val="086B7B3A"/>
    <w:rsid w:val="086BE46B"/>
    <w:rsid w:val="086D38A7"/>
    <w:rsid w:val="086E5985"/>
    <w:rsid w:val="086E5B21"/>
    <w:rsid w:val="086EEC56"/>
    <w:rsid w:val="086F58A7"/>
    <w:rsid w:val="086FDC8E"/>
    <w:rsid w:val="086FE294"/>
    <w:rsid w:val="08709D33"/>
    <w:rsid w:val="0870B0AC"/>
    <w:rsid w:val="08718DE4"/>
    <w:rsid w:val="0872DCFA"/>
    <w:rsid w:val="08734FAE"/>
    <w:rsid w:val="08739AFC"/>
    <w:rsid w:val="0874BA9C"/>
    <w:rsid w:val="0874C351"/>
    <w:rsid w:val="087512C6"/>
    <w:rsid w:val="0875187B"/>
    <w:rsid w:val="08752679"/>
    <w:rsid w:val="087526B6"/>
    <w:rsid w:val="08757F3B"/>
    <w:rsid w:val="08763C44"/>
    <w:rsid w:val="08765D7B"/>
    <w:rsid w:val="0876BAF2"/>
    <w:rsid w:val="08771E24"/>
    <w:rsid w:val="08787ECF"/>
    <w:rsid w:val="0878F644"/>
    <w:rsid w:val="08790A51"/>
    <w:rsid w:val="087A4FB5"/>
    <w:rsid w:val="087AE86A"/>
    <w:rsid w:val="087C5610"/>
    <w:rsid w:val="087EA956"/>
    <w:rsid w:val="087EB9F6"/>
    <w:rsid w:val="087F557C"/>
    <w:rsid w:val="087FB9E8"/>
    <w:rsid w:val="08801561"/>
    <w:rsid w:val="08807E6C"/>
    <w:rsid w:val="0881209C"/>
    <w:rsid w:val="0881A9C3"/>
    <w:rsid w:val="0881FCEA"/>
    <w:rsid w:val="08825C72"/>
    <w:rsid w:val="08846DB2"/>
    <w:rsid w:val="0884776E"/>
    <w:rsid w:val="08849306"/>
    <w:rsid w:val="088507B8"/>
    <w:rsid w:val="088570F5"/>
    <w:rsid w:val="08859370"/>
    <w:rsid w:val="088634BC"/>
    <w:rsid w:val="0886EFE3"/>
    <w:rsid w:val="08874EC9"/>
    <w:rsid w:val="08898E18"/>
    <w:rsid w:val="0889CFB4"/>
    <w:rsid w:val="0889E9A3"/>
    <w:rsid w:val="088A13A2"/>
    <w:rsid w:val="088A5640"/>
    <w:rsid w:val="088AABFA"/>
    <w:rsid w:val="088ABDF0"/>
    <w:rsid w:val="088B7F0D"/>
    <w:rsid w:val="088BC67B"/>
    <w:rsid w:val="088C29FE"/>
    <w:rsid w:val="088C9B3A"/>
    <w:rsid w:val="088CE801"/>
    <w:rsid w:val="088DC14C"/>
    <w:rsid w:val="088E6F9C"/>
    <w:rsid w:val="088EBA71"/>
    <w:rsid w:val="088FA20F"/>
    <w:rsid w:val="088FE5AB"/>
    <w:rsid w:val="08905D14"/>
    <w:rsid w:val="08911B30"/>
    <w:rsid w:val="0892268C"/>
    <w:rsid w:val="08922AF5"/>
    <w:rsid w:val="089247C5"/>
    <w:rsid w:val="0892BD7F"/>
    <w:rsid w:val="08934628"/>
    <w:rsid w:val="08935E44"/>
    <w:rsid w:val="08952958"/>
    <w:rsid w:val="08955BB9"/>
    <w:rsid w:val="0897151F"/>
    <w:rsid w:val="0897697C"/>
    <w:rsid w:val="0899FFE6"/>
    <w:rsid w:val="089A0539"/>
    <w:rsid w:val="089AA10F"/>
    <w:rsid w:val="089AFB78"/>
    <w:rsid w:val="089B8189"/>
    <w:rsid w:val="089BAEC1"/>
    <w:rsid w:val="089C8989"/>
    <w:rsid w:val="089D0E28"/>
    <w:rsid w:val="089D9F81"/>
    <w:rsid w:val="089DE49F"/>
    <w:rsid w:val="089E731A"/>
    <w:rsid w:val="089F3B7A"/>
    <w:rsid w:val="08A030E5"/>
    <w:rsid w:val="08A0E128"/>
    <w:rsid w:val="08A0F1DF"/>
    <w:rsid w:val="08A1A648"/>
    <w:rsid w:val="08A1D898"/>
    <w:rsid w:val="08A281FE"/>
    <w:rsid w:val="08A2A7D1"/>
    <w:rsid w:val="08A40CA5"/>
    <w:rsid w:val="08A42357"/>
    <w:rsid w:val="08A45A56"/>
    <w:rsid w:val="08A47931"/>
    <w:rsid w:val="08A5321E"/>
    <w:rsid w:val="08A5E695"/>
    <w:rsid w:val="08A66F40"/>
    <w:rsid w:val="08A7914B"/>
    <w:rsid w:val="08A79C21"/>
    <w:rsid w:val="08A8DC1C"/>
    <w:rsid w:val="08A93D05"/>
    <w:rsid w:val="08A9D57C"/>
    <w:rsid w:val="08AA2BBB"/>
    <w:rsid w:val="08AA321F"/>
    <w:rsid w:val="08AA7BE3"/>
    <w:rsid w:val="08AA880F"/>
    <w:rsid w:val="08AA90F8"/>
    <w:rsid w:val="08AB689A"/>
    <w:rsid w:val="08AB7B9A"/>
    <w:rsid w:val="08ABEEEE"/>
    <w:rsid w:val="08ACBAF5"/>
    <w:rsid w:val="08AD9BEE"/>
    <w:rsid w:val="08ADA15A"/>
    <w:rsid w:val="08AE4694"/>
    <w:rsid w:val="08AE877A"/>
    <w:rsid w:val="08AEABA4"/>
    <w:rsid w:val="08AEEBFA"/>
    <w:rsid w:val="08AF36E4"/>
    <w:rsid w:val="08B04054"/>
    <w:rsid w:val="08B0A8C6"/>
    <w:rsid w:val="08B0CEDB"/>
    <w:rsid w:val="08B16D70"/>
    <w:rsid w:val="08B17079"/>
    <w:rsid w:val="08B1FB55"/>
    <w:rsid w:val="08B21474"/>
    <w:rsid w:val="08B225E1"/>
    <w:rsid w:val="08B22DB6"/>
    <w:rsid w:val="08B33422"/>
    <w:rsid w:val="08B34EF1"/>
    <w:rsid w:val="08B34FC8"/>
    <w:rsid w:val="08B36EE9"/>
    <w:rsid w:val="08B3843F"/>
    <w:rsid w:val="08B3EB3E"/>
    <w:rsid w:val="08B43DFA"/>
    <w:rsid w:val="08B49FB0"/>
    <w:rsid w:val="08B4AA85"/>
    <w:rsid w:val="08B4BF2E"/>
    <w:rsid w:val="08B4F3BE"/>
    <w:rsid w:val="08B5DA2B"/>
    <w:rsid w:val="08B5DAFB"/>
    <w:rsid w:val="08B5E146"/>
    <w:rsid w:val="08B74CBE"/>
    <w:rsid w:val="08B75966"/>
    <w:rsid w:val="08B7EB2A"/>
    <w:rsid w:val="08B8006E"/>
    <w:rsid w:val="08B808E7"/>
    <w:rsid w:val="08B8C6B3"/>
    <w:rsid w:val="08BBA26A"/>
    <w:rsid w:val="08BC91DC"/>
    <w:rsid w:val="08BD261B"/>
    <w:rsid w:val="08BE5EAE"/>
    <w:rsid w:val="08BEC667"/>
    <w:rsid w:val="08BFAAFB"/>
    <w:rsid w:val="08BFC1DA"/>
    <w:rsid w:val="08BFF598"/>
    <w:rsid w:val="08C04A5F"/>
    <w:rsid w:val="08C0E4E5"/>
    <w:rsid w:val="08C11020"/>
    <w:rsid w:val="08C1F3CF"/>
    <w:rsid w:val="08C1FB28"/>
    <w:rsid w:val="08C25AF8"/>
    <w:rsid w:val="08C29A17"/>
    <w:rsid w:val="08C2AFFD"/>
    <w:rsid w:val="08C2D07B"/>
    <w:rsid w:val="08C354D0"/>
    <w:rsid w:val="08C379C0"/>
    <w:rsid w:val="08C40098"/>
    <w:rsid w:val="08C4B346"/>
    <w:rsid w:val="08C5FBFC"/>
    <w:rsid w:val="08C70763"/>
    <w:rsid w:val="08C8CB5A"/>
    <w:rsid w:val="08C9255F"/>
    <w:rsid w:val="08C92FEB"/>
    <w:rsid w:val="08CAD13A"/>
    <w:rsid w:val="08CC207C"/>
    <w:rsid w:val="08CD0C12"/>
    <w:rsid w:val="08CD76E0"/>
    <w:rsid w:val="08CE1914"/>
    <w:rsid w:val="08CEB346"/>
    <w:rsid w:val="08CED9DF"/>
    <w:rsid w:val="08CEF875"/>
    <w:rsid w:val="08CF34D2"/>
    <w:rsid w:val="08CFB929"/>
    <w:rsid w:val="08D07B74"/>
    <w:rsid w:val="08D182AB"/>
    <w:rsid w:val="08D210F3"/>
    <w:rsid w:val="08D223DB"/>
    <w:rsid w:val="08D25EE7"/>
    <w:rsid w:val="08D26B18"/>
    <w:rsid w:val="08D2A743"/>
    <w:rsid w:val="08D347E6"/>
    <w:rsid w:val="08D3E3AD"/>
    <w:rsid w:val="08D41C88"/>
    <w:rsid w:val="08D43711"/>
    <w:rsid w:val="08D4464A"/>
    <w:rsid w:val="08D4DD00"/>
    <w:rsid w:val="08D5A791"/>
    <w:rsid w:val="08D5DF34"/>
    <w:rsid w:val="08D63509"/>
    <w:rsid w:val="08D713AF"/>
    <w:rsid w:val="08D84EB1"/>
    <w:rsid w:val="08D88A5C"/>
    <w:rsid w:val="08D9BBE3"/>
    <w:rsid w:val="08DA19E1"/>
    <w:rsid w:val="08DB7FA9"/>
    <w:rsid w:val="08DC546A"/>
    <w:rsid w:val="08DC8F66"/>
    <w:rsid w:val="08DDF6B1"/>
    <w:rsid w:val="08DE1DD9"/>
    <w:rsid w:val="08DF1EDC"/>
    <w:rsid w:val="08DF917E"/>
    <w:rsid w:val="08E20CCE"/>
    <w:rsid w:val="08E22636"/>
    <w:rsid w:val="08E3AFE3"/>
    <w:rsid w:val="08E3CDFE"/>
    <w:rsid w:val="08E5AE1C"/>
    <w:rsid w:val="08E5FDBD"/>
    <w:rsid w:val="08E62976"/>
    <w:rsid w:val="08E6F706"/>
    <w:rsid w:val="08E6F91D"/>
    <w:rsid w:val="08E7EE94"/>
    <w:rsid w:val="08E8F23F"/>
    <w:rsid w:val="08E8FB9F"/>
    <w:rsid w:val="08E92A65"/>
    <w:rsid w:val="08E9BD49"/>
    <w:rsid w:val="08EA3620"/>
    <w:rsid w:val="08EA67F5"/>
    <w:rsid w:val="08EA6F07"/>
    <w:rsid w:val="08EA7B18"/>
    <w:rsid w:val="08EB4EC1"/>
    <w:rsid w:val="08EBB931"/>
    <w:rsid w:val="08ECAA7C"/>
    <w:rsid w:val="08ED981A"/>
    <w:rsid w:val="08EDE910"/>
    <w:rsid w:val="08EE290A"/>
    <w:rsid w:val="08EE2CEC"/>
    <w:rsid w:val="08EE8A4F"/>
    <w:rsid w:val="08EF29B7"/>
    <w:rsid w:val="08EF2E00"/>
    <w:rsid w:val="08F002EF"/>
    <w:rsid w:val="08F15DC7"/>
    <w:rsid w:val="08F1A748"/>
    <w:rsid w:val="08F22031"/>
    <w:rsid w:val="08F23E87"/>
    <w:rsid w:val="08F27AEE"/>
    <w:rsid w:val="08F2A91F"/>
    <w:rsid w:val="08F382F3"/>
    <w:rsid w:val="08F41D7B"/>
    <w:rsid w:val="08F4399B"/>
    <w:rsid w:val="08F4509C"/>
    <w:rsid w:val="08F46AC8"/>
    <w:rsid w:val="08F4AA4C"/>
    <w:rsid w:val="08F72040"/>
    <w:rsid w:val="08F741C2"/>
    <w:rsid w:val="08F9D25F"/>
    <w:rsid w:val="08FA1051"/>
    <w:rsid w:val="08FA1632"/>
    <w:rsid w:val="08FA464C"/>
    <w:rsid w:val="08FB3A0A"/>
    <w:rsid w:val="08FC49C6"/>
    <w:rsid w:val="08FC4C1F"/>
    <w:rsid w:val="08FD9F92"/>
    <w:rsid w:val="08FF48F7"/>
    <w:rsid w:val="08FF6318"/>
    <w:rsid w:val="08FF9881"/>
    <w:rsid w:val="08FFB126"/>
    <w:rsid w:val="08FFDA14"/>
    <w:rsid w:val="09007B07"/>
    <w:rsid w:val="09009A71"/>
    <w:rsid w:val="0900B27D"/>
    <w:rsid w:val="0901B74C"/>
    <w:rsid w:val="0901C39F"/>
    <w:rsid w:val="09024809"/>
    <w:rsid w:val="09025408"/>
    <w:rsid w:val="09029CD5"/>
    <w:rsid w:val="0903D567"/>
    <w:rsid w:val="09042C4A"/>
    <w:rsid w:val="09042EA1"/>
    <w:rsid w:val="0904C47B"/>
    <w:rsid w:val="09054898"/>
    <w:rsid w:val="0905F17B"/>
    <w:rsid w:val="09067CD6"/>
    <w:rsid w:val="0906A930"/>
    <w:rsid w:val="0906AD1D"/>
    <w:rsid w:val="0906CABF"/>
    <w:rsid w:val="0906D48B"/>
    <w:rsid w:val="0907F532"/>
    <w:rsid w:val="090806D2"/>
    <w:rsid w:val="0909937A"/>
    <w:rsid w:val="090A053F"/>
    <w:rsid w:val="090A1FC9"/>
    <w:rsid w:val="090A82C1"/>
    <w:rsid w:val="090ADD95"/>
    <w:rsid w:val="090B104F"/>
    <w:rsid w:val="090B6E81"/>
    <w:rsid w:val="090BECCA"/>
    <w:rsid w:val="090DA6DB"/>
    <w:rsid w:val="090E21FA"/>
    <w:rsid w:val="090EC550"/>
    <w:rsid w:val="090EDD25"/>
    <w:rsid w:val="090F97D6"/>
    <w:rsid w:val="09101C9E"/>
    <w:rsid w:val="091034E0"/>
    <w:rsid w:val="0910541B"/>
    <w:rsid w:val="091056E3"/>
    <w:rsid w:val="0910AF88"/>
    <w:rsid w:val="091177E5"/>
    <w:rsid w:val="09127FDA"/>
    <w:rsid w:val="09128D80"/>
    <w:rsid w:val="09130E22"/>
    <w:rsid w:val="09132AAF"/>
    <w:rsid w:val="091342E1"/>
    <w:rsid w:val="09135189"/>
    <w:rsid w:val="091369A9"/>
    <w:rsid w:val="09136C1E"/>
    <w:rsid w:val="09146188"/>
    <w:rsid w:val="091469C5"/>
    <w:rsid w:val="0914A299"/>
    <w:rsid w:val="0914B1FC"/>
    <w:rsid w:val="091545D5"/>
    <w:rsid w:val="0915A2AA"/>
    <w:rsid w:val="0915C865"/>
    <w:rsid w:val="09162804"/>
    <w:rsid w:val="09176D15"/>
    <w:rsid w:val="09177F5A"/>
    <w:rsid w:val="091815ED"/>
    <w:rsid w:val="09184D49"/>
    <w:rsid w:val="09185282"/>
    <w:rsid w:val="09186AA1"/>
    <w:rsid w:val="09188004"/>
    <w:rsid w:val="091901B1"/>
    <w:rsid w:val="0919171D"/>
    <w:rsid w:val="091BE896"/>
    <w:rsid w:val="091C9406"/>
    <w:rsid w:val="091D2D75"/>
    <w:rsid w:val="091D4191"/>
    <w:rsid w:val="091E4D8C"/>
    <w:rsid w:val="091EF46A"/>
    <w:rsid w:val="091F01FC"/>
    <w:rsid w:val="091F1679"/>
    <w:rsid w:val="091FC65E"/>
    <w:rsid w:val="0920AF5C"/>
    <w:rsid w:val="09215E6E"/>
    <w:rsid w:val="0921A455"/>
    <w:rsid w:val="0921D707"/>
    <w:rsid w:val="0921E130"/>
    <w:rsid w:val="0921FFDB"/>
    <w:rsid w:val="09221DA3"/>
    <w:rsid w:val="0922D3A4"/>
    <w:rsid w:val="0923D34A"/>
    <w:rsid w:val="0924CB77"/>
    <w:rsid w:val="0925E1FF"/>
    <w:rsid w:val="09261DAC"/>
    <w:rsid w:val="09263E4B"/>
    <w:rsid w:val="09279DF7"/>
    <w:rsid w:val="0927B1EC"/>
    <w:rsid w:val="0927E4A3"/>
    <w:rsid w:val="09281577"/>
    <w:rsid w:val="092840B8"/>
    <w:rsid w:val="09284D3F"/>
    <w:rsid w:val="09296CE3"/>
    <w:rsid w:val="092AB6B6"/>
    <w:rsid w:val="092B8F7A"/>
    <w:rsid w:val="092BD41A"/>
    <w:rsid w:val="092CF4EB"/>
    <w:rsid w:val="092D5AF0"/>
    <w:rsid w:val="092DE579"/>
    <w:rsid w:val="092E42F6"/>
    <w:rsid w:val="092EC694"/>
    <w:rsid w:val="092F4E96"/>
    <w:rsid w:val="092F9F6B"/>
    <w:rsid w:val="092FCC0F"/>
    <w:rsid w:val="093012AB"/>
    <w:rsid w:val="09301E30"/>
    <w:rsid w:val="0930B8DE"/>
    <w:rsid w:val="0930E438"/>
    <w:rsid w:val="09315FD2"/>
    <w:rsid w:val="09317E4C"/>
    <w:rsid w:val="0932DC76"/>
    <w:rsid w:val="093446CF"/>
    <w:rsid w:val="0934A544"/>
    <w:rsid w:val="0934EF09"/>
    <w:rsid w:val="0935411F"/>
    <w:rsid w:val="09364BA2"/>
    <w:rsid w:val="09368054"/>
    <w:rsid w:val="0937D1FF"/>
    <w:rsid w:val="09388787"/>
    <w:rsid w:val="0938ADF5"/>
    <w:rsid w:val="093C4A54"/>
    <w:rsid w:val="093CEABF"/>
    <w:rsid w:val="093CECD6"/>
    <w:rsid w:val="093D8334"/>
    <w:rsid w:val="093E2A74"/>
    <w:rsid w:val="093E686D"/>
    <w:rsid w:val="093E7C75"/>
    <w:rsid w:val="093E7E51"/>
    <w:rsid w:val="093EA517"/>
    <w:rsid w:val="093F030D"/>
    <w:rsid w:val="093F139C"/>
    <w:rsid w:val="093F793F"/>
    <w:rsid w:val="093FDFCE"/>
    <w:rsid w:val="0940CC6B"/>
    <w:rsid w:val="0940D741"/>
    <w:rsid w:val="09410030"/>
    <w:rsid w:val="0941D545"/>
    <w:rsid w:val="0942082A"/>
    <w:rsid w:val="0942ABD1"/>
    <w:rsid w:val="0942D186"/>
    <w:rsid w:val="09447BA5"/>
    <w:rsid w:val="09448266"/>
    <w:rsid w:val="0944D5F4"/>
    <w:rsid w:val="09462BA8"/>
    <w:rsid w:val="0946D241"/>
    <w:rsid w:val="09472B5A"/>
    <w:rsid w:val="09475ECB"/>
    <w:rsid w:val="09478AF6"/>
    <w:rsid w:val="094799CC"/>
    <w:rsid w:val="09483D4B"/>
    <w:rsid w:val="09490484"/>
    <w:rsid w:val="09497B82"/>
    <w:rsid w:val="09497FA9"/>
    <w:rsid w:val="094A0351"/>
    <w:rsid w:val="094A4C91"/>
    <w:rsid w:val="094A5D6A"/>
    <w:rsid w:val="094AD16A"/>
    <w:rsid w:val="094AD744"/>
    <w:rsid w:val="094C8E39"/>
    <w:rsid w:val="094CD4A9"/>
    <w:rsid w:val="094CD601"/>
    <w:rsid w:val="094D8279"/>
    <w:rsid w:val="094DCA7D"/>
    <w:rsid w:val="094DE25F"/>
    <w:rsid w:val="094E11C0"/>
    <w:rsid w:val="094E89F0"/>
    <w:rsid w:val="094EC332"/>
    <w:rsid w:val="094F02DE"/>
    <w:rsid w:val="094F2830"/>
    <w:rsid w:val="0950089B"/>
    <w:rsid w:val="09506A55"/>
    <w:rsid w:val="09539088"/>
    <w:rsid w:val="0953BCB7"/>
    <w:rsid w:val="0953E4BA"/>
    <w:rsid w:val="095404C2"/>
    <w:rsid w:val="095433E4"/>
    <w:rsid w:val="0954C5AB"/>
    <w:rsid w:val="09565854"/>
    <w:rsid w:val="0957F127"/>
    <w:rsid w:val="0958196C"/>
    <w:rsid w:val="095920DF"/>
    <w:rsid w:val="095988DC"/>
    <w:rsid w:val="095A2F14"/>
    <w:rsid w:val="095A5425"/>
    <w:rsid w:val="095A9694"/>
    <w:rsid w:val="095B5E8F"/>
    <w:rsid w:val="095B641B"/>
    <w:rsid w:val="095BC247"/>
    <w:rsid w:val="095BE9B0"/>
    <w:rsid w:val="095CCAAB"/>
    <w:rsid w:val="095CF77C"/>
    <w:rsid w:val="095E4B45"/>
    <w:rsid w:val="095EB5AC"/>
    <w:rsid w:val="095EF835"/>
    <w:rsid w:val="095F0744"/>
    <w:rsid w:val="096004FD"/>
    <w:rsid w:val="096020FF"/>
    <w:rsid w:val="0960AB34"/>
    <w:rsid w:val="0961197B"/>
    <w:rsid w:val="0961B575"/>
    <w:rsid w:val="0961F970"/>
    <w:rsid w:val="09624710"/>
    <w:rsid w:val="09631A71"/>
    <w:rsid w:val="0963A2D8"/>
    <w:rsid w:val="09649022"/>
    <w:rsid w:val="0964CC60"/>
    <w:rsid w:val="09651EF5"/>
    <w:rsid w:val="0965F20A"/>
    <w:rsid w:val="09671341"/>
    <w:rsid w:val="09674C04"/>
    <w:rsid w:val="0968553A"/>
    <w:rsid w:val="09692FDE"/>
    <w:rsid w:val="09699AAD"/>
    <w:rsid w:val="0969C952"/>
    <w:rsid w:val="096B2656"/>
    <w:rsid w:val="096B4021"/>
    <w:rsid w:val="096B5F40"/>
    <w:rsid w:val="096BC1DD"/>
    <w:rsid w:val="096BFE0C"/>
    <w:rsid w:val="096C246A"/>
    <w:rsid w:val="096C3F23"/>
    <w:rsid w:val="096CA848"/>
    <w:rsid w:val="096CD283"/>
    <w:rsid w:val="096D5222"/>
    <w:rsid w:val="096E2204"/>
    <w:rsid w:val="096E43A0"/>
    <w:rsid w:val="096ED4FB"/>
    <w:rsid w:val="096FD148"/>
    <w:rsid w:val="0970B4F2"/>
    <w:rsid w:val="0970BEAD"/>
    <w:rsid w:val="09712814"/>
    <w:rsid w:val="0971621B"/>
    <w:rsid w:val="09724E75"/>
    <w:rsid w:val="0972AD99"/>
    <w:rsid w:val="0972F676"/>
    <w:rsid w:val="0973441E"/>
    <w:rsid w:val="0973F1F9"/>
    <w:rsid w:val="0973F9F8"/>
    <w:rsid w:val="09745918"/>
    <w:rsid w:val="0974AE9E"/>
    <w:rsid w:val="0974EB84"/>
    <w:rsid w:val="0975113C"/>
    <w:rsid w:val="09759248"/>
    <w:rsid w:val="097688FD"/>
    <w:rsid w:val="0976B992"/>
    <w:rsid w:val="0976D2AA"/>
    <w:rsid w:val="09770852"/>
    <w:rsid w:val="0977B83D"/>
    <w:rsid w:val="09781A69"/>
    <w:rsid w:val="09783C88"/>
    <w:rsid w:val="0978CABF"/>
    <w:rsid w:val="097922E7"/>
    <w:rsid w:val="09793CF9"/>
    <w:rsid w:val="0979F8C1"/>
    <w:rsid w:val="097A5BC5"/>
    <w:rsid w:val="097AD5FE"/>
    <w:rsid w:val="097B4038"/>
    <w:rsid w:val="097B9861"/>
    <w:rsid w:val="097BE83A"/>
    <w:rsid w:val="097D9CD7"/>
    <w:rsid w:val="097EEF0F"/>
    <w:rsid w:val="097FC3EA"/>
    <w:rsid w:val="09803B43"/>
    <w:rsid w:val="0980D74F"/>
    <w:rsid w:val="09815D74"/>
    <w:rsid w:val="0981CE66"/>
    <w:rsid w:val="0981E97B"/>
    <w:rsid w:val="09829841"/>
    <w:rsid w:val="0982B565"/>
    <w:rsid w:val="098301C5"/>
    <w:rsid w:val="09831480"/>
    <w:rsid w:val="098443D4"/>
    <w:rsid w:val="09858FE6"/>
    <w:rsid w:val="09859D88"/>
    <w:rsid w:val="0985B6D5"/>
    <w:rsid w:val="0985CFFC"/>
    <w:rsid w:val="09869040"/>
    <w:rsid w:val="0987543A"/>
    <w:rsid w:val="0987A922"/>
    <w:rsid w:val="0987BF22"/>
    <w:rsid w:val="0987C912"/>
    <w:rsid w:val="0987D8A1"/>
    <w:rsid w:val="098859DC"/>
    <w:rsid w:val="09887C69"/>
    <w:rsid w:val="09893D46"/>
    <w:rsid w:val="098A018A"/>
    <w:rsid w:val="098A8D31"/>
    <w:rsid w:val="098B08CF"/>
    <w:rsid w:val="098B1FC3"/>
    <w:rsid w:val="098B437A"/>
    <w:rsid w:val="098BF512"/>
    <w:rsid w:val="098CA0EC"/>
    <w:rsid w:val="098D80DE"/>
    <w:rsid w:val="09901A03"/>
    <w:rsid w:val="0990BB31"/>
    <w:rsid w:val="099128BA"/>
    <w:rsid w:val="0992FB01"/>
    <w:rsid w:val="099354DF"/>
    <w:rsid w:val="09938C92"/>
    <w:rsid w:val="099399D4"/>
    <w:rsid w:val="09939EA0"/>
    <w:rsid w:val="09940371"/>
    <w:rsid w:val="09959DB1"/>
    <w:rsid w:val="09963C49"/>
    <w:rsid w:val="099744CE"/>
    <w:rsid w:val="09975A73"/>
    <w:rsid w:val="0997A629"/>
    <w:rsid w:val="0997A658"/>
    <w:rsid w:val="099814BA"/>
    <w:rsid w:val="0998589A"/>
    <w:rsid w:val="0998D4EB"/>
    <w:rsid w:val="099A616F"/>
    <w:rsid w:val="099A6CF2"/>
    <w:rsid w:val="099A736D"/>
    <w:rsid w:val="099A95D9"/>
    <w:rsid w:val="099ABEBD"/>
    <w:rsid w:val="099B3162"/>
    <w:rsid w:val="099BEB9E"/>
    <w:rsid w:val="099BFC74"/>
    <w:rsid w:val="099C0C63"/>
    <w:rsid w:val="099C374C"/>
    <w:rsid w:val="099D77A2"/>
    <w:rsid w:val="099D97EC"/>
    <w:rsid w:val="099E03C9"/>
    <w:rsid w:val="099E07E9"/>
    <w:rsid w:val="099EAF8C"/>
    <w:rsid w:val="099EC5D3"/>
    <w:rsid w:val="099EF026"/>
    <w:rsid w:val="099F27ED"/>
    <w:rsid w:val="099F4DC9"/>
    <w:rsid w:val="099FE507"/>
    <w:rsid w:val="09A0C980"/>
    <w:rsid w:val="09A0EC04"/>
    <w:rsid w:val="09A104EC"/>
    <w:rsid w:val="09A1096A"/>
    <w:rsid w:val="09A1A764"/>
    <w:rsid w:val="09A2886D"/>
    <w:rsid w:val="09A37B0C"/>
    <w:rsid w:val="09A4B2D9"/>
    <w:rsid w:val="09A4F415"/>
    <w:rsid w:val="09A5EE16"/>
    <w:rsid w:val="09A6FC47"/>
    <w:rsid w:val="09A7105A"/>
    <w:rsid w:val="09A74AFC"/>
    <w:rsid w:val="09A83519"/>
    <w:rsid w:val="09A84C05"/>
    <w:rsid w:val="09A88D51"/>
    <w:rsid w:val="09A8FBB3"/>
    <w:rsid w:val="09A9B0DC"/>
    <w:rsid w:val="09AA35A0"/>
    <w:rsid w:val="09AAB5C9"/>
    <w:rsid w:val="09AB8FE2"/>
    <w:rsid w:val="09ABEFF9"/>
    <w:rsid w:val="09ACCA7E"/>
    <w:rsid w:val="09ACD24B"/>
    <w:rsid w:val="09AD15BD"/>
    <w:rsid w:val="09AD225A"/>
    <w:rsid w:val="09AD277F"/>
    <w:rsid w:val="09AD5097"/>
    <w:rsid w:val="09AE6179"/>
    <w:rsid w:val="09AEBBF9"/>
    <w:rsid w:val="09AED767"/>
    <w:rsid w:val="09AEE776"/>
    <w:rsid w:val="09AF09C4"/>
    <w:rsid w:val="09AF34DC"/>
    <w:rsid w:val="09AF5F89"/>
    <w:rsid w:val="09AFC0A9"/>
    <w:rsid w:val="09AFCCD5"/>
    <w:rsid w:val="09B009D9"/>
    <w:rsid w:val="09B06963"/>
    <w:rsid w:val="09B07D47"/>
    <w:rsid w:val="09B07E2E"/>
    <w:rsid w:val="09B0AE70"/>
    <w:rsid w:val="09B0B6F3"/>
    <w:rsid w:val="09B11F8E"/>
    <w:rsid w:val="09B165DF"/>
    <w:rsid w:val="09B1DB13"/>
    <w:rsid w:val="09B23343"/>
    <w:rsid w:val="09B26B62"/>
    <w:rsid w:val="09B31608"/>
    <w:rsid w:val="09B3EAB1"/>
    <w:rsid w:val="09B47348"/>
    <w:rsid w:val="09B4EC97"/>
    <w:rsid w:val="09B54B81"/>
    <w:rsid w:val="09B5835C"/>
    <w:rsid w:val="09B593AC"/>
    <w:rsid w:val="09B59F33"/>
    <w:rsid w:val="09B5AC1B"/>
    <w:rsid w:val="09B72183"/>
    <w:rsid w:val="09B7AC2A"/>
    <w:rsid w:val="09B800C7"/>
    <w:rsid w:val="09B8B800"/>
    <w:rsid w:val="09B93E33"/>
    <w:rsid w:val="09BA22E5"/>
    <w:rsid w:val="09BABF8C"/>
    <w:rsid w:val="09BB5517"/>
    <w:rsid w:val="09BC48F5"/>
    <w:rsid w:val="09BC5AC9"/>
    <w:rsid w:val="09BE251A"/>
    <w:rsid w:val="09BEFF71"/>
    <w:rsid w:val="09BF1652"/>
    <w:rsid w:val="09BFD7A0"/>
    <w:rsid w:val="09C0565B"/>
    <w:rsid w:val="09C2501B"/>
    <w:rsid w:val="09C2AA13"/>
    <w:rsid w:val="09C34979"/>
    <w:rsid w:val="09C3C3F8"/>
    <w:rsid w:val="09C3E61B"/>
    <w:rsid w:val="09C498D2"/>
    <w:rsid w:val="09C4A9DB"/>
    <w:rsid w:val="09C4B4D1"/>
    <w:rsid w:val="09C57AF7"/>
    <w:rsid w:val="09C57F03"/>
    <w:rsid w:val="09C6078E"/>
    <w:rsid w:val="09C72BD4"/>
    <w:rsid w:val="09C7D70D"/>
    <w:rsid w:val="09C7E7FB"/>
    <w:rsid w:val="09C9680A"/>
    <w:rsid w:val="09C9E737"/>
    <w:rsid w:val="09CA2E1F"/>
    <w:rsid w:val="09CAE86D"/>
    <w:rsid w:val="09CB4118"/>
    <w:rsid w:val="09CBAA3F"/>
    <w:rsid w:val="09CBCFFD"/>
    <w:rsid w:val="09CBDDE6"/>
    <w:rsid w:val="09CBF238"/>
    <w:rsid w:val="09CC85DC"/>
    <w:rsid w:val="09CCF371"/>
    <w:rsid w:val="09CDAC52"/>
    <w:rsid w:val="09CDAD43"/>
    <w:rsid w:val="09CE1DD9"/>
    <w:rsid w:val="09CF8183"/>
    <w:rsid w:val="09D0176D"/>
    <w:rsid w:val="09D0263A"/>
    <w:rsid w:val="09D0E13D"/>
    <w:rsid w:val="09D127B1"/>
    <w:rsid w:val="09D1854F"/>
    <w:rsid w:val="09D1E9F2"/>
    <w:rsid w:val="09D30FEB"/>
    <w:rsid w:val="09D33D3C"/>
    <w:rsid w:val="09D358BB"/>
    <w:rsid w:val="09D3A410"/>
    <w:rsid w:val="09D4641E"/>
    <w:rsid w:val="09D494C1"/>
    <w:rsid w:val="09D54346"/>
    <w:rsid w:val="09D647FD"/>
    <w:rsid w:val="09D6825A"/>
    <w:rsid w:val="09D73CF2"/>
    <w:rsid w:val="09D77AFB"/>
    <w:rsid w:val="09D7D7BA"/>
    <w:rsid w:val="09D8130C"/>
    <w:rsid w:val="09D828BD"/>
    <w:rsid w:val="09D8A4BA"/>
    <w:rsid w:val="09D90F98"/>
    <w:rsid w:val="09D94028"/>
    <w:rsid w:val="09D95C2C"/>
    <w:rsid w:val="09D9D1CE"/>
    <w:rsid w:val="09D9E406"/>
    <w:rsid w:val="09DA1F90"/>
    <w:rsid w:val="09DD580C"/>
    <w:rsid w:val="09DE80A6"/>
    <w:rsid w:val="09DF4515"/>
    <w:rsid w:val="09DF6B6D"/>
    <w:rsid w:val="09DF723B"/>
    <w:rsid w:val="09DFDF44"/>
    <w:rsid w:val="09E1010F"/>
    <w:rsid w:val="09E1159E"/>
    <w:rsid w:val="09E27292"/>
    <w:rsid w:val="09E385E4"/>
    <w:rsid w:val="09E39140"/>
    <w:rsid w:val="09E3C6F6"/>
    <w:rsid w:val="09E3D9FC"/>
    <w:rsid w:val="09E40419"/>
    <w:rsid w:val="09E4B2E0"/>
    <w:rsid w:val="09E61CEA"/>
    <w:rsid w:val="09E679F2"/>
    <w:rsid w:val="09E7AD0B"/>
    <w:rsid w:val="09E805BD"/>
    <w:rsid w:val="09E870E4"/>
    <w:rsid w:val="09E8A724"/>
    <w:rsid w:val="09E9F9E3"/>
    <w:rsid w:val="09EA200A"/>
    <w:rsid w:val="09EA6BA7"/>
    <w:rsid w:val="09EAE682"/>
    <w:rsid w:val="09EB4935"/>
    <w:rsid w:val="09EB4AEB"/>
    <w:rsid w:val="09EB8383"/>
    <w:rsid w:val="09EB9497"/>
    <w:rsid w:val="09EC8248"/>
    <w:rsid w:val="09EC8DCF"/>
    <w:rsid w:val="09ECA0E8"/>
    <w:rsid w:val="09ECED94"/>
    <w:rsid w:val="09ED0199"/>
    <w:rsid w:val="09EDC6F2"/>
    <w:rsid w:val="09EE35BF"/>
    <w:rsid w:val="09EE3E95"/>
    <w:rsid w:val="09EEA025"/>
    <w:rsid w:val="09EF1011"/>
    <w:rsid w:val="09EF9DF8"/>
    <w:rsid w:val="09EFD414"/>
    <w:rsid w:val="09F12623"/>
    <w:rsid w:val="09F141FF"/>
    <w:rsid w:val="09F1A358"/>
    <w:rsid w:val="09F2586C"/>
    <w:rsid w:val="09F2850E"/>
    <w:rsid w:val="09F3B60E"/>
    <w:rsid w:val="09F4B18B"/>
    <w:rsid w:val="09F4CB04"/>
    <w:rsid w:val="09F5C99C"/>
    <w:rsid w:val="09F5D776"/>
    <w:rsid w:val="09F62325"/>
    <w:rsid w:val="09F67617"/>
    <w:rsid w:val="09F6BF61"/>
    <w:rsid w:val="09F84B6D"/>
    <w:rsid w:val="09F84C3F"/>
    <w:rsid w:val="09F89952"/>
    <w:rsid w:val="09F8AEFD"/>
    <w:rsid w:val="09F95BC4"/>
    <w:rsid w:val="09FA8D0F"/>
    <w:rsid w:val="09FBC36D"/>
    <w:rsid w:val="09FBE0E0"/>
    <w:rsid w:val="09FD3F60"/>
    <w:rsid w:val="09FE0DE3"/>
    <w:rsid w:val="09FE5656"/>
    <w:rsid w:val="09FF4157"/>
    <w:rsid w:val="09FF5676"/>
    <w:rsid w:val="0A00A434"/>
    <w:rsid w:val="0A0142F4"/>
    <w:rsid w:val="0A016A58"/>
    <w:rsid w:val="0A01A417"/>
    <w:rsid w:val="0A01C51F"/>
    <w:rsid w:val="0A01FC4E"/>
    <w:rsid w:val="0A02A38F"/>
    <w:rsid w:val="0A02A5A2"/>
    <w:rsid w:val="0A032A6D"/>
    <w:rsid w:val="0A042CD9"/>
    <w:rsid w:val="0A048E33"/>
    <w:rsid w:val="0A0490F9"/>
    <w:rsid w:val="0A0506D2"/>
    <w:rsid w:val="0A05F8B1"/>
    <w:rsid w:val="0A06319D"/>
    <w:rsid w:val="0A06C26D"/>
    <w:rsid w:val="0A06C276"/>
    <w:rsid w:val="0A081A05"/>
    <w:rsid w:val="0A098643"/>
    <w:rsid w:val="0A0A4E6F"/>
    <w:rsid w:val="0A0A4E91"/>
    <w:rsid w:val="0A0C1D3B"/>
    <w:rsid w:val="0A0C3D45"/>
    <w:rsid w:val="0A0D6803"/>
    <w:rsid w:val="0A0DB514"/>
    <w:rsid w:val="0A0E8503"/>
    <w:rsid w:val="0A0EEF68"/>
    <w:rsid w:val="0A0F66A5"/>
    <w:rsid w:val="0A107EE6"/>
    <w:rsid w:val="0A10E8A7"/>
    <w:rsid w:val="0A1112CE"/>
    <w:rsid w:val="0A11525D"/>
    <w:rsid w:val="0A116D87"/>
    <w:rsid w:val="0A11CA6C"/>
    <w:rsid w:val="0A126275"/>
    <w:rsid w:val="0A1361E0"/>
    <w:rsid w:val="0A13EDEE"/>
    <w:rsid w:val="0A149E27"/>
    <w:rsid w:val="0A14E1F5"/>
    <w:rsid w:val="0A15E238"/>
    <w:rsid w:val="0A1793F2"/>
    <w:rsid w:val="0A193FD6"/>
    <w:rsid w:val="0A1ABAA6"/>
    <w:rsid w:val="0A1AEBEF"/>
    <w:rsid w:val="0A1BF8CD"/>
    <w:rsid w:val="0A1C8BB4"/>
    <w:rsid w:val="0A1CAC2C"/>
    <w:rsid w:val="0A1CBC5B"/>
    <w:rsid w:val="0A1D1992"/>
    <w:rsid w:val="0A1D3EC3"/>
    <w:rsid w:val="0A1D920B"/>
    <w:rsid w:val="0A1DB715"/>
    <w:rsid w:val="0A1EF9F4"/>
    <w:rsid w:val="0A1F12EC"/>
    <w:rsid w:val="0A21443B"/>
    <w:rsid w:val="0A228704"/>
    <w:rsid w:val="0A231FA5"/>
    <w:rsid w:val="0A23916B"/>
    <w:rsid w:val="0A23D089"/>
    <w:rsid w:val="0A248401"/>
    <w:rsid w:val="0A24C051"/>
    <w:rsid w:val="0A260839"/>
    <w:rsid w:val="0A2627DE"/>
    <w:rsid w:val="0A263881"/>
    <w:rsid w:val="0A27D359"/>
    <w:rsid w:val="0A28C891"/>
    <w:rsid w:val="0A28DB9B"/>
    <w:rsid w:val="0A29D8B5"/>
    <w:rsid w:val="0A2A0796"/>
    <w:rsid w:val="0A2A1A83"/>
    <w:rsid w:val="0A2B04A8"/>
    <w:rsid w:val="0A2B665F"/>
    <w:rsid w:val="0A2BD65C"/>
    <w:rsid w:val="0A2C808B"/>
    <w:rsid w:val="0A2E1659"/>
    <w:rsid w:val="0A3024A6"/>
    <w:rsid w:val="0A305E6C"/>
    <w:rsid w:val="0A30C802"/>
    <w:rsid w:val="0A30CD77"/>
    <w:rsid w:val="0A30E3ED"/>
    <w:rsid w:val="0A31153A"/>
    <w:rsid w:val="0A3152FB"/>
    <w:rsid w:val="0A32144A"/>
    <w:rsid w:val="0A322749"/>
    <w:rsid w:val="0A32C092"/>
    <w:rsid w:val="0A32FA36"/>
    <w:rsid w:val="0A3300B0"/>
    <w:rsid w:val="0A337AD8"/>
    <w:rsid w:val="0A33C78D"/>
    <w:rsid w:val="0A34AEC7"/>
    <w:rsid w:val="0A34E793"/>
    <w:rsid w:val="0A3662C0"/>
    <w:rsid w:val="0A3801FC"/>
    <w:rsid w:val="0A381039"/>
    <w:rsid w:val="0A387166"/>
    <w:rsid w:val="0A38A5B3"/>
    <w:rsid w:val="0A38F510"/>
    <w:rsid w:val="0A39019D"/>
    <w:rsid w:val="0A399F2F"/>
    <w:rsid w:val="0A39A815"/>
    <w:rsid w:val="0A3A1CA7"/>
    <w:rsid w:val="0A3AF941"/>
    <w:rsid w:val="0A3B636E"/>
    <w:rsid w:val="0A3B9B83"/>
    <w:rsid w:val="0A3C150C"/>
    <w:rsid w:val="0A3C9428"/>
    <w:rsid w:val="0A3CAC4A"/>
    <w:rsid w:val="0A3CC1F0"/>
    <w:rsid w:val="0A3CC6ED"/>
    <w:rsid w:val="0A3CD9D1"/>
    <w:rsid w:val="0A3CDFBB"/>
    <w:rsid w:val="0A3E306A"/>
    <w:rsid w:val="0A3EA5E6"/>
    <w:rsid w:val="0A3ED2E2"/>
    <w:rsid w:val="0A3FE4FF"/>
    <w:rsid w:val="0A406218"/>
    <w:rsid w:val="0A407D04"/>
    <w:rsid w:val="0A409532"/>
    <w:rsid w:val="0A40ECFE"/>
    <w:rsid w:val="0A4111EC"/>
    <w:rsid w:val="0A412718"/>
    <w:rsid w:val="0A413038"/>
    <w:rsid w:val="0A41DE3B"/>
    <w:rsid w:val="0A42E488"/>
    <w:rsid w:val="0A4418DA"/>
    <w:rsid w:val="0A4453F3"/>
    <w:rsid w:val="0A4483E7"/>
    <w:rsid w:val="0A450DD7"/>
    <w:rsid w:val="0A4523B6"/>
    <w:rsid w:val="0A45611A"/>
    <w:rsid w:val="0A465CE4"/>
    <w:rsid w:val="0A480ACD"/>
    <w:rsid w:val="0A482048"/>
    <w:rsid w:val="0A49A160"/>
    <w:rsid w:val="0A4BF122"/>
    <w:rsid w:val="0A4C5508"/>
    <w:rsid w:val="0A4CA1FB"/>
    <w:rsid w:val="0A4D5C1B"/>
    <w:rsid w:val="0A4D6878"/>
    <w:rsid w:val="0A4E3A0D"/>
    <w:rsid w:val="0A4E64B9"/>
    <w:rsid w:val="0A4EDD77"/>
    <w:rsid w:val="0A4F0D4C"/>
    <w:rsid w:val="0A4F77C8"/>
    <w:rsid w:val="0A509FBE"/>
    <w:rsid w:val="0A5121A5"/>
    <w:rsid w:val="0A515D4A"/>
    <w:rsid w:val="0A518917"/>
    <w:rsid w:val="0A518A0B"/>
    <w:rsid w:val="0A523720"/>
    <w:rsid w:val="0A526C56"/>
    <w:rsid w:val="0A52900C"/>
    <w:rsid w:val="0A52C685"/>
    <w:rsid w:val="0A536396"/>
    <w:rsid w:val="0A537197"/>
    <w:rsid w:val="0A53DF6D"/>
    <w:rsid w:val="0A54036E"/>
    <w:rsid w:val="0A550B37"/>
    <w:rsid w:val="0A559B93"/>
    <w:rsid w:val="0A55F247"/>
    <w:rsid w:val="0A56922F"/>
    <w:rsid w:val="0A56D9E0"/>
    <w:rsid w:val="0A5852DC"/>
    <w:rsid w:val="0A5885CB"/>
    <w:rsid w:val="0A598C4A"/>
    <w:rsid w:val="0A59FB00"/>
    <w:rsid w:val="0A5A037D"/>
    <w:rsid w:val="0A5AB5C2"/>
    <w:rsid w:val="0A5AFDD3"/>
    <w:rsid w:val="0A5B1787"/>
    <w:rsid w:val="0A5CB6F5"/>
    <w:rsid w:val="0A5E3E5F"/>
    <w:rsid w:val="0A5E558A"/>
    <w:rsid w:val="0A5E678E"/>
    <w:rsid w:val="0A5F8595"/>
    <w:rsid w:val="0A5FFFC9"/>
    <w:rsid w:val="0A60DA48"/>
    <w:rsid w:val="0A610378"/>
    <w:rsid w:val="0A616D77"/>
    <w:rsid w:val="0A677DF0"/>
    <w:rsid w:val="0A6812B6"/>
    <w:rsid w:val="0A6837D6"/>
    <w:rsid w:val="0A683D5C"/>
    <w:rsid w:val="0A6908B1"/>
    <w:rsid w:val="0A69486B"/>
    <w:rsid w:val="0A6981CA"/>
    <w:rsid w:val="0A6986D9"/>
    <w:rsid w:val="0A69AA3A"/>
    <w:rsid w:val="0A6A2946"/>
    <w:rsid w:val="0A6A2FF5"/>
    <w:rsid w:val="0A6AA2F0"/>
    <w:rsid w:val="0A6AE9FC"/>
    <w:rsid w:val="0A6BEDCE"/>
    <w:rsid w:val="0A6DC241"/>
    <w:rsid w:val="0A6E0DA0"/>
    <w:rsid w:val="0A6E64C6"/>
    <w:rsid w:val="0A6E6CE0"/>
    <w:rsid w:val="0A6E7B71"/>
    <w:rsid w:val="0A6EA6DD"/>
    <w:rsid w:val="0A6F8C23"/>
    <w:rsid w:val="0A706697"/>
    <w:rsid w:val="0A70DA3A"/>
    <w:rsid w:val="0A713E8F"/>
    <w:rsid w:val="0A725F2D"/>
    <w:rsid w:val="0A72FFBB"/>
    <w:rsid w:val="0A7352D8"/>
    <w:rsid w:val="0A741F6F"/>
    <w:rsid w:val="0A7459CF"/>
    <w:rsid w:val="0A749C99"/>
    <w:rsid w:val="0A74B252"/>
    <w:rsid w:val="0A74C16C"/>
    <w:rsid w:val="0A755407"/>
    <w:rsid w:val="0A75F688"/>
    <w:rsid w:val="0A763653"/>
    <w:rsid w:val="0A77DDEB"/>
    <w:rsid w:val="0A784428"/>
    <w:rsid w:val="0A7855CC"/>
    <w:rsid w:val="0A786E54"/>
    <w:rsid w:val="0A787B1B"/>
    <w:rsid w:val="0A7962C7"/>
    <w:rsid w:val="0A7A2D8F"/>
    <w:rsid w:val="0A7AC1BC"/>
    <w:rsid w:val="0A7ADC0D"/>
    <w:rsid w:val="0A7B72F2"/>
    <w:rsid w:val="0A7B90D8"/>
    <w:rsid w:val="0A7BA8F4"/>
    <w:rsid w:val="0A7BDE40"/>
    <w:rsid w:val="0A7C1214"/>
    <w:rsid w:val="0A7C95D8"/>
    <w:rsid w:val="0A7E279A"/>
    <w:rsid w:val="0A7EE992"/>
    <w:rsid w:val="0A8035A9"/>
    <w:rsid w:val="0A803F85"/>
    <w:rsid w:val="0A80DBD2"/>
    <w:rsid w:val="0A812CF6"/>
    <w:rsid w:val="0A8189EA"/>
    <w:rsid w:val="0A821657"/>
    <w:rsid w:val="0A82A6E0"/>
    <w:rsid w:val="0A830AF4"/>
    <w:rsid w:val="0A832AF0"/>
    <w:rsid w:val="0A8415AE"/>
    <w:rsid w:val="0A848D89"/>
    <w:rsid w:val="0A84DA7B"/>
    <w:rsid w:val="0A8548A2"/>
    <w:rsid w:val="0A85AB68"/>
    <w:rsid w:val="0A85E51D"/>
    <w:rsid w:val="0A869608"/>
    <w:rsid w:val="0A8762A3"/>
    <w:rsid w:val="0A87EC40"/>
    <w:rsid w:val="0A883A14"/>
    <w:rsid w:val="0A88A3AE"/>
    <w:rsid w:val="0A896535"/>
    <w:rsid w:val="0A8984A3"/>
    <w:rsid w:val="0A899E05"/>
    <w:rsid w:val="0A89FCEA"/>
    <w:rsid w:val="0A8AF8B3"/>
    <w:rsid w:val="0A8BC10D"/>
    <w:rsid w:val="0A8C16FE"/>
    <w:rsid w:val="0A8CB5F8"/>
    <w:rsid w:val="0A8CE4D4"/>
    <w:rsid w:val="0A8D5917"/>
    <w:rsid w:val="0A8D5A65"/>
    <w:rsid w:val="0A8D8668"/>
    <w:rsid w:val="0A8D86D7"/>
    <w:rsid w:val="0A8D9D98"/>
    <w:rsid w:val="0A8DAF46"/>
    <w:rsid w:val="0A8F8806"/>
    <w:rsid w:val="0A90CA90"/>
    <w:rsid w:val="0A912942"/>
    <w:rsid w:val="0A91B780"/>
    <w:rsid w:val="0A94DF6B"/>
    <w:rsid w:val="0A951481"/>
    <w:rsid w:val="0A968675"/>
    <w:rsid w:val="0A9691FC"/>
    <w:rsid w:val="0A96A5DE"/>
    <w:rsid w:val="0A96E3A3"/>
    <w:rsid w:val="0A96F740"/>
    <w:rsid w:val="0A976E3D"/>
    <w:rsid w:val="0A977640"/>
    <w:rsid w:val="0A97D9E7"/>
    <w:rsid w:val="0A97E194"/>
    <w:rsid w:val="0A97FF84"/>
    <w:rsid w:val="0A9856E9"/>
    <w:rsid w:val="0A991EA6"/>
    <w:rsid w:val="0A998B67"/>
    <w:rsid w:val="0A99E118"/>
    <w:rsid w:val="0A9C13FA"/>
    <w:rsid w:val="0A9C982F"/>
    <w:rsid w:val="0A9CC598"/>
    <w:rsid w:val="0A9CCD50"/>
    <w:rsid w:val="0A9CFBAF"/>
    <w:rsid w:val="0A9D349B"/>
    <w:rsid w:val="0A9D7900"/>
    <w:rsid w:val="0A9E2DC2"/>
    <w:rsid w:val="0A9E5804"/>
    <w:rsid w:val="0A9E8851"/>
    <w:rsid w:val="0A9F1D10"/>
    <w:rsid w:val="0A9FAB5C"/>
    <w:rsid w:val="0AA04E71"/>
    <w:rsid w:val="0AA05A35"/>
    <w:rsid w:val="0AA066BF"/>
    <w:rsid w:val="0AA12079"/>
    <w:rsid w:val="0AA134E8"/>
    <w:rsid w:val="0AA1BF5D"/>
    <w:rsid w:val="0AA1F9EB"/>
    <w:rsid w:val="0AA2BD8A"/>
    <w:rsid w:val="0AA3B58F"/>
    <w:rsid w:val="0AA3C252"/>
    <w:rsid w:val="0AA4544B"/>
    <w:rsid w:val="0AA4A306"/>
    <w:rsid w:val="0AA4F058"/>
    <w:rsid w:val="0AA4FE2A"/>
    <w:rsid w:val="0AA6824C"/>
    <w:rsid w:val="0AA6CFFF"/>
    <w:rsid w:val="0AA775A5"/>
    <w:rsid w:val="0AA86BA2"/>
    <w:rsid w:val="0AA89E0B"/>
    <w:rsid w:val="0AA8DAED"/>
    <w:rsid w:val="0AA948C8"/>
    <w:rsid w:val="0AA9880B"/>
    <w:rsid w:val="0AAAC30C"/>
    <w:rsid w:val="0AAAD854"/>
    <w:rsid w:val="0AABFAD5"/>
    <w:rsid w:val="0AACDCA4"/>
    <w:rsid w:val="0AADD064"/>
    <w:rsid w:val="0AAE9867"/>
    <w:rsid w:val="0AB00989"/>
    <w:rsid w:val="0AB0B1F6"/>
    <w:rsid w:val="0AB0FF2E"/>
    <w:rsid w:val="0AB23512"/>
    <w:rsid w:val="0AB298AB"/>
    <w:rsid w:val="0AB39E5F"/>
    <w:rsid w:val="0AB3F592"/>
    <w:rsid w:val="0AB4B836"/>
    <w:rsid w:val="0AB58400"/>
    <w:rsid w:val="0AB5A559"/>
    <w:rsid w:val="0AB66593"/>
    <w:rsid w:val="0AB6E888"/>
    <w:rsid w:val="0AB7EE64"/>
    <w:rsid w:val="0AB7F0AD"/>
    <w:rsid w:val="0AB8A2EA"/>
    <w:rsid w:val="0AB8A54B"/>
    <w:rsid w:val="0AB8EF9E"/>
    <w:rsid w:val="0ABAAA84"/>
    <w:rsid w:val="0ABB3203"/>
    <w:rsid w:val="0ABCBC2B"/>
    <w:rsid w:val="0ABD9888"/>
    <w:rsid w:val="0ABDF7AE"/>
    <w:rsid w:val="0ABE3F48"/>
    <w:rsid w:val="0ABF2602"/>
    <w:rsid w:val="0AC0012C"/>
    <w:rsid w:val="0AC02F39"/>
    <w:rsid w:val="0AC09025"/>
    <w:rsid w:val="0AC0A0E9"/>
    <w:rsid w:val="0AC16710"/>
    <w:rsid w:val="0AC1D6EE"/>
    <w:rsid w:val="0AC2133C"/>
    <w:rsid w:val="0AC2570E"/>
    <w:rsid w:val="0AC2DC8B"/>
    <w:rsid w:val="0AC2FFE3"/>
    <w:rsid w:val="0AC36798"/>
    <w:rsid w:val="0AC438AF"/>
    <w:rsid w:val="0AC4D895"/>
    <w:rsid w:val="0AC4E3F1"/>
    <w:rsid w:val="0AC544A4"/>
    <w:rsid w:val="0AC5541C"/>
    <w:rsid w:val="0AC564F4"/>
    <w:rsid w:val="0AC5BCED"/>
    <w:rsid w:val="0AC5D241"/>
    <w:rsid w:val="0AC60958"/>
    <w:rsid w:val="0AC60A78"/>
    <w:rsid w:val="0AC635C9"/>
    <w:rsid w:val="0AC6E464"/>
    <w:rsid w:val="0AC6FD74"/>
    <w:rsid w:val="0AC7170B"/>
    <w:rsid w:val="0AC72368"/>
    <w:rsid w:val="0AC72E82"/>
    <w:rsid w:val="0AC7A5E4"/>
    <w:rsid w:val="0AC7E313"/>
    <w:rsid w:val="0AC84312"/>
    <w:rsid w:val="0AC94812"/>
    <w:rsid w:val="0ACA01A0"/>
    <w:rsid w:val="0ACA9089"/>
    <w:rsid w:val="0ACA93D2"/>
    <w:rsid w:val="0ACA9A13"/>
    <w:rsid w:val="0ACAF9FA"/>
    <w:rsid w:val="0ACB9E15"/>
    <w:rsid w:val="0ACD6177"/>
    <w:rsid w:val="0ACE50F3"/>
    <w:rsid w:val="0ACEC0D4"/>
    <w:rsid w:val="0ACEC65B"/>
    <w:rsid w:val="0ACF5D66"/>
    <w:rsid w:val="0ACFC67D"/>
    <w:rsid w:val="0AD04D34"/>
    <w:rsid w:val="0AD06F41"/>
    <w:rsid w:val="0AD117DD"/>
    <w:rsid w:val="0AD1A951"/>
    <w:rsid w:val="0AD1C3BD"/>
    <w:rsid w:val="0AD26D49"/>
    <w:rsid w:val="0AD29618"/>
    <w:rsid w:val="0AD2B88A"/>
    <w:rsid w:val="0AD2C24A"/>
    <w:rsid w:val="0AD2FA2A"/>
    <w:rsid w:val="0AD3405C"/>
    <w:rsid w:val="0AD429D2"/>
    <w:rsid w:val="0AD4EEAD"/>
    <w:rsid w:val="0AD542DD"/>
    <w:rsid w:val="0AD54843"/>
    <w:rsid w:val="0AD55DB3"/>
    <w:rsid w:val="0AD6A52E"/>
    <w:rsid w:val="0AD791E6"/>
    <w:rsid w:val="0AD850CE"/>
    <w:rsid w:val="0ADB5C71"/>
    <w:rsid w:val="0ADBA9BC"/>
    <w:rsid w:val="0ADBEB15"/>
    <w:rsid w:val="0ADC55B0"/>
    <w:rsid w:val="0ADC692D"/>
    <w:rsid w:val="0ADC9E6E"/>
    <w:rsid w:val="0ADD4AB2"/>
    <w:rsid w:val="0ADD968F"/>
    <w:rsid w:val="0ADD9F50"/>
    <w:rsid w:val="0ADDFC54"/>
    <w:rsid w:val="0ADE32C4"/>
    <w:rsid w:val="0ADEA3CA"/>
    <w:rsid w:val="0ADF3A12"/>
    <w:rsid w:val="0ADF8CB9"/>
    <w:rsid w:val="0ADFE050"/>
    <w:rsid w:val="0AE097DC"/>
    <w:rsid w:val="0AE0F5EA"/>
    <w:rsid w:val="0AE15499"/>
    <w:rsid w:val="0AE52912"/>
    <w:rsid w:val="0AE7186E"/>
    <w:rsid w:val="0AE7C5D5"/>
    <w:rsid w:val="0AE7CCDC"/>
    <w:rsid w:val="0AE8058D"/>
    <w:rsid w:val="0AE80FCD"/>
    <w:rsid w:val="0AE82772"/>
    <w:rsid w:val="0AE8DB46"/>
    <w:rsid w:val="0AE96236"/>
    <w:rsid w:val="0AE97532"/>
    <w:rsid w:val="0AEA5F43"/>
    <w:rsid w:val="0AEB5DE1"/>
    <w:rsid w:val="0AEC2248"/>
    <w:rsid w:val="0AEC4096"/>
    <w:rsid w:val="0AEC9F1C"/>
    <w:rsid w:val="0AECF25B"/>
    <w:rsid w:val="0AED3FB8"/>
    <w:rsid w:val="0AED84EF"/>
    <w:rsid w:val="0AEF0D05"/>
    <w:rsid w:val="0AEF24C1"/>
    <w:rsid w:val="0AEF3697"/>
    <w:rsid w:val="0AF0545D"/>
    <w:rsid w:val="0AF05D33"/>
    <w:rsid w:val="0AF06EAA"/>
    <w:rsid w:val="0AF0C43C"/>
    <w:rsid w:val="0AF1806F"/>
    <w:rsid w:val="0AF1B2E2"/>
    <w:rsid w:val="0AF1C7FA"/>
    <w:rsid w:val="0AF1E214"/>
    <w:rsid w:val="0AF30F59"/>
    <w:rsid w:val="0AF31262"/>
    <w:rsid w:val="0AF3261C"/>
    <w:rsid w:val="0AF35138"/>
    <w:rsid w:val="0AF3C7E1"/>
    <w:rsid w:val="0AF4B4CD"/>
    <w:rsid w:val="0AF54318"/>
    <w:rsid w:val="0AF548F6"/>
    <w:rsid w:val="0AF6D843"/>
    <w:rsid w:val="0AF717BA"/>
    <w:rsid w:val="0AF818B1"/>
    <w:rsid w:val="0AF824A7"/>
    <w:rsid w:val="0AF86978"/>
    <w:rsid w:val="0AF8C25C"/>
    <w:rsid w:val="0AF8D5C6"/>
    <w:rsid w:val="0AF94A97"/>
    <w:rsid w:val="0AFA1ACB"/>
    <w:rsid w:val="0AFA2B3F"/>
    <w:rsid w:val="0AFBA9EF"/>
    <w:rsid w:val="0AFBF420"/>
    <w:rsid w:val="0AFCADE4"/>
    <w:rsid w:val="0AFE9777"/>
    <w:rsid w:val="0AFECE0C"/>
    <w:rsid w:val="0AFF1432"/>
    <w:rsid w:val="0AFFCC64"/>
    <w:rsid w:val="0AFFD15A"/>
    <w:rsid w:val="0B004902"/>
    <w:rsid w:val="0B00CDB5"/>
    <w:rsid w:val="0B00FA24"/>
    <w:rsid w:val="0B011237"/>
    <w:rsid w:val="0B011F43"/>
    <w:rsid w:val="0B02626B"/>
    <w:rsid w:val="0B03E3D1"/>
    <w:rsid w:val="0B03F4C4"/>
    <w:rsid w:val="0B045E15"/>
    <w:rsid w:val="0B04992B"/>
    <w:rsid w:val="0B04A698"/>
    <w:rsid w:val="0B05740D"/>
    <w:rsid w:val="0B05A801"/>
    <w:rsid w:val="0B05EEA9"/>
    <w:rsid w:val="0B06E8DF"/>
    <w:rsid w:val="0B07659C"/>
    <w:rsid w:val="0B085120"/>
    <w:rsid w:val="0B09482D"/>
    <w:rsid w:val="0B09672C"/>
    <w:rsid w:val="0B0A193D"/>
    <w:rsid w:val="0B0B237A"/>
    <w:rsid w:val="0B0C1AA1"/>
    <w:rsid w:val="0B0D5F46"/>
    <w:rsid w:val="0B0DBD09"/>
    <w:rsid w:val="0B0DE4F1"/>
    <w:rsid w:val="0B0DE6CD"/>
    <w:rsid w:val="0B0E0004"/>
    <w:rsid w:val="0B0F0944"/>
    <w:rsid w:val="0B0F95D3"/>
    <w:rsid w:val="0B10A756"/>
    <w:rsid w:val="0B115937"/>
    <w:rsid w:val="0B118428"/>
    <w:rsid w:val="0B11EF36"/>
    <w:rsid w:val="0B1276D8"/>
    <w:rsid w:val="0B133BEE"/>
    <w:rsid w:val="0B13BE95"/>
    <w:rsid w:val="0B14BE2B"/>
    <w:rsid w:val="0B14D92C"/>
    <w:rsid w:val="0B15049F"/>
    <w:rsid w:val="0B151A15"/>
    <w:rsid w:val="0B15452F"/>
    <w:rsid w:val="0B15E475"/>
    <w:rsid w:val="0B16D4A0"/>
    <w:rsid w:val="0B179517"/>
    <w:rsid w:val="0B17BBD2"/>
    <w:rsid w:val="0B17C142"/>
    <w:rsid w:val="0B188273"/>
    <w:rsid w:val="0B18F37C"/>
    <w:rsid w:val="0B198F76"/>
    <w:rsid w:val="0B19D326"/>
    <w:rsid w:val="0B19E2C2"/>
    <w:rsid w:val="0B1B7828"/>
    <w:rsid w:val="0B1BAF33"/>
    <w:rsid w:val="0B1BB839"/>
    <w:rsid w:val="0B1BBED9"/>
    <w:rsid w:val="0B1C60FC"/>
    <w:rsid w:val="0B1C7D05"/>
    <w:rsid w:val="0B1CA1F5"/>
    <w:rsid w:val="0B1CFAA7"/>
    <w:rsid w:val="0B1D2720"/>
    <w:rsid w:val="0B1DC6D7"/>
    <w:rsid w:val="0B1E023A"/>
    <w:rsid w:val="0B1EAC7C"/>
    <w:rsid w:val="0B1FE6D8"/>
    <w:rsid w:val="0B201BA7"/>
    <w:rsid w:val="0B202B73"/>
    <w:rsid w:val="0B2036AC"/>
    <w:rsid w:val="0B20EB2A"/>
    <w:rsid w:val="0B22386F"/>
    <w:rsid w:val="0B22C746"/>
    <w:rsid w:val="0B22E2FB"/>
    <w:rsid w:val="0B23994C"/>
    <w:rsid w:val="0B23B3D7"/>
    <w:rsid w:val="0B24A710"/>
    <w:rsid w:val="0B254A0F"/>
    <w:rsid w:val="0B25D013"/>
    <w:rsid w:val="0B2621D2"/>
    <w:rsid w:val="0B26898A"/>
    <w:rsid w:val="0B27C2AE"/>
    <w:rsid w:val="0B27C671"/>
    <w:rsid w:val="0B283C74"/>
    <w:rsid w:val="0B28A741"/>
    <w:rsid w:val="0B297FFC"/>
    <w:rsid w:val="0B2A6EEA"/>
    <w:rsid w:val="0B2ACAA1"/>
    <w:rsid w:val="0B2B6CD0"/>
    <w:rsid w:val="0B2C4CE6"/>
    <w:rsid w:val="0B2CF1C9"/>
    <w:rsid w:val="0B2DE5BC"/>
    <w:rsid w:val="0B2E38E0"/>
    <w:rsid w:val="0B2E3D59"/>
    <w:rsid w:val="0B2F6C18"/>
    <w:rsid w:val="0B2F95B5"/>
    <w:rsid w:val="0B2FEF67"/>
    <w:rsid w:val="0B2FF7D4"/>
    <w:rsid w:val="0B3062D1"/>
    <w:rsid w:val="0B30E9C9"/>
    <w:rsid w:val="0B313156"/>
    <w:rsid w:val="0B324AD1"/>
    <w:rsid w:val="0B327696"/>
    <w:rsid w:val="0B3279BD"/>
    <w:rsid w:val="0B32EA60"/>
    <w:rsid w:val="0B3302A8"/>
    <w:rsid w:val="0B333E4D"/>
    <w:rsid w:val="0B333F8A"/>
    <w:rsid w:val="0B3395BD"/>
    <w:rsid w:val="0B33BCE8"/>
    <w:rsid w:val="0B3464CE"/>
    <w:rsid w:val="0B34CD49"/>
    <w:rsid w:val="0B34D4AC"/>
    <w:rsid w:val="0B373B44"/>
    <w:rsid w:val="0B375B19"/>
    <w:rsid w:val="0B393A67"/>
    <w:rsid w:val="0B398101"/>
    <w:rsid w:val="0B39D30F"/>
    <w:rsid w:val="0B3A2D35"/>
    <w:rsid w:val="0B3DC769"/>
    <w:rsid w:val="0B3E080C"/>
    <w:rsid w:val="0B3E30F9"/>
    <w:rsid w:val="0B3E7DB9"/>
    <w:rsid w:val="0B3EDA42"/>
    <w:rsid w:val="0B3FF4D6"/>
    <w:rsid w:val="0B405B07"/>
    <w:rsid w:val="0B406DAF"/>
    <w:rsid w:val="0B40A162"/>
    <w:rsid w:val="0B410350"/>
    <w:rsid w:val="0B416D0E"/>
    <w:rsid w:val="0B42035D"/>
    <w:rsid w:val="0B42D530"/>
    <w:rsid w:val="0B437332"/>
    <w:rsid w:val="0B438B5B"/>
    <w:rsid w:val="0B4443BE"/>
    <w:rsid w:val="0B446274"/>
    <w:rsid w:val="0B4578AD"/>
    <w:rsid w:val="0B45B3D3"/>
    <w:rsid w:val="0B467E12"/>
    <w:rsid w:val="0B468E5E"/>
    <w:rsid w:val="0B47E285"/>
    <w:rsid w:val="0B486C90"/>
    <w:rsid w:val="0B48FCFF"/>
    <w:rsid w:val="0B4A4DDC"/>
    <w:rsid w:val="0B4A4F71"/>
    <w:rsid w:val="0B4A6C4D"/>
    <w:rsid w:val="0B4A7ACC"/>
    <w:rsid w:val="0B4AC451"/>
    <w:rsid w:val="0B4AFF57"/>
    <w:rsid w:val="0B4BA823"/>
    <w:rsid w:val="0B4CB95C"/>
    <w:rsid w:val="0B4D3E14"/>
    <w:rsid w:val="0B4E24C2"/>
    <w:rsid w:val="0B4F5DDA"/>
    <w:rsid w:val="0B4F78CC"/>
    <w:rsid w:val="0B4F992A"/>
    <w:rsid w:val="0B4FCECB"/>
    <w:rsid w:val="0B4FFACE"/>
    <w:rsid w:val="0B507E0A"/>
    <w:rsid w:val="0B51388E"/>
    <w:rsid w:val="0B5138D2"/>
    <w:rsid w:val="0B52D820"/>
    <w:rsid w:val="0B535C65"/>
    <w:rsid w:val="0B538333"/>
    <w:rsid w:val="0B53DB44"/>
    <w:rsid w:val="0B53DEB2"/>
    <w:rsid w:val="0B5471AA"/>
    <w:rsid w:val="0B547C14"/>
    <w:rsid w:val="0B553FD2"/>
    <w:rsid w:val="0B55C458"/>
    <w:rsid w:val="0B56770D"/>
    <w:rsid w:val="0B570560"/>
    <w:rsid w:val="0B573859"/>
    <w:rsid w:val="0B57479A"/>
    <w:rsid w:val="0B578DF3"/>
    <w:rsid w:val="0B57D31A"/>
    <w:rsid w:val="0B57E574"/>
    <w:rsid w:val="0B585534"/>
    <w:rsid w:val="0B58AFF3"/>
    <w:rsid w:val="0B597C19"/>
    <w:rsid w:val="0B5A1301"/>
    <w:rsid w:val="0B5B240C"/>
    <w:rsid w:val="0B5B26F3"/>
    <w:rsid w:val="0B5BBE24"/>
    <w:rsid w:val="0B5C49AF"/>
    <w:rsid w:val="0B5C8482"/>
    <w:rsid w:val="0B5E886A"/>
    <w:rsid w:val="0B5EA489"/>
    <w:rsid w:val="0B5F2AF8"/>
    <w:rsid w:val="0B5F8344"/>
    <w:rsid w:val="0B5FC215"/>
    <w:rsid w:val="0B6008BC"/>
    <w:rsid w:val="0B609AEE"/>
    <w:rsid w:val="0B60C4CE"/>
    <w:rsid w:val="0B6129FF"/>
    <w:rsid w:val="0B6158AB"/>
    <w:rsid w:val="0B61B2C2"/>
    <w:rsid w:val="0B623833"/>
    <w:rsid w:val="0B63460A"/>
    <w:rsid w:val="0B63A786"/>
    <w:rsid w:val="0B63F4E0"/>
    <w:rsid w:val="0B645517"/>
    <w:rsid w:val="0B64E4CC"/>
    <w:rsid w:val="0B6522CE"/>
    <w:rsid w:val="0B65D0FC"/>
    <w:rsid w:val="0B65EBB4"/>
    <w:rsid w:val="0B65F8D9"/>
    <w:rsid w:val="0B6732E5"/>
    <w:rsid w:val="0B67D87D"/>
    <w:rsid w:val="0B680631"/>
    <w:rsid w:val="0B684DA9"/>
    <w:rsid w:val="0B690364"/>
    <w:rsid w:val="0B69120E"/>
    <w:rsid w:val="0B69BE0B"/>
    <w:rsid w:val="0B6A0C30"/>
    <w:rsid w:val="0B6A6924"/>
    <w:rsid w:val="0B6A88F9"/>
    <w:rsid w:val="0B6AB2BF"/>
    <w:rsid w:val="0B6CA50D"/>
    <w:rsid w:val="0B6D3576"/>
    <w:rsid w:val="0B6DB3E9"/>
    <w:rsid w:val="0B6EA898"/>
    <w:rsid w:val="0B6EBCA2"/>
    <w:rsid w:val="0B70B707"/>
    <w:rsid w:val="0B70D724"/>
    <w:rsid w:val="0B70D805"/>
    <w:rsid w:val="0B7121B3"/>
    <w:rsid w:val="0B71452B"/>
    <w:rsid w:val="0B7146B6"/>
    <w:rsid w:val="0B71541F"/>
    <w:rsid w:val="0B715886"/>
    <w:rsid w:val="0B717384"/>
    <w:rsid w:val="0B722EDB"/>
    <w:rsid w:val="0B727CE7"/>
    <w:rsid w:val="0B72AE0E"/>
    <w:rsid w:val="0B72CE89"/>
    <w:rsid w:val="0B73204D"/>
    <w:rsid w:val="0B73BA5E"/>
    <w:rsid w:val="0B7453C7"/>
    <w:rsid w:val="0B752D9F"/>
    <w:rsid w:val="0B7666C0"/>
    <w:rsid w:val="0B767B72"/>
    <w:rsid w:val="0B76AE68"/>
    <w:rsid w:val="0B76B5D8"/>
    <w:rsid w:val="0B771D97"/>
    <w:rsid w:val="0B772EFC"/>
    <w:rsid w:val="0B77D346"/>
    <w:rsid w:val="0B77F1BC"/>
    <w:rsid w:val="0B77F4C3"/>
    <w:rsid w:val="0B78D09B"/>
    <w:rsid w:val="0B7B4154"/>
    <w:rsid w:val="0B7B6DC7"/>
    <w:rsid w:val="0B7C2FE3"/>
    <w:rsid w:val="0B7D122F"/>
    <w:rsid w:val="0B7D2B69"/>
    <w:rsid w:val="0B7DCECC"/>
    <w:rsid w:val="0B7F9FA7"/>
    <w:rsid w:val="0B80111A"/>
    <w:rsid w:val="0B80F38A"/>
    <w:rsid w:val="0B8159FE"/>
    <w:rsid w:val="0B8223D3"/>
    <w:rsid w:val="0B8339EF"/>
    <w:rsid w:val="0B8392CC"/>
    <w:rsid w:val="0B83CC3A"/>
    <w:rsid w:val="0B842850"/>
    <w:rsid w:val="0B846D44"/>
    <w:rsid w:val="0B86047A"/>
    <w:rsid w:val="0B86F766"/>
    <w:rsid w:val="0B8710CB"/>
    <w:rsid w:val="0B87D39D"/>
    <w:rsid w:val="0B88367F"/>
    <w:rsid w:val="0B88A0B1"/>
    <w:rsid w:val="0B890C05"/>
    <w:rsid w:val="0B89E0CA"/>
    <w:rsid w:val="0B8BA330"/>
    <w:rsid w:val="0B8BCCAE"/>
    <w:rsid w:val="0B8C4A33"/>
    <w:rsid w:val="0B8CBDF3"/>
    <w:rsid w:val="0B8D6A09"/>
    <w:rsid w:val="0B8D6F95"/>
    <w:rsid w:val="0B8D83B3"/>
    <w:rsid w:val="0B8DF646"/>
    <w:rsid w:val="0B8E4CED"/>
    <w:rsid w:val="0B8E7E2C"/>
    <w:rsid w:val="0B8E9C0B"/>
    <w:rsid w:val="0B8FC4FA"/>
    <w:rsid w:val="0B90B344"/>
    <w:rsid w:val="0B91AD1E"/>
    <w:rsid w:val="0B922817"/>
    <w:rsid w:val="0B928807"/>
    <w:rsid w:val="0B92E9AD"/>
    <w:rsid w:val="0B93C83B"/>
    <w:rsid w:val="0B942081"/>
    <w:rsid w:val="0B943132"/>
    <w:rsid w:val="0B9576B9"/>
    <w:rsid w:val="0B95801A"/>
    <w:rsid w:val="0B95BDAE"/>
    <w:rsid w:val="0B95DCD7"/>
    <w:rsid w:val="0B95E14F"/>
    <w:rsid w:val="0B95EAAF"/>
    <w:rsid w:val="0B9606AA"/>
    <w:rsid w:val="0B962FC3"/>
    <w:rsid w:val="0B96BE2B"/>
    <w:rsid w:val="0B97E233"/>
    <w:rsid w:val="0B980AD6"/>
    <w:rsid w:val="0B9908F8"/>
    <w:rsid w:val="0B994786"/>
    <w:rsid w:val="0B99C1E9"/>
    <w:rsid w:val="0B99C92D"/>
    <w:rsid w:val="0B9A77F9"/>
    <w:rsid w:val="0B9A9825"/>
    <w:rsid w:val="0B9AD57A"/>
    <w:rsid w:val="0B9AD689"/>
    <w:rsid w:val="0B9AE0F9"/>
    <w:rsid w:val="0B9B0BA7"/>
    <w:rsid w:val="0B9B10DD"/>
    <w:rsid w:val="0B9BB1A1"/>
    <w:rsid w:val="0B9C0416"/>
    <w:rsid w:val="0B9C73B5"/>
    <w:rsid w:val="0B9CC15A"/>
    <w:rsid w:val="0B9CF74F"/>
    <w:rsid w:val="0B9D03FE"/>
    <w:rsid w:val="0B9D587F"/>
    <w:rsid w:val="0B9D9425"/>
    <w:rsid w:val="0B9D94BC"/>
    <w:rsid w:val="0B9E2CB3"/>
    <w:rsid w:val="0B9E5C31"/>
    <w:rsid w:val="0B9F2DEA"/>
    <w:rsid w:val="0B9FE8F2"/>
    <w:rsid w:val="0BA0914F"/>
    <w:rsid w:val="0BA09C74"/>
    <w:rsid w:val="0BA0FD95"/>
    <w:rsid w:val="0BA124E0"/>
    <w:rsid w:val="0BA14356"/>
    <w:rsid w:val="0BA1EEE4"/>
    <w:rsid w:val="0BA1F906"/>
    <w:rsid w:val="0BA26B1E"/>
    <w:rsid w:val="0BA2805D"/>
    <w:rsid w:val="0BA2FC7E"/>
    <w:rsid w:val="0BA4BC60"/>
    <w:rsid w:val="0BA57F34"/>
    <w:rsid w:val="0BA5BD42"/>
    <w:rsid w:val="0BA6F955"/>
    <w:rsid w:val="0BA7C9AB"/>
    <w:rsid w:val="0BA8020A"/>
    <w:rsid w:val="0BA82EA7"/>
    <w:rsid w:val="0BA84FDF"/>
    <w:rsid w:val="0BA85213"/>
    <w:rsid w:val="0BA93A88"/>
    <w:rsid w:val="0BA9A0ED"/>
    <w:rsid w:val="0BAA6297"/>
    <w:rsid w:val="0BAB9F7F"/>
    <w:rsid w:val="0BAC3387"/>
    <w:rsid w:val="0BAC5685"/>
    <w:rsid w:val="0BAD6793"/>
    <w:rsid w:val="0BADB2C7"/>
    <w:rsid w:val="0BAE1F1A"/>
    <w:rsid w:val="0BAE3C11"/>
    <w:rsid w:val="0BAF594B"/>
    <w:rsid w:val="0BAFD7DD"/>
    <w:rsid w:val="0BAFF01D"/>
    <w:rsid w:val="0BB01026"/>
    <w:rsid w:val="0BB108D8"/>
    <w:rsid w:val="0BB190EB"/>
    <w:rsid w:val="0BB1CD87"/>
    <w:rsid w:val="0BB21E8B"/>
    <w:rsid w:val="0BB22B2C"/>
    <w:rsid w:val="0BB44BAB"/>
    <w:rsid w:val="0BB4B9B1"/>
    <w:rsid w:val="0BB4D1B1"/>
    <w:rsid w:val="0BB565EF"/>
    <w:rsid w:val="0BB57840"/>
    <w:rsid w:val="0BB585B1"/>
    <w:rsid w:val="0BB5DD23"/>
    <w:rsid w:val="0BB65D34"/>
    <w:rsid w:val="0BB68B4D"/>
    <w:rsid w:val="0BB6A854"/>
    <w:rsid w:val="0BB6B0BF"/>
    <w:rsid w:val="0BB6ECEB"/>
    <w:rsid w:val="0BB792EF"/>
    <w:rsid w:val="0BB7C592"/>
    <w:rsid w:val="0BB8D6FC"/>
    <w:rsid w:val="0BB8E841"/>
    <w:rsid w:val="0BB93068"/>
    <w:rsid w:val="0BB94535"/>
    <w:rsid w:val="0BB9D254"/>
    <w:rsid w:val="0BBA4EEA"/>
    <w:rsid w:val="0BBAE640"/>
    <w:rsid w:val="0BBB36A1"/>
    <w:rsid w:val="0BBB996D"/>
    <w:rsid w:val="0BBBF675"/>
    <w:rsid w:val="0BBCA927"/>
    <w:rsid w:val="0BBD535B"/>
    <w:rsid w:val="0BBD7539"/>
    <w:rsid w:val="0BBD9D97"/>
    <w:rsid w:val="0BBF899F"/>
    <w:rsid w:val="0BC028DC"/>
    <w:rsid w:val="0BC07B66"/>
    <w:rsid w:val="0BC1053F"/>
    <w:rsid w:val="0BC23BC6"/>
    <w:rsid w:val="0BC2C0F8"/>
    <w:rsid w:val="0BC36BB0"/>
    <w:rsid w:val="0BC3AE34"/>
    <w:rsid w:val="0BC47CEE"/>
    <w:rsid w:val="0BC4CB14"/>
    <w:rsid w:val="0BC4CE7E"/>
    <w:rsid w:val="0BC64E28"/>
    <w:rsid w:val="0BC6BE37"/>
    <w:rsid w:val="0BC6BFB3"/>
    <w:rsid w:val="0BC7DD29"/>
    <w:rsid w:val="0BC8F3FA"/>
    <w:rsid w:val="0BC911F4"/>
    <w:rsid w:val="0BC982D1"/>
    <w:rsid w:val="0BC9DC6B"/>
    <w:rsid w:val="0BCAD6F6"/>
    <w:rsid w:val="0BCB4049"/>
    <w:rsid w:val="0BCC5070"/>
    <w:rsid w:val="0BCD6CE8"/>
    <w:rsid w:val="0BCDDCFF"/>
    <w:rsid w:val="0BCE46EC"/>
    <w:rsid w:val="0BCF3101"/>
    <w:rsid w:val="0BCF5C48"/>
    <w:rsid w:val="0BD0273B"/>
    <w:rsid w:val="0BD04ECA"/>
    <w:rsid w:val="0BD13EAC"/>
    <w:rsid w:val="0BD158DA"/>
    <w:rsid w:val="0BD15FCD"/>
    <w:rsid w:val="0BD19D3A"/>
    <w:rsid w:val="0BD1A475"/>
    <w:rsid w:val="0BD1BFF5"/>
    <w:rsid w:val="0BD2FC81"/>
    <w:rsid w:val="0BD4390B"/>
    <w:rsid w:val="0BD45EEE"/>
    <w:rsid w:val="0BD64590"/>
    <w:rsid w:val="0BD65FBF"/>
    <w:rsid w:val="0BD6A4BD"/>
    <w:rsid w:val="0BD73FA4"/>
    <w:rsid w:val="0BD7B6D1"/>
    <w:rsid w:val="0BD7CDE3"/>
    <w:rsid w:val="0BD8DCEA"/>
    <w:rsid w:val="0BD90D2B"/>
    <w:rsid w:val="0BD93D7C"/>
    <w:rsid w:val="0BD9595A"/>
    <w:rsid w:val="0BD9B540"/>
    <w:rsid w:val="0BD9EDD0"/>
    <w:rsid w:val="0BDA0697"/>
    <w:rsid w:val="0BDA5F38"/>
    <w:rsid w:val="0BDA9F9B"/>
    <w:rsid w:val="0BDCCEF2"/>
    <w:rsid w:val="0BDCCF6F"/>
    <w:rsid w:val="0BDD0F5D"/>
    <w:rsid w:val="0BDD2D7D"/>
    <w:rsid w:val="0BDDCFCE"/>
    <w:rsid w:val="0BDE27AE"/>
    <w:rsid w:val="0BDEA308"/>
    <w:rsid w:val="0BDEB767"/>
    <w:rsid w:val="0BDEFE82"/>
    <w:rsid w:val="0BDF0D94"/>
    <w:rsid w:val="0BDF1C5E"/>
    <w:rsid w:val="0BDF1D18"/>
    <w:rsid w:val="0BE05A20"/>
    <w:rsid w:val="0BE0DCC0"/>
    <w:rsid w:val="0BE14D87"/>
    <w:rsid w:val="0BE16209"/>
    <w:rsid w:val="0BE197C1"/>
    <w:rsid w:val="0BE1B714"/>
    <w:rsid w:val="0BE23A22"/>
    <w:rsid w:val="0BE2E97C"/>
    <w:rsid w:val="0BE2F86B"/>
    <w:rsid w:val="0BE34E1D"/>
    <w:rsid w:val="0BE49252"/>
    <w:rsid w:val="0BE4C851"/>
    <w:rsid w:val="0BE50FA6"/>
    <w:rsid w:val="0BE59074"/>
    <w:rsid w:val="0BE5BAA6"/>
    <w:rsid w:val="0BE5C370"/>
    <w:rsid w:val="0BE66774"/>
    <w:rsid w:val="0BE713CC"/>
    <w:rsid w:val="0BE794F2"/>
    <w:rsid w:val="0BE7B44D"/>
    <w:rsid w:val="0BE88829"/>
    <w:rsid w:val="0BE8FA0A"/>
    <w:rsid w:val="0BE98C48"/>
    <w:rsid w:val="0BEAD69C"/>
    <w:rsid w:val="0BEC2B3F"/>
    <w:rsid w:val="0BECB45B"/>
    <w:rsid w:val="0BECB4E9"/>
    <w:rsid w:val="0BECB65C"/>
    <w:rsid w:val="0BED2C51"/>
    <w:rsid w:val="0BED973D"/>
    <w:rsid w:val="0BEE562C"/>
    <w:rsid w:val="0BEE79C8"/>
    <w:rsid w:val="0BEF687B"/>
    <w:rsid w:val="0BEF7D95"/>
    <w:rsid w:val="0BEFAF0C"/>
    <w:rsid w:val="0BEFD01F"/>
    <w:rsid w:val="0BF01058"/>
    <w:rsid w:val="0BF0613A"/>
    <w:rsid w:val="0BF06B1D"/>
    <w:rsid w:val="0BF13A34"/>
    <w:rsid w:val="0BF1778E"/>
    <w:rsid w:val="0BF1B3AE"/>
    <w:rsid w:val="0BF1D525"/>
    <w:rsid w:val="0BF2F14B"/>
    <w:rsid w:val="0BF4067A"/>
    <w:rsid w:val="0BF4223A"/>
    <w:rsid w:val="0BF4E00C"/>
    <w:rsid w:val="0BF50C80"/>
    <w:rsid w:val="0BF5BC68"/>
    <w:rsid w:val="0BF67FB2"/>
    <w:rsid w:val="0BF6CFAF"/>
    <w:rsid w:val="0BF6E6BE"/>
    <w:rsid w:val="0BF7E187"/>
    <w:rsid w:val="0BF80B20"/>
    <w:rsid w:val="0BF863C6"/>
    <w:rsid w:val="0BF8ED11"/>
    <w:rsid w:val="0BF9C9A9"/>
    <w:rsid w:val="0BF9D593"/>
    <w:rsid w:val="0BFA00C7"/>
    <w:rsid w:val="0BFA7D38"/>
    <w:rsid w:val="0BFB3333"/>
    <w:rsid w:val="0BFC1513"/>
    <w:rsid w:val="0BFC79CE"/>
    <w:rsid w:val="0BFCF897"/>
    <w:rsid w:val="0BFDEAEC"/>
    <w:rsid w:val="0BFE6370"/>
    <w:rsid w:val="0BFF1018"/>
    <w:rsid w:val="0BFF286D"/>
    <w:rsid w:val="0C001EF4"/>
    <w:rsid w:val="0C0041BA"/>
    <w:rsid w:val="0C004261"/>
    <w:rsid w:val="0C00DBE8"/>
    <w:rsid w:val="0C01B325"/>
    <w:rsid w:val="0C0240D8"/>
    <w:rsid w:val="0C027EFF"/>
    <w:rsid w:val="0C02BD88"/>
    <w:rsid w:val="0C04B029"/>
    <w:rsid w:val="0C04D2C5"/>
    <w:rsid w:val="0C04F2C7"/>
    <w:rsid w:val="0C051AB0"/>
    <w:rsid w:val="0C06069D"/>
    <w:rsid w:val="0C0607A6"/>
    <w:rsid w:val="0C06BF2D"/>
    <w:rsid w:val="0C086384"/>
    <w:rsid w:val="0C08E0CE"/>
    <w:rsid w:val="0C08E63B"/>
    <w:rsid w:val="0C09DB1F"/>
    <w:rsid w:val="0C0A152F"/>
    <w:rsid w:val="0C0A7557"/>
    <w:rsid w:val="0C0AA48C"/>
    <w:rsid w:val="0C0B07CD"/>
    <w:rsid w:val="0C0B242E"/>
    <w:rsid w:val="0C0B706D"/>
    <w:rsid w:val="0C0BD9EF"/>
    <w:rsid w:val="0C0C211E"/>
    <w:rsid w:val="0C0C75A3"/>
    <w:rsid w:val="0C0C75BE"/>
    <w:rsid w:val="0C0D9460"/>
    <w:rsid w:val="0C0E000A"/>
    <w:rsid w:val="0C10139C"/>
    <w:rsid w:val="0C101B4F"/>
    <w:rsid w:val="0C105ADC"/>
    <w:rsid w:val="0C11BF09"/>
    <w:rsid w:val="0C11E140"/>
    <w:rsid w:val="0C122CD9"/>
    <w:rsid w:val="0C13A9E9"/>
    <w:rsid w:val="0C1404C7"/>
    <w:rsid w:val="0C157C0D"/>
    <w:rsid w:val="0C158659"/>
    <w:rsid w:val="0C159A0D"/>
    <w:rsid w:val="0C16322D"/>
    <w:rsid w:val="0C169344"/>
    <w:rsid w:val="0C17B3DF"/>
    <w:rsid w:val="0C182468"/>
    <w:rsid w:val="0C18CFCC"/>
    <w:rsid w:val="0C1912C0"/>
    <w:rsid w:val="0C196CF2"/>
    <w:rsid w:val="0C19B183"/>
    <w:rsid w:val="0C1A1D29"/>
    <w:rsid w:val="0C1A83EA"/>
    <w:rsid w:val="0C1A9143"/>
    <w:rsid w:val="0C1B458A"/>
    <w:rsid w:val="0C1B6633"/>
    <w:rsid w:val="0C1C1AFC"/>
    <w:rsid w:val="0C1E4C02"/>
    <w:rsid w:val="0C1E827A"/>
    <w:rsid w:val="0C1F9290"/>
    <w:rsid w:val="0C219CC5"/>
    <w:rsid w:val="0C21DBDD"/>
    <w:rsid w:val="0C226ACF"/>
    <w:rsid w:val="0C22D42D"/>
    <w:rsid w:val="0C247656"/>
    <w:rsid w:val="0C2497BD"/>
    <w:rsid w:val="0C24AB28"/>
    <w:rsid w:val="0C25376F"/>
    <w:rsid w:val="0C2549EE"/>
    <w:rsid w:val="0C256BB3"/>
    <w:rsid w:val="0C2590F1"/>
    <w:rsid w:val="0C267800"/>
    <w:rsid w:val="0C282D72"/>
    <w:rsid w:val="0C28974C"/>
    <w:rsid w:val="0C28A315"/>
    <w:rsid w:val="0C290335"/>
    <w:rsid w:val="0C294C46"/>
    <w:rsid w:val="0C2A6D03"/>
    <w:rsid w:val="0C2B1089"/>
    <w:rsid w:val="0C2B6A0B"/>
    <w:rsid w:val="0C2B85FF"/>
    <w:rsid w:val="0C2C6451"/>
    <w:rsid w:val="0C2D6871"/>
    <w:rsid w:val="0C2DE46E"/>
    <w:rsid w:val="0C2E214A"/>
    <w:rsid w:val="0C2E59E4"/>
    <w:rsid w:val="0C2EA54E"/>
    <w:rsid w:val="0C2ECBD6"/>
    <w:rsid w:val="0C2F8591"/>
    <w:rsid w:val="0C2FF8EC"/>
    <w:rsid w:val="0C2FFEA8"/>
    <w:rsid w:val="0C309F37"/>
    <w:rsid w:val="0C3138B8"/>
    <w:rsid w:val="0C313DE1"/>
    <w:rsid w:val="0C313F86"/>
    <w:rsid w:val="0C319EC8"/>
    <w:rsid w:val="0C31AA13"/>
    <w:rsid w:val="0C31BB5F"/>
    <w:rsid w:val="0C320E04"/>
    <w:rsid w:val="0C33EF6B"/>
    <w:rsid w:val="0C347380"/>
    <w:rsid w:val="0C349D22"/>
    <w:rsid w:val="0C34EA51"/>
    <w:rsid w:val="0C35B775"/>
    <w:rsid w:val="0C3645F3"/>
    <w:rsid w:val="0C369538"/>
    <w:rsid w:val="0C36C1A9"/>
    <w:rsid w:val="0C370A83"/>
    <w:rsid w:val="0C376C72"/>
    <w:rsid w:val="0C37C0A0"/>
    <w:rsid w:val="0C381A39"/>
    <w:rsid w:val="0C38840D"/>
    <w:rsid w:val="0C39E7D7"/>
    <w:rsid w:val="0C3A1437"/>
    <w:rsid w:val="0C3A52FD"/>
    <w:rsid w:val="0C3B7CBE"/>
    <w:rsid w:val="0C3C853E"/>
    <w:rsid w:val="0C3CF4B9"/>
    <w:rsid w:val="0C3CF5B0"/>
    <w:rsid w:val="0C3D00F3"/>
    <w:rsid w:val="0C3D8ADB"/>
    <w:rsid w:val="0C3E2685"/>
    <w:rsid w:val="0C3E6056"/>
    <w:rsid w:val="0C3EFFD9"/>
    <w:rsid w:val="0C3FA99E"/>
    <w:rsid w:val="0C408911"/>
    <w:rsid w:val="0C40B1B2"/>
    <w:rsid w:val="0C4107A1"/>
    <w:rsid w:val="0C424375"/>
    <w:rsid w:val="0C42BA64"/>
    <w:rsid w:val="0C42D89E"/>
    <w:rsid w:val="0C42E494"/>
    <w:rsid w:val="0C4316C1"/>
    <w:rsid w:val="0C4347AB"/>
    <w:rsid w:val="0C43A08C"/>
    <w:rsid w:val="0C443A3A"/>
    <w:rsid w:val="0C44962D"/>
    <w:rsid w:val="0C44BA74"/>
    <w:rsid w:val="0C44D2E9"/>
    <w:rsid w:val="0C44E61B"/>
    <w:rsid w:val="0C44E6F6"/>
    <w:rsid w:val="0C4570DA"/>
    <w:rsid w:val="0C458C64"/>
    <w:rsid w:val="0C45DD3E"/>
    <w:rsid w:val="0C45EB28"/>
    <w:rsid w:val="0C46BC1E"/>
    <w:rsid w:val="0C47FFF0"/>
    <w:rsid w:val="0C485CCF"/>
    <w:rsid w:val="0C48667F"/>
    <w:rsid w:val="0C48E5A8"/>
    <w:rsid w:val="0C49AD30"/>
    <w:rsid w:val="0C49B3F2"/>
    <w:rsid w:val="0C49BC46"/>
    <w:rsid w:val="0C49FC74"/>
    <w:rsid w:val="0C4A5165"/>
    <w:rsid w:val="0C4A8322"/>
    <w:rsid w:val="0C4A8C94"/>
    <w:rsid w:val="0C4AA5E9"/>
    <w:rsid w:val="0C4AF0CA"/>
    <w:rsid w:val="0C4B0D51"/>
    <w:rsid w:val="0C4B6741"/>
    <w:rsid w:val="0C4B8B3B"/>
    <w:rsid w:val="0C4B981A"/>
    <w:rsid w:val="0C4BE6C1"/>
    <w:rsid w:val="0C4C2185"/>
    <w:rsid w:val="0C4C5569"/>
    <w:rsid w:val="0C4CC3FD"/>
    <w:rsid w:val="0C4D82E0"/>
    <w:rsid w:val="0C4E9FCC"/>
    <w:rsid w:val="0C4FAF6A"/>
    <w:rsid w:val="0C5016C1"/>
    <w:rsid w:val="0C503619"/>
    <w:rsid w:val="0C50C45B"/>
    <w:rsid w:val="0C513D74"/>
    <w:rsid w:val="0C517683"/>
    <w:rsid w:val="0C51C3D2"/>
    <w:rsid w:val="0C526399"/>
    <w:rsid w:val="0C52B17D"/>
    <w:rsid w:val="0C530A4C"/>
    <w:rsid w:val="0C534734"/>
    <w:rsid w:val="0C544387"/>
    <w:rsid w:val="0C54464D"/>
    <w:rsid w:val="0C549911"/>
    <w:rsid w:val="0C562063"/>
    <w:rsid w:val="0C57CB8C"/>
    <w:rsid w:val="0C59624F"/>
    <w:rsid w:val="0C596C24"/>
    <w:rsid w:val="0C5AED0A"/>
    <w:rsid w:val="0C5BB0E2"/>
    <w:rsid w:val="0C5BFF54"/>
    <w:rsid w:val="0C5C4DC2"/>
    <w:rsid w:val="0C5CF444"/>
    <w:rsid w:val="0C5CF521"/>
    <w:rsid w:val="0C5D6E97"/>
    <w:rsid w:val="0C5DBDB5"/>
    <w:rsid w:val="0C5E0BDA"/>
    <w:rsid w:val="0C5E1773"/>
    <w:rsid w:val="0C5E7F2F"/>
    <w:rsid w:val="0C5FA194"/>
    <w:rsid w:val="0C6130B6"/>
    <w:rsid w:val="0C620B43"/>
    <w:rsid w:val="0C6400BF"/>
    <w:rsid w:val="0C643149"/>
    <w:rsid w:val="0C64510F"/>
    <w:rsid w:val="0C651C2C"/>
    <w:rsid w:val="0C65A9A8"/>
    <w:rsid w:val="0C66186A"/>
    <w:rsid w:val="0C66541C"/>
    <w:rsid w:val="0C66CA77"/>
    <w:rsid w:val="0C670564"/>
    <w:rsid w:val="0C671384"/>
    <w:rsid w:val="0C678DE2"/>
    <w:rsid w:val="0C67F7B7"/>
    <w:rsid w:val="0C681B05"/>
    <w:rsid w:val="0C688A1D"/>
    <w:rsid w:val="0C689290"/>
    <w:rsid w:val="0C68B4A0"/>
    <w:rsid w:val="0C68BC27"/>
    <w:rsid w:val="0C690EF7"/>
    <w:rsid w:val="0C6974CA"/>
    <w:rsid w:val="0C69D6D4"/>
    <w:rsid w:val="0C6AC859"/>
    <w:rsid w:val="0C6ACC75"/>
    <w:rsid w:val="0C6AE6DA"/>
    <w:rsid w:val="0C6B08CC"/>
    <w:rsid w:val="0C6B0EEC"/>
    <w:rsid w:val="0C6B72AE"/>
    <w:rsid w:val="0C6B8941"/>
    <w:rsid w:val="0C6BDA64"/>
    <w:rsid w:val="0C6D048B"/>
    <w:rsid w:val="0C6D3495"/>
    <w:rsid w:val="0C6D8E4B"/>
    <w:rsid w:val="0C6EB6F6"/>
    <w:rsid w:val="0C6FB5F3"/>
    <w:rsid w:val="0C7005FB"/>
    <w:rsid w:val="0C702CB9"/>
    <w:rsid w:val="0C70645D"/>
    <w:rsid w:val="0C70E0C0"/>
    <w:rsid w:val="0C713A63"/>
    <w:rsid w:val="0C71FD24"/>
    <w:rsid w:val="0C723C0B"/>
    <w:rsid w:val="0C72E247"/>
    <w:rsid w:val="0C7360AE"/>
    <w:rsid w:val="0C741538"/>
    <w:rsid w:val="0C7428C8"/>
    <w:rsid w:val="0C745C3D"/>
    <w:rsid w:val="0C750320"/>
    <w:rsid w:val="0C7561CD"/>
    <w:rsid w:val="0C7563BD"/>
    <w:rsid w:val="0C756BFA"/>
    <w:rsid w:val="0C766608"/>
    <w:rsid w:val="0C766978"/>
    <w:rsid w:val="0C76A811"/>
    <w:rsid w:val="0C76AF8D"/>
    <w:rsid w:val="0C76D075"/>
    <w:rsid w:val="0C76D76B"/>
    <w:rsid w:val="0C77167A"/>
    <w:rsid w:val="0C77568F"/>
    <w:rsid w:val="0C77FA7C"/>
    <w:rsid w:val="0C78A865"/>
    <w:rsid w:val="0C79039B"/>
    <w:rsid w:val="0C7993C0"/>
    <w:rsid w:val="0C79D930"/>
    <w:rsid w:val="0C7ADAA5"/>
    <w:rsid w:val="0C7AE270"/>
    <w:rsid w:val="0C7B1CDE"/>
    <w:rsid w:val="0C7C0A4B"/>
    <w:rsid w:val="0C7C3661"/>
    <w:rsid w:val="0C7C73B0"/>
    <w:rsid w:val="0C7CD2E6"/>
    <w:rsid w:val="0C7D5C41"/>
    <w:rsid w:val="0C7F97B4"/>
    <w:rsid w:val="0C7FAB15"/>
    <w:rsid w:val="0C8009C6"/>
    <w:rsid w:val="0C80E4C1"/>
    <w:rsid w:val="0C812A53"/>
    <w:rsid w:val="0C81DA5D"/>
    <w:rsid w:val="0C82284D"/>
    <w:rsid w:val="0C823B42"/>
    <w:rsid w:val="0C82DCCF"/>
    <w:rsid w:val="0C82FE73"/>
    <w:rsid w:val="0C83DF00"/>
    <w:rsid w:val="0C848502"/>
    <w:rsid w:val="0C84AF69"/>
    <w:rsid w:val="0C84C076"/>
    <w:rsid w:val="0C84DD88"/>
    <w:rsid w:val="0C857E5E"/>
    <w:rsid w:val="0C85B328"/>
    <w:rsid w:val="0C86590C"/>
    <w:rsid w:val="0C87070D"/>
    <w:rsid w:val="0C870E07"/>
    <w:rsid w:val="0C876750"/>
    <w:rsid w:val="0C87738F"/>
    <w:rsid w:val="0C87AAF5"/>
    <w:rsid w:val="0C884C70"/>
    <w:rsid w:val="0C88562A"/>
    <w:rsid w:val="0C88830C"/>
    <w:rsid w:val="0C888ADD"/>
    <w:rsid w:val="0C88B4B2"/>
    <w:rsid w:val="0C89BBFA"/>
    <w:rsid w:val="0C89D022"/>
    <w:rsid w:val="0C8A5565"/>
    <w:rsid w:val="0C8ABA43"/>
    <w:rsid w:val="0C8AD383"/>
    <w:rsid w:val="0C8B2679"/>
    <w:rsid w:val="0C8B28D5"/>
    <w:rsid w:val="0C8BD35C"/>
    <w:rsid w:val="0C8E0C39"/>
    <w:rsid w:val="0C8E52EF"/>
    <w:rsid w:val="0C8E66E8"/>
    <w:rsid w:val="0C8E8BC3"/>
    <w:rsid w:val="0C8F35A4"/>
    <w:rsid w:val="0C8FB1AB"/>
    <w:rsid w:val="0C8FD3EA"/>
    <w:rsid w:val="0C8FDD39"/>
    <w:rsid w:val="0C901632"/>
    <w:rsid w:val="0C903F95"/>
    <w:rsid w:val="0C90609D"/>
    <w:rsid w:val="0C909F0E"/>
    <w:rsid w:val="0C90A4BE"/>
    <w:rsid w:val="0C90B39D"/>
    <w:rsid w:val="0C90C045"/>
    <w:rsid w:val="0C90E5A5"/>
    <w:rsid w:val="0C9258A6"/>
    <w:rsid w:val="0C9288EA"/>
    <w:rsid w:val="0C92D3FF"/>
    <w:rsid w:val="0C92DA0F"/>
    <w:rsid w:val="0C9302AF"/>
    <w:rsid w:val="0C938D9F"/>
    <w:rsid w:val="0C94CD19"/>
    <w:rsid w:val="0C94F611"/>
    <w:rsid w:val="0C95674F"/>
    <w:rsid w:val="0C967BD5"/>
    <w:rsid w:val="0C972551"/>
    <w:rsid w:val="0C97B2EE"/>
    <w:rsid w:val="0C98714F"/>
    <w:rsid w:val="0C98D5D1"/>
    <w:rsid w:val="0C993A42"/>
    <w:rsid w:val="0C998899"/>
    <w:rsid w:val="0C998F5A"/>
    <w:rsid w:val="0C99CF47"/>
    <w:rsid w:val="0C99EDDA"/>
    <w:rsid w:val="0C9A2891"/>
    <w:rsid w:val="0C9A594C"/>
    <w:rsid w:val="0C9AF81B"/>
    <w:rsid w:val="0C9B7FD1"/>
    <w:rsid w:val="0C9BBA79"/>
    <w:rsid w:val="0C9D4743"/>
    <w:rsid w:val="0C9D4C7E"/>
    <w:rsid w:val="0C9DEEE5"/>
    <w:rsid w:val="0C9DF161"/>
    <w:rsid w:val="0C9E6D4D"/>
    <w:rsid w:val="0C9F177F"/>
    <w:rsid w:val="0C9F666F"/>
    <w:rsid w:val="0CA00DA3"/>
    <w:rsid w:val="0CA0FA9F"/>
    <w:rsid w:val="0CA260EB"/>
    <w:rsid w:val="0CA2B71B"/>
    <w:rsid w:val="0CA3AA36"/>
    <w:rsid w:val="0CA47A57"/>
    <w:rsid w:val="0CA4D8CB"/>
    <w:rsid w:val="0CA5649B"/>
    <w:rsid w:val="0CA58646"/>
    <w:rsid w:val="0CA5FF57"/>
    <w:rsid w:val="0CA69B57"/>
    <w:rsid w:val="0CA6DA09"/>
    <w:rsid w:val="0CA7184C"/>
    <w:rsid w:val="0CA7BF90"/>
    <w:rsid w:val="0CA7F9EF"/>
    <w:rsid w:val="0CA82BE9"/>
    <w:rsid w:val="0CA9FBCA"/>
    <w:rsid w:val="0CAA2E67"/>
    <w:rsid w:val="0CAA52D8"/>
    <w:rsid w:val="0CAA9624"/>
    <w:rsid w:val="0CAB6946"/>
    <w:rsid w:val="0CAB9646"/>
    <w:rsid w:val="0CAC2A43"/>
    <w:rsid w:val="0CAC5CD8"/>
    <w:rsid w:val="0CACFC86"/>
    <w:rsid w:val="0CAD7347"/>
    <w:rsid w:val="0CAF6348"/>
    <w:rsid w:val="0CAF9AB6"/>
    <w:rsid w:val="0CB192D1"/>
    <w:rsid w:val="0CB1B572"/>
    <w:rsid w:val="0CB1F300"/>
    <w:rsid w:val="0CB2BFE2"/>
    <w:rsid w:val="0CB2DAF3"/>
    <w:rsid w:val="0CB2E56D"/>
    <w:rsid w:val="0CB3C53D"/>
    <w:rsid w:val="0CB41DB7"/>
    <w:rsid w:val="0CB45CB4"/>
    <w:rsid w:val="0CB56D62"/>
    <w:rsid w:val="0CB59492"/>
    <w:rsid w:val="0CB61EBD"/>
    <w:rsid w:val="0CB642B8"/>
    <w:rsid w:val="0CB64433"/>
    <w:rsid w:val="0CB6F9C3"/>
    <w:rsid w:val="0CB71831"/>
    <w:rsid w:val="0CB7B916"/>
    <w:rsid w:val="0CB7F0EA"/>
    <w:rsid w:val="0CB80886"/>
    <w:rsid w:val="0CB8C267"/>
    <w:rsid w:val="0CB915D6"/>
    <w:rsid w:val="0CB96CCD"/>
    <w:rsid w:val="0CBA0E97"/>
    <w:rsid w:val="0CBACABD"/>
    <w:rsid w:val="0CBBF900"/>
    <w:rsid w:val="0CBC01C5"/>
    <w:rsid w:val="0CBC286A"/>
    <w:rsid w:val="0CBD5797"/>
    <w:rsid w:val="0CBDDFBC"/>
    <w:rsid w:val="0CBE958D"/>
    <w:rsid w:val="0CBF0682"/>
    <w:rsid w:val="0CBFCB20"/>
    <w:rsid w:val="0CBFD816"/>
    <w:rsid w:val="0CBFECF9"/>
    <w:rsid w:val="0CC0E35E"/>
    <w:rsid w:val="0CC0E3EC"/>
    <w:rsid w:val="0CC13694"/>
    <w:rsid w:val="0CC27877"/>
    <w:rsid w:val="0CC361BA"/>
    <w:rsid w:val="0CC38D4A"/>
    <w:rsid w:val="0CC3BFCB"/>
    <w:rsid w:val="0CC47768"/>
    <w:rsid w:val="0CC488A4"/>
    <w:rsid w:val="0CC49C3D"/>
    <w:rsid w:val="0CC5A4F4"/>
    <w:rsid w:val="0CC6477E"/>
    <w:rsid w:val="0CC68F53"/>
    <w:rsid w:val="0CC69200"/>
    <w:rsid w:val="0CC6A9FA"/>
    <w:rsid w:val="0CC7920D"/>
    <w:rsid w:val="0CC79AB4"/>
    <w:rsid w:val="0CC7D7B1"/>
    <w:rsid w:val="0CC8F743"/>
    <w:rsid w:val="0CC9AC0E"/>
    <w:rsid w:val="0CCADC05"/>
    <w:rsid w:val="0CCEDCE3"/>
    <w:rsid w:val="0CCF026C"/>
    <w:rsid w:val="0CCFF98C"/>
    <w:rsid w:val="0CD02BA0"/>
    <w:rsid w:val="0CD03E99"/>
    <w:rsid w:val="0CD1384C"/>
    <w:rsid w:val="0CD1ABF5"/>
    <w:rsid w:val="0CD1B21D"/>
    <w:rsid w:val="0CD1E8B4"/>
    <w:rsid w:val="0CD25DA7"/>
    <w:rsid w:val="0CD2E4D5"/>
    <w:rsid w:val="0CD31D3A"/>
    <w:rsid w:val="0CD37AB6"/>
    <w:rsid w:val="0CD38B97"/>
    <w:rsid w:val="0CD41B6D"/>
    <w:rsid w:val="0CD439FF"/>
    <w:rsid w:val="0CD47EC4"/>
    <w:rsid w:val="0CD5EC94"/>
    <w:rsid w:val="0CD5FC48"/>
    <w:rsid w:val="0CD61E58"/>
    <w:rsid w:val="0CD68718"/>
    <w:rsid w:val="0CD6E31E"/>
    <w:rsid w:val="0CD73BA6"/>
    <w:rsid w:val="0CD7412D"/>
    <w:rsid w:val="0CD80F16"/>
    <w:rsid w:val="0CD8173D"/>
    <w:rsid w:val="0CD821F7"/>
    <w:rsid w:val="0CD8559D"/>
    <w:rsid w:val="0CD8F562"/>
    <w:rsid w:val="0CD9656B"/>
    <w:rsid w:val="0CD9C4EC"/>
    <w:rsid w:val="0CDA3E57"/>
    <w:rsid w:val="0CDA7DA3"/>
    <w:rsid w:val="0CDAA910"/>
    <w:rsid w:val="0CDAB618"/>
    <w:rsid w:val="0CDB51BA"/>
    <w:rsid w:val="0CDBD4EE"/>
    <w:rsid w:val="0CDD0E8D"/>
    <w:rsid w:val="0CDD4F04"/>
    <w:rsid w:val="0CDD756E"/>
    <w:rsid w:val="0CDDD05C"/>
    <w:rsid w:val="0CDE467A"/>
    <w:rsid w:val="0CDEF2F6"/>
    <w:rsid w:val="0CDF36C8"/>
    <w:rsid w:val="0CDF3E44"/>
    <w:rsid w:val="0CE2E143"/>
    <w:rsid w:val="0CE32198"/>
    <w:rsid w:val="0CE36E71"/>
    <w:rsid w:val="0CE38789"/>
    <w:rsid w:val="0CE3B1DA"/>
    <w:rsid w:val="0CE446D0"/>
    <w:rsid w:val="0CE46DA8"/>
    <w:rsid w:val="0CE50FB7"/>
    <w:rsid w:val="0CE52DFA"/>
    <w:rsid w:val="0CE5F3CD"/>
    <w:rsid w:val="0CE62BB5"/>
    <w:rsid w:val="0CE64B0A"/>
    <w:rsid w:val="0CE65F38"/>
    <w:rsid w:val="0CE69679"/>
    <w:rsid w:val="0CE6DD2F"/>
    <w:rsid w:val="0CE76C8A"/>
    <w:rsid w:val="0CE7BB4C"/>
    <w:rsid w:val="0CE7EB76"/>
    <w:rsid w:val="0CE85259"/>
    <w:rsid w:val="0CE91754"/>
    <w:rsid w:val="0CE93715"/>
    <w:rsid w:val="0CE93B9F"/>
    <w:rsid w:val="0CE9772C"/>
    <w:rsid w:val="0CEB2121"/>
    <w:rsid w:val="0CEBD257"/>
    <w:rsid w:val="0CEC6BA1"/>
    <w:rsid w:val="0CECCBDF"/>
    <w:rsid w:val="0CECCF83"/>
    <w:rsid w:val="0CED1617"/>
    <w:rsid w:val="0CED9111"/>
    <w:rsid w:val="0CEE54D2"/>
    <w:rsid w:val="0CEE5EF5"/>
    <w:rsid w:val="0CEE8A7F"/>
    <w:rsid w:val="0CEF8446"/>
    <w:rsid w:val="0CEFDD5F"/>
    <w:rsid w:val="0CF00C5F"/>
    <w:rsid w:val="0CF081CE"/>
    <w:rsid w:val="0CF0DBDF"/>
    <w:rsid w:val="0CF19410"/>
    <w:rsid w:val="0CF244B6"/>
    <w:rsid w:val="0CF3BE33"/>
    <w:rsid w:val="0CF46BF8"/>
    <w:rsid w:val="0CF54F58"/>
    <w:rsid w:val="0CF5EAFE"/>
    <w:rsid w:val="0CF61B8E"/>
    <w:rsid w:val="0CF6A1B9"/>
    <w:rsid w:val="0CF71DE9"/>
    <w:rsid w:val="0CF7F57B"/>
    <w:rsid w:val="0CF817DE"/>
    <w:rsid w:val="0CF8550B"/>
    <w:rsid w:val="0CF86ECF"/>
    <w:rsid w:val="0CF8A57B"/>
    <w:rsid w:val="0CFA565E"/>
    <w:rsid w:val="0CFADB51"/>
    <w:rsid w:val="0CFADCBA"/>
    <w:rsid w:val="0CFB7C05"/>
    <w:rsid w:val="0CFBDD47"/>
    <w:rsid w:val="0CFBFD19"/>
    <w:rsid w:val="0CFC21B1"/>
    <w:rsid w:val="0CFC4EF3"/>
    <w:rsid w:val="0CFDE2AD"/>
    <w:rsid w:val="0CFE26A1"/>
    <w:rsid w:val="0CFEC4AE"/>
    <w:rsid w:val="0CFED524"/>
    <w:rsid w:val="0CFEF179"/>
    <w:rsid w:val="0CFF0191"/>
    <w:rsid w:val="0CFF6594"/>
    <w:rsid w:val="0D0004DA"/>
    <w:rsid w:val="0D016736"/>
    <w:rsid w:val="0D01D905"/>
    <w:rsid w:val="0D02201A"/>
    <w:rsid w:val="0D028F10"/>
    <w:rsid w:val="0D039A7D"/>
    <w:rsid w:val="0D03E99C"/>
    <w:rsid w:val="0D061E57"/>
    <w:rsid w:val="0D07EE81"/>
    <w:rsid w:val="0D08EC49"/>
    <w:rsid w:val="0D09ABAA"/>
    <w:rsid w:val="0D0A6DFD"/>
    <w:rsid w:val="0D0AF6FE"/>
    <w:rsid w:val="0D0B1943"/>
    <w:rsid w:val="0D0B4511"/>
    <w:rsid w:val="0D0BFD0A"/>
    <w:rsid w:val="0D0C99BE"/>
    <w:rsid w:val="0D0CBE66"/>
    <w:rsid w:val="0D0D7DD0"/>
    <w:rsid w:val="0D0DC3CE"/>
    <w:rsid w:val="0D0DE5D3"/>
    <w:rsid w:val="0D0E0A14"/>
    <w:rsid w:val="0D0E3EF2"/>
    <w:rsid w:val="0D0E4076"/>
    <w:rsid w:val="0D0EDABA"/>
    <w:rsid w:val="0D0F972C"/>
    <w:rsid w:val="0D10743B"/>
    <w:rsid w:val="0D10AA3C"/>
    <w:rsid w:val="0D10CA56"/>
    <w:rsid w:val="0D10E2A2"/>
    <w:rsid w:val="0D11865C"/>
    <w:rsid w:val="0D13487B"/>
    <w:rsid w:val="0D13FBA9"/>
    <w:rsid w:val="0D1503DC"/>
    <w:rsid w:val="0D15860E"/>
    <w:rsid w:val="0D160263"/>
    <w:rsid w:val="0D161054"/>
    <w:rsid w:val="0D165F6E"/>
    <w:rsid w:val="0D183150"/>
    <w:rsid w:val="0D191792"/>
    <w:rsid w:val="0D192CEE"/>
    <w:rsid w:val="0D199C2D"/>
    <w:rsid w:val="0D19ED0F"/>
    <w:rsid w:val="0D1A0E75"/>
    <w:rsid w:val="0D1A8455"/>
    <w:rsid w:val="0D1AEB8D"/>
    <w:rsid w:val="0D1AECA6"/>
    <w:rsid w:val="0D1BABD0"/>
    <w:rsid w:val="0D1CF8B7"/>
    <w:rsid w:val="0D1CFBDB"/>
    <w:rsid w:val="0D1E0051"/>
    <w:rsid w:val="0D1E3A73"/>
    <w:rsid w:val="0D1E9653"/>
    <w:rsid w:val="0D1EA3B5"/>
    <w:rsid w:val="0D1EBCFE"/>
    <w:rsid w:val="0D1EC203"/>
    <w:rsid w:val="0D2086CC"/>
    <w:rsid w:val="0D20B794"/>
    <w:rsid w:val="0D21BB35"/>
    <w:rsid w:val="0D220856"/>
    <w:rsid w:val="0D2219A4"/>
    <w:rsid w:val="0D22327D"/>
    <w:rsid w:val="0D229E8F"/>
    <w:rsid w:val="0D2425B1"/>
    <w:rsid w:val="0D246539"/>
    <w:rsid w:val="0D259B22"/>
    <w:rsid w:val="0D26ED23"/>
    <w:rsid w:val="0D274401"/>
    <w:rsid w:val="0D28F693"/>
    <w:rsid w:val="0D294014"/>
    <w:rsid w:val="0D296974"/>
    <w:rsid w:val="0D2A0E0E"/>
    <w:rsid w:val="0D2A407E"/>
    <w:rsid w:val="0D2A94D1"/>
    <w:rsid w:val="0D2AEB40"/>
    <w:rsid w:val="0D2B58BA"/>
    <w:rsid w:val="0D2B6C48"/>
    <w:rsid w:val="0D2B77AA"/>
    <w:rsid w:val="0D2BB02C"/>
    <w:rsid w:val="0D2C0456"/>
    <w:rsid w:val="0D2C4559"/>
    <w:rsid w:val="0D2C6AD7"/>
    <w:rsid w:val="0D2C6CAC"/>
    <w:rsid w:val="0D2D3186"/>
    <w:rsid w:val="0D2D6CA8"/>
    <w:rsid w:val="0D2E1E32"/>
    <w:rsid w:val="0D2EF708"/>
    <w:rsid w:val="0D303DB6"/>
    <w:rsid w:val="0D30701D"/>
    <w:rsid w:val="0D30BAAF"/>
    <w:rsid w:val="0D32F08C"/>
    <w:rsid w:val="0D332794"/>
    <w:rsid w:val="0D344D5A"/>
    <w:rsid w:val="0D350F8F"/>
    <w:rsid w:val="0D354196"/>
    <w:rsid w:val="0D354FC7"/>
    <w:rsid w:val="0D355421"/>
    <w:rsid w:val="0D358D72"/>
    <w:rsid w:val="0D35D512"/>
    <w:rsid w:val="0D35D56A"/>
    <w:rsid w:val="0D3670F9"/>
    <w:rsid w:val="0D36B587"/>
    <w:rsid w:val="0D36D487"/>
    <w:rsid w:val="0D3769BE"/>
    <w:rsid w:val="0D3877C4"/>
    <w:rsid w:val="0D39B695"/>
    <w:rsid w:val="0D3C5C20"/>
    <w:rsid w:val="0D3CABEA"/>
    <w:rsid w:val="0D3DD689"/>
    <w:rsid w:val="0D3E01F7"/>
    <w:rsid w:val="0D3E5C93"/>
    <w:rsid w:val="0D3EA0C3"/>
    <w:rsid w:val="0D3EAA2E"/>
    <w:rsid w:val="0D3ED2A6"/>
    <w:rsid w:val="0D3F3B0B"/>
    <w:rsid w:val="0D3F7D60"/>
    <w:rsid w:val="0D3FEF5A"/>
    <w:rsid w:val="0D4055B7"/>
    <w:rsid w:val="0D4087A6"/>
    <w:rsid w:val="0D40F2CD"/>
    <w:rsid w:val="0D412315"/>
    <w:rsid w:val="0D42A297"/>
    <w:rsid w:val="0D42B936"/>
    <w:rsid w:val="0D431EEB"/>
    <w:rsid w:val="0D434F1D"/>
    <w:rsid w:val="0D43C6B4"/>
    <w:rsid w:val="0D441FAF"/>
    <w:rsid w:val="0D442F38"/>
    <w:rsid w:val="0D445104"/>
    <w:rsid w:val="0D4556FA"/>
    <w:rsid w:val="0D458733"/>
    <w:rsid w:val="0D45B3F9"/>
    <w:rsid w:val="0D46A7BD"/>
    <w:rsid w:val="0D46DA05"/>
    <w:rsid w:val="0D4732AA"/>
    <w:rsid w:val="0D47DFD4"/>
    <w:rsid w:val="0D48A200"/>
    <w:rsid w:val="0D492A8C"/>
    <w:rsid w:val="0D493E3D"/>
    <w:rsid w:val="0D4C7024"/>
    <w:rsid w:val="0D4C987C"/>
    <w:rsid w:val="0D4D483E"/>
    <w:rsid w:val="0D4D63E9"/>
    <w:rsid w:val="0D4DD395"/>
    <w:rsid w:val="0D4DF312"/>
    <w:rsid w:val="0D4F87A6"/>
    <w:rsid w:val="0D4F9EDF"/>
    <w:rsid w:val="0D5016A1"/>
    <w:rsid w:val="0D50DD88"/>
    <w:rsid w:val="0D50F12C"/>
    <w:rsid w:val="0D5105FB"/>
    <w:rsid w:val="0D5109ED"/>
    <w:rsid w:val="0D51781F"/>
    <w:rsid w:val="0D517F87"/>
    <w:rsid w:val="0D518412"/>
    <w:rsid w:val="0D51ADF5"/>
    <w:rsid w:val="0D51CB09"/>
    <w:rsid w:val="0D51E9B6"/>
    <w:rsid w:val="0D52561D"/>
    <w:rsid w:val="0D529028"/>
    <w:rsid w:val="0D530E90"/>
    <w:rsid w:val="0D534B13"/>
    <w:rsid w:val="0D535755"/>
    <w:rsid w:val="0D5384AC"/>
    <w:rsid w:val="0D54181C"/>
    <w:rsid w:val="0D54CE63"/>
    <w:rsid w:val="0D561449"/>
    <w:rsid w:val="0D563B8D"/>
    <w:rsid w:val="0D5656EE"/>
    <w:rsid w:val="0D56BB28"/>
    <w:rsid w:val="0D56C89E"/>
    <w:rsid w:val="0D57E050"/>
    <w:rsid w:val="0D57EAA5"/>
    <w:rsid w:val="0D582A63"/>
    <w:rsid w:val="0D5954D6"/>
    <w:rsid w:val="0D5960B5"/>
    <w:rsid w:val="0D5990C0"/>
    <w:rsid w:val="0D5AAC85"/>
    <w:rsid w:val="0D5AF19D"/>
    <w:rsid w:val="0D5BF989"/>
    <w:rsid w:val="0D5C1727"/>
    <w:rsid w:val="0D5C94F3"/>
    <w:rsid w:val="0D5C950E"/>
    <w:rsid w:val="0D5D9D01"/>
    <w:rsid w:val="0D5DC026"/>
    <w:rsid w:val="0D5DD4DF"/>
    <w:rsid w:val="0D5E8211"/>
    <w:rsid w:val="0D5E9096"/>
    <w:rsid w:val="0D5F42AE"/>
    <w:rsid w:val="0D5F7229"/>
    <w:rsid w:val="0D5F8679"/>
    <w:rsid w:val="0D5FE5E8"/>
    <w:rsid w:val="0D600F1F"/>
    <w:rsid w:val="0D6010DD"/>
    <w:rsid w:val="0D6067E4"/>
    <w:rsid w:val="0D607E05"/>
    <w:rsid w:val="0D60A7CE"/>
    <w:rsid w:val="0D60BEAE"/>
    <w:rsid w:val="0D624CAA"/>
    <w:rsid w:val="0D63614B"/>
    <w:rsid w:val="0D637F82"/>
    <w:rsid w:val="0D641B54"/>
    <w:rsid w:val="0D64BA9C"/>
    <w:rsid w:val="0D64CFB6"/>
    <w:rsid w:val="0D64D182"/>
    <w:rsid w:val="0D65034E"/>
    <w:rsid w:val="0D6583CD"/>
    <w:rsid w:val="0D65F9E0"/>
    <w:rsid w:val="0D6667A2"/>
    <w:rsid w:val="0D66BD43"/>
    <w:rsid w:val="0D66C429"/>
    <w:rsid w:val="0D66EA4D"/>
    <w:rsid w:val="0D67B23F"/>
    <w:rsid w:val="0D683F77"/>
    <w:rsid w:val="0D6A5C9D"/>
    <w:rsid w:val="0D6B8994"/>
    <w:rsid w:val="0D6BFB5D"/>
    <w:rsid w:val="0D6C1818"/>
    <w:rsid w:val="0D6CC81F"/>
    <w:rsid w:val="0D6CE03D"/>
    <w:rsid w:val="0D6E7E65"/>
    <w:rsid w:val="0D6F5B73"/>
    <w:rsid w:val="0D6F911C"/>
    <w:rsid w:val="0D6FDF63"/>
    <w:rsid w:val="0D70DC14"/>
    <w:rsid w:val="0D710AF6"/>
    <w:rsid w:val="0D713ED5"/>
    <w:rsid w:val="0D7169CD"/>
    <w:rsid w:val="0D721B13"/>
    <w:rsid w:val="0D722940"/>
    <w:rsid w:val="0D7240CE"/>
    <w:rsid w:val="0D724323"/>
    <w:rsid w:val="0D727B8C"/>
    <w:rsid w:val="0D72F4F9"/>
    <w:rsid w:val="0D73086F"/>
    <w:rsid w:val="0D735222"/>
    <w:rsid w:val="0D7359A8"/>
    <w:rsid w:val="0D74487C"/>
    <w:rsid w:val="0D7463A6"/>
    <w:rsid w:val="0D747F69"/>
    <w:rsid w:val="0D74C768"/>
    <w:rsid w:val="0D76B53D"/>
    <w:rsid w:val="0D76E672"/>
    <w:rsid w:val="0D7869E6"/>
    <w:rsid w:val="0D78C960"/>
    <w:rsid w:val="0D7976F1"/>
    <w:rsid w:val="0D79E78C"/>
    <w:rsid w:val="0D7B0AEC"/>
    <w:rsid w:val="0D7B4FDE"/>
    <w:rsid w:val="0D7B8E7A"/>
    <w:rsid w:val="0D7D447C"/>
    <w:rsid w:val="0D7E619D"/>
    <w:rsid w:val="0D7F7938"/>
    <w:rsid w:val="0D7F9F65"/>
    <w:rsid w:val="0D7FCE2E"/>
    <w:rsid w:val="0D800BFC"/>
    <w:rsid w:val="0D8104E5"/>
    <w:rsid w:val="0D81382A"/>
    <w:rsid w:val="0D814351"/>
    <w:rsid w:val="0D81450E"/>
    <w:rsid w:val="0D81D02F"/>
    <w:rsid w:val="0D81DB7B"/>
    <w:rsid w:val="0D8280BF"/>
    <w:rsid w:val="0D82BAEB"/>
    <w:rsid w:val="0D82CD8B"/>
    <w:rsid w:val="0D830EA4"/>
    <w:rsid w:val="0D83799A"/>
    <w:rsid w:val="0D83CCE8"/>
    <w:rsid w:val="0D8505DC"/>
    <w:rsid w:val="0D85BBEE"/>
    <w:rsid w:val="0D85D3DC"/>
    <w:rsid w:val="0D85DA54"/>
    <w:rsid w:val="0D86A2F7"/>
    <w:rsid w:val="0D86B975"/>
    <w:rsid w:val="0D8910C3"/>
    <w:rsid w:val="0D89567B"/>
    <w:rsid w:val="0D895CC6"/>
    <w:rsid w:val="0D89EE79"/>
    <w:rsid w:val="0D8A09E2"/>
    <w:rsid w:val="0D8A3E23"/>
    <w:rsid w:val="0D8ACA2D"/>
    <w:rsid w:val="0D8ADD82"/>
    <w:rsid w:val="0D8AE76F"/>
    <w:rsid w:val="0D8C079A"/>
    <w:rsid w:val="0D9018C4"/>
    <w:rsid w:val="0D9027C4"/>
    <w:rsid w:val="0D90DF37"/>
    <w:rsid w:val="0D90E92E"/>
    <w:rsid w:val="0D91117A"/>
    <w:rsid w:val="0D914F2C"/>
    <w:rsid w:val="0D916F99"/>
    <w:rsid w:val="0D919ECF"/>
    <w:rsid w:val="0D922214"/>
    <w:rsid w:val="0D924C91"/>
    <w:rsid w:val="0D9287BF"/>
    <w:rsid w:val="0D92CDE9"/>
    <w:rsid w:val="0D930656"/>
    <w:rsid w:val="0D935960"/>
    <w:rsid w:val="0D9361C5"/>
    <w:rsid w:val="0D949FC6"/>
    <w:rsid w:val="0D9503FC"/>
    <w:rsid w:val="0D95228F"/>
    <w:rsid w:val="0D953B75"/>
    <w:rsid w:val="0D953FEE"/>
    <w:rsid w:val="0D95BC9F"/>
    <w:rsid w:val="0D965706"/>
    <w:rsid w:val="0D96FE07"/>
    <w:rsid w:val="0D97B030"/>
    <w:rsid w:val="0D97E269"/>
    <w:rsid w:val="0D9845B3"/>
    <w:rsid w:val="0D997E4C"/>
    <w:rsid w:val="0D99CF22"/>
    <w:rsid w:val="0D9A408B"/>
    <w:rsid w:val="0D9A44A9"/>
    <w:rsid w:val="0D9B42F9"/>
    <w:rsid w:val="0D9B95AB"/>
    <w:rsid w:val="0D9C4E54"/>
    <w:rsid w:val="0D9D0389"/>
    <w:rsid w:val="0D9D7F14"/>
    <w:rsid w:val="0D9E1418"/>
    <w:rsid w:val="0D9EB7B0"/>
    <w:rsid w:val="0D9F215F"/>
    <w:rsid w:val="0D9F7C83"/>
    <w:rsid w:val="0D9FD427"/>
    <w:rsid w:val="0D9FF996"/>
    <w:rsid w:val="0DA062E6"/>
    <w:rsid w:val="0DA0766E"/>
    <w:rsid w:val="0DA0CC03"/>
    <w:rsid w:val="0DA0ED57"/>
    <w:rsid w:val="0DA115B7"/>
    <w:rsid w:val="0DA13958"/>
    <w:rsid w:val="0DA1A999"/>
    <w:rsid w:val="0DA1FA9F"/>
    <w:rsid w:val="0DA214C7"/>
    <w:rsid w:val="0DA267E5"/>
    <w:rsid w:val="0DA27969"/>
    <w:rsid w:val="0DA2F8F1"/>
    <w:rsid w:val="0DA32698"/>
    <w:rsid w:val="0DA3569E"/>
    <w:rsid w:val="0DA38082"/>
    <w:rsid w:val="0DA4912B"/>
    <w:rsid w:val="0DA497FB"/>
    <w:rsid w:val="0DA56604"/>
    <w:rsid w:val="0DA6AAB9"/>
    <w:rsid w:val="0DA6AAEA"/>
    <w:rsid w:val="0DA6C21A"/>
    <w:rsid w:val="0DA6DFA2"/>
    <w:rsid w:val="0DA7BCA1"/>
    <w:rsid w:val="0DA821B5"/>
    <w:rsid w:val="0DA84508"/>
    <w:rsid w:val="0DA84BAC"/>
    <w:rsid w:val="0DA90F64"/>
    <w:rsid w:val="0DA93A61"/>
    <w:rsid w:val="0DAA09B8"/>
    <w:rsid w:val="0DAA8E68"/>
    <w:rsid w:val="0DAADEE6"/>
    <w:rsid w:val="0DAAF660"/>
    <w:rsid w:val="0DAB2075"/>
    <w:rsid w:val="0DAC0206"/>
    <w:rsid w:val="0DAE04D7"/>
    <w:rsid w:val="0DAE8A0F"/>
    <w:rsid w:val="0DAF3249"/>
    <w:rsid w:val="0DAF3C7F"/>
    <w:rsid w:val="0DAFAFAD"/>
    <w:rsid w:val="0DB02A34"/>
    <w:rsid w:val="0DB03127"/>
    <w:rsid w:val="0DB037EB"/>
    <w:rsid w:val="0DB07931"/>
    <w:rsid w:val="0DB0BF66"/>
    <w:rsid w:val="0DB11726"/>
    <w:rsid w:val="0DB13B1A"/>
    <w:rsid w:val="0DB21F7D"/>
    <w:rsid w:val="0DB23866"/>
    <w:rsid w:val="0DB24627"/>
    <w:rsid w:val="0DB3F399"/>
    <w:rsid w:val="0DB57258"/>
    <w:rsid w:val="0DB64CF5"/>
    <w:rsid w:val="0DB6AD87"/>
    <w:rsid w:val="0DB6C381"/>
    <w:rsid w:val="0DB8A9F7"/>
    <w:rsid w:val="0DB95113"/>
    <w:rsid w:val="0DB9A971"/>
    <w:rsid w:val="0DBA6F6A"/>
    <w:rsid w:val="0DBB9A70"/>
    <w:rsid w:val="0DBD0078"/>
    <w:rsid w:val="0DBEFA25"/>
    <w:rsid w:val="0DBF079C"/>
    <w:rsid w:val="0DBF08E1"/>
    <w:rsid w:val="0DBF8505"/>
    <w:rsid w:val="0DC08289"/>
    <w:rsid w:val="0DC0D055"/>
    <w:rsid w:val="0DC0EFCD"/>
    <w:rsid w:val="0DC2476B"/>
    <w:rsid w:val="0DC25353"/>
    <w:rsid w:val="0DC27A78"/>
    <w:rsid w:val="0DC2AA15"/>
    <w:rsid w:val="0DC2F492"/>
    <w:rsid w:val="0DC3DA0B"/>
    <w:rsid w:val="0DC3FC39"/>
    <w:rsid w:val="0DC402AA"/>
    <w:rsid w:val="0DC43FA8"/>
    <w:rsid w:val="0DC44D0C"/>
    <w:rsid w:val="0DC44EEE"/>
    <w:rsid w:val="0DC4749C"/>
    <w:rsid w:val="0DC48CF9"/>
    <w:rsid w:val="0DC4A878"/>
    <w:rsid w:val="0DC58BCF"/>
    <w:rsid w:val="0DC59041"/>
    <w:rsid w:val="0DC66127"/>
    <w:rsid w:val="0DC667D1"/>
    <w:rsid w:val="0DC673C6"/>
    <w:rsid w:val="0DC6AD8A"/>
    <w:rsid w:val="0DC79F00"/>
    <w:rsid w:val="0DC7C6A2"/>
    <w:rsid w:val="0DC7C6FD"/>
    <w:rsid w:val="0DC8352E"/>
    <w:rsid w:val="0DC93EAF"/>
    <w:rsid w:val="0DC9DFFE"/>
    <w:rsid w:val="0DC9E0D4"/>
    <w:rsid w:val="0DCA0C34"/>
    <w:rsid w:val="0DCA401C"/>
    <w:rsid w:val="0DCAB0AD"/>
    <w:rsid w:val="0DCB24D1"/>
    <w:rsid w:val="0DCB42D7"/>
    <w:rsid w:val="0DCB5059"/>
    <w:rsid w:val="0DCB5EB7"/>
    <w:rsid w:val="0DCB7A56"/>
    <w:rsid w:val="0DCBF7F2"/>
    <w:rsid w:val="0DCCCB68"/>
    <w:rsid w:val="0DCCD0F2"/>
    <w:rsid w:val="0DCD03CE"/>
    <w:rsid w:val="0DCD20E4"/>
    <w:rsid w:val="0DCD3360"/>
    <w:rsid w:val="0DCD63F8"/>
    <w:rsid w:val="0DCD7905"/>
    <w:rsid w:val="0DCE1270"/>
    <w:rsid w:val="0DCE59CD"/>
    <w:rsid w:val="0DCF7240"/>
    <w:rsid w:val="0DCF7B11"/>
    <w:rsid w:val="0DD0C185"/>
    <w:rsid w:val="0DD0CC13"/>
    <w:rsid w:val="0DD2E9CD"/>
    <w:rsid w:val="0DD327AF"/>
    <w:rsid w:val="0DD39A7E"/>
    <w:rsid w:val="0DD3A48E"/>
    <w:rsid w:val="0DD3C379"/>
    <w:rsid w:val="0DD3C6EA"/>
    <w:rsid w:val="0DD458B3"/>
    <w:rsid w:val="0DD58957"/>
    <w:rsid w:val="0DD69BEE"/>
    <w:rsid w:val="0DD76DD3"/>
    <w:rsid w:val="0DD7BE79"/>
    <w:rsid w:val="0DD7F00A"/>
    <w:rsid w:val="0DD7FC67"/>
    <w:rsid w:val="0DD836D5"/>
    <w:rsid w:val="0DD87C86"/>
    <w:rsid w:val="0DD90055"/>
    <w:rsid w:val="0DD91665"/>
    <w:rsid w:val="0DDA43FB"/>
    <w:rsid w:val="0DDAF894"/>
    <w:rsid w:val="0DDB0D14"/>
    <w:rsid w:val="0DDB5680"/>
    <w:rsid w:val="0DDCD7C5"/>
    <w:rsid w:val="0DDD4066"/>
    <w:rsid w:val="0DDDA26E"/>
    <w:rsid w:val="0DDDFDD0"/>
    <w:rsid w:val="0DDE4D27"/>
    <w:rsid w:val="0DDE782C"/>
    <w:rsid w:val="0DDEFA15"/>
    <w:rsid w:val="0DDEFEBB"/>
    <w:rsid w:val="0DDF73E7"/>
    <w:rsid w:val="0DDFF954"/>
    <w:rsid w:val="0DE01955"/>
    <w:rsid w:val="0DE0997D"/>
    <w:rsid w:val="0DE0DCFF"/>
    <w:rsid w:val="0DE14FDD"/>
    <w:rsid w:val="0DE151CC"/>
    <w:rsid w:val="0DE1CBE4"/>
    <w:rsid w:val="0DE66C61"/>
    <w:rsid w:val="0DE686F1"/>
    <w:rsid w:val="0DE75D18"/>
    <w:rsid w:val="0DE76476"/>
    <w:rsid w:val="0DE849AE"/>
    <w:rsid w:val="0DE8FFE1"/>
    <w:rsid w:val="0DEA3907"/>
    <w:rsid w:val="0DEA9690"/>
    <w:rsid w:val="0DEAAF3B"/>
    <w:rsid w:val="0DEAB1A9"/>
    <w:rsid w:val="0DEC2407"/>
    <w:rsid w:val="0DEC7832"/>
    <w:rsid w:val="0DED3A97"/>
    <w:rsid w:val="0DEE4D96"/>
    <w:rsid w:val="0DEEC7AD"/>
    <w:rsid w:val="0DEED840"/>
    <w:rsid w:val="0DEEE4D1"/>
    <w:rsid w:val="0DF00227"/>
    <w:rsid w:val="0DF073D4"/>
    <w:rsid w:val="0DF0C508"/>
    <w:rsid w:val="0DF1DBFF"/>
    <w:rsid w:val="0DF22001"/>
    <w:rsid w:val="0DF224B6"/>
    <w:rsid w:val="0DF27127"/>
    <w:rsid w:val="0DF3531D"/>
    <w:rsid w:val="0DF3A32B"/>
    <w:rsid w:val="0DF4169D"/>
    <w:rsid w:val="0DF5BAC2"/>
    <w:rsid w:val="0DF5E1F9"/>
    <w:rsid w:val="0DF66BC0"/>
    <w:rsid w:val="0DF684D0"/>
    <w:rsid w:val="0DF7252F"/>
    <w:rsid w:val="0DF7EF3D"/>
    <w:rsid w:val="0DF8132B"/>
    <w:rsid w:val="0DF86881"/>
    <w:rsid w:val="0DF96BB5"/>
    <w:rsid w:val="0DFA7ADA"/>
    <w:rsid w:val="0DFAC437"/>
    <w:rsid w:val="0DFAF615"/>
    <w:rsid w:val="0DFB623E"/>
    <w:rsid w:val="0DFC9D60"/>
    <w:rsid w:val="0DFD4500"/>
    <w:rsid w:val="0DFDF1F6"/>
    <w:rsid w:val="0DFE7042"/>
    <w:rsid w:val="0DFEE07E"/>
    <w:rsid w:val="0DFEEFF4"/>
    <w:rsid w:val="0DFF4939"/>
    <w:rsid w:val="0E003BA4"/>
    <w:rsid w:val="0E003E5E"/>
    <w:rsid w:val="0E0073A3"/>
    <w:rsid w:val="0E014FB5"/>
    <w:rsid w:val="0E01AA91"/>
    <w:rsid w:val="0E01AB71"/>
    <w:rsid w:val="0E01B87F"/>
    <w:rsid w:val="0E01D121"/>
    <w:rsid w:val="0E020407"/>
    <w:rsid w:val="0E02186A"/>
    <w:rsid w:val="0E025ADF"/>
    <w:rsid w:val="0E03340D"/>
    <w:rsid w:val="0E033432"/>
    <w:rsid w:val="0E037BB1"/>
    <w:rsid w:val="0E03F3E8"/>
    <w:rsid w:val="0E0453B7"/>
    <w:rsid w:val="0E049597"/>
    <w:rsid w:val="0E051342"/>
    <w:rsid w:val="0E05730C"/>
    <w:rsid w:val="0E061D60"/>
    <w:rsid w:val="0E067F49"/>
    <w:rsid w:val="0E06989D"/>
    <w:rsid w:val="0E06D759"/>
    <w:rsid w:val="0E07937A"/>
    <w:rsid w:val="0E08C0B6"/>
    <w:rsid w:val="0E091B26"/>
    <w:rsid w:val="0E09B178"/>
    <w:rsid w:val="0E09D37D"/>
    <w:rsid w:val="0E0ABB30"/>
    <w:rsid w:val="0E0B0AB1"/>
    <w:rsid w:val="0E0B42AB"/>
    <w:rsid w:val="0E0B4389"/>
    <w:rsid w:val="0E0B6DC7"/>
    <w:rsid w:val="0E0C0A7A"/>
    <w:rsid w:val="0E0C5DDC"/>
    <w:rsid w:val="0E0C6155"/>
    <w:rsid w:val="0E0CA34C"/>
    <w:rsid w:val="0E0CB9DD"/>
    <w:rsid w:val="0E0CF3AF"/>
    <w:rsid w:val="0E0E440F"/>
    <w:rsid w:val="0E0E5360"/>
    <w:rsid w:val="0E0F3B56"/>
    <w:rsid w:val="0E0FBC56"/>
    <w:rsid w:val="0E1023A2"/>
    <w:rsid w:val="0E11C0E4"/>
    <w:rsid w:val="0E12D4DD"/>
    <w:rsid w:val="0E13F8E2"/>
    <w:rsid w:val="0E142F60"/>
    <w:rsid w:val="0E144174"/>
    <w:rsid w:val="0E14A57A"/>
    <w:rsid w:val="0E14A8A9"/>
    <w:rsid w:val="0E14DC11"/>
    <w:rsid w:val="0E14DF8A"/>
    <w:rsid w:val="0E154789"/>
    <w:rsid w:val="0E156161"/>
    <w:rsid w:val="0E1574EB"/>
    <w:rsid w:val="0E162506"/>
    <w:rsid w:val="0E1699D4"/>
    <w:rsid w:val="0E16BFA0"/>
    <w:rsid w:val="0E16C2E9"/>
    <w:rsid w:val="0E175159"/>
    <w:rsid w:val="0E178F5E"/>
    <w:rsid w:val="0E17918D"/>
    <w:rsid w:val="0E17D2E1"/>
    <w:rsid w:val="0E1867F9"/>
    <w:rsid w:val="0E18839D"/>
    <w:rsid w:val="0E19338E"/>
    <w:rsid w:val="0E19CB77"/>
    <w:rsid w:val="0E1AE5F1"/>
    <w:rsid w:val="0E1AF3AC"/>
    <w:rsid w:val="0E1B2983"/>
    <w:rsid w:val="0E1B48AD"/>
    <w:rsid w:val="0E1C9136"/>
    <w:rsid w:val="0E1D1FBF"/>
    <w:rsid w:val="0E1DE096"/>
    <w:rsid w:val="0E1DEB68"/>
    <w:rsid w:val="0E1E0C76"/>
    <w:rsid w:val="0E1E900E"/>
    <w:rsid w:val="0E1EA572"/>
    <w:rsid w:val="0E1EBB39"/>
    <w:rsid w:val="0E1EBDB7"/>
    <w:rsid w:val="0E1FE0DD"/>
    <w:rsid w:val="0E2040F2"/>
    <w:rsid w:val="0E204D5F"/>
    <w:rsid w:val="0E2076C9"/>
    <w:rsid w:val="0E213EEB"/>
    <w:rsid w:val="0E217233"/>
    <w:rsid w:val="0E217582"/>
    <w:rsid w:val="0E2191F7"/>
    <w:rsid w:val="0E21AAB2"/>
    <w:rsid w:val="0E222605"/>
    <w:rsid w:val="0E22B8AC"/>
    <w:rsid w:val="0E2341CC"/>
    <w:rsid w:val="0E2567A5"/>
    <w:rsid w:val="0E258063"/>
    <w:rsid w:val="0E25B091"/>
    <w:rsid w:val="0E268AA6"/>
    <w:rsid w:val="0E26B42D"/>
    <w:rsid w:val="0E26C2EB"/>
    <w:rsid w:val="0E26DFC3"/>
    <w:rsid w:val="0E2723DC"/>
    <w:rsid w:val="0E27BD41"/>
    <w:rsid w:val="0E27CA8E"/>
    <w:rsid w:val="0E2867F3"/>
    <w:rsid w:val="0E2896F2"/>
    <w:rsid w:val="0E293923"/>
    <w:rsid w:val="0E2A25FF"/>
    <w:rsid w:val="0E2AF4E0"/>
    <w:rsid w:val="0E2B1483"/>
    <w:rsid w:val="0E2B2667"/>
    <w:rsid w:val="0E2B92BB"/>
    <w:rsid w:val="0E2BC4E3"/>
    <w:rsid w:val="0E2BC5E5"/>
    <w:rsid w:val="0E2C4C8C"/>
    <w:rsid w:val="0E2DD333"/>
    <w:rsid w:val="0E2EBED2"/>
    <w:rsid w:val="0E2EC674"/>
    <w:rsid w:val="0E2FB1A7"/>
    <w:rsid w:val="0E3008AC"/>
    <w:rsid w:val="0E301B80"/>
    <w:rsid w:val="0E303243"/>
    <w:rsid w:val="0E30AD8A"/>
    <w:rsid w:val="0E312CB4"/>
    <w:rsid w:val="0E317630"/>
    <w:rsid w:val="0E31881F"/>
    <w:rsid w:val="0E31E507"/>
    <w:rsid w:val="0E3240BC"/>
    <w:rsid w:val="0E326C46"/>
    <w:rsid w:val="0E335150"/>
    <w:rsid w:val="0E3365DD"/>
    <w:rsid w:val="0E33DBF0"/>
    <w:rsid w:val="0E34F0A2"/>
    <w:rsid w:val="0E35E887"/>
    <w:rsid w:val="0E364729"/>
    <w:rsid w:val="0E3749B3"/>
    <w:rsid w:val="0E37C119"/>
    <w:rsid w:val="0E37EA47"/>
    <w:rsid w:val="0E3A7BFA"/>
    <w:rsid w:val="0E3AFEFA"/>
    <w:rsid w:val="0E3B3481"/>
    <w:rsid w:val="0E3BC814"/>
    <w:rsid w:val="0E3C0AF7"/>
    <w:rsid w:val="0E3DFD9F"/>
    <w:rsid w:val="0E3EBA73"/>
    <w:rsid w:val="0E3F61DC"/>
    <w:rsid w:val="0E40838C"/>
    <w:rsid w:val="0E4280F8"/>
    <w:rsid w:val="0E429322"/>
    <w:rsid w:val="0E42ED13"/>
    <w:rsid w:val="0E42F20F"/>
    <w:rsid w:val="0E42F25D"/>
    <w:rsid w:val="0E42F7AF"/>
    <w:rsid w:val="0E43695B"/>
    <w:rsid w:val="0E43F7A7"/>
    <w:rsid w:val="0E4420F6"/>
    <w:rsid w:val="0E44FA70"/>
    <w:rsid w:val="0E454344"/>
    <w:rsid w:val="0E4572D5"/>
    <w:rsid w:val="0E45AC05"/>
    <w:rsid w:val="0E45B89E"/>
    <w:rsid w:val="0E45BB93"/>
    <w:rsid w:val="0E45E6D9"/>
    <w:rsid w:val="0E45F18E"/>
    <w:rsid w:val="0E469F06"/>
    <w:rsid w:val="0E46F69A"/>
    <w:rsid w:val="0E471C55"/>
    <w:rsid w:val="0E479811"/>
    <w:rsid w:val="0E48134E"/>
    <w:rsid w:val="0E48A2D5"/>
    <w:rsid w:val="0E4931B2"/>
    <w:rsid w:val="0E499BE6"/>
    <w:rsid w:val="0E4A28E2"/>
    <w:rsid w:val="0E4A4CF5"/>
    <w:rsid w:val="0E4A5D99"/>
    <w:rsid w:val="0E4AF0FE"/>
    <w:rsid w:val="0E4B1863"/>
    <w:rsid w:val="0E4C8A7E"/>
    <w:rsid w:val="0E4C8E49"/>
    <w:rsid w:val="0E4D26A0"/>
    <w:rsid w:val="0E4DEBC5"/>
    <w:rsid w:val="0E4F638B"/>
    <w:rsid w:val="0E50B580"/>
    <w:rsid w:val="0E51815E"/>
    <w:rsid w:val="0E5181F3"/>
    <w:rsid w:val="0E51BA32"/>
    <w:rsid w:val="0E529EB2"/>
    <w:rsid w:val="0E52A219"/>
    <w:rsid w:val="0E52E2C0"/>
    <w:rsid w:val="0E531FA3"/>
    <w:rsid w:val="0E53721A"/>
    <w:rsid w:val="0E53B7F3"/>
    <w:rsid w:val="0E5435B3"/>
    <w:rsid w:val="0E546BEE"/>
    <w:rsid w:val="0E54BAE8"/>
    <w:rsid w:val="0E54F538"/>
    <w:rsid w:val="0E551354"/>
    <w:rsid w:val="0E56366D"/>
    <w:rsid w:val="0E5664B0"/>
    <w:rsid w:val="0E56BFBC"/>
    <w:rsid w:val="0E5752A4"/>
    <w:rsid w:val="0E5773F4"/>
    <w:rsid w:val="0E578A09"/>
    <w:rsid w:val="0E59F693"/>
    <w:rsid w:val="0E5A90E7"/>
    <w:rsid w:val="0E5ADD4B"/>
    <w:rsid w:val="0E5B407E"/>
    <w:rsid w:val="0E5B464A"/>
    <w:rsid w:val="0E5B7115"/>
    <w:rsid w:val="0E5BA1F5"/>
    <w:rsid w:val="0E5BB9A7"/>
    <w:rsid w:val="0E5DE65F"/>
    <w:rsid w:val="0E5E2FC0"/>
    <w:rsid w:val="0E5E3DB4"/>
    <w:rsid w:val="0E5E7C76"/>
    <w:rsid w:val="0E5EB33E"/>
    <w:rsid w:val="0E5EBD32"/>
    <w:rsid w:val="0E5F1304"/>
    <w:rsid w:val="0E5F22B3"/>
    <w:rsid w:val="0E5F3612"/>
    <w:rsid w:val="0E61C159"/>
    <w:rsid w:val="0E61D5C3"/>
    <w:rsid w:val="0E620A56"/>
    <w:rsid w:val="0E63FA03"/>
    <w:rsid w:val="0E64641A"/>
    <w:rsid w:val="0E64D94F"/>
    <w:rsid w:val="0E65AF0F"/>
    <w:rsid w:val="0E65BA58"/>
    <w:rsid w:val="0E66ACAF"/>
    <w:rsid w:val="0E67695F"/>
    <w:rsid w:val="0E67E855"/>
    <w:rsid w:val="0E67F9C6"/>
    <w:rsid w:val="0E68BC48"/>
    <w:rsid w:val="0E68E60D"/>
    <w:rsid w:val="0E6913DE"/>
    <w:rsid w:val="0E69330F"/>
    <w:rsid w:val="0E699A79"/>
    <w:rsid w:val="0E69F501"/>
    <w:rsid w:val="0E6A2D79"/>
    <w:rsid w:val="0E6A6327"/>
    <w:rsid w:val="0E6B46C3"/>
    <w:rsid w:val="0E6BD624"/>
    <w:rsid w:val="0E6CDC4D"/>
    <w:rsid w:val="0E6DB21A"/>
    <w:rsid w:val="0E6EAE5B"/>
    <w:rsid w:val="0E6F724F"/>
    <w:rsid w:val="0E718724"/>
    <w:rsid w:val="0E726F6A"/>
    <w:rsid w:val="0E732ABB"/>
    <w:rsid w:val="0E74B5A1"/>
    <w:rsid w:val="0E74E40A"/>
    <w:rsid w:val="0E750D21"/>
    <w:rsid w:val="0E758A98"/>
    <w:rsid w:val="0E759365"/>
    <w:rsid w:val="0E75BF37"/>
    <w:rsid w:val="0E763693"/>
    <w:rsid w:val="0E7720C4"/>
    <w:rsid w:val="0E783A2D"/>
    <w:rsid w:val="0E78EB2E"/>
    <w:rsid w:val="0E78F770"/>
    <w:rsid w:val="0E795FCF"/>
    <w:rsid w:val="0E798B9C"/>
    <w:rsid w:val="0E79A123"/>
    <w:rsid w:val="0E79CBD3"/>
    <w:rsid w:val="0E79E3D5"/>
    <w:rsid w:val="0E79F353"/>
    <w:rsid w:val="0E7A88D0"/>
    <w:rsid w:val="0E7A9F53"/>
    <w:rsid w:val="0E7C119A"/>
    <w:rsid w:val="0E7C1913"/>
    <w:rsid w:val="0E7E2EC4"/>
    <w:rsid w:val="0E7E3EB5"/>
    <w:rsid w:val="0E7E4E09"/>
    <w:rsid w:val="0E7E7E25"/>
    <w:rsid w:val="0E7E94B6"/>
    <w:rsid w:val="0E7F7B22"/>
    <w:rsid w:val="0E7FBC18"/>
    <w:rsid w:val="0E8031F2"/>
    <w:rsid w:val="0E81A33A"/>
    <w:rsid w:val="0E81A3AB"/>
    <w:rsid w:val="0E823DB3"/>
    <w:rsid w:val="0E826A45"/>
    <w:rsid w:val="0E82751B"/>
    <w:rsid w:val="0E82C282"/>
    <w:rsid w:val="0E83548A"/>
    <w:rsid w:val="0E83BA31"/>
    <w:rsid w:val="0E843453"/>
    <w:rsid w:val="0E845712"/>
    <w:rsid w:val="0E84C902"/>
    <w:rsid w:val="0E84FB32"/>
    <w:rsid w:val="0E864A88"/>
    <w:rsid w:val="0E86A4C4"/>
    <w:rsid w:val="0E87BFC2"/>
    <w:rsid w:val="0E884E85"/>
    <w:rsid w:val="0E88C761"/>
    <w:rsid w:val="0E892A54"/>
    <w:rsid w:val="0E897ECA"/>
    <w:rsid w:val="0E89F762"/>
    <w:rsid w:val="0E8AA34D"/>
    <w:rsid w:val="0E8B322D"/>
    <w:rsid w:val="0E8C949C"/>
    <w:rsid w:val="0E8D5ED8"/>
    <w:rsid w:val="0E8D8C1A"/>
    <w:rsid w:val="0E8E2675"/>
    <w:rsid w:val="0E8EDC7F"/>
    <w:rsid w:val="0E8F31FE"/>
    <w:rsid w:val="0E8F9B2D"/>
    <w:rsid w:val="0E8F9F99"/>
    <w:rsid w:val="0E906597"/>
    <w:rsid w:val="0E907F25"/>
    <w:rsid w:val="0E90943E"/>
    <w:rsid w:val="0E915652"/>
    <w:rsid w:val="0E9180EC"/>
    <w:rsid w:val="0E91BCBF"/>
    <w:rsid w:val="0E9207FA"/>
    <w:rsid w:val="0E94C70A"/>
    <w:rsid w:val="0E95ADD8"/>
    <w:rsid w:val="0E95B747"/>
    <w:rsid w:val="0E95C951"/>
    <w:rsid w:val="0E95F602"/>
    <w:rsid w:val="0E972DB1"/>
    <w:rsid w:val="0E973B21"/>
    <w:rsid w:val="0E975898"/>
    <w:rsid w:val="0E980B82"/>
    <w:rsid w:val="0E9815D7"/>
    <w:rsid w:val="0E98D48F"/>
    <w:rsid w:val="0E99A683"/>
    <w:rsid w:val="0E99B7AA"/>
    <w:rsid w:val="0E99F552"/>
    <w:rsid w:val="0E9A0050"/>
    <w:rsid w:val="0E9AB2AC"/>
    <w:rsid w:val="0E9B4D47"/>
    <w:rsid w:val="0E9B75E3"/>
    <w:rsid w:val="0E9B7935"/>
    <w:rsid w:val="0E9BA53B"/>
    <w:rsid w:val="0E9C0AD4"/>
    <w:rsid w:val="0E9C40B9"/>
    <w:rsid w:val="0E9CF29F"/>
    <w:rsid w:val="0E9D882A"/>
    <w:rsid w:val="0E9EFBA4"/>
    <w:rsid w:val="0E9F3512"/>
    <w:rsid w:val="0E9FE043"/>
    <w:rsid w:val="0EA05939"/>
    <w:rsid w:val="0EA0E02A"/>
    <w:rsid w:val="0EA15320"/>
    <w:rsid w:val="0EA1B579"/>
    <w:rsid w:val="0EA263B3"/>
    <w:rsid w:val="0EA39E0E"/>
    <w:rsid w:val="0EA3FE2B"/>
    <w:rsid w:val="0EA4AD58"/>
    <w:rsid w:val="0EA5A738"/>
    <w:rsid w:val="0EA6101B"/>
    <w:rsid w:val="0EA65F1F"/>
    <w:rsid w:val="0EA6804C"/>
    <w:rsid w:val="0EA69861"/>
    <w:rsid w:val="0EA6A49A"/>
    <w:rsid w:val="0EA70695"/>
    <w:rsid w:val="0EA77374"/>
    <w:rsid w:val="0EA8E049"/>
    <w:rsid w:val="0EA9D82E"/>
    <w:rsid w:val="0EAA204B"/>
    <w:rsid w:val="0EAAA233"/>
    <w:rsid w:val="0EAAB564"/>
    <w:rsid w:val="0EAAEB54"/>
    <w:rsid w:val="0EAB0B56"/>
    <w:rsid w:val="0EAB7105"/>
    <w:rsid w:val="0EABB0EA"/>
    <w:rsid w:val="0EABED50"/>
    <w:rsid w:val="0EAC5B88"/>
    <w:rsid w:val="0EAC7759"/>
    <w:rsid w:val="0EAD4B75"/>
    <w:rsid w:val="0EADD485"/>
    <w:rsid w:val="0EADD8C6"/>
    <w:rsid w:val="0EAE0969"/>
    <w:rsid w:val="0EAE15F4"/>
    <w:rsid w:val="0EAE2444"/>
    <w:rsid w:val="0EAEE24E"/>
    <w:rsid w:val="0EAF3981"/>
    <w:rsid w:val="0EAF7B11"/>
    <w:rsid w:val="0EAF9497"/>
    <w:rsid w:val="0EB05156"/>
    <w:rsid w:val="0EB0C454"/>
    <w:rsid w:val="0EB29303"/>
    <w:rsid w:val="0EB36054"/>
    <w:rsid w:val="0EB3698E"/>
    <w:rsid w:val="0EB3A36C"/>
    <w:rsid w:val="0EB48438"/>
    <w:rsid w:val="0EB4CDBB"/>
    <w:rsid w:val="0EB4E1F3"/>
    <w:rsid w:val="0EB59ABC"/>
    <w:rsid w:val="0EB60CF0"/>
    <w:rsid w:val="0EB637D5"/>
    <w:rsid w:val="0EB638D8"/>
    <w:rsid w:val="0EB6CB20"/>
    <w:rsid w:val="0EB719D7"/>
    <w:rsid w:val="0EB82BFE"/>
    <w:rsid w:val="0EB83CB8"/>
    <w:rsid w:val="0EB84CB2"/>
    <w:rsid w:val="0EB8778C"/>
    <w:rsid w:val="0EB89275"/>
    <w:rsid w:val="0EB8A52C"/>
    <w:rsid w:val="0EB93C3F"/>
    <w:rsid w:val="0EBA6499"/>
    <w:rsid w:val="0EBC976C"/>
    <w:rsid w:val="0EBD5BB6"/>
    <w:rsid w:val="0EBD9C27"/>
    <w:rsid w:val="0EBE34EA"/>
    <w:rsid w:val="0EBE433B"/>
    <w:rsid w:val="0EBE77A7"/>
    <w:rsid w:val="0EBF53CF"/>
    <w:rsid w:val="0EBFEBF6"/>
    <w:rsid w:val="0EC1B2DF"/>
    <w:rsid w:val="0EC233FC"/>
    <w:rsid w:val="0EC29F56"/>
    <w:rsid w:val="0EC2A260"/>
    <w:rsid w:val="0EC37A0D"/>
    <w:rsid w:val="0EC4E2BC"/>
    <w:rsid w:val="0EC4E3D4"/>
    <w:rsid w:val="0EC5682F"/>
    <w:rsid w:val="0EC71F46"/>
    <w:rsid w:val="0EC739D3"/>
    <w:rsid w:val="0EC7856C"/>
    <w:rsid w:val="0EC8C594"/>
    <w:rsid w:val="0EC93E96"/>
    <w:rsid w:val="0EC9C2FE"/>
    <w:rsid w:val="0EC9E01C"/>
    <w:rsid w:val="0ECA06E4"/>
    <w:rsid w:val="0ECAEB4C"/>
    <w:rsid w:val="0ECBBF42"/>
    <w:rsid w:val="0ECBE133"/>
    <w:rsid w:val="0ECD59D8"/>
    <w:rsid w:val="0ECE497C"/>
    <w:rsid w:val="0ECE6674"/>
    <w:rsid w:val="0ECEC092"/>
    <w:rsid w:val="0ECEDF15"/>
    <w:rsid w:val="0ECF09C8"/>
    <w:rsid w:val="0ECF8DA9"/>
    <w:rsid w:val="0ECFC538"/>
    <w:rsid w:val="0ECFD912"/>
    <w:rsid w:val="0ECFF6F9"/>
    <w:rsid w:val="0ED09631"/>
    <w:rsid w:val="0ED0F15C"/>
    <w:rsid w:val="0ED16D6C"/>
    <w:rsid w:val="0ED1A6A2"/>
    <w:rsid w:val="0ED29AA0"/>
    <w:rsid w:val="0ED2AFC7"/>
    <w:rsid w:val="0ED2FD6A"/>
    <w:rsid w:val="0ED3A230"/>
    <w:rsid w:val="0ED3CC82"/>
    <w:rsid w:val="0ED3EACF"/>
    <w:rsid w:val="0ED482D9"/>
    <w:rsid w:val="0ED48440"/>
    <w:rsid w:val="0ED4A402"/>
    <w:rsid w:val="0ED4FFC4"/>
    <w:rsid w:val="0ED50B27"/>
    <w:rsid w:val="0ED5C33D"/>
    <w:rsid w:val="0ED61824"/>
    <w:rsid w:val="0ED67119"/>
    <w:rsid w:val="0ED6AA04"/>
    <w:rsid w:val="0ED6EC86"/>
    <w:rsid w:val="0ED72346"/>
    <w:rsid w:val="0ED74AD4"/>
    <w:rsid w:val="0ED8AD06"/>
    <w:rsid w:val="0ED91325"/>
    <w:rsid w:val="0ED96656"/>
    <w:rsid w:val="0EDA4EF5"/>
    <w:rsid w:val="0EDC2F14"/>
    <w:rsid w:val="0EDE861C"/>
    <w:rsid w:val="0EDECD0C"/>
    <w:rsid w:val="0EDF1A52"/>
    <w:rsid w:val="0EDF2CAD"/>
    <w:rsid w:val="0EDF38DA"/>
    <w:rsid w:val="0EDFE1B5"/>
    <w:rsid w:val="0EDFFE0F"/>
    <w:rsid w:val="0EE04980"/>
    <w:rsid w:val="0EE0A9DC"/>
    <w:rsid w:val="0EE0B516"/>
    <w:rsid w:val="0EE0EEF3"/>
    <w:rsid w:val="0EE16202"/>
    <w:rsid w:val="0EE24310"/>
    <w:rsid w:val="0EE26EBA"/>
    <w:rsid w:val="0EE36188"/>
    <w:rsid w:val="0EE3ACDE"/>
    <w:rsid w:val="0EE44962"/>
    <w:rsid w:val="0EE47933"/>
    <w:rsid w:val="0EE61E98"/>
    <w:rsid w:val="0EE6CA8D"/>
    <w:rsid w:val="0EE6E18F"/>
    <w:rsid w:val="0EE8BAAB"/>
    <w:rsid w:val="0EE8D75F"/>
    <w:rsid w:val="0EE92605"/>
    <w:rsid w:val="0EE93E0F"/>
    <w:rsid w:val="0EE956EF"/>
    <w:rsid w:val="0EE97FED"/>
    <w:rsid w:val="0EE98A93"/>
    <w:rsid w:val="0EE9C0C4"/>
    <w:rsid w:val="0EEA5C08"/>
    <w:rsid w:val="0EEA7BD8"/>
    <w:rsid w:val="0EEB0021"/>
    <w:rsid w:val="0EEC95F2"/>
    <w:rsid w:val="0EED6B0B"/>
    <w:rsid w:val="0EEDF65A"/>
    <w:rsid w:val="0EEE6E7B"/>
    <w:rsid w:val="0EEEC3AA"/>
    <w:rsid w:val="0EEED2B3"/>
    <w:rsid w:val="0EEEDCD7"/>
    <w:rsid w:val="0EEFB0CF"/>
    <w:rsid w:val="0EF01975"/>
    <w:rsid w:val="0EF0437B"/>
    <w:rsid w:val="0EF05A6D"/>
    <w:rsid w:val="0EF0736B"/>
    <w:rsid w:val="0EF11C4F"/>
    <w:rsid w:val="0EF1B7DB"/>
    <w:rsid w:val="0EF32864"/>
    <w:rsid w:val="0EF35372"/>
    <w:rsid w:val="0EF3C3B2"/>
    <w:rsid w:val="0EF4F644"/>
    <w:rsid w:val="0EF5811D"/>
    <w:rsid w:val="0EF6F706"/>
    <w:rsid w:val="0EF74EEC"/>
    <w:rsid w:val="0EF8124E"/>
    <w:rsid w:val="0EF8348C"/>
    <w:rsid w:val="0EF8A70E"/>
    <w:rsid w:val="0EF8C59B"/>
    <w:rsid w:val="0EF8E49F"/>
    <w:rsid w:val="0EF9AFE9"/>
    <w:rsid w:val="0EFA61E0"/>
    <w:rsid w:val="0EFAC657"/>
    <w:rsid w:val="0EFBD883"/>
    <w:rsid w:val="0EFC908B"/>
    <w:rsid w:val="0EFD331A"/>
    <w:rsid w:val="0EFDED55"/>
    <w:rsid w:val="0EFDEDB5"/>
    <w:rsid w:val="0EFE7257"/>
    <w:rsid w:val="0EFEF6C8"/>
    <w:rsid w:val="0EFF187B"/>
    <w:rsid w:val="0EFF19FC"/>
    <w:rsid w:val="0EFF2F7F"/>
    <w:rsid w:val="0EFF541B"/>
    <w:rsid w:val="0EFF7E32"/>
    <w:rsid w:val="0EFF9815"/>
    <w:rsid w:val="0EFFC6C7"/>
    <w:rsid w:val="0EFFE761"/>
    <w:rsid w:val="0F001A61"/>
    <w:rsid w:val="0F004B25"/>
    <w:rsid w:val="0F01696C"/>
    <w:rsid w:val="0F024419"/>
    <w:rsid w:val="0F03CF41"/>
    <w:rsid w:val="0F042C01"/>
    <w:rsid w:val="0F0479E3"/>
    <w:rsid w:val="0F06655C"/>
    <w:rsid w:val="0F06D417"/>
    <w:rsid w:val="0F0723B0"/>
    <w:rsid w:val="0F075745"/>
    <w:rsid w:val="0F076285"/>
    <w:rsid w:val="0F077417"/>
    <w:rsid w:val="0F077E0C"/>
    <w:rsid w:val="0F079502"/>
    <w:rsid w:val="0F0825F0"/>
    <w:rsid w:val="0F08872F"/>
    <w:rsid w:val="0F08F494"/>
    <w:rsid w:val="0F09040E"/>
    <w:rsid w:val="0F0973A2"/>
    <w:rsid w:val="0F09CF52"/>
    <w:rsid w:val="0F0A0D82"/>
    <w:rsid w:val="0F0A155B"/>
    <w:rsid w:val="0F0A7195"/>
    <w:rsid w:val="0F0AADBF"/>
    <w:rsid w:val="0F0ABFB1"/>
    <w:rsid w:val="0F0AD0FC"/>
    <w:rsid w:val="0F0AE45B"/>
    <w:rsid w:val="0F0B47C6"/>
    <w:rsid w:val="0F0C9F0C"/>
    <w:rsid w:val="0F0D86B2"/>
    <w:rsid w:val="0F10D3EC"/>
    <w:rsid w:val="0F10D82C"/>
    <w:rsid w:val="0F117309"/>
    <w:rsid w:val="0F11B547"/>
    <w:rsid w:val="0F11C33C"/>
    <w:rsid w:val="0F121528"/>
    <w:rsid w:val="0F124B63"/>
    <w:rsid w:val="0F128855"/>
    <w:rsid w:val="0F12A869"/>
    <w:rsid w:val="0F1351FC"/>
    <w:rsid w:val="0F13676B"/>
    <w:rsid w:val="0F141BED"/>
    <w:rsid w:val="0F1446D2"/>
    <w:rsid w:val="0F1571F6"/>
    <w:rsid w:val="0F163B71"/>
    <w:rsid w:val="0F1642DC"/>
    <w:rsid w:val="0F194628"/>
    <w:rsid w:val="0F197FDF"/>
    <w:rsid w:val="0F1A3884"/>
    <w:rsid w:val="0F1AC169"/>
    <w:rsid w:val="0F1B12DD"/>
    <w:rsid w:val="0F1B1DE5"/>
    <w:rsid w:val="0F1BAC59"/>
    <w:rsid w:val="0F1C53B9"/>
    <w:rsid w:val="0F1CE83A"/>
    <w:rsid w:val="0F1CED44"/>
    <w:rsid w:val="0F1D352E"/>
    <w:rsid w:val="0F1D59D6"/>
    <w:rsid w:val="0F1E0526"/>
    <w:rsid w:val="0F1E3485"/>
    <w:rsid w:val="0F1EA8C0"/>
    <w:rsid w:val="0F1EDAEA"/>
    <w:rsid w:val="0F200811"/>
    <w:rsid w:val="0F227FFD"/>
    <w:rsid w:val="0F230CBE"/>
    <w:rsid w:val="0F24005A"/>
    <w:rsid w:val="0F241BE8"/>
    <w:rsid w:val="0F249509"/>
    <w:rsid w:val="0F2573F0"/>
    <w:rsid w:val="0F2609B2"/>
    <w:rsid w:val="0F267B14"/>
    <w:rsid w:val="0F26A0E2"/>
    <w:rsid w:val="0F26A35F"/>
    <w:rsid w:val="0F279072"/>
    <w:rsid w:val="0F27F9C7"/>
    <w:rsid w:val="0F281DF0"/>
    <w:rsid w:val="0F288683"/>
    <w:rsid w:val="0F29ABFC"/>
    <w:rsid w:val="0F2A3538"/>
    <w:rsid w:val="0F2ACBE7"/>
    <w:rsid w:val="0F2AFF85"/>
    <w:rsid w:val="0F2B9DF3"/>
    <w:rsid w:val="0F2BE8E2"/>
    <w:rsid w:val="0F2C1869"/>
    <w:rsid w:val="0F2C855E"/>
    <w:rsid w:val="0F2C8849"/>
    <w:rsid w:val="0F2CBDA7"/>
    <w:rsid w:val="0F2E29D5"/>
    <w:rsid w:val="0F2F034F"/>
    <w:rsid w:val="0F2F64C0"/>
    <w:rsid w:val="0F2F9433"/>
    <w:rsid w:val="0F300646"/>
    <w:rsid w:val="0F313FA2"/>
    <w:rsid w:val="0F320CFF"/>
    <w:rsid w:val="0F321CD2"/>
    <w:rsid w:val="0F32E923"/>
    <w:rsid w:val="0F346165"/>
    <w:rsid w:val="0F34F13B"/>
    <w:rsid w:val="0F34F552"/>
    <w:rsid w:val="0F350BE7"/>
    <w:rsid w:val="0F351F8A"/>
    <w:rsid w:val="0F3549B2"/>
    <w:rsid w:val="0F3578D4"/>
    <w:rsid w:val="0F358703"/>
    <w:rsid w:val="0F35BFB7"/>
    <w:rsid w:val="0F35ED82"/>
    <w:rsid w:val="0F378789"/>
    <w:rsid w:val="0F37D686"/>
    <w:rsid w:val="0F3893D5"/>
    <w:rsid w:val="0F393780"/>
    <w:rsid w:val="0F396DEE"/>
    <w:rsid w:val="0F39E090"/>
    <w:rsid w:val="0F3A11FC"/>
    <w:rsid w:val="0F3A32D6"/>
    <w:rsid w:val="0F3A48F0"/>
    <w:rsid w:val="0F3A5BF8"/>
    <w:rsid w:val="0F3B4738"/>
    <w:rsid w:val="0F3C92C8"/>
    <w:rsid w:val="0F3D4C19"/>
    <w:rsid w:val="0F3D63C0"/>
    <w:rsid w:val="0F3D6E10"/>
    <w:rsid w:val="0F3E20FA"/>
    <w:rsid w:val="0F3EF223"/>
    <w:rsid w:val="0F3F1253"/>
    <w:rsid w:val="0F3F18F2"/>
    <w:rsid w:val="0F3F6356"/>
    <w:rsid w:val="0F3FC7E6"/>
    <w:rsid w:val="0F3FF27C"/>
    <w:rsid w:val="0F40AD44"/>
    <w:rsid w:val="0F416837"/>
    <w:rsid w:val="0F427BA4"/>
    <w:rsid w:val="0F429939"/>
    <w:rsid w:val="0F42A1CB"/>
    <w:rsid w:val="0F42F6FB"/>
    <w:rsid w:val="0F432EE9"/>
    <w:rsid w:val="0F4362DE"/>
    <w:rsid w:val="0F44700A"/>
    <w:rsid w:val="0F46D380"/>
    <w:rsid w:val="0F46E8C6"/>
    <w:rsid w:val="0F472832"/>
    <w:rsid w:val="0F480058"/>
    <w:rsid w:val="0F480E46"/>
    <w:rsid w:val="0F48E340"/>
    <w:rsid w:val="0F4AC71D"/>
    <w:rsid w:val="0F4B442F"/>
    <w:rsid w:val="0F4BF9F6"/>
    <w:rsid w:val="0F4C6EB3"/>
    <w:rsid w:val="0F4D67E3"/>
    <w:rsid w:val="0F4E2E54"/>
    <w:rsid w:val="0F4E3083"/>
    <w:rsid w:val="0F4ECDF9"/>
    <w:rsid w:val="0F4EF670"/>
    <w:rsid w:val="0F4EFB41"/>
    <w:rsid w:val="0F4F35F8"/>
    <w:rsid w:val="0F4F9507"/>
    <w:rsid w:val="0F4FC37F"/>
    <w:rsid w:val="0F4FFFD2"/>
    <w:rsid w:val="0F512C4A"/>
    <w:rsid w:val="0F51B4F3"/>
    <w:rsid w:val="0F522EFF"/>
    <w:rsid w:val="0F525B75"/>
    <w:rsid w:val="0F52E198"/>
    <w:rsid w:val="0F539F95"/>
    <w:rsid w:val="0F54C04F"/>
    <w:rsid w:val="0F54D0EA"/>
    <w:rsid w:val="0F554D6B"/>
    <w:rsid w:val="0F56DABF"/>
    <w:rsid w:val="0F577366"/>
    <w:rsid w:val="0F5802A0"/>
    <w:rsid w:val="0F58D4EB"/>
    <w:rsid w:val="0F58F9B5"/>
    <w:rsid w:val="0F596302"/>
    <w:rsid w:val="0F59A72A"/>
    <w:rsid w:val="0F5A9D78"/>
    <w:rsid w:val="0F5B051A"/>
    <w:rsid w:val="0F5BA37F"/>
    <w:rsid w:val="0F5BADF1"/>
    <w:rsid w:val="0F5C7799"/>
    <w:rsid w:val="0F5D3C82"/>
    <w:rsid w:val="0F5DEB3A"/>
    <w:rsid w:val="0F5E5B00"/>
    <w:rsid w:val="0F5E8834"/>
    <w:rsid w:val="0F5EC046"/>
    <w:rsid w:val="0F5F3029"/>
    <w:rsid w:val="0F5F5E89"/>
    <w:rsid w:val="0F5F8539"/>
    <w:rsid w:val="0F6002D4"/>
    <w:rsid w:val="0F602B07"/>
    <w:rsid w:val="0F607531"/>
    <w:rsid w:val="0F60940D"/>
    <w:rsid w:val="0F60E8CE"/>
    <w:rsid w:val="0F60FD89"/>
    <w:rsid w:val="0F613E3A"/>
    <w:rsid w:val="0F614F9D"/>
    <w:rsid w:val="0F620285"/>
    <w:rsid w:val="0F648518"/>
    <w:rsid w:val="0F64B11D"/>
    <w:rsid w:val="0F65B2A9"/>
    <w:rsid w:val="0F65E40C"/>
    <w:rsid w:val="0F662291"/>
    <w:rsid w:val="0F66F633"/>
    <w:rsid w:val="0F673441"/>
    <w:rsid w:val="0F67BDD1"/>
    <w:rsid w:val="0F6863A1"/>
    <w:rsid w:val="0F69F492"/>
    <w:rsid w:val="0F6B4347"/>
    <w:rsid w:val="0F6B9AEF"/>
    <w:rsid w:val="0F6C53DA"/>
    <w:rsid w:val="0F6CF27A"/>
    <w:rsid w:val="0F6D68A3"/>
    <w:rsid w:val="0F6D9DAB"/>
    <w:rsid w:val="0F6DC082"/>
    <w:rsid w:val="0F6ED5CB"/>
    <w:rsid w:val="0F6F1DAA"/>
    <w:rsid w:val="0F6FDC0A"/>
    <w:rsid w:val="0F6FDD53"/>
    <w:rsid w:val="0F6FE77D"/>
    <w:rsid w:val="0F702483"/>
    <w:rsid w:val="0F7031F1"/>
    <w:rsid w:val="0F70785B"/>
    <w:rsid w:val="0F714DAF"/>
    <w:rsid w:val="0F71F35E"/>
    <w:rsid w:val="0F727128"/>
    <w:rsid w:val="0F72E18E"/>
    <w:rsid w:val="0F7362F8"/>
    <w:rsid w:val="0F7365D2"/>
    <w:rsid w:val="0F743E76"/>
    <w:rsid w:val="0F74C679"/>
    <w:rsid w:val="0F752190"/>
    <w:rsid w:val="0F7538C7"/>
    <w:rsid w:val="0F75C521"/>
    <w:rsid w:val="0F75DF66"/>
    <w:rsid w:val="0F76BF56"/>
    <w:rsid w:val="0F76F60A"/>
    <w:rsid w:val="0F76FD96"/>
    <w:rsid w:val="0F772F2D"/>
    <w:rsid w:val="0F7805AA"/>
    <w:rsid w:val="0F78BE65"/>
    <w:rsid w:val="0F78E024"/>
    <w:rsid w:val="0F79C113"/>
    <w:rsid w:val="0F7B4141"/>
    <w:rsid w:val="0F7BB8C9"/>
    <w:rsid w:val="0F7CD687"/>
    <w:rsid w:val="0F7D63FD"/>
    <w:rsid w:val="0F7E5C1C"/>
    <w:rsid w:val="0F7EC682"/>
    <w:rsid w:val="0F7F13DD"/>
    <w:rsid w:val="0F7F29E0"/>
    <w:rsid w:val="0F7FB94A"/>
    <w:rsid w:val="0F800D47"/>
    <w:rsid w:val="0F802B2B"/>
    <w:rsid w:val="0F805725"/>
    <w:rsid w:val="0F8086BD"/>
    <w:rsid w:val="0F80B9E4"/>
    <w:rsid w:val="0F80F60F"/>
    <w:rsid w:val="0F81471E"/>
    <w:rsid w:val="0F81BDD4"/>
    <w:rsid w:val="0F81E9B3"/>
    <w:rsid w:val="0F82878C"/>
    <w:rsid w:val="0F82D0B1"/>
    <w:rsid w:val="0F8308DC"/>
    <w:rsid w:val="0F836CE7"/>
    <w:rsid w:val="0F83A368"/>
    <w:rsid w:val="0F83F599"/>
    <w:rsid w:val="0F84E21D"/>
    <w:rsid w:val="0F864332"/>
    <w:rsid w:val="0F876E39"/>
    <w:rsid w:val="0F8774AA"/>
    <w:rsid w:val="0F877E1F"/>
    <w:rsid w:val="0F87CD47"/>
    <w:rsid w:val="0F87EC6F"/>
    <w:rsid w:val="0F88CADA"/>
    <w:rsid w:val="0F88D305"/>
    <w:rsid w:val="0F89673D"/>
    <w:rsid w:val="0F899400"/>
    <w:rsid w:val="0F8A19FC"/>
    <w:rsid w:val="0F8A1D58"/>
    <w:rsid w:val="0F8A84DB"/>
    <w:rsid w:val="0F8B0322"/>
    <w:rsid w:val="0F8C3C9A"/>
    <w:rsid w:val="0F8C4EBD"/>
    <w:rsid w:val="0F8C514D"/>
    <w:rsid w:val="0F8C5D4E"/>
    <w:rsid w:val="0F8CA331"/>
    <w:rsid w:val="0F8D0E69"/>
    <w:rsid w:val="0F8D41FC"/>
    <w:rsid w:val="0F8D8C85"/>
    <w:rsid w:val="0F8DA4A9"/>
    <w:rsid w:val="0F8E337B"/>
    <w:rsid w:val="0F8EA7D4"/>
    <w:rsid w:val="0F8FCD1C"/>
    <w:rsid w:val="0F9169BF"/>
    <w:rsid w:val="0F91B64B"/>
    <w:rsid w:val="0F9240E2"/>
    <w:rsid w:val="0F92F1B7"/>
    <w:rsid w:val="0F9356A0"/>
    <w:rsid w:val="0F938BB5"/>
    <w:rsid w:val="0F93B360"/>
    <w:rsid w:val="0F94149E"/>
    <w:rsid w:val="0F943889"/>
    <w:rsid w:val="0F9458A9"/>
    <w:rsid w:val="0F949D6D"/>
    <w:rsid w:val="0F95C81A"/>
    <w:rsid w:val="0F960200"/>
    <w:rsid w:val="0F961593"/>
    <w:rsid w:val="0F97D842"/>
    <w:rsid w:val="0F98BBDF"/>
    <w:rsid w:val="0F98D156"/>
    <w:rsid w:val="0F98D33F"/>
    <w:rsid w:val="0F99E44B"/>
    <w:rsid w:val="0F9A779C"/>
    <w:rsid w:val="0F9B5BF3"/>
    <w:rsid w:val="0F9B6D13"/>
    <w:rsid w:val="0F9BC3FB"/>
    <w:rsid w:val="0F9C5603"/>
    <w:rsid w:val="0F9CD4AF"/>
    <w:rsid w:val="0F9D5449"/>
    <w:rsid w:val="0F9DF1C5"/>
    <w:rsid w:val="0F9E1AFC"/>
    <w:rsid w:val="0F9F1E38"/>
    <w:rsid w:val="0F9F681A"/>
    <w:rsid w:val="0FA0A13D"/>
    <w:rsid w:val="0FA0D021"/>
    <w:rsid w:val="0FA1D04A"/>
    <w:rsid w:val="0FA25FF4"/>
    <w:rsid w:val="0FA2F372"/>
    <w:rsid w:val="0FA32338"/>
    <w:rsid w:val="0FA37A66"/>
    <w:rsid w:val="0FA3DD0D"/>
    <w:rsid w:val="0FA3DFA7"/>
    <w:rsid w:val="0FA4AEB1"/>
    <w:rsid w:val="0FA4EF5D"/>
    <w:rsid w:val="0FA515AA"/>
    <w:rsid w:val="0FA51C29"/>
    <w:rsid w:val="0FA55735"/>
    <w:rsid w:val="0FA647E2"/>
    <w:rsid w:val="0FA6E296"/>
    <w:rsid w:val="0FA77A42"/>
    <w:rsid w:val="0FA80B0C"/>
    <w:rsid w:val="0FA819A0"/>
    <w:rsid w:val="0FA85302"/>
    <w:rsid w:val="0FA85490"/>
    <w:rsid w:val="0FA90993"/>
    <w:rsid w:val="0FAA1B32"/>
    <w:rsid w:val="0FAA2844"/>
    <w:rsid w:val="0FAA4011"/>
    <w:rsid w:val="0FAB1EE1"/>
    <w:rsid w:val="0FAB53ED"/>
    <w:rsid w:val="0FAC3A3C"/>
    <w:rsid w:val="0FAC86A7"/>
    <w:rsid w:val="0FADA19A"/>
    <w:rsid w:val="0FADAD60"/>
    <w:rsid w:val="0FADB70E"/>
    <w:rsid w:val="0FAE3041"/>
    <w:rsid w:val="0FAE78E0"/>
    <w:rsid w:val="0FAE7F58"/>
    <w:rsid w:val="0FAEA0A1"/>
    <w:rsid w:val="0FAF4730"/>
    <w:rsid w:val="0FB10E04"/>
    <w:rsid w:val="0FB1D169"/>
    <w:rsid w:val="0FB29448"/>
    <w:rsid w:val="0FB2AF74"/>
    <w:rsid w:val="0FB310E2"/>
    <w:rsid w:val="0FB3C46C"/>
    <w:rsid w:val="0FB54C2A"/>
    <w:rsid w:val="0FB55BDD"/>
    <w:rsid w:val="0FB5DF5D"/>
    <w:rsid w:val="0FB61564"/>
    <w:rsid w:val="0FB7DF21"/>
    <w:rsid w:val="0FB834E7"/>
    <w:rsid w:val="0FB9B19D"/>
    <w:rsid w:val="0FBAA444"/>
    <w:rsid w:val="0FBAAF5C"/>
    <w:rsid w:val="0FBB12BA"/>
    <w:rsid w:val="0FBB19BE"/>
    <w:rsid w:val="0FBB99FD"/>
    <w:rsid w:val="0FBBA617"/>
    <w:rsid w:val="0FBC1690"/>
    <w:rsid w:val="0FBC2FA9"/>
    <w:rsid w:val="0FBC52AE"/>
    <w:rsid w:val="0FBC6694"/>
    <w:rsid w:val="0FBC669C"/>
    <w:rsid w:val="0FBCA225"/>
    <w:rsid w:val="0FBDEF0A"/>
    <w:rsid w:val="0FBE12CF"/>
    <w:rsid w:val="0FBF7A00"/>
    <w:rsid w:val="0FBFB9EF"/>
    <w:rsid w:val="0FBFD827"/>
    <w:rsid w:val="0FC00421"/>
    <w:rsid w:val="0FC0BEA3"/>
    <w:rsid w:val="0FC0F432"/>
    <w:rsid w:val="0FC1C90D"/>
    <w:rsid w:val="0FC1FF5C"/>
    <w:rsid w:val="0FC22ACF"/>
    <w:rsid w:val="0FC2C3A7"/>
    <w:rsid w:val="0FC4E7B8"/>
    <w:rsid w:val="0FC59264"/>
    <w:rsid w:val="0FC6D720"/>
    <w:rsid w:val="0FC70C65"/>
    <w:rsid w:val="0FC721DD"/>
    <w:rsid w:val="0FC84561"/>
    <w:rsid w:val="0FC85815"/>
    <w:rsid w:val="0FC92047"/>
    <w:rsid w:val="0FC96BEC"/>
    <w:rsid w:val="0FC9B991"/>
    <w:rsid w:val="0FCA1416"/>
    <w:rsid w:val="0FCA8236"/>
    <w:rsid w:val="0FCAB06C"/>
    <w:rsid w:val="0FCC3847"/>
    <w:rsid w:val="0FCC83FF"/>
    <w:rsid w:val="0FCCCE82"/>
    <w:rsid w:val="0FCD2A32"/>
    <w:rsid w:val="0FCD5C92"/>
    <w:rsid w:val="0FCDDB68"/>
    <w:rsid w:val="0FCE6AAF"/>
    <w:rsid w:val="0FCE790A"/>
    <w:rsid w:val="0FCFC10B"/>
    <w:rsid w:val="0FD02381"/>
    <w:rsid w:val="0FD0BD3F"/>
    <w:rsid w:val="0FD0DC20"/>
    <w:rsid w:val="0FD2072D"/>
    <w:rsid w:val="0FD2792E"/>
    <w:rsid w:val="0FD2A726"/>
    <w:rsid w:val="0FD2D418"/>
    <w:rsid w:val="0FD378D4"/>
    <w:rsid w:val="0FD4439A"/>
    <w:rsid w:val="0FD45DBA"/>
    <w:rsid w:val="0FD48095"/>
    <w:rsid w:val="0FD4C2C5"/>
    <w:rsid w:val="0FD528BE"/>
    <w:rsid w:val="0FD5C24A"/>
    <w:rsid w:val="0FD5C4E4"/>
    <w:rsid w:val="0FD797BD"/>
    <w:rsid w:val="0FD82F75"/>
    <w:rsid w:val="0FD8524F"/>
    <w:rsid w:val="0FD8BA42"/>
    <w:rsid w:val="0FD92E24"/>
    <w:rsid w:val="0FD98D7C"/>
    <w:rsid w:val="0FDABBA1"/>
    <w:rsid w:val="0FDB7487"/>
    <w:rsid w:val="0FDBFF69"/>
    <w:rsid w:val="0FDD106A"/>
    <w:rsid w:val="0FDD4436"/>
    <w:rsid w:val="0FDD5796"/>
    <w:rsid w:val="0FDE9D90"/>
    <w:rsid w:val="0FDED0D1"/>
    <w:rsid w:val="0FDEF399"/>
    <w:rsid w:val="0FE05947"/>
    <w:rsid w:val="0FE14E53"/>
    <w:rsid w:val="0FE1609D"/>
    <w:rsid w:val="0FE18D91"/>
    <w:rsid w:val="0FE1C37C"/>
    <w:rsid w:val="0FE2796D"/>
    <w:rsid w:val="0FE3B2DE"/>
    <w:rsid w:val="0FE54BB5"/>
    <w:rsid w:val="0FE625E6"/>
    <w:rsid w:val="0FE6EF51"/>
    <w:rsid w:val="0FE70E6F"/>
    <w:rsid w:val="0FE71E73"/>
    <w:rsid w:val="0FE7449A"/>
    <w:rsid w:val="0FE863E0"/>
    <w:rsid w:val="0FEABCBB"/>
    <w:rsid w:val="0FEB0597"/>
    <w:rsid w:val="0FEB972E"/>
    <w:rsid w:val="0FEBA140"/>
    <w:rsid w:val="0FEC57F0"/>
    <w:rsid w:val="0FEC6CB5"/>
    <w:rsid w:val="0FEC8E99"/>
    <w:rsid w:val="0FED772D"/>
    <w:rsid w:val="0FEED495"/>
    <w:rsid w:val="0FF02FEB"/>
    <w:rsid w:val="0FF0B5BA"/>
    <w:rsid w:val="0FF135D7"/>
    <w:rsid w:val="0FF1778F"/>
    <w:rsid w:val="0FF21E2C"/>
    <w:rsid w:val="0FF22CF4"/>
    <w:rsid w:val="0FF26ABE"/>
    <w:rsid w:val="0FF3433E"/>
    <w:rsid w:val="0FF394C9"/>
    <w:rsid w:val="0FF398F0"/>
    <w:rsid w:val="0FF43640"/>
    <w:rsid w:val="0FF4A999"/>
    <w:rsid w:val="0FF5ACB8"/>
    <w:rsid w:val="0FF5B2E3"/>
    <w:rsid w:val="0FF5B80F"/>
    <w:rsid w:val="0FF61445"/>
    <w:rsid w:val="0FF66955"/>
    <w:rsid w:val="0FF68CB7"/>
    <w:rsid w:val="0FF6ABA0"/>
    <w:rsid w:val="0FF6BDAE"/>
    <w:rsid w:val="0FF74C4F"/>
    <w:rsid w:val="0FF860D9"/>
    <w:rsid w:val="0FFA8ED6"/>
    <w:rsid w:val="0FFABA38"/>
    <w:rsid w:val="0FFAF973"/>
    <w:rsid w:val="0FFC443C"/>
    <w:rsid w:val="0FFC6234"/>
    <w:rsid w:val="0FFC97BB"/>
    <w:rsid w:val="0FFC99DE"/>
    <w:rsid w:val="0FFCA528"/>
    <w:rsid w:val="0FFD707E"/>
    <w:rsid w:val="0FFDDF02"/>
    <w:rsid w:val="0FFE28B2"/>
    <w:rsid w:val="0FFE4472"/>
    <w:rsid w:val="0FFE461F"/>
    <w:rsid w:val="0FFE66F6"/>
    <w:rsid w:val="0FFF73D4"/>
    <w:rsid w:val="100074A0"/>
    <w:rsid w:val="1001626F"/>
    <w:rsid w:val="1002EA76"/>
    <w:rsid w:val="100381DA"/>
    <w:rsid w:val="1003DE3E"/>
    <w:rsid w:val="10042679"/>
    <w:rsid w:val="10044C09"/>
    <w:rsid w:val="1004A4F9"/>
    <w:rsid w:val="100617F7"/>
    <w:rsid w:val="100680DE"/>
    <w:rsid w:val="1006EE57"/>
    <w:rsid w:val="10071751"/>
    <w:rsid w:val="100757C8"/>
    <w:rsid w:val="10077FB3"/>
    <w:rsid w:val="1008940D"/>
    <w:rsid w:val="1008A4FC"/>
    <w:rsid w:val="10099DA9"/>
    <w:rsid w:val="1009E950"/>
    <w:rsid w:val="100A2F2A"/>
    <w:rsid w:val="100B8BC3"/>
    <w:rsid w:val="100BEB7C"/>
    <w:rsid w:val="100C0831"/>
    <w:rsid w:val="100C0885"/>
    <w:rsid w:val="100C2EC0"/>
    <w:rsid w:val="100D11E7"/>
    <w:rsid w:val="100E8B62"/>
    <w:rsid w:val="100E9023"/>
    <w:rsid w:val="100EAE89"/>
    <w:rsid w:val="100ED7B3"/>
    <w:rsid w:val="100F0621"/>
    <w:rsid w:val="100F6F84"/>
    <w:rsid w:val="100F9742"/>
    <w:rsid w:val="100F9EF9"/>
    <w:rsid w:val="100FD4AA"/>
    <w:rsid w:val="10103D19"/>
    <w:rsid w:val="1010722E"/>
    <w:rsid w:val="10118FD5"/>
    <w:rsid w:val="1011F3BD"/>
    <w:rsid w:val="1012DB1B"/>
    <w:rsid w:val="10130DCA"/>
    <w:rsid w:val="1013CFF3"/>
    <w:rsid w:val="10142318"/>
    <w:rsid w:val="101543D1"/>
    <w:rsid w:val="101589A6"/>
    <w:rsid w:val="10167BDF"/>
    <w:rsid w:val="101786D4"/>
    <w:rsid w:val="1017EF7E"/>
    <w:rsid w:val="1018BFD5"/>
    <w:rsid w:val="1018CF50"/>
    <w:rsid w:val="1019A5A4"/>
    <w:rsid w:val="1019CB61"/>
    <w:rsid w:val="101ABEEA"/>
    <w:rsid w:val="101AE775"/>
    <w:rsid w:val="101B0FA2"/>
    <w:rsid w:val="101B8BE7"/>
    <w:rsid w:val="101C8ECC"/>
    <w:rsid w:val="101CD25D"/>
    <w:rsid w:val="101D4CF8"/>
    <w:rsid w:val="101D8985"/>
    <w:rsid w:val="101E5FE9"/>
    <w:rsid w:val="101F4C25"/>
    <w:rsid w:val="10217AE0"/>
    <w:rsid w:val="1021921C"/>
    <w:rsid w:val="10223B8A"/>
    <w:rsid w:val="102328BD"/>
    <w:rsid w:val="10234034"/>
    <w:rsid w:val="10240239"/>
    <w:rsid w:val="10240C58"/>
    <w:rsid w:val="10249A7E"/>
    <w:rsid w:val="10252722"/>
    <w:rsid w:val="102545FE"/>
    <w:rsid w:val="102615A5"/>
    <w:rsid w:val="102645C4"/>
    <w:rsid w:val="10266014"/>
    <w:rsid w:val="10280197"/>
    <w:rsid w:val="10280CDB"/>
    <w:rsid w:val="1028A0F5"/>
    <w:rsid w:val="1029365E"/>
    <w:rsid w:val="102AB75D"/>
    <w:rsid w:val="102B56EA"/>
    <w:rsid w:val="102C2835"/>
    <w:rsid w:val="102C7A13"/>
    <w:rsid w:val="102D38FA"/>
    <w:rsid w:val="102DBBC7"/>
    <w:rsid w:val="102DCA1A"/>
    <w:rsid w:val="102E0B36"/>
    <w:rsid w:val="102E24EF"/>
    <w:rsid w:val="102F1A14"/>
    <w:rsid w:val="102F1DAA"/>
    <w:rsid w:val="102F4CF3"/>
    <w:rsid w:val="102F537D"/>
    <w:rsid w:val="102F5B13"/>
    <w:rsid w:val="102F8778"/>
    <w:rsid w:val="103004DB"/>
    <w:rsid w:val="103050CD"/>
    <w:rsid w:val="10305519"/>
    <w:rsid w:val="10308FE9"/>
    <w:rsid w:val="1030D09F"/>
    <w:rsid w:val="1030F871"/>
    <w:rsid w:val="10324B62"/>
    <w:rsid w:val="1032850E"/>
    <w:rsid w:val="1032A331"/>
    <w:rsid w:val="1033E97E"/>
    <w:rsid w:val="1034099D"/>
    <w:rsid w:val="10343E29"/>
    <w:rsid w:val="1034C9E0"/>
    <w:rsid w:val="1034D938"/>
    <w:rsid w:val="1034E167"/>
    <w:rsid w:val="10358EE3"/>
    <w:rsid w:val="1036604D"/>
    <w:rsid w:val="1037E816"/>
    <w:rsid w:val="103804F5"/>
    <w:rsid w:val="1038EB99"/>
    <w:rsid w:val="1038FAF3"/>
    <w:rsid w:val="103AC98F"/>
    <w:rsid w:val="103AF50F"/>
    <w:rsid w:val="103BCD6A"/>
    <w:rsid w:val="103BFDCB"/>
    <w:rsid w:val="103C7971"/>
    <w:rsid w:val="103CAF99"/>
    <w:rsid w:val="103CBD36"/>
    <w:rsid w:val="103DB4C9"/>
    <w:rsid w:val="103E3389"/>
    <w:rsid w:val="103E5987"/>
    <w:rsid w:val="103F0BBF"/>
    <w:rsid w:val="103F55F1"/>
    <w:rsid w:val="103FACDC"/>
    <w:rsid w:val="1040143C"/>
    <w:rsid w:val="10408603"/>
    <w:rsid w:val="1040C6EC"/>
    <w:rsid w:val="10411328"/>
    <w:rsid w:val="10421EF7"/>
    <w:rsid w:val="104276AF"/>
    <w:rsid w:val="1042E815"/>
    <w:rsid w:val="104329DE"/>
    <w:rsid w:val="10439E15"/>
    <w:rsid w:val="10439F6D"/>
    <w:rsid w:val="1043AD2B"/>
    <w:rsid w:val="1043FDE3"/>
    <w:rsid w:val="10441761"/>
    <w:rsid w:val="1045C2E5"/>
    <w:rsid w:val="1045CCAD"/>
    <w:rsid w:val="1045DF07"/>
    <w:rsid w:val="1045F58D"/>
    <w:rsid w:val="104690EF"/>
    <w:rsid w:val="1047B043"/>
    <w:rsid w:val="10483450"/>
    <w:rsid w:val="10491D01"/>
    <w:rsid w:val="1049460C"/>
    <w:rsid w:val="104A70E3"/>
    <w:rsid w:val="104AAEA4"/>
    <w:rsid w:val="104B47E6"/>
    <w:rsid w:val="104B5F7F"/>
    <w:rsid w:val="104BD5E9"/>
    <w:rsid w:val="104BEDE9"/>
    <w:rsid w:val="104C2AAA"/>
    <w:rsid w:val="104C3071"/>
    <w:rsid w:val="104CB175"/>
    <w:rsid w:val="104CF921"/>
    <w:rsid w:val="104D22CF"/>
    <w:rsid w:val="104D7E2D"/>
    <w:rsid w:val="104D9C93"/>
    <w:rsid w:val="104DA34B"/>
    <w:rsid w:val="104DD4AF"/>
    <w:rsid w:val="104ED531"/>
    <w:rsid w:val="10502857"/>
    <w:rsid w:val="10502A84"/>
    <w:rsid w:val="1050E8FA"/>
    <w:rsid w:val="10513A31"/>
    <w:rsid w:val="10519E8B"/>
    <w:rsid w:val="1051A6BB"/>
    <w:rsid w:val="1051C800"/>
    <w:rsid w:val="1051CAD6"/>
    <w:rsid w:val="1051E8B5"/>
    <w:rsid w:val="1052824C"/>
    <w:rsid w:val="10536995"/>
    <w:rsid w:val="1053D40A"/>
    <w:rsid w:val="1054186C"/>
    <w:rsid w:val="10542B48"/>
    <w:rsid w:val="1054E1E7"/>
    <w:rsid w:val="10551DA4"/>
    <w:rsid w:val="105569DF"/>
    <w:rsid w:val="1055B69A"/>
    <w:rsid w:val="10565F70"/>
    <w:rsid w:val="10568D96"/>
    <w:rsid w:val="1056A7C8"/>
    <w:rsid w:val="1056E4E0"/>
    <w:rsid w:val="1057243C"/>
    <w:rsid w:val="1058A62E"/>
    <w:rsid w:val="1058C71A"/>
    <w:rsid w:val="10590A30"/>
    <w:rsid w:val="1059F0D0"/>
    <w:rsid w:val="105AAAC1"/>
    <w:rsid w:val="105B3E41"/>
    <w:rsid w:val="105BFE80"/>
    <w:rsid w:val="105C3EAD"/>
    <w:rsid w:val="105C8EBD"/>
    <w:rsid w:val="105CA021"/>
    <w:rsid w:val="105D0E5C"/>
    <w:rsid w:val="105D4F15"/>
    <w:rsid w:val="105D64B8"/>
    <w:rsid w:val="105E1EC7"/>
    <w:rsid w:val="105EBCBB"/>
    <w:rsid w:val="105FF7E6"/>
    <w:rsid w:val="106068FE"/>
    <w:rsid w:val="1060A28C"/>
    <w:rsid w:val="1060B646"/>
    <w:rsid w:val="1060BC1D"/>
    <w:rsid w:val="10622ECD"/>
    <w:rsid w:val="10629B0E"/>
    <w:rsid w:val="10630339"/>
    <w:rsid w:val="106336DA"/>
    <w:rsid w:val="106350EE"/>
    <w:rsid w:val="10638F97"/>
    <w:rsid w:val="10644017"/>
    <w:rsid w:val="1064D5A7"/>
    <w:rsid w:val="10656A05"/>
    <w:rsid w:val="106607E2"/>
    <w:rsid w:val="1066824F"/>
    <w:rsid w:val="10668B66"/>
    <w:rsid w:val="1066AB1A"/>
    <w:rsid w:val="106786AC"/>
    <w:rsid w:val="106853C7"/>
    <w:rsid w:val="106862CC"/>
    <w:rsid w:val="106886F6"/>
    <w:rsid w:val="1068E09E"/>
    <w:rsid w:val="1069C5F8"/>
    <w:rsid w:val="1069DFBB"/>
    <w:rsid w:val="106A5094"/>
    <w:rsid w:val="106A6ECA"/>
    <w:rsid w:val="106A9D65"/>
    <w:rsid w:val="106AB33C"/>
    <w:rsid w:val="106B8500"/>
    <w:rsid w:val="106BE9ED"/>
    <w:rsid w:val="106BFF5A"/>
    <w:rsid w:val="106CF998"/>
    <w:rsid w:val="106D5DFE"/>
    <w:rsid w:val="106D757D"/>
    <w:rsid w:val="106D8DFA"/>
    <w:rsid w:val="106DDEF7"/>
    <w:rsid w:val="106E5649"/>
    <w:rsid w:val="106E9852"/>
    <w:rsid w:val="106F0BE3"/>
    <w:rsid w:val="106F701A"/>
    <w:rsid w:val="106F9FC0"/>
    <w:rsid w:val="106FB8CA"/>
    <w:rsid w:val="1070DE7A"/>
    <w:rsid w:val="10714846"/>
    <w:rsid w:val="10715958"/>
    <w:rsid w:val="10717B77"/>
    <w:rsid w:val="10718B22"/>
    <w:rsid w:val="1072445B"/>
    <w:rsid w:val="10732C3E"/>
    <w:rsid w:val="107377D5"/>
    <w:rsid w:val="10741540"/>
    <w:rsid w:val="1074684C"/>
    <w:rsid w:val="107478C4"/>
    <w:rsid w:val="1074CB7B"/>
    <w:rsid w:val="10757321"/>
    <w:rsid w:val="107642F2"/>
    <w:rsid w:val="107699F6"/>
    <w:rsid w:val="1076BE40"/>
    <w:rsid w:val="1076BE66"/>
    <w:rsid w:val="1076E8F9"/>
    <w:rsid w:val="10772C43"/>
    <w:rsid w:val="107776F4"/>
    <w:rsid w:val="1077AA80"/>
    <w:rsid w:val="107821C9"/>
    <w:rsid w:val="107901DB"/>
    <w:rsid w:val="107920ED"/>
    <w:rsid w:val="107A1BC8"/>
    <w:rsid w:val="107A21D8"/>
    <w:rsid w:val="107A3B7A"/>
    <w:rsid w:val="107B3F31"/>
    <w:rsid w:val="107B559A"/>
    <w:rsid w:val="107B5E42"/>
    <w:rsid w:val="107B912A"/>
    <w:rsid w:val="107B9AE5"/>
    <w:rsid w:val="107B9D42"/>
    <w:rsid w:val="107BCD53"/>
    <w:rsid w:val="107BCD7B"/>
    <w:rsid w:val="107C4D75"/>
    <w:rsid w:val="107CADB9"/>
    <w:rsid w:val="107D0F70"/>
    <w:rsid w:val="107D317C"/>
    <w:rsid w:val="107DE9FA"/>
    <w:rsid w:val="107DFC25"/>
    <w:rsid w:val="107E581B"/>
    <w:rsid w:val="10805548"/>
    <w:rsid w:val="1080A7A9"/>
    <w:rsid w:val="10817273"/>
    <w:rsid w:val="108184EE"/>
    <w:rsid w:val="10818DA7"/>
    <w:rsid w:val="1081F2B1"/>
    <w:rsid w:val="1084056B"/>
    <w:rsid w:val="108519D4"/>
    <w:rsid w:val="10858A69"/>
    <w:rsid w:val="1085B02E"/>
    <w:rsid w:val="1085B775"/>
    <w:rsid w:val="10862B97"/>
    <w:rsid w:val="108635F3"/>
    <w:rsid w:val="10864F03"/>
    <w:rsid w:val="10869FAE"/>
    <w:rsid w:val="1087F11A"/>
    <w:rsid w:val="1088D8E5"/>
    <w:rsid w:val="1089A87E"/>
    <w:rsid w:val="1089F872"/>
    <w:rsid w:val="108AB212"/>
    <w:rsid w:val="108AB5D6"/>
    <w:rsid w:val="108B7B0B"/>
    <w:rsid w:val="108BD184"/>
    <w:rsid w:val="108C677C"/>
    <w:rsid w:val="108CEFB5"/>
    <w:rsid w:val="108DA709"/>
    <w:rsid w:val="108DDEE7"/>
    <w:rsid w:val="108ED27B"/>
    <w:rsid w:val="108EFF6A"/>
    <w:rsid w:val="108FEDD6"/>
    <w:rsid w:val="1090C5E5"/>
    <w:rsid w:val="10912938"/>
    <w:rsid w:val="1094145D"/>
    <w:rsid w:val="10947F0E"/>
    <w:rsid w:val="10948769"/>
    <w:rsid w:val="1094D90E"/>
    <w:rsid w:val="1094F3AE"/>
    <w:rsid w:val="10955532"/>
    <w:rsid w:val="10956717"/>
    <w:rsid w:val="1095707A"/>
    <w:rsid w:val="10964C97"/>
    <w:rsid w:val="10966671"/>
    <w:rsid w:val="1097C4BE"/>
    <w:rsid w:val="1097F01C"/>
    <w:rsid w:val="1097F74D"/>
    <w:rsid w:val="10983AFB"/>
    <w:rsid w:val="1098949B"/>
    <w:rsid w:val="10990724"/>
    <w:rsid w:val="10998F80"/>
    <w:rsid w:val="109A00B4"/>
    <w:rsid w:val="109A0D91"/>
    <w:rsid w:val="109A715B"/>
    <w:rsid w:val="109A7C57"/>
    <w:rsid w:val="109B4BD8"/>
    <w:rsid w:val="109B59D7"/>
    <w:rsid w:val="109B9C49"/>
    <w:rsid w:val="109BC308"/>
    <w:rsid w:val="109BDA13"/>
    <w:rsid w:val="109C33B7"/>
    <w:rsid w:val="109CB1BA"/>
    <w:rsid w:val="109CC8BC"/>
    <w:rsid w:val="109CEEA3"/>
    <w:rsid w:val="109DA460"/>
    <w:rsid w:val="109E32F3"/>
    <w:rsid w:val="109ECAD7"/>
    <w:rsid w:val="109F0CC0"/>
    <w:rsid w:val="109F4574"/>
    <w:rsid w:val="109F4F99"/>
    <w:rsid w:val="109F761B"/>
    <w:rsid w:val="109F78ED"/>
    <w:rsid w:val="10A0440C"/>
    <w:rsid w:val="10A04E01"/>
    <w:rsid w:val="10A0BC08"/>
    <w:rsid w:val="10A1F9FD"/>
    <w:rsid w:val="10A21F4D"/>
    <w:rsid w:val="10A2F143"/>
    <w:rsid w:val="10A2FD5C"/>
    <w:rsid w:val="10A31241"/>
    <w:rsid w:val="10A31BF1"/>
    <w:rsid w:val="10A334F5"/>
    <w:rsid w:val="10A38451"/>
    <w:rsid w:val="10A3B627"/>
    <w:rsid w:val="10A3EE77"/>
    <w:rsid w:val="10A47591"/>
    <w:rsid w:val="10A4F39A"/>
    <w:rsid w:val="10A635E2"/>
    <w:rsid w:val="10A645B3"/>
    <w:rsid w:val="10A7F272"/>
    <w:rsid w:val="10A83EA6"/>
    <w:rsid w:val="10A97211"/>
    <w:rsid w:val="10AA1074"/>
    <w:rsid w:val="10AA3E8A"/>
    <w:rsid w:val="10AAEA47"/>
    <w:rsid w:val="10AB88B0"/>
    <w:rsid w:val="10AC50CA"/>
    <w:rsid w:val="10ACC602"/>
    <w:rsid w:val="10AD0B88"/>
    <w:rsid w:val="10AD3BC4"/>
    <w:rsid w:val="10AD6038"/>
    <w:rsid w:val="10AD656E"/>
    <w:rsid w:val="10AD81F1"/>
    <w:rsid w:val="10AFE101"/>
    <w:rsid w:val="10AFE7EE"/>
    <w:rsid w:val="10B18F70"/>
    <w:rsid w:val="10B39EC7"/>
    <w:rsid w:val="10B3F43B"/>
    <w:rsid w:val="10B48E52"/>
    <w:rsid w:val="10B4E7C3"/>
    <w:rsid w:val="10B500A7"/>
    <w:rsid w:val="10B6253A"/>
    <w:rsid w:val="10B80E96"/>
    <w:rsid w:val="10B8B5E9"/>
    <w:rsid w:val="10B92E48"/>
    <w:rsid w:val="10B99645"/>
    <w:rsid w:val="10B9F923"/>
    <w:rsid w:val="10BA2F99"/>
    <w:rsid w:val="10BB0656"/>
    <w:rsid w:val="10BB5571"/>
    <w:rsid w:val="10BD8495"/>
    <w:rsid w:val="10BDA037"/>
    <w:rsid w:val="10BDC832"/>
    <w:rsid w:val="10BDCFCA"/>
    <w:rsid w:val="10BE3B8F"/>
    <w:rsid w:val="10BE5F55"/>
    <w:rsid w:val="10BEAE7F"/>
    <w:rsid w:val="10BEAFE0"/>
    <w:rsid w:val="10BF3B76"/>
    <w:rsid w:val="10BF6117"/>
    <w:rsid w:val="10C08EDE"/>
    <w:rsid w:val="10C0BF1D"/>
    <w:rsid w:val="10C188B7"/>
    <w:rsid w:val="10C1AFD0"/>
    <w:rsid w:val="10C301CA"/>
    <w:rsid w:val="10C33673"/>
    <w:rsid w:val="10C36CAA"/>
    <w:rsid w:val="10C401E0"/>
    <w:rsid w:val="10C463A4"/>
    <w:rsid w:val="10C4D8C2"/>
    <w:rsid w:val="10C4EE71"/>
    <w:rsid w:val="10C7350A"/>
    <w:rsid w:val="10C77D9F"/>
    <w:rsid w:val="10C816BC"/>
    <w:rsid w:val="10C97053"/>
    <w:rsid w:val="10C9BFE1"/>
    <w:rsid w:val="10CA6371"/>
    <w:rsid w:val="10CB1806"/>
    <w:rsid w:val="10CB8B7E"/>
    <w:rsid w:val="10CC7D4F"/>
    <w:rsid w:val="10CCA51C"/>
    <w:rsid w:val="10CD5523"/>
    <w:rsid w:val="10CD671A"/>
    <w:rsid w:val="10CDC494"/>
    <w:rsid w:val="10CE5699"/>
    <w:rsid w:val="10CF6D01"/>
    <w:rsid w:val="10CF8720"/>
    <w:rsid w:val="10D057FE"/>
    <w:rsid w:val="10D09E5E"/>
    <w:rsid w:val="10D0B9C7"/>
    <w:rsid w:val="10D0BF6E"/>
    <w:rsid w:val="10D0D2E8"/>
    <w:rsid w:val="10D0FC45"/>
    <w:rsid w:val="10D1EE47"/>
    <w:rsid w:val="10D26C11"/>
    <w:rsid w:val="10D2B2AF"/>
    <w:rsid w:val="10D3AD3A"/>
    <w:rsid w:val="10D3C374"/>
    <w:rsid w:val="10D42A22"/>
    <w:rsid w:val="10D45A10"/>
    <w:rsid w:val="10D53A51"/>
    <w:rsid w:val="10D5D3C7"/>
    <w:rsid w:val="10D760E9"/>
    <w:rsid w:val="10D9938A"/>
    <w:rsid w:val="10DB33B2"/>
    <w:rsid w:val="10DC0558"/>
    <w:rsid w:val="10DC0E5C"/>
    <w:rsid w:val="10DD7234"/>
    <w:rsid w:val="10DD9811"/>
    <w:rsid w:val="10DDECD8"/>
    <w:rsid w:val="10DE08FB"/>
    <w:rsid w:val="10DE18BA"/>
    <w:rsid w:val="10DFCFDE"/>
    <w:rsid w:val="10E11725"/>
    <w:rsid w:val="10E14ED5"/>
    <w:rsid w:val="10E19857"/>
    <w:rsid w:val="10E1C132"/>
    <w:rsid w:val="10E20341"/>
    <w:rsid w:val="10E22715"/>
    <w:rsid w:val="10E2E863"/>
    <w:rsid w:val="10E37B39"/>
    <w:rsid w:val="10E42399"/>
    <w:rsid w:val="10E4C8CC"/>
    <w:rsid w:val="10E5A160"/>
    <w:rsid w:val="10E5A3FF"/>
    <w:rsid w:val="10E77D51"/>
    <w:rsid w:val="10E822BD"/>
    <w:rsid w:val="10EBD053"/>
    <w:rsid w:val="10EC2390"/>
    <w:rsid w:val="10EC23D6"/>
    <w:rsid w:val="10ECF375"/>
    <w:rsid w:val="10EDC463"/>
    <w:rsid w:val="10EDE2E0"/>
    <w:rsid w:val="10F00916"/>
    <w:rsid w:val="10F05D4E"/>
    <w:rsid w:val="10F1E65E"/>
    <w:rsid w:val="10F21D8C"/>
    <w:rsid w:val="10F237B8"/>
    <w:rsid w:val="10F24A37"/>
    <w:rsid w:val="10F346A7"/>
    <w:rsid w:val="10F38406"/>
    <w:rsid w:val="10F39CA0"/>
    <w:rsid w:val="10F3A177"/>
    <w:rsid w:val="10F3EF04"/>
    <w:rsid w:val="10F4EC47"/>
    <w:rsid w:val="10F5C7DC"/>
    <w:rsid w:val="10F65673"/>
    <w:rsid w:val="10F71FE0"/>
    <w:rsid w:val="10F8CC91"/>
    <w:rsid w:val="10F929E9"/>
    <w:rsid w:val="10F98834"/>
    <w:rsid w:val="10FA49AE"/>
    <w:rsid w:val="10FA8602"/>
    <w:rsid w:val="10FB0C1A"/>
    <w:rsid w:val="10FB2B6D"/>
    <w:rsid w:val="10FB59BD"/>
    <w:rsid w:val="10FB6858"/>
    <w:rsid w:val="10FC2E25"/>
    <w:rsid w:val="10FC4C75"/>
    <w:rsid w:val="10FCBF71"/>
    <w:rsid w:val="10FCDFE4"/>
    <w:rsid w:val="10FD70FA"/>
    <w:rsid w:val="10FDC975"/>
    <w:rsid w:val="10FDCB88"/>
    <w:rsid w:val="10FDEBF5"/>
    <w:rsid w:val="10FE266F"/>
    <w:rsid w:val="10FE3127"/>
    <w:rsid w:val="1100451F"/>
    <w:rsid w:val="110099F5"/>
    <w:rsid w:val="1101379B"/>
    <w:rsid w:val="11017657"/>
    <w:rsid w:val="11019BD7"/>
    <w:rsid w:val="110210F4"/>
    <w:rsid w:val="1102821A"/>
    <w:rsid w:val="1102E803"/>
    <w:rsid w:val="1103D471"/>
    <w:rsid w:val="11046134"/>
    <w:rsid w:val="110489B0"/>
    <w:rsid w:val="11052C62"/>
    <w:rsid w:val="110556BB"/>
    <w:rsid w:val="11058B9B"/>
    <w:rsid w:val="1105AD6E"/>
    <w:rsid w:val="1105D56B"/>
    <w:rsid w:val="11074550"/>
    <w:rsid w:val="110809DF"/>
    <w:rsid w:val="11082D59"/>
    <w:rsid w:val="1109B7D6"/>
    <w:rsid w:val="110AB491"/>
    <w:rsid w:val="110AC0E1"/>
    <w:rsid w:val="110AFE49"/>
    <w:rsid w:val="110B6B7B"/>
    <w:rsid w:val="110CEA12"/>
    <w:rsid w:val="110D6821"/>
    <w:rsid w:val="110F4AEF"/>
    <w:rsid w:val="111062C3"/>
    <w:rsid w:val="1110750F"/>
    <w:rsid w:val="1110D65D"/>
    <w:rsid w:val="1110E351"/>
    <w:rsid w:val="1111171A"/>
    <w:rsid w:val="1112D076"/>
    <w:rsid w:val="1112F66F"/>
    <w:rsid w:val="11131ACA"/>
    <w:rsid w:val="11132438"/>
    <w:rsid w:val="11132F59"/>
    <w:rsid w:val="11139F01"/>
    <w:rsid w:val="11143477"/>
    <w:rsid w:val="11143C9F"/>
    <w:rsid w:val="1114B3F9"/>
    <w:rsid w:val="111519AD"/>
    <w:rsid w:val="11152989"/>
    <w:rsid w:val="11155A59"/>
    <w:rsid w:val="11161D7F"/>
    <w:rsid w:val="1116513B"/>
    <w:rsid w:val="1116E335"/>
    <w:rsid w:val="11176704"/>
    <w:rsid w:val="1117F47C"/>
    <w:rsid w:val="1118FE4D"/>
    <w:rsid w:val="11191327"/>
    <w:rsid w:val="11196727"/>
    <w:rsid w:val="1119AE10"/>
    <w:rsid w:val="1119CB77"/>
    <w:rsid w:val="1119FA93"/>
    <w:rsid w:val="111A5A9A"/>
    <w:rsid w:val="111AF07F"/>
    <w:rsid w:val="111B466F"/>
    <w:rsid w:val="111B7A2A"/>
    <w:rsid w:val="111BA032"/>
    <w:rsid w:val="111C3308"/>
    <w:rsid w:val="111D3503"/>
    <w:rsid w:val="111D6708"/>
    <w:rsid w:val="111DF69F"/>
    <w:rsid w:val="111EE60D"/>
    <w:rsid w:val="1120025C"/>
    <w:rsid w:val="11208F03"/>
    <w:rsid w:val="1120A18F"/>
    <w:rsid w:val="1120A8A0"/>
    <w:rsid w:val="11215CF5"/>
    <w:rsid w:val="1121703C"/>
    <w:rsid w:val="1122ED52"/>
    <w:rsid w:val="11234CA6"/>
    <w:rsid w:val="112367BB"/>
    <w:rsid w:val="11237D86"/>
    <w:rsid w:val="1124D5BF"/>
    <w:rsid w:val="1125B16C"/>
    <w:rsid w:val="11260F5E"/>
    <w:rsid w:val="112663DD"/>
    <w:rsid w:val="1126D465"/>
    <w:rsid w:val="1126E6EA"/>
    <w:rsid w:val="1127773C"/>
    <w:rsid w:val="1128692E"/>
    <w:rsid w:val="11297E79"/>
    <w:rsid w:val="112AC753"/>
    <w:rsid w:val="112AFCEC"/>
    <w:rsid w:val="112B0C83"/>
    <w:rsid w:val="112B7671"/>
    <w:rsid w:val="112B93D3"/>
    <w:rsid w:val="112C0E93"/>
    <w:rsid w:val="112C1A84"/>
    <w:rsid w:val="112C2C47"/>
    <w:rsid w:val="112C8752"/>
    <w:rsid w:val="112CBF67"/>
    <w:rsid w:val="112CD6BD"/>
    <w:rsid w:val="112CEBF4"/>
    <w:rsid w:val="112D0E82"/>
    <w:rsid w:val="112D48D6"/>
    <w:rsid w:val="112E0813"/>
    <w:rsid w:val="112EA72F"/>
    <w:rsid w:val="112EBDAE"/>
    <w:rsid w:val="112F376B"/>
    <w:rsid w:val="112F45A8"/>
    <w:rsid w:val="112F8040"/>
    <w:rsid w:val="11304E5B"/>
    <w:rsid w:val="11309445"/>
    <w:rsid w:val="1130CE21"/>
    <w:rsid w:val="113345C2"/>
    <w:rsid w:val="1134A9F4"/>
    <w:rsid w:val="1134B9DA"/>
    <w:rsid w:val="11358E0A"/>
    <w:rsid w:val="1135BDCF"/>
    <w:rsid w:val="113690AA"/>
    <w:rsid w:val="1136B452"/>
    <w:rsid w:val="1137AF1F"/>
    <w:rsid w:val="1138A1E7"/>
    <w:rsid w:val="11392195"/>
    <w:rsid w:val="1139A5A6"/>
    <w:rsid w:val="1139DB81"/>
    <w:rsid w:val="113A35E7"/>
    <w:rsid w:val="113A389D"/>
    <w:rsid w:val="113A53A8"/>
    <w:rsid w:val="113AC7F5"/>
    <w:rsid w:val="113B7F0C"/>
    <w:rsid w:val="113B9F32"/>
    <w:rsid w:val="113BB9D1"/>
    <w:rsid w:val="113C6EB8"/>
    <w:rsid w:val="113C8B5D"/>
    <w:rsid w:val="113D01B5"/>
    <w:rsid w:val="113D091E"/>
    <w:rsid w:val="113DC0E7"/>
    <w:rsid w:val="113E18A8"/>
    <w:rsid w:val="113EB1A2"/>
    <w:rsid w:val="113F66B3"/>
    <w:rsid w:val="114100E7"/>
    <w:rsid w:val="114150E7"/>
    <w:rsid w:val="1141E4B1"/>
    <w:rsid w:val="114215A5"/>
    <w:rsid w:val="114251EE"/>
    <w:rsid w:val="114285CE"/>
    <w:rsid w:val="1142AA5F"/>
    <w:rsid w:val="11435DEB"/>
    <w:rsid w:val="11438D09"/>
    <w:rsid w:val="1144DFDF"/>
    <w:rsid w:val="114571EC"/>
    <w:rsid w:val="1145EF4E"/>
    <w:rsid w:val="11468E08"/>
    <w:rsid w:val="1146A8EF"/>
    <w:rsid w:val="11486DB2"/>
    <w:rsid w:val="1148B3CD"/>
    <w:rsid w:val="1149D533"/>
    <w:rsid w:val="114A40AB"/>
    <w:rsid w:val="114B1342"/>
    <w:rsid w:val="114BA85D"/>
    <w:rsid w:val="114C5A79"/>
    <w:rsid w:val="114C9A58"/>
    <w:rsid w:val="114CC9AF"/>
    <w:rsid w:val="114D48F3"/>
    <w:rsid w:val="114E4A6C"/>
    <w:rsid w:val="114EF145"/>
    <w:rsid w:val="114F1D17"/>
    <w:rsid w:val="114FBFE9"/>
    <w:rsid w:val="1150137D"/>
    <w:rsid w:val="11512486"/>
    <w:rsid w:val="1151794B"/>
    <w:rsid w:val="1151E209"/>
    <w:rsid w:val="1151E2A5"/>
    <w:rsid w:val="115246AF"/>
    <w:rsid w:val="11526CD0"/>
    <w:rsid w:val="115277A0"/>
    <w:rsid w:val="115298F3"/>
    <w:rsid w:val="11530AAE"/>
    <w:rsid w:val="1153CEAB"/>
    <w:rsid w:val="1153FDE1"/>
    <w:rsid w:val="11550B2D"/>
    <w:rsid w:val="11556032"/>
    <w:rsid w:val="1155DB4F"/>
    <w:rsid w:val="11564EBF"/>
    <w:rsid w:val="115704FD"/>
    <w:rsid w:val="1158140F"/>
    <w:rsid w:val="115833DE"/>
    <w:rsid w:val="1158E3BB"/>
    <w:rsid w:val="1159C8C1"/>
    <w:rsid w:val="1159FA1E"/>
    <w:rsid w:val="115A274B"/>
    <w:rsid w:val="115A419F"/>
    <w:rsid w:val="115A43B5"/>
    <w:rsid w:val="115AFA1C"/>
    <w:rsid w:val="115B153B"/>
    <w:rsid w:val="115C3D8D"/>
    <w:rsid w:val="115CC534"/>
    <w:rsid w:val="115CCEDA"/>
    <w:rsid w:val="115DFC46"/>
    <w:rsid w:val="115E0487"/>
    <w:rsid w:val="115EAD52"/>
    <w:rsid w:val="115F13E1"/>
    <w:rsid w:val="115F48DB"/>
    <w:rsid w:val="115FF66A"/>
    <w:rsid w:val="11613DD7"/>
    <w:rsid w:val="11617DE4"/>
    <w:rsid w:val="11618DA0"/>
    <w:rsid w:val="11628961"/>
    <w:rsid w:val="1162C0A2"/>
    <w:rsid w:val="11638F2B"/>
    <w:rsid w:val="1163DE57"/>
    <w:rsid w:val="1164A7BB"/>
    <w:rsid w:val="11669D0D"/>
    <w:rsid w:val="1166A307"/>
    <w:rsid w:val="11682395"/>
    <w:rsid w:val="1168FFDC"/>
    <w:rsid w:val="116921B9"/>
    <w:rsid w:val="116AD62A"/>
    <w:rsid w:val="116BD913"/>
    <w:rsid w:val="116C66C3"/>
    <w:rsid w:val="116C9144"/>
    <w:rsid w:val="116CCCBB"/>
    <w:rsid w:val="116D3B40"/>
    <w:rsid w:val="116E3062"/>
    <w:rsid w:val="116E3514"/>
    <w:rsid w:val="116E36D2"/>
    <w:rsid w:val="116E9D5E"/>
    <w:rsid w:val="116F082B"/>
    <w:rsid w:val="116F8F92"/>
    <w:rsid w:val="116F9CE0"/>
    <w:rsid w:val="116FFEC6"/>
    <w:rsid w:val="11702386"/>
    <w:rsid w:val="11708EE8"/>
    <w:rsid w:val="1171AA9E"/>
    <w:rsid w:val="1172334F"/>
    <w:rsid w:val="117254B7"/>
    <w:rsid w:val="1172A92A"/>
    <w:rsid w:val="1172D5E1"/>
    <w:rsid w:val="1172EDBE"/>
    <w:rsid w:val="1173DDF9"/>
    <w:rsid w:val="11741315"/>
    <w:rsid w:val="1174F54B"/>
    <w:rsid w:val="11772764"/>
    <w:rsid w:val="117733EE"/>
    <w:rsid w:val="1177D83C"/>
    <w:rsid w:val="1178202F"/>
    <w:rsid w:val="11785F33"/>
    <w:rsid w:val="1178739D"/>
    <w:rsid w:val="11796612"/>
    <w:rsid w:val="1179C50D"/>
    <w:rsid w:val="117AC19A"/>
    <w:rsid w:val="117AF548"/>
    <w:rsid w:val="117B2D0A"/>
    <w:rsid w:val="117B30B6"/>
    <w:rsid w:val="117B7C23"/>
    <w:rsid w:val="117B9FAC"/>
    <w:rsid w:val="117BA2EC"/>
    <w:rsid w:val="117C3185"/>
    <w:rsid w:val="117DD25B"/>
    <w:rsid w:val="117EFDE5"/>
    <w:rsid w:val="117F44FA"/>
    <w:rsid w:val="117F6BC4"/>
    <w:rsid w:val="11801DAB"/>
    <w:rsid w:val="11803EF5"/>
    <w:rsid w:val="1180A4AA"/>
    <w:rsid w:val="118117E1"/>
    <w:rsid w:val="11817BC3"/>
    <w:rsid w:val="11818DE0"/>
    <w:rsid w:val="11823486"/>
    <w:rsid w:val="11825F9C"/>
    <w:rsid w:val="11827FB2"/>
    <w:rsid w:val="11828E39"/>
    <w:rsid w:val="1182C1A6"/>
    <w:rsid w:val="1183EA65"/>
    <w:rsid w:val="1183ED3B"/>
    <w:rsid w:val="1184BE41"/>
    <w:rsid w:val="1185432B"/>
    <w:rsid w:val="118545A2"/>
    <w:rsid w:val="1185E902"/>
    <w:rsid w:val="11860976"/>
    <w:rsid w:val="11879F94"/>
    <w:rsid w:val="1187A5CE"/>
    <w:rsid w:val="11881CB2"/>
    <w:rsid w:val="11890BDE"/>
    <w:rsid w:val="118A33E1"/>
    <w:rsid w:val="118C6F05"/>
    <w:rsid w:val="118DA50F"/>
    <w:rsid w:val="118DC9BB"/>
    <w:rsid w:val="118E23A2"/>
    <w:rsid w:val="118E2BAB"/>
    <w:rsid w:val="118E9273"/>
    <w:rsid w:val="118EDA66"/>
    <w:rsid w:val="118EE486"/>
    <w:rsid w:val="119066FD"/>
    <w:rsid w:val="119077B0"/>
    <w:rsid w:val="1190BFF1"/>
    <w:rsid w:val="11915D3F"/>
    <w:rsid w:val="11918FD6"/>
    <w:rsid w:val="119235E3"/>
    <w:rsid w:val="11923631"/>
    <w:rsid w:val="11927817"/>
    <w:rsid w:val="1192C505"/>
    <w:rsid w:val="1192DC17"/>
    <w:rsid w:val="1193912D"/>
    <w:rsid w:val="11948FD7"/>
    <w:rsid w:val="119531B5"/>
    <w:rsid w:val="1195BA47"/>
    <w:rsid w:val="119619CF"/>
    <w:rsid w:val="1196DE51"/>
    <w:rsid w:val="1196F209"/>
    <w:rsid w:val="11971352"/>
    <w:rsid w:val="11977290"/>
    <w:rsid w:val="1197BCBD"/>
    <w:rsid w:val="1197D75F"/>
    <w:rsid w:val="11980625"/>
    <w:rsid w:val="1198A9D8"/>
    <w:rsid w:val="1198F051"/>
    <w:rsid w:val="11994F06"/>
    <w:rsid w:val="11996FC0"/>
    <w:rsid w:val="1199D951"/>
    <w:rsid w:val="1199FAC1"/>
    <w:rsid w:val="119A59DD"/>
    <w:rsid w:val="119A97E1"/>
    <w:rsid w:val="119C0E18"/>
    <w:rsid w:val="119C423D"/>
    <w:rsid w:val="119C54A1"/>
    <w:rsid w:val="119C9F54"/>
    <w:rsid w:val="119D02EF"/>
    <w:rsid w:val="119D860A"/>
    <w:rsid w:val="119DE8A1"/>
    <w:rsid w:val="119E7F2B"/>
    <w:rsid w:val="119EB351"/>
    <w:rsid w:val="119F4165"/>
    <w:rsid w:val="119F4ADE"/>
    <w:rsid w:val="11A0080C"/>
    <w:rsid w:val="11A026C9"/>
    <w:rsid w:val="11A0416C"/>
    <w:rsid w:val="11A1023C"/>
    <w:rsid w:val="11A1163C"/>
    <w:rsid w:val="11A1AEAD"/>
    <w:rsid w:val="11A1B002"/>
    <w:rsid w:val="11A24BB0"/>
    <w:rsid w:val="11A25DF5"/>
    <w:rsid w:val="11A2B8CF"/>
    <w:rsid w:val="11A2BFB1"/>
    <w:rsid w:val="11A2F44D"/>
    <w:rsid w:val="11A34703"/>
    <w:rsid w:val="11A3C1A0"/>
    <w:rsid w:val="11A3EEA3"/>
    <w:rsid w:val="11A40451"/>
    <w:rsid w:val="11A490BF"/>
    <w:rsid w:val="11A4AFA5"/>
    <w:rsid w:val="11A4DB90"/>
    <w:rsid w:val="11A5BEC0"/>
    <w:rsid w:val="11A67D43"/>
    <w:rsid w:val="11A6ADEC"/>
    <w:rsid w:val="11A6F303"/>
    <w:rsid w:val="11A7042B"/>
    <w:rsid w:val="11A8972B"/>
    <w:rsid w:val="11A8D8A0"/>
    <w:rsid w:val="11A92ADE"/>
    <w:rsid w:val="11A967FC"/>
    <w:rsid w:val="11A9FD30"/>
    <w:rsid w:val="11AA4F2D"/>
    <w:rsid w:val="11AA748D"/>
    <w:rsid w:val="11AAE81C"/>
    <w:rsid w:val="11AB55F6"/>
    <w:rsid w:val="11AB7FA2"/>
    <w:rsid w:val="11AC9638"/>
    <w:rsid w:val="11ACA649"/>
    <w:rsid w:val="11AD8B1E"/>
    <w:rsid w:val="11AE5ED9"/>
    <w:rsid w:val="11AEE99D"/>
    <w:rsid w:val="11AF39F6"/>
    <w:rsid w:val="11AF8C84"/>
    <w:rsid w:val="11AFA2EA"/>
    <w:rsid w:val="11AFDBDF"/>
    <w:rsid w:val="11B00630"/>
    <w:rsid w:val="11B066D6"/>
    <w:rsid w:val="11B1C59B"/>
    <w:rsid w:val="11B20CE5"/>
    <w:rsid w:val="11B26BC0"/>
    <w:rsid w:val="11B34421"/>
    <w:rsid w:val="11B39F1E"/>
    <w:rsid w:val="11B3EA37"/>
    <w:rsid w:val="11B433C1"/>
    <w:rsid w:val="11B4499B"/>
    <w:rsid w:val="11B4D621"/>
    <w:rsid w:val="11B50FFB"/>
    <w:rsid w:val="11B51A01"/>
    <w:rsid w:val="11B5592C"/>
    <w:rsid w:val="11B6B1BA"/>
    <w:rsid w:val="11B6DD4C"/>
    <w:rsid w:val="11B6EF84"/>
    <w:rsid w:val="11B82C16"/>
    <w:rsid w:val="11B89B97"/>
    <w:rsid w:val="11B8AA2B"/>
    <w:rsid w:val="11B8B09B"/>
    <w:rsid w:val="11B93841"/>
    <w:rsid w:val="11B967D5"/>
    <w:rsid w:val="11B980D1"/>
    <w:rsid w:val="11B9C9D2"/>
    <w:rsid w:val="11B9D437"/>
    <w:rsid w:val="11B9D5F4"/>
    <w:rsid w:val="11BB8152"/>
    <w:rsid w:val="11BBA07E"/>
    <w:rsid w:val="11BC20F9"/>
    <w:rsid w:val="11BC66B6"/>
    <w:rsid w:val="11BC758E"/>
    <w:rsid w:val="11BCFB8A"/>
    <w:rsid w:val="11BD9B9E"/>
    <w:rsid w:val="11BE9848"/>
    <w:rsid w:val="11C06B0D"/>
    <w:rsid w:val="11C13BC8"/>
    <w:rsid w:val="11C191CD"/>
    <w:rsid w:val="11C2697D"/>
    <w:rsid w:val="11C2F293"/>
    <w:rsid w:val="11C2F481"/>
    <w:rsid w:val="11C36104"/>
    <w:rsid w:val="11C37AB0"/>
    <w:rsid w:val="11C387A2"/>
    <w:rsid w:val="11C539B9"/>
    <w:rsid w:val="11C57063"/>
    <w:rsid w:val="11C600E9"/>
    <w:rsid w:val="11C60C1F"/>
    <w:rsid w:val="11C6A159"/>
    <w:rsid w:val="11C6BF0C"/>
    <w:rsid w:val="11C6CB56"/>
    <w:rsid w:val="11C943F6"/>
    <w:rsid w:val="11C96422"/>
    <w:rsid w:val="11CA52B5"/>
    <w:rsid w:val="11CAB503"/>
    <w:rsid w:val="11CAF7A9"/>
    <w:rsid w:val="11CB0D86"/>
    <w:rsid w:val="11CB4CE5"/>
    <w:rsid w:val="11CB7C21"/>
    <w:rsid w:val="11CC7F8B"/>
    <w:rsid w:val="11CD804F"/>
    <w:rsid w:val="11CDAF19"/>
    <w:rsid w:val="11CE169A"/>
    <w:rsid w:val="11CE21FB"/>
    <w:rsid w:val="11CE393E"/>
    <w:rsid w:val="11CED618"/>
    <w:rsid w:val="11D3145F"/>
    <w:rsid w:val="11D350CC"/>
    <w:rsid w:val="11D3984F"/>
    <w:rsid w:val="11D40050"/>
    <w:rsid w:val="11D47B72"/>
    <w:rsid w:val="11D5F0E9"/>
    <w:rsid w:val="11D641D9"/>
    <w:rsid w:val="11D6BABE"/>
    <w:rsid w:val="11D6D993"/>
    <w:rsid w:val="11D6FDD8"/>
    <w:rsid w:val="11D70DCF"/>
    <w:rsid w:val="11D74AD6"/>
    <w:rsid w:val="11D7BFDD"/>
    <w:rsid w:val="11D7D070"/>
    <w:rsid w:val="11D8EE8C"/>
    <w:rsid w:val="11D9B930"/>
    <w:rsid w:val="11DB0E40"/>
    <w:rsid w:val="11DB214F"/>
    <w:rsid w:val="11DBDF16"/>
    <w:rsid w:val="11DC477A"/>
    <w:rsid w:val="11DC669C"/>
    <w:rsid w:val="11DCBC44"/>
    <w:rsid w:val="11DD1AB0"/>
    <w:rsid w:val="11DE542C"/>
    <w:rsid w:val="11DEC5BC"/>
    <w:rsid w:val="11DFE5A6"/>
    <w:rsid w:val="11DFEADD"/>
    <w:rsid w:val="11E00B31"/>
    <w:rsid w:val="11E11825"/>
    <w:rsid w:val="11E1F175"/>
    <w:rsid w:val="11E2494B"/>
    <w:rsid w:val="11E27D2C"/>
    <w:rsid w:val="11E346FD"/>
    <w:rsid w:val="11E3C78F"/>
    <w:rsid w:val="11E4168D"/>
    <w:rsid w:val="11E437CF"/>
    <w:rsid w:val="11E44D7E"/>
    <w:rsid w:val="11E653CD"/>
    <w:rsid w:val="11E69A5F"/>
    <w:rsid w:val="11E6A7C4"/>
    <w:rsid w:val="11E8044A"/>
    <w:rsid w:val="11E80E50"/>
    <w:rsid w:val="11E848AF"/>
    <w:rsid w:val="11E98EEC"/>
    <w:rsid w:val="11EA0F54"/>
    <w:rsid w:val="11EA12CA"/>
    <w:rsid w:val="11EA1DED"/>
    <w:rsid w:val="11EA847A"/>
    <w:rsid w:val="11EA8F39"/>
    <w:rsid w:val="11EB47CB"/>
    <w:rsid w:val="11EB67B0"/>
    <w:rsid w:val="11EBB0D5"/>
    <w:rsid w:val="11ED352D"/>
    <w:rsid w:val="11ED4B4A"/>
    <w:rsid w:val="11EE3791"/>
    <w:rsid w:val="11EE441B"/>
    <w:rsid w:val="11EED55E"/>
    <w:rsid w:val="11EF236B"/>
    <w:rsid w:val="11EF6EFB"/>
    <w:rsid w:val="11F03EEB"/>
    <w:rsid w:val="11F05BCA"/>
    <w:rsid w:val="11F0C434"/>
    <w:rsid w:val="11F0C670"/>
    <w:rsid w:val="11F14395"/>
    <w:rsid w:val="11F3363B"/>
    <w:rsid w:val="11F37BA1"/>
    <w:rsid w:val="11F45E1C"/>
    <w:rsid w:val="11F48283"/>
    <w:rsid w:val="11F4F16C"/>
    <w:rsid w:val="11F56081"/>
    <w:rsid w:val="11F5BA33"/>
    <w:rsid w:val="11F63A2D"/>
    <w:rsid w:val="11F68660"/>
    <w:rsid w:val="11F6CC71"/>
    <w:rsid w:val="11F7EF74"/>
    <w:rsid w:val="11F7F645"/>
    <w:rsid w:val="11F80964"/>
    <w:rsid w:val="11F84D80"/>
    <w:rsid w:val="11F89A13"/>
    <w:rsid w:val="11F8C36D"/>
    <w:rsid w:val="11F98481"/>
    <w:rsid w:val="11F9A273"/>
    <w:rsid w:val="11F9FC8B"/>
    <w:rsid w:val="11FA2AB1"/>
    <w:rsid w:val="11FA4578"/>
    <w:rsid w:val="11FB2757"/>
    <w:rsid w:val="11FB8435"/>
    <w:rsid w:val="11FBA1ED"/>
    <w:rsid w:val="11FBB277"/>
    <w:rsid w:val="11FC05BC"/>
    <w:rsid w:val="11FCE149"/>
    <w:rsid w:val="11FD910D"/>
    <w:rsid w:val="11FDBC11"/>
    <w:rsid w:val="11FE1109"/>
    <w:rsid w:val="11FE5F5C"/>
    <w:rsid w:val="11FF9C0E"/>
    <w:rsid w:val="11FFD287"/>
    <w:rsid w:val="12004BD0"/>
    <w:rsid w:val="120072A0"/>
    <w:rsid w:val="120127D3"/>
    <w:rsid w:val="1201B955"/>
    <w:rsid w:val="12027409"/>
    <w:rsid w:val="120288AF"/>
    <w:rsid w:val="12029209"/>
    <w:rsid w:val="12036439"/>
    <w:rsid w:val="12037779"/>
    <w:rsid w:val="1203A15D"/>
    <w:rsid w:val="12049EE7"/>
    <w:rsid w:val="1204CBE0"/>
    <w:rsid w:val="120525CF"/>
    <w:rsid w:val="12053EDE"/>
    <w:rsid w:val="12056558"/>
    <w:rsid w:val="1205B731"/>
    <w:rsid w:val="12062203"/>
    <w:rsid w:val="12064FD5"/>
    <w:rsid w:val="120662C8"/>
    <w:rsid w:val="1206EC9D"/>
    <w:rsid w:val="12073F89"/>
    <w:rsid w:val="1207454D"/>
    <w:rsid w:val="120756AC"/>
    <w:rsid w:val="120780B6"/>
    <w:rsid w:val="1208144F"/>
    <w:rsid w:val="1208F90B"/>
    <w:rsid w:val="12096DFB"/>
    <w:rsid w:val="120AA449"/>
    <w:rsid w:val="120ACAB5"/>
    <w:rsid w:val="120AEF72"/>
    <w:rsid w:val="120BE40F"/>
    <w:rsid w:val="120C3AD8"/>
    <w:rsid w:val="120C5DB8"/>
    <w:rsid w:val="120C647B"/>
    <w:rsid w:val="120D0291"/>
    <w:rsid w:val="120DFA4A"/>
    <w:rsid w:val="1210186F"/>
    <w:rsid w:val="121031EB"/>
    <w:rsid w:val="12103D6C"/>
    <w:rsid w:val="12107077"/>
    <w:rsid w:val="1210EA9C"/>
    <w:rsid w:val="1210FD7C"/>
    <w:rsid w:val="121201F5"/>
    <w:rsid w:val="12128F24"/>
    <w:rsid w:val="1212A24E"/>
    <w:rsid w:val="1213DF26"/>
    <w:rsid w:val="12140785"/>
    <w:rsid w:val="12147517"/>
    <w:rsid w:val="12149D39"/>
    <w:rsid w:val="12152DEB"/>
    <w:rsid w:val="12154D7E"/>
    <w:rsid w:val="121591D1"/>
    <w:rsid w:val="12167A33"/>
    <w:rsid w:val="1216DF27"/>
    <w:rsid w:val="1216F45B"/>
    <w:rsid w:val="1216FD72"/>
    <w:rsid w:val="1217725E"/>
    <w:rsid w:val="1217A21C"/>
    <w:rsid w:val="1217A9A2"/>
    <w:rsid w:val="12182743"/>
    <w:rsid w:val="12185902"/>
    <w:rsid w:val="12186AA6"/>
    <w:rsid w:val="1218B427"/>
    <w:rsid w:val="12190AA3"/>
    <w:rsid w:val="12191615"/>
    <w:rsid w:val="12193822"/>
    <w:rsid w:val="121965ED"/>
    <w:rsid w:val="12197386"/>
    <w:rsid w:val="121AFF2F"/>
    <w:rsid w:val="121B2DAE"/>
    <w:rsid w:val="121B89BA"/>
    <w:rsid w:val="121BC8C3"/>
    <w:rsid w:val="121BF935"/>
    <w:rsid w:val="121C4BD4"/>
    <w:rsid w:val="121C95C6"/>
    <w:rsid w:val="121D0803"/>
    <w:rsid w:val="121D2658"/>
    <w:rsid w:val="121D508F"/>
    <w:rsid w:val="121D9F94"/>
    <w:rsid w:val="121DBB21"/>
    <w:rsid w:val="121DBD43"/>
    <w:rsid w:val="121E8DAA"/>
    <w:rsid w:val="121F6360"/>
    <w:rsid w:val="121FB528"/>
    <w:rsid w:val="121FEB47"/>
    <w:rsid w:val="121FF639"/>
    <w:rsid w:val="121FF8AB"/>
    <w:rsid w:val="1220021A"/>
    <w:rsid w:val="12203C47"/>
    <w:rsid w:val="12207BBC"/>
    <w:rsid w:val="12207CA6"/>
    <w:rsid w:val="1220C4EC"/>
    <w:rsid w:val="1221924F"/>
    <w:rsid w:val="122237F9"/>
    <w:rsid w:val="1223CB2A"/>
    <w:rsid w:val="1223D26F"/>
    <w:rsid w:val="12248140"/>
    <w:rsid w:val="1224A41F"/>
    <w:rsid w:val="1225447A"/>
    <w:rsid w:val="12259944"/>
    <w:rsid w:val="12259B92"/>
    <w:rsid w:val="12269454"/>
    <w:rsid w:val="1226CBA8"/>
    <w:rsid w:val="1226CBF5"/>
    <w:rsid w:val="12270E64"/>
    <w:rsid w:val="1227578C"/>
    <w:rsid w:val="122760FC"/>
    <w:rsid w:val="12278DC6"/>
    <w:rsid w:val="1227B168"/>
    <w:rsid w:val="122820B1"/>
    <w:rsid w:val="122938B3"/>
    <w:rsid w:val="122D93A7"/>
    <w:rsid w:val="122DF7E9"/>
    <w:rsid w:val="122E9CD9"/>
    <w:rsid w:val="122F000C"/>
    <w:rsid w:val="122F9BD6"/>
    <w:rsid w:val="1230114C"/>
    <w:rsid w:val="123127CF"/>
    <w:rsid w:val="1231DF6E"/>
    <w:rsid w:val="1232C233"/>
    <w:rsid w:val="1233D9B5"/>
    <w:rsid w:val="1234C427"/>
    <w:rsid w:val="123567AD"/>
    <w:rsid w:val="1235FD81"/>
    <w:rsid w:val="123622E1"/>
    <w:rsid w:val="1236A1F8"/>
    <w:rsid w:val="12370C86"/>
    <w:rsid w:val="12387D23"/>
    <w:rsid w:val="12396485"/>
    <w:rsid w:val="123AC72B"/>
    <w:rsid w:val="123AF813"/>
    <w:rsid w:val="123B7CE0"/>
    <w:rsid w:val="123C4891"/>
    <w:rsid w:val="123CB014"/>
    <w:rsid w:val="123CF4A6"/>
    <w:rsid w:val="123DA87D"/>
    <w:rsid w:val="123DB195"/>
    <w:rsid w:val="123E4BE3"/>
    <w:rsid w:val="123EE3C6"/>
    <w:rsid w:val="123F5AB9"/>
    <w:rsid w:val="123F9494"/>
    <w:rsid w:val="1240945B"/>
    <w:rsid w:val="1240A8D9"/>
    <w:rsid w:val="1240FC5B"/>
    <w:rsid w:val="124177CC"/>
    <w:rsid w:val="12419747"/>
    <w:rsid w:val="1242EBDF"/>
    <w:rsid w:val="1243784E"/>
    <w:rsid w:val="124405A5"/>
    <w:rsid w:val="1244838E"/>
    <w:rsid w:val="1244E10D"/>
    <w:rsid w:val="1245540B"/>
    <w:rsid w:val="1245C297"/>
    <w:rsid w:val="124602A1"/>
    <w:rsid w:val="1246298E"/>
    <w:rsid w:val="12464FE3"/>
    <w:rsid w:val="12468807"/>
    <w:rsid w:val="1246C3D3"/>
    <w:rsid w:val="12489A76"/>
    <w:rsid w:val="1248A1C1"/>
    <w:rsid w:val="12498B3E"/>
    <w:rsid w:val="124A2E5D"/>
    <w:rsid w:val="124B4A79"/>
    <w:rsid w:val="124B9178"/>
    <w:rsid w:val="124CCB9C"/>
    <w:rsid w:val="124F0045"/>
    <w:rsid w:val="124FABED"/>
    <w:rsid w:val="1250774A"/>
    <w:rsid w:val="12518FD8"/>
    <w:rsid w:val="12519786"/>
    <w:rsid w:val="1251A147"/>
    <w:rsid w:val="125237CE"/>
    <w:rsid w:val="1252F113"/>
    <w:rsid w:val="12535915"/>
    <w:rsid w:val="125398B9"/>
    <w:rsid w:val="1253FBDB"/>
    <w:rsid w:val="125407A2"/>
    <w:rsid w:val="125498AB"/>
    <w:rsid w:val="1255F116"/>
    <w:rsid w:val="12565E5A"/>
    <w:rsid w:val="125665AA"/>
    <w:rsid w:val="12568E08"/>
    <w:rsid w:val="1257188D"/>
    <w:rsid w:val="12574F95"/>
    <w:rsid w:val="1257A5F4"/>
    <w:rsid w:val="12580544"/>
    <w:rsid w:val="125836FE"/>
    <w:rsid w:val="12585B03"/>
    <w:rsid w:val="12590EF9"/>
    <w:rsid w:val="1259E506"/>
    <w:rsid w:val="125A910A"/>
    <w:rsid w:val="125B192A"/>
    <w:rsid w:val="125B25D0"/>
    <w:rsid w:val="125B6659"/>
    <w:rsid w:val="125C539E"/>
    <w:rsid w:val="125C9DAB"/>
    <w:rsid w:val="125D29AF"/>
    <w:rsid w:val="125D8FA2"/>
    <w:rsid w:val="125E3305"/>
    <w:rsid w:val="125E6E29"/>
    <w:rsid w:val="125EA6F6"/>
    <w:rsid w:val="125FCF9F"/>
    <w:rsid w:val="126006F7"/>
    <w:rsid w:val="12601245"/>
    <w:rsid w:val="1260840F"/>
    <w:rsid w:val="12615E2A"/>
    <w:rsid w:val="1261FF0B"/>
    <w:rsid w:val="1262154F"/>
    <w:rsid w:val="12621712"/>
    <w:rsid w:val="12623993"/>
    <w:rsid w:val="126294D4"/>
    <w:rsid w:val="126383D4"/>
    <w:rsid w:val="1263C3AA"/>
    <w:rsid w:val="1263E6ED"/>
    <w:rsid w:val="126400AA"/>
    <w:rsid w:val="12643D55"/>
    <w:rsid w:val="1265290D"/>
    <w:rsid w:val="12665D25"/>
    <w:rsid w:val="12670AA2"/>
    <w:rsid w:val="1267406C"/>
    <w:rsid w:val="12678BAC"/>
    <w:rsid w:val="1267D3C6"/>
    <w:rsid w:val="12689B62"/>
    <w:rsid w:val="1268DFAA"/>
    <w:rsid w:val="12695A27"/>
    <w:rsid w:val="1269E9D7"/>
    <w:rsid w:val="126A3989"/>
    <w:rsid w:val="126B770E"/>
    <w:rsid w:val="126BE134"/>
    <w:rsid w:val="126C05EB"/>
    <w:rsid w:val="126C5F25"/>
    <w:rsid w:val="126D4D5E"/>
    <w:rsid w:val="126ED73E"/>
    <w:rsid w:val="126EF512"/>
    <w:rsid w:val="126F2799"/>
    <w:rsid w:val="12701DE1"/>
    <w:rsid w:val="12704BAC"/>
    <w:rsid w:val="127060A9"/>
    <w:rsid w:val="12708D30"/>
    <w:rsid w:val="1270D488"/>
    <w:rsid w:val="1271A113"/>
    <w:rsid w:val="1271A9FD"/>
    <w:rsid w:val="1272CE6E"/>
    <w:rsid w:val="1272E784"/>
    <w:rsid w:val="12733145"/>
    <w:rsid w:val="127335E1"/>
    <w:rsid w:val="12742E32"/>
    <w:rsid w:val="12744EBC"/>
    <w:rsid w:val="1275A11F"/>
    <w:rsid w:val="1275CB28"/>
    <w:rsid w:val="12780377"/>
    <w:rsid w:val="12783492"/>
    <w:rsid w:val="12795218"/>
    <w:rsid w:val="12796EFA"/>
    <w:rsid w:val="12796FD6"/>
    <w:rsid w:val="12798AC6"/>
    <w:rsid w:val="1279A805"/>
    <w:rsid w:val="127A8403"/>
    <w:rsid w:val="127AB538"/>
    <w:rsid w:val="127AC8CC"/>
    <w:rsid w:val="127ACAC2"/>
    <w:rsid w:val="127B3DBD"/>
    <w:rsid w:val="127B8A99"/>
    <w:rsid w:val="127C5A2F"/>
    <w:rsid w:val="127C9E6A"/>
    <w:rsid w:val="127CCE21"/>
    <w:rsid w:val="127D7983"/>
    <w:rsid w:val="127E3E31"/>
    <w:rsid w:val="127EC311"/>
    <w:rsid w:val="1280600D"/>
    <w:rsid w:val="12807B08"/>
    <w:rsid w:val="128124A0"/>
    <w:rsid w:val="12816155"/>
    <w:rsid w:val="1281E0F8"/>
    <w:rsid w:val="1281FC90"/>
    <w:rsid w:val="1282099F"/>
    <w:rsid w:val="128212E1"/>
    <w:rsid w:val="1283C2E2"/>
    <w:rsid w:val="1284184A"/>
    <w:rsid w:val="12848F1C"/>
    <w:rsid w:val="12849D11"/>
    <w:rsid w:val="1285123D"/>
    <w:rsid w:val="12853AEF"/>
    <w:rsid w:val="1286EA02"/>
    <w:rsid w:val="1286F62E"/>
    <w:rsid w:val="12873014"/>
    <w:rsid w:val="1287328B"/>
    <w:rsid w:val="1287B913"/>
    <w:rsid w:val="128956CC"/>
    <w:rsid w:val="128965D0"/>
    <w:rsid w:val="12896837"/>
    <w:rsid w:val="12898407"/>
    <w:rsid w:val="1289B110"/>
    <w:rsid w:val="128AB2A8"/>
    <w:rsid w:val="128C5D39"/>
    <w:rsid w:val="128C6B6F"/>
    <w:rsid w:val="128CB9AC"/>
    <w:rsid w:val="128D67BF"/>
    <w:rsid w:val="128D7AF0"/>
    <w:rsid w:val="128DF078"/>
    <w:rsid w:val="128E0679"/>
    <w:rsid w:val="128EE051"/>
    <w:rsid w:val="128F213D"/>
    <w:rsid w:val="128FF040"/>
    <w:rsid w:val="12907C4B"/>
    <w:rsid w:val="129088AC"/>
    <w:rsid w:val="12927CEC"/>
    <w:rsid w:val="12927EB4"/>
    <w:rsid w:val="12929E8C"/>
    <w:rsid w:val="1292A55E"/>
    <w:rsid w:val="12941C45"/>
    <w:rsid w:val="12944645"/>
    <w:rsid w:val="129451A5"/>
    <w:rsid w:val="1294C7E8"/>
    <w:rsid w:val="129534D7"/>
    <w:rsid w:val="12959ECB"/>
    <w:rsid w:val="12964AB2"/>
    <w:rsid w:val="129732A0"/>
    <w:rsid w:val="129748CD"/>
    <w:rsid w:val="12977191"/>
    <w:rsid w:val="129854C3"/>
    <w:rsid w:val="12991658"/>
    <w:rsid w:val="12995291"/>
    <w:rsid w:val="1299B3D6"/>
    <w:rsid w:val="129B4515"/>
    <w:rsid w:val="129BEF77"/>
    <w:rsid w:val="129C0B85"/>
    <w:rsid w:val="129C6BCE"/>
    <w:rsid w:val="129D2B3E"/>
    <w:rsid w:val="129D9060"/>
    <w:rsid w:val="129E50FA"/>
    <w:rsid w:val="129E9F6A"/>
    <w:rsid w:val="129F2675"/>
    <w:rsid w:val="129F3390"/>
    <w:rsid w:val="129F9DB3"/>
    <w:rsid w:val="129FE7AF"/>
    <w:rsid w:val="12A0574A"/>
    <w:rsid w:val="12A07A58"/>
    <w:rsid w:val="12A1F234"/>
    <w:rsid w:val="12A23EAE"/>
    <w:rsid w:val="12A37E1A"/>
    <w:rsid w:val="12A4115E"/>
    <w:rsid w:val="12A42F8D"/>
    <w:rsid w:val="12A440B1"/>
    <w:rsid w:val="12A5A647"/>
    <w:rsid w:val="12A5EFF7"/>
    <w:rsid w:val="12A65381"/>
    <w:rsid w:val="12A6C3E4"/>
    <w:rsid w:val="12A782FE"/>
    <w:rsid w:val="12A8B57F"/>
    <w:rsid w:val="12A9ADFD"/>
    <w:rsid w:val="12A9E606"/>
    <w:rsid w:val="12AA5421"/>
    <w:rsid w:val="12AA7192"/>
    <w:rsid w:val="12AB271F"/>
    <w:rsid w:val="12AB7790"/>
    <w:rsid w:val="12AB9A52"/>
    <w:rsid w:val="12ABC836"/>
    <w:rsid w:val="12ABD828"/>
    <w:rsid w:val="12ABE09A"/>
    <w:rsid w:val="12AC4774"/>
    <w:rsid w:val="12AC960B"/>
    <w:rsid w:val="12ACD782"/>
    <w:rsid w:val="12ACD79B"/>
    <w:rsid w:val="12ACE9CD"/>
    <w:rsid w:val="12ACEFC4"/>
    <w:rsid w:val="12AE1B16"/>
    <w:rsid w:val="12AE42F9"/>
    <w:rsid w:val="12AEA0DA"/>
    <w:rsid w:val="12AED2E0"/>
    <w:rsid w:val="12AF5C5C"/>
    <w:rsid w:val="12AF7DA7"/>
    <w:rsid w:val="12AFDC13"/>
    <w:rsid w:val="12AFEA91"/>
    <w:rsid w:val="12B00668"/>
    <w:rsid w:val="12B047F0"/>
    <w:rsid w:val="12B0EACC"/>
    <w:rsid w:val="12B26E85"/>
    <w:rsid w:val="12B365CE"/>
    <w:rsid w:val="12B3A23E"/>
    <w:rsid w:val="12B3DD98"/>
    <w:rsid w:val="12B3E0CD"/>
    <w:rsid w:val="12B53DEE"/>
    <w:rsid w:val="12B63B70"/>
    <w:rsid w:val="12B6B1BD"/>
    <w:rsid w:val="12B708FD"/>
    <w:rsid w:val="12B70C77"/>
    <w:rsid w:val="12B7556B"/>
    <w:rsid w:val="12B7BB01"/>
    <w:rsid w:val="12B7E5B0"/>
    <w:rsid w:val="12B862D5"/>
    <w:rsid w:val="12B87866"/>
    <w:rsid w:val="12B8788D"/>
    <w:rsid w:val="12B8A382"/>
    <w:rsid w:val="12B8E189"/>
    <w:rsid w:val="12BA1A92"/>
    <w:rsid w:val="12BA3A4F"/>
    <w:rsid w:val="12BAF013"/>
    <w:rsid w:val="12BB3999"/>
    <w:rsid w:val="12BB7BC2"/>
    <w:rsid w:val="12BB938D"/>
    <w:rsid w:val="12BC2D23"/>
    <w:rsid w:val="12BD3B81"/>
    <w:rsid w:val="12BDC402"/>
    <w:rsid w:val="12BDDA47"/>
    <w:rsid w:val="12BE26A8"/>
    <w:rsid w:val="12BE467D"/>
    <w:rsid w:val="12BE652A"/>
    <w:rsid w:val="12BF208D"/>
    <w:rsid w:val="12BF5762"/>
    <w:rsid w:val="12C044DC"/>
    <w:rsid w:val="12C06C1E"/>
    <w:rsid w:val="12C1B380"/>
    <w:rsid w:val="12C1C135"/>
    <w:rsid w:val="12C1F20A"/>
    <w:rsid w:val="12C30E13"/>
    <w:rsid w:val="12C463B6"/>
    <w:rsid w:val="12C4B197"/>
    <w:rsid w:val="12C4EE84"/>
    <w:rsid w:val="12C5573A"/>
    <w:rsid w:val="12C569CB"/>
    <w:rsid w:val="12C58017"/>
    <w:rsid w:val="12C5D048"/>
    <w:rsid w:val="12C5FB5D"/>
    <w:rsid w:val="12C64A65"/>
    <w:rsid w:val="12C76071"/>
    <w:rsid w:val="12C7D8A3"/>
    <w:rsid w:val="12C8C634"/>
    <w:rsid w:val="12C8DC67"/>
    <w:rsid w:val="12C94A99"/>
    <w:rsid w:val="12CA50D9"/>
    <w:rsid w:val="12CA6D3F"/>
    <w:rsid w:val="12CAAD84"/>
    <w:rsid w:val="12CAD77E"/>
    <w:rsid w:val="12CB202C"/>
    <w:rsid w:val="12CB990C"/>
    <w:rsid w:val="12CBD460"/>
    <w:rsid w:val="12CC8106"/>
    <w:rsid w:val="12CC81A7"/>
    <w:rsid w:val="12CD9F6E"/>
    <w:rsid w:val="12CDBB75"/>
    <w:rsid w:val="12CDD008"/>
    <w:rsid w:val="12CDF981"/>
    <w:rsid w:val="12CF142A"/>
    <w:rsid w:val="12CF531A"/>
    <w:rsid w:val="12CF9B16"/>
    <w:rsid w:val="12D02350"/>
    <w:rsid w:val="12D05CB5"/>
    <w:rsid w:val="12D0C644"/>
    <w:rsid w:val="12D10CF9"/>
    <w:rsid w:val="12D12244"/>
    <w:rsid w:val="12D1466A"/>
    <w:rsid w:val="12D16D80"/>
    <w:rsid w:val="12D1AC51"/>
    <w:rsid w:val="12D1E7DE"/>
    <w:rsid w:val="12D2E0C4"/>
    <w:rsid w:val="12D30492"/>
    <w:rsid w:val="12D30A17"/>
    <w:rsid w:val="12D32376"/>
    <w:rsid w:val="12D39EF2"/>
    <w:rsid w:val="12D3BEE7"/>
    <w:rsid w:val="12D4DAF5"/>
    <w:rsid w:val="12D6939A"/>
    <w:rsid w:val="12D697DD"/>
    <w:rsid w:val="12D6E3C4"/>
    <w:rsid w:val="12D6FF1F"/>
    <w:rsid w:val="12D70C90"/>
    <w:rsid w:val="12D7451A"/>
    <w:rsid w:val="12D755EF"/>
    <w:rsid w:val="12D7FE8A"/>
    <w:rsid w:val="12D83D04"/>
    <w:rsid w:val="12D87A17"/>
    <w:rsid w:val="12D9E05E"/>
    <w:rsid w:val="12DAA47A"/>
    <w:rsid w:val="12DAADE3"/>
    <w:rsid w:val="12DAD45B"/>
    <w:rsid w:val="12DB34CF"/>
    <w:rsid w:val="12DB3BFF"/>
    <w:rsid w:val="12DB98A6"/>
    <w:rsid w:val="12DBFDC2"/>
    <w:rsid w:val="12DCD2DD"/>
    <w:rsid w:val="12DD0AB6"/>
    <w:rsid w:val="12DD20F1"/>
    <w:rsid w:val="12DD3D22"/>
    <w:rsid w:val="12DD47EE"/>
    <w:rsid w:val="12DD8A0D"/>
    <w:rsid w:val="12DD8B9E"/>
    <w:rsid w:val="12DDC9A6"/>
    <w:rsid w:val="12DDECF3"/>
    <w:rsid w:val="12DE30E0"/>
    <w:rsid w:val="12DFD100"/>
    <w:rsid w:val="12E0D442"/>
    <w:rsid w:val="12E0D4D0"/>
    <w:rsid w:val="12E0D503"/>
    <w:rsid w:val="12E0FB83"/>
    <w:rsid w:val="12E10365"/>
    <w:rsid w:val="12E114B3"/>
    <w:rsid w:val="12E1171F"/>
    <w:rsid w:val="12E1282E"/>
    <w:rsid w:val="12E1C749"/>
    <w:rsid w:val="12E351AC"/>
    <w:rsid w:val="12E378F9"/>
    <w:rsid w:val="12E3BACE"/>
    <w:rsid w:val="12E3C463"/>
    <w:rsid w:val="12E3C73D"/>
    <w:rsid w:val="12E3DECB"/>
    <w:rsid w:val="12E3E42F"/>
    <w:rsid w:val="12E55763"/>
    <w:rsid w:val="12E5D4D9"/>
    <w:rsid w:val="12E65C34"/>
    <w:rsid w:val="12E6A28B"/>
    <w:rsid w:val="12E7703E"/>
    <w:rsid w:val="12E81130"/>
    <w:rsid w:val="12E815A5"/>
    <w:rsid w:val="12E820AF"/>
    <w:rsid w:val="12E8C468"/>
    <w:rsid w:val="12E92046"/>
    <w:rsid w:val="12E929CC"/>
    <w:rsid w:val="12E959C0"/>
    <w:rsid w:val="12E9B517"/>
    <w:rsid w:val="12E9C988"/>
    <w:rsid w:val="12EA2A71"/>
    <w:rsid w:val="12EA7EC7"/>
    <w:rsid w:val="12EA9FAC"/>
    <w:rsid w:val="12EB943D"/>
    <w:rsid w:val="12EC1A75"/>
    <w:rsid w:val="12EEB846"/>
    <w:rsid w:val="12EEF080"/>
    <w:rsid w:val="12EF3593"/>
    <w:rsid w:val="12EFFDAA"/>
    <w:rsid w:val="12F027D7"/>
    <w:rsid w:val="12F0A41A"/>
    <w:rsid w:val="12F16EC4"/>
    <w:rsid w:val="12F26E2A"/>
    <w:rsid w:val="12F2DDE5"/>
    <w:rsid w:val="12F49197"/>
    <w:rsid w:val="12F4B6A6"/>
    <w:rsid w:val="12F4C4EA"/>
    <w:rsid w:val="12F50EF2"/>
    <w:rsid w:val="12F63BA7"/>
    <w:rsid w:val="12F64F11"/>
    <w:rsid w:val="12F6F2EC"/>
    <w:rsid w:val="12F77E60"/>
    <w:rsid w:val="12F78436"/>
    <w:rsid w:val="12F7A25E"/>
    <w:rsid w:val="12F7BB8E"/>
    <w:rsid w:val="12F7E63F"/>
    <w:rsid w:val="12F8993A"/>
    <w:rsid w:val="12F95CBE"/>
    <w:rsid w:val="12FA4B1A"/>
    <w:rsid w:val="12FAB5B9"/>
    <w:rsid w:val="12FB8012"/>
    <w:rsid w:val="12FB86FB"/>
    <w:rsid w:val="12FB94A8"/>
    <w:rsid w:val="12FBCF33"/>
    <w:rsid w:val="12FBDEF4"/>
    <w:rsid w:val="12FC394A"/>
    <w:rsid w:val="12FC7A81"/>
    <w:rsid w:val="12FC9524"/>
    <w:rsid w:val="12FE8D58"/>
    <w:rsid w:val="12FF0050"/>
    <w:rsid w:val="12FF0459"/>
    <w:rsid w:val="12FF2A5C"/>
    <w:rsid w:val="13011577"/>
    <w:rsid w:val="1301C6BE"/>
    <w:rsid w:val="13023FBA"/>
    <w:rsid w:val="13026C1E"/>
    <w:rsid w:val="130271DF"/>
    <w:rsid w:val="130289F5"/>
    <w:rsid w:val="1302E0B8"/>
    <w:rsid w:val="1302EE38"/>
    <w:rsid w:val="130330D8"/>
    <w:rsid w:val="130479DA"/>
    <w:rsid w:val="1304D1C6"/>
    <w:rsid w:val="13084D97"/>
    <w:rsid w:val="13091057"/>
    <w:rsid w:val="13096E28"/>
    <w:rsid w:val="1309AAC6"/>
    <w:rsid w:val="1309C142"/>
    <w:rsid w:val="130A0395"/>
    <w:rsid w:val="130B117A"/>
    <w:rsid w:val="130B9287"/>
    <w:rsid w:val="130BAAC6"/>
    <w:rsid w:val="130BCDF4"/>
    <w:rsid w:val="130C598B"/>
    <w:rsid w:val="130CF449"/>
    <w:rsid w:val="130CFBB8"/>
    <w:rsid w:val="130DA0D0"/>
    <w:rsid w:val="130DD366"/>
    <w:rsid w:val="130E36B3"/>
    <w:rsid w:val="130FCC54"/>
    <w:rsid w:val="130FF9D5"/>
    <w:rsid w:val="13104342"/>
    <w:rsid w:val="13104A63"/>
    <w:rsid w:val="1310ED7A"/>
    <w:rsid w:val="1310F691"/>
    <w:rsid w:val="13115E2F"/>
    <w:rsid w:val="1311D5B6"/>
    <w:rsid w:val="13132565"/>
    <w:rsid w:val="13133808"/>
    <w:rsid w:val="1313575C"/>
    <w:rsid w:val="131358F3"/>
    <w:rsid w:val="1313CF52"/>
    <w:rsid w:val="131488AF"/>
    <w:rsid w:val="1314C760"/>
    <w:rsid w:val="1314EE0C"/>
    <w:rsid w:val="1314FEE9"/>
    <w:rsid w:val="13151D19"/>
    <w:rsid w:val="1315318C"/>
    <w:rsid w:val="131657F3"/>
    <w:rsid w:val="13166E43"/>
    <w:rsid w:val="1317181F"/>
    <w:rsid w:val="13174136"/>
    <w:rsid w:val="13175FB2"/>
    <w:rsid w:val="13183A1B"/>
    <w:rsid w:val="13183D70"/>
    <w:rsid w:val="131A5B7E"/>
    <w:rsid w:val="131AC1F9"/>
    <w:rsid w:val="131AD7E4"/>
    <w:rsid w:val="131B1D6A"/>
    <w:rsid w:val="131C3E67"/>
    <w:rsid w:val="131D5F0C"/>
    <w:rsid w:val="131DF976"/>
    <w:rsid w:val="131E99BD"/>
    <w:rsid w:val="131E9A61"/>
    <w:rsid w:val="131EAA30"/>
    <w:rsid w:val="131F73A3"/>
    <w:rsid w:val="131F8AF5"/>
    <w:rsid w:val="131FDE1B"/>
    <w:rsid w:val="13213998"/>
    <w:rsid w:val="132158F1"/>
    <w:rsid w:val="13216964"/>
    <w:rsid w:val="13228982"/>
    <w:rsid w:val="132414C6"/>
    <w:rsid w:val="1324B09B"/>
    <w:rsid w:val="1325208B"/>
    <w:rsid w:val="13267C21"/>
    <w:rsid w:val="13268BAE"/>
    <w:rsid w:val="13271028"/>
    <w:rsid w:val="132798FB"/>
    <w:rsid w:val="1327A0C3"/>
    <w:rsid w:val="1327EC4A"/>
    <w:rsid w:val="13283B9E"/>
    <w:rsid w:val="1328514C"/>
    <w:rsid w:val="1329354E"/>
    <w:rsid w:val="13294224"/>
    <w:rsid w:val="1329DD7B"/>
    <w:rsid w:val="1329E6B9"/>
    <w:rsid w:val="132B39E5"/>
    <w:rsid w:val="132BCBA7"/>
    <w:rsid w:val="132C061C"/>
    <w:rsid w:val="132CDB63"/>
    <w:rsid w:val="132CF48C"/>
    <w:rsid w:val="132D50D7"/>
    <w:rsid w:val="132D8C9C"/>
    <w:rsid w:val="132D973F"/>
    <w:rsid w:val="132F0781"/>
    <w:rsid w:val="1330B9F5"/>
    <w:rsid w:val="13310C3B"/>
    <w:rsid w:val="13314621"/>
    <w:rsid w:val="1331FEB8"/>
    <w:rsid w:val="1332D57D"/>
    <w:rsid w:val="1332E189"/>
    <w:rsid w:val="13347D2A"/>
    <w:rsid w:val="133537B2"/>
    <w:rsid w:val="1335447B"/>
    <w:rsid w:val="1335ECE8"/>
    <w:rsid w:val="1336E237"/>
    <w:rsid w:val="1336F769"/>
    <w:rsid w:val="133757BE"/>
    <w:rsid w:val="13376155"/>
    <w:rsid w:val="1337B2CE"/>
    <w:rsid w:val="1337E655"/>
    <w:rsid w:val="133804EE"/>
    <w:rsid w:val="133838F7"/>
    <w:rsid w:val="13387AE2"/>
    <w:rsid w:val="13390E37"/>
    <w:rsid w:val="13393C67"/>
    <w:rsid w:val="13396203"/>
    <w:rsid w:val="133BB897"/>
    <w:rsid w:val="133C1DDE"/>
    <w:rsid w:val="133C22C1"/>
    <w:rsid w:val="133C5933"/>
    <w:rsid w:val="133D0896"/>
    <w:rsid w:val="133D139D"/>
    <w:rsid w:val="133F2BF9"/>
    <w:rsid w:val="133F97F0"/>
    <w:rsid w:val="133FCEA7"/>
    <w:rsid w:val="1340E35A"/>
    <w:rsid w:val="134146F1"/>
    <w:rsid w:val="1341C470"/>
    <w:rsid w:val="13425378"/>
    <w:rsid w:val="13430945"/>
    <w:rsid w:val="13434394"/>
    <w:rsid w:val="13435C7C"/>
    <w:rsid w:val="1343AA86"/>
    <w:rsid w:val="1343ABE2"/>
    <w:rsid w:val="1343AC77"/>
    <w:rsid w:val="1343B88A"/>
    <w:rsid w:val="13445762"/>
    <w:rsid w:val="134485CF"/>
    <w:rsid w:val="13455953"/>
    <w:rsid w:val="1345830A"/>
    <w:rsid w:val="1345B9DB"/>
    <w:rsid w:val="1345DA5D"/>
    <w:rsid w:val="134609F7"/>
    <w:rsid w:val="13464E88"/>
    <w:rsid w:val="13466AF1"/>
    <w:rsid w:val="1346E898"/>
    <w:rsid w:val="13470D73"/>
    <w:rsid w:val="13474ACB"/>
    <w:rsid w:val="134751AC"/>
    <w:rsid w:val="13478655"/>
    <w:rsid w:val="134843ED"/>
    <w:rsid w:val="13487A6E"/>
    <w:rsid w:val="134881F9"/>
    <w:rsid w:val="1349F0EE"/>
    <w:rsid w:val="134A0104"/>
    <w:rsid w:val="134A46E0"/>
    <w:rsid w:val="134A96F2"/>
    <w:rsid w:val="134AC532"/>
    <w:rsid w:val="134B9B71"/>
    <w:rsid w:val="134CA086"/>
    <w:rsid w:val="134D21BA"/>
    <w:rsid w:val="134D4E99"/>
    <w:rsid w:val="134D5B4E"/>
    <w:rsid w:val="134DB69A"/>
    <w:rsid w:val="134DB9A6"/>
    <w:rsid w:val="134DBA07"/>
    <w:rsid w:val="134E6A0C"/>
    <w:rsid w:val="134E8410"/>
    <w:rsid w:val="134ED355"/>
    <w:rsid w:val="134F3064"/>
    <w:rsid w:val="134F813E"/>
    <w:rsid w:val="13507A64"/>
    <w:rsid w:val="13509C90"/>
    <w:rsid w:val="1350E099"/>
    <w:rsid w:val="135184AC"/>
    <w:rsid w:val="1352DA3A"/>
    <w:rsid w:val="1353ADD8"/>
    <w:rsid w:val="1353BFF9"/>
    <w:rsid w:val="135405C8"/>
    <w:rsid w:val="135455C2"/>
    <w:rsid w:val="13549CED"/>
    <w:rsid w:val="1354D9F9"/>
    <w:rsid w:val="1354FF9C"/>
    <w:rsid w:val="135561AD"/>
    <w:rsid w:val="1355E1CD"/>
    <w:rsid w:val="13573626"/>
    <w:rsid w:val="1358D719"/>
    <w:rsid w:val="135975B2"/>
    <w:rsid w:val="1359C3DF"/>
    <w:rsid w:val="1359F06E"/>
    <w:rsid w:val="135A5800"/>
    <w:rsid w:val="135A620B"/>
    <w:rsid w:val="135AF7DA"/>
    <w:rsid w:val="135BE5CC"/>
    <w:rsid w:val="135C3FA1"/>
    <w:rsid w:val="135C7CC2"/>
    <w:rsid w:val="135C9289"/>
    <w:rsid w:val="135C9700"/>
    <w:rsid w:val="135D1D97"/>
    <w:rsid w:val="135D1F13"/>
    <w:rsid w:val="135D3220"/>
    <w:rsid w:val="135D5AE6"/>
    <w:rsid w:val="135DD21B"/>
    <w:rsid w:val="135DD991"/>
    <w:rsid w:val="135E96D4"/>
    <w:rsid w:val="135F5F69"/>
    <w:rsid w:val="135F6C85"/>
    <w:rsid w:val="135FB41C"/>
    <w:rsid w:val="135FDC21"/>
    <w:rsid w:val="13606244"/>
    <w:rsid w:val="13613134"/>
    <w:rsid w:val="136170D8"/>
    <w:rsid w:val="1361AB81"/>
    <w:rsid w:val="1361F5C7"/>
    <w:rsid w:val="13621066"/>
    <w:rsid w:val="13629BF2"/>
    <w:rsid w:val="13635B45"/>
    <w:rsid w:val="13639F9B"/>
    <w:rsid w:val="1363C5E5"/>
    <w:rsid w:val="13641E8D"/>
    <w:rsid w:val="13647E04"/>
    <w:rsid w:val="1364EDC3"/>
    <w:rsid w:val="13650DED"/>
    <w:rsid w:val="136517D5"/>
    <w:rsid w:val="13655463"/>
    <w:rsid w:val="13662109"/>
    <w:rsid w:val="1366F1A4"/>
    <w:rsid w:val="136770D4"/>
    <w:rsid w:val="13679B20"/>
    <w:rsid w:val="1368DDDB"/>
    <w:rsid w:val="136925C7"/>
    <w:rsid w:val="136958F7"/>
    <w:rsid w:val="1369A6B6"/>
    <w:rsid w:val="136AA098"/>
    <w:rsid w:val="136AB603"/>
    <w:rsid w:val="136B8237"/>
    <w:rsid w:val="136BE405"/>
    <w:rsid w:val="136C0A76"/>
    <w:rsid w:val="136C3552"/>
    <w:rsid w:val="136CAFF6"/>
    <w:rsid w:val="136D115C"/>
    <w:rsid w:val="136DEBDB"/>
    <w:rsid w:val="13705127"/>
    <w:rsid w:val="137052BE"/>
    <w:rsid w:val="13714384"/>
    <w:rsid w:val="137150A0"/>
    <w:rsid w:val="13718E7C"/>
    <w:rsid w:val="1371C939"/>
    <w:rsid w:val="1371DF46"/>
    <w:rsid w:val="1371E8BE"/>
    <w:rsid w:val="13744280"/>
    <w:rsid w:val="13747729"/>
    <w:rsid w:val="1374ABC2"/>
    <w:rsid w:val="137567E3"/>
    <w:rsid w:val="1375A832"/>
    <w:rsid w:val="1375DA90"/>
    <w:rsid w:val="13765E72"/>
    <w:rsid w:val="1376A949"/>
    <w:rsid w:val="1376D11F"/>
    <w:rsid w:val="13785B3F"/>
    <w:rsid w:val="1378875B"/>
    <w:rsid w:val="13793F06"/>
    <w:rsid w:val="1379B226"/>
    <w:rsid w:val="1379E70C"/>
    <w:rsid w:val="1379EE7E"/>
    <w:rsid w:val="1379F001"/>
    <w:rsid w:val="137A4732"/>
    <w:rsid w:val="137A9A07"/>
    <w:rsid w:val="137AB36F"/>
    <w:rsid w:val="137B3416"/>
    <w:rsid w:val="137B9BDF"/>
    <w:rsid w:val="137BEF4E"/>
    <w:rsid w:val="137C94DE"/>
    <w:rsid w:val="137CE76C"/>
    <w:rsid w:val="137D153D"/>
    <w:rsid w:val="137D1F21"/>
    <w:rsid w:val="137D699A"/>
    <w:rsid w:val="137DA309"/>
    <w:rsid w:val="137DB5F3"/>
    <w:rsid w:val="137DFF14"/>
    <w:rsid w:val="137EFA18"/>
    <w:rsid w:val="137F5398"/>
    <w:rsid w:val="137F5B29"/>
    <w:rsid w:val="137FE86C"/>
    <w:rsid w:val="13802736"/>
    <w:rsid w:val="13804BE5"/>
    <w:rsid w:val="13807FEF"/>
    <w:rsid w:val="1381386D"/>
    <w:rsid w:val="13815317"/>
    <w:rsid w:val="1381672F"/>
    <w:rsid w:val="1381754C"/>
    <w:rsid w:val="138223A2"/>
    <w:rsid w:val="1382D8CD"/>
    <w:rsid w:val="1382EBB6"/>
    <w:rsid w:val="138309E3"/>
    <w:rsid w:val="1383391C"/>
    <w:rsid w:val="13835F3E"/>
    <w:rsid w:val="1383636A"/>
    <w:rsid w:val="13838C65"/>
    <w:rsid w:val="1384D419"/>
    <w:rsid w:val="1384E3DC"/>
    <w:rsid w:val="1384F7F0"/>
    <w:rsid w:val="13851FCC"/>
    <w:rsid w:val="13853FA4"/>
    <w:rsid w:val="13855445"/>
    <w:rsid w:val="138582E5"/>
    <w:rsid w:val="138971B2"/>
    <w:rsid w:val="1389843A"/>
    <w:rsid w:val="1389ACD1"/>
    <w:rsid w:val="138A6356"/>
    <w:rsid w:val="138AC62E"/>
    <w:rsid w:val="138CA25B"/>
    <w:rsid w:val="138D6F5A"/>
    <w:rsid w:val="138D7F60"/>
    <w:rsid w:val="138DAEE2"/>
    <w:rsid w:val="138F1D11"/>
    <w:rsid w:val="138F5D87"/>
    <w:rsid w:val="138F7399"/>
    <w:rsid w:val="1390650E"/>
    <w:rsid w:val="13907A40"/>
    <w:rsid w:val="1390BB44"/>
    <w:rsid w:val="1390C2C6"/>
    <w:rsid w:val="1390C581"/>
    <w:rsid w:val="1390D833"/>
    <w:rsid w:val="1390E45B"/>
    <w:rsid w:val="1391281A"/>
    <w:rsid w:val="139143B7"/>
    <w:rsid w:val="13930EE1"/>
    <w:rsid w:val="13948A8E"/>
    <w:rsid w:val="13960C22"/>
    <w:rsid w:val="13961496"/>
    <w:rsid w:val="139614BC"/>
    <w:rsid w:val="1398FE00"/>
    <w:rsid w:val="13991804"/>
    <w:rsid w:val="13991AF7"/>
    <w:rsid w:val="139A48F3"/>
    <w:rsid w:val="139A80DA"/>
    <w:rsid w:val="139BEFD8"/>
    <w:rsid w:val="139CA855"/>
    <w:rsid w:val="139CEDFB"/>
    <w:rsid w:val="139D3D1D"/>
    <w:rsid w:val="139D3F14"/>
    <w:rsid w:val="139D7ADA"/>
    <w:rsid w:val="139D9A6B"/>
    <w:rsid w:val="139DD528"/>
    <w:rsid w:val="139DF025"/>
    <w:rsid w:val="139E4EBB"/>
    <w:rsid w:val="139E80D9"/>
    <w:rsid w:val="139F4331"/>
    <w:rsid w:val="139FD69A"/>
    <w:rsid w:val="13A0217F"/>
    <w:rsid w:val="13A1D0BE"/>
    <w:rsid w:val="13A3A2F3"/>
    <w:rsid w:val="13A4090F"/>
    <w:rsid w:val="13A438B4"/>
    <w:rsid w:val="13A448AC"/>
    <w:rsid w:val="13A54E1A"/>
    <w:rsid w:val="13A5768C"/>
    <w:rsid w:val="13A63182"/>
    <w:rsid w:val="13A6768E"/>
    <w:rsid w:val="13A7ACDC"/>
    <w:rsid w:val="13A7DB52"/>
    <w:rsid w:val="13A8CFFF"/>
    <w:rsid w:val="13A96BFE"/>
    <w:rsid w:val="13A9E465"/>
    <w:rsid w:val="13AB2B30"/>
    <w:rsid w:val="13ACCA61"/>
    <w:rsid w:val="13ACD185"/>
    <w:rsid w:val="13ADB502"/>
    <w:rsid w:val="13ADD582"/>
    <w:rsid w:val="13AE19C6"/>
    <w:rsid w:val="13AEBEFB"/>
    <w:rsid w:val="13AF4DF5"/>
    <w:rsid w:val="13AFA40D"/>
    <w:rsid w:val="13B021FD"/>
    <w:rsid w:val="13B0AB41"/>
    <w:rsid w:val="13B0B9EE"/>
    <w:rsid w:val="13B0F39D"/>
    <w:rsid w:val="13B13C21"/>
    <w:rsid w:val="13B24EBE"/>
    <w:rsid w:val="13B271F1"/>
    <w:rsid w:val="13B2E79A"/>
    <w:rsid w:val="13B37D38"/>
    <w:rsid w:val="13B39EE2"/>
    <w:rsid w:val="13B3A593"/>
    <w:rsid w:val="13B3CE77"/>
    <w:rsid w:val="13B40C32"/>
    <w:rsid w:val="13B54BEE"/>
    <w:rsid w:val="13B5C65F"/>
    <w:rsid w:val="13B65E96"/>
    <w:rsid w:val="13B704C2"/>
    <w:rsid w:val="13B7882E"/>
    <w:rsid w:val="13B7AB34"/>
    <w:rsid w:val="13B894F3"/>
    <w:rsid w:val="13B8A3FE"/>
    <w:rsid w:val="13BC765B"/>
    <w:rsid w:val="13BC783D"/>
    <w:rsid w:val="13BCA431"/>
    <w:rsid w:val="13BD52A9"/>
    <w:rsid w:val="13BDE06A"/>
    <w:rsid w:val="13BDE40A"/>
    <w:rsid w:val="13BDE877"/>
    <w:rsid w:val="13BF06F9"/>
    <w:rsid w:val="13BF281F"/>
    <w:rsid w:val="13BF4F5E"/>
    <w:rsid w:val="13BF8E55"/>
    <w:rsid w:val="13BFA5A7"/>
    <w:rsid w:val="13BFEA6F"/>
    <w:rsid w:val="13C0F60D"/>
    <w:rsid w:val="13C14265"/>
    <w:rsid w:val="13C17BF6"/>
    <w:rsid w:val="13C24958"/>
    <w:rsid w:val="13C261EA"/>
    <w:rsid w:val="13C2D82E"/>
    <w:rsid w:val="13C2DB9A"/>
    <w:rsid w:val="13C566CB"/>
    <w:rsid w:val="13C8D737"/>
    <w:rsid w:val="13C93AF3"/>
    <w:rsid w:val="13C9F7E9"/>
    <w:rsid w:val="13CAACCC"/>
    <w:rsid w:val="13CAC56A"/>
    <w:rsid w:val="13CCDEC3"/>
    <w:rsid w:val="13CD0443"/>
    <w:rsid w:val="13CE6AD0"/>
    <w:rsid w:val="13CE7BCF"/>
    <w:rsid w:val="13CF9A9B"/>
    <w:rsid w:val="13D0CAD4"/>
    <w:rsid w:val="13D0D629"/>
    <w:rsid w:val="13D18E21"/>
    <w:rsid w:val="13D20AA6"/>
    <w:rsid w:val="13D20B02"/>
    <w:rsid w:val="13D27120"/>
    <w:rsid w:val="13D286FA"/>
    <w:rsid w:val="13D388C1"/>
    <w:rsid w:val="13D40D7B"/>
    <w:rsid w:val="13D4A31B"/>
    <w:rsid w:val="13D597B5"/>
    <w:rsid w:val="13D5BBDF"/>
    <w:rsid w:val="13D5CBE9"/>
    <w:rsid w:val="13D5EA83"/>
    <w:rsid w:val="13D603D8"/>
    <w:rsid w:val="13D64B32"/>
    <w:rsid w:val="13D6A471"/>
    <w:rsid w:val="13D705FA"/>
    <w:rsid w:val="13D76327"/>
    <w:rsid w:val="13D771EF"/>
    <w:rsid w:val="13D7ABD4"/>
    <w:rsid w:val="13D7BB52"/>
    <w:rsid w:val="13D7CD87"/>
    <w:rsid w:val="13D7E640"/>
    <w:rsid w:val="13D7F7E6"/>
    <w:rsid w:val="13D8D5E9"/>
    <w:rsid w:val="13D9B1FA"/>
    <w:rsid w:val="13D9E85A"/>
    <w:rsid w:val="13D9E901"/>
    <w:rsid w:val="13D9F261"/>
    <w:rsid w:val="13DA05C2"/>
    <w:rsid w:val="13DA17A3"/>
    <w:rsid w:val="13DACDBD"/>
    <w:rsid w:val="13DB2B56"/>
    <w:rsid w:val="13DB9D4E"/>
    <w:rsid w:val="13DC2A80"/>
    <w:rsid w:val="13DCFAA9"/>
    <w:rsid w:val="13DDFA11"/>
    <w:rsid w:val="13DEDF58"/>
    <w:rsid w:val="13E08BC4"/>
    <w:rsid w:val="13E11191"/>
    <w:rsid w:val="13E16F3A"/>
    <w:rsid w:val="13E17735"/>
    <w:rsid w:val="13E219D0"/>
    <w:rsid w:val="13E2FE70"/>
    <w:rsid w:val="13E3789D"/>
    <w:rsid w:val="13E37F7D"/>
    <w:rsid w:val="13E486F2"/>
    <w:rsid w:val="13E559B1"/>
    <w:rsid w:val="13E59957"/>
    <w:rsid w:val="13E5A7F6"/>
    <w:rsid w:val="13E5E5F1"/>
    <w:rsid w:val="13E607BA"/>
    <w:rsid w:val="13E6FC62"/>
    <w:rsid w:val="13E76F97"/>
    <w:rsid w:val="13E7C7B6"/>
    <w:rsid w:val="13E9B055"/>
    <w:rsid w:val="13EBEAF7"/>
    <w:rsid w:val="13EC59F6"/>
    <w:rsid w:val="13EC71F4"/>
    <w:rsid w:val="13ED61B8"/>
    <w:rsid w:val="13EDA7DD"/>
    <w:rsid w:val="13EE8588"/>
    <w:rsid w:val="13EEAD96"/>
    <w:rsid w:val="13EF721A"/>
    <w:rsid w:val="13EFB135"/>
    <w:rsid w:val="13F01DBE"/>
    <w:rsid w:val="13F057EA"/>
    <w:rsid w:val="13F0787E"/>
    <w:rsid w:val="13F089B6"/>
    <w:rsid w:val="13F10293"/>
    <w:rsid w:val="13F19851"/>
    <w:rsid w:val="13F1F575"/>
    <w:rsid w:val="13F203DA"/>
    <w:rsid w:val="13F24E25"/>
    <w:rsid w:val="13F2F309"/>
    <w:rsid w:val="13F45C17"/>
    <w:rsid w:val="13F466BF"/>
    <w:rsid w:val="13F4C5D6"/>
    <w:rsid w:val="13F5109D"/>
    <w:rsid w:val="13F78DD0"/>
    <w:rsid w:val="13F7AC28"/>
    <w:rsid w:val="13F901C7"/>
    <w:rsid w:val="13F9611E"/>
    <w:rsid w:val="13F9BE28"/>
    <w:rsid w:val="13F9FCCD"/>
    <w:rsid w:val="13FBB3DA"/>
    <w:rsid w:val="13FBDBA4"/>
    <w:rsid w:val="13FBE55E"/>
    <w:rsid w:val="13FC664F"/>
    <w:rsid w:val="13FD4183"/>
    <w:rsid w:val="13FDCAB7"/>
    <w:rsid w:val="13FECE6F"/>
    <w:rsid w:val="13FED8FA"/>
    <w:rsid w:val="13FF0FC8"/>
    <w:rsid w:val="13FFA980"/>
    <w:rsid w:val="13FFECF5"/>
    <w:rsid w:val="14014330"/>
    <w:rsid w:val="14022788"/>
    <w:rsid w:val="14024F10"/>
    <w:rsid w:val="1402A43F"/>
    <w:rsid w:val="1402BA5C"/>
    <w:rsid w:val="1402DA9A"/>
    <w:rsid w:val="14030D7C"/>
    <w:rsid w:val="140315DB"/>
    <w:rsid w:val="140341DF"/>
    <w:rsid w:val="1403B13B"/>
    <w:rsid w:val="140561B1"/>
    <w:rsid w:val="14057D7C"/>
    <w:rsid w:val="1405B1C2"/>
    <w:rsid w:val="14068799"/>
    <w:rsid w:val="14068A2E"/>
    <w:rsid w:val="1406DEDE"/>
    <w:rsid w:val="140700B7"/>
    <w:rsid w:val="14079BE8"/>
    <w:rsid w:val="1407F168"/>
    <w:rsid w:val="1407F209"/>
    <w:rsid w:val="1408EDBA"/>
    <w:rsid w:val="14090382"/>
    <w:rsid w:val="140937C9"/>
    <w:rsid w:val="140956A9"/>
    <w:rsid w:val="140965C9"/>
    <w:rsid w:val="14097351"/>
    <w:rsid w:val="140990F4"/>
    <w:rsid w:val="1409FE8F"/>
    <w:rsid w:val="140A0EA1"/>
    <w:rsid w:val="140A849B"/>
    <w:rsid w:val="140AAEEE"/>
    <w:rsid w:val="140AD05D"/>
    <w:rsid w:val="140AD6C4"/>
    <w:rsid w:val="140B24FB"/>
    <w:rsid w:val="140B4B37"/>
    <w:rsid w:val="140B50A8"/>
    <w:rsid w:val="140BB598"/>
    <w:rsid w:val="140BD3B7"/>
    <w:rsid w:val="140C774F"/>
    <w:rsid w:val="140CF621"/>
    <w:rsid w:val="140D0888"/>
    <w:rsid w:val="140DA544"/>
    <w:rsid w:val="140FE2B3"/>
    <w:rsid w:val="14103DEC"/>
    <w:rsid w:val="141158B8"/>
    <w:rsid w:val="14117B10"/>
    <w:rsid w:val="14127767"/>
    <w:rsid w:val="14127826"/>
    <w:rsid w:val="14133071"/>
    <w:rsid w:val="1413C07C"/>
    <w:rsid w:val="1413D058"/>
    <w:rsid w:val="1414630F"/>
    <w:rsid w:val="14152192"/>
    <w:rsid w:val="141681B6"/>
    <w:rsid w:val="141787C0"/>
    <w:rsid w:val="14190D23"/>
    <w:rsid w:val="14194F09"/>
    <w:rsid w:val="1419817E"/>
    <w:rsid w:val="141A293B"/>
    <w:rsid w:val="141A2A75"/>
    <w:rsid w:val="141A82FE"/>
    <w:rsid w:val="141AABD5"/>
    <w:rsid w:val="141B2C27"/>
    <w:rsid w:val="141C4B69"/>
    <w:rsid w:val="141CB5C3"/>
    <w:rsid w:val="141CC0A2"/>
    <w:rsid w:val="141D6591"/>
    <w:rsid w:val="141D8FE9"/>
    <w:rsid w:val="141E2889"/>
    <w:rsid w:val="141ED4F3"/>
    <w:rsid w:val="14200C9C"/>
    <w:rsid w:val="14201CFA"/>
    <w:rsid w:val="14203473"/>
    <w:rsid w:val="1420735D"/>
    <w:rsid w:val="142084B4"/>
    <w:rsid w:val="14209190"/>
    <w:rsid w:val="14217381"/>
    <w:rsid w:val="1421FB10"/>
    <w:rsid w:val="14221A68"/>
    <w:rsid w:val="14224875"/>
    <w:rsid w:val="1422744E"/>
    <w:rsid w:val="1422B67B"/>
    <w:rsid w:val="1423E7A0"/>
    <w:rsid w:val="142410B5"/>
    <w:rsid w:val="1424534B"/>
    <w:rsid w:val="1425A603"/>
    <w:rsid w:val="1426619F"/>
    <w:rsid w:val="1426D2C7"/>
    <w:rsid w:val="14283524"/>
    <w:rsid w:val="142ADF66"/>
    <w:rsid w:val="142CA176"/>
    <w:rsid w:val="142CAB77"/>
    <w:rsid w:val="142D5FC8"/>
    <w:rsid w:val="142DB492"/>
    <w:rsid w:val="142DDA63"/>
    <w:rsid w:val="142F40ED"/>
    <w:rsid w:val="14303130"/>
    <w:rsid w:val="14306549"/>
    <w:rsid w:val="1430C9A9"/>
    <w:rsid w:val="1430DE3D"/>
    <w:rsid w:val="143163B0"/>
    <w:rsid w:val="143205C4"/>
    <w:rsid w:val="1432A9EC"/>
    <w:rsid w:val="1432BFB0"/>
    <w:rsid w:val="1433801D"/>
    <w:rsid w:val="1433C21A"/>
    <w:rsid w:val="1433D911"/>
    <w:rsid w:val="14343C76"/>
    <w:rsid w:val="1434C8A8"/>
    <w:rsid w:val="1434F5C5"/>
    <w:rsid w:val="14353876"/>
    <w:rsid w:val="1435DD6C"/>
    <w:rsid w:val="143661F9"/>
    <w:rsid w:val="143709D2"/>
    <w:rsid w:val="1437F3C4"/>
    <w:rsid w:val="143875FB"/>
    <w:rsid w:val="1438FB22"/>
    <w:rsid w:val="14394048"/>
    <w:rsid w:val="1439A111"/>
    <w:rsid w:val="1439A927"/>
    <w:rsid w:val="1439CC37"/>
    <w:rsid w:val="143B33C7"/>
    <w:rsid w:val="143BD6B4"/>
    <w:rsid w:val="143C73A1"/>
    <w:rsid w:val="143D87BC"/>
    <w:rsid w:val="143DE4E1"/>
    <w:rsid w:val="143E15EE"/>
    <w:rsid w:val="143E46B3"/>
    <w:rsid w:val="143E55A6"/>
    <w:rsid w:val="143E763F"/>
    <w:rsid w:val="143EF49D"/>
    <w:rsid w:val="143F5E19"/>
    <w:rsid w:val="143FB2FA"/>
    <w:rsid w:val="14400C32"/>
    <w:rsid w:val="14405C21"/>
    <w:rsid w:val="14406F91"/>
    <w:rsid w:val="1440CC35"/>
    <w:rsid w:val="1440F585"/>
    <w:rsid w:val="14411A9F"/>
    <w:rsid w:val="14413642"/>
    <w:rsid w:val="144159FA"/>
    <w:rsid w:val="1441CF08"/>
    <w:rsid w:val="14426EB8"/>
    <w:rsid w:val="14438641"/>
    <w:rsid w:val="144427FE"/>
    <w:rsid w:val="14448570"/>
    <w:rsid w:val="14451818"/>
    <w:rsid w:val="1445328B"/>
    <w:rsid w:val="14454A0C"/>
    <w:rsid w:val="1445FAFE"/>
    <w:rsid w:val="14462E9C"/>
    <w:rsid w:val="14467962"/>
    <w:rsid w:val="1447E759"/>
    <w:rsid w:val="14487E4C"/>
    <w:rsid w:val="14492A01"/>
    <w:rsid w:val="14495EAA"/>
    <w:rsid w:val="1449B897"/>
    <w:rsid w:val="144A0B25"/>
    <w:rsid w:val="144A0F41"/>
    <w:rsid w:val="144A4EDE"/>
    <w:rsid w:val="144AEBAD"/>
    <w:rsid w:val="144C2BCA"/>
    <w:rsid w:val="144CBE8C"/>
    <w:rsid w:val="144CEA94"/>
    <w:rsid w:val="144D3AF2"/>
    <w:rsid w:val="144DC112"/>
    <w:rsid w:val="144DCAC0"/>
    <w:rsid w:val="144DD1BB"/>
    <w:rsid w:val="144E5585"/>
    <w:rsid w:val="144E7076"/>
    <w:rsid w:val="144F5F30"/>
    <w:rsid w:val="144F748F"/>
    <w:rsid w:val="1450C8B9"/>
    <w:rsid w:val="1451BA75"/>
    <w:rsid w:val="1451DBF2"/>
    <w:rsid w:val="14524CF3"/>
    <w:rsid w:val="14536E15"/>
    <w:rsid w:val="14540C06"/>
    <w:rsid w:val="1454C137"/>
    <w:rsid w:val="1454EAEC"/>
    <w:rsid w:val="14561EAB"/>
    <w:rsid w:val="1456881A"/>
    <w:rsid w:val="14569AFF"/>
    <w:rsid w:val="1457A582"/>
    <w:rsid w:val="14581E59"/>
    <w:rsid w:val="14582110"/>
    <w:rsid w:val="1458676B"/>
    <w:rsid w:val="14591A63"/>
    <w:rsid w:val="145A7A93"/>
    <w:rsid w:val="145A9DE7"/>
    <w:rsid w:val="145ABE24"/>
    <w:rsid w:val="145ACE05"/>
    <w:rsid w:val="145AD74C"/>
    <w:rsid w:val="145B01A4"/>
    <w:rsid w:val="145B2F45"/>
    <w:rsid w:val="145C4619"/>
    <w:rsid w:val="145C8933"/>
    <w:rsid w:val="145C9FFE"/>
    <w:rsid w:val="145D930D"/>
    <w:rsid w:val="145DAA17"/>
    <w:rsid w:val="145E3AD8"/>
    <w:rsid w:val="145E876C"/>
    <w:rsid w:val="145EA09E"/>
    <w:rsid w:val="145EA1F9"/>
    <w:rsid w:val="145EC846"/>
    <w:rsid w:val="145F0CA1"/>
    <w:rsid w:val="145F45A7"/>
    <w:rsid w:val="1460ACBD"/>
    <w:rsid w:val="14610D15"/>
    <w:rsid w:val="14612A61"/>
    <w:rsid w:val="14625172"/>
    <w:rsid w:val="1463E08E"/>
    <w:rsid w:val="1463F27F"/>
    <w:rsid w:val="14640759"/>
    <w:rsid w:val="1464AEBA"/>
    <w:rsid w:val="14662EDF"/>
    <w:rsid w:val="146814EB"/>
    <w:rsid w:val="146858E7"/>
    <w:rsid w:val="1468849C"/>
    <w:rsid w:val="1469C742"/>
    <w:rsid w:val="1469F6CE"/>
    <w:rsid w:val="146BD9E9"/>
    <w:rsid w:val="146D0566"/>
    <w:rsid w:val="146E9A4A"/>
    <w:rsid w:val="146EB1D3"/>
    <w:rsid w:val="146F47B9"/>
    <w:rsid w:val="146FCAF7"/>
    <w:rsid w:val="14704341"/>
    <w:rsid w:val="1470DA42"/>
    <w:rsid w:val="1471367B"/>
    <w:rsid w:val="1471C920"/>
    <w:rsid w:val="1472A8DA"/>
    <w:rsid w:val="1472C4E0"/>
    <w:rsid w:val="14731349"/>
    <w:rsid w:val="14732BB4"/>
    <w:rsid w:val="1473BA64"/>
    <w:rsid w:val="1474BDCE"/>
    <w:rsid w:val="1474D990"/>
    <w:rsid w:val="1474FB60"/>
    <w:rsid w:val="14761645"/>
    <w:rsid w:val="14766056"/>
    <w:rsid w:val="1476B6DF"/>
    <w:rsid w:val="1476B8B0"/>
    <w:rsid w:val="1476BBA9"/>
    <w:rsid w:val="1476D33D"/>
    <w:rsid w:val="14779424"/>
    <w:rsid w:val="147851A7"/>
    <w:rsid w:val="14787EB5"/>
    <w:rsid w:val="1478CF68"/>
    <w:rsid w:val="147A015A"/>
    <w:rsid w:val="147A1E53"/>
    <w:rsid w:val="147AB339"/>
    <w:rsid w:val="147B726E"/>
    <w:rsid w:val="147BEC25"/>
    <w:rsid w:val="147C554C"/>
    <w:rsid w:val="147C585B"/>
    <w:rsid w:val="147D63DC"/>
    <w:rsid w:val="147DC906"/>
    <w:rsid w:val="147DCF7F"/>
    <w:rsid w:val="147EA2E6"/>
    <w:rsid w:val="147F10EC"/>
    <w:rsid w:val="147F9848"/>
    <w:rsid w:val="147FBD24"/>
    <w:rsid w:val="147FFC32"/>
    <w:rsid w:val="14805D90"/>
    <w:rsid w:val="14807C9B"/>
    <w:rsid w:val="1480B33D"/>
    <w:rsid w:val="1480DD91"/>
    <w:rsid w:val="1481DF14"/>
    <w:rsid w:val="14820B34"/>
    <w:rsid w:val="14821784"/>
    <w:rsid w:val="14827BDF"/>
    <w:rsid w:val="1482A3EA"/>
    <w:rsid w:val="14831078"/>
    <w:rsid w:val="148480F4"/>
    <w:rsid w:val="1484FBCA"/>
    <w:rsid w:val="14850394"/>
    <w:rsid w:val="14851406"/>
    <w:rsid w:val="14851740"/>
    <w:rsid w:val="148534F1"/>
    <w:rsid w:val="1485DF36"/>
    <w:rsid w:val="148640FC"/>
    <w:rsid w:val="1486A461"/>
    <w:rsid w:val="1486C3CD"/>
    <w:rsid w:val="1488146E"/>
    <w:rsid w:val="1488A48A"/>
    <w:rsid w:val="1488F8E4"/>
    <w:rsid w:val="148A0D9B"/>
    <w:rsid w:val="148A2CF0"/>
    <w:rsid w:val="148A5A44"/>
    <w:rsid w:val="148A7F58"/>
    <w:rsid w:val="148A891D"/>
    <w:rsid w:val="148BF77A"/>
    <w:rsid w:val="148C13C4"/>
    <w:rsid w:val="148C6FEE"/>
    <w:rsid w:val="148C8D64"/>
    <w:rsid w:val="148D0409"/>
    <w:rsid w:val="148DA1F0"/>
    <w:rsid w:val="148E93F3"/>
    <w:rsid w:val="148E9482"/>
    <w:rsid w:val="148ED4C7"/>
    <w:rsid w:val="148ED6DA"/>
    <w:rsid w:val="148F769C"/>
    <w:rsid w:val="149012C2"/>
    <w:rsid w:val="1490316A"/>
    <w:rsid w:val="14906318"/>
    <w:rsid w:val="14910152"/>
    <w:rsid w:val="14911D7C"/>
    <w:rsid w:val="14912BD0"/>
    <w:rsid w:val="14924763"/>
    <w:rsid w:val="1492A86D"/>
    <w:rsid w:val="14930E16"/>
    <w:rsid w:val="14933EF5"/>
    <w:rsid w:val="1493DC5F"/>
    <w:rsid w:val="1494F22B"/>
    <w:rsid w:val="1494FF73"/>
    <w:rsid w:val="149513E5"/>
    <w:rsid w:val="14954D2C"/>
    <w:rsid w:val="1495BCAF"/>
    <w:rsid w:val="14960D06"/>
    <w:rsid w:val="149615D3"/>
    <w:rsid w:val="14964427"/>
    <w:rsid w:val="1496475E"/>
    <w:rsid w:val="14977ADF"/>
    <w:rsid w:val="1498A273"/>
    <w:rsid w:val="1498CF46"/>
    <w:rsid w:val="1499A6E9"/>
    <w:rsid w:val="149A46B5"/>
    <w:rsid w:val="149A70DC"/>
    <w:rsid w:val="149AD98F"/>
    <w:rsid w:val="149B06C2"/>
    <w:rsid w:val="149B37BC"/>
    <w:rsid w:val="149B5C44"/>
    <w:rsid w:val="149BF3A8"/>
    <w:rsid w:val="149C9EFB"/>
    <w:rsid w:val="149CF5A1"/>
    <w:rsid w:val="149DC8FD"/>
    <w:rsid w:val="149E977E"/>
    <w:rsid w:val="149EE2C7"/>
    <w:rsid w:val="149F0A2B"/>
    <w:rsid w:val="149F6FFD"/>
    <w:rsid w:val="14A01750"/>
    <w:rsid w:val="14A10855"/>
    <w:rsid w:val="14A24239"/>
    <w:rsid w:val="14A24892"/>
    <w:rsid w:val="14A24FA5"/>
    <w:rsid w:val="14A291C5"/>
    <w:rsid w:val="14A4116E"/>
    <w:rsid w:val="14A46A1C"/>
    <w:rsid w:val="14A4A25E"/>
    <w:rsid w:val="14A70B48"/>
    <w:rsid w:val="14A7275F"/>
    <w:rsid w:val="14A82E65"/>
    <w:rsid w:val="14A8C368"/>
    <w:rsid w:val="14A8F8A4"/>
    <w:rsid w:val="14A914DF"/>
    <w:rsid w:val="14A9FC3D"/>
    <w:rsid w:val="14AAFD32"/>
    <w:rsid w:val="14AB1FBC"/>
    <w:rsid w:val="14AB25DC"/>
    <w:rsid w:val="14AB4006"/>
    <w:rsid w:val="14AB7C80"/>
    <w:rsid w:val="14AC65C0"/>
    <w:rsid w:val="14AC9F2A"/>
    <w:rsid w:val="14ADEAD8"/>
    <w:rsid w:val="14AE0132"/>
    <w:rsid w:val="14AE61AD"/>
    <w:rsid w:val="14AF06DA"/>
    <w:rsid w:val="14AF7B91"/>
    <w:rsid w:val="14B01B8E"/>
    <w:rsid w:val="14B0697D"/>
    <w:rsid w:val="14B07C30"/>
    <w:rsid w:val="14B0B287"/>
    <w:rsid w:val="14B1C89A"/>
    <w:rsid w:val="14B2B557"/>
    <w:rsid w:val="14B321D8"/>
    <w:rsid w:val="14B36736"/>
    <w:rsid w:val="14B3908E"/>
    <w:rsid w:val="14B4508B"/>
    <w:rsid w:val="14B4B203"/>
    <w:rsid w:val="14B529CB"/>
    <w:rsid w:val="14B537DE"/>
    <w:rsid w:val="14B54490"/>
    <w:rsid w:val="14B5B935"/>
    <w:rsid w:val="14B5BB3C"/>
    <w:rsid w:val="14B60FBC"/>
    <w:rsid w:val="14B615C0"/>
    <w:rsid w:val="14B6E564"/>
    <w:rsid w:val="14B7393F"/>
    <w:rsid w:val="14B74D65"/>
    <w:rsid w:val="14B7C05C"/>
    <w:rsid w:val="14B9107F"/>
    <w:rsid w:val="14B9A737"/>
    <w:rsid w:val="14B9F8B3"/>
    <w:rsid w:val="14BA74B0"/>
    <w:rsid w:val="14BA930D"/>
    <w:rsid w:val="14BA9E59"/>
    <w:rsid w:val="14BAE447"/>
    <w:rsid w:val="14BBAB49"/>
    <w:rsid w:val="14BBDAF8"/>
    <w:rsid w:val="14BF0FA9"/>
    <w:rsid w:val="14BFAA72"/>
    <w:rsid w:val="14BFE228"/>
    <w:rsid w:val="14BFED8F"/>
    <w:rsid w:val="14C017AB"/>
    <w:rsid w:val="14C10DD1"/>
    <w:rsid w:val="14C12808"/>
    <w:rsid w:val="14C14CB6"/>
    <w:rsid w:val="14C1CC71"/>
    <w:rsid w:val="14C24AE0"/>
    <w:rsid w:val="14C339E7"/>
    <w:rsid w:val="14C342A4"/>
    <w:rsid w:val="14C349FE"/>
    <w:rsid w:val="14C38DA9"/>
    <w:rsid w:val="14C5216A"/>
    <w:rsid w:val="14C6B35F"/>
    <w:rsid w:val="14C6D6F3"/>
    <w:rsid w:val="14C6E807"/>
    <w:rsid w:val="14C754F6"/>
    <w:rsid w:val="14C83A4A"/>
    <w:rsid w:val="14C8956C"/>
    <w:rsid w:val="14C896DE"/>
    <w:rsid w:val="14C9CCA8"/>
    <w:rsid w:val="14C9F1ED"/>
    <w:rsid w:val="14CAF884"/>
    <w:rsid w:val="14CB49DB"/>
    <w:rsid w:val="14CB6408"/>
    <w:rsid w:val="14CB9D00"/>
    <w:rsid w:val="14CD1C7C"/>
    <w:rsid w:val="14CD2801"/>
    <w:rsid w:val="14CDE28E"/>
    <w:rsid w:val="14CE07D3"/>
    <w:rsid w:val="14CE16C2"/>
    <w:rsid w:val="14CF0417"/>
    <w:rsid w:val="14CF3C84"/>
    <w:rsid w:val="14CFE4E5"/>
    <w:rsid w:val="14D00CA7"/>
    <w:rsid w:val="14D17BF0"/>
    <w:rsid w:val="14D17BF6"/>
    <w:rsid w:val="14D230EF"/>
    <w:rsid w:val="14D237B9"/>
    <w:rsid w:val="14D2EBE5"/>
    <w:rsid w:val="14D32211"/>
    <w:rsid w:val="14D3565B"/>
    <w:rsid w:val="14D43998"/>
    <w:rsid w:val="14D47535"/>
    <w:rsid w:val="14D58326"/>
    <w:rsid w:val="14D73F1C"/>
    <w:rsid w:val="14D76A0C"/>
    <w:rsid w:val="14D86A63"/>
    <w:rsid w:val="14D95BFF"/>
    <w:rsid w:val="14DA3379"/>
    <w:rsid w:val="14DA7A16"/>
    <w:rsid w:val="14DAA8B1"/>
    <w:rsid w:val="14DAC6B0"/>
    <w:rsid w:val="14DB4AB3"/>
    <w:rsid w:val="14DBC241"/>
    <w:rsid w:val="14DBF94A"/>
    <w:rsid w:val="14DCA734"/>
    <w:rsid w:val="14DD6891"/>
    <w:rsid w:val="14DD72EC"/>
    <w:rsid w:val="14DF0C4E"/>
    <w:rsid w:val="14DF6FCC"/>
    <w:rsid w:val="14DF8F55"/>
    <w:rsid w:val="14DFDEFD"/>
    <w:rsid w:val="14E12288"/>
    <w:rsid w:val="14E1409E"/>
    <w:rsid w:val="14E1F0D4"/>
    <w:rsid w:val="14E2AA4A"/>
    <w:rsid w:val="14E43457"/>
    <w:rsid w:val="14E44785"/>
    <w:rsid w:val="14E45C69"/>
    <w:rsid w:val="14E5903F"/>
    <w:rsid w:val="14E5B216"/>
    <w:rsid w:val="14E5BED4"/>
    <w:rsid w:val="14E6D69A"/>
    <w:rsid w:val="14E7A4E6"/>
    <w:rsid w:val="14E7CF5D"/>
    <w:rsid w:val="14E8C3AF"/>
    <w:rsid w:val="14E8F736"/>
    <w:rsid w:val="14E9C8FA"/>
    <w:rsid w:val="14EA0A3C"/>
    <w:rsid w:val="14EA1AFC"/>
    <w:rsid w:val="14EB1266"/>
    <w:rsid w:val="14EB4D9A"/>
    <w:rsid w:val="14EB62C6"/>
    <w:rsid w:val="14EC0F23"/>
    <w:rsid w:val="14EC95A4"/>
    <w:rsid w:val="14ED1EEB"/>
    <w:rsid w:val="14EDAAA0"/>
    <w:rsid w:val="14EDF451"/>
    <w:rsid w:val="14EE9476"/>
    <w:rsid w:val="14EEFD4F"/>
    <w:rsid w:val="14EFA9C1"/>
    <w:rsid w:val="14F0807B"/>
    <w:rsid w:val="14F0B619"/>
    <w:rsid w:val="14F19321"/>
    <w:rsid w:val="14F1ECFE"/>
    <w:rsid w:val="14F20B31"/>
    <w:rsid w:val="14F2D958"/>
    <w:rsid w:val="14F2ECB3"/>
    <w:rsid w:val="14F38EA5"/>
    <w:rsid w:val="14F47F67"/>
    <w:rsid w:val="14F4CB2C"/>
    <w:rsid w:val="14F57871"/>
    <w:rsid w:val="14F771E5"/>
    <w:rsid w:val="14F7D6E3"/>
    <w:rsid w:val="14F7FA22"/>
    <w:rsid w:val="14F88193"/>
    <w:rsid w:val="14F8B855"/>
    <w:rsid w:val="14F8D82A"/>
    <w:rsid w:val="14F91946"/>
    <w:rsid w:val="14F95003"/>
    <w:rsid w:val="14FA1F2E"/>
    <w:rsid w:val="14FA4E80"/>
    <w:rsid w:val="14FA6075"/>
    <w:rsid w:val="14FA6441"/>
    <w:rsid w:val="14FA766E"/>
    <w:rsid w:val="14FB130E"/>
    <w:rsid w:val="14FB5310"/>
    <w:rsid w:val="14FB8E32"/>
    <w:rsid w:val="14FBED40"/>
    <w:rsid w:val="14FC3D6E"/>
    <w:rsid w:val="14FC6FF0"/>
    <w:rsid w:val="14FCC26B"/>
    <w:rsid w:val="14FD0CDB"/>
    <w:rsid w:val="14FF0F95"/>
    <w:rsid w:val="15004BCE"/>
    <w:rsid w:val="15016DDF"/>
    <w:rsid w:val="1502D522"/>
    <w:rsid w:val="15034B80"/>
    <w:rsid w:val="15038AF3"/>
    <w:rsid w:val="1503D54F"/>
    <w:rsid w:val="1503DCDB"/>
    <w:rsid w:val="15047361"/>
    <w:rsid w:val="15048159"/>
    <w:rsid w:val="1506A449"/>
    <w:rsid w:val="1507399B"/>
    <w:rsid w:val="15079948"/>
    <w:rsid w:val="150895B7"/>
    <w:rsid w:val="15092889"/>
    <w:rsid w:val="150A1AD0"/>
    <w:rsid w:val="150B422A"/>
    <w:rsid w:val="150B7180"/>
    <w:rsid w:val="150B84DD"/>
    <w:rsid w:val="150BB0B0"/>
    <w:rsid w:val="150C779E"/>
    <w:rsid w:val="150C8C06"/>
    <w:rsid w:val="150D0727"/>
    <w:rsid w:val="150D2AC4"/>
    <w:rsid w:val="150DDAA8"/>
    <w:rsid w:val="150EB461"/>
    <w:rsid w:val="150EB4D7"/>
    <w:rsid w:val="150EBCC8"/>
    <w:rsid w:val="150F8A8E"/>
    <w:rsid w:val="150FB40C"/>
    <w:rsid w:val="150FC121"/>
    <w:rsid w:val="15108DED"/>
    <w:rsid w:val="1510AE89"/>
    <w:rsid w:val="1510F32B"/>
    <w:rsid w:val="15110168"/>
    <w:rsid w:val="15110C2C"/>
    <w:rsid w:val="151111FF"/>
    <w:rsid w:val="15113CC5"/>
    <w:rsid w:val="1511AB52"/>
    <w:rsid w:val="1511E265"/>
    <w:rsid w:val="1513B8CA"/>
    <w:rsid w:val="1513D979"/>
    <w:rsid w:val="1514207D"/>
    <w:rsid w:val="1514A736"/>
    <w:rsid w:val="151545BA"/>
    <w:rsid w:val="151592A3"/>
    <w:rsid w:val="1515997E"/>
    <w:rsid w:val="15164B1D"/>
    <w:rsid w:val="15170B99"/>
    <w:rsid w:val="15171C26"/>
    <w:rsid w:val="15177292"/>
    <w:rsid w:val="151772F4"/>
    <w:rsid w:val="1517FB95"/>
    <w:rsid w:val="15187D0C"/>
    <w:rsid w:val="151891B7"/>
    <w:rsid w:val="15194B3C"/>
    <w:rsid w:val="151A6707"/>
    <w:rsid w:val="151BE36E"/>
    <w:rsid w:val="151BFF6C"/>
    <w:rsid w:val="151C9C40"/>
    <w:rsid w:val="151D4E91"/>
    <w:rsid w:val="151DB521"/>
    <w:rsid w:val="151F4D88"/>
    <w:rsid w:val="151F85CC"/>
    <w:rsid w:val="151FCF3F"/>
    <w:rsid w:val="15200187"/>
    <w:rsid w:val="15202E57"/>
    <w:rsid w:val="152180D9"/>
    <w:rsid w:val="1521E9CB"/>
    <w:rsid w:val="1522372C"/>
    <w:rsid w:val="15232BD0"/>
    <w:rsid w:val="1523434A"/>
    <w:rsid w:val="15240AD8"/>
    <w:rsid w:val="1525B6F4"/>
    <w:rsid w:val="152711A7"/>
    <w:rsid w:val="15273E42"/>
    <w:rsid w:val="15276593"/>
    <w:rsid w:val="1528C86D"/>
    <w:rsid w:val="1528E285"/>
    <w:rsid w:val="152931B8"/>
    <w:rsid w:val="152AB33A"/>
    <w:rsid w:val="152AC3AA"/>
    <w:rsid w:val="152AE89D"/>
    <w:rsid w:val="152F168D"/>
    <w:rsid w:val="152F2BCD"/>
    <w:rsid w:val="15301E91"/>
    <w:rsid w:val="153023F2"/>
    <w:rsid w:val="15302766"/>
    <w:rsid w:val="15304AA6"/>
    <w:rsid w:val="15307521"/>
    <w:rsid w:val="1530905B"/>
    <w:rsid w:val="1530B8EB"/>
    <w:rsid w:val="1530BE47"/>
    <w:rsid w:val="1530D71F"/>
    <w:rsid w:val="15316308"/>
    <w:rsid w:val="1532F0A5"/>
    <w:rsid w:val="15342115"/>
    <w:rsid w:val="15344E63"/>
    <w:rsid w:val="1534772F"/>
    <w:rsid w:val="15347F2E"/>
    <w:rsid w:val="15361366"/>
    <w:rsid w:val="153619EC"/>
    <w:rsid w:val="1536F294"/>
    <w:rsid w:val="15373788"/>
    <w:rsid w:val="1537BCED"/>
    <w:rsid w:val="15383300"/>
    <w:rsid w:val="1538657A"/>
    <w:rsid w:val="1538ED6A"/>
    <w:rsid w:val="15394D30"/>
    <w:rsid w:val="15395C67"/>
    <w:rsid w:val="1539D850"/>
    <w:rsid w:val="1539E658"/>
    <w:rsid w:val="153BFDC1"/>
    <w:rsid w:val="153C0D29"/>
    <w:rsid w:val="153CB05D"/>
    <w:rsid w:val="153D43D8"/>
    <w:rsid w:val="153DF8AC"/>
    <w:rsid w:val="153E16B5"/>
    <w:rsid w:val="153EB389"/>
    <w:rsid w:val="153EF874"/>
    <w:rsid w:val="1540490A"/>
    <w:rsid w:val="15405A79"/>
    <w:rsid w:val="1540C9F9"/>
    <w:rsid w:val="154192C7"/>
    <w:rsid w:val="154197AA"/>
    <w:rsid w:val="15420562"/>
    <w:rsid w:val="1542A56B"/>
    <w:rsid w:val="1542E69A"/>
    <w:rsid w:val="1543AEE9"/>
    <w:rsid w:val="15442FA8"/>
    <w:rsid w:val="15447AB2"/>
    <w:rsid w:val="154481E3"/>
    <w:rsid w:val="15458D1F"/>
    <w:rsid w:val="1545A3AA"/>
    <w:rsid w:val="15467DC4"/>
    <w:rsid w:val="15469B3B"/>
    <w:rsid w:val="1546B74D"/>
    <w:rsid w:val="1546C6F6"/>
    <w:rsid w:val="15471CD8"/>
    <w:rsid w:val="15477462"/>
    <w:rsid w:val="1547EEBC"/>
    <w:rsid w:val="15484F3E"/>
    <w:rsid w:val="1548778B"/>
    <w:rsid w:val="1548F29A"/>
    <w:rsid w:val="15492920"/>
    <w:rsid w:val="1549D416"/>
    <w:rsid w:val="154A98AC"/>
    <w:rsid w:val="154ABDB6"/>
    <w:rsid w:val="154AD25C"/>
    <w:rsid w:val="154AE63A"/>
    <w:rsid w:val="154C038B"/>
    <w:rsid w:val="154C125B"/>
    <w:rsid w:val="154C42D0"/>
    <w:rsid w:val="154D0BBC"/>
    <w:rsid w:val="154DED16"/>
    <w:rsid w:val="154E8E66"/>
    <w:rsid w:val="154EA984"/>
    <w:rsid w:val="154EEECC"/>
    <w:rsid w:val="154F6691"/>
    <w:rsid w:val="15512842"/>
    <w:rsid w:val="15515B45"/>
    <w:rsid w:val="1553BCDC"/>
    <w:rsid w:val="15541E33"/>
    <w:rsid w:val="15548712"/>
    <w:rsid w:val="15548F68"/>
    <w:rsid w:val="15558FED"/>
    <w:rsid w:val="1555AF44"/>
    <w:rsid w:val="1555EE9C"/>
    <w:rsid w:val="1555F7BB"/>
    <w:rsid w:val="155689F7"/>
    <w:rsid w:val="155694B1"/>
    <w:rsid w:val="1557834C"/>
    <w:rsid w:val="155820EF"/>
    <w:rsid w:val="15588F1D"/>
    <w:rsid w:val="15591E00"/>
    <w:rsid w:val="15591F72"/>
    <w:rsid w:val="155929E4"/>
    <w:rsid w:val="155950D3"/>
    <w:rsid w:val="1559E3D5"/>
    <w:rsid w:val="155A61E6"/>
    <w:rsid w:val="155B1ED3"/>
    <w:rsid w:val="155B41DB"/>
    <w:rsid w:val="155BD5C5"/>
    <w:rsid w:val="155D2044"/>
    <w:rsid w:val="155DBAD6"/>
    <w:rsid w:val="155E2EAE"/>
    <w:rsid w:val="155EA430"/>
    <w:rsid w:val="155EDF35"/>
    <w:rsid w:val="155F31CB"/>
    <w:rsid w:val="155F449C"/>
    <w:rsid w:val="155FEC74"/>
    <w:rsid w:val="155FF94A"/>
    <w:rsid w:val="156009C0"/>
    <w:rsid w:val="15600B02"/>
    <w:rsid w:val="1560106E"/>
    <w:rsid w:val="15604D38"/>
    <w:rsid w:val="1560931D"/>
    <w:rsid w:val="1560BED7"/>
    <w:rsid w:val="1560E1AF"/>
    <w:rsid w:val="15616C7E"/>
    <w:rsid w:val="1561A1E0"/>
    <w:rsid w:val="1562089A"/>
    <w:rsid w:val="1562FAB1"/>
    <w:rsid w:val="15633B75"/>
    <w:rsid w:val="15634660"/>
    <w:rsid w:val="15636ADF"/>
    <w:rsid w:val="156430CD"/>
    <w:rsid w:val="156480F2"/>
    <w:rsid w:val="15648168"/>
    <w:rsid w:val="156500D4"/>
    <w:rsid w:val="15658E56"/>
    <w:rsid w:val="1565B568"/>
    <w:rsid w:val="1565F053"/>
    <w:rsid w:val="15663760"/>
    <w:rsid w:val="156679C0"/>
    <w:rsid w:val="1566C595"/>
    <w:rsid w:val="15672AFB"/>
    <w:rsid w:val="1567B93A"/>
    <w:rsid w:val="1567ED89"/>
    <w:rsid w:val="156926DC"/>
    <w:rsid w:val="1569529E"/>
    <w:rsid w:val="1569626B"/>
    <w:rsid w:val="156962EA"/>
    <w:rsid w:val="15699185"/>
    <w:rsid w:val="156996A4"/>
    <w:rsid w:val="156A703D"/>
    <w:rsid w:val="156B61BF"/>
    <w:rsid w:val="156B7541"/>
    <w:rsid w:val="156B82FB"/>
    <w:rsid w:val="156B9275"/>
    <w:rsid w:val="156BD9E8"/>
    <w:rsid w:val="156C7B50"/>
    <w:rsid w:val="156CA29C"/>
    <w:rsid w:val="156CECC6"/>
    <w:rsid w:val="156E1C33"/>
    <w:rsid w:val="156F1D89"/>
    <w:rsid w:val="156F4FBF"/>
    <w:rsid w:val="156FE926"/>
    <w:rsid w:val="1570349B"/>
    <w:rsid w:val="15706F66"/>
    <w:rsid w:val="1570DE45"/>
    <w:rsid w:val="1570E4D5"/>
    <w:rsid w:val="1570F47D"/>
    <w:rsid w:val="1571C459"/>
    <w:rsid w:val="15722EEE"/>
    <w:rsid w:val="1572B57B"/>
    <w:rsid w:val="15734F5D"/>
    <w:rsid w:val="15735A20"/>
    <w:rsid w:val="1573E8EF"/>
    <w:rsid w:val="1575169A"/>
    <w:rsid w:val="15753F92"/>
    <w:rsid w:val="1575E0CE"/>
    <w:rsid w:val="1576437D"/>
    <w:rsid w:val="157662B0"/>
    <w:rsid w:val="1577422E"/>
    <w:rsid w:val="1577CDAB"/>
    <w:rsid w:val="15780429"/>
    <w:rsid w:val="1578403C"/>
    <w:rsid w:val="1578994F"/>
    <w:rsid w:val="157A2F2E"/>
    <w:rsid w:val="157A5DC3"/>
    <w:rsid w:val="157C0D14"/>
    <w:rsid w:val="157C58EF"/>
    <w:rsid w:val="157D320C"/>
    <w:rsid w:val="157DA870"/>
    <w:rsid w:val="157E2215"/>
    <w:rsid w:val="15803668"/>
    <w:rsid w:val="15819601"/>
    <w:rsid w:val="15819B98"/>
    <w:rsid w:val="1581B71F"/>
    <w:rsid w:val="1581E075"/>
    <w:rsid w:val="15821F59"/>
    <w:rsid w:val="15828BAB"/>
    <w:rsid w:val="158397DE"/>
    <w:rsid w:val="1583D06B"/>
    <w:rsid w:val="15841ACD"/>
    <w:rsid w:val="15843314"/>
    <w:rsid w:val="15857A30"/>
    <w:rsid w:val="15864A64"/>
    <w:rsid w:val="1586876D"/>
    <w:rsid w:val="1586F0D7"/>
    <w:rsid w:val="1586F206"/>
    <w:rsid w:val="15871216"/>
    <w:rsid w:val="1588BA4E"/>
    <w:rsid w:val="15898A1E"/>
    <w:rsid w:val="1589A0E3"/>
    <w:rsid w:val="158B36DA"/>
    <w:rsid w:val="158B5EC2"/>
    <w:rsid w:val="158C5227"/>
    <w:rsid w:val="158CEB31"/>
    <w:rsid w:val="158DCA8F"/>
    <w:rsid w:val="158F68B7"/>
    <w:rsid w:val="158F9AD8"/>
    <w:rsid w:val="158FCE68"/>
    <w:rsid w:val="158FDCF2"/>
    <w:rsid w:val="15901731"/>
    <w:rsid w:val="15903B5F"/>
    <w:rsid w:val="15907562"/>
    <w:rsid w:val="1590BD44"/>
    <w:rsid w:val="15911E1E"/>
    <w:rsid w:val="15913374"/>
    <w:rsid w:val="1591E5A1"/>
    <w:rsid w:val="159247EF"/>
    <w:rsid w:val="1593EF99"/>
    <w:rsid w:val="159426E4"/>
    <w:rsid w:val="1594783E"/>
    <w:rsid w:val="1594C7E3"/>
    <w:rsid w:val="15952518"/>
    <w:rsid w:val="15954F09"/>
    <w:rsid w:val="15961C10"/>
    <w:rsid w:val="159622C9"/>
    <w:rsid w:val="15966848"/>
    <w:rsid w:val="159768F6"/>
    <w:rsid w:val="15983E59"/>
    <w:rsid w:val="1598C5DD"/>
    <w:rsid w:val="159928A8"/>
    <w:rsid w:val="15995E3D"/>
    <w:rsid w:val="1599C737"/>
    <w:rsid w:val="159A0070"/>
    <w:rsid w:val="159A6716"/>
    <w:rsid w:val="159C06B5"/>
    <w:rsid w:val="159C3AE5"/>
    <w:rsid w:val="159C845E"/>
    <w:rsid w:val="159CB26C"/>
    <w:rsid w:val="159CD1ED"/>
    <w:rsid w:val="159D320D"/>
    <w:rsid w:val="159EA754"/>
    <w:rsid w:val="159F3100"/>
    <w:rsid w:val="159FDEDC"/>
    <w:rsid w:val="15A05487"/>
    <w:rsid w:val="15A06506"/>
    <w:rsid w:val="15A0C605"/>
    <w:rsid w:val="15A0F282"/>
    <w:rsid w:val="15A12A45"/>
    <w:rsid w:val="15A15A4F"/>
    <w:rsid w:val="15A1A4E6"/>
    <w:rsid w:val="15A1EEF1"/>
    <w:rsid w:val="15A234DB"/>
    <w:rsid w:val="15A293DF"/>
    <w:rsid w:val="15A2ED2D"/>
    <w:rsid w:val="15A37882"/>
    <w:rsid w:val="15A39677"/>
    <w:rsid w:val="15A49259"/>
    <w:rsid w:val="15A496A4"/>
    <w:rsid w:val="15A4B153"/>
    <w:rsid w:val="15A4EB2C"/>
    <w:rsid w:val="15A5D207"/>
    <w:rsid w:val="15A61C30"/>
    <w:rsid w:val="15A651E6"/>
    <w:rsid w:val="15A67888"/>
    <w:rsid w:val="15A8112E"/>
    <w:rsid w:val="15A94BAC"/>
    <w:rsid w:val="15A98C99"/>
    <w:rsid w:val="15A9F827"/>
    <w:rsid w:val="15AA710C"/>
    <w:rsid w:val="15AA7610"/>
    <w:rsid w:val="15AAFB61"/>
    <w:rsid w:val="15AB13AB"/>
    <w:rsid w:val="15ABAA6B"/>
    <w:rsid w:val="15ABD7B4"/>
    <w:rsid w:val="15AC6A1D"/>
    <w:rsid w:val="15ACF634"/>
    <w:rsid w:val="15ADB41F"/>
    <w:rsid w:val="15AE1FC1"/>
    <w:rsid w:val="15AF2304"/>
    <w:rsid w:val="15AF96BE"/>
    <w:rsid w:val="15AFA498"/>
    <w:rsid w:val="15AFDBA1"/>
    <w:rsid w:val="15B07D73"/>
    <w:rsid w:val="15B12ADC"/>
    <w:rsid w:val="15B16D51"/>
    <w:rsid w:val="15B173BC"/>
    <w:rsid w:val="15B1F1D0"/>
    <w:rsid w:val="15B22FC3"/>
    <w:rsid w:val="15B24EFA"/>
    <w:rsid w:val="15B25FE4"/>
    <w:rsid w:val="15B3F68E"/>
    <w:rsid w:val="15B420B6"/>
    <w:rsid w:val="15B574CC"/>
    <w:rsid w:val="15B64147"/>
    <w:rsid w:val="15B673F2"/>
    <w:rsid w:val="15B79B83"/>
    <w:rsid w:val="15B9F1E9"/>
    <w:rsid w:val="15BA002D"/>
    <w:rsid w:val="15BAFECD"/>
    <w:rsid w:val="15BB2071"/>
    <w:rsid w:val="15BB2C68"/>
    <w:rsid w:val="15BB61FC"/>
    <w:rsid w:val="15BBA7CB"/>
    <w:rsid w:val="15BBD68A"/>
    <w:rsid w:val="15BBFB24"/>
    <w:rsid w:val="15BC1022"/>
    <w:rsid w:val="15BCE6A0"/>
    <w:rsid w:val="15BD1D49"/>
    <w:rsid w:val="15BD912E"/>
    <w:rsid w:val="15BDC9CC"/>
    <w:rsid w:val="15BEA6DD"/>
    <w:rsid w:val="15BF1779"/>
    <w:rsid w:val="15BF925E"/>
    <w:rsid w:val="15BFCFC8"/>
    <w:rsid w:val="15BFF090"/>
    <w:rsid w:val="15C04B3A"/>
    <w:rsid w:val="15C06252"/>
    <w:rsid w:val="15C0A0AE"/>
    <w:rsid w:val="15C12B0E"/>
    <w:rsid w:val="15C15291"/>
    <w:rsid w:val="15C1A43F"/>
    <w:rsid w:val="15C20167"/>
    <w:rsid w:val="15C24BAD"/>
    <w:rsid w:val="15C2CD23"/>
    <w:rsid w:val="15C312E5"/>
    <w:rsid w:val="15C3955E"/>
    <w:rsid w:val="15C3BCBA"/>
    <w:rsid w:val="15C579B1"/>
    <w:rsid w:val="15C58D0D"/>
    <w:rsid w:val="15C5D130"/>
    <w:rsid w:val="15C62198"/>
    <w:rsid w:val="15C667BF"/>
    <w:rsid w:val="15C6C0C0"/>
    <w:rsid w:val="15C6F077"/>
    <w:rsid w:val="15C6F16D"/>
    <w:rsid w:val="15C71078"/>
    <w:rsid w:val="15C7EE87"/>
    <w:rsid w:val="15C7F344"/>
    <w:rsid w:val="15C86768"/>
    <w:rsid w:val="15C8E0E2"/>
    <w:rsid w:val="15C913F6"/>
    <w:rsid w:val="15C93265"/>
    <w:rsid w:val="15C942A3"/>
    <w:rsid w:val="15C9A8BB"/>
    <w:rsid w:val="15CB10ED"/>
    <w:rsid w:val="15CB4DE8"/>
    <w:rsid w:val="15CBACD9"/>
    <w:rsid w:val="15CC63A2"/>
    <w:rsid w:val="15CC8801"/>
    <w:rsid w:val="15CCE0C0"/>
    <w:rsid w:val="15CE37F9"/>
    <w:rsid w:val="15D0A677"/>
    <w:rsid w:val="15D12D39"/>
    <w:rsid w:val="15D1AD37"/>
    <w:rsid w:val="15D1CA37"/>
    <w:rsid w:val="15D21E6C"/>
    <w:rsid w:val="15D3B045"/>
    <w:rsid w:val="15D4636D"/>
    <w:rsid w:val="15D51A27"/>
    <w:rsid w:val="15D5A163"/>
    <w:rsid w:val="15D65851"/>
    <w:rsid w:val="15D73A39"/>
    <w:rsid w:val="15D83AAD"/>
    <w:rsid w:val="15D85060"/>
    <w:rsid w:val="15D86F1F"/>
    <w:rsid w:val="15D8D56A"/>
    <w:rsid w:val="15D98E47"/>
    <w:rsid w:val="15D9B88D"/>
    <w:rsid w:val="15D9C766"/>
    <w:rsid w:val="15D9E739"/>
    <w:rsid w:val="15DACC3D"/>
    <w:rsid w:val="15DBBCDA"/>
    <w:rsid w:val="15DBDABE"/>
    <w:rsid w:val="15DC0785"/>
    <w:rsid w:val="15DC36D9"/>
    <w:rsid w:val="15DCD762"/>
    <w:rsid w:val="15DCECF7"/>
    <w:rsid w:val="15DCEE46"/>
    <w:rsid w:val="15DD221A"/>
    <w:rsid w:val="15DEB03C"/>
    <w:rsid w:val="15DF63A4"/>
    <w:rsid w:val="15DFAF4E"/>
    <w:rsid w:val="15E0DE21"/>
    <w:rsid w:val="15E1043E"/>
    <w:rsid w:val="15E241D7"/>
    <w:rsid w:val="15E26657"/>
    <w:rsid w:val="15E319B5"/>
    <w:rsid w:val="15E38538"/>
    <w:rsid w:val="15E3A3AA"/>
    <w:rsid w:val="15E42D4F"/>
    <w:rsid w:val="15E4E93B"/>
    <w:rsid w:val="15E54359"/>
    <w:rsid w:val="15E58D05"/>
    <w:rsid w:val="15E5D10E"/>
    <w:rsid w:val="15E67A0C"/>
    <w:rsid w:val="15E7BCB8"/>
    <w:rsid w:val="15E82A3D"/>
    <w:rsid w:val="15E8CD08"/>
    <w:rsid w:val="15E9D5E7"/>
    <w:rsid w:val="15E9ED3F"/>
    <w:rsid w:val="15EA488E"/>
    <w:rsid w:val="15EA92C8"/>
    <w:rsid w:val="15EBA3FD"/>
    <w:rsid w:val="15EBE22F"/>
    <w:rsid w:val="15EC773E"/>
    <w:rsid w:val="15ECF4AB"/>
    <w:rsid w:val="15ED9EC6"/>
    <w:rsid w:val="15EE4E11"/>
    <w:rsid w:val="15EE6652"/>
    <w:rsid w:val="15EFABF6"/>
    <w:rsid w:val="15F01487"/>
    <w:rsid w:val="15F10BDA"/>
    <w:rsid w:val="15F1C6BB"/>
    <w:rsid w:val="15F21F18"/>
    <w:rsid w:val="15F2BD67"/>
    <w:rsid w:val="15F2D0E2"/>
    <w:rsid w:val="15F43115"/>
    <w:rsid w:val="15F4B160"/>
    <w:rsid w:val="15F4C96B"/>
    <w:rsid w:val="15F4EF71"/>
    <w:rsid w:val="15F5076A"/>
    <w:rsid w:val="15F52D6F"/>
    <w:rsid w:val="15F5A70B"/>
    <w:rsid w:val="15F5E177"/>
    <w:rsid w:val="15F6259F"/>
    <w:rsid w:val="15F6534C"/>
    <w:rsid w:val="15F689AA"/>
    <w:rsid w:val="15F78F29"/>
    <w:rsid w:val="15F85582"/>
    <w:rsid w:val="15F8E273"/>
    <w:rsid w:val="15F9252A"/>
    <w:rsid w:val="15FA51B0"/>
    <w:rsid w:val="15FB0F80"/>
    <w:rsid w:val="15FB7608"/>
    <w:rsid w:val="15FBF764"/>
    <w:rsid w:val="15FC6212"/>
    <w:rsid w:val="15FC923B"/>
    <w:rsid w:val="15FCC1F6"/>
    <w:rsid w:val="15FCE0E0"/>
    <w:rsid w:val="15FD0181"/>
    <w:rsid w:val="15FE50E8"/>
    <w:rsid w:val="15FEBA64"/>
    <w:rsid w:val="15FEBC4F"/>
    <w:rsid w:val="15FED298"/>
    <w:rsid w:val="15FF3CB9"/>
    <w:rsid w:val="15FF6520"/>
    <w:rsid w:val="1600DFD6"/>
    <w:rsid w:val="1600E1B7"/>
    <w:rsid w:val="1600FDB5"/>
    <w:rsid w:val="160175B5"/>
    <w:rsid w:val="16030EF5"/>
    <w:rsid w:val="16039F8B"/>
    <w:rsid w:val="1604C3B8"/>
    <w:rsid w:val="160588AD"/>
    <w:rsid w:val="160635FB"/>
    <w:rsid w:val="1606F60D"/>
    <w:rsid w:val="16073509"/>
    <w:rsid w:val="16081FE3"/>
    <w:rsid w:val="16089A98"/>
    <w:rsid w:val="1609709F"/>
    <w:rsid w:val="160A0630"/>
    <w:rsid w:val="160B1BCA"/>
    <w:rsid w:val="160B5084"/>
    <w:rsid w:val="160B9AB9"/>
    <w:rsid w:val="160C78ED"/>
    <w:rsid w:val="160C8360"/>
    <w:rsid w:val="160CB6E8"/>
    <w:rsid w:val="160CDDAC"/>
    <w:rsid w:val="160CF3C9"/>
    <w:rsid w:val="160E0200"/>
    <w:rsid w:val="160EA159"/>
    <w:rsid w:val="160F4754"/>
    <w:rsid w:val="160F74B4"/>
    <w:rsid w:val="160FA3AC"/>
    <w:rsid w:val="160FD2A6"/>
    <w:rsid w:val="161012F0"/>
    <w:rsid w:val="1610CAD0"/>
    <w:rsid w:val="1611808D"/>
    <w:rsid w:val="1612DB7B"/>
    <w:rsid w:val="16135B5D"/>
    <w:rsid w:val="1614A9FB"/>
    <w:rsid w:val="16157087"/>
    <w:rsid w:val="16157945"/>
    <w:rsid w:val="1615A9EC"/>
    <w:rsid w:val="16162161"/>
    <w:rsid w:val="16179CD4"/>
    <w:rsid w:val="16184CB6"/>
    <w:rsid w:val="16186607"/>
    <w:rsid w:val="1619CD4F"/>
    <w:rsid w:val="161A2D83"/>
    <w:rsid w:val="161BA309"/>
    <w:rsid w:val="161BC154"/>
    <w:rsid w:val="161BE217"/>
    <w:rsid w:val="161C7EFF"/>
    <w:rsid w:val="161CAEF7"/>
    <w:rsid w:val="161E33A1"/>
    <w:rsid w:val="161E81DC"/>
    <w:rsid w:val="161EBA0D"/>
    <w:rsid w:val="161F0632"/>
    <w:rsid w:val="161F355A"/>
    <w:rsid w:val="162072AC"/>
    <w:rsid w:val="1621039A"/>
    <w:rsid w:val="16227678"/>
    <w:rsid w:val="1622B4C0"/>
    <w:rsid w:val="1622C369"/>
    <w:rsid w:val="1622FBC7"/>
    <w:rsid w:val="16230361"/>
    <w:rsid w:val="16231A68"/>
    <w:rsid w:val="1623BF2A"/>
    <w:rsid w:val="16241B00"/>
    <w:rsid w:val="1624D304"/>
    <w:rsid w:val="16254B2A"/>
    <w:rsid w:val="162554E8"/>
    <w:rsid w:val="16255CE5"/>
    <w:rsid w:val="1625A5B2"/>
    <w:rsid w:val="1625E8DF"/>
    <w:rsid w:val="162698D2"/>
    <w:rsid w:val="16270461"/>
    <w:rsid w:val="162742FF"/>
    <w:rsid w:val="16279E3D"/>
    <w:rsid w:val="16280049"/>
    <w:rsid w:val="16285391"/>
    <w:rsid w:val="1628813C"/>
    <w:rsid w:val="1628B5F2"/>
    <w:rsid w:val="1628D671"/>
    <w:rsid w:val="162987EE"/>
    <w:rsid w:val="162B5CF6"/>
    <w:rsid w:val="162C6EE4"/>
    <w:rsid w:val="162D2ADC"/>
    <w:rsid w:val="162D2AE4"/>
    <w:rsid w:val="162E082B"/>
    <w:rsid w:val="162E618D"/>
    <w:rsid w:val="162EB21E"/>
    <w:rsid w:val="162EC039"/>
    <w:rsid w:val="162ED366"/>
    <w:rsid w:val="162EE9D4"/>
    <w:rsid w:val="162F68EF"/>
    <w:rsid w:val="162FF520"/>
    <w:rsid w:val="16305F12"/>
    <w:rsid w:val="16309256"/>
    <w:rsid w:val="1630A3B1"/>
    <w:rsid w:val="1630EC71"/>
    <w:rsid w:val="16315201"/>
    <w:rsid w:val="16321068"/>
    <w:rsid w:val="163227CA"/>
    <w:rsid w:val="1632B0DC"/>
    <w:rsid w:val="1632F88F"/>
    <w:rsid w:val="16337298"/>
    <w:rsid w:val="16337FAA"/>
    <w:rsid w:val="1633CDEF"/>
    <w:rsid w:val="1634704F"/>
    <w:rsid w:val="16347B70"/>
    <w:rsid w:val="1634D8AD"/>
    <w:rsid w:val="1635138D"/>
    <w:rsid w:val="16352024"/>
    <w:rsid w:val="163524E9"/>
    <w:rsid w:val="1635AEA0"/>
    <w:rsid w:val="16366197"/>
    <w:rsid w:val="163677E1"/>
    <w:rsid w:val="1636BB7B"/>
    <w:rsid w:val="1636C7FA"/>
    <w:rsid w:val="16390C85"/>
    <w:rsid w:val="163A8310"/>
    <w:rsid w:val="163B8777"/>
    <w:rsid w:val="163C073D"/>
    <w:rsid w:val="163C0918"/>
    <w:rsid w:val="163C3443"/>
    <w:rsid w:val="163CFBB1"/>
    <w:rsid w:val="163D716C"/>
    <w:rsid w:val="163D9EE7"/>
    <w:rsid w:val="163DB6B5"/>
    <w:rsid w:val="163EADBB"/>
    <w:rsid w:val="163ED88C"/>
    <w:rsid w:val="163F2961"/>
    <w:rsid w:val="1640976E"/>
    <w:rsid w:val="1640A18D"/>
    <w:rsid w:val="1640A4CF"/>
    <w:rsid w:val="1640C889"/>
    <w:rsid w:val="16415147"/>
    <w:rsid w:val="1641BFE1"/>
    <w:rsid w:val="16428E97"/>
    <w:rsid w:val="1642D6EA"/>
    <w:rsid w:val="1643346E"/>
    <w:rsid w:val="16435A04"/>
    <w:rsid w:val="16436591"/>
    <w:rsid w:val="1644008C"/>
    <w:rsid w:val="164412AC"/>
    <w:rsid w:val="164505AC"/>
    <w:rsid w:val="16459A4D"/>
    <w:rsid w:val="1645EF18"/>
    <w:rsid w:val="1646D478"/>
    <w:rsid w:val="1647742C"/>
    <w:rsid w:val="1647C410"/>
    <w:rsid w:val="16488A1C"/>
    <w:rsid w:val="1648B425"/>
    <w:rsid w:val="164ACF80"/>
    <w:rsid w:val="164B7308"/>
    <w:rsid w:val="164BF828"/>
    <w:rsid w:val="164C0714"/>
    <w:rsid w:val="164C2737"/>
    <w:rsid w:val="164C4B20"/>
    <w:rsid w:val="164C8B16"/>
    <w:rsid w:val="164CC56C"/>
    <w:rsid w:val="164D019F"/>
    <w:rsid w:val="164E1697"/>
    <w:rsid w:val="164E65EB"/>
    <w:rsid w:val="164EABF0"/>
    <w:rsid w:val="164EBDD7"/>
    <w:rsid w:val="164ED320"/>
    <w:rsid w:val="164ED8E3"/>
    <w:rsid w:val="16508CD9"/>
    <w:rsid w:val="1651670A"/>
    <w:rsid w:val="16517474"/>
    <w:rsid w:val="1651818B"/>
    <w:rsid w:val="1652E1B6"/>
    <w:rsid w:val="1652E6AF"/>
    <w:rsid w:val="1652F1E6"/>
    <w:rsid w:val="1653BD88"/>
    <w:rsid w:val="1654042D"/>
    <w:rsid w:val="1655CA0B"/>
    <w:rsid w:val="1655DD07"/>
    <w:rsid w:val="1656449B"/>
    <w:rsid w:val="16572282"/>
    <w:rsid w:val="1657DAB3"/>
    <w:rsid w:val="165836AF"/>
    <w:rsid w:val="1659C999"/>
    <w:rsid w:val="165A8A94"/>
    <w:rsid w:val="165C1E8D"/>
    <w:rsid w:val="165CF240"/>
    <w:rsid w:val="165D301D"/>
    <w:rsid w:val="165D8743"/>
    <w:rsid w:val="165EB511"/>
    <w:rsid w:val="165EF454"/>
    <w:rsid w:val="165FEA06"/>
    <w:rsid w:val="1661003E"/>
    <w:rsid w:val="1661DD92"/>
    <w:rsid w:val="1662B76C"/>
    <w:rsid w:val="1662B974"/>
    <w:rsid w:val="1663991B"/>
    <w:rsid w:val="16640BC2"/>
    <w:rsid w:val="166415E4"/>
    <w:rsid w:val="16643AE1"/>
    <w:rsid w:val="16643DCF"/>
    <w:rsid w:val="1664B2E6"/>
    <w:rsid w:val="1664D39C"/>
    <w:rsid w:val="1664E2DA"/>
    <w:rsid w:val="1664E4F8"/>
    <w:rsid w:val="166600AD"/>
    <w:rsid w:val="166600D9"/>
    <w:rsid w:val="16661B15"/>
    <w:rsid w:val="1666A942"/>
    <w:rsid w:val="1666D45A"/>
    <w:rsid w:val="166AD1A2"/>
    <w:rsid w:val="166B9F9A"/>
    <w:rsid w:val="166BA82B"/>
    <w:rsid w:val="166BCE92"/>
    <w:rsid w:val="166DCD1A"/>
    <w:rsid w:val="166DD3E6"/>
    <w:rsid w:val="166EB81F"/>
    <w:rsid w:val="166EDDE5"/>
    <w:rsid w:val="166EDDEA"/>
    <w:rsid w:val="166FFD97"/>
    <w:rsid w:val="16701D84"/>
    <w:rsid w:val="167039AF"/>
    <w:rsid w:val="16716710"/>
    <w:rsid w:val="16717260"/>
    <w:rsid w:val="1671E3CA"/>
    <w:rsid w:val="167226DE"/>
    <w:rsid w:val="16732B2D"/>
    <w:rsid w:val="16734414"/>
    <w:rsid w:val="16734AAA"/>
    <w:rsid w:val="16739844"/>
    <w:rsid w:val="16746782"/>
    <w:rsid w:val="16750091"/>
    <w:rsid w:val="1675178E"/>
    <w:rsid w:val="16753A24"/>
    <w:rsid w:val="1675E05E"/>
    <w:rsid w:val="1676A30D"/>
    <w:rsid w:val="167720B7"/>
    <w:rsid w:val="16780E5C"/>
    <w:rsid w:val="16787333"/>
    <w:rsid w:val="167877D2"/>
    <w:rsid w:val="1678A66A"/>
    <w:rsid w:val="1678A7E5"/>
    <w:rsid w:val="1678CDC4"/>
    <w:rsid w:val="167911D0"/>
    <w:rsid w:val="16793EAE"/>
    <w:rsid w:val="16794BF9"/>
    <w:rsid w:val="1679539F"/>
    <w:rsid w:val="16796746"/>
    <w:rsid w:val="167A5854"/>
    <w:rsid w:val="167A8CE3"/>
    <w:rsid w:val="167C1349"/>
    <w:rsid w:val="167CA3F3"/>
    <w:rsid w:val="167D4148"/>
    <w:rsid w:val="167DED2C"/>
    <w:rsid w:val="167E2661"/>
    <w:rsid w:val="167EC898"/>
    <w:rsid w:val="1680D6CA"/>
    <w:rsid w:val="16812D33"/>
    <w:rsid w:val="168181CB"/>
    <w:rsid w:val="16824FB3"/>
    <w:rsid w:val="16828DB0"/>
    <w:rsid w:val="16831FB0"/>
    <w:rsid w:val="16832373"/>
    <w:rsid w:val="168428AD"/>
    <w:rsid w:val="16844007"/>
    <w:rsid w:val="16844519"/>
    <w:rsid w:val="16846FDE"/>
    <w:rsid w:val="16852B74"/>
    <w:rsid w:val="1685B998"/>
    <w:rsid w:val="1686242F"/>
    <w:rsid w:val="16876021"/>
    <w:rsid w:val="1687C058"/>
    <w:rsid w:val="168891FD"/>
    <w:rsid w:val="1688BEFB"/>
    <w:rsid w:val="1688E327"/>
    <w:rsid w:val="168916F5"/>
    <w:rsid w:val="1689A12B"/>
    <w:rsid w:val="168A22A6"/>
    <w:rsid w:val="168B0906"/>
    <w:rsid w:val="168B4C81"/>
    <w:rsid w:val="168C27CF"/>
    <w:rsid w:val="168C6E88"/>
    <w:rsid w:val="168C87A7"/>
    <w:rsid w:val="168CAB1B"/>
    <w:rsid w:val="168CDDC8"/>
    <w:rsid w:val="168DB113"/>
    <w:rsid w:val="168E3A1B"/>
    <w:rsid w:val="168E8418"/>
    <w:rsid w:val="168EF036"/>
    <w:rsid w:val="168F289D"/>
    <w:rsid w:val="168F39F2"/>
    <w:rsid w:val="168F6621"/>
    <w:rsid w:val="168F7771"/>
    <w:rsid w:val="168FC4CF"/>
    <w:rsid w:val="169014D1"/>
    <w:rsid w:val="1690572A"/>
    <w:rsid w:val="1690C3BF"/>
    <w:rsid w:val="1690DF52"/>
    <w:rsid w:val="1691DC6E"/>
    <w:rsid w:val="16928EF5"/>
    <w:rsid w:val="1693E8D4"/>
    <w:rsid w:val="16940D62"/>
    <w:rsid w:val="1694ADD8"/>
    <w:rsid w:val="1694B1DE"/>
    <w:rsid w:val="1695338D"/>
    <w:rsid w:val="1695D523"/>
    <w:rsid w:val="1695F73C"/>
    <w:rsid w:val="16968253"/>
    <w:rsid w:val="1696B6B0"/>
    <w:rsid w:val="16972AD6"/>
    <w:rsid w:val="16973871"/>
    <w:rsid w:val="16976395"/>
    <w:rsid w:val="1697B49C"/>
    <w:rsid w:val="1697CEE1"/>
    <w:rsid w:val="16985EB6"/>
    <w:rsid w:val="1699F170"/>
    <w:rsid w:val="1699F562"/>
    <w:rsid w:val="169B1C04"/>
    <w:rsid w:val="169B3301"/>
    <w:rsid w:val="169C3BA4"/>
    <w:rsid w:val="169D32B9"/>
    <w:rsid w:val="169D6322"/>
    <w:rsid w:val="169D8A05"/>
    <w:rsid w:val="169DD16C"/>
    <w:rsid w:val="169E9A5E"/>
    <w:rsid w:val="169ED7E7"/>
    <w:rsid w:val="169F03FD"/>
    <w:rsid w:val="169F3B14"/>
    <w:rsid w:val="169F9C8A"/>
    <w:rsid w:val="169FA02C"/>
    <w:rsid w:val="169FBE21"/>
    <w:rsid w:val="169FCE6F"/>
    <w:rsid w:val="169FF84E"/>
    <w:rsid w:val="16A062F0"/>
    <w:rsid w:val="16A0F17E"/>
    <w:rsid w:val="16A11A1C"/>
    <w:rsid w:val="16A11B7A"/>
    <w:rsid w:val="16A1D2D6"/>
    <w:rsid w:val="16A1F1EC"/>
    <w:rsid w:val="16A2A166"/>
    <w:rsid w:val="16A319A1"/>
    <w:rsid w:val="16A3CCDA"/>
    <w:rsid w:val="16A429BB"/>
    <w:rsid w:val="16A44B74"/>
    <w:rsid w:val="16A45C68"/>
    <w:rsid w:val="16A4946A"/>
    <w:rsid w:val="16A51142"/>
    <w:rsid w:val="16A52B31"/>
    <w:rsid w:val="16A58092"/>
    <w:rsid w:val="16A5C58D"/>
    <w:rsid w:val="16A68B43"/>
    <w:rsid w:val="16A70636"/>
    <w:rsid w:val="16A786AB"/>
    <w:rsid w:val="16A89468"/>
    <w:rsid w:val="16A8D1AE"/>
    <w:rsid w:val="16A9A364"/>
    <w:rsid w:val="16A9F1A0"/>
    <w:rsid w:val="16AA0BB9"/>
    <w:rsid w:val="16AA84C1"/>
    <w:rsid w:val="16AACDFF"/>
    <w:rsid w:val="16AB0361"/>
    <w:rsid w:val="16AB4AB5"/>
    <w:rsid w:val="16AB542B"/>
    <w:rsid w:val="16ABDBE3"/>
    <w:rsid w:val="16ACB420"/>
    <w:rsid w:val="16ACE394"/>
    <w:rsid w:val="16ACF879"/>
    <w:rsid w:val="16AD2AE1"/>
    <w:rsid w:val="16ADC481"/>
    <w:rsid w:val="16AEAE7A"/>
    <w:rsid w:val="16AF9830"/>
    <w:rsid w:val="16B0FF33"/>
    <w:rsid w:val="16B22455"/>
    <w:rsid w:val="16B30748"/>
    <w:rsid w:val="16B33051"/>
    <w:rsid w:val="16B369F8"/>
    <w:rsid w:val="16B3E9C0"/>
    <w:rsid w:val="16B3F758"/>
    <w:rsid w:val="16B413DD"/>
    <w:rsid w:val="16B522F4"/>
    <w:rsid w:val="16B5BECF"/>
    <w:rsid w:val="16B698C4"/>
    <w:rsid w:val="16B6BA09"/>
    <w:rsid w:val="16B761E9"/>
    <w:rsid w:val="16B803D0"/>
    <w:rsid w:val="16B855BE"/>
    <w:rsid w:val="16B86D24"/>
    <w:rsid w:val="16B8BF1A"/>
    <w:rsid w:val="16B8FE65"/>
    <w:rsid w:val="16B9B6CD"/>
    <w:rsid w:val="16BACCB4"/>
    <w:rsid w:val="16BB2C38"/>
    <w:rsid w:val="16BB30BD"/>
    <w:rsid w:val="16BB79D9"/>
    <w:rsid w:val="16BBC60F"/>
    <w:rsid w:val="16BC5660"/>
    <w:rsid w:val="16BC88D8"/>
    <w:rsid w:val="16BCD72C"/>
    <w:rsid w:val="16BE0042"/>
    <w:rsid w:val="16BE2FC0"/>
    <w:rsid w:val="16BE6499"/>
    <w:rsid w:val="16C008A8"/>
    <w:rsid w:val="16C00D9C"/>
    <w:rsid w:val="16C063B6"/>
    <w:rsid w:val="16C09632"/>
    <w:rsid w:val="16C09D2D"/>
    <w:rsid w:val="16C0C9F2"/>
    <w:rsid w:val="16C32EAA"/>
    <w:rsid w:val="16C36340"/>
    <w:rsid w:val="16C49EA7"/>
    <w:rsid w:val="16C4BB93"/>
    <w:rsid w:val="16C51514"/>
    <w:rsid w:val="16C597FB"/>
    <w:rsid w:val="16C6643E"/>
    <w:rsid w:val="16C68D95"/>
    <w:rsid w:val="16C6EA21"/>
    <w:rsid w:val="16C74F78"/>
    <w:rsid w:val="16C76B4B"/>
    <w:rsid w:val="16C7BB73"/>
    <w:rsid w:val="16C9D3B8"/>
    <w:rsid w:val="16CA2EA8"/>
    <w:rsid w:val="16CA3862"/>
    <w:rsid w:val="16CAF326"/>
    <w:rsid w:val="16CB2E3E"/>
    <w:rsid w:val="16CB70CF"/>
    <w:rsid w:val="16CB91DC"/>
    <w:rsid w:val="16CC4E06"/>
    <w:rsid w:val="16CC5848"/>
    <w:rsid w:val="16CC873A"/>
    <w:rsid w:val="16CCE4FB"/>
    <w:rsid w:val="16CD34DB"/>
    <w:rsid w:val="16CD94F6"/>
    <w:rsid w:val="16CE2944"/>
    <w:rsid w:val="16CE6709"/>
    <w:rsid w:val="16CF97B1"/>
    <w:rsid w:val="16CFDF82"/>
    <w:rsid w:val="16D021C6"/>
    <w:rsid w:val="16D02F4E"/>
    <w:rsid w:val="16D06E7E"/>
    <w:rsid w:val="16D0EBCE"/>
    <w:rsid w:val="16D2BACB"/>
    <w:rsid w:val="16D38EAA"/>
    <w:rsid w:val="16D3F896"/>
    <w:rsid w:val="16D44263"/>
    <w:rsid w:val="16D533EA"/>
    <w:rsid w:val="16D55DFA"/>
    <w:rsid w:val="16D58498"/>
    <w:rsid w:val="16D59E04"/>
    <w:rsid w:val="16D5C005"/>
    <w:rsid w:val="16D6D70B"/>
    <w:rsid w:val="16D730CF"/>
    <w:rsid w:val="16D7381A"/>
    <w:rsid w:val="16D75F59"/>
    <w:rsid w:val="16D79087"/>
    <w:rsid w:val="16D79133"/>
    <w:rsid w:val="16D7EF5D"/>
    <w:rsid w:val="16D873E2"/>
    <w:rsid w:val="16D8BE25"/>
    <w:rsid w:val="16D94115"/>
    <w:rsid w:val="16DACAAE"/>
    <w:rsid w:val="16DB08F6"/>
    <w:rsid w:val="16DB2052"/>
    <w:rsid w:val="16DBB433"/>
    <w:rsid w:val="16DBD3D1"/>
    <w:rsid w:val="16DBFFAB"/>
    <w:rsid w:val="16DCDE0A"/>
    <w:rsid w:val="16DDB7D7"/>
    <w:rsid w:val="16DDBC25"/>
    <w:rsid w:val="16DE0051"/>
    <w:rsid w:val="16DEDE28"/>
    <w:rsid w:val="16DEE039"/>
    <w:rsid w:val="16DF0BFD"/>
    <w:rsid w:val="16DF2F9D"/>
    <w:rsid w:val="16E080C9"/>
    <w:rsid w:val="16E0837F"/>
    <w:rsid w:val="16E0A95F"/>
    <w:rsid w:val="16E11C8D"/>
    <w:rsid w:val="16E13C71"/>
    <w:rsid w:val="16E13DED"/>
    <w:rsid w:val="16E1D8A2"/>
    <w:rsid w:val="16E26415"/>
    <w:rsid w:val="16E2C87A"/>
    <w:rsid w:val="16E2F80C"/>
    <w:rsid w:val="16E34920"/>
    <w:rsid w:val="16E359A6"/>
    <w:rsid w:val="16E3F628"/>
    <w:rsid w:val="16E402E4"/>
    <w:rsid w:val="16E4D985"/>
    <w:rsid w:val="16E4DB8E"/>
    <w:rsid w:val="16E4EDDB"/>
    <w:rsid w:val="16E5069E"/>
    <w:rsid w:val="16E5D00C"/>
    <w:rsid w:val="16E669E3"/>
    <w:rsid w:val="16E76E0B"/>
    <w:rsid w:val="16E8B205"/>
    <w:rsid w:val="16E8FF0D"/>
    <w:rsid w:val="16E96365"/>
    <w:rsid w:val="16E9A534"/>
    <w:rsid w:val="16E9D6D8"/>
    <w:rsid w:val="16EA6A86"/>
    <w:rsid w:val="16EB850C"/>
    <w:rsid w:val="16EBA546"/>
    <w:rsid w:val="16EC0B56"/>
    <w:rsid w:val="16ECAAE7"/>
    <w:rsid w:val="16ECEE28"/>
    <w:rsid w:val="16ED706E"/>
    <w:rsid w:val="16EDE3A4"/>
    <w:rsid w:val="16EDE9DB"/>
    <w:rsid w:val="16EE0A69"/>
    <w:rsid w:val="16EE4A16"/>
    <w:rsid w:val="16EFA667"/>
    <w:rsid w:val="16F01138"/>
    <w:rsid w:val="16F08BAB"/>
    <w:rsid w:val="16F0E223"/>
    <w:rsid w:val="16F10687"/>
    <w:rsid w:val="16F164A3"/>
    <w:rsid w:val="16F218EF"/>
    <w:rsid w:val="16F252F0"/>
    <w:rsid w:val="16F32E91"/>
    <w:rsid w:val="16F37FB3"/>
    <w:rsid w:val="16F40CC6"/>
    <w:rsid w:val="16F448A4"/>
    <w:rsid w:val="16F5A15F"/>
    <w:rsid w:val="16F5F02D"/>
    <w:rsid w:val="16F631E4"/>
    <w:rsid w:val="16F8976D"/>
    <w:rsid w:val="16F89E52"/>
    <w:rsid w:val="16F8E04F"/>
    <w:rsid w:val="16F925A3"/>
    <w:rsid w:val="16F9F0E4"/>
    <w:rsid w:val="16FAC5DB"/>
    <w:rsid w:val="16FB1677"/>
    <w:rsid w:val="16FB5B2C"/>
    <w:rsid w:val="16FB6C1D"/>
    <w:rsid w:val="16FC40A6"/>
    <w:rsid w:val="16FCC157"/>
    <w:rsid w:val="16FD59AE"/>
    <w:rsid w:val="16FDD0C0"/>
    <w:rsid w:val="16FE0139"/>
    <w:rsid w:val="170004F8"/>
    <w:rsid w:val="170053F7"/>
    <w:rsid w:val="1700B596"/>
    <w:rsid w:val="1700F7AE"/>
    <w:rsid w:val="17015EF6"/>
    <w:rsid w:val="17018C7F"/>
    <w:rsid w:val="17018CD5"/>
    <w:rsid w:val="1701D144"/>
    <w:rsid w:val="1702300D"/>
    <w:rsid w:val="17035B32"/>
    <w:rsid w:val="1703667D"/>
    <w:rsid w:val="1703CDF6"/>
    <w:rsid w:val="17049354"/>
    <w:rsid w:val="17049CF1"/>
    <w:rsid w:val="1704ED67"/>
    <w:rsid w:val="17067CE4"/>
    <w:rsid w:val="1706AB4B"/>
    <w:rsid w:val="1707795D"/>
    <w:rsid w:val="1707ECFF"/>
    <w:rsid w:val="1707F250"/>
    <w:rsid w:val="1708D354"/>
    <w:rsid w:val="1708F053"/>
    <w:rsid w:val="1708FC83"/>
    <w:rsid w:val="17091414"/>
    <w:rsid w:val="170B24F0"/>
    <w:rsid w:val="170B51BA"/>
    <w:rsid w:val="170C2140"/>
    <w:rsid w:val="170DB2E8"/>
    <w:rsid w:val="170DB4AA"/>
    <w:rsid w:val="170E02B3"/>
    <w:rsid w:val="170E0FF4"/>
    <w:rsid w:val="170E161F"/>
    <w:rsid w:val="170E8511"/>
    <w:rsid w:val="170F0DB5"/>
    <w:rsid w:val="170F9EF9"/>
    <w:rsid w:val="170FAE16"/>
    <w:rsid w:val="17111C37"/>
    <w:rsid w:val="1711AFB3"/>
    <w:rsid w:val="1712070B"/>
    <w:rsid w:val="17128448"/>
    <w:rsid w:val="1712892C"/>
    <w:rsid w:val="1712E667"/>
    <w:rsid w:val="1712F7E8"/>
    <w:rsid w:val="171365C1"/>
    <w:rsid w:val="171374CF"/>
    <w:rsid w:val="1713F0DA"/>
    <w:rsid w:val="1713FAC1"/>
    <w:rsid w:val="1714052B"/>
    <w:rsid w:val="1714FF35"/>
    <w:rsid w:val="17153A01"/>
    <w:rsid w:val="17156FE2"/>
    <w:rsid w:val="1716E93D"/>
    <w:rsid w:val="17170751"/>
    <w:rsid w:val="171719B8"/>
    <w:rsid w:val="17176F22"/>
    <w:rsid w:val="1717EC84"/>
    <w:rsid w:val="1717FD8A"/>
    <w:rsid w:val="1718215F"/>
    <w:rsid w:val="1718244E"/>
    <w:rsid w:val="171837AF"/>
    <w:rsid w:val="17196E74"/>
    <w:rsid w:val="1719F7A9"/>
    <w:rsid w:val="171A6A4A"/>
    <w:rsid w:val="171B83C6"/>
    <w:rsid w:val="171B8D65"/>
    <w:rsid w:val="171BDFA0"/>
    <w:rsid w:val="171C0D87"/>
    <w:rsid w:val="171C2781"/>
    <w:rsid w:val="171CD8DB"/>
    <w:rsid w:val="171D2EE7"/>
    <w:rsid w:val="171D6770"/>
    <w:rsid w:val="171E4919"/>
    <w:rsid w:val="171E8194"/>
    <w:rsid w:val="171E838B"/>
    <w:rsid w:val="171E90CF"/>
    <w:rsid w:val="171F1946"/>
    <w:rsid w:val="171FAFB1"/>
    <w:rsid w:val="171FC9FA"/>
    <w:rsid w:val="171FD0B7"/>
    <w:rsid w:val="171FF1CE"/>
    <w:rsid w:val="17207FFF"/>
    <w:rsid w:val="17230DFA"/>
    <w:rsid w:val="17235D69"/>
    <w:rsid w:val="1723CA9C"/>
    <w:rsid w:val="17243112"/>
    <w:rsid w:val="172514D2"/>
    <w:rsid w:val="17253A88"/>
    <w:rsid w:val="172559EF"/>
    <w:rsid w:val="1725B98E"/>
    <w:rsid w:val="1725BA15"/>
    <w:rsid w:val="17262F1C"/>
    <w:rsid w:val="1726658B"/>
    <w:rsid w:val="1726AEEB"/>
    <w:rsid w:val="1726F592"/>
    <w:rsid w:val="1726F8C0"/>
    <w:rsid w:val="172703AF"/>
    <w:rsid w:val="17270408"/>
    <w:rsid w:val="1727441A"/>
    <w:rsid w:val="1727B913"/>
    <w:rsid w:val="172800FB"/>
    <w:rsid w:val="172844D5"/>
    <w:rsid w:val="1728851F"/>
    <w:rsid w:val="1728AE00"/>
    <w:rsid w:val="172A67C6"/>
    <w:rsid w:val="172B0332"/>
    <w:rsid w:val="172B3EFC"/>
    <w:rsid w:val="172BB3AC"/>
    <w:rsid w:val="172C4AE1"/>
    <w:rsid w:val="172C5599"/>
    <w:rsid w:val="172C8B37"/>
    <w:rsid w:val="172CAE87"/>
    <w:rsid w:val="172CD348"/>
    <w:rsid w:val="172CD430"/>
    <w:rsid w:val="172CDD1A"/>
    <w:rsid w:val="172D074D"/>
    <w:rsid w:val="172E44F0"/>
    <w:rsid w:val="172E6600"/>
    <w:rsid w:val="172EA828"/>
    <w:rsid w:val="172ED3E4"/>
    <w:rsid w:val="172F46AC"/>
    <w:rsid w:val="172F7F7B"/>
    <w:rsid w:val="172F88AB"/>
    <w:rsid w:val="17304733"/>
    <w:rsid w:val="17305C9A"/>
    <w:rsid w:val="17307B16"/>
    <w:rsid w:val="17316F6C"/>
    <w:rsid w:val="17322E44"/>
    <w:rsid w:val="17323A32"/>
    <w:rsid w:val="17332094"/>
    <w:rsid w:val="173344E2"/>
    <w:rsid w:val="173355E6"/>
    <w:rsid w:val="1733BEBE"/>
    <w:rsid w:val="173407CF"/>
    <w:rsid w:val="17354041"/>
    <w:rsid w:val="1735AC88"/>
    <w:rsid w:val="1735EE3A"/>
    <w:rsid w:val="17372050"/>
    <w:rsid w:val="17373337"/>
    <w:rsid w:val="173771E5"/>
    <w:rsid w:val="173804A7"/>
    <w:rsid w:val="17385AFC"/>
    <w:rsid w:val="17397DDA"/>
    <w:rsid w:val="173A0F8D"/>
    <w:rsid w:val="173AB6C4"/>
    <w:rsid w:val="173C5F19"/>
    <w:rsid w:val="173D7228"/>
    <w:rsid w:val="173E1885"/>
    <w:rsid w:val="173E4AF7"/>
    <w:rsid w:val="173E4E8E"/>
    <w:rsid w:val="173ED95A"/>
    <w:rsid w:val="17410639"/>
    <w:rsid w:val="17412624"/>
    <w:rsid w:val="1741A16C"/>
    <w:rsid w:val="1741AFA0"/>
    <w:rsid w:val="1741B467"/>
    <w:rsid w:val="1741C011"/>
    <w:rsid w:val="1741C3BD"/>
    <w:rsid w:val="1742EEC0"/>
    <w:rsid w:val="1743A467"/>
    <w:rsid w:val="1743E1EA"/>
    <w:rsid w:val="17441E95"/>
    <w:rsid w:val="1744A78F"/>
    <w:rsid w:val="1744BFCF"/>
    <w:rsid w:val="1745570C"/>
    <w:rsid w:val="1745C1F1"/>
    <w:rsid w:val="1747671B"/>
    <w:rsid w:val="17488774"/>
    <w:rsid w:val="1748D246"/>
    <w:rsid w:val="17497ED0"/>
    <w:rsid w:val="1749D06E"/>
    <w:rsid w:val="1749EC3B"/>
    <w:rsid w:val="174A329C"/>
    <w:rsid w:val="174A4D36"/>
    <w:rsid w:val="174AD60E"/>
    <w:rsid w:val="174B1A09"/>
    <w:rsid w:val="174B5A0E"/>
    <w:rsid w:val="174BE75D"/>
    <w:rsid w:val="174C1E4F"/>
    <w:rsid w:val="174C5B6E"/>
    <w:rsid w:val="174C7DC4"/>
    <w:rsid w:val="174D11A9"/>
    <w:rsid w:val="174D2821"/>
    <w:rsid w:val="174D5376"/>
    <w:rsid w:val="174E62A4"/>
    <w:rsid w:val="174E8C64"/>
    <w:rsid w:val="174ED786"/>
    <w:rsid w:val="174EEC41"/>
    <w:rsid w:val="174EF97C"/>
    <w:rsid w:val="174F6568"/>
    <w:rsid w:val="174FA3AC"/>
    <w:rsid w:val="17512F81"/>
    <w:rsid w:val="17520B03"/>
    <w:rsid w:val="175223D8"/>
    <w:rsid w:val="17524E8B"/>
    <w:rsid w:val="175284E9"/>
    <w:rsid w:val="175299EF"/>
    <w:rsid w:val="1753E599"/>
    <w:rsid w:val="1753E6B9"/>
    <w:rsid w:val="1753F62A"/>
    <w:rsid w:val="17544AC4"/>
    <w:rsid w:val="17544BD2"/>
    <w:rsid w:val="17548F0C"/>
    <w:rsid w:val="1754AADD"/>
    <w:rsid w:val="17555B45"/>
    <w:rsid w:val="17561F60"/>
    <w:rsid w:val="17562751"/>
    <w:rsid w:val="1756B75E"/>
    <w:rsid w:val="1757FFD8"/>
    <w:rsid w:val="1758067E"/>
    <w:rsid w:val="17585834"/>
    <w:rsid w:val="1758C013"/>
    <w:rsid w:val="17597AE1"/>
    <w:rsid w:val="17598D4C"/>
    <w:rsid w:val="175AAB38"/>
    <w:rsid w:val="175BCBAC"/>
    <w:rsid w:val="175BD873"/>
    <w:rsid w:val="175BE662"/>
    <w:rsid w:val="175C3C00"/>
    <w:rsid w:val="175CF453"/>
    <w:rsid w:val="175DAAC1"/>
    <w:rsid w:val="175E5251"/>
    <w:rsid w:val="175EB597"/>
    <w:rsid w:val="175F88F4"/>
    <w:rsid w:val="17601320"/>
    <w:rsid w:val="17603ABD"/>
    <w:rsid w:val="17609944"/>
    <w:rsid w:val="17613A90"/>
    <w:rsid w:val="17631B8B"/>
    <w:rsid w:val="17631D01"/>
    <w:rsid w:val="17634A15"/>
    <w:rsid w:val="17634DA7"/>
    <w:rsid w:val="17637C35"/>
    <w:rsid w:val="17641B33"/>
    <w:rsid w:val="176462A5"/>
    <w:rsid w:val="1764C0B9"/>
    <w:rsid w:val="17651276"/>
    <w:rsid w:val="1765CC31"/>
    <w:rsid w:val="1767573E"/>
    <w:rsid w:val="17676E6F"/>
    <w:rsid w:val="1767891D"/>
    <w:rsid w:val="17686231"/>
    <w:rsid w:val="176885B7"/>
    <w:rsid w:val="17697290"/>
    <w:rsid w:val="17697898"/>
    <w:rsid w:val="1769A8C4"/>
    <w:rsid w:val="176A1868"/>
    <w:rsid w:val="176B45D1"/>
    <w:rsid w:val="176B521B"/>
    <w:rsid w:val="176C2421"/>
    <w:rsid w:val="176C35B5"/>
    <w:rsid w:val="176C52B3"/>
    <w:rsid w:val="176D03B9"/>
    <w:rsid w:val="176DB119"/>
    <w:rsid w:val="176DD1C6"/>
    <w:rsid w:val="176E5BEF"/>
    <w:rsid w:val="176F1774"/>
    <w:rsid w:val="176F3018"/>
    <w:rsid w:val="1770917C"/>
    <w:rsid w:val="17716DBD"/>
    <w:rsid w:val="1771DDD3"/>
    <w:rsid w:val="1771E883"/>
    <w:rsid w:val="17729F4C"/>
    <w:rsid w:val="1772C9B0"/>
    <w:rsid w:val="177480E0"/>
    <w:rsid w:val="1775293D"/>
    <w:rsid w:val="1775A81D"/>
    <w:rsid w:val="1775D50E"/>
    <w:rsid w:val="177627B6"/>
    <w:rsid w:val="1776D713"/>
    <w:rsid w:val="17777309"/>
    <w:rsid w:val="1779B6A6"/>
    <w:rsid w:val="177AE5D6"/>
    <w:rsid w:val="177B920E"/>
    <w:rsid w:val="177D5B61"/>
    <w:rsid w:val="177E4294"/>
    <w:rsid w:val="177E7DCF"/>
    <w:rsid w:val="177F63C1"/>
    <w:rsid w:val="177F7FB9"/>
    <w:rsid w:val="177FA8A6"/>
    <w:rsid w:val="177FB0EF"/>
    <w:rsid w:val="1780C77D"/>
    <w:rsid w:val="17811ED7"/>
    <w:rsid w:val="1781A179"/>
    <w:rsid w:val="1781D4BC"/>
    <w:rsid w:val="17820E09"/>
    <w:rsid w:val="17824CEE"/>
    <w:rsid w:val="1782B245"/>
    <w:rsid w:val="1782F116"/>
    <w:rsid w:val="17839FC7"/>
    <w:rsid w:val="1783EFC4"/>
    <w:rsid w:val="1783F658"/>
    <w:rsid w:val="1784136F"/>
    <w:rsid w:val="17848F96"/>
    <w:rsid w:val="1784A24A"/>
    <w:rsid w:val="1784D185"/>
    <w:rsid w:val="1785C6A5"/>
    <w:rsid w:val="1786109B"/>
    <w:rsid w:val="17863821"/>
    <w:rsid w:val="1787E620"/>
    <w:rsid w:val="17886FA0"/>
    <w:rsid w:val="17889DF2"/>
    <w:rsid w:val="1788A101"/>
    <w:rsid w:val="17892B7B"/>
    <w:rsid w:val="178A2944"/>
    <w:rsid w:val="178A72F8"/>
    <w:rsid w:val="178ABB66"/>
    <w:rsid w:val="178B1651"/>
    <w:rsid w:val="178B9B7B"/>
    <w:rsid w:val="178BD3FB"/>
    <w:rsid w:val="178CAC5E"/>
    <w:rsid w:val="178CF38D"/>
    <w:rsid w:val="178D5276"/>
    <w:rsid w:val="178E4934"/>
    <w:rsid w:val="178E7C73"/>
    <w:rsid w:val="178E7CAC"/>
    <w:rsid w:val="178F306A"/>
    <w:rsid w:val="178F7FBA"/>
    <w:rsid w:val="17902529"/>
    <w:rsid w:val="179039F8"/>
    <w:rsid w:val="17907BBD"/>
    <w:rsid w:val="179131A9"/>
    <w:rsid w:val="17914765"/>
    <w:rsid w:val="1791C2F9"/>
    <w:rsid w:val="17926275"/>
    <w:rsid w:val="17928D63"/>
    <w:rsid w:val="1792B65A"/>
    <w:rsid w:val="17936886"/>
    <w:rsid w:val="1793AAE3"/>
    <w:rsid w:val="1793DE61"/>
    <w:rsid w:val="179441CE"/>
    <w:rsid w:val="17949B20"/>
    <w:rsid w:val="1794EF61"/>
    <w:rsid w:val="17952302"/>
    <w:rsid w:val="179558F7"/>
    <w:rsid w:val="179689E4"/>
    <w:rsid w:val="1796A9E1"/>
    <w:rsid w:val="179753A7"/>
    <w:rsid w:val="17981F86"/>
    <w:rsid w:val="1798284F"/>
    <w:rsid w:val="17991C21"/>
    <w:rsid w:val="179A1787"/>
    <w:rsid w:val="179A7E19"/>
    <w:rsid w:val="179BC2AE"/>
    <w:rsid w:val="179C4B10"/>
    <w:rsid w:val="179C7DEF"/>
    <w:rsid w:val="179D5A87"/>
    <w:rsid w:val="179EF6E8"/>
    <w:rsid w:val="17A15AEB"/>
    <w:rsid w:val="17A1934F"/>
    <w:rsid w:val="17A1D9B2"/>
    <w:rsid w:val="17A22F65"/>
    <w:rsid w:val="17A25BCF"/>
    <w:rsid w:val="17A32026"/>
    <w:rsid w:val="17A32A46"/>
    <w:rsid w:val="17A331AF"/>
    <w:rsid w:val="17A38B91"/>
    <w:rsid w:val="17A43427"/>
    <w:rsid w:val="17A6258B"/>
    <w:rsid w:val="17A81A0C"/>
    <w:rsid w:val="17A81C87"/>
    <w:rsid w:val="17A81EC3"/>
    <w:rsid w:val="17A8C4B3"/>
    <w:rsid w:val="17A90441"/>
    <w:rsid w:val="17A983C9"/>
    <w:rsid w:val="17A9989B"/>
    <w:rsid w:val="17A9F2FB"/>
    <w:rsid w:val="17AA14C9"/>
    <w:rsid w:val="17AB459A"/>
    <w:rsid w:val="17AB66BE"/>
    <w:rsid w:val="17ACF1DB"/>
    <w:rsid w:val="17AE45FB"/>
    <w:rsid w:val="17AEE51B"/>
    <w:rsid w:val="17AF0C3A"/>
    <w:rsid w:val="17AF0EB0"/>
    <w:rsid w:val="17AFB0DE"/>
    <w:rsid w:val="17B034C1"/>
    <w:rsid w:val="17B078F0"/>
    <w:rsid w:val="17B14B6C"/>
    <w:rsid w:val="17B1B8A6"/>
    <w:rsid w:val="17B2252F"/>
    <w:rsid w:val="17B2AD39"/>
    <w:rsid w:val="17B2B3B4"/>
    <w:rsid w:val="17B2C418"/>
    <w:rsid w:val="17B35C35"/>
    <w:rsid w:val="17B388F5"/>
    <w:rsid w:val="17B3F18A"/>
    <w:rsid w:val="17B4275C"/>
    <w:rsid w:val="17B55D77"/>
    <w:rsid w:val="17B5C0F6"/>
    <w:rsid w:val="17B68D85"/>
    <w:rsid w:val="17B74255"/>
    <w:rsid w:val="17B7CA77"/>
    <w:rsid w:val="17B7E2BD"/>
    <w:rsid w:val="17B89C3E"/>
    <w:rsid w:val="17B91021"/>
    <w:rsid w:val="17B9158F"/>
    <w:rsid w:val="17B93C30"/>
    <w:rsid w:val="17BA7976"/>
    <w:rsid w:val="17BC4CE7"/>
    <w:rsid w:val="17BC6389"/>
    <w:rsid w:val="17BC9049"/>
    <w:rsid w:val="17BCC2BB"/>
    <w:rsid w:val="17BD8463"/>
    <w:rsid w:val="17BD9846"/>
    <w:rsid w:val="17BD9D03"/>
    <w:rsid w:val="17BDE73B"/>
    <w:rsid w:val="17BE19CF"/>
    <w:rsid w:val="17BE3D7E"/>
    <w:rsid w:val="17BEA4EF"/>
    <w:rsid w:val="17BF3155"/>
    <w:rsid w:val="17BF32DB"/>
    <w:rsid w:val="17BFB0B6"/>
    <w:rsid w:val="17BFD553"/>
    <w:rsid w:val="17C0F52D"/>
    <w:rsid w:val="17C1701E"/>
    <w:rsid w:val="17C279AF"/>
    <w:rsid w:val="17C2C6BA"/>
    <w:rsid w:val="17C3229A"/>
    <w:rsid w:val="17C33EC9"/>
    <w:rsid w:val="17C46BEC"/>
    <w:rsid w:val="17C4BBCF"/>
    <w:rsid w:val="17C5E2AB"/>
    <w:rsid w:val="17C6AB2F"/>
    <w:rsid w:val="17C6C4AC"/>
    <w:rsid w:val="17C6F8B4"/>
    <w:rsid w:val="17C7DE26"/>
    <w:rsid w:val="17C82889"/>
    <w:rsid w:val="17C83254"/>
    <w:rsid w:val="17C87224"/>
    <w:rsid w:val="17C8C1EA"/>
    <w:rsid w:val="17C973DE"/>
    <w:rsid w:val="17CA27B8"/>
    <w:rsid w:val="17CA721B"/>
    <w:rsid w:val="17CACF83"/>
    <w:rsid w:val="17CB1675"/>
    <w:rsid w:val="17CC34E0"/>
    <w:rsid w:val="17CD1F70"/>
    <w:rsid w:val="17CD5D1F"/>
    <w:rsid w:val="17CDFC12"/>
    <w:rsid w:val="17CE308D"/>
    <w:rsid w:val="17CE9F13"/>
    <w:rsid w:val="17CF5CD9"/>
    <w:rsid w:val="17CF74F6"/>
    <w:rsid w:val="17CFAD84"/>
    <w:rsid w:val="17D0537C"/>
    <w:rsid w:val="17D0A1C7"/>
    <w:rsid w:val="17D0F9A2"/>
    <w:rsid w:val="17D1625D"/>
    <w:rsid w:val="17D17D23"/>
    <w:rsid w:val="17D1CE22"/>
    <w:rsid w:val="17D2321B"/>
    <w:rsid w:val="17D36D89"/>
    <w:rsid w:val="17D3983D"/>
    <w:rsid w:val="17D43AE6"/>
    <w:rsid w:val="17D45CB7"/>
    <w:rsid w:val="17D4ED4B"/>
    <w:rsid w:val="17D50F02"/>
    <w:rsid w:val="17D535D1"/>
    <w:rsid w:val="17D53EAA"/>
    <w:rsid w:val="17D5B5E8"/>
    <w:rsid w:val="17D63B33"/>
    <w:rsid w:val="17D67823"/>
    <w:rsid w:val="17D77516"/>
    <w:rsid w:val="17D7BAE0"/>
    <w:rsid w:val="17DAAB29"/>
    <w:rsid w:val="17DBE38D"/>
    <w:rsid w:val="17DC0A8C"/>
    <w:rsid w:val="17DCC20C"/>
    <w:rsid w:val="17DD35B6"/>
    <w:rsid w:val="17DDA4B8"/>
    <w:rsid w:val="17DDA8A9"/>
    <w:rsid w:val="17DE29B2"/>
    <w:rsid w:val="17DE880B"/>
    <w:rsid w:val="17DF2B2F"/>
    <w:rsid w:val="17DF2EE6"/>
    <w:rsid w:val="17DF7FAC"/>
    <w:rsid w:val="17DFB378"/>
    <w:rsid w:val="17E0134B"/>
    <w:rsid w:val="17E084F1"/>
    <w:rsid w:val="17E13A3F"/>
    <w:rsid w:val="17E13E32"/>
    <w:rsid w:val="17E1990E"/>
    <w:rsid w:val="17E2DD73"/>
    <w:rsid w:val="17E30FB8"/>
    <w:rsid w:val="17E321FD"/>
    <w:rsid w:val="17E37288"/>
    <w:rsid w:val="17E3E494"/>
    <w:rsid w:val="17E3F079"/>
    <w:rsid w:val="17E4A664"/>
    <w:rsid w:val="17E5F9B5"/>
    <w:rsid w:val="17E602B0"/>
    <w:rsid w:val="17E68250"/>
    <w:rsid w:val="17E6C821"/>
    <w:rsid w:val="17E7675A"/>
    <w:rsid w:val="17E7A53A"/>
    <w:rsid w:val="17EAEE3F"/>
    <w:rsid w:val="17EB151C"/>
    <w:rsid w:val="17EB2504"/>
    <w:rsid w:val="17EBC331"/>
    <w:rsid w:val="17EBCA3D"/>
    <w:rsid w:val="17ED1B3E"/>
    <w:rsid w:val="17EDC02C"/>
    <w:rsid w:val="17EDDC45"/>
    <w:rsid w:val="17EDFA3F"/>
    <w:rsid w:val="17EE3FE2"/>
    <w:rsid w:val="17EE8767"/>
    <w:rsid w:val="17EE9C3F"/>
    <w:rsid w:val="17EFF724"/>
    <w:rsid w:val="17F0701B"/>
    <w:rsid w:val="17F12222"/>
    <w:rsid w:val="17F13375"/>
    <w:rsid w:val="17F14B0E"/>
    <w:rsid w:val="17F15DEC"/>
    <w:rsid w:val="17F26DE3"/>
    <w:rsid w:val="17F3272D"/>
    <w:rsid w:val="17F34A13"/>
    <w:rsid w:val="17F42F31"/>
    <w:rsid w:val="17F445A3"/>
    <w:rsid w:val="17F44720"/>
    <w:rsid w:val="17F46B13"/>
    <w:rsid w:val="17F486E2"/>
    <w:rsid w:val="17F48F74"/>
    <w:rsid w:val="17F4F815"/>
    <w:rsid w:val="17F55F64"/>
    <w:rsid w:val="17F56E52"/>
    <w:rsid w:val="17F57C7B"/>
    <w:rsid w:val="17F5EDAA"/>
    <w:rsid w:val="17F68727"/>
    <w:rsid w:val="17F6ACEB"/>
    <w:rsid w:val="17F725C9"/>
    <w:rsid w:val="17F73F03"/>
    <w:rsid w:val="17F77616"/>
    <w:rsid w:val="17F7B021"/>
    <w:rsid w:val="17F80E0C"/>
    <w:rsid w:val="17F99856"/>
    <w:rsid w:val="17FA0981"/>
    <w:rsid w:val="17FA8E3B"/>
    <w:rsid w:val="17FB7274"/>
    <w:rsid w:val="17FBAA51"/>
    <w:rsid w:val="17FBAB94"/>
    <w:rsid w:val="17FC19A7"/>
    <w:rsid w:val="17FC2A74"/>
    <w:rsid w:val="17FCF4B0"/>
    <w:rsid w:val="17FD335D"/>
    <w:rsid w:val="17FD9B17"/>
    <w:rsid w:val="17FDA055"/>
    <w:rsid w:val="17FDD463"/>
    <w:rsid w:val="17FF3AF6"/>
    <w:rsid w:val="17FF44FE"/>
    <w:rsid w:val="17FF69E9"/>
    <w:rsid w:val="1800243F"/>
    <w:rsid w:val="1800367A"/>
    <w:rsid w:val="1800E72F"/>
    <w:rsid w:val="1800EBCA"/>
    <w:rsid w:val="1801831F"/>
    <w:rsid w:val="18027CAB"/>
    <w:rsid w:val="18037185"/>
    <w:rsid w:val="18038DDA"/>
    <w:rsid w:val="1803914E"/>
    <w:rsid w:val="18045958"/>
    <w:rsid w:val="18076187"/>
    <w:rsid w:val="1807B854"/>
    <w:rsid w:val="1808120F"/>
    <w:rsid w:val="180814FB"/>
    <w:rsid w:val="180941F7"/>
    <w:rsid w:val="18097684"/>
    <w:rsid w:val="1809A442"/>
    <w:rsid w:val="180A05D2"/>
    <w:rsid w:val="180B0903"/>
    <w:rsid w:val="180B817D"/>
    <w:rsid w:val="180BFA9C"/>
    <w:rsid w:val="180C4404"/>
    <w:rsid w:val="180CAA77"/>
    <w:rsid w:val="180CD7E1"/>
    <w:rsid w:val="180D0AC0"/>
    <w:rsid w:val="180D45F8"/>
    <w:rsid w:val="180D89AD"/>
    <w:rsid w:val="180D9B00"/>
    <w:rsid w:val="180DBFE2"/>
    <w:rsid w:val="180DD578"/>
    <w:rsid w:val="180E5C66"/>
    <w:rsid w:val="180E865C"/>
    <w:rsid w:val="180F1ABD"/>
    <w:rsid w:val="180FA157"/>
    <w:rsid w:val="180FFC34"/>
    <w:rsid w:val="18100FAA"/>
    <w:rsid w:val="181043E3"/>
    <w:rsid w:val="181045ED"/>
    <w:rsid w:val="1810C458"/>
    <w:rsid w:val="181153D2"/>
    <w:rsid w:val="1811D44A"/>
    <w:rsid w:val="1812453A"/>
    <w:rsid w:val="1812A552"/>
    <w:rsid w:val="18133E4D"/>
    <w:rsid w:val="18134425"/>
    <w:rsid w:val="18145E65"/>
    <w:rsid w:val="18148B34"/>
    <w:rsid w:val="1814AAF6"/>
    <w:rsid w:val="1814AEAD"/>
    <w:rsid w:val="1814B20E"/>
    <w:rsid w:val="18150062"/>
    <w:rsid w:val="1815563D"/>
    <w:rsid w:val="181634B2"/>
    <w:rsid w:val="18169A62"/>
    <w:rsid w:val="18169B89"/>
    <w:rsid w:val="181701C8"/>
    <w:rsid w:val="1817CCB3"/>
    <w:rsid w:val="1817E2C0"/>
    <w:rsid w:val="18180A52"/>
    <w:rsid w:val="1818B65E"/>
    <w:rsid w:val="18190F0C"/>
    <w:rsid w:val="18199E7E"/>
    <w:rsid w:val="1819D8E7"/>
    <w:rsid w:val="181A4C2E"/>
    <w:rsid w:val="181A6B2A"/>
    <w:rsid w:val="181AAA41"/>
    <w:rsid w:val="181BEB62"/>
    <w:rsid w:val="181BFA71"/>
    <w:rsid w:val="181C02F6"/>
    <w:rsid w:val="181C06FE"/>
    <w:rsid w:val="181C576B"/>
    <w:rsid w:val="181D2997"/>
    <w:rsid w:val="181DBD6A"/>
    <w:rsid w:val="181E266C"/>
    <w:rsid w:val="181E2C7C"/>
    <w:rsid w:val="181EDB9A"/>
    <w:rsid w:val="181FF34A"/>
    <w:rsid w:val="18212FE4"/>
    <w:rsid w:val="182142CA"/>
    <w:rsid w:val="18217624"/>
    <w:rsid w:val="18219E1D"/>
    <w:rsid w:val="1821F88C"/>
    <w:rsid w:val="18220474"/>
    <w:rsid w:val="182266FF"/>
    <w:rsid w:val="1822D5A4"/>
    <w:rsid w:val="18238123"/>
    <w:rsid w:val="1823D3AA"/>
    <w:rsid w:val="1823DA92"/>
    <w:rsid w:val="18243DD7"/>
    <w:rsid w:val="1824E970"/>
    <w:rsid w:val="1826896C"/>
    <w:rsid w:val="1826930A"/>
    <w:rsid w:val="18276F46"/>
    <w:rsid w:val="182772B5"/>
    <w:rsid w:val="1829A7CE"/>
    <w:rsid w:val="182A7E9E"/>
    <w:rsid w:val="182B0E29"/>
    <w:rsid w:val="182B3B49"/>
    <w:rsid w:val="182B92FC"/>
    <w:rsid w:val="182CE015"/>
    <w:rsid w:val="182D252E"/>
    <w:rsid w:val="182E1D2B"/>
    <w:rsid w:val="182E5EE3"/>
    <w:rsid w:val="182E8065"/>
    <w:rsid w:val="182FEC24"/>
    <w:rsid w:val="1830D4D5"/>
    <w:rsid w:val="1830E5ED"/>
    <w:rsid w:val="1831251E"/>
    <w:rsid w:val="18315C4C"/>
    <w:rsid w:val="18317998"/>
    <w:rsid w:val="1831BB72"/>
    <w:rsid w:val="1831D2BB"/>
    <w:rsid w:val="1832366C"/>
    <w:rsid w:val="18326A85"/>
    <w:rsid w:val="1832C78C"/>
    <w:rsid w:val="1832FA37"/>
    <w:rsid w:val="1832FBD9"/>
    <w:rsid w:val="18339628"/>
    <w:rsid w:val="18339E6C"/>
    <w:rsid w:val="18344548"/>
    <w:rsid w:val="18346E11"/>
    <w:rsid w:val="18349407"/>
    <w:rsid w:val="1834E7FD"/>
    <w:rsid w:val="183548A0"/>
    <w:rsid w:val="183570B4"/>
    <w:rsid w:val="1835C352"/>
    <w:rsid w:val="1835D691"/>
    <w:rsid w:val="1836BECE"/>
    <w:rsid w:val="1836EE60"/>
    <w:rsid w:val="183791F6"/>
    <w:rsid w:val="1838F747"/>
    <w:rsid w:val="18393228"/>
    <w:rsid w:val="18393517"/>
    <w:rsid w:val="183967DB"/>
    <w:rsid w:val="183AF1B9"/>
    <w:rsid w:val="183BAB70"/>
    <w:rsid w:val="183BE26B"/>
    <w:rsid w:val="183BF2EB"/>
    <w:rsid w:val="183D09E4"/>
    <w:rsid w:val="183D3B95"/>
    <w:rsid w:val="183DE7D6"/>
    <w:rsid w:val="183E8735"/>
    <w:rsid w:val="183EC2BA"/>
    <w:rsid w:val="183F7643"/>
    <w:rsid w:val="183F8E6D"/>
    <w:rsid w:val="184067B1"/>
    <w:rsid w:val="1840A5C0"/>
    <w:rsid w:val="1840D81C"/>
    <w:rsid w:val="1840EE67"/>
    <w:rsid w:val="1840F0A2"/>
    <w:rsid w:val="1840FB53"/>
    <w:rsid w:val="18411973"/>
    <w:rsid w:val="18412E8C"/>
    <w:rsid w:val="18414B65"/>
    <w:rsid w:val="1841A744"/>
    <w:rsid w:val="1843A2A6"/>
    <w:rsid w:val="1843AD1D"/>
    <w:rsid w:val="1845081F"/>
    <w:rsid w:val="1845800A"/>
    <w:rsid w:val="1845A39D"/>
    <w:rsid w:val="1845C387"/>
    <w:rsid w:val="1845C7F0"/>
    <w:rsid w:val="18460B34"/>
    <w:rsid w:val="1846218A"/>
    <w:rsid w:val="1846A448"/>
    <w:rsid w:val="18470895"/>
    <w:rsid w:val="18470B15"/>
    <w:rsid w:val="1847A8B9"/>
    <w:rsid w:val="18485307"/>
    <w:rsid w:val="18486433"/>
    <w:rsid w:val="1848A531"/>
    <w:rsid w:val="1848CE5F"/>
    <w:rsid w:val="18491830"/>
    <w:rsid w:val="18493331"/>
    <w:rsid w:val="18498BE3"/>
    <w:rsid w:val="1849F12A"/>
    <w:rsid w:val="184A3298"/>
    <w:rsid w:val="184A9CFB"/>
    <w:rsid w:val="184ADAC0"/>
    <w:rsid w:val="184B119E"/>
    <w:rsid w:val="184BF429"/>
    <w:rsid w:val="184D1586"/>
    <w:rsid w:val="184DC916"/>
    <w:rsid w:val="184F8B1C"/>
    <w:rsid w:val="1850EEA9"/>
    <w:rsid w:val="18510254"/>
    <w:rsid w:val="18536557"/>
    <w:rsid w:val="185375C0"/>
    <w:rsid w:val="1853ED01"/>
    <w:rsid w:val="18541DA5"/>
    <w:rsid w:val="18544AFA"/>
    <w:rsid w:val="1855396B"/>
    <w:rsid w:val="18555277"/>
    <w:rsid w:val="18560B17"/>
    <w:rsid w:val="18576346"/>
    <w:rsid w:val="18578DD8"/>
    <w:rsid w:val="18582D64"/>
    <w:rsid w:val="18585B99"/>
    <w:rsid w:val="185874E8"/>
    <w:rsid w:val="1858F500"/>
    <w:rsid w:val="1859EEF6"/>
    <w:rsid w:val="185A1C61"/>
    <w:rsid w:val="185ACD37"/>
    <w:rsid w:val="185B4026"/>
    <w:rsid w:val="185B4281"/>
    <w:rsid w:val="185B646E"/>
    <w:rsid w:val="185B8D0B"/>
    <w:rsid w:val="185CE3D9"/>
    <w:rsid w:val="185D83C0"/>
    <w:rsid w:val="185DD0E9"/>
    <w:rsid w:val="185DEF48"/>
    <w:rsid w:val="185EACE9"/>
    <w:rsid w:val="185F31A7"/>
    <w:rsid w:val="186034B2"/>
    <w:rsid w:val="18605BE6"/>
    <w:rsid w:val="1860ED65"/>
    <w:rsid w:val="1862332D"/>
    <w:rsid w:val="186251C3"/>
    <w:rsid w:val="1863032A"/>
    <w:rsid w:val="18631405"/>
    <w:rsid w:val="1863809F"/>
    <w:rsid w:val="1863922B"/>
    <w:rsid w:val="18644392"/>
    <w:rsid w:val="186452A0"/>
    <w:rsid w:val="1866CD73"/>
    <w:rsid w:val="1866DB2F"/>
    <w:rsid w:val="1866DB5F"/>
    <w:rsid w:val="18675F63"/>
    <w:rsid w:val="1867949B"/>
    <w:rsid w:val="1867EBCD"/>
    <w:rsid w:val="1868025A"/>
    <w:rsid w:val="18681ADB"/>
    <w:rsid w:val="1868323A"/>
    <w:rsid w:val="186884DE"/>
    <w:rsid w:val="1868A4EA"/>
    <w:rsid w:val="1868D1AC"/>
    <w:rsid w:val="186988F1"/>
    <w:rsid w:val="1869E863"/>
    <w:rsid w:val="186A06D4"/>
    <w:rsid w:val="186A2C75"/>
    <w:rsid w:val="186A9AD2"/>
    <w:rsid w:val="186B0D98"/>
    <w:rsid w:val="186B15CA"/>
    <w:rsid w:val="186B31FF"/>
    <w:rsid w:val="186BEC15"/>
    <w:rsid w:val="186E6009"/>
    <w:rsid w:val="186F6DA7"/>
    <w:rsid w:val="186FB3EB"/>
    <w:rsid w:val="18701FAB"/>
    <w:rsid w:val="187064D0"/>
    <w:rsid w:val="1870C8D4"/>
    <w:rsid w:val="18715137"/>
    <w:rsid w:val="18716234"/>
    <w:rsid w:val="1871F0F5"/>
    <w:rsid w:val="187270C8"/>
    <w:rsid w:val="1872BBE7"/>
    <w:rsid w:val="1873789C"/>
    <w:rsid w:val="1874BD0D"/>
    <w:rsid w:val="18753F93"/>
    <w:rsid w:val="18758277"/>
    <w:rsid w:val="1875E379"/>
    <w:rsid w:val="1875FD26"/>
    <w:rsid w:val="18762E8F"/>
    <w:rsid w:val="1876DA4F"/>
    <w:rsid w:val="1876E6C4"/>
    <w:rsid w:val="18774873"/>
    <w:rsid w:val="187753AF"/>
    <w:rsid w:val="18777FB0"/>
    <w:rsid w:val="1878D9D0"/>
    <w:rsid w:val="1878DD15"/>
    <w:rsid w:val="187BFCFC"/>
    <w:rsid w:val="187C419B"/>
    <w:rsid w:val="187D8343"/>
    <w:rsid w:val="187DB701"/>
    <w:rsid w:val="187E567E"/>
    <w:rsid w:val="187ECECE"/>
    <w:rsid w:val="187F16EE"/>
    <w:rsid w:val="187F2152"/>
    <w:rsid w:val="187F4C9B"/>
    <w:rsid w:val="187FB90F"/>
    <w:rsid w:val="18803048"/>
    <w:rsid w:val="188174EA"/>
    <w:rsid w:val="1881D6E1"/>
    <w:rsid w:val="18820F8C"/>
    <w:rsid w:val="188225B2"/>
    <w:rsid w:val="18829812"/>
    <w:rsid w:val="1882EB90"/>
    <w:rsid w:val="1883979B"/>
    <w:rsid w:val="1885112F"/>
    <w:rsid w:val="188563F9"/>
    <w:rsid w:val="1885EDA0"/>
    <w:rsid w:val="1885EF10"/>
    <w:rsid w:val="18862EF7"/>
    <w:rsid w:val="1886B5B2"/>
    <w:rsid w:val="1886F598"/>
    <w:rsid w:val="188A5F38"/>
    <w:rsid w:val="188AC905"/>
    <w:rsid w:val="188B6B39"/>
    <w:rsid w:val="188B90A2"/>
    <w:rsid w:val="188BD6ED"/>
    <w:rsid w:val="188CAEEF"/>
    <w:rsid w:val="188D6D33"/>
    <w:rsid w:val="188E6A13"/>
    <w:rsid w:val="188F0419"/>
    <w:rsid w:val="188FDBBE"/>
    <w:rsid w:val="1891201D"/>
    <w:rsid w:val="1891DF79"/>
    <w:rsid w:val="1891E2F0"/>
    <w:rsid w:val="189200FD"/>
    <w:rsid w:val="1892A950"/>
    <w:rsid w:val="18930112"/>
    <w:rsid w:val="1893CE01"/>
    <w:rsid w:val="18941637"/>
    <w:rsid w:val="18944B3F"/>
    <w:rsid w:val="18946C10"/>
    <w:rsid w:val="18960360"/>
    <w:rsid w:val="18977C1E"/>
    <w:rsid w:val="18978079"/>
    <w:rsid w:val="18979CBB"/>
    <w:rsid w:val="18988F69"/>
    <w:rsid w:val="189891B9"/>
    <w:rsid w:val="1899E2FC"/>
    <w:rsid w:val="189A4E95"/>
    <w:rsid w:val="189AA1FB"/>
    <w:rsid w:val="189ABC58"/>
    <w:rsid w:val="189B956B"/>
    <w:rsid w:val="189BAEA1"/>
    <w:rsid w:val="189BC5C8"/>
    <w:rsid w:val="189BDF1B"/>
    <w:rsid w:val="189C548C"/>
    <w:rsid w:val="189CDC67"/>
    <w:rsid w:val="189D0CAE"/>
    <w:rsid w:val="189D1AD1"/>
    <w:rsid w:val="189D4DCB"/>
    <w:rsid w:val="189D81AB"/>
    <w:rsid w:val="189DB6B7"/>
    <w:rsid w:val="189DC656"/>
    <w:rsid w:val="189E4945"/>
    <w:rsid w:val="189E7455"/>
    <w:rsid w:val="189EF809"/>
    <w:rsid w:val="189F7220"/>
    <w:rsid w:val="189FA3F4"/>
    <w:rsid w:val="189FDCFD"/>
    <w:rsid w:val="189FF7A9"/>
    <w:rsid w:val="18A02F14"/>
    <w:rsid w:val="18A0D391"/>
    <w:rsid w:val="18A1A966"/>
    <w:rsid w:val="18A230EC"/>
    <w:rsid w:val="18A254E9"/>
    <w:rsid w:val="18A317C7"/>
    <w:rsid w:val="18A3AF0F"/>
    <w:rsid w:val="18A3DA24"/>
    <w:rsid w:val="18A3E987"/>
    <w:rsid w:val="18A4737E"/>
    <w:rsid w:val="18A4F834"/>
    <w:rsid w:val="18A5072F"/>
    <w:rsid w:val="18A566FC"/>
    <w:rsid w:val="18A747A3"/>
    <w:rsid w:val="18A76480"/>
    <w:rsid w:val="18A7EAB8"/>
    <w:rsid w:val="18A84361"/>
    <w:rsid w:val="18A87F25"/>
    <w:rsid w:val="18A8D866"/>
    <w:rsid w:val="18A91DC3"/>
    <w:rsid w:val="18A9CE2D"/>
    <w:rsid w:val="18A9ED80"/>
    <w:rsid w:val="18AAB852"/>
    <w:rsid w:val="18AB8ED7"/>
    <w:rsid w:val="18AB99E0"/>
    <w:rsid w:val="18ABE9F5"/>
    <w:rsid w:val="18AC4044"/>
    <w:rsid w:val="18AE2065"/>
    <w:rsid w:val="18AE5285"/>
    <w:rsid w:val="18AF1BBE"/>
    <w:rsid w:val="18AF3029"/>
    <w:rsid w:val="18AF3ADC"/>
    <w:rsid w:val="18AFB9B8"/>
    <w:rsid w:val="18AFE6D4"/>
    <w:rsid w:val="18B037B9"/>
    <w:rsid w:val="18B1273E"/>
    <w:rsid w:val="18B1D4B8"/>
    <w:rsid w:val="18B21664"/>
    <w:rsid w:val="18B21E46"/>
    <w:rsid w:val="18B225DD"/>
    <w:rsid w:val="18B2DE0A"/>
    <w:rsid w:val="18B3607E"/>
    <w:rsid w:val="18B4673F"/>
    <w:rsid w:val="18B5F47D"/>
    <w:rsid w:val="18B7381C"/>
    <w:rsid w:val="18B74540"/>
    <w:rsid w:val="18B75A59"/>
    <w:rsid w:val="18B818D1"/>
    <w:rsid w:val="18B90FF0"/>
    <w:rsid w:val="18B95346"/>
    <w:rsid w:val="18B95579"/>
    <w:rsid w:val="18B9ED9D"/>
    <w:rsid w:val="18BA65C5"/>
    <w:rsid w:val="18BAC2DC"/>
    <w:rsid w:val="18BAE479"/>
    <w:rsid w:val="18BB4CAD"/>
    <w:rsid w:val="18BCE933"/>
    <w:rsid w:val="18BD1C79"/>
    <w:rsid w:val="18BD2F64"/>
    <w:rsid w:val="18BD77AE"/>
    <w:rsid w:val="18BDBAD7"/>
    <w:rsid w:val="18BDBC01"/>
    <w:rsid w:val="18BE56F1"/>
    <w:rsid w:val="18BEEDC4"/>
    <w:rsid w:val="18BF2CAD"/>
    <w:rsid w:val="18BFA4B9"/>
    <w:rsid w:val="18C1BC8A"/>
    <w:rsid w:val="18C2C254"/>
    <w:rsid w:val="18C3996A"/>
    <w:rsid w:val="18C3CF6C"/>
    <w:rsid w:val="18C47640"/>
    <w:rsid w:val="18C4CA1F"/>
    <w:rsid w:val="18C57296"/>
    <w:rsid w:val="18C58EFB"/>
    <w:rsid w:val="18C59CA9"/>
    <w:rsid w:val="18C5D7E7"/>
    <w:rsid w:val="18C5EF83"/>
    <w:rsid w:val="18C68B40"/>
    <w:rsid w:val="18C6EA9A"/>
    <w:rsid w:val="18C7B30A"/>
    <w:rsid w:val="18C7E1C7"/>
    <w:rsid w:val="18C7F640"/>
    <w:rsid w:val="18C87BEA"/>
    <w:rsid w:val="18C9BEC6"/>
    <w:rsid w:val="18CA5FCC"/>
    <w:rsid w:val="18CABFC5"/>
    <w:rsid w:val="18CC1D3F"/>
    <w:rsid w:val="18CC39C9"/>
    <w:rsid w:val="18CC4165"/>
    <w:rsid w:val="18CD324D"/>
    <w:rsid w:val="18CD6A23"/>
    <w:rsid w:val="18CE3E36"/>
    <w:rsid w:val="18CE99B0"/>
    <w:rsid w:val="18CEACC4"/>
    <w:rsid w:val="18CF8FE5"/>
    <w:rsid w:val="18CFE25A"/>
    <w:rsid w:val="18D01490"/>
    <w:rsid w:val="18D03590"/>
    <w:rsid w:val="18D1119E"/>
    <w:rsid w:val="18D18BD5"/>
    <w:rsid w:val="18D1DBF2"/>
    <w:rsid w:val="18D23F24"/>
    <w:rsid w:val="18D2D24C"/>
    <w:rsid w:val="18D2ED30"/>
    <w:rsid w:val="18D38D20"/>
    <w:rsid w:val="18D3ED22"/>
    <w:rsid w:val="18D58055"/>
    <w:rsid w:val="18D5F2E0"/>
    <w:rsid w:val="18D70112"/>
    <w:rsid w:val="18D70246"/>
    <w:rsid w:val="18D74443"/>
    <w:rsid w:val="18D751B9"/>
    <w:rsid w:val="18D81630"/>
    <w:rsid w:val="18D81D52"/>
    <w:rsid w:val="18D8DAE4"/>
    <w:rsid w:val="18DA4426"/>
    <w:rsid w:val="18DA846B"/>
    <w:rsid w:val="18DB61F2"/>
    <w:rsid w:val="18DC45B9"/>
    <w:rsid w:val="18DC4745"/>
    <w:rsid w:val="18DCB696"/>
    <w:rsid w:val="18DD7284"/>
    <w:rsid w:val="18DEE7CE"/>
    <w:rsid w:val="18DEFDEA"/>
    <w:rsid w:val="18DF49F6"/>
    <w:rsid w:val="18DFB55A"/>
    <w:rsid w:val="18E02763"/>
    <w:rsid w:val="18E04E0F"/>
    <w:rsid w:val="18E061A1"/>
    <w:rsid w:val="18E0B066"/>
    <w:rsid w:val="18E0F45F"/>
    <w:rsid w:val="18E14FA1"/>
    <w:rsid w:val="18E18128"/>
    <w:rsid w:val="18E1F5CF"/>
    <w:rsid w:val="18E3DC69"/>
    <w:rsid w:val="18E412ED"/>
    <w:rsid w:val="18E48B24"/>
    <w:rsid w:val="18E52738"/>
    <w:rsid w:val="18E52E29"/>
    <w:rsid w:val="18E54DA1"/>
    <w:rsid w:val="18E69368"/>
    <w:rsid w:val="18E6A7E2"/>
    <w:rsid w:val="18E70808"/>
    <w:rsid w:val="18E7C06A"/>
    <w:rsid w:val="18E849BB"/>
    <w:rsid w:val="18EB0C74"/>
    <w:rsid w:val="18EB15AA"/>
    <w:rsid w:val="18EB1647"/>
    <w:rsid w:val="18EBEAF7"/>
    <w:rsid w:val="18ECEF3C"/>
    <w:rsid w:val="18ED58DF"/>
    <w:rsid w:val="18EDF76E"/>
    <w:rsid w:val="18EE56F3"/>
    <w:rsid w:val="18EEA367"/>
    <w:rsid w:val="18EEE57C"/>
    <w:rsid w:val="18EEE99D"/>
    <w:rsid w:val="18EF0589"/>
    <w:rsid w:val="18EF295D"/>
    <w:rsid w:val="18EFA68D"/>
    <w:rsid w:val="18F02F43"/>
    <w:rsid w:val="18F07FAB"/>
    <w:rsid w:val="18F1118A"/>
    <w:rsid w:val="18F12B73"/>
    <w:rsid w:val="18F12EFE"/>
    <w:rsid w:val="18F20BD8"/>
    <w:rsid w:val="18F295CD"/>
    <w:rsid w:val="18F2AE87"/>
    <w:rsid w:val="18F322FB"/>
    <w:rsid w:val="18F3748A"/>
    <w:rsid w:val="18F42CC5"/>
    <w:rsid w:val="18F47CD0"/>
    <w:rsid w:val="18F4B95E"/>
    <w:rsid w:val="18F55766"/>
    <w:rsid w:val="18F577E9"/>
    <w:rsid w:val="18F59868"/>
    <w:rsid w:val="18F666CD"/>
    <w:rsid w:val="18F66AAF"/>
    <w:rsid w:val="18F72611"/>
    <w:rsid w:val="18F90C86"/>
    <w:rsid w:val="18F92436"/>
    <w:rsid w:val="18F97563"/>
    <w:rsid w:val="18F9C2B5"/>
    <w:rsid w:val="18F9EC69"/>
    <w:rsid w:val="18FA371A"/>
    <w:rsid w:val="18FA5632"/>
    <w:rsid w:val="18FABC88"/>
    <w:rsid w:val="18FC2189"/>
    <w:rsid w:val="18FC5039"/>
    <w:rsid w:val="18FCADB1"/>
    <w:rsid w:val="18FD749C"/>
    <w:rsid w:val="18FE06F6"/>
    <w:rsid w:val="18FE2EC0"/>
    <w:rsid w:val="18FF0074"/>
    <w:rsid w:val="18FF6A2E"/>
    <w:rsid w:val="18FFF01D"/>
    <w:rsid w:val="1901F936"/>
    <w:rsid w:val="19020B14"/>
    <w:rsid w:val="19024391"/>
    <w:rsid w:val="1902A38D"/>
    <w:rsid w:val="190312AE"/>
    <w:rsid w:val="19038CC5"/>
    <w:rsid w:val="1903DAE0"/>
    <w:rsid w:val="1903DD77"/>
    <w:rsid w:val="1904C06E"/>
    <w:rsid w:val="19053C36"/>
    <w:rsid w:val="190619CC"/>
    <w:rsid w:val="190634DD"/>
    <w:rsid w:val="1906A781"/>
    <w:rsid w:val="19076087"/>
    <w:rsid w:val="19089704"/>
    <w:rsid w:val="19094894"/>
    <w:rsid w:val="1909ECD4"/>
    <w:rsid w:val="190A5ACE"/>
    <w:rsid w:val="190C4A13"/>
    <w:rsid w:val="190C9886"/>
    <w:rsid w:val="190D5AAF"/>
    <w:rsid w:val="190DEE80"/>
    <w:rsid w:val="190E5AF1"/>
    <w:rsid w:val="190E706D"/>
    <w:rsid w:val="191074D6"/>
    <w:rsid w:val="1910A63A"/>
    <w:rsid w:val="1912D8A1"/>
    <w:rsid w:val="1913D432"/>
    <w:rsid w:val="1914558A"/>
    <w:rsid w:val="19146122"/>
    <w:rsid w:val="19151FC6"/>
    <w:rsid w:val="1916EFBD"/>
    <w:rsid w:val="1916F4F5"/>
    <w:rsid w:val="19172B55"/>
    <w:rsid w:val="1917B3DE"/>
    <w:rsid w:val="1917DF68"/>
    <w:rsid w:val="19184970"/>
    <w:rsid w:val="1918CDA4"/>
    <w:rsid w:val="19198535"/>
    <w:rsid w:val="191996E7"/>
    <w:rsid w:val="1919E1E1"/>
    <w:rsid w:val="191A0BDE"/>
    <w:rsid w:val="191AFB35"/>
    <w:rsid w:val="191B45BC"/>
    <w:rsid w:val="191B4DE6"/>
    <w:rsid w:val="191B722F"/>
    <w:rsid w:val="191B9757"/>
    <w:rsid w:val="191C05D5"/>
    <w:rsid w:val="191C4722"/>
    <w:rsid w:val="191CB7E7"/>
    <w:rsid w:val="191DC5E9"/>
    <w:rsid w:val="191E02F1"/>
    <w:rsid w:val="191E948F"/>
    <w:rsid w:val="191E9EB5"/>
    <w:rsid w:val="191EB480"/>
    <w:rsid w:val="191FD5A7"/>
    <w:rsid w:val="192009C7"/>
    <w:rsid w:val="1920560C"/>
    <w:rsid w:val="19206F6B"/>
    <w:rsid w:val="19209FDD"/>
    <w:rsid w:val="1920C197"/>
    <w:rsid w:val="192196BA"/>
    <w:rsid w:val="19221EC5"/>
    <w:rsid w:val="192287FF"/>
    <w:rsid w:val="1922B37B"/>
    <w:rsid w:val="1922CE25"/>
    <w:rsid w:val="19237DB4"/>
    <w:rsid w:val="19256EDA"/>
    <w:rsid w:val="19268BF4"/>
    <w:rsid w:val="19276003"/>
    <w:rsid w:val="19278BFC"/>
    <w:rsid w:val="1927B304"/>
    <w:rsid w:val="19280431"/>
    <w:rsid w:val="19289A57"/>
    <w:rsid w:val="1928E324"/>
    <w:rsid w:val="1929E49C"/>
    <w:rsid w:val="192A2F01"/>
    <w:rsid w:val="192A8BF0"/>
    <w:rsid w:val="192B97AE"/>
    <w:rsid w:val="192C2E23"/>
    <w:rsid w:val="192C4940"/>
    <w:rsid w:val="192C6A2D"/>
    <w:rsid w:val="192C9A5C"/>
    <w:rsid w:val="192D6F19"/>
    <w:rsid w:val="192D7A84"/>
    <w:rsid w:val="192E0873"/>
    <w:rsid w:val="192E68F3"/>
    <w:rsid w:val="192F0E4F"/>
    <w:rsid w:val="192F4A59"/>
    <w:rsid w:val="1930F120"/>
    <w:rsid w:val="1931249A"/>
    <w:rsid w:val="193215E0"/>
    <w:rsid w:val="1932AF25"/>
    <w:rsid w:val="1932EB17"/>
    <w:rsid w:val="1932FBE4"/>
    <w:rsid w:val="1933A111"/>
    <w:rsid w:val="1934319D"/>
    <w:rsid w:val="19355F8C"/>
    <w:rsid w:val="193673F1"/>
    <w:rsid w:val="1937CBEC"/>
    <w:rsid w:val="1937FD53"/>
    <w:rsid w:val="1938F332"/>
    <w:rsid w:val="193974C5"/>
    <w:rsid w:val="193A9552"/>
    <w:rsid w:val="193A95E0"/>
    <w:rsid w:val="193B3EFA"/>
    <w:rsid w:val="193C05A8"/>
    <w:rsid w:val="193CCB8E"/>
    <w:rsid w:val="193DD6FF"/>
    <w:rsid w:val="193E107B"/>
    <w:rsid w:val="193E6712"/>
    <w:rsid w:val="193EBFC0"/>
    <w:rsid w:val="193FCF3C"/>
    <w:rsid w:val="193FD933"/>
    <w:rsid w:val="193FF15E"/>
    <w:rsid w:val="1940361D"/>
    <w:rsid w:val="19403817"/>
    <w:rsid w:val="194173A5"/>
    <w:rsid w:val="1941D52D"/>
    <w:rsid w:val="19422384"/>
    <w:rsid w:val="1942298D"/>
    <w:rsid w:val="19424BC5"/>
    <w:rsid w:val="1943282E"/>
    <w:rsid w:val="19433313"/>
    <w:rsid w:val="1943DF49"/>
    <w:rsid w:val="1943FBEC"/>
    <w:rsid w:val="1944A1D2"/>
    <w:rsid w:val="19459AA5"/>
    <w:rsid w:val="1946BD5A"/>
    <w:rsid w:val="1946D255"/>
    <w:rsid w:val="1947C5A4"/>
    <w:rsid w:val="1947D73A"/>
    <w:rsid w:val="1948A203"/>
    <w:rsid w:val="19499B58"/>
    <w:rsid w:val="1949FAB4"/>
    <w:rsid w:val="194A7AFF"/>
    <w:rsid w:val="194C89DB"/>
    <w:rsid w:val="194CAE8C"/>
    <w:rsid w:val="194D1A09"/>
    <w:rsid w:val="194E4C20"/>
    <w:rsid w:val="194ECC9C"/>
    <w:rsid w:val="19502D1A"/>
    <w:rsid w:val="1950765C"/>
    <w:rsid w:val="1950BBBC"/>
    <w:rsid w:val="19510012"/>
    <w:rsid w:val="195100AC"/>
    <w:rsid w:val="19510BE5"/>
    <w:rsid w:val="19513C17"/>
    <w:rsid w:val="19515315"/>
    <w:rsid w:val="1951ADFD"/>
    <w:rsid w:val="1951BFC9"/>
    <w:rsid w:val="1952BB8F"/>
    <w:rsid w:val="19531CDC"/>
    <w:rsid w:val="19545695"/>
    <w:rsid w:val="19545EC4"/>
    <w:rsid w:val="1954A829"/>
    <w:rsid w:val="1955DDCB"/>
    <w:rsid w:val="1957990C"/>
    <w:rsid w:val="1957E069"/>
    <w:rsid w:val="1957E7E3"/>
    <w:rsid w:val="1958C9D8"/>
    <w:rsid w:val="1959E557"/>
    <w:rsid w:val="195A349E"/>
    <w:rsid w:val="195A9B08"/>
    <w:rsid w:val="195AC58D"/>
    <w:rsid w:val="195B360B"/>
    <w:rsid w:val="195E13D5"/>
    <w:rsid w:val="195E2942"/>
    <w:rsid w:val="195E4D21"/>
    <w:rsid w:val="195ED868"/>
    <w:rsid w:val="195F0A45"/>
    <w:rsid w:val="195FD86E"/>
    <w:rsid w:val="195FE4CB"/>
    <w:rsid w:val="1960D89D"/>
    <w:rsid w:val="1962DD97"/>
    <w:rsid w:val="1963A0AA"/>
    <w:rsid w:val="1963A0BB"/>
    <w:rsid w:val="19647344"/>
    <w:rsid w:val="1964A4AE"/>
    <w:rsid w:val="196533FF"/>
    <w:rsid w:val="19654CB8"/>
    <w:rsid w:val="1966D467"/>
    <w:rsid w:val="1967E901"/>
    <w:rsid w:val="19686BF9"/>
    <w:rsid w:val="196896EF"/>
    <w:rsid w:val="1968DC69"/>
    <w:rsid w:val="1968F36E"/>
    <w:rsid w:val="196983DF"/>
    <w:rsid w:val="1969F23D"/>
    <w:rsid w:val="196A491E"/>
    <w:rsid w:val="196AF91F"/>
    <w:rsid w:val="196AFCF1"/>
    <w:rsid w:val="196B7D7D"/>
    <w:rsid w:val="196B97F8"/>
    <w:rsid w:val="196C077D"/>
    <w:rsid w:val="196C6BB1"/>
    <w:rsid w:val="196C7438"/>
    <w:rsid w:val="196CA99A"/>
    <w:rsid w:val="196CCBB6"/>
    <w:rsid w:val="196D2D04"/>
    <w:rsid w:val="196EA361"/>
    <w:rsid w:val="196EA71C"/>
    <w:rsid w:val="196F1E79"/>
    <w:rsid w:val="196F6A3F"/>
    <w:rsid w:val="196FAB8E"/>
    <w:rsid w:val="196FEDF8"/>
    <w:rsid w:val="196FFFB4"/>
    <w:rsid w:val="1972226A"/>
    <w:rsid w:val="19727ED7"/>
    <w:rsid w:val="197299DE"/>
    <w:rsid w:val="19732707"/>
    <w:rsid w:val="1973D232"/>
    <w:rsid w:val="1974577E"/>
    <w:rsid w:val="1974686F"/>
    <w:rsid w:val="19748353"/>
    <w:rsid w:val="1974956D"/>
    <w:rsid w:val="1974A377"/>
    <w:rsid w:val="1974BCFD"/>
    <w:rsid w:val="1975968A"/>
    <w:rsid w:val="19766B1E"/>
    <w:rsid w:val="1976C12B"/>
    <w:rsid w:val="1977659A"/>
    <w:rsid w:val="1977BF4D"/>
    <w:rsid w:val="1977C613"/>
    <w:rsid w:val="19793436"/>
    <w:rsid w:val="19793978"/>
    <w:rsid w:val="19795258"/>
    <w:rsid w:val="19796FF7"/>
    <w:rsid w:val="197A19A7"/>
    <w:rsid w:val="197A4329"/>
    <w:rsid w:val="197A9815"/>
    <w:rsid w:val="197C82BA"/>
    <w:rsid w:val="197D1A47"/>
    <w:rsid w:val="197DCDBC"/>
    <w:rsid w:val="197DF998"/>
    <w:rsid w:val="197E4790"/>
    <w:rsid w:val="197EA042"/>
    <w:rsid w:val="197ECDF6"/>
    <w:rsid w:val="197F5472"/>
    <w:rsid w:val="1980B832"/>
    <w:rsid w:val="19810686"/>
    <w:rsid w:val="19819220"/>
    <w:rsid w:val="1981F226"/>
    <w:rsid w:val="19824E2F"/>
    <w:rsid w:val="1982AA85"/>
    <w:rsid w:val="1982B734"/>
    <w:rsid w:val="19838AEC"/>
    <w:rsid w:val="198396BB"/>
    <w:rsid w:val="1983B6F5"/>
    <w:rsid w:val="1983D133"/>
    <w:rsid w:val="198443F5"/>
    <w:rsid w:val="1984C103"/>
    <w:rsid w:val="1984F305"/>
    <w:rsid w:val="198584DB"/>
    <w:rsid w:val="1985B967"/>
    <w:rsid w:val="1985FAA7"/>
    <w:rsid w:val="19866277"/>
    <w:rsid w:val="198667E2"/>
    <w:rsid w:val="1986E016"/>
    <w:rsid w:val="1986EB41"/>
    <w:rsid w:val="1987036B"/>
    <w:rsid w:val="198712C6"/>
    <w:rsid w:val="198728C0"/>
    <w:rsid w:val="198792BA"/>
    <w:rsid w:val="1987C895"/>
    <w:rsid w:val="1987E446"/>
    <w:rsid w:val="1988B07C"/>
    <w:rsid w:val="1988B169"/>
    <w:rsid w:val="1989642C"/>
    <w:rsid w:val="198A9AB7"/>
    <w:rsid w:val="198AD4EC"/>
    <w:rsid w:val="198AD513"/>
    <w:rsid w:val="198AE299"/>
    <w:rsid w:val="198BA99E"/>
    <w:rsid w:val="198CC14F"/>
    <w:rsid w:val="198E3955"/>
    <w:rsid w:val="198E7849"/>
    <w:rsid w:val="198E9ACC"/>
    <w:rsid w:val="198EC8DE"/>
    <w:rsid w:val="198F9396"/>
    <w:rsid w:val="198F9B36"/>
    <w:rsid w:val="198FB53E"/>
    <w:rsid w:val="19903587"/>
    <w:rsid w:val="1990E895"/>
    <w:rsid w:val="1990FCC4"/>
    <w:rsid w:val="1991695F"/>
    <w:rsid w:val="1991BC88"/>
    <w:rsid w:val="19922A4C"/>
    <w:rsid w:val="19937BF0"/>
    <w:rsid w:val="1993CEF6"/>
    <w:rsid w:val="19945A73"/>
    <w:rsid w:val="1994B7BE"/>
    <w:rsid w:val="19965A28"/>
    <w:rsid w:val="1996F8D6"/>
    <w:rsid w:val="19973FAD"/>
    <w:rsid w:val="199786FC"/>
    <w:rsid w:val="19984253"/>
    <w:rsid w:val="199898F3"/>
    <w:rsid w:val="19990D30"/>
    <w:rsid w:val="1999471C"/>
    <w:rsid w:val="199A0928"/>
    <w:rsid w:val="199A7715"/>
    <w:rsid w:val="199A794A"/>
    <w:rsid w:val="199A7B55"/>
    <w:rsid w:val="199AA21B"/>
    <w:rsid w:val="199BA868"/>
    <w:rsid w:val="199C5996"/>
    <w:rsid w:val="199CAB50"/>
    <w:rsid w:val="199D4AF0"/>
    <w:rsid w:val="199E7750"/>
    <w:rsid w:val="199F2886"/>
    <w:rsid w:val="199F87C2"/>
    <w:rsid w:val="19A03178"/>
    <w:rsid w:val="19A04CDA"/>
    <w:rsid w:val="19A0B607"/>
    <w:rsid w:val="19A0D7B0"/>
    <w:rsid w:val="19A1803C"/>
    <w:rsid w:val="19A1E912"/>
    <w:rsid w:val="19A1EDE2"/>
    <w:rsid w:val="19A2788D"/>
    <w:rsid w:val="19A2E3B2"/>
    <w:rsid w:val="19A38A09"/>
    <w:rsid w:val="19A49983"/>
    <w:rsid w:val="19A4CEB9"/>
    <w:rsid w:val="19A59745"/>
    <w:rsid w:val="19A61DB6"/>
    <w:rsid w:val="19A6251B"/>
    <w:rsid w:val="19A63034"/>
    <w:rsid w:val="19A65153"/>
    <w:rsid w:val="19A788FA"/>
    <w:rsid w:val="19A7EE89"/>
    <w:rsid w:val="19A8A526"/>
    <w:rsid w:val="19A92451"/>
    <w:rsid w:val="19A9BBF2"/>
    <w:rsid w:val="19AA2CC8"/>
    <w:rsid w:val="19AA3A8E"/>
    <w:rsid w:val="19AC0EB4"/>
    <w:rsid w:val="19AC4EE9"/>
    <w:rsid w:val="19AD1E79"/>
    <w:rsid w:val="19AD4804"/>
    <w:rsid w:val="19AD5AF7"/>
    <w:rsid w:val="19ADB27F"/>
    <w:rsid w:val="19AE0517"/>
    <w:rsid w:val="19AE120A"/>
    <w:rsid w:val="19AE159B"/>
    <w:rsid w:val="19AE8ED0"/>
    <w:rsid w:val="19AF2061"/>
    <w:rsid w:val="19B038C3"/>
    <w:rsid w:val="19B26386"/>
    <w:rsid w:val="19B4B413"/>
    <w:rsid w:val="19B5B46E"/>
    <w:rsid w:val="19B68C1A"/>
    <w:rsid w:val="19B732C7"/>
    <w:rsid w:val="19B774D0"/>
    <w:rsid w:val="19B89D2A"/>
    <w:rsid w:val="19B99C72"/>
    <w:rsid w:val="19BA65DC"/>
    <w:rsid w:val="19BB5A7F"/>
    <w:rsid w:val="19BBAED5"/>
    <w:rsid w:val="19BCAFBC"/>
    <w:rsid w:val="19BCCFE9"/>
    <w:rsid w:val="19BD0FF8"/>
    <w:rsid w:val="19BDCA9D"/>
    <w:rsid w:val="19BDD763"/>
    <w:rsid w:val="19BDE0AC"/>
    <w:rsid w:val="19BDF503"/>
    <w:rsid w:val="19BF16F2"/>
    <w:rsid w:val="19BF549B"/>
    <w:rsid w:val="19C0C3E8"/>
    <w:rsid w:val="19C17EBF"/>
    <w:rsid w:val="19C1C756"/>
    <w:rsid w:val="19C2A4C3"/>
    <w:rsid w:val="19C37EE7"/>
    <w:rsid w:val="19C5123E"/>
    <w:rsid w:val="19C5FABB"/>
    <w:rsid w:val="19C5FEDB"/>
    <w:rsid w:val="19C6F218"/>
    <w:rsid w:val="19C6F488"/>
    <w:rsid w:val="19C79C3E"/>
    <w:rsid w:val="19C7AA1F"/>
    <w:rsid w:val="19C8743D"/>
    <w:rsid w:val="19C8767F"/>
    <w:rsid w:val="19C8D7DD"/>
    <w:rsid w:val="19C95A26"/>
    <w:rsid w:val="19CA003F"/>
    <w:rsid w:val="19CAE58E"/>
    <w:rsid w:val="19CB07CF"/>
    <w:rsid w:val="19CB27E6"/>
    <w:rsid w:val="19CB870A"/>
    <w:rsid w:val="19CBD716"/>
    <w:rsid w:val="19CC69E0"/>
    <w:rsid w:val="19CCE06B"/>
    <w:rsid w:val="19CCE745"/>
    <w:rsid w:val="19CD9140"/>
    <w:rsid w:val="19CDA105"/>
    <w:rsid w:val="19CE269D"/>
    <w:rsid w:val="19CE3B34"/>
    <w:rsid w:val="19CE89D2"/>
    <w:rsid w:val="19CF6473"/>
    <w:rsid w:val="19CFABBC"/>
    <w:rsid w:val="19D07544"/>
    <w:rsid w:val="19D114D8"/>
    <w:rsid w:val="19D18F00"/>
    <w:rsid w:val="19D18FB6"/>
    <w:rsid w:val="19D1DF5B"/>
    <w:rsid w:val="19D24006"/>
    <w:rsid w:val="19D281F7"/>
    <w:rsid w:val="19D2A043"/>
    <w:rsid w:val="19D2A7C1"/>
    <w:rsid w:val="19D2BDFB"/>
    <w:rsid w:val="19D3300A"/>
    <w:rsid w:val="19D365A1"/>
    <w:rsid w:val="19D36B68"/>
    <w:rsid w:val="19D37C9A"/>
    <w:rsid w:val="19D4096D"/>
    <w:rsid w:val="19D582BF"/>
    <w:rsid w:val="19D5BCD1"/>
    <w:rsid w:val="19D5C731"/>
    <w:rsid w:val="19D5DF8D"/>
    <w:rsid w:val="19D72AC1"/>
    <w:rsid w:val="19D7A776"/>
    <w:rsid w:val="19D814D5"/>
    <w:rsid w:val="19D8A437"/>
    <w:rsid w:val="19D9752A"/>
    <w:rsid w:val="19D9BFE8"/>
    <w:rsid w:val="19D9F530"/>
    <w:rsid w:val="19DA0EF8"/>
    <w:rsid w:val="19DB05E3"/>
    <w:rsid w:val="19DB6B47"/>
    <w:rsid w:val="19DC055A"/>
    <w:rsid w:val="19DC40E6"/>
    <w:rsid w:val="19DC8033"/>
    <w:rsid w:val="19DCEBD3"/>
    <w:rsid w:val="19DD2D7A"/>
    <w:rsid w:val="19DE2A68"/>
    <w:rsid w:val="19DE8A59"/>
    <w:rsid w:val="19DF73EF"/>
    <w:rsid w:val="19DF7CDD"/>
    <w:rsid w:val="19E0A989"/>
    <w:rsid w:val="19E0CF84"/>
    <w:rsid w:val="19E1949F"/>
    <w:rsid w:val="19E25ACE"/>
    <w:rsid w:val="19E26522"/>
    <w:rsid w:val="19E36B96"/>
    <w:rsid w:val="19E3C6A5"/>
    <w:rsid w:val="19E44DBD"/>
    <w:rsid w:val="19E451BC"/>
    <w:rsid w:val="19E52026"/>
    <w:rsid w:val="19E55F7E"/>
    <w:rsid w:val="19E567F2"/>
    <w:rsid w:val="19E595B5"/>
    <w:rsid w:val="19E5EC77"/>
    <w:rsid w:val="19E62033"/>
    <w:rsid w:val="19E6DAF6"/>
    <w:rsid w:val="19E74D4B"/>
    <w:rsid w:val="19E750E7"/>
    <w:rsid w:val="19E777A0"/>
    <w:rsid w:val="19E78286"/>
    <w:rsid w:val="19E7965B"/>
    <w:rsid w:val="19E81808"/>
    <w:rsid w:val="19E830DE"/>
    <w:rsid w:val="19E8B235"/>
    <w:rsid w:val="19E917E1"/>
    <w:rsid w:val="19EA5697"/>
    <w:rsid w:val="19EA91DF"/>
    <w:rsid w:val="19EB5C54"/>
    <w:rsid w:val="19EC7630"/>
    <w:rsid w:val="19EC99E6"/>
    <w:rsid w:val="19ECBF4E"/>
    <w:rsid w:val="19ED7001"/>
    <w:rsid w:val="19EE4B4B"/>
    <w:rsid w:val="19EE5426"/>
    <w:rsid w:val="19EE6F9D"/>
    <w:rsid w:val="19EEC3D3"/>
    <w:rsid w:val="19EF3F87"/>
    <w:rsid w:val="19EF8B3C"/>
    <w:rsid w:val="19EFE580"/>
    <w:rsid w:val="19F006CD"/>
    <w:rsid w:val="19F0D00F"/>
    <w:rsid w:val="19F0F0FF"/>
    <w:rsid w:val="19F1B213"/>
    <w:rsid w:val="19F26728"/>
    <w:rsid w:val="19F2DCED"/>
    <w:rsid w:val="19F3ADA0"/>
    <w:rsid w:val="19F41C2A"/>
    <w:rsid w:val="19F44D9F"/>
    <w:rsid w:val="19F48810"/>
    <w:rsid w:val="19F59122"/>
    <w:rsid w:val="19F60480"/>
    <w:rsid w:val="19F61A99"/>
    <w:rsid w:val="19F64E7D"/>
    <w:rsid w:val="19F65CA0"/>
    <w:rsid w:val="19F6C6F6"/>
    <w:rsid w:val="19F6E6E9"/>
    <w:rsid w:val="19F7578F"/>
    <w:rsid w:val="19F80D6F"/>
    <w:rsid w:val="19F8D0DB"/>
    <w:rsid w:val="19F97B31"/>
    <w:rsid w:val="19F9D703"/>
    <w:rsid w:val="19FA0FF1"/>
    <w:rsid w:val="19FA2992"/>
    <w:rsid w:val="19FA6372"/>
    <w:rsid w:val="19FA767F"/>
    <w:rsid w:val="19FBE521"/>
    <w:rsid w:val="19FE60DE"/>
    <w:rsid w:val="19FE900D"/>
    <w:rsid w:val="19FF6264"/>
    <w:rsid w:val="19FFB5C0"/>
    <w:rsid w:val="19FFE77A"/>
    <w:rsid w:val="1A00AC8B"/>
    <w:rsid w:val="1A00F9EF"/>
    <w:rsid w:val="1A020402"/>
    <w:rsid w:val="1A024B9E"/>
    <w:rsid w:val="1A02961B"/>
    <w:rsid w:val="1A0298D5"/>
    <w:rsid w:val="1A02AE99"/>
    <w:rsid w:val="1A02C185"/>
    <w:rsid w:val="1A039676"/>
    <w:rsid w:val="1A048FC5"/>
    <w:rsid w:val="1A07BC47"/>
    <w:rsid w:val="1A07E622"/>
    <w:rsid w:val="1A07E84C"/>
    <w:rsid w:val="1A0804EC"/>
    <w:rsid w:val="1A084C02"/>
    <w:rsid w:val="1A084E75"/>
    <w:rsid w:val="1A08DB39"/>
    <w:rsid w:val="1A0928E8"/>
    <w:rsid w:val="1A09686E"/>
    <w:rsid w:val="1A097EF2"/>
    <w:rsid w:val="1A0A3520"/>
    <w:rsid w:val="1A0A4168"/>
    <w:rsid w:val="1A0A5493"/>
    <w:rsid w:val="1A0AD112"/>
    <w:rsid w:val="1A0B4897"/>
    <w:rsid w:val="1A0BA1D0"/>
    <w:rsid w:val="1A0BDFE0"/>
    <w:rsid w:val="1A0C2DDB"/>
    <w:rsid w:val="1A0D0442"/>
    <w:rsid w:val="1A0D1E08"/>
    <w:rsid w:val="1A0EE93D"/>
    <w:rsid w:val="1A0F0358"/>
    <w:rsid w:val="1A0F440B"/>
    <w:rsid w:val="1A0FB7AB"/>
    <w:rsid w:val="1A0FF8E2"/>
    <w:rsid w:val="1A10799E"/>
    <w:rsid w:val="1A116DBC"/>
    <w:rsid w:val="1A118C9F"/>
    <w:rsid w:val="1A118D0A"/>
    <w:rsid w:val="1A1204ED"/>
    <w:rsid w:val="1A121862"/>
    <w:rsid w:val="1A125D21"/>
    <w:rsid w:val="1A12A6A7"/>
    <w:rsid w:val="1A132668"/>
    <w:rsid w:val="1A134BC1"/>
    <w:rsid w:val="1A1382B4"/>
    <w:rsid w:val="1A1446D9"/>
    <w:rsid w:val="1A1491AA"/>
    <w:rsid w:val="1A151049"/>
    <w:rsid w:val="1A151803"/>
    <w:rsid w:val="1A156B85"/>
    <w:rsid w:val="1A162196"/>
    <w:rsid w:val="1A16E15B"/>
    <w:rsid w:val="1A172620"/>
    <w:rsid w:val="1A17323A"/>
    <w:rsid w:val="1A173A61"/>
    <w:rsid w:val="1A177CF0"/>
    <w:rsid w:val="1A17F18D"/>
    <w:rsid w:val="1A185624"/>
    <w:rsid w:val="1A1965E8"/>
    <w:rsid w:val="1A1992FB"/>
    <w:rsid w:val="1A19EFDE"/>
    <w:rsid w:val="1A1A3140"/>
    <w:rsid w:val="1A1A3C47"/>
    <w:rsid w:val="1A1A9BFA"/>
    <w:rsid w:val="1A1B1F46"/>
    <w:rsid w:val="1A1B644D"/>
    <w:rsid w:val="1A1BDC7E"/>
    <w:rsid w:val="1A1DC21B"/>
    <w:rsid w:val="1A1DD13F"/>
    <w:rsid w:val="1A1DFAD5"/>
    <w:rsid w:val="1A1E351E"/>
    <w:rsid w:val="1A1E57B3"/>
    <w:rsid w:val="1A1E9FA4"/>
    <w:rsid w:val="1A1EBA59"/>
    <w:rsid w:val="1A1F4375"/>
    <w:rsid w:val="1A1F8BA0"/>
    <w:rsid w:val="1A204EEB"/>
    <w:rsid w:val="1A218052"/>
    <w:rsid w:val="1A228558"/>
    <w:rsid w:val="1A2369A2"/>
    <w:rsid w:val="1A242696"/>
    <w:rsid w:val="1A25798C"/>
    <w:rsid w:val="1A27D182"/>
    <w:rsid w:val="1A296C6B"/>
    <w:rsid w:val="1A29D9F7"/>
    <w:rsid w:val="1A29ED9C"/>
    <w:rsid w:val="1A2A0EEC"/>
    <w:rsid w:val="1A2A174F"/>
    <w:rsid w:val="1A2A8A03"/>
    <w:rsid w:val="1A2B4285"/>
    <w:rsid w:val="1A2C0DF9"/>
    <w:rsid w:val="1A2C475C"/>
    <w:rsid w:val="1A2CAA20"/>
    <w:rsid w:val="1A2D0D94"/>
    <w:rsid w:val="1A2D16A5"/>
    <w:rsid w:val="1A2DAEAA"/>
    <w:rsid w:val="1A2F2079"/>
    <w:rsid w:val="1A2F519B"/>
    <w:rsid w:val="1A2F75B8"/>
    <w:rsid w:val="1A2F7E54"/>
    <w:rsid w:val="1A2F7EE4"/>
    <w:rsid w:val="1A2FAD6A"/>
    <w:rsid w:val="1A30369C"/>
    <w:rsid w:val="1A305AFF"/>
    <w:rsid w:val="1A310E3D"/>
    <w:rsid w:val="1A3128AA"/>
    <w:rsid w:val="1A313513"/>
    <w:rsid w:val="1A3162CB"/>
    <w:rsid w:val="1A317A1B"/>
    <w:rsid w:val="1A3220C3"/>
    <w:rsid w:val="1A325281"/>
    <w:rsid w:val="1A32FDF4"/>
    <w:rsid w:val="1A347897"/>
    <w:rsid w:val="1A349FD7"/>
    <w:rsid w:val="1A34DC82"/>
    <w:rsid w:val="1A34EBF8"/>
    <w:rsid w:val="1A355D3A"/>
    <w:rsid w:val="1A360776"/>
    <w:rsid w:val="1A3639EE"/>
    <w:rsid w:val="1A367CD1"/>
    <w:rsid w:val="1A36E76E"/>
    <w:rsid w:val="1A376E10"/>
    <w:rsid w:val="1A38368E"/>
    <w:rsid w:val="1A39164C"/>
    <w:rsid w:val="1A39CBDE"/>
    <w:rsid w:val="1A39DF74"/>
    <w:rsid w:val="1A3A03CB"/>
    <w:rsid w:val="1A3A69CD"/>
    <w:rsid w:val="1A3A9C34"/>
    <w:rsid w:val="1A3B1245"/>
    <w:rsid w:val="1A3B18D8"/>
    <w:rsid w:val="1A3B4461"/>
    <w:rsid w:val="1A3BCE9C"/>
    <w:rsid w:val="1A3BF549"/>
    <w:rsid w:val="1A3CBA3B"/>
    <w:rsid w:val="1A3CD4FB"/>
    <w:rsid w:val="1A3CD5E8"/>
    <w:rsid w:val="1A3DBBE0"/>
    <w:rsid w:val="1A3E0F8D"/>
    <w:rsid w:val="1A3E11EE"/>
    <w:rsid w:val="1A3F77C4"/>
    <w:rsid w:val="1A41375E"/>
    <w:rsid w:val="1A41889E"/>
    <w:rsid w:val="1A420C46"/>
    <w:rsid w:val="1A421D2B"/>
    <w:rsid w:val="1A42565C"/>
    <w:rsid w:val="1A432E02"/>
    <w:rsid w:val="1A43957C"/>
    <w:rsid w:val="1A43C526"/>
    <w:rsid w:val="1A444C36"/>
    <w:rsid w:val="1A4474E5"/>
    <w:rsid w:val="1A4605DB"/>
    <w:rsid w:val="1A46DBA2"/>
    <w:rsid w:val="1A474C7B"/>
    <w:rsid w:val="1A480B4F"/>
    <w:rsid w:val="1A48B0DA"/>
    <w:rsid w:val="1A48DAD0"/>
    <w:rsid w:val="1A49A5DF"/>
    <w:rsid w:val="1A4B1AF4"/>
    <w:rsid w:val="1A4B6DBB"/>
    <w:rsid w:val="1A4B7670"/>
    <w:rsid w:val="1A4B8226"/>
    <w:rsid w:val="1A4B86F3"/>
    <w:rsid w:val="1A4BB0B9"/>
    <w:rsid w:val="1A4C329B"/>
    <w:rsid w:val="1A4C7423"/>
    <w:rsid w:val="1A4D135E"/>
    <w:rsid w:val="1A4D3F22"/>
    <w:rsid w:val="1A4D634D"/>
    <w:rsid w:val="1A4D7EB1"/>
    <w:rsid w:val="1A4D990E"/>
    <w:rsid w:val="1A4DE837"/>
    <w:rsid w:val="1A4E4BA9"/>
    <w:rsid w:val="1A4E8E34"/>
    <w:rsid w:val="1A4EA739"/>
    <w:rsid w:val="1A501321"/>
    <w:rsid w:val="1A50E77C"/>
    <w:rsid w:val="1A5145A2"/>
    <w:rsid w:val="1A51E963"/>
    <w:rsid w:val="1A521EF1"/>
    <w:rsid w:val="1A52BE28"/>
    <w:rsid w:val="1A52C670"/>
    <w:rsid w:val="1A53D027"/>
    <w:rsid w:val="1A53D7DC"/>
    <w:rsid w:val="1A541250"/>
    <w:rsid w:val="1A5439A4"/>
    <w:rsid w:val="1A544EF7"/>
    <w:rsid w:val="1A548377"/>
    <w:rsid w:val="1A5483D8"/>
    <w:rsid w:val="1A54BC74"/>
    <w:rsid w:val="1A56BAD0"/>
    <w:rsid w:val="1A56BC05"/>
    <w:rsid w:val="1A574B23"/>
    <w:rsid w:val="1A576037"/>
    <w:rsid w:val="1A57C8BA"/>
    <w:rsid w:val="1A57EA83"/>
    <w:rsid w:val="1A5817A7"/>
    <w:rsid w:val="1A592ED5"/>
    <w:rsid w:val="1A598FF9"/>
    <w:rsid w:val="1A59F73D"/>
    <w:rsid w:val="1A5CCCDA"/>
    <w:rsid w:val="1A5CE0C4"/>
    <w:rsid w:val="1A5CED1F"/>
    <w:rsid w:val="1A5E914B"/>
    <w:rsid w:val="1A5F0B87"/>
    <w:rsid w:val="1A5F45CE"/>
    <w:rsid w:val="1A607B98"/>
    <w:rsid w:val="1A608A2C"/>
    <w:rsid w:val="1A60B0D8"/>
    <w:rsid w:val="1A60D67C"/>
    <w:rsid w:val="1A60F92C"/>
    <w:rsid w:val="1A623B81"/>
    <w:rsid w:val="1A6381E7"/>
    <w:rsid w:val="1A63EEC3"/>
    <w:rsid w:val="1A644296"/>
    <w:rsid w:val="1A645CA6"/>
    <w:rsid w:val="1A6461AD"/>
    <w:rsid w:val="1A64C762"/>
    <w:rsid w:val="1A656024"/>
    <w:rsid w:val="1A6568CD"/>
    <w:rsid w:val="1A65D1EC"/>
    <w:rsid w:val="1A6610E2"/>
    <w:rsid w:val="1A677867"/>
    <w:rsid w:val="1A68AC11"/>
    <w:rsid w:val="1A68BDB6"/>
    <w:rsid w:val="1A68D957"/>
    <w:rsid w:val="1A6906B2"/>
    <w:rsid w:val="1A694D8C"/>
    <w:rsid w:val="1A6A0C27"/>
    <w:rsid w:val="1A6A93CD"/>
    <w:rsid w:val="1A6AA04A"/>
    <w:rsid w:val="1A6AB639"/>
    <w:rsid w:val="1A6AF19E"/>
    <w:rsid w:val="1A6AF460"/>
    <w:rsid w:val="1A6BB4AE"/>
    <w:rsid w:val="1A6C3BA6"/>
    <w:rsid w:val="1A6C5522"/>
    <w:rsid w:val="1A6E3248"/>
    <w:rsid w:val="1A6E59A2"/>
    <w:rsid w:val="1A6E8E84"/>
    <w:rsid w:val="1A6EAEA6"/>
    <w:rsid w:val="1A6F483E"/>
    <w:rsid w:val="1A6FC225"/>
    <w:rsid w:val="1A70147F"/>
    <w:rsid w:val="1A70E4D4"/>
    <w:rsid w:val="1A719F26"/>
    <w:rsid w:val="1A71B5E5"/>
    <w:rsid w:val="1A733B72"/>
    <w:rsid w:val="1A735E8D"/>
    <w:rsid w:val="1A73EB9F"/>
    <w:rsid w:val="1A742129"/>
    <w:rsid w:val="1A75B35A"/>
    <w:rsid w:val="1A76D0D9"/>
    <w:rsid w:val="1A76FBB3"/>
    <w:rsid w:val="1A7715EA"/>
    <w:rsid w:val="1A775654"/>
    <w:rsid w:val="1A777EE5"/>
    <w:rsid w:val="1A77CBD5"/>
    <w:rsid w:val="1A782480"/>
    <w:rsid w:val="1A78507F"/>
    <w:rsid w:val="1A78ED4F"/>
    <w:rsid w:val="1A7954B6"/>
    <w:rsid w:val="1A7A2827"/>
    <w:rsid w:val="1A7B52F7"/>
    <w:rsid w:val="1A7B67AE"/>
    <w:rsid w:val="1A7C20E3"/>
    <w:rsid w:val="1A7D68C3"/>
    <w:rsid w:val="1A7D93C6"/>
    <w:rsid w:val="1A7DE31D"/>
    <w:rsid w:val="1A7E51E7"/>
    <w:rsid w:val="1A7E6F0E"/>
    <w:rsid w:val="1A7E8139"/>
    <w:rsid w:val="1A7EB247"/>
    <w:rsid w:val="1A7EB9F8"/>
    <w:rsid w:val="1A7F7EA0"/>
    <w:rsid w:val="1A7FC43A"/>
    <w:rsid w:val="1A80E9B9"/>
    <w:rsid w:val="1A832B58"/>
    <w:rsid w:val="1A845341"/>
    <w:rsid w:val="1A84B7D1"/>
    <w:rsid w:val="1A84EE8D"/>
    <w:rsid w:val="1A851989"/>
    <w:rsid w:val="1A854F56"/>
    <w:rsid w:val="1A8550EF"/>
    <w:rsid w:val="1A859F4C"/>
    <w:rsid w:val="1A85CBE4"/>
    <w:rsid w:val="1A85F043"/>
    <w:rsid w:val="1A8620F6"/>
    <w:rsid w:val="1A881588"/>
    <w:rsid w:val="1A88567A"/>
    <w:rsid w:val="1A8938CB"/>
    <w:rsid w:val="1A894599"/>
    <w:rsid w:val="1A898968"/>
    <w:rsid w:val="1A8AA8D4"/>
    <w:rsid w:val="1A8AB2C4"/>
    <w:rsid w:val="1A8B6242"/>
    <w:rsid w:val="1A8B72D1"/>
    <w:rsid w:val="1A8BC63D"/>
    <w:rsid w:val="1A8BE59E"/>
    <w:rsid w:val="1A8C44BD"/>
    <w:rsid w:val="1A8C58A2"/>
    <w:rsid w:val="1A8C6E7E"/>
    <w:rsid w:val="1A8DFD27"/>
    <w:rsid w:val="1A8ED6E2"/>
    <w:rsid w:val="1A8F20C6"/>
    <w:rsid w:val="1A900546"/>
    <w:rsid w:val="1A906016"/>
    <w:rsid w:val="1A90BE0A"/>
    <w:rsid w:val="1A9149BC"/>
    <w:rsid w:val="1A91C7BA"/>
    <w:rsid w:val="1A9267A4"/>
    <w:rsid w:val="1A9343F4"/>
    <w:rsid w:val="1A93C29C"/>
    <w:rsid w:val="1A94E800"/>
    <w:rsid w:val="1A95D4C6"/>
    <w:rsid w:val="1A960664"/>
    <w:rsid w:val="1A96FAF1"/>
    <w:rsid w:val="1A9AE9DC"/>
    <w:rsid w:val="1A9B1438"/>
    <w:rsid w:val="1A9B33B1"/>
    <w:rsid w:val="1A9B6DDA"/>
    <w:rsid w:val="1A9CAC28"/>
    <w:rsid w:val="1A9CBFE0"/>
    <w:rsid w:val="1A9CF80B"/>
    <w:rsid w:val="1A9D7CCE"/>
    <w:rsid w:val="1A9EFE17"/>
    <w:rsid w:val="1A9F06E5"/>
    <w:rsid w:val="1A9F47F3"/>
    <w:rsid w:val="1AA00FE0"/>
    <w:rsid w:val="1AA046F4"/>
    <w:rsid w:val="1AA0CDA0"/>
    <w:rsid w:val="1AA14C45"/>
    <w:rsid w:val="1AA1C1D4"/>
    <w:rsid w:val="1AA2DCF1"/>
    <w:rsid w:val="1AA32C60"/>
    <w:rsid w:val="1AA38953"/>
    <w:rsid w:val="1AA3BB8F"/>
    <w:rsid w:val="1AA3FC78"/>
    <w:rsid w:val="1AA515C3"/>
    <w:rsid w:val="1AA5A13C"/>
    <w:rsid w:val="1AA68EF3"/>
    <w:rsid w:val="1AA7296F"/>
    <w:rsid w:val="1AA83D9C"/>
    <w:rsid w:val="1AA912AF"/>
    <w:rsid w:val="1AA91FD2"/>
    <w:rsid w:val="1AA92F0E"/>
    <w:rsid w:val="1AAA3917"/>
    <w:rsid w:val="1AAB651A"/>
    <w:rsid w:val="1AAB82EF"/>
    <w:rsid w:val="1AABBD0A"/>
    <w:rsid w:val="1AABFC71"/>
    <w:rsid w:val="1AAC01DD"/>
    <w:rsid w:val="1AACBF1A"/>
    <w:rsid w:val="1AACD42A"/>
    <w:rsid w:val="1AAD5F97"/>
    <w:rsid w:val="1AAE7D8F"/>
    <w:rsid w:val="1AAF1997"/>
    <w:rsid w:val="1AAFDDCE"/>
    <w:rsid w:val="1AB12B16"/>
    <w:rsid w:val="1AB1695C"/>
    <w:rsid w:val="1AB34CC5"/>
    <w:rsid w:val="1AB37802"/>
    <w:rsid w:val="1AB40086"/>
    <w:rsid w:val="1AB4141E"/>
    <w:rsid w:val="1AB4209C"/>
    <w:rsid w:val="1AB4987B"/>
    <w:rsid w:val="1AB4F57E"/>
    <w:rsid w:val="1AB59076"/>
    <w:rsid w:val="1AB5CC11"/>
    <w:rsid w:val="1AB6EFC5"/>
    <w:rsid w:val="1AB72934"/>
    <w:rsid w:val="1AB77A05"/>
    <w:rsid w:val="1AB8C5BF"/>
    <w:rsid w:val="1AB8EAA4"/>
    <w:rsid w:val="1AB9267D"/>
    <w:rsid w:val="1AB9D5F1"/>
    <w:rsid w:val="1ABA582C"/>
    <w:rsid w:val="1ABA74E4"/>
    <w:rsid w:val="1ABDA7D2"/>
    <w:rsid w:val="1ABDB9E9"/>
    <w:rsid w:val="1ABDF7CE"/>
    <w:rsid w:val="1ABE3499"/>
    <w:rsid w:val="1ABE5C15"/>
    <w:rsid w:val="1ABE96B0"/>
    <w:rsid w:val="1ABF31E8"/>
    <w:rsid w:val="1AC0032D"/>
    <w:rsid w:val="1AC0F1FC"/>
    <w:rsid w:val="1AC12C16"/>
    <w:rsid w:val="1AC176B1"/>
    <w:rsid w:val="1AC1D0EB"/>
    <w:rsid w:val="1AC27B00"/>
    <w:rsid w:val="1AC29C14"/>
    <w:rsid w:val="1AC2A148"/>
    <w:rsid w:val="1AC3E820"/>
    <w:rsid w:val="1AC44FB1"/>
    <w:rsid w:val="1AC45C54"/>
    <w:rsid w:val="1AC5AA1D"/>
    <w:rsid w:val="1AC5EE03"/>
    <w:rsid w:val="1AC62BB7"/>
    <w:rsid w:val="1AC6B4A9"/>
    <w:rsid w:val="1AC80811"/>
    <w:rsid w:val="1AC82E6B"/>
    <w:rsid w:val="1AC8B6BB"/>
    <w:rsid w:val="1ACA0CDD"/>
    <w:rsid w:val="1ACA7FAC"/>
    <w:rsid w:val="1ACAB629"/>
    <w:rsid w:val="1ACB0468"/>
    <w:rsid w:val="1ACB86A6"/>
    <w:rsid w:val="1ACBBE91"/>
    <w:rsid w:val="1ACBD20F"/>
    <w:rsid w:val="1ACC2E30"/>
    <w:rsid w:val="1ACCC661"/>
    <w:rsid w:val="1ACCDBF7"/>
    <w:rsid w:val="1ACDC253"/>
    <w:rsid w:val="1ACDD98A"/>
    <w:rsid w:val="1ACF6A69"/>
    <w:rsid w:val="1ACF7EF5"/>
    <w:rsid w:val="1ACFBFAB"/>
    <w:rsid w:val="1ACFC170"/>
    <w:rsid w:val="1AD04A70"/>
    <w:rsid w:val="1AD13810"/>
    <w:rsid w:val="1AD18989"/>
    <w:rsid w:val="1AD270D3"/>
    <w:rsid w:val="1AD2E8F8"/>
    <w:rsid w:val="1AD31889"/>
    <w:rsid w:val="1AD366B6"/>
    <w:rsid w:val="1AD37866"/>
    <w:rsid w:val="1AD4143A"/>
    <w:rsid w:val="1AD5CEA4"/>
    <w:rsid w:val="1AD6C214"/>
    <w:rsid w:val="1AD73038"/>
    <w:rsid w:val="1AD76834"/>
    <w:rsid w:val="1AD8DE23"/>
    <w:rsid w:val="1AD90F12"/>
    <w:rsid w:val="1ADA42A9"/>
    <w:rsid w:val="1ADA83B9"/>
    <w:rsid w:val="1ADA88B4"/>
    <w:rsid w:val="1ADB2AEC"/>
    <w:rsid w:val="1ADB54D6"/>
    <w:rsid w:val="1ADC6B11"/>
    <w:rsid w:val="1ADCD0F4"/>
    <w:rsid w:val="1ADD2072"/>
    <w:rsid w:val="1ADD61E2"/>
    <w:rsid w:val="1ADD621C"/>
    <w:rsid w:val="1ADE0815"/>
    <w:rsid w:val="1ADE35C6"/>
    <w:rsid w:val="1ADE58D3"/>
    <w:rsid w:val="1ADF0054"/>
    <w:rsid w:val="1AE0824C"/>
    <w:rsid w:val="1AE181DD"/>
    <w:rsid w:val="1AE188AB"/>
    <w:rsid w:val="1AE1A421"/>
    <w:rsid w:val="1AE2213B"/>
    <w:rsid w:val="1AE2464B"/>
    <w:rsid w:val="1AE25478"/>
    <w:rsid w:val="1AE25C23"/>
    <w:rsid w:val="1AE2855A"/>
    <w:rsid w:val="1AE30606"/>
    <w:rsid w:val="1AE339B5"/>
    <w:rsid w:val="1AE38B90"/>
    <w:rsid w:val="1AE3CA35"/>
    <w:rsid w:val="1AE4D2CE"/>
    <w:rsid w:val="1AE4E4BE"/>
    <w:rsid w:val="1AE53588"/>
    <w:rsid w:val="1AE63984"/>
    <w:rsid w:val="1AE64EF5"/>
    <w:rsid w:val="1AE71465"/>
    <w:rsid w:val="1AE72D26"/>
    <w:rsid w:val="1AE7C753"/>
    <w:rsid w:val="1AE7E3AF"/>
    <w:rsid w:val="1AE8C2DE"/>
    <w:rsid w:val="1AE8F413"/>
    <w:rsid w:val="1AE988D8"/>
    <w:rsid w:val="1AEA752D"/>
    <w:rsid w:val="1AEA9B72"/>
    <w:rsid w:val="1AEABC56"/>
    <w:rsid w:val="1AEB1334"/>
    <w:rsid w:val="1AEB1E5D"/>
    <w:rsid w:val="1AEBAFA1"/>
    <w:rsid w:val="1AEBBEBB"/>
    <w:rsid w:val="1AEBCAB9"/>
    <w:rsid w:val="1AECBE70"/>
    <w:rsid w:val="1AECCD06"/>
    <w:rsid w:val="1AECF34D"/>
    <w:rsid w:val="1AED50B4"/>
    <w:rsid w:val="1AEDBC3B"/>
    <w:rsid w:val="1AEE71FC"/>
    <w:rsid w:val="1AEE7EEC"/>
    <w:rsid w:val="1AEEDB94"/>
    <w:rsid w:val="1AEFF74F"/>
    <w:rsid w:val="1AF05C2E"/>
    <w:rsid w:val="1AF155E8"/>
    <w:rsid w:val="1AF1569A"/>
    <w:rsid w:val="1AF1B478"/>
    <w:rsid w:val="1AF3306D"/>
    <w:rsid w:val="1AF35681"/>
    <w:rsid w:val="1AF3856B"/>
    <w:rsid w:val="1AF43FA2"/>
    <w:rsid w:val="1AF489C1"/>
    <w:rsid w:val="1AF4A920"/>
    <w:rsid w:val="1AF4ED10"/>
    <w:rsid w:val="1AF5847D"/>
    <w:rsid w:val="1AF65087"/>
    <w:rsid w:val="1AF652DB"/>
    <w:rsid w:val="1AF663EF"/>
    <w:rsid w:val="1AF6A21B"/>
    <w:rsid w:val="1AF6BF87"/>
    <w:rsid w:val="1AF7C318"/>
    <w:rsid w:val="1AF7C54C"/>
    <w:rsid w:val="1AF7DBAA"/>
    <w:rsid w:val="1AF85617"/>
    <w:rsid w:val="1AF860D5"/>
    <w:rsid w:val="1AF8AE2A"/>
    <w:rsid w:val="1AF8D4DF"/>
    <w:rsid w:val="1AF94B70"/>
    <w:rsid w:val="1AF9993F"/>
    <w:rsid w:val="1AF9AF77"/>
    <w:rsid w:val="1AFB2554"/>
    <w:rsid w:val="1AFC6245"/>
    <w:rsid w:val="1AFCBD3E"/>
    <w:rsid w:val="1AFD02DE"/>
    <w:rsid w:val="1AFD45EC"/>
    <w:rsid w:val="1AFDC8DC"/>
    <w:rsid w:val="1AFE06CC"/>
    <w:rsid w:val="1AFE4BBC"/>
    <w:rsid w:val="1AFEF378"/>
    <w:rsid w:val="1AFF46B7"/>
    <w:rsid w:val="1AFF6A2D"/>
    <w:rsid w:val="1AFF878A"/>
    <w:rsid w:val="1AFF932C"/>
    <w:rsid w:val="1B002D21"/>
    <w:rsid w:val="1B01714C"/>
    <w:rsid w:val="1B01EB38"/>
    <w:rsid w:val="1B0260AD"/>
    <w:rsid w:val="1B02A255"/>
    <w:rsid w:val="1B02B8F8"/>
    <w:rsid w:val="1B031F37"/>
    <w:rsid w:val="1B047BDF"/>
    <w:rsid w:val="1B058B41"/>
    <w:rsid w:val="1B05A8C7"/>
    <w:rsid w:val="1B066029"/>
    <w:rsid w:val="1B070496"/>
    <w:rsid w:val="1B0726A9"/>
    <w:rsid w:val="1B07951B"/>
    <w:rsid w:val="1B08388B"/>
    <w:rsid w:val="1B083BE2"/>
    <w:rsid w:val="1B08FDA4"/>
    <w:rsid w:val="1B0AE81E"/>
    <w:rsid w:val="1B0BB2AB"/>
    <w:rsid w:val="1B0C1A36"/>
    <w:rsid w:val="1B0CDDAC"/>
    <w:rsid w:val="1B0CE0DC"/>
    <w:rsid w:val="1B0DCC51"/>
    <w:rsid w:val="1B0DD4E7"/>
    <w:rsid w:val="1B0F04B6"/>
    <w:rsid w:val="1B0F5963"/>
    <w:rsid w:val="1B0F755A"/>
    <w:rsid w:val="1B113258"/>
    <w:rsid w:val="1B1137D9"/>
    <w:rsid w:val="1B114137"/>
    <w:rsid w:val="1B1214D0"/>
    <w:rsid w:val="1B12BC9B"/>
    <w:rsid w:val="1B12E1CC"/>
    <w:rsid w:val="1B134B9F"/>
    <w:rsid w:val="1B13A2C6"/>
    <w:rsid w:val="1B13F325"/>
    <w:rsid w:val="1B14C612"/>
    <w:rsid w:val="1B15541A"/>
    <w:rsid w:val="1B167C0E"/>
    <w:rsid w:val="1B168B91"/>
    <w:rsid w:val="1B16E6D4"/>
    <w:rsid w:val="1B16E7EF"/>
    <w:rsid w:val="1B194E6E"/>
    <w:rsid w:val="1B199116"/>
    <w:rsid w:val="1B1A13FF"/>
    <w:rsid w:val="1B1A22A7"/>
    <w:rsid w:val="1B1AA07C"/>
    <w:rsid w:val="1B1AF83E"/>
    <w:rsid w:val="1B1AF9A2"/>
    <w:rsid w:val="1B1B30AC"/>
    <w:rsid w:val="1B1B321E"/>
    <w:rsid w:val="1B1BFFFA"/>
    <w:rsid w:val="1B1C16B0"/>
    <w:rsid w:val="1B1C51B7"/>
    <w:rsid w:val="1B1CB75B"/>
    <w:rsid w:val="1B1D0D40"/>
    <w:rsid w:val="1B1D3A39"/>
    <w:rsid w:val="1B1D9D83"/>
    <w:rsid w:val="1B1DBF8E"/>
    <w:rsid w:val="1B1DF36A"/>
    <w:rsid w:val="1B1E7638"/>
    <w:rsid w:val="1B1F9AEA"/>
    <w:rsid w:val="1B1FE6D2"/>
    <w:rsid w:val="1B2091E8"/>
    <w:rsid w:val="1B20C5B5"/>
    <w:rsid w:val="1B22C322"/>
    <w:rsid w:val="1B238E01"/>
    <w:rsid w:val="1B23A7F7"/>
    <w:rsid w:val="1B23CBE2"/>
    <w:rsid w:val="1B24A640"/>
    <w:rsid w:val="1B24CA6D"/>
    <w:rsid w:val="1B25D8B0"/>
    <w:rsid w:val="1B2625BE"/>
    <w:rsid w:val="1B2683FA"/>
    <w:rsid w:val="1B26AFBB"/>
    <w:rsid w:val="1B26BD7B"/>
    <w:rsid w:val="1B27317F"/>
    <w:rsid w:val="1B2762CE"/>
    <w:rsid w:val="1B284561"/>
    <w:rsid w:val="1B288723"/>
    <w:rsid w:val="1B28E21B"/>
    <w:rsid w:val="1B28F6F6"/>
    <w:rsid w:val="1B290437"/>
    <w:rsid w:val="1B295BB1"/>
    <w:rsid w:val="1B2964CB"/>
    <w:rsid w:val="1B29D5C7"/>
    <w:rsid w:val="1B2A88E9"/>
    <w:rsid w:val="1B2AF5BB"/>
    <w:rsid w:val="1B2B3B36"/>
    <w:rsid w:val="1B2B9D6A"/>
    <w:rsid w:val="1B2C0470"/>
    <w:rsid w:val="1B2D12A9"/>
    <w:rsid w:val="1B2DBCFD"/>
    <w:rsid w:val="1B2DF5BA"/>
    <w:rsid w:val="1B2E1C8C"/>
    <w:rsid w:val="1B2F79F1"/>
    <w:rsid w:val="1B2F8C9B"/>
    <w:rsid w:val="1B2FF5F5"/>
    <w:rsid w:val="1B3008D4"/>
    <w:rsid w:val="1B304312"/>
    <w:rsid w:val="1B3089D6"/>
    <w:rsid w:val="1B30A9CD"/>
    <w:rsid w:val="1B31B176"/>
    <w:rsid w:val="1B31BEC3"/>
    <w:rsid w:val="1B325244"/>
    <w:rsid w:val="1B328755"/>
    <w:rsid w:val="1B32AEA1"/>
    <w:rsid w:val="1B335B52"/>
    <w:rsid w:val="1B33CD9D"/>
    <w:rsid w:val="1B341670"/>
    <w:rsid w:val="1B34C1C1"/>
    <w:rsid w:val="1B354543"/>
    <w:rsid w:val="1B357CE8"/>
    <w:rsid w:val="1B35ADEF"/>
    <w:rsid w:val="1B35CA8E"/>
    <w:rsid w:val="1B360E4D"/>
    <w:rsid w:val="1B36A481"/>
    <w:rsid w:val="1B39015D"/>
    <w:rsid w:val="1B392819"/>
    <w:rsid w:val="1B396D24"/>
    <w:rsid w:val="1B3A4724"/>
    <w:rsid w:val="1B3A5CE8"/>
    <w:rsid w:val="1B3ABAF7"/>
    <w:rsid w:val="1B3ADEEE"/>
    <w:rsid w:val="1B3B7C81"/>
    <w:rsid w:val="1B3C4531"/>
    <w:rsid w:val="1B3C9F89"/>
    <w:rsid w:val="1B3CB1B5"/>
    <w:rsid w:val="1B3D92D7"/>
    <w:rsid w:val="1B3E187C"/>
    <w:rsid w:val="1B3EBCAE"/>
    <w:rsid w:val="1B404696"/>
    <w:rsid w:val="1B40DADE"/>
    <w:rsid w:val="1B40F164"/>
    <w:rsid w:val="1B4280A8"/>
    <w:rsid w:val="1B42BC78"/>
    <w:rsid w:val="1B431B66"/>
    <w:rsid w:val="1B4349C1"/>
    <w:rsid w:val="1B43AECC"/>
    <w:rsid w:val="1B441D43"/>
    <w:rsid w:val="1B446F76"/>
    <w:rsid w:val="1B45722D"/>
    <w:rsid w:val="1B457613"/>
    <w:rsid w:val="1B45A5D4"/>
    <w:rsid w:val="1B45F761"/>
    <w:rsid w:val="1B467194"/>
    <w:rsid w:val="1B468971"/>
    <w:rsid w:val="1B478E6B"/>
    <w:rsid w:val="1B47C204"/>
    <w:rsid w:val="1B47D8DF"/>
    <w:rsid w:val="1B48F1B6"/>
    <w:rsid w:val="1B4925B3"/>
    <w:rsid w:val="1B4943B8"/>
    <w:rsid w:val="1B49C583"/>
    <w:rsid w:val="1B4A1E52"/>
    <w:rsid w:val="1B4A9471"/>
    <w:rsid w:val="1B4AB9B7"/>
    <w:rsid w:val="1B4B1CE5"/>
    <w:rsid w:val="1B4C709D"/>
    <w:rsid w:val="1B4CBCA6"/>
    <w:rsid w:val="1B4E364C"/>
    <w:rsid w:val="1B4EEFA0"/>
    <w:rsid w:val="1B4EF889"/>
    <w:rsid w:val="1B4F3734"/>
    <w:rsid w:val="1B504BCF"/>
    <w:rsid w:val="1B511F64"/>
    <w:rsid w:val="1B514949"/>
    <w:rsid w:val="1B527906"/>
    <w:rsid w:val="1B528208"/>
    <w:rsid w:val="1B530B1F"/>
    <w:rsid w:val="1B54C065"/>
    <w:rsid w:val="1B550B49"/>
    <w:rsid w:val="1B55A40D"/>
    <w:rsid w:val="1B55E2C4"/>
    <w:rsid w:val="1B55E8BC"/>
    <w:rsid w:val="1B567538"/>
    <w:rsid w:val="1B5741CE"/>
    <w:rsid w:val="1B577904"/>
    <w:rsid w:val="1B579AAF"/>
    <w:rsid w:val="1B57E945"/>
    <w:rsid w:val="1B57F32D"/>
    <w:rsid w:val="1B585F38"/>
    <w:rsid w:val="1B588527"/>
    <w:rsid w:val="1B58DD44"/>
    <w:rsid w:val="1B58FABE"/>
    <w:rsid w:val="1B5934C6"/>
    <w:rsid w:val="1B597BC3"/>
    <w:rsid w:val="1B59A9E4"/>
    <w:rsid w:val="1B5AD159"/>
    <w:rsid w:val="1B5B0C09"/>
    <w:rsid w:val="1B5B597C"/>
    <w:rsid w:val="1B5C6C41"/>
    <w:rsid w:val="1B5C86AD"/>
    <w:rsid w:val="1B5C9934"/>
    <w:rsid w:val="1B5DA9F2"/>
    <w:rsid w:val="1B5ECA32"/>
    <w:rsid w:val="1B6163B0"/>
    <w:rsid w:val="1B62D1A0"/>
    <w:rsid w:val="1B6358F3"/>
    <w:rsid w:val="1B63C4EC"/>
    <w:rsid w:val="1B6427EA"/>
    <w:rsid w:val="1B64D128"/>
    <w:rsid w:val="1B65132A"/>
    <w:rsid w:val="1B654F0A"/>
    <w:rsid w:val="1B655EB2"/>
    <w:rsid w:val="1B6592DB"/>
    <w:rsid w:val="1B66BF7C"/>
    <w:rsid w:val="1B66C501"/>
    <w:rsid w:val="1B671814"/>
    <w:rsid w:val="1B672342"/>
    <w:rsid w:val="1B672BB6"/>
    <w:rsid w:val="1B67F828"/>
    <w:rsid w:val="1B68E630"/>
    <w:rsid w:val="1B6A0BC0"/>
    <w:rsid w:val="1B6B110C"/>
    <w:rsid w:val="1B6B3F14"/>
    <w:rsid w:val="1B6BDD6B"/>
    <w:rsid w:val="1B6C1966"/>
    <w:rsid w:val="1B6C646C"/>
    <w:rsid w:val="1B6DB49A"/>
    <w:rsid w:val="1B6E1A3E"/>
    <w:rsid w:val="1B6E2C7D"/>
    <w:rsid w:val="1B6EC754"/>
    <w:rsid w:val="1B70A5EC"/>
    <w:rsid w:val="1B70EABB"/>
    <w:rsid w:val="1B713BA4"/>
    <w:rsid w:val="1B71EED2"/>
    <w:rsid w:val="1B7218FA"/>
    <w:rsid w:val="1B75C102"/>
    <w:rsid w:val="1B762878"/>
    <w:rsid w:val="1B765F19"/>
    <w:rsid w:val="1B76E832"/>
    <w:rsid w:val="1B7830C0"/>
    <w:rsid w:val="1B78655B"/>
    <w:rsid w:val="1B78DAD5"/>
    <w:rsid w:val="1B796CAC"/>
    <w:rsid w:val="1B797256"/>
    <w:rsid w:val="1B79FC4E"/>
    <w:rsid w:val="1B7A086A"/>
    <w:rsid w:val="1B7A4179"/>
    <w:rsid w:val="1B7A7520"/>
    <w:rsid w:val="1B7A93C6"/>
    <w:rsid w:val="1B7B1E31"/>
    <w:rsid w:val="1B7BE89A"/>
    <w:rsid w:val="1B7BFCCA"/>
    <w:rsid w:val="1B7C2A3D"/>
    <w:rsid w:val="1B7C7EE0"/>
    <w:rsid w:val="1B7C931C"/>
    <w:rsid w:val="1B7DC0F0"/>
    <w:rsid w:val="1B7DC4B4"/>
    <w:rsid w:val="1B7F199D"/>
    <w:rsid w:val="1B7FD975"/>
    <w:rsid w:val="1B800999"/>
    <w:rsid w:val="1B803F05"/>
    <w:rsid w:val="1B80423E"/>
    <w:rsid w:val="1B812447"/>
    <w:rsid w:val="1B823809"/>
    <w:rsid w:val="1B82B1DA"/>
    <w:rsid w:val="1B82C36A"/>
    <w:rsid w:val="1B83369A"/>
    <w:rsid w:val="1B8364DD"/>
    <w:rsid w:val="1B83A9DB"/>
    <w:rsid w:val="1B844800"/>
    <w:rsid w:val="1B8505A6"/>
    <w:rsid w:val="1B851706"/>
    <w:rsid w:val="1B8625B7"/>
    <w:rsid w:val="1B868FCF"/>
    <w:rsid w:val="1B871679"/>
    <w:rsid w:val="1B87329C"/>
    <w:rsid w:val="1B876EB2"/>
    <w:rsid w:val="1B878D98"/>
    <w:rsid w:val="1B89A9E0"/>
    <w:rsid w:val="1B89CDE5"/>
    <w:rsid w:val="1B8A8047"/>
    <w:rsid w:val="1B8B7E76"/>
    <w:rsid w:val="1B8C89B9"/>
    <w:rsid w:val="1B8CBB4C"/>
    <w:rsid w:val="1B8E5C63"/>
    <w:rsid w:val="1B8F2A03"/>
    <w:rsid w:val="1B8F9D03"/>
    <w:rsid w:val="1B90B23A"/>
    <w:rsid w:val="1B90D952"/>
    <w:rsid w:val="1B912E33"/>
    <w:rsid w:val="1B914FDF"/>
    <w:rsid w:val="1B91A583"/>
    <w:rsid w:val="1B91D62D"/>
    <w:rsid w:val="1B91E681"/>
    <w:rsid w:val="1B92DE07"/>
    <w:rsid w:val="1B93642A"/>
    <w:rsid w:val="1B941E66"/>
    <w:rsid w:val="1B958A88"/>
    <w:rsid w:val="1B95D286"/>
    <w:rsid w:val="1B965F1B"/>
    <w:rsid w:val="1B971B1D"/>
    <w:rsid w:val="1B993C73"/>
    <w:rsid w:val="1B99EBFA"/>
    <w:rsid w:val="1B9A7126"/>
    <w:rsid w:val="1B9A9795"/>
    <w:rsid w:val="1B9AAB1C"/>
    <w:rsid w:val="1B9BC4B8"/>
    <w:rsid w:val="1B9C0BD2"/>
    <w:rsid w:val="1B9C6CE2"/>
    <w:rsid w:val="1B9C9326"/>
    <w:rsid w:val="1B9D1BF9"/>
    <w:rsid w:val="1B9E3EBA"/>
    <w:rsid w:val="1B9E9B2E"/>
    <w:rsid w:val="1B9EAFDA"/>
    <w:rsid w:val="1B9EF889"/>
    <w:rsid w:val="1B9F6BE7"/>
    <w:rsid w:val="1BA08E69"/>
    <w:rsid w:val="1BA13F31"/>
    <w:rsid w:val="1BA1BD96"/>
    <w:rsid w:val="1BA1CB49"/>
    <w:rsid w:val="1BA1CE3F"/>
    <w:rsid w:val="1BA1CFF8"/>
    <w:rsid w:val="1BA1E576"/>
    <w:rsid w:val="1BA251B7"/>
    <w:rsid w:val="1BA2DBFB"/>
    <w:rsid w:val="1BA37204"/>
    <w:rsid w:val="1BA37C74"/>
    <w:rsid w:val="1BA3B0CF"/>
    <w:rsid w:val="1BA3CD32"/>
    <w:rsid w:val="1BA3CFD8"/>
    <w:rsid w:val="1BA418EF"/>
    <w:rsid w:val="1BA44F96"/>
    <w:rsid w:val="1BA49477"/>
    <w:rsid w:val="1BA5DD42"/>
    <w:rsid w:val="1BA6B2A4"/>
    <w:rsid w:val="1BA6CB18"/>
    <w:rsid w:val="1BA6D73D"/>
    <w:rsid w:val="1BA70FD1"/>
    <w:rsid w:val="1BA71C76"/>
    <w:rsid w:val="1BA8AEDB"/>
    <w:rsid w:val="1BA8D192"/>
    <w:rsid w:val="1BA93198"/>
    <w:rsid w:val="1BA94823"/>
    <w:rsid w:val="1BA996B3"/>
    <w:rsid w:val="1BAA3BA1"/>
    <w:rsid w:val="1BAA594D"/>
    <w:rsid w:val="1BAB3E4B"/>
    <w:rsid w:val="1BAC5592"/>
    <w:rsid w:val="1BACB50E"/>
    <w:rsid w:val="1BAE3502"/>
    <w:rsid w:val="1BAE7625"/>
    <w:rsid w:val="1BAEBA13"/>
    <w:rsid w:val="1BAF1612"/>
    <w:rsid w:val="1BAF3309"/>
    <w:rsid w:val="1BAF7D3C"/>
    <w:rsid w:val="1BAFC298"/>
    <w:rsid w:val="1BAFEC0E"/>
    <w:rsid w:val="1BAFF4EF"/>
    <w:rsid w:val="1BAFFA2D"/>
    <w:rsid w:val="1BB10625"/>
    <w:rsid w:val="1BB1407C"/>
    <w:rsid w:val="1BB25704"/>
    <w:rsid w:val="1BB29A75"/>
    <w:rsid w:val="1BB34065"/>
    <w:rsid w:val="1BB34EB4"/>
    <w:rsid w:val="1BB474CA"/>
    <w:rsid w:val="1BB48A82"/>
    <w:rsid w:val="1BB4BE6E"/>
    <w:rsid w:val="1BB543BA"/>
    <w:rsid w:val="1BB5CF7C"/>
    <w:rsid w:val="1BB620DD"/>
    <w:rsid w:val="1BB6AD45"/>
    <w:rsid w:val="1BB6AF5F"/>
    <w:rsid w:val="1BB6B177"/>
    <w:rsid w:val="1BB6D1C7"/>
    <w:rsid w:val="1BB798A5"/>
    <w:rsid w:val="1BB88690"/>
    <w:rsid w:val="1BB8D6A6"/>
    <w:rsid w:val="1BB98B82"/>
    <w:rsid w:val="1BB9C260"/>
    <w:rsid w:val="1BBA034B"/>
    <w:rsid w:val="1BBA3EFD"/>
    <w:rsid w:val="1BBB07D5"/>
    <w:rsid w:val="1BBB21F2"/>
    <w:rsid w:val="1BBB7425"/>
    <w:rsid w:val="1BBBF397"/>
    <w:rsid w:val="1BBC249B"/>
    <w:rsid w:val="1BBCA586"/>
    <w:rsid w:val="1BBCAE15"/>
    <w:rsid w:val="1BBCB842"/>
    <w:rsid w:val="1BBD918E"/>
    <w:rsid w:val="1BBD92DA"/>
    <w:rsid w:val="1BBDCE44"/>
    <w:rsid w:val="1BBDD08E"/>
    <w:rsid w:val="1BBF686E"/>
    <w:rsid w:val="1BBFC59D"/>
    <w:rsid w:val="1BC032EA"/>
    <w:rsid w:val="1BC0A841"/>
    <w:rsid w:val="1BC1528C"/>
    <w:rsid w:val="1BC1762C"/>
    <w:rsid w:val="1BC1D51C"/>
    <w:rsid w:val="1BC2F974"/>
    <w:rsid w:val="1BC30561"/>
    <w:rsid w:val="1BC31FE8"/>
    <w:rsid w:val="1BC32D50"/>
    <w:rsid w:val="1BC39621"/>
    <w:rsid w:val="1BC462B7"/>
    <w:rsid w:val="1BC4E8CE"/>
    <w:rsid w:val="1BC542DE"/>
    <w:rsid w:val="1BC56946"/>
    <w:rsid w:val="1BC92F2A"/>
    <w:rsid w:val="1BC9E770"/>
    <w:rsid w:val="1BCB7BF1"/>
    <w:rsid w:val="1BCB85A0"/>
    <w:rsid w:val="1BCBC3D4"/>
    <w:rsid w:val="1BCBCB8F"/>
    <w:rsid w:val="1BCC8622"/>
    <w:rsid w:val="1BCC8DD9"/>
    <w:rsid w:val="1BCD6671"/>
    <w:rsid w:val="1BCD8147"/>
    <w:rsid w:val="1BCDB1BD"/>
    <w:rsid w:val="1BCF83AF"/>
    <w:rsid w:val="1BCFB301"/>
    <w:rsid w:val="1BCFBDC6"/>
    <w:rsid w:val="1BCFF2FE"/>
    <w:rsid w:val="1BD009CE"/>
    <w:rsid w:val="1BD048E2"/>
    <w:rsid w:val="1BD07B82"/>
    <w:rsid w:val="1BD08B37"/>
    <w:rsid w:val="1BD18A10"/>
    <w:rsid w:val="1BD1AD47"/>
    <w:rsid w:val="1BD24070"/>
    <w:rsid w:val="1BD299C8"/>
    <w:rsid w:val="1BD3095C"/>
    <w:rsid w:val="1BD6348D"/>
    <w:rsid w:val="1BD76A1D"/>
    <w:rsid w:val="1BD77821"/>
    <w:rsid w:val="1BD784C5"/>
    <w:rsid w:val="1BD7A49A"/>
    <w:rsid w:val="1BD7AADF"/>
    <w:rsid w:val="1BD806FA"/>
    <w:rsid w:val="1BDA1A8F"/>
    <w:rsid w:val="1BDA9C06"/>
    <w:rsid w:val="1BDADFCF"/>
    <w:rsid w:val="1BDAE632"/>
    <w:rsid w:val="1BDB5B69"/>
    <w:rsid w:val="1BDBAAAF"/>
    <w:rsid w:val="1BDBB038"/>
    <w:rsid w:val="1BDBCC42"/>
    <w:rsid w:val="1BDC2377"/>
    <w:rsid w:val="1BDC6AF6"/>
    <w:rsid w:val="1BDC8B36"/>
    <w:rsid w:val="1BDCE829"/>
    <w:rsid w:val="1BDE35A9"/>
    <w:rsid w:val="1BDE5065"/>
    <w:rsid w:val="1BDE9928"/>
    <w:rsid w:val="1BDF0E6C"/>
    <w:rsid w:val="1BDF259E"/>
    <w:rsid w:val="1BDF3F0D"/>
    <w:rsid w:val="1BDFE7BF"/>
    <w:rsid w:val="1BE0AB68"/>
    <w:rsid w:val="1BE0DB32"/>
    <w:rsid w:val="1BE14F94"/>
    <w:rsid w:val="1BE1773C"/>
    <w:rsid w:val="1BE24B49"/>
    <w:rsid w:val="1BE338D7"/>
    <w:rsid w:val="1BE3EB02"/>
    <w:rsid w:val="1BE3F2BF"/>
    <w:rsid w:val="1BE496EC"/>
    <w:rsid w:val="1BE4D9F0"/>
    <w:rsid w:val="1BE5F305"/>
    <w:rsid w:val="1BE659AD"/>
    <w:rsid w:val="1BE6DD07"/>
    <w:rsid w:val="1BE72238"/>
    <w:rsid w:val="1BE85775"/>
    <w:rsid w:val="1BEAF4D8"/>
    <w:rsid w:val="1BEB4624"/>
    <w:rsid w:val="1BEB86C5"/>
    <w:rsid w:val="1BEC06C0"/>
    <w:rsid w:val="1BEC781E"/>
    <w:rsid w:val="1BECE464"/>
    <w:rsid w:val="1BECEF64"/>
    <w:rsid w:val="1BEDC4A6"/>
    <w:rsid w:val="1BEDC6FC"/>
    <w:rsid w:val="1BEDF691"/>
    <w:rsid w:val="1BEE76C4"/>
    <w:rsid w:val="1BEE8A86"/>
    <w:rsid w:val="1BEEBD44"/>
    <w:rsid w:val="1BEEFA31"/>
    <w:rsid w:val="1BEF1DC9"/>
    <w:rsid w:val="1BEF1EB2"/>
    <w:rsid w:val="1BF0B43E"/>
    <w:rsid w:val="1BF0DE60"/>
    <w:rsid w:val="1BF0FAA1"/>
    <w:rsid w:val="1BF161A3"/>
    <w:rsid w:val="1BF1775B"/>
    <w:rsid w:val="1BF189EE"/>
    <w:rsid w:val="1BF24C3C"/>
    <w:rsid w:val="1BF354DD"/>
    <w:rsid w:val="1BF3AB0D"/>
    <w:rsid w:val="1BF425B3"/>
    <w:rsid w:val="1BF61597"/>
    <w:rsid w:val="1BF62534"/>
    <w:rsid w:val="1BF6C6AC"/>
    <w:rsid w:val="1BF7B949"/>
    <w:rsid w:val="1BF81469"/>
    <w:rsid w:val="1BF97A46"/>
    <w:rsid w:val="1BFB3F1A"/>
    <w:rsid w:val="1BFB799E"/>
    <w:rsid w:val="1BFBCDF0"/>
    <w:rsid w:val="1BFBF6B4"/>
    <w:rsid w:val="1BFCC720"/>
    <w:rsid w:val="1BFD1972"/>
    <w:rsid w:val="1BFD771D"/>
    <w:rsid w:val="1BFD9165"/>
    <w:rsid w:val="1BFE05BC"/>
    <w:rsid w:val="1BFEC190"/>
    <w:rsid w:val="1BFED352"/>
    <w:rsid w:val="1BFEE676"/>
    <w:rsid w:val="1BFF01F2"/>
    <w:rsid w:val="1BFFF277"/>
    <w:rsid w:val="1C001EBE"/>
    <w:rsid w:val="1C006E0A"/>
    <w:rsid w:val="1C00C410"/>
    <w:rsid w:val="1C014DAD"/>
    <w:rsid w:val="1C01669E"/>
    <w:rsid w:val="1C02C7AA"/>
    <w:rsid w:val="1C02D13D"/>
    <w:rsid w:val="1C02F072"/>
    <w:rsid w:val="1C031E31"/>
    <w:rsid w:val="1C036284"/>
    <w:rsid w:val="1C037B43"/>
    <w:rsid w:val="1C03E23F"/>
    <w:rsid w:val="1C0529A6"/>
    <w:rsid w:val="1C055D4A"/>
    <w:rsid w:val="1C0702A1"/>
    <w:rsid w:val="1C0712B2"/>
    <w:rsid w:val="1C08338B"/>
    <w:rsid w:val="1C0897E7"/>
    <w:rsid w:val="1C089DC0"/>
    <w:rsid w:val="1C0A269E"/>
    <w:rsid w:val="1C0A4D57"/>
    <w:rsid w:val="1C0A81CD"/>
    <w:rsid w:val="1C0B23C8"/>
    <w:rsid w:val="1C0D2766"/>
    <w:rsid w:val="1C0DC84C"/>
    <w:rsid w:val="1C0DD943"/>
    <w:rsid w:val="1C0E492F"/>
    <w:rsid w:val="1C0EB80E"/>
    <w:rsid w:val="1C0F3257"/>
    <w:rsid w:val="1C0F7B91"/>
    <w:rsid w:val="1C1033A7"/>
    <w:rsid w:val="1C11B78D"/>
    <w:rsid w:val="1C12075E"/>
    <w:rsid w:val="1C12151A"/>
    <w:rsid w:val="1C127A8B"/>
    <w:rsid w:val="1C13F1E7"/>
    <w:rsid w:val="1C14A78B"/>
    <w:rsid w:val="1C14BDDC"/>
    <w:rsid w:val="1C14E701"/>
    <w:rsid w:val="1C14F567"/>
    <w:rsid w:val="1C158A21"/>
    <w:rsid w:val="1C164D06"/>
    <w:rsid w:val="1C16AE7D"/>
    <w:rsid w:val="1C1700EE"/>
    <w:rsid w:val="1C17750D"/>
    <w:rsid w:val="1C184C65"/>
    <w:rsid w:val="1C18C123"/>
    <w:rsid w:val="1C1AA197"/>
    <w:rsid w:val="1C1AFB4C"/>
    <w:rsid w:val="1C1BF8C7"/>
    <w:rsid w:val="1C1C2604"/>
    <w:rsid w:val="1C1D708F"/>
    <w:rsid w:val="1C1E091D"/>
    <w:rsid w:val="1C1F175D"/>
    <w:rsid w:val="1C200E68"/>
    <w:rsid w:val="1C20251F"/>
    <w:rsid w:val="1C21035C"/>
    <w:rsid w:val="1C223C92"/>
    <w:rsid w:val="1C224B74"/>
    <w:rsid w:val="1C225B92"/>
    <w:rsid w:val="1C249A7A"/>
    <w:rsid w:val="1C24A184"/>
    <w:rsid w:val="1C24D8C7"/>
    <w:rsid w:val="1C24F8A1"/>
    <w:rsid w:val="1C259F7D"/>
    <w:rsid w:val="1C25FF26"/>
    <w:rsid w:val="1C2666E0"/>
    <w:rsid w:val="1C269A6F"/>
    <w:rsid w:val="1C271622"/>
    <w:rsid w:val="1C273DB5"/>
    <w:rsid w:val="1C29919B"/>
    <w:rsid w:val="1C2A07AC"/>
    <w:rsid w:val="1C2A0B43"/>
    <w:rsid w:val="1C2A549F"/>
    <w:rsid w:val="1C2C2AF5"/>
    <w:rsid w:val="1C2DEBFA"/>
    <w:rsid w:val="1C2E6849"/>
    <w:rsid w:val="1C2EB49A"/>
    <w:rsid w:val="1C2EC4C0"/>
    <w:rsid w:val="1C2F6978"/>
    <w:rsid w:val="1C2FE411"/>
    <w:rsid w:val="1C303522"/>
    <w:rsid w:val="1C30684F"/>
    <w:rsid w:val="1C307F1B"/>
    <w:rsid w:val="1C308812"/>
    <w:rsid w:val="1C30F966"/>
    <w:rsid w:val="1C311523"/>
    <w:rsid w:val="1C3165F5"/>
    <w:rsid w:val="1C316A02"/>
    <w:rsid w:val="1C341155"/>
    <w:rsid w:val="1C3469C9"/>
    <w:rsid w:val="1C354E7D"/>
    <w:rsid w:val="1C35FBDE"/>
    <w:rsid w:val="1C377486"/>
    <w:rsid w:val="1C37BC4A"/>
    <w:rsid w:val="1C382558"/>
    <w:rsid w:val="1C390D97"/>
    <w:rsid w:val="1C390E8C"/>
    <w:rsid w:val="1C39A22F"/>
    <w:rsid w:val="1C39C2A6"/>
    <w:rsid w:val="1C3A2C65"/>
    <w:rsid w:val="1C3A94BA"/>
    <w:rsid w:val="1C3BD67F"/>
    <w:rsid w:val="1C3C0FA3"/>
    <w:rsid w:val="1C3C9867"/>
    <w:rsid w:val="1C3E0C61"/>
    <w:rsid w:val="1C3E0E40"/>
    <w:rsid w:val="1C3EE62F"/>
    <w:rsid w:val="1C3FC240"/>
    <w:rsid w:val="1C40404E"/>
    <w:rsid w:val="1C4196D3"/>
    <w:rsid w:val="1C430494"/>
    <w:rsid w:val="1C439A95"/>
    <w:rsid w:val="1C43C773"/>
    <w:rsid w:val="1C445953"/>
    <w:rsid w:val="1C4522CB"/>
    <w:rsid w:val="1C45A7B5"/>
    <w:rsid w:val="1C4609BD"/>
    <w:rsid w:val="1C461AF5"/>
    <w:rsid w:val="1C46EAC0"/>
    <w:rsid w:val="1C475D43"/>
    <w:rsid w:val="1C4763E3"/>
    <w:rsid w:val="1C47B222"/>
    <w:rsid w:val="1C47DD00"/>
    <w:rsid w:val="1C4832F0"/>
    <w:rsid w:val="1C483486"/>
    <w:rsid w:val="1C486AA2"/>
    <w:rsid w:val="1C49B5A8"/>
    <w:rsid w:val="1C4A785F"/>
    <w:rsid w:val="1C4A7FBD"/>
    <w:rsid w:val="1C4AAD34"/>
    <w:rsid w:val="1C4AB1C0"/>
    <w:rsid w:val="1C4B0A7B"/>
    <w:rsid w:val="1C4C89C0"/>
    <w:rsid w:val="1C4D5B86"/>
    <w:rsid w:val="1C4ED287"/>
    <w:rsid w:val="1C4FCC32"/>
    <w:rsid w:val="1C4FCD40"/>
    <w:rsid w:val="1C5041D1"/>
    <w:rsid w:val="1C50C2FB"/>
    <w:rsid w:val="1C51ECEB"/>
    <w:rsid w:val="1C526D42"/>
    <w:rsid w:val="1C531A93"/>
    <w:rsid w:val="1C538E07"/>
    <w:rsid w:val="1C53CF7A"/>
    <w:rsid w:val="1C53D63C"/>
    <w:rsid w:val="1C553729"/>
    <w:rsid w:val="1C55E790"/>
    <w:rsid w:val="1C55EDA0"/>
    <w:rsid w:val="1C5672EC"/>
    <w:rsid w:val="1C56EE0A"/>
    <w:rsid w:val="1C577A0B"/>
    <w:rsid w:val="1C57CE3B"/>
    <w:rsid w:val="1C57F693"/>
    <w:rsid w:val="1C58075B"/>
    <w:rsid w:val="1C583BBA"/>
    <w:rsid w:val="1C587BC4"/>
    <w:rsid w:val="1C588864"/>
    <w:rsid w:val="1C591E14"/>
    <w:rsid w:val="1C5A062A"/>
    <w:rsid w:val="1C5B2FBA"/>
    <w:rsid w:val="1C5B65EC"/>
    <w:rsid w:val="1C5B91F2"/>
    <w:rsid w:val="1C5C6285"/>
    <w:rsid w:val="1C5C7F95"/>
    <w:rsid w:val="1C5DBA49"/>
    <w:rsid w:val="1C5E0653"/>
    <w:rsid w:val="1C5EDA20"/>
    <w:rsid w:val="1C5EF8DD"/>
    <w:rsid w:val="1C5F3D34"/>
    <w:rsid w:val="1C60059E"/>
    <w:rsid w:val="1C605A0A"/>
    <w:rsid w:val="1C60BDFA"/>
    <w:rsid w:val="1C60CE6B"/>
    <w:rsid w:val="1C60E805"/>
    <w:rsid w:val="1C6134DD"/>
    <w:rsid w:val="1C614806"/>
    <w:rsid w:val="1C61CBE8"/>
    <w:rsid w:val="1C620B65"/>
    <w:rsid w:val="1C62C104"/>
    <w:rsid w:val="1C63857F"/>
    <w:rsid w:val="1C63F60A"/>
    <w:rsid w:val="1C6465D9"/>
    <w:rsid w:val="1C64E8F2"/>
    <w:rsid w:val="1C64EDB0"/>
    <w:rsid w:val="1C666FE2"/>
    <w:rsid w:val="1C669D26"/>
    <w:rsid w:val="1C6708A8"/>
    <w:rsid w:val="1C674E16"/>
    <w:rsid w:val="1C675317"/>
    <w:rsid w:val="1C680A17"/>
    <w:rsid w:val="1C6881AD"/>
    <w:rsid w:val="1C68C02B"/>
    <w:rsid w:val="1C690789"/>
    <w:rsid w:val="1C6964D4"/>
    <w:rsid w:val="1C6986C6"/>
    <w:rsid w:val="1C69A546"/>
    <w:rsid w:val="1C69EF30"/>
    <w:rsid w:val="1C69EFC6"/>
    <w:rsid w:val="1C6B14FC"/>
    <w:rsid w:val="1C6B7463"/>
    <w:rsid w:val="1C6C0A01"/>
    <w:rsid w:val="1C6C81F9"/>
    <w:rsid w:val="1C6CAA99"/>
    <w:rsid w:val="1C6D3DCA"/>
    <w:rsid w:val="1C6EF182"/>
    <w:rsid w:val="1C6FCFB1"/>
    <w:rsid w:val="1C70211A"/>
    <w:rsid w:val="1C71275A"/>
    <w:rsid w:val="1C729801"/>
    <w:rsid w:val="1C729B2C"/>
    <w:rsid w:val="1C74A1D9"/>
    <w:rsid w:val="1C74D0F6"/>
    <w:rsid w:val="1C752230"/>
    <w:rsid w:val="1C767231"/>
    <w:rsid w:val="1C76D049"/>
    <w:rsid w:val="1C77518D"/>
    <w:rsid w:val="1C78410B"/>
    <w:rsid w:val="1C79C4BB"/>
    <w:rsid w:val="1C79F61C"/>
    <w:rsid w:val="1C7A5740"/>
    <w:rsid w:val="1C7A9370"/>
    <w:rsid w:val="1C7AC262"/>
    <w:rsid w:val="1C7ACE35"/>
    <w:rsid w:val="1C7D5144"/>
    <w:rsid w:val="1C7D861D"/>
    <w:rsid w:val="1C7E5B78"/>
    <w:rsid w:val="1C7E670C"/>
    <w:rsid w:val="1C7EAE20"/>
    <w:rsid w:val="1C7F12B7"/>
    <w:rsid w:val="1C7F4080"/>
    <w:rsid w:val="1C805C59"/>
    <w:rsid w:val="1C81313B"/>
    <w:rsid w:val="1C840EA1"/>
    <w:rsid w:val="1C841F5A"/>
    <w:rsid w:val="1C847D5D"/>
    <w:rsid w:val="1C84E9FD"/>
    <w:rsid w:val="1C85D543"/>
    <w:rsid w:val="1C862061"/>
    <w:rsid w:val="1C86468C"/>
    <w:rsid w:val="1C874344"/>
    <w:rsid w:val="1C87F29F"/>
    <w:rsid w:val="1C880717"/>
    <w:rsid w:val="1C8851E8"/>
    <w:rsid w:val="1C89E9F8"/>
    <w:rsid w:val="1C8A85A6"/>
    <w:rsid w:val="1C8AEEF5"/>
    <w:rsid w:val="1C8C75B6"/>
    <w:rsid w:val="1C8CD100"/>
    <w:rsid w:val="1C8D3B6A"/>
    <w:rsid w:val="1C8D46B9"/>
    <w:rsid w:val="1C8D64EF"/>
    <w:rsid w:val="1C8DDF03"/>
    <w:rsid w:val="1C8EB70C"/>
    <w:rsid w:val="1C8F254D"/>
    <w:rsid w:val="1C903F1F"/>
    <w:rsid w:val="1C9137BB"/>
    <w:rsid w:val="1C922453"/>
    <w:rsid w:val="1C922C18"/>
    <w:rsid w:val="1C92AF85"/>
    <w:rsid w:val="1C92B711"/>
    <w:rsid w:val="1C9360FC"/>
    <w:rsid w:val="1C940471"/>
    <w:rsid w:val="1C949A92"/>
    <w:rsid w:val="1C954046"/>
    <w:rsid w:val="1C95DD35"/>
    <w:rsid w:val="1C96DD9D"/>
    <w:rsid w:val="1C975CCE"/>
    <w:rsid w:val="1C97780D"/>
    <w:rsid w:val="1C97A006"/>
    <w:rsid w:val="1C984047"/>
    <w:rsid w:val="1C996967"/>
    <w:rsid w:val="1C999BAB"/>
    <w:rsid w:val="1C9A683C"/>
    <w:rsid w:val="1C9C0464"/>
    <w:rsid w:val="1C9C076E"/>
    <w:rsid w:val="1C9C6314"/>
    <w:rsid w:val="1C9C8DB3"/>
    <w:rsid w:val="1C9CBFC2"/>
    <w:rsid w:val="1C9CEBB7"/>
    <w:rsid w:val="1C9D943C"/>
    <w:rsid w:val="1C9E78A8"/>
    <w:rsid w:val="1C9F2A9E"/>
    <w:rsid w:val="1C9FBB03"/>
    <w:rsid w:val="1C9FDC39"/>
    <w:rsid w:val="1CA04051"/>
    <w:rsid w:val="1CA0FC2A"/>
    <w:rsid w:val="1CA16E22"/>
    <w:rsid w:val="1CA17A07"/>
    <w:rsid w:val="1CA22CFF"/>
    <w:rsid w:val="1CA2D0CF"/>
    <w:rsid w:val="1CA369BC"/>
    <w:rsid w:val="1CA44E1D"/>
    <w:rsid w:val="1CA47C85"/>
    <w:rsid w:val="1CA501C6"/>
    <w:rsid w:val="1CA50899"/>
    <w:rsid w:val="1CA52A13"/>
    <w:rsid w:val="1CA57E6C"/>
    <w:rsid w:val="1CA6067C"/>
    <w:rsid w:val="1CA67B2E"/>
    <w:rsid w:val="1CA68EFD"/>
    <w:rsid w:val="1CA72A23"/>
    <w:rsid w:val="1CA736EC"/>
    <w:rsid w:val="1CA74567"/>
    <w:rsid w:val="1CA773A2"/>
    <w:rsid w:val="1CA7CFAB"/>
    <w:rsid w:val="1CA90569"/>
    <w:rsid w:val="1CA9433F"/>
    <w:rsid w:val="1CA972C6"/>
    <w:rsid w:val="1CA9F2A8"/>
    <w:rsid w:val="1CAA194A"/>
    <w:rsid w:val="1CAAF30D"/>
    <w:rsid w:val="1CABA723"/>
    <w:rsid w:val="1CAC0A88"/>
    <w:rsid w:val="1CAC8302"/>
    <w:rsid w:val="1CADB93B"/>
    <w:rsid w:val="1CAE54D4"/>
    <w:rsid w:val="1CAE9565"/>
    <w:rsid w:val="1CAF8248"/>
    <w:rsid w:val="1CB00CE4"/>
    <w:rsid w:val="1CB0DBC5"/>
    <w:rsid w:val="1CB0DFE4"/>
    <w:rsid w:val="1CB10B2B"/>
    <w:rsid w:val="1CB14EF8"/>
    <w:rsid w:val="1CB18072"/>
    <w:rsid w:val="1CB198C2"/>
    <w:rsid w:val="1CB1D26E"/>
    <w:rsid w:val="1CB24460"/>
    <w:rsid w:val="1CB28639"/>
    <w:rsid w:val="1CB2C8F5"/>
    <w:rsid w:val="1CB2C97C"/>
    <w:rsid w:val="1CB33DBE"/>
    <w:rsid w:val="1CB407C1"/>
    <w:rsid w:val="1CB47A7B"/>
    <w:rsid w:val="1CB5188A"/>
    <w:rsid w:val="1CB54820"/>
    <w:rsid w:val="1CB68629"/>
    <w:rsid w:val="1CB6A79D"/>
    <w:rsid w:val="1CB6E4F3"/>
    <w:rsid w:val="1CB70BDF"/>
    <w:rsid w:val="1CB71E35"/>
    <w:rsid w:val="1CB811AF"/>
    <w:rsid w:val="1CB84A6D"/>
    <w:rsid w:val="1CB8B7A4"/>
    <w:rsid w:val="1CB8D21A"/>
    <w:rsid w:val="1CB9225F"/>
    <w:rsid w:val="1CBA9F90"/>
    <w:rsid w:val="1CBADFEF"/>
    <w:rsid w:val="1CBB2B52"/>
    <w:rsid w:val="1CBB5D92"/>
    <w:rsid w:val="1CBBA097"/>
    <w:rsid w:val="1CBBBB69"/>
    <w:rsid w:val="1CBCB459"/>
    <w:rsid w:val="1CBD216D"/>
    <w:rsid w:val="1CBD29FB"/>
    <w:rsid w:val="1CBD7A7F"/>
    <w:rsid w:val="1CBD9987"/>
    <w:rsid w:val="1CBDEACE"/>
    <w:rsid w:val="1CBE0D34"/>
    <w:rsid w:val="1CBE296E"/>
    <w:rsid w:val="1CBED5CB"/>
    <w:rsid w:val="1CBF3E0D"/>
    <w:rsid w:val="1CC0AB0F"/>
    <w:rsid w:val="1CC175A3"/>
    <w:rsid w:val="1CC1C778"/>
    <w:rsid w:val="1CC1E3D0"/>
    <w:rsid w:val="1CC21A38"/>
    <w:rsid w:val="1CC2D53D"/>
    <w:rsid w:val="1CC3D5BD"/>
    <w:rsid w:val="1CC3EACA"/>
    <w:rsid w:val="1CC4C33C"/>
    <w:rsid w:val="1CC5A70F"/>
    <w:rsid w:val="1CC5B25C"/>
    <w:rsid w:val="1CC5DEF4"/>
    <w:rsid w:val="1CC610F0"/>
    <w:rsid w:val="1CC64677"/>
    <w:rsid w:val="1CC674FA"/>
    <w:rsid w:val="1CC73ACC"/>
    <w:rsid w:val="1CC7BB42"/>
    <w:rsid w:val="1CC7D9EF"/>
    <w:rsid w:val="1CC7E1D7"/>
    <w:rsid w:val="1CC7F689"/>
    <w:rsid w:val="1CC8009E"/>
    <w:rsid w:val="1CC8482C"/>
    <w:rsid w:val="1CC84BE3"/>
    <w:rsid w:val="1CC878D6"/>
    <w:rsid w:val="1CC8B50B"/>
    <w:rsid w:val="1CC95E33"/>
    <w:rsid w:val="1CC9F1BF"/>
    <w:rsid w:val="1CCAA3BE"/>
    <w:rsid w:val="1CCAD5A6"/>
    <w:rsid w:val="1CCAFE8F"/>
    <w:rsid w:val="1CCBE8C0"/>
    <w:rsid w:val="1CCC3521"/>
    <w:rsid w:val="1CCD8A9C"/>
    <w:rsid w:val="1CCDB324"/>
    <w:rsid w:val="1CCE382E"/>
    <w:rsid w:val="1CCEB660"/>
    <w:rsid w:val="1CCF921D"/>
    <w:rsid w:val="1CCFA2CE"/>
    <w:rsid w:val="1CCFC9C9"/>
    <w:rsid w:val="1CD03164"/>
    <w:rsid w:val="1CD07F32"/>
    <w:rsid w:val="1CD0D6AD"/>
    <w:rsid w:val="1CD19AE2"/>
    <w:rsid w:val="1CD2358E"/>
    <w:rsid w:val="1CD27B10"/>
    <w:rsid w:val="1CD3162F"/>
    <w:rsid w:val="1CD3B8E0"/>
    <w:rsid w:val="1CD49D71"/>
    <w:rsid w:val="1CD4A77A"/>
    <w:rsid w:val="1CD4C4F0"/>
    <w:rsid w:val="1CD4C809"/>
    <w:rsid w:val="1CD5276A"/>
    <w:rsid w:val="1CD52C40"/>
    <w:rsid w:val="1CD5CD85"/>
    <w:rsid w:val="1CD66741"/>
    <w:rsid w:val="1CD6D100"/>
    <w:rsid w:val="1CD6F7B5"/>
    <w:rsid w:val="1CD77090"/>
    <w:rsid w:val="1CD7DD5A"/>
    <w:rsid w:val="1CD854F6"/>
    <w:rsid w:val="1CD8CED6"/>
    <w:rsid w:val="1CD930C9"/>
    <w:rsid w:val="1CDA1D43"/>
    <w:rsid w:val="1CDA4DB5"/>
    <w:rsid w:val="1CDB03A1"/>
    <w:rsid w:val="1CDB683C"/>
    <w:rsid w:val="1CDBB04F"/>
    <w:rsid w:val="1CDBEF96"/>
    <w:rsid w:val="1CDC4672"/>
    <w:rsid w:val="1CDCFA52"/>
    <w:rsid w:val="1CDD8368"/>
    <w:rsid w:val="1CDDCC70"/>
    <w:rsid w:val="1CDE0B01"/>
    <w:rsid w:val="1CDE5B11"/>
    <w:rsid w:val="1CDF90B5"/>
    <w:rsid w:val="1CE02627"/>
    <w:rsid w:val="1CE0F261"/>
    <w:rsid w:val="1CE102E5"/>
    <w:rsid w:val="1CE14313"/>
    <w:rsid w:val="1CE1B821"/>
    <w:rsid w:val="1CE215F8"/>
    <w:rsid w:val="1CE23A03"/>
    <w:rsid w:val="1CE25FA3"/>
    <w:rsid w:val="1CE26BA6"/>
    <w:rsid w:val="1CE2C02C"/>
    <w:rsid w:val="1CE308EE"/>
    <w:rsid w:val="1CE3463F"/>
    <w:rsid w:val="1CE36EE6"/>
    <w:rsid w:val="1CE3B563"/>
    <w:rsid w:val="1CE40D5B"/>
    <w:rsid w:val="1CE42244"/>
    <w:rsid w:val="1CE450F4"/>
    <w:rsid w:val="1CE62899"/>
    <w:rsid w:val="1CE708B4"/>
    <w:rsid w:val="1CE8085A"/>
    <w:rsid w:val="1CE872A3"/>
    <w:rsid w:val="1CE8828C"/>
    <w:rsid w:val="1CE8FFF9"/>
    <w:rsid w:val="1CE9713B"/>
    <w:rsid w:val="1CE9F3E2"/>
    <w:rsid w:val="1CEA9062"/>
    <w:rsid w:val="1CEBE25E"/>
    <w:rsid w:val="1CEC2A5F"/>
    <w:rsid w:val="1CECD122"/>
    <w:rsid w:val="1CED2A21"/>
    <w:rsid w:val="1CEDDE0F"/>
    <w:rsid w:val="1CEDF1E7"/>
    <w:rsid w:val="1CEE486F"/>
    <w:rsid w:val="1CEE57EF"/>
    <w:rsid w:val="1CEF6227"/>
    <w:rsid w:val="1CEFCDA7"/>
    <w:rsid w:val="1CEFF380"/>
    <w:rsid w:val="1CF11B5B"/>
    <w:rsid w:val="1CF1851B"/>
    <w:rsid w:val="1CF1DAB8"/>
    <w:rsid w:val="1CF22EF5"/>
    <w:rsid w:val="1CF24F6D"/>
    <w:rsid w:val="1CF51E13"/>
    <w:rsid w:val="1CF521F0"/>
    <w:rsid w:val="1CF5CF26"/>
    <w:rsid w:val="1CF5F1EF"/>
    <w:rsid w:val="1CF65B6D"/>
    <w:rsid w:val="1CF7EBFD"/>
    <w:rsid w:val="1CF9D689"/>
    <w:rsid w:val="1CFA854B"/>
    <w:rsid w:val="1CFAEA50"/>
    <w:rsid w:val="1CFCE709"/>
    <w:rsid w:val="1CFCE748"/>
    <w:rsid w:val="1CFCE94F"/>
    <w:rsid w:val="1CFD22DD"/>
    <w:rsid w:val="1CFD4B2A"/>
    <w:rsid w:val="1CFD8028"/>
    <w:rsid w:val="1CFEC406"/>
    <w:rsid w:val="1CFEF12E"/>
    <w:rsid w:val="1CFF123B"/>
    <w:rsid w:val="1CFF525E"/>
    <w:rsid w:val="1CFF67E4"/>
    <w:rsid w:val="1D0074B0"/>
    <w:rsid w:val="1D00C742"/>
    <w:rsid w:val="1D01122E"/>
    <w:rsid w:val="1D018B88"/>
    <w:rsid w:val="1D032946"/>
    <w:rsid w:val="1D033742"/>
    <w:rsid w:val="1D0447D8"/>
    <w:rsid w:val="1D04B492"/>
    <w:rsid w:val="1D063019"/>
    <w:rsid w:val="1D067E8E"/>
    <w:rsid w:val="1D06D5BA"/>
    <w:rsid w:val="1D0700C8"/>
    <w:rsid w:val="1D0765A7"/>
    <w:rsid w:val="1D07E29F"/>
    <w:rsid w:val="1D088E87"/>
    <w:rsid w:val="1D08D757"/>
    <w:rsid w:val="1D08F3A7"/>
    <w:rsid w:val="1D0906BA"/>
    <w:rsid w:val="1D092912"/>
    <w:rsid w:val="1D0949CE"/>
    <w:rsid w:val="1D099362"/>
    <w:rsid w:val="1D09CC94"/>
    <w:rsid w:val="1D0A34E1"/>
    <w:rsid w:val="1D0A4BEA"/>
    <w:rsid w:val="1D0AC339"/>
    <w:rsid w:val="1D0B7F7B"/>
    <w:rsid w:val="1D0CEA41"/>
    <w:rsid w:val="1D0D240E"/>
    <w:rsid w:val="1D0D85F9"/>
    <w:rsid w:val="1D0DCE4C"/>
    <w:rsid w:val="1D0DD6CA"/>
    <w:rsid w:val="1D0E03AA"/>
    <w:rsid w:val="1D0E6E62"/>
    <w:rsid w:val="1D0F25AF"/>
    <w:rsid w:val="1D0F58F0"/>
    <w:rsid w:val="1D0F779D"/>
    <w:rsid w:val="1D0FAD0D"/>
    <w:rsid w:val="1D105F87"/>
    <w:rsid w:val="1D109EC4"/>
    <w:rsid w:val="1D115C9F"/>
    <w:rsid w:val="1D117380"/>
    <w:rsid w:val="1D125027"/>
    <w:rsid w:val="1D128072"/>
    <w:rsid w:val="1D12DC22"/>
    <w:rsid w:val="1D134029"/>
    <w:rsid w:val="1D134C0E"/>
    <w:rsid w:val="1D1365BB"/>
    <w:rsid w:val="1D144F91"/>
    <w:rsid w:val="1D154AA8"/>
    <w:rsid w:val="1D15AF74"/>
    <w:rsid w:val="1D165259"/>
    <w:rsid w:val="1D170632"/>
    <w:rsid w:val="1D18B196"/>
    <w:rsid w:val="1D18DA67"/>
    <w:rsid w:val="1D18F405"/>
    <w:rsid w:val="1D1A8282"/>
    <w:rsid w:val="1D1ABEDE"/>
    <w:rsid w:val="1D1ADEEB"/>
    <w:rsid w:val="1D1AF43A"/>
    <w:rsid w:val="1D1BAB1A"/>
    <w:rsid w:val="1D1CDFDA"/>
    <w:rsid w:val="1D1D7548"/>
    <w:rsid w:val="1D1D82BA"/>
    <w:rsid w:val="1D1E8C87"/>
    <w:rsid w:val="1D1EBEC2"/>
    <w:rsid w:val="1D1ED3DC"/>
    <w:rsid w:val="1D1ED9FB"/>
    <w:rsid w:val="1D21779F"/>
    <w:rsid w:val="1D220158"/>
    <w:rsid w:val="1D223540"/>
    <w:rsid w:val="1D22C155"/>
    <w:rsid w:val="1D238CE8"/>
    <w:rsid w:val="1D24103A"/>
    <w:rsid w:val="1D2551F6"/>
    <w:rsid w:val="1D2571C7"/>
    <w:rsid w:val="1D262B6A"/>
    <w:rsid w:val="1D278DB4"/>
    <w:rsid w:val="1D28058D"/>
    <w:rsid w:val="1D286A69"/>
    <w:rsid w:val="1D29481C"/>
    <w:rsid w:val="1D29AF13"/>
    <w:rsid w:val="1D2A6AC6"/>
    <w:rsid w:val="1D2B6A79"/>
    <w:rsid w:val="1D2C3FE2"/>
    <w:rsid w:val="1D2C59F5"/>
    <w:rsid w:val="1D2CA0F8"/>
    <w:rsid w:val="1D2CFB59"/>
    <w:rsid w:val="1D2DC635"/>
    <w:rsid w:val="1D2E7D4D"/>
    <w:rsid w:val="1D2E9087"/>
    <w:rsid w:val="1D2F4929"/>
    <w:rsid w:val="1D2FAF3E"/>
    <w:rsid w:val="1D2FC9BF"/>
    <w:rsid w:val="1D2FD274"/>
    <w:rsid w:val="1D2FE31F"/>
    <w:rsid w:val="1D301673"/>
    <w:rsid w:val="1D3048DE"/>
    <w:rsid w:val="1D32089F"/>
    <w:rsid w:val="1D32656F"/>
    <w:rsid w:val="1D327B37"/>
    <w:rsid w:val="1D333D80"/>
    <w:rsid w:val="1D33F8E3"/>
    <w:rsid w:val="1D3408D4"/>
    <w:rsid w:val="1D34A592"/>
    <w:rsid w:val="1D34CF69"/>
    <w:rsid w:val="1D366C71"/>
    <w:rsid w:val="1D36B424"/>
    <w:rsid w:val="1D36BD90"/>
    <w:rsid w:val="1D383A69"/>
    <w:rsid w:val="1D393090"/>
    <w:rsid w:val="1D3966CF"/>
    <w:rsid w:val="1D3A54CA"/>
    <w:rsid w:val="1D3B9294"/>
    <w:rsid w:val="1D3C3666"/>
    <w:rsid w:val="1D3C9DE1"/>
    <w:rsid w:val="1D3CA3EF"/>
    <w:rsid w:val="1D3CA65E"/>
    <w:rsid w:val="1D3DF893"/>
    <w:rsid w:val="1D3E40E5"/>
    <w:rsid w:val="1D3EC9BC"/>
    <w:rsid w:val="1D40B686"/>
    <w:rsid w:val="1D40F6EB"/>
    <w:rsid w:val="1D410C11"/>
    <w:rsid w:val="1D42C3D3"/>
    <w:rsid w:val="1D431420"/>
    <w:rsid w:val="1D44C641"/>
    <w:rsid w:val="1D45770F"/>
    <w:rsid w:val="1D45AA37"/>
    <w:rsid w:val="1D4671B2"/>
    <w:rsid w:val="1D46883D"/>
    <w:rsid w:val="1D46FB8C"/>
    <w:rsid w:val="1D482F68"/>
    <w:rsid w:val="1D48DAEB"/>
    <w:rsid w:val="1D4959A6"/>
    <w:rsid w:val="1D4995AA"/>
    <w:rsid w:val="1D4A28C9"/>
    <w:rsid w:val="1D4A2A5D"/>
    <w:rsid w:val="1D4A347C"/>
    <w:rsid w:val="1D4A4FB1"/>
    <w:rsid w:val="1D4BAC66"/>
    <w:rsid w:val="1D4C0EEB"/>
    <w:rsid w:val="1D4C50B2"/>
    <w:rsid w:val="1D4C84A9"/>
    <w:rsid w:val="1D4D3222"/>
    <w:rsid w:val="1D4D358F"/>
    <w:rsid w:val="1D4D50C6"/>
    <w:rsid w:val="1D4E906F"/>
    <w:rsid w:val="1D4E9795"/>
    <w:rsid w:val="1D4F0138"/>
    <w:rsid w:val="1D4FD50B"/>
    <w:rsid w:val="1D4FFBA6"/>
    <w:rsid w:val="1D508D9D"/>
    <w:rsid w:val="1D51124B"/>
    <w:rsid w:val="1D5121F3"/>
    <w:rsid w:val="1D5136B5"/>
    <w:rsid w:val="1D517A7A"/>
    <w:rsid w:val="1D5198A2"/>
    <w:rsid w:val="1D5199F9"/>
    <w:rsid w:val="1D51B8BD"/>
    <w:rsid w:val="1D51C836"/>
    <w:rsid w:val="1D51CF62"/>
    <w:rsid w:val="1D5254BE"/>
    <w:rsid w:val="1D547AA3"/>
    <w:rsid w:val="1D553527"/>
    <w:rsid w:val="1D5665D4"/>
    <w:rsid w:val="1D56B083"/>
    <w:rsid w:val="1D577236"/>
    <w:rsid w:val="1D5802C9"/>
    <w:rsid w:val="1D584CE5"/>
    <w:rsid w:val="1D584FB9"/>
    <w:rsid w:val="1D589A0A"/>
    <w:rsid w:val="1D58E24D"/>
    <w:rsid w:val="1D595275"/>
    <w:rsid w:val="1D5ADE02"/>
    <w:rsid w:val="1D5B1FA1"/>
    <w:rsid w:val="1D5B4CB1"/>
    <w:rsid w:val="1D5BDC63"/>
    <w:rsid w:val="1D5C0DA3"/>
    <w:rsid w:val="1D5C1046"/>
    <w:rsid w:val="1D5D132A"/>
    <w:rsid w:val="1D5DF362"/>
    <w:rsid w:val="1D5EA518"/>
    <w:rsid w:val="1D5F0581"/>
    <w:rsid w:val="1D5FDA71"/>
    <w:rsid w:val="1D608AF5"/>
    <w:rsid w:val="1D609EF8"/>
    <w:rsid w:val="1D610D17"/>
    <w:rsid w:val="1D635AF1"/>
    <w:rsid w:val="1D645AA3"/>
    <w:rsid w:val="1D650F47"/>
    <w:rsid w:val="1D655F23"/>
    <w:rsid w:val="1D659356"/>
    <w:rsid w:val="1D65F978"/>
    <w:rsid w:val="1D6655BD"/>
    <w:rsid w:val="1D6665B7"/>
    <w:rsid w:val="1D66D374"/>
    <w:rsid w:val="1D674F86"/>
    <w:rsid w:val="1D67AC13"/>
    <w:rsid w:val="1D67D720"/>
    <w:rsid w:val="1D6893B9"/>
    <w:rsid w:val="1D69D727"/>
    <w:rsid w:val="1D6B7397"/>
    <w:rsid w:val="1D6CBB48"/>
    <w:rsid w:val="1D6CEB26"/>
    <w:rsid w:val="1D6CF0D8"/>
    <w:rsid w:val="1D6DAA0E"/>
    <w:rsid w:val="1D6E0C38"/>
    <w:rsid w:val="1D6E0D68"/>
    <w:rsid w:val="1D6E5ECE"/>
    <w:rsid w:val="1D6E8B1D"/>
    <w:rsid w:val="1D6F5DC3"/>
    <w:rsid w:val="1D70401E"/>
    <w:rsid w:val="1D70896E"/>
    <w:rsid w:val="1D709351"/>
    <w:rsid w:val="1D70BA07"/>
    <w:rsid w:val="1D7159E1"/>
    <w:rsid w:val="1D717938"/>
    <w:rsid w:val="1D726DF0"/>
    <w:rsid w:val="1D729103"/>
    <w:rsid w:val="1D72FB93"/>
    <w:rsid w:val="1D7433BC"/>
    <w:rsid w:val="1D74F47B"/>
    <w:rsid w:val="1D7640B8"/>
    <w:rsid w:val="1D7674CB"/>
    <w:rsid w:val="1D76ED71"/>
    <w:rsid w:val="1D772A19"/>
    <w:rsid w:val="1D775A3E"/>
    <w:rsid w:val="1D782091"/>
    <w:rsid w:val="1D78805A"/>
    <w:rsid w:val="1D792ACC"/>
    <w:rsid w:val="1D79A2FE"/>
    <w:rsid w:val="1D79F813"/>
    <w:rsid w:val="1D7A0F3A"/>
    <w:rsid w:val="1D7A963B"/>
    <w:rsid w:val="1D7CD0DD"/>
    <w:rsid w:val="1D7E1344"/>
    <w:rsid w:val="1D7E3CE0"/>
    <w:rsid w:val="1D7FD839"/>
    <w:rsid w:val="1D810F2B"/>
    <w:rsid w:val="1D81C9AB"/>
    <w:rsid w:val="1D820A22"/>
    <w:rsid w:val="1D8278E6"/>
    <w:rsid w:val="1D82C448"/>
    <w:rsid w:val="1D835DFC"/>
    <w:rsid w:val="1D8389B9"/>
    <w:rsid w:val="1D83D14C"/>
    <w:rsid w:val="1D83E832"/>
    <w:rsid w:val="1D867E2A"/>
    <w:rsid w:val="1D86A3F3"/>
    <w:rsid w:val="1D87B30A"/>
    <w:rsid w:val="1D881B5D"/>
    <w:rsid w:val="1D884270"/>
    <w:rsid w:val="1D889560"/>
    <w:rsid w:val="1D88E3FC"/>
    <w:rsid w:val="1D89ECEC"/>
    <w:rsid w:val="1D8A072D"/>
    <w:rsid w:val="1D8A2358"/>
    <w:rsid w:val="1D8A48DF"/>
    <w:rsid w:val="1D8ADBDE"/>
    <w:rsid w:val="1D8BCAD4"/>
    <w:rsid w:val="1D8BD732"/>
    <w:rsid w:val="1D8C3E09"/>
    <w:rsid w:val="1D8C9DCA"/>
    <w:rsid w:val="1D8CD36F"/>
    <w:rsid w:val="1D8DBEB9"/>
    <w:rsid w:val="1D8DD975"/>
    <w:rsid w:val="1D8E1FE6"/>
    <w:rsid w:val="1D8E6412"/>
    <w:rsid w:val="1D8F1057"/>
    <w:rsid w:val="1D8F2BD7"/>
    <w:rsid w:val="1D8F545D"/>
    <w:rsid w:val="1D9120B3"/>
    <w:rsid w:val="1D916978"/>
    <w:rsid w:val="1D91D0C6"/>
    <w:rsid w:val="1D921AC2"/>
    <w:rsid w:val="1D93422D"/>
    <w:rsid w:val="1D954BB9"/>
    <w:rsid w:val="1D95C9FD"/>
    <w:rsid w:val="1D96B35D"/>
    <w:rsid w:val="1D975448"/>
    <w:rsid w:val="1D9775D6"/>
    <w:rsid w:val="1D987C9A"/>
    <w:rsid w:val="1D9B7063"/>
    <w:rsid w:val="1D9C4207"/>
    <w:rsid w:val="1D9C4969"/>
    <w:rsid w:val="1D9CA3A5"/>
    <w:rsid w:val="1D9CDD0F"/>
    <w:rsid w:val="1D9D16B7"/>
    <w:rsid w:val="1D9D4E46"/>
    <w:rsid w:val="1D9D9B1A"/>
    <w:rsid w:val="1D9DA7A3"/>
    <w:rsid w:val="1D9DBD1E"/>
    <w:rsid w:val="1D9DC17A"/>
    <w:rsid w:val="1D9E02F1"/>
    <w:rsid w:val="1D9E1B00"/>
    <w:rsid w:val="1D9E46C8"/>
    <w:rsid w:val="1D9E8A32"/>
    <w:rsid w:val="1D9E9FB4"/>
    <w:rsid w:val="1D9EFA96"/>
    <w:rsid w:val="1D9F0ABD"/>
    <w:rsid w:val="1D9F173C"/>
    <w:rsid w:val="1D9F31EA"/>
    <w:rsid w:val="1D9FC6A9"/>
    <w:rsid w:val="1D9FF4F6"/>
    <w:rsid w:val="1DA157E0"/>
    <w:rsid w:val="1DA16B22"/>
    <w:rsid w:val="1DA20E3D"/>
    <w:rsid w:val="1DA238D3"/>
    <w:rsid w:val="1DA24753"/>
    <w:rsid w:val="1DA24DA3"/>
    <w:rsid w:val="1DA25A10"/>
    <w:rsid w:val="1DA2E24E"/>
    <w:rsid w:val="1DA2F04C"/>
    <w:rsid w:val="1DA30AB4"/>
    <w:rsid w:val="1DA36ADF"/>
    <w:rsid w:val="1DA3A863"/>
    <w:rsid w:val="1DA4B9BA"/>
    <w:rsid w:val="1DA4DD5A"/>
    <w:rsid w:val="1DA54863"/>
    <w:rsid w:val="1DA5F096"/>
    <w:rsid w:val="1DA6F73F"/>
    <w:rsid w:val="1DA712AE"/>
    <w:rsid w:val="1DA766F9"/>
    <w:rsid w:val="1DA7E538"/>
    <w:rsid w:val="1DA7FB42"/>
    <w:rsid w:val="1DA8964F"/>
    <w:rsid w:val="1DA98A91"/>
    <w:rsid w:val="1DA9B4F1"/>
    <w:rsid w:val="1DA9EDCC"/>
    <w:rsid w:val="1DAA5976"/>
    <w:rsid w:val="1DAB01CA"/>
    <w:rsid w:val="1DAEC81A"/>
    <w:rsid w:val="1DB0105F"/>
    <w:rsid w:val="1DB08B79"/>
    <w:rsid w:val="1DB08BDA"/>
    <w:rsid w:val="1DB1285D"/>
    <w:rsid w:val="1DB165BC"/>
    <w:rsid w:val="1DB196D3"/>
    <w:rsid w:val="1DB1FCB6"/>
    <w:rsid w:val="1DB2E411"/>
    <w:rsid w:val="1DB3B6F5"/>
    <w:rsid w:val="1DB42988"/>
    <w:rsid w:val="1DB44063"/>
    <w:rsid w:val="1DB44E9A"/>
    <w:rsid w:val="1DB477C5"/>
    <w:rsid w:val="1DB4FA63"/>
    <w:rsid w:val="1DB50833"/>
    <w:rsid w:val="1DB5C4FC"/>
    <w:rsid w:val="1DB5F73C"/>
    <w:rsid w:val="1DB619B0"/>
    <w:rsid w:val="1DB62DD4"/>
    <w:rsid w:val="1DB78791"/>
    <w:rsid w:val="1DB789FA"/>
    <w:rsid w:val="1DB7EB04"/>
    <w:rsid w:val="1DB7FA45"/>
    <w:rsid w:val="1DB80BE0"/>
    <w:rsid w:val="1DB89373"/>
    <w:rsid w:val="1DB905B9"/>
    <w:rsid w:val="1DB99B02"/>
    <w:rsid w:val="1DB9EA3A"/>
    <w:rsid w:val="1DBA1FC5"/>
    <w:rsid w:val="1DBB0196"/>
    <w:rsid w:val="1DBB0F9D"/>
    <w:rsid w:val="1DBB2603"/>
    <w:rsid w:val="1DBB4FDF"/>
    <w:rsid w:val="1DBB5C91"/>
    <w:rsid w:val="1DBC9BDA"/>
    <w:rsid w:val="1DBCA1F2"/>
    <w:rsid w:val="1DBCBC8B"/>
    <w:rsid w:val="1DBD28F4"/>
    <w:rsid w:val="1DBD626F"/>
    <w:rsid w:val="1DBD7934"/>
    <w:rsid w:val="1DBDA0B1"/>
    <w:rsid w:val="1DBE455F"/>
    <w:rsid w:val="1DBF14C7"/>
    <w:rsid w:val="1DBF20C8"/>
    <w:rsid w:val="1DC08BD9"/>
    <w:rsid w:val="1DC12CAD"/>
    <w:rsid w:val="1DC19337"/>
    <w:rsid w:val="1DC21695"/>
    <w:rsid w:val="1DC32692"/>
    <w:rsid w:val="1DC4DCD2"/>
    <w:rsid w:val="1DC4EF9A"/>
    <w:rsid w:val="1DC67467"/>
    <w:rsid w:val="1DC6C7B5"/>
    <w:rsid w:val="1DC71F6A"/>
    <w:rsid w:val="1DC77376"/>
    <w:rsid w:val="1DC7B05E"/>
    <w:rsid w:val="1DC82863"/>
    <w:rsid w:val="1DC8CC37"/>
    <w:rsid w:val="1DC92D62"/>
    <w:rsid w:val="1DC931EA"/>
    <w:rsid w:val="1DC94744"/>
    <w:rsid w:val="1DC9DD7E"/>
    <w:rsid w:val="1DCCB265"/>
    <w:rsid w:val="1DCCC7A3"/>
    <w:rsid w:val="1DCCCDB7"/>
    <w:rsid w:val="1DCD1447"/>
    <w:rsid w:val="1DCD1F88"/>
    <w:rsid w:val="1DCF922B"/>
    <w:rsid w:val="1DD10F5F"/>
    <w:rsid w:val="1DD1DE8D"/>
    <w:rsid w:val="1DD1E133"/>
    <w:rsid w:val="1DD2C60E"/>
    <w:rsid w:val="1DD32D44"/>
    <w:rsid w:val="1DD35005"/>
    <w:rsid w:val="1DD424CC"/>
    <w:rsid w:val="1DD4B8F2"/>
    <w:rsid w:val="1DD55A66"/>
    <w:rsid w:val="1DD59848"/>
    <w:rsid w:val="1DD65F61"/>
    <w:rsid w:val="1DD7217F"/>
    <w:rsid w:val="1DD7530D"/>
    <w:rsid w:val="1DD79977"/>
    <w:rsid w:val="1DD7C15F"/>
    <w:rsid w:val="1DD8A0F8"/>
    <w:rsid w:val="1DD8D813"/>
    <w:rsid w:val="1DD93123"/>
    <w:rsid w:val="1DD94C80"/>
    <w:rsid w:val="1DD96153"/>
    <w:rsid w:val="1DDACCD5"/>
    <w:rsid w:val="1DDBAD9A"/>
    <w:rsid w:val="1DDBD407"/>
    <w:rsid w:val="1DDC64E2"/>
    <w:rsid w:val="1DDC7BCB"/>
    <w:rsid w:val="1DDD55FB"/>
    <w:rsid w:val="1DDE84D7"/>
    <w:rsid w:val="1DDFC0A6"/>
    <w:rsid w:val="1DE02246"/>
    <w:rsid w:val="1DE168D3"/>
    <w:rsid w:val="1DE232AE"/>
    <w:rsid w:val="1DE290EC"/>
    <w:rsid w:val="1DE2C9B1"/>
    <w:rsid w:val="1DE2D71B"/>
    <w:rsid w:val="1DE2E5B2"/>
    <w:rsid w:val="1DE3162C"/>
    <w:rsid w:val="1DE3EA7B"/>
    <w:rsid w:val="1DE43831"/>
    <w:rsid w:val="1DE4BE6D"/>
    <w:rsid w:val="1DE51338"/>
    <w:rsid w:val="1DE53518"/>
    <w:rsid w:val="1DE54B86"/>
    <w:rsid w:val="1DE5B0A5"/>
    <w:rsid w:val="1DE5C5E7"/>
    <w:rsid w:val="1DE5C80D"/>
    <w:rsid w:val="1DE64B41"/>
    <w:rsid w:val="1DE70A69"/>
    <w:rsid w:val="1DE73B0A"/>
    <w:rsid w:val="1DE87A77"/>
    <w:rsid w:val="1DE89DEC"/>
    <w:rsid w:val="1DE9365E"/>
    <w:rsid w:val="1DE9450E"/>
    <w:rsid w:val="1DE996CD"/>
    <w:rsid w:val="1DE9C252"/>
    <w:rsid w:val="1DEA5A68"/>
    <w:rsid w:val="1DEAB26E"/>
    <w:rsid w:val="1DEC0A64"/>
    <w:rsid w:val="1DEC2E1C"/>
    <w:rsid w:val="1DEC7148"/>
    <w:rsid w:val="1DECB8DF"/>
    <w:rsid w:val="1DECF7BE"/>
    <w:rsid w:val="1DED007E"/>
    <w:rsid w:val="1DED313B"/>
    <w:rsid w:val="1DEE20E7"/>
    <w:rsid w:val="1DEED69C"/>
    <w:rsid w:val="1DEFAB48"/>
    <w:rsid w:val="1DF13316"/>
    <w:rsid w:val="1DF1E0B6"/>
    <w:rsid w:val="1DF23D49"/>
    <w:rsid w:val="1DF24EED"/>
    <w:rsid w:val="1DF2E66D"/>
    <w:rsid w:val="1DF36AF9"/>
    <w:rsid w:val="1DF3CABD"/>
    <w:rsid w:val="1DF3D547"/>
    <w:rsid w:val="1DF438CF"/>
    <w:rsid w:val="1DF46E95"/>
    <w:rsid w:val="1DF4A1A9"/>
    <w:rsid w:val="1DF4E5F4"/>
    <w:rsid w:val="1DF5642A"/>
    <w:rsid w:val="1DF64303"/>
    <w:rsid w:val="1DF6F8C4"/>
    <w:rsid w:val="1DF70D45"/>
    <w:rsid w:val="1DF7C152"/>
    <w:rsid w:val="1DF85782"/>
    <w:rsid w:val="1DF89B6C"/>
    <w:rsid w:val="1DF8A1A6"/>
    <w:rsid w:val="1DF8B72D"/>
    <w:rsid w:val="1DFAAEAE"/>
    <w:rsid w:val="1DFB0DC5"/>
    <w:rsid w:val="1DFB607C"/>
    <w:rsid w:val="1DFC7F26"/>
    <w:rsid w:val="1DFCC770"/>
    <w:rsid w:val="1DFCFDAF"/>
    <w:rsid w:val="1DFD0B33"/>
    <w:rsid w:val="1DFDEE59"/>
    <w:rsid w:val="1DFE0E07"/>
    <w:rsid w:val="1DFE2334"/>
    <w:rsid w:val="1DFE54BA"/>
    <w:rsid w:val="1DFEB9B8"/>
    <w:rsid w:val="1DFFC720"/>
    <w:rsid w:val="1E0072BA"/>
    <w:rsid w:val="1E009599"/>
    <w:rsid w:val="1E00965A"/>
    <w:rsid w:val="1E00FF8C"/>
    <w:rsid w:val="1E01038C"/>
    <w:rsid w:val="1E016959"/>
    <w:rsid w:val="1E01CDB2"/>
    <w:rsid w:val="1E0258DE"/>
    <w:rsid w:val="1E02E912"/>
    <w:rsid w:val="1E02FBFB"/>
    <w:rsid w:val="1E038E0D"/>
    <w:rsid w:val="1E0425A8"/>
    <w:rsid w:val="1E042604"/>
    <w:rsid w:val="1E04F4CB"/>
    <w:rsid w:val="1E0546F2"/>
    <w:rsid w:val="1E05CABC"/>
    <w:rsid w:val="1E06C4E8"/>
    <w:rsid w:val="1E0752D3"/>
    <w:rsid w:val="1E07D97E"/>
    <w:rsid w:val="1E07F2CB"/>
    <w:rsid w:val="1E08BF4F"/>
    <w:rsid w:val="1E08FFBE"/>
    <w:rsid w:val="1E092EAB"/>
    <w:rsid w:val="1E096B77"/>
    <w:rsid w:val="1E09726A"/>
    <w:rsid w:val="1E0A247A"/>
    <w:rsid w:val="1E0A7F78"/>
    <w:rsid w:val="1E0A8EEB"/>
    <w:rsid w:val="1E0A9637"/>
    <w:rsid w:val="1E0AAAC5"/>
    <w:rsid w:val="1E0B74CF"/>
    <w:rsid w:val="1E0C00B3"/>
    <w:rsid w:val="1E0DF0D9"/>
    <w:rsid w:val="1E0E5593"/>
    <w:rsid w:val="1E0EAAE6"/>
    <w:rsid w:val="1E10271A"/>
    <w:rsid w:val="1E10C8F1"/>
    <w:rsid w:val="1E11170B"/>
    <w:rsid w:val="1E12DE21"/>
    <w:rsid w:val="1E12F583"/>
    <w:rsid w:val="1E134825"/>
    <w:rsid w:val="1E135788"/>
    <w:rsid w:val="1E137700"/>
    <w:rsid w:val="1E147A44"/>
    <w:rsid w:val="1E14D720"/>
    <w:rsid w:val="1E151C9F"/>
    <w:rsid w:val="1E15EA0E"/>
    <w:rsid w:val="1E15FAC7"/>
    <w:rsid w:val="1E169EDC"/>
    <w:rsid w:val="1E16EDD8"/>
    <w:rsid w:val="1E1733C7"/>
    <w:rsid w:val="1E17B87A"/>
    <w:rsid w:val="1E17C803"/>
    <w:rsid w:val="1E184C83"/>
    <w:rsid w:val="1E1865C1"/>
    <w:rsid w:val="1E18FCFF"/>
    <w:rsid w:val="1E19128B"/>
    <w:rsid w:val="1E195174"/>
    <w:rsid w:val="1E1959F6"/>
    <w:rsid w:val="1E199AC9"/>
    <w:rsid w:val="1E19E4DF"/>
    <w:rsid w:val="1E1A1DC2"/>
    <w:rsid w:val="1E1A51CA"/>
    <w:rsid w:val="1E1AC8E7"/>
    <w:rsid w:val="1E1B927A"/>
    <w:rsid w:val="1E1BD23B"/>
    <w:rsid w:val="1E1BFBC8"/>
    <w:rsid w:val="1E1C0CD5"/>
    <w:rsid w:val="1E1C86F8"/>
    <w:rsid w:val="1E1CF925"/>
    <w:rsid w:val="1E1D1801"/>
    <w:rsid w:val="1E1DEEAE"/>
    <w:rsid w:val="1E1E2E30"/>
    <w:rsid w:val="1E1E40D8"/>
    <w:rsid w:val="1E205B6B"/>
    <w:rsid w:val="1E23528B"/>
    <w:rsid w:val="1E23E9EE"/>
    <w:rsid w:val="1E23EE35"/>
    <w:rsid w:val="1E240054"/>
    <w:rsid w:val="1E244A84"/>
    <w:rsid w:val="1E246E02"/>
    <w:rsid w:val="1E2497AD"/>
    <w:rsid w:val="1E253052"/>
    <w:rsid w:val="1E25E951"/>
    <w:rsid w:val="1E25F121"/>
    <w:rsid w:val="1E271B88"/>
    <w:rsid w:val="1E27230A"/>
    <w:rsid w:val="1E28627C"/>
    <w:rsid w:val="1E2890BA"/>
    <w:rsid w:val="1E289E39"/>
    <w:rsid w:val="1E28A8AE"/>
    <w:rsid w:val="1E291ABA"/>
    <w:rsid w:val="1E291FDD"/>
    <w:rsid w:val="1E29DBFA"/>
    <w:rsid w:val="1E2ADD7B"/>
    <w:rsid w:val="1E2B0160"/>
    <w:rsid w:val="1E2B772C"/>
    <w:rsid w:val="1E2B79C9"/>
    <w:rsid w:val="1E2BA848"/>
    <w:rsid w:val="1E2BD1E8"/>
    <w:rsid w:val="1E2BDF05"/>
    <w:rsid w:val="1E2C2E16"/>
    <w:rsid w:val="1E2CB58A"/>
    <w:rsid w:val="1E2DAC9A"/>
    <w:rsid w:val="1E2DF846"/>
    <w:rsid w:val="1E2E0FC7"/>
    <w:rsid w:val="1E3041FA"/>
    <w:rsid w:val="1E30DE74"/>
    <w:rsid w:val="1E31B4F9"/>
    <w:rsid w:val="1E31BB87"/>
    <w:rsid w:val="1E31BC86"/>
    <w:rsid w:val="1E32090E"/>
    <w:rsid w:val="1E32373B"/>
    <w:rsid w:val="1E326269"/>
    <w:rsid w:val="1E327B06"/>
    <w:rsid w:val="1E32B2B5"/>
    <w:rsid w:val="1E335082"/>
    <w:rsid w:val="1E3362D3"/>
    <w:rsid w:val="1E337851"/>
    <w:rsid w:val="1E33FAB8"/>
    <w:rsid w:val="1E342133"/>
    <w:rsid w:val="1E35065C"/>
    <w:rsid w:val="1E35305C"/>
    <w:rsid w:val="1E3599C5"/>
    <w:rsid w:val="1E35C72D"/>
    <w:rsid w:val="1E3609C6"/>
    <w:rsid w:val="1E36303D"/>
    <w:rsid w:val="1E36D23F"/>
    <w:rsid w:val="1E380147"/>
    <w:rsid w:val="1E38702A"/>
    <w:rsid w:val="1E388DE0"/>
    <w:rsid w:val="1E3895D9"/>
    <w:rsid w:val="1E3A0861"/>
    <w:rsid w:val="1E3BF994"/>
    <w:rsid w:val="1E3C23D5"/>
    <w:rsid w:val="1E3CFD74"/>
    <w:rsid w:val="1E3D2693"/>
    <w:rsid w:val="1E3D3A77"/>
    <w:rsid w:val="1E3D4C89"/>
    <w:rsid w:val="1E3D5E26"/>
    <w:rsid w:val="1E3EEBD6"/>
    <w:rsid w:val="1E3F6024"/>
    <w:rsid w:val="1E3F8946"/>
    <w:rsid w:val="1E3F8C3B"/>
    <w:rsid w:val="1E3FCE6C"/>
    <w:rsid w:val="1E406EDD"/>
    <w:rsid w:val="1E409814"/>
    <w:rsid w:val="1E41BE2D"/>
    <w:rsid w:val="1E4281FC"/>
    <w:rsid w:val="1E44755E"/>
    <w:rsid w:val="1E44F151"/>
    <w:rsid w:val="1E44FC39"/>
    <w:rsid w:val="1E452DB4"/>
    <w:rsid w:val="1E45EA1E"/>
    <w:rsid w:val="1E46B72B"/>
    <w:rsid w:val="1E46B94A"/>
    <w:rsid w:val="1E472688"/>
    <w:rsid w:val="1E477EEC"/>
    <w:rsid w:val="1E47A0F9"/>
    <w:rsid w:val="1E47DE9C"/>
    <w:rsid w:val="1E48184E"/>
    <w:rsid w:val="1E482371"/>
    <w:rsid w:val="1E485091"/>
    <w:rsid w:val="1E48578E"/>
    <w:rsid w:val="1E4900F7"/>
    <w:rsid w:val="1E496DAE"/>
    <w:rsid w:val="1E4A1D85"/>
    <w:rsid w:val="1E4BF982"/>
    <w:rsid w:val="1E4C6B8B"/>
    <w:rsid w:val="1E4C8A91"/>
    <w:rsid w:val="1E4D3EDC"/>
    <w:rsid w:val="1E4D55DE"/>
    <w:rsid w:val="1E4D9414"/>
    <w:rsid w:val="1E4D961E"/>
    <w:rsid w:val="1E4E68F4"/>
    <w:rsid w:val="1E4EE0E6"/>
    <w:rsid w:val="1E50E804"/>
    <w:rsid w:val="1E511D89"/>
    <w:rsid w:val="1E5136A8"/>
    <w:rsid w:val="1E514384"/>
    <w:rsid w:val="1E5267CF"/>
    <w:rsid w:val="1E52912B"/>
    <w:rsid w:val="1E530A3E"/>
    <w:rsid w:val="1E532759"/>
    <w:rsid w:val="1E53FACF"/>
    <w:rsid w:val="1E5412B1"/>
    <w:rsid w:val="1E541BBC"/>
    <w:rsid w:val="1E5472B9"/>
    <w:rsid w:val="1E54E614"/>
    <w:rsid w:val="1E559929"/>
    <w:rsid w:val="1E5608F7"/>
    <w:rsid w:val="1E561E03"/>
    <w:rsid w:val="1E5674EE"/>
    <w:rsid w:val="1E56DE08"/>
    <w:rsid w:val="1E59347D"/>
    <w:rsid w:val="1E5936F0"/>
    <w:rsid w:val="1E595F9E"/>
    <w:rsid w:val="1E598C4B"/>
    <w:rsid w:val="1E599107"/>
    <w:rsid w:val="1E59C645"/>
    <w:rsid w:val="1E5AF614"/>
    <w:rsid w:val="1E5B026D"/>
    <w:rsid w:val="1E5BFB80"/>
    <w:rsid w:val="1E5C52DE"/>
    <w:rsid w:val="1E5D1700"/>
    <w:rsid w:val="1E5D6DDD"/>
    <w:rsid w:val="1E5E3608"/>
    <w:rsid w:val="1E5F3F8F"/>
    <w:rsid w:val="1E5F9CEB"/>
    <w:rsid w:val="1E6029A9"/>
    <w:rsid w:val="1E619B3F"/>
    <w:rsid w:val="1E61E316"/>
    <w:rsid w:val="1E621983"/>
    <w:rsid w:val="1E623A82"/>
    <w:rsid w:val="1E6283CE"/>
    <w:rsid w:val="1E639BD1"/>
    <w:rsid w:val="1E655E13"/>
    <w:rsid w:val="1E65C0AC"/>
    <w:rsid w:val="1E66F5A0"/>
    <w:rsid w:val="1E67D11D"/>
    <w:rsid w:val="1E6946BF"/>
    <w:rsid w:val="1E6963ED"/>
    <w:rsid w:val="1E698975"/>
    <w:rsid w:val="1E699420"/>
    <w:rsid w:val="1E6A1A25"/>
    <w:rsid w:val="1E6A44E9"/>
    <w:rsid w:val="1E6B3299"/>
    <w:rsid w:val="1E6B4078"/>
    <w:rsid w:val="1E6BBCEA"/>
    <w:rsid w:val="1E6C3750"/>
    <w:rsid w:val="1E6D9185"/>
    <w:rsid w:val="1E6DA86E"/>
    <w:rsid w:val="1E6E3E33"/>
    <w:rsid w:val="1E6ED51F"/>
    <w:rsid w:val="1E6F378A"/>
    <w:rsid w:val="1E7033A1"/>
    <w:rsid w:val="1E705507"/>
    <w:rsid w:val="1E70D77A"/>
    <w:rsid w:val="1E70E32E"/>
    <w:rsid w:val="1E717E76"/>
    <w:rsid w:val="1E71A127"/>
    <w:rsid w:val="1E722074"/>
    <w:rsid w:val="1E72FF27"/>
    <w:rsid w:val="1E735D8B"/>
    <w:rsid w:val="1E736C14"/>
    <w:rsid w:val="1E73AE3C"/>
    <w:rsid w:val="1E74745C"/>
    <w:rsid w:val="1E74FD42"/>
    <w:rsid w:val="1E750554"/>
    <w:rsid w:val="1E752EC2"/>
    <w:rsid w:val="1E76AEDC"/>
    <w:rsid w:val="1E76E144"/>
    <w:rsid w:val="1E775C36"/>
    <w:rsid w:val="1E781404"/>
    <w:rsid w:val="1E78200B"/>
    <w:rsid w:val="1E78B849"/>
    <w:rsid w:val="1E78D4DD"/>
    <w:rsid w:val="1E79A289"/>
    <w:rsid w:val="1E79BAC1"/>
    <w:rsid w:val="1E7AC60F"/>
    <w:rsid w:val="1E7C1680"/>
    <w:rsid w:val="1E7C3966"/>
    <w:rsid w:val="1E7C4ABC"/>
    <w:rsid w:val="1E7C956A"/>
    <w:rsid w:val="1E7CFB6D"/>
    <w:rsid w:val="1E7DEDB8"/>
    <w:rsid w:val="1E7E17DD"/>
    <w:rsid w:val="1E7E5046"/>
    <w:rsid w:val="1E7E5B5F"/>
    <w:rsid w:val="1E7EC6AF"/>
    <w:rsid w:val="1E7ECFF4"/>
    <w:rsid w:val="1E7FC066"/>
    <w:rsid w:val="1E7FD6DD"/>
    <w:rsid w:val="1E7FD769"/>
    <w:rsid w:val="1E806243"/>
    <w:rsid w:val="1E80F568"/>
    <w:rsid w:val="1E81ADFF"/>
    <w:rsid w:val="1E82505D"/>
    <w:rsid w:val="1E826F36"/>
    <w:rsid w:val="1E838A24"/>
    <w:rsid w:val="1E8397CE"/>
    <w:rsid w:val="1E844F40"/>
    <w:rsid w:val="1E854BAF"/>
    <w:rsid w:val="1E8554A9"/>
    <w:rsid w:val="1E85CE7C"/>
    <w:rsid w:val="1E86478D"/>
    <w:rsid w:val="1E868D0D"/>
    <w:rsid w:val="1E869DE7"/>
    <w:rsid w:val="1E86B3F1"/>
    <w:rsid w:val="1E883175"/>
    <w:rsid w:val="1E884B47"/>
    <w:rsid w:val="1E889E00"/>
    <w:rsid w:val="1E89083A"/>
    <w:rsid w:val="1E89EA5D"/>
    <w:rsid w:val="1E89FA30"/>
    <w:rsid w:val="1E8A9868"/>
    <w:rsid w:val="1E8A9C7A"/>
    <w:rsid w:val="1E8AE7D7"/>
    <w:rsid w:val="1E8AFAE3"/>
    <w:rsid w:val="1E8C7C9B"/>
    <w:rsid w:val="1E8CF3DF"/>
    <w:rsid w:val="1E8DC0A1"/>
    <w:rsid w:val="1E8E3B6A"/>
    <w:rsid w:val="1E8E63B2"/>
    <w:rsid w:val="1E8E74C1"/>
    <w:rsid w:val="1E8EBF31"/>
    <w:rsid w:val="1E8FD85C"/>
    <w:rsid w:val="1E901819"/>
    <w:rsid w:val="1E903FD2"/>
    <w:rsid w:val="1E90CDF5"/>
    <w:rsid w:val="1E90D2FA"/>
    <w:rsid w:val="1E912EBA"/>
    <w:rsid w:val="1E91506F"/>
    <w:rsid w:val="1E91D031"/>
    <w:rsid w:val="1E921753"/>
    <w:rsid w:val="1E9255A8"/>
    <w:rsid w:val="1E9259C7"/>
    <w:rsid w:val="1E929A92"/>
    <w:rsid w:val="1E92E126"/>
    <w:rsid w:val="1E940410"/>
    <w:rsid w:val="1E945D44"/>
    <w:rsid w:val="1E94AD4F"/>
    <w:rsid w:val="1E955BFD"/>
    <w:rsid w:val="1E955CBF"/>
    <w:rsid w:val="1E956F42"/>
    <w:rsid w:val="1E95738B"/>
    <w:rsid w:val="1E9667E7"/>
    <w:rsid w:val="1E9714AC"/>
    <w:rsid w:val="1E97F29A"/>
    <w:rsid w:val="1E98498A"/>
    <w:rsid w:val="1E98B661"/>
    <w:rsid w:val="1E994C07"/>
    <w:rsid w:val="1E99C1A2"/>
    <w:rsid w:val="1E9B70DB"/>
    <w:rsid w:val="1E9CB3D2"/>
    <w:rsid w:val="1E9D3321"/>
    <w:rsid w:val="1E9DC076"/>
    <w:rsid w:val="1E9DC26D"/>
    <w:rsid w:val="1E9EE97A"/>
    <w:rsid w:val="1E9F0786"/>
    <w:rsid w:val="1E9F5778"/>
    <w:rsid w:val="1EA005EC"/>
    <w:rsid w:val="1EA06037"/>
    <w:rsid w:val="1EA0B261"/>
    <w:rsid w:val="1EA12CD8"/>
    <w:rsid w:val="1EA19F38"/>
    <w:rsid w:val="1EA20934"/>
    <w:rsid w:val="1EA29193"/>
    <w:rsid w:val="1EA2C553"/>
    <w:rsid w:val="1EA40E16"/>
    <w:rsid w:val="1EA4A4AD"/>
    <w:rsid w:val="1EA55189"/>
    <w:rsid w:val="1EA69F42"/>
    <w:rsid w:val="1EA6C54F"/>
    <w:rsid w:val="1EA86A7F"/>
    <w:rsid w:val="1EAAACF4"/>
    <w:rsid w:val="1EAAF4B5"/>
    <w:rsid w:val="1EAB3FB2"/>
    <w:rsid w:val="1EABE0AB"/>
    <w:rsid w:val="1EAC7DD3"/>
    <w:rsid w:val="1EADBAD6"/>
    <w:rsid w:val="1EAE634D"/>
    <w:rsid w:val="1EAF6D1B"/>
    <w:rsid w:val="1EB080F1"/>
    <w:rsid w:val="1EB0A919"/>
    <w:rsid w:val="1EB0AA53"/>
    <w:rsid w:val="1EB0D303"/>
    <w:rsid w:val="1EB14298"/>
    <w:rsid w:val="1EB17C83"/>
    <w:rsid w:val="1EB20F26"/>
    <w:rsid w:val="1EB30F46"/>
    <w:rsid w:val="1EB3C3C9"/>
    <w:rsid w:val="1EB3C4F9"/>
    <w:rsid w:val="1EB4BBF3"/>
    <w:rsid w:val="1EB52C6D"/>
    <w:rsid w:val="1EB5B518"/>
    <w:rsid w:val="1EB5D4EA"/>
    <w:rsid w:val="1EB5DEA5"/>
    <w:rsid w:val="1EB71F91"/>
    <w:rsid w:val="1EB72C0A"/>
    <w:rsid w:val="1EB75316"/>
    <w:rsid w:val="1EB7D526"/>
    <w:rsid w:val="1EB8471E"/>
    <w:rsid w:val="1EB8A838"/>
    <w:rsid w:val="1EB937E1"/>
    <w:rsid w:val="1EB96BEC"/>
    <w:rsid w:val="1EBAF1C2"/>
    <w:rsid w:val="1EBB3491"/>
    <w:rsid w:val="1EBD0CE2"/>
    <w:rsid w:val="1EBD6AD1"/>
    <w:rsid w:val="1EBE8C4E"/>
    <w:rsid w:val="1EBED9DC"/>
    <w:rsid w:val="1EBF45B3"/>
    <w:rsid w:val="1EBF689B"/>
    <w:rsid w:val="1EC01FDE"/>
    <w:rsid w:val="1EC0D9EC"/>
    <w:rsid w:val="1EC17E01"/>
    <w:rsid w:val="1EC19E91"/>
    <w:rsid w:val="1EC1EA02"/>
    <w:rsid w:val="1EC2733E"/>
    <w:rsid w:val="1EC2B47B"/>
    <w:rsid w:val="1EC3C02C"/>
    <w:rsid w:val="1EC46DC0"/>
    <w:rsid w:val="1EC48447"/>
    <w:rsid w:val="1EC58EF6"/>
    <w:rsid w:val="1EC5989C"/>
    <w:rsid w:val="1EC5B0B5"/>
    <w:rsid w:val="1EC5FA2B"/>
    <w:rsid w:val="1EC60DD5"/>
    <w:rsid w:val="1EC71939"/>
    <w:rsid w:val="1EC7A8C0"/>
    <w:rsid w:val="1EC8F3E7"/>
    <w:rsid w:val="1EC9D0CC"/>
    <w:rsid w:val="1EC9F78F"/>
    <w:rsid w:val="1ECA9596"/>
    <w:rsid w:val="1ECB06CE"/>
    <w:rsid w:val="1ECB148B"/>
    <w:rsid w:val="1ECB51F7"/>
    <w:rsid w:val="1ECB9874"/>
    <w:rsid w:val="1ECBCC25"/>
    <w:rsid w:val="1ECBD30D"/>
    <w:rsid w:val="1ECCDEC7"/>
    <w:rsid w:val="1ECDF6A7"/>
    <w:rsid w:val="1ECF0C56"/>
    <w:rsid w:val="1ED0373F"/>
    <w:rsid w:val="1ED0A0B7"/>
    <w:rsid w:val="1ED1375F"/>
    <w:rsid w:val="1ED2257C"/>
    <w:rsid w:val="1ED22587"/>
    <w:rsid w:val="1ED3220E"/>
    <w:rsid w:val="1ED37ECC"/>
    <w:rsid w:val="1ED3BB19"/>
    <w:rsid w:val="1ED43ECB"/>
    <w:rsid w:val="1ED473F1"/>
    <w:rsid w:val="1ED4CBD8"/>
    <w:rsid w:val="1ED527EF"/>
    <w:rsid w:val="1ED53F85"/>
    <w:rsid w:val="1ED6E06C"/>
    <w:rsid w:val="1ED6E687"/>
    <w:rsid w:val="1ED705C3"/>
    <w:rsid w:val="1ED7FB3D"/>
    <w:rsid w:val="1ED8BBF9"/>
    <w:rsid w:val="1ED902BF"/>
    <w:rsid w:val="1EDA076C"/>
    <w:rsid w:val="1EDA4C75"/>
    <w:rsid w:val="1EDB5A83"/>
    <w:rsid w:val="1EDB939C"/>
    <w:rsid w:val="1EDC286D"/>
    <w:rsid w:val="1EDC4013"/>
    <w:rsid w:val="1EDC8B2C"/>
    <w:rsid w:val="1EDD0E53"/>
    <w:rsid w:val="1EDE6BAB"/>
    <w:rsid w:val="1EDEC737"/>
    <w:rsid w:val="1EDF30BB"/>
    <w:rsid w:val="1EDFB7E5"/>
    <w:rsid w:val="1EDFC24C"/>
    <w:rsid w:val="1EDFF761"/>
    <w:rsid w:val="1EE000B5"/>
    <w:rsid w:val="1EE08C41"/>
    <w:rsid w:val="1EE10228"/>
    <w:rsid w:val="1EE20E1F"/>
    <w:rsid w:val="1EE22C0F"/>
    <w:rsid w:val="1EE2DC18"/>
    <w:rsid w:val="1EE35CA8"/>
    <w:rsid w:val="1EE4E5E0"/>
    <w:rsid w:val="1EE5208D"/>
    <w:rsid w:val="1EE562C5"/>
    <w:rsid w:val="1EE59400"/>
    <w:rsid w:val="1EE5EFCF"/>
    <w:rsid w:val="1EE62D2E"/>
    <w:rsid w:val="1EE65239"/>
    <w:rsid w:val="1EE81A9C"/>
    <w:rsid w:val="1EE84B36"/>
    <w:rsid w:val="1EE864E9"/>
    <w:rsid w:val="1EE88348"/>
    <w:rsid w:val="1EE938C9"/>
    <w:rsid w:val="1EE9AEFA"/>
    <w:rsid w:val="1EE9F763"/>
    <w:rsid w:val="1EEA2E57"/>
    <w:rsid w:val="1EEB0E86"/>
    <w:rsid w:val="1EEB5062"/>
    <w:rsid w:val="1EEBFB3E"/>
    <w:rsid w:val="1EEC43E1"/>
    <w:rsid w:val="1EECFA2A"/>
    <w:rsid w:val="1EED4557"/>
    <w:rsid w:val="1EED78BB"/>
    <w:rsid w:val="1EED83FD"/>
    <w:rsid w:val="1EEE8FD7"/>
    <w:rsid w:val="1EF1066A"/>
    <w:rsid w:val="1EF1D524"/>
    <w:rsid w:val="1EF1F05E"/>
    <w:rsid w:val="1EF344B2"/>
    <w:rsid w:val="1EF37F02"/>
    <w:rsid w:val="1EF40602"/>
    <w:rsid w:val="1EF43F47"/>
    <w:rsid w:val="1EF45131"/>
    <w:rsid w:val="1EF4AC0A"/>
    <w:rsid w:val="1EF4B8D8"/>
    <w:rsid w:val="1EF4E2AC"/>
    <w:rsid w:val="1EF5ADED"/>
    <w:rsid w:val="1EF714A0"/>
    <w:rsid w:val="1EF7156A"/>
    <w:rsid w:val="1EF796AF"/>
    <w:rsid w:val="1EF7B770"/>
    <w:rsid w:val="1EF7D8E0"/>
    <w:rsid w:val="1EF7F4A6"/>
    <w:rsid w:val="1EF971C5"/>
    <w:rsid w:val="1EF9CAB5"/>
    <w:rsid w:val="1EF9F0F0"/>
    <w:rsid w:val="1EFB3B38"/>
    <w:rsid w:val="1EFBD814"/>
    <w:rsid w:val="1EFBF0AA"/>
    <w:rsid w:val="1EFC1B00"/>
    <w:rsid w:val="1EFD885E"/>
    <w:rsid w:val="1EFD912B"/>
    <w:rsid w:val="1EFDA722"/>
    <w:rsid w:val="1EFDAC7F"/>
    <w:rsid w:val="1EFDCAC8"/>
    <w:rsid w:val="1EFE1F3F"/>
    <w:rsid w:val="1EFEA7FD"/>
    <w:rsid w:val="1EFEEBE3"/>
    <w:rsid w:val="1EFF08CA"/>
    <w:rsid w:val="1EFF4D65"/>
    <w:rsid w:val="1F000B95"/>
    <w:rsid w:val="1F001703"/>
    <w:rsid w:val="1F003209"/>
    <w:rsid w:val="1F009236"/>
    <w:rsid w:val="1F024734"/>
    <w:rsid w:val="1F02BBCB"/>
    <w:rsid w:val="1F038BA6"/>
    <w:rsid w:val="1F03C453"/>
    <w:rsid w:val="1F046ED6"/>
    <w:rsid w:val="1F0483D7"/>
    <w:rsid w:val="1F04F4DF"/>
    <w:rsid w:val="1F050AE3"/>
    <w:rsid w:val="1F051692"/>
    <w:rsid w:val="1F053602"/>
    <w:rsid w:val="1F0650B8"/>
    <w:rsid w:val="1F075A38"/>
    <w:rsid w:val="1F07BD68"/>
    <w:rsid w:val="1F07C226"/>
    <w:rsid w:val="1F084116"/>
    <w:rsid w:val="1F085A8C"/>
    <w:rsid w:val="1F0A533F"/>
    <w:rsid w:val="1F0A6876"/>
    <w:rsid w:val="1F0ACD7B"/>
    <w:rsid w:val="1F0C9511"/>
    <w:rsid w:val="1F0D74DC"/>
    <w:rsid w:val="1F0D8834"/>
    <w:rsid w:val="1F0EA615"/>
    <w:rsid w:val="1F0EE78B"/>
    <w:rsid w:val="1F0F134E"/>
    <w:rsid w:val="1F0F7DAF"/>
    <w:rsid w:val="1F102C58"/>
    <w:rsid w:val="1F10FC2C"/>
    <w:rsid w:val="1F12993E"/>
    <w:rsid w:val="1F147CDF"/>
    <w:rsid w:val="1F1488CA"/>
    <w:rsid w:val="1F14E29C"/>
    <w:rsid w:val="1F154EBB"/>
    <w:rsid w:val="1F156D6D"/>
    <w:rsid w:val="1F15DCF8"/>
    <w:rsid w:val="1F163D29"/>
    <w:rsid w:val="1F164DF7"/>
    <w:rsid w:val="1F16FFBD"/>
    <w:rsid w:val="1F177A33"/>
    <w:rsid w:val="1F181E5D"/>
    <w:rsid w:val="1F187550"/>
    <w:rsid w:val="1F1886A0"/>
    <w:rsid w:val="1F18941F"/>
    <w:rsid w:val="1F18F7FE"/>
    <w:rsid w:val="1F1960AE"/>
    <w:rsid w:val="1F19ADDC"/>
    <w:rsid w:val="1F1A0905"/>
    <w:rsid w:val="1F1AED39"/>
    <w:rsid w:val="1F1AF822"/>
    <w:rsid w:val="1F1BED7D"/>
    <w:rsid w:val="1F1C8386"/>
    <w:rsid w:val="1F1CD1CA"/>
    <w:rsid w:val="1F1EE25C"/>
    <w:rsid w:val="1F2060CF"/>
    <w:rsid w:val="1F20771C"/>
    <w:rsid w:val="1F213284"/>
    <w:rsid w:val="1F215FFC"/>
    <w:rsid w:val="1F22545C"/>
    <w:rsid w:val="1F261930"/>
    <w:rsid w:val="1F261C4D"/>
    <w:rsid w:val="1F26611C"/>
    <w:rsid w:val="1F26794B"/>
    <w:rsid w:val="1F276617"/>
    <w:rsid w:val="1F2785E3"/>
    <w:rsid w:val="1F284582"/>
    <w:rsid w:val="1F2982A1"/>
    <w:rsid w:val="1F2A78D3"/>
    <w:rsid w:val="1F2AF847"/>
    <w:rsid w:val="1F2B0AE2"/>
    <w:rsid w:val="1F2B2B6F"/>
    <w:rsid w:val="1F2B470C"/>
    <w:rsid w:val="1F2C1DC8"/>
    <w:rsid w:val="1F2C2CD8"/>
    <w:rsid w:val="1F2C4B91"/>
    <w:rsid w:val="1F2D66E5"/>
    <w:rsid w:val="1F2D76E1"/>
    <w:rsid w:val="1F2D8BB2"/>
    <w:rsid w:val="1F2E6162"/>
    <w:rsid w:val="1F2E709C"/>
    <w:rsid w:val="1F2E81A7"/>
    <w:rsid w:val="1F2E9F13"/>
    <w:rsid w:val="1F2F2E33"/>
    <w:rsid w:val="1F2FF97C"/>
    <w:rsid w:val="1F30CC02"/>
    <w:rsid w:val="1F30EEB4"/>
    <w:rsid w:val="1F31DC2D"/>
    <w:rsid w:val="1F32B893"/>
    <w:rsid w:val="1F33910D"/>
    <w:rsid w:val="1F3434BF"/>
    <w:rsid w:val="1F344CF9"/>
    <w:rsid w:val="1F3467CD"/>
    <w:rsid w:val="1F34C29F"/>
    <w:rsid w:val="1F351652"/>
    <w:rsid w:val="1F35C3CD"/>
    <w:rsid w:val="1F36867D"/>
    <w:rsid w:val="1F36D8E0"/>
    <w:rsid w:val="1F36EF8D"/>
    <w:rsid w:val="1F36F49F"/>
    <w:rsid w:val="1F370EEC"/>
    <w:rsid w:val="1F375D90"/>
    <w:rsid w:val="1F37655F"/>
    <w:rsid w:val="1F377E02"/>
    <w:rsid w:val="1F384A1A"/>
    <w:rsid w:val="1F3864E5"/>
    <w:rsid w:val="1F38C028"/>
    <w:rsid w:val="1F38DB41"/>
    <w:rsid w:val="1F38FD55"/>
    <w:rsid w:val="1F397F80"/>
    <w:rsid w:val="1F39EEC7"/>
    <w:rsid w:val="1F3A4260"/>
    <w:rsid w:val="1F3AF261"/>
    <w:rsid w:val="1F3B4B00"/>
    <w:rsid w:val="1F3BFF53"/>
    <w:rsid w:val="1F3CAA2B"/>
    <w:rsid w:val="1F3DBC91"/>
    <w:rsid w:val="1F3E19AD"/>
    <w:rsid w:val="1F3E2513"/>
    <w:rsid w:val="1F3F8EE3"/>
    <w:rsid w:val="1F3FC8DC"/>
    <w:rsid w:val="1F407BEF"/>
    <w:rsid w:val="1F41471A"/>
    <w:rsid w:val="1F41C02F"/>
    <w:rsid w:val="1F41FCFA"/>
    <w:rsid w:val="1F427892"/>
    <w:rsid w:val="1F434A65"/>
    <w:rsid w:val="1F43AAEC"/>
    <w:rsid w:val="1F4447E3"/>
    <w:rsid w:val="1F4451BC"/>
    <w:rsid w:val="1F450646"/>
    <w:rsid w:val="1F45D615"/>
    <w:rsid w:val="1F462D9A"/>
    <w:rsid w:val="1F470C8E"/>
    <w:rsid w:val="1F479CCB"/>
    <w:rsid w:val="1F48415D"/>
    <w:rsid w:val="1F4867AF"/>
    <w:rsid w:val="1F48CFAB"/>
    <w:rsid w:val="1F49F362"/>
    <w:rsid w:val="1F4A8AC7"/>
    <w:rsid w:val="1F4B2CAE"/>
    <w:rsid w:val="1F4B828C"/>
    <w:rsid w:val="1F4B8E6B"/>
    <w:rsid w:val="1F4C5853"/>
    <w:rsid w:val="1F4CEEBD"/>
    <w:rsid w:val="1F4D2518"/>
    <w:rsid w:val="1F4DD1A0"/>
    <w:rsid w:val="1F4E8A9E"/>
    <w:rsid w:val="1F4FEA9E"/>
    <w:rsid w:val="1F509ACC"/>
    <w:rsid w:val="1F50A5A4"/>
    <w:rsid w:val="1F539944"/>
    <w:rsid w:val="1F53F969"/>
    <w:rsid w:val="1F545857"/>
    <w:rsid w:val="1F549F3E"/>
    <w:rsid w:val="1F556276"/>
    <w:rsid w:val="1F564FB5"/>
    <w:rsid w:val="1F56CD08"/>
    <w:rsid w:val="1F5789FE"/>
    <w:rsid w:val="1F579BA3"/>
    <w:rsid w:val="1F57DA82"/>
    <w:rsid w:val="1F585B64"/>
    <w:rsid w:val="1F5955E1"/>
    <w:rsid w:val="1F598453"/>
    <w:rsid w:val="1F59F6E7"/>
    <w:rsid w:val="1F5A103B"/>
    <w:rsid w:val="1F5A3C54"/>
    <w:rsid w:val="1F5A55FE"/>
    <w:rsid w:val="1F5B5D09"/>
    <w:rsid w:val="1F5B9E8A"/>
    <w:rsid w:val="1F5C3D59"/>
    <w:rsid w:val="1F5CD3BF"/>
    <w:rsid w:val="1F5D5F0D"/>
    <w:rsid w:val="1F5F4B00"/>
    <w:rsid w:val="1F5FD744"/>
    <w:rsid w:val="1F600644"/>
    <w:rsid w:val="1F60997C"/>
    <w:rsid w:val="1F60E9E2"/>
    <w:rsid w:val="1F61F57E"/>
    <w:rsid w:val="1F624BBC"/>
    <w:rsid w:val="1F633583"/>
    <w:rsid w:val="1F636316"/>
    <w:rsid w:val="1F636F5B"/>
    <w:rsid w:val="1F63B88D"/>
    <w:rsid w:val="1F667CA8"/>
    <w:rsid w:val="1F668F0C"/>
    <w:rsid w:val="1F6746CF"/>
    <w:rsid w:val="1F67A281"/>
    <w:rsid w:val="1F684D63"/>
    <w:rsid w:val="1F69B34E"/>
    <w:rsid w:val="1F6A3561"/>
    <w:rsid w:val="1F6ACB31"/>
    <w:rsid w:val="1F6B598D"/>
    <w:rsid w:val="1F6BA00C"/>
    <w:rsid w:val="1F6BC5E4"/>
    <w:rsid w:val="1F6C9955"/>
    <w:rsid w:val="1F6CD0FB"/>
    <w:rsid w:val="1F6DC305"/>
    <w:rsid w:val="1F6DCB1A"/>
    <w:rsid w:val="1F6DF26C"/>
    <w:rsid w:val="1F6E17AC"/>
    <w:rsid w:val="1F6EB0C9"/>
    <w:rsid w:val="1F6F3F42"/>
    <w:rsid w:val="1F6F5629"/>
    <w:rsid w:val="1F6FD65A"/>
    <w:rsid w:val="1F706F0E"/>
    <w:rsid w:val="1F71E69E"/>
    <w:rsid w:val="1F72025C"/>
    <w:rsid w:val="1F728905"/>
    <w:rsid w:val="1F72A4F9"/>
    <w:rsid w:val="1F73DA4A"/>
    <w:rsid w:val="1F74E244"/>
    <w:rsid w:val="1F758A31"/>
    <w:rsid w:val="1F76A817"/>
    <w:rsid w:val="1F76D4D5"/>
    <w:rsid w:val="1F770861"/>
    <w:rsid w:val="1F77DB9A"/>
    <w:rsid w:val="1F78053C"/>
    <w:rsid w:val="1F784664"/>
    <w:rsid w:val="1F787B7A"/>
    <w:rsid w:val="1F78B61E"/>
    <w:rsid w:val="1F78FA45"/>
    <w:rsid w:val="1F79367C"/>
    <w:rsid w:val="1F797822"/>
    <w:rsid w:val="1F79F2A9"/>
    <w:rsid w:val="1F7A09B4"/>
    <w:rsid w:val="1F7A0CB0"/>
    <w:rsid w:val="1F7A4A50"/>
    <w:rsid w:val="1F7C363E"/>
    <w:rsid w:val="1F7D2209"/>
    <w:rsid w:val="1F7DCF33"/>
    <w:rsid w:val="1F7E251D"/>
    <w:rsid w:val="1F7EA20C"/>
    <w:rsid w:val="1F7EE9A2"/>
    <w:rsid w:val="1F7F6C2E"/>
    <w:rsid w:val="1F81251F"/>
    <w:rsid w:val="1F81640D"/>
    <w:rsid w:val="1F829D14"/>
    <w:rsid w:val="1F82DA78"/>
    <w:rsid w:val="1F8419ED"/>
    <w:rsid w:val="1F851560"/>
    <w:rsid w:val="1F8593CC"/>
    <w:rsid w:val="1F866CFE"/>
    <w:rsid w:val="1F86BE48"/>
    <w:rsid w:val="1F8778E3"/>
    <w:rsid w:val="1F877934"/>
    <w:rsid w:val="1F88AF76"/>
    <w:rsid w:val="1F89FF70"/>
    <w:rsid w:val="1F8A6C2F"/>
    <w:rsid w:val="1F8A976A"/>
    <w:rsid w:val="1F8AE68A"/>
    <w:rsid w:val="1F8B0393"/>
    <w:rsid w:val="1F8B62B7"/>
    <w:rsid w:val="1F8BE2A4"/>
    <w:rsid w:val="1F8C0826"/>
    <w:rsid w:val="1F8C16BE"/>
    <w:rsid w:val="1F8D30E9"/>
    <w:rsid w:val="1F8DA592"/>
    <w:rsid w:val="1F8DAA83"/>
    <w:rsid w:val="1F8E21F5"/>
    <w:rsid w:val="1F8F3500"/>
    <w:rsid w:val="1F8FC2FD"/>
    <w:rsid w:val="1F8FF780"/>
    <w:rsid w:val="1F90D97D"/>
    <w:rsid w:val="1F912F75"/>
    <w:rsid w:val="1F91382A"/>
    <w:rsid w:val="1F913F1A"/>
    <w:rsid w:val="1F9185D1"/>
    <w:rsid w:val="1F921A35"/>
    <w:rsid w:val="1F92378B"/>
    <w:rsid w:val="1F92AFE5"/>
    <w:rsid w:val="1F92C680"/>
    <w:rsid w:val="1F93EAC1"/>
    <w:rsid w:val="1F9402B3"/>
    <w:rsid w:val="1F9489CB"/>
    <w:rsid w:val="1F949C21"/>
    <w:rsid w:val="1F94FB5B"/>
    <w:rsid w:val="1F951A18"/>
    <w:rsid w:val="1F9727B7"/>
    <w:rsid w:val="1F9741CF"/>
    <w:rsid w:val="1F980672"/>
    <w:rsid w:val="1F98C71B"/>
    <w:rsid w:val="1F9A1812"/>
    <w:rsid w:val="1F9AC08F"/>
    <w:rsid w:val="1F9B2BC7"/>
    <w:rsid w:val="1F9B7232"/>
    <w:rsid w:val="1F9C64B8"/>
    <w:rsid w:val="1F9D4929"/>
    <w:rsid w:val="1F9E6855"/>
    <w:rsid w:val="1F9E7C3C"/>
    <w:rsid w:val="1F9E98C4"/>
    <w:rsid w:val="1F9EA5B0"/>
    <w:rsid w:val="1F9EBBFF"/>
    <w:rsid w:val="1F9F6E38"/>
    <w:rsid w:val="1F9FFDBC"/>
    <w:rsid w:val="1FA06378"/>
    <w:rsid w:val="1FA153F8"/>
    <w:rsid w:val="1FA28F69"/>
    <w:rsid w:val="1FA4764C"/>
    <w:rsid w:val="1FA519DA"/>
    <w:rsid w:val="1FA626EF"/>
    <w:rsid w:val="1FA628B4"/>
    <w:rsid w:val="1FA6B4FA"/>
    <w:rsid w:val="1FA7015E"/>
    <w:rsid w:val="1FA81A2F"/>
    <w:rsid w:val="1FA9576E"/>
    <w:rsid w:val="1FA96398"/>
    <w:rsid w:val="1FA9A05B"/>
    <w:rsid w:val="1FAA069A"/>
    <w:rsid w:val="1FAA3AD8"/>
    <w:rsid w:val="1FABC196"/>
    <w:rsid w:val="1FAD001E"/>
    <w:rsid w:val="1FAD038E"/>
    <w:rsid w:val="1FAD0909"/>
    <w:rsid w:val="1FAD4E96"/>
    <w:rsid w:val="1FAE073C"/>
    <w:rsid w:val="1FAE8809"/>
    <w:rsid w:val="1FAE8F58"/>
    <w:rsid w:val="1FAEA085"/>
    <w:rsid w:val="1FAEB1BC"/>
    <w:rsid w:val="1FAEBE61"/>
    <w:rsid w:val="1FAEED40"/>
    <w:rsid w:val="1FAF31E2"/>
    <w:rsid w:val="1FAF6F46"/>
    <w:rsid w:val="1FAFBB9D"/>
    <w:rsid w:val="1FB02C83"/>
    <w:rsid w:val="1FB03961"/>
    <w:rsid w:val="1FB05732"/>
    <w:rsid w:val="1FB083F0"/>
    <w:rsid w:val="1FB0B53A"/>
    <w:rsid w:val="1FB0DAE6"/>
    <w:rsid w:val="1FB27719"/>
    <w:rsid w:val="1FB4068A"/>
    <w:rsid w:val="1FB44CA4"/>
    <w:rsid w:val="1FB453C5"/>
    <w:rsid w:val="1FB4723F"/>
    <w:rsid w:val="1FB4A9FF"/>
    <w:rsid w:val="1FB553C2"/>
    <w:rsid w:val="1FB5DB63"/>
    <w:rsid w:val="1FB69AD8"/>
    <w:rsid w:val="1FB7E1CD"/>
    <w:rsid w:val="1FB7E335"/>
    <w:rsid w:val="1FB81A3D"/>
    <w:rsid w:val="1FB829DC"/>
    <w:rsid w:val="1FB87E31"/>
    <w:rsid w:val="1FBA959A"/>
    <w:rsid w:val="1FBAD842"/>
    <w:rsid w:val="1FBCE6DB"/>
    <w:rsid w:val="1FBD994A"/>
    <w:rsid w:val="1FBDA3D2"/>
    <w:rsid w:val="1FBDA6D1"/>
    <w:rsid w:val="1FBDADF4"/>
    <w:rsid w:val="1FBF723E"/>
    <w:rsid w:val="1FBFE5DE"/>
    <w:rsid w:val="1FC01A71"/>
    <w:rsid w:val="1FC0689D"/>
    <w:rsid w:val="1FC09477"/>
    <w:rsid w:val="1FC107D7"/>
    <w:rsid w:val="1FC145F8"/>
    <w:rsid w:val="1FC14DDF"/>
    <w:rsid w:val="1FC1DD53"/>
    <w:rsid w:val="1FC25985"/>
    <w:rsid w:val="1FC2F99A"/>
    <w:rsid w:val="1FC30A54"/>
    <w:rsid w:val="1FC3371E"/>
    <w:rsid w:val="1FC34857"/>
    <w:rsid w:val="1FC52626"/>
    <w:rsid w:val="1FC5C711"/>
    <w:rsid w:val="1FC67D4B"/>
    <w:rsid w:val="1FC762C8"/>
    <w:rsid w:val="1FC80141"/>
    <w:rsid w:val="1FC82135"/>
    <w:rsid w:val="1FC87E45"/>
    <w:rsid w:val="1FC8A35C"/>
    <w:rsid w:val="1FC8D82A"/>
    <w:rsid w:val="1FC98BC0"/>
    <w:rsid w:val="1FC9AD87"/>
    <w:rsid w:val="1FC9B74D"/>
    <w:rsid w:val="1FC9E8B0"/>
    <w:rsid w:val="1FCAE5D1"/>
    <w:rsid w:val="1FCAF2F2"/>
    <w:rsid w:val="1FCBEF04"/>
    <w:rsid w:val="1FCC42EF"/>
    <w:rsid w:val="1FCC5949"/>
    <w:rsid w:val="1FCD2BA7"/>
    <w:rsid w:val="1FCD3D41"/>
    <w:rsid w:val="1FD0107E"/>
    <w:rsid w:val="1FD0FB12"/>
    <w:rsid w:val="1FD11D7D"/>
    <w:rsid w:val="1FD243B1"/>
    <w:rsid w:val="1FD3154E"/>
    <w:rsid w:val="1FD31822"/>
    <w:rsid w:val="1FD3F67F"/>
    <w:rsid w:val="1FD450DD"/>
    <w:rsid w:val="1FD46353"/>
    <w:rsid w:val="1FD5190A"/>
    <w:rsid w:val="1FD601AE"/>
    <w:rsid w:val="1FD65050"/>
    <w:rsid w:val="1FD6F651"/>
    <w:rsid w:val="1FD71F74"/>
    <w:rsid w:val="1FD74A46"/>
    <w:rsid w:val="1FD7FDB5"/>
    <w:rsid w:val="1FD87F87"/>
    <w:rsid w:val="1FD8BF37"/>
    <w:rsid w:val="1FD92D0B"/>
    <w:rsid w:val="1FD93FFA"/>
    <w:rsid w:val="1FD9606A"/>
    <w:rsid w:val="1FD980A4"/>
    <w:rsid w:val="1FDA12AA"/>
    <w:rsid w:val="1FDA5E58"/>
    <w:rsid w:val="1FDAC33A"/>
    <w:rsid w:val="1FDAE095"/>
    <w:rsid w:val="1FDB078D"/>
    <w:rsid w:val="1FDB992B"/>
    <w:rsid w:val="1FDBAA7C"/>
    <w:rsid w:val="1FDD9241"/>
    <w:rsid w:val="1FDEF687"/>
    <w:rsid w:val="1FDF684D"/>
    <w:rsid w:val="1FDFACDC"/>
    <w:rsid w:val="1FE15ABE"/>
    <w:rsid w:val="1FE16B2E"/>
    <w:rsid w:val="1FE2C942"/>
    <w:rsid w:val="1FE30579"/>
    <w:rsid w:val="1FE31143"/>
    <w:rsid w:val="1FE331B1"/>
    <w:rsid w:val="1FE35D11"/>
    <w:rsid w:val="1FE390C7"/>
    <w:rsid w:val="1FE3BF6A"/>
    <w:rsid w:val="1FE412AD"/>
    <w:rsid w:val="1FE43B34"/>
    <w:rsid w:val="1FE4BE09"/>
    <w:rsid w:val="1FE4E8DB"/>
    <w:rsid w:val="1FE4F708"/>
    <w:rsid w:val="1FE51CE5"/>
    <w:rsid w:val="1FE531C0"/>
    <w:rsid w:val="1FE53A58"/>
    <w:rsid w:val="1FE56233"/>
    <w:rsid w:val="1FE5BEC6"/>
    <w:rsid w:val="1FE607C9"/>
    <w:rsid w:val="1FE625F0"/>
    <w:rsid w:val="1FE65EE0"/>
    <w:rsid w:val="1FE6BA49"/>
    <w:rsid w:val="1FE73A18"/>
    <w:rsid w:val="1FE7536F"/>
    <w:rsid w:val="1FE83E4C"/>
    <w:rsid w:val="1FE9B31C"/>
    <w:rsid w:val="1FE9C97A"/>
    <w:rsid w:val="1FEA3C49"/>
    <w:rsid w:val="1FEBAD29"/>
    <w:rsid w:val="1FEC5194"/>
    <w:rsid w:val="1FECCCBA"/>
    <w:rsid w:val="1FED4B29"/>
    <w:rsid w:val="1FED9E6A"/>
    <w:rsid w:val="1FEE0890"/>
    <w:rsid w:val="1FEE1145"/>
    <w:rsid w:val="1FEE13C8"/>
    <w:rsid w:val="1FEE3C71"/>
    <w:rsid w:val="1FEEC27C"/>
    <w:rsid w:val="1FEFBAFF"/>
    <w:rsid w:val="1FEFC92C"/>
    <w:rsid w:val="1FEFF38F"/>
    <w:rsid w:val="1FF003C7"/>
    <w:rsid w:val="1FF06525"/>
    <w:rsid w:val="1FF0E2E1"/>
    <w:rsid w:val="1FF19AD5"/>
    <w:rsid w:val="1FF1C323"/>
    <w:rsid w:val="1FF2319F"/>
    <w:rsid w:val="1FF2C599"/>
    <w:rsid w:val="1FF2D638"/>
    <w:rsid w:val="1FF35F84"/>
    <w:rsid w:val="1FF36051"/>
    <w:rsid w:val="1FF3A34B"/>
    <w:rsid w:val="1FF4C2B0"/>
    <w:rsid w:val="1FF4CDFE"/>
    <w:rsid w:val="1FF52CCD"/>
    <w:rsid w:val="1FF698C9"/>
    <w:rsid w:val="1FF75AE5"/>
    <w:rsid w:val="1FF79511"/>
    <w:rsid w:val="1FF8C503"/>
    <w:rsid w:val="1FFA56F1"/>
    <w:rsid w:val="1FFA8ED2"/>
    <w:rsid w:val="1FFB9AB6"/>
    <w:rsid w:val="1FFBEF2D"/>
    <w:rsid w:val="1FFC381E"/>
    <w:rsid w:val="1FFC4193"/>
    <w:rsid w:val="1FFD9F5D"/>
    <w:rsid w:val="20004DDF"/>
    <w:rsid w:val="20006084"/>
    <w:rsid w:val="2000BB20"/>
    <w:rsid w:val="20020C4F"/>
    <w:rsid w:val="20020F3E"/>
    <w:rsid w:val="20027219"/>
    <w:rsid w:val="2002A532"/>
    <w:rsid w:val="2002F2B9"/>
    <w:rsid w:val="20049A89"/>
    <w:rsid w:val="2004CBF9"/>
    <w:rsid w:val="2004DF7E"/>
    <w:rsid w:val="20052187"/>
    <w:rsid w:val="2005D76D"/>
    <w:rsid w:val="2006142B"/>
    <w:rsid w:val="20070401"/>
    <w:rsid w:val="2007CF96"/>
    <w:rsid w:val="2007EE27"/>
    <w:rsid w:val="20080387"/>
    <w:rsid w:val="200817C6"/>
    <w:rsid w:val="20082F30"/>
    <w:rsid w:val="2008A4D9"/>
    <w:rsid w:val="20091543"/>
    <w:rsid w:val="2009ACEE"/>
    <w:rsid w:val="2009F55B"/>
    <w:rsid w:val="200A3901"/>
    <w:rsid w:val="200B90DD"/>
    <w:rsid w:val="200BA882"/>
    <w:rsid w:val="200D242A"/>
    <w:rsid w:val="200D9623"/>
    <w:rsid w:val="200DEAC2"/>
    <w:rsid w:val="200E7E7D"/>
    <w:rsid w:val="200ED9F2"/>
    <w:rsid w:val="200F3ECB"/>
    <w:rsid w:val="200FBA9B"/>
    <w:rsid w:val="201014F9"/>
    <w:rsid w:val="20106ACB"/>
    <w:rsid w:val="2011353D"/>
    <w:rsid w:val="201185AB"/>
    <w:rsid w:val="201228D3"/>
    <w:rsid w:val="2012D16A"/>
    <w:rsid w:val="2012D73E"/>
    <w:rsid w:val="2012F4C2"/>
    <w:rsid w:val="20130884"/>
    <w:rsid w:val="20133550"/>
    <w:rsid w:val="2013936A"/>
    <w:rsid w:val="2013A475"/>
    <w:rsid w:val="2013C3A9"/>
    <w:rsid w:val="20147DD6"/>
    <w:rsid w:val="2015A254"/>
    <w:rsid w:val="20162E2B"/>
    <w:rsid w:val="20164F14"/>
    <w:rsid w:val="20170043"/>
    <w:rsid w:val="2018173E"/>
    <w:rsid w:val="201900C1"/>
    <w:rsid w:val="201A2D3F"/>
    <w:rsid w:val="201B431B"/>
    <w:rsid w:val="201BBCEA"/>
    <w:rsid w:val="201CC357"/>
    <w:rsid w:val="201CF4A7"/>
    <w:rsid w:val="201D138D"/>
    <w:rsid w:val="201D538E"/>
    <w:rsid w:val="201D8220"/>
    <w:rsid w:val="201DF0E1"/>
    <w:rsid w:val="201EE308"/>
    <w:rsid w:val="201F94F6"/>
    <w:rsid w:val="201FD278"/>
    <w:rsid w:val="20207FF3"/>
    <w:rsid w:val="20211A52"/>
    <w:rsid w:val="20212706"/>
    <w:rsid w:val="202253BE"/>
    <w:rsid w:val="20226F62"/>
    <w:rsid w:val="20232214"/>
    <w:rsid w:val="202332A3"/>
    <w:rsid w:val="20239373"/>
    <w:rsid w:val="2023A88E"/>
    <w:rsid w:val="2023C2AD"/>
    <w:rsid w:val="2023D672"/>
    <w:rsid w:val="2025FAB7"/>
    <w:rsid w:val="2027445F"/>
    <w:rsid w:val="2028674D"/>
    <w:rsid w:val="2028EF4B"/>
    <w:rsid w:val="20291975"/>
    <w:rsid w:val="20291DD0"/>
    <w:rsid w:val="202950BF"/>
    <w:rsid w:val="2029546D"/>
    <w:rsid w:val="2029ACE8"/>
    <w:rsid w:val="202A0359"/>
    <w:rsid w:val="202A0630"/>
    <w:rsid w:val="202A2A7D"/>
    <w:rsid w:val="202A5E49"/>
    <w:rsid w:val="202B0172"/>
    <w:rsid w:val="202B3C3B"/>
    <w:rsid w:val="202C41C5"/>
    <w:rsid w:val="202CA246"/>
    <w:rsid w:val="202CBB43"/>
    <w:rsid w:val="202CC94C"/>
    <w:rsid w:val="202CF5C9"/>
    <w:rsid w:val="202D7D69"/>
    <w:rsid w:val="202ED663"/>
    <w:rsid w:val="202EF6BD"/>
    <w:rsid w:val="202EFECB"/>
    <w:rsid w:val="20309947"/>
    <w:rsid w:val="203172AC"/>
    <w:rsid w:val="2032B40E"/>
    <w:rsid w:val="2032C5B3"/>
    <w:rsid w:val="2033D95B"/>
    <w:rsid w:val="2033E778"/>
    <w:rsid w:val="2034953E"/>
    <w:rsid w:val="20358469"/>
    <w:rsid w:val="20360501"/>
    <w:rsid w:val="203622DD"/>
    <w:rsid w:val="20382D48"/>
    <w:rsid w:val="20383406"/>
    <w:rsid w:val="2038CC9E"/>
    <w:rsid w:val="203988F8"/>
    <w:rsid w:val="2039DD56"/>
    <w:rsid w:val="2039FE79"/>
    <w:rsid w:val="203A8343"/>
    <w:rsid w:val="203A94C8"/>
    <w:rsid w:val="203AD117"/>
    <w:rsid w:val="203B009B"/>
    <w:rsid w:val="203B48D8"/>
    <w:rsid w:val="203BC630"/>
    <w:rsid w:val="203C16B7"/>
    <w:rsid w:val="203C42FC"/>
    <w:rsid w:val="203CF39B"/>
    <w:rsid w:val="203D410E"/>
    <w:rsid w:val="203DE5C4"/>
    <w:rsid w:val="203DF218"/>
    <w:rsid w:val="203ED655"/>
    <w:rsid w:val="203F9D39"/>
    <w:rsid w:val="203FFE0F"/>
    <w:rsid w:val="20403785"/>
    <w:rsid w:val="20409716"/>
    <w:rsid w:val="2040C2F3"/>
    <w:rsid w:val="2040EB5C"/>
    <w:rsid w:val="20415CB3"/>
    <w:rsid w:val="2041ABD5"/>
    <w:rsid w:val="20422C28"/>
    <w:rsid w:val="204294D4"/>
    <w:rsid w:val="20430596"/>
    <w:rsid w:val="204360DE"/>
    <w:rsid w:val="204451CA"/>
    <w:rsid w:val="2044CE69"/>
    <w:rsid w:val="2044E288"/>
    <w:rsid w:val="20453C00"/>
    <w:rsid w:val="204551B8"/>
    <w:rsid w:val="204661B1"/>
    <w:rsid w:val="20472C5E"/>
    <w:rsid w:val="2047890C"/>
    <w:rsid w:val="2047A350"/>
    <w:rsid w:val="204837AF"/>
    <w:rsid w:val="2048928D"/>
    <w:rsid w:val="20489D8F"/>
    <w:rsid w:val="2048E654"/>
    <w:rsid w:val="20496CBB"/>
    <w:rsid w:val="20496CD3"/>
    <w:rsid w:val="2049DA3E"/>
    <w:rsid w:val="204A0747"/>
    <w:rsid w:val="204AE89F"/>
    <w:rsid w:val="204C1B55"/>
    <w:rsid w:val="204CDED0"/>
    <w:rsid w:val="204D1EE7"/>
    <w:rsid w:val="204D81A2"/>
    <w:rsid w:val="204DC3C8"/>
    <w:rsid w:val="204EA637"/>
    <w:rsid w:val="204FD10B"/>
    <w:rsid w:val="204FE4FD"/>
    <w:rsid w:val="20502AC4"/>
    <w:rsid w:val="20508869"/>
    <w:rsid w:val="205125E5"/>
    <w:rsid w:val="20517E72"/>
    <w:rsid w:val="20522145"/>
    <w:rsid w:val="20539669"/>
    <w:rsid w:val="2053F510"/>
    <w:rsid w:val="20551DEB"/>
    <w:rsid w:val="2055521A"/>
    <w:rsid w:val="2055631B"/>
    <w:rsid w:val="2055C8A6"/>
    <w:rsid w:val="2055CD80"/>
    <w:rsid w:val="20564784"/>
    <w:rsid w:val="20564E36"/>
    <w:rsid w:val="20568E11"/>
    <w:rsid w:val="2057D972"/>
    <w:rsid w:val="2057DCC1"/>
    <w:rsid w:val="2057E91B"/>
    <w:rsid w:val="2058CE90"/>
    <w:rsid w:val="2058E2DB"/>
    <w:rsid w:val="205B2C2A"/>
    <w:rsid w:val="205B6E85"/>
    <w:rsid w:val="205C6380"/>
    <w:rsid w:val="205CC86F"/>
    <w:rsid w:val="205D12F9"/>
    <w:rsid w:val="205D6108"/>
    <w:rsid w:val="205D83A6"/>
    <w:rsid w:val="205E6B3F"/>
    <w:rsid w:val="205E7D78"/>
    <w:rsid w:val="205E88AD"/>
    <w:rsid w:val="205EAF51"/>
    <w:rsid w:val="205F7555"/>
    <w:rsid w:val="205FD44C"/>
    <w:rsid w:val="20603E96"/>
    <w:rsid w:val="20604A1D"/>
    <w:rsid w:val="20607E4C"/>
    <w:rsid w:val="2060B9D7"/>
    <w:rsid w:val="2061D4D6"/>
    <w:rsid w:val="20629754"/>
    <w:rsid w:val="2062AF01"/>
    <w:rsid w:val="2062D9B6"/>
    <w:rsid w:val="20635C8C"/>
    <w:rsid w:val="2064466C"/>
    <w:rsid w:val="20665B6C"/>
    <w:rsid w:val="20667358"/>
    <w:rsid w:val="20668FAC"/>
    <w:rsid w:val="206692E8"/>
    <w:rsid w:val="20672F55"/>
    <w:rsid w:val="206783D1"/>
    <w:rsid w:val="206803A8"/>
    <w:rsid w:val="20682E93"/>
    <w:rsid w:val="2068DA35"/>
    <w:rsid w:val="2069A190"/>
    <w:rsid w:val="206AACD7"/>
    <w:rsid w:val="206BA3B0"/>
    <w:rsid w:val="206D2664"/>
    <w:rsid w:val="206DAB68"/>
    <w:rsid w:val="206DB16C"/>
    <w:rsid w:val="206F20F6"/>
    <w:rsid w:val="206F4F51"/>
    <w:rsid w:val="206F8FE6"/>
    <w:rsid w:val="206FB1DA"/>
    <w:rsid w:val="20704ED5"/>
    <w:rsid w:val="207086B4"/>
    <w:rsid w:val="20718A1E"/>
    <w:rsid w:val="207200E5"/>
    <w:rsid w:val="2072F31E"/>
    <w:rsid w:val="20737F4F"/>
    <w:rsid w:val="2073922D"/>
    <w:rsid w:val="20744DCB"/>
    <w:rsid w:val="2075BA88"/>
    <w:rsid w:val="2077252A"/>
    <w:rsid w:val="2077A658"/>
    <w:rsid w:val="207843AD"/>
    <w:rsid w:val="20798094"/>
    <w:rsid w:val="207B3780"/>
    <w:rsid w:val="207B4BFE"/>
    <w:rsid w:val="207B7D27"/>
    <w:rsid w:val="207BA8E1"/>
    <w:rsid w:val="207C913A"/>
    <w:rsid w:val="207D4366"/>
    <w:rsid w:val="207D8B5D"/>
    <w:rsid w:val="207DEF6A"/>
    <w:rsid w:val="207EFCEC"/>
    <w:rsid w:val="207FB33A"/>
    <w:rsid w:val="2080801E"/>
    <w:rsid w:val="20826635"/>
    <w:rsid w:val="2082C5E4"/>
    <w:rsid w:val="20844442"/>
    <w:rsid w:val="20854A3B"/>
    <w:rsid w:val="20859B3D"/>
    <w:rsid w:val="20860776"/>
    <w:rsid w:val="208622D0"/>
    <w:rsid w:val="2086901A"/>
    <w:rsid w:val="2086D357"/>
    <w:rsid w:val="208872B3"/>
    <w:rsid w:val="2088AE9D"/>
    <w:rsid w:val="208A3219"/>
    <w:rsid w:val="208AF20C"/>
    <w:rsid w:val="208B0A0E"/>
    <w:rsid w:val="208BA051"/>
    <w:rsid w:val="208C09B3"/>
    <w:rsid w:val="208C442C"/>
    <w:rsid w:val="208CB33C"/>
    <w:rsid w:val="208CB4E7"/>
    <w:rsid w:val="208CE3D6"/>
    <w:rsid w:val="208CE404"/>
    <w:rsid w:val="208D89ED"/>
    <w:rsid w:val="208DA7B1"/>
    <w:rsid w:val="208E10E2"/>
    <w:rsid w:val="208EB3D9"/>
    <w:rsid w:val="208EEA4E"/>
    <w:rsid w:val="20900002"/>
    <w:rsid w:val="2090A500"/>
    <w:rsid w:val="2090CED8"/>
    <w:rsid w:val="2090E647"/>
    <w:rsid w:val="20911BA5"/>
    <w:rsid w:val="20912D6B"/>
    <w:rsid w:val="20915C57"/>
    <w:rsid w:val="209308CF"/>
    <w:rsid w:val="20932A66"/>
    <w:rsid w:val="2093F864"/>
    <w:rsid w:val="2094D855"/>
    <w:rsid w:val="2095F701"/>
    <w:rsid w:val="20960C3B"/>
    <w:rsid w:val="20965DBC"/>
    <w:rsid w:val="20971775"/>
    <w:rsid w:val="20979902"/>
    <w:rsid w:val="2097AC95"/>
    <w:rsid w:val="2097FA9D"/>
    <w:rsid w:val="2098C75B"/>
    <w:rsid w:val="2099ADE3"/>
    <w:rsid w:val="2099D658"/>
    <w:rsid w:val="209A1F1E"/>
    <w:rsid w:val="209B5479"/>
    <w:rsid w:val="209B7691"/>
    <w:rsid w:val="209BD3D4"/>
    <w:rsid w:val="209C03F8"/>
    <w:rsid w:val="209D1FB3"/>
    <w:rsid w:val="209D233B"/>
    <w:rsid w:val="209D3648"/>
    <w:rsid w:val="209DA2D7"/>
    <w:rsid w:val="209E2E1A"/>
    <w:rsid w:val="209E6C41"/>
    <w:rsid w:val="209EED78"/>
    <w:rsid w:val="209F1443"/>
    <w:rsid w:val="209FCEB7"/>
    <w:rsid w:val="20A05421"/>
    <w:rsid w:val="20A06828"/>
    <w:rsid w:val="20A10905"/>
    <w:rsid w:val="20A13025"/>
    <w:rsid w:val="20A17E62"/>
    <w:rsid w:val="20A1D4D0"/>
    <w:rsid w:val="20A2332F"/>
    <w:rsid w:val="20A2E84A"/>
    <w:rsid w:val="20A3BBA5"/>
    <w:rsid w:val="20A4834E"/>
    <w:rsid w:val="20A49229"/>
    <w:rsid w:val="20A49A46"/>
    <w:rsid w:val="20A51271"/>
    <w:rsid w:val="20A5EE63"/>
    <w:rsid w:val="20A64561"/>
    <w:rsid w:val="20A6CCA4"/>
    <w:rsid w:val="20A7059A"/>
    <w:rsid w:val="20A70E68"/>
    <w:rsid w:val="20A73C2C"/>
    <w:rsid w:val="20A74AC7"/>
    <w:rsid w:val="20A77491"/>
    <w:rsid w:val="20A89B2B"/>
    <w:rsid w:val="20A8DFF9"/>
    <w:rsid w:val="20A99E13"/>
    <w:rsid w:val="20A9B46F"/>
    <w:rsid w:val="20AA185F"/>
    <w:rsid w:val="20AA7E50"/>
    <w:rsid w:val="20AA90C4"/>
    <w:rsid w:val="20AAB6DE"/>
    <w:rsid w:val="20AB0823"/>
    <w:rsid w:val="20AB3B41"/>
    <w:rsid w:val="20AC02B6"/>
    <w:rsid w:val="20ACF841"/>
    <w:rsid w:val="20AD24D7"/>
    <w:rsid w:val="20ADB256"/>
    <w:rsid w:val="20ADE7C9"/>
    <w:rsid w:val="20AE0C53"/>
    <w:rsid w:val="20AE5067"/>
    <w:rsid w:val="20AE5AA1"/>
    <w:rsid w:val="20AF48D4"/>
    <w:rsid w:val="20AF8658"/>
    <w:rsid w:val="20B10E4D"/>
    <w:rsid w:val="20B1D92E"/>
    <w:rsid w:val="20B27494"/>
    <w:rsid w:val="20B2EA0D"/>
    <w:rsid w:val="20B3762E"/>
    <w:rsid w:val="20B51E32"/>
    <w:rsid w:val="20B53B64"/>
    <w:rsid w:val="20B6A86F"/>
    <w:rsid w:val="20B7298F"/>
    <w:rsid w:val="20B85D73"/>
    <w:rsid w:val="20B8690B"/>
    <w:rsid w:val="20B9C2C1"/>
    <w:rsid w:val="20BA101C"/>
    <w:rsid w:val="20BA2A4C"/>
    <w:rsid w:val="20BA46BE"/>
    <w:rsid w:val="20BACDF1"/>
    <w:rsid w:val="20BB009C"/>
    <w:rsid w:val="20BB4990"/>
    <w:rsid w:val="20BB8315"/>
    <w:rsid w:val="20BB8E7F"/>
    <w:rsid w:val="20BBBB24"/>
    <w:rsid w:val="20BBBDFC"/>
    <w:rsid w:val="20BC36B6"/>
    <w:rsid w:val="20BD9501"/>
    <w:rsid w:val="20BE2E3E"/>
    <w:rsid w:val="20BF09F8"/>
    <w:rsid w:val="20BF6A24"/>
    <w:rsid w:val="20BFAF81"/>
    <w:rsid w:val="20C0E19E"/>
    <w:rsid w:val="20C10680"/>
    <w:rsid w:val="20C124AA"/>
    <w:rsid w:val="20C2185A"/>
    <w:rsid w:val="20C2E216"/>
    <w:rsid w:val="20C36824"/>
    <w:rsid w:val="20C53B7D"/>
    <w:rsid w:val="20C57EA4"/>
    <w:rsid w:val="20C5954B"/>
    <w:rsid w:val="20C5A3AC"/>
    <w:rsid w:val="20C5E164"/>
    <w:rsid w:val="20C699A2"/>
    <w:rsid w:val="20C7327D"/>
    <w:rsid w:val="20C7B04B"/>
    <w:rsid w:val="20C81F9E"/>
    <w:rsid w:val="20C856D2"/>
    <w:rsid w:val="20C8A5DA"/>
    <w:rsid w:val="20C911E4"/>
    <w:rsid w:val="20C93E23"/>
    <w:rsid w:val="20C9D4E0"/>
    <w:rsid w:val="20CA8B7C"/>
    <w:rsid w:val="20CB61A9"/>
    <w:rsid w:val="20CCF79B"/>
    <w:rsid w:val="20CD0ECC"/>
    <w:rsid w:val="20CD1976"/>
    <w:rsid w:val="20CD4C27"/>
    <w:rsid w:val="20CE233C"/>
    <w:rsid w:val="20CE6697"/>
    <w:rsid w:val="20CE6EF7"/>
    <w:rsid w:val="20CE9710"/>
    <w:rsid w:val="20CEE68F"/>
    <w:rsid w:val="20CF3D5B"/>
    <w:rsid w:val="20CF84B9"/>
    <w:rsid w:val="20CF977A"/>
    <w:rsid w:val="20CFA7B0"/>
    <w:rsid w:val="20D0DFAE"/>
    <w:rsid w:val="20D14C92"/>
    <w:rsid w:val="20D21AAF"/>
    <w:rsid w:val="20D32A40"/>
    <w:rsid w:val="20D336D7"/>
    <w:rsid w:val="20D43C25"/>
    <w:rsid w:val="20D4423F"/>
    <w:rsid w:val="20D4E5E7"/>
    <w:rsid w:val="20D4F528"/>
    <w:rsid w:val="20D56907"/>
    <w:rsid w:val="20D5D2F1"/>
    <w:rsid w:val="20D6243A"/>
    <w:rsid w:val="20D668F7"/>
    <w:rsid w:val="20D6C0E7"/>
    <w:rsid w:val="20D6C6C8"/>
    <w:rsid w:val="20D6CBE7"/>
    <w:rsid w:val="20D77045"/>
    <w:rsid w:val="20D87FFA"/>
    <w:rsid w:val="20D8B732"/>
    <w:rsid w:val="20D9342E"/>
    <w:rsid w:val="20DB70F6"/>
    <w:rsid w:val="20DC70AC"/>
    <w:rsid w:val="20DC7E3C"/>
    <w:rsid w:val="20DD25CB"/>
    <w:rsid w:val="20DDA814"/>
    <w:rsid w:val="20DEB0A7"/>
    <w:rsid w:val="20DED339"/>
    <w:rsid w:val="20DFD292"/>
    <w:rsid w:val="20E01319"/>
    <w:rsid w:val="20E050C9"/>
    <w:rsid w:val="20E13072"/>
    <w:rsid w:val="20E2BB9E"/>
    <w:rsid w:val="20E35A48"/>
    <w:rsid w:val="20E38B37"/>
    <w:rsid w:val="20E41EE8"/>
    <w:rsid w:val="20E43D4A"/>
    <w:rsid w:val="20E4B7FF"/>
    <w:rsid w:val="20E4CA4C"/>
    <w:rsid w:val="20E52DAC"/>
    <w:rsid w:val="20E59782"/>
    <w:rsid w:val="20E646FD"/>
    <w:rsid w:val="20E6BBDD"/>
    <w:rsid w:val="20E79E93"/>
    <w:rsid w:val="20E7ACBB"/>
    <w:rsid w:val="20E810A5"/>
    <w:rsid w:val="20E84238"/>
    <w:rsid w:val="20E91C13"/>
    <w:rsid w:val="20E9CD7E"/>
    <w:rsid w:val="20EB76A6"/>
    <w:rsid w:val="20EBA010"/>
    <w:rsid w:val="20EBF339"/>
    <w:rsid w:val="20EDA65A"/>
    <w:rsid w:val="20EE344E"/>
    <w:rsid w:val="20EE584A"/>
    <w:rsid w:val="20EEAC81"/>
    <w:rsid w:val="20EEC9D5"/>
    <w:rsid w:val="20EECF7A"/>
    <w:rsid w:val="20EF0B35"/>
    <w:rsid w:val="20EFA0F0"/>
    <w:rsid w:val="20F014D9"/>
    <w:rsid w:val="20F068EC"/>
    <w:rsid w:val="20F08855"/>
    <w:rsid w:val="20F10642"/>
    <w:rsid w:val="20F1285E"/>
    <w:rsid w:val="20F12BEB"/>
    <w:rsid w:val="20F158DC"/>
    <w:rsid w:val="20F2AE28"/>
    <w:rsid w:val="20F31516"/>
    <w:rsid w:val="20F406EF"/>
    <w:rsid w:val="20F419EB"/>
    <w:rsid w:val="20F4EE38"/>
    <w:rsid w:val="20F50326"/>
    <w:rsid w:val="20F61D2D"/>
    <w:rsid w:val="20F63722"/>
    <w:rsid w:val="20F66484"/>
    <w:rsid w:val="20F6F867"/>
    <w:rsid w:val="20F70FDD"/>
    <w:rsid w:val="20F91C8D"/>
    <w:rsid w:val="20FA402B"/>
    <w:rsid w:val="20FB08E4"/>
    <w:rsid w:val="20FB4C16"/>
    <w:rsid w:val="20FB94FA"/>
    <w:rsid w:val="20FC7F21"/>
    <w:rsid w:val="20FD6F9C"/>
    <w:rsid w:val="20FEBF8C"/>
    <w:rsid w:val="20FEFB5A"/>
    <w:rsid w:val="20FF47A6"/>
    <w:rsid w:val="20FF7664"/>
    <w:rsid w:val="21002539"/>
    <w:rsid w:val="2101B1AA"/>
    <w:rsid w:val="2101F012"/>
    <w:rsid w:val="2102555F"/>
    <w:rsid w:val="2103E01D"/>
    <w:rsid w:val="2104144E"/>
    <w:rsid w:val="21043530"/>
    <w:rsid w:val="2104DBC6"/>
    <w:rsid w:val="21054203"/>
    <w:rsid w:val="210630DC"/>
    <w:rsid w:val="210657FB"/>
    <w:rsid w:val="2106F8F8"/>
    <w:rsid w:val="21076623"/>
    <w:rsid w:val="210870F4"/>
    <w:rsid w:val="2108A63B"/>
    <w:rsid w:val="21098F7B"/>
    <w:rsid w:val="2109DEFF"/>
    <w:rsid w:val="2109E38B"/>
    <w:rsid w:val="210A2CE4"/>
    <w:rsid w:val="210A6DB4"/>
    <w:rsid w:val="210AF7E3"/>
    <w:rsid w:val="210B0F5A"/>
    <w:rsid w:val="210B707F"/>
    <w:rsid w:val="210B7BB8"/>
    <w:rsid w:val="210B891B"/>
    <w:rsid w:val="210C4DFF"/>
    <w:rsid w:val="210C63D3"/>
    <w:rsid w:val="210C7E42"/>
    <w:rsid w:val="210C83D6"/>
    <w:rsid w:val="210E117F"/>
    <w:rsid w:val="210E30A2"/>
    <w:rsid w:val="210EF3B1"/>
    <w:rsid w:val="210FCF4E"/>
    <w:rsid w:val="211022FE"/>
    <w:rsid w:val="2111B573"/>
    <w:rsid w:val="211201CB"/>
    <w:rsid w:val="2112DFEC"/>
    <w:rsid w:val="2112FC03"/>
    <w:rsid w:val="2113A637"/>
    <w:rsid w:val="2113FA06"/>
    <w:rsid w:val="21145577"/>
    <w:rsid w:val="21148066"/>
    <w:rsid w:val="2115096C"/>
    <w:rsid w:val="21150E46"/>
    <w:rsid w:val="211574F3"/>
    <w:rsid w:val="2115E45E"/>
    <w:rsid w:val="2115E727"/>
    <w:rsid w:val="21168D6E"/>
    <w:rsid w:val="21168ED3"/>
    <w:rsid w:val="21169582"/>
    <w:rsid w:val="2116C31D"/>
    <w:rsid w:val="2116F9B3"/>
    <w:rsid w:val="21170660"/>
    <w:rsid w:val="21189803"/>
    <w:rsid w:val="2118EB2E"/>
    <w:rsid w:val="2118EE3F"/>
    <w:rsid w:val="2119EF67"/>
    <w:rsid w:val="211A24CC"/>
    <w:rsid w:val="211A65BC"/>
    <w:rsid w:val="211B6D30"/>
    <w:rsid w:val="211B8E04"/>
    <w:rsid w:val="211C1B72"/>
    <w:rsid w:val="211C3061"/>
    <w:rsid w:val="211C6900"/>
    <w:rsid w:val="211C6AE3"/>
    <w:rsid w:val="211CC926"/>
    <w:rsid w:val="211D6A10"/>
    <w:rsid w:val="211DD8C3"/>
    <w:rsid w:val="211DEE46"/>
    <w:rsid w:val="211F3F50"/>
    <w:rsid w:val="211FB3E8"/>
    <w:rsid w:val="21205FD6"/>
    <w:rsid w:val="2120642A"/>
    <w:rsid w:val="2120A466"/>
    <w:rsid w:val="2120C40D"/>
    <w:rsid w:val="2122A776"/>
    <w:rsid w:val="21235AB3"/>
    <w:rsid w:val="2123C58D"/>
    <w:rsid w:val="2123F5A4"/>
    <w:rsid w:val="21249800"/>
    <w:rsid w:val="2124CE36"/>
    <w:rsid w:val="21250287"/>
    <w:rsid w:val="212536D7"/>
    <w:rsid w:val="212557A9"/>
    <w:rsid w:val="212631D8"/>
    <w:rsid w:val="2126ECAD"/>
    <w:rsid w:val="21270B38"/>
    <w:rsid w:val="21278775"/>
    <w:rsid w:val="2127A6C0"/>
    <w:rsid w:val="21288B45"/>
    <w:rsid w:val="212A1E56"/>
    <w:rsid w:val="212A6A0D"/>
    <w:rsid w:val="212ACC45"/>
    <w:rsid w:val="212B4576"/>
    <w:rsid w:val="212B893E"/>
    <w:rsid w:val="212C963F"/>
    <w:rsid w:val="212CB25A"/>
    <w:rsid w:val="212D1E1A"/>
    <w:rsid w:val="212D5DF7"/>
    <w:rsid w:val="212DA27E"/>
    <w:rsid w:val="212DF7AA"/>
    <w:rsid w:val="212E358F"/>
    <w:rsid w:val="212E4A39"/>
    <w:rsid w:val="212F2A56"/>
    <w:rsid w:val="212F6951"/>
    <w:rsid w:val="212FF455"/>
    <w:rsid w:val="2130626D"/>
    <w:rsid w:val="2131F681"/>
    <w:rsid w:val="21322982"/>
    <w:rsid w:val="21322BFF"/>
    <w:rsid w:val="2132A33E"/>
    <w:rsid w:val="21337D67"/>
    <w:rsid w:val="21338E31"/>
    <w:rsid w:val="213398B7"/>
    <w:rsid w:val="2133B76E"/>
    <w:rsid w:val="2134C8E9"/>
    <w:rsid w:val="21365BD9"/>
    <w:rsid w:val="21366DCF"/>
    <w:rsid w:val="21367D41"/>
    <w:rsid w:val="213709E9"/>
    <w:rsid w:val="213775B9"/>
    <w:rsid w:val="2137A9E8"/>
    <w:rsid w:val="213A0E92"/>
    <w:rsid w:val="213C1ED2"/>
    <w:rsid w:val="213D1F56"/>
    <w:rsid w:val="213DFF61"/>
    <w:rsid w:val="213E6732"/>
    <w:rsid w:val="213EAB29"/>
    <w:rsid w:val="213FA478"/>
    <w:rsid w:val="21400150"/>
    <w:rsid w:val="2140D035"/>
    <w:rsid w:val="21414573"/>
    <w:rsid w:val="21417092"/>
    <w:rsid w:val="214187EE"/>
    <w:rsid w:val="2141DF0E"/>
    <w:rsid w:val="2141E7C3"/>
    <w:rsid w:val="2142AD58"/>
    <w:rsid w:val="21430DFA"/>
    <w:rsid w:val="21434A42"/>
    <w:rsid w:val="2143D898"/>
    <w:rsid w:val="21440697"/>
    <w:rsid w:val="214522A6"/>
    <w:rsid w:val="214580E2"/>
    <w:rsid w:val="2145BFA6"/>
    <w:rsid w:val="21465889"/>
    <w:rsid w:val="21476A9B"/>
    <w:rsid w:val="2147A0A1"/>
    <w:rsid w:val="2147DA5C"/>
    <w:rsid w:val="2148BA7B"/>
    <w:rsid w:val="2148BD16"/>
    <w:rsid w:val="2148C107"/>
    <w:rsid w:val="2149B749"/>
    <w:rsid w:val="214A32DC"/>
    <w:rsid w:val="214AE965"/>
    <w:rsid w:val="214B5983"/>
    <w:rsid w:val="214B5EEF"/>
    <w:rsid w:val="214B8DC5"/>
    <w:rsid w:val="214B933D"/>
    <w:rsid w:val="214C2630"/>
    <w:rsid w:val="214C4749"/>
    <w:rsid w:val="214C8596"/>
    <w:rsid w:val="214D233F"/>
    <w:rsid w:val="214D7E26"/>
    <w:rsid w:val="214E0BEB"/>
    <w:rsid w:val="214E3C1D"/>
    <w:rsid w:val="214E3EC8"/>
    <w:rsid w:val="214F26F5"/>
    <w:rsid w:val="214F2913"/>
    <w:rsid w:val="214F4A34"/>
    <w:rsid w:val="21503A0F"/>
    <w:rsid w:val="21509D63"/>
    <w:rsid w:val="215121FD"/>
    <w:rsid w:val="21512D5E"/>
    <w:rsid w:val="21513BDC"/>
    <w:rsid w:val="215192AB"/>
    <w:rsid w:val="2155622C"/>
    <w:rsid w:val="21575DA4"/>
    <w:rsid w:val="2157CD12"/>
    <w:rsid w:val="21591772"/>
    <w:rsid w:val="2159AC32"/>
    <w:rsid w:val="2159F445"/>
    <w:rsid w:val="215AA46C"/>
    <w:rsid w:val="215AB1C6"/>
    <w:rsid w:val="215AD3F0"/>
    <w:rsid w:val="215AE28E"/>
    <w:rsid w:val="215B18CC"/>
    <w:rsid w:val="215B526C"/>
    <w:rsid w:val="215C35AB"/>
    <w:rsid w:val="215C4304"/>
    <w:rsid w:val="215CC70A"/>
    <w:rsid w:val="215E0D5C"/>
    <w:rsid w:val="215E9B76"/>
    <w:rsid w:val="215F26B7"/>
    <w:rsid w:val="215F64A2"/>
    <w:rsid w:val="215FDBE9"/>
    <w:rsid w:val="21601861"/>
    <w:rsid w:val="21611F60"/>
    <w:rsid w:val="2161DA15"/>
    <w:rsid w:val="2161E7E1"/>
    <w:rsid w:val="21628E62"/>
    <w:rsid w:val="2163A94F"/>
    <w:rsid w:val="2163B3DE"/>
    <w:rsid w:val="2163C420"/>
    <w:rsid w:val="21641D15"/>
    <w:rsid w:val="21644006"/>
    <w:rsid w:val="2164A494"/>
    <w:rsid w:val="2164B208"/>
    <w:rsid w:val="2165CE84"/>
    <w:rsid w:val="2165CF2E"/>
    <w:rsid w:val="2166B497"/>
    <w:rsid w:val="2166E927"/>
    <w:rsid w:val="21672661"/>
    <w:rsid w:val="2167291A"/>
    <w:rsid w:val="21680524"/>
    <w:rsid w:val="2168A1AA"/>
    <w:rsid w:val="21697CFE"/>
    <w:rsid w:val="216A2246"/>
    <w:rsid w:val="216AB207"/>
    <w:rsid w:val="216AD6D2"/>
    <w:rsid w:val="216AF82F"/>
    <w:rsid w:val="216B0212"/>
    <w:rsid w:val="216B160A"/>
    <w:rsid w:val="216BC463"/>
    <w:rsid w:val="216C14EF"/>
    <w:rsid w:val="216C89CD"/>
    <w:rsid w:val="216E255C"/>
    <w:rsid w:val="216F74BD"/>
    <w:rsid w:val="216FBE8A"/>
    <w:rsid w:val="21713FC1"/>
    <w:rsid w:val="2171FD06"/>
    <w:rsid w:val="217215E8"/>
    <w:rsid w:val="21722E04"/>
    <w:rsid w:val="21728BC9"/>
    <w:rsid w:val="2173B2A9"/>
    <w:rsid w:val="2174018D"/>
    <w:rsid w:val="2174EEA7"/>
    <w:rsid w:val="2175CEB9"/>
    <w:rsid w:val="2175FB25"/>
    <w:rsid w:val="217621AD"/>
    <w:rsid w:val="21768BF0"/>
    <w:rsid w:val="2177AF46"/>
    <w:rsid w:val="21786E5E"/>
    <w:rsid w:val="21788296"/>
    <w:rsid w:val="2178959B"/>
    <w:rsid w:val="2178E458"/>
    <w:rsid w:val="217A08EB"/>
    <w:rsid w:val="217A1A96"/>
    <w:rsid w:val="217AA5D0"/>
    <w:rsid w:val="217B0EDD"/>
    <w:rsid w:val="217C05F0"/>
    <w:rsid w:val="217C862B"/>
    <w:rsid w:val="217D58E3"/>
    <w:rsid w:val="217E16FB"/>
    <w:rsid w:val="217E9DE4"/>
    <w:rsid w:val="217EDC21"/>
    <w:rsid w:val="217F2A21"/>
    <w:rsid w:val="217F2F9A"/>
    <w:rsid w:val="217FF6EB"/>
    <w:rsid w:val="21800E41"/>
    <w:rsid w:val="21805315"/>
    <w:rsid w:val="218159D8"/>
    <w:rsid w:val="21818A30"/>
    <w:rsid w:val="2182420F"/>
    <w:rsid w:val="21828D57"/>
    <w:rsid w:val="21844D0E"/>
    <w:rsid w:val="2184C810"/>
    <w:rsid w:val="2184DEA4"/>
    <w:rsid w:val="218505DA"/>
    <w:rsid w:val="21853649"/>
    <w:rsid w:val="21858336"/>
    <w:rsid w:val="21861A3C"/>
    <w:rsid w:val="2186830B"/>
    <w:rsid w:val="21873158"/>
    <w:rsid w:val="21879F42"/>
    <w:rsid w:val="2188560A"/>
    <w:rsid w:val="2188FC72"/>
    <w:rsid w:val="218908DB"/>
    <w:rsid w:val="21892B45"/>
    <w:rsid w:val="21893CA8"/>
    <w:rsid w:val="21897E6C"/>
    <w:rsid w:val="218997E4"/>
    <w:rsid w:val="218AA2A9"/>
    <w:rsid w:val="218AA899"/>
    <w:rsid w:val="218C71BC"/>
    <w:rsid w:val="218D1E1F"/>
    <w:rsid w:val="218D3F3C"/>
    <w:rsid w:val="218D6EC2"/>
    <w:rsid w:val="218DEAD7"/>
    <w:rsid w:val="218E22B8"/>
    <w:rsid w:val="218E81FA"/>
    <w:rsid w:val="218F1504"/>
    <w:rsid w:val="2190326B"/>
    <w:rsid w:val="21903321"/>
    <w:rsid w:val="21916A60"/>
    <w:rsid w:val="219176D1"/>
    <w:rsid w:val="2191B0E3"/>
    <w:rsid w:val="21925B55"/>
    <w:rsid w:val="21928608"/>
    <w:rsid w:val="2193235F"/>
    <w:rsid w:val="2193BFBD"/>
    <w:rsid w:val="219442BC"/>
    <w:rsid w:val="21958744"/>
    <w:rsid w:val="2196155B"/>
    <w:rsid w:val="21968ED7"/>
    <w:rsid w:val="219791A8"/>
    <w:rsid w:val="219995B7"/>
    <w:rsid w:val="219A2EC6"/>
    <w:rsid w:val="219B258F"/>
    <w:rsid w:val="219C2C9E"/>
    <w:rsid w:val="219C2FC9"/>
    <w:rsid w:val="219C3CC2"/>
    <w:rsid w:val="219CB13A"/>
    <w:rsid w:val="219D471C"/>
    <w:rsid w:val="219D5F03"/>
    <w:rsid w:val="219DA952"/>
    <w:rsid w:val="219DCF0A"/>
    <w:rsid w:val="219EA0ED"/>
    <w:rsid w:val="219F1559"/>
    <w:rsid w:val="219F1B2B"/>
    <w:rsid w:val="219F2392"/>
    <w:rsid w:val="21A00FB9"/>
    <w:rsid w:val="21A04662"/>
    <w:rsid w:val="21A092E4"/>
    <w:rsid w:val="21A0A34B"/>
    <w:rsid w:val="21A0CDEA"/>
    <w:rsid w:val="21A0E6F1"/>
    <w:rsid w:val="21A1CA06"/>
    <w:rsid w:val="21A21714"/>
    <w:rsid w:val="21A21B47"/>
    <w:rsid w:val="21A2375D"/>
    <w:rsid w:val="21A24371"/>
    <w:rsid w:val="21A33A6F"/>
    <w:rsid w:val="21A41E5F"/>
    <w:rsid w:val="21A5FEC8"/>
    <w:rsid w:val="21A624A2"/>
    <w:rsid w:val="21A63201"/>
    <w:rsid w:val="21A69C31"/>
    <w:rsid w:val="21A6EE82"/>
    <w:rsid w:val="21A70668"/>
    <w:rsid w:val="21A719FA"/>
    <w:rsid w:val="21A748CF"/>
    <w:rsid w:val="21A7BECD"/>
    <w:rsid w:val="21A81108"/>
    <w:rsid w:val="21A89034"/>
    <w:rsid w:val="21A8E331"/>
    <w:rsid w:val="21A96A17"/>
    <w:rsid w:val="21A9D075"/>
    <w:rsid w:val="21AA8F40"/>
    <w:rsid w:val="21AAD4D7"/>
    <w:rsid w:val="21AB1152"/>
    <w:rsid w:val="21ABF7C6"/>
    <w:rsid w:val="21AC47B8"/>
    <w:rsid w:val="21ACF6AE"/>
    <w:rsid w:val="21ACF766"/>
    <w:rsid w:val="21ADE42E"/>
    <w:rsid w:val="21ADEBAA"/>
    <w:rsid w:val="21AE3729"/>
    <w:rsid w:val="21AE5308"/>
    <w:rsid w:val="21AEB888"/>
    <w:rsid w:val="21AF2225"/>
    <w:rsid w:val="21AFA9A9"/>
    <w:rsid w:val="21AFAECB"/>
    <w:rsid w:val="21AFEBB0"/>
    <w:rsid w:val="21B03719"/>
    <w:rsid w:val="21B12CEF"/>
    <w:rsid w:val="21B19937"/>
    <w:rsid w:val="21B2063C"/>
    <w:rsid w:val="21B2B47F"/>
    <w:rsid w:val="21B3A6F4"/>
    <w:rsid w:val="21B4AAB7"/>
    <w:rsid w:val="21B4F589"/>
    <w:rsid w:val="21B535DF"/>
    <w:rsid w:val="21B55C49"/>
    <w:rsid w:val="21B6318E"/>
    <w:rsid w:val="21B682AA"/>
    <w:rsid w:val="21B6AF4A"/>
    <w:rsid w:val="21B71DCE"/>
    <w:rsid w:val="21B79B8D"/>
    <w:rsid w:val="21B7A6E2"/>
    <w:rsid w:val="21B7FBB7"/>
    <w:rsid w:val="21B89E44"/>
    <w:rsid w:val="21B8DDA5"/>
    <w:rsid w:val="21B9AF9D"/>
    <w:rsid w:val="21BAFA28"/>
    <w:rsid w:val="21BB0EA7"/>
    <w:rsid w:val="21BCFA85"/>
    <w:rsid w:val="21BDA689"/>
    <w:rsid w:val="21BDA8D1"/>
    <w:rsid w:val="21BDEA42"/>
    <w:rsid w:val="21BEDF48"/>
    <w:rsid w:val="21BF9A34"/>
    <w:rsid w:val="21BFFFD0"/>
    <w:rsid w:val="21C0D099"/>
    <w:rsid w:val="21C0D8DC"/>
    <w:rsid w:val="21C1B0BA"/>
    <w:rsid w:val="21C1ED9C"/>
    <w:rsid w:val="21C23D27"/>
    <w:rsid w:val="21C2B658"/>
    <w:rsid w:val="21C2D082"/>
    <w:rsid w:val="21C367EC"/>
    <w:rsid w:val="21C36DD1"/>
    <w:rsid w:val="21C4F0CD"/>
    <w:rsid w:val="21C63108"/>
    <w:rsid w:val="21C67AB2"/>
    <w:rsid w:val="21C67AF4"/>
    <w:rsid w:val="21C6DC26"/>
    <w:rsid w:val="21C6E7F4"/>
    <w:rsid w:val="21C7944E"/>
    <w:rsid w:val="21C828B5"/>
    <w:rsid w:val="21C96AF0"/>
    <w:rsid w:val="21C9CDCF"/>
    <w:rsid w:val="21CAF112"/>
    <w:rsid w:val="21CB54A1"/>
    <w:rsid w:val="21CCAEC0"/>
    <w:rsid w:val="21CD1C71"/>
    <w:rsid w:val="21CD6B72"/>
    <w:rsid w:val="21CDB84F"/>
    <w:rsid w:val="21CDED16"/>
    <w:rsid w:val="21CE084A"/>
    <w:rsid w:val="21CE1891"/>
    <w:rsid w:val="21CE32D8"/>
    <w:rsid w:val="21CE9768"/>
    <w:rsid w:val="21CEA9A1"/>
    <w:rsid w:val="21CEF22F"/>
    <w:rsid w:val="21CEF5A1"/>
    <w:rsid w:val="21CEF947"/>
    <w:rsid w:val="21CF334C"/>
    <w:rsid w:val="21CF80FD"/>
    <w:rsid w:val="21CFA751"/>
    <w:rsid w:val="21CFE091"/>
    <w:rsid w:val="21D264AE"/>
    <w:rsid w:val="21D26A69"/>
    <w:rsid w:val="21D3B3BC"/>
    <w:rsid w:val="21D3E9DB"/>
    <w:rsid w:val="21D4BF0B"/>
    <w:rsid w:val="21D51BD7"/>
    <w:rsid w:val="21D58FB7"/>
    <w:rsid w:val="21D5FE98"/>
    <w:rsid w:val="21D69AD4"/>
    <w:rsid w:val="21D73F2A"/>
    <w:rsid w:val="21D776C4"/>
    <w:rsid w:val="21D7D76A"/>
    <w:rsid w:val="21D7E8D7"/>
    <w:rsid w:val="21D7FCA5"/>
    <w:rsid w:val="21D8B1FD"/>
    <w:rsid w:val="21D900B2"/>
    <w:rsid w:val="21D95869"/>
    <w:rsid w:val="21D962AC"/>
    <w:rsid w:val="21DA7475"/>
    <w:rsid w:val="21DAF8AB"/>
    <w:rsid w:val="21DB610C"/>
    <w:rsid w:val="21DB82C6"/>
    <w:rsid w:val="21DBB0DE"/>
    <w:rsid w:val="21DBB3B7"/>
    <w:rsid w:val="21DBD01F"/>
    <w:rsid w:val="21DD2979"/>
    <w:rsid w:val="21DD3D8C"/>
    <w:rsid w:val="21DD5560"/>
    <w:rsid w:val="21DE290D"/>
    <w:rsid w:val="21DEAEBE"/>
    <w:rsid w:val="21E11D46"/>
    <w:rsid w:val="21E1202F"/>
    <w:rsid w:val="21E1B716"/>
    <w:rsid w:val="21E29F48"/>
    <w:rsid w:val="21E2A4EE"/>
    <w:rsid w:val="21E3133B"/>
    <w:rsid w:val="21E346BD"/>
    <w:rsid w:val="21E42DF8"/>
    <w:rsid w:val="21E43D04"/>
    <w:rsid w:val="21E5F469"/>
    <w:rsid w:val="21E66353"/>
    <w:rsid w:val="21E6E2E0"/>
    <w:rsid w:val="21E70DC1"/>
    <w:rsid w:val="21E7F4EC"/>
    <w:rsid w:val="21E8EB8E"/>
    <w:rsid w:val="21E9C649"/>
    <w:rsid w:val="21EB2847"/>
    <w:rsid w:val="21EBE21B"/>
    <w:rsid w:val="21ECA926"/>
    <w:rsid w:val="21ECB4EE"/>
    <w:rsid w:val="21ECE456"/>
    <w:rsid w:val="21ED1BBB"/>
    <w:rsid w:val="21ED1FFB"/>
    <w:rsid w:val="21EE9E4F"/>
    <w:rsid w:val="21EF7324"/>
    <w:rsid w:val="21F00FB4"/>
    <w:rsid w:val="21F0A0AF"/>
    <w:rsid w:val="21F1CDAD"/>
    <w:rsid w:val="21F2DBE2"/>
    <w:rsid w:val="21F39D39"/>
    <w:rsid w:val="21F45018"/>
    <w:rsid w:val="21F5E337"/>
    <w:rsid w:val="21F6E1D8"/>
    <w:rsid w:val="21F7A8F7"/>
    <w:rsid w:val="21F8211D"/>
    <w:rsid w:val="21F85DC1"/>
    <w:rsid w:val="21F88418"/>
    <w:rsid w:val="21F8A4A2"/>
    <w:rsid w:val="21F8D12B"/>
    <w:rsid w:val="21F8FBC5"/>
    <w:rsid w:val="21F92F33"/>
    <w:rsid w:val="21F964F8"/>
    <w:rsid w:val="21FAA9D3"/>
    <w:rsid w:val="21FB1414"/>
    <w:rsid w:val="21FB6F96"/>
    <w:rsid w:val="21FBE0F7"/>
    <w:rsid w:val="21FC197D"/>
    <w:rsid w:val="21FC54E3"/>
    <w:rsid w:val="21FC72CF"/>
    <w:rsid w:val="21FE0F78"/>
    <w:rsid w:val="21FEDD50"/>
    <w:rsid w:val="21FF2216"/>
    <w:rsid w:val="22003CFC"/>
    <w:rsid w:val="22008078"/>
    <w:rsid w:val="220176D0"/>
    <w:rsid w:val="22023C07"/>
    <w:rsid w:val="22025A0F"/>
    <w:rsid w:val="2202ECBF"/>
    <w:rsid w:val="2202F335"/>
    <w:rsid w:val="220354CE"/>
    <w:rsid w:val="22039E90"/>
    <w:rsid w:val="2203A7EA"/>
    <w:rsid w:val="2203C792"/>
    <w:rsid w:val="2203EA83"/>
    <w:rsid w:val="22044F89"/>
    <w:rsid w:val="2204AAEA"/>
    <w:rsid w:val="22056087"/>
    <w:rsid w:val="220573E3"/>
    <w:rsid w:val="2205E3C2"/>
    <w:rsid w:val="2205EF58"/>
    <w:rsid w:val="22060EC2"/>
    <w:rsid w:val="220647F5"/>
    <w:rsid w:val="22068F19"/>
    <w:rsid w:val="2207E91B"/>
    <w:rsid w:val="2207EE4A"/>
    <w:rsid w:val="22089306"/>
    <w:rsid w:val="2209169F"/>
    <w:rsid w:val="2209D67D"/>
    <w:rsid w:val="220B3326"/>
    <w:rsid w:val="220BC1A6"/>
    <w:rsid w:val="220C0C1F"/>
    <w:rsid w:val="220D1BB4"/>
    <w:rsid w:val="220DB54F"/>
    <w:rsid w:val="220F8FFF"/>
    <w:rsid w:val="220FC5BD"/>
    <w:rsid w:val="220FCB12"/>
    <w:rsid w:val="22105BF4"/>
    <w:rsid w:val="22121008"/>
    <w:rsid w:val="2212B669"/>
    <w:rsid w:val="22134CA1"/>
    <w:rsid w:val="221357F7"/>
    <w:rsid w:val="22142000"/>
    <w:rsid w:val="2215B822"/>
    <w:rsid w:val="2216308C"/>
    <w:rsid w:val="2216C4B5"/>
    <w:rsid w:val="2216F8C7"/>
    <w:rsid w:val="221706D0"/>
    <w:rsid w:val="22177ADA"/>
    <w:rsid w:val="2217B32C"/>
    <w:rsid w:val="2217E77E"/>
    <w:rsid w:val="2217F754"/>
    <w:rsid w:val="2218CC32"/>
    <w:rsid w:val="22194918"/>
    <w:rsid w:val="2219B192"/>
    <w:rsid w:val="221A8B2F"/>
    <w:rsid w:val="221AC4A2"/>
    <w:rsid w:val="221AE010"/>
    <w:rsid w:val="221B599D"/>
    <w:rsid w:val="221BBF9F"/>
    <w:rsid w:val="221C0325"/>
    <w:rsid w:val="221C9ED6"/>
    <w:rsid w:val="221CA9BF"/>
    <w:rsid w:val="221CF3D5"/>
    <w:rsid w:val="221D0AB7"/>
    <w:rsid w:val="221D1FFD"/>
    <w:rsid w:val="221D83DC"/>
    <w:rsid w:val="221E8F30"/>
    <w:rsid w:val="221EECFC"/>
    <w:rsid w:val="221EFD34"/>
    <w:rsid w:val="22202E29"/>
    <w:rsid w:val="222044DF"/>
    <w:rsid w:val="22212E7F"/>
    <w:rsid w:val="22219158"/>
    <w:rsid w:val="22219B64"/>
    <w:rsid w:val="2221DD2F"/>
    <w:rsid w:val="22220054"/>
    <w:rsid w:val="2222B94B"/>
    <w:rsid w:val="222460E7"/>
    <w:rsid w:val="222465FB"/>
    <w:rsid w:val="22247756"/>
    <w:rsid w:val="22248BE8"/>
    <w:rsid w:val="22250AE4"/>
    <w:rsid w:val="22253505"/>
    <w:rsid w:val="22259856"/>
    <w:rsid w:val="22267192"/>
    <w:rsid w:val="2227298A"/>
    <w:rsid w:val="2227DD66"/>
    <w:rsid w:val="2228A423"/>
    <w:rsid w:val="2228E423"/>
    <w:rsid w:val="22292FDC"/>
    <w:rsid w:val="2229589A"/>
    <w:rsid w:val="22295B16"/>
    <w:rsid w:val="222B2207"/>
    <w:rsid w:val="222B5FC3"/>
    <w:rsid w:val="222B7910"/>
    <w:rsid w:val="222B9582"/>
    <w:rsid w:val="222BDAB2"/>
    <w:rsid w:val="222D07F7"/>
    <w:rsid w:val="222D0B4F"/>
    <w:rsid w:val="222D18DD"/>
    <w:rsid w:val="222D3AF5"/>
    <w:rsid w:val="222DE74F"/>
    <w:rsid w:val="222EFF89"/>
    <w:rsid w:val="222F6A59"/>
    <w:rsid w:val="22301DD0"/>
    <w:rsid w:val="22304486"/>
    <w:rsid w:val="2231B674"/>
    <w:rsid w:val="2231FC76"/>
    <w:rsid w:val="22344255"/>
    <w:rsid w:val="22348817"/>
    <w:rsid w:val="2234D557"/>
    <w:rsid w:val="2234F3DE"/>
    <w:rsid w:val="223652D5"/>
    <w:rsid w:val="2237CCBB"/>
    <w:rsid w:val="2237F486"/>
    <w:rsid w:val="22387ACF"/>
    <w:rsid w:val="2238F05B"/>
    <w:rsid w:val="2239A854"/>
    <w:rsid w:val="223AD6A2"/>
    <w:rsid w:val="223B0E5A"/>
    <w:rsid w:val="223B90D9"/>
    <w:rsid w:val="223BAC31"/>
    <w:rsid w:val="223BCA7F"/>
    <w:rsid w:val="223D670A"/>
    <w:rsid w:val="223E39C3"/>
    <w:rsid w:val="223E3C13"/>
    <w:rsid w:val="223F538C"/>
    <w:rsid w:val="223F9521"/>
    <w:rsid w:val="223FD15F"/>
    <w:rsid w:val="223FF750"/>
    <w:rsid w:val="22403A49"/>
    <w:rsid w:val="2240837A"/>
    <w:rsid w:val="224111A9"/>
    <w:rsid w:val="22412328"/>
    <w:rsid w:val="2241F6C0"/>
    <w:rsid w:val="2242AE67"/>
    <w:rsid w:val="2242BDDC"/>
    <w:rsid w:val="22442127"/>
    <w:rsid w:val="224447D6"/>
    <w:rsid w:val="2244C16C"/>
    <w:rsid w:val="2245F547"/>
    <w:rsid w:val="22468AFD"/>
    <w:rsid w:val="22469F12"/>
    <w:rsid w:val="22470087"/>
    <w:rsid w:val="22476C95"/>
    <w:rsid w:val="2247FD08"/>
    <w:rsid w:val="22484660"/>
    <w:rsid w:val="2248BF50"/>
    <w:rsid w:val="22490EEB"/>
    <w:rsid w:val="2249403A"/>
    <w:rsid w:val="22499062"/>
    <w:rsid w:val="2249B23F"/>
    <w:rsid w:val="2249D685"/>
    <w:rsid w:val="224A239C"/>
    <w:rsid w:val="224ACCB8"/>
    <w:rsid w:val="224BBD2A"/>
    <w:rsid w:val="224D9B5E"/>
    <w:rsid w:val="224DA72E"/>
    <w:rsid w:val="224EA2CA"/>
    <w:rsid w:val="224EAB25"/>
    <w:rsid w:val="224FB903"/>
    <w:rsid w:val="224FCAF6"/>
    <w:rsid w:val="2251F0F5"/>
    <w:rsid w:val="2252163A"/>
    <w:rsid w:val="22524D7C"/>
    <w:rsid w:val="22525139"/>
    <w:rsid w:val="2253C1C2"/>
    <w:rsid w:val="22556BBB"/>
    <w:rsid w:val="22561320"/>
    <w:rsid w:val="2256393D"/>
    <w:rsid w:val="2256900B"/>
    <w:rsid w:val="22578DC1"/>
    <w:rsid w:val="2258B061"/>
    <w:rsid w:val="225A70D4"/>
    <w:rsid w:val="225B1C7E"/>
    <w:rsid w:val="225B262D"/>
    <w:rsid w:val="225B39C1"/>
    <w:rsid w:val="225B5004"/>
    <w:rsid w:val="225B9CD1"/>
    <w:rsid w:val="225BF6D6"/>
    <w:rsid w:val="225E5C12"/>
    <w:rsid w:val="225E8798"/>
    <w:rsid w:val="2260673D"/>
    <w:rsid w:val="2260822A"/>
    <w:rsid w:val="2260AC91"/>
    <w:rsid w:val="2260BF21"/>
    <w:rsid w:val="22626C5F"/>
    <w:rsid w:val="2262AA80"/>
    <w:rsid w:val="22634F1C"/>
    <w:rsid w:val="2263C38D"/>
    <w:rsid w:val="226401C2"/>
    <w:rsid w:val="2264EAD2"/>
    <w:rsid w:val="22650370"/>
    <w:rsid w:val="22650917"/>
    <w:rsid w:val="226525CD"/>
    <w:rsid w:val="22653CE0"/>
    <w:rsid w:val="2265714B"/>
    <w:rsid w:val="2265B661"/>
    <w:rsid w:val="2265D6E7"/>
    <w:rsid w:val="2266B349"/>
    <w:rsid w:val="2266CB2A"/>
    <w:rsid w:val="22670344"/>
    <w:rsid w:val="2267383B"/>
    <w:rsid w:val="22676A82"/>
    <w:rsid w:val="226824F2"/>
    <w:rsid w:val="226ADFF5"/>
    <w:rsid w:val="226B135B"/>
    <w:rsid w:val="226B2A1C"/>
    <w:rsid w:val="226BAFD0"/>
    <w:rsid w:val="226C076C"/>
    <w:rsid w:val="226C9C2E"/>
    <w:rsid w:val="226CA93F"/>
    <w:rsid w:val="226D361E"/>
    <w:rsid w:val="226DF724"/>
    <w:rsid w:val="226E54A4"/>
    <w:rsid w:val="226EEEBF"/>
    <w:rsid w:val="226F17B5"/>
    <w:rsid w:val="226F47A4"/>
    <w:rsid w:val="22710ECA"/>
    <w:rsid w:val="22714E76"/>
    <w:rsid w:val="22717AF3"/>
    <w:rsid w:val="227237FC"/>
    <w:rsid w:val="2272AEB5"/>
    <w:rsid w:val="2272BF4D"/>
    <w:rsid w:val="22737E98"/>
    <w:rsid w:val="2273F74E"/>
    <w:rsid w:val="22744651"/>
    <w:rsid w:val="22757730"/>
    <w:rsid w:val="2275A997"/>
    <w:rsid w:val="2275DD13"/>
    <w:rsid w:val="22765F0E"/>
    <w:rsid w:val="2276B0A8"/>
    <w:rsid w:val="227742F7"/>
    <w:rsid w:val="2277532D"/>
    <w:rsid w:val="2277A4D1"/>
    <w:rsid w:val="22783CB1"/>
    <w:rsid w:val="22788BDB"/>
    <w:rsid w:val="2278EA8B"/>
    <w:rsid w:val="227A4899"/>
    <w:rsid w:val="227A5CF2"/>
    <w:rsid w:val="227AFA81"/>
    <w:rsid w:val="227B0CCC"/>
    <w:rsid w:val="227B1B14"/>
    <w:rsid w:val="227C271C"/>
    <w:rsid w:val="227C50B8"/>
    <w:rsid w:val="227CA488"/>
    <w:rsid w:val="227CC842"/>
    <w:rsid w:val="227CCDE1"/>
    <w:rsid w:val="227D7019"/>
    <w:rsid w:val="227DBBB6"/>
    <w:rsid w:val="227DE8D1"/>
    <w:rsid w:val="227E6541"/>
    <w:rsid w:val="227E6E4B"/>
    <w:rsid w:val="227F2677"/>
    <w:rsid w:val="227F6D90"/>
    <w:rsid w:val="2280A1BE"/>
    <w:rsid w:val="2280BB9F"/>
    <w:rsid w:val="2280FF97"/>
    <w:rsid w:val="228137BC"/>
    <w:rsid w:val="2281ED2C"/>
    <w:rsid w:val="22826CC7"/>
    <w:rsid w:val="2283552D"/>
    <w:rsid w:val="22844644"/>
    <w:rsid w:val="22849751"/>
    <w:rsid w:val="2284C49E"/>
    <w:rsid w:val="2284DA9A"/>
    <w:rsid w:val="22866954"/>
    <w:rsid w:val="2286E10D"/>
    <w:rsid w:val="2286FB58"/>
    <w:rsid w:val="228780FC"/>
    <w:rsid w:val="22879440"/>
    <w:rsid w:val="2287F795"/>
    <w:rsid w:val="2289624F"/>
    <w:rsid w:val="2289AD9F"/>
    <w:rsid w:val="2289B285"/>
    <w:rsid w:val="2289B393"/>
    <w:rsid w:val="228A8682"/>
    <w:rsid w:val="228AADCA"/>
    <w:rsid w:val="228AAF88"/>
    <w:rsid w:val="228B7E44"/>
    <w:rsid w:val="228BB720"/>
    <w:rsid w:val="228BE153"/>
    <w:rsid w:val="228E7421"/>
    <w:rsid w:val="228F1531"/>
    <w:rsid w:val="228F47A5"/>
    <w:rsid w:val="228F526C"/>
    <w:rsid w:val="228FB5CF"/>
    <w:rsid w:val="228FF302"/>
    <w:rsid w:val="2290A1D1"/>
    <w:rsid w:val="2290A6FD"/>
    <w:rsid w:val="229134AA"/>
    <w:rsid w:val="2291A6F1"/>
    <w:rsid w:val="2291E81A"/>
    <w:rsid w:val="229201C4"/>
    <w:rsid w:val="2292AC08"/>
    <w:rsid w:val="2292B409"/>
    <w:rsid w:val="229306A5"/>
    <w:rsid w:val="2293DB37"/>
    <w:rsid w:val="2293E2AE"/>
    <w:rsid w:val="2293E4BD"/>
    <w:rsid w:val="22942F59"/>
    <w:rsid w:val="2294383B"/>
    <w:rsid w:val="22947E2D"/>
    <w:rsid w:val="2294CBD7"/>
    <w:rsid w:val="22956725"/>
    <w:rsid w:val="2295B4EF"/>
    <w:rsid w:val="2295F7F2"/>
    <w:rsid w:val="2296F104"/>
    <w:rsid w:val="2298023A"/>
    <w:rsid w:val="229813DD"/>
    <w:rsid w:val="2298AF82"/>
    <w:rsid w:val="229ABBE9"/>
    <w:rsid w:val="229B4F15"/>
    <w:rsid w:val="229BDDC6"/>
    <w:rsid w:val="229D5ACC"/>
    <w:rsid w:val="229D8FCA"/>
    <w:rsid w:val="229DD24E"/>
    <w:rsid w:val="229E4241"/>
    <w:rsid w:val="229EA971"/>
    <w:rsid w:val="229EB307"/>
    <w:rsid w:val="229FDC2E"/>
    <w:rsid w:val="22A0B718"/>
    <w:rsid w:val="22A0BFE5"/>
    <w:rsid w:val="22A11B20"/>
    <w:rsid w:val="22A13015"/>
    <w:rsid w:val="22A1CB04"/>
    <w:rsid w:val="22A25EC7"/>
    <w:rsid w:val="22A2BC69"/>
    <w:rsid w:val="22A34EF7"/>
    <w:rsid w:val="22A37A5B"/>
    <w:rsid w:val="22A39871"/>
    <w:rsid w:val="22A399A3"/>
    <w:rsid w:val="22A3AE56"/>
    <w:rsid w:val="22A3B03D"/>
    <w:rsid w:val="22A3E5C0"/>
    <w:rsid w:val="22A4234A"/>
    <w:rsid w:val="22A4AFF0"/>
    <w:rsid w:val="22A67A32"/>
    <w:rsid w:val="22A7CED1"/>
    <w:rsid w:val="22A8210D"/>
    <w:rsid w:val="22A8EC49"/>
    <w:rsid w:val="22A90925"/>
    <w:rsid w:val="22A991C9"/>
    <w:rsid w:val="22AA2C93"/>
    <w:rsid w:val="22AA3736"/>
    <w:rsid w:val="22AA4983"/>
    <w:rsid w:val="22AAE35B"/>
    <w:rsid w:val="22ABE01C"/>
    <w:rsid w:val="22AC2085"/>
    <w:rsid w:val="22AC308A"/>
    <w:rsid w:val="22AE2AF9"/>
    <w:rsid w:val="22AEA989"/>
    <w:rsid w:val="22AF00EF"/>
    <w:rsid w:val="22AF5465"/>
    <w:rsid w:val="22AFE784"/>
    <w:rsid w:val="22B04952"/>
    <w:rsid w:val="22B0827D"/>
    <w:rsid w:val="22B09B0A"/>
    <w:rsid w:val="22B15FD4"/>
    <w:rsid w:val="22B19BCC"/>
    <w:rsid w:val="22B24706"/>
    <w:rsid w:val="22B251FB"/>
    <w:rsid w:val="22B2C04B"/>
    <w:rsid w:val="22B2DE4C"/>
    <w:rsid w:val="22B43903"/>
    <w:rsid w:val="22B4A5F6"/>
    <w:rsid w:val="22B4CB4D"/>
    <w:rsid w:val="22B4DFAB"/>
    <w:rsid w:val="22B4E0A9"/>
    <w:rsid w:val="22B572E7"/>
    <w:rsid w:val="22B5943E"/>
    <w:rsid w:val="22B627B9"/>
    <w:rsid w:val="22B663C7"/>
    <w:rsid w:val="22B7326A"/>
    <w:rsid w:val="22B7C713"/>
    <w:rsid w:val="22B7FA55"/>
    <w:rsid w:val="22B7FDA8"/>
    <w:rsid w:val="22B802DE"/>
    <w:rsid w:val="22B9A44F"/>
    <w:rsid w:val="22B9E01C"/>
    <w:rsid w:val="22B9FB1D"/>
    <w:rsid w:val="22BAA94E"/>
    <w:rsid w:val="22BC261C"/>
    <w:rsid w:val="22BCA6D9"/>
    <w:rsid w:val="22BCDEE3"/>
    <w:rsid w:val="22BCEB85"/>
    <w:rsid w:val="22BDC7E6"/>
    <w:rsid w:val="22BDEEB4"/>
    <w:rsid w:val="22BE647E"/>
    <w:rsid w:val="22BE7326"/>
    <w:rsid w:val="22BEBCC2"/>
    <w:rsid w:val="22BF47DE"/>
    <w:rsid w:val="22C0120E"/>
    <w:rsid w:val="22C215F8"/>
    <w:rsid w:val="22C3361F"/>
    <w:rsid w:val="22C337DE"/>
    <w:rsid w:val="22C33B54"/>
    <w:rsid w:val="22C40EA8"/>
    <w:rsid w:val="22C436A2"/>
    <w:rsid w:val="22C704CE"/>
    <w:rsid w:val="22C7A58E"/>
    <w:rsid w:val="22C82FDC"/>
    <w:rsid w:val="22C85DFA"/>
    <w:rsid w:val="22C8824E"/>
    <w:rsid w:val="22C9DF4C"/>
    <w:rsid w:val="22CA48D1"/>
    <w:rsid w:val="22CA4A53"/>
    <w:rsid w:val="22CA7639"/>
    <w:rsid w:val="22CAD6F7"/>
    <w:rsid w:val="22CADB6C"/>
    <w:rsid w:val="22CB1AE6"/>
    <w:rsid w:val="22CB6A0A"/>
    <w:rsid w:val="22CB8E02"/>
    <w:rsid w:val="22CBAE83"/>
    <w:rsid w:val="22CC2C7C"/>
    <w:rsid w:val="22CCFD83"/>
    <w:rsid w:val="22CD5F86"/>
    <w:rsid w:val="22CDC845"/>
    <w:rsid w:val="22CE27F2"/>
    <w:rsid w:val="22CF8CBB"/>
    <w:rsid w:val="22CFC0B8"/>
    <w:rsid w:val="22D05239"/>
    <w:rsid w:val="22D0D161"/>
    <w:rsid w:val="22D0E26A"/>
    <w:rsid w:val="22D22292"/>
    <w:rsid w:val="22D2B7F2"/>
    <w:rsid w:val="22D3A5F0"/>
    <w:rsid w:val="22D48A10"/>
    <w:rsid w:val="22D4DEE6"/>
    <w:rsid w:val="22D6055E"/>
    <w:rsid w:val="22D73533"/>
    <w:rsid w:val="22D7FF54"/>
    <w:rsid w:val="22D87816"/>
    <w:rsid w:val="22D8BB44"/>
    <w:rsid w:val="22D9BAE2"/>
    <w:rsid w:val="22D9D7DD"/>
    <w:rsid w:val="22D9E3BC"/>
    <w:rsid w:val="22D9FFE2"/>
    <w:rsid w:val="22DAD966"/>
    <w:rsid w:val="22DB97F2"/>
    <w:rsid w:val="22DBB61F"/>
    <w:rsid w:val="22DBD577"/>
    <w:rsid w:val="22DBD5C8"/>
    <w:rsid w:val="22DCEBEF"/>
    <w:rsid w:val="22DD143A"/>
    <w:rsid w:val="22DD5BD1"/>
    <w:rsid w:val="22DD6D3F"/>
    <w:rsid w:val="22DEB6FA"/>
    <w:rsid w:val="22DF192D"/>
    <w:rsid w:val="22DF7C83"/>
    <w:rsid w:val="22DFB234"/>
    <w:rsid w:val="22E00949"/>
    <w:rsid w:val="22E03706"/>
    <w:rsid w:val="22E0925C"/>
    <w:rsid w:val="22E0BD36"/>
    <w:rsid w:val="22E0E0B7"/>
    <w:rsid w:val="22E14B82"/>
    <w:rsid w:val="22E1E6F8"/>
    <w:rsid w:val="22E25172"/>
    <w:rsid w:val="22E2C353"/>
    <w:rsid w:val="22E2C3CC"/>
    <w:rsid w:val="22E2F0CF"/>
    <w:rsid w:val="22E304EF"/>
    <w:rsid w:val="22E37701"/>
    <w:rsid w:val="22E3EB4B"/>
    <w:rsid w:val="22E44161"/>
    <w:rsid w:val="22E45687"/>
    <w:rsid w:val="22E50C8C"/>
    <w:rsid w:val="22E510EE"/>
    <w:rsid w:val="22E521B9"/>
    <w:rsid w:val="22E52824"/>
    <w:rsid w:val="22E53D3A"/>
    <w:rsid w:val="22E5B1A3"/>
    <w:rsid w:val="22E61946"/>
    <w:rsid w:val="22E67C75"/>
    <w:rsid w:val="22E6B792"/>
    <w:rsid w:val="22E6FDC8"/>
    <w:rsid w:val="22E71DEA"/>
    <w:rsid w:val="22E796BE"/>
    <w:rsid w:val="22E7B8F1"/>
    <w:rsid w:val="22E837D2"/>
    <w:rsid w:val="22E843DF"/>
    <w:rsid w:val="22E85622"/>
    <w:rsid w:val="22E85DC0"/>
    <w:rsid w:val="22E87012"/>
    <w:rsid w:val="22E8E8BE"/>
    <w:rsid w:val="22E91EF8"/>
    <w:rsid w:val="22EABDAC"/>
    <w:rsid w:val="22EAF437"/>
    <w:rsid w:val="22EB51BA"/>
    <w:rsid w:val="22EB6806"/>
    <w:rsid w:val="22EBD42C"/>
    <w:rsid w:val="22ECA16A"/>
    <w:rsid w:val="22ED625E"/>
    <w:rsid w:val="22EDC115"/>
    <w:rsid w:val="22EDCC6F"/>
    <w:rsid w:val="22EE804D"/>
    <w:rsid w:val="22EFE2C9"/>
    <w:rsid w:val="22EFE38D"/>
    <w:rsid w:val="22EFEFE8"/>
    <w:rsid w:val="22EFF027"/>
    <w:rsid w:val="22F03097"/>
    <w:rsid w:val="22F1D0F3"/>
    <w:rsid w:val="22F1FDF5"/>
    <w:rsid w:val="22F2254D"/>
    <w:rsid w:val="22F36614"/>
    <w:rsid w:val="22F3C238"/>
    <w:rsid w:val="22F3CAAE"/>
    <w:rsid w:val="22F523EA"/>
    <w:rsid w:val="22F55986"/>
    <w:rsid w:val="22F62A6F"/>
    <w:rsid w:val="22F664AC"/>
    <w:rsid w:val="22F67E05"/>
    <w:rsid w:val="22F696ED"/>
    <w:rsid w:val="22F6FA08"/>
    <w:rsid w:val="22F770C0"/>
    <w:rsid w:val="22F77215"/>
    <w:rsid w:val="22F774F6"/>
    <w:rsid w:val="22F85272"/>
    <w:rsid w:val="22F8775E"/>
    <w:rsid w:val="22F98D9A"/>
    <w:rsid w:val="22F9ACEC"/>
    <w:rsid w:val="22FA354A"/>
    <w:rsid w:val="22FA8B48"/>
    <w:rsid w:val="22FADAC4"/>
    <w:rsid w:val="22FB41A2"/>
    <w:rsid w:val="22FB5781"/>
    <w:rsid w:val="22FBFECE"/>
    <w:rsid w:val="22FCFAD0"/>
    <w:rsid w:val="22FD716B"/>
    <w:rsid w:val="22FDF0AE"/>
    <w:rsid w:val="22FE1865"/>
    <w:rsid w:val="22FE62EF"/>
    <w:rsid w:val="22FEB323"/>
    <w:rsid w:val="22FF3462"/>
    <w:rsid w:val="22FFCC22"/>
    <w:rsid w:val="23002F58"/>
    <w:rsid w:val="2300AC96"/>
    <w:rsid w:val="23022DF7"/>
    <w:rsid w:val="23023393"/>
    <w:rsid w:val="23024F2E"/>
    <w:rsid w:val="23026E0E"/>
    <w:rsid w:val="2302ED62"/>
    <w:rsid w:val="2303712E"/>
    <w:rsid w:val="23042232"/>
    <w:rsid w:val="230623DB"/>
    <w:rsid w:val="2306369A"/>
    <w:rsid w:val="2307463C"/>
    <w:rsid w:val="23077E54"/>
    <w:rsid w:val="23087BF8"/>
    <w:rsid w:val="23096333"/>
    <w:rsid w:val="23096FF6"/>
    <w:rsid w:val="230B3A63"/>
    <w:rsid w:val="230B5B07"/>
    <w:rsid w:val="230BA14F"/>
    <w:rsid w:val="230C098F"/>
    <w:rsid w:val="230C0AB5"/>
    <w:rsid w:val="230D7078"/>
    <w:rsid w:val="230E3F21"/>
    <w:rsid w:val="230F7D60"/>
    <w:rsid w:val="231038F0"/>
    <w:rsid w:val="231061D6"/>
    <w:rsid w:val="231068AD"/>
    <w:rsid w:val="23108572"/>
    <w:rsid w:val="23118383"/>
    <w:rsid w:val="23136B5D"/>
    <w:rsid w:val="23138051"/>
    <w:rsid w:val="23149367"/>
    <w:rsid w:val="231536C5"/>
    <w:rsid w:val="2316A71B"/>
    <w:rsid w:val="2316D574"/>
    <w:rsid w:val="2317747F"/>
    <w:rsid w:val="231983FD"/>
    <w:rsid w:val="2319CB7D"/>
    <w:rsid w:val="231A7268"/>
    <w:rsid w:val="231B13A8"/>
    <w:rsid w:val="231B3F26"/>
    <w:rsid w:val="231B7967"/>
    <w:rsid w:val="231BBA36"/>
    <w:rsid w:val="231BE8F5"/>
    <w:rsid w:val="231C81EC"/>
    <w:rsid w:val="231CB01A"/>
    <w:rsid w:val="231D2113"/>
    <w:rsid w:val="231DED91"/>
    <w:rsid w:val="231E1D53"/>
    <w:rsid w:val="231E9743"/>
    <w:rsid w:val="231F7935"/>
    <w:rsid w:val="231FDFB7"/>
    <w:rsid w:val="231FE335"/>
    <w:rsid w:val="23200BDE"/>
    <w:rsid w:val="2320C369"/>
    <w:rsid w:val="2321E56D"/>
    <w:rsid w:val="2321FEAF"/>
    <w:rsid w:val="23233423"/>
    <w:rsid w:val="232359E8"/>
    <w:rsid w:val="2323CB76"/>
    <w:rsid w:val="2323CD6E"/>
    <w:rsid w:val="23242DA5"/>
    <w:rsid w:val="2324CE78"/>
    <w:rsid w:val="2324EBFC"/>
    <w:rsid w:val="2324F85A"/>
    <w:rsid w:val="2325402D"/>
    <w:rsid w:val="232581C9"/>
    <w:rsid w:val="2326098E"/>
    <w:rsid w:val="23263D65"/>
    <w:rsid w:val="23263DD8"/>
    <w:rsid w:val="23266EDD"/>
    <w:rsid w:val="2327B04C"/>
    <w:rsid w:val="2328004E"/>
    <w:rsid w:val="23280120"/>
    <w:rsid w:val="2329084E"/>
    <w:rsid w:val="232A4B36"/>
    <w:rsid w:val="232AB074"/>
    <w:rsid w:val="232AFA67"/>
    <w:rsid w:val="232BFB6C"/>
    <w:rsid w:val="232CB2D0"/>
    <w:rsid w:val="232D488E"/>
    <w:rsid w:val="232D5E76"/>
    <w:rsid w:val="232DC644"/>
    <w:rsid w:val="232E2455"/>
    <w:rsid w:val="232E877A"/>
    <w:rsid w:val="232EDA8B"/>
    <w:rsid w:val="232F5A88"/>
    <w:rsid w:val="233155DA"/>
    <w:rsid w:val="2331717D"/>
    <w:rsid w:val="2331877A"/>
    <w:rsid w:val="23324AD0"/>
    <w:rsid w:val="2332E630"/>
    <w:rsid w:val="2333C46E"/>
    <w:rsid w:val="2333FE3B"/>
    <w:rsid w:val="23348C40"/>
    <w:rsid w:val="2334AEF6"/>
    <w:rsid w:val="233515C4"/>
    <w:rsid w:val="2335E7FE"/>
    <w:rsid w:val="2336502D"/>
    <w:rsid w:val="23367EC1"/>
    <w:rsid w:val="233695E8"/>
    <w:rsid w:val="23385E07"/>
    <w:rsid w:val="2339BE5D"/>
    <w:rsid w:val="233B5908"/>
    <w:rsid w:val="233BC3AD"/>
    <w:rsid w:val="233C10FF"/>
    <w:rsid w:val="233C7267"/>
    <w:rsid w:val="233CE1A8"/>
    <w:rsid w:val="233D05FE"/>
    <w:rsid w:val="233D7DC5"/>
    <w:rsid w:val="233E57AA"/>
    <w:rsid w:val="233E7533"/>
    <w:rsid w:val="234011D8"/>
    <w:rsid w:val="2340A226"/>
    <w:rsid w:val="2340E826"/>
    <w:rsid w:val="23419E88"/>
    <w:rsid w:val="23431611"/>
    <w:rsid w:val="23432A42"/>
    <w:rsid w:val="23442EEE"/>
    <w:rsid w:val="23446311"/>
    <w:rsid w:val="2344642E"/>
    <w:rsid w:val="23461768"/>
    <w:rsid w:val="23462727"/>
    <w:rsid w:val="23462D74"/>
    <w:rsid w:val="23464B9F"/>
    <w:rsid w:val="234674D5"/>
    <w:rsid w:val="23468763"/>
    <w:rsid w:val="2346A4DD"/>
    <w:rsid w:val="23474FD5"/>
    <w:rsid w:val="2347A351"/>
    <w:rsid w:val="2347C284"/>
    <w:rsid w:val="234821B3"/>
    <w:rsid w:val="2349A577"/>
    <w:rsid w:val="234A9099"/>
    <w:rsid w:val="234C99E1"/>
    <w:rsid w:val="234CE5ED"/>
    <w:rsid w:val="234D527C"/>
    <w:rsid w:val="234D9782"/>
    <w:rsid w:val="234DDBD4"/>
    <w:rsid w:val="234DF25D"/>
    <w:rsid w:val="234E1DB6"/>
    <w:rsid w:val="234E3ECF"/>
    <w:rsid w:val="234F1743"/>
    <w:rsid w:val="234FB3EA"/>
    <w:rsid w:val="234FEF91"/>
    <w:rsid w:val="235077EE"/>
    <w:rsid w:val="23508C89"/>
    <w:rsid w:val="235113BF"/>
    <w:rsid w:val="23515959"/>
    <w:rsid w:val="23525328"/>
    <w:rsid w:val="23527EA6"/>
    <w:rsid w:val="2353385D"/>
    <w:rsid w:val="23536C72"/>
    <w:rsid w:val="23545009"/>
    <w:rsid w:val="235539E5"/>
    <w:rsid w:val="23554190"/>
    <w:rsid w:val="2355654C"/>
    <w:rsid w:val="235692AD"/>
    <w:rsid w:val="2356BFC8"/>
    <w:rsid w:val="235708F1"/>
    <w:rsid w:val="23575F07"/>
    <w:rsid w:val="2357FB11"/>
    <w:rsid w:val="23592848"/>
    <w:rsid w:val="2359946E"/>
    <w:rsid w:val="2359F4D2"/>
    <w:rsid w:val="2359F829"/>
    <w:rsid w:val="2359FF8A"/>
    <w:rsid w:val="235A1BC9"/>
    <w:rsid w:val="235B48BF"/>
    <w:rsid w:val="235B5392"/>
    <w:rsid w:val="235BF83C"/>
    <w:rsid w:val="235C89A3"/>
    <w:rsid w:val="235D3D99"/>
    <w:rsid w:val="235D6F1E"/>
    <w:rsid w:val="235DA8F2"/>
    <w:rsid w:val="235ECACD"/>
    <w:rsid w:val="235EF6C8"/>
    <w:rsid w:val="235F9E32"/>
    <w:rsid w:val="235FEDAD"/>
    <w:rsid w:val="23603DB8"/>
    <w:rsid w:val="23604D39"/>
    <w:rsid w:val="2360F9D4"/>
    <w:rsid w:val="23624C74"/>
    <w:rsid w:val="2362B757"/>
    <w:rsid w:val="2362C1A1"/>
    <w:rsid w:val="2362F188"/>
    <w:rsid w:val="23635D46"/>
    <w:rsid w:val="2366BEC7"/>
    <w:rsid w:val="23678CB5"/>
    <w:rsid w:val="23680778"/>
    <w:rsid w:val="23686244"/>
    <w:rsid w:val="2368B3F8"/>
    <w:rsid w:val="2368C7EC"/>
    <w:rsid w:val="236997C1"/>
    <w:rsid w:val="236A078B"/>
    <w:rsid w:val="236A5F38"/>
    <w:rsid w:val="236AACF9"/>
    <w:rsid w:val="236AE3B7"/>
    <w:rsid w:val="236B819B"/>
    <w:rsid w:val="236BF6A2"/>
    <w:rsid w:val="236C4CB7"/>
    <w:rsid w:val="236D3EBE"/>
    <w:rsid w:val="236D8DCD"/>
    <w:rsid w:val="236EA968"/>
    <w:rsid w:val="236F2186"/>
    <w:rsid w:val="236FD76D"/>
    <w:rsid w:val="236FE1B0"/>
    <w:rsid w:val="23726F3A"/>
    <w:rsid w:val="23731F50"/>
    <w:rsid w:val="2373721A"/>
    <w:rsid w:val="2373856D"/>
    <w:rsid w:val="23738732"/>
    <w:rsid w:val="2373DCDE"/>
    <w:rsid w:val="2374364C"/>
    <w:rsid w:val="23756892"/>
    <w:rsid w:val="2375730F"/>
    <w:rsid w:val="2376E443"/>
    <w:rsid w:val="2377058A"/>
    <w:rsid w:val="237709EF"/>
    <w:rsid w:val="2377A92E"/>
    <w:rsid w:val="23780C96"/>
    <w:rsid w:val="23782BB9"/>
    <w:rsid w:val="2378756D"/>
    <w:rsid w:val="237919F8"/>
    <w:rsid w:val="23792CA0"/>
    <w:rsid w:val="2379CA2A"/>
    <w:rsid w:val="237A3EAE"/>
    <w:rsid w:val="237A91E6"/>
    <w:rsid w:val="237AD50D"/>
    <w:rsid w:val="237B1210"/>
    <w:rsid w:val="237CF3DB"/>
    <w:rsid w:val="237D11EB"/>
    <w:rsid w:val="237D538D"/>
    <w:rsid w:val="237DEA11"/>
    <w:rsid w:val="237E506D"/>
    <w:rsid w:val="23802D4C"/>
    <w:rsid w:val="238159D5"/>
    <w:rsid w:val="23824D7D"/>
    <w:rsid w:val="23825455"/>
    <w:rsid w:val="23827496"/>
    <w:rsid w:val="23828173"/>
    <w:rsid w:val="2383AC3D"/>
    <w:rsid w:val="2383EBCD"/>
    <w:rsid w:val="23847E74"/>
    <w:rsid w:val="2384F3F9"/>
    <w:rsid w:val="23850CB1"/>
    <w:rsid w:val="23853370"/>
    <w:rsid w:val="23853EE4"/>
    <w:rsid w:val="238592D2"/>
    <w:rsid w:val="2385AE69"/>
    <w:rsid w:val="2385AF61"/>
    <w:rsid w:val="2385FD8E"/>
    <w:rsid w:val="238659F8"/>
    <w:rsid w:val="2386C94A"/>
    <w:rsid w:val="2386E52A"/>
    <w:rsid w:val="2387986F"/>
    <w:rsid w:val="2387EFFC"/>
    <w:rsid w:val="2388483C"/>
    <w:rsid w:val="23890289"/>
    <w:rsid w:val="2389A2A0"/>
    <w:rsid w:val="2389B15F"/>
    <w:rsid w:val="238A2774"/>
    <w:rsid w:val="238A4C03"/>
    <w:rsid w:val="238AD82E"/>
    <w:rsid w:val="238B0A6E"/>
    <w:rsid w:val="238C04D3"/>
    <w:rsid w:val="238C4ADB"/>
    <w:rsid w:val="238C6EE3"/>
    <w:rsid w:val="238D265B"/>
    <w:rsid w:val="238D4C53"/>
    <w:rsid w:val="238E1F91"/>
    <w:rsid w:val="238E7652"/>
    <w:rsid w:val="238F3C4A"/>
    <w:rsid w:val="238F7056"/>
    <w:rsid w:val="238F785D"/>
    <w:rsid w:val="238FCD00"/>
    <w:rsid w:val="239026FB"/>
    <w:rsid w:val="23903AAB"/>
    <w:rsid w:val="2390C7DE"/>
    <w:rsid w:val="2390D8DF"/>
    <w:rsid w:val="2390DC6A"/>
    <w:rsid w:val="239114C8"/>
    <w:rsid w:val="23917676"/>
    <w:rsid w:val="23928C79"/>
    <w:rsid w:val="2392DA59"/>
    <w:rsid w:val="2393EB0C"/>
    <w:rsid w:val="23942072"/>
    <w:rsid w:val="2394243F"/>
    <w:rsid w:val="23944CBB"/>
    <w:rsid w:val="23945CC7"/>
    <w:rsid w:val="2394C1E5"/>
    <w:rsid w:val="2394E1BD"/>
    <w:rsid w:val="239696A9"/>
    <w:rsid w:val="2396ADDE"/>
    <w:rsid w:val="2396B5E0"/>
    <w:rsid w:val="2396BCB1"/>
    <w:rsid w:val="2397A01D"/>
    <w:rsid w:val="2397DB22"/>
    <w:rsid w:val="239889B9"/>
    <w:rsid w:val="239889E3"/>
    <w:rsid w:val="23990FB9"/>
    <w:rsid w:val="23991B84"/>
    <w:rsid w:val="23993E7B"/>
    <w:rsid w:val="23996632"/>
    <w:rsid w:val="239A8EDF"/>
    <w:rsid w:val="239D67A3"/>
    <w:rsid w:val="239DD2E5"/>
    <w:rsid w:val="239E032A"/>
    <w:rsid w:val="239E0C66"/>
    <w:rsid w:val="239E5189"/>
    <w:rsid w:val="239EA77B"/>
    <w:rsid w:val="239ECEF6"/>
    <w:rsid w:val="23A0462F"/>
    <w:rsid w:val="23A06358"/>
    <w:rsid w:val="23A09F79"/>
    <w:rsid w:val="23A0FD6E"/>
    <w:rsid w:val="23A19E28"/>
    <w:rsid w:val="23A25D3E"/>
    <w:rsid w:val="23A37403"/>
    <w:rsid w:val="23A3FF7D"/>
    <w:rsid w:val="23A40A70"/>
    <w:rsid w:val="23A44417"/>
    <w:rsid w:val="23A4F0AA"/>
    <w:rsid w:val="23A54C31"/>
    <w:rsid w:val="23A5BA9C"/>
    <w:rsid w:val="23A648DC"/>
    <w:rsid w:val="23A66F31"/>
    <w:rsid w:val="23A6B408"/>
    <w:rsid w:val="23A6BC86"/>
    <w:rsid w:val="23A70810"/>
    <w:rsid w:val="23A74BBD"/>
    <w:rsid w:val="23A769D8"/>
    <w:rsid w:val="23A788BE"/>
    <w:rsid w:val="23A9BC18"/>
    <w:rsid w:val="23AB7300"/>
    <w:rsid w:val="23ABC389"/>
    <w:rsid w:val="23ABCBCC"/>
    <w:rsid w:val="23ABD6DA"/>
    <w:rsid w:val="23AC0851"/>
    <w:rsid w:val="23AC7F94"/>
    <w:rsid w:val="23AC9799"/>
    <w:rsid w:val="23AD0816"/>
    <w:rsid w:val="23AEFE38"/>
    <w:rsid w:val="23AF446F"/>
    <w:rsid w:val="23B0BF96"/>
    <w:rsid w:val="23B0EAEB"/>
    <w:rsid w:val="23B125D2"/>
    <w:rsid w:val="23B1DB42"/>
    <w:rsid w:val="23B207A9"/>
    <w:rsid w:val="23B33816"/>
    <w:rsid w:val="23B36B17"/>
    <w:rsid w:val="23B37FD5"/>
    <w:rsid w:val="23B393EE"/>
    <w:rsid w:val="23B3C342"/>
    <w:rsid w:val="23B3D941"/>
    <w:rsid w:val="23B60390"/>
    <w:rsid w:val="23B62112"/>
    <w:rsid w:val="23B67A2D"/>
    <w:rsid w:val="23B6DCC5"/>
    <w:rsid w:val="23B70128"/>
    <w:rsid w:val="23B71787"/>
    <w:rsid w:val="23B71939"/>
    <w:rsid w:val="23B7F421"/>
    <w:rsid w:val="23B7FE19"/>
    <w:rsid w:val="23B7FE92"/>
    <w:rsid w:val="23B812D1"/>
    <w:rsid w:val="23B8D164"/>
    <w:rsid w:val="23BA627B"/>
    <w:rsid w:val="23BB9E44"/>
    <w:rsid w:val="23BBE8FF"/>
    <w:rsid w:val="23BBF766"/>
    <w:rsid w:val="23BD21A6"/>
    <w:rsid w:val="23BE39B7"/>
    <w:rsid w:val="23BE5304"/>
    <w:rsid w:val="23BE57EF"/>
    <w:rsid w:val="23BFA979"/>
    <w:rsid w:val="23C07403"/>
    <w:rsid w:val="23C204A7"/>
    <w:rsid w:val="23C2730C"/>
    <w:rsid w:val="23C2B784"/>
    <w:rsid w:val="23C2F0A2"/>
    <w:rsid w:val="23C2FBF7"/>
    <w:rsid w:val="23C3607D"/>
    <w:rsid w:val="23C3668C"/>
    <w:rsid w:val="23C39618"/>
    <w:rsid w:val="23C3A235"/>
    <w:rsid w:val="23C599D4"/>
    <w:rsid w:val="23C6A726"/>
    <w:rsid w:val="23C6ECE9"/>
    <w:rsid w:val="23C726AC"/>
    <w:rsid w:val="23C77113"/>
    <w:rsid w:val="23C86172"/>
    <w:rsid w:val="23C865BD"/>
    <w:rsid w:val="23C8E173"/>
    <w:rsid w:val="23C90DEC"/>
    <w:rsid w:val="23C9260F"/>
    <w:rsid w:val="23C92824"/>
    <w:rsid w:val="23C9A972"/>
    <w:rsid w:val="23CA0B75"/>
    <w:rsid w:val="23CB7B37"/>
    <w:rsid w:val="23CBCC00"/>
    <w:rsid w:val="23CC1695"/>
    <w:rsid w:val="23CCC832"/>
    <w:rsid w:val="23CDFD92"/>
    <w:rsid w:val="23CE949F"/>
    <w:rsid w:val="23CECDA4"/>
    <w:rsid w:val="23CF1581"/>
    <w:rsid w:val="23CF1FD8"/>
    <w:rsid w:val="23D0738B"/>
    <w:rsid w:val="23D087CD"/>
    <w:rsid w:val="23D1A8FB"/>
    <w:rsid w:val="23D20852"/>
    <w:rsid w:val="23D32E0C"/>
    <w:rsid w:val="23D41938"/>
    <w:rsid w:val="23D470C6"/>
    <w:rsid w:val="23D4A741"/>
    <w:rsid w:val="23D4E9AC"/>
    <w:rsid w:val="23D5146D"/>
    <w:rsid w:val="23D56CF8"/>
    <w:rsid w:val="23D83A9E"/>
    <w:rsid w:val="23D949DC"/>
    <w:rsid w:val="23D9648D"/>
    <w:rsid w:val="23DA37FF"/>
    <w:rsid w:val="23DAB2E6"/>
    <w:rsid w:val="23DB0A55"/>
    <w:rsid w:val="23DB64D1"/>
    <w:rsid w:val="23DB6AD3"/>
    <w:rsid w:val="23DC253E"/>
    <w:rsid w:val="23DC599D"/>
    <w:rsid w:val="23DE7269"/>
    <w:rsid w:val="23DEB5CE"/>
    <w:rsid w:val="23DEE29B"/>
    <w:rsid w:val="23E0335A"/>
    <w:rsid w:val="23E03D9D"/>
    <w:rsid w:val="23E14F6B"/>
    <w:rsid w:val="23E16582"/>
    <w:rsid w:val="23E18396"/>
    <w:rsid w:val="23E263FC"/>
    <w:rsid w:val="23E39649"/>
    <w:rsid w:val="23E45C6F"/>
    <w:rsid w:val="23E4D082"/>
    <w:rsid w:val="23E5394A"/>
    <w:rsid w:val="23E5BE09"/>
    <w:rsid w:val="23E6EB88"/>
    <w:rsid w:val="23E71DE8"/>
    <w:rsid w:val="23E7EE95"/>
    <w:rsid w:val="23E8DF53"/>
    <w:rsid w:val="23E91066"/>
    <w:rsid w:val="23E9645F"/>
    <w:rsid w:val="23E9BC12"/>
    <w:rsid w:val="23EA8BD4"/>
    <w:rsid w:val="23EAA864"/>
    <w:rsid w:val="23EB159B"/>
    <w:rsid w:val="23EB8A28"/>
    <w:rsid w:val="23EBCB38"/>
    <w:rsid w:val="23EBE407"/>
    <w:rsid w:val="23ECADA1"/>
    <w:rsid w:val="23ED132C"/>
    <w:rsid w:val="23ED4A4F"/>
    <w:rsid w:val="23EDB2DA"/>
    <w:rsid w:val="23EDBDC7"/>
    <w:rsid w:val="23EDCF9E"/>
    <w:rsid w:val="23EE3E7C"/>
    <w:rsid w:val="23EE7EE3"/>
    <w:rsid w:val="23EE9189"/>
    <w:rsid w:val="23EE9581"/>
    <w:rsid w:val="23EFBD8B"/>
    <w:rsid w:val="23F04EE6"/>
    <w:rsid w:val="23F0CFAF"/>
    <w:rsid w:val="23F1B58B"/>
    <w:rsid w:val="23F24793"/>
    <w:rsid w:val="23F2890E"/>
    <w:rsid w:val="23F304FD"/>
    <w:rsid w:val="23F39F95"/>
    <w:rsid w:val="23F3C58D"/>
    <w:rsid w:val="23F3D057"/>
    <w:rsid w:val="23F44D76"/>
    <w:rsid w:val="23F48351"/>
    <w:rsid w:val="23F627E0"/>
    <w:rsid w:val="23F631AD"/>
    <w:rsid w:val="23F7128A"/>
    <w:rsid w:val="23F7ACDA"/>
    <w:rsid w:val="23F7B086"/>
    <w:rsid w:val="23F7FA6C"/>
    <w:rsid w:val="23F8C2DD"/>
    <w:rsid w:val="23F8DB9B"/>
    <w:rsid w:val="23F9988F"/>
    <w:rsid w:val="23FAD17D"/>
    <w:rsid w:val="23FB3300"/>
    <w:rsid w:val="23FBA608"/>
    <w:rsid w:val="23FBBCA2"/>
    <w:rsid w:val="23FBD8D2"/>
    <w:rsid w:val="23FBF4EB"/>
    <w:rsid w:val="23FC5B5A"/>
    <w:rsid w:val="23FCCFCE"/>
    <w:rsid w:val="23FDBC8B"/>
    <w:rsid w:val="23FDE978"/>
    <w:rsid w:val="23FE4A97"/>
    <w:rsid w:val="23FE739B"/>
    <w:rsid w:val="23FEA47F"/>
    <w:rsid w:val="23FEAD3F"/>
    <w:rsid w:val="23FF3E2D"/>
    <w:rsid w:val="23FF57E4"/>
    <w:rsid w:val="23FF6A38"/>
    <w:rsid w:val="23FFC757"/>
    <w:rsid w:val="23FFCA7D"/>
    <w:rsid w:val="24002647"/>
    <w:rsid w:val="2400B79A"/>
    <w:rsid w:val="2400FF89"/>
    <w:rsid w:val="24017B0C"/>
    <w:rsid w:val="2401DDE6"/>
    <w:rsid w:val="24028EBD"/>
    <w:rsid w:val="2402DD8A"/>
    <w:rsid w:val="24033C07"/>
    <w:rsid w:val="24035A77"/>
    <w:rsid w:val="2404CC8F"/>
    <w:rsid w:val="24054B33"/>
    <w:rsid w:val="24063BBE"/>
    <w:rsid w:val="24064E42"/>
    <w:rsid w:val="2406F95B"/>
    <w:rsid w:val="2407DA29"/>
    <w:rsid w:val="24094017"/>
    <w:rsid w:val="240A5DE6"/>
    <w:rsid w:val="240A8FE3"/>
    <w:rsid w:val="240AD10B"/>
    <w:rsid w:val="240B18B8"/>
    <w:rsid w:val="240C59FF"/>
    <w:rsid w:val="240CD5FC"/>
    <w:rsid w:val="240D24A6"/>
    <w:rsid w:val="240DBE2D"/>
    <w:rsid w:val="240E5C76"/>
    <w:rsid w:val="24101D57"/>
    <w:rsid w:val="2411268D"/>
    <w:rsid w:val="24114263"/>
    <w:rsid w:val="2411A9D6"/>
    <w:rsid w:val="24120377"/>
    <w:rsid w:val="24126679"/>
    <w:rsid w:val="24128B50"/>
    <w:rsid w:val="2413648E"/>
    <w:rsid w:val="2413C17E"/>
    <w:rsid w:val="2413F741"/>
    <w:rsid w:val="241498A5"/>
    <w:rsid w:val="24157486"/>
    <w:rsid w:val="2415E082"/>
    <w:rsid w:val="24161677"/>
    <w:rsid w:val="24163371"/>
    <w:rsid w:val="24166976"/>
    <w:rsid w:val="2416C429"/>
    <w:rsid w:val="2416F098"/>
    <w:rsid w:val="24176715"/>
    <w:rsid w:val="2417DFD8"/>
    <w:rsid w:val="2417F275"/>
    <w:rsid w:val="241873D0"/>
    <w:rsid w:val="2418C947"/>
    <w:rsid w:val="2418CE92"/>
    <w:rsid w:val="24193051"/>
    <w:rsid w:val="241A7EAE"/>
    <w:rsid w:val="241A833E"/>
    <w:rsid w:val="241AD360"/>
    <w:rsid w:val="241AE45C"/>
    <w:rsid w:val="241B932B"/>
    <w:rsid w:val="241B96B7"/>
    <w:rsid w:val="241BBC7C"/>
    <w:rsid w:val="241BC716"/>
    <w:rsid w:val="241C1C5D"/>
    <w:rsid w:val="241CD673"/>
    <w:rsid w:val="241D1860"/>
    <w:rsid w:val="241D97A5"/>
    <w:rsid w:val="241F4BC6"/>
    <w:rsid w:val="241F6289"/>
    <w:rsid w:val="241FA36A"/>
    <w:rsid w:val="241FB88B"/>
    <w:rsid w:val="242107DB"/>
    <w:rsid w:val="2421CA21"/>
    <w:rsid w:val="2421EEBB"/>
    <w:rsid w:val="24226C39"/>
    <w:rsid w:val="24227688"/>
    <w:rsid w:val="2423AD41"/>
    <w:rsid w:val="24244D4E"/>
    <w:rsid w:val="24245A1C"/>
    <w:rsid w:val="2424A26E"/>
    <w:rsid w:val="2424AB2A"/>
    <w:rsid w:val="2424D581"/>
    <w:rsid w:val="2424F89A"/>
    <w:rsid w:val="242668C7"/>
    <w:rsid w:val="2426C7E3"/>
    <w:rsid w:val="2427126F"/>
    <w:rsid w:val="2427FB8F"/>
    <w:rsid w:val="242808F6"/>
    <w:rsid w:val="242850F0"/>
    <w:rsid w:val="2428B598"/>
    <w:rsid w:val="242916F6"/>
    <w:rsid w:val="24291941"/>
    <w:rsid w:val="2429649D"/>
    <w:rsid w:val="2429FBF0"/>
    <w:rsid w:val="242A569D"/>
    <w:rsid w:val="242AD480"/>
    <w:rsid w:val="242AE791"/>
    <w:rsid w:val="242B0E33"/>
    <w:rsid w:val="242BCF69"/>
    <w:rsid w:val="242BF0CE"/>
    <w:rsid w:val="242C2D26"/>
    <w:rsid w:val="242CDAC6"/>
    <w:rsid w:val="242CE619"/>
    <w:rsid w:val="242D4CA6"/>
    <w:rsid w:val="242D7B2A"/>
    <w:rsid w:val="242DFB3E"/>
    <w:rsid w:val="242E02A0"/>
    <w:rsid w:val="242E7418"/>
    <w:rsid w:val="242F2252"/>
    <w:rsid w:val="242F5417"/>
    <w:rsid w:val="2430434D"/>
    <w:rsid w:val="2430D644"/>
    <w:rsid w:val="24318377"/>
    <w:rsid w:val="2431CA8A"/>
    <w:rsid w:val="24322090"/>
    <w:rsid w:val="243306AB"/>
    <w:rsid w:val="24336988"/>
    <w:rsid w:val="243369F7"/>
    <w:rsid w:val="2433E0DE"/>
    <w:rsid w:val="2433FE22"/>
    <w:rsid w:val="24347291"/>
    <w:rsid w:val="24350BD5"/>
    <w:rsid w:val="2435B1CE"/>
    <w:rsid w:val="2438AD06"/>
    <w:rsid w:val="2439454F"/>
    <w:rsid w:val="24399F7C"/>
    <w:rsid w:val="243AEB22"/>
    <w:rsid w:val="243C291F"/>
    <w:rsid w:val="243C5257"/>
    <w:rsid w:val="243CA1AA"/>
    <w:rsid w:val="243D3051"/>
    <w:rsid w:val="243D32EC"/>
    <w:rsid w:val="243D82FA"/>
    <w:rsid w:val="243E00D1"/>
    <w:rsid w:val="243E6EE3"/>
    <w:rsid w:val="243EB632"/>
    <w:rsid w:val="243EC0E6"/>
    <w:rsid w:val="243F49E7"/>
    <w:rsid w:val="2441153D"/>
    <w:rsid w:val="2441B4CF"/>
    <w:rsid w:val="2441DCD7"/>
    <w:rsid w:val="24427914"/>
    <w:rsid w:val="24428005"/>
    <w:rsid w:val="24435202"/>
    <w:rsid w:val="24442503"/>
    <w:rsid w:val="2444BB00"/>
    <w:rsid w:val="24452308"/>
    <w:rsid w:val="24456E4D"/>
    <w:rsid w:val="244726F9"/>
    <w:rsid w:val="24474E76"/>
    <w:rsid w:val="244768EA"/>
    <w:rsid w:val="2447C1F2"/>
    <w:rsid w:val="2448D210"/>
    <w:rsid w:val="24498345"/>
    <w:rsid w:val="24499183"/>
    <w:rsid w:val="2449965C"/>
    <w:rsid w:val="244BE059"/>
    <w:rsid w:val="244D55BA"/>
    <w:rsid w:val="244D5EA3"/>
    <w:rsid w:val="244D98F6"/>
    <w:rsid w:val="244E1298"/>
    <w:rsid w:val="244E274D"/>
    <w:rsid w:val="244F4029"/>
    <w:rsid w:val="244F5C13"/>
    <w:rsid w:val="244FE9EF"/>
    <w:rsid w:val="244FF0F3"/>
    <w:rsid w:val="24506DDD"/>
    <w:rsid w:val="2450C001"/>
    <w:rsid w:val="24522CBE"/>
    <w:rsid w:val="245285DE"/>
    <w:rsid w:val="2452BA35"/>
    <w:rsid w:val="24536BBF"/>
    <w:rsid w:val="2453B713"/>
    <w:rsid w:val="2453E258"/>
    <w:rsid w:val="24550FB8"/>
    <w:rsid w:val="24554CCD"/>
    <w:rsid w:val="245579B1"/>
    <w:rsid w:val="2456DB6B"/>
    <w:rsid w:val="2456FD7B"/>
    <w:rsid w:val="2456FE99"/>
    <w:rsid w:val="24570C72"/>
    <w:rsid w:val="24574CFF"/>
    <w:rsid w:val="24578FFE"/>
    <w:rsid w:val="2457D311"/>
    <w:rsid w:val="24584FF3"/>
    <w:rsid w:val="24587123"/>
    <w:rsid w:val="2458D2E5"/>
    <w:rsid w:val="2459CCBB"/>
    <w:rsid w:val="2459EEBB"/>
    <w:rsid w:val="245A3F72"/>
    <w:rsid w:val="245A5E33"/>
    <w:rsid w:val="245B7CD1"/>
    <w:rsid w:val="245BB808"/>
    <w:rsid w:val="245BD8DA"/>
    <w:rsid w:val="245CE0E6"/>
    <w:rsid w:val="245D1D56"/>
    <w:rsid w:val="245D6248"/>
    <w:rsid w:val="245DCA25"/>
    <w:rsid w:val="245E9353"/>
    <w:rsid w:val="245EA353"/>
    <w:rsid w:val="245EBBE9"/>
    <w:rsid w:val="245F1EAE"/>
    <w:rsid w:val="245F4722"/>
    <w:rsid w:val="245FC8D1"/>
    <w:rsid w:val="24608513"/>
    <w:rsid w:val="24615473"/>
    <w:rsid w:val="24633D4F"/>
    <w:rsid w:val="2463E147"/>
    <w:rsid w:val="246503A5"/>
    <w:rsid w:val="2465A027"/>
    <w:rsid w:val="2465B294"/>
    <w:rsid w:val="2465CD1F"/>
    <w:rsid w:val="2465E277"/>
    <w:rsid w:val="246630AC"/>
    <w:rsid w:val="24665DA8"/>
    <w:rsid w:val="2466BFF9"/>
    <w:rsid w:val="2467E08E"/>
    <w:rsid w:val="2468A99F"/>
    <w:rsid w:val="2468AF77"/>
    <w:rsid w:val="24698F67"/>
    <w:rsid w:val="2469ABC8"/>
    <w:rsid w:val="2469C22A"/>
    <w:rsid w:val="2469EA46"/>
    <w:rsid w:val="2469FBE1"/>
    <w:rsid w:val="246A817C"/>
    <w:rsid w:val="246B0E9F"/>
    <w:rsid w:val="246B95FF"/>
    <w:rsid w:val="246C3104"/>
    <w:rsid w:val="246C54D2"/>
    <w:rsid w:val="246D4B85"/>
    <w:rsid w:val="246E45C9"/>
    <w:rsid w:val="246E6164"/>
    <w:rsid w:val="246FFA35"/>
    <w:rsid w:val="24702F65"/>
    <w:rsid w:val="24704C3C"/>
    <w:rsid w:val="2471C1F1"/>
    <w:rsid w:val="2471ED56"/>
    <w:rsid w:val="2471F674"/>
    <w:rsid w:val="2471F8DD"/>
    <w:rsid w:val="24722BDB"/>
    <w:rsid w:val="24726788"/>
    <w:rsid w:val="24729D8E"/>
    <w:rsid w:val="24731DBA"/>
    <w:rsid w:val="2474EC7E"/>
    <w:rsid w:val="2475EBCA"/>
    <w:rsid w:val="24766CD5"/>
    <w:rsid w:val="2477A5F3"/>
    <w:rsid w:val="2479DEEC"/>
    <w:rsid w:val="2479E00C"/>
    <w:rsid w:val="247B38C2"/>
    <w:rsid w:val="247B4292"/>
    <w:rsid w:val="247BD925"/>
    <w:rsid w:val="247BE601"/>
    <w:rsid w:val="247BFA6D"/>
    <w:rsid w:val="247C3D2A"/>
    <w:rsid w:val="247C457D"/>
    <w:rsid w:val="247C6354"/>
    <w:rsid w:val="247CF698"/>
    <w:rsid w:val="247E1C79"/>
    <w:rsid w:val="247EF41D"/>
    <w:rsid w:val="247F0C4B"/>
    <w:rsid w:val="247F285E"/>
    <w:rsid w:val="247F5027"/>
    <w:rsid w:val="247F71B2"/>
    <w:rsid w:val="247F78A2"/>
    <w:rsid w:val="24800C3C"/>
    <w:rsid w:val="24818162"/>
    <w:rsid w:val="2481F7E0"/>
    <w:rsid w:val="24828EE3"/>
    <w:rsid w:val="24830B08"/>
    <w:rsid w:val="248337B1"/>
    <w:rsid w:val="24834806"/>
    <w:rsid w:val="2483BC32"/>
    <w:rsid w:val="2483CBFF"/>
    <w:rsid w:val="24856938"/>
    <w:rsid w:val="2485828D"/>
    <w:rsid w:val="248587A0"/>
    <w:rsid w:val="2486DB3B"/>
    <w:rsid w:val="248745BB"/>
    <w:rsid w:val="24880769"/>
    <w:rsid w:val="24888833"/>
    <w:rsid w:val="2488DA45"/>
    <w:rsid w:val="248973E6"/>
    <w:rsid w:val="24897F1C"/>
    <w:rsid w:val="2489F979"/>
    <w:rsid w:val="248AF345"/>
    <w:rsid w:val="248BCF9F"/>
    <w:rsid w:val="248BE13B"/>
    <w:rsid w:val="248D5B9F"/>
    <w:rsid w:val="248DC95B"/>
    <w:rsid w:val="248E9AD1"/>
    <w:rsid w:val="2490B34F"/>
    <w:rsid w:val="24924C19"/>
    <w:rsid w:val="24927327"/>
    <w:rsid w:val="24927CA8"/>
    <w:rsid w:val="24927D66"/>
    <w:rsid w:val="2492A8CD"/>
    <w:rsid w:val="2492DEAE"/>
    <w:rsid w:val="2492FA90"/>
    <w:rsid w:val="24934B1F"/>
    <w:rsid w:val="2493CD24"/>
    <w:rsid w:val="2493DD37"/>
    <w:rsid w:val="2494DCDA"/>
    <w:rsid w:val="249546C9"/>
    <w:rsid w:val="249548C1"/>
    <w:rsid w:val="24957183"/>
    <w:rsid w:val="2495B895"/>
    <w:rsid w:val="2495CDBA"/>
    <w:rsid w:val="249697FF"/>
    <w:rsid w:val="24976792"/>
    <w:rsid w:val="249792CE"/>
    <w:rsid w:val="24981574"/>
    <w:rsid w:val="24981B50"/>
    <w:rsid w:val="2498BF05"/>
    <w:rsid w:val="249907F9"/>
    <w:rsid w:val="249AB484"/>
    <w:rsid w:val="249AC5C7"/>
    <w:rsid w:val="249B1CC1"/>
    <w:rsid w:val="249B3BB9"/>
    <w:rsid w:val="249CD153"/>
    <w:rsid w:val="249D753D"/>
    <w:rsid w:val="249D8F67"/>
    <w:rsid w:val="249DF6B9"/>
    <w:rsid w:val="249F85FE"/>
    <w:rsid w:val="249FB707"/>
    <w:rsid w:val="249FF831"/>
    <w:rsid w:val="249FFDD1"/>
    <w:rsid w:val="24A0C395"/>
    <w:rsid w:val="24A0EC54"/>
    <w:rsid w:val="24A0FE1B"/>
    <w:rsid w:val="24A256CE"/>
    <w:rsid w:val="24A28A3D"/>
    <w:rsid w:val="24A319E4"/>
    <w:rsid w:val="24A39CF0"/>
    <w:rsid w:val="24A3B30C"/>
    <w:rsid w:val="24A41733"/>
    <w:rsid w:val="24A489C9"/>
    <w:rsid w:val="24A52186"/>
    <w:rsid w:val="24A52355"/>
    <w:rsid w:val="24A5712E"/>
    <w:rsid w:val="24A59684"/>
    <w:rsid w:val="24A5C023"/>
    <w:rsid w:val="24A69ACC"/>
    <w:rsid w:val="24A6A778"/>
    <w:rsid w:val="24A6C908"/>
    <w:rsid w:val="24A6ED69"/>
    <w:rsid w:val="24A6EEBD"/>
    <w:rsid w:val="24A79097"/>
    <w:rsid w:val="24A816B3"/>
    <w:rsid w:val="24A9A173"/>
    <w:rsid w:val="24A9FBBC"/>
    <w:rsid w:val="24AA6FD4"/>
    <w:rsid w:val="24AAF4CA"/>
    <w:rsid w:val="24AC4883"/>
    <w:rsid w:val="24AC73E3"/>
    <w:rsid w:val="24AC791F"/>
    <w:rsid w:val="24ACF17D"/>
    <w:rsid w:val="24AD3529"/>
    <w:rsid w:val="24ADB0F0"/>
    <w:rsid w:val="24AECB54"/>
    <w:rsid w:val="24AF8C13"/>
    <w:rsid w:val="24B0264A"/>
    <w:rsid w:val="24B051A4"/>
    <w:rsid w:val="24B07898"/>
    <w:rsid w:val="24B0AC9E"/>
    <w:rsid w:val="24B0EF29"/>
    <w:rsid w:val="24B13CE7"/>
    <w:rsid w:val="24B1C2CB"/>
    <w:rsid w:val="24B22D66"/>
    <w:rsid w:val="24B31CAC"/>
    <w:rsid w:val="24B3DDB7"/>
    <w:rsid w:val="24B46003"/>
    <w:rsid w:val="24B4C7CD"/>
    <w:rsid w:val="24B4EF81"/>
    <w:rsid w:val="24B51CE6"/>
    <w:rsid w:val="24B5E879"/>
    <w:rsid w:val="24B60A50"/>
    <w:rsid w:val="24B63D94"/>
    <w:rsid w:val="24B762BE"/>
    <w:rsid w:val="24B76635"/>
    <w:rsid w:val="24B76942"/>
    <w:rsid w:val="24B7A270"/>
    <w:rsid w:val="24B7F907"/>
    <w:rsid w:val="24B81408"/>
    <w:rsid w:val="24B8249F"/>
    <w:rsid w:val="24B85126"/>
    <w:rsid w:val="24B873D6"/>
    <w:rsid w:val="24B9748C"/>
    <w:rsid w:val="24B9DF1E"/>
    <w:rsid w:val="24BA70E8"/>
    <w:rsid w:val="24BB19C9"/>
    <w:rsid w:val="24BB2E0D"/>
    <w:rsid w:val="24BB9B10"/>
    <w:rsid w:val="24BC32B8"/>
    <w:rsid w:val="24BC493A"/>
    <w:rsid w:val="24BC5FF0"/>
    <w:rsid w:val="24BC6C41"/>
    <w:rsid w:val="24BCF576"/>
    <w:rsid w:val="24BCFB52"/>
    <w:rsid w:val="24BD595E"/>
    <w:rsid w:val="24BDB65A"/>
    <w:rsid w:val="24BE4ACD"/>
    <w:rsid w:val="24BE5058"/>
    <w:rsid w:val="24BE5DE9"/>
    <w:rsid w:val="24BEB016"/>
    <w:rsid w:val="24BEC29A"/>
    <w:rsid w:val="24BF96A0"/>
    <w:rsid w:val="24BFFDDF"/>
    <w:rsid w:val="24C12174"/>
    <w:rsid w:val="24C13E6B"/>
    <w:rsid w:val="24C16AD0"/>
    <w:rsid w:val="24C180BC"/>
    <w:rsid w:val="24C1A6D2"/>
    <w:rsid w:val="24C26DE7"/>
    <w:rsid w:val="24C29F8B"/>
    <w:rsid w:val="24C38FFC"/>
    <w:rsid w:val="24C40EA9"/>
    <w:rsid w:val="24C441BA"/>
    <w:rsid w:val="24C54810"/>
    <w:rsid w:val="24C578D6"/>
    <w:rsid w:val="24C5B805"/>
    <w:rsid w:val="24C5B9FC"/>
    <w:rsid w:val="24C6A890"/>
    <w:rsid w:val="24C6BA20"/>
    <w:rsid w:val="24C8012F"/>
    <w:rsid w:val="24C86B86"/>
    <w:rsid w:val="24C90D72"/>
    <w:rsid w:val="24C92076"/>
    <w:rsid w:val="24C9CBF0"/>
    <w:rsid w:val="24C9D864"/>
    <w:rsid w:val="24CA830E"/>
    <w:rsid w:val="24CD325D"/>
    <w:rsid w:val="24CD81A0"/>
    <w:rsid w:val="24CD8F48"/>
    <w:rsid w:val="24CDB550"/>
    <w:rsid w:val="24CDC727"/>
    <w:rsid w:val="24CDF88B"/>
    <w:rsid w:val="24CF10D8"/>
    <w:rsid w:val="24CF21D4"/>
    <w:rsid w:val="24D03426"/>
    <w:rsid w:val="24D0C0B7"/>
    <w:rsid w:val="24D19FFE"/>
    <w:rsid w:val="24D1B58F"/>
    <w:rsid w:val="24D1CEA8"/>
    <w:rsid w:val="24D2E4A2"/>
    <w:rsid w:val="24D56778"/>
    <w:rsid w:val="24D5A192"/>
    <w:rsid w:val="24D5BB64"/>
    <w:rsid w:val="24D5CFA3"/>
    <w:rsid w:val="24D61FB7"/>
    <w:rsid w:val="24D85599"/>
    <w:rsid w:val="24D8B493"/>
    <w:rsid w:val="24D95022"/>
    <w:rsid w:val="24DA2F7F"/>
    <w:rsid w:val="24DA41A1"/>
    <w:rsid w:val="24DB6255"/>
    <w:rsid w:val="24DB84CD"/>
    <w:rsid w:val="24DC82A9"/>
    <w:rsid w:val="24DCACCF"/>
    <w:rsid w:val="24DE6EB0"/>
    <w:rsid w:val="24DF3783"/>
    <w:rsid w:val="24DF9E54"/>
    <w:rsid w:val="24DFA965"/>
    <w:rsid w:val="24E0547A"/>
    <w:rsid w:val="24E0B669"/>
    <w:rsid w:val="24E0E884"/>
    <w:rsid w:val="24E15C20"/>
    <w:rsid w:val="24E165D7"/>
    <w:rsid w:val="24E1992E"/>
    <w:rsid w:val="24E1C613"/>
    <w:rsid w:val="24E20C75"/>
    <w:rsid w:val="24E2CBCE"/>
    <w:rsid w:val="24E33015"/>
    <w:rsid w:val="24E35187"/>
    <w:rsid w:val="24E381DE"/>
    <w:rsid w:val="24E4056A"/>
    <w:rsid w:val="24E45827"/>
    <w:rsid w:val="24E51E6E"/>
    <w:rsid w:val="24E6319D"/>
    <w:rsid w:val="24E656EC"/>
    <w:rsid w:val="24E6E8AB"/>
    <w:rsid w:val="24E79DBA"/>
    <w:rsid w:val="24E85B53"/>
    <w:rsid w:val="24E8CDC9"/>
    <w:rsid w:val="24EA4207"/>
    <w:rsid w:val="24EA8173"/>
    <w:rsid w:val="24EB0922"/>
    <w:rsid w:val="24EBB09A"/>
    <w:rsid w:val="24EC84EC"/>
    <w:rsid w:val="24EC8D7A"/>
    <w:rsid w:val="24ECB111"/>
    <w:rsid w:val="24ECEACF"/>
    <w:rsid w:val="24ECF709"/>
    <w:rsid w:val="24ED514B"/>
    <w:rsid w:val="24ED7345"/>
    <w:rsid w:val="24EE673A"/>
    <w:rsid w:val="24EEC3C7"/>
    <w:rsid w:val="24EFA00E"/>
    <w:rsid w:val="24F015F6"/>
    <w:rsid w:val="24F02B46"/>
    <w:rsid w:val="24F0DD64"/>
    <w:rsid w:val="24F11501"/>
    <w:rsid w:val="24F190FC"/>
    <w:rsid w:val="24F29E65"/>
    <w:rsid w:val="24F307D2"/>
    <w:rsid w:val="24F40D08"/>
    <w:rsid w:val="24F4519C"/>
    <w:rsid w:val="24F4B597"/>
    <w:rsid w:val="24F54676"/>
    <w:rsid w:val="24F57A81"/>
    <w:rsid w:val="24F5C496"/>
    <w:rsid w:val="24F5DABB"/>
    <w:rsid w:val="24F60E9C"/>
    <w:rsid w:val="24F74381"/>
    <w:rsid w:val="24F76374"/>
    <w:rsid w:val="24F7E968"/>
    <w:rsid w:val="24F8681C"/>
    <w:rsid w:val="24F91B81"/>
    <w:rsid w:val="24F96328"/>
    <w:rsid w:val="24F987BC"/>
    <w:rsid w:val="24FA0AFE"/>
    <w:rsid w:val="24FA1635"/>
    <w:rsid w:val="24FA8FDD"/>
    <w:rsid w:val="24FA9F59"/>
    <w:rsid w:val="24FACC56"/>
    <w:rsid w:val="24FBE100"/>
    <w:rsid w:val="24FBF02B"/>
    <w:rsid w:val="24FC3F2F"/>
    <w:rsid w:val="24FDDC7E"/>
    <w:rsid w:val="24FE2586"/>
    <w:rsid w:val="24FEE54D"/>
    <w:rsid w:val="24FEEA49"/>
    <w:rsid w:val="24FFB31A"/>
    <w:rsid w:val="250008F6"/>
    <w:rsid w:val="250020F9"/>
    <w:rsid w:val="25003793"/>
    <w:rsid w:val="2500A027"/>
    <w:rsid w:val="25020C46"/>
    <w:rsid w:val="25025983"/>
    <w:rsid w:val="25025DD0"/>
    <w:rsid w:val="2503B15C"/>
    <w:rsid w:val="2503CCB5"/>
    <w:rsid w:val="2503F62D"/>
    <w:rsid w:val="2504B9A1"/>
    <w:rsid w:val="2504F401"/>
    <w:rsid w:val="25050271"/>
    <w:rsid w:val="250541E3"/>
    <w:rsid w:val="25060EC5"/>
    <w:rsid w:val="25075B64"/>
    <w:rsid w:val="25076657"/>
    <w:rsid w:val="2508956C"/>
    <w:rsid w:val="2508DCE8"/>
    <w:rsid w:val="2509504A"/>
    <w:rsid w:val="2509821D"/>
    <w:rsid w:val="250A0656"/>
    <w:rsid w:val="250A5A63"/>
    <w:rsid w:val="250AA66B"/>
    <w:rsid w:val="250AD368"/>
    <w:rsid w:val="250B5716"/>
    <w:rsid w:val="250B6171"/>
    <w:rsid w:val="250BD2CA"/>
    <w:rsid w:val="250C0C44"/>
    <w:rsid w:val="250D6233"/>
    <w:rsid w:val="250D84BE"/>
    <w:rsid w:val="250DD421"/>
    <w:rsid w:val="250DE33C"/>
    <w:rsid w:val="250E0EC3"/>
    <w:rsid w:val="250E489C"/>
    <w:rsid w:val="250F53A3"/>
    <w:rsid w:val="250F5FD9"/>
    <w:rsid w:val="2510BDA5"/>
    <w:rsid w:val="251173E6"/>
    <w:rsid w:val="25121E17"/>
    <w:rsid w:val="251226FF"/>
    <w:rsid w:val="25129717"/>
    <w:rsid w:val="2512E4A6"/>
    <w:rsid w:val="2513391B"/>
    <w:rsid w:val="25134B8B"/>
    <w:rsid w:val="2513DB93"/>
    <w:rsid w:val="2514050A"/>
    <w:rsid w:val="25148EE9"/>
    <w:rsid w:val="25156479"/>
    <w:rsid w:val="251627B2"/>
    <w:rsid w:val="2516B041"/>
    <w:rsid w:val="25186E3C"/>
    <w:rsid w:val="2518E7BF"/>
    <w:rsid w:val="25191A45"/>
    <w:rsid w:val="2519B143"/>
    <w:rsid w:val="251A598E"/>
    <w:rsid w:val="251B31B8"/>
    <w:rsid w:val="251C30AB"/>
    <w:rsid w:val="251C56AA"/>
    <w:rsid w:val="251C7E76"/>
    <w:rsid w:val="251CB1B5"/>
    <w:rsid w:val="251CB573"/>
    <w:rsid w:val="251D1CD0"/>
    <w:rsid w:val="251D1E1B"/>
    <w:rsid w:val="251D82C2"/>
    <w:rsid w:val="251F0BB1"/>
    <w:rsid w:val="251F9465"/>
    <w:rsid w:val="25204382"/>
    <w:rsid w:val="252062A5"/>
    <w:rsid w:val="2520EC72"/>
    <w:rsid w:val="2520F47A"/>
    <w:rsid w:val="252194D9"/>
    <w:rsid w:val="2522154F"/>
    <w:rsid w:val="25228033"/>
    <w:rsid w:val="2523298D"/>
    <w:rsid w:val="2523C12A"/>
    <w:rsid w:val="25248FC3"/>
    <w:rsid w:val="25259C81"/>
    <w:rsid w:val="2525E9F8"/>
    <w:rsid w:val="25260426"/>
    <w:rsid w:val="252610D9"/>
    <w:rsid w:val="25261DE3"/>
    <w:rsid w:val="2526D5E3"/>
    <w:rsid w:val="252756DF"/>
    <w:rsid w:val="25275736"/>
    <w:rsid w:val="252762AB"/>
    <w:rsid w:val="2527E923"/>
    <w:rsid w:val="2527F219"/>
    <w:rsid w:val="25287284"/>
    <w:rsid w:val="252872A0"/>
    <w:rsid w:val="252A9830"/>
    <w:rsid w:val="252B1BD7"/>
    <w:rsid w:val="252C1F36"/>
    <w:rsid w:val="252C6B8F"/>
    <w:rsid w:val="252CAA2A"/>
    <w:rsid w:val="252CFACE"/>
    <w:rsid w:val="252D1AE3"/>
    <w:rsid w:val="252DB749"/>
    <w:rsid w:val="252DC56E"/>
    <w:rsid w:val="252DCE1D"/>
    <w:rsid w:val="252E21D9"/>
    <w:rsid w:val="253004A3"/>
    <w:rsid w:val="25300E19"/>
    <w:rsid w:val="2530CB55"/>
    <w:rsid w:val="253148D0"/>
    <w:rsid w:val="2531AB9A"/>
    <w:rsid w:val="2531C2AA"/>
    <w:rsid w:val="2531DC66"/>
    <w:rsid w:val="253299E2"/>
    <w:rsid w:val="25331DA3"/>
    <w:rsid w:val="253321A0"/>
    <w:rsid w:val="25332CFE"/>
    <w:rsid w:val="25339B8A"/>
    <w:rsid w:val="2533FDC9"/>
    <w:rsid w:val="25340983"/>
    <w:rsid w:val="2534F600"/>
    <w:rsid w:val="25353AC9"/>
    <w:rsid w:val="253552BF"/>
    <w:rsid w:val="25358BD0"/>
    <w:rsid w:val="2536C973"/>
    <w:rsid w:val="25370046"/>
    <w:rsid w:val="253732A1"/>
    <w:rsid w:val="253745D0"/>
    <w:rsid w:val="2537A22D"/>
    <w:rsid w:val="2538A5CC"/>
    <w:rsid w:val="25394457"/>
    <w:rsid w:val="2539775A"/>
    <w:rsid w:val="253A6631"/>
    <w:rsid w:val="253AC1BE"/>
    <w:rsid w:val="253B7B20"/>
    <w:rsid w:val="253BD90F"/>
    <w:rsid w:val="253C82F1"/>
    <w:rsid w:val="253D3F62"/>
    <w:rsid w:val="253DE4B8"/>
    <w:rsid w:val="253DE507"/>
    <w:rsid w:val="253E5F5C"/>
    <w:rsid w:val="253F39B6"/>
    <w:rsid w:val="253F7857"/>
    <w:rsid w:val="253F884F"/>
    <w:rsid w:val="2540CE67"/>
    <w:rsid w:val="254115EA"/>
    <w:rsid w:val="25413651"/>
    <w:rsid w:val="25419987"/>
    <w:rsid w:val="25424DD1"/>
    <w:rsid w:val="254288D8"/>
    <w:rsid w:val="254330CE"/>
    <w:rsid w:val="25435A7A"/>
    <w:rsid w:val="2543CB86"/>
    <w:rsid w:val="25448C66"/>
    <w:rsid w:val="2544C334"/>
    <w:rsid w:val="254533A7"/>
    <w:rsid w:val="25457CB6"/>
    <w:rsid w:val="2545A1DA"/>
    <w:rsid w:val="2545DD14"/>
    <w:rsid w:val="2545E33B"/>
    <w:rsid w:val="254616A2"/>
    <w:rsid w:val="2546B8EE"/>
    <w:rsid w:val="2546F2E0"/>
    <w:rsid w:val="25471AEC"/>
    <w:rsid w:val="25472352"/>
    <w:rsid w:val="254798CA"/>
    <w:rsid w:val="25481BD1"/>
    <w:rsid w:val="25483362"/>
    <w:rsid w:val="254872C0"/>
    <w:rsid w:val="2548BB11"/>
    <w:rsid w:val="2548EB70"/>
    <w:rsid w:val="2549E0B5"/>
    <w:rsid w:val="254AB1A5"/>
    <w:rsid w:val="254BAE8A"/>
    <w:rsid w:val="254BC3F2"/>
    <w:rsid w:val="254C388F"/>
    <w:rsid w:val="254D4C75"/>
    <w:rsid w:val="254DD497"/>
    <w:rsid w:val="254E4393"/>
    <w:rsid w:val="254E5121"/>
    <w:rsid w:val="254F1450"/>
    <w:rsid w:val="254F2840"/>
    <w:rsid w:val="254F91F1"/>
    <w:rsid w:val="254FA906"/>
    <w:rsid w:val="2550F5DE"/>
    <w:rsid w:val="25514199"/>
    <w:rsid w:val="2551F632"/>
    <w:rsid w:val="255221E5"/>
    <w:rsid w:val="25547DD0"/>
    <w:rsid w:val="2555F15E"/>
    <w:rsid w:val="25562245"/>
    <w:rsid w:val="25565280"/>
    <w:rsid w:val="255658C4"/>
    <w:rsid w:val="2556723C"/>
    <w:rsid w:val="2557727D"/>
    <w:rsid w:val="25579D5A"/>
    <w:rsid w:val="2558BFAB"/>
    <w:rsid w:val="2559BE6F"/>
    <w:rsid w:val="255A123E"/>
    <w:rsid w:val="255AC462"/>
    <w:rsid w:val="255B6560"/>
    <w:rsid w:val="255B7324"/>
    <w:rsid w:val="255BACA1"/>
    <w:rsid w:val="255CE470"/>
    <w:rsid w:val="255CF9A8"/>
    <w:rsid w:val="255D154D"/>
    <w:rsid w:val="255E66C1"/>
    <w:rsid w:val="255F2CA9"/>
    <w:rsid w:val="255F3E1D"/>
    <w:rsid w:val="2560430C"/>
    <w:rsid w:val="25604A08"/>
    <w:rsid w:val="25604A38"/>
    <w:rsid w:val="2560A6DF"/>
    <w:rsid w:val="2560DA5E"/>
    <w:rsid w:val="25610BC9"/>
    <w:rsid w:val="2561BE57"/>
    <w:rsid w:val="2561D30D"/>
    <w:rsid w:val="25620014"/>
    <w:rsid w:val="2562085F"/>
    <w:rsid w:val="25634F7A"/>
    <w:rsid w:val="2563C191"/>
    <w:rsid w:val="2564C69A"/>
    <w:rsid w:val="2565BF62"/>
    <w:rsid w:val="25665EA2"/>
    <w:rsid w:val="2566AF2A"/>
    <w:rsid w:val="2567AF8D"/>
    <w:rsid w:val="2567DE8D"/>
    <w:rsid w:val="256A25CA"/>
    <w:rsid w:val="256A9A43"/>
    <w:rsid w:val="256B0C16"/>
    <w:rsid w:val="256B57F4"/>
    <w:rsid w:val="256BCD0E"/>
    <w:rsid w:val="256C4C0F"/>
    <w:rsid w:val="256C8D57"/>
    <w:rsid w:val="256D55B8"/>
    <w:rsid w:val="256DA7A7"/>
    <w:rsid w:val="256E2B02"/>
    <w:rsid w:val="256E9148"/>
    <w:rsid w:val="256FF081"/>
    <w:rsid w:val="256FF3E6"/>
    <w:rsid w:val="2570B477"/>
    <w:rsid w:val="25710368"/>
    <w:rsid w:val="25714223"/>
    <w:rsid w:val="2571811C"/>
    <w:rsid w:val="2571DB1F"/>
    <w:rsid w:val="25722ABD"/>
    <w:rsid w:val="25731AC0"/>
    <w:rsid w:val="2573BD8C"/>
    <w:rsid w:val="25745815"/>
    <w:rsid w:val="25747774"/>
    <w:rsid w:val="257484DD"/>
    <w:rsid w:val="2574C188"/>
    <w:rsid w:val="257558F2"/>
    <w:rsid w:val="25759847"/>
    <w:rsid w:val="2575B8C4"/>
    <w:rsid w:val="25771FF7"/>
    <w:rsid w:val="2578AB0B"/>
    <w:rsid w:val="2579E2CB"/>
    <w:rsid w:val="257A0B54"/>
    <w:rsid w:val="257ACDD2"/>
    <w:rsid w:val="257B5763"/>
    <w:rsid w:val="257C6A92"/>
    <w:rsid w:val="257CA3AD"/>
    <w:rsid w:val="257CC87F"/>
    <w:rsid w:val="257CDD27"/>
    <w:rsid w:val="257D37B4"/>
    <w:rsid w:val="257D4CC4"/>
    <w:rsid w:val="257D80C5"/>
    <w:rsid w:val="257DE613"/>
    <w:rsid w:val="257E3CA2"/>
    <w:rsid w:val="257E8479"/>
    <w:rsid w:val="257F4B44"/>
    <w:rsid w:val="257F67C7"/>
    <w:rsid w:val="257FDB03"/>
    <w:rsid w:val="25808311"/>
    <w:rsid w:val="25808FA3"/>
    <w:rsid w:val="2580C1F7"/>
    <w:rsid w:val="25810351"/>
    <w:rsid w:val="258171B9"/>
    <w:rsid w:val="2581F34A"/>
    <w:rsid w:val="2582A551"/>
    <w:rsid w:val="2582C313"/>
    <w:rsid w:val="25839F40"/>
    <w:rsid w:val="25841462"/>
    <w:rsid w:val="25842A66"/>
    <w:rsid w:val="258445DF"/>
    <w:rsid w:val="258477A0"/>
    <w:rsid w:val="2584F46F"/>
    <w:rsid w:val="25852DF5"/>
    <w:rsid w:val="25870810"/>
    <w:rsid w:val="2587C0C4"/>
    <w:rsid w:val="2588F8D7"/>
    <w:rsid w:val="25890FF0"/>
    <w:rsid w:val="258A7393"/>
    <w:rsid w:val="258B9438"/>
    <w:rsid w:val="258C0E8A"/>
    <w:rsid w:val="258C8840"/>
    <w:rsid w:val="258D2558"/>
    <w:rsid w:val="258E82BC"/>
    <w:rsid w:val="258F2020"/>
    <w:rsid w:val="259081F4"/>
    <w:rsid w:val="25918CCD"/>
    <w:rsid w:val="2591A27A"/>
    <w:rsid w:val="2591DC0A"/>
    <w:rsid w:val="259251AF"/>
    <w:rsid w:val="25929120"/>
    <w:rsid w:val="25929631"/>
    <w:rsid w:val="2593E333"/>
    <w:rsid w:val="2593E738"/>
    <w:rsid w:val="2594D40E"/>
    <w:rsid w:val="2594FACF"/>
    <w:rsid w:val="259545EB"/>
    <w:rsid w:val="25954EA8"/>
    <w:rsid w:val="259675C6"/>
    <w:rsid w:val="25968E3B"/>
    <w:rsid w:val="25971CA8"/>
    <w:rsid w:val="25972558"/>
    <w:rsid w:val="2597E92E"/>
    <w:rsid w:val="25980458"/>
    <w:rsid w:val="25988499"/>
    <w:rsid w:val="2598BDDB"/>
    <w:rsid w:val="2598F5C0"/>
    <w:rsid w:val="25995BD9"/>
    <w:rsid w:val="25999F3B"/>
    <w:rsid w:val="2599E2F3"/>
    <w:rsid w:val="259B52C1"/>
    <w:rsid w:val="259B7CD4"/>
    <w:rsid w:val="259C69B4"/>
    <w:rsid w:val="259CEF0F"/>
    <w:rsid w:val="259D3B4A"/>
    <w:rsid w:val="259D977C"/>
    <w:rsid w:val="259E84B7"/>
    <w:rsid w:val="259EE411"/>
    <w:rsid w:val="259F6FC5"/>
    <w:rsid w:val="259FA1FC"/>
    <w:rsid w:val="259FF5C8"/>
    <w:rsid w:val="25A00A1F"/>
    <w:rsid w:val="25A1EF9C"/>
    <w:rsid w:val="25A1F360"/>
    <w:rsid w:val="25A207C1"/>
    <w:rsid w:val="25A2649B"/>
    <w:rsid w:val="25A2CD92"/>
    <w:rsid w:val="25A446CF"/>
    <w:rsid w:val="25A45664"/>
    <w:rsid w:val="25A49C66"/>
    <w:rsid w:val="25A5DDE8"/>
    <w:rsid w:val="25A72DF1"/>
    <w:rsid w:val="25A7EF1B"/>
    <w:rsid w:val="25A8A014"/>
    <w:rsid w:val="25A925CD"/>
    <w:rsid w:val="25A92746"/>
    <w:rsid w:val="25A9DA9F"/>
    <w:rsid w:val="25A9EDD6"/>
    <w:rsid w:val="25A9F525"/>
    <w:rsid w:val="25AA1155"/>
    <w:rsid w:val="25ACC0F6"/>
    <w:rsid w:val="25ADDC17"/>
    <w:rsid w:val="25AE401B"/>
    <w:rsid w:val="25AED061"/>
    <w:rsid w:val="25AF401B"/>
    <w:rsid w:val="25AF570A"/>
    <w:rsid w:val="25AF6F28"/>
    <w:rsid w:val="25AFC4C7"/>
    <w:rsid w:val="25B02FC6"/>
    <w:rsid w:val="25B03CC1"/>
    <w:rsid w:val="25B06150"/>
    <w:rsid w:val="25B24F03"/>
    <w:rsid w:val="25B2B792"/>
    <w:rsid w:val="25B44E43"/>
    <w:rsid w:val="25B4AD5B"/>
    <w:rsid w:val="25B54253"/>
    <w:rsid w:val="25B553F4"/>
    <w:rsid w:val="25B68DAC"/>
    <w:rsid w:val="25B695EC"/>
    <w:rsid w:val="25B6B0CC"/>
    <w:rsid w:val="25B79A1E"/>
    <w:rsid w:val="25B7A6F2"/>
    <w:rsid w:val="25B8CDE6"/>
    <w:rsid w:val="25B8E959"/>
    <w:rsid w:val="25BA4A75"/>
    <w:rsid w:val="25BAA43D"/>
    <w:rsid w:val="25BAD60B"/>
    <w:rsid w:val="25BB4060"/>
    <w:rsid w:val="25BC06E7"/>
    <w:rsid w:val="25BCABB8"/>
    <w:rsid w:val="25BCD468"/>
    <w:rsid w:val="25BCEF6D"/>
    <w:rsid w:val="25BD7F33"/>
    <w:rsid w:val="25BDF4AA"/>
    <w:rsid w:val="25BE1CE3"/>
    <w:rsid w:val="25BF0A88"/>
    <w:rsid w:val="25C06EF6"/>
    <w:rsid w:val="25C0E84F"/>
    <w:rsid w:val="25C1337D"/>
    <w:rsid w:val="25C1F882"/>
    <w:rsid w:val="25C21B5D"/>
    <w:rsid w:val="25C289DA"/>
    <w:rsid w:val="25C30360"/>
    <w:rsid w:val="25C36305"/>
    <w:rsid w:val="25C366A6"/>
    <w:rsid w:val="25C37CC3"/>
    <w:rsid w:val="25C5C354"/>
    <w:rsid w:val="25C60667"/>
    <w:rsid w:val="25C6599C"/>
    <w:rsid w:val="25C6C25E"/>
    <w:rsid w:val="25C76005"/>
    <w:rsid w:val="25C7671C"/>
    <w:rsid w:val="25C78820"/>
    <w:rsid w:val="25C7D71E"/>
    <w:rsid w:val="25C7F8C6"/>
    <w:rsid w:val="25C8CD04"/>
    <w:rsid w:val="25C8D1AB"/>
    <w:rsid w:val="25C909C9"/>
    <w:rsid w:val="25CA1354"/>
    <w:rsid w:val="25CA688F"/>
    <w:rsid w:val="25CA9027"/>
    <w:rsid w:val="25CBECE6"/>
    <w:rsid w:val="25CC09B8"/>
    <w:rsid w:val="25CCA79A"/>
    <w:rsid w:val="25CCBABF"/>
    <w:rsid w:val="25CDAD3E"/>
    <w:rsid w:val="25CDC0B8"/>
    <w:rsid w:val="25CE8809"/>
    <w:rsid w:val="25CEEEB4"/>
    <w:rsid w:val="25CF4F80"/>
    <w:rsid w:val="25CFCE50"/>
    <w:rsid w:val="25CFE3E4"/>
    <w:rsid w:val="25D005E3"/>
    <w:rsid w:val="25D0CFFE"/>
    <w:rsid w:val="25D22456"/>
    <w:rsid w:val="25D22E5F"/>
    <w:rsid w:val="25D65D15"/>
    <w:rsid w:val="25D6AD8B"/>
    <w:rsid w:val="25D6DB39"/>
    <w:rsid w:val="25D7BACE"/>
    <w:rsid w:val="25D85065"/>
    <w:rsid w:val="25D867B3"/>
    <w:rsid w:val="25D8AB1B"/>
    <w:rsid w:val="25D8B62E"/>
    <w:rsid w:val="25D90EC6"/>
    <w:rsid w:val="25D9C039"/>
    <w:rsid w:val="25DA644D"/>
    <w:rsid w:val="25DA6D30"/>
    <w:rsid w:val="25DA950B"/>
    <w:rsid w:val="25DB65DE"/>
    <w:rsid w:val="25DC6185"/>
    <w:rsid w:val="25DC867D"/>
    <w:rsid w:val="25DCA19E"/>
    <w:rsid w:val="25DCE195"/>
    <w:rsid w:val="25DD9EDC"/>
    <w:rsid w:val="25DDDD2E"/>
    <w:rsid w:val="25DEA123"/>
    <w:rsid w:val="25DEC0F2"/>
    <w:rsid w:val="25DEF3FD"/>
    <w:rsid w:val="25DF1288"/>
    <w:rsid w:val="25E0F46F"/>
    <w:rsid w:val="25E19814"/>
    <w:rsid w:val="25E1EFC2"/>
    <w:rsid w:val="25E218CF"/>
    <w:rsid w:val="25E21A85"/>
    <w:rsid w:val="25E24518"/>
    <w:rsid w:val="25E291D0"/>
    <w:rsid w:val="25E2AFCD"/>
    <w:rsid w:val="25E2DA66"/>
    <w:rsid w:val="25E339DA"/>
    <w:rsid w:val="25E35923"/>
    <w:rsid w:val="25E3B76C"/>
    <w:rsid w:val="25E4BB69"/>
    <w:rsid w:val="25E5D484"/>
    <w:rsid w:val="25E7609D"/>
    <w:rsid w:val="25E76158"/>
    <w:rsid w:val="25E80759"/>
    <w:rsid w:val="25E8C26C"/>
    <w:rsid w:val="25E9F3C2"/>
    <w:rsid w:val="25EAA7A3"/>
    <w:rsid w:val="25EAD620"/>
    <w:rsid w:val="25EB332E"/>
    <w:rsid w:val="25EB4430"/>
    <w:rsid w:val="25EB47CA"/>
    <w:rsid w:val="25EC21C4"/>
    <w:rsid w:val="25ECAC7C"/>
    <w:rsid w:val="25EE2755"/>
    <w:rsid w:val="25EE38D7"/>
    <w:rsid w:val="25EF27BC"/>
    <w:rsid w:val="25EF2D81"/>
    <w:rsid w:val="25EF6E24"/>
    <w:rsid w:val="25EFCAD4"/>
    <w:rsid w:val="25F043FA"/>
    <w:rsid w:val="25F09769"/>
    <w:rsid w:val="25F098EE"/>
    <w:rsid w:val="25F28F57"/>
    <w:rsid w:val="25F2DD17"/>
    <w:rsid w:val="25F46C17"/>
    <w:rsid w:val="25F4C8AD"/>
    <w:rsid w:val="25F4E015"/>
    <w:rsid w:val="25F568F2"/>
    <w:rsid w:val="25F600F3"/>
    <w:rsid w:val="25F61F56"/>
    <w:rsid w:val="25F62CFC"/>
    <w:rsid w:val="25F709C1"/>
    <w:rsid w:val="25F867D6"/>
    <w:rsid w:val="25F8B9BD"/>
    <w:rsid w:val="25F8C252"/>
    <w:rsid w:val="25F8F233"/>
    <w:rsid w:val="25F96F23"/>
    <w:rsid w:val="25F9CFED"/>
    <w:rsid w:val="25FA7276"/>
    <w:rsid w:val="25FA8E1B"/>
    <w:rsid w:val="25FB23F4"/>
    <w:rsid w:val="25FB8B16"/>
    <w:rsid w:val="25FBAFEE"/>
    <w:rsid w:val="25FCA50F"/>
    <w:rsid w:val="25FD56EF"/>
    <w:rsid w:val="25FD8564"/>
    <w:rsid w:val="25FE4D0F"/>
    <w:rsid w:val="25FEDFA5"/>
    <w:rsid w:val="25FFA89B"/>
    <w:rsid w:val="26000C45"/>
    <w:rsid w:val="260041C0"/>
    <w:rsid w:val="260055B8"/>
    <w:rsid w:val="260087F0"/>
    <w:rsid w:val="2600ECC9"/>
    <w:rsid w:val="26010253"/>
    <w:rsid w:val="260268D9"/>
    <w:rsid w:val="26026ECC"/>
    <w:rsid w:val="26035DDC"/>
    <w:rsid w:val="260385C5"/>
    <w:rsid w:val="2603B89F"/>
    <w:rsid w:val="26043D58"/>
    <w:rsid w:val="26049543"/>
    <w:rsid w:val="26049D15"/>
    <w:rsid w:val="2605303C"/>
    <w:rsid w:val="2605F038"/>
    <w:rsid w:val="26060EC8"/>
    <w:rsid w:val="26067FEC"/>
    <w:rsid w:val="260692FB"/>
    <w:rsid w:val="260A5282"/>
    <w:rsid w:val="260A86CE"/>
    <w:rsid w:val="260AAD10"/>
    <w:rsid w:val="260AC8F4"/>
    <w:rsid w:val="260B84E6"/>
    <w:rsid w:val="260BE907"/>
    <w:rsid w:val="260C22D2"/>
    <w:rsid w:val="260C5558"/>
    <w:rsid w:val="260CD48C"/>
    <w:rsid w:val="260CF870"/>
    <w:rsid w:val="260D3367"/>
    <w:rsid w:val="260DDE0B"/>
    <w:rsid w:val="260DF699"/>
    <w:rsid w:val="260E8F47"/>
    <w:rsid w:val="260EDC95"/>
    <w:rsid w:val="260F09C6"/>
    <w:rsid w:val="26101CA9"/>
    <w:rsid w:val="26104606"/>
    <w:rsid w:val="2610D175"/>
    <w:rsid w:val="26114B25"/>
    <w:rsid w:val="26119F1D"/>
    <w:rsid w:val="2611C7B8"/>
    <w:rsid w:val="261216D3"/>
    <w:rsid w:val="2612C050"/>
    <w:rsid w:val="26131558"/>
    <w:rsid w:val="2613CA6A"/>
    <w:rsid w:val="2613FD7F"/>
    <w:rsid w:val="26140D9C"/>
    <w:rsid w:val="26143619"/>
    <w:rsid w:val="26144ACC"/>
    <w:rsid w:val="26159169"/>
    <w:rsid w:val="2615A7A9"/>
    <w:rsid w:val="2615A7F5"/>
    <w:rsid w:val="2616F7DA"/>
    <w:rsid w:val="26173E99"/>
    <w:rsid w:val="2618616C"/>
    <w:rsid w:val="2618AEE9"/>
    <w:rsid w:val="2618C962"/>
    <w:rsid w:val="2618F1B7"/>
    <w:rsid w:val="261914E4"/>
    <w:rsid w:val="2619199A"/>
    <w:rsid w:val="26192DF0"/>
    <w:rsid w:val="261A4E91"/>
    <w:rsid w:val="261A8690"/>
    <w:rsid w:val="261A9605"/>
    <w:rsid w:val="261B3906"/>
    <w:rsid w:val="261B6EB0"/>
    <w:rsid w:val="261C3D96"/>
    <w:rsid w:val="261CAB41"/>
    <w:rsid w:val="261CB7A0"/>
    <w:rsid w:val="261EDA2D"/>
    <w:rsid w:val="261EFD32"/>
    <w:rsid w:val="261F798C"/>
    <w:rsid w:val="261FCE80"/>
    <w:rsid w:val="2620F386"/>
    <w:rsid w:val="2620FDFC"/>
    <w:rsid w:val="26218D23"/>
    <w:rsid w:val="2621B36A"/>
    <w:rsid w:val="262248E1"/>
    <w:rsid w:val="26224DDE"/>
    <w:rsid w:val="262321E8"/>
    <w:rsid w:val="26236F85"/>
    <w:rsid w:val="2623C7B6"/>
    <w:rsid w:val="2623FE69"/>
    <w:rsid w:val="2624B5B8"/>
    <w:rsid w:val="2625B38C"/>
    <w:rsid w:val="262693C2"/>
    <w:rsid w:val="2627BCA4"/>
    <w:rsid w:val="26280EA8"/>
    <w:rsid w:val="26284E72"/>
    <w:rsid w:val="2628F95A"/>
    <w:rsid w:val="26294855"/>
    <w:rsid w:val="262997EC"/>
    <w:rsid w:val="2629DEEB"/>
    <w:rsid w:val="262AE418"/>
    <w:rsid w:val="262B0672"/>
    <w:rsid w:val="262BB072"/>
    <w:rsid w:val="262C176B"/>
    <w:rsid w:val="262C6AAD"/>
    <w:rsid w:val="262C6B95"/>
    <w:rsid w:val="262CE508"/>
    <w:rsid w:val="262D44BD"/>
    <w:rsid w:val="262E4C59"/>
    <w:rsid w:val="262EAA1C"/>
    <w:rsid w:val="262FAD3F"/>
    <w:rsid w:val="262FCE10"/>
    <w:rsid w:val="262FD977"/>
    <w:rsid w:val="26313666"/>
    <w:rsid w:val="26314B6F"/>
    <w:rsid w:val="2631E314"/>
    <w:rsid w:val="2632A7C8"/>
    <w:rsid w:val="2633CBFD"/>
    <w:rsid w:val="2633E5FE"/>
    <w:rsid w:val="2633FA13"/>
    <w:rsid w:val="263447FE"/>
    <w:rsid w:val="2634AABF"/>
    <w:rsid w:val="2634CDA5"/>
    <w:rsid w:val="2634D891"/>
    <w:rsid w:val="263525EC"/>
    <w:rsid w:val="26358C07"/>
    <w:rsid w:val="2636F3B0"/>
    <w:rsid w:val="2637930F"/>
    <w:rsid w:val="2637B6AE"/>
    <w:rsid w:val="2638AC0D"/>
    <w:rsid w:val="2638B159"/>
    <w:rsid w:val="2638D35E"/>
    <w:rsid w:val="26393022"/>
    <w:rsid w:val="26396C98"/>
    <w:rsid w:val="2639A3DD"/>
    <w:rsid w:val="263A153E"/>
    <w:rsid w:val="263A3EC7"/>
    <w:rsid w:val="263B5683"/>
    <w:rsid w:val="263B764F"/>
    <w:rsid w:val="263BC75A"/>
    <w:rsid w:val="263BD4DF"/>
    <w:rsid w:val="263BD88F"/>
    <w:rsid w:val="263C8521"/>
    <w:rsid w:val="263DEE57"/>
    <w:rsid w:val="263F53C7"/>
    <w:rsid w:val="26418C26"/>
    <w:rsid w:val="2641996C"/>
    <w:rsid w:val="264281F7"/>
    <w:rsid w:val="2642FB8C"/>
    <w:rsid w:val="2643CBBE"/>
    <w:rsid w:val="26440786"/>
    <w:rsid w:val="26445429"/>
    <w:rsid w:val="2644E85C"/>
    <w:rsid w:val="26458168"/>
    <w:rsid w:val="2646B72C"/>
    <w:rsid w:val="2646DC21"/>
    <w:rsid w:val="26474A4C"/>
    <w:rsid w:val="26481EBD"/>
    <w:rsid w:val="26485C5C"/>
    <w:rsid w:val="2648DA84"/>
    <w:rsid w:val="2648E5B8"/>
    <w:rsid w:val="2648F623"/>
    <w:rsid w:val="2648FB00"/>
    <w:rsid w:val="2649B474"/>
    <w:rsid w:val="264A11CE"/>
    <w:rsid w:val="264AA3AA"/>
    <w:rsid w:val="264AB14E"/>
    <w:rsid w:val="264ABA19"/>
    <w:rsid w:val="264AEA96"/>
    <w:rsid w:val="264B06A3"/>
    <w:rsid w:val="264B17A0"/>
    <w:rsid w:val="264BFBAE"/>
    <w:rsid w:val="264C4FB0"/>
    <w:rsid w:val="264C66E0"/>
    <w:rsid w:val="264CB3C4"/>
    <w:rsid w:val="264CB4A5"/>
    <w:rsid w:val="264D1AC8"/>
    <w:rsid w:val="264E1A48"/>
    <w:rsid w:val="264E1FF2"/>
    <w:rsid w:val="264E47EC"/>
    <w:rsid w:val="264ECD9C"/>
    <w:rsid w:val="264ECF3C"/>
    <w:rsid w:val="264ED18A"/>
    <w:rsid w:val="264F1799"/>
    <w:rsid w:val="264FE5A4"/>
    <w:rsid w:val="26503113"/>
    <w:rsid w:val="2650665F"/>
    <w:rsid w:val="2650DF7A"/>
    <w:rsid w:val="2651C2A1"/>
    <w:rsid w:val="2651CEE0"/>
    <w:rsid w:val="26525519"/>
    <w:rsid w:val="2652F37D"/>
    <w:rsid w:val="26532573"/>
    <w:rsid w:val="26532669"/>
    <w:rsid w:val="26536A88"/>
    <w:rsid w:val="2654889C"/>
    <w:rsid w:val="2654BCB8"/>
    <w:rsid w:val="2654E212"/>
    <w:rsid w:val="2654EBDA"/>
    <w:rsid w:val="26552D82"/>
    <w:rsid w:val="2655D23C"/>
    <w:rsid w:val="2656000F"/>
    <w:rsid w:val="2656B953"/>
    <w:rsid w:val="2656C3FD"/>
    <w:rsid w:val="26576180"/>
    <w:rsid w:val="26579853"/>
    <w:rsid w:val="2657EC25"/>
    <w:rsid w:val="265826CC"/>
    <w:rsid w:val="2658BE9D"/>
    <w:rsid w:val="2658C087"/>
    <w:rsid w:val="2658CB04"/>
    <w:rsid w:val="265961B9"/>
    <w:rsid w:val="265A2656"/>
    <w:rsid w:val="265A27F7"/>
    <w:rsid w:val="265A3FDE"/>
    <w:rsid w:val="265A6A38"/>
    <w:rsid w:val="265AEE8D"/>
    <w:rsid w:val="265BB045"/>
    <w:rsid w:val="265DA1D7"/>
    <w:rsid w:val="265E7DFA"/>
    <w:rsid w:val="265EF5D4"/>
    <w:rsid w:val="265EF8EA"/>
    <w:rsid w:val="265F587A"/>
    <w:rsid w:val="265F8E09"/>
    <w:rsid w:val="265FC60E"/>
    <w:rsid w:val="26605843"/>
    <w:rsid w:val="26610535"/>
    <w:rsid w:val="26619D6E"/>
    <w:rsid w:val="2661CAE1"/>
    <w:rsid w:val="26620394"/>
    <w:rsid w:val="26621F0E"/>
    <w:rsid w:val="26624F77"/>
    <w:rsid w:val="26632BE0"/>
    <w:rsid w:val="2663F6A1"/>
    <w:rsid w:val="266406E6"/>
    <w:rsid w:val="26644AE4"/>
    <w:rsid w:val="2664BED8"/>
    <w:rsid w:val="2664ECAD"/>
    <w:rsid w:val="26650AF4"/>
    <w:rsid w:val="26657485"/>
    <w:rsid w:val="26664A90"/>
    <w:rsid w:val="266680B8"/>
    <w:rsid w:val="2666B7FD"/>
    <w:rsid w:val="2666F509"/>
    <w:rsid w:val="26686987"/>
    <w:rsid w:val="2668E2FD"/>
    <w:rsid w:val="266A232A"/>
    <w:rsid w:val="266A4507"/>
    <w:rsid w:val="266AE79E"/>
    <w:rsid w:val="266B1BE8"/>
    <w:rsid w:val="266BB06E"/>
    <w:rsid w:val="266BD0D7"/>
    <w:rsid w:val="266CB3AA"/>
    <w:rsid w:val="266CE94F"/>
    <w:rsid w:val="266CF1B9"/>
    <w:rsid w:val="266DDE6E"/>
    <w:rsid w:val="266DEF89"/>
    <w:rsid w:val="266ECF10"/>
    <w:rsid w:val="266F484E"/>
    <w:rsid w:val="2670E31D"/>
    <w:rsid w:val="2670E52C"/>
    <w:rsid w:val="267170D5"/>
    <w:rsid w:val="2671CCD4"/>
    <w:rsid w:val="26720B3A"/>
    <w:rsid w:val="26728D10"/>
    <w:rsid w:val="2672C134"/>
    <w:rsid w:val="2672F14F"/>
    <w:rsid w:val="2673CFFF"/>
    <w:rsid w:val="267597F6"/>
    <w:rsid w:val="26759983"/>
    <w:rsid w:val="26762299"/>
    <w:rsid w:val="2676257E"/>
    <w:rsid w:val="2677591F"/>
    <w:rsid w:val="2677C695"/>
    <w:rsid w:val="2677CEE3"/>
    <w:rsid w:val="2677F2BB"/>
    <w:rsid w:val="26780FE8"/>
    <w:rsid w:val="2678489C"/>
    <w:rsid w:val="2678E144"/>
    <w:rsid w:val="2679250C"/>
    <w:rsid w:val="26793945"/>
    <w:rsid w:val="267A5C2D"/>
    <w:rsid w:val="267A5CB2"/>
    <w:rsid w:val="267BCA37"/>
    <w:rsid w:val="267BE0D7"/>
    <w:rsid w:val="267C4C91"/>
    <w:rsid w:val="267CDF37"/>
    <w:rsid w:val="267D0C6F"/>
    <w:rsid w:val="267E2E1B"/>
    <w:rsid w:val="267E7FD2"/>
    <w:rsid w:val="267F1CC7"/>
    <w:rsid w:val="267F3FB8"/>
    <w:rsid w:val="267F4495"/>
    <w:rsid w:val="267FFA1D"/>
    <w:rsid w:val="26817E1B"/>
    <w:rsid w:val="26820E5A"/>
    <w:rsid w:val="26831E68"/>
    <w:rsid w:val="2683FCB0"/>
    <w:rsid w:val="26845813"/>
    <w:rsid w:val="2684A61D"/>
    <w:rsid w:val="2684B873"/>
    <w:rsid w:val="26864FA9"/>
    <w:rsid w:val="268664E7"/>
    <w:rsid w:val="26884643"/>
    <w:rsid w:val="2689065B"/>
    <w:rsid w:val="26890924"/>
    <w:rsid w:val="2689F2C9"/>
    <w:rsid w:val="2689FC1C"/>
    <w:rsid w:val="268B212F"/>
    <w:rsid w:val="268C8283"/>
    <w:rsid w:val="268CE5ED"/>
    <w:rsid w:val="268D2539"/>
    <w:rsid w:val="268D28DB"/>
    <w:rsid w:val="268D746E"/>
    <w:rsid w:val="268E0666"/>
    <w:rsid w:val="268F15B4"/>
    <w:rsid w:val="268F33FD"/>
    <w:rsid w:val="268F6192"/>
    <w:rsid w:val="269087E2"/>
    <w:rsid w:val="2690CB04"/>
    <w:rsid w:val="2690ECD5"/>
    <w:rsid w:val="269107A0"/>
    <w:rsid w:val="26912ACD"/>
    <w:rsid w:val="26913663"/>
    <w:rsid w:val="2691F182"/>
    <w:rsid w:val="269318B6"/>
    <w:rsid w:val="26931C54"/>
    <w:rsid w:val="2693BA5F"/>
    <w:rsid w:val="26957FBE"/>
    <w:rsid w:val="2695B5CB"/>
    <w:rsid w:val="2696D37F"/>
    <w:rsid w:val="2697C7B0"/>
    <w:rsid w:val="2697C948"/>
    <w:rsid w:val="26986E24"/>
    <w:rsid w:val="26989DA3"/>
    <w:rsid w:val="2699C93A"/>
    <w:rsid w:val="269AB5AE"/>
    <w:rsid w:val="269B1739"/>
    <w:rsid w:val="269B1B98"/>
    <w:rsid w:val="269B629B"/>
    <w:rsid w:val="269B75EE"/>
    <w:rsid w:val="269BF68B"/>
    <w:rsid w:val="269BFACA"/>
    <w:rsid w:val="269C0799"/>
    <w:rsid w:val="269C2DB8"/>
    <w:rsid w:val="269CF73F"/>
    <w:rsid w:val="269D4E83"/>
    <w:rsid w:val="269E8C9D"/>
    <w:rsid w:val="269F04FF"/>
    <w:rsid w:val="269F7291"/>
    <w:rsid w:val="269FDB3B"/>
    <w:rsid w:val="26A03FD6"/>
    <w:rsid w:val="26A08EAA"/>
    <w:rsid w:val="26A0D1F3"/>
    <w:rsid w:val="26A0EF7F"/>
    <w:rsid w:val="26A1A173"/>
    <w:rsid w:val="26A2B822"/>
    <w:rsid w:val="26A2EED7"/>
    <w:rsid w:val="26A3179F"/>
    <w:rsid w:val="26A37539"/>
    <w:rsid w:val="26A3875D"/>
    <w:rsid w:val="26A3EB92"/>
    <w:rsid w:val="26A409C4"/>
    <w:rsid w:val="26A4E7AB"/>
    <w:rsid w:val="26A5A953"/>
    <w:rsid w:val="26A5D557"/>
    <w:rsid w:val="26A63762"/>
    <w:rsid w:val="26A6451D"/>
    <w:rsid w:val="26A68D73"/>
    <w:rsid w:val="26A6A280"/>
    <w:rsid w:val="26A78BEA"/>
    <w:rsid w:val="26A7E5DD"/>
    <w:rsid w:val="26A8883B"/>
    <w:rsid w:val="26A89CAD"/>
    <w:rsid w:val="26A8DDEC"/>
    <w:rsid w:val="26A8FC1F"/>
    <w:rsid w:val="26A9BF32"/>
    <w:rsid w:val="26AA11E2"/>
    <w:rsid w:val="26AA4F7A"/>
    <w:rsid w:val="26AA774F"/>
    <w:rsid w:val="26AAFFC9"/>
    <w:rsid w:val="26AB515C"/>
    <w:rsid w:val="26AC1655"/>
    <w:rsid w:val="26ACDA34"/>
    <w:rsid w:val="26ACF285"/>
    <w:rsid w:val="26ACFEED"/>
    <w:rsid w:val="26AEF149"/>
    <w:rsid w:val="26AF18C4"/>
    <w:rsid w:val="26AF4ECD"/>
    <w:rsid w:val="26AFF131"/>
    <w:rsid w:val="26B00242"/>
    <w:rsid w:val="26B002E0"/>
    <w:rsid w:val="26B03ECD"/>
    <w:rsid w:val="26B119FF"/>
    <w:rsid w:val="26B155C6"/>
    <w:rsid w:val="26B1657A"/>
    <w:rsid w:val="26B2901F"/>
    <w:rsid w:val="26B2C18A"/>
    <w:rsid w:val="26B3220D"/>
    <w:rsid w:val="26B32A11"/>
    <w:rsid w:val="26B36217"/>
    <w:rsid w:val="26B42C2D"/>
    <w:rsid w:val="26B45174"/>
    <w:rsid w:val="26B4EA11"/>
    <w:rsid w:val="26B59DA8"/>
    <w:rsid w:val="26B5C88F"/>
    <w:rsid w:val="26B5F6D3"/>
    <w:rsid w:val="26B6226A"/>
    <w:rsid w:val="26B709A8"/>
    <w:rsid w:val="26B7DA19"/>
    <w:rsid w:val="26B85C4A"/>
    <w:rsid w:val="26B8F804"/>
    <w:rsid w:val="26B90D7E"/>
    <w:rsid w:val="26B93AF7"/>
    <w:rsid w:val="26B9601F"/>
    <w:rsid w:val="26BB1CC9"/>
    <w:rsid w:val="26BB4CA1"/>
    <w:rsid w:val="26BBC56B"/>
    <w:rsid w:val="26BBF350"/>
    <w:rsid w:val="26BC0F89"/>
    <w:rsid w:val="26BC75FB"/>
    <w:rsid w:val="26BCDEFB"/>
    <w:rsid w:val="26BCF68C"/>
    <w:rsid w:val="26BD59D0"/>
    <w:rsid w:val="26BEC77A"/>
    <w:rsid w:val="26BF0E2A"/>
    <w:rsid w:val="26C04A4B"/>
    <w:rsid w:val="26C1370B"/>
    <w:rsid w:val="26C15E99"/>
    <w:rsid w:val="26C17384"/>
    <w:rsid w:val="26C177AC"/>
    <w:rsid w:val="26C17A55"/>
    <w:rsid w:val="26C1E5E9"/>
    <w:rsid w:val="26C344B0"/>
    <w:rsid w:val="26C3CA51"/>
    <w:rsid w:val="26C42F24"/>
    <w:rsid w:val="26C45582"/>
    <w:rsid w:val="26C553AD"/>
    <w:rsid w:val="26C5854A"/>
    <w:rsid w:val="26C59B43"/>
    <w:rsid w:val="26C665FF"/>
    <w:rsid w:val="26C679F6"/>
    <w:rsid w:val="26C6AF04"/>
    <w:rsid w:val="26C6D217"/>
    <w:rsid w:val="26C730DF"/>
    <w:rsid w:val="26C764AA"/>
    <w:rsid w:val="26C78C82"/>
    <w:rsid w:val="26C7C38F"/>
    <w:rsid w:val="26C80DD4"/>
    <w:rsid w:val="26C818E5"/>
    <w:rsid w:val="26C82C84"/>
    <w:rsid w:val="26C83BC1"/>
    <w:rsid w:val="26C8CAE9"/>
    <w:rsid w:val="26C97F07"/>
    <w:rsid w:val="26CA0C1A"/>
    <w:rsid w:val="26CBB5D7"/>
    <w:rsid w:val="26CC130C"/>
    <w:rsid w:val="26CC1BEB"/>
    <w:rsid w:val="26CC7D31"/>
    <w:rsid w:val="26CCDA23"/>
    <w:rsid w:val="26CD0FC6"/>
    <w:rsid w:val="26CD9425"/>
    <w:rsid w:val="26CD9A88"/>
    <w:rsid w:val="26CDB9AD"/>
    <w:rsid w:val="26CE84F4"/>
    <w:rsid w:val="26CED894"/>
    <w:rsid w:val="26CF13C4"/>
    <w:rsid w:val="26CF2091"/>
    <w:rsid w:val="26CFC8AA"/>
    <w:rsid w:val="26D0214F"/>
    <w:rsid w:val="26D09B91"/>
    <w:rsid w:val="26D0EAEC"/>
    <w:rsid w:val="26D1933F"/>
    <w:rsid w:val="26D198DF"/>
    <w:rsid w:val="26D22D8B"/>
    <w:rsid w:val="26D3CD4C"/>
    <w:rsid w:val="26D40CB1"/>
    <w:rsid w:val="26D4C67D"/>
    <w:rsid w:val="26D51FB5"/>
    <w:rsid w:val="26D611B0"/>
    <w:rsid w:val="26D6FF38"/>
    <w:rsid w:val="26D71919"/>
    <w:rsid w:val="26D76D6B"/>
    <w:rsid w:val="26D7F3D6"/>
    <w:rsid w:val="26D82DA3"/>
    <w:rsid w:val="26D85DC5"/>
    <w:rsid w:val="26D93FB8"/>
    <w:rsid w:val="26DB1EBD"/>
    <w:rsid w:val="26DB4E63"/>
    <w:rsid w:val="26DB709E"/>
    <w:rsid w:val="26DB7B73"/>
    <w:rsid w:val="26DBAAED"/>
    <w:rsid w:val="26DBC3C5"/>
    <w:rsid w:val="26DC21DB"/>
    <w:rsid w:val="26DD7F49"/>
    <w:rsid w:val="26DD88E9"/>
    <w:rsid w:val="26DDB497"/>
    <w:rsid w:val="26DDE519"/>
    <w:rsid w:val="26DEEF78"/>
    <w:rsid w:val="26DF9EA9"/>
    <w:rsid w:val="26DFB3EE"/>
    <w:rsid w:val="26DFD4D4"/>
    <w:rsid w:val="26E09489"/>
    <w:rsid w:val="26E0FC3A"/>
    <w:rsid w:val="26E12E65"/>
    <w:rsid w:val="26E17FC2"/>
    <w:rsid w:val="26E1811C"/>
    <w:rsid w:val="26E248AE"/>
    <w:rsid w:val="26E32D0A"/>
    <w:rsid w:val="26E3A9CF"/>
    <w:rsid w:val="26E3D09E"/>
    <w:rsid w:val="26E42A2F"/>
    <w:rsid w:val="26E42B05"/>
    <w:rsid w:val="26E4E16B"/>
    <w:rsid w:val="26E5375D"/>
    <w:rsid w:val="26E6E5D2"/>
    <w:rsid w:val="26E715D7"/>
    <w:rsid w:val="26E72301"/>
    <w:rsid w:val="26E78CC0"/>
    <w:rsid w:val="26E83D83"/>
    <w:rsid w:val="26EAEF9B"/>
    <w:rsid w:val="26EB3217"/>
    <w:rsid w:val="26EB62F1"/>
    <w:rsid w:val="26EB6E0F"/>
    <w:rsid w:val="26EC396F"/>
    <w:rsid w:val="26EC81AA"/>
    <w:rsid w:val="26ED6EA3"/>
    <w:rsid w:val="26EDB9EC"/>
    <w:rsid w:val="26EFCD18"/>
    <w:rsid w:val="26F0D461"/>
    <w:rsid w:val="26F1F0BC"/>
    <w:rsid w:val="26F21FD8"/>
    <w:rsid w:val="26F27C6A"/>
    <w:rsid w:val="26F2DB5D"/>
    <w:rsid w:val="26F3236C"/>
    <w:rsid w:val="26F3651A"/>
    <w:rsid w:val="26F5307A"/>
    <w:rsid w:val="26F53309"/>
    <w:rsid w:val="26F57D2C"/>
    <w:rsid w:val="26F5CEF4"/>
    <w:rsid w:val="26F61A8B"/>
    <w:rsid w:val="26F61BB3"/>
    <w:rsid w:val="26F70A10"/>
    <w:rsid w:val="26F76E4D"/>
    <w:rsid w:val="26F813B8"/>
    <w:rsid w:val="26F9294D"/>
    <w:rsid w:val="26F96CF9"/>
    <w:rsid w:val="26F9AEA8"/>
    <w:rsid w:val="26FB1099"/>
    <w:rsid w:val="26FBC45C"/>
    <w:rsid w:val="26FC73EE"/>
    <w:rsid w:val="26FC9DB4"/>
    <w:rsid w:val="26FCED21"/>
    <w:rsid w:val="26FD2AE6"/>
    <w:rsid w:val="26FDC08C"/>
    <w:rsid w:val="26FF0B8F"/>
    <w:rsid w:val="26FF5861"/>
    <w:rsid w:val="26FF73AF"/>
    <w:rsid w:val="26FFA6B0"/>
    <w:rsid w:val="27000295"/>
    <w:rsid w:val="270151E6"/>
    <w:rsid w:val="27015AC4"/>
    <w:rsid w:val="2701E899"/>
    <w:rsid w:val="2702125F"/>
    <w:rsid w:val="2702182A"/>
    <w:rsid w:val="2702260C"/>
    <w:rsid w:val="27022B72"/>
    <w:rsid w:val="2702876E"/>
    <w:rsid w:val="2703AAFA"/>
    <w:rsid w:val="27040183"/>
    <w:rsid w:val="2705AC6B"/>
    <w:rsid w:val="27069173"/>
    <w:rsid w:val="27071E56"/>
    <w:rsid w:val="270782A6"/>
    <w:rsid w:val="27079978"/>
    <w:rsid w:val="27093A97"/>
    <w:rsid w:val="27096C2B"/>
    <w:rsid w:val="270A01CA"/>
    <w:rsid w:val="270A59A2"/>
    <w:rsid w:val="270BC7CC"/>
    <w:rsid w:val="270BDE8C"/>
    <w:rsid w:val="270CDEF7"/>
    <w:rsid w:val="270D48E4"/>
    <w:rsid w:val="270E1ECD"/>
    <w:rsid w:val="270F0922"/>
    <w:rsid w:val="270F582F"/>
    <w:rsid w:val="27101DBF"/>
    <w:rsid w:val="27103CA0"/>
    <w:rsid w:val="2710FEA2"/>
    <w:rsid w:val="27130A49"/>
    <w:rsid w:val="27132214"/>
    <w:rsid w:val="271384AE"/>
    <w:rsid w:val="2713D082"/>
    <w:rsid w:val="2714993D"/>
    <w:rsid w:val="2714B052"/>
    <w:rsid w:val="271542BA"/>
    <w:rsid w:val="2715BE65"/>
    <w:rsid w:val="2715DB6B"/>
    <w:rsid w:val="27163984"/>
    <w:rsid w:val="27164A7B"/>
    <w:rsid w:val="27167992"/>
    <w:rsid w:val="2716CCE4"/>
    <w:rsid w:val="271784EF"/>
    <w:rsid w:val="2717A3B6"/>
    <w:rsid w:val="2717B8FD"/>
    <w:rsid w:val="2717DFE7"/>
    <w:rsid w:val="2717F5AF"/>
    <w:rsid w:val="27189110"/>
    <w:rsid w:val="271C221B"/>
    <w:rsid w:val="271C6C06"/>
    <w:rsid w:val="271D0E2B"/>
    <w:rsid w:val="271D94D4"/>
    <w:rsid w:val="271DC633"/>
    <w:rsid w:val="271E0C32"/>
    <w:rsid w:val="271EA653"/>
    <w:rsid w:val="271EAA6A"/>
    <w:rsid w:val="271EAA9A"/>
    <w:rsid w:val="271F22AE"/>
    <w:rsid w:val="271F52B1"/>
    <w:rsid w:val="271F53B0"/>
    <w:rsid w:val="271F732E"/>
    <w:rsid w:val="271FC875"/>
    <w:rsid w:val="2721DE60"/>
    <w:rsid w:val="27224107"/>
    <w:rsid w:val="27225644"/>
    <w:rsid w:val="27227EBA"/>
    <w:rsid w:val="27229FDF"/>
    <w:rsid w:val="2723EBFB"/>
    <w:rsid w:val="27245392"/>
    <w:rsid w:val="27252689"/>
    <w:rsid w:val="27259525"/>
    <w:rsid w:val="27264A23"/>
    <w:rsid w:val="2726654E"/>
    <w:rsid w:val="27268809"/>
    <w:rsid w:val="272700F8"/>
    <w:rsid w:val="27271841"/>
    <w:rsid w:val="2727C7DD"/>
    <w:rsid w:val="2728AA63"/>
    <w:rsid w:val="27292FE0"/>
    <w:rsid w:val="2729A310"/>
    <w:rsid w:val="2729E610"/>
    <w:rsid w:val="272A0569"/>
    <w:rsid w:val="272ABD74"/>
    <w:rsid w:val="272B06A8"/>
    <w:rsid w:val="272B94D8"/>
    <w:rsid w:val="272C06F1"/>
    <w:rsid w:val="272C1929"/>
    <w:rsid w:val="272D84D3"/>
    <w:rsid w:val="272DE208"/>
    <w:rsid w:val="272E01E1"/>
    <w:rsid w:val="272E8152"/>
    <w:rsid w:val="272E83CA"/>
    <w:rsid w:val="272F086D"/>
    <w:rsid w:val="272F811F"/>
    <w:rsid w:val="272FBEF1"/>
    <w:rsid w:val="2730368E"/>
    <w:rsid w:val="2730A0E4"/>
    <w:rsid w:val="2730B508"/>
    <w:rsid w:val="27317D3E"/>
    <w:rsid w:val="27318353"/>
    <w:rsid w:val="27329ED9"/>
    <w:rsid w:val="2732D05C"/>
    <w:rsid w:val="2733B9E5"/>
    <w:rsid w:val="2733F28B"/>
    <w:rsid w:val="273418E0"/>
    <w:rsid w:val="2736E7D1"/>
    <w:rsid w:val="27381557"/>
    <w:rsid w:val="27391102"/>
    <w:rsid w:val="27398671"/>
    <w:rsid w:val="2739BDBC"/>
    <w:rsid w:val="273A751E"/>
    <w:rsid w:val="273AC03C"/>
    <w:rsid w:val="273B1B1C"/>
    <w:rsid w:val="273BE184"/>
    <w:rsid w:val="273C44C2"/>
    <w:rsid w:val="273C5252"/>
    <w:rsid w:val="273C8A98"/>
    <w:rsid w:val="273D03F3"/>
    <w:rsid w:val="273D8FB0"/>
    <w:rsid w:val="273DED35"/>
    <w:rsid w:val="273FD2DC"/>
    <w:rsid w:val="274081E9"/>
    <w:rsid w:val="27414A2E"/>
    <w:rsid w:val="27418A86"/>
    <w:rsid w:val="2742ACD6"/>
    <w:rsid w:val="2742E6B9"/>
    <w:rsid w:val="27432EC1"/>
    <w:rsid w:val="2743ED53"/>
    <w:rsid w:val="274494D5"/>
    <w:rsid w:val="2744A303"/>
    <w:rsid w:val="27450070"/>
    <w:rsid w:val="27453A0A"/>
    <w:rsid w:val="2745D3B1"/>
    <w:rsid w:val="2746143D"/>
    <w:rsid w:val="2746B90E"/>
    <w:rsid w:val="2748654E"/>
    <w:rsid w:val="27489542"/>
    <w:rsid w:val="274A102C"/>
    <w:rsid w:val="274B872A"/>
    <w:rsid w:val="274BE931"/>
    <w:rsid w:val="274C3413"/>
    <w:rsid w:val="274C56D7"/>
    <w:rsid w:val="274C7F45"/>
    <w:rsid w:val="274C7F9A"/>
    <w:rsid w:val="274C8B9E"/>
    <w:rsid w:val="274CE0F9"/>
    <w:rsid w:val="274D2DC3"/>
    <w:rsid w:val="274E3C36"/>
    <w:rsid w:val="274EB07B"/>
    <w:rsid w:val="274EFE2A"/>
    <w:rsid w:val="27503313"/>
    <w:rsid w:val="2750C6CA"/>
    <w:rsid w:val="2750CBB5"/>
    <w:rsid w:val="2751DB4C"/>
    <w:rsid w:val="275292CC"/>
    <w:rsid w:val="2755570A"/>
    <w:rsid w:val="275560A9"/>
    <w:rsid w:val="2755C40F"/>
    <w:rsid w:val="2756796B"/>
    <w:rsid w:val="27575639"/>
    <w:rsid w:val="2757AE6A"/>
    <w:rsid w:val="27581B22"/>
    <w:rsid w:val="2758293F"/>
    <w:rsid w:val="27587753"/>
    <w:rsid w:val="2758AD46"/>
    <w:rsid w:val="2758F706"/>
    <w:rsid w:val="27593CD5"/>
    <w:rsid w:val="27594CE9"/>
    <w:rsid w:val="2759AF9C"/>
    <w:rsid w:val="275AF345"/>
    <w:rsid w:val="275AF960"/>
    <w:rsid w:val="275B6135"/>
    <w:rsid w:val="275C507D"/>
    <w:rsid w:val="275C79B1"/>
    <w:rsid w:val="275CB932"/>
    <w:rsid w:val="275E3032"/>
    <w:rsid w:val="275E6249"/>
    <w:rsid w:val="275EF54B"/>
    <w:rsid w:val="275F484F"/>
    <w:rsid w:val="275F5740"/>
    <w:rsid w:val="275FB314"/>
    <w:rsid w:val="275FB6B1"/>
    <w:rsid w:val="2760BF13"/>
    <w:rsid w:val="2760F971"/>
    <w:rsid w:val="2761A02C"/>
    <w:rsid w:val="27620C8C"/>
    <w:rsid w:val="2762EAC8"/>
    <w:rsid w:val="27631000"/>
    <w:rsid w:val="27631F79"/>
    <w:rsid w:val="2763C821"/>
    <w:rsid w:val="2763D5BA"/>
    <w:rsid w:val="2764E983"/>
    <w:rsid w:val="2768F709"/>
    <w:rsid w:val="27695F79"/>
    <w:rsid w:val="276A2798"/>
    <w:rsid w:val="276A71B6"/>
    <w:rsid w:val="276AF802"/>
    <w:rsid w:val="276B0037"/>
    <w:rsid w:val="276B2352"/>
    <w:rsid w:val="276B2D47"/>
    <w:rsid w:val="276B7C92"/>
    <w:rsid w:val="276BA38C"/>
    <w:rsid w:val="276BD1CB"/>
    <w:rsid w:val="276BF0B5"/>
    <w:rsid w:val="276C2A9C"/>
    <w:rsid w:val="276D6089"/>
    <w:rsid w:val="276DAB7A"/>
    <w:rsid w:val="276EB05B"/>
    <w:rsid w:val="276FA3FE"/>
    <w:rsid w:val="276FBC96"/>
    <w:rsid w:val="2772229D"/>
    <w:rsid w:val="27726B54"/>
    <w:rsid w:val="27728E5C"/>
    <w:rsid w:val="2772E3DA"/>
    <w:rsid w:val="27730D14"/>
    <w:rsid w:val="27733186"/>
    <w:rsid w:val="27734F88"/>
    <w:rsid w:val="27743BAC"/>
    <w:rsid w:val="2774C230"/>
    <w:rsid w:val="27750D7B"/>
    <w:rsid w:val="2775D16C"/>
    <w:rsid w:val="277606C4"/>
    <w:rsid w:val="2778ECED"/>
    <w:rsid w:val="2778EECF"/>
    <w:rsid w:val="27793F60"/>
    <w:rsid w:val="27799EB1"/>
    <w:rsid w:val="2779DA27"/>
    <w:rsid w:val="2779E49F"/>
    <w:rsid w:val="277A9127"/>
    <w:rsid w:val="277AE73D"/>
    <w:rsid w:val="277B41AC"/>
    <w:rsid w:val="277C6CCE"/>
    <w:rsid w:val="277C81BC"/>
    <w:rsid w:val="277CBEF8"/>
    <w:rsid w:val="277D7CD2"/>
    <w:rsid w:val="277D7DDF"/>
    <w:rsid w:val="277E5FF2"/>
    <w:rsid w:val="27802BD0"/>
    <w:rsid w:val="2780A226"/>
    <w:rsid w:val="2781098E"/>
    <w:rsid w:val="27825192"/>
    <w:rsid w:val="278264B7"/>
    <w:rsid w:val="2783D92A"/>
    <w:rsid w:val="2783FAA2"/>
    <w:rsid w:val="2783FD76"/>
    <w:rsid w:val="27844CD1"/>
    <w:rsid w:val="2784A0F7"/>
    <w:rsid w:val="2784C3EE"/>
    <w:rsid w:val="2784E381"/>
    <w:rsid w:val="2785FAD9"/>
    <w:rsid w:val="27860517"/>
    <w:rsid w:val="27867F47"/>
    <w:rsid w:val="27869D22"/>
    <w:rsid w:val="27872188"/>
    <w:rsid w:val="27876868"/>
    <w:rsid w:val="2788463A"/>
    <w:rsid w:val="27888C70"/>
    <w:rsid w:val="278A0CAA"/>
    <w:rsid w:val="278AB760"/>
    <w:rsid w:val="278BAF83"/>
    <w:rsid w:val="278C9B9C"/>
    <w:rsid w:val="278D33B3"/>
    <w:rsid w:val="278D7EF1"/>
    <w:rsid w:val="278DC44A"/>
    <w:rsid w:val="278E0DCD"/>
    <w:rsid w:val="278E293C"/>
    <w:rsid w:val="278EB9A0"/>
    <w:rsid w:val="278F5F7A"/>
    <w:rsid w:val="278F7B40"/>
    <w:rsid w:val="278FD2CE"/>
    <w:rsid w:val="279034C3"/>
    <w:rsid w:val="27909326"/>
    <w:rsid w:val="27919643"/>
    <w:rsid w:val="27929D36"/>
    <w:rsid w:val="279370F1"/>
    <w:rsid w:val="27938D2C"/>
    <w:rsid w:val="2793B209"/>
    <w:rsid w:val="2794545F"/>
    <w:rsid w:val="27946962"/>
    <w:rsid w:val="27947F1A"/>
    <w:rsid w:val="27949C96"/>
    <w:rsid w:val="279506C3"/>
    <w:rsid w:val="27950B47"/>
    <w:rsid w:val="27952398"/>
    <w:rsid w:val="2797AF1D"/>
    <w:rsid w:val="27988CD9"/>
    <w:rsid w:val="2798AEB2"/>
    <w:rsid w:val="279A2B68"/>
    <w:rsid w:val="279B099F"/>
    <w:rsid w:val="279B7420"/>
    <w:rsid w:val="279BD892"/>
    <w:rsid w:val="279C3E18"/>
    <w:rsid w:val="279C9401"/>
    <w:rsid w:val="279C95FA"/>
    <w:rsid w:val="279DD4D6"/>
    <w:rsid w:val="279E017D"/>
    <w:rsid w:val="279E2C1C"/>
    <w:rsid w:val="279FB3EC"/>
    <w:rsid w:val="279FE0AF"/>
    <w:rsid w:val="27A0A233"/>
    <w:rsid w:val="27A11859"/>
    <w:rsid w:val="27A25089"/>
    <w:rsid w:val="27A39E0C"/>
    <w:rsid w:val="27A3A304"/>
    <w:rsid w:val="27A3EF11"/>
    <w:rsid w:val="27A44AF3"/>
    <w:rsid w:val="27A4C4A3"/>
    <w:rsid w:val="27A4D3B8"/>
    <w:rsid w:val="27A64304"/>
    <w:rsid w:val="27A74C98"/>
    <w:rsid w:val="27A7556C"/>
    <w:rsid w:val="27A75999"/>
    <w:rsid w:val="27A78BDE"/>
    <w:rsid w:val="27A7FF86"/>
    <w:rsid w:val="27A818A7"/>
    <w:rsid w:val="27A9450F"/>
    <w:rsid w:val="27A9895D"/>
    <w:rsid w:val="27A99CB1"/>
    <w:rsid w:val="27AA02B0"/>
    <w:rsid w:val="27AAEDF6"/>
    <w:rsid w:val="27AB6AC8"/>
    <w:rsid w:val="27AC1F4C"/>
    <w:rsid w:val="27AD4BCE"/>
    <w:rsid w:val="27AE5CCE"/>
    <w:rsid w:val="27AEAB12"/>
    <w:rsid w:val="27AED76F"/>
    <w:rsid w:val="27B0212D"/>
    <w:rsid w:val="27B07403"/>
    <w:rsid w:val="27B10AAE"/>
    <w:rsid w:val="27B17B9C"/>
    <w:rsid w:val="27B200BD"/>
    <w:rsid w:val="27B25BD9"/>
    <w:rsid w:val="27B266EC"/>
    <w:rsid w:val="27B3FDA7"/>
    <w:rsid w:val="27B481C7"/>
    <w:rsid w:val="27B54BC1"/>
    <w:rsid w:val="27B57D18"/>
    <w:rsid w:val="27B5BCCD"/>
    <w:rsid w:val="27B6121E"/>
    <w:rsid w:val="27B6EB08"/>
    <w:rsid w:val="27B70BB2"/>
    <w:rsid w:val="27B7D3CA"/>
    <w:rsid w:val="27B810DB"/>
    <w:rsid w:val="27B98A9B"/>
    <w:rsid w:val="27B9BCE3"/>
    <w:rsid w:val="27BC231D"/>
    <w:rsid w:val="27BCC372"/>
    <w:rsid w:val="27BD1141"/>
    <w:rsid w:val="27BD599E"/>
    <w:rsid w:val="27BEB5B2"/>
    <w:rsid w:val="27C03CB2"/>
    <w:rsid w:val="27C0D264"/>
    <w:rsid w:val="27C14953"/>
    <w:rsid w:val="27C16613"/>
    <w:rsid w:val="27C2F0F2"/>
    <w:rsid w:val="27C314E0"/>
    <w:rsid w:val="27C32BF2"/>
    <w:rsid w:val="27C32E15"/>
    <w:rsid w:val="27C33D36"/>
    <w:rsid w:val="27C3D7CE"/>
    <w:rsid w:val="27C4926A"/>
    <w:rsid w:val="27C4F03B"/>
    <w:rsid w:val="27C58D17"/>
    <w:rsid w:val="27C69237"/>
    <w:rsid w:val="27C69700"/>
    <w:rsid w:val="27C72E65"/>
    <w:rsid w:val="27C7448C"/>
    <w:rsid w:val="27C838E6"/>
    <w:rsid w:val="27C83B32"/>
    <w:rsid w:val="27C881D3"/>
    <w:rsid w:val="27C91424"/>
    <w:rsid w:val="27C94D67"/>
    <w:rsid w:val="27C9F946"/>
    <w:rsid w:val="27CABE7A"/>
    <w:rsid w:val="27CAE839"/>
    <w:rsid w:val="27CB496E"/>
    <w:rsid w:val="27CC5E4D"/>
    <w:rsid w:val="27CC5E72"/>
    <w:rsid w:val="27CC718E"/>
    <w:rsid w:val="27CC785B"/>
    <w:rsid w:val="27CCC30E"/>
    <w:rsid w:val="27CE0C05"/>
    <w:rsid w:val="27CEE7BE"/>
    <w:rsid w:val="27CF4958"/>
    <w:rsid w:val="27CF52C3"/>
    <w:rsid w:val="27CF6044"/>
    <w:rsid w:val="27CF847F"/>
    <w:rsid w:val="27CFACC4"/>
    <w:rsid w:val="27CFE10B"/>
    <w:rsid w:val="27CFEA15"/>
    <w:rsid w:val="27D056DB"/>
    <w:rsid w:val="27D0DC46"/>
    <w:rsid w:val="27D1AF0E"/>
    <w:rsid w:val="27D1E869"/>
    <w:rsid w:val="27D23971"/>
    <w:rsid w:val="27D2509F"/>
    <w:rsid w:val="27D2787D"/>
    <w:rsid w:val="27D32998"/>
    <w:rsid w:val="27D3D2F4"/>
    <w:rsid w:val="27D49228"/>
    <w:rsid w:val="27D55E84"/>
    <w:rsid w:val="27D58661"/>
    <w:rsid w:val="27D64BC2"/>
    <w:rsid w:val="27D80899"/>
    <w:rsid w:val="27D8E3BC"/>
    <w:rsid w:val="27D8F148"/>
    <w:rsid w:val="27D90199"/>
    <w:rsid w:val="27D9909A"/>
    <w:rsid w:val="27D9D469"/>
    <w:rsid w:val="27D9EEF1"/>
    <w:rsid w:val="27DA1731"/>
    <w:rsid w:val="27DA8881"/>
    <w:rsid w:val="27DA91A3"/>
    <w:rsid w:val="27DB9F80"/>
    <w:rsid w:val="27DC0A24"/>
    <w:rsid w:val="27DC3102"/>
    <w:rsid w:val="27DC5B21"/>
    <w:rsid w:val="27DC5CF5"/>
    <w:rsid w:val="27DC7D0A"/>
    <w:rsid w:val="27DD1366"/>
    <w:rsid w:val="27DD3DA8"/>
    <w:rsid w:val="27DD5491"/>
    <w:rsid w:val="27DF1C6B"/>
    <w:rsid w:val="27E06CE3"/>
    <w:rsid w:val="27E0A28C"/>
    <w:rsid w:val="27E0C8FF"/>
    <w:rsid w:val="27E0D0C2"/>
    <w:rsid w:val="27E1EA66"/>
    <w:rsid w:val="27E28A4F"/>
    <w:rsid w:val="27E2FD1B"/>
    <w:rsid w:val="27E39396"/>
    <w:rsid w:val="27E436EF"/>
    <w:rsid w:val="27E55D5E"/>
    <w:rsid w:val="27E5A243"/>
    <w:rsid w:val="27E5FB7A"/>
    <w:rsid w:val="27E68287"/>
    <w:rsid w:val="27E7AD07"/>
    <w:rsid w:val="27E8AF53"/>
    <w:rsid w:val="27E9033A"/>
    <w:rsid w:val="27EA0EA8"/>
    <w:rsid w:val="27EC06FB"/>
    <w:rsid w:val="27ECAE43"/>
    <w:rsid w:val="27ED148F"/>
    <w:rsid w:val="27ED8D93"/>
    <w:rsid w:val="27EDB979"/>
    <w:rsid w:val="27EE5793"/>
    <w:rsid w:val="27EE9FD7"/>
    <w:rsid w:val="27EF89E3"/>
    <w:rsid w:val="27F06F94"/>
    <w:rsid w:val="27F1CB20"/>
    <w:rsid w:val="27F268D0"/>
    <w:rsid w:val="27F2B4F4"/>
    <w:rsid w:val="27F3322E"/>
    <w:rsid w:val="27F3B83F"/>
    <w:rsid w:val="27F42966"/>
    <w:rsid w:val="27F4B0FB"/>
    <w:rsid w:val="27F51EC6"/>
    <w:rsid w:val="27F62BBA"/>
    <w:rsid w:val="27F673C7"/>
    <w:rsid w:val="27F73A6B"/>
    <w:rsid w:val="27F76CE0"/>
    <w:rsid w:val="27F7F622"/>
    <w:rsid w:val="27F8CE91"/>
    <w:rsid w:val="27F94798"/>
    <w:rsid w:val="27F975DF"/>
    <w:rsid w:val="27F9A6F9"/>
    <w:rsid w:val="27F9D161"/>
    <w:rsid w:val="27FACAA3"/>
    <w:rsid w:val="27FB15E2"/>
    <w:rsid w:val="27FB6C55"/>
    <w:rsid w:val="27FB7359"/>
    <w:rsid w:val="27FB76CC"/>
    <w:rsid w:val="27FBBE66"/>
    <w:rsid w:val="27FC0D4C"/>
    <w:rsid w:val="27FC361A"/>
    <w:rsid w:val="27FC7C50"/>
    <w:rsid w:val="27FD02FC"/>
    <w:rsid w:val="27FD0CE6"/>
    <w:rsid w:val="27FDC628"/>
    <w:rsid w:val="27FE5AF0"/>
    <w:rsid w:val="27FE767B"/>
    <w:rsid w:val="27FE80FB"/>
    <w:rsid w:val="27FE9960"/>
    <w:rsid w:val="28013D8A"/>
    <w:rsid w:val="2801909A"/>
    <w:rsid w:val="2801CE17"/>
    <w:rsid w:val="28021985"/>
    <w:rsid w:val="28028C05"/>
    <w:rsid w:val="280332D9"/>
    <w:rsid w:val="280423F4"/>
    <w:rsid w:val="28042B79"/>
    <w:rsid w:val="280634C8"/>
    <w:rsid w:val="2806C1DB"/>
    <w:rsid w:val="2807AE48"/>
    <w:rsid w:val="2807B92D"/>
    <w:rsid w:val="280833C1"/>
    <w:rsid w:val="28089DB5"/>
    <w:rsid w:val="28091CFC"/>
    <w:rsid w:val="2809BD36"/>
    <w:rsid w:val="280A036B"/>
    <w:rsid w:val="280A64A3"/>
    <w:rsid w:val="280A68B8"/>
    <w:rsid w:val="280A7D1A"/>
    <w:rsid w:val="280B2F34"/>
    <w:rsid w:val="280B3FF9"/>
    <w:rsid w:val="280B9D76"/>
    <w:rsid w:val="280BC415"/>
    <w:rsid w:val="280BD76D"/>
    <w:rsid w:val="280BDE1A"/>
    <w:rsid w:val="280BEA7F"/>
    <w:rsid w:val="280CBBA4"/>
    <w:rsid w:val="280D7AEC"/>
    <w:rsid w:val="280E0320"/>
    <w:rsid w:val="280E11AD"/>
    <w:rsid w:val="280E5949"/>
    <w:rsid w:val="280E77FA"/>
    <w:rsid w:val="280E7A08"/>
    <w:rsid w:val="280E9B43"/>
    <w:rsid w:val="280F49B5"/>
    <w:rsid w:val="281034B0"/>
    <w:rsid w:val="28107CAA"/>
    <w:rsid w:val="28108C1F"/>
    <w:rsid w:val="281151B7"/>
    <w:rsid w:val="2811825C"/>
    <w:rsid w:val="2811FA18"/>
    <w:rsid w:val="28123BA2"/>
    <w:rsid w:val="28126B9F"/>
    <w:rsid w:val="28144295"/>
    <w:rsid w:val="2814A582"/>
    <w:rsid w:val="2814B491"/>
    <w:rsid w:val="28150430"/>
    <w:rsid w:val="2815DDA9"/>
    <w:rsid w:val="2815EEBC"/>
    <w:rsid w:val="2816B44A"/>
    <w:rsid w:val="28183A60"/>
    <w:rsid w:val="281945C8"/>
    <w:rsid w:val="2819F3DD"/>
    <w:rsid w:val="281A9C9F"/>
    <w:rsid w:val="281AF351"/>
    <w:rsid w:val="281B5196"/>
    <w:rsid w:val="281B8D06"/>
    <w:rsid w:val="281B93E8"/>
    <w:rsid w:val="281BB321"/>
    <w:rsid w:val="281BD0F5"/>
    <w:rsid w:val="281C5587"/>
    <w:rsid w:val="281EB01B"/>
    <w:rsid w:val="281ED73E"/>
    <w:rsid w:val="281F1BC0"/>
    <w:rsid w:val="281F3D32"/>
    <w:rsid w:val="281F42F1"/>
    <w:rsid w:val="281FA724"/>
    <w:rsid w:val="28204183"/>
    <w:rsid w:val="28209569"/>
    <w:rsid w:val="2820A253"/>
    <w:rsid w:val="2820FF5B"/>
    <w:rsid w:val="28211A0E"/>
    <w:rsid w:val="28216BDB"/>
    <w:rsid w:val="282266AC"/>
    <w:rsid w:val="28229743"/>
    <w:rsid w:val="28237A42"/>
    <w:rsid w:val="2823DCE0"/>
    <w:rsid w:val="282402A0"/>
    <w:rsid w:val="28243B84"/>
    <w:rsid w:val="28260241"/>
    <w:rsid w:val="28260E2B"/>
    <w:rsid w:val="2826389A"/>
    <w:rsid w:val="282676EE"/>
    <w:rsid w:val="2826BE88"/>
    <w:rsid w:val="2826ED17"/>
    <w:rsid w:val="2828B7D8"/>
    <w:rsid w:val="2829616E"/>
    <w:rsid w:val="282A031A"/>
    <w:rsid w:val="282A2518"/>
    <w:rsid w:val="282AE4F4"/>
    <w:rsid w:val="282B18B8"/>
    <w:rsid w:val="282C605A"/>
    <w:rsid w:val="282D2347"/>
    <w:rsid w:val="282D6DED"/>
    <w:rsid w:val="282DAD93"/>
    <w:rsid w:val="282DE905"/>
    <w:rsid w:val="282EDC53"/>
    <w:rsid w:val="282EE601"/>
    <w:rsid w:val="282F51DD"/>
    <w:rsid w:val="282FE98D"/>
    <w:rsid w:val="282FF0F7"/>
    <w:rsid w:val="28302EA9"/>
    <w:rsid w:val="2830E7E3"/>
    <w:rsid w:val="28310833"/>
    <w:rsid w:val="2831EDBB"/>
    <w:rsid w:val="28323105"/>
    <w:rsid w:val="28332881"/>
    <w:rsid w:val="2834C0D9"/>
    <w:rsid w:val="28353AA0"/>
    <w:rsid w:val="28354856"/>
    <w:rsid w:val="28357977"/>
    <w:rsid w:val="2835A32A"/>
    <w:rsid w:val="2837FC41"/>
    <w:rsid w:val="2838894A"/>
    <w:rsid w:val="28395839"/>
    <w:rsid w:val="283A5DA8"/>
    <w:rsid w:val="283B000E"/>
    <w:rsid w:val="283B92A5"/>
    <w:rsid w:val="283C0FA0"/>
    <w:rsid w:val="283CEBC4"/>
    <w:rsid w:val="283D5FA3"/>
    <w:rsid w:val="283DD3FB"/>
    <w:rsid w:val="283E5A59"/>
    <w:rsid w:val="283E6158"/>
    <w:rsid w:val="283F8CFF"/>
    <w:rsid w:val="283FCFD9"/>
    <w:rsid w:val="28403D34"/>
    <w:rsid w:val="284079E0"/>
    <w:rsid w:val="28419548"/>
    <w:rsid w:val="28421CB1"/>
    <w:rsid w:val="28427C04"/>
    <w:rsid w:val="2842B291"/>
    <w:rsid w:val="2842EFC3"/>
    <w:rsid w:val="284353C0"/>
    <w:rsid w:val="2843643D"/>
    <w:rsid w:val="2843748D"/>
    <w:rsid w:val="28438FA9"/>
    <w:rsid w:val="2843B4A0"/>
    <w:rsid w:val="2846B016"/>
    <w:rsid w:val="28476CB8"/>
    <w:rsid w:val="2847D245"/>
    <w:rsid w:val="2847DBD5"/>
    <w:rsid w:val="28481CC2"/>
    <w:rsid w:val="284945C6"/>
    <w:rsid w:val="284A50E7"/>
    <w:rsid w:val="284ACF4D"/>
    <w:rsid w:val="284BF72C"/>
    <w:rsid w:val="284C771C"/>
    <w:rsid w:val="284C9663"/>
    <w:rsid w:val="284DA049"/>
    <w:rsid w:val="284E516E"/>
    <w:rsid w:val="284E8B81"/>
    <w:rsid w:val="284FAB61"/>
    <w:rsid w:val="284FEE5F"/>
    <w:rsid w:val="285001B6"/>
    <w:rsid w:val="285011DC"/>
    <w:rsid w:val="28513766"/>
    <w:rsid w:val="2851E219"/>
    <w:rsid w:val="2852A216"/>
    <w:rsid w:val="28530365"/>
    <w:rsid w:val="2853095A"/>
    <w:rsid w:val="28530A6C"/>
    <w:rsid w:val="285335AF"/>
    <w:rsid w:val="28542A6A"/>
    <w:rsid w:val="285567DC"/>
    <w:rsid w:val="28556FEB"/>
    <w:rsid w:val="2855F379"/>
    <w:rsid w:val="2855FDEF"/>
    <w:rsid w:val="285634D8"/>
    <w:rsid w:val="28567988"/>
    <w:rsid w:val="2857C90F"/>
    <w:rsid w:val="2857FD9F"/>
    <w:rsid w:val="28581E08"/>
    <w:rsid w:val="28596445"/>
    <w:rsid w:val="28599B38"/>
    <w:rsid w:val="2859EB74"/>
    <w:rsid w:val="285AE7F6"/>
    <w:rsid w:val="285B1643"/>
    <w:rsid w:val="285B1E5D"/>
    <w:rsid w:val="285B4066"/>
    <w:rsid w:val="285B5DD5"/>
    <w:rsid w:val="285BD394"/>
    <w:rsid w:val="285BE5E9"/>
    <w:rsid w:val="285CFDE2"/>
    <w:rsid w:val="285D2BA1"/>
    <w:rsid w:val="285D32C3"/>
    <w:rsid w:val="285E6DE5"/>
    <w:rsid w:val="285F2A06"/>
    <w:rsid w:val="285F339A"/>
    <w:rsid w:val="285FC3A6"/>
    <w:rsid w:val="28607371"/>
    <w:rsid w:val="2860920B"/>
    <w:rsid w:val="2860CBDB"/>
    <w:rsid w:val="28610CC0"/>
    <w:rsid w:val="28611BA5"/>
    <w:rsid w:val="28619462"/>
    <w:rsid w:val="286212DB"/>
    <w:rsid w:val="2862173A"/>
    <w:rsid w:val="2862A6CF"/>
    <w:rsid w:val="28632671"/>
    <w:rsid w:val="28633ABB"/>
    <w:rsid w:val="2863437C"/>
    <w:rsid w:val="28639078"/>
    <w:rsid w:val="2864B47B"/>
    <w:rsid w:val="2865028E"/>
    <w:rsid w:val="28653DC0"/>
    <w:rsid w:val="28654284"/>
    <w:rsid w:val="2865EF9D"/>
    <w:rsid w:val="28668D1F"/>
    <w:rsid w:val="286751E3"/>
    <w:rsid w:val="286757A7"/>
    <w:rsid w:val="2868B96A"/>
    <w:rsid w:val="2868C1D3"/>
    <w:rsid w:val="28693C6A"/>
    <w:rsid w:val="286A4F74"/>
    <w:rsid w:val="286A5C01"/>
    <w:rsid w:val="286B480A"/>
    <w:rsid w:val="286BACA7"/>
    <w:rsid w:val="286BAD27"/>
    <w:rsid w:val="286C580E"/>
    <w:rsid w:val="286C65DA"/>
    <w:rsid w:val="286CAE98"/>
    <w:rsid w:val="286CE06D"/>
    <w:rsid w:val="286D11B4"/>
    <w:rsid w:val="286D823D"/>
    <w:rsid w:val="286DA155"/>
    <w:rsid w:val="286DB425"/>
    <w:rsid w:val="286DFCCC"/>
    <w:rsid w:val="286E52B2"/>
    <w:rsid w:val="286E958B"/>
    <w:rsid w:val="286EA4B5"/>
    <w:rsid w:val="286F190F"/>
    <w:rsid w:val="286F77C5"/>
    <w:rsid w:val="286FFFFC"/>
    <w:rsid w:val="28703283"/>
    <w:rsid w:val="2870C8C9"/>
    <w:rsid w:val="2870D1F7"/>
    <w:rsid w:val="2870FABC"/>
    <w:rsid w:val="287157B0"/>
    <w:rsid w:val="28716CC8"/>
    <w:rsid w:val="28720B6A"/>
    <w:rsid w:val="287290E4"/>
    <w:rsid w:val="2872FEDA"/>
    <w:rsid w:val="2873463D"/>
    <w:rsid w:val="28734EE6"/>
    <w:rsid w:val="2873943D"/>
    <w:rsid w:val="28747D83"/>
    <w:rsid w:val="287549A0"/>
    <w:rsid w:val="2875852A"/>
    <w:rsid w:val="28761E3B"/>
    <w:rsid w:val="2876AE0C"/>
    <w:rsid w:val="28775EB9"/>
    <w:rsid w:val="28786A42"/>
    <w:rsid w:val="2878A1FA"/>
    <w:rsid w:val="2878B6D1"/>
    <w:rsid w:val="28794ECB"/>
    <w:rsid w:val="2879B288"/>
    <w:rsid w:val="287A021C"/>
    <w:rsid w:val="287A2161"/>
    <w:rsid w:val="287A35E4"/>
    <w:rsid w:val="287ABD89"/>
    <w:rsid w:val="287BA2C8"/>
    <w:rsid w:val="287C5724"/>
    <w:rsid w:val="287CFA79"/>
    <w:rsid w:val="287DB105"/>
    <w:rsid w:val="287EAB7F"/>
    <w:rsid w:val="287FC4AC"/>
    <w:rsid w:val="2880F3B4"/>
    <w:rsid w:val="28811E14"/>
    <w:rsid w:val="288149DC"/>
    <w:rsid w:val="288176E2"/>
    <w:rsid w:val="2881D216"/>
    <w:rsid w:val="2882431B"/>
    <w:rsid w:val="2882B45B"/>
    <w:rsid w:val="2882EA6B"/>
    <w:rsid w:val="2884365C"/>
    <w:rsid w:val="2884731B"/>
    <w:rsid w:val="28849437"/>
    <w:rsid w:val="28850BBA"/>
    <w:rsid w:val="28851964"/>
    <w:rsid w:val="2886718C"/>
    <w:rsid w:val="2886B231"/>
    <w:rsid w:val="2887DC2D"/>
    <w:rsid w:val="288983F7"/>
    <w:rsid w:val="2889C8E4"/>
    <w:rsid w:val="288AA3A8"/>
    <w:rsid w:val="288ADDEA"/>
    <w:rsid w:val="288B2CC5"/>
    <w:rsid w:val="288BF99F"/>
    <w:rsid w:val="288C1E19"/>
    <w:rsid w:val="288C3356"/>
    <w:rsid w:val="288D0C1B"/>
    <w:rsid w:val="288D19B9"/>
    <w:rsid w:val="288E5597"/>
    <w:rsid w:val="288EA7C1"/>
    <w:rsid w:val="288ECE5F"/>
    <w:rsid w:val="288F7801"/>
    <w:rsid w:val="289051FC"/>
    <w:rsid w:val="2890C744"/>
    <w:rsid w:val="2891BB71"/>
    <w:rsid w:val="28925F8A"/>
    <w:rsid w:val="2892F148"/>
    <w:rsid w:val="28933DAB"/>
    <w:rsid w:val="289369C7"/>
    <w:rsid w:val="289369E4"/>
    <w:rsid w:val="28950FD0"/>
    <w:rsid w:val="28954BCE"/>
    <w:rsid w:val="28955640"/>
    <w:rsid w:val="289577A4"/>
    <w:rsid w:val="28976BFF"/>
    <w:rsid w:val="2897CBC6"/>
    <w:rsid w:val="28980707"/>
    <w:rsid w:val="28985ACE"/>
    <w:rsid w:val="289905DD"/>
    <w:rsid w:val="289A0333"/>
    <w:rsid w:val="289A2117"/>
    <w:rsid w:val="289A32A0"/>
    <w:rsid w:val="289A982C"/>
    <w:rsid w:val="289ACB2F"/>
    <w:rsid w:val="289C59B0"/>
    <w:rsid w:val="289CD8AC"/>
    <w:rsid w:val="289D552D"/>
    <w:rsid w:val="289DE966"/>
    <w:rsid w:val="289F64A6"/>
    <w:rsid w:val="28A0E634"/>
    <w:rsid w:val="28A1109A"/>
    <w:rsid w:val="28A28386"/>
    <w:rsid w:val="28A2B665"/>
    <w:rsid w:val="28A36698"/>
    <w:rsid w:val="28A38AC1"/>
    <w:rsid w:val="28A4B3BA"/>
    <w:rsid w:val="28A5398D"/>
    <w:rsid w:val="28A561ED"/>
    <w:rsid w:val="28A5A7D1"/>
    <w:rsid w:val="28A67263"/>
    <w:rsid w:val="28A781AD"/>
    <w:rsid w:val="28A7959B"/>
    <w:rsid w:val="28A800D2"/>
    <w:rsid w:val="28A82670"/>
    <w:rsid w:val="28A82DE4"/>
    <w:rsid w:val="28A83918"/>
    <w:rsid w:val="28A86259"/>
    <w:rsid w:val="28A89CDB"/>
    <w:rsid w:val="28A8F1BC"/>
    <w:rsid w:val="28A951A8"/>
    <w:rsid w:val="28A951E3"/>
    <w:rsid w:val="28A95653"/>
    <w:rsid w:val="28A99706"/>
    <w:rsid w:val="28A9ABBA"/>
    <w:rsid w:val="28AA2F38"/>
    <w:rsid w:val="28AA4BE2"/>
    <w:rsid w:val="28AA7EDF"/>
    <w:rsid w:val="28AA8799"/>
    <w:rsid w:val="28AAAF3C"/>
    <w:rsid w:val="28AAB261"/>
    <w:rsid w:val="28AB561E"/>
    <w:rsid w:val="28ACCAFF"/>
    <w:rsid w:val="28AD17D2"/>
    <w:rsid w:val="28AD397A"/>
    <w:rsid w:val="28AD77D7"/>
    <w:rsid w:val="28ADBD69"/>
    <w:rsid w:val="28AE8827"/>
    <w:rsid w:val="28AECC23"/>
    <w:rsid w:val="28AF9150"/>
    <w:rsid w:val="28AFF23B"/>
    <w:rsid w:val="28B07A10"/>
    <w:rsid w:val="28B140B3"/>
    <w:rsid w:val="28B15AF0"/>
    <w:rsid w:val="28B34489"/>
    <w:rsid w:val="28B3863B"/>
    <w:rsid w:val="28B39D29"/>
    <w:rsid w:val="28B4337F"/>
    <w:rsid w:val="28B4917B"/>
    <w:rsid w:val="28B4D423"/>
    <w:rsid w:val="28B6D652"/>
    <w:rsid w:val="28B70E81"/>
    <w:rsid w:val="28B74B8E"/>
    <w:rsid w:val="28B79D0A"/>
    <w:rsid w:val="28B8FFF1"/>
    <w:rsid w:val="28B90309"/>
    <w:rsid w:val="28B9061E"/>
    <w:rsid w:val="28B9FD6E"/>
    <w:rsid w:val="28BA1FDB"/>
    <w:rsid w:val="28BA2696"/>
    <w:rsid w:val="28BB0DBE"/>
    <w:rsid w:val="28BBC2F3"/>
    <w:rsid w:val="28BBDC02"/>
    <w:rsid w:val="28BCC6F7"/>
    <w:rsid w:val="28BE236A"/>
    <w:rsid w:val="28BEF68E"/>
    <w:rsid w:val="28BF4CEA"/>
    <w:rsid w:val="28BF8D2A"/>
    <w:rsid w:val="28BFEA5A"/>
    <w:rsid w:val="28C00CD8"/>
    <w:rsid w:val="28C05CBC"/>
    <w:rsid w:val="28C11FDF"/>
    <w:rsid w:val="28C143F9"/>
    <w:rsid w:val="28C18E2A"/>
    <w:rsid w:val="28C1ABA0"/>
    <w:rsid w:val="28C1F5C8"/>
    <w:rsid w:val="28C22911"/>
    <w:rsid w:val="28C26B0C"/>
    <w:rsid w:val="28C29156"/>
    <w:rsid w:val="28C2D5F2"/>
    <w:rsid w:val="28C2F778"/>
    <w:rsid w:val="28C33C8B"/>
    <w:rsid w:val="28C39CF3"/>
    <w:rsid w:val="28C45077"/>
    <w:rsid w:val="28C461D8"/>
    <w:rsid w:val="28C49DE3"/>
    <w:rsid w:val="28C5773A"/>
    <w:rsid w:val="28C6D457"/>
    <w:rsid w:val="28C713D5"/>
    <w:rsid w:val="28C772B8"/>
    <w:rsid w:val="28C7D71E"/>
    <w:rsid w:val="28C85A4F"/>
    <w:rsid w:val="28C903EC"/>
    <w:rsid w:val="28C928C1"/>
    <w:rsid w:val="28C960FD"/>
    <w:rsid w:val="28C9F9E7"/>
    <w:rsid w:val="28CA8278"/>
    <w:rsid w:val="28CAAAF2"/>
    <w:rsid w:val="28CCDC3C"/>
    <w:rsid w:val="28CCEB6C"/>
    <w:rsid w:val="28CD4308"/>
    <w:rsid w:val="28CF813C"/>
    <w:rsid w:val="28D0BE9C"/>
    <w:rsid w:val="28D15CAD"/>
    <w:rsid w:val="28D1A449"/>
    <w:rsid w:val="28D22E60"/>
    <w:rsid w:val="28D26490"/>
    <w:rsid w:val="28D2C96B"/>
    <w:rsid w:val="28D406D0"/>
    <w:rsid w:val="28D45CFF"/>
    <w:rsid w:val="28D478A5"/>
    <w:rsid w:val="28D4ABF3"/>
    <w:rsid w:val="28D4C96D"/>
    <w:rsid w:val="28D5E12C"/>
    <w:rsid w:val="28D5F5C9"/>
    <w:rsid w:val="28D784E8"/>
    <w:rsid w:val="28D7D175"/>
    <w:rsid w:val="28D7F708"/>
    <w:rsid w:val="28DA3117"/>
    <w:rsid w:val="28DA66AD"/>
    <w:rsid w:val="28DC2357"/>
    <w:rsid w:val="28DC6C06"/>
    <w:rsid w:val="28DD9172"/>
    <w:rsid w:val="28DDB368"/>
    <w:rsid w:val="28DDB7EA"/>
    <w:rsid w:val="28DDC221"/>
    <w:rsid w:val="28DDE227"/>
    <w:rsid w:val="28DE2EF5"/>
    <w:rsid w:val="28DE412F"/>
    <w:rsid w:val="28DE5A41"/>
    <w:rsid w:val="28DEAE65"/>
    <w:rsid w:val="28DF935D"/>
    <w:rsid w:val="28E0547C"/>
    <w:rsid w:val="28E0552C"/>
    <w:rsid w:val="28E0942E"/>
    <w:rsid w:val="28E26938"/>
    <w:rsid w:val="28E35DBD"/>
    <w:rsid w:val="28E3970A"/>
    <w:rsid w:val="28E3CEF5"/>
    <w:rsid w:val="28E61ACB"/>
    <w:rsid w:val="28E6D57C"/>
    <w:rsid w:val="28E7BE2C"/>
    <w:rsid w:val="28E81548"/>
    <w:rsid w:val="28E88ADD"/>
    <w:rsid w:val="28E89A12"/>
    <w:rsid w:val="28E8AA32"/>
    <w:rsid w:val="28E91E99"/>
    <w:rsid w:val="28E99782"/>
    <w:rsid w:val="28E9D147"/>
    <w:rsid w:val="28E9D6B8"/>
    <w:rsid w:val="28E9DE81"/>
    <w:rsid w:val="28E9E31F"/>
    <w:rsid w:val="28E9E666"/>
    <w:rsid w:val="28EB2FC2"/>
    <w:rsid w:val="28EBA1B0"/>
    <w:rsid w:val="28EBE967"/>
    <w:rsid w:val="28ECAF9B"/>
    <w:rsid w:val="28ECB179"/>
    <w:rsid w:val="28ECB426"/>
    <w:rsid w:val="28ED3C41"/>
    <w:rsid w:val="28EDDFB4"/>
    <w:rsid w:val="28EDEB1A"/>
    <w:rsid w:val="28EE012A"/>
    <w:rsid w:val="28EE2A4F"/>
    <w:rsid w:val="28EE3C83"/>
    <w:rsid w:val="28EE6B2B"/>
    <w:rsid w:val="28EE95C7"/>
    <w:rsid w:val="28F040F9"/>
    <w:rsid w:val="28F05FF5"/>
    <w:rsid w:val="28F0F228"/>
    <w:rsid w:val="28F113EB"/>
    <w:rsid w:val="28F20354"/>
    <w:rsid w:val="28F34BAF"/>
    <w:rsid w:val="28F53328"/>
    <w:rsid w:val="28F5ADB2"/>
    <w:rsid w:val="28FA2CEA"/>
    <w:rsid w:val="28FA46A0"/>
    <w:rsid w:val="28FAC1D4"/>
    <w:rsid w:val="28FAD725"/>
    <w:rsid w:val="28FADC0F"/>
    <w:rsid w:val="28FBA041"/>
    <w:rsid w:val="28FBE764"/>
    <w:rsid w:val="28FCE86C"/>
    <w:rsid w:val="28FD6756"/>
    <w:rsid w:val="28FEA3A5"/>
    <w:rsid w:val="28FEB063"/>
    <w:rsid w:val="28FF0B52"/>
    <w:rsid w:val="28FFBEAE"/>
    <w:rsid w:val="28FFF146"/>
    <w:rsid w:val="29001265"/>
    <w:rsid w:val="29008896"/>
    <w:rsid w:val="2900C15E"/>
    <w:rsid w:val="29014343"/>
    <w:rsid w:val="290195E1"/>
    <w:rsid w:val="29031D55"/>
    <w:rsid w:val="2903693C"/>
    <w:rsid w:val="29043A89"/>
    <w:rsid w:val="29049005"/>
    <w:rsid w:val="290542A6"/>
    <w:rsid w:val="29057A8B"/>
    <w:rsid w:val="29058FF9"/>
    <w:rsid w:val="2905B2C5"/>
    <w:rsid w:val="2906593C"/>
    <w:rsid w:val="2906D2EB"/>
    <w:rsid w:val="29075CF8"/>
    <w:rsid w:val="2907673E"/>
    <w:rsid w:val="29087C32"/>
    <w:rsid w:val="29087C4D"/>
    <w:rsid w:val="29087F15"/>
    <w:rsid w:val="290AA261"/>
    <w:rsid w:val="290ABAC3"/>
    <w:rsid w:val="290ADBB4"/>
    <w:rsid w:val="290B68C2"/>
    <w:rsid w:val="290D6994"/>
    <w:rsid w:val="290D6BC0"/>
    <w:rsid w:val="290E8C8C"/>
    <w:rsid w:val="290EA423"/>
    <w:rsid w:val="29111C9F"/>
    <w:rsid w:val="29124C65"/>
    <w:rsid w:val="291271D7"/>
    <w:rsid w:val="2912893D"/>
    <w:rsid w:val="29136C71"/>
    <w:rsid w:val="2913AF89"/>
    <w:rsid w:val="2913CDAC"/>
    <w:rsid w:val="2913DA62"/>
    <w:rsid w:val="29141D74"/>
    <w:rsid w:val="29148382"/>
    <w:rsid w:val="2914CDD7"/>
    <w:rsid w:val="29150165"/>
    <w:rsid w:val="29150646"/>
    <w:rsid w:val="2915C7CF"/>
    <w:rsid w:val="29163A3D"/>
    <w:rsid w:val="29176490"/>
    <w:rsid w:val="2917F78A"/>
    <w:rsid w:val="2917FAA8"/>
    <w:rsid w:val="291809FA"/>
    <w:rsid w:val="29187C8E"/>
    <w:rsid w:val="2918D705"/>
    <w:rsid w:val="2918DF56"/>
    <w:rsid w:val="2919BED6"/>
    <w:rsid w:val="291A5336"/>
    <w:rsid w:val="291C0686"/>
    <w:rsid w:val="291E6428"/>
    <w:rsid w:val="291E6681"/>
    <w:rsid w:val="291E6E5F"/>
    <w:rsid w:val="291F3F30"/>
    <w:rsid w:val="291FB0D3"/>
    <w:rsid w:val="2922396A"/>
    <w:rsid w:val="2922C477"/>
    <w:rsid w:val="29230530"/>
    <w:rsid w:val="2923B516"/>
    <w:rsid w:val="29241DDA"/>
    <w:rsid w:val="2924B369"/>
    <w:rsid w:val="2925D8D5"/>
    <w:rsid w:val="29267C23"/>
    <w:rsid w:val="292680D2"/>
    <w:rsid w:val="292689AE"/>
    <w:rsid w:val="2926C90F"/>
    <w:rsid w:val="2926F551"/>
    <w:rsid w:val="292723F3"/>
    <w:rsid w:val="2927D621"/>
    <w:rsid w:val="292904D5"/>
    <w:rsid w:val="292963B4"/>
    <w:rsid w:val="29298397"/>
    <w:rsid w:val="2929C1E1"/>
    <w:rsid w:val="2929ED4D"/>
    <w:rsid w:val="292A1F8C"/>
    <w:rsid w:val="292AEF38"/>
    <w:rsid w:val="292B11B9"/>
    <w:rsid w:val="292BBBD6"/>
    <w:rsid w:val="292D204C"/>
    <w:rsid w:val="292D8C0C"/>
    <w:rsid w:val="292DCD95"/>
    <w:rsid w:val="292DDD3C"/>
    <w:rsid w:val="292EF0F2"/>
    <w:rsid w:val="292F3457"/>
    <w:rsid w:val="292F3AF9"/>
    <w:rsid w:val="29328F72"/>
    <w:rsid w:val="2932ED14"/>
    <w:rsid w:val="2934F8ED"/>
    <w:rsid w:val="29353821"/>
    <w:rsid w:val="2935A206"/>
    <w:rsid w:val="29368D77"/>
    <w:rsid w:val="29370483"/>
    <w:rsid w:val="29382AEF"/>
    <w:rsid w:val="293850F9"/>
    <w:rsid w:val="29392225"/>
    <w:rsid w:val="293929A9"/>
    <w:rsid w:val="29395965"/>
    <w:rsid w:val="2939CCC5"/>
    <w:rsid w:val="2939D103"/>
    <w:rsid w:val="293AB020"/>
    <w:rsid w:val="293B48AD"/>
    <w:rsid w:val="293BA905"/>
    <w:rsid w:val="293C4B8C"/>
    <w:rsid w:val="293C9C5E"/>
    <w:rsid w:val="293CB43B"/>
    <w:rsid w:val="293CB710"/>
    <w:rsid w:val="293CC85A"/>
    <w:rsid w:val="293CD7F4"/>
    <w:rsid w:val="293CF17D"/>
    <w:rsid w:val="293D2033"/>
    <w:rsid w:val="293D5287"/>
    <w:rsid w:val="293DCB78"/>
    <w:rsid w:val="293DF630"/>
    <w:rsid w:val="293E2A9E"/>
    <w:rsid w:val="293E84BF"/>
    <w:rsid w:val="29412642"/>
    <w:rsid w:val="29412CD3"/>
    <w:rsid w:val="294187D4"/>
    <w:rsid w:val="2941998A"/>
    <w:rsid w:val="2943F527"/>
    <w:rsid w:val="294490A0"/>
    <w:rsid w:val="294509FD"/>
    <w:rsid w:val="29461402"/>
    <w:rsid w:val="294640A8"/>
    <w:rsid w:val="2946AE93"/>
    <w:rsid w:val="2946B00C"/>
    <w:rsid w:val="2947919C"/>
    <w:rsid w:val="2948A29F"/>
    <w:rsid w:val="2948A908"/>
    <w:rsid w:val="2948B6EA"/>
    <w:rsid w:val="2949C647"/>
    <w:rsid w:val="294A4117"/>
    <w:rsid w:val="294A4920"/>
    <w:rsid w:val="294A99E2"/>
    <w:rsid w:val="294B3BD8"/>
    <w:rsid w:val="294B7C05"/>
    <w:rsid w:val="294C8BEF"/>
    <w:rsid w:val="294D0978"/>
    <w:rsid w:val="294D7D15"/>
    <w:rsid w:val="294DFB5A"/>
    <w:rsid w:val="294EBA41"/>
    <w:rsid w:val="294EDEDF"/>
    <w:rsid w:val="294EFBC2"/>
    <w:rsid w:val="294F38B1"/>
    <w:rsid w:val="294F5EEA"/>
    <w:rsid w:val="294F8AC3"/>
    <w:rsid w:val="2950F03D"/>
    <w:rsid w:val="29511A4C"/>
    <w:rsid w:val="2951DAC7"/>
    <w:rsid w:val="2952A986"/>
    <w:rsid w:val="2952FBA7"/>
    <w:rsid w:val="2953111C"/>
    <w:rsid w:val="29532241"/>
    <w:rsid w:val="295323C0"/>
    <w:rsid w:val="2953C80B"/>
    <w:rsid w:val="2953DB06"/>
    <w:rsid w:val="29548A38"/>
    <w:rsid w:val="29550085"/>
    <w:rsid w:val="29554B34"/>
    <w:rsid w:val="295598E6"/>
    <w:rsid w:val="2956F0E6"/>
    <w:rsid w:val="295707AB"/>
    <w:rsid w:val="2957DE3F"/>
    <w:rsid w:val="295861E9"/>
    <w:rsid w:val="2958FF24"/>
    <w:rsid w:val="295991D1"/>
    <w:rsid w:val="295A8A2D"/>
    <w:rsid w:val="295AABEA"/>
    <w:rsid w:val="295BAA94"/>
    <w:rsid w:val="295BAB17"/>
    <w:rsid w:val="295C7098"/>
    <w:rsid w:val="295C7887"/>
    <w:rsid w:val="295C92EB"/>
    <w:rsid w:val="295CAB4C"/>
    <w:rsid w:val="295CB0D7"/>
    <w:rsid w:val="295D57C3"/>
    <w:rsid w:val="295DB1BC"/>
    <w:rsid w:val="295E1204"/>
    <w:rsid w:val="295E5F3C"/>
    <w:rsid w:val="295F5ECD"/>
    <w:rsid w:val="295FA547"/>
    <w:rsid w:val="29606F74"/>
    <w:rsid w:val="296203CB"/>
    <w:rsid w:val="2963002B"/>
    <w:rsid w:val="29632684"/>
    <w:rsid w:val="2963317F"/>
    <w:rsid w:val="29639CFA"/>
    <w:rsid w:val="29641909"/>
    <w:rsid w:val="29645583"/>
    <w:rsid w:val="2966F6DD"/>
    <w:rsid w:val="296753EE"/>
    <w:rsid w:val="2968052B"/>
    <w:rsid w:val="29681D7F"/>
    <w:rsid w:val="296876A8"/>
    <w:rsid w:val="2968C4A3"/>
    <w:rsid w:val="2969C46B"/>
    <w:rsid w:val="2969F53E"/>
    <w:rsid w:val="2969FFE0"/>
    <w:rsid w:val="296A2AA0"/>
    <w:rsid w:val="296A46B7"/>
    <w:rsid w:val="296A65A5"/>
    <w:rsid w:val="296B43F2"/>
    <w:rsid w:val="296B7FE3"/>
    <w:rsid w:val="296C18DC"/>
    <w:rsid w:val="296CA26E"/>
    <w:rsid w:val="296D1104"/>
    <w:rsid w:val="296D156D"/>
    <w:rsid w:val="296E4EE6"/>
    <w:rsid w:val="296E749C"/>
    <w:rsid w:val="296EC701"/>
    <w:rsid w:val="296EEEF9"/>
    <w:rsid w:val="296F71AE"/>
    <w:rsid w:val="296FBC47"/>
    <w:rsid w:val="296FC01B"/>
    <w:rsid w:val="296FC34E"/>
    <w:rsid w:val="296FF1FD"/>
    <w:rsid w:val="29708C16"/>
    <w:rsid w:val="2970B05A"/>
    <w:rsid w:val="29711E0C"/>
    <w:rsid w:val="29711E35"/>
    <w:rsid w:val="2971B57A"/>
    <w:rsid w:val="29736DB8"/>
    <w:rsid w:val="29737866"/>
    <w:rsid w:val="2973D07B"/>
    <w:rsid w:val="297409A7"/>
    <w:rsid w:val="29741CEF"/>
    <w:rsid w:val="29751470"/>
    <w:rsid w:val="2975261B"/>
    <w:rsid w:val="2977E96F"/>
    <w:rsid w:val="29780E3E"/>
    <w:rsid w:val="29781DE0"/>
    <w:rsid w:val="297831F1"/>
    <w:rsid w:val="29785EE3"/>
    <w:rsid w:val="29785F12"/>
    <w:rsid w:val="29799F5E"/>
    <w:rsid w:val="2979BEDE"/>
    <w:rsid w:val="297A9429"/>
    <w:rsid w:val="297B04FB"/>
    <w:rsid w:val="297C4FF8"/>
    <w:rsid w:val="297C9D16"/>
    <w:rsid w:val="297CF9F3"/>
    <w:rsid w:val="297D6AF4"/>
    <w:rsid w:val="297D7C54"/>
    <w:rsid w:val="297E6E45"/>
    <w:rsid w:val="297E9B60"/>
    <w:rsid w:val="297F1F01"/>
    <w:rsid w:val="297FD8D6"/>
    <w:rsid w:val="29801EC6"/>
    <w:rsid w:val="2980A25B"/>
    <w:rsid w:val="29815AE0"/>
    <w:rsid w:val="298190A1"/>
    <w:rsid w:val="2981DDFD"/>
    <w:rsid w:val="2982D8A3"/>
    <w:rsid w:val="29830202"/>
    <w:rsid w:val="298311C7"/>
    <w:rsid w:val="29833AEC"/>
    <w:rsid w:val="2983B631"/>
    <w:rsid w:val="29843470"/>
    <w:rsid w:val="298521B9"/>
    <w:rsid w:val="29861DF4"/>
    <w:rsid w:val="2986F443"/>
    <w:rsid w:val="29871F62"/>
    <w:rsid w:val="29875AD6"/>
    <w:rsid w:val="298840C4"/>
    <w:rsid w:val="298849E4"/>
    <w:rsid w:val="29887973"/>
    <w:rsid w:val="29894C43"/>
    <w:rsid w:val="2989E1D7"/>
    <w:rsid w:val="2989E266"/>
    <w:rsid w:val="2989FA7D"/>
    <w:rsid w:val="298A8D6F"/>
    <w:rsid w:val="298B09A0"/>
    <w:rsid w:val="298B0A41"/>
    <w:rsid w:val="298BA3B4"/>
    <w:rsid w:val="298C445E"/>
    <w:rsid w:val="298DF416"/>
    <w:rsid w:val="298F21B4"/>
    <w:rsid w:val="29915CAD"/>
    <w:rsid w:val="2991CCF6"/>
    <w:rsid w:val="2991D0E9"/>
    <w:rsid w:val="2991E301"/>
    <w:rsid w:val="29922078"/>
    <w:rsid w:val="29923924"/>
    <w:rsid w:val="2992B6B3"/>
    <w:rsid w:val="2992FF0B"/>
    <w:rsid w:val="29931EE0"/>
    <w:rsid w:val="299407D3"/>
    <w:rsid w:val="29941BDA"/>
    <w:rsid w:val="29954726"/>
    <w:rsid w:val="29958F96"/>
    <w:rsid w:val="299762F5"/>
    <w:rsid w:val="2998022A"/>
    <w:rsid w:val="299870F4"/>
    <w:rsid w:val="2998AE76"/>
    <w:rsid w:val="2998B266"/>
    <w:rsid w:val="29991A92"/>
    <w:rsid w:val="29993908"/>
    <w:rsid w:val="2999C319"/>
    <w:rsid w:val="2999FB7C"/>
    <w:rsid w:val="299A0322"/>
    <w:rsid w:val="299A4094"/>
    <w:rsid w:val="299A53D3"/>
    <w:rsid w:val="299A65E3"/>
    <w:rsid w:val="299B14FD"/>
    <w:rsid w:val="299BC1EB"/>
    <w:rsid w:val="299BFCA7"/>
    <w:rsid w:val="299C0DC2"/>
    <w:rsid w:val="299C2209"/>
    <w:rsid w:val="299C3D68"/>
    <w:rsid w:val="299C89C6"/>
    <w:rsid w:val="299E59FA"/>
    <w:rsid w:val="299EF3F5"/>
    <w:rsid w:val="299F27AD"/>
    <w:rsid w:val="299F5895"/>
    <w:rsid w:val="299F91A1"/>
    <w:rsid w:val="299FB4B2"/>
    <w:rsid w:val="299FBA16"/>
    <w:rsid w:val="299FD82B"/>
    <w:rsid w:val="29A04DD8"/>
    <w:rsid w:val="29A0C2A6"/>
    <w:rsid w:val="29A144B2"/>
    <w:rsid w:val="29A14E54"/>
    <w:rsid w:val="29A2D71F"/>
    <w:rsid w:val="29A2D924"/>
    <w:rsid w:val="29A313D0"/>
    <w:rsid w:val="29A3B6C1"/>
    <w:rsid w:val="29A3C17D"/>
    <w:rsid w:val="29A4412A"/>
    <w:rsid w:val="29A4B0D5"/>
    <w:rsid w:val="29A5216B"/>
    <w:rsid w:val="29A62D0D"/>
    <w:rsid w:val="29A65486"/>
    <w:rsid w:val="29A7185B"/>
    <w:rsid w:val="29A7DEDC"/>
    <w:rsid w:val="29A83838"/>
    <w:rsid w:val="29A866B8"/>
    <w:rsid w:val="29A9BACC"/>
    <w:rsid w:val="29AB617C"/>
    <w:rsid w:val="29ABAC09"/>
    <w:rsid w:val="29ABB2D9"/>
    <w:rsid w:val="29AC7B67"/>
    <w:rsid w:val="29ADEE27"/>
    <w:rsid w:val="29ADF043"/>
    <w:rsid w:val="29AE6349"/>
    <w:rsid w:val="29AF89E9"/>
    <w:rsid w:val="29B031AA"/>
    <w:rsid w:val="29B0959D"/>
    <w:rsid w:val="29B115ED"/>
    <w:rsid w:val="29B162D1"/>
    <w:rsid w:val="29B22BCB"/>
    <w:rsid w:val="29B23540"/>
    <w:rsid w:val="29B3494A"/>
    <w:rsid w:val="29B35EF5"/>
    <w:rsid w:val="29B39BE5"/>
    <w:rsid w:val="29B3CDB9"/>
    <w:rsid w:val="29B472C1"/>
    <w:rsid w:val="29B4C3DD"/>
    <w:rsid w:val="29B50EA7"/>
    <w:rsid w:val="29B51FDD"/>
    <w:rsid w:val="29B5D353"/>
    <w:rsid w:val="29B67617"/>
    <w:rsid w:val="29B698F6"/>
    <w:rsid w:val="29B73CC4"/>
    <w:rsid w:val="29B77C72"/>
    <w:rsid w:val="29B7DE93"/>
    <w:rsid w:val="29B8F397"/>
    <w:rsid w:val="29B94405"/>
    <w:rsid w:val="29B95174"/>
    <w:rsid w:val="29BBCBB6"/>
    <w:rsid w:val="29BC59A8"/>
    <w:rsid w:val="29BD98BD"/>
    <w:rsid w:val="29BE0461"/>
    <w:rsid w:val="29BE482A"/>
    <w:rsid w:val="29BE85B3"/>
    <w:rsid w:val="29BF5D6D"/>
    <w:rsid w:val="29BFEC74"/>
    <w:rsid w:val="29C1192D"/>
    <w:rsid w:val="29C1527E"/>
    <w:rsid w:val="29C17EA3"/>
    <w:rsid w:val="29C18A8A"/>
    <w:rsid w:val="29C1E644"/>
    <w:rsid w:val="29C225FD"/>
    <w:rsid w:val="29C2CA8E"/>
    <w:rsid w:val="29C30220"/>
    <w:rsid w:val="29C4134C"/>
    <w:rsid w:val="29C4571B"/>
    <w:rsid w:val="29C59EC9"/>
    <w:rsid w:val="29C5AC18"/>
    <w:rsid w:val="29C5CD28"/>
    <w:rsid w:val="29C677CC"/>
    <w:rsid w:val="29C71E99"/>
    <w:rsid w:val="29C74D0F"/>
    <w:rsid w:val="29C7F4C2"/>
    <w:rsid w:val="29C841A7"/>
    <w:rsid w:val="29C86898"/>
    <w:rsid w:val="29C9B63B"/>
    <w:rsid w:val="29CA04E2"/>
    <w:rsid w:val="29CA5146"/>
    <w:rsid w:val="29CA6B7B"/>
    <w:rsid w:val="29CAF55F"/>
    <w:rsid w:val="29CB1EE7"/>
    <w:rsid w:val="29CB74A0"/>
    <w:rsid w:val="29CB9E50"/>
    <w:rsid w:val="29CBD754"/>
    <w:rsid w:val="29CDA852"/>
    <w:rsid w:val="29CDC47D"/>
    <w:rsid w:val="29CDD1A3"/>
    <w:rsid w:val="29CE17A6"/>
    <w:rsid w:val="29CE2DCC"/>
    <w:rsid w:val="29CE3BDD"/>
    <w:rsid w:val="29CEC826"/>
    <w:rsid w:val="29CF5C38"/>
    <w:rsid w:val="29CFEB9E"/>
    <w:rsid w:val="29D0B2FF"/>
    <w:rsid w:val="29D16CDA"/>
    <w:rsid w:val="29D180DB"/>
    <w:rsid w:val="29D1E9F8"/>
    <w:rsid w:val="29D26F1F"/>
    <w:rsid w:val="29D5BD8B"/>
    <w:rsid w:val="29D61B79"/>
    <w:rsid w:val="29D65AFF"/>
    <w:rsid w:val="29D71BF9"/>
    <w:rsid w:val="29D740CD"/>
    <w:rsid w:val="29D75754"/>
    <w:rsid w:val="29D77448"/>
    <w:rsid w:val="29D78BA9"/>
    <w:rsid w:val="29D823A5"/>
    <w:rsid w:val="29D8E7D0"/>
    <w:rsid w:val="29D9BAA9"/>
    <w:rsid w:val="29D9DA9F"/>
    <w:rsid w:val="29D9DC67"/>
    <w:rsid w:val="29D9F5E7"/>
    <w:rsid w:val="29DA3C91"/>
    <w:rsid w:val="29DA98B5"/>
    <w:rsid w:val="29DAE9A9"/>
    <w:rsid w:val="29DC3982"/>
    <w:rsid w:val="29DC4D10"/>
    <w:rsid w:val="29DCBF1E"/>
    <w:rsid w:val="29DD42EE"/>
    <w:rsid w:val="29DDDB05"/>
    <w:rsid w:val="29DE219B"/>
    <w:rsid w:val="29DE3378"/>
    <w:rsid w:val="29DE44DE"/>
    <w:rsid w:val="29DE8C40"/>
    <w:rsid w:val="29DF956B"/>
    <w:rsid w:val="29DFCCDC"/>
    <w:rsid w:val="29E01E83"/>
    <w:rsid w:val="29E0BCE4"/>
    <w:rsid w:val="29E0D0CE"/>
    <w:rsid w:val="29E11E54"/>
    <w:rsid w:val="29E1DDA7"/>
    <w:rsid w:val="29E278DD"/>
    <w:rsid w:val="29E2B090"/>
    <w:rsid w:val="29E34C52"/>
    <w:rsid w:val="29E364D8"/>
    <w:rsid w:val="29E377B1"/>
    <w:rsid w:val="29E48C54"/>
    <w:rsid w:val="29E4E8BC"/>
    <w:rsid w:val="29E5735B"/>
    <w:rsid w:val="29E5D1A0"/>
    <w:rsid w:val="29E5D5B3"/>
    <w:rsid w:val="29E641F7"/>
    <w:rsid w:val="29E65103"/>
    <w:rsid w:val="29E65D5A"/>
    <w:rsid w:val="29E6EDD1"/>
    <w:rsid w:val="29E73C03"/>
    <w:rsid w:val="29E73EC0"/>
    <w:rsid w:val="29E766E4"/>
    <w:rsid w:val="29E78997"/>
    <w:rsid w:val="29E79726"/>
    <w:rsid w:val="29E7A7BD"/>
    <w:rsid w:val="29E7B87A"/>
    <w:rsid w:val="29E7EEC2"/>
    <w:rsid w:val="29E804F8"/>
    <w:rsid w:val="29E81C14"/>
    <w:rsid w:val="29EAB53A"/>
    <w:rsid w:val="29EAFF4C"/>
    <w:rsid w:val="29EB1E17"/>
    <w:rsid w:val="29EBBB3F"/>
    <w:rsid w:val="29ECC9EA"/>
    <w:rsid w:val="29ED2112"/>
    <w:rsid w:val="29EE3781"/>
    <w:rsid w:val="29EE3BD5"/>
    <w:rsid w:val="29EE6D94"/>
    <w:rsid w:val="29EF6374"/>
    <w:rsid w:val="29EF64B2"/>
    <w:rsid w:val="29EFF640"/>
    <w:rsid w:val="29F04700"/>
    <w:rsid w:val="29F06AD6"/>
    <w:rsid w:val="29F0DA62"/>
    <w:rsid w:val="29F0E666"/>
    <w:rsid w:val="29F0F559"/>
    <w:rsid w:val="29F1E8A0"/>
    <w:rsid w:val="29F2FF78"/>
    <w:rsid w:val="29F34A6B"/>
    <w:rsid w:val="29F357CF"/>
    <w:rsid w:val="29F3748B"/>
    <w:rsid w:val="29F3EFA3"/>
    <w:rsid w:val="29F3F195"/>
    <w:rsid w:val="29F49A33"/>
    <w:rsid w:val="29F4D16C"/>
    <w:rsid w:val="29F511A6"/>
    <w:rsid w:val="29F52093"/>
    <w:rsid w:val="29F54DFE"/>
    <w:rsid w:val="29F57C8F"/>
    <w:rsid w:val="29F5BA04"/>
    <w:rsid w:val="29F69506"/>
    <w:rsid w:val="29F7EC7A"/>
    <w:rsid w:val="29F86C54"/>
    <w:rsid w:val="29F8BA71"/>
    <w:rsid w:val="29F8FAC1"/>
    <w:rsid w:val="29F9FA0A"/>
    <w:rsid w:val="29FA853F"/>
    <w:rsid w:val="29FAA4FC"/>
    <w:rsid w:val="29FB4CC7"/>
    <w:rsid w:val="29FB5CA2"/>
    <w:rsid w:val="29FB805B"/>
    <w:rsid w:val="29FBA6FC"/>
    <w:rsid w:val="29FCD41D"/>
    <w:rsid w:val="29FCE25C"/>
    <w:rsid w:val="29FD65DB"/>
    <w:rsid w:val="29FD825B"/>
    <w:rsid w:val="29FDFC74"/>
    <w:rsid w:val="29FE52EC"/>
    <w:rsid w:val="29FEF469"/>
    <w:rsid w:val="29FF1F44"/>
    <w:rsid w:val="29FF984B"/>
    <w:rsid w:val="2A00C631"/>
    <w:rsid w:val="2A02531E"/>
    <w:rsid w:val="2A02AAA1"/>
    <w:rsid w:val="2A03C0A0"/>
    <w:rsid w:val="2A043388"/>
    <w:rsid w:val="2A0474C8"/>
    <w:rsid w:val="2A05169B"/>
    <w:rsid w:val="2A05FF45"/>
    <w:rsid w:val="2A080B4D"/>
    <w:rsid w:val="2A0867FF"/>
    <w:rsid w:val="2A086DCB"/>
    <w:rsid w:val="2A0891B6"/>
    <w:rsid w:val="2A08C617"/>
    <w:rsid w:val="2A0A13BC"/>
    <w:rsid w:val="2A0A1CE3"/>
    <w:rsid w:val="2A0A7D8E"/>
    <w:rsid w:val="2A0AA2BE"/>
    <w:rsid w:val="2A0B565B"/>
    <w:rsid w:val="2A0C4917"/>
    <w:rsid w:val="2A0C538E"/>
    <w:rsid w:val="2A0CB5A4"/>
    <w:rsid w:val="2A0CCAD3"/>
    <w:rsid w:val="2A0D9CD9"/>
    <w:rsid w:val="2A0E38EF"/>
    <w:rsid w:val="2A0FF664"/>
    <w:rsid w:val="2A0FFBA6"/>
    <w:rsid w:val="2A1016BF"/>
    <w:rsid w:val="2A102C77"/>
    <w:rsid w:val="2A10D7ED"/>
    <w:rsid w:val="2A114C8A"/>
    <w:rsid w:val="2A11F0D0"/>
    <w:rsid w:val="2A12A2FF"/>
    <w:rsid w:val="2A12E335"/>
    <w:rsid w:val="2A12F011"/>
    <w:rsid w:val="2A1325D4"/>
    <w:rsid w:val="2A134440"/>
    <w:rsid w:val="2A13DBBC"/>
    <w:rsid w:val="2A153F19"/>
    <w:rsid w:val="2A15A3E5"/>
    <w:rsid w:val="2A161951"/>
    <w:rsid w:val="2A164C76"/>
    <w:rsid w:val="2A16D5E0"/>
    <w:rsid w:val="2A16F3AC"/>
    <w:rsid w:val="2A17FD97"/>
    <w:rsid w:val="2A182DB8"/>
    <w:rsid w:val="2A1868C2"/>
    <w:rsid w:val="2A188DFF"/>
    <w:rsid w:val="2A18B25E"/>
    <w:rsid w:val="2A18D6A5"/>
    <w:rsid w:val="2A1A0575"/>
    <w:rsid w:val="2A1A5354"/>
    <w:rsid w:val="2A1ACCB9"/>
    <w:rsid w:val="2A1B7A26"/>
    <w:rsid w:val="2A1C1A08"/>
    <w:rsid w:val="2A1CE5E3"/>
    <w:rsid w:val="2A1D732E"/>
    <w:rsid w:val="2A1E15E9"/>
    <w:rsid w:val="2A1E5D89"/>
    <w:rsid w:val="2A1EDE58"/>
    <w:rsid w:val="2A1F2E17"/>
    <w:rsid w:val="2A1F889F"/>
    <w:rsid w:val="2A1F8E82"/>
    <w:rsid w:val="2A200F1E"/>
    <w:rsid w:val="2A202E8D"/>
    <w:rsid w:val="2A20ECC7"/>
    <w:rsid w:val="2A226D5A"/>
    <w:rsid w:val="2A2289D2"/>
    <w:rsid w:val="2A2482B7"/>
    <w:rsid w:val="2A24E5EF"/>
    <w:rsid w:val="2A26128F"/>
    <w:rsid w:val="2A261F77"/>
    <w:rsid w:val="2A267B86"/>
    <w:rsid w:val="2A268201"/>
    <w:rsid w:val="2A268C9C"/>
    <w:rsid w:val="2A26BA70"/>
    <w:rsid w:val="2A2713D3"/>
    <w:rsid w:val="2A28C7C9"/>
    <w:rsid w:val="2A28E22F"/>
    <w:rsid w:val="2A297EAE"/>
    <w:rsid w:val="2A2ABBFA"/>
    <w:rsid w:val="2A2BB1FF"/>
    <w:rsid w:val="2A2BF78E"/>
    <w:rsid w:val="2A2D2672"/>
    <w:rsid w:val="2A2D7FF3"/>
    <w:rsid w:val="2A2D863A"/>
    <w:rsid w:val="2A2DEAC2"/>
    <w:rsid w:val="2A2DFE1A"/>
    <w:rsid w:val="2A2E1F18"/>
    <w:rsid w:val="2A2EEF89"/>
    <w:rsid w:val="2A2F2B52"/>
    <w:rsid w:val="2A2F5BDE"/>
    <w:rsid w:val="2A2F5ED8"/>
    <w:rsid w:val="2A2F82D5"/>
    <w:rsid w:val="2A2FEC6B"/>
    <w:rsid w:val="2A306FCD"/>
    <w:rsid w:val="2A30E5FB"/>
    <w:rsid w:val="2A31737B"/>
    <w:rsid w:val="2A324B5D"/>
    <w:rsid w:val="2A325D24"/>
    <w:rsid w:val="2A32E53C"/>
    <w:rsid w:val="2A3378A0"/>
    <w:rsid w:val="2A338569"/>
    <w:rsid w:val="2A33B530"/>
    <w:rsid w:val="2A33BAD3"/>
    <w:rsid w:val="2A343644"/>
    <w:rsid w:val="2A34CDB1"/>
    <w:rsid w:val="2A35E248"/>
    <w:rsid w:val="2A366C64"/>
    <w:rsid w:val="2A367FA8"/>
    <w:rsid w:val="2A371002"/>
    <w:rsid w:val="2A371011"/>
    <w:rsid w:val="2A3730CA"/>
    <w:rsid w:val="2A37DC52"/>
    <w:rsid w:val="2A38336F"/>
    <w:rsid w:val="2A383E2A"/>
    <w:rsid w:val="2A388B5D"/>
    <w:rsid w:val="2A39149D"/>
    <w:rsid w:val="2A39481A"/>
    <w:rsid w:val="2A3A331B"/>
    <w:rsid w:val="2A3A51C5"/>
    <w:rsid w:val="2A3A9443"/>
    <w:rsid w:val="2A3B285C"/>
    <w:rsid w:val="2A3B3EC0"/>
    <w:rsid w:val="2A3C383B"/>
    <w:rsid w:val="2A3CBDBE"/>
    <w:rsid w:val="2A3CE7D7"/>
    <w:rsid w:val="2A3E40D4"/>
    <w:rsid w:val="2A3EED84"/>
    <w:rsid w:val="2A3F20DC"/>
    <w:rsid w:val="2A3F3F16"/>
    <w:rsid w:val="2A3FC5C3"/>
    <w:rsid w:val="2A401133"/>
    <w:rsid w:val="2A408BF5"/>
    <w:rsid w:val="2A4092EE"/>
    <w:rsid w:val="2A40B3F7"/>
    <w:rsid w:val="2A416FC4"/>
    <w:rsid w:val="2A418C0A"/>
    <w:rsid w:val="2A420FFB"/>
    <w:rsid w:val="2A42123C"/>
    <w:rsid w:val="2A425139"/>
    <w:rsid w:val="2A42CD9A"/>
    <w:rsid w:val="2A42F6CB"/>
    <w:rsid w:val="2A435766"/>
    <w:rsid w:val="2A43A5EF"/>
    <w:rsid w:val="2A43CBED"/>
    <w:rsid w:val="2A4457F4"/>
    <w:rsid w:val="2A455005"/>
    <w:rsid w:val="2A455751"/>
    <w:rsid w:val="2A457EF8"/>
    <w:rsid w:val="2A45A0ED"/>
    <w:rsid w:val="2A45ADB4"/>
    <w:rsid w:val="2A461207"/>
    <w:rsid w:val="2A463A8A"/>
    <w:rsid w:val="2A47EF12"/>
    <w:rsid w:val="2A48DC60"/>
    <w:rsid w:val="2A49240A"/>
    <w:rsid w:val="2A4965C2"/>
    <w:rsid w:val="2A49ADB4"/>
    <w:rsid w:val="2A49EDF8"/>
    <w:rsid w:val="2A4B00D3"/>
    <w:rsid w:val="2A4B4115"/>
    <w:rsid w:val="2A4C297A"/>
    <w:rsid w:val="2A4C3C76"/>
    <w:rsid w:val="2A4C4A7B"/>
    <w:rsid w:val="2A4D87C4"/>
    <w:rsid w:val="2A4D8977"/>
    <w:rsid w:val="2A4E3C9D"/>
    <w:rsid w:val="2A4EDECD"/>
    <w:rsid w:val="2A4F7D23"/>
    <w:rsid w:val="2A4F9DDA"/>
    <w:rsid w:val="2A5056A8"/>
    <w:rsid w:val="2A50B8AC"/>
    <w:rsid w:val="2A50CA9F"/>
    <w:rsid w:val="2A50FA90"/>
    <w:rsid w:val="2A51469C"/>
    <w:rsid w:val="2A516382"/>
    <w:rsid w:val="2A518C15"/>
    <w:rsid w:val="2A521F04"/>
    <w:rsid w:val="2A527815"/>
    <w:rsid w:val="2A52B832"/>
    <w:rsid w:val="2A52F9F9"/>
    <w:rsid w:val="2A54386F"/>
    <w:rsid w:val="2A5468DC"/>
    <w:rsid w:val="2A551AD6"/>
    <w:rsid w:val="2A5611BF"/>
    <w:rsid w:val="2A56239A"/>
    <w:rsid w:val="2A57AB18"/>
    <w:rsid w:val="2A581151"/>
    <w:rsid w:val="2A58380A"/>
    <w:rsid w:val="2A58B626"/>
    <w:rsid w:val="2A592B33"/>
    <w:rsid w:val="2A59B767"/>
    <w:rsid w:val="2A59E4C3"/>
    <w:rsid w:val="2A5AD0B0"/>
    <w:rsid w:val="2A5B59B6"/>
    <w:rsid w:val="2A5BA574"/>
    <w:rsid w:val="2A5C1135"/>
    <w:rsid w:val="2A5C36C0"/>
    <w:rsid w:val="2A5C86B3"/>
    <w:rsid w:val="2A5C9091"/>
    <w:rsid w:val="2A5D6C56"/>
    <w:rsid w:val="2A5D8203"/>
    <w:rsid w:val="2A5DDE20"/>
    <w:rsid w:val="2A5E2EA0"/>
    <w:rsid w:val="2A5E68AA"/>
    <w:rsid w:val="2A5ED335"/>
    <w:rsid w:val="2A5F1871"/>
    <w:rsid w:val="2A6115C0"/>
    <w:rsid w:val="2A6199BC"/>
    <w:rsid w:val="2A627B3E"/>
    <w:rsid w:val="2A636739"/>
    <w:rsid w:val="2A63757C"/>
    <w:rsid w:val="2A6578C2"/>
    <w:rsid w:val="2A66A52E"/>
    <w:rsid w:val="2A67B7B2"/>
    <w:rsid w:val="2A681661"/>
    <w:rsid w:val="2A683E6C"/>
    <w:rsid w:val="2A68B520"/>
    <w:rsid w:val="2A694120"/>
    <w:rsid w:val="2A6969DC"/>
    <w:rsid w:val="2A69BB37"/>
    <w:rsid w:val="2A6B5012"/>
    <w:rsid w:val="2A6C829D"/>
    <w:rsid w:val="2A6C9AF9"/>
    <w:rsid w:val="2A6CADB5"/>
    <w:rsid w:val="2A6D0E01"/>
    <w:rsid w:val="2A6DCC63"/>
    <w:rsid w:val="2A6E2693"/>
    <w:rsid w:val="2A6E9EC6"/>
    <w:rsid w:val="2A6EEBF6"/>
    <w:rsid w:val="2A6F681C"/>
    <w:rsid w:val="2A6F7DE1"/>
    <w:rsid w:val="2A6F7FFB"/>
    <w:rsid w:val="2A6F803C"/>
    <w:rsid w:val="2A6FC45A"/>
    <w:rsid w:val="2A703444"/>
    <w:rsid w:val="2A706142"/>
    <w:rsid w:val="2A7065EE"/>
    <w:rsid w:val="2A708441"/>
    <w:rsid w:val="2A70BFFD"/>
    <w:rsid w:val="2A70D609"/>
    <w:rsid w:val="2A71180B"/>
    <w:rsid w:val="2A716474"/>
    <w:rsid w:val="2A71B967"/>
    <w:rsid w:val="2A724CF1"/>
    <w:rsid w:val="2A72830A"/>
    <w:rsid w:val="2A72B70C"/>
    <w:rsid w:val="2A7323D1"/>
    <w:rsid w:val="2A73C161"/>
    <w:rsid w:val="2A762AA5"/>
    <w:rsid w:val="2A765137"/>
    <w:rsid w:val="2A77160E"/>
    <w:rsid w:val="2A77197B"/>
    <w:rsid w:val="2A773675"/>
    <w:rsid w:val="2A77BE6F"/>
    <w:rsid w:val="2A786183"/>
    <w:rsid w:val="2A78D013"/>
    <w:rsid w:val="2A7968DB"/>
    <w:rsid w:val="2A79D4B3"/>
    <w:rsid w:val="2A7ADE8C"/>
    <w:rsid w:val="2A7B425E"/>
    <w:rsid w:val="2A7CBC47"/>
    <w:rsid w:val="2A7D37D6"/>
    <w:rsid w:val="2A7DDFDF"/>
    <w:rsid w:val="2A7E8337"/>
    <w:rsid w:val="2A7E94DD"/>
    <w:rsid w:val="2A803489"/>
    <w:rsid w:val="2A80CFF0"/>
    <w:rsid w:val="2A8107A6"/>
    <w:rsid w:val="2A81EFFE"/>
    <w:rsid w:val="2A82091C"/>
    <w:rsid w:val="2A824496"/>
    <w:rsid w:val="2A82B455"/>
    <w:rsid w:val="2A82D5C6"/>
    <w:rsid w:val="2A83771B"/>
    <w:rsid w:val="2A83EEA1"/>
    <w:rsid w:val="2A8403C3"/>
    <w:rsid w:val="2A8521E3"/>
    <w:rsid w:val="2A85B406"/>
    <w:rsid w:val="2A865039"/>
    <w:rsid w:val="2A87751F"/>
    <w:rsid w:val="2A881740"/>
    <w:rsid w:val="2A889A08"/>
    <w:rsid w:val="2A8912BB"/>
    <w:rsid w:val="2A89CD76"/>
    <w:rsid w:val="2A89DEF3"/>
    <w:rsid w:val="2A8A52FA"/>
    <w:rsid w:val="2A8AC0F5"/>
    <w:rsid w:val="2A8AC96B"/>
    <w:rsid w:val="2A8B1FBD"/>
    <w:rsid w:val="2A8B237A"/>
    <w:rsid w:val="2A8B9225"/>
    <w:rsid w:val="2A8D444C"/>
    <w:rsid w:val="2A8EBE02"/>
    <w:rsid w:val="2A8F69FC"/>
    <w:rsid w:val="2A8FB187"/>
    <w:rsid w:val="2A9157F5"/>
    <w:rsid w:val="2A921F9A"/>
    <w:rsid w:val="2A9296C5"/>
    <w:rsid w:val="2A92A90C"/>
    <w:rsid w:val="2A92BB97"/>
    <w:rsid w:val="2A938DE2"/>
    <w:rsid w:val="2A93CE6B"/>
    <w:rsid w:val="2A94C04C"/>
    <w:rsid w:val="2A9583D2"/>
    <w:rsid w:val="2A986191"/>
    <w:rsid w:val="2A98EB04"/>
    <w:rsid w:val="2A9A2216"/>
    <w:rsid w:val="2A9A8FA2"/>
    <w:rsid w:val="2A9A95B6"/>
    <w:rsid w:val="2A9AC9ED"/>
    <w:rsid w:val="2A9AD765"/>
    <w:rsid w:val="2A9B3BAF"/>
    <w:rsid w:val="2A9B6E16"/>
    <w:rsid w:val="2A9B9771"/>
    <w:rsid w:val="2A9BE885"/>
    <w:rsid w:val="2A9CDCC8"/>
    <w:rsid w:val="2A9D55E8"/>
    <w:rsid w:val="2A9DABBE"/>
    <w:rsid w:val="2A9DB8FB"/>
    <w:rsid w:val="2A9EE331"/>
    <w:rsid w:val="2A9F38D8"/>
    <w:rsid w:val="2A9F521A"/>
    <w:rsid w:val="2AA00638"/>
    <w:rsid w:val="2AA09A7C"/>
    <w:rsid w:val="2AA0BA4C"/>
    <w:rsid w:val="2AA17746"/>
    <w:rsid w:val="2AA1979D"/>
    <w:rsid w:val="2AA1A10E"/>
    <w:rsid w:val="2AA1FE27"/>
    <w:rsid w:val="2AA2C9CC"/>
    <w:rsid w:val="2AA36F14"/>
    <w:rsid w:val="2AA3C7F8"/>
    <w:rsid w:val="2AA41332"/>
    <w:rsid w:val="2AA45482"/>
    <w:rsid w:val="2AA4DE01"/>
    <w:rsid w:val="2AA68DC0"/>
    <w:rsid w:val="2AA6FA55"/>
    <w:rsid w:val="2AA71AC3"/>
    <w:rsid w:val="2AA7D118"/>
    <w:rsid w:val="2AA942F4"/>
    <w:rsid w:val="2AA95FE5"/>
    <w:rsid w:val="2AA96F2D"/>
    <w:rsid w:val="2AAA7065"/>
    <w:rsid w:val="2AAD1833"/>
    <w:rsid w:val="2AADE4E5"/>
    <w:rsid w:val="2AAE1840"/>
    <w:rsid w:val="2AAEDBD5"/>
    <w:rsid w:val="2AAF763A"/>
    <w:rsid w:val="2AB01FF5"/>
    <w:rsid w:val="2AB03872"/>
    <w:rsid w:val="2AB11316"/>
    <w:rsid w:val="2AB144A3"/>
    <w:rsid w:val="2AB168F5"/>
    <w:rsid w:val="2AB1865F"/>
    <w:rsid w:val="2AB29024"/>
    <w:rsid w:val="2AB3895A"/>
    <w:rsid w:val="2AB432C1"/>
    <w:rsid w:val="2AB4648C"/>
    <w:rsid w:val="2AB5C9F2"/>
    <w:rsid w:val="2AB60CDF"/>
    <w:rsid w:val="2AB6DEFD"/>
    <w:rsid w:val="2AB71E71"/>
    <w:rsid w:val="2AB73CDC"/>
    <w:rsid w:val="2AB7BEBB"/>
    <w:rsid w:val="2AB7C370"/>
    <w:rsid w:val="2AB805AF"/>
    <w:rsid w:val="2AB8D1D3"/>
    <w:rsid w:val="2AB955CF"/>
    <w:rsid w:val="2AB96628"/>
    <w:rsid w:val="2ABA8375"/>
    <w:rsid w:val="2ABAE2EA"/>
    <w:rsid w:val="2ABBACAB"/>
    <w:rsid w:val="2ABC04CA"/>
    <w:rsid w:val="2ABC231D"/>
    <w:rsid w:val="2ABC4478"/>
    <w:rsid w:val="2ABC9388"/>
    <w:rsid w:val="2ABD5A9A"/>
    <w:rsid w:val="2ABEA808"/>
    <w:rsid w:val="2ABF2C16"/>
    <w:rsid w:val="2ABF4B48"/>
    <w:rsid w:val="2AC01558"/>
    <w:rsid w:val="2AC04111"/>
    <w:rsid w:val="2AC0DD5A"/>
    <w:rsid w:val="2AC15485"/>
    <w:rsid w:val="2AC15668"/>
    <w:rsid w:val="2AC1ADC7"/>
    <w:rsid w:val="2AC23FBF"/>
    <w:rsid w:val="2AC28784"/>
    <w:rsid w:val="2AC35D15"/>
    <w:rsid w:val="2AC391B8"/>
    <w:rsid w:val="2AC3C616"/>
    <w:rsid w:val="2AC425DD"/>
    <w:rsid w:val="2AC4F5D4"/>
    <w:rsid w:val="2AC554EA"/>
    <w:rsid w:val="2AC5636A"/>
    <w:rsid w:val="2AC5BC38"/>
    <w:rsid w:val="2AC5F784"/>
    <w:rsid w:val="2AC6B15A"/>
    <w:rsid w:val="2AC6F581"/>
    <w:rsid w:val="2AC7A33F"/>
    <w:rsid w:val="2AC86C28"/>
    <w:rsid w:val="2AC93ACD"/>
    <w:rsid w:val="2ACAEDCC"/>
    <w:rsid w:val="2ACB2385"/>
    <w:rsid w:val="2ACB3633"/>
    <w:rsid w:val="2ACC6302"/>
    <w:rsid w:val="2ACD19AC"/>
    <w:rsid w:val="2ACD37EA"/>
    <w:rsid w:val="2ACE4EED"/>
    <w:rsid w:val="2ACF0DBA"/>
    <w:rsid w:val="2ACF6B03"/>
    <w:rsid w:val="2ACFAE21"/>
    <w:rsid w:val="2ACFBF55"/>
    <w:rsid w:val="2AD0045B"/>
    <w:rsid w:val="2AD02786"/>
    <w:rsid w:val="2AD0E4DB"/>
    <w:rsid w:val="2AD17096"/>
    <w:rsid w:val="2AD174B8"/>
    <w:rsid w:val="2AD179BA"/>
    <w:rsid w:val="2AD2D0D6"/>
    <w:rsid w:val="2AD2E61C"/>
    <w:rsid w:val="2AD3144D"/>
    <w:rsid w:val="2AD3AD01"/>
    <w:rsid w:val="2AD41D88"/>
    <w:rsid w:val="2AD5670D"/>
    <w:rsid w:val="2AD6E080"/>
    <w:rsid w:val="2AD6F486"/>
    <w:rsid w:val="2AD8CC04"/>
    <w:rsid w:val="2AD95FE2"/>
    <w:rsid w:val="2AD97AB2"/>
    <w:rsid w:val="2ADA366F"/>
    <w:rsid w:val="2ADA77C4"/>
    <w:rsid w:val="2ADA8730"/>
    <w:rsid w:val="2ADA9E49"/>
    <w:rsid w:val="2ADAA3F8"/>
    <w:rsid w:val="2ADB2696"/>
    <w:rsid w:val="2ADB57BA"/>
    <w:rsid w:val="2ADB94DC"/>
    <w:rsid w:val="2ADBBF2B"/>
    <w:rsid w:val="2ADC0199"/>
    <w:rsid w:val="2ADCE321"/>
    <w:rsid w:val="2ADDA2E2"/>
    <w:rsid w:val="2ADE49FF"/>
    <w:rsid w:val="2ADE7DF4"/>
    <w:rsid w:val="2ADFBAC4"/>
    <w:rsid w:val="2AE0C1DE"/>
    <w:rsid w:val="2AE0C96B"/>
    <w:rsid w:val="2AE1509C"/>
    <w:rsid w:val="2AE1CEBA"/>
    <w:rsid w:val="2AE23DC9"/>
    <w:rsid w:val="2AE2D147"/>
    <w:rsid w:val="2AE5020B"/>
    <w:rsid w:val="2AE5A336"/>
    <w:rsid w:val="2AE6399D"/>
    <w:rsid w:val="2AE6C01F"/>
    <w:rsid w:val="2AE7098F"/>
    <w:rsid w:val="2AE71EDE"/>
    <w:rsid w:val="2AE7A3D5"/>
    <w:rsid w:val="2AE91BFB"/>
    <w:rsid w:val="2AE9E6A9"/>
    <w:rsid w:val="2AEA6F81"/>
    <w:rsid w:val="2AEA7BB7"/>
    <w:rsid w:val="2AEAC93F"/>
    <w:rsid w:val="2AEB2382"/>
    <w:rsid w:val="2AEBBA45"/>
    <w:rsid w:val="2AEC13D4"/>
    <w:rsid w:val="2AEC5B33"/>
    <w:rsid w:val="2AEC65BA"/>
    <w:rsid w:val="2AECA902"/>
    <w:rsid w:val="2AECD816"/>
    <w:rsid w:val="2AEE6B75"/>
    <w:rsid w:val="2AEED7EA"/>
    <w:rsid w:val="2AEFF21D"/>
    <w:rsid w:val="2AF020FE"/>
    <w:rsid w:val="2AF0A6D0"/>
    <w:rsid w:val="2AF0C30E"/>
    <w:rsid w:val="2AF0C5DF"/>
    <w:rsid w:val="2AF0D369"/>
    <w:rsid w:val="2AF1E9B9"/>
    <w:rsid w:val="2AF28B99"/>
    <w:rsid w:val="2AF2913B"/>
    <w:rsid w:val="2AF2B364"/>
    <w:rsid w:val="2AF37DF4"/>
    <w:rsid w:val="2AF3C06F"/>
    <w:rsid w:val="2AF41CCC"/>
    <w:rsid w:val="2AF5C686"/>
    <w:rsid w:val="2AF5CF82"/>
    <w:rsid w:val="2AF66E7F"/>
    <w:rsid w:val="2AF73532"/>
    <w:rsid w:val="2AF7938E"/>
    <w:rsid w:val="2AF7980D"/>
    <w:rsid w:val="2AF917E8"/>
    <w:rsid w:val="2AF91E4B"/>
    <w:rsid w:val="2AF920C5"/>
    <w:rsid w:val="2AFAD4C5"/>
    <w:rsid w:val="2AFAFD13"/>
    <w:rsid w:val="2AFB0B25"/>
    <w:rsid w:val="2AFB1491"/>
    <w:rsid w:val="2AFB1A65"/>
    <w:rsid w:val="2AFB2D95"/>
    <w:rsid w:val="2AFB4201"/>
    <w:rsid w:val="2AFB5887"/>
    <w:rsid w:val="2AFB8FD3"/>
    <w:rsid w:val="2AFC43D3"/>
    <w:rsid w:val="2AFC7485"/>
    <w:rsid w:val="2AFC8B2A"/>
    <w:rsid w:val="2AFCB3CE"/>
    <w:rsid w:val="2AFD3B96"/>
    <w:rsid w:val="2AFD4C8B"/>
    <w:rsid w:val="2AFD9392"/>
    <w:rsid w:val="2AFF215B"/>
    <w:rsid w:val="2AFF2DC2"/>
    <w:rsid w:val="2AFF4E4C"/>
    <w:rsid w:val="2AFFD8C3"/>
    <w:rsid w:val="2AFFF34A"/>
    <w:rsid w:val="2B0002C1"/>
    <w:rsid w:val="2B00E7D2"/>
    <w:rsid w:val="2B012B29"/>
    <w:rsid w:val="2B012F9F"/>
    <w:rsid w:val="2B01AE3C"/>
    <w:rsid w:val="2B024C1F"/>
    <w:rsid w:val="2B030E39"/>
    <w:rsid w:val="2B030FBA"/>
    <w:rsid w:val="2B045CC0"/>
    <w:rsid w:val="2B04EF09"/>
    <w:rsid w:val="2B05238F"/>
    <w:rsid w:val="2B056DBA"/>
    <w:rsid w:val="2B058CD8"/>
    <w:rsid w:val="2B0651C1"/>
    <w:rsid w:val="2B0677DE"/>
    <w:rsid w:val="2B06CA08"/>
    <w:rsid w:val="2B07DF91"/>
    <w:rsid w:val="2B07FDCE"/>
    <w:rsid w:val="2B0807F4"/>
    <w:rsid w:val="2B08B1DD"/>
    <w:rsid w:val="2B08EB9E"/>
    <w:rsid w:val="2B090F3B"/>
    <w:rsid w:val="2B094504"/>
    <w:rsid w:val="2B09AEAF"/>
    <w:rsid w:val="2B0A19E6"/>
    <w:rsid w:val="2B0A644B"/>
    <w:rsid w:val="2B0BCE6D"/>
    <w:rsid w:val="2B0C5BA6"/>
    <w:rsid w:val="2B0CB870"/>
    <w:rsid w:val="2B0CF6F6"/>
    <w:rsid w:val="2B0D005C"/>
    <w:rsid w:val="2B0DACF5"/>
    <w:rsid w:val="2B0DAD44"/>
    <w:rsid w:val="2B0DFB06"/>
    <w:rsid w:val="2B0E9E35"/>
    <w:rsid w:val="2B0F44ED"/>
    <w:rsid w:val="2B107267"/>
    <w:rsid w:val="2B10F4B6"/>
    <w:rsid w:val="2B110A71"/>
    <w:rsid w:val="2B113D53"/>
    <w:rsid w:val="2B11930D"/>
    <w:rsid w:val="2B11A3C9"/>
    <w:rsid w:val="2B11F244"/>
    <w:rsid w:val="2B1274AD"/>
    <w:rsid w:val="2B14A15F"/>
    <w:rsid w:val="2B1517F7"/>
    <w:rsid w:val="2B157505"/>
    <w:rsid w:val="2B1784B0"/>
    <w:rsid w:val="2B178EA5"/>
    <w:rsid w:val="2B17AFF2"/>
    <w:rsid w:val="2B17E905"/>
    <w:rsid w:val="2B17EF18"/>
    <w:rsid w:val="2B19BFA5"/>
    <w:rsid w:val="2B1A02F4"/>
    <w:rsid w:val="2B1A1A28"/>
    <w:rsid w:val="2B1A57FC"/>
    <w:rsid w:val="2B1AE80D"/>
    <w:rsid w:val="2B1C66EB"/>
    <w:rsid w:val="2B1C7ADB"/>
    <w:rsid w:val="2B1E2C4B"/>
    <w:rsid w:val="2B1E3C70"/>
    <w:rsid w:val="2B1F22C7"/>
    <w:rsid w:val="2B1FDC1D"/>
    <w:rsid w:val="2B200D62"/>
    <w:rsid w:val="2B20E115"/>
    <w:rsid w:val="2B21920E"/>
    <w:rsid w:val="2B22259E"/>
    <w:rsid w:val="2B2289B1"/>
    <w:rsid w:val="2B228B8A"/>
    <w:rsid w:val="2B22C11B"/>
    <w:rsid w:val="2B22E2CC"/>
    <w:rsid w:val="2B235327"/>
    <w:rsid w:val="2B237AD6"/>
    <w:rsid w:val="2B23CDA1"/>
    <w:rsid w:val="2B23CE27"/>
    <w:rsid w:val="2B23DF34"/>
    <w:rsid w:val="2B23E91F"/>
    <w:rsid w:val="2B253109"/>
    <w:rsid w:val="2B2663CF"/>
    <w:rsid w:val="2B28088A"/>
    <w:rsid w:val="2B289950"/>
    <w:rsid w:val="2B29EFEA"/>
    <w:rsid w:val="2B2A76DA"/>
    <w:rsid w:val="2B2BD9B0"/>
    <w:rsid w:val="2B2C9765"/>
    <w:rsid w:val="2B2D03EE"/>
    <w:rsid w:val="2B2D960C"/>
    <w:rsid w:val="2B2DB6D0"/>
    <w:rsid w:val="2B31F698"/>
    <w:rsid w:val="2B3243E1"/>
    <w:rsid w:val="2B337599"/>
    <w:rsid w:val="2B337EFF"/>
    <w:rsid w:val="2B342564"/>
    <w:rsid w:val="2B348476"/>
    <w:rsid w:val="2B348C19"/>
    <w:rsid w:val="2B34BE13"/>
    <w:rsid w:val="2B35058A"/>
    <w:rsid w:val="2B350B2A"/>
    <w:rsid w:val="2B352671"/>
    <w:rsid w:val="2B356302"/>
    <w:rsid w:val="2B36C1A5"/>
    <w:rsid w:val="2B36F16B"/>
    <w:rsid w:val="2B372A56"/>
    <w:rsid w:val="2B3777EE"/>
    <w:rsid w:val="2B37F19C"/>
    <w:rsid w:val="2B39730E"/>
    <w:rsid w:val="2B3A73CF"/>
    <w:rsid w:val="2B3B294F"/>
    <w:rsid w:val="2B3B58F7"/>
    <w:rsid w:val="2B3BD7EF"/>
    <w:rsid w:val="2B3C3381"/>
    <w:rsid w:val="2B3C33AC"/>
    <w:rsid w:val="2B3C3E4B"/>
    <w:rsid w:val="2B3CB06C"/>
    <w:rsid w:val="2B3CE260"/>
    <w:rsid w:val="2B3D8948"/>
    <w:rsid w:val="2B3DB22C"/>
    <w:rsid w:val="2B3F1827"/>
    <w:rsid w:val="2B3F7227"/>
    <w:rsid w:val="2B404E7A"/>
    <w:rsid w:val="2B41317A"/>
    <w:rsid w:val="2B41B449"/>
    <w:rsid w:val="2B420716"/>
    <w:rsid w:val="2B424285"/>
    <w:rsid w:val="2B425232"/>
    <w:rsid w:val="2B42E694"/>
    <w:rsid w:val="2B42F32D"/>
    <w:rsid w:val="2B434253"/>
    <w:rsid w:val="2B43A26C"/>
    <w:rsid w:val="2B448E43"/>
    <w:rsid w:val="2B448FC2"/>
    <w:rsid w:val="2B44F63D"/>
    <w:rsid w:val="2B45FEE6"/>
    <w:rsid w:val="2B46FB16"/>
    <w:rsid w:val="2B47AA0D"/>
    <w:rsid w:val="2B4801C4"/>
    <w:rsid w:val="2B4814DC"/>
    <w:rsid w:val="2B4AB464"/>
    <w:rsid w:val="2B4B0C50"/>
    <w:rsid w:val="2B4BA30A"/>
    <w:rsid w:val="2B4BB53A"/>
    <w:rsid w:val="2B4CACCB"/>
    <w:rsid w:val="2B4D167B"/>
    <w:rsid w:val="2B4D187F"/>
    <w:rsid w:val="2B4DE8B2"/>
    <w:rsid w:val="2B4E2E24"/>
    <w:rsid w:val="2B4E3546"/>
    <w:rsid w:val="2B4F37D6"/>
    <w:rsid w:val="2B4F7AB7"/>
    <w:rsid w:val="2B4F7C0C"/>
    <w:rsid w:val="2B4FD28A"/>
    <w:rsid w:val="2B502089"/>
    <w:rsid w:val="2B5115F3"/>
    <w:rsid w:val="2B51780D"/>
    <w:rsid w:val="2B52864A"/>
    <w:rsid w:val="2B52930F"/>
    <w:rsid w:val="2B52F6EB"/>
    <w:rsid w:val="2B5394FE"/>
    <w:rsid w:val="2B53C8CA"/>
    <w:rsid w:val="2B553F7D"/>
    <w:rsid w:val="2B555458"/>
    <w:rsid w:val="2B5613D1"/>
    <w:rsid w:val="2B572425"/>
    <w:rsid w:val="2B57B9B4"/>
    <w:rsid w:val="2B58B20E"/>
    <w:rsid w:val="2B5910C5"/>
    <w:rsid w:val="2B595A76"/>
    <w:rsid w:val="2B59C7E3"/>
    <w:rsid w:val="2B59FA89"/>
    <w:rsid w:val="2B5AD1B5"/>
    <w:rsid w:val="2B5B286A"/>
    <w:rsid w:val="2B5B4460"/>
    <w:rsid w:val="2B5B97A4"/>
    <w:rsid w:val="2B5C215D"/>
    <w:rsid w:val="2B5C3D3A"/>
    <w:rsid w:val="2B5C9E01"/>
    <w:rsid w:val="2B5D276F"/>
    <w:rsid w:val="2B5D4069"/>
    <w:rsid w:val="2B5E7A8A"/>
    <w:rsid w:val="2B5ED34C"/>
    <w:rsid w:val="2B5EECA4"/>
    <w:rsid w:val="2B5F3EE9"/>
    <w:rsid w:val="2B5FD643"/>
    <w:rsid w:val="2B608D33"/>
    <w:rsid w:val="2B60E188"/>
    <w:rsid w:val="2B61AA5F"/>
    <w:rsid w:val="2B62B2E1"/>
    <w:rsid w:val="2B632557"/>
    <w:rsid w:val="2B63F0E5"/>
    <w:rsid w:val="2B6407FE"/>
    <w:rsid w:val="2B641070"/>
    <w:rsid w:val="2B6434D9"/>
    <w:rsid w:val="2B64A2C4"/>
    <w:rsid w:val="2B64CAD2"/>
    <w:rsid w:val="2B64FEA6"/>
    <w:rsid w:val="2B6529D4"/>
    <w:rsid w:val="2B655283"/>
    <w:rsid w:val="2B6586DB"/>
    <w:rsid w:val="2B65E6E9"/>
    <w:rsid w:val="2B671BFD"/>
    <w:rsid w:val="2B67A2DC"/>
    <w:rsid w:val="2B67EAE7"/>
    <w:rsid w:val="2B6869D7"/>
    <w:rsid w:val="2B689771"/>
    <w:rsid w:val="2B68C731"/>
    <w:rsid w:val="2B68C7FC"/>
    <w:rsid w:val="2B68CF25"/>
    <w:rsid w:val="2B6AE7D9"/>
    <w:rsid w:val="2B6AEBFB"/>
    <w:rsid w:val="2B6B3F7F"/>
    <w:rsid w:val="2B6CA233"/>
    <w:rsid w:val="2B6D276A"/>
    <w:rsid w:val="2B6D3AA7"/>
    <w:rsid w:val="2B6DDF66"/>
    <w:rsid w:val="2B6E2F28"/>
    <w:rsid w:val="2B6F58FE"/>
    <w:rsid w:val="2B6F5AFA"/>
    <w:rsid w:val="2B6FA871"/>
    <w:rsid w:val="2B701DAB"/>
    <w:rsid w:val="2B708502"/>
    <w:rsid w:val="2B70ED7A"/>
    <w:rsid w:val="2B710905"/>
    <w:rsid w:val="2B7156E9"/>
    <w:rsid w:val="2B72077D"/>
    <w:rsid w:val="2B75089C"/>
    <w:rsid w:val="2B750A09"/>
    <w:rsid w:val="2B755669"/>
    <w:rsid w:val="2B757E55"/>
    <w:rsid w:val="2B75D59B"/>
    <w:rsid w:val="2B766527"/>
    <w:rsid w:val="2B772E36"/>
    <w:rsid w:val="2B775AD5"/>
    <w:rsid w:val="2B779C88"/>
    <w:rsid w:val="2B78864D"/>
    <w:rsid w:val="2B7921EB"/>
    <w:rsid w:val="2B79F57A"/>
    <w:rsid w:val="2B79F9E2"/>
    <w:rsid w:val="2B7A45FF"/>
    <w:rsid w:val="2B7A5275"/>
    <w:rsid w:val="2B7AE7D3"/>
    <w:rsid w:val="2B7AF22C"/>
    <w:rsid w:val="2B7B0807"/>
    <w:rsid w:val="2B7B18B7"/>
    <w:rsid w:val="2B7B67ED"/>
    <w:rsid w:val="2B7B8952"/>
    <w:rsid w:val="2B7D3D70"/>
    <w:rsid w:val="2B7DADA9"/>
    <w:rsid w:val="2B7E270B"/>
    <w:rsid w:val="2B7EAB56"/>
    <w:rsid w:val="2B7F8F85"/>
    <w:rsid w:val="2B7FEB7F"/>
    <w:rsid w:val="2B80106D"/>
    <w:rsid w:val="2B80BF26"/>
    <w:rsid w:val="2B81535C"/>
    <w:rsid w:val="2B823903"/>
    <w:rsid w:val="2B8330EC"/>
    <w:rsid w:val="2B83A12A"/>
    <w:rsid w:val="2B842755"/>
    <w:rsid w:val="2B8478AD"/>
    <w:rsid w:val="2B85BA74"/>
    <w:rsid w:val="2B86054A"/>
    <w:rsid w:val="2B86326D"/>
    <w:rsid w:val="2B867800"/>
    <w:rsid w:val="2B86F988"/>
    <w:rsid w:val="2B8718C7"/>
    <w:rsid w:val="2B8855EB"/>
    <w:rsid w:val="2B885E78"/>
    <w:rsid w:val="2B89311F"/>
    <w:rsid w:val="2B89369C"/>
    <w:rsid w:val="2B895831"/>
    <w:rsid w:val="2B8A1BCD"/>
    <w:rsid w:val="2B8ADC93"/>
    <w:rsid w:val="2B8AE1DD"/>
    <w:rsid w:val="2B8AF8C9"/>
    <w:rsid w:val="2B8B9B06"/>
    <w:rsid w:val="2B8BD7F3"/>
    <w:rsid w:val="2B8CB568"/>
    <w:rsid w:val="2B8CD065"/>
    <w:rsid w:val="2B8CFDA9"/>
    <w:rsid w:val="2B8D025F"/>
    <w:rsid w:val="2B8DC553"/>
    <w:rsid w:val="2B8EB72F"/>
    <w:rsid w:val="2B8EC72D"/>
    <w:rsid w:val="2B8F4B7B"/>
    <w:rsid w:val="2B8FC128"/>
    <w:rsid w:val="2B902390"/>
    <w:rsid w:val="2B905261"/>
    <w:rsid w:val="2B91C63F"/>
    <w:rsid w:val="2B926181"/>
    <w:rsid w:val="2B92E1EC"/>
    <w:rsid w:val="2B93C3B2"/>
    <w:rsid w:val="2B93F05E"/>
    <w:rsid w:val="2B942C79"/>
    <w:rsid w:val="2B944D35"/>
    <w:rsid w:val="2B957659"/>
    <w:rsid w:val="2B962019"/>
    <w:rsid w:val="2B963D39"/>
    <w:rsid w:val="2B9753FC"/>
    <w:rsid w:val="2B977324"/>
    <w:rsid w:val="2B97AD9E"/>
    <w:rsid w:val="2B97DAD2"/>
    <w:rsid w:val="2B97DB67"/>
    <w:rsid w:val="2B98CDBE"/>
    <w:rsid w:val="2B99E924"/>
    <w:rsid w:val="2B9A1B35"/>
    <w:rsid w:val="2B9A2578"/>
    <w:rsid w:val="2B9B97E5"/>
    <w:rsid w:val="2B9B9898"/>
    <w:rsid w:val="2B9CC9B8"/>
    <w:rsid w:val="2B9CDDC8"/>
    <w:rsid w:val="2B9CF5AD"/>
    <w:rsid w:val="2B9D172B"/>
    <w:rsid w:val="2B9D3B6B"/>
    <w:rsid w:val="2B9DAC69"/>
    <w:rsid w:val="2B9DF8D1"/>
    <w:rsid w:val="2B9E1B5A"/>
    <w:rsid w:val="2B9E1D61"/>
    <w:rsid w:val="2B9E5E09"/>
    <w:rsid w:val="2B9E6FFA"/>
    <w:rsid w:val="2B9E76B5"/>
    <w:rsid w:val="2B9EC185"/>
    <w:rsid w:val="2B9F9628"/>
    <w:rsid w:val="2BA03F77"/>
    <w:rsid w:val="2BA1A40E"/>
    <w:rsid w:val="2BA1BBDE"/>
    <w:rsid w:val="2BA25A10"/>
    <w:rsid w:val="2BA2BCB5"/>
    <w:rsid w:val="2BA2C33C"/>
    <w:rsid w:val="2BA31265"/>
    <w:rsid w:val="2BA340DE"/>
    <w:rsid w:val="2BA3A0A5"/>
    <w:rsid w:val="2BA4F5CC"/>
    <w:rsid w:val="2BA5866C"/>
    <w:rsid w:val="2BA5A356"/>
    <w:rsid w:val="2BA6A147"/>
    <w:rsid w:val="2BA6DBFD"/>
    <w:rsid w:val="2BA6FF1F"/>
    <w:rsid w:val="2BA70D3C"/>
    <w:rsid w:val="2BA74357"/>
    <w:rsid w:val="2BA7BDBB"/>
    <w:rsid w:val="2BA8408A"/>
    <w:rsid w:val="2BA98034"/>
    <w:rsid w:val="2BA9A832"/>
    <w:rsid w:val="2BA9ADE9"/>
    <w:rsid w:val="2BAA359C"/>
    <w:rsid w:val="2BAA4CB1"/>
    <w:rsid w:val="2BAA7468"/>
    <w:rsid w:val="2BAA9424"/>
    <w:rsid w:val="2BAAF062"/>
    <w:rsid w:val="2BAB2F06"/>
    <w:rsid w:val="2BAB7A9F"/>
    <w:rsid w:val="2BAC3C5E"/>
    <w:rsid w:val="2BACAD5C"/>
    <w:rsid w:val="2BACC5B0"/>
    <w:rsid w:val="2BACF6FF"/>
    <w:rsid w:val="2BAE89B7"/>
    <w:rsid w:val="2BAF1457"/>
    <w:rsid w:val="2BAF995E"/>
    <w:rsid w:val="2BB0EA58"/>
    <w:rsid w:val="2BB15C7F"/>
    <w:rsid w:val="2BB1B263"/>
    <w:rsid w:val="2BB1B896"/>
    <w:rsid w:val="2BB28535"/>
    <w:rsid w:val="2BB2B659"/>
    <w:rsid w:val="2BB3341C"/>
    <w:rsid w:val="2BB348C8"/>
    <w:rsid w:val="2BB36C12"/>
    <w:rsid w:val="2BB42C5A"/>
    <w:rsid w:val="2BB5B251"/>
    <w:rsid w:val="2BB5D693"/>
    <w:rsid w:val="2BB60249"/>
    <w:rsid w:val="2BB67627"/>
    <w:rsid w:val="2BB6BE8D"/>
    <w:rsid w:val="2BB6D674"/>
    <w:rsid w:val="2BB75198"/>
    <w:rsid w:val="2BB79A4A"/>
    <w:rsid w:val="2BB800EA"/>
    <w:rsid w:val="2BB85EE5"/>
    <w:rsid w:val="2BB8D9DC"/>
    <w:rsid w:val="2BB90222"/>
    <w:rsid w:val="2BB97871"/>
    <w:rsid w:val="2BB97BFD"/>
    <w:rsid w:val="2BB9839D"/>
    <w:rsid w:val="2BB99755"/>
    <w:rsid w:val="2BBA6084"/>
    <w:rsid w:val="2BBA8373"/>
    <w:rsid w:val="2BBC3B99"/>
    <w:rsid w:val="2BBD1348"/>
    <w:rsid w:val="2BBD4877"/>
    <w:rsid w:val="2BBD6383"/>
    <w:rsid w:val="2BBDF196"/>
    <w:rsid w:val="2BBE97F7"/>
    <w:rsid w:val="2BBEEFCC"/>
    <w:rsid w:val="2BBF47D4"/>
    <w:rsid w:val="2BBFDF51"/>
    <w:rsid w:val="2BC08020"/>
    <w:rsid w:val="2BC18519"/>
    <w:rsid w:val="2BC1ACD4"/>
    <w:rsid w:val="2BC1F8D4"/>
    <w:rsid w:val="2BC1F8F1"/>
    <w:rsid w:val="2BC21531"/>
    <w:rsid w:val="2BC313B1"/>
    <w:rsid w:val="2BC39418"/>
    <w:rsid w:val="2BC3B3E8"/>
    <w:rsid w:val="2BC3F4D3"/>
    <w:rsid w:val="2BC45447"/>
    <w:rsid w:val="2BC56FAE"/>
    <w:rsid w:val="2BC5D2B2"/>
    <w:rsid w:val="2BC67B18"/>
    <w:rsid w:val="2BC69EAC"/>
    <w:rsid w:val="2BC6D378"/>
    <w:rsid w:val="2BC6F503"/>
    <w:rsid w:val="2BC7C7E2"/>
    <w:rsid w:val="2BC8A2EB"/>
    <w:rsid w:val="2BC917FF"/>
    <w:rsid w:val="2BC9389E"/>
    <w:rsid w:val="2BC972F4"/>
    <w:rsid w:val="2BC9D234"/>
    <w:rsid w:val="2BCA1F99"/>
    <w:rsid w:val="2BCA62A8"/>
    <w:rsid w:val="2BCB723C"/>
    <w:rsid w:val="2BCC11ED"/>
    <w:rsid w:val="2BCC189D"/>
    <w:rsid w:val="2BCC62AE"/>
    <w:rsid w:val="2BCCE80D"/>
    <w:rsid w:val="2BCD1E78"/>
    <w:rsid w:val="2BCD6A3C"/>
    <w:rsid w:val="2BCE7757"/>
    <w:rsid w:val="2BCF609A"/>
    <w:rsid w:val="2BD0042E"/>
    <w:rsid w:val="2BD043D6"/>
    <w:rsid w:val="2BD12D6E"/>
    <w:rsid w:val="2BD1901C"/>
    <w:rsid w:val="2BD1D880"/>
    <w:rsid w:val="2BD22C57"/>
    <w:rsid w:val="2BD2F8CD"/>
    <w:rsid w:val="2BD35F7C"/>
    <w:rsid w:val="2BD3CD5F"/>
    <w:rsid w:val="2BD411D3"/>
    <w:rsid w:val="2BD53CA6"/>
    <w:rsid w:val="2BD63EA4"/>
    <w:rsid w:val="2BD70AFE"/>
    <w:rsid w:val="2BD76927"/>
    <w:rsid w:val="2BD80A45"/>
    <w:rsid w:val="2BD85008"/>
    <w:rsid w:val="2BD8F47D"/>
    <w:rsid w:val="2BD9054B"/>
    <w:rsid w:val="2BD9C528"/>
    <w:rsid w:val="2BDABB73"/>
    <w:rsid w:val="2BDABFB7"/>
    <w:rsid w:val="2BDB9A5C"/>
    <w:rsid w:val="2BDC0E37"/>
    <w:rsid w:val="2BDC88E2"/>
    <w:rsid w:val="2BDC8D34"/>
    <w:rsid w:val="2BDCDD01"/>
    <w:rsid w:val="2BDD29E1"/>
    <w:rsid w:val="2BDD40A0"/>
    <w:rsid w:val="2BDD81EA"/>
    <w:rsid w:val="2BDE05A0"/>
    <w:rsid w:val="2BDE8A92"/>
    <w:rsid w:val="2BDEA36F"/>
    <w:rsid w:val="2BDFC119"/>
    <w:rsid w:val="2BE0172D"/>
    <w:rsid w:val="2BE16124"/>
    <w:rsid w:val="2BE1C0CD"/>
    <w:rsid w:val="2BE1CEA3"/>
    <w:rsid w:val="2BE3E332"/>
    <w:rsid w:val="2BE4E693"/>
    <w:rsid w:val="2BE58433"/>
    <w:rsid w:val="2BE5FDB6"/>
    <w:rsid w:val="2BE64250"/>
    <w:rsid w:val="2BE68C57"/>
    <w:rsid w:val="2BE6BAD7"/>
    <w:rsid w:val="2BE7D45A"/>
    <w:rsid w:val="2BE81009"/>
    <w:rsid w:val="2BE89490"/>
    <w:rsid w:val="2BE8A75F"/>
    <w:rsid w:val="2BE943B1"/>
    <w:rsid w:val="2BE95597"/>
    <w:rsid w:val="2BE960B9"/>
    <w:rsid w:val="2BEA670C"/>
    <w:rsid w:val="2BEAC9C6"/>
    <w:rsid w:val="2BEB5586"/>
    <w:rsid w:val="2BEB9019"/>
    <w:rsid w:val="2BEC3702"/>
    <w:rsid w:val="2BEC5218"/>
    <w:rsid w:val="2BEC9025"/>
    <w:rsid w:val="2BECDE65"/>
    <w:rsid w:val="2BED370C"/>
    <w:rsid w:val="2BED55B9"/>
    <w:rsid w:val="2BEEFD06"/>
    <w:rsid w:val="2BEF0485"/>
    <w:rsid w:val="2BEF22DD"/>
    <w:rsid w:val="2BEF3EED"/>
    <w:rsid w:val="2BEF4553"/>
    <w:rsid w:val="2BF05F10"/>
    <w:rsid w:val="2BF084E8"/>
    <w:rsid w:val="2BF17CE5"/>
    <w:rsid w:val="2BF18F2A"/>
    <w:rsid w:val="2BF2BDBE"/>
    <w:rsid w:val="2BF54844"/>
    <w:rsid w:val="2BF5851E"/>
    <w:rsid w:val="2BF64387"/>
    <w:rsid w:val="2BF64A40"/>
    <w:rsid w:val="2BF763B3"/>
    <w:rsid w:val="2BF77EF9"/>
    <w:rsid w:val="2BF7A3C6"/>
    <w:rsid w:val="2BF89AC3"/>
    <w:rsid w:val="2BF8AFDC"/>
    <w:rsid w:val="2BF97BB2"/>
    <w:rsid w:val="2BFB9913"/>
    <w:rsid w:val="2BFC0413"/>
    <w:rsid w:val="2BFC5246"/>
    <w:rsid w:val="2BFD4058"/>
    <w:rsid w:val="2BFE28AC"/>
    <w:rsid w:val="2BFE5055"/>
    <w:rsid w:val="2BFE5F60"/>
    <w:rsid w:val="2BFE673B"/>
    <w:rsid w:val="2BFE693E"/>
    <w:rsid w:val="2BFF2D05"/>
    <w:rsid w:val="2C001CA6"/>
    <w:rsid w:val="2C03BF16"/>
    <w:rsid w:val="2C042A95"/>
    <w:rsid w:val="2C049507"/>
    <w:rsid w:val="2C0521CC"/>
    <w:rsid w:val="2C056209"/>
    <w:rsid w:val="2C059608"/>
    <w:rsid w:val="2C05D383"/>
    <w:rsid w:val="2C05D6DD"/>
    <w:rsid w:val="2C05DFA7"/>
    <w:rsid w:val="2C067E9E"/>
    <w:rsid w:val="2C06810C"/>
    <w:rsid w:val="2C06DE6C"/>
    <w:rsid w:val="2C076AFE"/>
    <w:rsid w:val="2C07A402"/>
    <w:rsid w:val="2C07A675"/>
    <w:rsid w:val="2C094D5E"/>
    <w:rsid w:val="2C09C28D"/>
    <w:rsid w:val="2C0A06D1"/>
    <w:rsid w:val="2C0A0F46"/>
    <w:rsid w:val="2C0AD8D6"/>
    <w:rsid w:val="2C0AFBAF"/>
    <w:rsid w:val="2C0B52BC"/>
    <w:rsid w:val="2C0C15AE"/>
    <w:rsid w:val="2C0C4E5C"/>
    <w:rsid w:val="2C0CC599"/>
    <w:rsid w:val="2C0D39ED"/>
    <w:rsid w:val="2C0D9C60"/>
    <w:rsid w:val="2C0DAD0C"/>
    <w:rsid w:val="2C0DBD8E"/>
    <w:rsid w:val="2C0DC340"/>
    <w:rsid w:val="2C0DCFE5"/>
    <w:rsid w:val="2C0DD512"/>
    <w:rsid w:val="2C0E0A1B"/>
    <w:rsid w:val="2C0E3DA6"/>
    <w:rsid w:val="2C0EFE60"/>
    <w:rsid w:val="2C0F436F"/>
    <w:rsid w:val="2C0FB251"/>
    <w:rsid w:val="2C0FE074"/>
    <w:rsid w:val="2C0FF62E"/>
    <w:rsid w:val="2C10CEAF"/>
    <w:rsid w:val="2C122CA0"/>
    <w:rsid w:val="2C12463B"/>
    <w:rsid w:val="2C12D581"/>
    <w:rsid w:val="2C12E810"/>
    <w:rsid w:val="2C13E873"/>
    <w:rsid w:val="2C14DB1C"/>
    <w:rsid w:val="2C14F7E8"/>
    <w:rsid w:val="2C152DF6"/>
    <w:rsid w:val="2C15CD85"/>
    <w:rsid w:val="2C16C022"/>
    <w:rsid w:val="2C16F383"/>
    <w:rsid w:val="2C176A02"/>
    <w:rsid w:val="2C17B034"/>
    <w:rsid w:val="2C182C36"/>
    <w:rsid w:val="2C192171"/>
    <w:rsid w:val="2C195A50"/>
    <w:rsid w:val="2C198EB5"/>
    <w:rsid w:val="2C1AFCE8"/>
    <w:rsid w:val="2C1B288C"/>
    <w:rsid w:val="2C1B3A61"/>
    <w:rsid w:val="2C1B40FC"/>
    <w:rsid w:val="2C1B719B"/>
    <w:rsid w:val="2C1C17B5"/>
    <w:rsid w:val="2C1C1FCD"/>
    <w:rsid w:val="2C1C9927"/>
    <w:rsid w:val="2C1DA19B"/>
    <w:rsid w:val="2C1E4A9B"/>
    <w:rsid w:val="2C1E690B"/>
    <w:rsid w:val="2C1EB459"/>
    <w:rsid w:val="2C206755"/>
    <w:rsid w:val="2C211C77"/>
    <w:rsid w:val="2C21B6D0"/>
    <w:rsid w:val="2C228567"/>
    <w:rsid w:val="2C229EDF"/>
    <w:rsid w:val="2C24F2A3"/>
    <w:rsid w:val="2C282AD6"/>
    <w:rsid w:val="2C284C0D"/>
    <w:rsid w:val="2C29FFA6"/>
    <w:rsid w:val="2C2A14F5"/>
    <w:rsid w:val="2C2A66A4"/>
    <w:rsid w:val="2C2ACB0E"/>
    <w:rsid w:val="2C2AF6E5"/>
    <w:rsid w:val="2C2C2DCF"/>
    <w:rsid w:val="2C2C8614"/>
    <w:rsid w:val="2C2C932E"/>
    <w:rsid w:val="2C2CE312"/>
    <w:rsid w:val="2C2D5D7D"/>
    <w:rsid w:val="2C2D9D8A"/>
    <w:rsid w:val="2C2E8BC9"/>
    <w:rsid w:val="2C2E9337"/>
    <w:rsid w:val="2C2E965C"/>
    <w:rsid w:val="2C2EE95F"/>
    <w:rsid w:val="2C2FE8AE"/>
    <w:rsid w:val="2C300BAB"/>
    <w:rsid w:val="2C308DD2"/>
    <w:rsid w:val="2C3117B7"/>
    <w:rsid w:val="2C31DD33"/>
    <w:rsid w:val="2C3248C9"/>
    <w:rsid w:val="2C3258ED"/>
    <w:rsid w:val="2C337CF4"/>
    <w:rsid w:val="2C34E0C6"/>
    <w:rsid w:val="2C3540E7"/>
    <w:rsid w:val="2C36A1E2"/>
    <w:rsid w:val="2C36C61E"/>
    <w:rsid w:val="2C37CF54"/>
    <w:rsid w:val="2C37EB53"/>
    <w:rsid w:val="2C38ECDE"/>
    <w:rsid w:val="2C390C48"/>
    <w:rsid w:val="2C39852A"/>
    <w:rsid w:val="2C3A52A3"/>
    <w:rsid w:val="2C3B8CEF"/>
    <w:rsid w:val="2C3BB339"/>
    <w:rsid w:val="2C3C00F9"/>
    <w:rsid w:val="2C3C7F32"/>
    <w:rsid w:val="2C3CD61F"/>
    <w:rsid w:val="2C3DEF1C"/>
    <w:rsid w:val="2C3E938F"/>
    <w:rsid w:val="2C3EE634"/>
    <w:rsid w:val="2C3FCB2B"/>
    <w:rsid w:val="2C402261"/>
    <w:rsid w:val="2C4029C5"/>
    <w:rsid w:val="2C4032F8"/>
    <w:rsid w:val="2C406D14"/>
    <w:rsid w:val="2C4119CC"/>
    <w:rsid w:val="2C41624C"/>
    <w:rsid w:val="2C42301E"/>
    <w:rsid w:val="2C429C51"/>
    <w:rsid w:val="2C431401"/>
    <w:rsid w:val="2C43248B"/>
    <w:rsid w:val="2C438B8D"/>
    <w:rsid w:val="2C43FED8"/>
    <w:rsid w:val="2C43FF88"/>
    <w:rsid w:val="2C44F9D2"/>
    <w:rsid w:val="2C47F0FA"/>
    <w:rsid w:val="2C489A67"/>
    <w:rsid w:val="2C48B0BD"/>
    <w:rsid w:val="2C48E6D8"/>
    <w:rsid w:val="2C4963B4"/>
    <w:rsid w:val="2C4A50C9"/>
    <w:rsid w:val="2C4A9C59"/>
    <w:rsid w:val="2C4B835A"/>
    <w:rsid w:val="2C4BE5BE"/>
    <w:rsid w:val="2C4C5804"/>
    <w:rsid w:val="2C4CA37D"/>
    <w:rsid w:val="2C4CD99C"/>
    <w:rsid w:val="2C4DC902"/>
    <w:rsid w:val="2C4E2D68"/>
    <w:rsid w:val="2C4E7C0A"/>
    <w:rsid w:val="2C4E9CCA"/>
    <w:rsid w:val="2C4F72C4"/>
    <w:rsid w:val="2C4F8C33"/>
    <w:rsid w:val="2C50F7F3"/>
    <w:rsid w:val="2C52AD22"/>
    <w:rsid w:val="2C52E193"/>
    <w:rsid w:val="2C533304"/>
    <w:rsid w:val="2C538986"/>
    <w:rsid w:val="2C545AC5"/>
    <w:rsid w:val="2C54669B"/>
    <w:rsid w:val="2C54C8EB"/>
    <w:rsid w:val="2C551FE0"/>
    <w:rsid w:val="2C56375F"/>
    <w:rsid w:val="2C5676A4"/>
    <w:rsid w:val="2C576F0A"/>
    <w:rsid w:val="2C57B529"/>
    <w:rsid w:val="2C58775A"/>
    <w:rsid w:val="2C58834A"/>
    <w:rsid w:val="2C5947B4"/>
    <w:rsid w:val="2C595627"/>
    <w:rsid w:val="2C598333"/>
    <w:rsid w:val="2C5A3065"/>
    <w:rsid w:val="2C5A8A08"/>
    <w:rsid w:val="2C5AA6D0"/>
    <w:rsid w:val="2C5B287D"/>
    <w:rsid w:val="2C5B44BA"/>
    <w:rsid w:val="2C5B5BA4"/>
    <w:rsid w:val="2C5BD386"/>
    <w:rsid w:val="2C5BDC5C"/>
    <w:rsid w:val="2C5BEDB3"/>
    <w:rsid w:val="2C5C3409"/>
    <w:rsid w:val="2C5C6D38"/>
    <w:rsid w:val="2C5D9B46"/>
    <w:rsid w:val="2C5E522F"/>
    <w:rsid w:val="2C6067DC"/>
    <w:rsid w:val="2C60F34D"/>
    <w:rsid w:val="2C613E7D"/>
    <w:rsid w:val="2C61BB66"/>
    <w:rsid w:val="2C62049A"/>
    <w:rsid w:val="2C621336"/>
    <w:rsid w:val="2C622AF0"/>
    <w:rsid w:val="2C62ADA6"/>
    <w:rsid w:val="2C62FF89"/>
    <w:rsid w:val="2C63703C"/>
    <w:rsid w:val="2C640202"/>
    <w:rsid w:val="2C643169"/>
    <w:rsid w:val="2C6507B5"/>
    <w:rsid w:val="2C659B5C"/>
    <w:rsid w:val="2C65C5B4"/>
    <w:rsid w:val="2C6634D8"/>
    <w:rsid w:val="2C666D71"/>
    <w:rsid w:val="2C66BE55"/>
    <w:rsid w:val="2C6744C9"/>
    <w:rsid w:val="2C6749BB"/>
    <w:rsid w:val="2C67CDB8"/>
    <w:rsid w:val="2C67F75F"/>
    <w:rsid w:val="2C685FEA"/>
    <w:rsid w:val="2C68F85E"/>
    <w:rsid w:val="2C695F35"/>
    <w:rsid w:val="2C699A1C"/>
    <w:rsid w:val="2C69E319"/>
    <w:rsid w:val="2C6A0BC4"/>
    <w:rsid w:val="2C6A314B"/>
    <w:rsid w:val="2C6A9903"/>
    <w:rsid w:val="2C6B3E84"/>
    <w:rsid w:val="2C6C16DC"/>
    <w:rsid w:val="2C6C8C65"/>
    <w:rsid w:val="2C6DA2ED"/>
    <w:rsid w:val="2C6DC9AD"/>
    <w:rsid w:val="2C6DD2AE"/>
    <w:rsid w:val="2C6E04C8"/>
    <w:rsid w:val="2C6E3E09"/>
    <w:rsid w:val="2C6E4C61"/>
    <w:rsid w:val="2C6E6C6D"/>
    <w:rsid w:val="2C6F4F12"/>
    <w:rsid w:val="2C700B87"/>
    <w:rsid w:val="2C700D63"/>
    <w:rsid w:val="2C7022D3"/>
    <w:rsid w:val="2C703439"/>
    <w:rsid w:val="2C709675"/>
    <w:rsid w:val="2C7148E3"/>
    <w:rsid w:val="2C716B37"/>
    <w:rsid w:val="2C719884"/>
    <w:rsid w:val="2C721FE2"/>
    <w:rsid w:val="2C73DD9E"/>
    <w:rsid w:val="2C73F737"/>
    <w:rsid w:val="2C75104B"/>
    <w:rsid w:val="2C75568E"/>
    <w:rsid w:val="2C755A91"/>
    <w:rsid w:val="2C756F8F"/>
    <w:rsid w:val="2C7578D3"/>
    <w:rsid w:val="2C75AC63"/>
    <w:rsid w:val="2C75CC25"/>
    <w:rsid w:val="2C7618C0"/>
    <w:rsid w:val="2C7649A7"/>
    <w:rsid w:val="2C7669B9"/>
    <w:rsid w:val="2C769714"/>
    <w:rsid w:val="2C76C427"/>
    <w:rsid w:val="2C76EE91"/>
    <w:rsid w:val="2C7870A6"/>
    <w:rsid w:val="2C7889DC"/>
    <w:rsid w:val="2C792749"/>
    <w:rsid w:val="2C7A3166"/>
    <w:rsid w:val="2C7BC49D"/>
    <w:rsid w:val="2C7BD335"/>
    <w:rsid w:val="2C7BF054"/>
    <w:rsid w:val="2C7C8E5D"/>
    <w:rsid w:val="2C7D00A4"/>
    <w:rsid w:val="2C7E7FF4"/>
    <w:rsid w:val="2C7F97A8"/>
    <w:rsid w:val="2C7FFBD4"/>
    <w:rsid w:val="2C80097C"/>
    <w:rsid w:val="2C80181E"/>
    <w:rsid w:val="2C802B39"/>
    <w:rsid w:val="2C81A5A4"/>
    <w:rsid w:val="2C81C0F0"/>
    <w:rsid w:val="2C82763E"/>
    <w:rsid w:val="2C8290A0"/>
    <w:rsid w:val="2C835225"/>
    <w:rsid w:val="2C837869"/>
    <w:rsid w:val="2C837DAA"/>
    <w:rsid w:val="2C83CB0C"/>
    <w:rsid w:val="2C841C03"/>
    <w:rsid w:val="2C8447FD"/>
    <w:rsid w:val="2C845D73"/>
    <w:rsid w:val="2C85737C"/>
    <w:rsid w:val="2C85F551"/>
    <w:rsid w:val="2C86EA8F"/>
    <w:rsid w:val="2C875441"/>
    <w:rsid w:val="2C87E21B"/>
    <w:rsid w:val="2C88063B"/>
    <w:rsid w:val="2C881B3D"/>
    <w:rsid w:val="2C88DD7D"/>
    <w:rsid w:val="2C899344"/>
    <w:rsid w:val="2C89CD74"/>
    <w:rsid w:val="2C89DC23"/>
    <w:rsid w:val="2C8A4043"/>
    <w:rsid w:val="2C8B1200"/>
    <w:rsid w:val="2C8B267B"/>
    <w:rsid w:val="2C8B8146"/>
    <w:rsid w:val="2C8C8C32"/>
    <w:rsid w:val="2C8CC1F8"/>
    <w:rsid w:val="2C8D00C4"/>
    <w:rsid w:val="2C8D2053"/>
    <w:rsid w:val="2C8D698F"/>
    <w:rsid w:val="2C8DEB6D"/>
    <w:rsid w:val="2C8E42C0"/>
    <w:rsid w:val="2C8EB210"/>
    <w:rsid w:val="2C90641C"/>
    <w:rsid w:val="2C9085FE"/>
    <w:rsid w:val="2C90AB51"/>
    <w:rsid w:val="2C911D2B"/>
    <w:rsid w:val="2C912DDA"/>
    <w:rsid w:val="2C9183D0"/>
    <w:rsid w:val="2C91C00D"/>
    <w:rsid w:val="2C929213"/>
    <w:rsid w:val="2C92C23B"/>
    <w:rsid w:val="2C92D579"/>
    <w:rsid w:val="2C937600"/>
    <w:rsid w:val="2C939433"/>
    <w:rsid w:val="2C93A28D"/>
    <w:rsid w:val="2C93A721"/>
    <w:rsid w:val="2C9511D4"/>
    <w:rsid w:val="2C965FAA"/>
    <w:rsid w:val="2C96B804"/>
    <w:rsid w:val="2C987AE9"/>
    <w:rsid w:val="2C98AF06"/>
    <w:rsid w:val="2C991C52"/>
    <w:rsid w:val="2C993354"/>
    <w:rsid w:val="2C993444"/>
    <w:rsid w:val="2C998FEC"/>
    <w:rsid w:val="2C99FCB1"/>
    <w:rsid w:val="2C9BA54A"/>
    <w:rsid w:val="2C9C5200"/>
    <w:rsid w:val="2C9D2929"/>
    <w:rsid w:val="2C9DC141"/>
    <w:rsid w:val="2C9DC167"/>
    <w:rsid w:val="2C9E9AFA"/>
    <w:rsid w:val="2C9EBC2E"/>
    <w:rsid w:val="2C9ED61F"/>
    <w:rsid w:val="2C9F2A82"/>
    <w:rsid w:val="2C9FA91A"/>
    <w:rsid w:val="2C9FA92B"/>
    <w:rsid w:val="2CA0A6BD"/>
    <w:rsid w:val="2CA18692"/>
    <w:rsid w:val="2CA2E7E0"/>
    <w:rsid w:val="2CA34BF9"/>
    <w:rsid w:val="2CA49F9C"/>
    <w:rsid w:val="2CA4BC6B"/>
    <w:rsid w:val="2CA4DA2C"/>
    <w:rsid w:val="2CA5F8D4"/>
    <w:rsid w:val="2CA6DBAF"/>
    <w:rsid w:val="2CA733F3"/>
    <w:rsid w:val="2CA73FBE"/>
    <w:rsid w:val="2CA7BBDC"/>
    <w:rsid w:val="2CA93AE3"/>
    <w:rsid w:val="2CA95543"/>
    <w:rsid w:val="2CA9D3E8"/>
    <w:rsid w:val="2CAA16CB"/>
    <w:rsid w:val="2CAA18B4"/>
    <w:rsid w:val="2CAA21FF"/>
    <w:rsid w:val="2CAAB564"/>
    <w:rsid w:val="2CAAF846"/>
    <w:rsid w:val="2CAB4CA0"/>
    <w:rsid w:val="2CAC4510"/>
    <w:rsid w:val="2CAC99EC"/>
    <w:rsid w:val="2CACC27A"/>
    <w:rsid w:val="2CADA761"/>
    <w:rsid w:val="2CADDFDF"/>
    <w:rsid w:val="2CAE0E9C"/>
    <w:rsid w:val="2CAE2C66"/>
    <w:rsid w:val="2CAF26A8"/>
    <w:rsid w:val="2CAF75C5"/>
    <w:rsid w:val="2CB037DB"/>
    <w:rsid w:val="2CB09964"/>
    <w:rsid w:val="2CB0C265"/>
    <w:rsid w:val="2CB0D6E8"/>
    <w:rsid w:val="2CB3AD32"/>
    <w:rsid w:val="2CB3BC6F"/>
    <w:rsid w:val="2CB46A6E"/>
    <w:rsid w:val="2CB48C0A"/>
    <w:rsid w:val="2CB5248F"/>
    <w:rsid w:val="2CB596CE"/>
    <w:rsid w:val="2CB6D0B4"/>
    <w:rsid w:val="2CB754B2"/>
    <w:rsid w:val="2CB784C3"/>
    <w:rsid w:val="2CB7B68F"/>
    <w:rsid w:val="2CB7B833"/>
    <w:rsid w:val="2CB7EAEF"/>
    <w:rsid w:val="2CB8F1C2"/>
    <w:rsid w:val="2CB9200B"/>
    <w:rsid w:val="2CB92778"/>
    <w:rsid w:val="2CBA45AE"/>
    <w:rsid w:val="2CBAC33C"/>
    <w:rsid w:val="2CBADFD2"/>
    <w:rsid w:val="2CBBC650"/>
    <w:rsid w:val="2CBC0F9C"/>
    <w:rsid w:val="2CBC85C9"/>
    <w:rsid w:val="2CBCA08B"/>
    <w:rsid w:val="2CBD2E54"/>
    <w:rsid w:val="2CBD463D"/>
    <w:rsid w:val="2CBE811E"/>
    <w:rsid w:val="2CBEB2E5"/>
    <w:rsid w:val="2CBF82A8"/>
    <w:rsid w:val="2CBFD122"/>
    <w:rsid w:val="2CC0DF0A"/>
    <w:rsid w:val="2CC2CD21"/>
    <w:rsid w:val="2CC312A4"/>
    <w:rsid w:val="2CC33063"/>
    <w:rsid w:val="2CC36B17"/>
    <w:rsid w:val="2CC374D1"/>
    <w:rsid w:val="2CC3890B"/>
    <w:rsid w:val="2CC53336"/>
    <w:rsid w:val="2CC5AF27"/>
    <w:rsid w:val="2CC5FB2C"/>
    <w:rsid w:val="2CC6829C"/>
    <w:rsid w:val="2CC6CD57"/>
    <w:rsid w:val="2CC7C718"/>
    <w:rsid w:val="2CC85CEA"/>
    <w:rsid w:val="2CC90534"/>
    <w:rsid w:val="2CCA59CD"/>
    <w:rsid w:val="2CCB3116"/>
    <w:rsid w:val="2CCB6184"/>
    <w:rsid w:val="2CCB8330"/>
    <w:rsid w:val="2CCBCFBF"/>
    <w:rsid w:val="2CCD7678"/>
    <w:rsid w:val="2CCD845F"/>
    <w:rsid w:val="2CCDB371"/>
    <w:rsid w:val="2CCDC8B0"/>
    <w:rsid w:val="2CCF126B"/>
    <w:rsid w:val="2CCF19E3"/>
    <w:rsid w:val="2CCFB0E4"/>
    <w:rsid w:val="2CD1C3D3"/>
    <w:rsid w:val="2CD258E3"/>
    <w:rsid w:val="2CD331E1"/>
    <w:rsid w:val="2CD342F0"/>
    <w:rsid w:val="2CD40254"/>
    <w:rsid w:val="2CD46080"/>
    <w:rsid w:val="2CD5ED9D"/>
    <w:rsid w:val="2CD5F101"/>
    <w:rsid w:val="2CD65E6C"/>
    <w:rsid w:val="2CD66D4A"/>
    <w:rsid w:val="2CD749C3"/>
    <w:rsid w:val="2CD926B7"/>
    <w:rsid w:val="2CD97C07"/>
    <w:rsid w:val="2CDAD4A0"/>
    <w:rsid w:val="2CDC487D"/>
    <w:rsid w:val="2CDC6042"/>
    <w:rsid w:val="2CDCD004"/>
    <w:rsid w:val="2CDD2C67"/>
    <w:rsid w:val="2CDD3526"/>
    <w:rsid w:val="2CDEB591"/>
    <w:rsid w:val="2CDF7069"/>
    <w:rsid w:val="2CDF70B5"/>
    <w:rsid w:val="2CDF88C9"/>
    <w:rsid w:val="2CDFA09B"/>
    <w:rsid w:val="2CE0666A"/>
    <w:rsid w:val="2CE26A22"/>
    <w:rsid w:val="2CE30FD5"/>
    <w:rsid w:val="2CE37864"/>
    <w:rsid w:val="2CE4D11A"/>
    <w:rsid w:val="2CE4E813"/>
    <w:rsid w:val="2CE57604"/>
    <w:rsid w:val="2CE6AEC7"/>
    <w:rsid w:val="2CE6FB4B"/>
    <w:rsid w:val="2CE834D9"/>
    <w:rsid w:val="2CE84EFD"/>
    <w:rsid w:val="2CE85DE4"/>
    <w:rsid w:val="2CE92D86"/>
    <w:rsid w:val="2CE9C738"/>
    <w:rsid w:val="2CEA36C9"/>
    <w:rsid w:val="2CEAC317"/>
    <w:rsid w:val="2CEB47E5"/>
    <w:rsid w:val="2CEB5D00"/>
    <w:rsid w:val="2CEB5E9A"/>
    <w:rsid w:val="2CEBE20F"/>
    <w:rsid w:val="2CEC8249"/>
    <w:rsid w:val="2CECBCAF"/>
    <w:rsid w:val="2CECE899"/>
    <w:rsid w:val="2CECEFB2"/>
    <w:rsid w:val="2CED3DDA"/>
    <w:rsid w:val="2CED64BE"/>
    <w:rsid w:val="2CEE8749"/>
    <w:rsid w:val="2CEEC54C"/>
    <w:rsid w:val="2CEFA185"/>
    <w:rsid w:val="2CF0290B"/>
    <w:rsid w:val="2CF05DBE"/>
    <w:rsid w:val="2CF0FCB9"/>
    <w:rsid w:val="2CF12CF8"/>
    <w:rsid w:val="2CF1A7FE"/>
    <w:rsid w:val="2CF1C35A"/>
    <w:rsid w:val="2CF22908"/>
    <w:rsid w:val="2CF28902"/>
    <w:rsid w:val="2CF2AF60"/>
    <w:rsid w:val="2CF31D87"/>
    <w:rsid w:val="2CF3B191"/>
    <w:rsid w:val="2CF3F3E9"/>
    <w:rsid w:val="2CF4E7AF"/>
    <w:rsid w:val="2CF5196B"/>
    <w:rsid w:val="2CF58816"/>
    <w:rsid w:val="2CF594D3"/>
    <w:rsid w:val="2CF59521"/>
    <w:rsid w:val="2CF5AFEE"/>
    <w:rsid w:val="2CF5FE3D"/>
    <w:rsid w:val="2CF6F473"/>
    <w:rsid w:val="2CF86928"/>
    <w:rsid w:val="2CFA42D9"/>
    <w:rsid w:val="2CFAB27C"/>
    <w:rsid w:val="2CFADF0C"/>
    <w:rsid w:val="2CFAE9CB"/>
    <w:rsid w:val="2CFB4A2A"/>
    <w:rsid w:val="2CFBAD0B"/>
    <w:rsid w:val="2CFC1BC9"/>
    <w:rsid w:val="2CFC9554"/>
    <w:rsid w:val="2CFC9F05"/>
    <w:rsid w:val="2CFCAB6B"/>
    <w:rsid w:val="2CFE0E8B"/>
    <w:rsid w:val="2CFE2471"/>
    <w:rsid w:val="2CFE2CB9"/>
    <w:rsid w:val="2CFEE26D"/>
    <w:rsid w:val="2CFF5FE7"/>
    <w:rsid w:val="2CFF9040"/>
    <w:rsid w:val="2D00072D"/>
    <w:rsid w:val="2D001913"/>
    <w:rsid w:val="2D007589"/>
    <w:rsid w:val="2D00BE2F"/>
    <w:rsid w:val="2D011452"/>
    <w:rsid w:val="2D0165FD"/>
    <w:rsid w:val="2D02781C"/>
    <w:rsid w:val="2D04E715"/>
    <w:rsid w:val="2D051FD5"/>
    <w:rsid w:val="2D053905"/>
    <w:rsid w:val="2D055D22"/>
    <w:rsid w:val="2D05DB92"/>
    <w:rsid w:val="2D065322"/>
    <w:rsid w:val="2D0687FF"/>
    <w:rsid w:val="2D06F3A7"/>
    <w:rsid w:val="2D082DC0"/>
    <w:rsid w:val="2D0896B2"/>
    <w:rsid w:val="2D09626C"/>
    <w:rsid w:val="2D09FAAC"/>
    <w:rsid w:val="2D0A7230"/>
    <w:rsid w:val="2D0AB2C6"/>
    <w:rsid w:val="2D0B6A8F"/>
    <w:rsid w:val="2D0B8E6D"/>
    <w:rsid w:val="2D0BD2EA"/>
    <w:rsid w:val="2D0C1EF1"/>
    <w:rsid w:val="2D0C891E"/>
    <w:rsid w:val="2D0D3AC7"/>
    <w:rsid w:val="2D0DFE8B"/>
    <w:rsid w:val="2D0F19D4"/>
    <w:rsid w:val="2D0F2905"/>
    <w:rsid w:val="2D0FB7CA"/>
    <w:rsid w:val="2D10799B"/>
    <w:rsid w:val="2D126BBE"/>
    <w:rsid w:val="2D12C2C4"/>
    <w:rsid w:val="2D12EBF5"/>
    <w:rsid w:val="2D13233C"/>
    <w:rsid w:val="2D1492A6"/>
    <w:rsid w:val="2D14A706"/>
    <w:rsid w:val="2D14B19A"/>
    <w:rsid w:val="2D162657"/>
    <w:rsid w:val="2D18C2A0"/>
    <w:rsid w:val="2D18E913"/>
    <w:rsid w:val="2D19BE28"/>
    <w:rsid w:val="2D1A159A"/>
    <w:rsid w:val="2D1A1780"/>
    <w:rsid w:val="2D1A4265"/>
    <w:rsid w:val="2D1A6171"/>
    <w:rsid w:val="2D1A73D1"/>
    <w:rsid w:val="2D1A97B1"/>
    <w:rsid w:val="2D1B4306"/>
    <w:rsid w:val="2D1BD370"/>
    <w:rsid w:val="2D1C0529"/>
    <w:rsid w:val="2D1C4671"/>
    <w:rsid w:val="2D1C5017"/>
    <w:rsid w:val="2D1CF760"/>
    <w:rsid w:val="2D1CF99D"/>
    <w:rsid w:val="2D1D0462"/>
    <w:rsid w:val="2D1D4750"/>
    <w:rsid w:val="2D1D7D4C"/>
    <w:rsid w:val="2D1DDB37"/>
    <w:rsid w:val="2D1E2DB9"/>
    <w:rsid w:val="2D1E88A0"/>
    <w:rsid w:val="2D1E8C7A"/>
    <w:rsid w:val="2D1E946E"/>
    <w:rsid w:val="2D1ECE37"/>
    <w:rsid w:val="2D1EE4AF"/>
    <w:rsid w:val="2D2139AD"/>
    <w:rsid w:val="2D2197DB"/>
    <w:rsid w:val="2D21B332"/>
    <w:rsid w:val="2D2331CD"/>
    <w:rsid w:val="2D242A95"/>
    <w:rsid w:val="2D24750C"/>
    <w:rsid w:val="2D248C98"/>
    <w:rsid w:val="2D26DF6B"/>
    <w:rsid w:val="2D270C1D"/>
    <w:rsid w:val="2D277B69"/>
    <w:rsid w:val="2D27E76D"/>
    <w:rsid w:val="2D27FFC3"/>
    <w:rsid w:val="2D28E5A7"/>
    <w:rsid w:val="2D28F53F"/>
    <w:rsid w:val="2D29C71A"/>
    <w:rsid w:val="2D2A88D4"/>
    <w:rsid w:val="2D2ACFBD"/>
    <w:rsid w:val="2D2B2BA1"/>
    <w:rsid w:val="2D2C6521"/>
    <w:rsid w:val="2D2DBDAE"/>
    <w:rsid w:val="2D2E94D0"/>
    <w:rsid w:val="2D2EB9C9"/>
    <w:rsid w:val="2D2F7AE9"/>
    <w:rsid w:val="2D2FE374"/>
    <w:rsid w:val="2D30946C"/>
    <w:rsid w:val="2D30CDEB"/>
    <w:rsid w:val="2D31573B"/>
    <w:rsid w:val="2D31AA77"/>
    <w:rsid w:val="2D31CB06"/>
    <w:rsid w:val="2D31EB06"/>
    <w:rsid w:val="2D328896"/>
    <w:rsid w:val="2D329A23"/>
    <w:rsid w:val="2D32DA5A"/>
    <w:rsid w:val="2D33495C"/>
    <w:rsid w:val="2D33E1F1"/>
    <w:rsid w:val="2D33FA2D"/>
    <w:rsid w:val="2D344AE4"/>
    <w:rsid w:val="2D34889E"/>
    <w:rsid w:val="2D3558CC"/>
    <w:rsid w:val="2D358420"/>
    <w:rsid w:val="2D367906"/>
    <w:rsid w:val="2D36E847"/>
    <w:rsid w:val="2D37773E"/>
    <w:rsid w:val="2D38053F"/>
    <w:rsid w:val="2D38ADE4"/>
    <w:rsid w:val="2D39FE83"/>
    <w:rsid w:val="2D3AC09A"/>
    <w:rsid w:val="2D3B3C44"/>
    <w:rsid w:val="2D3B7A80"/>
    <w:rsid w:val="2D3BA4A7"/>
    <w:rsid w:val="2D3C479D"/>
    <w:rsid w:val="2D3D6BF1"/>
    <w:rsid w:val="2D3F4D7E"/>
    <w:rsid w:val="2D3F8635"/>
    <w:rsid w:val="2D3FC34C"/>
    <w:rsid w:val="2D404C79"/>
    <w:rsid w:val="2D40B569"/>
    <w:rsid w:val="2D410512"/>
    <w:rsid w:val="2D413C71"/>
    <w:rsid w:val="2D418D5F"/>
    <w:rsid w:val="2D4203A1"/>
    <w:rsid w:val="2D425128"/>
    <w:rsid w:val="2D42BD25"/>
    <w:rsid w:val="2D4349AC"/>
    <w:rsid w:val="2D437B51"/>
    <w:rsid w:val="2D4393AF"/>
    <w:rsid w:val="2D444A46"/>
    <w:rsid w:val="2D452568"/>
    <w:rsid w:val="2D466428"/>
    <w:rsid w:val="2D46720D"/>
    <w:rsid w:val="2D468589"/>
    <w:rsid w:val="2D469212"/>
    <w:rsid w:val="2D476EBA"/>
    <w:rsid w:val="2D47DF3D"/>
    <w:rsid w:val="2D48A672"/>
    <w:rsid w:val="2D49F262"/>
    <w:rsid w:val="2D4A0896"/>
    <w:rsid w:val="2D4A7104"/>
    <w:rsid w:val="2D4A79EB"/>
    <w:rsid w:val="2D4AA4F7"/>
    <w:rsid w:val="2D4B2491"/>
    <w:rsid w:val="2D4BC8B8"/>
    <w:rsid w:val="2D4CD629"/>
    <w:rsid w:val="2D4D223E"/>
    <w:rsid w:val="2D4D9EC1"/>
    <w:rsid w:val="2D4E61B1"/>
    <w:rsid w:val="2D4EDF3B"/>
    <w:rsid w:val="2D5037AD"/>
    <w:rsid w:val="2D505C58"/>
    <w:rsid w:val="2D515170"/>
    <w:rsid w:val="2D51B84D"/>
    <w:rsid w:val="2D5218CB"/>
    <w:rsid w:val="2D53DDF0"/>
    <w:rsid w:val="2D53DFE6"/>
    <w:rsid w:val="2D54642B"/>
    <w:rsid w:val="2D54EDA5"/>
    <w:rsid w:val="2D54EDF2"/>
    <w:rsid w:val="2D552BE5"/>
    <w:rsid w:val="2D558CFC"/>
    <w:rsid w:val="2D563BC3"/>
    <w:rsid w:val="2D575429"/>
    <w:rsid w:val="2D58B3F8"/>
    <w:rsid w:val="2D5AA5B8"/>
    <w:rsid w:val="2D5ADCD7"/>
    <w:rsid w:val="2D5B5335"/>
    <w:rsid w:val="2D5B8FA6"/>
    <w:rsid w:val="2D5C0790"/>
    <w:rsid w:val="2D5D12FD"/>
    <w:rsid w:val="2D5DE511"/>
    <w:rsid w:val="2D5E3433"/>
    <w:rsid w:val="2D5EE9DF"/>
    <w:rsid w:val="2D5F01B8"/>
    <w:rsid w:val="2D5F36A7"/>
    <w:rsid w:val="2D61CE92"/>
    <w:rsid w:val="2D624685"/>
    <w:rsid w:val="2D6287B2"/>
    <w:rsid w:val="2D6345BE"/>
    <w:rsid w:val="2D646F61"/>
    <w:rsid w:val="2D647C08"/>
    <w:rsid w:val="2D6535D1"/>
    <w:rsid w:val="2D659A59"/>
    <w:rsid w:val="2D663437"/>
    <w:rsid w:val="2D6654BD"/>
    <w:rsid w:val="2D66ABEA"/>
    <w:rsid w:val="2D67990E"/>
    <w:rsid w:val="2D67C61F"/>
    <w:rsid w:val="2D686382"/>
    <w:rsid w:val="2D691B83"/>
    <w:rsid w:val="2D69E463"/>
    <w:rsid w:val="2D69EF49"/>
    <w:rsid w:val="2D6ADEE4"/>
    <w:rsid w:val="2D6B1BB3"/>
    <w:rsid w:val="2D6B4D9A"/>
    <w:rsid w:val="2D6B924E"/>
    <w:rsid w:val="2D6BECB2"/>
    <w:rsid w:val="2D6C37ED"/>
    <w:rsid w:val="2D6C7F11"/>
    <w:rsid w:val="2D6D1835"/>
    <w:rsid w:val="2D6D19F4"/>
    <w:rsid w:val="2D6DFE5C"/>
    <w:rsid w:val="2D6E8437"/>
    <w:rsid w:val="2D708E8A"/>
    <w:rsid w:val="2D70AED6"/>
    <w:rsid w:val="2D711722"/>
    <w:rsid w:val="2D717AB4"/>
    <w:rsid w:val="2D71AD02"/>
    <w:rsid w:val="2D72E0F7"/>
    <w:rsid w:val="2D732C0A"/>
    <w:rsid w:val="2D73CFB3"/>
    <w:rsid w:val="2D74966E"/>
    <w:rsid w:val="2D74B300"/>
    <w:rsid w:val="2D74D3A2"/>
    <w:rsid w:val="2D74EA29"/>
    <w:rsid w:val="2D75130D"/>
    <w:rsid w:val="2D768C2A"/>
    <w:rsid w:val="2D76B97C"/>
    <w:rsid w:val="2D773D36"/>
    <w:rsid w:val="2D77876F"/>
    <w:rsid w:val="2D784D32"/>
    <w:rsid w:val="2D7A1915"/>
    <w:rsid w:val="2D7A3A6C"/>
    <w:rsid w:val="2D7ADDC8"/>
    <w:rsid w:val="2D7B8987"/>
    <w:rsid w:val="2D7B91BD"/>
    <w:rsid w:val="2D7C2F9D"/>
    <w:rsid w:val="2D7E2A81"/>
    <w:rsid w:val="2D7E324A"/>
    <w:rsid w:val="2D7E4B64"/>
    <w:rsid w:val="2D7ED6FB"/>
    <w:rsid w:val="2D7FAF69"/>
    <w:rsid w:val="2D7FBFF0"/>
    <w:rsid w:val="2D8010A3"/>
    <w:rsid w:val="2D8018FA"/>
    <w:rsid w:val="2D8044C0"/>
    <w:rsid w:val="2D80AF2F"/>
    <w:rsid w:val="2D80C518"/>
    <w:rsid w:val="2D81F70E"/>
    <w:rsid w:val="2D820D85"/>
    <w:rsid w:val="2D82713B"/>
    <w:rsid w:val="2D831AC8"/>
    <w:rsid w:val="2D8364BC"/>
    <w:rsid w:val="2D849499"/>
    <w:rsid w:val="2D85B917"/>
    <w:rsid w:val="2D86AD43"/>
    <w:rsid w:val="2D86D25E"/>
    <w:rsid w:val="2D86EEB0"/>
    <w:rsid w:val="2D875968"/>
    <w:rsid w:val="2D8760D6"/>
    <w:rsid w:val="2D878861"/>
    <w:rsid w:val="2D88B468"/>
    <w:rsid w:val="2D88BB58"/>
    <w:rsid w:val="2D8972DE"/>
    <w:rsid w:val="2D8B209A"/>
    <w:rsid w:val="2D8B463F"/>
    <w:rsid w:val="2D8B708B"/>
    <w:rsid w:val="2D8C88D0"/>
    <w:rsid w:val="2D8C96CC"/>
    <w:rsid w:val="2D8EAAC0"/>
    <w:rsid w:val="2D90187C"/>
    <w:rsid w:val="2D9199A6"/>
    <w:rsid w:val="2D91B72B"/>
    <w:rsid w:val="2D9262C3"/>
    <w:rsid w:val="2D92FB20"/>
    <w:rsid w:val="2D937E5B"/>
    <w:rsid w:val="2D93CEA5"/>
    <w:rsid w:val="2D93F147"/>
    <w:rsid w:val="2D94268C"/>
    <w:rsid w:val="2D9450F4"/>
    <w:rsid w:val="2D951403"/>
    <w:rsid w:val="2D95A3AC"/>
    <w:rsid w:val="2D95D5F1"/>
    <w:rsid w:val="2D95FFF3"/>
    <w:rsid w:val="2D963549"/>
    <w:rsid w:val="2D968CC9"/>
    <w:rsid w:val="2D976F84"/>
    <w:rsid w:val="2D9839E0"/>
    <w:rsid w:val="2D987591"/>
    <w:rsid w:val="2D99B51E"/>
    <w:rsid w:val="2D9A334C"/>
    <w:rsid w:val="2D9B8417"/>
    <w:rsid w:val="2D9EF4A6"/>
    <w:rsid w:val="2D9F520A"/>
    <w:rsid w:val="2DA0651A"/>
    <w:rsid w:val="2DA1031B"/>
    <w:rsid w:val="2DA16F6D"/>
    <w:rsid w:val="2DA2EE0F"/>
    <w:rsid w:val="2DA351CE"/>
    <w:rsid w:val="2DA36547"/>
    <w:rsid w:val="2DA3B6E4"/>
    <w:rsid w:val="2DA3DDC2"/>
    <w:rsid w:val="2DA4FF6B"/>
    <w:rsid w:val="2DA54F85"/>
    <w:rsid w:val="2DA60FD2"/>
    <w:rsid w:val="2DA66477"/>
    <w:rsid w:val="2DA7009A"/>
    <w:rsid w:val="2DA73DBD"/>
    <w:rsid w:val="2DA801D9"/>
    <w:rsid w:val="2DA86B90"/>
    <w:rsid w:val="2DA8A961"/>
    <w:rsid w:val="2DA92491"/>
    <w:rsid w:val="2DA959F2"/>
    <w:rsid w:val="2DA96305"/>
    <w:rsid w:val="2DA9E82E"/>
    <w:rsid w:val="2DAA2346"/>
    <w:rsid w:val="2DAA4B13"/>
    <w:rsid w:val="2DAACF3B"/>
    <w:rsid w:val="2DAB6F29"/>
    <w:rsid w:val="2DABC253"/>
    <w:rsid w:val="2DABF598"/>
    <w:rsid w:val="2DACAE64"/>
    <w:rsid w:val="2DAD29F8"/>
    <w:rsid w:val="2DAD2E0B"/>
    <w:rsid w:val="2DAD370F"/>
    <w:rsid w:val="2DADF657"/>
    <w:rsid w:val="2DAE2F32"/>
    <w:rsid w:val="2DAE44E6"/>
    <w:rsid w:val="2DAE97F4"/>
    <w:rsid w:val="2DAEA952"/>
    <w:rsid w:val="2DAEB3B2"/>
    <w:rsid w:val="2DAF90B0"/>
    <w:rsid w:val="2DAFAEF6"/>
    <w:rsid w:val="2DB04A60"/>
    <w:rsid w:val="2DB0D4E2"/>
    <w:rsid w:val="2DB26C22"/>
    <w:rsid w:val="2DB2F863"/>
    <w:rsid w:val="2DB30630"/>
    <w:rsid w:val="2DB60701"/>
    <w:rsid w:val="2DB62363"/>
    <w:rsid w:val="2DB67E3A"/>
    <w:rsid w:val="2DB70B84"/>
    <w:rsid w:val="2DB8EDB5"/>
    <w:rsid w:val="2DB99BF4"/>
    <w:rsid w:val="2DB9D2A5"/>
    <w:rsid w:val="2DB9E6B3"/>
    <w:rsid w:val="2DB9F4B4"/>
    <w:rsid w:val="2DBA4095"/>
    <w:rsid w:val="2DBA59C2"/>
    <w:rsid w:val="2DBAEB28"/>
    <w:rsid w:val="2DBB020A"/>
    <w:rsid w:val="2DBB3A63"/>
    <w:rsid w:val="2DBB7C02"/>
    <w:rsid w:val="2DBBC4AE"/>
    <w:rsid w:val="2DBC678E"/>
    <w:rsid w:val="2DBDD15F"/>
    <w:rsid w:val="2DBE523D"/>
    <w:rsid w:val="2DBE985D"/>
    <w:rsid w:val="2DBF089B"/>
    <w:rsid w:val="2DBF6CC0"/>
    <w:rsid w:val="2DC046BD"/>
    <w:rsid w:val="2DC08ECA"/>
    <w:rsid w:val="2DC0DA6A"/>
    <w:rsid w:val="2DC15A3D"/>
    <w:rsid w:val="2DC1C349"/>
    <w:rsid w:val="2DC1E4EC"/>
    <w:rsid w:val="2DC32025"/>
    <w:rsid w:val="2DC3A21F"/>
    <w:rsid w:val="2DC5DD5B"/>
    <w:rsid w:val="2DC61023"/>
    <w:rsid w:val="2DC67105"/>
    <w:rsid w:val="2DC86EAF"/>
    <w:rsid w:val="2DC9AEC6"/>
    <w:rsid w:val="2DCA317A"/>
    <w:rsid w:val="2DCA3F66"/>
    <w:rsid w:val="2DCAFCEC"/>
    <w:rsid w:val="2DCB139C"/>
    <w:rsid w:val="2DCBB34C"/>
    <w:rsid w:val="2DCBC99E"/>
    <w:rsid w:val="2DCC3AB8"/>
    <w:rsid w:val="2DCC4F0A"/>
    <w:rsid w:val="2DCC5B29"/>
    <w:rsid w:val="2DCD1E02"/>
    <w:rsid w:val="2DCD3050"/>
    <w:rsid w:val="2DCF7C6D"/>
    <w:rsid w:val="2DCF91F4"/>
    <w:rsid w:val="2DCFF623"/>
    <w:rsid w:val="2DD01C04"/>
    <w:rsid w:val="2DD13728"/>
    <w:rsid w:val="2DD15A55"/>
    <w:rsid w:val="2DD2ACFE"/>
    <w:rsid w:val="2DD2F8F5"/>
    <w:rsid w:val="2DD41784"/>
    <w:rsid w:val="2DD42E68"/>
    <w:rsid w:val="2DD497FF"/>
    <w:rsid w:val="2DD58A21"/>
    <w:rsid w:val="2DD5B039"/>
    <w:rsid w:val="2DD6141B"/>
    <w:rsid w:val="2DD681CD"/>
    <w:rsid w:val="2DD6A0D2"/>
    <w:rsid w:val="2DD743DA"/>
    <w:rsid w:val="2DD82826"/>
    <w:rsid w:val="2DD835F2"/>
    <w:rsid w:val="2DD88194"/>
    <w:rsid w:val="2DD8AB27"/>
    <w:rsid w:val="2DDB1A7E"/>
    <w:rsid w:val="2DDB2517"/>
    <w:rsid w:val="2DDBEB63"/>
    <w:rsid w:val="2DDC1434"/>
    <w:rsid w:val="2DDC2394"/>
    <w:rsid w:val="2DDCFC52"/>
    <w:rsid w:val="2DDD7B81"/>
    <w:rsid w:val="2DDDF2C3"/>
    <w:rsid w:val="2DDE0DA8"/>
    <w:rsid w:val="2DDF0601"/>
    <w:rsid w:val="2DDF07A6"/>
    <w:rsid w:val="2DE03948"/>
    <w:rsid w:val="2DE08F7A"/>
    <w:rsid w:val="2DE0C1EF"/>
    <w:rsid w:val="2DE0E6FA"/>
    <w:rsid w:val="2DE1C132"/>
    <w:rsid w:val="2DE1D484"/>
    <w:rsid w:val="2DE284DA"/>
    <w:rsid w:val="2DE2B896"/>
    <w:rsid w:val="2DE369C3"/>
    <w:rsid w:val="2DE3E825"/>
    <w:rsid w:val="2DE3F1DB"/>
    <w:rsid w:val="2DE54021"/>
    <w:rsid w:val="2DE55BBF"/>
    <w:rsid w:val="2DE66DED"/>
    <w:rsid w:val="2DE6F9BF"/>
    <w:rsid w:val="2DE74785"/>
    <w:rsid w:val="2DE9719D"/>
    <w:rsid w:val="2DE9BED8"/>
    <w:rsid w:val="2DEA7F09"/>
    <w:rsid w:val="2DEA8665"/>
    <w:rsid w:val="2DEAB6C5"/>
    <w:rsid w:val="2DEB07F1"/>
    <w:rsid w:val="2DEB7595"/>
    <w:rsid w:val="2DEBDC83"/>
    <w:rsid w:val="2DED14ED"/>
    <w:rsid w:val="2DEE1C72"/>
    <w:rsid w:val="2DEEF786"/>
    <w:rsid w:val="2DEF08AB"/>
    <w:rsid w:val="2DF0A3E0"/>
    <w:rsid w:val="2DF13A03"/>
    <w:rsid w:val="2DF1E0C3"/>
    <w:rsid w:val="2DF25744"/>
    <w:rsid w:val="2DF411FA"/>
    <w:rsid w:val="2DF4910E"/>
    <w:rsid w:val="2DF51042"/>
    <w:rsid w:val="2DF590A2"/>
    <w:rsid w:val="2DF5918B"/>
    <w:rsid w:val="2DF5BB7E"/>
    <w:rsid w:val="2DF5BDDF"/>
    <w:rsid w:val="2DF5E076"/>
    <w:rsid w:val="2DF5FBB3"/>
    <w:rsid w:val="2DF610B2"/>
    <w:rsid w:val="2DF63F54"/>
    <w:rsid w:val="2DF69197"/>
    <w:rsid w:val="2DF6C747"/>
    <w:rsid w:val="2DF71A50"/>
    <w:rsid w:val="2DF7FD0B"/>
    <w:rsid w:val="2DF868E5"/>
    <w:rsid w:val="2DF88965"/>
    <w:rsid w:val="2DF8D033"/>
    <w:rsid w:val="2DF8E6E3"/>
    <w:rsid w:val="2DF97942"/>
    <w:rsid w:val="2DF9F795"/>
    <w:rsid w:val="2DFB257E"/>
    <w:rsid w:val="2DFBD0EF"/>
    <w:rsid w:val="2DFCAAF4"/>
    <w:rsid w:val="2DFDB187"/>
    <w:rsid w:val="2DFDE036"/>
    <w:rsid w:val="2DFE2E0E"/>
    <w:rsid w:val="2DFF11BE"/>
    <w:rsid w:val="2DFF9DA6"/>
    <w:rsid w:val="2E008FF8"/>
    <w:rsid w:val="2E00F356"/>
    <w:rsid w:val="2E01ABFE"/>
    <w:rsid w:val="2E01C504"/>
    <w:rsid w:val="2E023BE9"/>
    <w:rsid w:val="2E028D50"/>
    <w:rsid w:val="2E0379F6"/>
    <w:rsid w:val="2E038B17"/>
    <w:rsid w:val="2E03C4D1"/>
    <w:rsid w:val="2E047F01"/>
    <w:rsid w:val="2E04A9E9"/>
    <w:rsid w:val="2E05C1F3"/>
    <w:rsid w:val="2E05C3E5"/>
    <w:rsid w:val="2E0686B4"/>
    <w:rsid w:val="2E06A32E"/>
    <w:rsid w:val="2E07048E"/>
    <w:rsid w:val="2E07499C"/>
    <w:rsid w:val="2E075899"/>
    <w:rsid w:val="2E07A2BD"/>
    <w:rsid w:val="2E0865D0"/>
    <w:rsid w:val="2E089620"/>
    <w:rsid w:val="2E08F897"/>
    <w:rsid w:val="2E0A8212"/>
    <w:rsid w:val="2E0A844E"/>
    <w:rsid w:val="2E0A9775"/>
    <w:rsid w:val="2E0AC38F"/>
    <w:rsid w:val="2E0AEB86"/>
    <w:rsid w:val="2E0BF5D5"/>
    <w:rsid w:val="2E0BF945"/>
    <w:rsid w:val="2E0C1CA9"/>
    <w:rsid w:val="2E0C33D7"/>
    <w:rsid w:val="2E0D7503"/>
    <w:rsid w:val="2E0EAE65"/>
    <w:rsid w:val="2E0EC647"/>
    <w:rsid w:val="2E0ED306"/>
    <w:rsid w:val="2E0F6737"/>
    <w:rsid w:val="2E0FF9B1"/>
    <w:rsid w:val="2E104235"/>
    <w:rsid w:val="2E10F95B"/>
    <w:rsid w:val="2E12D1C9"/>
    <w:rsid w:val="2E12EBE8"/>
    <w:rsid w:val="2E13E1C6"/>
    <w:rsid w:val="2E155C63"/>
    <w:rsid w:val="2E1639AA"/>
    <w:rsid w:val="2E164C27"/>
    <w:rsid w:val="2E1692CD"/>
    <w:rsid w:val="2E18089D"/>
    <w:rsid w:val="2E181573"/>
    <w:rsid w:val="2E184A57"/>
    <w:rsid w:val="2E18B107"/>
    <w:rsid w:val="2E18B46F"/>
    <w:rsid w:val="2E19B3A5"/>
    <w:rsid w:val="2E1B1A0B"/>
    <w:rsid w:val="2E1C1E22"/>
    <w:rsid w:val="2E1D40AE"/>
    <w:rsid w:val="2E1DA6C7"/>
    <w:rsid w:val="2E1E13C1"/>
    <w:rsid w:val="2E1E1905"/>
    <w:rsid w:val="2E1EB648"/>
    <w:rsid w:val="2E1F5422"/>
    <w:rsid w:val="2E1FAB94"/>
    <w:rsid w:val="2E20993D"/>
    <w:rsid w:val="2E20AA1F"/>
    <w:rsid w:val="2E213294"/>
    <w:rsid w:val="2E21965F"/>
    <w:rsid w:val="2E21A9D6"/>
    <w:rsid w:val="2E226AC5"/>
    <w:rsid w:val="2E23A827"/>
    <w:rsid w:val="2E242E12"/>
    <w:rsid w:val="2E25725D"/>
    <w:rsid w:val="2E2578E9"/>
    <w:rsid w:val="2E25D372"/>
    <w:rsid w:val="2E2744D8"/>
    <w:rsid w:val="2E27F18C"/>
    <w:rsid w:val="2E286E4E"/>
    <w:rsid w:val="2E288597"/>
    <w:rsid w:val="2E2992A4"/>
    <w:rsid w:val="2E29A232"/>
    <w:rsid w:val="2E29D172"/>
    <w:rsid w:val="2E2A4C45"/>
    <w:rsid w:val="2E2A4CBB"/>
    <w:rsid w:val="2E2A6FFD"/>
    <w:rsid w:val="2E2C5189"/>
    <w:rsid w:val="2E2C5FF7"/>
    <w:rsid w:val="2E2D3EBA"/>
    <w:rsid w:val="2E2D62DA"/>
    <w:rsid w:val="2E2D81CF"/>
    <w:rsid w:val="2E2DD9E1"/>
    <w:rsid w:val="2E2E417D"/>
    <w:rsid w:val="2E2F0415"/>
    <w:rsid w:val="2E2F80BD"/>
    <w:rsid w:val="2E2F9E8A"/>
    <w:rsid w:val="2E2FBE1C"/>
    <w:rsid w:val="2E30926E"/>
    <w:rsid w:val="2E30B22F"/>
    <w:rsid w:val="2E30BA6E"/>
    <w:rsid w:val="2E30EBF2"/>
    <w:rsid w:val="2E313677"/>
    <w:rsid w:val="2E3189AE"/>
    <w:rsid w:val="2E319123"/>
    <w:rsid w:val="2E321685"/>
    <w:rsid w:val="2E3233A4"/>
    <w:rsid w:val="2E32A282"/>
    <w:rsid w:val="2E334399"/>
    <w:rsid w:val="2E335B38"/>
    <w:rsid w:val="2E33CFB8"/>
    <w:rsid w:val="2E340B23"/>
    <w:rsid w:val="2E35126F"/>
    <w:rsid w:val="2E353228"/>
    <w:rsid w:val="2E358FEF"/>
    <w:rsid w:val="2E35B861"/>
    <w:rsid w:val="2E363DFF"/>
    <w:rsid w:val="2E365D5C"/>
    <w:rsid w:val="2E387545"/>
    <w:rsid w:val="2E390A7D"/>
    <w:rsid w:val="2E39538C"/>
    <w:rsid w:val="2E3961BD"/>
    <w:rsid w:val="2E398A66"/>
    <w:rsid w:val="2E3AF156"/>
    <w:rsid w:val="2E3B0D74"/>
    <w:rsid w:val="2E3B3991"/>
    <w:rsid w:val="2E3C62BB"/>
    <w:rsid w:val="2E3C6442"/>
    <w:rsid w:val="2E3CEAE3"/>
    <w:rsid w:val="2E3D31EA"/>
    <w:rsid w:val="2E3D5AEE"/>
    <w:rsid w:val="2E3DB4B7"/>
    <w:rsid w:val="2E3F5EF9"/>
    <w:rsid w:val="2E3FA770"/>
    <w:rsid w:val="2E3FA9B6"/>
    <w:rsid w:val="2E41CC42"/>
    <w:rsid w:val="2E423D74"/>
    <w:rsid w:val="2E42C036"/>
    <w:rsid w:val="2E432C5B"/>
    <w:rsid w:val="2E436F0B"/>
    <w:rsid w:val="2E439952"/>
    <w:rsid w:val="2E43E9CE"/>
    <w:rsid w:val="2E4400CC"/>
    <w:rsid w:val="2E444F89"/>
    <w:rsid w:val="2E455821"/>
    <w:rsid w:val="2E456790"/>
    <w:rsid w:val="2E466E11"/>
    <w:rsid w:val="2E46EFBA"/>
    <w:rsid w:val="2E485FCD"/>
    <w:rsid w:val="2E486399"/>
    <w:rsid w:val="2E49A373"/>
    <w:rsid w:val="2E49D8FF"/>
    <w:rsid w:val="2E49E3B3"/>
    <w:rsid w:val="2E4A4A35"/>
    <w:rsid w:val="2E4BA2EC"/>
    <w:rsid w:val="2E4CC077"/>
    <w:rsid w:val="2E4D27F1"/>
    <w:rsid w:val="2E4D6CE6"/>
    <w:rsid w:val="2E4D9BB5"/>
    <w:rsid w:val="2E4E2CB9"/>
    <w:rsid w:val="2E4E32ED"/>
    <w:rsid w:val="2E4E6203"/>
    <w:rsid w:val="2E4EE4F4"/>
    <w:rsid w:val="2E4F11B5"/>
    <w:rsid w:val="2E4FAEB8"/>
    <w:rsid w:val="2E4FC315"/>
    <w:rsid w:val="2E4FFCA7"/>
    <w:rsid w:val="2E50023D"/>
    <w:rsid w:val="2E5096F1"/>
    <w:rsid w:val="2E51B309"/>
    <w:rsid w:val="2E52A798"/>
    <w:rsid w:val="2E52D589"/>
    <w:rsid w:val="2E52D743"/>
    <w:rsid w:val="2E533F97"/>
    <w:rsid w:val="2E546727"/>
    <w:rsid w:val="2E548B95"/>
    <w:rsid w:val="2E554CE3"/>
    <w:rsid w:val="2E55F936"/>
    <w:rsid w:val="2E563188"/>
    <w:rsid w:val="2E56558D"/>
    <w:rsid w:val="2E566073"/>
    <w:rsid w:val="2E56C2D8"/>
    <w:rsid w:val="2E570238"/>
    <w:rsid w:val="2E5826E1"/>
    <w:rsid w:val="2E589FCE"/>
    <w:rsid w:val="2E590016"/>
    <w:rsid w:val="2E5A6691"/>
    <w:rsid w:val="2E5B82C4"/>
    <w:rsid w:val="2E5BCB56"/>
    <w:rsid w:val="2E5D9882"/>
    <w:rsid w:val="2E5E2EE5"/>
    <w:rsid w:val="2E5E4750"/>
    <w:rsid w:val="2E5E6FD0"/>
    <w:rsid w:val="2E5ED4AC"/>
    <w:rsid w:val="2E5EEE76"/>
    <w:rsid w:val="2E5FC607"/>
    <w:rsid w:val="2E601B85"/>
    <w:rsid w:val="2E607B48"/>
    <w:rsid w:val="2E60AE53"/>
    <w:rsid w:val="2E60C96C"/>
    <w:rsid w:val="2E629C2E"/>
    <w:rsid w:val="2E631819"/>
    <w:rsid w:val="2E63BEC2"/>
    <w:rsid w:val="2E63C2C5"/>
    <w:rsid w:val="2E64A11B"/>
    <w:rsid w:val="2E64F835"/>
    <w:rsid w:val="2E651910"/>
    <w:rsid w:val="2E652FF7"/>
    <w:rsid w:val="2E65382A"/>
    <w:rsid w:val="2E653C6B"/>
    <w:rsid w:val="2E6557BE"/>
    <w:rsid w:val="2E6674DC"/>
    <w:rsid w:val="2E67366A"/>
    <w:rsid w:val="2E67CA71"/>
    <w:rsid w:val="2E680454"/>
    <w:rsid w:val="2E680D8D"/>
    <w:rsid w:val="2E68561D"/>
    <w:rsid w:val="2E697294"/>
    <w:rsid w:val="2E6A8377"/>
    <w:rsid w:val="2E6BCDE4"/>
    <w:rsid w:val="2E6C0E6E"/>
    <w:rsid w:val="2E6CC145"/>
    <w:rsid w:val="2E6CFB4B"/>
    <w:rsid w:val="2E6D155D"/>
    <w:rsid w:val="2E6DA79C"/>
    <w:rsid w:val="2E6FFB99"/>
    <w:rsid w:val="2E705302"/>
    <w:rsid w:val="2E709AF7"/>
    <w:rsid w:val="2E713A4A"/>
    <w:rsid w:val="2E7155E6"/>
    <w:rsid w:val="2E71583F"/>
    <w:rsid w:val="2E717C12"/>
    <w:rsid w:val="2E719F23"/>
    <w:rsid w:val="2E736079"/>
    <w:rsid w:val="2E739E54"/>
    <w:rsid w:val="2E73F985"/>
    <w:rsid w:val="2E74CDFA"/>
    <w:rsid w:val="2E7514D1"/>
    <w:rsid w:val="2E75C155"/>
    <w:rsid w:val="2E763AA1"/>
    <w:rsid w:val="2E76A9AE"/>
    <w:rsid w:val="2E76B294"/>
    <w:rsid w:val="2E77D306"/>
    <w:rsid w:val="2E7833F5"/>
    <w:rsid w:val="2E783815"/>
    <w:rsid w:val="2E7838D4"/>
    <w:rsid w:val="2E788E44"/>
    <w:rsid w:val="2E78A44E"/>
    <w:rsid w:val="2E78F252"/>
    <w:rsid w:val="2E78F9A8"/>
    <w:rsid w:val="2E794946"/>
    <w:rsid w:val="2E7A69F9"/>
    <w:rsid w:val="2E7B0F5E"/>
    <w:rsid w:val="2E7B43A8"/>
    <w:rsid w:val="2E7B444A"/>
    <w:rsid w:val="2E7B88BF"/>
    <w:rsid w:val="2E7D6175"/>
    <w:rsid w:val="2E7DA400"/>
    <w:rsid w:val="2E7DF896"/>
    <w:rsid w:val="2E7F42C9"/>
    <w:rsid w:val="2E7FB997"/>
    <w:rsid w:val="2E806C7E"/>
    <w:rsid w:val="2E80FA6B"/>
    <w:rsid w:val="2E81D71D"/>
    <w:rsid w:val="2E8243CD"/>
    <w:rsid w:val="2E82E12C"/>
    <w:rsid w:val="2E8352B6"/>
    <w:rsid w:val="2E835820"/>
    <w:rsid w:val="2E8379AA"/>
    <w:rsid w:val="2E83A5E8"/>
    <w:rsid w:val="2E83FC80"/>
    <w:rsid w:val="2E841791"/>
    <w:rsid w:val="2E85EEF0"/>
    <w:rsid w:val="2E867814"/>
    <w:rsid w:val="2E8687B7"/>
    <w:rsid w:val="2E86BC7A"/>
    <w:rsid w:val="2E87449D"/>
    <w:rsid w:val="2E87AB88"/>
    <w:rsid w:val="2E87D7E6"/>
    <w:rsid w:val="2E880AB1"/>
    <w:rsid w:val="2E888889"/>
    <w:rsid w:val="2E8A59BF"/>
    <w:rsid w:val="2E8AAF96"/>
    <w:rsid w:val="2E8B6663"/>
    <w:rsid w:val="2E8BBA48"/>
    <w:rsid w:val="2E8D4DCB"/>
    <w:rsid w:val="2E8E6BD9"/>
    <w:rsid w:val="2E8F6926"/>
    <w:rsid w:val="2E8FA1A5"/>
    <w:rsid w:val="2E900C65"/>
    <w:rsid w:val="2E90354A"/>
    <w:rsid w:val="2E906B56"/>
    <w:rsid w:val="2E907425"/>
    <w:rsid w:val="2E931E64"/>
    <w:rsid w:val="2E9387E8"/>
    <w:rsid w:val="2E93C0D3"/>
    <w:rsid w:val="2E94460D"/>
    <w:rsid w:val="2E945397"/>
    <w:rsid w:val="2E9567BE"/>
    <w:rsid w:val="2E95C672"/>
    <w:rsid w:val="2E95E0F8"/>
    <w:rsid w:val="2E95F986"/>
    <w:rsid w:val="2E95FBE3"/>
    <w:rsid w:val="2E968BA3"/>
    <w:rsid w:val="2E972151"/>
    <w:rsid w:val="2E9760B9"/>
    <w:rsid w:val="2E9778A1"/>
    <w:rsid w:val="2E97B072"/>
    <w:rsid w:val="2E989312"/>
    <w:rsid w:val="2E989C0B"/>
    <w:rsid w:val="2E9A15E7"/>
    <w:rsid w:val="2E9A960A"/>
    <w:rsid w:val="2E9BC8C5"/>
    <w:rsid w:val="2E9C1380"/>
    <w:rsid w:val="2E9C6952"/>
    <w:rsid w:val="2E9D9BA7"/>
    <w:rsid w:val="2E9DA58C"/>
    <w:rsid w:val="2E9FE20E"/>
    <w:rsid w:val="2E9FFF4F"/>
    <w:rsid w:val="2EA132CC"/>
    <w:rsid w:val="2EA1E6CA"/>
    <w:rsid w:val="2EA1FF57"/>
    <w:rsid w:val="2EA21B93"/>
    <w:rsid w:val="2EA23DE7"/>
    <w:rsid w:val="2EA2480C"/>
    <w:rsid w:val="2EA2C492"/>
    <w:rsid w:val="2EA3BB02"/>
    <w:rsid w:val="2EA44A0B"/>
    <w:rsid w:val="2EA4CF40"/>
    <w:rsid w:val="2EA64262"/>
    <w:rsid w:val="2EA69F76"/>
    <w:rsid w:val="2EA6A6AF"/>
    <w:rsid w:val="2EA6DFB3"/>
    <w:rsid w:val="2EA6EA62"/>
    <w:rsid w:val="2EA76BA3"/>
    <w:rsid w:val="2EA7E775"/>
    <w:rsid w:val="2EA7F75C"/>
    <w:rsid w:val="2EA81BC5"/>
    <w:rsid w:val="2EA98089"/>
    <w:rsid w:val="2EAAF53A"/>
    <w:rsid w:val="2EAB8D5A"/>
    <w:rsid w:val="2EABE5BC"/>
    <w:rsid w:val="2EACAA55"/>
    <w:rsid w:val="2EAD2C38"/>
    <w:rsid w:val="2EAD2EFB"/>
    <w:rsid w:val="2EAD4D2D"/>
    <w:rsid w:val="2EAD5BEE"/>
    <w:rsid w:val="2EAE69FC"/>
    <w:rsid w:val="2EAEC41D"/>
    <w:rsid w:val="2EAED5E6"/>
    <w:rsid w:val="2EB0065A"/>
    <w:rsid w:val="2EB0D006"/>
    <w:rsid w:val="2EB0D483"/>
    <w:rsid w:val="2EB1E3AE"/>
    <w:rsid w:val="2EB1ECE8"/>
    <w:rsid w:val="2EB1F6B1"/>
    <w:rsid w:val="2EB1FB7C"/>
    <w:rsid w:val="2EB25B9B"/>
    <w:rsid w:val="2EB27D92"/>
    <w:rsid w:val="2EB3125E"/>
    <w:rsid w:val="2EB31CD7"/>
    <w:rsid w:val="2EB359FF"/>
    <w:rsid w:val="2EB42267"/>
    <w:rsid w:val="2EB4313D"/>
    <w:rsid w:val="2EB43ECA"/>
    <w:rsid w:val="2EB48547"/>
    <w:rsid w:val="2EB51BB5"/>
    <w:rsid w:val="2EB56123"/>
    <w:rsid w:val="2EB586AC"/>
    <w:rsid w:val="2EB5C6F7"/>
    <w:rsid w:val="2EB64B54"/>
    <w:rsid w:val="2EB65B74"/>
    <w:rsid w:val="2EB67283"/>
    <w:rsid w:val="2EB77248"/>
    <w:rsid w:val="2EB80C37"/>
    <w:rsid w:val="2EB81C07"/>
    <w:rsid w:val="2EB99C39"/>
    <w:rsid w:val="2EBA395B"/>
    <w:rsid w:val="2EBA6F11"/>
    <w:rsid w:val="2EBA77CD"/>
    <w:rsid w:val="2EBB56F4"/>
    <w:rsid w:val="2EBB7104"/>
    <w:rsid w:val="2EBC09D8"/>
    <w:rsid w:val="2EBDB10B"/>
    <w:rsid w:val="2EBE27EF"/>
    <w:rsid w:val="2EBE28E3"/>
    <w:rsid w:val="2EBE48D5"/>
    <w:rsid w:val="2EBEA9FF"/>
    <w:rsid w:val="2EBEBE3A"/>
    <w:rsid w:val="2EBF6AF4"/>
    <w:rsid w:val="2EBF79F4"/>
    <w:rsid w:val="2EBFA23E"/>
    <w:rsid w:val="2EBFCE85"/>
    <w:rsid w:val="2EC0282D"/>
    <w:rsid w:val="2EC06844"/>
    <w:rsid w:val="2EC0770C"/>
    <w:rsid w:val="2EC09E01"/>
    <w:rsid w:val="2EC0A676"/>
    <w:rsid w:val="2EC122B0"/>
    <w:rsid w:val="2EC166B6"/>
    <w:rsid w:val="2EC1D88F"/>
    <w:rsid w:val="2EC1DE8A"/>
    <w:rsid w:val="2EC20B21"/>
    <w:rsid w:val="2EC2177B"/>
    <w:rsid w:val="2EC24034"/>
    <w:rsid w:val="2EC2ADB3"/>
    <w:rsid w:val="2EC39BF6"/>
    <w:rsid w:val="2EC421CF"/>
    <w:rsid w:val="2EC469A9"/>
    <w:rsid w:val="2EC4D93F"/>
    <w:rsid w:val="2EC50B0A"/>
    <w:rsid w:val="2EC69303"/>
    <w:rsid w:val="2EC696A8"/>
    <w:rsid w:val="2EC71715"/>
    <w:rsid w:val="2EC7BB53"/>
    <w:rsid w:val="2EC81772"/>
    <w:rsid w:val="2EC90DAF"/>
    <w:rsid w:val="2ECA0841"/>
    <w:rsid w:val="2ECB2294"/>
    <w:rsid w:val="2ECB9795"/>
    <w:rsid w:val="2ECBBB86"/>
    <w:rsid w:val="2ECBE9FC"/>
    <w:rsid w:val="2ECBFB29"/>
    <w:rsid w:val="2ECC203B"/>
    <w:rsid w:val="2ECC307F"/>
    <w:rsid w:val="2ECC91D7"/>
    <w:rsid w:val="2ECD6B0C"/>
    <w:rsid w:val="2ECDA950"/>
    <w:rsid w:val="2ECF1A91"/>
    <w:rsid w:val="2ECFF659"/>
    <w:rsid w:val="2ED0C4CA"/>
    <w:rsid w:val="2ED19780"/>
    <w:rsid w:val="2ED200AE"/>
    <w:rsid w:val="2ED2F768"/>
    <w:rsid w:val="2ED2FAF2"/>
    <w:rsid w:val="2ED370A6"/>
    <w:rsid w:val="2ED3C351"/>
    <w:rsid w:val="2ED3D755"/>
    <w:rsid w:val="2ED663A4"/>
    <w:rsid w:val="2ED8C3CF"/>
    <w:rsid w:val="2ED8EBDD"/>
    <w:rsid w:val="2ED922A5"/>
    <w:rsid w:val="2ED96AF6"/>
    <w:rsid w:val="2ED97659"/>
    <w:rsid w:val="2ED9B79F"/>
    <w:rsid w:val="2EDA15D4"/>
    <w:rsid w:val="2EDA2FD6"/>
    <w:rsid w:val="2EDA4AD0"/>
    <w:rsid w:val="2EDA559E"/>
    <w:rsid w:val="2EDA90E3"/>
    <w:rsid w:val="2EDAC6BC"/>
    <w:rsid w:val="2EDB7EC9"/>
    <w:rsid w:val="2EDB965E"/>
    <w:rsid w:val="2EDD805D"/>
    <w:rsid w:val="2EDDD220"/>
    <w:rsid w:val="2EDEB669"/>
    <w:rsid w:val="2EDF6745"/>
    <w:rsid w:val="2EDF71D7"/>
    <w:rsid w:val="2EDF72FA"/>
    <w:rsid w:val="2EDF94E4"/>
    <w:rsid w:val="2EE00081"/>
    <w:rsid w:val="2EE0FD0A"/>
    <w:rsid w:val="2EE148DE"/>
    <w:rsid w:val="2EE1D436"/>
    <w:rsid w:val="2EE28D4A"/>
    <w:rsid w:val="2EE2A371"/>
    <w:rsid w:val="2EE2DFB7"/>
    <w:rsid w:val="2EE33571"/>
    <w:rsid w:val="2EE36663"/>
    <w:rsid w:val="2EE368BA"/>
    <w:rsid w:val="2EE39504"/>
    <w:rsid w:val="2EE3D894"/>
    <w:rsid w:val="2EE406E2"/>
    <w:rsid w:val="2EE4A058"/>
    <w:rsid w:val="2EE59A20"/>
    <w:rsid w:val="2EE7F2AF"/>
    <w:rsid w:val="2EE85472"/>
    <w:rsid w:val="2EE8D17A"/>
    <w:rsid w:val="2EE941A2"/>
    <w:rsid w:val="2EE98C52"/>
    <w:rsid w:val="2EE9B018"/>
    <w:rsid w:val="2EEA0FB9"/>
    <w:rsid w:val="2EEB3DFB"/>
    <w:rsid w:val="2EEC1447"/>
    <w:rsid w:val="2EEC3306"/>
    <w:rsid w:val="2EECADA8"/>
    <w:rsid w:val="2EECFF69"/>
    <w:rsid w:val="2EED2777"/>
    <w:rsid w:val="2EEE19F3"/>
    <w:rsid w:val="2EEE206B"/>
    <w:rsid w:val="2EEEC03B"/>
    <w:rsid w:val="2EEF0C61"/>
    <w:rsid w:val="2EEFB52D"/>
    <w:rsid w:val="2EEFC01B"/>
    <w:rsid w:val="2EEFC7DA"/>
    <w:rsid w:val="2EF0495B"/>
    <w:rsid w:val="2EF12363"/>
    <w:rsid w:val="2EF14C31"/>
    <w:rsid w:val="2EF2A240"/>
    <w:rsid w:val="2EF3605C"/>
    <w:rsid w:val="2EF47B01"/>
    <w:rsid w:val="2EF4E188"/>
    <w:rsid w:val="2EF5AA8D"/>
    <w:rsid w:val="2EF6045C"/>
    <w:rsid w:val="2EF604F6"/>
    <w:rsid w:val="2EF61B1D"/>
    <w:rsid w:val="2EF65642"/>
    <w:rsid w:val="2EF67CC2"/>
    <w:rsid w:val="2EF78E51"/>
    <w:rsid w:val="2EF8041B"/>
    <w:rsid w:val="2EF8C00D"/>
    <w:rsid w:val="2EF92A8B"/>
    <w:rsid w:val="2EF932CA"/>
    <w:rsid w:val="2EF93684"/>
    <w:rsid w:val="2EF96522"/>
    <w:rsid w:val="2EFA6627"/>
    <w:rsid w:val="2EFA8001"/>
    <w:rsid w:val="2EFAFD9D"/>
    <w:rsid w:val="2EFC392F"/>
    <w:rsid w:val="2EFD4DBA"/>
    <w:rsid w:val="2EFDA419"/>
    <w:rsid w:val="2EFDB017"/>
    <w:rsid w:val="2EFE32B8"/>
    <w:rsid w:val="2EFE39B6"/>
    <w:rsid w:val="2EFE9645"/>
    <w:rsid w:val="2EFEFA14"/>
    <w:rsid w:val="2EFF5E36"/>
    <w:rsid w:val="2EFFAED7"/>
    <w:rsid w:val="2EFFD2F1"/>
    <w:rsid w:val="2F0056B3"/>
    <w:rsid w:val="2F00A41C"/>
    <w:rsid w:val="2F00D43C"/>
    <w:rsid w:val="2F01499C"/>
    <w:rsid w:val="2F0178BE"/>
    <w:rsid w:val="2F01FE1F"/>
    <w:rsid w:val="2F026C69"/>
    <w:rsid w:val="2F038AF1"/>
    <w:rsid w:val="2F0433E2"/>
    <w:rsid w:val="2F04AA8E"/>
    <w:rsid w:val="2F04FB58"/>
    <w:rsid w:val="2F0537E3"/>
    <w:rsid w:val="2F05431A"/>
    <w:rsid w:val="2F054456"/>
    <w:rsid w:val="2F064A76"/>
    <w:rsid w:val="2F067C6E"/>
    <w:rsid w:val="2F068CEF"/>
    <w:rsid w:val="2F06D81F"/>
    <w:rsid w:val="2F07110B"/>
    <w:rsid w:val="2F07CFFC"/>
    <w:rsid w:val="2F094401"/>
    <w:rsid w:val="2F09D011"/>
    <w:rsid w:val="2F09E8B7"/>
    <w:rsid w:val="2F0B586D"/>
    <w:rsid w:val="2F0CED40"/>
    <w:rsid w:val="2F0D057F"/>
    <w:rsid w:val="2F0DB5E7"/>
    <w:rsid w:val="2F0DC8C6"/>
    <w:rsid w:val="2F0E417F"/>
    <w:rsid w:val="2F0ED1F4"/>
    <w:rsid w:val="2F0FBB81"/>
    <w:rsid w:val="2F1077F8"/>
    <w:rsid w:val="2F10AA97"/>
    <w:rsid w:val="2F10FE83"/>
    <w:rsid w:val="2F1240FB"/>
    <w:rsid w:val="2F126CDF"/>
    <w:rsid w:val="2F12E385"/>
    <w:rsid w:val="2F13D75A"/>
    <w:rsid w:val="2F13EF4E"/>
    <w:rsid w:val="2F14025B"/>
    <w:rsid w:val="2F14FFB8"/>
    <w:rsid w:val="2F15365E"/>
    <w:rsid w:val="2F155742"/>
    <w:rsid w:val="2F15F774"/>
    <w:rsid w:val="2F16E8AC"/>
    <w:rsid w:val="2F172CAD"/>
    <w:rsid w:val="2F17BCF9"/>
    <w:rsid w:val="2F187EDA"/>
    <w:rsid w:val="2F187F06"/>
    <w:rsid w:val="2F18E9EE"/>
    <w:rsid w:val="2F18ECC8"/>
    <w:rsid w:val="2F18FA80"/>
    <w:rsid w:val="2F190740"/>
    <w:rsid w:val="2F19B066"/>
    <w:rsid w:val="2F1C17DD"/>
    <w:rsid w:val="2F1CA53A"/>
    <w:rsid w:val="2F1D2CFF"/>
    <w:rsid w:val="2F1E24C9"/>
    <w:rsid w:val="2F1E2CB3"/>
    <w:rsid w:val="2F1E50FB"/>
    <w:rsid w:val="2F1E8C50"/>
    <w:rsid w:val="2F1F69B5"/>
    <w:rsid w:val="2F1F852E"/>
    <w:rsid w:val="2F1F8D29"/>
    <w:rsid w:val="2F1FE8B5"/>
    <w:rsid w:val="2F2029DC"/>
    <w:rsid w:val="2F2032A0"/>
    <w:rsid w:val="2F20BF29"/>
    <w:rsid w:val="2F213F5C"/>
    <w:rsid w:val="2F2145C6"/>
    <w:rsid w:val="2F2152ED"/>
    <w:rsid w:val="2F21B49E"/>
    <w:rsid w:val="2F21C23A"/>
    <w:rsid w:val="2F22196F"/>
    <w:rsid w:val="2F229642"/>
    <w:rsid w:val="2F23F2D9"/>
    <w:rsid w:val="2F249AA7"/>
    <w:rsid w:val="2F24C342"/>
    <w:rsid w:val="2F25F1D8"/>
    <w:rsid w:val="2F266349"/>
    <w:rsid w:val="2F267893"/>
    <w:rsid w:val="2F2718F8"/>
    <w:rsid w:val="2F2765BE"/>
    <w:rsid w:val="2F28FF15"/>
    <w:rsid w:val="2F29538B"/>
    <w:rsid w:val="2F29B46B"/>
    <w:rsid w:val="2F29D0D0"/>
    <w:rsid w:val="2F29D49E"/>
    <w:rsid w:val="2F2AFCAF"/>
    <w:rsid w:val="2F2C43B0"/>
    <w:rsid w:val="2F2CC318"/>
    <w:rsid w:val="2F2D387D"/>
    <w:rsid w:val="2F2DB6B5"/>
    <w:rsid w:val="2F2E91A2"/>
    <w:rsid w:val="2F2EBDC6"/>
    <w:rsid w:val="2F2F30C9"/>
    <w:rsid w:val="2F31D3E5"/>
    <w:rsid w:val="2F31E843"/>
    <w:rsid w:val="2F332643"/>
    <w:rsid w:val="2F332801"/>
    <w:rsid w:val="2F335373"/>
    <w:rsid w:val="2F336831"/>
    <w:rsid w:val="2F33DF87"/>
    <w:rsid w:val="2F33E991"/>
    <w:rsid w:val="2F346486"/>
    <w:rsid w:val="2F353636"/>
    <w:rsid w:val="2F35902C"/>
    <w:rsid w:val="2F35E7C3"/>
    <w:rsid w:val="2F3703F2"/>
    <w:rsid w:val="2F386549"/>
    <w:rsid w:val="2F389B8A"/>
    <w:rsid w:val="2F3954F6"/>
    <w:rsid w:val="2F39C3C5"/>
    <w:rsid w:val="2F3A3B09"/>
    <w:rsid w:val="2F3AFC91"/>
    <w:rsid w:val="2F3B4C85"/>
    <w:rsid w:val="2F3B6995"/>
    <w:rsid w:val="2F3C20D5"/>
    <w:rsid w:val="2F3C34EB"/>
    <w:rsid w:val="2F3D3034"/>
    <w:rsid w:val="2F3F6130"/>
    <w:rsid w:val="2F3F9F9C"/>
    <w:rsid w:val="2F405696"/>
    <w:rsid w:val="2F405E3F"/>
    <w:rsid w:val="2F407CEC"/>
    <w:rsid w:val="2F40E12C"/>
    <w:rsid w:val="2F40F967"/>
    <w:rsid w:val="2F41E1D1"/>
    <w:rsid w:val="2F436857"/>
    <w:rsid w:val="2F43F215"/>
    <w:rsid w:val="2F43FEA7"/>
    <w:rsid w:val="2F4458DF"/>
    <w:rsid w:val="2F44A999"/>
    <w:rsid w:val="2F456AE7"/>
    <w:rsid w:val="2F46399C"/>
    <w:rsid w:val="2F472169"/>
    <w:rsid w:val="2F480E52"/>
    <w:rsid w:val="2F485BB4"/>
    <w:rsid w:val="2F48B611"/>
    <w:rsid w:val="2F4A617D"/>
    <w:rsid w:val="2F4BD8F4"/>
    <w:rsid w:val="2F4BF5C7"/>
    <w:rsid w:val="2F4C9107"/>
    <w:rsid w:val="2F4D1797"/>
    <w:rsid w:val="2F4EEF4F"/>
    <w:rsid w:val="2F507F1C"/>
    <w:rsid w:val="2F50FE09"/>
    <w:rsid w:val="2F522A1D"/>
    <w:rsid w:val="2F522F3C"/>
    <w:rsid w:val="2F52AA07"/>
    <w:rsid w:val="2F532794"/>
    <w:rsid w:val="2F53951D"/>
    <w:rsid w:val="2F5475C1"/>
    <w:rsid w:val="2F550828"/>
    <w:rsid w:val="2F552D91"/>
    <w:rsid w:val="2F554265"/>
    <w:rsid w:val="2F55BD3F"/>
    <w:rsid w:val="2F55E739"/>
    <w:rsid w:val="2F56FA2A"/>
    <w:rsid w:val="2F56FB0C"/>
    <w:rsid w:val="2F57EBC8"/>
    <w:rsid w:val="2F5931B6"/>
    <w:rsid w:val="2F5A42E3"/>
    <w:rsid w:val="2F5B0F9F"/>
    <w:rsid w:val="2F5C76BF"/>
    <w:rsid w:val="2F5CA7D6"/>
    <w:rsid w:val="2F5D3150"/>
    <w:rsid w:val="2F5D6821"/>
    <w:rsid w:val="2F5D6D90"/>
    <w:rsid w:val="2F5D9C0A"/>
    <w:rsid w:val="2F5EF339"/>
    <w:rsid w:val="2F5F0673"/>
    <w:rsid w:val="2F5F4775"/>
    <w:rsid w:val="2F60B475"/>
    <w:rsid w:val="2F61C0C2"/>
    <w:rsid w:val="2F620226"/>
    <w:rsid w:val="2F634F97"/>
    <w:rsid w:val="2F63B51D"/>
    <w:rsid w:val="2F63E84D"/>
    <w:rsid w:val="2F63FAD0"/>
    <w:rsid w:val="2F645EA9"/>
    <w:rsid w:val="2F64D7BE"/>
    <w:rsid w:val="2F6510DC"/>
    <w:rsid w:val="2F662C31"/>
    <w:rsid w:val="2F664E87"/>
    <w:rsid w:val="2F665866"/>
    <w:rsid w:val="2F66F880"/>
    <w:rsid w:val="2F67675A"/>
    <w:rsid w:val="2F67A01A"/>
    <w:rsid w:val="2F6866FD"/>
    <w:rsid w:val="2F68CE38"/>
    <w:rsid w:val="2F68F623"/>
    <w:rsid w:val="2F69CF69"/>
    <w:rsid w:val="2F6A5098"/>
    <w:rsid w:val="2F6A647C"/>
    <w:rsid w:val="2F6A9DE4"/>
    <w:rsid w:val="2F6ADBCE"/>
    <w:rsid w:val="2F6B5ACB"/>
    <w:rsid w:val="2F6B66EF"/>
    <w:rsid w:val="2F6C7342"/>
    <w:rsid w:val="2F6D6BD2"/>
    <w:rsid w:val="2F6D8470"/>
    <w:rsid w:val="2F6E02AF"/>
    <w:rsid w:val="2F6E6079"/>
    <w:rsid w:val="2F6E8D84"/>
    <w:rsid w:val="2F6FA115"/>
    <w:rsid w:val="2F6FD964"/>
    <w:rsid w:val="2F6FF867"/>
    <w:rsid w:val="2F7096FF"/>
    <w:rsid w:val="2F715112"/>
    <w:rsid w:val="2F723C69"/>
    <w:rsid w:val="2F72E1A0"/>
    <w:rsid w:val="2F73226E"/>
    <w:rsid w:val="2F739666"/>
    <w:rsid w:val="2F73D347"/>
    <w:rsid w:val="2F752DF9"/>
    <w:rsid w:val="2F758A20"/>
    <w:rsid w:val="2F761B53"/>
    <w:rsid w:val="2F76E859"/>
    <w:rsid w:val="2F77FAE1"/>
    <w:rsid w:val="2F7894E7"/>
    <w:rsid w:val="2F78B57E"/>
    <w:rsid w:val="2F795C2A"/>
    <w:rsid w:val="2F798E28"/>
    <w:rsid w:val="2F79CB7F"/>
    <w:rsid w:val="2F7A028D"/>
    <w:rsid w:val="2F7A3C3B"/>
    <w:rsid w:val="2F7B60B9"/>
    <w:rsid w:val="2F7D695B"/>
    <w:rsid w:val="2F7D6D15"/>
    <w:rsid w:val="2F7D8137"/>
    <w:rsid w:val="2F7E3361"/>
    <w:rsid w:val="2F7E443F"/>
    <w:rsid w:val="2F7F60E0"/>
    <w:rsid w:val="2F7F8985"/>
    <w:rsid w:val="2F7FAF33"/>
    <w:rsid w:val="2F8076AD"/>
    <w:rsid w:val="2F8110C2"/>
    <w:rsid w:val="2F814028"/>
    <w:rsid w:val="2F81799C"/>
    <w:rsid w:val="2F81D1B9"/>
    <w:rsid w:val="2F820168"/>
    <w:rsid w:val="2F822DC5"/>
    <w:rsid w:val="2F831A1A"/>
    <w:rsid w:val="2F836404"/>
    <w:rsid w:val="2F83BDFD"/>
    <w:rsid w:val="2F8441AF"/>
    <w:rsid w:val="2F84E714"/>
    <w:rsid w:val="2F85D19A"/>
    <w:rsid w:val="2F8628B3"/>
    <w:rsid w:val="2F862E7F"/>
    <w:rsid w:val="2F866639"/>
    <w:rsid w:val="2F866D40"/>
    <w:rsid w:val="2F86BEA6"/>
    <w:rsid w:val="2F87277C"/>
    <w:rsid w:val="2F87C7BB"/>
    <w:rsid w:val="2F882E71"/>
    <w:rsid w:val="2F88B66D"/>
    <w:rsid w:val="2F88D067"/>
    <w:rsid w:val="2F88E8C8"/>
    <w:rsid w:val="2F891C35"/>
    <w:rsid w:val="2F8947FE"/>
    <w:rsid w:val="2F89EC90"/>
    <w:rsid w:val="2F8A34A5"/>
    <w:rsid w:val="2F8B8881"/>
    <w:rsid w:val="2F8B91CF"/>
    <w:rsid w:val="2F8BC5B2"/>
    <w:rsid w:val="2F8BF705"/>
    <w:rsid w:val="2F8C8A68"/>
    <w:rsid w:val="2F8CA1FB"/>
    <w:rsid w:val="2F8E28D1"/>
    <w:rsid w:val="2F8E64A9"/>
    <w:rsid w:val="2F8E7959"/>
    <w:rsid w:val="2F8EDA45"/>
    <w:rsid w:val="2F8EFAFE"/>
    <w:rsid w:val="2F905961"/>
    <w:rsid w:val="2F90A32D"/>
    <w:rsid w:val="2F91467C"/>
    <w:rsid w:val="2F91B675"/>
    <w:rsid w:val="2F91CA1C"/>
    <w:rsid w:val="2F945B53"/>
    <w:rsid w:val="2F94E149"/>
    <w:rsid w:val="2F95741B"/>
    <w:rsid w:val="2F95D8C0"/>
    <w:rsid w:val="2F9619F5"/>
    <w:rsid w:val="2F9621B1"/>
    <w:rsid w:val="2F964F2D"/>
    <w:rsid w:val="2F969E09"/>
    <w:rsid w:val="2F969FA0"/>
    <w:rsid w:val="2F96A4DE"/>
    <w:rsid w:val="2F97437E"/>
    <w:rsid w:val="2F977622"/>
    <w:rsid w:val="2F98106B"/>
    <w:rsid w:val="2F98311C"/>
    <w:rsid w:val="2F983133"/>
    <w:rsid w:val="2F985C2A"/>
    <w:rsid w:val="2F986E37"/>
    <w:rsid w:val="2F99640E"/>
    <w:rsid w:val="2F9A1CC5"/>
    <w:rsid w:val="2F9B501F"/>
    <w:rsid w:val="2F9B65F3"/>
    <w:rsid w:val="2F9C009D"/>
    <w:rsid w:val="2F9DBA2C"/>
    <w:rsid w:val="2F9E0B3E"/>
    <w:rsid w:val="2F9F3CB7"/>
    <w:rsid w:val="2F9F47AA"/>
    <w:rsid w:val="2F9F91C7"/>
    <w:rsid w:val="2FA0378A"/>
    <w:rsid w:val="2FA0F415"/>
    <w:rsid w:val="2FA0F993"/>
    <w:rsid w:val="2FA1126D"/>
    <w:rsid w:val="2FA1C414"/>
    <w:rsid w:val="2FA1ED9B"/>
    <w:rsid w:val="2FA2E4EA"/>
    <w:rsid w:val="2FA31A0B"/>
    <w:rsid w:val="2FA3BFE8"/>
    <w:rsid w:val="2FA560DF"/>
    <w:rsid w:val="2FA58466"/>
    <w:rsid w:val="2FA5C621"/>
    <w:rsid w:val="2FA5E092"/>
    <w:rsid w:val="2FA65B2E"/>
    <w:rsid w:val="2FA85A2F"/>
    <w:rsid w:val="2FA8BDED"/>
    <w:rsid w:val="2FA8F29B"/>
    <w:rsid w:val="2FA9CC69"/>
    <w:rsid w:val="2FA9DAC1"/>
    <w:rsid w:val="2FAA2E96"/>
    <w:rsid w:val="2FAAA7A0"/>
    <w:rsid w:val="2FAB4A0F"/>
    <w:rsid w:val="2FAC1139"/>
    <w:rsid w:val="2FAC576B"/>
    <w:rsid w:val="2FACA501"/>
    <w:rsid w:val="2FAD88B0"/>
    <w:rsid w:val="2FADC1CA"/>
    <w:rsid w:val="2FAE5F51"/>
    <w:rsid w:val="2FAEDF22"/>
    <w:rsid w:val="2FAEF969"/>
    <w:rsid w:val="2FAF23E1"/>
    <w:rsid w:val="2FAF37D4"/>
    <w:rsid w:val="2FAF6970"/>
    <w:rsid w:val="2FAF7BE3"/>
    <w:rsid w:val="2FAFCBD2"/>
    <w:rsid w:val="2FB0347A"/>
    <w:rsid w:val="2FB062BF"/>
    <w:rsid w:val="2FB07D5E"/>
    <w:rsid w:val="2FB10EE6"/>
    <w:rsid w:val="2FB152A0"/>
    <w:rsid w:val="2FB1DE9C"/>
    <w:rsid w:val="2FB210CE"/>
    <w:rsid w:val="2FB25971"/>
    <w:rsid w:val="2FB29C9A"/>
    <w:rsid w:val="2FB4A909"/>
    <w:rsid w:val="2FB50A52"/>
    <w:rsid w:val="2FB591C4"/>
    <w:rsid w:val="2FB5AE26"/>
    <w:rsid w:val="2FB60F8A"/>
    <w:rsid w:val="2FB64B87"/>
    <w:rsid w:val="2FB6B36F"/>
    <w:rsid w:val="2FB6EA54"/>
    <w:rsid w:val="2FB6F347"/>
    <w:rsid w:val="2FB7D36A"/>
    <w:rsid w:val="2FB838F0"/>
    <w:rsid w:val="2FB85356"/>
    <w:rsid w:val="2FB934AD"/>
    <w:rsid w:val="2FB9C9D3"/>
    <w:rsid w:val="2FB9DC6D"/>
    <w:rsid w:val="2FBA09DD"/>
    <w:rsid w:val="2FBA6364"/>
    <w:rsid w:val="2FBA8704"/>
    <w:rsid w:val="2FBAB586"/>
    <w:rsid w:val="2FBADEBC"/>
    <w:rsid w:val="2FBAF31E"/>
    <w:rsid w:val="2FBB2560"/>
    <w:rsid w:val="2FBB6D7A"/>
    <w:rsid w:val="2FBC023E"/>
    <w:rsid w:val="2FBC7386"/>
    <w:rsid w:val="2FBD99BF"/>
    <w:rsid w:val="2FBDAE32"/>
    <w:rsid w:val="2FBE0A9F"/>
    <w:rsid w:val="2FBE614D"/>
    <w:rsid w:val="2FBEED13"/>
    <w:rsid w:val="2FBF1A20"/>
    <w:rsid w:val="2FBFA054"/>
    <w:rsid w:val="2FC001EF"/>
    <w:rsid w:val="2FC1316E"/>
    <w:rsid w:val="2FC16815"/>
    <w:rsid w:val="2FC18DE9"/>
    <w:rsid w:val="2FC1A6C9"/>
    <w:rsid w:val="2FC1F4D8"/>
    <w:rsid w:val="2FC1FFE7"/>
    <w:rsid w:val="2FC22D79"/>
    <w:rsid w:val="2FC2DA88"/>
    <w:rsid w:val="2FC61C4E"/>
    <w:rsid w:val="2FC73081"/>
    <w:rsid w:val="2FC7D5C4"/>
    <w:rsid w:val="2FC7DCE0"/>
    <w:rsid w:val="2FC8253D"/>
    <w:rsid w:val="2FC9E57E"/>
    <w:rsid w:val="2FCA34E9"/>
    <w:rsid w:val="2FCA79F7"/>
    <w:rsid w:val="2FCC8480"/>
    <w:rsid w:val="2FCCBC3C"/>
    <w:rsid w:val="2FCD32A0"/>
    <w:rsid w:val="2FCD94A7"/>
    <w:rsid w:val="2FCDFFAA"/>
    <w:rsid w:val="2FCE267E"/>
    <w:rsid w:val="2FCE9FD7"/>
    <w:rsid w:val="2FCEA1B2"/>
    <w:rsid w:val="2FCF57EB"/>
    <w:rsid w:val="2FCFD5FA"/>
    <w:rsid w:val="2FD05514"/>
    <w:rsid w:val="2FD0E40C"/>
    <w:rsid w:val="2FD1AA28"/>
    <w:rsid w:val="2FD1C905"/>
    <w:rsid w:val="2FD2822B"/>
    <w:rsid w:val="2FD2A725"/>
    <w:rsid w:val="2FD2DDCE"/>
    <w:rsid w:val="2FD343C3"/>
    <w:rsid w:val="2FD422DF"/>
    <w:rsid w:val="2FD42C50"/>
    <w:rsid w:val="2FD45DE7"/>
    <w:rsid w:val="2FD46ACA"/>
    <w:rsid w:val="2FD4BAB2"/>
    <w:rsid w:val="2FD592A7"/>
    <w:rsid w:val="2FD5F3E2"/>
    <w:rsid w:val="2FD604C9"/>
    <w:rsid w:val="2FD61562"/>
    <w:rsid w:val="2FD63D39"/>
    <w:rsid w:val="2FD65A4B"/>
    <w:rsid w:val="2FD75B04"/>
    <w:rsid w:val="2FD84EFB"/>
    <w:rsid w:val="2FD9B928"/>
    <w:rsid w:val="2FD9C716"/>
    <w:rsid w:val="2FDA41C0"/>
    <w:rsid w:val="2FDBBE58"/>
    <w:rsid w:val="2FDDB2AA"/>
    <w:rsid w:val="2FDE510B"/>
    <w:rsid w:val="2FDE7C4C"/>
    <w:rsid w:val="2FDE8EDB"/>
    <w:rsid w:val="2FDEA67A"/>
    <w:rsid w:val="2FDF81EC"/>
    <w:rsid w:val="2FDFEFB7"/>
    <w:rsid w:val="2FE0001A"/>
    <w:rsid w:val="2FE01196"/>
    <w:rsid w:val="2FE04D06"/>
    <w:rsid w:val="2FE077FB"/>
    <w:rsid w:val="2FE07E4E"/>
    <w:rsid w:val="2FE16E4A"/>
    <w:rsid w:val="2FE1FED3"/>
    <w:rsid w:val="2FE1FEE6"/>
    <w:rsid w:val="2FE249EC"/>
    <w:rsid w:val="2FE26F7F"/>
    <w:rsid w:val="2FE2A0E5"/>
    <w:rsid w:val="2FE3D9B0"/>
    <w:rsid w:val="2FE3DAFA"/>
    <w:rsid w:val="2FE436D0"/>
    <w:rsid w:val="2FE4FFBB"/>
    <w:rsid w:val="2FE5104A"/>
    <w:rsid w:val="2FE51110"/>
    <w:rsid w:val="2FE6A9A9"/>
    <w:rsid w:val="2FE6B28B"/>
    <w:rsid w:val="2FE6C978"/>
    <w:rsid w:val="2FE6EC1D"/>
    <w:rsid w:val="2FE7C323"/>
    <w:rsid w:val="2FE87AF9"/>
    <w:rsid w:val="2FEB40DA"/>
    <w:rsid w:val="2FEBC0E6"/>
    <w:rsid w:val="2FEC080E"/>
    <w:rsid w:val="2FEC584D"/>
    <w:rsid w:val="2FECEC9F"/>
    <w:rsid w:val="2FECFE13"/>
    <w:rsid w:val="2FED080D"/>
    <w:rsid w:val="2FED3BC4"/>
    <w:rsid w:val="2FED3FE6"/>
    <w:rsid w:val="2FEDADE6"/>
    <w:rsid w:val="2FEEC499"/>
    <w:rsid w:val="2FEEE753"/>
    <w:rsid w:val="2FEEF13A"/>
    <w:rsid w:val="2FF05286"/>
    <w:rsid w:val="2FF0650F"/>
    <w:rsid w:val="2FF09A68"/>
    <w:rsid w:val="2FF0BC05"/>
    <w:rsid w:val="2FF15466"/>
    <w:rsid w:val="2FF20DDA"/>
    <w:rsid w:val="2FF2314A"/>
    <w:rsid w:val="2FF2C8D8"/>
    <w:rsid w:val="2FF3A5EF"/>
    <w:rsid w:val="2FF4693F"/>
    <w:rsid w:val="2FF4B313"/>
    <w:rsid w:val="2FF69C61"/>
    <w:rsid w:val="2FF6AA6C"/>
    <w:rsid w:val="2FF72228"/>
    <w:rsid w:val="2FF74393"/>
    <w:rsid w:val="2FF7A162"/>
    <w:rsid w:val="2FF7C746"/>
    <w:rsid w:val="2FF836E8"/>
    <w:rsid w:val="2FF8C9E8"/>
    <w:rsid w:val="2FF9DA74"/>
    <w:rsid w:val="2FFA0082"/>
    <w:rsid w:val="2FFA7A67"/>
    <w:rsid w:val="2FFAE93E"/>
    <w:rsid w:val="2FFB2349"/>
    <w:rsid w:val="2FFB39AE"/>
    <w:rsid w:val="2FFC1EDF"/>
    <w:rsid w:val="2FFCC8E5"/>
    <w:rsid w:val="2FFDD610"/>
    <w:rsid w:val="2FFEC662"/>
    <w:rsid w:val="2FFF0FCD"/>
    <w:rsid w:val="2FFF31C7"/>
    <w:rsid w:val="30004AAE"/>
    <w:rsid w:val="3000DB50"/>
    <w:rsid w:val="3000DEE0"/>
    <w:rsid w:val="3000F242"/>
    <w:rsid w:val="30028C38"/>
    <w:rsid w:val="3002BF47"/>
    <w:rsid w:val="3002C58A"/>
    <w:rsid w:val="3002EBF4"/>
    <w:rsid w:val="300384C1"/>
    <w:rsid w:val="300384DD"/>
    <w:rsid w:val="3003CCA0"/>
    <w:rsid w:val="3003D2F5"/>
    <w:rsid w:val="3004598A"/>
    <w:rsid w:val="3004CCF9"/>
    <w:rsid w:val="300536BA"/>
    <w:rsid w:val="30055EF0"/>
    <w:rsid w:val="30066CC7"/>
    <w:rsid w:val="30078F36"/>
    <w:rsid w:val="3007A656"/>
    <w:rsid w:val="3007D88F"/>
    <w:rsid w:val="30082D61"/>
    <w:rsid w:val="3008B0D3"/>
    <w:rsid w:val="3008B15A"/>
    <w:rsid w:val="3009C6DE"/>
    <w:rsid w:val="3009D149"/>
    <w:rsid w:val="3009FFB3"/>
    <w:rsid w:val="300A521C"/>
    <w:rsid w:val="300A77B9"/>
    <w:rsid w:val="300B7CDB"/>
    <w:rsid w:val="300C1B2D"/>
    <w:rsid w:val="300D355E"/>
    <w:rsid w:val="300E73F6"/>
    <w:rsid w:val="300E7611"/>
    <w:rsid w:val="300EE15B"/>
    <w:rsid w:val="300F601F"/>
    <w:rsid w:val="300F6F0A"/>
    <w:rsid w:val="3010A4B0"/>
    <w:rsid w:val="3010AF58"/>
    <w:rsid w:val="3010F944"/>
    <w:rsid w:val="30110CEE"/>
    <w:rsid w:val="30115E61"/>
    <w:rsid w:val="3011B2B2"/>
    <w:rsid w:val="3011E5FF"/>
    <w:rsid w:val="301263DF"/>
    <w:rsid w:val="30127D54"/>
    <w:rsid w:val="3012B413"/>
    <w:rsid w:val="3012C2F5"/>
    <w:rsid w:val="30141942"/>
    <w:rsid w:val="301456C7"/>
    <w:rsid w:val="3014A2CA"/>
    <w:rsid w:val="3014E062"/>
    <w:rsid w:val="30154B92"/>
    <w:rsid w:val="3015ABDB"/>
    <w:rsid w:val="3015C6F5"/>
    <w:rsid w:val="3015DD64"/>
    <w:rsid w:val="3015FC5A"/>
    <w:rsid w:val="3016557B"/>
    <w:rsid w:val="30190A71"/>
    <w:rsid w:val="301915EB"/>
    <w:rsid w:val="301957DB"/>
    <w:rsid w:val="30197A90"/>
    <w:rsid w:val="30198F70"/>
    <w:rsid w:val="301B5E72"/>
    <w:rsid w:val="301C3B4F"/>
    <w:rsid w:val="301C9A9F"/>
    <w:rsid w:val="301D1168"/>
    <w:rsid w:val="301D2C1E"/>
    <w:rsid w:val="301EE99F"/>
    <w:rsid w:val="301F04E0"/>
    <w:rsid w:val="301F16EC"/>
    <w:rsid w:val="301F2654"/>
    <w:rsid w:val="301F4081"/>
    <w:rsid w:val="301F98F2"/>
    <w:rsid w:val="301FCE7D"/>
    <w:rsid w:val="302027DB"/>
    <w:rsid w:val="30206D35"/>
    <w:rsid w:val="3020C13C"/>
    <w:rsid w:val="30219BD5"/>
    <w:rsid w:val="3021A237"/>
    <w:rsid w:val="3021BAC4"/>
    <w:rsid w:val="30221A97"/>
    <w:rsid w:val="30227842"/>
    <w:rsid w:val="3022B89B"/>
    <w:rsid w:val="302401E4"/>
    <w:rsid w:val="302403DF"/>
    <w:rsid w:val="3024C619"/>
    <w:rsid w:val="30252420"/>
    <w:rsid w:val="3025C096"/>
    <w:rsid w:val="30268C4E"/>
    <w:rsid w:val="302852E0"/>
    <w:rsid w:val="3028BE20"/>
    <w:rsid w:val="3028C3E6"/>
    <w:rsid w:val="3028C5F1"/>
    <w:rsid w:val="30291E56"/>
    <w:rsid w:val="30293002"/>
    <w:rsid w:val="3029900D"/>
    <w:rsid w:val="302A667A"/>
    <w:rsid w:val="302D3E32"/>
    <w:rsid w:val="302DB963"/>
    <w:rsid w:val="302F04D0"/>
    <w:rsid w:val="302F0DFE"/>
    <w:rsid w:val="302FB66F"/>
    <w:rsid w:val="30308452"/>
    <w:rsid w:val="3030C2CE"/>
    <w:rsid w:val="303169A6"/>
    <w:rsid w:val="30327BD7"/>
    <w:rsid w:val="3032A2C1"/>
    <w:rsid w:val="3033C254"/>
    <w:rsid w:val="30347B85"/>
    <w:rsid w:val="3034C236"/>
    <w:rsid w:val="303554A7"/>
    <w:rsid w:val="30355EFB"/>
    <w:rsid w:val="30358416"/>
    <w:rsid w:val="30362D32"/>
    <w:rsid w:val="3036772F"/>
    <w:rsid w:val="3036A7E5"/>
    <w:rsid w:val="3036E793"/>
    <w:rsid w:val="3036F9FA"/>
    <w:rsid w:val="303747CF"/>
    <w:rsid w:val="30376C29"/>
    <w:rsid w:val="3037C585"/>
    <w:rsid w:val="30388CDC"/>
    <w:rsid w:val="3038B00D"/>
    <w:rsid w:val="3038F41B"/>
    <w:rsid w:val="3039209A"/>
    <w:rsid w:val="30392B34"/>
    <w:rsid w:val="3039A651"/>
    <w:rsid w:val="3039C7FF"/>
    <w:rsid w:val="3039D668"/>
    <w:rsid w:val="3039E244"/>
    <w:rsid w:val="303C40BD"/>
    <w:rsid w:val="303C7A23"/>
    <w:rsid w:val="303CFC03"/>
    <w:rsid w:val="303D0C15"/>
    <w:rsid w:val="303D13AD"/>
    <w:rsid w:val="303E1E3C"/>
    <w:rsid w:val="303E3C9A"/>
    <w:rsid w:val="303E60E9"/>
    <w:rsid w:val="303F9729"/>
    <w:rsid w:val="303FFA02"/>
    <w:rsid w:val="30412875"/>
    <w:rsid w:val="30414840"/>
    <w:rsid w:val="3042A38D"/>
    <w:rsid w:val="3043BF05"/>
    <w:rsid w:val="3043F8EC"/>
    <w:rsid w:val="30449512"/>
    <w:rsid w:val="30449FA0"/>
    <w:rsid w:val="30454EB2"/>
    <w:rsid w:val="30456C39"/>
    <w:rsid w:val="3045FC87"/>
    <w:rsid w:val="30466237"/>
    <w:rsid w:val="304680A1"/>
    <w:rsid w:val="3046DE61"/>
    <w:rsid w:val="3046FE5F"/>
    <w:rsid w:val="30481867"/>
    <w:rsid w:val="304852A0"/>
    <w:rsid w:val="30485319"/>
    <w:rsid w:val="3048F2B9"/>
    <w:rsid w:val="3048F5FC"/>
    <w:rsid w:val="3049B3B1"/>
    <w:rsid w:val="3049F83E"/>
    <w:rsid w:val="304A2357"/>
    <w:rsid w:val="304A71D5"/>
    <w:rsid w:val="304B0AA2"/>
    <w:rsid w:val="304B5B89"/>
    <w:rsid w:val="304B63E7"/>
    <w:rsid w:val="304CB3FE"/>
    <w:rsid w:val="304CFA81"/>
    <w:rsid w:val="304E028E"/>
    <w:rsid w:val="304F9304"/>
    <w:rsid w:val="30501DC7"/>
    <w:rsid w:val="30510FF8"/>
    <w:rsid w:val="3051A421"/>
    <w:rsid w:val="3051CC89"/>
    <w:rsid w:val="30536B6A"/>
    <w:rsid w:val="30537936"/>
    <w:rsid w:val="3053C259"/>
    <w:rsid w:val="305455FB"/>
    <w:rsid w:val="3055C6B7"/>
    <w:rsid w:val="3055F731"/>
    <w:rsid w:val="3056470E"/>
    <w:rsid w:val="3056CA9B"/>
    <w:rsid w:val="3056E176"/>
    <w:rsid w:val="30572B6A"/>
    <w:rsid w:val="3058F298"/>
    <w:rsid w:val="3058F50A"/>
    <w:rsid w:val="30596A27"/>
    <w:rsid w:val="305A34CF"/>
    <w:rsid w:val="305A37CA"/>
    <w:rsid w:val="305AAAAB"/>
    <w:rsid w:val="305AD1ED"/>
    <w:rsid w:val="305B98F5"/>
    <w:rsid w:val="305BA3C2"/>
    <w:rsid w:val="305BCBC6"/>
    <w:rsid w:val="305BF31A"/>
    <w:rsid w:val="305DDB43"/>
    <w:rsid w:val="305E4CEA"/>
    <w:rsid w:val="305EC01E"/>
    <w:rsid w:val="305EC5B8"/>
    <w:rsid w:val="305F71B4"/>
    <w:rsid w:val="305F9F60"/>
    <w:rsid w:val="30604835"/>
    <w:rsid w:val="30608DE6"/>
    <w:rsid w:val="30610B72"/>
    <w:rsid w:val="30611F9E"/>
    <w:rsid w:val="30612833"/>
    <w:rsid w:val="306179D6"/>
    <w:rsid w:val="3061BA93"/>
    <w:rsid w:val="3061D1C7"/>
    <w:rsid w:val="30621107"/>
    <w:rsid w:val="306345ED"/>
    <w:rsid w:val="306371E3"/>
    <w:rsid w:val="3063B1DF"/>
    <w:rsid w:val="30643E74"/>
    <w:rsid w:val="3064C8A1"/>
    <w:rsid w:val="3064D129"/>
    <w:rsid w:val="3064EF2A"/>
    <w:rsid w:val="30651B7C"/>
    <w:rsid w:val="306535F4"/>
    <w:rsid w:val="3065A35D"/>
    <w:rsid w:val="306640DC"/>
    <w:rsid w:val="306694B1"/>
    <w:rsid w:val="3066F162"/>
    <w:rsid w:val="306873D1"/>
    <w:rsid w:val="306885AF"/>
    <w:rsid w:val="30688C13"/>
    <w:rsid w:val="306972AF"/>
    <w:rsid w:val="306992E3"/>
    <w:rsid w:val="3069ABC7"/>
    <w:rsid w:val="306A0034"/>
    <w:rsid w:val="306B9AF8"/>
    <w:rsid w:val="306C5956"/>
    <w:rsid w:val="306C742C"/>
    <w:rsid w:val="306D0D9B"/>
    <w:rsid w:val="306D9191"/>
    <w:rsid w:val="306E6777"/>
    <w:rsid w:val="306EA226"/>
    <w:rsid w:val="306FB321"/>
    <w:rsid w:val="30702C82"/>
    <w:rsid w:val="3070D52B"/>
    <w:rsid w:val="3070DFD1"/>
    <w:rsid w:val="30712C6C"/>
    <w:rsid w:val="30718C9A"/>
    <w:rsid w:val="3071ADDD"/>
    <w:rsid w:val="30733788"/>
    <w:rsid w:val="30735259"/>
    <w:rsid w:val="30739D91"/>
    <w:rsid w:val="30744DF1"/>
    <w:rsid w:val="3074510E"/>
    <w:rsid w:val="3074D622"/>
    <w:rsid w:val="3074E835"/>
    <w:rsid w:val="3075066E"/>
    <w:rsid w:val="30755BC8"/>
    <w:rsid w:val="307733F5"/>
    <w:rsid w:val="3077D809"/>
    <w:rsid w:val="3078A6C6"/>
    <w:rsid w:val="3078CA1A"/>
    <w:rsid w:val="3079497A"/>
    <w:rsid w:val="3079AE6E"/>
    <w:rsid w:val="3079CE99"/>
    <w:rsid w:val="307A4540"/>
    <w:rsid w:val="307A5E60"/>
    <w:rsid w:val="307AB780"/>
    <w:rsid w:val="307B6CDF"/>
    <w:rsid w:val="307BA636"/>
    <w:rsid w:val="307D1A70"/>
    <w:rsid w:val="307EC1F0"/>
    <w:rsid w:val="3080C58E"/>
    <w:rsid w:val="308120E5"/>
    <w:rsid w:val="3081F1D7"/>
    <w:rsid w:val="3082D6A5"/>
    <w:rsid w:val="30854D60"/>
    <w:rsid w:val="3085D809"/>
    <w:rsid w:val="3085EA9E"/>
    <w:rsid w:val="30879CF4"/>
    <w:rsid w:val="3087CB6B"/>
    <w:rsid w:val="30886230"/>
    <w:rsid w:val="3088EC02"/>
    <w:rsid w:val="308B3E51"/>
    <w:rsid w:val="308B94E9"/>
    <w:rsid w:val="308BD273"/>
    <w:rsid w:val="308D59A4"/>
    <w:rsid w:val="308DF4E6"/>
    <w:rsid w:val="308F19EA"/>
    <w:rsid w:val="308F29A9"/>
    <w:rsid w:val="308F6A87"/>
    <w:rsid w:val="3091A91B"/>
    <w:rsid w:val="309210E0"/>
    <w:rsid w:val="309260E5"/>
    <w:rsid w:val="30934737"/>
    <w:rsid w:val="309405CB"/>
    <w:rsid w:val="3094AC2F"/>
    <w:rsid w:val="3094CC09"/>
    <w:rsid w:val="3095AD3A"/>
    <w:rsid w:val="3096361B"/>
    <w:rsid w:val="30963A2C"/>
    <w:rsid w:val="30965E67"/>
    <w:rsid w:val="3096BDD8"/>
    <w:rsid w:val="3096CC06"/>
    <w:rsid w:val="30975BF7"/>
    <w:rsid w:val="3097BC48"/>
    <w:rsid w:val="3098031E"/>
    <w:rsid w:val="30984F74"/>
    <w:rsid w:val="3098B4B6"/>
    <w:rsid w:val="30998110"/>
    <w:rsid w:val="309A12C7"/>
    <w:rsid w:val="309A1F6D"/>
    <w:rsid w:val="309AFD3B"/>
    <w:rsid w:val="309B0F1B"/>
    <w:rsid w:val="309C414B"/>
    <w:rsid w:val="309C495E"/>
    <w:rsid w:val="309CBF6A"/>
    <w:rsid w:val="309F2C35"/>
    <w:rsid w:val="309F9C50"/>
    <w:rsid w:val="309FFEF8"/>
    <w:rsid w:val="30A09A47"/>
    <w:rsid w:val="30A19EAB"/>
    <w:rsid w:val="30A1B174"/>
    <w:rsid w:val="30A221DD"/>
    <w:rsid w:val="30A2916C"/>
    <w:rsid w:val="30A2C76E"/>
    <w:rsid w:val="30A3004F"/>
    <w:rsid w:val="30A35315"/>
    <w:rsid w:val="30A42C2A"/>
    <w:rsid w:val="30A4398C"/>
    <w:rsid w:val="30A4599D"/>
    <w:rsid w:val="30A4727F"/>
    <w:rsid w:val="30A47ED0"/>
    <w:rsid w:val="30A51EFE"/>
    <w:rsid w:val="30A551A7"/>
    <w:rsid w:val="30A56C59"/>
    <w:rsid w:val="30A59B73"/>
    <w:rsid w:val="30A706F0"/>
    <w:rsid w:val="30A7259E"/>
    <w:rsid w:val="30A77D02"/>
    <w:rsid w:val="30A7A896"/>
    <w:rsid w:val="30A7A9F3"/>
    <w:rsid w:val="30A7C579"/>
    <w:rsid w:val="30A7E753"/>
    <w:rsid w:val="30A81191"/>
    <w:rsid w:val="30A8315A"/>
    <w:rsid w:val="30A85F89"/>
    <w:rsid w:val="30A89D7B"/>
    <w:rsid w:val="30A9AD0B"/>
    <w:rsid w:val="30AA5A90"/>
    <w:rsid w:val="30AA93F5"/>
    <w:rsid w:val="30AAB388"/>
    <w:rsid w:val="30AB45DD"/>
    <w:rsid w:val="30AB709E"/>
    <w:rsid w:val="30AB77A0"/>
    <w:rsid w:val="30AB9D7F"/>
    <w:rsid w:val="30ABEF21"/>
    <w:rsid w:val="30AC300C"/>
    <w:rsid w:val="30AC67AD"/>
    <w:rsid w:val="30AC7533"/>
    <w:rsid w:val="30AFD79C"/>
    <w:rsid w:val="30B0B698"/>
    <w:rsid w:val="30B0BD71"/>
    <w:rsid w:val="30B12A53"/>
    <w:rsid w:val="30B1322A"/>
    <w:rsid w:val="30B19C40"/>
    <w:rsid w:val="30B1FD7B"/>
    <w:rsid w:val="30B2926B"/>
    <w:rsid w:val="30B2ECBB"/>
    <w:rsid w:val="30B3A83C"/>
    <w:rsid w:val="30B3A919"/>
    <w:rsid w:val="30B44C33"/>
    <w:rsid w:val="30B4C756"/>
    <w:rsid w:val="30B56097"/>
    <w:rsid w:val="30B70BE7"/>
    <w:rsid w:val="30B78100"/>
    <w:rsid w:val="30B827D8"/>
    <w:rsid w:val="30B8E143"/>
    <w:rsid w:val="30B96E34"/>
    <w:rsid w:val="30B9E3FA"/>
    <w:rsid w:val="30B9EE3D"/>
    <w:rsid w:val="30BA2088"/>
    <w:rsid w:val="30BA80DE"/>
    <w:rsid w:val="30BA95E8"/>
    <w:rsid w:val="30BAA00B"/>
    <w:rsid w:val="30BB699D"/>
    <w:rsid w:val="30BBE619"/>
    <w:rsid w:val="30BC0F15"/>
    <w:rsid w:val="30BDB11C"/>
    <w:rsid w:val="30BE348F"/>
    <w:rsid w:val="30BE4747"/>
    <w:rsid w:val="30BE63EE"/>
    <w:rsid w:val="30BF9D2B"/>
    <w:rsid w:val="30C05255"/>
    <w:rsid w:val="30C1379E"/>
    <w:rsid w:val="30C1EEFF"/>
    <w:rsid w:val="30C248A9"/>
    <w:rsid w:val="30C2B612"/>
    <w:rsid w:val="30C3E72B"/>
    <w:rsid w:val="30C42E9E"/>
    <w:rsid w:val="30C45E5D"/>
    <w:rsid w:val="30C46BCA"/>
    <w:rsid w:val="30C64D1D"/>
    <w:rsid w:val="30C76693"/>
    <w:rsid w:val="30C7B540"/>
    <w:rsid w:val="30C8158A"/>
    <w:rsid w:val="30C85D70"/>
    <w:rsid w:val="30C8B208"/>
    <w:rsid w:val="30C96A61"/>
    <w:rsid w:val="30C9EA4B"/>
    <w:rsid w:val="30CA1F15"/>
    <w:rsid w:val="30CB1233"/>
    <w:rsid w:val="30CC928D"/>
    <w:rsid w:val="30CCA347"/>
    <w:rsid w:val="30CCA77E"/>
    <w:rsid w:val="30CD510C"/>
    <w:rsid w:val="30CDDD3A"/>
    <w:rsid w:val="30CDFC8C"/>
    <w:rsid w:val="30CE6124"/>
    <w:rsid w:val="30CF3E85"/>
    <w:rsid w:val="30CF53DE"/>
    <w:rsid w:val="30CFDCAB"/>
    <w:rsid w:val="30D08810"/>
    <w:rsid w:val="30D162F8"/>
    <w:rsid w:val="30D17535"/>
    <w:rsid w:val="30D1E3C6"/>
    <w:rsid w:val="30D1EFD7"/>
    <w:rsid w:val="30D22BA8"/>
    <w:rsid w:val="30D3BC35"/>
    <w:rsid w:val="30D3D2E9"/>
    <w:rsid w:val="30D3E9DD"/>
    <w:rsid w:val="30D413FD"/>
    <w:rsid w:val="30D507D3"/>
    <w:rsid w:val="30D5225A"/>
    <w:rsid w:val="30D5A416"/>
    <w:rsid w:val="30D5C907"/>
    <w:rsid w:val="30D5DAB4"/>
    <w:rsid w:val="30D5DE54"/>
    <w:rsid w:val="30D652F2"/>
    <w:rsid w:val="30D69F56"/>
    <w:rsid w:val="30D7AC88"/>
    <w:rsid w:val="30D8ECAE"/>
    <w:rsid w:val="30D9D7C9"/>
    <w:rsid w:val="30DAC497"/>
    <w:rsid w:val="30DB3631"/>
    <w:rsid w:val="30DB3F1D"/>
    <w:rsid w:val="30DB4621"/>
    <w:rsid w:val="30DBAEDA"/>
    <w:rsid w:val="30DBEAC4"/>
    <w:rsid w:val="30DBFCCA"/>
    <w:rsid w:val="30DC6128"/>
    <w:rsid w:val="30DD5F90"/>
    <w:rsid w:val="30DE4173"/>
    <w:rsid w:val="30DEC666"/>
    <w:rsid w:val="30E01EF6"/>
    <w:rsid w:val="30E1BF83"/>
    <w:rsid w:val="30E25931"/>
    <w:rsid w:val="30E412A3"/>
    <w:rsid w:val="30E48722"/>
    <w:rsid w:val="30E538AC"/>
    <w:rsid w:val="30E548DD"/>
    <w:rsid w:val="30E74D47"/>
    <w:rsid w:val="30E751FB"/>
    <w:rsid w:val="30E7A523"/>
    <w:rsid w:val="30E7A6EC"/>
    <w:rsid w:val="30E7AADC"/>
    <w:rsid w:val="30E82976"/>
    <w:rsid w:val="30E8474A"/>
    <w:rsid w:val="30E8476A"/>
    <w:rsid w:val="30E85199"/>
    <w:rsid w:val="30E90F1C"/>
    <w:rsid w:val="30E9340B"/>
    <w:rsid w:val="30E94609"/>
    <w:rsid w:val="30E99025"/>
    <w:rsid w:val="30E998B2"/>
    <w:rsid w:val="30EA1ED8"/>
    <w:rsid w:val="30EA64A2"/>
    <w:rsid w:val="30EB62A6"/>
    <w:rsid w:val="30EC1091"/>
    <w:rsid w:val="30EC502B"/>
    <w:rsid w:val="30EC55A3"/>
    <w:rsid w:val="30ECC2D7"/>
    <w:rsid w:val="30ECD555"/>
    <w:rsid w:val="30ED1812"/>
    <w:rsid w:val="30ED67E4"/>
    <w:rsid w:val="30ED8E4A"/>
    <w:rsid w:val="30EDE491"/>
    <w:rsid w:val="30EE17E6"/>
    <w:rsid w:val="30EEBA2B"/>
    <w:rsid w:val="30EED1A6"/>
    <w:rsid w:val="30EF1741"/>
    <w:rsid w:val="30EF9589"/>
    <w:rsid w:val="30F0BE5E"/>
    <w:rsid w:val="30F11674"/>
    <w:rsid w:val="30F14C07"/>
    <w:rsid w:val="30F1C8C8"/>
    <w:rsid w:val="30F2FE6B"/>
    <w:rsid w:val="30F3E6FA"/>
    <w:rsid w:val="30F61CB9"/>
    <w:rsid w:val="30F6960C"/>
    <w:rsid w:val="30F6CA5F"/>
    <w:rsid w:val="30F7049F"/>
    <w:rsid w:val="30F7C048"/>
    <w:rsid w:val="30F7D033"/>
    <w:rsid w:val="30F84EDE"/>
    <w:rsid w:val="30F981B8"/>
    <w:rsid w:val="30F9A19D"/>
    <w:rsid w:val="30F9D182"/>
    <w:rsid w:val="30FA53EE"/>
    <w:rsid w:val="30FA7F2D"/>
    <w:rsid w:val="30FAB31B"/>
    <w:rsid w:val="30FB0E8C"/>
    <w:rsid w:val="30FB752A"/>
    <w:rsid w:val="30FBB9AB"/>
    <w:rsid w:val="30FC40EF"/>
    <w:rsid w:val="30FC4318"/>
    <w:rsid w:val="30FC6C78"/>
    <w:rsid w:val="30FD3762"/>
    <w:rsid w:val="30FDB74B"/>
    <w:rsid w:val="30FEDF28"/>
    <w:rsid w:val="30FEEB31"/>
    <w:rsid w:val="30FEF248"/>
    <w:rsid w:val="30FF9265"/>
    <w:rsid w:val="30FFD772"/>
    <w:rsid w:val="30FFE5A5"/>
    <w:rsid w:val="31003BF6"/>
    <w:rsid w:val="31006B3C"/>
    <w:rsid w:val="3100B056"/>
    <w:rsid w:val="3100F8A3"/>
    <w:rsid w:val="31016FC1"/>
    <w:rsid w:val="31024405"/>
    <w:rsid w:val="3102A0B1"/>
    <w:rsid w:val="31034072"/>
    <w:rsid w:val="3103AF6C"/>
    <w:rsid w:val="310597E2"/>
    <w:rsid w:val="31065200"/>
    <w:rsid w:val="31068488"/>
    <w:rsid w:val="3106FF67"/>
    <w:rsid w:val="310788CC"/>
    <w:rsid w:val="3107FE8D"/>
    <w:rsid w:val="310892D7"/>
    <w:rsid w:val="3109B6F9"/>
    <w:rsid w:val="310A6781"/>
    <w:rsid w:val="310B3DD4"/>
    <w:rsid w:val="310B5440"/>
    <w:rsid w:val="310B8049"/>
    <w:rsid w:val="310BE2EF"/>
    <w:rsid w:val="310C6CEE"/>
    <w:rsid w:val="310CC12D"/>
    <w:rsid w:val="310D5D1F"/>
    <w:rsid w:val="310D7FE5"/>
    <w:rsid w:val="310D9647"/>
    <w:rsid w:val="310DB681"/>
    <w:rsid w:val="310E88B0"/>
    <w:rsid w:val="310F74E2"/>
    <w:rsid w:val="310FB71C"/>
    <w:rsid w:val="311179FB"/>
    <w:rsid w:val="31138E70"/>
    <w:rsid w:val="31139C7D"/>
    <w:rsid w:val="3113BB38"/>
    <w:rsid w:val="31142EE4"/>
    <w:rsid w:val="31143F13"/>
    <w:rsid w:val="3114B066"/>
    <w:rsid w:val="31150558"/>
    <w:rsid w:val="311535FE"/>
    <w:rsid w:val="311617C9"/>
    <w:rsid w:val="31169E58"/>
    <w:rsid w:val="3116D7D5"/>
    <w:rsid w:val="31171F7A"/>
    <w:rsid w:val="31191473"/>
    <w:rsid w:val="311B933D"/>
    <w:rsid w:val="311B9AA7"/>
    <w:rsid w:val="311C153D"/>
    <w:rsid w:val="311C167D"/>
    <w:rsid w:val="311C198B"/>
    <w:rsid w:val="311CF84F"/>
    <w:rsid w:val="311D7FBB"/>
    <w:rsid w:val="311DA586"/>
    <w:rsid w:val="311F899A"/>
    <w:rsid w:val="311FD9D8"/>
    <w:rsid w:val="31203F98"/>
    <w:rsid w:val="31209545"/>
    <w:rsid w:val="312185D3"/>
    <w:rsid w:val="31219240"/>
    <w:rsid w:val="3121C118"/>
    <w:rsid w:val="3121D470"/>
    <w:rsid w:val="3121F762"/>
    <w:rsid w:val="3121F996"/>
    <w:rsid w:val="312201A7"/>
    <w:rsid w:val="31229CEE"/>
    <w:rsid w:val="3122DAC2"/>
    <w:rsid w:val="31235A4A"/>
    <w:rsid w:val="31243535"/>
    <w:rsid w:val="31244BF4"/>
    <w:rsid w:val="3125553B"/>
    <w:rsid w:val="31257389"/>
    <w:rsid w:val="3125D0A4"/>
    <w:rsid w:val="31262C84"/>
    <w:rsid w:val="31279DBE"/>
    <w:rsid w:val="3128271B"/>
    <w:rsid w:val="31283212"/>
    <w:rsid w:val="312899F5"/>
    <w:rsid w:val="312914EB"/>
    <w:rsid w:val="31294305"/>
    <w:rsid w:val="3129B048"/>
    <w:rsid w:val="3129C4B2"/>
    <w:rsid w:val="312AEA9D"/>
    <w:rsid w:val="312BAFE4"/>
    <w:rsid w:val="312BB3C7"/>
    <w:rsid w:val="312BD898"/>
    <w:rsid w:val="312C4307"/>
    <w:rsid w:val="312DBD80"/>
    <w:rsid w:val="312DBDE7"/>
    <w:rsid w:val="312DF17F"/>
    <w:rsid w:val="312E98D8"/>
    <w:rsid w:val="312EAFD8"/>
    <w:rsid w:val="312ECAC5"/>
    <w:rsid w:val="312F39C1"/>
    <w:rsid w:val="31308925"/>
    <w:rsid w:val="3130ABE4"/>
    <w:rsid w:val="31311DD0"/>
    <w:rsid w:val="31318136"/>
    <w:rsid w:val="3131C091"/>
    <w:rsid w:val="31339668"/>
    <w:rsid w:val="3133A99F"/>
    <w:rsid w:val="313447E1"/>
    <w:rsid w:val="3135540B"/>
    <w:rsid w:val="31363332"/>
    <w:rsid w:val="31363F5A"/>
    <w:rsid w:val="313755BD"/>
    <w:rsid w:val="3137D311"/>
    <w:rsid w:val="3138225F"/>
    <w:rsid w:val="31382F85"/>
    <w:rsid w:val="31384BDF"/>
    <w:rsid w:val="3138F4AB"/>
    <w:rsid w:val="31394A1F"/>
    <w:rsid w:val="3139F2CD"/>
    <w:rsid w:val="313A2F11"/>
    <w:rsid w:val="313A4516"/>
    <w:rsid w:val="313A5CAF"/>
    <w:rsid w:val="313A7A29"/>
    <w:rsid w:val="313B24AF"/>
    <w:rsid w:val="313B64AC"/>
    <w:rsid w:val="313B9A85"/>
    <w:rsid w:val="313CF234"/>
    <w:rsid w:val="313D5A4D"/>
    <w:rsid w:val="313D9680"/>
    <w:rsid w:val="313FA5C4"/>
    <w:rsid w:val="314093AE"/>
    <w:rsid w:val="31409989"/>
    <w:rsid w:val="3140EDCB"/>
    <w:rsid w:val="314276D3"/>
    <w:rsid w:val="3142AF31"/>
    <w:rsid w:val="3142EA43"/>
    <w:rsid w:val="3143503E"/>
    <w:rsid w:val="314391F4"/>
    <w:rsid w:val="3143BFA9"/>
    <w:rsid w:val="3143F765"/>
    <w:rsid w:val="3144DDC6"/>
    <w:rsid w:val="3144EBFB"/>
    <w:rsid w:val="3146B488"/>
    <w:rsid w:val="3146BD9E"/>
    <w:rsid w:val="31476807"/>
    <w:rsid w:val="3147B45D"/>
    <w:rsid w:val="3147DB9E"/>
    <w:rsid w:val="31491BE8"/>
    <w:rsid w:val="3149645F"/>
    <w:rsid w:val="31499326"/>
    <w:rsid w:val="3149B846"/>
    <w:rsid w:val="3149EC78"/>
    <w:rsid w:val="314A0137"/>
    <w:rsid w:val="314A83B7"/>
    <w:rsid w:val="314AB910"/>
    <w:rsid w:val="314AD786"/>
    <w:rsid w:val="314AF100"/>
    <w:rsid w:val="314B4E1A"/>
    <w:rsid w:val="314C14BB"/>
    <w:rsid w:val="314CA4AF"/>
    <w:rsid w:val="314D77E6"/>
    <w:rsid w:val="314E140A"/>
    <w:rsid w:val="314F211D"/>
    <w:rsid w:val="314F598B"/>
    <w:rsid w:val="314F828A"/>
    <w:rsid w:val="31502024"/>
    <w:rsid w:val="31502D1C"/>
    <w:rsid w:val="315107D9"/>
    <w:rsid w:val="3151349C"/>
    <w:rsid w:val="31517BA8"/>
    <w:rsid w:val="3151C973"/>
    <w:rsid w:val="3151CCF9"/>
    <w:rsid w:val="3151EBF7"/>
    <w:rsid w:val="3152085A"/>
    <w:rsid w:val="3152371E"/>
    <w:rsid w:val="3153152F"/>
    <w:rsid w:val="31534EDC"/>
    <w:rsid w:val="31535452"/>
    <w:rsid w:val="3153A069"/>
    <w:rsid w:val="3153B575"/>
    <w:rsid w:val="31540649"/>
    <w:rsid w:val="3154F552"/>
    <w:rsid w:val="315512EC"/>
    <w:rsid w:val="3156E21F"/>
    <w:rsid w:val="31581885"/>
    <w:rsid w:val="31582105"/>
    <w:rsid w:val="31584042"/>
    <w:rsid w:val="31586D99"/>
    <w:rsid w:val="3158B9F9"/>
    <w:rsid w:val="31595BE7"/>
    <w:rsid w:val="315982D7"/>
    <w:rsid w:val="3159C216"/>
    <w:rsid w:val="3159F3DD"/>
    <w:rsid w:val="315A638D"/>
    <w:rsid w:val="315A958B"/>
    <w:rsid w:val="315A9949"/>
    <w:rsid w:val="315B1C09"/>
    <w:rsid w:val="315B6AF8"/>
    <w:rsid w:val="315C9E01"/>
    <w:rsid w:val="315D6243"/>
    <w:rsid w:val="315DE22F"/>
    <w:rsid w:val="315E1493"/>
    <w:rsid w:val="315E6993"/>
    <w:rsid w:val="315F0965"/>
    <w:rsid w:val="315F361C"/>
    <w:rsid w:val="315FA77A"/>
    <w:rsid w:val="315FCE20"/>
    <w:rsid w:val="315FFF67"/>
    <w:rsid w:val="31604E0F"/>
    <w:rsid w:val="31609874"/>
    <w:rsid w:val="3160D87E"/>
    <w:rsid w:val="3160DE90"/>
    <w:rsid w:val="3160EDA4"/>
    <w:rsid w:val="31610640"/>
    <w:rsid w:val="316171B4"/>
    <w:rsid w:val="3162B905"/>
    <w:rsid w:val="3162F2A6"/>
    <w:rsid w:val="31631D19"/>
    <w:rsid w:val="316395A1"/>
    <w:rsid w:val="3163DC41"/>
    <w:rsid w:val="3163F561"/>
    <w:rsid w:val="316473CB"/>
    <w:rsid w:val="31650896"/>
    <w:rsid w:val="316666B1"/>
    <w:rsid w:val="3166F3C0"/>
    <w:rsid w:val="3166F4CC"/>
    <w:rsid w:val="3167766D"/>
    <w:rsid w:val="3167C2BE"/>
    <w:rsid w:val="3167DFAB"/>
    <w:rsid w:val="31687C91"/>
    <w:rsid w:val="3168DF75"/>
    <w:rsid w:val="316924C3"/>
    <w:rsid w:val="31692BDD"/>
    <w:rsid w:val="316A5523"/>
    <w:rsid w:val="316A7F7E"/>
    <w:rsid w:val="316AA73C"/>
    <w:rsid w:val="316AD80F"/>
    <w:rsid w:val="316B2A04"/>
    <w:rsid w:val="316B4B86"/>
    <w:rsid w:val="316C44BD"/>
    <w:rsid w:val="316D75E0"/>
    <w:rsid w:val="316DC4A8"/>
    <w:rsid w:val="316DF0B9"/>
    <w:rsid w:val="316F4BC8"/>
    <w:rsid w:val="316F873C"/>
    <w:rsid w:val="3170BDF3"/>
    <w:rsid w:val="31715C43"/>
    <w:rsid w:val="31719C42"/>
    <w:rsid w:val="3171DDE2"/>
    <w:rsid w:val="31721EBC"/>
    <w:rsid w:val="317290F3"/>
    <w:rsid w:val="31731A20"/>
    <w:rsid w:val="31732D0B"/>
    <w:rsid w:val="317378E1"/>
    <w:rsid w:val="317394D0"/>
    <w:rsid w:val="317501C1"/>
    <w:rsid w:val="317535A8"/>
    <w:rsid w:val="3175888A"/>
    <w:rsid w:val="3175D633"/>
    <w:rsid w:val="317602B2"/>
    <w:rsid w:val="31761EAD"/>
    <w:rsid w:val="3176CB93"/>
    <w:rsid w:val="3176DA33"/>
    <w:rsid w:val="3178A943"/>
    <w:rsid w:val="3178CFE3"/>
    <w:rsid w:val="3178DA3E"/>
    <w:rsid w:val="31793905"/>
    <w:rsid w:val="31794F37"/>
    <w:rsid w:val="317969AD"/>
    <w:rsid w:val="317AC1D4"/>
    <w:rsid w:val="317AC700"/>
    <w:rsid w:val="317AEDA6"/>
    <w:rsid w:val="317B7979"/>
    <w:rsid w:val="317CAE70"/>
    <w:rsid w:val="317CE7B3"/>
    <w:rsid w:val="317D4831"/>
    <w:rsid w:val="317DC740"/>
    <w:rsid w:val="317DDF6F"/>
    <w:rsid w:val="317E0E0B"/>
    <w:rsid w:val="317E78D3"/>
    <w:rsid w:val="317E8DD4"/>
    <w:rsid w:val="317EA76A"/>
    <w:rsid w:val="317EF1B0"/>
    <w:rsid w:val="317F2C5F"/>
    <w:rsid w:val="3180A024"/>
    <w:rsid w:val="3180C3F1"/>
    <w:rsid w:val="31811C57"/>
    <w:rsid w:val="31816ACC"/>
    <w:rsid w:val="31818A87"/>
    <w:rsid w:val="3181BBBB"/>
    <w:rsid w:val="3181C504"/>
    <w:rsid w:val="3185F259"/>
    <w:rsid w:val="31860355"/>
    <w:rsid w:val="318819CB"/>
    <w:rsid w:val="3189561F"/>
    <w:rsid w:val="318971CC"/>
    <w:rsid w:val="3189A562"/>
    <w:rsid w:val="318B75C9"/>
    <w:rsid w:val="318BE094"/>
    <w:rsid w:val="318C4857"/>
    <w:rsid w:val="318C9C9D"/>
    <w:rsid w:val="318CA40A"/>
    <w:rsid w:val="318D2871"/>
    <w:rsid w:val="318DBB71"/>
    <w:rsid w:val="318E3C32"/>
    <w:rsid w:val="318E98C8"/>
    <w:rsid w:val="318EA7FA"/>
    <w:rsid w:val="318FE597"/>
    <w:rsid w:val="31900DE0"/>
    <w:rsid w:val="31901693"/>
    <w:rsid w:val="31911922"/>
    <w:rsid w:val="3191753F"/>
    <w:rsid w:val="3191AF71"/>
    <w:rsid w:val="31927862"/>
    <w:rsid w:val="3192B4DF"/>
    <w:rsid w:val="3192CA1F"/>
    <w:rsid w:val="3192EF55"/>
    <w:rsid w:val="31930414"/>
    <w:rsid w:val="31931F25"/>
    <w:rsid w:val="319369CB"/>
    <w:rsid w:val="31947766"/>
    <w:rsid w:val="319503E1"/>
    <w:rsid w:val="3195F9F9"/>
    <w:rsid w:val="31966F81"/>
    <w:rsid w:val="3196E5F5"/>
    <w:rsid w:val="319704CB"/>
    <w:rsid w:val="31972AE9"/>
    <w:rsid w:val="3197547E"/>
    <w:rsid w:val="3197743B"/>
    <w:rsid w:val="31983B14"/>
    <w:rsid w:val="31988542"/>
    <w:rsid w:val="31992326"/>
    <w:rsid w:val="31992672"/>
    <w:rsid w:val="319935FB"/>
    <w:rsid w:val="31996B74"/>
    <w:rsid w:val="3199B763"/>
    <w:rsid w:val="319A1586"/>
    <w:rsid w:val="319A6B33"/>
    <w:rsid w:val="319A8F5C"/>
    <w:rsid w:val="319B45CA"/>
    <w:rsid w:val="319B5A6D"/>
    <w:rsid w:val="319CC0AF"/>
    <w:rsid w:val="319D064B"/>
    <w:rsid w:val="319DC07E"/>
    <w:rsid w:val="319E0959"/>
    <w:rsid w:val="319E3D72"/>
    <w:rsid w:val="319E4532"/>
    <w:rsid w:val="319E8BD4"/>
    <w:rsid w:val="319EB371"/>
    <w:rsid w:val="31A010CD"/>
    <w:rsid w:val="31A0613D"/>
    <w:rsid w:val="31A0F03E"/>
    <w:rsid w:val="31A18E32"/>
    <w:rsid w:val="31A1954D"/>
    <w:rsid w:val="31A2F4FF"/>
    <w:rsid w:val="31A33A3D"/>
    <w:rsid w:val="31A406CB"/>
    <w:rsid w:val="31A425F4"/>
    <w:rsid w:val="31A4F442"/>
    <w:rsid w:val="31A5C1FC"/>
    <w:rsid w:val="31A6576A"/>
    <w:rsid w:val="31A6B101"/>
    <w:rsid w:val="31A83A11"/>
    <w:rsid w:val="31A84BDE"/>
    <w:rsid w:val="31A87A8B"/>
    <w:rsid w:val="31A8D364"/>
    <w:rsid w:val="31A8D503"/>
    <w:rsid w:val="31AA4672"/>
    <w:rsid w:val="31AC1AD0"/>
    <w:rsid w:val="31AC8251"/>
    <w:rsid w:val="31AC9E2C"/>
    <w:rsid w:val="31AD1679"/>
    <w:rsid w:val="31AD3523"/>
    <w:rsid w:val="31AD90F8"/>
    <w:rsid w:val="31B0531A"/>
    <w:rsid w:val="31B09B81"/>
    <w:rsid w:val="31B1035F"/>
    <w:rsid w:val="31B13716"/>
    <w:rsid w:val="31B16A57"/>
    <w:rsid w:val="31B17BB9"/>
    <w:rsid w:val="31B23840"/>
    <w:rsid w:val="31B27597"/>
    <w:rsid w:val="31B2B9DA"/>
    <w:rsid w:val="31B3262F"/>
    <w:rsid w:val="31B38DF9"/>
    <w:rsid w:val="31B40A36"/>
    <w:rsid w:val="31B49A7C"/>
    <w:rsid w:val="31B5DA0A"/>
    <w:rsid w:val="31B728CB"/>
    <w:rsid w:val="31B7466A"/>
    <w:rsid w:val="31B785C0"/>
    <w:rsid w:val="31B7B38E"/>
    <w:rsid w:val="31B81A5E"/>
    <w:rsid w:val="31B85546"/>
    <w:rsid w:val="31B89E75"/>
    <w:rsid w:val="31B937D6"/>
    <w:rsid w:val="31B98155"/>
    <w:rsid w:val="31B9840E"/>
    <w:rsid w:val="31BB5D96"/>
    <w:rsid w:val="31BB755C"/>
    <w:rsid w:val="31BBB6A5"/>
    <w:rsid w:val="31BC266E"/>
    <w:rsid w:val="31BC6023"/>
    <w:rsid w:val="31BC6793"/>
    <w:rsid w:val="31BC9538"/>
    <w:rsid w:val="31BD2104"/>
    <w:rsid w:val="31BD3576"/>
    <w:rsid w:val="31BDB54C"/>
    <w:rsid w:val="31BDDD6B"/>
    <w:rsid w:val="31BE103E"/>
    <w:rsid w:val="31BE4042"/>
    <w:rsid w:val="31BE6687"/>
    <w:rsid w:val="31BEB595"/>
    <w:rsid w:val="31BEC250"/>
    <w:rsid w:val="31BEC32A"/>
    <w:rsid w:val="31BED618"/>
    <w:rsid w:val="31BEE494"/>
    <w:rsid w:val="31BEFA3B"/>
    <w:rsid w:val="31BF64D8"/>
    <w:rsid w:val="31BF8E30"/>
    <w:rsid w:val="31BFDB0F"/>
    <w:rsid w:val="31C090ED"/>
    <w:rsid w:val="31C0C90B"/>
    <w:rsid w:val="31C1B2DE"/>
    <w:rsid w:val="31C21972"/>
    <w:rsid w:val="31C44569"/>
    <w:rsid w:val="31C4753F"/>
    <w:rsid w:val="31C50C59"/>
    <w:rsid w:val="31C59133"/>
    <w:rsid w:val="31C5A533"/>
    <w:rsid w:val="31C5AAC7"/>
    <w:rsid w:val="31C6632D"/>
    <w:rsid w:val="31C6B6C6"/>
    <w:rsid w:val="31C6BA81"/>
    <w:rsid w:val="31C7574A"/>
    <w:rsid w:val="31C80F41"/>
    <w:rsid w:val="31C816B8"/>
    <w:rsid w:val="31C8DBA7"/>
    <w:rsid w:val="31CA4262"/>
    <w:rsid w:val="31CAC7B4"/>
    <w:rsid w:val="31CBB90D"/>
    <w:rsid w:val="31CCAC79"/>
    <w:rsid w:val="31CDF77F"/>
    <w:rsid w:val="31CE0072"/>
    <w:rsid w:val="31CEA2A5"/>
    <w:rsid w:val="31CEDB63"/>
    <w:rsid w:val="31CFCA5A"/>
    <w:rsid w:val="31D040ED"/>
    <w:rsid w:val="31D07F19"/>
    <w:rsid w:val="31D16912"/>
    <w:rsid w:val="31D1A16A"/>
    <w:rsid w:val="31D2383E"/>
    <w:rsid w:val="31D3B013"/>
    <w:rsid w:val="31D3E3A4"/>
    <w:rsid w:val="31D415AA"/>
    <w:rsid w:val="31D4EF65"/>
    <w:rsid w:val="31D518A7"/>
    <w:rsid w:val="31D595DB"/>
    <w:rsid w:val="31D5FF4C"/>
    <w:rsid w:val="31D6986D"/>
    <w:rsid w:val="31D6C625"/>
    <w:rsid w:val="31D7B518"/>
    <w:rsid w:val="31D809A8"/>
    <w:rsid w:val="31D892F6"/>
    <w:rsid w:val="31D904D2"/>
    <w:rsid w:val="31D951BE"/>
    <w:rsid w:val="31D99302"/>
    <w:rsid w:val="31D9EC30"/>
    <w:rsid w:val="31DA143D"/>
    <w:rsid w:val="31DB4F6A"/>
    <w:rsid w:val="31DBAD89"/>
    <w:rsid w:val="31DCD3A3"/>
    <w:rsid w:val="31DDEF01"/>
    <w:rsid w:val="31DE003F"/>
    <w:rsid w:val="31DE061E"/>
    <w:rsid w:val="31DE5088"/>
    <w:rsid w:val="31DF1458"/>
    <w:rsid w:val="31DF9CCE"/>
    <w:rsid w:val="31E03130"/>
    <w:rsid w:val="31E05505"/>
    <w:rsid w:val="31E18D4C"/>
    <w:rsid w:val="31E1B9B0"/>
    <w:rsid w:val="31E1D5BC"/>
    <w:rsid w:val="31E236AF"/>
    <w:rsid w:val="31E24132"/>
    <w:rsid w:val="31E263E4"/>
    <w:rsid w:val="31E29E8E"/>
    <w:rsid w:val="31E326C7"/>
    <w:rsid w:val="31E371BD"/>
    <w:rsid w:val="31E409D8"/>
    <w:rsid w:val="31E4581B"/>
    <w:rsid w:val="31E4C949"/>
    <w:rsid w:val="31E4EA1E"/>
    <w:rsid w:val="31E516E9"/>
    <w:rsid w:val="31E56B51"/>
    <w:rsid w:val="31E6F2A2"/>
    <w:rsid w:val="31E75AA8"/>
    <w:rsid w:val="31E797DF"/>
    <w:rsid w:val="31E7CF0C"/>
    <w:rsid w:val="31E8181E"/>
    <w:rsid w:val="31E91676"/>
    <w:rsid w:val="31E9244E"/>
    <w:rsid w:val="31E93592"/>
    <w:rsid w:val="31EA104D"/>
    <w:rsid w:val="31EA14A7"/>
    <w:rsid w:val="31EAD362"/>
    <w:rsid w:val="31EB1C16"/>
    <w:rsid w:val="31EB26D3"/>
    <w:rsid w:val="31EB95C4"/>
    <w:rsid w:val="31EB9F3D"/>
    <w:rsid w:val="31EC7176"/>
    <w:rsid w:val="31EC8179"/>
    <w:rsid w:val="31ED22F1"/>
    <w:rsid w:val="31EDBBE7"/>
    <w:rsid w:val="31EE9031"/>
    <w:rsid w:val="31EEA7AC"/>
    <w:rsid w:val="31EEF6BC"/>
    <w:rsid w:val="31EF0F55"/>
    <w:rsid w:val="31F030E7"/>
    <w:rsid w:val="31F033D9"/>
    <w:rsid w:val="31F0806F"/>
    <w:rsid w:val="31F08AD6"/>
    <w:rsid w:val="31F09118"/>
    <w:rsid w:val="31F12A98"/>
    <w:rsid w:val="31F1F6DA"/>
    <w:rsid w:val="31F27FB1"/>
    <w:rsid w:val="31F30B97"/>
    <w:rsid w:val="31F3934C"/>
    <w:rsid w:val="31F43E16"/>
    <w:rsid w:val="31F6672A"/>
    <w:rsid w:val="31F6BB90"/>
    <w:rsid w:val="31F71C77"/>
    <w:rsid w:val="31F7F116"/>
    <w:rsid w:val="31F80084"/>
    <w:rsid w:val="31F8608B"/>
    <w:rsid w:val="31FA8E3D"/>
    <w:rsid w:val="31FB723F"/>
    <w:rsid w:val="31FB72C6"/>
    <w:rsid w:val="31FBB269"/>
    <w:rsid w:val="31FC41E5"/>
    <w:rsid w:val="31FC62E3"/>
    <w:rsid w:val="31FCA365"/>
    <w:rsid w:val="31FD30ED"/>
    <w:rsid w:val="31FD37F8"/>
    <w:rsid w:val="31FD4507"/>
    <w:rsid w:val="31FD9079"/>
    <w:rsid w:val="31FE64A5"/>
    <w:rsid w:val="31FE7D3A"/>
    <w:rsid w:val="31FE7DBD"/>
    <w:rsid w:val="31FF1A63"/>
    <w:rsid w:val="31FF6BB3"/>
    <w:rsid w:val="31FFF638"/>
    <w:rsid w:val="32006086"/>
    <w:rsid w:val="3200732D"/>
    <w:rsid w:val="32007B3C"/>
    <w:rsid w:val="3201B16B"/>
    <w:rsid w:val="3202FF8D"/>
    <w:rsid w:val="3203E814"/>
    <w:rsid w:val="3204077B"/>
    <w:rsid w:val="32042A1B"/>
    <w:rsid w:val="320459FC"/>
    <w:rsid w:val="3204DFDE"/>
    <w:rsid w:val="32050900"/>
    <w:rsid w:val="32057925"/>
    <w:rsid w:val="32059737"/>
    <w:rsid w:val="32071251"/>
    <w:rsid w:val="32074192"/>
    <w:rsid w:val="32074D60"/>
    <w:rsid w:val="3208070E"/>
    <w:rsid w:val="32082330"/>
    <w:rsid w:val="320850D6"/>
    <w:rsid w:val="320876CA"/>
    <w:rsid w:val="3208F69B"/>
    <w:rsid w:val="32090A95"/>
    <w:rsid w:val="3209F5ED"/>
    <w:rsid w:val="320ABD78"/>
    <w:rsid w:val="320B255E"/>
    <w:rsid w:val="320B2632"/>
    <w:rsid w:val="320B287D"/>
    <w:rsid w:val="320B8C5D"/>
    <w:rsid w:val="320B9173"/>
    <w:rsid w:val="320C4551"/>
    <w:rsid w:val="320C9375"/>
    <w:rsid w:val="320D0E16"/>
    <w:rsid w:val="320D5B1D"/>
    <w:rsid w:val="320DC788"/>
    <w:rsid w:val="320E169B"/>
    <w:rsid w:val="320E42E5"/>
    <w:rsid w:val="320E962C"/>
    <w:rsid w:val="320F1665"/>
    <w:rsid w:val="3210711B"/>
    <w:rsid w:val="3210C94F"/>
    <w:rsid w:val="3210FA4A"/>
    <w:rsid w:val="32113F31"/>
    <w:rsid w:val="32119576"/>
    <w:rsid w:val="3211A3D7"/>
    <w:rsid w:val="3212461B"/>
    <w:rsid w:val="3213D7CC"/>
    <w:rsid w:val="32142887"/>
    <w:rsid w:val="32159600"/>
    <w:rsid w:val="3215A7D1"/>
    <w:rsid w:val="321646BD"/>
    <w:rsid w:val="321818AD"/>
    <w:rsid w:val="321855F0"/>
    <w:rsid w:val="3218B6BF"/>
    <w:rsid w:val="3218CC85"/>
    <w:rsid w:val="321B5317"/>
    <w:rsid w:val="321BFE92"/>
    <w:rsid w:val="321C67E0"/>
    <w:rsid w:val="321D99F7"/>
    <w:rsid w:val="321EF3DB"/>
    <w:rsid w:val="321F7D94"/>
    <w:rsid w:val="321FC679"/>
    <w:rsid w:val="32207972"/>
    <w:rsid w:val="3220AD7D"/>
    <w:rsid w:val="3220EF53"/>
    <w:rsid w:val="3221AA38"/>
    <w:rsid w:val="3221EC87"/>
    <w:rsid w:val="322290EB"/>
    <w:rsid w:val="3224007E"/>
    <w:rsid w:val="322420CD"/>
    <w:rsid w:val="3224FBC3"/>
    <w:rsid w:val="32250988"/>
    <w:rsid w:val="32251619"/>
    <w:rsid w:val="32255E18"/>
    <w:rsid w:val="3225D4DD"/>
    <w:rsid w:val="32280F48"/>
    <w:rsid w:val="32288139"/>
    <w:rsid w:val="3228932C"/>
    <w:rsid w:val="3229D331"/>
    <w:rsid w:val="322A03D1"/>
    <w:rsid w:val="322AF5DE"/>
    <w:rsid w:val="322AFAB0"/>
    <w:rsid w:val="322B0E9E"/>
    <w:rsid w:val="322B4C5D"/>
    <w:rsid w:val="322B986D"/>
    <w:rsid w:val="322BFEB1"/>
    <w:rsid w:val="322C02B1"/>
    <w:rsid w:val="322C1732"/>
    <w:rsid w:val="322CB51B"/>
    <w:rsid w:val="322D0736"/>
    <w:rsid w:val="322D719D"/>
    <w:rsid w:val="322DCBCF"/>
    <w:rsid w:val="322E30A0"/>
    <w:rsid w:val="322E97CB"/>
    <w:rsid w:val="3231436D"/>
    <w:rsid w:val="3231470B"/>
    <w:rsid w:val="32315246"/>
    <w:rsid w:val="323216FD"/>
    <w:rsid w:val="323307FE"/>
    <w:rsid w:val="32332F79"/>
    <w:rsid w:val="3234254D"/>
    <w:rsid w:val="32360466"/>
    <w:rsid w:val="32360707"/>
    <w:rsid w:val="32363AA7"/>
    <w:rsid w:val="32364D24"/>
    <w:rsid w:val="32375914"/>
    <w:rsid w:val="32381D66"/>
    <w:rsid w:val="3238D51B"/>
    <w:rsid w:val="3238DEDC"/>
    <w:rsid w:val="3238F3B6"/>
    <w:rsid w:val="32394B4D"/>
    <w:rsid w:val="32398BAE"/>
    <w:rsid w:val="32398C0D"/>
    <w:rsid w:val="3239B4B6"/>
    <w:rsid w:val="3239C102"/>
    <w:rsid w:val="3239E223"/>
    <w:rsid w:val="323AC7F7"/>
    <w:rsid w:val="323B0A1F"/>
    <w:rsid w:val="323B48EF"/>
    <w:rsid w:val="323B88C1"/>
    <w:rsid w:val="323BDAC4"/>
    <w:rsid w:val="323C0B56"/>
    <w:rsid w:val="323C169A"/>
    <w:rsid w:val="323C78CF"/>
    <w:rsid w:val="323CF771"/>
    <w:rsid w:val="323D6FD0"/>
    <w:rsid w:val="323EB3D3"/>
    <w:rsid w:val="323F9A16"/>
    <w:rsid w:val="3240420D"/>
    <w:rsid w:val="32412756"/>
    <w:rsid w:val="3241814C"/>
    <w:rsid w:val="3241E6FF"/>
    <w:rsid w:val="32423C17"/>
    <w:rsid w:val="32424ACF"/>
    <w:rsid w:val="32428FC8"/>
    <w:rsid w:val="3242E4A4"/>
    <w:rsid w:val="3242EAFD"/>
    <w:rsid w:val="32437CA6"/>
    <w:rsid w:val="3244BF92"/>
    <w:rsid w:val="3245007C"/>
    <w:rsid w:val="32459B98"/>
    <w:rsid w:val="32460C17"/>
    <w:rsid w:val="32461F42"/>
    <w:rsid w:val="32462263"/>
    <w:rsid w:val="324688E9"/>
    <w:rsid w:val="32470C04"/>
    <w:rsid w:val="3248E6B7"/>
    <w:rsid w:val="32492865"/>
    <w:rsid w:val="32492D5F"/>
    <w:rsid w:val="32493EF5"/>
    <w:rsid w:val="3249ECB0"/>
    <w:rsid w:val="324A15C0"/>
    <w:rsid w:val="324ACB1B"/>
    <w:rsid w:val="324ADAA8"/>
    <w:rsid w:val="324B1E6D"/>
    <w:rsid w:val="324B5F3C"/>
    <w:rsid w:val="324B903D"/>
    <w:rsid w:val="324C1073"/>
    <w:rsid w:val="324C48CC"/>
    <w:rsid w:val="324CC916"/>
    <w:rsid w:val="324D5FAD"/>
    <w:rsid w:val="324D7F50"/>
    <w:rsid w:val="324E4D18"/>
    <w:rsid w:val="324FB7CC"/>
    <w:rsid w:val="3250FB75"/>
    <w:rsid w:val="3250FBBF"/>
    <w:rsid w:val="3251A84B"/>
    <w:rsid w:val="32530600"/>
    <w:rsid w:val="32535EA8"/>
    <w:rsid w:val="32541953"/>
    <w:rsid w:val="325485AB"/>
    <w:rsid w:val="3255BD30"/>
    <w:rsid w:val="3256493A"/>
    <w:rsid w:val="325660A3"/>
    <w:rsid w:val="3256E830"/>
    <w:rsid w:val="325738B0"/>
    <w:rsid w:val="3259ADF7"/>
    <w:rsid w:val="325A3C44"/>
    <w:rsid w:val="325AF7B4"/>
    <w:rsid w:val="325B73B6"/>
    <w:rsid w:val="325B769E"/>
    <w:rsid w:val="325C4EA5"/>
    <w:rsid w:val="325D3DAC"/>
    <w:rsid w:val="325DCD36"/>
    <w:rsid w:val="325E4535"/>
    <w:rsid w:val="325E67A9"/>
    <w:rsid w:val="325E74FA"/>
    <w:rsid w:val="325ED3CC"/>
    <w:rsid w:val="325EDA50"/>
    <w:rsid w:val="325EEA0A"/>
    <w:rsid w:val="325F7CE9"/>
    <w:rsid w:val="3260581E"/>
    <w:rsid w:val="3260A0AD"/>
    <w:rsid w:val="326116BF"/>
    <w:rsid w:val="32619F2A"/>
    <w:rsid w:val="32626FA4"/>
    <w:rsid w:val="32632483"/>
    <w:rsid w:val="32640A52"/>
    <w:rsid w:val="32647A81"/>
    <w:rsid w:val="32653D7F"/>
    <w:rsid w:val="32655C66"/>
    <w:rsid w:val="3266B256"/>
    <w:rsid w:val="3266FDBB"/>
    <w:rsid w:val="32673001"/>
    <w:rsid w:val="32676A0C"/>
    <w:rsid w:val="3267969C"/>
    <w:rsid w:val="32688B7E"/>
    <w:rsid w:val="32688C48"/>
    <w:rsid w:val="3268957E"/>
    <w:rsid w:val="326A3302"/>
    <w:rsid w:val="326AFA3C"/>
    <w:rsid w:val="326B8561"/>
    <w:rsid w:val="326C0E74"/>
    <w:rsid w:val="326C44FF"/>
    <w:rsid w:val="326E54E7"/>
    <w:rsid w:val="326EF379"/>
    <w:rsid w:val="326F2786"/>
    <w:rsid w:val="32706864"/>
    <w:rsid w:val="3272C180"/>
    <w:rsid w:val="3272F712"/>
    <w:rsid w:val="327328E8"/>
    <w:rsid w:val="32733808"/>
    <w:rsid w:val="32734508"/>
    <w:rsid w:val="32736DE8"/>
    <w:rsid w:val="3273AA54"/>
    <w:rsid w:val="3273B8C4"/>
    <w:rsid w:val="3275176E"/>
    <w:rsid w:val="3275289C"/>
    <w:rsid w:val="3275643A"/>
    <w:rsid w:val="3275C94F"/>
    <w:rsid w:val="32767A3F"/>
    <w:rsid w:val="32769422"/>
    <w:rsid w:val="3276D6C3"/>
    <w:rsid w:val="327831A7"/>
    <w:rsid w:val="327A19B0"/>
    <w:rsid w:val="327A3CF4"/>
    <w:rsid w:val="327A8286"/>
    <w:rsid w:val="327AB1FE"/>
    <w:rsid w:val="327AC499"/>
    <w:rsid w:val="327B4C63"/>
    <w:rsid w:val="327BA76E"/>
    <w:rsid w:val="327BD3A9"/>
    <w:rsid w:val="327C1CFF"/>
    <w:rsid w:val="327C428D"/>
    <w:rsid w:val="327C6602"/>
    <w:rsid w:val="327C7CC3"/>
    <w:rsid w:val="327CA981"/>
    <w:rsid w:val="327CC4B9"/>
    <w:rsid w:val="327CE35B"/>
    <w:rsid w:val="327D85C5"/>
    <w:rsid w:val="327E27B4"/>
    <w:rsid w:val="327E66DE"/>
    <w:rsid w:val="327E6A7B"/>
    <w:rsid w:val="327F7549"/>
    <w:rsid w:val="3280EB5C"/>
    <w:rsid w:val="32815486"/>
    <w:rsid w:val="32816F5B"/>
    <w:rsid w:val="3281C828"/>
    <w:rsid w:val="32820F14"/>
    <w:rsid w:val="3282CA2F"/>
    <w:rsid w:val="3282D7B9"/>
    <w:rsid w:val="3283D589"/>
    <w:rsid w:val="32844D20"/>
    <w:rsid w:val="3284B5F7"/>
    <w:rsid w:val="3284E153"/>
    <w:rsid w:val="32857A4F"/>
    <w:rsid w:val="32858AA9"/>
    <w:rsid w:val="3286AD3C"/>
    <w:rsid w:val="3287979F"/>
    <w:rsid w:val="3287BA1C"/>
    <w:rsid w:val="328840FD"/>
    <w:rsid w:val="32894B9D"/>
    <w:rsid w:val="328A3C8B"/>
    <w:rsid w:val="328A441D"/>
    <w:rsid w:val="328BE55A"/>
    <w:rsid w:val="328C26A4"/>
    <w:rsid w:val="328C7F30"/>
    <w:rsid w:val="328CA446"/>
    <w:rsid w:val="328D1F68"/>
    <w:rsid w:val="328DF386"/>
    <w:rsid w:val="328E5289"/>
    <w:rsid w:val="328EAF33"/>
    <w:rsid w:val="328F20F2"/>
    <w:rsid w:val="328FCB69"/>
    <w:rsid w:val="328FE9F1"/>
    <w:rsid w:val="32903716"/>
    <w:rsid w:val="32907FD0"/>
    <w:rsid w:val="3290E99F"/>
    <w:rsid w:val="329126F2"/>
    <w:rsid w:val="3291E817"/>
    <w:rsid w:val="32928856"/>
    <w:rsid w:val="32930074"/>
    <w:rsid w:val="3293D730"/>
    <w:rsid w:val="32942F79"/>
    <w:rsid w:val="329434BF"/>
    <w:rsid w:val="329599EC"/>
    <w:rsid w:val="3295FA45"/>
    <w:rsid w:val="32968A4B"/>
    <w:rsid w:val="3296E346"/>
    <w:rsid w:val="32974C7F"/>
    <w:rsid w:val="329787D4"/>
    <w:rsid w:val="32978975"/>
    <w:rsid w:val="3297AEE5"/>
    <w:rsid w:val="329898FA"/>
    <w:rsid w:val="329904B7"/>
    <w:rsid w:val="32993979"/>
    <w:rsid w:val="329A15B0"/>
    <w:rsid w:val="329A4D2B"/>
    <w:rsid w:val="329AC245"/>
    <w:rsid w:val="329B05EA"/>
    <w:rsid w:val="329B2B44"/>
    <w:rsid w:val="329C50B8"/>
    <w:rsid w:val="329C8D0A"/>
    <w:rsid w:val="329DAF66"/>
    <w:rsid w:val="329DC833"/>
    <w:rsid w:val="329E6166"/>
    <w:rsid w:val="329F304D"/>
    <w:rsid w:val="329F5A33"/>
    <w:rsid w:val="32A1E02B"/>
    <w:rsid w:val="32A333A0"/>
    <w:rsid w:val="32A41393"/>
    <w:rsid w:val="32A53B7C"/>
    <w:rsid w:val="32A54F74"/>
    <w:rsid w:val="32A5BF74"/>
    <w:rsid w:val="32A5CE66"/>
    <w:rsid w:val="32A5F710"/>
    <w:rsid w:val="32A61C78"/>
    <w:rsid w:val="32A6482A"/>
    <w:rsid w:val="32A65D97"/>
    <w:rsid w:val="32A6F0A5"/>
    <w:rsid w:val="32A7402E"/>
    <w:rsid w:val="32A7765D"/>
    <w:rsid w:val="32A792BC"/>
    <w:rsid w:val="32A79915"/>
    <w:rsid w:val="32A7A9B7"/>
    <w:rsid w:val="32A7C6CD"/>
    <w:rsid w:val="32A7D555"/>
    <w:rsid w:val="32A802F4"/>
    <w:rsid w:val="32A8220D"/>
    <w:rsid w:val="32A8F2E0"/>
    <w:rsid w:val="32A8FA00"/>
    <w:rsid w:val="32A96BAB"/>
    <w:rsid w:val="32A9AC2E"/>
    <w:rsid w:val="32A9FBA1"/>
    <w:rsid w:val="32AA740B"/>
    <w:rsid w:val="32ABAAC5"/>
    <w:rsid w:val="32AD1FF4"/>
    <w:rsid w:val="32AE529A"/>
    <w:rsid w:val="32AF6CB9"/>
    <w:rsid w:val="32B05938"/>
    <w:rsid w:val="32B08B19"/>
    <w:rsid w:val="32B12C0F"/>
    <w:rsid w:val="32B183DD"/>
    <w:rsid w:val="32B1BB9C"/>
    <w:rsid w:val="32B366C7"/>
    <w:rsid w:val="32B3DBA0"/>
    <w:rsid w:val="32B43EE4"/>
    <w:rsid w:val="32B44477"/>
    <w:rsid w:val="32B4CBCF"/>
    <w:rsid w:val="32B5EC05"/>
    <w:rsid w:val="32B6E2C5"/>
    <w:rsid w:val="32B723BB"/>
    <w:rsid w:val="32B7E19A"/>
    <w:rsid w:val="32B818D1"/>
    <w:rsid w:val="32B884C6"/>
    <w:rsid w:val="32B887B6"/>
    <w:rsid w:val="32B8BB4B"/>
    <w:rsid w:val="32B8C918"/>
    <w:rsid w:val="32B92653"/>
    <w:rsid w:val="32B95FA2"/>
    <w:rsid w:val="32BA4D68"/>
    <w:rsid w:val="32BA545E"/>
    <w:rsid w:val="32BA6ED7"/>
    <w:rsid w:val="32BA9D7E"/>
    <w:rsid w:val="32BAFA42"/>
    <w:rsid w:val="32BB0CD1"/>
    <w:rsid w:val="32BB16F6"/>
    <w:rsid w:val="32BB5576"/>
    <w:rsid w:val="32BBD1E5"/>
    <w:rsid w:val="32BDD561"/>
    <w:rsid w:val="32BE0BD5"/>
    <w:rsid w:val="32BF4EC5"/>
    <w:rsid w:val="32BF6024"/>
    <w:rsid w:val="32BF9DE9"/>
    <w:rsid w:val="32BFD80D"/>
    <w:rsid w:val="32C00AA3"/>
    <w:rsid w:val="32C01B83"/>
    <w:rsid w:val="32C0D135"/>
    <w:rsid w:val="32C0E06A"/>
    <w:rsid w:val="32C18668"/>
    <w:rsid w:val="32C29936"/>
    <w:rsid w:val="32C2AF51"/>
    <w:rsid w:val="32C30A26"/>
    <w:rsid w:val="32C42956"/>
    <w:rsid w:val="32C44E85"/>
    <w:rsid w:val="32C48079"/>
    <w:rsid w:val="32C592B9"/>
    <w:rsid w:val="32C5A4E6"/>
    <w:rsid w:val="32C633A6"/>
    <w:rsid w:val="32C68EDA"/>
    <w:rsid w:val="32C7357A"/>
    <w:rsid w:val="32C868D8"/>
    <w:rsid w:val="32C8E63A"/>
    <w:rsid w:val="32C9CD23"/>
    <w:rsid w:val="32C9D8AD"/>
    <w:rsid w:val="32CA96D7"/>
    <w:rsid w:val="32CAAB84"/>
    <w:rsid w:val="32CAB100"/>
    <w:rsid w:val="32CC9ADA"/>
    <w:rsid w:val="32CCB682"/>
    <w:rsid w:val="32CCF0B3"/>
    <w:rsid w:val="32CD42AF"/>
    <w:rsid w:val="32CD604F"/>
    <w:rsid w:val="32CD60D2"/>
    <w:rsid w:val="32CDF8DA"/>
    <w:rsid w:val="32CE8443"/>
    <w:rsid w:val="32D046BC"/>
    <w:rsid w:val="32D05F5F"/>
    <w:rsid w:val="32D05FF3"/>
    <w:rsid w:val="32D2AF6C"/>
    <w:rsid w:val="32D2FF02"/>
    <w:rsid w:val="32D347EF"/>
    <w:rsid w:val="32D3BA0E"/>
    <w:rsid w:val="32D40899"/>
    <w:rsid w:val="32D418BD"/>
    <w:rsid w:val="32D44A34"/>
    <w:rsid w:val="32D510F6"/>
    <w:rsid w:val="32D5FDE2"/>
    <w:rsid w:val="32D861E9"/>
    <w:rsid w:val="32D90F65"/>
    <w:rsid w:val="32DA17FE"/>
    <w:rsid w:val="32DA5B41"/>
    <w:rsid w:val="32DAA925"/>
    <w:rsid w:val="32DCCC85"/>
    <w:rsid w:val="32DD8417"/>
    <w:rsid w:val="32DD9C0A"/>
    <w:rsid w:val="32DE8B98"/>
    <w:rsid w:val="32DE9DA5"/>
    <w:rsid w:val="32DEE745"/>
    <w:rsid w:val="32DEE997"/>
    <w:rsid w:val="32DF9870"/>
    <w:rsid w:val="32DFE68E"/>
    <w:rsid w:val="32E03846"/>
    <w:rsid w:val="32E0E6B8"/>
    <w:rsid w:val="32E3E974"/>
    <w:rsid w:val="32E49ED8"/>
    <w:rsid w:val="32E4E1EB"/>
    <w:rsid w:val="32E4FB3E"/>
    <w:rsid w:val="32E5079A"/>
    <w:rsid w:val="32E574B8"/>
    <w:rsid w:val="32E59826"/>
    <w:rsid w:val="32E5C606"/>
    <w:rsid w:val="32E5D53E"/>
    <w:rsid w:val="32E601AE"/>
    <w:rsid w:val="32E63B1D"/>
    <w:rsid w:val="32E68B5A"/>
    <w:rsid w:val="32E84358"/>
    <w:rsid w:val="32E90D02"/>
    <w:rsid w:val="32E91C81"/>
    <w:rsid w:val="32EA2A5E"/>
    <w:rsid w:val="32EB08FC"/>
    <w:rsid w:val="32EB6051"/>
    <w:rsid w:val="32EB8447"/>
    <w:rsid w:val="32EC2559"/>
    <w:rsid w:val="32ED6E07"/>
    <w:rsid w:val="32EE69B6"/>
    <w:rsid w:val="32EE6B54"/>
    <w:rsid w:val="32EF46B8"/>
    <w:rsid w:val="32EF957E"/>
    <w:rsid w:val="32EFA295"/>
    <w:rsid w:val="32EFDE87"/>
    <w:rsid w:val="32F00DDB"/>
    <w:rsid w:val="32F0DD59"/>
    <w:rsid w:val="32F1543B"/>
    <w:rsid w:val="32F18614"/>
    <w:rsid w:val="32F1C56B"/>
    <w:rsid w:val="32F1E539"/>
    <w:rsid w:val="32F1F952"/>
    <w:rsid w:val="32F26CAA"/>
    <w:rsid w:val="32F2BFF7"/>
    <w:rsid w:val="32F3E569"/>
    <w:rsid w:val="32F46701"/>
    <w:rsid w:val="32F5304A"/>
    <w:rsid w:val="32F57183"/>
    <w:rsid w:val="32F6064C"/>
    <w:rsid w:val="32F6E81E"/>
    <w:rsid w:val="32F754AF"/>
    <w:rsid w:val="32F76EF0"/>
    <w:rsid w:val="32F79472"/>
    <w:rsid w:val="32FA1446"/>
    <w:rsid w:val="32FA26CC"/>
    <w:rsid w:val="32FACE7C"/>
    <w:rsid w:val="32FAD5AB"/>
    <w:rsid w:val="32FB0908"/>
    <w:rsid w:val="32FBDF99"/>
    <w:rsid w:val="32FC0745"/>
    <w:rsid w:val="32FC0DC7"/>
    <w:rsid w:val="32FC38C4"/>
    <w:rsid w:val="32FC5D9B"/>
    <w:rsid w:val="32FCC020"/>
    <w:rsid w:val="32FD1BF9"/>
    <w:rsid w:val="32FD7707"/>
    <w:rsid w:val="32FDCC38"/>
    <w:rsid w:val="32FE2883"/>
    <w:rsid w:val="32FE336E"/>
    <w:rsid w:val="32FF20E5"/>
    <w:rsid w:val="32FFA19A"/>
    <w:rsid w:val="330030E1"/>
    <w:rsid w:val="3300BE56"/>
    <w:rsid w:val="33010649"/>
    <w:rsid w:val="330122BF"/>
    <w:rsid w:val="33018DFE"/>
    <w:rsid w:val="3301B8BF"/>
    <w:rsid w:val="3301FC9F"/>
    <w:rsid w:val="330230A2"/>
    <w:rsid w:val="3302DF75"/>
    <w:rsid w:val="33036432"/>
    <w:rsid w:val="33036948"/>
    <w:rsid w:val="3303728E"/>
    <w:rsid w:val="33048785"/>
    <w:rsid w:val="3304E37E"/>
    <w:rsid w:val="3304EAC9"/>
    <w:rsid w:val="33052E19"/>
    <w:rsid w:val="3305DA05"/>
    <w:rsid w:val="3305EA79"/>
    <w:rsid w:val="3305F59A"/>
    <w:rsid w:val="3306702F"/>
    <w:rsid w:val="330728CA"/>
    <w:rsid w:val="3307BBEB"/>
    <w:rsid w:val="33082A9D"/>
    <w:rsid w:val="330A1466"/>
    <w:rsid w:val="330A7EF3"/>
    <w:rsid w:val="330B2C7B"/>
    <w:rsid w:val="330C6CA5"/>
    <w:rsid w:val="330CDD92"/>
    <w:rsid w:val="330D0A99"/>
    <w:rsid w:val="330DCFD9"/>
    <w:rsid w:val="330EDDB7"/>
    <w:rsid w:val="330F5084"/>
    <w:rsid w:val="3310CA23"/>
    <w:rsid w:val="3311B94B"/>
    <w:rsid w:val="3311F3A5"/>
    <w:rsid w:val="33121A62"/>
    <w:rsid w:val="33129FD8"/>
    <w:rsid w:val="3312AA7E"/>
    <w:rsid w:val="33137D75"/>
    <w:rsid w:val="3313AA38"/>
    <w:rsid w:val="3313DEA5"/>
    <w:rsid w:val="33147473"/>
    <w:rsid w:val="331534CF"/>
    <w:rsid w:val="33153ECB"/>
    <w:rsid w:val="33158BFB"/>
    <w:rsid w:val="33159F93"/>
    <w:rsid w:val="33184ABA"/>
    <w:rsid w:val="33187D04"/>
    <w:rsid w:val="3318919C"/>
    <w:rsid w:val="3318A494"/>
    <w:rsid w:val="331964BB"/>
    <w:rsid w:val="3319AE69"/>
    <w:rsid w:val="331AB755"/>
    <w:rsid w:val="331B86EE"/>
    <w:rsid w:val="331BE874"/>
    <w:rsid w:val="331DF912"/>
    <w:rsid w:val="331E710F"/>
    <w:rsid w:val="331F30CB"/>
    <w:rsid w:val="331F32F6"/>
    <w:rsid w:val="331F3DB2"/>
    <w:rsid w:val="331FCBFA"/>
    <w:rsid w:val="331FDF07"/>
    <w:rsid w:val="33207CBD"/>
    <w:rsid w:val="3321CD76"/>
    <w:rsid w:val="3322264A"/>
    <w:rsid w:val="3322BC6D"/>
    <w:rsid w:val="3322EA9D"/>
    <w:rsid w:val="33235A13"/>
    <w:rsid w:val="33237375"/>
    <w:rsid w:val="332398FE"/>
    <w:rsid w:val="33239B60"/>
    <w:rsid w:val="33243445"/>
    <w:rsid w:val="33255BA6"/>
    <w:rsid w:val="33263683"/>
    <w:rsid w:val="33264238"/>
    <w:rsid w:val="332656A6"/>
    <w:rsid w:val="332717D8"/>
    <w:rsid w:val="33291C1A"/>
    <w:rsid w:val="33298912"/>
    <w:rsid w:val="3329F3F6"/>
    <w:rsid w:val="3329FE63"/>
    <w:rsid w:val="332B21C5"/>
    <w:rsid w:val="332CD8F7"/>
    <w:rsid w:val="332CDEA1"/>
    <w:rsid w:val="332CE2C1"/>
    <w:rsid w:val="332D04E4"/>
    <w:rsid w:val="332D9791"/>
    <w:rsid w:val="332DEC32"/>
    <w:rsid w:val="332EF39B"/>
    <w:rsid w:val="332FA8AC"/>
    <w:rsid w:val="33304C96"/>
    <w:rsid w:val="33307802"/>
    <w:rsid w:val="3330C617"/>
    <w:rsid w:val="33310561"/>
    <w:rsid w:val="33320074"/>
    <w:rsid w:val="3332119A"/>
    <w:rsid w:val="3333A743"/>
    <w:rsid w:val="33344D00"/>
    <w:rsid w:val="3334B988"/>
    <w:rsid w:val="3335279A"/>
    <w:rsid w:val="3335768B"/>
    <w:rsid w:val="33365A60"/>
    <w:rsid w:val="333663EF"/>
    <w:rsid w:val="33379461"/>
    <w:rsid w:val="33381EBF"/>
    <w:rsid w:val="3339A341"/>
    <w:rsid w:val="3339F760"/>
    <w:rsid w:val="333B58F2"/>
    <w:rsid w:val="333C87B8"/>
    <w:rsid w:val="333D7123"/>
    <w:rsid w:val="333D9DAC"/>
    <w:rsid w:val="333DF653"/>
    <w:rsid w:val="333F47A6"/>
    <w:rsid w:val="333F815B"/>
    <w:rsid w:val="3340A6FA"/>
    <w:rsid w:val="3340C2F7"/>
    <w:rsid w:val="3340F4AD"/>
    <w:rsid w:val="334105B8"/>
    <w:rsid w:val="3341C6F8"/>
    <w:rsid w:val="334230C5"/>
    <w:rsid w:val="334270BF"/>
    <w:rsid w:val="33429AD2"/>
    <w:rsid w:val="33432857"/>
    <w:rsid w:val="3343931C"/>
    <w:rsid w:val="3343F6A4"/>
    <w:rsid w:val="33451308"/>
    <w:rsid w:val="3345C772"/>
    <w:rsid w:val="3345FF8E"/>
    <w:rsid w:val="33460574"/>
    <w:rsid w:val="33463082"/>
    <w:rsid w:val="33463114"/>
    <w:rsid w:val="33466EF0"/>
    <w:rsid w:val="33485EC5"/>
    <w:rsid w:val="33497112"/>
    <w:rsid w:val="334A062B"/>
    <w:rsid w:val="334BC8E9"/>
    <w:rsid w:val="334BD954"/>
    <w:rsid w:val="334D2C97"/>
    <w:rsid w:val="334D4D25"/>
    <w:rsid w:val="334DE88A"/>
    <w:rsid w:val="334E0B77"/>
    <w:rsid w:val="334ED515"/>
    <w:rsid w:val="334F9528"/>
    <w:rsid w:val="334FD1EC"/>
    <w:rsid w:val="33504648"/>
    <w:rsid w:val="335161DF"/>
    <w:rsid w:val="3351AD92"/>
    <w:rsid w:val="33524719"/>
    <w:rsid w:val="3353A552"/>
    <w:rsid w:val="3353CED0"/>
    <w:rsid w:val="33540DC2"/>
    <w:rsid w:val="335543FF"/>
    <w:rsid w:val="3355910F"/>
    <w:rsid w:val="3356113A"/>
    <w:rsid w:val="3356AE2F"/>
    <w:rsid w:val="3356C00C"/>
    <w:rsid w:val="33578907"/>
    <w:rsid w:val="33579A30"/>
    <w:rsid w:val="33582831"/>
    <w:rsid w:val="3358D2E7"/>
    <w:rsid w:val="335905D5"/>
    <w:rsid w:val="335935C2"/>
    <w:rsid w:val="33594B45"/>
    <w:rsid w:val="3359A496"/>
    <w:rsid w:val="335B03BD"/>
    <w:rsid w:val="335BF179"/>
    <w:rsid w:val="335C34BA"/>
    <w:rsid w:val="335C4794"/>
    <w:rsid w:val="335DF006"/>
    <w:rsid w:val="335DF23B"/>
    <w:rsid w:val="335E32BC"/>
    <w:rsid w:val="335EA5F1"/>
    <w:rsid w:val="3360DBD1"/>
    <w:rsid w:val="33615C77"/>
    <w:rsid w:val="33618D2F"/>
    <w:rsid w:val="3361E1A5"/>
    <w:rsid w:val="336205EC"/>
    <w:rsid w:val="3362144A"/>
    <w:rsid w:val="3364471C"/>
    <w:rsid w:val="336515EF"/>
    <w:rsid w:val="33668214"/>
    <w:rsid w:val="3366C49D"/>
    <w:rsid w:val="336978A8"/>
    <w:rsid w:val="336A417C"/>
    <w:rsid w:val="336A754A"/>
    <w:rsid w:val="336A921A"/>
    <w:rsid w:val="336AA37D"/>
    <w:rsid w:val="336AB1AE"/>
    <w:rsid w:val="336AF180"/>
    <w:rsid w:val="336B3B69"/>
    <w:rsid w:val="336C2A64"/>
    <w:rsid w:val="336C4013"/>
    <w:rsid w:val="336D4FBF"/>
    <w:rsid w:val="336DE48F"/>
    <w:rsid w:val="336E6B07"/>
    <w:rsid w:val="336E9607"/>
    <w:rsid w:val="336EC8A2"/>
    <w:rsid w:val="336EF35D"/>
    <w:rsid w:val="336F1524"/>
    <w:rsid w:val="336F38BF"/>
    <w:rsid w:val="336F495C"/>
    <w:rsid w:val="336F4C8C"/>
    <w:rsid w:val="33706647"/>
    <w:rsid w:val="3371975F"/>
    <w:rsid w:val="3371CEEB"/>
    <w:rsid w:val="3371E571"/>
    <w:rsid w:val="3372A6B3"/>
    <w:rsid w:val="3372CE61"/>
    <w:rsid w:val="3372F6CA"/>
    <w:rsid w:val="3373B7FD"/>
    <w:rsid w:val="3373DEF8"/>
    <w:rsid w:val="337490F0"/>
    <w:rsid w:val="33749EAB"/>
    <w:rsid w:val="33753C29"/>
    <w:rsid w:val="3375CAA5"/>
    <w:rsid w:val="33760235"/>
    <w:rsid w:val="33765514"/>
    <w:rsid w:val="33765984"/>
    <w:rsid w:val="3376A91A"/>
    <w:rsid w:val="3376F4AB"/>
    <w:rsid w:val="3377A66E"/>
    <w:rsid w:val="3377A683"/>
    <w:rsid w:val="33791BC4"/>
    <w:rsid w:val="33795D94"/>
    <w:rsid w:val="3379ED7A"/>
    <w:rsid w:val="337A1848"/>
    <w:rsid w:val="337B7EE0"/>
    <w:rsid w:val="337BE0B1"/>
    <w:rsid w:val="337C7BFC"/>
    <w:rsid w:val="337CF55D"/>
    <w:rsid w:val="337D4F17"/>
    <w:rsid w:val="337E0EE6"/>
    <w:rsid w:val="337E1078"/>
    <w:rsid w:val="337E8077"/>
    <w:rsid w:val="337F4348"/>
    <w:rsid w:val="3380FC39"/>
    <w:rsid w:val="33819B9A"/>
    <w:rsid w:val="3381CE8A"/>
    <w:rsid w:val="33821FA1"/>
    <w:rsid w:val="338306EA"/>
    <w:rsid w:val="33839C96"/>
    <w:rsid w:val="3383A085"/>
    <w:rsid w:val="33840496"/>
    <w:rsid w:val="3384A834"/>
    <w:rsid w:val="338547DB"/>
    <w:rsid w:val="3385AFF8"/>
    <w:rsid w:val="33860B74"/>
    <w:rsid w:val="33872C16"/>
    <w:rsid w:val="3387BDED"/>
    <w:rsid w:val="33885E10"/>
    <w:rsid w:val="33891A52"/>
    <w:rsid w:val="3389B78F"/>
    <w:rsid w:val="338AEBC9"/>
    <w:rsid w:val="338B6A2E"/>
    <w:rsid w:val="338BA2CD"/>
    <w:rsid w:val="338CB347"/>
    <w:rsid w:val="338E4718"/>
    <w:rsid w:val="338E9B9A"/>
    <w:rsid w:val="338EB72F"/>
    <w:rsid w:val="338F670C"/>
    <w:rsid w:val="338FAD36"/>
    <w:rsid w:val="3390D004"/>
    <w:rsid w:val="33920700"/>
    <w:rsid w:val="33920AC3"/>
    <w:rsid w:val="339261CC"/>
    <w:rsid w:val="3393CD55"/>
    <w:rsid w:val="3395F5CD"/>
    <w:rsid w:val="339638A4"/>
    <w:rsid w:val="3396EEB2"/>
    <w:rsid w:val="33978D54"/>
    <w:rsid w:val="33979832"/>
    <w:rsid w:val="33980923"/>
    <w:rsid w:val="33981975"/>
    <w:rsid w:val="33985266"/>
    <w:rsid w:val="3399BF64"/>
    <w:rsid w:val="339A42CF"/>
    <w:rsid w:val="339BE7A7"/>
    <w:rsid w:val="339CBEAD"/>
    <w:rsid w:val="339E0E7D"/>
    <w:rsid w:val="339F18C6"/>
    <w:rsid w:val="339F1B4F"/>
    <w:rsid w:val="339F3132"/>
    <w:rsid w:val="339F72CD"/>
    <w:rsid w:val="33A02B08"/>
    <w:rsid w:val="33A0846E"/>
    <w:rsid w:val="33A0EB0C"/>
    <w:rsid w:val="33A18DC7"/>
    <w:rsid w:val="33A1C18B"/>
    <w:rsid w:val="33A4220F"/>
    <w:rsid w:val="33A44E4D"/>
    <w:rsid w:val="33A4B8D0"/>
    <w:rsid w:val="33A4D15D"/>
    <w:rsid w:val="33A4F034"/>
    <w:rsid w:val="33A66F54"/>
    <w:rsid w:val="33A729FA"/>
    <w:rsid w:val="33A816B2"/>
    <w:rsid w:val="33A85E6D"/>
    <w:rsid w:val="33A87EB2"/>
    <w:rsid w:val="33A93013"/>
    <w:rsid w:val="33A95674"/>
    <w:rsid w:val="33A97892"/>
    <w:rsid w:val="33A984EA"/>
    <w:rsid w:val="33AA2125"/>
    <w:rsid w:val="33ABE2B4"/>
    <w:rsid w:val="33ABFC6C"/>
    <w:rsid w:val="33ACB99E"/>
    <w:rsid w:val="33ADD25A"/>
    <w:rsid w:val="33AE7C94"/>
    <w:rsid w:val="33AE90FE"/>
    <w:rsid w:val="33B0063D"/>
    <w:rsid w:val="33B205AD"/>
    <w:rsid w:val="33B2535D"/>
    <w:rsid w:val="33B2936A"/>
    <w:rsid w:val="33B3A873"/>
    <w:rsid w:val="33B3B5CB"/>
    <w:rsid w:val="33B3E96F"/>
    <w:rsid w:val="33B42311"/>
    <w:rsid w:val="33B44573"/>
    <w:rsid w:val="33B47FF3"/>
    <w:rsid w:val="33B4D668"/>
    <w:rsid w:val="33B52775"/>
    <w:rsid w:val="33B5A548"/>
    <w:rsid w:val="33B5F01E"/>
    <w:rsid w:val="33B65BB3"/>
    <w:rsid w:val="33B664BB"/>
    <w:rsid w:val="33B6DE0E"/>
    <w:rsid w:val="33B7716B"/>
    <w:rsid w:val="33B78916"/>
    <w:rsid w:val="33B815F1"/>
    <w:rsid w:val="33B85733"/>
    <w:rsid w:val="33B9C8CB"/>
    <w:rsid w:val="33BAAA0B"/>
    <w:rsid w:val="33BBBA63"/>
    <w:rsid w:val="33BC6E15"/>
    <w:rsid w:val="33BC7357"/>
    <w:rsid w:val="33BCB49B"/>
    <w:rsid w:val="33BE0D12"/>
    <w:rsid w:val="33BECD3B"/>
    <w:rsid w:val="33BED30B"/>
    <w:rsid w:val="33BF0AF1"/>
    <w:rsid w:val="33BFBCD9"/>
    <w:rsid w:val="33C2ADB1"/>
    <w:rsid w:val="33C31C8F"/>
    <w:rsid w:val="33C456EE"/>
    <w:rsid w:val="33C48372"/>
    <w:rsid w:val="33C4925C"/>
    <w:rsid w:val="33C51BD4"/>
    <w:rsid w:val="33C554F8"/>
    <w:rsid w:val="33C5F147"/>
    <w:rsid w:val="33C6C806"/>
    <w:rsid w:val="33C72B59"/>
    <w:rsid w:val="33C72BD9"/>
    <w:rsid w:val="33C7D68B"/>
    <w:rsid w:val="33C7FE88"/>
    <w:rsid w:val="33C884E5"/>
    <w:rsid w:val="33C8E9C7"/>
    <w:rsid w:val="33C9711A"/>
    <w:rsid w:val="33CA1764"/>
    <w:rsid w:val="33CA5A36"/>
    <w:rsid w:val="33CB48E9"/>
    <w:rsid w:val="33CD1426"/>
    <w:rsid w:val="33CD606A"/>
    <w:rsid w:val="33CD9C64"/>
    <w:rsid w:val="33CE0AD4"/>
    <w:rsid w:val="33CF3055"/>
    <w:rsid w:val="33CFA9FF"/>
    <w:rsid w:val="33D053CC"/>
    <w:rsid w:val="33D0AD35"/>
    <w:rsid w:val="33D0F504"/>
    <w:rsid w:val="33D148DB"/>
    <w:rsid w:val="33D19108"/>
    <w:rsid w:val="33D21AB3"/>
    <w:rsid w:val="33D42762"/>
    <w:rsid w:val="33D4990F"/>
    <w:rsid w:val="33D4B046"/>
    <w:rsid w:val="33D4C3F1"/>
    <w:rsid w:val="33D538C9"/>
    <w:rsid w:val="33D5699C"/>
    <w:rsid w:val="33D57705"/>
    <w:rsid w:val="33D5F27E"/>
    <w:rsid w:val="33D60918"/>
    <w:rsid w:val="33D69259"/>
    <w:rsid w:val="33D6A03F"/>
    <w:rsid w:val="33D7DAFD"/>
    <w:rsid w:val="33D882EE"/>
    <w:rsid w:val="33D91B02"/>
    <w:rsid w:val="33D95665"/>
    <w:rsid w:val="33D9B50B"/>
    <w:rsid w:val="33D9C2B6"/>
    <w:rsid w:val="33DA399E"/>
    <w:rsid w:val="33DAF337"/>
    <w:rsid w:val="33DC95FD"/>
    <w:rsid w:val="33DD763C"/>
    <w:rsid w:val="33DE8126"/>
    <w:rsid w:val="33DFA069"/>
    <w:rsid w:val="33E0C1C7"/>
    <w:rsid w:val="33E15FF5"/>
    <w:rsid w:val="33E18B12"/>
    <w:rsid w:val="33E2B48E"/>
    <w:rsid w:val="33E2E7CB"/>
    <w:rsid w:val="33E2ECCB"/>
    <w:rsid w:val="33E32CC7"/>
    <w:rsid w:val="33E5101E"/>
    <w:rsid w:val="33E5314A"/>
    <w:rsid w:val="33E5F44D"/>
    <w:rsid w:val="33E814C6"/>
    <w:rsid w:val="33E8587F"/>
    <w:rsid w:val="33E85FA2"/>
    <w:rsid w:val="33E8C336"/>
    <w:rsid w:val="33E8D8B0"/>
    <w:rsid w:val="33E900BA"/>
    <w:rsid w:val="33E91734"/>
    <w:rsid w:val="33E94C37"/>
    <w:rsid w:val="33EA53C7"/>
    <w:rsid w:val="33EB097E"/>
    <w:rsid w:val="33EBAAC7"/>
    <w:rsid w:val="33EBD087"/>
    <w:rsid w:val="33EBE7FE"/>
    <w:rsid w:val="33ED0883"/>
    <w:rsid w:val="33ED88D6"/>
    <w:rsid w:val="33EDF02D"/>
    <w:rsid w:val="33F06B48"/>
    <w:rsid w:val="33F0796B"/>
    <w:rsid w:val="33F19F83"/>
    <w:rsid w:val="33F24531"/>
    <w:rsid w:val="33F2739A"/>
    <w:rsid w:val="33F32517"/>
    <w:rsid w:val="33F329DF"/>
    <w:rsid w:val="33F335FC"/>
    <w:rsid w:val="33F451BE"/>
    <w:rsid w:val="33F46169"/>
    <w:rsid w:val="33F4634B"/>
    <w:rsid w:val="33F476A6"/>
    <w:rsid w:val="33F6BA34"/>
    <w:rsid w:val="33F6E9A8"/>
    <w:rsid w:val="33F6FD9C"/>
    <w:rsid w:val="33F8D202"/>
    <w:rsid w:val="33FA97E1"/>
    <w:rsid w:val="33FAE9F6"/>
    <w:rsid w:val="33FB58B2"/>
    <w:rsid w:val="33FB8E51"/>
    <w:rsid w:val="33FBB412"/>
    <w:rsid w:val="33FC5EB9"/>
    <w:rsid w:val="33FC6BC1"/>
    <w:rsid w:val="33FCFEDB"/>
    <w:rsid w:val="33FD60D1"/>
    <w:rsid w:val="33FD7632"/>
    <w:rsid w:val="33FDE690"/>
    <w:rsid w:val="33FE0AB8"/>
    <w:rsid w:val="33FE1E69"/>
    <w:rsid w:val="33FE5529"/>
    <w:rsid w:val="33FE6485"/>
    <w:rsid w:val="33FE8646"/>
    <w:rsid w:val="33FF40C5"/>
    <w:rsid w:val="33FF949B"/>
    <w:rsid w:val="3400A195"/>
    <w:rsid w:val="3400FACA"/>
    <w:rsid w:val="340109C5"/>
    <w:rsid w:val="340116B1"/>
    <w:rsid w:val="34016734"/>
    <w:rsid w:val="3401F6CE"/>
    <w:rsid w:val="34031A44"/>
    <w:rsid w:val="340387CE"/>
    <w:rsid w:val="34041B7C"/>
    <w:rsid w:val="3404D364"/>
    <w:rsid w:val="34053F55"/>
    <w:rsid w:val="340559CB"/>
    <w:rsid w:val="34057CB2"/>
    <w:rsid w:val="34059B88"/>
    <w:rsid w:val="34064952"/>
    <w:rsid w:val="34068837"/>
    <w:rsid w:val="340708F9"/>
    <w:rsid w:val="3408204C"/>
    <w:rsid w:val="34090F1C"/>
    <w:rsid w:val="34095191"/>
    <w:rsid w:val="340996DE"/>
    <w:rsid w:val="340A30AC"/>
    <w:rsid w:val="340A3E03"/>
    <w:rsid w:val="340ACBA8"/>
    <w:rsid w:val="340BB0E3"/>
    <w:rsid w:val="340DEA2D"/>
    <w:rsid w:val="340DFD21"/>
    <w:rsid w:val="340E08BD"/>
    <w:rsid w:val="340ED24E"/>
    <w:rsid w:val="340EF4F5"/>
    <w:rsid w:val="340F6B6D"/>
    <w:rsid w:val="3410317E"/>
    <w:rsid w:val="3410DCF7"/>
    <w:rsid w:val="34115AE9"/>
    <w:rsid w:val="3412780C"/>
    <w:rsid w:val="3412A8FE"/>
    <w:rsid w:val="34132CF1"/>
    <w:rsid w:val="3413B010"/>
    <w:rsid w:val="3414740C"/>
    <w:rsid w:val="34151FC2"/>
    <w:rsid w:val="34163AFF"/>
    <w:rsid w:val="3416CD93"/>
    <w:rsid w:val="3417EF05"/>
    <w:rsid w:val="3418A047"/>
    <w:rsid w:val="3418D1FE"/>
    <w:rsid w:val="3419F4F4"/>
    <w:rsid w:val="341A3A51"/>
    <w:rsid w:val="341A4C1E"/>
    <w:rsid w:val="341ABA78"/>
    <w:rsid w:val="341B8901"/>
    <w:rsid w:val="341CBBE9"/>
    <w:rsid w:val="341CF829"/>
    <w:rsid w:val="341D1227"/>
    <w:rsid w:val="341D4789"/>
    <w:rsid w:val="341E21F3"/>
    <w:rsid w:val="341F747F"/>
    <w:rsid w:val="341FCA22"/>
    <w:rsid w:val="3420EE7A"/>
    <w:rsid w:val="3422D1D7"/>
    <w:rsid w:val="3422D631"/>
    <w:rsid w:val="3423555F"/>
    <w:rsid w:val="3424396B"/>
    <w:rsid w:val="342453DE"/>
    <w:rsid w:val="342511CC"/>
    <w:rsid w:val="34256A6E"/>
    <w:rsid w:val="34259E16"/>
    <w:rsid w:val="3425CDFE"/>
    <w:rsid w:val="3425F360"/>
    <w:rsid w:val="34264D44"/>
    <w:rsid w:val="34266865"/>
    <w:rsid w:val="34268040"/>
    <w:rsid w:val="34278C34"/>
    <w:rsid w:val="3427B2B8"/>
    <w:rsid w:val="342959DC"/>
    <w:rsid w:val="342A2C85"/>
    <w:rsid w:val="342A2CCF"/>
    <w:rsid w:val="342A5C6A"/>
    <w:rsid w:val="342ABBF5"/>
    <w:rsid w:val="342C6433"/>
    <w:rsid w:val="342CE688"/>
    <w:rsid w:val="342CF294"/>
    <w:rsid w:val="342D2FC0"/>
    <w:rsid w:val="342D7185"/>
    <w:rsid w:val="342D80F3"/>
    <w:rsid w:val="342E519D"/>
    <w:rsid w:val="342FC030"/>
    <w:rsid w:val="342FCE24"/>
    <w:rsid w:val="34303522"/>
    <w:rsid w:val="3430454B"/>
    <w:rsid w:val="3430B35D"/>
    <w:rsid w:val="3430BEAC"/>
    <w:rsid w:val="3431B5B8"/>
    <w:rsid w:val="343398A3"/>
    <w:rsid w:val="34361FCA"/>
    <w:rsid w:val="343676C1"/>
    <w:rsid w:val="3436B6FF"/>
    <w:rsid w:val="3436D2EF"/>
    <w:rsid w:val="3436D58D"/>
    <w:rsid w:val="3436DFA1"/>
    <w:rsid w:val="343798C6"/>
    <w:rsid w:val="3437ED02"/>
    <w:rsid w:val="343814AF"/>
    <w:rsid w:val="34387ED4"/>
    <w:rsid w:val="34390E3D"/>
    <w:rsid w:val="34399018"/>
    <w:rsid w:val="3439F63F"/>
    <w:rsid w:val="343C1AF6"/>
    <w:rsid w:val="343CEBFC"/>
    <w:rsid w:val="343D04E8"/>
    <w:rsid w:val="343D453F"/>
    <w:rsid w:val="343D530F"/>
    <w:rsid w:val="343D7B13"/>
    <w:rsid w:val="343DA9E6"/>
    <w:rsid w:val="343E1180"/>
    <w:rsid w:val="343E35C3"/>
    <w:rsid w:val="343E95EE"/>
    <w:rsid w:val="3440032E"/>
    <w:rsid w:val="34413EC6"/>
    <w:rsid w:val="3441AFB6"/>
    <w:rsid w:val="3441DE3B"/>
    <w:rsid w:val="3441DFFC"/>
    <w:rsid w:val="3443E9AB"/>
    <w:rsid w:val="3444CD70"/>
    <w:rsid w:val="3444DAA6"/>
    <w:rsid w:val="3445519D"/>
    <w:rsid w:val="34459A4F"/>
    <w:rsid w:val="34463819"/>
    <w:rsid w:val="3446A273"/>
    <w:rsid w:val="3446E35F"/>
    <w:rsid w:val="3446E6B0"/>
    <w:rsid w:val="3447432E"/>
    <w:rsid w:val="3447B7E8"/>
    <w:rsid w:val="3447F0ED"/>
    <w:rsid w:val="3448F29B"/>
    <w:rsid w:val="3448FC58"/>
    <w:rsid w:val="3449931F"/>
    <w:rsid w:val="344A9B3F"/>
    <w:rsid w:val="344C434E"/>
    <w:rsid w:val="344C7505"/>
    <w:rsid w:val="344D7572"/>
    <w:rsid w:val="344DBCD5"/>
    <w:rsid w:val="344DD921"/>
    <w:rsid w:val="344DED83"/>
    <w:rsid w:val="344E1219"/>
    <w:rsid w:val="344F0423"/>
    <w:rsid w:val="344F2780"/>
    <w:rsid w:val="345075F5"/>
    <w:rsid w:val="345099CD"/>
    <w:rsid w:val="3450A9F2"/>
    <w:rsid w:val="34512CC5"/>
    <w:rsid w:val="34517D30"/>
    <w:rsid w:val="34521176"/>
    <w:rsid w:val="345242F3"/>
    <w:rsid w:val="3453380F"/>
    <w:rsid w:val="3453DC7A"/>
    <w:rsid w:val="345403F4"/>
    <w:rsid w:val="3454BD94"/>
    <w:rsid w:val="3454D791"/>
    <w:rsid w:val="3454EC31"/>
    <w:rsid w:val="3455B435"/>
    <w:rsid w:val="3455BAC3"/>
    <w:rsid w:val="34560357"/>
    <w:rsid w:val="34567A87"/>
    <w:rsid w:val="3456A9A0"/>
    <w:rsid w:val="3456D0CA"/>
    <w:rsid w:val="34570C10"/>
    <w:rsid w:val="34573406"/>
    <w:rsid w:val="3458A4DE"/>
    <w:rsid w:val="34593615"/>
    <w:rsid w:val="34598E97"/>
    <w:rsid w:val="345B75DD"/>
    <w:rsid w:val="345B952C"/>
    <w:rsid w:val="345BEC2B"/>
    <w:rsid w:val="345BFAFB"/>
    <w:rsid w:val="345C4E09"/>
    <w:rsid w:val="345C5A7A"/>
    <w:rsid w:val="345CC9C5"/>
    <w:rsid w:val="345D1466"/>
    <w:rsid w:val="345DA185"/>
    <w:rsid w:val="345E1463"/>
    <w:rsid w:val="345E19AD"/>
    <w:rsid w:val="345E941C"/>
    <w:rsid w:val="345F1A27"/>
    <w:rsid w:val="345F85B3"/>
    <w:rsid w:val="345FF6DE"/>
    <w:rsid w:val="34600DD4"/>
    <w:rsid w:val="3460669A"/>
    <w:rsid w:val="3460A9ED"/>
    <w:rsid w:val="3462F49B"/>
    <w:rsid w:val="34632343"/>
    <w:rsid w:val="346348EC"/>
    <w:rsid w:val="3463BDA0"/>
    <w:rsid w:val="3464180F"/>
    <w:rsid w:val="34642390"/>
    <w:rsid w:val="34651A3E"/>
    <w:rsid w:val="34654A68"/>
    <w:rsid w:val="346590DF"/>
    <w:rsid w:val="3465E10C"/>
    <w:rsid w:val="34662B29"/>
    <w:rsid w:val="346674AD"/>
    <w:rsid w:val="3468D5DA"/>
    <w:rsid w:val="34692555"/>
    <w:rsid w:val="346951C6"/>
    <w:rsid w:val="34697DD4"/>
    <w:rsid w:val="346A156F"/>
    <w:rsid w:val="346B11FD"/>
    <w:rsid w:val="346B8825"/>
    <w:rsid w:val="346BCF1C"/>
    <w:rsid w:val="346BE77C"/>
    <w:rsid w:val="346C068D"/>
    <w:rsid w:val="346C5023"/>
    <w:rsid w:val="346DE7FC"/>
    <w:rsid w:val="346E4267"/>
    <w:rsid w:val="346E6AC6"/>
    <w:rsid w:val="346EC03B"/>
    <w:rsid w:val="346F041F"/>
    <w:rsid w:val="346F32E4"/>
    <w:rsid w:val="346F3B5D"/>
    <w:rsid w:val="346F8B79"/>
    <w:rsid w:val="346FC118"/>
    <w:rsid w:val="34706A29"/>
    <w:rsid w:val="34708926"/>
    <w:rsid w:val="3470D5CF"/>
    <w:rsid w:val="34722490"/>
    <w:rsid w:val="347227F8"/>
    <w:rsid w:val="3472ACF9"/>
    <w:rsid w:val="3473BCE3"/>
    <w:rsid w:val="347421BE"/>
    <w:rsid w:val="34745A46"/>
    <w:rsid w:val="3475B7C2"/>
    <w:rsid w:val="347679AD"/>
    <w:rsid w:val="3476CF08"/>
    <w:rsid w:val="34779925"/>
    <w:rsid w:val="3477A1E8"/>
    <w:rsid w:val="3477A5B6"/>
    <w:rsid w:val="347822EA"/>
    <w:rsid w:val="34797E14"/>
    <w:rsid w:val="347A761E"/>
    <w:rsid w:val="347AA28E"/>
    <w:rsid w:val="347AA80C"/>
    <w:rsid w:val="347AC894"/>
    <w:rsid w:val="347AF784"/>
    <w:rsid w:val="347B1CA5"/>
    <w:rsid w:val="347CB31A"/>
    <w:rsid w:val="347CD600"/>
    <w:rsid w:val="347D6A41"/>
    <w:rsid w:val="347DCC81"/>
    <w:rsid w:val="347E0169"/>
    <w:rsid w:val="347E3BDD"/>
    <w:rsid w:val="347E97E4"/>
    <w:rsid w:val="347EB8AB"/>
    <w:rsid w:val="347EE688"/>
    <w:rsid w:val="347F04E2"/>
    <w:rsid w:val="3480886A"/>
    <w:rsid w:val="34808E6D"/>
    <w:rsid w:val="3481C539"/>
    <w:rsid w:val="3481CE5E"/>
    <w:rsid w:val="3481F605"/>
    <w:rsid w:val="3482D5C6"/>
    <w:rsid w:val="348392D8"/>
    <w:rsid w:val="3483ED2A"/>
    <w:rsid w:val="34844522"/>
    <w:rsid w:val="34848770"/>
    <w:rsid w:val="3484A394"/>
    <w:rsid w:val="3484A3F6"/>
    <w:rsid w:val="3484AEB3"/>
    <w:rsid w:val="3484F090"/>
    <w:rsid w:val="348503E1"/>
    <w:rsid w:val="3485A152"/>
    <w:rsid w:val="3486BB4F"/>
    <w:rsid w:val="3486D859"/>
    <w:rsid w:val="34875072"/>
    <w:rsid w:val="3489CB02"/>
    <w:rsid w:val="348A6C79"/>
    <w:rsid w:val="348A9392"/>
    <w:rsid w:val="348B4250"/>
    <w:rsid w:val="348B54AF"/>
    <w:rsid w:val="348B838C"/>
    <w:rsid w:val="348C1A98"/>
    <w:rsid w:val="348D1E39"/>
    <w:rsid w:val="348D21FA"/>
    <w:rsid w:val="348DD6A9"/>
    <w:rsid w:val="348E4F86"/>
    <w:rsid w:val="348E9D37"/>
    <w:rsid w:val="348EBA7D"/>
    <w:rsid w:val="348F3B74"/>
    <w:rsid w:val="348F71C2"/>
    <w:rsid w:val="348FFA54"/>
    <w:rsid w:val="3492AE48"/>
    <w:rsid w:val="3492B8E2"/>
    <w:rsid w:val="3492FAF4"/>
    <w:rsid w:val="349347D0"/>
    <w:rsid w:val="3493B679"/>
    <w:rsid w:val="34943F36"/>
    <w:rsid w:val="3494B931"/>
    <w:rsid w:val="34956C5B"/>
    <w:rsid w:val="349726F4"/>
    <w:rsid w:val="349743FC"/>
    <w:rsid w:val="3497ADDD"/>
    <w:rsid w:val="3497D4F5"/>
    <w:rsid w:val="349835E9"/>
    <w:rsid w:val="3499240D"/>
    <w:rsid w:val="3499C8B0"/>
    <w:rsid w:val="349A10BB"/>
    <w:rsid w:val="349AB1C0"/>
    <w:rsid w:val="349AC642"/>
    <w:rsid w:val="349CA94F"/>
    <w:rsid w:val="349F4C74"/>
    <w:rsid w:val="349F583B"/>
    <w:rsid w:val="34A0B396"/>
    <w:rsid w:val="34A11335"/>
    <w:rsid w:val="34A2AB0D"/>
    <w:rsid w:val="34A3DF6B"/>
    <w:rsid w:val="34A433F7"/>
    <w:rsid w:val="34A550B1"/>
    <w:rsid w:val="34A5BDD5"/>
    <w:rsid w:val="34A6AF96"/>
    <w:rsid w:val="34A6E989"/>
    <w:rsid w:val="34A795FD"/>
    <w:rsid w:val="34A7D4DE"/>
    <w:rsid w:val="34A92B56"/>
    <w:rsid w:val="34A9974D"/>
    <w:rsid w:val="34A9DF1D"/>
    <w:rsid w:val="34AA817B"/>
    <w:rsid w:val="34AC7317"/>
    <w:rsid w:val="34ACAADC"/>
    <w:rsid w:val="34ACB5B3"/>
    <w:rsid w:val="34ACC468"/>
    <w:rsid w:val="34ACFF92"/>
    <w:rsid w:val="34AE682B"/>
    <w:rsid w:val="34AE74C8"/>
    <w:rsid w:val="34AEF04D"/>
    <w:rsid w:val="34AF6E9F"/>
    <w:rsid w:val="34B019C5"/>
    <w:rsid w:val="34B06180"/>
    <w:rsid w:val="34B07761"/>
    <w:rsid w:val="34B0A596"/>
    <w:rsid w:val="34B0E618"/>
    <w:rsid w:val="34B282C4"/>
    <w:rsid w:val="34B31AAB"/>
    <w:rsid w:val="34B3725D"/>
    <w:rsid w:val="34B3BB92"/>
    <w:rsid w:val="34B597C9"/>
    <w:rsid w:val="34B5AF9A"/>
    <w:rsid w:val="34B6A4FC"/>
    <w:rsid w:val="34B6B8E6"/>
    <w:rsid w:val="34B70E79"/>
    <w:rsid w:val="34B762D3"/>
    <w:rsid w:val="34B7B1D6"/>
    <w:rsid w:val="34B7EF62"/>
    <w:rsid w:val="34B888E7"/>
    <w:rsid w:val="34B88FFA"/>
    <w:rsid w:val="34B9BBC8"/>
    <w:rsid w:val="34BAD97D"/>
    <w:rsid w:val="34BAF769"/>
    <w:rsid w:val="34BBE2F8"/>
    <w:rsid w:val="34BC01CC"/>
    <w:rsid w:val="34BC1729"/>
    <w:rsid w:val="34BCB4BF"/>
    <w:rsid w:val="34BCCBEF"/>
    <w:rsid w:val="34BCEB20"/>
    <w:rsid w:val="34BCFFDD"/>
    <w:rsid w:val="34BDA1B2"/>
    <w:rsid w:val="34BF88F3"/>
    <w:rsid w:val="34C004AA"/>
    <w:rsid w:val="34C0E7F1"/>
    <w:rsid w:val="34C0ECB4"/>
    <w:rsid w:val="34C0EF68"/>
    <w:rsid w:val="34C10ED2"/>
    <w:rsid w:val="34C134DC"/>
    <w:rsid w:val="34C14554"/>
    <w:rsid w:val="34C2782A"/>
    <w:rsid w:val="34C27BA0"/>
    <w:rsid w:val="34C2E5C8"/>
    <w:rsid w:val="34C5BEC6"/>
    <w:rsid w:val="34C60C14"/>
    <w:rsid w:val="34C61F0E"/>
    <w:rsid w:val="34C62DB4"/>
    <w:rsid w:val="34C74CB7"/>
    <w:rsid w:val="34C78D8B"/>
    <w:rsid w:val="34C81F14"/>
    <w:rsid w:val="34C859B0"/>
    <w:rsid w:val="34C8A0DC"/>
    <w:rsid w:val="34CA35CF"/>
    <w:rsid w:val="34CA38AD"/>
    <w:rsid w:val="34CAB645"/>
    <w:rsid w:val="34CAFA2D"/>
    <w:rsid w:val="34CBF3E6"/>
    <w:rsid w:val="34CC1592"/>
    <w:rsid w:val="34CD0F5D"/>
    <w:rsid w:val="34CE7CA5"/>
    <w:rsid w:val="34CF10E7"/>
    <w:rsid w:val="34CF272D"/>
    <w:rsid w:val="34CF32A4"/>
    <w:rsid w:val="34CF5ED8"/>
    <w:rsid w:val="34D0D2A2"/>
    <w:rsid w:val="34D11F7B"/>
    <w:rsid w:val="34D24597"/>
    <w:rsid w:val="34D28023"/>
    <w:rsid w:val="34D36C5B"/>
    <w:rsid w:val="34D3856C"/>
    <w:rsid w:val="34D392CD"/>
    <w:rsid w:val="34D66258"/>
    <w:rsid w:val="34D6C953"/>
    <w:rsid w:val="34D70420"/>
    <w:rsid w:val="34D85B97"/>
    <w:rsid w:val="34DA5590"/>
    <w:rsid w:val="34DA8651"/>
    <w:rsid w:val="34DAA5FA"/>
    <w:rsid w:val="34DBF4DE"/>
    <w:rsid w:val="34DD2EF4"/>
    <w:rsid w:val="34DDE3C3"/>
    <w:rsid w:val="34DEA03C"/>
    <w:rsid w:val="34DF20D7"/>
    <w:rsid w:val="34DFBD5D"/>
    <w:rsid w:val="34DFC314"/>
    <w:rsid w:val="34E03F2A"/>
    <w:rsid w:val="34E0EA1F"/>
    <w:rsid w:val="34E10710"/>
    <w:rsid w:val="34E171DB"/>
    <w:rsid w:val="34E1A9E3"/>
    <w:rsid w:val="34E233D0"/>
    <w:rsid w:val="34E31B09"/>
    <w:rsid w:val="34E353AC"/>
    <w:rsid w:val="34E557FA"/>
    <w:rsid w:val="34E55F47"/>
    <w:rsid w:val="34E660B1"/>
    <w:rsid w:val="34E724E7"/>
    <w:rsid w:val="34E771AD"/>
    <w:rsid w:val="34E8B6DF"/>
    <w:rsid w:val="34E8F0AF"/>
    <w:rsid w:val="34E928E1"/>
    <w:rsid w:val="34E97DE7"/>
    <w:rsid w:val="34E9CC67"/>
    <w:rsid w:val="34EA5293"/>
    <w:rsid w:val="34EAAC61"/>
    <w:rsid w:val="34EBC840"/>
    <w:rsid w:val="34ED6609"/>
    <w:rsid w:val="34ED743A"/>
    <w:rsid w:val="34EDA93B"/>
    <w:rsid w:val="34EE3588"/>
    <w:rsid w:val="34EF9D68"/>
    <w:rsid w:val="34EFE826"/>
    <w:rsid w:val="34F02136"/>
    <w:rsid w:val="34F05714"/>
    <w:rsid w:val="34F17E1A"/>
    <w:rsid w:val="34F2E178"/>
    <w:rsid w:val="34F3C164"/>
    <w:rsid w:val="34F42506"/>
    <w:rsid w:val="34F57B1A"/>
    <w:rsid w:val="34F588AB"/>
    <w:rsid w:val="34F614ED"/>
    <w:rsid w:val="34F621ED"/>
    <w:rsid w:val="34F6CB86"/>
    <w:rsid w:val="34F7CD28"/>
    <w:rsid w:val="34F82575"/>
    <w:rsid w:val="34F92093"/>
    <w:rsid w:val="34F9C2CC"/>
    <w:rsid w:val="34F9DF91"/>
    <w:rsid w:val="34FA695C"/>
    <w:rsid w:val="34FA8B5C"/>
    <w:rsid w:val="34FB0978"/>
    <w:rsid w:val="34FB27D4"/>
    <w:rsid w:val="34FD40BC"/>
    <w:rsid w:val="34FDE4A4"/>
    <w:rsid w:val="34FDE9DD"/>
    <w:rsid w:val="34FE314A"/>
    <w:rsid w:val="34FE4F64"/>
    <w:rsid w:val="34FE6117"/>
    <w:rsid w:val="34FEDFB2"/>
    <w:rsid w:val="350026F6"/>
    <w:rsid w:val="3501A633"/>
    <w:rsid w:val="350209B1"/>
    <w:rsid w:val="350220E4"/>
    <w:rsid w:val="35024B4F"/>
    <w:rsid w:val="350293A2"/>
    <w:rsid w:val="3502F4D4"/>
    <w:rsid w:val="350300F9"/>
    <w:rsid w:val="35033579"/>
    <w:rsid w:val="350374B1"/>
    <w:rsid w:val="350473DD"/>
    <w:rsid w:val="350778C7"/>
    <w:rsid w:val="3507C945"/>
    <w:rsid w:val="3507E8CD"/>
    <w:rsid w:val="3508644C"/>
    <w:rsid w:val="3508E604"/>
    <w:rsid w:val="350A17B6"/>
    <w:rsid w:val="350A5234"/>
    <w:rsid w:val="350AF634"/>
    <w:rsid w:val="350BD398"/>
    <w:rsid w:val="350C0D37"/>
    <w:rsid w:val="350CF005"/>
    <w:rsid w:val="350D0E58"/>
    <w:rsid w:val="350D444B"/>
    <w:rsid w:val="350DB3DF"/>
    <w:rsid w:val="350E73DA"/>
    <w:rsid w:val="350EAAF3"/>
    <w:rsid w:val="350EAF0E"/>
    <w:rsid w:val="350ED8C6"/>
    <w:rsid w:val="350F19F4"/>
    <w:rsid w:val="350F67D2"/>
    <w:rsid w:val="350F9526"/>
    <w:rsid w:val="350FEF3C"/>
    <w:rsid w:val="35101CD4"/>
    <w:rsid w:val="3510410E"/>
    <w:rsid w:val="35117CC9"/>
    <w:rsid w:val="3511E291"/>
    <w:rsid w:val="351246D7"/>
    <w:rsid w:val="351271C1"/>
    <w:rsid w:val="3512E5C4"/>
    <w:rsid w:val="35138EE8"/>
    <w:rsid w:val="35139776"/>
    <w:rsid w:val="35146716"/>
    <w:rsid w:val="35152BB6"/>
    <w:rsid w:val="35154B7E"/>
    <w:rsid w:val="35157F9F"/>
    <w:rsid w:val="351593A7"/>
    <w:rsid w:val="35162E7B"/>
    <w:rsid w:val="3516400F"/>
    <w:rsid w:val="3516C1AD"/>
    <w:rsid w:val="35175FF2"/>
    <w:rsid w:val="351765C8"/>
    <w:rsid w:val="3517F906"/>
    <w:rsid w:val="351839F1"/>
    <w:rsid w:val="35199DC4"/>
    <w:rsid w:val="3519BEDD"/>
    <w:rsid w:val="351B84F2"/>
    <w:rsid w:val="351BBF01"/>
    <w:rsid w:val="351C0EE1"/>
    <w:rsid w:val="351C55EC"/>
    <w:rsid w:val="351C6F2E"/>
    <w:rsid w:val="351D0252"/>
    <w:rsid w:val="351D2EAE"/>
    <w:rsid w:val="351DBA2D"/>
    <w:rsid w:val="351E6582"/>
    <w:rsid w:val="351E7604"/>
    <w:rsid w:val="351EC792"/>
    <w:rsid w:val="351F75B4"/>
    <w:rsid w:val="351FB8B4"/>
    <w:rsid w:val="352202B4"/>
    <w:rsid w:val="35220F62"/>
    <w:rsid w:val="3522EA51"/>
    <w:rsid w:val="35234011"/>
    <w:rsid w:val="35245DD5"/>
    <w:rsid w:val="35247EC7"/>
    <w:rsid w:val="35261ED5"/>
    <w:rsid w:val="35273A67"/>
    <w:rsid w:val="352834BA"/>
    <w:rsid w:val="35288280"/>
    <w:rsid w:val="3528D666"/>
    <w:rsid w:val="35297027"/>
    <w:rsid w:val="352AFE44"/>
    <w:rsid w:val="352B0CD0"/>
    <w:rsid w:val="352B63D8"/>
    <w:rsid w:val="352B73A3"/>
    <w:rsid w:val="352B892D"/>
    <w:rsid w:val="352BB559"/>
    <w:rsid w:val="352BC9A4"/>
    <w:rsid w:val="352BE547"/>
    <w:rsid w:val="352C1507"/>
    <w:rsid w:val="352C2D77"/>
    <w:rsid w:val="352CA622"/>
    <w:rsid w:val="352CD83D"/>
    <w:rsid w:val="3530217E"/>
    <w:rsid w:val="3530AF02"/>
    <w:rsid w:val="3530B4D4"/>
    <w:rsid w:val="353135D5"/>
    <w:rsid w:val="353234D8"/>
    <w:rsid w:val="35327DA2"/>
    <w:rsid w:val="35329A69"/>
    <w:rsid w:val="3532B3BA"/>
    <w:rsid w:val="35337EA7"/>
    <w:rsid w:val="3533AA7A"/>
    <w:rsid w:val="35346B0E"/>
    <w:rsid w:val="35348293"/>
    <w:rsid w:val="353559FC"/>
    <w:rsid w:val="35355D04"/>
    <w:rsid w:val="35360CA6"/>
    <w:rsid w:val="35368B12"/>
    <w:rsid w:val="35372C36"/>
    <w:rsid w:val="35375E39"/>
    <w:rsid w:val="3537912A"/>
    <w:rsid w:val="353851EC"/>
    <w:rsid w:val="353868BD"/>
    <w:rsid w:val="35386AC0"/>
    <w:rsid w:val="3538BF54"/>
    <w:rsid w:val="3538ECA3"/>
    <w:rsid w:val="35395C6A"/>
    <w:rsid w:val="3539A3EE"/>
    <w:rsid w:val="353A684A"/>
    <w:rsid w:val="353AD4D1"/>
    <w:rsid w:val="353AF660"/>
    <w:rsid w:val="353B3836"/>
    <w:rsid w:val="353BC982"/>
    <w:rsid w:val="353C103B"/>
    <w:rsid w:val="353D3DA5"/>
    <w:rsid w:val="353DD715"/>
    <w:rsid w:val="353DF605"/>
    <w:rsid w:val="353E412B"/>
    <w:rsid w:val="353EF77B"/>
    <w:rsid w:val="353FCA85"/>
    <w:rsid w:val="3541BB9C"/>
    <w:rsid w:val="354293A3"/>
    <w:rsid w:val="3542DCD7"/>
    <w:rsid w:val="3542EA5C"/>
    <w:rsid w:val="3542FB07"/>
    <w:rsid w:val="354320C4"/>
    <w:rsid w:val="3543238A"/>
    <w:rsid w:val="354396F0"/>
    <w:rsid w:val="354415BA"/>
    <w:rsid w:val="35441D62"/>
    <w:rsid w:val="3544798A"/>
    <w:rsid w:val="3545E8FF"/>
    <w:rsid w:val="354668FE"/>
    <w:rsid w:val="35467F38"/>
    <w:rsid w:val="3546D65E"/>
    <w:rsid w:val="35477C12"/>
    <w:rsid w:val="3549472B"/>
    <w:rsid w:val="354A423B"/>
    <w:rsid w:val="354B48F2"/>
    <w:rsid w:val="354C4513"/>
    <w:rsid w:val="354D4D82"/>
    <w:rsid w:val="354DAF27"/>
    <w:rsid w:val="354E1FFB"/>
    <w:rsid w:val="354E6E46"/>
    <w:rsid w:val="354E758E"/>
    <w:rsid w:val="354F9546"/>
    <w:rsid w:val="354FB662"/>
    <w:rsid w:val="354FD1F5"/>
    <w:rsid w:val="354FF8BE"/>
    <w:rsid w:val="35501CAB"/>
    <w:rsid w:val="3550C8A1"/>
    <w:rsid w:val="3550E61A"/>
    <w:rsid w:val="3551BB26"/>
    <w:rsid w:val="3551D03A"/>
    <w:rsid w:val="3552283E"/>
    <w:rsid w:val="3553BE75"/>
    <w:rsid w:val="3553C614"/>
    <w:rsid w:val="35542712"/>
    <w:rsid w:val="3555F1D1"/>
    <w:rsid w:val="3556526C"/>
    <w:rsid w:val="35568D79"/>
    <w:rsid w:val="3558AD35"/>
    <w:rsid w:val="35597DC8"/>
    <w:rsid w:val="35597FFE"/>
    <w:rsid w:val="3559F2A1"/>
    <w:rsid w:val="355A0DE6"/>
    <w:rsid w:val="355A3CDB"/>
    <w:rsid w:val="355A79A5"/>
    <w:rsid w:val="355AD884"/>
    <w:rsid w:val="355B1187"/>
    <w:rsid w:val="355B18A0"/>
    <w:rsid w:val="355CDF36"/>
    <w:rsid w:val="355CF264"/>
    <w:rsid w:val="355D08E2"/>
    <w:rsid w:val="355DDC75"/>
    <w:rsid w:val="355E04CB"/>
    <w:rsid w:val="355F1D17"/>
    <w:rsid w:val="355F44FD"/>
    <w:rsid w:val="355F6F6B"/>
    <w:rsid w:val="355FDA58"/>
    <w:rsid w:val="355FE1D2"/>
    <w:rsid w:val="35603E06"/>
    <w:rsid w:val="3560B09D"/>
    <w:rsid w:val="3560F32F"/>
    <w:rsid w:val="35612AF2"/>
    <w:rsid w:val="35614014"/>
    <w:rsid w:val="356194EC"/>
    <w:rsid w:val="3562F2B8"/>
    <w:rsid w:val="356334E6"/>
    <w:rsid w:val="3563AD1B"/>
    <w:rsid w:val="3563F137"/>
    <w:rsid w:val="3564A401"/>
    <w:rsid w:val="35652473"/>
    <w:rsid w:val="35660DD4"/>
    <w:rsid w:val="3566A245"/>
    <w:rsid w:val="3566F570"/>
    <w:rsid w:val="3567EFCD"/>
    <w:rsid w:val="356834BB"/>
    <w:rsid w:val="35698223"/>
    <w:rsid w:val="3569C360"/>
    <w:rsid w:val="356A14AC"/>
    <w:rsid w:val="356A21A8"/>
    <w:rsid w:val="356A8608"/>
    <w:rsid w:val="356B4257"/>
    <w:rsid w:val="356B9534"/>
    <w:rsid w:val="356C18B0"/>
    <w:rsid w:val="356C3FC5"/>
    <w:rsid w:val="356C42B4"/>
    <w:rsid w:val="356C58B2"/>
    <w:rsid w:val="356E4200"/>
    <w:rsid w:val="356EB581"/>
    <w:rsid w:val="356F7750"/>
    <w:rsid w:val="356FD3E5"/>
    <w:rsid w:val="356FF834"/>
    <w:rsid w:val="35707852"/>
    <w:rsid w:val="35721AA4"/>
    <w:rsid w:val="357224F5"/>
    <w:rsid w:val="3572A30D"/>
    <w:rsid w:val="35739D5C"/>
    <w:rsid w:val="3573C3E1"/>
    <w:rsid w:val="35743191"/>
    <w:rsid w:val="35745E28"/>
    <w:rsid w:val="35752AA4"/>
    <w:rsid w:val="357588DB"/>
    <w:rsid w:val="3575A57D"/>
    <w:rsid w:val="357626C0"/>
    <w:rsid w:val="3576355D"/>
    <w:rsid w:val="3576A844"/>
    <w:rsid w:val="35773BFF"/>
    <w:rsid w:val="3577BA9B"/>
    <w:rsid w:val="3577CA00"/>
    <w:rsid w:val="35781D72"/>
    <w:rsid w:val="3578E1BE"/>
    <w:rsid w:val="35796B62"/>
    <w:rsid w:val="357A2568"/>
    <w:rsid w:val="357BB3FC"/>
    <w:rsid w:val="357D05C3"/>
    <w:rsid w:val="357D449A"/>
    <w:rsid w:val="357DB83A"/>
    <w:rsid w:val="357DE848"/>
    <w:rsid w:val="357ED4B5"/>
    <w:rsid w:val="357ED603"/>
    <w:rsid w:val="35800233"/>
    <w:rsid w:val="358036D9"/>
    <w:rsid w:val="358084DD"/>
    <w:rsid w:val="3580E4A1"/>
    <w:rsid w:val="3580E98E"/>
    <w:rsid w:val="3581107E"/>
    <w:rsid w:val="358171ED"/>
    <w:rsid w:val="3581BDB0"/>
    <w:rsid w:val="3581F468"/>
    <w:rsid w:val="3582DA78"/>
    <w:rsid w:val="35843AD9"/>
    <w:rsid w:val="358454D8"/>
    <w:rsid w:val="358569FD"/>
    <w:rsid w:val="35861102"/>
    <w:rsid w:val="35868D42"/>
    <w:rsid w:val="3588308D"/>
    <w:rsid w:val="3588B64F"/>
    <w:rsid w:val="3588E16C"/>
    <w:rsid w:val="3588EB86"/>
    <w:rsid w:val="3589C515"/>
    <w:rsid w:val="3589CBD0"/>
    <w:rsid w:val="358A47E3"/>
    <w:rsid w:val="358A8960"/>
    <w:rsid w:val="358AC9F6"/>
    <w:rsid w:val="358ADB32"/>
    <w:rsid w:val="358B0254"/>
    <w:rsid w:val="358B0AAF"/>
    <w:rsid w:val="358C3185"/>
    <w:rsid w:val="358D7C43"/>
    <w:rsid w:val="358DC14A"/>
    <w:rsid w:val="358DD301"/>
    <w:rsid w:val="358E3AE5"/>
    <w:rsid w:val="358EBC56"/>
    <w:rsid w:val="358FBBE2"/>
    <w:rsid w:val="3590404A"/>
    <w:rsid w:val="3590CFC0"/>
    <w:rsid w:val="359135DB"/>
    <w:rsid w:val="3591A6BD"/>
    <w:rsid w:val="3591BEEC"/>
    <w:rsid w:val="35925567"/>
    <w:rsid w:val="35926ECC"/>
    <w:rsid w:val="3592F8BB"/>
    <w:rsid w:val="3592FCD4"/>
    <w:rsid w:val="359326B5"/>
    <w:rsid w:val="35934B9A"/>
    <w:rsid w:val="3593A851"/>
    <w:rsid w:val="3593DA2E"/>
    <w:rsid w:val="359427FD"/>
    <w:rsid w:val="35947937"/>
    <w:rsid w:val="3594E6CC"/>
    <w:rsid w:val="3594E7E5"/>
    <w:rsid w:val="359546AD"/>
    <w:rsid w:val="3595F62A"/>
    <w:rsid w:val="35965BB4"/>
    <w:rsid w:val="3596B748"/>
    <w:rsid w:val="359719AE"/>
    <w:rsid w:val="3597ABBD"/>
    <w:rsid w:val="35985C7E"/>
    <w:rsid w:val="3598644B"/>
    <w:rsid w:val="35986C05"/>
    <w:rsid w:val="35992748"/>
    <w:rsid w:val="35992793"/>
    <w:rsid w:val="35998DD2"/>
    <w:rsid w:val="35998F2A"/>
    <w:rsid w:val="3599B726"/>
    <w:rsid w:val="359A2F0D"/>
    <w:rsid w:val="359ABBD5"/>
    <w:rsid w:val="359AC482"/>
    <w:rsid w:val="359B1979"/>
    <w:rsid w:val="359B4E6B"/>
    <w:rsid w:val="359C0D64"/>
    <w:rsid w:val="359CD12D"/>
    <w:rsid w:val="359DAC77"/>
    <w:rsid w:val="359F3831"/>
    <w:rsid w:val="359F680D"/>
    <w:rsid w:val="359FF69A"/>
    <w:rsid w:val="35A06AD8"/>
    <w:rsid w:val="35A0BA63"/>
    <w:rsid w:val="35A0BED6"/>
    <w:rsid w:val="35A1B863"/>
    <w:rsid w:val="35A26CEE"/>
    <w:rsid w:val="35A289F8"/>
    <w:rsid w:val="35A2EF5A"/>
    <w:rsid w:val="35A37794"/>
    <w:rsid w:val="35A39C03"/>
    <w:rsid w:val="35A42A27"/>
    <w:rsid w:val="35A59401"/>
    <w:rsid w:val="35A6900D"/>
    <w:rsid w:val="35A7219F"/>
    <w:rsid w:val="35A7FC67"/>
    <w:rsid w:val="35A8E443"/>
    <w:rsid w:val="35A908FC"/>
    <w:rsid w:val="35A97503"/>
    <w:rsid w:val="35A9E3DC"/>
    <w:rsid w:val="35A9F12E"/>
    <w:rsid w:val="35AA946B"/>
    <w:rsid w:val="35AB8688"/>
    <w:rsid w:val="35AB916E"/>
    <w:rsid w:val="35ABC36C"/>
    <w:rsid w:val="35AC988C"/>
    <w:rsid w:val="35ACC1C8"/>
    <w:rsid w:val="35ACF97D"/>
    <w:rsid w:val="35AD95BD"/>
    <w:rsid w:val="35ADAB75"/>
    <w:rsid w:val="35ADE2C6"/>
    <w:rsid w:val="35ADFD80"/>
    <w:rsid w:val="35AE1966"/>
    <w:rsid w:val="35AE288A"/>
    <w:rsid w:val="35B09C6D"/>
    <w:rsid w:val="35B0A34B"/>
    <w:rsid w:val="35B1367F"/>
    <w:rsid w:val="35B185BB"/>
    <w:rsid w:val="35B1E0A8"/>
    <w:rsid w:val="35B26FAE"/>
    <w:rsid w:val="35B292A7"/>
    <w:rsid w:val="35B39C7F"/>
    <w:rsid w:val="35B3C432"/>
    <w:rsid w:val="35B41086"/>
    <w:rsid w:val="35B43D1F"/>
    <w:rsid w:val="35B4424A"/>
    <w:rsid w:val="35B449FA"/>
    <w:rsid w:val="35B47A3F"/>
    <w:rsid w:val="35B49027"/>
    <w:rsid w:val="35B5F22B"/>
    <w:rsid w:val="35B79123"/>
    <w:rsid w:val="35B7F9C7"/>
    <w:rsid w:val="35B8D235"/>
    <w:rsid w:val="35B8DB6F"/>
    <w:rsid w:val="35B929A0"/>
    <w:rsid w:val="35B997CA"/>
    <w:rsid w:val="35B9A56A"/>
    <w:rsid w:val="35BAB014"/>
    <w:rsid w:val="35BABE12"/>
    <w:rsid w:val="35BC4CC6"/>
    <w:rsid w:val="35BC5B2D"/>
    <w:rsid w:val="35BCBE6F"/>
    <w:rsid w:val="35BCF414"/>
    <w:rsid w:val="35BD6F05"/>
    <w:rsid w:val="35BD951A"/>
    <w:rsid w:val="35BDFB41"/>
    <w:rsid w:val="35BE151C"/>
    <w:rsid w:val="35BFB504"/>
    <w:rsid w:val="35C1A858"/>
    <w:rsid w:val="35C23051"/>
    <w:rsid w:val="35C26781"/>
    <w:rsid w:val="35C2A4E0"/>
    <w:rsid w:val="35C33F31"/>
    <w:rsid w:val="35C3864C"/>
    <w:rsid w:val="35C57D77"/>
    <w:rsid w:val="35C5BADF"/>
    <w:rsid w:val="35C623B6"/>
    <w:rsid w:val="35C62853"/>
    <w:rsid w:val="35C632B0"/>
    <w:rsid w:val="35C685AF"/>
    <w:rsid w:val="35C6950A"/>
    <w:rsid w:val="35C8D222"/>
    <w:rsid w:val="35C8E1FC"/>
    <w:rsid w:val="35C90BF3"/>
    <w:rsid w:val="35C9863C"/>
    <w:rsid w:val="35CA472E"/>
    <w:rsid w:val="35CADAD1"/>
    <w:rsid w:val="35CC5248"/>
    <w:rsid w:val="35CDA343"/>
    <w:rsid w:val="35CDF1D9"/>
    <w:rsid w:val="35CE262F"/>
    <w:rsid w:val="35CE74C9"/>
    <w:rsid w:val="35CFBC75"/>
    <w:rsid w:val="35CFD080"/>
    <w:rsid w:val="35D0E2C8"/>
    <w:rsid w:val="35D1F663"/>
    <w:rsid w:val="35D23B13"/>
    <w:rsid w:val="35D28A06"/>
    <w:rsid w:val="35D36DAF"/>
    <w:rsid w:val="35D3E872"/>
    <w:rsid w:val="35D401DE"/>
    <w:rsid w:val="35D5265E"/>
    <w:rsid w:val="35D56282"/>
    <w:rsid w:val="35D5FE0A"/>
    <w:rsid w:val="35D71E54"/>
    <w:rsid w:val="35D78F18"/>
    <w:rsid w:val="35D790E9"/>
    <w:rsid w:val="35D90EE8"/>
    <w:rsid w:val="35D93DC0"/>
    <w:rsid w:val="35D99508"/>
    <w:rsid w:val="35D9B439"/>
    <w:rsid w:val="35D9CDEC"/>
    <w:rsid w:val="35DA7B75"/>
    <w:rsid w:val="35DC17CF"/>
    <w:rsid w:val="35DC6BD7"/>
    <w:rsid w:val="35DC9DCD"/>
    <w:rsid w:val="35DD2272"/>
    <w:rsid w:val="35DE6C58"/>
    <w:rsid w:val="35DE82DE"/>
    <w:rsid w:val="35DF5D01"/>
    <w:rsid w:val="35DF6780"/>
    <w:rsid w:val="35DFC55C"/>
    <w:rsid w:val="35DFC991"/>
    <w:rsid w:val="35E000E5"/>
    <w:rsid w:val="35E040C4"/>
    <w:rsid w:val="35E0781B"/>
    <w:rsid w:val="35E08338"/>
    <w:rsid w:val="35E0ADE5"/>
    <w:rsid w:val="35E0FEC7"/>
    <w:rsid w:val="35E10BAB"/>
    <w:rsid w:val="35E11786"/>
    <w:rsid w:val="35E1179C"/>
    <w:rsid w:val="35E12470"/>
    <w:rsid w:val="35E23A1E"/>
    <w:rsid w:val="35E282AF"/>
    <w:rsid w:val="35E32E0B"/>
    <w:rsid w:val="35E3C666"/>
    <w:rsid w:val="35E47FE7"/>
    <w:rsid w:val="35E5DC57"/>
    <w:rsid w:val="35E62CF7"/>
    <w:rsid w:val="35E72600"/>
    <w:rsid w:val="35E76889"/>
    <w:rsid w:val="35E7DEF7"/>
    <w:rsid w:val="35E87D4F"/>
    <w:rsid w:val="35E8DCF6"/>
    <w:rsid w:val="35E941EC"/>
    <w:rsid w:val="35E9DD6E"/>
    <w:rsid w:val="35EA25F0"/>
    <w:rsid w:val="35EA3F90"/>
    <w:rsid w:val="35EBAD57"/>
    <w:rsid w:val="35EBE3E4"/>
    <w:rsid w:val="35EBF09A"/>
    <w:rsid w:val="35EC193A"/>
    <w:rsid w:val="35EC3BED"/>
    <w:rsid w:val="35EE0826"/>
    <w:rsid w:val="35EF08F3"/>
    <w:rsid w:val="35F0A11E"/>
    <w:rsid w:val="35F0DD99"/>
    <w:rsid w:val="35F1ECE7"/>
    <w:rsid w:val="35F26D74"/>
    <w:rsid w:val="35F2EB01"/>
    <w:rsid w:val="35F3588C"/>
    <w:rsid w:val="35F49D37"/>
    <w:rsid w:val="35F4B9D3"/>
    <w:rsid w:val="35F4C00E"/>
    <w:rsid w:val="35F4E87C"/>
    <w:rsid w:val="35F50860"/>
    <w:rsid w:val="35F62E16"/>
    <w:rsid w:val="35F66E30"/>
    <w:rsid w:val="35F7C248"/>
    <w:rsid w:val="35F7F6D0"/>
    <w:rsid w:val="35F85B84"/>
    <w:rsid w:val="35F86A5E"/>
    <w:rsid w:val="35F8A684"/>
    <w:rsid w:val="35FA319E"/>
    <w:rsid w:val="35FA6EF1"/>
    <w:rsid w:val="35FA9D38"/>
    <w:rsid w:val="35FB1FB5"/>
    <w:rsid w:val="35FB2B3F"/>
    <w:rsid w:val="35FC21A4"/>
    <w:rsid w:val="35FC6394"/>
    <w:rsid w:val="35FCAEBA"/>
    <w:rsid w:val="35FCB2F7"/>
    <w:rsid w:val="35FD0D29"/>
    <w:rsid w:val="35FD80CB"/>
    <w:rsid w:val="35FDC0D4"/>
    <w:rsid w:val="35FF3179"/>
    <w:rsid w:val="35FF31D7"/>
    <w:rsid w:val="35FF4ED3"/>
    <w:rsid w:val="36003A99"/>
    <w:rsid w:val="36008F6A"/>
    <w:rsid w:val="3600FAB6"/>
    <w:rsid w:val="3600FF21"/>
    <w:rsid w:val="36010123"/>
    <w:rsid w:val="36017F0F"/>
    <w:rsid w:val="36023B42"/>
    <w:rsid w:val="36028E3B"/>
    <w:rsid w:val="3602C1F3"/>
    <w:rsid w:val="3602E6A3"/>
    <w:rsid w:val="360350A6"/>
    <w:rsid w:val="36040C88"/>
    <w:rsid w:val="360459D7"/>
    <w:rsid w:val="36048DBF"/>
    <w:rsid w:val="36056AD6"/>
    <w:rsid w:val="3605A8BB"/>
    <w:rsid w:val="3606D24E"/>
    <w:rsid w:val="3607170C"/>
    <w:rsid w:val="3607A9F7"/>
    <w:rsid w:val="3607FFB6"/>
    <w:rsid w:val="360865ED"/>
    <w:rsid w:val="3608F77D"/>
    <w:rsid w:val="3609299B"/>
    <w:rsid w:val="36094127"/>
    <w:rsid w:val="36096E1C"/>
    <w:rsid w:val="3609867B"/>
    <w:rsid w:val="3609A0B3"/>
    <w:rsid w:val="3609BFCE"/>
    <w:rsid w:val="3609D944"/>
    <w:rsid w:val="360A8617"/>
    <w:rsid w:val="360A9B91"/>
    <w:rsid w:val="360B262A"/>
    <w:rsid w:val="360B4490"/>
    <w:rsid w:val="360B7B9C"/>
    <w:rsid w:val="360BE801"/>
    <w:rsid w:val="360C2CD2"/>
    <w:rsid w:val="360C8B41"/>
    <w:rsid w:val="360D7C8E"/>
    <w:rsid w:val="360D864E"/>
    <w:rsid w:val="360E5E70"/>
    <w:rsid w:val="360EC7F8"/>
    <w:rsid w:val="36107AB0"/>
    <w:rsid w:val="3610AA99"/>
    <w:rsid w:val="361124D1"/>
    <w:rsid w:val="36135926"/>
    <w:rsid w:val="3613A85F"/>
    <w:rsid w:val="3613EE17"/>
    <w:rsid w:val="361442F1"/>
    <w:rsid w:val="3614815B"/>
    <w:rsid w:val="36169916"/>
    <w:rsid w:val="3616EF8C"/>
    <w:rsid w:val="36178E79"/>
    <w:rsid w:val="3617F3C2"/>
    <w:rsid w:val="3618169D"/>
    <w:rsid w:val="3618B0DB"/>
    <w:rsid w:val="3618C8ED"/>
    <w:rsid w:val="36197988"/>
    <w:rsid w:val="361B9CDB"/>
    <w:rsid w:val="361BA177"/>
    <w:rsid w:val="361BF597"/>
    <w:rsid w:val="361C0C34"/>
    <w:rsid w:val="361C4E06"/>
    <w:rsid w:val="361CA149"/>
    <w:rsid w:val="361E86C6"/>
    <w:rsid w:val="361EB8BB"/>
    <w:rsid w:val="361FAB60"/>
    <w:rsid w:val="361FEC13"/>
    <w:rsid w:val="36204D99"/>
    <w:rsid w:val="362088A5"/>
    <w:rsid w:val="3620DF83"/>
    <w:rsid w:val="36217971"/>
    <w:rsid w:val="362356B4"/>
    <w:rsid w:val="3623B9B2"/>
    <w:rsid w:val="3624644C"/>
    <w:rsid w:val="3624A70B"/>
    <w:rsid w:val="362531A3"/>
    <w:rsid w:val="3625C7BE"/>
    <w:rsid w:val="362612D0"/>
    <w:rsid w:val="36266062"/>
    <w:rsid w:val="3626E167"/>
    <w:rsid w:val="36270817"/>
    <w:rsid w:val="36279722"/>
    <w:rsid w:val="36289042"/>
    <w:rsid w:val="3628AFBF"/>
    <w:rsid w:val="3628D03A"/>
    <w:rsid w:val="3628D5A9"/>
    <w:rsid w:val="36290633"/>
    <w:rsid w:val="36295D84"/>
    <w:rsid w:val="362A6E4F"/>
    <w:rsid w:val="362A7774"/>
    <w:rsid w:val="362A8FAB"/>
    <w:rsid w:val="362B1AF9"/>
    <w:rsid w:val="362B71CF"/>
    <w:rsid w:val="362BDBBB"/>
    <w:rsid w:val="362D992F"/>
    <w:rsid w:val="362DE5BE"/>
    <w:rsid w:val="362DF2CF"/>
    <w:rsid w:val="362E45F2"/>
    <w:rsid w:val="362E5C0E"/>
    <w:rsid w:val="362E83BB"/>
    <w:rsid w:val="362FA687"/>
    <w:rsid w:val="36300D8C"/>
    <w:rsid w:val="36302AC7"/>
    <w:rsid w:val="3630CB74"/>
    <w:rsid w:val="36327E09"/>
    <w:rsid w:val="3633378F"/>
    <w:rsid w:val="3634C487"/>
    <w:rsid w:val="3634EEE5"/>
    <w:rsid w:val="363632DB"/>
    <w:rsid w:val="36364107"/>
    <w:rsid w:val="363772F2"/>
    <w:rsid w:val="3637E225"/>
    <w:rsid w:val="3637EF07"/>
    <w:rsid w:val="3637FE08"/>
    <w:rsid w:val="36380AF3"/>
    <w:rsid w:val="36381393"/>
    <w:rsid w:val="36381D98"/>
    <w:rsid w:val="36386343"/>
    <w:rsid w:val="36399EF1"/>
    <w:rsid w:val="3639E03E"/>
    <w:rsid w:val="363A60CA"/>
    <w:rsid w:val="363AA263"/>
    <w:rsid w:val="363ACC3F"/>
    <w:rsid w:val="363B5D81"/>
    <w:rsid w:val="363BF1B6"/>
    <w:rsid w:val="363C2A17"/>
    <w:rsid w:val="363C2D5F"/>
    <w:rsid w:val="363C3717"/>
    <w:rsid w:val="363CE748"/>
    <w:rsid w:val="363D0227"/>
    <w:rsid w:val="363D29BB"/>
    <w:rsid w:val="363D4CA0"/>
    <w:rsid w:val="363D7875"/>
    <w:rsid w:val="363EA1D2"/>
    <w:rsid w:val="363EDB90"/>
    <w:rsid w:val="363F95FE"/>
    <w:rsid w:val="364092ED"/>
    <w:rsid w:val="3640A21C"/>
    <w:rsid w:val="3640C35C"/>
    <w:rsid w:val="3640EAB8"/>
    <w:rsid w:val="36416365"/>
    <w:rsid w:val="364194AA"/>
    <w:rsid w:val="3641D1D4"/>
    <w:rsid w:val="3641D24B"/>
    <w:rsid w:val="36423398"/>
    <w:rsid w:val="364259A2"/>
    <w:rsid w:val="3642619C"/>
    <w:rsid w:val="36439E53"/>
    <w:rsid w:val="3643A60F"/>
    <w:rsid w:val="364421F6"/>
    <w:rsid w:val="364488E8"/>
    <w:rsid w:val="3644F211"/>
    <w:rsid w:val="3645AC84"/>
    <w:rsid w:val="3646F599"/>
    <w:rsid w:val="36471DAA"/>
    <w:rsid w:val="36472A5F"/>
    <w:rsid w:val="3647CF55"/>
    <w:rsid w:val="36499AFC"/>
    <w:rsid w:val="3649A2F7"/>
    <w:rsid w:val="364A7B92"/>
    <w:rsid w:val="364A8211"/>
    <w:rsid w:val="364B427C"/>
    <w:rsid w:val="364C14D2"/>
    <w:rsid w:val="364C4403"/>
    <w:rsid w:val="364D2A36"/>
    <w:rsid w:val="364E2F26"/>
    <w:rsid w:val="364F1F4F"/>
    <w:rsid w:val="364F3FEA"/>
    <w:rsid w:val="364FECF8"/>
    <w:rsid w:val="36502DBF"/>
    <w:rsid w:val="36506615"/>
    <w:rsid w:val="3650831B"/>
    <w:rsid w:val="365095F6"/>
    <w:rsid w:val="3650C607"/>
    <w:rsid w:val="36515394"/>
    <w:rsid w:val="3651906B"/>
    <w:rsid w:val="3651A7FC"/>
    <w:rsid w:val="3651ABCB"/>
    <w:rsid w:val="3652461B"/>
    <w:rsid w:val="3652719C"/>
    <w:rsid w:val="3652DE31"/>
    <w:rsid w:val="3653A419"/>
    <w:rsid w:val="3653FD63"/>
    <w:rsid w:val="365416FC"/>
    <w:rsid w:val="36544B3A"/>
    <w:rsid w:val="365478CA"/>
    <w:rsid w:val="365517BA"/>
    <w:rsid w:val="3655406B"/>
    <w:rsid w:val="365556D6"/>
    <w:rsid w:val="3655FFC8"/>
    <w:rsid w:val="36567A1A"/>
    <w:rsid w:val="3656E45C"/>
    <w:rsid w:val="3657547A"/>
    <w:rsid w:val="3657FACB"/>
    <w:rsid w:val="3657FCF8"/>
    <w:rsid w:val="36593ABF"/>
    <w:rsid w:val="36594018"/>
    <w:rsid w:val="3659423B"/>
    <w:rsid w:val="365ABA38"/>
    <w:rsid w:val="365BDE2C"/>
    <w:rsid w:val="365BFCB5"/>
    <w:rsid w:val="365CDA16"/>
    <w:rsid w:val="365D2DC8"/>
    <w:rsid w:val="365DCEDC"/>
    <w:rsid w:val="365F4398"/>
    <w:rsid w:val="36605906"/>
    <w:rsid w:val="3660C7A8"/>
    <w:rsid w:val="3660E2CE"/>
    <w:rsid w:val="3661A5B9"/>
    <w:rsid w:val="3661A87F"/>
    <w:rsid w:val="36623187"/>
    <w:rsid w:val="366236FA"/>
    <w:rsid w:val="36623FFE"/>
    <w:rsid w:val="36628065"/>
    <w:rsid w:val="3662A3AF"/>
    <w:rsid w:val="3662F34E"/>
    <w:rsid w:val="366332B6"/>
    <w:rsid w:val="366364E5"/>
    <w:rsid w:val="36638458"/>
    <w:rsid w:val="36648A15"/>
    <w:rsid w:val="3664C65C"/>
    <w:rsid w:val="3665A3D1"/>
    <w:rsid w:val="366624B5"/>
    <w:rsid w:val="36666527"/>
    <w:rsid w:val="3666C03E"/>
    <w:rsid w:val="3667322B"/>
    <w:rsid w:val="3667628B"/>
    <w:rsid w:val="3667CA0C"/>
    <w:rsid w:val="36688CB9"/>
    <w:rsid w:val="3668D7B7"/>
    <w:rsid w:val="3668E503"/>
    <w:rsid w:val="3668F3D2"/>
    <w:rsid w:val="36693C11"/>
    <w:rsid w:val="36698584"/>
    <w:rsid w:val="3669AA05"/>
    <w:rsid w:val="366A3A4B"/>
    <w:rsid w:val="366A3BF2"/>
    <w:rsid w:val="366AE141"/>
    <w:rsid w:val="366AF05A"/>
    <w:rsid w:val="366B3909"/>
    <w:rsid w:val="366B613F"/>
    <w:rsid w:val="366C3C5A"/>
    <w:rsid w:val="366C8B2F"/>
    <w:rsid w:val="366DF519"/>
    <w:rsid w:val="366EEC20"/>
    <w:rsid w:val="366F06CF"/>
    <w:rsid w:val="366F7BC0"/>
    <w:rsid w:val="366FC64D"/>
    <w:rsid w:val="367035AF"/>
    <w:rsid w:val="36706587"/>
    <w:rsid w:val="3671064E"/>
    <w:rsid w:val="367129C6"/>
    <w:rsid w:val="3672226B"/>
    <w:rsid w:val="367270D3"/>
    <w:rsid w:val="3672D7AF"/>
    <w:rsid w:val="3673E619"/>
    <w:rsid w:val="36744EDE"/>
    <w:rsid w:val="3674675F"/>
    <w:rsid w:val="36747F9F"/>
    <w:rsid w:val="3674B85F"/>
    <w:rsid w:val="36757EB1"/>
    <w:rsid w:val="3675A6A3"/>
    <w:rsid w:val="3675CE08"/>
    <w:rsid w:val="3675FA44"/>
    <w:rsid w:val="36763DFE"/>
    <w:rsid w:val="3676F582"/>
    <w:rsid w:val="36779F67"/>
    <w:rsid w:val="3679938C"/>
    <w:rsid w:val="367ADBF4"/>
    <w:rsid w:val="367B2920"/>
    <w:rsid w:val="367BC245"/>
    <w:rsid w:val="367C465B"/>
    <w:rsid w:val="367CB488"/>
    <w:rsid w:val="367D2BC9"/>
    <w:rsid w:val="367D31A2"/>
    <w:rsid w:val="367DF915"/>
    <w:rsid w:val="367F16A5"/>
    <w:rsid w:val="367F60B8"/>
    <w:rsid w:val="36818F89"/>
    <w:rsid w:val="3681C33C"/>
    <w:rsid w:val="3681F395"/>
    <w:rsid w:val="36824660"/>
    <w:rsid w:val="36825D79"/>
    <w:rsid w:val="36832808"/>
    <w:rsid w:val="3684564A"/>
    <w:rsid w:val="3684611F"/>
    <w:rsid w:val="36846AA7"/>
    <w:rsid w:val="3684F271"/>
    <w:rsid w:val="36853507"/>
    <w:rsid w:val="3686322B"/>
    <w:rsid w:val="36879361"/>
    <w:rsid w:val="3688330A"/>
    <w:rsid w:val="3689B4C3"/>
    <w:rsid w:val="368A279D"/>
    <w:rsid w:val="368AEB39"/>
    <w:rsid w:val="368B78EA"/>
    <w:rsid w:val="368BB618"/>
    <w:rsid w:val="368C4B68"/>
    <w:rsid w:val="368D0A08"/>
    <w:rsid w:val="368D6159"/>
    <w:rsid w:val="368D86E9"/>
    <w:rsid w:val="368FA843"/>
    <w:rsid w:val="368FD419"/>
    <w:rsid w:val="369024A6"/>
    <w:rsid w:val="3690F764"/>
    <w:rsid w:val="36913BC2"/>
    <w:rsid w:val="3691494B"/>
    <w:rsid w:val="36914BCD"/>
    <w:rsid w:val="36916630"/>
    <w:rsid w:val="3692D006"/>
    <w:rsid w:val="3692F3D9"/>
    <w:rsid w:val="36930EF2"/>
    <w:rsid w:val="36941847"/>
    <w:rsid w:val="36941927"/>
    <w:rsid w:val="36948658"/>
    <w:rsid w:val="3694B764"/>
    <w:rsid w:val="3694B9D3"/>
    <w:rsid w:val="3694E3EB"/>
    <w:rsid w:val="3694E6B2"/>
    <w:rsid w:val="36953212"/>
    <w:rsid w:val="369574CA"/>
    <w:rsid w:val="36958BF9"/>
    <w:rsid w:val="3695BD90"/>
    <w:rsid w:val="36960887"/>
    <w:rsid w:val="36961C1A"/>
    <w:rsid w:val="3696FCED"/>
    <w:rsid w:val="369701AE"/>
    <w:rsid w:val="3697BD54"/>
    <w:rsid w:val="36980272"/>
    <w:rsid w:val="369805CA"/>
    <w:rsid w:val="36982EA2"/>
    <w:rsid w:val="36983ACE"/>
    <w:rsid w:val="369855D7"/>
    <w:rsid w:val="36987B92"/>
    <w:rsid w:val="3699D80A"/>
    <w:rsid w:val="369BA6F5"/>
    <w:rsid w:val="369EE210"/>
    <w:rsid w:val="369F6396"/>
    <w:rsid w:val="369FBCAE"/>
    <w:rsid w:val="36A06BFD"/>
    <w:rsid w:val="36A06EB1"/>
    <w:rsid w:val="36A13B50"/>
    <w:rsid w:val="36A1C75E"/>
    <w:rsid w:val="36A23BEB"/>
    <w:rsid w:val="36A2C6C5"/>
    <w:rsid w:val="36A3C5AF"/>
    <w:rsid w:val="36A46FA0"/>
    <w:rsid w:val="36A49764"/>
    <w:rsid w:val="36A536C9"/>
    <w:rsid w:val="36A5397E"/>
    <w:rsid w:val="36A53B67"/>
    <w:rsid w:val="36A5B2A1"/>
    <w:rsid w:val="36A69B9D"/>
    <w:rsid w:val="36A727AA"/>
    <w:rsid w:val="36A80D4C"/>
    <w:rsid w:val="36A84FB0"/>
    <w:rsid w:val="36A879AA"/>
    <w:rsid w:val="36A91127"/>
    <w:rsid w:val="36A92B48"/>
    <w:rsid w:val="36A93B32"/>
    <w:rsid w:val="36AA317E"/>
    <w:rsid w:val="36AA8933"/>
    <w:rsid w:val="36AB7930"/>
    <w:rsid w:val="36ACB36B"/>
    <w:rsid w:val="36ACE0CC"/>
    <w:rsid w:val="36ACEB5B"/>
    <w:rsid w:val="36AD28C7"/>
    <w:rsid w:val="36AD593E"/>
    <w:rsid w:val="36ADD464"/>
    <w:rsid w:val="36ADDCB2"/>
    <w:rsid w:val="36AE2865"/>
    <w:rsid w:val="36AF4225"/>
    <w:rsid w:val="36AF6F0B"/>
    <w:rsid w:val="36AFBF1A"/>
    <w:rsid w:val="36AFD5C1"/>
    <w:rsid w:val="36AFE962"/>
    <w:rsid w:val="36B0D65D"/>
    <w:rsid w:val="36B0DCCC"/>
    <w:rsid w:val="36B0EED6"/>
    <w:rsid w:val="36B2174C"/>
    <w:rsid w:val="36B21A04"/>
    <w:rsid w:val="36B29037"/>
    <w:rsid w:val="36B295FB"/>
    <w:rsid w:val="36B2A043"/>
    <w:rsid w:val="36B2B8E6"/>
    <w:rsid w:val="36B2F9A9"/>
    <w:rsid w:val="36B2FA75"/>
    <w:rsid w:val="36B3174B"/>
    <w:rsid w:val="36B34EA8"/>
    <w:rsid w:val="36B391C8"/>
    <w:rsid w:val="36B3A502"/>
    <w:rsid w:val="36B3E250"/>
    <w:rsid w:val="36B4668F"/>
    <w:rsid w:val="36B5494E"/>
    <w:rsid w:val="36B54C92"/>
    <w:rsid w:val="36B59AF9"/>
    <w:rsid w:val="36B67829"/>
    <w:rsid w:val="36B67B81"/>
    <w:rsid w:val="36B6B867"/>
    <w:rsid w:val="36B6BED9"/>
    <w:rsid w:val="36B730FC"/>
    <w:rsid w:val="36B7404F"/>
    <w:rsid w:val="36B743E3"/>
    <w:rsid w:val="36B79C74"/>
    <w:rsid w:val="36B7BDD5"/>
    <w:rsid w:val="36B7EAA9"/>
    <w:rsid w:val="36B7F4C2"/>
    <w:rsid w:val="36BA3371"/>
    <w:rsid w:val="36BACBB9"/>
    <w:rsid w:val="36BB854B"/>
    <w:rsid w:val="36BB9AB4"/>
    <w:rsid w:val="36BC5EE6"/>
    <w:rsid w:val="36BC7327"/>
    <w:rsid w:val="36BCD0F9"/>
    <w:rsid w:val="36BDA2B7"/>
    <w:rsid w:val="36BEEA4C"/>
    <w:rsid w:val="36BF8C20"/>
    <w:rsid w:val="36C08669"/>
    <w:rsid w:val="36C0DC97"/>
    <w:rsid w:val="36C10F10"/>
    <w:rsid w:val="36C16DD1"/>
    <w:rsid w:val="36C1ACB4"/>
    <w:rsid w:val="36C20DC9"/>
    <w:rsid w:val="36C218CD"/>
    <w:rsid w:val="36C2276E"/>
    <w:rsid w:val="36C2A783"/>
    <w:rsid w:val="36C36056"/>
    <w:rsid w:val="36C360C1"/>
    <w:rsid w:val="36C3CD1E"/>
    <w:rsid w:val="36C3CE26"/>
    <w:rsid w:val="36C41A99"/>
    <w:rsid w:val="36C43823"/>
    <w:rsid w:val="36C48744"/>
    <w:rsid w:val="36C4FE06"/>
    <w:rsid w:val="36C51A11"/>
    <w:rsid w:val="36C53076"/>
    <w:rsid w:val="36C53582"/>
    <w:rsid w:val="36C557DA"/>
    <w:rsid w:val="36C59FD8"/>
    <w:rsid w:val="36C5F6EA"/>
    <w:rsid w:val="36C73AEC"/>
    <w:rsid w:val="36C76750"/>
    <w:rsid w:val="36C7A556"/>
    <w:rsid w:val="36C832C6"/>
    <w:rsid w:val="36C882A5"/>
    <w:rsid w:val="36C8850A"/>
    <w:rsid w:val="36C8B0A6"/>
    <w:rsid w:val="36C9A65C"/>
    <w:rsid w:val="36C9E0A0"/>
    <w:rsid w:val="36C9E6E9"/>
    <w:rsid w:val="36CA9A65"/>
    <w:rsid w:val="36CAF8C4"/>
    <w:rsid w:val="36CBD613"/>
    <w:rsid w:val="36CBDB4C"/>
    <w:rsid w:val="36CC4646"/>
    <w:rsid w:val="36CD03A8"/>
    <w:rsid w:val="36CD1493"/>
    <w:rsid w:val="36CD2DCC"/>
    <w:rsid w:val="36CD58D6"/>
    <w:rsid w:val="36CDED20"/>
    <w:rsid w:val="36CE3066"/>
    <w:rsid w:val="36CEB962"/>
    <w:rsid w:val="36CEC90A"/>
    <w:rsid w:val="36CF81FA"/>
    <w:rsid w:val="36CF852F"/>
    <w:rsid w:val="36CFB624"/>
    <w:rsid w:val="36D0C80F"/>
    <w:rsid w:val="36D19253"/>
    <w:rsid w:val="36D1E1F2"/>
    <w:rsid w:val="36D341C2"/>
    <w:rsid w:val="36D38EF0"/>
    <w:rsid w:val="36D3F86C"/>
    <w:rsid w:val="36D50132"/>
    <w:rsid w:val="36D53BC2"/>
    <w:rsid w:val="36D587FC"/>
    <w:rsid w:val="36D5C902"/>
    <w:rsid w:val="36D64EB5"/>
    <w:rsid w:val="36D6EAF2"/>
    <w:rsid w:val="36D6F9E5"/>
    <w:rsid w:val="36D882D1"/>
    <w:rsid w:val="36D8A89E"/>
    <w:rsid w:val="36D90074"/>
    <w:rsid w:val="36D91AE9"/>
    <w:rsid w:val="36D92743"/>
    <w:rsid w:val="36D936AE"/>
    <w:rsid w:val="36D98854"/>
    <w:rsid w:val="36D9A894"/>
    <w:rsid w:val="36DAD04D"/>
    <w:rsid w:val="36DB9EDF"/>
    <w:rsid w:val="36DC7E30"/>
    <w:rsid w:val="36DC82A4"/>
    <w:rsid w:val="36DC90E7"/>
    <w:rsid w:val="36DD1E05"/>
    <w:rsid w:val="36DE0216"/>
    <w:rsid w:val="36DEDD76"/>
    <w:rsid w:val="36DF6ACD"/>
    <w:rsid w:val="36DFF6FF"/>
    <w:rsid w:val="36E0F927"/>
    <w:rsid w:val="36E10A34"/>
    <w:rsid w:val="36E1108C"/>
    <w:rsid w:val="36E17594"/>
    <w:rsid w:val="36E18FC7"/>
    <w:rsid w:val="36E328FC"/>
    <w:rsid w:val="36E41B0F"/>
    <w:rsid w:val="36E47B2E"/>
    <w:rsid w:val="36E47EEB"/>
    <w:rsid w:val="36E47FD1"/>
    <w:rsid w:val="36E54629"/>
    <w:rsid w:val="36E6529D"/>
    <w:rsid w:val="36E6CE15"/>
    <w:rsid w:val="36E791EB"/>
    <w:rsid w:val="36E86687"/>
    <w:rsid w:val="36E89C9A"/>
    <w:rsid w:val="36E8F929"/>
    <w:rsid w:val="36E90BF4"/>
    <w:rsid w:val="36E944C5"/>
    <w:rsid w:val="36E99C37"/>
    <w:rsid w:val="36E9C925"/>
    <w:rsid w:val="36E9F461"/>
    <w:rsid w:val="36EA8D8D"/>
    <w:rsid w:val="36EAED35"/>
    <w:rsid w:val="36EB3ABB"/>
    <w:rsid w:val="36EB4753"/>
    <w:rsid w:val="36EB52A3"/>
    <w:rsid w:val="36EB9DF6"/>
    <w:rsid w:val="36ECA9A6"/>
    <w:rsid w:val="36ED0C50"/>
    <w:rsid w:val="36EDB2DD"/>
    <w:rsid w:val="36EF7627"/>
    <w:rsid w:val="36EF7783"/>
    <w:rsid w:val="36F06AB9"/>
    <w:rsid w:val="36F0DEB8"/>
    <w:rsid w:val="36F148C0"/>
    <w:rsid w:val="36F15F7E"/>
    <w:rsid w:val="36F29A1D"/>
    <w:rsid w:val="36F2E4F5"/>
    <w:rsid w:val="36F337ED"/>
    <w:rsid w:val="36F354C4"/>
    <w:rsid w:val="36F36E24"/>
    <w:rsid w:val="36F37392"/>
    <w:rsid w:val="36F3852D"/>
    <w:rsid w:val="36F5AFB9"/>
    <w:rsid w:val="36F62504"/>
    <w:rsid w:val="36F637BC"/>
    <w:rsid w:val="36F6B101"/>
    <w:rsid w:val="36F76B02"/>
    <w:rsid w:val="36F78C46"/>
    <w:rsid w:val="36F78FDD"/>
    <w:rsid w:val="36F9165C"/>
    <w:rsid w:val="36F94DA2"/>
    <w:rsid w:val="36F95980"/>
    <w:rsid w:val="36F9E67B"/>
    <w:rsid w:val="36FA0FED"/>
    <w:rsid w:val="36FA9CB4"/>
    <w:rsid w:val="36FAD873"/>
    <w:rsid w:val="36FAE8A3"/>
    <w:rsid w:val="36FC3800"/>
    <w:rsid w:val="36FCEBBB"/>
    <w:rsid w:val="36FCF749"/>
    <w:rsid w:val="36FEC355"/>
    <w:rsid w:val="36FEC71B"/>
    <w:rsid w:val="36FF45ED"/>
    <w:rsid w:val="36FFAC4F"/>
    <w:rsid w:val="36FFF580"/>
    <w:rsid w:val="37005016"/>
    <w:rsid w:val="37007379"/>
    <w:rsid w:val="3700AE04"/>
    <w:rsid w:val="3700C9E8"/>
    <w:rsid w:val="370153B4"/>
    <w:rsid w:val="37015EE9"/>
    <w:rsid w:val="370192B2"/>
    <w:rsid w:val="37021D07"/>
    <w:rsid w:val="37027F02"/>
    <w:rsid w:val="370308A9"/>
    <w:rsid w:val="3703A7A9"/>
    <w:rsid w:val="370464F9"/>
    <w:rsid w:val="3704D7CA"/>
    <w:rsid w:val="3705A1FB"/>
    <w:rsid w:val="37076B58"/>
    <w:rsid w:val="370863C7"/>
    <w:rsid w:val="3708B89D"/>
    <w:rsid w:val="3708F732"/>
    <w:rsid w:val="3709114E"/>
    <w:rsid w:val="37094C23"/>
    <w:rsid w:val="3709C030"/>
    <w:rsid w:val="370A5459"/>
    <w:rsid w:val="370ABB88"/>
    <w:rsid w:val="370BFEEA"/>
    <w:rsid w:val="370C118D"/>
    <w:rsid w:val="370C1BEA"/>
    <w:rsid w:val="370C8312"/>
    <w:rsid w:val="370C932C"/>
    <w:rsid w:val="370D3CC1"/>
    <w:rsid w:val="370D94B1"/>
    <w:rsid w:val="370DA508"/>
    <w:rsid w:val="370EF068"/>
    <w:rsid w:val="370F495B"/>
    <w:rsid w:val="370FD4D4"/>
    <w:rsid w:val="37107ECD"/>
    <w:rsid w:val="3710819B"/>
    <w:rsid w:val="3710BDDA"/>
    <w:rsid w:val="37117283"/>
    <w:rsid w:val="3711D33A"/>
    <w:rsid w:val="3711DD78"/>
    <w:rsid w:val="37120D5E"/>
    <w:rsid w:val="37149FA0"/>
    <w:rsid w:val="3714B740"/>
    <w:rsid w:val="37152C86"/>
    <w:rsid w:val="3716CC5C"/>
    <w:rsid w:val="37177721"/>
    <w:rsid w:val="37182531"/>
    <w:rsid w:val="3718AA25"/>
    <w:rsid w:val="3718B1C2"/>
    <w:rsid w:val="37193C5B"/>
    <w:rsid w:val="37194EB8"/>
    <w:rsid w:val="371A11AA"/>
    <w:rsid w:val="371A3F56"/>
    <w:rsid w:val="371A62CF"/>
    <w:rsid w:val="371A7179"/>
    <w:rsid w:val="371A7D4E"/>
    <w:rsid w:val="371B1717"/>
    <w:rsid w:val="371B3F81"/>
    <w:rsid w:val="371BF354"/>
    <w:rsid w:val="371C0738"/>
    <w:rsid w:val="371C2F2D"/>
    <w:rsid w:val="371CBE03"/>
    <w:rsid w:val="371D640B"/>
    <w:rsid w:val="371D6498"/>
    <w:rsid w:val="371E2E28"/>
    <w:rsid w:val="371E34ED"/>
    <w:rsid w:val="371E81A2"/>
    <w:rsid w:val="371E86D9"/>
    <w:rsid w:val="371EF2F0"/>
    <w:rsid w:val="371F1F3C"/>
    <w:rsid w:val="371F89A3"/>
    <w:rsid w:val="371FFC11"/>
    <w:rsid w:val="37201311"/>
    <w:rsid w:val="37218D13"/>
    <w:rsid w:val="37219AB2"/>
    <w:rsid w:val="3721EC5A"/>
    <w:rsid w:val="37224BE7"/>
    <w:rsid w:val="37230E5A"/>
    <w:rsid w:val="37231B01"/>
    <w:rsid w:val="37252FB3"/>
    <w:rsid w:val="3725A076"/>
    <w:rsid w:val="3726C756"/>
    <w:rsid w:val="3727071C"/>
    <w:rsid w:val="37275ED9"/>
    <w:rsid w:val="37277306"/>
    <w:rsid w:val="372846A2"/>
    <w:rsid w:val="37285A47"/>
    <w:rsid w:val="372917C7"/>
    <w:rsid w:val="37291F6F"/>
    <w:rsid w:val="37292042"/>
    <w:rsid w:val="372B8913"/>
    <w:rsid w:val="372C18EE"/>
    <w:rsid w:val="372C9F90"/>
    <w:rsid w:val="372DB4B7"/>
    <w:rsid w:val="372DC07D"/>
    <w:rsid w:val="372DE52D"/>
    <w:rsid w:val="372DF27C"/>
    <w:rsid w:val="372FD76F"/>
    <w:rsid w:val="373050AF"/>
    <w:rsid w:val="3730DB4A"/>
    <w:rsid w:val="3731456D"/>
    <w:rsid w:val="37319343"/>
    <w:rsid w:val="37319B87"/>
    <w:rsid w:val="3733566F"/>
    <w:rsid w:val="37337590"/>
    <w:rsid w:val="37339266"/>
    <w:rsid w:val="3733A307"/>
    <w:rsid w:val="37350BEF"/>
    <w:rsid w:val="37352E6A"/>
    <w:rsid w:val="373587A2"/>
    <w:rsid w:val="3735BB8B"/>
    <w:rsid w:val="3735F020"/>
    <w:rsid w:val="3736403C"/>
    <w:rsid w:val="3736EDFE"/>
    <w:rsid w:val="37371CD9"/>
    <w:rsid w:val="37373BD3"/>
    <w:rsid w:val="3737D1AC"/>
    <w:rsid w:val="373817D3"/>
    <w:rsid w:val="37388476"/>
    <w:rsid w:val="3738AE21"/>
    <w:rsid w:val="373933CC"/>
    <w:rsid w:val="37394B64"/>
    <w:rsid w:val="373A70B4"/>
    <w:rsid w:val="373B93E4"/>
    <w:rsid w:val="373C7BA0"/>
    <w:rsid w:val="373C9B0C"/>
    <w:rsid w:val="373CFE8D"/>
    <w:rsid w:val="373D256F"/>
    <w:rsid w:val="373D416D"/>
    <w:rsid w:val="373D86FD"/>
    <w:rsid w:val="373E3C6F"/>
    <w:rsid w:val="373FB02B"/>
    <w:rsid w:val="373FB734"/>
    <w:rsid w:val="37404EE7"/>
    <w:rsid w:val="37406830"/>
    <w:rsid w:val="37411F3E"/>
    <w:rsid w:val="37414780"/>
    <w:rsid w:val="37416CFF"/>
    <w:rsid w:val="37420453"/>
    <w:rsid w:val="3742181A"/>
    <w:rsid w:val="37422B58"/>
    <w:rsid w:val="3742BD65"/>
    <w:rsid w:val="3742DB7C"/>
    <w:rsid w:val="3742E4B7"/>
    <w:rsid w:val="37432087"/>
    <w:rsid w:val="37449728"/>
    <w:rsid w:val="3744DFFC"/>
    <w:rsid w:val="3745BD8E"/>
    <w:rsid w:val="37463D3A"/>
    <w:rsid w:val="37468E7B"/>
    <w:rsid w:val="37476E8D"/>
    <w:rsid w:val="374782FB"/>
    <w:rsid w:val="3747C1A3"/>
    <w:rsid w:val="37484EC2"/>
    <w:rsid w:val="3748E583"/>
    <w:rsid w:val="374923AE"/>
    <w:rsid w:val="37494263"/>
    <w:rsid w:val="37495D84"/>
    <w:rsid w:val="3749E546"/>
    <w:rsid w:val="3749E752"/>
    <w:rsid w:val="374A3EFE"/>
    <w:rsid w:val="374A8D02"/>
    <w:rsid w:val="374B22A5"/>
    <w:rsid w:val="374C0B78"/>
    <w:rsid w:val="374C6408"/>
    <w:rsid w:val="374C64D4"/>
    <w:rsid w:val="374D1F7C"/>
    <w:rsid w:val="374E1D4C"/>
    <w:rsid w:val="374EB7EA"/>
    <w:rsid w:val="37501F30"/>
    <w:rsid w:val="375083AC"/>
    <w:rsid w:val="375136B9"/>
    <w:rsid w:val="37513760"/>
    <w:rsid w:val="375156D2"/>
    <w:rsid w:val="375230D9"/>
    <w:rsid w:val="3752A899"/>
    <w:rsid w:val="37535DB8"/>
    <w:rsid w:val="37536EA4"/>
    <w:rsid w:val="3753D19A"/>
    <w:rsid w:val="3753F0A9"/>
    <w:rsid w:val="37542161"/>
    <w:rsid w:val="37545323"/>
    <w:rsid w:val="3754B5F9"/>
    <w:rsid w:val="37553A9E"/>
    <w:rsid w:val="37558CC2"/>
    <w:rsid w:val="3756C37B"/>
    <w:rsid w:val="3756E1BD"/>
    <w:rsid w:val="3756F197"/>
    <w:rsid w:val="3756F8B6"/>
    <w:rsid w:val="3757428B"/>
    <w:rsid w:val="3757EB3A"/>
    <w:rsid w:val="37591AA0"/>
    <w:rsid w:val="375B60DF"/>
    <w:rsid w:val="375C0C8D"/>
    <w:rsid w:val="375CFF26"/>
    <w:rsid w:val="375D1C6F"/>
    <w:rsid w:val="375D76D9"/>
    <w:rsid w:val="375DB908"/>
    <w:rsid w:val="375DEF0A"/>
    <w:rsid w:val="375E2368"/>
    <w:rsid w:val="375E3455"/>
    <w:rsid w:val="375E687B"/>
    <w:rsid w:val="375E7AC3"/>
    <w:rsid w:val="375F639C"/>
    <w:rsid w:val="375FDB5E"/>
    <w:rsid w:val="375FEEE9"/>
    <w:rsid w:val="37609B97"/>
    <w:rsid w:val="37613110"/>
    <w:rsid w:val="3761B032"/>
    <w:rsid w:val="37646ABD"/>
    <w:rsid w:val="3764C58A"/>
    <w:rsid w:val="3765450A"/>
    <w:rsid w:val="37656D0F"/>
    <w:rsid w:val="3765F1C6"/>
    <w:rsid w:val="37669D71"/>
    <w:rsid w:val="3766DEFB"/>
    <w:rsid w:val="376733C9"/>
    <w:rsid w:val="37673D13"/>
    <w:rsid w:val="3767FFAA"/>
    <w:rsid w:val="3768CB28"/>
    <w:rsid w:val="3768F961"/>
    <w:rsid w:val="376935AF"/>
    <w:rsid w:val="376935CA"/>
    <w:rsid w:val="376A1D49"/>
    <w:rsid w:val="376AB163"/>
    <w:rsid w:val="376AC71E"/>
    <w:rsid w:val="376B3229"/>
    <w:rsid w:val="376B495E"/>
    <w:rsid w:val="376B4969"/>
    <w:rsid w:val="376B6C21"/>
    <w:rsid w:val="376B8F0F"/>
    <w:rsid w:val="376C2D61"/>
    <w:rsid w:val="376C711C"/>
    <w:rsid w:val="376DCEF4"/>
    <w:rsid w:val="376E0F13"/>
    <w:rsid w:val="376E9DC5"/>
    <w:rsid w:val="376EBA03"/>
    <w:rsid w:val="376F2FC4"/>
    <w:rsid w:val="37703E4B"/>
    <w:rsid w:val="377065C7"/>
    <w:rsid w:val="3770BF19"/>
    <w:rsid w:val="3771A028"/>
    <w:rsid w:val="37726FD8"/>
    <w:rsid w:val="37742BC9"/>
    <w:rsid w:val="37743E25"/>
    <w:rsid w:val="3774429E"/>
    <w:rsid w:val="3774F926"/>
    <w:rsid w:val="37750AD0"/>
    <w:rsid w:val="37755AA0"/>
    <w:rsid w:val="3776CFDA"/>
    <w:rsid w:val="3777BEDE"/>
    <w:rsid w:val="377822E9"/>
    <w:rsid w:val="3779C79A"/>
    <w:rsid w:val="377A7068"/>
    <w:rsid w:val="377A79A2"/>
    <w:rsid w:val="377AE4F3"/>
    <w:rsid w:val="377B1661"/>
    <w:rsid w:val="377B1F14"/>
    <w:rsid w:val="377BB026"/>
    <w:rsid w:val="377C456B"/>
    <w:rsid w:val="377C532D"/>
    <w:rsid w:val="377CC00A"/>
    <w:rsid w:val="377CF4E0"/>
    <w:rsid w:val="377D2255"/>
    <w:rsid w:val="377D3A54"/>
    <w:rsid w:val="377D4950"/>
    <w:rsid w:val="377DA691"/>
    <w:rsid w:val="377E32E1"/>
    <w:rsid w:val="377E33A8"/>
    <w:rsid w:val="377E619D"/>
    <w:rsid w:val="377E6712"/>
    <w:rsid w:val="377EC142"/>
    <w:rsid w:val="377ED9E7"/>
    <w:rsid w:val="377F3EF5"/>
    <w:rsid w:val="377F572C"/>
    <w:rsid w:val="377F8D7E"/>
    <w:rsid w:val="3780D544"/>
    <w:rsid w:val="3781B502"/>
    <w:rsid w:val="37829E1E"/>
    <w:rsid w:val="37829F5A"/>
    <w:rsid w:val="378411AD"/>
    <w:rsid w:val="378448ED"/>
    <w:rsid w:val="37850367"/>
    <w:rsid w:val="37860111"/>
    <w:rsid w:val="3786A88D"/>
    <w:rsid w:val="3787E154"/>
    <w:rsid w:val="3787FECB"/>
    <w:rsid w:val="3788855D"/>
    <w:rsid w:val="37891971"/>
    <w:rsid w:val="37891F57"/>
    <w:rsid w:val="37893090"/>
    <w:rsid w:val="3789D423"/>
    <w:rsid w:val="378C64AC"/>
    <w:rsid w:val="378CB85D"/>
    <w:rsid w:val="378D5C0E"/>
    <w:rsid w:val="378D606F"/>
    <w:rsid w:val="378D61CD"/>
    <w:rsid w:val="378E19E1"/>
    <w:rsid w:val="378EB963"/>
    <w:rsid w:val="378F4F8F"/>
    <w:rsid w:val="378F93E2"/>
    <w:rsid w:val="379097AE"/>
    <w:rsid w:val="3790CB3A"/>
    <w:rsid w:val="37913118"/>
    <w:rsid w:val="37915172"/>
    <w:rsid w:val="37915FBD"/>
    <w:rsid w:val="3791AE72"/>
    <w:rsid w:val="3792A6D9"/>
    <w:rsid w:val="37937FAB"/>
    <w:rsid w:val="37939403"/>
    <w:rsid w:val="3794C782"/>
    <w:rsid w:val="37951E78"/>
    <w:rsid w:val="37958463"/>
    <w:rsid w:val="37960295"/>
    <w:rsid w:val="37962C58"/>
    <w:rsid w:val="379719BF"/>
    <w:rsid w:val="37974646"/>
    <w:rsid w:val="37976F6A"/>
    <w:rsid w:val="379793F5"/>
    <w:rsid w:val="3797CE87"/>
    <w:rsid w:val="379820FD"/>
    <w:rsid w:val="37994B3A"/>
    <w:rsid w:val="37997CA2"/>
    <w:rsid w:val="3799A665"/>
    <w:rsid w:val="3799AE6D"/>
    <w:rsid w:val="3799C406"/>
    <w:rsid w:val="379B11C2"/>
    <w:rsid w:val="379C77E6"/>
    <w:rsid w:val="379CCD2F"/>
    <w:rsid w:val="379D7715"/>
    <w:rsid w:val="379F77A7"/>
    <w:rsid w:val="379FD255"/>
    <w:rsid w:val="379FE381"/>
    <w:rsid w:val="37A004F9"/>
    <w:rsid w:val="37A01095"/>
    <w:rsid w:val="37A031FA"/>
    <w:rsid w:val="37A05660"/>
    <w:rsid w:val="37A09600"/>
    <w:rsid w:val="37A2076A"/>
    <w:rsid w:val="37A3C70C"/>
    <w:rsid w:val="37A447F4"/>
    <w:rsid w:val="37A44DCC"/>
    <w:rsid w:val="37A471F3"/>
    <w:rsid w:val="37A51073"/>
    <w:rsid w:val="37A526C1"/>
    <w:rsid w:val="37A54BD8"/>
    <w:rsid w:val="37A69202"/>
    <w:rsid w:val="37A75F16"/>
    <w:rsid w:val="37A79577"/>
    <w:rsid w:val="37A7CC8A"/>
    <w:rsid w:val="37A7F370"/>
    <w:rsid w:val="37A8294C"/>
    <w:rsid w:val="37A8B3B3"/>
    <w:rsid w:val="37AA088E"/>
    <w:rsid w:val="37AAF10F"/>
    <w:rsid w:val="37AB279F"/>
    <w:rsid w:val="37ABC017"/>
    <w:rsid w:val="37AD1F1B"/>
    <w:rsid w:val="37AD3844"/>
    <w:rsid w:val="37ADEBB4"/>
    <w:rsid w:val="37ADF82D"/>
    <w:rsid w:val="37AEF9F0"/>
    <w:rsid w:val="37AF223F"/>
    <w:rsid w:val="37AF40F2"/>
    <w:rsid w:val="37B0BC5D"/>
    <w:rsid w:val="37B0C006"/>
    <w:rsid w:val="37B11F94"/>
    <w:rsid w:val="37B16BB7"/>
    <w:rsid w:val="37B1C0C3"/>
    <w:rsid w:val="37B22984"/>
    <w:rsid w:val="37B348E9"/>
    <w:rsid w:val="37B36569"/>
    <w:rsid w:val="37B57DF0"/>
    <w:rsid w:val="37B5C26A"/>
    <w:rsid w:val="37B5F4C6"/>
    <w:rsid w:val="37B663AE"/>
    <w:rsid w:val="37B7601C"/>
    <w:rsid w:val="37B7712A"/>
    <w:rsid w:val="37B7C711"/>
    <w:rsid w:val="37B80CD5"/>
    <w:rsid w:val="37B875D7"/>
    <w:rsid w:val="37B935D6"/>
    <w:rsid w:val="37B97AA0"/>
    <w:rsid w:val="37BA992B"/>
    <w:rsid w:val="37BB01E1"/>
    <w:rsid w:val="37BB0AB6"/>
    <w:rsid w:val="37BB694E"/>
    <w:rsid w:val="37BC0FFC"/>
    <w:rsid w:val="37BCBE04"/>
    <w:rsid w:val="37BCDC9F"/>
    <w:rsid w:val="37BCE9D0"/>
    <w:rsid w:val="37BD080A"/>
    <w:rsid w:val="37BD337D"/>
    <w:rsid w:val="37BDF5BB"/>
    <w:rsid w:val="37BE1CE3"/>
    <w:rsid w:val="37BE927F"/>
    <w:rsid w:val="37BEC1D2"/>
    <w:rsid w:val="37BF4C1B"/>
    <w:rsid w:val="37BF807B"/>
    <w:rsid w:val="37C1D160"/>
    <w:rsid w:val="37C392A3"/>
    <w:rsid w:val="37C3F867"/>
    <w:rsid w:val="37C48C77"/>
    <w:rsid w:val="37C4EDF5"/>
    <w:rsid w:val="37C609FA"/>
    <w:rsid w:val="37C77226"/>
    <w:rsid w:val="37C8E3A4"/>
    <w:rsid w:val="37C9CE8E"/>
    <w:rsid w:val="37C9F364"/>
    <w:rsid w:val="37CAB7AC"/>
    <w:rsid w:val="37CABC60"/>
    <w:rsid w:val="37CB08B9"/>
    <w:rsid w:val="37CCC96E"/>
    <w:rsid w:val="37CCEECA"/>
    <w:rsid w:val="37CD1FA6"/>
    <w:rsid w:val="37CD9D0C"/>
    <w:rsid w:val="37CDA9E9"/>
    <w:rsid w:val="37CDE431"/>
    <w:rsid w:val="37CE04EF"/>
    <w:rsid w:val="37CE5BDD"/>
    <w:rsid w:val="37CF9A52"/>
    <w:rsid w:val="37D06336"/>
    <w:rsid w:val="37D0BD02"/>
    <w:rsid w:val="37D12CF6"/>
    <w:rsid w:val="37D133F7"/>
    <w:rsid w:val="37D1BEE6"/>
    <w:rsid w:val="37D21D32"/>
    <w:rsid w:val="37D24089"/>
    <w:rsid w:val="37D3178B"/>
    <w:rsid w:val="37D36D59"/>
    <w:rsid w:val="37D3BF3E"/>
    <w:rsid w:val="37D65B8F"/>
    <w:rsid w:val="37D884DB"/>
    <w:rsid w:val="37D88F6A"/>
    <w:rsid w:val="37D90990"/>
    <w:rsid w:val="37DA7F53"/>
    <w:rsid w:val="37DAA5E2"/>
    <w:rsid w:val="37DAA723"/>
    <w:rsid w:val="37DAEE9A"/>
    <w:rsid w:val="37DBD04E"/>
    <w:rsid w:val="37DD7628"/>
    <w:rsid w:val="37DE6F8F"/>
    <w:rsid w:val="37DE8048"/>
    <w:rsid w:val="37DEE538"/>
    <w:rsid w:val="37DF5CE2"/>
    <w:rsid w:val="37DF6508"/>
    <w:rsid w:val="37E125CD"/>
    <w:rsid w:val="37E229CF"/>
    <w:rsid w:val="37E23ABC"/>
    <w:rsid w:val="37E24298"/>
    <w:rsid w:val="37E45D6A"/>
    <w:rsid w:val="37E48F86"/>
    <w:rsid w:val="37E4909A"/>
    <w:rsid w:val="37E4DF29"/>
    <w:rsid w:val="37E5B42D"/>
    <w:rsid w:val="37E6910F"/>
    <w:rsid w:val="37E81632"/>
    <w:rsid w:val="37E9EDDB"/>
    <w:rsid w:val="37EA8985"/>
    <w:rsid w:val="37EAA2A8"/>
    <w:rsid w:val="37EB571F"/>
    <w:rsid w:val="37EB8B3F"/>
    <w:rsid w:val="37EB8C2E"/>
    <w:rsid w:val="37EBB697"/>
    <w:rsid w:val="37ECE707"/>
    <w:rsid w:val="37ECF66C"/>
    <w:rsid w:val="37ED353C"/>
    <w:rsid w:val="37ED41B5"/>
    <w:rsid w:val="37EDBE2B"/>
    <w:rsid w:val="37EDFF47"/>
    <w:rsid w:val="37EF2C40"/>
    <w:rsid w:val="37EFE574"/>
    <w:rsid w:val="37F08A8E"/>
    <w:rsid w:val="37F0E8F2"/>
    <w:rsid w:val="37F22510"/>
    <w:rsid w:val="37F234B3"/>
    <w:rsid w:val="37F2B9F1"/>
    <w:rsid w:val="37F2D26D"/>
    <w:rsid w:val="37F38360"/>
    <w:rsid w:val="37F38727"/>
    <w:rsid w:val="37F39E86"/>
    <w:rsid w:val="37F42AAF"/>
    <w:rsid w:val="37F49CBC"/>
    <w:rsid w:val="37F528C9"/>
    <w:rsid w:val="37F62EDC"/>
    <w:rsid w:val="37F67E86"/>
    <w:rsid w:val="37F6AECD"/>
    <w:rsid w:val="37F6E7B8"/>
    <w:rsid w:val="37F861B6"/>
    <w:rsid w:val="37F8B183"/>
    <w:rsid w:val="37FA68EE"/>
    <w:rsid w:val="37FA970E"/>
    <w:rsid w:val="37FB4FA8"/>
    <w:rsid w:val="37FC6E38"/>
    <w:rsid w:val="37FDCA98"/>
    <w:rsid w:val="37FED1DF"/>
    <w:rsid w:val="37FED3E5"/>
    <w:rsid w:val="37FF4829"/>
    <w:rsid w:val="37FF722C"/>
    <w:rsid w:val="37FFF3F0"/>
    <w:rsid w:val="38009AC7"/>
    <w:rsid w:val="38011241"/>
    <w:rsid w:val="3801ECA3"/>
    <w:rsid w:val="3801F682"/>
    <w:rsid w:val="380269A9"/>
    <w:rsid w:val="38029DCE"/>
    <w:rsid w:val="3803C75B"/>
    <w:rsid w:val="3804AA41"/>
    <w:rsid w:val="3804EA57"/>
    <w:rsid w:val="3805E43A"/>
    <w:rsid w:val="38068D1D"/>
    <w:rsid w:val="3806BE05"/>
    <w:rsid w:val="3807345C"/>
    <w:rsid w:val="3807EC44"/>
    <w:rsid w:val="3809A822"/>
    <w:rsid w:val="3809EA93"/>
    <w:rsid w:val="380A6835"/>
    <w:rsid w:val="380A829A"/>
    <w:rsid w:val="380B42A7"/>
    <w:rsid w:val="380B502D"/>
    <w:rsid w:val="380CA148"/>
    <w:rsid w:val="380CE22B"/>
    <w:rsid w:val="380CF48A"/>
    <w:rsid w:val="380D04CA"/>
    <w:rsid w:val="380E069F"/>
    <w:rsid w:val="380E6686"/>
    <w:rsid w:val="380EA67E"/>
    <w:rsid w:val="380F50BA"/>
    <w:rsid w:val="380F96E3"/>
    <w:rsid w:val="380FD81C"/>
    <w:rsid w:val="38103005"/>
    <w:rsid w:val="3810DCAE"/>
    <w:rsid w:val="3811BBDA"/>
    <w:rsid w:val="3811F52B"/>
    <w:rsid w:val="38141AC2"/>
    <w:rsid w:val="38148E15"/>
    <w:rsid w:val="3814A837"/>
    <w:rsid w:val="38153FFF"/>
    <w:rsid w:val="38156C4D"/>
    <w:rsid w:val="3815D6C4"/>
    <w:rsid w:val="38186E2D"/>
    <w:rsid w:val="3818974A"/>
    <w:rsid w:val="3818CDBA"/>
    <w:rsid w:val="3818EEE6"/>
    <w:rsid w:val="381911A3"/>
    <w:rsid w:val="3819AC91"/>
    <w:rsid w:val="381A3A6F"/>
    <w:rsid w:val="381AD110"/>
    <w:rsid w:val="381B6C67"/>
    <w:rsid w:val="381BB088"/>
    <w:rsid w:val="381C0B56"/>
    <w:rsid w:val="381CA877"/>
    <w:rsid w:val="381CB9E9"/>
    <w:rsid w:val="381D6B43"/>
    <w:rsid w:val="381DB2C2"/>
    <w:rsid w:val="381F8421"/>
    <w:rsid w:val="381FE4E9"/>
    <w:rsid w:val="38209D0A"/>
    <w:rsid w:val="3820E87F"/>
    <w:rsid w:val="3820FB1C"/>
    <w:rsid w:val="382192C5"/>
    <w:rsid w:val="3821C642"/>
    <w:rsid w:val="3821F950"/>
    <w:rsid w:val="38220254"/>
    <w:rsid w:val="382260BA"/>
    <w:rsid w:val="3823168A"/>
    <w:rsid w:val="38233A82"/>
    <w:rsid w:val="38244377"/>
    <w:rsid w:val="382464D8"/>
    <w:rsid w:val="3824D4F7"/>
    <w:rsid w:val="38250383"/>
    <w:rsid w:val="382573AC"/>
    <w:rsid w:val="3825F635"/>
    <w:rsid w:val="38275127"/>
    <w:rsid w:val="38275581"/>
    <w:rsid w:val="38277F73"/>
    <w:rsid w:val="3828141F"/>
    <w:rsid w:val="3829E23F"/>
    <w:rsid w:val="382A2382"/>
    <w:rsid w:val="382AAE01"/>
    <w:rsid w:val="382AD16B"/>
    <w:rsid w:val="382CD28A"/>
    <w:rsid w:val="382D5A78"/>
    <w:rsid w:val="382EEF73"/>
    <w:rsid w:val="382F9BBF"/>
    <w:rsid w:val="382FACCC"/>
    <w:rsid w:val="3830A5B3"/>
    <w:rsid w:val="38318A17"/>
    <w:rsid w:val="3831BDCF"/>
    <w:rsid w:val="38321C74"/>
    <w:rsid w:val="3832543F"/>
    <w:rsid w:val="383310EB"/>
    <w:rsid w:val="38334E15"/>
    <w:rsid w:val="3833ADC1"/>
    <w:rsid w:val="3833B838"/>
    <w:rsid w:val="3833CA1C"/>
    <w:rsid w:val="383484C6"/>
    <w:rsid w:val="3834DCEB"/>
    <w:rsid w:val="3835015F"/>
    <w:rsid w:val="383607C3"/>
    <w:rsid w:val="38363DF9"/>
    <w:rsid w:val="3836CEFE"/>
    <w:rsid w:val="3836E14A"/>
    <w:rsid w:val="3837ED85"/>
    <w:rsid w:val="383851D6"/>
    <w:rsid w:val="3838B66C"/>
    <w:rsid w:val="383906EC"/>
    <w:rsid w:val="38397EA3"/>
    <w:rsid w:val="3839C09D"/>
    <w:rsid w:val="3839E668"/>
    <w:rsid w:val="383A2953"/>
    <w:rsid w:val="383A29E8"/>
    <w:rsid w:val="383A667C"/>
    <w:rsid w:val="383B9659"/>
    <w:rsid w:val="383C7276"/>
    <w:rsid w:val="383C79E0"/>
    <w:rsid w:val="383CA310"/>
    <w:rsid w:val="383CE8D2"/>
    <w:rsid w:val="383D82C5"/>
    <w:rsid w:val="383FED69"/>
    <w:rsid w:val="383FFC66"/>
    <w:rsid w:val="3840B007"/>
    <w:rsid w:val="38415480"/>
    <w:rsid w:val="3842076C"/>
    <w:rsid w:val="38421B0F"/>
    <w:rsid w:val="38430A57"/>
    <w:rsid w:val="3843572C"/>
    <w:rsid w:val="3843812E"/>
    <w:rsid w:val="38438F27"/>
    <w:rsid w:val="3843C2C1"/>
    <w:rsid w:val="3843CD4B"/>
    <w:rsid w:val="38443F5A"/>
    <w:rsid w:val="3845000A"/>
    <w:rsid w:val="3845592D"/>
    <w:rsid w:val="38456511"/>
    <w:rsid w:val="38460F5B"/>
    <w:rsid w:val="3846567E"/>
    <w:rsid w:val="38479617"/>
    <w:rsid w:val="3847D427"/>
    <w:rsid w:val="3847F69A"/>
    <w:rsid w:val="38480119"/>
    <w:rsid w:val="384859BD"/>
    <w:rsid w:val="3848D49B"/>
    <w:rsid w:val="3848FD7C"/>
    <w:rsid w:val="38496A68"/>
    <w:rsid w:val="38497C91"/>
    <w:rsid w:val="3849AAAB"/>
    <w:rsid w:val="384A219D"/>
    <w:rsid w:val="384A2817"/>
    <w:rsid w:val="384A36AE"/>
    <w:rsid w:val="384BAF28"/>
    <w:rsid w:val="384CF854"/>
    <w:rsid w:val="384D757E"/>
    <w:rsid w:val="384DA8A3"/>
    <w:rsid w:val="384DC20F"/>
    <w:rsid w:val="384DD78C"/>
    <w:rsid w:val="384E8BA7"/>
    <w:rsid w:val="384E8F09"/>
    <w:rsid w:val="384F4C7F"/>
    <w:rsid w:val="38503D54"/>
    <w:rsid w:val="38519566"/>
    <w:rsid w:val="3851DA09"/>
    <w:rsid w:val="3851F23C"/>
    <w:rsid w:val="38525E6A"/>
    <w:rsid w:val="3852E542"/>
    <w:rsid w:val="3852E950"/>
    <w:rsid w:val="38538AA2"/>
    <w:rsid w:val="3854D413"/>
    <w:rsid w:val="38550A2F"/>
    <w:rsid w:val="38552FE2"/>
    <w:rsid w:val="3855FBDB"/>
    <w:rsid w:val="38573E37"/>
    <w:rsid w:val="3858483B"/>
    <w:rsid w:val="38596A3D"/>
    <w:rsid w:val="385A3F3E"/>
    <w:rsid w:val="385A5451"/>
    <w:rsid w:val="385B8632"/>
    <w:rsid w:val="385C132D"/>
    <w:rsid w:val="385C777F"/>
    <w:rsid w:val="385CB29E"/>
    <w:rsid w:val="385CE48C"/>
    <w:rsid w:val="385D5C1F"/>
    <w:rsid w:val="385D9533"/>
    <w:rsid w:val="385DEE31"/>
    <w:rsid w:val="385E201F"/>
    <w:rsid w:val="385EF1CA"/>
    <w:rsid w:val="385F2875"/>
    <w:rsid w:val="38606A15"/>
    <w:rsid w:val="38608069"/>
    <w:rsid w:val="38615E04"/>
    <w:rsid w:val="38616A67"/>
    <w:rsid w:val="386191FC"/>
    <w:rsid w:val="38624788"/>
    <w:rsid w:val="38627E72"/>
    <w:rsid w:val="3862E7FB"/>
    <w:rsid w:val="38631501"/>
    <w:rsid w:val="38631FF3"/>
    <w:rsid w:val="38633D2C"/>
    <w:rsid w:val="3863A02A"/>
    <w:rsid w:val="38652FE1"/>
    <w:rsid w:val="3865D392"/>
    <w:rsid w:val="38669462"/>
    <w:rsid w:val="3867E4F5"/>
    <w:rsid w:val="38683C14"/>
    <w:rsid w:val="38683D3D"/>
    <w:rsid w:val="38687A68"/>
    <w:rsid w:val="386885C1"/>
    <w:rsid w:val="3868D81F"/>
    <w:rsid w:val="38693272"/>
    <w:rsid w:val="38693809"/>
    <w:rsid w:val="38695FE7"/>
    <w:rsid w:val="386A0C37"/>
    <w:rsid w:val="386BD030"/>
    <w:rsid w:val="386C61D5"/>
    <w:rsid w:val="386C99D8"/>
    <w:rsid w:val="386CE80D"/>
    <w:rsid w:val="386D3C91"/>
    <w:rsid w:val="386DB0C9"/>
    <w:rsid w:val="386DC094"/>
    <w:rsid w:val="386DC1D9"/>
    <w:rsid w:val="386E0D09"/>
    <w:rsid w:val="386E286F"/>
    <w:rsid w:val="386E3C4C"/>
    <w:rsid w:val="386E532B"/>
    <w:rsid w:val="386EA865"/>
    <w:rsid w:val="386EF881"/>
    <w:rsid w:val="386F3E14"/>
    <w:rsid w:val="3870A8DF"/>
    <w:rsid w:val="3870E6FE"/>
    <w:rsid w:val="3871A03A"/>
    <w:rsid w:val="38725C7E"/>
    <w:rsid w:val="387272B6"/>
    <w:rsid w:val="38729868"/>
    <w:rsid w:val="3873EFDB"/>
    <w:rsid w:val="38741055"/>
    <w:rsid w:val="387436BC"/>
    <w:rsid w:val="38745352"/>
    <w:rsid w:val="38752AF6"/>
    <w:rsid w:val="38754D47"/>
    <w:rsid w:val="38757B4B"/>
    <w:rsid w:val="38774A76"/>
    <w:rsid w:val="3877C799"/>
    <w:rsid w:val="3877C86D"/>
    <w:rsid w:val="38785B3B"/>
    <w:rsid w:val="38792C0A"/>
    <w:rsid w:val="387A345C"/>
    <w:rsid w:val="387A3AE1"/>
    <w:rsid w:val="387A7585"/>
    <w:rsid w:val="387AD010"/>
    <w:rsid w:val="387B87F9"/>
    <w:rsid w:val="387BB367"/>
    <w:rsid w:val="387BCDF9"/>
    <w:rsid w:val="387BDF03"/>
    <w:rsid w:val="387BE9FC"/>
    <w:rsid w:val="387C4A25"/>
    <w:rsid w:val="387CA700"/>
    <w:rsid w:val="387D81D6"/>
    <w:rsid w:val="387DCAEE"/>
    <w:rsid w:val="387DDD9F"/>
    <w:rsid w:val="387DECF1"/>
    <w:rsid w:val="387E0ED4"/>
    <w:rsid w:val="387E4142"/>
    <w:rsid w:val="387E9369"/>
    <w:rsid w:val="387EE382"/>
    <w:rsid w:val="387FDFCB"/>
    <w:rsid w:val="3880E1F6"/>
    <w:rsid w:val="38812260"/>
    <w:rsid w:val="38813123"/>
    <w:rsid w:val="388278B6"/>
    <w:rsid w:val="3883732F"/>
    <w:rsid w:val="38840E54"/>
    <w:rsid w:val="38843935"/>
    <w:rsid w:val="3884BD97"/>
    <w:rsid w:val="38862A81"/>
    <w:rsid w:val="38862C35"/>
    <w:rsid w:val="3886372E"/>
    <w:rsid w:val="388648FD"/>
    <w:rsid w:val="38865F9B"/>
    <w:rsid w:val="3886B485"/>
    <w:rsid w:val="388741FE"/>
    <w:rsid w:val="3888C063"/>
    <w:rsid w:val="3888C891"/>
    <w:rsid w:val="3888F0DD"/>
    <w:rsid w:val="38899E48"/>
    <w:rsid w:val="3889B0EC"/>
    <w:rsid w:val="3889FE4C"/>
    <w:rsid w:val="388B1931"/>
    <w:rsid w:val="388BB7D4"/>
    <w:rsid w:val="388BFE30"/>
    <w:rsid w:val="388C9952"/>
    <w:rsid w:val="388CB67F"/>
    <w:rsid w:val="388CE9C9"/>
    <w:rsid w:val="388DAEBF"/>
    <w:rsid w:val="388E8187"/>
    <w:rsid w:val="388F955A"/>
    <w:rsid w:val="388F98B4"/>
    <w:rsid w:val="389017E5"/>
    <w:rsid w:val="38908C55"/>
    <w:rsid w:val="3890BA2A"/>
    <w:rsid w:val="3891124D"/>
    <w:rsid w:val="389137F3"/>
    <w:rsid w:val="38913BAD"/>
    <w:rsid w:val="3891D6BC"/>
    <w:rsid w:val="389214BD"/>
    <w:rsid w:val="38922007"/>
    <w:rsid w:val="38926CFD"/>
    <w:rsid w:val="3893B608"/>
    <w:rsid w:val="38946FE3"/>
    <w:rsid w:val="3894BE98"/>
    <w:rsid w:val="38955AE5"/>
    <w:rsid w:val="3895D72D"/>
    <w:rsid w:val="389642ED"/>
    <w:rsid w:val="3896525C"/>
    <w:rsid w:val="3897572C"/>
    <w:rsid w:val="38977432"/>
    <w:rsid w:val="3897E87D"/>
    <w:rsid w:val="38981622"/>
    <w:rsid w:val="38986C96"/>
    <w:rsid w:val="389907A2"/>
    <w:rsid w:val="389AD895"/>
    <w:rsid w:val="389B8C94"/>
    <w:rsid w:val="389C860C"/>
    <w:rsid w:val="389CB086"/>
    <w:rsid w:val="389D0F7C"/>
    <w:rsid w:val="389DA944"/>
    <w:rsid w:val="389DAE78"/>
    <w:rsid w:val="389ED443"/>
    <w:rsid w:val="389FE142"/>
    <w:rsid w:val="38A0B1E4"/>
    <w:rsid w:val="38A0EC0B"/>
    <w:rsid w:val="38A13170"/>
    <w:rsid w:val="38A19A92"/>
    <w:rsid w:val="38A24A8B"/>
    <w:rsid w:val="38A289A0"/>
    <w:rsid w:val="38A29A0D"/>
    <w:rsid w:val="38A2A1DA"/>
    <w:rsid w:val="38A2C4C1"/>
    <w:rsid w:val="38A31B1D"/>
    <w:rsid w:val="38A3C216"/>
    <w:rsid w:val="38A3E854"/>
    <w:rsid w:val="38A3F078"/>
    <w:rsid w:val="38A44EFC"/>
    <w:rsid w:val="38A45629"/>
    <w:rsid w:val="38A52B60"/>
    <w:rsid w:val="38A57981"/>
    <w:rsid w:val="38A594F9"/>
    <w:rsid w:val="38A5D22D"/>
    <w:rsid w:val="38A6972C"/>
    <w:rsid w:val="38A6E465"/>
    <w:rsid w:val="38A70637"/>
    <w:rsid w:val="38A70E64"/>
    <w:rsid w:val="38A77AB3"/>
    <w:rsid w:val="38A7FA4C"/>
    <w:rsid w:val="38A866E8"/>
    <w:rsid w:val="38A8D28F"/>
    <w:rsid w:val="38A90BBC"/>
    <w:rsid w:val="38A930FE"/>
    <w:rsid w:val="38A98558"/>
    <w:rsid w:val="38A99C85"/>
    <w:rsid w:val="38AA0A72"/>
    <w:rsid w:val="38AA1A4E"/>
    <w:rsid w:val="38AA2F28"/>
    <w:rsid w:val="38AACFEF"/>
    <w:rsid w:val="38AAFD19"/>
    <w:rsid w:val="38AB5E62"/>
    <w:rsid w:val="38AB9A71"/>
    <w:rsid w:val="38ABB32E"/>
    <w:rsid w:val="38AC1D13"/>
    <w:rsid w:val="38AC4BC4"/>
    <w:rsid w:val="38AC8D97"/>
    <w:rsid w:val="38ACF3D0"/>
    <w:rsid w:val="38AD5345"/>
    <w:rsid w:val="38ADEA5C"/>
    <w:rsid w:val="38ADF0F8"/>
    <w:rsid w:val="38AF9D8C"/>
    <w:rsid w:val="38AFF2D5"/>
    <w:rsid w:val="38B00083"/>
    <w:rsid w:val="38B14075"/>
    <w:rsid w:val="38B16186"/>
    <w:rsid w:val="38B20C84"/>
    <w:rsid w:val="38B216A7"/>
    <w:rsid w:val="38B401CC"/>
    <w:rsid w:val="38B414C4"/>
    <w:rsid w:val="38B42059"/>
    <w:rsid w:val="38B42F85"/>
    <w:rsid w:val="38B49FED"/>
    <w:rsid w:val="38B5A7E7"/>
    <w:rsid w:val="38B61E93"/>
    <w:rsid w:val="38B637A7"/>
    <w:rsid w:val="38B71B93"/>
    <w:rsid w:val="38B80085"/>
    <w:rsid w:val="38B817F4"/>
    <w:rsid w:val="38B9609B"/>
    <w:rsid w:val="38BA5482"/>
    <w:rsid w:val="38BA6EF5"/>
    <w:rsid w:val="38BB42B4"/>
    <w:rsid w:val="38BB522D"/>
    <w:rsid w:val="38BBAD58"/>
    <w:rsid w:val="38BBFE74"/>
    <w:rsid w:val="38BCC345"/>
    <w:rsid w:val="38BD6DED"/>
    <w:rsid w:val="38BD9D06"/>
    <w:rsid w:val="38BDB707"/>
    <w:rsid w:val="38BDD6C4"/>
    <w:rsid w:val="38BE1564"/>
    <w:rsid w:val="38BE8681"/>
    <w:rsid w:val="38BEA307"/>
    <w:rsid w:val="38BF6E69"/>
    <w:rsid w:val="38BFB711"/>
    <w:rsid w:val="38BFC87E"/>
    <w:rsid w:val="38BFE7C8"/>
    <w:rsid w:val="38BFF3A8"/>
    <w:rsid w:val="38C0289B"/>
    <w:rsid w:val="38C03D00"/>
    <w:rsid w:val="38C1B292"/>
    <w:rsid w:val="38C2621F"/>
    <w:rsid w:val="38C43C35"/>
    <w:rsid w:val="38C43F23"/>
    <w:rsid w:val="38C49640"/>
    <w:rsid w:val="38C4C438"/>
    <w:rsid w:val="38C4F1B8"/>
    <w:rsid w:val="38C4FE21"/>
    <w:rsid w:val="38C55152"/>
    <w:rsid w:val="38C60569"/>
    <w:rsid w:val="38C7025C"/>
    <w:rsid w:val="38C714A3"/>
    <w:rsid w:val="38C79ED2"/>
    <w:rsid w:val="38C7E2E8"/>
    <w:rsid w:val="38C7FA30"/>
    <w:rsid w:val="38C834F5"/>
    <w:rsid w:val="38C95239"/>
    <w:rsid w:val="38C9B579"/>
    <w:rsid w:val="38CA2207"/>
    <w:rsid w:val="38CACDCE"/>
    <w:rsid w:val="38CAD21C"/>
    <w:rsid w:val="38CB68F1"/>
    <w:rsid w:val="38CD6BFE"/>
    <w:rsid w:val="38CF0B9C"/>
    <w:rsid w:val="38CF6553"/>
    <w:rsid w:val="38CF9D90"/>
    <w:rsid w:val="38CFB796"/>
    <w:rsid w:val="38CFE627"/>
    <w:rsid w:val="38D10F5D"/>
    <w:rsid w:val="38D11294"/>
    <w:rsid w:val="38D14C55"/>
    <w:rsid w:val="38D1A9F2"/>
    <w:rsid w:val="38D22BEB"/>
    <w:rsid w:val="38D24BCF"/>
    <w:rsid w:val="38D27528"/>
    <w:rsid w:val="38D2939F"/>
    <w:rsid w:val="38D2977B"/>
    <w:rsid w:val="38D2AB49"/>
    <w:rsid w:val="38D2EF66"/>
    <w:rsid w:val="38D30451"/>
    <w:rsid w:val="38D39560"/>
    <w:rsid w:val="38D3F148"/>
    <w:rsid w:val="38D3F41A"/>
    <w:rsid w:val="38D40193"/>
    <w:rsid w:val="38D41DFE"/>
    <w:rsid w:val="38D47A31"/>
    <w:rsid w:val="38D54B80"/>
    <w:rsid w:val="38D622ED"/>
    <w:rsid w:val="38D662C4"/>
    <w:rsid w:val="38D6BA0F"/>
    <w:rsid w:val="38D6C869"/>
    <w:rsid w:val="38D75151"/>
    <w:rsid w:val="38D7AB63"/>
    <w:rsid w:val="38D83048"/>
    <w:rsid w:val="38D8384F"/>
    <w:rsid w:val="38D8BAB6"/>
    <w:rsid w:val="38D90A2F"/>
    <w:rsid w:val="38DA8590"/>
    <w:rsid w:val="38DB1166"/>
    <w:rsid w:val="38DBA255"/>
    <w:rsid w:val="38DC2543"/>
    <w:rsid w:val="38DE8A78"/>
    <w:rsid w:val="38DE8F55"/>
    <w:rsid w:val="38DEA1BF"/>
    <w:rsid w:val="38DF6EB6"/>
    <w:rsid w:val="38DF8F57"/>
    <w:rsid w:val="38DF9B83"/>
    <w:rsid w:val="38DF9EAD"/>
    <w:rsid w:val="38DFC2B6"/>
    <w:rsid w:val="38E017C9"/>
    <w:rsid w:val="38E0DC9B"/>
    <w:rsid w:val="38E1B066"/>
    <w:rsid w:val="38E1EB99"/>
    <w:rsid w:val="38E2C208"/>
    <w:rsid w:val="38E31CF5"/>
    <w:rsid w:val="38E36867"/>
    <w:rsid w:val="38E373DB"/>
    <w:rsid w:val="38E38968"/>
    <w:rsid w:val="38E3972C"/>
    <w:rsid w:val="38E3A642"/>
    <w:rsid w:val="38E3B9C4"/>
    <w:rsid w:val="38E4F599"/>
    <w:rsid w:val="38E4FF16"/>
    <w:rsid w:val="38E619E1"/>
    <w:rsid w:val="38E63436"/>
    <w:rsid w:val="38E641B1"/>
    <w:rsid w:val="38E6A981"/>
    <w:rsid w:val="38E6E144"/>
    <w:rsid w:val="38E78E57"/>
    <w:rsid w:val="38E8DF6E"/>
    <w:rsid w:val="38E91A5B"/>
    <w:rsid w:val="38E9D83A"/>
    <w:rsid w:val="38EB0649"/>
    <w:rsid w:val="38EB1A0F"/>
    <w:rsid w:val="38EB7A09"/>
    <w:rsid w:val="38ECEE3E"/>
    <w:rsid w:val="38ED89D1"/>
    <w:rsid w:val="38EE0413"/>
    <w:rsid w:val="38EE0532"/>
    <w:rsid w:val="38EF7C2B"/>
    <w:rsid w:val="38EF829C"/>
    <w:rsid w:val="38EFA78B"/>
    <w:rsid w:val="38EFB1BE"/>
    <w:rsid w:val="38EFD477"/>
    <w:rsid w:val="38F15F55"/>
    <w:rsid w:val="38F185BD"/>
    <w:rsid w:val="38F1E2D2"/>
    <w:rsid w:val="38F3917B"/>
    <w:rsid w:val="38F4BE6F"/>
    <w:rsid w:val="38F5122A"/>
    <w:rsid w:val="38F530F3"/>
    <w:rsid w:val="38F5726A"/>
    <w:rsid w:val="38F58D4C"/>
    <w:rsid w:val="38F5C0FF"/>
    <w:rsid w:val="38F69077"/>
    <w:rsid w:val="38F72BF7"/>
    <w:rsid w:val="38F77A57"/>
    <w:rsid w:val="38F7C887"/>
    <w:rsid w:val="38FAC5F7"/>
    <w:rsid w:val="38FACF74"/>
    <w:rsid w:val="38FAE5FF"/>
    <w:rsid w:val="38FB8F26"/>
    <w:rsid w:val="38FB922A"/>
    <w:rsid w:val="38FCEF28"/>
    <w:rsid w:val="38FDB714"/>
    <w:rsid w:val="38FDBB65"/>
    <w:rsid w:val="38FEF685"/>
    <w:rsid w:val="38FF6290"/>
    <w:rsid w:val="39011496"/>
    <w:rsid w:val="390145DB"/>
    <w:rsid w:val="39017789"/>
    <w:rsid w:val="39017B03"/>
    <w:rsid w:val="3901F5E6"/>
    <w:rsid w:val="3902219C"/>
    <w:rsid w:val="3902C2E6"/>
    <w:rsid w:val="3902DBE2"/>
    <w:rsid w:val="3903D89B"/>
    <w:rsid w:val="390410D2"/>
    <w:rsid w:val="390456ED"/>
    <w:rsid w:val="3904D528"/>
    <w:rsid w:val="39053E0C"/>
    <w:rsid w:val="390541DE"/>
    <w:rsid w:val="39056542"/>
    <w:rsid w:val="39066D18"/>
    <w:rsid w:val="390719CA"/>
    <w:rsid w:val="39073A4C"/>
    <w:rsid w:val="390747E8"/>
    <w:rsid w:val="39077CE0"/>
    <w:rsid w:val="39079228"/>
    <w:rsid w:val="3907EB3C"/>
    <w:rsid w:val="3908011E"/>
    <w:rsid w:val="39082DED"/>
    <w:rsid w:val="3908852C"/>
    <w:rsid w:val="3908DF16"/>
    <w:rsid w:val="39090699"/>
    <w:rsid w:val="390983E0"/>
    <w:rsid w:val="3909D718"/>
    <w:rsid w:val="390A2C02"/>
    <w:rsid w:val="390A3DE4"/>
    <w:rsid w:val="390A4BB1"/>
    <w:rsid w:val="390AC0C9"/>
    <w:rsid w:val="390B34F0"/>
    <w:rsid w:val="390BA1DA"/>
    <w:rsid w:val="390BA2CC"/>
    <w:rsid w:val="390BB0E2"/>
    <w:rsid w:val="390C3DC7"/>
    <w:rsid w:val="390C8E3B"/>
    <w:rsid w:val="390C9436"/>
    <w:rsid w:val="390CE5AE"/>
    <w:rsid w:val="390D13A2"/>
    <w:rsid w:val="390D1E1C"/>
    <w:rsid w:val="390E1AB7"/>
    <w:rsid w:val="390E60EC"/>
    <w:rsid w:val="390EC66F"/>
    <w:rsid w:val="390EFA1E"/>
    <w:rsid w:val="390F087B"/>
    <w:rsid w:val="390F62FF"/>
    <w:rsid w:val="390FBE87"/>
    <w:rsid w:val="3910648B"/>
    <w:rsid w:val="3910DAD6"/>
    <w:rsid w:val="39111E85"/>
    <w:rsid w:val="39116FDB"/>
    <w:rsid w:val="3911D845"/>
    <w:rsid w:val="391218D3"/>
    <w:rsid w:val="391510ED"/>
    <w:rsid w:val="39152A40"/>
    <w:rsid w:val="39156FC5"/>
    <w:rsid w:val="391691D4"/>
    <w:rsid w:val="39169A7D"/>
    <w:rsid w:val="39172982"/>
    <w:rsid w:val="39174886"/>
    <w:rsid w:val="39180925"/>
    <w:rsid w:val="39183316"/>
    <w:rsid w:val="39190D1E"/>
    <w:rsid w:val="39192B6E"/>
    <w:rsid w:val="39197D6A"/>
    <w:rsid w:val="391AA806"/>
    <w:rsid w:val="391AFCBF"/>
    <w:rsid w:val="391B81F6"/>
    <w:rsid w:val="391B8B02"/>
    <w:rsid w:val="391C309A"/>
    <w:rsid w:val="391C856E"/>
    <w:rsid w:val="391CACD8"/>
    <w:rsid w:val="391D33D9"/>
    <w:rsid w:val="391D7A21"/>
    <w:rsid w:val="391D8284"/>
    <w:rsid w:val="391ED0A5"/>
    <w:rsid w:val="391F1750"/>
    <w:rsid w:val="391F2A2B"/>
    <w:rsid w:val="391FA663"/>
    <w:rsid w:val="391FFF8C"/>
    <w:rsid w:val="3920DE76"/>
    <w:rsid w:val="3921FDC6"/>
    <w:rsid w:val="39223365"/>
    <w:rsid w:val="39225DC1"/>
    <w:rsid w:val="3922BDC6"/>
    <w:rsid w:val="39234491"/>
    <w:rsid w:val="39236A8C"/>
    <w:rsid w:val="3923A9A8"/>
    <w:rsid w:val="3923DC94"/>
    <w:rsid w:val="3925ACBC"/>
    <w:rsid w:val="3926C89A"/>
    <w:rsid w:val="3927CEC7"/>
    <w:rsid w:val="39280DAC"/>
    <w:rsid w:val="39285EAF"/>
    <w:rsid w:val="3928A350"/>
    <w:rsid w:val="392AE10A"/>
    <w:rsid w:val="392B0655"/>
    <w:rsid w:val="392B5180"/>
    <w:rsid w:val="392C1DFE"/>
    <w:rsid w:val="392C49EA"/>
    <w:rsid w:val="392C9751"/>
    <w:rsid w:val="392CB752"/>
    <w:rsid w:val="392CFC88"/>
    <w:rsid w:val="392D9EFC"/>
    <w:rsid w:val="392E3A01"/>
    <w:rsid w:val="392E5971"/>
    <w:rsid w:val="392F5E3F"/>
    <w:rsid w:val="39300B20"/>
    <w:rsid w:val="39302B73"/>
    <w:rsid w:val="39302EB6"/>
    <w:rsid w:val="39309F2B"/>
    <w:rsid w:val="3930BF3F"/>
    <w:rsid w:val="3930E490"/>
    <w:rsid w:val="39317A51"/>
    <w:rsid w:val="3931A05F"/>
    <w:rsid w:val="3931A16D"/>
    <w:rsid w:val="3931FF23"/>
    <w:rsid w:val="3932356B"/>
    <w:rsid w:val="39327E07"/>
    <w:rsid w:val="393298D3"/>
    <w:rsid w:val="39329CC7"/>
    <w:rsid w:val="3932A5E3"/>
    <w:rsid w:val="3932C813"/>
    <w:rsid w:val="39338A82"/>
    <w:rsid w:val="393492F5"/>
    <w:rsid w:val="3934EEB0"/>
    <w:rsid w:val="393510A0"/>
    <w:rsid w:val="393570B6"/>
    <w:rsid w:val="39362ED1"/>
    <w:rsid w:val="3936D996"/>
    <w:rsid w:val="393718B9"/>
    <w:rsid w:val="39373509"/>
    <w:rsid w:val="39373CB3"/>
    <w:rsid w:val="393841AE"/>
    <w:rsid w:val="393859E0"/>
    <w:rsid w:val="393866D3"/>
    <w:rsid w:val="393868D4"/>
    <w:rsid w:val="393913E4"/>
    <w:rsid w:val="393945D0"/>
    <w:rsid w:val="3939515C"/>
    <w:rsid w:val="393A7A28"/>
    <w:rsid w:val="393A9005"/>
    <w:rsid w:val="393B0A7E"/>
    <w:rsid w:val="393D24B1"/>
    <w:rsid w:val="393D3524"/>
    <w:rsid w:val="393D4825"/>
    <w:rsid w:val="393DD7BE"/>
    <w:rsid w:val="393F0930"/>
    <w:rsid w:val="393F48B2"/>
    <w:rsid w:val="393F9D9D"/>
    <w:rsid w:val="393FA89D"/>
    <w:rsid w:val="393FAF8A"/>
    <w:rsid w:val="3940A01F"/>
    <w:rsid w:val="3940A408"/>
    <w:rsid w:val="3940B5AE"/>
    <w:rsid w:val="3940DE66"/>
    <w:rsid w:val="3941128C"/>
    <w:rsid w:val="39415BF5"/>
    <w:rsid w:val="3941998A"/>
    <w:rsid w:val="3941B6E1"/>
    <w:rsid w:val="39420AD6"/>
    <w:rsid w:val="3942DD61"/>
    <w:rsid w:val="394439EA"/>
    <w:rsid w:val="3944AE0D"/>
    <w:rsid w:val="3944C86D"/>
    <w:rsid w:val="3944EAD5"/>
    <w:rsid w:val="39453A4F"/>
    <w:rsid w:val="39460707"/>
    <w:rsid w:val="3946AB17"/>
    <w:rsid w:val="3946B558"/>
    <w:rsid w:val="3946B8CD"/>
    <w:rsid w:val="39473BB8"/>
    <w:rsid w:val="39489F3D"/>
    <w:rsid w:val="39492B4A"/>
    <w:rsid w:val="3949C5AF"/>
    <w:rsid w:val="394B4CEF"/>
    <w:rsid w:val="394B9888"/>
    <w:rsid w:val="394BCBC0"/>
    <w:rsid w:val="394BF728"/>
    <w:rsid w:val="394C3BA8"/>
    <w:rsid w:val="394DD8B2"/>
    <w:rsid w:val="394E06F5"/>
    <w:rsid w:val="394E96D7"/>
    <w:rsid w:val="394EE05B"/>
    <w:rsid w:val="394F4BB2"/>
    <w:rsid w:val="394F8A57"/>
    <w:rsid w:val="395021F1"/>
    <w:rsid w:val="395116D3"/>
    <w:rsid w:val="39513C6A"/>
    <w:rsid w:val="395188C2"/>
    <w:rsid w:val="3951FD97"/>
    <w:rsid w:val="39529030"/>
    <w:rsid w:val="395540E3"/>
    <w:rsid w:val="39554439"/>
    <w:rsid w:val="395553A2"/>
    <w:rsid w:val="3955B186"/>
    <w:rsid w:val="39560808"/>
    <w:rsid w:val="39571EFA"/>
    <w:rsid w:val="39572D12"/>
    <w:rsid w:val="395787E2"/>
    <w:rsid w:val="39580DBE"/>
    <w:rsid w:val="395821C4"/>
    <w:rsid w:val="3958C6FE"/>
    <w:rsid w:val="3958D0A1"/>
    <w:rsid w:val="3958DC4B"/>
    <w:rsid w:val="39592AD9"/>
    <w:rsid w:val="395A6E66"/>
    <w:rsid w:val="395A9D9D"/>
    <w:rsid w:val="395BDB05"/>
    <w:rsid w:val="395CE4FA"/>
    <w:rsid w:val="395CF74F"/>
    <w:rsid w:val="395D85F9"/>
    <w:rsid w:val="395F8832"/>
    <w:rsid w:val="395FAE67"/>
    <w:rsid w:val="395FFE9C"/>
    <w:rsid w:val="39607AF4"/>
    <w:rsid w:val="39617773"/>
    <w:rsid w:val="39619492"/>
    <w:rsid w:val="3961C4FF"/>
    <w:rsid w:val="39622646"/>
    <w:rsid w:val="396284AD"/>
    <w:rsid w:val="39628C48"/>
    <w:rsid w:val="39637CB3"/>
    <w:rsid w:val="3963E077"/>
    <w:rsid w:val="39655AF6"/>
    <w:rsid w:val="39664FBB"/>
    <w:rsid w:val="39667498"/>
    <w:rsid w:val="3967867A"/>
    <w:rsid w:val="396803FF"/>
    <w:rsid w:val="3968073D"/>
    <w:rsid w:val="3968785E"/>
    <w:rsid w:val="39687FF3"/>
    <w:rsid w:val="396910DB"/>
    <w:rsid w:val="3969DF1A"/>
    <w:rsid w:val="396AEC69"/>
    <w:rsid w:val="396B89B0"/>
    <w:rsid w:val="396BACEA"/>
    <w:rsid w:val="396BB0D7"/>
    <w:rsid w:val="396C63BD"/>
    <w:rsid w:val="396C68D7"/>
    <w:rsid w:val="396C9470"/>
    <w:rsid w:val="396D32CB"/>
    <w:rsid w:val="396DA683"/>
    <w:rsid w:val="396E12F6"/>
    <w:rsid w:val="396E7FB4"/>
    <w:rsid w:val="396EEAF0"/>
    <w:rsid w:val="39701063"/>
    <w:rsid w:val="3970B12D"/>
    <w:rsid w:val="3970F4E3"/>
    <w:rsid w:val="39710EBC"/>
    <w:rsid w:val="3971D15A"/>
    <w:rsid w:val="3973C023"/>
    <w:rsid w:val="3973C4FD"/>
    <w:rsid w:val="397442C6"/>
    <w:rsid w:val="397456E4"/>
    <w:rsid w:val="3974FFC9"/>
    <w:rsid w:val="3975377C"/>
    <w:rsid w:val="39757C01"/>
    <w:rsid w:val="3975D240"/>
    <w:rsid w:val="3975D822"/>
    <w:rsid w:val="3976A768"/>
    <w:rsid w:val="3976B72C"/>
    <w:rsid w:val="39779435"/>
    <w:rsid w:val="3977D6B5"/>
    <w:rsid w:val="3977FBF9"/>
    <w:rsid w:val="39787DE8"/>
    <w:rsid w:val="39789D34"/>
    <w:rsid w:val="3979559D"/>
    <w:rsid w:val="3979B13E"/>
    <w:rsid w:val="397AB884"/>
    <w:rsid w:val="397B9CF8"/>
    <w:rsid w:val="397C3C6C"/>
    <w:rsid w:val="397D0C5A"/>
    <w:rsid w:val="397EC3C3"/>
    <w:rsid w:val="397F7234"/>
    <w:rsid w:val="397FF93B"/>
    <w:rsid w:val="3980DCF4"/>
    <w:rsid w:val="3980F707"/>
    <w:rsid w:val="39818F07"/>
    <w:rsid w:val="3981FA6F"/>
    <w:rsid w:val="39827584"/>
    <w:rsid w:val="398282DD"/>
    <w:rsid w:val="3982DA4F"/>
    <w:rsid w:val="3983B271"/>
    <w:rsid w:val="3983E721"/>
    <w:rsid w:val="398436FD"/>
    <w:rsid w:val="39852C82"/>
    <w:rsid w:val="39853D54"/>
    <w:rsid w:val="39859BE2"/>
    <w:rsid w:val="3985A252"/>
    <w:rsid w:val="3985F329"/>
    <w:rsid w:val="39868795"/>
    <w:rsid w:val="3986B6D5"/>
    <w:rsid w:val="39870F38"/>
    <w:rsid w:val="3987C097"/>
    <w:rsid w:val="3988203E"/>
    <w:rsid w:val="39895AD1"/>
    <w:rsid w:val="3989716B"/>
    <w:rsid w:val="3989F651"/>
    <w:rsid w:val="398A5DFC"/>
    <w:rsid w:val="398B54DE"/>
    <w:rsid w:val="398B85F9"/>
    <w:rsid w:val="398C9D91"/>
    <w:rsid w:val="398D3547"/>
    <w:rsid w:val="398DF891"/>
    <w:rsid w:val="398E417F"/>
    <w:rsid w:val="398F3D21"/>
    <w:rsid w:val="398F6471"/>
    <w:rsid w:val="398F6B65"/>
    <w:rsid w:val="398FE5AE"/>
    <w:rsid w:val="39902F31"/>
    <w:rsid w:val="3990C6B6"/>
    <w:rsid w:val="3990CCB5"/>
    <w:rsid w:val="39912390"/>
    <w:rsid w:val="39918910"/>
    <w:rsid w:val="39932E13"/>
    <w:rsid w:val="39947285"/>
    <w:rsid w:val="399479A8"/>
    <w:rsid w:val="39949546"/>
    <w:rsid w:val="3994E8B4"/>
    <w:rsid w:val="39969E29"/>
    <w:rsid w:val="3996C1EF"/>
    <w:rsid w:val="399709F2"/>
    <w:rsid w:val="39972AED"/>
    <w:rsid w:val="3997A029"/>
    <w:rsid w:val="399809B9"/>
    <w:rsid w:val="3999FCB1"/>
    <w:rsid w:val="399A8760"/>
    <w:rsid w:val="399A9146"/>
    <w:rsid w:val="399AC92A"/>
    <w:rsid w:val="399B89B8"/>
    <w:rsid w:val="399C0C52"/>
    <w:rsid w:val="399C1D07"/>
    <w:rsid w:val="399C206B"/>
    <w:rsid w:val="399C3F3E"/>
    <w:rsid w:val="399C4827"/>
    <w:rsid w:val="399C7C96"/>
    <w:rsid w:val="399C84BA"/>
    <w:rsid w:val="399CF099"/>
    <w:rsid w:val="399E3FBC"/>
    <w:rsid w:val="399E984B"/>
    <w:rsid w:val="399F197F"/>
    <w:rsid w:val="399F1B69"/>
    <w:rsid w:val="399F502A"/>
    <w:rsid w:val="399FCD2C"/>
    <w:rsid w:val="399FD0C5"/>
    <w:rsid w:val="39A07E53"/>
    <w:rsid w:val="39A27217"/>
    <w:rsid w:val="39A3EB5C"/>
    <w:rsid w:val="39A41BDB"/>
    <w:rsid w:val="39A4385A"/>
    <w:rsid w:val="39A546FD"/>
    <w:rsid w:val="39A70144"/>
    <w:rsid w:val="39A709CB"/>
    <w:rsid w:val="39A769FD"/>
    <w:rsid w:val="39A804F3"/>
    <w:rsid w:val="39A80D81"/>
    <w:rsid w:val="39A885D6"/>
    <w:rsid w:val="39A89D10"/>
    <w:rsid w:val="39A8BFBB"/>
    <w:rsid w:val="39A940FD"/>
    <w:rsid w:val="39A96CA7"/>
    <w:rsid w:val="39AA81D4"/>
    <w:rsid w:val="39AAAC44"/>
    <w:rsid w:val="39AC55D6"/>
    <w:rsid w:val="39AD3DA3"/>
    <w:rsid w:val="39AD863F"/>
    <w:rsid w:val="39ADE88C"/>
    <w:rsid w:val="39AEC23A"/>
    <w:rsid w:val="39AF77AC"/>
    <w:rsid w:val="39AF7996"/>
    <w:rsid w:val="39AFAB26"/>
    <w:rsid w:val="39AFAD1E"/>
    <w:rsid w:val="39AFB884"/>
    <w:rsid w:val="39B0054A"/>
    <w:rsid w:val="39B1FF83"/>
    <w:rsid w:val="39B2C746"/>
    <w:rsid w:val="39B376A5"/>
    <w:rsid w:val="39B39C71"/>
    <w:rsid w:val="39B3B5AB"/>
    <w:rsid w:val="39B54B2E"/>
    <w:rsid w:val="39B6B85F"/>
    <w:rsid w:val="39B806FE"/>
    <w:rsid w:val="39B82AD9"/>
    <w:rsid w:val="39B847D6"/>
    <w:rsid w:val="39B8D0DD"/>
    <w:rsid w:val="39B8EEDA"/>
    <w:rsid w:val="39B96814"/>
    <w:rsid w:val="39B9E407"/>
    <w:rsid w:val="39BA54E0"/>
    <w:rsid w:val="39BA72C1"/>
    <w:rsid w:val="39BAAF3C"/>
    <w:rsid w:val="39BAB205"/>
    <w:rsid w:val="39BB68A8"/>
    <w:rsid w:val="39BB981A"/>
    <w:rsid w:val="39BBB632"/>
    <w:rsid w:val="39BC31E5"/>
    <w:rsid w:val="39BC5DEA"/>
    <w:rsid w:val="39BCB955"/>
    <w:rsid w:val="39BCDA9C"/>
    <w:rsid w:val="39BD3E28"/>
    <w:rsid w:val="39BDBFFC"/>
    <w:rsid w:val="39BDF9D2"/>
    <w:rsid w:val="39BE1401"/>
    <w:rsid w:val="39BE676F"/>
    <w:rsid w:val="39C0AA84"/>
    <w:rsid w:val="39C1AC19"/>
    <w:rsid w:val="39C1F243"/>
    <w:rsid w:val="39C2977B"/>
    <w:rsid w:val="39C34B7B"/>
    <w:rsid w:val="39C357D1"/>
    <w:rsid w:val="39C3BF65"/>
    <w:rsid w:val="39C3D256"/>
    <w:rsid w:val="39C412C3"/>
    <w:rsid w:val="39C56EFF"/>
    <w:rsid w:val="39C58D5B"/>
    <w:rsid w:val="39C5B0CE"/>
    <w:rsid w:val="39C5B6F2"/>
    <w:rsid w:val="39C5CAC7"/>
    <w:rsid w:val="39C5D036"/>
    <w:rsid w:val="39C6589B"/>
    <w:rsid w:val="39C751B5"/>
    <w:rsid w:val="39C82BD4"/>
    <w:rsid w:val="39C8707E"/>
    <w:rsid w:val="39C89DB9"/>
    <w:rsid w:val="39C929A2"/>
    <w:rsid w:val="39C99251"/>
    <w:rsid w:val="39C9B6FF"/>
    <w:rsid w:val="39C9CDDF"/>
    <w:rsid w:val="39CA34D2"/>
    <w:rsid w:val="39CA69D6"/>
    <w:rsid w:val="39CB4C93"/>
    <w:rsid w:val="39CC047D"/>
    <w:rsid w:val="39CCC5AC"/>
    <w:rsid w:val="39CCEEA6"/>
    <w:rsid w:val="39CDAF35"/>
    <w:rsid w:val="39CE6702"/>
    <w:rsid w:val="39D166F5"/>
    <w:rsid w:val="39D1E7CE"/>
    <w:rsid w:val="39D235F4"/>
    <w:rsid w:val="39D373C9"/>
    <w:rsid w:val="39D3BDAE"/>
    <w:rsid w:val="39D4262B"/>
    <w:rsid w:val="39D4419B"/>
    <w:rsid w:val="39D449B7"/>
    <w:rsid w:val="39D48D82"/>
    <w:rsid w:val="39D4AC79"/>
    <w:rsid w:val="39D4BB7E"/>
    <w:rsid w:val="39D4BC80"/>
    <w:rsid w:val="39D52E43"/>
    <w:rsid w:val="39D6096F"/>
    <w:rsid w:val="39D6A9F9"/>
    <w:rsid w:val="39D740BA"/>
    <w:rsid w:val="39D89046"/>
    <w:rsid w:val="39D9E0B7"/>
    <w:rsid w:val="39DA0C31"/>
    <w:rsid w:val="39DA88A8"/>
    <w:rsid w:val="39DAF514"/>
    <w:rsid w:val="39DAF982"/>
    <w:rsid w:val="39DBAE67"/>
    <w:rsid w:val="39DBE675"/>
    <w:rsid w:val="39DBF550"/>
    <w:rsid w:val="39DC238E"/>
    <w:rsid w:val="39DC6D42"/>
    <w:rsid w:val="39DE3600"/>
    <w:rsid w:val="39DE6A0B"/>
    <w:rsid w:val="39DECAB0"/>
    <w:rsid w:val="39DF0C68"/>
    <w:rsid w:val="39DF2E4C"/>
    <w:rsid w:val="39DF3477"/>
    <w:rsid w:val="39DF73BA"/>
    <w:rsid w:val="39DFD7D9"/>
    <w:rsid w:val="39E1CEBE"/>
    <w:rsid w:val="39E28BC1"/>
    <w:rsid w:val="39E3070D"/>
    <w:rsid w:val="39E35513"/>
    <w:rsid w:val="39E37201"/>
    <w:rsid w:val="39E46750"/>
    <w:rsid w:val="39E48D50"/>
    <w:rsid w:val="39E525CE"/>
    <w:rsid w:val="39E5AAA8"/>
    <w:rsid w:val="39E646F1"/>
    <w:rsid w:val="39E669BC"/>
    <w:rsid w:val="39E7A085"/>
    <w:rsid w:val="39E7E26B"/>
    <w:rsid w:val="39E81678"/>
    <w:rsid w:val="39E8EF38"/>
    <w:rsid w:val="39E953F7"/>
    <w:rsid w:val="39EA3DFB"/>
    <w:rsid w:val="39EA8AC7"/>
    <w:rsid w:val="39EAFC0A"/>
    <w:rsid w:val="39EBC5A4"/>
    <w:rsid w:val="39EBFD12"/>
    <w:rsid w:val="39EC3C94"/>
    <w:rsid w:val="39ED005F"/>
    <w:rsid w:val="39EF5EA6"/>
    <w:rsid w:val="39F02239"/>
    <w:rsid w:val="39F0C999"/>
    <w:rsid w:val="39F12DCF"/>
    <w:rsid w:val="39F2152F"/>
    <w:rsid w:val="39F2480C"/>
    <w:rsid w:val="39F287C1"/>
    <w:rsid w:val="39F28CA8"/>
    <w:rsid w:val="39F2DA9F"/>
    <w:rsid w:val="39F37505"/>
    <w:rsid w:val="39F389B5"/>
    <w:rsid w:val="39F4C838"/>
    <w:rsid w:val="39F4E073"/>
    <w:rsid w:val="39F51449"/>
    <w:rsid w:val="39F55414"/>
    <w:rsid w:val="39F5A0D4"/>
    <w:rsid w:val="39F5BB33"/>
    <w:rsid w:val="39F5E927"/>
    <w:rsid w:val="39F6AE71"/>
    <w:rsid w:val="39F7005D"/>
    <w:rsid w:val="39F7101E"/>
    <w:rsid w:val="39F8301C"/>
    <w:rsid w:val="39F94CC6"/>
    <w:rsid w:val="39F9E151"/>
    <w:rsid w:val="39FA129F"/>
    <w:rsid w:val="39FA4667"/>
    <w:rsid w:val="39FA5A5B"/>
    <w:rsid w:val="39FA614E"/>
    <w:rsid w:val="39FAAE09"/>
    <w:rsid w:val="39FB5A62"/>
    <w:rsid w:val="39FB8254"/>
    <w:rsid w:val="39FC0BD7"/>
    <w:rsid w:val="39FCBE38"/>
    <w:rsid w:val="39FD44D4"/>
    <w:rsid w:val="39FD79F2"/>
    <w:rsid w:val="39FE4A62"/>
    <w:rsid w:val="39FE8B57"/>
    <w:rsid w:val="39FE8E6D"/>
    <w:rsid w:val="3A0019DF"/>
    <w:rsid w:val="3A003DDC"/>
    <w:rsid w:val="3A00DD1A"/>
    <w:rsid w:val="3A02227D"/>
    <w:rsid w:val="3A02CA2F"/>
    <w:rsid w:val="3A0400D8"/>
    <w:rsid w:val="3A043231"/>
    <w:rsid w:val="3A0485F5"/>
    <w:rsid w:val="3A04F983"/>
    <w:rsid w:val="3A054D19"/>
    <w:rsid w:val="3A074832"/>
    <w:rsid w:val="3A08D3D9"/>
    <w:rsid w:val="3A096052"/>
    <w:rsid w:val="3A0A9211"/>
    <w:rsid w:val="3A0C22C3"/>
    <w:rsid w:val="3A0C3294"/>
    <w:rsid w:val="3A0C33BD"/>
    <w:rsid w:val="3A0C543F"/>
    <w:rsid w:val="3A0CE297"/>
    <w:rsid w:val="3A0D0D24"/>
    <w:rsid w:val="3A0E8B36"/>
    <w:rsid w:val="3A0ECF17"/>
    <w:rsid w:val="3A0EE6A8"/>
    <w:rsid w:val="3A0EFDB0"/>
    <w:rsid w:val="3A0F3A70"/>
    <w:rsid w:val="3A105DF0"/>
    <w:rsid w:val="3A10716E"/>
    <w:rsid w:val="3A1209E9"/>
    <w:rsid w:val="3A122419"/>
    <w:rsid w:val="3A125B2D"/>
    <w:rsid w:val="3A13318F"/>
    <w:rsid w:val="3A139290"/>
    <w:rsid w:val="3A144287"/>
    <w:rsid w:val="3A14A5A3"/>
    <w:rsid w:val="3A160A9B"/>
    <w:rsid w:val="3A168086"/>
    <w:rsid w:val="3A16BBF7"/>
    <w:rsid w:val="3A16C7DE"/>
    <w:rsid w:val="3A16F68C"/>
    <w:rsid w:val="3A171E0B"/>
    <w:rsid w:val="3A17553D"/>
    <w:rsid w:val="3A176E3B"/>
    <w:rsid w:val="3A1871E1"/>
    <w:rsid w:val="3A1B5924"/>
    <w:rsid w:val="3A1BC48B"/>
    <w:rsid w:val="3A1CEB97"/>
    <w:rsid w:val="3A1D6EB2"/>
    <w:rsid w:val="3A1E2B13"/>
    <w:rsid w:val="3A1EBA37"/>
    <w:rsid w:val="3A203B71"/>
    <w:rsid w:val="3A204795"/>
    <w:rsid w:val="3A21067F"/>
    <w:rsid w:val="3A21F199"/>
    <w:rsid w:val="3A21FF0B"/>
    <w:rsid w:val="3A223EA0"/>
    <w:rsid w:val="3A2275D5"/>
    <w:rsid w:val="3A2307C9"/>
    <w:rsid w:val="3A233B99"/>
    <w:rsid w:val="3A23C4ED"/>
    <w:rsid w:val="3A23EAA4"/>
    <w:rsid w:val="3A24220B"/>
    <w:rsid w:val="3A2499F0"/>
    <w:rsid w:val="3A24EEA0"/>
    <w:rsid w:val="3A25D31D"/>
    <w:rsid w:val="3A263604"/>
    <w:rsid w:val="3A26F9CA"/>
    <w:rsid w:val="3A27357E"/>
    <w:rsid w:val="3A292919"/>
    <w:rsid w:val="3A29D8CF"/>
    <w:rsid w:val="3A2C8190"/>
    <w:rsid w:val="3A2CEF4A"/>
    <w:rsid w:val="3A2CFBC6"/>
    <w:rsid w:val="3A2EC67E"/>
    <w:rsid w:val="3A2F7A31"/>
    <w:rsid w:val="3A30711A"/>
    <w:rsid w:val="3A31C40B"/>
    <w:rsid w:val="3A32A277"/>
    <w:rsid w:val="3A32A460"/>
    <w:rsid w:val="3A330C35"/>
    <w:rsid w:val="3A330FC6"/>
    <w:rsid w:val="3A34074E"/>
    <w:rsid w:val="3A34576B"/>
    <w:rsid w:val="3A34E691"/>
    <w:rsid w:val="3A3585D5"/>
    <w:rsid w:val="3A358CFC"/>
    <w:rsid w:val="3A35C61F"/>
    <w:rsid w:val="3A35F242"/>
    <w:rsid w:val="3A367001"/>
    <w:rsid w:val="3A36AE2A"/>
    <w:rsid w:val="3A36FE4C"/>
    <w:rsid w:val="3A37A911"/>
    <w:rsid w:val="3A37C3E8"/>
    <w:rsid w:val="3A395F50"/>
    <w:rsid w:val="3A397E50"/>
    <w:rsid w:val="3A3986E4"/>
    <w:rsid w:val="3A3A3C98"/>
    <w:rsid w:val="3A3A7BA0"/>
    <w:rsid w:val="3A3A9075"/>
    <w:rsid w:val="3A3B12E9"/>
    <w:rsid w:val="3A3BEDC9"/>
    <w:rsid w:val="3A3C97DA"/>
    <w:rsid w:val="3A3CA800"/>
    <w:rsid w:val="3A3D2527"/>
    <w:rsid w:val="3A3DD2AE"/>
    <w:rsid w:val="3A3DD8F7"/>
    <w:rsid w:val="3A3E5879"/>
    <w:rsid w:val="3A3FFF3E"/>
    <w:rsid w:val="3A400418"/>
    <w:rsid w:val="3A40BFB0"/>
    <w:rsid w:val="3A41743E"/>
    <w:rsid w:val="3A41B15F"/>
    <w:rsid w:val="3A423D01"/>
    <w:rsid w:val="3A426C14"/>
    <w:rsid w:val="3A43C019"/>
    <w:rsid w:val="3A45742D"/>
    <w:rsid w:val="3A458A52"/>
    <w:rsid w:val="3A45A3B8"/>
    <w:rsid w:val="3A45F2A0"/>
    <w:rsid w:val="3A463BEC"/>
    <w:rsid w:val="3A464BDA"/>
    <w:rsid w:val="3A465F9C"/>
    <w:rsid w:val="3A466ABC"/>
    <w:rsid w:val="3A47601F"/>
    <w:rsid w:val="3A477360"/>
    <w:rsid w:val="3A477B01"/>
    <w:rsid w:val="3A47BA33"/>
    <w:rsid w:val="3A47D09D"/>
    <w:rsid w:val="3A480DD5"/>
    <w:rsid w:val="3A48312B"/>
    <w:rsid w:val="3A496F03"/>
    <w:rsid w:val="3A49D187"/>
    <w:rsid w:val="3A49EC08"/>
    <w:rsid w:val="3A4A90AA"/>
    <w:rsid w:val="3A4B2642"/>
    <w:rsid w:val="3A4BAB08"/>
    <w:rsid w:val="3A4BBB3A"/>
    <w:rsid w:val="3A4C20CF"/>
    <w:rsid w:val="3A4C3855"/>
    <w:rsid w:val="3A4CF7B3"/>
    <w:rsid w:val="3A4D90F6"/>
    <w:rsid w:val="3A4E01FF"/>
    <w:rsid w:val="3A4E2399"/>
    <w:rsid w:val="3A4E6E8C"/>
    <w:rsid w:val="3A4E9B40"/>
    <w:rsid w:val="3A4EB787"/>
    <w:rsid w:val="3A4FA548"/>
    <w:rsid w:val="3A5187A2"/>
    <w:rsid w:val="3A51F451"/>
    <w:rsid w:val="3A5235F8"/>
    <w:rsid w:val="3A5266DC"/>
    <w:rsid w:val="3A5284BE"/>
    <w:rsid w:val="3A52EB7C"/>
    <w:rsid w:val="3A53826F"/>
    <w:rsid w:val="3A539098"/>
    <w:rsid w:val="3A53DEB1"/>
    <w:rsid w:val="3A54A000"/>
    <w:rsid w:val="3A550267"/>
    <w:rsid w:val="3A550947"/>
    <w:rsid w:val="3A55282E"/>
    <w:rsid w:val="3A57CD2A"/>
    <w:rsid w:val="3A580C6F"/>
    <w:rsid w:val="3A582BAD"/>
    <w:rsid w:val="3A58F586"/>
    <w:rsid w:val="3A59C7F5"/>
    <w:rsid w:val="3A5A0D2E"/>
    <w:rsid w:val="3A5B257B"/>
    <w:rsid w:val="3A5D52D0"/>
    <w:rsid w:val="3A5DBB0D"/>
    <w:rsid w:val="3A5ECDDF"/>
    <w:rsid w:val="3A5F4470"/>
    <w:rsid w:val="3A5F57D8"/>
    <w:rsid w:val="3A5FDA06"/>
    <w:rsid w:val="3A60AD71"/>
    <w:rsid w:val="3A60DF33"/>
    <w:rsid w:val="3A6189CA"/>
    <w:rsid w:val="3A621E78"/>
    <w:rsid w:val="3A62C2F7"/>
    <w:rsid w:val="3A62F19F"/>
    <w:rsid w:val="3A6339E4"/>
    <w:rsid w:val="3A63D785"/>
    <w:rsid w:val="3A643F23"/>
    <w:rsid w:val="3A65E2D2"/>
    <w:rsid w:val="3A667FB0"/>
    <w:rsid w:val="3A66A887"/>
    <w:rsid w:val="3A66EA40"/>
    <w:rsid w:val="3A6757D0"/>
    <w:rsid w:val="3A6816FF"/>
    <w:rsid w:val="3A68DCB0"/>
    <w:rsid w:val="3A68F9FF"/>
    <w:rsid w:val="3A68FE35"/>
    <w:rsid w:val="3A6935EA"/>
    <w:rsid w:val="3A69A90F"/>
    <w:rsid w:val="3A69F2BF"/>
    <w:rsid w:val="3A6A1568"/>
    <w:rsid w:val="3A6C4683"/>
    <w:rsid w:val="3A6C804A"/>
    <w:rsid w:val="3A6CB79B"/>
    <w:rsid w:val="3A6CC0E9"/>
    <w:rsid w:val="3A6D0F70"/>
    <w:rsid w:val="3A6D2FB4"/>
    <w:rsid w:val="3A6D4E55"/>
    <w:rsid w:val="3A6DD1CF"/>
    <w:rsid w:val="3A6DF1D4"/>
    <w:rsid w:val="3A6E0053"/>
    <w:rsid w:val="3A6E0D98"/>
    <w:rsid w:val="3A6E803A"/>
    <w:rsid w:val="3A6EC5B4"/>
    <w:rsid w:val="3A6ECE99"/>
    <w:rsid w:val="3A6F1E66"/>
    <w:rsid w:val="3A6FF033"/>
    <w:rsid w:val="3A700EBD"/>
    <w:rsid w:val="3A7042AA"/>
    <w:rsid w:val="3A70CC19"/>
    <w:rsid w:val="3A70D7F8"/>
    <w:rsid w:val="3A721DA3"/>
    <w:rsid w:val="3A736BB1"/>
    <w:rsid w:val="3A738A2F"/>
    <w:rsid w:val="3A73AD93"/>
    <w:rsid w:val="3A73D368"/>
    <w:rsid w:val="3A73E3AF"/>
    <w:rsid w:val="3A74AA89"/>
    <w:rsid w:val="3A74C6A4"/>
    <w:rsid w:val="3A75BCA6"/>
    <w:rsid w:val="3A76DEB8"/>
    <w:rsid w:val="3A76EB2E"/>
    <w:rsid w:val="3A771094"/>
    <w:rsid w:val="3A7786BA"/>
    <w:rsid w:val="3A77C87F"/>
    <w:rsid w:val="3A78DDB8"/>
    <w:rsid w:val="3A78E9C5"/>
    <w:rsid w:val="3A790B5A"/>
    <w:rsid w:val="3A798E25"/>
    <w:rsid w:val="3A7A05FD"/>
    <w:rsid w:val="3A7A5EB8"/>
    <w:rsid w:val="3A7AD9E3"/>
    <w:rsid w:val="3A7C19C6"/>
    <w:rsid w:val="3A7DD362"/>
    <w:rsid w:val="3A7E0453"/>
    <w:rsid w:val="3A807B35"/>
    <w:rsid w:val="3A8119BA"/>
    <w:rsid w:val="3A81425D"/>
    <w:rsid w:val="3A81755E"/>
    <w:rsid w:val="3A81854C"/>
    <w:rsid w:val="3A82796D"/>
    <w:rsid w:val="3A82D0FC"/>
    <w:rsid w:val="3A82F5EF"/>
    <w:rsid w:val="3A8350BE"/>
    <w:rsid w:val="3A83C78C"/>
    <w:rsid w:val="3A84959A"/>
    <w:rsid w:val="3A851CDA"/>
    <w:rsid w:val="3A857DF6"/>
    <w:rsid w:val="3A8665E8"/>
    <w:rsid w:val="3A88018D"/>
    <w:rsid w:val="3A8829FB"/>
    <w:rsid w:val="3A8A46B8"/>
    <w:rsid w:val="3A8AE236"/>
    <w:rsid w:val="3A8B1838"/>
    <w:rsid w:val="3A8B2DD2"/>
    <w:rsid w:val="3A8BD14A"/>
    <w:rsid w:val="3A8C18F3"/>
    <w:rsid w:val="3A8C5680"/>
    <w:rsid w:val="3A8CC472"/>
    <w:rsid w:val="3A8D3927"/>
    <w:rsid w:val="3A8DCC50"/>
    <w:rsid w:val="3A8E1B76"/>
    <w:rsid w:val="3A8E35B0"/>
    <w:rsid w:val="3A8F91AD"/>
    <w:rsid w:val="3A8F98D6"/>
    <w:rsid w:val="3A8FC1F0"/>
    <w:rsid w:val="3A8FD8DF"/>
    <w:rsid w:val="3A90311D"/>
    <w:rsid w:val="3A90B42F"/>
    <w:rsid w:val="3A90C6DE"/>
    <w:rsid w:val="3A914B63"/>
    <w:rsid w:val="3A91EC71"/>
    <w:rsid w:val="3A923BE5"/>
    <w:rsid w:val="3A925FAC"/>
    <w:rsid w:val="3A93C1A5"/>
    <w:rsid w:val="3A95BC1B"/>
    <w:rsid w:val="3A95E28D"/>
    <w:rsid w:val="3A95E8F1"/>
    <w:rsid w:val="3A9608F8"/>
    <w:rsid w:val="3A967C72"/>
    <w:rsid w:val="3A969E94"/>
    <w:rsid w:val="3A9792DC"/>
    <w:rsid w:val="3A9803BF"/>
    <w:rsid w:val="3A982F19"/>
    <w:rsid w:val="3A984662"/>
    <w:rsid w:val="3A98BAB6"/>
    <w:rsid w:val="3A98C502"/>
    <w:rsid w:val="3A993D56"/>
    <w:rsid w:val="3A997D19"/>
    <w:rsid w:val="3A9A8422"/>
    <w:rsid w:val="3A9BBB3C"/>
    <w:rsid w:val="3A9BBB67"/>
    <w:rsid w:val="3A9C980C"/>
    <w:rsid w:val="3A9D2017"/>
    <w:rsid w:val="3A9DAA9B"/>
    <w:rsid w:val="3A9E48AD"/>
    <w:rsid w:val="3A9E8B60"/>
    <w:rsid w:val="3A9F1D2C"/>
    <w:rsid w:val="3A9FD77E"/>
    <w:rsid w:val="3A9FDF53"/>
    <w:rsid w:val="3AA1D349"/>
    <w:rsid w:val="3AA27602"/>
    <w:rsid w:val="3AA2F466"/>
    <w:rsid w:val="3AA43772"/>
    <w:rsid w:val="3AA65D6F"/>
    <w:rsid w:val="3AA72746"/>
    <w:rsid w:val="3AA791EF"/>
    <w:rsid w:val="3AA7F90A"/>
    <w:rsid w:val="3AAA1373"/>
    <w:rsid w:val="3AAA3EC0"/>
    <w:rsid w:val="3AAA6E22"/>
    <w:rsid w:val="3AAB285A"/>
    <w:rsid w:val="3AAB5C39"/>
    <w:rsid w:val="3AABB7B2"/>
    <w:rsid w:val="3AAC1428"/>
    <w:rsid w:val="3AAC412E"/>
    <w:rsid w:val="3AAC8214"/>
    <w:rsid w:val="3AAC9D9E"/>
    <w:rsid w:val="3AACAC18"/>
    <w:rsid w:val="3AAD2693"/>
    <w:rsid w:val="3AAD73E3"/>
    <w:rsid w:val="3AAE37D1"/>
    <w:rsid w:val="3AAE5B19"/>
    <w:rsid w:val="3AAE6AC2"/>
    <w:rsid w:val="3AAE6D28"/>
    <w:rsid w:val="3AAF3082"/>
    <w:rsid w:val="3AAFB94A"/>
    <w:rsid w:val="3AB06321"/>
    <w:rsid w:val="3AB17CD1"/>
    <w:rsid w:val="3AB1EFDA"/>
    <w:rsid w:val="3AB1F2C8"/>
    <w:rsid w:val="3AB23CB4"/>
    <w:rsid w:val="3AB2496D"/>
    <w:rsid w:val="3AB35F85"/>
    <w:rsid w:val="3AB5DAC8"/>
    <w:rsid w:val="3AB5F8EE"/>
    <w:rsid w:val="3AB5FAB9"/>
    <w:rsid w:val="3AB6B50D"/>
    <w:rsid w:val="3AB6D222"/>
    <w:rsid w:val="3AB71168"/>
    <w:rsid w:val="3AB8A787"/>
    <w:rsid w:val="3AB93D2D"/>
    <w:rsid w:val="3AB9FB8F"/>
    <w:rsid w:val="3AB9FE1A"/>
    <w:rsid w:val="3ABA756A"/>
    <w:rsid w:val="3ABA8A78"/>
    <w:rsid w:val="3ABACA20"/>
    <w:rsid w:val="3ABAFF7F"/>
    <w:rsid w:val="3ABB8A3B"/>
    <w:rsid w:val="3ABBF047"/>
    <w:rsid w:val="3ABC2551"/>
    <w:rsid w:val="3ABD1FE0"/>
    <w:rsid w:val="3ABDB692"/>
    <w:rsid w:val="3ABE6173"/>
    <w:rsid w:val="3ABF0E44"/>
    <w:rsid w:val="3ABF3922"/>
    <w:rsid w:val="3ABFFE5A"/>
    <w:rsid w:val="3AC01E9D"/>
    <w:rsid w:val="3AC0E3E8"/>
    <w:rsid w:val="3AC10DA4"/>
    <w:rsid w:val="3AC10DEA"/>
    <w:rsid w:val="3AC115F5"/>
    <w:rsid w:val="3AC161A0"/>
    <w:rsid w:val="3AC19A8D"/>
    <w:rsid w:val="3AC1A5CA"/>
    <w:rsid w:val="3AC38550"/>
    <w:rsid w:val="3AC3D1E7"/>
    <w:rsid w:val="3AC44E17"/>
    <w:rsid w:val="3AC48A85"/>
    <w:rsid w:val="3AC4D3DB"/>
    <w:rsid w:val="3AC512D9"/>
    <w:rsid w:val="3AC548DC"/>
    <w:rsid w:val="3AC5B957"/>
    <w:rsid w:val="3AC61CA4"/>
    <w:rsid w:val="3AC64969"/>
    <w:rsid w:val="3AC7096C"/>
    <w:rsid w:val="3AC71700"/>
    <w:rsid w:val="3AC7AD96"/>
    <w:rsid w:val="3AC81E43"/>
    <w:rsid w:val="3AC81FE7"/>
    <w:rsid w:val="3AC88BD5"/>
    <w:rsid w:val="3AC8FA61"/>
    <w:rsid w:val="3AC9505D"/>
    <w:rsid w:val="3AC96BBF"/>
    <w:rsid w:val="3AC99CD8"/>
    <w:rsid w:val="3ACA45A1"/>
    <w:rsid w:val="3ACBD05C"/>
    <w:rsid w:val="3ACC2C8C"/>
    <w:rsid w:val="3ACC3936"/>
    <w:rsid w:val="3ACC6F82"/>
    <w:rsid w:val="3ACC8CAA"/>
    <w:rsid w:val="3ACDECCF"/>
    <w:rsid w:val="3ACDED2D"/>
    <w:rsid w:val="3ACECDDF"/>
    <w:rsid w:val="3ACEDF88"/>
    <w:rsid w:val="3ACFA776"/>
    <w:rsid w:val="3AD00D78"/>
    <w:rsid w:val="3AD01836"/>
    <w:rsid w:val="3AD12750"/>
    <w:rsid w:val="3AD25BC7"/>
    <w:rsid w:val="3AD2960F"/>
    <w:rsid w:val="3AD3E1DD"/>
    <w:rsid w:val="3AD5107C"/>
    <w:rsid w:val="3AD5347A"/>
    <w:rsid w:val="3AD59528"/>
    <w:rsid w:val="3AD59E17"/>
    <w:rsid w:val="3AD59F4F"/>
    <w:rsid w:val="3AD6AEEF"/>
    <w:rsid w:val="3AD72E26"/>
    <w:rsid w:val="3AD7A5B5"/>
    <w:rsid w:val="3AD8D3C8"/>
    <w:rsid w:val="3AD8EB3D"/>
    <w:rsid w:val="3AD90182"/>
    <w:rsid w:val="3ADA672C"/>
    <w:rsid w:val="3ADA9070"/>
    <w:rsid w:val="3ADBB751"/>
    <w:rsid w:val="3ADBF27D"/>
    <w:rsid w:val="3ADDC4F1"/>
    <w:rsid w:val="3ADEA7CA"/>
    <w:rsid w:val="3ADEE895"/>
    <w:rsid w:val="3ADFB84F"/>
    <w:rsid w:val="3AE02EDD"/>
    <w:rsid w:val="3AE07550"/>
    <w:rsid w:val="3AE088CD"/>
    <w:rsid w:val="3AE0EBF8"/>
    <w:rsid w:val="3AE105C1"/>
    <w:rsid w:val="3AE20ADA"/>
    <w:rsid w:val="3AE33A1B"/>
    <w:rsid w:val="3AE3425C"/>
    <w:rsid w:val="3AE3B20D"/>
    <w:rsid w:val="3AE3DFC7"/>
    <w:rsid w:val="3AE3F0B2"/>
    <w:rsid w:val="3AE448F0"/>
    <w:rsid w:val="3AE4ADA3"/>
    <w:rsid w:val="3AE55369"/>
    <w:rsid w:val="3AE62AD9"/>
    <w:rsid w:val="3AE6BC66"/>
    <w:rsid w:val="3AE6CB8B"/>
    <w:rsid w:val="3AE726A7"/>
    <w:rsid w:val="3AE83009"/>
    <w:rsid w:val="3AE91D18"/>
    <w:rsid w:val="3AEA18AF"/>
    <w:rsid w:val="3AEA6405"/>
    <w:rsid w:val="3AEB679C"/>
    <w:rsid w:val="3AEB920B"/>
    <w:rsid w:val="3AEB9E05"/>
    <w:rsid w:val="3AEBBA73"/>
    <w:rsid w:val="3AEBD55A"/>
    <w:rsid w:val="3AEC2C30"/>
    <w:rsid w:val="3AEC6DC3"/>
    <w:rsid w:val="3AED07C1"/>
    <w:rsid w:val="3AED9676"/>
    <w:rsid w:val="3AEE4C85"/>
    <w:rsid w:val="3AEE6C27"/>
    <w:rsid w:val="3AEE6D9D"/>
    <w:rsid w:val="3AEE7619"/>
    <w:rsid w:val="3AEEB57C"/>
    <w:rsid w:val="3AEEF1C1"/>
    <w:rsid w:val="3AEEF56B"/>
    <w:rsid w:val="3AF04940"/>
    <w:rsid w:val="3AF1006E"/>
    <w:rsid w:val="3AF1844D"/>
    <w:rsid w:val="3AF1E85D"/>
    <w:rsid w:val="3AF227D4"/>
    <w:rsid w:val="3AF27E3E"/>
    <w:rsid w:val="3AF281CE"/>
    <w:rsid w:val="3AF299EC"/>
    <w:rsid w:val="3AF30370"/>
    <w:rsid w:val="3AF317A7"/>
    <w:rsid w:val="3AF3D606"/>
    <w:rsid w:val="3AF40263"/>
    <w:rsid w:val="3AF423C7"/>
    <w:rsid w:val="3AF47E3C"/>
    <w:rsid w:val="3AF485B3"/>
    <w:rsid w:val="3AF5C671"/>
    <w:rsid w:val="3AF75387"/>
    <w:rsid w:val="3AF7A210"/>
    <w:rsid w:val="3AF8C889"/>
    <w:rsid w:val="3AF905E3"/>
    <w:rsid w:val="3AFA7F8A"/>
    <w:rsid w:val="3AFBC0C1"/>
    <w:rsid w:val="3AFBFB92"/>
    <w:rsid w:val="3AFC32DE"/>
    <w:rsid w:val="3AFC3496"/>
    <w:rsid w:val="3AFC3DB3"/>
    <w:rsid w:val="3AFC4B29"/>
    <w:rsid w:val="3AFC6D86"/>
    <w:rsid w:val="3AFD6977"/>
    <w:rsid w:val="3AFD6E90"/>
    <w:rsid w:val="3AFEF461"/>
    <w:rsid w:val="3AFF6905"/>
    <w:rsid w:val="3B007929"/>
    <w:rsid w:val="3B0152D0"/>
    <w:rsid w:val="3B01EDD9"/>
    <w:rsid w:val="3B024E96"/>
    <w:rsid w:val="3B0271C3"/>
    <w:rsid w:val="3B0295BD"/>
    <w:rsid w:val="3B02A263"/>
    <w:rsid w:val="3B02B7F6"/>
    <w:rsid w:val="3B03067C"/>
    <w:rsid w:val="3B0364E6"/>
    <w:rsid w:val="3B03AA8B"/>
    <w:rsid w:val="3B03F984"/>
    <w:rsid w:val="3B03FB87"/>
    <w:rsid w:val="3B044F13"/>
    <w:rsid w:val="3B049A30"/>
    <w:rsid w:val="3B0507B3"/>
    <w:rsid w:val="3B0583E0"/>
    <w:rsid w:val="3B071923"/>
    <w:rsid w:val="3B07BADB"/>
    <w:rsid w:val="3B08BB54"/>
    <w:rsid w:val="3B08C760"/>
    <w:rsid w:val="3B08CC75"/>
    <w:rsid w:val="3B08E935"/>
    <w:rsid w:val="3B09ACA8"/>
    <w:rsid w:val="3B09BEC4"/>
    <w:rsid w:val="3B09D9AE"/>
    <w:rsid w:val="3B09E1ED"/>
    <w:rsid w:val="3B0B02A7"/>
    <w:rsid w:val="3B0BAD80"/>
    <w:rsid w:val="3B0C90DE"/>
    <w:rsid w:val="3B0CC374"/>
    <w:rsid w:val="3B0D6EBB"/>
    <w:rsid w:val="3B0DEF93"/>
    <w:rsid w:val="3B0E613B"/>
    <w:rsid w:val="3B0E64E9"/>
    <w:rsid w:val="3B0EEAFE"/>
    <w:rsid w:val="3B0EF7D5"/>
    <w:rsid w:val="3B0F7991"/>
    <w:rsid w:val="3B0F7A94"/>
    <w:rsid w:val="3B1039E3"/>
    <w:rsid w:val="3B108905"/>
    <w:rsid w:val="3B10C7BC"/>
    <w:rsid w:val="3B119B24"/>
    <w:rsid w:val="3B125B3E"/>
    <w:rsid w:val="3B127072"/>
    <w:rsid w:val="3B12C480"/>
    <w:rsid w:val="3B133279"/>
    <w:rsid w:val="3B13517E"/>
    <w:rsid w:val="3B1373B9"/>
    <w:rsid w:val="3B138264"/>
    <w:rsid w:val="3B138E00"/>
    <w:rsid w:val="3B13BCDD"/>
    <w:rsid w:val="3B13E702"/>
    <w:rsid w:val="3B14BAC0"/>
    <w:rsid w:val="3B14DFB4"/>
    <w:rsid w:val="3B150751"/>
    <w:rsid w:val="3B15B4A8"/>
    <w:rsid w:val="3B15BFDB"/>
    <w:rsid w:val="3B162BD0"/>
    <w:rsid w:val="3B168737"/>
    <w:rsid w:val="3B16E742"/>
    <w:rsid w:val="3B16EEFF"/>
    <w:rsid w:val="3B175110"/>
    <w:rsid w:val="3B185E81"/>
    <w:rsid w:val="3B18AA56"/>
    <w:rsid w:val="3B18B56F"/>
    <w:rsid w:val="3B18B681"/>
    <w:rsid w:val="3B190062"/>
    <w:rsid w:val="3B19112F"/>
    <w:rsid w:val="3B192FC9"/>
    <w:rsid w:val="3B1ADB76"/>
    <w:rsid w:val="3B1AE227"/>
    <w:rsid w:val="3B1B7D50"/>
    <w:rsid w:val="3B1C1C3A"/>
    <w:rsid w:val="3B1D0AED"/>
    <w:rsid w:val="3B1DA064"/>
    <w:rsid w:val="3B1E2C70"/>
    <w:rsid w:val="3B1EAB7E"/>
    <w:rsid w:val="3B1EC7C5"/>
    <w:rsid w:val="3B1F34FD"/>
    <w:rsid w:val="3B2111C4"/>
    <w:rsid w:val="3B212A49"/>
    <w:rsid w:val="3B212FFA"/>
    <w:rsid w:val="3B21A3E9"/>
    <w:rsid w:val="3B2231EC"/>
    <w:rsid w:val="3B226E86"/>
    <w:rsid w:val="3B22A7FB"/>
    <w:rsid w:val="3B22AB1C"/>
    <w:rsid w:val="3B22B12A"/>
    <w:rsid w:val="3B22D09F"/>
    <w:rsid w:val="3B230B4E"/>
    <w:rsid w:val="3B230C57"/>
    <w:rsid w:val="3B23D9F2"/>
    <w:rsid w:val="3B24BE32"/>
    <w:rsid w:val="3B24C8C7"/>
    <w:rsid w:val="3B25501B"/>
    <w:rsid w:val="3B25FBF4"/>
    <w:rsid w:val="3B260B27"/>
    <w:rsid w:val="3B272A81"/>
    <w:rsid w:val="3B29BCD8"/>
    <w:rsid w:val="3B2B3713"/>
    <w:rsid w:val="3B2B4215"/>
    <w:rsid w:val="3B2B4555"/>
    <w:rsid w:val="3B2BA583"/>
    <w:rsid w:val="3B2C9D4C"/>
    <w:rsid w:val="3B2CC299"/>
    <w:rsid w:val="3B2CEC03"/>
    <w:rsid w:val="3B2D6D5D"/>
    <w:rsid w:val="3B2EADB5"/>
    <w:rsid w:val="3B2F2DF4"/>
    <w:rsid w:val="3B309080"/>
    <w:rsid w:val="3B30B357"/>
    <w:rsid w:val="3B30C09F"/>
    <w:rsid w:val="3B30CAA8"/>
    <w:rsid w:val="3B313524"/>
    <w:rsid w:val="3B3260D3"/>
    <w:rsid w:val="3B334E7E"/>
    <w:rsid w:val="3B3514A0"/>
    <w:rsid w:val="3B35271F"/>
    <w:rsid w:val="3B361E66"/>
    <w:rsid w:val="3B367A0E"/>
    <w:rsid w:val="3B36BBA2"/>
    <w:rsid w:val="3B3716E1"/>
    <w:rsid w:val="3B373AED"/>
    <w:rsid w:val="3B375B6B"/>
    <w:rsid w:val="3B38B23F"/>
    <w:rsid w:val="3B39020E"/>
    <w:rsid w:val="3B39A7E9"/>
    <w:rsid w:val="3B39B14F"/>
    <w:rsid w:val="3B3A1708"/>
    <w:rsid w:val="3B3AEE50"/>
    <w:rsid w:val="3B3B0DE0"/>
    <w:rsid w:val="3B3B44FA"/>
    <w:rsid w:val="3B3B835E"/>
    <w:rsid w:val="3B3BCFBC"/>
    <w:rsid w:val="3B3C193A"/>
    <w:rsid w:val="3B3C379D"/>
    <w:rsid w:val="3B3C67D7"/>
    <w:rsid w:val="3B3D6272"/>
    <w:rsid w:val="3B3F1976"/>
    <w:rsid w:val="3B3F8252"/>
    <w:rsid w:val="3B40745D"/>
    <w:rsid w:val="3B40E268"/>
    <w:rsid w:val="3B41C100"/>
    <w:rsid w:val="3B41E63A"/>
    <w:rsid w:val="3B426AFC"/>
    <w:rsid w:val="3B42F4D0"/>
    <w:rsid w:val="3B433325"/>
    <w:rsid w:val="3B43DC56"/>
    <w:rsid w:val="3B441CAF"/>
    <w:rsid w:val="3B44D228"/>
    <w:rsid w:val="3B44E112"/>
    <w:rsid w:val="3B450F84"/>
    <w:rsid w:val="3B45462F"/>
    <w:rsid w:val="3B45C7EF"/>
    <w:rsid w:val="3B46A604"/>
    <w:rsid w:val="3B470D3D"/>
    <w:rsid w:val="3B479F8F"/>
    <w:rsid w:val="3B4804C4"/>
    <w:rsid w:val="3B4862E1"/>
    <w:rsid w:val="3B486E53"/>
    <w:rsid w:val="3B499F36"/>
    <w:rsid w:val="3B49AB93"/>
    <w:rsid w:val="3B4AACCD"/>
    <w:rsid w:val="3B4B3BD0"/>
    <w:rsid w:val="3B4B3F54"/>
    <w:rsid w:val="3B4BA39D"/>
    <w:rsid w:val="3B4C16A7"/>
    <w:rsid w:val="3B4C2282"/>
    <w:rsid w:val="3B4D793D"/>
    <w:rsid w:val="3B4DC188"/>
    <w:rsid w:val="3B4DD71B"/>
    <w:rsid w:val="3B4E4D84"/>
    <w:rsid w:val="3B4E6546"/>
    <w:rsid w:val="3B4E97CB"/>
    <w:rsid w:val="3B4E9DE0"/>
    <w:rsid w:val="3B4FD869"/>
    <w:rsid w:val="3B503026"/>
    <w:rsid w:val="3B512C36"/>
    <w:rsid w:val="3B5137ED"/>
    <w:rsid w:val="3B513C9C"/>
    <w:rsid w:val="3B5167E0"/>
    <w:rsid w:val="3B51A38A"/>
    <w:rsid w:val="3B51BB42"/>
    <w:rsid w:val="3B521111"/>
    <w:rsid w:val="3B524599"/>
    <w:rsid w:val="3B55B225"/>
    <w:rsid w:val="3B55C1F5"/>
    <w:rsid w:val="3B55C409"/>
    <w:rsid w:val="3B56D757"/>
    <w:rsid w:val="3B570AB7"/>
    <w:rsid w:val="3B57ED60"/>
    <w:rsid w:val="3B58F2AD"/>
    <w:rsid w:val="3B594729"/>
    <w:rsid w:val="3B597AB9"/>
    <w:rsid w:val="3B5A17F8"/>
    <w:rsid w:val="3B5BEDCE"/>
    <w:rsid w:val="3B5CD74A"/>
    <w:rsid w:val="3B5CF8F2"/>
    <w:rsid w:val="3B5CFD6D"/>
    <w:rsid w:val="3B5D75F9"/>
    <w:rsid w:val="3B5DA682"/>
    <w:rsid w:val="3B5DB65C"/>
    <w:rsid w:val="3B5DBE8E"/>
    <w:rsid w:val="3B5DD481"/>
    <w:rsid w:val="3B5E6733"/>
    <w:rsid w:val="3B603083"/>
    <w:rsid w:val="3B6062A2"/>
    <w:rsid w:val="3B60B330"/>
    <w:rsid w:val="3B60FEA9"/>
    <w:rsid w:val="3B611B48"/>
    <w:rsid w:val="3B61595A"/>
    <w:rsid w:val="3B617232"/>
    <w:rsid w:val="3B61C25A"/>
    <w:rsid w:val="3B626CFF"/>
    <w:rsid w:val="3B634D56"/>
    <w:rsid w:val="3B6386D0"/>
    <w:rsid w:val="3B639E8A"/>
    <w:rsid w:val="3B6402B1"/>
    <w:rsid w:val="3B6449B4"/>
    <w:rsid w:val="3B64AE1C"/>
    <w:rsid w:val="3B64BCDC"/>
    <w:rsid w:val="3B64EEAC"/>
    <w:rsid w:val="3B6536AA"/>
    <w:rsid w:val="3B654B53"/>
    <w:rsid w:val="3B664264"/>
    <w:rsid w:val="3B67DD1D"/>
    <w:rsid w:val="3B684B32"/>
    <w:rsid w:val="3B684CD7"/>
    <w:rsid w:val="3B695458"/>
    <w:rsid w:val="3B6A24F6"/>
    <w:rsid w:val="3B6A2781"/>
    <w:rsid w:val="3B6A9AA1"/>
    <w:rsid w:val="3B6AEDE8"/>
    <w:rsid w:val="3B6B8B0A"/>
    <w:rsid w:val="3B6B90EF"/>
    <w:rsid w:val="3B6BAEFD"/>
    <w:rsid w:val="3B6C5171"/>
    <w:rsid w:val="3B6C6F4F"/>
    <w:rsid w:val="3B6D3DCF"/>
    <w:rsid w:val="3B6D5548"/>
    <w:rsid w:val="3B6D587F"/>
    <w:rsid w:val="3B6DC69C"/>
    <w:rsid w:val="3B6DF3C1"/>
    <w:rsid w:val="3B6EFB33"/>
    <w:rsid w:val="3B6F151E"/>
    <w:rsid w:val="3B702DA1"/>
    <w:rsid w:val="3B70DE02"/>
    <w:rsid w:val="3B70F413"/>
    <w:rsid w:val="3B711188"/>
    <w:rsid w:val="3B71DD05"/>
    <w:rsid w:val="3B72D7DB"/>
    <w:rsid w:val="3B72E16C"/>
    <w:rsid w:val="3B73300C"/>
    <w:rsid w:val="3B733F56"/>
    <w:rsid w:val="3B7361D5"/>
    <w:rsid w:val="3B73972C"/>
    <w:rsid w:val="3B73D739"/>
    <w:rsid w:val="3B73FCBB"/>
    <w:rsid w:val="3B75744F"/>
    <w:rsid w:val="3B76931A"/>
    <w:rsid w:val="3B76A199"/>
    <w:rsid w:val="3B770F99"/>
    <w:rsid w:val="3B787987"/>
    <w:rsid w:val="3B79DCA5"/>
    <w:rsid w:val="3B79F735"/>
    <w:rsid w:val="3B7A0AA0"/>
    <w:rsid w:val="3B7B1AE3"/>
    <w:rsid w:val="3B7C34E7"/>
    <w:rsid w:val="3B7CDF53"/>
    <w:rsid w:val="3B7D33F2"/>
    <w:rsid w:val="3B7D4B2B"/>
    <w:rsid w:val="3B7DA132"/>
    <w:rsid w:val="3B7E5557"/>
    <w:rsid w:val="3B7E5FAC"/>
    <w:rsid w:val="3B7F6081"/>
    <w:rsid w:val="3B7FE149"/>
    <w:rsid w:val="3B809B47"/>
    <w:rsid w:val="3B8122DC"/>
    <w:rsid w:val="3B814F45"/>
    <w:rsid w:val="3B81A18F"/>
    <w:rsid w:val="3B821533"/>
    <w:rsid w:val="3B826A84"/>
    <w:rsid w:val="3B82EFBD"/>
    <w:rsid w:val="3B8363E4"/>
    <w:rsid w:val="3B83CABD"/>
    <w:rsid w:val="3B83DBCE"/>
    <w:rsid w:val="3B843AA6"/>
    <w:rsid w:val="3B84D4C9"/>
    <w:rsid w:val="3B859647"/>
    <w:rsid w:val="3B86AE79"/>
    <w:rsid w:val="3B8754D4"/>
    <w:rsid w:val="3B87A21D"/>
    <w:rsid w:val="3B8803D6"/>
    <w:rsid w:val="3B887517"/>
    <w:rsid w:val="3B88F97A"/>
    <w:rsid w:val="3B892530"/>
    <w:rsid w:val="3B8958B8"/>
    <w:rsid w:val="3B899710"/>
    <w:rsid w:val="3B8A00F3"/>
    <w:rsid w:val="3B8A0570"/>
    <w:rsid w:val="3B8A9E3A"/>
    <w:rsid w:val="3B8BC315"/>
    <w:rsid w:val="3B8D3546"/>
    <w:rsid w:val="3B8D7E60"/>
    <w:rsid w:val="3B8DEF0A"/>
    <w:rsid w:val="3B8DFC52"/>
    <w:rsid w:val="3B8E8E9A"/>
    <w:rsid w:val="3B90DE9F"/>
    <w:rsid w:val="3B91589F"/>
    <w:rsid w:val="3B91D5D6"/>
    <w:rsid w:val="3B92A75D"/>
    <w:rsid w:val="3B9368B3"/>
    <w:rsid w:val="3B93E575"/>
    <w:rsid w:val="3B93E6AC"/>
    <w:rsid w:val="3B93EF9A"/>
    <w:rsid w:val="3B956546"/>
    <w:rsid w:val="3B95DDB0"/>
    <w:rsid w:val="3B96DBDB"/>
    <w:rsid w:val="3B976B8D"/>
    <w:rsid w:val="3B97E488"/>
    <w:rsid w:val="3B980B25"/>
    <w:rsid w:val="3B98A325"/>
    <w:rsid w:val="3B9936F3"/>
    <w:rsid w:val="3B9B64F5"/>
    <w:rsid w:val="3B9B8472"/>
    <w:rsid w:val="3B9C141B"/>
    <w:rsid w:val="3B9C7F99"/>
    <w:rsid w:val="3B9D54A7"/>
    <w:rsid w:val="3B9D8E8E"/>
    <w:rsid w:val="3B9DB239"/>
    <w:rsid w:val="3B9E80A6"/>
    <w:rsid w:val="3B9ED27D"/>
    <w:rsid w:val="3B9EFCC9"/>
    <w:rsid w:val="3B9F6B0F"/>
    <w:rsid w:val="3B9FB1EC"/>
    <w:rsid w:val="3B9FCD80"/>
    <w:rsid w:val="3BA07473"/>
    <w:rsid w:val="3BA0B255"/>
    <w:rsid w:val="3BA0BCF3"/>
    <w:rsid w:val="3BA157BD"/>
    <w:rsid w:val="3BA158F4"/>
    <w:rsid w:val="3BA212A2"/>
    <w:rsid w:val="3BA21BAE"/>
    <w:rsid w:val="3BA229BF"/>
    <w:rsid w:val="3BA23B0F"/>
    <w:rsid w:val="3BA25128"/>
    <w:rsid w:val="3BA29088"/>
    <w:rsid w:val="3BA2ABBF"/>
    <w:rsid w:val="3BA32AA7"/>
    <w:rsid w:val="3BA35820"/>
    <w:rsid w:val="3BA4D1B4"/>
    <w:rsid w:val="3BA4ECD1"/>
    <w:rsid w:val="3BA63604"/>
    <w:rsid w:val="3BA671E6"/>
    <w:rsid w:val="3BA67F39"/>
    <w:rsid w:val="3BA69B16"/>
    <w:rsid w:val="3BA7109F"/>
    <w:rsid w:val="3BA78095"/>
    <w:rsid w:val="3BA78A7C"/>
    <w:rsid w:val="3BA79783"/>
    <w:rsid w:val="3BA8FA95"/>
    <w:rsid w:val="3BA92460"/>
    <w:rsid w:val="3BA9D08B"/>
    <w:rsid w:val="3BAA7153"/>
    <w:rsid w:val="3BAA7A28"/>
    <w:rsid w:val="3BAB54CD"/>
    <w:rsid w:val="3BABC9EB"/>
    <w:rsid w:val="3BAE14BB"/>
    <w:rsid w:val="3BAE704E"/>
    <w:rsid w:val="3BAF1424"/>
    <w:rsid w:val="3BAFE5E9"/>
    <w:rsid w:val="3BAFEEDE"/>
    <w:rsid w:val="3BB056FD"/>
    <w:rsid w:val="3BB18D62"/>
    <w:rsid w:val="3BB22462"/>
    <w:rsid w:val="3BB30444"/>
    <w:rsid w:val="3BB3046F"/>
    <w:rsid w:val="3BB37E66"/>
    <w:rsid w:val="3BB3887C"/>
    <w:rsid w:val="3BB3A30C"/>
    <w:rsid w:val="3BB3D532"/>
    <w:rsid w:val="3BB46520"/>
    <w:rsid w:val="3BB4B756"/>
    <w:rsid w:val="3BB63B61"/>
    <w:rsid w:val="3BB6B1E1"/>
    <w:rsid w:val="3BB7602F"/>
    <w:rsid w:val="3BB7C46B"/>
    <w:rsid w:val="3BB7D4B5"/>
    <w:rsid w:val="3BB7F992"/>
    <w:rsid w:val="3BB8D8EA"/>
    <w:rsid w:val="3BB95242"/>
    <w:rsid w:val="3BB96090"/>
    <w:rsid w:val="3BB9D33A"/>
    <w:rsid w:val="3BBAB5E2"/>
    <w:rsid w:val="3BBB6BE3"/>
    <w:rsid w:val="3BBBE095"/>
    <w:rsid w:val="3BBC3DC9"/>
    <w:rsid w:val="3BBD4B11"/>
    <w:rsid w:val="3BBD6F0B"/>
    <w:rsid w:val="3BBDA923"/>
    <w:rsid w:val="3BBDD553"/>
    <w:rsid w:val="3BBEE7B4"/>
    <w:rsid w:val="3BBF44D8"/>
    <w:rsid w:val="3BC02526"/>
    <w:rsid w:val="3BC15301"/>
    <w:rsid w:val="3BC15FAE"/>
    <w:rsid w:val="3BC17925"/>
    <w:rsid w:val="3BC1E8DE"/>
    <w:rsid w:val="3BC231A3"/>
    <w:rsid w:val="3BC27089"/>
    <w:rsid w:val="3BC2A8C6"/>
    <w:rsid w:val="3BC32812"/>
    <w:rsid w:val="3BC332F5"/>
    <w:rsid w:val="3BC33D40"/>
    <w:rsid w:val="3BC42BC9"/>
    <w:rsid w:val="3BC4AF0C"/>
    <w:rsid w:val="3BC4EAD5"/>
    <w:rsid w:val="3BC4F00E"/>
    <w:rsid w:val="3BC5586A"/>
    <w:rsid w:val="3BC5D40E"/>
    <w:rsid w:val="3BC6A741"/>
    <w:rsid w:val="3BC75B4E"/>
    <w:rsid w:val="3BC77BF5"/>
    <w:rsid w:val="3BC82F5B"/>
    <w:rsid w:val="3BC8D453"/>
    <w:rsid w:val="3BC8EFD2"/>
    <w:rsid w:val="3BC9C84C"/>
    <w:rsid w:val="3BC9DE2B"/>
    <w:rsid w:val="3BCA645F"/>
    <w:rsid w:val="3BCAB0D5"/>
    <w:rsid w:val="3BCABF92"/>
    <w:rsid w:val="3BCB9136"/>
    <w:rsid w:val="3BCC2392"/>
    <w:rsid w:val="3BCCED28"/>
    <w:rsid w:val="3BCCF73A"/>
    <w:rsid w:val="3BCDFCBB"/>
    <w:rsid w:val="3BCF237A"/>
    <w:rsid w:val="3BD032E8"/>
    <w:rsid w:val="3BD0ABCF"/>
    <w:rsid w:val="3BD136D0"/>
    <w:rsid w:val="3BD445D6"/>
    <w:rsid w:val="3BD52F0D"/>
    <w:rsid w:val="3BD5E729"/>
    <w:rsid w:val="3BD68C6B"/>
    <w:rsid w:val="3BD6C089"/>
    <w:rsid w:val="3BD6C5F5"/>
    <w:rsid w:val="3BD6CD77"/>
    <w:rsid w:val="3BD7346F"/>
    <w:rsid w:val="3BD765D0"/>
    <w:rsid w:val="3BD76A97"/>
    <w:rsid w:val="3BD932B8"/>
    <w:rsid w:val="3BD9599F"/>
    <w:rsid w:val="3BD9EF0F"/>
    <w:rsid w:val="3BDA4F8D"/>
    <w:rsid w:val="3BDA6B3D"/>
    <w:rsid w:val="3BDAC027"/>
    <w:rsid w:val="3BDB2807"/>
    <w:rsid w:val="3BDB3017"/>
    <w:rsid w:val="3BDB95F4"/>
    <w:rsid w:val="3BDB9B49"/>
    <w:rsid w:val="3BDBADC5"/>
    <w:rsid w:val="3BDBD6B2"/>
    <w:rsid w:val="3BDC7E78"/>
    <w:rsid w:val="3BDC86A9"/>
    <w:rsid w:val="3BDD5A3F"/>
    <w:rsid w:val="3BDD7797"/>
    <w:rsid w:val="3BDE4A21"/>
    <w:rsid w:val="3BDE7A98"/>
    <w:rsid w:val="3BDF16E8"/>
    <w:rsid w:val="3BDF4828"/>
    <w:rsid w:val="3BDFBDE2"/>
    <w:rsid w:val="3BDFDE0E"/>
    <w:rsid w:val="3BE00A32"/>
    <w:rsid w:val="3BE2314D"/>
    <w:rsid w:val="3BE3A40E"/>
    <w:rsid w:val="3BE4A219"/>
    <w:rsid w:val="3BE4B05D"/>
    <w:rsid w:val="3BE4FE7D"/>
    <w:rsid w:val="3BE512AE"/>
    <w:rsid w:val="3BE5CE72"/>
    <w:rsid w:val="3BE686B7"/>
    <w:rsid w:val="3BE69566"/>
    <w:rsid w:val="3BE78886"/>
    <w:rsid w:val="3BE7F977"/>
    <w:rsid w:val="3BE826AA"/>
    <w:rsid w:val="3BE8484F"/>
    <w:rsid w:val="3BE89224"/>
    <w:rsid w:val="3BE9076F"/>
    <w:rsid w:val="3BE95876"/>
    <w:rsid w:val="3BEA7E99"/>
    <w:rsid w:val="3BEAC64D"/>
    <w:rsid w:val="3BEB093D"/>
    <w:rsid w:val="3BEBB7DA"/>
    <w:rsid w:val="3BECB827"/>
    <w:rsid w:val="3BED3554"/>
    <w:rsid w:val="3BEDFC09"/>
    <w:rsid w:val="3BEE00C2"/>
    <w:rsid w:val="3BEE0CDB"/>
    <w:rsid w:val="3BEE2A2A"/>
    <w:rsid w:val="3BEE5EC6"/>
    <w:rsid w:val="3BEE9D4A"/>
    <w:rsid w:val="3BEF204B"/>
    <w:rsid w:val="3BEF7C5A"/>
    <w:rsid w:val="3BEFC1BF"/>
    <w:rsid w:val="3BF0F715"/>
    <w:rsid w:val="3BF1233E"/>
    <w:rsid w:val="3BF25FE3"/>
    <w:rsid w:val="3BF27C1A"/>
    <w:rsid w:val="3BF30520"/>
    <w:rsid w:val="3BF3168F"/>
    <w:rsid w:val="3BF33D93"/>
    <w:rsid w:val="3BF4DE16"/>
    <w:rsid w:val="3BF5FA67"/>
    <w:rsid w:val="3BF66146"/>
    <w:rsid w:val="3BF6BD49"/>
    <w:rsid w:val="3BF7E759"/>
    <w:rsid w:val="3BF81BAD"/>
    <w:rsid w:val="3BF81D3E"/>
    <w:rsid w:val="3BF9242A"/>
    <w:rsid w:val="3BF9D1A1"/>
    <w:rsid w:val="3BFAF7E2"/>
    <w:rsid w:val="3BFB02EE"/>
    <w:rsid w:val="3BFC20F1"/>
    <w:rsid w:val="3BFC40C4"/>
    <w:rsid w:val="3BFD24CA"/>
    <w:rsid w:val="3BFE2609"/>
    <w:rsid w:val="3BFE78A1"/>
    <w:rsid w:val="3BFE9774"/>
    <w:rsid w:val="3BFEAC9A"/>
    <w:rsid w:val="3BFEB916"/>
    <w:rsid w:val="3BFEE860"/>
    <w:rsid w:val="3BFF318E"/>
    <w:rsid w:val="3BFF5D22"/>
    <w:rsid w:val="3BFFF020"/>
    <w:rsid w:val="3C002D93"/>
    <w:rsid w:val="3C0091F8"/>
    <w:rsid w:val="3C01440A"/>
    <w:rsid w:val="3C014773"/>
    <w:rsid w:val="3C01843A"/>
    <w:rsid w:val="3C02561A"/>
    <w:rsid w:val="3C027FA5"/>
    <w:rsid w:val="3C029C73"/>
    <w:rsid w:val="3C031054"/>
    <w:rsid w:val="3C03FF75"/>
    <w:rsid w:val="3C0436C6"/>
    <w:rsid w:val="3C04CE8B"/>
    <w:rsid w:val="3C055F4D"/>
    <w:rsid w:val="3C05837D"/>
    <w:rsid w:val="3C05C558"/>
    <w:rsid w:val="3C064911"/>
    <w:rsid w:val="3C0687D8"/>
    <w:rsid w:val="3C069988"/>
    <w:rsid w:val="3C072109"/>
    <w:rsid w:val="3C08B2FE"/>
    <w:rsid w:val="3C093F61"/>
    <w:rsid w:val="3C0A4F71"/>
    <w:rsid w:val="3C0A90CB"/>
    <w:rsid w:val="3C0AE3AE"/>
    <w:rsid w:val="3C0AECDA"/>
    <w:rsid w:val="3C0B604A"/>
    <w:rsid w:val="3C0C6041"/>
    <w:rsid w:val="3C0CECF0"/>
    <w:rsid w:val="3C0CFC11"/>
    <w:rsid w:val="3C0D668A"/>
    <w:rsid w:val="3C0D75A1"/>
    <w:rsid w:val="3C0D7F56"/>
    <w:rsid w:val="3C0EC48D"/>
    <w:rsid w:val="3C0F015A"/>
    <w:rsid w:val="3C0F5690"/>
    <w:rsid w:val="3C0F6A3A"/>
    <w:rsid w:val="3C0F7A68"/>
    <w:rsid w:val="3C0FB934"/>
    <w:rsid w:val="3C0FD659"/>
    <w:rsid w:val="3C0FF070"/>
    <w:rsid w:val="3C102673"/>
    <w:rsid w:val="3C119798"/>
    <w:rsid w:val="3C122174"/>
    <w:rsid w:val="3C128A1E"/>
    <w:rsid w:val="3C128D22"/>
    <w:rsid w:val="3C1335D0"/>
    <w:rsid w:val="3C136EE7"/>
    <w:rsid w:val="3C13DB6C"/>
    <w:rsid w:val="3C14059C"/>
    <w:rsid w:val="3C143C04"/>
    <w:rsid w:val="3C14D6D5"/>
    <w:rsid w:val="3C1542EA"/>
    <w:rsid w:val="3C154917"/>
    <w:rsid w:val="3C158240"/>
    <w:rsid w:val="3C1595E6"/>
    <w:rsid w:val="3C15B2CC"/>
    <w:rsid w:val="3C16746F"/>
    <w:rsid w:val="3C16D10A"/>
    <w:rsid w:val="3C175C36"/>
    <w:rsid w:val="3C17B089"/>
    <w:rsid w:val="3C184777"/>
    <w:rsid w:val="3C18E2CF"/>
    <w:rsid w:val="3C19C8E4"/>
    <w:rsid w:val="3C19ED6A"/>
    <w:rsid w:val="3C1A873C"/>
    <w:rsid w:val="3C1AA619"/>
    <w:rsid w:val="3C1ADDB1"/>
    <w:rsid w:val="3C1C103E"/>
    <w:rsid w:val="3C1D0BFC"/>
    <w:rsid w:val="3C1D1AD9"/>
    <w:rsid w:val="3C1D652D"/>
    <w:rsid w:val="3C1DE298"/>
    <w:rsid w:val="3C1DF8B2"/>
    <w:rsid w:val="3C1E903C"/>
    <w:rsid w:val="3C1EC632"/>
    <w:rsid w:val="3C1FBD10"/>
    <w:rsid w:val="3C1FF23F"/>
    <w:rsid w:val="3C202F09"/>
    <w:rsid w:val="3C206DEA"/>
    <w:rsid w:val="3C2154F7"/>
    <w:rsid w:val="3C21655E"/>
    <w:rsid w:val="3C21C399"/>
    <w:rsid w:val="3C21CC8D"/>
    <w:rsid w:val="3C22715F"/>
    <w:rsid w:val="3C22A5E2"/>
    <w:rsid w:val="3C230898"/>
    <w:rsid w:val="3C235A84"/>
    <w:rsid w:val="3C23F4B4"/>
    <w:rsid w:val="3C245ED5"/>
    <w:rsid w:val="3C24D91C"/>
    <w:rsid w:val="3C25EA97"/>
    <w:rsid w:val="3C26174A"/>
    <w:rsid w:val="3C2630C6"/>
    <w:rsid w:val="3C269556"/>
    <w:rsid w:val="3C2712DE"/>
    <w:rsid w:val="3C272DE6"/>
    <w:rsid w:val="3C279D8A"/>
    <w:rsid w:val="3C27A681"/>
    <w:rsid w:val="3C27B1CA"/>
    <w:rsid w:val="3C2829D8"/>
    <w:rsid w:val="3C285CBC"/>
    <w:rsid w:val="3C288A57"/>
    <w:rsid w:val="3C28EE08"/>
    <w:rsid w:val="3C290212"/>
    <w:rsid w:val="3C295E83"/>
    <w:rsid w:val="3C2A7F7A"/>
    <w:rsid w:val="3C2B7EB3"/>
    <w:rsid w:val="3C2D17C7"/>
    <w:rsid w:val="3C2DB661"/>
    <w:rsid w:val="3C2E2ECF"/>
    <w:rsid w:val="3C2EDC88"/>
    <w:rsid w:val="3C2FEAC9"/>
    <w:rsid w:val="3C302885"/>
    <w:rsid w:val="3C30DF75"/>
    <w:rsid w:val="3C3193FD"/>
    <w:rsid w:val="3C31CD8F"/>
    <w:rsid w:val="3C31FEE2"/>
    <w:rsid w:val="3C33AE62"/>
    <w:rsid w:val="3C33BC89"/>
    <w:rsid w:val="3C3445FD"/>
    <w:rsid w:val="3C344B33"/>
    <w:rsid w:val="3C34821C"/>
    <w:rsid w:val="3C348B4E"/>
    <w:rsid w:val="3C35227E"/>
    <w:rsid w:val="3C35B2CA"/>
    <w:rsid w:val="3C368787"/>
    <w:rsid w:val="3C373C90"/>
    <w:rsid w:val="3C3749E6"/>
    <w:rsid w:val="3C375865"/>
    <w:rsid w:val="3C375EF5"/>
    <w:rsid w:val="3C37AA88"/>
    <w:rsid w:val="3C37CB9E"/>
    <w:rsid w:val="3C3809CC"/>
    <w:rsid w:val="3C383A92"/>
    <w:rsid w:val="3C3842F9"/>
    <w:rsid w:val="3C38808F"/>
    <w:rsid w:val="3C398ED8"/>
    <w:rsid w:val="3C3AA77F"/>
    <w:rsid w:val="3C3ACD04"/>
    <w:rsid w:val="3C3BEC2F"/>
    <w:rsid w:val="3C3C340C"/>
    <w:rsid w:val="3C3CB5A9"/>
    <w:rsid w:val="3C3D3D7B"/>
    <w:rsid w:val="3C3F4C3C"/>
    <w:rsid w:val="3C3F70F3"/>
    <w:rsid w:val="3C406F3F"/>
    <w:rsid w:val="3C4096D9"/>
    <w:rsid w:val="3C4106E9"/>
    <w:rsid w:val="3C411DD9"/>
    <w:rsid w:val="3C426BB8"/>
    <w:rsid w:val="3C43E4AB"/>
    <w:rsid w:val="3C4443C5"/>
    <w:rsid w:val="3C45735B"/>
    <w:rsid w:val="3C4685D0"/>
    <w:rsid w:val="3C468BD3"/>
    <w:rsid w:val="3C46F1A5"/>
    <w:rsid w:val="3C46F512"/>
    <w:rsid w:val="3C4724D0"/>
    <w:rsid w:val="3C47AA1B"/>
    <w:rsid w:val="3C482E4F"/>
    <w:rsid w:val="3C48C1F4"/>
    <w:rsid w:val="3C48CCDA"/>
    <w:rsid w:val="3C4960A7"/>
    <w:rsid w:val="3C49AE8A"/>
    <w:rsid w:val="3C4A62F5"/>
    <w:rsid w:val="3C4AA498"/>
    <w:rsid w:val="3C4ACB52"/>
    <w:rsid w:val="3C4ADA21"/>
    <w:rsid w:val="3C4AF6CE"/>
    <w:rsid w:val="3C4B2310"/>
    <w:rsid w:val="3C4B440A"/>
    <w:rsid w:val="3C4C7DE6"/>
    <w:rsid w:val="3C4CB829"/>
    <w:rsid w:val="3C4CD498"/>
    <w:rsid w:val="3C4D09B4"/>
    <w:rsid w:val="3C4DA0F6"/>
    <w:rsid w:val="3C4ED2A1"/>
    <w:rsid w:val="3C4EE04E"/>
    <w:rsid w:val="3C4F6C27"/>
    <w:rsid w:val="3C4FB260"/>
    <w:rsid w:val="3C4FB30F"/>
    <w:rsid w:val="3C4FC858"/>
    <w:rsid w:val="3C500866"/>
    <w:rsid w:val="3C5038E2"/>
    <w:rsid w:val="3C504997"/>
    <w:rsid w:val="3C504E17"/>
    <w:rsid w:val="3C514F55"/>
    <w:rsid w:val="3C5172DA"/>
    <w:rsid w:val="3C519DBA"/>
    <w:rsid w:val="3C51DC44"/>
    <w:rsid w:val="3C523AB5"/>
    <w:rsid w:val="3C5292D4"/>
    <w:rsid w:val="3C534B7D"/>
    <w:rsid w:val="3C53D7C0"/>
    <w:rsid w:val="3C545801"/>
    <w:rsid w:val="3C54FF5C"/>
    <w:rsid w:val="3C5519E0"/>
    <w:rsid w:val="3C556BCF"/>
    <w:rsid w:val="3C55FC4E"/>
    <w:rsid w:val="3C563742"/>
    <w:rsid w:val="3C56B445"/>
    <w:rsid w:val="3C56B97A"/>
    <w:rsid w:val="3C574A38"/>
    <w:rsid w:val="3C57DBC6"/>
    <w:rsid w:val="3C58F7E8"/>
    <w:rsid w:val="3C5912BB"/>
    <w:rsid w:val="3C597277"/>
    <w:rsid w:val="3C59D1B7"/>
    <w:rsid w:val="3C5A3364"/>
    <w:rsid w:val="3C5ABF89"/>
    <w:rsid w:val="3C5B8AC5"/>
    <w:rsid w:val="3C5BA096"/>
    <w:rsid w:val="3C5EC851"/>
    <w:rsid w:val="3C5EC94F"/>
    <w:rsid w:val="3C5EEB12"/>
    <w:rsid w:val="3C5FA779"/>
    <w:rsid w:val="3C601846"/>
    <w:rsid w:val="3C611BE4"/>
    <w:rsid w:val="3C61470E"/>
    <w:rsid w:val="3C616B1B"/>
    <w:rsid w:val="3C61ADE5"/>
    <w:rsid w:val="3C61BD77"/>
    <w:rsid w:val="3C61DA37"/>
    <w:rsid w:val="3C61F855"/>
    <w:rsid w:val="3C62D98F"/>
    <w:rsid w:val="3C637CC3"/>
    <w:rsid w:val="3C645C59"/>
    <w:rsid w:val="3C650737"/>
    <w:rsid w:val="3C6558CC"/>
    <w:rsid w:val="3C65E424"/>
    <w:rsid w:val="3C66218E"/>
    <w:rsid w:val="3C66BCE6"/>
    <w:rsid w:val="3C66C3F8"/>
    <w:rsid w:val="3C66D80C"/>
    <w:rsid w:val="3C670EBA"/>
    <w:rsid w:val="3C67156E"/>
    <w:rsid w:val="3C67BC76"/>
    <w:rsid w:val="3C681305"/>
    <w:rsid w:val="3C687FC8"/>
    <w:rsid w:val="3C696272"/>
    <w:rsid w:val="3C698F4B"/>
    <w:rsid w:val="3C6AAD07"/>
    <w:rsid w:val="3C6AD961"/>
    <w:rsid w:val="3C6B225F"/>
    <w:rsid w:val="3C6C051D"/>
    <w:rsid w:val="3C6CEFFF"/>
    <w:rsid w:val="3C6D0010"/>
    <w:rsid w:val="3C6DA319"/>
    <w:rsid w:val="3C6E5992"/>
    <w:rsid w:val="3C6EA715"/>
    <w:rsid w:val="3C6EF578"/>
    <w:rsid w:val="3C6F2930"/>
    <w:rsid w:val="3C711E6B"/>
    <w:rsid w:val="3C714B3A"/>
    <w:rsid w:val="3C73785A"/>
    <w:rsid w:val="3C73B224"/>
    <w:rsid w:val="3C743E7A"/>
    <w:rsid w:val="3C747427"/>
    <w:rsid w:val="3C747981"/>
    <w:rsid w:val="3C74E637"/>
    <w:rsid w:val="3C759422"/>
    <w:rsid w:val="3C75BAEB"/>
    <w:rsid w:val="3C76995D"/>
    <w:rsid w:val="3C76B12B"/>
    <w:rsid w:val="3C774B8D"/>
    <w:rsid w:val="3C77EB84"/>
    <w:rsid w:val="3C78AA43"/>
    <w:rsid w:val="3C79B088"/>
    <w:rsid w:val="3C79E3BA"/>
    <w:rsid w:val="3C7A243B"/>
    <w:rsid w:val="3C7AAC03"/>
    <w:rsid w:val="3C7B28B2"/>
    <w:rsid w:val="3C7C1BC1"/>
    <w:rsid w:val="3C7C8897"/>
    <w:rsid w:val="3C7C9993"/>
    <w:rsid w:val="3C7DE069"/>
    <w:rsid w:val="3C7E36EC"/>
    <w:rsid w:val="3C7EA8E0"/>
    <w:rsid w:val="3C80BF0A"/>
    <w:rsid w:val="3C817980"/>
    <w:rsid w:val="3C818EB4"/>
    <w:rsid w:val="3C820D25"/>
    <w:rsid w:val="3C8219B4"/>
    <w:rsid w:val="3C822230"/>
    <w:rsid w:val="3C82B59C"/>
    <w:rsid w:val="3C82EE14"/>
    <w:rsid w:val="3C82FFF6"/>
    <w:rsid w:val="3C83AF19"/>
    <w:rsid w:val="3C83C346"/>
    <w:rsid w:val="3C83CDF5"/>
    <w:rsid w:val="3C8430FA"/>
    <w:rsid w:val="3C84F04F"/>
    <w:rsid w:val="3C86497F"/>
    <w:rsid w:val="3C8698B8"/>
    <w:rsid w:val="3C86E7DB"/>
    <w:rsid w:val="3C87C116"/>
    <w:rsid w:val="3C88E4F4"/>
    <w:rsid w:val="3C89BFEC"/>
    <w:rsid w:val="3C8A6741"/>
    <w:rsid w:val="3C8B7F32"/>
    <w:rsid w:val="3C8BAF9E"/>
    <w:rsid w:val="3C8C1950"/>
    <w:rsid w:val="3C8C4A05"/>
    <w:rsid w:val="3C8C91F3"/>
    <w:rsid w:val="3C8CE3FD"/>
    <w:rsid w:val="3C8D0027"/>
    <w:rsid w:val="3C8D305A"/>
    <w:rsid w:val="3C8DD471"/>
    <w:rsid w:val="3C8DF8D8"/>
    <w:rsid w:val="3C8FDFAB"/>
    <w:rsid w:val="3C8FE216"/>
    <w:rsid w:val="3C911EB9"/>
    <w:rsid w:val="3C919458"/>
    <w:rsid w:val="3C91B9AE"/>
    <w:rsid w:val="3C91BEC2"/>
    <w:rsid w:val="3C9230B8"/>
    <w:rsid w:val="3C923396"/>
    <w:rsid w:val="3C944AAF"/>
    <w:rsid w:val="3C9455E4"/>
    <w:rsid w:val="3C94CA66"/>
    <w:rsid w:val="3C952945"/>
    <w:rsid w:val="3C97FA57"/>
    <w:rsid w:val="3C9832EF"/>
    <w:rsid w:val="3C98DE92"/>
    <w:rsid w:val="3C9950FE"/>
    <w:rsid w:val="3C99798B"/>
    <w:rsid w:val="3C9A3C55"/>
    <w:rsid w:val="3C9A77C9"/>
    <w:rsid w:val="3C9A86CB"/>
    <w:rsid w:val="3C9AA505"/>
    <w:rsid w:val="3C9B3998"/>
    <w:rsid w:val="3C9B3F0B"/>
    <w:rsid w:val="3C9B5BEA"/>
    <w:rsid w:val="3C9C1DCD"/>
    <w:rsid w:val="3C9CC35E"/>
    <w:rsid w:val="3C9D7FFD"/>
    <w:rsid w:val="3C9DA961"/>
    <w:rsid w:val="3C9F3ED5"/>
    <w:rsid w:val="3C9F59D3"/>
    <w:rsid w:val="3C9F7276"/>
    <w:rsid w:val="3C9F93B5"/>
    <w:rsid w:val="3C9FD51C"/>
    <w:rsid w:val="3C9FEAFB"/>
    <w:rsid w:val="3CA0E0F0"/>
    <w:rsid w:val="3CA1186F"/>
    <w:rsid w:val="3CA153A8"/>
    <w:rsid w:val="3CA1F6CC"/>
    <w:rsid w:val="3CA29602"/>
    <w:rsid w:val="3CA30E19"/>
    <w:rsid w:val="3CA33CDF"/>
    <w:rsid w:val="3CA4190E"/>
    <w:rsid w:val="3CA494FE"/>
    <w:rsid w:val="3CA57DEB"/>
    <w:rsid w:val="3CA58CD7"/>
    <w:rsid w:val="3CA5BD01"/>
    <w:rsid w:val="3CA618FD"/>
    <w:rsid w:val="3CA6C75D"/>
    <w:rsid w:val="3CA77870"/>
    <w:rsid w:val="3CA794D0"/>
    <w:rsid w:val="3CA79B0A"/>
    <w:rsid w:val="3CA7CD34"/>
    <w:rsid w:val="3CA7FAD7"/>
    <w:rsid w:val="3CA828B2"/>
    <w:rsid w:val="3CA86A70"/>
    <w:rsid w:val="3CA94CB1"/>
    <w:rsid w:val="3CAA1296"/>
    <w:rsid w:val="3CABBE32"/>
    <w:rsid w:val="3CABC917"/>
    <w:rsid w:val="3CAC1BAC"/>
    <w:rsid w:val="3CAC76DA"/>
    <w:rsid w:val="3CACB1CB"/>
    <w:rsid w:val="3CAD06DA"/>
    <w:rsid w:val="3CADA40C"/>
    <w:rsid w:val="3CAE3CDB"/>
    <w:rsid w:val="3CAE4530"/>
    <w:rsid w:val="3CAE5919"/>
    <w:rsid w:val="3CAEEA95"/>
    <w:rsid w:val="3CAF97D3"/>
    <w:rsid w:val="3CB02C0A"/>
    <w:rsid w:val="3CB02F17"/>
    <w:rsid w:val="3CB02F95"/>
    <w:rsid w:val="3CB04709"/>
    <w:rsid w:val="3CB1A0C6"/>
    <w:rsid w:val="3CB2143D"/>
    <w:rsid w:val="3CB2605D"/>
    <w:rsid w:val="3CB2D7A8"/>
    <w:rsid w:val="3CB38E59"/>
    <w:rsid w:val="3CB39650"/>
    <w:rsid w:val="3CB3B2F6"/>
    <w:rsid w:val="3CB4874F"/>
    <w:rsid w:val="3CB51F3E"/>
    <w:rsid w:val="3CB56FC8"/>
    <w:rsid w:val="3CB573DA"/>
    <w:rsid w:val="3CB5898E"/>
    <w:rsid w:val="3CB651A0"/>
    <w:rsid w:val="3CB668D6"/>
    <w:rsid w:val="3CB68326"/>
    <w:rsid w:val="3CB6C222"/>
    <w:rsid w:val="3CB80AEC"/>
    <w:rsid w:val="3CB813DB"/>
    <w:rsid w:val="3CB89211"/>
    <w:rsid w:val="3CB897CF"/>
    <w:rsid w:val="3CB96C21"/>
    <w:rsid w:val="3CB97E1C"/>
    <w:rsid w:val="3CBB0BC0"/>
    <w:rsid w:val="3CBB5CEF"/>
    <w:rsid w:val="3CBBF447"/>
    <w:rsid w:val="3CBFF09E"/>
    <w:rsid w:val="3CC03CA8"/>
    <w:rsid w:val="3CC0609F"/>
    <w:rsid w:val="3CC06786"/>
    <w:rsid w:val="3CC0CBD2"/>
    <w:rsid w:val="3CC14BCD"/>
    <w:rsid w:val="3CC33E91"/>
    <w:rsid w:val="3CC3DD85"/>
    <w:rsid w:val="3CC40A71"/>
    <w:rsid w:val="3CC42CC6"/>
    <w:rsid w:val="3CC5870B"/>
    <w:rsid w:val="3CC61564"/>
    <w:rsid w:val="3CC62831"/>
    <w:rsid w:val="3CC660DF"/>
    <w:rsid w:val="3CC67C28"/>
    <w:rsid w:val="3CC745AF"/>
    <w:rsid w:val="3CC75923"/>
    <w:rsid w:val="3CC76CAC"/>
    <w:rsid w:val="3CC7B34A"/>
    <w:rsid w:val="3CC7CD4C"/>
    <w:rsid w:val="3CC83BF6"/>
    <w:rsid w:val="3CC88B40"/>
    <w:rsid w:val="3CC93257"/>
    <w:rsid w:val="3CC98FD2"/>
    <w:rsid w:val="3CC9D95C"/>
    <w:rsid w:val="3CC9F65C"/>
    <w:rsid w:val="3CC9FD19"/>
    <w:rsid w:val="3CCA084F"/>
    <w:rsid w:val="3CCA8BB7"/>
    <w:rsid w:val="3CCAD0A8"/>
    <w:rsid w:val="3CCADFBF"/>
    <w:rsid w:val="3CCB6A2C"/>
    <w:rsid w:val="3CCBE0F8"/>
    <w:rsid w:val="3CCCDB14"/>
    <w:rsid w:val="3CCD2B4E"/>
    <w:rsid w:val="3CCDA8DE"/>
    <w:rsid w:val="3CCDCBFD"/>
    <w:rsid w:val="3CCE1022"/>
    <w:rsid w:val="3CCEC601"/>
    <w:rsid w:val="3CCF2788"/>
    <w:rsid w:val="3CCF5425"/>
    <w:rsid w:val="3CCFA49D"/>
    <w:rsid w:val="3CCFABF9"/>
    <w:rsid w:val="3CD06009"/>
    <w:rsid w:val="3CD15785"/>
    <w:rsid w:val="3CD2AA9F"/>
    <w:rsid w:val="3CD3229F"/>
    <w:rsid w:val="3CD32DF9"/>
    <w:rsid w:val="3CD41C8F"/>
    <w:rsid w:val="3CD457CE"/>
    <w:rsid w:val="3CD4A25C"/>
    <w:rsid w:val="3CD59530"/>
    <w:rsid w:val="3CD69C90"/>
    <w:rsid w:val="3CD70BCD"/>
    <w:rsid w:val="3CD88D94"/>
    <w:rsid w:val="3CD8E7FA"/>
    <w:rsid w:val="3CD9F355"/>
    <w:rsid w:val="3CDA2A77"/>
    <w:rsid w:val="3CDA2B9F"/>
    <w:rsid w:val="3CDA30B3"/>
    <w:rsid w:val="3CDB0891"/>
    <w:rsid w:val="3CDB3EC6"/>
    <w:rsid w:val="3CDC1B39"/>
    <w:rsid w:val="3CDC6C4F"/>
    <w:rsid w:val="3CDCD12A"/>
    <w:rsid w:val="3CDE4F67"/>
    <w:rsid w:val="3CE0A1D9"/>
    <w:rsid w:val="3CE156EE"/>
    <w:rsid w:val="3CE1880B"/>
    <w:rsid w:val="3CE19CEA"/>
    <w:rsid w:val="3CE1C3AF"/>
    <w:rsid w:val="3CE3A107"/>
    <w:rsid w:val="3CE400C9"/>
    <w:rsid w:val="3CE4C91C"/>
    <w:rsid w:val="3CE4F8E3"/>
    <w:rsid w:val="3CE679C0"/>
    <w:rsid w:val="3CE683D8"/>
    <w:rsid w:val="3CE917D6"/>
    <w:rsid w:val="3CE9B9E3"/>
    <w:rsid w:val="3CEA54D1"/>
    <w:rsid w:val="3CEAC8C5"/>
    <w:rsid w:val="3CEB36E3"/>
    <w:rsid w:val="3CEB94B4"/>
    <w:rsid w:val="3CEC214A"/>
    <w:rsid w:val="3CEC2CF6"/>
    <w:rsid w:val="3CEC8B12"/>
    <w:rsid w:val="3CEC9615"/>
    <w:rsid w:val="3CECDF40"/>
    <w:rsid w:val="3CEDB265"/>
    <w:rsid w:val="3CEE0185"/>
    <w:rsid w:val="3CEE27D7"/>
    <w:rsid w:val="3CEE9A3C"/>
    <w:rsid w:val="3CEEA928"/>
    <w:rsid w:val="3CEEF0A1"/>
    <w:rsid w:val="3CEEFE37"/>
    <w:rsid w:val="3CEF634E"/>
    <w:rsid w:val="3CEFA620"/>
    <w:rsid w:val="3CF00C39"/>
    <w:rsid w:val="3CF01E65"/>
    <w:rsid w:val="3CF1EEBC"/>
    <w:rsid w:val="3CF278B7"/>
    <w:rsid w:val="3CF31B65"/>
    <w:rsid w:val="3CF32418"/>
    <w:rsid w:val="3CF33237"/>
    <w:rsid w:val="3CF4020B"/>
    <w:rsid w:val="3CF42379"/>
    <w:rsid w:val="3CF42F33"/>
    <w:rsid w:val="3CF55EB7"/>
    <w:rsid w:val="3CF59F51"/>
    <w:rsid w:val="3CF5C242"/>
    <w:rsid w:val="3CF66CFB"/>
    <w:rsid w:val="3CF6A0B7"/>
    <w:rsid w:val="3CF71BFD"/>
    <w:rsid w:val="3CF78965"/>
    <w:rsid w:val="3CF7AF4B"/>
    <w:rsid w:val="3CF7D83F"/>
    <w:rsid w:val="3CF8198A"/>
    <w:rsid w:val="3CF8EE1F"/>
    <w:rsid w:val="3CFA0A67"/>
    <w:rsid w:val="3CFB21CC"/>
    <w:rsid w:val="3CFB4E93"/>
    <w:rsid w:val="3CFCD41D"/>
    <w:rsid w:val="3CFCE9A2"/>
    <w:rsid w:val="3CFDEFDE"/>
    <w:rsid w:val="3CFEAD72"/>
    <w:rsid w:val="3CFEBDD9"/>
    <w:rsid w:val="3CFEFC12"/>
    <w:rsid w:val="3D000023"/>
    <w:rsid w:val="3D0061FD"/>
    <w:rsid w:val="3D00A89A"/>
    <w:rsid w:val="3D00D534"/>
    <w:rsid w:val="3D00F84B"/>
    <w:rsid w:val="3D01B87E"/>
    <w:rsid w:val="3D022508"/>
    <w:rsid w:val="3D028EFB"/>
    <w:rsid w:val="3D029D1C"/>
    <w:rsid w:val="3D038240"/>
    <w:rsid w:val="3D045AD3"/>
    <w:rsid w:val="3D05A33F"/>
    <w:rsid w:val="3D08313E"/>
    <w:rsid w:val="3D083E3F"/>
    <w:rsid w:val="3D08E428"/>
    <w:rsid w:val="3D092EB3"/>
    <w:rsid w:val="3D0952E6"/>
    <w:rsid w:val="3D09AB50"/>
    <w:rsid w:val="3D09D8EA"/>
    <w:rsid w:val="3D0B17B7"/>
    <w:rsid w:val="3D0B4825"/>
    <w:rsid w:val="3D0BBCA2"/>
    <w:rsid w:val="3D0BF7B7"/>
    <w:rsid w:val="3D0C7220"/>
    <w:rsid w:val="3D0D25D9"/>
    <w:rsid w:val="3D0D7B3B"/>
    <w:rsid w:val="3D0DB4D9"/>
    <w:rsid w:val="3D1017AA"/>
    <w:rsid w:val="3D101EF2"/>
    <w:rsid w:val="3D10390A"/>
    <w:rsid w:val="3D107ABB"/>
    <w:rsid w:val="3D13400E"/>
    <w:rsid w:val="3D1379E1"/>
    <w:rsid w:val="3D1388F3"/>
    <w:rsid w:val="3D13B028"/>
    <w:rsid w:val="3D13B21E"/>
    <w:rsid w:val="3D13F919"/>
    <w:rsid w:val="3D146142"/>
    <w:rsid w:val="3D15A2F9"/>
    <w:rsid w:val="3D15C105"/>
    <w:rsid w:val="3D1755DF"/>
    <w:rsid w:val="3D17A86D"/>
    <w:rsid w:val="3D181D93"/>
    <w:rsid w:val="3D182505"/>
    <w:rsid w:val="3D1832A7"/>
    <w:rsid w:val="3D189F88"/>
    <w:rsid w:val="3D18D785"/>
    <w:rsid w:val="3D18E4A1"/>
    <w:rsid w:val="3D18FE0B"/>
    <w:rsid w:val="3D197396"/>
    <w:rsid w:val="3D1D09C5"/>
    <w:rsid w:val="3D1D3C4E"/>
    <w:rsid w:val="3D1ED8A4"/>
    <w:rsid w:val="3D1F0219"/>
    <w:rsid w:val="3D1FA047"/>
    <w:rsid w:val="3D201414"/>
    <w:rsid w:val="3D2071A9"/>
    <w:rsid w:val="3D208B06"/>
    <w:rsid w:val="3D2094BA"/>
    <w:rsid w:val="3D20B8C4"/>
    <w:rsid w:val="3D22935A"/>
    <w:rsid w:val="3D233AC3"/>
    <w:rsid w:val="3D236852"/>
    <w:rsid w:val="3D23DD55"/>
    <w:rsid w:val="3D23EA61"/>
    <w:rsid w:val="3D24C712"/>
    <w:rsid w:val="3D2544EF"/>
    <w:rsid w:val="3D267949"/>
    <w:rsid w:val="3D26A2AF"/>
    <w:rsid w:val="3D27630E"/>
    <w:rsid w:val="3D288394"/>
    <w:rsid w:val="3D28EC30"/>
    <w:rsid w:val="3D29019C"/>
    <w:rsid w:val="3D292E8F"/>
    <w:rsid w:val="3D29DF45"/>
    <w:rsid w:val="3D29EF98"/>
    <w:rsid w:val="3D2A262A"/>
    <w:rsid w:val="3D2B1489"/>
    <w:rsid w:val="3D2B6F52"/>
    <w:rsid w:val="3D2C7F1E"/>
    <w:rsid w:val="3D2CCE57"/>
    <w:rsid w:val="3D2CD377"/>
    <w:rsid w:val="3D2D1120"/>
    <w:rsid w:val="3D2D8F78"/>
    <w:rsid w:val="3D2D99D7"/>
    <w:rsid w:val="3D2E7773"/>
    <w:rsid w:val="3D2FF5D4"/>
    <w:rsid w:val="3D30551E"/>
    <w:rsid w:val="3D308A94"/>
    <w:rsid w:val="3D313643"/>
    <w:rsid w:val="3D3166D2"/>
    <w:rsid w:val="3D3177AE"/>
    <w:rsid w:val="3D327EB8"/>
    <w:rsid w:val="3D32B0F7"/>
    <w:rsid w:val="3D334812"/>
    <w:rsid w:val="3D339880"/>
    <w:rsid w:val="3D344986"/>
    <w:rsid w:val="3D3494B9"/>
    <w:rsid w:val="3D349BF6"/>
    <w:rsid w:val="3D34AF2D"/>
    <w:rsid w:val="3D34E594"/>
    <w:rsid w:val="3D352966"/>
    <w:rsid w:val="3D359496"/>
    <w:rsid w:val="3D3602BD"/>
    <w:rsid w:val="3D362604"/>
    <w:rsid w:val="3D363282"/>
    <w:rsid w:val="3D36F44B"/>
    <w:rsid w:val="3D375ADF"/>
    <w:rsid w:val="3D37E462"/>
    <w:rsid w:val="3D3803BA"/>
    <w:rsid w:val="3D38B2F6"/>
    <w:rsid w:val="3D39830B"/>
    <w:rsid w:val="3D39F4E1"/>
    <w:rsid w:val="3D3A5393"/>
    <w:rsid w:val="3D3A96E1"/>
    <w:rsid w:val="3D3ABE27"/>
    <w:rsid w:val="3D3B05F5"/>
    <w:rsid w:val="3D3C9D08"/>
    <w:rsid w:val="3D3CDF55"/>
    <w:rsid w:val="3D3CF0A1"/>
    <w:rsid w:val="3D3DCAD0"/>
    <w:rsid w:val="3D3E3C2A"/>
    <w:rsid w:val="3D3E40D0"/>
    <w:rsid w:val="3D3EED7F"/>
    <w:rsid w:val="3D3F548F"/>
    <w:rsid w:val="3D3F7434"/>
    <w:rsid w:val="3D3FE690"/>
    <w:rsid w:val="3D3FED27"/>
    <w:rsid w:val="3D404514"/>
    <w:rsid w:val="3D40A39B"/>
    <w:rsid w:val="3D41CF7D"/>
    <w:rsid w:val="3D420017"/>
    <w:rsid w:val="3D4216E1"/>
    <w:rsid w:val="3D42181A"/>
    <w:rsid w:val="3D42E185"/>
    <w:rsid w:val="3D43139A"/>
    <w:rsid w:val="3D43FE3A"/>
    <w:rsid w:val="3D444F3E"/>
    <w:rsid w:val="3D44A31D"/>
    <w:rsid w:val="3D450893"/>
    <w:rsid w:val="3D468EBF"/>
    <w:rsid w:val="3D47AF22"/>
    <w:rsid w:val="3D4845D6"/>
    <w:rsid w:val="3D4A7643"/>
    <w:rsid w:val="3D4C720D"/>
    <w:rsid w:val="3D4DA4A6"/>
    <w:rsid w:val="3D4E2DA1"/>
    <w:rsid w:val="3D4E354D"/>
    <w:rsid w:val="3D4E67F9"/>
    <w:rsid w:val="3D4EA6FF"/>
    <w:rsid w:val="3D4EF360"/>
    <w:rsid w:val="3D50797E"/>
    <w:rsid w:val="3D50E45F"/>
    <w:rsid w:val="3D510BF2"/>
    <w:rsid w:val="3D51210A"/>
    <w:rsid w:val="3D517B6E"/>
    <w:rsid w:val="3D522D3C"/>
    <w:rsid w:val="3D53D608"/>
    <w:rsid w:val="3D54E8B7"/>
    <w:rsid w:val="3D551E18"/>
    <w:rsid w:val="3D556C9D"/>
    <w:rsid w:val="3D55E0D8"/>
    <w:rsid w:val="3D55FD0D"/>
    <w:rsid w:val="3D5647C6"/>
    <w:rsid w:val="3D565AFC"/>
    <w:rsid w:val="3D57133D"/>
    <w:rsid w:val="3D572FA9"/>
    <w:rsid w:val="3D587306"/>
    <w:rsid w:val="3D58B246"/>
    <w:rsid w:val="3D58E91C"/>
    <w:rsid w:val="3D58EFF9"/>
    <w:rsid w:val="3D5907EA"/>
    <w:rsid w:val="3D5A1E9C"/>
    <w:rsid w:val="3D5A2B63"/>
    <w:rsid w:val="3D5BC13A"/>
    <w:rsid w:val="3D5C9E63"/>
    <w:rsid w:val="3D5CC8F1"/>
    <w:rsid w:val="3D5D2D23"/>
    <w:rsid w:val="3D5D82B5"/>
    <w:rsid w:val="3D5E3E6B"/>
    <w:rsid w:val="3D60488F"/>
    <w:rsid w:val="3D608D21"/>
    <w:rsid w:val="3D60A723"/>
    <w:rsid w:val="3D60E631"/>
    <w:rsid w:val="3D610A5E"/>
    <w:rsid w:val="3D611329"/>
    <w:rsid w:val="3D6147E3"/>
    <w:rsid w:val="3D61A13A"/>
    <w:rsid w:val="3D61E9D1"/>
    <w:rsid w:val="3D628B2E"/>
    <w:rsid w:val="3D63566A"/>
    <w:rsid w:val="3D642C06"/>
    <w:rsid w:val="3D6439E4"/>
    <w:rsid w:val="3D648637"/>
    <w:rsid w:val="3D6563DC"/>
    <w:rsid w:val="3D65A56F"/>
    <w:rsid w:val="3D65C218"/>
    <w:rsid w:val="3D65F9FE"/>
    <w:rsid w:val="3D65FC3D"/>
    <w:rsid w:val="3D6602A6"/>
    <w:rsid w:val="3D6689DB"/>
    <w:rsid w:val="3D66B5A5"/>
    <w:rsid w:val="3D66FAF9"/>
    <w:rsid w:val="3D679D33"/>
    <w:rsid w:val="3D67B4DC"/>
    <w:rsid w:val="3D68EA8A"/>
    <w:rsid w:val="3D690E13"/>
    <w:rsid w:val="3D693669"/>
    <w:rsid w:val="3D699F55"/>
    <w:rsid w:val="3D6B0F0D"/>
    <w:rsid w:val="3D6B8219"/>
    <w:rsid w:val="3D6C2EED"/>
    <w:rsid w:val="3D6C7CA6"/>
    <w:rsid w:val="3D6C9223"/>
    <w:rsid w:val="3D6CB2A3"/>
    <w:rsid w:val="3D6D71B7"/>
    <w:rsid w:val="3D6DE2C8"/>
    <w:rsid w:val="3D6E709E"/>
    <w:rsid w:val="3D6ED50A"/>
    <w:rsid w:val="3D6F656E"/>
    <w:rsid w:val="3D6F734E"/>
    <w:rsid w:val="3D6FA344"/>
    <w:rsid w:val="3D703EA1"/>
    <w:rsid w:val="3D7067E5"/>
    <w:rsid w:val="3D706D71"/>
    <w:rsid w:val="3D729B01"/>
    <w:rsid w:val="3D73F67E"/>
    <w:rsid w:val="3D741CFB"/>
    <w:rsid w:val="3D752A07"/>
    <w:rsid w:val="3D753F97"/>
    <w:rsid w:val="3D7554D2"/>
    <w:rsid w:val="3D75BD88"/>
    <w:rsid w:val="3D75CF52"/>
    <w:rsid w:val="3D75E35E"/>
    <w:rsid w:val="3D760245"/>
    <w:rsid w:val="3D76367A"/>
    <w:rsid w:val="3D7655F1"/>
    <w:rsid w:val="3D77174F"/>
    <w:rsid w:val="3D782941"/>
    <w:rsid w:val="3D789B77"/>
    <w:rsid w:val="3D78A2FA"/>
    <w:rsid w:val="3D78CD32"/>
    <w:rsid w:val="3D79A8D2"/>
    <w:rsid w:val="3D7A032D"/>
    <w:rsid w:val="3D7A4C3E"/>
    <w:rsid w:val="3D7A5D9C"/>
    <w:rsid w:val="3D7A6070"/>
    <w:rsid w:val="3D7A6707"/>
    <w:rsid w:val="3D7AC385"/>
    <w:rsid w:val="3D7ACEA9"/>
    <w:rsid w:val="3D7D1974"/>
    <w:rsid w:val="3D7D493A"/>
    <w:rsid w:val="3D7D9D2B"/>
    <w:rsid w:val="3D7DE2E5"/>
    <w:rsid w:val="3D7E4B99"/>
    <w:rsid w:val="3D7E74C2"/>
    <w:rsid w:val="3D7FA4A0"/>
    <w:rsid w:val="3D8039A4"/>
    <w:rsid w:val="3D807F9B"/>
    <w:rsid w:val="3D80E5DA"/>
    <w:rsid w:val="3D8191D5"/>
    <w:rsid w:val="3D81D0AB"/>
    <w:rsid w:val="3D81FEA0"/>
    <w:rsid w:val="3D822C09"/>
    <w:rsid w:val="3D8244D9"/>
    <w:rsid w:val="3D82B960"/>
    <w:rsid w:val="3D8396FC"/>
    <w:rsid w:val="3D83A573"/>
    <w:rsid w:val="3D848711"/>
    <w:rsid w:val="3D84E716"/>
    <w:rsid w:val="3D84E8F9"/>
    <w:rsid w:val="3D8552ED"/>
    <w:rsid w:val="3D8565FB"/>
    <w:rsid w:val="3D864E8F"/>
    <w:rsid w:val="3D86CCC9"/>
    <w:rsid w:val="3D87898A"/>
    <w:rsid w:val="3D889E03"/>
    <w:rsid w:val="3D8A9D76"/>
    <w:rsid w:val="3D8AFAD4"/>
    <w:rsid w:val="3D8BDFF7"/>
    <w:rsid w:val="3D8C045C"/>
    <w:rsid w:val="3D8CD8B7"/>
    <w:rsid w:val="3D8CEBAF"/>
    <w:rsid w:val="3D8D0E1C"/>
    <w:rsid w:val="3D8D9016"/>
    <w:rsid w:val="3D8D959B"/>
    <w:rsid w:val="3D8E0DBB"/>
    <w:rsid w:val="3D8F1758"/>
    <w:rsid w:val="3D8F2A9F"/>
    <w:rsid w:val="3D8F85F3"/>
    <w:rsid w:val="3D907CA4"/>
    <w:rsid w:val="3D90D7D3"/>
    <w:rsid w:val="3D92026D"/>
    <w:rsid w:val="3D926F93"/>
    <w:rsid w:val="3D92B605"/>
    <w:rsid w:val="3D92DCF3"/>
    <w:rsid w:val="3D930DF5"/>
    <w:rsid w:val="3D932331"/>
    <w:rsid w:val="3D93DAB6"/>
    <w:rsid w:val="3D93DB2E"/>
    <w:rsid w:val="3D943607"/>
    <w:rsid w:val="3D957930"/>
    <w:rsid w:val="3D95DA07"/>
    <w:rsid w:val="3D9647B9"/>
    <w:rsid w:val="3D96A5C2"/>
    <w:rsid w:val="3D971EC2"/>
    <w:rsid w:val="3D986DD4"/>
    <w:rsid w:val="3D989D93"/>
    <w:rsid w:val="3D9973B7"/>
    <w:rsid w:val="3D999AD7"/>
    <w:rsid w:val="3D99F81F"/>
    <w:rsid w:val="3D9A9CD0"/>
    <w:rsid w:val="3D9ADE23"/>
    <w:rsid w:val="3D9B0783"/>
    <w:rsid w:val="3D9B8AD9"/>
    <w:rsid w:val="3D9B918B"/>
    <w:rsid w:val="3D9BF7DC"/>
    <w:rsid w:val="3D9D5E93"/>
    <w:rsid w:val="3D9DECBE"/>
    <w:rsid w:val="3D9E01C2"/>
    <w:rsid w:val="3D9E331A"/>
    <w:rsid w:val="3D9EC19E"/>
    <w:rsid w:val="3D9F9FFB"/>
    <w:rsid w:val="3DA00DF3"/>
    <w:rsid w:val="3DA02143"/>
    <w:rsid w:val="3DA06F13"/>
    <w:rsid w:val="3DA07A0B"/>
    <w:rsid w:val="3DA15D62"/>
    <w:rsid w:val="3DA2012E"/>
    <w:rsid w:val="3DA21320"/>
    <w:rsid w:val="3DA28389"/>
    <w:rsid w:val="3DA36555"/>
    <w:rsid w:val="3DA38444"/>
    <w:rsid w:val="3DA44401"/>
    <w:rsid w:val="3DA466DC"/>
    <w:rsid w:val="3DA473DA"/>
    <w:rsid w:val="3DA4FEFA"/>
    <w:rsid w:val="3DA53BE6"/>
    <w:rsid w:val="3DA58B73"/>
    <w:rsid w:val="3DA64468"/>
    <w:rsid w:val="3DA6EB39"/>
    <w:rsid w:val="3DA736F3"/>
    <w:rsid w:val="3DA74032"/>
    <w:rsid w:val="3DA78038"/>
    <w:rsid w:val="3DA85ACF"/>
    <w:rsid w:val="3DA89005"/>
    <w:rsid w:val="3DA993C1"/>
    <w:rsid w:val="3DA99EF5"/>
    <w:rsid w:val="3DA9B3F6"/>
    <w:rsid w:val="3DA9E513"/>
    <w:rsid w:val="3DAB052E"/>
    <w:rsid w:val="3DABEAFC"/>
    <w:rsid w:val="3DAC9A76"/>
    <w:rsid w:val="3DACD310"/>
    <w:rsid w:val="3DAD8CEB"/>
    <w:rsid w:val="3DADFF4B"/>
    <w:rsid w:val="3DAEE2A1"/>
    <w:rsid w:val="3DAF47B6"/>
    <w:rsid w:val="3DAF88BF"/>
    <w:rsid w:val="3DAF9731"/>
    <w:rsid w:val="3DAFC638"/>
    <w:rsid w:val="3DAFD976"/>
    <w:rsid w:val="3DB0B882"/>
    <w:rsid w:val="3DB0BB5A"/>
    <w:rsid w:val="3DB11152"/>
    <w:rsid w:val="3DB11DB5"/>
    <w:rsid w:val="3DB29CC5"/>
    <w:rsid w:val="3DB2A0E8"/>
    <w:rsid w:val="3DB301D3"/>
    <w:rsid w:val="3DB35EB0"/>
    <w:rsid w:val="3DB3A26E"/>
    <w:rsid w:val="3DB412B1"/>
    <w:rsid w:val="3DB46A40"/>
    <w:rsid w:val="3DB4839F"/>
    <w:rsid w:val="3DB50340"/>
    <w:rsid w:val="3DB51E84"/>
    <w:rsid w:val="3DB552DC"/>
    <w:rsid w:val="3DB5DD11"/>
    <w:rsid w:val="3DB60994"/>
    <w:rsid w:val="3DB6CFF2"/>
    <w:rsid w:val="3DB7F28A"/>
    <w:rsid w:val="3DB82C3D"/>
    <w:rsid w:val="3DB84BA2"/>
    <w:rsid w:val="3DB85AF1"/>
    <w:rsid w:val="3DB88772"/>
    <w:rsid w:val="3DB8BC85"/>
    <w:rsid w:val="3DB8BFBC"/>
    <w:rsid w:val="3DB8E6B1"/>
    <w:rsid w:val="3DB92DF7"/>
    <w:rsid w:val="3DB9B1E2"/>
    <w:rsid w:val="3DB9CC5C"/>
    <w:rsid w:val="3DBA2C7B"/>
    <w:rsid w:val="3DBBAB54"/>
    <w:rsid w:val="3DBBC9E7"/>
    <w:rsid w:val="3DBBCF02"/>
    <w:rsid w:val="3DBD724D"/>
    <w:rsid w:val="3DBD960C"/>
    <w:rsid w:val="3DBDE6CC"/>
    <w:rsid w:val="3DBE2F2A"/>
    <w:rsid w:val="3DBE50E3"/>
    <w:rsid w:val="3DBEB3DE"/>
    <w:rsid w:val="3DBF1D1F"/>
    <w:rsid w:val="3DBFA0E6"/>
    <w:rsid w:val="3DBFE838"/>
    <w:rsid w:val="3DC06B64"/>
    <w:rsid w:val="3DC08149"/>
    <w:rsid w:val="3DC0E951"/>
    <w:rsid w:val="3DC0F055"/>
    <w:rsid w:val="3DC1BC1E"/>
    <w:rsid w:val="3DC1F8D2"/>
    <w:rsid w:val="3DC23522"/>
    <w:rsid w:val="3DC4C351"/>
    <w:rsid w:val="3DC52FAB"/>
    <w:rsid w:val="3DC558ED"/>
    <w:rsid w:val="3DC57884"/>
    <w:rsid w:val="3DC5BA14"/>
    <w:rsid w:val="3DC5BB26"/>
    <w:rsid w:val="3DC5D6E5"/>
    <w:rsid w:val="3DC60671"/>
    <w:rsid w:val="3DC61F71"/>
    <w:rsid w:val="3DC64BDD"/>
    <w:rsid w:val="3DC64C2E"/>
    <w:rsid w:val="3DC6CC8E"/>
    <w:rsid w:val="3DC7A91A"/>
    <w:rsid w:val="3DC7C8F4"/>
    <w:rsid w:val="3DC7E6D7"/>
    <w:rsid w:val="3DC8A1A3"/>
    <w:rsid w:val="3DC8CD12"/>
    <w:rsid w:val="3DC8E17A"/>
    <w:rsid w:val="3DC9BA02"/>
    <w:rsid w:val="3DCBAA47"/>
    <w:rsid w:val="3DCBFBF3"/>
    <w:rsid w:val="3DCCCA60"/>
    <w:rsid w:val="3DCD2F48"/>
    <w:rsid w:val="3DCE3937"/>
    <w:rsid w:val="3DCE431B"/>
    <w:rsid w:val="3DCE9BD5"/>
    <w:rsid w:val="3DCEB112"/>
    <w:rsid w:val="3DCEED37"/>
    <w:rsid w:val="3DD0B578"/>
    <w:rsid w:val="3DD0F1E8"/>
    <w:rsid w:val="3DD11223"/>
    <w:rsid w:val="3DD16D70"/>
    <w:rsid w:val="3DD1749B"/>
    <w:rsid w:val="3DD1CF99"/>
    <w:rsid w:val="3DD2818C"/>
    <w:rsid w:val="3DD2AB40"/>
    <w:rsid w:val="3DD38EC8"/>
    <w:rsid w:val="3DD40E1B"/>
    <w:rsid w:val="3DD468CD"/>
    <w:rsid w:val="3DD4D713"/>
    <w:rsid w:val="3DD5DCCE"/>
    <w:rsid w:val="3DD6BA3E"/>
    <w:rsid w:val="3DD6C827"/>
    <w:rsid w:val="3DD8478D"/>
    <w:rsid w:val="3DD89EDF"/>
    <w:rsid w:val="3DD8AA97"/>
    <w:rsid w:val="3DD8C512"/>
    <w:rsid w:val="3DD9E63C"/>
    <w:rsid w:val="3DD9F078"/>
    <w:rsid w:val="3DDA0AC5"/>
    <w:rsid w:val="3DDAEF07"/>
    <w:rsid w:val="3DDC0437"/>
    <w:rsid w:val="3DDC501F"/>
    <w:rsid w:val="3DDDAE7A"/>
    <w:rsid w:val="3DDF6742"/>
    <w:rsid w:val="3DDF79A1"/>
    <w:rsid w:val="3DDF8E0F"/>
    <w:rsid w:val="3DE05EB1"/>
    <w:rsid w:val="3DE0B711"/>
    <w:rsid w:val="3DE0FE2B"/>
    <w:rsid w:val="3DE1107E"/>
    <w:rsid w:val="3DE156AD"/>
    <w:rsid w:val="3DE26570"/>
    <w:rsid w:val="3DE3E5E5"/>
    <w:rsid w:val="3DE5363B"/>
    <w:rsid w:val="3DE5B1EB"/>
    <w:rsid w:val="3DE76A5B"/>
    <w:rsid w:val="3DE8960F"/>
    <w:rsid w:val="3DE8F601"/>
    <w:rsid w:val="3DEA4361"/>
    <w:rsid w:val="3DEB99EF"/>
    <w:rsid w:val="3DEBA86B"/>
    <w:rsid w:val="3DEC2668"/>
    <w:rsid w:val="3DEC908F"/>
    <w:rsid w:val="3DEC9592"/>
    <w:rsid w:val="3DED0CB1"/>
    <w:rsid w:val="3DED2F23"/>
    <w:rsid w:val="3DEE3A01"/>
    <w:rsid w:val="3DEE7095"/>
    <w:rsid w:val="3DEE8FA0"/>
    <w:rsid w:val="3DEEBC50"/>
    <w:rsid w:val="3DEEDFD1"/>
    <w:rsid w:val="3DEF43EF"/>
    <w:rsid w:val="3DEFA15E"/>
    <w:rsid w:val="3DEFFC2E"/>
    <w:rsid w:val="3DF05D50"/>
    <w:rsid w:val="3DF1AD7C"/>
    <w:rsid w:val="3DF224DF"/>
    <w:rsid w:val="3DF24F1F"/>
    <w:rsid w:val="3DF2C19F"/>
    <w:rsid w:val="3DF2E340"/>
    <w:rsid w:val="3DF354C7"/>
    <w:rsid w:val="3DF3D5BD"/>
    <w:rsid w:val="3DF46144"/>
    <w:rsid w:val="3DF49CB2"/>
    <w:rsid w:val="3DF4E2AF"/>
    <w:rsid w:val="3DF50E09"/>
    <w:rsid w:val="3DF69477"/>
    <w:rsid w:val="3DF6AC4A"/>
    <w:rsid w:val="3DF6EF72"/>
    <w:rsid w:val="3DF81A7C"/>
    <w:rsid w:val="3DF9DD5D"/>
    <w:rsid w:val="3DFA46A2"/>
    <w:rsid w:val="3DFA8DB2"/>
    <w:rsid w:val="3DFB1201"/>
    <w:rsid w:val="3DFBD70F"/>
    <w:rsid w:val="3DFBEE9C"/>
    <w:rsid w:val="3DFC715C"/>
    <w:rsid w:val="3DFC7D50"/>
    <w:rsid w:val="3DFEE8F3"/>
    <w:rsid w:val="3DFF0FE2"/>
    <w:rsid w:val="3E004FE8"/>
    <w:rsid w:val="3E014F89"/>
    <w:rsid w:val="3E01A41A"/>
    <w:rsid w:val="3E01CD16"/>
    <w:rsid w:val="3E02831E"/>
    <w:rsid w:val="3E028DC9"/>
    <w:rsid w:val="3E0320E5"/>
    <w:rsid w:val="3E03470B"/>
    <w:rsid w:val="3E0521F7"/>
    <w:rsid w:val="3E055717"/>
    <w:rsid w:val="3E05DA8B"/>
    <w:rsid w:val="3E0655F1"/>
    <w:rsid w:val="3E06870B"/>
    <w:rsid w:val="3E088E1D"/>
    <w:rsid w:val="3E09C923"/>
    <w:rsid w:val="3E09F47D"/>
    <w:rsid w:val="3E0AEDCF"/>
    <w:rsid w:val="3E0B4ABF"/>
    <w:rsid w:val="3E0C0F4E"/>
    <w:rsid w:val="3E0C1C3A"/>
    <w:rsid w:val="3E0C3009"/>
    <w:rsid w:val="3E0C7C67"/>
    <w:rsid w:val="3E0CD93C"/>
    <w:rsid w:val="3E0CE12F"/>
    <w:rsid w:val="3E0D6818"/>
    <w:rsid w:val="3E0EE000"/>
    <w:rsid w:val="3E0FBAB6"/>
    <w:rsid w:val="3E1094A3"/>
    <w:rsid w:val="3E10CFA2"/>
    <w:rsid w:val="3E110C8E"/>
    <w:rsid w:val="3E117D43"/>
    <w:rsid w:val="3E119AC4"/>
    <w:rsid w:val="3E11BF0D"/>
    <w:rsid w:val="3E12B46E"/>
    <w:rsid w:val="3E137CFE"/>
    <w:rsid w:val="3E1380D2"/>
    <w:rsid w:val="3E13E86F"/>
    <w:rsid w:val="3E14D5FF"/>
    <w:rsid w:val="3E151214"/>
    <w:rsid w:val="3E1623FE"/>
    <w:rsid w:val="3E1683B0"/>
    <w:rsid w:val="3E169B3A"/>
    <w:rsid w:val="3E1768F8"/>
    <w:rsid w:val="3E17B39D"/>
    <w:rsid w:val="3E1808F9"/>
    <w:rsid w:val="3E18753D"/>
    <w:rsid w:val="3E189FA2"/>
    <w:rsid w:val="3E18DC89"/>
    <w:rsid w:val="3E199DA9"/>
    <w:rsid w:val="3E19E34D"/>
    <w:rsid w:val="3E1D471E"/>
    <w:rsid w:val="3E1D4D94"/>
    <w:rsid w:val="3E1D5C52"/>
    <w:rsid w:val="3E1F0CA0"/>
    <w:rsid w:val="3E1FEEF6"/>
    <w:rsid w:val="3E22CF9A"/>
    <w:rsid w:val="3E22EF24"/>
    <w:rsid w:val="3E23531C"/>
    <w:rsid w:val="3E24B84F"/>
    <w:rsid w:val="3E24F526"/>
    <w:rsid w:val="3E275E01"/>
    <w:rsid w:val="3E284F2D"/>
    <w:rsid w:val="3E286512"/>
    <w:rsid w:val="3E296408"/>
    <w:rsid w:val="3E29B02B"/>
    <w:rsid w:val="3E2B9FAF"/>
    <w:rsid w:val="3E2CCDFF"/>
    <w:rsid w:val="3E2CD777"/>
    <w:rsid w:val="3E2CF0D3"/>
    <w:rsid w:val="3E2D3A6D"/>
    <w:rsid w:val="3E2DC576"/>
    <w:rsid w:val="3E2E4A1A"/>
    <w:rsid w:val="3E2F6883"/>
    <w:rsid w:val="3E2F86EF"/>
    <w:rsid w:val="3E2FBE8A"/>
    <w:rsid w:val="3E302294"/>
    <w:rsid w:val="3E311A85"/>
    <w:rsid w:val="3E321786"/>
    <w:rsid w:val="3E324467"/>
    <w:rsid w:val="3E326AD0"/>
    <w:rsid w:val="3E3376C1"/>
    <w:rsid w:val="3E33B59F"/>
    <w:rsid w:val="3E33D078"/>
    <w:rsid w:val="3E350538"/>
    <w:rsid w:val="3E350D61"/>
    <w:rsid w:val="3E351D36"/>
    <w:rsid w:val="3E35AD7C"/>
    <w:rsid w:val="3E35BD0C"/>
    <w:rsid w:val="3E366E6E"/>
    <w:rsid w:val="3E373A94"/>
    <w:rsid w:val="3E378371"/>
    <w:rsid w:val="3E379D90"/>
    <w:rsid w:val="3E37C258"/>
    <w:rsid w:val="3E37F34D"/>
    <w:rsid w:val="3E38039B"/>
    <w:rsid w:val="3E39074B"/>
    <w:rsid w:val="3E3A2D6E"/>
    <w:rsid w:val="3E3BD7B0"/>
    <w:rsid w:val="3E3C353F"/>
    <w:rsid w:val="3E3CA584"/>
    <w:rsid w:val="3E3CC2E3"/>
    <w:rsid w:val="3E3E2CE8"/>
    <w:rsid w:val="3E3F1152"/>
    <w:rsid w:val="3E3F1512"/>
    <w:rsid w:val="3E3F5BB6"/>
    <w:rsid w:val="3E3F8761"/>
    <w:rsid w:val="3E3FA680"/>
    <w:rsid w:val="3E40FDDE"/>
    <w:rsid w:val="3E412C2A"/>
    <w:rsid w:val="3E41AAA0"/>
    <w:rsid w:val="3E43A712"/>
    <w:rsid w:val="3E446D0C"/>
    <w:rsid w:val="3E449003"/>
    <w:rsid w:val="3E44FE2C"/>
    <w:rsid w:val="3E45E981"/>
    <w:rsid w:val="3E48447A"/>
    <w:rsid w:val="3E485346"/>
    <w:rsid w:val="3E491289"/>
    <w:rsid w:val="3E494A51"/>
    <w:rsid w:val="3E499A96"/>
    <w:rsid w:val="3E49A727"/>
    <w:rsid w:val="3E49E114"/>
    <w:rsid w:val="3E49FDAA"/>
    <w:rsid w:val="3E4B7988"/>
    <w:rsid w:val="3E4B9D69"/>
    <w:rsid w:val="3E4C42C1"/>
    <w:rsid w:val="3E4C6C56"/>
    <w:rsid w:val="3E4DB320"/>
    <w:rsid w:val="3E4DE080"/>
    <w:rsid w:val="3E4E3E37"/>
    <w:rsid w:val="3E4F75F2"/>
    <w:rsid w:val="3E4F91AB"/>
    <w:rsid w:val="3E4FAF11"/>
    <w:rsid w:val="3E5019A2"/>
    <w:rsid w:val="3E503F41"/>
    <w:rsid w:val="3E504692"/>
    <w:rsid w:val="3E50613B"/>
    <w:rsid w:val="3E5176DA"/>
    <w:rsid w:val="3E51F691"/>
    <w:rsid w:val="3E5202F7"/>
    <w:rsid w:val="3E523A5C"/>
    <w:rsid w:val="3E528D68"/>
    <w:rsid w:val="3E52ACC0"/>
    <w:rsid w:val="3E5355A8"/>
    <w:rsid w:val="3E537E18"/>
    <w:rsid w:val="3E5420A3"/>
    <w:rsid w:val="3E547D65"/>
    <w:rsid w:val="3E559909"/>
    <w:rsid w:val="3E5637BF"/>
    <w:rsid w:val="3E5696F0"/>
    <w:rsid w:val="3E5752AC"/>
    <w:rsid w:val="3E57BCF3"/>
    <w:rsid w:val="3E57DD6D"/>
    <w:rsid w:val="3E58315A"/>
    <w:rsid w:val="3E58D46A"/>
    <w:rsid w:val="3E59A705"/>
    <w:rsid w:val="3E59D938"/>
    <w:rsid w:val="3E5AC4C7"/>
    <w:rsid w:val="3E5B1706"/>
    <w:rsid w:val="3E5B4336"/>
    <w:rsid w:val="3E5B608A"/>
    <w:rsid w:val="3E5BD7BF"/>
    <w:rsid w:val="3E5C246F"/>
    <w:rsid w:val="3E5C8989"/>
    <w:rsid w:val="3E5D4FEA"/>
    <w:rsid w:val="3E5EE7B7"/>
    <w:rsid w:val="3E5FAB88"/>
    <w:rsid w:val="3E5FDCEC"/>
    <w:rsid w:val="3E5FFAC1"/>
    <w:rsid w:val="3E60074B"/>
    <w:rsid w:val="3E6029AC"/>
    <w:rsid w:val="3E6119BD"/>
    <w:rsid w:val="3E61611A"/>
    <w:rsid w:val="3E61A083"/>
    <w:rsid w:val="3E62CC63"/>
    <w:rsid w:val="3E62D16E"/>
    <w:rsid w:val="3E62F42A"/>
    <w:rsid w:val="3E633106"/>
    <w:rsid w:val="3E64248F"/>
    <w:rsid w:val="3E663462"/>
    <w:rsid w:val="3E6639D3"/>
    <w:rsid w:val="3E66918D"/>
    <w:rsid w:val="3E66A518"/>
    <w:rsid w:val="3E66F9D6"/>
    <w:rsid w:val="3E67BB8F"/>
    <w:rsid w:val="3E67F14A"/>
    <w:rsid w:val="3E681E1B"/>
    <w:rsid w:val="3E68EE49"/>
    <w:rsid w:val="3E6942FD"/>
    <w:rsid w:val="3E6A0480"/>
    <w:rsid w:val="3E6A46D1"/>
    <w:rsid w:val="3E6CF4CC"/>
    <w:rsid w:val="3E6D4748"/>
    <w:rsid w:val="3E6E8F1C"/>
    <w:rsid w:val="3E6EC538"/>
    <w:rsid w:val="3E6EF866"/>
    <w:rsid w:val="3E6EFDF9"/>
    <w:rsid w:val="3E6F94D4"/>
    <w:rsid w:val="3E6FD42E"/>
    <w:rsid w:val="3E707DB7"/>
    <w:rsid w:val="3E7122B9"/>
    <w:rsid w:val="3E714721"/>
    <w:rsid w:val="3E715112"/>
    <w:rsid w:val="3E719FF7"/>
    <w:rsid w:val="3E71E061"/>
    <w:rsid w:val="3E72C931"/>
    <w:rsid w:val="3E72E014"/>
    <w:rsid w:val="3E737483"/>
    <w:rsid w:val="3E73BFF4"/>
    <w:rsid w:val="3E74234D"/>
    <w:rsid w:val="3E7439C9"/>
    <w:rsid w:val="3E749BD6"/>
    <w:rsid w:val="3E74B9FD"/>
    <w:rsid w:val="3E74E064"/>
    <w:rsid w:val="3E7521CE"/>
    <w:rsid w:val="3E756510"/>
    <w:rsid w:val="3E76FA95"/>
    <w:rsid w:val="3E775B87"/>
    <w:rsid w:val="3E77C49B"/>
    <w:rsid w:val="3E7816AE"/>
    <w:rsid w:val="3E78E95F"/>
    <w:rsid w:val="3E7951C0"/>
    <w:rsid w:val="3E796941"/>
    <w:rsid w:val="3E79BBD8"/>
    <w:rsid w:val="3E7A6950"/>
    <w:rsid w:val="3E7A7562"/>
    <w:rsid w:val="3E7B6477"/>
    <w:rsid w:val="3E7B907C"/>
    <w:rsid w:val="3E7CAFC2"/>
    <w:rsid w:val="3E7CB501"/>
    <w:rsid w:val="3E7DD2AB"/>
    <w:rsid w:val="3E7FF44A"/>
    <w:rsid w:val="3E80F345"/>
    <w:rsid w:val="3E81188D"/>
    <w:rsid w:val="3E81E367"/>
    <w:rsid w:val="3E81FBE9"/>
    <w:rsid w:val="3E82F76B"/>
    <w:rsid w:val="3E831E11"/>
    <w:rsid w:val="3E84178D"/>
    <w:rsid w:val="3E84B30C"/>
    <w:rsid w:val="3E853796"/>
    <w:rsid w:val="3E86117D"/>
    <w:rsid w:val="3E862EB3"/>
    <w:rsid w:val="3E869747"/>
    <w:rsid w:val="3E86C948"/>
    <w:rsid w:val="3E86DD5D"/>
    <w:rsid w:val="3E876ADD"/>
    <w:rsid w:val="3E879034"/>
    <w:rsid w:val="3E883CCA"/>
    <w:rsid w:val="3E8B2CDC"/>
    <w:rsid w:val="3E8B54CE"/>
    <w:rsid w:val="3E8C8E27"/>
    <w:rsid w:val="3E8C9FBF"/>
    <w:rsid w:val="3E8E4B29"/>
    <w:rsid w:val="3E8E5623"/>
    <w:rsid w:val="3E8E66A1"/>
    <w:rsid w:val="3E8E8ACF"/>
    <w:rsid w:val="3E8EC467"/>
    <w:rsid w:val="3E8F09C2"/>
    <w:rsid w:val="3E8F19FB"/>
    <w:rsid w:val="3E919E31"/>
    <w:rsid w:val="3E9217B7"/>
    <w:rsid w:val="3E931081"/>
    <w:rsid w:val="3E937117"/>
    <w:rsid w:val="3E937BF0"/>
    <w:rsid w:val="3E93E291"/>
    <w:rsid w:val="3E93FC6E"/>
    <w:rsid w:val="3E9431BF"/>
    <w:rsid w:val="3E94C07F"/>
    <w:rsid w:val="3E959E3D"/>
    <w:rsid w:val="3E961229"/>
    <w:rsid w:val="3E97957E"/>
    <w:rsid w:val="3E97A7AF"/>
    <w:rsid w:val="3E99CD65"/>
    <w:rsid w:val="3E9A279A"/>
    <w:rsid w:val="3E9A3E5F"/>
    <w:rsid w:val="3E9B83A9"/>
    <w:rsid w:val="3E9B8F0D"/>
    <w:rsid w:val="3E9BF757"/>
    <w:rsid w:val="3E9CB003"/>
    <w:rsid w:val="3E9D1B9D"/>
    <w:rsid w:val="3E9D42F9"/>
    <w:rsid w:val="3E9FDFF5"/>
    <w:rsid w:val="3EA10B53"/>
    <w:rsid w:val="3EA3648C"/>
    <w:rsid w:val="3EA374E3"/>
    <w:rsid w:val="3EA37CA8"/>
    <w:rsid w:val="3EA3A63C"/>
    <w:rsid w:val="3EA3AC89"/>
    <w:rsid w:val="3EA3C034"/>
    <w:rsid w:val="3EA3FBBD"/>
    <w:rsid w:val="3EA47AD2"/>
    <w:rsid w:val="3EA50723"/>
    <w:rsid w:val="3EA574E9"/>
    <w:rsid w:val="3EA5DFEE"/>
    <w:rsid w:val="3EA877D4"/>
    <w:rsid w:val="3EA9170F"/>
    <w:rsid w:val="3EA97424"/>
    <w:rsid w:val="3EAA3AD3"/>
    <w:rsid w:val="3EAA51C8"/>
    <w:rsid w:val="3EABA4A4"/>
    <w:rsid w:val="3EAC2BF3"/>
    <w:rsid w:val="3EAC5020"/>
    <w:rsid w:val="3EADC9D3"/>
    <w:rsid w:val="3EADCE56"/>
    <w:rsid w:val="3EAE0D60"/>
    <w:rsid w:val="3EAE401A"/>
    <w:rsid w:val="3EAE79A2"/>
    <w:rsid w:val="3EB0EC13"/>
    <w:rsid w:val="3EB1C4FA"/>
    <w:rsid w:val="3EB1DEF8"/>
    <w:rsid w:val="3EB1EEB0"/>
    <w:rsid w:val="3EB21C55"/>
    <w:rsid w:val="3EB23F51"/>
    <w:rsid w:val="3EB2AC75"/>
    <w:rsid w:val="3EB300B8"/>
    <w:rsid w:val="3EB30A8D"/>
    <w:rsid w:val="3EB3511C"/>
    <w:rsid w:val="3EB3EDEF"/>
    <w:rsid w:val="3EB40DC1"/>
    <w:rsid w:val="3EB4A781"/>
    <w:rsid w:val="3EB4A799"/>
    <w:rsid w:val="3EB4BBBC"/>
    <w:rsid w:val="3EB4C44C"/>
    <w:rsid w:val="3EB80D1C"/>
    <w:rsid w:val="3EB89477"/>
    <w:rsid w:val="3EB92B2E"/>
    <w:rsid w:val="3EBA3193"/>
    <w:rsid w:val="3EBAD4C3"/>
    <w:rsid w:val="3EBB034E"/>
    <w:rsid w:val="3EBB1C49"/>
    <w:rsid w:val="3EBB34B4"/>
    <w:rsid w:val="3EBB3745"/>
    <w:rsid w:val="3EBBC1AB"/>
    <w:rsid w:val="3EBBD31A"/>
    <w:rsid w:val="3EBCDE36"/>
    <w:rsid w:val="3EBD5C49"/>
    <w:rsid w:val="3EBEACB1"/>
    <w:rsid w:val="3EBECA8D"/>
    <w:rsid w:val="3EBEFAF7"/>
    <w:rsid w:val="3EBFC349"/>
    <w:rsid w:val="3EC02695"/>
    <w:rsid w:val="3EC13E15"/>
    <w:rsid w:val="3EC155B2"/>
    <w:rsid w:val="3EC22154"/>
    <w:rsid w:val="3EC24690"/>
    <w:rsid w:val="3EC29CF0"/>
    <w:rsid w:val="3EC2A209"/>
    <w:rsid w:val="3EC2CC58"/>
    <w:rsid w:val="3EC2D0B9"/>
    <w:rsid w:val="3EC2D807"/>
    <w:rsid w:val="3EC32074"/>
    <w:rsid w:val="3EC42E03"/>
    <w:rsid w:val="3EC5238A"/>
    <w:rsid w:val="3EC67C9C"/>
    <w:rsid w:val="3EC779B6"/>
    <w:rsid w:val="3EC7922D"/>
    <w:rsid w:val="3EC7A17D"/>
    <w:rsid w:val="3EC82A8E"/>
    <w:rsid w:val="3EC87056"/>
    <w:rsid w:val="3EC8D5F7"/>
    <w:rsid w:val="3EC8F235"/>
    <w:rsid w:val="3EC93AE1"/>
    <w:rsid w:val="3EC98589"/>
    <w:rsid w:val="3ECA0A39"/>
    <w:rsid w:val="3ECA0B95"/>
    <w:rsid w:val="3ECA1198"/>
    <w:rsid w:val="3ECA4A03"/>
    <w:rsid w:val="3ECB8203"/>
    <w:rsid w:val="3ECBB565"/>
    <w:rsid w:val="3ECBE2C4"/>
    <w:rsid w:val="3ECBFE6A"/>
    <w:rsid w:val="3ECC16C7"/>
    <w:rsid w:val="3ECC2AB6"/>
    <w:rsid w:val="3ECC71B0"/>
    <w:rsid w:val="3ECCBE1E"/>
    <w:rsid w:val="3ECD6E8C"/>
    <w:rsid w:val="3ECE4C6C"/>
    <w:rsid w:val="3ECF546D"/>
    <w:rsid w:val="3ECF6D7C"/>
    <w:rsid w:val="3ECFCB8B"/>
    <w:rsid w:val="3ED17C69"/>
    <w:rsid w:val="3ED18E56"/>
    <w:rsid w:val="3ED19279"/>
    <w:rsid w:val="3ED192E8"/>
    <w:rsid w:val="3ED1E0FC"/>
    <w:rsid w:val="3ED20D38"/>
    <w:rsid w:val="3ED21B58"/>
    <w:rsid w:val="3ED3146B"/>
    <w:rsid w:val="3ED37D71"/>
    <w:rsid w:val="3ED39CA3"/>
    <w:rsid w:val="3ED3FC35"/>
    <w:rsid w:val="3ED40105"/>
    <w:rsid w:val="3ED44EDD"/>
    <w:rsid w:val="3ED569B2"/>
    <w:rsid w:val="3ED5A5CF"/>
    <w:rsid w:val="3ED5D02A"/>
    <w:rsid w:val="3ED6240C"/>
    <w:rsid w:val="3ED64251"/>
    <w:rsid w:val="3ED6BE59"/>
    <w:rsid w:val="3ED6C5E2"/>
    <w:rsid w:val="3ED7BAC4"/>
    <w:rsid w:val="3ED832F1"/>
    <w:rsid w:val="3ED8B043"/>
    <w:rsid w:val="3ED90072"/>
    <w:rsid w:val="3ED97DFA"/>
    <w:rsid w:val="3EDB9DC1"/>
    <w:rsid w:val="3EDCE2A3"/>
    <w:rsid w:val="3EDE8FB4"/>
    <w:rsid w:val="3EDE9ED6"/>
    <w:rsid w:val="3EDF3A53"/>
    <w:rsid w:val="3EDFF3DF"/>
    <w:rsid w:val="3EE04EBF"/>
    <w:rsid w:val="3EE09830"/>
    <w:rsid w:val="3EE1895F"/>
    <w:rsid w:val="3EE24C41"/>
    <w:rsid w:val="3EE28FAC"/>
    <w:rsid w:val="3EE295F8"/>
    <w:rsid w:val="3EE31DA8"/>
    <w:rsid w:val="3EE3B71E"/>
    <w:rsid w:val="3EE404DA"/>
    <w:rsid w:val="3EE40739"/>
    <w:rsid w:val="3EE40B9A"/>
    <w:rsid w:val="3EE4C45B"/>
    <w:rsid w:val="3EE5429A"/>
    <w:rsid w:val="3EE65C01"/>
    <w:rsid w:val="3EE67C7A"/>
    <w:rsid w:val="3EE6D2F8"/>
    <w:rsid w:val="3EE6EF07"/>
    <w:rsid w:val="3EE818AA"/>
    <w:rsid w:val="3EE8403E"/>
    <w:rsid w:val="3EE86859"/>
    <w:rsid w:val="3EE8DFFF"/>
    <w:rsid w:val="3EE91DBD"/>
    <w:rsid w:val="3EE98BD1"/>
    <w:rsid w:val="3EE9F1DB"/>
    <w:rsid w:val="3EE9F59C"/>
    <w:rsid w:val="3EEA55AC"/>
    <w:rsid w:val="3EEB76AC"/>
    <w:rsid w:val="3EEC06E5"/>
    <w:rsid w:val="3EEC4E23"/>
    <w:rsid w:val="3EECA54E"/>
    <w:rsid w:val="3EECEE18"/>
    <w:rsid w:val="3EED90DA"/>
    <w:rsid w:val="3EEDAD83"/>
    <w:rsid w:val="3EEDC4E8"/>
    <w:rsid w:val="3EEDE88A"/>
    <w:rsid w:val="3EEED59B"/>
    <w:rsid w:val="3EEF7E84"/>
    <w:rsid w:val="3EEFA8F2"/>
    <w:rsid w:val="3EEFAD01"/>
    <w:rsid w:val="3EF066F7"/>
    <w:rsid w:val="3EF1BC9F"/>
    <w:rsid w:val="3EF1CE13"/>
    <w:rsid w:val="3EF29923"/>
    <w:rsid w:val="3EF29F9B"/>
    <w:rsid w:val="3EF2ECDC"/>
    <w:rsid w:val="3EF3D930"/>
    <w:rsid w:val="3EF41EA2"/>
    <w:rsid w:val="3EF44C95"/>
    <w:rsid w:val="3EF45D32"/>
    <w:rsid w:val="3EF4C842"/>
    <w:rsid w:val="3EF57F7C"/>
    <w:rsid w:val="3EF617B2"/>
    <w:rsid w:val="3EF70F6E"/>
    <w:rsid w:val="3EF7DE28"/>
    <w:rsid w:val="3EF8421D"/>
    <w:rsid w:val="3EF97EB4"/>
    <w:rsid w:val="3EF9C870"/>
    <w:rsid w:val="3EF9FEA0"/>
    <w:rsid w:val="3EFA59BE"/>
    <w:rsid w:val="3EFA762B"/>
    <w:rsid w:val="3EFB0C64"/>
    <w:rsid w:val="3EFC82A2"/>
    <w:rsid w:val="3EFC956E"/>
    <w:rsid w:val="3EFCB018"/>
    <w:rsid w:val="3EFD06E2"/>
    <w:rsid w:val="3EFD08DC"/>
    <w:rsid w:val="3EFD56D1"/>
    <w:rsid w:val="3EFE8383"/>
    <w:rsid w:val="3EFE8789"/>
    <w:rsid w:val="3EFEF3F8"/>
    <w:rsid w:val="3EFF2C49"/>
    <w:rsid w:val="3EFF5614"/>
    <w:rsid w:val="3EFFC067"/>
    <w:rsid w:val="3EFFE901"/>
    <w:rsid w:val="3F00B592"/>
    <w:rsid w:val="3F02E8D2"/>
    <w:rsid w:val="3F0367E9"/>
    <w:rsid w:val="3F03CA89"/>
    <w:rsid w:val="3F03DB2C"/>
    <w:rsid w:val="3F03DC3B"/>
    <w:rsid w:val="3F054061"/>
    <w:rsid w:val="3F0598F1"/>
    <w:rsid w:val="3F06B864"/>
    <w:rsid w:val="3F06F2D4"/>
    <w:rsid w:val="3F081D86"/>
    <w:rsid w:val="3F08BD54"/>
    <w:rsid w:val="3F0968BC"/>
    <w:rsid w:val="3F0AABBF"/>
    <w:rsid w:val="3F0ABC75"/>
    <w:rsid w:val="3F0B777B"/>
    <w:rsid w:val="3F0B8269"/>
    <w:rsid w:val="3F0C2EB3"/>
    <w:rsid w:val="3F0C5F95"/>
    <w:rsid w:val="3F0C9A28"/>
    <w:rsid w:val="3F0C9A82"/>
    <w:rsid w:val="3F0CB1B3"/>
    <w:rsid w:val="3F0CBC65"/>
    <w:rsid w:val="3F0CF4AC"/>
    <w:rsid w:val="3F0E65FD"/>
    <w:rsid w:val="3F0EB712"/>
    <w:rsid w:val="3F0FCAE1"/>
    <w:rsid w:val="3F0FCCC3"/>
    <w:rsid w:val="3F0FEBDF"/>
    <w:rsid w:val="3F0FEE76"/>
    <w:rsid w:val="3F1021FA"/>
    <w:rsid w:val="3F104D3E"/>
    <w:rsid w:val="3F10E342"/>
    <w:rsid w:val="3F113EFB"/>
    <w:rsid w:val="3F12269E"/>
    <w:rsid w:val="3F125A55"/>
    <w:rsid w:val="3F12B7F4"/>
    <w:rsid w:val="3F13A0E9"/>
    <w:rsid w:val="3F1454C4"/>
    <w:rsid w:val="3F149010"/>
    <w:rsid w:val="3F153CB9"/>
    <w:rsid w:val="3F155D7D"/>
    <w:rsid w:val="3F1588F5"/>
    <w:rsid w:val="3F15901C"/>
    <w:rsid w:val="3F15921D"/>
    <w:rsid w:val="3F16BFA4"/>
    <w:rsid w:val="3F16E014"/>
    <w:rsid w:val="3F17C1ED"/>
    <w:rsid w:val="3F18B50D"/>
    <w:rsid w:val="3F19FEA2"/>
    <w:rsid w:val="3F1A7D4B"/>
    <w:rsid w:val="3F1BA02C"/>
    <w:rsid w:val="3F1BA1D4"/>
    <w:rsid w:val="3F1D9BD6"/>
    <w:rsid w:val="3F1DB704"/>
    <w:rsid w:val="3F1EA40A"/>
    <w:rsid w:val="3F1EACAE"/>
    <w:rsid w:val="3F1EBC1D"/>
    <w:rsid w:val="3F1EF975"/>
    <w:rsid w:val="3F1F036E"/>
    <w:rsid w:val="3F1F522F"/>
    <w:rsid w:val="3F1FA532"/>
    <w:rsid w:val="3F20E013"/>
    <w:rsid w:val="3F2132D9"/>
    <w:rsid w:val="3F224089"/>
    <w:rsid w:val="3F225574"/>
    <w:rsid w:val="3F228E35"/>
    <w:rsid w:val="3F2357E5"/>
    <w:rsid w:val="3F2360D8"/>
    <w:rsid w:val="3F23AC60"/>
    <w:rsid w:val="3F253163"/>
    <w:rsid w:val="3F25C1DD"/>
    <w:rsid w:val="3F25FACA"/>
    <w:rsid w:val="3F261A15"/>
    <w:rsid w:val="3F26EE97"/>
    <w:rsid w:val="3F27262D"/>
    <w:rsid w:val="3F2763BD"/>
    <w:rsid w:val="3F27FB44"/>
    <w:rsid w:val="3F280A31"/>
    <w:rsid w:val="3F28AB89"/>
    <w:rsid w:val="3F292542"/>
    <w:rsid w:val="3F298261"/>
    <w:rsid w:val="3F2A28A7"/>
    <w:rsid w:val="3F2C3B89"/>
    <w:rsid w:val="3F2C7C75"/>
    <w:rsid w:val="3F2C9471"/>
    <w:rsid w:val="3F2CE91E"/>
    <w:rsid w:val="3F2D4280"/>
    <w:rsid w:val="3F2D56A0"/>
    <w:rsid w:val="3F2DB666"/>
    <w:rsid w:val="3F2DF204"/>
    <w:rsid w:val="3F2ED63A"/>
    <w:rsid w:val="3F2F099E"/>
    <w:rsid w:val="3F2F9890"/>
    <w:rsid w:val="3F3025BE"/>
    <w:rsid w:val="3F30D88B"/>
    <w:rsid w:val="3F312774"/>
    <w:rsid w:val="3F31746F"/>
    <w:rsid w:val="3F31F38F"/>
    <w:rsid w:val="3F32F88A"/>
    <w:rsid w:val="3F3317D3"/>
    <w:rsid w:val="3F3412B4"/>
    <w:rsid w:val="3F34187D"/>
    <w:rsid w:val="3F34659A"/>
    <w:rsid w:val="3F34F5D8"/>
    <w:rsid w:val="3F356941"/>
    <w:rsid w:val="3F35C571"/>
    <w:rsid w:val="3F365C3B"/>
    <w:rsid w:val="3F3744DB"/>
    <w:rsid w:val="3F37B2E1"/>
    <w:rsid w:val="3F37F096"/>
    <w:rsid w:val="3F381F0A"/>
    <w:rsid w:val="3F38CB0C"/>
    <w:rsid w:val="3F3A95EB"/>
    <w:rsid w:val="3F3ABF69"/>
    <w:rsid w:val="3F3B2CF7"/>
    <w:rsid w:val="3F3C65DC"/>
    <w:rsid w:val="3F3CFCF8"/>
    <w:rsid w:val="3F3D0560"/>
    <w:rsid w:val="3F3D4577"/>
    <w:rsid w:val="3F3DC9A3"/>
    <w:rsid w:val="3F3DE7C0"/>
    <w:rsid w:val="3F3F2177"/>
    <w:rsid w:val="3F3F4B2F"/>
    <w:rsid w:val="3F3F7A39"/>
    <w:rsid w:val="3F4232F2"/>
    <w:rsid w:val="3F42F74A"/>
    <w:rsid w:val="3F42FE8A"/>
    <w:rsid w:val="3F4393F0"/>
    <w:rsid w:val="3F439417"/>
    <w:rsid w:val="3F44D888"/>
    <w:rsid w:val="3F455910"/>
    <w:rsid w:val="3F45AB94"/>
    <w:rsid w:val="3F45BA39"/>
    <w:rsid w:val="3F45D89F"/>
    <w:rsid w:val="3F46282A"/>
    <w:rsid w:val="3F463770"/>
    <w:rsid w:val="3F46701F"/>
    <w:rsid w:val="3F469AD8"/>
    <w:rsid w:val="3F46D2C0"/>
    <w:rsid w:val="3F470E13"/>
    <w:rsid w:val="3F4899B0"/>
    <w:rsid w:val="3F49CB8A"/>
    <w:rsid w:val="3F49E231"/>
    <w:rsid w:val="3F4A1D3A"/>
    <w:rsid w:val="3F4B9E99"/>
    <w:rsid w:val="3F4C9C10"/>
    <w:rsid w:val="3F4D3A9A"/>
    <w:rsid w:val="3F4D56C5"/>
    <w:rsid w:val="3F4DDF49"/>
    <w:rsid w:val="3F4E0D85"/>
    <w:rsid w:val="3F4EEF01"/>
    <w:rsid w:val="3F4F1D2D"/>
    <w:rsid w:val="3F50EFEA"/>
    <w:rsid w:val="3F5124DE"/>
    <w:rsid w:val="3F5134E0"/>
    <w:rsid w:val="3F523BDE"/>
    <w:rsid w:val="3F528278"/>
    <w:rsid w:val="3F52C757"/>
    <w:rsid w:val="3F52F29C"/>
    <w:rsid w:val="3F53BC75"/>
    <w:rsid w:val="3F541725"/>
    <w:rsid w:val="3F54ECB3"/>
    <w:rsid w:val="3F550A51"/>
    <w:rsid w:val="3F553CA1"/>
    <w:rsid w:val="3F554359"/>
    <w:rsid w:val="3F569AEE"/>
    <w:rsid w:val="3F57C014"/>
    <w:rsid w:val="3F57E833"/>
    <w:rsid w:val="3F57F4B7"/>
    <w:rsid w:val="3F586BE7"/>
    <w:rsid w:val="3F58A082"/>
    <w:rsid w:val="3F5A5A1A"/>
    <w:rsid w:val="3F5A6449"/>
    <w:rsid w:val="3F5A74A6"/>
    <w:rsid w:val="3F5ABA73"/>
    <w:rsid w:val="3F5AF252"/>
    <w:rsid w:val="3F5B05FD"/>
    <w:rsid w:val="3F5B20DF"/>
    <w:rsid w:val="3F5CF10E"/>
    <w:rsid w:val="3F5D1A09"/>
    <w:rsid w:val="3F5E03ED"/>
    <w:rsid w:val="3F5E4708"/>
    <w:rsid w:val="3F5EBE4A"/>
    <w:rsid w:val="3F5F679A"/>
    <w:rsid w:val="3F5FD662"/>
    <w:rsid w:val="3F603B4B"/>
    <w:rsid w:val="3F60D414"/>
    <w:rsid w:val="3F60F7AA"/>
    <w:rsid w:val="3F611F3F"/>
    <w:rsid w:val="3F61CB36"/>
    <w:rsid w:val="3F659059"/>
    <w:rsid w:val="3F65908B"/>
    <w:rsid w:val="3F659282"/>
    <w:rsid w:val="3F668AF3"/>
    <w:rsid w:val="3F67FBE7"/>
    <w:rsid w:val="3F680F10"/>
    <w:rsid w:val="3F681353"/>
    <w:rsid w:val="3F68E591"/>
    <w:rsid w:val="3F6943C9"/>
    <w:rsid w:val="3F695936"/>
    <w:rsid w:val="3F696C38"/>
    <w:rsid w:val="3F6A3E71"/>
    <w:rsid w:val="3F6AA0EA"/>
    <w:rsid w:val="3F6AF30B"/>
    <w:rsid w:val="3F6B6548"/>
    <w:rsid w:val="3F6C8BD5"/>
    <w:rsid w:val="3F6DDF44"/>
    <w:rsid w:val="3F6E245F"/>
    <w:rsid w:val="3F6E287A"/>
    <w:rsid w:val="3F6E85BF"/>
    <w:rsid w:val="3F6EF7C7"/>
    <w:rsid w:val="3F6F0B0A"/>
    <w:rsid w:val="3F6F13FD"/>
    <w:rsid w:val="3F6F4DCF"/>
    <w:rsid w:val="3F6FDF2E"/>
    <w:rsid w:val="3F6FEA9D"/>
    <w:rsid w:val="3F70B24D"/>
    <w:rsid w:val="3F70FA19"/>
    <w:rsid w:val="3F710096"/>
    <w:rsid w:val="3F718C3B"/>
    <w:rsid w:val="3F71DE80"/>
    <w:rsid w:val="3F721989"/>
    <w:rsid w:val="3F7276BA"/>
    <w:rsid w:val="3F72C571"/>
    <w:rsid w:val="3F72DD60"/>
    <w:rsid w:val="3F741872"/>
    <w:rsid w:val="3F75B426"/>
    <w:rsid w:val="3F75C5B8"/>
    <w:rsid w:val="3F764E88"/>
    <w:rsid w:val="3F76DE9F"/>
    <w:rsid w:val="3F77BB5F"/>
    <w:rsid w:val="3F77CBAE"/>
    <w:rsid w:val="3F782378"/>
    <w:rsid w:val="3F78DE0E"/>
    <w:rsid w:val="3F793BB5"/>
    <w:rsid w:val="3F794F2C"/>
    <w:rsid w:val="3F794FEC"/>
    <w:rsid w:val="3F795888"/>
    <w:rsid w:val="3F795DF6"/>
    <w:rsid w:val="3F796C47"/>
    <w:rsid w:val="3F79E324"/>
    <w:rsid w:val="3F79EE67"/>
    <w:rsid w:val="3F7A6FFA"/>
    <w:rsid w:val="3F7AB432"/>
    <w:rsid w:val="3F7D026C"/>
    <w:rsid w:val="3F7D426C"/>
    <w:rsid w:val="3F7EC839"/>
    <w:rsid w:val="3F7F0F95"/>
    <w:rsid w:val="3F7F89B3"/>
    <w:rsid w:val="3F807D75"/>
    <w:rsid w:val="3F80A49A"/>
    <w:rsid w:val="3F80E141"/>
    <w:rsid w:val="3F81FAE8"/>
    <w:rsid w:val="3F820659"/>
    <w:rsid w:val="3F823BEF"/>
    <w:rsid w:val="3F826204"/>
    <w:rsid w:val="3F82F810"/>
    <w:rsid w:val="3F83F622"/>
    <w:rsid w:val="3F842C8A"/>
    <w:rsid w:val="3F845450"/>
    <w:rsid w:val="3F84A8C7"/>
    <w:rsid w:val="3F86ABDE"/>
    <w:rsid w:val="3F87B0F6"/>
    <w:rsid w:val="3F887DB6"/>
    <w:rsid w:val="3F8922FB"/>
    <w:rsid w:val="3F89574F"/>
    <w:rsid w:val="3F8A43E4"/>
    <w:rsid w:val="3F8AA3E8"/>
    <w:rsid w:val="3F8AB80E"/>
    <w:rsid w:val="3F8BFFFC"/>
    <w:rsid w:val="3F8C1872"/>
    <w:rsid w:val="3F8CD6B0"/>
    <w:rsid w:val="3F8CED6A"/>
    <w:rsid w:val="3F8DA503"/>
    <w:rsid w:val="3F8DE722"/>
    <w:rsid w:val="3F8E7570"/>
    <w:rsid w:val="3F8F5664"/>
    <w:rsid w:val="3F8FD35E"/>
    <w:rsid w:val="3F903542"/>
    <w:rsid w:val="3F90BF9D"/>
    <w:rsid w:val="3F90FB0C"/>
    <w:rsid w:val="3F910505"/>
    <w:rsid w:val="3F923E2B"/>
    <w:rsid w:val="3F92446D"/>
    <w:rsid w:val="3F938C2D"/>
    <w:rsid w:val="3F944085"/>
    <w:rsid w:val="3F95BE6F"/>
    <w:rsid w:val="3F964069"/>
    <w:rsid w:val="3F9668B7"/>
    <w:rsid w:val="3F96E6BE"/>
    <w:rsid w:val="3F978BF7"/>
    <w:rsid w:val="3F979A52"/>
    <w:rsid w:val="3F97CCC8"/>
    <w:rsid w:val="3F982440"/>
    <w:rsid w:val="3F98D425"/>
    <w:rsid w:val="3F995F72"/>
    <w:rsid w:val="3F9AE795"/>
    <w:rsid w:val="3F9B3DA8"/>
    <w:rsid w:val="3F9CFB7D"/>
    <w:rsid w:val="3F9D165A"/>
    <w:rsid w:val="3F9D7747"/>
    <w:rsid w:val="3F9E59FE"/>
    <w:rsid w:val="3F9FF9DF"/>
    <w:rsid w:val="3FA032DB"/>
    <w:rsid w:val="3FA0C7FC"/>
    <w:rsid w:val="3FA0FEF1"/>
    <w:rsid w:val="3FA19464"/>
    <w:rsid w:val="3FA27A30"/>
    <w:rsid w:val="3FA33735"/>
    <w:rsid w:val="3FA44B26"/>
    <w:rsid w:val="3FA46EB8"/>
    <w:rsid w:val="3FA49944"/>
    <w:rsid w:val="3FA4B7D6"/>
    <w:rsid w:val="3FA57C03"/>
    <w:rsid w:val="3FA60864"/>
    <w:rsid w:val="3FA6C80E"/>
    <w:rsid w:val="3FA6F3B8"/>
    <w:rsid w:val="3FA7F0DA"/>
    <w:rsid w:val="3FA97E05"/>
    <w:rsid w:val="3FAA02DA"/>
    <w:rsid w:val="3FAA69C2"/>
    <w:rsid w:val="3FAABEA7"/>
    <w:rsid w:val="3FAB2350"/>
    <w:rsid w:val="3FAC0517"/>
    <w:rsid w:val="3FACB051"/>
    <w:rsid w:val="3FACFBF3"/>
    <w:rsid w:val="3FAD9D5C"/>
    <w:rsid w:val="3FAE3C30"/>
    <w:rsid w:val="3FAEB998"/>
    <w:rsid w:val="3FB1410A"/>
    <w:rsid w:val="3FB23BCE"/>
    <w:rsid w:val="3FB289E1"/>
    <w:rsid w:val="3FB2983C"/>
    <w:rsid w:val="3FB34BF3"/>
    <w:rsid w:val="3FB39E09"/>
    <w:rsid w:val="3FB480A4"/>
    <w:rsid w:val="3FB5A2F6"/>
    <w:rsid w:val="3FB6BCF7"/>
    <w:rsid w:val="3FB70288"/>
    <w:rsid w:val="3FB71D1F"/>
    <w:rsid w:val="3FB71E34"/>
    <w:rsid w:val="3FB7E3AA"/>
    <w:rsid w:val="3FB7E4FA"/>
    <w:rsid w:val="3FB9180A"/>
    <w:rsid w:val="3FB968CF"/>
    <w:rsid w:val="3FBAA8AE"/>
    <w:rsid w:val="3FBAF97C"/>
    <w:rsid w:val="3FBB1964"/>
    <w:rsid w:val="3FBBA33A"/>
    <w:rsid w:val="3FBBC582"/>
    <w:rsid w:val="3FBC3212"/>
    <w:rsid w:val="3FBCC073"/>
    <w:rsid w:val="3FBD8BE6"/>
    <w:rsid w:val="3FC03307"/>
    <w:rsid w:val="3FC0D19A"/>
    <w:rsid w:val="3FC0FAAF"/>
    <w:rsid w:val="3FC0FF1B"/>
    <w:rsid w:val="3FC1889E"/>
    <w:rsid w:val="3FC20BAE"/>
    <w:rsid w:val="3FC26207"/>
    <w:rsid w:val="3FC2C77B"/>
    <w:rsid w:val="3FC3F3A7"/>
    <w:rsid w:val="3FC3FADE"/>
    <w:rsid w:val="3FC40444"/>
    <w:rsid w:val="3FC4ABD3"/>
    <w:rsid w:val="3FC50016"/>
    <w:rsid w:val="3FC54F35"/>
    <w:rsid w:val="3FC5A7F9"/>
    <w:rsid w:val="3FC6862C"/>
    <w:rsid w:val="3FC6DB7D"/>
    <w:rsid w:val="3FC74B3A"/>
    <w:rsid w:val="3FC7ADAC"/>
    <w:rsid w:val="3FC91D6B"/>
    <w:rsid w:val="3FC979CB"/>
    <w:rsid w:val="3FC9A5EF"/>
    <w:rsid w:val="3FCA88F2"/>
    <w:rsid w:val="3FCC344C"/>
    <w:rsid w:val="3FCC5A83"/>
    <w:rsid w:val="3FCC697A"/>
    <w:rsid w:val="3FCCFDAB"/>
    <w:rsid w:val="3FCDF518"/>
    <w:rsid w:val="3FCE7AD8"/>
    <w:rsid w:val="3FCEA5FC"/>
    <w:rsid w:val="3FCF63CA"/>
    <w:rsid w:val="3FCF659D"/>
    <w:rsid w:val="3FCFBFEC"/>
    <w:rsid w:val="3FCFD038"/>
    <w:rsid w:val="3FD00CC6"/>
    <w:rsid w:val="3FD108F7"/>
    <w:rsid w:val="3FD16230"/>
    <w:rsid w:val="3FD19CCD"/>
    <w:rsid w:val="3FD1A906"/>
    <w:rsid w:val="3FD229CF"/>
    <w:rsid w:val="3FD2325F"/>
    <w:rsid w:val="3FD27E76"/>
    <w:rsid w:val="3FD28060"/>
    <w:rsid w:val="3FD3665E"/>
    <w:rsid w:val="3FD41BE6"/>
    <w:rsid w:val="3FD55DFE"/>
    <w:rsid w:val="3FD66505"/>
    <w:rsid w:val="3FD86263"/>
    <w:rsid w:val="3FD8A2F8"/>
    <w:rsid w:val="3FD950AF"/>
    <w:rsid w:val="3FD99741"/>
    <w:rsid w:val="3FDB0D84"/>
    <w:rsid w:val="3FDB2FD2"/>
    <w:rsid w:val="3FDBADDC"/>
    <w:rsid w:val="3FDC15C5"/>
    <w:rsid w:val="3FDCE08C"/>
    <w:rsid w:val="3FDD76DA"/>
    <w:rsid w:val="3FDDEA01"/>
    <w:rsid w:val="3FDE9D50"/>
    <w:rsid w:val="3FDE9DB7"/>
    <w:rsid w:val="3FDEE903"/>
    <w:rsid w:val="3FDF1FE2"/>
    <w:rsid w:val="3FDFC91C"/>
    <w:rsid w:val="3FDFFC81"/>
    <w:rsid w:val="3FE002C3"/>
    <w:rsid w:val="3FE0B0C8"/>
    <w:rsid w:val="3FE0B829"/>
    <w:rsid w:val="3FE0EDA6"/>
    <w:rsid w:val="3FE1A734"/>
    <w:rsid w:val="3FE1D9D4"/>
    <w:rsid w:val="3FE3DD0F"/>
    <w:rsid w:val="3FE4738D"/>
    <w:rsid w:val="3FE5FF23"/>
    <w:rsid w:val="3FE607EC"/>
    <w:rsid w:val="3FE6B82E"/>
    <w:rsid w:val="3FE71271"/>
    <w:rsid w:val="3FE755BD"/>
    <w:rsid w:val="3FE8AF63"/>
    <w:rsid w:val="3FE8E46A"/>
    <w:rsid w:val="3FE95D58"/>
    <w:rsid w:val="3FE9686E"/>
    <w:rsid w:val="3FE98827"/>
    <w:rsid w:val="3FEA5D83"/>
    <w:rsid w:val="3FEA95FD"/>
    <w:rsid w:val="3FEA9D7D"/>
    <w:rsid w:val="3FEB8118"/>
    <w:rsid w:val="3FEB9CDC"/>
    <w:rsid w:val="3FEBB2AE"/>
    <w:rsid w:val="3FEBB744"/>
    <w:rsid w:val="3FEBEE91"/>
    <w:rsid w:val="3FEC78D8"/>
    <w:rsid w:val="3FECFB99"/>
    <w:rsid w:val="3FED2BF9"/>
    <w:rsid w:val="3FED5461"/>
    <w:rsid w:val="3FEDDA14"/>
    <w:rsid w:val="3FEDFED4"/>
    <w:rsid w:val="3FEE9064"/>
    <w:rsid w:val="3FEF2627"/>
    <w:rsid w:val="3FEFE0D7"/>
    <w:rsid w:val="3FF016EA"/>
    <w:rsid w:val="3FF06AB3"/>
    <w:rsid w:val="3FF0FF35"/>
    <w:rsid w:val="3FF1322B"/>
    <w:rsid w:val="3FF17655"/>
    <w:rsid w:val="3FF1D300"/>
    <w:rsid w:val="3FF24052"/>
    <w:rsid w:val="3FF27E99"/>
    <w:rsid w:val="3FF2A96C"/>
    <w:rsid w:val="3FF3995D"/>
    <w:rsid w:val="3FF3DEBF"/>
    <w:rsid w:val="3FF45D57"/>
    <w:rsid w:val="3FF4B09E"/>
    <w:rsid w:val="3FF57959"/>
    <w:rsid w:val="3FF5A6CD"/>
    <w:rsid w:val="3FF5DDF2"/>
    <w:rsid w:val="3FF645CA"/>
    <w:rsid w:val="3FF70A58"/>
    <w:rsid w:val="3FF82DA5"/>
    <w:rsid w:val="3FF86AF4"/>
    <w:rsid w:val="3FF8CFA0"/>
    <w:rsid w:val="3FF95883"/>
    <w:rsid w:val="3FF9D784"/>
    <w:rsid w:val="3FFA009D"/>
    <w:rsid w:val="3FFB78A4"/>
    <w:rsid w:val="3FFB9730"/>
    <w:rsid w:val="3FFBBB43"/>
    <w:rsid w:val="3FFC26D1"/>
    <w:rsid w:val="3FFC3E7F"/>
    <w:rsid w:val="3FFC6C3C"/>
    <w:rsid w:val="3FFD89CE"/>
    <w:rsid w:val="3FFE2773"/>
    <w:rsid w:val="3FFECE93"/>
    <w:rsid w:val="3FFF8049"/>
    <w:rsid w:val="3FFFE5AF"/>
    <w:rsid w:val="40002449"/>
    <w:rsid w:val="40005F41"/>
    <w:rsid w:val="40006E10"/>
    <w:rsid w:val="4000F2FE"/>
    <w:rsid w:val="4001BADB"/>
    <w:rsid w:val="4001E1DC"/>
    <w:rsid w:val="40026363"/>
    <w:rsid w:val="4003C423"/>
    <w:rsid w:val="4003D2B9"/>
    <w:rsid w:val="4004218D"/>
    <w:rsid w:val="400478D4"/>
    <w:rsid w:val="4004AC40"/>
    <w:rsid w:val="4004FBD3"/>
    <w:rsid w:val="400548D1"/>
    <w:rsid w:val="400567EF"/>
    <w:rsid w:val="4005BB8E"/>
    <w:rsid w:val="4005D472"/>
    <w:rsid w:val="40073D0E"/>
    <w:rsid w:val="40077500"/>
    <w:rsid w:val="4007B01A"/>
    <w:rsid w:val="4007C5AE"/>
    <w:rsid w:val="4007E12A"/>
    <w:rsid w:val="4007EFB4"/>
    <w:rsid w:val="4008825E"/>
    <w:rsid w:val="4009C14E"/>
    <w:rsid w:val="4009CDBE"/>
    <w:rsid w:val="400B590D"/>
    <w:rsid w:val="400B952D"/>
    <w:rsid w:val="400C4EF4"/>
    <w:rsid w:val="400D3D90"/>
    <w:rsid w:val="400E2210"/>
    <w:rsid w:val="400EA0B0"/>
    <w:rsid w:val="400EC87D"/>
    <w:rsid w:val="400F5016"/>
    <w:rsid w:val="400F7E43"/>
    <w:rsid w:val="400FF5B8"/>
    <w:rsid w:val="4010490E"/>
    <w:rsid w:val="40111EEB"/>
    <w:rsid w:val="40112F63"/>
    <w:rsid w:val="4011AD06"/>
    <w:rsid w:val="4011BA59"/>
    <w:rsid w:val="401304AF"/>
    <w:rsid w:val="40132C51"/>
    <w:rsid w:val="40134B5C"/>
    <w:rsid w:val="40135FC2"/>
    <w:rsid w:val="401366D1"/>
    <w:rsid w:val="40137395"/>
    <w:rsid w:val="4013C6BA"/>
    <w:rsid w:val="40141EE6"/>
    <w:rsid w:val="40145CB3"/>
    <w:rsid w:val="40148EF2"/>
    <w:rsid w:val="4014CECF"/>
    <w:rsid w:val="40152DF2"/>
    <w:rsid w:val="4016015A"/>
    <w:rsid w:val="4016214F"/>
    <w:rsid w:val="4016E8D6"/>
    <w:rsid w:val="401751E6"/>
    <w:rsid w:val="4017EF4F"/>
    <w:rsid w:val="40188917"/>
    <w:rsid w:val="4018B0E2"/>
    <w:rsid w:val="4018FF35"/>
    <w:rsid w:val="401972EC"/>
    <w:rsid w:val="401A16A6"/>
    <w:rsid w:val="401A697C"/>
    <w:rsid w:val="401A78B1"/>
    <w:rsid w:val="401A9736"/>
    <w:rsid w:val="401B0321"/>
    <w:rsid w:val="401B3859"/>
    <w:rsid w:val="401B3DE3"/>
    <w:rsid w:val="401BDB1A"/>
    <w:rsid w:val="401C1BE1"/>
    <w:rsid w:val="401C3E85"/>
    <w:rsid w:val="401CAF80"/>
    <w:rsid w:val="401CC1CD"/>
    <w:rsid w:val="401D0A87"/>
    <w:rsid w:val="401E9FFD"/>
    <w:rsid w:val="401F195F"/>
    <w:rsid w:val="401F68AA"/>
    <w:rsid w:val="401F7216"/>
    <w:rsid w:val="40219155"/>
    <w:rsid w:val="4021B846"/>
    <w:rsid w:val="4022354A"/>
    <w:rsid w:val="40226F7B"/>
    <w:rsid w:val="4022BB59"/>
    <w:rsid w:val="4023A201"/>
    <w:rsid w:val="4023D7E5"/>
    <w:rsid w:val="40268024"/>
    <w:rsid w:val="40269882"/>
    <w:rsid w:val="40270A01"/>
    <w:rsid w:val="402733A8"/>
    <w:rsid w:val="402766E8"/>
    <w:rsid w:val="4028DC23"/>
    <w:rsid w:val="4028F1BF"/>
    <w:rsid w:val="4028F9E1"/>
    <w:rsid w:val="4029F81D"/>
    <w:rsid w:val="402A11AB"/>
    <w:rsid w:val="402A5250"/>
    <w:rsid w:val="402A6E83"/>
    <w:rsid w:val="402A7B71"/>
    <w:rsid w:val="402AD518"/>
    <w:rsid w:val="402B18FD"/>
    <w:rsid w:val="402B3CA2"/>
    <w:rsid w:val="402BB5B0"/>
    <w:rsid w:val="402BD9E8"/>
    <w:rsid w:val="402BEDCA"/>
    <w:rsid w:val="402C742A"/>
    <w:rsid w:val="402C8413"/>
    <w:rsid w:val="402CD2D4"/>
    <w:rsid w:val="402CD9B0"/>
    <w:rsid w:val="402DEDA7"/>
    <w:rsid w:val="402E6FC1"/>
    <w:rsid w:val="402ED47D"/>
    <w:rsid w:val="402EF8D7"/>
    <w:rsid w:val="402F23F6"/>
    <w:rsid w:val="402F62CE"/>
    <w:rsid w:val="402F85FA"/>
    <w:rsid w:val="402FDA7E"/>
    <w:rsid w:val="403090A8"/>
    <w:rsid w:val="403099B2"/>
    <w:rsid w:val="4030B139"/>
    <w:rsid w:val="4032471A"/>
    <w:rsid w:val="4032BC61"/>
    <w:rsid w:val="40334F96"/>
    <w:rsid w:val="40336BE7"/>
    <w:rsid w:val="4033788B"/>
    <w:rsid w:val="40337A32"/>
    <w:rsid w:val="40339B53"/>
    <w:rsid w:val="403469DB"/>
    <w:rsid w:val="4034B2BB"/>
    <w:rsid w:val="4034C758"/>
    <w:rsid w:val="4036306E"/>
    <w:rsid w:val="4036B868"/>
    <w:rsid w:val="4036BE7D"/>
    <w:rsid w:val="40371F0D"/>
    <w:rsid w:val="403764DA"/>
    <w:rsid w:val="4037733D"/>
    <w:rsid w:val="4037CC62"/>
    <w:rsid w:val="4038035F"/>
    <w:rsid w:val="4039EC6A"/>
    <w:rsid w:val="4039F73F"/>
    <w:rsid w:val="403A597C"/>
    <w:rsid w:val="403A63EC"/>
    <w:rsid w:val="403B26EC"/>
    <w:rsid w:val="403B9EB2"/>
    <w:rsid w:val="403BECA4"/>
    <w:rsid w:val="403C1FE4"/>
    <w:rsid w:val="403D2763"/>
    <w:rsid w:val="403E7FDE"/>
    <w:rsid w:val="403F007A"/>
    <w:rsid w:val="403F2C23"/>
    <w:rsid w:val="403FC016"/>
    <w:rsid w:val="403FDCA2"/>
    <w:rsid w:val="403FF55E"/>
    <w:rsid w:val="404033F2"/>
    <w:rsid w:val="404099A2"/>
    <w:rsid w:val="40422065"/>
    <w:rsid w:val="40424AEF"/>
    <w:rsid w:val="40426A50"/>
    <w:rsid w:val="404294CF"/>
    <w:rsid w:val="404298B5"/>
    <w:rsid w:val="404525F6"/>
    <w:rsid w:val="4046364E"/>
    <w:rsid w:val="40470598"/>
    <w:rsid w:val="404718E6"/>
    <w:rsid w:val="4047234D"/>
    <w:rsid w:val="404842FC"/>
    <w:rsid w:val="4048D29D"/>
    <w:rsid w:val="40492FAA"/>
    <w:rsid w:val="404A08E7"/>
    <w:rsid w:val="404A3510"/>
    <w:rsid w:val="404A6F01"/>
    <w:rsid w:val="404B3ADC"/>
    <w:rsid w:val="404B9D30"/>
    <w:rsid w:val="404BC6F1"/>
    <w:rsid w:val="404BD07B"/>
    <w:rsid w:val="404D432B"/>
    <w:rsid w:val="404D85EC"/>
    <w:rsid w:val="404D894B"/>
    <w:rsid w:val="404DB91B"/>
    <w:rsid w:val="404E0C70"/>
    <w:rsid w:val="404F287C"/>
    <w:rsid w:val="404FBF70"/>
    <w:rsid w:val="405055DC"/>
    <w:rsid w:val="40513498"/>
    <w:rsid w:val="4051930D"/>
    <w:rsid w:val="4051EA33"/>
    <w:rsid w:val="40522B7F"/>
    <w:rsid w:val="405242A9"/>
    <w:rsid w:val="40526EBE"/>
    <w:rsid w:val="405388DA"/>
    <w:rsid w:val="40557693"/>
    <w:rsid w:val="405729FD"/>
    <w:rsid w:val="4057B110"/>
    <w:rsid w:val="4057FE43"/>
    <w:rsid w:val="40598D8F"/>
    <w:rsid w:val="405B938C"/>
    <w:rsid w:val="405C6D82"/>
    <w:rsid w:val="405D0095"/>
    <w:rsid w:val="405D9600"/>
    <w:rsid w:val="405D9B66"/>
    <w:rsid w:val="405E625D"/>
    <w:rsid w:val="405E9A95"/>
    <w:rsid w:val="405F409C"/>
    <w:rsid w:val="405F717C"/>
    <w:rsid w:val="40616CFC"/>
    <w:rsid w:val="40644199"/>
    <w:rsid w:val="4064D045"/>
    <w:rsid w:val="40658111"/>
    <w:rsid w:val="4065BBE6"/>
    <w:rsid w:val="4067FABC"/>
    <w:rsid w:val="40687AD6"/>
    <w:rsid w:val="40691122"/>
    <w:rsid w:val="406927C7"/>
    <w:rsid w:val="406A6E15"/>
    <w:rsid w:val="406A6F56"/>
    <w:rsid w:val="406B5052"/>
    <w:rsid w:val="406BFC3A"/>
    <w:rsid w:val="406CA288"/>
    <w:rsid w:val="406CCC91"/>
    <w:rsid w:val="406DC9ED"/>
    <w:rsid w:val="406DF655"/>
    <w:rsid w:val="406DFAF5"/>
    <w:rsid w:val="406E5BEF"/>
    <w:rsid w:val="406FA3BF"/>
    <w:rsid w:val="40702124"/>
    <w:rsid w:val="4070284B"/>
    <w:rsid w:val="40720BB1"/>
    <w:rsid w:val="407299B3"/>
    <w:rsid w:val="40729AD1"/>
    <w:rsid w:val="40740F93"/>
    <w:rsid w:val="40749FA6"/>
    <w:rsid w:val="40758C96"/>
    <w:rsid w:val="4075B9FA"/>
    <w:rsid w:val="40776B25"/>
    <w:rsid w:val="4077947D"/>
    <w:rsid w:val="4077E623"/>
    <w:rsid w:val="407834FF"/>
    <w:rsid w:val="40786636"/>
    <w:rsid w:val="4079F23E"/>
    <w:rsid w:val="407A1F0C"/>
    <w:rsid w:val="407A2396"/>
    <w:rsid w:val="407A2AE6"/>
    <w:rsid w:val="407AD9A3"/>
    <w:rsid w:val="407AED2A"/>
    <w:rsid w:val="407B024F"/>
    <w:rsid w:val="407BCABC"/>
    <w:rsid w:val="407CA9AE"/>
    <w:rsid w:val="407D388F"/>
    <w:rsid w:val="407E2E42"/>
    <w:rsid w:val="407EE307"/>
    <w:rsid w:val="407F1420"/>
    <w:rsid w:val="40817E7B"/>
    <w:rsid w:val="408221BC"/>
    <w:rsid w:val="408332C3"/>
    <w:rsid w:val="40838010"/>
    <w:rsid w:val="40842C29"/>
    <w:rsid w:val="4084773C"/>
    <w:rsid w:val="4084872B"/>
    <w:rsid w:val="4084CBD6"/>
    <w:rsid w:val="4084E291"/>
    <w:rsid w:val="40851693"/>
    <w:rsid w:val="408719BE"/>
    <w:rsid w:val="408720C9"/>
    <w:rsid w:val="408753A7"/>
    <w:rsid w:val="4088000D"/>
    <w:rsid w:val="4088CBD7"/>
    <w:rsid w:val="408996E6"/>
    <w:rsid w:val="4089B842"/>
    <w:rsid w:val="408A0D6E"/>
    <w:rsid w:val="408A5003"/>
    <w:rsid w:val="408BF2C8"/>
    <w:rsid w:val="408CCC27"/>
    <w:rsid w:val="408CED16"/>
    <w:rsid w:val="408D00D7"/>
    <w:rsid w:val="408DA6CE"/>
    <w:rsid w:val="408DE0F0"/>
    <w:rsid w:val="408DF73C"/>
    <w:rsid w:val="408EA30D"/>
    <w:rsid w:val="408EBE4C"/>
    <w:rsid w:val="408EDBF6"/>
    <w:rsid w:val="408F2446"/>
    <w:rsid w:val="408F49DD"/>
    <w:rsid w:val="408F9236"/>
    <w:rsid w:val="40903BC7"/>
    <w:rsid w:val="4090AFD1"/>
    <w:rsid w:val="40922BB9"/>
    <w:rsid w:val="4093A0A1"/>
    <w:rsid w:val="40942C6F"/>
    <w:rsid w:val="40948A36"/>
    <w:rsid w:val="40955717"/>
    <w:rsid w:val="40956CAD"/>
    <w:rsid w:val="40963A85"/>
    <w:rsid w:val="409659A5"/>
    <w:rsid w:val="4096872D"/>
    <w:rsid w:val="4096CF88"/>
    <w:rsid w:val="40971255"/>
    <w:rsid w:val="40973FAE"/>
    <w:rsid w:val="40990F37"/>
    <w:rsid w:val="409ADC9F"/>
    <w:rsid w:val="409B7D7C"/>
    <w:rsid w:val="409BA797"/>
    <w:rsid w:val="409BC117"/>
    <w:rsid w:val="409CA5FE"/>
    <w:rsid w:val="409CC615"/>
    <w:rsid w:val="409D8D8E"/>
    <w:rsid w:val="409DB57B"/>
    <w:rsid w:val="409EDE34"/>
    <w:rsid w:val="409EF2AB"/>
    <w:rsid w:val="409EF534"/>
    <w:rsid w:val="409F2D8E"/>
    <w:rsid w:val="40A06F3B"/>
    <w:rsid w:val="40A09A6F"/>
    <w:rsid w:val="40A0C71C"/>
    <w:rsid w:val="40A100BC"/>
    <w:rsid w:val="40A125FF"/>
    <w:rsid w:val="40A165C8"/>
    <w:rsid w:val="40A32E2E"/>
    <w:rsid w:val="40A5FFE2"/>
    <w:rsid w:val="40A6C01C"/>
    <w:rsid w:val="40A6C48A"/>
    <w:rsid w:val="40A73257"/>
    <w:rsid w:val="40A777ED"/>
    <w:rsid w:val="40A793C5"/>
    <w:rsid w:val="40A8838A"/>
    <w:rsid w:val="40A893DB"/>
    <w:rsid w:val="40A98E40"/>
    <w:rsid w:val="40AA1401"/>
    <w:rsid w:val="40ACC543"/>
    <w:rsid w:val="40AD373F"/>
    <w:rsid w:val="40AD3EDA"/>
    <w:rsid w:val="40AD5B9A"/>
    <w:rsid w:val="40AD5F4B"/>
    <w:rsid w:val="40AD73FC"/>
    <w:rsid w:val="40ADC8B8"/>
    <w:rsid w:val="40ADE9AD"/>
    <w:rsid w:val="40AE3DE6"/>
    <w:rsid w:val="40AE8668"/>
    <w:rsid w:val="40AF49E2"/>
    <w:rsid w:val="40AF7DD3"/>
    <w:rsid w:val="40AFC39C"/>
    <w:rsid w:val="40B085C5"/>
    <w:rsid w:val="40B0CA48"/>
    <w:rsid w:val="40B1A567"/>
    <w:rsid w:val="40B1C1BE"/>
    <w:rsid w:val="40B2ABEC"/>
    <w:rsid w:val="40B2D15B"/>
    <w:rsid w:val="40B33961"/>
    <w:rsid w:val="40B34175"/>
    <w:rsid w:val="40B3E3AE"/>
    <w:rsid w:val="40B3E3D4"/>
    <w:rsid w:val="40B3F2B7"/>
    <w:rsid w:val="40B474BC"/>
    <w:rsid w:val="40B4CF9F"/>
    <w:rsid w:val="40B50CD1"/>
    <w:rsid w:val="40B5EAA8"/>
    <w:rsid w:val="40B61EEB"/>
    <w:rsid w:val="40B6B3F8"/>
    <w:rsid w:val="40B6C7E1"/>
    <w:rsid w:val="40B77669"/>
    <w:rsid w:val="40B77FE6"/>
    <w:rsid w:val="40B968C7"/>
    <w:rsid w:val="40B985D6"/>
    <w:rsid w:val="40B9882D"/>
    <w:rsid w:val="40B9A971"/>
    <w:rsid w:val="40B9F879"/>
    <w:rsid w:val="40BA270D"/>
    <w:rsid w:val="40BA7161"/>
    <w:rsid w:val="40BAFA50"/>
    <w:rsid w:val="40BB3482"/>
    <w:rsid w:val="40BBE715"/>
    <w:rsid w:val="40BCEAD2"/>
    <w:rsid w:val="40BD218E"/>
    <w:rsid w:val="40BD4F33"/>
    <w:rsid w:val="40BE2256"/>
    <w:rsid w:val="40BE2524"/>
    <w:rsid w:val="40BE44F9"/>
    <w:rsid w:val="40BF7C71"/>
    <w:rsid w:val="40C05884"/>
    <w:rsid w:val="40C15E5C"/>
    <w:rsid w:val="40C211E5"/>
    <w:rsid w:val="40C22541"/>
    <w:rsid w:val="40C35BB2"/>
    <w:rsid w:val="40C3AA0A"/>
    <w:rsid w:val="40C600BE"/>
    <w:rsid w:val="40C61678"/>
    <w:rsid w:val="40C6CE8A"/>
    <w:rsid w:val="40C7BCB3"/>
    <w:rsid w:val="40C9DB91"/>
    <w:rsid w:val="40CA2A55"/>
    <w:rsid w:val="40CB29B5"/>
    <w:rsid w:val="40CB84ED"/>
    <w:rsid w:val="40CBA241"/>
    <w:rsid w:val="40CD193D"/>
    <w:rsid w:val="40CD3474"/>
    <w:rsid w:val="40CD70A0"/>
    <w:rsid w:val="40CDFC20"/>
    <w:rsid w:val="40CE3FD7"/>
    <w:rsid w:val="40CEC11F"/>
    <w:rsid w:val="40CF9D14"/>
    <w:rsid w:val="40D00081"/>
    <w:rsid w:val="40D07E5B"/>
    <w:rsid w:val="40D1A801"/>
    <w:rsid w:val="40D1B6E9"/>
    <w:rsid w:val="40D29EC2"/>
    <w:rsid w:val="40D31843"/>
    <w:rsid w:val="40D336D9"/>
    <w:rsid w:val="40D3502B"/>
    <w:rsid w:val="40D39EB6"/>
    <w:rsid w:val="40D3FA4B"/>
    <w:rsid w:val="40D5CB1F"/>
    <w:rsid w:val="40D7213B"/>
    <w:rsid w:val="40D7E771"/>
    <w:rsid w:val="40DB98A0"/>
    <w:rsid w:val="40DBB82A"/>
    <w:rsid w:val="40DC603B"/>
    <w:rsid w:val="40DC68B1"/>
    <w:rsid w:val="40DC8B32"/>
    <w:rsid w:val="40DCD28C"/>
    <w:rsid w:val="40DD63D7"/>
    <w:rsid w:val="40DD7800"/>
    <w:rsid w:val="40DE033D"/>
    <w:rsid w:val="40DE3A73"/>
    <w:rsid w:val="40DED179"/>
    <w:rsid w:val="40DEEAF2"/>
    <w:rsid w:val="40DF3744"/>
    <w:rsid w:val="40DF4020"/>
    <w:rsid w:val="40E02926"/>
    <w:rsid w:val="40E09716"/>
    <w:rsid w:val="40E130F1"/>
    <w:rsid w:val="40E28419"/>
    <w:rsid w:val="40E30F27"/>
    <w:rsid w:val="40E399E3"/>
    <w:rsid w:val="40E3BB01"/>
    <w:rsid w:val="40E3FA0D"/>
    <w:rsid w:val="40E44199"/>
    <w:rsid w:val="40E4C710"/>
    <w:rsid w:val="40E4E625"/>
    <w:rsid w:val="40E6BC04"/>
    <w:rsid w:val="40E6BD3F"/>
    <w:rsid w:val="40E6CA39"/>
    <w:rsid w:val="40E6EC5D"/>
    <w:rsid w:val="40E74318"/>
    <w:rsid w:val="40E8DB99"/>
    <w:rsid w:val="40E9BFEA"/>
    <w:rsid w:val="40EB13C5"/>
    <w:rsid w:val="40EB1E61"/>
    <w:rsid w:val="40EBD6E8"/>
    <w:rsid w:val="40EC8F6F"/>
    <w:rsid w:val="40ECD25B"/>
    <w:rsid w:val="40ED0508"/>
    <w:rsid w:val="40ED57F0"/>
    <w:rsid w:val="40ED8F7F"/>
    <w:rsid w:val="40ED9D52"/>
    <w:rsid w:val="40EDC617"/>
    <w:rsid w:val="40EDE371"/>
    <w:rsid w:val="40EDEC1B"/>
    <w:rsid w:val="40EF06E7"/>
    <w:rsid w:val="40EF5EA2"/>
    <w:rsid w:val="40EF649C"/>
    <w:rsid w:val="40EF9C82"/>
    <w:rsid w:val="40EFA864"/>
    <w:rsid w:val="40EFAE46"/>
    <w:rsid w:val="40EFF63F"/>
    <w:rsid w:val="40F00B22"/>
    <w:rsid w:val="40F03ED8"/>
    <w:rsid w:val="40F089D9"/>
    <w:rsid w:val="40F0DF9A"/>
    <w:rsid w:val="40F12773"/>
    <w:rsid w:val="40F17E4C"/>
    <w:rsid w:val="40F25016"/>
    <w:rsid w:val="40F3A44A"/>
    <w:rsid w:val="40F4C080"/>
    <w:rsid w:val="40F4EE20"/>
    <w:rsid w:val="40F5D162"/>
    <w:rsid w:val="40F5F9E7"/>
    <w:rsid w:val="40F6D1C9"/>
    <w:rsid w:val="40F7F4FD"/>
    <w:rsid w:val="40F85F01"/>
    <w:rsid w:val="40F866BA"/>
    <w:rsid w:val="40F8C66C"/>
    <w:rsid w:val="40F93B14"/>
    <w:rsid w:val="40F95C7B"/>
    <w:rsid w:val="40F96C87"/>
    <w:rsid w:val="40F99072"/>
    <w:rsid w:val="40F9B143"/>
    <w:rsid w:val="40F9FA19"/>
    <w:rsid w:val="40FAFCC9"/>
    <w:rsid w:val="40FBCC43"/>
    <w:rsid w:val="40FC042C"/>
    <w:rsid w:val="40FC45D4"/>
    <w:rsid w:val="40FC545C"/>
    <w:rsid w:val="40FDB165"/>
    <w:rsid w:val="40FF50C8"/>
    <w:rsid w:val="40FFD351"/>
    <w:rsid w:val="410001F9"/>
    <w:rsid w:val="41005DC9"/>
    <w:rsid w:val="41025ADF"/>
    <w:rsid w:val="410292D4"/>
    <w:rsid w:val="4103701A"/>
    <w:rsid w:val="4105EB62"/>
    <w:rsid w:val="4106EBBC"/>
    <w:rsid w:val="41078169"/>
    <w:rsid w:val="410A3613"/>
    <w:rsid w:val="410B1E70"/>
    <w:rsid w:val="410BDF44"/>
    <w:rsid w:val="410BEF39"/>
    <w:rsid w:val="410C4BD8"/>
    <w:rsid w:val="410DA383"/>
    <w:rsid w:val="410DAA12"/>
    <w:rsid w:val="410ED0C9"/>
    <w:rsid w:val="410EF07F"/>
    <w:rsid w:val="410FA978"/>
    <w:rsid w:val="411022A0"/>
    <w:rsid w:val="41103B74"/>
    <w:rsid w:val="41104CA6"/>
    <w:rsid w:val="4110642B"/>
    <w:rsid w:val="41112A20"/>
    <w:rsid w:val="41126DB8"/>
    <w:rsid w:val="41128B1C"/>
    <w:rsid w:val="4112ED2A"/>
    <w:rsid w:val="41131898"/>
    <w:rsid w:val="4113436E"/>
    <w:rsid w:val="4113940A"/>
    <w:rsid w:val="4113B138"/>
    <w:rsid w:val="4113F2F8"/>
    <w:rsid w:val="41145C2A"/>
    <w:rsid w:val="41148B54"/>
    <w:rsid w:val="411582ED"/>
    <w:rsid w:val="4116934E"/>
    <w:rsid w:val="4116ECED"/>
    <w:rsid w:val="4116F10A"/>
    <w:rsid w:val="4117331C"/>
    <w:rsid w:val="41178224"/>
    <w:rsid w:val="4117F1F2"/>
    <w:rsid w:val="41184644"/>
    <w:rsid w:val="41184E9D"/>
    <w:rsid w:val="411AD040"/>
    <w:rsid w:val="411B0FBE"/>
    <w:rsid w:val="411B2F2A"/>
    <w:rsid w:val="411B3931"/>
    <w:rsid w:val="411B5059"/>
    <w:rsid w:val="411C8479"/>
    <w:rsid w:val="411C8A11"/>
    <w:rsid w:val="411CA99E"/>
    <w:rsid w:val="411CA9A9"/>
    <w:rsid w:val="411D85EB"/>
    <w:rsid w:val="411DD0BF"/>
    <w:rsid w:val="411E6DEB"/>
    <w:rsid w:val="411E900C"/>
    <w:rsid w:val="411EF057"/>
    <w:rsid w:val="411F2375"/>
    <w:rsid w:val="411FB5F0"/>
    <w:rsid w:val="411FD26D"/>
    <w:rsid w:val="411FEF12"/>
    <w:rsid w:val="412101AB"/>
    <w:rsid w:val="412131ED"/>
    <w:rsid w:val="4122A104"/>
    <w:rsid w:val="4122A647"/>
    <w:rsid w:val="4122F730"/>
    <w:rsid w:val="412354D4"/>
    <w:rsid w:val="4123577F"/>
    <w:rsid w:val="412382E9"/>
    <w:rsid w:val="412446FB"/>
    <w:rsid w:val="4124FA6D"/>
    <w:rsid w:val="41255E2C"/>
    <w:rsid w:val="412567D7"/>
    <w:rsid w:val="41262CBD"/>
    <w:rsid w:val="41265E1F"/>
    <w:rsid w:val="412665C5"/>
    <w:rsid w:val="4128E9A7"/>
    <w:rsid w:val="4129BC39"/>
    <w:rsid w:val="4129D70D"/>
    <w:rsid w:val="412A8F3F"/>
    <w:rsid w:val="412AF92C"/>
    <w:rsid w:val="412BD988"/>
    <w:rsid w:val="412BE790"/>
    <w:rsid w:val="412D3F01"/>
    <w:rsid w:val="412DA786"/>
    <w:rsid w:val="412DE7A3"/>
    <w:rsid w:val="412EE039"/>
    <w:rsid w:val="412F2636"/>
    <w:rsid w:val="412F7999"/>
    <w:rsid w:val="412FC761"/>
    <w:rsid w:val="413020F3"/>
    <w:rsid w:val="41308EE3"/>
    <w:rsid w:val="41309F1F"/>
    <w:rsid w:val="4130A317"/>
    <w:rsid w:val="41317BFC"/>
    <w:rsid w:val="4131D92C"/>
    <w:rsid w:val="4131E7E2"/>
    <w:rsid w:val="41320856"/>
    <w:rsid w:val="4132478F"/>
    <w:rsid w:val="4132B98E"/>
    <w:rsid w:val="4132D23E"/>
    <w:rsid w:val="413333EE"/>
    <w:rsid w:val="413418B4"/>
    <w:rsid w:val="41342B0F"/>
    <w:rsid w:val="41349317"/>
    <w:rsid w:val="4134B6BE"/>
    <w:rsid w:val="413553FF"/>
    <w:rsid w:val="41364F58"/>
    <w:rsid w:val="413675BE"/>
    <w:rsid w:val="413693BD"/>
    <w:rsid w:val="4136A608"/>
    <w:rsid w:val="4136B8ED"/>
    <w:rsid w:val="4136D0E3"/>
    <w:rsid w:val="41385134"/>
    <w:rsid w:val="4138801B"/>
    <w:rsid w:val="4138E793"/>
    <w:rsid w:val="413952B6"/>
    <w:rsid w:val="4139B23C"/>
    <w:rsid w:val="413A116A"/>
    <w:rsid w:val="413BF3AA"/>
    <w:rsid w:val="413C3CE5"/>
    <w:rsid w:val="413C52F8"/>
    <w:rsid w:val="413D01CD"/>
    <w:rsid w:val="413DC6A2"/>
    <w:rsid w:val="413E30C8"/>
    <w:rsid w:val="413F5997"/>
    <w:rsid w:val="413F72BE"/>
    <w:rsid w:val="413FB533"/>
    <w:rsid w:val="413FC6B3"/>
    <w:rsid w:val="41403035"/>
    <w:rsid w:val="41414257"/>
    <w:rsid w:val="41415251"/>
    <w:rsid w:val="4141DAE3"/>
    <w:rsid w:val="41420226"/>
    <w:rsid w:val="41428A06"/>
    <w:rsid w:val="4142C0FB"/>
    <w:rsid w:val="4142DF45"/>
    <w:rsid w:val="41443ACB"/>
    <w:rsid w:val="41451982"/>
    <w:rsid w:val="4146485A"/>
    <w:rsid w:val="41468DE8"/>
    <w:rsid w:val="4146D60F"/>
    <w:rsid w:val="414889DE"/>
    <w:rsid w:val="414899C5"/>
    <w:rsid w:val="41496303"/>
    <w:rsid w:val="41496B8C"/>
    <w:rsid w:val="414A4AD9"/>
    <w:rsid w:val="414A97D9"/>
    <w:rsid w:val="414AB570"/>
    <w:rsid w:val="414B3342"/>
    <w:rsid w:val="414B6035"/>
    <w:rsid w:val="414B7455"/>
    <w:rsid w:val="414BCD91"/>
    <w:rsid w:val="414D421F"/>
    <w:rsid w:val="414E2CA2"/>
    <w:rsid w:val="414EBBC1"/>
    <w:rsid w:val="414ED84B"/>
    <w:rsid w:val="41505817"/>
    <w:rsid w:val="41506824"/>
    <w:rsid w:val="4150BF42"/>
    <w:rsid w:val="4151B84F"/>
    <w:rsid w:val="4151E548"/>
    <w:rsid w:val="41524D0C"/>
    <w:rsid w:val="4152B835"/>
    <w:rsid w:val="41541439"/>
    <w:rsid w:val="4154B04E"/>
    <w:rsid w:val="4154C7F6"/>
    <w:rsid w:val="415641DF"/>
    <w:rsid w:val="41566C22"/>
    <w:rsid w:val="4156B2B5"/>
    <w:rsid w:val="4156C5BF"/>
    <w:rsid w:val="415713A7"/>
    <w:rsid w:val="415780E6"/>
    <w:rsid w:val="4157C842"/>
    <w:rsid w:val="41587AD2"/>
    <w:rsid w:val="415A8ACA"/>
    <w:rsid w:val="415AB47C"/>
    <w:rsid w:val="415B6C7C"/>
    <w:rsid w:val="415BF305"/>
    <w:rsid w:val="415C433D"/>
    <w:rsid w:val="415F082F"/>
    <w:rsid w:val="415F16BF"/>
    <w:rsid w:val="415FF088"/>
    <w:rsid w:val="41600881"/>
    <w:rsid w:val="416039E6"/>
    <w:rsid w:val="4162446D"/>
    <w:rsid w:val="416276C7"/>
    <w:rsid w:val="4162A57A"/>
    <w:rsid w:val="4162EFCD"/>
    <w:rsid w:val="41637728"/>
    <w:rsid w:val="4163C0C2"/>
    <w:rsid w:val="41640078"/>
    <w:rsid w:val="4164152B"/>
    <w:rsid w:val="41643F2A"/>
    <w:rsid w:val="41652C5D"/>
    <w:rsid w:val="41655F0E"/>
    <w:rsid w:val="41660AA2"/>
    <w:rsid w:val="4166DBD4"/>
    <w:rsid w:val="4167BAB2"/>
    <w:rsid w:val="41682B37"/>
    <w:rsid w:val="416A090F"/>
    <w:rsid w:val="416A5163"/>
    <w:rsid w:val="416AE993"/>
    <w:rsid w:val="416CD566"/>
    <w:rsid w:val="416D0C4F"/>
    <w:rsid w:val="416D5AE0"/>
    <w:rsid w:val="416D7AF2"/>
    <w:rsid w:val="416DB591"/>
    <w:rsid w:val="416ED11E"/>
    <w:rsid w:val="416F0351"/>
    <w:rsid w:val="416F46C6"/>
    <w:rsid w:val="41707E18"/>
    <w:rsid w:val="417179C1"/>
    <w:rsid w:val="4171C5F9"/>
    <w:rsid w:val="4171CCCE"/>
    <w:rsid w:val="4171E88A"/>
    <w:rsid w:val="4174A0EE"/>
    <w:rsid w:val="4174D3B4"/>
    <w:rsid w:val="41759876"/>
    <w:rsid w:val="4175B482"/>
    <w:rsid w:val="4175F1AC"/>
    <w:rsid w:val="41762FF4"/>
    <w:rsid w:val="41770645"/>
    <w:rsid w:val="417850CA"/>
    <w:rsid w:val="41785549"/>
    <w:rsid w:val="4179765B"/>
    <w:rsid w:val="4179A013"/>
    <w:rsid w:val="4179B759"/>
    <w:rsid w:val="417A444F"/>
    <w:rsid w:val="417A5E35"/>
    <w:rsid w:val="417A6769"/>
    <w:rsid w:val="417AAF5C"/>
    <w:rsid w:val="417BD88A"/>
    <w:rsid w:val="417C9AF9"/>
    <w:rsid w:val="417CB5E3"/>
    <w:rsid w:val="417CB9C8"/>
    <w:rsid w:val="417CFAA6"/>
    <w:rsid w:val="417CFFD3"/>
    <w:rsid w:val="417D3337"/>
    <w:rsid w:val="417DC650"/>
    <w:rsid w:val="417F56CC"/>
    <w:rsid w:val="41804945"/>
    <w:rsid w:val="418071F6"/>
    <w:rsid w:val="4180D6F3"/>
    <w:rsid w:val="418172F4"/>
    <w:rsid w:val="41835E72"/>
    <w:rsid w:val="418388B6"/>
    <w:rsid w:val="41868DC4"/>
    <w:rsid w:val="4186DE98"/>
    <w:rsid w:val="4187C22D"/>
    <w:rsid w:val="41887D5D"/>
    <w:rsid w:val="41899D38"/>
    <w:rsid w:val="418A6F12"/>
    <w:rsid w:val="418BA80C"/>
    <w:rsid w:val="418BD8B4"/>
    <w:rsid w:val="418C0AA3"/>
    <w:rsid w:val="418D0832"/>
    <w:rsid w:val="418E150D"/>
    <w:rsid w:val="418E2212"/>
    <w:rsid w:val="418E355F"/>
    <w:rsid w:val="41900167"/>
    <w:rsid w:val="41900935"/>
    <w:rsid w:val="4190AF01"/>
    <w:rsid w:val="4190E27F"/>
    <w:rsid w:val="41912FD7"/>
    <w:rsid w:val="41918B55"/>
    <w:rsid w:val="419200EE"/>
    <w:rsid w:val="4192A1F9"/>
    <w:rsid w:val="4192EF90"/>
    <w:rsid w:val="41933347"/>
    <w:rsid w:val="41934528"/>
    <w:rsid w:val="419372C2"/>
    <w:rsid w:val="4194CACD"/>
    <w:rsid w:val="419526EA"/>
    <w:rsid w:val="419596F4"/>
    <w:rsid w:val="41967792"/>
    <w:rsid w:val="4197D785"/>
    <w:rsid w:val="41989542"/>
    <w:rsid w:val="419966AB"/>
    <w:rsid w:val="41999737"/>
    <w:rsid w:val="419A952C"/>
    <w:rsid w:val="419BAB29"/>
    <w:rsid w:val="419CD78D"/>
    <w:rsid w:val="419D1D18"/>
    <w:rsid w:val="419D7F7F"/>
    <w:rsid w:val="419DE977"/>
    <w:rsid w:val="419E70C0"/>
    <w:rsid w:val="419E8ED4"/>
    <w:rsid w:val="419F57B6"/>
    <w:rsid w:val="41A05355"/>
    <w:rsid w:val="41A066CE"/>
    <w:rsid w:val="41A161D3"/>
    <w:rsid w:val="41A20CD4"/>
    <w:rsid w:val="41A29FA0"/>
    <w:rsid w:val="41A2A131"/>
    <w:rsid w:val="41A32510"/>
    <w:rsid w:val="41A3A9C1"/>
    <w:rsid w:val="41A47F78"/>
    <w:rsid w:val="41A4F186"/>
    <w:rsid w:val="41A56270"/>
    <w:rsid w:val="41A5E578"/>
    <w:rsid w:val="41A60F02"/>
    <w:rsid w:val="41A67FDB"/>
    <w:rsid w:val="41A68014"/>
    <w:rsid w:val="41A6AF61"/>
    <w:rsid w:val="41A6E262"/>
    <w:rsid w:val="41A70293"/>
    <w:rsid w:val="41A70E34"/>
    <w:rsid w:val="41A7191B"/>
    <w:rsid w:val="41A7FCCE"/>
    <w:rsid w:val="41A839CF"/>
    <w:rsid w:val="41A96E42"/>
    <w:rsid w:val="41A9BF94"/>
    <w:rsid w:val="41AA4137"/>
    <w:rsid w:val="41AAA421"/>
    <w:rsid w:val="41AAD18F"/>
    <w:rsid w:val="41AB3ED5"/>
    <w:rsid w:val="41ABD41A"/>
    <w:rsid w:val="41AC300F"/>
    <w:rsid w:val="41ACAC62"/>
    <w:rsid w:val="41ACB2E8"/>
    <w:rsid w:val="41AD4121"/>
    <w:rsid w:val="41AE7DB8"/>
    <w:rsid w:val="41AF663C"/>
    <w:rsid w:val="41AF821F"/>
    <w:rsid w:val="41AFEFD8"/>
    <w:rsid w:val="41B024F8"/>
    <w:rsid w:val="41B0A683"/>
    <w:rsid w:val="41B137C6"/>
    <w:rsid w:val="41B22A25"/>
    <w:rsid w:val="41B22D21"/>
    <w:rsid w:val="41B26C4A"/>
    <w:rsid w:val="41B403A6"/>
    <w:rsid w:val="41B450E6"/>
    <w:rsid w:val="41B45B12"/>
    <w:rsid w:val="41B535FA"/>
    <w:rsid w:val="41B53EFB"/>
    <w:rsid w:val="41B561F8"/>
    <w:rsid w:val="41B59EAB"/>
    <w:rsid w:val="41B754B8"/>
    <w:rsid w:val="41B79A5D"/>
    <w:rsid w:val="41B89EEC"/>
    <w:rsid w:val="41B97E13"/>
    <w:rsid w:val="41B9ECE4"/>
    <w:rsid w:val="41BBEE78"/>
    <w:rsid w:val="41BC035F"/>
    <w:rsid w:val="41BD63C5"/>
    <w:rsid w:val="41BDA69D"/>
    <w:rsid w:val="41BDCD5C"/>
    <w:rsid w:val="41BE16B8"/>
    <w:rsid w:val="41BE3075"/>
    <w:rsid w:val="41BE4565"/>
    <w:rsid w:val="41BEA44F"/>
    <w:rsid w:val="41BECCFA"/>
    <w:rsid w:val="41BF036B"/>
    <w:rsid w:val="41C0220E"/>
    <w:rsid w:val="41C0B63C"/>
    <w:rsid w:val="41C1ADA8"/>
    <w:rsid w:val="41C1B6D3"/>
    <w:rsid w:val="41C1E19D"/>
    <w:rsid w:val="41C2FA5B"/>
    <w:rsid w:val="41C2FBCE"/>
    <w:rsid w:val="41C33BA2"/>
    <w:rsid w:val="41C36AE6"/>
    <w:rsid w:val="41C395D9"/>
    <w:rsid w:val="41C3F254"/>
    <w:rsid w:val="41C47EFD"/>
    <w:rsid w:val="41C5BC07"/>
    <w:rsid w:val="41C6465C"/>
    <w:rsid w:val="41C7959B"/>
    <w:rsid w:val="41C7FF6F"/>
    <w:rsid w:val="41C87245"/>
    <w:rsid w:val="41C882DB"/>
    <w:rsid w:val="41C8C80E"/>
    <w:rsid w:val="41C8FE31"/>
    <w:rsid w:val="41CB0070"/>
    <w:rsid w:val="41CBCD2F"/>
    <w:rsid w:val="41CC0ED4"/>
    <w:rsid w:val="41CCCA37"/>
    <w:rsid w:val="41CCF6F2"/>
    <w:rsid w:val="41CD4594"/>
    <w:rsid w:val="41CE0385"/>
    <w:rsid w:val="41CE7037"/>
    <w:rsid w:val="41CE9371"/>
    <w:rsid w:val="41CEC50A"/>
    <w:rsid w:val="41CF8614"/>
    <w:rsid w:val="41CFFE36"/>
    <w:rsid w:val="41D06906"/>
    <w:rsid w:val="41D074C3"/>
    <w:rsid w:val="41D09C2C"/>
    <w:rsid w:val="41D13A68"/>
    <w:rsid w:val="41D1C699"/>
    <w:rsid w:val="41D222E8"/>
    <w:rsid w:val="41D234DD"/>
    <w:rsid w:val="41D28209"/>
    <w:rsid w:val="41D3B11F"/>
    <w:rsid w:val="41D3DE12"/>
    <w:rsid w:val="41D4369F"/>
    <w:rsid w:val="41D44800"/>
    <w:rsid w:val="41D4877C"/>
    <w:rsid w:val="41D48A10"/>
    <w:rsid w:val="41D53459"/>
    <w:rsid w:val="41D58F17"/>
    <w:rsid w:val="41D5DC5E"/>
    <w:rsid w:val="41D78DE3"/>
    <w:rsid w:val="41D82CA2"/>
    <w:rsid w:val="41D8B87B"/>
    <w:rsid w:val="41D8F128"/>
    <w:rsid w:val="41DB0D1A"/>
    <w:rsid w:val="41DBE6B5"/>
    <w:rsid w:val="41DC4D4F"/>
    <w:rsid w:val="41DCD137"/>
    <w:rsid w:val="41DD4E25"/>
    <w:rsid w:val="41DD5FE5"/>
    <w:rsid w:val="41DF2BE4"/>
    <w:rsid w:val="41DF5CD3"/>
    <w:rsid w:val="41E02A56"/>
    <w:rsid w:val="41E03F89"/>
    <w:rsid w:val="41E180B5"/>
    <w:rsid w:val="41E21654"/>
    <w:rsid w:val="41E2190E"/>
    <w:rsid w:val="41E3F68F"/>
    <w:rsid w:val="41E7691F"/>
    <w:rsid w:val="41E79341"/>
    <w:rsid w:val="41E7B463"/>
    <w:rsid w:val="41E84991"/>
    <w:rsid w:val="41E8B6AE"/>
    <w:rsid w:val="41E9D360"/>
    <w:rsid w:val="41E9DC5A"/>
    <w:rsid w:val="41EABC82"/>
    <w:rsid w:val="41EAD38F"/>
    <w:rsid w:val="41EC0D74"/>
    <w:rsid w:val="41ECC645"/>
    <w:rsid w:val="41ED9B10"/>
    <w:rsid w:val="41EDD71D"/>
    <w:rsid w:val="41EE374E"/>
    <w:rsid w:val="41EEA96E"/>
    <w:rsid w:val="41EF15C6"/>
    <w:rsid w:val="41EF4276"/>
    <w:rsid w:val="41EF6835"/>
    <w:rsid w:val="41EF6A1F"/>
    <w:rsid w:val="41EF9396"/>
    <w:rsid w:val="41EFF496"/>
    <w:rsid w:val="41F055DE"/>
    <w:rsid w:val="41F0E4C5"/>
    <w:rsid w:val="41F3B07C"/>
    <w:rsid w:val="41F46346"/>
    <w:rsid w:val="41F48687"/>
    <w:rsid w:val="41F4DADF"/>
    <w:rsid w:val="41F5864C"/>
    <w:rsid w:val="41F58E21"/>
    <w:rsid w:val="41F6A005"/>
    <w:rsid w:val="41F7ABA3"/>
    <w:rsid w:val="41F8408E"/>
    <w:rsid w:val="41F84A87"/>
    <w:rsid w:val="41F94342"/>
    <w:rsid w:val="41F969D1"/>
    <w:rsid w:val="41F9773E"/>
    <w:rsid w:val="41F98C08"/>
    <w:rsid w:val="41FA1B94"/>
    <w:rsid w:val="41FA3A55"/>
    <w:rsid w:val="41FB6386"/>
    <w:rsid w:val="41FC8EB3"/>
    <w:rsid w:val="41FCC2C9"/>
    <w:rsid w:val="41FDBA6E"/>
    <w:rsid w:val="41FEDD9A"/>
    <w:rsid w:val="41FEF719"/>
    <w:rsid w:val="41FF2DA3"/>
    <w:rsid w:val="41FF4F6C"/>
    <w:rsid w:val="41FFA549"/>
    <w:rsid w:val="42000364"/>
    <w:rsid w:val="420097B3"/>
    <w:rsid w:val="42015459"/>
    <w:rsid w:val="4201DD44"/>
    <w:rsid w:val="42025E08"/>
    <w:rsid w:val="42029F32"/>
    <w:rsid w:val="4202E2E6"/>
    <w:rsid w:val="4203345E"/>
    <w:rsid w:val="42033E77"/>
    <w:rsid w:val="420378B4"/>
    <w:rsid w:val="4203B730"/>
    <w:rsid w:val="42049924"/>
    <w:rsid w:val="4205FB8B"/>
    <w:rsid w:val="4206BBE1"/>
    <w:rsid w:val="4207D4EB"/>
    <w:rsid w:val="4207DC42"/>
    <w:rsid w:val="420948C3"/>
    <w:rsid w:val="42098680"/>
    <w:rsid w:val="420989C9"/>
    <w:rsid w:val="4209BE61"/>
    <w:rsid w:val="420A25E9"/>
    <w:rsid w:val="420A7D2B"/>
    <w:rsid w:val="420A9EDA"/>
    <w:rsid w:val="420AFEE7"/>
    <w:rsid w:val="420B79E2"/>
    <w:rsid w:val="420BA56B"/>
    <w:rsid w:val="420BE927"/>
    <w:rsid w:val="420CB1F9"/>
    <w:rsid w:val="420CDC4A"/>
    <w:rsid w:val="420DBD0F"/>
    <w:rsid w:val="420DD951"/>
    <w:rsid w:val="420E8528"/>
    <w:rsid w:val="420FE01F"/>
    <w:rsid w:val="420FFE06"/>
    <w:rsid w:val="421057A8"/>
    <w:rsid w:val="42107C6A"/>
    <w:rsid w:val="4210F7EF"/>
    <w:rsid w:val="42110C46"/>
    <w:rsid w:val="42113D75"/>
    <w:rsid w:val="42118038"/>
    <w:rsid w:val="4211943F"/>
    <w:rsid w:val="42121530"/>
    <w:rsid w:val="42129546"/>
    <w:rsid w:val="4213B521"/>
    <w:rsid w:val="4214D3F1"/>
    <w:rsid w:val="4214EDE1"/>
    <w:rsid w:val="4214F882"/>
    <w:rsid w:val="42155D56"/>
    <w:rsid w:val="42160177"/>
    <w:rsid w:val="42168EFC"/>
    <w:rsid w:val="4216BA8A"/>
    <w:rsid w:val="421700A5"/>
    <w:rsid w:val="42188906"/>
    <w:rsid w:val="421895B9"/>
    <w:rsid w:val="4219644C"/>
    <w:rsid w:val="4219D65C"/>
    <w:rsid w:val="421A4359"/>
    <w:rsid w:val="421A4E51"/>
    <w:rsid w:val="421B2F9A"/>
    <w:rsid w:val="421BF733"/>
    <w:rsid w:val="421CA2FB"/>
    <w:rsid w:val="421DB069"/>
    <w:rsid w:val="421E1BCF"/>
    <w:rsid w:val="421E2084"/>
    <w:rsid w:val="421EF4D6"/>
    <w:rsid w:val="421F60D5"/>
    <w:rsid w:val="421F9017"/>
    <w:rsid w:val="42208934"/>
    <w:rsid w:val="4220C239"/>
    <w:rsid w:val="4220C491"/>
    <w:rsid w:val="4221067E"/>
    <w:rsid w:val="4221828E"/>
    <w:rsid w:val="4221B5E1"/>
    <w:rsid w:val="42233550"/>
    <w:rsid w:val="42235470"/>
    <w:rsid w:val="42245F64"/>
    <w:rsid w:val="4224BA96"/>
    <w:rsid w:val="422550C9"/>
    <w:rsid w:val="422557C4"/>
    <w:rsid w:val="42257CF0"/>
    <w:rsid w:val="4226865A"/>
    <w:rsid w:val="4227E2EA"/>
    <w:rsid w:val="4228F933"/>
    <w:rsid w:val="4229959E"/>
    <w:rsid w:val="4229AFFA"/>
    <w:rsid w:val="4229C945"/>
    <w:rsid w:val="422A98FB"/>
    <w:rsid w:val="422AC4BE"/>
    <w:rsid w:val="422AF86D"/>
    <w:rsid w:val="422BA0F5"/>
    <w:rsid w:val="422C48DF"/>
    <w:rsid w:val="422C5746"/>
    <w:rsid w:val="422CAFD1"/>
    <w:rsid w:val="422CB1E7"/>
    <w:rsid w:val="422CD404"/>
    <w:rsid w:val="422D379E"/>
    <w:rsid w:val="422DCC4E"/>
    <w:rsid w:val="422DFD0E"/>
    <w:rsid w:val="422E1C4C"/>
    <w:rsid w:val="422F83AD"/>
    <w:rsid w:val="4230C39A"/>
    <w:rsid w:val="42311E86"/>
    <w:rsid w:val="42312A00"/>
    <w:rsid w:val="423165DA"/>
    <w:rsid w:val="42318C73"/>
    <w:rsid w:val="423209FD"/>
    <w:rsid w:val="42324465"/>
    <w:rsid w:val="42324647"/>
    <w:rsid w:val="42325C3A"/>
    <w:rsid w:val="42337C34"/>
    <w:rsid w:val="42340709"/>
    <w:rsid w:val="42345BC2"/>
    <w:rsid w:val="42348C49"/>
    <w:rsid w:val="42349365"/>
    <w:rsid w:val="4234A207"/>
    <w:rsid w:val="4234CF8C"/>
    <w:rsid w:val="42354564"/>
    <w:rsid w:val="42354A83"/>
    <w:rsid w:val="4236C593"/>
    <w:rsid w:val="4236CFBB"/>
    <w:rsid w:val="423764BA"/>
    <w:rsid w:val="4237BC20"/>
    <w:rsid w:val="4237FB5E"/>
    <w:rsid w:val="4238252B"/>
    <w:rsid w:val="42395E21"/>
    <w:rsid w:val="4239DC4A"/>
    <w:rsid w:val="423A75F2"/>
    <w:rsid w:val="423B8D5D"/>
    <w:rsid w:val="423C7B53"/>
    <w:rsid w:val="423D73C0"/>
    <w:rsid w:val="423D7C37"/>
    <w:rsid w:val="423ED9EA"/>
    <w:rsid w:val="423F2370"/>
    <w:rsid w:val="423F73EC"/>
    <w:rsid w:val="423F7BCC"/>
    <w:rsid w:val="42402D99"/>
    <w:rsid w:val="42408EC9"/>
    <w:rsid w:val="42412CB8"/>
    <w:rsid w:val="42419736"/>
    <w:rsid w:val="4242494A"/>
    <w:rsid w:val="4242721B"/>
    <w:rsid w:val="4242DB85"/>
    <w:rsid w:val="42436E2D"/>
    <w:rsid w:val="4244615D"/>
    <w:rsid w:val="42462DDB"/>
    <w:rsid w:val="4246450F"/>
    <w:rsid w:val="42479187"/>
    <w:rsid w:val="4247C5AB"/>
    <w:rsid w:val="42481D58"/>
    <w:rsid w:val="42487E86"/>
    <w:rsid w:val="42488F1B"/>
    <w:rsid w:val="424966AC"/>
    <w:rsid w:val="42497CBB"/>
    <w:rsid w:val="42499E3A"/>
    <w:rsid w:val="424A64B7"/>
    <w:rsid w:val="424AC397"/>
    <w:rsid w:val="424B14BE"/>
    <w:rsid w:val="424B8D96"/>
    <w:rsid w:val="424B9D56"/>
    <w:rsid w:val="424B9F9B"/>
    <w:rsid w:val="424BEC90"/>
    <w:rsid w:val="424C2013"/>
    <w:rsid w:val="424D3818"/>
    <w:rsid w:val="424D9156"/>
    <w:rsid w:val="424DE44B"/>
    <w:rsid w:val="424F54AE"/>
    <w:rsid w:val="42506626"/>
    <w:rsid w:val="42511167"/>
    <w:rsid w:val="42519B7C"/>
    <w:rsid w:val="42526DC5"/>
    <w:rsid w:val="4252765B"/>
    <w:rsid w:val="4252FFA7"/>
    <w:rsid w:val="425302CF"/>
    <w:rsid w:val="4253CC06"/>
    <w:rsid w:val="4253EA49"/>
    <w:rsid w:val="4254272D"/>
    <w:rsid w:val="425537A1"/>
    <w:rsid w:val="4255792B"/>
    <w:rsid w:val="425579B3"/>
    <w:rsid w:val="4256A908"/>
    <w:rsid w:val="42580C2D"/>
    <w:rsid w:val="42583B75"/>
    <w:rsid w:val="4258501D"/>
    <w:rsid w:val="42586134"/>
    <w:rsid w:val="4258747B"/>
    <w:rsid w:val="42589FA6"/>
    <w:rsid w:val="4258A9DC"/>
    <w:rsid w:val="42591D1D"/>
    <w:rsid w:val="42595DFF"/>
    <w:rsid w:val="42596874"/>
    <w:rsid w:val="42597C5D"/>
    <w:rsid w:val="4259D98A"/>
    <w:rsid w:val="425A01ED"/>
    <w:rsid w:val="425A2F83"/>
    <w:rsid w:val="425A4A1B"/>
    <w:rsid w:val="425C0B06"/>
    <w:rsid w:val="425C3FD4"/>
    <w:rsid w:val="425C6E80"/>
    <w:rsid w:val="425D54AA"/>
    <w:rsid w:val="425DA89B"/>
    <w:rsid w:val="425DC61C"/>
    <w:rsid w:val="425DCD65"/>
    <w:rsid w:val="425DDE7C"/>
    <w:rsid w:val="425E1256"/>
    <w:rsid w:val="425EA828"/>
    <w:rsid w:val="425F8D63"/>
    <w:rsid w:val="42604B6E"/>
    <w:rsid w:val="42607DAE"/>
    <w:rsid w:val="4260F74D"/>
    <w:rsid w:val="4261CA62"/>
    <w:rsid w:val="42621339"/>
    <w:rsid w:val="42625000"/>
    <w:rsid w:val="4262DCD5"/>
    <w:rsid w:val="426492A0"/>
    <w:rsid w:val="4265B50B"/>
    <w:rsid w:val="4265E0EB"/>
    <w:rsid w:val="426665F0"/>
    <w:rsid w:val="42674FA0"/>
    <w:rsid w:val="4267538D"/>
    <w:rsid w:val="4267D79E"/>
    <w:rsid w:val="4268315C"/>
    <w:rsid w:val="426849FB"/>
    <w:rsid w:val="426885EE"/>
    <w:rsid w:val="4268BAD3"/>
    <w:rsid w:val="42690D13"/>
    <w:rsid w:val="42691DE2"/>
    <w:rsid w:val="426920C5"/>
    <w:rsid w:val="42692499"/>
    <w:rsid w:val="42696BB5"/>
    <w:rsid w:val="4269AEEF"/>
    <w:rsid w:val="426B2EC4"/>
    <w:rsid w:val="426BC78F"/>
    <w:rsid w:val="426BF7AE"/>
    <w:rsid w:val="426C24B7"/>
    <w:rsid w:val="426CA49C"/>
    <w:rsid w:val="426CEC4A"/>
    <w:rsid w:val="426D01EC"/>
    <w:rsid w:val="426D318A"/>
    <w:rsid w:val="426E0D03"/>
    <w:rsid w:val="426EEB42"/>
    <w:rsid w:val="426FCCA5"/>
    <w:rsid w:val="42712ACE"/>
    <w:rsid w:val="4272CDBC"/>
    <w:rsid w:val="42732D55"/>
    <w:rsid w:val="42734D29"/>
    <w:rsid w:val="42739852"/>
    <w:rsid w:val="427427BF"/>
    <w:rsid w:val="427444ED"/>
    <w:rsid w:val="4275281F"/>
    <w:rsid w:val="42753358"/>
    <w:rsid w:val="4275AB03"/>
    <w:rsid w:val="4275B5A1"/>
    <w:rsid w:val="4276F675"/>
    <w:rsid w:val="42774173"/>
    <w:rsid w:val="427760BE"/>
    <w:rsid w:val="42777C31"/>
    <w:rsid w:val="42781A0D"/>
    <w:rsid w:val="42795A7A"/>
    <w:rsid w:val="4279D365"/>
    <w:rsid w:val="427A29F8"/>
    <w:rsid w:val="427A3735"/>
    <w:rsid w:val="427A3BC5"/>
    <w:rsid w:val="427ABDC6"/>
    <w:rsid w:val="427B7A5C"/>
    <w:rsid w:val="427BDB0C"/>
    <w:rsid w:val="427BF253"/>
    <w:rsid w:val="427CE708"/>
    <w:rsid w:val="427D43EC"/>
    <w:rsid w:val="427DB521"/>
    <w:rsid w:val="427DC62D"/>
    <w:rsid w:val="427E0BFB"/>
    <w:rsid w:val="427E384D"/>
    <w:rsid w:val="427E55C2"/>
    <w:rsid w:val="427E941F"/>
    <w:rsid w:val="427F703C"/>
    <w:rsid w:val="427FBBE2"/>
    <w:rsid w:val="4280006C"/>
    <w:rsid w:val="42801A86"/>
    <w:rsid w:val="4280FBCA"/>
    <w:rsid w:val="42822669"/>
    <w:rsid w:val="4282914E"/>
    <w:rsid w:val="4282ADC3"/>
    <w:rsid w:val="4282F463"/>
    <w:rsid w:val="4282FCA4"/>
    <w:rsid w:val="428317B8"/>
    <w:rsid w:val="42832AAF"/>
    <w:rsid w:val="42845A6D"/>
    <w:rsid w:val="4284A95B"/>
    <w:rsid w:val="4286045D"/>
    <w:rsid w:val="42871AAB"/>
    <w:rsid w:val="42874359"/>
    <w:rsid w:val="428764DE"/>
    <w:rsid w:val="42876B2E"/>
    <w:rsid w:val="4287C5E2"/>
    <w:rsid w:val="4288B44D"/>
    <w:rsid w:val="42891BC3"/>
    <w:rsid w:val="42897C5E"/>
    <w:rsid w:val="428A7E2F"/>
    <w:rsid w:val="428B323D"/>
    <w:rsid w:val="428C17A5"/>
    <w:rsid w:val="428C1EEA"/>
    <w:rsid w:val="428C5B8F"/>
    <w:rsid w:val="428CCF78"/>
    <w:rsid w:val="428E245A"/>
    <w:rsid w:val="428EF5C6"/>
    <w:rsid w:val="428F9827"/>
    <w:rsid w:val="428FE59A"/>
    <w:rsid w:val="42912045"/>
    <w:rsid w:val="42914509"/>
    <w:rsid w:val="42915E92"/>
    <w:rsid w:val="42926295"/>
    <w:rsid w:val="42929E01"/>
    <w:rsid w:val="429330D6"/>
    <w:rsid w:val="42934294"/>
    <w:rsid w:val="4293C500"/>
    <w:rsid w:val="4293C66C"/>
    <w:rsid w:val="4293CA43"/>
    <w:rsid w:val="42961DEF"/>
    <w:rsid w:val="4296F49B"/>
    <w:rsid w:val="429717F7"/>
    <w:rsid w:val="4297682D"/>
    <w:rsid w:val="4297CD55"/>
    <w:rsid w:val="429848F5"/>
    <w:rsid w:val="42984C32"/>
    <w:rsid w:val="42993595"/>
    <w:rsid w:val="4299DB11"/>
    <w:rsid w:val="429A390B"/>
    <w:rsid w:val="429AC9EC"/>
    <w:rsid w:val="429BD66C"/>
    <w:rsid w:val="429C43E6"/>
    <w:rsid w:val="429C49D7"/>
    <w:rsid w:val="429C61A9"/>
    <w:rsid w:val="429D9962"/>
    <w:rsid w:val="429EC68B"/>
    <w:rsid w:val="429F14A6"/>
    <w:rsid w:val="429F3ED0"/>
    <w:rsid w:val="429FA942"/>
    <w:rsid w:val="429FD372"/>
    <w:rsid w:val="42A059A3"/>
    <w:rsid w:val="42A09476"/>
    <w:rsid w:val="42A161B1"/>
    <w:rsid w:val="42A348E2"/>
    <w:rsid w:val="42A34CEB"/>
    <w:rsid w:val="42A37C3C"/>
    <w:rsid w:val="42A4F245"/>
    <w:rsid w:val="42A5B35B"/>
    <w:rsid w:val="42A5E7CE"/>
    <w:rsid w:val="42A6F4E7"/>
    <w:rsid w:val="42A70C77"/>
    <w:rsid w:val="42A7B230"/>
    <w:rsid w:val="42A7D7A2"/>
    <w:rsid w:val="42A87A9B"/>
    <w:rsid w:val="42A8B19B"/>
    <w:rsid w:val="42AA1E8C"/>
    <w:rsid w:val="42AB3EF7"/>
    <w:rsid w:val="42ABA5AD"/>
    <w:rsid w:val="42AC5FAD"/>
    <w:rsid w:val="42AC8238"/>
    <w:rsid w:val="42AD0B5E"/>
    <w:rsid w:val="42AE2515"/>
    <w:rsid w:val="42AE58AC"/>
    <w:rsid w:val="42AE5F83"/>
    <w:rsid w:val="42AE96E9"/>
    <w:rsid w:val="42AEC9C6"/>
    <w:rsid w:val="42AEE20A"/>
    <w:rsid w:val="42AF081E"/>
    <w:rsid w:val="42B04E7D"/>
    <w:rsid w:val="42B05AEE"/>
    <w:rsid w:val="42B06F12"/>
    <w:rsid w:val="42B0D3F9"/>
    <w:rsid w:val="42B0E6EF"/>
    <w:rsid w:val="42B1E8B7"/>
    <w:rsid w:val="42B22CEF"/>
    <w:rsid w:val="42B2D4D7"/>
    <w:rsid w:val="42B37CEA"/>
    <w:rsid w:val="42B4050C"/>
    <w:rsid w:val="42B41E72"/>
    <w:rsid w:val="42B42659"/>
    <w:rsid w:val="42B5DE68"/>
    <w:rsid w:val="42B68739"/>
    <w:rsid w:val="42B6A9A2"/>
    <w:rsid w:val="42B72F40"/>
    <w:rsid w:val="42B79D83"/>
    <w:rsid w:val="42B889C2"/>
    <w:rsid w:val="42B970C7"/>
    <w:rsid w:val="42B9EBFE"/>
    <w:rsid w:val="42BAA0EB"/>
    <w:rsid w:val="42BAACE2"/>
    <w:rsid w:val="42BAC7D3"/>
    <w:rsid w:val="42BBA06A"/>
    <w:rsid w:val="42BBAC09"/>
    <w:rsid w:val="42BCB74E"/>
    <w:rsid w:val="42BD0F68"/>
    <w:rsid w:val="42BDB17D"/>
    <w:rsid w:val="42BDF761"/>
    <w:rsid w:val="42BFB84A"/>
    <w:rsid w:val="42BFDFEE"/>
    <w:rsid w:val="42C098BE"/>
    <w:rsid w:val="42C15E62"/>
    <w:rsid w:val="42C1D58A"/>
    <w:rsid w:val="42C2733E"/>
    <w:rsid w:val="42C30987"/>
    <w:rsid w:val="42C3563E"/>
    <w:rsid w:val="42C3CCEB"/>
    <w:rsid w:val="42C43880"/>
    <w:rsid w:val="42C4CAE7"/>
    <w:rsid w:val="42C540A9"/>
    <w:rsid w:val="42C59835"/>
    <w:rsid w:val="42C6B946"/>
    <w:rsid w:val="42C6F21D"/>
    <w:rsid w:val="42C8090F"/>
    <w:rsid w:val="42C83824"/>
    <w:rsid w:val="42C83999"/>
    <w:rsid w:val="42C8CB9C"/>
    <w:rsid w:val="42C8F9FB"/>
    <w:rsid w:val="42CA8EEC"/>
    <w:rsid w:val="42CB5C3A"/>
    <w:rsid w:val="42CC9985"/>
    <w:rsid w:val="42CD61C9"/>
    <w:rsid w:val="42CD6FEB"/>
    <w:rsid w:val="42CD90FF"/>
    <w:rsid w:val="42CE6C9B"/>
    <w:rsid w:val="42CEABB0"/>
    <w:rsid w:val="42CED41D"/>
    <w:rsid w:val="42CFC997"/>
    <w:rsid w:val="42D0B6A1"/>
    <w:rsid w:val="42D1A064"/>
    <w:rsid w:val="42D1E44D"/>
    <w:rsid w:val="42D22AD6"/>
    <w:rsid w:val="42D25DE9"/>
    <w:rsid w:val="42D2AA35"/>
    <w:rsid w:val="42D36297"/>
    <w:rsid w:val="42D3979D"/>
    <w:rsid w:val="42D43B5D"/>
    <w:rsid w:val="42D4B1E8"/>
    <w:rsid w:val="42D5A151"/>
    <w:rsid w:val="42D5C8CF"/>
    <w:rsid w:val="42D6F2D8"/>
    <w:rsid w:val="42D7BF1F"/>
    <w:rsid w:val="42D8AF16"/>
    <w:rsid w:val="42D8C92E"/>
    <w:rsid w:val="42D8D88B"/>
    <w:rsid w:val="42D956DE"/>
    <w:rsid w:val="42D97B6D"/>
    <w:rsid w:val="42DA0CFE"/>
    <w:rsid w:val="42DAC044"/>
    <w:rsid w:val="42DAF100"/>
    <w:rsid w:val="42DB5E0D"/>
    <w:rsid w:val="42DB6816"/>
    <w:rsid w:val="42DB6E74"/>
    <w:rsid w:val="42DB7468"/>
    <w:rsid w:val="42DBC5C0"/>
    <w:rsid w:val="42DC6637"/>
    <w:rsid w:val="42DC8E22"/>
    <w:rsid w:val="42DCC0AB"/>
    <w:rsid w:val="42DCED11"/>
    <w:rsid w:val="42DD200C"/>
    <w:rsid w:val="42DD2122"/>
    <w:rsid w:val="42DD3446"/>
    <w:rsid w:val="42DD604C"/>
    <w:rsid w:val="42DD7F8E"/>
    <w:rsid w:val="42DDA0C2"/>
    <w:rsid w:val="42DDBA05"/>
    <w:rsid w:val="42DE2DD0"/>
    <w:rsid w:val="42DE424F"/>
    <w:rsid w:val="42DEEF14"/>
    <w:rsid w:val="42DF00F0"/>
    <w:rsid w:val="42DF6355"/>
    <w:rsid w:val="42E0C612"/>
    <w:rsid w:val="42E22B1D"/>
    <w:rsid w:val="42E232CE"/>
    <w:rsid w:val="42E2C29B"/>
    <w:rsid w:val="42E31AF8"/>
    <w:rsid w:val="42E3622B"/>
    <w:rsid w:val="42E4134A"/>
    <w:rsid w:val="42E415F2"/>
    <w:rsid w:val="42E4528D"/>
    <w:rsid w:val="42E48B1C"/>
    <w:rsid w:val="42E4BC7E"/>
    <w:rsid w:val="42E54210"/>
    <w:rsid w:val="42E59DE0"/>
    <w:rsid w:val="42E6733D"/>
    <w:rsid w:val="42E7C702"/>
    <w:rsid w:val="42E8EA8F"/>
    <w:rsid w:val="42E914DC"/>
    <w:rsid w:val="42E95384"/>
    <w:rsid w:val="42EBEA20"/>
    <w:rsid w:val="42ED5D2E"/>
    <w:rsid w:val="42EDF63E"/>
    <w:rsid w:val="42EE0982"/>
    <w:rsid w:val="42EE343A"/>
    <w:rsid w:val="42EE78B0"/>
    <w:rsid w:val="42EEA1F9"/>
    <w:rsid w:val="42EEAA80"/>
    <w:rsid w:val="42EF08B7"/>
    <w:rsid w:val="42EF126B"/>
    <w:rsid w:val="42EFFA89"/>
    <w:rsid w:val="42F136DA"/>
    <w:rsid w:val="42F1B3CD"/>
    <w:rsid w:val="42F23201"/>
    <w:rsid w:val="42F27302"/>
    <w:rsid w:val="42F3BFBC"/>
    <w:rsid w:val="42F56C31"/>
    <w:rsid w:val="42F57FF6"/>
    <w:rsid w:val="42F63390"/>
    <w:rsid w:val="42F6390C"/>
    <w:rsid w:val="42F76B5E"/>
    <w:rsid w:val="42F84DF9"/>
    <w:rsid w:val="42F8FC61"/>
    <w:rsid w:val="42FA19B7"/>
    <w:rsid w:val="42FA5F0E"/>
    <w:rsid w:val="42FA7CCA"/>
    <w:rsid w:val="42FB6346"/>
    <w:rsid w:val="42FB87AF"/>
    <w:rsid w:val="42FB8914"/>
    <w:rsid w:val="42FBF90D"/>
    <w:rsid w:val="42FDECE2"/>
    <w:rsid w:val="42FED686"/>
    <w:rsid w:val="42FF4EF3"/>
    <w:rsid w:val="42FFD6EC"/>
    <w:rsid w:val="42FFE1C3"/>
    <w:rsid w:val="43010DBF"/>
    <w:rsid w:val="43025475"/>
    <w:rsid w:val="4302888C"/>
    <w:rsid w:val="4302E7B2"/>
    <w:rsid w:val="4302FD79"/>
    <w:rsid w:val="4303C484"/>
    <w:rsid w:val="43041731"/>
    <w:rsid w:val="430549FD"/>
    <w:rsid w:val="4305FA1E"/>
    <w:rsid w:val="4306DD73"/>
    <w:rsid w:val="4307018A"/>
    <w:rsid w:val="4307B817"/>
    <w:rsid w:val="43086495"/>
    <w:rsid w:val="4308B4BB"/>
    <w:rsid w:val="430961B2"/>
    <w:rsid w:val="430A3FD6"/>
    <w:rsid w:val="430B5F87"/>
    <w:rsid w:val="430C0402"/>
    <w:rsid w:val="430CBF04"/>
    <w:rsid w:val="430CE75A"/>
    <w:rsid w:val="430D3D24"/>
    <w:rsid w:val="430EF005"/>
    <w:rsid w:val="430FB8BF"/>
    <w:rsid w:val="4310EC17"/>
    <w:rsid w:val="4311AE4C"/>
    <w:rsid w:val="431321BB"/>
    <w:rsid w:val="43142B81"/>
    <w:rsid w:val="43148491"/>
    <w:rsid w:val="4314B901"/>
    <w:rsid w:val="4314E4B4"/>
    <w:rsid w:val="431553D9"/>
    <w:rsid w:val="43157D97"/>
    <w:rsid w:val="43183108"/>
    <w:rsid w:val="431841E1"/>
    <w:rsid w:val="43184952"/>
    <w:rsid w:val="4318B454"/>
    <w:rsid w:val="4318CAEE"/>
    <w:rsid w:val="4318D52A"/>
    <w:rsid w:val="4319A5FF"/>
    <w:rsid w:val="4319CC23"/>
    <w:rsid w:val="4319DC86"/>
    <w:rsid w:val="431BB05C"/>
    <w:rsid w:val="431BF4B4"/>
    <w:rsid w:val="431D2500"/>
    <w:rsid w:val="431DA878"/>
    <w:rsid w:val="431DBF3D"/>
    <w:rsid w:val="431DDEB2"/>
    <w:rsid w:val="431E1120"/>
    <w:rsid w:val="431E92DE"/>
    <w:rsid w:val="431FA8E6"/>
    <w:rsid w:val="431FB598"/>
    <w:rsid w:val="43202983"/>
    <w:rsid w:val="4320916F"/>
    <w:rsid w:val="4320D372"/>
    <w:rsid w:val="4321786A"/>
    <w:rsid w:val="4321CFC9"/>
    <w:rsid w:val="43229E1F"/>
    <w:rsid w:val="4322C126"/>
    <w:rsid w:val="4322DF93"/>
    <w:rsid w:val="4323548E"/>
    <w:rsid w:val="4323FB5E"/>
    <w:rsid w:val="432476AD"/>
    <w:rsid w:val="43254A9A"/>
    <w:rsid w:val="4325734C"/>
    <w:rsid w:val="4326591A"/>
    <w:rsid w:val="43268023"/>
    <w:rsid w:val="43268509"/>
    <w:rsid w:val="4326CE43"/>
    <w:rsid w:val="4326F958"/>
    <w:rsid w:val="43276032"/>
    <w:rsid w:val="432A6C20"/>
    <w:rsid w:val="432A7C0C"/>
    <w:rsid w:val="432ADA26"/>
    <w:rsid w:val="432B3110"/>
    <w:rsid w:val="432C165B"/>
    <w:rsid w:val="432CF419"/>
    <w:rsid w:val="432D3A4B"/>
    <w:rsid w:val="432D3FAE"/>
    <w:rsid w:val="432D9E07"/>
    <w:rsid w:val="432E4421"/>
    <w:rsid w:val="432E80DE"/>
    <w:rsid w:val="432F49B2"/>
    <w:rsid w:val="432FADC2"/>
    <w:rsid w:val="43301144"/>
    <w:rsid w:val="43304B58"/>
    <w:rsid w:val="43309322"/>
    <w:rsid w:val="4330BA15"/>
    <w:rsid w:val="4330E9B0"/>
    <w:rsid w:val="433113CC"/>
    <w:rsid w:val="43312413"/>
    <w:rsid w:val="43327957"/>
    <w:rsid w:val="4332A290"/>
    <w:rsid w:val="4332C5D0"/>
    <w:rsid w:val="4334073C"/>
    <w:rsid w:val="433423D3"/>
    <w:rsid w:val="433423FC"/>
    <w:rsid w:val="4335DB04"/>
    <w:rsid w:val="4336290B"/>
    <w:rsid w:val="43363AA9"/>
    <w:rsid w:val="4336530F"/>
    <w:rsid w:val="43367F82"/>
    <w:rsid w:val="43372613"/>
    <w:rsid w:val="43372CF8"/>
    <w:rsid w:val="433750AD"/>
    <w:rsid w:val="43380A2D"/>
    <w:rsid w:val="43381D06"/>
    <w:rsid w:val="4339F73A"/>
    <w:rsid w:val="433B4D53"/>
    <w:rsid w:val="433B6A79"/>
    <w:rsid w:val="433B7999"/>
    <w:rsid w:val="433CCDD6"/>
    <w:rsid w:val="433DC97A"/>
    <w:rsid w:val="433EA831"/>
    <w:rsid w:val="433F52C6"/>
    <w:rsid w:val="433FA272"/>
    <w:rsid w:val="434007CE"/>
    <w:rsid w:val="43400ECA"/>
    <w:rsid w:val="434026F6"/>
    <w:rsid w:val="43410F0B"/>
    <w:rsid w:val="4341A798"/>
    <w:rsid w:val="4341C507"/>
    <w:rsid w:val="4341D498"/>
    <w:rsid w:val="434229E3"/>
    <w:rsid w:val="4342DF18"/>
    <w:rsid w:val="4342E252"/>
    <w:rsid w:val="4343751A"/>
    <w:rsid w:val="4343BBEA"/>
    <w:rsid w:val="4343BD52"/>
    <w:rsid w:val="4343FCBC"/>
    <w:rsid w:val="434434AD"/>
    <w:rsid w:val="4344AEC3"/>
    <w:rsid w:val="43450D05"/>
    <w:rsid w:val="434585D8"/>
    <w:rsid w:val="43462CE2"/>
    <w:rsid w:val="43467081"/>
    <w:rsid w:val="434704A1"/>
    <w:rsid w:val="43470E0F"/>
    <w:rsid w:val="434845E7"/>
    <w:rsid w:val="43487FE6"/>
    <w:rsid w:val="4348B2E2"/>
    <w:rsid w:val="434930EF"/>
    <w:rsid w:val="4349C1E6"/>
    <w:rsid w:val="4349C731"/>
    <w:rsid w:val="434A2DD8"/>
    <w:rsid w:val="434A4781"/>
    <w:rsid w:val="434AE097"/>
    <w:rsid w:val="434BB138"/>
    <w:rsid w:val="434CEB29"/>
    <w:rsid w:val="434D1049"/>
    <w:rsid w:val="434D9DE6"/>
    <w:rsid w:val="434F3F01"/>
    <w:rsid w:val="4350A1EB"/>
    <w:rsid w:val="4350FD0A"/>
    <w:rsid w:val="43515FBD"/>
    <w:rsid w:val="435170DC"/>
    <w:rsid w:val="4351CF7A"/>
    <w:rsid w:val="4352C851"/>
    <w:rsid w:val="4352E55F"/>
    <w:rsid w:val="4353692C"/>
    <w:rsid w:val="43538C18"/>
    <w:rsid w:val="4353BDD9"/>
    <w:rsid w:val="435517F3"/>
    <w:rsid w:val="4356BA89"/>
    <w:rsid w:val="4356FBE9"/>
    <w:rsid w:val="43571464"/>
    <w:rsid w:val="43571B3D"/>
    <w:rsid w:val="4357486B"/>
    <w:rsid w:val="4357709B"/>
    <w:rsid w:val="43577A1B"/>
    <w:rsid w:val="4357B2F8"/>
    <w:rsid w:val="43589713"/>
    <w:rsid w:val="43593054"/>
    <w:rsid w:val="4359696A"/>
    <w:rsid w:val="4359C402"/>
    <w:rsid w:val="435A3615"/>
    <w:rsid w:val="435A3E67"/>
    <w:rsid w:val="435ADB47"/>
    <w:rsid w:val="435C8E67"/>
    <w:rsid w:val="435C9B32"/>
    <w:rsid w:val="435D50BF"/>
    <w:rsid w:val="435DD2DC"/>
    <w:rsid w:val="435F2279"/>
    <w:rsid w:val="435F2379"/>
    <w:rsid w:val="435F7367"/>
    <w:rsid w:val="435FA82C"/>
    <w:rsid w:val="435FDB14"/>
    <w:rsid w:val="4360049B"/>
    <w:rsid w:val="436071C0"/>
    <w:rsid w:val="43608D8D"/>
    <w:rsid w:val="43616435"/>
    <w:rsid w:val="43617EDC"/>
    <w:rsid w:val="4362AFAE"/>
    <w:rsid w:val="4362E4E1"/>
    <w:rsid w:val="4362E989"/>
    <w:rsid w:val="43631B2E"/>
    <w:rsid w:val="43631ED6"/>
    <w:rsid w:val="43636BAB"/>
    <w:rsid w:val="4363D87D"/>
    <w:rsid w:val="43644738"/>
    <w:rsid w:val="4364BFD6"/>
    <w:rsid w:val="4365662C"/>
    <w:rsid w:val="43658858"/>
    <w:rsid w:val="4365A2D9"/>
    <w:rsid w:val="4365A961"/>
    <w:rsid w:val="436615A3"/>
    <w:rsid w:val="43668CCD"/>
    <w:rsid w:val="4367501C"/>
    <w:rsid w:val="4367EC30"/>
    <w:rsid w:val="43680FFE"/>
    <w:rsid w:val="4369ED1D"/>
    <w:rsid w:val="436B38C5"/>
    <w:rsid w:val="436B929A"/>
    <w:rsid w:val="436C7817"/>
    <w:rsid w:val="436C7FB0"/>
    <w:rsid w:val="436CCAEF"/>
    <w:rsid w:val="436D9458"/>
    <w:rsid w:val="436E16E5"/>
    <w:rsid w:val="436F90BA"/>
    <w:rsid w:val="436FB2F4"/>
    <w:rsid w:val="437089E0"/>
    <w:rsid w:val="4370DC32"/>
    <w:rsid w:val="4371B93A"/>
    <w:rsid w:val="4371D43F"/>
    <w:rsid w:val="4372003A"/>
    <w:rsid w:val="4372BA52"/>
    <w:rsid w:val="4372EC2B"/>
    <w:rsid w:val="4373471C"/>
    <w:rsid w:val="43736261"/>
    <w:rsid w:val="437397D6"/>
    <w:rsid w:val="4373B166"/>
    <w:rsid w:val="4374741F"/>
    <w:rsid w:val="43757FBA"/>
    <w:rsid w:val="4375A5AE"/>
    <w:rsid w:val="4375D913"/>
    <w:rsid w:val="437656A8"/>
    <w:rsid w:val="43768492"/>
    <w:rsid w:val="4377F8E0"/>
    <w:rsid w:val="437802DF"/>
    <w:rsid w:val="437813D5"/>
    <w:rsid w:val="4379E369"/>
    <w:rsid w:val="437AB033"/>
    <w:rsid w:val="437ABBC6"/>
    <w:rsid w:val="437B1475"/>
    <w:rsid w:val="437B649A"/>
    <w:rsid w:val="437B7FCB"/>
    <w:rsid w:val="437C17D8"/>
    <w:rsid w:val="437C57B5"/>
    <w:rsid w:val="437C77FA"/>
    <w:rsid w:val="437CC3B1"/>
    <w:rsid w:val="437CFF61"/>
    <w:rsid w:val="437D2208"/>
    <w:rsid w:val="437DCDFD"/>
    <w:rsid w:val="437E8544"/>
    <w:rsid w:val="437F20DE"/>
    <w:rsid w:val="437FC7A8"/>
    <w:rsid w:val="437FD35E"/>
    <w:rsid w:val="43800159"/>
    <w:rsid w:val="43805EAC"/>
    <w:rsid w:val="438060B8"/>
    <w:rsid w:val="4382DD21"/>
    <w:rsid w:val="4382DFB8"/>
    <w:rsid w:val="43833773"/>
    <w:rsid w:val="4383D46D"/>
    <w:rsid w:val="43855F62"/>
    <w:rsid w:val="4385D63F"/>
    <w:rsid w:val="4385DCAA"/>
    <w:rsid w:val="43860147"/>
    <w:rsid w:val="43864B20"/>
    <w:rsid w:val="438676BD"/>
    <w:rsid w:val="4386A2D7"/>
    <w:rsid w:val="4386C01B"/>
    <w:rsid w:val="43872893"/>
    <w:rsid w:val="43887A63"/>
    <w:rsid w:val="4388B66A"/>
    <w:rsid w:val="4388B670"/>
    <w:rsid w:val="438912A8"/>
    <w:rsid w:val="43891710"/>
    <w:rsid w:val="438928AF"/>
    <w:rsid w:val="43894CCE"/>
    <w:rsid w:val="43898923"/>
    <w:rsid w:val="4389BDB8"/>
    <w:rsid w:val="438A0E8A"/>
    <w:rsid w:val="438AB470"/>
    <w:rsid w:val="438AE745"/>
    <w:rsid w:val="438BB6D2"/>
    <w:rsid w:val="438BC44C"/>
    <w:rsid w:val="438BC57E"/>
    <w:rsid w:val="438BE060"/>
    <w:rsid w:val="438D7F93"/>
    <w:rsid w:val="438E2361"/>
    <w:rsid w:val="438E5A48"/>
    <w:rsid w:val="438E70F7"/>
    <w:rsid w:val="438EBCE3"/>
    <w:rsid w:val="438EE065"/>
    <w:rsid w:val="438F5F4D"/>
    <w:rsid w:val="438F61BA"/>
    <w:rsid w:val="438F7F3A"/>
    <w:rsid w:val="438FE271"/>
    <w:rsid w:val="438FF06B"/>
    <w:rsid w:val="439032EC"/>
    <w:rsid w:val="43903C42"/>
    <w:rsid w:val="43907E45"/>
    <w:rsid w:val="4390A768"/>
    <w:rsid w:val="4390DF48"/>
    <w:rsid w:val="43917855"/>
    <w:rsid w:val="439197CD"/>
    <w:rsid w:val="43921602"/>
    <w:rsid w:val="43925331"/>
    <w:rsid w:val="43926480"/>
    <w:rsid w:val="4392CEC7"/>
    <w:rsid w:val="4394A51C"/>
    <w:rsid w:val="43952FA4"/>
    <w:rsid w:val="43955393"/>
    <w:rsid w:val="439655D5"/>
    <w:rsid w:val="4397778A"/>
    <w:rsid w:val="4397E03F"/>
    <w:rsid w:val="439979AE"/>
    <w:rsid w:val="4399DA02"/>
    <w:rsid w:val="439A3F14"/>
    <w:rsid w:val="439A69DA"/>
    <w:rsid w:val="439AAEAB"/>
    <w:rsid w:val="439BB822"/>
    <w:rsid w:val="439CC3EA"/>
    <w:rsid w:val="439D6CFB"/>
    <w:rsid w:val="439F05CE"/>
    <w:rsid w:val="439F1B42"/>
    <w:rsid w:val="439F37E0"/>
    <w:rsid w:val="439F8D11"/>
    <w:rsid w:val="43A01BA6"/>
    <w:rsid w:val="43A0C055"/>
    <w:rsid w:val="43A13EF6"/>
    <w:rsid w:val="43A1BB12"/>
    <w:rsid w:val="43A32870"/>
    <w:rsid w:val="43A3CCE6"/>
    <w:rsid w:val="43A3EF51"/>
    <w:rsid w:val="43A4B7B9"/>
    <w:rsid w:val="43A5069C"/>
    <w:rsid w:val="43A66F49"/>
    <w:rsid w:val="43A67E55"/>
    <w:rsid w:val="43A69406"/>
    <w:rsid w:val="43A6EDF4"/>
    <w:rsid w:val="43A702FC"/>
    <w:rsid w:val="43A78CF4"/>
    <w:rsid w:val="43A89328"/>
    <w:rsid w:val="43A946D1"/>
    <w:rsid w:val="43A9634E"/>
    <w:rsid w:val="43A9F7E0"/>
    <w:rsid w:val="43A9FDF4"/>
    <w:rsid w:val="43AB154F"/>
    <w:rsid w:val="43AB9E79"/>
    <w:rsid w:val="43ABC0E5"/>
    <w:rsid w:val="43AC0ED6"/>
    <w:rsid w:val="43AC4125"/>
    <w:rsid w:val="43AC5C0A"/>
    <w:rsid w:val="43ADCBCD"/>
    <w:rsid w:val="43ADE797"/>
    <w:rsid w:val="43AE300D"/>
    <w:rsid w:val="43AEE5A1"/>
    <w:rsid w:val="43AF2000"/>
    <w:rsid w:val="43AFB196"/>
    <w:rsid w:val="43B046A8"/>
    <w:rsid w:val="43B20BE1"/>
    <w:rsid w:val="43B27916"/>
    <w:rsid w:val="43B39B7D"/>
    <w:rsid w:val="43B422E9"/>
    <w:rsid w:val="43B4D618"/>
    <w:rsid w:val="43B50822"/>
    <w:rsid w:val="43B5E145"/>
    <w:rsid w:val="43B79339"/>
    <w:rsid w:val="43B7BEA8"/>
    <w:rsid w:val="43B81B12"/>
    <w:rsid w:val="43B82F76"/>
    <w:rsid w:val="43B84E2D"/>
    <w:rsid w:val="43BA0B99"/>
    <w:rsid w:val="43BA1DBF"/>
    <w:rsid w:val="43BABD5C"/>
    <w:rsid w:val="43BAE9EF"/>
    <w:rsid w:val="43BB4EF7"/>
    <w:rsid w:val="43BBBBA2"/>
    <w:rsid w:val="43BDB0C4"/>
    <w:rsid w:val="43BE8120"/>
    <w:rsid w:val="43BEF30D"/>
    <w:rsid w:val="43BEFE50"/>
    <w:rsid w:val="43BF7983"/>
    <w:rsid w:val="43C05716"/>
    <w:rsid w:val="43C05B57"/>
    <w:rsid w:val="43C1283A"/>
    <w:rsid w:val="43C1DEBF"/>
    <w:rsid w:val="43C1E3F4"/>
    <w:rsid w:val="43C413B8"/>
    <w:rsid w:val="43C47694"/>
    <w:rsid w:val="43C4AB48"/>
    <w:rsid w:val="43C53524"/>
    <w:rsid w:val="43C5AF92"/>
    <w:rsid w:val="43C61F94"/>
    <w:rsid w:val="43C628C5"/>
    <w:rsid w:val="43C7409F"/>
    <w:rsid w:val="43C98419"/>
    <w:rsid w:val="43CBB0CA"/>
    <w:rsid w:val="43CBE66F"/>
    <w:rsid w:val="43CBECC5"/>
    <w:rsid w:val="43CC6D09"/>
    <w:rsid w:val="43CD0857"/>
    <w:rsid w:val="43CF7A39"/>
    <w:rsid w:val="43CF883A"/>
    <w:rsid w:val="43CFC261"/>
    <w:rsid w:val="43D054BF"/>
    <w:rsid w:val="43D0EFDE"/>
    <w:rsid w:val="43D20623"/>
    <w:rsid w:val="43D26624"/>
    <w:rsid w:val="43D284A0"/>
    <w:rsid w:val="43D3EFBB"/>
    <w:rsid w:val="43D45671"/>
    <w:rsid w:val="43D4D99D"/>
    <w:rsid w:val="43D4F1D4"/>
    <w:rsid w:val="43D6CC2C"/>
    <w:rsid w:val="43D6D123"/>
    <w:rsid w:val="43D6EFDB"/>
    <w:rsid w:val="43D732AA"/>
    <w:rsid w:val="43D76615"/>
    <w:rsid w:val="43D76D93"/>
    <w:rsid w:val="43D88A2D"/>
    <w:rsid w:val="43D933CE"/>
    <w:rsid w:val="43DA7EB8"/>
    <w:rsid w:val="43DB0D63"/>
    <w:rsid w:val="43DB6858"/>
    <w:rsid w:val="43DD04AB"/>
    <w:rsid w:val="43DD0B4C"/>
    <w:rsid w:val="43DD7BD0"/>
    <w:rsid w:val="43DEC624"/>
    <w:rsid w:val="43DEDDAA"/>
    <w:rsid w:val="43E1B524"/>
    <w:rsid w:val="43E2B839"/>
    <w:rsid w:val="43E31CCA"/>
    <w:rsid w:val="43E3BDFB"/>
    <w:rsid w:val="43E58788"/>
    <w:rsid w:val="43E5B2E6"/>
    <w:rsid w:val="43E5E802"/>
    <w:rsid w:val="43E658A3"/>
    <w:rsid w:val="43E71DFE"/>
    <w:rsid w:val="43E7214E"/>
    <w:rsid w:val="43E8323E"/>
    <w:rsid w:val="43E8D1F6"/>
    <w:rsid w:val="43E9319D"/>
    <w:rsid w:val="43E951D2"/>
    <w:rsid w:val="43EA06A2"/>
    <w:rsid w:val="43EAF3ED"/>
    <w:rsid w:val="43EB401D"/>
    <w:rsid w:val="43EBA9C0"/>
    <w:rsid w:val="43EBAE49"/>
    <w:rsid w:val="43EC4134"/>
    <w:rsid w:val="43EC7F12"/>
    <w:rsid w:val="43ECBA19"/>
    <w:rsid w:val="43ECF696"/>
    <w:rsid w:val="43ED30D9"/>
    <w:rsid w:val="43EDA6A1"/>
    <w:rsid w:val="43EE1068"/>
    <w:rsid w:val="43EF20D8"/>
    <w:rsid w:val="43EF2A15"/>
    <w:rsid w:val="43EF96D7"/>
    <w:rsid w:val="43F0392F"/>
    <w:rsid w:val="43F070DF"/>
    <w:rsid w:val="43F0C8CD"/>
    <w:rsid w:val="43F13267"/>
    <w:rsid w:val="43F1591D"/>
    <w:rsid w:val="43F20817"/>
    <w:rsid w:val="43F218E8"/>
    <w:rsid w:val="43F2FC73"/>
    <w:rsid w:val="43F4327F"/>
    <w:rsid w:val="43F45427"/>
    <w:rsid w:val="43F45676"/>
    <w:rsid w:val="43F47374"/>
    <w:rsid w:val="43F4D512"/>
    <w:rsid w:val="43F50CE0"/>
    <w:rsid w:val="43F5A6E3"/>
    <w:rsid w:val="43F5D34F"/>
    <w:rsid w:val="43F6ACF4"/>
    <w:rsid w:val="43F6D3FE"/>
    <w:rsid w:val="43F79076"/>
    <w:rsid w:val="43F7A232"/>
    <w:rsid w:val="43F7D829"/>
    <w:rsid w:val="43F81322"/>
    <w:rsid w:val="43F9114E"/>
    <w:rsid w:val="43FA0CEB"/>
    <w:rsid w:val="43FA5965"/>
    <w:rsid w:val="43FAA195"/>
    <w:rsid w:val="43FAA413"/>
    <w:rsid w:val="43FB82E7"/>
    <w:rsid w:val="43FC624C"/>
    <w:rsid w:val="43FC8E2E"/>
    <w:rsid w:val="43FCC0CA"/>
    <w:rsid w:val="43FD1A45"/>
    <w:rsid w:val="43FD5645"/>
    <w:rsid w:val="43FD6D09"/>
    <w:rsid w:val="43FE5A7B"/>
    <w:rsid w:val="43FECC1C"/>
    <w:rsid w:val="43FF57C4"/>
    <w:rsid w:val="43FF79E2"/>
    <w:rsid w:val="43FFB354"/>
    <w:rsid w:val="4400392E"/>
    <w:rsid w:val="44023136"/>
    <w:rsid w:val="440320EC"/>
    <w:rsid w:val="44058829"/>
    <w:rsid w:val="4405B2EF"/>
    <w:rsid w:val="4406959A"/>
    <w:rsid w:val="4406DB6E"/>
    <w:rsid w:val="4407DB94"/>
    <w:rsid w:val="440861B6"/>
    <w:rsid w:val="440AE5EA"/>
    <w:rsid w:val="440B9D51"/>
    <w:rsid w:val="440C386E"/>
    <w:rsid w:val="440CC1C6"/>
    <w:rsid w:val="440DD55E"/>
    <w:rsid w:val="440E0DB1"/>
    <w:rsid w:val="440E27AF"/>
    <w:rsid w:val="440EDCE7"/>
    <w:rsid w:val="441031A0"/>
    <w:rsid w:val="44109F99"/>
    <w:rsid w:val="4410BCF8"/>
    <w:rsid w:val="44117463"/>
    <w:rsid w:val="4411A538"/>
    <w:rsid w:val="44124425"/>
    <w:rsid w:val="4412CE0B"/>
    <w:rsid w:val="4412FD36"/>
    <w:rsid w:val="441364F8"/>
    <w:rsid w:val="4413944C"/>
    <w:rsid w:val="4413FF43"/>
    <w:rsid w:val="44145B54"/>
    <w:rsid w:val="4415C057"/>
    <w:rsid w:val="4416A557"/>
    <w:rsid w:val="4416F040"/>
    <w:rsid w:val="4417ED92"/>
    <w:rsid w:val="441805F9"/>
    <w:rsid w:val="4418210B"/>
    <w:rsid w:val="441875D5"/>
    <w:rsid w:val="4418A611"/>
    <w:rsid w:val="4418B837"/>
    <w:rsid w:val="4418DDCB"/>
    <w:rsid w:val="44193794"/>
    <w:rsid w:val="44194DCB"/>
    <w:rsid w:val="441A0FA0"/>
    <w:rsid w:val="441A13EE"/>
    <w:rsid w:val="441A6357"/>
    <w:rsid w:val="441B08AA"/>
    <w:rsid w:val="441B37CC"/>
    <w:rsid w:val="441B5BA2"/>
    <w:rsid w:val="441B7012"/>
    <w:rsid w:val="441C86BF"/>
    <w:rsid w:val="441C8B83"/>
    <w:rsid w:val="441CC400"/>
    <w:rsid w:val="441D065C"/>
    <w:rsid w:val="441D4F67"/>
    <w:rsid w:val="441E9151"/>
    <w:rsid w:val="441F0165"/>
    <w:rsid w:val="441F3A4E"/>
    <w:rsid w:val="441FAC7F"/>
    <w:rsid w:val="44202BF0"/>
    <w:rsid w:val="44218705"/>
    <w:rsid w:val="4421EFEA"/>
    <w:rsid w:val="4421FBCF"/>
    <w:rsid w:val="44224F55"/>
    <w:rsid w:val="4422EC23"/>
    <w:rsid w:val="4424C564"/>
    <w:rsid w:val="4424FB02"/>
    <w:rsid w:val="4424FFB7"/>
    <w:rsid w:val="442632E0"/>
    <w:rsid w:val="4427CF83"/>
    <w:rsid w:val="44284375"/>
    <w:rsid w:val="4429528C"/>
    <w:rsid w:val="4429B4AA"/>
    <w:rsid w:val="442B2D9B"/>
    <w:rsid w:val="442BFABC"/>
    <w:rsid w:val="442D1481"/>
    <w:rsid w:val="442D9F30"/>
    <w:rsid w:val="442DA52C"/>
    <w:rsid w:val="442DFF16"/>
    <w:rsid w:val="442E18F9"/>
    <w:rsid w:val="442E3DE9"/>
    <w:rsid w:val="442F42E8"/>
    <w:rsid w:val="442FD898"/>
    <w:rsid w:val="4430611F"/>
    <w:rsid w:val="443066DE"/>
    <w:rsid w:val="4430A18B"/>
    <w:rsid w:val="44311859"/>
    <w:rsid w:val="443157EC"/>
    <w:rsid w:val="4431A22B"/>
    <w:rsid w:val="4432ACC1"/>
    <w:rsid w:val="4432F027"/>
    <w:rsid w:val="44333E42"/>
    <w:rsid w:val="4433B764"/>
    <w:rsid w:val="4433CD8F"/>
    <w:rsid w:val="4433F37B"/>
    <w:rsid w:val="44340B66"/>
    <w:rsid w:val="44344B92"/>
    <w:rsid w:val="44346FD8"/>
    <w:rsid w:val="443635EB"/>
    <w:rsid w:val="44367C36"/>
    <w:rsid w:val="44372DEF"/>
    <w:rsid w:val="44373686"/>
    <w:rsid w:val="4437C132"/>
    <w:rsid w:val="44380EFA"/>
    <w:rsid w:val="4438412C"/>
    <w:rsid w:val="4439318D"/>
    <w:rsid w:val="44397153"/>
    <w:rsid w:val="443A8F1C"/>
    <w:rsid w:val="443EE16A"/>
    <w:rsid w:val="443F2238"/>
    <w:rsid w:val="443F4855"/>
    <w:rsid w:val="443FAD81"/>
    <w:rsid w:val="444069A1"/>
    <w:rsid w:val="4441435C"/>
    <w:rsid w:val="44416CD0"/>
    <w:rsid w:val="44417AB8"/>
    <w:rsid w:val="4441E0A1"/>
    <w:rsid w:val="4443A2D5"/>
    <w:rsid w:val="444422A9"/>
    <w:rsid w:val="4444904B"/>
    <w:rsid w:val="4444CCA5"/>
    <w:rsid w:val="44457EE3"/>
    <w:rsid w:val="4446D1B0"/>
    <w:rsid w:val="44476423"/>
    <w:rsid w:val="44476C46"/>
    <w:rsid w:val="44479CBF"/>
    <w:rsid w:val="4448882F"/>
    <w:rsid w:val="44499FED"/>
    <w:rsid w:val="4449A61F"/>
    <w:rsid w:val="444A325D"/>
    <w:rsid w:val="444AE6E9"/>
    <w:rsid w:val="444C8DD5"/>
    <w:rsid w:val="444E6209"/>
    <w:rsid w:val="444EDF4B"/>
    <w:rsid w:val="444F151D"/>
    <w:rsid w:val="444F285D"/>
    <w:rsid w:val="444F2BE3"/>
    <w:rsid w:val="44501AE4"/>
    <w:rsid w:val="44512C4E"/>
    <w:rsid w:val="4452BA3D"/>
    <w:rsid w:val="4453CD26"/>
    <w:rsid w:val="44542F6F"/>
    <w:rsid w:val="44552DFB"/>
    <w:rsid w:val="445578F2"/>
    <w:rsid w:val="44558421"/>
    <w:rsid w:val="44558C59"/>
    <w:rsid w:val="4455B1D4"/>
    <w:rsid w:val="445686C4"/>
    <w:rsid w:val="4456B09E"/>
    <w:rsid w:val="4457838A"/>
    <w:rsid w:val="4457D9E1"/>
    <w:rsid w:val="44580D10"/>
    <w:rsid w:val="445871AD"/>
    <w:rsid w:val="4458F184"/>
    <w:rsid w:val="44590357"/>
    <w:rsid w:val="44590700"/>
    <w:rsid w:val="445AA29F"/>
    <w:rsid w:val="445AD986"/>
    <w:rsid w:val="445B5AA4"/>
    <w:rsid w:val="445BF9E4"/>
    <w:rsid w:val="445C57D4"/>
    <w:rsid w:val="445D2BD0"/>
    <w:rsid w:val="445D5DAF"/>
    <w:rsid w:val="445D849C"/>
    <w:rsid w:val="445DEA6A"/>
    <w:rsid w:val="445E2889"/>
    <w:rsid w:val="445EEDFE"/>
    <w:rsid w:val="44604E93"/>
    <w:rsid w:val="446068DC"/>
    <w:rsid w:val="44608DFB"/>
    <w:rsid w:val="44616007"/>
    <w:rsid w:val="4462038A"/>
    <w:rsid w:val="4462DEB8"/>
    <w:rsid w:val="44634700"/>
    <w:rsid w:val="44639B28"/>
    <w:rsid w:val="446462BC"/>
    <w:rsid w:val="4465DE47"/>
    <w:rsid w:val="4465E3BF"/>
    <w:rsid w:val="44664118"/>
    <w:rsid w:val="4466717D"/>
    <w:rsid w:val="44670DFF"/>
    <w:rsid w:val="44673C87"/>
    <w:rsid w:val="44682B5E"/>
    <w:rsid w:val="44683EBA"/>
    <w:rsid w:val="4468D9BB"/>
    <w:rsid w:val="446925F7"/>
    <w:rsid w:val="44694494"/>
    <w:rsid w:val="4469AC07"/>
    <w:rsid w:val="446A96C9"/>
    <w:rsid w:val="446B5F42"/>
    <w:rsid w:val="446C9A70"/>
    <w:rsid w:val="446D29AD"/>
    <w:rsid w:val="446DED29"/>
    <w:rsid w:val="446F4F9E"/>
    <w:rsid w:val="44703A7C"/>
    <w:rsid w:val="44706601"/>
    <w:rsid w:val="4471BBDA"/>
    <w:rsid w:val="44720F88"/>
    <w:rsid w:val="44729C02"/>
    <w:rsid w:val="4472B66C"/>
    <w:rsid w:val="4473150F"/>
    <w:rsid w:val="44750BF9"/>
    <w:rsid w:val="44751D98"/>
    <w:rsid w:val="447540E1"/>
    <w:rsid w:val="4475701A"/>
    <w:rsid w:val="44757D8E"/>
    <w:rsid w:val="4475F81E"/>
    <w:rsid w:val="44763186"/>
    <w:rsid w:val="4476C23B"/>
    <w:rsid w:val="44770C45"/>
    <w:rsid w:val="4477665D"/>
    <w:rsid w:val="44778874"/>
    <w:rsid w:val="447955C1"/>
    <w:rsid w:val="447B5E4D"/>
    <w:rsid w:val="447BAB8D"/>
    <w:rsid w:val="447BAC52"/>
    <w:rsid w:val="447C3E23"/>
    <w:rsid w:val="447C6477"/>
    <w:rsid w:val="447DEE32"/>
    <w:rsid w:val="447E38AA"/>
    <w:rsid w:val="447E5082"/>
    <w:rsid w:val="447E6C35"/>
    <w:rsid w:val="447EEAFF"/>
    <w:rsid w:val="447EEBD4"/>
    <w:rsid w:val="447F25FB"/>
    <w:rsid w:val="447FDF96"/>
    <w:rsid w:val="447FF01F"/>
    <w:rsid w:val="44800463"/>
    <w:rsid w:val="4480A8A3"/>
    <w:rsid w:val="448170AF"/>
    <w:rsid w:val="4482319D"/>
    <w:rsid w:val="44826E04"/>
    <w:rsid w:val="44836AF8"/>
    <w:rsid w:val="44838B9C"/>
    <w:rsid w:val="4483A19D"/>
    <w:rsid w:val="4483DBF5"/>
    <w:rsid w:val="44841822"/>
    <w:rsid w:val="448556DC"/>
    <w:rsid w:val="4485C48A"/>
    <w:rsid w:val="4485E25D"/>
    <w:rsid w:val="4485F902"/>
    <w:rsid w:val="44862018"/>
    <w:rsid w:val="4486A949"/>
    <w:rsid w:val="4486D94B"/>
    <w:rsid w:val="4486F5E4"/>
    <w:rsid w:val="44872D2A"/>
    <w:rsid w:val="4487CC7F"/>
    <w:rsid w:val="4487D314"/>
    <w:rsid w:val="4488D6D1"/>
    <w:rsid w:val="4489C4F3"/>
    <w:rsid w:val="448AC2DB"/>
    <w:rsid w:val="448AC76A"/>
    <w:rsid w:val="448AC9AF"/>
    <w:rsid w:val="448C1258"/>
    <w:rsid w:val="448CD58A"/>
    <w:rsid w:val="448DFCFB"/>
    <w:rsid w:val="448E2334"/>
    <w:rsid w:val="448E8FFA"/>
    <w:rsid w:val="448E960E"/>
    <w:rsid w:val="448F1F73"/>
    <w:rsid w:val="448FA9F7"/>
    <w:rsid w:val="448FD845"/>
    <w:rsid w:val="44907646"/>
    <w:rsid w:val="4490BF64"/>
    <w:rsid w:val="4490D779"/>
    <w:rsid w:val="4491BFFB"/>
    <w:rsid w:val="449357B6"/>
    <w:rsid w:val="44935CAF"/>
    <w:rsid w:val="44936990"/>
    <w:rsid w:val="44946138"/>
    <w:rsid w:val="4494B40E"/>
    <w:rsid w:val="4494D288"/>
    <w:rsid w:val="4494EF5F"/>
    <w:rsid w:val="44959F92"/>
    <w:rsid w:val="44961D47"/>
    <w:rsid w:val="4496373F"/>
    <w:rsid w:val="4496F215"/>
    <w:rsid w:val="44970C27"/>
    <w:rsid w:val="44974B26"/>
    <w:rsid w:val="4497E8A3"/>
    <w:rsid w:val="4498853F"/>
    <w:rsid w:val="44998A82"/>
    <w:rsid w:val="4499EA82"/>
    <w:rsid w:val="449B8A5D"/>
    <w:rsid w:val="449BD6C7"/>
    <w:rsid w:val="449C4803"/>
    <w:rsid w:val="449C942A"/>
    <w:rsid w:val="449D8841"/>
    <w:rsid w:val="449DE110"/>
    <w:rsid w:val="449DE47D"/>
    <w:rsid w:val="449E2B63"/>
    <w:rsid w:val="449E74A3"/>
    <w:rsid w:val="449EE859"/>
    <w:rsid w:val="449F7BB4"/>
    <w:rsid w:val="449F8CFB"/>
    <w:rsid w:val="449F9A2D"/>
    <w:rsid w:val="449FF143"/>
    <w:rsid w:val="44A01762"/>
    <w:rsid w:val="44A04A8E"/>
    <w:rsid w:val="44A0554A"/>
    <w:rsid w:val="44A0C7FC"/>
    <w:rsid w:val="44A0C82D"/>
    <w:rsid w:val="44A0D6AE"/>
    <w:rsid w:val="44A1ABA9"/>
    <w:rsid w:val="44A1CB8D"/>
    <w:rsid w:val="44A1E1DA"/>
    <w:rsid w:val="44A25F0E"/>
    <w:rsid w:val="44A2AD5E"/>
    <w:rsid w:val="44A2CC81"/>
    <w:rsid w:val="44A3020A"/>
    <w:rsid w:val="44A435FB"/>
    <w:rsid w:val="44A48A0B"/>
    <w:rsid w:val="44A49BB2"/>
    <w:rsid w:val="44A51D7B"/>
    <w:rsid w:val="44A53B58"/>
    <w:rsid w:val="44A59630"/>
    <w:rsid w:val="44A672E9"/>
    <w:rsid w:val="44A699BF"/>
    <w:rsid w:val="44A72232"/>
    <w:rsid w:val="44A7449C"/>
    <w:rsid w:val="44A7ED37"/>
    <w:rsid w:val="44A7FCBF"/>
    <w:rsid w:val="44A81356"/>
    <w:rsid w:val="44A84DD0"/>
    <w:rsid w:val="44A8E98A"/>
    <w:rsid w:val="44A97B8C"/>
    <w:rsid w:val="44A98451"/>
    <w:rsid w:val="44A9BAA2"/>
    <w:rsid w:val="44A9C164"/>
    <w:rsid w:val="44A9D896"/>
    <w:rsid w:val="44AA8202"/>
    <w:rsid w:val="44AB1D3A"/>
    <w:rsid w:val="44AB5FD4"/>
    <w:rsid w:val="44AB99F5"/>
    <w:rsid w:val="44ABE677"/>
    <w:rsid w:val="44AC6F38"/>
    <w:rsid w:val="44ADAF41"/>
    <w:rsid w:val="44ADC708"/>
    <w:rsid w:val="44AEF116"/>
    <w:rsid w:val="44AF62A9"/>
    <w:rsid w:val="44B04CB8"/>
    <w:rsid w:val="44B070A5"/>
    <w:rsid w:val="44B14B6F"/>
    <w:rsid w:val="44B16E7B"/>
    <w:rsid w:val="44B1E344"/>
    <w:rsid w:val="44B21363"/>
    <w:rsid w:val="44B31289"/>
    <w:rsid w:val="44B37831"/>
    <w:rsid w:val="44B3AD98"/>
    <w:rsid w:val="44B47E37"/>
    <w:rsid w:val="44B5A484"/>
    <w:rsid w:val="44B65060"/>
    <w:rsid w:val="44B720FB"/>
    <w:rsid w:val="44B84A32"/>
    <w:rsid w:val="44B865A2"/>
    <w:rsid w:val="44B8B862"/>
    <w:rsid w:val="44B9299A"/>
    <w:rsid w:val="44BABD8B"/>
    <w:rsid w:val="44BB4526"/>
    <w:rsid w:val="44BBFDED"/>
    <w:rsid w:val="44BC0EEB"/>
    <w:rsid w:val="44BC1B6E"/>
    <w:rsid w:val="44BC33B5"/>
    <w:rsid w:val="44BC7647"/>
    <w:rsid w:val="44BCD692"/>
    <w:rsid w:val="44BE36D9"/>
    <w:rsid w:val="44BE4C17"/>
    <w:rsid w:val="44BE5F1A"/>
    <w:rsid w:val="44BE9187"/>
    <w:rsid w:val="44BEAA99"/>
    <w:rsid w:val="44BF1308"/>
    <w:rsid w:val="44BF7A07"/>
    <w:rsid w:val="44BFB123"/>
    <w:rsid w:val="44C0680B"/>
    <w:rsid w:val="44C099BD"/>
    <w:rsid w:val="44C185AB"/>
    <w:rsid w:val="44C19C56"/>
    <w:rsid w:val="44C19F2F"/>
    <w:rsid w:val="44C1AB32"/>
    <w:rsid w:val="44C2B728"/>
    <w:rsid w:val="44C31FA4"/>
    <w:rsid w:val="44C3590D"/>
    <w:rsid w:val="44C461AC"/>
    <w:rsid w:val="44C475B6"/>
    <w:rsid w:val="44C5F99C"/>
    <w:rsid w:val="44C64D67"/>
    <w:rsid w:val="44C6FA9E"/>
    <w:rsid w:val="44C74B0C"/>
    <w:rsid w:val="44C93A30"/>
    <w:rsid w:val="44C99C94"/>
    <w:rsid w:val="44CA4D8C"/>
    <w:rsid w:val="44CA9B27"/>
    <w:rsid w:val="44CADD59"/>
    <w:rsid w:val="44CB4951"/>
    <w:rsid w:val="44CB5D4F"/>
    <w:rsid w:val="44CB6512"/>
    <w:rsid w:val="44CC3A8A"/>
    <w:rsid w:val="44CCAD49"/>
    <w:rsid w:val="44CCE9B6"/>
    <w:rsid w:val="44CD5A4E"/>
    <w:rsid w:val="44CDEDAF"/>
    <w:rsid w:val="44CE0E61"/>
    <w:rsid w:val="44CEADF9"/>
    <w:rsid w:val="44CEC46F"/>
    <w:rsid w:val="44CF08B7"/>
    <w:rsid w:val="44CF46E9"/>
    <w:rsid w:val="44CFE999"/>
    <w:rsid w:val="44D042DD"/>
    <w:rsid w:val="44D0531A"/>
    <w:rsid w:val="44D07A9D"/>
    <w:rsid w:val="44D18D77"/>
    <w:rsid w:val="44D26E4E"/>
    <w:rsid w:val="44D37EB9"/>
    <w:rsid w:val="44D4E1A7"/>
    <w:rsid w:val="44D5521B"/>
    <w:rsid w:val="44D55EC0"/>
    <w:rsid w:val="44D5BCE1"/>
    <w:rsid w:val="44D6EF91"/>
    <w:rsid w:val="44D6F5CA"/>
    <w:rsid w:val="44D73572"/>
    <w:rsid w:val="44D779CC"/>
    <w:rsid w:val="44D789CF"/>
    <w:rsid w:val="44D789F7"/>
    <w:rsid w:val="44D814C1"/>
    <w:rsid w:val="44D8B8AD"/>
    <w:rsid w:val="44D8F590"/>
    <w:rsid w:val="44D9448B"/>
    <w:rsid w:val="44D997A0"/>
    <w:rsid w:val="44DA2A66"/>
    <w:rsid w:val="44DA5EBD"/>
    <w:rsid w:val="44DAED9F"/>
    <w:rsid w:val="44DB4081"/>
    <w:rsid w:val="44DBF348"/>
    <w:rsid w:val="44DC11F3"/>
    <w:rsid w:val="44DCB370"/>
    <w:rsid w:val="44DCC604"/>
    <w:rsid w:val="44DD0FCC"/>
    <w:rsid w:val="44DD5C39"/>
    <w:rsid w:val="44DDA367"/>
    <w:rsid w:val="44DDAA8F"/>
    <w:rsid w:val="44DDF393"/>
    <w:rsid w:val="44DF4D76"/>
    <w:rsid w:val="44DF5BDF"/>
    <w:rsid w:val="44DF7F61"/>
    <w:rsid w:val="44DFAF00"/>
    <w:rsid w:val="44E039A6"/>
    <w:rsid w:val="44E04155"/>
    <w:rsid w:val="44E0D23F"/>
    <w:rsid w:val="44E0DEEE"/>
    <w:rsid w:val="44E34616"/>
    <w:rsid w:val="44E39034"/>
    <w:rsid w:val="44E39281"/>
    <w:rsid w:val="44E46F79"/>
    <w:rsid w:val="44E4AE61"/>
    <w:rsid w:val="44E50748"/>
    <w:rsid w:val="44E5CD48"/>
    <w:rsid w:val="44E5EC0F"/>
    <w:rsid w:val="44E5EE0F"/>
    <w:rsid w:val="44E6D62B"/>
    <w:rsid w:val="44E91C28"/>
    <w:rsid w:val="44E9A99F"/>
    <w:rsid w:val="44EA6344"/>
    <w:rsid w:val="44EB0173"/>
    <w:rsid w:val="44EB46A2"/>
    <w:rsid w:val="44EB9DA4"/>
    <w:rsid w:val="44ECD023"/>
    <w:rsid w:val="44EDAA56"/>
    <w:rsid w:val="44EDD061"/>
    <w:rsid w:val="44EDEB1F"/>
    <w:rsid w:val="44EE7437"/>
    <w:rsid w:val="44EF4F65"/>
    <w:rsid w:val="44F01ECF"/>
    <w:rsid w:val="44F029B7"/>
    <w:rsid w:val="44F13470"/>
    <w:rsid w:val="44F21690"/>
    <w:rsid w:val="44F24FA5"/>
    <w:rsid w:val="44F29E7D"/>
    <w:rsid w:val="44F3D949"/>
    <w:rsid w:val="44F468E4"/>
    <w:rsid w:val="44F46F4F"/>
    <w:rsid w:val="44F4F048"/>
    <w:rsid w:val="44F5F587"/>
    <w:rsid w:val="44F662FB"/>
    <w:rsid w:val="44F67DF6"/>
    <w:rsid w:val="44F6A8B6"/>
    <w:rsid w:val="44F7734F"/>
    <w:rsid w:val="44F791F7"/>
    <w:rsid w:val="44F7E807"/>
    <w:rsid w:val="44F81FD4"/>
    <w:rsid w:val="44F82AB3"/>
    <w:rsid w:val="44F86257"/>
    <w:rsid w:val="44F9A45B"/>
    <w:rsid w:val="44FA084D"/>
    <w:rsid w:val="44FA4B34"/>
    <w:rsid w:val="44FB2845"/>
    <w:rsid w:val="44FC125D"/>
    <w:rsid w:val="44FE2645"/>
    <w:rsid w:val="44FE2EBF"/>
    <w:rsid w:val="44FFA724"/>
    <w:rsid w:val="4500A624"/>
    <w:rsid w:val="4500B765"/>
    <w:rsid w:val="4500D052"/>
    <w:rsid w:val="450115B2"/>
    <w:rsid w:val="4501C193"/>
    <w:rsid w:val="4501F608"/>
    <w:rsid w:val="45022CA5"/>
    <w:rsid w:val="4502AA04"/>
    <w:rsid w:val="4502DE30"/>
    <w:rsid w:val="45032635"/>
    <w:rsid w:val="450428D0"/>
    <w:rsid w:val="450474CA"/>
    <w:rsid w:val="4504C776"/>
    <w:rsid w:val="4505F18A"/>
    <w:rsid w:val="4505F9D8"/>
    <w:rsid w:val="4506D8E4"/>
    <w:rsid w:val="4506F2A3"/>
    <w:rsid w:val="4507018D"/>
    <w:rsid w:val="4507AD69"/>
    <w:rsid w:val="4508087F"/>
    <w:rsid w:val="4508A80E"/>
    <w:rsid w:val="45092B8A"/>
    <w:rsid w:val="45092F0A"/>
    <w:rsid w:val="45095179"/>
    <w:rsid w:val="450A0C88"/>
    <w:rsid w:val="450A4DB1"/>
    <w:rsid w:val="450AA98C"/>
    <w:rsid w:val="450AB8E7"/>
    <w:rsid w:val="450C07A4"/>
    <w:rsid w:val="450C0E20"/>
    <w:rsid w:val="450C201E"/>
    <w:rsid w:val="450CA6E4"/>
    <w:rsid w:val="450D10A5"/>
    <w:rsid w:val="450D2B50"/>
    <w:rsid w:val="450D3295"/>
    <w:rsid w:val="450D409E"/>
    <w:rsid w:val="450D42F2"/>
    <w:rsid w:val="450D679E"/>
    <w:rsid w:val="450D8139"/>
    <w:rsid w:val="450E2C74"/>
    <w:rsid w:val="451027A6"/>
    <w:rsid w:val="45112E1F"/>
    <w:rsid w:val="4511B818"/>
    <w:rsid w:val="45137947"/>
    <w:rsid w:val="45142931"/>
    <w:rsid w:val="4514E572"/>
    <w:rsid w:val="45159DA1"/>
    <w:rsid w:val="4515F1C5"/>
    <w:rsid w:val="45160776"/>
    <w:rsid w:val="4516302D"/>
    <w:rsid w:val="45165D6F"/>
    <w:rsid w:val="45179477"/>
    <w:rsid w:val="45183FDA"/>
    <w:rsid w:val="4518496B"/>
    <w:rsid w:val="45190576"/>
    <w:rsid w:val="4519A577"/>
    <w:rsid w:val="4519A831"/>
    <w:rsid w:val="451A355B"/>
    <w:rsid w:val="451ACAF8"/>
    <w:rsid w:val="451B27FE"/>
    <w:rsid w:val="451BCE77"/>
    <w:rsid w:val="451C1F76"/>
    <w:rsid w:val="451CC455"/>
    <w:rsid w:val="451D105F"/>
    <w:rsid w:val="451EC5A8"/>
    <w:rsid w:val="452034E4"/>
    <w:rsid w:val="4520806A"/>
    <w:rsid w:val="4520AE2E"/>
    <w:rsid w:val="4520EC41"/>
    <w:rsid w:val="4520EC6E"/>
    <w:rsid w:val="4521182E"/>
    <w:rsid w:val="4521B9DD"/>
    <w:rsid w:val="4522D6E1"/>
    <w:rsid w:val="4523C61D"/>
    <w:rsid w:val="45255C66"/>
    <w:rsid w:val="4525B589"/>
    <w:rsid w:val="4526D1B4"/>
    <w:rsid w:val="4527E0FB"/>
    <w:rsid w:val="45297717"/>
    <w:rsid w:val="45299DEF"/>
    <w:rsid w:val="4529DD31"/>
    <w:rsid w:val="4529F71B"/>
    <w:rsid w:val="452A324C"/>
    <w:rsid w:val="452B1DBA"/>
    <w:rsid w:val="452C6503"/>
    <w:rsid w:val="452C81CD"/>
    <w:rsid w:val="452DBB42"/>
    <w:rsid w:val="452ECB2F"/>
    <w:rsid w:val="452F1377"/>
    <w:rsid w:val="452F5298"/>
    <w:rsid w:val="452F5DF0"/>
    <w:rsid w:val="452FEFCD"/>
    <w:rsid w:val="452FF8F6"/>
    <w:rsid w:val="45301216"/>
    <w:rsid w:val="45302DCE"/>
    <w:rsid w:val="4530B1DD"/>
    <w:rsid w:val="453413A8"/>
    <w:rsid w:val="453542B1"/>
    <w:rsid w:val="45355CC6"/>
    <w:rsid w:val="45363C6F"/>
    <w:rsid w:val="453709ED"/>
    <w:rsid w:val="4537DE11"/>
    <w:rsid w:val="453858D1"/>
    <w:rsid w:val="45386CC0"/>
    <w:rsid w:val="45389008"/>
    <w:rsid w:val="4538A945"/>
    <w:rsid w:val="4539D351"/>
    <w:rsid w:val="453A6648"/>
    <w:rsid w:val="453A9D6E"/>
    <w:rsid w:val="453BF005"/>
    <w:rsid w:val="453C75AD"/>
    <w:rsid w:val="453C96E2"/>
    <w:rsid w:val="453D4657"/>
    <w:rsid w:val="453D912A"/>
    <w:rsid w:val="453E1DF7"/>
    <w:rsid w:val="453EC008"/>
    <w:rsid w:val="453EFC20"/>
    <w:rsid w:val="453F7192"/>
    <w:rsid w:val="453F86B8"/>
    <w:rsid w:val="453FCAE0"/>
    <w:rsid w:val="454032D9"/>
    <w:rsid w:val="45404B52"/>
    <w:rsid w:val="454051E5"/>
    <w:rsid w:val="45405403"/>
    <w:rsid w:val="4540CBCD"/>
    <w:rsid w:val="45418F62"/>
    <w:rsid w:val="4541A3D3"/>
    <w:rsid w:val="45427BBD"/>
    <w:rsid w:val="45436CC4"/>
    <w:rsid w:val="45441357"/>
    <w:rsid w:val="45446611"/>
    <w:rsid w:val="454527B2"/>
    <w:rsid w:val="454597BF"/>
    <w:rsid w:val="4545A00C"/>
    <w:rsid w:val="4546D276"/>
    <w:rsid w:val="4547082D"/>
    <w:rsid w:val="4547B513"/>
    <w:rsid w:val="4547D2F9"/>
    <w:rsid w:val="45498EF2"/>
    <w:rsid w:val="4549E596"/>
    <w:rsid w:val="454AC262"/>
    <w:rsid w:val="454B933F"/>
    <w:rsid w:val="454BCA58"/>
    <w:rsid w:val="454C2358"/>
    <w:rsid w:val="454C3E5B"/>
    <w:rsid w:val="454C5D43"/>
    <w:rsid w:val="454C69FB"/>
    <w:rsid w:val="454D2D3B"/>
    <w:rsid w:val="454D95C7"/>
    <w:rsid w:val="454E8A35"/>
    <w:rsid w:val="454EAD6D"/>
    <w:rsid w:val="454EC0BA"/>
    <w:rsid w:val="454EFDBF"/>
    <w:rsid w:val="454F550D"/>
    <w:rsid w:val="4550043E"/>
    <w:rsid w:val="45505B7F"/>
    <w:rsid w:val="4550A0BF"/>
    <w:rsid w:val="4550E69E"/>
    <w:rsid w:val="45513ACF"/>
    <w:rsid w:val="4551E898"/>
    <w:rsid w:val="4552CD0A"/>
    <w:rsid w:val="4553ADEE"/>
    <w:rsid w:val="4553D2E8"/>
    <w:rsid w:val="45556F80"/>
    <w:rsid w:val="45558CAA"/>
    <w:rsid w:val="45559273"/>
    <w:rsid w:val="45561D01"/>
    <w:rsid w:val="45563A9F"/>
    <w:rsid w:val="4556AE37"/>
    <w:rsid w:val="4556BE32"/>
    <w:rsid w:val="45570240"/>
    <w:rsid w:val="45570D07"/>
    <w:rsid w:val="45572F29"/>
    <w:rsid w:val="45585159"/>
    <w:rsid w:val="4558EE37"/>
    <w:rsid w:val="455942F7"/>
    <w:rsid w:val="4559D828"/>
    <w:rsid w:val="455A4E45"/>
    <w:rsid w:val="455CDA81"/>
    <w:rsid w:val="455D6B19"/>
    <w:rsid w:val="455E30C2"/>
    <w:rsid w:val="455E63E6"/>
    <w:rsid w:val="455E8EED"/>
    <w:rsid w:val="455EBA82"/>
    <w:rsid w:val="455F3C7E"/>
    <w:rsid w:val="45627CEB"/>
    <w:rsid w:val="45628E8C"/>
    <w:rsid w:val="4562E2D7"/>
    <w:rsid w:val="4563B6DF"/>
    <w:rsid w:val="4564A4CF"/>
    <w:rsid w:val="4564D45C"/>
    <w:rsid w:val="45650675"/>
    <w:rsid w:val="45657DB1"/>
    <w:rsid w:val="4565A498"/>
    <w:rsid w:val="4566102A"/>
    <w:rsid w:val="45696F0F"/>
    <w:rsid w:val="4569F2AD"/>
    <w:rsid w:val="456A5728"/>
    <w:rsid w:val="456B6CBB"/>
    <w:rsid w:val="456BE3E4"/>
    <w:rsid w:val="456CEE87"/>
    <w:rsid w:val="456DFED4"/>
    <w:rsid w:val="456E00FE"/>
    <w:rsid w:val="456E1960"/>
    <w:rsid w:val="456E1E78"/>
    <w:rsid w:val="456F0A5C"/>
    <w:rsid w:val="456F49B1"/>
    <w:rsid w:val="456F50E7"/>
    <w:rsid w:val="456F9DBF"/>
    <w:rsid w:val="456FD577"/>
    <w:rsid w:val="457041AD"/>
    <w:rsid w:val="45707EC6"/>
    <w:rsid w:val="45708BF5"/>
    <w:rsid w:val="4570CD65"/>
    <w:rsid w:val="457147BE"/>
    <w:rsid w:val="4571B0E5"/>
    <w:rsid w:val="457234A3"/>
    <w:rsid w:val="4572B638"/>
    <w:rsid w:val="45730CE5"/>
    <w:rsid w:val="45734C25"/>
    <w:rsid w:val="4573E1AA"/>
    <w:rsid w:val="4574E91D"/>
    <w:rsid w:val="4574FC31"/>
    <w:rsid w:val="4575C0B0"/>
    <w:rsid w:val="45760384"/>
    <w:rsid w:val="45764B64"/>
    <w:rsid w:val="457894CC"/>
    <w:rsid w:val="4578D77F"/>
    <w:rsid w:val="457A1E7B"/>
    <w:rsid w:val="457AC48B"/>
    <w:rsid w:val="457B819D"/>
    <w:rsid w:val="457BEAB3"/>
    <w:rsid w:val="457C4E82"/>
    <w:rsid w:val="457CA889"/>
    <w:rsid w:val="457CE134"/>
    <w:rsid w:val="457D03C2"/>
    <w:rsid w:val="457D1258"/>
    <w:rsid w:val="457D1508"/>
    <w:rsid w:val="457D3F90"/>
    <w:rsid w:val="457D4925"/>
    <w:rsid w:val="457D7B53"/>
    <w:rsid w:val="457D9023"/>
    <w:rsid w:val="457E6C93"/>
    <w:rsid w:val="457EF4F6"/>
    <w:rsid w:val="457EF926"/>
    <w:rsid w:val="457F3FB9"/>
    <w:rsid w:val="457FA0CC"/>
    <w:rsid w:val="457FB655"/>
    <w:rsid w:val="457FC030"/>
    <w:rsid w:val="458143CC"/>
    <w:rsid w:val="4582063B"/>
    <w:rsid w:val="458281D7"/>
    <w:rsid w:val="45829116"/>
    <w:rsid w:val="45829D04"/>
    <w:rsid w:val="4582C7F8"/>
    <w:rsid w:val="4582E3C0"/>
    <w:rsid w:val="45839573"/>
    <w:rsid w:val="4583D862"/>
    <w:rsid w:val="4584217D"/>
    <w:rsid w:val="4584C282"/>
    <w:rsid w:val="4584C697"/>
    <w:rsid w:val="4586097C"/>
    <w:rsid w:val="45863701"/>
    <w:rsid w:val="45863D9C"/>
    <w:rsid w:val="4586B8B4"/>
    <w:rsid w:val="4587A3E5"/>
    <w:rsid w:val="4587D00B"/>
    <w:rsid w:val="45883217"/>
    <w:rsid w:val="4589EBD0"/>
    <w:rsid w:val="458A0D10"/>
    <w:rsid w:val="458A932C"/>
    <w:rsid w:val="458AB330"/>
    <w:rsid w:val="458B309D"/>
    <w:rsid w:val="458B594A"/>
    <w:rsid w:val="458BB578"/>
    <w:rsid w:val="458BFB4D"/>
    <w:rsid w:val="458C0A56"/>
    <w:rsid w:val="458D04E5"/>
    <w:rsid w:val="458D32E0"/>
    <w:rsid w:val="458F457D"/>
    <w:rsid w:val="458F4B25"/>
    <w:rsid w:val="458F8B94"/>
    <w:rsid w:val="458F99D4"/>
    <w:rsid w:val="459097B6"/>
    <w:rsid w:val="4590D09B"/>
    <w:rsid w:val="459128AF"/>
    <w:rsid w:val="4591E7D2"/>
    <w:rsid w:val="459237A3"/>
    <w:rsid w:val="45926FDB"/>
    <w:rsid w:val="45928B4F"/>
    <w:rsid w:val="45929691"/>
    <w:rsid w:val="45935D17"/>
    <w:rsid w:val="4593E5D1"/>
    <w:rsid w:val="4593FBD7"/>
    <w:rsid w:val="45940705"/>
    <w:rsid w:val="4594EA68"/>
    <w:rsid w:val="45953865"/>
    <w:rsid w:val="459562DC"/>
    <w:rsid w:val="4595E8A0"/>
    <w:rsid w:val="45962504"/>
    <w:rsid w:val="459636DE"/>
    <w:rsid w:val="45964618"/>
    <w:rsid w:val="45967573"/>
    <w:rsid w:val="45974F22"/>
    <w:rsid w:val="45978BE5"/>
    <w:rsid w:val="45978E2C"/>
    <w:rsid w:val="459856F7"/>
    <w:rsid w:val="4598AAEE"/>
    <w:rsid w:val="4598D3D2"/>
    <w:rsid w:val="4598E9B2"/>
    <w:rsid w:val="45998760"/>
    <w:rsid w:val="4599BFB4"/>
    <w:rsid w:val="459A0AF0"/>
    <w:rsid w:val="459AC0A1"/>
    <w:rsid w:val="459B321A"/>
    <w:rsid w:val="459C3269"/>
    <w:rsid w:val="459CD6D3"/>
    <w:rsid w:val="459D40FC"/>
    <w:rsid w:val="459D5529"/>
    <w:rsid w:val="459D6201"/>
    <w:rsid w:val="459DBD6B"/>
    <w:rsid w:val="459E0709"/>
    <w:rsid w:val="459E71D2"/>
    <w:rsid w:val="459F27CE"/>
    <w:rsid w:val="459F4E39"/>
    <w:rsid w:val="45A01617"/>
    <w:rsid w:val="45A08ED6"/>
    <w:rsid w:val="45A0C228"/>
    <w:rsid w:val="45A0D2AF"/>
    <w:rsid w:val="45A1451A"/>
    <w:rsid w:val="45A160D8"/>
    <w:rsid w:val="45A1A293"/>
    <w:rsid w:val="45A1D8C8"/>
    <w:rsid w:val="45A24306"/>
    <w:rsid w:val="45A3F886"/>
    <w:rsid w:val="45A6AFC6"/>
    <w:rsid w:val="45A6F71C"/>
    <w:rsid w:val="45A6F8C8"/>
    <w:rsid w:val="45A76D28"/>
    <w:rsid w:val="45A7A192"/>
    <w:rsid w:val="45A7D6FD"/>
    <w:rsid w:val="45A8CD9E"/>
    <w:rsid w:val="45A9F1D3"/>
    <w:rsid w:val="45AA8FD4"/>
    <w:rsid w:val="45AB5CAF"/>
    <w:rsid w:val="45AB6F87"/>
    <w:rsid w:val="45ABEAAB"/>
    <w:rsid w:val="45ABFC38"/>
    <w:rsid w:val="45ACEC02"/>
    <w:rsid w:val="45AD65BD"/>
    <w:rsid w:val="45AE84B9"/>
    <w:rsid w:val="45AEE61A"/>
    <w:rsid w:val="45AF0E1C"/>
    <w:rsid w:val="45AF98D6"/>
    <w:rsid w:val="45B0B496"/>
    <w:rsid w:val="45B0BF35"/>
    <w:rsid w:val="45B1ACC8"/>
    <w:rsid w:val="45B1B65D"/>
    <w:rsid w:val="45B22AF4"/>
    <w:rsid w:val="45B36230"/>
    <w:rsid w:val="45B4DBEE"/>
    <w:rsid w:val="45B558D1"/>
    <w:rsid w:val="45B565E2"/>
    <w:rsid w:val="45B5A6EA"/>
    <w:rsid w:val="45B5C7BB"/>
    <w:rsid w:val="45B61509"/>
    <w:rsid w:val="45B73481"/>
    <w:rsid w:val="45B739C0"/>
    <w:rsid w:val="45B781E8"/>
    <w:rsid w:val="45B87AD3"/>
    <w:rsid w:val="45B8BAA2"/>
    <w:rsid w:val="45B92CBE"/>
    <w:rsid w:val="45B9DA60"/>
    <w:rsid w:val="45BA5B1A"/>
    <w:rsid w:val="45BB98D6"/>
    <w:rsid w:val="45BBF818"/>
    <w:rsid w:val="45BC6D9A"/>
    <w:rsid w:val="45BDB1DC"/>
    <w:rsid w:val="45BDD999"/>
    <w:rsid w:val="45BDDB51"/>
    <w:rsid w:val="45BE66CC"/>
    <w:rsid w:val="45BE7A4C"/>
    <w:rsid w:val="45BEDBDB"/>
    <w:rsid w:val="45BF7861"/>
    <w:rsid w:val="45BF872E"/>
    <w:rsid w:val="45BFE12F"/>
    <w:rsid w:val="45C11B14"/>
    <w:rsid w:val="45C151CC"/>
    <w:rsid w:val="45C1658C"/>
    <w:rsid w:val="45C1BAD0"/>
    <w:rsid w:val="45C22411"/>
    <w:rsid w:val="45C38044"/>
    <w:rsid w:val="45C3C11A"/>
    <w:rsid w:val="45C4B34C"/>
    <w:rsid w:val="45C50B60"/>
    <w:rsid w:val="45C59E27"/>
    <w:rsid w:val="45C5E0F0"/>
    <w:rsid w:val="45C5EBF2"/>
    <w:rsid w:val="45C60934"/>
    <w:rsid w:val="45C6128E"/>
    <w:rsid w:val="45C61306"/>
    <w:rsid w:val="45C758F8"/>
    <w:rsid w:val="45C7EB74"/>
    <w:rsid w:val="45C9A835"/>
    <w:rsid w:val="45C9C7B1"/>
    <w:rsid w:val="45CAA220"/>
    <w:rsid w:val="45CB307C"/>
    <w:rsid w:val="45CB4CA8"/>
    <w:rsid w:val="45CBCC24"/>
    <w:rsid w:val="45CCFDD9"/>
    <w:rsid w:val="45CE1AE9"/>
    <w:rsid w:val="45CED04E"/>
    <w:rsid w:val="45CEE5C8"/>
    <w:rsid w:val="45CF63F8"/>
    <w:rsid w:val="45CFD37D"/>
    <w:rsid w:val="45CFFFC9"/>
    <w:rsid w:val="45D01B5A"/>
    <w:rsid w:val="45D07259"/>
    <w:rsid w:val="45D0B5D7"/>
    <w:rsid w:val="45D14D07"/>
    <w:rsid w:val="45D15850"/>
    <w:rsid w:val="45D28D3C"/>
    <w:rsid w:val="45D2CBF6"/>
    <w:rsid w:val="45D2EFF8"/>
    <w:rsid w:val="45D3ED8E"/>
    <w:rsid w:val="45D44A6F"/>
    <w:rsid w:val="45D4B2FF"/>
    <w:rsid w:val="45D4EC74"/>
    <w:rsid w:val="45D699DA"/>
    <w:rsid w:val="45D88B52"/>
    <w:rsid w:val="45D8AD58"/>
    <w:rsid w:val="45D9834E"/>
    <w:rsid w:val="45DA324C"/>
    <w:rsid w:val="45DA5424"/>
    <w:rsid w:val="45DA9C4E"/>
    <w:rsid w:val="45DAAB6C"/>
    <w:rsid w:val="45DAB8AB"/>
    <w:rsid w:val="45DB3EE0"/>
    <w:rsid w:val="45DB657C"/>
    <w:rsid w:val="45DC4405"/>
    <w:rsid w:val="45DC9429"/>
    <w:rsid w:val="45DCE770"/>
    <w:rsid w:val="45DD2087"/>
    <w:rsid w:val="45DD26C9"/>
    <w:rsid w:val="45DEC1D9"/>
    <w:rsid w:val="45DF20AA"/>
    <w:rsid w:val="45DFADE3"/>
    <w:rsid w:val="45DFF599"/>
    <w:rsid w:val="45E0543F"/>
    <w:rsid w:val="45E06820"/>
    <w:rsid w:val="45E0F389"/>
    <w:rsid w:val="45E1478A"/>
    <w:rsid w:val="45E2B876"/>
    <w:rsid w:val="45E3DE16"/>
    <w:rsid w:val="45E45289"/>
    <w:rsid w:val="45E5A6CB"/>
    <w:rsid w:val="45E5C6A4"/>
    <w:rsid w:val="45E68628"/>
    <w:rsid w:val="45E6AA7E"/>
    <w:rsid w:val="45E71A74"/>
    <w:rsid w:val="45E7820F"/>
    <w:rsid w:val="45E7CC81"/>
    <w:rsid w:val="45E81B17"/>
    <w:rsid w:val="45E844DD"/>
    <w:rsid w:val="45E8D9BA"/>
    <w:rsid w:val="45E952DD"/>
    <w:rsid w:val="45EBB2FC"/>
    <w:rsid w:val="45EBBFB5"/>
    <w:rsid w:val="45ECEDCE"/>
    <w:rsid w:val="45ECF1FE"/>
    <w:rsid w:val="45ED22B4"/>
    <w:rsid w:val="45EED9D2"/>
    <w:rsid w:val="45EF09D1"/>
    <w:rsid w:val="45F0E853"/>
    <w:rsid w:val="45F1321F"/>
    <w:rsid w:val="45F13828"/>
    <w:rsid w:val="45F1DF8C"/>
    <w:rsid w:val="45F2AD45"/>
    <w:rsid w:val="45F35C9E"/>
    <w:rsid w:val="45F3AA7C"/>
    <w:rsid w:val="45F3EB59"/>
    <w:rsid w:val="45F3EB86"/>
    <w:rsid w:val="45F5FFF6"/>
    <w:rsid w:val="45F64D51"/>
    <w:rsid w:val="45F70FED"/>
    <w:rsid w:val="45F88975"/>
    <w:rsid w:val="45F89233"/>
    <w:rsid w:val="45F897E8"/>
    <w:rsid w:val="45F89BC9"/>
    <w:rsid w:val="45F91C92"/>
    <w:rsid w:val="45F932F4"/>
    <w:rsid w:val="45F96ED8"/>
    <w:rsid w:val="45F9F6D5"/>
    <w:rsid w:val="45FA0D4E"/>
    <w:rsid w:val="45FA3827"/>
    <w:rsid w:val="45FA48DB"/>
    <w:rsid w:val="45FA93C6"/>
    <w:rsid w:val="45FAA08C"/>
    <w:rsid w:val="45FB3640"/>
    <w:rsid w:val="45FB3FCA"/>
    <w:rsid w:val="45FB4873"/>
    <w:rsid w:val="45FBA0A3"/>
    <w:rsid w:val="45FBF62B"/>
    <w:rsid w:val="45FC70DF"/>
    <w:rsid w:val="45FCDE3A"/>
    <w:rsid w:val="45FCEDC1"/>
    <w:rsid w:val="45FD29C5"/>
    <w:rsid w:val="45FD58AF"/>
    <w:rsid w:val="45FD98EB"/>
    <w:rsid w:val="45FDB152"/>
    <w:rsid w:val="45FDF026"/>
    <w:rsid w:val="45FE078D"/>
    <w:rsid w:val="45FEA622"/>
    <w:rsid w:val="45FEF238"/>
    <w:rsid w:val="45FF2F88"/>
    <w:rsid w:val="45FF4A41"/>
    <w:rsid w:val="45FFC298"/>
    <w:rsid w:val="46000B66"/>
    <w:rsid w:val="4601533B"/>
    <w:rsid w:val="4601A5DD"/>
    <w:rsid w:val="4601F477"/>
    <w:rsid w:val="46031238"/>
    <w:rsid w:val="4603A7C5"/>
    <w:rsid w:val="4603EE1B"/>
    <w:rsid w:val="460440FE"/>
    <w:rsid w:val="4604A61D"/>
    <w:rsid w:val="4605D121"/>
    <w:rsid w:val="4605E6C7"/>
    <w:rsid w:val="4605FC11"/>
    <w:rsid w:val="4606A01E"/>
    <w:rsid w:val="4606AE9C"/>
    <w:rsid w:val="460791DD"/>
    <w:rsid w:val="4607C2FF"/>
    <w:rsid w:val="46083E9A"/>
    <w:rsid w:val="46088649"/>
    <w:rsid w:val="4608C932"/>
    <w:rsid w:val="46093847"/>
    <w:rsid w:val="4609A136"/>
    <w:rsid w:val="4609EB34"/>
    <w:rsid w:val="460B71B0"/>
    <w:rsid w:val="460BE7F6"/>
    <w:rsid w:val="460C6B9F"/>
    <w:rsid w:val="460CCF0F"/>
    <w:rsid w:val="460D9D5C"/>
    <w:rsid w:val="460E1200"/>
    <w:rsid w:val="460EBCC8"/>
    <w:rsid w:val="460F22B6"/>
    <w:rsid w:val="460F526C"/>
    <w:rsid w:val="460FEC95"/>
    <w:rsid w:val="46102059"/>
    <w:rsid w:val="46102F2F"/>
    <w:rsid w:val="4610A417"/>
    <w:rsid w:val="46115191"/>
    <w:rsid w:val="4611E2F0"/>
    <w:rsid w:val="461213F6"/>
    <w:rsid w:val="46128FB0"/>
    <w:rsid w:val="4612C433"/>
    <w:rsid w:val="4612FF4A"/>
    <w:rsid w:val="46134FBE"/>
    <w:rsid w:val="4613D4E6"/>
    <w:rsid w:val="4614092A"/>
    <w:rsid w:val="46142F56"/>
    <w:rsid w:val="46152D15"/>
    <w:rsid w:val="4615F58F"/>
    <w:rsid w:val="4616AC58"/>
    <w:rsid w:val="4616B467"/>
    <w:rsid w:val="4616D7FB"/>
    <w:rsid w:val="4616F899"/>
    <w:rsid w:val="4617228B"/>
    <w:rsid w:val="4617505E"/>
    <w:rsid w:val="4617890B"/>
    <w:rsid w:val="461798A2"/>
    <w:rsid w:val="4617F5AD"/>
    <w:rsid w:val="46182EB6"/>
    <w:rsid w:val="46187E6C"/>
    <w:rsid w:val="46188D25"/>
    <w:rsid w:val="461AFD9D"/>
    <w:rsid w:val="461B48F5"/>
    <w:rsid w:val="461B4BAA"/>
    <w:rsid w:val="461BEA32"/>
    <w:rsid w:val="461C25EC"/>
    <w:rsid w:val="461C8D30"/>
    <w:rsid w:val="461D4DE6"/>
    <w:rsid w:val="461DBA69"/>
    <w:rsid w:val="461FD4A5"/>
    <w:rsid w:val="462227FB"/>
    <w:rsid w:val="4622AFA8"/>
    <w:rsid w:val="4622D3E2"/>
    <w:rsid w:val="462329C2"/>
    <w:rsid w:val="46238E00"/>
    <w:rsid w:val="46247D0F"/>
    <w:rsid w:val="46252BFA"/>
    <w:rsid w:val="4625C6B2"/>
    <w:rsid w:val="4626109A"/>
    <w:rsid w:val="46261379"/>
    <w:rsid w:val="462615DF"/>
    <w:rsid w:val="46264943"/>
    <w:rsid w:val="4626F728"/>
    <w:rsid w:val="46271AD3"/>
    <w:rsid w:val="46279A9D"/>
    <w:rsid w:val="4627CAE2"/>
    <w:rsid w:val="462847B0"/>
    <w:rsid w:val="462852EF"/>
    <w:rsid w:val="462864BE"/>
    <w:rsid w:val="46290120"/>
    <w:rsid w:val="462A8CA1"/>
    <w:rsid w:val="462ADBFA"/>
    <w:rsid w:val="462B7FA4"/>
    <w:rsid w:val="462BF554"/>
    <w:rsid w:val="462C29E1"/>
    <w:rsid w:val="462CF3DD"/>
    <w:rsid w:val="462D005A"/>
    <w:rsid w:val="462E9FD7"/>
    <w:rsid w:val="462F10A8"/>
    <w:rsid w:val="462F29A4"/>
    <w:rsid w:val="462F3DE5"/>
    <w:rsid w:val="462F6095"/>
    <w:rsid w:val="4630BFAF"/>
    <w:rsid w:val="4630FFC6"/>
    <w:rsid w:val="46319822"/>
    <w:rsid w:val="4632CFEC"/>
    <w:rsid w:val="4632EBD0"/>
    <w:rsid w:val="463368AE"/>
    <w:rsid w:val="4633E9DA"/>
    <w:rsid w:val="4634379B"/>
    <w:rsid w:val="46346C5A"/>
    <w:rsid w:val="46348A43"/>
    <w:rsid w:val="4634D61D"/>
    <w:rsid w:val="4636B2A6"/>
    <w:rsid w:val="463781EF"/>
    <w:rsid w:val="46389E9F"/>
    <w:rsid w:val="4638E5A9"/>
    <w:rsid w:val="463A626B"/>
    <w:rsid w:val="463A7386"/>
    <w:rsid w:val="463AB566"/>
    <w:rsid w:val="463AB86E"/>
    <w:rsid w:val="463B89C3"/>
    <w:rsid w:val="463CAD6A"/>
    <w:rsid w:val="463DF0EA"/>
    <w:rsid w:val="463E1AD7"/>
    <w:rsid w:val="463EB994"/>
    <w:rsid w:val="463EF89E"/>
    <w:rsid w:val="463F3075"/>
    <w:rsid w:val="463FDC55"/>
    <w:rsid w:val="463FFD63"/>
    <w:rsid w:val="4640FCED"/>
    <w:rsid w:val="4641DB30"/>
    <w:rsid w:val="4641EBB9"/>
    <w:rsid w:val="4642BCA8"/>
    <w:rsid w:val="4642FD0D"/>
    <w:rsid w:val="464364ED"/>
    <w:rsid w:val="4643C69D"/>
    <w:rsid w:val="46449320"/>
    <w:rsid w:val="46450F1B"/>
    <w:rsid w:val="464510FB"/>
    <w:rsid w:val="46456BB7"/>
    <w:rsid w:val="46458B32"/>
    <w:rsid w:val="46460511"/>
    <w:rsid w:val="464608C4"/>
    <w:rsid w:val="46467B7C"/>
    <w:rsid w:val="46469EDD"/>
    <w:rsid w:val="4646B41A"/>
    <w:rsid w:val="464850AC"/>
    <w:rsid w:val="46495920"/>
    <w:rsid w:val="464AC7F5"/>
    <w:rsid w:val="464AF8C1"/>
    <w:rsid w:val="464C78C4"/>
    <w:rsid w:val="464D7F4F"/>
    <w:rsid w:val="464DAEFE"/>
    <w:rsid w:val="464E1725"/>
    <w:rsid w:val="464E27D7"/>
    <w:rsid w:val="464E6CA0"/>
    <w:rsid w:val="464EB68C"/>
    <w:rsid w:val="464F3113"/>
    <w:rsid w:val="464F9CE7"/>
    <w:rsid w:val="464F9FF0"/>
    <w:rsid w:val="464FBF77"/>
    <w:rsid w:val="46505990"/>
    <w:rsid w:val="4650D68B"/>
    <w:rsid w:val="4651B689"/>
    <w:rsid w:val="4651C6D9"/>
    <w:rsid w:val="46528320"/>
    <w:rsid w:val="4653067E"/>
    <w:rsid w:val="465393FB"/>
    <w:rsid w:val="4653D5DB"/>
    <w:rsid w:val="4653DA31"/>
    <w:rsid w:val="46544A34"/>
    <w:rsid w:val="4654B8E9"/>
    <w:rsid w:val="4654C08B"/>
    <w:rsid w:val="46558434"/>
    <w:rsid w:val="4656E327"/>
    <w:rsid w:val="46576549"/>
    <w:rsid w:val="465806F4"/>
    <w:rsid w:val="46598E56"/>
    <w:rsid w:val="4659E5D5"/>
    <w:rsid w:val="465A0100"/>
    <w:rsid w:val="465A12B3"/>
    <w:rsid w:val="465A1F60"/>
    <w:rsid w:val="465B42FB"/>
    <w:rsid w:val="465B8217"/>
    <w:rsid w:val="465BBE4A"/>
    <w:rsid w:val="465BC61B"/>
    <w:rsid w:val="465DE54C"/>
    <w:rsid w:val="465E750A"/>
    <w:rsid w:val="465ED97D"/>
    <w:rsid w:val="465F092B"/>
    <w:rsid w:val="465F1E4E"/>
    <w:rsid w:val="46606E1E"/>
    <w:rsid w:val="466133F9"/>
    <w:rsid w:val="466154AD"/>
    <w:rsid w:val="4661B1FE"/>
    <w:rsid w:val="4662BE85"/>
    <w:rsid w:val="4662E704"/>
    <w:rsid w:val="466359C7"/>
    <w:rsid w:val="46635EF3"/>
    <w:rsid w:val="4664401F"/>
    <w:rsid w:val="46646858"/>
    <w:rsid w:val="4665DAF0"/>
    <w:rsid w:val="4666E784"/>
    <w:rsid w:val="4666F91A"/>
    <w:rsid w:val="4667448D"/>
    <w:rsid w:val="466773D1"/>
    <w:rsid w:val="4667FBE3"/>
    <w:rsid w:val="46682AFD"/>
    <w:rsid w:val="46689024"/>
    <w:rsid w:val="4668B467"/>
    <w:rsid w:val="4668C78C"/>
    <w:rsid w:val="46699F7A"/>
    <w:rsid w:val="466A5297"/>
    <w:rsid w:val="466AD0A8"/>
    <w:rsid w:val="466AE63F"/>
    <w:rsid w:val="466B5B80"/>
    <w:rsid w:val="466CA574"/>
    <w:rsid w:val="466EE0EA"/>
    <w:rsid w:val="466EFA27"/>
    <w:rsid w:val="466F1A1F"/>
    <w:rsid w:val="4670592F"/>
    <w:rsid w:val="46705B9E"/>
    <w:rsid w:val="46706D73"/>
    <w:rsid w:val="46708BB5"/>
    <w:rsid w:val="4670931A"/>
    <w:rsid w:val="46716DA5"/>
    <w:rsid w:val="4671FF6D"/>
    <w:rsid w:val="46723F0B"/>
    <w:rsid w:val="4672C559"/>
    <w:rsid w:val="4672DD5C"/>
    <w:rsid w:val="4672F0E5"/>
    <w:rsid w:val="4673DA43"/>
    <w:rsid w:val="467410F0"/>
    <w:rsid w:val="467445B9"/>
    <w:rsid w:val="46756997"/>
    <w:rsid w:val="4675CCFF"/>
    <w:rsid w:val="46786B00"/>
    <w:rsid w:val="46787672"/>
    <w:rsid w:val="46795F9B"/>
    <w:rsid w:val="4679E04E"/>
    <w:rsid w:val="467A16D6"/>
    <w:rsid w:val="467AC55E"/>
    <w:rsid w:val="467B0BDC"/>
    <w:rsid w:val="467B76F0"/>
    <w:rsid w:val="467BDF95"/>
    <w:rsid w:val="467C5C81"/>
    <w:rsid w:val="467D1CFF"/>
    <w:rsid w:val="467D7A30"/>
    <w:rsid w:val="467D9EB0"/>
    <w:rsid w:val="467E1223"/>
    <w:rsid w:val="467EBE94"/>
    <w:rsid w:val="4680DC7E"/>
    <w:rsid w:val="468202F6"/>
    <w:rsid w:val="46827D0A"/>
    <w:rsid w:val="46827DC0"/>
    <w:rsid w:val="4682ACA8"/>
    <w:rsid w:val="4683B45A"/>
    <w:rsid w:val="46841098"/>
    <w:rsid w:val="46849B98"/>
    <w:rsid w:val="4684BE0E"/>
    <w:rsid w:val="468528BA"/>
    <w:rsid w:val="46855824"/>
    <w:rsid w:val="46860054"/>
    <w:rsid w:val="4686C727"/>
    <w:rsid w:val="4686CF33"/>
    <w:rsid w:val="4686F7D0"/>
    <w:rsid w:val="46872D9E"/>
    <w:rsid w:val="468733E5"/>
    <w:rsid w:val="46877D45"/>
    <w:rsid w:val="4688258E"/>
    <w:rsid w:val="46882A05"/>
    <w:rsid w:val="468871DD"/>
    <w:rsid w:val="4688D18F"/>
    <w:rsid w:val="4688FB02"/>
    <w:rsid w:val="46898D30"/>
    <w:rsid w:val="468AB2AA"/>
    <w:rsid w:val="468B623A"/>
    <w:rsid w:val="468B9366"/>
    <w:rsid w:val="468BB8C2"/>
    <w:rsid w:val="468BBA4C"/>
    <w:rsid w:val="468C4125"/>
    <w:rsid w:val="468E8E47"/>
    <w:rsid w:val="468EF5A2"/>
    <w:rsid w:val="468FA29D"/>
    <w:rsid w:val="468FF310"/>
    <w:rsid w:val="46902780"/>
    <w:rsid w:val="46904F9B"/>
    <w:rsid w:val="4690B20B"/>
    <w:rsid w:val="4690C081"/>
    <w:rsid w:val="4690F488"/>
    <w:rsid w:val="46915083"/>
    <w:rsid w:val="46915147"/>
    <w:rsid w:val="46917F17"/>
    <w:rsid w:val="469307F6"/>
    <w:rsid w:val="469423AB"/>
    <w:rsid w:val="4694552C"/>
    <w:rsid w:val="46946387"/>
    <w:rsid w:val="4694AF7A"/>
    <w:rsid w:val="469597C6"/>
    <w:rsid w:val="4695E5D2"/>
    <w:rsid w:val="46964C9A"/>
    <w:rsid w:val="469686E7"/>
    <w:rsid w:val="469691B5"/>
    <w:rsid w:val="4697D280"/>
    <w:rsid w:val="46980CB2"/>
    <w:rsid w:val="4698624B"/>
    <w:rsid w:val="4698C0D0"/>
    <w:rsid w:val="469AC56F"/>
    <w:rsid w:val="469AEA9C"/>
    <w:rsid w:val="469B16A6"/>
    <w:rsid w:val="469B3CA5"/>
    <w:rsid w:val="469B4A23"/>
    <w:rsid w:val="469D6680"/>
    <w:rsid w:val="469D84DB"/>
    <w:rsid w:val="469DC313"/>
    <w:rsid w:val="469E0F5B"/>
    <w:rsid w:val="469E8C32"/>
    <w:rsid w:val="469EAEC4"/>
    <w:rsid w:val="469ED9F6"/>
    <w:rsid w:val="469F04A4"/>
    <w:rsid w:val="469F15C7"/>
    <w:rsid w:val="46A0157E"/>
    <w:rsid w:val="46A01C42"/>
    <w:rsid w:val="46A04871"/>
    <w:rsid w:val="46A06FF7"/>
    <w:rsid w:val="46A0D83F"/>
    <w:rsid w:val="46A0D8C2"/>
    <w:rsid w:val="46A172C1"/>
    <w:rsid w:val="46A189E9"/>
    <w:rsid w:val="46A1C48E"/>
    <w:rsid w:val="46A27E29"/>
    <w:rsid w:val="46A2B178"/>
    <w:rsid w:val="46A2B33A"/>
    <w:rsid w:val="46A2D59B"/>
    <w:rsid w:val="46A321F3"/>
    <w:rsid w:val="46A362CF"/>
    <w:rsid w:val="46A38B59"/>
    <w:rsid w:val="46A42AD7"/>
    <w:rsid w:val="46A437CF"/>
    <w:rsid w:val="46A47D6E"/>
    <w:rsid w:val="46A4C32D"/>
    <w:rsid w:val="46A58278"/>
    <w:rsid w:val="46A5F0E4"/>
    <w:rsid w:val="46A68B84"/>
    <w:rsid w:val="46A78451"/>
    <w:rsid w:val="46A7A107"/>
    <w:rsid w:val="46A800A6"/>
    <w:rsid w:val="46A820F4"/>
    <w:rsid w:val="46A8903A"/>
    <w:rsid w:val="46A8BC0F"/>
    <w:rsid w:val="46A8D40A"/>
    <w:rsid w:val="46A8F910"/>
    <w:rsid w:val="46A9562A"/>
    <w:rsid w:val="46A9D203"/>
    <w:rsid w:val="46AA2332"/>
    <w:rsid w:val="46AA28AA"/>
    <w:rsid w:val="46AB9B0A"/>
    <w:rsid w:val="46ACB8B0"/>
    <w:rsid w:val="46ADFC52"/>
    <w:rsid w:val="46AE05D0"/>
    <w:rsid w:val="46AEBB55"/>
    <w:rsid w:val="46AEC4EF"/>
    <w:rsid w:val="46B022D7"/>
    <w:rsid w:val="46B05601"/>
    <w:rsid w:val="46B07230"/>
    <w:rsid w:val="46B0D36B"/>
    <w:rsid w:val="46B1ADD7"/>
    <w:rsid w:val="46B22A08"/>
    <w:rsid w:val="46B26877"/>
    <w:rsid w:val="46B29948"/>
    <w:rsid w:val="46B2F684"/>
    <w:rsid w:val="46B349BE"/>
    <w:rsid w:val="46B5D1E7"/>
    <w:rsid w:val="46B61839"/>
    <w:rsid w:val="46B78F8F"/>
    <w:rsid w:val="46B7BFC1"/>
    <w:rsid w:val="46B7CD45"/>
    <w:rsid w:val="46B8827B"/>
    <w:rsid w:val="46B8B5EE"/>
    <w:rsid w:val="46B908CD"/>
    <w:rsid w:val="46B9A37B"/>
    <w:rsid w:val="46B9F786"/>
    <w:rsid w:val="46BA9E16"/>
    <w:rsid w:val="46BB3C3F"/>
    <w:rsid w:val="46BB8577"/>
    <w:rsid w:val="46BBCF79"/>
    <w:rsid w:val="46BCC530"/>
    <w:rsid w:val="46BCE251"/>
    <w:rsid w:val="46BDB400"/>
    <w:rsid w:val="46BDC9C1"/>
    <w:rsid w:val="46BE41F7"/>
    <w:rsid w:val="46BE687C"/>
    <w:rsid w:val="46BE7C02"/>
    <w:rsid w:val="46BEDDCA"/>
    <w:rsid w:val="46BEFE24"/>
    <w:rsid w:val="46BFBECA"/>
    <w:rsid w:val="46BFC8CF"/>
    <w:rsid w:val="46C057A9"/>
    <w:rsid w:val="46C0AA30"/>
    <w:rsid w:val="46C2087C"/>
    <w:rsid w:val="46C255EB"/>
    <w:rsid w:val="46C34FB8"/>
    <w:rsid w:val="46C4C532"/>
    <w:rsid w:val="46C54C33"/>
    <w:rsid w:val="46C5E309"/>
    <w:rsid w:val="46C6119C"/>
    <w:rsid w:val="46C622C6"/>
    <w:rsid w:val="46C6A8B7"/>
    <w:rsid w:val="46C78FBC"/>
    <w:rsid w:val="46C8178D"/>
    <w:rsid w:val="46C81B5A"/>
    <w:rsid w:val="46C87E0A"/>
    <w:rsid w:val="46C8B9B0"/>
    <w:rsid w:val="46C8EE96"/>
    <w:rsid w:val="46C973EC"/>
    <w:rsid w:val="46CA8A75"/>
    <w:rsid w:val="46CA8E25"/>
    <w:rsid w:val="46CA9E90"/>
    <w:rsid w:val="46CB0AF6"/>
    <w:rsid w:val="46CB9733"/>
    <w:rsid w:val="46CC741C"/>
    <w:rsid w:val="46CCCAFD"/>
    <w:rsid w:val="46CD54D5"/>
    <w:rsid w:val="46CD69D0"/>
    <w:rsid w:val="46CD799A"/>
    <w:rsid w:val="46CE55C5"/>
    <w:rsid w:val="46CE658A"/>
    <w:rsid w:val="46CEBE09"/>
    <w:rsid w:val="46CED0C3"/>
    <w:rsid w:val="46CF08E9"/>
    <w:rsid w:val="46CFFD8E"/>
    <w:rsid w:val="46D154B6"/>
    <w:rsid w:val="46D19052"/>
    <w:rsid w:val="46D1DAC8"/>
    <w:rsid w:val="46D21305"/>
    <w:rsid w:val="46D4212E"/>
    <w:rsid w:val="46D525E7"/>
    <w:rsid w:val="46D5F608"/>
    <w:rsid w:val="46D610A0"/>
    <w:rsid w:val="46D61BCE"/>
    <w:rsid w:val="46D665F8"/>
    <w:rsid w:val="46D68F04"/>
    <w:rsid w:val="46D76C26"/>
    <w:rsid w:val="46D7823C"/>
    <w:rsid w:val="46D85463"/>
    <w:rsid w:val="46D85FF9"/>
    <w:rsid w:val="46D8ED35"/>
    <w:rsid w:val="46D934DE"/>
    <w:rsid w:val="46D9A11A"/>
    <w:rsid w:val="46D9A7FF"/>
    <w:rsid w:val="46D9AFA2"/>
    <w:rsid w:val="46DA18B0"/>
    <w:rsid w:val="46DA5447"/>
    <w:rsid w:val="46DC1547"/>
    <w:rsid w:val="46DCCBE3"/>
    <w:rsid w:val="46DCE90A"/>
    <w:rsid w:val="46DD7D8D"/>
    <w:rsid w:val="46DD8006"/>
    <w:rsid w:val="46DD9375"/>
    <w:rsid w:val="46DDF4DE"/>
    <w:rsid w:val="46DE1461"/>
    <w:rsid w:val="46DE364C"/>
    <w:rsid w:val="46DECC8C"/>
    <w:rsid w:val="46DF3B1C"/>
    <w:rsid w:val="46E0ECDB"/>
    <w:rsid w:val="46E11FE9"/>
    <w:rsid w:val="46E1678B"/>
    <w:rsid w:val="46E29EEA"/>
    <w:rsid w:val="46E2DBA5"/>
    <w:rsid w:val="46E316B9"/>
    <w:rsid w:val="46E32465"/>
    <w:rsid w:val="46E3D6C3"/>
    <w:rsid w:val="46E3DB6A"/>
    <w:rsid w:val="46E48210"/>
    <w:rsid w:val="46E49819"/>
    <w:rsid w:val="46E4BE52"/>
    <w:rsid w:val="46E4EAAF"/>
    <w:rsid w:val="46E55C1C"/>
    <w:rsid w:val="46E570A9"/>
    <w:rsid w:val="46E5FE89"/>
    <w:rsid w:val="46E6B118"/>
    <w:rsid w:val="46E729FF"/>
    <w:rsid w:val="46E7320A"/>
    <w:rsid w:val="46E79D36"/>
    <w:rsid w:val="46E8023D"/>
    <w:rsid w:val="46EA9ED4"/>
    <w:rsid w:val="46EACB4A"/>
    <w:rsid w:val="46EB4915"/>
    <w:rsid w:val="46EB93C1"/>
    <w:rsid w:val="46EBE8F7"/>
    <w:rsid w:val="46EC5985"/>
    <w:rsid w:val="46EC7291"/>
    <w:rsid w:val="46ECC8D9"/>
    <w:rsid w:val="46ECEF42"/>
    <w:rsid w:val="46ED980B"/>
    <w:rsid w:val="46EEF67B"/>
    <w:rsid w:val="46EFBD2C"/>
    <w:rsid w:val="46F0568B"/>
    <w:rsid w:val="46F05AF4"/>
    <w:rsid w:val="46F0A1CD"/>
    <w:rsid w:val="46F0ED92"/>
    <w:rsid w:val="46F0F686"/>
    <w:rsid w:val="46F10D6D"/>
    <w:rsid w:val="46F1914C"/>
    <w:rsid w:val="46F29745"/>
    <w:rsid w:val="46F326EA"/>
    <w:rsid w:val="46F33A0A"/>
    <w:rsid w:val="46F34C95"/>
    <w:rsid w:val="46F49813"/>
    <w:rsid w:val="46F5121F"/>
    <w:rsid w:val="46F5442B"/>
    <w:rsid w:val="46F6F37A"/>
    <w:rsid w:val="46F7725A"/>
    <w:rsid w:val="46F81231"/>
    <w:rsid w:val="46F82E07"/>
    <w:rsid w:val="46F93AD2"/>
    <w:rsid w:val="46F9ECF9"/>
    <w:rsid w:val="46FA3E9C"/>
    <w:rsid w:val="46FA69EE"/>
    <w:rsid w:val="46FB04E5"/>
    <w:rsid w:val="46FBD617"/>
    <w:rsid w:val="46FC2329"/>
    <w:rsid w:val="46FD53C7"/>
    <w:rsid w:val="46FD71F9"/>
    <w:rsid w:val="46FDB3F2"/>
    <w:rsid w:val="46FDC264"/>
    <w:rsid w:val="46FDCE33"/>
    <w:rsid w:val="46FE509C"/>
    <w:rsid w:val="46FE9896"/>
    <w:rsid w:val="46FEEFAD"/>
    <w:rsid w:val="47009046"/>
    <w:rsid w:val="4700907E"/>
    <w:rsid w:val="4701E5AE"/>
    <w:rsid w:val="470281E5"/>
    <w:rsid w:val="47029425"/>
    <w:rsid w:val="4702BA26"/>
    <w:rsid w:val="4703133B"/>
    <w:rsid w:val="470364E3"/>
    <w:rsid w:val="4703856B"/>
    <w:rsid w:val="4703ADB7"/>
    <w:rsid w:val="4703CF9C"/>
    <w:rsid w:val="4704567F"/>
    <w:rsid w:val="4705A742"/>
    <w:rsid w:val="4705DFAA"/>
    <w:rsid w:val="4706261F"/>
    <w:rsid w:val="4706AA0C"/>
    <w:rsid w:val="4706B29A"/>
    <w:rsid w:val="47072FE0"/>
    <w:rsid w:val="47079C8B"/>
    <w:rsid w:val="4707E069"/>
    <w:rsid w:val="4708015B"/>
    <w:rsid w:val="47085F23"/>
    <w:rsid w:val="4708D50C"/>
    <w:rsid w:val="4708D7D1"/>
    <w:rsid w:val="47098B24"/>
    <w:rsid w:val="4709AB95"/>
    <w:rsid w:val="470A76A0"/>
    <w:rsid w:val="470A895C"/>
    <w:rsid w:val="470A97F2"/>
    <w:rsid w:val="470AFFA9"/>
    <w:rsid w:val="470B60FC"/>
    <w:rsid w:val="470BF4C1"/>
    <w:rsid w:val="470C5B53"/>
    <w:rsid w:val="470CA377"/>
    <w:rsid w:val="470CB180"/>
    <w:rsid w:val="470D6B7E"/>
    <w:rsid w:val="470D815C"/>
    <w:rsid w:val="470E926F"/>
    <w:rsid w:val="470F2CD4"/>
    <w:rsid w:val="470F421E"/>
    <w:rsid w:val="470F6461"/>
    <w:rsid w:val="470F7172"/>
    <w:rsid w:val="470FBBFF"/>
    <w:rsid w:val="470FBC3F"/>
    <w:rsid w:val="470FD9FA"/>
    <w:rsid w:val="470FDDC5"/>
    <w:rsid w:val="470FFB7C"/>
    <w:rsid w:val="4711BFE3"/>
    <w:rsid w:val="4712386F"/>
    <w:rsid w:val="47125814"/>
    <w:rsid w:val="47131F77"/>
    <w:rsid w:val="47132EFF"/>
    <w:rsid w:val="47138042"/>
    <w:rsid w:val="471392C3"/>
    <w:rsid w:val="4713E2D0"/>
    <w:rsid w:val="4714EC7A"/>
    <w:rsid w:val="47150E2D"/>
    <w:rsid w:val="47151F23"/>
    <w:rsid w:val="471633CF"/>
    <w:rsid w:val="47169FF4"/>
    <w:rsid w:val="4717EFDB"/>
    <w:rsid w:val="4718013D"/>
    <w:rsid w:val="4718C426"/>
    <w:rsid w:val="4718D473"/>
    <w:rsid w:val="47191DB7"/>
    <w:rsid w:val="471990C5"/>
    <w:rsid w:val="471A2249"/>
    <w:rsid w:val="471A7F5F"/>
    <w:rsid w:val="471AE6E6"/>
    <w:rsid w:val="471BF4FC"/>
    <w:rsid w:val="471D1CBD"/>
    <w:rsid w:val="471D8240"/>
    <w:rsid w:val="471DD885"/>
    <w:rsid w:val="471DF311"/>
    <w:rsid w:val="471E4C53"/>
    <w:rsid w:val="471E8CF6"/>
    <w:rsid w:val="471EE2DE"/>
    <w:rsid w:val="471F1D48"/>
    <w:rsid w:val="471F70A8"/>
    <w:rsid w:val="471FB4B9"/>
    <w:rsid w:val="471FE612"/>
    <w:rsid w:val="47208000"/>
    <w:rsid w:val="4721753C"/>
    <w:rsid w:val="4721E6F3"/>
    <w:rsid w:val="47223C86"/>
    <w:rsid w:val="4722DD96"/>
    <w:rsid w:val="47232FF2"/>
    <w:rsid w:val="47234A56"/>
    <w:rsid w:val="472381E5"/>
    <w:rsid w:val="47241C3C"/>
    <w:rsid w:val="4724A00D"/>
    <w:rsid w:val="4724C9DA"/>
    <w:rsid w:val="4724D00C"/>
    <w:rsid w:val="47255533"/>
    <w:rsid w:val="4725F778"/>
    <w:rsid w:val="47265115"/>
    <w:rsid w:val="47265686"/>
    <w:rsid w:val="47265F69"/>
    <w:rsid w:val="4726C120"/>
    <w:rsid w:val="4726F1BF"/>
    <w:rsid w:val="47271781"/>
    <w:rsid w:val="47276FD1"/>
    <w:rsid w:val="47277EB4"/>
    <w:rsid w:val="47284F6C"/>
    <w:rsid w:val="4728947D"/>
    <w:rsid w:val="4728951D"/>
    <w:rsid w:val="4728EBC5"/>
    <w:rsid w:val="47299EC8"/>
    <w:rsid w:val="4729B019"/>
    <w:rsid w:val="4729D6BC"/>
    <w:rsid w:val="472A9F21"/>
    <w:rsid w:val="472B36F1"/>
    <w:rsid w:val="472BF9CF"/>
    <w:rsid w:val="472CB69A"/>
    <w:rsid w:val="472DC888"/>
    <w:rsid w:val="472DFAE2"/>
    <w:rsid w:val="472E08D8"/>
    <w:rsid w:val="472E81F4"/>
    <w:rsid w:val="472E9DBC"/>
    <w:rsid w:val="472E9F01"/>
    <w:rsid w:val="472F2735"/>
    <w:rsid w:val="472F71F8"/>
    <w:rsid w:val="472FEE47"/>
    <w:rsid w:val="4731EAA9"/>
    <w:rsid w:val="4732331B"/>
    <w:rsid w:val="47323758"/>
    <w:rsid w:val="4732B073"/>
    <w:rsid w:val="47333256"/>
    <w:rsid w:val="473380B8"/>
    <w:rsid w:val="4734A1BC"/>
    <w:rsid w:val="47350588"/>
    <w:rsid w:val="4735C73C"/>
    <w:rsid w:val="473714B7"/>
    <w:rsid w:val="47376CD1"/>
    <w:rsid w:val="4737E432"/>
    <w:rsid w:val="473868F9"/>
    <w:rsid w:val="4738CE40"/>
    <w:rsid w:val="473958D9"/>
    <w:rsid w:val="4739724B"/>
    <w:rsid w:val="473A775A"/>
    <w:rsid w:val="473A9FD8"/>
    <w:rsid w:val="473B2E65"/>
    <w:rsid w:val="473B3170"/>
    <w:rsid w:val="473B7A57"/>
    <w:rsid w:val="473B8CBF"/>
    <w:rsid w:val="473C1209"/>
    <w:rsid w:val="473C793A"/>
    <w:rsid w:val="473C864F"/>
    <w:rsid w:val="473D2A01"/>
    <w:rsid w:val="473E6A45"/>
    <w:rsid w:val="473E905D"/>
    <w:rsid w:val="473FE391"/>
    <w:rsid w:val="47417516"/>
    <w:rsid w:val="47418B10"/>
    <w:rsid w:val="474254E0"/>
    <w:rsid w:val="47434201"/>
    <w:rsid w:val="4743EBE5"/>
    <w:rsid w:val="47441E2D"/>
    <w:rsid w:val="4744C9D9"/>
    <w:rsid w:val="4745307B"/>
    <w:rsid w:val="4745BE91"/>
    <w:rsid w:val="47461F69"/>
    <w:rsid w:val="4746A403"/>
    <w:rsid w:val="4746B07E"/>
    <w:rsid w:val="4746C6E9"/>
    <w:rsid w:val="4746E003"/>
    <w:rsid w:val="47473388"/>
    <w:rsid w:val="47475E42"/>
    <w:rsid w:val="4749662E"/>
    <w:rsid w:val="4749F575"/>
    <w:rsid w:val="474A177C"/>
    <w:rsid w:val="474A6798"/>
    <w:rsid w:val="474A7EB1"/>
    <w:rsid w:val="474AB67C"/>
    <w:rsid w:val="474B3B9D"/>
    <w:rsid w:val="474B8AC8"/>
    <w:rsid w:val="474BAE05"/>
    <w:rsid w:val="474BC15F"/>
    <w:rsid w:val="474C6FC9"/>
    <w:rsid w:val="474D46AF"/>
    <w:rsid w:val="474F36E5"/>
    <w:rsid w:val="474F5A12"/>
    <w:rsid w:val="474FAC6F"/>
    <w:rsid w:val="474FC6CB"/>
    <w:rsid w:val="474FEF8A"/>
    <w:rsid w:val="474FFF78"/>
    <w:rsid w:val="4750286F"/>
    <w:rsid w:val="47510263"/>
    <w:rsid w:val="47516C0D"/>
    <w:rsid w:val="47520E1F"/>
    <w:rsid w:val="47529489"/>
    <w:rsid w:val="47541236"/>
    <w:rsid w:val="475453D3"/>
    <w:rsid w:val="4755191D"/>
    <w:rsid w:val="47552FE9"/>
    <w:rsid w:val="4755B470"/>
    <w:rsid w:val="47563038"/>
    <w:rsid w:val="4756E4D9"/>
    <w:rsid w:val="475721C1"/>
    <w:rsid w:val="4757372F"/>
    <w:rsid w:val="475755B5"/>
    <w:rsid w:val="47587F22"/>
    <w:rsid w:val="47597A1E"/>
    <w:rsid w:val="4759A9A1"/>
    <w:rsid w:val="475A7714"/>
    <w:rsid w:val="475A78F2"/>
    <w:rsid w:val="475A78FC"/>
    <w:rsid w:val="475A9B06"/>
    <w:rsid w:val="475AA8CE"/>
    <w:rsid w:val="475B035E"/>
    <w:rsid w:val="475B185C"/>
    <w:rsid w:val="475C72A5"/>
    <w:rsid w:val="475D2B61"/>
    <w:rsid w:val="475D5E57"/>
    <w:rsid w:val="475FD8AA"/>
    <w:rsid w:val="47604AA5"/>
    <w:rsid w:val="4760B036"/>
    <w:rsid w:val="4760CFBC"/>
    <w:rsid w:val="4761052A"/>
    <w:rsid w:val="47616F7D"/>
    <w:rsid w:val="4761F42F"/>
    <w:rsid w:val="47624868"/>
    <w:rsid w:val="47635A99"/>
    <w:rsid w:val="47639C45"/>
    <w:rsid w:val="476430A2"/>
    <w:rsid w:val="476473B5"/>
    <w:rsid w:val="4765C2A3"/>
    <w:rsid w:val="47668F6B"/>
    <w:rsid w:val="4766DB56"/>
    <w:rsid w:val="4766E3A7"/>
    <w:rsid w:val="476707F1"/>
    <w:rsid w:val="4767B967"/>
    <w:rsid w:val="4768F0A9"/>
    <w:rsid w:val="47691E22"/>
    <w:rsid w:val="476928C7"/>
    <w:rsid w:val="4769B817"/>
    <w:rsid w:val="4769CECF"/>
    <w:rsid w:val="476A73BA"/>
    <w:rsid w:val="476B1DE6"/>
    <w:rsid w:val="476B825A"/>
    <w:rsid w:val="476BC6B2"/>
    <w:rsid w:val="476C3BE4"/>
    <w:rsid w:val="476C52B0"/>
    <w:rsid w:val="476CC882"/>
    <w:rsid w:val="476CF934"/>
    <w:rsid w:val="476D179B"/>
    <w:rsid w:val="476D478B"/>
    <w:rsid w:val="476EA69C"/>
    <w:rsid w:val="476ECED6"/>
    <w:rsid w:val="47716F2A"/>
    <w:rsid w:val="47722F57"/>
    <w:rsid w:val="47724BDB"/>
    <w:rsid w:val="47727D42"/>
    <w:rsid w:val="4773B09D"/>
    <w:rsid w:val="47747292"/>
    <w:rsid w:val="4775F75D"/>
    <w:rsid w:val="4776D409"/>
    <w:rsid w:val="4776EA93"/>
    <w:rsid w:val="47770C48"/>
    <w:rsid w:val="47775D27"/>
    <w:rsid w:val="47775DA5"/>
    <w:rsid w:val="4777D2DD"/>
    <w:rsid w:val="477932E8"/>
    <w:rsid w:val="477A16BC"/>
    <w:rsid w:val="477A1711"/>
    <w:rsid w:val="477B00B5"/>
    <w:rsid w:val="477B373B"/>
    <w:rsid w:val="477B6E8C"/>
    <w:rsid w:val="477B8ED3"/>
    <w:rsid w:val="477BD136"/>
    <w:rsid w:val="477BFDEC"/>
    <w:rsid w:val="477D361C"/>
    <w:rsid w:val="477D4C8C"/>
    <w:rsid w:val="477D6FFF"/>
    <w:rsid w:val="477D97D9"/>
    <w:rsid w:val="477F6D8D"/>
    <w:rsid w:val="477F76AF"/>
    <w:rsid w:val="477F9350"/>
    <w:rsid w:val="47800E07"/>
    <w:rsid w:val="4780DF08"/>
    <w:rsid w:val="478144C6"/>
    <w:rsid w:val="4781518D"/>
    <w:rsid w:val="47816E7B"/>
    <w:rsid w:val="4781A632"/>
    <w:rsid w:val="4781D843"/>
    <w:rsid w:val="47831378"/>
    <w:rsid w:val="4783EDED"/>
    <w:rsid w:val="4784C4F3"/>
    <w:rsid w:val="47852998"/>
    <w:rsid w:val="47854DD2"/>
    <w:rsid w:val="47858804"/>
    <w:rsid w:val="4785F196"/>
    <w:rsid w:val="4786AF7D"/>
    <w:rsid w:val="4786FF4C"/>
    <w:rsid w:val="47876C14"/>
    <w:rsid w:val="47879A37"/>
    <w:rsid w:val="47879C46"/>
    <w:rsid w:val="47886147"/>
    <w:rsid w:val="47889D9A"/>
    <w:rsid w:val="4788B7BC"/>
    <w:rsid w:val="4788C526"/>
    <w:rsid w:val="4788FCB8"/>
    <w:rsid w:val="47890FA6"/>
    <w:rsid w:val="47897ED9"/>
    <w:rsid w:val="4789D0AA"/>
    <w:rsid w:val="478A1681"/>
    <w:rsid w:val="478A78BA"/>
    <w:rsid w:val="478AA42D"/>
    <w:rsid w:val="478AA744"/>
    <w:rsid w:val="478AD76D"/>
    <w:rsid w:val="478B0AC7"/>
    <w:rsid w:val="478C4604"/>
    <w:rsid w:val="478D8622"/>
    <w:rsid w:val="47902BFF"/>
    <w:rsid w:val="47909881"/>
    <w:rsid w:val="47911835"/>
    <w:rsid w:val="4791C376"/>
    <w:rsid w:val="47927295"/>
    <w:rsid w:val="4792E9D6"/>
    <w:rsid w:val="4793B4B4"/>
    <w:rsid w:val="47942616"/>
    <w:rsid w:val="47958953"/>
    <w:rsid w:val="47959B79"/>
    <w:rsid w:val="47971ADF"/>
    <w:rsid w:val="479753EB"/>
    <w:rsid w:val="4798C2DD"/>
    <w:rsid w:val="4798E9C1"/>
    <w:rsid w:val="4799628E"/>
    <w:rsid w:val="479A7A37"/>
    <w:rsid w:val="479B2DD2"/>
    <w:rsid w:val="479B75D5"/>
    <w:rsid w:val="479BE109"/>
    <w:rsid w:val="479BE275"/>
    <w:rsid w:val="479C567B"/>
    <w:rsid w:val="479C6967"/>
    <w:rsid w:val="479CD453"/>
    <w:rsid w:val="479DA108"/>
    <w:rsid w:val="479DC703"/>
    <w:rsid w:val="479E707E"/>
    <w:rsid w:val="479F1D05"/>
    <w:rsid w:val="47A1F4F7"/>
    <w:rsid w:val="47A2D9C6"/>
    <w:rsid w:val="47A33FE6"/>
    <w:rsid w:val="47A366B2"/>
    <w:rsid w:val="47A3D988"/>
    <w:rsid w:val="47A3EA34"/>
    <w:rsid w:val="47A40911"/>
    <w:rsid w:val="47A41196"/>
    <w:rsid w:val="47A4B256"/>
    <w:rsid w:val="47A6D805"/>
    <w:rsid w:val="47A77E66"/>
    <w:rsid w:val="47A8852D"/>
    <w:rsid w:val="47A94790"/>
    <w:rsid w:val="47A9BE91"/>
    <w:rsid w:val="47A9F691"/>
    <w:rsid w:val="47AA3E94"/>
    <w:rsid w:val="47AA6D6D"/>
    <w:rsid w:val="47AA92D4"/>
    <w:rsid w:val="47AAA56D"/>
    <w:rsid w:val="47AB91CD"/>
    <w:rsid w:val="47ABA8E0"/>
    <w:rsid w:val="47ABEFC5"/>
    <w:rsid w:val="47AD4EA9"/>
    <w:rsid w:val="47ADBBDB"/>
    <w:rsid w:val="47AF106C"/>
    <w:rsid w:val="47AF140E"/>
    <w:rsid w:val="47B01282"/>
    <w:rsid w:val="47B063AD"/>
    <w:rsid w:val="47B1B9B0"/>
    <w:rsid w:val="47B270C5"/>
    <w:rsid w:val="47B27881"/>
    <w:rsid w:val="47B2DF0E"/>
    <w:rsid w:val="47B33826"/>
    <w:rsid w:val="47B351CA"/>
    <w:rsid w:val="47B4B6BC"/>
    <w:rsid w:val="47B6537F"/>
    <w:rsid w:val="47B79EA2"/>
    <w:rsid w:val="47B7C236"/>
    <w:rsid w:val="47B832DB"/>
    <w:rsid w:val="47B90BC8"/>
    <w:rsid w:val="47BA0A92"/>
    <w:rsid w:val="47BAFF0A"/>
    <w:rsid w:val="47BB4CEA"/>
    <w:rsid w:val="47BBC85B"/>
    <w:rsid w:val="47BC9171"/>
    <w:rsid w:val="47BCC384"/>
    <w:rsid w:val="47BD2878"/>
    <w:rsid w:val="47BD2B44"/>
    <w:rsid w:val="47BDB534"/>
    <w:rsid w:val="47BE33A2"/>
    <w:rsid w:val="47BED21B"/>
    <w:rsid w:val="47BEDBF8"/>
    <w:rsid w:val="47C02860"/>
    <w:rsid w:val="47C12703"/>
    <w:rsid w:val="47C13A8D"/>
    <w:rsid w:val="47C2D991"/>
    <w:rsid w:val="47C34C21"/>
    <w:rsid w:val="47C365C9"/>
    <w:rsid w:val="47C4B454"/>
    <w:rsid w:val="47C4EB13"/>
    <w:rsid w:val="47C6ACAC"/>
    <w:rsid w:val="47C73AC3"/>
    <w:rsid w:val="47C7DF46"/>
    <w:rsid w:val="47C958BD"/>
    <w:rsid w:val="47C97E64"/>
    <w:rsid w:val="47C9F7F7"/>
    <w:rsid w:val="47CA47D7"/>
    <w:rsid w:val="47CAF855"/>
    <w:rsid w:val="47CB22AC"/>
    <w:rsid w:val="47CB2D2A"/>
    <w:rsid w:val="47CB3B5D"/>
    <w:rsid w:val="47CD94F4"/>
    <w:rsid w:val="47CD9AC9"/>
    <w:rsid w:val="47CDC1CD"/>
    <w:rsid w:val="47CE30BC"/>
    <w:rsid w:val="47CE48A0"/>
    <w:rsid w:val="47D0F94F"/>
    <w:rsid w:val="47D18A3B"/>
    <w:rsid w:val="47D27B37"/>
    <w:rsid w:val="47D4D1CA"/>
    <w:rsid w:val="47D5A20E"/>
    <w:rsid w:val="47D5B889"/>
    <w:rsid w:val="47D68F06"/>
    <w:rsid w:val="47D690E5"/>
    <w:rsid w:val="47D6943D"/>
    <w:rsid w:val="47D7A472"/>
    <w:rsid w:val="47D7CE16"/>
    <w:rsid w:val="47D8EDDE"/>
    <w:rsid w:val="47D9B117"/>
    <w:rsid w:val="47DAD482"/>
    <w:rsid w:val="47DAE631"/>
    <w:rsid w:val="47DBB798"/>
    <w:rsid w:val="47DC5774"/>
    <w:rsid w:val="47DC99E8"/>
    <w:rsid w:val="47DCD492"/>
    <w:rsid w:val="47DCF9B1"/>
    <w:rsid w:val="47DD12EF"/>
    <w:rsid w:val="47DD4D47"/>
    <w:rsid w:val="47DD914B"/>
    <w:rsid w:val="47DDCAD5"/>
    <w:rsid w:val="47DEA762"/>
    <w:rsid w:val="47DF12B6"/>
    <w:rsid w:val="47E06ABC"/>
    <w:rsid w:val="47E0703F"/>
    <w:rsid w:val="47E0E072"/>
    <w:rsid w:val="47E29000"/>
    <w:rsid w:val="47E2CCF0"/>
    <w:rsid w:val="47E43122"/>
    <w:rsid w:val="47E47C6E"/>
    <w:rsid w:val="47E5355C"/>
    <w:rsid w:val="47E5C860"/>
    <w:rsid w:val="47E6474E"/>
    <w:rsid w:val="47E66568"/>
    <w:rsid w:val="47E72A37"/>
    <w:rsid w:val="47E76C14"/>
    <w:rsid w:val="47E79F10"/>
    <w:rsid w:val="47E7F016"/>
    <w:rsid w:val="47E80299"/>
    <w:rsid w:val="47E8A295"/>
    <w:rsid w:val="47E9C3B5"/>
    <w:rsid w:val="47EAF0C0"/>
    <w:rsid w:val="47EB83B4"/>
    <w:rsid w:val="47EBEE44"/>
    <w:rsid w:val="47EDB327"/>
    <w:rsid w:val="47EDE652"/>
    <w:rsid w:val="47EE3960"/>
    <w:rsid w:val="47EE7F43"/>
    <w:rsid w:val="47EF65C4"/>
    <w:rsid w:val="47EF9231"/>
    <w:rsid w:val="47EFB7E7"/>
    <w:rsid w:val="47F060C5"/>
    <w:rsid w:val="47F1917A"/>
    <w:rsid w:val="47F1E4F5"/>
    <w:rsid w:val="47F20041"/>
    <w:rsid w:val="47F27585"/>
    <w:rsid w:val="47F28B5C"/>
    <w:rsid w:val="47F3ADC3"/>
    <w:rsid w:val="47F4055A"/>
    <w:rsid w:val="47F49552"/>
    <w:rsid w:val="47F499C6"/>
    <w:rsid w:val="47F4A48B"/>
    <w:rsid w:val="47F4F784"/>
    <w:rsid w:val="47F55CA8"/>
    <w:rsid w:val="47F5AC48"/>
    <w:rsid w:val="47F5B6FF"/>
    <w:rsid w:val="47F65549"/>
    <w:rsid w:val="47F6D191"/>
    <w:rsid w:val="47F6D3AF"/>
    <w:rsid w:val="47F713D9"/>
    <w:rsid w:val="47F71818"/>
    <w:rsid w:val="47F76A42"/>
    <w:rsid w:val="47F79858"/>
    <w:rsid w:val="47F81710"/>
    <w:rsid w:val="47F84EEA"/>
    <w:rsid w:val="47F87B30"/>
    <w:rsid w:val="47F87B9D"/>
    <w:rsid w:val="47F8C160"/>
    <w:rsid w:val="47F8C4FA"/>
    <w:rsid w:val="47F9EE93"/>
    <w:rsid w:val="47FA552F"/>
    <w:rsid w:val="47FA7DB9"/>
    <w:rsid w:val="47FA9789"/>
    <w:rsid w:val="47FAE2B3"/>
    <w:rsid w:val="47FAEE25"/>
    <w:rsid w:val="47FBAD46"/>
    <w:rsid w:val="47FBFB90"/>
    <w:rsid w:val="47FC5987"/>
    <w:rsid w:val="47FC977D"/>
    <w:rsid w:val="47FEA794"/>
    <w:rsid w:val="47FFAAF7"/>
    <w:rsid w:val="47FFCDB7"/>
    <w:rsid w:val="47FFCDBE"/>
    <w:rsid w:val="4800F3C5"/>
    <w:rsid w:val="480198CA"/>
    <w:rsid w:val="4801B63D"/>
    <w:rsid w:val="48022BAA"/>
    <w:rsid w:val="48023FC9"/>
    <w:rsid w:val="48027AB7"/>
    <w:rsid w:val="4802887C"/>
    <w:rsid w:val="4802CB43"/>
    <w:rsid w:val="480335E9"/>
    <w:rsid w:val="480340E9"/>
    <w:rsid w:val="48038F65"/>
    <w:rsid w:val="4803E3C6"/>
    <w:rsid w:val="48048D82"/>
    <w:rsid w:val="4804C71C"/>
    <w:rsid w:val="48053707"/>
    <w:rsid w:val="48054102"/>
    <w:rsid w:val="48069891"/>
    <w:rsid w:val="48076721"/>
    <w:rsid w:val="4807A0B1"/>
    <w:rsid w:val="4809B538"/>
    <w:rsid w:val="480AF41B"/>
    <w:rsid w:val="480B5380"/>
    <w:rsid w:val="480B844B"/>
    <w:rsid w:val="480B95F7"/>
    <w:rsid w:val="480B9C13"/>
    <w:rsid w:val="480C6DA9"/>
    <w:rsid w:val="480E0AF3"/>
    <w:rsid w:val="480E5CD9"/>
    <w:rsid w:val="480F0FD8"/>
    <w:rsid w:val="480F44F9"/>
    <w:rsid w:val="480F66B7"/>
    <w:rsid w:val="480F958C"/>
    <w:rsid w:val="480FCE79"/>
    <w:rsid w:val="48106261"/>
    <w:rsid w:val="48110C40"/>
    <w:rsid w:val="48114C7D"/>
    <w:rsid w:val="4812BAD5"/>
    <w:rsid w:val="4812ECD2"/>
    <w:rsid w:val="4814057D"/>
    <w:rsid w:val="481418BC"/>
    <w:rsid w:val="48150A8D"/>
    <w:rsid w:val="48151513"/>
    <w:rsid w:val="48161839"/>
    <w:rsid w:val="48161DE7"/>
    <w:rsid w:val="48163DE2"/>
    <w:rsid w:val="4816D347"/>
    <w:rsid w:val="48171929"/>
    <w:rsid w:val="48173102"/>
    <w:rsid w:val="4817427E"/>
    <w:rsid w:val="48175FFE"/>
    <w:rsid w:val="4818587A"/>
    <w:rsid w:val="48187485"/>
    <w:rsid w:val="48192DA1"/>
    <w:rsid w:val="481BB73B"/>
    <w:rsid w:val="481C43AB"/>
    <w:rsid w:val="481C60D9"/>
    <w:rsid w:val="481CC0FA"/>
    <w:rsid w:val="481D1D16"/>
    <w:rsid w:val="481E321B"/>
    <w:rsid w:val="481FDCC1"/>
    <w:rsid w:val="48209F17"/>
    <w:rsid w:val="4820A35F"/>
    <w:rsid w:val="4820BCA9"/>
    <w:rsid w:val="48220EB5"/>
    <w:rsid w:val="4822CEB1"/>
    <w:rsid w:val="48238055"/>
    <w:rsid w:val="4823CB00"/>
    <w:rsid w:val="4823E767"/>
    <w:rsid w:val="48259077"/>
    <w:rsid w:val="4825A09A"/>
    <w:rsid w:val="4826A4FC"/>
    <w:rsid w:val="4826EAAB"/>
    <w:rsid w:val="48291032"/>
    <w:rsid w:val="48292EBD"/>
    <w:rsid w:val="482A030C"/>
    <w:rsid w:val="482A37CA"/>
    <w:rsid w:val="482A939E"/>
    <w:rsid w:val="482B0B50"/>
    <w:rsid w:val="482B97AE"/>
    <w:rsid w:val="482C63A2"/>
    <w:rsid w:val="482CF1B4"/>
    <w:rsid w:val="482F8765"/>
    <w:rsid w:val="482FD9E7"/>
    <w:rsid w:val="48303AE0"/>
    <w:rsid w:val="48304313"/>
    <w:rsid w:val="4830E55B"/>
    <w:rsid w:val="48310B09"/>
    <w:rsid w:val="48315D0F"/>
    <w:rsid w:val="4832227D"/>
    <w:rsid w:val="48324340"/>
    <w:rsid w:val="48327104"/>
    <w:rsid w:val="4832DF61"/>
    <w:rsid w:val="48332CC4"/>
    <w:rsid w:val="48338D6B"/>
    <w:rsid w:val="483391AC"/>
    <w:rsid w:val="4834B1AE"/>
    <w:rsid w:val="4835F6AC"/>
    <w:rsid w:val="48361C50"/>
    <w:rsid w:val="48363EF3"/>
    <w:rsid w:val="4836B900"/>
    <w:rsid w:val="4836D473"/>
    <w:rsid w:val="4836DD52"/>
    <w:rsid w:val="4838B9C4"/>
    <w:rsid w:val="483AFDDB"/>
    <w:rsid w:val="483BA774"/>
    <w:rsid w:val="483C39D4"/>
    <w:rsid w:val="483CB50C"/>
    <w:rsid w:val="483DC881"/>
    <w:rsid w:val="483DF19B"/>
    <w:rsid w:val="483DFEA8"/>
    <w:rsid w:val="484006CB"/>
    <w:rsid w:val="484096A3"/>
    <w:rsid w:val="4840DB04"/>
    <w:rsid w:val="48410AC8"/>
    <w:rsid w:val="48417F7B"/>
    <w:rsid w:val="48423284"/>
    <w:rsid w:val="4842EFA9"/>
    <w:rsid w:val="48430D4B"/>
    <w:rsid w:val="4843102F"/>
    <w:rsid w:val="484326EB"/>
    <w:rsid w:val="48435C6C"/>
    <w:rsid w:val="48446B40"/>
    <w:rsid w:val="4844AA53"/>
    <w:rsid w:val="48450833"/>
    <w:rsid w:val="4845CAD0"/>
    <w:rsid w:val="4846B7A1"/>
    <w:rsid w:val="48470E84"/>
    <w:rsid w:val="48479E54"/>
    <w:rsid w:val="48482241"/>
    <w:rsid w:val="4848410B"/>
    <w:rsid w:val="4848AD5D"/>
    <w:rsid w:val="4848D3C8"/>
    <w:rsid w:val="4848F269"/>
    <w:rsid w:val="48495FCB"/>
    <w:rsid w:val="484A46A0"/>
    <w:rsid w:val="484B4038"/>
    <w:rsid w:val="484B6C42"/>
    <w:rsid w:val="484B896C"/>
    <w:rsid w:val="484C4A2C"/>
    <w:rsid w:val="484C9158"/>
    <w:rsid w:val="484DB129"/>
    <w:rsid w:val="484E229B"/>
    <w:rsid w:val="484E6ED9"/>
    <w:rsid w:val="484F407F"/>
    <w:rsid w:val="48501F6F"/>
    <w:rsid w:val="48506EF6"/>
    <w:rsid w:val="48521041"/>
    <w:rsid w:val="48525A25"/>
    <w:rsid w:val="48530187"/>
    <w:rsid w:val="4853761C"/>
    <w:rsid w:val="485382E2"/>
    <w:rsid w:val="4853AFE9"/>
    <w:rsid w:val="4853F492"/>
    <w:rsid w:val="4855F0BA"/>
    <w:rsid w:val="48560CFA"/>
    <w:rsid w:val="4856BDBF"/>
    <w:rsid w:val="4856DC79"/>
    <w:rsid w:val="4857B041"/>
    <w:rsid w:val="4859BE3E"/>
    <w:rsid w:val="485AAC46"/>
    <w:rsid w:val="485AE61F"/>
    <w:rsid w:val="485B5B63"/>
    <w:rsid w:val="485C1DD9"/>
    <w:rsid w:val="485C9C66"/>
    <w:rsid w:val="485CA0AC"/>
    <w:rsid w:val="485CEB78"/>
    <w:rsid w:val="485D50C7"/>
    <w:rsid w:val="485D617A"/>
    <w:rsid w:val="485D9D9D"/>
    <w:rsid w:val="485DA194"/>
    <w:rsid w:val="485E1FE0"/>
    <w:rsid w:val="485E910D"/>
    <w:rsid w:val="485ECC1E"/>
    <w:rsid w:val="485ED7FE"/>
    <w:rsid w:val="485F594B"/>
    <w:rsid w:val="485FA7CD"/>
    <w:rsid w:val="48605326"/>
    <w:rsid w:val="486070E7"/>
    <w:rsid w:val="4861504A"/>
    <w:rsid w:val="4861FEBF"/>
    <w:rsid w:val="486218DC"/>
    <w:rsid w:val="4862881F"/>
    <w:rsid w:val="4862A50E"/>
    <w:rsid w:val="4862AE9B"/>
    <w:rsid w:val="48630AFD"/>
    <w:rsid w:val="48634A93"/>
    <w:rsid w:val="48644037"/>
    <w:rsid w:val="486456A5"/>
    <w:rsid w:val="4864B5C2"/>
    <w:rsid w:val="48655F01"/>
    <w:rsid w:val="4865A1EA"/>
    <w:rsid w:val="4865C45F"/>
    <w:rsid w:val="486607D9"/>
    <w:rsid w:val="48663397"/>
    <w:rsid w:val="48667ACF"/>
    <w:rsid w:val="48671BF3"/>
    <w:rsid w:val="48678AC6"/>
    <w:rsid w:val="486855B3"/>
    <w:rsid w:val="48685C3D"/>
    <w:rsid w:val="4868FB66"/>
    <w:rsid w:val="48699599"/>
    <w:rsid w:val="4869C80D"/>
    <w:rsid w:val="486ABB74"/>
    <w:rsid w:val="486AE4AF"/>
    <w:rsid w:val="486B3A7F"/>
    <w:rsid w:val="486C22AF"/>
    <w:rsid w:val="486C3B25"/>
    <w:rsid w:val="486CE52F"/>
    <w:rsid w:val="486DE0DF"/>
    <w:rsid w:val="486E296E"/>
    <w:rsid w:val="486F2F44"/>
    <w:rsid w:val="486F5346"/>
    <w:rsid w:val="48712886"/>
    <w:rsid w:val="48737982"/>
    <w:rsid w:val="48745058"/>
    <w:rsid w:val="48749006"/>
    <w:rsid w:val="48749D63"/>
    <w:rsid w:val="4875C113"/>
    <w:rsid w:val="4875CA89"/>
    <w:rsid w:val="4876F13C"/>
    <w:rsid w:val="48779976"/>
    <w:rsid w:val="4878DBCD"/>
    <w:rsid w:val="48792457"/>
    <w:rsid w:val="48792FE8"/>
    <w:rsid w:val="4879A25C"/>
    <w:rsid w:val="487A4460"/>
    <w:rsid w:val="487AFC83"/>
    <w:rsid w:val="487B5C70"/>
    <w:rsid w:val="487BA84E"/>
    <w:rsid w:val="487D21F2"/>
    <w:rsid w:val="487D8BEE"/>
    <w:rsid w:val="487E4358"/>
    <w:rsid w:val="487EBD6F"/>
    <w:rsid w:val="487F38EB"/>
    <w:rsid w:val="487F636B"/>
    <w:rsid w:val="487FDF6A"/>
    <w:rsid w:val="4880A613"/>
    <w:rsid w:val="4880EB25"/>
    <w:rsid w:val="48810B72"/>
    <w:rsid w:val="48818683"/>
    <w:rsid w:val="4882A45E"/>
    <w:rsid w:val="4882B544"/>
    <w:rsid w:val="488312D1"/>
    <w:rsid w:val="4883E222"/>
    <w:rsid w:val="4883E5D7"/>
    <w:rsid w:val="48857A7D"/>
    <w:rsid w:val="4885A85A"/>
    <w:rsid w:val="4885F904"/>
    <w:rsid w:val="4886902C"/>
    <w:rsid w:val="4886CA38"/>
    <w:rsid w:val="4886D4B1"/>
    <w:rsid w:val="488731A6"/>
    <w:rsid w:val="488760BB"/>
    <w:rsid w:val="4887A425"/>
    <w:rsid w:val="48887410"/>
    <w:rsid w:val="4888927A"/>
    <w:rsid w:val="4888B7D1"/>
    <w:rsid w:val="4888D439"/>
    <w:rsid w:val="48892985"/>
    <w:rsid w:val="4889EB51"/>
    <w:rsid w:val="488A02CA"/>
    <w:rsid w:val="488A0EB5"/>
    <w:rsid w:val="488AB03E"/>
    <w:rsid w:val="488ACBEE"/>
    <w:rsid w:val="488B1737"/>
    <w:rsid w:val="488C6A11"/>
    <w:rsid w:val="488DB8BD"/>
    <w:rsid w:val="488EF1F0"/>
    <w:rsid w:val="488F1D15"/>
    <w:rsid w:val="4890004D"/>
    <w:rsid w:val="489079E6"/>
    <w:rsid w:val="48907B26"/>
    <w:rsid w:val="489101EA"/>
    <w:rsid w:val="48910AE8"/>
    <w:rsid w:val="4891DAEB"/>
    <w:rsid w:val="4891F708"/>
    <w:rsid w:val="4892148A"/>
    <w:rsid w:val="48931C9F"/>
    <w:rsid w:val="4893F6C0"/>
    <w:rsid w:val="48940AEE"/>
    <w:rsid w:val="489477A5"/>
    <w:rsid w:val="489487AF"/>
    <w:rsid w:val="489487F8"/>
    <w:rsid w:val="4894A89F"/>
    <w:rsid w:val="489588D6"/>
    <w:rsid w:val="48961DB2"/>
    <w:rsid w:val="48969778"/>
    <w:rsid w:val="4896BFC1"/>
    <w:rsid w:val="4896C983"/>
    <w:rsid w:val="4897C289"/>
    <w:rsid w:val="48987DCE"/>
    <w:rsid w:val="4898981F"/>
    <w:rsid w:val="4898B52E"/>
    <w:rsid w:val="489941EC"/>
    <w:rsid w:val="48999CF9"/>
    <w:rsid w:val="489AC7EE"/>
    <w:rsid w:val="489BD296"/>
    <w:rsid w:val="489E8586"/>
    <w:rsid w:val="489EB12F"/>
    <w:rsid w:val="489EE588"/>
    <w:rsid w:val="489F0C01"/>
    <w:rsid w:val="489F0C3E"/>
    <w:rsid w:val="489FA36C"/>
    <w:rsid w:val="489FD2F8"/>
    <w:rsid w:val="48A021B5"/>
    <w:rsid w:val="48A10476"/>
    <w:rsid w:val="48A12466"/>
    <w:rsid w:val="48A1B056"/>
    <w:rsid w:val="48A2EE20"/>
    <w:rsid w:val="48A32193"/>
    <w:rsid w:val="48A3668A"/>
    <w:rsid w:val="48A36779"/>
    <w:rsid w:val="48A38BD2"/>
    <w:rsid w:val="48A3CCA2"/>
    <w:rsid w:val="48A3FB56"/>
    <w:rsid w:val="48A45204"/>
    <w:rsid w:val="48A5B1AB"/>
    <w:rsid w:val="48A5B2D7"/>
    <w:rsid w:val="48A613A3"/>
    <w:rsid w:val="48A699DE"/>
    <w:rsid w:val="48A8524F"/>
    <w:rsid w:val="48A938CA"/>
    <w:rsid w:val="48AA4DFB"/>
    <w:rsid w:val="48AC686B"/>
    <w:rsid w:val="48ACD810"/>
    <w:rsid w:val="48ADBB51"/>
    <w:rsid w:val="48ADD478"/>
    <w:rsid w:val="48ADE0D2"/>
    <w:rsid w:val="48ADE6C4"/>
    <w:rsid w:val="48AE2ED4"/>
    <w:rsid w:val="48AF1813"/>
    <w:rsid w:val="48AF9624"/>
    <w:rsid w:val="48B02709"/>
    <w:rsid w:val="48B02EE5"/>
    <w:rsid w:val="48B0F15D"/>
    <w:rsid w:val="48B0F6EE"/>
    <w:rsid w:val="48B17593"/>
    <w:rsid w:val="48B18ADA"/>
    <w:rsid w:val="48B212A9"/>
    <w:rsid w:val="48B2FD74"/>
    <w:rsid w:val="48B4A4AC"/>
    <w:rsid w:val="48B4AF86"/>
    <w:rsid w:val="48B55178"/>
    <w:rsid w:val="48B6B881"/>
    <w:rsid w:val="48B7747E"/>
    <w:rsid w:val="48B98049"/>
    <w:rsid w:val="48B989A8"/>
    <w:rsid w:val="48BA1405"/>
    <w:rsid w:val="48BA5BE2"/>
    <w:rsid w:val="48BC18BD"/>
    <w:rsid w:val="48BCACF7"/>
    <w:rsid w:val="48BDBA08"/>
    <w:rsid w:val="48BF3301"/>
    <w:rsid w:val="48BF4EBE"/>
    <w:rsid w:val="48BFD68C"/>
    <w:rsid w:val="48BFFBD5"/>
    <w:rsid w:val="48C0FB64"/>
    <w:rsid w:val="48C10943"/>
    <w:rsid w:val="48C1D83C"/>
    <w:rsid w:val="48C2561C"/>
    <w:rsid w:val="48C25FF2"/>
    <w:rsid w:val="48C26C8D"/>
    <w:rsid w:val="48C33AC4"/>
    <w:rsid w:val="48C3571D"/>
    <w:rsid w:val="48C3A3DF"/>
    <w:rsid w:val="48C44F1D"/>
    <w:rsid w:val="48C4B8FE"/>
    <w:rsid w:val="48C557EB"/>
    <w:rsid w:val="48C593D9"/>
    <w:rsid w:val="48C59E7A"/>
    <w:rsid w:val="48C60253"/>
    <w:rsid w:val="48C62B2D"/>
    <w:rsid w:val="48C6E2FB"/>
    <w:rsid w:val="48C756B6"/>
    <w:rsid w:val="48C81939"/>
    <w:rsid w:val="48C8521B"/>
    <w:rsid w:val="48C8FC70"/>
    <w:rsid w:val="48C9E63A"/>
    <w:rsid w:val="48CA13EE"/>
    <w:rsid w:val="48CA3EA1"/>
    <w:rsid w:val="48CA83B9"/>
    <w:rsid w:val="48CA986F"/>
    <w:rsid w:val="48CC005A"/>
    <w:rsid w:val="48CC483E"/>
    <w:rsid w:val="48CCE30D"/>
    <w:rsid w:val="48CDD724"/>
    <w:rsid w:val="48CE7395"/>
    <w:rsid w:val="48CECED3"/>
    <w:rsid w:val="48CEFC66"/>
    <w:rsid w:val="48CF01AD"/>
    <w:rsid w:val="48CFCCA8"/>
    <w:rsid w:val="48D02A53"/>
    <w:rsid w:val="48D04F9D"/>
    <w:rsid w:val="48D0FE72"/>
    <w:rsid w:val="48D2189C"/>
    <w:rsid w:val="48D26A0A"/>
    <w:rsid w:val="48D2FB21"/>
    <w:rsid w:val="48D2FC41"/>
    <w:rsid w:val="48D33362"/>
    <w:rsid w:val="48D36D81"/>
    <w:rsid w:val="48D3AA35"/>
    <w:rsid w:val="48D3C049"/>
    <w:rsid w:val="48D491CA"/>
    <w:rsid w:val="48D4B5FD"/>
    <w:rsid w:val="48D4C3EF"/>
    <w:rsid w:val="48D59808"/>
    <w:rsid w:val="48D6503C"/>
    <w:rsid w:val="48D65FE0"/>
    <w:rsid w:val="48D68298"/>
    <w:rsid w:val="48D6C05B"/>
    <w:rsid w:val="48D74BD5"/>
    <w:rsid w:val="48D8478E"/>
    <w:rsid w:val="48D871B4"/>
    <w:rsid w:val="48D8E0FB"/>
    <w:rsid w:val="48D9588F"/>
    <w:rsid w:val="48D98D03"/>
    <w:rsid w:val="48DA1F25"/>
    <w:rsid w:val="48DA749C"/>
    <w:rsid w:val="48DA967A"/>
    <w:rsid w:val="48DB5F40"/>
    <w:rsid w:val="48DB9E20"/>
    <w:rsid w:val="48DBBE50"/>
    <w:rsid w:val="48DBE445"/>
    <w:rsid w:val="48DBF439"/>
    <w:rsid w:val="48DC2D6B"/>
    <w:rsid w:val="48DCE642"/>
    <w:rsid w:val="48DCEF28"/>
    <w:rsid w:val="48DD4340"/>
    <w:rsid w:val="48DD541A"/>
    <w:rsid w:val="48DEC036"/>
    <w:rsid w:val="48DF4654"/>
    <w:rsid w:val="48DF75FE"/>
    <w:rsid w:val="48E06151"/>
    <w:rsid w:val="48E083E7"/>
    <w:rsid w:val="48E226E8"/>
    <w:rsid w:val="48E297F6"/>
    <w:rsid w:val="48E2E7EE"/>
    <w:rsid w:val="48E3462E"/>
    <w:rsid w:val="48E3A158"/>
    <w:rsid w:val="48E4165E"/>
    <w:rsid w:val="48E57A60"/>
    <w:rsid w:val="48E5839F"/>
    <w:rsid w:val="48E5B2DC"/>
    <w:rsid w:val="48E5F712"/>
    <w:rsid w:val="48E624CC"/>
    <w:rsid w:val="48E6BA98"/>
    <w:rsid w:val="48E7C094"/>
    <w:rsid w:val="48E89179"/>
    <w:rsid w:val="48E9541F"/>
    <w:rsid w:val="48E9AE72"/>
    <w:rsid w:val="48E9AF1A"/>
    <w:rsid w:val="48E9DD63"/>
    <w:rsid w:val="48EA7710"/>
    <w:rsid w:val="48EAD1F8"/>
    <w:rsid w:val="48EB93F0"/>
    <w:rsid w:val="48EC359A"/>
    <w:rsid w:val="48ECA474"/>
    <w:rsid w:val="48ED5612"/>
    <w:rsid w:val="48ED57F4"/>
    <w:rsid w:val="48ED5ED9"/>
    <w:rsid w:val="48ED757D"/>
    <w:rsid w:val="48EF19C0"/>
    <w:rsid w:val="48EF657F"/>
    <w:rsid w:val="48F02D62"/>
    <w:rsid w:val="48F0EF8A"/>
    <w:rsid w:val="48F3174F"/>
    <w:rsid w:val="48F3AC4F"/>
    <w:rsid w:val="48F57291"/>
    <w:rsid w:val="48F57E55"/>
    <w:rsid w:val="48F6D6FE"/>
    <w:rsid w:val="48F78EAB"/>
    <w:rsid w:val="48F948D5"/>
    <w:rsid w:val="48F9633A"/>
    <w:rsid w:val="48F992CA"/>
    <w:rsid w:val="48FA6861"/>
    <w:rsid w:val="48FC21E3"/>
    <w:rsid w:val="48FC4289"/>
    <w:rsid w:val="48FC7C18"/>
    <w:rsid w:val="48FCCA5A"/>
    <w:rsid w:val="48FD9291"/>
    <w:rsid w:val="48FE1D45"/>
    <w:rsid w:val="48FF1145"/>
    <w:rsid w:val="48FF39D9"/>
    <w:rsid w:val="48FF4CCA"/>
    <w:rsid w:val="48FF56FB"/>
    <w:rsid w:val="4900207C"/>
    <w:rsid w:val="49002AD6"/>
    <w:rsid w:val="49018B06"/>
    <w:rsid w:val="4901A70A"/>
    <w:rsid w:val="4901E2FC"/>
    <w:rsid w:val="4901F70F"/>
    <w:rsid w:val="4901FC6D"/>
    <w:rsid w:val="49027101"/>
    <w:rsid w:val="49032068"/>
    <w:rsid w:val="4903D87D"/>
    <w:rsid w:val="4903F858"/>
    <w:rsid w:val="4904247A"/>
    <w:rsid w:val="49043B71"/>
    <w:rsid w:val="49047012"/>
    <w:rsid w:val="49051108"/>
    <w:rsid w:val="49055FC4"/>
    <w:rsid w:val="49058165"/>
    <w:rsid w:val="49058643"/>
    <w:rsid w:val="49058A55"/>
    <w:rsid w:val="490605D6"/>
    <w:rsid w:val="4906CFF8"/>
    <w:rsid w:val="4907464A"/>
    <w:rsid w:val="49077FA8"/>
    <w:rsid w:val="4908074A"/>
    <w:rsid w:val="49081142"/>
    <w:rsid w:val="49095CCD"/>
    <w:rsid w:val="49095F95"/>
    <w:rsid w:val="4909A8C0"/>
    <w:rsid w:val="490A46F9"/>
    <w:rsid w:val="490B0C86"/>
    <w:rsid w:val="490B2891"/>
    <w:rsid w:val="490B2A9B"/>
    <w:rsid w:val="490CB84A"/>
    <w:rsid w:val="490D6116"/>
    <w:rsid w:val="490D9B09"/>
    <w:rsid w:val="490DA953"/>
    <w:rsid w:val="490E1240"/>
    <w:rsid w:val="490EC05E"/>
    <w:rsid w:val="490FEF06"/>
    <w:rsid w:val="49100525"/>
    <w:rsid w:val="4910974E"/>
    <w:rsid w:val="4910D9DD"/>
    <w:rsid w:val="4911A95B"/>
    <w:rsid w:val="49125D53"/>
    <w:rsid w:val="4913F9BD"/>
    <w:rsid w:val="4913FBE9"/>
    <w:rsid w:val="49152360"/>
    <w:rsid w:val="491534B0"/>
    <w:rsid w:val="4916D7D3"/>
    <w:rsid w:val="4916D90D"/>
    <w:rsid w:val="4916FA9D"/>
    <w:rsid w:val="49179DF9"/>
    <w:rsid w:val="4917A10E"/>
    <w:rsid w:val="4919B772"/>
    <w:rsid w:val="491A59F4"/>
    <w:rsid w:val="491B00E6"/>
    <w:rsid w:val="491B1E31"/>
    <w:rsid w:val="491B2020"/>
    <w:rsid w:val="491B3BD8"/>
    <w:rsid w:val="491B4835"/>
    <w:rsid w:val="491BA6EF"/>
    <w:rsid w:val="491BE533"/>
    <w:rsid w:val="491BEAB1"/>
    <w:rsid w:val="491C3649"/>
    <w:rsid w:val="491C93D0"/>
    <w:rsid w:val="491D786D"/>
    <w:rsid w:val="491DCF44"/>
    <w:rsid w:val="491DDA10"/>
    <w:rsid w:val="491F0FE4"/>
    <w:rsid w:val="491F62F1"/>
    <w:rsid w:val="491FA926"/>
    <w:rsid w:val="4920A80B"/>
    <w:rsid w:val="4920D718"/>
    <w:rsid w:val="4921623D"/>
    <w:rsid w:val="4921CC69"/>
    <w:rsid w:val="4921EAAB"/>
    <w:rsid w:val="4922174C"/>
    <w:rsid w:val="49222173"/>
    <w:rsid w:val="492242FA"/>
    <w:rsid w:val="49224775"/>
    <w:rsid w:val="4923E3BA"/>
    <w:rsid w:val="492427C3"/>
    <w:rsid w:val="49247374"/>
    <w:rsid w:val="49248963"/>
    <w:rsid w:val="4924EC1A"/>
    <w:rsid w:val="49253994"/>
    <w:rsid w:val="4925915C"/>
    <w:rsid w:val="49260319"/>
    <w:rsid w:val="4926452C"/>
    <w:rsid w:val="4927A0B4"/>
    <w:rsid w:val="49282EC7"/>
    <w:rsid w:val="49288920"/>
    <w:rsid w:val="49289690"/>
    <w:rsid w:val="4928A9F5"/>
    <w:rsid w:val="49291BC2"/>
    <w:rsid w:val="49298E2A"/>
    <w:rsid w:val="4929BDD2"/>
    <w:rsid w:val="4929EA07"/>
    <w:rsid w:val="492A0601"/>
    <w:rsid w:val="492ACB73"/>
    <w:rsid w:val="492BCA9B"/>
    <w:rsid w:val="492C7F87"/>
    <w:rsid w:val="492CAC17"/>
    <w:rsid w:val="492D955E"/>
    <w:rsid w:val="492DC3F2"/>
    <w:rsid w:val="492DFE7E"/>
    <w:rsid w:val="492EB8B5"/>
    <w:rsid w:val="49304B64"/>
    <w:rsid w:val="49306056"/>
    <w:rsid w:val="4930856E"/>
    <w:rsid w:val="493097E6"/>
    <w:rsid w:val="4930AF0D"/>
    <w:rsid w:val="4930B0AB"/>
    <w:rsid w:val="49314D1F"/>
    <w:rsid w:val="4931CB7F"/>
    <w:rsid w:val="49322D9F"/>
    <w:rsid w:val="49330D4A"/>
    <w:rsid w:val="493409AB"/>
    <w:rsid w:val="493465AD"/>
    <w:rsid w:val="49352262"/>
    <w:rsid w:val="493607E1"/>
    <w:rsid w:val="4936682E"/>
    <w:rsid w:val="4936A400"/>
    <w:rsid w:val="4936D986"/>
    <w:rsid w:val="4937350F"/>
    <w:rsid w:val="49381385"/>
    <w:rsid w:val="493832BC"/>
    <w:rsid w:val="493889B7"/>
    <w:rsid w:val="4938DB2F"/>
    <w:rsid w:val="4938DEAD"/>
    <w:rsid w:val="49390B84"/>
    <w:rsid w:val="4939307A"/>
    <w:rsid w:val="493971BD"/>
    <w:rsid w:val="493A2827"/>
    <w:rsid w:val="493B45E9"/>
    <w:rsid w:val="493B9CAC"/>
    <w:rsid w:val="493BA649"/>
    <w:rsid w:val="493BC616"/>
    <w:rsid w:val="493BF12F"/>
    <w:rsid w:val="493C1C36"/>
    <w:rsid w:val="493C47A8"/>
    <w:rsid w:val="493C8B50"/>
    <w:rsid w:val="493D313A"/>
    <w:rsid w:val="493DDB1D"/>
    <w:rsid w:val="493E2FD6"/>
    <w:rsid w:val="493E6BEC"/>
    <w:rsid w:val="493E8C5E"/>
    <w:rsid w:val="493EF7D1"/>
    <w:rsid w:val="493FFA93"/>
    <w:rsid w:val="4940216E"/>
    <w:rsid w:val="49406966"/>
    <w:rsid w:val="4940C6CA"/>
    <w:rsid w:val="4940D4ED"/>
    <w:rsid w:val="4940F60C"/>
    <w:rsid w:val="4941CF62"/>
    <w:rsid w:val="4941E2FC"/>
    <w:rsid w:val="4942CC4A"/>
    <w:rsid w:val="4942DC17"/>
    <w:rsid w:val="4942DF84"/>
    <w:rsid w:val="49430E99"/>
    <w:rsid w:val="49434A0F"/>
    <w:rsid w:val="49441333"/>
    <w:rsid w:val="4944D4A1"/>
    <w:rsid w:val="4945ABDA"/>
    <w:rsid w:val="4946A078"/>
    <w:rsid w:val="494778F9"/>
    <w:rsid w:val="4947C507"/>
    <w:rsid w:val="4947CEDD"/>
    <w:rsid w:val="4947E5F9"/>
    <w:rsid w:val="4948D151"/>
    <w:rsid w:val="4948E5AE"/>
    <w:rsid w:val="49495E60"/>
    <w:rsid w:val="49495FBA"/>
    <w:rsid w:val="4949E6B6"/>
    <w:rsid w:val="494A6F90"/>
    <w:rsid w:val="494C1C02"/>
    <w:rsid w:val="494C2AFE"/>
    <w:rsid w:val="494C8EFA"/>
    <w:rsid w:val="494CC682"/>
    <w:rsid w:val="494CDC40"/>
    <w:rsid w:val="494D02B3"/>
    <w:rsid w:val="494D1E62"/>
    <w:rsid w:val="494D5C43"/>
    <w:rsid w:val="494DA198"/>
    <w:rsid w:val="494DA73F"/>
    <w:rsid w:val="494F0759"/>
    <w:rsid w:val="494F9557"/>
    <w:rsid w:val="494FD0FF"/>
    <w:rsid w:val="494FDE1C"/>
    <w:rsid w:val="494FE62E"/>
    <w:rsid w:val="494FFDC0"/>
    <w:rsid w:val="49501B83"/>
    <w:rsid w:val="49505A6C"/>
    <w:rsid w:val="4950775E"/>
    <w:rsid w:val="49513373"/>
    <w:rsid w:val="4951885A"/>
    <w:rsid w:val="495250B6"/>
    <w:rsid w:val="4953144D"/>
    <w:rsid w:val="4953CC42"/>
    <w:rsid w:val="49541804"/>
    <w:rsid w:val="49541CE8"/>
    <w:rsid w:val="49548CC5"/>
    <w:rsid w:val="4954B80A"/>
    <w:rsid w:val="495505CF"/>
    <w:rsid w:val="495529D4"/>
    <w:rsid w:val="495536B2"/>
    <w:rsid w:val="49571980"/>
    <w:rsid w:val="49577DB4"/>
    <w:rsid w:val="4958276D"/>
    <w:rsid w:val="4958B76F"/>
    <w:rsid w:val="4959148E"/>
    <w:rsid w:val="4959978A"/>
    <w:rsid w:val="4959B471"/>
    <w:rsid w:val="495A6DE7"/>
    <w:rsid w:val="495AE8A0"/>
    <w:rsid w:val="495B434A"/>
    <w:rsid w:val="495B8F96"/>
    <w:rsid w:val="495CA924"/>
    <w:rsid w:val="495EBA14"/>
    <w:rsid w:val="495ED760"/>
    <w:rsid w:val="495FDAB1"/>
    <w:rsid w:val="496028EE"/>
    <w:rsid w:val="49603393"/>
    <w:rsid w:val="49605C26"/>
    <w:rsid w:val="4962982D"/>
    <w:rsid w:val="4962AE78"/>
    <w:rsid w:val="4962C40B"/>
    <w:rsid w:val="49634C3F"/>
    <w:rsid w:val="4963C31F"/>
    <w:rsid w:val="49641302"/>
    <w:rsid w:val="4964590B"/>
    <w:rsid w:val="49648CCB"/>
    <w:rsid w:val="49656F2B"/>
    <w:rsid w:val="4966E509"/>
    <w:rsid w:val="49675956"/>
    <w:rsid w:val="4967F347"/>
    <w:rsid w:val="4968F4DE"/>
    <w:rsid w:val="49694F8B"/>
    <w:rsid w:val="49698970"/>
    <w:rsid w:val="4969CA2A"/>
    <w:rsid w:val="496A2EA6"/>
    <w:rsid w:val="496A8AA8"/>
    <w:rsid w:val="496B2F3B"/>
    <w:rsid w:val="496CC98C"/>
    <w:rsid w:val="496CDEFE"/>
    <w:rsid w:val="496D0B2F"/>
    <w:rsid w:val="496D78F3"/>
    <w:rsid w:val="496E0768"/>
    <w:rsid w:val="496F170D"/>
    <w:rsid w:val="496F20C6"/>
    <w:rsid w:val="496F8CA5"/>
    <w:rsid w:val="496FD3F9"/>
    <w:rsid w:val="497059F7"/>
    <w:rsid w:val="4970B750"/>
    <w:rsid w:val="49711021"/>
    <w:rsid w:val="4971F6F3"/>
    <w:rsid w:val="4972337B"/>
    <w:rsid w:val="49738D9C"/>
    <w:rsid w:val="49746BE8"/>
    <w:rsid w:val="49749721"/>
    <w:rsid w:val="4974A4CE"/>
    <w:rsid w:val="4974E280"/>
    <w:rsid w:val="497545DC"/>
    <w:rsid w:val="4975C09E"/>
    <w:rsid w:val="4975EE64"/>
    <w:rsid w:val="49760F03"/>
    <w:rsid w:val="49772DE2"/>
    <w:rsid w:val="49773AED"/>
    <w:rsid w:val="4979B0C0"/>
    <w:rsid w:val="497A4B9A"/>
    <w:rsid w:val="497A5774"/>
    <w:rsid w:val="497A5D6B"/>
    <w:rsid w:val="497A789B"/>
    <w:rsid w:val="497B5A5D"/>
    <w:rsid w:val="497CD568"/>
    <w:rsid w:val="497E6E82"/>
    <w:rsid w:val="497E71AB"/>
    <w:rsid w:val="497EA95F"/>
    <w:rsid w:val="497ED6B2"/>
    <w:rsid w:val="49805DC2"/>
    <w:rsid w:val="4981D59B"/>
    <w:rsid w:val="4981EEBC"/>
    <w:rsid w:val="49821161"/>
    <w:rsid w:val="4982B6F0"/>
    <w:rsid w:val="498302D8"/>
    <w:rsid w:val="49831B31"/>
    <w:rsid w:val="4983357E"/>
    <w:rsid w:val="49837024"/>
    <w:rsid w:val="4983A0F2"/>
    <w:rsid w:val="4983D5CA"/>
    <w:rsid w:val="4984C209"/>
    <w:rsid w:val="49857B21"/>
    <w:rsid w:val="4985863F"/>
    <w:rsid w:val="4985D504"/>
    <w:rsid w:val="4986AC86"/>
    <w:rsid w:val="498887D5"/>
    <w:rsid w:val="4988B37D"/>
    <w:rsid w:val="4989B04B"/>
    <w:rsid w:val="498A1B80"/>
    <w:rsid w:val="498A8284"/>
    <w:rsid w:val="498AA3D4"/>
    <w:rsid w:val="498B9516"/>
    <w:rsid w:val="498C1A48"/>
    <w:rsid w:val="498C3CB7"/>
    <w:rsid w:val="498C7F1D"/>
    <w:rsid w:val="498D2504"/>
    <w:rsid w:val="498D6221"/>
    <w:rsid w:val="498DF0EB"/>
    <w:rsid w:val="498E655A"/>
    <w:rsid w:val="498F13C9"/>
    <w:rsid w:val="498FA344"/>
    <w:rsid w:val="498FFAD0"/>
    <w:rsid w:val="49900B0D"/>
    <w:rsid w:val="4991BB3E"/>
    <w:rsid w:val="4991EB88"/>
    <w:rsid w:val="499205CD"/>
    <w:rsid w:val="499257AD"/>
    <w:rsid w:val="4992AE63"/>
    <w:rsid w:val="4992DEF0"/>
    <w:rsid w:val="499315BA"/>
    <w:rsid w:val="499356D2"/>
    <w:rsid w:val="49946088"/>
    <w:rsid w:val="4994F39D"/>
    <w:rsid w:val="49957513"/>
    <w:rsid w:val="49962447"/>
    <w:rsid w:val="499674B8"/>
    <w:rsid w:val="49969573"/>
    <w:rsid w:val="49969E14"/>
    <w:rsid w:val="49971B06"/>
    <w:rsid w:val="4997613E"/>
    <w:rsid w:val="49980C86"/>
    <w:rsid w:val="49988F33"/>
    <w:rsid w:val="4998BE7B"/>
    <w:rsid w:val="49991ADC"/>
    <w:rsid w:val="499937E3"/>
    <w:rsid w:val="49998DA1"/>
    <w:rsid w:val="499A05D3"/>
    <w:rsid w:val="499A1C05"/>
    <w:rsid w:val="499A36A8"/>
    <w:rsid w:val="499B0ACF"/>
    <w:rsid w:val="499C12BF"/>
    <w:rsid w:val="499D1B7E"/>
    <w:rsid w:val="499D2504"/>
    <w:rsid w:val="499D60C2"/>
    <w:rsid w:val="499DE935"/>
    <w:rsid w:val="499E1E40"/>
    <w:rsid w:val="499E6F3F"/>
    <w:rsid w:val="499E7B80"/>
    <w:rsid w:val="499EEAF9"/>
    <w:rsid w:val="499F170A"/>
    <w:rsid w:val="499F282A"/>
    <w:rsid w:val="499F6F45"/>
    <w:rsid w:val="499FC99B"/>
    <w:rsid w:val="499FCE29"/>
    <w:rsid w:val="499FF0C6"/>
    <w:rsid w:val="49A0096A"/>
    <w:rsid w:val="49A1450C"/>
    <w:rsid w:val="49A2233F"/>
    <w:rsid w:val="49A26387"/>
    <w:rsid w:val="49A2FFEA"/>
    <w:rsid w:val="49A379D6"/>
    <w:rsid w:val="49A3FE37"/>
    <w:rsid w:val="49A4C527"/>
    <w:rsid w:val="49A4FA9E"/>
    <w:rsid w:val="49A56ED5"/>
    <w:rsid w:val="49A6AC42"/>
    <w:rsid w:val="49A73FC7"/>
    <w:rsid w:val="49A7BC82"/>
    <w:rsid w:val="49A7D0CA"/>
    <w:rsid w:val="49A7DCE1"/>
    <w:rsid w:val="49A8C68C"/>
    <w:rsid w:val="49A8D753"/>
    <w:rsid w:val="49A928BC"/>
    <w:rsid w:val="49A9354E"/>
    <w:rsid w:val="49AAB3F4"/>
    <w:rsid w:val="49AC3A2A"/>
    <w:rsid w:val="49AC85FF"/>
    <w:rsid w:val="49AD6952"/>
    <w:rsid w:val="49ADA666"/>
    <w:rsid w:val="49ADAC3E"/>
    <w:rsid w:val="49ADF787"/>
    <w:rsid w:val="49AE3451"/>
    <w:rsid w:val="49AE5C3B"/>
    <w:rsid w:val="49AEA7EB"/>
    <w:rsid w:val="49AEC92B"/>
    <w:rsid w:val="49AF42E8"/>
    <w:rsid w:val="49B01153"/>
    <w:rsid w:val="49B07895"/>
    <w:rsid w:val="49B08907"/>
    <w:rsid w:val="49B09239"/>
    <w:rsid w:val="49B0E51E"/>
    <w:rsid w:val="49B11A1E"/>
    <w:rsid w:val="49B280C5"/>
    <w:rsid w:val="49B2B1F5"/>
    <w:rsid w:val="49B33517"/>
    <w:rsid w:val="49B49629"/>
    <w:rsid w:val="49B5073A"/>
    <w:rsid w:val="49B5222F"/>
    <w:rsid w:val="49B55AAD"/>
    <w:rsid w:val="49B599F0"/>
    <w:rsid w:val="49B5F76F"/>
    <w:rsid w:val="49B6B72B"/>
    <w:rsid w:val="49B6C06C"/>
    <w:rsid w:val="49B78BB9"/>
    <w:rsid w:val="49B7F4AC"/>
    <w:rsid w:val="49B8B104"/>
    <w:rsid w:val="49B8DB54"/>
    <w:rsid w:val="49B8FC5C"/>
    <w:rsid w:val="49B99F64"/>
    <w:rsid w:val="49BAAD67"/>
    <w:rsid w:val="49BAEE49"/>
    <w:rsid w:val="49BB6399"/>
    <w:rsid w:val="49BB7907"/>
    <w:rsid w:val="49BBDD02"/>
    <w:rsid w:val="49BBE17B"/>
    <w:rsid w:val="49BC045A"/>
    <w:rsid w:val="49BDE894"/>
    <w:rsid w:val="49BE12E9"/>
    <w:rsid w:val="49BE6995"/>
    <w:rsid w:val="49BE707C"/>
    <w:rsid w:val="49BEAF20"/>
    <w:rsid w:val="49BEF828"/>
    <w:rsid w:val="49BEFA5E"/>
    <w:rsid w:val="49BF626B"/>
    <w:rsid w:val="49C0708F"/>
    <w:rsid w:val="49C075B9"/>
    <w:rsid w:val="49C12F40"/>
    <w:rsid w:val="49C160B0"/>
    <w:rsid w:val="49C22683"/>
    <w:rsid w:val="49C2DFC4"/>
    <w:rsid w:val="49C32951"/>
    <w:rsid w:val="49C34C4E"/>
    <w:rsid w:val="49C51BDA"/>
    <w:rsid w:val="49C58918"/>
    <w:rsid w:val="49C64224"/>
    <w:rsid w:val="49C6BED7"/>
    <w:rsid w:val="49C99041"/>
    <w:rsid w:val="49C9A75F"/>
    <w:rsid w:val="49CA5618"/>
    <w:rsid w:val="49CAB0B2"/>
    <w:rsid w:val="49CC2136"/>
    <w:rsid w:val="49CC3166"/>
    <w:rsid w:val="49CC6D0C"/>
    <w:rsid w:val="49CC738C"/>
    <w:rsid w:val="49CC8553"/>
    <w:rsid w:val="49CC9A1A"/>
    <w:rsid w:val="49CD74EA"/>
    <w:rsid w:val="49CE4987"/>
    <w:rsid w:val="49CF4780"/>
    <w:rsid w:val="49CF96D8"/>
    <w:rsid w:val="49CFDBCE"/>
    <w:rsid w:val="49CFEC5C"/>
    <w:rsid w:val="49D038E4"/>
    <w:rsid w:val="49D03D2F"/>
    <w:rsid w:val="49D0B7F0"/>
    <w:rsid w:val="49D1034F"/>
    <w:rsid w:val="49D1240C"/>
    <w:rsid w:val="49D19F36"/>
    <w:rsid w:val="49D21F58"/>
    <w:rsid w:val="49D2B00D"/>
    <w:rsid w:val="49D3D1AE"/>
    <w:rsid w:val="49D41EE7"/>
    <w:rsid w:val="49D42DE2"/>
    <w:rsid w:val="49D7D048"/>
    <w:rsid w:val="49D7E3AB"/>
    <w:rsid w:val="49D7EAD1"/>
    <w:rsid w:val="49D84CD4"/>
    <w:rsid w:val="49D89FEB"/>
    <w:rsid w:val="49D8D193"/>
    <w:rsid w:val="49DA3E2A"/>
    <w:rsid w:val="49DACB6D"/>
    <w:rsid w:val="49DB40E3"/>
    <w:rsid w:val="49DCA169"/>
    <w:rsid w:val="49DCC47B"/>
    <w:rsid w:val="49DCEF49"/>
    <w:rsid w:val="49DD4309"/>
    <w:rsid w:val="49DF1249"/>
    <w:rsid w:val="49E00180"/>
    <w:rsid w:val="49E0FC87"/>
    <w:rsid w:val="49E16162"/>
    <w:rsid w:val="49E17756"/>
    <w:rsid w:val="49E1AD6B"/>
    <w:rsid w:val="49E23349"/>
    <w:rsid w:val="49E23876"/>
    <w:rsid w:val="49E2C5DF"/>
    <w:rsid w:val="49E30079"/>
    <w:rsid w:val="49E31A32"/>
    <w:rsid w:val="49E3C48F"/>
    <w:rsid w:val="49E5415D"/>
    <w:rsid w:val="49E57B08"/>
    <w:rsid w:val="49E58C64"/>
    <w:rsid w:val="49E7626D"/>
    <w:rsid w:val="49E7EC65"/>
    <w:rsid w:val="49E7EE49"/>
    <w:rsid w:val="49E7EF6E"/>
    <w:rsid w:val="49E7F249"/>
    <w:rsid w:val="49E81753"/>
    <w:rsid w:val="49E81C8C"/>
    <w:rsid w:val="49E82E5A"/>
    <w:rsid w:val="49E871BD"/>
    <w:rsid w:val="49E87D53"/>
    <w:rsid w:val="49EBCCD2"/>
    <w:rsid w:val="49ECB143"/>
    <w:rsid w:val="49ECB6A8"/>
    <w:rsid w:val="49ECD280"/>
    <w:rsid w:val="49ED3ACB"/>
    <w:rsid w:val="49EDFB36"/>
    <w:rsid w:val="49EE3C2E"/>
    <w:rsid w:val="49EF0DC0"/>
    <w:rsid w:val="49EF101C"/>
    <w:rsid w:val="49EF1838"/>
    <w:rsid w:val="49EF9C6D"/>
    <w:rsid w:val="49EFF37F"/>
    <w:rsid w:val="49F090AC"/>
    <w:rsid w:val="49F0ABEC"/>
    <w:rsid w:val="49F0B43F"/>
    <w:rsid w:val="49F0FEF0"/>
    <w:rsid w:val="49F1B34F"/>
    <w:rsid w:val="49F2D48E"/>
    <w:rsid w:val="49F2D767"/>
    <w:rsid w:val="49F3801E"/>
    <w:rsid w:val="49F3BB3D"/>
    <w:rsid w:val="49F40AC1"/>
    <w:rsid w:val="49F488CA"/>
    <w:rsid w:val="49F55AF2"/>
    <w:rsid w:val="49F57F25"/>
    <w:rsid w:val="49F5B7F0"/>
    <w:rsid w:val="49F5DC4D"/>
    <w:rsid w:val="49F6453F"/>
    <w:rsid w:val="49F68332"/>
    <w:rsid w:val="49F941EF"/>
    <w:rsid w:val="49F956FF"/>
    <w:rsid w:val="49F95754"/>
    <w:rsid w:val="49F9AB45"/>
    <w:rsid w:val="49FA67EB"/>
    <w:rsid w:val="49FB7BE9"/>
    <w:rsid w:val="49FCF71D"/>
    <w:rsid w:val="49FD522F"/>
    <w:rsid w:val="49FD856F"/>
    <w:rsid w:val="49FFFFA3"/>
    <w:rsid w:val="4A00D938"/>
    <w:rsid w:val="4A013813"/>
    <w:rsid w:val="4A015EA2"/>
    <w:rsid w:val="4A0224B4"/>
    <w:rsid w:val="4A02F4B3"/>
    <w:rsid w:val="4A03F6E6"/>
    <w:rsid w:val="4A04602E"/>
    <w:rsid w:val="4A047AED"/>
    <w:rsid w:val="4A066DDE"/>
    <w:rsid w:val="4A06A4A6"/>
    <w:rsid w:val="4A06E227"/>
    <w:rsid w:val="4A0710F7"/>
    <w:rsid w:val="4A0783B8"/>
    <w:rsid w:val="4A07A6F2"/>
    <w:rsid w:val="4A07D49F"/>
    <w:rsid w:val="4A08B438"/>
    <w:rsid w:val="4A090921"/>
    <w:rsid w:val="4A0AC9E7"/>
    <w:rsid w:val="4A0BF07C"/>
    <w:rsid w:val="4A0C01E2"/>
    <w:rsid w:val="4A0C152D"/>
    <w:rsid w:val="4A0CA620"/>
    <w:rsid w:val="4A0CC4EE"/>
    <w:rsid w:val="4A0CEFCC"/>
    <w:rsid w:val="4A0E7547"/>
    <w:rsid w:val="4A0EB281"/>
    <w:rsid w:val="4A101728"/>
    <w:rsid w:val="4A1025ED"/>
    <w:rsid w:val="4A10443A"/>
    <w:rsid w:val="4A113FED"/>
    <w:rsid w:val="4A11E19F"/>
    <w:rsid w:val="4A121475"/>
    <w:rsid w:val="4A137AAF"/>
    <w:rsid w:val="4A13F42A"/>
    <w:rsid w:val="4A151A7E"/>
    <w:rsid w:val="4A15DD4F"/>
    <w:rsid w:val="4A165488"/>
    <w:rsid w:val="4A168B71"/>
    <w:rsid w:val="4A17A542"/>
    <w:rsid w:val="4A18EB65"/>
    <w:rsid w:val="4A1937BF"/>
    <w:rsid w:val="4A194667"/>
    <w:rsid w:val="4A198B18"/>
    <w:rsid w:val="4A19B13B"/>
    <w:rsid w:val="4A19BDA8"/>
    <w:rsid w:val="4A1A0D1F"/>
    <w:rsid w:val="4A1A58A9"/>
    <w:rsid w:val="4A1AD496"/>
    <w:rsid w:val="4A1AD611"/>
    <w:rsid w:val="4A1B681C"/>
    <w:rsid w:val="4A1BBFB6"/>
    <w:rsid w:val="4A1D8A10"/>
    <w:rsid w:val="4A1E70D9"/>
    <w:rsid w:val="4A1EE292"/>
    <w:rsid w:val="4A1F0C91"/>
    <w:rsid w:val="4A1F0F95"/>
    <w:rsid w:val="4A1F2C65"/>
    <w:rsid w:val="4A1FF4E4"/>
    <w:rsid w:val="4A200DA0"/>
    <w:rsid w:val="4A20923B"/>
    <w:rsid w:val="4A20E5E2"/>
    <w:rsid w:val="4A213ED2"/>
    <w:rsid w:val="4A21D275"/>
    <w:rsid w:val="4A2206DC"/>
    <w:rsid w:val="4A222B14"/>
    <w:rsid w:val="4A22E253"/>
    <w:rsid w:val="4A245452"/>
    <w:rsid w:val="4A24AC8E"/>
    <w:rsid w:val="4A250601"/>
    <w:rsid w:val="4A25163F"/>
    <w:rsid w:val="4A255EA3"/>
    <w:rsid w:val="4A25D0D7"/>
    <w:rsid w:val="4A2708D8"/>
    <w:rsid w:val="4A27255D"/>
    <w:rsid w:val="4A276787"/>
    <w:rsid w:val="4A277043"/>
    <w:rsid w:val="4A277358"/>
    <w:rsid w:val="4A28A748"/>
    <w:rsid w:val="4A290CDE"/>
    <w:rsid w:val="4A290E37"/>
    <w:rsid w:val="4A29E563"/>
    <w:rsid w:val="4A2A5B86"/>
    <w:rsid w:val="4A2AC510"/>
    <w:rsid w:val="4A2BAE5E"/>
    <w:rsid w:val="4A2C2D5A"/>
    <w:rsid w:val="4A2C3E6D"/>
    <w:rsid w:val="4A2D4F70"/>
    <w:rsid w:val="4A2D9225"/>
    <w:rsid w:val="4A2D93DD"/>
    <w:rsid w:val="4A2DB35E"/>
    <w:rsid w:val="4A2DBC60"/>
    <w:rsid w:val="4A2E0460"/>
    <w:rsid w:val="4A2E6DC0"/>
    <w:rsid w:val="4A2EDACA"/>
    <w:rsid w:val="4A302FC3"/>
    <w:rsid w:val="4A305942"/>
    <w:rsid w:val="4A30B648"/>
    <w:rsid w:val="4A30C92A"/>
    <w:rsid w:val="4A30F017"/>
    <w:rsid w:val="4A31ADE5"/>
    <w:rsid w:val="4A31F9B2"/>
    <w:rsid w:val="4A32323C"/>
    <w:rsid w:val="4A335922"/>
    <w:rsid w:val="4A341CDD"/>
    <w:rsid w:val="4A343290"/>
    <w:rsid w:val="4A34EF1D"/>
    <w:rsid w:val="4A365C88"/>
    <w:rsid w:val="4A36E4DB"/>
    <w:rsid w:val="4A377C95"/>
    <w:rsid w:val="4A380309"/>
    <w:rsid w:val="4A3827B4"/>
    <w:rsid w:val="4A383714"/>
    <w:rsid w:val="4A38945B"/>
    <w:rsid w:val="4A38E5A6"/>
    <w:rsid w:val="4A395175"/>
    <w:rsid w:val="4A39A3B6"/>
    <w:rsid w:val="4A3A0726"/>
    <w:rsid w:val="4A3AE222"/>
    <w:rsid w:val="4A3AF9E7"/>
    <w:rsid w:val="4A3AFCFB"/>
    <w:rsid w:val="4A3B2909"/>
    <w:rsid w:val="4A3B528C"/>
    <w:rsid w:val="4A3BBFA5"/>
    <w:rsid w:val="4A3C460F"/>
    <w:rsid w:val="4A3CC73D"/>
    <w:rsid w:val="4A3D0ADA"/>
    <w:rsid w:val="4A3D24A8"/>
    <w:rsid w:val="4A3E1810"/>
    <w:rsid w:val="4A3E7C57"/>
    <w:rsid w:val="4A3EE30E"/>
    <w:rsid w:val="4A3EEAB8"/>
    <w:rsid w:val="4A40EF57"/>
    <w:rsid w:val="4A412BCB"/>
    <w:rsid w:val="4A416F22"/>
    <w:rsid w:val="4A41FF2A"/>
    <w:rsid w:val="4A423321"/>
    <w:rsid w:val="4A42472C"/>
    <w:rsid w:val="4A42EDD0"/>
    <w:rsid w:val="4A44923A"/>
    <w:rsid w:val="4A44A904"/>
    <w:rsid w:val="4A44B8AF"/>
    <w:rsid w:val="4A450C1A"/>
    <w:rsid w:val="4A45548B"/>
    <w:rsid w:val="4A45C0CE"/>
    <w:rsid w:val="4A46264B"/>
    <w:rsid w:val="4A47A16F"/>
    <w:rsid w:val="4A4822F0"/>
    <w:rsid w:val="4A48B446"/>
    <w:rsid w:val="4A48B746"/>
    <w:rsid w:val="4A48C41E"/>
    <w:rsid w:val="4A4A3984"/>
    <w:rsid w:val="4A4A9ED2"/>
    <w:rsid w:val="4A4AA258"/>
    <w:rsid w:val="4A4AA4A4"/>
    <w:rsid w:val="4A4C9384"/>
    <w:rsid w:val="4A4D07F0"/>
    <w:rsid w:val="4A4D9551"/>
    <w:rsid w:val="4A4EE440"/>
    <w:rsid w:val="4A4F5D1B"/>
    <w:rsid w:val="4A4F6B0C"/>
    <w:rsid w:val="4A4F9550"/>
    <w:rsid w:val="4A5060EF"/>
    <w:rsid w:val="4A511405"/>
    <w:rsid w:val="4A51A3C9"/>
    <w:rsid w:val="4A5242FB"/>
    <w:rsid w:val="4A5269A4"/>
    <w:rsid w:val="4A52F4E2"/>
    <w:rsid w:val="4A53B95C"/>
    <w:rsid w:val="4A542361"/>
    <w:rsid w:val="4A5444B8"/>
    <w:rsid w:val="4A544D1D"/>
    <w:rsid w:val="4A54B4C0"/>
    <w:rsid w:val="4A54F1C0"/>
    <w:rsid w:val="4A555C44"/>
    <w:rsid w:val="4A557DC7"/>
    <w:rsid w:val="4A574450"/>
    <w:rsid w:val="4A575907"/>
    <w:rsid w:val="4A579555"/>
    <w:rsid w:val="4A582CD6"/>
    <w:rsid w:val="4A58750E"/>
    <w:rsid w:val="4A590CF2"/>
    <w:rsid w:val="4A597AC6"/>
    <w:rsid w:val="4A59CA95"/>
    <w:rsid w:val="4A5A99EF"/>
    <w:rsid w:val="4A5AAAA4"/>
    <w:rsid w:val="4A5B7838"/>
    <w:rsid w:val="4A5BA9F7"/>
    <w:rsid w:val="4A5C59CC"/>
    <w:rsid w:val="4A5CC24A"/>
    <w:rsid w:val="4A5D35EB"/>
    <w:rsid w:val="4A5D69FB"/>
    <w:rsid w:val="4A5DD4DA"/>
    <w:rsid w:val="4A5DE8F7"/>
    <w:rsid w:val="4A5E8893"/>
    <w:rsid w:val="4A5EEC1E"/>
    <w:rsid w:val="4A5EF582"/>
    <w:rsid w:val="4A5FA9FF"/>
    <w:rsid w:val="4A5FE52D"/>
    <w:rsid w:val="4A607429"/>
    <w:rsid w:val="4A60761A"/>
    <w:rsid w:val="4A6089BF"/>
    <w:rsid w:val="4A60AD3A"/>
    <w:rsid w:val="4A6168ED"/>
    <w:rsid w:val="4A61EF1A"/>
    <w:rsid w:val="4A6210FF"/>
    <w:rsid w:val="4A62DAF3"/>
    <w:rsid w:val="4A63D9B1"/>
    <w:rsid w:val="4A641826"/>
    <w:rsid w:val="4A645A93"/>
    <w:rsid w:val="4A64DCB9"/>
    <w:rsid w:val="4A64E0C9"/>
    <w:rsid w:val="4A65A459"/>
    <w:rsid w:val="4A65CC5C"/>
    <w:rsid w:val="4A65F8F9"/>
    <w:rsid w:val="4A666147"/>
    <w:rsid w:val="4A666C9E"/>
    <w:rsid w:val="4A66C221"/>
    <w:rsid w:val="4A66E4BB"/>
    <w:rsid w:val="4A683981"/>
    <w:rsid w:val="4A684A65"/>
    <w:rsid w:val="4A68554D"/>
    <w:rsid w:val="4A6868A1"/>
    <w:rsid w:val="4A686968"/>
    <w:rsid w:val="4A686A44"/>
    <w:rsid w:val="4A68AD94"/>
    <w:rsid w:val="4A696334"/>
    <w:rsid w:val="4A697867"/>
    <w:rsid w:val="4A6A50FF"/>
    <w:rsid w:val="4A6A9B05"/>
    <w:rsid w:val="4A6AE93E"/>
    <w:rsid w:val="4A6B2092"/>
    <w:rsid w:val="4A6C2134"/>
    <w:rsid w:val="4A6C3AA7"/>
    <w:rsid w:val="4A6C88CF"/>
    <w:rsid w:val="4A6CC5F3"/>
    <w:rsid w:val="4A6CE230"/>
    <w:rsid w:val="4A6CF47B"/>
    <w:rsid w:val="4A6D2E97"/>
    <w:rsid w:val="4A6D53A0"/>
    <w:rsid w:val="4A6DBCA6"/>
    <w:rsid w:val="4A6E10AE"/>
    <w:rsid w:val="4A6E21D1"/>
    <w:rsid w:val="4A6ECB33"/>
    <w:rsid w:val="4A6F13A1"/>
    <w:rsid w:val="4A6F17D8"/>
    <w:rsid w:val="4A6FECE7"/>
    <w:rsid w:val="4A7043D2"/>
    <w:rsid w:val="4A704959"/>
    <w:rsid w:val="4A707CAC"/>
    <w:rsid w:val="4A70C3F9"/>
    <w:rsid w:val="4A71B181"/>
    <w:rsid w:val="4A741672"/>
    <w:rsid w:val="4A746D2A"/>
    <w:rsid w:val="4A748A13"/>
    <w:rsid w:val="4A7528E3"/>
    <w:rsid w:val="4A7668FF"/>
    <w:rsid w:val="4A766A54"/>
    <w:rsid w:val="4A76FFD5"/>
    <w:rsid w:val="4A77A719"/>
    <w:rsid w:val="4A782182"/>
    <w:rsid w:val="4A791005"/>
    <w:rsid w:val="4A791CFC"/>
    <w:rsid w:val="4A791D7C"/>
    <w:rsid w:val="4A792702"/>
    <w:rsid w:val="4A795354"/>
    <w:rsid w:val="4A7A4992"/>
    <w:rsid w:val="4A7ABD07"/>
    <w:rsid w:val="4A7AE5C5"/>
    <w:rsid w:val="4A7BBC57"/>
    <w:rsid w:val="4A7C1723"/>
    <w:rsid w:val="4A7C8FE2"/>
    <w:rsid w:val="4A7D1907"/>
    <w:rsid w:val="4A7D24A4"/>
    <w:rsid w:val="4A7E17BA"/>
    <w:rsid w:val="4A7EDF38"/>
    <w:rsid w:val="4A8087AD"/>
    <w:rsid w:val="4A809058"/>
    <w:rsid w:val="4A8129A2"/>
    <w:rsid w:val="4A822F8F"/>
    <w:rsid w:val="4A8266DD"/>
    <w:rsid w:val="4A82B870"/>
    <w:rsid w:val="4A830132"/>
    <w:rsid w:val="4A834D15"/>
    <w:rsid w:val="4A83AC14"/>
    <w:rsid w:val="4A83D673"/>
    <w:rsid w:val="4A8423A9"/>
    <w:rsid w:val="4A842B1E"/>
    <w:rsid w:val="4A846D53"/>
    <w:rsid w:val="4A847FEB"/>
    <w:rsid w:val="4A84C7DA"/>
    <w:rsid w:val="4A84DB02"/>
    <w:rsid w:val="4A85847F"/>
    <w:rsid w:val="4A869D4D"/>
    <w:rsid w:val="4A86B614"/>
    <w:rsid w:val="4A8724FD"/>
    <w:rsid w:val="4A87861C"/>
    <w:rsid w:val="4A8904BE"/>
    <w:rsid w:val="4A89DF47"/>
    <w:rsid w:val="4A8A4DFA"/>
    <w:rsid w:val="4A8A632C"/>
    <w:rsid w:val="4A8A6AF6"/>
    <w:rsid w:val="4A8B935C"/>
    <w:rsid w:val="4A8C2FA4"/>
    <w:rsid w:val="4A8C3090"/>
    <w:rsid w:val="4A8CA302"/>
    <w:rsid w:val="4A8D6E54"/>
    <w:rsid w:val="4A8D7557"/>
    <w:rsid w:val="4A8D8156"/>
    <w:rsid w:val="4A8D93B0"/>
    <w:rsid w:val="4A8E7F21"/>
    <w:rsid w:val="4A90A0CA"/>
    <w:rsid w:val="4A90C2F5"/>
    <w:rsid w:val="4A916AE8"/>
    <w:rsid w:val="4A91C7BA"/>
    <w:rsid w:val="4A928963"/>
    <w:rsid w:val="4A94B2A3"/>
    <w:rsid w:val="4A94F1BA"/>
    <w:rsid w:val="4A95004E"/>
    <w:rsid w:val="4A950435"/>
    <w:rsid w:val="4A954DDD"/>
    <w:rsid w:val="4A9551E5"/>
    <w:rsid w:val="4A956188"/>
    <w:rsid w:val="4A95B5ED"/>
    <w:rsid w:val="4A9637C6"/>
    <w:rsid w:val="4A9650C7"/>
    <w:rsid w:val="4A96A4B0"/>
    <w:rsid w:val="4A9725BD"/>
    <w:rsid w:val="4A977F19"/>
    <w:rsid w:val="4A9855E6"/>
    <w:rsid w:val="4A9AB4A4"/>
    <w:rsid w:val="4A9AE91A"/>
    <w:rsid w:val="4A9B299F"/>
    <w:rsid w:val="4A9B43E0"/>
    <w:rsid w:val="4A9B4832"/>
    <w:rsid w:val="4A9BBC7B"/>
    <w:rsid w:val="4A9BDD4A"/>
    <w:rsid w:val="4A9CDACE"/>
    <w:rsid w:val="4A9CF4F5"/>
    <w:rsid w:val="4A9DE61D"/>
    <w:rsid w:val="4A9E49C9"/>
    <w:rsid w:val="4A9ECBE2"/>
    <w:rsid w:val="4A9F75E0"/>
    <w:rsid w:val="4AA015CF"/>
    <w:rsid w:val="4AA17E4E"/>
    <w:rsid w:val="4AA2C768"/>
    <w:rsid w:val="4AA52DC2"/>
    <w:rsid w:val="4AA5CEF6"/>
    <w:rsid w:val="4AA5DE4C"/>
    <w:rsid w:val="4AA76BB5"/>
    <w:rsid w:val="4AA80F7D"/>
    <w:rsid w:val="4AA8D890"/>
    <w:rsid w:val="4AA9DED0"/>
    <w:rsid w:val="4AAAE4FC"/>
    <w:rsid w:val="4AAC67E8"/>
    <w:rsid w:val="4AAD311B"/>
    <w:rsid w:val="4AAD3F3D"/>
    <w:rsid w:val="4AAD4B78"/>
    <w:rsid w:val="4AAD63FA"/>
    <w:rsid w:val="4AAD68BF"/>
    <w:rsid w:val="4AAD9212"/>
    <w:rsid w:val="4AAE79C2"/>
    <w:rsid w:val="4AAF59BA"/>
    <w:rsid w:val="4AB001E1"/>
    <w:rsid w:val="4AB0CB1E"/>
    <w:rsid w:val="4AB1EDD5"/>
    <w:rsid w:val="4AB2104E"/>
    <w:rsid w:val="4AB21DFA"/>
    <w:rsid w:val="4AB23B49"/>
    <w:rsid w:val="4AB2A627"/>
    <w:rsid w:val="4AB2FB86"/>
    <w:rsid w:val="4AB32695"/>
    <w:rsid w:val="4AB396E9"/>
    <w:rsid w:val="4AB3E0DE"/>
    <w:rsid w:val="4AB3FFC4"/>
    <w:rsid w:val="4AB47935"/>
    <w:rsid w:val="4AB51130"/>
    <w:rsid w:val="4AB58103"/>
    <w:rsid w:val="4AB5C74C"/>
    <w:rsid w:val="4AB641CD"/>
    <w:rsid w:val="4AB676B5"/>
    <w:rsid w:val="4AB68BC2"/>
    <w:rsid w:val="4AB7AA28"/>
    <w:rsid w:val="4AB83584"/>
    <w:rsid w:val="4AB9090C"/>
    <w:rsid w:val="4AB935CD"/>
    <w:rsid w:val="4AB96368"/>
    <w:rsid w:val="4AB9E822"/>
    <w:rsid w:val="4AB9ED07"/>
    <w:rsid w:val="4ABAA31F"/>
    <w:rsid w:val="4ABB1824"/>
    <w:rsid w:val="4ABB2894"/>
    <w:rsid w:val="4ABB607C"/>
    <w:rsid w:val="4ABC94A7"/>
    <w:rsid w:val="4ABCA2E6"/>
    <w:rsid w:val="4ABD398F"/>
    <w:rsid w:val="4ABD5977"/>
    <w:rsid w:val="4ABD906D"/>
    <w:rsid w:val="4ABDE868"/>
    <w:rsid w:val="4ABE1CEF"/>
    <w:rsid w:val="4ABE32FF"/>
    <w:rsid w:val="4ABEB7C3"/>
    <w:rsid w:val="4ABF934A"/>
    <w:rsid w:val="4ABFED99"/>
    <w:rsid w:val="4AC0475E"/>
    <w:rsid w:val="4AC04945"/>
    <w:rsid w:val="4AC07B52"/>
    <w:rsid w:val="4AC0AC60"/>
    <w:rsid w:val="4AC0D30E"/>
    <w:rsid w:val="4AC1730C"/>
    <w:rsid w:val="4AC4341C"/>
    <w:rsid w:val="4AC4FC67"/>
    <w:rsid w:val="4AC51892"/>
    <w:rsid w:val="4AC5D771"/>
    <w:rsid w:val="4AC6405F"/>
    <w:rsid w:val="4AC6C9D1"/>
    <w:rsid w:val="4AC7A92C"/>
    <w:rsid w:val="4AC7ED87"/>
    <w:rsid w:val="4AC89FCB"/>
    <w:rsid w:val="4AC8C5C8"/>
    <w:rsid w:val="4AC9B7DF"/>
    <w:rsid w:val="4ACA5942"/>
    <w:rsid w:val="4ACA66DE"/>
    <w:rsid w:val="4ACC759A"/>
    <w:rsid w:val="4ACCB61C"/>
    <w:rsid w:val="4ACCD929"/>
    <w:rsid w:val="4ACD824C"/>
    <w:rsid w:val="4ACE446C"/>
    <w:rsid w:val="4ACE6C58"/>
    <w:rsid w:val="4ACEB0C4"/>
    <w:rsid w:val="4ACEE2CB"/>
    <w:rsid w:val="4ACEF086"/>
    <w:rsid w:val="4ACEF4E4"/>
    <w:rsid w:val="4ACEFD08"/>
    <w:rsid w:val="4ACFBFBB"/>
    <w:rsid w:val="4ACFD468"/>
    <w:rsid w:val="4ACFD7E1"/>
    <w:rsid w:val="4AD04707"/>
    <w:rsid w:val="4AD154BB"/>
    <w:rsid w:val="4AD18168"/>
    <w:rsid w:val="4AD1E0E5"/>
    <w:rsid w:val="4AD2DEE3"/>
    <w:rsid w:val="4AD4F001"/>
    <w:rsid w:val="4AD5DD21"/>
    <w:rsid w:val="4AD5FDD1"/>
    <w:rsid w:val="4AD62605"/>
    <w:rsid w:val="4AD63573"/>
    <w:rsid w:val="4AD63D29"/>
    <w:rsid w:val="4AD66CC2"/>
    <w:rsid w:val="4AD67132"/>
    <w:rsid w:val="4AD73695"/>
    <w:rsid w:val="4AD76A0E"/>
    <w:rsid w:val="4AD77780"/>
    <w:rsid w:val="4AD777FA"/>
    <w:rsid w:val="4AD862DF"/>
    <w:rsid w:val="4AD87D4A"/>
    <w:rsid w:val="4AD8AD2D"/>
    <w:rsid w:val="4AD9A623"/>
    <w:rsid w:val="4AD9CFA5"/>
    <w:rsid w:val="4ADA1D62"/>
    <w:rsid w:val="4ADA238D"/>
    <w:rsid w:val="4ADA43D5"/>
    <w:rsid w:val="4ADA47C3"/>
    <w:rsid w:val="4ADA8252"/>
    <w:rsid w:val="4ADB1B0C"/>
    <w:rsid w:val="4ADB76AD"/>
    <w:rsid w:val="4ADBCD7B"/>
    <w:rsid w:val="4ADC13A0"/>
    <w:rsid w:val="4ADC51FC"/>
    <w:rsid w:val="4ADCBBC3"/>
    <w:rsid w:val="4ADCBD1A"/>
    <w:rsid w:val="4ADE3A39"/>
    <w:rsid w:val="4ADE6A34"/>
    <w:rsid w:val="4ADE8560"/>
    <w:rsid w:val="4ADEA710"/>
    <w:rsid w:val="4ADEAADE"/>
    <w:rsid w:val="4ADFD9B8"/>
    <w:rsid w:val="4AE05E7E"/>
    <w:rsid w:val="4AE0712D"/>
    <w:rsid w:val="4AE071DF"/>
    <w:rsid w:val="4AE14941"/>
    <w:rsid w:val="4AE2688D"/>
    <w:rsid w:val="4AE291E5"/>
    <w:rsid w:val="4AE2D5E1"/>
    <w:rsid w:val="4AE36CE5"/>
    <w:rsid w:val="4AE40967"/>
    <w:rsid w:val="4AE4D5A9"/>
    <w:rsid w:val="4AE4D890"/>
    <w:rsid w:val="4AE4EBF7"/>
    <w:rsid w:val="4AE5A4A9"/>
    <w:rsid w:val="4AE5ACB6"/>
    <w:rsid w:val="4AE622C4"/>
    <w:rsid w:val="4AE73DD7"/>
    <w:rsid w:val="4AE757DD"/>
    <w:rsid w:val="4AE7AFCD"/>
    <w:rsid w:val="4AE80B7C"/>
    <w:rsid w:val="4AE88798"/>
    <w:rsid w:val="4AE9C104"/>
    <w:rsid w:val="4AEA7275"/>
    <w:rsid w:val="4AEB0978"/>
    <w:rsid w:val="4AEBEBCF"/>
    <w:rsid w:val="4AEC9268"/>
    <w:rsid w:val="4AECD3ED"/>
    <w:rsid w:val="4AED43F8"/>
    <w:rsid w:val="4AEDDEA8"/>
    <w:rsid w:val="4AEE28EA"/>
    <w:rsid w:val="4AEE3862"/>
    <w:rsid w:val="4AEE50AC"/>
    <w:rsid w:val="4AEE6DD6"/>
    <w:rsid w:val="4AEE97B4"/>
    <w:rsid w:val="4AEECD66"/>
    <w:rsid w:val="4AEF5025"/>
    <w:rsid w:val="4AEFEF39"/>
    <w:rsid w:val="4AF09288"/>
    <w:rsid w:val="4AF1F862"/>
    <w:rsid w:val="4AF2C530"/>
    <w:rsid w:val="4AF37F06"/>
    <w:rsid w:val="4AF3E7F7"/>
    <w:rsid w:val="4AF3F4D0"/>
    <w:rsid w:val="4AF4B625"/>
    <w:rsid w:val="4AF75148"/>
    <w:rsid w:val="4AF7715E"/>
    <w:rsid w:val="4AF7BDA4"/>
    <w:rsid w:val="4AF7EC5F"/>
    <w:rsid w:val="4AF7FEE5"/>
    <w:rsid w:val="4AF82E2F"/>
    <w:rsid w:val="4AF83D70"/>
    <w:rsid w:val="4AF841C1"/>
    <w:rsid w:val="4AF89A98"/>
    <w:rsid w:val="4AF8F5DD"/>
    <w:rsid w:val="4AF95681"/>
    <w:rsid w:val="4AF96466"/>
    <w:rsid w:val="4AFA4236"/>
    <w:rsid w:val="4AFA778A"/>
    <w:rsid w:val="4AFBB87D"/>
    <w:rsid w:val="4AFC44D6"/>
    <w:rsid w:val="4AFC5D98"/>
    <w:rsid w:val="4AFC6088"/>
    <w:rsid w:val="4AFD4CF6"/>
    <w:rsid w:val="4AFDAD96"/>
    <w:rsid w:val="4AFE7B30"/>
    <w:rsid w:val="4AFF09E1"/>
    <w:rsid w:val="4AFF99A9"/>
    <w:rsid w:val="4AFFDCD5"/>
    <w:rsid w:val="4B004E4D"/>
    <w:rsid w:val="4B008BD8"/>
    <w:rsid w:val="4B016A20"/>
    <w:rsid w:val="4B02B771"/>
    <w:rsid w:val="4B031C60"/>
    <w:rsid w:val="4B044419"/>
    <w:rsid w:val="4B044D7A"/>
    <w:rsid w:val="4B046BF1"/>
    <w:rsid w:val="4B0501F1"/>
    <w:rsid w:val="4B051FFD"/>
    <w:rsid w:val="4B056E21"/>
    <w:rsid w:val="4B061C0C"/>
    <w:rsid w:val="4B06AA03"/>
    <w:rsid w:val="4B06FCCD"/>
    <w:rsid w:val="4B0728A3"/>
    <w:rsid w:val="4B080CD9"/>
    <w:rsid w:val="4B085BD2"/>
    <w:rsid w:val="4B086766"/>
    <w:rsid w:val="4B09442B"/>
    <w:rsid w:val="4B09D35C"/>
    <w:rsid w:val="4B0A5257"/>
    <w:rsid w:val="4B0A63A1"/>
    <w:rsid w:val="4B0AA3B3"/>
    <w:rsid w:val="4B0B78DA"/>
    <w:rsid w:val="4B0BB9A8"/>
    <w:rsid w:val="4B0BF97D"/>
    <w:rsid w:val="4B0D20C5"/>
    <w:rsid w:val="4B0D65F9"/>
    <w:rsid w:val="4B0D9B88"/>
    <w:rsid w:val="4B0EF7A5"/>
    <w:rsid w:val="4B0F6223"/>
    <w:rsid w:val="4B10467E"/>
    <w:rsid w:val="4B10C155"/>
    <w:rsid w:val="4B10FD7D"/>
    <w:rsid w:val="4B124776"/>
    <w:rsid w:val="4B126904"/>
    <w:rsid w:val="4B131E82"/>
    <w:rsid w:val="4B1332AC"/>
    <w:rsid w:val="4B138610"/>
    <w:rsid w:val="4B13867C"/>
    <w:rsid w:val="4B13BEC3"/>
    <w:rsid w:val="4B149657"/>
    <w:rsid w:val="4B14990A"/>
    <w:rsid w:val="4B15C140"/>
    <w:rsid w:val="4B15E8C6"/>
    <w:rsid w:val="4B15FE51"/>
    <w:rsid w:val="4B16968B"/>
    <w:rsid w:val="4B16B7E3"/>
    <w:rsid w:val="4B16C61D"/>
    <w:rsid w:val="4B16D975"/>
    <w:rsid w:val="4B173326"/>
    <w:rsid w:val="4B178A2B"/>
    <w:rsid w:val="4B17A2D0"/>
    <w:rsid w:val="4B17A427"/>
    <w:rsid w:val="4B1806C0"/>
    <w:rsid w:val="4B1822F9"/>
    <w:rsid w:val="4B18684E"/>
    <w:rsid w:val="4B19CAA8"/>
    <w:rsid w:val="4B1C3665"/>
    <w:rsid w:val="4B1CDC4C"/>
    <w:rsid w:val="4B1CF1A4"/>
    <w:rsid w:val="4B1D2AFC"/>
    <w:rsid w:val="4B1D4F37"/>
    <w:rsid w:val="4B1DA139"/>
    <w:rsid w:val="4B1DA36F"/>
    <w:rsid w:val="4B1E78D0"/>
    <w:rsid w:val="4B1E7903"/>
    <w:rsid w:val="4B1F6608"/>
    <w:rsid w:val="4B1F8095"/>
    <w:rsid w:val="4B1F89D2"/>
    <w:rsid w:val="4B203A36"/>
    <w:rsid w:val="4B20EE97"/>
    <w:rsid w:val="4B21107E"/>
    <w:rsid w:val="4B2157C3"/>
    <w:rsid w:val="4B2157F6"/>
    <w:rsid w:val="4B21C82C"/>
    <w:rsid w:val="4B21D886"/>
    <w:rsid w:val="4B2452FA"/>
    <w:rsid w:val="4B249ACE"/>
    <w:rsid w:val="4B249DDD"/>
    <w:rsid w:val="4B250847"/>
    <w:rsid w:val="4B2584D6"/>
    <w:rsid w:val="4B262F2E"/>
    <w:rsid w:val="4B26AB75"/>
    <w:rsid w:val="4B2703C4"/>
    <w:rsid w:val="4B27BCE2"/>
    <w:rsid w:val="4B27D52B"/>
    <w:rsid w:val="4B282861"/>
    <w:rsid w:val="4B283982"/>
    <w:rsid w:val="4B283F7D"/>
    <w:rsid w:val="4B28E160"/>
    <w:rsid w:val="4B295B2A"/>
    <w:rsid w:val="4B29E9C4"/>
    <w:rsid w:val="4B29F0E5"/>
    <w:rsid w:val="4B2A9479"/>
    <w:rsid w:val="4B2B0AE8"/>
    <w:rsid w:val="4B2BB1A4"/>
    <w:rsid w:val="4B2BE7F2"/>
    <w:rsid w:val="4B2C60B1"/>
    <w:rsid w:val="4B2D45A2"/>
    <w:rsid w:val="4B2DFAF2"/>
    <w:rsid w:val="4B2E0FE6"/>
    <w:rsid w:val="4B2E8F5B"/>
    <w:rsid w:val="4B2EFF09"/>
    <w:rsid w:val="4B2F51C1"/>
    <w:rsid w:val="4B2FE128"/>
    <w:rsid w:val="4B302AE1"/>
    <w:rsid w:val="4B30D9B9"/>
    <w:rsid w:val="4B314951"/>
    <w:rsid w:val="4B3260C4"/>
    <w:rsid w:val="4B32E983"/>
    <w:rsid w:val="4B332411"/>
    <w:rsid w:val="4B335CFF"/>
    <w:rsid w:val="4B338B7F"/>
    <w:rsid w:val="4B34F4A1"/>
    <w:rsid w:val="4B3502F3"/>
    <w:rsid w:val="4B350E1C"/>
    <w:rsid w:val="4B35231A"/>
    <w:rsid w:val="4B353461"/>
    <w:rsid w:val="4B353DEE"/>
    <w:rsid w:val="4B37A03F"/>
    <w:rsid w:val="4B37EAE6"/>
    <w:rsid w:val="4B388B80"/>
    <w:rsid w:val="4B3902A6"/>
    <w:rsid w:val="4B391B33"/>
    <w:rsid w:val="4B3A214C"/>
    <w:rsid w:val="4B3AA112"/>
    <w:rsid w:val="4B3ABF25"/>
    <w:rsid w:val="4B3B4E0E"/>
    <w:rsid w:val="4B3B8104"/>
    <w:rsid w:val="4B3BCBFB"/>
    <w:rsid w:val="4B3C2B28"/>
    <w:rsid w:val="4B3C5AE3"/>
    <w:rsid w:val="4B3C6ACE"/>
    <w:rsid w:val="4B3D1B20"/>
    <w:rsid w:val="4B3EBB16"/>
    <w:rsid w:val="4B3EED70"/>
    <w:rsid w:val="4B3FC133"/>
    <w:rsid w:val="4B403624"/>
    <w:rsid w:val="4B41BD8F"/>
    <w:rsid w:val="4B421C8E"/>
    <w:rsid w:val="4B4246B5"/>
    <w:rsid w:val="4B42A772"/>
    <w:rsid w:val="4B42DA61"/>
    <w:rsid w:val="4B438990"/>
    <w:rsid w:val="4B442B7F"/>
    <w:rsid w:val="4B45054A"/>
    <w:rsid w:val="4B452375"/>
    <w:rsid w:val="4B45710F"/>
    <w:rsid w:val="4B458BEB"/>
    <w:rsid w:val="4B4663BF"/>
    <w:rsid w:val="4B470ECF"/>
    <w:rsid w:val="4B471F49"/>
    <w:rsid w:val="4B47F7F9"/>
    <w:rsid w:val="4B4976D3"/>
    <w:rsid w:val="4B497AE3"/>
    <w:rsid w:val="4B4C695C"/>
    <w:rsid w:val="4B4C7969"/>
    <w:rsid w:val="4B4CAE4B"/>
    <w:rsid w:val="4B4D5D33"/>
    <w:rsid w:val="4B4D6DBE"/>
    <w:rsid w:val="4B4E2385"/>
    <w:rsid w:val="4B4EDDDE"/>
    <w:rsid w:val="4B4F4247"/>
    <w:rsid w:val="4B4F509E"/>
    <w:rsid w:val="4B4FB192"/>
    <w:rsid w:val="4B501F65"/>
    <w:rsid w:val="4B505FD9"/>
    <w:rsid w:val="4B50A85E"/>
    <w:rsid w:val="4B50C0F4"/>
    <w:rsid w:val="4B50EF0F"/>
    <w:rsid w:val="4B510B91"/>
    <w:rsid w:val="4B517E8D"/>
    <w:rsid w:val="4B524B2C"/>
    <w:rsid w:val="4B529560"/>
    <w:rsid w:val="4B536D7E"/>
    <w:rsid w:val="4B53B4A4"/>
    <w:rsid w:val="4B55041A"/>
    <w:rsid w:val="4B5584E5"/>
    <w:rsid w:val="4B55B861"/>
    <w:rsid w:val="4B55FADD"/>
    <w:rsid w:val="4B565D69"/>
    <w:rsid w:val="4B56748F"/>
    <w:rsid w:val="4B568889"/>
    <w:rsid w:val="4B56A2C1"/>
    <w:rsid w:val="4B572FEE"/>
    <w:rsid w:val="4B57AB70"/>
    <w:rsid w:val="4B58D470"/>
    <w:rsid w:val="4B59A0CC"/>
    <w:rsid w:val="4B59B731"/>
    <w:rsid w:val="4B5A92A4"/>
    <w:rsid w:val="4B5AD5BA"/>
    <w:rsid w:val="4B5BCF90"/>
    <w:rsid w:val="4B5BD535"/>
    <w:rsid w:val="4B5CBEAD"/>
    <w:rsid w:val="4B5CC3C1"/>
    <w:rsid w:val="4B5CE6D2"/>
    <w:rsid w:val="4B5D6EA1"/>
    <w:rsid w:val="4B5F2A49"/>
    <w:rsid w:val="4B602323"/>
    <w:rsid w:val="4B60B584"/>
    <w:rsid w:val="4B618EBF"/>
    <w:rsid w:val="4B61B8D2"/>
    <w:rsid w:val="4B61FD65"/>
    <w:rsid w:val="4B62C936"/>
    <w:rsid w:val="4B62CCEB"/>
    <w:rsid w:val="4B63377F"/>
    <w:rsid w:val="4B63B171"/>
    <w:rsid w:val="4B64E71E"/>
    <w:rsid w:val="4B658C2A"/>
    <w:rsid w:val="4B666BDF"/>
    <w:rsid w:val="4B66A918"/>
    <w:rsid w:val="4B672558"/>
    <w:rsid w:val="4B6741C1"/>
    <w:rsid w:val="4B677F86"/>
    <w:rsid w:val="4B67FF37"/>
    <w:rsid w:val="4B6804E4"/>
    <w:rsid w:val="4B691C15"/>
    <w:rsid w:val="4B693728"/>
    <w:rsid w:val="4B69420D"/>
    <w:rsid w:val="4B69B03E"/>
    <w:rsid w:val="4B69F8D1"/>
    <w:rsid w:val="4B6AF9D4"/>
    <w:rsid w:val="4B6B4999"/>
    <w:rsid w:val="4B6BB7E3"/>
    <w:rsid w:val="4B6BFEC4"/>
    <w:rsid w:val="4B6C6F69"/>
    <w:rsid w:val="4B6D0625"/>
    <w:rsid w:val="4B6D08AC"/>
    <w:rsid w:val="4B6D3532"/>
    <w:rsid w:val="4B6D5FBF"/>
    <w:rsid w:val="4B6DA1BE"/>
    <w:rsid w:val="4B6E5CF0"/>
    <w:rsid w:val="4B701540"/>
    <w:rsid w:val="4B70D164"/>
    <w:rsid w:val="4B727F0B"/>
    <w:rsid w:val="4B735BC0"/>
    <w:rsid w:val="4B73743A"/>
    <w:rsid w:val="4B740FEC"/>
    <w:rsid w:val="4B743A20"/>
    <w:rsid w:val="4B7455EF"/>
    <w:rsid w:val="4B74AEA9"/>
    <w:rsid w:val="4B757C00"/>
    <w:rsid w:val="4B758288"/>
    <w:rsid w:val="4B764662"/>
    <w:rsid w:val="4B76BD13"/>
    <w:rsid w:val="4B773920"/>
    <w:rsid w:val="4B7AE384"/>
    <w:rsid w:val="4B7B46AF"/>
    <w:rsid w:val="4B7B5D95"/>
    <w:rsid w:val="4B7B5E30"/>
    <w:rsid w:val="4B7C33DC"/>
    <w:rsid w:val="4B7C53D4"/>
    <w:rsid w:val="4B7C5EDB"/>
    <w:rsid w:val="4B7CC2EB"/>
    <w:rsid w:val="4B7D53CD"/>
    <w:rsid w:val="4B7D82AB"/>
    <w:rsid w:val="4B7D8684"/>
    <w:rsid w:val="4B7D8E0D"/>
    <w:rsid w:val="4B7E110D"/>
    <w:rsid w:val="4B7EB43C"/>
    <w:rsid w:val="4B801707"/>
    <w:rsid w:val="4B803615"/>
    <w:rsid w:val="4B805D5D"/>
    <w:rsid w:val="4B809C86"/>
    <w:rsid w:val="4B813C12"/>
    <w:rsid w:val="4B81417C"/>
    <w:rsid w:val="4B821755"/>
    <w:rsid w:val="4B82C4B5"/>
    <w:rsid w:val="4B84A12E"/>
    <w:rsid w:val="4B851F40"/>
    <w:rsid w:val="4B85BDFA"/>
    <w:rsid w:val="4B86F396"/>
    <w:rsid w:val="4B876663"/>
    <w:rsid w:val="4B876C1A"/>
    <w:rsid w:val="4B878781"/>
    <w:rsid w:val="4B880F23"/>
    <w:rsid w:val="4B8825F3"/>
    <w:rsid w:val="4B8ADF31"/>
    <w:rsid w:val="4B8B4D37"/>
    <w:rsid w:val="4B8B7C66"/>
    <w:rsid w:val="4B8BB45E"/>
    <w:rsid w:val="4B8C74C2"/>
    <w:rsid w:val="4B8C8093"/>
    <w:rsid w:val="4B8CD1AE"/>
    <w:rsid w:val="4B8D205B"/>
    <w:rsid w:val="4B8D31FB"/>
    <w:rsid w:val="4B8D6C13"/>
    <w:rsid w:val="4B8E72B4"/>
    <w:rsid w:val="4B8E841B"/>
    <w:rsid w:val="4B8F1C77"/>
    <w:rsid w:val="4B8F2387"/>
    <w:rsid w:val="4B8F2D04"/>
    <w:rsid w:val="4B8F33D4"/>
    <w:rsid w:val="4B8F9565"/>
    <w:rsid w:val="4B8FB3CA"/>
    <w:rsid w:val="4B904513"/>
    <w:rsid w:val="4B911622"/>
    <w:rsid w:val="4B9135B9"/>
    <w:rsid w:val="4B91BC3C"/>
    <w:rsid w:val="4B92056A"/>
    <w:rsid w:val="4B93B2D6"/>
    <w:rsid w:val="4B93EBEE"/>
    <w:rsid w:val="4B93F016"/>
    <w:rsid w:val="4B95D20C"/>
    <w:rsid w:val="4B95D344"/>
    <w:rsid w:val="4B95E0C1"/>
    <w:rsid w:val="4B967916"/>
    <w:rsid w:val="4B9802F8"/>
    <w:rsid w:val="4B997889"/>
    <w:rsid w:val="4B99C42C"/>
    <w:rsid w:val="4B99F7B0"/>
    <w:rsid w:val="4B9B2478"/>
    <w:rsid w:val="4B9B7C9C"/>
    <w:rsid w:val="4B9B9A95"/>
    <w:rsid w:val="4B9CD8CD"/>
    <w:rsid w:val="4B9D4289"/>
    <w:rsid w:val="4B9E5679"/>
    <w:rsid w:val="4B9E5E16"/>
    <w:rsid w:val="4B9E65DA"/>
    <w:rsid w:val="4B9ED433"/>
    <w:rsid w:val="4B9F14F0"/>
    <w:rsid w:val="4B9F8438"/>
    <w:rsid w:val="4BA00103"/>
    <w:rsid w:val="4BA037BF"/>
    <w:rsid w:val="4BA0568E"/>
    <w:rsid w:val="4BA07E50"/>
    <w:rsid w:val="4BA10A5E"/>
    <w:rsid w:val="4BA1284C"/>
    <w:rsid w:val="4BA1500A"/>
    <w:rsid w:val="4BA1825D"/>
    <w:rsid w:val="4BA19373"/>
    <w:rsid w:val="4BA21186"/>
    <w:rsid w:val="4BA248AD"/>
    <w:rsid w:val="4BA2B0C6"/>
    <w:rsid w:val="4BA2BB84"/>
    <w:rsid w:val="4BA382C0"/>
    <w:rsid w:val="4BA39571"/>
    <w:rsid w:val="4BA3F843"/>
    <w:rsid w:val="4BA4A66E"/>
    <w:rsid w:val="4BA5E3FC"/>
    <w:rsid w:val="4BA624FA"/>
    <w:rsid w:val="4BA68365"/>
    <w:rsid w:val="4BA6B8A2"/>
    <w:rsid w:val="4BA7FF0F"/>
    <w:rsid w:val="4BA81071"/>
    <w:rsid w:val="4BA8360C"/>
    <w:rsid w:val="4BA99555"/>
    <w:rsid w:val="4BA9D284"/>
    <w:rsid w:val="4BAA2968"/>
    <w:rsid w:val="4BAAC4D8"/>
    <w:rsid w:val="4BAAF09D"/>
    <w:rsid w:val="4BABBE3F"/>
    <w:rsid w:val="4BABEB07"/>
    <w:rsid w:val="4BABEBB2"/>
    <w:rsid w:val="4BABF353"/>
    <w:rsid w:val="4BADFF21"/>
    <w:rsid w:val="4BAE24CE"/>
    <w:rsid w:val="4BAF46DF"/>
    <w:rsid w:val="4BB0D0E2"/>
    <w:rsid w:val="4BB0D790"/>
    <w:rsid w:val="4BB224DA"/>
    <w:rsid w:val="4BB23923"/>
    <w:rsid w:val="4BB2CE7C"/>
    <w:rsid w:val="4BB45C77"/>
    <w:rsid w:val="4BB481F7"/>
    <w:rsid w:val="4BB4A18F"/>
    <w:rsid w:val="4BB4B7DA"/>
    <w:rsid w:val="4BB4C0A4"/>
    <w:rsid w:val="4BB4C46E"/>
    <w:rsid w:val="4BB74D9A"/>
    <w:rsid w:val="4BBA3ACA"/>
    <w:rsid w:val="4BBA99A8"/>
    <w:rsid w:val="4BBBE242"/>
    <w:rsid w:val="4BBC0980"/>
    <w:rsid w:val="4BBD6B39"/>
    <w:rsid w:val="4BBDA166"/>
    <w:rsid w:val="4BBE44D3"/>
    <w:rsid w:val="4BBE771F"/>
    <w:rsid w:val="4BBECC88"/>
    <w:rsid w:val="4BBF01AF"/>
    <w:rsid w:val="4BBF1B20"/>
    <w:rsid w:val="4BBF9933"/>
    <w:rsid w:val="4BBFC672"/>
    <w:rsid w:val="4BC0204D"/>
    <w:rsid w:val="4BC023B6"/>
    <w:rsid w:val="4BC03030"/>
    <w:rsid w:val="4BC0DF67"/>
    <w:rsid w:val="4BC15070"/>
    <w:rsid w:val="4BC175DB"/>
    <w:rsid w:val="4BC17FBE"/>
    <w:rsid w:val="4BC24F6A"/>
    <w:rsid w:val="4BC265A7"/>
    <w:rsid w:val="4BC2E304"/>
    <w:rsid w:val="4BC35B01"/>
    <w:rsid w:val="4BC3AB3B"/>
    <w:rsid w:val="4BC55473"/>
    <w:rsid w:val="4BC57059"/>
    <w:rsid w:val="4BC5D9BB"/>
    <w:rsid w:val="4BC6279B"/>
    <w:rsid w:val="4BC7B783"/>
    <w:rsid w:val="4BC7D88D"/>
    <w:rsid w:val="4BC7DC24"/>
    <w:rsid w:val="4BC8069C"/>
    <w:rsid w:val="4BC89947"/>
    <w:rsid w:val="4BC94B62"/>
    <w:rsid w:val="4BC980BB"/>
    <w:rsid w:val="4BC9DABD"/>
    <w:rsid w:val="4BCA257F"/>
    <w:rsid w:val="4BCA4F8E"/>
    <w:rsid w:val="4BCAC79D"/>
    <w:rsid w:val="4BCC293C"/>
    <w:rsid w:val="4BCD3DE5"/>
    <w:rsid w:val="4BCDFFA4"/>
    <w:rsid w:val="4BCF4DC5"/>
    <w:rsid w:val="4BD06BF4"/>
    <w:rsid w:val="4BD075C6"/>
    <w:rsid w:val="4BD076BB"/>
    <w:rsid w:val="4BD12B51"/>
    <w:rsid w:val="4BD1A96B"/>
    <w:rsid w:val="4BD1DA54"/>
    <w:rsid w:val="4BD230E1"/>
    <w:rsid w:val="4BD294B9"/>
    <w:rsid w:val="4BD354DB"/>
    <w:rsid w:val="4BD3D000"/>
    <w:rsid w:val="4BD3FDC8"/>
    <w:rsid w:val="4BD41A71"/>
    <w:rsid w:val="4BD4398F"/>
    <w:rsid w:val="4BD47D43"/>
    <w:rsid w:val="4BD4EC85"/>
    <w:rsid w:val="4BD5035C"/>
    <w:rsid w:val="4BD6859A"/>
    <w:rsid w:val="4BD74586"/>
    <w:rsid w:val="4BD75F03"/>
    <w:rsid w:val="4BD8248B"/>
    <w:rsid w:val="4BD852EC"/>
    <w:rsid w:val="4BD88EE3"/>
    <w:rsid w:val="4BD8C661"/>
    <w:rsid w:val="4BD94D57"/>
    <w:rsid w:val="4BD9B221"/>
    <w:rsid w:val="4BDA04A9"/>
    <w:rsid w:val="4BDAC5AE"/>
    <w:rsid w:val="4BDAE4A4"/>
    <w:rsid w:val="4BDB6D81"/>
    <w:rsid w:val="4BDC19D8"/>
    <w:rsid w:val="4BDC1E4A"/>
    <w:rsid w:val="4BDC6AD3"/>
    <w:rsid w:val="4BDD550F"/>
    <w:rsid w:val="4BDDC659"/>
    <w:rsid w:val="4BDDDDB8"/>
    <w:rsid w:val="4BDDF1AA"/>
    <w:rsid w:val="4BDE3CDA"/>
    <w:rsid w:val="4BDE79B4"/>
    <w:rsid w:val="4BDF3FAF"/>
    <w:rsid w:val="4BDF691E"/>
    <w:rsid w:val="4BDFA237"/>
    <w:rsid w:val="4BDFC47D"/>
    <w:rsid w:val="4BDFEFF7"/>
    <w:rsid w:val="4BE00C84"/>
    <w:rsid w:val="4BE017C9"/>
    <w:rsid w:val="4BE01C2F"/>
    <w:rsid w:val="4BE02D75"/>
    <w:rsid w:val="4BE19D2E"/>
    <w:rsid w:val="4BE25BC5"/>
    <w:rsid w:val="4BE25CED"/>
    <w:rsid w:val="4BE44CBB"/>
    <w:rsid w:val="4BE49B5D"/>
    <w:rsid w:val="4BE54158"/>
    <w:rsid w:val="4BE5B46C"/>
    <w:rsid w:val="4BE7614E"/>
    <w:rsid w:val="4BE7659D"/>
    <w:rsid w:val="4BE8FE70"/>
    <w:rsid w:val="4BE986A5"/>
    <w:rsid w:val="4BEA0E6D"/>
    <w:rsid w:val="4BEAD511"/>
    <w:rsid w:val="4BEBB3C7"/>
    <w:rsid w:val="4BECB7F8"/>
    <w:rsid w:val="4BED2616"/>
    <w:rsid w:val="4BED8690"/>
    <w:rsid w:val="4BEDF780"/>
    <w:rsid w:val="4BEE8B3A"/>
    <w:rsid w:val="4BEE933B"/>
    <w:rsid w:val="4BEE9C65"/>
    <w:rsid w:val="4BEF8C7D"/>
    <w:rsid w:val="4BEFDBC7"/>
    <w:rsid w:val="4BF0EA3C"/>
    <w:rsid w:val="4BF12546"/>
    <w:rsid w:val="4BF14095"/>
    <w:rsid w:val="4BF23095"/>
    <w:rsid w:val="4BF2CBA1"/>
    <w:rsid w:val="4BF34DA2"/>
    <w:rsid w:val="4BF3DD43"/>
    <w:rsid w:val="4BF4130A"/>
    <w:rsid w:val="4BF52BB2"/>
    <w:rsid w:val="4BF554DB"/>
    <w:rsid w:val="4BF5687C"/>
    <w:rsid w:val="4BF56BEB"/>
    <w:rsid w:val="4BF584AE"/>
    <w:rsid w:val="4BF58D6A"/>
    <w:rsid w:val="4BF619AC"/>
    <w:rsid w:val="4BF64B4F"/>
    <w:rsid w:val="4BF69F9E"/>
    <w:rsid w:val="4BF6DAA3"/>
    <w:rsid w:val="4BF764C6"/>
    <w:rsid w:val="4BF78FDB"/>
    <w:rsid w:val="4BF92296"/>
    <w:rsid w:val="4BFA14DF"/>
    <w:rsid w:val="4BFACD7D"/>
    <w:rsid w:val="4BFB02C1"/>
    <w:rsid w:val="4BFC1604"/>
    <w:rsid w:val="4BFDC142"/>
    <w:rsid w:val="4BFDDA16"/>
    <w:rsid w:val="4BFE7C8D"/>
    <w:rsid w:val="4BFF4824"/>
    <w:rsid w:val="4BFF4A08"/>
    <w:rsid w:val="4BFF9E88"/>
    <w:rsid w:val="4C00BE02"/>
    <w:rsid w:val="4C013EAB"/>
    <w:rsid w:val="4C028359"/>
    <w:rsid w:val="4C02A8A8"/>
    <w:rsid w:val="4C02E2FA"/>
    <w:rsid w:val="4C040490"/>
    <w:rsid w:val="4C045982"/>
    <w:rsid w:val="4C049BD0"/>
    <w:rsid w:val="4C053DAD"/>
    <w:rsid w:val="4C063D9F"/>
    <w:rsid w:val="4C090D58"/>
    <w:rsid w:val="4C09536E"/>
    <w:rsid w:val="4C096620"/>
    <w:rsid w:val="4C0970B3"/>
    <w:rsid w:val="4C09CDF7"/>
    <w:rsid w:val="4C0B59B0"/>
    <w:rsid w:val="4C0B6048"/>
    <w:rsid w:val="4C0BA7BC"/>
    <w:rsid w:val="4C0BC8C8"/>
    <w:rsid w:val="4C0C3614"/>
    <w:rsid w:val="4C0D6EE8"/>
    <w:rsid w:val="4C0D6F30"/>
    <w:rsid w:val="4C0DB37B"/>
    <w:rsid w:val="4C0DDE16"/>
    <w:rsid w:val="4C0DFF7E"/>
    <w:rsid w:val="4C0E2C13"/>
    <w:rsid w:val="4C0EB17B"/>
    <w:rsid w:val="4C10250B"/>
    <w:rsid w:val="4C110262"/>
    <w:rsid w:val="4C123777"/>
    <w:rsid w:val="4C125F76"/>
    <w:rsid w:val="4C12A7E6"/>
    <w:rsid w:val="4C12D4EF"/>
    <w:rsid w:val="4C136FEB"/>
    <w:rsid w:val="4C13D74E"/>
    <w:rsid w:val="4C13DDF1"/>
    <w:rsid w:val="4C1426BF"/>
    <w:rsid w:val="4C1441B1"/>
    <w:rsid w:val="4C14B7EA"/>
    <w:rsid w:val="4C150DCB"/>
    <w:rsid w:val="4C15182F"/>
    <w:rsid w:val="4C151B63"/>
    <w:rsid w:val="4C154BB4"/>
    <w:rsid w:val="4C163507"/>
    <w:rsid w:val="4C16880C"/>
    <w:rsid w:val="4C16FFB4"/>
    <w:rsid w:val="4C17D047"/>
    <w:rsid w:val="4C17EEBA"/>
    <w:rsid w:val="4C180251"/>
    <w:rsid w:val="4C182715"/>
    <w:rsid w:val="4C18CB23"/>
    <w:rsid w:val="4C198AD5"/>
    <w:rsid w:val="4C19920F"/>
    <w:rsid w:val="4C1BA8CA"/>
    <w:rsid w:val="4C1CC075"/>
    <w:rsid w:val="4C1D14B8"/>
    <w:rsid w:val="4C1D2A9A"/>
    <w:rsid w:val="4C1D7010"/>
    <w:rsid w:val="4C1DA5FA"/>
    <w:rsid w:val="4C1E3D9C"/>
    <w:rsid w:val="4C1E6C00"/>
    <w:rsid w:val="4C1F0B4E"/>
    <w:rsid w:val="4C1F0C54"/>
    <w:rsid w:val="4C1F0D79"/>
    <w:rsid w:val="4C1F97F6"/>
    <w:rsid w:val="4C1FF079"/>
    <w:rsid w:val="4C207E33"/>
    <w:rsid w:val="4C20B3A7"/>
    <w:rsid w:val="4C21FAB4"/>
    <w:rsid w:val="4C225B30"/>
    <w:rsid w:val="4C22E4EA"/>
    <w:rsid w:val="4C2302B8"/>
    <w:rsid w:val="4C2320D8"/>
    <w:rsid w:val="4C24060F"/>
    <w:rsid w:val="4C244BDF"/>
    <w:rsid w:val="4C2469EC"/>
    <w:rsid w:val="4C254E54"/>
    <w:rsid w:val="4C256F1B"/>
    <w:rsid w:val="4C267463"/>
    <w:rsid w:val="4C26F21E"/>
    <w:rsid w:val="4C279034"/>
    <w:rsid w:val="4C27B2C1"/>
    <w:rsid w:val="4C2894F2"/>
    <w:rsid w:val="4C28C8B5"/>
    <w:rsid w:val="4C29B9F7"/>
    <w:rsid w:val="4C29DE3E"/>
    <w:rsid w:val="4C2B2BCD"/>
    <w:rsid w:val="4C2C51CE"/>
    <w:rsid w:val="4C2C83A8"/>
    <w:rsid w:val="4C2C9D3B"/>
    <w:rsid w:val="4C2CC922"/>
    <w:rsid w:val="4C2CCDED"/>
    <w:rsid w:val="4C2D287D"/>
    <w:rsid w:val="4C2D77D7"/>
    <w:rsid w:val="4C2DFE4C"/>
    <w:rsid w:val="4C2E7435"/>
    <w:rsid w:val="4C30576A"/>
    <w:rsid w:val="4C30A5C8"/>
    <w:rsid w:val="4C30E0FB"/>
    <w:rsid w:val="4C33D554"/>
    <w:rsid w:val="4C34E6AD"/>
    <w:rsid w:val="4C35BA8D"/>
    <w:rsid w:val="4C361D18"/>
    <w:rsid w:val="4C36CB79"/>
    <w:rsid w:val="4C3708B4"/>
    <w:rsid w:val="4C37AD51"/>
    <w:rsid w:val="4C382B77"/>
    <w:rsid w:val="4C389BF7"/>
    <w:rsid w:val="4C38B385"/>
    <w:rsid w:val="4C39088F"/>
    <w:rsid w:val="4C392B86"/>
    <w:rsid w:val="4C3964A4"/>
    <w:rsid w:val="4C39DAD5"/>
    <w:rsid w:val="4C3A7500"/>
    <w:rsid w:val="4C3B465B"/>
    <w:rsid w:val="4C3B508F"/>
    <w:rsid w:val="4C3B7200"/>
    <w:rsid w:val="4C3C7ED0"/>
    <w:rsid w:val="4C3D54D5"/>
    <w:rsid w:val="4C3D8063"/>
    <w:rsid w:val="4C3F65A5"/>
    <w:rsid w:val="4C404BC0"/>
    <w:rsid w:val="4C4092F1"/>
    <w:rsid w:val="4C41501A"/>
    <w:rsid w:val="4C4166A4"/>
    <w:rsid w:val="4C41788C"/>
    <w:rsid w:val="4C41B549"/>
    <w:rsid w:val="4C42BC77"/>
    <w:rsid w:val="4C42D13A"/>
    <w:rsid w:val="4C4311DC"/>
    <w:rsid w:val="4C433B82"/>
    <w:rsid w:val="4C434F61"/>
    <w:rsid w:val="4C436BAD"/>
    <w:rsid w:val="4C4373BF"/>
    <w:rsid w:val="4C43B521"/>
    <w:rsid w:val="4C43EBD3"/>
    <w:rsid w:val="4C43F6CD"/>
    <w:rsid w:val="4C440FB5"/>
    <w:rsid w:val="4C449BD2"/>
    <w:rsid w:val="4C45EED0"/>
    <w:rsid w:val="4C4614CA"/>
    <w:rsid w:val="4C467C1B"/>
    <w:rsid w:val="4C48C6E4"/>
    <w:rsid w:val="4C49B670"/>
    <w:rsid w:val="4C49E057"/>
    <w:rsid w:val="4C49EDA2"/>
    <w:rsid w:val="4C4B1C6B"/>
    <w:rsid w:val="4C4B4391"/>
    <w:rsid w:val="4C4B666A"/>
    <w:rsid w:val="4C4BD937"/>
    <w:rsid w:val="4C4BF310"/>
    <w:rsid w:val="4C4E4247"/>
    <w:rsid w:val="4C4F02B5"/>
    <w:rsid w:val="4C4F40D7"/>
    <w:rsid w:val="4C4F7208"/>
    <w:rsid w:val="4C4FBAB9"/>
    <w:rsid w:val="4C500850"/>
    <w:rsid w:val="4C501D12"/>
    <w:rsid w:val="4C5078DD"/>
    <w:rsid w:val="4C50C70C"/>
    <w:rsid w:val="4C518C12"/>
    <w:rsid w:val="4C51F142"/>
    <w:rsid w:val="4C521A53"/>
    <w:rsid w:val="4C522D0E"/>
    <w:rsid w:val="4C525588"/>
    <w:rsid w:val="4C54066C"/>
    <w:rsid w:val="4C547FFD"/>
    <w:rsid w:val="4C54964D"/>
    <w:rsid w:val="4C5501A7"/>
    <w:rsid w:val="4C553694"/>
    <w:rsid w:val="4C55483E"/>
    <w:rsid w:val="4C55A901"/>
    <w:rsid w:val="4C56C58C"/>
    <w:rsid w:val="4C56E50E"/>
    <w:rsid w:val="4C577448"/>
    <w:rsid w:val="4C57AC79"/>
    <w:rsid w:val="4C585277"/>
    <w:rsid w:val="4C593AAA"/>
    <w:rsid w:val="4C5A0CBE"/>
    <w:rsid w:val="4C5A4567"/>
    <w:rsid w:val="4C5B2A86"/>
    <w:rsid w:val="4C5BE887"/>
    <w:rsid w:val="4C5C372B"/>
    <w:rsid w:val="4C5CC2EF"/>
    <w:rsid w:val="4C5D5A2F"/>
    <w:rsid w:val="4C5E227C"/>
    <w:rsid w:val="4C5EDB90"/>
    <w:rsid w:val="4C5F231F"/>
    <w:rsid w:val="4C5FA91D"/>
    <w:rsid w:val="4C5FE2BB"/>
    <w:rsid w:val="4C603DD5"/>
    <w:rsid w:val="4C60972B"/>
    <w:rsid w:val="4C60BA10"/>
    <w:rsid w:val="4C60DD4A"/>
    <w:rsid w:val="4C612985"/>
    <w:rsid w:val="4C6166B8"/>
    <w:rsid w:val="4C61CA55"/>
    <w:rsid w:val="4C61E12D"/>
    <w:rsid w:val="4C61F791"/>
    <w:rsid w:val="4C61FE48"/>
    <w:rsid w:val="4C62A3E1"/>
    <w:rsid w:val="4C62ADFB"/>
    <w:rsid w:val="4C62D07E"/>
    <w:rsid w:val="4C63BE4A"/>
    <w:rsid w:val="4C641D94"/>
    <w:rsid w:val="4C6439B5"/>
    <w:rsid w:val="4C64B090"/>
    <w:rsid w:val="4C64BE3F"/>
    <w:rsid w:val="4C64EB9E"/>
    <w:rsid w:val="4C64EFC5"/>
    <w:rsid w:val="4C65D36D"/>
    <w:rsid w:val="4C660F2C"/>
    <w:rsid w:val="4C674018"/>
    <w:rsid w:val="4C68F91C"/>
    <w:rsid w:val="4C69BF6A"/>
    <w:rsid w:val="4C6A60CC"/>
    <w:rsid w:val="4C6ADAC9"/>
    <w:rsid w:val="4C6B36C2"/>
    <w:rsid w:val="4C6B86C4"/>
    <w:rsid w:val="4C6C7F01"/>
    <w:rsid w:val="4C6C9A48"/>
    <w:rsid w:val="4C6D01C2"/>
    <w:rsid w:val="4C6DEF1B"/>
    <w:rsid w:val="4C6DFCE2"/>
    <w:rsid w:val="4C6E1A42"/>
    <w:rsid w:val="4C6E959B"/>
    <w:rsid w:val="4C6EE0E1"/>
    <w:rsid w:val="4C6EF423"/>
    <w:rsid w:val="4C6EFBB6"/>
    <w:rsid w:val="4C6F4FB6"/>
    <w:rsid w:val="4C70204B"/>
    <w:rsid w:val="4C706825"/>
    <w:rsid w:val="4C70DCB3"/>
    <w:rsid w:val="4C7143D0"/>
    <w:rsid w:val="4C72AE13"/>
    <w:rsid w:val="4C74422B"/>
    <w:rsid w:val="4C7499A2"/>
    <w:rsid w:val="4C75018E"/>
    <w:rsid w:val="4C750805"/>
    <w:rsid w:val="4C757A5A"/>
    <w:rsid w:val="4C7685A4"/>
    <w:rsid w:val="4C768868"/>
    <w:rsid w:val="4C76CE66"/>
    <w:rsid w:val="4C7822A1"/>
    <w:rsid w:val="4C78A864"/>
    <w:rsid w:val="4C79A0E4"/>
    <w:rsid w:val="4C7A7AB8"/>
    <w:rsid w:val="4C7B252F"/>
    <w:rsid w:val="4C7BC42C"/>
    <w:rsid w:val="4C7C3266"/>
    <w:rsid w:val="4C7D0AFB"/>
    <w:rsid w:val="4C7DBB58"/>
    <w:rsid w:val="4C81E1D1"/>
    <w:rsid w:val="4C82654C"/>
    <w:rsid w:val="4C826DB9"/>
    <w:rsid w:val="4C828A78"/>
    <w:rsid w:val="4C836076"/>
    <w:rsid w:val="4C83DE2F"/>
    <w:rsid w:val="4C84572A"/>
    <w:rsid w:val="4C8464A8"/>
    <w:rsid w:val="4C847E25"/>
    <w:rsid w:val="4C857FEA"/>
    <w:rsid w:val="4C874AFB"/>
    <w:rsid w:val="4C87D656"/>
    <w:rsid w:val="4C88A71E"/>
    <w:rsid w:val="4C88AC92"/>
    <w:rsid w:val="4C890A7A"/>
    <w:rsid w:val="4C891C70"/>
    <w:rsid w:val="4C8A2423"/>
    <w:rsid w:val="4C8AD4E1"/>
    <w:rsid w:val="4C8DC9B6"/>
    <w:rsid w:val="4C90F433"/>
    <w:rsid w:val="4C914A29"/>
    <w:rsid w:val="4C91ED20"/>
    <w:rsid w:val="4C929995"/>
    <w:rsid w:val="4C929C15"/>
    <w:rsid w:val="4C92B968"/>
    <w:rsid w:val="4C9307D8"/>
    <w:rsid w:val="4C93A630"/>
    <w:rsid w:val="4C940D70"/>
    <w:rsid w:val="4C95C1D4"/>
    <w:rsid w:val="4C9605DB"/>
    <w:rsid w:val="4C9695CB"/>
    <w:rsid w:val="4C96EA2F"/>
    <w:rsid w:val="4C96F8A8"/>
    <w:rsid w:val="4C97C866"/>
    <w:rsid w:val="4C97E611"/>
    <w:rsid w:val="4C98123D"/>
    <w:rsid w:val="4C9918C2"/>
    <w:rsid w:val="4C99CC7E"/>
    <w:rsid w:val="4C9A62AC"/>
    <w:rsid w:val="4C9ABB3D"/>
    <w:rsid w:val="4C9B3EA4"/>
    <w:rsid w:val="4C9B7BB1"/>
    <w:rsid w:val="4C9BC4C1"/>
    <w:rsid w:val="4C9BEE85"/>
    <w:rsid w:val="4C9D4A3F"/>
    <w:rsid w:val="4C9D6117"/>
    <w:rsid w:val="4C9D83B1"/>
    <w:rsid w:val="4C9DC8C9"/>
    <w:rsid w:val="4C9DE677"/>
    <w:rsid w:val="4C9EBFC8"/>
    <w:rsid w:val="4C9F1D30"/>
    <w:rsid w:val="4C9FBF28"/>
    <w:rsid w:val="4CA0BBAE"/>
    <w:rsid w:val="4CA20E06"/>
    <w:rsid w:val="4CA24A50"/>
    <w:rsid w:val="4CA30A7A"/>
    <w:rsid w:val="4CA392DF"/>
    <w:rsid w:val="4CA3952E"/>
    <w:rsid w:val="4CA39D16"/>
    <w:rsid w:val="4CA3D4E8"/>
    <w:rsid w:val="4CA3E5D8"/>
    <w:rsid w:val="4CA411F6"/>
    <w:rsid w:val="4CA43E6A"/>
    <w:rsid w:val="4CA4F313"/>
    <w:rsid w:val="4CA56471"/>
    <w:rsid w:val="4CA7553A"/>
    <w:rsid w:val="4CA7B5E5"/>
    <w:rsid w:val="4CA82997"/>
    <w:rsid w:val="4CA8E527"/>
    <w:rsid w:val="4CA96BD1"/>
    <w:rsid w:val="4CA987F7"/>
    <w:rsid w:val="4CA9AB57"/>
    <w:rsid w:val="4CAA7103"/>
    <w:rsid w:val="4CAA85E4"/>
    <w:rsid w:val="4CAA96DF"/>
    <w:rsid w:val="4CAAFA6E"/>
    <w:rsid w:val="4CABA943"/>
    <w:rsid w:val="4CAC42E9"/>
    <w:rsid w:val="4CAC9944"/>
    <w:rsid w:val="4CACEABD"/>
    <w:rsid w:val="4CACF47F"/>
    <w:rsid w:val="4CAD1E49"/>
    <w:rsid w:val="4CAD3382"/>
    <w:rsid w:val="4CAD57FF"/>
    <w:rsid w:val="4CAE4072"/>
    <w:rsid w:val="4CAFAFEF"/>
    <w:rsid w:val="4CB0771C"/>
    <w:rsid w:val="4CB1CEB2"/>
    <w:rsid w:val="4CB21081"/>
    <w:rsid w:val="4CB25961"/>
    <w:rsid w:val="4CB2FE51"/>
    <w:rsid w:val="4CB3E31D"/>
    <w:rsid w:val="4CB47C38"/>
    <w:rsid w:val="4CB48C89"/>
    <w:rsid w:val="4CB48CE2"/>
    <w:rsid w:val="4CB54528"/>
    <w:rsid w:val="4CB5555E"/>
    <w:rsid w:val="4CB57ED1"/>
    <w:rsid w:val="4CB58609"/>
    <w:rsid w:val="4CB654B2"/>
    <w:rsid w:val="4CB786E5"/>
    <w:rsid w:val="4CB7B897"/>
    <w:rsid w:val="4CB7FC92"/>
    <w:rsid w:val="4CB8FDBC"/>
    <w:rsid w:val="4CB92B63"/>
    <w:rsid w:val="4CB93CA9"/>
    <w:rsid w:val="4CB94913"/>
    <w:rsid w:val="4CB971D5"/>
    <w:rsid w:val="4CBA7B67"/>
    <w:rsid w:val="4CBAA3B0"/>
    <w:rsid w:val="4CBB336B"/>
    <w:rsid w:val="4CBB528F"/>
    <w:rsid w:val="4CBBAD33"/>
    <w:rsid w:val="4CBBE91B"/>
    <w:rsid w:val="4CBC07AD"/>
    <w:rsid w:val="4CBC6A3A"/>
    <w:rsid w:val="4CBCBFEF"/>
    <w:rsid w:val="4CBD5A31"/>
    <w:rsid w:val="4CBDF320"/>
    <w:rsid w:val="4CBE48FC"/>
    <w:rsid w:val="4CBE8643"/>
    <w:rsid w:val="4CBF06D4"/>
    <w:rsid w:val="4CBF837C"/>
    <w:rsid w:val="4CC1232A"/>
    <w:rsid w:val="4CC1B726"/>
    <w:rsid w:val="4CC1F7FD"/>
    <w:rsid w:val="4CC3535F"/>
    <w:rsid w:val="4CC443C3"/>
    <w:rsid w:val="4CC456BA"/>
    <w:rsid w:val="4CC5A5F4"/>
    <w:rsid w:val="4CC5EB07"/>
    <w:rsid w:val="4CC61693"/>
    <w:rsid w:val="4CC6D197"/>
    <w:rsid w:val="4CC6D19A"/>
    <w:rsid w:val="4CC7E5E9"/>
    <w:rsid w:val="4CC7FA30"/>
    <w:rsid w:val="4CC85A57"/>
    <w:rsid w:val="4CC8985D"/>
    <w:rsid w:val="4CC8EAD8"/>
    <w:rsid w:val="4CC94CC6"/>
    <w:rsid w:val="4CC9CC87"/>
    <w:rsid w:val="4CC9EA30"/>
    <w:rsid w:val="4CCAC761"/>
    <w:rsid w:val="4CCB5E2F"/>
    <w:rsid w:val="4CCC026E"/>
    <w:rsid w:val="4CCCBA43"/>
    <w:rsid w:val="4CCCDA98"/>
    <w:rsid w:val="4CCD4B47"/>
    <w:rsid w:val="4CCD6DB2"/>
    <w:rsid w:val="4CCE0573"/>
    <w:rsid w:val="4CCFD5AE"/>
    <w:rsid w:val="4CD04510"/>
    <w:rsid w:val="4CD0E711"/>
    <w:rsid w:val="4CD10757"/>
    <w:rsid w:val="4CD192F3"/>
    <w:rsid w:val="4CD1CCB2"/>
    <w:rsid w:val="4CD1CD8D"/>
    <w:rsid w:val="4CD1E079"/>
    <w:rsid w:val="4CD26DF3"/>
    <w:rsid w:val="4CD28F24"/>
    <w:rsid w:val="4CD2B562"/>
    <w:rsid w:val="4CD38B39"/>
    <w:rsid w:val="4CD39F89"/>
    <w:rsid w:val="4CD44BAC"/>
    <w:rsid w:val="4CD4812F"/>
    <w:rsid w:val="4CD4FF5A"/>
    <w:rsid w:val="4CD50532"/>
    <w:rsid w:val="4CD54DFE"/>
    <w:rsid w:val="4CD5805B"/>
    <w:rsid w:val="4CD582D6"/>
    <w:rsid w:val="4CD5990D"/>
    <w:rsid w:val="4CD5CED5"/>
    <w:rsid w:val="4CD5DF35"/>
    <w:rsid w:val="4CD6901C"/>
    <w:rsid w:val="4CD6A895"/>
    <w:rsid w:val="4CD72972"/>
    <w:rsid w:val="4CD7B6CF"/>
    <w:rsid w:val="4CD7BCD2"/>
    <w:rsid w:val="4CD8BC52"/>
    <w:rsid w:val="4CD94351"/>
    <w:rsid w:val="4CD9F5D5"/>
    <w:rsid w:val="4CDA5DC6"/>
    <w:rsid w:val="4CDA60FA"/>
    <w:rsid w:val="4CDABED7"/>
    <w:rsid w:val="4CDAECFF"/>
    <w:rsid w:val="4CDB4357"/>
    <w:rsid w:val="4CDC5372"/>
    <w:rsid w:val="4CDCA74E"/>
    <w:rsid w:val="4CDD8321"/>
    <w:rsid w:val="4CDD8C65"/>
    <w:rsid w:val="4CDE01AC"/>
    <w:rsid w:val="4CDEBFF3"/>
    <w:rsid w:val="4CDEC015"/>
    <w:rsid w:val="4CDED7DB"/>
    <w:rsid w:val="4CDF280B"/>
    <w:rsid w:val="4CDF4DD6"/>
    <w:rsid w:val="4CDF8008"/>
    <w:rsid w:val="4CDFABB8"/>
    <w:rsid w:val="4CE08C36"/>
    <w:rsid w:val="4CE0C90A"/>
    <w:rsid w:val="4CE0FF7E"/>
    <w:rsid w:val="4CE1F359"/>
    <w:rsid w:val="4CE21BBC"/>
    <w:rsid w:val="4CE3266F"/>
    <w:rsid w:val="4CE34714"/>
    <w:rsid w:val="4CE3EE46"/>
    <w:rsid w:val="4CE405F2"/>
    <w:rsid w:val="4CE5A322"/>
    <w:rsid w:val="4CE69F54"/>
    <w:rsid w:val="4CE72B24"/>
    <w:rsid w:val="4CE7BD32"/>
    <w:rsid w:val="4CE845C4"/>
    <w:rsid w:val="4CE89855"/>
    <w:rsid w:val="4CE94C78"/>
    <w:rsid w:val="4CEA7C1E"/>
    <w:rsid w:val="4CEBD7BE"/>
    <w:rsid w:val="4CEC5BCC"/>
    <w:rsid w:val="4CEC772D"/>
    <w:rsid w:val="4CEE5115"/>
    <w:rsid w:val="4CF0C6B7"/>
    <w:rsid w:val="4CF0CCDE"/>
    <w:rsid w:val="4CF0D990"/>
    <w:rsid w:val="4CF115B5"/>
    <w:rsid w:val="4CF26FEC"/>
    <w:rsid w:val="4CF2840C"/>
    <w:rsid w:val="4CF2879A"/>
    <w:rsid w:val="4CF294F4"/>
    <w:rsid w:val="4CF41AC8"/>
    <w:rsid w:val="4CF42311"/>
    <w:rsid w:val="4CF5A6B4"/>
    <w:rsid w:val="4CF66372"/>
    <w:rsid w:val="4CF67A4F"/>
    <w:rsid w:val="4CF6D9A6"/>
    <w:rsid w:val="4CF72897"/>
    <w:rsid w:val="4CF73A02"/>
    <w:rsid w:val="4CF8318C"/>
    <w:rsid w:val="4CF8D36B"/>
    <w:rsid w:val="4CF926F2"/>
    <w:rsid w:val="4CF95C45"/>
    <w:rsid w:val="4CFBC3A6"/>
    <w:rsid w:val="4CFC285D"/>
    <w:rsid w:val="4CFCBA10"/>
    <w:rsid w:val="4CFD6FC2"/>
    <w:rsid w:val="4CFDCEBD"/>
    <w:rsid w:val="4CFE2825"/>
    <w:rsid w:val="4CFF47D3"/>
    <w:rsid w:val="4CFF6A80"/>
    <w:rsid w:val="4CFF7D82"/>
    <w:rsid w:val="4D0000CF"/>
    <w:rsid w:val="4D0018EC"/>
    <w:rsid w:val="4D00B645"/>
    <w:rsid w:val="4D012961"/>
    <w:rsid w:val="4D012A54"/>
    <w:rsid w:val="4D016F35"/>
    <w:rsid w:val="4D025DA5"/>
    <w:rsid w:val="4D02940A"/>
    <w:rsid w:val="4D037181"/>
    <w:rsid w:val="4D03B2F0"/>
    <w:rsid w:val="4D05389D"/>
    <w:rsid w:val="4D05618E"/>
    <w:rsid w:val="4D058E47"/>
    <w:rsid w:val="4D06AD45"/>
    <w:rsid w:val="4D06E882"/>
    <w:rsid w:val="4D06F38B"/>
    <w:rsid w:val="4D074A67"/>
    <w:rsid w:val="4D078021"/>
    <w:rsid w:val="4D08BC63"/>
    <w:rsid w:val="4D090F8E"/>
    <w:rsid w:val="4D099C37"/>
    <w:rsid w:val="4D0AD763"/>
    <w:rsid w:val="4D0BB302"/>
    <w:rsid w:val="4D0C0EFE"/>
    <w:rsid w:val="4D0C4290"/>
    <w:rsid w:val="4D0CB2FC"/>
    <w:rsid w:val="4D0D5B4D"/>
    <w:rsid w:val="4D0D678F"/>
    <w:rsid w:val="4D0D7D88"/>
    <w:rsid w:val="4D0D8470"/>
    <w:rsid w:val="4D0E3838"/>
    <w:rsid w:val="4D0E5421"/>
    <w:rsid w:val="4D0E85B2"/>
    <w:rsid w:val="4D0EBAD0"/>
    <w:rsid w:val="4D0F9B3E"/>
    <w:rsid w:val="4D10644A"/>
    <w:rsid w:val="4D10E341"/>
    <w:rsid w:val="4D110D69"/>
    <w:rsid w:val="4D11C0E0"/>
    <w:rsid w:val="4D1238CB"/>
    <w:rsid w:val="4D123AF4"/>
    <w:rsid w:val="4D134589"/>
    <w:rsid w:val="4D13EDAB"/>
    <w:rsid w:val="4D147B3F"/>
    <w:rsid w:val="4D14B34F"/>
    <w:rsid w:val="4D150766"/>
    <w:rsid w:val="4D163578"/>
    <w:rsid w:val="4D172A7E"/>
    <w:rsid w:val="4D174CA5"/>
    <w:rsid w:val="4D17AB28"/>
    <w:rsid w:val="4D17D4E1"/>
    <w:rsid w:val="4D184CB8"/>
    <w:rsid w:val="4D18DF69"/>
    <w:rsid w:val="4D190E33"/>
    <w:rsid w:val="4D19BAA1"/>
    <w:rsid w:val="4D19BC61"/>
    <w:rsid w:val="4D19D631"/>
    <w:rsid w:val="4D1A6013"/>
    <w:rsid w:val="4D1A8387"/>
    <w:rsid w:val="4D1BC7E9"/>
    <w:rsid w:val="4D1C6446"/>
    <w:rsid w:val="4D1CFE84"/>
    <w:rsid w:val="4D1DCC57"/>
    <w:rsid w:val="4D1E0749"/>
    <w:rsid w:val="4D1ED051"/>
    <w:rsid w:val="4D201D6A"/>
    <w:rsid w:val="4D206B71"/>
    <w:rsid w:val="4D211C25"/>
    <w:rsid w:val="4D214B25"/>
    <w:rsid w:val="4D21AA82"/>
    <w:rsid w:val="4D21DBCA"/>
    <w:rsid w:val="4D229C19"/>
    <w:rsid w:val="4D22AE8A"/>
    <w:rsid w:val="4D22CACA"/>
    <w:rsid w:val="4D248B92"/>
    <w:rsid w:val="4D24F18E"/>
    <w:rsid w:val="4D250E71"/>
    <w:rsid w:val="4D25DF60"/>
    <w:rsid w:val="4D263B1E"/>
    <w:rsid w:val="4D271063"/>
    <w:rsid w:val="4D2789A5"/>
    <w:rsid w:val="4D27D957"/>
    <w:rsid w:val="4D29BE5E"/>
    <w:rsid w:val="4D2BA18B"/>
    <w:rsid w:val="4D2C398A"/>
    <w:rsid w:val="4D2C41A5"/>
    <w:rsid w:val="4D2C6B70"/>
    <w:rsid w:val="4D2C74F6"/>
    <w:rsid w:val="4D2D28B8"/>
    <w:rsid w:val="4D2E3397"/>
    <w:rsid w:val="4D2F5A2D"/>
    <w:rsid w:val="4D2F6CC2"/>
    <w:rsid w:val="4D3037A7"/>
    <w:rsid w:val="4D30689B"/>
    <w:rsid w:val="4D30783E"/>
    <w:rsid w:val="4D30E7F1"/>
    <w:rsid w:val="4D3115FB"/>
    <w:rsid w:val="4D313137"/>
    <w:rsid w:val="4D31BA37"/>
    <w:rsid w:val="4D333C6C"/>
    <w:rsid w:val="4D33AF83"/>
    <w:rsid w:val="4D33B5F7"/>
    <w:rsid w:val="4D33FCB8"/>
    <w:rsid w:val="4D348412"/>
    <w:rsid w:val="4D349539"/>
    <w:rsid w:val="4D34CC70"/>
    <w:rsid w:val="4D3505A5"/>
    <w:rsid w:val="4D3569BD"/>
    <w:rsid w:val="4D35E040"/>
    <w:rsid w:val="4D3673E6"/>
    <w:rsid w:val="4D36BA6A"/>
    <w:rsid w:val="4D376DD0"/>
    <w:rsid w:val="4D37AE44"/>
    <w:rsid w:val="4D37E26F"/>
    <w:rsid w:val="4D384E73"/>
    <w:rsid w:val="4D3857D1"/>
    <w:rsid w:val="4D388A83"/>
    <w:rsid w:val="4D38B811"/>
    <w:rsid w:val="4D394065"/>
    <w:rsid w:val="4D3ABCA1"/>
    <w:rsid w:val="4D3AEC96"/>
    <w:rsid w:val="4D3B11CA"/>
    <w:rsid w:val="4D3B51DA"/>
    <w:rsid w:val="4D3C4F62"/>
    <w:rsid w:val="4D3C5410"/>
    <w:rsid w:val="4D3CF846"/>
    <w:rsid w:val="4D3DC07B"/>
    <w:rsid w:val="4D3E1291"/>
    <w:rsid w:val="4D3E933C"/>
    <w:rsid w:val="4D3EA4F2"/>
    <w:rsid w:val="4D3EB3AC"/>
    <w:rsid w:val="4D3F0C88"/>
    <w:rsid w:val="4D3F77D5"/>
    <w:rsid w:val="4D3FC87C"/>
    <w:rsid w:val="4D401C48"/>
    <w:rsid w:val="4D40D384"/>
    <w:rsid w:val="4D41D4CC"/>
    <w:rsid w:val="4D438845"/>
    <w:rsid w:val="4D440101"/>
    <w:rsid w:val="4D440AA5"/>
    <w:rsid w:val="4D44208F"/>
    <w:rsid w:val="4D443DA1"/>
    <w:rsid w:val="4D446680"/>
    <w:rsid w:val="4D44C9FA"/>
    <w:rsid w:val="4D451E21"/>
    <w:rsid w:val="4D451F85"/>
    <w:rsid w:val="4D456A73"/>
    <w:rsid w:val="4D460BDF"/>
    <w:rsid w:val="4D4705FF"/>
    <w:rsid w:val="4D47B07F"/>
    <w:rsid w:val="4D47DB48"/>
    <w:rsid w:val="4D48FAF3"/>
    <w:rsid w:val="4D490163"/>
    <w:rsid w:val="4D490D16"/>
    <w:rsid w:val="4D493A44"/>
    <w:rsid w:val="4D497C6D"/>
    <w:rsid w:val="4D4996D4"/>
    <w:rsid w:val="4D4A21C2"/>
    <w:rsid w:val="4D4A319B"/>
    <w:rsid w:val="4D4B128D"/>
    <w:rsid w:val="4D4B84F5"/>
    <w:rsid w:val="4D4B9B36"/>
    <w:rsid w:val="4D4C3B87"/>
    <w:rsid w:val="4D4C44C5"/>
    <w:rsid w:val="4D4C71BD"/>
    <w:rsid w:val="4D4CB801"/>
    <w:rsid w:val="4D4D1076"/>
    <w:rsid w:val="4D4DCAF7"/>
    <w:rsid w:val="4D4E62F1"/>
    <w:rsid w:val="4D4F1A4A"/>
    <w:rsid w:val="4D4F7103"/>
    <w:rsid w:val="4D50114B"/>
    <w:rsid w:val="4D50F2DD"/>
    <w:rsid w:val="4D51B211"/>
    <w:rsid w:val="4D522DEE"/>
    <w:rsid w:val="4D527BCD"/>
    <w:rsid w:val="4D527E92"/>
    <w:rsid w:val="4D52C135"/>
    <w:rsid w:val="4D5395AD"/>
    <w:rsid w:val="4D5399CD"/>
    <w:rsid w:val="4D53C20A"/>
    <w:rsid w:val="4D53D62E"/>
    <w:rsid w:val="4D546BA4"/>
    <w:rsid w:val="4D556913"/>
    <w:rsid w:val="4D565401"/>
    <w:rsid w:val="4D56F2C8"/>
    <w:rsid w:val="4D57455A"/>
    <w:rsid w:val="4D575DF7"/>
    <w:rsid w:val="4D579D5B"/>
    <w:rsid w:val="4D57A7AC"/>
    <w:rsid w:val="4D57BE22"/>
    <w:rsid w:val="4D57C069"/>
    <w:rsid w:val="4D589B83"/>
    <w:rsid w:val="4D58E948"/>
    <w:rsid w:val="4D593CCF"/>
    <w:rsid w:val="4D59655C"/>
    <w:rsid w:val="4D599208"/>
    <w:rsid w:val="4D5AE333"/>
    <w:rsid w:val="4D5B8510"/>
    <w:rsid w:val="4D5BEEC8"/>
    <w:rsid w:val="4D5D8C40"/>
    <w:rsid w:val="4D5DF7B2"/>
    <w:rsid w:val="4D5E9D4A"/>
    <w:rsid w:val="4D5F2CAC"/>
    <w:rsid w:val="4D5F6543"/>
    <w:rsid w:val="4D5F8291"/>
    <w:rsid w:val="4D5FFBC4"/>
    <w:rsid w:val="4D613D51"/>
    <w:rsid w:val="4D626D48"/>
    <w:rsid w:val="4D627DA4"/>
    <w:rsid w:val="4D650B89"/>
    <w:rsid w:val="4D657714"/>
    <w:rsid w:val="4D66FC40"/>
    <w:rsid w:val="4D6760A1"/>
    <w:rsid w:val="4D67D5A1"/>
    <w:rsid w:val="4D67DA1E"/>
    <w:rsid w:val="4D6802C2"/>
    <w:rsid w:val="4D68AADF"/>
    <w:rsid w:val="4D68C15F"/>
    <w:rsid w:val="4D6999D6"/>
    <w:rsid w:val="4D69B34E"/>
    <w:rsid w:val="4D6A57FC"/>
    <w:rsid w:val="4D6A697B"/>
    <w:rsid w:val="4D6A6BED"/>
    <w:rsid w:val="4D6AACE4"/>
    <w:rsid w:val="4D6BF6C6"/>
    <w:rsid w:val="4D6CF97F"/>
    <w:rsid w:val="4D6D639F"/>
    <w:rsid w:val="4D6D8AB7"/>
    <w:rsid w:val="4D6DDB0E"/>
    <w:rsid w:val="4D6EE28F"/>
    <w:rsid w:val="4D6FFD88"/>
    <w:rsid w:val="4D70A455"/>
    <w:rsid w:val="4D70D5C3"/>
    <w:rsid w:val="4D7133E8"/>
    <w:rsid w:val="4D718CCD"/>
    <w:rsid w:val="4D719B8D"/>
    <w:rsid w:val="4D71D787"/>
    <w:rsid w:val="4D72BAA2"/>
    <w:rsid w:val="4D7320EC"/>
    <w:rsid w:val="4D73B149"/>
    <w:rsid w:val="4D74FC71"/>
    <w:rsid w:val="4D755BB0"/>
    <w:rsid w:val="4D76FDBE"/>
    <w:rsid w:val="4D771CA3"/>
    <w:rsid w:val="4D772CF6"/>
    <w:rsid w:val="4D776F73"/>
    <w:rsid w:val="4D78B576"/>
    <w:rsid w:val="4D78BF7D"/>
    <w:rsid w:val="4D791A54"/>
    <w:rsid w:val="4D796899"/>
    <w:rsid w:val="4D79BED7"/>
    <w:rsid w:val="4D7A4A0F"/>
    <w:rsid w:val="4D7A546E"/>
    <w:rsid w:val="4D7AF10D"/>
    <w:rsid w:val="4D7B07BE"/>
    <w:rsid w:val="4D7B62F1"/>
    <w:rsid w:val="4D7BBCDB"/>
    <w:rsid w:val="4D7C2914"/>
    <w:rsid w:val="4D7C343B"/>
    <w:rsid w:val="4D7C7AA9"/>
    <w:rsid w:val="4D7E4DB9"/>
    <w:rsid w:val="4D7FBBD4"/>
    <w:rsid w:val="4D81932A"/>
    <w:rsid w:val="4D838CCC"/>
    <w:rsid w:val="4D83A72D"/>
    <w:rsid w:val="4D83B340"/>
    <w:rsid w:val="4D841966"/>
    <w:rsid w:val="4D84198F"/>
    <w:rsid w:val="4D8529EE"/>
    <w:rsid w:val="4D865168"/>
    <w:rsid w:val="4D86707B"/>
    <w:rsid w:val="4D868AF0"/>
    <w:rsid w:val="4D87475C"/>
    <w:rsid w:val="4D87C376"/>
    <w:rsid w:val="4D8834C6"/>
    <w:rsid w:val="4D88591D"/>
    <w:rsid w:val="4D88C077"/>
    <w:rsid w:val="4D891287"/>
    <w:rsid w:val="4D89B3C5"/>
    <w:rsid w:val="4D8A104E"/>
    <w:rsid w:val="4D8A9875"/>
    <w:rsid w:val="4D8BF8D5"/>
    <w:rsid w:val="4D8D8417"/>
    <w:rsid w:val="4D8D9E72"/>
    <w:rsid w:val="4D8E12F4"/>
    <w:rsid w:val="4D8F50D7"/>
    <w:rsid w:val="4D8FEC72"/>
    <w:rsid w:val="4D908DAA"/>
    <w:rsid w:val="4D90E5E2"/>
    <w:rsid w:val="4D9198C2"/>
    <w:rsid w:val="4D93233B"/>
    <w:rsid w:val="4D93563A"/>
    <w:rsid w:val="4D938875"/>
    <w:rsid w:val="4D93C527"/>
    <w:rsid w:val="4D9411EF"/>
    <w:rsid w:val="4D941E4B"/>
    <w:rsid w:val="4D9465E8"/>
    <w:rsid w:val="4D94B3C9"/>
    <w:rsid w:val="4D95BAD8"/>
    <w:rsid w:val="4D95E35E"/>
    <w:rsid w:val="4D961A1D"/>
    <w:rsid w:val="4D96CB77"/>
    <w:rsid w:val="4D97660A"/>
    <w:rsid w:val="4D9791E0"/>
    <w:rsid w:val="4D97ABD6"/>
    <w:rsid w:val="4D98E489"/>
    <w:rsid w:val="4D9981B4"/>
    <w:rsid w:val="4D99A67B"/>
    <w:rsid w:val="4D99EB41"/>
    <w:rsid w:val="4D9A7F49"/>
    <w:rsid w:val="4D9CE02C"/>
    <w:rsid w:val="4D9E4C2F"/>
    <w:rsid w:val="4D9E7BE7"/>
    <w:rsid w:val="4D9F7AA4"/>
    <w:rsid w:val="4DA02748"/>
    <w:rsid w:val="4DA05B42"/>
    <w:rsid w:val="4DA12BF6"/>
    <w:rsid w:val="4DA141DC"/>
    <w:rsid w:val="4DA1C371"/>
    <w:rsid w:val="4DA1C99A"/>
    <w:rsid w:val="4DA21D8C"/>
    <w:rsid w:val="4DA2921A"/>
    <w:rsid w:val="4DA31521"/>
    <w:rsid w:val="4DA3686F"/>
    <w:rsid w:val="4DA3760D"/>
    <w:rsid w:val="4DA39691"/>
    <w:rsid w:val="4DA3B06C"/>
    <w:rsid w:val="4DA4FA68"/>
    <w:rsid w:val="4DA5026D"/>
    <w:rsid w:val="4DA510DF"/>
    <w:rsid w:val="4DA514A1"/>
    <w:rsid w:val="4DA52364"/>
    <w:rsid w:val="4DA5DF51"/>
    <w:rsid w:val="4DA5F7E0"/>
    <w:rsid w:val="4DA658CF"/>
    <w:rsid w:val="4DA6C743"/>
    <w:rsid w:val="4DA74EB5"/>
    <w:rsid w:val="4DA814E8"/>
    <w:rsid w:val="4DA86CAE"/>
    <w:rsid w:val="4DA87792"/>
    <w:rsid w:val="4DA8C13D"/>
    <w:rsid w:val="4DA8E450"/>
    <w:rsid w:val="4DAA56DE"/>
    <w:rsid w:val="4DAA7FFA"/>
    <w:rsid w:val="4DAADA53"/>
    <w:rsid w:val="4DAB04C1"/>
    <w:rsid w:val="4DAB8BB2"/>
    <w:rsid w:val="4DABB026"/>
    <w:rsid w:val="4DABB0DD"/>
    <w:rsid w:val="4DACF9FF"/>
    <w:rsid w:val="4DADCB35"/>
    <w:rsid w:val="4DAE177C"/>
    <w:rsid w:val="4DAE7131"/>
    <w:rsid w:val="4DAF3260"/>
    <w:rsid w:val="4DAF42B4"/>
    <w:rsid w:val="4DAF88C4"/>
    <w:rsid w:val="4DAFC277"/>
    <w:rsid w:val="4DB0D736"/>
    <w:rsid w:val="4DB1866F"/>
    <w:rsid w:val="4DB187F4"/>
    <w:rsid w:val="4DB19256"/>
    <w:rsid w:val="4DB19AF3"/>
    <w:rsid w:val="4DB1A0A7"/>
    <w:rsid w:val="4DB1FA74"/>
    <w:rsid w:val="4DB240F6"/>
    <w:rsid w:val="4DB35816"/>
    <w:rsid w:val="4DB384F0"/>
    <w:rsid w:val="4DB4C1CB"/>
    <w:rsid w:val="4DB52328"/>
    <w:rsid w:val="4DB65516"/>
    <w:rsid w:val="4DB69DAC"/>
    <w:rsid w:val="4DB6B862"/>
    <w:rsid w:val="4DB6EB7B"/>
    <w:rsid w:val="4DB725CC"/>
    <w:rsid w:val="4DB75345"/>
    <w:rsid w:val="4DB818C1"/>
    <w:rsid w:val="4DB8A275"/>
    <w:rsid w:val="4DB8D797"/>
    <w:rsid w:val="4DB993E1"/>
    <w:rsid w:val="4DB9DC63"/>
    <w:rsid w:val="4DBB18BA"/>
    <w:rsid w:val="4DBB5CD2"/>
    <w:rsid w:val="4DBB743F"/>
    <w:rsid w:val="4DBCAAC0"/>
    <w:rsid w:val="4DBD0664"/>
    <w:rsid w:val="4DBD6FB7"/>
    <w:rsid w:val="4DBDBF0F"/>
    <w:rsid w:val="4DBDCEE6"/>
    <w:rsid w:val="4DBE1414"/>
    <w:rsid w:val="4DBE47F8"/>
    <w:rsid w:val="4DBF10D1"/>
    <w:rsid w:val="4DBFA5FB"/>
    <w:rsid w:val="4DC00174"/>
    <w:rsid w:val="4DC07FF2"/>
    <w:rsid w:val="4DC087C6"/>
    <w:rsid w:val="4DC13D2A"/>
    <w:rsid w:val="4DC13E28"/>
    <w:rsid w:val="4DC2ADD6"/>
    <w:rsid w:val="4DC3D5CE"/>
    <w:rsid w:val="4DC433D4"/>
    <w:rsid w:val="4DC43E7C"/>
    <w:rsid w:val="4DC43EF3"/>
    <w:rsid w:val="4DC47DD8"/>
    <w:rsid w:val="4DC4977B"/>
    <w:rsid w:val="4DC4D0BE"/>
    <w:rsid w:val="4DC4F193"/>
    <w:rsid w:val="4DC5202C"/>
    <w:rsid w:val="4DC74B59"/>
    <w:rsid w:val="4DC7719E"/>
    <w:rsid w:val="4DC808E0"/>
    <w:rsid w:val="4DC90689"/>
    <w:rsid w:val="4DC92157"/>
    <w:rsid w:val="4DC931B8"/>
    <w:rsid w:val="4DC935C1"/>
    <w:rsid w:val="4DC9C511"/>
    <w:rsid w:val="4DCB1B3D"/>
    <w:rsid w:val="4DCB92DC"/>
    <w:rsid w:val="4DCC2EBE"/>
    <w:rsid w:val="4DCC5583"/>
    <w:rsid w:val="4DCC93DA"/>
    <w:rsid w:val="4DCE1BCC"/>
    <w:rsid w:val="4DCE8B57"/>
    <w:rsid w:val="4DCEC0E3"/>
    <w:rsid w:val="4DD01C29"/>
    <w:rsid w:val="4DD073F1"/>
    <w:rsid w:val="4DD15044"/>
    <w:rsid w:val="4DD21BAD"/>
    <w:rsid w:val="4DD2BAE5"/>
    <w:rsid w:val="4DD2F6FE"/>
    <w:rsid w:val="4DD31DCE"/>
    <w:rsid w:val="4DD393C1"/>
    <w:rsid w:val="4DD3CE2A"/>
    <w:rsid w:val="4DD4D6F6"/>
    <w:rsid w:val="4DD58A8B"/>
    <w:rsid w:val="4DD683FB"/>
    <w:rsid w:val="4DD7190E"/>
    <w:rsid w:val="4DD721DF"/>
    <w:rsid w:val="4DD83139"/>
    <w:rsid w:val="4DD85564"/>
    <w:rsid w:val="4DD8A870"/>
    <w:rsid w:val="4DD8AA4B"/>
    <w:rsid w:val="4DD91D41"/>
    <w:rsid w:val="4DD95CD1"/>
    <w:rsid w:val="4DDA3C1B"/>
    <w:rsid w:val="4DDA4232"/>
    <w:rsid w:val="4DDA7CE7"/>
    <w:rsid w:val="4DDC12A4"/>
    <w:rsid w:val="4DDC32F8"/>
    <w:rsid w:val="4DDCD749"/>
    <w:rsid w:val="4DDCFBE7"/>
    <w:rsid w:val="4DDD06E1"/>
    <w:rsid w:val="4DDDBA06"/>
    <w:rsid w:val="4DDDDB11"/>
    <w:rsid w:val="4DDEDD06"/>
    <w:rsid w:val="4DDF2206"/>
    <w:rsid w:val="4DE0A071"/>
    <w:rsid w:val="4DE0E1D3"/>
    <w:rsid w:val="4DE0F5D9"/>
    <w:rsid w:val="4DE1C3CF"/>
    <w:rsid w:val="4DE238E0"/>
    <w:rsid w:val="4DE38BB9"/>
    <w:rsid w:val="4DE427FF"/>
    <w:rsid w:val="4DE4F789"/>
    <w:rsid w:val="4DE57F98"/>
    <w:rsid w:val="4DE5A6BB"/>
    <w:rsid w:val="4DE5ACA1"/>
    <w:rsid w:val="4DE69147"/>
    <w:rsid w:val="4DE6C76A"/>
    <w:rsid w:val="4DE7CC46"/>
    <w:rsid w:val="4DE818BA"/>
    <w:rsid w:val="4DE8A398"/>
    <w:rsid w:val="4DE92EB9"/>
    <w:rsid w:val="4DE96200"/>
    <w:rsid w:val="4DE9F064"/>
    <w:rsid w:val="4DEA3D2C"/>
    <w:rsid w:val="4DEA9D05"/>
    <w:rsid w:val="4DEB2F2B"/>
    <w:rsid w:val="4DEB9BF1"/>
    <w:rsid w:val="4DEBB11D"/>
    <w:rsid w:val="4DEBB139"/>
    <w:rsid w:val="4DECE72B"/>
    <w:rsid w:val="4DED07FD"/>
    <w:rsid w:val="4DED775C"/>
    <w:rsid w:val="4DED8D03"/>
    <w:rsid w:val="4DEEB5CB"/>
    <w:rsid w:val="4DEEE6AA"/>
    <w:rsid w:val="4DEF4C12"/>
    <w:rsid w:val="4DF0064B"/>
    <w:rsid w:val="4DF006E2"/>
    <w:rsid w:val="4DF00C79"/>
    <w:rsid w:val="4DF05AC5"/>
    <w:rsid w:val="4DF1546A"/>
    <w:rsid w:val="4DF1641E"/>
    <w:rsid w:val="4DF1667A"/>
    <w:rsid w:val="4DF1F903"/>
    <w:rsid w:val="4DF2AB3B"/>
    <w:rsid w:val="4DF30FE4"/>
    <w:rsid w:val="4DF42B63"/>
    <w:rsid w:val="4DF43CF2"/>
    <w:rsid w:val="4DF47CB1"/>
    <w:rsid w:val="4DF4A9E7"/>
    <w:rsid w:val="4DF530A2"/>
    <w:rsid w:val="4DF5B50A"/>
    <w:rsid w:val="4DF6C3C7"/>
    <w:rsid w:val="4DF77C91"/>
    <w:rsid w:val="4DF7F8F4"/>
    <w:rsid w:val="4DF7F96E"/>
    <w:rsid w:val="4DF83830"/>
    <w:rsid w:val="4DF86156"/>
    <w:rsid w:val="4DF8CE7D"/>
    <w:rsid w:val="4DFA7F9A"/>
    <w:rsid w:val="4DFA847E"/>
    <w:rsid w:val="4DFAB108"/>
    <w:rsid w:val="4DFB4624"/>
    <w:rsid w:val="4DFB73A5"/>
    <w:rsid w:val="4DFBCAE9"/>
    <w:rsid w:val="4DFC1D15"/>
    <w:rsid w:val="4DFD2123"/>
    <w:rsid w:val="4DFDAD4B"/>
    <w:rsid w:val="4DFDD69B"/>
    <w:rsid w:val="4DFEE6B4"/>
    <w:rsid w:val="4DFF4CE8"/>
    <w:rsid w:val="4E00CDFC"/>
    <w:rsid w:val="4E010F11"/>
    <w:rsid w:val="4E013376"/>
    <w:rsid w:val="4E013D81"/>
    <w:rsid w:val="4E023D3B"/>
    <w:rsid w:val="4E02528F"/>
    <w:rsid w:val="4E026E4D"/>
    <w:rsid w:val="4E0346AC"/>
    <w:rsid w:val="4E038724"/>
    <w:rsid w:val="4E03A5EC"/>
    <w:rsid w:val="4E03CB51"/>
    <w:rsid w:val="4E047DFA"/>
    <w:rsid w:val="4E04A674"/>
    <w:rsid w:val="4E052296"/>
    <w:rsid w:val="4E053962"/>
    <w:rsid w:val="4E055E90"/>
    <w:rsid w:val="4E067A50"/>
    <w:rsid w:val="4E069F54"/>
    <w:rsid w:val="4E06E068"/>
    <w:rsid w:val="4E072442"/>
    <w:rsid w:val="4E07249E"/>
    <w:rsid w:val="4E07628E"/>
    <w:rsid w:val="4E07CE0A"/>
    <w:rsid w:val="4E082EC1"/>
    <w:rsid w:val="4E0836E1"/>
    <w:rsid w:val="4E088423"/>
    <w:rsid w:val="4E08956F"/>
    <w:rsid w:val="4E096CFB"/>
    <w:rsid w:val="4E09B290"/>
    <w:rsid w:val="4E0B84E9"/>
    <w:rsid w:val="4E0C954F"/>
    <w:rsid w:val="4E0CDF70"/>
    <w:rsid w:val="4E0D48C9"/>
    <w:rsid w:val="4E0D8CB9"/>
    <w:rsid w:val="4E0DD5AF"/>
    <w:rsid w:val="4E0E3551"/>
    <w:rsid w:val="4E10423D"/>
    <w:rsid w:val="4E105385"/>
    <w:rsid w:val="4E10D5D9"/>
    <w:rsid w:val="4E10D8EF"/>
    <w:rsid w:val="4E10EA1C"/>
    <w:rsid w:val="4E10FDEC"/>
    <w:rsid w:val="4E10FE9F"/>
    <w:rsid w:val="4E1114AC"/>
    <w:rsid w:val="4E11936F"/>
    <w:rsid w:val="4E11DACE"/>
    <w:rsid w:val="4E11F74A"/>
    <w:rsid w:val="4E1245EC"/>
    <w:rsid w:val="4E129205"/>
    <w:rsid w:val="4E12F869"/>
    <w:rsid w:val="4E135E95"/>
    <w:rsid w:val="4E149561"/>
    <w:rsid w:val="4E1532C1"/>
    <w:rsid w:val="4E1590E5"/>
    <w:rsid w:val="4E162097"/>
    <w:rsid w:val="4E16D37A"/>
    <w:rsid w:val="4E16E21E"/>
    <w:rsid w:val="4E17379E"/>
    <w:rsid w:val="4E173F32"/>
    <w:rsid w:val="4E1759B9"/>
    <w:rsid w:val="4E17C91F"/>
    <w:rsid w:val="4E1884CA"/>
    <w:rsid w:val="4E19B1D8"/>
    <w:rsid w:val="4E1BB6A3"/>
    <w:rsid w:val="4E1BBC28"/>
    <w:rsid w:val="4E1BD1D6"/>
    <w:rsid w:val="4E1C0A80"/>
    <w:rsid w:val="4E1C43D8"/>
    <w:rsid w:val="4E1C4D92"/>
    <w:rsid w:val="4E1CDF71"/>
    <w:rsid w:val="4E1DA0CD"/>
    <w:rsid w:val="4E1DEB60"/>
    <w:rsid w:val="4E1E252B"/>
    <w:rsid w:val="4E1E49C2"/>
    <w:rsid w:val="4E1E4FC8"/>
    <w:rsid w:val="4E1EB0B7"/>
    <w:rsid w:val="4E1F6305"/>
    <w:rsid w:val="4E1FF8C4"/>
    <w:rsid w:val="4E20381A"/>
    <w:rsid w:val="4E211EC4"/>
    <w:rsid w:val="4E21FE06"/>
    <w:rsid w:val="4E22699F"/>
    <w:rsid w:val="4E22E56E"/>
    <w:rsid w:val="4E22F5E0"/>
    <w:rsid w:val="4E23690F"/>
    <w:rsid w:val="4E23A4D9"/>
    <w:rsid w:val="4E23DC3D"/>
    <w:rsid w:val="4E244899"/>
    <w:rsid w:val="4E2449DE"/>
    <w:rsid w:val="4E247715"/>
    <w:rsid w:val="4E248490"/>
    <w:rsid w:val="4E24F5DD"/>
    <w:rsid w:val="4E26B95B"/>
    <w:rsid w:val="4E2783F6"/>
    <w:rsid w:val="4E299F8B"/>
    <w:rsid w:val="4E29EE74"/>
    <w:rsid w:val="4E2A09DB"/>
    <w:rsid w:val="4E2A9D7E"/>
    <w:rsid w:val="4E2BECC9"/>
    <w:rsid w:val="4E2C0A7C"/>
    <w:rsid w:val="4E2C67A0"/>
    <w:rsid w:val="4E2D9AE1"/>
    <w:rsid w:val="4E2E83E7"/>
    <w:rsid w:val="4E2E9EFB"/>
    <w:rsid w:val="4E2EC270"/>
    <w:rsid w:val="4E2EFCE7"/>
    <w:rsid w:val="4E2FF14D"/>
    <w:rsid w:val="4E3233DC"/>
    <w:rsid w:val="4E3240A4"/>
    <w:rsid w:val="4E32B3CF"/>
    <w:rsid w:val="4E334881"/>
    <w:rsid w:val="4E3459A3"/>
    <w:rsid w:val="4E3473FD"/>
    <w:rsid w:val="4E3497F3"/>
    <w:rsid w:val="4E353366"/>
    <w:rsid w:val="4E3556BC"/>
    <w:rsid w:val="4E356544"/>
    <w:rsid w:val="4E359045"/>
    <w:rsid w:val="4E35F324"/>
    <w:rsid w:val="4E3656D4"/>
    <w:rsid w:val="4E36A1D2"/>
    <w:rsid w:val="4E374991"/>
    <w:rsid w:val="4E374BC8"/>
    <w:rsid w:val="4E377858"/>
    <w:rsid w:val="4E37E55E"/>
    <w:rsid w:val="4E3849BF"/>
    <w:rsid w:val="4E38B757"/>
    <w:rsid w:val="4E38EBD4"/>
    <w:rsid w:val="4E38FC14"/>
    <w:rsid w:val="4E390890"/>
    <w:rsid w:val="4E391C13"/>
    <w:rsid w:val="4E39535A"/>
    <w:rsid w:val="4E397838"/>
    <w:rsid w:val="4E39CD96"/>
    <w:rsid w:val="4E3A1BD2"/>
    <w:rsid w:val="4E3A2745"/>
    <w:rsid w:val="4E3A5404"/>
    <w:rsid w:val="4E3AE20A"/>
    <w:rsid w:val="4E3B65ED"/>
    <w:rsid w:val="4E3BAEB6"/>
    <w:rsid w:val="4E3D8BF2"/>
    <w:rsid w:val="4E3D8D4B"/>
    <w:rsid w:val="4E3EBA48"/>
    <w:rsid w:val="4E40D58E"/>
    <w:rsid w:val="4E40E86B"/>
    <w:rsid w:val="4E40F168"/>
    <w:rsid w:val="4E424BF8"/>
    <w:rsid w:val="4E431A68"/>
    <w:rsid w:val="4E43634F"/>
    <w:rsid w:val="4E4411D7"/>
    <w:rsid w:val="4E45B5E7"/>
    <w:rsid w:val="4E46D3F4"/>
    <w:rsid w:val="4E47DF1C"/>
    <w:rsid w:val="4E486E68"/>
    <w:rsid w:val="4E48E3F5"/>
    <w:rsid w:val="4E4AF12F"/>
    <w:rsid w:val="4E4B4C74"/>
    <w:rsid w:val="4E4B522C"/>
    <w:rsid w:val="4E4B561C"/>
    <w:rsid w:val="4E4B8D5E"/>
    <w:rsid w:val="4E4C07A8"/>
    <w:rsid w:val="4E4CE54D"/>
    <w:rsid w:val="4E4CFDF4"/>
    <w:rsid w:val="4E4DA990"/>
    <w:rsid w:val="4E4DB03D"/>
    <w:rsid w:val="4E4E17E7"/>
    <w:rsid w:val="4E4E266E"/>
    <w:rsid w:val="4E4E46A3"/>
    <w:rsid w:val="4E4F690C"/>
    <w:rsid w:val="4E4FF25D"/>
    <w:rsid w:val="4E515F62"/>
    <w:rsid w:val="4E52288D"/>
    <w:rsid w:val="4E52FC61"/>
    <w:rsid w:val="4E54AAB1"/>
    <w:rsid w:val="4E54B475"/>
    <w:rsid w:val="4E54BD5C"/>
    <w:rsid w:val="4E55476C"/>
    <w:rsid w:val="4E55EC74"/>
    <w:rsid w:val="4E55F6BF"/>
    <w:rsid w:val="4E56310F"/>
    <w:rsid w:val="4E56347A"/>
    <w:rsid w:val="4E568A3E"/>
    <w:rsid w:val="4E57421A"/>
    <w:rsid w:val="4E57673D"/>
    <w:rsid w:val="4E59DCB3"/>
    <w:rsid w:val="4E59FD63"/>
    <w:rsid w:val="4E5A0FF5"/>
    <w:rsid w:val="4E5AC1B2"/>
    <w:rsid w:val="4E5B03D9"/>
    <w:rsid w:val="4E5C6815"/>
    <w:rsid w:val="4E5E1629"/>
    <w:rsid w:val="4E5E96D8"/>
    <w:rsid w:val="4E5ECCC0"/>
    <w:rsid w:val="4E5EE2C7"/>
    <w:rsid w:val="4E5F0758"/>
    <w:rsid w:val="4E5F8A41"/>
    <w:rsid w:val="4E5FA7D0"/>
    <w:rsid w:val="4E6063D9"/>
    <w:rsid w:val="4E6184A2"/>
    <w:rsid w:val="4E61AE35"/>
    <w:rsid w:val="4E6275ED"/>
    <w:rsid w:val="4E63F79E"/>
    <w:rsid w:val="4E648430"/>
    <w:rsid w:val="4E648E9E"/>
    <w:rsid w:val="4E67600C"/>
    <w:rsid w:val="4E6AA601"/>
    <w:rsid w:val="4E6AC5F1"/>
    <w:rsid w:val="4E6AF94C"/>
    <w:rsid w:val="4E6B38A7"/>
    <w:rsid w:val="4E6B6E5E"/>
    <w:rsid w:val="4E6C1B01"/>
    <w:rsid w:val="4E6C386B"/>
    <w:rsid w:val="4E6D6EE5"/>
    <w:rsid w:val="4E6DC49D"/>
    <w:rsid w:val="4E6E4EE8"/>
    <w:rsid w:val="4E6E5922"/>
    <w:rsid w:val="4E6E676A"/>
    <w:rsid w:val="4E6EC6F4"/>
    <w:rsid w:val="4E6EDC2F"/>
    <w:rsid w:val="4E6FCAB1"/>
    <w:rsid w:val="4E7097F9"/>
    <w:rsid w:val="4E70B6C4"/>
    <w:rsid w:val="4E718419"/>
    <w:rsid w:val="4E72A0D3"/>
    <w:rsid w:val="4E72BA03"/>
    <w:rsid w:val="4E72BDFD"/>
    <w:rsid w:val="4E731D6B"/>
    <w:rsid w:val="4E7359CE"/>
    <w:rsid w:val="4E74C55E"/>
    <w:rsid w:val="4E750F4D"/>
    <w:rsid w:val="4E754F25"/>
    <w:rsid w:val="4E7594C4"/>
    <w:rsid w:val="4E75FE06"/>
    <w:rsid w:val="4E762438"/>
    <w:rsid w:val="4E766F20"/>
    <w:rsid w:val="4E76D13C"/>
    <w:rsid w:val="4E77992E"/>
    <w:rsid w:val="4E77E009"/>
    <w:rsid w:val="4E786D61"/>
    <w:rsid w:val="4E7989F3"/>
    <w:rsid w:val="4E79D39E"/>
    <w:rsid w:val="4E7A3DD3"/>
    <w:rsid w:val="4E7A6A6A"/>
    <w:rsid w:val="4E7AC8FF"/>
    <w:rsid w:val="4E7B1B87"/>
    <w:rsid w:val="4E7B6E09"/>
    <w:rsid w:val="4E7B76DF"/>
    <w:rsid w:val="4E7C5DCC"/>
    <w:rsid w:val="4E7D8C0F"/>
    <w:rsid w:val="4E7DAEBD"/>
    <w:rsid w:val="4E7E5FB1"/>
    <w:rsid w:val="4E7E8195"/>
    <w:rsid w:val="4E7E94F4"/>
    <w:rsid w:val="4E7E9956"/>
    <w:rsid w:val="4E7EC8BB"/>
    <w:rsid w:val="4E7FB3D4"/>
    <w:rsid w:val="4E8049D5"/>
    <w:rsid w:val="4E805A25"/>
    <w:rsid w:val="4E80E055"/>
    <w:rsid w:val="4E819FC5"/>
    <w:rsid w:val="4E81A82B"/>
    <w:rsid w:val="4E81B5A9"/>
    <w:rsid w:val="4E820E94"/>
    <w:rsid w:val="4E827144"/>
    <w:rsid w:val="4E82DCB5"/>
    <w:rsid w:val="4E834A0E"/>
    <w:rsid w:val="4E83A7A0"/>
    <w:rsid w:val="4E84CF8C"/>
    <w:rsid w:val="4E84EB53"/>
    <w:rsid w:val="4E856AF3"/>
    <w:rsid w:val="4E85E65F"/>
    <w:rsid w:val="4E862F29"/>
    <w:rsid w:val="4E87892B"/>
    <w:rsid w:val="4E898C5D"/>
    <w:rsid w:val="4E89B8C4"/>
    <w:rsid w:val="4E89FE36"/>
    <w:rsid w:val="4E8A4C7E"/>
    <w:rsid w:val="4E8A5D4F"/>
    <w:rsid w:val="4E8B84BD"/>
    <w:rsid w:val="4E8C8E68"/>
    <w:rsid w:val="4E8CA395"/>
    <w:rsid w:val="4E8CABA4"/>
    <w:rsid w:val="4E8CB5BB"/>
    <w:rsid w:val="4E8CB6A4"/>
    <w:rsid w:val="4E8CCADA"/>
    <w:rsid w:val="4E8D55B1"/>
    <w:rsid w:val="4E8DF05C"/>
    <w:rsid w:val="4E8EF107"/>
    <w:rsid w:val="4E9000BD"/>
    <w:rsid w:val="4E90A8F1"/>
    <w:rsid w:val="4E90ACD4"/>
    <w:rsid w:val="4E9196D1"/>
    <w:rsid w:val="4E91A954"/>
    <w:rsid w:val="4E92459D"/>
    <w:rsid w:val="4E92470E"/>
    <w:rsid w:val="4E9257D1"/>
    <w:rsid w:val="4E926B82"/>
    <w:rsid w:val="4E927728"/>
    <w:rsid w:val="4E92AC43"/>
    <w:rsid w:val="4E92D0FF"/>
    <w:rsid w:val="4E93B356"/>
    <w:rsid w:val="4E955963"/>
    <w:rsid w:val="4E95667A"/>
    <w:rsid w:val="4E96EC34"/>
    <w:rsid w:val="4E979EEC"/>
    <w:rsid w:val="4E97CC35"/>
    <w:rsid w:val="4E99C671"/>
    <w:rsid w:val="4E9AA827"/>
    <w:rsid w:val="4E9AF589"/>
    <w:rsid w:val="4E9B42E5"/>
    <w:rsid w:val="4E9BD2A0"/>
    <w:rsid w:val="4E9C37C3"/>
    <w:rsid w:val="4E9D55B0"/>
    <w:rsid w:val="4E9E0250"/>
    <w:rsid w:val="4E9E62F7"/>
    <w:rsid w:val="4E9E8990"/>
    <w:rsid w:val="4E9EBE84"/>
    <w:rsid w:val="4E9EDDB6"/>
    <w:rsid w:val="4E9FC143"/>
    <w:rsid w:val="4E9FC2DB"/>
    <w:rsid w:val="4E9FC678"/>
    <w:rsid w:val="4EA0306E"/>
    <w:rsid w:val="4EA0452A"/>
    <w:rsid w:val="4EA12AED"/>
    <w:rsid w:val="4EA1D0F2"/>
    <w:rsid w:val="4EA1D96B"/>
    <w:rsid w:val="4EA20800"/>
    <w:rsid w:val="4EA2F0DF"/>
    <w:rsid w:val="4EA32CBD"/>
    <w:rsid w:val="4EA38648"/>
    <w:rsid w:val="4EA394F2"/>
    <w:rsid w:val="4EA3990A"/>
    <w:rsid w:val="4EA3AAC8"/>
    <w:rsid w:val="4EA416CB"/>
    <w:rsid w:val="4EA44442"/>
    <w:rsid w:val="4EA49279"/>
    <w:rsid w:val="4EA70D8A"/>
    <w:rsid w:val="4EA83906"/>
    <w:rsid w:val="4EA8CE0D"/>
    <w:rsid w:val="4EA8D19F"/>
    <w:rsid w:val="4EA96DFE"/>
    <w:rsid w:val="4EA9F1A1"/>
    <w:rsid w:val="4EAA2728"/>
    <w:rsid w:val="4EAB334B"/>
    <w:rsid w:val="4EAB68D1"/>
    <w:rsid w:val="4EAC3F94"/>
    <w:rsid w:val="4EAE1AF9"/>
    <w:rsid w:val="4EAEE683"/>
    <w:rsid w:val="4EAF9111"/>
    <w:rsid w:val="4EAFA8EB"/>
    <w:rsid w:val="4EB0439B"/>
    <w:rsid w:val="4EB07378"/>
    <w:rsid w:val="4EB0B5A3"/>
    <w:rsid w:val="4EB16754"/>
    <w:rsid w:val="4EB23C0D"/>
    <w:rsid w:val="4EB2F310"/>
    <w:rsid w:val="4EB3237D"/>
    <w:rsid w:val="4EB33971"/>
    <w:rsid w:val="4EB37935"/>
    <w:rsid w:val="4EB39B86"/>
    <w:rsid w:val="4EB421B3"/>
    <w:rsid w:val="4EB426FD"/>
    <w:rsid w:val="4EB44535"/>
    <w:rsid w:val="4EB46CDF"/>
    <w:rsid w:val="4EB48463"/>
    <w:rsid w:val="4EB52813"/>
    <w:rsid w:val="4EB622F5"/>
    <w:rsid w:val="4EB66880"/>
    <w:rsid w:val="4EB806E0"/>
    <w:rsid w:val="4EB81B56"/>
    <w:rsid w:val="4EB844F6"/>
    <w:rsid w:val="4EB99F84"/>
    <w:rsid w:val="4EBA4507"/>
    <w:rsid w:val="4EBABDBA"/>
    <w:rsid w:val="4EBAC72E"/>
    <w:rsid w:val="4EBAE673"/>
    <w:rsid w:val="4EBB6326"/>
    <w:rsid w:val="4EBB9F03"/>
    <w:rsid w:val="4EBBFCEA"/>
    <w:rsid w:val="4EBD9E71"/>
    <w:rsid w:val="4EBDA0FA"/>
    <w:rsid w:val="4EBEB574"/>
    <w:rsid w:val="4EBEED2A"/>
    <w:rsid w:val="4EBF5417"/>
    <w:rsid w:val="4EBFBBDB"/>
    <w:rsid w:val="4EC00F2D"/>
    <w:rsid w:val="4EC01278"/>
    <w:rsid w:val="4EC0EDCF"/>
    <w:rsid w:val="4EC1494B"/>
    <w:rsid w:val="4EC15028"/>
    <w:rsid w:val="4EC1E721"/>
    <w:rsid w:val="4EC26590"/>
    <w:rsid w:val="4EC397FE"/>
    <w:rsid w:val="4EC3B897"/>
    <w:rsid w:val="4EC4B4D8"/>
    <w:rsid w:val="4EC5C3A9"/>
    <w:rsid w:val="4EC622E9"/>
    <w:rsid w:val="4EC65CE4"/>
    <w:rsid w:val="4EC6DF3C"/>
    <w:rsid w:val="4EC6E658"/>
    <w:rsid w:val="4EC804BC"/>
    <w:rsid w:val="4EC82FE0"/>
    <w:rsid w:val="4EC84FF0"/>
    <w:rsid w:val="4EC85DD0"/>
    <w:rsid w:val="4EC967FD"/>
    <w:rsid w:val="4EC9EC30"/>
    <w:rsid w:val="4ECA7CA4"/>
    <w:rsid w:val="4ECA824F"/>
    <w:rsid w:val="4ECAC814"/>
    <w:rsid w:val="4ECB307E"/>
    <w:rsid w:val="4ECB6E07"/>
    <w:rsid w:val="4ECCB737"/>
    <w:rsid w:val="4ECD8CCA"/>
    <w:rsid w:val="4ECDBC83"/>
    <w:rsid w:val="4ECE8594"/>
    <w:rsid w:val="4ECEADC2"/>
    <w:rsid w:val="4ECF0E61"/>
    <w:rsid w:val="4ECF6E2F"/>
    <w:rsid w:val="4ECFF5CC"/>
    <w:rsid w:val="4ED06BA2"/>
    <w:rsid w:val="4ED0A0B8"/>
    <w:rsid w:val="4ED2C5CE"/>
    <w:rsid w:val="4ED2DD9B"/>
    <w:rsid w:val="4ED341CE"/>
    <w:rsid w:val="4ED3B2AF"/>
    <w:rsid w:val="4ED42454"/>
    <w:rsid w:val="4ED4D69D"/>
    <w:rsid w:val="4ED50A35"/>
    <w:rsid w:val="4ED554FA"/>
    <w:rsid w:val="4ED6423A"/>
    <w:rsid w:val="4ED74061"/>
    <w:rsid w:val="4ED879C0"/>
    <w:rsid w:val="4ED8FF77"/>
    <w:rsid w:val="4ED94C86"/>
    <w:rsid w:val="4EDB9A40"/>
    <w:rsid w:val="4EDC69B5"/>
    <w:rsid w:val="4EDDC265"/>
    <w:rsid w:val="4EDEB3A3"/>
    <w:rsid w:val="4EDED696"/>
    <w:rsid w:val="4EDF0D96"/>
    <w:rsid w:val="4EDF66F6"/>
    <w:rsid w:val="4EE075D7"/>
    <w:rsid w:val="4EE13CEC"/>
    <w:rsid w:val="4EE16293"/>
    <w:rsid w:val="4EE1F1B0"/>
    <w:rsid w:val="4EE210B5"/>
    <w:rsid w:val="4EE221BA"/>
    <w:rsid w:val="4EE2C34B"/>
    <w:rsid w:val="4EE2CA33"/>
    <w:rsid w:val="4EE2E5B8"/>
    <w:rsid w:val="4EE43909"/>
    <w:rsid w:val="4EE480C7"/>
    <w:rsid w:val="4EE4BD91"/>
    <w:rsid w:val="4EE503E5"/>
    <w:rsid w:val="4EE5CF09"/>
    <w:rsid w:val="4EE70FB4"/>
    <w:rsid w:val="4EE73B9D"/>
    <w:rsid w:val="4EE7D4C9"/>
    <w:rsid w:val="4EE80304"/>
    <w:rsid w:val="4EE853C2"/>
    <w:rsid w:val="4EE92552"/>
    <w:rsid w:val="4EE99670"/>
    <w:rsid w:val="4EE9ED46"/>
    <w:rsid w:val="4EEA1D7A"/>
    <w:rsid w:val="4EEA262C"/>
    <w:rsid w:val="4EEA443B"/>
    <w:rsid w:val="4EEA4AEC"/>
    <w:rsid w:val="4EEB0679"/>
    <w:rsid w:val="4EEC2DEE"/>
    <w:rsid w:val="4EEC7740"/>
    <w:rsid w:val="4EED2DAA"/>
    <w:rsid w:val="4EEDCABC"/>
    <w:rsid w:val="4EEDF771"/>
    <w:rsid w:val="4EEE5A09"/>
    <w:rsid w:val="4EEF7F57"/>
    <w:rsid w:val="4EEF9659"/>
    <w:rsid w:val="4EEFEA5C"/>
    <w:rsid w:val="4EF08B68"/>
    <w:rsid w:val="4EF0A7CC"/>
    <w:rsid w:val="4EF15D08"/>
    <w:rsid w:val="4EF255CB"/>
    <w:rsid w:val="4EF2589F"/>
    <w:rsid w:val="4EF26C8E"/>
    <w:rsid w:val="4EF2D638"/>
    <w:rsid w:val="4EF3AAD3"/>
    <w:rsid w:val="4EF3D2C3"/>
    <w:rsid w:val="4EF41B39"/>
    <w:rsid w:val="4EF44F9F"/>
    <w:rsid w:val="4EF4E96B"/>
    <w:rsid w:val="4EF598F4"/>
    <w:rsid w:val="4EF5C055"/>
    <w:rsid w:val="4EF5F032"/>
    <w:rsid w:val="4EF5F69D"/>
    <w:rsid w:val="4EF77177"/>
    <w:rsid w:val="4EF7A1DE"/>
    <w:rsid w:val="4EFA35CD"/>
    <w:rsid w:val="4EFA90B5"/>
    <w:rsid w:val="4EFA955E"/>
    <w:rsid w:val="4EFAE9E6"/>
    <w:rsid w:val="4EFB127C"/>
    <w:rsid w:val="4EFBA643"/>
    <w:rsid w:val="4EFC556D"/>
    <w:rsid w:val="4EFC768A"/>
    <w:rsid w:val="4EFC81A0"/>
    <w:rsid w:val="4EFDB924"/>
    <w:rsid w:val="4EFDDFD4"/>
    <w:rsid w:val="4EFE1DA1"/>
    <w:rsid w:val="4EFEA377"/>
    <w:rsid w:val="4EFED6E6"/>
    <w:rsid w:val="4F00FA5E"/>
    <w:rsid w:val="4F0177A4"/>
    <w:rsid w:val="4F01CDD9"/>
    <w:rsid w:val="4F02006E"/>
    <w:rsid w:val="4F02063F"/>
    <w:rsid w:val="4F026629"/>
    <w:rsid w:val="4F03262B"/>
    <w:rsid w:val="4F0345F0"/>
    <w:rsid w:val="4F03BE79"/>
    <w:rsid w:val="4F03E528"/>
    <w:rsid w:val="4F05287D"/>
    <w:rsid w:val="4F05E5F9"/>
    <w:rsid w:val="4F069025"/>
    <w:rsid w:val="4F08317A"/>
    <w:rsid w:val="4F085BF6"/>
    <w:rsid w:val="4F09FED9"/>
    <w:rsid w:val="4F0A22AA"/>
    <w:rsid w:val="4F0B5D53"/>
    <w:rsid w:val="4F0B94E8"/>
    <w:rsid w:val="4F0C4A7D"/>
    <w:rsid w:val="4F0CCB28"/>
    <w:rsid w:val="4F0D2B52"/>
    <w:rsid w:val="4F0E2780"/>
    <w:rsid w:val="4F0E467A"/>
    <w:rsid w:val="4F0EEBA3"/>
    <w:rsid w:val="4F0F8195"/>
    <w:rsid w:val="4F107B62"/>
    <w:rsid w:val="4F10F907"/>
    <w:rsid w:val="4F115D79"/>
    <w:rsid w:val="4F1180B4"/>
    <w:rsid w:val="4F12AEEC"/>
    <w:rsid w:val="4F134854"/>
    <w:rsid w:val="4F13B9BF"/>
    <w:rsid w:val="4F13E32E"/>
    <w:rsid w:val="4F140899"/>
    <w:rsid w:val="4F146CA0"/>
    <w:rsid w:val="4F148DAA"/>
    <w:rsid w:val="4F187E72"/>
    <w:rsid w:val="4F18C347"/>
    <w:rsid w:val="4F18C4D2"/>
    <w:rsid w:val="4F18DA54"/>
    <w:rsid w:val="4F19F48A"/>
    <w:rsid w:val="4F19F9EF"/>
    <w:rsid w:val="4F1A9BDF"/>
    <w:rsid w:val="4F1AB0D8"/>
    <w:rsid w:val="4F1AE282"/>
    <w:rsid w:val="4F1C502C"/>
    <w:rsid w:val="4F1C6883"/>
    <w:rsid w:val="4F1C7919"/>
    <w:rsid w:val="4F1CD98A"/>
    <w:rsid w:val="4F1D8A8C"/>
    <w:rsid w:val="4F1E190A"/>
    <w:rsid w:val="4F1E1F66"/>
    <w:rsid w:val="4F1E2506"/>
    <w:rsid w:val="4F1E41B3"/>
    <w:rsid w:val="4F1E98F9"/>
    <w:rsid w:val="4F1F449D"/>
    <w:rsid w:val="4F1FB4CE"/>
    <w:rsid w:val="4F20366E"/>
    <w:rsid w:val="4F20F4D5"/>
    <w:rsid w:val="4F20FAAD"/>
    <w:rsid w:val="4F21A281"/>
    <w:rsid w:val="4F21E0AA"/>
    <w:rsid w:val="4F22C3E6"/>
    <w:rsid w:val="4F24E575"/>
    <w:rsid w:val="4F251681"/>
    <w:rsid w:val="4F252A94"/>
    <w:rsid w:val="4F258A99"/>
    <w:rsid w:val="4F25A31F"/>
    <w:rsid w:val="4F2683B4"/>
    <w:rsid w:val="4F269219"/>
    <w:rsid w:val="4F26D81A"/>
    <w:rsid w:val="4F2719B3"/>
    <w:rsid w:val="4F277F2A"/>
    <w:rsid w:val="4F27E70F"/>
    <w:rsid w:val="4F2898B1"/>
    <w:rsid w:val="4F289E1F"/>
    <w:rsid w:val="4F293B0C"/>
    <w:rsid w:val="4F29800C"/>
    <w:rsid w:val="4F2ABCFB"/>
    <w:rsid w:val="4F2B3B80"/>
    <w:rsid w:val="4F2B6F0F"/>
    <w:rsid w:val="4F2B751A"/>
    <w:rsid w:val="4F2C054F"/>
    <w:rsid w:val="4F2CA6C1"/>
    <w:rsid w:val="4F2CFF14"/>
    <w:rsid w:val="4F2D7061"/>
    <w:rsid w:val="4F2E5178"/>
    <w:rsid w:val="4F2FC6B1"/>
    <w:rsid w:val="4F32CBB7"/>
    <w:rsid w:val="4F33AEC9"/>
    <w:rsid w:val="4F34A427"/>
    <w:rsid w:val="4F35A339"/>
    <w:rsid w:val="4F35EA4A"/>
    <w:rsid w:val="4F368C4D"/>
    <w:rsid w:val="4F36BDA8"/>
    <w:rsid w:val="4F3736AF"/>
    <w:rsid w:val="4F377C56"/>
    <w:rsid w:val="4F38869B"/>
    <w:rsid w:val="4F38F61A"/>
    <w:rsid w:val="4F3904AF"/>
    <w:rsid w:val="4F39B821"/>
    <w:rsid w:val="4F39F16A"/>
    <w:rsid w:val="4F3A4F47"/>
    <w:rsid w:val="4F3AD40D"/>
    <w:rsid w:val="4F3B2471"/>
    <w:rsid w:val="4F3B3BAB"/>
    <w:rsid w:val="4F3CBE76"/>
    <w:rsid w:val="4F3DFE2A"/>
    <w:rsid w:val="4F3E5F8D"/>
    <w:rsid w:val="4F3F25D3"/>
    <w:rsid w:val="4F3F27EE"/>
    <w:rsid w:val="4F3F6DCA"/>
    <w:rsid w:val="4F3FCE4B"/>
    <w:rsid w:val="4F402246"/>
    <w:rsid w:val="4F40E0BB"/>
    <w:rsid w:val="4F4101A9"/>
    <w:rsid w:val="4F415CE3"/>
    <w:rsid w:val="4F417F65"/>
    <w:rsid w:val="4F423282"/>
    <w:rsid w:val="4F4301B7"/>
    <w:rsid w:val="4F4390CB"/>
    <w:rsid w:val="4F439652"/>
    <w:rsid w:val="4F440893"/>
    <w:rsid w:val="4F440C04"/>
    <w:rsid w:val="4F447463"/>
    <w:rsid w:val="4F45719A"/>
    <w:rsid w:val="4F45CC00"/>
    <w:rsid w:val="4F460EB0"/>
    <w:rsid w:val="4F467A04"/>
    <w:rsid w:val="4F473F6B"/>
    <w:rsid w:val="4F482D28"/>
    <w:rsid w:val="4F488251"/>
    <w:rsid w:val="4F489326"/>
    <w:rsid w:val="4F49306F"/>
    <w:rsid w:val="4F498190"/>
    <w:rsid w:val="4F49B6A8"/>
    <w:rsid w:val="4F4A7397"/>
    <w:rsid w:val="4F4B08EB"/>
    <w:rsid w:val="4F4B7254"/>
    <w:rsid w:val="4F4BDD0E"/>
    <w:rsid w:val="4F4C52B0"/>
    <w:rsid w:val="4F4C6625"/>
    <w:rsid w:val="4F4CE922"/>
    <w:rsid w:val="4F4D99E8"/>
    <w:rsid w:val="4F4DF98C"/>
    <w:rsid w:val="4F4E93E4"/>
    <w:rsid w:val="4F4EBAC5"/>
    <w:rsid w:val="4F4F38F6"/>
    <w:rsid w:val="4F5014BC"/>
    <w:rsid w:val="4F501F3B"/>
    <w:rsid w:val="4F505FA1"/>
    <w:rsid w:val="4F51FE05"/>
    <w:rsid w:val="4F520888"/>
    <w:rsid w:val="4F523A75"/>
    <w:rsid w:val="4F526C91"/>
    <w:rsid w:val="4F52925B"/>
    <w:rsid w:val="4F5396E9"/>
    <w:rsid w:val="4F54ADE2"/>
    <w:rsid w:val="4F5527B5"/>
    <w:rsid w:val="4F55401B"/>
    <w:rsid w:val="4F558989"/>
    <w:rsid w:val="4F561CAB"/>
    <w:rsid w:val="4F579BA0"/>
    <w:rsid w:val="4F57EA16"/>
    <w:rsid w:val="4F59905C"/>
    <w:rsid w:val="4F59DEFD"/>
    <w:rsid w:val="4F5B691C"/>
    <w:rsid w:val="4F5B7883"/>
    <w:rsid w:val="4F5D1EB9"/>
    <w:rsid w:val="4F5DD5B3"/>
    <w:rsid w:val="4F5E56BE"/>
    <w:rsid w:val="4F5E7A47"/>
    <w:rsid w:val="4F5EA9BE"/>
    <w:rsid w:val="4F5EBBAC"/>
    <w:rsid w:val="4F5EDAD3"/>
    <w:rsid w:val="4F5EEEC0"/>
    <w:rsid w:val="4F5F01DB"/>
    <w:rsid w:val="4F5F0FE8"/>
    <w:rsid w:val="4F5F3826"/>
    <w:rsid w:val="4F5F8A2D"/>
    <w:rsid w:val="4F5FC369"/>
    <w:rsid w:val="4F61228A"/>
    <w:rsid w:val="4F6191F9"/>
    <w:rsid w:val="4F61BB5D"/>
    <w:rsid w:val="4F61E578"/>
    <w:rsid w:val="4F625D3B"/>
    <w:rsid w:val="4F627AD4"/>
    <w:rsid w:val="4F636083"/>
    <w:rsid w:val="4F63B29A"/>
    <w:rsid w:val="4F63C6E8"/>
    <w:rsid w:val="4F63CD7A"/>
    <w:rsid w:val="4F644FCE"/>
    <w:rsid w:val="4F6472BD"/>
    <w:rsid w:val="4F66B0FD"/>
    <w:rsid w:val="4F66B497"/>
    <w:rsid w:val="4F66CFF7"/>
    <w:rsid w:val="4F67573C"/>
    <w:rsid w:val="4F67FC02"/>
    <w:rsid w:val="4F680CF2"/>
    <w:rsid w:val="4F68184D"/>
    <w:rsid w:val="4F6820C9"/>
    <w:rsid w:val="4F682FA1"/>
    <w:rsid w:val="4F689397"/>
    <w:rsid w:val="4F696EAB"/>
    <w:rsid w:val="4F6A4AF2"/>
    <w:rsid w:val="4F6AC257"/>
    <w:rsid w:val="4F6B768F"/>
    <w:rsid w:val="4F6B96F0"/>
    <w:rsid w:val="4F6BE80D"/>
    <w:rsid w:val="4F6CC22F"/>
    <w:rsid w:val="4F6D8614"/>
    <w:rsid w:val="4F6E2C14"/>
    <w:rsid w:val="4F6EF9A5"/>
    <w:rsid w:val="4F7468F1"/>
    <w:rsid w:val="4F749B79"/>
    <w:rsid w:val="4F75331C"/>
    <w:rsid w:val="4F756660"/>
    <w:rsid w:val="4F7667A4"/>
    <w:rsid w:val="4F76BCEF"/>
    <w:rsid w:val="4F76CB85"/>
    <w:rsid w:val="4F772E73"/>
    <w:rsid w:val="4F7739EB"/>
    <w:rsid w:val="4F784F02"/>
    <w:rsid w:val="4F7869F3"/>
    <w:rsid w:val="4F7A0656"/>
    <w:rsid w:val="4F7A09AD"/>
    <w:rsid w:val="4F7A4770"/>
    <w:rsid w:val="4F7AC474"/>
    <w:rsid w:val="4F7ADDA5"/>
    <w:rsid w:val="4F7B9359"/>
    <w:rsid w:val="4F7BEDDB"/>
    <w:rsid w:val="4F7C86C3"/>
    <w:rsid w:val="4F7C8EC7"/>
    <w:rsid w:val="4F7D05E8"/>
    <w:rsid w:val="4F7DF8D2"/>
    <w:rsid w:val="4F7E3004"/>
    <w:rsid w:val="4F7F29EA"/>
    <w:rsid w:val="4F7F6960"/>
    <w:rsid w:val="4F7FACC9"/>
    <w:rsid w:val="4F809395"/>
    <w:rsid w:val="4F810901"/>
    <w:rsid w:val="4F8175FB"/>
    <w:rsid w:val="4F828827"/>
    <w:rsid w:val="4F8313BA"/>
    <w:rsid w:val="4F835770"/>
    <w:rsid w:val="4F83645B"/>
    <w:rsid w:val="4F837DCA"/>
    <w:rsid w:val="4F838387"/>
    <w:rsid w:val="4F83A4B6"/>
    <w:rsid w:val="4F83E3D4"/>
    <w:rsid w:val="4F8409FA"/>
    <w:rsid w:val="4F85D164"/>
    <w:rsid w:val="4F878D4F"/>
    <w:rsid w:val="4F87ACFF"/>
    <w:rsid w:val="4F8855E4"/>
    <w:rsid w:val="4F888EB0"/>
    <w:rsid w:val="4F896AA1"/>
    <w:rsid w:val="4F897011"/>
    <w:rsid w:val="4F89A5DE"/>
    <w:rsid w:val="4F89CA96"/>
    <w:rsid w:val="4F8AB044"/>
    <w:rsid w:val="4F8ACCBD"/>
    <w:rsid w:val="4F8B200C"/>
    <w:rsid w:val="4F8C9C44"/>
    <w:rsid w:val="4F8D2709"/>
    <w:rsid w:val="4F8DE953"/>
    <w:rsid w:val="4F8ED33D"/>
    <w:rsid w:val="4F8F6133"/>
    <w:rsid w:val="4F9027CF"/>
    <w:rsid w:val="4F9125F3"/>
    <w:rsid w:val="4F921ABD"/>
    <w:rsid w:val="4F927607"/>
    <w:rsid w:val="4F93E543"/>
    <w:rsid w:val="4F9407B4"/>
    <w:rsid w:val="4F94295E"/>
    <w:rsid w:val="4F94496E"/>
    <w:rsid w:val="4F94A639"/>
    <w:rsid w:val="4F95E815"/>
    <w:rsid w:val="4F963DDE"/>
    <w:rsid w:val="4F97FF6D"/>
    <w:rsid w:val="4F980F67"/>
    <w:rsid w:val="4F989CB9"/>
    <w:rsid w:val="4F99ECF5"/>
    <w:rsid w:val="4F9A63AE"/>
    <w:rsid w:val="4F9B70E3"/>
    <w:rsid w:val="4F9BB86C"/>
    <w:rsid w:val="4F9C8AE4"/>
    <w:rsid w:val="4F9C8CFC"/>
    <w:rsid w:val="4F9C996A"/>
    <w:rsid w:val="4F9D2585"/>
    <w:rsid w:val="4F9DBC70"/>
    <w:rsid w:val="4F9E04A4"/>
    <w:rsid w:val="4F9E963E"/>
    <w:rsid w:val="4FA0F75E"/>
    <w:rsid w:val="4FA144BD"/>
    <w:rsid w:val="4FA256F4"/>
    <w:rsid w:val="4FA27181"/>
    <w:rsid w:val="4FA47255"/>
    <w:rsid w:val="4FA52564"/>
    <w:rsid w:val="4FA71204"/>
    <w:rsid w:val="4FA7A8D8"/>
    <w:rsid w:val="4FA9A570"/>
    <w:rsid w:val="4FAAABD5"/>
    <w:rsid w:val="4FAAE7D6"/>
    <w:rsid w:val="4FAB6D56"/>
    <w:rsid w:val="4FAC39B8"/>
    <w:rsid w:val="4FAC8EC3"/>
    <w:rsid w:val="4FAC9B37"/>
    <w:rsid w:val="4FAD252D"/>
    <w:rsid w:val="4FADA06E"/>
    <w:rsid w:val="4FAE6C07"/>
    <w:rsid w:val="4FAE9536"/>
    <w:rsid w:val="4FAEB6C2"/>
    <w:rsid w:val="4FAF254C"/>
    <w:rsid w:val="4FAF4474"/>
    <w:rsid w:val="4FB0605C"/>
    <w:rsid w:val="4FB09548"/>
    <w:rsid w:val="4FB0A55A"/>
    <w:rsid w:val="4FB1D47B"/>
    <w:rsid w:val="4FB2FAD5"/>
    <w:rsid w:val="4FB73DDD"/>
    <w:rsid w:val="4FB76BAE"/>
    <w:rsid w:val="4FB7AF2A"/>
    <w:rsid w:val="4FB8E975"/>
    <w:rsid w:val="4FB92815"/>
    <w:rsid w:val="4FB9BF68"/>
    <w:rsid w:val="4FB9C55A"/>
    <w:rsid w:val="4FB9D44B"/>
    <w:rsid w:val="4FB9DA8C"/>
    <w:rsid w:val="4FBA1E5D"/>
    <w:rsid w:val="4FBA2339"/>
    <w:rsid w:val="4FBA3803"/>
    <w:rsid w:val="4FBA64C4"/>
    <w:rsid w:val="4FBC36F9"/>
    <w:rsid w:val="4FBD19F3"/>
    <w:rsid w:val="4FBD6859"/>
    <w:rsid w:val="4FBEF562"/>
    <w:rsid w:val="4FBFE5D6"/>
    <w:rsid w:val="4FBFF126"/>
    <w:rsid w:val="4FC12DCC"/>
    <w:rsid w:val="4FC1E5A9"/>
    <w:rsid w:val="4FC1E7C7"/>
    <w:rsid w:val="4FC2AD54"/>
    <w:rsid w:val="4FC2B339"/>
    <w:rsid w:val="4FC4450A"/>
    <w:rsid w:val="4FC445E5"/>
    <w:rsid w:val="4FC44B80"/>
    <w:rsid w:val="4FC47F3B"/>
    <w:rsid w:val="4FC4F8E6"/>
    <w:rsid w:val="4FC59993"/>
    <w:rsid w:val="4FC5C188"/>
    <w:rsid w:val="4FC7A8FC"/>
    <w:rsid w:val="4FC7AF85"/>
    <w:rsid w:val="4FC814EF"/>
    <w:rsid w:val="4FC82F97"/>
    <w:rsid w:val="4FC84237"/>
    <w:rsid w:val="4FC8AEA6"/>
    <w:rsid w:val="4FC8B04D"/>
    <w:rsid w:val="4FC8FBFC"/>
    <w:rsid w:val="4FC98B67"/>
    <w:rsid w:val="4FC9BCAC"/>
    <w:rsid w:val="4FC9C2E4"/>
    <w:rsid w:val="4FC9CDEF"/>
    <w:rsid w:val="4FCA003A"/>
    <w:rsid w:val="4FCA3A31"/>
    <w:rsid w:val="4FCAA880"/>
    <w:rsid w:val="4FCB4A90"/>
    <w:rsid w:val="4FCC9478"/>
    <w:rsid w:val="4FCD8D26"/>
    <w:rsid w:val="4FCE0DD9"/>
    <w:rsid w:val="4FCE3BD9"/>
    <w:rsid w:val="4FCE9E9F"/>
    <w:rsid w:val="4FCF83D1"/>
    <w:rsid w:val="4FD04562"/>
    <w:rsid w:val="4FD0B541"/>
    <w:rsid w:val="4FD10FF0"/>
    <w:rsid w:val="4FD1F332"/>
    <w:rsid w:val="4FD3164D"/>
    <w:rsid w:val="4FD358E2"/>
    <w:rsid w:val="4FD3AD4C"/>
    <w:rsid w:val="4FD3C1C7"/>
    <w:rsid w:val="4FD3D67D"/>
    <w:rsid w:val="4FD49422"/>
    <w:rsid w:val="4FD49BC6"/>
    <w:rsid w:val="4FD56407"/>
    <w:rsid w:val="4FD65B1B"/>
    <w:rsid w:val="4FD67B8A"/>
    <w:rsid w:val="4FD7163A"/>
    <w:rsid w:val="4FD861A6"/>
    <w:rsid w:val="4FD8E518"/>
    <w:rsid w:val="4FD97E8C"/>
    <w:rsid w:val="4FDB0F2B"/>
    <w:rsid w:val="4FDB2D9C"/>
    <w:rsid w:val="4FDBAE25"/>
    <w:rsid w:val="4FDC67AA"/>
    <w:rsid w:val="4FDCA0D3"/>
    <w:rsid w:val="4FDDD5E8"/>
    <w:rsid w:val="4FDDEBAD"/>
    <w:rsid w:val="4FDE360F"/>
    <w:rsid w:val="4FDE7D44"/>
    <w:rsid w:val="4FDF98F9"/>
    <w:rsid w:val="4FE00D6D"/>
    <w:rsid w:val="4FE0507F"/>
    <w:rsid w:val="4FE12247"/>
    <w:rsid w:val="4FE1CC82"/>
    <w:rsid w:val="4FE1CDD1"/>
    <w:rsid w:val="4FE23742"/>
    <w:rsid w:val="4FE2A646"/>
    <w:rsid w:val="4FE2CCAA"/>
    <w:rsid w:val="4FE2F47F"/>
    <w:rsid w:val="4FE48CEB"/>
    <w:rsid w:val="4FE70953"/>
    <w:rsid w:val="4FE825AF"/>
    <w:rsid w:val="4FE85978"/>
    <w:rsid w:val="4FE9C6F2"/>
    <w:rsid w:val="4FEA5B86"/>
    <w:rsid w:val="4FEC2071"/>
    <w:rsid w:val="4FECA33F"/>
    <w:rsid w:val="4FECC23D"/>
    <w:rsid w:val="4FEF0611"/>
    <w:rsid w:val="4FEF78F9"/>
    <w:rsid w:val="4FEFC7A9"/>
    <w:rsid w:val="4FF01DAD"/>
    <w:rsid w:val="4FF15361"/>
    <w:rsid w:val="4FF1639D"/>
    <w:rsid w:val="4FF291D8"/>
    <w:rsid w:val="4FF2DA91"/>
    <w:rsid w:val="4FF36507"/>
    <w:rsid w:val="4FF3F6F6"/>
    <w:rsid w:val="4FF51BBC"/>
    <w:rsid w:val="4FF56687"/>
    <w:rsid w:val="4FF60DDD"/>
    <w:rsid w:val="4FF69DC5"/>
    <w:rsid w:val="4FF6F89E"/>
    <w:rsid w:val="4FF747CC"/>
    <w:rsid w:val="4FF7B525"/>
    <w:rsid w:val="4FF7E615"/>
    <w:rsid w:val="4FF8D40B"/>
    <w:rsid w:val="4FF91054"/>
    <w:rsid w:val="4FF9C11E"/>
    <w:rsid w:val="4FFA2BA6"/>
    <w:rsid w:val="4FFA6071"/>
    <w:rsid w:val="4FFA913A"/>
    <w:rsid w:val="4FFAA5B7"/>
    <w:rsid w:val="4FFB1C3E"/>
    <w:rsid w:val="4FFB2D6A"/>
    <w:rsid w:val="4FFB78F0"/>
    <w:rsid w:val="4FFBB99E"/>
    <w:rsid w:val="4FFBC34B"/>
    <w:rsid w:val="4FFC77FA"/>
    <w:rsid w:val="4FFCCF8D"/>
    <w:rsid w:val="4FFCF18E"/>
    <w:rsid w:val="4FFD773E"/>
    <w:rsid w:val="4FFE85C1"/>
    <w:rsid w:val="4FFE9686"/>
    <w:rsid w:val="4FFEAEC5"/>
    <w:rsid w:val="50001985"/>
    <w:rsid w:val="5000609A"/>
    <w:rsid w:val="5000681A"/>
    <w:rsid w:val="50016F79"/>
    <w:rsid w:val="50024900"/>
    <w:rsid w:val="50029897"/>
    <w:rsid w:val="5002BA51"/>
    <w:rsid w:val="5002DBE4"/>
    <w:rsid w:val="50039399"/>
    <w:rsid w:val="50043362"/>
    <w:rsid w:val="50054469"/>
    <w:rsid w:val="50056ABD"/>
    <w:rsid w:val="5007289B"/>
    <w:rsid w:val="50073064"/>
    <w:rsid w:val="500856FD"/>
    <w:rsid w:val="5008966B"/>
    <w:rsid w:val="5008DAC5"/>
    <w:rsid w:val="5009F0E0"/>
    <w:rsid w:val="500AB17B"/>
    <w:rsid w:val="500B547E"/>
    <w:rsid w:val="500B61EE"/>
    <w:rsid w:val="500C1889"/>
    <w:rsid w:val="500C2175"/>
    <w:rsid w:val="500CB10A"/>
    <w:rsid w:val="500F463E"/>
    <w:rsid w:val="5010FC46"/>
    <w:rsid w:val="501181D1"/>
    <w:rsid w:val="501186D9"/>
    <w:rsid w:val="5011DC89"/>
    <w:rsid w:val="501211DF"/>
    <w:rsid w:val="50123B0E"/>
    <w:rsid w:val="5012902E"/>
    <w:rsid w:val="5013A0D3"/>
    <w:rsid w:val="50154AED"/>
    <w:rsid w:val="5015A160"/>
    <w:rsid w:val="5015BB6E"/>
    <w:rsid w:val="5015E21B"/>
    <w:rsid w:val="501664AB"/>
    <w:rsid w:val="50171822"/>
    <w:rsid w:val="50178EB1"/>
    <w:rsid w:val="501891A9"/>
    <w:rsid w:val="50189210"/>
    <w:rsid w:val="501897D5"/>
    <w:rsid w:val="5018C933"/>
    <w:rsid w:val="5018FA2B"/>
    <w:rsid w:val="50193A11"/>
    <w:rsid w:val="5019EA9C"/>
    <w:rsid w:val="501B97AF"/>
    <w:rsid w:val="501CA906"/>
    <w:rsid w:val="501DB05F"/>
    <w:rsid w:val="501E3D4D"/>
    <w:rsid w:val="501E67D5"/>
    <w:rsid w:val="501E85C5"/>
    <w:rsid w:val="502050C1"/>
    <w:rsid w:val="502173FE"/>
    <w:rsid w:val="5021C023"/>
    <w:rsid w:val="5022A44E"/>
    <w:rsid w:val="50230687"/>
    <w:rsid w:val="50233F86"/>
    <w:rsid w:val="50237092"/>
    <w:rsid w:val="50241F80"/>
    <w:rsid w:val="5024B501"/>
    <w:rsid w:val="50250E09"/>
    <w:rsid w:val="5025F6A9"/>
    <w:rsid w:val="502686C1"/>
    <w:rsid w:val="5026F3E6"/>
    <w:rsid w:val="5027A10C"/>
    <w:rsid w:val="5027A762"/>
    <w:rsid w:val="5027A859"/>
    <w:rsid w:val="5027EC34"/>
    <w:rsid w:val="50280E96"/>
    <w:rsid w:val="5028E4F2"/>
    <w:rsid w:val="5029196F"/>
    <w:rsid w:val="5029716F"/>
    <w:rsid w:val="502A72B6"/>
    <w:rsid w:val="502B0A62"/>
    <w:rsid w:val="502C746C"/>
    <w:rsid w:val="502C9A49"/>
    <w:rsid w:val="502D0107"/>
    <w:rsid w:val="502D13B2"/>
    <w:rsid w:val="502D5131"/>
    <w:rsid w:val="502D684F"/>
    <w:rsid w:val="502E3166"/>
    <w:rsid w:val="502F7313"/>
    <w:rsid w:val="50301122"/>
    <w:rsid w:val="5030FFD2"/>
    <w:rsid w:val="50311341"/>
    <w:rsid w:val="50319B9E"/>
    <w:rsid w:val="5031BB82"/>
    <w:rsid w:val="5031CAFA"/>
    <w:rsid w:val="5031CD0E"/>
    <w:rsid w:val="5031F404"/>
    <w:rsid w:val="50325D87"/>
    <w:rsid w:val="5032CA9F"/>
    <w:rsid w:val="5032D5D2"/>
    <w:rsid w:val="50333888"/>
    <w:rsid w:val="50335D47"/>
    <w:rsid w:val="5033EFB5"/>
    <w:rsid w:val="503519EF"/>
    <w:rsid w:val="50356F4B"/>
    <w:rsid w:val="5035A590"/>
    <w:rsid w:val="503605C8"/>
    <w:rsid w:val="5037D376"/>
    <w:rsid w:val="5038446B"/>
    <w:rsid w:val="503851FA"/>
    <w:rsid w:val="503A09F4"/>
    <w:rsid w:val="503B6E5A"/>
    <w:rsid w:val="503BEF26"/>
    <w:rsid w:val="503C4C93"/>
    <w:rsid w:val="503C9EB1"/>
    <w:rsid w:val="503D788E"/>
    <w:rsid w:val="503D7EDF"/>
    <w:rsid w:val="503E3D31"/>
    <w:rsid w:val="503F74DB"/>
    <w:rsid w:val="503FEACE"/>
    <w:rsid w:val="50403294"/>
    <w:rsid w:val="50407223"/>
    <w:rsid w:val="504126E1"/>
    <w:rsid w:val="50417FB9"/>
    <w:rsid w:val="504180B6"/>
    <w:rsid w:val="50427160"/>
    <w:rsid w:val="5042C8D9"/>
    <w:rsid w:val="504376A2"/>
    <w:rsid w:val="50439DB9"/>
    <w:rsid w:val="5043B7B0"/>
    <w:rsid w:val="5044582E"/>
    <w:rsid w:val="5044C5E5"/>
    <w:rsid w:val="50452196"/>
    <w:rsid w:val="50453AFE"/>
    <w:rsid w:val="50459DA8"/>
    <w:rsid w:val="504650AC"/>
    <w:rsid w:val="50466A45"/>
    <w:rsid w:val="504677AE"/>
    <w:rsid w:val="50467E75"/>
    <w:rsid w:val="5046EA1A"/>
    <w:rsid w:val="504715C7"/>
    <w:rsid w:val="5047305E"/>
    <w:rsid w:val="50477A0E"/>
    <w:rsid w:val="50478584"/>
    <w:rsid w:val="50479847"/>
    <w:rsid w:val="5047B42B"/>
    <w:rsid w:val="5048FB2F"/>
    <w:rsid w:val="5049D4C5"/>
    <w:rsid w:val="504ADCC8"/>
    <w:rsid w:val="504B31D2"/>
    <w:rsid w:val="504B495F"/>
    <w:rsid w:val="504B8B4A"/>
    <w:rsid w:val="504E0B73"/>
    <w:rsid w:val="504E5536"/>
    <w:rsid w:val="504EC234"/>
    <w:rsid w:val="504EC4FC"/>
    <w:rsid w:val="504F2076"/>
    <w:rsid w:val="504F927A"/>
    <w:rsid w:val="504FC6DD"/>
    <w:rsid w:val="50501F38"/>
    <w:rsid w:val="50503994"/>
    <w:rsid w:val="5050412F"/>
    <w:rsid w:val="5050A439"/>
    <w:rsid w:val="5050DDB6"/>
    <w:rsid w:val="5050EA69"/>
    <w:rsid w:val="50514184"/>
    <w:rsid w:val="50515DBC"/>
    <w:rsid w:val="5052087C"/>
    <w:rsid w:val="50524A4F"/>
    <w:rsid w:val="50525106"/>
    <w:rsid w:val="50530AE3"/>
    <w:rsid w:val="5053286C"/>
    <w:rsid w:val="50533453"/>
    <w:rsid w:val="5053B221"/>
    <w:rsid w:val="50548021"/>
    <w:rsid w:val="5054A0D6"/>
    <w:rsid w:val="5055AE3C"/>
    <w:rsid w:val="50571142"/>
    <w:rsid w:val="505784F0"/>
    <w:rsid w:val="50579723"/>
    <w:rsid w:val="505835CA"/>
    <w:rsid w:val="5058FEEC"/>
    <w:rsid w:val="50593960"/>
    <w:rsid w:val="505A4349"/>
    <w:rsid w:val="505A56A4"/>
    <w:rsid w:val="505AC8B5"/>
    <w:rsid w:val="505B1D53"/>
    <w:rsid w:val="505BA336"/>
    <w:rsid w:val="505BCFF3"/>
    <w:rsid w:val="505C2308"/>
    <w:rsid w:val="505C5047"/>
    <w:rsid w:val="505C7909"/>
    <w:rsid w:val="505C8F5B"/>
    <w:rsid w:val="505CA022"/>
    <w:rsid w:val="505CE7B6"/>
    <w:rsid w:val="505D3BFE"/>
    <w:rsid w:val="505DF7A8"/>
    <w:rsid w:val="505E658C"/>
    <w:rsid w:val="505EC503"/>
    <w:rsid w:val="505EC8E2"/>
    <w:rsid w:val="505EE747"/>
    <w:rsid w:val="505F63D8"/>
    <w:rsid w:val="505FE428"/>
    <w:rsid w:val="5060854C"/>
    <w:rsid w:val="5060C922"/>
    <w:rsid w:val="50610A7D"/>
    <w:rsid w:val="5062275C"/>
    <w:rsid w:val="50622F6D"/>
    <w:rsid w:val="506381C3"/>
    <w:rsid w:val="50639096"/>
    <w:rsid w:val="5063F784"/>
    <w:rsid w:val="50643714"/>
    <w:rsid w:val="5064EB14"/>
    <w:rsid w:val="5065003D"/>
    <w:rsid w:val="50658BA2"/>
    <w:rsid w:val="5065AA36"/>
    <w:rsid w:val="50666BCF"/>
    <w:rsid w:val="5066A071"/>
    <w:rsid w:val="5066AC59"/>
    <w:rsid w:val="5066DB1A"/>
    <w:rsid w:val="5067D1E4"/>
    <w:rsid w:val="5067F484"/>
    <w:rsid w:val="50680C57"/>
    <w:rsid w:val="5068499E"/>
    <w:rsid w:val="50688244"/>
    <w:rsid w:val="5068B855"/>
    <w:rsid w:val="5068C39F"/>
    <w:rsid w:val="5068E8AC"/>
    <w:rsid w:val="506901E8"/>
    <w:rsid w:val="50691BF3"/>
    <w:rsid w:val="5069C481"/>
    <w:rsid w:val="506A5E75"/>
    <w:rsid w:val="506A642C"/>
    <w:rsid w:val="506A73AD"/>
    <w:rsid w:val="506A883E"/>
    <w:rsid w:val="506B5CA5"/>
    <w:rsid w:val="506B6AD3"/>
    <w:rsid w:val="506C90E3"/>
    <w:rsid w:val="506C9B1A"/>
    <w:rsid w:val="506D7A6F"/>
    <w:rsid w:val="506D838D"/>
    <w:rsid w:val="506DA563"/>
    <w:rsid w:val="506E48CF"/>
    <w:rsid w:val="506EA74E"/>
    <w:rsid w:val="506F0BE2"/>
    <w:rsid w:val="506F70DD"/>
    <w:rsid w:val="506FA6E6"/>
    <w:rsid w:val="506FB92F"/>
    <w:rsid w:val="50704AF3"/>
    <w:rsid w:val="5071991D"/>
    <w:rsid w:val="5071A04A"/>
    <w:rsid w:val="5071FFCA"/>
    <w:rsid w:val="50721A4A"/>
    <w:rsid w:val="50723657"/>
    <w:rsid w:val="5073334F"/>
    <w:rsid w:val="507399DC"/>
    <w:rsid w:val="507417C4"/>
    <w:rsid w:val="5074DB2E"/>
    <w:rsid w:val="5074EBD4"/>
    <w:rsid w:val="50751A76"/>
    <w:rsid w:val="50752CEE"/>
    <w:rsid w:val="507601D7"/>
    <w:rsid w:val="5076BA3D"/>
    <w:rsid w:val="507714A7"/>
    <w:rsid w:val="50771A1A"/>
    <w:rsid w:val="5077299F"/>
    <w:rsid w:val="5077350B"/>
    <w:rsid w:val="50779624"/>
    <w:rsid w:val="5078142E"/>
    <w:rsid w:val="5079121F"/>
    <w:rsid w:val="50794E3A"/>
    <w:rsid w:val="5079810A"/>
    <w:rsid w:val="507A8D42"/>
    <w:rsid w:val="507B5590"/>
    <w:rsid w:val="507BDBB4"/>
    <w:rsid w:val="507C1F6D"/>
    <w:rsid w:val="507D01E7"/>
    <w:rsid w:val="507D1C1E"/>
    <w:rsid w:val="507D54F5"/>
    <w:rsid w:val="507D5DF2"/>
    <w:rsid w:val="507DAE2B"/>
    <w:rsid w:val="507DC311"/>
    <w:rsid w:val="507E0CD4"/>
    <w:rsid w:val="507E1925"/>
    <w:rsid w:val="507F9CE0"/>
    <w:rsid w:val="507FCCB7"/>
    <w:rsid w:val="50812F9B"/>
    <w:rsid w:val="508189DE"/>
    <w:rsid w:val="50820A15"/>
    <w:rsid w:val="508214ED"/>
    <w:rsid w:val="50824206"/>
    <w:rsid w:val="50834BA4"/>
    <w:rsid w:val="508480D1"/>
    <w:rsid w:val="5084E1BC"/>
    <w:rsid w:val="50859D64"/>
    <w:rsid w:val="5085B46C"/>
    <w:rsid w:val="508645BF"/>
    <w:rsid w:val="5087D7DC"/>
    <w:rsid w:val="508866E0"/>
    <w:rsid w:val="5088BB20"/>
    <w:rsid w:val="5088F08B"/>
    <w:rsid w:val="5089E122"/>
    <w:rsid w:val="508A04C9"/>
    <w:rsid w:val="508A259B"/>
    <w:rsid w:val="508C5F0F"/>
    <w:rsid w:val="508CB5B3"/>
    <w:rsid w:val="508D922C"/>
    <w:rsid w:val="508DBCEA"/>
    <w:rsid w:val="508DF947"/>
    <w:rsid w:val="508DFCF8"/>
    <w:rsid w:val="508EC206"/>
    <w:rsid w:val="508F19E8"/>
    <w:rsid w:val="508F94BE"/>
    <w:rsid w:val="50900AA2"/>
    <w:rsid w:val="50901EB7"/>
    <w:rsid w:val="509038D1"/>
    <w:rsid w:val="50907D3F"/>
    <w:rsid w:val="50921A21"/>
    <w:rsid w:val="50927093"/>
    <w:rsid w:val="5092BB7B"/>
    <w:rsid w:val="5092C0D1"/>
    <w:rsid w:val="50936AEE"/>
    <w:rsid w:val="5093A825"/>
    <w:rsid w:val="509457EB"/>
    <w:rsid w:val="50948254"/>
    <w:rsid w:val="5094B4CC"/>
    <w:rsid w:val="5094DD76"/>
    <w:rsid w:val="50951F4A"/>
    <w:rsid w:val="50963841"/>
    <w:rsid w:val="50967B9A"/>
    <w:rsid w:val="5096CB73"/>
    <w:rsid w:val="5096F19F"/>
    <w:rsid w:val="509812E0"/>
    <w:rsid w:val="509835E8"/>
    <w:rsid w:val="50989492"/>
    <w:rsid w:val="50990C01"/>
    <w:rsid w:val="50991686"/>
    <w:rsid w:val="5099554E"/>
    <w:rsid w:val="5099CAD6"/>
    <w:rsid w:val="5099F6CF"/>
    <w:rsid w:val="509A1156"/>
    <w:rsid w:val="509AE494"/>
    <w:rsid w:val="509BCBD5"/>
    <w:rsid w:val="509BDCE0"/>
    <w:rsid w:val="509C45E1"/>
    <w:rsid w:val="509C6EE2"/>
    <w:rsid w:val="509C9B37"/>
    <w:rsid w:val="509CB9A0"/>
    <w:rsid w:val="509CEE30"/>
    <w:rsid w:val="509D17D6"/>
    <w:rsid w:val="509D456B"/>
    <w:rsid w:val="509D87AF"/>
    <w:rsid w:val="509DB2CF"/>
    <w:rsid w:val="509E223F"/>
    <w:rsid w:val="509E8F5C"/>
    <w:rsid w:val="509F863C"/>
    <w:rsid w:val="509FBD06"/>
    <w:rsid w:val="50A012B5"/>
    <w:rsid w:val="50A0AA35"/>
    <w:rsid w:val="50A10A99"/>
    <w:rsid w:val="50A1DC41"/>
    <w:rsid w:val="50A20F07"/>
    <w:rsid w:val="50A2E83C"/>
    <w:rsid w:val="50A2F789"/>
    <w:rsid w:val="50A338E0"/>
    <w:rsid w:val="50A34B4F"/>
    <w:rsid w:val="50A3DC68"/>
    <w:rsid w:val="50A42BB2"/>
    <w:rsid w:val="50A42D9C"/>
    <w:rsid w:val="50A4BD1B"/>
    <w:rsid w:val="50A5B647"/>
    <w:rsid w:val="50A5C1B3"/>
    <w:rsid w:val="50A5D09E"/>
    <w:rsid w:val="50A636D4"/>
    <w:rsid w:val="50A657B2"/>
    <w:rsid w:val="50A81D83"/>
    <w:rsid w:val="50A8A614"/>
    <w:rsid w:val="50A941B2"/>
    <w:rsid w:val="50A972E5"/>
    <w:rsid w:val="50A9E5EE"/>
    <w:rsid w:val="50A9F983"/>
    <w:rsid w:val="50AA4FA1"/>
    <w:rsid w:val="50AAC82A"/>
    <w:rsid w:val="50AB3324"/>
    <w:rsid w:val="50AB829A"/>
    <w:rsid w:val="50AC341A"/>
    <w:rsid w:val="50ACC6DA"/>
    <w:rsid w:val="50AD29FD"/>
    <w:rsid w:val="50AD8265"/>
    <w:rsid w:val="50AF69F7"/>
    <w:rsid w:val="50AFD75F"/>
    <w:rsid w:val="50B03E77"/>
    <w:rsid w:val="50B0493F"/>
    <w:rsid w:val="50B09A3F"/>
    <w:rsid w:val="50B0ACF1"/>
    <w:rsid w:val="50B0E7DC"/>
    <w:rsid w:val="50B1F4ED"/>
    <w:rsid w:val="50B21F5E"/>
    <w:rsid w:val="50B22C67"/>
    <w:rsid w:val="50B33BC7"/>
    <w:rsid w:val="50B344FC"/>
    <w:rsid w:val="50B3713B"/>
    <w:rsid w:val="50B37AD3"/>
    <w:rsid w:val="50B59C14"/>
    <w:rsid w:val="50B624B7"/>
    <w:rsid w:val="50B69742"/>
    <w:rsid w:val="50B767B5"/>
    <w:rsid w:val="50B85FE2"/>
    <w:rsid w:val="50B93A5F"/>
    <w:rsid w:val="50B946E0"/>
    <w:rsid w:val="50BA94AC"/>
    <w:rsid w:val="50BAA69E"/>
    <w:rsid w:val="50BAFCD7"/>
    <w:rsid w:val="50BB0943"/>
    <w:rsid w:val="50BBB27D"/>
    <w:rsid w:val="50BBC3E0"/>
    <w:rsid w:val="50BBD876"/>
    <w:rsid w:val="50BC412E"/>
    <w:rsid w:val="50BD10D0"/>
    <w:rsid w:val="50BD11DC"/>
    <w:rsid w:val="50BD1826"/>
    <w:rsid w:val="50BD9542"/>
    <w:rsid w:val="50BDAECE"/>
    <w:rsid w:val="50BDB560"/>
    <w:rsid w:val="50BDD242"/>
    <w:rsid w:val="50BE047B"/>
    <w:rsid w:val="50BE2F9D"/>
    <w:rsid w:val="50BFE326"/>
    <w:rsid w:val="50C028CC"/>
    <w:rsid w:val="50C06763"/>
    <w:rsid w:val="50C06BA1"/>
    <w:rsid w:val="50C09E88"/>
    <w:rsid w:val="50C162B8"/>
    <w:rsid w:val="50C1C745"/>
    <w:rsid w:val="50C1DA3E"/>
    <w:rsid w:val="50C22396"/>
    <w:rsid w:val="50C263B1"/>
    <w:rsid w:val="50C2968E"/>
    <w:rsid w:val="50C2DEA0"/>
    <w:rsid w:val="50C3293E"/>
    <w:rsid w:val="50C3D84D"/>
    <w:rsid w:val="50C41030"/>
    <w:rsid w:val="50C5C655"/>
    <w:rsid w:val="50C625F2"/>
    <w:rsid w:val="50C67AE6"/>
    <w:rsid w:val="50C85B25"/>
    <w:rsid w:val="50C873B3"/>
    <w:rsid w:val="50C8D0D7"/>
    <w:rsid w:val="50C9A72F"/>
    <w:rsid w:val="50CA2A05"/>
    <w:rsid w:val="50CABCC4"/>
    <w:rsid w:val="50CADBBE"/>
    <w:rsid w:val="50CBA59C"/>
    <w:rsid w:val="50CC0B9F"/>
    <w:rsid w:val="50CD0CD6"/>
    <w:rsid w:val="50CD1693"/>
    <w:rsid w:val="50CD2EBA"/>
    <w:rsid w:val="50CD473C"/>
    <w:rsid w:val="50CD6DE4"/>
    <w:rsid w:val="50CDB45C"/>
    <w:rsid w:val="50CEB7E8"/>
    <w:rsid w:val="50CFCEB8"/>
    <w:rsid w:val="50CFEBF8"/>
    <w:rsid w:val="50D03BBE"/>
    <w:rsid w:val="50D05499"/>
    <w:rsid w:val="50D092E6"/>
    <w:rsid w:val="50D0A0D5"/>
    <w:rsid w:val="50D0F26E"/>
    <w:rsid w:val="50D19786"/>
    <w:rsid w:val="50D20D87"/>
    <w:rsid w:val="50D23F75"/>
    <w:rsid w:val="50D24ED0"/>
    <w:rsid w:val="50D31954"/>
    <w:rsid w:val="50D3395F"/>
    <w:rsid w:val="50D3AB22"/>
    <w:rsid w:val="50D3B93F"/>
    <w:rsid w:val="50D50B55"/>
    <w:rsid w:val="50D5213B"/>
    <w:rsid w:val="50D60195"/>
    <w:rsid w:val="50D6F388"/>
    <w:rsid w:val="50D6FC56"/>
    <w:rsid w:val="50D72FD6"/>
    <w:rsid w:val="50D7BB37"/>
    <w:rsid w:val="50D7E833"/>
    <w:rsid w:val="50DA264A"/>
    <w:rsid w:val="50DBC977"/>
    <w:rsid w:val="50DC9EFD"/>
    <w:rsid w:val="50DCF6FA"/>
    <w:rsid w:val="50DD80B4"/>
    <w:rsid w:val="50DD9C03"/>
    <w:rsid w:val="50DDAFEE"/>
    <w:rsid w:val="50DDB940"/>
    <w:rsid w:val="50DE0D4F"/>
    <w:rsid w:val="50DE2C52"/>
    <w:rsid w:val="50DEAD2E"/>
    <w:rsid w:val="50DFC844"/>
    <w:rsid w:val="50E0550E"/>
    <w:rsid w:val="50E0A36B"/>
    <w:rsid w:val="50E0C4D3"/>
    <w:rsid w:val="50E0C568"/>
    <w:rsid w:val="50E1E22B"/>
    <w:rsid w:val="50E1E333"/>
    <w:rsid w:val="50E2B8AE"/>
    <w:rsid w:val="50E2DA37"/>
    <w:rsid w:val="50E57037"/>
    <w:rsid w:val="50E5D8B0"/>
    <w:rsid w:val="50E5E712"/>
    <w:rsid w:val="50E5EC71"/>
    <w:rsid w:val="50E61F1C"/>
    <w:rsid w:val="50E65EC9"/>
    <w:rsid w:val="50E69693"/>
    <w:rsid w:val="50E72713"/>
    <w:rsid w:val="50E76256"/>
    <w:rsid w:val="50E7AB9A"/>
    <w:rsid w:val="50E7E0EB"/>
    <w:rsid w:val="50E81B70"/>
    <w:rsid w:val="50E843D6"/>
    <w:rsid w:val="50E9CCA2"/>
    <w:rsid w:val="50EB0D0E"/>
    <w:rsid w:val="50EB1322"/>
    <w:rsid w:val="50EB2C2F"/>
    <w:rsid w:val="50EBBC86"/>
    <w:rsid w:val="50ECC065"/>
    <w:rsid w:val="50ECC929"/>
    <w:rsid w:val="50ED6DDC"/>
    <w:rsid w:val="50EDF3A4"/>
    <w:rsid w:val="50EE2395"/>
    <w:rsid w:val="50EE8813"/>
    <w:rsid w:val="50EECD41"/>
    <w:rsid w:val="50EEFE79"/>
    <w:rsid w:val="50F264B8"/>
    <w:rsid w:val="50F2BEA0"/>
    <w:rsid w:val="50F3A071"/>
    <w:rsid w:val="50F3BBFF"/>
    <w:rsid w:val="50F4AD3C"/>
    <w:rsid w:val="50F4DBBF"/>
    <w:rsid w:val="50F51C25"/>
    <w:rsid w:val="50F55112"/>
    <w:rsid w:val="50F5BF2D"/>
    <w:rsid w:val="50F5D7A7"/>
    <w:rsid w:val="50F68949"/>
    <w:rsid w:val="50F6B4A4"/>
    <w:rsid w:val="50F794D7"/>
    <w:rsid w:val="50F905ED"/>
    <w:rsid w:val="50FA4210"/>
    <w:rsid w:val="50FA977A"/>
    <w:rsid w:val="50FAE4C9"/>
    <w:rsid w:val="50FBF4BF"/>
    <w:rsid w:val="50FD8756"/>
    <w:rsid w:val="50FF29D7"/>
    <w:rsid w:val="50FF8E8D"/>
    <w:rsid w:val="5100403C"/>
    <w:rsid w:val="510085B5"/>
    <w:rsid w:val="51014DD7"/>
    <w:rsid w:val="51016598"/>
    <w:rsid w:val="51021572"/>
    <w:rsid w:val="51028BBD"/>
    <w:rsid w:val="51031C36"/>
    <w:rsid w:val="51037CA9"/>
    <w:rsid w:val="5103861C"/>
    <w:rsid w:val="510462F2"/>
    <w:rsid w:val="51054313"/>
    <w:rsid w:val="51065CCA"/>
    <w:rsid w:val="5106B00D"/>
    <w:rsid w:val="51075655"/>
    <w:rsid w:val="5107CFA0"/>
    <w:rsid w:val="51095F0F"/>
    <w:rsid w:val="510A65A5"/>
    <w:rsid w:val="510AE7FB"/>
    <w:rsid w:val="510B37D9"/>
    <w:rsid w:val="510C0D13"/>
    <w:rsid w:val="510C96B6"/>
    <w:rsid w:val="510D7ADA"/>
    <w:rsid w:val="510E31DD"/>
    <w:rsid w:val="510E42F2"/>
    <w:rsid w:val="510EBBA5"/>
    <w:rsid w:val="510EDB89"/>
    <w:rsid w:val="510F3731"/>
    <w:rsid w:val="510F96DD"/>
    <w:rsid w:val="510F9B0A"/>
    <w:rsid w:val="51110F73"/>
    <w:rsid w:val="51123264"/>
    <w:rsid w:val="5112C490"/>
    <w:rsid w:val="5113476F"/>
    <w:rsid w:val="51138901"/>
    <w:rsid w:val="5113A589"/>
    <w:rsid w:val="51140AF8"/>
    <w:rsid w:val="51149E77"/>
    <w:rsid w:val="5114E2F8"/>
    <w:rsid w:val="5114FA8D"/>
    <w:rsid w:val="5115E1C3"/>
    <w:rsid w:val="5115F6AB"/>
    <w:rsid w:val="51160489"/>
    <w:rsid w:val="511609E3"/>
    <w:rsid w:val="51162504"/>
    <w:rsid w:val="51179502"/>
    <w:rsid w:val="5118F20F"/>
    <w:rsid w:val="51194242"/>
    <w:rsid w:val="511965FE"/>
    <w:rsid w:val="511A0CFD"/>
    <w:rsid w:val="511A4AB1"/>
    <w:rsid w:val="511AD852"/>
    <w:rsid w:val="511AF027"/>
    <w:rsid w:val="511B018A"/>
    <w:rsid w:val="511B62D0"/>
    <w:rsid w:val="511B9C02"/>
    <w:rsid w:val="511C592C"/>
    <w:rsid w:val="511C7BB1"/>
    <w:rsid w:val="511CC88A"/>
    <w:rsid w:val="511D0DE5"/>
    <w:rsid w:val="511DBC9B"/>
    <w:rsid w:val="511E0EAA"/>
    <w:rsid w:val="511F2A04"/>
    <w:rsid w:val="511F4128"/>
    <w:rsid w:val="5122D263"/>
    <w:rsid w:val="5122FD1F"/>
    <w:rsid w:val="5123A425"/>
    <w:rsid w:val="5123B710"/>
    <w:rsid w:val="512481ED"/>
    <w:rsid w:val="51252C3C"/>
    <w:rsid w:val="5125A197"/>
    <w:rsid w:val="5125BF98"/>
    <w:rsid w:val="5125C2DE"/>
    <w:rsid w:val="512741FD"/>
    <w:rsid w:val="51286643"/>
    <w:rsid w:val="5128D5B7"/>
    <w:rsid w:val="5129891B"/>
    <w:rsid w:val="512A027E"/>
    <w:rsid w:val="512AD195"/>
    <w:rsid w:val="512B1D15"/>
    <w:rsid w:val="512BCF4D"/>
    <w:rsid w:val="512BD2D4"/>
    <w:rsid w:val="512C6612"/>
    <w:rsid w:val="512CDF7D"/>
    <w:rsid w:val="512DE8CA"/>
    <w:rsid w:val="512DFFD3"/>
    <w:rsid w:val="512E800C"/>
    <w:rsid w:val="512E9E16"/>
    <w:rsid w:val="512EA17C"/>
    <w:rsid w:val="512F3C57"/>
    <w:rsid w:val="512F3CC5"/>
    <w:rsid w:val="512FDBBC"/>
    <w:rsid w:val="51300E28"/>
    <w:rsid w:val="513031C8"/>
    <w:rsid w:val="51303CFF"/>
    <w:rsid w:val="5130BA22"/>
    <w:rsid w:val="5130FC85"/>
    <w:rsid w:val="5130FE27"/>
    <w:rsid w:val="51313E4A"/>
    <w:rsid w:val="51323D2A"/>
    <w:rsid w:val="51323EB5"/>
    <w:rsid w:val="5132BFCD"/>
    <w:rsid w:val="51330E9C"/>
    <w:rsid w:val="51344C53"/>
    <w:rsid w:val="5134DB8D"/>
    <w:rsid w:val="5135ADD3"/>
    <w:rsid w:val="51368D0F"/>
    <w:rsid w:val="5136E5D0"/>
    <w:rsid w:val="5136EE59"/>
    <w:rsid w:val="513712DC"/>
    <w:rsid w:val="51372723"/>
    <w:rsid w:val="5137BBCC"/>
    <w:rsid w:val="5137C77C"/>
    <w:rsid w:val="51389FA0"/>
    <w:rsid w:val="5138C82D"/>
    <w:rsid w:val="5139207F"/>
    <w:rsid w:val="513A337B"/>
    <w:rsid w:val="513A68FE"/>
    <w:rsid w:val="513A7D0B"/>
    <w:rsid w:val="513AA22B"/>
    <w:rsid w:val="513ACB0B"/>
    <w:rsid w:val="513AE1D2"/>
    <w:rsid w:val="513C2403"/>
    <w:rsid w:val="513C8693"/>
    <w:rsid w:val="513DEE90"/>
    <w:rsid w:val="513DF40D"/>
    <w:rsid w:val="513EE994"/>
    <w:rsid w:val="5140028B"/>
    <w:rsid w:val="51402AFC"/>
    <w:rsid w:val="514053B6"/>
    <w:rsid w:val="51409A49"/>
    <w:rsid w:val="5140FFE9"/>
    <w:rsid w:val="51410637"/>
    <w:rsid w:val="51410A6D"/>
    <w:rsid w:val="5141492B"/>
    <w:rsid w:val="51415A07"/>
    <w:rsid w:val="5141B433"/>
    <w:rsid w:val="51421C71"/>
    <w:rsid w:val="514261CC"/>
    <w:rsid w:val="5142659A"/>
    <w:rsid w:val="5142E479"/>
    <w:rsid w:val="5142EF57"/>
    <w:rsid w:val="51430F29"/>
    <w:rsid w:val="514503DC"/>
    <w:rsid w:val="51467E01"/>
    <w:rsid w:val="51475541"/>
    <w:rsid w:val="5147EC80"/>
    <w:rsid w:val="51485D9F"/>
    <w:rsid w:val="514867D4"/>
    <w:rsid w:val="514A422D"/>
    <w:rsid w:val="514ABEF2"/>
    <w:rsid w:val="514AE5D0"/>
    <w:rsid w:val="514AFA07"/>
    <w:rsid w:val="514B5287"/>
    <w:rsid w:val="514BABE5"/>
    <w:rsid w:val="514BC024"/>
    <w:rsid w:val="514BD58F"/>
    <w:rsid w:val="514BF987"/>
    <w:rsid w:val="514C157F"/>
    <w:rsid w:val="514C3A05"/>
    <w:rsid w:val="514C5E53"/>
    <w:rsid w:val="514CC603"/>
    <w:rsid w:val="514CD3E6"/>
    <w:rsid w:val="514D7927"/>
    <w:rsid w:val="514E8694"/>
    <w:rsid w:val="514F0329"/>
    <w:rsid w:val="514F78EB"/>
    <w:rsid w:val="515005CB"/>
    <w:rsid w:val="5150B2F9"/>
    <w:rsid w:val="5150BEC9"/>
    <w:rsid w:val="5152B35A"/>
    <w:rsid w:val="515332F6"/>
    <w:rsid w:val="5154166C"/>
    <w:rsid w:val="5154BB4E"/>
    <w:rsid w:val="51550BFE"/>
    <w:rsid w:val="51553BBC"/>
    <w:rsid w:val="51556EFF"/>
    <w:rsid w:val="5158B295"/>
    <w:rsid w:val="5158E4A3"/>
    <w:rsid w:val="515950AC"/>
    <w:rsid w:val="51595F91"/>
    <w:rsid w:val="5159F005"/>
    <w:rsid w:val="515BA8A0"/>
    <w:rsid w:val="515CA204"/>
    <w:rsid w:val="515D26B6"/>
    <w:rsid w:val="515D4532"/>
    <w:rsid w:val="515DF573"/>
    <w:rsid w:val="515DF7C4"/>
    <w:rsid w:val="515E2058"/>
    <w:rsid w:val="515EE8B9"/>
    <w:rsid w:val="515F416A"/>
    <w:rsid w:val="515F9885"/>
    <w:rsid w:val="51603E09"/>
    <w:rsid w:val="51609AB6"/>
    <w:rsid w:val="5160D08E"/>
    <w:rsid w:val="5160D838"/>
    <w:rsid w:val="5160D9A1"/>
    <w:rsid w:val="51620056"/>
    <w:rsid w:val="51623D2F"/>
    <w:rsid w:val="5162473E"/>
    <w:rsid w:val="5162A920"/>
    <w:rsid w:val="516325F9"/>
    <w:rsid w:val="516447E8"/>
    <w:rsid w:val="5164D540"/>
    <w:rsid w:val="516502CB"/>
    <w:rsid w:val="51650D8D"/>
    <w:rsid w:val="5165185F"/>
    <w:rsid w:val="51667009"/>
    <w:rsid w:val="5166760C"/>
    <w:rsid w:val="5166B47D"/>
    <w:rsid w:val="5167D0E1"/>
    <w:rsid w:val="516848DC"/>
    <w:rsid w:val="51691BD4"/>
    <w:rsid w:val="516A5A00"/>
    <w:rsid w:val="516A7BE0"/>
    <w:rsid w:val="516A849A"/>
    <w:rsid w:val="516AE056"/>
    <w:rsid w:val="516BA691"/>
    <w:rsid w:val="516C01F8"/>
    <w:rsid w:val="516C2BCE"/>
    <w:rsid w:val="516C4331"/>
    <w:rsid w:val="516CA4C3"/>
    <w:rsid w:val="516DD70D"/>
    <w:rsid w:val="516E0C2E"/>
    <w:rsid w:val="516E1AB0"/>
    <w:rsid w:val="516ED3FD"/>
    <w:rsid w:val="516FE0A5"/>
    <w:rsid w:val="5170CE45"/>
    <w:rsid w:val="5170FFC7"/>
    <w:rsid w:val="517114FE"/>
    <w:rsid w:val="517166EC"/>
    <w:rsid w:val="517179DC"/>
    <w:rsid w:val="51719D94"/>
    <w:rsid w:val="517401A6"/>
    <w:rsid w:val="51743C96"/>
    <w:rsid w:val="51744BF6"/>
    <w:rsid w:val="5174F6F5"/>
    <w:rsid w:val="5175322F"/>
    <w:rsid w:val="517540FE"/>
    <w:rsid w:val="5176BD49"/>
    <w:rsid w:val="5178DD55"/>
    <w:rsid w:val="5179CACC"/>
    <w:rsid w:val="5179FB1C"/>
    <w:rsid w:val="517A329F"/>
    <w:rsid w:val="517A84C1"/>
    <w:rsid w:val="517ACBDC"/>
    <w:rsid w:val="517AD137"/>
    <w:rsid w:val="517B64DD"/>
    <w:rsid w:val="517BB748"/>
    <w:rsid w:val="517BE508"/>
    <w:rsid w:val="517C2290"/>
    <w:rsid w:val="517C726E"/>
    <w:rsid w:val="517C744B"/>
    <w:rsid w:val="517D36AD"/>
    <w:rsid w:val="517D92E0"/>
    <w:rsid w:val="517DC12E"/>
    <w:rsid w:val="517E0BEE"/>
    <w:rsid w:val="517E5782"/>
    <w:rsid w:val="517EA704"/>
    <w:rsid w:val="517F0AAE"/>
    <w:rsid w:val="517F4457"/>
    <w:rsid w:val="517FE3C5"/>
    <w:rsid w:val="517FE557"/>
    <w:rsid w:val="51818396"/>
    <w:rsid w:val="5181845D"/>
    <w:rsid w:val="5185C1EC"/>
    <w:rsid w:val="51869139"/>
    <w:rsid w:val="5186DC0B"/>
    <w:rsid w:val="51870043"/>
    <w:rsid w:val="5187C83E"/>
    <w:rsid w:val="5187C9D9"/>
    <w:rsid w:val="5187F089"/>
    <w:rsid w:val="5188034F"/>
    <w:rsid w:val="51882040"/>
    <w:rsid w:val="518934CA"/>
    <w:rsid w:val="51898F27"/>
    <w:rsid w:val="518A0526"/>
    <w:rsid w:val="518A5BAD"/>
    <w:rsid w:val="518AC3F9"/>
    <w:rsid w:val="518AC8E8"/>
    <w:rsid w:val="518BC741"/>
    <w:rsid w:val="518C8210"/>
    <w:rsid w:val="518C8776"/>
    <w:rsid w:val="518D6196"/>
    <w:rsid w:val="518E744A"/>
    <w:rsid w:val="518EE04E"/>
    <w:rsid w:val="518F2AF6"/>
    <w:rsid w:val="5190C93F"/>
    <w:rsid w:val="5191530D"/>
    <w:rsid w:val="51915793"/>
    <w:rsid w:val="5191BE11"/>
    <w:rsid w:val="5192EEDC"/>
    <w:rsid w:val="519342ED"/>
    <w:rsid w:val="5194CB9E"/>
    <w:rsid w:val="5194DBD0"/>
    <w:rsid w:val="51953559"/>
    <w:rsid w:val="519561CE"/>
    <w:rsid w:val="51962387"/>
    <w:rsid w:val="5196C1FD"/>
    <w:rsid w:val="5196DAA1"/>
    <w:rsid w:val="5196FB49"/>
    <w:rsid w:val="51976D71"/>
    <w:rsid w:val="5197970F"/>
    <w:rsid w:val="5197AECC"/>
    <w:rsid w:val="51985277"/>
    <w:rsid w:val="51988C48"/>
    <w:rsid w:val="5198AE51"/>
    <w:rsid w:val="51993AA1"/>
    <w:rsid w:val="51994E77"/>
    <w:rsid w:val="51995571"/>
    <w:rsid w:val="5199E9CD"/>
    <w:rsid w:val="519AE030"/>
    <w:rsid w:val="519B4478"/>
    <w:rsid w:val="519B5E57"/>
    <w:rsid w:val="519BBCB3"/>
    <w:rsid w:val="519C51BA"/>
    <w:rsid w:val="519CBED8"/>
    <w:rsid w:val="519D091C"/>
    <w:rsid w:val="519E550C"/>
    <w:rsid w:val="519E7080"/>
    <w:rsid w:val="519EBFB0"/>
    <w:rsid w:val="519ECA1F"/>
    <w:rsid w:val="519ECFF4"/>
    <w:rsid w:val="51A03A3F"/>
    <w:rsid w:val="51A080A6"/>
    <w:rsid w:val="51A0EDCF"/>
    <w:rsid w:val="51A1180C"/>
    <w:rsid w:val="51A16465"/>
    <w:rsid w:val="51A1A07D"/>
    <w:rsid w:val="51A23C96"/>
    <w:rsid w:val="51A274AE"/>
    <w:rsid w:val="51A2B8F5"/>
    <w:rsid w:val="51A2DD30"/>
    <w:rsid w:val="51A30193"/>
    <w:rsid w:val="51A388AB"/>
    <w:rsid w:val="51A3E849"/>
    <w:rsid w:val="51A4D6BF"/>
    <w:rsid w:val="51A52B13"/>
    <w:rsid w:val="51A5E656"/>
    <w:rsid w:val="51A63A9D"/>
    <w:rsid w:val="51A652A2"/>
    <w:rsid w:val="51A7FA49"/>
    <w:rsid w:val="51A84172"/>
    <w:rsid w:val="51A8A245"/>
    <w:rsid w:val="51A8C619"/>
    <w:rsid w:val="51A8FEBF"/>
    <w:rsid w:val="51A9438E"/>
    <w:rsid w:val="51A975F6"/>
    <w:rsid w:val="51A9B62C"/>
    <w:rsid w:val="51AAA149"/>
    <w:rsid w:val="51AB951D"/>
    <w:rsid w:val="51ABF314"/>
    <w:rsid w:val="51ACC055"/>
    <w:rsid w:val="51ACC3D7"/>
    <w:rsid w:val="51ACF6F9"/>
    <w:rsid w:val="51AD62D1"/>
    <w:rsid w:val="51B2B51B"/>
    <w:rsid w:val="51B32174"/>
    <w:rsid w:val="51B3A3A2"/>
    <w:rsid w:val="51B3D90E"/>
    <w:rsid w:val="51B47D55"/>
    <w:rsid w:val="51B54FBB"/>
    <w:rsid w:val="51B56FBF"/>
    <w:rsid w:val="51B56FE6"/>
    <w:rsid w:val="51B570B7"/>
    <w:rsid w:val="51B60780"/>
    <w:rsid w:val="51B6241D"/>
    <w:rsid w:val="51B675CE"/>
    <w:rsid w:val="51B6F95D"/>
    <w:rsid w:val="51B8CE06"/>
    <w:rsid w:val="51BA59C9"/>
    <w:rsid w:val="51BA7989"/>
    <w:rsid w:val="51BAAABF"/>
    <w:rsid w:val="51BD6B01"/>
    <w:rsid w:val="51BDE34C"/>
    <w:rsid w:val="51BDEB30"/>
    <w:rsid w:val="51BE9D5C"/>
    <w:rsid w:val="51BF7EEF"/>
    <w:rsid w:val="51C0236F"/>
    <w:rsid w:val="51C21183"/>
    <w:rsid w:val="51C22895"/>
    <w:rsid w:val="51C26A80"/>
    <w:rsid w:val="51C281E5"/>
    <w:rsid w:val="51C49E8E"/>
    <w:rsid w:val="51C4F234"/>
    <w:rsid w:val="51C5229E"/>
    <w:rsid w:val="51C5C258"/>
    <w:rsid w:val="51C5CC8A"/>
    <w:rsid w:val="51C66072"/>
    <w:rsid w:val="51C67D8F"/>
    <w:rsid w:val="51C6902A"/>
    <w:rsid w:val="51C70469"/>
    <w:rsid w:val="51C70714"/>
    <w:rsid w:val="51C71802"/>
    <w:rsid w:val="51C71F17"/>
    <w:rsid w:val="51C73005"/>
    <w:rsid w:val="51C779B2"/>
    <w:rsid w:val="51C79124"/>
    <w:rsid w:val="51C843EC"/>
    <w:rsid w:val="51C92182"/>
    <w:rsid w:val="51C94994"/>
    <w:rsid w:val="51C96091"/>
    <w:rsid w:val="51CA8CC7"/>
    <w:rsid w:val="51CB6B33"/>
    <w:rsid w:val="51CC2C20"/>
    <w:rsid w:val="51CC3B59"/>
    <w:rsid w:val="51CD60DC"/>
    <w:rsid w:val="51CE06B2"/>
    <w:rsid w:val="51CE3386"/>
    <w:rsid w:val="51CE3881"/>
    <w:rsid w:val="51CE6D7C"/>
    <w:rsid w:val="51CE95DC"/>
    <w:rsid w:val="51CEA51B"/>
    <w:rsid w:val="51CF3C4F"/>
    <w:rsid w:val="51CFB0F4"/>
    <w:rsid w:val="51D01E2F"/>
    <w:rsid w:val="51D069E4"/>
    <w:rsid w:val="51D1C1D0"/>
    <w:rsid w:val="51D1F1C8"/>
    <w:rsid w:val="51D216E2"/>
    <w:rsid w:val="51D2AAEE"/>
    <w:rsid w:val="51D33266"/>
    <w:rsid w:val="51D3BF86"/>
    <w:rsid w:val="51D5E9B3"/>
    <w:rsid w:val="51D609C4"/>
    <w:rsid w:val="51D6380E"/>
    <w:rsid w:val="51D6AD59"/>
    <w:rsid w:val="51D6B84A"/>
    <w:rsid w:val="51D71B34"/>
    <w:rsid w:val="51D749CC"/>
    <w:rsid w:val="51D7B6B5"/>
    <w:rsid w:val="51D8A172"/>
    <w:rsid w:val="51D8ACD8"/>
    <w:rsid w:val="51D9222C"/>
    <w:rsid w:val="51D9309E"/>
    <w:rsid w:val="51D97363"/>
    <w:rsid w:val="51D9871E"/>
    <w:rsid w:val="51DA0C78"/>
    <w:rsid w:val="51DA871A"/>
    <w:rsid w:val="51DBEB28"/>
    <w:rsid w:val="51DC2EBD"/>
    <w:rsid w:val="51DE5320"/>
    <w:rsid w:val="51DE5939"/>
    <w:rsid w:val="51DEAAA4"/>
    <w:rsid w:val="51DEE7A9"/>
    <w:rsid w:val="51E040F3"/>
    <w:rsid w:val="51E0A21A"/>
    <w:rsid w:val="51E16FC1"/>
    <w:rsid w:val="51E18A2D"/>
    <w:rsid w:val="51E229AA"/>
    <w:rsid w:val="51E23571"/>
    <w:rsid w:val="51E2489D"/>
    <w:rsid w:val="51E2580F"/>
    <w:rsid w:val="51E47F59"/>
    <w:rsid w:val="51E48FFA"/>
    <w:rsid w:val="51E6200D"/>
    <w:rsid w:val="51E6E1C9"/>
    <w:rsid w:val="51E75ABB"/>
    <w:rsid w:val="51E7CF0D"/>
    <w:rsid w:val="51E86BCF"/>
    <w:rsid w:val="51E8A901"/>
    <w:rsid w:val="51EA9D6A"/>
    <w:rsid w:val="51EB4F5E"/>
    <w:rsid w:val="51EBBEB0"/>
    <w:rsid w:val="51EC1B2C"/>
    <w:rsid w:val="51EC8C1F"/>
    <w:rsid w:val="51EC9955"/>
    <w:rsid w:val="51ED0DAD"/>
    <w:rsid w:val="51ED17E7"/>
    <w:rsid w:val="51ED7194"/>
    <w:rsid w:val="51ED7DDB"/>
    <w:rsid w:val="51EDB1F8"/>
    <w:rsid w:val="51EDC250"/>
    <w:rsid w:val="51EDF356"/>
    <w:rsid w:val="51EE1069"/>
    <w:rsid w:val="51EE6809"/>
    <w:rsid w:val="51EEE756"/>
    <w:rsid w:val="51EF0F14"/>
    <w:rsid w:val="51EF40CB"/>
    <w:rsid w:val="51EFE26B"/>
    <w:rsid w:val="51EFE6F4"/>
    <w:rsid w:val="51F06429"/>
    <w:rsid w:val="51F0B0F1"/>
    <w:rsid w:val="51F0F896"/>
    <w:rsid w:val="51F1EDD8"/>
    <w:rsid w:val="51F2FA46"/>
    <w:rsid w:val="51F3178F"/>
    <w:rsid w:val="51F3CF70"/>
    <w:rsid w:val="51F5AA3B"/>
    <w:rsid w:val="51F5D940"/>
    <w:rsid w:val="51F5DF53"/>
    <w:rsid w:val="51F6B4FC"/>
    <w:rsid w:val="51F80DB5"/>
    <w:rsid w:val="51F815B6"/>
    <w:rsid w:val="51F86AC6"/>
    <w:rsid w:val="51FA04B0"/>
    <w:rsid w:val="51FA5469"/>
    <w:rsid w:val="51FA843D"/>
    <w:rsid w:val="51FA9391"/>
    <w:rsid w:val="51FC5460"/>
    <w:rsid w:val="51FCD33E"/>
    <w:rsid w:val="51FD669F"/>
    <w:rsid w:val="51FD7F7B"/>
    <w:rsid w:val="51FE6347"/>
    <w:rsid w:val="51FE6DF9"/>
    <w:rsid w:val="51FEDB64"/>
    <w:rsid w:val="51FEE0A2"/>
    <w:rsid w:val="51FEE29D"/>
    <w:rsid w:val="51FEFC50"/>
    <w:rsid w:val="52002D62"/>
    <w:rsid w:val="5200DA4C"/>
    <w:rsid w:val="520144E7"/>
    <w:rsid w:val="5201FBDC"/>
    <w:rsid w:val="520203E1"/>
    <w:rsid w:val="52025C7F"/>
    <w:rsid w:val="5202CF5F"/>
    <w:rsid w:val="5202DB40"/>
    <w:rsid w:val="5202FBDA"/>
    <w:rsid w:val="52033BAC"/>
    <w:rsid w:val="520446B1"/>
    <w:rsid w:val="520466C9"/>
    <w:rsid w:val="5205D934"/>
    <w:rsid w:val="5206A310"/>
    <w:rsid w:val="5206AC49"/>
    <w:rsid w:val="52070D85"/>
    <w:rsid w:val="52074702"/>
    <w:rsid w:val="5207817D"/>
    <w:rsid w:val="5207BE66"/>
    <w:rsid w:val="52094354"/>
    <w:rsid w:val="520A51E9"/>
    <w:rsid w:val="520A8965"/>
    <w:rsid w:val="520AA4D4"/>
    <w:rsid w:val="520ADD20"/>
    <w:rsid w:val="520B1DED"/>
    <w:rsid w:val="520BF89C"/>
    <w:rsid w:val="520C2A50"/>
    <w:rsid w:val="520D1ABD"/>
    <w:rsid w:val="520E4F28"/>
    <w:rsid w:val="520ED30D"/>
    <w:rsid w:val="520EE761"/>
    <w:rsid w:val="521048D3"/>
    <w:rsid w:val="52107D87"/>
    <w:rsid w:val="5210A027"/>
    <w:rsid w:val="52111277"/>
    <w:rsid w:val="5212B027"/>
    <w:rsid w:val="5212E747"/>
    <w:rsid w:val="5212EB0A"/>
    <w:rsid w:val="5213B28D"/>
    <w:rsid w:val="52145BB7"/>
    <w:rsid w:val="5215612B"/>
    <w:rsid w:val="52172B7B"/>
    <w:rsid w:val="5217F433"/>
    <w:rsid w:val="52183758"/>
    <w:rsid w:val="52184CAF"/>
    <w:rsid w:val="5218BFE8"/>
    <w:rsid w:val="5218F321"/>
    <w:rsid w:val="52191729"/>
    <w:rsid w:val="52192208"/>
    <w:rsid w:val="5219517F"/>
    <w:rsid w:val="521996D6"/>
    <w:rsid w:val="5219EFC2"/>
    <w:rsid w:val="521B2387"/>
    <w:rsid w:val="521B3ADE"/>
    <w:rsid w:val="521B47E7"/>
    <w:rsid w:val="521BE4D4"/>
    <w:rsid w:val="521C8466"/>
    <w:rsid w:val="521C9801"/>
    <w:rsid w:val="521D5F68"/>
    <w:rsid w:val="521DB973"/>
    <w:rsid w:val="521EBC27"/>
    <w:rsid w:val="521EEC8D"/>
    <w:rsid w:val="521F761F"/>
    <w:rsid w:val="522040E3"/>
    <w:rsid w:val="522100E3"/>
    <w:rsid w:val="5221364C"/>
    <w:rsid w:val="5221BF42"/>
    <w:rsid w:val="5221CAC4"/>
    <w:rsid w:val="5222030C"/>
    <w:rsid w:val="522236B2"/>
    <w:rsid w:val="5222604F"/>
    <w:rsid w:val="522299C4"/>
    <w:rsid w:val="5223B81A"/>
    <w:rsid w:val="5223F3AF"/>
    <w:rsid w:val="5226769D"/>
    <w:rsid w:val="5227E01D"/>
    <w:rsid w:val="5228465B"/>
    <w:rsid w:val="52286994"/>
    <w:rsid w:val="52286CD2"/>
    <w:rsid w:val="52287003"/>
    <w:rsid w:val="5228B0F1"/>
    <w:rsid w:val="5229E98E"/>
    <w:rsid w:val="522A3FBF"/>
    <w:rsid w:val="522ABE1A"/>
    <w:rsid w:val="522B7162"/>
    <w:rsid w:val="522B8AEC"/>
    <w:rsid w:val="522BC8C0"/>
    <w:rsid w:val="522BCF98"/>
    <w:rsid w:val="522BFB2F"/>
    <w:rsid w:val="522D5DBD"/>
    <w:rsid w:val="522E536C"/>
    <w:rsid w:val="522E6A03"/>
    <w:rsid w:val="522EB3CD"/>
    <w:rsid w:val="522EFD31"/>
    <w:rsid w:val="522F0A52"/>
    <w:rsid w:val="52306207"/>
    <w:rsid w:val="52309405"/>
    <w:rsid w:val="5230B71C"/>
    <w:rsid w:val="5230DEB6"/>
    <w:rsid w:val="523110E1"/>
    <w:rsid w:val="52319FF7"/>
    <w:rsid w:val="523229B8"/>
    <w:rsid w:val="5232B895"/>
    <w:rsid w:val="523301EA"/>
    <w:rsid w:val="5233BE44"/>
    <w:rsid w:val="5233E979"/>
    <w:rsid w:val="523460BB"/>
    <w:rsid w:val="523485F3"/>
    <w:rsid w:val="52349D9B"/>
    <w:rsid w:val="5234DFC5"/>
    <w:rsid w:val="523549B6"/>
    <w:rsid w:val="5237748D"/>
    <w:rsid w:val="5237A7CB"/>
    <w:rsid w:val="523996C3"/>
    <w:rsid w:val="5239A7DF"/>
    <w:rsid w:val="523A03E4"/>
    <w:rsid w:val="523B9C2C"/>
    <w:rsid w:val="523C3878"/>
    <w:rsid w:val="523D84E7"/>
    <w:rsid w:val="523E7C29"/>
    <w:rsid w:val="523F0B74"/>
    <w:rsid w:val="523F4731"/>
    <w:rsid w:val="523FBA2D"/>
    <w:rsid w:val="524054DF"/>
    <w:rsid w:val="5240E25D"/>
    <w:rsid w:val="5241552D"/>
    <w:rsid w:val="524171DF"/>
    <w:rsid w:val="5241D094"/>
    <w:rsid w:val="5242AC91"/>
    <w:rsid w:val="5242CFFB"/>
    <w:rsid w:val="5242D2AA"/>
    <w:rsid w:val="52430DF3"/>
    <w:rsid w:val="52432CFE"/>
    <w:rsid w:val="524352D4"/>
    <w:rsid w:val="524415A2"/>
    <w:rsid w:val="52446FC9"/>
    <w:rsid w:val="5245238C"/>
    <w:rsid w:val="52463FAF"/>
    <w:rsid w:val="524689C4"/>
    <w:rsid w:val="52468FBC"/>
    <w:rsid w:val="5246F048"/>
    <w:rsid w:val="52473910"/>
    <w:rsid w:val="5247EA54"/>
    <w:rsid w:val="5247FA71"/>
    <w:rsid w:val="524810A8"/>
    <w:rsid w:val="52483F3A"/>
    <w:rsid w:val="524853C2"/>
    <w:rsid w:val="5248827B"/>
    <w:rsid w:val="5248ECFF"/>
    <w:rsid w:val="5249F13C"/>
    <w:rsid w:val="524A08B6"/>
    <w:rsid w:val="524A67CF"/>
    <w:rsid w:val="524A857E"/>
    <w:rsid w:val="524B0A5F"/>
    <w:rsid w:val="524B0D1B"/>
    <w:rsid w:val="524B63C1"/>
    <w:rsid w:val="524C36C3"/>
    <w:rsid w:val="524EC155"/>
    <w:rsid w:val="524ECD57"/>
    <w:rsid w:val="524EE38C"/>
    <w:rsid w:val="524F11D0"/>
    <w:rsid w:val="524F2006"/>
    <w:rsid w:val="524F5745"/>
    <w:rsid w:val="524F5B64"/>
    <w:rsid w:val="524FF928"/>
    <w:rsid w:val="5250CB3E"/>
    <w:rsid w:val="5251CFA5"/>
    <w:rsid w:val="5252A4BF"/>
    <w:rsid w:val="5253721D"/>
    <w:rsid w:val="5253862D"/>
    <w:rsid w:val="5253E010"/>
    <w:rsid w:val="5254FA0B"/>
    <w:rsid w:val="525530BD"/>
    <w:rsid w:val="52560F46"/>
    <w:rsid w:val="5256F6CF"/>
    <w:rsid w:val="525726E5"/>
    <w:rsid w:val="525735FE"/>
    <w:rsid w:val="52575EE2"/>
    <w:rsid w:val="52577735"/>
    <w:rsid w:val="5257D361"/>
    <w:rsid w:val="52587C59"/>
    <w:rsid w:val="5258BE03"/>
    <w:rsid w:val="5258D9AC"/>
    <w:rsid w:val="5258F7C1"/>
    <w:rsid w:val="525A095F"/>
    <w:rsid w:val="525A78B8"/>
    <w:rsid w:val="525AC6D0"/>
    <w:rsid w:val="525ACC44"/>
    <w:rsid w:val="525C1CAA"/>
    <w:rsid w:val="525DE90B"/>
    <w:rsid w:val="525E0337"/>
    <w:rsid w:val="5260935E"/>
    <w:rsid w:val="5260F905"/>
    <w:rsid w:val="52619738"/>
    <w:rsid w:val="52619ED3"/>
    <w:rsid w:val="52622ED5"/>
    <w:rsid w:val="5262BBC7"/>
    <w:rsid w:val="5262E179"/>
    <w:rsid w:val="52637C15"/>
    <w:rsid w:val="5263C33F"/>
    <w:rsid w:val="52640ADA"/>
    <w:rsid w:val="5264E3EA"/>
    <w:rsid w:val="52656E11"/>
    <w:rsid w:val="526621AA"/>
    <w:rsid w:val="52668604"/>
    <w:rsid w:val="52669574"/>
    <w:rsid w:val="52679093"/>
    <w:rsid w:val="5267E0EF"/>
    <w:rsid w:val="5267EDAA"/>
    <w:rsid w:val="5267FAFB"/>
    <w:rsid w:val="5268907A"/>
    <w:rsid w:val="5268A2B6"/>
    <w:rsid w:val="5268DAF0"/>
    <w:rsid w:val="52691A21"/>
    <w:rsid w:val="52694C87"/>
    <w:rsid w:val="5269B88F"/>
    <w:rsid w:val="526A0C1D"/>
    <w:rsid w:val="526A26A5"/>
    <w:rsid w:val="526A5312"/>
    <w:rsid w:val="526A572F"/>
    <w:rsid w:val="526ABF11"/>
    <w:rsid w:val="526AC647"/>
    <w:rsid w:val="526B25BC"/>
    <w:rsid w:val="526B57E1"/>
    <w:rsid w:val="526CCE1A"/>
    <w:rsid w:val="526D6687"/>
    <w:rsid w:val="526E0B30"/>
    <w:rsid w:val="526E1A9A"/>
    <w:rsid w:val="526E30B5"/>
    <w:rsid w:val="526F2A6B"/>
    <w:rsid w:val="526F448B"/>
    <w:rsid w:val="526FAFD0"/>
    <w:rsid w:val="526FC804"/>
    <w:rsid w:val="52715826"/>
    <w:rsid w:val="5271BAF7"/>
    <w:rsid w:val="527260D0"/>
    <w:rsid w:val="5272FFF3"/>
    <w:rsid w:val="52736819"/>
    <w:rsid w:val="5273B116"/>
    <w:rsid w:val="5274B808"/>
    <w:rsid w:val="527519A1"/>
    <w:rsid w:val="5275E0E1"/>
    <w:rsid w:val="52764690"/>
    <w:rsid w:val="527737CE"/>
    <w:rsid w:val="5278E073"/>
    <w:rsid w:val="527A5F7D"/>
    <w:rsid w:val="527AB057"/>
    <w:rsid w:val="527B0C19"/>
    <w:rsid w:val="527B9C63"/>
    <w:rsid w:val="527BE3AA"/>
    <w:rsid w:val="527BFAE8"/>
    <w:rsid w:val="527CFA63"/>
    <w:rsid w:val="527D3AE3"/>
    <w:rsid w:val="527DF7B3"/>
    <w:rsid w:val="527E4B8E"/>
    <w:rsid w:val="527EAC04"/>
    <w:rsid w:val="527EDB2D"/>
    <w:rsid w:val="527F7347"/>
    <w:rsid w:val="527FD975"/>
    <w:rsid w:val="52805523"/>
    <w:rsid w:val="5281D292"/>
    <w:rsid w:val="52822157"/>
    <w:rsid w:val="5282CA49"/>
    <w:rsid w:val="5282D996"/>
    <w:rsid w:val="5283817D"/>
    <w:rsid w:val="5283BDB1"/>
    <w:rsid w:val="5283F1F2"/>
    <w:rsid w:val="5285119D"/>
    <w:rsid w:val="52853996"/>
    <w:rsid w:val="52855698"/>
    <w:rsid w:val="5285ACEB"/>
    <w:rsid w:val="5286B1EE"/>
    <w:rsid w:val="52873E05"/>
    <w:rsid w:val="52883AB2"/>
    <w:rsid w:val="5289C122"/>
    <w:rsid w:val="528A268F"/>
    <w:rsid w:val="528A5968"/>
    <w:rsid w:val="528AE295"/>
    <w:rsid w:val="528BBDAC"/>
    <w:rsid w:val="528C31C0"/>
    <w:rsid w:val="528C52F3"/>
    <w:rsid w:val="528C6385"/>
    <w:rsid w:val="528CB55B"/>
    <w:rsid w:val="528D65DF"/>
    <w:rsid w:val="528D6DEE"/>
    <w:rsid w:val="528E327D"/>
    <w:rsid w:val="528EFD77"/>
    <w:rsid w:val="528F5E59"/>
    <w:rsid w:val="528FB1C6"/>
    <w:rsid w:val="528FB273"/>
    <w:rsid w:val="52913C6E"/>
    <w:rsid w:val="5292A995"/>
    <w:rsid w:val="5293B366"/>
    <w:rsid w:val="5294B2A2"/>
    <w:rsid w:val="5294F58D"/>
    <w:rsid w:val="5295E7AF"/>
    <w:rsid w:val="52962B09"/>
    <w:rsid w:val="5296B233"/>
    <w:rsid w:val="529785B0"/>
    <w:rsid w:val="5298AEA8"/>
    <w:rsid w:val="5298F44E"/>
    <w:rsid w:val="52991252"/>
    <w:rsid w:val="529926FC"/>
    <w:rsid w:val="529B951C"/>
    <w:rsid w:val="529C1D5C"/>
    <w:rsid w:val="529C86F6"/>
    <w:rsid w:val="529CD2C9"/>
    <w:rsid w:val="529DCD51"/>
    <w:rsid w:val="529DD131"/>
    <w:rsid w:val="529E0C5C"/>
    <w:rsid w:val="529E2855"/>
    <w:rsid w:val="529E5CC4"/>
    <w:rsid w:val="529E772D"/>
    <w:rsid w:val="529EF952"/>
    <w:rsid w:val="529FCC5E"/>
    <w:rsid w:val="52A0880C"/>
    <w:rsid w:val="52A15E1D"/>
    <w:rsid w:val="52A1C620"/>
    <w:rsid w:val="52A1E357"/>
    <w:rsid w:val="52A22AF5"/>
    <w:rsid w:val="52A239FC"/>
    <w:rsid w:val="52A26AAA"/>
    <w:rsid w:val="52A2A6BC"/>
    <w:rsid w:val="52A32C45"/>
    <w:rsid w:val="52A42C8B"/>
    <w:rsid w:val="52A461F4"/>
    <w:rsid w:val="52A4A2F3"/>
    <w:rsid w:val="52A51596"/>
    <w:rsid w:val="52A587ED"/>
    <w:rsid w:val="52A58844"/>
    <w:rsid w:val="52A74A88"/>
    <w:rsid w:val="52A7A84C"/>
    <w:rsid w:val="52A8FC06"/>
    <w:rsid w:val="52AABEA0"/>
    <w:rsid w:val="52AAE485"/>
    <w:rsid w:val="52AB3F58"/>
    <w:rsid w:val="52ABC7F7"/>
    <w:rsid w:val="52AC159B"/>
    <w:rsid w:val="52AC22CE"/>
    <w:rsid w:val="52AC2D55"/>
    <w:rsid w:val="52AC990D"/>
    <w:rsid w:val="52ACE090"/>
    <w:rsid w:val="52AD079C"/>
    <w:rsid w:val="52AD3018"/>
    <w:rsid w:val="52AE3392"/>
    <w:rsid w:val="52AE9FA7"/>
    <w:rsid w:val="52AEE594"/>
    <w:rsid w:val="52B03F7E"/>
    <w:rsid w:val="52B0688C"/>
    <w:rsid w:val="52B08587"/>
    <w:rsid w:val="52B1708D"/>
    <w:rsid w:val="52B1CA72"/>
    <w:rsid w:val="52B286BE"/>
    <w:rsid w:val="52B2B60D"/>
    <w:rsid w:val="52B2E503"/>
    <w:rsid w:val="52B33440"/>
    <w:rsid w:val="52B35541"/>
    <w:rsid w:val="52B3A5C7"/>
    <w:rsid w:val="52B3D499"/>
    <w:rsid w:val="52B4BFE8"/>
    <w:rsid w:val="52B4F1F0"/>
    <w:rsid w:val="52B4FFC1"/>
    <w:rsid w:val="52B5117A"/>
    <w:rsid w:val="52B543AF"/>
    <w:rsid w:val="52B60B96"/>
    <w:rsid w:val="52B6E095"/>
    <w:rsid w:val="52B6FA78"/>
    <w:rsid w:val="52B738D3"/>
    <w:rsid w:val="52B8006E"/>
    <w:rsid w:val="52B9366A"/>
    <w:rsid w:val="52B9566A"/>
    <w:rsid w:val="52B9C160"/>
    <w:rsid w:val="52BAAAE8"/>
    <w:rsid w:val="52BBC664"/>
    <w:rsid w:val="52BBE967"/>
    <w:rsid w:val="52BCF655"/>
    <w:rsid w:val="52BD055E"/>
    <w:rsid w:val="52BD3D2C"/>
    <w:rsid w:val="52BDC33A"/>
    <w:rsid w:val="52BE1190"/>
    <w:rsid w:val="52BEA568"/>
    <w:rsid w:val="52BEFE95"/>
    <w:rsid w:val="52BF63B1"/>
    <w:rsid w:val="52BFA767"/>
    <w:rsid w:val="52C01A0B"/>
    <w:rsid w:val="52C05F7C"/>
    <w:rsid w:val="52C096D5"/>
    <w:rsid w:val="52C0A62D"/>
    <w:rsid w:val="52C1978D"/>
    <w:rsid w:val="52C24459"/>
    <w:rsid w:val="52C26332"/>
    <w:rsid w:val="52C47AE4"/>
    <w:rsid w:val="52C4B534"/>
    <w:rsid w:val="52C585BD"/>
    <w:rsid w:val="52C6A6A0"/>
    <w:rsid w:val="52C6C8E7"/>
    <w:rsid w:val="52C6EA4C"/>
    <w:rsid w:val="52C70573"/>
    <w:rsid w:val="52C70A86"/>
    <w:rsid w:val="52C840FA"/>
    <w:rsid w:val="52C86448"/>
    <w:rsid w:val="52C883E7"/>
    <w:rsid w:val="52C8900D"/>
    <w:rsid w:val="52C9C5F6"/>
    <w:rsid w:val="52CA2419"/>
    <w:rsid w:val="52CAB3C8"/>
    <w:rsid w:val="52CB5CDE"/>
    <w:rsid w:val="52CBD044"/>
    <w:rsid w:val="52CD1B44"/>
    <w:rsid w:val="52CD3DAF"/>
    <w:rsid w:val="52CD9BDF"/>
    <w:rsid w:val="52CE1E8A"/>
    <w:rsid w:val="52CECBDE"/>
    <w:rsid w:val="52CFD108"/>
    <w:rsid w:val="52CFDC4A"/>
    <w:rsid w:val="52D0FD59"/>
    <w:rsid w:val="52D11C69"/>
    <w:rsid w:val="52D156AB"/>
    <w:rsid w:val="52D18E72"/>
    <w:rsid w:val="52D1E909"/>
    <w:rsid w:val="52D276B7"/>
    <w:rsid w:val="52D29842"/>
    <w:rsid w:val="52D2B504"/>
    <w:rsid w:val="52D33029"/>
    <w:rsid w:val="52D334B9"/>
    <w:rsid w:val="52D496A9"/>
    <w:rsid w:val="52D4E633"/>
    <w:rsid w:val="52D4F016"/>
    <w:rsid w:val="52D4F2D3"/>
    <w:rsid w:val="52D55CAE"/>
    <w:rsid w:val="52D5BFAC"/>
    <w:rsid w:val="52D6AEC6"/>
    <w:rsid w:val="52D6B7E3"/>
    <w:rsid w:val="52D768CB"/>
    <w:rsid w:val="52D78C41"/>
    <w:rsid w:val="52D7BD5C"/>
    <w:rsid w:val="52D84523"/>
    <w:rsid w:val="52D95265"/>
    <w:rsid w:val="52D9D8E3"/>
    <w:rsid w:val="52D9FA1E"/>
    <w:rsid w:val="52DA7339"/>
    <w:rsid w:val="52DB43B0"/>
    <w:rsid w:val="52DBB046"/>
    <w:rsid w:val="52DC8D1F"/>
    <w:rsid w:val="52DDEBF5"/>
    <w:rsid w:val="52DE060C"/>
    <w:rsid w:val="52E1CE2A"/>
    <w:rsid w:val="52E24294"/>
    <w:rsid w:val="52E4ED27"/>
    <w:rsid w:val="52E51025"/>
    <w:rsid w:val="52E5655F"/>
    <w:rsid w:val="52E5AED9"/>
    <w:rsid w:val="52E7EB7C"/>
    <w:rsid w:val="52E7F0C2"/>
    <w:rsid w:val="52E8982A"/>
    <w:rsid w:val="52E8B265"/>
    <w:rsid w:val="52E9D922"/>
    <w:rsid w:val="52EA5A19"/>
    <w:rsid w:val="52EAD544"/>
    <w:rsid w:val="52EAED6D"/>
    <w:rsid w:val="52EB1768"/>
    <w:rsid w:val="52EB4EEF"/>
    <w:rsid w:val="52EBCC2E"/>
    <w:rsid w:val="52EBD80B"/>
    <w:rsid w:val="52EBFFC8"/>
    <w:rsid w:val="52ED97C1"/>
    <w:rsid w:val="52EDAAF7"/>
    <w:rsid w:val="52EE24A3"/>
    <w:rsid w:val="52EEAAE8"/>
    <w:rsid w:val="52EF257C"/>
    <w:rsid w:val="52F01558"/>
    <w:rsid w:val="52F02601"/>
    <w:rsid w:val="52F0C87D"/>
    <w:rsid w:val="52F0CE61"/>
    <w:rsid w:val="52F1AA83"/>
    <w:rsid w:val="52F1D2E2"/>
    <w:rsid w:val="52F3A407"/>
    <w:rsid w:val="52F435AF"/>
    <w:rsid w:val="52F46EC8"/>
    <w:rsid w:val="52F4F09B"/>
    <w:rsid w:val="52F54376"/>
    <w:rsid w:val="52F56635"/>
    <w:rsid w:val="52F5D5BB"/>
    <w:rsid w:val="52F62B9F"/>
    <w:rsid w:val="52F650B7"/>
    <w:rsid w:val="52F67EC0"/>
    <w:rsid w:val="52F6C6EF"/>
    <w:rsid w:val="52F6DB62"/>
    <w:rsid w:val="52F74620"/>
    <w:rsid w:val="52F7FF5D"/>
    <w:rsid w:val="52F9584A"/>
    <w:rsid w:val="52F9699E"/>
    <w:rsid w:val="52FB7749"/>
    <w:rsid w:val="52FBBCAE"/>
    <w:rsid w:val="52FBD86D"/>
    <w:rsid w:val="52FC095A"/>
    <w:rsid w:val="52FC5D4F"/>
    <w:rsid w:val="52FC74D7"/>
    <w:rsid w:val="52FC93BC"/>
    <w:rsid w:val="52FC95F4"/>
    <w:rsid w:val="52FDC805"/>
    <w:rsid w:val="52FDE807"/>
    <w:rsid w:val="52FE548E"/>
    <w:rsid w:val="52FEA12D"/>
    <w:rsid w:val="52FFC2E8"/>
    <w:rsid w:val="52FFD0A4"/>
    <w:rsid w:val="53001C68"/>
    <w:rsid w:val="530051EC"/>
    <w:rsid w:val="53007408"/>
    <w:rsid w:val="5300923D"/>
    <w:rsid w:val="530166B2"/>
    <w:rsid w:val="53022D99"/>
    <w:rsid w:val="53029010"/>
    <w:rsid w:val="5302B0E3"/>
    <w:rsid w:val="5302FCD0"/>
    <w:rsid w:val="53034A5E"/>
    <w:rsid w:val="53035D78"/>
    <w:rsid w:val="5303F4DA"/>
    <w:rsid w:val="5304350A"/>
    <w:rsid w:val="5304725A"/>
    <w:rsid w:val="53047FB2"/>
    <w:rsid w:val="5304FB50"/>
    <w:rsid w:val="530505C2"/>
    <w:rsid w:val="53050E34"/>
    <w:rsid w:val="53059CAD"/>
    <w:rsid w:val="53059E37"/>
    <w:rsid w:val="53071F54"/>
    <w:rsid w:val="53076A1A"/>
    <w:rsid w:val="5307F2F5"/>
    <w:rsid w:val="53080E49"/>
    <w:rsid w:val="5308EB5D"/>
    <w:rsid w:val="5309E4F3"/>
    <w:rsid w:val="530A8FA4"/>
    <w:rsid w:val="530A91ED"/>
    <w:rsid w:val="530D0A70"/>
    <w:rsid w:val="530D44FE"/>
    <w:rsid w:val="530D8E2A"/>
    <w:rsid w:val="530DAF7C"/>
    <w:rsid w:val="530DB7FC"/>
    <w:rsid w:val="530E3CC4"/>
    <w:rsid w:val="530FB1A4"/>
    <w:rsid w:val="530FB7DF"/>
    <w:rsid w:val="53100770"/>
    <w:rsid w:val="53125832"/>
    <w:rsid w:val="53126C0C"/>
    <w:rsid w:val="5312814D"/>
    <w:rsid w:val="5314309A"/>
    <w:rsid w:val="531582E7"/>
    <w:rsid w:val="5315B3B0"/>
    <w:rsid w:val="5315D676"/>
    <w:rsid w:val="53166CB9"/>
    <w:rsid w:val="5316D34A"/>
    <w:rsid w:val="5317A48E"/>
    <w:rsid w:val="5317DAF1"/>
    <w:rsid w:val="5319D69B"/>
    <w:rsid w:val="531A52E3"/>
    <w:rsid w:val="531ABC1E"/>
    <w:rsid w:val="531ABFB6"/>
    <w:rsid w:val="531B7F9A"/>
    <w:rsid w:val="531BA1B0"/>
    <w:rsid w:val="531BB984"/>
    <w:rsid w:val="531C20B3"/>
    <w:rsid w:val="531C548F"/>
    <w:rsid w:val="531CB320"/>
    <w:rsid w:val="531D5A57"/>
    <w:rsid w:val="531D6CA9"/>
    <w:rsid w:val="531DC486"/>
    <w:rsid w:val="531DDB68"/>
    <w:rsid w:val="531E3BC1"/>
    <w:rsid w:val="531E9454"/>
    <w:rsid w:val="531EB832"/>
    <w:rsid w:val="531F2C92"/>
    <w:rsid w:val="531F4A45"/>
    <w:rsid w:val="531F5BEC"/>
    <w:rsid w:val="531F71D8"/>
    <w:rsid w:val="531FA1CD"/>
    <w:rsid w:val="53208232"/>
    <w:rsid w:val="5320CBC0"/>
    <w:rsid w:val="53212C47"/>
    <w:rsid w:val="53216007"/>
    <w:rsid w:val="5321B78D"/>
    <w:rsid w:val="5323E05B"/>
    <w:rsid w:val="53241747"/>
    <w:rsid w:val="53243E2C"/>
    <w:rsid w:val="5324A758"/>
    <w:rsid w:val="5324C2A9"/>
    <w:rsid w:val="532581BB"/>
    <w:rsid w:val="5325C655"/>
    <w:rsid w:val="5325CFE7"/>
    <w:rsid w:val="53262DF7"/>
    <w:rsid w:val="53264D57"/>
    <w:rsid w:val="53268C01"/>
    <w:rsid w:val="53270459"/>
    <w:rsid w:val="53270DC0"/>
    <w:rsid w:val="5327E3C6"/>
    <w:rsid w:val="5328607C"/>
    <w:rsid w:val="53287D49"/>
    <w:rsid w:val="5329724D"/>
    <w:rsid w:val="532A2CE0"/>
    <w:rsid w:val="532A6098"/>
    <w:rsid w:val="532AB9A5"/>
    <w:rsid w:val="532AD241"/>
    <w:rsid w:val="532B1F4B"/>
    <w:rsid w:val="532B25B5"/>
    <w:rsid w:val="532B5655"/>
    <w:rsid w:val="532B6A63"/>
    <w:rsid w:val="532B8F4C"/>
    <w:rsid w:val="532C2330"/>
    <w:rsid w:val="532D625B"/>
    <w:rsid w:val="532DBA10"/>
    <w:rsid w:val="532DFB4E"/>
    <w:rsid w:val="532EA764"/>
    <w:rsid w:val="532F1FB8"/>
    <w:rsid w:val="532F56B0"/>
    <w:rsid w:val="532F622F"/>
    <w:rsid w:val="53300F3A"/>
    <w:rsid w:val="533035E3"/>
    <w:rsid w:val="533084F3"/>
    <w:rsid w:val="53309CD3"/>
    <w:rsid w:val="533161F7"/>
    <w:rsid w:val="5331D5FA"/>
    <w:rsid w:val="5332249D"/>
    <w:rsid w:val="5333158C"/>
    <w:rsid w:val="53332278"/>
    <w:rsid w:val="5333A235"/>
    <w:rsid w:val="5334DDF5"/>
    <w:rsid w:val="5334E261"/>
    <w:rsid w:val="5335EEAB"/>
    <w:rsid w:val="533635AF"/>
    <w:rsid w:val="53364CD2"/>
    <w:rsid w:val="533686A2"/>
    <w:rsid w:val="5336AC0F"/>
    <w:rsid w:val="53373E9F"/>
    <w:rsid w:val="5337B964"/>
    <w:rsid w:val="5339CFA3"/>
    <w:rsid w:val="5339E67D"/>
    <w:rsid w:val="5339F30A"/>
    <w:rsid w:val="533A11AA"/>
    <w:rsid w:val="533A906E"/>
    <w:rsid w:val="533A9BB6"/>
    <w:rsid w:val="533AB857"/>
    <w:rsid w:val="533ACB7C"/>
    <w:rsid w:val="533B4CC9"/>
    <w:rsid w:val="533BC6B9"/>
    <w:rsid w:val="533C6014"/>
    <w:rsid w:val="533C704C"/>
    <w:rsid w:val="533DE98F"/>
    <w:rsid w:val="533E438E"/>
    <w:rsid w:val="533E971F"/>
    <w:rsid w:val="533ED0EA"/>
    <w:rsid w:val="533F903C"/>
    <w:rsid w:val="5340C39A"/>
    <w:rsid w:val="5341BE25"/>
    <w:rsid w:val="5342B183"/>
    <w:rsid w:val="5343F69D"/>
    <w:rsid w:val="534553BF"/>
    <w:rsid w:val="53458F0D"/>
    <w:rsid w:val="5345AD0E"/>
    <w:rsid w:val="5345D515"/>
    <w:rsid w:val="53460378"/>
    <w:rsid w:val="5346E13E"/>
    <w:rsid w:val="5346F5CB"/>
    <w:rsid w:val="53470C95"/>
    <w:rsid w:val="5347FDA8"/>
    <w:rsid w:val="53487610"/>
    <w:rsid w:val="53498178"/>
    <w:rsid w:val="534AC673"/>
    <w:rsid w:val="534BAFD8"/>
    <w:rsid w:val="534BFEE5"/>
    <w:rsid w:val="534C0146"/>
    <w:rsid w:val="534C126F"/>
    <w:rsid w:val="534C3A70"/>
    <w:rsid w:val="534C9B8D"/>
    <w:rsid w:val="534DA995"/>
    <w:rsid w:val="534DD275"/>
    <w:rsid w:val="534E34F6"/>
    <w:rsid w:val="534E5791"/>
    <w:rsid w:val="534EC5E4"/>
    <w:rsid w:val="534F4B83"/>
    <w:rsid w:val="53500C2E"/>
    <w:rsid w:val="53500EC6"/>
    <w:rsid w:val="53501A26"/>
    <w:rsid w:val="535137DF"/>
    <w:rsid w:val="5352F9CB"/>
    <w:rsid w:val="53534076"/>
    <w:rsid w:val="53537957"/>
    <w:rsid w:val="5353841F"/>
    <w:rsid w:val="5355155B"/>
    <w:rsid w:val="5355C464"/>
    <w:rsid w:val="535658F5"/>
    <w:rsid w:val="53566BED"/>
    <w:rsid w:val="53576345"/>
    <w:rsid w:val="53577E60"/>
    <w:rsid w:val="53578054"/>
    <w:rsid w:val="5357A660"/>
    <w:rsid w:val="5357C3A6"/>
    <w:rsid w:val="5357DD77"/>
    <w:rsid w:val="53585012"/>
    <w:rsid w:val="53585E5B"/>
    <w:rsid w:val="5358FD9C"/>
    <w:rsid w:val="535986B2"/>
    <w:rsid w:val="5359E1EB"/>
    <w:rsid w:val="535A0D68"/>
    <w:rsid w:val="535AD222"/>
    <w:rsid w:val="535B3C01"/>
    <w:rsid w:val="535B6A03"/>
    <w:rsid w:val="535B888C"/>
    <w:rsid w:val="535BEFFF"/>
    <w:rsid w:val="535D88B4"/>
    <w:rsid w:val="535F0D51"/>
    <w:rsid w:val="535F9BF4"/>
    <w:rsid w:val="53605363"/>
    <w:rsid w:val="5360EE65"/>
    <w:rsid w:val="536178E4"/>
    <w:rsid w:val="53618D61"/>
    <w:rsid w:val="53626237"/>
    <w:rsid w:val="53629347"/>
    <w:rsid w:val="53631798"/>
    <w:rsid w:val="53632CFC"/>
    <w:rsid w:val="536335B0"/>
    <w:rsid w:val="53633DE1"/>
    <w:rsid w:val="5363C474"/>
    <w:rsid w:val="536514DD"/>
    <w:rsid w:val="5366A730"/>
    <w:rsid w:val="5366FB4E"/>
    <w:rsid w:val="53673C2D"/>
    <w:rsid w:val="536765B1"/>
    <w:rsid w:val="53677CB9"/>
    <w:rsid w:val="53678D03"/>
    <w:rsid w:val="53687159"/>
    <w:rsid w:val="5368C529"/>
    <w:rsid w:val="53698C51"/>
    <w:rsid w:val="53699F67"/>
    <w:rsid w:val="536A1A3A"/>
    <w:rsid w:val="536AFEA3"/>
    <w:rsid w:val="536BA917"/>
    <w:rsid w:val="536BD18D"/>
    <w:rsid w:val="536C3284"/>
    <w:rsid w:val="536D3140"/>
    <w:rsid w:val="536DC2C9"/>
    <w:rsid w:val="536E71B4"/>
    <w:rsid w:val="536F7C15"/>
    <w:rsid w:val="5370E383"/>
    <w:rsid w:val="53713F8C"/>
    <w:rsid w:val="53721EA9"/>
    <w:rsid w:val="53738A9D"/>
    <w:rsid w:val="53743FFF"/>
    <w:rsid w:val="537619D7"/>
    <w:rsid w:val="5376351C"/>
    <w:rsid w:val="53777994"/>
    <w:rsid w:val="53782542"/>
    <w:rsid w:val="537842B9"/>
    <w:rsid w:val="53784EAA"/>
    <w:rsid w:val="53789425"/>
    <w:rsid w:val="5378AE21"/>
    <w:rsid w:val="5379B0BD"/>
    <w:rsid w:val="537A43FA"/>
    <w:rsid w:val="537A4754"/>
    <w:rsid w:val="537AF8F4"/>
    <w:rsid w:val="537BAC79"/>
    <w:rsid w:val="537C9953"/>
    <w:rsid w:val="537E2F58"/>
    <w:rsid w:val="537E956D"/>
    <w:rsid w:val="537EA40B"/>
    <w:rsid w:val="537ECE38"/>
    <w:rsid w:val="537F1A80"/>
    <w:rsid w:val="537F3F72"/>
    <w:rsid w:val="53802282"/>
    <w:rsid w:val="53809B78"/>
    <w:rsid w:val="5380E82D"/>
    <w:rsid w:val="5380F018"/>
    <w:rsid w:val="53819C34"/>
    <w:rsid w:val="538277EC"/>
    <w:rsid w:val="538282F1"/>
    <w:rsid w:val="5382F342"/>
    <w:rsid w:val="5383CFED"/>
    <w:rsid w:val="5383D91E"/>
    <w:rsid w:val="538439E2"/>
    <w:rsid w:val="5384E1E3"/>
    <w:rsid w:val="5385E16A"/>
    <w:rsid w:val="5386476E"/>
    <w:rsid w:val="5386DC57"/>
    <w:rsid w:val="5386E23A"/>
    <w:rsid w:val="53875707"/>
    <w:rsid w:val="53879A0E"/>
    <w:rsid w:val="5387F89E"/>
    <w:rsid w:val="53880CE8"/>
    <w:rsid w:val="5388B402"/>
    <w:rsid w:val="5389482C"/>
    <w:rsid w:val="5389823D"/>
    <w:rsid w:val="5389BF31"/>
    <w:rsid w:val="538A635F"/>
    <w:rsid w:val="538B09A8"/>
    <w:rsid w:val="538B1129"/>
    <w:rsid w:val="538B2D8B"/>
    <w:rsid w:val="538BB8C4"/>
    <w:rsid w:val="538C723B"/>
    <w:rsid w:val="538D2B39"/>
    <w:rsid w:val="538D598C"/>
    <w:rsid w:val="538D6A2B"/>
    <w:rsid w:val="538E2435"/>
    <w:rsid w:val="538E5F8A"/>
    <w:rsid w:val="538EB4C1"/>
    <w:rsid w:val="538F9668"/>
    <w:rsid w:val="538FF0A5"/>
    <w:rsid w:val="53902B8B"/>
    <w:rsid w:val="5390C853"/>
    <w:rsid w:val="53919EE1"/>
    <w:rsid w:val="5391DC56"/>
    <w:rsid w:val="5392A650"/>
    <w:rsid w:val="53933C69"/>
    <w:rsid w:val="5393515A"/>
    <w:rsid w:val="5393880F"/>
    <w:rsid w:val="5394502F"/>
    <w:rsid w:val="5394F296"/>
    <w:rsid w:val="5394FEFB"/>
    <w:rsid w:val="539895C8"/>
    <w:rsid w:val="5398D064"/>
    <w:rsid w:val="5399A36E"/>
    <w:rsid w:val="539A165D"/>
    <w:rsid w:val="539AAF93"/>
    <w:rsid w:val="539B3294"/>
    <w:rsid w:val="539B53A0"/>
    <w:rsid w:val="539B63F5"/>
    <w:rsid w:val="539B9C09"/>
    <w:rsid w:val="539BB7E9"/>
    <w:rsid w:val="539C00EB"/>
    <w:rsid w:val="539C55D3"/>
    <w:rsid w:val="539CAD16"/>
    <w:rsid w:val="539D3360"/>
    <w:rsid w:val="539DB73F"/>
    <w:rsid w:val="539E98CF"/>
    <w:rsid w:val="539F16AB"/>
    <w:rsid w:val="539F9907"/>
    <w:rsid w:val="53A0CA76"/>
    <w:rsid w:val="53A0F3BD"/>
    <w:rsid w:val="53A1206B"/>
    <w:rsid w:val="53A249EA"/>
    <w:rsid w:val="53A3BB9F"/>
    <w:rsid w:val="53A3E392"/>
    <w:rsid w:val="53A425BF"/>
    <w:rsid w:val="53A43365"/>
    <w:rsid w:val="53A4D798"/>
    <w:rsid w:val="53A59799"/>
    <w:rsid w:val="53A5BC6D"/>
    <w:rsid w:val="53A5FBE3"/>
    <w:rsid w:val="53A61A4D"/>
    <w:rsid w:val="53A66E98"/>
    <w:rsid w:val="53A751E3"/>
    <w:rsid w:val="53A78724"/>
    <w:rsid w:val="53A79781"/>
    <w:rsid w:val="53A810AC"/>
    <w:rsid w:val="53A8E00A"/>
    <w:rsid w:val="53A90BD0"/>
    <w:rsid w:val="53AA7806"/>
    <w:rsid w:val="53AAC034"/>
    <w:rsid w:val="53ABA843"/>
    <w:rsid w:val="53ABBEAA"/>
    <w:rsid w:val="53AC538D"/>
    <w:rsid w:val="53AE92EA"/>
    <w:rsid w:val="53AF3164"/>
    <w:rsid w:val="53AF5579"/>
    <w:rsid w:val="53B0A271"/>
    <w:rsid w:val="53B0F59C"/>
    <w:rsid w:val="53B11EB8"/>
    <w:rsid w:val="53B147E1"/>
    <w:rsid w:val="53B1BE1F"/>
    <w:rsid w:val="53B27357"/>
    <w:rsid w:val="53B2B1B2"/>
    <w:rsid w:val="53B2DBA6"/>
    <w:rsid w:val="53B349B8"/>
    <w:rsid w:val="53B405F3"/>
    <w:rsid w:val="53B51236"/>
    <w:rsid w:val="53B5F2B4"/>
    <w:rsid w:val="53B7672D"/>
    <w:rsid w:val="53B79BFE"/>
    <w:rsid w:val="53B7D536"/>
    <w:rsid w:val="53B9436D"/>
    <w:rsid w:val="53B98683"/>
    <w:rsid w:val="53BAF7F5"/>
    <w:rsid w:val="53BB4A3A"/>
    <w:rsid w:val="53BB559D"/>
    <w:rsid w:val="53BCC9B0"/>
    <w:rsid w:val="53BCDD26"/>
    <w:rsid w:val="53BDD49F"/>
    <w:rsid w:val="53BE1B95"/>
    <w:rsid w:val="53BE1FAA"/>
    <w:rsid w:val="53BE2061"/>
    <w:rsid w:val="53BE5706"/>
    <w:rsid w:val="53BEA6C0"/>
    <w:rsid w:val="53C030FE"/>
    <w:rsid w:val="53C08BC6"/>
    <w:rsid w:val="53C0B012"/>
    <w:rsid w:val="53C0B0EC"/>
    <w:rsid w:val="53C3FDD2"/>
    <w:rsid w:val="53C44E46"/>
    <w:rsid w:val="53C606E3"/>
    <w:rsid w:val="53C63F74"/>
    <w:rsid w:val="53C684D7"/>
    <w:rsid w:val="53C697DF"/>
    <w:rsid w:val="53C6F4F6"/>
    <w:rsid w:val="53C7A2C4"/>
    <w:rsid w:val="53C87BB1"/>
    <w:rsid w:val="53C9445B"/>
    <w:rsid w:val="53C94BAD"/>
    <w:rsid w:val="53C9AD95"/>
    <w:rsid w:val="53CB661C"/>
    <w:rsid w:val="53CBE5C5"/>
    <w:rsid w:val="53CD6981"/>
    <w:rsid w:val="53CDC718"/>
    <w:rsid w:val="53CE8DC1"/>
    <w:rsid w:val="53D0843F"/>
    <w:rsid w:val="53D09285"/>
    <w:rsid w:val="53D0DE66"/>
    <w:rsid w:val="53D137BE"/>
    <w:rsid w:val="53D27E8B"/>
    <w:rsid w:val="53D2A018"/>
    <w:rsid w:val="53D2E6DA"/>
    <w:rsid w:val="53D34F64"/>
    <w:rsid w:val="53D3552A"/>
    <w:rsid w:val="53D427CE"/>
    <w:rsid w:val="53D52373"/>
    <w:rsid w:val="53D64DE4"/>
    <w:rsid w:val="53D6FE88"/>
    <w:rsid w:val="53D83A27"/>
    <w:rsid w:val="53D8B5CF"/>
    <w:rsid w:val="53D986EA"/>
    <w:rsid w:val="53DA0948"/>
    <w:rsid w:val="53DA29C2"/>
    <w:rsid w:val="53DA5BFD"/>
    <w:rsid w:val="53DA739D"/>
    <w:rsid w:val="53DA73D5"/>
    <w:rsid w:val="53DB4545"/>
    <w:rsid w:val="53DBFACE"/>
    <w:rsid w:val="53DC2804"/>
    <w:rsid w:val="53DD7179"/>
    <w:rsid w:val="53DF55E7"/>
    <w:rsid w:val="53DFEA72"/>
    <w:rsid w:val="53DFFA74"/>
    <w:rsid w:val="53E15F0D"/>
    <w:rsid w:val="53E185E5"/>
    <w:rsid w:val="53E28F16"/>
    <w:rsid w:val="53E2C2FF"/>
    <w:rsid w:val="53E330F8"/>
    <w:rsid w:val="53E33220"/>
    <w:rsid w:val="53E37199"/>
    <w:rsid w:val="53E3B225"/>
    <w:rsid w:val="53E4BA36"/>
    <w:rsid w:val="53E56DF8"/>
    <w:rsid w:val="53E6E38B"/>
    <w:rsid w:val="53E7B431"/>
    <w:rsid w:val="53E8730C"/>
    <w:rsid w:val="53E8DC06"/>
    <w:rsid w:val="53E8E0A0"/>
    <w:rsid w:val="53E8EB6B"/>
    <w:rsid w:val="53E9C8E5"/>
    <w:rsid w:val="53EA6EE8"/>
    <w:rsid w:val="53EAADE0"/>
    <w:rsid w:val="53EAE42B"/>
    <w:rsid w:val="53EB9F88"/>
    <w:rsid w:val="53EBBF4B"/>
    <w:rsid w:val="53EBDE48"/>
    <w:rsid w:val="53EBE383"/>
    <w:rsid w:val="53EC41C4"/>
    <w:rsid w:val="53ED3FEB"/>
    <w:rsid w:val="53ED9E32"/>
    <w:rsid w:val="53EE474B"/>
    <w:rsid w:val="53EE7092"/>
    <w:rsid w:val="53EF73A4"/>
    <w:rsid w:val="53EFA09E"/>
    <w:rsid w:val="53F056D9"/>
    <w:rsid w:val="53F09179"/>
    <w:rsid w:val="53F09B5D"/>
    <w:rsid w:val="53F109E0"/>
    <w:rsid w:val="53F1510B"/>
    <w:rsid w:val="53F1C56D"/>
    <w:rsid w:val="53F25172"/>
    <w:rsid w:val="53F263BD"/>
    <w:rsid w:val="53F27698"/>
    <w:rsid w:val="53F2DB27"/>
    <w:rsid w:val="53F31163"/>
    <w:rsid w:val="53F45B28"/>
    <w:rsid w:val="53F49A73"/>
    <w:rsid w:val="53F4A28B"/>
    <w:rsid w:val="53F4EB1D"/>
    <w:rsid w:val="53F548D9"/>
    <w:rsid w:val="53F56470"/>
    <w:rsid w:val="53F58DD9"/>
    <w:rsid w:val="53F71D88"/>
    <w:rsid w:val="53F7DA9A"/>
    <w:rsid w:val="53F8EF1B"/>
    <w:rsid w:val="53F90ED4"/>
    <w:rsid w:val="53FA5217"/>
    <w:rsid w:val="53FB6350"/>
    <w:rsid w:val="53FBF139"/>
    <w:rsid w:val="53FBF797"/>
    <w:rsid w:val="53FC00C0"/>
    <w:rsid w:val="53FC1030"/>
    <w:rsid w:val="53FC3336"/>
    <w:rsid w:val="53FDC238"/>
    <w:rsid w:val="53FDD3FD"/>
    <w:rsid w:val="53FECF66"/>
    <w:rsid w:val="54010F0E"/>
    <w:rsid w:val="54011ECC"/>
    <w:rsid w:val="540172D3"/>
    <w:rsid w:val="5401CEDC"/>
    <w:rsid w:val="5401ECE8"/>
    <w:rsid w:val="540299D5"/>
    <w:rsid w:val="5402ACF1"/>
    <w:rsid w:val="5402E08F"/>
    <w:rsid w:val="5402E469"/>
    <w:rsid w:val="5403CA94"/>
    <w:rsid w:val="5403DE83"/>
    <w:rsid w:val="54046BC4"/>
    <w:rsid w:val="54049EA9"/>
    <w:rsid w:val="5404BA75"/>
    <w:rsid w:val="5404E742"/>
    <w:rsid w:val="54050D09"/>
    <w:rsid w:val="5406A3DD"/>
    <w:rsid w:val="54074314"/>
    <w:rsid w:val="5407466B"/>
    <w:rsid w:val="540756FB"/>
    <w:rsid w:val="54076076"/>
    <w:rsid w:val="5408BD76"/>
    <w:rsid w:val="540989A2"/>
    <w:rsid w:val="540A106F"/>
    <w:rsid w:val="540A715F"/>
    <w:rsid w:val="540A73EE"/>
    <w:rsid w:val="540C1692"/>
    <w:rsid w:val="540CE6CF"/>
    <w:rsid w:val="540DD34E"/>
    <w:rsid w:val="540DF665"/>
    <w:rsid w:val="540E8788"/>
    <w:rsid w:val="540ED923"/>
    <w:rsid w:val="540EEB0D"/>
    <w:rsid w:val="540FD9EB"/>
    <w:rsid w:val="5411107E"/>
    <w:rsid w:val="54113FC3"/>
    <w:rsid w:val="5411671C"/>
    <w:rsid w:val="541297F4"/>
    <w:rsid w:val="5412A255"/>
    <w:rsid w:val="5413227A"/>
    <w:rsid w:val="54136730"/>
    <w:rsid w:val="5413A4A5"/>
    <w:rsid w:val="54148F49"/>
    <w:rsid w:val="54152B5E"/>
    <w:rsid w:val="54157913"/>
    <w:rsid w:val="541581E2"/>
    <w:rsid w:val="54169DFF"/>
    <w:rsid w:val="5416E1BA"/>
    <w:rsid w:val="5416F329"/>
    <w:rsid w:val="54171420"/>
    <w:rsid w:val="5418B3D0"/>
    <w:rsid w:val="54195B45"/>
    <w:rsid w:val="5419A85D"/>
    <w:rsid w:val="5419CFA6"/>
    <w:rsid w:val="541A356A"/>
    <w:rsid w:val="541A8A66"/>
    <w:rsid w:val="541A9534"/>
    <w:rsid w:val="541AD71F"/>
    <w:rsid w:val="541B1CD5"/>
    <w:rsid w:val="541BAC25"/>
    <w:rsid w:val="541C20E4"/>
    <w:rsid w:val="541CC791"/>
    <w:rsid w:val="541D2057"/>
    <w:rsid w:val="541D59A8"/>
    <w:rsid w:val="541D8FBA"/>
    <w:rsid w:val="541EE0EA"/>
    <w:rsid w:val="5420BD35"/>
    <w:rsid w:val="54211582"/>
    <w:rsid w:val="54215C92"/>
    <w:rsid w:val="5421F9C4"/>
    <w:rsid w:val="54224FDB"/>
    <w:rsid w:val="54227408"/>
    <w:rsid w:val="5423D80B"/>
    <w:rsid w:val="542408DE"/>
    <w:rsid w:val="5424752C"/>
    <w:rsid w:val="54249950"/>
    <w:rsid w:val="5424E462"/>
    <w:rsid w:val="54257753"/>
    <w:rsid w:val="5426909C"/>
    <w:rsid w:val="5426BC7D"/>
    <w:rsid w:val="5427C007"/>
    <w:rsid w:val="54281A0D"/>
    <w:rsid w:val="542874E3"/>
    <w:rsid w:val="5428A1CF"/>
    <w:rsid w:val="5428AA20"/>
    <w:rsid w:val="54297767"/>
    <w:rsid w:val="542A4B43"/>
    <w:rsid w:val="542A7A83"/>
    <w:rsid w:val="542AFD20"/>
    <w:rsid w:val="542AFEE7"/>
    <w:rsid w:val="542B7652"/>
    <w:rsid w:val="542BBD93"/>
    <w:rsid w:val="542BE653"/>
    <w:rsid w:val="542C48F9"/>
    <w:rsid w:val="542C535C"/>
    <w:rsid w:val="542CBB45"/>
    <w:rsid w:val="542CF613"/>
    <w:rsid w:val="542DCEA7"/>
    <w:rsid w:val="542E0DA7"/>
    <w:rsid w:val="542E4D8F"/>
    <w:rsid w:val="542EBBE2"/>
    <w:rsid w:val="542EC932"/>
    <w:rsid w:val="542EE248"/>
    <w:rsid w:val="542F303E"/>
    <w:rsid w:val="54304CFB"/>
    <w:rsid w:val="5430B912"/>
    <w:rsid w:val="5430E7AC"/>
    <w:rsid w:val="543194C1"/>
    <w:rsid w:val="5431A554"/>
    <w:rsid w:val="5431C439"/>
    <w:rsid w:val="5432D286"/>
    <w:rsid w:val="54334458"/>
    <w:rsid w:val="54336BEB"/>
    <w:rsid w:val="54338FF4"/>
    <w:rsid w:val="5433DB97"/>
    <w:rsid w:val="5435758E"/>
    <w:rsid w:val="5435D154"/>
    <w:rsid w:val="5435E7D6"/>
    <w:rsid w:val="54370E04"/>
    <w:rsid w:val="5437495F"/>
    <w:rsid w:val="54385BFD"/>
    <w:rsid w:val="54385C48"/>
    <w:rsid w:val="54389263"/>
    <w:rsid w:val="54390158"/>
    <w:rsid w:val="543927AE"/>
    <w:rsid w:val="5439A062"/>
    <w:rsid w:val="543BD070"/>
    <w:rsid w:val="543BFB5E"/>
    <w:rsid w:val="543CABE6"/>
    <w:rsid w:val="543D1258"/>
    <w:rsid w:val="543D1E17"/>
    <w:rsid w:val="543D7A22"/>
    <w:rsid w:val="543D98A6"/>
    <w:rsid w:val="543E0E5A"/>
    <w:rsid w:val="543E4C94"/>
    <w:rsid w:val="543F3110"/>
    <w:rsid w:val="543F6E40"/>
    <w:rsid w:val="543F957C"/>
    <w:rsid w:val="543FF2D9"/>
    <w:rsid w:val="54415769"/>
    <w:rsid w:val="54428D2E"/>
    <w:rsid w:val="5442ABC4"/>
    <w:rsid w:val="5443E15D"/>
    <w:rsid w:val="54447544"/>
    <w:rsid w:val="5444D7A5"/>
    <w:rsid w:val="5445A9D1"/>
    <w:rsid w:val="5446185D"/>
    <w:rsid w:val="54463914"/>
    <w:rsid w:val="5446BEB0"/>
    <w:rsid w:val="54470D9C"/>
    <w:rsid w:val="5447C37C"/>
    <w:rsid w:val="5448E8BE"/>
    <w:rsid w:val="544ACBC9"/>
    <w:rsid w:val="544B11E7"/>
    <w:rsid w:val="544C4ABF"/>
    <w:rsid w:val="544C739B"/>
    <w:rsid w:val="544C85A0"/>
    <w:rsid w:val="544D6C43"/>
    <w:rsid w:val="544E6FAB"/>
    <w:rsid w:val="544EB564"/>
    <w:rsid w:val="544F2E2F"/>
    <w:rsid w:val="544F47A1"/>
    <w:rsid w:val="545013C7"/>
    <w:rsid w:val="5450A228"/>
    <w:rsid w:val="54516EB1"/>
    <w:rsid w:val="54518ACE"/>
    <w:rsid w:val="5451AD79"/>
    <w:rsid w:val="5451E0F9"/>
    <w:rsid w:val="54524861"/>
    <w:rsid w:val="5452A28A"/>
    <w:rsid w:val="5453A0C6"/>
    <w:rsid w:val="54545629"/>
    <w:rsid w:val="5454619F"/>
    <w:rsid w:val="5454A87F"/>
    <w:rsid w:val="5454AA71"/>
    <w:rsid w:val="54553BF4"/>
    <w:rsid w:val="545688A7"/>
    <w:rsid w:val="5456BED9"/>
    <w:rsid w:val="5456C528"/>
    <w:rsid w:val="5457C50D"/>
    <w:rsid w:val="5458085A"/>
    <w:rsid w:val="54584C25"/>
    <w:rsid w:val="5458B364"/>
    <w:rsid w:val="5459061B"/>
    <w:rsid w:val="54593298"/>
    <w:rsid w:val="5459FAD2"/>
    <w:rsid w:val="545A2A0F"/>
    <w:rsid w:val="545A9909"/>
    <w:rsid w:val="545AB4E8"/>
    <w:rsid w:val="545AD187"/>
    <w:rsid w:val="545B09DE"/>
    <w:rsid w:val="545B69DA"/>
    <w:rsid w:val="545BFC73"/>
    <w:rsid w:val="545C34C7"/>
    <w:rsid w:val="545D189A"/>
    <w:rsid w:val="545E2F0E"/>
    <w:rsid w:val="545E8860"/>
    <w:rsid w:val="545E8F1D"/>
    <w:rsid w:val="545EC5A8"/>
    <w:rsid w:val="545F76E2"/>
    <w:rsid w:val="5461B412"/>
    <w:rsid w:val="5462B594"/>
    <w:rsid w:val="5462D25C"/>
    <w:rsid w:val="546301E2"/>
    <w:rsid w:val="54630C6B"/>
    <w:rsid w:val="54631B23"/>
    <w:rsid w:val="54632E2A"/>
    <w:rsid w:val="54633303"/>
    <w:rsid w:val="5464CA9A"/>
    <w:rsid w:val="54655F68"/>
    <w:rsid w:val="5465A4EB"/>
    <w:rsid w:val="5465FC9A"/>
    <w:rsid w:val="54665819"/>
    <w:rsid w:val="546684F5"/>
    <w:rsid w:val="5466A2EC"/>
    <w:rsid w:val="5467FA92"/>
    <w:rsid w:val="54681CDA"/>
    <w:rsid w:val="546A9207"/>
    <w:rsid w:val="546A9B4E"/>
    <w:rsid w:val="546B528D"/>
    <w:rsid w:val="546DCF97"/>
    <w:rsid w:val="546E02D4"/>
    <w:rsid w:val="546E615C"/>
    <w:rsid w:val="546EB5B6"/>
    <w:rsid w:val="546F6DFE"/>
    <w:rsid w:val="546F7258"/>
    <w:rsid w:val="546FB1D9"/>
    <w:rsid w:val="546FF466"/>
    <w:rsid w:val="5470F044"/>
    <w:rsid w:val="5471B339"/>
    <w:rsid w:val="5472D44D"/>
    <w:rsid w:val="5474AA00"/>
    <w:rsid w:val="5474B562"/>
    <w:rsid w:val="5475218C"/>
    <w:rsid w:val="5475FEFA"/>
    <w:rsid w:val="5477556D"/>
    <w:rsid w:val="54779C2B"/>
    <w:rsid w:val="5477DEA5"/>
    <w:rsid w:val="5478C63E"/>
    <w:rsid w:val="5479CBD8"/>
    <w:rsid w:val="547A2F54"/>
    <w:rsid w:val="547AEB0F"/>
    <w:rsid w:val="547C82D6"/>
    <w:rsid w:val="547C9D89"/>
    <w:rsid w:val="547CBFC7"/>
    <w:rsid w:val="547CC754"/>
    <w:rsid w:val="547CD325"/>
    <w:rsid w:val="547DC311"/>
    <w:rsid w:val="547E1D79"/>
    <w:rsid w:val="547E40EA"/>
    <w:rsid w:val="547EA61E"/>
    <w:rsid w:val="547F04F5"/>
    <w:rsid w:val="547F3596"/>
    <w:rsid w:val="547F35DB"/>
    <w:rsid w:val="547F3E56"/>
    <w:rsid w:val="547F6371"/>
    <w:rsid w:val="54808EFE"/>
    <w:rsid w:val="5480A4F1"/>
    <w:rsid w:val="54810198"/>
    <w:rsid w:val="5481EC69"/>
    <w:rsid w:val="5482464D"/>
    <w:rsid w:val="54825BAD"/>
    <w:rsid w:val="54828E69"/>
    <w:rsid w:val="5482F73D"/>
    <w:rsid w:val="54838EAA"/>
    <w:rsid w:val="548409CF"/>
    <w:rsid w:val="54845BDF"/>
    <w:rsid w:val="54854546"/>
    <w:rsid w:val="54859167"/>
    <w:rsid w:val="5485E08E"/>
    <w:rsid w:val="54868003"/>
    <w:rsid w:val="5486A881"/>
    <w:rsid w:val="5486E3D3"/>
    <w:rsid w:val="5486F8AF"/>
    <w:rsid w:val="54871BB8"/>
    <w:rsid w:val="54877875"/>
    <w:rsid w:val="54883FDC"/>
    <w:rsid w:val="5488B29E"/>
    <w:rsid w:val="5488E532"/>
    <w:rsid w:val="54891E0E"/>
    <w:rsid w:val="54892092"/>
    <w:rsid w:val="54893837"/>
    <w:rsid w:val="5489AB14"/>
    <w:rsid w:val="5489BABE"/>
    <w:rsid w:val="548A0C48"/>
    <w:rsid w:val="548A82BE"/>
    <w:rsid w:val="548A98B6"/>
    <w:rsid w:val="548AAD86"/>
    <w:rsid w:val="548AB332"/>
    <w:rsid w:val="548B2EEA"/>
    <w:rsid w:val="548B6EF9"/>
    <w:rsid w:val="548B76F9"/>
    <w:rsid w:val="548CB45F"/>
    <w:rsid w:val="548D77FA"/>
    <w:rsid w:val="548D9E98"/>
    <w:rsid w:val="548DC4B9"/>
    <w:rsid w:val="548E794A"/>
    <w:rsid w:val="548F05FB"/>
    <w:rsid w:val="548F88BB"/>
    <w:rsid w:val="548F9CCA"/>
    <w:rsid w:val="548FD342"/>
    <w:rsid w:val="549102DB"/>
    <w:rsid w:val="54914510"/>
    <w:rsid w:val="54918F2B"/>
    <w:rsid w:val="54924F88"/>
    <w:rsid w:val="5492664D"/>
    <w:rsid w:val="5492A726"/>
    <w:rsid w:val="5493BA18"/>
    <w:rsid w:val="5494C793"/>
    <w:rsid w:val="54954AB7"/>
    <w:rsid w:val="5495C044"/>
    <w:rsid w:val="5496482E"/>
    <w:rsid w:val="5498C822"/>
    <w:rsid w:val="5498D784"/>
    <w:rsid w:val="54999899"/>
    <w:rsid w:val="5499BC42"/>
    <w:rsid w:val="549A0388"/>
    <w:rsid w:val="549A6DE5"/>
    <w:rsid w:val="549B1BA3"/>
    <w:rsid w:val="549CAE4F"/>
    <w:rsid w:val="549D6966"/>
    <w:rsid w:val="549EC3F7"/>
    <w:rsid w:val="549F015D"/>
    <w:rsid w:val="549F77F6"/>
    <w:rsid w:val="549F872D"/>
    <w:rsid w:val="54A058EE"/>
    <w:rsid w:val="54A21AA1"/>
    <w:rsid w:val="54A32C65"/>
    <w:rsid w:val="54A3AD4B"/>
    <w:rsid w:val="54A46F3F"/>
    <w:rsid w:val="54A4F801"/>
    <w:rsid w:val="54A5E27F"/>
    <w:rsid w:val="54A62745"/>
    <w:rsid w:val="54A7202E"/>
    <w:rsid w:val="54A75EBC"/>
    <w:rsid w:val="54A78E23"/>
    <w:rsid w:val="54A82E92"/>
    <w:rsid w:val="54A9C047"/>
    <w:rsid w:val="54AAA0FB"/>
    <w:rsid w:val="54AACB9F"/>
    <w:rsid w:val="54AAE7D3"/>
    <w:rsid w:val="54AB3F21"/>
    <w:rsid w:val="54ABEC1A"/>
    <w:rsid w:val="54AC3BC2"/>
    <w:rsid w:val="54ACC1CF"/>
    <w:rsid w:val="54ACFC6A"/>
    <w:rsid w:val="54AD4068"/>
    <w:rsid w:val="54AD7F0D"/>
    <w:rsid w:val="54ADD0E0"/>
    <w:rsid w:val="54AE0170"/>
    <w:rsid w:val="54AEE0DF"/>
    <w:rsid w:val="54AEF3A8"/>
    <w:rsid w:val="54B0B8ED"/>
    <w:rsid w:val="54B142E5"/>
    <w:rsid w:val="54B1747B"/>
    <w:rsid w:val="54B17873"/>
    <w:rsid w:val="54B1F268"/>
    <w:rsid w:val="54B21F7B"/>
    <w:rsid w:val="54B51C8F"/>
    <w:rsid w:val="54B605DB"/>
    <w:rsid w:val="54B60F75"/>
    <w:rsid w:val="54B64777"/>
    <w:rsid w:val="54B65961"/>
    <w:rsid w:val="54B79A1C"/>
    <w:rsid w:val="54B9234B"/>
    <w:rsid w:val="54B95B06"/>
    <w:rsid w:val="54BA0EB8"/>
    <w:rsid w:val="54BA666D"/>
    <w:rsid w:val="54BAD9EE"/>
    <w:rsid w:val="54BB3341"/>
    <w:rsid w:val="54BC41A5"/>
    <w:rsid w:val="54BCB6A5"/>
    <w:rsid w:val="54BD2E6C"/>
    <w:rsid w:val="54BD4F21"/>
    <w:rsid w:val="54BD6F8E"/>
    <w:rsid w:val="54BD800B"/>
    <w:rsid w:val="54BE6CF0"/>
    <w:rsid w:val="54BF10E7"/>
    <w:rsid w:val="54BF4EE7"/>
    <w:rsid w:val="54BF5BAF"/>
    <w:rsid w:val="54BFB08B"/>
    <w:rsid w:val="54C05E7E"/>
    <w:rsid w:val="54C0648C"/>
    <w:rsid w:val="54C081BC"/>
    <w:rsid w:val="54C09100"/>
    <w:rsid w:val="54C0CACA"/>
    <w:rsid w:val="54C0DB79"/>
    <w:rsid w:val="54C0DFDA"/>
    <w:rsid w:val="54C0F609"/>
    <w:rsid w:val="54C10FFB"/>
    <w:rsid w:val="54C11824"/>
    <w:rsid w:val="54C131CA"/>
    <w:rsid w:val="54C16703"/>
    <w:rsid w:val="54C198BB"/>
    <w:rsid w:val="54C1E019"/>
    <w:rsid w:val="54C26784"/>
    <w:rsid w:val="54C2F80E"/>
    <w:rsid w:val="54C32F5F"/>
    <w:rsid w:val="54C3B5E6"/>
    <w:rsid w:val="54C3D27D"/>
    <w:rsid w:val="54C49FEB"/>
    <w:rsid w:val="54C530DF"/>
    <w:rsid w:val="54C58370"/>
    <w:rsid w:val="54C5BCA7"/>
    <w:rsid w:val="54C6484E"/>
    <w:rsid w:val="54C65497"/>
    <w:rsid w:val="54C6DA80"/>
    <w:rsid w:val="54C77D12"/>
    <w:rsid w:val="54C849E0"/>
    <w:rsid w:val="54C922ED"/>
    <w:rsid w:val="54C98706"/>
    <w:rsid w:val="54C9C11F"/>
    <w:rsid w:val="54CB02CB"/>
    <w:rsid w:val="54CCD448"/>
    <w:rsid w:val="54CCD741"/>
    <w:rsid w:val="54CCEECE"/>
    <w:rsid w:val="54CE07E4"/>
    <w:rsid w:val="54CE0D43"/>
    <w:rsid w:val="54CE43CA"/>
    <w:rsid w:val="54CF0895"/>
    <w:rsid w:val="54CF774E"/>
    <w:rsid w:val="54CFAD8B"/>
    <w:rsid w:val="54CFAED3"/>
    <w:rsid w:val="54D05A10"/>
    <w:rsid w:val="54D10417"/>
    <w:rsid w:val="54D158F9"/>
    <w:rsid w:val="54D23B03"/>
    <w:rsid w:val="54D2DC1B"/>
    <w:rsid w:val="54D34635"/>
    <w:rsid w:val="54D34FAF"/>
    <w:rsid w:val="54D37700"/>
    <w:rsid w:val="54D5E488"/>
    <w:rsid w:val="54D61566"/>
    <w:rsid w:val="54D62669"/>
    <w:rsid w:val="54D651C9"/>
    <w:rsid w:val="54D6E63C"/>
    <w:rsid w:val="54D6EB45"/>
    <w:rsid w:val="54D87E12"/>
    <w:rsid w:val="54D8FA0E"/>
    <w:rsid w:val="54D90B06"/>
    <w:rsid w:val="54D9C947"/>
    <w:rsid w:val="54D9E5C1"/>
    <w:rsid w:val="54DA4621"/>
    <w:rsid w:val="54DAA757"/>
    <w:rsid w:val="54DC5FBD"/>
    <w:rsid w:val="54DC640D"/>
    <w:rsid w:val="54DC9F10"/>
    <w:rsid w:val="54DCA963"/>
    <w:rsid w:val="54DD4458"/>
    <w:rsid w:val="54DDA23D"/>
    <w:rsid w:val="54DE3FB4"/>
    <w:rsid w:val="54DE71E3"/>
    <w:rsid w:val="54DF017B"/>
    <w:rsid w:val="54DF1EA5"/>
    <w:rsid w:val="54DF7310"/>
    <w:rsid w:val="54DFCE0A"/>
    <w:rsid w:val="54E0D53B"/>
    <w:rsid w:val="54E146BA"/>
    <w:rsid w:val="54E1BC4D"/>
    <w:rsid w:val="54E24FA7"/>
    <w:rsid w:val="54E2B60F"/>
    <w:rsid w:val="54E2C395"/>
    <w:rsid w:val="54E2EC1A"/>
    <w:rsid w:val="54E331B1"/>
    <w:rsid w:val="54E390A0"/>
    <w:rsid w:val="54E3E823"/>
    <w:rsid w:val="54E4F89E"/>
    <w:rsid w:val="54E5A00C"/>
    <w:rsid w:val="54E5D6CE"/>
    <w:rsid w:val="54E7514A"/>
    <w:rsid w:val="54E7ACEF"/>
    <w:rsid w:val="54E7F584"/>
    <w:rsid w:val="54E8C0BB"/>
    <w:rsid w:val="54E960C8"/>
    <w:rsid w:val="54E97943"/>
    <w:rsid w:val="54E9C2D0"/>
    <w:rsid w:val="54E9CB53"/>
    <w:rsid w:val="54E9E889"/>
    <w:rsid w:val="54EA1790"/>
    <w:rsid w:val="54EA5D1E"/>
    <w:rsid w:val="54EA74B7"/>
    <w:rsid w:val="54EC4719"/>
    <w:rsid w:val="54EC9B4E"/>
    <w:rsid w:val="54ECDE15"/>
    <w:rsid w:val="54ECFDAA"/>
    <w:rsid w:val="54ED073F"/>
    <w:rsid w:val="54ED1554"/>
    <w:rsid w:val="54ED377A"/>
    <w:rsid w:val="54ED927A"/>
    <w:rsid w:val="54EDFF42"/>
    <w:rsid w:val="54EEDA49"/>
    <w:rsid w:val="54EF60C7"/>
    <w:rsid w:val="54EF8CBF"/>
    <w:rsid w:val="54EFE348"/>
    <w:rsid w:val="54F04E05"/>
    <w:rsid w:val="54F05155"/>
    <w:rsid w:val="54F0F498"/>
    <w:rsid w:val="54F1F733"/>
    <w:rsid w:val="54F257F1"/>
    <w:rsid w:val="54F2F454"/>
    <w:rsid w:val="54F31375"/>
    <w:rsid w:val="54F3B980"/>
    <w:rsid w:val="54F3BC39"/>
    <w:rsid w:val="54F4F9CB"/>
    <w:rsid w:val="54F51367"/>
    <w:rsid w:val="54F591DA"/>
    <w:rsid w:val="54F84D92"/>
    <w:rsid w:val="54F8DF74"/>
    <w:rsid w:val="54FB8C08"/>
    <w:rsid w:val="54FBA434"/>
    <w:rsid w:val="54FBFF25"/>
    <w:rsid w:val="54FD13A5"/>
    <w:rsid w:val="54FD3735"/>
    <w:rsid w:val="54FD9E3D"/>
    <w:rsid w:val="54FDF070"/>
    <w:rsid w:val="54FDF72E"/>
    <w:rsid w:val="54FF71B2"/>
    <w:rsid w:val="54FFB8F5"/>
    <w:rsid w:val="550081CF"/>
    <w:rsid w:val="5500F987"/>
    <w:rsid w:val="550129A0"/>
    <w:rsid w:val="55022E52"/>
    <w:rsid w:val="55024366"/>
    <w:rsid w:val="55025D1C"/>
    <w:rsid w:val="55028478"/>
    <w:rsid w:val="5502DD47"/>
    <w:rsid w:val="550310C2"/>
    <w:rsid w:val="5503DC91"/>
    <w:rsid w:val="5503F1D9"/>
    <w:rsid w:val="5503FD43"/>
    <w:rsid w:val="550450F6"/>
    <w:rsid w:val="55054337"/>
    <w:rsid w:val="550553B9"/>
    <w:rsid w:val="5506695F"/>
    <w:rsid w:val="5506835A"/>
    <w:rsid w:val="55070B0E"/>
    <w:rsid w:val="550739DD"/>
    <w:rsid w:val="550776B9"/>
    <w:rsid w:val="5507E889"/>
    <w:rsid w:val="55082889"/>
    <w:rsid w:val="550A3AE9"/>
    <w:rsid w:val="550A9111"/>
    <w:rsid w:val="550B0122"/>
    <w:rsid w:val="550BAE39"/>
    <w:rsid w:val="550C2F01"/>
    <w:rsid w:val="550C9931"/>
    <w:rsid w:val="550CE8F6"/>
    <w:rsid w:val="550D3DB9"/>
    <w:rsid w:val="550DECA3"/>
    <w:rsid w:val="550DEE27"/>
    <w:rsid w:val="550E0B08"/>
    <w:rsid w:val="550E45C5"/>
    <w:rsid w:val="550E7535"/>
    <w:rsid w:val="550E881C"/>
    <w:rsid w:val="550F6307"/>
    <w:rsid w:val="550F94C2"/>
    <w:rsid w:val="550FE033"/>
    <w:rsid w:val="55100A43"/>
    <w:rsid w:val="5510110E"/>
    <w:rsid w:val="5510F501"/>
    <w:rsid w:val="55110AC7"/>
    <w:rsid w:val="55110BF6"/>
    <w:rsid w:val="5511B90D"/>
    <w:rsid w:val="55120E74"/>
    <w:rsid w:val="55128882"/>
    <w:rsid w:val="5513364E"/>
    <w:rsid w:val="55134E44"/>
    <w:rsid w:val="551461B5"/>
    <w:rsid w:val="5514D41C"/>
    <w:rsid w:val="5514F60B"/>
    <w:rsid w:val="55153AE7"/>
    <w:rsid w:val="5515AD4F"/>
    <w:rsid w:val="5515F4FA"/>
    <w:rsid w:val="5516361E"/>
    <w:rsid w:val="5516B0E7"/>
    <w:rsid w:val="5516EF42"/>
    <w:rsid w:val="551732DD"/>
    <w:rsid w:val="5517931C"/>
    <w:rsid w:val="5517D4B4"/>
    <w:rsid w:val="551802D6"/>
    <w:rsid w:val="5518C6DA"/>
    <w:rsid w:val="55191CD0"/>
    <w:rsid w:val="5519217C"/>
    <w:rsid w:val="55197D2B"/>
    <w:rsid w:val="551B407E"/>
    <w:rsid w:val="551B5CE1"/>
    <w:rsid w:val="551B95F9"/>
    <w:rsid w:val="551BB3E1"/>
    <w:rsid w:val="551C269D"/>
    <w:rsid w:val="551C737B"/>
    <w:rsid w:val="551CB280"/>
    <w:rsid w:val="551CE6DC"/>
    <w:rsid w:val="551CFA92"/>
    <w:rsid w:val="551D2078"/>
    <w:rsid w:val="551DB8C3"/>
    <w:rsid w:val="551DBA1C"/>
    <w:rsid w:val="551DC8E6"/>
    <w:rsid w:val="551E3075"/>
    <w:rsid w:val="551E35FE"/>
    <w:rsid w:val="551F652D"/>
    <w:rsid w:val="551F89F5"/>
    <w:rsid w:val="551FA0AA"/>
    <w:rsid w:val="552083F3"/>
    <w:rsid w:val="5521875A"/>
    <w:rsid w:val="5521E3FC"/>
    <w:rsid w:val="5521EE74"/>
    <w:rsid w:val="55227805"/>
    <w:rsid w:val="5524327B"/>
    <w:rsid w:val="55244988"/>
    <w:rsid w:val="5525CAE2"/>
    <w:rsid w:val="55262981"/>
    <w:rsid w:val="552652A2"/>
    <w:rsid w:val="552692D2"/>
    <w:rsid w:val="5527DA8E"/>
    <w:rsid w:val="5528569A"/>
    <w:rsid w:val="5528732B"/>
    <w:rsid w:val="5528B75F"/>
    <w:rsid w:val="55296442"/>
    <w:rsid w:val="552A6E39"/>
    <w:rsid w:val="552AB84E"/>
    <w:rsid w:val="552B8651"/>
    <w:rsid w:val="552C0C6C"/>
    <w:rsid w:val="552C701F"/>
    <w:rsid w:val="552C7FC4"/>
    <w:rsid w:val="552CB9A7"/>
    <w:rsid w:val="552D6A41"/>
    <w:rsid w:val="552D6A44"/>
    <w:rsid w:val="552ECE1D"/>
    <w:rsid w:val="552F5FFC"/>
    <w:rsid w:val="552F60BE"/>
    <w:rsid w:val="552F7123"/>
    <w:rsid w:val="552FBC4E"/>
    <w:rsid w:val="552FD272"/>
    <w:rsid w:val="552FED35"/>
    <w:rsid w:val="55313BDA"/>
    <w:rsid w:val="5531A77A"/>
    <w:rsid w:val="5531EDC3"/>
    <w:rsid w:val="55322ABE"/>
    <w:rsid w:val="553244C7"/>
    <w:rsid w:val="553374F3"/>
    <w:rsid w:val="55338815"/>
    <w:rsid w:val="55340440"/>
    <w:rsid w:val="55344E2F"/>
    <w:rsid w:val="553506C1"/>
    <w:rsid w:val="55352C80"/>
    <w:rsid w:val="55357686"/>
    <w:rsid w:val="553654FE"/>
    <w:rsid w:val="55366173"/>
    <w:rsid w:val="5536EF3D"/>
    <w:rsid w:val="55371445"/>
    <w:rsid w:val="5537A3F3"/>
    <w:rsid w:val="5538D638"/>
    <w:rsid w:val="5538F4F2"/>
    <w:rsid w:val="553939F8"/>
    <w:rsid w:val="553A13E2"/>
    <w:rsid w:val="553A3804"/>
    <w:rsid w:val="553A5173"/>
    <w:rsid w:val="553A973F"/>
    <w:rsid w:val="553AB8D3"/>
    <w:rsid w:val="553B55E1"/>
    <w:rsid w:val="553BDA12"/>
    <w:rsid w:val="553BDDFA"/>
    <w:rsid w:val="553C3E4E"/>
    <w:rsid w:val="553C6EC2"/>
    <w:rsid w:val="553C9355"/>
    <w:rsid w:val="553CF50B"/>
    <w:rsid w:val="553D096B"/>
    <w:rsid w:val="553D241C"/>
    <w:rsid w:val="553D5789"/>
    <w:rsid w:val="553DB5AC"/>
    <w:rsid w:val="553F3E37"/>
    <w:rsid w:val="553F51E3"/>
    <w:rsid w:val="55405615"/>
    <w:rsid w:val="55418F5E"/>
    <w:rsid w:val="554212C4"/>
    <w:rsid w:val="55425F63"/>
    <w:rsid w:val="554271C3"/>
    <w:rsid w:val="55434BE7"/>
    <w:rsid w:val="5544F7AA"/>
    <w:rsid w:val="55457ED6"/>
    <w:rsid w:val="554599EA"/>
    <w:rsid w:val="554854DF"/>
    <w:rsid w:val="5549BC09"/>
    <w:rsid w:val="5549DD5A"/>
    <w:rsid w:val="554A3C88"/>
    <w:rsid w:val="554C579F"/>
    <w:rsid w:val="554C6AE7"/>
    <w:rsid w:val="554C7174"/>
    <w:rsid w:val="554CBADD"/>
    <w:rsid w:val="554D7253"/>
    <w:rsid w:val="554E1AD2"/>
    <w:rsid w:val="554EB20E"/>
    <w:rsid w:val="554F9888"/>
    <w:rsid w:val="5552D5A1"/>
    <w:rsid w:val="5552E2F7"/>
    <w:rsid w:val="5553C0E9"/>
    <w:rsid w:val="5554903C"/>
    <w:rsid w:val="5554FAB7"/>
    <w:rsid w:val="55558A2F"/>
    <w:rsid w:val="5555DF4E"/>
    <w:rsid w:val="5556B45C"/>
    <w:rsid w:val="55571C30"/>
    <w:rsid w:val="55572296"/>
    <w:rsid w:val="5557303C"/>
    <w:rsid w:val="5557F721"/>
    <w:rsid w:val="55581905"/>
    <w:rsid w:val="5558326D"/>
    <w:rsid w:val="5558AF2F"/>
    <w:rsid w:val="55590A51"/>
    <w:rsid w:val="5559290D"/>
    <w:rsid w:val="5559880F"/>
    <w:rsid w:val="555A2F21"/>
    <w:rsid w:val="555B4907"/>
    <w:rsid w:val="555C141A"/>
    <w:rsid w:val="555C48F8"/>
    <w:rsid w:val="555CBB2C"/>
    <w:rsid w:val="555D589B"/>
    <w:rsid w:val="555DFAB5"/>
    <w:rsid w:val="555E9C10"/>
    <w:rsid w:val="555FE551"/>
    <w:rsid w:val="5560D399"/>
    <w:rsid w:val="556200FA"/>
    <w:rsid w:val="5562D98B"/>
    <w:rsid w:val="5562EB54"/>
    <w:rsid w:val="55630F2C"/>
    <w:rsid w:val="55643D7F"/>
    <w:rsid w:val="55648BDA"/>
    <w:rsid w:val="5564E575"/>
    <w:rsid w:val="55651BB7"/>
    <w:rsid w:val="55656294"/>
    <w:rsid w:val="5565760A"/>
    <w:rsid w:val="55665A92"/>
    <w:rsid w:val="5566B573"/>
    <w:rsid w:val="556714EA"/>
    <w:rsid w:val="5567E593"/>
    <w:rsid w:val="556813B3"/>
    <w:rsid w:val="55683307"/>
    <w:rsid w:val="5568E855"/>
    <w:rsid w:val="556915F2"/>
    <w:rsid w:val="55694EF2"/>
    <w:rsid w:val="556A93EB"/>
    <w:rsid w:val="556AA49A"/>
    <w:rsid w:val="556B48EF"/>
    <w:rsid w:val="556BBF0C"/>
    <w:rsid w:val="556BCBC7"/>
    <w:rsid w:val="556C5126"/>
    <w:rsid w:val="556CBC1C"/>
    <w:rsid w:val="556CC72B"/>
    <w:rsid w:val="556D3DFE"/>
    <w:rsid w:val="556D4EB3"/>
    <w:rsid w:val="556D82E8"/>
    <w:rsid w:val="556D98D6"/>
    <w:rsid w:val="556E235B"/>
    <w:rsid w:val="556E3C77"/>
    <w:rsid w:val="556EAF9C"/>
    <w:rsid w:val="556EC484"/>
    <w:rsid w:val="5570127B"/>
    <w:rsid w:val="55705D09"/>
    <w:rsid w:val="5570B248"/>
    <w:rsid w:val="5571A4F2"/>
    <w:rsid w:val="5571C8EE"/>
    <w:rsid w:val="55721242"/>
    <w:rsid w:val="55725C17"/>
    <w:rsid w:val="55737364"/>
    <w:rsid w:val="557441AC"/>
    <w:rsid w:val="55745809"/>
    <w:rsid w:val="55745870"/>
    <w:rsid w:val="5574BDDA"/>
    <w:rsid w:val="557591B4"/>
    <w:rsid w:val="55760C96"/>
    <w:rsid w:val="5576B9D1"/>
    <w:rsid w:val="5577151F"/>
    <w:rsid w:val="55778B46"/>
    <w:rsid w:val="5578644E"/>
    <w:rsid w:val="55789C60"/>
    <w:rsid w:val="5578F69A"/>
    <w:rsid w:val="5579405B"/>
    <w:rsid w:val="5579458A"/>
    <w:rsid w:val="55796837"/>
    <w:rsid w:val="55799C3B"/>
    <w:rsid w:val="5579AED7"/>
    <w:rsid w:val="557A4BDA"/>
    <w:rsid w:val="557B3B63"/>
    <w:rsid w:val="557B4EC5"/>
    <w:rsid w:val="557B9D6E"/>
    <w:rsid w:val="557BB8BD"/>
    <w:rsid w:val="557C0572"/>
    <w:rsid w:val="557C1B70"/>
    <w:rsid w:val="557D4FBA"/>
    <w:rsid w:val="557D69B2"/>
    <w:rsid w:val="557DBFC3"/>
    <w:rsid w:val="557E0361"/>
    <w:rsid w:val="557E1704"/>
    <w:rsid w:val="557E6D6F"/>
    <w:rsid w:val="557F51FF"/>
    <w:rsid w:val="5580A7DB"/>
    <w:rsid w:val="5580CEE0"/>
    <w:rsid w:val="55815F71"/>
    <w:rsid w:val="5581BA85"/>
    <w:rsid w:val="5581D5D1"/>
    <w:rsid w:val="55823549"/>
    <w:rsid w:val="5582AF96"/>
    <w:rsid w:val="558429FE"/>
    <w:rsid w:val="55847DF3"/>
    <w:rsid w:val="5585BC92"/>
    <w:rsid w:val="558601AD"/>
    <w:rsid w:val="558615B7"/>
    <w:rsid w:val="5586733E"/>
    <w:rsid w:val="5586AE62"/>
    <w:rsid w:val="5587FC83"/>
    <w:rsid w:val="558869F0"/>
    <w:rsid w:val="5589B677"/>
    <w:rsid w:val="558A1036"/>
    <w:rsid w:val="558A1A3E"/>
    <w:rsid w:val="558ADC98"/>
    <w:rsid w:val="558AF731"/>
    <w:rsid w:val="558C9396"/>
    <w:rsid w:val="558DA49D"/>
    <w:rsid w:val="558DC71D"/>
    <w:rsid w:val="558DFA00"/>
    <w:rsid w:val="558E19DC"/>
    <w:rsid w:val="558E5E6B"/>
    <w:rsid w:val="558EB983"/>
    <w:rsid w:val="558F2375"/>
    <w:rsid w:val="558F5F13"/>
    <w:rsid w:val="558FB56E"/>
    <w:rsid w:val="5590D3F6"/>
    <w:rsid w:val="55916ED5"/>
    <w:rsid w:val="55919A71"/>
    <w:rsid w:val="5592E20D"/>
    <w:rsid w:val="5593C865"/>
    <w:rsid w:val="559488E0"/>
    <w:rsid w:val="55950D78"/>
    <w:rsid w:val="5595175F"/>
    <w:rsid w:val="559543F0"/>
    <w:rsid w:val="5595B24B"/>
    <w:rsid w:val="5595C2E0"/>
    <w:rsid w:val="5596C9C1"/>
    <w:rsid w:val="5596E5B9"/>
    <w:rsid w:val="5598E1BA"/>
    <w:rsid w:val="5598FBA6"/>
    <w:rsid w:val="55991A25"/>
    <w:rsid w:val="55996C27"/>
    <w:rsid w:val="5599DCAA"/>
    <w:rsid w:val="559A3CB8"/>
    <w:rsid w:val="559B24C5"/>
    <w:rsid w:val="559BA55D"/>
    <w:rsid w:val="559BC094"/>
    <w:rsid w:val="559BFC34"/>
    <w:rsid w:val="559DD981"/>
    <w:rsid w:val="559E21FC"/>
    <w:rsid w:val="559ED662"/>
    <w:rsid w:val="559F6E7B"/>
    <w:rsid w:val="559FBBB4"/>
    <w:rsid w:val="559FDA57"/>
    <w:rsid w:val="559FE771"/>
    <w:rsid w:val="55A00A89"/>
    <w:rsid w:val="55A02B31"/>
    <w:rsid w:val="55A054DD"/>
    <w:rsid w:val="55A109EA"/>
    <w:rsid w:val="55A15273"/>
    <w:rsid w:val="55A1EC86"/>
    <w:rsid w:val="55A21EFA"/>
    <w:rsid w:val="55A2693A"/>
    <w:rsid w:val="55A26D12"/>
    <w:rsid w:val="55A2C1CC"/>
    <w:rsid w:val="55A3197F"/>
    <w:rsid w:val="55A341B5"/>
    <w:rsid w:val="55A391EB"/>
    <w:rsid w:val="55A42688"/>
    <w:rsid w:val="55A45EB7"/>
    <w:rsid w:val="55A4AF75"/>
    <w:rsid w:val="55A733F5"/>
    <w:rsid w:val="55A764AF"/>
    <w:rsid w:val="55A84DAC"/>
    <w:rsid w:val="55A92DAE"/>
    <w:rsid w:val="55AA763F"/>
    <w:rsid w:val="55AB23E0"/>
    <w:rsid w:val="55AB80E8"/>
    <w:rsid w:val="55ABC1D6"/>
    <w:rsid w:val="55AC5854"/>
    <w:rsid w:val="55AC6779"/>
    <w:rsid w:val="55AC69EB"/>
    <w:rsid w:val="55ACEB1F"/>
    <w:rsid w:val="55ADDD26"/>
    <w:rsid w:val="55AE2F19"/>
    <w:rsid w:val="55AE32AA"/>
    <w:rsid w:val="55AE5625"/>
    <w:rsid w:val="55AEB779"/>
    <w:rsid w:val="55AEF3BE"/>
    <w:rsid w:val="55B04ABB"/>
    <w:rsid w:val="55B05170"/>
    <w:rsid w:val="55B08202"/>
    <w:rsid w:val="55B1B7CD"/>
    <w:rsid w:val="55B22FDE"/>
    <w:rsid w:val="55B2650B"/>
    <w:rsid w:val="55B2CF25"/>
    <w:rsid w:val="55B30423"/>
    <w:rsid w:val="55B339AA"/>
    <w:rsid w:val="55B37139"/>
    <w:rsid w:val="55B396AE"/>
    <w:rsid w:val="55B3DDA3"/>
    <w:rsid w:val="55B3F42C"/>
    <w:rsid w:val="55B43F28"/>
    <w:rsid w:val="55B450BF"/>
    <w:rsid w:val="55B4B879"/>
    <w:rsid w:val="55B4F249"/>
    <w:rsid w:val="55B5193A"/>
    <w:rsid w:val="55B5B1EB"/>
    <w:rsid w:val="55B5F57D"/>
    <w:rsid w:val="55B65F3E"/>
    <w:rsid w:val="55B69B38"/>
    <w:rsid w:val="55B7B523"/>
    <w:rsid w:val="55B87C55"/>
    <w:rsid w:val="55BA2F26"/>
    <w:rsid w:val="55BB4B27"/>
    <w:rsid w:val="55BBF2EB"/>
    <w:rsid w:val="55BD1A34"/>
    <w:rsid w:val="55BD241D"/>
    <w:rsid w:val="55BDC855"/>
    <w:rsid w:val="55BE2970"/>
    <w:rsid w:val="55BE5190"/>
    <w:rsid w:val="55BF776E"/>
    <w:rsid w:val="55BF80CA"/>
    <w:rsid w:val="55C011CD"/>
    <w:rsid w:val="55C0A586"/>
    <w:rsid w:val="55C0C454"/>
    <w:rsid w:val="55C125DA"/>
    <w:rsid w:val="55C129AC"/>
    <w:rsid w:val="55C2160F"/>
    <w:rsid w:val="55C22949"/>
    <w:rsid w:val="55C245D1"/>
    <w:rsid w:val="55C2A3CE"/>
    <w:rsid w:val="55C2C5BD"/>
    <w:rsid w:val="55C2F31F"/>
    <w:rsid w:val="55C2F8AD"/>
    <w:rsid w:val="55C371FB"/>
    <w:rsid w:val="55C3D998"/>
    <w:rsid w:val="55C3E2F8"/>
    <w:rsid w:val="55C48624"/>
    <w:rsid w:val="55C49922"/>
    <w:rsid w:val="55C5E6B3"/>
    <w:rsid w:val="55C60D21"/>
    <w:rsid w:val="55C65D69"/>
    <w:rsid w:val="55C6EE2F"/>
    <w:rsid w:val="55C6FD2B"/>
    <w:rsid w:val="55C79091"/>
    <w:rsid w:val="55C84DF2"/>
    <w:rsid w:val="55C88FB8"/>
    <w:rsid w:val="55C9DA34"/>
    <w:rsid w:val="55C9E136"/>
    <w:rsid w:val="55CA6FFD"/>
    <w:rsid w:val="55CA7919"/>
    <w:rsid w:val="55CA9133"/>
    <w:rsid w:val="55CAC709"/>
    <w:rsid w:val="55CCB34B"/>
    <w:rsid w:val="55CCB6BA"/>
    <w:rsid w:val="55CD16E3"/>
    <w:rsid w:val="55CD4FB0"/>
    <w:rsid w:val="55CDFEB8"/>
    <w:rsid w:val="55CEDF06"/>
    <w:rsid w:val="55CEE35D"/>
    <w:rsid w:val="55CF4DDE"/>
    <w:rsid w:val="55CF5F1C"/>
    <w:rsid w:val="55D0FC92"/>
    <w:rsid w:val="55D1693C"/>
    <w:rsid w:val="55D1FDD9"/>
    <w:rsid w:val="55D21541"/>
    <w:rsid w:val="55D29EDF"/>
    <w:rsid w:val="55D2A2C3"/>
    <w:rsid w:val="55D42965"/>
    <w:rsid w:val="55D4BC32"/>
    <w:rsid w:val="55D4D13C"/>
    <w:rsid w:val="55D53076"/>
    <w:rsid w:val="55D557E4"/>
    <w:rsid w:val="55D5B76D"/>
    <w:rsid w:val="55D5D404"/>
    <w:rsid w:val="55D5F095"/>
    <w:rsid w:val="55D60A0A"/>
    <w:rsid w:val="55D6183B"/>
    <w:rsid w:val="55D6FA26"/>
    <w:rsid w:val="55D7180E"/>
    <w:rsid w:val="55D76F69"/>
    <w:rsid w:val="55D81D12"/>
    <w:rsid w:val="55D9892C"/>
    <w:rsid w:val="55DA22CC"/>
    <w:rsid w:val="55DB6D5C"/>
    <w:rsid w:val="55DBEA25"/>
    <w:rsid w:val="55DD0D04"/>
    <w:rsid w:val="55DD1354"/>
    <w:rsid w:val="55DD3544"/>
    <w:rsid w:val="55DD4873"/>
    <w:rsid w:val="55DD835A"/>
    <w:rsid w:val="55DF7C07"/>
    <w:rsid w:val="55DF7CB4"/>
    <w:rsid w:val="55DFE205"/>
    <w:rsid w:val="55DFFB9B"/>
    <w:rsid w:val="55E0172F"/>
    <w:rsid w:val="55E0AD5E"/>
    <w:rsid w:val="55E23271"/>
    <w:rsid w:val="55E34609"/>
    <w:rsid w:val="55E35F84"/>
    <w:rsid w:val="55E4D490"/>
    <w:rsid w:val="55E6D347"/>
    <w:rsid w:val="55E7866D"/>
    <w:rsid w:val="55E87CD8"/>
    <w:rsid w:val="55E8B801"/>
    <w:rsid w:val="55E9626B"/>
    <w:rsid w:val="55E9C2B7"/>
    <w:rsid w:val="55EA85C5"/>
    <w:rsid w:val="55EABB19"/>
    <w:rsid w:val="55EB9F19"/>
    <w:rsid w:val="55EC01CA"/>
    <w:rsid w:val="55EC6B56"/>
    <w:rsid w:val="55EC8882"/>
    <w:rsid w:val="55EE717A"/>
    <w:rsid w:val="55EE7F49"/>
    <w:rsid w:val="55EF744B"/>
    <w:rsid w:val="55F109BB"/>
    <w:rsid w:val="55F1B1E8"/>
    <w:rsid w:val="55F2D879"/>
    <w:rsid w:val="55F2E86F"/>
    <w:rsid w:val="55F34C42"/>
    <w:rsid w:val="55F376CC"/>
    <w:rsid w:val="55F3EFF4"/>
    <w:rsid w:val="55F53E52"/>
    <w:rsid w:val="55F5F653"/>
    <w:rsid w:val="55F62F90"/>
    <w:rsid w:val="55F63654"/>
    <w:rsid w:val="55F64113"/>
    <w:rsid w:val="55F6F598"/>
    <w:rsid w:val="55F80E29"/>
    <w:rsid w:val="55F85A2B"/>
    <w:rsid w:val="55F87B83"/>
    <w:rsid w:val="55F8967F"/>
    <w:rsid w:val="55F8C783"/>
    <w:rsid w:val="55F98C45"/>
    <w:rsid w:val="55F9A8E1"/>
    <w:rsid w:val="55FA1266"/>
    <w:rsid w:val="55FAD18A"/>
    <w:rsid w:val="55FBD959"/>
    <w:rsid w:val="55FBF3D2"/>
    <w:rsid w:val="55FC455F"/>
    <w:rsid w:val="55FCEA7D"/>
    <w:rsid w:val="55FD9FCF"/>
    <w:rsid w:val="55FE243F"/>
    <w:rsid w:val="55FEF14C"/>
    <w:rsid w:val="55FF91A4"/>
    <w:rsid w:val="55FFE1F2"/>
    <w:rsid w:val="55FFE861"/>
    <w:rsid w:val="56001764"/>
    <w:rsid w:val="5600DD00"/>
    <w:rsid w:val="5600F91A"/>
    <w:rsid w:val="56033C7D"/>
    <w:rsid w:val="5605ACD7"/>
    <w:rsid w:val="56062FFD"/>
    <w:rsid w:val="560744EB"/>
    <w:rsid w:val="56077FCC"/>
    <w:rsid w:val="5607E75E"/>
    <w:rsid w:val="56080CBE"/>
    <w:rsid w:val="560961AD"/>
    <w:rsid w:val="560AFD85"/>
    <w:rsid w:val="560B5DFD"/>
    <w:rsid w:val="560B630D"/>
    <w:rsid w:val="560BBDF6"/>
    <w:rsid w:val="560BE9A2"/>
    <w:rsid w:val="560BF75D"/>
    <w:rsid w:val="560C4BB2"/>
    <w:rsid w:val="560D1316"/>
    <w:rsid w:val="560D4D6D"/>
    <w:rsid w:val="560DEA2F"/>
    <w:rsid w:val="560DF5F0"/>
    <w:rsid w:val="560E559E"/>
    <w:rsid w:val="560F1441"/>
    <w:rsid w:val="560FB689"/>
    <w:rsid w:val="56104EDF"/>
    <w:rsid w:val="5610ACFB"/>
    <w:rsid w:val="5610C471"/>
    <w:rsid w:val="56113391"/>
    <w:rsid w:val="5611630B"/>
    <w:rsid w:val="5611FD16"/>
    <w:rsid w:val="56132420"/>
    <w:rsid w:val="56133262"/>
    <w:rsid w:val="56137D0A"/>
    <w:rsid w:val="5613B960"/>
    <w:rsid w:val="5613FA59"/>
    <w:rsid w:val="5615B837"/>
    <w:rsid w:val="56163E69"/>
    <w:rsid w:val="56169CB7"/>
    <w:rsid w:val="5616D166"/>
    <w:rsid w:val="5616E7DF"/>
    <w:rsid w:val="5616FAC2"/>
    <w:rsid w:val="5617D3F7"/>
    <w:rsid w:val="561829C3"/>
    <w:rsid w:val="56191681"/>
    <w:rsid w:val="56195662"/>
    <w:rsid w:val="5619885E"/>
    <w:rsid w:val="5619B5F3"/>
    <w:rsid w:val="561AF917"/>
    <w:rsid w:val="561C2F45"/>
    <w:rsid w:val="561C44CC"/>
    <w:rsid w:val="561C7FF7"/>
    <w:rsid w:val="561CB236"/>
    <w:rsid w:val="561D1056"/>
    <w:rsid w:val="561D1A7E"/>
    <w:rsid w:val="561EC538"/>
    <w:rsid w:val="561EEAE6"/>
    <w:rsid w:val="561EFBBC"/>
    <w:rsid w:val="561F1C70"/>
    <w:rsid w:val="561F557D"/>
    <w:rsid w:val="561F99D9"/>
    <w:rsid w:val="56210318"/>
    <w:rsid w:val="5621D573"/>
    <w:rsid w:val="5621E314"/>
    <w:rsid w:val="5623DA8E"/>
    <w:rsid w:val="56243FDF"/>
    <w:rsid w:val="5624B350"/>
    <w:rsid w:val="5624EADE"/>
    <w:rsid w:val="56253294"/>
    <w:rsid w:val="56263495"/>
    <w:rsid w:val="56266762"/>
    <w:rsid w:val="56271F0F"/>
    <w:rsid w:val="56279A33"/>
    <w:rsid w:val="5627D827"/>
    <w:rsid w:val="56288263"/>
    <w:rsid w:val="5628C3A3"/>
    <w:rsid w:val="5628CDCA"/>
    <w:rsid w:val="56291DB4"/>
    <w:rsid w:val="562962B3"/>
    <w:rsid w:val="562968DD"/>
    <w:rsid w:val="562979C7"/>
    <w:rsid w:val="562A11B0"/>
    <w:rsid w:val="562A6E99"/>
    <w:rsid w:val="562AAB1A"/>
    <w:rsid w:val="562D36D7"/>
    <w:rsid w:val="562D71DA"/>
    <w:rsid w:val="562DE41B"/>
    <w:rsid w:val="562EE080"/>
    <w:rsid w:val="562FAEE1"/>
    <w:rsid w:val="562FCF99"/>
    <w:rsid w:val="56302383"/>
    <w:rsid w:val="5631284E"/>
    <w:rsid w:val="5632201E"/>
    <w:rsid w:val="56322FF4"/>
    <w:rsid w:val="5632ECA7"/>
    <w:rsid w:val="563334DA"/>
    <w:rsid w:val="56336D02"/>
    <w:rsid w:val="5633D1F5"/>
    <w:rsid w:val="5633DF42"/>
    <w:rsid w:val="56363F35"/>
    <w:rsid w:val="56373A31"/>
    <w:rsid w:val="56376A49"/>
    <w:rsid w:val="5637A7B6"/>
    <w:rsid w:val="5637D75B"/>
    <w:rsid w:val="5637DE9E"/>
    <w:rsid w:val="5638D458"/>
    <w:rsid w:val="5639047B"/>
    <w:rsid w:val="5639047C"/>
    <w:rsid w:val="56390A63"/>
    <w:rsid w:val="563949EF"/>
    <w:rsid w:val="563A3E5F"/>
    <w:rsid w:val="563B259B"/>
    <w:rsid w:val="563C0CA8"/>
    <w:rsid w:val="563D4CB7"/>
    <w:rsid w:val="563E7FF3"/>
    <w:rsid w:val="563EF67C"/>
    <w:rsid w:val="563F5A9D"/>
    <w:rsid w:val="563FB4B8"/>
    <w:rsid w:val="56400C89"/>
    <w:rsid w:val="5640E390"/>
    <w:rsid w:val="5640E86D"/>
    <w:rsid w:val="5641228F"/>
    <w:rsid w:val="564149B3"/>
    <w:rsid w:val="56418FE5"/>
    <w:rsid w:val="56421A25"/>
    <w:rsid w:val="5642C579"/>
    <w:rsid w:val="564313F0"/>
    <w:rsid w:val="564320AD"/>
    <w:rsid w:val="564333AE"/>
    <w:rsid w:val="56435ACC"/>
    <w:rsid w:val="5644B05F"/>
    <w:rsid w:val="5644FFD1"/>
    <w:rsid w:val="5645240C"/>
    <w:rsid w:val="5645F2AC"/>
    <w:rsid w:val="56468C32"/>
    <w:rsid w:val="56469024"/>
    <w:rsid w:val="564738D7"/>
    <w:rsid w:val="564749E1"/>
    <w:rsid w:val="56476D4C"/>
    <w:rsid w:val="5647EE2F"/>
    <w:rsid w:val="5648AD91"/>
    <w:rsid w:val="564A339E"/>
    <w:rsid w:val="564A78CB"/>
    <w:rsid w:val="564B1F6E"/>
    <w:rsid w:val="564C3D35"/>
    <w:rsid w:val="564CC4A3"/>
    <w:rsid w:val="564D4DE0"/>
    <w:rsid w:val="564D5C2B"/>
    <w:rsid w:val="564D69A2"/>
    <w:rsid w:val="564DABD2"/>
    <w:rsid w:val="564DE682"/>
    <w:rsid w:val="564E4D76"/>
    <w:rsid w:val="564EE857"/>
    <w:rsid w:val="564F8A4C"/>
    <w:rsid w:val="564F8C6D"/>
    <w:rsid w:val="564FD981"/>
    <w:rsid w:val="5650A628"/>
    <w:rsid w:val="5650B4D7"/>
    <w:rsid w:val="5650F925"/>
    <w:rsid w:val="5650FDD7"/>
    <w:rsid w:val="56524874"/>
    <w:rsid w:val="56525117"/>
    <w:rsid w:val="565252F9"/>
    <w:rsid w:val="565253D0"/>
    <w:rsid w:val="565341D5"/>
    <w:rsid w:val="5653CAEE"/>
    <w:rsid w:val="5655F236"/>
    <w:rsid w:val="565679A0"/>
    <w:rsid w:val="5656B031"/>
    <w:rsid w:val="5659B50A"/>
    <w:rsid w:val="565A373C"/>
    <w:rsid w:val="565AC4F2"/>
    <w:rsid w:val="565B040B"/>
    <w:rsid w:val="565B96FD"/>
    <w:rsid w:val="565B9991"/>
    <w:rsid w:val="565C1546"/>
    <w:rsid w:val="565C1CBC"/>
    <w:rsid w:val="565C2C97"/>
    <w:rsid w:val="565C2FA9"/>
    <w:rsid w:val="565D2AE4"/>
    <w:rsid w:val="565D3619"/>
    <w:rsid w:val="565DA04B"/>
    <w:rsid w:val="565DED6F"/>
    <w:rsid w:val="565DFD1B"/>
    <w:rsid w:val="565E18DD"/>
    <w:rsid w:val="565E628E"/>
    <w:rsid w:val="565F4E7B"/>
    <w:rsid w:val="565FC25D"/>
    <w:rsid w:val="566076BD"/>
    <w:rsid w:val="5660CD2A"/>
    <w:rsid w:val="56622DED"/>
    <w:rsid w:val="56623852"/>
    <w:rsid w:val="56627D4F"/>
    <w:rsid w:val="566348A6"/>
    <w:rsid w:val="56643D35"/>
    <w:rsid w:val="56645879"/>
    <w:rsid w:val="56645E9B"/>
    <w:rsid w:val="5664875C"/>
    <w:rsid w:val="56657127"/>
    <w:rsid w:val="566590A4"/>
    <w:rsid w:val="5665981C"/>
    <w:rsid w:val="5667BBCC"/>
    <w:rsid w:val="56684F56"/>
    <w:rsid w:val="56688824"/>
    <w:rsid w:val="5669AD70"/>
    <w:rsid w:val="566A05B9"/>
    <w:rsid w:val="566A5493"/>
    <w:rsid w:val="566BC422"/>
    <w:rsid w:val="566D0F7D"/>
    <w:rsid w:val="566D485C"/>
    <w:rsid w:val="566E1203"/>
    <w:rsid w:val="56703E0B"/>
    <w:rsid w:val="56704B51"/>
    <w:rsid w:val="5670B223"/>
    <w:rsid w:val="5671116A"/>
    <w:rsid w:val="56714D79"/>
    <w:rsid w:val="5671D012"/>
    <w:rsid w:val="567283BC"/>
    <w:rsid w:val="56732804"/>
    <w:rsid w:val="56737F7F"/>
    <w:rsid w:val="567491F5"/>
    <w:rsid w:val="5674D46C"/>
    <w:rsid w:val="5674FE97"/>
    <w:rsid w:val="56751982"/>
    <w:rsid w:val="56754978"/>
    <w:rsid w:val="567626ED"/>
    <w:rsid w:val="5676332C"/>
    <w:rsid w:val="5676404B"/>
    <w:rsid w:val="5676518D"/>
    <w:rsid w:val="5676AE02"/>
    <w:rsid w:val="5676FD8A"/>
    <w:rsid w:val="5677B9D5"/>
    <w:rsid w:val="5678E45C"/>
    <w:rsid w:val="567931F1"/>
    <w:rsid w:val="567931FF"/>
    <w:rsid w:val="56793755"/>
    <w:rsid w:val="5679670C"/>
    <w:rsid w:val="567967D8"/>
    <w:rsid w:val="5679B239"/>
    <w:rsid w:val="5679B819"/>
    <w:rsid w:val="567A260E"/>
    <w:rsid w:val="567B4E73"/>
    <w:rsid w:val="567BDFF5"/>
    <w:rsid w:val="567C1C38"/>
    <w:rsid w:val="567D00AA"/>
    <w:rsid w:val="567D53B1"/>
    <w:rsid w:val="567D5DFD"/>
    <w:rsid w:val="567DD187"/>
    <w:rsid w:val="567DD96D"/>
    <w:rsid w:val="567F1874"/>
    <w:rsid w:val="567F76DB"/>
    <w:rsid w:val="568138B2"/>
    <w:rsid w:val="568164D3"/>
    <w:rsid w:val="56836E55"/>
    <w:rsid w:val="5684888B"/>
    <w:rsid w:val="568488A4"/>
    <w:rsid w:val="56859B9F"/>
    <w:rsid w:val="5686087B"/>
    <w:rsid w:val="5686A4BF"/>
    <w:rsid w:val="56874BD9"/>
    <w:rsid w:val="56877FBF"/>
    <w:rsid w:val="5687AB2F"/>
    <w:rsid w:val="5687C03F"/>
    <w:rsid w:val="56881243"/>
    <w:rsid w:val="5688718E"/>
    <w:rsid w:val="5688F736"/>
    <w:rsid w:val="5688F8C1"/>
    <w:rsid w:val="5689BEB7"/>
    <w:rsid w:val="568A2841"/>
    <w:rsid w:val="568A4795"/>
    <w:rsid w:val="568C31B9"/>
    <w:rsid w:val="568D482C"/>
    <w:rsid w:val="568D774C"/>
    <w:rsid w:val="568E31DD"/>
    <w:rsid w:val="568EF43C"/>
    <w:rsid w:val="568F1C11"/>
    <w:rsid w:val="568F6BDD"/>
    <w:rsid w:val="568FF614"/>
    <w:rsid w:val="569021AE"/>
    <w:rsid w:val="5690423C"/>
    <w:rsid w:val="5690FA29"/>
    <w:rsid w:val="5691189F"/>
    <w:rsid w:val="5691316C"/>
    <w:rsid w:val="56913BCF"/>
    <w:rsid w:val="56917338"/>
    <w:rsid w:val="569324E3"/>
    <w:rsid w:val="56936D6D"/>
    <w:rsid w:val="5693CD12"/>
    <w:rsid w:val="569413EB"/>
    <w:rsid w:val="56954D1F"/>
    <w:rsid w:val="56964451"/>
    <w:rsid w:val="5696EC28"/>
    <w:rsid w:val="5697CC40"/>
    <w:rsid w:val="5697EB8C"/>
    <w:rsid w:val="56989407"/>
    <w:rsid w:val="56997691"/>
    <w:rsid w:val="569AC943"/>
    <w:rsid w:val="569ACE44"/>
    <w:rsid w:val="569B35C8"/>
    <w:rsid w:val="569B4D50"/>
    <w:rsid w:val="569B6568"/>
    <w:rsid w:val="569B740E"/>
    <w:rsid w:val="569B81AA"/>
    <w:rsid w:val="569BF2AF"/>
    <w:rsid w:val="569C39B6"/>
    <w:rsid w:val="569DD87B"/>
    <w:rsid w:val="569F375E"/>
    <w:rsid w:val="569FAE3F"/>
    <w:rsid w:val="56A06A93"/>
    <w:rsid w:val="56A08285"/>
    <w:rsid w:val="56A0ECAA"/>
    <w:rsid w:val="56A11408"/>
    <w:rsid w:val="56A12AB6"/>
    <w:rsid w:val="56A14FB0"/>
    <w:rsid w:val="56A15FE9"/>
    <w:rsid w:val="56A18247"/>
    <w:rsid w:val="56A19D56"/>
    <w:rsid w:val="56A228A8"/>
    <w:rsid w:val="56A22E4F"/>
    <w:rsid w:val="56A2A664"/>
    <w:rsid w:val="56A2CFDB"/>
    <w:rsid w:val="56A391E6"/>
    <w:rsid w:val="56A3D3A7"/>
    <w:rsid w:val="56A42485"/>
    <w:rsid w:val="56A442F3"/>
    <w:rsid w:val="56A48C94"/>
    <w:rsid w:val="56A5368F"/>
    <w:rsid w:val="56A53910"/>
    <w:rsid w:val="56A5B5CC"/>
    <w:rsid w:val="56A5D072"/>
    <w:rsid w:val="56A60721"/>
    <w:rsid w:val="56A68BFE"/>
    <w:rsid w:val="56A793B1"/>
    <w:rsid w:val="56A7D0F6"/>
    <w:rsid w:val="56A7E1DC"/>
    <w:rsid w:val="56A804D0"/>
    <w:rsid w:val="56A8639C"/>
    <w:rsid w:val="56A8A8B4"/>
    <w:rsid w:val="56A8B775"/>
    <w:rsid w:val="56A8EE4F"/>
    <w:rsid w:val="56A8FC52"/>
    <w:rsid w:val="56A90B2B"/>
    <w:rsid w:val="56A98A15"/>
    <w:rsid w:val="56A9E27C"/>
    <w:rsid w:val="56AA90E7"/>
    <w:rsid w:val="56ABDF02"/>
    <w:rsid w:val="56ACEEDF"/>
    <w:rsid w:val="56AD629A"/>
    <w:rsid w:val="56AE792E"/>
    <w:rsid w:val="56B0130A"/>
    <w:rsid w:val="56B063A0"/>
    <w:rsid w:val="56B13EAD"/>
    <w:rsid w:val="56B19E97"/>
    <w:rsid w:val="56B1ACD6"/>
    <w:rsid w:val="56B2562D"/>
    <w:rsid w:val="56B3E875"/>
    <w:rsid w:val="56B41CA6"/>
    <w:rsid w:val="56B47AEF"/>
    <w:rsid w:val="56B4A057"/>
    <w:rsid w:val="56B6F1DB"/>
    <w:rsid w:val="56B765CD"/>
    <w:rsid w:val="56B7C09E"/>
    <w:rsid w:val="56B86DE3"/>
    <w:rsid w:val="56B8B214"/>
    <w:rsid w:val="56B8D13A"/>
    <w:rsid w:val="56B8E62B"/>
    <w:rsid w:val="56B8E96C"/>
    <w:rsid w:val="56B94DA8"/>
    <w:rsid w:val="56B96A5F"/>
    <w:rsid w:val="56B9D23C"/>
    <w:rsid w:val="56BA23D8"/>
    <w:rsid w:val="56BA515E"/>
    <w:rsid w:val="56BB82B4"/>
    <w:rsid w:val="56BBF8E2"/>
    <w:rsid w:val="56BC0C6A"/>
    <w:rsid w:val="56BC6D87"/>
    <w:rsid w:val="56BCB374"/>
    <w:rsid w:val="56BD9783"/>
    <w:rsid w:val="56BDBCB1"/>
    <w:rsid w:val="56BDD0F5"/>
    <w:rsid w:val="56BECF2B"/>
    <w:rsid w:val="56BF4E40"/>
    <w:rsid w:val="56BF52E6"/>
    <w:rsid w:val="56C0EBEA"/>
    <w:rsid w:val="56C144D8"/>
    <w:rsid w:val="56C155A2"/>
    <w:rsid w:val="56C158B1"/>
    <w:rsid w:val="56C16E91"/>
    <w:rsid w:val="56C19AFD"/>
    <w:rsid w:val="56C37279"/>
    <w:rsid w:val="56C381D7"/>
    <w:rsid w:val="56C3F048"/>
    <w:rsid w:val="56C566DE"/>
    <w:rsid w:val="56C57F50"/>
    <w:rsid w:val="56C5937C"/>
    <w:rsid w:val="56C69A95"/>
    <w:rsid w:val="56C754F7"/>
    <w:rsid w:val="56C7D665"/>
    <w:rsid w:val="56C83639"/>
    <w:rsid w:val="56C87C03"/>
    <w:rsid w:val="56C90300"/>
    <w:rsid w:val="56C99FB4"/>
    <w:rsid w:val="56CA8DD1"/>
    <w:rsid w:val="56CB14C1"/>
    <w:rsid w:val="56CB883E"/>
    <w:rsid w:val="56CBAA06"/>
    <w:rsid w:val="56CC4C2A"/>
    <w:rsid w:val="56CC8A8C"/>
    <w:rsid w:val="56CDA9DC"/>
    <w:rsid w:val="56CDD382"/>
    <w:rsid w:val="56CE2B87"/>
    <w:rsid w:val="56CE5596"/>
    <w:rsid w:val="56CE5B80"/>
    <w:rsid w:val="56CF7E5D"/>
    <w:rsid w:val="56CFE1F8"/>
    <w:rsid w:val="56D00638"/>
    <w:rsid w:val="56D12B5F"/>
    <w:rsid w:val="56D186F8"/>
    <w:rsid w:val="56D19057"/>
    <w:rsid w:val="56D1DAE2"/>
    <w:rsid w:val="56D40573"/>
    <w:rsid w:val="56D44DF8"/>
    <w:rsid w:val="56D4E043"/>
    <w:rsid w:val="56D58746"/>
    <w:rsid w:val="56D7AA2A"/>
    <w:rsid w:val="56D7B749"/>
    <w:rsid w:val="56D80FD6"/>
    <w:rsid w:val="56D84BCD"/>
    <w:rsid w:val="56D8C99D"/>
    <w:rsid w:val="56D8F896"/>
    <w:rsid w:val="56D8FD2E"/>
    <w:rsid w:val="56D9B7F7"/>
    <w:rsid w:val="56D9DFDA"/>
    <w:rsid w:val="56DA4532"/>
    <w:rsid w:val="56DAE83C"/>
    <w:rsid w:val="56DBEC77"/>
    <w:rsid w:val="56DC07DA"/>
    <w:rsid w:val="56DD05BA"/>
    <w:rsid w:val="56DE46E3"/>
    <w:rsid w:val="56DE5A57"/>
    <w:rsid w:val="56DE68B3"/>
    <w:rsid w:val="56DEA76B"/>
    <w:rsid w:val="56DF1142"/>
    <w:rsid w:val="56DF24BF"/>
    <w:rsid w:val="56DF3392"/>
    <w:rsid w:val="56DF88D1"/>
    <w:rsid w:val="56DFD6A0"/>
    <w:rsid w:val="56DFFC02"/>
    <w:rsid w:val="56E00000"/>
    <w:rsid w:val="56E08EFB"/>
    <w:rsid w:val="56E0E62A"/>
    <w:rsid w:val="56E16B48"/>
    <w:rsid w:val="56E300FA"/>
    <w:rsid w:val="56E37789"/>
    <w:rsid w:val="56E3D1C4"/>
    <w:rsid w:val="56E460AF"/>
    <w:rsid w:val="56E4621F"/>
    <w:rsid w:val="56E53CA6"/>
    <w:rsid w:val="56E65F7C"/>
    <w:rsid w:val="56E72AD9"/>
    <w:rsid w:val="56E80C5F"/>
    <w:rsid w:val="56E83781"/>
    <w:rsid w:val="56E8E107"/>
    <w:rsid w:val="56E9046E"/>
    <w:rsid w:val="56E9E1E3"/>
    <w:rsid w:val="56EAE67E"/>
    <w:rsid w:val="56EAEC5E"/>
    <w:rsid w:val="56EAFDEF"/>
    <w:rsid w:val="56EB7E2E"/>
    <w:rsid w:val="56ED5DF7"/>
    <w:rsid w:val="56ED60AD"/>
    <w:rsid w:val="56EF7574"/>
    <w:rsid w:val="56F00BC2"/>
    <w:rsid w:val="56F034C9"/>
    <w:rsid w:val="56F03505"/>
    <w:rsid w:val="56F2DD64"/>
    <w:rsid w:val="56F39B56"/>
    <w:rsid w:val="56F50106"/>
    <w:rsid w:val="56F54513"/>
    <w:rsid w:val="56F5B75E"/>
    <w:rsid w:val="56F5FCFE"/>
    <w:rsid w:val="56F719D2"/>
    <w:rsid w:val="56F751F3"/>
    <w:rsid w:val="56F7A675"/>
    <w:rsid w:val="56F886D8"/>
    <w:rsid w:val="56F8CDD0"/>
    <w:rsid w:val="56F9434C"/>
    <w:rsid w:val="56F9588B"/>
    <w:rsid w:val="56F968EF"/>
    <w:rsid w:val="56F9A492"/>
    <w:rsid w:val="56F9FEEE"/>
    <w:rsid w:val="56FA8B74"/>
    <w:rsid w:val="56FAD837"/>
    <w:rsid w:val="56FBC980"/>
    <w:rsid w:val="56FBE589"/>
    <w:rsid w:val="56FBF0F7"/>
    <w:rsid w:val="56FBF587"/>
    <w:rsid w:val="56FC0F75"/>
    <w:rsid w:val="56FC25C4"/>
    <w:rsid w:val="56FC3A5A"/>
    <w:rsid w:val="56FC8333"/>
    <w:rsid w:val="56FCD359"/>
    <w:rsid w:val="56FD199B"/>
    <w:rsid w:val="56FDA3EA"/>
    <w:rsid w:val="56FE4A37"/>
    <w:rsid w:val="56FEC411"/>
    <w:rsid w:val="570049BF"/>
    <w:rsid w:val="57005147"/>
    <w:rsid w:val="5700B8E6"/>
    <w:rsid w:val="5700BDD4"/>
    <w:rsid w:val="5700D625"/>
    <w:rsid w:val="5700E313"/>
    <w:rsid w:val="57010E92"/>
    <w:rsid w:val="570234EA"/>
    <w:rsid w:val="570318C8"/>
    <w:rsid w:val="5703821D"/>
    <w:rsid w:val="5703AC75"/>
    <w:rsid w:val="5703E94B"/>
    <w:rsid w:val="57044016"/>
    <w:rsid w:val="57046EEA"/>
    <w:rsid w:val="57075DB5"/>
    <w:rsid w:val="570768A7"/>
    <w:rsid w:val="5707C237"/>
    <w:rsid w:val="5709EBB4"/>
    <w:rsid w:val="570A0430"/>
    <w:rsid w:val="570A2B9B"/>
    <w:rsid w:val="570A57D7"/>
    <w:rsid w:val="570A7EB4"/>
    <w:rsid w:val="570AD58F"/>
    <w:rsid w:val="570B0208"/>
    <w:rsid w:val="570C0A0F"/>
    <w:rsid w:val="570C446A"/>
    <w:rsid w:val="570DB071"/>
    <w:rsid w:val="570E6D3F"/>
    <w:rsid w:val="570EF60D"/>
    <w:rsid w:val="5710AC4A"/>
    <w:rsid w:val="57114735"/>
    <w:rsid w:val="5711E5C5"/>
    <w:rsid w:val="57129C6D"/>
    <w:rsid w:val="5712F32F"/>
    <w:rsid w:val="57131EFE"/>
    <w:rsid w:val="57133D23"/>
    <w:rsid w:val="57134F49"/>
    <w:rsid w:val="57138EA6"/>
    <w:rsid w:val="5714BB38"/>
    <w:rsid w:val="5714E30C"/>
    <w:rsid w:val="571525BB"/>
    <w:rsid w:val="57167ADA"/>
    <w:rsid w:val="5716E36D"/>
    <w:rsid w:val="5717161D"/>
    <w:rsid w:val="57174A31"/>
    <w:rsid w:val="5717CF3E"/>
    <w:rsid w:val="571863A5"/>
    <w:rsid w:val="57186419"/>
    <w:rsid w:val="571877C2"/>
    <w:rsid w:val="5718A494"/>
    <w:rsid w:val="5718F0DA"/>
    <w:rsid w:val="5719C00B"/>
    <w:rsid w:val="571A6F99"/>
    <w:rsid w:val="571B5EEE"/>
    <w:rsid w:val="571BED8C"/>
    <w:rsid w:val="571EABEB"/>
    <w:rsid w:val="571ED7DA"/>
    <w:rsid w:val="571F4F8F"/>
    <w:rsid w:val="571F78EA"/>
    <w:rsid w:val="571FC8B1"/>
    <w:rsid w:val="571FD275"/>
    <w:rsid w:val="572099AF"/>
    <w:rsid w:val="57213A14"/>
    <w:rsid w:val="57213F1F"/>
    <w:rsid w:val="57228B77"/>
    <w:rsid w:val="57229924"/>
    <w:rsid w:val="5722B741"/>
    <w:rsid w:val="57233FBC"/>
    <w:rsid w:val="57236AAC"/>
    <w:rsid w:val="5723D075"/>
    <w:rsid w:val="5723E673"/>
    <w:rsid w:val="57244F4F"/>
    <w:rsid w:val="57245DF7"/>
    <w:rsid w:val="5724C9B8"/>
    <w:rsid w:val="5724E523"/>
    <w:rsid w:val="57250691"/>
    <w:rsid w:val="57256FC1"/>
    <w:rsid w:val="5725E1D7"/>
    <w:rsid w:val="5725EA27"/>
    <w:rsid w:val="572658A6"/>
    <w:rsid w:val="57266F30"/>
    <w:rsid w:val="5726712F"/>
    <w:rsid w:val="57274C70"/>
    <w:rsid w:val="57286FAB"/>
    <w:rsid w:val="5728A7BA"/>
    <w:rsid w:val="5729755C"/>
    <w:rsid w:val="572A06FC"/>
    <w:rsid w:val="572A7C27"/>
    <w:rsid w:val="572ABC97"/>
    <w:rsid w:val="572ACD8B"/>
    <w:rsid w:val="572B0815"/>
    <w:rsid w:val="572BAE5C"/>
    <w:rsid w:val="572BDA2C"/>
    <w:rsid w:val="572BE78D"/>
    <w:rsid w:val="572CA297"/>
    <w:rsid w:val="572CAAD7"/>
    <w:rsid w:val="572CCA2E"/>
    <w:rsid w:val="572DEF6C"/>
    <w:rsid w:val="572E05F0"/>
    <w:rsid w:val="572E6BC6"/>
    <w:rsid w:val="572E8FE7"/>
    <w:rsid w:val="57301215"/>
    <w:rsid w:val="57305102"/>
    <w:rsid w:val="5730A557"/>
    <w:rsid w:val="573150CA"/>
    <w:rsid w:val="57322C60"/>
    <w:rsid w:val="5732AB69"/>
    <w:rsid w:val="5732E3C7"/>
    <w:rsid w:val="5732F79E"/>
    <w:rsid w:val="57332561"/>
    <w:rsid w:val="5733888C"/>
    <w:rsid w:val="573475C0"/>
    <w:rsid w:val="5734D02E"/>
    <w:rsid w:val="57350024"/>
    <w:rsid w:val="57350DB3"/>
    <w:rsid w:val="57353D6F"/>
    <w:rsid w:val="57357B6E"/>
    <w:rsid w:val="57358FF1"/>
    <w:rsid w:val="5735F2C2"/>
    <w:rsid w:val="5735FE33"/>
    <w:rsid w:val="57363EF8"/>
    <w:rsid w:val="5736BCF2"/>
    <w:rsid w:val="5736CAF3"/>
    <w:rsid w:val="57373716"/>
    <w:rsid w:val="57373BCF"/>
    <w:rsid w:val="5737CB27"/>
    <w:rsid w:val="5737F609"/>
    <w:rsid w:val="573902D9"/>
    <w:rsid w:val="573904EC"/>
    <w:rsid w:val="57393D4A"/>
    <w:rsid w:val="57396608"/>
    <w:rsid w:val="5739B4DE"/>
    <w:rsid w:val="5739D8F8"/>
    <w:rsid w:val="5739F12E"/>
    <w:rsid w:val="573A6E3A"/>
    <w:rsid w:val="573A8367"/>
    <w:rsid w:val="573B307A"/>
    <w:rsid w:val="573BE7E1"/>
    <w:rsid w:val="573EA76A"/>
    <w:rsid w:val="573EFE32"/>
    <w:rsid w:val="573F3E9F"/>
    <w:rsid w:val="573F571C"/>
    <w:rsid w:val="5740D163"/>
    <w:rsid w:val="5741007B"/>
    <w:rsid w:val="57416A35"/>
    <w:rsid w:val="574195F5"/>
    <w:rsid w:val="5742047D"/>
    <w:rsid w:val="5742323E"/>
    <w:rsid w:val="57423829"/>
    <w:rsid w:val="57435983"/>
    <w:rsid w:val="5743F394"/>
    <w:rsid w:val="5743FC9B"/>
    <w:rsid w:val="57446C1F"/>
    <w:rsid w:val="57449B7E"/>
    <w:rsid w:val="5744E1E9"/>
    <w:rsid w:val="57451D08"/>
    <w:rsid w:val="5745DA3C"/>
    <w:rsid w:val="57460D35"/>
    <w:rsid w:val="574641CF"/>
    <w:rsid w:val="574643DB"/>
    <w:rsid w:val="574648CD"/>
    <w:rsid w:val="5746640F"/>
    <w:rsid w:val="574684E5"/>
    <w:rsid w:val="5746A5B8"/>
    <w:rsid w:val="5746B353"/>
    <w:rsid w:val="5746CBDD"/>
    <w:rsid w:val="5746D79F"/>
    <w:rsid w:val="57474624"/>
    <w:rsid w:val="57481E98"/>
    <w:rsid w:val="574865DD"/>
    <w:rsid w:val="5748B670"/>
    <w:rsid w:val="5748E785"/>
    <w:rsid w:val="574995C9"/>
    <w:rsid w:val="574AC801"/>
    <w:rsid w:val="574AF0E9"/>
    <w:rsid w:val="574C2B16"/>
    <w:rsid w:val="574C6E66"/>
    <w:rsid w:val="574CCB7F"/>
    <w:rsid w:val="574DE07A"/>
    <w:rsid w:val="574E968E"/>
    <w:rsid w:val="574EC383"/>
    <w:rsid w:val="574EC5E6"/>
    <w:rsid w:val="574F5233"/>
    <w:rsid w:val="574F989E"/>
    <w:rsid w:val="574FF11A"/>
    <w:rsid w:val="574FF77E"/>
    <w:rsid w:val="57518352"/>
    <w:rsid w:val="57523E20"/>
    <w:rsid w:val="57538AA4"/>
    <w:rsid w:val="5753A206"/>
    <w:rsid w:val="5753B1C5"/>
    <w:rsid w:val="57542884"/>
    <w:rsid w:val="57549E80"/>
    <w:rsid w:val="5754A1D4"/>
    <w:rsid w:val="575506D7"/>
    <w:rsid w:val="57564536"/>
    <w:rsid w:val="575662D6"/>
    <w:rsid w:val="5756A700"/>
    <w:rsid w:val="5756DC18"/>
    <w:rsid w:val="575726E8"/>
    <w:rsid w:val="57574FDC"/>
    <w:rsid w:val="5757A324"/>
    <w:rsid w:val="5758067A"/>
    <w:rsid w:val="57594081"/>
    <w:rsid w:val="575A0B80"/>
    <w:rsid w:val="575B5C6F"/>
    <w:rsid w:val="575B911F"/>
    <w:rsid w:val="575BB1E3"/>
    <w:rsid w:val="575C03BE"/>
    <w:rsid w:val="575C5A71"/>
    <w:rsid w:val="575C9338"/>
    <w:rsid w:val="575DDB4C"/>
    <w:rsid w:val="575EFC4C"/>
    <w:rsid w:val="575F367D"/>
    <w:rsid w:val="575F601A"/>
    <w:rsid w:val="575F6DD6"/>
    <w:rsid w:val="575F9403"/>
    <w:rsid w:val="57610883"/>
    <w:rsid w:val="57613662"/>
    <w:rsid w:val="576141DD"/>
    <w:rsid w:val="57616627"/>
    <w:rsid w:val="57616E13"/>
    <w:rsid w:val="57618050"/>
    <w:rsid w:val="57622C7A"/>
    <w:rsid w:val="5763491A"/>
    <w:rsid w:val="5763D027"/>
    <w:rsid w:val="57653F3C"/>
    <w:rsid w:val="5765B97E"/>
    <w:rsid w:val="576612A3"/>
    <w:rsid w:val="57668888"/>
    <w:rsid w:val="57669D34"/>
    <w:rsid w:val="5766A385"/>
    <w:rsid w:val="5767ED51"/>
    <w:rsid w:val="5769C91A"/>
    <w:rsid w:val="576AB2C1"/>
    <w:rsid w:val="576B230E"/>
    <w:rsid w:val="576B353E"/>
    <w:rsid w:val="576B6170"/>
    <w:rsid w:val="576BFBAB"/>
    <w:rsid w:val="576C3915"/>
    <w:rsid w:val="576CCFDC"/>
    <w:rsid w:val="576D2FC3"/>
    <w:rsid w:val="576D6687"/>
    <w:rsid w:val="576E3D7F"/>
    <w:rsid w:val="576EAE5F"/>
    <w:rsid w:val="576EF505"/>
    <w:rsid w:val="576F4094"/>
    <w:rsid w:val="576FA3EC"/>
    <w:rsid w:val="5770094D"/>
    <w:rsid w:val="57742256"/>
    <w:rsid w:val="5774390A"/>
    <w:rsid w:val="577453F7"/>
    <w:rsid w:val="5775CC75"/>
    <w:rsid w:val="577851F5"/>
    <w:rsid w:val="5778DA0B"/>
    <w:rsid w:val="57792140"/>
    <w:rsid w:val="57792884"/>
    <w:rsid w:val="57794E2F"/>
    <w:rsid w:val="5779A606"/>
    <w:rsid w:val="5779BD1E"/>
    <w:rsid w:val="577A0A80"/>
    <w:rsid w:val="577A86BB"/>
    <w:rsid w:val="577CA813"/>
    <w:rsid w:val="577CC3E8"/>
    <w:rsid w:val="577D2A8A"/>
    <w:rsid w:val="577D5DFF"/>
    <w:rsid w:val="577D7798"/>
    <w:rsid w:val="577E1CA2"/>
    <w:rsid w:val="577E3F24"/>
    <w:rsid w:val="577FB94F"/>
    <w:rsid w:val="5780CE04"/>
    <w:rsid w:val="5781D59A"/>
    <w:rsid w:val="5781FDD8"/>
    <w:rsid w:val="5782D171"/>
    <w:rsid w:val="57837AC3"/>
    <w:rsid w:val="5783B242"/>
    <w:rsid w:val="57845384"/>
    <w:rsid w:val="57850261"/>
    <w:rsid w:val="57860084"/>
    <w:rsid w:val="5786A2A4"/>
    <w:rsid w:val="578714BA"/>
    <w:rsid w:val="5787B67B"/>
    <w:rsid w:val="5787DEBD"/>
    <w:rsid w:val="5788FA28"/>
    <w:rsid w:val="57897526"/>
    <w:rsid w:val="5789EACB"/>
    <w:rsid w:val="578A65F6"/>
    <w:rsid w:val="578BD9B4"/>
    <w:rsid w:val="578BF902"/>
    <w:rsid w:val="578C55AA"/>
    <w:rsid w:val="578C842F"/>
    <w:rsid w:val="578C898D"/>
    <w:rsid w:val="578D1D7C"/>
    <w:rsid w:val="578E1D98"/>
    <w:rsid w:val="578EB232"/>
    <w:rsid w:val="578FB38A"/>
    <w:rsid w:val="578FF4E5"/>
    <w:rsid w:val="579068A1"/>
    <w:rsid w:val="579100D0"/>
    <w:rsid w:val="579142CE"/>
    <w:rsid w:val="5791E027"/>
    <w:rsid w:val="579251E3"/>
    <w:rsid w:val="57927868"/>
    <w:rsid w:val="57928370"/>
    <w:rsid w:val="57935929"/>
    <w:rsid w:val="5793A48D"/>
    <w:rsid w:val="5793C1D2"/>
    <w:rsid w:val="5793DEE9"/>
    <w:rsid w:val="579406D6"/>
    <w:rsid w:val="5794E940"/>
    <w:rsid w:val="57950CCB"/>
    <w:rsid w:val="57953944"/>
    <w:rsid w:val="57954FEF"/>
    <w:rsid w:val="5796121B"/>
    <w:rsid w:val="579676AC"/>
    <w:rsid w:val="57968BA6"/>
    <w:rsid w:val="57971056"/>
    <w:rsid w:val="57994B5F"/>
    <w:rsid w:val="5799821A"/>
    <w:rsid w:val="5799E2A2"/>
    <w:rsid w:val="579A89B6"/>
    <w:rsid w:val="579BB1E0"/>
    <w:rsid w:val="579BD1E5"/>
    <w:rsid w:val="579C4104"/>
    <w:rsid w:val="579CE588"/>
    <w:rsid w:val="579F6C18"/>
    <w:rsid w:val="579FCCBB"/>
    <w:rsid w:val="57A03866"/>
    <w:rsid w:val="57A0D3EF"/>
    <w:rsid w:val="57A265E4"/>
    <w:rsid w:val="57A27768"/>
    <w:rsid w:val="57A2AA3F"/>
    <w:rsid w:val="57A2E5D1"/>
    <w:rsid w:val="57A330A5"/>
    <w:rsid w:val="57A36DB4"/>
    <w:rsid w:val="57A4BA2C"/>
    <w:rsid w:val="57A52FF2"/>
    <w:rsid w:val="57A53A2E"/>
    <w:rsid w:val="57A62001"/>
    <w:rsid w:val="57A7714F"/>
    <w:rsid w:val="57A7822C"/>
    <w:rsid w:val="57A8C805"/>
    <w:rsid w:val="57A8D2D9"/>
    <w:rsid w:val="57A920F4"/>
    <w:rsid w:val="57A92E52"/>
    <w:rsid w:val="57A98137"/>
    <w:rsid w:val="57A9B838"/>
    <w:rsid w:val="57AA958C"/>
    <w:rsid w:val="57ACB640"/>
    <w:rsid w:val="57ACC980"/>
    <w:rsid w:val="57ACDF40"/>
    <w:rsid w:val="57AD1CA5"/>
    <w:rsid w:val="57AD4D2E"/>
    <w:rsid w:val="57ADA95F"/>
    <w:rsid w:val="57AEB327"/>
    <w:rsid w:val="57AFC07D"/>
    <w:rsid w:val="57B0055C"/>
    <w:rsid w:val="57B0542B"/>
    <w:rsid w:val="57B08A89"/>
    <w:rsid w:val="57B28B0F"/>
    <w:rsid w:val="57B29E16"/>
    <w:rsid w:val="57B2AE54"/>
    <w:rsid w:val="57B2F527"/>
    <w:rsid w:val="57B3532F"/>
    <w:rsid w:val="57B3E13A"/>
    <w:rsid w:val="57B3E2D9"/>
    <w:rsid w:val="57B471E4"/>
    <w:rsid w:val="57B4DDE0"/>
    <w:rsid w:val="57B53280"/>
    <w:rsid w:val="57B5354D"/>
    <w:rsid w:val="57B60B59"/>
    <w:rsid w:val="57B616BB"/>
    <w:rsid w:val="57B73C8D"/>
    <w:rsid w:val="57B79BB9"/>
    <w:rsid w:val="57B800A3"/>
    <w:rsid w:val="57B8AAAA"/>
    <w:rsid w:val="57B8D524"/>
    <w:rsid w:val="57B91A69"/>
    <w:rsid w:val="57B9CF5E"/>
    <w:rsid w:val="57BAB262"/>
    <w:rsid w:val="57BB0357"/>
    <w:rsid w:val="57BB9177"/>
    <w:rsid w:val="57BB9625"/>
    <w:rsid w:val="57BC05C0"/>
    <w:rsid w:val="57BC619F"/>
    <w:rsid w:val="57BE32AD"/>
    <w:rsid w:val="57BE5B29"/>
    <w:rsid w:val="57BF0ECD"/>
    <w:rsid w:val="57BF640E"/>
    <w:rsid w:val="57C0F33D"/>
    <w:rsid w:val="57C0FD9D"/>
    <w:rsid w:val="57C20ED6"/>
    <w:rsid w:val="57C22A8B"/>
    <w:rsid w:val="57C27B3A"/>
    <w:rsid w:val="57C475F5"/>
    <w:rsid w:val="57C4AD4A"/>
    <w:rsid w:val="57C4E4E8"/>
    <w:rsid w:val="57C4E5F8"/>
    <w:rsid w:val="57C4F3EF"/>
    <w:rsid w:val="57C566D7"/>
    <w:rsid w:val="57C593FA"/>
    <w:rsid w:val="57C662DF"/>
    <w:rsid w:val="57C69EFB"/>
    <w:rsid w:val="57C6B827"/>
    <w:rsid w:val="57C77CD6"/>
    <w:rsid w:val="57C81682"/>
    <w:rsid w:val="57C8168E"/>
    <w:rsid w:val="57C84A49"/>
    <w:rsid w:val="57C887C8"/>
    <w:rsid w:val="57C9A948"/>
    <w:rsid w:val="57CA8266"/>
    <w:rsid w:val="57CABA1B"/>
    <w:rsid w:val="57CDB2D0"/>
    <w:rsid w:val="57CE8E54"/>
    <w:rsid w:val="57CE9175"/>
    <w:rsid w:val="57CEC6A6"/>
    <w:rsid w:val="57CF71D0"/>
    <w:rsid w:val="57CFD1FB"/>
    <w:rsid w:val="57D045F3"/>
    <w:rsid w:val="57D449A8"/>
    <w:rsid w:val="57D5B2CF"/>
    <w:rsid w:val="57D6DE27"/>
    <w:rsid w:val="57D802AD"/>
    <w:rsid w:val="57D82631"/>
    <w:rsid w:val="57D8EF37"/>
    <w:rsid w:val="57D94937"/>
    <w:rsid w:val="57D962E3"/>
    <w:rsid w:val="57DB3808"/>
    <w:rsid w:val="57DB921A"/>
    <w:rsid w:val="57DC23B6"/>
    <w:rsid w:val="57DCCBD3"/>
    <w:rsid w:val="57DD1A55"/>
    <w:rsid w:val="57DE9A88"/>
    <w:rsid w:val="57DF1383"/>
    <w:rsid w:val="57E0282D"/>
    <w:rsid w:val="57E103CF"/>
    <w:rsid w:val="57E13456"/>
    <w:rsid w:val="57E2CCD2"/>
    <w:rsid w:val="57E2F00E"/>
    <w:rsid w:val="57E3368F"/>
    <w:rsid w:val="57E38C82"/>
    <w:rsid w:val="57E3DA2E"/>
    <w:rsid w:val="57E3EE26"/>
    <w:rsid w:val="57E4CE55"/>
    <w:rsid w:val="57E526B3"/>
    <w:rsid w:val="57E5744E"/>
    <w:rsid w:val="57E5813A"/>
    <w:rsid w:val="57E60EC8"/>
    <w:rsid w:val="57E6C2A2"/>
    <w:rsid w:val="57E740BC"/>
    <w:rsid w:val="57E85954"/>
    <w:rsid w:val="57E9413A"/>
    <w:rsid w:val="57E9B7EB"/>
    <w:rsid w:val="57EB1289"/>
    <w:rsid w:val="57EB164E"/>
    <w:rsid w:val="57EB3D83"/>
    <w:rsid w:val="57EBDB55"/>
    <w:rsid w:val="57EC571F"/>
    <w:rsid w:val="57EC74A9"/>
    <w:rsid w:val="57EC831E"/>
    <w:rsid w:val="57EC9521"/>
    <w:rsid w:val="57ED4FBE"/>
    <w:rsid w:val="57EDABF8"/>
    <w:rsid w:val="57EEEEFC"/>
    <w:rsid w:val="57EF0183"/>
    <w:rsid w:val="57EF88FD"/>
    <w:rsid w:val="57EFFD03"/>
    <w:rsid w:val="57F17D35"/>
    <w:rsid w:val="57F35DC5"/>
    <w:rsid w:val="57F3A9F6"/>
    <w:rsid w:val="57F3CCF2"/>
    <w:rsid w:val="57F3D10D"/>
    <w:rsid w:val="57F43587"/>
    <w:rsid w:val="57F4D798"/>
    <w:rsid w:val="57F4EF9B"/>
    <w:rsid w:val="57F58FC6"/>
    <w:rsid w:val="57F6ECDB"/>
    <w:rsid w:val="57F702EA"/>
    <w:rsid w:val="57F706CE"/>
    <w:rsid w:val="57F74BDD"/>
    <w:rsid w:val="57F795CF"/>
    <w:rsid w:val="57F83871"/>
    <w:rsid w:val="57F86535"/>
    <w:rsid w:val="57F8ABB0"/>
    <w:rsid w:val="57F8C109"/>
    <w:rsid w:val="57F9175E"/>
    <w:rsid w:val="57F97795"/>
    <w:rsid w:val="57F9E633"/>
    <w:rsid w:val="57FA7B9A"/>
    <w:rsid w:val="57FD3371"/>
    <w:rsid w:val="57FD9768"/>
    <w:rsid w:val="57FE7A96"/>
    <w:rsid w:val="57FE83DC"/>
    <w:rsid w:val="57FF083A"/>
    <w:rsid w:val="57FF8FA8"/>
    <w:rsid w:val="580010B5"/>
    <w:rsid w:val="58004F34"/>
    <w:rsid w:val="5800860D"/>
    <w:rsid w:val="58013248"/>
    <w:rsid w:val="58019C56"/>
    <w:rsid w:val="58035291"/>
    <w:rsid w:val="58047997"/>
    <w:rsid w:val="580547D5"/>
    <w:rsid w:val="5806967D"/>
    <w:rsid w:val="58069EAC"/>
    <w:rsid w:val="5806BDBD"/>
    <w:rsid w:val="5806EE8B"/>
    <w:rsid w:val="5806FE11"/>
    <w:rsid w:val="580838EF"/>
    <w:rsid w:val="58086B14"/>
    <w:rsid w:val="58087BBE"/>
    <w:rsid w:val="5808A8E7"/>
    <w:rsid w:val="58090B63"/>
    <w:rsid w:val="580A828B"/>
    <w:rsid w:val="580AA12F"/>
    <w:rsid w:val="580AB6E4"/>
    <w:rsid w:val="580B2AD0"/>
    <w:rsid w:val="580B48F2"/>
    <w:rsid w:val="580B75DA"/>
    <w:rsid w:val="580C6DBA"/>
    <w:rsid w:val="580CC8FE"/>
    <w:rsid w:val="580D034F"/>
    <w:rsid w:val="580E1035"/>
    <w:rsid w:val="580E1976"/>
    <w:rsid w:val="580E907D"/>
    <w:rsid w:val="580E9E49"/>
    <w:rsid w:val="580F2908"/>
    <w:rsid w:val="580F3110"/>
    <w:rsid w:val="580F63C3"/>
    <w:rsid w:val="580F8220"/>
    <w:rsid w:val="58113324"/>
    <w:rsid w:val="5812764B"/>
    <w:rsid w:val="58128B39"/>
    <w:rsid w:val="58130B2B"/>
    <w:rsid w:val="58132757"/>
    <w:rsid w:val="5813FAAE"/>
    <w:rsid w:val="58147CDB"/>
    <w:rsid w:val="581578FC"/>
    <w:rsid w:val="58159C7B"/>
    <w:rsid w:val="58168782"/>
    <w:rsid w:val="5816DAE1"/>
    <w:rsid w:val="5816FDFB"/>
    <w:rsid w:val="5817FF4A"/>
    <w:rsid w:val="58192F10"/>
    <w:rsid w:val="581A0583"/>
    <w:rsid w:val="581A3618"/>
    <w:rsid w:val="581A5D1F"/>
    <w:rsid w:val="581B1090"/>
    <w:rsid w:val="581B134E"/>
    <w:rsid w:val="581C59BB"/>
    <w:rsid w:val="581CFA3D"/>
    <w:rsid w:val="581D9749"/>
    <w:rsid w:val="581E55EE"/>
    <w:rsid w:val="581F04FA"/>
    <w:rsid w:val="581F6988"/>
    <w:rsid w:val="581F8504"/>
    <w:rsid w:val="581FA692"/>
    <w:rsid w:val="581FF3EC"/>
    <w:rsid w:val="582144FE"/>
    <w:rsid w:val="58220106"/>
    <w:rsid w:val="5822521E"/>
    <w:rsid w:val="582269B1"/>
    <w:rsid w:val="5823920B"/>
    <w:rsid w:val="58242AA7"/>
    <w:rsid w:val="5824C164"/>
    <w:rsid w:val="5824F1CE"/>
    <w:rsid w:val="5825EF47"/>
    <w:rsid w:val="58261CA8"/>
    <w:rsid w:val="5826A8C4"/>
    <w:rsid w:val="58274C28"/>
    <w:rsid w:val="58275504"/>
    <w:rsid w:val="58276107"/>
    <w:rsid w:val="582776CA"/>
    <w:rsid w:val="5827B76A"/>
    <w:rsid w:val="5828E930"/>
    <w:rsid w:val="582987C9"/>
    <w:rsid w:val="582A1113"/>
    <w:rsid w:val="582B548A"/>
    <w:rsid w:val="582B8BAC"/>
    <w:rsid w:val="582C6348"/>
    <w:rsid w:val="582D098B"/>
    <w:rsid w:val="582D1E86"/>
    <w:rsid w:val="582D27EF"/>
    <w:rsid w:val="582E2C1E"/>
    <w:rsid w:val="582E7722"/>
    <w:rsid w:val="582EBC82"/>
    <w:rsid w:val="582F0AE1"/>
    <w:rsid w:val="582F3CE3"/>
    <w:rsid w:val="582F89A9"/>
    <w:rsid w:val="582FC181"/>
    <w:rsid w:val="58302D60"/>
    <w:rsid w:val="583033C6"/>
    <w:rsid w:val="5830EEB1"/>
    <w:rsid w:val="58310A82"/>
    <w:rsid w:val="58318115"/>
    <w:rsid w:val="5832E007"/>
    <w:rsid w:val="583319A2"/>
    <w:rsid w:val="583476AB"/>
    <w:rsid w:val="5834CF17"/>
    <w:rsid w:val="58353D03"/>
    <w:rsid w:val="58354380"/>
    <w:rsid w:val="5835802E"/>
    <w:rsid w:val="5836156A"/>
    <w:rsid w:val="5836CD25"/>
    <w:rsid w:val="5836D888"/>
    <w:rsid w:val="5836F473"/>
    <w:rsid w:val="5837B57C"/>
    <w:rsid w:val="5837CD10"/>
    <w:rsid w:val="5838F761"/>
    <w:rsid w:val="583901CE"/>
    <w:rsid w:val="58394369"/>
    <w:rsid w:val="58395768"/>
    <w:rsid w:val="5839704C"/>
    <w:rsid w:val="58399637"/>
    <w:rsid w:val="583BE428"/>
    <w:rsid w:val="583C4357"/>
    <w:rsid w:val="583C5A61"/>
    <w:rsid w:val="583DB3C7"/>
    <w:rsid w:val="583E0AD4"/>
    <w:rsid w:val="583E1268"/>
    <w:rsid w:val="583E23F0"/>
    <w:rsid w:val="583F00A0"/>
    <w:rsid w:val="583F041F"/>
    <w:rsid w:val="583FA6A5"/>
    <w:rsid w:val="5840A49D"/>
    <w:rsid w:val="58434546"/>
    <w:rsid w:val="58434653"/>
    <w:rsid w:val="58441E8C"/>
    <w:rsid w:val="58442168"/>
    <w:rsid w:val="584462BD"/>
    <w:rsid w:val="58452C86"/>
    <w:rsid w:val="58454496"/>
    <w:rsid w:val="5845F407"/>
    <w:rsid w:val="5845F79A"/>
    <w:rsid w:val="584615C9"/>
    <w:rsid w:val="58470FE0"/>
    <w:rsid w:val="58482EF4"/>
    <w:rsid w:val="58485287"/>
    <w:rsid w:val="5848BA0F"/>
    <w:rsid w:val="5848DBEB"/>
    <w:rsid w:val="5848EF12"/>
    <w:rsid w:val="58491DB7"/>
    <w:rsid w:val="5849C0A2"/>
    <w:rsid w:val="5849CFC9"/>
    <w:rsid w:val="584A0F47"/>
    <w:rsid w:val="584A4CFA"/>
    <w:rsid w:val="584A9383"/>
    <w:rsid w:val="584AAFB9"/>
    <w:rsid w:val="584B8563"/>
    <w:rsid w:val="584B9D1C"/>
    <w:rsid w:val="584BAA41"/>
    <w:rsid w:val="584C2D7B"/>
    <w:rsid w:val="584C613A"/>
    <w:rsid w:val="584C9641"/>
    <w:rsid w:val="584D151A"/>
    <w:rsid w:val="584DB4F3"/>
    <w:rsid w:val="584DFF4B"/>
    <w:rsid w:val="584E266B"/>
    <w:rsid w:val="584FB188"/>
    <w:rsid w:val="5850FA3A"/>
    <w:rsid w:val="5851BBB8"/>
    <w:rsid w:val="5851CEFF"/>
    <w:rsid w:val="5851FAF4"/>
    <w:rsid w:val="58524C68"/>
    <w:rsid w:val="58525855"/>
    <w:rsid w:val="58531F9E"/>
    <w:rsid w:val="5853518D"/>
    <w:rsid w:val="5853C3FD"/>
    <w:rsid w:val="58543FA1"/>
    <w:rsid w:val="5854DA32"/>
    <w:rsid w:val="5855EDCA"/>
    <w:rsid w:val="58567454"/>
    <w:rsid w:val="5856ED96"/>
    <w:rsid w:val="5856F24D"/>
    <w:rsid w:val="5857C95C"/>
    <w:rsid w:val="585822D3"/>
    <w:rsid w:val="585938B4"/>
    <w:rsid w:val="58595D13"/>
    <w:rsid w:val="585971E2"/>
    <w:rsid w:val="5859741D"/>
    <w:rsid w:val="585976DA"/>
    <w:rsid w:val="5859818E"/>
    <w:rsid w:val="585AD3F4"/>
    <w:rsid w:val="585AD504"/>
    <w:rsid w:val="585ADCBB"/>
    <w:rsid w:val="585AE52D"/>
    <w:rsid w:val="585D4025"/>
    <w:rsid w:val="585D90F6"/>
    <w:rsid w:val="585DD6C6"/>
    <w:rsid w:val="585F13B6"/>
    <w:rsid w:val="5860BCA0"/>
    <w:rsid w:val="586119F2"/>
    <w:rsid w:val="586139DD"/>
    <w:rsid w:val="58615208"/>
    <w:rsid w:val="5861FCA4"/>
    <w:rsid w:val="58622BF7"/>
    <w:rsid w:val="5863227B"/>
    <w:rsid w:val="58639C09"/>
    <w:rsid w:val="5863E43A"/>
    <w:rsid w:val="58640B16"/>
    <w:rsid w:val="58649224"/>
    <w:rsid w:val="58657CCB"/>
    <w:rsid w:val="5865A6A3"/>
    <w:rsid w:val="58668949"/>
    <w:rsid w:val="5866CC4C"/>
    <w:rsid w:val="58676347"/>
    <w:rsid w:val="5868A4A0"/>
    <w:rsid w:val="5868FCFD"/>
    <w:rsid w:val="58691A96"/>
    <w:rsid w:val="586A974E"/>
    <w:rsid w:val="586ABD82"/>
    <w:rsid w:val="586AE909"/>
    <w:rsid w:val="586B1CC2"/>
    <w:rsid w:val="586D29A5"/>
    <w:rsid w:val="586D5264"/>
    <w:rsid w:val="586EC386"/>
    <w:rsid w:val="586EFADE"/>
    <w:rsid w:val="586F1876"/>
    <w:rsid w:val="586FB5F4"/>
    <w:rsid w:val="586FBA99"/>
    <w:rsid w:val="58700EDB"/>
    <w:rsid w:val="587067D3"/>
    <w:rsid w:val="5870CB80"/>
    <w:rsid w:val="5870CDD6"/>
    <w:rsid w:val="5870D11D"/>
    <w:rsid w:val="58713E2C"/>
    <w:rsid w:val="5872B387"/>
    <w:rsid w:val="5872E08C"/>
    <w:rsid w:val="58735B3D"/>
    <w:rsid w:val="58741BC2"/>
    <w:rsid w:val="5874BB68"/>
    <w:rsid w:val="5874D589"/>
    <w:rsid w:val="5874E912"/>
    <w:rsid w:val="5878A405"/>
    <w:rsid w:val="5878A717"/>
    <w:rsid w:val="5878C2AF"/>
    <w:rsid w:val="5878F27F"/>
    <w:rsid w:val="5879B0D4"/>
    <w:rsid w:val="587A152F"/>
    <w:rsid w:val="587A5D37"/>
    <w:rsid w:val="587A6DA7"/>
    <w:rsid w:val="587AF505"/>
    <w:rsid w:val="587B35FB"/>
    <w:rsid w:val="587C1C68"/>
    <w:rsid w:val="587C2176"/>
    <w:rsid w:val="587D6D50"/>
    <w:rsid w:val="587D8E1B"/>
    <w:rsid w:val="587E871D"/>
    <w:rsid w:val="587EFF08"/>
    <w:rsid w:val="587F12F3"/>
    <w:rsid w:val="587F1C5D"/>
    <w:rsid w:val="587F5C78"/>
    <w:rsid w:val="58801A56"/>
    <w:rsid w:val="58804CD4"/>
    <w:rsid w:val="5880CCBB"/>
    <w:rsid w:val="5880DB95"/>
    <w:rsid w:val="5881337E"/>
    <w:rsid w:val="58815536"/>
    <w:rsid w:val="58822D0D"/>
    <w:rsid w:val="5882FB63"/>
    <w:rsid w:val="5882FD9D"/>
    <w:rsid w:val="588360DF"/>
    <w:rsid w:val="58839B44"/>
    <w:rsid w:val="58840BAA"/>
    <w:rsid w:val="5884CB82"/>
    <w:rsid w:val="5884E6E9"/>
    <w:rsid w:val="58857103"/>
    <w:rsid w:val="5886AC14"/>
    <w:rsid w:val="5886D979"/>
    <w:rsid w:val="5887730B"/>
    <w:rsid w:val="58880145"/>
    <w:rsid w:val="58881B8A"/>
    <w:rsid w:val="58884F0B"/>
    <w:rsid w:val="58889493"/>
    <w:rsid w:val="5889240D"/>
    <w:rsid w:val="588933F3"/>
    <w:rsid w:val="588937BB"/>
    <w:rsid w:val="58894DBE"/>
    <w:rsid w:val="58898F90"/>
    <w:rsid w:val="588AF13E"/>
    <w:rsid w:val="588AFD35"/>
    <w:rsid w:val="588B23CE"/>
    <w:rsid w:val="588BCE46"/>
    <w:rsid w:val="588C5CF2"/>
    <w:rsid w:val="588D6CD8"/>
    <w:rsid w:val="588D9CF7"/>
    <w:rsid w:val="588DD601"/>
    <w:rsid w:val="588E210B"/>
    <w:rsid w:val="588EA13F"/>
    <w:rsid w:val="588EC859"/>
    <w:rsid w:val="588FC8EE"/>
    <w:rsid w:val="588FFDE1"/>
    <w:rsid w:val="589004FA"/>
    <w:rsid w:val="5890B8EA"/>
    <w:rsid w:val="5890BEC9"/>
    <w:rsid w:val="5890C02D"/>
    <w:rsid w:val="589124D3"/>
    <w:rsid w:val="58917EBE"/>
    <w:rsid w:val="5893447D"/>
    <w:rsid w:val="58937953"/>
    <w:rsid w:val="589442C1"/>
    <w:rsid w:val="589517CF"/>
    <w:rsid w:val="5895576F"/>
    <w:rsid w:val="58958565"/>
    <w:rsid w:val="5895EDC5"/>
    <w:rsid w:val="5895F837"/>
    <w:rsid w:val="589649BD"/>
    <w:rsid w:val="58975DBC"/>
    <w:rsid w:val="5897F58E"/>
    <w:rsid w:val="58981CB8"/>
    <w:rsid w:val="58982C76"/>
    <w:rsid w:val="5898B60C"/>
    <w:rsid w:val="58990F60"/>
    <w:rsid w:val="5899ECC3"/>
    <w:rsid w:val="589A3D93"/>
    <w:rsid w:val="589A521F"/>
    <w:rsid w:val="589A9F64"/>
    <w:rsid w:val="589AD539"/>
    <w:rsid w:val="589C0007"/>
    <w:rsid w:val="589CD090"/>
    <w:rsid w:val="589D28BD"/>
    <w:rsid w:val="589D663F"/>
    <w:rsid w:val="589D8117"/>
    <w:rsid w:val="589E4B04"/>
    <w:rsid w:val="589FA44A"/>
    <w:rsid w:val="589FB1BA"/>
    <w:rsid w:val="589FE5C5"/>
    <w:rsid w:val="58A0A66F"/>
    <w:rsid w:val="58A10F50"/>
    <w:rsid w:val="58A1630E"/>
    <w:rsid w:val="58A2261A"/>
    <w:rsid w:val="58A27412"/>
    <w:rsid w:val="58A34DDE"/>
    <w:rsid w:val="58A372D1"/>
    <w:rsid w:val="58A45DFC"/>
    <w:rsid w:val="58A4A586"/>
    <w:rsid w:val="58A4E477"/>
    <w:rsid w:val="58A550FD"/>
    <w:rsid w:val="58A68373"/>
    <w:rsid w:val="58A747D7"/>
    <w:rsid w:val="58A86A1C"/>
    <w:rsid w:val="58A90244"/>
    <w:rsid w:val="58A9B534"/>
    <w:rsid w:val="58A9C048"/>
    <w:rsid w:val="58A9DC73"/>
    <w:rsid w:val="58A9E9DB"/>
    <w:rsid w:val="58AB9B06"/>
    <w:rsid w:val="58ABC0EA"/>
    <w:rsid w:val="58AC52B0"/>
    <w:rsid w:val="58AC8E88"/>
    <w:rsid w:val="58AD1474"/>
    <w:rsid w:val="58AD2823"/>
    <w:rsid w:val="58AD4B4E"/>
    <w:rsid w:val="58AD63EF"/>
    <w:rsid w:val="58ADFB55"/>
    <w:rsid w:val="58AE098F"/>
    <w:rsid w:val="58AF1B38"/>
    <w:rsid w:val="58B01A00"/>
    <w:rsid w:val="58B0ED00"/>
    <w:rsid w:val="58B1FB35"/>
    <w:rsid w:val="58B263FC"/>
    <w:rsid w:val="58B29F1D"/>
    <w:rsid w:val="58B3A0F2"/>
    <w:rsid w:val="58B402B4"/>
    <w:rsid w:val="58B48D0F"/>
    <w:rsid w:val="58B4D177"/>
    <w:rsid w:val="58B5F15A"/>
    <w:rsid w:val="58B715DB"/>
    <w:rsid w:val="58B72C7C"/>
    <w:rsid w:val="58B82D1B"/>
    <w:rsid w:val="58B8A4B1"/>
    <w:rsid w:val="58B92890"/>
    <w:rsid w:val="58B970E1"/>
    <w:rsid w:val="58B9C8B5"/>
    <w:rsid w:val="58BA0705"/>
    <w:rsid w:val="58BA540B"/>
    <w:rsid w:val="58BABAEE"/>
    <w:rsid w:val="58BAC663"/>
    <w:rsid w:val="58BB0A17"/>
    <w:rsid w:val="58BB3242"/>
    <w:rsid w:val="58BC5EE7"/>
    <w:rsid w:val="58BC6CA2"/>
    <w:rsid w:val="58BC9EF5"/>
    <w:rsid w:val="58BDB515"/>
    <w:rsid w:val="58BF5834"/>
    <w:rsid w:val="58C077A0"/>
    <w:rsid w:val="58C17897"/>
    <w:rsid w:val="58C26331"/>
    <w:rsid w:val="58C27A0D"/>
    <w:rsid w:val="58C2CFA4"/>
    <w:rsid w:val="58C3397A"/>
    <w:rsid w:val="58C42266"/>
    <w:rsid w:val="58C45BE7"/>
    <w:rsid w:val="58C49717"/>
    <w:rsid w:val="58C4C474"/>
    <w:rsid w:val="58C5844E"/>
    <w:rsid w:val="58C6D8B7"/>
    <w:rsid w:val="58C71C83"/>
    <w:rsid w:val="58C76CCB"/>
    <w:rsid w:val="58C77A31"/>
    <w:rsid w:val="58C7C8CE"/>
    <w:rsid w:val="58C7FAD0"/>
    <w:rsid w:val="58C928E0"/>
    <w:rsid w:val="58CA6E56"/>
    <w:rsid w:val="58CAA398"/>
    <w:rsid w:val="58CAE786"/>
    <w:rsid w:val="58CB4694"/>
    <w:rsid w:val="58CBDC26"/>
    <w:rsid w:val="58CC79D4"/>
    <w:rsid w:val="58CCCD48"/>
    <w:rsid w:val="58CDF5AD"/>
    <w:rsid w:val="58CE34D0"/>
    <w:rsid w:val="58CF8B7B"/>
    <w:rsid w:val="58CFB691"/>
    <w:rsid w:val="58CFF12E"/>
    <w:rsid w:val="58D04FFA"/>
    <w:rsid w:val="58D23228"/>
    <w:rsid w:val="58D259E0"/>
    <w:rsid w:val="58D2E3B8"/>
    <w:rsid w:val="58D3BC65"/>
    <w:rsid w:val="58D47060"/>
    <w:rsid w:val="58D4B578"/>
    <w:rsid w:val="58D59255"/>
    <w:rsid w:val="58D6EBC9"/>
    <w:rsid w:val="58D6F187"/>
    <w:rsid w:val="58D78285"/>
    <w:rsid w:val="58D83E6F"/>
    <w:rsid w:val="58D8602E"/>
    <w:rsid w:val="58D87D3B"/>
    <w:rsid w:val="58D92484"/>
    <w:rsid w:val="58D92BD8"/>
    <w:rsid w:val="58D94093"/>
    <w:rsid w:val="58D9ABD8"/>
    <w:rsid w:val="58D9B065"/>
    <w:rsid w:val="58D9E59F"/>
    <w:rsid w:val="58D9EF34"/>
    <w:rsid w:val="58DA04C0"/>
    <w:rsid w:val="58DAE7DF"/>
    <w:rsid w:val="58DBD685"/>
    <w:rsid w:val="58DC1F4D"/>
    <w:rsid w:val="58DC24A0"/>
    <w:rsid w:val="58DC7E91"/>
    <w:rsid w:val="58DD6365"/>
    <w:rsid w:val="58DD698F"/>
    <w:rsid w:val="58DDDC9C"/>
    <w:rsid w:val="58DF8419"/>
    <w:rsid w:val="58DFAEAD"/>
    <w:rsid w:val="58E00B1F"/>
    <w:rsid w:val="58E017A3"/>
    <w:rsid w:val="58E061BA"/>
    <w:rsid w:val="58E063A1"/>
    <w:rsid w:val="58E10CB9"/>
    <w:rsid w:val="58E124DF"/>
    <w:rsid w:val="58E1C6F2"/>
    <w:rsid w:val="58E1E663"/>
    <w:rsid w:val="58E1FED8"/>
    <w:rsid w:val="58E2FA89"/>
    <w:rsid w:val="58E314EF"/>
    <w:rsid w:val="58E3B27F"/>
    <w:rsid w:val="58E42679"/>
    <w:rsid w:val="58E64A80"/>
    <w:rsid w:val="58E65033"/>
    <w:rsid w:val="58E67A60"/>
    <w:rsid w:val="58E67B9C"/>
    <w:rsid w:val="58E67C72"/>
    <w:rsid w:val="58E690A8"/>
    <w:rsid w:val="58E704D3"/>
    <w:rsid w:val="58E75B6F"/>
    <w:rsid w:val="58E7C084"/>
    <w:rsid w:val="58E7E3D6"/>
    <w:rsid w:val="58E84951"/>
    <w:rsid w:val="58E8F687"/>
    <w:rsid w:val="58E9050D"/>
    <w:rsid w:val="58E910A7"/>
    <w:rsid w:val="58E9F754"/>
    <w:rsid w:val="58EA0407"/>
    <w:rsid w:val="58EA4816"/>
    <w:rsid w:val="58EB9940"/>
    <w:rsid w:val="58EC3E0E"/>
    <w:rsid w:val="58EC4E20"/>
    <w:rsid w:val="58ED5CEB"/>
    <w:rsid w:val="58ED6A90"/>
    <w:rsid w:val="58ED9251"/>
    <w:rsid w:val="58EDC60D"/>
    <w:rsid w:val="58EF1856"/>
    <w:rsid w:val="58EF912A"/>
    <w:rsid w:val="58F00433"/>
    <w:rsid w:val="58F092B5"/>
    <w:rsid w:val="58F13674"/>
    <w:rsid w:val="58F1A29A"/>
    <w:rsid w:val="58F1D12C"/>
    <w:rsid w:val="58F1E62B"/>
    <w:rsid w:val="58F1EA6D"/>
    <w:rsid w:val="58F2004D"/>
    <w:rsid w:val="58F23FF9"/>
    <w:rsid w:val="58F45A1D"/>
    <w:rsid w:val="58F52C6D"/>
    <w:rsid w:val="58F563B8"/>
    <w:rsid w:val="58F601DA"/>
    <w:rsid w:val="58F69C6A"/>
    <w:rsid w:val="58F6A950"/>
    <w:rsid w:val="58F6FE6E"/>
    <w:rsid w:val="58F70779"/>
    <w:rsid w:val="58F767C8"/>
    <w:rsid w:val="58F8B095"/>
    <w:rsid w:val="58F940B0"/>
    <w:rsid w:val="58F955DB"/>
    <w:rsid w:val="58F95AB3"/>
    <w:rsid w:val="58FAB6A7"/>
    <w:rsid w:val="58FB2446"/>
    <w:rsid w:val="58FBBF69"/>
    <w:rsid w:val="58FBD74C"/>
    <w:rsid w:val="58FBE3D6"/>
    <w:rsid w:val="58FC2927"/>
    <w:rsid w:val="58FCF2BB"/>
    <w:rsid w:val="58FE2F46"/>
    <w:rsid w:val="58FEBFF1"/>
    <w:rsid w:val="58FF39E1"/>
    <w:rsid w:val="58FFB3C0"/>
    <w:rsid w:val="58FFD9D1"/>
    <w:rsid w:val="59003BC8"/>
    <w:rsid w:val="59004FE2"/>
    <w:rsid w:val="59006B7F"/>
    <w:rsid w:val="5900BB6E"/>
    <w:rsid w:val="5901EC71"/>
    <w:rsid w:val="5902741E"/>
    <w:rsid w:val="5903E6EC"/>
    <w:rsid w:val="5905A649"/>
    <w:rsid w:val="5905EB84"/>
    <w:rsid w:val="5905FBFB"/>
    <w:rsid w:val="59064202"/>
    <w:rsid w:val="59065B83"/>
    <w:rsid w:val="5906AEB3"/>
    <w:rsid w:val="5906FBFA"/>
    <w:rsid w:val="59071243"/>
    <w:rsid w:val="59092385"/>
    <w:rsid w:val="590A0AE0"/>
    <w:rsid w:val="590AAC8E"/>
    <w:rsid w:val="590B9209"/>
    <w:rsid w:val="590C76F2"/>
    <w:rsid w:val="590C771F"/>
    <w:rsid w:val="590D1515"/>
    <w:rsid w:val="590D1DCB"/>
    <w:rsid w:val="590D45B3"/>
    <w:rsid w:val="590D882C"/>
    <w:rsid w:val="590D8F6A"/>
    <w:rsid w:val="590DC03E"/>
    <w:rsid w:val="590DD22E"/>
    <w:rsid w:val="590F0D06"/>
    <w:rsid w:val="590F1E5A"/>
    <w:rsid w:val="590FBC53"/>
    <w:rsid w:val="5911571D"/>
    <w:rsid w:val="591251BE"/>
    <w:rsid w:val="5912CF29"/>
    <w:rsid w:val="59136745"/>
    <w:rsid w:val="5914147B"/>
    <w:rsid w:val="59141D76"/>
    <w:rsid w:val="5914F03D"/>
    <w:rsid w:val="59152C44"/>
    <w:rsid w:val="59159F00"/>
    <w:rsid w:val="59162783"/>
    <w:rsid w:val="59163BB9"/>
    <w:rsid w:val="5916B724"/>
    <w:rsid w:val="5916FECC"/>
    <w:rsid w:val="5917E85D"/>
    <w:rsid w:val="591817CB"/>
    <w:rsid w:val="59183539"/>
    <w:rsid w:val="59198003"/>
    <w:rsid w:val="59199DC4"/>
    <w:rsid w:val="591A1BEE"/>
    <w:rsid w:val="591A2AE1"/>
    <w:rsid w:val="591A6BA4"/>
    <w:rsid w:val="591ACA31"/>
    <w:rsid w:val="591B33D3"/>
    <w:rsid w:val="591B6DCC"/>
    <w:rsid w:val="591B85DA"/>
    <w:rsid w:val="591BE4DD"/>
    <w:rsid w:val="591C1316"/>
    <w:rsid w:val="591D0B9B"/>
    <w:rsid w:val="591D0C7E"/>
    <w:rsid w:val="591D3509"/>
    <w:rsid w:val="591E3403"/>
    <w:rsid w:val="591E3F39"/>
    <w:rsid w:val="59202DBC"/>
    <w:rsid w:val="59204401"/>
    <w:rsid w:val="592267D6"/>
    <w:rsid w:val="59227979"/>
    <w:rsid w:val="5922ADDA"/>
    <w:rsid w:val="59232E22"/>
    <w:rsid w:val="59233913"/>
    <w:rsid w:val="59252081"/>
    <w:rsid w:val="5925D837"/>
    <w:rsid w:val="5925E922"/>
    <w:rsid w:val="59264B33"/>
    <w:rsid w:val="59269230"/>
    <w:rsid w:val="59270A8B"/>
    <w:rsid w:val="5927DEBC"/>
    <w:rsid w:val="592804EE"/>
    <w:rsid w:val="5928957F"/>
    <w:rsid w:val="5928B499"/>
    <w:rsid w:val="5928E55E"/>
    <w:rsid w:val="592A5832"/>
    <w:rsid w:val="592A77BB"/>
    <w:rsid w:val="592AC12F"/>
    <w:rsid w:val="592ACDAC"/>
    <w:rsid w:val="592B9C11"/>
    <w:rsid w:val="592BE655"/>
    <w:rsid w:val="592C9681"/>
    <w:rsid w:val="592D7554"/>
    <w:rsid w:val="592D97D8"/>
    <w:rsid w:val="592DF9EC"/>
    <w:rsid w:val="592E4086"/>
    <w:rsid w:val="592EA42B"/>
    <w:rsid w:val="592F2970"/>
    <w:rsid w:val="592F70A5"/>
    <w:rsid w:val="5930C566"/>
    <w:rsid w:val="5930CDB9"/>
    <w:rsid w:val="5931D2B4"/>
    <w:rsid w:val="593206B6"/>
    <w:rsid w:val="5932609B"/>
    <w:rsid w:val="5932AD0C"/>
    <w:rsid w:val="5932FA1B"/>
    <w:rsid w:val="59332042"/>
    <w:rsid w:val="5933AB25"/>
    <w:rsid w:val="5934CA74"/>
    <w:rsid w:val="5934FE19"/>
    <w:rsid w:val="593528AC"/>
    <w:rsid w:val="59356115"/>
    <w:rsid w:val="5935B4EB"/>
    <w:rsid w:val="59377FCE"/>
    <w:rsid w:val="59378AE3"/>
    <w:rsid w:val="59381D5F"/>
    <w:rsid w:val="59388316"/>
    <w:rsid w:val="5939D3F0"/>
    <w:rsid w:val="593A86AA"/>
    <w:rsid w:val="593B0BDC"/>
    <w:rsid w:val="593B1654"/>
    <w:rsid w:val="593B76CE"/>
    <w:rsid w:val="593BAD98"/>
    <w:rsid w:val="593BECB9"/>
    <w:rsid w:val="593BFDED"/>
    <w:rsid w:val="593C0860"/>
    <w:rsid w:val="593CA835"/>
    <w:rsid w:val="593CF74A"/>
    <w:rsid w:val="593D0F57"/>
    <w:rsid w:val="593D90A2"/>
    <w:rsid w:val="593E14E7"/>
    <w:rsid w:val="593E2609"/>
    <w:rsid w:val="593E49A3"/>
    <w:rsid w:val="593F4E1A"/>
    <w:rsid w:val="593F8E38"/>
    <w:rsid w:val="593FCDA3"/>
    <w:rsid w:val="59401AFC"/>
    <w:rsid w:val="59401C7B"/>
    <w:rsid w:val="59408CBE"/>
    <w:rsid w:val="59415BC1"/>
    <w:rsid w:val="5942326E"/>
    <w:rsid w:val="594233B4"/>
    <w:rsid w:val="59428B3A"/>
    <w:rsid w:val="59428BDA"/>
    <w:rsid w:val="5942C05F"/>
    <w:rsid w:val="59432B65"/>
    <w:rsid w:val="59436D99"/>
    <w:rsid w:val="59441864"/>
    <w:rsid w:val="59452901"/>
    <w:rsid w:val="59453C43"/>
    <w:rsid w:val="59456819"/>
    <w:rsid w:val="59456E82"/>
    <w:rsid w:val="59466E9C"/>
    <w:rsid w:val="5946D0AE"/>
    <w:rsid w:val="5946FF9E"/>
    <w:rsid w:val="5948942D"/>
    <w:rsid w:val="59495370"/>
    <w:rsid w:val="5949A486"/>
    <w:rsid w:val="5949E769"/>
    <w:rsid w:val="594D9A41"/>
    <w:rsid w:val="594DC0BD"/>
    <w:rsid w:val="594EA2AC"/>
    <w:rsid w:val="594EA93F"/>
    <w:rsid w:val="594EF683"/>
    <w:rsid w:val="594F15BC"/>
    <w:rsid w:val="594FF484"/>
    <w:rsid w:val="595025B5"/>
    <w:rsid w:val="5950AC6C"/>
    <w:rsid w:val="5951A8FA"/>
    <w:rsid w:val="595237CA"/>
    <w:rsid w:val="59530264"/>
    <w:rsid w:val="5953069F"/>
    <w:rsid w:val="59532AB5"/>
    <w:rsid w:val="59539E15"/>
    <w:rsid w:val="5953D2F7"/>
    <w:rsid w:val="5954076B"/>
    <w:rsid w:val="59543F15"/>
    <w:rsid w:val="59544804"/>
    <w:rsid w:val="59545AFD"/>
    <w:rsid w:val="59555919"/>
    <w:rsid w:val="5955999A"/>
    <w:rsid w:val="59560B63"/>
    <w:rsid w:val="59567A5A"/>
    <w:rsid w:val="59575D3A"/>
    <w:rsid w:val="5957C0D1"/>
    <w:rsid w:val="5957DACE"/>
    <w:rsid w:val="5958D300"/>
    <w:rsid w:val="5959F3B0"/>
    <w:rsid w:val="595A1A2C"/>
    <w:rsid w:val="595A6BF7"/>
    <w:rsid w:val="595A6E01"/>
    <w:rsid w:val="595A8293"/>
    <w:rsid w:val="595A9D6A"/>
    <w:rsid w:val="595AADA4"/>
    <w:rsid w:val="595B9AA8"/>
    <w:rsid w:val="595BB295"/>
    <w:rsid w:val="595CBD66"/>
    <w:rsid w:val="595D2E6E"/>
    <w:rsid w:val="595DB01F"/>
    <w:rsid w:val="595DDB71"/>
    <w:rsid w:val="595DFF7F"/>
    <w:rsid w:val="595E0161"/>
    <w:rsid w:val="595F1C8F"/>
    <w:rsid w:val="595FE18A"/>
    <w:rsid w:val="595FEECB"/>
    <w:rsid w:val="59604B3B"/>
    <w:rsid w:val="59609C92"/>
    <w:rsid w:val="5960B3EF"/>
    <w:rsid w:val="5960CCD5"/>
    <w:rsid w:val="596126A6"/>
    <w:rsid w:val="59615180"/>
    <w:rsid w:val="5961A06A"/>
    <w:rsid w:val="59625649"/>
    <w:rsid w:val="596279FD"/>
    <w:rsid w:val="59630E96"/>
    <w:rsid w:val="5964240C"/>
    <w:rsid w:val="59646FB5"/>
    <w:rsid w:val="5964A707"/>
    <w:rsid w:val="5965A5DB"/>
    <w:rsid w:val="5965B9C1"/>
    <w:rsid w:val="5965FB1E"/>
    <w:rsid w:val="596601C3"/>
    <w:rsid w:val="596619DA"/>
    <w:rsid w:val="596653BA"/>
    <w:rsid w:val="59666AA1"/>
    <w:rsid w:val="59667853"/>
    <w:rsid w:val="59671304"/>
    <w:rsid w:val="596763FB"/>
    <w:rsid w:val="5967B751"/>
    <w:rsid w:val="59681250"/>
    <w:rsid w:val="596873BC"/>
    <w:rsid w:val="59694D76"/>
    <w:rsid w:val="59695C0F"/>
    <w:rsid w:val="5969F745"/>
    <w:rsid w:val="596A4DD9"/>
    <w:rsid w:val="596A55B9"/>
    <w:rsid w:val="596B2F79"/>
    <w:rsid w:val="596C0C7A"/>
    <w:rsid w:val="596C2B4D"/>
    <w:rsid w:val="596D2804"/>
    <w:rsid w:val="596DD44C"/>
    <w:rsid w:val="596E8252"/>
    <w:rsid w:val="596E9AA5"/>
    <w:rsid w:val="596ED737"/>
    <w:rsid w:val="5970710B"/>
    <w:rsid w:val="5970830B"/>
    <w:rsid w:val="5970BFE9"/>
    <w:rsid w:val="5970CD5A"/>
    <w:rsid w:val="5971437A"/>
    <w:rsid w:val="5971CED7"/>
    <w:rsid w:val="597339A9"/>
    <w:rsid w:val="59737930"/>
    <w:rsid w:val="5973A581"/>
    <w:rsid w:val="5973CDAB"/>
    <w:rsid w:val="59745D87"/>
    <w:rsid w:val="5974620F"/>
    <w:rsid w:val="5975993D"/>
    <w:rsid w:val="5975BCD9"/>
    <w:rsid w:val="597627CE"/>
    <w:rsid w:val="5976C19F"/>
    <w:rsid w:val="59774CB2"/>
    <w:rsid w:val="59781C68"/>
    <w:rsid w:val="59793F14"/>
    <w:rsid w:val="5979A352"/>
    <w:rsid w:val="5979C640"/>
    <w:rsid w:val="597A9480"/>
    <w:rsid w:val="597AE672"/>
    <w:rsid w:val="597AF988"/>
    <w:rsid w:val="597B6C8E"/>
    <w:rsid w:val="597CB2C4"/>
    <w:rsid w:val="597CE850"/>
    <w:rsid w:val="597D6FCB"/>
    <w:rsid w:val="597DADB4"/>
    <w:rsid w:val="597EDDF9"/>
    <w:rsid w:val="598096A6"/>
    <w:rsid w:val="5980E53D"/>
    <w:rsid w:val="5981F7DE"/>
    <w:rsid w:val="5983D8CD"/>
    <w:rsid w:val="59844FBC"/>
    <w:rsid w:val="59846F5D"/>
    <w:rsid w:val="5984E35E"/>
    <w:rsid w:val="598507A6"/>
    <w:rsid w:val="59863D1D"/>
    <w:rsid w:val="5987A734"/>
    <w:rsid w:val="5988F270"/>
    <w:rsid w:val="5989B51C"/>
    <w:rsid w:val="598A0A80"/>
    <w:rsid w:val="598A0FCB"/>
    <w:rsid w:val="598A7D4A"/>
    <w:rsid w:val="598AE363"/>
    <w:rsid w:val="598BBDEC"/>
    <w:rsid w:val="598D3450"/>
    <w:rsid w:val="598D4887"/>
    <w:rsid w:val="598E19ED"/>
    <w:rsid w:val="598F8713"/>
    <w:rsid w:val="598FCCB1"/>
    <w:rsid w:val="5990011D"/>
    <w:rsid w:val="59903206"/>
    <w:rsid w:val="59905608"/>
    <w:rsid w:val="59907803"/>
    <w:rsid w:val="5990D413"/>
    <w:rsid w:val="5990F675"/>
    <w:rsid w:val="59910E58"/>
    <w:rsid w:val="59912D9F"/>
    <w:rsid w:val="5991B256"/>
    <w:rsid w:val="5991D1C7"/>
    <w:rsid w:val="59921155"/>
    <w:rsid w:val="5992305A"/>
    <w:rsid w:val="59935AB0"/>
    <w:rsid w:val="599394EB"/>
    <w:rsid w:val="59940671"/>
    <w:rsid w:val="59943390"/>
    <w:rsid w:val="5994E00F"/>
    <w:rsid w:val="5995159B"/>
    <w:rsid w:val="5995392D"/>
    <w:rsid w:val="59954662"/>
    <w:rsid w:val="59955008"/>
    <w:rsid w:val="59959E90"/>
    <w:rsid w:val="59965260"/>
    <w:rsid w:val="59965D28"/>
    <w:rsid w:val="5996CD99"/>
    <w:rsid w:val="59970544"/>
    <w:rsid w:val="59985887"/>
    <w:rsid w:val="599A2E4F"/>
    <w:rsid w:val="599A32DE"/>
    <w:rsid w:val="599A3EEC"/>
    <w:rsid w:val="599ABEEA"/>
    <w:rsid w:val="599ABF2B"/>
    <w:rsid w:val="599AEA3D"/>
    <w:rsid w:val="599B593B"/>
    <w:rsid w:val="599B601F"/>
    <w:rsid w:val="599C0EB3"/>
    <w:rsid w:val="599D4726"/>
    <w:rsid w:val="599DE271"/>
    <w:rsid w:val="599E4761"/>
    <w:rsid w:val="599E4D1E"/>
    <w:rsid w:val="599E84A3"/>
    <w:rsid w:val="599EC75A"/>
    <w:rsid w:val="59A058CF"/>
    <w:rsid w:val="59A185CB"/>
    <w:rsid w:val="59A23FAE"/>
    <w:rsid w:val="59A5140F"/>
    <w:rsid w:val="59A60073"/>
    <w:rsid w:val="59A60321"/>
    <w:rsid w:val="59A60B65"/>
    <w:rsid w:val="59A6551F"/>
    <w:rsid w:val="59A730F5"/>
    <w:rsid w:val="59A7B974"/>
    <w:rsid w:val="59A8AF97"/>
    <w:rsid w:val="59A8BD60"/>
    <w:rsid w:val="59A8C3B1"/>
    <w:rsid w:val="59AB047F"/>
    <w:rsid w:val="59AB371D"/>
    <w:rsid w:val="59AC23F7"/>
    <w:rsid w:val="59AD04DF"/>
    <w:rsid w:val="59AD1B92"/>
    <w:rsid w:val="59AD406D"/>
    <w:rsid w:val="59AD64DE"/>
    <w:rsid w:val="59ADA179"/>
    <w:rsid w:val="59AE458D"/>
    <w:rsid w:val="59AE74A3"/>
    <w:rsid w:val="59AF8307"/>
    <w:rsid w:val="59AFC6EE"/>
    <w:rsid w:val="59B00F93"/>
    <w:rsid w:val="59B031BF"/>
    <w:rsid w:val="59B04613"/>
    <w:rsid w:val="59B0579B"/>
    <w:rsid w:val="59B13E07"/>
    <w:rsid w:val="59B2158B"/>
    <w:rsid w:val="59B2ACE4"/>
    <w:rsid w:val="59B34568"/>
    <w:rsid w:val="59B3F16F"/>
    <w:rsid w:val="59B45DBC"/>
    <w:rsid w:val="59B51B1D"/>
    <w:rsid w:val="59B5861A"/>
    <w:rsid w:val="59B5A6F7"/>
    <w:rsid w:val="59B6E69C"/>
    <w:rsid w:val="59B71BE3"/>
    <w:rsid w:val="59B76EF4"/>
    <w:rsid w:val="59B7BC47"/>
    <w:rsid w:val="59B8B9D3"/>
    <w:rsid w:val="59B8D9C6"/>
    <w:rsid w:val="59B943FC"/>
    <w:rsid w:val="59B9972A"/>
    <w:rsid w:val="59B9FD19"/>
    <w:rsid w:val="59BC0402"/>
    <w:rsid w:val="59BCBBB2"/>
    <w:rsid w:val="59BCD510"/>
    <w:rsid w:val="59BDBAA2"/>
    <w:rsid w:val="59BE1BAA"/>
    <w:rsid w:val="59BE48D2"/>
    <w:rsid w:val="59BECFD6"/>
    <w:rsid w:val="59BF109C"/>
    <w:rsid w:val="59BF4C37"/>
    <w:rsid w:val="59C02049"/>
    <w:rsid w:val="59C0B89C"/>
    <w:rsid w:val="59C0EE26"/>
    <w:rsid w:val="59C1ADB0"/>
    <w:rsid w:val="59C221BE"/>
    <w:rsid w:val="59C2B5D1"/>
    <w:rsid w:val="59C34FFF"/>
    <w:rsid w:val="59C39645"/>
    <w:rsid w:val="59C3AB0D"/>
    <w:rsid w:val="59C45A45"/>
    <w:rsid w:val="59C5D546"/>
    <w:rsid w:val="59C603C6"/>
    <w:rsid w:val="59C6795B"/>
    <w:rsid w:val="59C682E4"/>
    <w:rsid w:val="59C70B4E"/>
    <w:rsid w:val="59C71F42"/>
    <w:rsid w:val="59C7D6E0"/>
    <w:rsid w:val="59C88016"/>
    <w:rsid w:val="59C90231"/>
    <w:rsid w:val="59C978B2"/>
    <w:rsid w:val="59CA4FAB"/>
    <w:rsid w:val="59CAE372"/>
    <w:rsid w:val="59CAFFAD"/>
    <w:rsid w:val="59CC39CB"/>
    <w:rsid w:val="59CD1E68"/>
    <w:rsid w:val="59CE605D"/>
    <w:rsid w:val="59CF0999"/>
    <w:rsid w:val="59CF9407"/>
    <w:rsid w:val="59D015A6"/>
    <w:rsid w:val="59D18CB9"/>
    <w:rsid w:val="59D195A3"/>
    <w:rsid w:val="59D1D7DA"/>
    <w:rsid w:val="59D2DA2D"/>
    <w:rsid w:val="59D31C51"/>
    <w:rsid w:val="59D386AD"/>
    <w:rsid w:val="59D3E70B"/>
    <w:rsid w:val="59D48979"/>
    <w:rsid w:val="59D4FEAD"/>
    <w:rsid w:val="59D5067E"/>
    <w:rsid w:val="59D51CCC"/>
    <w:rsid w:val="59D5F91D"/>
    <w:rsid w:val="59D64EA7"/>
    <w:rsid w:val="59D6A67B"/>
    <w:rsid w:val="59D72247"/>
    <w:rsid w:val="59D74F25"/>
    <w:rsid w:val="59D95FD5"/>
    <w:rsid w:val="59D9690F"/>
    <w:rsid w:val="59D98B09"/>
    <w:rsid w:val="59D9F32E"/>
    <w:rsid w:val="59DB25BA"/>
    <w:rsid w:val="59DD2AB0"/>
    <w:rsid w:val="59DD94CB"/>
    <w:rsid w:val="59DE5DD4"/>
    <w:rsid w:val="59DF9315"/>
    <w:rsid w:val="59DFD1CF"/>
    <w:rsid w:val="59E09C75"/>
    <w:rsid w:val="59E0B612"/>
    <w:rsid w:val="59E14FEC"/>
    <w:rsid w:val="59E2AF7B"/>
    <w:rsid w:val="59E2C7DF"/>
    <w:rsid w:val="59E2CC9E"/>
    <w:rsid w:val="59E2ECDF"/>
    <w:rsid w:val="59E3464A"/>
    <w:rsid w:val="59E3652A"/>
    <w:rsid w:val="59E3B095"/>
    <w:rsid w:val="59E42D79"/>
    <w:rsid w:val="59E624BD"/>
    <w:rsid w:val="59E65130"/>
    <w:rsid w:val="59E6C04A"/>
    <w:rsid w:val="59E80A98"/>
    <w:rsid w:val="59E823A0"/>
    <w:rsid w:val="59E8C2D3"/>
    <w:rsid w:val="59E8E967"/>
    <w:rsid w:val="59E8F7A9"/>
    <w:rsid w:val="59E91A28"/>
    <w:rsid w:val="59EA3AA1"/>
    <w:rsid w:val="59EDAE5C"/>
    <w:rsid w:val="59EDE33D"/>
    <w:rsid w:val="59EFFC56"/>
    <w:rsid w:val="59F065F4"/>
    <w:rsid w:val="59F085A8"/>
    <w:rsid w:val="59F0A3D7"/>
    <w:rsid w:val="59F134D4"/>
    <w:rsid w:val="59F19825"/>
    <w:rsid w:val="59F23904"/>
    <w:rsid w:val="59F3205C"/>
    <w:rsid w:val="59F32CFB"/>
    <w:rsid w:val="59F3851C"/>
    <w:rsid w:val="59F420FE"/>
    <w:rsid w:val="59F45ABF"/>
    <w:rsid w:val="59F4DF28"/>
    <w:rsid w:val="59F63AEE"/>
    <w:rsid w:val="59F6D3D0"/>
    <w:rsid w:val="59F6F867"/>
    <w:rsid w:val="59F7A7EF"/>
    <w:rsid w:val="59F81E51"/>
    <w:rsid w:val="59F9503C"/>
    <w:rsid w:val="59F9E5DE"/>
    <w:rsid w:val="59FA2BB5"/>
    <w:rsid w:val="59FA2BB8"/>
    <w:rsid w:val="59FA8A30"/>
    <w:rsid w:val="59FAA2CD"/>
    <w:rsid w:val="59FAFBD6"/>
    <w:rsid w:val="59FB781A"/>
    <w:rsid w:val="59FC8279"/>
    <w:rsid w:val="59FCA357"/>
    <w:rsid w:val="59FD8593"/>
    <w:rsid w:val="59FDDDA8"/>
    <w:rsid w:val="59FDE709"/>
    <w:rsid w:val="59FF7D0B"/>
    <w:rsid w:val="59FFB77C"/>
    <w:rsid w:val="59FFCFF0"/>
    <w:rsid w:val="59FFF85D"/>
    <w:rsid w:val="5A0066B5"/>
    <w:rsid w:val="5A0159A0"/>
    <w:rsid w:val="5A019E02"/>
    <w:rsid w:val="5A021513"/>
    <w:rsid w:val="5A022CC3"/>
    <w:rsid w:val="5A026776"/>
    <w:rsid w:val="5A02C484"/>
    <w:rsid w:val="5A02E863"/>
    <w:rsid w:val="5A036E2B"/>
    <w:rsid w:val="5A039231"/>
    <w:rsid w:val="5A043BD7"/>
    <w:rsid w:val="5A045C8F"/>
    <w:rsid w:val="5A048FC9"/>
    <w:rsid w:val="5A04C434"/>
    <w:rsid w:val="5A0622BF"/>
    <w:rsid w:val="5A063331"/>
    <w:rsid w:val="5A0670B5"/>
    <w:rsid w:val="5A078049"/>
    <w:rsid w:val="5A0785B3"/>
    <w:rsid w:val="5A07D9A8"/>
    <w:rsid w:val="5A0813AD"/>
    <w:rsid w:val="5A088EC8"/>
    <w:rsid w:val="5A08ACAB"/>
    <w:rsid w:val="5A08D104"/>
    <w:rsid w:val="5A0933F9"/>
    <w:rsid w:val="5A09B386"/>
    <w:rsid w:val="5A0A9107"/>
    <w:rsid w:val="5A0ABFA5"/>
    <w:rsid w:val="5A0B408E"/>
    <w:rsid w:val="5A0BBAA6"/>
    <w:rsid w:val="5A0BC735"/>
    <w:rsid w:val="5A0C32A5"/>
    <w:rsid w:val="5A0C4EEB"/>
    <w:rsid w:val="5A0CC91F"/>
    <w:rsid w:val="5A0D27D2"/>
    <w:rsid w:val="5A0D64E3"/>
    <w:rsid w:val="5A0D6C2B"/>
    <w:rsid w:val="5A0DD31C"/>
    <w:rsid w:val="5A0E0043"/>
    <w:rsid w:val="5A0F757F"/>
    <w:rsid w:val="5A0FD00D"/>
    <w:rsid w:val="5A102DDE"/>
    <w:rsid w:val="5A10AE07"/>
    <w:rsid w:val="5A1130D0"/>
    <w:rsid w:val="5A117309"/>
    <w:rsid w:val="5A1185D6"/>
    <w:rsid w:val="5A122B3E"/>
    <w:rsid w:val="5A125B15"/>
    <w:rsid w:val="5A12B0C3"/>
    <w:rsid w:val="5A131AD9"/>
    <w:rsid w:val="5A1453AB"/>
    <w:rsid w:val="5A147A61"/>
    <w:rsid w:val="5A147D91"/>
    <w:rsid w:val="5A151EB1"/>
    <w:rsid w:val="5A15506D"/>
    <w:rsid w:val="5A162212"/>
    <w:rsid w:val="5A16AB0A"/>
    <w:rsid w:val="5A16ABCE"/>
    <w:rsid w:val="5A18CAFA"/>
    <w:rsid w:val="5A192A0B"/>
    <w:rsid w:val="5A1A5B50"/>
    <w:rsid w:val="5A1AEF55"/>
    <w:rsid w:val="5A1B7726"/>
    <w:rsid w:val="5A1B9F0B"/>
    <w:rsid w:val="5A1C2926"/>
    <w:rsid w:val="5A1C70DD"/>
    <w:rsid w:val="5A1CC129"/>
    <w:rsid w:val="5A1D7CE6"/>
    <w:rsid w:val="5A1E34EA"/>
    <w:rsid w:val="5A1E9B8B"/>
    <w:rsid w:val="5A1EC949"/>
    <w:rsid w:val="5A1F0355"/>
    <w:rsid w:val="5A1F1056"/>
    <w:rsid w:val="5A1F454D"/>
    <w:rsid w:val="5A1FA286"/>
    <w:rsid w:val="5A209693"/>
    <w:rsid w:val="5A21A039"/>
    <w:rsid w:val="5A21B5B0"/>
    <w:rsid w:val="5A22552C"/>
    <w:rsid w:val="5A22C94F"/>
    <w:rsid w:val="5A2334D9"/>
    <w:rsid w:val="5A241417"/>
    <w:rsid w:val="5A24516F"/>
    <w:rsid w:val="5A254744"/>
    <w:rsid w:val="5A260849"/>
    <w:rsid w:val="5A271CBA"/>
    <w:rsid w:val="5A279854"/>
    <w:rsid w:val="5A281C4F"/>
    <w:rsid w:val="5A28B27B"/>
    <w:rsid w:val="5A292D91"/>
    <w:rsid w:val="5A29A9CD"/>
    <w:rsid w:val="5A2A3410"/>
    <w:rsid w:val="5A2B752B"/>
    <w:rsid w:val="5A2B9286"/>
    <w:rsid w:val="5A2BCC79"/>
    <w:rsid w:val="5A2C3338"/>
    <w:rsid w:val="5A2D1012"/>
    <w:rsid w:val="5A2DD9C0"/>
    <w:rsid w:val="5A2E4FCA"/>
    <w:rsid w:val="5A2E8D06"/>
    <w:rsid w:val="5A2F7C0A"/>
    <w:rsid w:val="5A2F7DCD"/>
    <w:rsid w:val="5A2F8CFD"/>
    <w:rsid w:val="5A2F92AB"/>
    <w:rsid w:val="5A308E7A"/>
    <w:rsid w:val="5A30A87F"/>
    <w:rsid w:val="5A30D16A"/>
    <w:rsid w:val="5A31605E"/>
    <w:rsid w:val="5A31FB4E"/>
    <w:rsid w:val="5A32251D"/>
    <w:rsid w:val="5A3239F7"/>
    <w:rsid w:val="5A32FA2D"/>
    <w:rsid w:val="5A3385D7"/>
    <w:rsid w:val="5A33C04B"/>
    <w:rsid w:val="5A346110"/>
    <w:rsid w:val="5A351C60"/>
    <w:rsid w:val="5A35392F"/>
    <w:rsid w:val="5A35EC02"/>
    <w:rsid w:val="5A36CCE4"/>
    <w:rsid w:val="5A37CBCE"/>
    <w:rsid w:val="5A37F5B8"/>
    <w:rsid w:val="5A37F5F9"/>
    <w:rsid w:val="5A382D50"/>
    <w:rsid w:val="5A383365"/>
    <w:rsid w:val="5A38B634"/>
    <w:rsid w:val="5A3909E4"/>
    <w:rsid w:val="5A39AF50"/>
    <w:rsid w:val="5A3A04E1"/>
    <w:rsid w:val="5A3ADD3D"/>
    <w:rsid w:val="5A3B6FA5"/>
    <w:rsid w:val="5A3BB615"/>
    <w:rsid w:val="5A3BE334"/>
    <w:rsid w:val="5A3D2E19"/>
    <w:rsid w:val="5A3E5A53"/>
    <w:rsid w:val="5A3E871C"/>
    <w:rsid w:val="5A3EA053"/>
    <w:rsid w:val="5A3EDDC6"/>
    <w:rsid w:val="5A3FBF2F"/>
    <w:rsid w:val="5A40458B"/>
    <w:rsid w:val="5A4094A3"/>
    <w:rsid w:val="5A40E09E"/>
    <w:rsid w:val="5A41354E"/>
    <w:rsid w:val="5A416587"/>
    <w:rsid w:val="5A41BC91"/>
    <w:rsid w:val="5A423D17"/>
    <w:rsid w:val="5A4279E4"/>
    <w:rsid w:val="5A452129"/>
    <w:rsid w:val="5A4591EE"/>
    <w:rsid w:val="5A45F3CD"/>
    <w:rsid w:val="5A461055"/>
    <w:rsid w:val="5A468F3A"/>
    <w:rsid w:val="5A46DC4B"/>
    <w:rsid w:val="5A47605F"/>
    <w:rsid w:val="5A47C67A"/>
    <w:rsid w:val="5A47EE5B"/>
    <w:rsid w:val="5A48439A"/>
    <w:rsid w:val="5A487CFD"/>
    <w:rsid w:val="5A4906AC"/>
    <w:rsid w:val="5A4919BD"/>
    <w:rsid w:val="5A4939C7"/>
    <w:rsid w:val="5A4B42C9"/>
    <w:rsid w:val="5A4B9E54"/>
    <w:rsid w:val="5A4BD019"/>
    <w:rsid w:val="5A4BD662"/>
    <w:rsid w:val="5A4C9D30"/>
    <w:rsid w:val="5A4D9503"/>
    <w:rsid w:val="5A4E3860"/>
    <w:rsid w:val="5A507BD6"/>
    <w:rsid w:val="5A508421"/>
    <w:rsid w:val="5A5207D8"/>
    <w:rsid w:val="5A528FB3"/>
    <w:rsid w:val="5A52C88D"/>
    <w:rsid w:val="5A53519B"/>
    <w:rsid w:val="5A547DF9"/>
    <w:rsid w:val="5A551502"/>
    <w:rsid w:val="5A560A26"/>
    <w:rsid w:val="5A56F698"/>
    <w:rsid w:val="5A572AE1"/>
    <w:rsid w:val="5A576490"/>
    <w:rsid w:val="5A579C3B"/>
    <w:rsid w:val="5A579C5B"/>
    <w:rsid w:val="5A59402F"/>
    <w:rsid w:val="5A59EE70"/>
    <w:rsid w:val="5A5A3E84"/>
    <w:rsid w:val="5A5B7F14"/>
    <w:rsid w:val="5A5BA0E4"/>
    <w:rsid w:val="5A5CA7EA"/>
    <w:rsid w:val="5A5E900F"/>
    <w:rsid w:val="5A5F3ADD"/>
    <w:rsid w:val="5A6058E1"/>
    <w:rsid w:val="5A6059B3"/>
    <w:rsid w:val="5A60E064"/>
    <w:rsid w:val="5A60F6E5"/>
    <w:rsid w:val="5A61225B"/>
    <w:rsid w:val="5A624BB3"/>
    <w:rsid w:val="5A62D2C8"/>
    <w:rsid w:val="5A632A3F"/>
    <w:rsid w:val="5A63EB3E"/>
    <w:rsid w:val="5A645993"/>
    <w:rsid w:val="5A65C39B"/>
    <w:rsid w:val="5A65D17A"/>
    <w:rsid w:val="5A669610"/>
    <w:rsid w:val="5A67A8EC"/>
    <w:rsid w:val="5A67CA33"/>
    <w:rsid w:val="5A67DA99"/>
    <w:rsid w:val="5A680010"/>
    <w:rsid w:val="5A687AF9"/>
    <w:rsid w:val="5A68EC7F"/>
    <w:rsid w:val="5A696626"/>
    <w:rsid w:val="5A6A10EA"/>
    <w:rsid w:val="5A6A6205"/>
    <w:rsid w:val="5A6A6913"/>
    <w:rsid w:val="5A6A84C7"/>
    <w:rsid w:val="5A6B2848"/>
    <w:rsid w:val="5A6B545B"/>
    <w:rsid w:val="5A6B6D7A"/>
    <w:rsid w:val="5A6B8721"/>
    <w:rsid w:val="5A6C64BF"/>
    <w:rsid w:val="5A6C820D"/>
    <w:rsid w:val="5A6C96F7"/>
    <w:rsid w:val="5A6CD4A2"/>
    <w:rsid w:val="5A6D0833"/>
    <w:rsid w:val="5A6DEC5D"/>
    <w:rsid w:val="5A6E340C"/>
    <w:rsid w:val="5A6E552B"/>
    <w:rsid w:val="5A6EB1D6"/>
    <w:rsid w:val="5A6FA574"/>
    <w:rsid w:val="5A6FC5C1"/>
    <w:rsid w:val="5A70F7CD"/>
    <w:rsid w:val="5A7105F5"/>
    <w:rsid w:val="5A7149FC"/>
    <w:rsid w:val="5A716B31"/>
    <w:rsid w:val="5A71AC2C"/>
    <w:rsid w:val="5A71C78C"/>
    <w:rsid w:val="5A71CF1D"/>
    <w:rsid w:val="5A72E36F"/>
    <w:rsid w:val="5A7375E5"/>
    <w:rsid w:val="5A757963"/>
    <w:rsid w:val="5A75905A"/>
    <w:rsid w:val="5A76264D"/>
    <w:rsid w:val="5A78E65F"/>
    <w:rsid w:val="5A7987B6"/>
    <w:rsid w:val="5A79B810"/>
    <w:rsid w:val="5A79C072"/>
    <w:rsid w:val="5A7A77C9"/>
    <w:rsid w:val="5A7B70A0"/>
    <w:rsid w:val="5A7BA4C0"/>
    <w:rsid w:val="5A7BB88F"/>
    <w:rsid w:val="5A7BE2EC"/>
    <w:rsid w:val="5A7BF73C"/>
    <w:rsid w:val="5A7CC9FB"/>
    <w:rsid w:val="5A7D1FB1"/>
    <w:rsid w:val="5A7DEDC2"/>
    <w:rsid w:val="5A7E010C"/>
    <w:rsid w:val="5A7E3950"/>
    <w:rsid w:val="5A7EC70B"/>
    <w:rsid w:val="5A7F88C2"/>
    <w:rsid w:val="5A7FB267"/>
    <w:rsid w:val="5A7FF7B1"/>
    <w:rsid w:val="5A80CF30"/>
    <w:rsid w:val="5A815160"/>
    <w:rsid w:val="5A81F3C9"/>
    <w:rsid w:val="5A82E11C"/>
    <w:rsid w:val="5A830A32"/>
    <w:rsid w:val="5A8409BD"/>
    <w:rsid w:val="5A840CB1"/>
    <w:rsid w:val="5A8483B2"/>
    <w:rsid w:val="5A8559F4"/>
    <w:rsid w:val="5A8643D2"/>
    <w:rsid w:val="5A8680CE"/>
    <w:rsid w:val="5A86F1E1"/>
    <w:rsid w:val="5A874B49"/>
    <w:rsid w:val="5A884C6E"/>
    <w:rsid w:val="5A88A849"/>
    <w:rsid w:val="5A892079"/>
    <w:rsid w:val="5A897001"/>
    <w:rsid w:val="5A899B14"/>
    <w:rsid w:val="5A89D55F"/>
    <w:rsid w:val="5A89FFD1"/>
    <w:rsid w:val="5A8A3D23"/>
    <w:rsid w:val="5A8A7B8B"/>
    <w:rsid w:val="5A8A7E0B"/>
    <w:rsid w:val="5A8A8E66"/>
    <w:rsid w:val="5A8BA86D"/>
    <w:rsid w:val="5A8BD656"/>
    <w:rsid w:val="5A8BD683"/>
    <w:rsid w:val="5A8C5CAE"/>
    <w:rsid w:val="5A8CAFDB"/>
    <w:rsid w:val="5A8DB9BB"/>
    <w:rsid w:val="5A8DDCE7"/>
    <w:rsid w:val="5A8E34F7"/>
    <w:rsid w:val="5A8E86E2"/>
    <w:rsid w:val="5A8E8EF1"/>
    <w:rsid w:val="5A8E9309"/>
    <w:rsid w:val="5A8F3288"/>
    <w:rsid w:val="5A8F93A4"/>
    <w:rsid w:val="5A8FC881"/>
    <w:rsid w:val="5A902D24"/>
    <w:rsid w:val="5A90D36B"/>
    <w:rsid w:val="5A91BC44"/>
    <w:rsid w:val="5A91FDFA"/>
    <w:rsid w:val="5A92FC98"/>
    <w:rsid w:val="5A930321"/>
    <w:rsid w:val="5A93E68B"/>
    <w:rsid w:val="5A93EB02"/>
    <w:rsid w:val="5A94FB39"/>
    <w:rsid w:val="5A958BA6"/>
    <w:rsid w:val="5A95D315"/>
    <w:rsid w:val="5A95F4A9"/>
    <w:rsid w:val="5A96298E"/>
    <w:rsid w:val="5A96BFA4"/>
    <w:rsid w:val="5A97A6C0"/>
    <w:rsid w:val="5A97F050"/>
    <w:rsid w:val="5A98BA1E"/>
    <w:rsid w:val="5A991058"/>
    <w:rsid w:val="5A9927AC"/>
    <w:rsid w:val="5A9966E8"/>
    <w:rsid w:val="5A9AA9FC"/>
    <w:rsid w:val="5A9B0A0C"/>
    <w:rsid w:val="5A9B2731"/>
    <w:rsid w:val="5A9B5C8F"/>
    <w:rsid w:val="5A9C84B1"/>
    <w:rsid w:val="5A9CE2CA"/>
    <w:rsid w:val="5A9D6412"/>
    <w:rsid w:val="5A9DC2DF"/>
    <w:rsid w:val="5A9E05CC"/>
    <w:rsid w:val="5A9E5367"/>
    <w:rsid w:val="5AA0F089"/>
    <w:rsid w:val="5AA0FDED"/>
    <w:rsid w:val="5AA19D91"/>
    <w:rsid w:val="5AA1F821"/>
    <w:rsid w:val="5AA2070F"/>
    <w:rsid w:val="5AA22734"/>
    <w:rsid w:val="5AA2398F"/>
    <w:rsid w:val="5AA313B7"/>
    <w:rsid w:val="5AA370F0"/>
    <w:rsid w:val="5AA45B42"/>
    <w:rsid w:val="5AA5334F"/>
    <w:rsid w:val="5AA63DEC"/>
    <w:rsid w:val="5AA77753"/>
    <w:rsid w:val="5AA78D3B"/>
    <w:rsid w:val="5AA7C28F"/>
    <w:rsid w:val="5AA80D90"/>
    <w:rsid w:val="5AA8285F"/>
    <w:rsid w:val="5AA838E4"/>
    <w:rsid w:val="5AA8A384"/>
    <w:rsid w:val="5AA90939"/>
    <w:rsid w:val="5AA9153A"/>
    <w:rsid w:val="5AA946A6"/>
    <w:rsid w:val="5AA972A9"/>
    <w:rsid w:val="5AA9F3DA"/>
    <w:rsid w:val="5AAA1D04"/>
    <w:rsid w:val="5AAC42F5"/>
    <w:rsid w:val="5AAC44D6"/>
    <w:rsid w:val="5AACA006"/>
    <w:rsid w:val="5AAD1D9A"/>
    <w:rsid w:val="5AAD2676"/>
    <w:rsid w:val="5AAE01AB"/>
    <w:rsid w:val="5AAEE338"/>
    <w:rsid w:val="5AAEFF77"/>
    <w:rsid w:val="5AAF8415"/>
    <w:rsid w:val="5AB073C3"/>
    <w:rsid w:val="5AB07EF5"/>
    <w:rsid w:val="5AB0DDB1"/>
    <w:rsid w:val="5AB0EF2A"/>
    <w:rsid w:val="5AB14FAB"/>
    <w:rsid w:val="5AB1BCC0"/>
    <w:rsid w:val="5AB28AB2"/>
    <w:rsid w:val="5AB31254"/>
    <w:rsid w:val="5AB3D24C"/>
    <w:rsid w:val="5AB4022D"/>
    <w:rsid w:val="5AB5235B"/>
    <w:rsid w:val="5AB582D5"/>
    <w:rsid w:val="5AB5C8F1"/>
    <w:rsid w:val="5AB60516"/>
    <w:rsid w:val="5AB61736"/>
    <w:rsid w:val="5AB6E8CF"/>
    <w:rsid w:val="5AB7604F"/>
    <w:rsid w:val="5AB7EA2B"/>
    <w:rsid w:val="5AB81CF9"/>
    <w:rsid w:val="5AB852C2"/>
    <w:rsid w:val="5AB890B9"/>
    <w:rsid w:val="5AB95B97"/>
    <w:rsid w:val="5AB9B1BE"/>
    <w:rsid w:val="5AB9CDEC"/>
    <w:rsid w:val="5ABA2AED"/>
    <w:rsid w:val="5ABA7195"/>
    <w:rsid w:val="5ABA7295"/>
    <w:rsid w:val="5ABB067F"/>
    <w:rsid w:val="5ABB5927"/>
    <w:rsid w:val="5ABBAE7A"/>
    <w:rsid w:val="5ABC19CC"/>
    <w:rsid w:val="5ABC4F01"/>
    <w:rsid w:val="5ABC8E11"/>
    <w:rsid w:val="5ABD43CD"/>
    <w:rsid w:val="5ABE99F7"/>
    <w:rsid w:val="5AC01488"/>
    <w:rsid w:val="5AC0971A"/>
    <w:rsid w:val="5AC0D9AC"/>
    <w:rsid w:val="5AC10E2D"/>
    <w:rsid w:val="5AC261C7"/>
    <w:rsid w:val="5AC2BA43"/>
    <w:rsid w:val="5AC2EB4A"/>
    <w:rsid w:val="5AC30AB9"/>
    <w:rsid w:val="5AC3A36E"/>
    <w:rsid w:val="5AC42B68"/>
    <w:rsid w:val="5AC54C87"/>
    <w:rsid w:val="5AC6221D"/>
    <w:rsid w:val="5AC6B498"/>
    <w:rsid w:val="5AC6F218"/>
    <w:rsid w:val="5AC75013"/>
    <w:rsid w:val="5AC7629C"/>
    <w:rsid w:val="5AC7F13D"/>
    <w:rsid w:val="5AC8C8C6"/>
    <w:rsid w:val="5AC8E7C5"/>
    <w:rsid w:val="5AC8FAE6"/>
    <w:rsid w:val="5ACACE3B"/>
    <w:rsid w:val="5ACC86B5"/>
    <w:rsid w:val="5ACD236E"/>
    <w:rsid w:val="5ACD7870"/>
    <w:rsid w:val="5ACE9A81"/>
    <w:rsid w:val="5ACEC454"/>
    <w:rsid w:val="5ACF71E6"/>
    <w:rsid w:val="5ACFC014"/>
    <w:rsid w:val="5AD0069A"/>
    <w:rsid w:val="5AD1F038"/>
    <w:rsid w:val="5AD2407D"/>
    <w:rsid w:val="5AD2B721"/>
    <w:rsid w:val="5AD33C9C"/>
    <w:rsid w:val="5AD372B0"/>
    <w:rsid w:val="5AD3B529"/>
    <w:rsid w:val="5AD40383"/>
    <w:rsid w:val="5AD40707"/>
    <w:rsid w:val="5AD4A99C"/>
    <w:rsid w:val="5AD4C64E"/>
    <w:rsid w:val="5AD4EEDC"/>
    <w:rsid w:val="5AD4F542"/>
    <w:rsid w:val="5AD72E61"/>
    <w:rsid w:val="5AD74F9F"/>
    <w:rsid w:val="5AD882FF"/>
    <w:rsid w:val="5AD89E5B"/>
    <w:rsid w:val="5AD92240"/>
    <w:rsid w:val="5AD9375C"/>
    <w:rsid w:val="5ADA164B"/>
    <w:rsid w:val="5ADA9A99"/>
    <w:rsid w:val="5ADAFE1C"/>
    <w:rsid w:val="5ADB0041"/>
    <w:rsid w:val="5ADB46A5"/>
    <w:rsid w:val="5ADBC168"/>
    <w:rsid w:val="5ADCCDCC"/>
    <w:rsid w:val="5ADCE11D"/>
    <w:rsid w:val="5ADD4E98"/>
    <w:rsid w:val="5ADED4A0"/>
    <w:rsid w:val="5ADF022E"/>
    <w:rsid w:val="5ADF058A"/>
    <w:rsid w:val="5ADF5B16"/>
    <w:rsid w:val="5AE00A51"/>
    <w:rsid w:val="5AE018A6"/>
    <w:rsid w:val="5AE0D8B9"/>
    <w:rsid w:val="5AE158FD"/>
    <w:rsid w:val="5AE20087"/>
    <w:rsid w:val="5AE3653C"/>
    <w:rsid w:val="5AE3771B"/>
    <w:rsid w:val="5AE39BF7"/>
    <w:rsid w:val="5AE3A7A7"/>
    <w:rsid w:val="5AE3C71C"/>
    <w:rsid w:val="5AE4BFF9"/>
    <w:rsid w:val="5AE4C291"/>
    <w:rsid w:val="5AE50259"/>
    <w:rsid w:val="5AE737CA"/>
    <w:rsid w:val="5AE7B478"/>
    <w:rsid w:val="5AE7FF9C"/>
    <w:rsid w:val="5AE82BAB"/>
    <w:rsid w:val="5AE8DB83"/>
    <w:rsid w:val="5AE93050"/>
    <w:rsid w:val="5AE9F80D"/>
    <w:rsid w:val="5AEA005F"/>
    <w:rsid w:val="5AEA4333"/>
    <w:rsid w:val="5AEAB169"/>
    <w:rsid w:val="5AEACA61"/>
    <w:rsid w:val="5AEB93D2"/>
    <w:rsid w:val="5AEBD79C"/>
    <w:rsid w:val="5AEBEABD"/>
    <w:rsid w:val="5AEC7681"/>
    <w:rsid w:val="5AECDB64"/>
    <w:rsid w:val="5AECFB25"/>
    <w:rsid w:val="5AED29BA"/>
    <w:rsid w:val="5AED3359"/>
    <w:rsid w:val="5AEDABBA"/>
    <w:rsid w:val="5AEE0F6B"/>
    <w:rsid w:val="5AEE1A58"/>
    <w:rsid w:val="5AEEEEE2"/>
    <w:rsid w:val="5AEF5205"/>
    <w:rsid w:val="5AF14397"/>
    <w:rsid w:val="5AF20E5A"/>
    <w:rsid w:val="5AF28D6E"/>
    <w:rsid w:val="5AF2BC0F"/>
    <w:rsid w:val="5AF2FCDA"/>
    <w:rsid w:val="5AF3BBAF"/>
    <w:rsid w:val="5AF3C73B"/>
    <w:rsid w:val="5AF45FBB"/>
    <w:rsid w:val="5AF46BAA"/>
    <w:rsid w:val="5AF484ED"/>
    <w:rsid w:val="5AF52180"/>
    <w:rsid w:val="5AF58D46"/>
    <w:rsid w:val="5AF657A0"/>
    <w:rsid w:val="5AF672AB"/>
    <w:rsid w:val="5AF67875"/>
    <w:rsid w:val="5AF6AAD2"/>
    <w:rsid w:val="5AF6B896"/>
    <w:rsid w:val="5AF703C3"/>
    <w:rsid w:val="5AF73A78"/>
    <w:rsid w:val="5AF74696"/>
    <w:rsid w:val="5AF76230"/>
    <w:rsid w:val="5AF80FF0"/>
    <w:rsid w:val="5AFB542E"/>
    <w:rsid w:val="5AFBED1F"/>
    <w:rsid w:val="5AFC5572"/>
    <w:rsid w:val="5AFC74BE"/>
    <w:rsid w:val="5AFCC24F"/>
    <w:rsid w:val="5AFFCF2C"/>
    <w:rsid w:val="5AFFEF75"/>
    <w:rsid w:val="5AFFF2F5"/>
    <w:rsid w:val="5B00B581"/>
    <w:rsid w:val="5B025E9D"/>
    <w:rsid w:val="5B030051"/>
    <w:rsid w:val="5B036213"/>
    <w:rsid w:val="5B03AB19"/>
    <w:rsid w:val="5B03D939"/>
    <w:rsid w:val="5B040517"/>
    <w:rsid w:val="5B0423EA"/>
    <w:rsid w:val="5B043DBC"/>
    <w:rsid w:val="5B052D34"/>
    <w:rsid w:val="5B0558A1"/>
    <w:rsid w:val="5B05E67B"/>
    <w:rsid w:val="5B0696C1"/>
    <w:rsid w:val="5B06A67C"/>
    <w:rsid w:val="5B06BE06"/>
    <w:rsid w:val="5B06CCE0"/>
    <w:rsid w:val="5B077FB5"/>
    <w:rsid w:val="5B07EC23"/>
    <w:rsid w:val="5B080BE1"/>
    <w:rsid w:val="5B093387"/>
    <w:rsid w:val="5B0A48A9"/>
    <w:rsid w:val="5B0AA36F"/>
    <w:rsid w:val="5B0B0EAE"/>
    <w:rsid w:val="5B0B723F"/>
    <w:rsid w:val="5B0BBE25"/>
    <w:rsid w:val="5B0C290E"/>
    <w:rsid w:val="5B0C417E"/>
    <w:rsid w:val="5B0C7820"/>
    <w:rsid w:val="5B0C7E0E"/>
    <w:rsid w:val="5B0D87A0"/>
    <w:rsid w:val="5B0DF703"/>
    <w:rsid w:val="5B0F5C52"/>
    <w:rsid w:val="5B0F90F9"/>
    <w:rsid w:val="5B0FE511"/>
    <w:rsid w:val="5B0FFAA8"/>
    <w:rsid w:val="5B107D54"/>
    <w:rsid w:val="5B11621A"/>
    <w:rsid w:val="5B1249F5"/>
    <w:rsid w:val="5B131B07"/>
    <w:rsid w:val="5B1392DB"/>
    <w:rsid w:val="5B156953"/>
    <w:rsid w:val="5B15DD91"/>
    <w:rsid w:val="5B1676A3"/>
    <w:rsid w:val="5B1698B3"/>
    <w:rsid w:val="5B16D9EF"/>
    <w:rsid w:val="5B1730A7"/>
    <w:rsid w:val="5B178190"/>
    <w:rsid w:val="5B17D822"/>
    <w:rsid w:val="5B18545E"/>
    <w:rsid w:val="5B1882D9"/>
    <w:rsid w:val="5B19FFE8"/>
    <w:rsid w:val="5B1A1AB3"/>
    <w:rsid w:val="5B1AEE7C"/>
    <w:rsid w:val="5B1C0294"/>
    <w:rsid w:val="5B1CC1D0"/>
    <w:rsid w:val="5B1D9BCF"/>
    <w:rsid w:val="5B1D9CB6"/>
    <w:rsid w:val="5B1DA3B2"/>
    <w:rsid w:val="5B1DA533"/>
    <w:rsid w:val="5B1E23C0"/>
    <w:rsid w:val="5B1E4DCC"/>
    <w:rsid w:val="5B1F03FE"/>
    <w:rsid w:val="5B1F607F"/>
    <w:rsid w:val="5B1FF731"/>
    <w:rsid w:val="5B206D90"/>
    <w:rsid w:val="5B20AE05"/>
    <w:rsid w:val="5B21B7FC"/>
    <w:rsid w:val="5B21D822"/>
    <w:rsid w:val="5B21E54F"/>
    <w:rsid w:val="5B227FB4"/>
    <w:rsid w:val="5B22D1A8"/>
    <w:rsid w:val="5B2437C3"/>
    <w:rsid w:val="5B2459E2"/>
    <w:rsid w:val="5B24B6BA"/>
    <w:rsid w:val="5B25814A"/>
    <w:rsid w:val="5B26AB18"/>
    <w:rsid w:val="5B27D65C"/>
    <w:rsid w:val="5B2831EE"/>
    <w:rsid w:val="5B285C75"/>
    <w:rsid w:val="5B287CDF"/>
    <w:rsid w:val="5B28C55B"/>
    <w:rsid w:val="5B29066A"/>
    <w:rsid w:val="5B2987C1"/>
    <w:rsid w:val="5B299114"/>
    <w:rsid w:val="5B29A8C1"/>
    <w:rsid w:val="5B2B26F4"/>
    <w:rsid w:val="5B2B5558"/>
    <w:rsid w:val="5B2B9672"/>
    <w:rsid w:val="5B2BBAAE"/>
    <w:rsid w:val="5B2BE062"/>
    <w:rsid w:val="5B2C3D1C"/>
    <w:rsid w:val="5B2E2177"/>
    <w:rsid w:val="5B2EDB81"/>
    <w:rsid w:val="5B2F63F9"/>
    <w:rsid w:val="5B302BAE"/>
    <w:rsid w:val="5B307D7B"/>
    <w:rsid w:val="5B3127BA"/>
    <w:rsid w:val="5B317C93"/>
    <w:rsid w:val="5B321B94"/>
    <w:rsid w:val="5B32821F"/>
    <w:rsid w:val="5B332F75"/>
    <w:rsid w:val="5B3398EA"/>
    <w:rsid w:val="5B344D3D"/>
    <w:rsid w:val="5B348C12"/>
    <w:rsid w:val="5B356D97"/>
    <w:rsid w:val="5B35F71D"/>
    <w:rsid w:val="5B3652D1"/>
    <w:rsid w:val="5B36A732"/>
    <w:rsid w:val="5B380565"/>
    <w:rsid w:val="5B380998"/>
    <w:rsid w:val="5B38A978"/>
    <w:rsid w:val="5B3969E5"/>
    <w:rsid w:val="5B3A4D68"/>
    <w:rsid w:val="5B3AB140"/>
    <w:rsid w:val="5B3AB45E"/>
    <w:rsid w:val="5B3BD539"/>
    <w:rsid w:val="5B3BEDCA"/>
    <w:rsid w:val="5B3C6384"/>
    <w:rsid w:val="5B3C89EE"/>
    <w:rsid w:val="5B3D652E"/>
    <w:rsid w:val="5B3EE67E"/>
    <w:rsid w:val="5B3EF918"/>
    <w:rsid w:val="5B3FBAA5"/>
    <w:rsid w:val="5B400BEF"/>
    <w:rsid w:val="5B40AA76"/>
    <w:rsid w:val="5B40E1D4"/>
    <w:rsid w:val="5B41838B"/>
    <w:rsid w:val="5B41BF2A"/>
    <w:rsid w:val="5B4201BE"/>
    <w:rsid w:val="5B4244A2"/>
    <w:rsid w:val="5B4289B0"/>
    <w:rsid w:val="5B4360C9"/>
    <w:rsid w:val="5B437422"/>
    <w:rsid w:val="5B4444FE"/>
    <w:rsid w:val="5B446A4E"/>
    <w:rsid w:val="5B452EEB"/>
    <w:rsid w:val="5B45BBF8"/>
    <w:rsid w:val="5B46BAC5"/>
    <w:rsid w:val="5B4775CD"/>
    <w:rsid w:val="5B4801CD"/>
    <w:rsid w:val="5B487B0E"/>
    <w:rsid w:val="5B4AB3FE"/>
    <w:rsid w:val="5B4ADF5F"/>
    <w:rsid w:val="5B4B4EF6"/>
    <w:rsid w:val="5B4B7A48"/>
    <w:rsid w:val="5B4BBB0A"/>
    <w:rsid w:val="5B4CE975"/>
    <w:rsid w:val="5B4D7CF1"/>
    <w:rsid w:val="5B4E0CBC"/>
    <w:rsid w:val="5B4EC88B"/>
    <w:rsid w:val="5B4F466F"/>
    <w:rsid w:val="5B501B2A"/>
    <w:rsid w:val="5B50BB00"/>
    <w:rsid w:val="5B512521"/>
    <w:rsid w:val="5B51A5AE"/>
    <w:rsid w:val="5B51C251"/>
    <w:rsid w:val="5B522998"/>
    <w:rsid w:val="5B557C38"/>
    <w:rsid w:val="5B5586D8"/>
    <w:rsid w:val="5B560FD4"/>
    <w:rsid w:val="5B5623DF"/>
    <w:rsid w:val="5B577972"/>
    <w:rsid w:val="5B57888D"/>
    <w:rsid w:val="5B57EFC9"/>
    <w:rsid w:val="5B597BD7"/>
    <w:rsid w:val="5B598EE3"/>
    <w:rsid w:val="5B59BFF9"/>
    <w:rsid w:val="5B5A8D73"/>
    <w:rsid w:val="5B5A9E79"/>
    <w:rsid w:val="5B5BA37D"/>
    <w:rsid w:val="5B5BE289"/>
    <w:rsid w:val="5B5C6D97"/>
    <w:rsid w:val="5B5CB69A"/>
    <w:rsid w:val="5B5CE7AB"/>
    <w:rsid w:val="5B5D4CE8"/>
    <w:rsid w:val="5B5ED591"/>
    <w:rsid w:val="5B5FD7E7"/>
    <w:rsid w:val="5B604622"/>
    <w:rsid w:val="5B606239"/>
    <w:rsid w:val="5B60896C"/>
    <w:rsid w:val="5B61E6EE"/>
    <w:rsid w:val="5B62DACB"/>
    <w:rsid w:val="5B633C8D"/>
    <w:rsid w:val="5B63CC0A"/>
    <w:rsid w:val="5B63F819"/>
    <w:rsid w:val="5B653813"/>
    <w:rsid w:val="5B65D9B6"/>
    <w:rsid w:val="5B65E0D0"/>
    <w:rsid w:val="5B66490A"/>
    <w:rsid w:val="5B6663ED"/>
    <w:rsid w:val="5B67119D"/>
    <w:rsid w:val="5B671272"/>
    <w:rsid w:val="5B672696"/>
    <w:rsid w:val="5B675581"/>
    <w:rsid w:val="5B683DC2"/>
    <w:rsid w:val="5B684940"/>
    <w:rsid w:val="5B68CFD6"/>
    <w:rsid w:val="5B68DE73"/>
    <w:rsid w:val="5B68ED47"/>
    <w:rsid w:val="5B69EEEF"/>
    <w:rsid w:val="5B6AAD7A"/>
    <w:rsid w:val="5B6AB76A"/>
    <w:rsid w:val="5B6B0ACC"/>
    <w:rsid w:val="5B6B3DB7"/>
    <w:rsid w:val="5B6BD7D1"/>
    <w:rsid w:val="5B6BE852"/>
    <w:rsid w:val="5B6C19DB"/>
    <w:rsid w:val="5B6C89AD"/>
    <w:rsid w:val="5B6CAE6A"/>
    <w:rsid w:val="5B6D3E87"/>
    <w:rsid w:val="5B6DDE70"/>
    <w:rsid w:val="5B6E3FCB"/>
    <w:rsid w:val="5B6E4A91"/>
    <w:rsid w:val="5B6F72FD"/>
    <w:rsid w:val="5B6FE11F"/>
    <w:rsid w:val="5B70C596"/>
    <w:rsid w:val="5B711EA3"/>
    <w:rsid w:val="5B71CEC0"/>
    <w:rsid w:val="5B720CB7"/>
    <w:rsid w:val="5B727FF7"/>
    <w:rsid w:val="5B72A731"/>
    <w:rsid w:val="5B72CCE8"/>
    <w:rsid w:val="5B734DA9"/>
    <w:rsid w:val="5B7378FA"/>
    <w:rsid w:val="5B73AB00"/>
    <w:rsid w:val="5B7490B3"/>
    <w:rsid w:val="5B757EEE"/>
    <w:rsid w:val="5B75935F"/>
    <w:rsid w:val="5B75C646"/>
    <w:rsid w:val="5B75CA4C"/>
    <w:rsid w:val="5B75DF01"/>
    <w:rsid w:val="5B76B492"/>
    <w:rsid w:val="5B76DAA7"/>
    <w:rsid w:val="5B77010B"/>
    <w:rsid w:val="5B780B46"/>
    <w:rsid w:val="5B7980BD"/>
    <w:rsid w:val="5B7A8951"/>
    <w:rsid w:val="5B7A9254"/>
    <w:rsid w:val="5B7AB440"/>
    <w:rsid w:val="5B7B5717"/>
    <w:rsid w:val="5B7CBD76"/>
    <w:rsid w:val="5B7CE394"/>
    <w:rsid w:val="5B7DEBA0"/>
    <w:rsid w:val="5B7E4BB5"/>
    <w:rsid w:val="5B7E5010"/>
    <w:rsid w:val="5B7ECB8E"/>
    <w:rsid w:val="5B7F64B0"/>
    <w:rsid w:val="5B80BEBC"/>
    <w:rsid w:val="5B8121BD"/>
    <w:rsid w:val="5B81678F"/>
    <w:rsid w:val="5B81B771"/>
    <w:rsid w:val="5B829350"/>
    <w:rsid w:val="5B852025"/>
    <w:rsid w:val="5B853A67"/>
    <w:rsid w:val="5B853CCB"/>
    <w:rsid w:val="5B855CE5"/>
    <w:rsid w:val="5B862C77"/>
    <w:rsid w:val="5B865B3C"/>
    <w:rsid w:val="5B8663B6"/>
    <w:rsid w:val="5B86802A"/>
    <w:rsid w:val="5B87229C"/>
    <w:rsid w:val="5B87517F"/>
    <w:rsid w:val="5B879C57"/>
    <w:rsid w:val="5B87B669"/>
    <w:rsid w:val="5B8802ED"/>
    <w:rsid w:val="5B888E27"/>
    <w:rsid w:val="5B8A98EC"/>
    <w:rsid w:val="5B8B1A04"/>
    <w:rsid w:val="5B8BA6D0"/>
    <w:rsid w:val="5B8BBE60"/>
    <w:rsid w:val="5B8BBFBB"/>
    <w:rsid w:val="5B8C3C62"/>
    <w:rsid w:val="5B8C684A"/>
    <w:rsid w:val="5B8C75EB"/>
    <w:rsid w:val="5B8D147A"/>
    <w:rsid w:val="5B8D4A48"/>
    <w:rsid w:val="5B8DD929"/>
    <w:rsid w:val="5B8E4696"/>
    <w:rsid w:val="5B8E4FFA"/>
    <w:rsid w:val="5B8F3E7D"/>
    <w:rsid w:val="5B8F5CEA"/>
    <w:rsid w:val="5B8FE9C0"/>
    <w:rsid w:val="5B8FF9D4"/>
    <w:rsid w:val="5B915F30"/>
    <w:rsid w:val="5B918535"/>
    <w:rsid w:val="5B921BFD"/>
    <w:rsid w:val="5B92347E"/>
    <w:rsid w:val="5B92B342"/>
    <w:rsid w:val="5B933CC5"/>
    <w:rsid w:val="5B93A159"/>
    <w:rsid w:val="5B93D953"/>
    <w:rsid w:val="5B94EBED"/>
    <w:rsid w:val="5B95DEA6"/>
    <w:rsid w:val="5B965B93"/>
    <w:rsid w:val="5B96E67E"/>
    <w:rsid w:val="5B97D6C7"/>
    <w:rsid w:val="5B97F3BB"/>
    <w:rsid w:val="5B97F411"/>
    <w:rsid w:val="5B982116"/>
    <w:rsid w:val="5B98A3A0"/>
    <w:rsid w:val="5B990996"/>
    <w:rsid w:val="5B99FD0E"/>
    <w:rsid w:val="5B9A2FBA"/>
    <w:rsid w:val="5B9A466B"/>
    <w:rsid w:val="5B9AB26F"/>
    <w:rsid w:val="5B9ACEAD"/>
    <w:rsid w:val="5B9AEF65"/>
    <w:rsid w:val="5B9AF7D8"/>
    <w:rsid w:val="5B9CD2FD"/>
    <w:rsid w:val="5B9D0A50"/>
    <w:rsid w:val="5B9D101F"/>
    <w:rsid w:val="5B9EFE77"/>
    <w:rsid w:val="5B9F2587"/>
    <w:rsid w:val="5B9F3356"/>
    <w:rsid w:val="5B9F8D94"/>
    <w:rsid w:val="5BA0738C"/>
    <w:rsid w:val="5BA0E345"/>
    <w:rsid w:val="5BA0EAEF"/>
    <w:rsid w:val="5BA13379"/>
    <w:rsid w:val="5BA1EF04"/>
    <w:rsid w:val="5BA2E439"/>
    <w:rsid w:val="5BA3DB51"/>
    <w:rsid w:val="5BA3FBFA"/>
    <w:rsid w:val="5BA45DDD"/>
    <w:rsid w:val="5BA4CB58"/>
    <w:rsid w:val="5BA52187"/>
    <w:rsid w:val="5BA556BB"/>
    <w:rsid w:val="5BA564A4"/>
    <w:rsid w:val="5BA5A82F"/>
    <w:rsid w:val="5BA68B75"/>
    <w:rsid w:val="5BA6F780"/>
    <w:rsid w:val="5BA789A2"/>
    <w:rsid w:val="5BA7E4D4"/>
    <w:rsid w:val="5BA95887"/>
    <w:rsid w:val="5BA9778D"/>
    <w:rsid w:val="5BAAA508"/>
    <w:rsid w:val="5BAAF63C"/>
    <w:rsid w:val="5BAAF80A"/>
    <w:rsid w:val="5BAB1DF3"/>
    <w:rsid w:val="5BAB71B7"/>
    <w:rsid w:val="5BAB9CB9"/>
    <w:rsid w:val="5BAD4FD3"/>
    <w:rsid w:val="5BADC0D1"/>
    <w:rsid w:val="5BADFD97"/>
    <w:rsid w:val="5BAE5507"/>
    <w:rsid w:val="5BAED2E7"/>
    <w:rsid w:val="5BAF7CF6"/>
    <w:rsid w:val="5BAFAEA5"/>
    <w:rsid w:val="5BB03563"/>
    <w:rsid w:val="5BB1B495"/>
    <w:rsid w:val="5BB239C1"/>
    <w:rsid w:val="5BB26261"/>
    <w:rsid w:val="5BB2BB3F"/>
    <w:rsid w:val="5BB2CFB1"/>
    <w:rsid w:val="5BB3215E"/>
    <w:rsid w:val="5BB3D749"/>
    <w:rsid w:val="5BB3DBB7"/>
    <w:rsid w:val="5BB49940"/>
    <w:rsid w:val="5BB4B396"/>
    <w:rsid w:val="5BB525A5"/>
    <w:rsid w:val="5BB546B2"/>
    <w:rsid w:val="5BB583F9"/>
    <w:rsid w:val="5BB6204F"/>
    <w:rsid w:val="5BB66BD5"/>
    <w:rsid w:val="5BB718D0"/>
    <w:rsid w:val="5BB72DF0"/>
    <w:rsid w:val="5BB76487"/>
    <w:rsid w:val="5BB77070"/>
    <w:rsid w:val="5BB8084F"/>
    <w:rsid w:val="5BB8CCA9"/>
    <w:rsid w:val="5BB918C2"/>
    <w:rsid w:val="5BBA4775"/>
    <w:rsid w:val="5BBAEE19"/>
    <w:rsid w:val="5BBB8041"/>
    <w:rsid w:val="5BBC35B9"/>
    <w:rsid w:val="5BBCA9A8"/>
    <w:rsid w:val="5BBD42CC"/>
    <w:rsid w:val="5BBD7583"/>
    <w:rsid w:val="5BBDB15F"/>
    <w:rsid w:val="5BBE14E7"/>
    <w:rsid w:val="5BC04C59"/>
    <w:rsid w:val="5BC0CA43"/>
    <w:rsid w:val="5BC0E4B3"/>
    <w:rsid w:val="5BC11CCF"/>
    <w:rsid w:val="5BC11D6E"/>
    <w:rsid w:val="5BC211FB"/>
    <w:rsid w:val="5BC26E2A"/>
    <w:rsid w:val="5BC37DF4"/>
    <w:rsid w:val="5BC3D985"/>
    <w:rsid w:val="5BC4FB7A"/>
    <w:rsid w:val="5BC54234"/>
    <w:rsid w:val="5BC5871B"/>
    <w:rsid w:val="5BC5BE11"/>
    <w:rsid w:val="5BC65361"/>
    <w:rsid w:val="5BC662A6"/>
    <w:rsid w:val="5BC6C335"/>
    <w:rsid w:val="5BC7BA86"/>
    <w:rsid w:val="5BC85EE8"/>
    <w:rsid w:val="5BC862D5"/>
    <w:rsid w:val="5BC90237"/>
    <w:rsid w:val="5BC9307A"/>
    <w:rsid w:val="5BCA3CF0"/>
    <w:rsid w:val="5BCA4927"/>
    <w:rsid w:val="5BCA533A"/>
    <w:rsid w:val="5BCAD12C"/>
    <w:rsid w:val="5BCBFF1C"/>
    <w:rsid w:val="5BCC634C"/>
    <w:rsid w:val="5BCD390E"/>
    <w:rsid w:val="5BCD3EE1"/>
    <w:rsid w:val="5BCD9862"/>
    <w:rsid w:val="5BCF77F5"/>
    <w:rsid w:val="5BCFD21C"/>
    <w:rsid w:val="5BCFF60B"/>
    <w:rsid w:val="5BD11E07"/>
    <w:rsid w:val="5BD1CD45"/>
    <w:rsid w:val="5BD2DC63"/>
    <w:rsid w:val="5BD2F0F8"/>
    <w:rsid w:val="5BD303BA"/>
    <w:rsid w:val="5BD3986F"/>
    <w:rsid w:val="5BD3B8B6"/>
    <w:rsid w:val="5BD3D0EF"/>
    <w:rsid w:val="5BD557DE"/>
    <w:rsid w:val="5BD55845"/>
    <w:rsid w:val="5BD64435"/>
    <w:rsid w:val="5BD75350"/>
    <w:rsid w:val="5BD7BC04"/>
    <w:rsid w:val="5BD87E0A"/>
    <w:rsid w:val="5BD8FE0C"/>
    <w:rsid w:val="5BDDC927"/>
    <w:rsid w:val="5BDE55C2"/>
    <w:rsid w:val="5BDF1937"/>
    <w:rsid w:val="5BDF7058"/>
    <w:rsid w:val="5BDF9126"/>
    <w:rsid w:val="5BDF93E8"/>
    <w:rsid w:val="5BDF9D08"/>
    <w:rsid w:val="5BDFA49D"/>
    <w:rsid w:val="5BDFD27D"/>
    <w:rsid w:val="5BDFE644"/>
    <w:rsid w:val="5BE01E0E"/>
    <w:rsid w:val="5BE0A803"/>
    <w:rsid w:val="5BE1B908"/>
    <w:rsid w:val="5BE21A74"/>
    <w:rsid w:val="5BE2F820"/>
    <w:rsid w:val="5BE30552"/>
    <w:rsid w:val="5BE317A6"/>
    <w:rsid w:val="5BE34995"/>
    <w:rsid w:val="5BE40428"/>
    <w:rsid w:val="5BE43546"/>
    <w:rsid w:val="5BE459B9"/>
    <w:rsid w:val="5BE4806F"/>
    <w:rsid w:val="5BE4ABAA"/>
    <w:rsid w:val="5BE4D7E2"/>
    <w:rsid w:val="5BE5E9CA"/>
    <w:rsid w:val="5BE66C4A"/>
    <w:rsid w:val="5BE699F6"/>
    <w:rsid w:val="5BE6D667"/>
    <w:rsid w:val="5BE6DCBC"/>
    <w:rsid w:val="5BE79801"/>
    <w:rsid w:val="5BE8019D"/>
    <w:rsid w:val="5BE83BC4"/>
    <w:rsid w:val="5BE8485E"/>
    <w:rsid w:val="5BE86B50"/>
    <w:rsid w:val="5BE884F5"/>
    <w:rsid w:val="5BE88BAA"/>
    <w:rsid w:val="5BEA1D9D"/>
    <w:rsid w:val="5BEA4CA7"/>
    <w:rsid w:val="5BED12F5"/>
    <w:rsid w:val="5BED904E"/>
    <w:rsid w:val="5BEDCC6A"/>
    <w:rsid w:val="5BEDF316"/>
    <w:rsid w:val="5BEEA032"/>
    <w:rsid w:val="5BEEBE26"/>
    <w:rsid w:val="5BEEC8C2"/>
    <w:rsid w:val="5BEF2F68"/>
    <w:rsid w:val="5BEF3602"/>
    <w:rsid w:val="5BF09911"/>
    <w:rsid w:val="5BF0B67E"/>
    <w:rsid w:val="5BF0C28A"/>
    <w:rsid w:val="5BF11769"/>
    <w:rsid w:val="5BF13711"/>
    <w:rsid w:val="5BF1ACB5"/>
    <w:rsid w:val="5BF1E2D3"/>
    <w:rsid w:val="5BF2BBAC"/>
    <w:rsid w:val="5BF2D50B"/>
    <w:rsid w:val="5BF2DD08"/>
    <w:rsid w:val="5BF32DB2"/>
    <w:rsid w:val="5BF37BEE"/>
    <w:rsid w:val="5BF4367D"/>
    <w:rsid w:val="5BF43AEE"/>
    <w:rsid w:val="5BF470A8"/>
    <w:rsid w:val="5BF55DE9"/>
    <w:rsid w:val="5BF5E439"/>
    <w:rsid w:val="5BF64611"/>
    <w:rsid w:val="5BF6714F"/>
    <w:rsid w:val="5BF70CAD"/>
    <w:rsid w:val="5BF70DB9"/>
    <w:rsid w:val="5BF7F7CF"/>
    <w:rsid w:val="5BF84E01"/>
    <w:rsid w:val="5BF955C4"/>
    <w:rsid w:val="5BF97769"/>
    <w:rsid w:val="5BFA4CBC"/>
    <w:rsid w:val="5BFBB403"/>
    <w:rsid w:val="5BFCC85E"/>
    <w:rsid w:val="5BFD5D87"/>
    <w:rsid w:val="5BFE8C1B"/>
    <w:rsid w:val="5BFE98BF"/>
    <w:rsid w:val="5BFF1A74"/>
    <w:rsid w:val="5BFFA18C"/>
    <w:rsid w:val="5BFFCC20"/>
    <w:rsid w:val="5BFFE2DE"/>
    <w:rsid w:val="5C0073F2"/>
    <w:rsid w:val="5C00A249"/>
    <w:rsid w:val="5C0184AF"/>
    <w:rsid w:val="5C020EF2"/>
    <w:rsid w:val="5C022E56"/>
    <w:rsid w:val="5C0231C5"/>
    <w:rsid w:val="5C033033"/>
    <w:rsid w:val="5C0353F5"/>
    <w:rsid w:val="5C0391BE"/>
    <w:rsid w:val="5C03C900"/>
    <w:rsid w:val="5C041AA1"/>
    <w:rsid w:val="5C04BC71"/>
    <w:rsid w:val="5C0555F4"/>
    <w:rsid w:val="5C0661C5"/>
    <w:rsid w:val="5C067617"/>
    <w:rsid w:val="5C0679D0"/>
    <w:rsid w:val="5C07E781"/>
    <w:rsid w:val="5C090164"/>
    <w:rsid w:val="5C0952CA"/>
    <w:rsid w:val="5C098791"/>
    <w:rsid w:val="5C09E3F5"/>
    <w:rsid w:val="5C0A91CE"/>
    <w:rsid w:val="5C0AC365"/>
    <w:rsid w:val="5C0BD70E"/>
    <w:rsid w:val="5C0D3A47"/>
    <w:rsid w:val="5C0D4AE8"/>
    <w:rsid w:val="5C0D8004"/>
    <w:rsid w:val="5C0DABA1"/>
    <w:rsid w:val="5C0E2176"/>
    <w:rsid w:val="5C0E860D"/>
    <w:rsid w:val="5C0F85B7"/>
    <w:rsid w:val="5C0FCBA3"/>
    <w:rsid w:val="5C10D251"/>
    <w:rsid w:val="5C111192"/>
    <w:rsid w:val="5C122EE3"/>
    <w:rsid w:val="5C123789"/>
    <w:rsid w:val="5C127C1D"/>
    <w:rsid w:val="5C12ED1A"/>
    <w:rsid w:val="5C130CB1"/>
    <w:rsid w:val="5C148333"/>
    <w:rsid w:val="5C156422"/>
    <w:rsid w:val="5C15AF7B"/>
    <w:rsid w:val="5C176887"/>
    <w:rsid w:val="5C179D41"/>
    <w:rsid w:val="5C180473"/>
    <w:rsid w:val="5C180FA0"/>
    <w:rsid w:val="5C1848E3"/>
    <w:rsid w:val="5C18C4FC"/>
    <w:rsid w:val="5C1907FA"/>
    <w:rsid w:val="5C1CB1A1"/>
    <w:rsid w:val="5C1CFF59"/>
    <w:rsid w:val="5C1D26DF"/>
    <w:rsid w:val="5C1DEBFE"/>
    <w:rsid w:val="5C1E89AB"/>
    <w:rsid w:val="5C1EE311"/>
    <w:rsid w:val="5C1F6657"/>
    <w:rsid w:val="5C1F7A8F"/>
    <w:rsid w:val="5C1F85A4"/>
    <w:rsid w:val="5C1FA481"/>
    <w:rsid w:val="5C1FB0F9"/>
    <w:rsid w:val="5C1FD379"/>
    <w:rsid w:val="5C201741"/>
    <w:rsid w:val="5C20649E"/>
    <w:rsid w:val="5C20DDB3"/>
    <w:rsid w:val="5C210A5C"/>
    <w:rsid w:val="5C2132D3"/>
    <w:rsid w:val="5C21CEB1"/>
    <w:rsid w:val="5C21E721"/>
    <w:rsid w:val="5C223C66"/>
    <w:rsid w:val="5C22AF33"/>
    <w:rsid w:val="5C23B9D0"/>
    <w:rsid w:val="5C240FE1"/>
    <w:rsid w:val="5C24C282"/>
    <w:rsid w:val="5C24EC98"/>
    <w:rsid w:val="5C25B6F1"/>
    <w:rsid w:val="5C2644B6"/>
    <w:rsid w:val="5C26D954"/>
    <w:rsid w:val="5C275749"/>
    <w:rsid w:val="5C286333"/>
    <w:rsid w:val="5C293087"/>
    <w:rsid w:val="5C297665"/>
    <w:rsid w:val="5C2A746D"/>
    <w:rsid w:val="5C2B2EF4"/>
    <w:rsid w:val="5C2B7AE0"/>
    <w:rsid w:val="5C2BF92E"/>
    <w:rsid w:val="5C2C3F7E"/>
    <w:rsid w:val="5C2C4E22"/>
    <w:rsid w:val="5C2C7B9D"/>
    <w:rsid w:val="5C2CD840"/>
    <w:rsid w:val="5C2E49A1"/>
    <w:rsid w:val="5C2EC00D"/>
    <w:rsid w:val="5C2EE2E1"/>
    <w:rsid w:val="5C2EEC3E"/>
    <w:rsid w:val="5C30147B"/>
    <w:rsid w:val="5C303FA4"/>
    <w:rsid w:val="5C30A278"/>
    <w:rsid w:val="5C30F96B"/>
    <w:rsid w:val="5C3181EF"/>
    <w:rsid w:val="5C31B9BB"/>
    <w:rsid w:val="5C33EBB9"/>
    <w:rsid w:val="5C34EBAC"/>
    <w:rsid w:val="5C350882"/>
    <w:rsid w:val="5C350B1D"/>
    <w:rsid w:val="5C355635"/>
    <w:rsid w:val="5C358B83"/>
    <w:rsid w:val="5C35EC65"/>
    <w:rsid w:val="5C363D9C"/>
    <w:rsid w:val="5C36A714"/>
    <w:rsid w:val="5C36D434"/>
    <w:rsid w:val="5C38B343"/>
    <w:rsid w:val="5C38B7B5"/>
    <w:rsid w:val="5C3907BB"/>
    <w:rsid w:val="5C39DAE0"/>
    <w:rsid w:val="5C3AD230"/>
    <w:rsid w:val="5C3B2B17"/>
    <w:rsid w:val="5C3D214D"/>
    <w:rsid w:val="5C3D4BB0"/>
    <w:rsid w:val="5C3D9B9A"/>
    <w:rsid w:val="5C3E7F4B"/>
    <w:rsid w:val="5C3EE22F"/>
    <w:rsid w:val="5C3F1361"/>
    <w:rsid w:val="5C3F1ECB"/>
    <w:rsid w:val="5C3F3F90"/>
    <w:rsid w:val="5C4096B3"/>
    <w:rsid w:val="5C40C4EE"/>
    <w:rsid w:val="5C41CA33"/>
    <w:rsid w:val="5C42DB5B"/>
    <w:rsid w:val="5C440329"/>
    <w:rsid w:val="5C445CA5"/>
    <w:rsid w:val="5C4490BF"/>
    <w:rsid w:val="5C44A678"/>
    <w:rsid w:val="5C44B6FC"/>
    <w:rsid w:val="5C45165D"/>
    <w:rsid w:val="5C45738C"/>
    <w:rsid w:val="5C479154"/>
    <w:rsid w:val="5C48C6DE"/>
    <w:rsid w:val="5C48DB1D"/>
    <w:rsid w:val="5C495C6E"/>
    <w:rsid w:val="5C496FFC"/>
    <w:rsid w:val="5C49F8BC"/>
    <w:rsid w:val="5C4AA8E5"/>
    <w:rsid w:val="5C4B5EA4"/>
    <w:rsid w:val="5C4BA5D2"/>
    <w:rsid w:val="5C4CD2AB"/>
    <w:rsid w:val="5C4CF3CF"/>
    <w:rsid w:val="5C4D3B1E"/>
    <w:rsid w:val="5C4D56EF"/>
    <w:rsid w:val="5C4D923C"/>
    <w:rsid w:val="5C4DEE5E"/>
    <w:rsid w:val="5C4EE55F"/>
    <w:rsid w:val="5C4F0879"/>
    <w:rsid w:val="5C4FD2F8"/>
    <w:rsid w:val="5C4FDD3D"/>
    <w:rsid w:val="5C505555"/>
    <w:rsid w:val="5C50685D"/>
    <w:rsid w:val="5C527620"/>
    <w:rsid w:val="5C535C0B"/>
    <w:rsid w:val="5C537886"/>
    <w:rsid w:val="5C53981E"/>
    <w:rsid w:val="5C546A13"/>
    <w:rsid w:val="5C54C6E4"/>
    <w:rsid w:val="5C56FE3C"/>
    <w:rsid w:val="5C577D5D"/>
    <w:rsid w:val="5C57A6C6"/>
    <w:rsid w:val="5C590E88"/>
    <w:rsid w:val="5C595CA2"/>
    <w:rsid w:val="5C596CDF"/>
    <w:rsid w:val="5C59DD54"/>
    <w:rsid w:val="5C59F8D5"/>
    <w:rsid w:val="5C5A7488"/>
    <w:rsid w:val="5C5AB238"/>
    <w:rsid w:val="5C5B33BD"/>
    <w:rsid w:val="5C5B399E"/>
    <w:rsid w:val="5C5BD33F"/>
    <w:rsid w:val="5C5CB64E"/>
    <w:rsid w:val="5C5D23AA"/>
    <w:rsid w:val="5C5E057E"/>
    <w:rsid w:val="5C60114F"/>
    <w:rsid w:val="5C60498E"/>
    <w:rsid w:val="5C613FD8"/>
    <w:rsid w:val="5C614070"/>
    <w:rsid w:val="5C61AC2E"/>
    <w:rsid w:val="5C62E7BB"/>
    <w:rsid w:val="5C6354F4"/>
    <w:rsid w:val="5C64BF8D"/>
    <w:rsid w:val="5C650527"/>
    <w:rsid w:val="5C6594E1"/>
    <w:rsid w:val="5C662B09"/>
    <w:rsid w:val="5C665E7D"/>
    <w:rsid w:val="5C667424"/>
    <w:rsid w:val="5C66B296"/>
    <w:rsid w:val="5C678D71"/>
    <w:rsid w:val="5C67E930"/>
    <w:rsid w:val="5C685C31"/>
    <w:rsid w:val="5C686A11"/>
    <w:rsid w:val="5C68D700"/>
    <w:rsid w:val="5C6914CA"/>
    <w:rsid w:val="5C69167C"/>
    <w:rsid w:val="5C6944B4"/>
    <w:rsid w:val="5C6A9484"/>
    <w:rsid w:val="5C6ADB19"/>
    <w:rsid w:val="5C6B942B"/>
    <w:rsid w:val="5C6C139C"/>
    <w:rsid w:val="5C6C54E3"/>
    <w:rsid w:val="5C6D3CB2"/>
    <w:rsid w:val="5C717E24"/>
    <w:rsid w:val="5C71BAC2"/>
    <w:rsid w:val="5C7201CC"/>
    <w:rsid w:val="5C725FC4"/>
    <w:rsid w:val="5C72EFA6"/>
    <w:rsid w:val="5C739ABC"/>
    <w:rsid w:val="5C74143E"/>
    <w:rsid w:val="5C749DEA"/>
    <w:rsid w:val="5C75E3E5"/>
    <w:rsid w:val="5C75E641"/>
    <w:rsid w:val="5C761F6B"/>
    <w:rsid w:val="5C762935"/>
    <w:rsid w:val="5C7661BC"/>
    <w:rsid w:val="5C76B8D8"/>
    <w:rsid w:val="5C76D968"/>
    <w:rsid w:val="5C779E2F"/>
    <w:rsid w:val="5C780B40"/>
    <w:rsid w:val="5C782338"/>
    <w:rsid w:val="5C788BE4"/>
    <w:rsid w:val="5C78B980"/>
    <w:rsid w:val="5C792C76"/>
    <w:rsid w:val="5C793615"/>
    <w:rsid w:val="5C79ACE3"/>
    <w:rsid w:val="5C7A6BB0"/>
    <w:rsid w:val="5C7A6E54"/>
    <w:rsid w:val="5C7A8CCD"/>
    <w:rsid w:val="5C7AA808"/>
    <w:rsid w:val="5C7ADFF6"/>
    <w:rsid w:val="5C7B3AB7"/>
    <w:rsid w:val="5C7B454E"/>
    <w:rsid w:val="5C7C27EE"/>
    <w:rsid w:val="5C7C69D3"/>
    <w:rsid w:val="5C7D5FD9"/>
    <w:rsid w:val="5C7DA5FB"/>
    <w:rsid w:val="5C7E2F75"/>
    <w:rsid w:val="5C7EF555"/>
    <w:rsid w:val="5C7F9C72"/>
    <w:rsid w:val="5C80E4F1"/>
    <w:rsid w:val="5C811CAD"/>
    <w:rsid w:val="5C81556A"/>
    <w:rsid w:val="5C8161A3"/>
    <w:rsid w:val="5C821822"/>
    <w:rsid w:val="5C83736C"/>
    <w:rsid w:val="5C84C925"/>
    <w:rsid w:val="5C8559F3"/>
    <w:rsid w:val="5C85C4E9"/>
    <w:rsid w:val="5C85CB91"/>
    <w:rsid w:val="5C86137C"/>
    <w:rsid w:val="5C86202A"/>
    <w:rsid w:val="5C870C8B"/>
    <w:rsid w:val="5C876241"/>
    <w:rsid w:val="5C889198"/>
    <w:rsid w:val="5C88E7D9"/>
    <w:rsid w:val="5C890BA6"/>
    <w:rsid w:val="5C8AB4FD"/>
    <w:rsid w:val="5C8B2EA5"/>
    <w:rsid w:val="5C8B88E2"/>
    <w:rsid w:val="5C8BDFD8"/>
    <w:rsid w:val="5C8BF5DC"/>
    <w:rsid w:val="5C8C2F07"/>
    <w:rsid w:val="5C8C7ECA"/>
    <w:rsid w:val="5C8C838D"/>
    <w:rsid w:val="5C8C9165"/>
    <w:rsid w:val="5C8D39BF"/>
    <w:rsid w:val="5C8EE690"/>
    <w:rsid w:val="5C8F1BE1"/>
    <w:rsid w:val="5C8F44D5"/>
    <w:rsid w:val="5C8FBF8F"/>
    <w:rsid w:val="5C901174"/>
    <w:rsid w:val="5C906EE6"/>
    <w:rsid w:val="5C90A124"/>
    <w:rsid w:val="5C90EE30"/>
    <w:rsid w:val="5C91A264"/>
    <w:rsid w:val="5C925745"/>
    <w:rsid w:val="5C92E2C1"/>
    <w:rsid w:val="5C9349BD"/>
    <w:rsid w:val="5C938EE4"/>
    <w:rsid w:val="5C93CD4E"/>
    <w:rsid w:val="5C94621B"/>
    <w:rsid w:val="5C947C36"/>
    <w:rsid w:val="5C9493ED"/>
    <w:rsid w:val="5C956D54"/>
    <w:rsid w:val="5C95BA32"/>
    <w:rsid w:val="5C961DA6"/>
    <w:rsid w:val="5C965B00"/>
    <w:rsid w:val="5C96F0F3"/>
    <w:rsid w:val="5C976BFA"/>
    <w:rsid w:val="5C986343"/>
    <w:rsid w:val="5C98F205"/>
    <w:rsid w:val="5C990A37"/>
    <w:rsid w:val="5C999066"/>
    <w:rsid w:val="5C999E86"/>
    <w:rsid w:val="5C9A9496"/>
    <w:rsid w:val="5C9B43D4"/>
    <w:rsid w:val="5C9C22E1"/>
    <w:rsid w:val="5C9D12DF"/>
    <w:rsid w:val="5C9D4068"/>
    <w:rsid w:val="5C9DA922"/>
    <w:rsid w:val="5C9DABFA"/>
    <w:rsid w:val="5C9DBD55"/>
    <w:rsid w:val="5C9F9CD2"/>
    <w:rsid w:val="5CA062C8"/>
    <w:rsid w:val="5CA1AE0E"/>
    <w:rsid w:val="5CA1F0E3"/>
    <w:rsid w:val="5CA205C1"/>
    <w:rsid w:val="5CA26094"/>
    <w:rsid w:val="5CA33860"/>
    <w:rsid w:val="5CA34602"/>
    <w:rsid w:val="5CA3DE9E"/>
    <w:rsid w:val="5CA4199F"/>
    <w:rsid w:val="5CA4B56F"/>
    <w:rsid w:val="5CA533A2"/>
    <w:rsid w:val="5CA548FF"/>
    <w:rsid w:val="5CA56D18"/>
    <w:rsid w:val="5CA59357"/>
    <w:rsid w:val="5CA61B47"/>
    <w:rsid w:val="5CA693D4"/>
    <w:rsid w:val="5CA6C659"/>
    <w:rsid w:val="5CA6D4BA"/>
    <w:rsid w:val="5CA70BD2"/>
    <w:rsid w:val="5CA724F3"/>
    <w:rsid w:val="5CA99689"/>
    <w:rsid w:val="5CA99CBD"/>
    <w:rsid w:val="5CAA24EA"/>
    <w:rsid w:val="5CAA8304"/>
    <w:rsid w:val="5CAA94FE"/>
    <w:rsid w:val="5CAAFEEF"/>
    <w:rsid w:val="5CAB19B1"/>
    <w:rsid w:val="5CABFAEE"/>
    <w:rsid w:val="5CAC42C9"/>
    <w:rsid w:val="5CAC644B"/>
    <w:rsid w:val="5CACF2AB"/>
    <w:rsid w:val="5CAD1380"/>
    <w:rsid w:val="5CAD333F"/>
    <w:rsid w:val="5CAD64DA"/>
    <w:rsid w:val="5CADB641"/>
    <w:rsid w:val="5CAE4B83"/>
    <w:rsid w:val="5CAE6B9C"/>
    <w:rsid w:val="5CAF1A88"/>
    <w:rsid w:val="5CAF830C"/>
    <w:rsid w:val="5CAFF197"/>
    <w:rsid w:val="5CB03772"/>
    <w:rsid w:val="5CB07A15"/>
    <w:rsid w:val="5CB1A7C7"/>
    <w:rsid w:val="5CB32D74"/>
    <w:rsid w:val="5CB38A89"/>
    <w:rsid w:val="5CB3A79A"/>
    <w:rsid w:val="5CB55C3D"/>
    <w:rsid w:val="5CB59968"/>
    <w:rsid w:val="5CB69F04"/>
    <w:rsid w:val="5CB6B841"/>
    <w:rsid w:val="5CB78145"/>
    <w:rsid w:val="5CB88378"/>
    <w:rsid w:val="5CB8F892"/>
    <w:rsid w:val="5CB901DB"/>
    <w:rsid w:val="5CB9E9D2"/>
    <w:rsid w:val="5CBAF53D"/>
    <w:rsid w:val="5CBBEEF0"/>
    <w:rsid w:val="5CBCCBBC"/>
    <w:rsid w:val="5CBCE12D"/>
    <w:rsid w:val="5CBCE1D1"/>
    <w:rsid w:val="5CBD0B97"/>
    <w:rsid w:val="5CBD11AF"/>
    <w:rsid w:val="5CBDB5A6"/>
    <w:rsid w:val="5CBE85AF"/>
    <w:rsid w:val="5CBEBF1E"/>
    <w:rsid w:val="5CC0249C"/>
    <w:rsid w:val="5CC0C615"/>
    <w:rsid w:val="5CC19047"/>
    <w:rsid w:val="5CC20303"/>
    <w:rsid w:val="5CC21EDE"/>
    <w:rsid w:val="5CC222F5"/>
    <w:rsid w:val="5CC23F88"/>
    <w:rsid w:val="5CC2EEE0"/>
    <w:rsid w:val="5CC2F7D3"/>
    <w:rsid w:val="5CC3ADE2"/>
    <w:rsid w:val="5CC3F45C"/>
    <w:rsid w:val="5CC459A9"/>
    <w:rsid w:val="5CC5DC49"/>
    <w:rsid w:val="5CC603CA"/>
    <w:rsid w:val="5CC62163"/>
    <w:rsid w:val="5CC6EBF7"/>
    <w:rsid w:val="5CC70E70"/>
    <w:rsid w:val="5CC73AC2"/>
    <w:rsid w:val="5CC7A497"/>
    <w:rsid w:val="5CC7F64A"/>
    <w:rsid w:val="5CC868EE"/>
    <w:rsid w:val="5CC89166"/>
    <w:rsid w:val="5CC8E24F"/>
    <w:rsid w:val="5CCA3C20"/>
    <w:rsid w:val="5CCADE73"/>
    <w:rsid w:val="5CCBDD72"/>
    <w:rsid w:val="5CCC1EE8"/>
    <w:rsid w:val="5CCC9EE3"/>
    <w:rsid w:val="5CCD23D5"/>
    <w:rsid w:val="5CCDA65B"/>
    <w:rsid w:val="5CCEC7E1"/>
    <w:rsid w:val="5CCF17E0"/>
    <w:rsid w:val="5CCF20AE"/>
    <w:rsid w:val="5CD00499"/>
    <w:rsid w:val="5CD0586E"/>
    <w:rsid w:val="5CD0843B"/>
    <w:rsid w:val="5CD0D8A1"/>
    <w:rsid w:val="5CD0E604"/>
    <w:rsid w:val="5CD1AF1F"/>
    <w:rsid w:val="5CD23F16"/>
    <w:rsid w:val="5CD25FAC"/>
    <w:rsid w:val="5CD341D5"/>
    <w:rsid w:val="5CD448EE"/>
    <w:rsid w:val="5CD5183B"/>
    <w:rsid w:val="5CD57114"/>
    <w:rsid w:val="5CD580CF"/>
    <w:rsid w:val="5CD6426F"/>
    <w:rsid w:val="5CD76C5C"/>
    <w:rsid w:val="5CD79A6B"/>
    <w:rsid w:val="5CD7A7D1"/>
    <w:rsid w:val="5CD87B71"/>
    <w:rsid w:val="5CD8C523"/>
    <w:rsid w:val="5CD8EF48"/>
    <w:rsid w:val="5CD95FEE"/>
    <w:rsid w:val="5CD96A87"/>
    <w:rsid w:val="5CD9AB78"/>
    <w:rsid w:val="5CD9BD09"/>
    <w:rsid w:val="5CD9D3C8"/>
    <w:rsid w:val="5CDAB9AE"/>
    <w:rsid w:val="5CDB3504"/>
    <w:rsid w:val="5CDB4F75"/>
    <w:rsid w:val="5CDB6ADE"/>
    <w:rsid w:val="5CDBDC58"/>
    <w:rsid w:val="5CDBFAB2"/>
    <w:rsid w:val="5CDC0C94"/>
    <w:rsid w:val="5CDC66CA"/>
    <w:rsid w:val="5CDC9F5E"/>
    <w:rsid w:val="5CDCF37B"/>
    <w:rsid w:val="5CDD8FDB"/>
    <w:rsid w:val="5CDEB39B"/>
    <w:rsid w:val="5CDF1DE9"/>
    <w:rsid w:val="5CE178DB"/>
    <w:rsid w:val="5CE1866B"/>
    <w:rsid w:val="5CE1B207"/>
    <w:rsid w:val="5CE24D3A"/>
    <w:rsid w:val="5CE27C3F"/>
    <w:rsid w:val="5CE2DD5A"/>
    <w:rsid w:val="5CE32312"/>
    <w:rsid w:val="5CE33F74"/>
    <w:rsid w:val="5CE35E0B"/>
    <w:rsid w:val="5CE3652C"/>
    <w:rsid w:val="5CE3F25C"/>
    <w:rsid w:val="5CE43F10"/>
    <w:rsid w:val="5CE49A7E"/>
    <w:rsid w:val="5CE4E253"/>
    <w:rsid w:val="5CE589EE"/>
    <w:rsid w:val="5CE5B35E"/>
    <w:rsid w:val="5CE67BEC"/>
    <w:rsid w:val="5CE6AB8E"/>
    <w:rsid w:val="5CE706E6"/>
    <w:rsid w:val="5CE70F68"/>
    <w:rsid w:val="5CE78EBB"/>
    <w:rsid w:val="5CE7AB84"/>
    <w:rsid w:val="5CE82C97"/>
    <w:rsid w:val="5CE879D3"/>
    <w:rsid w:val="5CE8F392"/>
    <w:rsid w:val="5CE953EC"/>
    <w:rsid w:val="5CE970F6"/>
    <w:rsid w:val="5CEA020D"/>
    <w:rsid w:val="5CEA121C"/>
    <w:rsid w:val="5CECB5CD"/>
    <w:rsid w:val="5CECB824"/>
    <w:rsid w:val="5CED4578"/>
    <w:rsid w:val="5CEE512B"/>
    <w:rsid w:val="5CEEA834"/>
    <w:rsid w:val="5CEF8F98"/>
    <w:rsid w:val="5CF019C7"/>
    <w:rsid w:val="5CF08FE8"/>
    <w:rsid w:val="5CF0A8D0"/>
    <w:rsid w:val="5CF24CC4"/>
    <w:rsid w:val="5CF2DB1D"/>
    <w:rsid w:val="5CF34938"/>
    <w:rsid w:val="5CF42453"/>
    <w:rsid w:val="5CF4A0A1"/>
    <w:rsid w:val="5CF5F913"/>
    <w:rsid w:val="5CF60BBA"/>
    <w:rsid w:val="5CF74AF7"/>
    <w:rsid w:val="5CF74C29"/>
    <w:rsid w:val="5CF77BD9"/>
    <w:rsid w:val="5CF7E6C8"/>
    <w:rsid w:val="5CF85E7C"/>
    <w:rsid w:val="5CF8942E"/>
    <w:rsid w:val="5CF8F2BA"/>
    <w:rsid w:val="5CF91C1A"/>
    <w:rsid w:val="5CF928F9"/>
    <w:rsid w:val="5CF98CC4"/>
    <w:rsid w:val="5CF9C9CD"/>
    <w:rsid w:val="5CFA24C3"/>
    <w:rsid w:val="5CFA2D54"/>
    <w:rsid w:val="5CFA5D5C"/>
    <w:rsid w:val="5CFB91F4"/>
    <w:rsid w:val="5CFC0721"/>
    <w:rsid w:val="5CFC1F93"/>
    <w:rsid w:val="5CFD1318"/>
    <w:rsid w:val="5CFD9188"/>
    <w:rsid w:val="5CFE07BA"/>
    <w:rsid w:val="5CFE2840"/>
    <w:rsid w:val="5CFE899F"/>
    <w:rsid w:val="5CFEE097"/>
    <w:rsid w:val="5CFF035B"/>
    <w:rsid w:val="5CFF49FE"/>
    <w:rsid w:val="5D000B62"/>
    <w:rsid w:val="5D003DDF"/>
    <w:rsid w:val="5D00ED1A"/>
    <w:rsid w:val="5D00EDE6"/>
    <w:rsid w:val="5D00F9BD"/>
    <w:rsid w:val="5D017340"/>
    <w:rsid w:val="5D01AFD8"/>
    <w:rsid w:val="5D01CD86"/>
    <w:rsid w:val="5D01CE60"/>
    <w:rsid w:val="5D035285"/>
    <w:rsid w:val="5D037573"/>
    <w:rsid w:val="5D03B420"/>
    <w:rsid w:val="5D042D03"/>
    <w:rsid w:val="5D0433B6"/>
    <w:rsid w:val="5D043949"/>
    <w:rsid w:val="5D045546"/>
    <w:rsid w:val="5D04B451"/>
    <w:rsid w:val="5D053956"/>
    <w:rsid w:val="5D05C3D5"/>
    <w:rsid w:val="5D061A05"/>
    <w:rsid w:val="5D064FCE"/>
    <w:rsid w:val="5D0690BE"/>
    <w:rsid w:val="5D0696A8"/>
    <w:rsid w:val="5D07C7A1"/>
    <w:rsid w:val="5D07EAC9"/>
    <w:rsid w:val="5D08930D"/>
    <w:rsid w:val="5D08B417"/>
    <w:rsid w:val="5D093D51"/>
    <w:rsid w:val="5D0965E6"/>
    <w:rsid w:val="5D0A59A5"/>
    <w:rsid w:val="5D0AA12B"/>
    <w:rsid w:val="5D0ACAE8"/>
    <w:rsid w:val="5D0B3AC6"/>
    <w:rsid w:val="5D0BE0F8"/>
    <w:rsid w:val="5D0BF8FA"/>
    <w:rsid w:val="5D0C45CD"/>
    <w:rsid w:val="5D0C46E6"/>
    <w:rsid w:val="5D0D270D"/>
    <w:rsid w:val="5D0D922C"/>
    <w:rsid w:val="5D0D9B82"/>
    <w:rsid w:val="5D0F58CE"/>
    <w:rsid w:val="5D0F9D7F"/>
    <w:rsid w:val="5D10B33D"/>
    <w:rsid w:val="5D10F3E0"/>
    <w:rsid w:val="5D118410"/>
    <w:rsid w:val="5D11C957"/>
    <w:rsid w:val="5D121631"/>
    <w:rsid w:val="5D130A2D"/>
    <w:rsid w:val="5D1407E9"/>
    <w:rsid w:val="5D141483"/>
    <w:rsid w:val="5D146AB9"/>
    <w:rsid w:val="5D1503A2"/>
    <w:rsid w:val="5D153816"/>
    <w:rsid w:val="5D158585"/>
    <w:rsid w:val="5D15BA6E"/>
    <w:rsid w:val="5D1614ED"/>
    <w:rsid w:val="5D1672F3"/>
    <w:rsid w:val="5D1784DD"/>
    <w:rsid w:val="5D179C6E"/>
    <w:rsid w:val="5D17B22D"/>
    <w:rsid w:val="5D1803B6"/>
    <w:rsid w:val="5D18145C"/>
    <w:rsid w:val="5D183FB0"/>
    <w:rsid w:val="5D188398"/>
    <w:rsid w:val="5D194B99"/>
    <w:rsid w:val="5D1A08EA"/>
    <w:rsid w:val="5D1A3DBB"/>
    <w:rsid w:val="5D1ACBC5"/>
    <w:rsid w:val="5D1B87CC"/>
    <w:rsid w:val="5D1CF5CA"/>
    <w:rsid w:val="5D1CFF3E"/>
    <w:rsid w:val="5D1D79BF"/>
    <w:rsid w:val="5D1DA603"/>
    <w:rsid w:val="5D1DDDB7"/>
    <w:rsid w:val="5D1EF544"/>
    <w:rsid w:val="5D1F9E6A"/>
    <w:rsid w:val="5D203BAB"/>
    <w:rsid w:val="5D20550F"/>
    <w:rsid w:val="5D2072D0"/>
    <w:rsid w:val="5D214A77"/>
    <w:rsid w:val="5D220B90"/>
    <w:rsid w:val="5D2214DF"/>
    <w:rsid w:val="5D2350E1"/>
    <w:rsid w:val="5D2443C2"/>
    <w:rsid w:val="5D24E906"/>
    <w:rsid w:val="5D252645"/>
    <w:rsid w:val="5D26B580"/>
    <w:rsid w:val="5D26BBAB"/>
    <w:rsid w:val="5D278666"/>
    <w:rsid w:val="5D27BA84"/>
    <w:rsid w:val="5D27F4C4"/>
    <w:rsid w:val="5D294523"/>
    <w:rsid w:val="5D295A96"/>
    <w:rsid w:val="5D2A2DE2"/>
    <w:rsid w:val="5D2A595F"/>
    <w:rsid w:val="5D2B0028"/>
    <w:rsid w:val="5D2B89A0"/>
    <w:rsid w:val="5D2BA88B"/>
    <w:rsid w:val="5D2C06F8"/>
    <w:rsid w:val="5D2D77E1"/>
    <w:rsid w:val="5D2E3810"/>
    <w:rsid w:val="5D2E784D"/>
    <w:rsid w:val="5D2EF8B2"/>
    <w:rsid w:val="5D303BF8"/>
    <w:rsid w:val="5D30555E"/>
    <w:rsid w:val="5D30BC93"/>
    <w:rsid w:val="5D318CC9"/>
    <w:rsid w:val="5D320F5E"/>
    <w:rsid w:val="5D3241B4"/>
    <w:rsid w:val="5D32AE2C"/>
    <w:rsid w:val="5D32DE50"/>
    <w:rsid w:val="5D335E14"/>
    <w:rsid w:val="5D3477C7"/>
    <w:rsid w:val="5D352D54"/>
    <w:rsid w:val="5D35A1FC"/>
    <w:rsid w:val="5D372C4C"/>
    <w:rsid w:val="5D372EEC"/>
    <w:rsid w:val="5D37E8F4"/>
    <w:rsid w:val="5D37FE25"/>
    <w:rsid w:val="5D389B55"/>
    <w:rsid w:val="5D393087"/>
    <w:rsid w:val="5D39640E"/>
    <w:rsid w:val="5D39DC77"/>
    <w:rsid w:val="5D3A966E"/>
    <w:rsid w:val="5D3AB79E"/>
    <w:rsid w:val="5D3AC881"/>
    <w:rsid w:val="5D3B06E9"/>
    <w:rsid w:val="5D3B467B"/>
    <w:rsid w:val="5D3BCC0F"/>
    <w:rsid w:val="5D3C09FB"/>
    <w:rsid w:val="5D3CAFD3"/>
    <w:rsid w:val="5D3D2594"/>
    <w:rsid w:val="5D3DBDE4"/>
    <w:rsid w:val="5D3F536D"/>
    <w:rsid w:val="5D3FAD1A"/>
    <w:rsid w:val="5D406D44"/>
    <w:rsid w:val="5D410AC7"/>
    <w:rsid w:val="5D412291"/>
    <w:rsid w:val="5D418FA3"/>
    <w:rsid w:val="5D41BA8F"/>
    <w:rsid w:val="5D41F5E4"/>
    <w:rsid w:val="5D427560"/>
    <w:rsid w:val="5D427998"/>
    <w:rsid w:val="5D42B06D"/>
    <w:rsid w:val="5D44340B"/>
    <w:rsid w:val="5D44E058"/>
    <w:rsid w:val="5D4536A6"/>
    <w:rsid w:val="5D45A785"/>
    <w:rsid w:val="5D45F9CF"/>
    <w:rsid w:val="5D468B6D"/>
    <w:rsid w:val="5D4696BC"/>
    <w:rsid w:val="5D46D9BB"/>
    <w:rsid w:val="5D47919A"/>
    <w:rsid w:val="5D47F985"/>
    <w:rsid w:val="5D480061"/>
    <w:rsid w:val="5D48751E"/>
    <w:rsid w:val="5D49E0AC"/>
    <w:rsid w:val="5D49F0CA"/>
    <w:rsid w:val="5D4B3997"/>
    <w:rsid w:val="5D4B7844"/>
    <w:rsid w:val="5D4B99B4"/>
    <w:rsid w:val="5D4C61D5"/>
    <w:rsid w:val="5D4C6B92"/>
    <w:rsid w:val="5D4C700D"/>
    <w:rsid w:val="5D4C9826"/>
    <w:rsid w:val="5D4D3527"/>
    <w:rsid w:val="5D4D477B"/>
    <w:rsid w:val="5D4DD720"/>
    <w:rsid w:val="5D4E29B6"/>
    <w:rsid w:val="5D4E3AE6"/>
    <w:rsid w:val="5D4ED993"/>
    <w:rsid w:val="5D4FEF07"/>
    <w:rsid w:val="5D51306F"/>
    <w:rsid w:val="5D51F27C"/>
    <w:rsid w:val="5D521087"/>
    <w:rsid w:val="5D5226E2"/>
    <w:rsid w:val="5D523E8B"/>
    <w:rsid w:val="5D52D220"/>
    <w:rsid w:val="5D54A83B"/>
    <w:rsid w:val="5D561570"/>
    <w:rsid w:val="5D56A52C"/>
    <w:rsid w:val="5D5777DA"/>
    <w:rsid w:val="5D577C12"/>
    <w:rsid w:val="5D588841"/>
    <w:rsid w:val="5D58C72B"/>
    <w:rsid w:val="5D5923E8"/>
    <w:rsid w:val="5D59623F"/>
    <w:rsid w:val="5D5A7CAD"/>
    <w:rsid w:val="5D5B2968"/>
    <w:rsid w:val="5D5C8E9C"/>
    <w:rsid w:val="5D5D909C"/>
    <w:rsid w:val="5D5E48CE"/>
    <w:rsid w:val="5D5EA11A"/>
    <w:rsid w:val="5D5EC4DA"/>
    <w:rsid w:val="5D5F2698"/>
    <w:rsid w:val="5D5F64BC"/>
    <w:rsid w:val="5D5FECEC"/>
    <w:rsid w:val="5D600CDB"/>
    <w:rsid w:val="5D605D3C"/>
    <w:rsid w:val="5D60EACD"/>
    <w:rsid w:val="5D614761"/>
    <w:rsid w:val="5D6155C4"/>
    <w:rsid w:val="5D616D89"/>
    <w:rsid w:val="5D61C94D"/>
    <w:rsid w:val="5D627593"/>
    <w:rsid w:val="5D639597"/>
    <w:rsid w:val="5D63FB99"/>
    <w:rsid w:val="5D653543"/>
    <w:rsid w:val="5D65BB4A"/>
    <w:rsid w:val="5D65E6E2"/>
    <w:rsid w:val="5D661F9D"/>
    <w:rsid w:val="5D66DBE3"/>
    <w:rsid w:val="5D66FAE0"/>
    <w:rsid w:val="5D673A5D"/>
    <w:rsid w:val="5D67DED1"/>
    <w:rsid w:val="5D67FA43"/>
    <w:rsid w:val="5D682D82"/>
    <w:rsid w:val="5D68CD2C"/>
    <w:rsid w:val="5D6A0791"/>
    <w:rsid w:val="5D6A9FC2"/>
    <w:rsid w:val="5D6AF4DD"/>
    <w:rsid w:val="5D6B3F41"/>
    <w:rsid w:val="5D6B3F73"/>
    <w:rsid w:val="5D6BAA95"/>
    <w:rsid w:val="5D6BE4DB"/>
    <w:rsid w:val="5D6BEA11"/>
    <w:rsid w:val="5D6C1E8C"/>
    <w:rsid w:val="5D6C6504"/>
    <w:rsid w:val="5D6CF7D5"/>
    <w:rsid w:val="5D6E3C5E"/>
    <w:rsid w:val="5D6EBF0F"/>
    <w:rsid w:val="5D6ED58B"/>
    <w:rsid w:val="5D6F2D19"/>
    <w:rsid w:val="5D6F71CC"/>
    <w:rsid w:val="5D6FA8DC"/>
    <w:rsid w:val="5D6FB303"/>
    <w:rsid w:val="5D70DC3E"/>
    <w:rsid w:val="5D713E2E"/>
    <w:rsid w:val="5D727236"/>
    <w:rsid w:val="5D729A94"/>
    <w:rsid w:val="5D7388A2"/>
    <w:rsid w:val="5D73A614"/>
    <w:rsid w:val="5D7504EF"/>
    <w:rsid w:val="5D75477D"/>
    <w:rsid w:val="5D760E83"/>
    <w:rsid w:val="5D76A637"/>
    <w:rsid w:val="5D76F8EE"/>
    <w:rsid w:val="5D78BFEF"/>
    <w:rsid w:val="5D78EBF7"/>
    <w:rsid w:val="5D797408"/>
    <w:rsid w:val="5D799F9D"/>
    <w:rsid w:val="5D79E884"/>
    <w:rsid w:val="5D7A6B62"/>
    <w:rsid w:val="5D7B6B3A"/>
    <w:rsid w:val="5D7CCD22"/>
    <w:rsid w:val="5D7D5CC0"/>
    <w:rsid w:val="5D7E9972"/>
    <w:rsid w:val="5D7EC337"/>
    <w:rsid w:val="5D7F7CC4"/>
    <w:rsid w:val="5D7FC48E"/>
    <w:rsid w:val="5D8086F9"/>
    <w:rsid w:val="5D80F5D5"/>
    <w:rsid w:val="5D8161E2"/>
    <w:rsid w:val="5D81FE01"/>
    <w:rsid w:val="5D8263FF"/>
    <w:rsid w:val="5D82FCD8"/>
    <w:rsid w:val="5D845A36"/>
    <w:rsid w:val="5D847E0F"/>
    <w:rsid w:val="5D857DD6"/>
    <w:rsid w:val="5D85B5BA"/>
    <w:rsid w:val="5D867959"/>
    <w:rsid w:val="5D879B5B"/>
    <w:rsid w:val="5D87EE20"/>
    <w:rsid w:val="5D880F7B"/>
    <w:rsid w:val="5D887016"/>
    <w:rsid w:val="5D88B8D8"/>
    <w:rsid w:val="5D892D42"/>
    <w:rsid w:val="5D89A875"/>
    <w:rsid w:val="5D89D598"/>
    <w:rsid w:val="5D89DC07"/>
    <w:rsid w:val="5D8A8AEA"/>
    <w:rsid w:val="5D8B1D6C"/>
    <w:rsid w:val="5D8D95BD"/>
    <w:rsid w:val="5D8DB9D1"/>
    <w:rsid w:val="5D8DF573"/>
    <w:rsid w:val="5D8DF753"/>
    <w:rsid w:val="5D8DFB05"/>
    <w:rsid w:val="5D8F022C"/>
    <w:rsid w:val="5D8FDFB6"/>
    <w:rsid w:val="5D9015C0"/>
    <w:rsid w:val="5D90369A"/>
    <w:rsid w:val="5D91754A"/>
    <w:rsid w:val="5D925516"/>
    <w:rsid w:val="5D92886A"/>
    <w:rsid w:val="5D93B25A"/>
    <w:rsid w:val="5D93DAEC"/>
    <w:rsid w:val="5D940EF7"/>
    <w:rsid w:val="5D947D0C"/>
    <w:rsid w:val="5D94E72D"/>
    <w:rsid w:val="5D94FFFA"/>
    <w:rsid w:val="5D955825"/>
    <w:rsid w:val="5D957307"/>
    <w:rsid w:val="5D95EBCA"/>
    <w:rsid w:val="5D95FA55"/>
    <w:rsid w:val="5D9636F9"/>
    <w:rsid w:val="5D973C73"/>
    <w:rsid w:val="5D977FE1"/>
    <w:rsid w:val="5D97FD7A"/>
    <w:rsid w:val="5D9824E1"/>
    <w:rsid w:val="5D9A06E1"/>
    <w:rsid w:val="5D9ABA73"/>
    <w:rsid w:val="5D9ACD76"/>
    <w:rsid w:val="5D9B6214"/>
    <w:rsid w:val="5D9B72B2"/>
    <w:rsid w:val="5D9BEFB4"/>
    <w:rsid w:val="5D9C66EA"/>
    <w:rsid w:val="5D9D01E0"/>
    <w:rsid w:val="5D9DA4AA"/>
    <w:rsid w:val="5D9E97E7"/>
    <w:rsid w:val="5DA2185D"/>
    <w:rsid w:val="5DA22E2A"/>
    <w:rsid w:val="5DA2EF9E"/>
    <w:rsid w:val="5DA78C44"/>
    <w:rsid w:val="5DA7A13F"/>
    <w:rsid w:val="5DA7A4CD"/>
    <w:rsid w:val="5DA82AC3"/>
    <w:rsid w:val="5DA88329"/>
    <w:rsid w:val="5DA905C0"/>
    <w:rsid w:val="5DA95274"/>
    <w:rsid w:val="5DA97F21"/>
    <w:rsid w:val="5DA98BC3"/>
    <w:rsid w:val="5DAAD5CC"/>
    <w:rsid w:val="5DAB9BAD"/>
    <w:rsid w:val="5DAC56B1"/>
    <w:rsid w:val="5DAD0478"/>
    <w:rsid w:val="5DAD1E22"/>
    <w:rsid w:val="5DADBEE3"/>
    <w:rsid w:val="5DAE5441"/>
    <w:rsid w:val="5DAE81F5"/>
    <w:rsid w:val="5DAE9BCE"/>
    <w:rsid w:val="5DAE9FFA"/>
    <w:rsid w:val="5DAEA8C8"/>
    <w:rsid w:val="5DAEEDA1"/>
    <w:rsid w:val="5DAEF4C8"/>
    <w:rsid w:val="5DAEF52D"/>
    <w:rsid w:val="5DAF499B"/>
    <w:rsid w:val="5DAFBEFD"/>
    <w:rsid w:val="5DAFE030"/>
    <w:rsid w:val="5DB02820"/>
    <w:rsid w:val="5DB05C0F"/>
    <w:rsid w:val="5DB067EE"/>
    <w:rsid w:val="5DB0BF3E"/>
    <w:rsid w:val="5DB0F500"/>
    <w:rsid w:val="5DB0FFB7"/>
    <w:rsid w:val="5DB18CA2"/>
    <w:rsid w:val="5DB1D126"/>
    <w:rsid w:val="5DB24406"/>
    <w:rsid w:val="5DB2CC59"/>
    <w:rsid w:val="5DB3F950"/>
    <w:rsid w:val="5DB43362"/>
    <w:rsid w:val="5DB48DFA"/>
    <w:rsid w:val="5DB59CE3"/>
    <w:rsid w:val="5DB657EA"/>
    <w:rsid w:val="5DB70EC2"/>
    <w:rsid w:val="5DB80D7A"/>
    <w:rsid w:val="5DB87064"/>
    <w:rsid w:val="5DB91325"/>
    <w:rsid w:val="5DB937DB"/>
    <w:rsid w:val="5DB963F8"/>
    <w:rsid w:val="5DB9F41F"/>
    <w:rsid w:val="5DBA2C1E"/>
    <w:rsid w:val="5DBBAB51"/>
    <w:rsid w:val="5DBCDD70"/>
    <w:rsid w:val="5DBD0DD8"/>
    <w:rsid w:val="5DBD6934"/>
    <w:rsid w:val="5DBDFDFD"/>
    <w:rsid w:val="5DBE08EF"/>
    <w:rsid w:val="5DC01994"/>
    <w:rsid w:val="5DC0D015"/>
    <w:rsid w:val="5DC0DDC0"/>
    <w:rsid w:val="5DC0F43B"/>
    <w:rsid w:val="5DC10FA2"/>
    <w:rsid w:val="5DC13E87"/>
    <w:rsid w:val="5DC1D7EE"/>
    <w:rsid w:val="5DC211DC"/>
    <w:rsid w:val="5DC24AFA"/>
    <w:rsid w:val="5DC2EAB0"/>
    <w:rsid w:val="5DC35FAC"/>
    <w:rsid w:val="5DC39443"/>
    <w:rsid w:val="5DC39EE0"/>
    <w:rsid w:val="5DC407F8"/>
    <w:rsid w:val="5DC4B1C5"/>
    <w:rsid w:val="5DC4CEB6"/>
    <w:rsid w:val="5DC54B36"/>
    <w:rsid w:val="5DC6CCC7"/>
    <w:rsid w:val="5DC7D3FB"/>
    <w:rsid w:val="5DC7F919"/>
    <w:rsid w:val="5DC864E3"/>
    <w:rsid w:val="5DC8E1C6"/>
    <w:rsid w:val="5DC93C4E"/>
    <w:rsid w:val="5DC9862C"/>
    <w:rsid w:val="5DC9D168"/>
    <w:rsid w:val="5DC9F33D"/>
    <w:rsid w:val="5DCA4070"/>
    <w:rsid w:val="5DCA9B6A"/>
    <w:rsid w:val="5DCAFFA5"/>
    <w:rsid w:val="5DCB3F26"/>
    <w:rsid w:val="5DCBA5AC"/>
    <w:rsid w:val="5DCBEECC"/>
    <w:rsid w:val="5DCC6434"/>
    <w:rsid w:val="5DCD5144"/>
    <w:rsid w:val="5DCDE060"/>
    <w:rsid w:val="5DCDE40C"/>
    <w:rsid w:val="5DCE6335"/>
    <w:rsid w:val="5DCE75B1"/>
    <w:rsid w:val="5DCE9CEC"/>
    <w:rsid w:val="5DCEBC72"/>
    <w:rsid w:val="5DCF5418"/>
    <w:rsid w:val="5DCFB84C"/>
    <w:rsid w:val="5DD00F04"/>
    <w:rsid w:val="5DD0D19B"/>
    <w:rsid w:val="5DD26724"/>
    <w:rsid w:val="5DD39310"/>
    <w:rsid w:val="5DD40FA3"/>
    <w:rsid w:val="5DD43CB6"/>
    <w:rsid w:val="5DD56522"/>
    <w:rsid w:val="5DD58D9A"/>
    <w:rsid w:val="5DD5EBBC"/>
    <w:rsid w:val="5DD612AC"/>
    <w:rsid w:val="5DD6897A"/>
    <w:rsid w:val="5DD68BCF"/>
    <w:rsid w:val="5DD731CC"/>
    <w:rsid w:val="5DD74A75"/>
    <w:rsid w:val="5DD78678"/>
    <w:rsid w:val="5DD842EC"/>
    <w:rsid w:val="5DD85EC3"/>
    <w:rsid w:val="5DD896BD"/>
    <w:rsid w:val="5DD8EEA0"/>
    <w:rsid w:val="5DD9F9B6"/>
    <w:rsid w:val="5DD9FCDC"/>
    <w:rsid w:val="5DDA08F8"/>
    <w:rsid w:val="5DDA3F13"/>
    <w:rsid w:val="5DDB56F8"/>
    <w:rsid w:val="5DDC2288"/>
    <w:rsid w:val="5DDC956B"/>
    <w:rsid w:val="5DDD7D57"/>
    <w:rsid w:val="5DDE74DD"/>
    <w:rsid w:val="5DDF8CD2"/>
    <w:rsid w:val="5DE0F7E6"/>
    <w:rsid w:val="5DE1F4B3"/>
    <w:rsid w:val="5DE1F72E"/>
    <w:rsid w:val="5DE4469C"/>
    <w:rsid w:val="5DE464A8"/>
    <w:rsid w:val="5DE480B9"/>
    <w:rsid w:val="5DE6DD2D"/>
    <w:rsid w:val="5DE705F1"/>
    <w:rsid w:val="5DE860B0"/>
    <w:rsid w:val="5DE86C88"/>
    <w:rsid w:val="5DE8ECAC"/>
    <w:rsid w:val="5DE9CB7C"/>
    <w:rsid w:val="5DE9D2F7"/>
    <w:rsid w:val="5DEAC2D6"/>
    <w:rsid w:val="5DEAD28F"/>
    <w:rsid w:val="5DEB14FA"/>
    <w:rsid w:val="5DEB5E3D"/>
    <w:rsid w:val="5DEB748B"/>
    <w:rsid w:val="5DEBB8C4"/>
    <w:rsid w:val="5DEC4E36"/>
    <w:rsid w:val="5DEE585B"/>
    <w:rsid w:val="5DEEB676"/>
    <w:rsid w:val="5DEF15CA"/>
    <w:rsid w:val="5DEF2423"/>
    <w:rsid w:val="5DEF26F4"/>
    <w:rsid w:val="5DEF549C"/>
    <w:rsid w:val="5DEFAFE6"/>
    <w:rsid w:val="5DEFB61A"/>
    <w:rsid w:val="5DF00454"/>
    <w:rsid w:val="5DF088C7"/>
    <w:rsid w:val="5DF0CCC6"/>
    <w:rsid w:val="5DF14B84"/>
    <w:rsid w:val="5DF158E8"/>
    <w:rsid w:val="5DF190D4"/>
    <w:rsid w:val="5DF285DE"/>
    <w:rsid w:val="5DF2F61A"/>
    <w:rsid w:val="5DF354F7"/>
    <w:rsid w:val="5DF3B22C"/>
    <w:rsid w:val="5DF3C4A6"/>
    <w:rsid w:val="5DF3F7E3"/>
    <w:rsid w:val="5DF4A8E9"/>
    <w:rsid w:val="5DF4D531"/>
    <w:rsid w:val="5DF4F8B2"/>
    <w:rsid w:val="5DF51557"/>
    <w:rsid w:val="5DF53317"/>
    <w:rsid w:val="5DF597AA"/>
    <w:rsid w:val="5DF614E4"/>
    <w:rsid w:val="5DF65451"/>
    <w:rsid w:val="5DF6BE09"/>
    <w:rsid w:val="5DF71664"/>
    <w:rsid w:val="5DF817C7"/>
    <w:rsid w:val="5DF8696B"/>
    <w:rsid w:val="5DF8CA34"/>
    <w:rsid w:val="5DF91A35"/>
    <w:rsid w:val="5DF92A77"/>
    <w:rsid w:val="5DF92D80"/>
    <w:rsid w:val="5DF9CA66"/>
    <w:rsid w:val="5DF9E61E"/>
    <w:rsid w:val="5DFA4E5F"/>
    <w:rsid w:val="5DFA7D6F"/>
    <w:rsid w:val="5DFB7CFF"/>
    <w:rsid w:val="5DFB96AC"/>
    <w:rsid w:val="5DFC0A29"/>
    <w:rsid w:val="5DFC49C6"/>
    <w:rsid w:val="5DFC68EF"/>
    <w:rsid w:val="5DFCB58A"/>
    <w:rsid w:val="5DFD3969"/>
    <w:rsid w:val="5DFE0546"/>
    <w:rsid w:val="5DFF0C01"/>
    <w:rsid w:val="5DFF1DAA"/>
    <w:rsid w:val="5DFF9C28"/>
    <w:rsid w:val="5E003375"/>
    <w:rsid w:val="5E0090FB"/>
    <w:rsid w:val="5E00F5F1"/>
    <w:rsid w:val="5E00FC29"/>
    <w:rsid w:val="5E0102BC"/>
    <w:rsid w:val="5E0134B5"/>
    <w:rsid w:val="5E018488"/>
    <w:rsid w:val="5E02CCEB"/>
    <w:rsid w:val="5E0316F9"/>
    <w:rsid w:val="5E035C0F"/>
    <w:rsid w:val="5E035DBC"/>
    <w:rsid w:val="5E03A10E"/>
    <w:rsid w:val="5E03C857"/>
    <w:rsid w:val="5E0457FB"/>
    <w:rsid w:val="5E04976E"/>
    <w:rsid w:val="5E04B1A6"/>
    <w:rsid w:val="5E04C688"/>
    <w:rsid w:val="5E04DFDF"/>
    <w:rsid w:val="5E057ED2"/>
    <w:rsid w:val="5E059EB7"/>
    <w:rsid w:val="5E05F0BD"/>
    <w:rsid w:val="5E064963"/>
    <w:rsid w:val="5E064FA4"/>
    <w:rsid w:val="5E0681A0"/>
    <w:rsid w:val="5E069568"/>
    <w:rsid w:val="5E06DC33"/>
    <w:rsid w:val="5E07387B"/>
    <w:rsid w:val="5E075EC2"/>
    <w:rsid w:val="5E0768B6"/>
    <w:rsid w:val="5E07B334"/>
    <w:rsid w:val="5E07CA93"/>
    <w:rsid w:val="5E081A09"/>
    <w:rsid w:val="5E095C64"/>
    <w:rsid w:val="5E097DA9"/>
    <w:rsid w:val="5E0BA93C"/>
    <w:rsid w:val="5E0BB480"/>
    <w:rsid w:val="5E0DCFFF"/>
    <w:rsid w:val="5E0E8E5A"/>
    <w:rsid w:val="5E0ED861"/>
    <w:rsid w:val="5E0FBC64"/>
    <w:rsid w:val="5E100ADA"/>
    <w:rsid w:val="5E10E6BF"/>
    <w:rsid w:val="5E10EF2B"/>
    <w:rsid w:val="5E11472C"/>
    <w:rsid w:val="5E118FEB"/>
    <w:rsid w:val="5E11AA55"/>
    <w:rsid w:val="5E1266A1"/>
    <w:rsid w:val="5E133DFB"/>
    <w:rsid w:val="5E135E08"/>
    <w:rsid w:val="5E13FF63"/>
    <w:rsid w:val="5E145C3B"/>
    <w:rsid w:val="5E1473ED"/>
    <w:rsid w:val="5E14781F"/>
    <w:rsid w:val="5E14909D"/>
    <w:rsid w:val="5E1504BD"/>
    <w:rsid w:val="5E153ED5"/>
    <w:rsid w:val="5E156C09"/>
    <w:rsid w:val="5E16E3AE"/>
    <w:rsid w:val="5E17D30A"/>
    <w:rsid w:val="5E18C14A"/>
    <w:rsid w:val="5E1AE518"/>
    <w:rsid w:val="5E1BAAFF"/>
    <w:rsid w:val="5E1BB3DF"/>
    <w:rsid w:val="5E1BE416"/>
    <w:rsid w:val="5E1C879F"/>
    <w:rsid w:val="5E1CE969"/>
    <w:rsid w:val="5E1DA49A"/>
    <w:rsid w:val="5E1E9DD9"/>
    <w:rsid w:val="5E1F7089"/>
    <w:rsid w:val="5E1FD9D8"/>
    <w:rsid w:val="5E206F49"/>
    <w:rsid w:val="5E209AFF"/>
    <w:rsid w:val="5E20DD11"/>
    <w:rsid w:val="5E2208EF"/>
    <w:rsid w:val="5E233C6B"/>
    <w:rsid w:val="5E237C95"/>
    <w:rsid w:val="5E2445B5"/>
    <w:rsid w:val="5E25CF6C"/>
    <w:rsid w:val="5E271C13"/>
    <w:rsid w:val="5E27E0A3"/>
    <w:rsid w:val="5E27E521"/>
    <w:rsid w:val="5E28FA79"/>
    <w:rsid w:val="5E28FD44"/>
    <w:rsid w:val="5E298A5D"/>
    <w:rsid w:val="5E298D1C"/>
    <w:rsid w:val="5E2A1D07"/>
    <w:rsid w:val="5E2AB36D"/>
    <w:rsid w:val="5E2B0D39"/>
    <w:rsid w:val="5E2BABFF"/>
    <w:rsid w:val="5E2BCF15"/>
    <w:rsid w:val="5E2CF0E2"/>
    <w:rsid w:val="5E2F2A7F"/>
    <w:rsid w:val="5E2F53E4"/>
    <w:rsid w:val="5E2F5A6A"/>
    <w:rsid w:val="5E2F8B61"/>
    <w:rsid w:val="5E2FC64D"/>
    <w:rsid w:val="5E300EB5"/>
    <w:rsid w:val="5E302D76"/>
    <w:rsid w:val="5E3033ED"/>
    <w:rsid w:val="5E310966"/>
    <w:rsid w:val="5E31C4CD"/>
    <w:rsid w:val="5E33036E"/>
    <w:rsid w:val="5E330C4D"/>
    <w:rsid w:val="5E3321B1"/>
    <w:rsid w:val="5E33CA08"/>
    <w:rsid w:val="5E34E83F"/>
    <w:rsid w:val="5E3524FB"/>
    <w:rsid w:val="5E363F8C"/>
    <w:rsid w:val="5E3678EB"/>
    <w:rsid w:val="5E374D02"/>
    <w:rsid w:val="5E38013F"/>
    <w:rsid w:val="5E3801C9"/>
    <w:rsid w:val="5E38A694"/>
    <w:rsid w:val="5E394227"/>
    <w:rsid w:val="5E39CC82"/>
    <w:rsid w:val="5E3A79F5"/>
    <w:rsid w:val="5E3ABF2F"/>
    <w:rsid w:val="5E3AD016"/>
    <w:rsid w:val="5E3B5026"/>
    <w:rsid w:val="5E3BCDDB"/>
    <w:rsid w:val="5E3CB721"/>
    <w:rsid w:val="5E3CD133"/>
    <w:rsid w:val="5E3DCB2B"/>
    <w:rsid w:val="5E3E2B20"/>
    <w:rsid w:val="5E3ED222"/>
    <w:rsid w:val="5E3F7BC9"/>
    <w:rsid w:val="5E3FC624"/>
    <w:rsid w:val="5E4097C7"/>
    <w:rsid w:val="5E410F38"/>
    <w:rsid w:val="5E41E672"/>
    <w:rsid w:val="5E421FFE"/>
    <w:rsid w:val="5E425EC4"/>
    <w:rsid w:val="5E426BFD"/>
    <w:rsid w:val="5E42F069"/>
    <w:rsid w:val="5E435C75"/>
    <w:rsid w:val="5E4461B7"/>
    <w:rsid w:val="5E44CB77"/>
    <w:rsid w:val="5E455F6C"/>
    <w:rsid w:val="5E45685C"/>
    <w:rsid w:val="5E462979"/>
    <w:rsid w:val="5E4676D3"/>
    <w:rsid w:val="5E46DDEB"/>
    <w:rsid w:val="5E470736"/>
    <w:rsid w:val="5E470801"/>
    <w:rsid w:val="5E476A32"/>
    <w:rsid w:val="5E486079"/>
    <w:rsid w:val="5E486E6E"/>
    <w:rsid w:val="5E487186"/>
    <w:rsid w:val="5E48926B"/>
    <w:rsid w:val="5E48BF9A"/>
    <w:rsid w:val="5E49917C"/>
    <w:rsid w:val="5E49FDA3"/>
    <w:rsid w:val="5E4A41D4"/>
    <w:rsid w:val="5E4AB129"/>
    <w:rsid w:val="5E4B23ED"/>
    <w:rsid w:val="5E4C03EB"/>
    <w:rsid w:val="5E4C4D07"/>
    <w:rsid w:val="5E4C54FF"/>
    <w:rsid w:val="5E4C6735"/>
    <w:rsid w:val="5E4C898E"/>
    <w:rsid w:val="5E4C98E5"/>
    <w:rsid w:val="5E4D7E90"/>
    <w:rsid w:val="5E4E5429"/>
    <w:rsid w:val="5E5000A0"/>
    <w:rsid w:val="5E50CC5B"/>
    <w:rsid w:val="5E517FCC"/>
    <w:rsid w:val="5E5185C3"/>
    <w:rsid w:val="5E51B74B"/>
    <w:rsid w:val="5E526BE8"/>
    <w:rsid w:val="5E52CB4E"/>
    <w:rsid w:val="5E536C15"/>
    <w:rsid w:val="5E537B3F"/>
    <w:rsid w:val="5E53F740"/>
    <w:rsid w:val="5E544671"/>
    <w:rsid w:val="5E546DA9"/>
    <w:rsid w:val="5E5580C8"/>
    <w:rsid w:val="5E565A19"/>
    <w:rsid w:val="5E56E7F9"/>
    <w:rsid w:val="5E573800"/>
    <w:rsid w:val="5E573E7F"/>
    <w:rsid w:val="5E5745D2"/>
    <w:rsid w:val="5E57DD6C"/>
    <w:rsid w:val="5E57DF13"/>
    <w:rsid w:val="5E57F3C1"/>
    <w:rsid w:val="5E58310F"/>
    <w:rsid w:val="5E58DC95"/>
    <w:rsid w:val="5E58E499"/>
    <w:rsid w:val="5E595AB3"/>
    <w:rsid w:val="5E597695"/>
    <w:rsid w:val="5E599070"/>
    <w:rsid w:val="5E59C422"/>
    <w:rsid w:val="5E59F2FA"/>
    <w:rsid w:val="5E5A6831"/>
    <w:rsid w:val="5E5AD3BC"/>
    <w:rsid w:val="5E5AEBB0"/>
    <w:rsid w:val="5E5B8464"/>
    <w:rsid w:val="5E5BC54F"/>
    <w:rsid w:val="5E5BEC5A"/>
    <w:rsid w:val="5E5C0D3F"/>
    <w:rsid w:val="5E5C483A"/>
    <w:rsid w:val="5E5C86CD"/>
    <w:rsid w:val="5E5CC2F4"/>
    <w:rsid w:val="5E5CD706"/>
    <w:rsid w:val="5E5D988C"/>
    <w:rsid w:val="5E5E156B"/>
    <w:rsid w:val="5E5EFA05"/>
    <w:rsid w:val="5E5FE9F2"/>
    <w:rsid w:val="5E60DD4D"/>
    <w:rsid w:val="5E619C77"/>
    <w:rsid w:val="5E62C09F"/>
    <w:rsid w:val="5E62C5B6"/>
    <w:rsid w:val="5E6316E6"/>
    <w:rsid w:val="5E63876F"/>
    <w:rsid w:val="5E63F771"/>
    <w:rsid w:val="5E64FB61"/>
    <w:rsid w:val="5E658765"/>
    <w:rsid w:val="5E66E15F"/>
    <w:rsid w:val="5E675FB4"/>
    <w:rsid w:val="5E689EDE"/>
    <w:rsid w:val="5E69D8C5"/>
    <w:rsid w:val="5E69F27E"/>
    <w:rsid w:val="5E6B0121"/>
    <w:rsid w:val="5E6D2F14"/>
    <w:rsid w:val="5E6DA686"/>
    <w:rsid w:val="5E6DFA2D"/>
    <w:rsid w:val="5E6E5277"/>
    <w:rsid w:val="5E6EA129"/>
    <w:rsid w:val="5E6EEED7"/>
    <w:rsid w:val="5E6F8BF4"/>
    <w:rsid w:val="5E702D35"/>
    <w:rsid w:val="5E70B44D"/>
    <w:rsid w:val="5E724A58"/>
    <w:rsid w:val="5E728BCE"/>
    <w:rsid w:val="5E72F7AD"/>
    <w:rsid w:val="5E735FBB"/>
    <w:rsid w:val="5E765004"/>
    <w:rsid w:val="5E76DE45"/>
    <w:rsid w:val="5E76F5CB"/>
    <w:rsid w:val="5E7714F3"/>
    <w:rsid w:val="5E7714F8"/>
    <w:rsid w:val="5E77B7A3"/>
    <w:rsid w:val="5E77F474"/>
    <w:rsid w:val="5E788158"/>
    <w:rsid w:val="5E794525"/>
    <w:rsid w:val="5E79689E"/>
    <w:rsid w:val="5E7A37EC"/>
    <w:rsid w:val="5E7A92BA"/>
    <w:rsid w:val="5E7AF4AE"/>
    <w:rsid w:val="5E7B62CE"/>
    <w:rsid w:val="5E7B8278"/>
    <w:rsid w:val="5E7C3C8E"/>
    <w:rsid w:val="5E7C8EC6"/>
    <w:rsid w:val="5E7DAEC3"/>
    <w:rsid w:val="5E7DF43B"/>
    <w:rsid w:val="5E7DFDFC"/>
    <w:rsid w:val="5E7E68B4"/>
    <w:rsid w:val="5E7F00E8"/>
    <w:rsid w:val="5E7F6E53"/>
    <w:rsid w:val="5E813532"/>
    <w:rsid w:val="5E82510B"/>
    <w:rsid w:val="5E83355A"/>
    <w:rsid w:val="5E83C750"/>
    <w:rsid w:val="5E83F8BA"/>
    <w:rsid w:val="5E84B056"/>
    <w:rsid w:val="5E84CB32"/>
    <w:rsid w:val="5E84DC24"/>
    <w:rsid w:val="5E8542C2"/>
    <w:rsid w:val="5E855AC6"/>
    <w:rsid w:val="5E85C537"/>
    <w:rsid w:val="5E86113A"/>
    <w:rsid w:val="5E86912B"/>
    <w:rsid w:val="5E86D590"/>
    <w:rsid w:val="5E874166"/>
    <w:rsid w:val="5E8742E8"/>
    <w:rsid w:val="5E8750E9"/>
    <w:rsid w:val="5E87757C"/>
    <w:rsid w:val="5E878AA7"/>
    <w:rsid w:val="5E89877A"/>
    <w:rsid w:val="5E8A5306"/>
    <w:rsid w:val="5E8A729F"/>
    <w:rsid w:val="5E8B27FB"/>
    <w:rsid w:val="5E8BAD12"/>
    <w:rsid w:val="5E8D6473"/>
    <w:rsid w:val="5E8DD2F2"/>
    <w:rsid w:val="5E8F1545"/>
    <w:rsid w:val="5E8F3EBF"/>
    <w:rsid w:val="5E9025D9"/>
    <w:rsid w:val="5E907C29"/>
    <w:rsid w:val="5E92397E"/>
    <w:rsid w:val="5E9245FA"/>
    <w:rsid w:val="5E92C2BF"/>
    <w:rsid w:val="5E94CBE8"/>
    <w:rsid w:val="5E94D4C6"/>
    <w:rsid w:val="5E959363"/>
    <w:rsid w:val="5E962C32"/>
    <w:rsid w:val="5E964418"/>
    <w:rsid w:val="5E968E57"/>
    <w:rsid w:val="5E96FB85"/>
    <w:rsid w:val="5E97E7CE"/>
    <w:rsid w:val="5E98B319"/>
    <w:rsid w:val="5E9A3F33"/>
    <w:rsid w:val="5E9AFCAC"/>
    <w:rsid w:val="5E9C0270"/>
    <w:rsid w:val="5E9C1C8D"/>
    <w:rsid w:val="5E9C7E21"/>
    <w:rsid w:val="5E9CCB0D"/>
    <w:rsid w:val="5E9D2E55"/>
    <w:rsid w:val="5E9DBB12"/>
    <w:rsid w:val="5E9E5636"/>
    <w:rsid w:val="5E9EB58C"/>
    <w:rsid w:val="5E9EE889"/>
    <w:rsid w:val="5EA19BFB"/>
    <w:rsid w:val="5EA25665"/>
    <w:rsid w:val="5EA26506"/>
    <w:rsid w:val="5EA27E69"/>
    <w:rsid w:val="5EA2D62B"/>
    <w:rsid w:val="5EA30875"/>
    <w:rsid w:val="5EA38CF3"/>
    <w:rsid w:val="5EA3B5FB"/>
    <w:rsid w:val="5EA440CF"/>
    <w:rsid w:val="5EA509AB"/>
    <w:rsid w:val="5EA61816"/>
    <w:rsid w:val="5EA88386"/>
    <w:rsid w:val="5EA889FB"/>
    <w:rsid w:val="5EA9D88E"/>
    <w:rsid w:val="5EAA1581"/>
    <w:rsid w:val="5EAA1750"/>
    <w:rsid w:val="5EAADFFE"/>
    <w:rsid w:val="5EAB49C8"/>
    <w:rsid w:val="5EAC6A14"/>
    <w:rsid w:val="5EAD6328"/>
    <w:rsid w:val="5EAD83EB"/>
    <w:rsid w:val="5EAE1F40"/>
    <w:rsid w:val="5EAE3C0B"/>
    <w:rsid w:val="5EAEAD1C"/>
    <w:rsid w:val="5EAEC256"/>
    <w:rsid w:val="5EAF0E61"/>
    <w:rsid w:val="5EAF5D9B"/>
    <w:rsid w:val="5EB01EBB"/>
    <w:rsid w:val="5EB0D05D"/>
    <w:rsid w:val="5EB1F3B5"/>
    <w:rsid w:val="5EB1FDA4"/>
    <w:rsid w:val="5EB2D004"/>
    <w:rsid w:val="5EB2F62C"/>
    <w:rsid w:val="5EB33345"/>
    <w:rsid w:val="5EB33C77"/>
    <w:rsid w:val="5EB414FA"/>
    <w:rsid w:val="5EB44E3E"/>
    <w:rsid w:val="5EB5C27A"/>
    <w:rsid w:val="5EB62DA4"/>
    <w:rsid w:val="5EB66C21"/>
    <w:rsid w:val="5EB6FA42"/>
    <w:rsid w:val="5EB7CC70"/>
    <w:rsid w:val="5EB8387C"/>
    <w:rsid w:val="5EB86B3B"/>
    <w:rsid w:val="5EB88692"/>
    <w:rsid w:val="5EB8A793"/>
    <w:rsid w:val="5EB93091"/>
    <w:rsid w:val="5EBA714A"/>
    <w:rsid w:val="5EBB1298"/>
    <w:rsid w:val="5EBB8BCA"/>
    <w:rsid w:val="5EBB9106"/>
    <w:rsid w:val="5EBBAE4D"/>
    <w:rsid w:val="5EBBCFA3"/>
    <w:rsid w:val="5EBBE7C9"/>
    <w:rsid w:val="5EBC8042"/>
    <w:rsid w:val="5EBCE49A"/>
    <w:rsid w:val="5EBCEEE4"/>
    <w:rsid w:val="5EBCFF31"/>
    <w:rsid w:val="5EBD5948"/>
    <w:rsid w:val="5EBF134F"/>
    <w:rsid w:val="5EBF99D5"/>
    <w:rsid w:val="5EBFA92F"/>
    <w:rsid w:val="5EBFD835"/>
    <w:rsid w:val="5EC06415"/>
    <w:rsid w:val="5EC0AD27"/>
    <w:rsid w:val="5EC0D66D"/>
    <w:rsid w:val="5EC22CF8"/>
    <w:rsid w:val="5EC281DF"/>
    <w:rsid w:val="5EC297D7"/>
    <w:rsid w:val="5EC2B02D"/>
    <w:rsid w:val="5EC38B7D"/>
    <w:rsid w:val="5EC3C2B3"/>
    <w:rsid w:val="5EC40071"/>
    <w:rsid w:val="5EC429C8"/>
    <w:rsid w:val="5EC4311D"/>
    <w:rsid w:val="5EC48A88"/>
    <w:rsid w:val="5EC4ACD1"/>
    <w:rsid w:val="5EC6C68B"/>
    <w:rsid w:val="5EC6CE62"/>
    <w:rsid w:val="5EC706EC"/>
    <w:rsid w:val="5EC7A1F4"/>
    <w:rsid w:val="5EC7C838"/>
    <w:rsid w:val="5EC812B5"/>
    <w:rsid w:val="5EC86A76"/>
    <w:rsid w:val="5EC88562"/>
    <w:rsid w:val="5EC8D5BE"/>
    <w:rsid w:val="5EC8FD79"/>
    <w:rsid w:val="5EC965C6"/>
    <w:rsid w:val="5EC96833"/>
    <w:rsid w:val="5EC97EA0"/>
    <w:rsid w:val="5EC99C17"/>
    <w:rsid w:val="5ECA240B"/>
    <w:rsid w:val="5ECA50CC"/>
    <w:rsid w:val="5ECA9A22"/>
    <w:rsid w:val="5ECADBD5"/>
    <w:rsid w:val="5ECB4137"/>
    <w:rsid w:val="5ECC53CE"/>
    <w:rsid w:val="5ECC8FAF"/>
    <w:rsid w:val="5ECD6E96"/>
    <w:rsid w:val="5ECDD2F8"/>
    <w:rsid w:val="5ECE001F"/>
    <w:rsid w:val="5ECF4761"/>
    <w:rsid w:val="5ECF5A95"/>
    <w:rsid w:val="5ECF6687"/>
    <w:rsid w:val="5ECFE5B1"/>
    <w:rsid w:val="5ECFFA28"/>
    <w:rsid w:val="5ECFFCC4"/>
    <w:rsid w:val="5ED03240"/>
    <w:rsid w:val="5ED0D5B4"/>
    <w:rsid w:val="5ED173E5"/>
    <w:rsid w:val="5ED31A6B"/>
    <w:rsid w:val="5ED38693"/>
    <w:rsid w:val="5ED3CED3"/>
    <w:rsid w:val="5ED40415"/>
    <w:rsid w:val="5ED5F177"/>
    <w:rsid w:val="5ED8AA88"/>
    <w:rsid w:val="5ED9298B"/>
    <w:rsid w:val="5EDA4063"/>
    <w:rsid w:val="5EDB4C5B"/>
    <w:rsid w:val="5EDD531B"/>
    <w:rsid w:val="5EDD71F5"/>
    <w:rsid w:val="5EDD78A4"/>
    <w:rsid w:val="5EDE3112"/>
    <w:rsid w:val="5EDF5BE3"/>
    <w:rsid w:val="5EDFD95E"/>
    <w:rsid w:val="5EE06F1F"/>
    <w:rsid w:val="5EE12668"/>
    <w:rsid w:val="5EE1EE97"/>
    <w:rsid w:val="5EE24830"/>
    <w:rsid w:val="5EE2A59E"/>
    <w:rsid w:val="5EE2C173"/>
    <w:rsid w:val="5EE3119C"/>
    <w:rsid w:val="5EE35A49"/>
    <w:rsid w:val="5EE37858"/>
    <w:rsid w:val="5EE440A4"/>
    <w:rsid w:val="5EE4E3EF"/>
    <w:rsid w:val="5EE548B4"/>
    <w:rsid w:val="5EE5D424"/>
    <w:rsid w:val="5EE65CA4"/>
    <w:rsid w:val="5EE6CB98"/>
    <w:rsid w:val="5EE8357E"/>
    <w:rsid w:val="5EE8748D"/>
    <w:rsid w:val="5EE979E8"/>
    <w:rsid w:val="5EE9B145"/>
    <w:rsid w:val="5EEA4005"/>
    <w:rsid w:val="5EEB3918"/>
    <w:rsid w:val="5EEBC861"/>
    <w:rsid w:val="5EEBF7D2"/>
    <w:rsid w:val="5EEC2E15"/>
    <w:rsid w:val="5EEC4AB5"/>
    <w:rsid w:val="5EECCED4"/>
    <w:rsid w:val="5EECFCE8"/>
    <w:rsid w:val="5EEEF08C"/>
    <w:rsid w:val="5EEFBA42"/>
    <w:rsid w:val="5EF066AB"/>
    <w:rsid w:val="5EF0B226"/>
    <w:rsid w:val="5EF13908"/>
    <w:rsid w:val="5EF1B6B4"/>
    <w:rsid w:val="5EF243CA"/>
    <w:rsid w:val="5EF31640"/>
    <w:rsid w:val="5EF35766"/>
    <w:rsid w:val="5EF3D4CA"/>
    <w:rsid w:val="5EF448DE"/>
    <w:rsid w:val="5EF468CB"/>
    <w:rsid w:val="5EF48EAC"/>
    <w:rsid w:val="5EF49550"/>
    <w:rsid w:val="5EF4B427"/>
    <w:rsid w:val="5EF4F449"/>
    <w:rsid w:val="5EF57565"/>
    <w:rsid w:val="5EF5F819"/>
    <w:rsid w:val="5EF64CF0"/>
    <w:rsid w:val="5EF7734D"/>
    <w:rsid w:val="5EF83FAE"/>
    <w:rsid w:val="5EF853F2"/>
    <w:rsid w:val="5EF923F4"/>
    <w:rsid w:val="5EF96724"/>
    <w:rsid w:val="5EFADF48"/>
    <w:rsid w:val="5EFB410B"/>
    <w:rsid w:val="5EFB5C51"/>
    <w:rsid w:val="5EFB6C5D"/>
    <w:rsid w:val="5EFC4846"/>
    <w:rsid w:val="5EFC77BF"/>
    <w:rsid w:val="5EFD3361"/>
    <w:rsid w:val="5EFD9286"/>
    <w:rsid w:val="5EFE408C"/>
    <w:rsid w:val="5EFE99B6"/>
    <w:rsid w:val="5EFF246B"/>
    <w:rsid w:val="5EFF9A43"/>
    <w:rsid w:val="5EFFEE11"/>
    <w:rsid w:val="5F011B97"/>
    <w:rsid w:val="5F012CD4"/>
    <w:rsid w:val="5F013D72"/>
    <w:rsid w:val="5F01FA4A"/>
    <w:rsid w:val="5F02583E"/>
    <w:rsid w:val="5F028E12"/>
    <w:rsid w:val="5F02C1E0"/>
    <w:rsid w:val="5F03C2BA"/>
    <w:rsid w:val="5F045E4C"/>
    <w:rsid w:val="5F046DD7"/>
    <w:rsid w:val="5F048CA7"/>
    <w:rsid w:val="5F04D05A"/>
    <w:rsid w:val="5F0576AE"/>
    <w:rsid w:val="5F05F986"/>
    <w:rsid w:val="5F065DFF"/>
    <w:rsid w:val="5F0666EC"/>
    <w:rsid w:val="5F066C7F"/>
    <w:rsid w:val="5F0678CD"/>
    <w:rsid w:val="5F06CAC0"/>
    <w:rsid w:val="5F07F748"/>
    <w:rsid w:val="5F08D10E"/>
    <w:rsid w:val="5F092A26"/>
    <w:rsid w:val="5F0A6A20"/>
    <w:rsid w:val="5F0A8109"/>
    <w:rsid w:val="5F0A9D20"/>
    <w:rsid w:val="5F0B3B62"/>
    <w:rsid w:val="5F0B50F0"/>
    <w:rsid w:val="5F0C63DC"/>
    <w:rsid w:val="5F0C9A4A"/>
    <w:rsid w:val="5F0CD71B"/>
    <w:rsid w:val="5F0DAD90"/>
    <w:rsid w:val="5F0DBA6A"/>
    <w:rsid w:val="5F0E0D57"/>
    <w:rsid w:val="5F0F9293"/>
    <w:rsid w:val="5F101177"/>
    <w:rsid w:val="5F113BC6"/>
    <w:rsid w:val="5F11BEEF"/>
    <w:rsid w:val="5F11CC8E"/>
    <w:rsid w:val="5F11EEFC"/>
    <w:rsid w:val="5F11F382"/>
    <w:rsid w:val="5F1223D3"/>
    <w:rsid w:val="5F12744B"/>
    <w:rsid w:val="5F12E43D"/>
    <w:rsid w:val="5F131514"/>
    <w:rsid w:val="5F13271E"/>
    <w:rsid w:val="5F14A71A"/>
    <w:rsid w:val="5F14D95A"/>
    <w:rsid w:val="5F15ABCE"/>
    <w:rsid w:val="5F15DF5A"/>
    <w:rsid w:val="5F1629EC"/>
    <w:rsid w:val="5F162EF7"/>
    <w:rsid w:val="5F165C05"/>
    <w:rsid w:val="5F17215E"/>
    <w:rsid w:val="5F180E59"/>
    <w:rsid w:val="5F18AAA2"/>
    <w:rsid w:val="5F18B087"/>
    <w:rsid w:val="5F18D742"/>
    <w:rsid w:val="5F19154F"/>
    <w:rsid w:val="5F1AD332"/>
    <w:rsid w:val="5F1B6ED7"/>
    <w:rsid w:val="5F1B9F46"/>
    <w:rsid w:val="5F1CE9B1"/>
    <w:rsid w:val="5F1D9E7D"/>
    <w:rsid w:val="5F1E724A"/>
    <w:rsid w:val="5F1EA238"/>
    <w:rsid w:val="5F1EE787"/>
    <w:rsid w:val="5F2041AB"/>
    <w:rsid w:val="5F206762"/>
    <w:rsid w:val="5F224F5A"/>
    <w:rsid w:val="5F22C732"/>
    <w:rsid w:val="5F22DC57"/>
    <w:rsid w:val="5F23032B"/>
    <w:rsid w:val="5F23AF50"/>
    <w:rsid w:val="5F2428DD"/>
    <w:rsid w:val="5F250DEE"/>
    <w:rsid w:val="5F26CE58"/>
    <w:rsid w:val="5F279FEA"/>
    <w:rsid w:val="5F282E9D"/>
    <w:rsid w:val="5F2865CF"/>
    <w:rsid w:val="5F289882"/>
    <w:rsid w:val="5F2904CF"/>
    <w:rsid w:val="5F295B16"/>
    <w:rsid w:val="5F297F13"/>
    <w:rsid w:val="5F29C734"/>
    <w:rsid w:val="5F29DB7F"/>
    <w:rsid w:val="5F2A144E"/>
    <w:rsid w:val="5F2A1D23"/>
    <w:rsid w:val="5F2A7A60"/>
    <w:rsid w:val="5F2BCB34"/>
    <w:rsid w:val="5F2CF9A3"/>
    <w:rsid w:val="5F2D4C34"/>
    <w:rsid w:val="5F2D6C96"/>
    <w:rsid w:val="5F2DEE92"/>
    <w:rsid w:val="5F2E1D1C"/>
    <w:rsid w:val="5F2E1F17"/>
    <w:rsid w:val="5F2EAA98"/>
    <w:rsid w:val="5F2F1FEB"/>
    <w:rsid w:val="5F2F44E1"/>
    <w:rsid w:val="5F2FBC74"/>
    <w:rsid w:val="5F30A76D"/>
    <w:rsid w:val="5F30F44D"/>
    <w:rsid w:val="5F320B74"/>
    <w:rsid w:val="5F329157"/>
    <w:rsid w:val="5F335BE6"/>
    <w:rsid w:val="5F344D55"/>
    <w:rsid w:val="5F3570FE"/>
    <w:rsid w:val="5F35A6C3"/>
    <w:rsid w:val="5F35C4EA"/>
    <w:rsid w:val="5F366455"/>
    <w:rsid w:val="5F375EE9"/>
    <w:rsid w:val="5F38F8D0"/>
    <w:rsid w:val="5F39F8B9"/>
    <w:rsid w:val="5F3C055C"/>
    <w:rsid w:val="5F3F0817"/>
    <w:rsid w:val="5F409482"/>
    <w:rsid w:val="5F413BE4"/>
    <w:rsid w:val="5F41E151"/>
    <w:rsid w:val="5F424CB6"/>
    <w:rsid w:val="5F42C66F"/>
    <w:rsid w:val="5F4341F3"/>
    <w:rsid w:val="5F439300"/>
    <w:rsid w:val="5F439FBC"/>
    <w:rsid w:val="5F43B911"/>
    <w:rsid w:val="5F43BF00"/>
    <w:rsid w:val="5F43C5A1"/>
    <w:rsid w:val="5F43F386"/>
    <w:rsid w:val="5F4431A6"/>
    <w:rsid w:val="5F444F17"/>
    <w:rsid w:val="5F453D8E"/>
    <w:rsid w:val="5F45AC6A"/>
    <w:rsid w:val="5F45B59A"/>
    <w:rsid w:val="5F461C7C"/>
    <w:rsid w:val="5F477BDF"/>
    <w:rsid w:val="5F479861"/>
    <w:rsid w:val="5F4982BF"/>
    <w:rsid w:val="5F4A9EC7"/>
    <w:rsid w:val="5F4AF706"/>
    <w:rsid w:val="5F4B3237"/>
    <w:rsid w:val="5F4B78B6"/>
    <w:rsid w:val="5F4BD3B4"/>
    <w:rsid w:val="5F4C1C31"/>
    <w:rsid w:val="5F4D70A0"/>
    <w:rsid w:val="5F4E11B4"/>
    <w:rsid w:val="5F4E3946"/>
    <w:rsid w:val="5F4F6B75"/>
    <w:rsid w:val="5F510C6B"/>
    <w:rsid w:val="5F53629D"/>
    <w:rsid w:val="5F536DE1"/>
    <w:rsid w:val="5F5408BA"/>
    <w:rsid w:val="5F546987"/>
    <w:rsid w:val="5F552FA7"/>
    <w:rsid w:val="5F553E57"/>
    <w:rsid w:val="5F559FB4"/>
    <w:rsid w:val="5F564F4A"/>
    <w:rsid w:val="5F5678D6"/>
    <w:rsid w:val="5F589214"/>
    <w:rsid w:val="5F595BF4"/>
    <w:rsid w:val="5F599858"/>
    <w:rsid w:val="5F5A1E81"/>
    <w:rsid w:val="5F5A4686"/>
    <w:rsid w:val="5F5ACAAE"/>
    <w:rsid w:val="5F5B1FAC"/>
    <w:rsid w:val="5F5B7FDD"/>
    <w:rsid w:val="5F5B945B"/>
    <w:rsid w:val="5F5C4F63"/>
    <w:rsid w:val="5F5D0648"/>
    <w:rsid w:val="5F5D2419"/>
    <w:rsid w:val="5F5D6A68"/>
    <w:rsid w:val="5F5DA4A8"/>
    <w:rsid w:val="5F5E5DC8"/>
    <w:rsid w:val="5F5E84CA"/>
    <w:rsid w:val="5F5ED95D"/>
    <w:rsid w:val="5F5F63A1"/>
    <w:rsid w:val="5F5F69F9"/>
    <w:rsid w:val="5F5FBA4C"/>
    <w:rsid w:val="5F60052B"/>
    <w:rsid w:val="5F601CF7"/>
    <w:rsid w:val="5F60F979"/>
    <w:rsid w:val="5F6220EA"/>
    <w:rsid w:val="5F625159"/>
    <w:rsid w:val="5F6419E1"/>
    <w:rsid w:val="5F6453E6"/>
    <w:rsid w:val="5F64C976"/>
    <w:rsid w:val="5F659699"/>
    <w:rsid w:val="5F6633A9"/>
    <w:rsid w:val="5F667F76"/>
    <w:rsid w:val="5F66A7EA"/>
    <w:rsid w:val="5F6700F0"/>
    <w:rsid w:val="5F67238E"/>
    <w:rsid w:val="5F67A4ED"/>
    <w:rsid w:val="5F67F5BB"/>
    <w:rsid w:val="5F681D31"/>
    <w:rsid w:val="5F6853DE"/>
    <w:rsid w:val="5F686B8B"/>
    <w:rsid w:val="5F68870C"/>
    <w:rsid w:val="5F690565"/>
    <w:rsid w:val="5F693755"/>
    <w:rsid w:val="5F696D2E"/>
    <w:rsid w:val="5F69A11D"/>
    <w:rsid w:val="5F6A6B19"/>
    <w:rsid w:val="5F6A9F33"/>
    <w:rsid w:val="5F6AB290"/>
    <w:rsid w:val="5F6AB479"/>
    <w:rsid w:val="5F6ABB35"/>
    <w:rsid w:val="5F6AEEDA"/>
    <w:rsid w:val="5F6CD260"/>
    <w:rsid w:val="5F6D5AF7"/>
    <w:rsid w:val="5F6D5EC6"/>
    <w:rsid w:val="5F6DC22D"/>
    <w:rsid w:val="5F6DFD78"/>
    <w:rsid w:val="5F6E10D2"/>
    <w:rsid w:val="5F6E6715"/>
    <w:rsid w:val="5F709D9C"/>
    <w:rsid w:val="5F709E92"/>
    <w:rsid w:val="5F71126F"/>
    <w:rsid w:val="5F71622A"/>
    <w:rsid w:val="5F71F91D"/>
    <w:rsid w:val="5F72422B"/>
    <w:rsid w:val="5F732CF3"/>
    <w:rsid w:val="5F73FF2F"/>
    <w:rsid w:val="5F7405CD"/>
    <w:rsid w:val="5F74079F"/>
    <w:rsid w:val="5F7437FF"/>
    <w:rsid w:val="5F74CB95"/>
    <w:rsid w:val="5F75A40B"/>
    <w:rsid w:val="5F75BA0C"/>
    <w:rsid w:val="5F772750"/>
    <w:rsid w:val="5F7732F6"/>
    <w:rsid w:val="5F781923"/>
    <w:rsid w:val="5F791565"/>
    <w:rsid w:val="5F7A14A7"/>
    <w:rsid w:val="5F7A1A78"/>
    <w:rsid w:val="5F7B6478"/>
    <w:rsid w:val="5F7B67F1"/>
    <w:rsid w:val="5F7C3787"/>
    <w:rsid w:val="5F7C90FF"/>
    <w:rsid w:val="5F7D25C1"/>
    <w:rsid w:val="5F7E2503"/>
    <w:rsid w:val="5F7E5B4B"/>
    <w:rsid w:val="5F7E9992"/>
    <w:rsid w:val="5F7ED0F8"/>
    <w:rsid w:val="5F7F648B"/>
    <w:rsid w:val="5F7F6B71"/>
    <w:rsid w:val="5F7FC598"/>
    <w:rsid w:val="5F8002EA"/>
    <w:rsid w:val="5F808BDC"/>
    <w:rsid w:val="5F82600D"/>
    <w:rsid w:val="5F827970"/>
    <w:rsid w:val="5F82A6D6"/>
    <w:rsid w:val="5F83C2AB"/>
    <w:rsid w:val="5F84119E"/>
    <w:rsid w:val="5F845A80"/>
    <w:rsid w:val="5F846482"/>
    <w:rsid w:val="5F84E33D"/>
    <w:rsid w:val="5F84F29E"/>
    <w:rsid w:val="5F84F961"/>
    <w:rsid w:val="5F85188C"/>
    <w:rsid w:val="5F867B9C"/>
    <w:rsid w:val="5F877382"/>
    <w:rsid w:val="5F880F19"/>
    <w:rsid w:val="5F881529"/>
    <w:rsid w:val="5F8815C1"/>
    <w:rsid w:val="5F8841EE"/>
    <w:rsid w:val="5F887C30"/>
    <w:rsid w:val="5F88A3CC"/>
    <w:rsid w:val="5F8A7B86"/>
    <w:rsid w:val="5F8AB731"/>
    <w:rsid w:val="5F8AC175"/>
    <w:rsid w:val="5F8AD593"/>
    <w:rsid w:val="5F8BCE69"/>
    <w:rsid w:val="5F8BDEA4"/>
    <w:rsid w:val="5F8C0570"/>
    <w:rsid w:val="5F8CBCE0"/>
    <w:rsid w:val="5F8CE5F3"/>
    <w:rsid w:val="5F8CFAB0"/>
    <w:rsid w:val="5F8D04E4"/>
    <w:rsid w:val="5F8D156F"/>
    <w:rsid w:val="5F8D78E6"/>
    <w:rsid w:val="5F8EC68E"/>
    <w:rsid w:val="5F8FAC6C"/>
    <w:rsid w:val="5F90A3E9"/>
    <w:rsid w:val="5F9101B2"/>
    <w:rsid w:val="5F91C4EE"/>
    <w:rsid w:val="5F930BCC"/>
    <w:rsid w:val="5F93230E"/>
    <w:rsid w:val="5F937A79"/>
    <w:rsid w:val="5F9489ED"/>
    <w:rsid w:val="5F94901F"/>
    <w:rsid w:val="5F9532C0"/>
    <w:rsid w:val="5F95820E"/>
    <w:rsid w:val="5F9586A9"/>
    <w:rsid w:val="5F95CA57"/>
    <w:rsid w:val="5F95CD6E"/>
    <w:rsid w:val="5F962B94"/>
    <w:rsid w:val="5F96D7AC"/>
    <w:rsid w:val="5F96EE67"/>
    <w:rsid w:val="5F970169"/>
    <w:rsid w:val="5F9703B4"/>
    <w:rsid w:val="5F97993F"/>
    <w:rsid w:val="5F97A9E1"/>
    <w:rsid w:val="5F97FEC4"/>
    <w:rsid w:val="5F981C2D"/>
    <w:rsid w:val="5F98A533"/>
    <w:rsid w:val="5F98C3FD"/>
    <w:rsid w:val="5F9984AF"/>
    <w:rsid w:val="5F99FDE2"/>
    <w:rsid w:val="5F9A5076"/>
    <w:rsid w:val="5F9A76FD"/>
    <w:rsid w:val="5F9B72A3"/>
    <w:rsid w:val="5F9C07D1"/>
    <w:rsid w:val="5F9C19E5"/>
    <w:rsid w:val="5F9C7FAE"/>
    <w:rsid w:val="5F9CC768"/>
    <w:rsid w:val="5F9E8D7C"/>
    <w:rsid w:val="5F9E90C2"/>
    <w:rsid w:val="5FA1435D"/>
    <w:rsid w:val="5FA1C876"/>
    <w:rsid w:val="5FA1E60E"/>
    <w:rsid w:val="5FA2008A"/>
    <w:rsid w:val="5FA27F5F"/>
    <w:rsid w:val="5FA28950"/>
    <w:rsid w:val="5FA31CCA"/>
    <w:rsid w:val="5FA35CF8"/>
    <w:rsid w:val="5FA35E15"/>
    <w:rsid w:val="5FA3A393"/>
    <w:rsid w:val="5FA3DA9D"/>
    <w:rsid w:val="5FA472C9"/>
    <w:rsid w:val="5FA4A5CA"/>
    <w:rsid w:val="5FA4B661"/>
    <w:rsid w:val="5FA66083"/>
    <w:rsid w:val="5FA6904B"/>
    <w:rsid w:val="5FA840F4"/>
    <w:rsid w:val="5FA90C48"/>
    <w:rsid w:val="5FA9C4B5"/>
    <w:rsid w:val="5FA9DA7A"/>
    <w:rsid w:val="5FAAA330"/>
    <w:rsid w:val="5FAB63E1"/>
    <w:rsid w:val="5FAC14F2"/>
    <w:rsid w:val="5FAC3443"/>
    <w:rsid w:val="5FACBD20"/>
    <w:rsid w:val="5FAD46FC"/>
    <w:rsid w:val="5FAE667A"/>
    <w:rsid w:val="5FAF233E"/>
    <w:rsid w:val="5FAF9654"/>
    <w:rsid w:val="5FAFF053"/>
    <w:rsid w:val="5FB04599"/>
    <w:rsid w:val="5FB0CB00"/>
    <w:rsid w:val="5FB0D6C8"/>
    <w:rsid w:val="5FB0F022"/>
    <w:rsid w:val="5FB137D8"/>
    <w:rsid w:val="5FB2886C"/>
    <w:rsid w:val="5FB28B64"/>
    <w:rsid w:val="5FB31A5A"/>
    <w:rsid w:val="5FB338DF"/>
    <w:rsid w:val="5FB33F35"/>
    <w:rsid w:val="5FB34057"/>
    <w:rsid w:val="5FB434FD"/>
    <w:rsid w:val="5FB44418"/>
    <w:rsid w:val="5FB5A5E7"/>
    <w:rsid w:val="5FB6DD34"/>
    <w:rsid w:val="5FB77900"/>
    <w:rsid w:val="5FB78B11"/>
    <w:rsid w:val="5FB7DC14"/>
    <w:rsid w:val="5FB7E3AA"/>
    <w:rsid w:val="5FBA550F"/>
    <w:rsid w:val="5FBCC1AC"/>
    <w:rsid w:val="5FBCD1D1"/>
    <w:rsid w:val="5FBE59D5"/>
    <w:rsid w:val="5FBE9A9C"/>
    <w:rsid w:val="5FBEDD8C"/>
    <w:rsid w:val="5FBF23FC"/>
    <w:rsid w:val="5FBFE95A"/>
    <w:rsid w:val="5FC02261"/>
    <w:rsid w:val="5FC02C7D"/>
    <w:rsid w:val="5FC127AE"/>
    <w:rsid w:val="5FC16F1C"/>
    <w:rsid w:val="5FC19B72"/>
    <w:rsid w:val="5FC41E86"/>
    <w:rsid w:val="5FC48679"/>
    <w:rsid w:val="5FC4F4B3"/>
    <w:rsid w:val="5FC54461"/>
    <w:rsid w:val="5FC57C67"/>
    <w:rsid w:val="5FC5F0CA"/>
    <w:rsid w:val="5FC64BDE"/>
    <w:rsid w:val="5FC7019F"/>
    <w:rsid w:val="5FC72DC6"/>
    <w:rsid w:val="5FC800DF"/>
    <w:rsid w:val="5FC82BBB"/>
    <w:rsid w:val="5FC8A917"/>
    <w:rsid w:val="5FC8F476"/>
    <w:rsid w:val="5FC8FAD3"/>
    <w:rsid w:val="5FCA1A96"/>
    <w:rsid w:val="5FCABCF0"/>
    <w:rsid w:val="5FCB1276"/>
    <w:rsid w:val="5FCB9C54"/>
    <w:rsid w:val="5FCBAC60"/>
    <w:rsid w:val="5FCBFB86"/>
    <w:rsid w:val="5FCC990A"/>
    <w:rsid w:val="5FCD187C"/>
    <w:rsid w:val="5FCDC13A"/>
    <w:rsid w:val="5FCE49C0"/>
    <w:rsid w:val="5FCE73D2"/>
    <w:rsid w:val="5FCE80A7"/>
    <w:rsid w:val="5FCED3C1"/>
    <w:rsid w:val="5FCEEDBE"/>
    <w:rsid w:val="5FCF0A9A"/>
    <w:rsid w:val="5FD06B98"/>
    <w:rsid w:val="5FD08423"/>
    <w:rsid w:val="5FD137D4"/>
    <w:rsid w:val="5FD14F77"/>
    <w:rsid w:val="5FD1C823"/>
    <w:rsid w:val="5FD252DA"/>
    <w:rsid w:val="5FD2DCBE"/>
    <w:rsid w:val="5FD3238E"/>
    <w:rsid w:val="5FD3CF1D"/>
    <w:rsid w:val="5FD6438D"/>
    <w:rsid w:val="5FD68F83"/>
    <w:rsid w:val="5FD6B91E"/>
    <w:rsid w:val="5FD720F5"/>
    <w:rsid w:val="5FD72748"/>
    <w:rsid w:val="5FD76EBC"/>
    <w:rsid w:val="5FD7CBC1"/>
    <w:rsid w:val="5FD7FAEB"/>
    <w:rsid w:val="5FD8CCD3"/>
    <w:rsid w:val="5FDB6D68"/>
    <w:rsid w:val="5FDD3868"/>
    <w:rsid w:val="5FDD4EBB"/>
    <w:rsid w:val="5FDE20F5"/>
    <w:rsid w:val="5FDE6995"/>
    <w:rsid w:val="5FDE7011"/>
    <w:rsid w:val="5FDF9D0B"/>
    <w:rsid w:val="5FDFDE12"/>
    <w:rsid w:val="5FE0BF6F"/>
    <w:rsid w:val="5FE0F1AE"/>
    <w:rsid w:val="5FE12CB5"/>
    <w:rsid w:val="5FE13B6D"/>
    <w:rsid w:val="5FE1573E"/>
    <w:rsid w:val="5FE17044"/>
    <w:rsid w:val="5FE19B16"/>
    <w:rsid w:val="5FE2095C"/>
    <w:rsid w:val="5FE27122"/>
    <w:rsid w:val="5FE2BAE2"/>
    <w:rsid w:val="5FE3846E"/>
    <w:rsid w:val="5FE420F1"/>
    <w:rsid w:val="5FE42411"/>
    <w:rsid w:val="5FE58C34"/>
    <w:rsid w:val="5FE62FB9"/>
    <w:rsid w:val="5FE63496"/>
    <w:rsid w:val="5FE65ED5"/>
    <w:rsid w:val="5FE6B2C6"/>
    <w:rsid w:val="5FE6E719"/>
    <w:rsid w:val="5FE7545A"/>
    <w:rsid w:val="5FE75E51"/>
    <w:rsid w:val="5FE81AA0"/>
    <w:rsid w:val="5FE9B085"/>
    <w:rsid w:val="5FEA211D"/>
    <w:rsid w:val="5FEA5390"/>
    <w:rsid w:val="5FEA90A8"/>
    <w:rsid w:val="5FEAF9EE"/>
    <w:rsid w:val="5FEB24CF"/>
    <w:rsid w:val="5FECF834"/>
    <w:rsid w:val="5FED9583"/>
    <w:rsid w:val="5FEDB049"/>
    <w:rsid w:val="5FEE9468"/>
    <w:rsid w:val="5FEE9D62"/>
    <w:rsid w:val="5FEF00AF"/>
    <w:rsid w:val="5FEF89E6"/>
    <w:rsid w:val="5FF00DE6"/>
    <w:rsid w:val="5FF0A0CB"/>
    <w:rsid w:val="5FF10B3E"/>
    <w:rsid w:val="5FF12287"/>
    <w:rsid w:val="5FF1A8A9"/>
    <w:rsid w:val="5FF24427"/>
    <w:rsid w:val="5FF299D0"/>
    <w:rsid w:val="5FF2B3A8"/>
    <w:rsid w:val="5FF34C54"/>
    <w:rsid w:val="5FF40AD2"/>
    <w:rsid w:val="5FF4BAA0"/>
    <w:rsid w:val="5FF5A69E"/>
    <w:rsid w:val="5FF5D764"/>
    <w:rsid w:val="5FF6195B"/>
    <w:rsid w:val="5FF69D2F"/>
    <w:rsid w:val="5FF7ABFC"/>
    <w:rsid w:val="5FF82BD9"/>
    <w:rsid w:val="5FF83C9A"/>
    <w:rsid w:val="5FF861B5"/>
    <w:rsid w:val="5FF88880"/>
    <w:rsid w:val="5FF92BEC"/>
    <w:rsid w:val="5FF93A0D"/>
    <w:rsid w:val="5FFAF032"/>
    <w:rsid w:val="5FFB722E"/>
    <w:rsid w:val="5FFC5417"/>
    <w:rsid w:val="5FFD1782"/>
    <w:rsid w:val="5FFD2AA3"/>
    <w:rsid w:val="5FFD6190"/>
    <w:rsid w:val="5FFD7A51"/>
    <w:rsid w:val="5FFD8BD9"/>
    <w:rsid w:val="5FFDCDF4"/>
    <w:rsid w:val="5FFEC32A"/>
    <w:rsid w:val="5FFF2EAC"/>
    <w:rsid w:val="5FFFC05D"/>
    <w:rsid w:val="6000713E"/>
    <w:rsid w:val="60007648"/>
    <w:rsid w:val="6000BB12"/>
    <w:rsid w:val="6000D2E8"/>
    <w:rsid w:val="60013CD3"/>
    <w:rsid w:val="600154E8"/>
    <w:rsid w:val="6001EE0C"/>
    <w:rsid w:val="6002F9EF"/>
    <w:rsid w:val="6003453B"/>
    <w:rsid w:val="60036117"/>
    <w:rsid w:val="6003B525"/>
    <w:rsid w:val="600461EE"/>
    <w:rsid w:val="6004941E"/>
    <w:rsid w:val="600572C0"/>
    <w:rsid w:val="600597C9"/>
    <w:rsid w:val="6005E6FF"/>
    <w:rsid w:val="6006898A"/>
    <w:rsid w:val="60077C44"/>
    <w:rsid w:val="6007DF10"/>
    <w:rsid w:val="60080B19"/>
    <w:rsid w:val="600850EA"/>
    <w:rsid w:val="60088BE3"/>
    <w:rsid w:val="6008F0DE"/>
    <w:rsid w:val="600A2670"/>
    <w:rsid w:val="600A3FE6"/>
    <w:rsid w:val="600A8FC7"/>
    <w:rsid w:val="600A9096"/>
    <w:rsid w:val="600AE9E7"/>
    <w:rsid w:val="600B0310"/>
    <w:rsid w:val="600C1174"/>
    <w:rsid w:val="600C427F"/>
    <w:rsid w:val="600CB4AE"/>
    <w:rsid w:val="600D0247"/>
    <w:rsid w:val="600D0BE7"/>
    <w:rsid w:val="600DEF30"/>
    <w:rsid w:val="600E2542"/>
    <w:rsid w:val="600E7C11"/>
    <w:rsid w:val="600EB2FC"/>
    <w:rsid w:val="600ECA2C"/>
    <w:rsid w:val="600EE96C"/>
    <w:rsid w:val="600EEB68"/>
    <w:rsid w:val="600EF0F2"/>
    <w:rsid w:val="600F5B10"/>
    <w:rsid w:val="600FA448"/>
    <w:rsid w:val="600FEEDF"/>
    <w:rsid w:val="60109991"/>
    <w:rsid w:val="6011451D"/>
    <w:rsid w:val="6012424E"/>
    <w:rsid w:val="601272EA"/>
    <w:rsid w:val="60127936"/>
    <w:rsid w:val="601296DA"/>
    <w:rsid w:val="6012EE0A"/>
    <w:rsid w:val="60132127"/>
    <w:rsid w:val="6013310C"/>
    <w:rsid w:val="6014EE6E"/>
    <w:rsid w:val="60155F95"/>
    <w:rsid w:val="60157B60"/>
    <w:rsid w:val="6015AFE2"/>
    <w:rsid w:val="6015F447"/>
    <w:rsid w:val="60162DD8"/>
    <w:rsid w:val="601672EC"/>
    <w:rsid w:val="6016A1AE"/>
    <w:rsid w:val="6016CF5D"/>
    <w:rsid w:val="6016EA82"/>
    <w:rsid w:val="60189226"/>
    <w:rsid w:val="601A81FB"/>
    <w:rsid w:val="601ACBA1"/>
    <w:rsid w:val="601BA2BA"/>
    <w:rsid w:val="601BA4D5"/>
    <w:rsid w:val="601C793C"/>
    <w:rsid w:val="601C9A3A"/>
    <w:rsid w:val="601CE012"/>
    <w:rsid w:val="602006F0"/>
    <w:rsid w:val="60201534"/>
    <w:rsid w:val="6020BBEE"/>
    <w:rsid w:val="6020E24F"/>
    <w:rsid w:val="6021438E"/>
    <w:rsid w:val="60220D82"/>
    <w:rsid w:val="60229555"/>
    <w:rsid w:val="60234C71"/>
    <w:rsid w:val="6023DB4E"/>
    <w:rsid w:val="60249865"/>
    <w:rsid w:val="60259836"/>
    <w:rsid w:val="60259897"/>
    <w:rsid w:val="60260123"/>
    <w:rsid w:val="6026CD97"/>
    <w:rsid w:val="6026CFAB"/>
    <w:rsid w:val="6027169B"/>
    <w:rsid w:val="6027CBEB"/>
    <w:rsid w:val="60283A4F"/>
    <w:rsid w:val="60295A39"/>
    <w:rsid w:val="60295E9C"/>
    <w:rsid w:val="6029798C"/>
    <w:rsid w:val="6029A57F"/>
    <w:rsid w:val="6029A8EE"/>
    <w:rsid w:val="6029B9E4"/>
    <w:rsid w:val="602AADEC"/>
    <w:rsid w:val="602B3A45"/>
    <w:rsid w:val="602B51DB"/>
    <w:rsid w:val="602BAD9A"/>
    <w:rsid w:val="602C9B59"/>
    <w:rsid w:val="602D5F04"/>
    <w:rsid w:val="602E7432"/>
    <w:rsid w:val="602E8D2F"/>
    <w:rsid w:val="602F4881"/>
    <w:rsid w:val="602FD4BE"/>
    <w:rsid w:val="60302A44"/>
    <w:rsid w:val="603048E9"/>
    <w:rsid w:val="60313BC4"/>
    <w:rsid w:val="60323E5E"/>
    <w:rsid w:val="60327083"/>
    <w:rsid w:val="6032B140"/>
    <w:rsid w:val="6035B1C0"/>
    <w:rsid w:val="603610BB"/>
    <w:rsid w:val="60364C2A"/>
    <w:rsid w:val="6036A5EC"/>
    <w:rsid w:val="60378332"/>
    <w:rsid w:val="603830CC"/>
    <w:rsid w:val="6039A18E"/>
    <w:rsid w:val="6039B9B3"/>
    <w:rsid w:val="6039C239"/>
    <w:rsid w:val="603AC7B8"/>
    <w:rsid w:val="603AD757"/>
    <w:rsid w:val="603ADA09"/>
    <w:rsid w:val="603B1709"/>
    <w:rsid w:val="603BB0BD"/>
    <w:rsid w:val="603BEB67"/>
    <w:rsid w:val="603C32FE"/>
    <w:rsid w:val="603C564C"/>
    <w:rsid w:val="603CAE82"/>
    <w:rsid w:val="603D2C89"/>
    <w:rsid w:val="603D3196"/>
    <w:rsid w:val="603D892F"/>
    <w:rsid w:val="603DC4AF"/>
    <w:rsid w:val="603EBE6F"/>
    <w:rsid w:val="603FCCE0"/>
    <w:rsid w:val="6040329C"/>
    <w:rsid w:val="60403A10"/>
    <w:rsid w:val="60405590"/>
    <w:rsid w:val="6040ADDF"/>
    <w:rsid w:val="6040E86F"/>
    <w:rsid w:val="60416CCF"/>
    <w:rsid w:val="60419F5B"/>
    <w:rsid w:val="604327E7"/>
    <w:rsid w:val="6043A625"/>
    <w:rsid w:val="604503B4"/>
    <w:rsid w:val="60452A0A"/>
    <w:rsid w:val="60454949"/>
    <w:rsid w:val="604565E6"/>
    <w:rsid w:val="6045DAA9"/>
    <w:rsid w:val="6046B05A"/>
    <w:rsid w:val="6046D514"/>
    <w:rsid w:val="604740A5"/>
    <w:rsid w:val="604746FB"/>
    <w:rsid w:val="60475071"/>
    <w:rsid w:val="604791C2"/>
    <w:rsid w:val="6047DED3"/>
    <w:rsid w:val="6048223E"/>
    <w:rsid w:val="604885D4"/>
    <w:rsid w:val="6048FF5F"/>
    <w:rsid w:val="60491B18"/>
    <w:rsid w:val="60494D28"/>
    <w:rsid w:val="6049981E"/>
    <w:rsid w:val="6049C32A"/>
    <w:rsid w:val="604AA8E3"/>
    <w:rsid w:val="604BAAE7"/>
    <w:rsid w:val="604BCC4B"/>
    <w:rsid w:val="604BF6B3"/>
    <w:rsid w:val="604CEDF4"/>
    <w:rsid w:val="604D58A4"/>
    <w:rsid w:val="604E4E60"/>
    <w:rsid w:val="604F5405"/>
    <w:rsid w:val="604FDA4A"/>
    <w:rsid w:val="60507F94"/>
    <w:rsid w:val="6052552B"/>
    <w:rsid w:val="6052AC06"/>
    <w:rsid w:val="6052BE4C"/>
    <w:rsid w:val="6052E4E8"/>
    <w:rsid w:val="60534F03"/>
    <w:rsid w:val="60535FFE"/>
    <w:rsid w:val="6053D777"/>
    <w:rsid w:val="6053E266"/>
    <w:rsid w:val="6053F16D"/>
    <w:rsid w:val="6054EBDA"/>
    <w:rsid w:val="6055A6C6"/>
    <w:rsid w:val="6055ADE7"/>
    <w:rsid w:val="6057174A"/>
    <w:rsid w:val="6057A316"/>
    <w:rsid w:val="6057D117"/>
    <w:rsid w:val="605800C2"/>
    <w:rsid w:val="60595DB0"/>
    <w:rsid w:val="605A8886"/>
    <w:rsid w:val="605AD652"/>
    <w:rsid w:val="605B2312"/>
    <w:rsid w:val="605B76BF"/>
    <w:rsid w:val="605C2D9B"/>
    <w:rsid w:val="605C4656"/>
    <w:rsid w:val="605CB5DA"/>
    <w:rsid w:val="605D6AB4"/>
    <w:rsid w:val="605E6838"/>
    <w:rsid w:val="605F1128"/>
    <w:rsid w:val="605F6FB2"/>
    <w:rsid w:val="605F817A"/>
    <w:rsid w:val="605F8382"/>
    <w:rsid w:val="60617DCA"/>
    <w:rsid w:val="6062DC31"/>
    <w:rsid w:val="60631F70"/>
    <w:rsid w:val="60637840"/>
    <w:rsid w:val="6063A37A"/>
    <w:rsid w:val="6064D9B5"/>
    <w:rsid w:val="6064F02F"/>
    <w:rsid w:val="60651271"/>
    <w:rsid w:val="6066A804"/>
    <w:rsid w:val="6067547E"/>
    <w:rsid w:val="60675692"/>
    <w:rsid w:val="6067CB63"/>
    <w:rsid w:val="6067F14C"/>
    <w:rsid w:val="6067F793"/>
    <w:rsid w:val="606853E0"/>
    <w:rsid w:val="60685AEC"/>
    <w:rsid w:val="6068C1CE"/>
    <w:rsid w:val="6069BC54"/>
    <w:rsid w:val="606A463A"/>
    <w:rsid w:val="606A9756"/>
    <w:rsid w:val="606AE070"/>
    <w:rsid w:val="606B25F8"/>
    <w:rsid w:val="606BFAF0"/>
    <w:rsid w:val="606C0197"/>
    <w:rsid w:val="606C83C2"/>
    <w:rsid w:val="606D49CB"/>
    <w:rsid w:val="606DFDD0"/>
    <w:rsid w:val="606EBBF2"/>
    <w:rsid w:val="606F3D9A"/>
    <w:rsid w:val="606FE28A"/>
    <w:rsid w:val="60702A8B"/>
    <w:rsid w:val="6072090A"/>
    <w:rsid w:val="60725686"/>
    <w:rsid w:val="607296BD"/>
    <w:rsid w:val="60729ED9"/>
    <w:rsid w:val="60744017"/>
    <w:rsid w:val="6074EB88"/>
    <w:rsid w:val="6075C31E"/>
    <w:rsid w:val="60767857"/>
    <w:rsid w:val="6076A6E0"/>
    <w:rsid w:val="6076AB58"/>
    <w:rsid w:val="6076B251"/>
    <w:rsid w:val="6076DAD0"/>
    <w:rsid w:val="6076E2C6"/>
    <w:rsid w:val="6077A7CE"/>
    <w:rsid w:val="6077CA59"/>
    <w:rsid w:val="60789E5A"/>
    <w:rsid w:val="6078EC15"/>
    <w:rsid w:val="607969BA"/>
    <w:rsid w:val="60798B01"/>
    <w:rsid w:val="607B0DA5"/>
    <w:rsid w:val="607B0E35"/>
    <w:rsid w:val="607B6ADA"/>
    <w:rsid w:val="607C0730"/>
    <w:rsid w:val="607CB673"/>
    <w:rsid w:val="607CF72C"/>
    <w:rsid w:val="607D1696"/>
    <w:rsid w:val="607D1E97"/>
    <w:rsid w:val="607D374D"/>
    <w:rsid w:val="607DC995"/>
    <w:rsid w:val="607DD564"/>
    <w:rsid w:val="607E0394"/>
    <w:rsid w:val="607E0CAA"/>
    <w:rsid w:val="607E1FCA"/>
    <w:rsid w:val="607E859D"/>
    <w:rsid w:val="607F441B"/>
    <w:rsid w:val="607F72BC"/>
    <w:rsid w:val="607F7846"/>
    <w:rsid w:val="60801EAB"/>
    <w:rsid w:val="608107A4"/>
    <w:rsid w:val="608138E2"/>
    <w:rsid w:val="6081A88D"/>
    <w:rsid w:val="60824E44"/>
    <w:rsid w:val="60825E32"/>
    <w:rsid w:val="6082E157"/>
    <w:rsid w:val="608435CA"/>
    <w:rsid w:val="60849D55"/>
    <w:rsid w:val="6084B814"/>
    <w:rsid w:val="60850C73"/>
    <w:rsid w:val="608616E3"/>
    <w:rsid w:val="60885D4D"/>
    <w:rsid w:val="6089F873"/>
    <w:rsid w:val="608B65FD"/>
    <w:rsid w:val="608B9BB7"/>
    <w:rsid w:val="608C5678"/>
    <w:rsid w:val="608CC86E"/>
    <w:rsid w:val="608D262E"/>
    <w:rsid w:val="608D8FF2"/>
    <w:rsid w:val="608E2B33"/>
    <w:rsid w:val="608FB45A"/>
    <w:rsid w:val="608FBA5F"/>
    <w:rsid w:val="60909D77"/>
    <w:rsid w:val="6090B818"/>
    <w:rsid w:val="6091132B"/>
    <w:rsid w:val="60912787"/>
    <w:rsid w:val="60918616"/>
    <w:rsid w:val="6092213F"/>
    <w:rsid w:val="6093DE4D"/>
    <w:rsid w:val="609444B6"/>
    <w:rsid w:val="60945A0D"/>
    <w:rsid w:val="60946314"/>
    <w:rsid w:val="60946E7E"/>
    <w:rsid w:val="6095310C"/>
    <w:rsid w:val="6095975E"/>
    <w:rsid w:val="6095B158"/>
    <w:rsid w:val="6095F4AF"/>
    <w:rsid w:val="609710C5"/>
    <w:rsid w:val="6097427F"/>
    <w:rsid w:val="60982D20"/>
    <w:rsid w:val="60988CD3"/>
    <w:rsid w:val="60992D83"/>
    <w:rsid w:val="6099D9ED"/>
    <w:rsid w:val="609A29B6"/>
    <w:rsid w:val="609A4822"/>
    <w:rsid w:val="609A85C7"/>
    <w:rsid w:val="609AEA74"/>
    <w:rsid w:val="609B5C87"/>
    <w:rsid w:val="609BF2F9"/>
    <w:rsid w:val="609C35C4"/>
    <w:rsid w:val="609C6F48"/>
    <w:rsid w:val="609D340F"/>
    <w:rsid w:val="609D49C1"/>
    <w:rsid w:val="609D5FC5"/>
    <w:rsid w:val="609D6E16"/>
    <w:rsid w:val="609D8F7F"/>
    <w:rsid w:val="609DC5B2"/>
    <w:rsid w:val="609EFF19"/>
    <w:rsid w:val="60A01F37"/>
    <w:rsid w:val="60A03310"/>
    <w:rsid w:val="60A0B354"/>
    <w:rsid w:val="60A0C947"/>
    <w:rsid w:val="60A0F335"/>
    <w:rsid w:val="60A10AEC"/>
    <w:rsid w:val="60A17ABE"/>
    <w:rsid w:val="60A2D8B9"/>
    <w:rsid w:val="60A37B7B"/>
    <w:rsid w:val="60A3A9F0"/>
    <w:rsid w:val="60A43249"/>
    <w:rsid w:val="60A48811"/>
    <w:rsid w:val="60A49501"/>
    <w:rsid w:val="60A55286"/>
    <w:rsid w:val="60A67309"/>
    <w:rsid w:val="60A706F3"/>
    <w:rsid w:val="60A7B5FF"/>
    <w:rsid w:val="60A8AC08"/>
    <w:rsid w:val="60A8DDEF"/>
    <w:rsid w:val="60A94261"/>
    <w:rsid w:val="60A99441"/>
    <w:rsid w:val="60AA2FDC"/>
    <w:rsid w:val="60AA453F"/>
    <w:rsid w:val="60AB2177"/>
    <w:rsid w:val="60AB7769"/>
    <w:rsid w:val="60ABE05C"/>
    <w:rsid w:val="60AC91CC"/>
    <w:rsid w:val="60ACA46E"/>
    <w:rsid w:val="60ACFA07"/>
    <w:rsid w:val="60ADC971"/>
    <w:rsid w:val="60ADFCBE"/>
    <w:rsid w:val="60AE6937"/>
    <w:rsid w:val="60AF1670"/>
    <w:rsid w:val="60B09703"/>
    <w:rsid w:val="60B0A776"/>
    <w:rsid w:val="60B10DE3"/>
    <w:rsid w:val="60B268E3"/>
    <w:rsid w:val="60B323C6"/>
    <w:rsid w:val="60B37701"/>
    <w:rsid w:val="60B3807E"/>
    <w:rsid w:val="60B3E640"/>
    <w:rsid w:val="60B41F28"/>
    <w:rsid w:val="60B4BFCE"/>
    <w:rsid w:val="60B5DC18"/>
    <w:rsid w:val="60B69C07"/>
    <w:rsid w:val="60B70719"/>
    <w:rsid w:val="60B733BF"/>
    <w:rsid w:val="60B796B3"/>
    <w:rsid w:val="60B936CC"/>
    <w:rsid w:val="60B9E588"/>
    <w:rsid w:val="60B9EEF4"/>
    <w:rsid w:val="60BB8BA7"/>
    <w:rsid w:val="60BBFCD9"/>
    <w:rsid w:val="60BC403F"/>
    <w:rsid w:val="60BC4970"/>
    <w:rsid w:val="60BC568A"/>
    <w:rsid w:val="60BC6904"/>
    <w:rsid w:val="60BD0C1A"/>
    <w:rsid w:val="60BD5184"/>
    <w:rsid w:val="60BDEAF0"/>
    <w:rsid w:val="60BED886"/>
    <w:rsid w:val="60BF9D48"/>
    <w:rsid w:val="60C0CC24"/>
    <w:rsid w:val="60C12CC6"/>
    <w:rsid w:val="60C20933"/>
    <w:rsid w:val="60C33B76"/>
    <w:rsid w:val="60C36831"/>
    <w:rsid w:val="60C3DB49"/>
    <w:rsid w:val="60C456B5"/>
    <w:rsid w:val="60C461BE"/>
    <w:rsid w:val="60C4AEEE"/>
    <w:rsid w:val="60C4E39B"/>
    <w:rsid w:val="60C575B5"/>
    <w:rsid w:val="60C575E3"/>
    <w:rsid w:val="60C5C751"/>
    <w:rsid w:val="60C609A3"/>
    <w:rsid w:val="60C65A9B"/>
    <w:rsid w:val="60C7255B"/>
    <w:rsid w:val="60C75200"/>
    <w:rsid w:val="60C784A8"/>
    <w:rsid w:val="60C81450"/>
    <w:rsid w:val="60C81E9F"/>
    <w:rsid w:val="60C906AB"/>
    <w:rsid w:val="60CA096A"/>
    <w:rsid w:val="60CD0C7E"/>
    <w:rsid w:val="60CE29AA"/>
    <w:rsid w:val="60D085C7"/>
    <w:rsid w:val="60D111C6"/>
    <w:rsid w:val="60D1EAC9"/>
    <w:rsid w:val="60D20283"/>
    <w:rsid w:val="60D38759"/>
    <w:rsid w:val="60D469A1"/>
    <w:rsid w:val="60D49F58"/>
    <w:rsid w:val="60D4AA6A"/>
    <w:rsid w:val="60D4E29D"/>
    <w:rsid w:val="60D551FF"/>
    <w:rsid w:val="60D65F1E"/>
    <w:rsid w:val="60D6FE0C"/>
    <w:rsid w:val="60D74D91"/>
    <w:rsid w:val="60D87B9D"/>
    <w:rsid w:val="60D8B37B"/>
    <w:rsid w:val="60D8D7D1"/>
    <w:rsid w:val="60D9F20B"/>
    <w:rsid w:val="60DAE1C4"/>
    <w:rsid w:val="60DB0B6A"/>
    <w:rsid w:val="60DB9044"/>
    <w:rsid w:val="60DBB522"/>
    <w:rsid w:val="60DBF37A"/>
    <w:rsid w:val="60DC1A1D"/>
    <w:rsid w:val="60DCA73B"/>
    <w:rsid w:val="60DCDEAD"/>
    <w:rsid w:val="60DE8D0E"/>
    <w:rsid w:val="60DE9F88"/>
    <w:rsid w:val="60DEF9F5"/>
    <w:rsid w:val="60DF80FF"/>
    <w:rsid w:val="60DFAEB9"/>
    <w:rsid w:val="60E0267C"/>
    <w:rsid w:val="60E027C9"/>
    <w:rsid w:val="60E055C7"/>
    <w:rsid w:val="60E1C0DC"/>
    <w:rsid w:val="60E1FF91"/>
    <w:rsid w:val="60E27E9B"/>
    <w:rsid w:val="60E337F1"/>
    <w:rsid w:val="60E3B298"/>
    <w:rsid w:val="60E501A4"/>
    <w:rsid w:val="60E57689"/>
    <w:rsid w:val="60E58831"/>
    <w:rsid w:val="60E5AC69"/>
    <w:rsid w:val="60E5F12B"/>
    <w:rsid w:val="60E6454E"/>
    <w:rsid w:val="60E64F08"/>
    <w:rsid w:val="60E65BB4"/>
    <w:rsid w:val="60E67B84"/>
    <w:rsid w:val="60E6F9B2"/>
    <w:rsid w:val="60E753ED"/>
    <w:rsid w:val="60E7A950"/>
    <w:rsid w:val="60E80D61"/>
    <w:rsid w:val="60E878A8"/>
    <w:rsid w:val="60E91485"/>
    <w:rsid w:val="60EACB6F"/>
    <w:rsid w:val="60EAF015"/>
    <w:rsid w:val="60EBC879"/>
    <w:rsid w:val="60EBE9AD"/>
    <w:rsid w:val="60ECE7EA"/>
    <w:rsid w:val="60ED8D8F"/>
    <w:rsid w:val="60EE6765"/>
    <w:rsid w:val="60EE7095"/>
    <w:rsid w:val="60EEBBF5"/>
    <w:rsid w:val="60EEE7B2"/>
    <w:rsid w:val="60EF27A1"/>
    <w:rsid w:val="60F08389"/>
    <w:rsid w:val="60F09CF9"/>
    <w:rsid w:val="60F138B8"/>
    <w:rsid w:val="60F240EC"/>
    <w:rsid w:val="60F401E4"/>
    <w:rsid w:val="60F406E7"/>
    <w:rsid w:val="60F42E64"/>
    <w:rsid w:val="60F48029"/>
    <w:rsid w:val="60F4A49B"/>
    <w:rsid w:val="60F6F6A6"/>
    <w:rsid w:val="60F7017F"/>
    <w:rsid w:val="60F70E90"/>
    <w:rsid w:val="60F72B60"/>
    <w:rsid w:val="60F80D88"/>
    <w:rsid w:val="60F817B0"/>
    <w:rsid w:val="60F87BF1"/>
    <w:rsid w:val="60F92C63"/>
    <w:rsid w:val="60F9C96D"/>
    <w:rsid w:val="60FA8CE8"/>
    <w:rsid w:val="60FB6A83"/>
    <w:rsid w:val="60FBC7B1"/>
    <w:rsid w:val="60FCF496"/>
    <w:rsid w:val="60FD6CD5"/>
    <w:rsid w:val="60FE4142"/>
    <w:rsid w:val="60FE879F"/>
    <w:rsid w:val="60FEBE85"/>
    <w:rsid w:val="60FF23B0"/>
    <w:rsid w:val="60FF8953"/>
    <w:rsid w:val="6100028A"/>
    <w:rsid w:val="6101809C"/>
    <w:rsid w:val="6101B3A8"/>
    <w:rsid w:val="6101F5FE"/>
    <w:rsid w:val="6102557D"/>
    <w:rsid w:val="61028B7A"/>
    <w:rsid w:val="61028BE8"/>
    <w:rsid w:val="6102A5BB"/>
    <w:rsid w:val="6102B9BC"/>
    <w:rsid w:val="6102D6AB"/>
    <w:rsid w:val="610387E6"/>
    <w:rsid w:val="610465E0"/>
    <w:rsid w:val="61058534"/>
    <w:rsid w:val="6105B737"/>
    <w:rsid w:val="61060324"/>
    <w:rsid w:val="6106711A"/>
    <w:rsid w:val="6107BCBE"/>
    <w:rsid w:val="6107FCBD"/>
    <w:rsid w:val="6108564B"/>
    <w:rsid w:val="61088191"/>
    <w:rsid w:val="61089568"/>
    <w:rsid w:val="6108B7FB"/>
    <w:rsid w:val="61090664"/>
    <w:rsid w:val="61091634"/>
    <w:rsid w:val="610A2994"/>
    <w:rsid w:val="610B1F22"/>
    <w:rsid w:val="610BF7E6"/>
    <w:rsid w:val="610C2BD4"/>
    <w:rsid w:val="610D38D0"/>
    <w:rsid w:val="610D4E58"/>
    <w:rsid w:val="610D6628"/>
    <w:rsid w:val="610D8D63"/>
    <w:rsid w:val="610DC760"/>
    <w:rsid w:val="610E1FF0"/>
    <w:rsid w:val="610F125B"/>
    <w:rsid w:val="610F68AA"/>
    <w:rsid w:val="610F6E77"/>
    <w:rsid w:val="61107D97"/>
    <w:rsid w:val="61114875"/>
    <w:rsid w:val="61121F97"/>
    <w:rsid w:val="61122F5A"/>
    <w:rsid w:val="6112E5B1"/>
    <w:rsid w:val="61136F82"/>
    <w:rsid w:val="61159197"/>
    <w:rsid w:val="6115D9F0"/>
    <w:rsid w:val="6115E021"/>
    <w:rsid w:val="61161F17"/>
    <w:rsid w:val="6116E7F8"/>
    <w:rsid w:val="611901AD"/>
    <w:rsid w:val="61190E1C"/>
    <w:rsid w:val="611935B9"/>
    <w:rsid w:val="6119C521"/>
    <w:rsid w:val="6119C529"/>
    <w:rsid w:val="6119E060"/>
    <w:rsid w:val="611AD3D1"/>
    <w:rsid w:val="611BCD0D"/>
    <w:rsid w:val="611C4641"/>
    <w:rsid w:val="611C63D3"/>
    <w:rsid w:val="611CCC28"/>
    <w:rsid w:val="611E97C3"/>
    <w:rsid w:val="611EE0AA"/>
    <w:rsid w:val="61200872"/>
    <w:rsid w:val="61203842"/>
    <w:rsid w:val="612049BF"/>
    <w:rsid w:val="61209A92"/>
    <w:rsid w:val="61210348"/>
    <w:rsid w:val="61210C30"/>
    <w:rsid w:val="61213EDF"/>
    <w:rsid w:val="6121CDE9"/>
    <w:rsid w:val="61221B16"/>
    <w:rsid w:val="612263E1"/>
    <w:rsid w:val="612267A3"/>
    <w:rsid w:val="61236592"/>
    <w:rsid w:val="6123B4CC"/>
    <w:rsid w:val="612401C4"/>
    <w:rsid w:val="612452C4"/>
    <w:rsid w:val="61246697"/>
    <w:rsid w:val="612492F3"/>
    <w:rsid w:val="6124FBEC"/>
    <w:rsid w:val="612615F3"/>
    <w:rsid w:val="61267DAA"/>
    <w:rsid w:val="6128AE5F"/>
    <w:rsid w:val="61296670"/>
    <w:rsid w:val="6129833F"/>
    <w:rsid w:val="6129990A"/>
    <w:rsid w:val="612A2F80"/>
    <w:rsid w:val="612A6362"/>
    <w:rsid w:val="612ABFAA"/>
    <w:rsid w:val="612B5B8B"/>
    <w:rsid w:val="612DFFA1"/>
    <w:rsid w:val="612ED54F"/>
    <w:rsid w:val="612EECAA"/>
    <w:rsid w:val="612F7CE6"/>
    <w:rsid w:val="612F8850"/>
    <w:rsid w:val="612FA13B"/>
    <w:rsid w:val="61308267"/>
    <w:rsid w:val="61308BEA"/>
    <w:rsid w:val="6130FC3E"/>
    <w:rsid w:val="61312752"/>
    <w:rsid w:val="61315605"/>
    <w:rsid w:val="61317D9E"/>
    <w:rsid w:val="6132830A"/>
    <w:rsid w:val="6132BA9C"/>
    <w:rsid w:val="6132C409"/>
    <w:rsid w:val="61330B30"/>
    <w:rsid w:val="61339E1F"/>
    <w:rsid w:val="6133B072"/>
    <w:rsid w:val="61340B9D"/>
    <w:rsid w:val="61346595"/>
    <w:rsid w:val="61350E2E"/>
    <w:rsid w:val="6135A812"/>
    <w:rsid w:val="61362330"/>
    <w:rsid w:val="61376DD8"/>
    <w:rsid w:val="6137AF3D"/>
    <w:rsid w:val="61380B95"/>
    <w:rsid w:val="61386A33"/>
    <w:rsid w:val="6138E1CD"/>
    <w:rsid w:val="6138EBB5"/>
    <w:rsid w:val="613A0B4C"/>
    <w:rsid w:val="613AAD9B"/>
    <w:rsid w:val="613AD1CC"/>
    <w:rsid w:val="613AF97E"/>
    <w:rsid w:val="613B27FF"/>
    <w:rsid w:val="613CB7E9"/>
    <w:rsid w:val="613E4D30"/>
    <w:rsid w:val="613E7933"/>
    <w:rsid w:val="6140A8D0"/>
    <w:rsid w:val="6140BB7C"/>
    <w:rsid w:val="6141023F"/>
    <w:rsid w:val="6141356B"/>
    <w:rsid w:val="61431512"/>
    <w:rsid w:val="61436A5A"/>
    <w:rsid w:val="6143AD98"/>
    <w:rsid w:val="614482C8"/>
    <w:rsid w:val="6144C51A"/>
    <w:rsid w:val="61454920"/>
    <w:rsid w:val="6145F691"/>
    <w:rsid w:val="614627D1"/>
    <w:rsid w:val="61467141"/>
    <w:rsid w:val="61470F9B"/>
    <w:rsid w:val="61473322"/>
    <w:rsid w:val="614779F4"/>
    <w:rsid w:val="6147A3B3"/>
    <w:rsid w:val="614807C0"/>
    <w:rsid w:val="614891BD"/>
    <w:rsid w:val="6148ECEC"/>
    <w:rsid w:val="6149CCC7"/>
    <w:rsid w:val="614B0198"/>
    <w:rsid w:val="614B4147"/>
    <w:rsid w:val="614B8151"/>
    <w:rsid w:val="614C1F9B"/>
    <w:rsid w:val="614C993D"/>
    <w:rsid w:val="614E64AB"/>
    <w:rsid w:val="614F58D7"/>
    <w:rsid w:val="614F646E"/>
    <w:rsid w:val="614FB765"/>
    <w:rsid w:val="61503560"/>
    <w:rsid w:val="6151D012"/>
    <w:rsid w:val="61525C48"/>
    <w:rsid w:val="61525CCB"/>
    <w:rsid w:val="61526586"/>
    <w:rsid w:val="6152659C"/>
    <w:rsid w:val="61541763"/>
    <w:rsid w:val="61555ED2"/>
    <w:rsid w:val="61558660"/>
    <w:rsid w:val="6155B26D"/>
    <w:rsid w:val="61561E86"/>
    <w:rsid w:val="6156769D"/>
    <w:rsid w:val="6156ADF3"/>
    <w:rsid w:val="6157E3CD"/>
    <w:rsid w:val="6157E763"/>
    <w:rsid w:val="61582774"/>
    <w:rsid w:val="61582FB0"/>
    <w:rsid w:val="6159E2CE"/>
    <w:rsid w:val="615A460D"/>
    <w:rsid w:val="615AEA77"/>
    <w:rsid w:val="615B1833"/>
    <w:rsid w:val="615B96BE"/>
    <w:rsid w:val="615BF8A6"/>
    <w:rsid w:val="615C0F3D"/>
    <w:rsid w:val="615D3F46"/>
    <w:rsid w:val="615DA952"/>
    <w:rsid w:val="615DD40A"/>
    <w:rsid w:val="615E98C1"/>
    <w:rsid w:val="615EE42E"/>
    <w:rsid w:val="615F6557"/>
    <w:rsid w:val="615FD65C"/>
    <w:rsid w:val="61601069"/>
    <w:rsid w:val="61603F8C"/>
    <w:rsid w:val="61606C37"/>
    <w:rsid w:val="6160BFBC"/>
    <w:rsid w:val="61611B53"/>
    <w:rsid w:val="61618257"/>
    <w:rsid w:val="61631DFB"/>
    <w:rsid w:val="61634E45"/>
    <w:rsid w:val="61640A29"/>
    <w:rsid w:val="6164B754"/>
    <w:rsid w:val="6164BD9C"/>
    <w:rsid w:val="6164EA51"/>
    <w:rsid w:val="6165B650"/>
    <w:rsid w:val="6168935C"/>
    <w:rsid w:val="6168D845"/>
    <w:rsid w:val="6168ED12"/>
    <w:rsid w:val="616A28DF"/>
    <w:rsid w:val="616A4BF3"/>
    <w:rsid w:val="616A8714"/>
    <w:rsid w:val="616B671F"/>
    <w:rsid w:val="616C856C"/>
    <w:rsid w:val="616CD8FC"/>
    <w:rsid w:val="616F1893"/>
    <w:rsid w:val="616FCF33"/>
    <w:rsid w:val="61703DA6"/>
    <w:rsid w:val="6170BB5D"/>
    <w:rsid w:val="6170C18C"/>
    <w:rsid w:val="61710E0C"/>
    <w:rsid w:val="6171AB7C"/>
    <w:rsid w:val="617279AD"/>
    <w:rsid w:val="6172EE6D"/>
    <w:rsid w:val="61731284"/>
    <w:rsid w:val="617352FC"/>
    <w:rsid w:val="617360AF"/>
    <w:rsid w:val="6174DFA3"/>
    <w:rsid w:val="61752B36"/>
    <w:rsid w:val="61754A8F"/>
    <w:rsid w:val="6175927C"/>
    <w:rsid w:val="61771D41"/>
    <w:rsid w:val="61780D85"/>
    <w:rsid w:val="6178231B"/>
    <w:rsid w:val="61797B24"/>
    <w:rsid w:val="617ACC7A"/>
    <w:rsid w:val="617B674C"/>
    <w:rsid w:val="617CD1BF"/>
    <w:rsid w:val="617CFD27"/>
    <w:rsid w:val="617D46E8"/>
    <w:rsid w:val="617D5C6C"/>
    <w:rsid w:val="617D7B51"/>
    <w:rsid w:val="617E12A3"/>
    <w:rsid w:val="617E5CC1"/>
    <w:rsid w:val="617F85F3"/>
    <w:rsid w:val="61801414"/>
    <w:rsid w:val="6180AA61"/>
    <w:rsid w:val="61813D58"/>
    <w:rsid w:val="61819C3E"/>
    <w:rsid w:val="61822BA1"/>
    <w:rsid w:val="6182E5B7"/>
    <w:rsid w:val="618398B3"/>
    <w:rsid w:val="61840480"/>
    <w:rsid w:val="61840C1F"/>
    <w:rsid w:val="61846EF4"/>
    <w:rsid w:val="618575F9"/>
    <w:rsid w:val="61857EF4"/>
    <w:rsid w:val="61858EE9"/>
    <w:rsid w:val="6185A763"/>
    <w:rsid w:val="6185B9C0"/>
    <w:rsid w:val="61886714"/>
    <w:rsid w:val="61886DAE"/>
    <w:rsid w:val="6188E445"/>
    <w:rsid w:val="618953B1"/>
    <w:rsid w:val="618B03CD"/>
    <w:rsid w:val="618B1CBD"/>
    <w:rsid w:val="618B90EB"/>
    <w:rsid w:val="618BB7BA"/>
    <w:rsid w:val="618C8009"/>
    <w:rsid w:val="618CB8E5"/>
    <w:rsid w:val="618D3F5E"/>
    <w:rsid w:val="618D7B0E"/>
    <w:rsid w:val="618DA71F"/>
    <w:rsid w:val="618FDA56"/>
    <w:rsid w:val="61905470"/>
    <w:rsid w:val="619190B4"/>
    <w:rsid w:val="6191C03F"/>
    <w:rsid w:val="6191CB17"/>
    <w:rsid w:val="6192653B"/>
    <w:rsid w:val="61939778"/>
    <w:rsid w:val="6193ACD3"/>
    <w:rsid w:val="6193D26D"/>
    <w:rsid w:val="6194A475"/>
    <w:rsid w:val="61970695"/>
    <w:rsid w:val="61976D20"/>
    <w:rsid w:val="619A7099"/>
    <w:rsid w:val="619AA34D"/>
    <w:rsid w:val="619AAFDD"/>
    <w:rsid w:val="619B56A8"/>
    <w:rsid w:val="619B7362"/>
    <w:rsid w:val="619BD5CF"/>
    <w:rsid w:val="619C1CF2"/>
    <w:rsid w:val="619C3F6F"/>
    <w:rsid w:val="619C812E"/>
    <w:rsid w:val="619CED23"/>
    <w:rsid w:val="619D15CC"/>
    <w:rsid w:val="619D7442"/>
    <w:rsid w:val="619E8916"/>
    <w:rsid w:val="619EAC92"/>
    <w:rsid w:val="619EFD3F"/>
    <w:rsid w:val="619F528F"/>
    <w:rsid w:val="61A0C64A"/>
    <w:rsid w:val="61A0E26F"/>
    <w:rsid w:val="61A1F435"/>
    <w:rsid w:val="61A34590"/>
    <w:rsid w:val="61A39616"/>
    <w:rsid w:val="61A3C65C"/>
    <w:rsid w:val="61A40BAA"/>
    <w:rsid w:val="61A44A72"/>
    <w:rsid w:val="61A47837"/>
    <w:rsid w:val="61A4F191"/>
    <w:rsid w:val="61A542E4"/>
    <w:rsid w:val="61A55944"/>
    <w:rsid w:val="61A57E28"/>
    <w:rsid w:val="61A602B7"/>
    <w:rsid w:val="61A79772"/>
    <w:rsid w:val="61A82A51"/>
    <w:rsid w:val="61A92CC5"/>
    <w:rsid w:val="61A9AA34"/>
    <w:rsid w:val="61A9BC1D"/>
    <w:rsid w:val="61AAF0D6"/>
    <w:rsid w:val="61AB411C"/>
    <w:rsid w:val="61AB9241"/>
    <w:rsid w:val="61AC06BD"/>
    <w:rsid w:val="61AC6FA1"/>
    <w:rsid w:val="61AD30E0"/>
    <w:rsid w:val="61AE0FFE"/>
    <w:rsid w:val="61AE24FB"/>
    <w:rsid w:val="61AEFD30"/>
    <w:rsid w:val="61AF3B98"/>
    <w:rsid w:val="61AF480A"/>
    <w:rsid w:val="61AFCCE2"/>
    <w:rsid w:val="61B03CF3"/>
    <w:rsid w:val="61B08C57"/>
    <w:rsid w:val="61B107BF"/>
    <w:rsid w:val="61B108D1"/>
    <w:rsid w:val="61B13C25"/>
    <w:rsid w:val="61B24660"/>
    <w:rsid w:val="61B31C1B"/>
    <w:rsid w:val="61B3BF80"/>
    <w:rsid w:val="61B49A28"/>
    <w:rsid w:val="61B4C9F4"/>
    <w:rsid w:val="61B4FB73"/>
    <w:rsid w:val="61B662FD"/>
    <w:rsid w:val="61B6E821"/>
    <w:rsid w:val="61B7374D"/>
    <w:rsid w:val="61B74C9C"/>
    <w:rsid w:val="61B7A298"/>
    <w:rsid w:val="61B7AB4E"/>
    <w:rsid w:val="61B7F84E"/>
    <w:rsid w:val="61B877FA"/>
    <w:rsid w:val="61B8E1E5"/>
    <w:rsid w:val="61B91762"/>
    <w:rsid w:val="61B91A02"/>
    <w:rsid w:val="61B9E721"/>
    <w:rsid w:val="61BA1521"/>
    <w:rsid w:val="61BA2690"/>
    <w:rsid w:val="61BA46D0"/>
    <w:rsid w:val="61BAC1EF"/>
    <w:rsid w:val="61BAC2C0"/>
    <w:rsid w:val="61BBF1E0"/>
    <w:rsid w:val="61BC78C0"/>
    <w:rsid w:val="61BCA335"/>
    <w:rsid w:val="61BD4322"/>
    <w:rsid w:val="61BE5C2F"/>
    <w:rsid w:val="61BF1BDF"/>
    <w:rsid w:val="61BFBD43"/>
    <w:rsid w:val="61C02F22"/>
    <w:rsid w:val="61C0795E"/>
    <w:rsid w:val="61C10927"/>
    <w:rsid w:val="61C1C3AA"/>
    <w:rsid w:val="61C1CCE1"/>
    <w:rsid w:val="61C2A4AE"/>
    <w:rsid w:val="61C34892"/>
    <w:rsid w:val="61C37DF5"/>
    <w:rsid w:val="61C3C185"/>
    <w:rsid w:val="61C3E5A2"/>
    <w:rsid w:val="61C43229"/>
    <w:rsid w:val="61C52861"/>
    <w:rsid w:val="61C64B57"/>
    <w:rsid w:val="61C698BB"/>
    <w:rsid w:val="61C6B91C"/>
    <w:rsid w:val="61C6C95B"/>
    <w:rsid w:val="61C76D0F"/>
    <w:rsid w:val="61C771EA"/>
    <w:rsid w:val="61C77C0F"/>
    <w:rsid w:val="61C7D1B7"/>
    <w:rsid w:val="61C8115A"/>
    <w:rsid w:val="61C88258"/>
    <w:rsid w:val="61C8B47C"/>
    <w:rsid w:val="61C95A18"/>
    <w:rsid w:val="61CAC539"/>
    <w:rsid w:val="61CB65BF"/>
    <w:rsid w:val="61CC12DE"/>
    <w:rsid w:val="61CC81BB"/>
    <w:rsid w:val="61CDA2E9"/>
    <w:rsid w:val="61CDD2A0"/>
    <w:rsid w:val="61CDDCC3"/>
    <w:rsid w:val="61CE1408"/>
    <w:rsid w:val="61CE1F4A"/>
    <w:rsid w:val="61CE237A"/>
    <w:rsid w:val="61CED012"/>
    <w:rsid w:val="61CEFA26"/>
    <w:rsid w:val="61D05994"/>
    <w:rsid w:val="61D07A54"/>
    <w:rsid w:val="61D099CF"/>
    <w:rsid w:val="61D14C8F"/>
    <w:rsid w:val="61D1BA76"/>
    <w:rsid w:val="61D1BACC"/>
    <w:rsid w:val="61D2B25E"/>
    <w:rsid w:val="61D5B408"/>
    <w:rsid w:val="61D6025F"/>
    <w:rsid w:val="61D657BB"/>
    <w:rsid w:val="61D6E402"/>
    <w:rsid w:val="61D7C19A"/>
    <w:rsid w:val="61D8A817"/>
    <w:rsid w:val="61D97E52"/>
    <w:rsid w:val="61DA280F"/>
    <w:rsid w:val="61DB386D"/>
    <w:rsid w:val="61DBF8E2"/>
    <w:rsid w:val="61DCEF5D"/>
    <w:rsid w:val="61DD382A"/>
    <w:rsid w:val="61DE3BE0"/>
    <w:rsid w:val="61DE8CF1"/>
    <w:rsid w:val="61DEDCE4"/>
    <w:rsid w:val="61DEDE96"/>
    <w:rsid w:val="61E064CA"/>
    <w:rsid w:val="61E0940E"/>
    <w:rsid w:val="61E17B70"/>
    <w:rsid w:val="61E26E96"/>
    <w:rsid w:val="61E2A693"/>
    <w:rsid w:val="61E2FF72"/>
    <w:rsid w:val="61E312DA"/>
    <w:rsid w:val="61E3F021"/>
    <w:rsid w:val="61E3F66E"/>
    <w:rsid w:val="61E48061"/>
    <w:rsid w:val="61E48C98"/>
    <w:rsid w:val="61E4C2A5"/>
    <w:rsid w:val="61E4FD69"/>
    <w:rsid w:val="61E55863"/>
    <w:rsid w:val="61E5CB2B"/>
    <w:rsid w:val="61E5CC44"/>
    <w:rsid w:val="61E63181"/>
    <w:rsid w:val="61E6D0B3"/>
    <w:rsid w:val="61E6E4CC"/>
    <w:rsid w:val="61E7E819"/>
    <w:rsid w:val="61E7EDAD"/>
    <w:rsid w:val="61E819C4"/>
    <w:rsid w:val="61E94C7D"/>
    <w:rsid w:val="61E956C7"/>
    <w:rsid w:val="61E98A1A"/>
    <w:rsid w:val="61E9B7BC"/>
    <w:rsid w:val="61E9D141"/>
    <w:rsid w:val="61EA6868"/>
    <w:rsid w:val="61EA89BA"/>
    <w:rsid w:val="61EA9203"/>
    <w:rsid w:val="61EABB9E"/>
    <w:rsid w:val="61EB21FC"/>
    <w:rsid w:val="61EC0420"/>
    <w:rsid w:val="61EC7D45"/>
    <w:rsid w:val="61ECA7EB"/>
    <w:rsid w:val="61ECCD86"/>
    <w:rsid w:val="61ECFD2E"/>
    <w:rsid w:val="61EDAC46"/>
    <w:rsid w:val="61EDE122"/>
    <w:rsid w:val="61EDFDE8"/>
    <w:rsid w:val="61EE429E"/>
    <w:rsid w:val="61EE655A"/>
    <w:rsid w:val="61EEB660"/>
    <w:rsid w:val="61EEE546"/>
    <w:rsid w:val="61EF06BB"/>
    <w:rsid w:val="61EF5499"/>
    <w:rsid w:val="61EF90AE"/>
    <w:rsid w:val="61EFA375"/>
    <w:rsid w:val="61EFF6BC"/>
    <w:rsid w:val="61F00FF9"/>
    <w:rsid w:val="61F020BA"/>
    <w:rsid w:val="61F0A6E9"/>
    <w:rsid w:val="61F19808"/>
    <w:rsid w:val="61F1ED18"/>
    <w:rsid w:val="61F23F8E"/>
    <w:rsid w:val="61F33850"/>
    <w:rsid w:val="61F38C62"/>
    <w:rsid w:val="61F3D437"/>
    <w:rsid w:val="61F4FDB9"/>
    <w:rsid w:val="61F5C19C"/>
    <w:rsid w:val="61F5D1CA"/>
    <w:rsid w:val="61F6672F"/>
    <w:rsid w:val="61F697BE"/>
    <w:rsid w:val="61F71F48"/>
    <w:rsid w:val="61F80EFE"/>
    <w:rsid w:val="61F84490"/>
    <w:rsid w:val="61F85DB1"/>
    <w:rsid w:val="61F90B48"/>
    <w:rsid w:val="61F92C17"/>
    <w:rsid w:val="61F9D613"/>
    <w:rsid w:val="61FA6D31"/>
    <w:rsid w:val="61FA99E0"/>
    <w:rsid w:val="61FB0D8C"/>
    <w:rsid w:val="61FB7966"/>
    <w:rsid w:val="61FC5626"/>
    <w:rsid w:val="61FD257A"/>
    <w:rsid w:val="61FD274C"/>
    <w:rsid w:val="61FD90AF"/>
    <w:rsid w:val="61FE0E32"/>
    <w:rsid w:val="61FE6F47"/>
    <w:rsid w:val="61FEA483"/>
    <w:rsid w:val="61FEECBA"/>
    <w:rsid w:val="61FEF4A9"/>
    <w:rsid w:val="61FFAAF3"/>
    <w:rsid w:val="62014431"/>
    <w:rsid w:val="620271CA"/>
    <w:rsid w:val="62047A24"/>
    <w:rsid w:val="6204DB65"/>
    <w:rsid w:val="6204E33E"/>
    <w:rsid w:val="6204EB91"/>
    <w:rsid w:val="6205DCC3"/>
    <w:rsid w:val="6205DF58"/>
    <w:rsid w:val="6205E4ED"/>
    <w:rsid w:val="620653AC"/>
    <w:rsid w:val="62065B60"/>
    <w:rsid w:val="6206B3AE"/>
    <w:rsid w:val="6209923A"/>
    <w:rsid w:val="6209B06F"/>
    <w:rsid w:val="6209E4FF"/>
    <w:rsid w:val="620AD877"/>
    <w:rsid w:val="620BE03D"/>
    <w:rsid w:val="620C8EC5"/>
    <w:rsid w:val="620C9153"/>
    <w:rsid w:val="620D0B82"/>
    <w:rsid w:val="620D5F88"/>
    <w:rsid w:val="620DC44A"/>
    <w:rsid w:val="620E5F23"/>
    <w:rsid w:val="620E70E3"/>
    <w:rsid w:val="620FEDFA"/>
    <w:rsid w:val="62105581"/>
    <w:rsid w:val="62112D80"/>
    <w:rsid w:val="6212C465"/>
    <w:rsid w:val="6213B028"/>
    <w:rsid w:val="621518A4"/>
    <w:rsid w:val="6215E4D1"/>
    <w:rsid w:val="621736A5"/>
    <w:rsid w:val="6219E622"/>
    <w:rsid w:val="621C099D"/>
    <w:rsid w:val="621C115B"/>
    <w:rsid w:val="621C7AAD"/>
    <w:rsid w:val="621C8FFB"/>
    <w:rsid w:val="621D28D0"/>
    <w:rsid w:val="621E870B"/>
    <w:rsid w:val="621ED1A3"/>
    <w:rsid w:val="62206C0D"/>
    <w:rsid w:val="62206EEF"/>
    <w:rsid w:val="62207CE0"/>
    <w:rsid w:val="6220A1AE"/>
    <w:rsid w:val="6220BB5B"/>
    <w:rsid w:val="6220DD3B"/>
    <w:rsid w:val="62218A7B"/>
    <w:rsid w:val="6221EA04"/>
    <w:rsid w:val="622271B5"/>
    <w:rsid w:val="6222898A"/>
    <w:rsid w:val="62239E46"/>
    <w:rsid w:val="62242001"/>
    <w:rsid w:val="6224BB83"/>
    <w:rsid w:val="62255BE2"/>
    <w:rsid w:val="6225B649"/>
    <w:rsid w:val="622628F2"/>
    <w:rsid w:val="62269D07"/>
    <w:rsid w:val="6226B289"/>
    <w:rsid w:val="6226D17F"/>
    <w:rsid w:val="62277C7A"/>
    <w:rsid w:val="62280E16"/>
    <w:rsid w:val="6228F327"/>
    <w:rsid w:val="62295D2F"/>
    <w:rsid w:val="622B9E85"/>
    <w:rsid w:val="622C2AB4"/>
    <w:rsid w:val="622CDA08"/>
    <w:rsid w:val="622CF1C6"/>
    <w:rsid w:val="622DAABB"/>
    <w:rsid w:val="622E742D"/>
    <w:rsid w:val="622E836E"/>
    <w:rsid w:val="622EBB5F"/>
    <w:rsid w:val="622F6138"/>
    <w:rsid w:val="622F780D"/>
    <w:rsid w:val="622FD490"/>
    <w:rsid w:val="6230149C"/>
    <w:rsid w:val="6230F67B"/>
    <w:rsid w:val="62310F1F"/>
    <w:rsid w:val="6231D1AC"/>
    <w:rsid w:val="6231E12D"/>
    <w:rsid w:val="6231FF04"/>
    <w:rsid w:val="6232458B"/>
    <w:rsid w:val="62329176"/>
    <w:rsid w:val="6232C308"/>
    <w:rsid w:val="623412D3"/>
    <w:rsid w:val="62353161"/>
    <w:rsid w:val="623659CC"/>
    <w:rsid w:val="62380C2A"/>
    <w:rsid w:val="623822D9"/>
    <w:rsid w:val="62396863"/>
    <w:rsid w:val="62399613"/>
    <w:rsid w:val="6239E9E3"/>
    <w:rsid w:val="623ADF19"/>
    <w:rsid w:val="623AFC0E"/>
    <w:rsid w:val="623B2CBC"/>
    <w:rsid w:val="623B665E"/>
    <w:rsid w:val="623C9A67"/>
    <w:rsid w:val="623C9EFF"/>
    <w:rsid w:val="623CA180"/>
    <w:rsid w:val="623D1949"/>
    <w:rsid w:val="623E0F84"/>
    <w:rsid w:val="623E4EDE"/>
    <w:rsid w:val="623E7014"/>
    <w:rsid w:val="623EB54B"/>
    <w:rsid w:val="623F8958"/>
    <w:rsid w:val="623FAED0"/>
    <w:rsid w:val="62408123"/>
    <w:rsid w:val="6240A29A"/>
    <w:rsid w:val="62410FDE"/>
    <w:rsid w:val="624125E3"/>
    <w:rsid w:val="6241DDBD"/>
    <w:rsid w:val="624256C2"/>
    <w:rsid w:val="624260E1"/>
    <w:rsid w:val="6242691D"/>
    <w:rsid w:val="624340DC"/>
    <w:rsid w:val="6243BC17"/>
    <w:rsid w:val="6244537E"/>
    <w:rsid w:val="62448EB8"/>
    <w:rsid w:val="6244DB1F"/>
    <w:rsid w:val="6244F2DE"/>
    <w:rsid w:val="624558A8"/>
    <w:rsid w:val="62462BC1"/>
    <w:rsid w:val="6247D2AB"/>
    <w:rsid w:val="62486611"/>
    <w:rsid w:val="6248BCF4"/>
    <w:rsid w:val="624A8613"/>
    <w:rsid w:val="624AF876"/>
    <w:rsid w:val="624B1973"/>
    <w:rsid w:val="624C145D"/>
    <w:rsid w:val="624C6872"/>
    <w:rsid w:val="624D6E48"/>
    <w:rsid w:val="624DB8B4"/>
    <w:rsid w:val="624DBF24"/>
    <w:rsid w:val="624E1E83"/>
    <w:rsid w:val="624E2AE8"/>
    <w:rsid w:val="624E832D"/>
    <w:rsid w:val="624E9D64"/>
    <w:rsid w:val="624F5605"/>
    <w:rsid w:val="624F8698"/>
    <w:rsid w:val="624FD96F"/>
    <w:rsid w:val="62507F74"/>
    <w:rsid w:val="625125B9"/>
    <w:rsid w:val="62513DAE"/>
    <w:rsid w:val="625153E5"/>
    <w:rsid w:val="6252B035"/>
    <w:rsid w:val="62535783"/>
    <w:rsid w:val="6254A922"/>
    <w:rsid w:val="6254C26C"/>
    <w:rsid w:val="6254C309"/>
    <w:rsid w:val="6254CB58"/>
    <w:rsid w:val="6256BD28"/>
    <w:rsid w:val="6256F392"/>
    <w:rsid w:val="625889D1"/>
    <w:rsid w:val="625926FC"/>
    <w:rsid w:val="6259564D"/>
    <w:rsid w:val="625A3454"/>
    <w:rsid w:val="625A5E48"/>
    <w:rsid w:val="625ACDB5"/>
    <w:rsid w:val="625AD73C"/>
    <w:rsid w:val="625AF1A1"/>
    <w:rsid w:val="625B05CF"/>
    <w:rsid w:val="625C26E5"/>
    <w:rsid w:val="625C588A"/>
    <w:rsid w:val="625DA71A"/>
    <w:rsid w:val="625DE39E"/>
    <w:rsid w:val="625E9085"/>
    <w:rsid w:val="626077E0"/>
    <w:rsid w:val="6260C7A2"/>
    <w:rsid w:val="626108E0"/>
    <w:rsid w:val="6263B681"/>
    <w:rsid w:val="6263B6B1"/>
    <w:rsid w:val="6263E60F"/>
    <w:rsid w:val="6264DDE9"/>
    <w:rsid w:val="6264DE25"/>
    <w:rsid w:val="6264F8A0"/>
    <w:rsid w:val="62652B68"/>
    <w:rsid w:val="6265D148"/>
    <w:rsid w:val="62669150"/>
    <w:rsid w:val="6266A71C"/>
    <w:rsid w:val="626760FF"/>
    <w:rsid w:val="6268E0E3"/>
    <w:rsid w:val="626923A9"/>
    <w:rsid w:val="626998A1"/>
    <w:rsid w:val="626C1510"/>
    <w:rsid w:val="626C2C34"/>
    <w:rsid w:val="626CBD10"/>
    <w:rsid w:val="626D8A1A"/>
    <w:rsid w:val="626E1DA8"/>
    <w:rsid w:val="626EBAA9"/>
    <w:rsid w:val="626F2562"/>
    <w:rsid w:val="626F34EE"/>
    <w:rsid w:val="6270579F"/>
    <w:rsid w:val="62709130"/>
    <w:rsid w:val="6270DF43"/>
    <w:rsid w:val="62740A16"/>
    <w:rsid w:val="6274B219"/>
    <w:rsid w:val="6274E04F"/>
    <w:rsid w:val="6276198C"/>
    <w:rsid w:val="62768297"/>
    <w:rsid w:val="62768DE9"/>
    <w:rsid w:val="6276AC84"/>
    <w:rsid w:val="62774210"/>
    <w:rsid w:val="6277AAE0"/>
    <w:rsid w:val="62797A77"/>
    <w:rsid w:val="6279EA51"/>
    <w:rsid w:val="627A0499"/>
    <w:rsid w:val="627A3D0F"/>
    <w:rsid w:val="627A50B9"/>
    <w:rsid w:val="627B3AD4"/>
    <w:rsid w:val="627B7666"/>
    <w:rsid w:val="627BE697"/>
    <w:rsid w:val="627C036A"/>
    <w:rsid w:val="627CE0DC"/>
    <w:rsid w:val="627D2AE3"/>
    <w:rsid w:val="627D889E"/>
    <w:rsid w:val="627E0DFB"/>
    <w:rsid w:val="627E42E9"/>
    <w:rsid w:val="627EA23C"/>
    <w:rsid w:val="627EC47F"/>
    <w:rsid w:val="627F396F"/>
    <w:rsid w:val="627F8263"/>
    <w:rsid w:val="62808012"/>
    <w:rsid w:val="6280B81D"/>
    <w:rsid w:val="6280C894"/>
    <w:rsid w:val="6280D466"/>
    <w:rsid w:val="628113FD"/>
    <w:rsid w:val="6281CD63"/>
    <w:rsid w:val="628247D8"/>
    <w:rsid w:val="6282DA6F"/>
    <w:rsid w:val="6284385E"/>
    <w:rsid w:val="6284D4DD"/>
    <w:rsid w:val="62852D50"/>
    <w:rsid w:val="6286D081"/>
    <w:rsid w:val="6286F7EC"/>
    <w:rsid w:val="628782D8"/>
    <w:rsid w:val="6287ABA4"/>
    <w:rsid w:val="62892EBC"/>
    <w:rsid w:val="628937A3"/>
    <w:rsid w:val="62897025"/>
    <w:rsid w:val="628A9E1D"/>
    <w:rsid w:val="628AC8F1"/>
    <w:rsid w:val="628B1CA1"/>
    <w:rsid w:val="628B4EDA"/>
    <w:rsid w:val="628B769D"/>
    <w:rsid w:val="628CA6EE"/>
    <w:rsid w:val="628D8E1F"/>
    <w:rsid w:val="628D9AAB"/>
    <w:rsid w:val="628DE01B"/>
    <w:rsid w:val="628EBA37"/>
    <w:rsid w:val="628EFD0A"/>
    <w:rsid w:val="628F9A14"/>
    <w:rsid w:val="628FB60E"/>
    <w:rsid w:val="62913A6F"/>
    <w:rsid w:val="62915A8C"/>
    <w:rsid w:val="62915DA6"/>
    <w:rsid w:val="629213E9"/>
    <w:rsid w:val="62921CCA"/>
    <w:rsid w:val="62926244"/>
    <w:rsid w:val="6292AA6C"/>
    <w:rsid w:val="629363AC"/>
    <w:rsid w:val="62945CFB"/>
    <w:rsid w:val="62946590"/>
    <w:rsid w:val="6294AD98"/>
    <w:rsid w:val="6294F382"/>
    <w:rsid w:val="629530E3"/>
    <w:rsid w:val="629644B5"/>
    <w:rsid w:val="62966D1B"/>
    <w:rsid w:val="629677F8"/>
    <w:rsid w:val="62968645"/>
    <w:rsid w:val="62970D55"/>
    <w:rsid w:val="6297218F"/>
    <w:rsid w:val="629764A1"/>
    <w:rsid w:val="62976B94"/>
    <w:rsid w:val="6297CDD1"/>
    <w:rsid w:val="6297D984"/>
    <w:rsid w:val="62984492"/>
    <w:rsid w:val="629868FD"/>
    <w:rsid w:val="6298AEE8"/>
    <w:rsid w:val="62997FC2"/>
    <w:rsid w:val="629AC26A"/>
    <w:rsid w:val="629AF716"/>
    <w:rsid w:val="629BD980"/>
    <w:rsid w:val="629C5215"/>
    <w:rsid w:val="629C7A1A"/>
    <w:rsid w:val="629E53EE"/>
    <w:rsid w:val="629EB664"/>
    <w:rsid w:val="629ED9BA"/>
    <w:rsid w:val="629EEC70"/>
    <w:rsid w:val="629EED0B"/>
    <w:rsid w:val="62A03226"/>
    <w:rsid w:val="62A04A16"/>
    <w:rsid w:val="62A07180"/>
    <w:rsid w:val="62A0CC01"/>
    <w:rsid w:val="62A0E9BA"/>
    <w:rsid w:val="62A104B4"/>
    <w:rsid w:val="62A15BF6"/>
    <w:rsid w:val="62A1B5E1"/>
    <w:rsid w:val="62A27A8B"/>
    <w:rsid w:val="62A4263F"/>
    <w:rsid w:val="62A45F66"/>
    <w:rsid w:val="62A4A3E0"/>
    <w:rsid w:val="62A5CEBC"/>
    <w:rsid w:val="62A5F7FA"/>
    <w:rsid w:val="62A64ED7"/>
    <w:rsid w:val="62A67D0E"/>
    <w:rsid w:val="62A7291A"/>
    <w:rsid w:val="62A78D3C"/>
    <w:rsid w:val="62A89C8A"/>
    <w:rsid w:val="62A8B53A"/>
    <w:rsid w:val="62A8D628"/>
    <w:rsid w:val="62A9B8EC"/>
    <w:rsid w:val="62AA0466"/>
    <w:rsid w:val="62AA58CB"/>
    <w:rsid w:val="62AA74FC"/>
    <w:rsid w:val="62AB36F3"/>
    <w:rsid w:val="62ABF30A"/>
    <w:rsid w:val="62AC345A"/>
    <w:rsid w:val="62ACC70B"/>
    <w:rsid w:val="62ACD782"/>
    <w:rsid w:val="62AD0EFB"/>
    <w:rsid w:val="62ADE4E4"/>
    <w:rsid w:val="62AE6039"/>
    <w:rsid w:val="62AEDD62"/>
    <w:rsid w:val="62AF67BD"/>
    <w:rsid w:val="62AFAFF8"/>
    <w:rsid w:val="62AFCB85"/>
    <w:rsid w:val="62B106E9"/>
    <w:rsid w:val="62B1833F"/>
    <w:rsid w:val="62B23F96"/>
    <w:rsid w:val="62B2B146"/>
    <w:rsid w:val="62B2C186"/>
    <w:rsid w:val="62B351F6"/>
    <w:rsid w:val="62B4A784"/>
    <w:rsid w:val="62B4BB2F"/>
    <w:rsid w:val="62B5C717"/>
    <w:rsid w:val="62B5CEFE"/>
    <w:rsid w:val="62B71B86"/>
    <w:rsid w:val="62B7404D"/>
    <w:rsid w:val="62B80404"/>
    <w:rsid w:val="62B86AF3"/>
    <w:rsid w:val="62B8A76C"/>
    <w:rsid w:val="62B8F380"/>
    <w:rsid w:val="62BAAC2B"/>
    <w:rsid w:val="62BB0E0C"/>
    <w:rsid w:val="62BB82F7"/>
    <w:rsid w:val="62BB880D"/>
    <w:rsid w:val="62BBCC77"/>
    <w:rsid w:val="62BCC504"/>
    <w:rsid w:val="62BD4230"/>
    <w:rsid w:val="62BD553B"/>
    <w:rsid w:val="62BF55BD"/>
    <w:rsid w:val="62BF706F"/>
    <w:rsid w:val="62BFCDA5"/>
    <w:rsid w:val="62C031A1"/>
    <w:rsid w:val="62C09EBC"/>
    <w:rsid w:val="62C1B470"/>
    <w:rsid w:val="62C1DBFD"/>
    <w:rsid w:val="62C1EF35"/>
    <w:rsid w:val="62C2AD10"/>
    <w:rsid w:val="62C34F9E"/>
    <w:rsid w:val="62C4B463"/>
    <w:rsid w:val="62C50B9C"/>
    <w:rsid w:val="62C53BF6"/>
    <w:rsid w:val="62C5E2B4"/>
    <w:rsid w:val="62C61372"/>
    <w:rsid w:val="62C747A8"/>
    <w:rsid w:val="62C7F1B4"/>
    <w:rsid w:val="62C839B4"/>
    <w:rsid w:val="62C89A56"/>
    <w:rsid w:val="62C8ACC4"/>
    <w:rsid w:val="62C97567"/>
    <w:rsid w:val="62CA32FF"/>
    <w:rsid w:val="62CAEE0A"/>
    <w:rsid w:val="62CB2DF9"/>
    <w:rsid w:val="62CBA797"/>
    <w:rsid w:val="62CCD45B"/>
    <w:rsid w:val="62CCDB72"/>
    <w:rsid w:val="62CD677F"/>
    <w:rsid w:val="62CDB00B"/>
    <w:rsid w:val="62CDF2C5"/>
    <w:rsid w:val="62CDF2E3"/>
    <w:rsid w:val="62CE30CF"/>
    <w:rsid w:val="62CEF12E"/>
    <w:rsid w:val="62CF739E"/>
    <w:rsid w:val="62CF93CD"/>
    <w:rsid w:val="62D06F7A"/>
    <w:rsid w:val="62D0A0D1"/>
    <w:rsid w:val="62D0F678"/>
    <w:rsid w:val="62D184D0"/>
    <w:rsid w:val="62D2A0F2"/>
    <w:rsid w:val="62D32533"/>
    <w:rsid w:val="62D32A92"/>
    <w:rsid w:val="62D405FD"/>
    <w:rsid w:val="62D43328"/>
    <w:rsid w:val="62D511FE"/>
    <w:rsid w:val="62D5BDF1"/>
    <w:rsid w:val="62D60268"/>
    <w:rsid w:val="62D61AE7"/>
    <w:rsid w:val="62D7491F"/>
    <w:rsid w:val="62D798BD"/>
    <w:rsid w:val="62D7F5F3"/>
    <w:rsid w:val="62D8C59F"/>
    <w:rsid w:val="62D94B6E"/>
    <w:rsid w:val="62D99385"/>
    <w:rsid w:val="62DA5995"/>
    <w:rsid w:val="62DA5A05"/>
    <w:rsid w:val="62DB5793"/>
    <w:rsid w:val="62DC825F"/>
    <w:rsid w:val="62DCB1B8"/>
    <w:rsid w:val="62DD940C"/>
    <w:rsid w:val="62DE44F8"/>
    <w:rsid w:val="62DEEC8F"/>
    <w:rsid w:val="62DF4325"/>
    <w:rsid w:val="62DFD17E"/>
    <w:rsid w:val="62E0373E"/>
    <w:rsid w:val="62E15474"/>
    <w:rsid w:val="62E1794E"/>
    <w:rsid w:val="62E1AE6A"/>
    <w:rsid w:val="62E1D4F8"/>
    <w:rsid w:val="62E1F1B9"/>
    <w:rsid w:val="62E24E51"/>
    <w:rsid w:val="62E2B806"/>
    <w:rsid w:val="62E2C4EC"/>
    <w:rsid w:val="62E2C6FA"/>
    <w:rsid w:val="62E4334A"/>
    <w:rsid w:val="62E51C17"/>
    <w:rsid w:val="62E550AB"/>
    <w:rsid w:val="62E5B62D"/>
    <w:rsid w:val="62E5E6A1"/>
    <w:rsid w:val="62E67A03"/>
    <w:rsid w:val="62E6FAB1"/>
    <w:rsid w:val="62E71C4A"/>
    <w:rsid w:val="62E7E2DD"/>
    <w:rsid w:val="62E87D29"/>
    <w:rsid w:val="62E92146"/>
    <w:rsid w:val="62E9E8B0"/>
    <w:rsid w:val="62E9FA8B"/>
    <w:rsid w:val="62EA35E2"/>
    <w:rsid w:val="62EAC2F6"/>
    <w:rsid w:val="62EB0D09"/>
    <w:rsid w:val="62EBE1D4"/>
    <w:rsid w:val="62EC2E75"/>
    <w:rsid w:val="62EC7D59"/>
    <w:rsid w:val="62ECFF23"/>
    <w:rsid w:val="62ED2A68"/>
    <w:rsid w:val="62EE7090"/>
    <w:rsid w:val="62EE8772"/>
    <w:rsid w:val="62EEDB6F"/>
    <w:rsid w:val="62EF6E93"/>
    <w:rsid w:val="62EF93D1"/>
    <w:rsid w:val="62EFA89B"/>
    <w:rsid w:val="62F0BE02"/>
    <w:rsid w:val="62F0D580"/>
    <w:rsid w:val="62F1182A"/>
    <w:rsid w:val="62F376F0"/>
    <w:rsid w:val="62F4B1B0"/>
    <w:rsid w:val="62F4C7A4"/>
    <w:rsid w:val="62F526DF"/>
    <w:rsid w:val="62F52B3B"/>
    <w:rsid w:val="62F575EE"/>
    <w:rsid w:val="62F61F88"/>
    <w:rsid w:val="62F62723"/>
    <w:rsid w:val="62F6406D"/>
    <w:rsid w:val="62F72A88"/>
    <w:rsid w:val="62F793C8"/>
    <w:rsid w:val="62F83645"/>
    <w:rsid w:val="62F837A8"/>
    <w:rsid w:val="62F88453"/>
    <w:rsid w:val="62F9A0BC"/>
    <w:rsid w:val="62FA14CA"/>
    <w:rsid w:val="62FA4289"/>
    <w:rsid w:val="62FA76B1"/>
    <w:rsid w:val="62FA9B93"/>
    <w:rsid w:val="62FC8ECE"/>
    <w:rsid w:val="62FCDB79"/>
    <w:rsid w:val="62FCFDF0"/>
    <w:rsid w:val="62FD31E0"/>
    <w:rsid w:val="62FD668C"/>
    <w:rsid w:val="62FDDF97"/>
    <w:rsid w:val="62FE1848"/>
    <w:rsid w:val="62FE2E9E"/>
    <w:rsid w:val="62FE81E6"/>
    <w:rsid w:val="62FEC643"/>
    <w:rsid w:val="630025B9"/>
    <w:rsid w:val="6300375C"/>
    <w:rsid w:val="6300E23D"/>
    <w:rsid w:val="630145A5"/>
    <w:rsid w:val="63019D53"/>
    <w:rsid w:val="6301B6F3"/>
    <w:rsid w:val="63023570"/>
    <w:rsid w:val="63024DB0"/>
    <w:rsid w:val="63040577"/>
    <w:rsid w:val="63041CEC"/>
    <w:rsid w:val="63044ACD"/>
    <w:rsid w:val="6304747A"/>
    <w:rsid w:val="630571C7"/>
    <w:rsid w:val="63068BAD"/>
    <w:rsid w:val="6306F0FE"/>
    <w:rsid w:val="63087586"/>
    <w:rsid w:val="630882DB"/>
    <w:rsid w:val="630A2539"/>
    <w:rsid w:val="630A8988"/>
    <w:rsid w:val="630AD93E"/>
    <w:rsid w:val="630B9240"/>
    <w:rsid w:val="630BA30B"/>
    <w:rsid w:val="630BA386"/>
    <w:rsid w:val="630D5AAF"/>
    <w:rsid w:val="630DCB20"/>
    <w:rsid w:val="630DCDF4"/>
    <w:rsid w:val="630DDC87"/>
    <w:rsid w:val="630EBB49"/>
    <w:rsid w:val="630FE34C"/>
    <w:rsid w:val="630FEE9A"/>
    <w:rsid w:val="63103EE4"/>
    <w:rsid w:val="63106851"/>
    <w:rsid w:val="6310CCCC"/>
    <w:rsid w:val="63110CB5"/>
    <w:rsid w:val="6311E850"/>
    <w:rsid w:val="6312157A"/>
    <w:rsid w:val="63127497"/>
    <w:rsid w:val="63130DB2"/>
    <w:rsid w:val="63135CEE"/>
    <w:rsid w:val="6313A909"/>
    <w:rsid w:val="631421A9"/>
    <w:rsid w:val="6314A1D4"/>
    <w:rsid w:val="6314BE52"/>
    <w:rsid w:val="63157FC6"/>
    <w:rsid w:val="63159457"/>
    <w:rsid w:val="6316468F"/>
    <w:rsid w:val="631675A1"/>
    <w:rsid w:val="6316776B"/>
    <w:rsid w:val="63179219"/>
    <w:rsid w:val="6317B1CE"/>
    <w:rsid w:val="6317DF63"/>
    <w:rsid w:val="63187DB9"/>
    <w:rsid w:val="63192544"/>
    <w:rsid w:val="6319A48A"/>
    <w:rsid w:val="631B05D0"/>
    <w:rsid w:val="631B82A4"/>
    <w:rsid w:val="631CBB76"/>
    <w:rsid w:val="631D3362"/>
    <w:rsid w:val="631D986F"/>
    <w:rsid w:val="631E4FBB"/>
    <w:rsid w:val="631E80E7"/>
    <w:rsid w:val="631F5A6E"/>
    <w:rsid w:val="63206CB6"/>
    <w:rsid w:val="6320C6D6"/>
    <w:rsid w:val="6322D262"/>
    <w:rsid w:val="63231A56"/>
    <w:rsid w:val="63232B1F"/>
    <w:rsid w:val="632465FB"/>
    <w:rsid w:val="632507E5"/>
    <w:rsid w:val="6325404A"/>
    <w:rsid w:val="63254E0D"/>
    <w:rsid w:val="63255E15"/>
    <w:rsid w:val="6327C91D"/>
    <w:rsid w:val="6327F27E"/>
    <w:rsid w:val="6328104E"/>
    <w:rsid w:val="6328B78E"/>
    <w:rsid w:val="6328DE78"/>
    <w:rsid w:val="632A2DF2"/>
    <w:rsid w:val="632ABCC7"/>
    <w:rsid w:val="632AF916"/>
    <w:rsid w:val="632B5DAC"/>
    <w:rsid w:val="632B9109"/>
    <w:rsid w:val="632D7366"/>
    <w:rsid w:val="632E3074"/>
    <w:rsid w:val="632EFEC5"/>
    <w:rsid w:val="632F6569"/>
    <w:rsid w:val="6330CD1B"/>
    <w:rsid w:val="6331340D"/>
    <w:rsid w:val="63314488"/>
    <w:rsid w:val="63314542"/>
    <w:rsid w:val="63318CA4"/>
    <w:rsid w:val="63330273"/>
    <w:rsid w:val="63335383"/>
    <w:rsid w:val="6333E36B"/>
    <w:rsid w:val="633430B6"/>
    <w:rsid w:val="6334A2A7"/>
    <w:rsid w:val="6335629A"/>
    <w:rsid w:val="6336299A"/>
    <w:rsid w:val="63365DB1"/>
    <w:rsid w:val="63378ECF"/>
    <w:rsid w:val="63388916"/>
    <w:rsid w:val="63388B14"/>
    <w:rsid w:val="6338BF6E"/>
    <w:rsid w:val="6338D29F"/>
    <w:rsid w:val="63395BB2"/>
    <w:rsid w:val="6339C58F"/>
    <w:rsid w:val="633A1B9E"/>
    <w:rsid w:val="633ABC6D"/>
    <w:rsid w:val="633B7C32"/>
    <w:rsid w:val="633C2B16"/>
    <w:rsid w:val="633C4894"/>
    <w:rsid w:val="633CB4E2"/>
    <w:rsid w:val="633DAF05"/>
    <w:rsid w:val="633DEF56"/>
    <w:rsid w:val="633E1D21"/>
    <w:rsid w:val="633E3474"/>
    <w:rsid w:val="633E56D5"/>
    <w:rsid w:val="633F994D"/>
    <w:rsid w:val="63405A13"/>
    <w:rsid w:val="6340E2E8"/>
    <w:rsid w:val="6340F019"/>
    <w:rsid w:val="63418F25"/>
    <w:rsid w:val="6342580A"/>
    <w:rsid w:val="6342A89F"/>
    <w:rsid w:val="6342E9A8"/>
    <w:rsid w:val="63436E5D"/>
    <w:rsid w:val="6343D7F9"/>
    <w:rsid w:val="6344E881"/>
    <w:rsid w:val="63450C02"/>
    <w:rsid w:val="63456867"/>
    <w:rsid w:val="6346E47B"/>
    <w:rsid w:val="6346E491"/>
    <w:rsid w:val="63471A69"/>
    <w:rsid w:val="63471BB5"/>
    <w:rsid w:val="6347DC8B"/>
    <w:rsid w:val="6347EDC3"/>
    <w:rsid w:val="634813D2"/>
    <w:rsid w:val="6348208E"/>
    <w:rsid w:val="63487F67"/>
    <w:rsid w:val="6348A987"/>
    <w:rsid w:val="6348C8F0"/>
    <w:rsid w:val="63498CC9"/>
    <w:rsid w:val="634A2C78"/>
    <w:rsid w:val="634A4E78"/>
    <w:rsid w:val="634AADB3"/>
    <w:rsid w:val="634AEB74"/>
    <w:rsid w:val="634B630B"/>
    <w:rsid w:val="634B943F"/>
    <w:rsid w:val="634BB566"/>
    <w:rsid w:val="634C72F7"/>
    <w:rsid w:val="634C9654"/>
    <w:rsid w:val="634CEC72"/>
    <w:rsid w:val="634E1F9C"/>
    <w:rsid w:val="634E62D0"/>
    <w:rsid w:val="634E8C2B"/>
    <w:rsid w:val="634EA482"/>
    <w:rsid w:val="634F271F"/>
    <w:rsid w:val="634F35F7"/>
    <w:rsid w:val="634F5798"/>
    <w:rsid w:val="63503D5B"/>
    <w:rsid w:val="635046EC"/>
    <w:rsid w:val="6352412A"/>
    <w:rsid w:val="635270CE"/>
    <w:rsid w:val="635338FD"/>
    <w:rsid w:val="6354F37C"/>
    <w:rsid w:val="6355093C"/>
    <w:rsid w:val="635537AE"/>
    <w:rsid w:val="6355987F"/>
    <w:rsid w:val="6355C3D4"/>
    <w:rsid w:val="63560A4F"/>
    <w:rsid w:val="63565DE9"/>
    <w:rsid w:val="63570981"/>
    <w:rsid w:val="6357FC58"/>
    <w:rsid w:val="63585C31"/>
    <w:rsid w:val="63599D2A"/>
    <w:rsid w:val="6359A807"/>
    <w:rsid w:val="6359C88A"/>
    <w:rsid w:val="6359F450"/>
    <w:rsid w:val="635A4AD2"/>
    <w:rsid w:val="635B0D42"/>
    <w:rsid w:val="635B1DDE"/>
    <w:rsid w:val="635BE796"/>
    <w:rsid w:val="635C005F"/>
    <w:rsid w:val="635C1678"/>
    <w:rsid w:val="635C41FA"/>
    <w:rsid w:val="635C5514"/>
    <w:rsid w:val="635C8491"/>
    <w:rsid w:val="635CBAAB"/>
    <w:rsid w:val="635CC2AD"/>
    <w:rsid w:val="635CDF11"/>
    <w:rsid w:val="635D02E1"/>
    <w:rsid w:val="635DBAAE"/>
    <w:rsid w:val="635E1A16"/>
    <w:rsid w:val="635E3FAD"/>
    <w:rsid w:val="635ECE6D"/>
    <w:rsid w:val="635EE438"/>
    <w:rsid w:val="635FD505"/>
    <w:rsid w:val="636022E1"/>
    <w:rsid w:val="63616141"/>
    <w:rsid w:val="636205A2"/>
    <w:rsid w:val="63623549"/>
    <w:rsid w:val="6362D0F3"/>
    <w:rsid w:val="636357D0"/>
    <w:rsid w:val="636391FD"/>
    <w:rsid w:val="6363C628"/>
    <w:rsid w:val="63645588"/>
    <w:rsid w:val="6364663F"/>
    <w:rsid w:val="63649411"/>
    <w:rsid w:val="63655E2F"/>
    <w:rsid w:val="6365D91B"/>
    <w:rsid w:val="63671FC9"/>
    <w:rsid w:val="636791EA"/>
    <w:rsid w:val="6367AF16"/>
    <w:rsid w:val="6368B1D5"/>
    <w:rsid w:val="63696F31"/>
    <w:rsid w:val="6369AE1A"/>
    <w:rsid w:val="6369AFC0"/>
    <w:rsid w:val="636A0985"/>
    <w:rsid w:val="636A6572"/>
    <w:rsid w:val="636AD294"/>
    <w:rsid w:val="636ADC0F"/>
    <w:rsid w:val="636C45F6"/>
    <w:rsid w:val="636CF020"/>
    <w:rsid w:val="636D333E"/>
    <w:rsid w:val="636EA9F5"/>
    <w:rsid w:val="636EC66C"/>
    <w:rsid w:val="636EF4DC"/>
    <w:rsid w:val="636FA421"/>
    <w:rsid w:val="63705A55"/>
    <w:rsid w:val="63706F05"/>
    <w:rsid w:val="6371447A"/>
    <w:rsid w:val="6371814C"/>
    <w:rsid w:val="6371FC3E"/>
    <w:rsid w:val="6372A8DE"/>
    <w:rsid w:val="6372CD96"/>
    <w:rsid w:val="63740290"/>
    <w:rsid w:val="63750234"/>
    <w:rsid w:val="63752554"/>
    <w:rsid w:val="6375A920"/>
    <w:rsid w:val="6375DC80"/>
    <w:rsid w:val="63762844"/>
    <w:rsid w:val="6376B9BF"/>
    <w:rsid w:val="6377679D"/>
    <w:rsid w:val="63781294"/>
    <w:rsid w:val="63784A29"/>
    <w:rsid w:val="6379A54A"/>
    <w:rsid w:val="637A0E60"/>
    <w:rsid w:val="637A4CCB"/>
    <w:rsid w:val="637A63B3"/>
    <w:rsid w:val="637A735F"/>
    <w:rsid w:val="637A92C9"/>
    <w:rsid w:val="637AC553"/>
    <w:rsid w:val="637C5DCA"/>
    <w:rsid w:val="637C6F62"/>
    <w:rsid w:val="637D971F"/>
    <w:rsid w:val="637E2B58"/>
    <w:rsid w:val="637E7E54"/>
    <w:rsid w:val="637EDBF9"/>
    <w:rsid w:val="637FAE33"/>
    <w:rsid w:val="63804093"/>
    <w:rsid w:val="638150C9"/>
    <w:rsid w:val="638172D0"/>
    <w:rsid w:val="6381BC06"/>
    <w:rsid w:val="63823065"/>
    <w:rsid w:val="6382FFB7"/>
    <w:rsid w:val="6383852A"/>
    <w:rsid w:val="6383FF2D"/>
    <w:rsid w:val="638407FE"/>
    <w:rsid w:val="638490DC"/>
    <w:rsid w:val="63852B24"/>
    <w:rsid w:val="6385CD04"/>
    <w:rsid w:val="6385EC25"/>
    <w:rsid w:val="6385F143"/>
    <w:rsid w:val="63881C82"/>
    <w:rsid w:val="6388A6EE"/>
    <w:rsid w:val="638916AD"/>
    <w:rsid w:val="638A3830"/>
    <w:rsid w:val="638AD3F6"/>
    <w:rsid w:val="638B3B25"/>
    <w:rsid w:val="638B4F9B"/>
    <w:rsid w:val="638B5C1C"/>
    <w:rsid w:val="638BDD7E"/>
    <w:rsid w:val="638DB917"/>
    <w:rsid w:val="638E2508"/>
    <w:rsid w:val="638EF14E"/>
    <w:rsid w:val="638F6B81"/>
    <w:rsid w:val="638F80BA"/>
    <w:rsid w:val="638FE57A"/>
    <w:rsid w:val="6391476C"/>
    <w:rsid w:val="6392837F"/>
    <w:rsid w:val="6392AE11"/>
    <w:rsid w:val="6392BBCC"/>
    <w:rsid w:val="6392EEEB"/>
    <w:rsid w:val="6392FF59"/>
    <w:rsid w:val="6393530A"/>
    <w:rsid w:val="639356B8"/>
    <w:rsid w:val="63942E12"/>
    <w:rsid w:val="6394A41E"/>
    <w:rsid w:val="6394BED1"/>
    <w:rsid w:val="6394E070"/>
    <w:rsid w:val="6395D40A"/>
    <w:rsid w:val="6396D3BA"/>
    <w:rsid w:val="63984FF0"/>
    <w:rsid w:val="639876A8"/>
    <w:rsid w:val="6398DC70"/>
    <w:rsid w:val="63995F48"/>
    <w:rsid w:val="639B3024"/>
    <w:rsid w:val="639B5CD4"/>
    <w:rsid w:val="639B60FA"/>
    <w:rsid w:val="639D954C"/>
    <w:rsid w:val="639DF9BF"/>
    <w:rsid w:val="639E9179"/>
    <w:rsid w:val="639F256D"/>
    <w:rsid w:val="639FDBB4"/>
    <w:rsid w:val="63A00AC2"/>
    <w:rsid w:val="63A090A4"/>
    <w:rsid w:val="63A0D4A0"/>
    <w:rsid w:val="63A0EE92"/>
    <w:rsid w:val="63A0F918"/>
    <w:rsid w:val="63A1A7BD"/>
    <w:rsid w:val="63A33B7B"/>
    <w:rsid w:val="63A345BB"/>
    <w:rsid w:val="63A4B7A3"/>
    <w:rsid w:val="63A531D9"/>
    <w:rsid w:val="63A67C55"/>
    <w:rsid w:val="63A7FE6E"/>
    <w:rsid w:val="63A8099E"/>
    <w:rsid w:val="63A83235"/>
    <w:rsid w:val="63A83AEB"/>
    <w:rsid w:val="63A88E2B"/>
    <w:rsid w:val="63A91688"/>
    <w:rsid w:val="63A93C05"/>
    <w:rsid w:val="63A9DFE1"/>
    <w:rsid w:val="63AB353D"/>
    <w:rsid w:val="63ABCC1E"/>
    <w:rsid w:val="63AC75F4"/>
    <w:rsid w:val="63ADBC64"/>
    <w:rsid w:val="63ADD85F"/>
    <w:rsid w:val="63ADF034"/>
    <w:rsid w:val="63AEBA39"/>
    <w:rsid w:val="63AF3FA0"/>
    <w:rsid w:val="63AF6612"/>
    <w:rsid w:val="63B05283"/>
    <w:rsid w:val="63B09C5A"/>
    <w:rsid w:val="63B2C09C"/>
    <w:rsid w:val="63B307CD"/>
    <w:rsid w:val="63B3920E"/>
    <w:rsid w:val="63B3E89C"/>
    <w:rsid w:val="63B4E0C2"/>
    <w:rsid w:val="63B5BFBA"/>
    <w:rsid w:val="63B61E4D"/>
    <w:rsid w:val="63B6C621"/>
    <w:rsid w:val="63B70D2C"/>
    <w:rsid w:val="63B890E6"/>
    <w:rsid w:val="63B938FB"/>
    <w:rsid w:val="63B93F8F"/>
    <w:rsid w:val="63B9F97C"/>
    <w:rsid w:val="63BA9708"/>
    <w:rsid w:val="63BAA60E"/>
    <w:rsid w:val="63BB0350"/>
    <w:rsid w:val="63BBE28C"/>
    <w:rsid w:val="63BBF4FA"/>
    <w:rsid w:val="63BC272A"/>
    <w:rsid w:val="63BC34B5"/>
    <w:rsid w:val="63BCBBEE"/>
    <w:rsid w:val="63BD814C"/>
    <w:rsid w:val="63BD9B64"/>
    <w:rsid w:val="63BF6782"/>
    <w:rsid w:val="63C08399"/>
    <w:rsid w:val="63C1CACE"/>
    <w:rsid w:val="63C1D119"/>
    <w:rsid w:val="63C1FA55"/>
    <w:rsid w:val="63C28F87"/>
    <w:rsid w:val="63C42A50"/>
    <w:rsid w:val="63C485D6"/>
    <w:rsid w:val="63C4FB42"/>
    <w:rsid w:val="63C51D9C"/>
    <w:rsid w:val="63C52B72"/>
    <w:rsid w:val="63C548BF"/>
    <w:rsid w:val="63C54E6C"/>
    <w:rsid w:val="63C5AE25"/>
    <w:rsid w:val="63C60AE5"/>
    <w:rsid w:val="63C6DA4A"/>
    <w:rsid w:val="63C73B33"/>
    <w:rsid w:val="63C74447"/>
    <w:rsid w:val="63C745C0"/>
    <w:rsid w:val="63C7814B"/>
    <w:rsid w:val="63C83D2F"/>
    <w:rsid w:val="63C88237"/>
    <w:rsid w:val="63C8C809"/>
    <w:rsid w:val="63C91712"/>
    <w:rsid w:val="63C92614"/>
    <w:rsid w:val="63CA7228"/>
    <w:rsid w:val="63CAABB4"/>
    <w:rsid w:val="63CAEAAA"/>
    <w:rsid w:val="63CBF80D"/>
    <w:rsid w:val="63CD1564"/>
    <w:rsid w:val="63CD9A32"/>
    <w:rsid w:val="63CE26A1"/>
    <w:rsid w:val="63CE461B"/>
    <w:rsid w:val="63CE593E"/>
    <w:rsid w:val="63CEC235"/>
    <w:rsid w:val="63D006DC"/>
    <w:rsid w:val="63D0604F"/>
    <w:rsid w:val="63D0F25A"/>
    <w:rsid w:val="63D1643F"/>
    <w:rsid w:val="63D19158"/>
    <w:rsid w:val="63D207D2"/>
    <w:rsid w:val="63D25C49"/>
    <w:rsid w:val="63D2905A"/>
    <w:rsid w:val="63D31A0A"/>
    <w:rsid w:val="63D339D8"/>
    <w:rsid w:val="63D37108"/>
    <w:rsid w:val="63D50E21"/>
    <w:rsid w:val="63D5FB37"/>
    <w:rsid w:val="63D5FC90"/>
    <w:rsid w:val="63D60204"/>
    <w:rsid w:val="63D616C6"/>
    <w:rsid w:val="63D618CB"/>
    <w:rsid w:val="63D664B9"/>
    <w:rsid w:val="63D688FC"/>
    <w:rsid w:val="63D7ED9A"/>
    <w:rsid w:val="63D8C977"/>
    <w:rsid w:val="63D8E939"/>
    <w:rsid w:val="63D95A06"/>
    <w:rsid w:val="63D98E73"/>
    <w:rsid w:val="63D9F73E"/>
    <w:rsid w:val="63DAA4AA"/>
    <w:rsid w:val="63DB0B28"/>
    <w:rsid w:val="63DB94F7"/>
    <w:rsid w:val="63DC383E"/>
    <w:rsid w:val="63DC665E"/>
    <w:rsid w:val="63DCCABD"/>
    <w:rsid w:val="63DD1EC2"/>
    <w:rsid w:val="63DD771E"/>
    <w:rsid w:val="63DDF182"/>
    <w:rsid w:val="63DED206"/>
    <w:rsid w:val="63DF5C76"/>
    <w:rsid w:val="63DF8408"/>
    <w:rsid w:val="63DF90FC"/>
    <w:rsid w:val="63DFB6D4"/>
    <w:rsid w:val="63DFC6A5"/>
    <w:rsid w:val="63E0B68B"/>
    <w:rsid w:val="63E0F609"/>
    <w:rsid w:val="63E20056"/>
    <w:rsid w:val="63E23283"/>
    <w:rsid w:val="63E266A0"/>
    <w:rsid w:val="63E29764"/>
    <w:rsid w:val="63E30B75"/>
    <w:rsid w:val="63E49093"/>
    <w:rsid w:val="63E6DA9C"/>
    <w:rsid w:val="63E6FD46"/>
    <w:rsid w:val="63E733B9"/>
    <w:rsid w:val="63E77567"/>
    <w:rsid w:val="63E8496A"/>
    <w:rsid w:val="63E8DC85"/>
    <w:rsid w:val="63E9AE16"/>
    <w:rsid w:val="63EB228E"/>
    <w:rsid w:val="63EBDD51"/>
    <w:rsid w:val="63ECAC3C"/>
    <w:rsid w:val="63ED1CE2"/>
    <w:rsid w:val="63ED600B"/>
    <w:rsid w:val="63ED9C1B"/>
    <w:rsid w:val="63EDDFA2"/>
    <w:rsid w:val="63EE21E5"/>
    <w:rsid w:val="63EE4147"/>
    <w:rsid w:val="63EE5203"/>
    <w:rsid w:val="63EE6EC4"/>
    <w:rsid w:val="63EFE5EC"/>
    <w:rsid w:val="63F00BED"/>
    <w:rsid w:val="63F0DBEF"/>
    <w:rsid w:val="63F1263B"/>
    <w:rsid w:val="63F24EEA"/>
    <w:rsid w:val="63F2900F"/>
    <w:rsid w:val="63F2F800"/>
    <w:rsid w:val="63F307A6"/>
    <w:rsid w:val="63F41AD6"/>
    <w:rsid w:val="63F4E5C0"/>
    <w:rsid w:val="63F4EAA9"/>
    <w:rsid w:val="63F510A8"/>
    <w:rsid w:val="63F5693C"/>
    <w:rsid w:val="63F5ED41"/>
    <w:rsid w:val="63F68F1E"/>
    <w:rsid w:val="63F6BE7A"/>
    <w:rsid w:val="63F70E7F"/>
    <w:rsid w:val="63F7368C"/>
    <w:rsid w:val="63F75E85"/>
    <w:rsid w:val="63F87708"/>
    <w:rsid w:val="63F8C136"/>
    <w:rsid w:val="63F8FB65"/>
    <w:rsid w:val="63FA0D39"/>
    <w:rsid w:val="63FA401C"/>
    <w:rsid w:val="63FACBDE"/>
    <w:rsid w:val="63FB8D50"/>
    <w:rsid w:val="63FBEBF3"/>
    <w:rsid w:val="63FBF1D2"/>
    <w:rsid w:val="63FC3C0F"/>
    <w:rsid w:val="63FD3C8A"/>
    <w:rsid w:val="63FD575E"/>
    <w:rsid w:val="63FD6AC6"/>
    <w:rsid w:val="63FD8854"/>
    <w:rsid w:val="63FDA89B"/>
    <w:rsid w:val="63FDF143"/>
    <w:rsid w:val="63FE059A"/>
    <w:rsid w:val="63FE1B01"/>
    <w:rsid w:val="63FE8D15"/>
    <w:rsid w:val="63FFCC45"/>
    <w:rsid w:val="640007C3"/>
    <w:rsid w:val="6400428F"/>
    <w:rsid w:val="64013CD6"/>
    <w:rsid w:val="640238FE"/>
    <w:rsid w:val="640258AD"/>
    <w:rsid w:val="6402E401"/>
    <w:rsid w:val="64037E19"/>
    <w:rsid w:val="6403FE26"/>
    <w:rsid w:val="64055B0C"/>
    <w:rsid w:val="64059692"/>
    <w:rsid w:val="64066DC5"/>
    <w:rsid w:val="64068677"/>
    <w:rsid w:val="64072F7E"/>
    <w:rsid w:val="64080202"/>
    <w:rsid w:val="64082369"/>
    <w:rsid w:val="64091FCA"/>
    <w:rsid w:val="6409F727"/>
    <w:rsid w:val="640A1F32"/>
    <w:rsid w:val="640A75A8"/>
    <w:rsid w:val="640AA39E"/>
    <w:rsid w:val="640B5F46"/>
    <w:rsid w:val="640BC6FE"/>
    <w:rsid w:val="640C6363"/>
    <w:rsid w:val="640CF4A2"/>
    <w:rsid w:val="640CFABF"/>
    <w:rsid w:val="640D49CE"/>
    <w:rsid w:val="640E1860"/>
    <w:rsid w:val="640E1F93"/>
    <w:rsid w:val="640E3E96"/>
    <w:rsid w:val="640E889E"/>
    <w:rsid w:val="640FC74B"/>
    <w:rsid w:val="64105C5A"/>
    <w:rsid w:val="64110C85"/>
    <w:rsid w:val="641195E0"/>
    <w:rsid w:val="6411BC06"/>
    <w:rsid w:val="641221D4"/>
    <w:rsid w:val="64125E7F"/>
    <w:rsid w:val="64133C44"/>
    <w:rsid w:val="64156062"/>
    <w:rsid w:val="6415891F"/>
    <w:rsid w:val="6415B9BD"/>
    <w:rsid w:val="6417B353"/>
    <w:rsid w:val="6418037D"/>
    <w:rsid w:val="641805D1"/>
    <w:rsid w:val="6419D295"/>
    <w:rsid w:val="6419F587"/>
    <w:rsid w:val="641A1E58"/>
    <w:rsid w:val="641A3278"/>
    <w:rsid w:val="641A4314"/>
    <w:rsid w:val="641B9F1D"/>
    <w:rsid w:val="641BFCE6"/>
    <w:rsid w:val="641C2255"/>
    <w:rsid w:val="641C5C65"/>
    <w:rsid w:val="641CFD1D"/>
    <w:rsid w:val="641D6084"/>
    <w:rsid w:val="641D8815"/>
    <w:rsid w:val="641D97DE"/>
    <w:rsid w:val="641DA47F"/>
    <w:rsid w:val="641DDD04"/>
    <w:rsid w:val="641DE1B1"/>
    <w:rsid w:val="641E56EF"/>
    <w:rsid w:val="641ED7A5"/>
    <w:rsid w:val="641EECF2"/>
    <w:rsid w:val="64200EAA"/>
    <w:rsid w:val="64212476"/>
    <w:rsid w:val="64219B38"/>
    <w:rsid w:val="64228895"/>
    <w:rsid w:val="6422B63F"/>
    <w:rsid w:val="6422C8EA"/>
    <w:rsid w:val="6422FBDD"/>
    <w:rsid w:val="64237B3B"/>
    <w:rsid w:val="642385D2"/>
    <w:rsid w:val="642396D2"/>
    <w:rsid w:val="6424169E"/>
    <w:rsid w:val="64246ABB"/>
    <w:rsid w:val="64246B2D"/>
    <w:rsid w:val="642472CA"/>
    <w:rsid w:val="64252A2A"/>
    <w:rsid w:val="6426377C"/>
    <w:rsid w:val="6427294F"/>
    <w:rsid w:val="6427D767"/>
    <w:rsid w:val="6427E259"/>
    <w:rsid w:val="642816D5"/>
    <w:rsid w:val="642923FA"/>
    <w:rsid w:val="6429FAB8"/>
    <w:rsid w:val="642ACCAD"/>
    <w:rsid w:val="642B4994"/>
    <w:rsid w:val="642D1072"/>
    <w:rsid w:val="642D635A"/>
    <w:rsid w:val="642D7015"/>
    <w:rsid w:val="642DA195"/>
    <w:rsid w:val="642DE11E"/>
    <w:rsid w:val="642E57C9"/>
    <w:rsid w:val="642E8A6D"/>
    <w:rsid w:val="642EE620"/>
    <w:rsid w:val="642F91CF"/>
    <w:rsid w:val="642F96C3"/>
    <w:rsid w:val="64301827"/>
    <w:rsid w:val="64314BB4"/>
    <w:rsid w:val="643278D6"/>
    <w:rsid w:val="64329112"/>
    <w:rsid w:val="6432C35F"/>
    <w:rsid w:val="643317C0"/>
    <w:rsid w:val="6433AB02"/>
    <w:rsid w:val="64341346"/>
    <w:rsid w:val="643425C7"/>
    <w:rsid w:val="64348A42"/>
    <w:rsid w:val="6434BF38"/>
    <w:rsid w:val="6436EF4E"/>
    <w:rsid w:val="643806CC"/>
    <w:rsid w:val="6439BE20"/>
    <w:rsid w:val="643A4FB2"/>
    <w:rsid w:val="643AC6CA"/>
    <w:rsid w:val="643B30EF"/>
    <w:rsid w:val="643C1892"/>
    <w:rsid w:val="643D0AD8"/>
    <w:rsid w:val="643E552A"/>
    <w:rsid w:val="643E5E1E"/>
    <w:rsid w:val="643F0619"/>
    <w:rsid w:val="643F87B8"/>
    <w:rsid w:val="643F9E69"/>
    <w:rsid w:val="643FA6BD"/>
    <w:rsid w:val="643FFF89"/>
    <w:rsid w:val="64401BCB"/>
    <w:rsid w:val="64403632"/>
    <w:rsid w:val="64409DBE"/>
    <w:rsid w:val="6440D513"/>
    <w:rsid w:val="64411A23"/>
    <w:rsid w:val="644123FF"/>
    <w:rsid w:val="6441A951"/>
    <w:rsid w:val="64438511"/>
    <w:rsid w:val="64442A22"/>
    <w:rsid w:val="6444C42A"/>
    <w:rsid w:val="6444DA86"/>
    <w:rsid w:val="6444E1C1"/>
    <w:rsid w:val="644521E1"/>
    <w:rsid w:val="644547D2"/>
    <w:rsid w:val="64458709"/>
    <w:rsid w:val="64467602"/>
    <w:rsid w:val="64479A25"/>
    <w:rsid w:val="6447E775"/>
    <w:rsid w:val="64486ABA"/>
    <w:rsid w:val="6448C3A7"/>
    <w:rsid w:val="6448F553"/>
    <w:rsid w:val="6449943C"/>
    <w:rsid w:val="644A2F02"/>
    <w:rsid w:val="644AF21B"/>
    <w:rsid w:val="644BD209"/>
    <w:rsid w:val="644C4D8E"/>
    <w:rsid w:val="644CAF60"/>
    <w:rsid w:val="644CDECF"/>
    <w:rsid w:val="644D0632"/>
    <w:rsid w:val="644DA7C2"/>
    <w:rsid w:val="644DF321"/>
    <w:rsid w:val="644E3327"/>
    <w:rsid w:val="644E577C"/>
    <w:rsid w:val="644E7A47"/>
    <w:rsid w:val="644F1B7A"/>
    <w:rsid w:val="644F613D"/>
    <w:rsid w:val="6450B7F6"/>
    <w:rsid w:val="6450E5B3"/>
    <w:rsid w:val="64537BAB"/>
    <w:rsid w:val="64552690"/>
    <w:rsid w:val="64577DA1"/>
    <w:rsid w:val="6457C55D"/>
    <w:rsid w:val="6457C639"/>
    <w:rsid w:val="6457F661"/>
    <w:rsid w:val="645823D2"/>
    <w:rsid w:val="64585ABF"/>
    <w:rsid w:val="6458D79E"/>
    <w:rsid w:val="645920E6"/>
    <w:rsid w:val="6459313B"/>
    <w:rsid w:val="64593777"/>
    <w:rsid w:val="64596438"/>
    <w:rsid w:val="6459969D"/>
    <w:rsid w:val="6459F017"/>
    <w:rsid w:val="645A46BB"/>
    <w:rsid w:val="645A88E0"/>
    <w:rsid w:val="645AFD60"/>
    <w:rsid w:val="645B44EF"/>
    <w:rsid w:val="645B5DF2"/>
    <w:rsid w:val="645B6A85"/>
    <w:rsid w:val="645CE6F1"/>
    <w:rsid w:val="645D1931"/>
    <w:rsid w:val="645E69B5"/>
    <w:rsid w:val="645E9326"/>
    <w:rsid w:val="645ECAD3"/>
    <w:rsid w:val="645FBE46"/>
    <w:rsid w:val="64602E3A"/>
    <w:rsid w:val="64611D34"/>
    <w:rsid w:val="64613A40"/>
    <w:rsid w:val="6461AAFE"/>
    <w:rsid w:val="6461B72C"/>
    <w:rsid w:val="64624882"/>
    <w:rsid w:val="64624A57"/>
    <w:rsid w:val="64625586"/>
    <w:rsid w:val="64625785"/>
    <w:rsid w:val="6462BFFF"/>
    <w:rsid w:val="6462CFAE"/>
    <w:rsid w:val="6462EEA6"/>
    <w:rsid w:val="6462F765"/>
    <w:rsid w:val="64644519"/>
    <w:rsid w:val="64649A6C"/>
    <w:rsid w:val="6464A424"/>
    <w:rsid w:val="6464D92E"/>
    <w:rsid w:val="6464E81C"/>
    <w:rsid w:val="646546C6"/>
    <w:rsid w:val="646680F5"/>
    <w:rsid w:val="64669AAD"/>
    <w:rsid w:val="64674A2C"/>
    <w:rsid w:val="64675740"/>
    <w:rsid w:val="64680122"/>
    <w:rsid w:val="646824CB"/>
    <w:rsid w:val="64682D6E"/>
    <w:rsid w:val="64685043"/>
    <w:rsid w:val="6468FDE4"/>
    <w:rsid w:val="64691BB8"/>
    <w:rsid w:val="64697D1D"/>
    <w:rsid w:val="646A17E4"/>
    <w:rsid w:val="646A44D3"/>
    <w:rsid w:val="646A5C7F"/>
    <w:rsid w:val="646A6E00"/>
    <w:rsid w:val="646ADF23"/>
    <w:rsid w:val="646AE9E0"/>
    <w:rsid w:val="646AFD12"/>
    <w:rsid w:val="646B4493"/>
    <w:rsid w:val="646B6D78"/>
    <w:rsid w:val="646B939E"/>
    <w:rsid w:val="646C11F7"/>
    <w:rsid w:val="646C905A"/>
    <w:rsid w:val="646D2D8B"/>
    <w:rsid w:val="646EAC76"/>
    <w:rsid w:val="64702E2F"/>
    <w:rsid w:val="64714480"/>
    <w:rsid w:val="64717155"/>
    <w:rsid w:val="6471F7F9"/>
    <w:rsid w:val="6472353B"/>
    <w:rsid w:val="64724225"/>
    <w:rsid w:val="64757650"/>
    <w:rsid w:val="647635EB"/>
    <w:rsid w:val="64765548"/>
    <w:rsid w:val="647732FF"/>
    <w:rsid w:val="64784F8D"/>
    <w:rsid w:val="64786AF8"/>
    <w:rsid w:val="64789F23"/>
    <w:rsid w:val="6479B08A"/>
    <w:rsid w:val="647A7468"/>
    <w:rsid w:val="647A9548"/>
    <w:rsid w:val="647AEB67"/>
    <w:rsid w:val="647B8FB3"/>
    <w:rsid w:val="647C27AE"/>
    <w:rsid w:val="647C87B9"/>
    <w:rsid w:val="647CE24C"/>
    <w:rsid w:val="647D3315"/>
    <w:rsid w:val="647D7F3C"/>
    <w:rsid w:val="647D8418"/>
    <w:rsid w:val="647FB091"/>
    <w:rsid w:val="64801366"/>
    <w:rsid w:val="6480D208"/>
    <w:rsid w:val="6481310A"/>
    <w:rsid w:val="64818E48"/>
    <w:rsid w:val="6481E1B8"/>
    <w:rsid w:val="64829EC8"/>
    <w:rsid w:val="6482B859"/>
    <w:rsid w:val="648307C2"/>
    <w:rsid w:val="6483A08B"/>
    <w:rsid w:val="648456A8"/>
    <w:rsid w:val="6484E519"/>
    <w:rsid w:val="6485272D"/>
    <w:rsid w:val="648539A5"/>
    <w:rsid w:val="64860CC8"/>
    <w:rsid w:val="64868A90"/>
    <w:rsid w:val="648695AB"/>
    <w:rsid w:val="64874949"/>
    <w:rsid w:val="6487ADA8"/>
    <w:rsid w:val="64892EA7"/>
    <w:rsid w:val="6489336F"/>
    <w:rsid w:val="64895BFC"/>
    <w:rsid w:val="6489CD2C"/>
    <w:rsid w:val="648A550A"/>
    <w:rsid w:val="648C0B97"/>
    <w:rsid w:val="648C2D70"/>
    <w:rsid w:val="648C9A5E"/>
    <w:rsid w:val="648D416A"/>
    <w:rsid w:val="648D4FB7"/>
    <w:rsid w:val="648DA1E5"/>
    <w:rsid w:val="648EBF19"/>
    <w:rsid w:val="64908838"/>
    <w:rsid w:val="6490B413"/>
    <w:rsid w:val="649115CE"/>
    <w:rsid w:val="649127F3"/>
    <w:rsid w:val="6491B18D"/>
    <w:rsid w:val="6491D16D"/>
    <w:rsid w:val="64921AEE"/>
    <w:rsid w:val="64930E7E"/>
    <w:rsid w:val="64931700"/>
    <w:rsid w:val="64938760"/>
    <w:rsid w:val="649394C0"/>
    <w:rsid w:val="6493B65D"/>
    <w:rsid w:val="64943F38"/>
    <w:rsid w:val="649455C6"/>
    <w:rsid w:val="64949407"/>
    <w:rsid w:val="6495241E"/>
    <w:rsid w:val="649575F9"/>
    <w:rsid w:val="64965160"/>
    <w:rsid w:val="6496CA6D"/>
    <w:rsid w:val="649751D2"/>
    <w:rsid w:val="6497A965"/>
    <w:rsid w:val="6497D5BE"/>
    <w:rsid w:val="6497DC73"/>
    <w:rsid w:val="64985101"/>
    <w:rsid w:val="6498583D"/>
    <w:rsid w:val="649870A0"/>
    <w:rsid w:val="6498719D"/>
    <w:rsid w:val="6498ABB4"/>
    <w:rsid w:val="6498B489"/>
    <w:rsid w:val="649911F8"/>
    <w:rsid w:val="64996C0D"/>
    <w:rsid w:val="649AA863"/>
    <w:rsid w:val="649B7A5B"/>
    <w:rsid w:val="649B96D1"/>
    <w:rsid w:val="649C71A7"/>
    <w:rsid w:val="649DBA6F"/>
    <w:rsid w:val="649DFACD"/>
    <w:rsid w:val="649E2A49"/>
    <w:rsid w:val="649E5877"/>
    <w:rsid w:val="649E77FC"/>
    <w:rsid w:val="649F3D0E"/>
    <w:rsid w:val="649F3D4E"/>
    <w:rsid w:val="649FE598"/>
    <w:rsid w:val="64A0042D"/>
    <w:rsid w:val="64A05865"/>
    <w:rsid w:val="64A0E7C9"/>
    <w:rsid w:val="64A11A9E"/>
    <w:rsid w:val="64A1D0FB"/>
    <w:rsid w:val="64A2DBB5"/>
    <w:rsid w:val="64A329FA"/>
    <w:rsid w:val="64A37C06"/>
    <w:rsid w:val="64A42F2F"/>
    <w:rsid w:val="64A48E5C"/>
    <w:rsid w:val="64A57439"/>
    <w:rsid w:val="64A5DA6A"/>
    <w:rsid w:val="64A5F0F5"/>
    <w:rsid w:val="64A79279"/>
    <w:rsid w:val="64A8441D"/>
    <w:rsid w:val="64A8CEB7"/>
    <w:rsid w:val="64A95A77"/>
    <w:rsid w:val="64AA044B"/>
    <w:rsid w:val="64AB4181"/>
    <w:rsid w:val="64AB4792"/>
    <w:rsid w:val="64ABC597"/>
    <w:rsid w:val="64ABF3D4"/>
    <w:rsid w:val="64AD95F3"/>
    <w:rsid w:val="64AE4047"/>
    <w:rsid w:val="64AE48FF"/>
    <w:rsid w:val="64AF380E"/>
    <w:rsid w:val="64AF45C8"/>
    <w:rsid w:val="64AFEEF4"/>
    <w:rsid w:val="64B0007B"/>
    <w:rsid w:val="64B0188F"/>
    <w:rsid w:val="64B06151"/>
    <w:rsid w:val="64B0A367"/>
    <w:rsid w:val="64B134ED"/>
    <w:rsid w:val="64B1C8A3"/>
    <w:rsid w:val="64B251FF"/>
    <w:rsid w:val="64B32D34"/>
    <w:rsid w:val="64B457AA"/>
    <w:rsid w:val="64B579F1"/>
    <w:rsid w:val="64B64F05"/>
    <w:rsid w:val="64B66976"/>
    <w:rsid w:val="64B69260"/>
    <w:rsid w:val="64B6ED55"/>
    <w:rsid w:val="64B7AC30"/>
    <w:rsid w:val="64B7BCEE"/>
    <w:rsid w:val="64B7F7CA"/>
    <w:rsid w:val="64B9012D"/>
    <w:rsid w:val="64B9DE66"/>
    <w:rsid w:val="64BB5B29"/>
    <w:rsid w:val="64BB9754"/>
    <w:rsid w:val="64BC29A0"/>
    <w:rsid w:val="64BCB273"/>
    <w:rsid w:val="64BD1C85"/>
    <w:rsid w:val="64BE7D0A"/>
    <w:rsid w:val="64C0A494"/>
    <w:rsid w:val="64C123D1"/>
    <w:rsid w:val="64C1A0F7"/>
    <w:rsid w:val="64C1E49F"/>
    <w:rsid w:val="64C1ED37"/>
    <w:rsid w:val="64C2852A"/>
    <w:rsid w:val="64C304CA"/>
    <w:rsid w:val="64C36D27"/>
    <w:rsid w:val="64C44E67"/>
    <w:rsid w:val="64C454D2"/>
    <w:rsid w:val="64C49FC1"/>
    <w:rsid w:val="64C4F5DF"/>
    <w:rsid w:val="64C5B027"/>
    <w:rsid w:val="64C69271"/>
    <w:rsid w:val="64C6F8B9"/>
    <w:rsid w:val="64C7E1C4"/>
    <w:rsid w:val="64C80FD5"/>
    <w:rsid w:val="64C8BC5E"/>
    <w:rsid w:val="64C90D5C"/>
    <w:rsid w:val="64C97939"/>
    <w:rsid w:val="64C9A823"/>
    <w:rsid w:val="64CADFBD"/>
    <w:rsid w:val="64CB378B"/>
    <w:rsid w:val="64CC3499"/>
    <w:rsid w:val="64CCAF8E"/>
    <w:rsid w:val="64CCCDC2"/>
    <w:rsid w:val="64CD061E"/>
    <w:rsid w:val="64CE0FC3"/>
    <w:rsid w:val="64CF74BE"/>
    <w:rsid w:val="64CF9B5F"/>
    <w:rsid w:val="64D08C88"/>
    <w:rsid w:val="64D0F299"/>
    <w:rsid w:val="64D19BF1"/>
    <w:rsid w:val="64D19E1A"/>
    <w:rsid w:val="64D1A453"/>
    <w:rsid w:val="64D259CC"/>
    <w:rsid w:val="64D27DEB"/>
    <w:rsid w:val="64D2A41C"/>
    <w:rsid w:val="64D2E430"/>
    <w:rsid w:val="64D327A7"/>
    <w:rsid w:val="64D4E249"/>
    <w:rsid w:val="64D5129D"/>
    <w:rsid w:val="64D5202A"/>
    <w:rsid w:val="64D52BF7"/>
    <w:rsid w:val="64D54757"/>
    <w:rsid w:val="64D57628"/>
    <w:rsid w:val="64D57B4D"/>
    <w:rsid w:val="64D5E80C"/>
    <w:rsid w:val="64D5F155"/>
    <w:rsid w:val="64D6170E"/>
    <w:rsid w:val="64D77A59"/>
    <w:rsid w:val="64D7CE7A"/>
    <w:rsid w:val="64D7F9FF"/>
    <w:rsid w:val="64D85BDC"/>
    <w:rsid w:val="64D8F6D0"/>
    <w:rsid w:val="64D9ABBB"/>
    <w:rsid w:val="64DA28F5"/>
    <w:rsid w:val="64DA86D9"/>
    <w:rsid w:val="64DADE07"/>
    <w:rsid w:val="64DC62B6"/>
    <w:rsid w:val="64DD66F9"/>
    <w:rsid w:val="64DD9145"/>
    <w:rsid w:val="64DE2A62"/>
    <w:rsid w:val="64DE5C7A"/>
    <w:rsid w:val="64DEFF41"/>
    <w:rsid w:val="64DFB64E"/>
    <w:rsid w:val="64DFE430"/>
    <w:rsid w:val="64DFEBD3"/>
    <w:rsid w:val="64E07609"/>
    <w:rsid w:val="64E0921A"/>
    <w:rsid w:val="64E0C2E4"/>
    <w:rsid w:val="64E1DF33"/>
    <w:rsid w:val="64E24F8D"/>
    <w:rsid w:val="64E37D81"/>
    <w:rsid w:val="64E468F0"/>
    <w:rsid w:val="64E4C151"/>
    <w:rsid w:val="64E4F704"/>
    <w:rsid w:val="64E4F783"/>
    <w:rsid w:val="64E546EF"/>
    <w:rsid w:val="64E5BE9D"/>
    <w:rsid w:val="64E61901"/>
    <w:rsid w:val="64E64555"/>
    <w:rsid w:val="64E695ED"/>
    <w:rsid w:val="64E69A4F"/>
    <w:rsid w:val="64E6DBAD"/>
    <w:rsid w:val="64E709A4"/>
    <w:rsid w:val="64E77C48"/>
    <w:rsid w:val="64E81203"/>
    <w:rsid w:val="64E819BA"/>
    <w:rsid w:val="64E86D59"/>
    <w:rsid w:val="64E93AC0"/>
    <w:rsid w:val="64E98014"/>
    <w:rsid w:val="64E9C690"/>
    <w:rsid w:val="64EAE5CE"/>
    <w:rsid w:val="64EB1159"/>
    <w:rsid w:val="64EB1BB4"/>
    <w:rsid w:val="64EB8508"/>
    <w:rsid w:val="64EB9355"/>
    <w:rsid w:val="64EBBA73"/>
    <w:rsid w:val="64EC0921"/>
    <w:rsid w:val="64EDB58B"/>
    <w:rsid w:val="64EE1617"/>
    <w:rsid w:val="64EE7379"/>
    <w:rsid w:val="64EEDCE8"/>
    <w:rsid w:val="64F0BDF5"/>
    <w:rsid w:val="64F18791"/>
    <w:rsid w:val="64F1C7E4"/>
    <w:rsid w:val="64F1F58A"/>
    <w:rsid w:val="64F37D23"/>
    <w:rsid w:val="64F41282"/>
    <w:rsid w:val="64F4445A"/>
    <w:rsid w:val="64F44DD6"/>
    <w:rsid w:val="64F46821"/>
    <w:rsid w:val="64F4ECD3"/>
    <w:rsid w:val="64F5685E"/>
    <w:rsid w:val="64F63BF3"/>
    <w:rsid w:val="64F68F4F"/>
    <w:rsid w:val="64F6D2C9"/>
    <w:rsid w:val="64F6EAE5"/>
    <w:rsid w:val="64F72B6D"/>
    <w:rsid w:val="64F740F1"/>
    <w:rsid w:val="64F7BB40"/>
    <w:rsid w:val="64F828C4"/>
    <w:rsid w:val="64F86594"/>
    <w:rsid w:val="64F88A1B"/>
    <w:rsid w:val="64F899BC"/>
    <w:rsid w:val="64F8A2A5"/>
    <w:rsid w:val="64FB6330"/>
    <w:rsid w:val="64FBA63E"/>
    <w:rsid w:val="64FBF723"/>
    <w:rsid w:val="64FC25B1"/>
    <w:rsid w:val="64FD5910"/>
    <w:rsid w:val="64FD8EAA"/>
    <w:rsid w:val="64FD9321"/>
    <w:rsid w:val="64FDB711"/>
    <w:rsid w:val="64FDDAEF"/>
    <w:rsid w:val="64FFB351"/>
    <w:rsid w:val="64FFBC11"/>
    <w:rsid w:val="64FFE8AC"/>
    <w:rsid w:val="65005FDF"/>
    <w:rsid w:val="65011B18"/>
    <w:rsid w:val="650123CC"/>
    <w:rsid w:val="65020614"/>
    <w:rsid w:val="6502298F"/>
    <w:rsid w:val="6502A909"/>
    <w:rsid w:val="65034111"/>
    <w:rsid w:val="65036ABE"/>
    <w:rsid w:val="650392E4"/>
    <w:rsid w:val="6503DCF3"/>
    <w:rsid w:val="6504DE90"/>
    <w:rsid w:val="65053EF7"/>
    <w:rsid w:val="6505D52A"/>
    <w:rsid w:val="6505EFFF"/>
    <w:rsid w:val="65064CCA"/>
    <w:rsid w:val="650653B1"/>
    <w:rsid w:val="650690B8"/>
    <w:rsid w:val="65070903"/>
    <w:rsid w:val="65072A93"/>
    <w:rsid w:val="65077ABF"/>
    <w:rsid w:val="6508B63B"/>
    <w:rsid w:val="65091BBE"/>
    <w:rsid w:val="65095D97"/>
    <w:rsid w:val="650BEA41"/>
    <w:rsid w:val="650C0A03"/>
    <w:rsid w:val="650C58F4"/>
    <w:rsid w:val="650E47D7"/>
    <w:rsid w:val="650ED5B5"/>
    <w:rsid w:val="651113B0"/>
    <w:rsid w:val="651145B6"/>
    <w:rsid w:val="65125E55"/>
    <w:rsid w:val="65127F1C"/>
    <w:rsid w:val="6512B3FB"/>
    <w:rsid w:val="6513DDA3"/>
    <w:rsid w:val="6513E3B9"/>
    <w:rsid w:val="65148C0B"/>
    <w:rsid w:val="6514C868"/>
    <w:rsid w:val="65157608"/>
    <w:rsid w:val="6515E2F5"/>
    <w:rsid w:val="651616F0"/>
    <w:rsid w:val="6516283D"/>
    <w:rsid w:val="65166CE5"/>
    <w:rsid w:val="651699D4"/>
    <w:rsid w:val="6516A1A7"/>
    <w:rsid w:val="6516BD91"/>
    <w:rsid w:val="6516C967"/>
    <w:rsid w:val="6516CB65"/>
    <w:rsid w:val="6517C11A"/>
    <w:rsid w:val="65181971"/>
    <w:rsid w:val="65185092"/>
    <w:rsid w:val="65186DB4"/>
    <w:rsid w:val="6518845B"/>
    <w:rsid w:val="65188E39"/>
    <w:rsid w:val="651B3B59"/>
    <w:rsid w:val="651B7A07"/>
    <w:rsid w:val="651B9698"/>
    <w:rsid w:val="651C5DCD"/>
    <w:rsid w:val="651CA6EE"/>
    <w:rsid w:val="651CAFAB"/>
    <w:rsid w:val="651D09FA"/>
    <w:rsid w:val="651D5D01"/>
    <w:rsid w:val="651D753D"/>
    <w:rsid w:val="651F2E95"/>
    <w:rsid w:val="651F6264"/>
    <w:rsid w:val="651FD633"/>
    <w:rsid w:val="65200E37"/>
    <w:rsid w:val="652054D2"/>
    <w:rsid w:val="65206A36"/>
    <w:rsid w:val="6520B332"/>
    <w:rsid w:val="6521AF84"/>
    <w:rsid w:val="65225BE7"/>
    <w:rsid w:val="6522BD26"/>
    <w:rsid w:val="652312FE"/>
    <w:rsid w:val="6524DEB2"/>
    <w:rsid w:val="65257511"/>
    <w:rsid w:val="65264616"/>
    <w:rsid w:val="6526AB9D"/>
    <w:rsid w:val="6526F9E7"/>
    <w:rsid w:val="65271E2E"/>
    <w:rsid w:val="65282294"/>
    <w:rsid w:val="6528463F"/>
    <w:rsid w:val="6528A26E"/>
    <w:rsid w:val="65294E89"/>
    <w:rsid w:val="65299620"/>
    <w:rsid w:val="6529A376"/>
    <w:rsid w:val="6529B074"/>
    <w:rsid w:val="6529D70D"/>
    <w:rsid w:val="652A4EDE"/>
    <w:rsid w:val="652A8650"/>
    <w:rsid w:val="652ADFC9"/>
    <w:rsid w:val="652B1D79"/>
    <w:rsid w:val="652B21D1"/>
    <w:rsid w:val="652B4FD4"/>
    <w:rsid w:val="652BB268"/>
    <w:rsid w:val="652C4FDE"/>
    <w:rsid w:val="652C68F1"/>
    <w:rsid w:val="652CA07F"/>
    <w:rsid w:val="652D0954"/>
    <w:rsid w:val="652DA8ED"/>
    <w:rsid w:val="652E4928"/>
    <w:rsid w:val="652E73BB"/>
    <w:rsid w:val="652F6154"/>
    <w:rsid w:val="652F8CA3"/>
    <w:rsid w:val="652FB9D2"/>
    <w:rsid w:val="65312BFD"/>
    <w:rsid w:val="653159C7"/>
    <w:rsid w:val="65323F0E"/>
    <w:rsid w:val="6532B26C"/>
    <w:rsid w:val="6533F982"/>
    <w:rsid w:val="65340E15"/>
    <w:rsid w:val="65342788"/>
    <w:rsid w:val="65342CE3"/>
    <w:rsid w:val="653487AE"/>
    <w:rsid w:val="6535670D"/>
    <w:rsid w:val="653642F4"/>
    <w:rsid w:val="6536B968"/>
    <w:rsid w:val="65372245"/>
    <w:rsid w:val="65379687"/>
    <w:rsid w:val="65379C1D"/>
    <w:rsid w:val="653846A7"/>
    <w:rsid w:val="653990D5"/>
    <w:rsid w:val="653A2223"/>
    <w:rsid w:val="653A7EAF"/>
    <w:rsid w:val="653C695E"/>
    <w:rsid w:val="653CE6DF"/>
    <w:rsid w:val="653DBEFB"/>
    <w:rsid w:val="653E37F4"/>
    <w:rsid w:val="653F520D"/>
    <w:rsid w:val="653F5B8F"/>
    <w:rsid w:val="653F63AE"/>
    <w:rsid w:val="654018A5"/>
    <w:rsid w:val="654064D0"/>
    <w:rsid w:val="6540AA8D"/>
    <w:rsid w:val="65413EE1"/>
    <w:rsid w:val="6541BD2B"/>
    <w:rsid w:val="65421A2B"/>
    <w:rsid w:val="6542AF5D"/>
    <w:rsid w:val="654408AB"/>
    <w:rsid w:val="65449301"/>
    <w:rsid w:val="654529BB"/>
    <w:rsid w:val="654564C5"/>
    <w:rsid w:val="6545D1FD"/>
    <w:rsid w:val="6545FFD1"/>
    <w:rsid w:val="6547ABBC"/>
    <w:rsid w:val="6547B7E8"/>
    <w:rsid w:val="6548648E"/>
    <w:rsid w:val="6549967E"/>
    <w:rsid w:val="654B2920"/>
    <w:rsid w:val="654BB54A"/>
    <w:rsid w:val="654C836C"/>
    <w:rsid w:val="654FA3A1"/>
    <w:rsid w:val="654FBF56"/>
    <w:rsid w:val="65524B51"/>
    <w:rsid w:val="6553F986"/>
    <w:rsid w:val="6553FAE9"/>
    <w:rsid w:val="65555794"/>
    <w:rsid w:val="655565D1"/>
    <w:rsid w:val="655571B9"/>
    <w:rsid w:val="6555CCC7"/>
    <w:rsid w:val="6555DD2C"/>
    <w:rsid w:val="65562E64"/>
    <w:rsid w:val="65569C52"/>
    <w:rsid w:val="65586356"/>
    <w:rsid w:val="65586D89"/>
    <w:rsid w:val="6558C09A"/>
    <w:rsid w:val="655AD5A2"/>
    <w:rsid w:val="655B7AA3"/>
    <w:rsid w:val="655B9473"/>
    <w:rsid w:val="655BCD7A"/>
    <w:rsid w:val="655C1414"/>
    <w:rsid w:val="655C2D16"/>
    <w:rsid w:val="655C2F75"/>
    <w:rsid w:val="655CB9DE"/>
    <w:rsid w:val="655CD90C"/>
    <w:rsid w:val="655D1068"/>
    <w:rsid w:val="655D2056"/>
    <w:rsid w:val="655D45B8"/>
    <w:rsid w:val="655DBC2B"/>
    <w:rsid w:val="655DD721"/>
    <w:rsid w:val="655EA5AE"/>
    <w:rsid w:val="655F068F"/>
    <w:rsid w:val="655F7618"/>
    <w:rsid w:val="655FBF25"/>
    <w:rsid w:val="6560648D"/>
    <w:rsid w:val="65612130"/>
    <w:rsid w:val="65616E74"/>
    <w:rsid w:val="6561F9CD"/>
    <w:rsid w:val="656214DF"/>
    <w:rsid w:val="656325B4"/>
    <w:rsid w:val="656347A0"/>
    <w:rsid w:val="65647E7B"/>
    <w:rsid w:val="656551E7"/>
    <w:rsid w:val="656730C0"/>
    <w:rsid w:val="65684198"/>
    <w:rsid w:val="65687A47"/>
    <w:rsid w:val="65699CA8"/>
    <w:rsid w:val="656ACE2B"/>
    <w:rsid w:val="656B2801"/>
    <w:rsid w:val="656B5EFF"/>
    <w:rsid w:val="656BACA2"/>
    <w:rsid w:val="656BF25E"/>
    <w:rsid w:val="656C1041"/>
    <w:rsid w:val="656C163E"/>
    <w:rsid w:val="656C54F1"/>
    <w:rsid w:val="656D291A"/>
    <w:rsid w:val="656E0E45"/>
    <w:rsid w:val="656F13F7"/>
    <w:rsid w:val="656F53E3"/>
    <w:rsid w:val="656F8E93"/>
    <w:rsid w:val="65702D70"/>
    <w:rsid w:val="65705053"/>
    <w:rsid w:val="65708307"/>
    <w:rsid w:val="65719179"/>
    <w:rsid w:val="6572D27D"/>
    <w:rsid w:val="6573650D"/>
    <w:rsid w:val="65738BE9"/>
    <w:rsid w:val="6573DABB"/>
    <w:rsid w:val="6573E721"/>
    <w:rsid w:val="65742163"/>
    <w:rsid w:val="6574B864"/>
    <w:rsid w:val="6574EA3C"/>
    <w:rsid w:val="6575278D"/>
    <w:rsid w:val="65765F4C"/>
    <w:rsid w:val="657687C5"/>
    <w:rsid w:val="65779480"/>
    <w:rsid w:val="6579B6D1"/>
    <w:rsid w:val="657A874E"/>
    <w:rsid w:val="657C41DB"/>
    <w:rsid w:val="657CCBFD"/>
    <w:rsid w:val="657D2E78"/>
    <w:rsid w:val="657D6165"/>
    <w:rsid w:val="657D9BB4"/>
    <w:rsid w:val="657E596F"/>
    <w:rsid w:val="657EBBF1"/>
    <w:rsid w:val="657FEBE4"/>
    <w:rsid w:val="65811582"/>
    <w:rsid w:val="6581AE03"/>
    <w:rsid w:val="6581D812"/>
    <w:rsid w:val="65822ADD"/>
    <w:rsid w:val="65834A4B"/>
    <w:rsid w:val="6584D141"/>
    <w:rsid w:val="65861C89"/>
    <w:rsid w:val="658696E2"/>
    <w:rsid w:val="6586B558"/>
    <w:rsid w:val="6586BDE2"/>
    <w:rsid w:val="6586C539"/>
    <w:rsid w:val="6587E985"/>
    <w:rsid w:val="6587F558"/>
    <w:rsid w:val="65884319"/>
    <w:rsid w:val="6589CA87"/>
    <w:rsid w:val="6589E6BE"/>
    <w:rsid w:val="6589FC06"/>
    <w:rsid w:val="658BB032"/>
    <w:rsid w:val="658BBCE0"/>
    <w:rsid w:val="658C2BC0"/>
    <w:rsid w:val="658DE6C7"/>
    <w:rsid w:val="658F491A"/>
    <w:rsid w:val="658F6DA4"/>
    <w:rsid w:val="658F8F08"/>
    <w:rsid w:val="658FF5C1"/>
    <w:rsid w:val="65909713"/>
    <w:rsid w:val="6590BBA1"/>
    <w:rsid w:val="65920D2C"/>
    <w:rsid w:val="65928498"/>
    <w:rsid w:val="65929AC7"/>
    <w:rsid w:val="6593C5D4"/>
    <w:rsid w:val="65941A2F"/>
    <w:rsid w:val="65962108"/>
    <w:rsid w:val="65968501"/>
    <w:rsid w:val="6596A8B6"/>
    <w:rsid w:val="65976076"/>
    <w:rsid w:val="6598D284"/>
    <w:rsid w:val="6599E902"/>
    <w:rsid w:val="659A6163"/>
    <w:rsid w:val="659AA765"/>
    <w:rsid w:val="659AB047"/>
    <w:rsid w:val="659ACAB1"/>
    <w:rsid w:val="659AE049"/>
    <w:rsid w:val="659B4F83"/>
    <w:rsid w:val="659C2836"/>
    <w:rsid w:val="659C9C7C"/>
    <w:rsid w:val="659CD1E3"/>
    <w:rsid w:val="659D9C40"/>
    <w:rsid w:val="659DC97B"/>
    <w:rsid w:val="659E4390"/>
    <w:rsid w:val="659EFDE4"/>
    <w:rsid w:val="659F1EE0"/>
    <w:rsid w:val="659FD446"/>
    <w:rsid w:val="65A03EA1"/>
    <w:rsid w:val="65A04FA5"/>
    <w:rsid w:val="65A11893"/>
    <w:rsid w:val="65A20CA6"/>
    <w:rsid w:val="65A27E7B"/>
    <w:rsid w:val="65A286CC"/>
    <w:rsid w:val="65A2AE1C"/>
    <w:rsid w:val="65A2C0DF"/>
    <w:rsid w:val="65A2D609"/>
    <w:rsid w:val="65A42CFA"/>
    <w:rsid w:val="65A47992"/>
    <w:rsid w:val="65A521B6"/>
    <w:rsid w:val="65A527AB"/>
    <w:rsid w:val="65A5AF26"/>
    <w:rsid w:val="65A66E65"/>
    <w:rsid w:val="65A6B3B7"/>
    <w:rsid w:val="65A6B426"/>
    <w:rsid w:val="65A73900"/>
    <w:rsid w:val="65A7C741"/>
    <w:rsid w:val="65A82892"/>
    <w:rsid w:val="65A8D844"/>
    <w:rsid w:val="65A8E601"/>
    <w:rsid w:val="65A9B16E"/>
    <w:rsid w:val="65A9CD4E"/>
    <w:rsid w:val="65AAA55C"/>
    <w:rsid w:val="65AAE05E"/>
    <w:rsid w:val="65AAE85E"/>
    <w:rsid w:val="65AAF418"/>
    <w:rsid w:val="65ABD443"/>
    <w:rsid w:val="65AC1EE0"/>
    <w:rsid w:val="65AC4B54"/>
    <w:rsid w:val="65AC5B30"/>
    <w:rsid w:val="65ACBE1B"/>
    <w:rsid w:val="65ACC065"/>
    <w:rsid w:val="65ACC4F9"/>
    <w:rsid w:val="65ACFB98"/>
    <w:rsid w:val="65AD752E"/>
    <w:rsid w:val="65ADAAE9"/>
    <w:rsid w:val="65B01499"/>
    <w:rsid w:val="65B0EB1E"/>
    <w:rsid w:val="65B17E59"/>
    <w:rsid w:val="65B1B3A1"/>
    <w:rsid w:val="65B2C608"/>
    <w:rsid w:val="65B39ECA"/>
    <w:rsid w:val="65B3C2B3"/>
    <w:rsid w:val="65B43A64"/>
    <w:rsid w:val="65B4C336"/>
    <w:rsid w:val="65B4C8B4"/>
    <w:rsid w:val="65B523F7"/>
    <w:rsid w:val="65B60E55"/>
    <w:rsid w:val="65B619A6"/>
    <w:rsid w:val="65B6D7A6"/>
    <w:rsid w:val="65B6EA9F"/>
    <w:rsid w:val="65B7B1B0"/>
    <w:rsid w:val="65BAA559"/>
    <w:rsid w:val="65BC534D"/>
    <w:rsid w:val="65BD1E4C"/>
    <w:rsid w:val="65BD2201"/>
    <w:rsid w:val="65BD5171"/>
    <w:rsid w:val="65BD5D08"/>
    <w:rsid w:val="65BE74C6"/>
    <w:rsid w:val="65BE977C"/>
    <w:rsid w:val="65BF7769"/>
    <w:rsid w:val="65BFC989"/>
    <w:rsid w:val="65C0FD13"/>
    <w:rsid w:val="65C11CB0"/>
    <w:rsid w:val="65C178FF"/>
    <w:rsid w:val="65C1B98B"/>
    <w:rsid w:val="65C24F9B"/>
    <w:rsid w:val="65C2CC2B"/>
    <w:rsid w:val="65C35ED6"/>
    <w:rsid w:val="65C3A2F8"/>
    <w:rsid w:val="65C42EF2"/>
    <w:rsid w:val="65C4C7CD"/>
    <w:rsid w:val="65C5688F"/>
    <w:rsid w:val="65C5734A"/>
    <w:rsid w:val="65C58432"/>
    <w:rsid w:val="65C65DCF"/>
    <w:rsid w:val="65C67F1C"/>
    <w:rsid w:val="65C704CF"/>
    <w:rsid w:val="65C74228"/>
    <w:rsid w:val="65C7CAE3"/>
    <w:rsid w:val="65C7F8FA"/>
    <w:rsid w:val="65C90B47"/>
    <w:rsid w:val="65C9807F"/>
    <w:rsid w:val="65CA319E"/>
    <w:rsid w:val="65CA3BCE"/>
    <w:rsid w:val="65CA3CA7"/>
    <w:rsid w:val="65CA3E83"/>
    <w:rsid w:val="65CA5E89"/>
    <w:rsid w:val="65CA934E"/>
    <w:rsid w:val="65CB8A69"/>
    <w:rsid w:val="65CC039D"/>
    <w:rsid w:val="65CC0762"/>
    <w:rsid w:val="65CC3069"/>
    <w:rsid w:val="65CC9171"/>
    <w:rsid w:val="65CCA773"/>
    <w:rsid w:val="65CD6D21"/>
    <w:rsid w:val="65CDD994"/>
    <w:rsid w:val="65CE255B"/>
    <w:rsid w:val="65CE93E1"/>
    <w:rsid w:val="65CF3C33"/>
    <w:rsid w:val="65CF789E"/>
    <w:rsid w:val="65CF91BE"/>
    <w:rsid w:val="65CFCB28"/>
    <w:rsid w:val="65CFD858"/>
    <w:rsid w:val="65D00D7C"/>
    <w:rsid w:val="65D2193C"/>
    <w:rsid w:val="65D26C06"/>
    <w:rsid w:val="65D26E38"/>
    <w:rsid w:val="65D29181"/>
    <w:rsid w:val="65D2D81E"/>
    <w:rsid w:val="65D2EAB3"/>
    <w:rsid w:val="65D39B51"/>
    <w:rsid w:val="65D51272"/>
    <w:rsid w:val="65D55B84"/>
    <w:rsid w:val="65D5ADAC"/>
    <w:rsid w:val="65D63F6C"/>
    <w:rsid w:val="65D7D4F4"/>
    <w:rsid w:val="65D809A9"/>
    <w:rsid w:val="65D828B8"/>
    <w:rsid w:val="65D8E445"/>
    <w:rsid w:val="65D9FD06"/>
    <w:rsid w:val="65DA1114"/>
    <w:rsid w:val="65DA477A"/>
    <w:rsid w:val="65DACC25"/>
    <w:rsid w:val="65DB1DBF"/>
    <w:rsid w:val="65DC8F05"/>
    <w:rsid w:val="65DD7692"/>
    <w:rsid w:val="65DE7C31"/>
    <w:rsid w:val="65DEE01E"/>
    <w:rsid w:val="65E00981"/>
    <w:rsid w:val="65E0448C"/>
    <w:rsid w:val="65E0ED81"/>
    <w:rsid w:val="65E1276D"/>
    <w:rsid w:val="65E198D5"/>
    <w:rsid w:val="65E1AB49"/>
    <w:rsid w:val="65E22102"/>
    <w:rsid w:val="65E242A2"/>
    <w:rsid w:val="65E27A08"/>
    <w:rsid w:val="65E34341"/>
    <w:rsid w:val="65E38A66"/>
    <w:rsid w:val="65E40AF8"/>
    <w:rsid w:val="65E4BD52"/>
    <w:rsid w:val="65E5889A"/>
    <w:rsid w:val="65E58913"/>
    <w:rsid w:val="65E5FD29"/>
    <w:rsid w:val="65E60071"/>
    <w:rsid w:val="65E6A0C2"/>
    <w:rsid w:val="65E6ED99"/>
    <w:rsid w:val="65E7003F"/>
    <w:rsid w:val="65E714A8"/>
    <w:rsid w:val="65E7CA2E"/>
    <w:rsid w:val="65E83C91"/>
    <w:rsid w:val="65E8CBDE"/>
    <w:rsid w:val="65E902D9"/>
    <w:rsid w:val="65E9125C"/>
    <w:rsid w:val="65E93FA4"/>
    <w:rsid w:val="65E992D7"/>
    <w:rsid w:val="65EA1EEC"/>
    <w:rsid w:val="65EAF3AC"/>
    <w:rsid w:val="65EAFD48"/>
    <w:rsid w:val="65EBE27E"/>
    <w:rsid w:val="65EDA2B0"/>
    <w:rsid w:val="65EF27A6"/>
    <w:rsid w:val="65F05EB2"/>
    <w:rsid w:val="65F085DA"/>
    <w:rsid w:val="65F0867C"/>
    <w:rsid w:val="65F0FE31"/>
    <w:rsid w:val="65F131F6"/>
    <w:rsid w:val="65F1BCE4"/>
    <w:rsid w:val="65F1EC36"/>
    <w:rsid w:val="65F26C8A"/>
    <w:rsid w:val="65F28C33"/>
    <w:rsid w:val="65F32711"/>
    <w:rsid w:val="65F381B1"/>
    <w:rsid w:val="65F42D2D"/>
    <w:rsid w:val="65F46269"/>
    <w:rsid w:val="65F4D899"/>
    <w:rsid w:val="65F66D57"/>
    <w:rsid w:val="65F67B5A"/>
    <w:rsid w:val="65F9F5A7"/>
    <w:rsid w:val="65FA6FA5"/>
    <w:rsid w:val="65FB212F"/>
    <w:rsid w:val="65FBCF40"/>
    <w:rsid w:val="65FCCA62"/>
    <w:rsid w:val="65FCD592"/>
    <w:rsid w:val="65FD8E5D"/>
    <w:rsid w:val="65FE5FCA"/>
    <w:rsid w:val="65FEB172"/>
    <w:rsid w:val="65FF3FD9"/>
    <w:rsid w:val="65FF4421"/>
    <w:rsid w:val="66001A67"/>
    <w:rsid w:val="6600BDA6"/>
    <w:rsid w:val="6600D3A5"/>
    <w:rsid w:val="66012811"/>
    <w:rsid w:val="660128C6"/>
    <w:rsid w:val="660180CE"/>
    <w:rsid w:val="6601EA67"/>
    <w:rsid w:val="660245F5"/>
    <w:rsid w:val="66028EED"/>
    <w:rsid w:val="6603CC9F"/>
    <w:rsid w:val="66041830"/>
    <w:rsid w:val="6604E996"/>
    <w:rsid w:val="6604EB9C"/>
    <w:rsid w:val="660518B9"/>
    <w:rsid w:val="660522AB"/>
    <w:rsid w:val="6605507C"/>
    <w:rsid w:val="66059A5A"/>
    <w:rsid w:val="66065ADA"/>
    <w:rsid w:val="6606ACBC"/>
    <w:rsid w:val="66070BEE"/>
    <w:rsid w:val="660725DB"/>
    <w:rsid w:val="66073D99"/>
    <w:rsid w:val="66074740"/>
    <w:rsid w:val="66075FA9"/>
    <w:rsid w:val="6607FE70"/>
    <w:rsid w:val="6608147B"/>
    <w:rsid w:val="660816F4"/>
    <w:rsid w:val="66092F93"/>
    <w:rsid w:val="660995DB"/>
    <w:rsid w:val="660A2DE1"/>
    <w:rsid w:val="660A32DF"/>
    <w:rsid w:val="660A5886"/>
    <w:rsid w:val="660AD3B0"/>
    <w:rsid w:val="660B1DDE"/>
    <w:rsid w:val="660B2722"/>
    <w:rsid w:val="660BC1B0"/>
    <w:rsid w:val="660BF733"/>
    <w:rsid w:val="660C1CB6"/>
    <w:rsid w:val="660C72C9"/>
    <w:rsid w:val="660C917D"/>
    <w:rsid w:val="660D4A3E"/>
    <w:rsid w:val="660E02BC"/>
    <w:rsid w:val="660E47CB"/>
    <w:rsid w:val="660E5CC9"/>
    <w:rsid w:val="660E64D8"/>
    <w:rsid w:val="660E65FF"/>
    <w:rsid w:val="660E753B"/>
    <w:rsid w:val="660EAFD4"/>
    <w:rsid w:val="660F4F46"/>
    <w:rsid w:val="660FF5F0"/>
    <w:rsid w:val="661017C6"/>
    <w:rsid w:val="661044CE"/>
    <w:rsid w:val="6610A237"/>
    <w:rsid w:val="6610FC3C"/>
    <w:rsid w:val="6611AC2B"/>
    <w:rsid w:val="66121C26"/>
    <w:rsid w:val="6612376F"/>
    <w:rsid w:val="661242B3"/>
    <w:rsid w:val="66128355"/>
    <w:rsid w:val="6612F58F"/>
    <w:rsid w:val="6613FF48"/>
    <w:rsid w:val="6614550F"/>
    <w:rsid w:val="6614FFD6"/>
    <w:rsid w:val="661560D9"/>
    <w:rsid w:val="6615A954"/>
    <w:rsid w:val="6615B879"/>
    <w:rsid w:val="661799BF"/>
    <w:rsid w:val="6618E3E4"/>
    <w:rsid w:val="661904A4"/>
    <w:rsid w:val="6619F43F"/>
    <w:rsid w:val="661A6D26"/>
    <w:rsid w:val="661B991F"/>
    <w:rsid w:val="661C5FC3"/>
    <w:rsid w:val="661CA4DA"/>
    <w:rsid w:val="661CADED"/>
    <w:rsid w:val="661CDDEE"/>
    <w:rsid w:val="661CE3BA"/>
    <w:rsid w:val="661D25C0"/>
    <w:rsid w:val="661D3320"/>
    <w:rsid w:val="661D6755"/>
    <w:rsid w:val="661D6AC1"/>
    <w:rsid w:val="661DD7D7"/>
    <w:rsid w:val="661E52F8"/>
    <w:rsid w:val="661E9448"/>
    <w:rsid w:val="661E96D1"/>
    <w:rsid w:val="661EA8A2"/>
    <w:rsid w:val="661FBC58"/>
    <w:rsid w:val="6620DC3A"/>
    <w:rsid w:val="662198F1"/>
    <w:rsid w:val="6621ACE8"/>
    <w:rsid w:val="6621AF20"/>
    <w:rsid w:val="6621CDF8"/>
    <w:rsid w:val="6621E145"/>
    <w:rsid w:val="66221ED9"/>
    <w:rsid w:val="662360FA"/>
    <w:rsid w:val="6624073E"/>
    <w:rsid w:val="66253285"/>
    <w:rsid w:val="6625B765"/>
    <w:rsid w:val="6625D7D8"/>
    <w:rsid w:val="662609DB"/>
    <w:rsid w:val="6626B21F"/>
    <w:rsid w:val="66271B95"/>
    <w:rsid w:val="66272035"/>
    <w:rsid w:val="662727D7"/>
    <w:rsid w:val="6627B4B5"/>
    <w:rsid w:val="662863E3"/>
    <w:rsid w:val="66287274"/>
    <w:rsid w:val="6628812E"/>
    <w:rsid w:val="66297725"/>
    <w:rsid w:val="66297BC6"/>
    <w:rsid w:val="6629B8E6"/>
    <w:rsid w:val="662A52AB"/>
    <w:rsid w:val="662AC389"/>
    <w:rsid w:val="662B31D9"/>
    <w:rsid w:val="662B751F"/>
    <w:rsid w:val="662BBABA"/>
    <w:rsid w:val="662C4B9D"/>
    <w:rsid w:val="662C710C"/>
    <w:rsid w:val="662CC0F5"/>
    <w:rsid w:val="662CC519"/>
    <w:rsid w:val="662D34D1"/>
    <w:rsid w:val="662D7462"/>
    <w:rsid w:val="662E6AC3"/>
    <w:rsid w:val="662E822A"/>
    <w:rsid w:val="662E8410"/>
    <w:rsid w:val="662EF51C"/>
    <w:rsid w:val="662F0DF0"/>
    <w:rsid w:val="662F68BA"/>
    <w:rsid w:val="662F8B21"/>
    <w:rsid w:val="663040FF"/>
    <w:rsid w:val="6630B9B9"/>
    <w:rsid w:val="6630CBC3"/>
    <w:rsid w:val="66316602"/>
    <w:rsid w:val="66317335"/>
    <w:rsid w:val="663202E8"/>
    <w:rsid w:val="6633C17C"/>
    <w:rsid w:val="6633C2CA"/>
    <w:rsid w:val="6633D0F0"/>
    <w:rsid w:val="6634A1D0"/>
    <w:rsid w:val="66351EDC"/>
    <w:rsid w:val="66352BCE"/>
    <w:rsid w:val="663535CB"/>
    <w:rsid w:val="6635382A"/>
    <w:rsid w:val="66354B7E"/>
    <w:rsid w:val="6635A66A"/>
    <w:rsid w:val="6636027C"/>
    <w:rsid w:val="66364A3B"/>
    <w:rsid w:val="6636AB4A"/>
    <w:rsid w:val="663776A6"/>
    <w:rsid w:val="6637FA59"/>
    <w:rsid w:val="663815F9"/>
    <w:rsid w:val="6638D55B"/>
    <w:rsid w:val="6638FB58"/>
    <w:rsid w:val="6639A109"/>
    <w:rsid w:val="663A94CB"/>
    <w:rsid w:val="663AE920"/>
    <w:rsid w:val="663B46E5"/>
    <w:rsid w:val="663C2702"/>
    <w:rsid w:val="663D1754"/>
    <w:rsid w:val="663D294B"/>
    <w:rsid w:val="663D57AA"/>
    <w:rsid w:val="663D951C"/>
    <w:rsid w:val="663DE0A0"/>
    <w:rsid w:val="663E19B9"/>
    <w:rsid w:val="663E1A2A"/>
    <w:rsid w:val="663E4758"/>
    <w:rsid w:val="663E6382"/>
    <w:rsid w:val="663EBDA3"/>
    <w:rsid w:val="663EECB2"/>
    <w:rsid w:val="663F70E1"/>
    <w:rsid w:val="663F80CB"/>
    <w:rsid w:val="663FEA2D"/>
    <w:rsid w:val="66405B9E"/>
    <w:rsid w:val="6640E2BE"/>
    <w:rsid w:val="6640E3FF"/>
    <w:rsid w:val="66419B41"/>
    <w:rsid w:val="6642C48E"/>
    <w:rsid w:val="6642CA77"/>
    <w:rsid w:val="6643056F"/>
    <w:rsid w:val="66444E8A"/>
    <w:rsid w:val="664481B5"/>
    <w:rsid w:val="6644AC47"/>
    <w:rsid w:val="6644B493"/>
    <w:rsid w:val="6644CD8F"/>
    <w:rsid w:val="6644FCCF"/>
    <w:rsid w:val="664518DD"/>
    <w:rsid w:val="664576C3"/>
    <w:rsid w:val="66458FFF"/>
    <w:rsid w:val="6645FE18"/>
    <w:rsid w:val="66463968"/>
    <w:rsid w:val="66472B53"/>
    <w:rsid w:val="66473B62"/>
    <w:rsid w:val="66479266"/>
    <w:rsid w:val="6647A4B2"/>
    <w:rsid w:val="66480873"/>
    <w:rsid w:val="6648AC7F"/>
    <w:rsid w:val="6648F844"/>
    <w:rsid w:val="664916C4"/>
    <w:rsid w:val="66491A45"/>
    <w:rsid w:val="664A05F0"/>
    <w:rsid w:val="664A9529"/>
    <w:rsid w:val="664AB845"/>
    <w:rsid w:val="664AFBA0"/>
    <w:rsid w:val="664B242B"/>
    <w:rsid w:val="664B2E1D"/>
    <w:rsid w:val="664B6411"/>
    <w:rsid w:val="664B862C"/>
    <w:rsid w:val="664BB156"/>
    <w:rsid w:val="664C4CFF"/>
    <w:rsid w:val="664C542F"/>
    <w:rsid w:val="664C78E9"/>
    <w:rsid w:val="664C81E2"/>
    <w:rsid w:val="664CC3AB"/>
    <w:rsid w:val="664D1C3A"/>
    <w:rsid w:val="664DE7DD"/>
    <w:rsid w:val="664E51CD"/>
    <w:rsid w:val="664EF801"/>
    <w:rsid w:val="664F1F98"/>
    <w:rsid w:val="6652D0B3"/>
    <w:rsid w:val="66532CC3"/>
    <w:rsid w:val="6653535B"/>
    <w:rsid w:val="66538A69"/>
    <w:rsid w:val="6653C8AB"/>
    <w:rsid w:val="66541395"/>
    <w:rsid w:val="66543BAC"/>
    <w:rsid w:val="665491AC"/>
    <w:rsid w:val="6654A787"/>
    <w:rsid w:val="665510BF"/>
    <w:rsid w:val="66582D83"/>
    <w:rsid w:val="66585241"/>
    <w:rsid w:val="66589B22"/>
    <w:rsid w:val="6658E79B"/>
    <w:rsid w:val="66591BE8"/>
    <w:rsid w:val="6659DB94"/>
    <w:rsid w:val="665B0F78"/>
    <w:rsid w:val="665B1E60"/>
    <w:rsid w:val="665B3DD3"/>
    <w:rsid w:val="665B5F82"/>
    <w:rsid w:val="665C2AB9"/>
    <w:rsid w:val="665C9CA0"/>
    <w:rsid w:val="665CC9E2"/>
    <w:rsid w:val="665E57E1"/>
    <w:rsid w:val="665E7EFF"/>
    <w:rsid w:val="665EE444"/>
    <w:rsid w:val="665F104B"/>
    <w:rsid w:val="665F987B"/>
    <w:rsid w:val="6660CCA4"/>
    <w:rsid w:val="66612C89"/>
    <w:rsid w:val="6662846E"/>
    <w:rsid w:val="6662DE2C"/>
    <w:rsid w:val="6662F036"/>
    <w:rsid w:val="66634CDC"/>
    <w:rsid w:val="6663BD50"/>
    <w:rsid w:val="666443A1"/>
    <w:rsid w:val="66644F0B"/>
    <w:rsid w:val="66645011"/>
    <w:rsid w:val="66649229"/>
    <w:rsid w:val="6665106A"/>
    <w:rsid w:val="66654B80"/>
    <w:rsid w:val="66657007"/>
    <w:rsid w:val="6665EB65"/>
    <w:rsid w:val="6665FD67"/>
    <w:rsid w:val="66663FBC"/>
    <w:rsid w:val="66678301"/>
    <w:rsid w:val="6668572A"/>
    <w:rsid w:val="66693926"/>
    <w:rsid w:val="666AC711"/>
    <w:rsid w:val="666B1EC8"/>
    <w:rsid w:val="666B6C02"/>
    <w:rsid w:val="666B70F7"/>
    <w:rsid w:val="666B9D41"/>
    <w:rsid w:val="666C727F"/>
    <w:rsid w:val="666C80E0"/>
    <w:rsid w:val="666CEFB4"/>
    <w:rsid w:val="666D4AFC"/>
    <w:rsid w:val="666D585F"/>
    <w:rsid w:val="666D81A7"/>
    <w:rsid w:val="666DCCFF"/>
    <w:rsid w:val="666EE1C0"/>
    <w:rsid w:val="666FE635"/>
    <w:rsid w:val="6670187A"/>
    <w:rsid w:val="6670253E"/>
    <w:rsid w:val="667051C7"/>
    <w:rsid w:val="6670D22C"/>
    <w:rsid w:val="6670D835"/>
    <w:rsid w:val="6671B4EF"/>
    <w:rsid w:val="66722496"/>
    <w:rsid w:val="66731558"/>
    <w:rsid w:val="66735032"/>
    <w:rsid w:val="667394C8"/>
    <w:rsid w:val="6673EEFB"/>
    <w:rsid w:val="66744732"/>
    <w:rsid w:val="66744E3D"/>
    <w:rsid w:val="6674DA36"/>
    <w:rsid w:val="6674DEC0"/>
    <w:rsid w:val="66758A03"/>
    <w:rsid w:val="6675AEB0"/>
    <w:rsid w:val="6675D14E"/>
    <w:rsid w:val="66773068"/>
    <w:rsid w:val="6677BCFF"/>
    <w:rsid w:val="667815C8"/>
    <w:rsid w:val="66796AFE"/>
    <w:rsid w:val="667A0AAB"/>
    <w:rsid w:val="667A24C9"/>
    <w:rsid w:val="667B73C8"/>
    <w:rsid w:val="667BE234"/>
    <w:rsid w:val="667BFCB7"/>
    <w:rsid w:val="667C1123"/>
    <w:rsid w:val="667D7282"/>
    <w:rsid w:val="667DD096"/>
    <w:rsid w:val="667E7526"/>
    <w:rsid w:val="667ECFED"/>
    <w:rsid w:val="667EF8EB"/>
    <w:rsid w:val="667F3BB5"/>
    <w:rsid w:val="667F586D"/>
    <w:rsid w:val="667F9ABC"/>
    <w:rsid w:val="667FFC2B"/>
    <w:rsid w:val="6680686A"/>
    <w:rsid w:val="668071E2"/>
    <w:rsid w:val="66813646"/>
    <w:rsid w:val="66813E09"/>
    <w:rsid w:val="6681D6E5"/>
    <w:rsid w:val="66828F13"/>
    <w:rsid w:val="66839E3E"/>
    <w:rsid w:val="6684091B"/>
    <w:rsid w:val="6685C42B"/>
    <w:rsid w:val="6686948C"/>
    <w:rsid w:val="66871910"/>
    <w:rsid w:val="6687433B"/>
    <w:rsid w:val="66879FA1"/>
    <w:rsid w:val="6688133D"/>
    <w:rsid w:val="66886534"/>
    <w:rsid w:val="6689CCDE"/>
    <w:rsid w:val="668A0B59"/>
    <w:rsid w:val="668A3C6E"/>
    <w:rsid w:val="668A7EC7"/>
    <w:rsid w:val="668A9DEF"/>
    <w:rsid w:val="668AA007"/>
    <w:rsid w:val="668C84BD"/>
    <w:rsid w:val="668CFB71"/>
    <w:rsid w:val="668D6CAA"/>
    <w:rsid w:val="668DF847"/>
    <w:rsid w:val="668E3D1D"/>
    <w:rsid w:val="668E529F"/>
    <w:rsid w:val="668E6544"/>
    <w:rsid w:val="668F8648"/>
    <w:rsid w:val="668F8BD0"/>
    <w:rsid w:val="66900D54"/>
    <w:rsid w:val="6690D181"/>
    <w:rsid w:val="66911CA3"/>
    <w:rsid w:val="669199D8"/>
    <w:rsid w:val="66922196"/>
    <w:rsid w:val="66927029"/>
    <w:rsid w:val="66927F54"/>
    <w:rsid w:val="6694A924"/>
    <w:rsid w:val="669573F5"/>
    <w:rsid w:val="66961707"/>
    <w:rsid w:val="66962B76"/>
    <w:rsid w:val="66969271"/>
    <w:rsid w:val="66973199"/>
    <w:rsid w:val="66977B7E"/>
    <w:rsid w:val="6697FCC5"/>
    <w:rsid w:val="66985140"/>
    <w:rsid w:val="6698837A"/>
    <w:rsid w:val="66993019"/>
    <w:rsid w:val="669944CE"/>
    <w:rsid w:val="669957F8"/>
    <w:rsid w:val="669A2918"/>
    <w:rsid w:val="669A766E"/>
    <w:rsid w:val="669A9151"/>
    <w:rsid w:val="669AA346"/>
    <w:rsid w:val="669AC5A9"/>
    <w:rsid w:val="669ACD1E"/>
    <w:rsid w:val="669AD34F"/>
    <w:rsid w:val="669BD004"/>
    <w:rsid w:val="669C3DE2"/>
    <w:rsid w:val="669DBD2F"/>
    <w:rsid w:val="669E5629"/>
    <w:rsid w:val="669EF0F7"/>
    <w:rsid w:val="66A0C1B8"/>
    <w:rsid w:val="66A0DC89"/>
    <w:rsid w:val="66A1148E"/>
    <w:rsid w:val="66A16E83"/>
    <w:rsid w:val="66A2A8E9"/>
    <w:rsid w:val="66A38C90"/>
    <w:rsid w:val="66A4E03C"/>
    <w:rsid w:val="66A5F42B"/>
    <w:rsid w:val="66A65B3A"/>
    <w:rsid w:val="66A6EF6C"/>
    <w:rsid w:val="66A70CBA"/>
    <w:rsid w:val="66A90CE6"/>
    <w:rsid w:val="66A94EE7"/>
    <w:rsid w:val="66AA2A4F"/>
    <w:rsid w:val="66AA5148"/>
    <w:rsid w:val="66AC2FE6"/>
    <w:rsid w:val="66ACC12D"/>
    <w:rsid w:val="66ACF529"/>
    <w:rsid w:val="66AE74AE"/>
    <w:rsid w:val="66AEA76D"/>
    <w:rsid w:val="66AEABF6"/>
    <w:rsid w:val="66B1987C"/>
    <w:rsid w:val="66B20968"/>
    <w:rsid w:val="66B22490"/>
    <w:rsid w:val="66B23A11"/>
    <w:rsid w:val="66B2A9CB"/>
    <w:rsid w:val="66B2D033"/>
    <w:rsid w:val="66B394BC"/>
    <w:rsid w:val="66B4521A"/>
    <w:rsid w:val="66B464D2"/>
    <w:rsid w:val="66B4AEA3"/>
    <w:rsid w:val="66B5196E"/>
    <w:rsid w:val="66B528B0"/>
    <w:rsid w:val="66B5982C"/>
    <w:rsid w:val="66B6055E"/>
    <w:rsid w:val="66B6548C"/>
    <w:rsid w:val="66B69299"/>
    <w:rsid w:val="66B7C6DE"/>
    <w:rsid w:val="66B7D0F0"/>
    <w:rsid w:val="66B80794"/>
    <w:rsid w:val="66B81199"/>
    <w:rsid w:val="66B831D9"/>
    <w:rsid w:val="66B842B0"/>
    <w:rsid w:val="66B8B170"/>
    <w:rsid w:val="66B8DAE7"/>
    <w:rsid w:val="66B91C3E"/>
    <w:rsid w:val="66B93890"/>
    <w:rsid w:val="66B942FD"/>
    <w:rsid w:val="66B9522B"/>
    <w:rsid w:val="66B96E50"/>
    <w:rsid w:val="66B986F5"/>
    <w:rsid w:val="66B9881A"/>
    <w:rsid w:val="66BA061A"/>
    <w:rsid w:val="66BA545B"/>
    <w:rsid w:val="66BA5ED3"/>
    <w:rsid w:val="66BB9C4A"/>
    <w:rsid w:val="66BC189B"/>
    <w:rsid w:val="66BCF733"/>
    <w:rsid w:val="66BD6B56"/>
    <w:rsid w:val="66BD7D44"/>
    <w:rsid w:val="66BE24E8"/>
    <w:rsid w:val="66BF5403"/>
    <w:rsid w:val="66BFCCCE"/>
    <w:rsid w:val="66C00048"/>
    <w:rsid w:val="66C02068"/>
    <w:rsid w:val="66C09A59"/>
    <w:rsid w:val="66C1F8B1"/>
    <w:rsid w:val="66C260B0"/>
    <w:rsid w:val="66C2B507"/>
    <w:rsid w:val="66C2DF5A"/>
    <w:rsid w:val="66C3419D"/>
    <w:rsid w:val="66C372B1"/>
    <w:rsid w:val="66C3C1E3"/>
    <w:rsid w:val="66C3CE28"/>
    <w:rsid w:val="66C3F052"/>
    <w:rsid w:val="66C3FEFA"/>
    <w:rsid w:val="66C4C057"/>
    <w:rsid w:val="66C4C0E1"/>
    <w:rsid w:val="66C4EA37"/>
    <w:rsid w:val="66C4FD63"/>
    <w:rsid w:val="66C6238B"/>
    <w:rsid w:val="66C694CF"/>
    <w:rsid w:val="66C7F580"/>
    <w:rsid w:val="66C98713"/>
    <w:rsid w:val="66C9D6BC"/>
    <w:rsid w:val="66CA0C4B"/>
    <w:rsid w:val="66CAA76F"/>
    <w:rsid w:val="66CAD565"/>
    <w:rsid w:val="66CB2459"/>
    <w:rsid w:val="66CE2F68"/>
    <w:rsid w:val="66CEE60E"/>
    <w:rsid w:val="66CF410C"/>
    <w:rsid w:val="66CF8210"/>
    <w:rsid w:val="66D006B5"/>
    <w:rsid w:val="66D03D55"/>
    <w:rsid w:val="66D0DF96"/>
    <w:rsid w:val="66D10062"/>
    <w:rsid w:val="66D1BA09"/>
    <w:rsid w:val="66D1CFF2"/>
    <w:rsid w:val="66D25F7A"/>
    <w:rsid w:val="66D2EE6B"/>
    <w:rsid w:val="66D2F6C1"/>
    <w:rsid w:val="66D4EF36"/>
    <w:rsid w:val="66D50B06"/>
    <w:rsid w:val="66D6072E"/>
    <w:rsid w:val="66D61E3C"/>
    <w:rsid w:val="66D679A3"/>
    <w:rsid w:val="66D7D594"/>
    <w:rsid w:val="66D7DBD5"/>
    <w:rsid w:val="66D86DC0"/>
    <w:rsid w:val="66D8B289"/>
    <w:rsid w:val="66D95017"/>
    <w:rsid w:val="66DA0AC0"/>
    <w:rsid w:val="66DA4604"/>
    <w:rsid w:val="66DB086A"/>
    <w:rsid w:val="66DB1E65"/>
    <w:rsid w:val="66DB6727"/>
    <w:rsid w:val="66DB7260"/>
    <w:rsid w:val="66DBDF9C"/>
    <w:rsid w:val="66DC455B"/>
    <w:rsid w:val="66DC9559"/>
    <w:rsid w:val="66DD2438"/>
    <w:rsid w:val="66DD3CAA"/>
    <w:rsid w:val="66DDA399"/>
    <w:rsid w:val="66E0739C"/>
    <w:rsid w:val="66E082BB"/>
    <w:rsid w:val="66E1088A"/>
    <w:rsid w:val="66E1361F"/>
    <w:rsid w:val="66E1385A"/>
    <w:rsid w:val="66E16CA2"/>
    <w:rsid w:val="66E17372"/>
    <w:rsid w:val="66E19A83"/>
    <w:rsid w:val="66E1C81F"/>
    <w:rsid w:val="66E22514"/>
    <w:rsid w:val="66E29B1A"/>
    <w:rsid w:val="66E29E32"/>
    <w:rsid w:val="66E4B5FD"/>
    <w:rsid w:val="66E52EB2"/>
    <w:rsid w:val="66E557B1"/>
    <w:rsid w:val="66E60B8C"/>
    <w:rsid w:val="66E6B7B8"/>
    <w:rsid w:val="66E6FB9F"/>
    <w:rsid w:val="66E80130"/>
    <w:rsid w:val="66E8ED33"/>
    <w:rsid w:val="66E937F9"/>
    <w:rsid w:val="66E93AD3"/>
    <w:rsid w:val="66E9E604"/>
    <w:rsid w:val="66EA6C46"/>
    <w:rsid w:val="66EA9A67"/>
    <w:rsid w:val="66EC3220"/>
    <w:rsid w:val="66EC823B"/>
    <w:rsid w:val="66ECC5FA"/>
    <w:rsid w:val="66ED60BC"/>
    <w:rsid w:val="66EDBCED"/>
    <w:rsid w:val="66EE5ACB"/>
    <w:rsid w:val="66EEADCD"/>
    <w:rsid w:val="66EF22E4"/>
    <w:rsid w:val="66EF53FD"/>
    <w:rsid w:val="66EF803B"/>
    <w:rsid w:val="66F0020D"/>
    <w:rsid w:val="66F08C5E"/>
    <w:rsid w:val="66F0F639"/>
    <w:rsid w:val="66F178C1"/>
    <w:rsid w:val="66F1EF9D"/>
    <w:rsid w:val="66F23BCA"/>
    <w:rsid w:val="66F242C7"/>
    <w:rsid w:val="66F2A5D6"/>
    <w:rsid w:val="66F41DF8"/>
    <w:rsid w:val="66F4A2B5"/>
    <w:rsid w:val="66F51492"/>
    <w:rsid w:val="66F58B7F"/>
    <w:rsid w:val="66F5C2F1"/>
    <w:rsid w:val="66F5EB56"/>
    <w:rsid w:val="66F611CC"/>
    <w:rsid w:val="66F64A10"/>
    <w:rsid w:val="66F6AEF2"/>
    <w:rsid w:val="66F87D5F"/>
    <w:rsid w:val="66F91BAE"/>
    <w:rsid w:val="66FA143F"/>
    <w:rsid w:val="66FA297A"/>
    <w:rsid w:val="66FA30BE"/>
    <w:rsid w:val="66FAA2BF"/>
    <w:rsid w:val="66FADECC"/>
    <w:rsid w:val="66FBAE44"/>
    <w:rsid w:val="66FBBB6A"/>
    <w:rsid w:val="66FC0CC6"/>
    <w:rsid w:val="66FC18A8"/>
    <w:rsid w:val="66FC5E91"/>
    <w:rsid w:val="66FCB3C4"/>
    <w:rsid w:val="66FD53A4"/>
    <w:rsid w:val="66FD8497"/>
    <w:rsid w:val="66FDAD75"/>
    <w:rsid w:val="66FDFCC1"/>
    <w:rsid w:val="66FE84C4"/>
    <w:rsid w:val="66FFB820"/>
    <w:rsid w:val="66FFD8C8"/>
    <w:rsid w:val="67003BCC"/>
    <w:rsid w:val="67006661"/>
    <w:rsid w:val="6700BED6"/>
    <w:rsid w:val="6700DA52"/>
    <w:rsid w:val="6701A2C6"/>
    <w:rsid w:val="6702913C"/>
    <w:rsid w:val="6702F8F6"/>
    <w:rsid w:val="6703662F"/>
    <w:rsid w:val="670484A5"/>
    <w:rsid w:val="670497C4"/>
    <w:rsid w:val="67049D09"/>
    <w:rsid w:val="67055E55"/>
    <w:rsid w:val="6706B490"/>
    <w:rsid w:val="6706FB6A"/>
    <w:rsid w:val="67070FAA"/>
    <w:rsid w:val="6708CD37"/>
    <w:rsid w:val="6708FE5C"/>
    <w:rsid w:val="670904CF"/>
    <w:rsid w:val="670927D5"/>
    <w:rsid w:val="670A31B6"/>
    <w:rsid w:val="670BA12B"/>
    <w:rsid w:val="670BBF03"/>
    <w:rsid w:val="670C49D4"/>
    <w:rsid w:val="670D9B49"/>
    <w:rsid w:val="670DE99F"/>
    <w:rsid w:val="670E0DB4"/>
    <w:rsid w:val="670EE8F1"/>
    <w:rsid w:val="670F710A"/>
    <w:rsid w:val="670F88CC"/>
    <w:rsid w:val="670F9B17"/>
    <w:rsid w:val="670FA01F"/>
    <w:rsid w:val="670FEA09"/>
    <w:rsid w:val="6710649C"/>
    <w:rsid w:val="6710B7E7"/>
    <w:rsid w:val="67113843"/>
    <w:rsid w:val="67128EF7"/>
    <w:rsid w:val="6712A59C"/>
    <w:rsid w:val="6712A7AE"/>
    <w:rsid w:val="6713BCBE"/>
    <w:rsid w:val="671421D2"/>
    <w:rsid w:val="67144B54"/>
    <w:rsid w:val="67148741"/>
    <w:rsid w:val="671494BB"/>
    <w:rsid w:val="67159AC8"/>
    <w:rsid w:val="6715E2FC"/>
    <w:rsid w:val="671634BD"/>
    <w:rsid w:val="67168959"/>
    <w:rsid w:val="6716BC1E"/>
    <w:rsid w:val="6716E970"/>
    <w:rsid w:val="67186674"/>
    <w:rsid w:val="67187277"/>
    <w:rsid w:val="67190295"/>
    <w:rsid w:val="67193E63"/>
    <w:rsid w:val="67194FF7"/>
    <w:rsid w:val="6719DC58"/>
    <w:rsid w:val="671A4790"/>
    <w:rsid w:val="671AAE19"/>
    <w:rsid w:val="671BE376"/>
    <w:rsid w:val="671CA999"/>
    <w:rsid w:val="671CFC98"/>
    <w:rsid w:val="671DC5A6"/>
    <w:rsid w:val="671DDF19"/>
    <w:rsid w:val="671E0BC4"/>
    <w:rsid w:val="671E1959"/>
    <w:rsid w:val="671EC8B4"/>
    <w:rsid w:val="671EFBD1"/>
    <w:rsid w:val="671FB5F1"/>
    <w:rsid w:val="6720B3E0"/>
    <w:rsid w:val="6720B840"/>
    <w:rsid w:val="67214A92"/>
    <w:rsid w:val="6722690E"/>
    <w:rsid w:val="6722A85C"/>
    <w:rsid w:val="672377CD"/>
    <w:rsid w:val="67238EC2"/>
    <w:rsid w:val="6723D9D8"/>
    <w:rsid w:val="67249E27"/>
    <w:rsid w:val="6724AC7D"/>
    <w:rsid w:val="67253A19"/>
    <w:rsid w:val="6725B339"/>
    <w:rsid w:val="6725FFD7"/>
    <w:rsid w:val="67262C3D"/>
    <w:rsid w:val="6727493D"/>
    <w:rsid w:val="672768D5"/>
    <w:rsid w:val="6728DD8E"/>
    <w:rsid w:val="6728F9EF"/>
    <w:rsid w:val="67292A07"/>
    <w:rsid w:val="67296BCF"/>
    <w:rsid w:val="672991AC"/>
    <w:rsid w:val="672A2053"/>
    <w:rsid w:val="672B1F90"/>
    <w:rsid w:val="672D5919"/>
    <w:rsid w:val="672D65C7"/>
    <w:rsid w:val="672D6D88"/>
    <w:rsid w:val="672DAF1E"/>
    <w:rsid w:val="672E49E4"/>
    <w:rsid w:val="672E8F09"/>
    <w:rsid w:val="672F85E5"/>
    <w:rsid w:val="673266CF"/>
    <w:rsid w:val="67329151"/>
    <w:rsid w:val="67339BE7"/>
    <w:rsid w:val="6734EAE5"/>
    <w:rsid w:val="67364E90"/>
    <w:rsid w:val="6736527F"/>
    <w:rsid w:val="67366508"/>
    <w:rsid w:val="67366FB7"/>
    <w:rsid w:val="6736D498"/>
    <w:rsid w:val="6737143B"/>
    <w:rsid w:val="6737290C"/>
    <w:rsid w:val="67372C75"/>
    <w:rsid w:val="67373DD0"/>
    <w:rsid w:val="67388C92"/>
    <w:rsid w:val="6738CE48"/>
    <w:rsid w:val="673A1F4C"/>
    <w:rsid w:val="673A9140"/>
    <w:rsid w:val="673B00A6"/>
    <w:rsid w:val="673B06C9"/>
    <w:rsid w:val="673B1514"/>
    <w:rsid w:val="673B18F8"/>
    <w:rsid w:val="673B7E38"/>
    <w:rsid w:val="673D4D5C"/>
    <w:rsid w:val="673F1B45"/>
    <w:rsid w:val="673F33B1"/>
    <w:rsid w:val="673F87E5"/>
    <w:rsid w:val="674013CB"/>
    <w:rsid w:val="6740BEE7"/>
    <w:rsid w:val="6740FA0B"/>
    <w:rsid w:val="6741A522"/>
    <w:rsid w:val="6741D218"/>
    <w:rsid w:val="67420D03"/>
    <w:rsid w:val="6743C190"/>
    <w:rsid w:val="6744AC55"/>
    <w:rsid w:val="6745C46D"/>
    <w:rsid w:val="67467E13"/>
    <w:rsid w:val="6746CB7E"/>
    <w:rsid w:val="6747397D"/>
    <w:rsid w:val="67473F14"/>
    <w:rsid w:val="6747760D"/>
    <w:rsid w:val="67485E73"/>
    <w:rsid w:val="674938E0"/>
    <w:rsid w:val="67498C9E"/>
    <w:rsid w:val="674A66BB"/>
    <w:rsid w:val="674BC46E"/>
    <w:rsid w:val="674C1D91"/>
    <w:rsid w:val="674C9FCA"/>
    <w:rsid w:val="674CB3FC"/>
    <w:rsid w:val="674D13DC"/>
    <w:rsid w:val="674E05D5"/>
    <w:rsid w:val="674E2269"/>
    <w:rsid w:val="674E6292"/>
    <w:rsid w:val="674EC02D"/>
    <w:rsid w:val="674F4EFB"/>
    <w:rsid w:val="67502AF4"/>
    <w:rsid w:val="67506C0E"/>
    <w:rsid w:val="6750A05F"/>
    <w:rsid w:val="6750B95A"/>
    <w:rsid w:val="67513C32"/>
    <w:rsid w:val="675221E3"/>
    <w:rsid w:val="67527616"/>
    <w:rsid w:val="6752C0DB"/>
    <w:rsid w:val="67531BCC"/>
    <w:rsid w:val="67546F2D"/>
    <w:rsid w:val="6754BCFD"/>
    <w:rsid w:val="6754E62A"/>
    <w:rsid w:val="675503F1"/>
    <w:rsid w:val="67553779"/>
    <w:rsid w:val="6755EA96"/>
    <w:rsid w:val="67563420"/>
    <w:rsid w:val="67568DC0"/>
    <w:rsid w:val="6756D70C"/>
    <w:rsid w:val="6756EB55"/>
    <w:rsid w:val="67570F49"/>
    <w:rsid w:val="675759A5"/>
    <w:rsid w:val="6757F51A"/>
    <w:rsid w:val="67598A7F"/>
    <w:rsid w:val="675A5788"/>
    <w:rsid w:val="675B0C7E"/>
    <w:rsid w:val="675B5D21"/>
    <w:rsid w:val="675B90F8"/>
    <w:rsid w:val="675BA8DE"/>
    <w:rsid w:val="675C36A0"/>
    <w:rsid w:val="675C4A57"/>
    <w:rsid w:val="675D24C9"/>
    <w:rsid w:val="675D8A8A"/>
    <w:rsid w:val="675DD643"/>
    <w:rsid w:val="675DE703"/>
    <w:rsid w:val="675FBDF6"/>
    <w:rsid w:val="675FD60C"/>
    <w:rsid w:val="675FE053"/>
    <w:rsid w:val="67603C15"/>
    <w:rsid w:val="6761318B"/>
    <w:rsid w:val="67617F00"/>
    <w:rsid w:val="6762807A"/>
    <w:rsid w:val="6762A37A"/>
    <w:rsid w:val="6762BA0A"/>
    <w:rsid w:val="6762D408"/>
    <w:rsid w:val="6762EE99"/>
    <w:rsid w:val="6762F452"/>
    <w:rsid w:val="676370D1"/>
    <w:rsid w:val="6763D13B"/>
    <w:rsid w:val="676402AC"/>
    <w:rsid w:val="6765171D"/>
    <w:rsid w:val="67658CBC"/>
    <w:rsid w:val="6765A9B7"/>
    <w:rsid w:val="6767B2C1"/>
    <w:rsid w:val="67684798"/>
    <w:rsid w:val="6768945B"/>
    <w:rsid w:val="67691A2E"/>
    <w:rsid w:val="67697F66"/>
    <w:rsid w:val="6769F46F"/>
    <w:rsid w:val="676A4EFA"/>
    <w:rsid w:val="676ABE1F"/>
    <w:rsid w:val="676AC63C"/>
    <w:rsid w:val="676B7F9E"/>
    <w:rsid w:val="676BB1CB"/>
    <w:rsid w:val="676C4DB5"/>
    <w:rsid w:val="676C57E4"/>
    <w:rsid w:val="676D6DE5"/>
    <w:rsid w:val="676DC7D5"/>
    <w:rsid w:val="676E7D3D"/>
    <w:rsid w:val="676EBE61"/>
    <w:rsid w:val="676F4373"/>
    <w:rsid w:val="676F62AF"/>
    <w:rsid w:val="676FAE7A"/>
    <w:rsid w:val="676FF5DE"/>
    <w:rsid w:val="67700532"/>
    <w:rsid w:val="6770D258"/>
    <w:rsid w:val="67734472"/>
    <w:rsid w:val="6773ECB0"/>
    <w:rsid w:val="6774865E"/>
    <w:rsid w:val="6774AD3F"/>
    <w:rsid w:val="677528D7"/>
    <w:rsid w:val="67762193"/>
    <w:rsid w:val="677681CC"/>
    <w:rsid w:val="67768344"/>
    <w:rsid w:val="677769CD"/>
    <w:rsid w:val="6777BC11"/>
    <w:rsid w:val="6777BE62"/>
    <w:rsid w:val="677912FE"/>
    <w:rsid w:val="67796F3E"/>
    <w:rsid w:val="6779D67F"/>
    <w:rsid w:val="6779EE2D"/>
    <w:rsid w:val="677ADDAD"/>
    <w:rsid w:val="677C9F37"/>
    <w:rsid w:val="677CBAE1"/>
    <w:rsid w:val="677CD6B3"/>
    <w:rsid w:val="677D8B67"/>
    <w:rsid w:val="677DE80F"/>
    <w:rsid w:val="677E67DF"/>
    <w:rsid w:val="677E9345"/>
    <w:rsid w:val="677F0ECE"/>
    <w:rsid w:val="67800E97"/>
    <w:rsid w:val="67805896"/>
    <w:rsid w:val="6781789C"/>
    <w:rsid w:val="6781932F"/>
    <w:rsid w:val="6782DC61"/>
    <w:rsid w:val="6782DF11"/>
    <w:rsid w:val="6782E87C"/>
    <w:rsid w:val="6782FB93"/>
    <w:rsid w:val="678304EC"/>
    <w:rsid w:val="6783572B"/>
    <w:rsid w:val="67835F6E"/>
    <w:rsid w:val="6784408B"/>
    <w:rsid w:val="6784B56D"/>
    <w:rsid w:val="67858C32"/>
    <w:rsid w:val="6785BA8B"/>
    <w:rsid w:val="6785FC48"/>
    <w:rsid w:val="67868D51"/>
    <w:rsid w:val="6786FF91"/>
    <w:rsid w:val="678700DC"/>
    <w:rsid w:val="67873BFB"/>
    <w:rsid w:val="6787692E"/>
    <w:rsid w:val="678769AE"/>
    <w:rsid w:val="67878A03"/>
    <w:rsid w:val="67885B6F"/>
    <w:rsid w:val="67885B80"/>
    <w:rsid w:val="67899AD6"/>
    <w:rsid w:val="6789CE92"/>
    <w:rsid w:val="678A7308"/>
    <w:rsid w:val="678A88BB"/>
    <w:rsid w:val="678AC31F"/>
    <w:rsid w:val="678B1293"/>
    <w:rsid w:val="678B13A4"/>
    <w:rsid w:val="678B40EF"/>
    <w:rsid w:val="678B866F"/>
    <w:rsid w:val="678BE430"/>
    <w:rsid w:val="678C1396"/>
    <w:rsid w:val="678C3E1F"/>
    <w:rsid w:val="678C7341"/>
    <w:rsid w:val="678C97EB"/>
    <w:rsid w:val="678CA932"/>
    <w:rsid w:val="678CADB6"/>
    <w:rsid w:val="678D051C"/>
    <w:rsid w:val="678D5388"/>
    <w:rsid w:val="678D75DE"/>
    <w:rsid w:val="678E32F0"/>
    <w:rsid w:val="678E4250"/>
    <w:rsid w:val="678EA17E"/>
    <w:rsid w:val="678FEAC2"/>
    <w:rsid w:val="6791F918"/>
    <w:rsid w:val="679239E0"/>
    <w:rsid w:val="679254F6"/>
    <w:rsid w:val="67927B92"/>
    <w:rsid w:val="6792A765"/>
    <w:rsid w:val="6792DFC5"/>
    <w:rsid w:val="67937B9A"/>
    <w:rsid w:val="679382AE"/>
    <w:rsid w:val="6793A688"/>
    <w:rsid w:val="6793EDCD"/>
    <w:rsid w:val="6794D153"/>
    <w:rsid w:val="67952153"/>
    <w:rsid w:val="67954A64"/>
    <w:rsid w:val="67957F1C"/>
    <w:rsid w:val="6797457C"/>
    <w:rsid w:val="67976D57"/>
    <w:rsid w:val="6797A762"/>
    <w:rsid w:val="679978C8"/>
    <w:rsid w:val="679984EF"/>
    <w:rsid w:val="6799CA56"/>
    <w:rsid w:val="679A0524"/>
    <w:rsid w:val="679A9485"/>
    <w:rsid w:val="679A9C7E"/>
    <w:rsid w:val="679AC291"/>
    <w:rsid w:val="679B71C9"/>
    <w:rsid w:val="679B920E"/>
    <w:rsid w:val="679C6666"/>
    <w:rsid w:val="679C7317"/>
    <w:rsid w:val="679C9EDE"/>
    <w:rsid w:val="679D19EA"/>
    <w:rsid w:val="679D2454"/>
    <w:rsid w:val="679EDAF8"/>
    <w:rsid w:val="679F1CE7"/>
    <w:rsid w:val="679F84FC"/>
    <w:rsid w:val="679FA3C7"/>
    <w:rsid w:val="67A0D8DD"/>
    <w:rsid w:val="67A10BB1"/>
    <w:rsid w:val="67A27514"/>
    <w:rsid w:val="67A33293"/>
    <w:rsid w:val="67A362C6"/>
    <w:rsid w:val="67A377DB"/>
    <w:rsid w:val="67A3941F"/>
    <w:rsid w:val="67A3BEDA"/>
    <w:rsid w:val="67A40E4E"/>
    <w:rsid w:val="67A42F28"/>
    <w:rsid w:val="67A53509"/>
    <w:rsid w:val="67A5ABE9"/>
    <w:rsid w:val="67A5BD05"/>
    <w:rsid w:val="67A5CEB7"/>
    <w:rsid w:val="67A627A9"/>
    <w:rsid w:val="67A62C97"/>
    <w:rsid w:val="67A7ADCB"/>
    <w:rsid w:val="67A7BEA2"/>
    <w:rsid w:val="67A8DA96"/>
    <w:rsid w:val="67A9DD50"/>
    <w:rsid w:val="67A9F510"/>
    <w:rsid w:val="67AA291F"/>
    <w:rsid w:val="67AAFBAF"/>
    <w:rsid w:val="67ADDA27"/>
    <w:rsid w:val="67AE5C8F"/>
    <w:rsid w:val="67AE7510"/>
    <w:rsid w:val="67AF1483"/>
    <w:rsid w:val="67AF5158"/>
    <w:rsid w:val="67AF91B8"/>
    <w:rsid w:val="67AFF84D"/>
    <w:rsid w:val="67B06BC4"/>
    <w:rsid w:val="67B070B6"/>
    <w:rsid w:val="67B08350"/>
    <w:rsid w:val="67B13285"/>
    <w:rsid w:val="67B14CAF"/>
    <w:rsid w:val="67B1CC8B"/>
    <w:rsid w:val="67B1E61D"/>
    <w:rsid w:val="67B1F08A"/>
    <w:rsid w:val="67B248D3"/>
    <w:rsid w:val="67B2BA72"/>
    <w:rsid w:val="67B41E62"/>
    <w:rsid w:val="67B44A01"/>
    <w:rsid w:val="67B46B40"/>
    <w:rsid w:val="67B4C004"/>
    <w:rsid w:val="67B57235"/>
    <w:rsid w:val="67B65C61"/>
    <w:rsid w:val="67B68017"/>
    <w:rsid w:val="67B6D512"/>
    <w:rsid w:val="67B78B73"/>
    <w:rsid w:val="67B88609"/>
    <w:rsid w:val="67B92991"/>
    <w:rsid w:val="67B9642C"/>
    <w:rsid w:val="67B9B797"/>
    <w:rsid w:val="67BA2CAE"/>
    <w:rsid w:val="67BA619B"/>
    <w:rsid w:val="67BBBD39"/>
    <w:rsid w:val="67BBC912"/>
    <w:rsid w:val="67BBE3AE"/>
    <w:rsid w:val="67BC0179"/>
    <w:rsid w:val="67BD9B5B"/>
    <w:rsid w:val="67BE3F30"/>
    <w:rsid w:val="67BEB97C"/>
    <w:rsid w:val="67BECAB9"/>
    <w:rsid w:val="67BF918C"/>
    <w:rsid w:val="67BFD2C7"/>
    <w:rsid w:val="67C013C8"/>
    <w:rsid w:val="67C01733"/>
    <w:rsid w:val="67C05643"/>
    <w:rsid w:val="67C05D08"/>
    <w:rsid w:val="67C117FF"/>
    <w:rsid w:val="67C14E95"/>
    <w:rsid w:val="67C2A1DF"/>
    <w:rsid w:val="67C2D71D"/>
    <w:rsid w:val="67C2DBBF"/>
    <w:rsid w:val="67C397F0"/>
    <w:rsid w:val="67C44E44"/>
    <w:rsid w:val="67C4951E"/>
    <w:rsid w:val="67C5C7B8"/>
    <w:rsid w:val="67C5DBB5"/>
    <w:rsid w:val="67C5E808"/>
    <w:rsid w:val="67C6CC9D"/>
    <w:rsid w:val="67C746BC"/>
    <w:rsid w:val="67C81794"/>
    <w:rsid w:val="67CADA64"/>
    <w:rsid w:val="67CAED6D"/>
    <w:rsid w:val="67CB1565"/>
    <w:rsid w:val="67CB3EF7"/>
    <w:rsid w:val="67CC43A2"/>
    <w:rsid w:val="67CFB7C3"/>
    <w:rsid w:val="67D0A3CC"/>
    <w:rsid w:val="67D0AD32"/>
    <w:rsid w:val="67D17EAA"/>
    <w:rsid w:val="67D32AD8"/>
    <w:rsid w:val="67D33AFA"/>
    <w:rsid w:val="67D36E89"/>
    <w:rsid w:val="67D398BF"/>
    <w:rsid w:val="67D41CC8"/>
    <w:rsid w:val="67D44BDB"/>
    <w:rsid w:val="67D5386D"/>
    <w:rsid w:val="67D546FF"/>
    <w:rsid w:val="67D6CFBD"/>
    <w:rsid w:val="67D72241"/>
    <w:rsid w:val="67D73C56"/>
    <w:rsid w:val="67D828DD"/>
    <w:rsid w:val="67D8A744"/>
    <w:rsid w:val="67D8BC49"/>
    <w:rsid w:val="67DA05CE"/>
    <w:rsid w:val="67DAA863"/>
    <w:rsid w:val="67DAFD47"/>
    <w:rsid w:val="67DB13D5"/>
    <w:rsid w:val="67DB3BEE"/>
    <w:rsid w:val="67DB7443"/>
    <w:rsid w:val="67DC4AAE"/>
    <w:rsid w:val="67DD098B"/>
    <w:rsid w:val="67DD17F6"/>
    <w:rsid w:val="67DD1A0D"/>
    <w:rsid w:val="67DD89E0"/>
    <w:rsid w:val="67DDC656"/>
    <w:rsid w:val="67DF4831"/>
    <w:rsid w:val="67E0111A"/>
    <w:rsid w:val="67E04608"/>
    <w:rsid w:val="67E04879"/>
    <w:rsid w:val="67E1039A"/>
    <w:rsid w:val="67E1D700"/>
    <w:rsid w:val="67E2272C"/>
    <w:rsid w:val="67E23EE5"/>
    <w:rsid w:val="67E26F08"/>
    <w:rsid w:val="67E2DC45"/>
    <w:rsid w:val="67E2F244"/>
    <w:rsid w:val="67E3D077"/>
    <w:rsid w:val="67E40148"/>
    <w:rsid w:val="67E5ED0B"/>
    <w:rsid w:val="67E651D9"/>
    <w:rsid w:val="67E67265"/>
    <w:rsid w:val="67E724A1"/>
    <w:rsid w:val="67E8A621"/>
    <w:rsid w:val="67E92042"/>
    <w:rsid w:val="67E9B9F8"/>
    <w:rsid w:val="67E9F647"/>
    <w:rsid w:val="67EAAC4B"/>
    <w:rsid w:val="67EADBA6"/>
    <w:rsid w:val="67EB2B6E"/>
    <w:rsid w:val="67EB37AC"/>
    <w:rsid w:val="67EC0B82"/>
    <w:rsid w:val="67ECC45E"/>
    <w:rsid w:val="67EDC4B2"/>
    <w:rsid w:val="67EECC38"/>
    <w:rsid w:val="67EEDDFC"/>
    <w:rsid w:val="67EFB771"/>
    <w:rsid w:val="67EFD6D2"/>
    <w:rsid w:val="67F1A3F4"/>
    <w:rsid w:val="67F20151"/>
    <w:rsid w:val="67F28244"/>
    <w:rsid w:val="67F2D516"/>
    <w:rsid w:val="67F32552"/>
    <w:rsid w:val="67F4F9C0"/>
    <w:rsid w:val="67F5720B"/>
    <w:rsid w:val="67F63EE6"/>
    <w:rsid w:val="67F74560"/>
    <w:rsid w:val="67F7E228"/>
    <w:rsid w:val="67F80643"/>
    <w:rsid w:val="67F80F00"/>
    <w:rsid w:val="67F81D9E"/>
    <w:rsid w:val="67F82B8E"/>
    <w:rsid w:val="67F85480"/>
    <w:rsid w:val="67F8903A"/>
    <w:rsid w:val="67F91430"/>
    <w:rsid w:val="67FA387D"/>
    <w:rsid w:val="67FA4D0D"/>
    <w:rsid w:val="67FA8EB6"/>
    <w:rsid w:val="67FAC562"/>
    <w:rsid w:val="67FB0480"/>
    <w:rsid w:val="67FB1FCF"/>
    <w:rsid w:val="67FB4C9D"/>
    <w:rsid w:val="67FC18DD"/>
    <w:rsid w:val="67FC9806"/>
    <w:rsid w:val="67FD2050"/>
    <w:rsid w:val="67FD5EA1"/>
    <w:rsid w:val="67FD8244"/>
    <w:rsid w:val="67FE2836"/>
    <w:rsid w:val="67FEA4F2"/>
    <w:rsid w:val="67FEAA16"/>
    <w:rsid w:val="67FF5937"/>
    <w:rsid w:val="67FFDC1D"/>
    <w:rsid w:val="67FFEC44"/>
    <w:rsid w:val="6801EB35"/>
    <w:rsid w:val="6802F598"/>
    <w:rsid w:val="68036232"/>
    <w:rsid w:val="680494D3"/>
    <w:rsid w:val="68049590"/>
    <w:rsid w:val="6804981F"/>
    <w:rsid w:val="6804ECAD"/>
    <w:rsid w:val="68051821"/>
    <w:rsid w:val="6805AB56"/>
    <w:rsid w:val="680600BF"/>
    <w:rsid w:val="680610BC"/>
    <w:rsid w:val="6806A331"/>
    <w:rsid w:val="680794C6"/>
    <w:rsid w:val="6808080B"/>
    <w:rsid w:val="68085D55"/>
    <w:rsid w:val="6808DF21"/>
    <w:rsid w:val="68090D83"/>
    <w:rsid w:val="680A3A80"/>
    <w:rsid w:val="680ABB40"/>
    <w:rsid w:val="680AC7A5"/>
    <w:rsid w:val="680AE2B9"/>
    <w:rsid w:val="680C4D23"/>
    <w:rsid w:val="680CEDE8"/>
    <w:rsid w:val="680D2F06"/>
    <w:rsid w:val="680DDAB8"/>
    <w:rsid w:val="680ED055"/>
    <w:rsid w:val="680F95FE"/>
    <w:rsid w:val="680FADCC"/>
    <w:rsid w:val="68105D51"/>
    <w:rsid w:val="68107979"/>
    <w:rsid w:val="681159E2"/>
    <w:rsid w:val="6812DE92"/>
    <w:rsid w:val="68130945"/>
    <w:rsid w:val="6813DF27"/>
    <w:rsid w:val="6814E1B3"/>
    <w:rsid w:val="68156412"/>
    <w:rsid w:val="6815DC82"/>
    <w:rsid w:val="6816E7D7"/>
    <w:rsid w:val="68172321"/>
    <w:rsid w:val="68173CAA"/>
    <w:rsid w:val="681777E6"/>
    <w:rsid w:val="681789D4"/>
    <w:rsid w:val="6817A314"/>
    <w:rsid w:val="6817AA63"/>
    <w:rsid w:val="68183C4F"/>
    <w:rsid w:val="6818C7B7"/>
    <w:rsid w:val="68191C54"/>
    <w:rsid w:val="681982AD"/>
    <w:rsid w:val="681A1252"/>
    <w:rsid w:val="681A436A"/>
    <w:rsid w:val="681A87C8"/>
    <w:rsid w:val="681B177D"/>
    <w:rsid w:val="681B2B56"/>
    <w:rsid w:val="681BA6FD"/>
    <w:rsid w:val="681C7162"/>
    <w:rsid w:val="681CC82A"/>
    <w:rsid w:val="681CD56A"/>
    <w:rsid w:val="681D222C"/>
    <w:rsid w:val="681D4CC9"/>
    <w:rsid w:val="681D5F56"/>
    <w:rsid w:val="681DDA0D"/>
    <w:rsid w:val="681E2549"/>
    <w:rsid w:val="681E6CD4"/>
    <w:rsid w:val="681EA63B"/>
    <w:rsid w:val="681F0442"/>
    <w:rsid w:val="681FDE0B"/>
    <w:rsid w:val="68221D16"/>
    <w:rsid w:val="6822F9B8"/>
    <w:rsid w:val="68240171"/>
    <w:rsid w:val="682440FE"/>
    <w:rsid w:val="6824A95E"/>
    <w:rsid w:val="68250B73"/>
    <w:rsid w:val="6826810B"/>
    <w:rsid w:val="6826E10E"/>
    <w:rsid w:val="682799DB"/>
    <w:rsid w:val="68288343"/>
    <w:rsid w:val="6828A6DA"/>
    <w:rsid w:val="68292217"/>
    <w:rsid w:val="682A74EB"/>
    <w:rsid w:val="682C7A0D"/>
    <w:rsid w:val="682DCAD0"/>
    <w:rsid w:val="682E63EF"/>
    <w:rsid w:val="682F6B49"/>
    <w:rsid w:val="6830EFD2"/>
    <w:rsid w:val="683124FB"/>
    <w:rsid w:val="68313314"/>
    <w:rsid w:val="683338ED"/>
    <w:rsid w:val="683365AC"/>
    <w:rsid w:val="68337D7A"/>
    <w:rsid w:val="6834245C"/>
    <w:rsid w:val="683424CE"/>
    <w:rsid w:val="68343E3A"/>
    <w:rsid w:val="6834F56F"/>
    <w:rsid w:val="68352BCF"/>
    <w:rsid w:val="6835477C"/>
    <w:rsid w:val="68359363"/>
    <w:rsid w:val="6835B4A6"/>
    <w:rsid w:val="6835CFF1"/>
    <w:rsid w:val="68362195"/>
    <w:rsid w:val="683630A3"/>
    <w:rsid w:val="683670A9"/>
    <w:rsid w:val="6836B9EB"/>
    <w:rsid w:val="6836FD00"/>
    <w:rsid w:val="6837292D"/>
    <w:rsid w:val="6837D370"/>
    <w:rsid w:val="6838314C"/>
    <w:rsid w:val="6838B052"/>
    <w:rsid w:val="6838DBC0"/>
    <w:rsid w:val="68397D5D"/>
    <w:rsid w:val="683A6E73"/>
    <w:rsid w:val="683AB7F5"/>
    <w:rsid w:val="683AFC57"/>
    <w:rsid w:val="683B0BD2"/>
    <w:rsid w:val="683B61C3"/>
    <w:rsid w:val="683BD68C"/>
    <w:rsid w:val="683D10FE"/>
    <w:rsid w:val="683D94ED"/>
    <w:rsid w:val="683DA5B5"/>
    <w:rsid w:val="683DF6B6"/>
    <w:rsid w:val="683E1ABF"/>
    <w:rsid w:val="683E4427"/>
    <w:rsid w:val="683E96A5"/>
    <w:rsid w:val="683E9C0C"/>
    <w:rsid w:val="683EEA52"/>
    <w:rsid w:val="683EFB82"/>
    <w:rsid w:val="683FABC0"/>
    <w:rsid w:val="683FAC82"/>
    <w:rsid w:val="683FF01E"/>
    <w:rsid w:val="683FF532"/>
    <w:rsid w:val="68405F56"/>
    <w:rsid w:val="6841046B"/>
    <w:rsid w:val="6841BD4B"/>
    <w:rsid w:val="6841C378"/>
    <w:rsid w:val="68422EA6"/>
    <w:rsid w:val="6842BF00"/>
    <w:rsid w:val="68432E7F"/>
    <w:rsid w:val="68446658"/>
    <w:rsid w:val="6844B0FA"/>
    <w:rsid w:val="6844DA12"/>
    <w:rsid w:val="68452449"/>
    <w:rsid w:val="68452B9A"/>
    <w:rsid w:val="68476E62"/>
    <w:rsid w:val="6848822C"/>
    <w:rsid w:val="6848AEF1"/>
    <w:rsid w:val="6849A671"/>
    <w:rsid w:val="6849B2DF"/>
    <w:rsid w:val="684A2F01"/>
    <w:rsid w:val="684A5DA7"/>
    <w:rsid w:val="684A944A"/>
    <w:rsid w:val="684BEBAF"/>
    <w:rsid w:val="684DC9B7"/>
    <w:rsid w:val="684E18AE"/>
    <w:rsid w:val="684E74C2"/>
    <w:rsid w:val="684EB0E5"/>
    <w:rsid w:val="684F29B6"/>
    <w:rsid w:val="685077CF"/>
    <w:rsid w:val="68507EFE"/>
    <w:rsid w:val="6850DAC6"/>
    <w:rsid w:val="6851B68A"/>
    <w:rsid w:val="6851E4C6"/>
    <w:rsid w:val="6851FE26"/>
    <w:rsid w:val="6851FF09"/>
    <w:rsid w:val="685233FE"/>
    <w:rsid w:val="68525776"/>
    <w:rsid w:val="685322B1"/>
    <w:rsid w:val="6853327D"/>
    <w:rsid w:val="6855DB47"/>
    <w:rsid w:val="68560078"/>
    <w:rsid w:val="6858515E"/>
    <w:rsid w:val="6859B2A4"/>
    <w:rsid w:val="6859E138"/>
    <w:rsid w:val="685A1002"/>
    <w:rsid w:val="685A5008"/>
    <w:rsid w:val="685A790D"/>
    <w:rsid w:val="685BB4EC"/>
    <w:rsid w:val="685BFDAE"/>
    <w:rsid w:val="685C0FFD"/>
    <w:rsid w:val="685D2478"/>
    <w:rsid w:val="685E280E"/>
    <w:rsid w:val="685E45A4"/>
    <w:rsid w:val="685E69B7"/>
    <w:rsid w:val="685E7593"/>
    <w:rsid w:val="685E98B3"/>
    <w:rsid w:val="685FDB84"/>
    <w:rsid w:val="6860144F"/>
    <w:rsid w:val="686029B4"/>
    <w:rsid w:val="68604D39"/>
    <w:rsid w:val="6861B382"/>
    <w:rsid w:val="68623F52"/>
    <w:rsid w:val="6862B9AF"/>
    <w:rsid w:val="686334F9"/>
    <w:rsid w:val="6863DBEB"/>
    <w:rsid w:val="6863F31C"/>
    <w:rsid w:val="6863F67D"/>
    <w:rsid w:val="686423AD"/>
    <w:rsid w:val="68642F06"/>
    <w:rsid w:val="6865234C"/>
    <w:rsid w:val="6865386B"/>
    <w:rsid w:val="6865ED33"/>
    <w:rsid w:val="68663ACE"/>
    <w:rsid w:val="68664729"/>
    <w:rsid w:val="68665D53"/>
    <w:rsid w:val="6866FEFB"/>
    <w:rsid w:val="68682A81"/>
    <w:rsid w:val="6868C519"/>
    <w:rsid w:val="68691117"/>
    <w:rsid w:val="68691D40"/>
    <w:rsid w:val="68699B03"/>
    <w:rsid w:val="6869B426"/>
    <w:rsid w:val="686AB840"/>
    <w:rsid w:val="686B755F"/>
    <w:rsid w:val="686BD422"/>
    <w:rsid w:val="686D36BE"/>
    <w:rsid w:val="686DA6C3"/>
    <w:rsid w:val="686DB06B"/>
    <w:rsid w:val="686FFCF9"/>
    <w:rsid w:val="6870716C"/>
    <w:rsid w:val="687123FD"/>
    <w:rsid w:val="6872CF23"/>
    <w:rsid w:val="68734BEA"/>
    <w:rsid w:val="68738051"/>
    <w:rsid w:val="68763192"/>
    <w:rsid w:val="6877A67B"/>
    <w:rsid w:val="6877BE2D"/>
    <w:rsid w:val="6878770C"/>
    <w:rsid w:val="6879AD58"/>
    <w:rsid w:val="687A0416"/>
    <w:rsid w:val="687A3999"/>
    <w:rsid w:val="687A791C"/>
    <w:rsid w:val="687ABAAD"/>
    <w:rsid w:val="687E2BDB"/>
    <w:rsid w:val="68800EF9"/>
    <w:rsid w:val="68804FE4"/>
    <w:rsid w:val="6881AC7E"/>
    <w:rsid w:val="6881DFF7"/>
    <w:rsid w:val="6881F934"/>
    <w:rsid w:val="68830BB3"/>
    <w:rsid w:val="6883736D"/>
    <w:rsid w:val="6883DD81"/>
    <w:rsid w:val="6883F88E"/>
    <w:rsid w:val="68841F5D"/>
    <w:rsid w:val="6884687B"/>
    <w:rsid w:val="68850936"/>
    <w:rsid w:val="68863618"/>
    <w:rsid w:val="68871930"/>
    <w:rsid w:val="68874A24"/>
    <w:rsid w:val="6888FB06"/>
    <w:rsid w:val="688982F5"/>
    <w:rsid w:val="688A4A98"/>
    <w:rsid w:val="688A5978"/>
    <w:rsid w:val="688B494F"/>
    <w:rsid w:val="688B7BD3"/>
    <w:rsid w:val="688BEAD4"/>
    <w:rsid w:val="688C39C0"/>
    <w:rsid w:val="688CB1F2"/>
    <w:rsid w:val="688CBAA3"/>
    <w:rsid w:val="688D2E59"/>
    <w:rsid w:val="688DBB24"/>
    <w:rsid w:val="688EA0D6"/>
    <w:rsid w:val="688F0314"/>
    <w:rsid w:val="688F3EF3"/>
    <w:rsid w:val="688FA7E3"/>
    <w:rsid w:val="688FE684"/>
    <w:rsid w:val="6890B91D"/>
    <w:rsid w:val="6890D6B1"/>
    <w:rsid w:val="6890E156"/>
    <w:rsid w:val="68911510"/>
    <w:rsid w:val="6891360F"/>
    <w:rsid w:val="68917C82"/>
    <w:rsid w:val="689200CF"/>
    <w:rsid w:val="68926ED2"/>
    <w:rsid w:val="689295CC"/>
    <w:rsid w:val="68934A52"/>
    <w:rsid w:val="68936BFF"/>
    <w:rsid w:val="68937344"/>
    <w:rsid w:val="6893E2C3"/>
    <w:rsid w:val="6893FAC4"/>
    <w:rsid w:val="6894DED9"/>
    <w:rsid w:val="689521AB"/>
    <w:rsid w:val="6895D77F"/>
    <w:rsid w:val="68979B65"/>
    <w:rsid w:val="6897A862"/>
    <w:rsid w:val="689826E2"/>
    <w:rsid w:val="6899DBE5"/>
    <w:rsid w:val="6899FFB4"/>
    <w:rsid w:val="689A486C"/>
    <w:rsid w:val="689A5345"/>
    <w:rsid w:val="689B9079"/>
    <w:rsid w:val="689BAFF2"/>
    <w:rsid w:val="689BC404"/>
    <w:rsid w:val="689D28AC"/>
    <w:rsid w:val="689DE67D"/>
    <w:rsid w:val="689E29E0"/>
    <w:rsid w:val="689EADE5"/>
    <w:rsid w:val="689F0CF5"/>
    <w:rsid w:val="689F8B9C"/>
    <w:rsid w:val="689FCE76"/>
    <w:rsid w:val="68A03410"/>
    <w:rsid w:val="68A0E9E0"/>
    <w:rsid w:val="68A195C5"/>
    <w:rsid w:val="68A1C4BA"/>
    <w:rsid w:val="68A1DD7C"/>
    <w:rsid w:val="68A223FF"/>
    <w:rsid w:val="68A22510"/>
    <w:rsid w:val="68A273B3"/>
    <w:rsid w:val="68A32623"/>
    <w:rsid w:val="68A35C32"/>
    <w:rsid w:val="68A4B900"/>
    <w:rsid w:val="68A4D4B8"/>
    <w:rsid w:val="68A51371"/>
    <w:rsid w:val="68A52A82"/>
    <w:rsid w:val="68A56CC7"/>
    <w:rsid w:val="68A5A16A"/>
    <w:rsid w:val="68A5CEB5"/>
    <w:rsid w:val="68A5F9F4"/>
    <w:rsid w:val="68A66313"/>
    <w:rsid w:val="68A73AFB"/>
    <w:rsid w:val="68A74003"/>
    <w:rsid w:val="68A7A906"/>
    <w:rsid w:val="68A8BE37"/>
    <w:rsid w:val="68A8F1FE"/>
    <w:rsid w:val="68A92CEF"/>
    <w:rsid w:val="68A952AC"/>
    <w:rsid w:val="68A9A646"/>
    <w:rsid w:val="68AAB4E6"/>
    <w:rsid w:val="68AB7280"/>
    <w:rsid w:val="68AB91D1"/>
    <w:rsid w:val="68ABA3E5"/>
    <w:rsid w:val="68ABF95F"/>
    <w:rsid w:val="68AC0D45"/>
    <w:rsid w:val="68AD5397"/>
    <w:rsid w:val="68ADFC58"/>
    <w:rsid w:val="68B0A585"/>
    <w:rsid w:val="68B16791"/>
    <w:rsid w:val="68B260F4"/>
    <w:rsid w:val="68B27249"/>
    <w:rsid w:val="68B29D82"/>
    <w:rsid w:val="68B3A2DD"/>
    <w:rsid w:val="68B3C5CA"/>
    <w:rsid w:val="68B3D5D8"/>
    <w:rsid w:val="68B3DBAB"/>
    <w:rsid w:val="68B4B8EF"/>
    <w:rsid w:val="68B5C11D"/>
    <w:rsid w:val="68B608E5"/>
    <w:rsid w:val="68B67514"/>
    <w:rsid w:val="68B67D20"/>
    <w:rsid w:val="68B6F922"/>
    <w:rsid w:val="68B757FE"/>
    <w:rsid w:val="68B770F4"/>
    <w:rsid w:val="68B7CD0E"/>
    <w:rsid w:val="68B89E10"/>
    <w:rsid w:val="68B8D417"/>
    <w:rsid w:val="68B91F27"/>
    <w:rsid w:val="68B93409"/>
    <w:rsid w:val="68B93BA4"/>
    <w:rsid w:val="68B9C7E9"/>
    <w:rsid w:val="68B9F0C9"/>
    <w:rsid w:val="68BA9B5B"/>
    <w:rsid w:val="68BAEEDC"/>
    <w:rsid w:val="68BBB72A"/>
    <w:rsid w:val="68BC62F2"/>
    <w:rsid w:val="68BE518F"/>
    <w:rsid w:val="68BE9592"/>
    <w:rsid w:val="68BECD37"/>
    <w:rsid w:val="68BEEA9D"/>
    <w:rsid w:val="68BF06BF"/>
    <w:rsid w:val="68BFE479"/>
    <w:rsid w:val="68C1DD83"/>
    <w:rsid w:val="68C1FBC4"/>
    <w:rsid w:val="68C34021"/>
    <w:rsid w:val="68C37930"/>
    <w:rsid w:val="68C478E5"/>
    <w:rsid w:val="68C4A36A"/>
    <w:rsid w:val="68C4CBA1"/>
    <w:rsid w:val="68C59F29"/>
    <w:rsid w:val="68C5ADDF"/>
    <w:rsid w:val="68C61C6F"/>
    <w:rsid w:val="68C6AF16"/>
    <w:rsid w:val="68C6E1D9"/>
    <w:rsid w:val="68C742DA"/>
    <w:rsid w:val="68C7FF1C"/>
    <w:rsid w:val="68C82A3E"/>
    <w:rsid w:val="68C87CFE"/>
    <w:rsid w:val="68C9E65C"/>
    <w:rsid w:val="68C9FFEF"/>
    <w:rsid w:val="68CA3290"/>
    <w:rsid w:val="68CAAE7E"/>
    <w:rsid w:val="68CB61E5"/>
    <w:rsid w:val="68CC00FC"/>
    <w:rsid w:val="68CC77EA"/>
    <w:rsid w:val="68CCCB3C"/>
    <w:rsid w:val="68CCD917"/>
    <w:rsid w:val="68CD518E"/>
    <w:rsid w:val="68CD840E"/>
    <w:rsid w:val="68CE61CE"/>
    <w:rsid w:val="68CE94ED"/>
    <w:rsid w:val="68CED2F8"/>
    <w:rsid w:val="68D15FE9"/>
    <w:rsid w:val="68D19316"/>
    <w:rsid w:val="68D1F227"/>
    <w:rsid w:val="68D1FBD9"/>
    <w:rsid w:val="68D2411B"/>
    <w:rsid w:val="68D288E4"/>
    <w:rsid w:val="68D2BBEB"/>
    <w:rsid w:val="68D2E9F3"/>
    <w:rsid w:val="68D306C2"/>
    <w:rsid w:val="68D4386C"/>
    <w:rsid w:val="68D44CD7"/>
    <w:rsid w:val="68D47D94"/>
    <w:rsid w:val="68D4CD01"/>
    <w:rsid w:val="68D50102"/>
    <w:rsid w:val="68D5CCD0"/>
    <w:rsid w:val="68D5FEA0"/>
    <w:rsid w:val="68D6F9B0"/>
    <w:rsid w:val="68D7344F"/>
    <w:rsid w:val="68D81921"/>
    <w:rsid w:val="68D99ADD"/>
    <w:rsid w:val="68DAFB86"/>
    <w:rsid w:val="68DBC811"/>
    <w:rsid w:val="68DBCEF2"/>
    <w:rsid w:val="68DBEAF2"/>
    <w:rsid w:val="68DC0732"/>
    <w:rsid w:val="68DC0ADB"/>
    <w:rsid w:val="68DC747D"/>
    <w:rsid w:val="68DD37A4"/>
    <w:rsid w:val="68DEA2C8"/>
    <w:rsid w:val="68DF0F61"/>
    <w:rsid w:val="68DF2EA2"/>
    <w:rsid w:val="68DF34BB"/>
    <w:rsid w:val="68E098D3"/>
    <w:rsid w:val="68E1107C"/>
    <w:rsid w:val="68E1305D"/>
    <w:rsid w:val="68E147A2"/>
    <w:rsid w:val="68E16DB7"/>
    <w:rsid w:val="68E19B00"/>
    <w:rsid w:val="68E252FE"/>
    <w:rsid w:val="68E2E156"/>
    <w:rsid w:val="68E4BF28"/>
    <w:rsid w:val="68E4EED7"/>
    <w:rsid w:val="68E60E8C"/>
    <w:rsid w:val="68E79D8A"/>
    <w:rsid w:val="68E7C070"/>
    <w:rsid w:val="68E85303"/>
    <w:rsid w:val="68E923AE"/>
    <w:rsid w:val="68E97287"/>
    <w:rsid w:val="68E97AAF"/>
    <w:rsid w:val="68E9905E"/>
    <w:rsid w:val="68EA1A95"/>
    <w:rsid w:val="68EA88BB"/>
    <w:rsid w:val="68EA8C8B"/>
    <w:rsid w:val="68EBA202"/>
    <w:rsid w:val="68EC2E25"/>
    <w:rsid w:val="68ECFC11"/>
    <w:rsid w:val="68ED7132"/>
    <w:rsid w:val="68F0121C"/>
    <w:rsid w:val="68F07D10"/>
    <w:rsid w:val="68F09D59"/>
    <w:rsid w:val="68F09FB2"/>
    <w:rsid w:val="68F0AC4F"/>
    <w:rsid w:val="68F0BC0E"/>
    <w:rsid w:val="68F1745B"/>
    <w:rsid w:val="68F1883F"/>
    <w:rsid w:val="68F1A758"/>
    <w:rsid w:val="68F2D123"/>
    <w:rsid w:val="68F2EDCC"/>
    <w:rsid w:val="68F32246"/>
    <w:rsid w:val="68F34E1F"/>
    <w:rsid w:val="68F3686E"/>
    <w:rsid w:val="68F41013"/>
    <w:rsid w:val="68F468FA"/>
    <w:rsid w:val="68F60E9D"/>
    <w:rsid w:val="68F6771F"/>
    <w:rsid w:val="68F68444"/>
    <w:rsid w:val="68F7EFDB"/>
    <w:rsid w:val="68F7F66D"/>
    <w:rsid w:val="68F8B658"/>
    <w:rsid w:val="68F8BC7F"/>
    <w:rsid w:val="68F983D4"/>
    <w:rsid w:val="68F9FC36"/>
    <w:rsid w:val="68FBB99C"/>
    <w:rsid w:val="68FBF751"/>
    <w:rsid w:val="68FCB901"/>
    <w:rsid w:val="68FD4695"/>
    <w:rsid w:val="68FD7447"/>
    <w:rsid w:val="68FD7917"/>
    <w:rsid w:val="68FD7BBF"/>
    <w:rsid w:val="68FDD9DA"/>
    <w:rsid w:val="68FDEF9C"/>
    <w:rsid w:val="68FE54E9"/>
    <w:rsid w:val="68FF7C4C"/>
    <w:rsid w:val="69001ED2"/>
    <w:rsid w:val="69005584"/>
    <w:rsid w:val="69008B79"/>
    <w:rsid w:val="690102F5"/>
    <w:rsid w:val="690218E1"/>
    <w:rsid w:val="6902F8B3"/>
    <w:rsid w:val="6903B861"/>
    <w:rsid w:val="690438B3"/>
    <w:rsid w:val="6904BC41"/>
    <w:rsid w:val="6904D528"/>
    <w:rsid w:val="6904EF2E"/>
    <w:rsid w:val="690513E9"/>
    <w:rsid w:val="69051421"/>
    <w:rsid w:val="69053827"/>
    <w:rsid w:val="6905C692"/>
    <w:rsid w:val="69063D05"/>
    <w:rsid w:val="6906A38A"/>
    <w:rsid w:val="6906E28B"/>
    <w:rsid w:val="690801D7"/>
    <w:rsid w:val="690801EF"/>
    <w:rsid w:val="690842B5"/>
    <w:rsid w:val="69092BC0"/>
    <w:rsid w:val="69093B9B"/>
    <w:rsid w:val="690969DA"/>
    <w:rsid w:val="690AC05A"/>
    <w:rsid w:val="690B225B"/>
    <w:rsid w:val="690B2C71"/>
    <w:rsid w:val="690BF75B"/>
    <w:rsid w:val="690C6B52"/>
    <w:rsid w:val="690C6F78"/>
    <w:rsid w:val="690CA5EE"/>
    <w:rsid w:val="690CC667"/>
    <w:rsid w:val="690DB61F"/>
    <w:rsid w:val="690DCCC2"/>
    <w:rsid w:val="690EFCFC"/>
    <w:rsid w:val="690F9486"/>
    <w:rsid w:val="690FBAC1"/>
    <w:rsid w:val="691098E5"/>
    <w:rsid w:val="6910B31D"/>
    <w:rsid w:val="69112274"/>
    <w:rsid w:val="691148D4"/>
    <w:rsid w:val="6911E5B4"/>
    <w:rsid w:val="69137111"/>
    <w:rsid w:val="691405E8"/>
    <w:rsid w:val="69145EA1"/>
    <w:rsid w:val="6915274E"/>
    <w:rsid w:val="6915A164"/>
    <w:rsid w:val="69163C08"/>
    <w:rsid w:val="69165826"/>
    <w:rsid w:val="69170C0C"/>
    <w:rsid w:val="69179769"/>
    <w:rsid w:val="6919AA3E"/>
    <w:rsid w:val="6919CC63"/>
    <w:rsid w:val="6919E47D"/>
    <w:rsid w:val="691A230A"/>
    <w:rsid w:val="691A812B"/>
    <w:rsid w:val="691A9817"/>
    <w:rsid w:val="691AE94E"/>
    <w:rsid w:val="691B38CD"/>
    <w:rsid w:val="691B7235"/>
    <w:rsid w:val="691C3DFB"/>
    <w:rsid w:val="691CB1FD"/>
    <w:rsid w:val="691CCEC6"/>
    <w:rsid w:val="691DB355"/>
    <w:rsid w:val="691DC40A"/>
    <w:rsid w:val="691E47B9"/>
    <w:rsid w:val="691F21C9"/>
    <w:rsid w:val="6920B782"/>
    <w:rsid w:val="69211187"/>
    <w:rsid w:val="69216615"/>
    <w:rsid w:val="6921FA20"/>
    <w:rsid w:val="6922A666"/>
    <w:rsid w:val="6922ED97"/>
    <w:rsid w:val="69233427"/>
    <w:rsid w:val="6924772E"/>
    <w:rsid w:val="69252CF5"/>
    <w:rsid w:val="6925D6FC"/>
    <w:rsid w:val="69266631"/>
    <w:rsid w:val="69275A92"/>
    <w:rsid w:val="692826B4"/>
    <w:rsid w:val="692839A0"/>
    <w:rsid w:val="69284F69"/>
    <w:rsid w:val="6929C14F"/>
    <w:rsid w:val="692A08BB"/>
    <w:rsid w:val="692A0FEA"/>
    <w:rsid w:val="692A85B8"/>
    <w:rsid w:val="692ABF44"/>
    <w:rsid w:val="692B0FA5"/>
    <w:rsid w:val="692B2049"/>
    <w:rsid w:val="692CA908"/>
    <w:rsid w:val="692CE211"/>
    <w:rsid w:val="692D6278"/>
    <w:rsid w:val="692DC494"/>
    <w:rsid w:val="692DC856"/>
    <w:rsid w:val="692E18B9"/>
    <w:rsid w:val="692ECEC7"/>
    <w:rsid w:val="692FD231"/>
    <w:rsid w:val="692FDD9F"/>
    <w:rsid w:val="69307193"/>
    <w:rsid w:val="69317BDF"/>
    <w:rsid w:val="6931F613"/>
    <w:rsid w:val="6933775B"/>
    <w:rsid w:val="6933CD1B"/>
    <w:rsid w:val="69344F28"/>
    <w:rsid w:val="693592BE"/>
    <w:rsid w:val="6935BDDA"/>
    <w:rsid w:val="693629BD"/>
    <w:rsid w:val="69366456"/>
    <w:rsid w:val="6936985B"/>
    <w:rsid w:val="6936AB2B"/>
    <w:rsid w:val="69370160"/>
    <w:rsid w:val="69373751"/>
    <w:rsid w:val="6937EF36"/>
    <w:rsid w:val="6938E889"/>
    <w:rsid w:val="69394AD2"/>
    <w:rsid w:val="693980F2"/>
    <w:rsid w:val="6939FF74"/>
    <w:rsid w:val="693AA0EB"/>
    <w:rsid w:val="693B04A0"/>
    <w:rsid w:val="693B2124"/>
    <w:rsid w:val="693BC723"/>
    <w:rsid w:val="693C71DD"/>
    <w:rsid w:val="693DB49E"/>
    <w:rsid w:val="693DCD6E"/>
    <w:rsid w:val="693E82BD"/>
    <w:rsid w:val="693EAACE"/>
    <w:rsid w:val="693EE345"/>
    <w:rsid w:val="693F3FD2"/>
    <w:rsid w:val="694015D6"/>
    <w:rsid w:val="6940FADD"/>
    <w:rsid w:val="69428760"/>
    <w:rsid w:val="6942EB43"/>
    <w:rsid w:val="694346F5"/>
    <w:rsid w:val="6943F86A"/>
    <w:rsid w:val="6945154B"/>
    <w:rsid w:val="694530B0"/>
    <w:rsid w:val="69454D43"/>
    <w:rsid w:val="6945A22B"/>
    <w:rsid w:val="69462351"/>
    <w:rsid w:val="6946338C"/>
    <w:rsid w:val="69467BDB"/>
    <w:rsid w:val="6946A49B"/>
    <w:rsid w:val="69472865"/>
    <w:rsid w:val="6947DE53"/>
    <w:rsid w:val="6947F7F5"/>
    <w:rsid w:val="6948456D"/>
    <w:rsid w:val="6948C3E1"/>
    <w:rsid w:val="6949481B"/>
    <w:rsid w:val="6949E192"/>
    <w:rsid w:val="694A2C8E"/>
    <w:rsid w:val="694A4ADE"/>
    <w:rsid w:val="694A5681"/>
    <w:rsid w:val="694A8C27"/>
    <w:rsid w:val="694ADF9F"/>
    <w:rsid w:val="694B3991"/>
    <w:rsid w:val="694BC8F3"/>
    <w:rsid w:val="694C1404"/>
    <w:rsid w:val="694C3141"/>
    <w:rsid w:val="694CAF26"/>
    <w:rsid w:val="694CF9A2"/>
    <w:rsid w:val="694E6120"/>
    <w:rsid w:val="694ED10F"/>
    <w:rsid w:val="694F3C27"/>
    <w:rsid w:val="694FF3E4"/>
    <w:rsid w:val="69504E07"/>
    <w:rsid w:val="69506254"/>
    <w:rsid w:val="69508F04"/>
    <w:rsid w:val="69510CB0"/>
    <w:rsid w:val="6951E0C8"/>
    <w:rsid w:val="6952CEFB"/>
    <w:rsid w:val="6952E6EC"/>
    <w:rsid w:val="695393FF"/>
    <w:rsid w:val="69544542"/>
    <w:rsid w:val="69545818"/>
    <w:rsid w:val="6954CEB8"/>
    <w:rsid w:val="69554824"/>
    <w:rsid w:val="6955935E"/>
    <w:rsid w:val="6955FA08"/>
    <w:rsid w:val="695606AB"/>
    <w:rsid w:val="695625C4"/>
    <w:rsid w:val="69576D76"/>
    <w:rsid w:val="6957C6AB"/>
    <w:rsid w:val="69594303"/>
    <w:rsid w:val="6959AE00"/>
    <w:rsid w:val="6959B9EE"/>
    <w:rsid w:val="695AD376"/>
    <w:rsid w:val="695B4EBD"/>
    <w:rsid w:val="695B80FD"/>
    <w:rsid w:val="695BCC6D"/>
    <w:rsid w:val="695C082F"/>
    <w:rsid w:val="695C173E"/>
    <w:rsid w:val="695C753E"/>
    <w:rsid w:val="695CAA6B"/>
    <w:rsid w:val="695DACA2"/>
    <w:rsid w:val="695DCF3C"/>
    <w:rsid w:val="695E01DC"/>
    <w:rsid w:val="695E25C3"/>
    <w:rsid w:val="695E55EB"/>
    <w:rsid w:val="695E86A5"/>
    <w:rsid w:val="695F37C5"/>
    <w:rsid w:val="695F4874"/>
    <w:rsid w:val="695F528A"/>
    <w:rsid w:val="695F6F30"/>
    <w:rsid w:val="69602EF6"/>
    <w:rsid w:val="696062E4"/>
    <w:rsid w:val="6960BCEA"/>
    <w:rsid w:val="6961624A"/>
    <w:rsid w:val="69617490"/>
    <w:rsid w:val="6961ED90"/>
    <w:rsid w:val="69635D14"/>
    <w:rsid w:val="69637204"/>
    <w:rsid w:val="69638FB8"/>
    <w:rsid w:val="69642A3B"/>
    <w:rsid w:val="6965387F"/>
    <w:rsid w:val="69654604"/>
    <w:rsid w:val="69654981"/>
    <w:rsid w:val="6965C2B9"/>
    <w:rsid w:val="6965EEDA"/>
    <w:rsid w:val="6966ACDD"/>
    <w:rsid w:val="6966B5E3"/>
    <w:rsid w:val="6966D21F"/>
    <w:rsid w:val="6966E53F"/>
    <w:rsid w:val="69677865"/>
    <w:rsid w:val="6967FF79"/>
    <w:rsid w:val="69684128"/>
    <w:rsid w:val="69685DC9"/>
    <w:rsid w:val="69688C74"/>
    <w:rsid w:val="6968C2F4"/>
    <w:rsid w:val="6968E9F9"/>
    <w:rsid w:val="69691565"/>
    <w:rsid w:val="6969806D"/>
    <w:rsid w:val="69699890"/>
    <w:rsid w:val="696B78F2"/>
    <w:rsid w:val="696C03B1"/>
    <w:rsid w:val="696C1E20"/>
    <w:rsid w:val="696C729F"/>
    <w:rsid w:val="696C9D66"/>
    <w:rsid w:val="696CEB80"/>
    <w:rsid w:val="696CF334"/>
    <w:rsid w:val="696D10BD"/>
    <w:rsid w:val="696D634E"/>
    <w:rsid w:val="696EA06B"/>
    <w:rsid w:val="696EE848"/>
    <w:rsid w:val="696EED60"/>
    <w:rsid w:val="696F22B9"/>
    <w:rsid w:val="69709A69"/>
    <w:rsid w:val="6970C004"/>
    <w:rsid w:val="6970F6A6"/>
    <w:rsid w:val="697152DE"/>
    <w:rsid w:val="6971613C"/>
    <w:rsid w:val="69719212"/>
    <w:rsid w:val="6971E108"/>
    <w:rsid w:val="697281CB"/>
    <w:rsid w:val="69735B4C"/>
    <w:rsid w:val="69749037"/>
    <w:rsid w:val="6974AB65"/>
    <w:rsid w:val="6975E7E3"/>
    <w:rsid w:val="69768476"/>
    <w:rsid w:val="6976976E"/>
    <w:rsid w:val="69779B94"/>
    <w:rsid w:val="69798CD0"/>
    <w:rsid w:val="697A098E"/>
    <w:rsid w:val="697A3470"/>
    <w:rsid w:val="697AF425"/>
    <w:rsid w:val="697B1EEE"/>
    <w:rsid w:val="697B8104"/>
    <w:rsid w:val="697BB438"/>
    <w:rsid w:val="697BB91B"/>
    <w:rsid w:val="697BBAF3"/>
    <w:rsid w:val="697E19B7"/>
    <w:rsid w:val="697EEA43"/>
    <w:rsid w:val="6980A66A"/>
    <w:rsid w:val="69816CFD"/>
    <w:rsid w:val="6981A9CA"/>
    <w:rsid w:val="6983D574"/>
    <w:rsid w:val="69843B1B"/>
    <w:rsid w:val="6984E837"/>
    <w:rsid w:val="69857098"/>
    <w:rsid w:val="69859D08"/>
    <w:rsid w:val="6985C344"/>
    <w:rsid w:val="698775F3"/>
    <w:rsid w:val="69884A73"/>
    <w:rsid w:val="69887225"/>
    <w:rsid w:val="6988AEFF"/>
    <w:rsid w:val="69898CCC"/>
    <w:rsid w:val="69898CD0"/>
    <w:rsid w:val="6989FFF4"/>
    <w:rsid w:val="698A0192"/>
    <w:rsid w:val="698A458E"/>
    <w:rsid w:val="698A6FBE"/>
    <w:rsid w:val="698A77C8"/>
    <w:rsid w:val="698AB4D8"/>
    <w:rsid w:val="698AD662"/>
    <w:rsid w:val="698B3891"/>
    <w:rsid w:val="698B3990"/>
    <w:rsid w:val="698B71CC"/>
    <w:rsid w:val="698C83DE"/>
    <w:rsid w:val="698CD012"/>
    <w:rsid w:val="698DA9B2"/>
    <w:rsid w:val="698E762A"/>
    <w:rsid w:val="698F5E66"/>
    <w:rsid w:val="698FAA67"/>
    <w:rsid w:val="69900002"/>
    <w:rsid w:val="69901744"/>
    <w:rsid w:val="699022B2"/>
    <w:rsid w:val="69908979"/>
    <w:rsid w:val="6990FB86"/>
    <w:rsid w:val="6991DF8A"/>
    <w:rsid w:val="6991F756"/>
    <w:rsid w:val="69920A89"/>
    <w:rsid w:val="699396C0"/>
    <w:rsid w:val="6994D5ED"/>
    <w:rsid w:val="6996DAF6"/>
    <w:rsid w:val="699851A5"/>
    <w:rsid w:val="699878F9"/>
    <w:rsid w:val="6999CF1E"/>
    <w:rsid w:val="6999FB5F"/>
    <w:rsid w:val="699A382E"/>
    <w:rsid w:val="699A43DF"/>
    <w:rsid w:val="699B1C2E"/>
    <w:rsid w:val="699B9528"/>
    <w:rsid w:val="699B9F48"/>
    <w:rsid w:val="699C2332"/>
    <w:rsid w:val="699CAE34"/>
    <w:rsid w:val="699DB59D"/>
    <w:rsid w:val="699DBC39"/>
    <w:rsid w:val="699E4C52"/>
    <w:rsid w:val="699E9710"/>
    <w:rsid w:val="699EDA38"/>
    <w:rsid w:val="699F3E6E"/>
    <w:rsid w:val="699F70A1"/>
    <w:rsid w:val="699F86A2"/>
    <w:rsid w:val="69A05D31"/>
    <w:rsid w:val="69A0D052"/>
    <w:rsid w:val="69A0E352"/>
    <w:rsid w:val="69A1111E"/>
    <w:rsid w:val="69A18292"/>
    <w:rsid w:val="69A1E6DA"/>
    <w:rsid w:val="69A1F479"/>
    <w:rsid w:val="69A2221D"/>
    <w:rsid w:val="69A39DAD"/>
    <w:rsid w:val="69A560A8"/>
    <w:rsid w:val="69A565CA"/>
    <w:rsid w:val="69A5AD25"/>
    <w:rsid w:val="69A64BF4"/>
    <w:rsid w:val="69A68FAD"/>
    <w:rsid w:val="69A78750"/>
    <w:rsid w:val="69A78936"/>
    <w:rsid w:val="69A7D636"/>
    <w:rsid w:val="69A832F3"/>
    <w:rsid w:val="69A854F4"/>
    <w:rsid w:val="69A8ECCA"/>
    <w:rsid w:val="69A91724"/>
    <w:rsid w:val="69A99A8F"/>
    <w:rsid w:val="69A9D5E0"/>
    <w:rsid w:val="69AA1F92"/>
    <w:rsid w:val="69AA76BC"/>
    <w:rsid w:val="69AA86BF"/>
    <w:rsid w:val="69AAC1BF"/>
    <w:rsid w:val="69AB5087"/>
    <w:rsid w:val="69AB7B06"/>
    <w:rsid w:val="69ABC47E"/>
    <w:rsid w:val="69AC6BF7"/>
    <w:rsid w:val="69AD4127"/>
    <w:rsid w:val="69AD4A73"/>
    <w:rsid w:val="69ADA982"/>
    <w:rsid w:val="69ADD23D"/>
    <w:rsid w:val="69B0F410"/>
    <w:rsid w:val="69B111E5"/>
    <w:rsid w:val="69B19106"/>
    <w:rsid w:val="69B1C26B"/>
    <w:rsid w:val="69B1F1E7"/>
    <w:rsid w:val="69B23961"/>
    <w:rsid w:val="69B341E2"/>
    <w:rsid w:val="69B3650F"/>
    <w:rsid w:val="69B3B8E7"/>
    <w:rsid w:val="69B41A1B"/>
    <w:rsid w:val="69B4809D"/>
    <w:rsid w:val="69B4E525"/>
    <w:rsid w:val="69B5B66F"/>
    <w:rsid w:val="69B5FB7E"/>
    <w:rsid w:val="69B60305"/>
    <w:rsid w:val="69B60A94"/>
    <w:rsid w:val="69B6C900"/>
    <w:rsid w:val="69B7E20D"/>
    <w:rsid w:val="69B82164"/>
    <w:rsid w:val="69B8D17E"/>
    <w:rsid w:val="69BAAB93"/>
    <w:rsid w:val="69BB7F53"/>
    <w:rsid w:val="69BBEE9E"/>
    <w:rsid w:val="69BC057B"/>
    <w:rsid w:val="69BC2150"/>
    <w:rsid w:val="69BC4761"/>
    <w:rsid w:val="69BC4C4D"/>
    <w:rsid w:val="69BCCBE6"/>
    <w:rsid w:val="69BCDED9"/>
    <w:rsid w:val="69BD12D6"/>
    <w:rsid w:val="69BD17F3"/>
    <w:rsid w:val="69BD1AD1"/>
    <w:rsid w:val="69BD23A5"/>
    <w:rsid w:val="69BD3E47"/>
    <w:rsid w:val="69BDB436"/>
    <w:rsid w:val="69BDE035"/>
    <w:rsid w:val="69BFC009"/>
    <w:rsid w:val="69BFC38F"/>
    <w:rsid w:val="69C03525"/>
    <w:rsid w:val="69C114C5"/>
    <w:rsid w:val="69C1CDC5"/>
    <w:rsid w:val="69C248B8"/>
    <w:rsid w:val="69C2A24F"/>
    <w:rsid w:val="69C35CB2"/>
    <w:rsid w:val="69C4C28C"/>
    <w:rsid w:val="69C5FCB1"/>
    <w:rsid w:val="69C6182B"/>
    <w:rsid w:val="69C720F3"/>
    <w:rsid w:val="69C800FB"/>
    <w:rsid w:val="69C82493"/>
    <w:rsid w:val="69C8BC01"/>
    <w:rsid w:val="69C8C3B1"/>
    <w:rsid w:val="69C9D8AE"/>
    <w:rsid w:val="69CA371E"/>
    <w:rsid w:val="69CB21B6"/>
    <w:rsid w:val="69CB9BBD"/>
    <w:rsid w:val="69CBBE92"/>
    <w:rsid w:val="69CD1487"/>
    <w:rsid w:val="69CD52D2"/>
    <w:rsid w:val="69CD6097"/>
    <w:rsid w:val="69CD760D"/>
    <w:rsid w:val="69CE1416"/>
    <w:rsid w:val="69CECCA7"/>
    <w:rsid w:val="69CED56F"/>
    <w:rsid w:val="69D17F3F"/>
    <w:rsid w:val="69D235B0"/>
    <w:rsid w:val="69D29678"/>
    <w:rsid w:val="69D3154A"/>
    <w:rsid w:val="69D3479C"/>
    <w:rsid w:val="69D3DEAF"/>
    <w:rsid w:val="69D4972E"/>
    <w:rsid w:val="69D4F3D6"/>
    <w:rsid w:val="69D54FA0"/>
    <w:rsid w:val="69D5FEB4"/>
    <w:rsid w:val="69D6366D"/>
    <w:rsid w:val="69D7EC89"/>
    <w:rsid w:val="69D8D910"/>
    <w:rsid w:val="69D8ECA8"/>
    <w:rsid w:val="69D910FA"/>
    <w:rsid w:val="69D9A1A9"/>
    <w:rsid w:val="69DA98FF"/>
    <w:rsid w:val="69DAD7F6"/>
    <w:rsid w:val="69DB0BEC"/>
    <w:rsid w:val="69DB7DFA"/>
    <w:rsid w:val="69DCA367"/>
    <w:rsid w:val="69DCF1C1"/>
    <w:rsid w:val="69DDB696"/>
    <w:rsid w:val="69DF311D"/>
    <w:rsid w:val="69E0030B"/>
    <w:rsid w:val="69E01120"/>
    <w:rsid w:val="69E04435"/>
    <w:rsid w:val="69E053FE"/>
    <w:rsid w:val="69E0B7A1"/>
    <w:rsid w:val="69E0E8F2"/>
    <w:rsid w:val="69E18B8A"/>
    <w:rsid w:val="69E1C1EB"/>
    <w:rsid w:val="69E2543C"/>
    <w:rsid w:val="69E2CC86"/>
    <w:rsid w:val="69E30120"/>
    <w:rsid w:val="69E30D95"/>
    <w:rsid w:val="69E38C55"/>
    <w:rsid w:val="69E3918D"/>
    <w:rsid w:val="69E3FF73"/>
    <w:rsid w:val="69E52E34"/>
    <w:rsid w:val="69E5ED6B"/>
    <w:rsid w:val="69E65363"/>
    <w:rsid w:val="69E679CF"/>
    <w:rsid w:val="69E68839"/>
    <w:rsid w:val="69E781A0"/>
    <w:rsid w:val="69E800AF"/>
    <w:rsid w:val="69E809BE"/>
    <w:rsid w:val="69E884B7"/>
    <w:rsid w:val="69E9017F"/>
    <w:rsid w:val="69E98C4C"/>
    <w:rsid w:val="69E9CF38"/>
    <w:rsid w:val="69E9D46A"/>
    <w:rsid w:val="69E9F891"/>
    <w:rsid w:val="69EA330B"/>
    <w:rsid w:val="69EA60CA"/>
    <w:rsid w:val="69EA8178"/>
    <w:rsid w:val="69EA9B27"/>
    <w:rsid w:val="69EBCBF6"/>
    <w:rsid w:val="69ED3902"/>
    <w:rsid w:val="69ED91B7"/>
    <w:rsid w:val="69EDDE07"/>
    <w:rsid w:val="69EED85C"/>
    <w:rsid w:val="69EF38B7"/>
    <w:rsid w:val="69EFCDB9"/>
    <w:rsid w:val="69F07A40"/>
    <w:rsid w:val="69F10BDA"/>
    <w:rsid w:val="69F1FA99"/>
    <w:rsid w:val="69F28624"/>
    <w:rsid w:val="69F5FCF2"/>
    <w:rsid w:val="69F6B058"/>
    <w:rsid w:val="69F72C67"/>
    <w:rsid w:val="69F7DE0B"/>
    <w:rsid w:val="69F91CD8"/>
    <w:rsid w:val="69F968A1"/>
    <w:rsid w:val="69F9F429"/>
    <w:rsid w:val="69FB1BE2"/>
    <w:rsid w:val="69FBD550"/>
    <w:rsid w:val="69FC610A"/>
    <w:rsid w:val="69FC67FD"/>
    <w:rsid w:val="69FD22A7"/>
    <w:rsid w:val="69FD76D7"/>
    <w:rsid w:val="69FE710B"/>
    <w:rsid w:val="69FEBC16"/>
    <w:rsid w:val="69FF3C27"/>
    <w:rsid w:val="69FF586E"/>
    <w:rsid w:val="6A0024F5"/>
    <w:rsid w:val="6A00B562"/>
    <w:rsid w:val="6A00D6A1"/>
    <w:rsid w:val="6A00FA22"/>
    <w:rsid w:val="6A014A27"/>
    <w:rsid w:val="6A01B0E5"/>
    <w:rsid w:val="6A02CC4D"/>
    <w:rsid w:val="6A02D4A0"/>
    <w:rsid w:val="6A0327A1"/>
    <w:rsid w:val="6A0534F2"/>
    <w:rsid w:val="6A05AB2D"/>
    <w:rsid w:val="6A0646E5"/>
    <w:rsid w:val="6A07F095"/>
    <w:rsid w:val="6A087625"/>
    <w:rsid w:val="6A088714"/>
    <w:rsid w:val="6A09C2C9"/>
    <w:rsid w:val="6A0A0C35"/>
    <w:rsid w:val="6A0A905A"/>
    <w:rsid w:val="6A0AA53E"/>
    <w:rsid w:val="6A0ACDA7"/>
    <w:rsid w:val="6A0B220A"/>
    <w:rsid w:val="6A0B2DAF"/>
    <w:rsid w:val="6A0B6305"/>
    <w:rsid w:val="6A0BCC8B"/>
    <w:rsid w:val="6A0BCF18"/>
    <w:rsid w:val="6A0BD54D"/>
    <w:rsid w:val="6A0BF2CA"/>
    <w:rsid w:val="6A0BFDF1"/>
    <w:rsid w:val="6A0C0AE9"/>
    <w:rsid w:val="6A0C18A7"/>
    <w:rsid w:val="6A0C1D35"/>
    <w:rsid w:val="6A0C4D03"/>
    <w:rsid w:val="6A0D375E"/>
    <w:rsid w:val="6A0D7245"/>
    <w:rsid w:val="6A0EE46A"/>
    <w:rsid w:val="6A0EFB26"/>
    <w:rsid w:val="6A0EFCC3"/>
    <w:rsid w:val="6A0F92B6"/>
    <w:rsid w:val="6A0FA938"/>
    <w:rsid w:val="6A0FA97C"/>
    <w:rsid w:val="6A106E50"/>
    <w:rsid w:val="6A10747D"/>
    <w:rsid w:val="6A108A66"/>
    <w:rsid w:val="6A10D4B7"/>
    <w:rsid w:val="6A11A851"/>
    <w:rsid w:val="6A11BAE2"/>
    <w:rsid w:val="6A11CFD2"/>
    <w:rsid w:val="6A12B3AD"/>
    <w:rsid w:val="6A12E4E7"/>
    <w:rsid w:val="6A1493FD"/>
    <w:rsid w:val="6A167099"/>
    <w:rsid w:val="6A168244"/>
    <w:rsid w:val="6A16DC75"/>
    <w:rsid w:val="6A16FE9A"/>
    <w:rsid w:val="6A17D723"/>
    <w:rsid w:val="6A17E7D2"/>
    <w:rsid w:val="6A18231E"/>
    <w:rsid w:val="6A182B89"/>
    <w:rsid w:val="6A1853D6"/>
    <w:rsid w:val="6A1909FD"/>
    <w:rsid w:val="6A1B6057"/>
    <w:rsid w:val="6A1B9D92"/>
    <w:rsid w:val="6A1BF1A4"/>
    <w:rsid w:val="6A1BFFE1"/>
    <w:rsid w:val="6A1C0601"/>
    <w:rsid w:val="6A1CFD4B"/>
    <w:rsid w:val="6A1D3C42"/>
    <w:rsid w:val="6A1D49FA"/>
    <w:rsid w:val="6A1DB771"/>
    <w:rsid w:val="6A1DDB9D"/>
    <w:rsid w:val="6A1E04FD"/>
    <w:rsid w:val="6A1E1BB3"/>
    <w:rsid w:val="6A1E5CAD"/>
    <w:rsid w:val="6A20488A"/>
    <w:rsid w:val="6A2156FB"/>
    <w:rsid w:val="6A21C48C"/>
    <w:rsid w:val="6A2205BF"/>
    <w:rsid w:val="6A223C2F"/>
    <w:rsid w:val="6A2265D9"/>
    <w:rsid w:val="6A22823D"/>
    <w:rsid w:val="6A22E18B"/>
    <w:rsid w:val="6A235B03"/>
    <w:rsid w:val="6A2413D7"/>
    <w:rsid w:val="6A242D0A"/>
    <w:rsid w:val="6A2432C2"/>
    <w:rsid w:val="6A24A719"/>
    <w:rsid w:val="6A250438"/>
    <w:rsid w:val="6A2543C8"/>
    <w:rsid w:val="6A25F7E3"/>
    <w:rsid w:val="6A266AE3"/>
    <w:rsid w:val="6A268077"/>
    <w:rsid w:val="6A281A4D"/>
    <w:rsid w:val="6A28A0B9"/>
    <w:rsid w:val="6A2938CE"/>
    <w:rsid w:val="6A29E601"/>
    <w:rsid w:val="6A2A4812"/>
    <w:rsid w:val="6A2A4CA9"/>
    <w:rsid w:val="6A2AB1D3"/>
    <w:rsid w:val="6A2AEDE0"/>
    <w:rsid w:val="6A2B7CC2"/>
    <w:rsid w:val="6A2B9DA7"/>
    <w:rsid w:val="6A2C5C30"/>
    <w:rsid w:val="6A2CF7E8"/>
    <w:rsid w:val="6A2D31CA"/>
    <w:rsid w:val="6A2D4C80"/>
    <w:rsid w:val="6A2F1807"/>
    <w:rsid w:val="6A2F6DEE"/>
    <w:rsid w:val="6A307C42"/>
    <w:rsid w:val="6A30D3F6"/>
    <w:rsid w:val="6A30ED69"/>
    <w:rsid w:val="6A311DE1"/>
    <w:rsid w:val="6A321806"/>
    <w:rsid w:val="6A32B136"/>
    <w:rsid w:val="6A32D8FE"/>
    <w:rsid w:val="6A331E5F"/>
    <w:rsid w:val="6A339C5D"/>
    <w:rsid w:val="6A34281C"/>
    <w:rsid w:val="6A344E69"/>
    <w:rsid w:val="6A34761D"/>
    <w:rsid w:val="6A34C109"/>
    <w:rsid w:val="6A359C29"/>
    <w:rsid w:val="6A35CF42"/>
    <w:rsid w:val="6A35D14C"/>
    <w:rsid w:val="6A366EF9"/>
    <w:rsid w:val="6A3683D3"/>
    <w:rsid w:val="6A36BA4F"/>
    <w:rsid w:val="6A37AAEC"/>
    <w:rsid w:val="6A37F829"/>
    <w:rsid w:val="6A381A0B"/>
    <w:rsid w:val="6A38985B"/>
    <w:rsid w:val="6A38B465"/>
    <w:rsid w:val="6A39850E"/>
    <w:rsid w:val="6A39B899"/>
    <w:rsid w:val="6A3A915C"/>
    <w:rsid w:val="6A3ACD52"/>
    <w:rsid w:val="6A3BC68D"/>
    <w:rsid w:val="6A3C9E99"/>
    <w:rsid w:val="6A3CC777"/>
    <w:rsid w:val="6A3D98B3"/>
    <w:rsid w:val="6A3E0C06"/>
    <w:rsid w:val="6A3E7222"/>
    <w:rsid w:val="6A3EBE63"/>
    <w:rsid w:val="6A3F5206"/>
    <w:rsid w:val="6A3F8FE4"/>
    <w:rsid w:val="6A3FA59A"/>
    <w:rsid w:val="6A40D719"/>
    <w:rsid w:val="6A41051A"/>
    <w:rsid w:val="6A410800"/>
    <w:rsid w:val="6A41BEFE"/>
    <w:rsid w:val="6A41D530"/>
    <w:rsid w:val="6A437D9B"/>
    <w:rsid w:val="6A44EB35"/>
    <w:rsid w:val="6A4511F5"/>
    <w:rsid w:val="6A45818A"/>
    <w:rsid w:val="6A45FF4E"/>
    <w:rsid w:val="6A4686D9"/>
    <w:rsid w:val="6A468C7E"/>
    <w:rsid w:val="6A46FB30"/>
    <w:rsid w:val="6A48AEB3"/>
    <w:rsid w:val="6A48F693"/>
    <w:rsid w:val="6A49017A"/>
    <w:rsid w:val="6A492F39"/>
    <w:rsid w:val="6A4972BA"/>
    <w:rsid w:val="6A49ED39"/>
    <w:rsid w:val="6A49F96A"/>
    <w:rsid w:val="6A4A186F"/>
    <w:rsid w:val="6A4A6C25"/>
    <w:rsid w:val="6A4C6463"/>
    <w:rsid w:val="6A4C896A"/>
    <w:rsid w:val="6A4CDCFA"/>
    <w:rsid w:val="6A4D0332"/>
    <w:rsid w:val="6A4D92EA"/>
    <w:rsid w:val="6A4D9DB2"/>
    <w:rsid w:val="6A4E5808"/>
    <w:rsid w:val="6A4F4D14"/>
    <w:rsid w:val="6A4FA15A"/>
    <w:rsid w:val="6A4FCB57"/>
    <w:rsid w:val="6A4FDB0C"/>
    <w:rsid w:val="6A5074CD"/>
    <w:rsid w:val="6A509548"/>
    <w:rsid w:val="6A50AF2C"/>
    <w:rsid w:val="6A50E0B8"/>
    <w:rsid w:val="6A510279"/>
    <w:rsid w:val="6A5146B9"/>
    <w:rsid w:val="6A51D10D"/>
    <w:rsid w:val="6A51DA3B"/>
    <w:rsid w:val="6A5293B0"/>
    <w:rsid w:val="6A52ECC7"/>
    <w:rsid w:val="6A536406"/>
    <w:rsid w:val="6A5390EE"/>
    <w:rsid w:val="6A53CD0E"/>
    <w:rsid w:val="6A54149A"/>
    <w:rsid w:val="6A54CD86"/>
    <w:rsid w:val="6A551C10"/>
    <w:rsid w:val="6A5548CE"/>
    <w:rsid w:val="6A55D442"/>
    <w:rsid w:val="6A562AC8"/>
    <w:rsid w:val="6A5677D1"/>
    <w:rsid w:val="6A568EA1"/>
    <w:rsid w:val="6A570A22"/>
    <w:rsid w:val="6A5799BF"/>
    <w:rsid w:val="6A5807BC"/>
    <w:rsid w:val="6A58E3A6"/>
    <w:rsid w:val="6A5A83FA"/>
    <w:rsid w:val="6A5AAFBE"/>
    <w:rsid w:val="6A5AC844"/>
    <w:rsid w:val="6A5AC9BC"/>
    <w:rsid w:val="6A5AF9DC"/>
    <w:rsid w:val="6A5B554A"/>
    <w:rsid w:val="6A5BB999"/>
    <w:rsid w:val="6A5CB555"/>
    <w:rsid w:val="6A5CC100"/>
    <w:rsid w:val="6A5E3B4E"/>
    <w:rsid w:val="6A5EC134"/>
    <w:rsid w:val="6A5FCD1D"/>
    <w:rsid w:val="6A5FCF84"/>
    <w:rsid w:val="6A605178"/>
    <w:rsid w:val="6A606710"/>
    <w:rsid w:val="6A60776E"/>
    <w:rsid w:val="6A6167CB"/>
    <w:rsid w:val="6A62313C"/>
    <w:rsid w:val="6A62898E"/>
    <w:rsid w:val="6A636874"/>
    <w:rsid w:val="6A63D482"/>
    <w:rsid w:val="6A644B5B"/>
    <w:rsid w:val="6A649F96"/>
    <w:rsid w:val="6A64CA88"/>
    <w:rsid w:val="6A65080F"/>
    <w:rsid w:val="6A65247A"/>
    <w:rsid w:val="6A65B878"/>
    <w:rsid w:val="6A6724D5"/>
    <w:rsid w:val="6A67350A"/>
    <w:rsid w:val="6A676BAE"/>
    <w:rsid w:val="6A67A413"/>
    <w:rsid w:val="6A680830"/>
    <w:rsid w:val="6A6845D9"/>
    <w:rsid w:val="6A68B2A2"/>
    <w:rsid w:val="6A690707"/>
    <w:rsid w:val="6A692D5D"/>
    <w:rsid w:val="6A6A198A"/>
    <w:rsid w:val="6A6A826E"/>
    <w:rsid w:val="6A6A9E80"/>
    <w:rsid w:val="6A6ACC50"/>
    <w:rsid w:val="6A6AD1D7"/>
    <w:rsid w:val="6A6BA0F2"/>
    <w:rsid w:val="6A6BB806"/>
    <w:rsid w:val="6A6BC44D"/>
    <w:rsid w:val="6A6C1FDE"/>
    <w:rsid w:val="6A6C4999"/>
    <w:rsid w:val="6A6CE3B9"/>
    <w:rsid w:val="6A6CF507"/>
    <w:rsid w:val="6A6D7BA2"/>
    <w:rsid w:val="6A6E626D"/>
    <w:rsid w:val="6A6F1C5D"/>
    <w:rsid w:val="6A6F478F"/>
    <w:rsid w:val="6A6F6E40"/>
    <w:rsid w:val="6A700C4F"/>
    <w:rsid w:val="6A707793"/>
    <w:rsid w:val="6A70D2B6"/>
    <w:rsid w:val="6A7180D9"/>
    <w:rsid w:val="6A72030A"/>
    <w:rsid w:val="6A743619"/>
    <w:rsid w:val="6A745E20"/>
    <w:rsid w:val="6A74BC5A"/>
    <w:rsid w:val="6A74D6C3"/>
    <w:rsid w:val="6A7539FE"/>
    <w:rsid w:val="6A75B89A"/>
    <w:rsid w:val="6A75FF7A"/>
    <w:rsid w:val="6A761707"/>
    <w:rsid w:val="6A766377"/>
    <w:rsid w:val="6A7748F8"/>
    <w:rsid w:val="6A77F3CC"/>
    <w:rsid w:val="6A78D1E6"/>
    <w:rsid w:val="6A7903F8"/>
    <w:rsid w:val="6A7954C6"/>
    <w:rsid w:val="6A798B53"/>
    <w:rsid w:val="6A7A7BE6"/>
    <w:rsid w:val="6A7AC1E2"/>
    <w:rsid w:val="6A7AF22F"/>
    <w:rsid w:val="6A7BB87B"/>
    <w:rsid w:val="6A7BC130"/>
    <w:rsid w:val="6A7C9EF4"/>
    <w:rsid w:val="6A7D071A"/>
    <w:rsid w:val="6A7D3C44"/>
    <w:rsid w:val="6A7D6EA4"/>
    <w:rsid w:val="6A7DCEA9"/>
    <w:rsid w:val="6A7E2213"/>
    <w:rsid w:val="6A7E9DAE"/>
    <w:rsid w:val="6A802014"/>
    <w:rsid w:val="6A8035B0"/>
    <w:rsid w:val="6A813D43"/>
    <w:rsid w:val="6A821DD0"/>
    <w:rsid w:val="6A823A69"/>
    <w:rsid w:val="6A828FC4"/>
    <w:rsid w:val="6A831395"/>
    <w:rsid w:val="6A8339BD"/>
    <w:rsid w:val="6A839343"/>
    <w:rsid w:val="6A846F45"/>
    <w:rsid w:val="6A84C3E0"/>
    <w:rsid w:val="6A85012A"/>
    <w:rsid w:val="6A85606A"/>
    <w:rsid w:val="6A85CDD4"/>
    <w:rsid w:val="6A861F93"/>
    <w:rsid w:val="6A8658AA"/>
    <w:rsid w:val="6A86B797"/>
    <w:rsid w:val="6A86F312"/>
    <w:rsid w:val="6A8759F5"/>
    <w:rsid w:val="6A87A13C"/>
    <w:rsid w:val="6A87ACA3"/>
    <w:rsid w:val="6A88D7A5"/>
    <w:rsid w:val="6A895919"/>
    <w:rsid w:val="6A898EEE"/>
    <w:rsid w:val="6A8A0777"/>
    <w:rsid w:val="6A8A4955"/>
    <w:rsid w:val="6A8A4B0E"/>
    <w:rsid w:val="6A8C4723"/>
    <w:rsid w:val="6A8C9D15"/>
    <w:rsid w:val="6A8D101B"/>
    <w:rsid w:val="6A8D4CCE"/>
    <w:rsid w:val="6A8DD4AF"/>
    <w:rsid w:val="6A8DF265"/>
    <w:rsid w:val="6A8E1E0A"/>
    <w:rsid w:val="6A8E4867"/>
    <w:rsid w:val="6A8EF9AF"/>
    <w:rsid w:val="6A8FE51A"/>
    <w:rsid w:val="6A901FDD"/>
    <w:rsid w:val="6A902C95"/>
    <w:rsid w:val="6A904699"/>
    <w:rsid w:val="6A904969"/>
    <w:rsid w:val="6A90D1ED"/>
    <w:rsid w:val="6A9143BA"/>
    <w:rsid w:val="6A929AA5"/>
    <w:rsid w:val="6A930946"/>
    <w:rsid w:val="6A930E14"/>
    <w:rsid w:val="6A937463"/>
    <w:rsid w:val="6A958926"/>
    <w:rsid w:val="6A959FC0"/>
    <w:rsid w:val="6A9626F7"/>
    <w:rsid w:val="6A972628"/>
    <w:rsid w:val="6A9745F3"/>
    <w:rsid w:val="6A97469F"/>
    <w:rsid w:val="6A98E32A"/>
    <w:rsid w:val="6A9902E3"/>
    <w:rsid w:val="6A99990F"/>
    <w:rsid w:val="6A9A4BD3"/>
    <w:rsid w:val="6A9A5518"/>
    <w:rsid w:val="6A9B00EC"/>
    <w:rsid w:val="6A9B5A62"/>
    <w:rsid w:val="6A9BFA50"/>
    <w:rsid w:val="6A9C802E"/>
    <w:rsid w:val="6A9CC6FC"/>
    <w:rsid w:val="6A9D1517"/>
    <w:rsid w:val="6A9DE6EA"/>
    <w:rsid w:val="6A9DF1DE"/>
    <w:rsid w:val="6A9E7AF5"/>
    <w:rsid w:val="6A9EB74F"/>
    <w:rsid w:val="6A9EC742"/>
    <w:rsid w:val="6A9ED02F"/>
    <w:rsid w:val="6A9EEA5D"/>
    <w:rsid w:val="6A9EECAA"/>
    <w:rsid w:val="6A9EF4F7"/>
    <w:rsid w:val="6A9F9B76"/>
    <w:rsid w:val="6A9FFBBF"/>
    <w:rsid w:val="6AA171B4"/>
    <w:rsid w:val="6AA1760D"/>
    <w:rsid w:val="6AA17892"/>
    <w:rsid w:val="6AA1FEA8"/>
    <w:rsid w:val="6AA27F11"/>
    <w:rsid w:val="6AA2E874"/>
    <w:rsid w:val="6AA30A3B"/>
    <w:rsid w:val="6AA313C6"/>
    <w:rsid w:val="6AA33AFC"/>
    <w:rsid w:val="6AA39A68"/>
    <w:rsid w:val="6AA4F416"/>
    <w:rsid w:val="6AA5007C"/>
    <w:rsid w:val="6AA541A7"/>
    <w:rsid w:val="6AA5F8CA"/>
    <w:rsid w:val="6AA74819"/>
    <w:rsid w:val="6AA7C492"/>
    <w:rsid w:val="6AA7E4B4"/>
    <w:rsid w:val="6AA9BDF9"/>
    <w:rsid w:val="6AAA5587"/>
    <w:rsid w:val="6AAA9633"/>
    <w:rsid w:val="6AAAC363"/>
    <w:rsid w:val="6AAB5B6A"/>
    <w:rsid w:val="6AAD29D8"/>
    <w:rsid w:val="6AAD7680"/>
    <w:rsid w:val="6AAE0A01"/>
    <w:rsid w:val="6AAE336D"/>
    <w:rsid w:val="6AAE9621"/>
    <w:rsid w:val="6AAF1ABD"/>
    <w:rsid w:val="6AB05C3D"/>
    <w:rsid w:val="6AB1EA42"/>
    <w:rsid w:val="6AB27ED6"/>
    <w:rsid w:val="6AB2CFD1"/>
    <w:rsid w:val="6AB301AA"/>
    <w:rsid w:val="6AB38F72"/>
    <w:rsid w:val="6AB4733C"/>
    <w:rsid w:val="6AB5771D"/>
    <w:rsid w:val="6AB6106A"/>
    <w:rsid w:val="6AB69C7F"/>
    <w:rsid w:val="6AB7090C"/>
    <w:rsid w:val="6AB7150C"/>
    <w:rsid w:val="6AB7F1A4"/>
    <w:rsid w:val="6AB8A2D7"/>
    <w:rsid w:val="6AB8C9FD"/>
    <w:rsid w:val="6AB95EED"/>
    <w:rsid w:val="6AB9925A"/>
    <w:rsid w:val="6AB9A787"/>
    <w:rsid w:val="6AB9E020"/>
    <w:rsid w:val="6AB9E081"/>
    <w:rsid w:val="6ABA736C"/>
    <w:rsid w:val="6ABADD85"/>
    <w:rsid w:val="6ABBA37E"/>
    <w:rsid w:val="6ABBD500"/>
    <w:rsid w:val="6ABBE1C9"/>
    <w:rsid w:val="6ABC34CD"/>
    <w:rsid w:val="6ABDE775"/>
    <w:rsid w:val="6ABE0205"/>
    <w:rsid w:val="6ABE4C69"/>
    <w:rsid w:val="6ABF1433"/>
    <w:rsid w:val="6ABF63BF"/>
    <w:rsid w:val="6AC0892E"/>
    <w:rsid w:val="6AC0FD56"/>
    <w:rsid w:val="6AC13B0D"/>
    <w:rsid w:val="6AC307BA"/>
    <w:rsid w:val="6AC32F5C"/>
    <w:rsid w:val="6AC351EA"/>
    <w:rsid w:val="6AC40301"/>
    <w:rsid w:val="6AC440B9"/>
    <w:rsid w:val="6AC488D3"/>
    <w:rsid w:val="6AC4B05D"/>
    <w:rsid w:val="6AC57A28"/>
    <w:rsid w:val="6AC5D0DC"/>
    <w:rsid w:val="6AC6E3A4"/>
    <w:rsid w:val="6AC7B234"/>
    <w:rsid w:val="6AC7FC8F"/>
    <w:rsid w:val="6AC85470"/>
    <w:rsid w:val="6AC90D55"/>
    <w:rsid w:val="6AC97BA9"/>
    <w:rsid w:val="6AC99B21"/>
    <w:rsid w:val="6ACA10F1"/>
    <w:rsid w:val="6ACA698A"/>
    <w:rsid w:val="6ACB760A"/>
    <w:rsid w:val="6ACCD27B"/>
    <w:rsid w:val="6ACD4246"/>
    <w:rsid w:val="6ACDB07F"/>
    <w:rsid w:val="6ACDD4F3"/>
    <w:rsid w:val="6ACF643F"/>
    <w:rsid w:val="6AD04C05"/>
    <w:rsid w:val="6AD0FBD4"/>
    <w:rsid w:val="6AD123B5"/>
    <w:rsid w:val="6AD27940"/>
    <w:rsid w:val="6AD2BE0A"/>
    <w:rsid w:val="6AD332D0"/>
    <w:rsid w:val="6AD3986D"/>
    <w:rsid w:val="6AD3AE67"/>
    <w:rsid w:val="6AD3C199"/>
    <w:rsid w:val="6AD46DCC"/>
    <w:rsid w:val="6AD47E18"/>
    <w:rsid w:val="6AD70ACB"/>
    <w:rsid w:val="6AD7C8EB"/>
    <w:rsid w:val="6AD8A69E"/>
    <w:rsid w:val="6AD968D2"/>
    <w:rsid w:val="6AD96FCF"/>
    <w:rsid w:val="6AD9AEDF"/>
    <w:rsid w:val="6AD9D9E6"/>
    <w:rsid w:val="6AD9E8FF"/>
    <w:rsid w:val="6ADAAE5D"/>
    <w:rsid w:val="6ADB1990"/>
    <w:rsid w:val="6ADBD4D6"/>
    <w:rsid w:val="6ADCCA9A"/>
    <w:rsid w:val="6ADD2149"/>
    <w:rsid w:val="6ADD52B9"/>
    <w:rsid w:val="6ADF5011"/>
    <w:rsid w:val="6ADFA533"/>
    <w:rsid w:val="6AE0B17C"/>
    <w:rsid w:val="6AE0BAC1"/>
    <w:rsid w:val="6AE0EA0F"/>
    <w:rsid w:val="6AE0F245"/>
    <w:rsid w:val="6AE15A62"/>
    <w:rsid w:val="6AE19093"/>
    <w:rsid w:val="6AE20D82"/>
    <w:rsid w:val="6AE2AF18"/>
    <w:rsid w:val="6AE2B8BC"/>
    <w:rsid w:val="6AE38093"/>
    <w:rsid w:val="6AE40ED2"/>
    <w:rsid w:val="6AE5E875"/>
    <w:rsid w:val="6AE68B7C"/>
    <w:rsid w:val="6AE6BB15"/>
    <w:rsid w:val="6AE6C483"/>
    <w:rsid w:val="6AE741D7"/>
    <w:rsid w:val="6AE82E45"/>
    <w:rsid w:val="6AE85447"/>
    <w:rsid w:val="6AE867DB"/>
    <w:rsid w:val="6AE89A3F"/>
    <w:rsid w:val="6AE8CA9C"/>
    <w:rsid w:val="6AE8D412"/>
    <w:rsid w:val="6AE91B61"/>
    <w:rsid w:val="6AE9621D"/>
    <w:rsid w:val="6AE9E6BF"/>
    <w:rsid w:val="6AEB13F0"/>
    <w:rsid w:val="6AEB1CE9"/>
    <w:rsid w:val="6AEBA772"/>
    <w:rsid w:val="6AEC1975"/>
    <w:rsid w:val="6AEC561B"/>
    <w:rsid w:val="6AED4671"/>
    <w:rsid w:val="6AED717A"/>
    <w:rsid w:val="6AEF6DFD"/>
    <w:rsid w:val="6AF02FB9"/>
    <w:rsid w:val="6AF09899"/>
    <w:rsid w:val="6AF137A8"/>
    <w:rsid w:val="6AF282A7"/>
    <w:rsid w:val="6AF2AE54"/>
    <w:rsid w:val="6AF317D2"/>
    <w:rsid w:val="6AF366A6"/>
    <w:rsid w:val="6AF37B77"/>
    <w:rsid w:val="6AF3FADB"/>
    <w:rsid w:val="6AF4BF7A"/>
    <w:rsid w:val="6AF4E869"/>
    <w:rsid w:val="6AF54D00"/>
    <w:rsid w:val="6AF56637"/>
    <w:rsid w:val="6AF56B79"/>
    <w:rsid w:val="6AF75661"/>
    <w:rsid w:val="6AF7871D"/>
    <w:rsid w:val="6AF804BC"/>
    <w:rsid w:val="6AF85324"/>
    <w:rsid w:val="6AF95B79"/>
    <w:rsid w:val="6AFA1254"/>
    <w:rsid w:val="6AFA1683"/>
    <w:rsid w:val="6AFA64D0"/>
    <w:rsid w:val="6AFA90FF"/>
    <w:rsid w:val="6AFA91A5"/>
    <w:rsid w:val="6AFB0064"/>
    <w:rsid w:val="6AFB51F9"/>
    <w:rsid w:val="6AFB7D8A"/>
    <w:rsid w:val="6AFBA4DB"/>
    <w:rsid w:val="6AFCEA9D"/>
    <w:rsid w:val="6AFD92C3"/>
    <w:rsid w:val="6AFE27E6"/>
    <w:rsid w:val="6AFE6A58"/>
    <w:rsid w:val="6AFF8CD3"/>
    <w:rsid w:val="6AFFF188"/>
    <w:rsid w:val="6B00A2A3"/>
    <w:rsid w:val="6B01056D"/>
    <w:rsid w:val="6B014F2D"/>
    <w:rsid w:val="6B019141"/>
    <w:rsid w:val="6B01EF0D"/>
    <w:rsid w:val="6B021453"/>
    <w:rsid w:val="6B022505"/>
    <w:rsid w:val="6B0272A4"/>
    <w:rsid w:val="6B03E83E"/>
    <w:rsid w:val="6B052CBA"/>
    <w:rsid w:val="6B053ECB"/>
    <w:rsid w:val="6B0541E3"/>
    <w:rsid w:val="6B05C597"/>
    <w:rsid w:val="6B069BB9"/>
    <w:rsid w:val="6B06A802"/>
    <w:rsid w:val="6B07711F"/>
    <w:rsid w:val="6B07C4E6"/>
    <w:rsid w:val="6B07D159"/>
    <w:rsid w:val="6B08D866"/>
    <w:rsid w:val="6B092A25"/>
    <w:rsid w:val="6B098A71"/>
    <w:rsid w:val="6B099101"/>
    <w:rsid w:val="6B09DD49"/>
    <w:rsid w:val="6B0A20E1"/>
    <w:rsid w:val="6B0AC6EF"/>
    <w:rsid w:val="6B0AD769"/>
    <w:rsid w:val="6B0B3AD9"/>
    <w:rsid w:val="6B0BAAC1"/>
    <w:rsid w:val="6B0C0BF6"/>
    <w:rsid w:val="6B0D8D6F"/>
    <w:rsid w:val="6B0ED0AB"/>
    <w:rsid w:val="6B0F0A0E"/>
    <w:rsid w:val="6B0F62CA"/>
    <w:rsid w:val="6B0F7878"/>
    <w:rsid w:val="6B106CF9"/>
    <w:rsid w:val="6B10764F"/>
    <w:rsid w:val="6B112FB6"/>
    <w:rsid w:val="6B113E89"/>
    <w:rsid w:val="6B1147AF"/>
    <w:rsid w:val="6B117684"/>
    <w:rsid w:val="6B137B80"/>
    <w:rsid w:val="6B139AC3"/>
    <w:rsid w:val="6B145B09"/>
    <w:rsid w:val="6B15FBB0"/>
    <w:rsid w:val="6B1609C4"/>
    <w:rsid w:val="6B161CE8"/>
    <w:rsid w:val="6B16A6A3"/>
    <w:rsid w:val="6B16CAF8"/>
    <w:rsid w:val="6B16EC17"/>
    <w:rsid w:val="6B17D99B"/>
    <w:rsid w:val="6B189973"/>
    <w:rsid w:val="6B18C2C2"/>
    <w:rsid w:val="6B195ED8"/>
    <w:rsid w:val="6B197257"/>
    <w:rsid w:val="6B197A18"/>
    <w:rsid w:val="6B197D11"/>
    <w:rsid w:val="6B1AA84B"/>
    <w:rsid w:val="6B1AF64B"/>
    <w:rsid w:val="6B1B4583"/>
    <w:rsid w:val="6B1B6181"/>
    <w:rsid w:val="6B1BA3D0"/>
    <w:rsid w:val="6B1C947D"/>
    <w:rsid w:val="6B1CDD61"/>
    <w:rsid w:val="6B1D4174"/>
    <w:rsid w:val="6B1D85B9"/>
    <w:rsid w:val="6B1EB485"/>
    <w:rsid w:val="6B1ED8B0"/>
    <w:rsid w:val="6B1EDFF3"/>
    <w:rsid w:val="6B214BD7"/>
    <w:rsid w:val="6B2168AE"/>
    <w:rsid w:val="6B22392A"/>
    <w:rsid w:val="6B22B85A"/>
    <w:rsid w:val="6B23BB21"/>
    <w:rsid w:val="6B23E368"/>
    <w:rsid w:val="6B24BCC3"/>
    <w:rsid w:val="6B2560C3"/>
    <w:rsid w:val="6B259854"/>
    <w:rsid w:val="6B266C21"/>
    <w:rsid w:val="6B26756A"/>
    <w:rsid w:val="6B26CFCD"/>
    <w:rsid w:val="6B277426"/>
    <w:rsid w:val="6B2779BA"/>
    <w:rsid w:val="6B282D4A"/>
    <w:rsid w:val="6B285AF0"/>
    <w:rsid w:val="6B291F04"/>
    <w:rsid w:val="6B296A9B"/>
    <w:rsid w:val="6B2A15C1"/>
    <w:rsid w:val="6B2A5841"/>
    <w:rsid w:val="6B2AC652"/>
    <w:rsid w:val="6B2AD3F9"/>
    <w:rsid w:val="6B2B348D"/>
    <w:rsid w:val="6B2B4CAD"/>
    <w:rsid w:val="6B2DF988"/>
    <w:rsid w:val="6B2E03A1"/>
    <w:rsid w:val="6B2E0CBF"/>
    <w:rsid w:val="6B2E1B34"/>
    <w:rsid w:val="6B2F76FD"/>
    <w:rsid w:val="6B2FA27F"/>
    <w:rsid w:val="6B2FFCC2"/>
    <w:rsid w:val="6B30857E"/>
    <w:rsid w:val="6B30CA83"/>
    <w:rsid w:val="6B319C4A"/>
    <w:rsid w:val="6B31F925"/>
    <w:rsid w:val="6B32775E"/>
    <w:rsid w:val="6B329304"/>
    <w:rsid w:val="6B32D136"/>
    <w:rsid w:val="6B334992"/>
    <w:rsid w:val="6B3440FD"/>
    <w:rsid w:val="6B34A8D8"/>
    <w:rsid w:val="6B34BA49"/>
    <w:rsid w:val="6B34D673"/>
    <w:rsid w:val="6B34EAE8"/>
    <w:rsid w:val="6B3595B5"/>
    <w:rsid w:val="6B35AB46"/>
    <w:rsid w:val="6B35D69A"/>
    <w:rsid w:val="6B35F8D8"/>
    <w:rsid w:val="6B36BC87"/>
    <w:rsid w:val="6B374B25"/>
    <w:rsid w:val="6B37C646"/>
    <w:rsid w:val="6B38C2D1"/>
    <w:rsid w:val="6B398CF9"/>
    <w:rsid w:val="6B39A0DB"/>
    <w:rsid w:val="6B39E26D"/>
    <w:rsid w:val="6B3A25A8"/>
    <w:rsid w:val="6B3A5229"/>
    <w:rsid w:val="6B3A7457"/>
    <w:rsid w:val="6B3A9178"/>
    <w:rsid w:val="6B3AAC82"/>
    <w:rsid w:val="6B3BBE89"/>
    <w:rsid w:val="6B3C0616"/>
    <w:rsid w:val="6B3C29F2"/>
    <w:rsid w:val="6B3C3C04"/>
    <w:rsid w:val="6B3C4E2F"/>
    <w:rsid w:val="6B3DC5CC"/>
    <w:rsid w:val="6B3EDBBA"/>
    <w:rsid w:val="6B3EF881"/>
    <w:rsid w:val="6B3F6A91"/>
    <w:rsid w:val="6B3FA17B"/>
    <w:rsid w:val="6B3FF32F"/>
    <w:rsid w:val="6B400826"/>
    <w:rsid w:val="6B408BF7"/>
    <w:rsid w:val="6B40CD31"/>
    <w:rsid w:val="6B40ECA0"/>
    <w:rsid w:val="6B416943"/>
    <w:rsid w:val="6B42B3A8"/>
    <w:rsid w:val="6B431C47"/>
    <w:rsid w:val="6B43522C"/>
    <w:rsid w:val="6B437F54"/>
    <w:rsid w:val="6B43A875"/>
    <w:rsid w:val="6B44CAD2"/>
    <w:rsid w:val="6B455DC1"/>
    <w:rsid w:val="6B45ABBC"/>
    <w:rsid w:val="6B465A31"/>
    <w:rsid w:val="6B48F6CF"/>
    <w:rsid w:val="6B49420D"/>
    <w:rsid w:val="6B4A9E2E"/>
    <w:rsid w:val="6B4BFB29"/>
    <w:rsid w:val="6B4D2FE7"/>
    <w:rsid w:val="6B4D8C81"/>
    <w:rsid w:val="6B4E757A"/>
    <w:rsid w:val="6B4EA239"/>
    <w:rsid w:val="6B4EC4FA"/>
    <w:rsid w:val="6B507D11"/>
    <w:rsid w:val="6B511BAE"/>
    <w:rsid w:val="6B5124EA"/>
    <w:rsid w:val="6B531F12"/>
    <w:rsid w:val="6B537B25"/>
    <w:rsid w:val="6B54AA51"/>
    <w:rsid w:val="6B5501EE"/>
    <w:rsid w:val="6B55427C"/>
    <w:rsid w:val="6B555B8C"/>
    <w:rsid w:val="6B55B94A"/>
    <w:rsid w:val="6B5835CF"/>
    <w:rsid w:val="6B584CA3"/>
    <w:rsid w:val="6B596105"/>
    <w:rsid w:val="6B597A8E"/>
    <w:rsid w:val="6B598C5E"/>
    <w:rsid w:val="6B59D9A8"/>
    <w:rsid w:val="6B5A56BF"/>
    <w:rsid w:val="6B5A6128"/>
    <w:rsid w:val="6B5B0BBF"/>
    <w:rsid w:val="6B5B3615"/>
    <w:rsid w:val="6B5BC924"/>
    <w:rsid w:val="6B5C1EC3"/>
    <w:rsid w:val="6B5C8DEF"/>
    <w:rsid w:val="6B5CF3AC"/>
    <w:rsid w:val="6B5DEBC4"/>
    <w:rsid w:val="6B5E7EDC"/>
    <w:rsid w:val="6B6104F2"/>
    <w:rsid w:val="6B6108A9"/>
    <w:rsid w:val="6B618EF6"/>
    <w:rsid w:val="6B62157F"/>
    <w:rsid w:val="6B6298FA"/>
    <w:rsid w:val="6B62DBD3"/>
    <w:rsid w:val="6B62EC3C"/>
    <w:rsid w:val="6B62FEEC"/>
    <w:rsid w:val="6B632BDA"/>
    <w:rsid w:val="6B632BE1"/>
    <w:rsid w:val="6B635CF9"/>
    <w:rsid w:val="6B639797"/>
    <w:rsid w:val="6B63A30A"/>
    <w:rsid w:val="6B64A2B9"/>
    <w:rsid w:val="6B64AA6D"/>
    <w:rsid w:val="6B64D823"/>
    <w:rsid w:val="6B660380"/>
    <w:rsid w:val="6B66527A"/>
    <w:rsid w:val="6B6696CF"/>
    <w:rsid w:val="6B68451C"/>
    <w:rsid w:val="6B6852E8"/>
    <w:rsid w:val="6B689EBB"/>
    <w:rsid w:val="6B68BFF1"/>
    <w:rsid w:val="6B690783"/>
    <w:rsid w:val="6B6959E2"/>
    <w:rsid w:val="6B6A4D8A"/>
    <w:rsid w:val="6B6AD3D2"/>
    <w:rsid w:val="6B6B8719"/>
    <w:rsid w:val="6B6B8B19"/>
    <w:rsid w:val="6B6C290A"/>
    <w:rsid w:val="6B6CDB91"/>
    <w:rsid w:val="6B6CFF26"/>
    <w:rsid w:val="6B6DB663"/>
    <w:rsid w:val="6B6E01C0"/>
    <w:rsid w:val="6B6E8C54"/>
    <w:rsid w:val="6B6E9AAC"/>
    <w:rsid w:val="6B6EB081"/>
    <w:rsid w:val="6B6FE222"/>
    <w:rsid w:val="6B700FC2"/>
    <w:rsid w:val="6B70689F"/>
    <w:rsid w:val="6B706CFB"/>
    <w:rsid w:val="6B707DD0"/>
    <w:rsid w:val="6B70DBBE"/>
    <w:rsid w:val="6B7162FC"/>
    <w:rsid w:val="6B7307A4"/>
    <w:rsid w:val="6B7364B3"/>
    <w:rsid w:val="6B736C3C"/>
    <w:rsid w:val="6B75D816"/>
    <w:rsid w:val="6B75F866"/>
    <w:rsid w:val="6B775234"/>
    <w:rsid w:val="6B7765B3"/>
    <w:rsid w:val="6B779C40"/>
    <w:rsid w:val="6B78AEB9"/>
    <w:rsid w:val="6B79149B"/>
    <w:rsid w:val="6B793676"/>
    <w:rsid w:val="6B79CD7B"/>
    <w:rsid w:val="6B7A2372"/>
    <w:rsid w:val="6B7A2F17"/>
    <w:rsid w:val="6B7AAA2C"/>
    <w:rsid w:val="6B7B4510"/>
    <w:rsid w:val="6B7BE2B3"/>
    <w:rsid w:val="6B7C02F0"/>
    <w:rsid w:val="6B7E3D90"/>
    <w:rsid w:val="6B7E5E32"/>
    <w:rsid w:val="6B7F1243"/>
    <w:rsid w:val="6B7F18DE"/>
    <w:rsid w:val="6B7F710F"/>
    <w:rsid w:val="6B809C79"/>
    <w:rsid w:val="6B817A78"/>
    <w:rsid w:val="6B83059D"/>
    <w:rsid w:val="6B83076C"/>
    <w:rsid w:val="6B85F063"/>
    <w:rsid w:val="6B865CA9"/>
    <w:rsid w:val="6B87272F"/>
    <w:rsid w:val="6B8735F2"/>
    <w:rsid w:val="6B87530E"/>
    <w:rsid w:val="6B87F6D0"/>
    <w:rsid w:val="6B88137C"/>
    <w:rsid w:val="6B881C17"/>
    <w:rsid w:val="6B882715"/>
    <w:rsid w:val="6B882B5A"/>
    <w:rsid w:val="6B88FCAD"/>
    <w:rsid w:val="6B89287E"/>
    <w:rsid w:val="6B899175"/>
    <w:rsid w:val="6B89D5A6"/>
    <w:rsid w:val="6B8A1FAC"/>
    <w:rsid w:val="6B8A30FE"/>
    <w:rsid w:val="6B8BAC5C"/>
    <w:rsid w:val="6B8CB478"/>
    <w:rsid w:val="6B8CEF3A"/>
    <w:rsid w:val="6B8D2718"/>
    <w:rsid w:val="6B8E8DCF"/>
    <w:rsid w:val="6B8F22B0"/>
    <w:rsid w:val="6B8FA956"/>
    <w:rsid w:val="6B8FC4B0"/>
    <w:rsid w:val="6B900DBB"/>
    <w:rsid w:val="6B908990"/>
    <w:rsid w:val="6B911D8A"/>
    <w:rsid w:val="6B913786"/>
    <w:rsid w:val="6B91B7AF"/>
    <w:rsid w:val="6B91E486"/>
    <w:rsid w:val="6B94C019"/>
    <w:rsid w:val="6B951298"/>
    <w:rsid w:val="6B952953"/>
    <w:rsid w:val="6B96223E"/>
    <w:rsid w:val="6B969F7A"/>
    <w:rsid w:val="6B9748C4"/>
    <w:rsid w:val="6B974D9C"/>
    <w:rsid w:val="6B97E5B0"/>
    <w:rsid w:val="6B98258D"/>
    <w:rsid w:val="6B984C7C"/>
    <w:rsid w:val="6B98A110"/>
    <w:rsid w:val="6B9A3764"/>
    <w:rsid w:val="6B9A5F5A"/>
    <w:rsid w:val="6B9AD5C2"/>
    <w:rsid w:val="6B9AFC17"/>
    <w:rsid w:val="6B9B135B"/>
    <w:rsid w:val="6B9BF00A"/>
    <w:rsid w:val="6B9BF3CF"/>
    <w:rsid w:val="6B9D124D"/>
    <w:rsid w:val="6B9D268F"/>
    <w:rsid w:val="6B9D463D"/>
    <w:rsid w:val="6B9D64B9"/>
    <w:rsid w:val="6B9E4820"/>
    <w:rsid w:val="6B9E4985"/>
    <w:rsid w:val="6B9E7DCA"/>
    <w:rsid w:val="6B9E8104"/>
    <w:rsid w:val="6B9ED741"/>
    <w:rsid w:val="6B9F222D"/>
    <w:rsid w:val="6B9FE216"/>
    <w:rsid w:val="6BA00AEA"/>
    <w:rsid w:val="6BA132C4"/>
    <w:rsid w:val="6BA14EF9"/>
    <w:rsid w:val="6BA20398"/>
    <w:rsid w:val="6BA216B7"/>
    <w:rsid w:val="6BA257BA"/>
    <w:rsid w:val="6BA2CA98"/>
    <w:rsid w:val="6BA2D71E"/>
    <w:rsid w:val="6BA2EB5B"/>
    <w:rsid w:val="6BA47210"/>
    <w:rsid w:val="6BA4E16C"/>
    <w:rsid w:val="6BA51EBD"/>
    <w:rsid w:val="6BA574AA"/>
    <w:rsid w:val="6BA58F81"/>
    <w:rsid w:val="6BA5B80A"/>
    <w:rsid w:val="6BA67CD2"/>
    <w:rsid w:val="6BA6EA7B"/>
    <w:rsid w:val="6BA7B291"/>
    <w:rsid w:val="6BA7B467"/>
    <w:rsid w:val="6BA82DB6"/>
    <w:rsid w:val="6BA8E6EA"/>
    <w:rsid w:val="6BA9B0B3"/>
    <w:rsid w:val="6BAAB0A9"/>
    <w:rsid w:val="6BAAC703"/>
    <w:rsid w:val="6BAB9415"/>
    <w:rsid w:val="6BACD1AA"/>
    <w:rsid w:val="6BADED01"/>
    <w:rsid w:val="6BAE424E"/>
    <w:rsid w:val="6BAE78D7"/>
    <w:rsid w:val="6BAE7B00"/>
    <w:rsid w:val="6BAF3463"/>
    <w:rsid w:val="6BB009F7"/>
    <w:rsid w:val="6BB02284"/>
    <w:rsid w:val="6BB275FB"/>
    <w:rsid w:val="6BB27FA4"/>
    <w:rsid w:val="6BB29604"/>
    <w:rsid w:val="6BB2DAC9"/>
    <w:rsid w:val="6BB3715F"/>
    <w:rsid w:val="6BB3E2F8"/>
    <w:rsid w:val="6BB3F186"/>
    <w:rsid w:val="6BB4C733"/>
    <w:rsid w:val="6BB5FE8A"/>
    <w:rsid w:val="6BB64661"/>
    <w:rsid w:val="6BB66B41"/>
    <w:rsid w:val="6BB6D44A"/>
    <w:rsid w:val="6BB6E1FE"/>
    <w:rsid w:val="6BB7BD08"/>
    <w:rsid w:val="6BB80469"/>
    <w:rsid w:val="6BB80E47"/>
    <w:rsid w:val="6BB9382C"/>
    <w:rsid w:val="6BB94C22"/>
    <w:rsid w:val="6BB99D98"/>
    <w:rsid w:val="6BBA0205"/>
    <w:rsid w:val="6BBA8EA2"/>
    <w:rsid w:val="6BBB9A2F"/>
    <w:rsid w:val="6BBD1184"/>
    <w:rsid w:val="6BBD9C00"/>
    <w:rsid w:val="6BBDDC7E"/>
    <w:rsid w:val="6BBE523A"/>
    <w:rsid w:val="6BBED79B"/>
    <w:rsid w:val="6BC0D0BB"/>
    <w:rsid w:val="6BC25036"/>
    <w:rsid w:val="6BC2DA82"/>
    <w:rsid w:val="6BC2EA9A"/>
    <w:rsid w:val="6BC330B0"/>
    <w:rsid w:val="6BC33529"/>
    <w:rsid w:val="6BC34F69"/>
    <w:rsid w:val="6BC417B5"/>
    <w:rsid w:val="6BC418FD"/>
    <w:rsid w:val="6BC45182"/>
    <w:rsid w:val="6BC6835F"/>
    <w:rsid w:val="6BC752E0"/>
    <w:rsid w:val="6BC7CD60"/>
    <w:rsid w:val="6BC7D5BF"/>
    <w:rsid w:val="6BC80C69"/>
    <w:rsid w:val="6BC8A7FC"/>
    <w:rsid w:val="6BC8CA69"/>
    <w:rsid w:val="6BC9C62A"/>
    <w:rsid w:val="6BC9F0A4"/>
    <w:rsid w:val="6BCA0AA0"/>
    <w:rsid w:val="6BCA0D9A"/>
    <w:rsid w:val="6BCA5F97"/>
    <w:rsid w:val="6BCB2D53"/>
    <w:rsid w:val="6BCC1BFB"/>
    <w:rsid w:val="6BCC7F4A"/>
    <w:rsid w:val="6BCCE81A"/>
    <w:rsid w:val="6BCD2DF3"/>
    <w:rsid w:val="6BCD6C2A"/>
    <w:rsid w:val="6BCDA068"/>
    <w:rsid w:val="6BCDD3BE"/>
    <w:rsid w:val="6BCE813B"/>
    <w:rsid w:val="6BCEB819"/>
    <w:rsid w:val="6BCF244A"/>
    <w:rsid w:val="6BCF8E91"/>
    <w:rsid w:val="6BCFC5AB"/>
    <w:rsid w:val="6BD02C4F"/>
    <w:rsid w:val="6BD04EDF"/>
    <w:rsid w:val="6BD05A1E"/>
    <w:rsid w:val="6BD0FE06"/>
    <w:rsid w:val="6BD2015C"/>
    <w:rsid w:val="6BD297DF"/>
    <w:rsid w:val="6BD2FC25"/>
    <w:rsid w:val="6BD4113C"/>
    <w:rsid w:val="6BD4D9FF"/>
    <w:rsid w:val="6BD4EAFA"/>
    <w:rsid w:val="6BD5B3D3"/>
    <w:rsid w:val="6BD63CC0"/>
    <w:rsid w:val="6BD6FBE0"/>
    <w:rsid w:val="6BD7A996"/>
    <w:rsid w:val="6BD7C5BF"/>
    <w:rsid w:val="6BD7F608"/>
    <w:rsid w:val="6BD820A3"/>
    <w:rsid w:val="6BD8B643"/>
    <w:rsid w:val="6BD91BAF"/>
    <w:rsid w:val="6BD99AF8"/>
    <w:rsid w:val="6BDA37E8"/>
    <w:rsid w:val="6BDA6B6E"/>
    <w:rsid w:val="6BDAA356"/>
    <w:rsid w:val="6BDAB60C"/>
    <w:rsid w:val="6BDB6BEB"/>
    <w:rsid w:val="6BDB7793"/>
    <w:rsid w:val="6BDBE046"/>
    <w:rsid w:val="6BDC5E56"/>
    <w:rsid w:val="6BDC705F"/>
    <w:rsid w:val="6BDCA887"/>
    <w:rsid w:val="6BDDB07C"/>
    <w:rsid w:val="6BDE17DC"/>
    <w:rsid w:val="6BDE2B20"/>
    <w:rsid w:val="6BDE87CC"/>
    <w:rsid w:val="6BDED4CF"/>
    <w:rsid w:val="6BDF70D2"/>
    <w:rsid w:val="6BE05748"/>
    <w:rsid w:val="6BE06A6F"/>
    <w:rsid w:val="6BE08B7A"/>
    <w:rsid w:val="6BE14DE0"/>
    <w:rsid w:val="6BE1A731"/>
    <w:rsid w:val="6BE217A0"/>
    <w:rsid w:val="6BE22F2A"/>
    <w:rsid w:val="6BE2A492"/>
    <w:rsid w:val="6BE4104B"/>
    <w:rsid w:val="6BE48CF9"/>
    <w:rsid w:val="6BE4AB45"/>
    <w:rsid w:val="6BE54DEC"/>
    <w:rsid w:val="6BE567D7"/>
    <w:rsid w:val="6BE5C89A"/>
    <w:rsid w:val="6BE5D33C"/>
    <w:rsid w:val="6BE63F83"/>
    <w:rsid w:val="6BE67DF1"/>
    <w:rsid w:val="6BE7C89A"/>
    <w:rsid w:val="6BE8626B"/>
    <w:rsid w:val="6BEAD48C"/>
    <w:rsid w:val="6BEBA1D9"/>
    <w:rsid w:val="6BEBC154"/>
    <w:rsid w:val="6BEBD21B"/>
    <w:rsid w:val="6BEBE298"/>
    <w:rsid w:val="6BEC3898"/>
    <w:rsid w:val="6BECFBAA"/>
    <w:rsid w:val="6BED6240"/>
    <w:rsid w:val="6BEE0CD5"/>
    <w:rsid w:val="6BEF290A"/>
    <w:rsid w:val="6BEF7661"/>
    <w:rsid w:val="6BEF90E9"/>
    <w:rsid w:val="6BF00B12"/>
    <w:rsid w:val="6BF01E2B"/>
    <w:rsid w:val="6BF06489"/>
    <w:rsid w:val="6BF145DF"/>
    <w:rsid w:val="6BF20E7B"/>
    <w:rsid w:val="6BF2AB88"/>
    <w:rsid w:val="6BF30903"/>
    <w:rsid w:val="6BF3EC86"/>
    <w:rsid w:val="6BF5CFC0"/>
    <w:rsid w:val="6BF5F9A1"/>
    <w:rsid w:val="6BF66ED1"/>
    <w:rsid w:val="6BF68B4B"/>
    <w:rsid w:val="6BF6B875"/>
    <w:rsid w:val="6BF79FA0"/>
    <w:rsid w:val="6BF7D6BC"/>
    <w:rsid w:val="6BF86CE9"/>
    <w:rsid w:val="6BF8EDC9"/>
    <w:rsid w:val="6BF93872"/>
    <w:rsid w:val="6BFA1C22"/>
    <w:rsid w:val="6BFA6EED"/>
    <w:rsid w:val="6BFA790C"/>
    <w:rsid w:val="6BFB5E73"/>
    <w:rsid w:val="6BFBBBE9"/>
    <w:rsid w:val="6BFC3593"/>
    <w:rsid w:val="6BFE0D7C"/>
    <w:rsid w:val="6BFEA631"/>
    <w:rsid w:val="6BFEF13D"/>
    <w:rsid w:val="6BFEF95B"/>
    <w:rsid w:val="6BFF4B3A"/>
    <w:rsid w:val="6BFF6123"/>
    <w:rsid w:val="6C0062FB"/>
    <w:rsid w:val="6C006552"/>
    <w:rsid w:val="6C00850D"/>
    <w:rsid w:val="6C029093"/>
    <w:rsid w:val="6C0377C9"/>
    <w:rsid w:val="6C04A8C9"/>
    <w:rsid w:val="6C05338C"/>
    <w:rsid w:val="6C055443"/>
    <w:rsid w:val="6C05581C"/>
    <w:rsid w:val="6C05C0E4"/>
    <w:rsid w:val="6C05DD30"/>
    <w:rsid w:val="6C06511F"/>
    <w:rsid w:val="6C068943"/>
    <w:rsid w:val="6C068E81"/>
    <w:rsid w:val="6C069DE6"/>
    <w:rsid w:val="6C06DE1A"/>
    <w:rsid w:val="6C06EBC8"/>
    <w:rsid w:val="6C077622"/>
    <w:rsid w:val="6C079F95"/>
    <w:rsid w:val="6C07D9F0"/>
    <w:rsid w:val="6C08D825"/>
    <w:rsid w:val="6C090319"/>
    <w:rsid w:val="6C099327"/>
    <w:rsid w:val="6C09D9EB"/>
    <w:rsid w:val="6C09EC0C"/>
    <w:rsid w:val="6C09F0C4"/>
    <w:rsid w:val="6C0A8263"/>
    <w:rsid w:val="6C0AB21D"/>
    <w:rsid w:val="6C0DA4FF"/>
    <w:rsid w:val="6C0DB5AC"/>
    <w:rsid w:val="6C0DE1F9"/>
    <w:rsid w:val="6C0E0D8B"/>
    <w:rsid w:val="6C0E1C51"/>
    <w:rsid w:val="6C0E6061"/>
    <w:rsid w:val="6C0E755D"/>
    <w:rsid w:val="6C1052C0"/>
    <w:rsid w:val="6C1148ED"/>
    <w:rsid w:val="6C11CF2F"/>
    <w:rsid w:val="6C11ED07"/>
    <w:rsid w:val="6C1319FE"/>
    <w:rsid w:val="6C1375F2"/>
    <w:rsid w:val="6C13B806"/>
    <w:rsid w:val="6C147551"/>
    <w:rsid w:val="6C149AC9"/>
    <w:rsid w:val="6C14A0F8"/>
    <w:rsid w:val="6C14DA0B"/>
    <w:rsid w:val="6C153C13"/>
    <w:rsid w:val="6C1568AF"/>
    <w:rsid w:val="6C15931F"/>
    <w:rsid w:val="6C15C7E5"/>
    <w:rsid w:val="6C162A56"/>
    <w:rsid w:val="6C173FB4"/>
    <w:rsid w:val="6C179C31"/>
    <w:rsid w:val="6C18CEDC"/>
    <w:rsid w:val="6C19286A"/>
    <w:rsid w:val="6C19522F"/>
    <w:rsid w:val="6C19DB21"/>
    <w:rsid w:val="6C1A1C03"/>
    <w:rsid w:val="6C1A680B"/>
    <w:rsid w:val="6C1AD2F7"/>
    <w:rsid w:val="6C1B1806"/>
    <w:rsid w:val="6C1B2826"/>
    <w:rsid w:val="6C1C1065"/>
    <w:rsid w:val="6C1CDFC4"/>
    <w:rsid w:val="6C1CFBE0"/>
    <w:rsid w:val="6C1D828A"/>
    <w:rsid w:val="6C1DC5E1"/>
    <w:rsid w:val="6C1DCF38"/>
    <w:rsid w:val="6C1DF77B"/>
    <w:rsid w:val="6C1DFEE3"/>
    <w:rsid w:val="6C1E3C46"/>
    <w:rsid w:val="6C1E804B"/>
    <w:rsid w:val="6C1F6695"/>
    <w:rsid w:val="6C1FC0FA"/>
    <w:rsid w:val="6C207D24"/>
    <w:rsid w:val="6C208689"/>
    <w:rsid w:val="6C21AA0A"/>
    <w:rsid w:val="6C21EC5D"/>
    <w:rsid w:val="6C22578A"/>
    <w:rsid w:val="6C234E70"/>
    <w:rsid w:val="6C23C8C6"/>
    <w:rsid w:val="6C240855"/>
    <w:rsid w:val="6C245865"/>
    <w:rsid w:val="6C24CC56"/>
    <w:rsid w:val="6C24D4BA"/>
    <w:rsid w:val="6C24F5C0"/>
    <w:rsid w:val="6C2523EB"/>
    <w:rsid w:val="6C253A8C"/>
    <w:rsid w:val="6C25A68D"/>
    <w:rsid w:val="6C25ABDD"/>
    <w:rsid w:val="6C25D899"/>
    <w:rsid w:val="6C265E00"/>
    <w:rsid w:val="6C26E568"/>
    <w:rsid w:val="6C2793C5"/>
    <w:rsid w:val="6C27A54A"/>
    <w:rsid w:val="6C288336"/>
    <w:rsid w:val="6C28C5FA"/>
    <w:rsid w:val="6C296875"/>
    <w:rsid w:val="6C2BE820"/>
    <w:rsid w:val="6C2C0835"/>
    <w:rsid w:val="6C2C19AB"/>
    <w:rsid w:val="6C2C6C6A"/>
    <w:rsid w:val="6C2D067C"/>
    <w:rsid w:val="6C2DBBA6"/>
    <w:rsid w:val="6C2E6B71"/>
    <w:rsid w:val="6C2E7D84"/>
    <w:rsid w:val="6C2FCB16"/>
    <w:rsid w:val="6C30B286"/>
    <w:rsid w:val="6C30B8AC"/>
    <w:rsid w:val="6C313908"/>
    <w:rsid w:val="6C317095"/>
    <w:rsid w:val="6C326632"/>
    <w:rsid w:val="6C32E4E4"/>
    <w:rsid w:val="6C32E786"/>
    <w:rsid w:val="6C334DFF"/>
    <w:rsid w:val="6C33593B"/>
    <w:rsid w:val="6C33EB9C"/>
    <w:rsid w:val="6C342333"/>
    <w:rsid w:val="6C346D00"/>
    <w:rsid w:val="6C34B6F9"/>
    <w:rsid w:val="6C351C5B"/>
    <w:rsid w:val="6C3549D1"/>
    <w:rsid w:val="6C3578B0"/>
    <w:rsid w:val="6C3582C5"/>
    <w:rsid w:val="6C35D20B"/>
    <w:rsid w:val="6C3637D6"/>
    <w:rsid w:val="6C366380"/>
    <w:rsid w:val="6C36C789"/>
    <w:rsid w:val="6C370B52"/>
    <w:rsid w:val="6C376427"/>
    <w:rsid w:val="6C382182"/>
    <w:rsid w:val="6C384AD1"/>
    <w:rsid w:val="6C38FB94"/>
    <w:rsid w:val="6C3A2406"/>
    <w:rsid w:val="6C3A49DE"/>
    <w:rsid w:val="6C3CA56D"/>
    <w:rsid w:val="6C3CE90E"/>
    <w:rsid w:val="6C3E35DD"/>
    <w:rsid w:val="6C3F02E7"/>
    <w:rsid w:val="6C3F327E"/>
    <w:rsid w:val="6C401A9E"/>
    <w:rsid w:val="6C401D47"/>
    <w:rsid w:val="6C405975"/>
    <w:rsid w:val="6C4203C2"/>
    <w:rsid w:val="6C420C9A"/>
    <w:rsid w:val="6C425C55"/>
    <w:rsid w:val="6C42F2CD"/>
    <w:rsid w:val="6C4332F7"/>
    <w:rsid w:val="6C433312"/>
    <w:rsid w:val="6C44A730"/>
    <w:rsid w:val="6C44F789"/>
    <w:rsid w:val="6C464794"/>
    <w:rsid w:val="6C47387D"/>
    <w:rsid w:val="6C48D195"/>
    <w:rsid w:val="6C492EC8"/>
    <w:rsid w:val="6C4A8ADF"/>
    <w:rsid w:val="6C4AE06E"/>
    <w:rsid w:val="6C4AEED1"/>
    <w:rsid w:val="6C4C26C7"/>
    <w:rsid w:val="6C4C5ECA"/>
    <w:rsid w:val="6C4C62AA"/>
    <w:rsid w:val="6C4CB88E"/>
    <w:rsid w:val="6C4DB5A5"/>
    <w:rsid w:val="6C4E7FBB"/>
    <w:rsid w:val="6C4E9285"/>
    <w:rsid w:val="6C4F2287"/>
    <w:rsid w:val="6C4FE133"/>
    <w:rsid w:val="6C500917"/>
    <w:rsid w:val="6C50AF85"/>
    <w:rsid w:val="6C50D5AF"/>
    <w:rsid w:val="6C510F22"/>
    <w:rsid w:val="6C5166C8"/>
    <w:rsid w:val="6C517FF9"/>
    <w:rsid w:val="6C51A994"/>
    <w:rsid w:val="6C52372D"/>
    <w:rsid w:val="6C52CFFF"/>
    <w:rsid w:val="6C52DF6A"/>
    <w:rsid w:val="6C53A661"/>
    <w:rsid w:val="6C53B995"/>
    <w:rsid w:val="6C545BE2"/>
    <w:rsid w:val="6C550474"/>
    <w:rsid w:val="6C552718"/>
    <w:rsid w:val="6C55EE89"/>
    <w:rsid w:val="6C5785A4"/>
    <w:rsid w:val="6C57AEE0"/>
    <w:rsid w:val="6C580C9D"/>
    <w:rsid w:val="6C5877F3"/>
    <w:rsid w:val="6C5AA235"/>
    <w:rsid w:val="6C5BD630"/>
    <w:rsid w:val="6C5C09B9"/>
    <w:rsid w:val="6C5C24A6"/>
    <w:rsid w:val="6C5C2FAA"/>
    <w:rsid w:val="6C5C315A"/>
    <w:rsid w:val="6C5D7A30"/>
    <w:rsid w:val="6C5D93DB"/>
    <w:rsid w:val="6C5DD9E2"/>
    <w:rsid w:val="6C5DDC6D"/>
    <w:rsid w:val="6C5E531F"/>
    <w:rsid w:val="6C5E6222"/>
    <w:rsid w:val="6C5F185D"/>
    <w:rsid w:val="6C600D14"/>
    <w:rsid w:val="6C6013DF"/>
    <w:rsid w:val="6C609472"/>
    <w:rsid w:val="6C60E660"/>
    <w:rsid w:val="6C61410F"/>
    <w:rsid w:val="6C615FBE"/>
    <w:rsid w:val="6C64DD1A"/>
    <w:rsid w:val="6C650152"/>
    <w:rsid w:val="6C66FDDA"/>
    <w:rsid w:val="6C674F74"/>
    <w:rsid w:val="6C680E99"/>
    <w:rsid w:val="6C6813E3"/>
    <w:rsid w:val="6C69C6C0"/>
    <w:rsid w:val="6C69E50A"/>
    <w:rsid w:val="6C69ED61"/>
    <w:rsid w:val="6C6BA37F"/>
    <w:rsid w:val="6C6BE06A"/>
    <w:rsid w:val="6C6C5AA9"/>
    <w:rsid w:val="6C6C808E"/>
    <w:rsid w:val="6C6CF0A4"/>
    <w:rsid w:val="6C6F0331"/>
    <w:rsid w:val="6C6F5BF7"/>
    <w:rsid w:val="6C6F711D"/>
    <w:rsid w:val="6C6FD154"/>
    <w:rsid w:val="6C70A218"/>
    <w:rsid w:val="6C717DB9"/>
    <w:rsid w:val="6C72AA30"/>
    <w:rsid w:val="6C730469"/>
    <w:rsid w:val="6C7448A8"/>
    <w:rsid w:val="6C744FD1"/>
    <w:rsid w:val="6C74AA68"/>
    <w:rsid w:val="6C74C5D0"/>
    <w:rsid w:val="6C74D2AE"/>
    <w:rsid w:val="6C757371"/>
    <w:rsid w:val="6C758838"/>
    <w:rsid w:val="6C762D72"/>
    <w:rsid w:val="6C763798"/>
    <w:rsid w:val="6C76D36F"/>
    <w:rsid w:val="6C772283"/>
    <w:rsid w:val="6C779BDA"/>
    <w:rsid w:val="6C77CAA8"/>
    <w:rsid w:val="6C7893B9"/>
    <w:rsid w:val="6C78B38B"/>
    <w:rsid w:val="6C797543"/>
    <w:rsid w:val="6C7A1734"/>
    <w:rsid w:val="6C7A47C9"/>
    <w:rsid w:val="6C7B446A"/>
    <w:rsid w:val="6C7BC014"/>
    <w:rsid w:val="6C7BF5FC"/>
    <w:rsid w:val="6C7D088E"/>
    <w:rsid w:val="6C7EC338"/>
    <w:rsid w:val="6C7EE97E"/>
    <w:rsid w:val="6C806275"/>
    <w:rsid w:val="6C81A859"/>
    <w:rsid w:val="6C820B6F"/>
    <w:rsid w:val="6C82B058"/>
    <w:rsid w:val="6C82E6B5"/>
    <w:rsid w:val="6C83420A"/>
    <w:rsid w:val="6C842ADC"/>
    <w:rsid w:val="6C85800F"/>
    <w:rsid w:val="6C8637D6"/>
    <w:rsid w:val="6C864544"/>
    <w:rsid w:val="6C867C8C"/>
    <w:rsid w:val="6C874C10"/>
    <w:rsid w:val="6C8926A8"/>
    <w:rsid w:val="6C8A1CEB"/>
    <w:rsid w:val="6C8A7E4F"/>
    <w:rsid w:val="6C8AF2AC"/>
    <w:rsid w:val="6C8C31B5"/>
    <w:rsid w:val="6C8CBAD0"/>
    <w:rsid w:val="6C8CBF3C"/>
    <w:rsid w:val="6C8D8713"/>
    <w:rsid w:val="6C8DAA49"/>
    <w:rsid w:val="6C8DED44"/>
    <w:rsid w:val="6C8E5046"/>
    <w:rsid w:val="6C903043"/>
    <w:rsid w:val="6C904192"/>
    <w:rsid w:val="6C9088D1"/>
    <w:rsid w:val="6C909E46"/>
    <w:rsid w:val="6C90F25C"/>
    <w:rsid w:val="6C90F345"/>
    <w:rsid w:val="6C92BB68"/>
    <w:rsid w:val="6C930F8C"/>
    <w:rsid w:val="6C9388E4"/>
    <w:rsid w:val="6C93F6F8"/>
    <w:rsid w:val="6C947DE9"/>
    <w:rsid w:val="6C9522C5"/>
    <w:rsid w:val="6C9592F3"/>
    <w:rsid w:val="6C9608FB"/>
    <w:rsid w:val="6C9682DE"/>
    <w:rsid w:val="6C96C15C"/>
    <w:rsid w:val="6C97811A"/>
    <w:rsid w:val="6C97A870"/>
    <w:rsid w:val="6C9831B3"/>
    <w:rsid w:val="6C991370"/>
    <w:rsid w:val="6C994ADE"/>
    <w:rsid w:val="6C9A2023"/>
    <w:rsid w:val="6C9ADD4F"/>
    <w:rsid w:val="6C9AE76C"/>
    <w:rsid w:val="6C9AEA62"/>
    <w:rsid w:val="6C9B4395"/>
    <w:rsid w:val="6C9C313E"/>
    <w:rsid w:val="6C9CF0EF"/>
    <w:rsid w:val="6C9D93A5"/>
    <w:rsid w:val="6C9E449B"/>
    <w:rsid w:val="6C9EC4A2"/>
    <w:rsid w:val="6C9F122E"/>
    <w:rsid w:val="6C9F9A63"/>
    <w:rsid w:val="6CA005ED"/>
    <w:rsid w:val="6CA10AB9"/>
    <w:rsid w:val="6CA11D0E"/>
    <w:rsid w:val="6CA184E8"/>
    <w:rsid w:val="6CA1DAF3"/>
    <w:rsid w:val="6CA1DE91"/>
    <w:rsid w:val="6CA441B4"/>
    <w:rsid w:val="6CA49D7F"/>
    <w:rsid w:val="6CA595D6"/>
    <w:rsid w:val="6CA5AAFD"/>
    <w:rsid w:val="6CA5DF07"/>
    <w:rsid w:val="6CA68F4E"/>
    <w:rsid w:val="6CA7ACA6"/>
    <w:rsid w:val="6CA81807"/>
    <w:rsid w:val="6CA82DBD"/>
    <w:rsid w:val="6CA991C2"/>
    <w:rsid w:val="6CAA286D"/>
    <w:rsid w:val="6CABF6C1"/>
    <w:rsid w:val="6CAC0140"/>
    <w:rsid w:val="6CACFF0C"/>
    <w:rsid w:val="6CAD60DD"/>
    <w:rsid w:val="6CAD76C7"/>
    <w:rsid w:val="6CADCF68"/>
    <w:rsid w:val="6CADE88B"/>
    <w:rsid w:val="6CAE47C0"/>
    <w:rsid w:val="6CAE8F9F"/>
    <w:rsid w:val="6CAEAE9A"/>
    <w:rsid w:val="6CAEB46C"/>
    <w:rsid w:val="6CAFCCEA"/>
    <w:rsid w:val="6CB00034"/>
    <w:rsid w:val="6CB00D06"/>
    <w:rsid w:val="6CB00F98"/>
    <w:rsid w:val="6CB0CB25"/>
    <w:rsid w:val="6CB0D8E7"/>
    <w:rsid w:val="6CB0F3DF"/>
    <w:rsid w:val="6CB10E92"/>
    <w:rsid w:val="6CB17511"/>
    <w:rsid w:val="6CB1F184"/>
    <w:rsid w:val="6CB221DB"/>
    <w:rsid w:val="6CB23E97"/>
    <w:rsid w:val="6CB2590A"/>
    <w:rsid w:val="6CB28CA2"/>
    <w:rsid w:val="6CB2CA53"/>
    <w:rsid w:val="6CB302AF"/>
    <w:rsid w:val="6CB4A87A"/>
    <w:rsid w:val="6CB50FB7"/>
    <w:rsid w:val="6CB53079"/>
    <w:rsid w:val="6CB55B74"/>
    <w:rsid w:val="6CB56E36"/>
    <w:rsid w:val="6CB575F2"/>
    <w:rsid w:val="6CB5991F"/>
    <w:rsid w:val="6CB5F515"/>
    <w:rsid w:val="6CB627D1"/>
    <w:rsid w:val="6CB681C3"/>
    <w:rsid w:val="6CB7821B"/>
    <w:rsid w:val="6CB866EC"/>
    <w:rsid w:val="6CB8EE18"/>
    <w:rsid w:val="6CB91D4F"/>
    <w:rsid w:val="6CB9740F"/>
    <w:rsid w:val="6CB9CDEE"/>
    <w:rsid w:val="6CBAA665"/>
    <w:rsid w:val="6CBAB6BB"/>
    <w:rsid w:val="6CBABCDF"/>
    <w:rsid w:val="6CBB38AE"/>
    <w:rsid w:val="6CBC8CAF"/>
    <w:rsid w:val="6CBCB394"/>
    <w:rsid w:val="6CBD2A2F"/>
    <w:rsid w:val="6CBD625C"/>
    <w:rsid w:val="6CBD7CF9"/>
    <w:rsid w:val="6CBE80DD"/>
    <w:rsid w:val="6CBFE3DF"/>
    <w:rsid w:val="6CC1E446"/>
    <w:rsid w:val="6CC23C92"/>
    <w:rsid w:val="6CC26A5D"/>
    <w:rsid w:val="6CC2D961"/>
    <w:rsid w:val="6CC3177B"/>
    <w:rsid w:val="6CC338D4"/>
    <w:rsid w:val="6CC4198F"/>
    <w:rsid w:val="6CC42868"/>
    <w:rsid w:val="6CC463A8"/>
    <w:rsid w:val="6CC4AED6"/>
    <w:rsid w:val="6CC57D65"/>
    <w:rsid w:val="6CC5A722"/>
    <w:rsid w:val="6CC5BD27"/>
    <w:rsid w:val="6CC60C4A"/>
    <w:rsid w:val="6CC6C261"/>
    <w:rsid w:val="6CC6DAEA"/>
    <w:rsid w:val="6CC75C94"/>
    <w:rsid w:val="6CC77740"/>
    <w:rsid w:val="6CC7D6DC"/>
    <w:rsid w:val="6CC7FB0F"/>
    <w:rsid w:val="6CC8345E"/>
    <w:rsid w:val="6CC8E076"/>
    <w:rsid w:val="6CC8FCC2"/>
    <w:rsid w:val="6CC97805"/>
    <w:rsid w:val="6CCAB798"/>
    <w:rsid w:val="6CCC0B5E"/>
    <w:rsid w:val="6CCC6473"/>
    <w:rsid w:val="6CCC9095"/>
    <w:rsid w:val="6CCCCAD1"/>
    <w:rsid w:val="6CCD1503"/>
    <w:rsid w:val="6CCD826D"/>
    <w:rsid w:val="6CCE1CBA"/>
    <w:rsid w:val="6CCE3D28"/>
    <w:rsid w:val="6CCE5ED0"/>
    <w:rsid w:val="6CCF8627"/>
    <w:rsid w:val="6CCF86BE"/>
    <w:rsid w:val="6CCFFD90"/>
    <w:rsid w:val="6CD050AD"/>
    <w:rsid w:val="6CD103E8"/>
    <w:rsid w:val="6CD1047A"/>
    <w:rsid w:val="6CD1A6DB"/>
    <w:rsid w:val="6CD2F755"/>
    <w:rsid w:val="6CD4F355"/>
    <w:rsid w:val="6CD5DB33"/>
    <w:rsid w:val="6CD717D7"/>
    <w:rsid w:val="6CD7BAB6"/>
    <w:rsid w:val="6CD80B4D"/>
    <w:rsid w:val="6CD80ED3"/>
    <w:rsid w:val="6CD89111"/>
    <w:rsid w:val="6CD8952C"/>
    <w:rsid w:val="6CD8B1FB"/>
    <w:rsid w:val="6CD917F2"/>
    <w:rsid w:val="6CD9414B"/>
    <w:rsid w:val="6CD94EB5"/>
    <w:rsid w:val="6CDA01CA"/>
    <w:rsid w:val="6CDA29AC"/>
    <w:rsid w:val="6CDA65BF"/>
    <w:rsid w:val="6CDBF09D"/>
    <w:rsid w:val="6CDCB03B"/>
    <w:rsid w:val="6CDD24E5"/>
    <w:rsid w:val="6CDE77DF"/>
    <w:rsid w:val="6CDF6AC0"/>
    <w:rsid w:val="6CE02554"/>
    <w:rsid w:val="6CE08827"/>
    <w:rsid w:val="6CE0D948"/>
    <w:rsid w:val="6CE13229"/>
    <w:rsid w:val="6CE1A113"/>
    <w:rsid w:val="6CE1ABC1"/>
    <w:rsid w:val="6CE1E7B7"/>
    <w:rsid w:val="6CE3E985"/>
    <w:rsid w:val="6CE5ECB6"/>
    <w:rsid w:val="6CE717C3"/>
    <w:rsid w:val="6CE71FCF"/>
    <w:rsid w:val="6CE7FC66"/>
    <w:rsid w:val="6CE8F130"/>
    <w:rsid w:val="6CE9158E"/>
    <w:rsid w:val="6CEA38F0"/>
    <w:rsid w:val="6CEA40DE"/>
    <w:rsid w:val="6CEA4E1A"/>
    <w:rsid w:val="6CEB7DD0"/>
    <w:rsid w:val="6CEBF35C"/>
    <w:rsid w:val="6CEC7A06"/>
    <w:rsid w:val="6CEC9672"/>
    <w:rsid w:val="6CECEDE7"/>
    <w:rsid w:val="6CED739C"/>
    <w:rsid w:val="6CEE44FF"/>
    <w:rsid w:val="6CF023DA"/>
    <w:rsid w:val="6CF2DD48"/>
    <w:rsid w:val="6CF2EFC3"/>
    <w:rsid w:val="6CF2FF1A"/>
    <w:rsid w:val="6CF2FF1B"/>
    <w:rsid w:val="6CF446D6"/>
    <w:rsid w:val="6CF45595"/>
    <w:rsid w:val="6CF474FE"/>
    <w:rsid w:val="6CF4BAC8"/>
    <w:rsid w:val="6CF5808B"/>
    <w:rsid w:val="6CF6149C"/>
    <w:rsid w:val="6CF7116E"/>
    <w:rsid w:val="6CF751CF"/>
    <w:rsid w:val="6CF7BB6B"/>
    <w:rsid w:val="6CF8619C"/>
    <w:rsid w:val="6CFA1D6D"/>
    <w:rsid w:val="6CFAF137"/>
    <w:rsid w:val="6CFB7A77"/>
    <w:rsid w:val="6CFBA8E8"/>
    <w:rsid w:val="6CFBFD63"/>
    <w:rsid w:val="6CFC1DE6"/>
    <w:rsid w:val="6CFC3D3D"/>
    <w:rsid w:val="6CFCF009"/>
    <w:rsid w:val="6CFD02BF"/>
    <w:rsid w:val="6CFD5811"/>
    <w:rsid w:val="6CFE007E"/>
    <w:rsid w:val="6CFE51CD"/>
    <w:rsid w:val="6CFE6403"/>
    <w:rsid w:val="6CFEA013"/>
    <w:rsid w:val="6CFF87E6"/>
    <w:rsid w:val="6D004ACB"/>
    <w:rsid w:val="6D011355"/>
    <w:rsid w:val="6D012600"/>
    <w:rsid w:val="6D014716"/>
    <w:rsid w:val="6D027224"/>
    <w:rsid w:val="6D02A411"/>
    <w:rsid w:val="6D030F7C"/>
    <w:rsid w:val="6D03487D"/>
    <w:rsid w:val="6D03CBA1"/>
    <w:rsid w:val="6D03F377"/>
    <w:rsid w:val="6D043C2D"/>
    <w:rsid w:val="6D04E66C"/>
    <w:rsid w:val="6D060C73"/>
    <w:rsid w:val="6D060C81"/>
    <w:rsid w:val="6D065D52"/>
    <w:rsid w:val="6D066E72"/>
    <w:rsid w:val="6D069097"/>
    <w:rsid w:val="6D06E377"/>
    <w:rsid w:val="6D07D5DC"/>
    <w:rsid w:val="6D07E796"/>
    <w:rsid w:val="6D085334"/>
    <w:rsid w:val="6D086B45"/>
    <w:rsid w:val="6D08D2CD"/>
    <w:rsid w:val="6D08F85F"/>
    <w:rsid w:val="6D0962FC"/>
    <w:rsid w:val="6D09BEAB"/>
    <w:rsid w:val="6D0A150C"/>
    <w:rsid w:val="6D0B1DF3"/>
    <w:rsid w:val="6D0C24B7"/>
    <w:rsid w:val="6D0C86D2"/>
    <w:rsid w:val="6D0DE161"/>
    <w:rsid w:val="6D10A4C0"/>
    <w:rsid w:val="6D1184C1"/>
    <w:rsid w:val="6D11D1FF"/>
    <w:rsid w:val="6D12E005"/>
    <w:rsid w:val="6D1472AB"/>
    <w:rsid w:val="6D14C0C7"/>
    <w:rsid w:val="6D151742"/>
    <w:rsid w:val="6D152E6C"/>
    <w:rsid w:val="6D15C1F7"/>
    <w:rsid w:val="6D1613E6"/>
    <w:rsid w:val="6D161DE5"/>
    <w:rsid w:val="6D162520"/>
    <w:rsid w:val="6D17808D"/>
    <w:rsid w:val="6D17CF08"/>
    <w:rsid w:val="6D1800B2"/>
    <w:rsid w:val="6D18140A"/>
    <w:rsid w:val="6D195BA4"/>
    <w:rsid w:val="6D19E803"/>
    <w:rsid w:val="6D1A4132"/>
    <w:rsid w:val="6D1B3C1E"/>
    <w:rsid w:val="6D1B545D"/>
    <w:rsid w:val="6D1CFF91"/>
    <w:rsid w:val="6D1D9603"/>
    <w:rsid w:val="6D1DA78F"/>
    <w:rsid w:val="6D1E23C9"/>
    <w:rsid w:val="6D1E8DF5"/>
    <w:rsid w:val="6D1EBCCA"/>
    <w:rsid w:val="6D2077B7"/>
    <w:rsid w:val="6D21AA22"/>
    <w:rsid w:val="6D21D630"/>
    <w:rsid w:val="6D2300BE"/>
    <w:rsid w:val="6D241B3E"/>
    <w:rsid w:val="6D241C5F"/>
    <w:rsid w:val="6D245A24"/>
    <w:rsid w:val="6D24EE27"/>
    <w:rsid w:val="6D251C46"/>
    <w:rsid w:val="6D25AACB"/>
    <w:rsid w:val="6D25B99E"/>
    <w:rsid w:val="6D25EC1C"/>
    <w:rsid w:val="6D264495"/>
    <w:rsid w:val="6D26A24D"/>
    <w:rsid w:val="6D2738A6"/>
    <w:rsid w:val="6D27C2C0"/>
    <w:rsid w:val="6D28545F"/>
    <w:rsid w:val="6D2A5BA4"/>
    <w:rsid w:val="6D2AE1C7"/>
    <w:rsid w:val="6D2B3F53"/>
    <w:rsid w:val="6D2B9453"/>
    <w:rsid w:val="6D2BC1BA"/>
    <w:rsid w:val="6D2D0F00"/>
    <w:rsid w:val="6D2DB206"/>
    <w:rsid w:val="6D2E31B9"/>
    <w:rsid w:val="6D2E951D"/>
    <w:rsid w:val="6D2E9C34"/>
    <w:rsid w:val="6D303DED"/>
    <w:rsid w:val="6D307B8B"/>
    <w:rsid w:val="6D30A38E"/>
    <w:rsid w:val="6D30D93B"/>
    <w:rsid w:val="6D31325B"/>
    <w:rsid w:val="6D313790"/>
    <w:rsid w:val="6D318D49"/>
    <w:rsid w:val="6D31EB13"/>
    <w:rsid w:val="6D327115"/>
    <w:rsid w:val="6D32A304"/>
    <w:rsid w:val="6D335591"/>
    <w:rsid w:val="6D337E8F"/>
    <w:rsid w:val="6D33D99A"/>
    <w:rsid w:val="6D343F3B"/>
    <w:rsid w:val="6D3553C9"/>
    <w:rsid w:val="6D362ABE"/>
    <w:rsid w:val="6D36837E"/>
    <w:rsid w:val="6D3718E6"/>
    <w:rsid w:val="6D384901"/>
    <w:rsid w:val="6D396D49"/>
    <w:rsid w:val="6D397B92"/>
    <w:rsid w:val="6D3A4DE5"/>
    <w:rsid w:val="6D3AEFF6"/>
    <w:rsid w:val="6D3B25D8"/>
    <w:rsid w:val="6D3B36CC"/>
    <w:rsid w:val="6D3B9608"/>
    <w:rsid w:val="6D3BD3AA"/>
    <w:rsid w:val="6D3C3C70"/>
    <w:rsid w:val="6D3C9A23"/>
    <w:rsid w:val="6D3C9DEE"/>
    <w:rsid w:val="6D3CBF4A"/>
    <w:rsid w:val="6D3DABA1"/>
    <w:rsid w:val="6D3E4339"/>
    <w:rsid w:val="6D3EAD51"/>
    <w:rsid w:val="6D3F32A9"/>
    <w:rsid w:val="6D3F479B"/>
    <w:rsid w:val="6D3FD2EA"/>
    <w:rsid w:val="6D3FE078"/>
    <w:rsid w:val="6D40239A"/>
    <w:rsid w:val="6D405006"/>
    <w:rsid w:val="6D40EB10"/>
    <w:rsid w:val="6D413523"/>
    <w:rsid w:val="6D42049D"/>
    <w:rsid w:val="6D42140B"/>
    <w:rsid w:val="6D4224AF"/>
    <w:rsid w:val="6D429084"/>
    <w:rsid w:val="6D4336D7"/>
    <w:rsid w:val="6D43A445"/>
    <w:rsid w:val="6D43DAAA"/>
    <w:rsid w:val="6D44340D"/>
    <w:rsid w:val="6D45F52E"/>
    <w:rsid w:val="6D4645B3"/>
    <w:rsid w:val="6D4675A3"/>
    <w:rsid w:val="6D46B738"/>
    <w:rsid w:val="6D46CCD7"/>
    <w:rsid w:val="6D46DB86"/>
    <w:rsid w:val="6D47382F"/>
    <w:rsid w:val="6D477019"/>
    <w:rsid w:val="6D47BE35"/>
    <w:rsid w:val="6D4885F4"/>
    <w:rsid w:val="6D489CE8"/>
    <w:rsid w:val="6D497475"/>
    <w:rsid w:val="6D4AF8CA"/>
    <w:rsid w:val="6D4B341F"/>
    <w:rsid w:val="6D4BB044"/>
    <w:rsid w:val="6D4BC83E"/>
    <w:rsid w:val="6D4C3851"/>
    <w:rsid w:val="6D4C54FA"/>
    <w:rsid w:val="6D4C6730"/>
    <w:rsid w:val="6D4C8BCA"/>
    <w:rsid w:val="6D4CB645"/>
    <w:rsid w:val="6D4D1BBC"/>
    <w:rsid w:val="6D4D2ECD"/>
    <w:rsid w:val="6D4DA175"/>
    <w:rsid w:val="6D4DC2F5"/>
    <w:rsid w:val="6D4E609D"/>
    <w:rsid w:val="6D4EC5A0"/>
    <w:rsid w:val="6D4FD86F"/>
    <w:rsid w:val="6D50A1F9"/>
    <w:rsid w:val="6D517A4C"/>
    <w:rsid w:val="6D526DCE"/>
    <w:rsid w:val="6D5337D3"/>
    <w:rsid w:val="6D536C9A"/>
    <w:rsid w:val="6D540E1F"/>
    <w:rsid w:val="6D56684C"/>
    <w:rsid w:val="6D570257"/>
    <w:rsid w:val="6D570ED7"/>
    <w:rsid w:val="6D5726D9"/>
    <w:rsid w:val="6D57A766"/>
    <w:rsid w:val="6D58437C"/>
    <w:rsid w:val="6D5972E4"/>
    <w:rsid w:val="6D59E01D"/>
    <w:rsid w:val="6D5B0E86"/>
    <w:rsid w:val="6D5B155C"/>
    <w:rsid w:val="6D5BBC0D"/>
    <w:rsid w:val="6D5CDF84"/>
    <w:rsid w:val="6D5CE57E"/>
    <w:rsid w:val="6D5D2807"/>
    <w:rsid w:val="6D5E136A"/>
    <w:rsid w:val="6D5E55EF"/>
    <w:rsid w:val="6D5E69E3"/>
    <w:rsid w:val="6D5E9036"/>
    <w:rsid w:val="6D5EC119"/>
    <w:rsid w:val="6D5EE764"/>
    <w:rsid w:val="6D5EFACB"/>
    <w:rsid w:val="6D5EFC09"/>
    <w:rsid w:val="6D5F786A"/>
    <w:rsid w:val="6D6033BF"/>
    <w:rsid w:val="6D607C21"/>
    <w:rsid w:val="6D60D53D"/>
    <w:rsid w:val="6D616725"/>
    <w:rsid w:val="6D61C06F"/>
    <w:rsid w:val="6D61F72F"/>
    <w:rsid w:val="6D62057B"/>
    <w:rsid w:val="6D62B788"/>
    <w:rsid w:val="6D62F258"/>
    <w:rsid w:val="6D653CA8"/>
    <w:rsid w:val="6D656D15"/>
    <w:rsid w:val="6D6628E8"/>
    <w:rsid w:val="6D664893"/>
    <w:rsid w:val="6D6681F4"/>
    <w:rsid w:val="6D670909"/>
    <w:rsid w:val="6D67E8AF"/>
    <w:rsid w:val="6D684B76"/>
    <w:rsid w:val="6D696440"/>
    <w:rsid w:val="6D699708"/>
    <w:rsid w:val="6D6A748C"/>
    <w:rsid w:val="6D6CD9A9"/>
    <w:rsid w:val="6D6D6F85"/>
    <w:rsid w:val="6D6DAAE1"/>
    <w:rsid w:val="6D6F1E6B"/>
    <w:rsid w:val="6D6F4F23"/>
    <w:rsid w:val="6D6F5F7B"/>
    <w:rsid w:val="6D6F8FAD"/>
    <w:rsid w:val="6D704127"/>
    <w:rsid w:val="6D70461B"/>
    <w:rsid w:val="6D70E517"/>
    <w:rsid w:val="6D71A9D2"/>
    <w:rsid w:val="6D724DD7"/>
    <w:rsid w:val="6D72BA2F"/>
    <w:rsid w:val="6D72E6C4"/>
    <w:rsid w:val="6D732D8E"/>
    <w:rsid w:val="6D73AF14"/>
    <w:rsid w:val="6D7426D0"/>
    <w:rsid w:val="6D7525EB"/>
    <w:rsid w:val="6D756922"/>
    <w:rsid w:val="6D75DE2B"/>
    <w:rsid w:val="6D761835"/>
    <w:rsid w:val="6D766F15"/>
    <w:rsid w:val="6D769DA0"/>
    <w:rsid w:val="6D776B5F"/>
    <w:rsid w:val="6D779055"/>
    <w:rsid w:val="6D78B107"/>
    <w:rsid w:val="6D78C460"/>
    <w:rsid w:val="6D78C61A"/>
    <w:rsid w:val="6D78E130"/>
    <w:rsid w:val="6D79B1F1"/>
    <w:rsid w:val="6D79D187"/>
    <w:rsid w:val="6D7B13A0"/>
    <w:rsid w:val="6D7C9039"/>
    <w:rsid w:val="6D7DC7A6"/>
    <w:rsid w:val="6D7E6EC1"/>
    <w:rsid w:val="6D7F6E51"/>
    <w:rsid w:val="6D7F704D"/>
    <w:rsid w:val="6D7F927F"/>
    <w:rsid w:val="6D7FF21E"/>
    <w:rsid w:val="6D8038CA"/>
    <w:rsid w:val="6D8065F3"/>
    <w:rsid w:val="6D80D09A"/>
    <w:rsid w:val="6D8158F0"/>
    <w:rsid w:val="6D81A6EB"/>
    <w:rsid w:val="6D81CD18"/>
    <w:rsid w:val="6D8361AA"/>
    <w:rsid w:val="6D8366C7"/>
    <w:rsid w:val="6D836DC8"/>
    <w:rsid w:val="6D8398CC"/>
    <w:rsid w:val="6D83C156"/>
    <w:rsid w:val="6D840D58"/>
    <w:rsid w:val="6D847ABE"/>
    <w:rsid w:val="6D8484B6"/>
    <w:rsid w:val="6D84A4E8"/>
    <w:rsid w:val="6D84FB55"/>
    <w:rsid w:val="6D853403"/>
    <w:rsid w:val="6D85463E"/>
    <w:rsid w:val="6D85CE84"/>
    <w:rsid w:val="6D862063"/>
    <w:rsid w:val="6D87476F"/>
    <w:rsid w:val="6D8751D6"/>
    <w:rsid w:val="6D87B28F"/>
    <w:rsid w:val="6D882B4D"/>
    <w:rsid w:val="6D88B019"/>
    <w:rsid w:val="6D8A703E"/>
    <w:rsid w:val="6D8AB344"/>
    <w:rsid w:val="6D8B2D14"/>
    <w:rsid w:val="6D8BEFBA"/>
    <w:rsid w:val="6D8C1310"/>
    <w:rsid w:val="6D8CF860"/>
    <w:rsid w:val="6D8D16FC"/>
    <w:rsid w:val="6D8D1EA2"/>
    <w:rsid w:val="6D8D4013"/>
    <w:rsid w:val="6D8D484E"/>
    <w:rsid w:val="6D8E1413"/>
    <w:rsid w:val="6D8E27FD"/>
    <w:rsid w:val="6D8E512E"/>
    <w:rsid w:val="6D8FF8EB"/>
    <w:rsid w:val="6D910ED8"/>
    <w:rsid w:val="6D9137C4"/>
    <w:rsid w:val="6D9155C9"/>
    <w:rsid w:val="6D91C11E"/>
    <w:rsid w:val="6D921BEE"/>
    <w:rsid w:val="6D924587"/>
    <w:rsid w:val="6D92CF9A"/>
    <w:rsid w:val="6D93A5ED"/>
    <w:rsid w:val="6D944A7B"/>
    <w:rsid w:val="6D9469E2"/>
    <w:rsid w:val="6D948718"/>
    <w:rsid w:val="6D94920A"/>
    <w:rsid w:val="6D94E103"/>
    <w:rsid w:val="6D962899"/>
    <w:rsid w:val="6D9645C3"/>
    <w:rsid w:val="6D96E179"/>
    <w:rsid w:val="6D990A66"/>
    <w:rsid w:val="6D9916E6"/>
    <w:rsid w:val="6D99EB81"/>
    <w:rsid w:val="6D9A1151"/>
    <w:rsid w:val="6D9A72C4"/>
    <w:rsid w:val="6D9AC26A"/>
    <w:rsid w:val="6D9B9D69"/>
    <w:rsid w:val="6D9C2CE9"/>
    <w:rsid w:val="6D9C789E"/>
    <w:rsid w:val="6D9CFC04"/>
    <w:rsid w:val="6D9D1582"/>
    <w:rsid w:val="6D9E13C4"/>
    <w:rsid w:val="6D9E746A"/>
    <w:rsid w:val="6D9E881B"/>
    <w:rsid w:val="6D9ECBC3"/>
    <w:rsid w:val="6D9FBD49"/>
    <w:rsid w:val="6DA0583F"/>
    <w:rsid w:val="6DA07347"/>
    <w:rsid w:val="6DA0B6A8"/>
    <w:rsid w:val="6DA0B6B3"/>
    <w:rsid w:val="6DA0C5BF"/>
    <w:rsid w:val="6DA123D2"/>
    <w:rsid w:val="6DA1289D"/>
    <w:rsid w:val="6DA18899"/>
    <w:rsid w:val="6DA1C559"/>
    <w:rsid w:val="6DA25BC2"/>
    <w:rsid w:val="6DA37197"/>
    <w:rsid w:val="6DA4C74B"/>
    <w:rsid w:val="6DA55B72"/>
    <w:rsid w:val="6DA5E4C0"/>
    <w:rsid w:val="6DA70C6E"/>
    <w:rsid w:val="6DA7D12F"/>
    <w:rsid w:val="6DA8B7A5"/>
    <w:rsid w:val="6DA8DE19"/>
    <w:rsid w:val="6DA91A16"/>
    <w:rsid w:val="6DA91B7B"/>
    <w:rsid w:val="6DA944D8"/>
    <w:rsid w:val="6DA9C726"/>
    <w:rsid w:val="6DA9F925"/>
    <w:rsid w:val="6DAA0943"/>
    <w:rsid w:val="6DAA9CB3"/>
    <w:rsid w:val="6DAADA79"/>
    <w:rsid w:val="6DAB6C62"/>
    <w:rsid w:val="6DAB8426"/>
    <w:rsid w:val="6DABC404"/>
    <w:rsid w:val="6DABE50A"/>
    <w:rsid w:val="6DABFD6B"/>
    <w:rsid w:val="6DAC6756"/>
    <w:rsid w:val="6DADEE86"/>
    <w:rsid w:val="6DAE4167"/>
    <w:rsid w:val="6DAF632E"/>
    <w:rsid w:val="6DAF9CAF"/>
    <w:rsid w:val="6DAFE617"/>
    <w:rsid w:val="6DB00DA3"/>
    <w:rsid w:val="6DB00E1B"/>
    <w:rsid w:val="6DB01CC4"/>
    <w:rsid w:val="6DB15DF7"/>
    <w:rsid w:val="6DB1DDA6"/>
    <w:rsid w:val="6DB1E566"/>
    <w:rsid w:val="6DB2C6BA"/>
    <w:rsid w:val="6DB319A2"/>
    <w:rsid w:val="6DB32367"/>
    <w:rsid w:val="6DB34F02"/>
    <w:rsid w:val="6DB46675"/>
    <w:rsid w:val="6DB49341"/>
    <w:rsid w:val="6DB510CD"/>
    <w:rsid w:val="6DB535D2"/>
    <w:rsid w:val="6DB5452D"/>
    <w:rsid w:val="6DB54593"/>
    <w:rsid w:val="6DB70130"/>
    <w:rsid w:val="6DB70494"/>
    <w:rsid w:val="6DB704A3"/>
    <w:rsid w:val="6DB74D6E"/>
    <w:rsid w:val="6DB76F41"/>
    <w:rsid w:val="6DB94FBF"/>
    <w:rsid w:val="6DB989A3"/>
    <w:rsid w:val="6DB9E916"/>
    <w:rsid w:val="6DBA699A"/>
    <w:rsid w:val="6DBA9B68"/>
    <w:rsid w:val="6DBADB09"/>
    <w:rsid w:val="6DBAE765"/>
    <w:rsid w:val="6DBD339B"/>
    <w:rsid w:val="6DBD73B4"/>
    <w:rsid w:val="6DBE55BA"/>
    <w:rsid w:val="6DBE8161"/>
    <w:rsid w:val="6DBE8D67"/>
    <w:rsid w:val="6DBEBB86"/>
    <w:rsid w:val="6DBF97E9"/>
    <w:rsid w:val="6DC07910"/>
    <w:rsid w:val="6DC0B1DD"/>
    <w:rsid w:val="6DC1B75A"/>
    <w:rsid w:val="6DC34E10"/>
    <w:rsid w:val="6DC35045"/>
    <w:rsid w:val="6DC3E781"/>
    <w:rsid w:val="6DC51D32"/>
    <w:rsid w:val="6DC53A57"/>
    <w:rsid w:val="6DC681CF"/>
    <w:rsid w:val="6DC6FEEC"/>
    <w:rsid w:val="6DC7352B"/>
    <w:rsid w:val="6DC8654A"/>
    <w:rsid w:val="6DC8EECB"/>
    <w:rsid w:val="6DCAB3C8"/>
    <w:rsid w:val="6DCAFF18"/>
    <w:rsid w:val="6DCBCBED"/>
    <w:rsid w:val="6DCBF478"/>
    <w:rsid w:val="6DCE8872"/>
    <w:rsid w:val="6DCEA42F"/>
    <w:rsid w:val="6DCF245E"/>
    <w:rsid w:val="6DCFBB44"/>
    <w:rsid w:val="6DD2055D"/>
    <w:rsid w:val="6DD206B9"/>
    <w:rsid w:val="6DD39BB0"/>
    <w:rsid w:val="6DD3E934"/>
    <w:rsid w:val="6DD43C94"/>
    <w:rsid w:val="6DD4C66C"/>
    <w:rsid w:val="6DD50898"/>
    <w:rsid w:val="6DD5CA83"/>
    <w:rsid w:val="6DD67517"/>
    <w:rsid w:val="6DD6A1EE"/>
    <w:rsid w:val="6DD72FD5"/>
    <w:rsid w:val="6DD753D2"/>
    <w:rsid w:val="6DD8B210"/>
    <w:rsid w:val="6DD8CCB5"/>
    <w:rsid w:val="6DD936F4"/>
    <w:rsid w:val="6DD93DCB"/>
    <w:rsid w:val="6DDA5255"/>
    <w:rsid w:val="6DDAC792"/>
    <w:rsid w:val="6DDC3277"/>
    <w:rsid w:val="6DDC9453"/>
    <w:rsid w:val="6DDC96F9"/>
    <w:rsid w:val="6DDCCBFE"/>
    <w:rsid w:val="6DDCEC89"/>
    <w:rsid w:val="6DDD0B9A"/>
    <w:rsid w:val="6DDD2169"/>
    <w:rsid w:val="6DDD513C"/>
    <w:rsid w:val="6DDD6A22"/>
    <w:rsid w:val="6DDE8A65"/>
    <w:rsid w:val="6DDED06A"/>
    <w:rsid w:val="6DDEDAD1"/>
    <w:rsid w:val="6DDF1220"/>
    <w:rsid w:val="6DDF9D03"/>
    <w:rsid w:val="6DDFAE72"/>
    <w:rsid w:val="6DE00769"/>
    <w:rsid w:val="6DE02853"/>
    <w:rsid w:val="6DE03EF5"/>
    <w:rsid w:val="6DE09912"/>
    <w:rsid w:val="6DE0A8A7"/>
    <w:rsid w:val="6DE0F2A1"/>
    <w:rsid w:val="6DE1186C"/>
    <w:rsid w:val="6DE18A5F"/>
    <w:rsid w:val="6DE23E7C"/>
    <w:rsid w:val="6DE262C7"/>
    <w:rsid w:val="6DE2C85C"/>
    <w:rsid w:val="6DE30680"/>
    <w:rsid w:val="6DE36C46"/>
    <w:rsid w:val="6DE3A25A"/>
    <w:rsid w:val="6DE3FFF9"/>
    <w:rsid w:val="6DE48DAF"/>
    <w:rsid w:val="6DE4939E"/>
    <w:rsid w:val="6DE4CCBA"/>
    <w:rsid w:val="6DE4EC9A"/>
    <w:rsid w:val="6DE5FF46"/>
    <w:rsid w:val="6DE624E9"/>
    <w:rsid w:val="6DE72BD0"/>
    <w:rsid w:val="6DE829A1"/>
    <w:rsid w:val="6DE89B7B"/>
    <w:rsid w:val="6DE8A6F5"/>
    <w:rsid w:val="6DE926AE"/>
    <w:rsid w:val="6DE9F484"/>
    <w:rsid w:val="6DE9FFC4"/>
    <w:rsid w:val="6DEB159B"/>
    <w:rsid w:val="6DEB812D"/>
    <w:rsid w:val="6DEC2D89"/>
    <w:rsid w:val="6DEC5ACA"/>
    <w:rsid w:val="6DECBFC3"/>
    <w:rsid w:val="6DEDDBD1"/>
    <w:rsid w:val="6DEEA4AA"/>
    <w:rsid w:val="6DEEB3F1"/>
    <w:rsid w:val="6DEF9125"/>
    <w:rsid w:val="6DEFB8AB"/>
    <w:rsid w:val="6DEFE2FA"/>
    <w:rsid w:val="6DEFEF93"/>
    <w:rsid w:val="6DF0FF2B"/>
    <w:rsid w:val="6DF1142A"/>
    <w:rsid w:val="6DF18453"/>
    <w:rsid w:val="6DF18B5F"/>
    <w:rsid w:val="6DF19754"/>
    <w:rsid w:val="6DF1A945"/>
    <w:rsid w:val="6DF23678"/>
    <w:rsid w:val="6DF276FE"/>
    <w:rsid w:val="6DF2BD73"/>
    <w:rsid w:val="6DF2F1D4"/>
    <w:rsid w:val="6DF316D0"/>
    <w:rsid w:val="6DF33705"/>
    <w:rsid w:val="6DF3B872"/>
    <w:rsid w:val="6DF3E0F8"/>
    <w:rsid w:val="6DF4B48F"/>
    <w:rsid w:val="6DF77063"/>
    <w:rsid w:val="6DF78F2E"/>
    <w:rsid w:val="6DF7EE2D"/>
    <w:rsid w:val="6DF8005C"/>
    <w:rsid w:val="6DF8804D"/>
    <w:rsid w:val="6DF8EC1A"/>
    <w:rsid w:val="6DF9A1BC"/>
    <w:rsid w:val="6DF9AE1E"/>
    <w:rsid w:val="6DF9C6FB"/>
    <w:rsid w:val="6DF9DE43"/>
    <w:rsid w:val="6DFA30A0"/>
    <w:rsid w:val="6DFA70CD"/>
    <w:rsid w:val="6DFA977D"/>
    <w:rsid w:val="6DFBFD0A"/>
    <w:rsid w:val="6DFC7E7D"/>
    <w:rsid w:val="6DFD674D"/>
    <w:rsid w:val="6DFDE331"/>
    <w:rsid w:val="6DFDFCF1"/>
    <w:rsid w:val="6DFE5D3B"/>
    <w:rsid w:val="6DFF88FC"/>
    <w:rsid w:val="6E00D9B1"/>
    <w:rsid w:val="6E014E16"/>
    <w:rsid w:val="6E0164B9"/>
    <w:rsid w:val="6E01D434"/>
    <w:rsid w:val="6E025E8A"/>
    <w:rsid w:val="6E033993"/>
    <w:rsid w:val="6E046156"/>
    <w:rsid w:val="6E047AE1"/>
    <w:rsid w:val="6E04DBB1"/>
    <w:rsid w:val="6E05046E"/>
    <w:rsid w:val="6E054137"/>
    <w:rsid w:val="6E055CFC"/>
    <w:rsid w:val="6E0616FC"/>
    <w:rsid w:val="6E062694"/>
    <w:rsid w:val="6E06B899"/>
    <w:rsid w:val="6E080DDB"/>
    <w:rsid w:val="6E0832E0"/>
    <w:rsid w:val="6E0833DD"/>
    <w:rsid w:val="6E0866CF"/>
    <w:rsid w:val="6E095F26"/>
    <w:rsid w:val="6E09845E"/>
    <w:rsid w:val="6E09E492"/>
    <w:rsid w:val="6E0A2C23"/>
    <w:rsid w:val="6E0AC2A8"/>
    <w:rsid w:val="6E0B982E"/>
    <w:rsid w:val="6E0BEAB3"/>
    <w:rsid w:val="6E0C14CD"/>
    <w:rsid w:val="6E0C7D31"/>
    <w:rsid w:val="6E0CAE6F"/>
    <w:rsid w:val="6E0CB495"/>
    <w:rsid w:val="6E0CE832"/>
    <w:rsid w:val="6E0D40AD"/>
    <w:rsid w:val="6E0D8525"/>
    <w:rsid w:val="6E0DF895"/>
    <w:rsid w:val="6E0F5B20"/>
    <w:rsid w:val="6E0F8C99"/>
    <w:rsid w:val="6E0F8E3A"/>
    <w:rsid w:val="6E0FF464"/>
    <w:rsid w:val="6E10103E"/>
    <w:rsid w:val="6E104671"/>
    <w:rsid w:val="6E1157EC"/>
    <w:rsid w:val="6E11853E"/>
    <w:rsid w:val="6E12AFE4"/>
    <w:rsid w:val="6E131544"/>
    <w:rsid w:val="6E13608F"/>
    <w:rsid w:val="6E145B2A"/>
    <w:rsid w:val="6E148994"/>
    <w:rsid w:val="6E1587C1"/>
    <w:rsid w:val="6E15B35A"/>
    <w:rsid w:val="6E15BACA"/>
    <w:rsid w:val="6E17EF70"/>
    <w:rsid w:val="6E17FDA5"/>
    <w:rsid w:val="6E188842"/>
    <w:rsid w:val="6E18A30C"/>
    <w:rsid w:val="6E191961"/>
    <w:rsid w:val="6E195145"/>
    <w:rsid w:val="6E196CF6"/>
    <w:rsid w:val="6E1A941C"/>
    <w:rsid w:val="6E1AB00B"/>
    <w:rsid w:val="6E1B1DC4"/>
    <w:rsid w:val="6E1BCE51"/>
    <w:rsid w:val="6E1BFA88"/>
    <w:rsid w:val="6E1C1740"/>
    <w:rsid w:val="6E1C467B"/>
    <w:rsid w:val="6E1CB773"/>
    <w:rsid w:val="6E1EF428"/>
    <w:rsid w:val="6E1EF5BA"/>
    <w:rsid w:val="6E1F0CBF"/>
    <w:rsid w:val="6E1F847A"/>
    <w:rsid w:val="6E1FC572"/>
    <w:rsid w:val="6E1FD794"/>
    <w:rsid w:val="6E20687A"/>
    <w:rsid w:val="6E20F282"/>
    <w:rsid w:val="6E211F15"/>
    <w:rsid w:val="6E21A09E"/>
    <w:rsid w:val="6E21C271"/>
    <w:rsid w:val="6E228698"/>
    <w:rsid w:val="6E2346F1"/>
    <w:rsid w:val="6E245C02"/>
    <w:rsid w:val="6E2462BE"/>
    <w:rsid w:val="6E25C217"/>
    <w:rsid w:val="6E26708C"/>
    <w:rsid w:val="6E269D1B"/>
    <w:rsid w:val="6E2700C7"/>
    <w:rsid w:val="6E270423"/>
    <w:rsid w:val="6E281BD3"/>
    <w:rsid w:val="6E2826CC"/>
    <w:rsid w:val="6E286425"/>
    <w:rsid w:val="6E290645"/>
    <w:rsid w:val="6E294A51"/>
    <w:rsid w:val="6E29D153"/>
    <w:rsid w:val="6E2A60DC"/>
    <w:rsid w:val="6E2AD8EE"/>
    <w:rsid w:val="6E2AE9C0"/>
    <w:rsid w:val="6E2B9A10"/>
    <w:rsid w:val="6E2D2FDD"/>
    <w:rsid w:val="6E2EB0B2"/>
    <w:rsid w:val="6E2F0327"/>
    <w:rsid w:val="6E2FDA66"/>
    <w:rsid w:val="6E2FFDEA"/>
    <w:rsid w:val="6E30867D"/>
    <w:rsid w:val="6E310D85"/>
    <w:rsid w:val="6E31D3BD"/>
    <w:rsid w:val="6E31E348"/>
    <w:rsid w:val="6E32C390"/>
    <w:rsid w:val="6E33B10F"/>
    <w:rsid w:val="6E343152"/>
    <w:rsid w:val="6E3481E8"/>
    <w:rsid w:val="6E352A2C"/>
    <w:rsid w:val="6E356C31"/>
    <w:rsid w:val="6E356EE9"/>
    <w:rsid w:val="6E369A74"/>
    <w:rsid w:val="6E372CBC"/>
    <w:rsid w:val="6E3754A6"/>
    <w:rsid w:val="6E37FB0B"/>
    <w:rsid w:val="6E3834F2"/>
    <w:rsid w:val="6E388158"/>
    <w:rsid w:val="6E38BFDC"/>
    <w:rsid w:val="6E38C808"/>
    <w:rsid w:val="6E397D12"/>
    <w:rsid w:val="6E3AF7B9"/>
    <w:rsid w:val="6E3B1DCE"/>
    <w:rsid w:val="6E3B7601"/>
    <w:rsid w:val="6E3BA855"/>
    <w:rsid w:val="6E3BBFA7"/>
    <w:rsid w:val="6E3DBB28"/>
    <w:rsid w:val="6E3DF9C4"/>
    <w:rsid w:val="6E3E37D6"/>
    <w:rsid w:val="6E3EB117"/>
    <w:rsid w:val="6E3EEE2E"/>
    <w:rsid w:val="6E3F8835"/>
    <w:rsid w:val="6E405DD6"/>
    <w:rsid w:val="6E40EDF7"/>
    <w:rsid w:val="6E41BF2B"/>
    <w:rsid w:val="6E426609"/>
    <w:rsid w:val="6E427A01"/>
    <w:rsid w:val="6E42EF36"/>
    <w:rsid w:val="6E443F52"/>
    <w:rsid w:val="6E444BF4"/>
    <w:rsid w:val="6E44B478"/>
    <w:rsid w:val="6E465734"/>
    <w:rsid w:val="6E47EDB1"/>
    <w:rsid w:val="6E4A3BAD"/>
    <w:rsid w:val="6E4B337D"/>
    <w:rsid w:val="6E4B8F90"/>
    <w:rsid w:val="6E4B961E"/>
    <w:rsid w:val="6E4C36B7"/>
    <w:rsid w:val="6E4D2B7B"/>
    <w:rsid w:val="6E4E535D"/>
    <w:rsid w:val="6E506BC6"/>
    <w:rsid w:val="6E51260F"/>
    <w:rsid w:val="6E521CE8"/>
    <w:rsid w:val="6E527611"/>
    <w:rsid w:val="6E52F927"/>
    <w:rsid w:val="6E530656"/>
    <w:rsid w:val="6E53CD6C"/>
    <w:rsid w:val="6E53E392"/>
    <w:rsid w:val="6E542BA3"/>
    <w:rsid w:val="6E5464FB"/>
    <w:rsid w:val="6E54DA34"/>
    <w:rsid w:val="6E54FEDB"/>
    <w:rsid w:val="6E5543F9"/>
    <w:rsid w:val="6E56ADE5"/>
    <w:rsid w:val="6E574839"/>
    <w:rsid w:val="6E577E76"/>
    <w:rsid w:val="6E581C90"/>
    <w:rsid w:val="6E582D50"/>
    <w:rsid w:val="6E582FF7"/>
    <w:rsid w:val="6E589BD9"/>
    <w:rsid w:val="6E58F8A5"/>
    <w:rsid w:val="6E5935EC"/>
    <w:rsid w:val="6E5982CD"/>
    <w:rsid w:val="6E5A106C"/>
    <w:rsid w:val="6E5ACBFA"/>
    <w:rsid w:val="6E5AD268"/>
    <w:rsid w:val="6E5AEF91"/>
    <w:rsid w:val="6E5BAB7A"/>
    <w:rsid w:val="6E5BD5A6"/>
    <w:rsid w:val="6E5BEB74"/>
    <w:rsid w:val="6E5C0494"/>
    <w:rsid w:val="6E5C221E"/>
    <w:rsid w:val="6E5C2CB7"/>
    <w:rsid w:val="6E5CCC59"/>
    <w:rsid w:val="6E5D147D"/>
    <w:rsid w:val="6E5D874D"/>
    <w:rsid w:val="6E5DAD5B"/>
    <w:rsid w:val="6E5E603F"/>
    <w:rsid w:val="6E5EAE2E"/>
    <w:rsid w:val="6E5FE38D"/>
    <w:rsid w:val="6E614417"/>
    <w:rsid w:val="6E619802"/>
    <w:rsid w:val="6E623CFF"/>
    <w:rsid w:val="6E633AF0"/>
    <w:rsid w:val="6E63BD52"/>
    <w:rsid w:val="6E63CEB6"/>
    <w:rsid w:val="6E6477AC"/>
    <w:rsid w:val="6E657DCA"/>
    <w:rsid w:val="6E658135"/>
    <w:rsid w:val="6E66059F"/>
    <w:rsid w:val="6E66AB27"/>
    <w:rsid w:val="6E67010C"/>
    <w:rsid w:val="6E674EDD"/>
    <w:rsid w:val="6E678216"/>
    <w:rsid w:val="6E67B512"/>
    <w:rsid w:val="6E6866E8"/>
    <w:rsid w:val="6E68B1E9"/>
    <w:rsid w:val="6E691609"/>
    <w:rsid w:val="6E69B439"/>
    <w:rsid w:val="6E69E651"/>
    <w:rsid w:val="6E69F7D3"/>
    <w:rsid w:val="6E6B4DA8"/>
    <w:rsid w:val="6E6BFDF4"/>
    <w:rsid w:val="6E6C1F47"/>
    <w:rsid w:val="6E6C2AF8"/>
    <w:rsid w:val="6E6C7E80"/>
    <w:rsid w:val="6E6C9D46"/>
    <w:rsid w:val="6E6D3B26"/>
    <w:rsid w:val="6E6EA400"/>
    <w:rsid w:val="6E700203"/>
    <w:rsid w:val="6E703D4F"/>
    <w:rsid w:val="6E7096A9"/>
    <w:rsid w:val="6E7222AE"/>
    <w:rsid w:val="6E727F6B"/>
    <w:rsid w:val="6E73B039"/>
    <w:rsid w:val="6E76A1CD"/>
    <w:rsid w:val="6E76CC32"/>
    <w:rsid w:val="6E77728F"/>
    <w:rsid w:val="6E785AB9"/>
    <w:rsid w:val="6E7981F4"/>
    <w:rsid w:val="6E7AD7A3"/>
    <w:rsid w:val="6E7ADAD5"/>
    <w:rsid w:val="6E7BABC7"/>
    <w:rsid w:val="6E7C43FD"/>
    <w:rsid w:val="6E7CF7C6"/>
    <w:rsid w:val="6E7D48C6"/>
    <w:rsid w:val="6E7E0013"/>
    <w:rsid w:val="6E7EF2A8"/>
    <w:rsid w:val="6E8052A8"/>
    <w:rsid w:val="6E809D81"/>
    <w:rsid w:val="6E812815"/>
    <w:rsid w:val="6E818A99"/>
    <w:rsid w:val="6E823B4A"/>
    <w:rsid w:val="6E827EAD"/>
    <w:rsid w:val="6E82DB48"/>
    <w:rsid w:val="6E82FA70"/>
    <w:rsid w:val="6E832AB0"/>
    <w:rsid w:val="6E8340E3"/>
    <w:rsid w:val="6E8346FA"/>
    <w:rsid w:val="6E835217"/>
    <w:rsid w:val="6E839DF1"/>
    <w:rsid w:val="6E850137"/>
    <w:rsid w:val="6E85594F"/>
    <w:rsid w:val="6E857BB4"/>
    <w:rsid w:val="6E85AED9"/>
    <w:rsid w:val="6E85C151"/>
    <w:rsid w:val="6E86CF1B"/>
    <w:rsid w:val="6E86E7C3"/>
    <w:rsid w:val="6E899702"/>
    <w:rsid w:val="6E8A67A6"/>
    <w:rsid w:val="6E8AB848"/>
    <w:rsid w:val="6E8B4CBB"/>
    <w:rsid w:val="6E8B6359"/>
    <w:rsid w:val="6E8C191E"/>
    <w:rsid w:val="6E8C1EA0"/>
    <w:rsid w:val="6E8D5222"/>
    <w:rsid w:val="6E8D787B"/>
    <w:rsid w:val="6E8E6152"/>
    <w:rsid w:val="6E8E70CF"/>
    <w:rsid w:val="6E8E710A"/>
    <w:rsid w:val="6E8EA12B"/>
    <w:rsid w:val="6E8ECDBC"/>
    <w:rsid w:val="6E8EE4CA"/>
    <w:rsid w:val="6E8FC727"/>
    <w:rsid w:val="6E904D15"/>
    <w:rsid w:val="6E907608"/>
    <w:rsid w:val="6E9125FA"/>
    <w:rsid w:val="6E91B212"/>
    <w:rsid w:val="6E91D080"/>
    <w:rsid w:val="6E926757"/>
    <w:rsid w:val="6E92A756"/>
    <w:rsid w:val="6E92EDAE"/>
    <w:rsid w:val="6E935581"/>
    <w:rsid w:val="6E946C5E"/>
    <w:rsid w:val="6E94E50E"/>
    <w:rsid w:val="6E94FA34"/>
    <w:rsid w:val="6E952FAE"/>
    <w:rsid w:val="6E9546DD"/>
    <w:rsid w:val="6E9626F5"/>
    <w:rsid w:val="6E963C79"/>
    <w:rsid w:val="6E96BCB0"/>
    <w:rsid w:val="6E96C565"/>
    <w:rsid w:val="6E979DD0"/>
    <w:rsid w:val="6E979E80"/>
    <w:rsid w:val="6E980974"/>
    <w:rsid w:val="6E9826E6"/>
    <w:rsid w:val="6E98652C"/>
    <w:rsid w:val="6E992B66"/>
    <w:rsid w:val="6E994538"/>
    <w:rsid w:val="6E99A72F"/>
    <w:rsid w:val="6E99D7F1"/>
    <w:rsid w:val="6E9A2748"/>
    <w:rsid w:val="6E9A31D3"/>
    <w:rsid w:val="6E9A68B7"/>
    <w:rsid w:val="6E9B722D"/>
    <w:rsid w:val="6E9BB4AF"/>
    <w:rsid w:val="6E9C5CC0"/>
    <w:rsid w:val="6E9DAF2F"/>
    <w:rsid w:val="6E9E15C6"/>
    <w:rsid w:val="6E9F13A1"/>
    <w:rsid w:val="6E9F9069"/>
    <w:rsid w:val="6EA005DF"/>
    <w:rsid w:val="6EA06881"/>
    <w:rsid w:val="6EA10C66"/>
    <w:rsid w:val="6EA1BB8C"/>
    <w:rsid w:val="6EA1BE42"/>
    <w:rsid w:val="6EA1EE10"/>
    <w:rsid w:val="6EA232FA"/>
    <w:rsid w:val="6EA25888"/>
    <w:rsid w:val="6EA26929"/>
    <w:rsid w:val="6EA3417C"/>
    <w:rsid w:val="6EA3AC9A"/>
    <w:rsid w:val="6EA3E5CA"/>
    <w:rsid w:val="6EA4054A"/>
    <w:rsid w:val="6EA53327"/>
    <w:rsid w:val="6EA565F4"/>
    <w:rsid w:val="6EA706F9"/>
    <w:rsid w:val="6EA7D61D"/>
    <w:rsid w:val="6EA7D994"/>
    <w:rsid w:val="6EA855AC"/>
    <w:rsid w:val="6EA86DBF"/>
    <w:rsid w:val="6EA88FD7"/>
    <w:rsid w:val="6EA97533"/>
    <w:rsid w:val="6EABF9FC"/>
    <w:rsid w:val="6EAC05E8"/>
    <w:rsid w:val="6EAD34FF"/>
    <w:rsid w:val="6EADAB26"/>
    <w:rsid w:val="6EAF41E0"/>
    <w:rsid w:val="6EAFC9F4"/>
    <w:rsid w:val="6EB1B233"/>
    <w:rsid w:val="6EB2C640"/>
    <w:rsid w:val="6EB30FB6"/>
    <w:rsid w:val="6EB38406"/>
    <w:rsid w:val="6EB4424D"/>
    <w:rsid w:val="6EB497EF"/>
    <w:rsid w:val="6EB5CCFE"/>
    <w:rsid w:val="6EB63A47"/>
    <w:rsid w:val="6EB747F7"/>
    <w:rsid w:val="6EB797BB"/>
    <w:rsid w:val="6EB7E81B"/>
    <w:rsid w:val="6EB876C7"/>
    <w:rsid w:val="6EB8E14D"/>
    <w:rsid w:val="6EBA2A72"/>
    <w:rsid w:val="6EBA95DA"/>
    <w:rsid w:val="6EBB93F7"/>
    <w:rsid w:val="6EBBB037"/>
    <w:rsid w:val="6EBBBD2D"/>
    <w:rsid w:val="6EBC80F7"/>
    <w:rsid w:val="6EBCFB01"/>
    <w:rsid w:val="6EBD2388"/>
    <w:rsid w:val="6EBD4A55"/>
    <w:rsid w:val="6EBD69C4"/>
    <w:rsid w:val="6EBDBD6A"/>
    <w:rsid w:val="6EBE0C42"/>
    <w:rsid w:val="6EBE687A"/>
    <w:rsid w:val="6EBE9B40"/>
    <w:rsid w:val="6EBEAED7"/>
    <w:rsid w:val="6EBEBA32"/>
    <w:rsid w:val="6EBF38A8"/>
    <w:rsid w:val="6EC135A2"/>
    <w:rsid w:val="6EC188BB"/>
    <w:rsid w:val="6EC1D683"/>
    <w:rsid w:val="6EC24811"/>
    <w:rsid w:val="6EC2D0B3"/>
    <w:rsid w:val="6EC37D9C"/>
    <w:rsid w:val="6EC38B1C"/>
    <w:rsid w:val="6EC4FC94"/>
    <w:rsid w:val="6EC51730"/>
    <w:rsid w:val="6EC53FA5"/>
    <w:rsid w:val="6EC5E18B"/>
    <w:rsid w:val="6EC60366"/>
    <w:rsid w:val="6EC65D2A"/>
    <w:rsid w:val="6EC66617"/>
    <w:rsid w:val="6EC67E6D"/>
    <w:rsid w:val="6EC70522"/>
    <w:rsid w:val="6EC717F6"/>
    <w:rsid w:val="6EC7CF55"/>
    <w:rsid w:val="6EC835EC"/>
    <w:rsid w:val="6EC84ACC"/>
    <w:rsid w:val="6EC97290"/>
    <w:rsid w:val="6EC99529"/>
    <w:rsid w:val="6ECA697E"/>
    <w:rsid w:val="6ECABB4C"/>
    <w:rsid w:val="6ECBA05F"/>
    <w:rsid w:val="6ECCF24F"/>
    <w:rsid w:val="6ECD0042"/>
    <w:rsid w:val="6ECD7F45"/>
    <w:rsid w:val="6ECD86D3"/>
    <w:rsid w:val="6ECDE879"/>
    <w:rsid w:val="6ECDF114"/>
    <w:rsid w:val="6ECEC0E1"/>
    <w:rsid w:val="6ECF9B60"/>
    <w:rsid w:val="6ED01A22"/>
    <w:rsid w:val="6ED0DAA0"/>
    <w:rsid w:val="6ED1340E"/>
    <w:rsid w:val="6ED1A928"/>
    <w:rsid w:val="6ED1B348"/>
    <w:rsid w:val="6ED1F051"/>
    <w:rsid w:val="6ED29552"/>
    <w:rsid w:val="6ED36929"/>
    <w:rsid w:val="6ED38192"/>
    <w:rsid w:val="6ED55DF8"/>
    <w:rsid w:val="6ED5CC9E"/>
    <w:rsid w:val="6ED642BD"/>
    <w:rsid w:val="6ED65ECB"/>
    <w:rsid w:val="6ED7371B"/>
    <w:rsid w:val="6ED8E2BA"/>
    <w:rsid w:val="6ED928D3"/>
    <w:rsid w:val="6EDAB1F1"/>
    <w:rsid w:val="6EDADBA8"/>
    <w:rsid w:val="6EDBB24F"/>
    <w:rsid w:val="6EDBC510"/>
    <w:rsid w:val="6EDBEF78"/>
    <w:rsid w:val="6EDCA4DF"/>
    <w:rsid w:val="6EDD388D"/>
    <w:rsid w:val="6EDD9910"/>
    <w:rsid w:val="6EDE6455"/>
    <w:rsid w:val="6EDE7500"/>
    <w:rsid w:val="6EDE8A5B"/>
    <w:rsid w:val="6EDEE409"/>
    <w:rsid w:val="6EE0EBF1"/>
    <w:rsid w:val="6EE0F8F2"/>
    <w:rsid w:val="6EE153E4"/>
    <w:rsid w:val="6EE19AE4"/>
    <w:rsid w:val="6EE1E265"/>
    <w:rsid w:val="6EE1F8DD"/>
    <w:rsid w:val="6EE25539"/>
    <w:rsid w:val="6EE275D9"/>
    <w:rsid w:val="6EE2EA67"/>
    <w:rsid w:val="6EE2F3A8"/>
    <w:rsid w:val="6EE3530C"/>
    <w:rsid w:val="6EE3AE07"/>
    <w:rsid w:val="6EE3EB4A"/>
    <w:rsid w:val="6EE406E1"/>
    <w:rsid w:val="6EE431E5"/>
    <w:rsid w:val="6EE484AD"/>
    <w:rsid w:val="6EE659CA"/>
    <w:rsid w:val="6EE7165F"/>
    <w:rsid w:val="6EE730AB"/>
    <w:rsid w:val="6EE751B6"/>
    <w:rsid w:val="6EE7982F"/>
    <w:rsid w:val="6EE7E673"/>
    <w:rsid w:val="6EE88147"/>
    <w:rsid w:val="6EE97BED"/>
    <w:rsid w:val="6EEA743E"/>
    <w:rsid w:val="6EEAE503"/>
    <w:rsid w:val="6EEB0F88"/>
    <w:rsid w:val="6EEBEF1A"/>
    <w:rsid w:val="6EEC7C42"/>
    <w:rsid w:val="6EECDD53"/>
    <w:rsid w:val="6EEDEC5C"/>
    <w:rsid w:val="6EEE76E1"/>
    <w:rsid w:val="6EEED741"/>
    <w:rsid w:val="6EEF22CE"/>
    <w:rsid w:val="6EEF2E5C"/>
    <w:rsid w:val="6EEF77F1"/>
    <w:rsid w:val="6EF08298"/>
    <w:rsid w:val="6EF08F09"/>
    <w:rsid w:val="6EF0A8E4"/>
    <w:rsid w:val="6EF0E5FB"/>
    <w:rsid w:val="6EF0F628"/>
    <w:rsid w:val="6EF13583"/>
    <w:rsid w:val="6EF1BFEA"/>
    <w:rsid w:val="6EF28BE2"/>
    <w:rsid w:val="6EF38643"/>
    <w:rsid w:val="6EF3B47C"/>
    <w:rsid w:val="6EF4455C"/>
    <w:rsid w:val="6EF46AD7"/>
    <w:rsid w:val="6EF57158"/>
    <w:rsid w:val="6EF5C0BC"/>
    <w:rsid w:val="6EF686D9"/>
    <w:rsid w:val="6EF741AD"/>
    <w:rsid w:val="6EF784C9"/>
    <w:rsid w:val="6EF7886E"/>
    <w:rsid w:val="6EF7DAA6"/>
    <w:rsid w:val="6EF860BA"/>
    <w:rsid w:val="6EF86F9A"/>
    <w:rsid w:val="6EF8C28E"/>
    <w:rsid w:val="6EF9105E"/>
    <w:rsid w:val="6EF94860"/>
    <w:rsid w:val="6EF99FEA"/>
    <w:rsid w:val="6EF9ADF2"/>
    <w:rsid w:val="6EFA735F"/>
    <w:rsid w:val="6EFBD7C6"/>
    <w:rsid w:val="6EFBEE41"/>
    <w:rsid w:val="6EFC6304"/>
    <w:rsid w:val="6EFDADA6"/>
    <w:rsid w:val="6EFE5EA2"/>
    <w:rsid w:val="6EFE72AC"/>
    <w:rsid w:val="6EFF5020"/>
    <w:rsid w:val="6EFF7E67"/>
    <w:rsid w:val="6EFFA29A"/>
    <w:rsid w:val="6F003764"/>
    <w:rsid w:val="6F0063D5"/>
    <w:rsid w:val="6F014AC4"/>
    <w:rsid w:val="6F0230E7"/>
    <w:rsid w:val="6F02798B"/>
    <w:rsid w:val="6F0319DF"/>
    <w:rsid w:val="6F035E0C"/>
    <w:rsid w:val="6F038783"/>
    <w:rsid w:val="6F0438C0"/>
    <w:rsid w:val="6F047FEC"/>
    <w:rsid w:val="6F05366B"/>
    <w:rsid w:val="6F058B6E"/>
    <w:rsid w:val="6F05BDC2"/>
    <w:rsid w:val="6F05E5E0"/>
    <w:rsid w:val="6F061DA0"/>
    <w:rsid w:val="6F0649BD"/>
    <w:rsid w:val="6F068FD8"/>
    <w:rsid w:val="6F06FB59"/>
    <w:rsid w:val="6F071EC1"/>
    <w:rsid w:val="6F074D0D"/>
    <w:rsid w:val="6F087B2A"/>
    <w:rsid w:val="6F08AD0D"/>
    <w:rsid w:val="6F099B46"/>
    <w:rsid w:val="6F0A1ED1"/>
    <w:rsid w:val="6F0C01C2"/>
    <w:rsid w:val="6F0C0394"/>
    <w:rsid w:val="6F0CA369"/>
    <w:rsid w:val="6F0CAE31"/>
    <w:rsid w:val="6F0D0541"/>
    <w:rsid w:val="6F0D4FC3"/>
    <w:rsid w:val="6F0E4694"/>
    <w:rsid w:val="6F0F095D"/>
    <w:rsid w:val="6F0F3743"/>
    <w:rsid w:val="6F0F9F7B"/>
    <w:rsid w:val="6F0FC8F3"/>
    <w:rsid w:val="6F109E30"/>
    <w:rsid w:val="6F10B60D"/>
    <w:rsid w:val="6F11634F"/>
    <w:rsid w:val="6F1167E1"/>
    <w:rsid w:val="6F11AD78"/>
    <w:rsid w:val="6F11DFF5"/>
    <w:rsid w:val="6F11E13B"/>
    <w:rsid w:val="6F13331C"/>
    <w:rsid w:val="6F142B5E"/>
    <w:rsid w:val="6F145071"/>
    <w:rsid w:val="6F14DD63"/>
    <w:rsid w:val="6F152DC9"/>
    <w:rsid w:val="6F15AFF0"/>
    <w:rsid w:val="6F15C37E"/>
    <w:rsid w:val="6F15C3A7"/>
    <w:rsid w:val="6F15E01B"/>
    <w:rsid w:val="6F164F5B"/>
    <w:rsid w:val="6F169A57"/>
    <w:rsid w:val="6F194904"/>
    <w:rsid w:val="6F1A124D"/>
    <w:rsid w:val="6F1AF577"/>
    <w:rsid w:val="6F1CEE58"/>
    <w:rsid w:val="6F2072C6"/>
    <w:rsid w:val="6F20AB7C"/>
    <w:rsid w:val="6F21D96B"/>
    <w:rsid w:val="6F223A17"/>
    <w:rsid w:val="6F2276C3"/>
    <w:rsid w:val="6F22ED39"/>
    <w:rsid w:val="6F232975"/>
    <w:rsid w:val="6F238673"/>
    <w:rsid w:val="6F243832"/>
    <w:rsid w:val="6F274519"/>
    <w:rsid w:val="6F27DC02"/>
    <w:rsid w:val="6F2816A4"/>
    <w:rsid w:val="6F282D83"/>
    <w:rsid w:val="6F28DBB7"/>
    <w:rsid w:val="6F2945E7"/>
    <w:rsid w:val="6F29E108"/>
    <w:rsid w:val="6F2C80E1"/>
    <w:rsid w:val="6F2C889C"/>
    <w:rsid w:val="6F2C8D79"/>
    <w:rsid w:val="6F2D9600"/>
    <w:rsid w:val="6F2DB9F8"/>
    <w:rsid w:val="6F2E1E5C"/>
    <w:rsid w:val="6F2E492F"/>
    <w:rsid w:val="6F2F01F0"/>
    <w:rsid w:val="6F2FD070"/>
    <w:rsid w:val="6F314FF2"/>
    <w:rsid w:val="6F31C497"/>
    <w:rsid w:val="6F31C78D"/>
    <w:rsid w:val="6F321597"/>
    <w:rsid w:val="6F331AD3"/>
    <w:rsid w:val="6F334802"/>
    <w:rsid w:val="6F33F7A0"/>
    <w:rsid w:val="6F342DEC"/>
    <w:rsid w:val="6F34461A"/>
    <w:rsid w:val="6F34F9DB"/>
    <w:rsid w:val="6F35556F"/>
    <w:rsid w:val="6F3621E4"/>
    <w:rsid w:val="6F373894"/>
    <w:rsid w:val="6F377046"/>
    <w:rsid w:val="6F38B764"/>
    <w:rsid w:val="6F38CD5C"/>
    <w:rsid w:val="6F390B1D"/>
    <w:rsid w:val="6F3938D7"/>
    <w:rsid w:val="6F39F500"/>
    <w:rsid w:val="6F3A1F23"/>
    <w:rsid w:val="6F3A4191"/>
    <w:rsid w:val="6F3A983A"/>
    <w:rsid w:val="6F3AF8B0"/>
    <w:rsid w:val="6F3B4A26"/>
    <w:rsid w:val="6F3B56CE"/>
    <w:rsid w:val="6F3B64CB"/>
    <w:rsid w:val="6F3B9F92"/>
    <w:rsid w:val="6F3CD2A1"/>
    <w:rsid w:val="6F3CFBB5"/>
    <w:rsid w:val="6F3E8F94"/>
    <w:rsid w:val="6F3F1A8E"/>
    <w:rsid w:val="6F3F5A3D"/>
    <w:rsid w:val="6F401652"/>
    <w:rsid w:val="6F40956E"/>
    <w:rsid w:val="6F40B003"/>
    <w:rsid w:val="6F413A6D"/>
    <w:rsid w:val="6F415D3B"/>
    <w:rsid w:val="6F41664A"/>
    <w:rsid w:val="6F41B36F"/>
    <w:rsid w:val="6F4241FF"/>
    <w:rsid w:val="6F425CB5"/>
    <w:rsid w:val="6F42666D"/>
    <w:rsid w:val="6F429104"/>
    <w:rsid w:val="6F429EB2"/>
    <w:rsid w:val="6F43FA24"/>
    <w:rsid w:val="6F453100"/>
    <w:rsid w:val="6F456A8C"/>
    <w:rsid w:val="6F4643E3"/>
    <w:rsid w:val="6F469777"/>
    <w:rsid w:val="6F4712C6"/>
    <w:rsid w:val="6F47F9FC"/>
    <w:rsid w:val="6F486ADA"/>
    <w:rsid w:val="6F488BDA"/>
    <w:rsid w:val="6F489F09"/>
    <w:rsid w:val="6F4A4F71"/>
    <w:rsid w:val="6F4AB5C9"/>
    <w:rsid w:val="6F4AB753"/>
    <w:rsid w:val="6F4B7772"/>
    <w:rsid w:val="6F4B78B1"/>
    <w:rsid w:val="6F4B988C"/>
    <w:rsid w:val="6F4CDCF6"/>
    <w:rsid w:val="6F4D1C0D"/>
    <w:rsid w:val="6F4E0422"/>
    <w:rsid w:val="6F4E8176"/>
    <w:rsid w:val="6F4ECB14"/>
    <w:rsid w:val="6F4F02B5"/>
    <w:rsid w:val="6F4F9FC0"/>
    <w:rsid w:val="6F4FF014"/>
    <w:rsid w:val="6F5085AF"/>
    <w:rsid w:val="6F50D8B2"/>
    <w:rsid w:val="6F5106BB"/>
    <w:rsid w:val="6F515B4D"/>
    <w:rsid w:val="6F5162AD"/>
    <w:rsid w:val="6F524AA2"/>
    <w:rsid w:val="6F533298"/>
    <w:rsid w:val="6F53B2DF"/>
    <w:rsid w:val="6F5417DA"/>
    <w:rsid w:val="6F54BD72"/>
    <w:rsid w:val="6F5596EE"/>
    <w:rsid w:val="6F563CF6"/>
    <w:rsid w:val="6F56F6B4"/>
    <w:rsid w:val="6F570A29"/>
    <w:rsid w:val="6F57D9FA"/>
    <w:rsid w:val="6F59CFD7"/>
    <w:rsid w:val="6F5AA64D"/>
    <w:rsid w:val="6F5B99D9"/>
    <w:rsid w:val="6F5C516F"/>
    <w:rsid w:val="6F5D00A2"/>
    <w:rsid w:val="6F5D26A4"/>
    <w:rsid w:val="6F5DAE30"/>
    <w:rsid w:val="6F5DD34F"/>
    <w:rsid w:val="6F5E198F"/>
    <w:rsid w:val="6F5E8851"/>
    <w:rsid w:val="6F5E8F05"/>
    <w:rsid w:val="6F5EC9BD"/>
    <w:rsid w:val="6F60DD15"/>
    <w:rsid w:val="6F6196E9"/>
    <w:rsid w:val="6F621E77"/>
    <w:rsid w:val="6F62612A"/>
    <w:rsid w:val="6F629794"/>
    <w:rsid w:val="6F6305FE"/>
    <w:rsid w:val="6F633E94"/>
    <w:rsid w:val="6F641112"/>
    <w:rsid w:val="6F653EC9"/>
    <w:rsid w:val="6F663011"/>
    <w:rsid w:val="6F664844"/>
    <w:rsid w:val="6F666009"/>
    <w:rsid w:val="6F66A3B1"/>
    <w:rsid w:val="6F6840EA"/>
    <w:rsid w:val="6F686936"/>
    <w:rsid w:val="6F6973A4"/>
    <w:rsid w:val="6F6992C8"/>
    <w:rsid w:val="6F69BC92"/>
    <w:rsid w:val="6F69C284"/>
    <w:rsid w:val="6F6A148D"/>
    <w:rsid w:val="6F6CC310"/>
    <w:rsid w:val="6F6CD1B8"/>
    <w:rsid w:val="6F6D37FC"/>
    <w:rsid w:val="6F6DE013"/>
    <w:rsid w:val="6F6F4E01"/>
    <w:rsid w:val="6F6F68CF"/>
    <w:rsid w:val="6F6F6C58"/>
    <w:rsid w:val="6F6F7BFF"/>
    <w:rsid w:val="6F71E3E0"/>
    <w:rsid w:val="6F723D4D"/>
    <w:rsid w:val="6F72896C"/>
    <w:rsid w:val="6F730B53"/>
    <w:rsid w:val="6F7383CA"/>
    <w:rsid w:val="6F73DBCA"/>
    <w:rsid w:val="6F7454F7"/>
    <w:rsid w:val="6F754142"/>
    <w:rsid w:val="6F755B84"/>
    <w:rsid w:val="6F756AC4"/>
    <w:rsid w:val="6F765724"/>
    <w:rsid w:val="6F769CF9"/>
    <w:rsid w:val="6F7737CD"/>
    <w:rsid w:val="6F775C95"/>
    <w:rsid w:val="6F778B08"/>
    <w:rsid w:val="6F787434"/>
    <w:rsid w:val="6F789DC0"/>
    <w:rsid w:val="6F78A671"/>
    <w:rsid w:val="6F78A8AC"/>
    <w:rsid w:val="6F78AF91"/>
    <w:rsid w:val="6F79D6AC"/>
    <w:rsid w:val="6F7B1165"/>
    <w:rsid w:val="6F7B1FB5"/>
    <w:rsid w:val="6F7C2E40"/>
    <w:rsid w:val="6F7D235E"/>
    <w:rsid w:val="6F7D2A87"/>
    <w:rsid w:val="6F7EEB4B"/>
    <w:rsid w:val="6F7F7D89"/>
    <w:rsid w:val="6F7FAE9E"/>
    <w:rsid w:val="6F7FCC31"/>
    <w:rsid w:val="6F7FF3B0"/>
    <w:rsid w:val="6F7FFFA3"/>
    <w:rsid w:val="6F8069A0"/>
    <w:rsid w:val="6F80C0B8"/>
    <w:rsid w:val="6F812A08"/>
    <w:rsid w:val="6F817195"/>
    <w:rsid w:val="6F82479D"/>
    <w:rsid w:val="6F82981B"/>
    <w:rsid w:val="6F830183"/>
    <w:rsid w:val="6F844201"/>
    <w:rsid w:val="6F84651A"/>
    <w:rsid w:val="6F846818"/>
    <w:rsid w:val="6F85E4EB"/>
    <w:rsid w:val="6F85E520"/>
    <w:rsid w:val="6F86811C"/>
    <w:rsid w:val="6F869856"/>
    <w:rsid w:val="6F8732D7"/>
    <w:rsid w:val="6F875891"/>
    <w:rsid w:val="6F87AC3B"/>
    <w:rsid w:val="6F884C4F"/>
    <w:rsid w:val="6F885E76"/>
    <w:rsid w:val="6F88C1F2"/>
    <w:rsid w:val="6F8904A1"/>
    <w:rsid w:val="6F891C61"/>
    <w:rsid w:val="6F89B625"/>
    <w:rsid w:val="6F89E30E"/>
    <w:rsid w:val="6F8A2E4C"/>
    <w:rsid w:val="6F8A4ABB"/>
    <w:rsid w:val="6F8ADAA3"/>
    <w:rsid w:val="6F8B111F"/>
    <w:rsid w:val="6F8BC18B"/>
    <w:rsid w:val="6F8BE9E8"/>
    <w:rsid w:val="6F8C0A60"/>
    <w:rsid w:val="6F8C0E8A"/>
    <w:rsid w:val="6F8C79DD"/>
    <w:rsid w:val="6F8E4FDC"/>
    <w:rsid w:val="6F8F4E0C"/>
    <w:rsid w:val="6F8FC910"/>
    <w:rsid w:val="6F8FF712"/>
    <w:rsid w:val="6F905A1A"/>
    <w:rsid w:val="6F91202A"/>
    <w:rsid w:val="6F91CA3C"/>
    <w:rsid w:val="6F9258DB"/>
    <w:rsid w:val="6F929BE3"/>
    <w:rsid w:val="6F932A55"/>
    <w:rsid w:val="6F933240"/>
    <w:rsid w:val="6F943374"/>
    <w:rsid w:val="6F97302D"/>
    <w:rsid w:val="6F977943"/>
    <w:rsid w:val="6F985F60"/>
    <w:rsid w:val="6F987BBB"/>
    <w:rsid w:val="6F999614"/>
    <w:rsid w:val="6F9B118B"/>
    <w:rsid w:val="6F9B5C3D"/>
    <w:rsid w:val="6F9B9F01"/>
    <w:rsid w:val="6F9BAA04"/>
    <w:rsid w:val="6F9BC3F8"/>
    <w:rsid w:val="6F9C00F7"/>
    <w:rsid w:val="6F9D0BAA"/>
    <w:rsid w:val="6F9DCC9D"/>
    <w:rsid w:val="6F9E7310"/>
    <w:rsid w:val="6F9E8581"/>
    <w:rsid w:val="6F9EF119"/>
    <w:rsid w:val="6F9F216E"/>
    <w:rsid w:val="6F9FBB69"/>
    <w:rsid w:val="6FA01F8A"/>
    <w:rsid w:val="6FA0636E"/>
    <w:rsid w:val="6FA0E9C1"/>
    <w:rsid w:val="6FA1201C"/>
    <w:rsid w:val="6FA204DE"/>
    <w:rsid w:val="6FA21EA6"/>
    <w:rsid w:val="6FA23578"/>
    <w:rsid w:val="6FA36033"/>
    <w:rsid w:val="6FA3AE96"/>
    <w:rsid w:val="6FA47F43"/>
    <w:rsid w:val="6FA4E964"/>
    <w:rsid w:val="6FA58A50"/>
    <w:rsid w:val="6FA67E0F"/>
    <w:rsid w:val="6FA693F5"/>
    <w:rsid w:val="6FA6C043"/>
    <w:rsid w:val="6FA75D10"/>
    <w:rsid w:val="6FA767B0"/>
    <w:rsid w:val="6FA7DE45"/>
    <w:rsid w:val="6FA83675"/>
    <w:rsid w:val="6FA91D11"/>
    <w:rsid w:val="6FA92350"/>
    <w:rsid w:val="6FA96052"/>
    <w:rsid w:val="6FA99F0C"/>
    <w:rsid w:val="6FA9A62F"/>
    <w:rsid w:val="6FAA1313"/>
    <w:rsid w:val="6FAA78FC"/>
    <w:rsid w:val="6FABD954"/>
    <w:rsid w:val="6FABFA0A"/>
    <w:rsid w:val="6FACE25D"/>
    <w:rsid w:val="6FAD8E5D"/>
    <w:rsid w:val="6FADA07B"/>
    <w:rsid w:val="6FAEFDCB"/>
    <w:rsid w:val="6FAF43AA"/>
    <w:rsid w:val="6FAF9CDD"/>
    <w:rsid w:val="6FAFA598"/>
    <w:rsid w:val="6FAFC657"/>
    <w:rsid w:val="6FAFDABE"/>
    <w:rsid w:val="6FAFF8DE"/>
    <w:rsid w:val="6FB0E818"/>
    <w:rsid w:val="6FB19362"/>
    <w:rsid w:val="6FB1C263"/>
    <w:rsid w:val="6FB27E04"/>
    <w:rsid w:val="6FB28DC2"/>
    <w:rsid w:val="6FB3D3DB"/>
    <w:rsid w:val="6FB42D98"/>
    <w:rsid w:val="6FB43B0D"/>
    <w:rsid w:val="6FB5055D"/>
    <w:rsid w:val="6FB581A1"/>
    <w:rsid w:val="6FB5FD51"/>
    <w:rsid w:val="6FB703BE"/>
    <w:rsid w:val="6FB82770"/>
    <w:rsid w:val="6FB8822E"/>
    <w:rsid w:val="6FB8AD90"/>
    <w:rsid w:val="6FB952D0"/>
    <w:rsid w:val="6FBA4BAE"/>
    <w:rsid w:val="6FBB1B48"/>
    <w:rsid w:val="6FBB73BD"/>
    <w:rsid w:val="6FBB840C"/>
    <w:rsid w:val="6FBBCA2B"/>
    <w:rsid w:val="6FBC1D38"/>
    <w:rsid w:val="6FBD35BC"/>
    <w:rsid w:val="6FBD8099"/>
    <w:rsid w:val="6FBDB346"/>
    <w:rsid w:val="6FBE43EF"/>
    <w:rsid w:val="6FBEC309"/>
    <w:rsid w:val="6FBF4014"/>
    <w:rsid w:val="6FBF92D9"/>
    <w:rsid w:val="6FBFDD6A"/>
    <w:rsid w:val="6FC0130F"/>
    <w:rsid w:val="6FC04FFB"/>
    <w:rsid w:val="6FC13B01"/>
    <w:rsid w:val="6FC1E9E1"/>
    <w:rsid w:val="6FC1EB00"/>
    <w:rsid w:val="6FC33C88"/>
    <w:rsid w:val="6FC3F2FB"/>
    <w:rsid w:val="6FC4AE61"/>
    <w:rsid w:val="6FC4EED3"/>
    <w:rsid w:val="6FC53268"/>
    <w:rsid w:val="6FC5C9F3"/>
    <w:rsid w:val="6FC5CC35"/>
    <w:rsid w:val="6FC5D457"/>
    <w:rsid w:val="6FC605A0"/>
    <w:rsid w:val="6FC65F1A"/>
    <w:rsid w:val="6FC66074"/>
    <w:rsid w:val="6FC6BFE2"/>
    <w:rsid w:val="6FC7055B"/>
    <w:rsid w:val="6FC78BA8"/>
    <w:rsid w:val="6FC7C500"/>
    <w:rsid w:val="6FC83A7D"/>
    <w:rsid w:val="6FC83C19"/>
    <w:rsid w:val="6FC878E0"/>
    <w:rsid w:val="6FC8E3A9"/>
    <w:rsid w:val="6FC964FB"/>
    <w:rsid w:val="6FC99D35"/>
    <w:rsid w:val="6FC9DFB1"/>
    <w:rsid w:val="6FCAC85F"/>
    <w:rsid w:val="6FCC0AC0"/>
    <w:rsid w:val="6FCC3263"/>
    <w:rsid w:val="6FCCE8EA"/>
    <w:rsid w:val="6FCDA9BB"/>
    <w:rsid w:val="6FCDE148"/>
    <w:rsid w:val="6FCE42EB"/>
    <w:rsid w:val="6FCE4777"/>
    <w:rsid w:val="6FCE48DD"/>
    <w:rsid w:val="6FCF6816"/>
    <w:rsid w:val="6FCF7E16"/>
    <w:rsid w:val="6FD012EA"/>
    <w:rsid w:val="6FD0D024"/>
    <w:rsid w:val="6FD0E92F"/>
    <w:rsid w:val="6FD19F15"/>
    <w:rsid w:val="6FD1C287"/>
    <w:rsid w:val="6FD22E63"/>
    <w:rsid w:val="6FD27EBA"/>
    <w:rsid w:val="6FD32E5D"/>
    <w:rsid w:val="6FD45333"/>
    <w:rsid w:val="6FD5C891"/>
    <w:rsid w:val="6FD6400D"/>
    <w:rsid w:val="6FD70DAD"/>
    <w:rsid w:val="6FD79839"/>
    <w:rsid w:val="6FD7EEF1"/>
    <w:rsid w:val="6FD84034"/>
    <w:rsid w:val="6FD850B8"/>
    <w:rsid w:val="6FD8729E"/>
    <w:rsid w:val="6FD88DFD"/>
    <w:rsid w:val="6FD8FAA9"/>
    <w:rsid w:val="6FD92FCA"/>
    <w:rsid w:val="6FDA5597"/>
    <w:rsid w:val="6FDA65E3"/>
    <w:rsid w:val="6FDAA543"/>
    <w:rsid w:val="6FDAF260"/>
    <w:rsid w:val="6FDC29B8"/>
    <w:rsid w:val="6FDC5F0C"/>
    <w:rsid w:val="6FDC6130"/>
    <w:rsid w:val="6FDD9A09"/>
    <w:rsid w:val="6FDE04C6"/>
    <w:rsid w:val="6FDE3B75"/>
    <w:rsid w:val="6FDEA8E0"/>
    <w:rsid w:val="6FDEC529"/>
    <w:rsid w:val="6FDF27B7"/>
    <w:rsid w:val="6FE062F4"/>
    <w:rsid w:val="6FE0953F"/>
    <w:rsid w:val="6FE0962C"/>
    <w:rsid w:val="6FE0B21A"/>
    <w:rsid w:val="6FE102C7"/>
    <w:rsid w:val="6FE13645"/>
    <w:rsid w:val="6FE1BB32"/>
    <w:rsid w:val="6FE1E4E4"/>
    <w:rsid w:val="6FE210C8"/>
    <w:rsid w:val="6FE224B2"/>
    <w:rsid w:val="6FE2A5EF"/>
    <w:rsid w:val="6FE338D7"/>
    <w:rsid w:val="6FE3DE89"/>
    <w:rsid w:val="6FE44ADF"/>
    <w:rsid w:val="6FE4D03A"/>
    <w:rsid w:val="6FE613D1"/>
    <w:rsid w:val="6FE6C336"/>
    <w:rsid w:val="6FE7FF24"/>
    <w:rsid w:val="6FE82A05"/>
    <w:rsid w:val="6FE88873"/>
    <w:rsid w:val="6FEA2580"/>
    <w:rsid w:val="6FEB17B3"/>
    <w:rsid w:val="6FEB5BDE"/>
    <w:rsid w:val="6FEC6C36"/>
    <w:rsid w:val="6FED6D06"/>
    <w:rsid w:val="6FED8931"/>
    <w:rsid w:val="6FEDC820"/>
    <w:rsid w:val="6FEE4E30"/>
    <w:rsid w:val="6FEE9514"/>
    <w:rsid w:val="6FF0818F"/>
    <w:rsid w:val="6FF0BAFD"/>
    <w:rsid w:val="6FF25083"/>
    <w:rsid w:val="6FF28FB3"/>
    <w:rsid w:val="6FF2CDDA"/>
    <w:rsid w:val="6FF310F1"/>
    <w:rsid w:val="6FF3795C"/>
    <w:rsid w:val="6FF382FA"/>
    <w:rsid w:val="6FF4D369"/>
    <w:rsid w:val="6FF59A72"/>
    <w:rsid w:val="6FF5AC97"/>
    <w:rsid w:val="6FF602FC"/>
    <w:rsid w:val="6FF6A74E"/>
    <w:rsid w:val="6FF6F51B"/>
    <w:rsid w:val="6FF86DD4"/>
    <w:rsid w:val="6FF8D377"/>
    <w:rsid w:val="6FF9A005"/>
    <w:rsid w:val="6FF9F72B"/>
    <w:rsid w:val="6FF9FEBD"/>
    <w:rsid w:val="6FFB7DB3"/>
    <w:rsid w:val="6FFC1D25"/>
    <w:rsid w:val="6FFCC3C3"/>
    <w:rsid w:val="6FFD296B"/>
    <w:rsid w:val="6FFD4717"/>
    <w:rsid w:val="6FFE7527"/>
    <w:rsid w:val="6FFF1FE0"/>
    <w:rsid w:val="6FFFA224"/>
    <w:rsid w:val="6FFFA6B2"/>
    <w:rsid w:val="6FFFDE7F"/>
    <w:rsid w:val="7000018A"/>
    <w:rsid w:val="7001DE71"/>
    <w:rsid w:val="70024FDD"/>
    <w:rsid w:val="7002522D"/>
    <w:rsid w:val="7002985F"/>
    <w:rsid w:val="70029E3E"/>
    <w:rsid w:val="7003EA4B"/>
    <w:rsid w:val="70040031"/>
    <w:rsid w:val="7004CC47"/>
    <w:rsid w:val="70055C45"/>
    <w:rsid w:val="70056E9D"/>
    <w:rsid w:val="70058032"/>
    <w:rsid w:val="70074A2E"/>
    <w:rsid w:val="70078799"/>
    <w:rsid w:val="7007F19A"/>
    <w:rsid w:val="70083368"/>
    <w:rsid w:val="7008AF9B"/>
    <w:rsid w:val="7008B673"/>
    <w:rsid w:val="7008DD9A"/>
    <w:rsid w:val="70092077"/>
    <w:rsid w:val="700940BB"/>
    <w:rsid w:val="70094979"/>
    <w:rsid w:val="70095413"/>
    <w:rsid w:val="7009AEE5"/>
    <w:rsid w:val="700A49CF"/>
    <w:rsid w:val="700AAC0D"/>
    <w:rsid w:val="700ABF97"/>
    <w:rsid w:val="700AC143"/>
    <w:rsid w:val="700AF6B1"/>
    <w:rsid w:val="700B8454"/>
    <w:rsid w:val="700C5479"/>
    <w:rsid w:val="700C8491"/>
    <w:rsid w:val="700CB588"/>
    <w:rsid w:val="700D7DD6"/>
    <w:rsid w:val="700DB34A"/>
    <w:rsid w:val="700E8FC2"/>
    <w:rsid w:val="700EC1F0"/>
    <w:rsid w:val="700EE6B8"/>
    <w:rsid w:val="700F4A9A"/>
    <w:rsid w:val="700F66A4"/>
    <w:rsid w:val="700F762C"/>
    <w:rsid w:val="700F7C74"/>
    <w:rsid w:val="701079C8"/>
    <w:rsid w:val="70110A7A"/>
    <w:rsid w:val="701148F9"/>
    <w:rsid w:val="701174D7"/>
    <w:rsid w:val="7012F3F0"/>
    <w:rsid w:val="70136F35"/>
    <w:rsid w:val="70137A97"/>
    <w:rsid w:val="70138D9E"/>
    <w:rsid w:val="7013A8EA"/>
    <w:rsid w:val="7013ED53"/>
    <w:rsid w:val="70146A12"/>
    <w:rsid w:val="70155FB1"/>
    <w:rsid w:val="70162160"/>
    <w:rsid w:val="70164244"/>
    <w:rsid w:val="7017867D"/>
    <w:rsid w:val="70178EA1"/>
    <w:rsid w:val="7018A2A3"/>
    <w:rsid w:val="70190AEA"/>
    <w:rsid w:val="70194F14"/>
    <w:rsid w:val="701A1E5F"/>
    <w:rsid w:val="701A8CF3"/>
    <w:rsid w:val="701B77E2"/>
    <w:rsid w:val="701BD416"/>
    <w:rsid w:val="701BEBA5"/>
    <w:rsid w:val="701C036D"/>
    <w:rsid w:val="701D3F2C"/>
    <w:rsid w:val="701DFF44"/>
    <w:rsid w:val="701E4278"/>
    <w:rsid w:val="701F3D2B"/>
    <w:rsid w:val="701F9284"/>
    <w:rsid w:val="701FCD26"/>
    <w:rsid w:val="70224AFE"/>
    <w:rsid w:val="70224CD8"/>
    <w:rsid w:val="702270D2"/>
    <w:rsid w:val="702288F9"/>
    <w:rsid w:val="70229BDC"/>
    <w:rsid w:val="7022C827"/>
    <w:rsid w:val="7024447E"/>
    <w:rsid w:val="7024A69D"/>
    <w:rsid w:val="70253FBD"/>
    <w:rsid w:val="7025A89C"/>
    <w:rsid w:val="7025DACB"/>
    <w:rsid w:val="70268097"/>
    <w:rsid w:val="7026E9F3"/>
    <w:rsid w:val="70272A78"/>
    <w:rsid w:val="70274316"/>
    <w:rsid w:val="7027DE39"/>
    <w:rsid w:val="7027E588"/>
    <w:rsid w:val="702884C6"/>
    <w:rsid w:val="7029423F"/>
    <w:rsid w:val="70295652"/>
    <w:rsid w:val="70298654"/>
    <w:rsid w:val="702A21E1"/>
    <w:rsid w:val="702A9C16"/>
    <w:rsid w:val="702ADA6F"/>
    <w:rsid w:val="702ADB9A"/>
    <w:rsid w:val="702B0851"/>
    <w:rsid w:val="702C406E"/>
    <w:rsid w:val="702C4AF4"/>
    <w:rsid w:val="702D9831"/>
    <w:rsid w:val="702E22EB"/>
    <w:rsid w:val="702F546F"/>
    <w:rsid w:val="702FB865"/>
    <w:rsid w:val="702FCE2F"/>
    <w:rsid w:val="7030B2D1"/>
    <w:rsid w:val="7031047A"/>
    <w:rsid w:val="70312A9A"/>
    <w:rsid w:val="7031518E"/>
    <w:rsid w:val="70329314"/>
    <w:rsid w:val="7032FFED"/>
    <w:rsid w:val="70332768"/>
    <w:rsid w:val="7033B573"/>
    <w:rsid w:val="70340A31"/>
    <w:rsid w:val="70358F12"/>
    <w:rsid w:val="70379CC8"/>
    <w:rsid w:val="7037B344"/>
    <w:rsid w:val="7037C966"/>
    <w:rsid w:val="70388CDF"/>
    <w:rsid w:val="7038936D"/>
    <w:rsid w:val="70395AB1"/>
    <w:rsid w:val="7039BD6F"/>
    <w:rsid w:val="7039D219"/>
    <w:rsid w:val="703A1700"/>
    <w:rsid w:val="703AA459"/>
    <w:rsid w:val="703B0CFE"/>
    <w:rsid w:val="703BC175"/>
    <w:rsid w:val="703BECE2"/>
    <w:rsid w:val="703C8F16"/>
    <w:rsid w:val="703CBE82"/>
    <w:rsid w:val="703D8A05"/>
    <w:rsid w:val="703D98E8"/>
    <w:rsid w:val="703DBB23"/>
    <w:rsid w:val="703E3166"/>
    <w:rsid w:val="703F3285"/>
    <w:rsid w:val="703F8249"/>
    <w:rsid w:val="7040B1EC"/>
    <w:rsid w:val="70410CA9"/>
    <w:rsid w:val="704223FE"/>
    <w:rsid w:val="70426940"/>
    <w:rsid w:val="7044461E"/>
    <w:rsid w:val="7044C156"/>
    <w:rsid w:val="704555BD"/>
    <w:rsid w:val="70456310"/>
    <w:rsid w:val="704576CD"/>
    <w:rsid w:val="70459F17"/>
    <w:rsid w:val="70463AC5"/>
    <w:rsid w:val="704682F4"/>
    <w:rsid w:val="7047D14C"/>
    <w:rsid w:val="704917DF"/>
    <w:rsid w:val="70497F46"/>
    <w:rsid w:val="704B1043"/>
    <w:rsid w:val="704B4501"/>
    <w:rsid w:val="704B4532"/>
    <w:rsid w:val="704B4726"/>
    <w:rsid w:val="704B7E8E"/>
    <w:rsid w:val="704BC241"/>
    <w:rsid w:val="704BD779"/>
    <w:rsid w:val="704BF555"/>
    <w:rsid w:val="704C51C2"/>
    <w:rsid w:val="704CCBA5"/>
    <w:rsid w:val="704D8336"/>
    <w:rsid w:val="704DF835"/>
    <w:rsid w:val="704E0CF3"/>
    <w:rsid w:val="704F1571"/>
    <w:rsid w:val="70507AD2"/>
    <w:rsid w:val="70508F39"/>
    <w:rsid w:val="7050986F"/>
    <w:rsid w:val="70517AC2"/>
    <w:rsid w:val="70518E45"/>
    <w:rsid w:val="70519120"/>
    <w:rsid w:val="70523656"/>
    <w:rsid w:val="7053B268"/>
    <w:rsid w:val="7053E6CA"/>
    <w:rsid w:val="70544C1E"/>
    <w:rsid w:val="70544E65"/>
    <w:rsid w:val="70548C69"/>
    <w:rsid w:val="7054C222"/>
    <w:rsid w:val="7054F29C"/>
    <w:rsid w:val="705503C7"/>
    <w:rsid w:val="705534A4"/>
    <w:rsid w:val="705631A9"/>
    <w:rsid w:val="7056774B"/>
    <w:rsid w:val="70569793"/>
    <w:rsid w:val="70574BC7"/>
    <w:rsid w:val="7057C632"/>
    <w:rsid w:val="7057F4E5"/>
    <w:rsid w:val="7058093D"/>
    <w:rsid w:val="70583813"/>
    <w:rsid w:val="7058447F"/>
    <w:rsid w:val="70587318"/>
    <w:rsid w:val="7058A5D5"/>
    <w:rsid w:val="7058C753"/>
    <w:rsid w:val="70599E61"/>
    <w:rsid w:val="7059BEFA"/>
    <w:rsid w:val="7059F3C0"/>
    <w:rsid w:val="705A0DC5"/>
    <w:rsid w:val="705A1691"/>
    <w:rsid w:val="705B38C6"/>
    <w:rsid w:val="705B948E"/>
    <w:rsid w:val="705BCF26"/>
    <w:rsid w:val="705C902A"/>
    <w:rsid w:val="705CCF26"/>
    <w:rsid w:val="705DA5C7"/>
    <w:rsid w:val="705ED670"/>
    <w:rsid w:val="705FB1C4"/>
    <w:rsid w:val="70602AC5"/>
    <w:rsid w:val="706066A2"/>
    <w:rsid w:val="70616292"/>
    <w:rsid w:val="7061F647"/>
    <w:rsid w:val="706323B6"/>
    <w:rsid w:val="7063DCE8"/>
    <w:rsid w:val="7065017E"/>
    <w:rsid w:val="7065D8FD"/>
    <w:rsid w:val="70668E13"/>
    <w:rsid w:val="7066CEED"/>
    <w:rsid w:val="7066FFD6"/>
    <w:rsid w:val="70685AFC"/>
    <w:rsid w:val="70690071"/>
    <w:rsid w:val="7069A8D4"/>
    <w:rsid w:val="706A58FD"/>
    <w:rsid w:val="706AEEE1"/>
    <w:rsid w:val="706C0577"/>
    <w:rsid w:val="706C9893"/>
    <w:rsid w:val="706CB667"/>
    <w:rsid w:val="706D22C6"/>
    <w:rsid w:val="706D40E4"/>
    <w:rsid w:val="706DD295"/>
    <w:rsid w:val="706E6F7E"/>
    <w:rsid w:val="706E760F"/>
    <w:rsid w:val="706EDB4F"/>
    <w:rsid w:val="706FACF3"/>
    <w:rsid w:val="70706A94"/>
    <w:rsid w:val="707073A1"/>
    <w:rsid w:val="7070A9D9"/>
    <w:rsid w:val="7070B841"/>
    <w:rsid w:val="7071E56C"/>
    <w:rsid w:val="70720D03"/>
    <w:rsid w:val="707385EA"/>
    <w:rsid w:val="707420D7"/>
    <w:rsid w:val="7074732E"/>
    <w:rsid w:val="7074AA2B"/>
    <w:rsid w:val="70751D0B"/>
    <w:rsid w:val="707612BF"/>
    <w:rsid w:val="70763A80"/>
    <w:rsid w:val="707668BC"/>
    <w:rsid w:val="7077CFA8"/>
    <w:rsid w:val="70785CDE"/>
    <w:rsid w:val="7078A3E3"/>
    <w:rsid w:val="7078E84A"/>
    <w:rsid w:val="7079339B"/>
    <w:rsid w:val="70795727"/>
    <w:rsid w:val="70799202"/>
    <w:rsid w:val="7079AA6A"/>
    <w:rsid w:val="707AED84"/>
    <w:rsid w:val="707B1669"/>
    <w:rsid w:val="707B8066"/>
    <w:rsid w:val="707BF5AB"/>
    <w:rsid w:val="707C4199"/>
    <w:rsid w:val="707C8333"/>
    <w:rsid w:val="707D4DE7"/>
    <w:rsid w:val="707DC6DF"/>
    <w:rsid w:val="707FF5A9"/>
    <w:rsid w:val="708072DE"/>
    <w:rsid w:val="7081A959"/>
    <w:rsid w:val="70820292"/>
    <w:rsid w:val="708251E1"/>
    <w:rsid w:val="70827FC7"/>
    <w:rsid w:val="7082CFAE"/>
    <w:rsid w:val="70830DD5"/>
    <w:rsid w:val="70831832"/>
    <w:rsid w:val="70832761"/>
    <w:rsid w:val="70846672"/>
    <w:rsid w:val="7084A0B3"/>
    <w:rsid w:val="70858F88"/>
    <w:rsid w:val="7086FEC7"/>
    <w:rsid w:val="70871C87"/>
    <w:rsid w:val="70871ED7"/>
    <w:rsid w:val="70873FFD"/>
    <w:rsid w:val="70877711"/>
    <w:rsid w:val="7087D9C4"/>
    <w:rsid w:val="708811F0"/>
    <w:rsid w:val="70881405"/>
    <w:rsid w:val="7088959A"/>
    <w:rsid w:val="7088DD87"/>
    <w:rsid w:val="7088E48E"/>
    <w:rsid w:val="7088F530"/>
    <w:rsid w:val="7088FD5D"/>
    <w:rsid w:val="7089E30A"/>
    <w:rsid w:val="7089FD9F"/>
    <w:rsid w:val="708B0FD7"/>
    <w:rsid w:val="708B116D"/>
    <w:rsid w:val="708B1BEC"/>
    <w:rsid w:val="708B371E"/>
    <w:rsid w:val="708B9D04"/>
    <w:rsid w:val="708D25A5"/>
    <w:rsid w:val="708D69FB"/>
    <w:rsid w:val="708DBA60"/>
    <w:rsid w:val="708E6876"/>
    <w:rsid w:val="708E96BE"/>
    <w:rsid w:val="708F896F"/>
    <w:rsid w:val="708FA9CA"/>
    <w:rsid w:val="708FE409"/>
    <w:rsid w:val="70900B20"/>
    <w:rsid w:val="7090AD5A"/>
    <w:rsid w:val="70917EF6"/>
    <w:rsid w:val="709373C1"/>
    <w:rsid w:val="7093A128"/>
    <w:rsid w:val="7094583F"/>
    <w:rsid w:val="7095739F"/>
    <w:rsid w:val="7095869F"/>
    <w:rsid w:val="7095D372"/>
    <w:rsid w:val="7096A648"/>
    <w:rsid w:val="7096AEBB"/>
    <w:rsid w:val="70981768"/>
    <w:rsid w:val="70987E16"/>
    <w:rsid w:val="7099AAAB"/>
    <w:rsid w:val="709A2203"/>
    <w:rsid w:val="709A5515"/>
    <w:rsid w:val="709B649F"/>
    <w:rsid w:val="709B8BD3"/>
    <w:rsid w:val="709BA6D0"/>
    <w:rsid w:val="709C0E4A"/>
    <w:rsid w:val="709C7356"/>
    <w:rsid w:val="709C904E"/>
    <w:rsid w:val="709C9964"/>
    <w:rsid w:val="709CBCDF"/>
    <w:rsid w:val="709D0F6A"/>
    <w:rsid w:val="709D2B01"/>
    <w:rsid w:val="709D4C8B"/>
    <w:rsid w:val="709D51D8"/>
    <w:rsid w:val="709E1B52"/>
    <w:rsid w:val="709EE249"/>
    <w:rsid w:val="709F157F"/>
    <w:rsid w:val="709F8D4F"/>
    <w:rsid w:val="709FD568"/>
    <w:rsid w:val="70A0F187"/>
    <w:rsid w:val="70A13415"/>
    <w:rsid w:val="70A2029B"/>
    <w:rsid w:val="70A22670"/>
    <w:rsid w:val="70A3FF70"/>
    <w:rsid w:val="70A45A78"/>
    <w:rsid w:val="70A46214"/>
    <w:rsid w:val="70A53202"/>
    <w:rsid w:val="70A59884"/>
    <w:rsid w:val="70A5C48E"/>
    <w:rsid w:val="70A5D425"/>
    <w:rsid w:val="70A64788"/>
    <w:rsid w:val="70A6F2CA"/>
    <w:rsid w:val="70A73443"/>
    <w:rsid w:val="70A74D51"/>
    <w:rsid w:val="70A7796E"/>
    <w:rsid w:val="70A789AA"/>
    <w:rsid w:val="70A87418"/>
    <w:rsid w:val="70A8A1A1"/>
    <w:rsid w:val="70A8E21A"/>
    <w:rsid w:val="70A9055D"/>
    <w:rsid w:val="70A95255"/>
    <w:rsid w:val="70A9B012"/>
    <w:rsid w:val="70AA4F04"/>
    <w:rsid w:val="70AA6157"/>
    <w:rsid w:val="70AB7671"/>
    <w:rsid w:val="70AD0B8B"/>
    <w:rsid w:val="70AD4154"/>
    <w:rsid w:val="70AE165F"/>
    <w:rsid w:val="70AE1741"/>
    <w:rsid w:val="70AE2C7C"/>
    <w:rsid w:val="70AEE8B3"/>
    <w:rsid w:val="70AF19DA"/>
    <w:rsid w:val="70AFF798"/>
    <w:rsid w:val="70AFFD7E"/>
    <w:rsid w:val="70B004DC"/>
    <w:rsid w:val="70B0F44D"/>
    <w:rsid w:val="70B10D43"/>
    <w:rsid w:val="70B1604C"/>
    <w:rsid w:val="70B181D3"/>
    <w:rsid w:val="70B27B0E"/>
    <w:rsid w:val="70B27DCD"/>
    <w:rsid w:val="70B3DC3F"/>
    <w:rsid w:val="70B429DF"/>
    <w:rsid w:val="70B45E7C"/>
    <w:rsid w:val="70B4A6CC"/>
    <w:rsid w:val="70B4A902"/>
    <w:rsid w:val="70B4DC7F"/>
    <w:rsid w:val="70B5677C"/>
    <w:rsid w:val="70B81123"/>
    <w:rsid w:val="70B8BDF6"/>
    <w:rsid w:val="70B96B99"/>
    <w:rsid w:val="70BA846B"/>
    <w:rsid w:val="70BBA3B0"/>
    <w:rsid w:val="70BBFCA5"/>
    <w:rsid w:val="70BD4564"/>
    <w:rsid w:val="70BD7181"/>
    <w:rsid w:val="70BF1835"/>
    <w:rsid w:val="70BF7D30"/>
    <w:rsid w:val="70BFE1B6"/>
    <w:rsid w:val="70BFE828"/>
    <w:rsid w:val="70C04E20"/>
    <w:rsid w:val="70C050BB"/>
    <w:rsid w:val="70C05E21"/>
    <w:rsid w:val="70C26BEA"/>
    <w:rsid w:val="70C2BE8A"/>
    <w:rsid w:val="70C3204B"/>
    <w:rsid w:val="70C3431A"/>
    <w:rsid w:val="70C41309"/>
    <w:rsid w:val="70C426B5"/>
    <w:rsid w:val="70C4747E"/>
    <w:rsid w:val="70C5265F"/>
    <w:rsid w:val="70C556B9"/>
    <w:rsid w:val="70C5B705"/>
    <w:rsid w:val="70C5D29A"/>
    <w:rsid w:val="70C5D7F5"/>
    <w:rsid w:val="70C685F4"/>
    <w:rsid w:val="70C6BF17"/>
    <w:rsid w:val="70C6F2E8"/>
    <w:rsid w:val="70C7783D"/>
    <w:rsid w:val="70C7796D"/>
    <w:rsid w:val="70C83CC0"/>
    <w:rsid w:val="70CA47F5"/>
    <w:rsid w:val="70CA54A1"/>
    <w:rsid w:val="70CBA01B"/>
    <w:rsid w:val="70CBE603"/>
    <w:rsid w:val="70CBE9EA"/>
    <w:rsid w:val="70CC57BF"/>
    <w:rsid w:val="70CC7A73"/>
    <w:rsid w:val="70CC893E"/>
    <w:rsid w:val="70CD39B1"/>
    <w:rsid w:val="70CD7171"/>
    <w:rsid w:val="70CE2892"/>
    <w:rsid w:val="70CF2EA1"/>
    <w:rsid w:val="70CFDFC6"/>
    <w:rsid w:val="70D0742C"/>
    <w:rsid w:val="70D0B552"/>
    <w:rsid w:val="70D117FA"/>
    <w:rsid w:val="70D1917A"/>
    <w:rsid w:val="70D3146D"/>
    <w:rsid w:val="70D3B05D"/>
    <w:rsid w:val="70D404BA"/>
    <w:rsid w:val="70D50221"/>
    <w:rsid w:val="70D54272"/>
    <w:rsid w:val="70D577A2"/>
    <w:rsid w:val="70D61923"/>
    <w:rsid w:val="70D727C1"/>
    <w:rsid w:val="70D78DCC"/>
    <w:rsid w:val="70D84BA1"/>
    <w:rsid w:val="70D875EA"/>
    <w:rsid w:val="70D95096"/>
    <w:rsid w:val="70D976A9"/>
    <w:rsid w:val="70DB77C6"/>
    <w:rsid w:val="70DD3330"/>
    <w:rsid w:val="70DD8DBC"/>
    <w:rsid w:val="70DDCE64"/>
    <w:rsid w:val="70DE3992"/>
    <w:rsid w:val="70DFC80A"/>
    <w:rsid w:val="70E03AA1"/>
    <w:rsid w:val="70E10145"/>
    <w:rsid w:val="70E1A28F"/>
    <w:rsid w:val="70E1DF20"/>
    <w:rsid w:val="70E4AB99"/>
    <w:rsid w:val="70E64B58"/>
    <w:rsid w:val="70E64BD6"/>
    <w:rsid w:val="70E895AD"/>
    <w:rsid w:val="70E8BDEC"/>
    <w:rsid w:val="70E8F876"/>
    <w:rsid w:val="70E93A05"/>
    <w:rsid w:val="70E9D6BD"/>
    <w:rsid w:val="70EAAD7C"/>
    <w:rsid w:val="70EBEBD5"/>
    <w:rsid w:val="70EE26A9"/>
    <w:rsid w:val="70EE8ABA"/>
    <w:rsid w:val="70EE9BB6"/>
    <w:rsid w:val="70EF2DA6"/>
    <w:rsid w:val="70EFA726"/>
    <w:rsid w:val="70EFDF1C"/>
    <w:rsid w:val="70EFE238"/>
    <w:rsid w:val="70F08C8B"/>
    <w:rsid w:val="70F08EE6"/>
    <w:rsid w:val="70F108CF"/>
    <w:rsid w:val="70F12966"/>
    <w:rsid w:val="70F1344E"/>
    <w:rsid w:val="70F19214"/>
    <w:rsid w:val="70F1E245"/>
    <w:rsid w:val="70F239BC"/>
    <w:rsid w:val="70F23C44"/>
    <w:rsid w:val="70F269A8"/>
    <w:rsid w:val="70F2D22D"/>
    <w:rsid w:val="70F32683"/>
    <w:rsid w:val="70F35A94"/>
    <w:rsid w:val="70F3C95E"/>
    <w:rsid w:val="70F4CC25"/>
    <w:rsid w:val="70F4E82D"/>
    <w:rsid w:val="70F59A48"/>
    <w:rsid w:val="70F5C413"/>
    <w:rsid w:val="70F6C59F"/>
    <w:rsid w:val="70F815FB"/>
    <w:rsid w:val="70F88A01"/>
    <w:rsid w:val="70F8958E"/>
    <w:rsid w:val="70F8D499"/>
    <w:rsid w:val="70F9B9B4"/>
    <w:rsid w:val="70FA3879"/>
    <w:rsid w:val="70FA8313"/>
    <w:rsid w:val="70FBD88F"/>
    <w:rsid w:val="70FBFC95"/>
    <w:rsid w:val="70FC54A6"/>
    <w:rsid w:val="70FCB7F1"/>
    <w:rsid w:val="70FD7083"/>
    <w:rsid w:val="70FDC911"/>
    <w:rsid w:val="70FE1CC9"/>
    <w:rsid w:val="70FE954C"/>
    <w:rsid w:val="70FF086D"/>
    <w:rsid w:val="70FF1E71"/>
    <w:rsid w:val="70FF4D17"/>
    <w:rsid w:val="71004911"/>
    <w:rsid w:val="7100674B"/>
    <w:rsid w:val="7101208A"/>
    <w:rsid w:val="71029062"/>
    <w:rsid w:val="7102E0F2"/>
    <w:rsid w:val="71032C78"/>
    <w:rsid w:val="7104A671"/>
    <w:rsid w:val="71059938"/>
    <w:rsid w:val="7106092B"/>
    <w:rsid w:val="71065CD1"/>
    <w:rsid w:val="71065E05"/>
    <w:rsid w:val="71077CFF"/>
    <w:rsid w:val="7108724C"/>
    <w:rsid w:val="7108E136"/>
    <w:rsid w:val="710AF033"/>
    <w:rsid w:val="710B174E"/>
    <w:rsid w:val="710B80E2"/>
    <w:rsid w:val="710B94B3"/>
    <w:rsid w:val="710C5A5C"/>
    <w:rsid w:val="710CEB6B"/>
    <w:rsid w:val="710EE3C8"/>
    <w:rsid w:val="710EE75A"/>
    <w:rsid w:val="710FD7D7"/>
    <w:rsid w:val="711032C6"/>
    <w:rsid w:val="71105EAF"/>
    <w:rsid w:val="71108616"/>
    <w:rsid w:val="7110D35B"/>
    <w:rsid w:val="7110F2B3"/>
    <w:rsid w:val="7110F2E4"/>
    <w:rsid w:val="7111B977"/>
    <w:rsid w:val="71123655"/>
    <w:rsid w:val="7112AA4A"/>
    <w:rsid w:val="7112F2B0"/>
    <w:rsid w:val="71138B64"/>
    <w:rsid w:val="7113E72B"/>
    <w:rsid w:val="7114643C"/>
    <w:rsid w:val="71146846"/>
    <w:rsid w:val="71149D40"/>
    <w:rsid w:val="7114C59C"/>
    <w:rsid w:val="71154EF5"/>
    <w:rsid w:val="71157074"/>
    <w:rsid w:val="7115FA03"/>
    <w:rsid w:val="7116AE17"/>
    <w:rsid w:val="7116B1F6"/>
    <w:rsid w:val="7116BC82"/>
    <w:rsid w:val="71172F5E"/>
    <w:rsid w:val="71178C9A"/>
    <w:rsid w:val="711A5996"/>
    <w:rsid w:val="711B221D"/>
    <w:rsid w:val="711C55CD"/>
    <w:rsid w:val="711CD29A"/>
    <w:rsid w:val="711D1069"/>
    <w:rsid w:val="711DBF53"/>
    <w:rsid w:val="711ED9F5"/>
    <w:rsid w:val="711FA4FA"/>
    <w:rsid w:val="711FA7E8"/>
    <w:rsid w:val="712009B0"/>
    <w:rsid w:val="712093D8"/>
    <w:rsid w:val="71209992"/>
    <w:rsid w:val="7121263E"/>
    <w:rsid w:val="7121A9AA"/>
    <w:rsid w:val="7121AA0E"/>
    <w:rsid w:val="7121E88E"/>
    <w:rsid w:val="712264CA"/>
    <w:rsid w:val="7122B64D"/>
    <w:rsid w:val="7123B07C"/>
    <w:rsid w:val="71244DE0"/>
    <w:rsid w:val="71254927"/>
    <w:rsid w:val="71259B5E"/>
    <w:rsid w:val="71263A85"/>
    <w:rsid w:val="712684AF"/>
    <w:rsid w:val="71276BCF"/>
    <w:rsid w:val="7128B246"/>
    <w:rsid w:val="7128C6B3"/>
    <w:rsid w:val="712A152C"/>
    <w:rsid w:val="712AAED4"/>
    <w:rsid w:val="712B1C14"/>
    <w:rsid w:val="712BDD15"/>
    <w:rsid w:val="712C1ADF"/>
    <w:rsid w:val="712C293F"/>
    <w:rsid w:val="712DA715"/>
    <w:rsid w:val="712DF82D"/>
    <w:rsid w:val="712E5242"/>
    <w:rsid w:val="712EF715"/>
    <w:rsid w:val="712F03B7"/>
    <w:rsid w:val="712F933C"/>
    <w:rsid w:val="712FD8B0"/>
    <w:rsid w:val="712FF310"/>
    <w:rsid w:val="713036CD"/>
    <w:rsid w:val="713109E1"/>
    <w:rsid w:val="7131484D"/>
    <w:rsid w:val="7131DB04"/>
    <w:rsid w:val="71321228"/>
    <w:rsid w:val="7132306F"/>
    <w:rsid w:val="71325CB3"/>
    <w:rsid w:val="7132A4A1"/>
    <w:rsid w:val="7132B447"/>
    <w:rsid w:val="7132E7FB"/>
    <w:rsid w:val="71331E8E"/>
    <w:rsid w:val="71333449"/>
    <w:rsid w:val="7134223E"/>
    <w:rsid w:val="71347ED6"/>
    <w:rsid w:val="7134CB92"/>
    <w:rsid w:val="71352238"/>
    <w:rsid w:val="7135263A"/>
    <w:rsid w:val="7135EAAF"/>
    <w:rsid w:val="7136D82C"/>
    <w:rsid w:val="713727D5"/>
    <w:rsid w:val="71382D17"/>
    <w:rsid w:val="71394C3C"/>
    <w:rsid w:val="713A490F"/>
    <w:rsid w:val="713A544F"/>
    <w:rsid w:val="713ABF7F"/>
    <w:rsid w:val="713BE289"/>
    <w:rsid w:val="713C8B11"/>
    <w:rsid w:val="713D1D2A"/>
    <w:rsid w:val="713D57B2"/>
    <w:rsid w:val="713D7966"/>
    <w:rsid w:val="713E098C"/>
    <w:rsid w:val="713E380F"/>
    <w:rsid w:val="713E868F"/>
    <w:rsid w:val="713F6F04"/>
    <w:rsid w:val="71403B8E"/>
    <w:rsid w:val="71404753"/>
    <w:rsid w:val="71407187"/>
    <w:rsid w:val="714135E1"/>
    <w:rsid w:val="71414449"/>
    <w:rsid w:val="714231AB"/>
    <w:rsid w:val="71424FF2"/>
    <w:rsid w:val="71426A03"/>
    <w:rsid w:val="71437BE7"/>
    <w:rsid w:val="71439CC5"/>
    <w:rsid w:val="7143B91C"/>
    <w:rsid w:val="7143BB29"/>
    <w:rsid w:val="7143C1A9"/>
    <w:rsid w:val="7143E612"/>
    <w:rsid w:val="71440B0C"/>
    <w:rsid w:val="714551F7"/>
    <w:rsid w:val="714555AE"/>
    <w:rsid w:val="71461A85"/>
    <w:rsid w:val="714720DA"/>
    <w:rsid w:val="71477AC7"/>
    <w:rsid w:val="71497062"/>
    <w:rsid w:val="714B833E"/>
    <w:rsid w:val="714BCE71"/>
    <w:rsid w:val="714C42FA"/>
    <w:rsid w:val="714DD59D"/>
    <w:rsid w:val="714DDEB7"/>
    <w:rsid w:val="714DEB56"/>
    <w:rsid w:val="714EA56D"/>
    <w:rsid w:val="714F58F3"/>
    <w:rsid w:val="71501DE7"/>
    <w:rsid w:val="715069C4"/>
    <w:rsid w:val="7150AC2E"/>
    <w:rsid w:val="7150B9A3"/>
    <w:rsid w:val="7150F560"/>
    <w:rsid w:val="71514DC1"/>
    <w:rsid w:val="7151BDEF"/>
    <w:rsid w:val="7151D527"/>
    <w:rsid w:val="7152C6C3"/>
    <w:rsid w:val="7152D737"/>
    <w:rsid w:val="7152E7A6"/>
    <w:rsid w:val="71531134"/>
    <w:rsid w:val="71534E84"/>
    <w:rsid w:val="715350DC"/>
    <w:rsid w:val="71535D33"/>
    <w:rsid w:val="71544DD3"/>
    <w:rsid w:val="7154BD0F"/>
    <w:rsid w:val="715521DC"/>
    <w:rsid w:val="71559E05"/>
    <w:rsid w:val="7155BB0B"/>
    <w:rsid w:val="715835FE"/>
    <w:rsid w:val="7158A9B2"/>
    <w:rsid w:val="7159DD33"/>
    <w:rsid w:val="715A9B1E"/>
    <w:rsid w:val="715AE3BF"/>
    <w:rsid w:val="715B1450"/>
    <w:rsid w:val="715B8D8C"/>
    <w:rsid w:val="715B9D40"/>
    <w:rsid w:val="715C6658"/>
    <w:rsid w:val="715D38E4"/>
    <w:rsid w:val="715EE850"/>
    <w:rsid w:val="715EFD09"/>
    <w:rsid w:val="715FC09D"/>
    <w:rsid w:val="715FC209"/>
    <w:rsid w:val="715FF7E9"/>
    <w:rsid w:val="71612469"/>
    <w:rsid w:val="71613464"/>
    <w:rsid w:val="71618747"/>
    <w:rsid w:val="71618C36"/>
    <w:rsid w:val="7161F72E"/>
    <w:rsid w:val="716223BB"/>
    <w:rsid w:val="716237BF"/>
    <w:rsid w:val="71656A0A"/>
    <w:rsid w:val="71667F6A"/>
    <w:rsid w:val="716692A6"/>
    <w:rsid w:val="71669A3C"/>
    <w:rsid w:val="7166DBF5"/>
    <w:rsid w:val="716899C8"/>
    <w:rsid w:val="7169B9F6"/>
    <w:rsid w:val="716A024F"/>
    <w:rsid w:val="716A0D2A"/>
    <w:rsid w:val="716A2DCA"/>
    <w:rsid w:val="716A50C9"/>
    <w:rsid w:val="716A9459"/>
    <w:rsid w:val="716B1662"/>
    <w:rsid w:val="716B29D6"/>
    <w:rsid w:val="716B5140"/>
    <w:rsid w:val="716BD675"/>
    <w:rsid w:val="716BFCB3"/>
    <w:rsid w:val="716D9BFA"/>
    <w:rsid w:val="716E7790"/>
    <w:rsid w:val="716E804A"/>
    <w:rsid w:val="716F626E"/>
    <w:rsid w:val="716FF6CA"/>
    <w:rsid w:val="71703197"/>
    <w:rsid w:val="71730BDE"/>
    <w:rsid w:val="7173CAE6"/>
    <w:rsid w:val="7175E81A"/>
    <w:rsid w:val="71760397"/>
    <w:rsid w:val="7176B55B"/>
    <w:rsid w:val="7176F959"/>
    <w:rsid w:val="7177A0E1"/>
    <w:rsid w:val="71783B1E"/>
    <w:rsid w:val="7178AA7B"/>
    <w:rsid w:val="717905E3"/>
    <w:rsid w:val="717A0330"/>
    <w:rsid w:val="717A44F1"/>
    <w:rsid w:val="717BA00A"/>
    <w:rsid w:val="717BCCA3"/>
    <w:rsid w:val="717BED09"/>
    <w:rsid w:val="717C673A"/>
    <w:rsid w:val="717CF28D"/>
    <w:rsid w:val="717D080D"/>
    <w:rsid w:val="717D6939"/>
    <w:rsid w:val="717D78C3"/>
    <w:rsid w:val="717DB7A3"/>
    <w:rsid w:val="717DF87C"/>
    <w:rsid w:val="717E02C0"/>
    <w:rsid w:val="717E1DBB"/>
    <w:rsid w:val="717E6E3B"/>
    <w:rsid w:val="717ECA62"/>
    <w:rsid w:val="717F2A57"/>
    <w:rsid w:val="71807C01"/>
    <w:rsid w:val="7180D38E"/>
    <w:rsid w:val="71814247"/>
    <w:rsid w:val="7182130A"/>
    <w:rsid w:val="7182226A"/>
    <w:rsid w:val="7182A3F5"/>
    <w:rsid w:val="71831CF8"/>
    <w:rsid w:val="71833D70"/>
    <w:rsid w:val="71837882"/>
    <w:rsid w:val="71839BFF"/>
    <w:rsid w:val="7184CA08"/>
    <w:rsid w:val="718540DD"/>
    <w:rsid w:val="71854E4C"/>
    <w:rsid w:val="71864FAF"/>
    <w:rsid w:val="71868642"/>
    <w:rsid w:val="7186A818"/>
    <w:rsid w:val="7187D665"/>
    <w:rsid w:val="7187F166"/>
    <w:rsid w:val="71883EEE"/>
    <w:rsid w:val="718871DA"/>
    <w:rsid w:val="71895FD9"/>
    <w:rsid w:val="718997D8"/>
    <w:rsid w:val="7189E300"/>
    <w:rsid w:val="718A25E9"/>
    <w:rsid w:val="718AAD01"/>
    <w:rsid w:val="718B6A7A"/>
    <w:rsid w:val="718B9436"/>
    <w:rsid w:val="718C1971"/>
    <w:rsid w:val="718C20CC"/>
    <w:rsid w:val="718D91B1"/>
    <w:rsid w:val="718F4B7C"/>
    <w:rsid w:val="71905B47"/>
    <w:rsid w:val="719104B5"/>
    <w:rsid w:val="71911C41"/>
    <w:rsid w:val="719168EF"/>
    <w:rsid w:val="719222DA"/>
    <w:rsid w:val="71925454"/>
    <w:rsid w:val="71946309"/>
    <w:rsid w:val="7194704C"/>
    <w:rsid w:val="7194A34D"/>
    <w:rsid w:val="71954353"/>
    <w:rsid w:val="7195585C"/>
    <w:rsid w:val="71964AB1"/>
    <w:rsid w:val="7196EA70"/>
    <w:rsid w:val="71970343"/>
    <w:rsid w:val="71982032"/>
    <w:rsid w:val="7198EC4A"/>
    <w:rsid w:val="7198EE2B"/>
    <w:rsid w:val="71999606"/>
    <w:rsid w:val="71999F96"/>
    <w:rsid w:val="719A5F0E"/>
    <w:rsid w:val="719B052F"/>
    <w:rsid w:val="719B3688"/>
    <w:rsid w:val="719CE156"/>
    <w:rsid w:val="719E1BED"/>
    <w:rsid w:val="719E272B"/>
    <w:rsid w:val="719E3AB2"/>
    <w:rsid w:val="719E55A3"/>
    <w:rsid w:val="719E8BC1"/>
    <w:rsid w:val="719F07CB"/>
    <w:rsid w:val="719F7078"/>
    <w:rsid w:val="719F8776"/>
    <w:rsid w:val="719FCA4A"/>
    <w:rsid w:val="719FF3D6"/>
    <w:rsid w:val="71A00BDB"/>
    <w:rsid w:val="71A099AB"/>
    <w:rsid w:val="71A17967"/>
    <w:rsid w:val="71A1FD78"/>
    <w:rsid w:val="71A2921D"/>
    <w:rsid w:val="71A2A171"/>
    <w:rsid w:val="71A4070F"/>
    <w:rsid w:val="71A473B2"/>
    <w:rsid w:val="71A51F84"/>
    <w:rsid w:val="71A55379"/>
    <w:rsid w:val="71A57072"/>
    <w:rsid w:val="71A646DF"/>
    <w:rsid w:val="71A68874"/>
    <w:rsid w:val="71A68E22"/>
    <w:rsid w:val="71A6AD93"/>
    <w:rsid w:val="71A6FB70"/>
    <w:rsid w:val="71A74D87"/>
    <w:rsid w:val="71A7E12A"/>
    <w:rsid w:val="71A835A8"/>
    <w:rsid w:val="71A86CBA"/>
    <w:rsid w:val="71A8D224"/>
    <w:rsid w:val="71A9413D"/>
    <w:rsid w:val="71A9469D"/>
    <w:rsid w:val="71A9B2F5"/>
    <w:rsid w:val="71A9F008"/>
    <w:rsid w:val="71AA0D90"/>
    <w:rsid w:val="71AA45BC"/>
    <w:rsid w:val="71AA7C70"/>
    <w:rsid w:val="71AB2602"/>
    <w:rsid w:val="71AB27C3"/>
    <w:rsid w:val="71ABCC50"/>
    <w:rsid w:val="71AC4C02"/>
    <w:rsid w:val="71ACD34D"/>
    <w:rsid w:val="71AD03E2"/>
    <w:rsid w:val="71ADDCBD"/>
    <w:rsid w:val="71AE3CBB"/>
    <w:rsid w:val="71AE4959"/>
    <w:rsid w:val="71AE6940"/>
    <w:rsid w:val="71AF196E"/>
    <w:rsid w:val="71AF5B69"/>
    <w:rsid w:val="71B01E02"/>
    <w:rsid w:val="71B12C0D"/>
    <w:rsid w:val="71B17A07"/>
    <w:rsid w:val="71B27A1E"/>
    <w:rsid w:val="71B28437"/>
    <w:rsid w:val="71B29A73"/>
    <w:rsid w:val="71B3E2FF"/>
    <w:rsid w:val="71B3F4CC"/>
    <w:rsid w:val="71B471C6"/>
    <w:rsid w:val="71B5BBB9"/>
    <w:rsid w:val="71B61EA9"/>
    <w:rsid w:val="71B65EB6"/>
    <w:rsid w:val="71B6A6D5"/>
    <w:rsid w:val="71B76AC7"/>
    <w:rsid w:val="71B82D22"/>
    <w:rsid w:val="71B8E1AF"/>
    <w:rsid w:val="71B900CC"/>
    <w:rsid w:val="71B910D7"/>
    <w:rsid w:val="71B95C86"/>
    <w:rsid w:val="71B9E21C"/>
    <w:rsid w:val="71BA5FA1"/>
    <w:rsid w:val="71BB1B4E"/>
    <w:rsid w:val="71BB7F9D"/>
    <w:rsid w:val="71BC0205"/>
    <w:rsid w:val="71BC7D5A"/>
    <w:rsid w:val="71BD26BC"/>
    <w:rsid w:val="71BD36B6"/>
    <w:rsid w:val="71BDD1C5"/>
    <w:rsid w:val="71BDE548"/>
    <w:rsid w:val="71BE59A7"/>
    <w:rsid w:val="71BEBA66"/>
    <w:rsid w:val="71BED70C"/>
    <w:rsid w:val="71BEE371"/>
    <w:rsid w:val="71BF00B1"/>
    <w:rsid w:val="71BF0C83"/>
    <w:rsid w:val="71BF6EFE"/>
    <w:rsid w:val="71BF8440"/>
    <w:rsid w:val="71C01F36"/>
    <w:rsid w:val="71C186F6"/>
    <w:rsid w:val="71C188DC"/>
    <w:rsid w:val="71C27BA0"/>
    <w:rsid w:val="71C2B01F"/>
    <w:rsid w:val="71C30E69"/>
    <w:rsid w:val="71C31357"/>
    <w:rsid w:val="71C51B93"/>
    <w:rsid w:val="71C527AE"/>
    <w:rsid w:val="71C5F727"/>
    <w:rsid w:val="71C5FF7D"/>
    <w:rsid w:val="71C60AB0"/>
    <w:rsid w:val="71C679CC"/>
    <w:rsid w:val="71C71B0C"/>
    <w:rsid w:val="71C77B33"/>
    <w:rsid w:val="71C7B71D"/>
    <w:rsid w:val="71C7BD94"/>
    <w:rsid w:val="71C7DF19"/>
    <w:rsid w:val="71C7EF2B"/>
    <w:rsid w:val="71C8A782"/>
    <w:rsid w:val="71C8C51F"/>
    <w:rsid w:val="71C8D5E5"/>
    <w:rsid w:val="71C90678"/>
    <w:rsid w:val="71C93B95"/>
    <w:rsid w:val="71C9B486"/>
    <w:rsid w:val="71C9C0A7"/>
    <w:rsid w:val="71CAB7AB"/>
    <w:rsid w:val="71CBE5E9"/>
    <w:rsid w:val="71CC03E0"/>
    <w:rsid w:val="71CC1C08"/>
    <w:rsid w:val="71CCFBE1"/>
    <w:rsid w:val="71CD1CDC"/>
    <w:rsid w:val="71CE6263"/>
    <w:rsid w:val="71CE7F14"/>
    <w:rsid w:val="71CE9DE8"/>
    <w:rsid w:val="71CFC44B"/>
    <w:rsid w:val="71CFE70B"/>
    <w:rsid w:val="71D1ED67"/>
    <w:rsid w:val="71D236CD"/>
    <w:rsid w:val="71D243D4"/>
    <w:rsid w:val="71D288C9"/>
    <w:rsid w:val="71D2C406"/>
    <w:rsid w:val="71D376E7"/>
    <w:rsid w:val="71D3B0EA"/>
    <w:rsid w:val="71D3E5B6"/>
    <w:rsid w:val="71D42F69"/>
    <w:rsid w:val="71D4966B"/>
    <w:rsid w:val="71D5BC65"/>
    <w:rsid w:val="71D6857C"/>
    <w:rsid w:val="71D75E70"/>
    <w:rsid w:val="71D7A11D"/>
    <w:rsid w:val="71D7FC60"/>
    <w:rsid w:val="71D7FFAB"/>
    <w:rsid w:val="71D80886"/>
    <w:rsid w:val="71D80B23"/>
    <w:rsid w:val="71D92872"/>
    <w:rsid w:val="71D954DA"/>
    <w:rsid w:val="71D9939D"/>
    <w:rsid w:val="71D99EB2"/>
    <w:rsid w:val="71D9AF69"/>
    <w:rsid w:val="71D9DEC0"/>
    <w:rsid w:val="71D9EFAA"/>
    <w:rsid w:val="71DA41A7"/>
    <w:rsid w:val="71DAA919"/>
    <w:rsid w:val="71DACEDD"/>
    <w:rsid w:val="71DB576F"/>
    <w:rsid w:val="71DB832A"/>
    <w:rsid w:val="71DCD50B"/>
    <w:rsid w:val="71DD0033"/>
    <w:rsid w:val="71DDB359"/>
    <w:rsid w:val="71DE2A9D"/>
    <w:rsid w:val="71DE80B0"/>
    <w:rsid w:val="71DEBA82"/>
    <w:rsid w:val="71DF8D92"/>
    <w:rsid w:val="71E0694A"/>
    <w:rsid w:val="71E2703C"/>
    <w:rsid w:val="71E28776"/>
    <w:rsid w:val="71E2C0EE"/>
    <w:rsid w:val="71E3A198"/>
    <w:rsid w:val="71E45AC1"/>
    <w:rsid w:val="71E46A11"/>
    <w:rsid w:val="71E4BD45"/>
    <w:rsid w:val="71E50F2B"/>
    <w:rsid w:val="71E68A17"/>
    <w:rsid w:val="71E68B55"/>
    <w:rsid w:val="71E767E3"/>
    <w:rsid w:val="71E82280"/>
    <w:rsid w:val="71E84356"/>
    <w:rsid w:val="71E8635F"/>
    <w:rsid w:val="71EA075C"/>
    <w:rsid w:val="71EA0AB6"/>
    <w:rsid w:val="71EA1CB3"/>
    <w:rsid w:val="71EADD96"/>
    <w:rsid w:val="71ECD3DC"/>
    <w:rsid w:val="71ED3464"/>
    <w:rsid w:val="71EDAB8F"/>
    <w:rsid w:val="71EEB349"/>
    <w:rsid w:val="71EFBAE2"/>
    <w:rsid w:val="71F09F21"/>
    <w:rsid w:val="71F0F354"/>
    <w:rsid w:val="71F150FD"/>
    <w:rsid w:val="71F16F5A"/>
    <w:rsid w:val="71F17721"/>
    <w:rsid w:val="71F1AD1F"/>
    <w:rsid w:val="71F407DF"/>
    <w:rsid w:val="71F46061"/>
    <w:rsid w:val="71F50D16"/>
    <w:rsid w:val="71F563EC"/>
    <w:rsid w:val="71F5642D"/>
    <w:rsid w:val="71F5A01F"/>
    <w:rsid w:val="71F63B51"/>
    <w:rsid w:val="71F6516E"/>
    <w:rsid w:val="71F67B6C"/>
    <w:rsid w:val="71F6F9C3"/>
    <w:rsid w:val="71F73D75"/>
    <w:rsid w:val="71F76B8C"/>
    <w:rsid w:val="71F8AF7F"/>
    <w:rsid w:val="71F9655F"/>
    <w:rsid w:val="71FB51BB"/>
    <w:rsid w:val="71FC84C9"/>
    <w:rsid w:val="71FD0F89"/>
    <w:rsid w:val="71FDFD7B"/>
    <w:rsid w:val="71FE0FAF"/>
    <w:rsid w:val="71FE4E1D"/>
    <w:rsid w:val="71FF0090"/>
    <w:rsid w:val="71FF0D0E"/>
    <w:rsid w:val="71FF90DF"/>
    <w:rsid w:val="7200AA8B"/>
    <w:rsid w:val="7200C571"/>
    <w:rsid w:val="7200D872"/>
    <w:rsid w:val="72017A44"/>
    <w:rsid w:val="7201C2F1"/>
    <w:rsid w:val="72040042"/>
    <w:rsid w:val="7204ACC8"/>
    <w:rsid w:val="72050A85"/>
    <w:rsid w:val="72052E1F"/>
    <w:rsid w:val="7205320F"/>
    <w:rsid w:val="72054205"/>
    <w:rsid w:val="7206329A"/>
    <w:rsid w:val="72065DB4"/>
    <w:rsid w:val="7208008D"/>
    <w:rsid w:val="720843B4"/>
    <w:rsid w:val="720904ED"/>
    <w:rsid w:val="720B25A3"/>
    <w:rsid w:val="720B3EC2"/>
    <w:rsid w:val="720BCF80"/>
    <w:rsid w:val="720BD532"/>
    <w:rsid w:val="720CD419"/>
    <w:rsid w:val="720DEBF2"/>
    <w:rsid w:val="720F3338"/>
    <w:rsid w:val="720F4789"/>
    <w:rsid w:val="720FD9F8"/>
    <w:rsid w:val="721043D5"/>
    <w:rsid w:val="72113A55"/>
    <w:rsid w:val="72120F69"/>
    <w:rsid w:val="72133C32"/>
    <w:rsid w:val="7214CC09"/>
    <w:rsid w:val="72155737"/>
    <w:rsid w:val="7215DE0D"/>
    <w:rsid w:val="72160504"/>
    <w:rsid w:val="7219937B"/>
    <w:rsid w:val="721B265C"/>
    <w:rsid w:val="721B7E36"/>
    <w:rsid w:val="721B885F"/>
    <w:rsid w:val="721C0873"/>
    <w:rsid w:val="721C48B0"/>
    <w:rsid w:val="721D65C3"/>
    <w:rsid w:val="721E64C7"/>
    <w:rsid w:val="721F26EE"/>
    <w:rsid w:val="721F70A0"/>
    <w:rsid w:val="722117FD"/>
    <w:rsid w:val="7222967D"/>
    <w:rsid w:val="722299C0"/>
    <w:rsid w:val="7222ED1B"/>
    <w:rsid w:val="72232B65"/>
    <w:rsid w:val="72234FD4"/>
    <w:rsid w:val="72239EE8"/>
    <w:rsid w:val="7223D576"/>
    <w:rsid w:val="72241FFA"/>
    <w:rsid w:val="72250A9B"/>
    <w:rsid w:val="722536C0"/>
    <w:rsid w:val="722556D4"/>
    <w:rsid w:val="7227BAF0"/>
    <w:rsid w:val="72280112"/>
    <w:rsid w:val="72286F0B"/>
    <w:rsid w:val="72295215"/>
    <w:rsid w:val="72298044"/>
    <w:rsid w:val="72299972"/>
    <w:rsid w:val="722A40FF"/>
    <w:rsid w:val="722A5E60"/>
    <w:rsid w:val="722A67F2"/>
    <w:rsid w:val="722B430B"/>
    <w:rsid w:val="722BFA8A"/>
    <w:rsid w:val="722D69EE"/>
    <w:rsid w:val="722D8465"/>
    <w:rsid w:val="722EC169"/>
    <w:rsid w:val="722F5AA8"/>
    <w:rsid w:val="72305E63"/>
    <w:rsid w:val="723069A7"/>
    <w:rsid w:val="72308B48"/>
    <w:rsid w:val="7231604B"/>
    <w:rsid w:val="723224E6"/>
    <w:rsid w:val="72324FA1"/>
    <w:rsid w:val="7232C398"/>
    <w:rsid w:val="7232CB69"/>
    <w:rsid w:val="72330760"/>
    <w:rsid w:val="7233254F"/>
    <w:rsid w:val="72336E83"/>
    <w:rsid w:val="72351DF0"/>
    <w:rsid w:val="723538D4"/>
    <w:rsid w:val="72353C1B"/>
    <w:rsid w:val="7235DCAF"/>
    <w:rsid w:val="7236195D"/>
    <w:rsid w:val="723A8F53"/>
    <w:rsid w:val="723AB5F2"/>
    <w:rsid w:val="723AB6A9"/>
    <w:rsid w:val="723AFB67"/>
    <w:rsid w:val="723BF109"/>
    <w:rsid w:val="723C5774"/>
    <w:rsid w:val="723C9994"/>
    <w:rsid w:val="723DD5C8"/>
    <w:rsid w:val="723E52FE"/>
    <w:rsid w:val="723E762C"/>
    <w:rsid w:val="723FDC5C"/>
    <w:rsid w:val="72404419"/>
    <w:rsid w:val="72407AF4"/>
    <w:rsid w:val="7240A3B3"/>
    <w:rsid w:val="7240DCAF"/>
    <w:rsid w:val="72416478"/>
    <w:rsid w:val="72418F1E"/>
    <w:rsid w:val="72425A0E"/>
    <w:rsid w:val="7242E300"/>
    <w:rsid w:val="724346BE"/>
    <w:rsid w:val="7244F3AA"/>
    <w:rsid w:val="72462829"/>
    <w:rsid w:val="7246CB9C"/>
    <w:rsid w:val="72473D6E"/>
    <w:rsid w:val="72488D1A"/>
    <w:rsid w:val="7248B652"/>
    <w:rsid w:val="7248C67E"/>
    <w:rsid w:val="724959AA"/>
    <w:rsid w:val="724A4274"/>
    <w:rsid w:val="724C003A"/>
    <w:rsid w:val="724D0C19"/>
    <w:rsid w:val="724DC3FA"/>
    <w:rsid w:val="724E1054"/>
    <w:rsid w:val="724EB79E"/>
    <w:rsid w:val="724EC3A8"/>
    <w:rsid w:val="724EE906"/>
    <w:rsid w:val="724FCB6D"/>
    <w:rsid w:val="7250307F"/>
    <w:rsid w:val="725080C0"/>
    <w:rsid w:val="7250BAFA"/>
    <w:rsid w:val="7250CB75"/>
    <w:rsid w:val="72511E66"/>
    <w:rsid w:val="7251C846"/>
    <w:rsid w:val="72520F50"/>
    <w:rsid w:val="725249AF"/>
    <w:rsid w:val="72535A3E"/>
    <w:rsid w:val="725372A0"/>
    <w:rsid w:val="7253CB50"/>
    <w:rsid w:val="7253F2F4"/>
    <w:rsid w:val="72553994"/>
    <w:rsid w:val="72560A20"/>
    <w:rsid w:val="725730FB"/>
    <w:rsid w:val="725736B4"/>
    <w:rsid w:val="72578BB5"/>
    <w:rsid w:val="72579D12"/>
    <w:rsid w:val="7257E6DA"/>
    <w:rsid w:val="72582CFB"/>
    <w:rsid w:val="72586688"/>
    <w:rsid w:val="7258CEFC"/>
    <w:rsid w:val="725AC4CE"/>
    <w:rsid w:val="725B0038"/>
    <w:rsid w:val="725BB606"/>
    <w:rsid w:val="725BE7AB"/>
    <w:rsid w:val="725E006F"/>
    <w:rsid w:val="725ECF26"/>
    <w:rsid w:val="725F0043"/>
    <w:rsid w:val="7260425C"/>
    <w:rsid w:val="72606E9A"/>
    <w:rsid w:val="726071E5"/>
    <w:rsid w:val="726094B9"/>
    <w:rsid w:val="726179B1"/>
    <w:rsid w:val="72625B5F"/>
    <w:rsid w:val="72625E64"/>
    <w:rsid w:val="7262D0DF"/>
    <w:rsid w:val="7262FFE3"/>
    <w:rsid w:val="726322DB"/>
    <w:rsid w:val="72639041"/>
    <w:rsid w:val="7263DBDC"/>
    <w:rsid w:val="7265346F"/>
    <w:rsid w:val="7266FDA4"/>
    <w:rsid w:val="72671B8F"/>
    <w:rsid w:val="7267720E"/>
    <w:rsid w:val="7267C420"/>
    <w:rsid w:val="72683717"/>
    <w:rsid w:val="726844EC"/>
    <w:rsid w:val="726A0822"/>
    <w:rsid w:val="726AB205"/>
    <w:rsid w:val="726AFD5B"/>
    <w:rsid w:val="726B39A1"/>
    <w:rsid w:val="726B58AD"/>
    <w:rsid w:val="726C490A"/>
    <w:rsid w:val="726E0AF5"/>
    <w:rsid w:val="726E7E6A"/>
    <w:rsid w:val="726EAD1C"/>
    <w:rsid w:val="726FC836"/>
    <w:rsid w:val="72707639"/>
    <w:rsid w:val="727172EB"/>
    <w:rsid w:val="7271877C"/>
    <w:rsid w:val="7271FEA4"/>
    <w:rsid w:val="72727F23"/>
    <w:rsid w:val="7272E809"/>
    <w:rsid w:val="7274899A"/>
    <w:rsid w:val="72755280"/>
    <w:rsid w:val="7275C9E1"/>
    <w:rsid w:val="72765AEE"/>
    <w:rsid w:val="7277507A"/>
    <w:rsid w:val="7277688D"/>
    <w:rsid w:val="7278046C"/>
    <w:rsid w:val="727A4D68"/>
    <w:rsid w:val="727ADC70"/>
    <w:rsid w:val="727BDFFF"/>
    <w:rsid w:val="727C0002"/>
    <w:rsid w:val="727C0A1F"/>
    <w:rsid w:val="727E220A"/>
    <w:rsid w:val="727EDF8E"/>
    <w:rsid w:val="727F32D6"/>
    <w:rsid w:val="727F8F3E"/>
    <w:rsid w:val="728004FE"/>
    <w:rsid w:val="72801C7E"/>
    <w:rsid w:val="72803446"/>
    <w:rsid w:val="72804D32"/>
    <w:rsid w:val="72811D92"/>
    <w:rsid w:val="72817200"/>
    <w:rsid w:val="728218A1"/>
    <w:rsid w:val="728250EA"/>
    <w:rsid w:val="7283803A"/>
    <w:rsid w:val="72846C58"/>
    <w:rsid w:val="728511FE"/>
    <w:rsid w:val="7285DB28"/>
    <w:rsid w:val="728686F0"/>
    <w:rsid w:val="7286A75B"/>
    <w:rsid w:val="7286AAC1"/>
    <w:rsid w:val="72872170"/>
    <w:rsid w:val="7287A53F"/>
    <w:rsid w:val="7287AC48"/>
    <w:rsid w:val="72896F75"/>
    <w:rsid w:val="728978DC"/>
    <w:rsid w:val="7289F886"/>
    <w:rsid w:val="728A1691"/>
    <w:rsid w:val="728A4900"/>
    <w:rsid w:val="728A4C3A"/>
    <w:rsid w:val="728B2319"/>
    <w:rsid w:val="728C9812"/>
    <w:rsid w:val="728E34D0"/>
    <w:rsid w:val="728E4FA1"/>
    <w:rsid w:val="728E8B5D"/>
    <w:rsid w:val="728F2EE8"/>
    <w:rsid w:val="728F7FDA"/>
    <w:rsid w:val="728FB384"/>
    <w:rsid w:val="728FCA37"/>
    <w:rsid w:val="728FCBDB"/>
    <w:rsid w:val="72901589"/>
    <w:rsid w:val="729029AA"/>
    <w:rsid w:val="7290BA07"/>
    <w:rsid w:val="7291772C"/>
    <w:rsid w:val="72926E59"/>
    <w:rsid w:val="729280CF"/>
    <w:rsid w:val="7292AB5A"/>
    <w:rsid w:val="7293C8C5"/>
    <w:rsid w:val="7294B6E3"/>
    <w:rsid w:val="729533BE"/>
    <w:rsid w:val="72955E03"/>
    <w:rsid w:val="7295A89E"/>
    <w:rsid w:val="7296348D"/>
    <w:rsid w:val="729781C4"/>
    <w:rsid w:val="7297A3A3"/>
    <w:rsid w:val="72985FBF"/>
    <w:rsid w:val="729879E0"/>
    <w:rsid w:val="7298C757"/>
    <w:rsid w:val="7299763D"/>
    <w:rsid w:val="729981CC"/>
    <w:rsid w:val="729B005C"/>
    <w:rsid w:val="729B68FD"/>
    <w:rsid w:val="729B8641"/>
    <w:rsid w:val="729BF864"/>
    <w:rsid w:val="729C0BCD"/>
    <w:rsid w:val="729E11B0"/>
    <w:rsid w:val="729E3F43"/>
    <w:rsid w:val="729EA67B"/>
    <w:rsid w:val="729EAD42"/>
    <w:rsid w:val="729EADA8"/>
    <w:rsid w:val="729EDA3B"/>
    <w:rsid w:val="729EF667"/>
    <w:rsid w:val="72A03EB4"/>
    <w:rsid w:val="72A068AE"/>
    <w:rsid w:val="72A0CC9A"/>
    <w:rsid w:val="72A1079C"/>
    <w:rsid w:val="72A1D4D8"/>
    <w:rsid w:val="72A1D7EA"/>
    <w:rsid w:val="72A2010A"/>
    <w:rsid w:val="72A299AE"/>
    <w:rsid w:val="72A31F7C"/>
    <w:rsid w:val="72A37340"/>
    <w:rsid w:val="72A4E4D9"/>
    <w:rsid w:val="72A51C2E"/>
    <w:rsid w:val="72A5D9C3"/>
    <w:rsid w:val="72A5F84A"/>
    <w:rsid w:val="72A614C4"/>
    <w:rsid w:val="72A6347E"/>
    <w:rsid w:val="72A67462"/>
    <w:rsid w:val="72A6BA5F"/>
    <w:rsid w:val="72A816DC"/>
    <w:rsid w:val="72A8EB9E"/>
    <w:rsid w:val="72A90526"/>
    <w:rsid w:val="72A9614C"/>
    <w:rsid w:val="72AA978F"/>
    <w:rsid w:val="72AB4C66"/>
    <w:rsid w:val="72AB9EF1"/>
    <w:rsid w:val="72ABBFB0"/>
    <w:rsid w:val="72ABC823"/>
    <w:rsid w:val="72AC2955"/>
    <w:rsid w:val="72AC578B"/>
    <w:rsid w:val="72AC7DF7"/>
    <w:rsid w:val="72AD984E"/>
    <w:rsid w:val="72AE942D"/>
    <w:rsid w:val="72AEB842"/>
    <w:rsid w:val="72AF7C25"/>
    <w:rsid w:val="72B04201"/>
    <w:rsid w:val="72B100AB"/>
    <w:rsid w:val="72B16B6F"/>
    <w:rsid w:val="72B1B853"/>
    <w:rsid w:val="72B27F42"/>
    <w:rsid w:val="72B36917"/>
    <w:rsid w:val="72B38A42"/>
    <w:rsid w:val="72B440C1"/>
    <w:rsid w:val="72B4573E"/>
    <w:rsid w:val="72B58DC4"/>
    <w:rsid w:val="72B711AB"/>
    <w:rsid w:val="72B71677"/>
    <w:rsid w:val="72B74554"/>
    <w:rsid w:val="72B79A88"/>
    <w:rsid w:val="72B89AD0"/>
    <w:rsid w:val="72B98732"/>
    <w:rsid w:val="72BAC3A6"/>
    <w:rsid w:val="72BCC168"/>
    <w:rsid w:val="72BCDBE5"/>
    <w:rsid w:val="72BD040D"/>
    <w:rsid w:val="72BD0B95"/>
    <w:rsid w:val="72BD3D75"/>
    <w:rsid w:val="72BD5A69"/>
    <w:rsid w:val="72BE318A"/>
    <w:rsid w:val="72BE8489"/>
    <w:rsid w:val="72BF2BFB"/>
    <w:rsid w:val="72BF8FB9"/>
    <w:rsid w:val="72BFB111"/>
    <w:rsid w:val="72C026FB"/>
    <w:rsid w:val="72C04BF3"/>
    <w:rsid w:val="72C0C702"/>
    <w:rsid w:val="72C11F62"/>
    <w:rsid w:val="72C24B5F"/>
    <w:rsid w:val="72C25DD6"/>
    <w:rsid w:val="72C4D116"/>
    <w:rsid w:val="72C5BC4F"/>
    <w:rsid w:val="72C5D0CB"/>
    <w:rsid w:val="72C6B069"/>
    <w:rsid w:val="72C73ACE"/>
    <w:rsid w:val="72C7B399"/>
    <w:rsid w:val="72C7FB49"/>
    <w:rsid w:val="72C96601"/>
    <w:rsid w:val="72CA0151"/>
    <w:rsid w:val="72CA6DCC"/>
    <w:rsid w:val="72CA7541"/>
    <w:rsid w:val="72CAE60F"/>
    <w:rsid w:val="72CC3D36"/>
    <w:rsid w:val="72CD2275"/>
    <w:rsid w:val="72CD5AA1"/>
    <w:rsid w:val="72CD70BF"/>
    <w:rsid w:val="72CDDCE7"/>
    <w:rsid w:val="72CDF2DD"/>
    <w:rsid w:val="72CE8149"/>
    <w:rsid w:val="72CF193D"/>
    <w:rsid w:val="72CF7239"/>
    <w:rsid w:val="72CF9D6E"/>
    <w:rsid w:val="72CFD8C5"/>
    <w:rsid w:val="72D3E018"/>
    <w:rsid w:val="72D5415B"/>
    <w:rsid w:val="72D58DFE"/>
    <w:rsid w:val="72D64B13"/>
    <w:rsid w:val="72D997DD"/>
    <w:rsid w:val="72D9B056"/>
    <w:rsid w:val="72D9B300"/>
    <w:rsid w:val="72D9C24C"/>
    <w:rsid w:val="72DBE96C"/>
    <w:rsid w:val="72DD417F"/>
    <w:rsid w:val="72DDC359"/>
    <w:rsid w:val="72DEF4CA"/>
    <w:rsid w:val="72DF1062"/>
    <w:rsid w:val="72DF257B"/>
    <w:rsid w:val="72DFF505"/>
    <w:rsid w:val="72E40889"/>
    <w:rsid w:val="72E46D85"/>
    <w:rsid w:val="72E52D36"/>
    <w:rsid w:val="72E61AF9"/>
    <w:rsid w:val="72E7B1BA"/>
    <w:rsid w:val="72E8E5D2"/>
    <w:rsid w:val="72E95FDA"/>
    <w:rsid w:val="72E9A602"/>
    <w:rsid w:val="72EAB4C5"/>
    <w:rsid w:val="72EAF74F"/>
    <w:rsid w:val="72EBB1BE"/>
    <w:rsid w:val="72EBC43F"/>
    <w:rsid w:val="72ED2C11"/>
    <w:rsid w:val="72EDB525"/>
    <w:rsid w:val="72EEB1D7"/>
    <w:rsid w:val="72EEBCE3"/>
    <w:rsid w:val="72EF7643"/>
    <w:rsid w:val="72EF8BED"/>
    <w:rsid w:val="72F0EC8A"/>
    <w:rsid w:val="72F2A3A0"/>
    <w:rsid w:val="72F55AA7"/>
    <w:rsid w:val="72F72C40"/>
    <w:rsid w:val="72F7B5DC"/>
    <w:rsid w:val="72F84D04"/>
    <w:rsid w:val="72F9236E"/>
    <w:rsid w:val="72F93474"/>
    <w:rsid w:val="72F93CD2"/>
    <w:rsid w:val="72F9A341"/>
    <w:rsid w:val="72FA8D6D"/>
    <w:rsid w:val="72FB153B"/>
    <w:rsid w:val="72FB23D3"/>
    <w:rsid w:val="72FC7D1F"/>
    <w:rsid w:val="72FDA016"/>
    <w:rsid w:val="72FDB1F8"/>
    <w:rsid w:val="72FEFD46"/>
    <w:rsid w:val="72FF13AF"/>
    <w:rsid w:val="72FF8EB8"/>
    <w:rsid w:val="72FFF63A"/>
    <w:rsid w:val="7300A0BD"/>
    <w:rsid w:val="7301657A"/>
    <w:rsid w:val="7301B642"/>
    <w:rsid w:val="730232E1"/>
    <w:rsid w:val="73030F73"/>
    <w:rsid w:val="7304BAB4"/>
    <w:rsid w:val="7304D985"/>
    <w:rsid w:val="73050A5E"/>
    <w:rsid w:val="7305612C"/>
    <w:rsid w:val="73058078"/>
    <w:rsid w:val="7305D908"/>
    <w:rsid w:val="73064CC0"/>
    <w:rsid w:val="730651EC"/>
    <w:rsid w:val="730664F4"/>
    <w:rsid w:val="7309B6F4"/>
    <w:rsid w:val="730A0AEE"/>
    <w:rsid w:val="730AD2FF"/>
    <w:rsid w:val="730AD57B"/>
    <w:rsid w:val="730AF5BD"/>
    <w:rsid w:val="730B7681"/>
    <w:rsid w:val="730B81B4"/>
    <w:rsid w:val="730B918B"/>
    <w:rsid w:val="730B96EE"/>
    <w:rsid w:val="730BA443"/>
    <w:rsid w:val="730BB6D6"/>
    <w:rsid w:val="730C1241"/>
    <w:rsid w:val="730CA207"/>
    <w:rsid w:val="730CA852"/>
    <w:rsid w:val="730CA893"/>
    <w:rsid w:val="730CE404"/>
    <w:rsid w:val="730D469C"/>
    <w:rsid w:val="730D5E33"/>
    <w:rsid w:val="730E3AEA"/>
    <w:rsid w:val="730F4A70"/>
    <w:rsid w:val="730F645F"/>
    <w:rsid w:val="730F8A0B"/>
    <w:rsid w:val="730FD561"/>
    <w:rsid w:val="73104E89"/>
    <w:rsid w:val="731097C9"/>
    <w:rsid w:val="7310BA5F"/>
    <w:rsid w:val="73114788"/>
    <w:rsid w:val="7311B9BF"/>
    <w:rsid w:val="7311BA1B"/>
    <w:rsid w:val="73120193"/>
    <w:rsid w:val="73132C8F"/>
    <w:rsid w:val="731351B9"/>
    <w:rsid w:val="73136274"/>
    <w:rsid w:val="731365CC"/>
    <w:rsid w:val="7314614A"/>
    <w:rsid w:val="7314EA71"/>
    <w:rsid w:val="7314F929"/>
    <w:rsid w:val="731562B0"/>
    <w:rsid w:val="7315EDE6"/>
    <w:rsid w:val="73160823"/>
    <w:rsid w:val="731612E7"/>
    <w:rsid w:val="73165FBB"/>
    <w:rsid w:val="7316C57A"/>
    <w:rsid w:val="7316E2FC"/>
    <w:rsid w:val="73174F95"/>
    <w:rsid w:val="73176427"/>
    <w:rsid w:val="73182345"/>
    <w:rsid w:val="73194BCE"/>
    <w:rsid w:val="7319AC71"/>
    <w:rsid w:val="7319E77B"/>
    <w:rsid w:val="731B11DA"/>
    <w:rsid w:val="731B2C6B"/>
    <w:rsid w:val="731C29FE"/>
    <w:rsid w:val="731CED35"/>
    <w:rsid w:val="731D3A61"/>
    <w:rsid w:val="731D45FD"/>
    <w:rsid w:val="731DA358"/>
    <w:rsid w:val="731DFFFD"/>
    <w:rsid w:val="731E388B"/>
    <w:rsid w:val="731EB93B"/>
    <w:rsid w:val="731F53FB"/>
    <w:rsid w:val="731FFC25"/>
    <w:rsid w:val="73201850"/>
    <w:rsid w:val="73204302"/>
    <w:rsid w:val="73211FE6"/>
    <w:rsid w:val="732162A7"/>
    <w:rsid w:val="7322F1EA"/>
    <w:rsid w:val="7323D101"/>
    <w:rsid w:val="7324956E"/>
    <w:rsid w:val="73255B20"/>
    <w:rsid w:val="73257367"/>
    <w:rsid w:val="73279E6A"/>
    <w:rsid w:val="7328471B"/>
    <w:rsid w:val="7328CF9B"/>
    <w:rsid w:val="73293AF8"/>
    <w:rsid w:val="7329419E"/>
    <w:rsid w:val="73295AD7"/>
    <w:rsid w:val="732A1D5F"/>
    <w:rsid w:val="732A32A2"/>
    <w:rsid w:val="732A5706"/>
    <w:rsid w:val="732B501B"/>
    <w:rsid w:val="732B800C"/>
    <w:rsid w:val="732BD2E3"/>
    <w:rsid w:val="732BFF5B"/>
    <w:rsid w:val="732CDDCE"/>
    <w:rsid w:val="732D4552"/>
    <w:rsid w:val="732D5606"/>
    <w:rsid w:val="732D6573"/>
    <w:rsid w:val="732ED297"/>
    <w:rsid w:val="732F4FAE"/>
    <w:rsid w:val="732F92E3"/>
    <w:rsid w:val="732FEB62"/>
    <w:rsid w:val="732FFD44"/>
    <w:rsid w:val="73317D6B"/>
    <w:rsid w:val="7331E9F9"/>
    <w:rsid w:val="7331ED5D"/>
    <w:rsid w:val="733236EF"/>
    <w:rsid w:val="73324737"/>
    <w:rsid w:val="73330D11"/>
    <w:rsid w:val="7333B88F"/>
    <w:rsid w:val="7334A597"/>
    <w:rsid w:val="7334BD4F"/>
    <w:rsid w:val="73350AFC"/>
    <w:rsid w:val="7335ABEF"/>
    <w:rsid w:val="73368B4D"/>
    <w:rsid w:val="7336D2D8"/>
    <w:rsid w:val="7336EB43"/>
    <w:rsid w:val="733757B9"/>
    <w:rsid w:val="733787FA"/>
    <w:rsid w:val="7337FB39"/>
    <w:rsid w:val="73380725"/>
    <w:rsid w:val="73385EA3"/>
    <w:rsid w:val="73393E5F"/>
    <w:rsid w:val="73396E66"/>
    <w:rsid w:val="733975F8"/>
    <w:rsid w:val="733B21DB"/>
    <w:rsid w:val="733BAE23"/>
    <w:rsid w:val="733C0841"/>
    <w:rsid w:val="733C3D30"/>
    <w:rsid w:val="733C3E06"/>
    <w:rsid w:val="733C8F29"/>
    <w:rsid w:val="733C9C6C"/>
    <w:rsid w:val="733FB581"/>
    <w:rsid w:val="734064B1"/>
    <w:rsid w:val="734088F4"/>
    <w:rsid w:val="73414105"/>
    <w:rsid w:val="73431681"/>
    <w:rsid w:val="7343B92A"/>
    <w:rsid w:val="73440385"/>
    <w:rsid w:val="73441AB8"/>
    <w:rsid w:val="7344D44C"/>
    <w:rsid w:val="7344D90F"/>
    <w:rsid w:val="7345836F"/>
    <w:rsid w:val="734600BA"/>
    <w:rsid w:val="73476C99"/>
    <w:rsid w:val="7348BC87"/>
    <w:rsid w:val="7348BD94"/>
    <w:rsid w:val="73493D33"/>
    <w:rsid w:val="734A10C7"/>
    <w:rsid w:val="734A33F2"/>
    <w:rsid w:val="734B0A91"/>
    <w:rsid w:val="734B2F54"/>
    <w:rsid w:val="734B61D6"/>
    <w:rsid w:val="734B7304"/>
    <w:rsid w:val="734BCC0C"/>
    <w:rsid w:val="734C7D0C"/>
    <w:rsid w:val="734CF370"/>
    <w:rsid w:val="734D4794"/>
    <w:rsid w:val="734D57C7"/>
    <w:rsid w:val="734E26E2"/>
    <w:rsid w:val="734EF609"/>
    <w:rsid w:val="734FAC76"/>
    <w:rsid w:val="735038E3"/>
    <w:rsid w:val="7350CF57"/>
    <w:rsid w:val="7351CF4F"/>
    <w:rsid w:val="73521115"/>
    <w:rsid w:val="73522251"/>
    <w:rsid w:val="73525EE0"/>
    <w:rsid w:val="73529F54"/>
    <w:rsid w:val="7352A7A4"/>
    <w:rsid w:val="73539E71"/>
    <w:rsid w:val="7353EF94"/>
    <w:rsid w:val="73548555"/>
    <w:rsid w:val="7355A82A"/>
    <w:rsid w:val="735690FC"/>
    <w:rsid w:val="73584285"/>
    <w:rsid w:val="73588D3D"/>
    <w:rsid w:val="73596498"/>
    <w:rsid w:val="735A2D03"/>
    <w:rsid w:val="735A8EEB"/>
    <w:rsid w:val="735AD7F6"/>
    <w:rsid w:val="735B590F"/>
    <w:rsid w:val="735B7665"/>
    <w:rsid w:val="735C0D83"/>
    <w:rsid w:val="735C4310"/>
    <w:rsid w:val="735CEC15"/>
    <w:rsid w:val="735D05BA"/>
    <w:rsid w:val="735D120F"/>
    <w:rsid w:val="735D2820"/>
    <w:rsid w:val="735D2B5A"/>
    <w:rsid w:val="735E0092"/>
    <w:rsid w:val="735F7F99"/>
    <w:rsid w:val="73605AD2"/>
    <w:rsid w:val="736082E7"/>
    <w:rsid w:val="7360E44B"/>
    <w:rsid w:val="73611237"/>
    <w:rsid w:val="73617AAF"/>
    <w:rsid w:val="7362370F"/>
    <w:rsid w:val="73626EFC"/>
    <w:rsid w:val="7362B113"/>
    <w:rsid w:val="7362CA44"/>
    <w:rsid w:val="73638A6E"/>
    <w:rsid w:val="7363D18A"/>
    <w:rsid w:val="7363F26A"/>
    <w:rsid w:val="73644EF2"/>
    <w:rsid w:val="7365C5F6"/>
    <w:rsid w:val="7365D34D"/>
    <w:rsid w:val="7366DDF5"/>
    <w:rsid w:val="73673DF1"/>
    <w:rsid w:val="73687682"/>
    <w:rsid w:val="73688E62"/>
    <w:rsid w:val="736936CA"/>
    <w:rsid w:val="73693EBA"/>
    <w:rsid w:val="7369B060"/>
    <w:rsid w:val="736A0180"/>
    <w:rsid w:val="736A0A78"/>
    <w:rsid w:val="736A462D"/>
    <w:rsid w:val="736BD166"/>
    <w:rsid w:val="736C6A6E"/>
    <w:rsid w:val="736D0D7F"/>
    <w:rsid w:val="736F5811"/>
    <w:rsid w:val="736F7C9E"/>
    <w:rsid w:val="736F80E8"/>
    <w:rsid w:val="73707141"/>
    <w:rsid w:val="7370B2CD"/>
    <w:rsid w:val="7371910C"/>
    <w:rsid w:val="737366F8"/>
    <w:rsid w:val="7373D0FB"/>
    <w:rsid w:val="73749248"/>
    <w:rsid w:val="7374CD25"/>
    <w:rsid w:val="7375E0FB"/>
    <w:rsid w:val="73769F54"/>
    <w:rsid w:val="7376AF72"/>
    <w:rsid w:val="73782FB8"/>
    <w:rsid w:val="7378E092"/>
    <w:rsid w:val="7378FF05"/>
    <w:rsid w:val="73798D48"/>
    <w:rsid w:val="7379EC18"/>
    <w:rsid w:val="737A2A56"/>
    <w:rsid w:val="737A4073"/>
    <w:rsid w:val="737B71B2"/>
    <w:rsid w:val="737C1C95"/>
    <w:rsid w:val="737C509E"/>
    <w:rsid w:val="737E15CD"/>
    <w:rsid w:val="737E4CA7"/>
    <w:rsid w:val="737F0292"/>
    <w:rsid w:val="737FB110"/>
    <w:rsid w:val="738021BE"/>
    <w:rsid w:val="738050FE"/>
    <w:rsid w:val="73813684"/>
    <w:rsid w:val="73813FEC"/>
    <w:rsid w:val="7381B0C6"/>
    <w:rsid w:val="7381CF58"/>
    <w:rsid w:val="7381EE32"/>
    <w:rsid w:val="73821639"/>
    <w:rsid w:val="73827B70"/>
    <w:rsid w:val="73835181"/>
    <w:rsid w:val="73843C69"/>
    <w:rsid w:val="7384EA21"/>
    <w:rsid w:val="738565EE"/>
    <w:rsid w:val="73857A1F"/>
    <w:rsid w:val="73858BC8"/>
    <w:rsid w:val="73859E52"/>
    <w:rsid w:val="738789B0"/>
    <w:rsid w:val="7387EB6A"/>
    <w:rsid w:val="738803FC"/>
    <w:rsid w:val="738B1695"/>
    <w:rsid w:val="738B1B46"/>
    <w:rsid w:val="738B2FCB"/>
    <w:rsid w:val="738B45F3"/>
    <w:rsid w:val="738B4F26"/>
    <w:rsid w:val="738C35FA"/>
    <w:rsid w:val="738CCA22"/>
    <w:rsid w:val="738D1C1B"/>
    <w:rsid w:val="738D4CE1"/>
    <w:rsid w:val="738E494C"/>
    <w:rsid w:val="738E7E5E"/>
    <w:rsid w:val="738E963B"/>
    <w:rsid w:val="738F9DA3"/>
    <w:rsid w:val="7390BA2A"/>
    <w:rsid w:val="73927740"/>
    <w:rsid w:val="73945A3E"/>
    <w:rsid w:val="73959CB7"/>
    <w:rsid w:val="7395FDB2"/>
    <w:rsid w:val="739639FE"/>
    <w:rsid w:val="73966578"/>
    <w:rsid w:val="7396A09A"/>
    <w:rsid w:val="7396C702"/>
    <w:rsid w:val="739710AB"/>
    <w:rsid w:val="73976873"/>
    <w:rsid w:val="73979746"/>
    <w:rsid w:val="7397EF11"/>
    <w:rsid w:val="7398D6DA"/>
    <w:rsid w:val="73998163"/>
    <w:rsid w:val="7399EA6F"/>
    <w:rsid w:val="739A906A"/>
    <w:rsid w:val="739B4019"/>
    <w:rsid w:val="739B8192"/>
    <w:rsid w:val="739BF34E"/>
    <w:rsid w:val="739C3BD1"/>
    <w:rsid w:val="739D0C1F"/>
    <w:rsid w:val="739D6CCB"/>
    <w:rsid w:val="739D7940"/>
    <w:rsid w:val="739E97A0"/>
    <w:rsid w:val="739EBEEE"/>
    <w:rsid w:val="739F5655"/>
    <w:rsid w:val="739FB6D8"/>
    <w:rsid w:val="739FD96D"/>
    <w:rsid w:val="739FE423"/>
    <w:rsid w:val="73A01FC3"/>
    <w:rsid w:val="73A02736"/>
    <w:rsid w:val="73A076BE"/>
    <w:rsid w:val="73A09AB4"/>
    <w:rsid w:val="73A0A19C"/>
    <w:rsid w:val="73A15A15"/>
    <w:rsid w:val="73A1AEEB"/>
    <w:rsid w:val="73A2DF03"/>
    <w:rsid w:val="73A2E599"/>
    <w:rsid w:val="73A43386"/>
    <w:rsid w:val="73A45A1C"/>
    <w:rsid w:val="73A4C205"/>
    <w:rsid w:val="73A4F07D"/>
    <w:rsid w:val="73A54814"/>
    <w:rsid w:val="73A69139"/>
    <w:rsid w:val="73A7160B"/>
    <w:rsid w:val="73A75934"/>
    <w:rsid w:val="73A7FF6D"/>
    <w:rsid w:val="73A841E1"/>
    <w:rsid w:val="73A965CA"/>
    <w:rsid w:val="73A9738F"/>
    <w:rsid w:val="73AA89EE"/>
    <w:rsid w:val="73AAB2A3"/>
    <w:rsid w:val="73AACA76"/>
    <w:rsid w:val="73AB301A"/>
    <w:rsid w:val="73ABF9D3"/>
    <w:rsid w:val="73AC0606"/>
    <w:rsid w:val="73AC2C01"/>
    <w:rsid w:val="73ACC928"/>
    <w:rsid w:val="73AD1154"/>
    <w:rsid w:val="73AD22AE"/>
    <w:rsid w:val="73AD81CE"/>
    <w:rsid w:val="73ADD9E8"/>
    <w:rsid w:val="73AE237F"/>
    <w:rsid w:val="73AEB618"/>
    <w:rsid w:val="73AF2C4E"/>
    <w:rsid w:val="73AF9DA2"/>
    <w:rsid w:val="73B0B2DC"/>
    <w:rsid w:val="73B0B80C"/>
    <w:rsid w:val="73B1037A"/>
    <w:rsid w:val="73B15637"/>
    <w:rsid w:val="73B2500F"/>
    <w:rsid w:val="73B266FB"/>
    <w:rsid w:val="73B2AC2A"/>
    <w:rsid w:val="73B39A3A"/>
    <w:rsid w:val="73B3CC12"/>
    <w:rsid w:val="73B42A79"/>
    <w:rsid w:val="73B448BC"/>
    <w:rsid w:val="73B4CEFF"/>
    <w:rsid w:val="73B4F8C2"/>
    <w:rsid w:val="73B5E399"/>
    <w:rsid w:val="73B6A830"/>
    <w:rsid w:val="73B76758"/>
    <w:rsid w:val="73B7D8FB"/>
    <w:rsid w:val="73B82245"/>
    <w:rsid w:val="73B8B57C"/>
    <w:rsid w:val="73B8F91B"/>
    <w:rsid w:val="73B93E0E"/>
    <w:rsid w:val="73B9A311"/>
    <w:rsid w:val="73B9C72D"/>
    <w:rsid w:val="73BA1F04"/>
    <w:rsid w:val="73BA6EC8"/>
    <w:rsid w:val="73BAF8E7"/>
    <w:rsid w:val="73BC6F87"/>
    <w:rsid w:val="73BCC07D"/>
    <w:rsid w:val="73BCCEF0"/>
    <w:rsid w:val="73BD4EEA"/>
    <w:rsid w:val="73BD8476"/>
    <w:rsid w:val="73BD91E8"/>
    <w:rsid w:val="73BDCF89"/>
    <w:rsid w:val="73BDDDE0"/>
    <w:rsid w:val="73BECAF8"/>
    <w:rsid w:val="73BF1977"/>
    <w:rsid w:val="73BF3D4C"/>
    <w:rsid w:val="73BFA0D7"/>
    <w:rsid w:val="73C1948C"/>
    <w:rsid w:val="73C303FE"/>
    <w:rsid w:val="73C371B8"/>
    <w:rsid w:val="73C38809"/>
    <w:rsid w:val="73C3E874"/>
    <w:rsid w:val="73C45B9A"/>
    <w:rsid w:val="73C45BB4"/>
    <w:rsid w:val="73C4E2AE"/>
    <w:rsid w:val="73C5C582"/>
    <w:rsid w:val="73C672A5"/>
    <w:rsid w:val="73C73F3D"/>
    <w:rsid w:val="73C7E5CA"/>
    <w:rsid w:val="73C8A6A6"/>
    <w:rsid w:val="73C8E853"/>
    <w:rsid w:val="73C94EDC"/>
    <w:rsid w:val="73C95891"/>
    <w:rsid w:val="73CA67AB"/>
    <w:rsid w:val="73CAA3D5"/>
    <w:rsid w:val="73CBE300"/>
    <w:rsid w:val="73CC427C"/>
    <w:rsid w:val="73CCE237"/>
    <w:rsid w:val="73CCF15F"/>
    <w:rsid w:val="73CD29D0"/>
    <w:rsid w:val="73CD2C8A"/>
    <w:rsid w:val="73CDE5D7"/>
    <w:rsid w:val="73CF8539"/>
    <w:rsid w:val="73CF85A8"/>
    <w:rsid w:val="73D08BC8"/>
    <w:rsid w:val="73D0A375"/>
    <w:rsid w:val="73D0F398"/>
    <w:rsid w:val="73D23A7D"/>
    <w:rsid w:val="73D2DF99"/>
    <w:rsid w:val="73D307CE"/>
    <w:rsid w:val="73D3155D"/>
    <w:rsid w:val="73D47003"/>
    <w:rsid w:val="73D4AF02"/>
    <w:rsid w:val="73D5AF43"/>
    <w:rsid w:val="73D66BB3"/>
    <w:rsid w:val="73D74067"/>
    <w:rsid w:val="73D7D428"/>
    <w:rsid w:val="73D7DF91"/>
    <w:rsid w:val="73D82B66"/>
    <w:rsid w:val="73D84BC2"/>
    <w:rsid w:val="73D89F51"/>
    <w:rsid w:val="73D8F00A"/>
    <w:rsid w:val="73D94166"/>
    <w:rsid w:val="73D97731"/>
    <w:rsid w:val="73D98BC6"/>
    <w:rsid w:val="73DA2278"/>
    <w:rsid w:val="73DA506A"/>
    <w:rsid w:val="73DAF823"/>
    <w:rsid w:val="73DB1B23"/>
    <w:rsid w:val="73DB1D78"/>
    <w:rsid w:val="73DC1B00"/>
    <w:rsid w:val="73DC1D2B"/>
    <w:rsid w:val="73DD6E6A"/>
    <w:rsid w:val="73DD71AC"/>
    <w:rsid w:val="73DDF4D5"/>
    <w:rsid w:val="73DE1320"/>
    <w:rsid w:val="73DE7167"/>
    <w:rsid w:val="73DE7877"/>
    <w:rsid w:val="73DF8796"/>
    <w:rsid w:val="73DFDE77"/>
    <w:rsid w:val="73DFF40A"/>
    <w:rsid w:val="73E0AB22"/>
    <w:rsid w:val="73E123F6"/>
    <w:rsid w:val="73E14BFD"/>
    <w:rsid w:val="73E174CA"/>
    <w:rsid w:val="73E27337"/>
    <w:rsid w:val="73E2BAEC"/>
    <w:rsid w:val="73E2BCDE"/>
    <w:rsid w:val="73E364C3"/>
    <w:rsid w:val="73E50157"/>
    <w:rsid w:val="73E5C85A"/>
    <w:rsid w:val="73E615F1"/>
    <w:rsid w:val="73E655DC"/>
    <w:rsid w:val="73E66D40"/>
    <w:rsid w:val="73E7B59A"/>
    <w:rsid w:val="73E7DA45"/>
    <w:rsid w:val="73E7DD5C"/>
    <w:rsid w:val="73E7EDB3"/>
    <w:rsid w:val="73E95930"/>
    <w:rsid w:val="73EA93B1"/>
    <w:rsid w:val="73EAA12C"/>
    <w:rsid w:val="73EAD122"/>
    <w:rsid w:val="73EB6B51"/>
    <w:rsid w:val="73EB889F"/>
    <w:rsid w:val="73EBF17E"/>
    <w:rsid w:val="73ECF686"/>
    <w:rsid w:val="73EDA94A"/>
    <w:rsid w:val="73EDE608"/>
    <w:rsid w:val="73EE4613"/>
    <w:rsid w:val="73EF323E"/>
    <w:rsid w:val="73F1152D"/>
    <w:rsid w:val="73F151D5"/>
    <w:rsid w:val="73F22B76"/>
    <w:rsid w:val="73F25C7B"/>
    <w:rsid w:val="73F26E18"/>
    <w:rsid w:val="73F2E6CE"/>
    <w:rsid w:val="73F2F795"/>
    <w:rsid w:val="73F30DB1"/>
    <w:rsid w:val="73F44BDC"/>
    <w:rsid w:val="73F555BA"/>
    <w:rsid w:val="73F633E6"/>
    <w:rsid w:val="73F65042"/>
    <w:rsid w:val="73F6910B"/>
    <w:rsid w:val="73F72065"/>
    <w:rsid w:val="73F7883D"/>
    <w:rsid w:val="73F8662A"/>
    <w:rsid w:val="73F88879"/>
    <w:rsid w:val="73F8C59C"/>
    <w:rsid w:val="73F922EF"/>
    <w:rsid w:val="73F99380"/>
    <w:rsid w:val="73F9A786"/>
    <w:rsid w:val="73FA28A7"/>
    <w:rsid w:val="73FA8539"/>
    <w:rsid w:val="73FAC739"/>
    <w:rsid w:val="73FB8EEE"/>
    <w:rsid w:val="73FC0B1E"/>
    <w:rsid w:val="73FC208D"/>
    <w:rsid w:val="73FDAA44"/>
    <w:rsid w:val="73FE33A5"/>
    <w:rsid w:val="73FEB8E7"/>
    <w:rsid w:val="73FF95EE"/>
    <w:rsid w:val="73FFB7EB"/>
    <w:rsid w:val="74005BB4"/>
    <w:rsid w:val="7400617E"/>
    <w:rsid w:val="74009C45"/>
    <w:rsid w:val="7401D539"/>
    <w:rsid w:val="7401EC54"/>
    <w:rsid w:val="740274CB"/>
    <w:rsid w:val="74028415"/>
    <w:rsid w:val="74029DCA"/>
    <w:rsid w:val="74030D84"/>
    <w:rsid w:val="74041339"/>
    <w:rsid w:val="7404D316"/>
    <w:rsid w:val="74058E91"/>
    <w:rsid w:val="7406753E"/>
    <w:rsid w:val="7406DB30"/>
    <w:rsid w:val="74072D81"/>
    <w:rsid w:val="74075159"/>
    <w:rsid w:val="7407741B"/>
    <w:rsid w:val="7407B044"/>
    <w:rsid w:val="7407DE40"/>
    <w:rsid w:val="74082824"/>
    <w:rsid w:val="74088DF6"/>
    <w:rsid w:val="7408B54C"/>
    <w:rsid w:val="740933E7"/>
    <w:rsid w:val="7409ABC1"/>
    <w:rsid w:val="740A12D7"/>
    <w:rsid w:val="740A69B1"/>
    <w:rsid w:val="740F9D2B"/>
    <w:rsid w:val="7410B9CF"/>
    <w:rsid w:val="7411D8DB"/>
    <w:rsid w:val="7412DBE7"/>
    <w:rsid w:val="7413A23A"/>
    <w:rsid w:val="7413B621"/>
    <w:rsid w:val="74143A7E"/>
    <w:rsid w:val="7414735D"/>
    <w:rsid w:val="741510BF"/>
    <w:rsid w:val="74169EBB"/>
    <w:rsid w:val="7416B613"/>
    <w:rsid w:val="7417EEC9"/>
    <w:rsid w:val="74183986"/>
    <w:rsid w:val="7419A3D6"/>
    <w:rsid w:val="741B726B"/>
    <w:rsid w:val="741BBC53"/>
    <w:rsid w:val="741BBD36"/>
    <w:rsid w:val="741C663E"/>
    <w:rsid w:val="741D309E"/>
    <w:rsid w:val="741D5259"/>
    <w:rsid w:val="741DF6D5"/>
    <w:rsid w:val="74203D44"/>
    <w:rsid w:val="74228C9E"/>
    <w:rsid w:val="7423F1F1"/>
    <w:rsid w:val="7424F737"/>
    <w:rsid w:val="7427DEF9"/>
    <w:rsid w:val="7428FAF7"/>
    <w:rsid w:val="7429598D"/>
    <w:rsid w:val="742B468F"/>
    <w:rsid w:val="742B6373"/>
    <w:rsid w:val="742B7237"/>
    <w:rsid w:val="742BA9C8"/>
    <w:rsid w:val="742C46D7"/>
    <w:rsid w:val="742DA3D8"/>
    <w:rsid w:val="742ED9D4"/>
    <w:rsid w:val="742F2E7D"/>
    <w:rsid w:val="74306CB9"/>
    <w:rsid w:val="74308652"/>
    <w:rsid w:val="74311670"/>
    <w:rsid w:val="74319DE9"/>
    <w:rsid w:val="7432B2E1"/>
    <w:rsid w:val="7432E83D"/>
    <w:rsid w:val="7432EB2B"/>
    <w:rsid w:val="7432F939"/>
    <w:rsid w:val="7433653D"/>
    <w:rsid w:val="74346C72"/>
    <w:rsid w:val="7434E06A"/>
    <w:rsid w:val="743564DC"/>
    <w:rsid w:val="7435E59B"/>
    <w:rsid w:val="74360E4C"/>
    <w:rsid w:val="74362A96"/>
    <w:rsid w:val="7436341B"/>
    <w:rsid w:val="743800E9"/>
    <w:rsid w:val="7438CA48"/>
    <w:rsid w:val="743AE181"/>
    <w:rsid w:val="743B9D31"/>
    <w:rsid w:val="743BE52F"/>
    <w:rsid w:val="743C56BB"/>
    <w:rsid w:val="743D0A5B"/>
    <w:rsid w:val="743D4247"/>
    <w:rsid w:val="743E655C"/>
    <w:rsid w:val="743F0968"/>
    <w:rsid w:val="743F7D5F"/>
    <w:rsid w:val="743F8C52"/>
    <w:rsid w:val="743FB07C"/>
    <w:rsid w:val="743FC2FD"/>
    <w:rsid w:val="74409E2E"/>
    <w:rsid w:val="74420A77"/>
    <w:rsid w:val="74422AB8"/>
    <w:rsid w:val="74428B47"/>
    <w:rsid w:val="7443709B"/>
    <w:rsid w:val="744375F1"/>
    <w:rsid w:val="7443C92F"/>
    <w:rsid w:val="7443D3C8"/>
    <w:rsid w:val="74448E6B"/>
    <w:rsid w:val="744679F0"/>
    <w:rsid w:val="7446D0AC"/>
    <w:rsid w:val="7446EEF4"/>
    <w:rsid w:val="744711B8"/>
    <w:rsid w:val="744787AD"/>
    <w:rsid w:val="74489E60"/>
    <w:rsid w:val="7448B004"/>
    <w:rsid w:val="74496145"/>
    <w:rsid w:val="7449C409"/>
    <w:rsid w:val="744AEDE1"/>
    <w:rsid w:val="744B0F63"/>
    <w:rsid w:val="744B57C1"/>
    <w:rsid w:val="744B5980"/>
    <w:rsid w:val="744BBBB9"/>
    <w:rsid w:val="744C67E1"/>
    <w:rsid w:val="744C9926"/>
    <w:rsid w:val="744CD3AF"/>
    <w:rsid w:val="744DCE7A"/>
    <w:rsid w:val="744E25FB"/>
    <w:rsid w:val="744EC445"/>
    <w:rsid w:val="744EF3F2"/>
    <w:rsid w:val="744F9822"/>
    <w:rsid w:val="74511A3C"/>
    <w:rsid w:val="74512827"/>
    <w:rsid w:val="7451541E"/>
    <w:rsid w:val="74521FC7"/>
    <w:rsid w:val="7452C22A"/>
    <w:rsid w:val="7452DBDD"/>
    <w:rsid w:val="74530164"/>
    <w:rsid w:val="7453602D"/>
    <w:rsid w:val="7453A148"/>
    <w:rsid w:val="74543F3C"/>
    <w:rsid w:val="74544889"/>
    <w:rsid w:val="74547986"/>
    <w:rsid w:val="7454F852"/>
    <w:rsid w:val="74553B0B"/>
    <w:rsid w:val="74553BC7"/>
    <w:rsid w:val="745550E9"/>
    <w:rsid w:val="7455EF27"/>
    <w:rsid w:val="745613BC"/>
    <w:rsid w:val="74564286"/>
    <w:rsid w:val="745655EF"/>
    <w:rsid w:val="7456B301"/>
    <w:rsid w:val="7456C91F"/>
    <w:rsid w:val="7456CD75"/>
    <w:rsid w:val="7456D0F5"/>
    <w:rsid w:val="7456E3FD"/>
    <w:rsid w:val="74574733"/>
    <w:rsid w:val="74576893"/>
    <w:rsid w:val="745771FB"/>
    <w:rsid w:val="7458180E"/>
    <w:rsid w:val="7458FCE9"/>
    <w:rsid w:val="7459CC80"/>
    <w:rsid w:val="7459D54E"/>
    <w:rsid w:val="7459D90E"/>
    <w:rsid w:val="745A40DC"/>
    <w:rsid w:val="745C1D5C"/>
    <w:rsid w:val="745DA7E4"/>
    <w:rsid w:val="745E02D6"/>
    <w:rsid w:val="745E0AD4"/>
    <w:rsid w:val="745E2219"/>
    <w:rsid w:val="745E572B"/>
    <w:rsid w:val="745E8586"/>
    <w:rsid w:val="745E962A"/>
    <w:rsid w:val="745F4141"/>
    <w:rsid w:val="7460D04D"/>
    <w:rsid w:val="7460DDA4"/>
    <w:rsid w:val="746128FE"/>
    <w:rsid w:val="74621D57"/>
    <w:rsid w:val="74625BB8"/>
    <w:rsid w:val="74631DEC"/>
    <w:rsid w:val="7463FA43"/>
    <w:rsid w:val="746487DC"/>
    <w:rsid w:val="7464B362"/>
    <w:rsid w:val="74654140"/>
    <w:rsid w:val="7465CA0D"/>
    <w:rsid w:val="74662F07"/>
    <w:rsid w:val="7466AB3F"/>
    <w:rsid w:val="7466D7E1"/>
    <w:rsid w:val="7467B56C"/>
    <w:rsid w:val="7467E98D"/>
    <w:rsid w:val="74683096"/>
    <w:rsid w:val="746A81E5"/>
    <w:rsid w:val="746AB1E1"/>
    <w:rsid w:val="746B0F7B"/>
    <w:rsid w:val="746BB171"/>
    <w:rsid w:val="746C8E5C"/>
    <w:rsid w:val="746D82F8"/>
    <w:rsid w:val="746E2413"/>
    <w:rsid w:val="746F1A8C"/>
    <w:rsid w:val="746F7F00"/>
    <w:rsid w:val="7470CA0E"/>
    <w:rsid w:val="747101E5"/>
    <w:rsid w:val="7471A9DF"/>
    <w:rsid w:val="74721C9E"/>
    <w:rsid w:val="74728849"/>
    <w:rsid w:val="7472B2B0"/>
    <w:rsid w:val="7472D8F0"/>
    <w:rsid w:val="74730AB7"/>
    <w:rsid w:val="7473323F"/>
    <w:rsid w:val="74738A2B"/>
    <w:rsid w:val="7473A597"/>
    <w:rsid w:val="74740AF5"/>
    <w:rsid w:val="747472B7"/>
    <w:rsid w:val="74748BD7"/>
    <w:rsid w:val="7474E836"/>
    <w:rsid w:val="74754CFC"/>
    <w:rsid w:val="74758C95"/>
    <w:rsid w:val="7475938C"/>
    <w:rsid w:val="74759B67"/>
    <w:rsid w:val="7475F64A"/>
    <w:rsid w:val="74761E90"/>
    <w:rsid w:val="747635A1"/>
    <w:rsid w:val="74778175"/>
    <w:rsid w:val="747865EF"/>
    <w:rsid w:val="7478956A"/>
    <w:rsid w:val="7479C759"/>
    <w:rsid w:val="7479D2F8"/>
    <w:rsid w:val="7479FB10"/>
    <w:rsid w:val="747ACA74"/>
    <w:rsid w:val="747B5700"/>
    <w:rsid w:val="747BF87A"/>
    <w:rsid w:val="747C656D"/>
    <w:rsid w:val="747C7C1A"/>
    <w:rsid w:val="747D142B"/>
    <w:rsid w:val="747D1A06"/>
    <w:rsid w:val="747D620A"/>
    <w:rsid w:val="747DBA24"/>
    <w:rsid w:val="747EFC06"/>
    <w:rsid w:val="74806096"/>
    <w:rsid w:val="7480AA9D"/>
    <w:rsid w:val="7480F8A0"/>
    <w:rsid w:val="74823224"/>
    <w:rsid w:val="74824613"/>
    <w:rsid w:val="7482D711"/>
    <w:rsid w:val="7482F400"/>
    <w:rsid w:val="7483A916"/>
    <w:rsid w:val="7483F839"/>
    <w:rsid w:val="7483FB47"/>
    <w:rsid w:val="7484E91E"/>
    <w:rsid w:val="748536FD"/>
    <w:rsid w:val="74855A16"/>
    <w:rsid w:val="74859919"/>
    <w:rsid w:val="7485A066"/>
    <w:rsid w:val="7485CA81"/>
    <w:rsid w:val="74860419"/>
    <w:rsid w:val="74864A9D"/>
    <w:rsid w:val="74867B23"/>
    <w:rsid w:val="7486B37C"/>
    <w:rsid w:val="74876A87"/>
    <w:rsid w:val="7487C4BD"/>
    <w:rsid w:val="74893286"/>
    <w:rsid w:val="748B8B07"/>
    <w:rsid w:val="748BBAD5"/>
    <w:rsid w:val="748C01CC"/>
    <w:rsid w:val="748C0DEA"/>
    <w:rsid w:val="748C7ADA"/>
    <w:rsid w:val="748CA081"/>
    <w:rsid w:val="748D29CB"/>
    <w:rsid w:val="748D53F8"/>
    <w:rsid w:val="748DC58D"/>
    <w:rsid w:val="748E7F89"/>
    <w:rsid w:val="748EA82D"/>
    <w:rsid w:val="748ECBB2"/>
    <w:rsid w:val="748FC648"/>
    <w:rsid w:val="74924460"/>
    <w:rsid w:val="749271A0"/>
    <w:rsid w:val="74940D14"/>
    <w:rsid w:val="749452BD"/>
    <w:rsid w:val="74959827"/>
    <w:rsid w:val="7495C15C"/>
    <w:rsid w:val="74968B6E"/>
    <w:rsid w:val="74969734"/>
    <w:rsid w:val="74994CFA"/>
    <w:rsid w:val="74995B84"/>
    <w:rsid w:val="74999493"/>
    <w:rsid w:val="749AED3B"/>
    <w:rsid w:val="749BC807"/>
    <w:rsid w:val="749E19DA"/>
    <w:rsid w:val="749E3AE1"/>
    <w:rsid w:val="749F0A78"/>
    <w:rsid w:val="74A06D1E"/>
    <w:rsid w:val="74A0C302"/>
    <w:rsid w:val="74A15BFD"/>
    <w:rsid w:val="74A164EE"/>
    <w:rsid w:val="74A18794"/>
    <w:rsid w:val="74A1CA8B"/>
    <w:rsid w:val="74A1F31F"/>
    <w:rsid w:val="74A20C5E"/>
    <w:rsid w:val="74A253E4"/>
    <w:rsid w:val="74A2646E"/>
    <w:rsid w:val="74A2C8F8"/>
    <w:rsid w:val="74A320D1"/>
    <w:rsid w:val="74A3C6D6"/>
    <w:rsid w:val="74A42433"/>
    <w:rsid w:val="74A43E9C"/>
    <w:rsid w:val="74A4C96C"/>
    <w:rsid w:val="74A54DA0"/>
    <w:rsid w:val="74A57B30"/>
    <w:rsid w:val="74A63296"/>
    <w:rsid w:val="74A673DE"/>
    <w:rsid w:val="74A6B654"/>
    <w:rsid w:val="74A701DF"/>
    <w:rsid w:val="74A706A4"/>
    <w:rsid w:val="74A718B1"/>
    <w:rsid w:val="74A7F1C8"/>
    <w:rsid w:val="74A89591"/>
    <w:rsid w:val="74A95243"/>
    <w:rsid w:val="74AB119D"/>
    <w:rsid w:val="74AB4F01"/>
    <w:rsid w:val="74AB6BA2"/>
    <w:rsid w:val="74ACE4F0"/>
    <w:rsid w:val="74AD2B8B"/>
    <w:rsid w:val="74AD9720"/>
    <w:rsid w:val="74ADDA7A"/>
    <w:rsid w:val="74ADF40D"/>
    <w:rsid w:val="74AF3DFE"/>
    <w:rsid w:val="74B08620"/>
    <w:rsid w:val="74B10573"/>
    <w:rsid w:val="74B124C0"/>
    <w:rsid w:val="74B2393C"/>
    <w:rsid w:val="74B40D4F"/>
    <w:rsid w:val="74B43812"/>
    <w:rsid w:val="74B43AE2"/>
    <w:rsid w:val="74B4C2BF"/>
    <w:rsid w:val="74B613CE"/>
    <w:rsid w:val="74B61F3B"/>
    <w:rsid w:val="74B668FE"/>
    <w:rsid w:val="74B6E133"/>
    <w:rsid w:val="74B75301"/>
    <w:rsid w:val="74B7CED9"/>
    <w:rsid w:val="74B7D5F5"/>
    <w:rsid w:val="74B7FBF3"/>
    <w:rsid w:val="74B83FD1"/>
    <w:rsid w:val="74B85970"/>
    <w:rsid w:val="74B8AFAA"/>
    <w:rsid w:val="74B91DA4"/>
    <w:rsid w:val="74B99EE8"/>
    <w:rsid w:val="74B9D378"/>
    <w:rsid w:val="74B9E41E"/>
    <w:rsid w:val="74B9EFF1"/>
    <w:rsid w:val="74BA069D"/>
    <w:rsid w:val="74BA3743"/>
    <w:rsid w:val="74BA4456"/>
    <w:rsid w:val="74BB02AF"/>
    <w:rsid w:val="74BB321C"/>
    <w:rsid w:val="74BB818C"/>
    <w:rsid w:val="74BD4CC4"/>
    <w:rsid w:val="74BDA65C"/>
    <w:rsid w:val="74BDB868"/>
    <w:rsid w:val="74BDF997"/>
    <w:rsid w:val="74BE8FFC"/>
    <w:rsid w:val="74BFA154"/>
    <w:rsid w:val="74C05DF7"/>
    <w:rsid w:val="74C0D3D6"/>
    <w:rsid w:val="74C0DA3F"/>
    <w:rsid w:val="74C1018C"/>
    <w:rsid w:val="74C185E7"/>
    <w:rsid w:val="74C25DBC"/>
    <w:rsid w:val="74C30C8D"/>
    <w:rsid w:val="74C35651"/>
    <w:rsid w:val="74C4029E"/>
    <w:rsid w:val="74C402A4"/>
    <w:rsid w:val="74C4A176"/>
    <w:rsid w:val="74C533A8"/>
    <w:rsid w:val="74C65E07"/>
    <w:rsid w:val="74C808D5"/>
    <w:rsid w:val="74C8293E"/>
    <w:rsid w:val="74C885A4"/>
    <w:rsid w:val="74C888E0"/>
    <w:rsid w:val="74C89B94"/>
    <w:rsid w:val="74C90608"/>
    <w:rsid w:val="74C921CF"/>
    <w:rsid w:val="74C9667B"/>
    <w:rsid w:val="74CA1E74"/>
    <w:rsid w:val="74CAC594"/>
    <w:rsid w:val="74CAFB50"/>
    <w:rsid w:val="74CB04CB"/>
    <w:rsid w:val="74CB619B"/>
    <w:rsid w:val="74CB9144"/>
    <w:rsid w:val="74CC7953"/>
    <w:rsid w:val="74CC796E"/>
    <w:rsid w:val="74CC8513"/>
    <w:rsid w:val="74CD16AF"/>
    <w:rsid w:val="74CE4F00"/>
    <w:rsid w:val="74CE555D"/>
    <w:rsid w:val="74CE74DE"/>
    <w:rsid w:val="74CEB03F"/>
    <w:rsid w:val="74CFEEDC"/>
    <w:rsid w:val="74D00454"/>
    <w:rsid w:val="74D0BBB0"/>
    <w:rsid w:val="74D0E2F7"/>
    <w:rsid w:val="74D164DE"/>
    <w:rsid w:val="74D21F59"/>
    <w:rsid w:val="74D406A5"/>
    <w:rsid w:val="74D4B215"/>
    <w:rsid w:val="74D4EC78"/>
    <w:rsid w:val="74D528B3"/>
    <w:rsid w:val="74D585E0"/>
    <w:rsid w:val="74D5A341"/>
    <w:rsid w:val="74D5C46D"/>
    <w:rsid w:val="74D5CE5D"/>
    <w:rsid w:val="74D617BA"/>
    <w:rsid w:val="74D64179"/>
    <w:rsid w:val="74D6815A"/>
    <w:rsid w:val="74D739B6"/>
    <w:rsid w:val="74D7AD3F"/>
    <w:rsid w:val="74D7B2CD"/>
    <w:rsid w:val="74D8016D"/>
    <w:rsid w:val="74D80BA0"/>
    <w:rsid w:val="74D999AF"/>
    <w:rsid w:val="74D9CE25"/>
    <w:rsid w:val="74D9D019"/>
    <w:rsid w:val="74DA3A79"/>
    <w:rsid w:val="74DA3BF4"/>
    <w:rsid w:val="74DA4E01"/>
    <w:rsid w:val="74DAB296"/>
    <w:rsid w:val="74DAED6D"/>
    <w:rsid w:val="74DC64B2"/>
    <w:rsid w:val="74DD1A9F"/>
    <w:rsid w:val="74DD6F81"/>
    <w:rsid w:val="74DF55F2"/>
    <w:rsid w:val="74DF759E"/>
    <w:rsid w:val="74DF7B25"/>
    <w:rsid w:val="74E039B9"/>
    <w:rsid w:val="74E0561A"/>
    <w:rsid w:val="74E15480"/>
    <w:rsid w:val="74E15FDC"/>
    <w:rsid w:val="74E234AB"/>
    <w:rsid w:val="74E31662"/>
    <w:rsid w:val="74E38920"/>
    <w:rsid w:val="74E4459A"/>
    <w:rsid w:val="74E4BD4A"/>
    <w:rsid w:val="74E51CF5"/>
    <w:rsid w:val="74E58325"/>
    <w:rsid w:val="74E58CD9"/>
    <w:rsid w:val="74E669CC"/>
    <w:rsid w:val="74E76072"/>
    <w:rsid w:val="74E82298"/>
    <w:rsid w:val="74E82C1B"/>
    <w:rsid w:val="74E868ED"/>
    <w:rsid w:val="74E88986"/>
    <w:rsid w:val="74E92D07"/>
    <w:rsid w:val="74E9541F"/>
    <w:rsid w:val="74E984C5"/>
    <w:rsid w:val="74EAB9ED"/>
    <w:rsid w:val="74EAD2C3"/>
    <w:rsid w:val="74EB7080"/>
    <w:rsid w:val="74EBA33E"/>
    <w:rsid w:val="74EBF348"/>
    <w:rsid w:val="74EC6A2A"/>
    <w:rsid w:val="74ED264F"/>
    <w:rsid w:val="74EEA039"/>
    <w:rsid w:val="74EEC41C"/>
    <w:rsid w:val="74EEC51E"/>
    <w:rsid w:val="74EF13BC"/>
    <w:rsid w:val="74EF91BC"/>
    <w:rsid w:val="74F006DA"/>
    <w:rsid w:val="74F0272B"/>
    <w:rsid w:val="74F0EB10"/>
    <w:rsid w:val="74F0F16F"/>
    <w:rsid w:val="74F10F74"/>
    <w:rsid w:val="74F1ADBD"/>
    <w:rsid w:val="74F1EF76"/>
    <w:rsid w:val="74F1F5B5"/>
    <w:rsid w:val="74F1FD52"/>
    <w:rsid w:val="74F21047"/>
    <w:rsid w:val="74F22A3E"/>
    <w:rsid w:val="74F25460"/>
    <w:rsid w:val="74F2CCC0"/>
    <w:rsid w:val="74F32A78"/>
    <w:rsid w:val="74F3602E"/>
    <w:rsid w:val="74F3C941"/>
    <w:rsid w:val="74F3DE3A"/>
    <w:rsid w:val="74F3F709"/>
    <w:rsid w:val="74F46585"/>
    <w:rsid w:val="74F46F7A"/>
    <w:rsid w:val="74F4935E"/>
    <w:rsid w:val="74F4E68C"/>
    <w:rsid w:val="74F5C142"/>
    <w:rsid w:val="74F98751"/>
    <w:rsid w:val="74F9D2FC"/>
    <w:rsid w:val="74F9FEA7"/>
    <w:rsid w:val="74FA99F0"/>
    <w:rsid w:val="74FAAF7D"/>
    <w:rsid w:val="74FAD147"/>
    <w:rsid w:val="74FAD382"/>
    <w:rsid w:val="74FB6CE9"/>
    <w:rsid w:val="74FC81B6"/>
    <w:rsid w:val="74FD0E72"/>
    <w:rsid w:val="74FD2C9B"/>
    <w:rsid w:val="74FE1E80"/>
    <w:rsid w:val="74FE7E58"/>
    <w:rsid w:val="74FF2135"/>
    <w:rsid w:val="74FF3283"/>
    <w:rsid w:val="74FF36D4"/>
    <w:rsid w:val="74FF45E1"/>
    <w:rsid w:val="74FF60B4"/>
    <w:rsid w:val="74FF7557"/>
    <w:rsid w:val="7500E911"/>
    <w:rsid w:val="75019B42"/>
    <w:rsid w:val="750294CB"/>
    <w:rsid w:val="7502C8C5"/>
    <w:rsid w:val="7502ED2E"/>
    <w:rsid w:val="7503B38C"/>
    <w:rsid w:val="7503CCB2"/>
    <w:rsid w:val="7503D404"/>
    <w:rsid w:val="750484ED"/>
    <w:rsid w:val="75049232"/>
    <w:rsid w:val="75050666"/>
    <w:rsid w:val="7505BA7D"/>
    <w:rsid w:val="750601F0"/>
    <w:rsid w:val="75060467"/>
    <w:rsid w:val="75079323"/>
    <w:rsid w:val="7507E052"/>
    <w:rsid w:val="7507EFEC"/>
    <w:rsid w:val="7508A275"/>
    <w:rsid w:val="75093240"/>
    <w:rsid w:val="750A5A93"/>
    <w:rsid w:val="750B0E47"/>
    <w:rsid w:val="750B7DAD"/>
    <w:rsid w:val="750BE751"/>
    <w:rsid w:val="750C7C0F"/>
    <w:rsid w:val="750CC3FB"/>
    <w:rsid w:val="750CF8ED"/>
    <w:rsid w:val="750D0A40"/>
    <w:rsid w:val="750D0D96"/>
    <w:rsid w:val="750D6752"/>
    <w:rsid w:val="750DA150"/>
    <w:rsid w:val="750DAAF8"/>
    <w:rsid w:val="750DEC11"/>
    <w:rsid w:val="750E57DC"/>
    <w:rsid w:val="750EE651"/>
    <w:rsid w:val="75108FFB"/>
    <w:rsid w:val="7510C75E"/>
    <w:rsid w:val="7510F2D1"/>
    <w:rsid w:val="7511BD41"/>
    <w:rsid w:val="751218F9"/>
    <w:rsid w:val="7512B070"/>
    <w:rsid w:val="7512ECB7"/>
    <w:rsid w:val="751304F5"/>
    <w:rsid w:val="751380F1"/>
    <w:rsid w:val="751382BE"/>
    <w:rsid w:val="7513E81A"/>
    <w:rsid w:val="75143A1F"/>
    <w:rsid w:val="7515744E"/>
    <w:rsid w:val="75159978"/>
    <w:rsid w:val="75164436"/>
    <w:rsid w:val="7516D139"/>
    <w:rsid w:val="75171B1E"/>
    <w:rsid w:val="7518E2FA"/>
    <w:rsid w:val="75198DCC"/>
    <w:rsid w:val="7519DD4B"/>
    <w:rsid w:val="751A5CA5"/>
    <w:rsid w:val="751ACB93"/>
    <w:rsid w:val="751BFD77"/>
    <w:rsid w:val="751C131E"/>
    <w:rsid w:val="751C91BD"/>
    <w:rsid w:val="751C9E17"/>
    <w:rsid w:val="751CC214"/>
    <w:rsid w:val="751CCBBC"/>
    <w:rsid w:val="751DE627"/>
    <w:rsid w:val="751DF29D"/>
    <w:rsid w:val="751E3EBC"/>
    <w:rsid w:val="751E7CA1"/>
    <w:rsid w:val="751EC471"/>
    <w:rsid w:val="75203467"/>
    <w:rsid w:val="7520A320"/>
    <w:rsid w:val="7520FB57"/>
    <w:rsid w:val="75210151"/>
    <w:rsid w:val="75218A52"/>
    <w:rsid w:val="75219BA5"/>
    <w:rsid w:val="7521A673"/>
    <w:rsid w:val="7521C33C"/>
    <w:rsid w:val="752213CC"/>
    <w:rsid w:val="75224C37"/>
    <w:rsid w:val="7522FD3E"/>
    <w:rsid w:val="752441A9"/>
    <w:rsid w:val="75246EAD"/>
    <w:rsid w:val="7524B2CE"/>
    <w:rsid w:val="7524CBA7"/>
    <w:rsid w:val="75253C98"/>
    <w:rsid w:val="7525DBA3"/>
    <w:rsid w:val="7525F9F8"/>
    <w:rsid w:val="75263F06"/>
    <w:rsid w:val="7526DC2D"/>
    <w:rsid w:val="7527024D"/>
    <w:rsid w:val="7528F982"/>
    <w:rsid w:val="752945E5"/>
    <w:rsid w:val="75294AD6"/>
    <w:rsid w:val="75297171"/>
    <w:rsid w:val="7529A4CA"/>
    <w:rsid w:val="7529ACD1"/>
    <w:rsid w:val="752A6A9F"/>
    <w:rsid w:val="752AA76C"/>
    <w:rsid w:val="752ADC74"/>
    <w:rsid w:val="752B535B"/>
    <w:rsid w:val="752BBCC3"/>
    <w:rsid w:val="752BEFAB"/>
    <w:rsid w:val="752C1F7C"/>
    <w:rsid w:val="752C3972"/>
    <w:rsid w:val="752C62A4"/>
    <w:rsid w:val="752CB378"/>
    <w:rsid w:val="752E34E6"/>
    <w:rsid w:val="752EF139"/>
    <w:rsid w:val="752F611B"/>
    <w:rsid w:val="752FCD2A"/>
    <w:rsid w:val="753038A4"/>
    <w:rsid w:val="7530F321"/>
    <w:rsid w:val="7530F420"/>
    <w:rsid w:val="75317925"/>
    <w:rsid w:val="75324492"/>
    <w:rsid w:val="75327AA5"/>
    <w:rsid w:val="7532A89F"/>
    <w:rsid w:val="7532E41D"/>
    <w:rsid w:val="7533933F"/>
    <w:rsid w:val="7533E2D3"/>
    <w:rsid w:val="75347F70"/>
    <w:rsid w:val="7534D92B"/>
    <w:rsid w:val="7535E89A"/>
    <w:rsid w:val="75363394"/>
    <w:rsid w:val="75365C4D"/>
    <w:rsid w:val="7536C987"/>
    <w:rsid w:val="7536EFE8"/>
    <w:rsid w:val="75374292"/>
    <w:rsid w:val="7537C211"/>
    <w:rsid w:val="7537E1F1"/>
    <w:rsid w:val="7537F274"/>
    <w:rsid w:val="75389C34"/>
    <w:rsid w:val="7539B088"/>
    <w:rsid w:val="753BA9A2"/>
    <w:rsid w:val="753BF217"/>
    <w:rsid w:val="753CA3D0"/>
    <w:rsid w:val="753CB227"/>
    <w:rsid w:val="753D17EA"/>
    <w:rsid w:val="753D4E87"/>
    <w:rsid w:val="753D63CB"/>
    <w:rsid w:val="753E0E99"/>
    <w:rsid w:val="753F8F0C"/>
    <w:rsid w:val="753FABB3"/>
    <w:rsid w:val="75409C42"/>
    <w:rsid w:val="7540E9B4"/>
    <w:rsid w:val="75413F76"/>
    <w:rsid w:val="75414FB4"/>
    <w:rsid w:val="75423432"/>
    <w:rsid w:val="754239F2"/>
    <w:rsid w:val="75428F7B"/>
    <w:rsid w:val="7542D677"/>
    <w:rsid w:val="75437316"/>
    <w:rsid w:val="75437C3B"/>
    <w:rsid w:val="7543CA07"/>
    <w:rsid w:val="7544A4BB"/>
    <w:rsid w:val="7544CC56"/>
    <w:rsid w:val="7545322B"/>
    <w:rsid w:val="754601D6"/>
    <w:rsid w:val="75460A29"/>
    <w:rsid w:val="75461FA6"/>
    <w:rsid w:val="75465FC6"/>
    <w:rsid w:val="7546DBE0"/>
    <w:rsid w:val="7546DD19"/>
    <w:rsid w:val="75471D72"/>
    <w:rsid w:val="754767FB"/>
    <w:rsid w:val="75476987"/>
    <w:rsid w:val="75480E7A"/>
    <w:rsid w:val="75483192"/>
    <w:rsid w:val="75485991"/>
    <w:rsid w:val="754A219C"/>
    <w:rsid w:val="754A83E7"/>
    <w:rsid w:val="754B1ED2"/>
    <w:rsid w:val="754D43E5"/>
    <w:rsid w:val="754D8EF5"/>
    <w:rsid w:val="754E23A4"/>
    <w:rsid w:val="754E87B1"/>
    <w:rsid w:val="754F1213"/>
    <w:rsid w:val="754F2E36"/>
    <w:rsid w:val="754F3C58"/>
    <w:rsid w:val="754F4070"/>
    <w:rsid w:val="75501460"/>
    <w:rsid w:val="755051A8"/>
    <w:rsid w:val="75505A9C"/>
    <w:rsid w:val="75508B3D"/>
    <w:rsid w:val="75514D4D"/>
    <w:rsid w:val="7551E4F8"/>
    <w:rsid w:val="7552F5D7"/>
    <w:rsid w:val="75532AE7"/>
    <w:rsid w:val="755356B0"/>
    <w:rsid w:val="7553B9AE"/>
    <w:rsid w:val="7553D3F9"/>
    <w:rsid w:val="75542698"/>
    <w:rsid w:val="7554B814"/>
    <w:rsid w:val="75556862"/>
    <w:rsid w:val="75556C9D"/>
    <w:rsid w:val="75561B1F"/>
    <w:rsid w:val="7556BF05"/>
    <w:rsid w:val="7556C707"/>
    <w:rsid w:val="7556C972"/>
    <w:rsid w:val="75571E9C"/>
    <w:rsid w:val="755783E5"/>
    <w:rsid w:val="7557ED88"/>
    <w:rsid w:val="75580D2B"/>
    <w:rsid w:val="7558FE54"/>
    <w:rsid w:val="755A22DF"/>
    <w:rsid w:val="755B8522"/>
    <w:rsid w:val="755B90EB"/>
    <w:rsid w:val="755B93C4"/>
    <w:rsid w:val="755C0FD2"/>
    <w:rsid w:val="755C37D5"/>
    <w:rsid w:val="755C94A9"/>
    <w:rsid w:val="755CC6B1"/>
    <w:rsid w:val="755CDE92"/>
    <w:rsid w:val="755E82D8"/>
    <w:rsid w:val="755E891A"/>
    <w:rsid w:val="755EEA8D"/>
    <w:rsid w:val="755FF47F"/>
    <w:rsid w:val="755FFE53"/>
    <w:rsid w:val="755FFFF1"/>
    <w:rsid w:val="75600CBD"/>
    <w:rsid w:val="75602C6C"/>
    <w:rsid w:val="756033B4"/>
    <w:rsid w:val="75612121"/>
    <w:rsid w:val="756142E0"/>
    <w:rsid w:val="756155F8"/>
    <w:rsid w:val="7561CB6F"/>
    <w:rsid w:val="7561E460"/>
    <w:rsid w:val="7562181B"/>
    <w:rsid w:val="7562501C"/>
    <w:rsid w:val="75627584"/>
    <w:rsid w:val="7562A05E"/>
    <w:rsid w:val="7562E06A"/>
    <w:rsid w:val="756331D6"/>
    <w:rsid w:val="75633BA2"/>
    <w:rsid w:val="756644AA"/>
    <w:rsid w:val="756675CB"/>
    <w:rsid w:val="7566FBF6"/>
    <w:rsid w:val="7567C60B"/>
    <w:rsid w:val="75686D1E"/>
    <w:rsid w:val="75686EED"/>
    <w:rsid w:val="7568F105"/>
    <w:rsid w:val="756976CA"/>
    <w:rsid w:val="7569DFBC"/>
    <w:rsid w:val="756A2053"/>
    <w:rsid w:val="756A48C4"/>
    <w:rsid w:val="756A6D13"/>
    <w:rsid w:val="756ABC5F"/>
    <w:rsid w:val="756B5012"/>
    <w:rsid w:val="756B9C94"/>
    <w:rsid w:val="756BA107"/>
    <w:rsid w:val="756BA3EC"/>
    <w:rsid w:val="756C4627"/>
    <w:rsid w:val="756C530D"/>
    <w:rsid w:val="756CD72C"/>
    <w:rsid w:val="756D2249"/>
    <w:rsid w:val="756D4DAB"/>
    <w:rsid w:val="756DA329"/>
    <w:rsid w:val="756DAAD0"/>
    <w:rsid w:val="756DC440"/>
    <w:rsid w:val="756E1D8F"/>
    <w:rsid w:val="756E376C"/>
    <w:rsid w:val="756EC273"/>
    <w:rsid w:val="756F4F03"/>
    <w:rsid w:val="756FD3F1"/>
    <w:rsid w:val="757070F4"/>
    <w:rsid w:val="7570BF96"/>
    <w:rsid w:val="7570F5DA"/>
    <w:rsid w:val="75714C09"/>
    <w:rsid w:val="757152D6"/>
    <w:rsid w:val="75715881"/>
    <w:rsid w:val="75718331"/>
    <w:rsid w:val="7571F4BE"/>
    <w:rsid w:val="75729A96"/>
    <w:rsid w:val="7572B687"/>
    <w:rsid w:val="7573184E"/>
    <w:rsid w:val="7573947F"/>
    <w:rsid w:val="7573B269"/>
    <w:rsid w:val="7574493F"/>
    <w:rsid w:val="7574909A"/>
    <w:rsid w:val="7575029F"/>
    <w:rsid w:val="75755DF2"/>
    <w:rsid w:val="7575E398"/>
    <w:rsid w:val="75764A5C"/>
    <w:rsid w:val="75768E65"/>
    <w:rsid w:val="7576C73E"/>
    <w:rsid w:val="75779A54"/>
    <w:rsid w:val="7577B452"/>
    <w:rsid w:val="7577E98F"/>
    <w:rsid w:val="7578035C"/>
    <w:rsid w:val="7578D3E5"/>
    <w:rsid w:val="7579AEC4"/>
    <w:rsid w:val="7579DD64"/>
    <w:rsid w:val="757A421F"/>
    <w:rsid w:val="757A5132"/>
    <w:rsid w:val="757A7990"/>
    <w:rsid w:val="757B2A4B"/>
    <w:rsid w:val="757BFD7E"/>
    <w:rsid w:val="757D5B65"/>
    <w:rsid w:val="757DCAA7"/>
    <w:rsid w:val="757E62AF"/>
    <w:rsid w:val="757F88FC"/>
    <w:rsid w:val="757FC523"/>
    <w:rsid w:val="758137D6"/>
    <w:rsid w:val="75818163"/>
    <w:rsid w:val="75827F8A"/>
    <w:rsid w:val="7582A221"/>
    <w:rsid w:val="7582BF67"/>
    <w:rsid w:val="75834DAF"/>
    <w:rsid w:val="75834EBD"/>
    <w:rsid w:val="7583B454"/>
    <w:rsid w:val="7583B7A0"/>
    <w:rsid w:val="75846FBC"/>
    <w:rsid w:val="7584F11F"/>
    <w:rsid w:val="75853BCD"/>
    <w:rsid w:val="758668C4"/>
    <w:rsid w:val="75867457"/>
    <w:rsid w:val="7586C6D7"/>
    <w:rsid w:val="7586CC71"/>
    <w:rsid w:val="7589E6D6"/>
    <w:rsid w:val="758A03AB"/>
    <w:rsid w:val="758A77B0"/>
    <w:rsid w:val="758C0AAF"/>
    <w:rsid w:val="758C9EE3"/>
    <w:rsid w:val="758CA30B"/>
    <w:rsid w:val="758CB61C"/>
    <w:rsid w:val="758E1F33"/>
    <w:rsid w:val="758F1EC9"/>
    <w:rsid w:val="758F8934"/>
    <w:rsid w:val="759070AA"/>
    <w:rsid w:val="75908635"/>
    <w:rsid w:val="759111CE"/>
    <w:rsid w:val="7591B87B"/>
    <w:rsid w:val="7592FF6B"/>
    <w:rsid w:val="75930E57"/>
    <w:rsid w:val="75934FB6"/>
    <w:rsid w:val="75935072"/>
    <w:rsid w:val="759418BF"/>
    <w:rsid w:val="7594931B"/>
    <w:rsid w:val="7594E493"/>
    <w:rsid w:val="75956A58"/>
    <w:rsid w:val="7595CB22"/>
    <w:rsid w:val="7595D1A8"/>
    <w:rsid w:val="7597A41D"/>
    <w:rsid w:val="7597BDD4"/>
    <w:rsid w:val="7597D88E"/>
    <w:rsid w:val="75980628"/>
    <w:rsid w:val="75987579"/>
    <w:rsid w:val="75988F58"/>
    <w:rsid w:val="759897F6"/>
    <w:rsid w:val="75989FF6"/>
    <w:rsid w:val="7599B3B5"/>
    <w:rsid w:val="759A10A0"/>
    <w:rsid w:val="759A7026"/>
    <w:rsid w:val="759B6B86"/>
    <w:rsid w:val="759BA150"/>
    <w:rsid w:val="759C759F"/>
    <w:rsid w:val="759D081B"/>
    <w:rsid w:val="759F5879"/>
    <w:rsid w:val="75A0829A"/>
    <w:rsid w:val="75A091E4"/>
    <w:rsid w:val="75A1B541"/>
    <w:rsid w:val="75A208D2"/>
    <w:rsid w:val="75A26A87"/>
    <w:rsid w:val="75A2B9DE"/>
    <w:rsid w:val="75A38028"/>
    <w:rsid w:val="75A46BDD"/>
    <w:rsid w:val="75A4A232"/>
    <w:rsid w:val="75A55465"/>
    <w:rsid w:val="75A5E3CC"/>
    <w:rsid w:val="75A651F4"/>
    <w:rsid w:val="75A6759A"/>
    <w:rsid w:val="75A6CA38"/>
    <w:rsid w:val="75A70DF1"/>
    <w:rsid w:val="75A725A3"/>
    <w:rsid w:val="75A73B69"/>
    <w:rsid w:val="75A74E7F"/>
    <w:rsid w:val="75A763C1"/>
    <w:rsid w:val="75A7A300"/>
    <w:rsid w:val="75A8C0D3"/>
    <w:rsid w:val="75A93754"/>
    <w:rsid w:val="75A9ACBF"/>
    <w:rsid w:val="75AA1665"/>
    <w:rsid w:val="75AC2E25"/>
    <w:rsid w:val="75AC8533"/>
    <w:rsid w:val="75ADA08D"/>
    <w:rsid w:val="75B0779D"/>
    <w:rsid w:val="75B0B0ED"/>
    <w:rsid w:val="75B0D6E1"/>
    <w:rsid w:val="75B2168D"/>
    <w:rsid w:val="75B2C197"/>
    <w:rsid w:val="75B310C8"/>
    <w:rsid w:val="75B3C67D"/>
    <w:rsid w:val="75B3D3B1"/>
    <w:rsid w:val="75B3F9BF"/>
    <w:rsid w:val="75B63FD0"/>
    <w:rsid w:val="75B699DA"/>
    <w:rsid w:val="75B75368"/>
    <w:rsid w:val="75B83A55"/>
    <w:rsid w:val="75B8CF75"/>
    <w:rsid w:val="75B910C8"/>
    <w:rsid w:val="75B9293B"/>
    <w:rsid w:val="75B97190"/>
    <w:rsid w:val="75BA5860"/>
    <w:rsid w:val="75BB670D"/>
    <w:rsid w:val="75BB6813"/>
    <w:rsid w:val="75BC1758"/>
    <w:rsid w:val="75BC1E09"/>
    <w:rsid w:val="75BC6163"/>
    <w:rsid w:val="75BD008A"/>
    <w:rsid w:val="75BD94B8"/>
    <w:rsid w:val="75BDD0B9"/>
    <w:rsid w:val="75BEA4F0"/>
    <w:rsid w:val="75BEC1B1"/>
    <w:rsid w:val="75BEDA09"/>
    <w:rsid w:val="75BF02B5"/>
    <w:rsid w:val="75C03F42"/>
    <w:rsid w:val="75C05976"/>
    <w:rsid w:val="75C06A52"/>
    <w:rsid w:val="75C07CD0"/>
    <w:rsid w:val="75C09B9B"/>
    <w:rsid w:val="75C0EC78"/>
    <w:rsid w:val="75C199DB"/>
    <w:rsid w:val="75C1A22C"/>
    <w:rsid w:val="75C1ABBF"/>
    <w:rsid w:val="75C1B505"/>
    <w:rsid w:val="75C2390A"/>
    <w:rsid w:val="75C6421B"/>
    <w:rsid w:val="75C69B8E"/>
    <w:rsid w:val="75C6B974"/>
    <w:rsid w:val="75C6B989"/>
    <w:rsid w:val="75C7ADDF"/>
    <w:rsid w:val="75C89AB9"/>
    <w:rsid w:val="75C8FF9D"/>
    <w:rsid w:val="75C933ED"/>
    <w:rsid w:val="75C94902"/>
    <w:rsid w:val="75C99F5C"/>
    <w:rsid w:val="75C9CC44"/>
    <w:rsid w:val="75CA1760"/>
    <w:rsid w:val="75CA8315"/>
    <w:rsid w:val="75CB1546"/>
    <w:rsid w:val="75CC0E35"/>
    <w:rsid w:val="75CD3AAB"/>
    <w:rsid w:val="75CF7BB9"/>
    <w:rsid w:val="75CF855F"/>
    <w:rsid w:val="75D180D2"/>
    <w:rsid w:val="75D1AA1E"/>
    <w:rsid w:val="75D23FC0"/>
    <w:rsid w:val="75D2CD3D"/>
    <w:rsid w:val="75D37B53"/>
    <w:rsid w:val="75D38E58"/>
    <w:rsid w:val="75D54EBE"/>
    <w:rsid w:val="75D5C3FE"/>
    <w:rsid w:val="75D6D330"/>
    <w:rsid w:val="75D7B68A"/>
    <w:rsid w:val="75D84697"/>
    <w:rsid w:val="75D85210"/>
    <w:rsid w:val="75D862B3"/>
    <w:rsid w:val="75D8CD9D"/>
    <w:rsid w:val="75D913BB"/>
    <w:rsid w:val="75DA72F6"/>
    <w:rsid w:val="75DAC85D"/>
    <w:rsid w:val="75DAD590"/>
    <w:rsid w:val="75DC016A"/>
    <w:rsid w:val="75DC0862"/>
    <w:rsid w:val="75DD0741"/>
    <w:rsid w:val="75DD648F"/>
    <w:rsid w:val="75DE0239"/>
    <w:rsid w:val="75DE9D2B"/>
    <w:rsid w:val="75DEEAA8"/>
    <w:rsid w:val="75DF57FE"/>
    <w:rsid w:val="75DFB7C0"/>
    <w:rsid w:val="75DFE0A7"/>
    <w:rsid w:val="75E10010"/>
    <w:rsid w:val="75E1299A"/>
    <w:rsid w:val="75E176C1"/>
    <w:rsid w:val="75E1BF19"/>
    <w:rsid w:val="75E1BF5B"/>
    <w:rsid w:val="75E24B9D"/>
    <w:rsid w:val="75E277AA"/>
    <w:rsid w:val="75E33451"/>
    <w:rsid w:val="75E35A58"/>
    <w:rsid w:val="75E43DCD"/>
    <w:rsid w:val="75E46CBC"/>
    <w:rsid w:val="75E4BCC2"/>
    <w:rsid w:val="75E506F8"/>
    <w:rsid w:val="75E5107A"/>
    <w:rsid w:val="75E51BC2"/>
    <w:rsid w:val="75E5A6DD"/>
    <w:rsid w:val="75E72683"/>
    <w:rsid w:val="75E74004"/>
    <w:rsid w:val="75E77D50"/>
    <w:rsid w:val="75E7CDDB"/>
    <w:rsid w:val="75E892A1"/>
    <w:rsid w:val="75E8DA02"/>
    <w:rsid w:val="75E97444"/>
    <w:rsid w:val="75E9D94C"/>
    <w:rsid w:val="75EA2EC5"/>
    <w:rsid w:val="75EA507A"/>
    <w:rsid w:val="75EACDEE"/>
    <w:rsid w:val="75EB39E4"/>
    <w:rsid w:val="75EB8CB0"/>
    <w:rsid w:val="75EBD3C9"/>
    <w:rsid w:val="75EC58DB"/>
    <w:rsid w:val="75ED9475"/>
    <w:rsid w:val="75EDD803"/>
    <w:rsid w:val="75EEA7A3"/>
    <w:rsid w:val="75EEF9D1"/>
    <w:rsid w:val="75EFCCAB"/>
    <w:rsid w:val="75EFCD3F"/>
    <w:rsid w:val="75EFE2CB"/>
    <w:rsid w:val="75F06BA3"/>
    <w:rsid w:val="75F0B07D"/>
    <w:rsid w:val="75F103DB"/>
    <w:rsid w:val="75F1409B"/>
    <w:rsid w:val="75F18FBE"/>
    <w:rsid w:val="75F198F1"/>
    <w:rsid w:val="75F2130E"/>
    <w:rsid w:val="75F2A17D"/>
    <w:rsid w:val="75F2B837"/>
    <w:rsid w:val="75F3D866"/>
    <w:rsid w:val="75F4DB68"/>
    <w:rsid w:val="75F57260"/>
    <w:rsid w:val="75F5C9AB"/>
    <w:rsid w:val="75F6242F"/>
    <w:rsid w:val="75F62B92"/>
    <w:rsid w:val="75F7014A"/>
    <w:rsid w:val="75F7C39E"/>
    <w:rsid w:val="75F8C45C"/>
    <w:rsid w:val="75F8D11A"/>
    <w:rsid w:val="75F94741"/>
    <w:rsid w:val="75F9D58D"/>
    <w:rsid w:val="75FBA40D"/>
    <w:rsid w:val="75FC4535"/>
    <w:rsid w:val="75FC6DF4"/>
    <w:rsid w:val="75FCFBB9"/>
    <w:rsid w:val="75FD60FD"/>
    <w:rsid w:val="75FDE92F"/>
    <w:rsid w:val="75FEDA2A"/>
    <w:rsid w:val="75FEE8BF"/>
    <w:rsid w:val="75FEEB68"/>
    <w:rsid w:val="75FFA759"/>
    <w:rsid w:val="7600A15A"/>
    <w:rsid w:val="7600C5D0"/>
    <w:rsid w:val="7600E3C5"/>
    <w:rsid w:val="760129E6"/>
    <w:rsid w:val="76017286"/>
    <w:rsid w:val="7601F584"/>
    <w:rsid w:val="76020A50"/>
    <w:rsid w:val="7602319F"/>
    <w:rsid w:val="7602A092"/>
    <w:rsid w:val="7603A6A2"/>
    <w:rsid w:val="76040C84"/>
    <w:rsid w:val="760467BC"/>
    <w:rsid w:val="76055095"/>
    <w:rsid w:val="760598F5"/>
    <w:rsid w:val="7605CE01"/>
    <w:rsid w:val="7606449B"/>
    <w:rsid w:val="76069FA3"/>
    <w:rsid w:val="7607A632"/>
    <w:rsid w:val="7607C4D4"/>
    <w:rsid w:val="7607EC5B"/>
    <w:rsid w:val="7608600B"/>
    <w:rsid w:val="7609DB44"/>
    <w:rsid w:val="760A0BCE"/>
    <w:rsid w:val="760BA5D7"/>
    <w:rsid w:val="760BDE06"/>
    <w:rsid w:val="760C2487"/>
    <w:rsid w:val="760C2584"/>
    <w:rsid w:val="760C5E97"/>
    <w:rsid w:val="760C7420"/>
    <w:rsid w:val="760C9A06"/>
    <w:rsid w:val="760CB956"/>
    <w:rsid w:val="760CCCC7"/>
    <w:rsid w:val="760D738C"/>
    <w:rsid w:val="760DC0C9"/>
    <w:rsid w:val="760E711C"/>
    <w:rsid w:val="760EC23A"/>
    <w:rsid w:val="76100A45"/>
    <w:rsid w:val="7610BEA5"/>
    <w:rsid w:val="7610D1D1"/>
    <w:rsid w:val="7610F74F"/>
    <w:rsid w:val="761126FE"/>
    <w:rsid w:val="76115C0E"/>
    <w:rsid w:val="7611A087"/>
    <w:rsid w:val="7611A40E"/>
    <w:rsid w:val="7611BE50"/>
    <w:rsid w:val="7611FAA9"/>
    <w:rsid w:val="7612874E"/>
    <w:rsid w:val="7613203B"/>
    <w:rsid w:val="76134C18"/>
    <w:rsid w:val="7613E89F"/>
    <w:rsid w:val="7615110B"/>
    <w:rsid w:val="7615B741"/>
    <w:rsid w:val="7615F302"/>
    <w:rsid w:val="76161582"/>
    <w:rsid w:val="76161EE9"/>
    <w:rsid w:val="7616F45A"/>
    <w:rsid w:val="76177ACE"/>
    <w:rsid w:val="76179077"/>
    <w:rsid w:val="7617D888"/>
    <w:rsid w:val="761844B0"/>
    <w:rsid w:val="76189C11"/>
    <w:rsid w:val="7618BB10"/>
    <w:rsid w:val="7618C734"/>
    <w:rsid w:val="7619369E"/>
    <w:rsid w:val="76199ECF"/>
    <w:rsid w:val="7619E629"/>
    <w:rsid w:val="761AC06A"/>
    <w:rsid w:val="761AE769"/>
    <w:rsid w:val="761B452B"/>
    <w:rsid w:val="761C4620"/>
    <w:rsid w:val="761D17A5"/>
    <w:rsid w:val="761D41CC"/>
    <w:rsid w:val="761D563A"/>
    <w:rsid w:val="761DB0CB"/>
    <w:rsid w:val="761E5B08"/>
    <w:rsid w:val="761E6524"/>
    <w:rsid w:val="761F19C8"/>
    <w:rsid w:val="761F9B48"/>
    <w:rsid w:val="761FA039"/>
    <w:rsid w:val="76209441"/>
    <w:rsid w:val="7620C0FD"/>
    <w:rsid w:val="762167AE"/>
    <w:rsid w:val="7621F6E6"/>
    <w:rsid w:val="762201B2"/>
    <w:rsid w:val="76221895"/>
    <w:rsid w:val="7622E43E"/>
    <w:rsid w:val="7623EE7D"/>
    <w:rsid w:val="76244601"/>
    <w:rsid w:val="7624C298"/>
    <w:rsid w:val="7625A32A"/>
    <w:rsid w:val="7626108B"/>
    <w:rsid w:val="76261D68"/>
    <w:rsid w:val="7626C8AE"/>
    <w:rsid w:val="76279D4A"/>
    <w:rsid w:val="762884C1"/>
    <w:rsid w:val="76291D5D"/>
    <w:rsid w:val="76294A5A"/>
    <w:rsid w:val="76295D7D"/>
    <w:rsid w:val="76298BCD"/>
    <w:rsid w:val="76299B36"/>
    <w:rsid w:val="7629BDD2"/>
    <w:rsid w:val="7629CC45"/>
    <w:rsid w:val="762BF8B4"/>
    <w:rsid w:val="762C160C"/>
    <w:rsid w:val="762C8141"/>
    <w:rsid w:val="762CDE27"/>
    <w:rsid w:val="762D1FE6"/>
    <w:rsid w:val="762D9685"/>
    <w:rsid w:val="762E89EC"/>
    <w:rsid w:val="762F0D28"/>
    <w:rsid w:val="762F65CF"/>
    <w:rsid w:val="762F9E25"/>
    <w:rsid w:val="76304539"/>
    <w:rsid w:val="7630A405"/>
    <w:rsid w:val="7631379E"/>
    <w:rsid w:val="7631CE40"/>
    <w:rsid w:val="76339C5B"/>
    <w:rsid w:val="76347FF0"/>
    <w:rsid w:val="763504C0"/>
    <w:rsid w:val="7635B5BD"/>
    <w:rsid w:val="76364B6B"/>
    <w:rsid w:val="76369652"/>
    <w:rsid w:val="7636D753"/>
    <w:rsid w:val="76373A0D"/>
    <w:rsid w:val="76373FE6"/>
    <w:rsid w:val="7637460D"/>
    <w:rsid w:val="76381B1C"/>
    <w:rsid w:val="7638B5D6"/>
    <w:rsid w:val="7638D2CF"/>
    <w:rsid w:val="7638E646"/>
    <w:rsid w:val="76391601"/>
    <w:rsid w:val="76394AAC"/>
    <w:rsid w:val="763A3EED"/>
    <w:rsid w:val="763A70CB"/>
    <w:rsid w:val="763A7932"/>
    <w:rsid w:val="763ACF63"/>
    <w:rsid w:val="763AD555"/>
    <w:rsid w:val="763AE424"/>
    <w:rsid w:val="763B28F0"/>
    <w:rsid w:val="763B492C"/>
    <w:rsid w:val="763B4C27"/>
    <w:rsid w:val="763BD83A"/>
    <w:rsid w:val="763C95A7"/>
    <w:rsid w:val="763D0FCA"/>
    <w:rsid w:val="763D4904"/>
    <w:rsid w:val="763D935E"/>
    <w:rsid w:val="763DA6BA"/>
    <w:rsid w:val="763DD4C3"/>
    <w:rsid w:val="763E3FBF"/>
    <w:rsid w:val="763EDBCD"/>
    <w:rsid w:val="7640C4F2"/>
    <w:rsid w:val="7640C79A"/>
    <w:rsid w:val="764121F6"/>
    <w:rsid w:val="764158A5"/>
    <w:rsid w:val="76417AE9"/>
    <w:rsid w:val="7641AFDA"/>
    <w:rsid w:val="7642CE9B"/>
    <w:rsid w:val="764322F5"/>
    <w:rsid w:val="764346B3"/>
    <w:rsid w:val="76443F83"/>
    <w:rsid w:val="76447AD4"/>
    <w:rsid w:val="76447C90"/>
    <w:rsid w:val="7644B978"/>
    <w:rsid w:val="7644DA9A"/>
    <w:rsid w:val="764531A3"/>
    <w:rsid w:val="76456F7B"/>
    <w:rsid w:val="7645AC8D"/>
    <w:rsid w:val="7645D0CF"/>
    <w:rsid w:val="7645E975"/>
    <w:rsid w:val="7646AC8F"/>
    <w:rsid w:val="7646EC96"/>
    <w:rsid w:val="7647A5A7"/>
    <w:rsid w:val="7647FAE6"/>
    <w:rsid w:val="76485DE7"/>
    <w:rsid w:val="76487D25"/>
    <w:rsid w:val="76493214"/>
    <w:rsid w:val="7649666E"/>
    <w:rsid w:val="7649693F"/>
    <w:rsid w:val="764AD6CA"/>
    <w:rsid w:val="764AE670"/>
    <w:rsid w:val="764B3712"/>
    <w:rsid w:val="764B5BCD"/>
    <w:rsid w:val="764B79A1"/>
    <w:rsid w:val="764D12AC"/>
    <w:rsid w:val="764E0D4D"/>
    <w:rsid w:val="764E0DA0"/>
    <w:rsid w:val="764E3F7F"/>
    <w:rsid w:val="764F549A"/>
    <w:rsid w:val="765047A1"/>
    <w:rsid w:val="765211FC"/>
    <w:rsid w:val="76528AE8"/>
    <w:rsid w:val="7652AB4E"/>
    <w:rsid w:val="7652B5EC"/>
    <w:rsid w:val="76545878"/>
    <w:rsid w:val="7654AD31"/>
    <w:rsid w:val="765500E5"/>
    <w:rsid w:val="7655389D"/>
    <w:rsid w:val="76553F87"/>
    <w:rsid w:val="76554BAB"/>
    <w:rsid w:val="7656604A"/>
    <w:rsid w:val="765689C8"/>
    <w:rsid w:val="7656DD37"/>
    <w:rsid w:val="76570AB9"/>
    <w:rsid w:val="76576085"/>
    <w:rsid w:val="7658DE1D"/>
    <w:rsid w:val="76591633"/>
    <w:rsid w:val="76592BDC"/>
    <w:rsid w:val="7659BC55"/>
    <w:rsid w:val="765C4836"/>
    <w:rsid w:val="765CBDF2"/>
    <w:rsid w:val="765CF81E"/>
    <w:rsid w:val="765D0F8E"/>
    <w:rsid w:val="765D159B"/>
    <w:rsid w:val="765D17CA"/>
    <w:rsid w:val="765D632A"/>
    <w:rsid w:val="765D7B73"/>
    <w:rsid w:val="765E6355"/>
    <w:rsid w:val="765E7F25"/>
    <w:rsid w:val="765F808A"/>
    <w:rsid w:val="765FA7AD"/>
    <w:rsid w:val="76606375"/>
    <w:rsid w:val="7660749C"/>
    <w:rsid w:val="7660C8CF"/>
    <w:rsid w:val="76624132"/>
    <w:rsid w:val="7662EFF4"/>
    <w:rsid w:val="76638A6A"/>
    <w:rsid w:val="7663AE3F"/>
    <w:rsid w:val="7663E411"/>
    <w:rsid w:val="7663F6D7"/>
    <w:rsid w:val="76643890"/>
    <w:rsid w:val="76644312"/>
    <w:rsid w:val="76645217"/>
    <w:rsid w:val="766516FD"/>
    <w:rsid w:val="766526C6"/>
    <w:rsid w:val="7667437F"/>
    <w:rsid w:val="7667662F"/>
    <w:rsid w:val="76676925"/>
    <w:rsid w:val="7667B0AC"/>
    <w:rsid w:val="7668600B"/>
    <w:rsid w:val="7668C757"/>
    <w:rsid w:val="766974DE"/>
    <w:rsid w:val="7669AEAF"/>
    <w:rsid w:val="766AD58B"/>
    <w:rsid w:val="766AEF1E"/>
    <w:rsid w:val="766B32D0"/>
    <w:rsid w:val="766B437E"/>
    <w:rsid w:val="766BC713"/>
    <w:rsid w:val="766C6259"/>
    <w:rsid w:val="766D123A"/>
    <w:rsid w:val="766D37A5"/>
    <w:rsid w:val="766EC1DD"/>
    <w:rsid w:val="766EFB21"/>
    <w:rsid w:val="766F2376"/>
    <w:rsid w:val="766F9910"/>
    <w:rsid w:val="7670430E"/>
    <w:rsid w:val="76708E52"/>
    <w:rsid w:val="76727A55"/>
    <w:rsid w:val="76734B46"/>
    <w:rsid w:val="76747B5E"/>
    <w:rsid w:val="7674A3FE"/>
    <w:rsid w:val="7674B44A"/>
    <w:rsid w:val="7674BC4E"/>
    <w:rsid w:val="7674C4E8"/>
    <w:rsid w:val="7675D986"/>
    <w:rsid w:val="7677B0DA"/>
    <w:rsid w:val="7678C718"/>
    <w:rsid w:val="7679879F"/>
    <w:rsid w:val="767A4A52"/>
    <w:rsid w:val="767AD1C3"/>
    <w:rsid w:val="767AF3BC"/>
    <w:rsid w:val="767BCA20"/>
    <w:rsid w:val="767BE4BF"/>
    <w:rsid w:val="767C26E4"/>
    <w:rsid w:val="767C4416"/>
    <w:rsid w:val="767C58CB"/>
    <w:rsid w:val="767C6012"/>
    <w:rsid w:val="767D1E2A"/>
    <w:rsid w:val="767D856C"/>
    <w:rsid w:val="767D8F1E"/>
    <w:rsid w:val="767DB1A0"/>
    <w:rsid w:val="767DED35"/>
    <w:rsid w:val="767E563E"/>
    <w:rsid w:val="767EFEBA"/>
    <w:rsid w:val="767F278F"/>
    <w:rsid w:val="767F78AF"/>
    <w:rsid w:val="7680014A"/>
    <w:rsid w:val="768091B2"/>
    <w:rsid w:val="76809C60"/>
    <w:rsid w:val="7680DCDE"/>
    <w:rsid w:val="768162DA"/>
    <w:rsid w:val="7681BBB5"/>
    <w:rsid w:val="7681F9FA"/>
    <w:rsid w:val="76827AF8"/>
    <w:rsid w:val="76834004"/>
    <w:rsid w:val="7683A4A0"/>
    <w:rsid w:val="76842696"/>
    <w:rsid w:val="76843441"/>
    <w:rsid w:val="7684627A"/>
    <w:rsid w:val="76846474"/>
    <w:rsid w:val="76849DD4"/>
    <w:rsid w:val="7684C0B0"/>
    <w:rsid w:val="768547CE"/>
    <w:rsid w:val="76861278"/>
    <w:rsid w:val="7686BBF7"/>
    <w:rsid w:val="7687CEC7"/>
    <w:rsid w:val="7688774A"/>
    <w:rsid w:val="7688F19A"/>
    <w:rsid w:val="7689452B"/>
    <w:rsid w:val="768987F0"/>
    <w:rsid w:val="768B550D"/>
    <w:rsid w:val="768B55FA"/>
    <w:rsid w:val="768BB95D"/>
    <w:rsid w:val="768C3755"/>
    <w:rsid w:val="768C5568"/>
    <w:rsid w:val="768CBBCF"/>
    <w:rsid w:val="768DB2A0"/>
    <w:rsid w:val="768E6B4D"/>
    <w:rsid w:val="768EC173"/>
    <w:rsid w:val="768EF738"/>
    <w:rsid w:val="768FE229"/>
    <w:rsid w:val="768FF56A"/>
    <w:rsid w:val="7691480E"/>
    <w:rsid w:val="769179FE"/>
    <w:rsid w:val="76921034"/>
    <w:rsid w:val="76923DBF"/>
    <w:rsid w:val="76928219"/>
    <w:rsid w:val="769399F6"/>
    <w:rsid w:val="7693A572"/>
    <w:rsid w:val="7693AADC"/>
    <w:rsid w:val="7693EE95"/>
    <w:rsid w:val="769465F7"/>
    <w:rsid w:val="76946D41"/>
    <w:rsid w:val="76948359"/>
    <w:rsid w:val="76958F13"/>
    <w:rsid w:val="7695A02B"/>
    <w:rsid w:val="7695F262"/>
    <w:rsid w:val="76961FE3"/>
    <w:rsid w:val="7696C1A3"/>
    <w:rsid w:val="7696E4DE"/>
    <w:rsid w:val="76972080"/>
    <w:rsid w:val="76973A76"/>
    <w:rsid w:val="76983803"/>
    <w:rsid w:val="7698A4D6"/>
    <w:rsid w:val="7698A74B"/>
    <w:rsid w:val="7698CB4B"/>
    <w:rsid w:val="769981A0"/>
    <w:rsid w:val="7699BCB4"/>
    <w:rsid w:val="769A2FFE"/>
    <w:rsid w:val="769B3087"/>
    <w:rsid w:val="769BE93E"/>
    <w:rsid w:val="769BEDD5"/>
    <w:rsid w:val="769BFB6C"/>
    <w:rsid w:val="769C1820"/>
    <w:rsid w:val="769C5580"/>
    <w:rsid w:val="769C6D2B"/>
    <w:rsid w:val="769D0ECA"/>
    <w:rsid w:val="769D4AC1"/>
    <w:rsid w:val="769D5E48"/>
    <w:rsid w:val="769E91F3"/>
    <w:rsid w:val="769F51DC"/>
    <w:rsid w:val="769F9776"/>
    <w:rsid w:val="76A0BFA5"/>
    <w:rsid w:val="76A10AC1"/>
    <w:rsid w:val="76A1B0A6"/>
    <w:rsid w:val="76A31F77"/>
    <w:rsid w:val="76A42D31"/>
    <w:rsid w:val="76A44989"/>
    <w:rsid w:val="76A46EC2"/>
    <w:rsid w:val="76A48FC5"/>
    <w:rsid w:val="76A5C25A"/>
    <w:rsid w:val="76A6DCD2"/>
    <w:rsid w:val="76A74FB6"/>
    <w:rsid w:val="76A757B2"/>
    <w:rsid w:val="76A78F51"/>
    <w:rsid w:val="76A8062A"/>
    <w:rsid w:val="76A86E01"/>
    <w:rsid w:val="76A9229A"/>
    <w:rsid w:val="76A92682"/>
    <w:rsid w:val="76A93F5F"/>
    <w:rsid w:val="76A94AB7"/>
    <w:rsid w:val="76AA1FBF"/>
    <w:rsid w:val="76AAC277"/>
    <w:rsid w:val="76AB1ABF"/>
    <w:rsid w:val="76AB794A"/>
    <w:rsid w:val="76ABA9CB"/>
    <w:rsid w:val="76AC57D0"/>
    <w:rsid w:val="76AD09DF"/>
    <w:rsid w:val="76AD415A"/>
    <w:rsid w:val="76ADA4FB"/>
    <w:rsid w:val="76ADDA05"/>
    <w:rsid w:val="76AEEB7C"/>
    <w:rsid w:val="76AF483E"/>
    <w:rsid w:val="76AF4868"/>
    <w:rsid w:val="76AF8527"/>
    <w:rsid w:val="76AF91E1"/>
    <w:rsid w:val="76B01C06"/>
    <w:rsid w:val="76B04564"/>
    <w:rsid w:val="76B1111A"/>
    <w:rsid w:val="76B18BBB"/>
    <w:rsid w:val="76B1FD41"/>
    <w:rsid w:val="76B405E4"/>
    <w:rsid w:val="76B5C7F3"/>
    <w:rsid w:val="76B65F4D"/>
    <w:rsid w:val="76B81A57"/>
    <w:rsid w:val="76B8F09C"/>
    <w:rsid w:val="76B945E4"/>
    <w:rsid w:val="76BA3F71"/>
    <w:rsid w:val="76BA6390"/>
    <w:rsid w:val="76BAB8CB"/>
    <w:rsid w:val="76BB191C"/>
    <w:rsid w:val="76BCB79E"/>
    <w:rsid w:val="76BCF5D4"/>
    <w:rsid w:val="76BD86DD"/>
    <w:rsid w:val="76BF210D"/>
    <w:rsid w:val="76BF533A"/>
    <w:rsid w:val="76BFF780"/>
    <w:rsid w:val="76C06B01"/>
    <w:rsid w:val="76C0BD33"/>
    <w:rsid w:val="76C1A8C5"/>
    <w:rsid w:val="76C1E7A3"/>
    <w:rsid w:val="76C22A9B"/>
    <w:rsid w:val="76C2582C"/>
    <w:rsid w:val="76C2607C"/>
    <w:rsid w:val="76C262EF"/>
    <w:rsid w:val="76C383F8"/>
    <w:rsid w:val="76C525A5"/>
    <w:rsid w:val="76C53300"/>
    <w:rsid w:val="76C56213"/>
    <w:rsid w:val="76C61C0B"/>
    <w:rsid w:val="76C62278"/>
    <w:rsid w:val="76C73CEB"/>
    <w:rsid w:val="76C83649"/>
    <w:rsid w:val="76C877DC"/>
    <w:rsid w:val="76C8ACE2"/>
    <w:rsid w:val="76C8CB7F"/>
    <w:rsid w:val="76C8ED34"/>
    <w:rsid w:val="76C91495"/>
    <w:rsid w:val="76C97130"/>
    <w:rsid w:val="76C98C2E"/>
    <w:rsid w:val="76CA436D"/>
    <w:rsid w:val="76CC53C1"/>
    <w:rsid w:val="76CE744E"/>
    <w:rsid w:val="76CF919D"/>
    <w:rsid w:val="76D0AE88"/>
    <w:rsid w:val="76D0C628"/>
    <w:rsid w:val="76D12357"/>
    <w:rsid w:val="76D2267C"/>
    <w:rsid w:val="76D3269A"/>
    <w:rsid w:val="76D34D45"/>
    <w:rsid w:val="76D3F38B"/>
    <w:rsid w:val="76D41245"/>
    <w:rsid w:val="76D45C8F"/>
    <w:rsid w:val="76D49B1E"/>
    <w:rsid w:val="76D5A2C1"/>
    <w:rsid w:val="76D5ACC2"/>
    <w:rsid w:val="76D660A1"/>
    <w:rsid w:val="76D6E391"/>
    <w:rsid w:val="76D7B702"/>
    <w:rsid w:val="76D7B87F"/>
    <w:rsid w:val="76D7E210"/>
    <w:rsid w:val="76D81B62"/>
    <w:rsid w:val="76D89A54"/>
    <w:rsid w:val="76D937F0"/>
    <w:rsid w:val="76D951B8"/>
    <w:rsid w:val="76D957A4"/>
    <w:rsid w:val="76DA1777"/>
    <w:rsid w:val="76DA2841"/>
    <w:rsid w:val="76DA89A7"/>
    <w:rsid w:val="76DB0883"/>
    <w:rsid w:val="76DB5A96"/>
    <w:rsid w:val="76DC3E59"/>
    <w:rsid w:val="76DC5B2A"/>
    <w:rsid w:val="76DD8542"/>
    <w:rsid w:val="76DDC943"/>
    <w:rsid w:val="76DDE85C"/>
    <w:rsid w:val="76DE4AE1"/>
    <w:rsid w:val="76DE54CC"/>
    <w:rsid w:val="76DE842D"/>
    <w:rsid w:val="76DEF2B9"/>
    <w:rsid w:val="76DF0882"/>
    <w:rsid w:val="76DF4ADD"/>
    <w:rsid w:val="76DF7321"/>
    <w:rsid w:val="76E0A0A8"/>
    <w:rsid w:val="76E13959"/>
    <w:rsid w:val="76E2074D"/>
    <w:rsid w:val="76E20A10"/>
    <w:rsid w:val="76E218A1"/>
    <w:rsid w:val="76E2BC09"/>
    <w:rsid w:val="76E35826"/>
    <w:rsid w:val="76E3D95B"/>
    <w:rsid w:val="76E41497"/>
    <w:rsid w:val="76E456C3"/>
    <w:rsid w:val="76E500AB"/>
    <w:rsid w:val="76E60DE7"/>
    <w:rsid w:val="76E73C32"/>
    <w:rsid w:val="76E77593"/>
    <w:rsid w:val="76E838A8"/>
    <w:rsid w:val="76E8439D"/>
    <w:rsid w:val="76E8D6FD"/>
    <w:rsid w:val="76E8E7AE"/>
    <w:rsid w:val="76E96509"/>
    <w:rsid w:val="76EA5321"/>
    <w:rsid w:val="76EAAD85"/>
    <w:rsid w:val="76EB0B53"/>
    <w:rsid w:val="76EB15F9"/>
    <w:rsid w:val="76EB203C"/>
    <w:rsid w:val="76EB2CA5"/>
    <w:rsid w:val="76EB62BA"/>
    <w:rsid w:val="76EC26D0"/>
    <w:rsid w:val="76ECB027"/>
    <w:rsid w:val="76ED1864"/>
    <w:rsid w:val="76ED775A"/>
    <w:rsid w:val="76EE5EFE"/>
    <w:rsid w:val="76EEF15F"/>
    <w:rsid w:val="76EF14C1"/>
    <w:rsid w:val="76EFFA76"/>
    <w:rsid w:val="76F017CD"/>
    <w:rsid w:val="76F07CAE"/>
    <w:rsid w:val="76F07E3D"/>
    <w:rsid w:val="76F18755"/>
    <w:rsid w:val="76F191B3"/>
    <w:rsid w:val="76F2A1DD"/>
    <w:rsid w:val="76F30E02"/>
    <w:rsid w:val="76F3987E"/>
    <w:rsid w:val="76F4481A"/>
    <w:rsid w:val="76F455CF"/>
    <w:rsid w:val="76F48E7B"/>
    <w:rsid w:val="76F4BD2D"/>
    <w:rsid w:val="76F5146C"/>
    <w:rsid w:val="76F645ED"/>
    <w:rsid w:val="76F6972E"/>
    <w:rsid w:val="76F6D0C7"/>
    <w:rsid w:val="76F70F55"/>
    <w:rsid w:val="76F7F0DB"/>
    <w:rsid w:val="76F8074E"/>
    <w:rsid w:val="76F97866"/>
    <w:rsid w:val="76F97B40"/>
    <w:rsid w:val="76F9837A"/>
    <w:rsid w:val="76F9D085"/>
    <w:rsid w:val="76FB463D"/>
    <w:rsid w:val="76FBD80E"/>
    <w:rsid w:val="76FC9427"/>
    <w:rsid w:val="76FD17F4"/>
    <w:rsid w:val="76FD46A9"/>
    <w:rsid w:val="76FD734F"/>
    <w:rsid w:val="76FDE54F"/>
    <w:rsid w:val="76FE4618"/>
    <w:rsid w:val="76FE537A"/>
    <w:rsid w:val="76FE5746"/>
    <w:rsid w:val="76FF0536"/>
    <w:rsid w:val="76FFBB33"/>
    <w:rsid w:val="76FFD33C"/>
    <w:rsid w:val="77001709"/>
    <w:rsid w:val="77006C8D"/>
    <w:rsid w:val="7700786F"/>
    <w:rsid w:val="77008326"/>
    <w:rsid w:val="7701C914"/>
    <w:rsid w:val="7701F03E"/>
    <w:rsid w:val="77025578"/>
    <w:rsid w:val="770292A9"/>
    <w:rsid w:val="7702F915"/>
    <w:rsid w:val="77030235"/>
    <w:rsid w:val="7704212B"/>
    <w:rsid w:val="77048609"/>
    <w:rsid w:val="77060370"/>
    <w:rsid w:val="77073309"/>
    <w:rsid w:val="77077A7D"/>
    <w:rsid w:val="77081976"/>
    <w:rsid w:val="77085D47"/>
    <w:rsid w:val="77088EC9"/>
    <w:rsid w:val="770922E3"/>
    <w:rsid w:val="770A3CDC"/>
    <w:rsid w:val="770AAD81"/>
    <w:rsid w:val="770B2A22"/>
    <w:rsid w:val="770B325D"/>
    <w:rsid w:val="770B7B95"/>
    <w:rsid w:val="770BA495"/>
    <w:rsid w:val="770BE2CB"/>
    <w:rsid w:val="770BFB4E"/>
    <w:rsid w:val="770D0E8E"/>
    <w:rsid w:val="770D1643"/>
    <w:rsid w:val="770E7BD5"/>
    <w:rsid w:val="770ED2B6"/>
    <w:rsid w:val="770EF577"/>
    <w:rsid w:val="770FC048"/>
    <w:rsid w:val="770FE15C"/>
    <w:rsid w:val="7710E7AF"/>
    <w:rsid w:val="7711498B"/>
    <w:rsid w:val="7711C333"/>
    <w:rsid w:val="77125FB1"/>
    <w:rsid w:val="7712A415"/>
    <w:rsid w:val="77133506"/>
    <w:rsid w:val="77143FC9"/>
    <w:rsid w:val="7714535C"/>
    <w:rsid w:val="7714F20A"/>
    <w:rsid w:val="7716150B"/>
    <w:rsid w:val="77166A93"/>
    <w:rsid w:val="77179927"/>
    <w:rsid w:val="7717C69B"/>
    <w:rsid w:val="7718F3A9"/>
    <w:rsid w:val="7719116F"/>
    <w:rsid w:val="7719C654"/>
    <w:rsid w:val="771A074C"/>
    <w:rsid w:val="771A0A59"/>
    <w:rsid w:val="771BB8ED"/>
    <w:rsid w:val="771DBDE8"/>
    <w:rsid w:val="771E2658"/>
    <w:rsid w:val="771E6B27"/>
    <w:rsid w:val="772022FC"/>
    <w:rsid w:val="77207C31"/>
    <w:rsid w:val="7720D3A4"/>
    <w:rsid w:val="77216E5B"/>
    <w:rsid w:val="772194A5"/>
    <w:rsid w:val="77219A9A"/>
    <w:rsid w:val="77221C47"/>
    <w:rsid w:val="772290E8"/>
    <w:rsid w:val="77231B4F"/>
    <w:rsid w:val="7723CC62"/>
    <w:rsid w:val="7723CCE2"/>
    <w:rsid w:val="77240534"/>
    <w:rsid w:val="7724A1E4"/>
    <w:rsid w:val="7724F7BE"/>
    <w:rsid w:val="77260997"/>
    <w:rsid w:val="77263853"/>
    <w:rsid w:val="7726B36B"/>
    <w:rsid w:val="7727B346"/>
    <w:rsid w:val="7727D4CF"/>
    <w:rsid w:val="7727FBDD"/>
    <w:rsid w:val="772815D5"/>
    <w:rsid w:val="7728A02D"/>
    <w:rsid w:val="77291841"/>
    <w:rsid w:val="772955C1"/>
    <w:rsid w:val="7729E770"/>
    <w:rsid w:val="772AF10D"/>
    <w:rsid w:val="772B77F9"/>
    <w:rsid w:val="772C8690"/>
    <w:rsid w:val="772C9248"/>
    <w:rsid w:val="772DAD36"/>
    <w:rsid w:val="772E0376"/>
    <w:rsid w:val="772E2190"/>
    <w:rsid w:val="772E2F8A"/>
    <w:rsid w:val="772E56B6"/>
    <w:rsid w:val="772E7588"/>
    <w:rsid w:val="772F1642"/>
    <w:rsid w:val="772FE983"/>
    <w:rsid w:val="77318C46"/>
    <w:rsid w:val="7731A874"/>
    <w:rsid w:val="7731D16A"/>
    <w:rsid w:val="7732A0DA"/>
    <w:rsid w:val="7732C8DD"/>
    <w:rsid w:val="7732DF16"/>
    <w:rsid w:val="77336CE9"/>
    <w:rsid w:val="77339685"/>
    <w:rsid w:val="7733C9A4"/>
    <w:rsid w:val="77341A00"/>
    <w:rsid w:val="773446DD"/>
    <w:rsid w:val="77344EC8"/>
    <w:rsid w:val="77347BEA"/>
    <w:rsid w:val="7734ADBE"/>
    <w:rsid w:val="77356334"/>
    <w:rsid w:val="7735B346"/>
    <w:rsid w:val="7735B928"/>
    <w:rsid w:val="7735E04E"/>
    <w:rsid w:val="7736FD0A"/>
    <w:rsid w:val="77371A59"/>
    <w:rsid w:val="7737A5C6"/>
    <w:rsid w:val="7738A0A1"/>
    <w:rsid w:val="7738E29E"/>
    <w:rsid w:val="773A2CD1"/>
    <w:rsid w:val="773A2E4D"/>
    <w:rsid w:val="773BE3F3"/>
    <w:rsid w:val="773CC71C"/>
    <w:rsid w:val="773D66D7"/>
    <w:rsid w:val="773EC7F9"/>
    <w:rsid w:val="773FE274"/>
    <w:rsid w:val="77405F4E"/>
    <w:rsid w:val="7740CA0B"/>
    <w:rsid w:val="7740CA97"/>
    <w:rsid w:val="77417A45"/>
    <w:rsid w:val="7741E32C"/>
    <w:rsid w:val="77420C46"/>
    <w:rsid w:val="77424993"/>
    <w:rsid w:val="77425449"/>
    <w:rsid w:val="7742684D"/>
    <w:rsid w:val="77429176"/>
    <w:rsid w:val="7742CDDD"/>
    <w:rsid w:val="7743C052"/>
    <w:rsid w:val="77447085"/>
    <w:rsid w:val="77448C4B"/>
    <w:rsid w:val="774498DF"/>
    <w:rsid w:val="7744A080"/>
    <w:rsid w:val="774536BC"/>
    <w:rsid w:val="77456612"/>
    <w:rsid w:val="7746D84B"/>
    <w:rsid w:val="7746FE8A"/>
    <w:rsid w:val="77474AB3"/>
    <w:rsid w:val="7748F9FB"/>
    <w:rsid w:val="77492C13"/>
    <w:rsid w:val="774AA4FA"/>
    <w:rsid w:val="774C0AC0"/>
    <w:rsid w:val="774C253E"/>
    <w:rsid w:val="774D1EE9"/>
    <w:rsid w:val="774D2D78"/>
    <w:rsid w:val="774D820B"/>
    <w:rsid w:val="774F68C1"/>
    <w:rsid w:val="77504B9E"/>
    <w:rsid w:val="7750FD6C"/>
    <w:rsid w:val="77510817"/>
    <w:rsid w:val="775157E3"/>
    <w:rsid w:val="775184E1"/>
    <w:rsid w:val="7751A021"/>
    <w:rsid w:val="7751D1B0"/>
    <w:rsid w:val="775236EB"/>
    <w:rsid w:val="7752762C"/>
    <w:rsid w:val="7752B73D"/>
    <w:rsid w:val="7752EB5A"/>
    <w:rsid w:val="77535D7E"/>
    <w:rsid w:val="775381FD"/>
    <w:rsid w:val="7753C921"/>
    <w:rsid w:val="7754CF2B"/>
    <w:rsid w:val="77551FD1"/>
    <w:rsid w:val="7755FF97"/>
    <w:rsid w:val="7756F6AC"/>
    <w:rsid w:val="7757108E"/>
    <w:rsid w:val="7757C07E"/>
    <w:rsid w:val="7757CA6E"/>
    <w:rsid w:val="7758C218"/>
    <w:rsid w:val="775A1482"/>
    <w:rsid w:val="775C379F"/>
    <w:rsid w:val="775C8BA6"/>
    <w:rsid w:val="775CCE53"/>
    <w:rsid w:val="775CE6AA"/>
    <w:rsid w:val="775D86D7"/>
    <w:rsid w:val="775F2695"/>
    <w:rsid w:val="775F3F4A"/>
    <w:rsid w:val="775FA415"/>
    <w:rsid w:val="775FCB0F"/>
    <w:rsid w:val="775FCBF0"/>
    <w:rsid w:val="775FE7F5"/>
    <w:rsid w:val="77605709"/>
    <w:rsid w:val="77618829"/>
    <w:rsid w:val="77620EF0"/>
    <w:rsid w:val="77635A9E"/>
    <w:rsid w:val="7763ABB9"/>
    <w:rsid w:val="77640144"/>
    <w:rsid w:val="7765CFF0"/>
    <w:rsid w:val="7765ED3A"/>
    <w:rsid w:val="776660F9"/>
    <w:rsid w:val="77669980"/>
    <w:rsid w:val="7766E601"/>
    <w:rsid w:val="77676773"/>
    <w:rsid w:val="7767F94F"/>
    <w:rsid w:val="776867A6"/>
    <w:rsid w:val="77689884"/>
    <w:rsid w:val="7768C331"/>
    <w:rsid w:val="7768D10A"/>
    <w:rsid w:val="7768F8BA"/>
    <w:rsid w:val="7769894B"/>
    <w:rsid w:val="7769EA77"/>
    <w:rsid w:val="776A05DE"/>
    <w:rsid w:val="776A27DA"/>
    <w:rsid w:val="776A2FE7"/>
    <w:rsid w:val="776AD724"/>
    <w:rsid w:val="776B40F7"/>
    <w:rsid w:val="776B4B3A"/>
    <w:rsid w:val="776BA41D"/>
    <w:rsid w:val="776BB0FD"/>
    <w:rsid w:val="776CCA39"/>
    <w:rsid w:val="776CD07D"/>
    <w:rsid w:val="776D8DE2"/>
    <w:rsid w:val="776E33B1"/>
    <w:rsid w:val="776E5D81"/>
    <w:rsid w:val="776F1903"/>
    <w:rsid w:val="776F280F"/>
    <w:rsid w:val="776F7E03"/>
    <w:rsid w:val="77712454"/>
    <w:rsid w:val="77761EC6"/>
    <w:rsid w:val="77773D29"/>
    <w:rsid w:val="7777B494"/>
    <w:rsid w:val="7777F964"/>
    <w:rsid w:val="777969E3"/>
    <w:rsid w:val="777AABD9"/>
    <w:rsid w:val="777AE410"/>
    <w:rsid w:val="777AFB02"/>
    <w:rsid w:val="777B1FC3"/>
    <w:rsid w:val="777C583B"/>
    <w:rsid w:val="777C9E29"/>
    <w:rsid w:val="777CA2DC"/>
    <w:rsid w:val="777CDAB3"/>
    <w:rsid w:val="777D0566"/>
    <w:rsid w:val="777DBD1B"/>
    <w:rsid w:val="777EA67D"/>
    <w:rsid w:val="777ECACC"/>
    <w:rsid w:val="777EDB72"/>
    <w:rsid w:val="777EFE4F"/>
    <w:rsid w:val="777F0B6A"/>
    <w:rsid w:val="777FB716"/>
    <w:rsid w:val="77806F29"/>
    <w:rsid w:val="7780DD26"/>
    <w:rsid w:val="778269ED"/>
    <w:rsid w:val="7782980B"/>
    <w:rsid w:val="7782ABF3"/>
    <w:rsid w:val="7783267B"/>
    <w:rsid w:val="77834926"/>
    <w:rsid w:val="77839DB9"/>
    <w:rsid w:val="77843E6D"/>
    <w:rsid w:val="77847FF8"/>
    <w:rsid w:val="77858B2A"/>
    <w:rsid w:val="7785FE00"/>
    <w:rsid w:val="778601A8"/>
    <w:rsid w:val="778672A2"/>
    <w:rsid w:val="77870AB6"/>
    <w:rsid w:val="7789472A"/>
    <w:rsid w:val="77895226"/>
    <w:rsid w:val="778A0D40"/>
    <w:rsid w:val="778AA311"/>
    <w:rsid w:val="778ACB1B"/>
    <w:rsid w:val="778B23A4"/>
    <w:rsid w:val="778BAD2A"/>
    <w:rsid w:val="778C4570"/>
    <w:rsid w:val="778CB964"/>
    <w:rsid w:val="778D7A87"/>
    <w:rsid w:val="778D7AE6"/>
    <w:rsid w:val="778D92FB"/>
    <w:rsid w:val="778F01EE"/>
    <w:rsid w:val="778F3D09"/>
    <w:rsid w:val="778FAAB3"/>
    <w:rsid w:val="778FC7F5"/>
    <w:rsid w:val="77900C18"/>
    <w:rsid w:val="77903208"/>
    <w:rsid w:val="779063F7"/>
    <w:rsid w:val="77908DEE"/>
    <w:rsid w:val="7790B1E7"/>
    <w:rsid w:val="77916AE0"/>
    <w:rsid w:val="7791BBD0"/>
    <w:rsid w:val="7792F59B"/>
    <w:rsid w:val="77953EB2"/>
    <w:rsid w:val="7795EE5B"/>
    <w:rsid w:val="77969766"/>
    <w:rsid w:val="7796A08D"/>
    <w:rsid w:val="7796E3A9"/>
    <w:rsid w:val="7796F07F"/>
    <w:rsid w:val="7796F6BF"/>
    <w:rsid w:val="7796FE1F"/>
    <w:rsid w:val="77976E60"/>
    <w:rsid w:val="7797FAA0"/>
    <w:rsid w:val="77981870"/>
    <w:rsid w:val="77983175"/>
    <w:rsid w:val="77985C96"/>
    <w:rsid w:val="77986655"/>
    <w:rsid w:val="77987973"/>
    <w:rsid w:val="7798CCB7"/>
    <w:rsid w:val="77991F3E"/>
    <w:rsid w:val="7799218D"/>
    <w:rsid w:val="7799591D"/>
    <w:rsid w:val="77995E3F"/>
    <w:rsid w:val="779998FD"/>
    <w:rsid w:val="7799B7D9"/>
    <w:rsid w:val="779A6E26"/>
    <w:rsid w:val="779A98C1"/>
    <w:rsid w:val="779AD67F"/>
    <w:rsid w:val="779B0B25"/>
    <w:rsid w:val="779B9485"/>
    <w:rsid w:val="779B9A1F"/>
    <w:rsid w:val="779C4932"/>
    <w:rsid w:val="779C9FD1"/>
    <w:rsid w:val="779CF865"/>
    <w:rsid w:val="779DADC6"/>
    <w:rsid w:val="779EB24F"/>
    <w:rsid w:val="779ECF9B"/>
    <w:rsid w:val="779EF663"/>
    <w:rsid w:val="779F39A3"/>
    <w:rsid w:val="779F61CD"/>
    <w:rsid w:val="77A0157A"/>
    <w:rsid w:val="77A03C1F"/>
    <w:rsid w:val="77A0A85D"/>
    <w:rsid w:val="77A0BE16"/>
    <w:rsid w:val="77A0C977"/>
    <w:rsid w:val="77A28C0D"/>
    <w:rsid w:val="77A3209E"/>
    <w:rsid w:val="77A34CA1"/>
    <w:rsid w:val="77A43A2F"/>
    <w:rsid w:val="77A45E3F"/>
    <w:rsid w:val="77A5D256"/>
    <w:rsid w:val="77A5E39D"/>
    <w:rsid w:val="77A62875"/>
    <w:rsid w:val="77A67CBC"/>
    <w:rsid w:val="77A6A3F3"/>
    <w:rsid w:val="77A6C4E4"/>
    <w:rsid w:val="77A6CCD6"/>
    <w:rsid w:val="77A6D4C0"/>
    <w:rsid w:val="77A6E5A5"/>
    <w:rsid w:val="77A7136C"/>
    <w:rsid w:val="77A717F2"/>
    <w:rsid w:val="77A74360"/>
    <w:rsid w:val="77A7DA0E"/>
    <w:rsid w:val="77A95BE9"/>
    <w:rsid w:val="77AA9534"/>
    <w:rsid w:val="77AB4892"/>
    <w:rsid w:val="77ABCDA0"/>
    <w:rsid w:val="77AC5B0E"/>
    <w:rsid w:val="77ACD80E"/>
    <w:rsid w:val="77ACD8C6"/>
    <w:rsid w:val="77AEB8BC"/>
    <w:rsid w:val="77B03B66"/>
    <w:rsid w:val="77B05BE7"/>
    <w:rsid w:val="77B070C2"/>
    <w:rsid w:val="77B0834D"/>
    <w:rsid w:val="77B23AA5"/>
    <w:rsid w:val="77B29DBB"/>
    <w:rsid w:val="77B2B267"/>
    <w:rsid w:val="77B36979"/>
    <w:rsid w:val="77B3A36E"/>
    <w:rsid w:val="77B45792"/>
    <w:rsid w:val="77B5961E"/>
    <w:rsid w:val="77B5EE9D"/>
    <w:rsid w:val="77B5F22B"/>
    <w:rsid w:val="77B70FC3"/>
    <w:rsid w:val="77B77E35"/>
    <w:rsid w:val="77B7F4DD"/>
    <w:rsid w:val="77B8A238"/>
    <w:rsid w:val="77BB0AA7"/>
    <w:rsid w:val="77BB0EE3"/>
    <w:rsid w:val="77BB1D1C"/>
    <w:rsid w:val="77BC009F"/>
    <w:rsid w:val="77BC8C81"/>
    <w:rsid w:val="77BCBED9"/>
    <w:rsid w:val="77BE8973"/>
    <w:rsid w:val="77C04042"/>
    <w:rsid w:val="77C0C923"/>
    <w:rsid w:val="77C11FBA"/>
    <w:rsid w:val="77C12E1B"/>
    <w:rsid w:val="77C193B6"/>
    <w:rsid w:val="77C1F8DA"/>
    <w:rsid w:val="77C24F25"/>
    <w:rsid w:val="77C31E65"/>
    <w:rsid w:val="77C3FA9D"/>
    <w:rsid w:val="77C410ED"/>
    <w:rsid w:val="77C47A1A"/>
    <w:rsid w:val="77C5F660"/>
    <w:rsid w:val="77C76940"/>
    <w:rsid w:val="77C7EDB2"/>
    <w:rsid w:val="77C805B1"/>
    <w:rsid w:val="77C81D1C"/>
    <w:rsid w:val="77C86666"/>
    <w:rsid w:val="77C8B9B1"/>
    <w:rsid w:val="77C96C5A"/>
    <w:rsid w:val="77CA5BDA"/>
    <w:rsid w:val="77CA6350"/>
    <w:rsid w:val="77CAF34A"/>
    <w:rsid w:val="77CBA3D7"/>
    <w:rsid w:val="77CCA202"/>
    <w:rsid w:val="77CD9410"/>
    <w:rsid w:val="77CDD735"/>
    <w:rsid w:val="77CDE68A"/>
    <w:rsid w:val="77CE3371"/>
    <w:rsid w:val="77CED37F"/>
    <w:rsid w:val="77CED61A"/>
    <w:rsid w:val="77CFBE9D"/>
    <w:rsid w:val="77D29577"/>
    <w:rsid w:val="77D30F43"/>
    <w:rsid w:val="77D3DA23"/>
    <w:rsid w:val="77D42E05"/>
    <w:rsid w:val="77D67545"/>
    <w:rsid w:val="77D7229E"/>
    <w:rsid w:val="77D7302A"/>
    <w:rsid w:val="77D7E8B1"/>
    <w:rsid w:val="77D8FCA0"/>
    <w:rsid w:val="77D91213"/>
    <w:rsid w:val="77DA7E92"/>
    <w:rsid w:val="77DB3C84"/>
    <w:rsid w:val="77DC15FA"/>
    <w:rsid w:val="77DC8D39"/>
    <w:rsid w:val="77DCCE63"/>
    <w:rsid w:val="77DD0C8E"/>
    <w:rsid w:val="77DD2BA8"/>
    <w:rsid w:val="77DD7149"/>
    <w:rsid w:val="77DDBED1"/>
    <w:rsid w:val="77DDDA4B"/>
    <w:rsid w:val="77DE3779"/>
    <w:rsid w:val="77DF26FB"/>
    <w:rsid w:val="77DF49C1"/>
    <w:rsid w:val="77E03440"/>
    <w:rsid w:val="77E0456B"/>
    <w:rsid w:val="77E04581"/>
    <w:rsid w:val="77E0F7B8"/>
    <w:rsid w:val="77E1E628"/>
    <w:rsid w:val="77E206AE"/>
    <w:rsid w:val="77E27065"/>
    <w:rsid w:val="77E29DD2"/>
    <w:rsid w:val="77E440C7"/>
    <w:rsid w:val="77E50353"/>
    <w:rsid w:val="77E5251E"/>
    <w:rsid w:val="77E58886"/>
    <w:rsid w:val="77E5B70D"/>
    <w:rsid w:val="77E5F1D2"/>
    <w:rsid w:val="77E652B8"/>
    <w:rsid w:val="77E66083"/>
    <w:rsid w:val="77E73431"/>
    <w:rsid w:val="77E76749"/>
    <w:rsid w:val="77E7C0D0"/>
    <w:rsid w:val="77E7D6CB"/>
    <w:rsid w:val="77E7DA92"/>
    <w:rsid w:val="77E85982"/>
    <w:rsid w:val="77EA2019"/>
    <w:rsid w:val="77EA77DD"/>
    <w:rsid w:val="77EA8DCC"/>
    <w:rsid w:val="77EB04FE"/>
    <w:rsid w:val="77EB9D28"/>
    <w:rsid w:val="77EBB98E"/>
    <w:rsid w:val="77EBFF5E"/>
    <w:rsid w:val="77EC62CE"/>
    <w:rsid w:val="77EC8ADC"/>
    <w:rsid w:val="77ED9EA4"/>
    <w:rsid w:val="77EE8397"/>
    <w:rsid w:val="77EEC1B8"/>
    <w:rsid w:val="77EED8D3"/>
    <w:rsid w:val="77EF796C"/>
    <w:rsid w:val="77EFA76E"/>
    <w:rsid w:val="77EFB002"/>
    <w:rsid w:val="77EFD54C"/>
    <w:rsid w:val="77F06141"/>
    <w:rsid w:val="77F07CD4"/>
    <w:rsid w:val="77F08621"/>
    <w:rsid w:val="77F13EC0"/>
    <w:rsid w:val="77F37EDB"/>
    <w:rsid w:val="77F3A578"/>
    <w:rsid w:val="77F41CB5"/>
    <w:rsid w:val="77F51440"/>
    <w:rsid w:val="77F5B1F1"/>
    <w:rsid w:val="77F66D38"/>
    <w:rsid w:val="77F6802F"/>
    <w:rsid w:val="77F6C79E"/>
    <w:rsid w:val="77F6D0E5"/>
    <w:rsid w:val="77F6E027"/>
    <w:rsid w:val="77F7A853"/>
    <w:rsid w:val="77F7C61F"/>
    <w:rsid w:val="77F7CBF1"/>
    <w:rsid w:val="77F80C6D"/>
    <w:rsid w:val="77F856D6"/>
    <w:rsid w:val="77F8E0DB"/>
    <w:rsid w:val="77FAB0D0"/>
    <w:rsid w:val="77FBA0CC"/>
    <w:rsid w:val="77FBFADE"/>
    <w:rsid w:val="77FD0B46"/>
    <w:rsid w:val="77FE13C5"/>
    <w:rsid w:val="77FE9E21"/>
    <w:rsid w:val="77FF6D5E"/>
    <w:rsid w:val="780000B5"/>
    <w:rsid w:val="78004949"/>
    <w:rsid w:val="7800DE08"/>
    <w:rsid w:val="78014F29"/>
    <w:rsid w:val="78022351"/>
    <w:rsid w:val="7802E7FE"/>
    <w:rsid w:val="780317AA"/>
    <w:rsid w:val="78033E38"/>
    <w:rsid w:val="78034534"/>
    <w:rsid w:val="7803460F"/>
    <w:rsid w:val="78035F21"/>
    <w:rsid w:val="7803F54F"/>
    <w:rsid w:val="78053139"/>
    <w:rsid w:val="7805D3E3"/>
    <w:rsid w:val="78060C05"/>
    <w:rsid w:val="7806F664"/>
    <w:rsid w:val="78077FFA"/>
    <w:rsid w:val="7807933D"/>
    <w:rsid w:val="780833C3"/>
    <w:rsid w:val="7809124A"/>
    <w:rsid w:val="780A4B69"/>
    <w:rsid w:val="780AD66C"/>
    <w:rsid w:val="780B3043"/>
    <w:rsid w:val="780C6F2B"/>
    <w:rsid w:val="780C7E3A"/>
    <w:rsid w:val="780CC090"/>
    <w:rsid w:val="780D2EBA"/>
    <w:rsid w:val="780DA64C"/>
    <w:rsid w:val="780DC65F"/>
    <w:rsid w:val="780DD837"/>
    <w:rsid w:val="780E00D2"/>
    <w:rsid w:val="780E09E9"/>
    <w:rsid w:val="780E1BA6"/>
    <w:rsid w:val="780E2A9F"/>
    <w:rsid w:val="780FC265"/>
    <w:rsid w:val="78100C1E"/>
    <w:rsid w:val="7810688F"/>
    <w:rsid w:val="7810840C"/>
    <w:rsid w:val="7810AEED"/>
    <w:rsid w:val="7810C2C2"/>
    <w:rsid w:val="781141D8"/>
    <w:rsid w:val="78114686"/>
    <w:rsid w:val="7811A644"/>
    <w:rsid w:val="7811E9AC"/>
    <w:rsid w:val="781206F1"/>
    <w:rsid w:val="78121089"/>
    <w:rsid w:val="78124749"/>
    <w:rsid w:val="78128F2E"/>
    <w:rsid w:val="78143B11"/>
    <w:rsid w:val="78144AC7"/>
    <w:rsid w:val="78150947"/>
    <w:rsid w:val="7815C95A"/>
    <w:rsid w:val="7815FB02"/>
    <w:rsid w:val="7816304F"/>
    <w:rsid w:val="78166257"/>
    <w:rsid w:val="7816DBBB"/>
    <w:rsid w:val="7816FA1F"/>
    <w:rsid w:val="7817F608"/>
    <w:rsid w:val="781903BD"/>
    <w:rsid w:val="78191920"/>
    <w:rsid w:val="78192948"/>
    <w:rsid w:val="7819A2EE"/>
    <w:rsid w:val="781A2E86"/>
    <w:rsid w:val="781A3601"/>
    <w:rsid w:val="781A3BE7"/>
    <w:rsid w:val="781A62E3"/>
    <w:rsid w:val="781B49A7"/>
    <w:rsid w:val="781CC4B2"/>
    <w:rsid w:val="781CE32C"/>
    <w:rsid w:val="781CFED7"/>
    <w:rsid w:val="781D16B3"/>
    <w:rsid w:val="781D56A0"/>
    <w:rsid w:val="781DD3E2"/>
    <w:rsid w:val="781E629E"/>
    <w:rsid w:val="781E6DB3"/>
    <w:rsid w:val="781E8658"/>
    <w:rsid w:val="781EC785"/>
    <w:rsid w:val="781EE17D"/>
    <w:rsid w:val="781F836C"/>
    <w:rsid w:val="78205235"/>
    <w:rsid w:val="78206E76"/>
    <w:rsid w:val="78208290"/>
    <w:rsid w:val="78216563"/>
    <w:rsid w:val="78216CEE"/>
    <w:rsid w:val="78218D60"/>
    <w:rsid w:val="78223B6E"/>
    <w:rsid w:val="78230173"/>
    <w:rsid w:val="782319FD"/>
    <w:rsid w:val="782330D7"/>
    <w:rsid w:val="78235EE0"/>
    <w:rsid w:val="7823A436"/>
    <w:rsid w:val="78247C45"/>
    <w:rsid w:val="78248630"/>
    <w:rsid w:val="7824919A"/>
    <w:rsid w:val="7824C220"/>
    <w:rsid w:val="78257660"/>
    <w:rsid w:val="7826479F"/>
    <w:rsid w:val="7826B788"/>
    <w:rsid w:val="7826D279"/>
    <w:rsid w:val="78274DF2"/>
    <w:rsid w:val="78281B94"/>
    <w:rsid w:val="7828845A"/>
    <w:rsid w:val="782A3181"/>
    <w:rsid w:val="782A7B67"/>
    <w:rsid w:val="782AD37C"/>
    <w:rsid w:val="782BCD59"/>
    <w:rsid w:val="782CAF82"/>
    <w:rsid w:val="782CB0F7"/>
    <w:rsid w:val="782CD586"/>
    <w:rsid w:val="782CFE00"/>
    <w:rsid w:val="782DBA9C"/>
    <w:rsid w:val="782E7BE7"/>
    <w:rsid w:val="782F3AE3"/>
    <w:rsid w:val="782F8600"/>
    <w:rsid w:val="782FA5AA"/>
    <w:rsid w:val="782FC8E3"/>
    <w:rsid w:val="7830BC32"/>
    <w:rsid w:val="7830D07E"/>
    <w:rsid w:val="7831F24E"/>
    <w:rsid w:val="7832572E"/>
    <w:rsid w:val="7834CA0E"/>
    <w:rsid w:val="783550CE"/>
    <w:rsid w:val="783558BE"/>
    <w:rsid w:val="78360F0C"/>
    <w:rsid w:val="78362309"/>
    <w:rsid w:val="78366999"/>
    <w:rsid w:val="783689CF"/>
    <w:rsid w:val="78373D0C"/>
    <w:rsid w:val="78380948"/>
    <w:rsid w:val="78383A5A"/>
    <w:rsid w:val="783850AD"/>
    <w:rsid w:val="78386814"/>
    <w:rsid w:val="78386B8E"/>
    <w:rsid w:val="7839ADC9"/>
    <w:rsid w:val="7839BD7C"/>
    <w:rsid w:val="783A6B82"/>
    <w:rsid w:val="783A6DBE"/>
    <w:rsid w:val="783B3FCC"/>
    <w:rsid w:val="783B429C"/>
    <w:rsid w:val="783B76E8"/>
    <w:rsid w:val="783BD0B4"/>
    <w:rsid w:val="783CBB26"/>
    <w:rsid w:val="783CC3E6"/>
    <w:rsid w:val="783CD081"/>
    <w:rsid w:val="783CDAAE"/>
    <w:rsid w:val="783D34D5"/>
    <w:rsid w:val="783D8CD9"/>
    <w:rsid w:val="783E6404"/>
    <w:rsid w:val="783EECDA"/>
    <w:rsid w:val="783F6A7C"/>
    <w:rsid w:val="7840570A"/>
    <w:rsid w:val="784095CF"/>
    <w:rsid w:val="7841AAF4"/>
    <w:rsid w:val="7841B456"/>
    <w:rsid w:val="7841DD5C"/>
    <w:rsid w:val="7841EEAB"/>
    <w:rsid w:val="7842CF55"/>
    <w:rsid w:val="78439EFB"/>
    <w:rsid w:val="7844BDAE"/>
    <w:rsid w:val="78453F5A"/>
    <w:rsid w:val="78456234"/>
    <w:rsid w:val="78457ED5"/>
    <w:rsid w:val="7845964B"/>
    <w:rsid w:val="7845EB26"/>
    <w:rsid w:val="78463F8A"/>
    <w:rsid w:val="78468A3C"/>
    <w:rsid w:val="78470A47"/>
    <w:rsid w:val="78472C19"/>
    <w:rsid w:val="7847512F"/>
    <w:rsid w:val="784788B1"/>
    <w:rsid w:val="78489710"/>
    <w:rsid w:val="784A784A"/>
    <w:rsid w:val="784A9501"/>
    <w:rsid w:val="784AE13F"/>
    <w:rsid w:val="784B9296"/>
    <w:rsid w:val="784B95A5"/>
    <w:rsid w:val="784C774B"/>
    <w:rsid w:val="784CBB49"/>
    <w:rsid w:val="784D6563"/>
    <w:rsid w:val="784D7E4F"/>
    <w:rsid w:val="784DD7D9"/>
    <w:rsid w:val="784E345C"/>
    <w:rsid w:val="784FD78C"/>
    <w:rsid w:val="784FF784"/>
    <w:rsid w:val="7850A27A"/>
    <w:rsid w:val="7850BBFD"/>
    <w:rsid w:val="78517A5E"/>
    <w:rsid w:val="785364FD"/>
    <w:rsid w:val="785376D8"/>
    <w:rsid w:val="78541544"/>
    <w:rsid w:val="78541C7D"/>
    <w:rsid w:val="78543280"/>
    <w:rsid w:val="78543E7A"/>
    <w:rsid w:val="7854D9B5"/>
    <w:rsid w:val="78556AC8"/>
    <w:rsid w:val="785611F8"/>
    <w:rsid w:val="7856C27B"/>
    <w:rsid w:val="7857B31E"/>
    <w:rsid w:val="7857BFDE"/>
    <w:rsid w:val="7857E0F8"/>
    <w:rsid w:val="785933BF"/>
    <w:rsid w:val="78595397"/>
    <w:rsid w:val="78599B58"/>
    <w:rsid w:val="785AE61A"/>
    <w:rsid w:val="785B93BC"/>
    <w:rsid w:val="785BE541"/>
    <w:rsid w:val="785C0791"/>
    <w:rsid w:val="785C65A9"/>
    <w:rsid w:val="785CF9F9"/>
    <w:rsid w:val="785DC286"/>
    <w:rsid w:val="785F1BC4"/>
    <w:rsid w:val="785F8312"/>
    <w:rsid w:val="785F9D1B"/>
    <w:rsid w:val="78611ECD"/>
    <w:rsid w:val="7861476E"/>
    <w:rsid w:val="7862A8F4"/>
    <w:rsid w:val="7862CFDB"/>
    <w:rsid w:val="786320B8"/>
    <w:rsid w:val="7864266A"/>
    <w:rsid w:val="7864CD99"/>
    <w:rsid w:val="7864D641"/>
    <w:rsid w:val="78654279"/>
    <w:rsid w:val="78655043"/>
    <w:rsid w:val="7865B6C8"/>
    <w:rsid w:val="7865CB21"/>
    <w:rsid w:val="78665C9D"/>
    <w:rsid w:val="786692C7"/>
    <w:rsid w:val="78680B03"/>
    <w:rsid w:val="786841C6"/>
    <w:rsid w:val="7868962F"/>
    <w:rsid w:val="78690856"/>
    <w:rsid w:val="78691B04"/>
    <w:rsid w:val="7869BCEB"/>
    <w:rsid w:val="7869C76A"/>
    <w:rsid w:val="786A96D4"/>
    <w:rsid w:val="786B2DA8"/>
    <w:rsid w:val="786C6D77"/>
    <w:rsid w:val="786DE442"/>
    <w:rsid w:val="786E07A3"/>
    <w:rsid w:val="786E31C6"/>
    <w:rsid w:val="786F6509"/>
    <w:rsid w:val="7870A21B"/>
    <w:rsid w:val="7870A3EA"/>
    <w:rsid w:val="78739119"/>
    <w:rsid w:val="787412C7"/>
    <w:rsid w:val="787474B9"/>
    <w:rsid w:val="787476ED"/>
    <w:rsid w:val="7874BD27"/>
    <w:rsid w:val="787508AD"/>
    <w:rsid w:val="78751130"/>
    <w:rsid w:val="78753F4B"/>
    <w:rsid w:val="78763BB9"/>
    <w:rsid w:val="78764200"/>
    <w:rsid w:val="78768234"/>
    <w:rsid w:val="7877BF67"/>
    <w:rsid w:val="7877C8BA"/>
    <w:rsid w:val="787832BF"/>
    <w:rsid w:val="7879780E"/>
    <w:rsid w:val="787A49B0"/>
    <w:rsid w:val="787A6593"/>
    <w:rsid w:val="787A6B2C"/>
    <w:rsid w:val="787AC08F"/>
    <w:rsid w:val="787B9B8D"/>
    <w:rsid w:val="787BE1CA"/>
    <w:rsid w:val="787CA975"/>
    <w:rsid w:val="787D0042"/>
    <w:rsid w:val="787D68F3"/>
    <w:rsid w:val="787D9197"/>
    <w:rsid w:val="787DAB98"/>
    <w:rsid w:val="787DD3B7"/>
    <w:rsid w:val="787DFCC1"/>
    <w:rsid w:val="787EA3BA"/>
    <w:rsid w:val="787ED6C2"/>
    <w:rsid w:val="787F341F"/>
    <w:rsid w:val="787F6E80"/>
    <w:rsid w:val="78805656"/>
    <w:rsid w:val="7881DA3C"/>
    <w:rsid w:val="78820C09"/>
    <w:rsid w:val="78833B52"/>
    <w:rsid w:val="7883E266"/>
    <w:rsid w:val="788488BA"/>
    <w:rsid w:val="78848EA1"/>
    <w:rsid w:val="788650F9"/>
    <w:rsid w:val="78867572"/>
    <w:rsid w:val="7887012E"/>
    <w:rsid w:val="7888448B"/>
    <w:rsid w:val="78893540"/>
    <w:rsid w:val="7889DDA6"/>
    <w:rsid w:val="788BBBAE"/>
    <w:rsid w:val="788BFFD0"/>
    <w:rsid w:val="788C026C"/>
    <w:rsid w:val="788C2E4B"/>
    <w:rsid w:val="788C3034"/>
    <w:rsid w:val="788E1A0A"/>
    <w:rsid w:val="788EF78F"/>
    <w:rsid w:val="788F3CFB"/>
    <w:rsid w:val="788F4CAB"/>
    <w:rsid w:val="788F8105"/>
    <w:rsid w:val="78904C47"/>
    <w:rsid w:val="78906D50"/>
    <w:rsid w:val="78908C25"/>
    <w:rsid w:val="7891DAA5"/>
    <w:rsid w:val="7892727D"/>
    <w:rsid w:val="789359B3"/>
    <w:rsid w:val="789395A1"/>
    <w:rsid w:val="7893AD10"/>
    <w:rsid w:val="7895157E"/>
    <w:rsid w:val="789525D6"/>
    <w:rsid w:val="78957F46"/>
    <w:rsid w:val="78959691"/>
    <w:rsid w:val="78959812"/>
    <w:rsid w:val="78960108"/>
    <w:rsid w:val="789653D2"/>
    <w:rsid w:val="7897C400"/>
    <w:rsid w:val="78985FE4"/>
    <w:rsid w:val="7898B1BF"/>
    <w:rsid w:val="7898C80C"/>
    <w:rsid w:val="7899BA5D"/>
    <w:rsid w:val="789A50A4"/>
    <w:rsid w:val="789C549F"/>
    <w:rsid w:val="789C911E"/>
    <w:rsid w:val="789EB557"/>
    <w:rsid w:val="789EB935"/>
    <w:rsid w:val="789EC8F1"/>
    <w:rsid w:val="789F0213"/>
    <w:rsid w:val="789F95CA"/>
    <w:rsid w:val="789FA6BA"/>
    <w:rsid w:val="78A00A2E"/>
    <w:rsid w:val="78A032B4"/>
    <w:rsid w:val="78A044F8"/>
    <w:rsid w:val="78A06733"/>
    <w:rsid w:val="78A13274"/>
    <w:rsid w:val="78A1ED8B"/>
    <w:rsid w:val="78A2CD18"/>
    <w:rsid w:val="78A35914"/>
    <w:rsid w:val="78A39075"/>
    <w:rsid w:val="78A3B0A4"/>
    <w:rsid w:val="78A3CAA2"/>
    <w:rsid w:val="78A3E7E2"/>
    <w:rsid w:val="78A4032F"/>
    <w:rsid w:val="78A4E7F4"/>
    <w:rsid w:val="78A4F262"/>
    <w:rsid w:val="78A5076B"/>
    <w:rsid w:val="78A51078"/>
    <w:rsid w:val="78A5C39D"/>
    <w:rsid w:val="78A63166"/>
    <w:rsid w:val="78A70C6F"/>
    <w:rsid w:val="78A71583"/>
    <w:rsid w:val="78A72FB1"/>
    <w:rsid w:val="78A77643"/>
    <w:rsid w:val="78A845EA"/>
    <w:rsid w:val="78A9B878"/>
    <w:rsid w:val="78AB027C"/>
    <w:rsid w:val="78ACD03B"/>
    <w:rsid w:val="78ACDC05"/>
    <w:rsid w:val="78AD35C6"/>
    <w:rsid w:val="78AD7F3E"/>
    <w:rsid w:val="78ADAFA4"/>
    <w:rsid w:val="78ADB4E3"/>
    <w:rsid w:val="78AE08D8"/>
    <w:rsid w:val="78AE2F7C"/>
    <w:rsid w:val="78AEA868"/>
    <w:rsid w:val="78AFF4F9"/>
    <w:rsid w:val="78B08E25"/>
    <w:rsid w:val="78B09C81"/>
    <w:rsid w:val="78B1688A"/>
    <w:rsid w:val="78B1E031"/>
    <w:rsid w:val="78B22B7A"/>
    <w:rsid w:val="78B2441B"/>
    <w:rsid w:val="78B311BB"/>
    <w:rsid w:val="78B3782B"/>
    <w:rsid w:val="78B42BFF"/>
    <w:rsid w:val="78B43159"/>
    <w:rsid w:val="78B49986"/>
    <w:rsid w:val="78B534CE"/>
    <w:rsid w:val="78B61079"/>
    <w:rsid w:val="78B61A20"/>
    <w:rsid w:val="78B61FA4"/>
    <w:rsid w:val="78B6437A"/>
    <w:rsid w:val="78B67850"/>
    <w:rsid w:val="78B6C1E4"/>
    <w:rsid w:val="78B79793"/>
    <w:rsid w:val="78B79E4F"/>
    <w:rsid w:val="78B7AE80"/>
    <w:rsid w:val="78B7C3A7"/>
    <w:rsid w:val="78B82923"/>
    <w:rsid w:val="78B82C9D"/>
    <w:rsid w:val="78B8490F"/>
    <w:rsid w:val="78B882DB"/>
    <w:rsid w:val="78B88B4A"/>
    <w:rsid w:val="78B8BD52"/>
    <w:rsid w:val="78B8DD0D"/>
    <w:rsid w:val="78BA5208"/>
    <w:rsid w:val="78BB158E"/>
    <w:rsid w:val="78BC031D"/>
    <w:rsid w:val="78BC2D69"/>
    <w:rsid w:val="78BC4EEC"/>
    <w:rsid w:val="78BC50DD"/>
    <w:rsid w:val="78BD6D8E"/>
    <w:rsid w:val="78BE283D"/>
    <w:rsid w:val="78BE3AC7"/>
    <w:rsid w:val="78BE578A"/>
    <w:rsid w:val="78BEDB66"/>
    <w:rsid w:val="78BEDE82"/>
    <w:rsid w:val="78BEFD43"/>
    <w:rsid w:val="78BF063F"/>
    <w:rsid w:val="78BF10D2"/>
    <w:rsid w:val="78BF2E1F"/>
    <w:rsid w:val="78BF6F5A"/>
    <w:rsid w:val="78BF85C7"/>
    <w:rsid w:val="78BFE0E6"/>
    <w:rsid w:val="78C011B1"/>
    <w:rsid w:val="78C03150"/>
    <w:rsid w:val="78C03648"/>
    <w:rsid w:val="78C1468A"/>
    <w:rsid w:val="78C18E27"/>
    <w:rsid w:val="78C239DE"/>
    <w:rsid w:val="78C27722"/>
    <w:rsid w:val="78C294BB"/>
    <w:rsid w:val="78C2D127"/>
    <w:rsid w:val="78C33CAD"/>
    <w:rsid w:val="78C46F9F"/>
    <w:rsid w:val="78C4C3D9"/>
    <w:rsid w:val="78C52577"/>
    <w:rsid w:val="78C5DB8D"/>
    <w:rsid w:val="78C67CAA"/>
    <w:rsid w:val="78C78168"/>
    <w:rsid w:val="78C835D2"/>
    <w:rsid w:val="78C86356"/>
    <w:rsid w:val="78C86447"/>
    <w:rsid w:val="78C89694"/>
    <w:rsid w:val="78C977FC"/>
    <w:rsid w:val="78C9BB84"/>
    <w:rsid w:val="78C9DCF5"/>
    <w:rsid w:val="78CB435A"/>
    <w:rsid w:val="78CB6284"/>
    <w:rsid w:val="78CB6FC0"/>
    <w:rsid w:val="78CBE051"/>
    <w:rsid w:val="78CC0FB8"/>
    <w:rsid w:val="78CC388E"/>
    <w:rsid w:val="78CD1470"/>
    <w:rsid w:val="78CD84DE"/>
    <w:rsid w:val="78CE1856"/>
    <w:rsid w:val="78CE82D9"/>
    <w:rsid w:val="78CEF6C1"/>
    <w:rsid w:val="78CF19DA"/>
    <w:rsid w:val="78CF8310"/>
    <w:rsid w:val="78CFA57F"/>
    <w:rsid w:val="78D024C1"/>
    <w:rsid w:val="78D03311"/>
    <w:rsid w:val="78D05548"/>
    <w:rsid w:val="78D0C60A"/>
    <w:rsid w:val="78D0F14C"/>
    <w:rsid w:val="78D0FDE8"/>
    <w:rsid w:val="78D14A38"/>
    <w:rsid w:val="78D19A0E"/>
    <w:rsid w:val="78D2B102"/>
    <w:rsid w:val="78D3A0F9"/>
    <w:rsid w:val="78D3A68C"/>
    <w:rsid w:val="78D3AAA7"/>
    <w:rsid w:val="78D54F55"/>
    <w:rsid w:val="78D558B1"/>
    <w:rsid w:val="78D63AD8"/>
    <w:rsid w:val="78D75C4F"/>
    <w:rsid w:val="78D7FD26"/>
    <w:rsid w:val="78D9567C"/>
    <w:rsid w:val="78D9A696"/>
    <w:rsid w:val="78DA089A"/>
    <w:rsid w:val="78DA13D0"/>
    <w:rsid w:val="78DA565C"/>
    <w:rsid w:val="78DB1540"/>
    <w:rsid w:val="78DBB0E3"/>
    <w:rsid w:val="78DBC19C"/>
    <w:rsid w:val="78DBEC9A"/>
    <w:rsid w:val="78DC4C86"/>
    <w:rsid w:val="78DCFF6C"/>
    <w:rsid w:val="78DD268C"/>
    <w:rsid w:val="78DD29BE"/>
    <w:rsid w:val="78DE7774"/>
    <w:rsid w:val="78DECFD8"/>
    <w:rsid w:val="78DEEB00"/>
    <w:rsid w:val="78DF7454"/>
    <w:rsid w:val="78DF794C"/>
    <w:rsid w:val="78DFD437"/>
    <w:rsid w:val="78E02E7E"/>
    <w:rsid w:val="78E0FAE5"/>
    <w:rsid w:val="78E119F9"/>
    <w:rsid w:val="78E239E2"/>
    <w:rsid w:val="78E353F1"/>
    <w:rsid w:val="78E52090"/>
    <w:rsid w:val="78E58A64"/>
    <w:rsid w:val="78E5A4B6"/>
    <w:rsid w:val="78E5CC6D"/>
    <w:rsid w:val="78E5DB63"/>
    <w:rsid w:val="78E67FFA"/>
    <w:rsid w:val="78E6822E"/>
    <w:rsid w:val="78E7548C"/>
    <w:rsid w:val="78E79516"/>
    <w:rsid w:val="78E8042B"/>
    <w:rsid w:val="78E80AF8"/>
    <w:rsid w:val="78E90863"/>
    <w:rsid w:val="78EA4C09"/>
    <w:rsid w:val="78EA82D9"/>
    <w:rsid w:val="78EBE123"/>
    <w:rsid w:val="78EDF523"/>
    <w:rsid w:val="78EE7523"/>
    <w:rsid w:val="78EFAAE9"/>
    <w:rsid w:val="78EFD871"/>
    <w:rsid w:val="78F04C4A"/>
    <w:rsid w:val="78F07C21"/>
    <w:rsid w:val="78F07F9B"/>
    <w:rsid w:val="78F0937D"/>
    <w:rsid w:val="78F0B95A"/>
    <w:rsid w:val="78F11856"/>
    <w:rsid w:val="78F1A560"/>
    <w:rsid w:val="78F2FE4F"/>
    <w:rsid w:val="78F30FF4"/>
    <w:rsid w:val="78F3E595"/>
    <w:rsid w:val="78F4771A"/>
    <w:rsid w:val="78F4B66B"/>
    <w:rsid w:val="78F4D713"/>
    <w:rsid w:val="78F51F52"/>
    <w:rsid w:val="78F55BAC"/>
    <w:rsid w:val="78F64BD2"/>
    <w:rsid w:val="78F6F71F"/>
    <w:rsid w:val="78F75A64"/>
    <w:rsid w:val="78F79162"/>
    <w:rsid w:val="78F7A2EB"/>
    <w:rsid w:val="78F7B457"/>
    <w:rsid w:val="78F80B1C"/>
    <w:rsid w:val="78F88248"/>
    <w:rsid w:val="78F896A2"/>
    <w:rsid w:val="78F90008"/>
    <w:rsid w:val="78FA0254"/>
    <w:rsid w:val="78FA9E8D"/>
    <w:rsid w:val="78FB2107"/>
    <w:rsid w:val="78FBE36F"/>
    <w:rsid w:val="78FC50FC"/>
    <w:rsid w:val="78FD3484"/>
    <w:rsid w:val="78FD80C6"/>
    <w:rsid w:val="78FDD4FD"/>
    <w:rsid w:val="78FEE27B"/>
    <w:rsid w:val="78FF005A"/>
    <w:rsid w:val="78FF769E"/>
    <w:rsid w:val="78FFCF81"/>
    <w:rsid w:val="79010625"/>
    <w:rsid w:val="79013A9B"/>
    <w:rsid w:val="79021AEE"/>
    <w:rsid w:val="79027F50"/>
    <w:rsid w:val="7903167A"/>
    <w:rsid w:val="790354B9"/>
    <w:rsid w:val="7903A523"/>
    <w:rsid w:val="7903CBC7"/>
    <w:rsid w:val="79046A6A"/>
    <w:rsid w:val="7904CDEF"/>
    <w:rsid w:val="79051B04"/>
    <w:rsid w:val="790563B5"/>
    <w:rsid w:val="79057517"/>
    <w:rsid w:val="7906448E"/>
    <w:rsid w:val="7907ABC2"/>
    <w:rsid w:val="7907AC1A"/>
    <w:rsid w:val="7907B996"/>
    <w:rsid w:val="7907C0A2"/>
    <w:rsid w:val="79087CB2"/>
    <w:rsid w:val="7908AD7F"/>
    <w:rsid w:val="7908D213"/>
    <w:rsid w:val="7908F486"/>
    <w:rsid w:val="7909A466"/>
    <w:rsid w:val="790AE518"/>
    <w:rsid w:val="790B9352"/>
    <w:rsid w:val="790BF865"/>
    <w:rsid w:val="790C5736"/>
    <w:rsid w:val="790CBE41"/>
    <w:rsid w:val="790D0438"/>
    <w:rsid w:val="790D0A34"/>
    <w:rsid w:val="790DC88F"/>
    <w:rsid w:val="790DE1C2"/>
    <w:rsid w:val="790E39FC"/>
    <w:rsid w:val="790F40C4"/>
    <w:rsid w:val="790F4F08"/>
    <w:rsid w:val="790FEEE4"/>
    <w:rsid w:val="7910B2EE"/>
    <w:rsid w:val="7911772A"/>
    <w:rsid w:val="7911CDB7"/>
    <w:rsid w:val="7912441E"/>
    <w:rsid w:val="79124744"/>
    <w:rsid w:val="791280A4"/>
    <w:rsid w:val="7912EBD3"/>
    <w:rsid w:val="7913C186"/>
    <w:rsid w:val="79146C24"/>
    <w:rsid w:val="7915C051"/>
    <w:rsid w:val="7917BD79"/>
    <w:rsid w:val="79188810"/>
    <w:rsid w:val="7919B8A9"/>
    <w:rsid w:val="791A4985"/>
    <w:rsid w:val="791B13B0"/>
    <w:rsid w:val="791B27C2"/>
    <w:rsid w:val="791BD03E"/>
    <w:rsid w:val="791C3CEE"/>
    <w:rsid w:val="791C8603"/>
    <w:rsid w:val="791CEAA3"/>
    <w:rsid w:val="791D132E"/>
    <w:rsid w:val="791D742B"/>
    <w:rsid w:val="791D7AA1"/>
    <w:rsid w:val="791D7E83"/>
    <w:rsid w:val="791DCCBD"/>
    <w:rsid w:val="791E0838"/>
    <w:rsid w:val="791EA99B"/>
    <w:rsid w:val="791F36DE"/>
    <w:rsid w:val="791FAF6B"/>
    <w:rsid w:val="791FBB33"/>
    <w:rsid w:val="7921B0B9"/>
    <w:rsid w:val="7921DD3E"/>
    <w:rsid w:val="7921F10F"/>
    <w:rsid w:val="79225B66"/>
    <w:rsid w:val="7922C40F"/>
    <w:rsid w:val="79241625"/>
    <w:rsid w:val="792491F6"/>
    <w:rsid w:val="7924E107"/>
    <w:rsid w:val="7925F814"/>
    <w:rsid w:val="79261634"/>
    <w:rsid w:val="79267519"/>
    <w:rsid w:val="7926893A"/>
    <w:rsid w:val="7926B0C6"/>
    <w:rsid w:val="7926B79F"/>
    <w:rsid w:val="79279D42"/>
    <w:rsid w:val="7927AF07"/>
    <w:rsid w:val="79280066"/>
    <w:rsid w:val="79298061"/>
    <w:rsid w:val="792AD126"/>
    <w:rsid w:val="792AD539"/>
    <w:rsid w:val="792AF913"/>
    <w:rsid w:val="792BC3CD"/>
    <w:rsid w:val="792C141D"/>
    <w:rsid w:val="792C831D"/>
    <w:rsid w:val="792DD278"/>
    <w:rsid w:val="792E3AFA"/>
    <w:rsid w:val="792F0B74"/>
    <w:rsid w:val="792F5B53"/>
    <w:rsid w:val="792FAAC0"/>
    <w:rsid w:val="792FB917"/>
    <w:rsid w:val="792FC9B4"/>
    <w:rsid w:val="793188A4"/>
    <w:rsid w:val="793197AA"/>
    <w:rsid w:val="79321472"/>
    <w:rsid w:val="793241DB"/>
    <w:rsid w:val="79325884"/>
    <w:rsid w:val="79326F12"/>
    <w:rsid w:val="79329687"/>
    <w:rsid w:val="79336440"/>
    <w:rsid w:val="7933E719"/>
    <w:rsid w:val="79345E2F"/>
    <w:rsid w:val="7935CFF9"/>
    <w:rsid w:val="7935F942"/>
    <w:rsid w:val="79364E4E"/>
    <w:rsid w:val="79369FF3"/>
    <w:rsid w:val="7936B04E"/>
    <w:rsid w:val="7936FB32"/>
    <w:rsid w:val="793719FC"/>
    <w:rsid w:val="793766F5"/>
    <w:rsid w:val="7937A870"/>
    <w:rsid w:val="7937B638"/>
    <w:rsid w:val="79384BD5"/>
    <w:rsid w:val="79386634"/>
    <w:rsid w:val="7938BA80"/>
    <w:rsid w:val="7939437B"/>
    <w:rsid w:val="7939BA09"/>
    <w:rsid w:val="7939E75C"/>
    <w:rsid w:val="793A55EF"/>
    <w:rsid w:val="793D3A6F"/>
    <w:rsid w:val="793E086C"/>
    <w:rsid w:val="793E7EE7"/>
    <w:rsid w:val="793EB71B"/>
    <w:rsid w:val="793F18B0"/>
    <w:rsid w:val="7940098E"/>
    <w:rsid w:val="7940ABAB"/>
    <w:rsid w:val="79411958"/>
    <w:rsid w:val="7941B001"/>
    <w:rsid w:val="79420A7E"/>
    <w:rsid w:val="79427A8B"/>
    <w:rsid w:val="7943CEC0"/>
    <w:rsid w:val="7943D67D"/>
    <w:rsid w:val="7943EC66"/>
    <w:rsid w:val="79455FEB"/>
    <w:rsid w:val="79461766"/>
    <w:rsid w:val="79464878"/>
    <w:rsid w:val="794665B6"/>
    <w:rsid w:val="79467096"/>
    <w:rsid w:val="7946F551"/>
    <w:rsid w:val="79470B79"/>
    <w:rsid w:val="794791AB"/>
    <w:rsid w:val="79484E89"/>
    <w:rsid w:val="794863A3"/>
    <w:rsid w:val="79487941"/>
    <w:rsid w:val="7948C608"/>
    <w:rsid w:val="7948EDEC"/>
    <w:rsid w:val="794909E9"/>
    <w:rsid w:val="79492368"/>
    <w:rsid w:val="79492E92"/>
    <w:rsid w:val="7949C86F"/>
    <w:rsid w:val="794A969B"/>
    <w:rsid w:val="794B4B9C"/>
    <w:rsid w:val="794B509E"/>
    <w:rsid w:val="794C7599"/>
    <w:rsid w:val="794D10ED"/>
    <w:rsid w:val="794D9239"/>
    <w:rsid w:val="794DCD3C"/>
    <w:rsid w:val="794F39B1"/>
    <w:rsid w:val="794FC00F"/>
    <w:rsid w:val="794FF1CD"/>
    <w:rsid w:val="79507E13"/>
    <w:rsid w:val="7951C738"/>
    <w:rsid w:val="7951FDE9"/>
    <w:rsid w:val="7953CBF7"/>
    <w:rsid w:val="7953D505"/>
    <w:rsid w:val="795477C6"/>
    <w:rsid w:val="79564DE6"/>
    <w:rsid w:val="7956EC30"/>
    <w:rsid w:val="79572CDC"/>
    <w:rsid w:val="7958046E"/>
    <w:rsid w:val="79585317"/>
    <w:rsid w:val="7958E9D7"/>
    <w:rsid w:val="7959067C"/>
    <w:rsid w:val="79591946"/>
    <w:rsid w:val="795A162E"/>
    <w:rsid w:val="795A7924"/>
    <w:rsid w:val="795ACE20"/>
    <w:rsid w:val="795BC182"/>
    <w:rsid w:val="795BE579"/>
    <w:rsid w:val="795C9F4C"/>
    <w:rsid w:val="795CB5E3"/>
    <w:rsid w:val="795D0E5E"/>
    <w:rsid w:val="795D9E02"/>
    <w:rsid w:val="795E165E"/>
    <w:rsid w:val="795E7B39"/>
    <w:rsid w:val="795FFDFD"/>
    <w:rsid w:val="79600367"/>
    <w:rsid w:val="796063CB"/>
    <w:rsid w:val="7960C322"/>
    <w:rsid w:val="796134E2"/>
    <w:rsid w:val="79625817"/>
    <w:rsid w:val="7962AC6F"/>
    <w:rsid w:val="7962B7BF"/>
    <w:rsid w:val="79639976"/>
    <w:rsid w:val="7963E867"/>
    <w:rsid w:val="796463BF"/>
    <w:rsid w:val="79649C2F"/>
    <w:rsid w:val="796505A1"/>
    <w:rsid w:val="79656A49"/>
    <w:rsid w:val="7965A488"/>
    <w:rsid w:val="7965E8E0"/>
    <w:rsid w:val="79666597"/>
    <w:rsid w:val="79678A58"/>
    <w:rsid w:val="79680DA7"/>
    <w:rsid w:val="7968BD34"/>
    <w:rsid w:val="7968CF87"/>
    <w:rsid w:val="796918CA"/>
    <w:rsid w:val="79695B20"/>
    <w:rsid w:val="796A46C4"/>
    <w:rsid w:val="796A4BF9"/>
    <w:rsid w:val="796A4D56"/>
    <w:rsid w:val="796A69C1"/>
    <w:rsid w:val="796B111A"/>
    <w:rsid w:val="796B1B25"/>
    <w:rsid w:val="796C0F86"/>
    <w:rsid w:val="796C92E5"/>
    <w:rsid w:val="796CA627"/>
    <w:rsid w:val="796CC3A1"/>
    <w:rsid w:val="796CF022"/>
    <w:rsid w:val="796D4422"/>
    <w:rsid w:val="796E31DC"/>
    <w:rsid w:val="796E4C9B"/>
    <w:rsid w:val="796E7470"/>
    <w:rsid w:val="796EAA1B"/>
    <w:rsid w:val="796F3427"/>
    <w:rsid w:val="796F66B9"/>
    <w:rsid w:val="796FF322"/>
    <w:rsid w:val="79706B8C"/>
    <w:rsid w:val="7970EBF9"/>
    <w:rsid w:val="7970F2B5"/>
    <w:rsid w:val="79711F7A"/>
    <w:rsid w:val="79717521"/>
    <w:rsid w:val="7972A53B"/>
    <w:rsid w:val="797302F9"/>
    <w:rsid w:val="79733492"/>
    <w:rsid w:val="797346D5"/>
    <w:rsid w:val="79738F22"/>
    <w:rsid w:val="797396A7"/>
    <w:rsid w:val="797433E2"/>
    <w:rsid w:val="79745753"/>
    <w:rsid w:val="7974BCE0"/>
    <w:rsid w:val="7974CF8B"/>
    <w:rsid w:val="79754A60"/>
    <w:rsid w:val="7975EAEC"/>
    <w:rsid w:val="797627CB"/>
    <w:rsid w:val="79774E5B"/>
    <w:rsid w:val="7977BF56"/>
    <w:rsid w:val="797A6B36"/>
    <w:rsid w:val="797AAC37"/>
    <w:rsid w:val="797C1C4A"/>
    <w:rsid w:val="797C9BF8"/>
    <w:rsid w:val="797CF7DF"/>
    <w:rsid w:val="797D109E"/>
    <w:rsid w:val="797DE70B"/>
    <w:rsid w:val="797E8F7A"/>
    <w:rsid w:val="797EF60A"/>
    <w:rsid w:val="797F242E"/>
    <w:rsid w:val="797FAF0E"/>
    <w:rsid w:val="797FC7F9"/>
    <w:rsid w:val="79806724"/>
    <w:rsid w:val="7980BC9A"/>
    <w:rsid w:val="7980C16E"/>
    <w:rsid w:val="7982653E"/>
    <w:rsid w:val="7982BC96"/>
    <w:rsid w:val="79832C2B"/>
    <w:rsid w:val="798335D4"/>
    <w:rsid w:val="798388B1"/>
    <w:rsid w:val="79846C8D"/>
    <w:rsid w:val="79848449"/>
    <w:rsid w:val="798511A7"/>
    <w:rsid w:val="7985C98B"/>
    <w:rsid w:val="79866D0E"/>
    <w:rsid w:val="798675FA"/>
    <w:rsid w:val="79868979"/>
    <w:rsid w:val="79875F65"/>
    <w:rsid w:val="7987D825"/>
    <w:rsid w:val="79882051"/>
    <w:rsid w:val="798822C8"/>
    <w:rsid w:val="79885F52"/>
    <w:rsid w:val="79887F7A"/>
    <w:rsid w:val="79888636"/>
    <w:rsid w:val="7988ABD8"/>
    <w:rsid w:val="79893D24"/>
    <w:rsid w:val="798949C3"/>
    <w:rsid w:val="798970FF"/>
    <w:rsid w:val="798A3724"/>
    <w:rsid w:val="798ABF0C"/>
    <w:rsid w:val="798AE30E"/>
    <w:rsid w:val="798B63B8"/>
    <w:rsid w:val="798B7BE8"/>
    <w:rsid w:val="798C0247"/>
    <w:rsid w:val="798C0687"/>
    <w:rsid w:val="798C419F"/>
    <w:rsid w:val="798C423C"/>
    <w:rsid w:val="798C83B3"/>
    <w:rsid w:val="798C9A8D"/>
    <w:rsid w:val="798D35AE"/>
    <w:rsid w:val="798DDA4A"/>
    <w:rsid w:val="798E76CC"/>
    <w:rsid w:val="798E7B5D"/>
    <w:rsid w:val="798E7E06"/>
    <w:rsid w:val="798F2100"/>
    <w:rsid w:val="798F92C6"/>
    <w:rsid w:val="798FA047"/>
    <w:rsid w:val="79906AF1"/>
    <w:rsid w:val="79908095"/>
    <w:rsid w:val="7990D662"/>
    <w:rsid w:val="7990E51F"/>
    <w:rsid w:val="79913DF1"/>
    <w:rsid w:val="7991F83E"/>
    <w:rsid w:val="7992002B"/>
    <w:rsid w:val="7992302E"/>
    <w:rsid w:val="7992A7CC"/>
    <w:rsid w:val="79934C14"/>
    <w:rsid w:val="799386FE"/>
    <w:rsid w:val="79962801"/>
    <w:rsid w:val="79969B26"/>
    <w:rsid w:val="79970E0B"/>
    <w:rsid w:val="7997503C"/>
    <w:rsid w:val="7997AAA4"/>
    <w:rsid w:val="7997AC67"/>
    <w:rsid w:val="7997C38F"/>
    <w:rsid w:val="799989CF"/>
    <w:rsid w:val="799A6B7D"/>
    <w:rsid w:val="799B836D"/>
    <w:rsid w:val="799BB82E"/>
    <w:rsid w:val="799BEB0E"/>
    <w:rsid w:val="799C0EE6"/>
    <w:rsid w:val="799CC42B"/>
    <w:rsid w:val="799D0C2F"/>
    <w:rsid w:val="799D54AA"/>
    <w:rsid w:val="799DD4BC"/>
    <w:rsid w:val="799E476E"/>
    <w:rsid w:val="799E6AF2"/>
    <w:rsid w:val="799F0CEA"/>
    <w:rsid w:val="799F6CD8"/>
    <w:rsid w:val="799FBB7F"/>
    <w:rsid w:val="799FDF92"/>
    <w:rsid w:val="79A080B9"/>
    <w:rsid w:val="79A08F95"/>
    <w:rsid w:val="79A201D2"/>
    <w:rsid w:val="79A208F8"/>
    <w:rsid w:val="79A2A46F"/>
    <w:rsid w:val="79A45A81"/>
    <w:rsid w:val="79A5FA22"/>
    <w:rsid w:val="79A645D7"/>
    <w:rsid w:val="79A6A241"/>
    <w:rsid w:val="79A7955B"/>
    <w:rsid w:val="79A7C1D8"/>
    <w:rsid w:val="79A823BA"/>
    <w:rsid w:val="79A8F0E7"/>
    <w:rsid w:val="79A9234C"/>
    <w:rsid w:val="79A9C939"/>
    <w:rsid w:val="79A9F9A1"/>
    <w:rsid w:val="79AA8952"/>
    <w:rsid w:val="79AAA9A5"/>
    <w:rsid w:val="79AABE30"/>
    <w:rsid w:val="79ADA419"/>
    <w:rsid w:val="79ADE760"/>
    <w:rsid w:val="79AE0F20"/>
    <w:rsid w:val="79AF79F4"/>
    <w:rsid w:val="79AFC7EC"/>
    <w:rsid w:val="79B09057"/>
    <w:rsid w:val="79B0FAD0"/>
    <w:rsid w:val="79B224AE"/>
    <w:rsid w:val="79B22890"/>
    <w:rsid w:val="79B2E61A"/>
    <w:rsid w:val="79B385FC"/>
    <w:rsid w:val="79B46025"/>
    <w:rsid w:val="79B4A6F5"/>
    <w:rsid w:val="79B560E9"/>
    <w:rsid w:val="79B5E032"/>
    <w:rsid w:val="79B61950"/>
    <w:rsid w:val="79B6DB90"/>
    <w:rsid w:val="79B6F9B2"/>
    <w:rsid w:val="79B77178"/>
    <w:rsid w:val="79BA0DBE"/>
    <w:rsid w:val="79BA6596"/>
    <w:rsid w:val="79BACE6C"/>
    <w:rsid w:val="79BAF0B0"/>
    <w:rsid w:val="79BAFDF6"/>
    <w:rsid w:val="79BB231D"/>
    <w:rsid w:val="79BC4A5D"/>
    <w:rsid w:val="79BC88FE"/>
    <w:rsid w:val="79BCC789"/>
    <w:rsid w:val="79BCCB37"/>
    <w:rsid w:val="79BD90B8"/>
    <w:rsid w:val="79BE1099"/>
    <w:rsid w:val="79BF0AE4"/>
    <w:rsid w:val="79BFA98B"/>
    <w:rsid w:val="79BFB451"/>
    <w:rsid w:val="79BFF138"/>
    <w:rsid w:val="79C00F0F"/>
    <w:rsid w:val="79C10C03"/>
    <w:rsid w:val="79C161EE"/>
    <w:rsid w:val="79C1A44E"/>
    <w:rsid w:val="79C1D206"/>
    <w:rsid w:val="79C23249"/>
    <w:rsid w:val="79C35F3B"/>
    <w:rsid w:val="79C4995B"/>
    <w:rsid w:val="79C4E0EC"/>
    <w:rsid w:val="79C5023C"/>
    <w:rsid w:val="79C50A4C"/>
    <w:rsid w:val="79C72DD4"/>
    <w:rsid w:val="79C75D2B"/>
    <w:rsid w:val="79C7EE72"/>
    <w:rsid w:val="79C88860"/>
    <w:rsid w:val="79C8EE79"/>
    <w:rsid w:val="79C9523D"/>
    <w:rsid w:val="79CA10AC"/>
    <w:rsid w:val="79CB4CFF"/>
    <w:rsid w:val="79CBFD23"/>
    <w:rsid w:val="79CCC890"/>
    <w:rsid w:val="79CD6C55"/>
    <w:rsid w:val="79CE0F46"/>
    <w:rsid w:val="79CEAE32"/>
    <w:rsid w:val="79CEFD26"/>
    <w:rsid w:val="79CF6CC4"/>
    <w:rsid w:val="79D019E1"/>
    <w:rsid w:val="79D08630"/>
    <w:rsid w:val="79D148D3"/>
    <w:rsid w:val="79D15A87"/>
    <w:rsid w:val="79D21D8E"/>
    <w:rsid w:val="79D21DAA"/>
    <w:rsid w:val="79D254BD"/>
    <w:rsid w:val="79D2AA61"/>
    <w:rsid w:val="79D3029E"/>
    <w:rsid w:val="79D30F56"/>
    <w:rsid w:val="79D31D6E"/>
    <w:rsid w:val="79D3523D"/>
    <w:rsid w:val="79D3DAE4"/>
    <w:rsid w:val="79D42967"/>
    <w:rsid w:val="79D4E091"/>
    <w:rsid w:val="79D4F015"/>
    <w:rsid w:val="79D50325"/>
    <w:rsid w:val="79D5721F"/>
    <w:rsid w:val="79D5B95A"/>
    <w:rsid w:val="79D6C01C"/>
    <w:rsid w:val="79D6DA9E"/>
    <w:rsid w:val="79D7973A"/>
    <w:rsid w:val="79D8D4E8"/>
    <w:rsid w:val="79D95CCB"/>
    <w:rsid w:val="79DA25EB"/>
    <w:rsid w:val="79DA45A5"/>
    <w:rsid w:val="79DA8820"/>
    <w:rsid w:val="79DABB3C"/>
    <w:rsid w:val="79DB0A6E"/>
    <w:rsid w:val="79DB8F82"/>
    <w:rsid w:val="79DBE1CF"/>
    <w:rsid w:val="79DC6577"/>
    <w:rsid w:val="79DC6DD3"/>
    <w:rsid w:val="79DC8C6D"/>
    <w:rsid w:val="79DCF638"/>
    <w:rsid w:val="79DCF853"/>
    <w:rsid w:val="79DD2B10"/>
    <w:rsid w:val="79DE04E1"/>
    <w:rsid w:val="79DEBA62"/>
    <w:rsid w:val="79E101C7"/>
    <w:rsid w:val="79E1ED49"/>
    <w:rsid w:val="79E21CC2"/>
    <w:rsid w:val="79E358AD"/>
    <w:rsid w:val="79E4602E"/>
    <w:rsid w:val="79E4F236"/>
    <w:rsid w:val="79E6115F"/>
    <w:rsid w:val="79E66820"/>
    <w:rsid w:val="79E74B11"/>
    <w:rsid w:val="79E7881A"/>
    <w:rsid w:val="79E7B992"/>
    <w:rsid w:val="79E7DCF6"/>
    <w:rsid w:val="79E7E825"/>
    <w:rsid w:val="79E8E778"/>
    <w:rsid w:val="79EAAA2E"/>
    <w:rsid w:val="79EAAD88"/>
    <w:rsid w:val="79EADF26"/>
    <w:rsid w:val="79EB3C67"/>
    <w:rsid w:val="79EB8FEE"/>
    <w:rsid w:val="79EBF05E"/>
    <w:rsid w:val="79EC3831"/>
    <w:rsid w:val="79EC3E93"/>
    <w:rsid w:val="79EC4EE9"/>
    <w:rsid w:val="79ECBC83"/>
    <w:rsid w:val="79ED0D99"/>
    <w:rsid w:val="79EDDA5A"/>
    <w:rsid w:val="79EE1542"/>
    <w:rsid w:val="79EE1A33"/>
    <w:rsid w:val="79EE4F96"/>
    <w:rsid w:val="79EEA307"/>
    <w:rsid w:val="79EF0E8C"/>
    <w:rsid w:val="79F05669"/>
    <w:rsid w:val="79F0A125"/>
    <w:rsid w:val="79F1FECE"/>
    <w:rsid w:val="79F223EF"/>
    <w:rsid w:val="79F23554"/>
    <w:rsid w:val="79F34ED5"/>
    <w:rsid w:val="79F47721"/>
    <w:rsid w:val="79F4B3C3"/>
    <w:rsid w:val="79F577A9"/>
    <w:rsid w:val="79F5FDE8"/>
    <w:rsid w:val="79F64761"/>
    <w:rsid w:val="79F64894"/>
    <w:rsid w:val="79F6590E"/>
    <w:rsid w:val="79F73552"/>
    <w:rsid w:val="79F78602"/>
    <w:rsid w:val="79F8A46A"/>
    <w:rsid w:val="79F8A716"/>
    <w:rsid w:val="79F98DDE"/>
    <w:rsid w:val="79FA746B"/>
    <w:rsid w:val="79FADD04"/>
    <w:rsid w:val="79FC566B"/>
    <w:rsid w:val="79FCDDCA"/>
    <w:rsid w:val="79FD5134"/>
    <w:rsid w:val="79FF403A"/>
    <w:rsid w:val="79FF65FA"/>
    <w:rsid w:val="7A00BF8E"/>
    <w:rsid w:val="7A0114D3"/>
    <w:rsid w:val="7A011CC3"/>
    <w:rsid w:val="7A015054"/>
    <w:rsid w:val="7A017D8F"/>
    <w:rsid w:val="7A01C1E1"/>
    <w:rsid w:val="7A01FAE0"/>
    <w:rsid w:val="7A03911F"/>
    <w:rsid w:val="7A042FAF"/>
    <w:rsid w:val="7A045EA7"/>
    <w:rsid w:val="7A0549B0"/>
    <w:rsid w:val="7A056FBA"/>
    <w:rsid w:val="7A05CBE4"/>
    <w:rsid w:val="7A062000"/>
    <w:rsid w:val="7A062060"/>
    <w:rsid w:val="7A06B73E"/>
    <w:rsid w:val="7A07CFEF"/>
    <w:rsid w:val="7A080211"/>
    <w:rsid w:val="7A0803A6"/>
    <w:rsid w:val="7A0818BD"/>
    <w:rsid w:val="7A087B8E"/>
    <w:rsid w:val="7A08BE03"/>
    <w:rsid w:val="7A08E133"/>
    <w:rsid w:val="7A0948DE"/>
    <w:rsid w:val="7A096A1E"/>
    <w:rsid w:val="7A09D9A3"/>
    <w:rsid w:val="7A0BAB05"/>
    <w:rsid w:val="7A0BE0AA"/>
    <w:rsid w:val="7A0C57A4"/>
    <w:rsid w:val="7A0C5F05"/>
    <w:rsid w:val="7A0C9399"/>
    <w:rsid w:val="7A0D0F95"/>
    <w:rsid w:val="7A0D8E7C"/>
    <w:rsid w:val="7A0DDDD7"/>
    <w:rsid w:val="7A0E3D99"/>
    <w:rsid w:val="7A0EC7DE"/>
    <w:rsid w:val="7A0F8F0B"/>
    <w:rsid w:val="7A110AE2"/>
    <w:rsid w:val="7A11CC58"/>
    <w:rsid w:val="7A11F280"/>
    <w:rsid w:val="7A121198"/>
    <w:rsid w:val="7A122293"/>
    <w:rsid w:val="7A128D21"/>
    <w:rsid w:val="7A12FB0E"/>
    <w:rsid w:val="7A13177C"/>
    <w:rsid w:val="7A136432"/>
    <w:rsid w:val="7A138461"/>
    <w:rsid w:val="7A139397"/>
    <w:rsid w:val="7A13C179"/>
    <w:rsid w:val="7A13EC09"/>
    <w:rsid w:val="7A151A47"/>
    <w:rsid w:val="7A154D8D"/>
    <w:rsid w:val="7A15EAAB"/>
    <w:rsid w:val="7A15F98C"/>
    <w:rsid w:val="7A16E961"/>
    <w:rsid w:val="7A176FF9"/>
    <w:rsid w:val="7A17F16E"/>
    <w:rsid w:val="7A185590"/>
    <w:rsid w:val="7A188126"/>
    <w:rsid w:val="7A18900F"/>
    <w:rsid w:val="7A18BFAC"/>
    <w:rsid w:val="7A195964"/>
    <w:rsid w:val="7A1AEC4F"/>
    <w:rsid w:val="7A1B1A16"/>
    <w:rsid w:val="7A1B443A"/>
    <w:rsid w:val="7A1BAE01"/>
    <w:rsid w:val="7A1BD5EB"/>
    <w:rsid w:val="7A1C14C7"/>
    <w:rsid w:val="7A1C9EBE"/>
    <w:rsid w:val="7A1CC2DE"/>
    <w:rsid w:val="7A1CD8FE"/>
    <w:rsid w:val="7A1CED66"/>
    <w:rsid w:val="7A1D00E0"/>
    <w:rsid w:val="7A1D3119"/>
    <w:rsid w:val="7A1DC2AF"/>
    <w:rsid w:val="7A1E7DF8"/>
    <w:rsid w:val="7A1F09BC"/>
    <w:rsid w:val="7A1F54C3"/>
    <w:rsid w:val="7A1FA404"/>
    <w:rsid w:val="7A1FB1F1"/>
    <w:rsid w:val="7A20A371"/>
    <w:rsid w:val="7A20B33C"/>
    <w:rsid w:val="7A21CC42"/>
    <w:rsid w:val="7A226D2A"/>
    <w:rsid w:val="7A22C8BB"/>
    <w:rsid w:val="7A239752"/>
    <w:rsid w:val="7A241A86"/>
    <w:rsid w:val="7A2442D3"/>
    <w:rsid w:val="7A24D1F3"/>
    <w:rsid w:val="7A24D5D5"/>
    <w:rsid w:val="7A259F80"/>
    <w:rsid w:val="7A262446"/>
    <w:rsid w:val="7A267999"/>
    <w:rsid w:val="7A26BA0A"/>
    <w:rsid w:val="7A26C65A"/>
    <w:rsid w:val="7A279633"/>
    <w:rsid w:val="7A27B1A1"/>
    <w:rsid w:val="7A27C2D3"/>
    <w:rsid w:val="7A28C210"/>
    <w:rsid w:val="7A29356D"/>
    <w:rsid w:val="7A2995E8"/>
    <w:rsid w:val="7A2A7E3F"/>
    <w:rsid w:val="7A2AAF4E"/>
    <w:rsid w:val="7A2B04E4"/>
    <w:rsid w:val="7A2BFDE7"/>
    <w:rsid w:val="7A2C6783"/>
    <w:rsid w:val="7A2CD6AB"/>
    <w:rsid w:val="7A2CEEEB"/>
    <w:rsid w:val="7A2D0B53"/>
    <w:rsid w:val="7A2D2513"/>
    <w:rsid w:val="7A2D5724"/>
    <w:rsid w:val="7A2D62AD"/>
    <w:rsid w:val="7A2D63AE"/>
    <w:rsid w:val="7A2DA3DB"/>
    <w:rsid w:val="7A2DCF7F"/>
    <w:rsid w:val="7A2E2C52"/>
    <w:rsid w:val="7A2E6701"/>
    <w:rsid w:val="7A2F38A3"/>
    <w:rsid w:val="7A30CEA5"/>
    <w:rsid w:val="7A324424"/>
    <w:rsid w:val="7A328AEB"/>
    <w:rsid w:val="7A32DE79"/>
    <w:rsid w:val="7A33730C"/>
    <w:rsid w:val="7A35AF07"/>
    <w:rsid w:val="7A35C348"/>
    <w:rsid w:val="7A35C7B1"/>
    <w:rsid w:val="7A36452F"/>
    <w:rsid w:val="7A37414F"/>
    <w:rsid w:val="7A377102"/>
    <w:rsid w:val="7A378828"/>
    <w:rsid w:val="7A37D1F6"/>
    <w:rsid w:val="7A37EC91"/>
    <w:rsid w:val="7A38CA96"/>
    <w:rsid w:val="7A392F94"/>
    <w:rsid w:val="7A3978C4"/>
    <w:rsid w:val="7A3A5D9C"/>
    <w:rsid w:val="7A3AC69E"/>
    <w:rsid w:val="7A3B3090"/>
    <w:rsid w:val="7A3B8552"/>
    <w:rsid w:val="7A3D4D7D"/>
    <w:rsid w:val="7A3E6E22"/>
    <w:rsid w:val="7A3E95D2"/>
    <w:rsid w:val="7A3EB2FC"/>
    <w:rsid w:val="7A3ED111"/>
    <w:rsid w:val="7A3F6428"/>
    <w:rsid w:val="7A3F9F29"/>
    <w:rsid w:val="7A4043F9"/>
    <w:rsid w:val="7A409447"/>
    <w:rsid w:val="7A40BF2C"/>
    <w:rsid w:val="7A40C366"/>
    <w:rsid w:val="7A42149D"/>
    <w:rsid w:val="7A436073"/>
    <w:rsid w:val="7A43AB17"/>
    <w:rsid w:val="7A43C586"/>
    <w:rsid w:val="7A447E58"/>
    <w:rsid w:val="7A44F20E"/>
    <w:rsid w:val="7A4510A8"/>
    <w:rsid w:val="7A459805"/>
    <w:rsid w:val="7A459F77"/>
    <w:rsid w:val="7A45CD40"/>
    <w:rsid w:val="7A45D43E"/>
    <w:rsid w:val="7A4603FD"/>
    <w:rsid w:val="7A462166"/>
    <w:rsid w:val="7A46B05F"/>
    <w:rsid w:val="7A473F7B"/>
    <w:rsid w:val="7A483369"/>
    <w:rsid w:val="7A48D8B2"/>
    <w:rsid w:val="7A492F36"/>
    <w:rsid w:val="7A494448"/>
    <w:rsid w:val="7A4985D2"/>
    <w:rsid w:val="7A4A3311"/>
    <w:rsid w:val="7A4A3564"/>
    <w:rsid w:val="7A4A5EBF"/>
    <w:rsid w:val="7A4AA2FC"/>
    <w:rsid w:val="7A4AAD1A"/>
    <w:rsid w:val="7A4B57D0"/>
    <w:rsid w:val="7A4BF90E"/>
    <w:rsid w:val="7A4C08C6"/>
    <w:rsid w:val="7A4C51AD"/>
    <w:rsid w:val="7A4D99DD"/>
    <w:rsid w:val="7A4DA79F"/>
    <w:rsid w:val="7A4DEE54"/>
    <w:rsid w:val="7A4E6985"/>
    <w:rsid w:val="7A4F2D49"/>
    <w:rsid w:val="7A4FB0E2"/>
    <w:rsid w:val="7A501BBB"/>
    <w:rsid w:val="7A50AB10"/>
    <w:rsid w:val="7A50F67C"/>
    <w:rsid w:val="7A51286A"/>
    <w:rsid w:val="7A5157FF"/>
    <w:rsid w:val="7A516262"/>
    <w:rsid w:val="7A531410"/>
    <w:rsid w:val="7A532BB1"/>
    <w:rsid w:val="7A539AAD"/>
    <w:rsid w:val="7A53DA90"/>
    <w:rsid w:val="7A5420A5"/>
    <w:rsid w:val="7A552236"/>
    <w:rsid w:val="7A560604"/>
    <w:rsid w:val="7A562DDA"/>
    <w:rsid w:val="7A56AA66"/>
    <w:rsid w:val="7A584B9D"/>
    <w:rsid w:val="7A5890E4"/>
    <w:rsid w:val="7A58B787"/>
    <w:rsid w:val="7A591CD7"/>
    <w:rsid w:val="7A59F41A"/>
    <w:rsid w:val="7A5A4AEC"/>
    <w:rsid w:val="7A5AFFCA"/>
    <w:rsid w:val="7A5BB30D"/>
    <w:rsid w:val="7A5C1C23"/>
    <w:rsid w:val="7A5DC0FD"/>
    <w:rsid w:val="7A5E307A"/>
    <w:rsid w:val="7A5E8641"/>
    <w:rsid w:val="7A5EB5CE"/>
    <w:rsid w:val="7A5F8C3B"/>
    <w:rsid w:val="7A5FE5E1"/>
    <w:rsid w:val="7A5FEC19"/>
    <w:rsid w:val="7A60CB62"/>
    <w:rsid w:val="7A60FDA5"/>
    <w:rsid w:val="7A626977"/>
    <w:rsid w:val="7A626D50"/>
    <w:rsid w:val="7A628D7B"/>
    <w:rsid w:val="7A64058B"/>
    <w:rsid w:val="7A642848"/>
    <w:rsid w:val="7A64C597"/>
    <w:rsid w:val="7A65A163"/>
    <w:rsid w:val="7A662639"/>
    <w:rsid w:val="7A669663"/>
    <w:rsid w:val="7A670559"/>
    <w:rsid w:val="7A67BB92"/>
    <w:rsid w:val="7A68813D"/>
    <w:rsid w:val="7A68DF5B"/>
    <w:rsid w:val="7A69151F"/>
    <w:rsid w:val="7A6967B9"/>
    <w:rsid w:val="7A698586"/>
    <w:rsid w:val="7A6A1EF6"/>
    <w:rsid w:val="7A6A3C17"/>
    <w:rsid w:val="7A6A9652"/>
    <w:rsid w:val="7A6AA0D7"/>
    <w:rsid w:val="7A6AA359"/>
    <w:rsid w:val="7A6B62CC"/>
    <w:rsid w:val="7A6B88E9"/>
    <w:rsid w:val="7A6D197C"/>
    <w:rsid w:val="7A6D5718"/>
    <w:rsid w:val="7A6E0A87"/>
    <w:rsid w:val="7A6EA368"/>
    <w:rsid w:val="7A6EB445"/>
    <w:rsid w:val="7A6FA88E"/>
    <w:rsid w:val="7A70506E"/>
    <w:rsid w:val="7A709385"/>
    <w:rsid w:val="7A712E14"/>
    <w:rsid w:val="7A737F0C"/>
    <w:rsid w:val="7A73968E"/>
    <w:rsid w:val="7A73DD4F"/>
    <w:rsid w:val="7A7438C0"/>
    <w:rsid w:val="7A74E24F"/>
    <w:rsid w:val="7A758372"/>
    <w:rsid w:val="7A75DAB8"/>
    <w:rsid w:val="7A761395"/>
    <w:rsid w:val="7A761708"/>
    <w:rsid w:val="7A762DEC"/>
    <w:rsid w:val="7A773F78"/>
    <w:rsid w:val="7A78195C"/>
    <w:rsid w:val="7A786C82"/>
    <w:rsid w:val="7A79A99E"/>
    <w:rsid w:val="7A7B69EA"/>
    <w:rsid w:val="7A7C8D7C"/>
    <w:rsid w:val="7A7D61F7"/>
    <w:rsid w:val="7A7E45CB"/>
    <w:rsid w:val="7A7F34CC"/>
    <w:rsid w:val="7A802D3A"/>
    <w:rsid w:val="7A804DA8"/>
    <w:rsid w:val="7A806F79"/>
    <w:rsid w:val="7A80A92E"/>
    <w:rsid w:val="7A80FD65"/>
    <w:rsid w:val="7A8127CC"/>
    <w:rsid w:val="7A813AA4"/>
    <w:rsid w:val="7A82D75E"/>
    <w:rsid w:val="7A83EC3C"/>
    <w:rsid w:val="7A84FF71"/>
    <w:rsid w:val="7A85BB05"/>
    <w:rsid w:val="7A85E2BC"/>
    <w:rsid w:val="7A878059"/>
    <w:rsid w:val="7A8790C2"/>
    <w:rsid w:val="7A879A3A"/>
    <w:rsid w:val="7A8852E6"/>
    <w:rsid w:val="7A889BF5"/>
    <w:rsid w:val="7A88AE18"/>
    <w:rsid w:val="7A88CD07"/>
    <w:rsid w:val="7A88D474"/>
    <w:rsid w:val="7A8947AE"/>
    <w:rsid w:val="7A89FFF7"/>
    <w:rsid w:val="7A8B85C8"/>
    <w:rsid w:val="7A8BC248"/>
    <w:rsid w:val="7A8BD64D"/>
    <w:rsid w:val="7A8C1787"/>
    <w:rsid w:val="7A8C2293"/>
    <w:rsid w:val="7A8C44FB"/>
    <w:rsid w:val="7A8CBE15"/>
    <w:rsid w:val="7A8CBECD"/>
    <w:rsid w:val="7A8D0924"/>
    <w:rsid w:val="7A8DB931"/>
    <w:rsid w:val="7A8E6EB3"/>
    <w:rsid w:val="7A8F63EC"/>
    <w:rsid w:val="7A8F9433"/>
    <w:rsid w:val="7A8FBAE6"/>
    <w:rsid w:val="7A8FD60B"/>
    <w:rsid w:val="7A909D9A"/>
    <w:rsid w:val="7A90BD1A"/>
    <w:rsid w:val="7A917A39"/>
    <w:rsid w:val="7A91820B"/>
    <w:rsid w:val="7A9386BD"/>
    <w:rsid w:val="7A93AC4E"/>
    <w:rsid w:val="7A9463B4"/>
    <w:rsid w:val="7A95A107"/>
    <w:rsid w:val="7A96436C"/>
    <w:rsid w:val="7A98DE6F"/>
    <w:rsid w:val="7A993A33"/>
    <w:rsid w:val="7A9A6150"/>
    <w:rsid w:val="7A9B40BF"/>
    <w:rsid w:val="7A9BFDFD"/>
    <w:rsid w:val="7A9C6A0D"/>
    <w:rsid w:val="7A9C7AB1"/>
    <w:rsid w:val="7A9D3BD5"/>
    <w:rsid w:val="7A9E1EEC"/>
    <w:rsid w:val="7A9EDDE1"/>
    <w:rsid w:val="7AA031A6"/>
    <w:rsid w:val="7AA05164"/>
    <w:rsid w:val="7AA11411"/>
    <w:rsid w:val="7AA205D8"/>
    <w:rsid w:val="7AA20DBE"/>
    <w:rsid w:val="7AA3D91F"/>
    <w:rsid w:val="7AA42929"/>
    <w:rsid w:val="7AA4B879"/>
    <w:rsid w:val="7AA5BA9F"/>
    <w:rsid w:val="7AA5E457"/>
    <w:rsid w:val="7AA6A2E7"/>
    <w:rsid w:val="7AA75AEA"/>
    <w:rsid w:val="7AA77113"/>
    <w:rsid w:val="7AA7E537"/>
    <w:rsid w:val="7AA86DA2"/>
    <w:rsid w:val="7AA8857C"/>
    <w:rsid w:val="7AA89D25"/>
    <w:rsid w:val="7AA964DD"/>
    <w:rsid w:val="7AA9774A"/>
    <w:rsid w:val="7AA97A9A"/>
    <w:rsid w:val="7AA99EC3"/>
    <w:rsid w:val="7AAAE602"/>
    <w:rsid w:val="7AAB1F15"/>
    <w:rsid w:val="7AABF42D"/>
    <w:rsid w:val="7AAD0444"/>
    <w:rsid w:val="7AAD5D87"/>
    <w:rsid w:val="7AAE3ECF"/>
    <w:rsid w:val="7AAE82B1"/>
    <w:rsid w:val="7AAEB246"/>
    <w:rsid w:val="7AAF29CA"/>
    <w:rsid w:val="7AB04683"/>
    <w:rsid w:val="7AB0A86D"/>
    <w:rsid w:val="7AB228FC"/>
    <w:rsid w:val="7AB2AC8D"/>
    <w:rsid w:val="7AB2DDC8"/>
    <w:rsid w:val="7AB303FF"/>
    <w:rsid w:val="7AB31FC6"/>
    <w:rsid w:val="7AB32B74"/>
    <w:rsid w:val="7AB36A81"/>
    <w:rsid w:val="7AB37067"/>
    <w:rsid w:val="7AB3AB4C"/>
    <w:rsid w:val="7AB3AC50"/>
    <w:rsid w:val="7AB43F63"/>
    <w:rsid w:val="7AB4546A"/>
    <w:rsid w:val="7AB4FA66"/>
    <w:rsid w:val="7AB4FCBC"/>
    <w:rsid w:val="7AB55338"/>
    <w:rsid w:val="7AB5FBD3"/>
    <w:rsid w:val="7AB5FE44"/>
    <w:rsid w:val="7AB684A2"/>
    <w:rsid w:val="7AB6F3C0"/>
    <w:rsid w:val="7AB720E0"/>
    <w:rsid w:val="7AB730D0"/>
    <w:rsid w:val="7AB76E8C"/>
    <w:rsid w:val="7AB88F0D"/>
    <w:rsid w:val="7AB8B6E8"/>
    <w:rsid w:val="7AB94425"/>
    <w:rsid w:val="7ABA0246"/>
    <w:rsid w:val="7ABA8F72"/>
    <w:rsid w:val="7ABB3553"/>
    <w:rsid w:val="7ABBA5B4"/>
    <w:rsid w:val="7ABC1384"/>
    <w:rsid w:val="7ABC70FF"/>
    <w:rsid w:val="7ABCC9A6"/>
    <w:rsid w:val="7ABD43E2"/>
    <w:rsid w:val="7ABD9A5D"/>
    <w:rsid w:val="7ABDF050"/>
    <w:rsid w:val="7ABE2434"/>
    <w:rsid w:val="7ABE2DB0"/>
    <w:rsid w:val="7ABEE8FE"/>
    <w:rsid w:val="7ABF6799"/>
    <w:rsid w:val="7ABFD92E"/>
    <w:rsid w:val="7ABFF2B1"/>
    <w:rsid w:val="7AC03E70"/>
    <w:rsid w:val="7AC2B3EF"/>
    <w:rsid w:val="7AC33D55"/>
    <w:rsid w:val="7AC43CB4"/>
    <w:rsid w:val="7AC4BAAF"/>
    <w:rsid w:val="7AC4C93D"/>
    <w:rsid w:val="7AC51AE0"/>
    <w:rsid w:val="7AC5269A"/>
    <w:rsid w:val="7AC59C92"/>
    <w:rsid w:val="7AC77410"/>
    <w:rsid w:val="7AC87D3A"/>
    <w:rsid w:val="7AC9D32E"/>
    <w:rsid w:val="7ACA1156"/>
    <w:rsid w:val="7ACA1BE7"/>
    <w:rsid w:val="7ACB1958"/>
    <w:rsid w:val="7ACB27BA"/>
    <w:rsid w:val="7ACBA12A"/>
    <w:rsid w:val="7ACC10EB"/>
    <w:rsid w:val="7ACC129D"/>
    <w:rsid w:val="7ACD2DF4"/>
    <w:rsid w:val="7ACDCE27"/>
    <w:rsid w:val="7ACE5672"/>
    <w:rsid w:val="7ACEDFD5"/>
    <w:rsid w:val="7ACEED0D"/>
    <w:rsid w:val="7ACF4AD4"/>
    <w:rsid w:val="7ACF87B5"/>
    <w:rsid w:val="7ACFB085"/>
    <w:rsid w:val="7ACFE621"/>
    <w:rsid w:val="7AD074AC"/>
    <w:rsid w:val="7AD11BA4"/>
    <w:rsid w:val="7AD15CC3"/>
    <w:rsid w:val="7AD16DF9"/>
    <w:rsid w:val="7AD1A41A"/>
    <w:rsid w:val="7AD27463"/>
    <w:rsid w:val="7AD2AC5E"/>
    <w:rsid w:val="7AD3760D"/>
    <w:rsid w:val="7AD3E45B"/>
    <w:rsid w:val="7AD41A1C"/>
    <w:rsid w:val="7AD464EB"/>
    <w:rsid w:val="7AD48575"/>
    <w:rsid w:val="7AD49ED4"/>
    <w:rsid w:val="7AD49F1B"/>
    <w:rsid w:val="7AD582E5"/>
    <w:rsid w:val="7AD6E18B"/>
    <w:rsid w:val="7AD89A40"/>
    <w:rsid w:val="7AD8E7D9"/>
    <w:rsid w:val="7AD95C59"/>
    <w:rsid w:val="7AD971D7"/>
    <w:rsid w:val="7AD993A5"/>
    <w:rsid w:val="7ADA74B8"/>
    <w:rsid w:val="7ADA8B22"/>
    <w:rsid w:val="7ADC051A"/>
    <w:rsid w:val="7ADC62D0"/>
    <w:rsid w:val="7ADCB4CB"/>
    <w:rsid w:val="7ADDF68F"/>
    <w:rsid w:val="7ADE15C7"/>
    <w:rsid w:val="7ADE1E1C"/>
    <w:rsid w:val="7ADE63DF"/>
    <w:rsid w:val="7ADF9044"/>
    <w:rsid w:val="7AE011DB"/>
    <w:rsid w:val="7AE02274"/>
    <w:rsid w:val="7AE0395D"/>
    <w:rsid w:val="7AE03B79"/>
    <w:rsid w:val="7AE288BE"/>
    <w:rsid w:val="7AE300F4"/>
    <w:rsid w:val="7AE3AA0D"/>
    <w:rsid w:val="7AE4DECC"/>
    <w:rsid w:val="7AE6B4A0"/>
    <w:rsid w:val="7AE6E92F"/>
    <w:rsid w:val="7AE77DA1"/>
    <w:rsid w:val="7AE82C29"/>
    <w:rsid w:val="7AE92BAD"/>
    <w:rsid w:val="7AE96B64"/>
    <w:rsid w:val="7AE98750"/>
    <w:rsid w:val="7AE98ADA"/>
    <w:rsid w:val="7AE993D8"/>
    <w:rsid w:val="7AEA34C7"/>
    <w:rsid w:val="7AEB0852"/>
    <w:rsid w:val="7AEB4ED2"/>
    <w:rsid w:val="7AEB5BB0"/>
    <w:rsid w:val="7AEBA5E1"/>
    <w:rsid w:val="7AEBDB41"/>
    <w:rsid w:val="7AEBE114"/>
    <w:rsid w:val="7AEC2885"/>
    <w:rsid w:val="7AEC891A"/>
    <w:rsid w:val="7AED5E00"/>
    <w:rsid w:val="7AED8DBD"/>
    <w:rsid w:val="7AEE778F"/>
    <w:rsid w:val="7AEE7BB1"/>
    <w:rsid w:val="7AEE9AA2"/>
    <w:rsid w:val="7AEEEB46"/>
    <w:rsid w:val="7AEF6B98"/>
    <w:rsid w:val="7AEF83FA"/>
    <w:rsid w:val="7AF009E8"/>
    <w:rsid w:val="7AF0A906"/>
    <w:rsid w:val="7AF27C63"/>
    <w:rsid w:val="7AF2C273"/>
    <w:rsid w:val="7AF2D832"/>
    <w:rsid w:val="7AF38EED"/>
    <w:rsid w:val="7AF3FF93"/>
    <w:rsid w:val="7AF41442"/>
    <w:rsid w:val="7AF45505"/>
    <w:rsid w:val="7AF501EA"/>
    <w:rsid w:val="7AF50B9C"/>
    <w:rsid w:val="7AF64028"/>
    <w:rsid w:val="7AF68D36"/>
    <w:rsid w:val="7AF71D19"/>
    <w:rsid w:val="7AF79F7A"/>
    <w:rsid w:val="7AFA6246"/>
    <w:rsid w:val="7AFA6E1C"/>
    <w:rsid w:val="7AFB118A"/>
    <w:rsid w:val="7AFC0BF7"/>
    <w:rsid w:val="7AFCE837"/>
    <w:rsid w:val="7AFD35E9"/>
    <w:rsid w:val="7AFD71C0"/>
    <w:rsid w:val="7AFD7FF8"/>
    <w:rsid w:val="7AFE08E9"/>
    <w:rsid w:val="7AFE51F8"/>
    <w:rsid w:val="7AFE7100"/>
    <w:rsid w:val="7AFEBBD4"/>
    <w:rsid w:val="7B00B6EF"/>
    <w:rsid w:val="7B00DDA6"/>
    <w:rsid w:val="7B01B2FB"/>
    <w:rsid w:val="7B02401E"/>
    <w:rsid w:val="7B03833B"/>
    <w:rsid w:val="7B03D6FA"/>
    <w:rsid w:val="7B0584D3"/>
    <w:rsid w:val="7B066D30"/>
    <w:rsid w:val="7B06B171"/>
    <w:rsid w:val="7B07E2C7"/>
    <w:rsid w:val="7B0835E9"/>
    <w:rsid w:val="7B085489"/>
    <w:rsid w:val="7B08D39E"/>
    <w:rsid w:val="7B090C94"/>
    <w:rsid w:val="7B0949AD"/>
    <w:rsid w:val="7B0AD416"/>
    <w:rsid w:val="7B0BB744"/>
    <w:rsid w:val="7B0C396C"/>
    <w:rsid w:val="7B0CAF58"/>
    <w:rsid w:val="7B0CB907"/>
    <w:rsid w:val="7B0D7E6B"/>
    <w:rsid w:val="7B0D802C"/>
    <w:rsid w:val="7B0DC9BD"/>
    <w:rsid w:val="7B0DCDF6"/>
    <w:rsid w:val="7B0DD433"/>
    <w:rsid w:val="7B0DE4B3"/>
    <w:rsid w:val="7B0DF56D"/>
    <w:rsid w:val="7B0EB9EC"/>
    <w:rsid w:val="7B0F4E43"/>
    <w:rsid w:val="7B0FBFEC"/>
    <w:rsid w:val="7B0FC81D"/>
    <w:rsid w:val="7B10C061"/>
    <w:rsid w:val="7B11172E"/>
    <w:rsid w:val="7B117195"/>
    <w:rsid w:val="7B118909"/>
    <w:rsid w:val="7B118C62"/>
    <w:rsid w:val="7B11C916"/>
    <w:rsid w:val="7B11D4EE"/>
    <w:rsid w:val="7B1204F7"/>
    <w:rsid w:val="7B12346B"/>
    <w:rsid w:val="7B1264C9"/>
    <w:rsid w:val="7B12E359"/>
    <w:rsid w:val="7B12EF3E"/>
    <w:rsid w:val="7B130953"/>
    <w:rsid w:val="7B132495"/>
    <w:rsid w:val="7B133A9E"/>
    <w:rsid w:val="7B15A1E4"/>
    <w:rsid w:val="7B15CDDE"/>
    <w:rsid w:val="7B163A6D"/>
    <w:rsid w:val="7B16777E"/>
    <w:rsid w:val="7B1695D8"/>
    <w:rsid w:val="7B16F879"/>
    <w:rsid w:val="7B17227C"/>
    <w:rsid w:val="7B176314"/>
    <w:rsid w:val="7B18A7F6"/>
    <w:rsid w:val="7B1955F3"/>
    <w:rsid w:val="7B196145"/>
    <w:rsid w:val="7B198CD4"/>
    <w:rsid w:val="7B19BE5E"/>
    <w:rsid w:val="7B1B9211"/>
    <w:rsid w:val="7B1BB1F0"/>
    <w:rsid w:val="7B1BC9B9"/>
    <w:rsid w:val="7B1C4FE8"/>
    <w:rsid w:val="7B1C9170"/>
    <w:rsid w:val="7B1E1AFD"/>
    <w:rsid w:val="7B1E3695"/>
    <w:rsid w:val="7B1EEAEF"/>
    <w:rsid w:val="7B1F57B6"/>
    <w:rsid w:val="7B2005AC"/>
    <w:rsid w:val="7B206796"/>
    <w:rsid w:val="7B20AAB3"/>
    <w:rsid w:val="7B20B6F1"/>
    <w:rsid w:val="7B217022"/>
    <w:rsid w:val="7B21A99C"/>
    <w:rsid w:val="7B224823"/>
    <w:rsid w:val="7B22CB7A"/>
    <w:rsid w:val="7B22DAFF"/>
    <w:rsid w:val="7B22E4B1"/>
    <w:rsid w:val="7B231191"/>
    <w:rsid w:val="7B23D6B4"/>
    <w:rsid w:val="7B246EEF"/>
    <w:rsid w:val="7B248AA3"/>
    <w:rsid w:val="7B264B46"/>
    <w:rsid w:val="7B26D345"/>
    <w:rsid w:val="7B278776"/>
    <w:rsid w:val="7B280FC2"/>
    <w:rsid w:val="7B285F6E"/>
    <w:rsid w:val="7B288714"/>
    <w:rsid w:val="7B29548D"/>
    <w:rsid w:val="7B2A008E"/>
    <w:rsid w:val="7B2A0610"/>
    <w:rsid w:val="7B2A5476"/>
    <w:rsid w:val="7B2ACC09"/>
    <w:rsid w:val="7B2B550F"/>
    <w:rsid w:val="7B2C047F"/>
    <w:rsid w:val="7B2C409B"/>
    <w:rsid w:val="7B2C76BC"/>
    <w:rsid w:val="7B2CF3B1"/>
    <w:rsid w:val="7B2D48CA"/>
    <w:rsid w:val="7B2D8FDC"/>
    <w:rsid w:val="7B2ECA74"/>
    <w:rsid w:val="7B2EF384"/>
    <w:rsid w:val="7B2F46C7"/>
    <w:rsid w:val="7B30A372"/>
    <w:rsid w:val="7B30DEA2"/>
    <w:rsid w:val="7B31328C"/>
    <w:rsid w:val="7B3174EB"/>
    <w:rsid w:val="7B3180CF"/>
    <w:rsid w:val="7B32487C"/>
    <w:rsid w:val="7B350F0E"/>
    <w:rsid w:val="7B354072"/>
    <w:rsid w:val="7B35A909"/>
    <w:rsid w:val="7B365104"/>
    <w:rsid w:val="7B36970C"/>
    <w:rsid w:val="7B36A105"/>
    <w:rsid w:val="7B374B9C"/>
    <w:rsid w:val="7B37D3D6"/>
    <w:rsid w:val="7B380AD9"/>
    <w:rsid w:val="7B389007"/>
    <w:rsid w:val="7B393215"/>
    <w:rsid w:val="7B3988F5"/>
    <w:rsid w:val="7B39E89D"/>
    <w:rsid w:val="7B3A3267"/>
    <w:rsid w:val="7B3AEF82"/>
    <w:rsid w:val="7B3AFA9A"/>
    <w:rsid w:val="7B3B4086"/>
    <w:rsid w:val="7B3BE1E9"/>
    <w:rsid w:val="7B3CE79D"/>
    <w:rsid w:val="7B3D5A59"/>
    <w:rsid w:val="7B3D7377"/>
    <w:rsid w:val="7B3E8201"/>
    <w:rsid w:val="7B3E9469"/>
    <w:rsid w:val="7B400101"/>
    <w:rsid w:val="7B401359"/>
    <w:rsid w:val="7B41945B"/>
    <w:rsid w:val="7B4247A4"/>
    <w:rsid w:val="7B42A2EA"/>
    <w:rsid w:val="7B43EB24"/>
    <w:rsid w:val="7B44296C"/>
    <w:rsid w:val="7B4459B6"/>
    <w:rsid w:val="7B4506F4"/>
    <w:rsid w:val="7B45F787"/>
    <w:rsid w:val="7B464A09"/>
    <w:rsid w:val="7B46D6C1"/>
    <w:rsid w:val="7B479FA4"/>
    <w:rsid w:val="7B480BA0"/>
    <w:rsid w:val="7B486DED"/>
    <w:rsid w:val="7B48CE2D"/>
    <w:rsid w:val="7B48DBEA"/>
    <w:rsid w:val="7B491C5B"/>
    <w:rsid w:val="7B493E5B"/>
    <w:rsid w:val="7B4ABBB7"/>
    <w:rsid w:val="7B4ADF6E"/>
    <w:rsid w:val="7B4B31C1"/>
    <w:rsid w:val="7B4C14B2"/>
    <w:rsid w:val="7B4CFA64"/>
    <w:rsid w:val="7B4D1A8E"/>
    <w:rsid w:val="7B4D48D1"/>
    <w:rsid w:val="7B4E2FE5"/>
    <w:rsid w:val="7B4EC912"/>
    <w:rsid w:val="7B4F1223"/>
    <w:rsid w:val="7B4F9231"/>
    <w:rsid w:val="7B4FFFE9"/>
    <w:rsid w:val="7B51BCB1"/>
    <w:rsid w:val="7B520134"/>
    <w:rsid w:val="7B5245FE"/>
    <w:rsid w:val="7B52E1FA"/>
    <w:rsid w:val="7B53241D"/>
    <w:rsid w:val="7B54B5D5"/>
    <w:rsid w:val="7B54EA99"/>
    <w:rsid w:val="7B562241"/>
    <w:rsid w:val="7B569842"/>
    <w:rsid w:val="7B56DA99"/>
    <w:rsid w:val="7B56FCE1"/>
    <w:rsid w:val="7B5712C6"/>
    <w:rsid w:val="7B58912A"/>
    <w:rsid w:val="7B58E59B"/>
    <w:rsid w:val="7B59A583"/>
    <w:rsid w:val="7B59AACD"/>
    <w:rsid w:val="7B5A4BDA"/>
    <w:rsid w:val="7B5A8235"/>
    <w:rsid w:val="7B5B0449"/>
    <w:rsid w:val="7B5B9303"/>
    <w:rsid w:val="7B5BC0E5"/>
    <w:rsid w:val="7B5C6172"/>
    <w:rsid w:val="7B5CF381"/>
    <w:rsid w:val="7B5E226B"/>
    <w:rsid w:val="7B5EBC74"/>
    <w:rsid w:val="7B5F033D"/>
    <w:rsid w:val="7B5F755A"/>
    <w:rsid w:val="7B6011CF"/>
    <w:rsid w:val="7B619C77"/>
    <w:rsid w:val="7B63F195"/>
    <w:rsid w:val="7B64957C"/>
    <w:rsid w:val="7B64A324"/>
    <w:rsid w:val="7B653687"/>
    <w:rsid w:val="7B65F853"/>
    <w:rsid w:val="7B667B28"/>
    <w:rsid w:val="7B6921CA"/>
    <w:rsid w:val="7B699E74"/>
    <w:rsid w:val="7B69A92B"/>
    <w:rsid w:val="7B69B80F"/>
    <w:rsid w:val="7B6A29D3"/>
    <w:rsid w:val="7B6B837B"/>
    <w:rsid w:val="7B6C2E49"/>
    <w:rsid w:val="7B6C40A7"/>
    <w:rsid w:val="7B6C48FF"/>
    <w:rsid w:val="7B6C4D8A"/>
    <w:rsid w:val="7B6C6B75"/>
    <w:rsid w:val="7B6C706D"/>
    <w:rsid w:val="7B6CDD75"/>
    <w:rsid w:val="7B6D30DF"/>
    <w:rsid w:val="7B6D845F"/>
    <w:rsid w:val="7B6DC32A"/>
    <w:rsid w:val="7B6DD944"/>
    <w:rsid w:val="7B6E91E8"/>
    <w:rsid w:val="7B6F6C6A"/>
    <w:rsid w:val="7B6FACF1"/>
    <w:rsid w:val="7B7097BB"/>
    <w:rsid w:val="7B70C5D2"/>
    <w:rsid w:val="7B70DD15"/>
    <w:rsid w:val="7B7115B9"/>
    <w:rsid w:val="7B712023"/>
    <w:rsid w:val="7B714AF0"/>
    <w:rsid w:val="7B725D0F"/>
    <w:rsid w:val="7B72777A"/>
    <w:rsid w:val="7B73058B"/>
    <w:rsid w:val="7B73D0E9"/>
    <w:rsid w:val="7B73D7BA"/>
    <w:rsid w:val="7B741F0C"/>
    <w:rsid w:val="7B74E80B"/>
    <w:rsid w:val="7B755333"/>
    <w:rsid w:val="7B76C865"/>
    <w:rsid w:val="7B76D95C"/>
    <w:rsid w:val="7B770562"/>
    <w:rsid w:val="7B77C7AF"/>
    <w:rsid w:val="7B77D0D9"/>
    <w:rsid w:val="7B77FDD9"/>
    <w:rsid w:val="7B781F54"/>
    <w:rsid w:val="7B7A7CEC"/>
    <w:rsid w:val="7B7B0D31"/>
    <w:rsid w:val="7B7B4003"/>
    <w:rsid w:val="7B7B7896"/>
    <w:rsid w:val="7B7C6301"/>
    <w:rsid w:val="7B7D89D9"/>
    <w:rsid w:val="7B7DCB2C"/>
    <w:rsid w:val="7B7E1613"/>
    <w:rsid w:val="7B7E4086"/>
    <w:rsid w:val="7B80247C"/>
    <w:rsid w:val="7B80D7E6"/>
    <w:rsid w:val="7B82B7F1"/>
    <w:rsid w:val="7B82DE37"/>
    <w:rsid w:val="7B8307EE"/>
    <w:rsid w:val="7B83991B"/>
    <w:rsid w:val="7B83C8F9"/>
    <w:rsid w:val="7B854038"/>
    <w:rsid w:val="7B8689A6"/>
    <w:rsid w:val="7B8698D2"/>
    <w:rsid w:val="7B87ED43"/>
    <w:rsid w:val="7B88E5B4"/>
    <w:rsid w:val="7B8A5757"/>
    <w:rsid w:val="7B8B49C2"/>
    <w:rsid w:val="7B8B90CB"/>
    <w:rsid w:val="7B8C2A9D"/>
    <w:rsid w:val="7B8C7436"/>
    <w:rsid w:val="7B8D8F84"/>
    <w:rsid w:val="7B8DAF46"/>
    <w:rsid w:val="7B8F3DBF"/>
    <w:rsid w:val="7B8FF9D1"/>
    <w:rsid w:val="7B901D07"/>
    <w:rsid w:val="7B905776"/>
    <w:rsid w:val="7B907C4E"/>
    <w:rsid w:val="7B90D442"/>
    <w:rsid w:val="7B913965"/>
    <w:rsid w:val="7B91AACA"/>
    <w:rsid w:val="7B92A3E6"/>
    <w:rsid w:val="7B931D93"/>
    <w:rsid w:val="7B932D0E"/>
    <w:rsid w:val="7B933854"/>
    <w:rsid w:val="7B934E2E"/>
    <w:rsid w:val="7B93F2C6"/>
    <w:rsid w:val="7B9409BA"/>
    <w:rsid w:val="7B940A19"/>
    <w:rsid w:val="7B945EA6"/>
    <w:rsid w:val="7B94852C"/>
    <w:rsid w:val="7B94AA1E"/>
    <w:rsid w:val="7B94BA7E"/>
    <w:rsid w:val="7B95175B"/>
    <w:rsid w:val="7B95506F"/>
    <w:rsid w:val="7B956D64"/>
    <w:rsid w:val="7B95EC2C"/>
    <w:rsid w:val="7B976A1A"/>
    <w:rsid w:val="7B97878B"/>
    <w:rsid w:val="7B97C0E7"/>
    <w:rsid w:val="7B985EE2"/>
    <w:rsid w:val="7B98D02B"/>
    <w:rsid w:val="7B9A9BED"/>
    <w:rsid w:val="7B9AA3BA"/>
    <w:rsid w:val="7B9AD6DF"/>
    <w:rsid w:val="7B9B6416"/>
    <w:rsid w:val="7B9C52C7"/>
    <w:rsid w:val="7B9D4F9E"/>
    <w:rsid w:val="7B9DBF0E"/>
    <w:rsid w:val="7B9DFF01"/>
    <w:rsid w:val="7B9F205C"/>
    <w:rsid w:val="7B9F3433"/>
    <w:rsid w:val="7B9FDC02"/>
    <w:rsid w:val="7BA0B6B3"/>
    <w:rsid w:val="7BA0E700"/>
    <w:rsid w:val="7BA0EA5D"/>
    <w:rsid w:val="7BA0F3FD"/>
    <w:rsid w:val="7BA10431"/>
    <w:rsid w:val="7BA141DD"/>
    <w:rsid w:val="7BA17DFB"/>
    <w:rsid w:val="7BA2A76E"/>
    <w:rsid w:val="7BA401FC"/>
    <w:rsid w:val="7BA41E21"/>
    <w:rsid w:val="7BA57B46"/>
    <w:rsid w:val="7BA5DFCE"/>
    <w:rsid w:val="7BA6570B"/>
    <w:rsid w:val="7BA6DBD7"/>
    <w:rsid w:val="7BA73494"/>
    <w:rsid w:val="7BA78101"/>
    <w:rsid w:val="7BA787B9"/>
    <w:rsid w:val="7BA9B946"/>
    <w:rsid w:val="7BAA27DA"/>
    <w:rsid w:val="7BAAB4E7"/>
    <w:rsid w:val="7BAAC8ED"/>
    <w:rsid w:val="7BAB245E"/>
    <w:rsid w:val="7BAB5568"/>
    <w:rsid w:val="7BACFD6A"/>
    <w:rsid w:val="7BAE64AE"/>
    <w:rsid w:val="7BAEBB7B"/>
    <w:rsid w:val="7BAEDC4D"/>
    <w:rsid w:val="7BAEE601"/>
    <w:rsid w:val="7BAEE734"/>
    <w:rsid w:val="7BAF0C0A"/>
    <w:rsid w:val="7BAF2BAF"/>
    <w:rsid w:val="7BB0F47B"/>
    <w:rsid w:val="7BB1C562"/>
    <w:rsid w:val="7BB1CC86"/>
    <w:rsid w:val="7BB1FE60"/>
    <w:rsid w:val="7BB386CA"/>
    <w:rsid w:val="7BB40F90"/>
    <w:rsid w:val="7BB42193"/>
    <w:rsid w:val="7BB463AF"/>
    <w:rsid w:val="7BB59B8D"/>
    <w:rsid w:val="7BB5A907"/>
    <w:rsid w:val="7BB6A235"/>
    <w:rsid w:val="7BB76E54"/>
    <w:rsid w:val="7BB7CC67"/>
    <w:rsid w:val="7BB7E278"/>
    <w:rsid w:val="7BB8ECE8"/>
    <w:rsid w:val="7BB9600F"/>
    <w:rsid w:val="7BBA8251"/>
    <w:rsid w:val="7BBA938D"/>
    <w:rsid w:val="7BBB2D3B"/>
    <w:rsid w:val="7BBB4BCC"/>
    <w:rsid w:val="7BBC33DF"/>
    <w:rsid w:val="7BBC84CD"/>
    <w:rsid w:val="7BBC93D4"/>
    <w:rsid w:val="7BBDA261"/>
    <w:rsid w:val="7BBE11CC"/>
    <w:rsid w:val="7BBE1219"/>
    <w:rsid w:val="7BBE2486"/>
    <w:rsid w:val="7BBE3D86"/>
    <w:rsid w:val="7BBE6B3C"/>
    <w:rsid w:val="7BBEC3D4"/>
    <w:rsid w:val="7BBF4794"/>
    <w:rsid w:val="7BC01C96"/>
    <w:rsid w:val="7BC0423A"/>
    <w:rsid w:val="7BC04ACE"/>
    <w:rsid w:val="7BC0607C"/>
    <w:rsid w:val="7BC09096"/>
    <w:rsid w:val="7BC0F9ED"/>
    <w:rsid w:val="7BC14597"/>
    <w:rsid w:val="7BC16322"/>
    <w:rsid w:val="7BC18070"/>
    <w:rsid w:val="7BC18210"/>
    <w:rsid w:val="7BC25C33"/>
    <w:rsid w:val="7BC2A84E"/>
    <w:rsid w:val="7BC3E80E"/>
    <w:rsid w:val="7BC4486B"/>
    <w:rsid w:val="7BC46147"/>
    <w:rsid w:val="7BC51037"/>
    <w:rsid w:val="7BC57E22"/>
    <w:rsid w:val="7BC5864D"/>
    <w:rsid w:val="7BC589C0"/>
    <w:rsid w:val="7BC5B13A"/>
    <w:rsid w:val="7BC6F828"/>
    <w:rsid w:val="7BC6F955"/>
    <w:rsid w:val="7BC89206"/>
    <w:rsid w:val="7BC91F39"/>
    <w:rsid w:val="7BCA34B5"/>
    <w:rsid w:val="7BCACBF1"/>
    <w:rsid w:val="7BCBA473"/>
    <w:rsid w:val="7BCBCB78"/>
    <w:rsid w:val="7BCBEA39"/>
    <w:rsid w:val="7BCC1A84"/>
    <w:rsid w:val="7BCD4B12"/>
    <w:rsid w:val="7BCE5372"/>
    <w:rsid w:val="7BCE66E3"/>
    <w:rsid w:val="7BD00094"/>
    <w:rsid w:val="7BD0158D"/>
    <w:rsid w:val="7BD07C76"/>
    <w:rsid w:val="7BD0EC28"/>
    <w:rsid w:val="7BD15888"/>
    <w:rsid w:val="7BD1D831"/>
    <w:rsid w:val="7BD29D6E"/>
    <w:rsid w:val="7BD2F91F"/>
    <w:rsid w:val="7BD34BAE"/>
    <w:rsid w:val="7BD38DD4"/>
    <w:rsid w:val="7BD3E3CB"/>
    <w:rsid w:val="7BD414A9"/>
    <w:rsid w:val="7BD4E982"/>
    <w:rsid w:val="7BD561B4"/>
    <w:rsid w:val="7BD5861E"/>
    <w:rsid w:val="7BD65F43"/>
    <w:rsid w:val="7BD6EC5A"/>
    <w:rsid w:val="7BD7C1DE"/>
    <w:rsid w:val="7BD7C4E8"/>
    <w:rsid w:val="7BD8A82E"/>
    <w:rsid w:val="7BD91B35"/>
    <w:rsid w:val="7BD98912"/>
    <w:rsid w:val="7BD9A4C5"/>
    <w:rsid w:val="7BD9E684"/>
    <w:rsid w:val="7BDA17DB"/>
    <w:rsid w:val="7BDA24A7"/>
    <w:rsid w:val="7BDC556B"/>
    <w:rsid w:val="7BDC9062"/>
    <w:rsid w:val="7BDCF147"/>
    <w:rsid w:val="7BDE1CC8"/>
    <w:rsid w:val="7BDE2845"/>
    <w:rsid w:val="7BDEAB20"/>
    <w:rsid w:val="7BE10B5B"/>
    <w:rsid w:val="7BE172C6"/>
    <w:rsid w:val="7BE17592"/>
    <w:rsid w:val="7BE195FB"/>
    <w:rsid w:val="7BE27600"/>
    <w:rsid w:val="7BE366FE"/>
    <w:rsid w:val="7BE4494A"/>
    <w:rsid w:val="7BE479EF"/>
    <w:rsid w:val="7BE5CE03"/>
    <w:rsid w:val="7BE60BEB"/>
    <w:rsid w:val="7BE60EB6"/>
    <w:rsid w:val="7BE6467A"/>
    <w:rsid w:val="7BE6AC33"/>
    <w:rsid w:val="7BE72B1E"/>
    <w:rsid w:val="7BE79823"/>
    <w:rsid w:val="7BE7D859"/>
    <w:rsid w:val="7BE918F5"/>
    <w:rsid w:val="7BE97D14"/>
    <w:rsid w:val="7BE9B26B"/>
    <w:rsid w:val="7BEAB1EF"/>
    <w:rsid w:val="7BEB15A9"/>
    <w:rsid w:val="7BEB16B1"/>
    <w:rsid w:val="7BEB4422"/>
    <w:rsid w:val="7BEBE10F"/>
    <w:rsid w:val="7BEC5A4A"/>
    <w:rsid w:val="7BECC008"/>
    <w:rsid w:val="7BECC09E"/>
    <w:rsid w:val="7BEFF30A"/>
    <w:rsid w:val="7BEFFA29"/>
    <w:rsid w:val="7BF05139"/>
    <w:rsid w:val="7BF22EB9"/>
    <w:rsid w:val="7BF23136"/>
    <w:rsid w:val="7BF29994"/>
    <w:rsid w:val="7BF2B0EF"/>
    <w:rsid w:val="7BF3E6E5"/>
    <w:rsid w:val="7BF42520"/>
    <w:rsid w:val="7BF55331"/>
    <w:rsid w:val="7BF5D80A"/>
    <w:rsid w:val="7BF5E254"/>
    <w:rsid w:val="7BF661C9"/>
    <w:rsid w:val="7BF67863"/>
    <w:rsid w:val="7BF6BC34"/>
    <w:rsid w:val="7BF773E8"/>
    <w:rsid w:val="7BF7B04D"/>
    <w:rsid w:val="7BF7DD7F"/>
    <w:rsid w:val="7BF83192"/>
    <w:rsid w:val="7BF84DEF"/>
    <w:rsid w:val="7BF88106"/>
    <w:rsid w:val="7BF9C33D"/>
    <w:rsid w:val="7BFCB18C"/>
    <w:rsid w:val="7BFD50C2"/>
    <w:rsid w:val="7BFDA2C7"/>
    <w:rsid w:val="7BFE5665"/>
    <w:rsid w:val="7BFEE818"/>
    <w:rsid w:val="7C006AEF"/>
    <w:rsid w:val="7C009299"/>
    <w:rsid w:val="7C00B171"/>
    <w:rsid w:val="7C02F81A"/>
    <w:rsid w:val="7C045188"/>
    <w:rsid w:val="7C045FAB"/>
    <w:rsid w:val="7C047B58"/>
    <w:rsid w:val="7C05888C"/>
    <w:rsid w:val="7C059DC6"/>
    <w:rsid w:val="7C06FF72"/>
    <w:rsid w:val="7C07F50F"/>
    <w:rsid w:val="7C085407"/>
    <w:rsid w:val="7C087A48"/>
    <w:rsid w:val="7C08EC0F"/>
    <w:rsid w:val="7C09278B"/>
    <w:rsid w:val="7C09480B"/>
    <w:rsid w:val="7C0A9B68"/>
    <w:rsid w:val="7C0AB339"/>
    <w:rsid w:val="7C0ACEB4"/>
    <w:rsid w:val="7C0D51CA"/>
    <w:rsid w:val="7C0D61D8"/>
    <w:rsid w:val="7C0D6918"/>
    <w:rsid w:val="7C0DAD40"/>
    <w:rsid w:val="7C0E42A3"/>
    <w:rsid w:val="7C0E4EB8"/>
    <w:rsid w:val="7C0E501C"/>
    <w:rsid w:val="7C0EAA9B"/>
    <w:rsid w:val="7C0EE265"/>
    <w:rsid w:val="7C0F6297"/>
    <w:rsid w:val="7C0F8B4A"/>
    <w:rsid w:val="7C0F944E"/>
    <w:rsid w:val="7C11C196"/>
    <w:rsid w:val="7C12039F"/>
    <w:rsid w:val="7C129294"/>
    <w:rsid w:val="7C12B54F"/>
    <w:rsid w:val="7C13332A"/>
    <w:rsid w:val="7C142FC5"/>
    <w:rsid w:val="7C14596F"/>
    <w:rsid w:val="7C14AD00"/>
    <w:rsid w:val="7C14D092"/>
    <w:rsid w:val="7C153483"/>
    <w:rsid w:val="7C15CF7C"/>
    <w:rsid w:val="7C15D881"/>
    <w:rsid w:val="7C16A3E6"/>
    <w:rsid w:val="7C16D4F2"/>
    <w:rsid w:val="7C1715CC"/>
    <w:rsid w:val="7C1793A7"/>
    <w:rsid w:val="7C18E744"/>
    <w:rsid w:val="7C191943"/>
    <w:rsid w:val="7C197790"/>
    <w:rsid w:val="7C1A951E"/>
    <w:rsid w:val="7C1B5B1E"/>
    <w:rsid w:val="7C1B7C93"/>
    <w:rsid w:val="7C1BF304"/>
    <w:rsid w:val="7C1C2C41"/>
    <w:rsid w:val="7C1D45A5"/>
    <w:rsid w:val="7C1E00B6"/>
    <w:rsid w:val="7C1E3C12"/>
    <w:rsid w:val="7C1E92C8"/>
    <w:rsid w:val="7C1EB35D"/>
    <w:rsid w:val="7C1EC59A"/>
    <w:rsid w:val="7C1F0E57"/>
    <w:rsid w:val="7C1F94AA"/>
    <w:rsid w:val="7C22ABCE"/>
    <w:rsid w:val="7C232E59"/>
    <w:rsid w:val="7C2436A3"/>
    <w:rsid w:val="7C246102"/>
    <w:rsid w:val="7C24A725"/>
    <w:rsid w:val="7C262865"/>
    <w:rsid w:val="7C265219"/>
    <w:rsid w:val="7C26669F"/>
    <w:rsid w:val="7C26C46D"/>
    <w:rsid w:val="7C26CE4A"/>
    <w:rsid w:val="7C26F564"/>
    <w:rsid w:val="7C2711CB"/>
    <w:rsid w:val="7C2731AE"/>
    <w:rsid w:val="7C2742E9"/>
    <w:rsid w:val="7C27A85C"/>
    <w:rsid w:val="7C284F8D"/>
    <w:rsid w:val="7C28886A"/>
    <w:rsid w:val="7C28BDB2"/>
    <w:rsid w:val="7C2A4B45"/>
    <w:rsid w:val="7C2AC56F"/>
    <w:rsid w:val="7C2AE1E8"/>
    <w:rsid w:val="7C2BAED2"/>
    <w:rsid w:val="7C2C73E2"/>
    <w:rsid w:val="7C2D1256"/>
    <w:rsid w:val="7C2DFAB8"/>
    <w:rsid w:val="7C2EAB91"/>
    <w:rsid w:val="7C2EB239"/>
    <w:rsid w:val="7C2F3782"/>
    <w:rsid w:val="7C2FA056"/>
    <w:rsid w:val="7C2FE107"/>
    <w:rsid w:val="7C303437"/>
    <w:rsid w:val="7C30397C"/>
    <w:rsid w:val="7C30CF6D"/>
    <w:rsid w:val="7C324ED6"/>
    <w:rsid w:val="7C33E91F"/>
    <w:rsid w:val="7C341DAD"/>
    <w:rsid w:val="7C34C4A7"/>
    <w:rsid w:val="7C354BC9"/>
    <w:rsid w:val="7C357F9E"/>
    <w:rsid w:val="7C35D0E0"/>
    <w:rsid w:val="7C35E045"/>
    <w:rsid w:val="7C362CCB"/>
    <w:rsid w:val="7C367E0B"/>
    <w:rsid w:val="7C369D99"/>
    <w:rsid w:val="7C3742EC"/>
    <w:rsid w:val="7C38997E"/>
    <w:rsid w:val="7C3B0A29"/>
    <w:rsid w:val="7C3B61B4"/>
    <w:rsid w:val="7C3D2F0A"/>
    <w:rsid w:val="7C3DAE15"/>
    <w:rsid w:val="7C3DFC5C"/>
    <w:rsid w:val="7C3E382D"/>
    <w:rsid w:val="7C3EA4A7"/>
    <w:rsid w:val="7C3EACEC"/>
    <w:rsid w:val="7C3EBD5D"/>
    <w:rsid w:val="7C3F2D73"/>
    <w:rsid w:val="7C3F55FC"/>
    <w:rsid w:val="7C3F7B32"/>
    <w:rsid w:val="7C3F7E8F"/>
    <w:rsid w:val="7C3FBC24"/>
    <w:rsid w:val="7C405096"/>
    <w:rsid w:val="7C405A47"/>
    <w:rsid w:val="7C407C4F"/>
    <w:rsid w:val="7C4084BA"/>
    <w:rsid w:val="7C40BCF7"/>
    <w:rsid w:val="7C4129EA"/>
    <w:rsid w:val="7C41444D"/>
    <w:rsid w:val="7C4170AE"/>
    <w:rsid w:val="7C41F072"/>
    <w:rsid w:val="7C4229B9"/>
    <w:rsid w:val="7C42A834"/>
    <w:rsid w:val="7C42CF39"/>
    <w:rsid w:val="7C4306F0"/>
    <w:rsid w:val="7C431393"/>
    <w:rsid w:val="7C433656"/>
    <w:rsid w:val="7C43B866"/>
    <w:rsid w:val="7C43E472"/>
    <w:rsid w:val="7C43F8B9"/>
    <w:rsid w:val="7C447CF0"/>
    <w:rsid w:val="7C44A48F"/>
    <w:rsid w:val="7C4645F5"/>
    <w:rsid w:val="7C4658DB"/>
    <w:rsid w:val="7C466024"/>
    <w:rsid w:val="7C467CB4"/>
    <w:rsid w:val="7C46CE13"/>
    <w:rsid w:val="7C4711B6"/>
    <w:rsid w:val="7C48054C"/>
    <w:rsid w:val="7C48AE10"/>
    <w:rsid w:val="7C48F370"/>
    <w:rsid w:val="7C491059"/>
    <w:rsid w:val="7C4937FF"/>
    <w:rsid w:val="7C49759F"/>
    <w:rsid w:val="7C4A43C0"/>
    <w:rsid w:val="7C4AFD6D"/>
    <w:rsid w:val="7C4B3A0F"/>
    <w:rsid w:val="7C4B531C"/>
    <w:rsid w:val="7C4BE14E"/>
    <w:rsid w:val="7C4C35B9"/>
    <w:rsid w:val="7C4CC6C8"/>
    <w:rsid w:val="7C4D3FAB"/>
    <w:rsid w:val="7C4E4156"/>
    <w:rsid w:val="7C4EAEB0"/>
    <w:rsid w:val="7C4EBA5E"/>
    <w:rsid w:val="7C4ECC41"/>
    <w:rsid w:val="7C515164"/>
    <w:rsid w:val="7C5152D2"/>
    <w:rsid w:val="7C51FBB3"/>
    <w:rsid w:val="7C5209E7"/>
    <w:rsid w:val="7C524E4F"/>
    <w:rsid w:val="7C524EA8"/>
    <w:rsid w:val="7C52A7FD"/>
    <w:rsid w:val="7C53D765"/>
    <w:rsid w:val="7C53F233"/>
    <w:rsid w:val="7C558B0E"/>
    <w:rsid w:val="7C564309"/>
    <w:rsid w:val="7C56A6F9"/>
    <w:rsid w:val="7C570828"/>
    <w:rsid w:val="7C570CCE"/>
    <w:rsid w:val="7C57B3F0"/>
    <w:rsid w:val="7C57D3D0"/>
    <w:rsid w:val="7C58E7CB"/>
    <w:rsid w:val="7C58FE93"/>
    <w:rsid w:val="7C595324"/>
    <w:rsid w:val="7C59DF24"/>
    <w:rsid w:val="7C5A797A"/>
    <w:rsid w:val="7C5A8452"/>
    <w:rsid w:val="7C5AD603"/>
    <w:rsid w:val="7C5B16EB"/>
    <w:rsid w:val="7C5B19F6"/>
    <w:rsid w:val="7C5B9785"/>
    <w:rsid w:val="7C5BAD17"/>
    <w:rsid w:val="7C5C68E0"/>
    <w:rsid w:val="7C5E395F"/>
    <w:rsid w:val="7C5F11F2"/>
    <w:rsid w:val="7C5F75D3"/>
    <w:rsid w:val="7C60319D"/>
    <w:rsid w:val="7C613D27"/>
    <w:rsid w:val="7C6168A3"/>
    <w:rsid w:val="7C616D71"/>
    <w:rsid w:val="7C61CEF5"/>
    <w:rsid w:val="7C61E64C"/>
    <w:rsid w:val="7C6302D3"/>
    <w:rsid w:val="7C636E87"/>
    <w:rsid w:val="7C63BF83"/>
    <w:rsid w:val="7C65539A"/>
    <w:rsid w:val="7C65CCCB"/>
    <w:rsid w:val="7C65D295"/>
    <w:rsid w:val="7C65DC95"/>
    <w:rsid w:val="7C65E988"/>
    <w:rsid w:val="7C662487"/>
    <w:rsid w:val="7C680C91"/>
    <w:rsid w:val="7C682D25"/>
    <w:rsid w:val="7C68D1C2"/>
    <w:rsid w:val="7C6921D4"/>
    <w:rsid w:val="7C6A7A3C"/>
    <w:rsid w:val="7C6C6EA0"/>
    <w:rsid w:val="7C6CF5C3"/>
    <w:rsid w:val="7C6D09E4"/>
    <w:rsid w:val="7C6D5B8F"/>
    <w:rsid w:val="7C6EC736"/>
    <w:rsid w:val="7C6EDF2F"/>
    <w:rsid w:val="7C6FA2A5"/>
    <w:rsid w:val="7C6FDF52"/>
    <w:rsid w:val="7C7038C0"/>
    <w:rsid w:val="7C70F5C0"/>
    <w:rsid w:val="7C723ED7"/>
    <w:rsid w:val="7C724B49"/>
    <w:rsid w:val="7C728650"/>
    <w:rsid w:val="7C734B24"/>
    <w:rsid w:val="7C73A619"/>
    <w:rsid w:val="7C74B626"/>
    <w:rsid w:val="7C754E6D"/>
    <w:rsid w:val="7C759C3F"/>
    <w:rsid w:val="7C75A0E2"/>
    <w:rsid w:val="7C75E44A"/>
    <w:rsid w:val="7C75FD2D"/>
    <w:rsid w:val="7C76FA62"/>
    <w:rsid w:val="7C77724C"/>
    <w:rsid w:val="7C778473"/>
    <w:rsid w:val="7C786B16"/>
    <w:rsid w:val="7C7912EB"/>
    <w:rsid w:val="7C79A18B"/>
    <w:rsid w:val="7C7A4446"/>
    <w:rsid w:val="7C7AA393"/>
    <w:rsid w:val="7C7B8DE7"/>
    <w:rsid w:val="7C7B8EEF"/>
    <w:rsid w:val="7C7C5158"/>
    <w:rsid w:val="7C7C7102"/>
    <w:rsid w:val="7C7C726F"/>
    <w:rsid w:val="7C7D1A9B"/>
    <w:rsid w:val="7C7D670A"/>
    <w:rsid w:val="7C7E668A"/>
    <w:rsid w:val="7C7EABFE"/>
    <w:rsid w:val="7C7EBF55"/>
    <w:rsid w:val="7C7ED270"/>
    <w:rsid w:val="7C7F4C73"/>
    <w:rsid w:val="7C7FF70E"/>
    <w:rsid w:val="7C803D22"/>
    <w:rsid w:val="7C806AF3"/>
    <w:rsid w:val="7C809416"/>
    <w:rsid w:val="7C810FF2"/>
    <w:rsid w:val="7C812874"/>
    <w:rsid w:val="7C81B90D"/>
    <w:rsid w:val="7C81EEF9"/>
    <w:rsid w:val="7C823382"/>
    <w:rsid w:val="7C8360D3"/>
    <w:rsid w:val="7C83F3AF"/>
    <w:rsid w:val="7C845666"/>
    <w:rsid w:val="7C856B45"/>
    <w:rsid w:val="7C85E2D3"/>
    <w:rsid w:val="7C862AC7"/>
    <w:rsid w:val="7C863F7A"/>
    <w:rsid w:val="7C8751A3"/>
    <w:rsid w:val="7C882B02"/>
    <w:rsid w:val="7C8866D7"/>
    <w:rsid w:val="7C8880A0"/>
    <w:rsid w:val="7C891406"/>
    <w:rsid w:val="7C893201"/>
    <w:rsid w:val="7C8990CA"/>
    <w:rsid w:val="7C89ADD4"/>
    <w:rsid w:val="7C8ACE70"/>
    <w:rsid w:val="7C8B7BDA"/>
    <w:rsid w:val="7C8C0978"/>
    <w:rsid w:val="7C8C1DE6"/>
    <w:rsid w:val="7C8C37A4"/>
    <w:rsid w:val="7C8CAA17"/>
    <w:rsid w:val="7C8DBD5D"/>
    <w:rsid w:val="7C8DC02D"/>
    <w:rsid w:val="7C8FE420"/>
    <w:rsid w:val="7C9151C3"/>
    <w:rsid w:val="7C91DC45"/>
    <w:rsid w:val="7C92D95E"/>
    <w:rsid w:val="7C931713"/>
    <w:rsid w:val="7C93662E"/>
    <w:rsid w:val="7C93A993"/>
    <w:rsid w:val="7C943E40"/>
    <w:rsid w:val="7C95A0F0"/>
    <w:rsid w:val="7C95C88B"/>
    <w:rsid w:val="7C95D4D7"/>
    <w:rsid w:val="7C95E346"/>
    <w:rsid w:val="7C95FE77"/>
    <w:rsid w:val="7C96004E"/>
    <w:rsid w:val="7C961C6F"/>
    <w:rsid w:val="7C96946C"/>
    <w:rsid w:val="7C96BB88"/>
    <w:rsid w:val="7C96D6BA"/>
    <w:rsid w:val="7C96F2F0"/>
    <w:rsid w:val="7C970072"/>
    <w:rsid w:val="7C9780AA"/>
    <w:rsid w:val="7C98F285"/>
    <w:rsid w:val="7C9AA3D6"/>
    <w:rsid w:val="7C9AE0D6"/>
    <w:rsid w:val="7C9AF58B"/>
    <w:rsid w:val="7C9B77A9"/>
    <w:rsid w:val="7C9BAAA2"/>
    <w:rsid w:val="7C9BDCF2"/>
    <w:rsid w:val="7C9C18BF"/>
    <w:rsid w:val="7C9C2B4F"/>
    <w:rsid w:val="7C9D7CC0"/>
    <w:rsid w:val="7C9D8E6A"/>
    <w:rsid w:val="7C9DFC56"/>
    <w:rsid w:val="7C9E3BEA"/>
    <w:rsid w:val="7C9E5A18"/>
    <w:rsid w:val="7C9E789B"/>
    <w:rsid w:val="7C9FEF03"/>
    <w:rsid w:val="7CA00662"/>
    <w:rsid w:val="7CA0FFD7"/>
    <w:rsid w:val="7CA10FE5"/>
    <w:rsid w:val="7CA11290"/>
    <w:rsid w:val="7CA158D7"/>
    <w:rsid w:val="7CA186E5"/>
    <w:rsid w:val="7CA247CD"/>
    <w:rsid w:val="7CA289C3"/>
    <w:rsid w:val="7CA29950"/>
    <w:rsid w:val="7CA42C84"/>
    <w:rsid w:val="7CA4431C"/>
    <w:rsid w:val="7CA44D0F"/>
    <w:rsid w:val="7CA46B69"/>
    <w:rsid w:val="7CA4FD0F"/>
    <w:rsid w:val="7CA52E70"/>
    <w:rsid w:val="7CA54CC4"/>
    <w:rsid w:val="7CA6B82C"/>
    <w:rsid w:val="7CA78CA3"/>
    <w:rsid w:val="7CA7DBF7"/>
    <w:rsid w:val="7CA8F7F3"/>
    <w:rsid w:val="7CA93C40"/>
    <w:rsid w:val="7CAB0F26"/>
    <w:rsid w:val="7CAB1792"/>
    <w:rsid w:val="7CAB471A"/>
    <w:rsid w:val="7CAB73E7"/>
    <w:rsid w:val="7CABB781"/>
    <w:rsid w:val="7CACEA8D"/>
    <w:rsid w:val="7CAD4281"/>
    <w:rsid w:val="7CAD904B"/>
    <w:rsid w:val="7CADCB68"/>
    <w:rsid w:val="7CAE79A4"/>
    <w:rsid w:val="7CAEB9C8"/>
    <w:rsid w:val="7CB06C61"/>
    <w:rsid w:val="7CB09607"/>
    <w:rsid w:val="7CB0A5E1"/>
    <w:rsid w:val="7CB0E322"/>
    <w:rsid w:val="7CB20332"/>
    <w:rsid w:val="7CB30C98"/>
    <w:rsid w:val="7CB33D6D"/>
    <w:rsid w:val="7CB385F1"/>
    <w:rsid w:val="7CB3AD4C"/>
    <w:rsid w:val="7CB4299D"/>
    <w:rsid w:val="7CB4962C"/>
    <w:rsid w:val="7CB4A788"/>
    <w:rsid w:val="7CB55568"/>
    <w:rsid w:val="7CB56323"/>
    <w:rsid w:val="7CB5B879"/>
    <w:rsid w:val="7CB5E491"/>
    <w:rsid w:val="7CB64D69"/>
    <w:rsid w:val="7CB6AED7"/>
    <w:rsid w:val="7CB6EE36"/>
    <w:rsid w:val="7CB6FE8C"/>
    <w:rsid w:val="7CB7A512"/>
    <w:rsid w:val="7CB884E0"/>
    <w:rsid w:val="7CB90384"/>
    <w:rsid w:val="7CBA5455"/>
    <w:rsid w:val="7CBA5F31"/>
    <w:rsid w:val="7CBAFF32"/>
    <w:rsid w:val="7CBB2190"/>
    <w:rsid w:val="7CBB7299"/>
    <w:rsid w:val="7CBBBBAD"/>
    <w:rsid w:val="7CBBCEE1"/>
    <w:rsid w:val="7CBBF3E6"/>
    <w:rsid w:val="7CBBF604"/>
    <w:rsid w:val="7CBCDEA7"/>
    <w:rsid w:val="7CBDDC9C"/>
    <w:rsid w:val="7CBF399B"/>
    <w:rsid w:val="7CBFB01B"/>
    <w:rsid w:val="7CC042AF"/>
    <w:rsid w:val="7CC08AEE"/>
    <w:rsid w:val="7CC09D08"/>
    <w:rsid w:val="7CC0B5AB"/>
    <w:rsid w:val="7CC0E008"/>
    <w:rsid w:val="7CC1C7D1"/>
    <w:rsid w:val="7CC25067"/>
    <w:rsid w:val="7CC251F7"/>
    <w:rsid w:val="7CC2572E"/>
    <w:rsid w:val="7CC35A48"/>
    <w:rsid w:val="7CC36BF3"/>
    <w:rsid w:val="7CC3F173"/>
    <w:rsid w:val="7CC41506"/>
    <w:rsid w:val="7CC48B74"/>
    <w:rsid w:val="7CC5F5B4"/>
    <w:rsid w:val="7CC5FD2F"/>
    <w:rsid w:val="7CC683C7"/>
    <w:rsid w:val="7CC6941A"/>
    <w:rsid w:val="7CC6E7AB"/>
    <w:rsid w:val="7CC72BA5"/>
    <w:rsid w:val="7CC78A63"/>
    <w:rsid w:val="7CC7CB89"/>
    <w:rsid w:val="7CC7D2D0"/>
    <w:rsid w:val="7CC9AD01"/>
    <w:rsid w:val="7CC9D847"/>
    <w:rsid w:val="7CCAD10C"/>
    <w:rsid w:val="7CCBB058"/>
    <w:rsid w:val="7CCCC146"/>
    <w:rsid w:val="7CCD46C6"/>
    <w:rsid w:val="7CCD8EC1"/>
    <w:rsid w:val="7CCDCE49"/>
    <w:rsid w:val="7CCDDE1C"/>
    <w:rsid w:val="7CCE3F87"/>
    <w:rsid w:val="7CCF2600"/>
    <w:rsid w:val="7CD01F5D"/>
    <w:rsid w:val="7CD083CF"/>
    <w:rsid w:val="7CD17BF8"/>
    <w:rsid w:val="7CD1DEE6"/>
    <w:rsid w:val="7CD20C83"/>
    <w:rsid w:val="7CD26B0B"/>
    <w:rsid w:val="7CD28C22"/>
    <w:rsid w:val="7CD2B3CA"/>
    <w:rsid w:val="7CD37566"/>
    <w:rsid w:val="7CD38956"/>
    <w:rsid w:val="7CD48E24"/>
    <w:rsid w:val="7CD4ECE3"/>
    <w:rsid w:val="7CD5F6F2"/>
    <w:rsid w:val="7CD65E72"/>
    <w:rsid w:val="7CD67AF6"/>
    <w:rsid w:val="7CD68900"/>
    <w:rsid w:val="7CD692FE"/>
    <w:rsid w:val="7CD6980D"/>
    <w:rsid w:val="7CD6A8D7"/>
    <w:rsid w:val="7CD7676A"/>
    <w:rsid w:val="7CD78E5A"/>
    <w:rsid w:val="7CD79C14"/>
    <w:rsid w:val="7CD83EE5"/>
    <w:rsid w:val="7CD859AF"/>
    <w:rsid w:val="7CD8ACB5"/>
    <w:rsid w:val="7CD8CDED"/>
    <w:rsid w:val="7CD8E0CD"/>
    <w:rsid w:val="7CD96D21"/>
    <w:rsid w:val="7CD96ECC"/>
    <w:rsid w:val="7CDA0FE9"/>
    <w:rsid w:val="7CDA7EF7"/>
    <w:rsid w:val="7CDB032F"/>
    <w:rsid w:val="7CDB863A"/>
    <w:rsid w:val="7CDB8AC0"/>
    <w:rsid w:val="7CDC177B"/>
    <w:rsid w:val="7CDCA393"/>
    <w:rsid w:val="7CDD50E0"/>
    <w:rsid w:val="7CDDD1C3"/>
    <w:rsid w:val="7CDDE622"/>
    <w:rsid w:val="7CDE16A1"/>
    <w:rsid w:val="7CDE3BAD"/>
    <w:rsid w:val="7CDE5EE5"/>
    <w:rsid w:val="7CDEBFCF"/>
    <w:rsid w:val="7CDF3DF7"/>
    <w:rsid w:val="7CDFB398"/>
    <w:rsid w:val="7CDFEAB3"/>
    <w:rsid w:val="7CE009A9"/>
    <w:rsid w:val="7CE0A461"/>
    <w:rsid w:val="7CE0F923"/>
    <w:rsid w:val="7CE1B85F"/>
    <w:rsid w:val="7CE1B9DB"/>
    <w:rsid w:val="7CE30453"/>
    <w:rsid w:val="7CE3364C"/>
    <w:rsid w:val="7CE49A30"/>
    <w:rsid w:val="7CE4A7F6"/>
    <w:rsid w:val="7CE5157F"/>
    <w:rsid w:val="7CE61F04"/>
    <w:rsid w:val="7CE6DE43"/>
    <w:rsid w:val="7CE76068"/>
    <w:rsid w:val="7CE887D4"/>
    <w:rsid w:val="7CE91CBC"/>
    <w:rsid w:val="7CE94092"/>
    <w:rsid w:val="7CE96E16"/>
    <w:rsid w:val="7CE9E539"/>
    <w:rsid w:val="7CE9FA90"/>
    <w:rsid w:val="7CEBB167"/>
    <w:rsid w:val="7CEC3FC4"/>
    <w:rsid w:val="7CECDDA9"/>
    <w:rsid w:val="7CED5056"/>
    <w:rsid w:val="7CED7B45"/>
    <w:rsid w:val="7CEDFE0F"/>
    <w:rsid w:val="7CEE2229"/>
    <w:rsid w:val="7CEEBCC6"/>
    <w:rsid w:val="7CEF231E"/>
    <w:rsid w:val="7CEF30CC"/>
    <w:rsid w:val="7CEFF997"/>
    <w:rsid w:val="7CF0914A"/>
    <w:rsid w:val="7CF1DF00"/>
    <w:rsid w:val="7CF44622"/>
    <w:rsid w:val="7CF47A07"/>
    <w:rsid w:val="7CF493BE"/>
    <w:rsid w:val="7CF49AAB"/>
    <w:rsid w:val="7CF4D7E6"/>
    <w:rsid w:val="7CF539BB"/>
    <w:rsid w:val="7CF5A41F"/>
    <w:rsid w:val="7CF70006"/>
    <w:rsid w:val="7CF7CEE1"/>
    <w:rsid w:val="7CF81BAF"/>
    <w:rsid w:val="7CF84679"/>
    <w:rsid w:val="7CF8E094"/>
    <w:rsid w:val="7CF974DB"/>
    <w:rsid w:val="7CF9A314"/>
    <w:rsid w:val="7CF9C19F"/>
    <w:rsid w:val="7CFA2911"/>
    <w:rsid w:val="7CFA90E9"/>
    <w:rsid w:val="7CFB01AC"/>
    <w:rsid w:val="7CFC4FD2"/>
    <w:rsid w:val="7CFC731E"/>
    <w:rsid w:val="7CFC7A2F"/>
    <w:rsid w:val="7CFCA363"/>
    <w:rsid w:val="7CFCBDC4"/>
    <w:rsid w:val="7CFCEC92"/>
    <w:rsid w:val="7CFD0887"/>
    <w:rsid w:val="7CFD5A71"/>
    <w:rsid w:val="7CFE5FAB"/>
    <w:rsid w:val="7CFEA214"/>
    <w:rsid w:val="7CFF407C"/>
    <w:rsid w:val="7CFF9C15"/>
    <w:rsid w:val="7CFFDD98"/>
    <w:rsid w:val="7D003746"/>
    <w:rsid w:val="7D005A0E"/>
    <w:rsid w:val="7D014744"/>
    <w:rsid w:val="7D01ED3C"/>
    <w:rsid w:val="7D020663"/>
    <w:rsid w:val="7D023ADE"/>
    <w:rsid w:val="7D0259B3"/>
    <w:rsid w:val="7D029DBE"/>
    <w:rsid w:val="7D02C64A"/>
    <w:rsid w:val="7D03495D"/>
    <w:rsid w:val="7D034B39"/>
    <w:rsid w:val="7D04B353"/>
    <w:rsid w:val="7D05321C"/>
    <w:rsid w:val="7D060B31"/>
    <w:rsid w:val="7D065500"/>
    <w:rsid w:val="7D06CD93"/>
    <w:rsid w:val="7D06D3D9"/>
    <w:rsid w:val="7D07E755"/>
    <w:rsid w:val="7D08445A"/>
    <w:rsid w:val="7D085FEA"/>
    <w:rsid w:val="7D086C7C"/>
    <w:rsid w:val="7D087D8E"/>
    <w:rsid w:val="7D08A229"/>
    <w:rsid w:val="7D08D77C"/>
    <w:rsid w:val="7D094AF8"/>
    <w:rsid w:val="7D0A3442"/>
    <w:rsid w:val="7D0AC7E0"/>
    <w:rsid w:val="7D0AFEB8"/>
    <w:rsid w:val="7D0B9EBC"/>
    <w:rsid w:val="7D0C6CB0"/>
    <w:rsid w:val="7D0CA63A"/>
    <w:rsid w:val="7D0D3870"/>
    <w:rsid w:val="7D0D71A9"/>
    <w:rsid w:val="7D0DD218"/>
    <w:rsid w:val="7D0F5875"/>
    <w:rsid w:val="7D0F95BD"/>
    <w:rsid w:val="7D0FD27B"/>
    <w:rsid w:val="7D106C1F"/>
    <w:rsid w:val="7D10ABAD"/>
    <w:rsid w:val="7D10C518"/>
    <w:rsid w:val="7D11BDC8"/>
    <w:rsid w:val="7D127346"/>
    <w:rsid w:val="7D127AEC"/>
    <w:rsid w:val="7D128411"/>
    <w:rsid w:val="7D12FCD6"/>
    <w:rsid w:val="7D13A804"/>
    <w:rsid w:val="7D140FFD"/>
    <w:rsid w:val="7D14A245"/>
    <w:rsid w:val="7D14ACE3"/>
    <w:rsid w:val="7D153034"/>
    <w:rsid w:val="7D159938"/>
    <w:rsid w:val="7D159A53"/>
    <w:rsid w:val="7D15AD8C"/>
    <w:rsid w:val="7D15C52C"/>
    <w:rsid w:val="7D1630B3"/>
    <w:rsid w:val="7D169A34"/>
    <w:rsid w:val="7D16ABBE"/>
    <w:rsid w:val="7D16DAE6"/>
    <w:rsid w:val="7D172E70"/>
    <w:rsid w:val="7D17926A"/>
    <w:rsid w:val="7D17D2DD"/>
    <w:rsid w:val="7D188EDC"/>
    <w:rsid w:val="7D18AD9F"/>
    <w:rsid w:val="7D18EAEB"/>
    <w:rsid w:val="7D1A3015"/>
    <w:rsid w:val="7D1B30CA"/>
    <w:rsid w:val="7D1B48D2"/>
    <w:rsid w:val="7D1C8A61"/>
    <w:rsid w:val="7D1C8EF0"/>
    <w:rsid w:val="7D1CCCA5"/>
    <w:rsid w:val="7D1CCE08"/>
    <w:rsid w:val="7D1DA214"/>
    <w:rsid w:val="7D1EF396"/>
    <w:rsid w:val="7D1F5B36"/>
    <w:rsid w:val="7D1F9F3F"/>
    <w:rsid w:val="7D1FB61D"/>
    <w:rsid w:val="7D1FE146"/>
    <w:rsid w:val="7D201EF9"/>
    <w:rsid w:val="7D20B40A"/>
    <w:rsid w:val="7D213A7C"/>
    <w:rsid w:val="7D215604"/>
    <w:rsid w:val="7D229442"/>
    <w:rsid w:val="7D22A8B1"/>
    <w:rsid w:val="7D2350DC"/>
    <w:rsid w:val="7D23FEFB"/>
    <w:rsid w:val="7D244AB6"/>
    <w:rsid w:val="7D246597"/>
    <w:rsid w:val="7D24C6D2"/>
    <w:rsid w:val="7D24DD0F"/>
    <w:rsid w:val="7D251F27"/>
    <w:rsid w:val="7D255D80"/>
    <w:rsid w:val="7D258EC4"/>
    <w:rsid w:val="7D25ABFC"/>
    <w:rsid w:val="7D25EEB6"/>
    <w:rsid w:val="7D262737"/>
    <w:rsid w:val="7D2753D0"/>
    <w:rsid w:val="7D277975"/>
    <w:rsid w:val="7D2790D6"/>
    <w:rsid w:val="7D283641"/>
    <w:rsid w:val="7D28762F"/>
    <w:rsid w:val="7D289331"/>
    <w:rsid w:val="7D29E292"/>
    <w:rsid w:val="7D2A003F"/>
    <w:rsid w:val="7D2AE7C9"/>
    <w:rsid w:val="7D2B7905"/>
    <w:rsid w:val="7D2BB5A8"/>
    <w:rsid w:val="7D2BC362"/>
    <w:rsid w:val="7D2C15CF"/>
    <w:rsid w:val="7D2C976B"/>
    <w:rsid w:val="7D2CA2FC"/>
    <w:rsid w:val="7D2CA8BC"/>
    <w:rsid w:val="7D2D2B78"/>
    <w:rsid w:val="7D2D492F"/>
    <w:rsid w:val="7D2D6218"/>
    <w:rsid w:val="7D2DE731"/>
    <w:rsid w:val="7D2F5FD4"/>
    <w:rsid w:val="7D2F975D"/>
    <w:rsid w:val="7D2FE590"/>
    <w:rsid w:val="7D30CD58"/>
    <w:rsid w:val="7D30CFAB"/>
    <w:rsid w:val="7D3152F5"/>
    <w:rsid w:val="7D31AAA9"/>
    <w:rsid w:val="7D31C9C8"/>
    <w:rsid w:val="7D31F474"/>
    <w:rsid w:val="7D31FD24"/>
    <w:rsid w:val="7D337C80"/>
    <w:rsid w:val="7D33DC4B"/>
    <w:rsid w:val="7D34F55E"/>
    <w:rsid w:val="7D3548E3"/>
    <w:rsid w:val="7D355494"/>
    <w:rsid w:val="7D358D6A"/>
    <w:rsid w:val="7D358E34"/>
    <w:rsid w:val="7D35B819"/>
    <w:rsid w:val="7D3607BF"/>
    <w:rsid w:val="7D37A28A"/>
    <w:rsid w:val="7D37C1F9"/>
    <w:rsid w:val="7D37D817"/>
    <w:rsid w:val="7D3824E8"/>
    <w:rsid w:val="7D392BAB"/>
    <w:rsid w:val="7D392E4E"/>
    <w:rsid w:val="7D393D06"/>
    <w:rsid w:val="7D3A30B6"/>
    <w:rsid w:val="7D3ABBC8"/>
    <w:rsid w:val="7D3C194D"/>
    <w:rsid w:val="7D3CDB3A"/>
    <w:rsid w:val="7D3CE70C"/>
    <w:rsid w:val="7D3E02AC"/>
    <w:rsid w:val="7D3E6964"/>
    <w:rsid w:val="7D3E7EA6"/>
    <w:rsid w:val="7D3EBB4A"/>
    <w:rsid w:val="7D3F4B00"/>
    <w:rsid w:val="7D40E8AF"/>
    <w:rsid w:val="7D4191CB"/>
    <w:rsid w:val="7D41B16E"/>
    <w:rsid w:val="7D423048"/>
    <w:rsid w:val="7D42A58F"/>
    <w:rsid w:val="7D42FEFC"/>
    <w:rsid w:val="7D437F51"/>
    <w:rsid w:val="7D43F3FC"/>
    <w:rsid w:val="7D442082"/>
    <w:rsid w:val="7D4516DC"/>
    <w:rsid w:val="7D45869D"/>
    <w:rsid w:val="7D460F34"/>
    <w:rsid w:val="7D4715A8"/>
    <w:rsid w:val="7D49020D"/>
    <w:rsid w:val="7D49E58F"/>
    <w:rsid w:val="7D4A5CC5"/>
    <w:rsid w:val="7D4AF315"/>
    <w:rsid w:val="7D4BF0D3"/>
    <w:rsid w:val="7D4C0D34"/>
    <w:rsid w:val="7D4C36E2"/>
    <w:rsid w:val="7D4CB964"/>
    <w:rsid w:val="7D4CCBED"/>
    <w:rsid w:val="7D4CD5A8"/>
    <w:rsid w:val="7D4CD937"/>
    <w:rsid w:val="7D4EA446"/>
    <w:rsid w:val="7D4EAF22"/>
    <w:rsid w:val="7D4F688E"/>
    <w:rsid w:val="7D4F6A80"/>
    <w:rsid w:val="7D4FF824"/>
    <w:rsid w:val="7D500DCF"/>
    <w:rsid w:val="7D509616"/>
    <w:rsid w:val="7D50D671"/>
    <w:rsid w:val="7D50F7B5"/>
    <w:rsid w:val="7D510E43"/>
    <w:rsid w:val="7D5126A5"/>
    <w:rsid w:val="7D518950"/>
    <w:rsid w:val="7D51A927"/>
    <w:rsid w:val="7D51C2D1"/>
    <w:rsid w:val="7D545A04"/>
    <w:rsid w:val="7D545D79"/>
    <w:rsid w:val="7D546340"/>
    <w:rsid w:val="7D549BEC"/>
    <w:rsid w:val="7D54CD56"/>
    <w:rsid w:val="7D54F5D3"/>
    <w:rsid w:val="7D565337"/>
    <w:rsid w:val="7D570B55"/>
    <w:rsid w:val="7D570EDA"/>
    <w:rsid w:val="7D5719A1"/>
    <w:rsid w:val="7D57C089"/>
    <w:rsid w:val="7D58A82D"/>
    <w:rsid w:val="7D59284D"/>
    <w:rsid w:val="7D59D025"/>
    <w:rsid w:val="7D5AEB06"/>
    <w:rsid w:val="7D5AF692"/>
    <w:rsid w:val="7D5B1FBA"/>
    <w:rsid w:val="7D5B818A"/>
    <w:rsid w:val="7D5C2213"/>
    <w:rsid w:val="7D5C3949"/>
    <w:rsid w:val="7D5C5232"/>
    <w:rsid w:val="7D5C92C9"/>
    <w:rsid w:val="7D5CB202"/>
    <w:rsid w:val="7D5D7C57"/>
    <w:rsid w:val="7D5DD167"/>
    <w:rsid w:val="7D5DE028"/>
    <w:rsid w:val="7D5E0CDD"/>
    <w:rsid w:val="7D5E62BE"/>
    <w:rsid w:val="7D5E83E9"/>
    <w:rsid w:val="7D5EAEAE"/>
    <w:rsid w:val="7D5EDFCC"/>
    <w:rsid w:val="7D5F7927"/>
    <w:rsid w:val="7D5FE4C3"/>
    <w:rsid w:val="7D6005BC"/>
    <w:rsid w:val="7D60A47B"/>
    <w:rsid w:val="7D614A98"/>
    <w:rsid w:val="7D61B972"/>
    <w:rsid w:val="7D61E02F"/>
    <w:rsid w:val="7D61FEA4"/>
    <w:rsid w:val="7D627719"/>
    <w:rsid w:val="7D62897F"/>
    <w:rsid w:val="7D63496D"/>
    <w:rsid w:val="7D63890D"/>
    <w:rsid w:val="7D6428A2"/>
    <w:rsid w:val="7D64365C"/>
    <w:rsid w:val="7D64ED2C"/>
    <w:rsid w:val="7D663B73"/>
    <w:rsid w:val="7D666FF4"/>
    <w:rsid w:val="7D66A6E6"/>
    <w:rsid w:val="7D6731F3"/>
    <w:rsid w:val="7D6782E3"/>
    <w:rsid w:val="7D682744"/>
    <w:rsid w:val="7D68848A"/>
    <w:rsid w:val="7D6889D4"/>
    <w:rsid w:val="7D6896F9"/>
    <w:rsid w:val="7D68F208"/>
    <w:rsid w:val="7D6934F0"/>
    <w:rsid w:val="7D6943E3"/>
    <w:rsid w:val="7D69FA26"/>
    <w:rsid w:val="7D6A2659"/>
    <w:rsid w:val="7D6A86F5"/>
    <w:rsid w:val="7D6C4865"/>
    <w:rsid w:val="7D6D567D"/>
    <w:rsid w:val="7D6D6107"/>
    <w:rsid w:val="7D6DB728"/>
    <w:rsid w:val="7D6DEE14"/>
    <w:rsid w:val="7D6E16AC"/>
    <w:rsid w:val="7D6F4119"/>
    <w:rsid w:val="7D6FAE51"/>
    <w:rsid w:val="7D71510E"/>
    <w:rsid w:val="7D71828D"/>
    <w:rsid w:val="7D71D15A"/>
    <w:rsid w:val="7D72377D"/>
    <w:rsid w:val="7D730971"/>
    <w:rsid w:val="7D733E58"/>
    <w:rsid w:val="7D73C1B9"/>
    <w:rsid w:val="7D73F5DB"/>
    <w:rsid w:val="7D744604"/>
    <w:rsid w:val="7D748096"/>
    <w:rsid w:val="7D759D59"/>
    <w:rsid w:val="7D75FDC5"/>
    <w:rsid w:val="7D764C29"/>
    <w:rsid w:val="7D76799C"/>
    <w:rsid w:val="7D769F8D"/>
    <w:rsid w:val="7D76D0EB"/>
    <w:rsid w:val="7D770E54"/>
    <w:rsid w:val="7D776E20"/>
    <w:rsid w:val="7D79317D"/>
    <w:rsid w:val="7D79B00B"/>
    <w:rsid w:val="7D7AAE0E"/>
    <w:rsid w:val="7D7AB2CE"/>
    <w:rsid w:val="7D7AEA66"/>
    <w:rsid w:val="7D7AEF1F"/>
    <w:rsid w:val="7D7C1AFF"/>
    <w:rsid w:val="7D7C895B"/>
    <w:rsid w:val="7D7CA659"/>
    <w:rsid w:val="7D7CE3B5"/>
    <w:rsid w:val="7D7D24BC"/>
    <w:rsid w:val="7D7E2433"/>
    <w:rsid w:val="7D7EEA5F"/>
    <w:rsid w:val="7D7F2FFD"/>
    <w:rsid w:val="7D7FD636"/>
    <w:rsid w:val="7D806BB0"/>
    <w:rsid w:val="7D80D47C"/>
    <w:rsid w:val="7D821E6C"/>
    <w:rsid w:val="7D82849D"/>
    <w:rsid w:val="7D831BA8"/>
    <w:rsid w:val="7D83FBDA"/>
    <w:rsid w:val="7D842C58"/>
    <w:rsid w:val="7D850FA0"/>
    <w:rsid w:val="7D857DF9"/>
    <w:rsid w:val="7D8610DB"/>
    <w:rsid w:val="7D864302"/>
    <w:rsid w:val="7D866342"/>
    <w:rsid w:val="7D86AD7A"/>
    <w:rsid w:val="7D8799ED"/>
    <w:rsid w:val="7D87CCB0"/>
    <w:rsid w:val="7D88091D"/>
    <w:rsid w:val="7D881AE2"/>
    <w:rsid w:val="7D88D666"/>
    <w:rsid w:val="7D89B38F"/>
    <w:rsid w:val="7D89CCE6"/>
    <w:rsid w:val="7D8AB902"/>
    <w:rsid w:val="7D8AE7F4"/>
    <w:rsid w:val="7D8B891E"/>
    <w:rsid w:val="7D8BAAAC"/>
    <w:rsid w:val="7D8BF544"/>
    <w:rsid w:val="7D8C39D1"/>
    <w:rsid w:val="7D8CB171"/>
    <w:rsid w:val="7D8CE04A"/>
    <w:rsid w:val="7D8D0029"/>
    <w:rsid w:val="7D8FC155"/>
    <w:rsid w:val="7D8FD163"/>
    <w:rsid w:val="7D9011D4"/>
    <w:rsid w:val="7D90A896"/>
    <w:rsid w:val="7D91A52E"/>
    <w:rsid w:val="7D91B4F9"/>
    <w:rsid w:val="7D92479C"/>
    <w:rsid w:val="7D92F887"/>
    <w:rsid w:val="7D92F90D"/>
    <w:rsid w:val="7D931BD2"/>
    <w:rsid w:val="7D934827"/>
    <w:rsid w:val="7D93FCD3"/>
    <w:rsid w:val="7D94BF1E"/>
    <w:rsid w:val="7D968337"/>
    <w:rsid w:val="7D972C3E"/>
    <w:rsid w:val="7D9739BC"/>
    <w:rsid w:val="7D978A2F"/>
    <w:rsid w:val="7D97A15A"/>
    <w:rsid w:val="7D980B33"/>
    <w:rsid w:val="7D98745A"/>
    <w:rsid w:val="7D98B7DC"/>
    <w:rsid w:val="7D993297"/>
    <w:rsid w:val="7D9936D0"/>
    <w:rsid w:val="7D998C47"/>
    <w:rsid w:val="7D999B68"/>
    <w:rsid w:val="7D99B7FC"/>
    <w:rsid w:val="7D9A0374"/>
    <w:rsid w:val="7D9B151D"/>
    <w:rsid w:val="7D9BDACF"/>
    <w:rsid w:val="7D9BEFDE"/>
    <w:rsid w:val="7D9C6A3F"/>
    <w:rsid w:val="7D9C724C"/>
    <w:rsid w:val="7D9CF155"/>
    <w:rsid w:val="7D9D5824"/>
    <w:rsid w:val="7D9DDFFB"/>
    <w:rsid w:val="7D9E12C6"/>
    <w:rsid w:val="7D9ED480"/>
    <w:rsid w:val="7D9F2D0D"/>
    <w:rsid w:val="7DA02B43"/>
    <w:rsid w:val="7DA02F66"/>
    <w:rsid w:val="7DA0647D"/>
    <w:rsid w:val="7DA124DF"/>
    <w:rsid w:val="7DA19E5E"/>
    <w:rsid w:val="7DA2B081"/>
    <w:rsid w:val="7DA2B2BC"/>
    <w:rsid w:val="7DA32E99"/>
    <w:rsid w:val="7DA36DBD"/>
    <w:rsid w:val="7DA46DDF"/>
    <w:rsid w:val="7DA49732"/>
    <w:rsid w:val="7DA4D214"/>
    <w:rsid w:val="7DA521F6"/>
    <w:rsid w:val="7DA71A3A"/>
    <w:rsid w:val="7DA736D5"/>
    <w:rsid w:val="7DA80E9C"/>
    <w:rsid w:val="7DA87CFF"/>
    <w:rsid w:val="7DA8D345"/>
    <w:rsid w:val="7DA95171"/>
    <w:rsid w:val="7DA9E0D7"/>
    <w:rsid w:val="7DAA388C"/>
    <w:rsid w:val="7DAB46D2"/>
    <w:rsid w:val="7DACA3E9"/>
    <w:rsid w:val="7DADBB8B"/>
    <w:rsid w:val="7DAE2965"/>
    <w:rsid w:val="7DAE5184"/>
    <w:rsid w:val="7DAEAEBA"/>
    <w:rsid w:val="7DAF761B"/>
    <w:rsid w:val="7DAF8831"/>
    <w:rsid w:val="7DAFBDE5"/>
    <w:rsid w:val="7DAFC8DB"/>
    <w:rsid w:val="7DB0354E"/>
    <w:rsid w:val="7DB0F592"/>
    <w:rsid w:val="7DB12BF0"/>
    <w:rsid w:val="7DB17B19"/>
    <w:rsid w:val="7DB26030"/>
    <w:rsid w:val="7DB29EF6"/>
    <w:rsid w:val="7DB431FF"/>
    <w:rsid w:val="7DB448BE"/>
    <w:rsid w:val="7DB46C14"/>
    <w:rsid w:val="7DB4793D"/>
    <w:rsid w:val="7DB48F0E"/>
    <w:rsid w:val="7DB51E46"/>
    <w:rsid w:val="7DB52073"/>
    <w:rsid w:val="7DB66A84"/>
    <w:rsid w:val="7DB69253"/>
    <w:rsid w:val="7DB7943E"/>
    <w:rsid w:val="7DB7E453"/>
    <w:rsid w:val="7DB8E9C3"/>
    <w:rsid w:val="7DB933E0"/>
    <w:rsid w:val="7DB9B1A5"/>
    <w:rsid w:val="7DB9E2F4"/>
    <w:rsid w:val="7DBA59AA"/>
    <w:rsid w:val="7DBAD8A2"/>
    <w:rsid w:val="7DBB54F2"/>
    <w:rsid w:val="7DBB8E64"/>
    <w:rsid w:val="7DBC19F2"/>
    <w:rsid w:val="7DBC618A"/>
    <w:rsid w:val="7DBC6D15"/>
    <w:rsid w:val="7DBD465E"/>
    <w:rsid w:val="7DBD9F3A"/>
    <w:rsid w:val="7DBE93D3"/>
    <w:rsid w:val="7DBF2DA6"/>
    <w:rsid w:val="7DBF33A8"/>
    <w:rsid w:val="7DBFA22A"/>
    <w:rsid w:val="7DBFD536"/>
    <w:rsid w:val="7DC01D50"/>
    <w:rsid w:val="7DC0EA66"/>
    <w:rsid w:val="7DC133FA"/>
    <w:rsid w:val="7DC15232"/>
    <w:rsid w:val="7DC1BCE3"/>
    <w:rsid w:val="7DC1D3F2"/>
    <w:rsid w:val="7DC2A1FF"/>
    <w:rsid w:val="7DC39B7F"/>
    <w:rsid w:val="7DC3B7D4"/>
    <w:rsid w:val="7DC497BA"/>
    <w:rsid w:val="7DC5E7FC"/>
    <w:rsid w:val="7DC6FD90"/>
    <w:rsid w:val="7DC7CF56"/>
    <w:rsid w:val="7DC8086C"/>
    <w:rsid w:val="7DC8183D"/>
    <w:rsid w:val="7DC828A0"/>
    <w:rsid w:val="7DC8A360"/>
    <w:rsid w:val="7DC8ECB9"/>
    <w:rsid w:val="7DC91741"/>
    <w:rsid w:val="7DC9D32C"/>
    <w:rsid w:val="7DCA3220"/>
    <w:rsid w:val="7DCA76E8"/>
    <w:rsid w:val="7DCB2A6F"/>
    <w:rsid w:val="7DCB8D4F"/>
    <w:rsid w:val="7DCC2332"/>
    <w:rsid w:val="7DCE9F65"/>
    <w:rsid w:val="7DCF4A58"/>
    <w:rsid w:val="7DCFA36C"/>
    <w:rsid w:val="7DD0113B"/>
    <w:rsid w:val="7DD022F8"/>
    <w:rsid w:val="7DD0A635"/>
    <w:rsid w:val="7DD0C76E"/>
    <w:rsid w:val="7DD16188"/>
    <w:rsid w:val="7DD1C72C"/>
    <w:rsid w:val="7DD1FC14"/>
    <w:rsid w:val="7DD1FF36"/>
    <w:rsid w:val="7DD22703"/>
    <w:rsid w:val="7DD228A8"/>
    <w:rsid w:val="7DD33624"/>
    <w:rsid w:val="7DD3A3EE"/>
    <w:rsid w:val="7DD3C85B"/>
    <w:rsid w:val="7DD4AE25"/>
    <w:rsid w:val="7DD4E911"/>
    <w:rsid w:val="7DD55270"/>
    <w:rsid w:val="7DD5F182"/>
    <w:rsid w:val="7DD62265"/>
    <w:rsid w:val="7DD641BE"/>
    <w:rsid w:val="7DD68978"/>
    <w:rsid w:val="7DD6D752"/>
    <w:rsid w:val="7DD70230"/>
    <w:rsid w:val="7DD70640"/>
    <w:rsid w:val="7DD72A4E"/>
    <w:rsid w:val="7DD8290D"/>
    <w:rsid w:val="7DD83081"/>
    <w:rsid w:val="7DD831F3"/>
    <w:rsid w:val="7DD8618C"/>
    <w:rsid w:val="7DD87E55"/>
    <w:rsid w:val="7DD90812"/>
    <w:rsid w:val="7DD910B3"/>
    <w:rsid w:val="7DD941D6"/>
    <w:rsid w:val="7DDA25FB"/>
    <w:rsid w:val="7DDA627A"/>
    <w:rsid w:val="7DDA9BF6"/>
    <w:rsid w:val="7DDBC6AE"/>
    <w:rsid w:val="7DDC0430"/>
    <w:rsid w:val="7DDC44F0"/>
    <w:rsid w:val="7DDC5555"/>
    <w:rsid w:val="7DDCE6C0"/>
    <w:rsid w:val="7DDD4F09"/>
    <w:rsid w:val="7DDDFD8A"/>
    <w:rsid w:val="7DDED7D2"/>
    <w:rsid w:val="7DDF87EA"/>
    <w:rsid w:val="7DE03F13"/>
    <w:rsid w:val="7DE0D151"/>
    <w:rsid w:val="7DE11EE1"/>
    <w:rsid w:val="7DE1765B"/>
    <w:rsid w:val="7DE1A5ED"/>
    <w:rsid w:val="7DE1D0FB"/>
    <w:rsid w:val="7DE24A1B"/>
    <w:rsid w:val="7DE295DE"/>
    <w:rsid w:val="7DE2EA2B"/>
    <w:rsid w:val="7DE3F8E2"/>
    <w:rsid w:val="7DE4C80E"/>
    <w:rsid w:val="7DE4D7D6"/>
    <w:rsid w:val="7DE4D886"/>
    <w:rsid w:val="7DE5BBB6"/>
    <w:rsid w:val="7DE690EA"/>
    <w:rsid w:val="7DE745A0"/>
    <w:rsid w:val="7DE76620"/>
    <w:rsid w:val="7DE7C9DB"/>
    <w:rsid w:val="7DE8597F"/>
    <w:rsid w:val="7DE8E05C"/>
    <w:rsid w:val="7DE9C0AB"/>
    <w:rsid w:val="7DEA2E0F"/>
    <w:rsid w:val="7DEAB3D3"/>
    <w:rsid w:val="7DEAD9A3"/>
    <w:rsid w:val="7DEB1441"/>
    <w:rsid w:val="7DEC2C20"/>
    <w:rsid w:val="7DEC403E"/>
    <w:rsid w:val="7DECC3BA"/>
    <w:rsid w:val="7DED249B"/>
    <w:rsid w:val="7DEEEADD"/>
    <w:rsid w:val="7DEEF23F"/>
    <w:rsid w:val="7DEFC77E"/>
    <w:rsid w:val="7DEFE942"/>
    <w:rsid w:val="7DF0D428"/>
    <w:rsid w:val="7DF14FFB"/>
    <w:rsid w:val="7DF1C8AC"/>
    <w:rsid w:val="7DF2729C"/>
    <w:rsid w:val="7DF44EFE"/>
    <w:rsid w:val="7DF4C145"/>
    <w:rsid w:val="7DF534CA"/>
    <w:rsid w:val="7DF68B04"/>
    <w:rsid w:val="7DF75C76"/>
    <w:rsid w:val="7DF79032"/>
    <w:rsid w:val="7DF7F8F6"/>
    <w:rsid w:val="7DF80C1E"/>
    <w:rsid w:val="7DF834CF"/>
    <w:rsid w:val="7DF8B3C0"/>
    <w:rsid w:val="7DF97A7A"/>
    <w:rsid w:val="7DFA564E"/>
    <w:rsid w:val="7DFA9AE5"/>
    <w:rsid w:val="7DFAAC92"/>
    <w:rsid w:val="7DFAD81B"/>
    <w:rsid w:val="7DFC3F9D"/>
    <w:rsid w:val="7DFC6712"/>
    <w:rsid w:val="7DFD9E57"/>
    <w:rsid w:val="7DFDCC37"/>
    <w:rsid w:val="7DFE8F4F"/>
    <w:rsid w:val="7DFEA865"/>
    <w:rsid w:val="7DFF25AC"/>
    <w:rsid w:val="7DFF82D2"/>
    <w:rsid w:val="7DFFB0F7"/>
    <w:rsid w:val="7DFFEEFF"/>
    <w:rsid w:val="7E004DCC"/>
    <w:rsid w:val="7E005C97"/>
    <w:rsid w:val="7E0111EA"/>
    <w:rsid w:val="7E01B3E0"/>
    <w:rsid w:val="7E01D936"/>
    <w:rsid w:val="7E01DF38"/>
    <w:rsid w:val="7E031D19"/>
    <w:rsid w:val="7E0347F5"/>
    <w:rsid w:val="7E039569"/>
    <w:rsid w:val="7E03B3A5"/>
    <w:rsid w:val="7E041085"/>
    <w:rsid w:val="7E048242"/>
    <w:rsid w:val="7E04CD50"/>
    <w:rsid w:val="7E04DD12"/>
    <w:rsid w:val="7E0528FF"/>
    <w:rsid w:val="7E055059"/>
    <w:rsid w:val="7E057419"/>
    <w:rsid w:val="7E060FBC"/>
    <w:rsid w:val="7E07E00B"/>
    <w:rsid w:val="7E08CB48"/>
    <w:rsid w:val="7E094516"/>
    <w:rsid w:val="7E0955DF"/>
    <w:rsid w:val="7E099421"/>
    <w:rsid w:val="7E09B88C"/>
    <w:rsid w:val="7E09F69C"/>
    <w:rsid w:val="7E0A1EB9"/>
    <w:rsid w:val="7E0AF159"/>
    <w:rsid w:val="7E0B097D"/>
    <w:rsid w:val="7E0B862E"/>
    <w:rsid w:val="7E0B99B8"/>
    <w:rsid w:val="7E0BD4B6"/>
    <w:rsid w:val="7E0C9EEA"/>
    <w:rsid w:val="7E0CDFA9"/>
    <w:rsid w:val="7E0D81E7"/>
    <w:rsid w:val="7E0DAD2D"/>
    <w:rsid w:val="7E0EC865"/>
    <w:rsid w:val="7E0EE0D5"/>
    <w:rsid w:val="7E0F7AE4"/>
    <w:rsid w:val="7E100512"/>
    <w:rsid w:val="7E10D95F"/>
    <w:rsid w:val="7E1138FA"/>
    <w:rsid w:val="7E116088"/>
    <w:rsid w:val="7E11E988"/>
    <w:rsid w:val="7E122CAC"/>
    <w:rsid w:val="7E129514"/>
    <w:rsid w:val="7E136071"/>
    <w:rsid w:val="7E14005A"/>
    <w:rsid w:val="7E143F1E"/>
    <w:rsid w:val="7E1481D4"/>
    <w:rsid w:val="7E150B42"/>
    <w:rsid w:val="7E167452"/>
    <w:rsid w:val="7E168963"/>
    <w:rsid w:val="7E171671"/>
    <w:rsid w:val="7E1796BE"/>
    <w:rsid w:val="7E17A367"/>
    <w:rsid w:val="7E1863A9"/>
    <w:rsid w:val="7E18921E"/>
    <w:rsid w:val="7E18E0AD"/>
    <w:rsid w:val="7E19214E"/>
    <w:rsid w:val="7E194B2A"/>
    <w:rsid w:val="7E199B7C"/>
    <w:rsid w:val="7E19D8E4"/>
    <w:rsid w:val="7E1A0C23"/>
    <w:rsid w:val="7E1AAC98"/>
    <w:rsid w:val="7E1AB2F7"/>
    <w:rsid w:val="7E1B3A1C"/>
    <w:rsid w:val="7E1C3F23"/>
    <w:rsid w:val="7E1C5D76"/>
    <w:rsid w:val="7E1D2AE2"/>
    <w:rsid w:val="7E1E4DC6"/>
    <w:rsid w:val="7E1E92D9"/>
    <w:rsid w:val="7E1EBD7B"/>
    <w:rsid w:val="7E1FAEFC"/>
    <w:rsid w:val="7E21B50C"/>
    <w:rsid w:val="7E21DDBF"/>
    <w:rsid w:val="7E2204E0"/>
    <w:rsid w:val="7E239521"/>
    <w:rsid w:val="7E23E85F"/>
    <w:rsid w:val="7E24ED37"/>
    <w:rsid w:val="7E258F73"/>
    <w:rsid w:val="7E25E81B"/>
    <w:rsid w:val="7E27CFE8"/>
    <w:rsid w:val="7E2816D2"/>
    <w:rsid w:val="7E2822D0"/>
    <w:rsid w:val="7E282AE7"/>
    <w:rsid w:val="7E28F291"/>
    <w:rsid w:val="7E292342"/>
    <w:rsid w:val="7E29E510"/>
    <w:rsid w:val="7E2A1D7F"/>
    <w:rsid w:val="7E2AEFAF"/>
    <w:rsid w:val="7E2AFD53"/>
    <w:rsid w:val="7E2CD5B4"/>
    <w:rsid w:val="7E2D1DA4"/>
    <w:rsid w:val="7E2DE4B2"/>
    <w:rsid w:val="7E2E30EA"/>
    <w:rsid w:val="7E2F24C2"/>
    <w:rsid w:val="7E301218"/>
    <w:rsid w:val="7E30B301"/>
    <w:rsid w:val="7E30DDF6"/>
    <w:rsid w:val="7E3163DB"/>
    <w:rsid w:val="7E328016"/>
    <w:rsid w:val="7E329D56"/>
    <w:rsid w:val="7E33213C"/>
    <w:rsid w:val="7E34D172"/>
    <w:rsid w:val="7E35C9CF"/>
    <w:rsid w:val="7E368588"/>
    <w:rsid w:val="7E372E93"/>
    <w:rsid w:val="7E37C3C5"/>
    <w:rsid w:val="7E385ED8"/>
    <w:rsid w:val="7E3B16BB"/>
    <w:rsid w:val="7E3B2E18"/>
    <w:rsid w:val="7E3BF136"/>
    <w:rsid w:val="7E3CC146"/>
    <w:rsid w:val="7E3CF72F"/>
    <w:rsid w:val="7E3D8490"/>
    <w:rsid w:val="7E3D90A3"/>
    <w:rsid w:val="7E3DBCBC"/>
    <w:rsid w:val="7E3E4FAA"/>
    <w:rsid w:val="7E3E7304"/>
    <w:rsid w:val="7E3EC5C8"/>
    <w:rsid w:val="7E3F141D"/>
    <w:rsid w:val="7E3F1436"/>
    <w:rsid w:val="7E3F1B0F"/>
    <w:rsid w:val="7E3F3317"/>
    <w:rsid w:val="7E3F8618"/>
    <w:rsid w:val="7E3F91D6"/>
    <w:rsid w:val="7E3F92F7"/>
    <w:rsid w:val="7E3F983F"/>
    <w:rsid w:val="7E3FE3F6"/>
    <w:rsid w:val="7E4033C0"/>
    <w:rsid w:val="7E405022"/>
    <w:rsid w:val="7E40BC30"/>
    <w:rsid w:val="7E40D4BB"/>
    <w:rsid w:val="7E41527F"/>
    <w:rsid w:val="7E435D79"/>
    <w:rsid w:val="7E4460BC"/>
    <w:rsid w:val="7E44BF56"/>
    <w:rsid w:val="7E44E756"/>
    <w:rsid w:val="7E4542F6"/>
    <w:rsid w:val="7E457EC1"/>
    <w:rsid w:val="7E481909"/>
    <w:rsid w:val="7E486DAE"/>
    <w:rsid w:val="7E48D8C2"/>
    <w:rsid w:val="7E492923"/>
    <w:rsid w:val="7E49834C"/>
    <w:rsid w:val="7E4A6DCB"/>
    <w:rsid w:val="7E4A87C3"/>
    <w:rsid w:val="7E4A9A7C"/>
    <w:rsid w:val="7E4AB331"/>
    <w:rsid w:val="7E4B3EA9"/>
    <w:rsid w:val="7E4C152F"/>
    <w:rsid w:val="7E4C9DEF"/>
    <w:rsid w:val="7E4D24EB"/>
    <w:rsid w:val="7E4D7597"/>
    <w:rsid w:val="7E4D8DA4"/>
    <w:rsid w:val="7E4E0B34"/>
    <w:rsid w:val="7E4E66C8"/>
    <w:rsid w:val="7E4ED280"/>
    <w:rsid w:val="7E505C32"/>
    <w:rsid w:val="7E509C68"/>
    <w:rsid w:val="7E51AF35"/>
    <w:rsid w:val="7E51E7CC"/>
    <w:rsid w:val="7E52F743"/>
    <w:rsid w:val="7E53373A"/>
    <w:rsid w:val="7E53BAB0"/>
    <w:rsid w:val="7E53D6E0"/>
    <w:rsid w:val="7E545CF2"/>
    <w:rsid w:val="7E54A5F8"/>
    <w:rsid w:val="7E54B1D2"/>
    <w:rsid w:val="7E5540F7"/>
    <w:rsid w:val="7E554A81"/>
    <w:rsid w:val="7E55ADC6"/>
    <w:rsid w:val="7E5653D3"/>
    <w:rsid w:val="7E567C42"/>
    <w:rsid w:val="7E56F832"/>
    <w:rsid w:val="7E576C3C"/>
    <w:rsid w:val="7E57A25F"/>
    <w:rsid w:val="7E57B796"/>
    <w:rsid w:val="7E57BD01"/>
    <w:rsid w:val="7E58150E"/>
    <w:rsid w:val="7E58E6A6"/>
    <w:rsid w:val="7E595421"/>
    <w:rsid w:val="7E5A6708"/>
    <w:rsid w:val="7E5B318E"/>
    <w:rsid w:val="7E5B40F5"/>
    <w:rsid w:val="7E5B83C5"/>
    <w:rsid w:val="7E5BB567"/>
    <w:rsid w:val="7E5C260E"/>
    <w:rsid w:val="7E5C733C"/>
    <w:rsid w:val="7E5D221B"/>
    <w:rsid w:val="7E5D5E32"/>
    <w:rsid w:val="7E5DC8E3"/>
    <w:rsid w:val="7E5DD211"/>
    <w:rsid w:val="7E5E39EE"/>
    <w:rsid w:val="7E5E54BD"/>
    <w:rsid w:val="7E5F0736"/>
    <w:rsid w:val="7E5F0CEB"/>
    <w:rsid w:val="7E5F5534"/>
    <w:rsid w:val="7E5F9175"/>
    <w:rsid w:val="7E5FC040"/>
    <w:rsid w:val="7E5FD7D9"/>
    <w:rsid w:val="7E6001A1"/>
    <w:rsid w:val="7E6081D4"/>
    <w:rsid w:val="7E60B92A"/>
    <w:rsid w:val="7E61B94C"/>
    <w:rsid w:val="7E6205A7"/>
    <w:rsid w:val="7E6363AF"/>
    <w:rsid w:val="7E63E55B"/>
    <w:rsid w:val="7E640324"/>
    <w:rsid w:val="7E6465A6"/>
    <w:rsid w:val="7E649EFA"/>
    <w:rsid w:val="7E64A521"/>
    <w:rsid w:val="7E65729D"/>
    <w:rsid w:val="7E65748E"/>
    <w:rsid w:val="7E65902E"/>
    <w:rsid w:val="7E659B94"/>
    <w:rsid w:val="7E65CD69"/>
    <w:rsid w:val="7E661F01"/>
    <w:rsid w:val="7E66348A"/>
    <w:rsid w:val="7E670A7A"/>
    <w:rsid w:val="7E675D3C"/>
    <w:rsid w:val="7E67768A"/>
    <w:rsid w:val="7E677CBE"/>
    <w:rsid w:val="7E67BBC9"/>
    <w:rsid w:val="7E684FC5"/>
    <w:rsid w:val="7E6865E2"/>
    <w:rsid w:val="7E68CDAC"/>
    <w:rsid w:val="7E692631"/>
    <w:rsid w:val="7E699571"/>
    <w:rsid w:val="7E6A03FA"/>
    <w:rsid w:val="7E6AB441"/>
    <w:rsid w:val="7E6BDE1D"/>
    <w:rsid w:val="7E6BE17D"/>
    <w:rsid w:val="7E6BEB80"/>
    <w:rsid w:val="7E6BEB9A"/>
    <w:rsid w:val="7E6C23B7"/>
    <w:rsid w:val="7E6C6D50"/>
    <w:rsid w:val="7E6CD131"/>
    <w:rsid w:val="7E6D5C43"/>
    <w:rsid w:val="7E6DD368"/>
    <w:rsid w:val="7E6E5BC9"/>
    <w:rsid w:val="7E6EFDA3"/>
    <w:rsid w:val="7E6F22FF"/>
    <w:rsid w:val="7E6F67A8"/>
    <w:rsid w:val="7E6FC720"/>
    <w:rsid w:val="7E709874"/>
    <w:rsid w:val="7E70CE2E"/>
    <w:rsid w:val="7E711BAF"/>
    <w:rsid w:val="7E713AE0"/>
    <w:rsid w:val="7E71E941"/>
    <w:rsid w:val="7E7206C6"/>
    <w:rsid w:val="7E72B78F"/>
    <w:rsid w:val="7E738E9D"/>
    <w:rsid w:val="7E739A35"/>
    <w:rsid w:val="7E7418C5"/>
    <w:rsid w:val="7E7482F6"/>
    <w:rsid w:val="7E74ADF0"/>
    <w:rsid w:val="7E7555E9"/>
    <w:rsid w:val="7E75BA64"/>
    <w:rsid w:val="7E75C4CD"/>
    <w:rsid w:val="7E7602BC"/>
    <w:rsid w:val="7E7695A9"/>
    <w:rsid w:val="7E77411D"/>
    <w:rsid w:val="7E77D8C7"/>
    <w:rsid w:val="7E77DCC1"/>
    <w:rsid w:val="7E788B69"/>
    <w:rsid w:val="7E7925AB"/>
    <w:rsid w:val="7E7A7977"/>
    <w:rsid w:val="7E7AC217"/>
    <w:rsid w:val="7E7BB3CE"/>
    <w:rsid w:val="7E7C45D4"/>
    <w:rsid w:val="7E7C78AE"/>
    <w:rsid w:val="7E7CC56F"/>
    <w:rsid w:val="7E7CE22D"/>
    <w:rsid w:val="7E7D23C9"/>
    <w:rsid w:val="7E7D98FD"/>
    <w:rsid w:val="7E7F031E"/>
    <w:rsid w:val="7E7F1FA1"/>
    <w:rsid w:val="7E7FC825"/>
    <w:rsid w:val="7E809119"/>
    <w:rsid w:val="7E80A10E"/>
    <w:rsid w:val="7E811A5D"/>
    <w:rsid w:val="7E814A70"/>
    <w:rsid w:val="7E8150B1"/>
    <w:rsid w:val="7E815B69"/>
    <w:rsid w:val="7E815D9E"/>
    <w:rsid w:val="7E81CDC4"/>
    <w:rsid w:val="7E81FA4E"/>
    <w:rsid w:val="7E82D1CB"/>
    <w:rsid w:val="7E831CC6"/>
    <w:rsid w:val="7E83A298"/>
    <w:rsid w:val="7E840686"/>
    <w:rsid w:val="7E8406DF"/>
    <w:rsid w:val="7E853BB7"/>
    <w:rsid w:val="7E8551BD"/>
    <w:rsid w:val="7E85D094"/>
    <w:rsid w:val="7E8636CE"/>
    <w:rsid w:val="7E876970"/>
    <w:rsid w:val="7E87E9FA"/>
    <w:rsid w:val="7E8826C4"/>
    <w:rsid w:val="7E88E384"/>
    <w:rsid w:val="7E895C1E"/>
    <w:rsid w:val="7E89D31B"/>
    <w:rsid w:val="7E8A8753"/>
    <w:rsid w:val="7E8C02ED"/>
    <w:rsid w:val="7E8C7A50"/>
    <w:rsid w:val="7E8EEB34"/>
    <w:rsid w:val="7E8EF352"/>
    <w:rsid w:val="7E8F4AAA"/>
    <w:rsid w:val="7E8F6E80"/>
    <w:rsid w:val="7E921B8D"/>
    <w:rsid w:val="7E92485E"/>
    <w:rsid w:val="7E933454"/>
    <w:rsid w:val="7E9351DC"/>
    <w:rsid w:val="7E93E835"/>
    <w:rsid w:val="7E9406B7"/>
    <w:rsid w:val="7E94E199"/>
    <w:rsid w:val="7E950280"/>
    <w:rsid w:val="7E952B93"/>
    <w:rsid w:val="7E95B623"/>
    <w:rsid w:val="7E965096"/>
    <w:rsid w:val="7E97CEE7"/>
    <w:rsid w:val="7E98358A"/>
    <w:rsid w:val="7E989B04"/>
    <w:rsid w:val="7E98C945"/>
    <w:rsid w:val="7E98C9D7"/>
    <w:rsid w:val="7E98E548"/>
    <w:rsid w:val="7E9966A9"/>
    <w:rsid w:val="7E99A31B"/>
    <w:rsid w:val="7E9A58A4"/>
    <w:rsid w:val="7E9A866A"/>
    <w:rsid w:val="7E9AD89A"/>
    <w:rsid w:val="7E9B9B87"/>
    <w:rsid w:val="7E9CC62E"/>
    <w:rsid w:val="7E9D29A9"/>
    <w:rsid w:val="7E9D2E67"/>
    <w:rsid w:val="7E9D3C3F"/>
    <w:rsid w:val="7E9DC0DB"/>
    <w:rsid w:val="7E9DEAB8"/>
    <w:rsid w:val="7E9F64CE"/>
    <w:rsid w:val="7E9FEE98"/>
    <w:rsid w:val="7E9FEFF9"/>
    <w:rsid w:val="7EA01CC6"/>
    <w:rsid w:val="7EA1016A"/>
    <w:rsid w:val="7EA10BA5"/>
    <w:rsid w:val="7EA125C6"/>
    <w:rsid w:val="7EA1C560"/>
    <w:rsid w:val="7EA232A0"/>
    <w:rsid w:val="7EA3FEF9"/>
    <w:rsid w:val="7EA4E792"/>
    <w:rsid w:val="7EA526EA"/>
    <w:rsid w:val="7EA54D03"/>
    <w:rsid w:val="7EA63253"/>
    <w:rsid w:val="7EA6359F"/>
    <w:rsid w:val="7EA65E97"/>
    <w:rsid w:val="7EA6B273"/>
    <w:rsid w:val="7EA6B762"/>
    <w:rsid w:val="7EA6DF6A"/>
    <w:rsid w:val="7EA85616"/>
    <w:rsid w:val="7EA86694"/>
    <w:rsid w:val="7EA8E724"/>
    <w:rsid w:val="7EA95749"/>
    <w:rsid w:val="7EA96F85"/>
    <w:rsid w:val="7EAA7307"/>
    <w:rsid w:val="7EAB1F6A"/>
    <w:rsid w:val="7EAD9E67"/>
    <w:rsid w:val="7EADD072"/>
    <w:rsid w:val="7EAE256C"/>
    <w:rsid w:val="7EAF2FDA"/>
    <w:rsid w:val="7EAF44FB"/>
    <w:rsid w:val="7EAF4A1A"/>
    <w:rsid w:val="7EAF82B0"/>
    <w:rsid w:val="7EAF8452"/>
    <w:rsid w:val="7EB08EEC"/>
    <w:rsid w:val="7EB0A51D"/>
    <w:rsid w:val="7EB13543"/>
    <w:rsid w:val="7EB19B09"/>
    <w:rsid w:val="7EB1EEA3"/>
    <w:rsid w:val="7EB29FAC"/>
    <w:rsid w:val="7EB388CA"/>
    <w:rsid w:val="7EB467C9"/>
    <w:rsid w:val="7EB4F465"/>
    <w:rsid w:val="7EB50B6E"/>
    <w:rsid w:val="7EB59286"/>
    <w:rsid w:val="7EB5C5D5"/>
    <w:rsid w:val="7EB61B43"/>
    <w:rsid w:val="7EB6B5EA"/>
    <w:rsid w:val="7EB6BAE2"/>
    <w:rsid w:val="7EB70A9E"/>
    <w:rsid w:val="7EB73044"/>
    <w:rsid w:val="7EB7597C"/>
    <w:rsid w:val="7EB76920"/>
    <w:rsid w:val="7EB7A3A8"/>
    <w:rsid w:val="7EB807CC"/>
    <w:rsid w:val="7EB8226B"/>
    <w:rsid w:val="7EB91D7B"/>
    <w:rsid w:val="7EB93179"/>
    <w:rsid w:val="7EB9C717"/>
    <w:rsid w:val="7EBA7B12"/>
    <w:rsid w:val="7EBA9712"/>
    <w:rsid w:val="7EBB66C4"/>
    <w:rsid w:val="7EBB934E"/>
    <w:rsid w:val="7EBBB608"/>
    <w:rsid w:val="7EBBBDCF"/>
    <w:rsid w:val="7EBBDA4C"/>
    <w:rsid w:val="7EBC14F0"/>
    <w:rsid w:val="7EBC3520"/>
    <w:rsid w:val="7EBD45F6"/>
    <w:rsid w:val="7EBDA98A"/>
    <w:rsid w:val="7EBDF092"/>
    <w:rsid w:val="7EBEEA5A"/>
    <w:rsid w:val="7EBFB26F"/>
    <w:rsid w:val="7EC000C7"/>
    <w:rsid w:val="7EC063DB"/>
    <w:rsid w:val="7EC09F6F"/>
    <w:rsid w:val="7EC112FC"/>
    <w:rsid w:val="7EC202F1"/>
    <w:rsid w:val="7EC20ECD"/>
    <w:rsid w:val="7EC29381"/>
    <w:rsid w:val="7EC35FFF"/>
    <w:rsid w:val="7EC50B08"/>
    <w:rsid w:val="7EC7064D"/>
    <w:rsid w:val="7EC7C8DD"/>
    <w:rsid w:val="7EC7D8CB"/>
    <w:rsid w:val="7EC91800"/>
    <w:rsid w:val="7EC9BC15"/>
    <w:rsid w:val="7EC9D014"/>
    <w:rsid w:val="7ECA1750"/>
    <w:rsid w:val="7ECAD57A"/>
    <w:rsid w:val="7ECB759E"/>
    <w:rsid w:val="7ECBD351"/>
    <w:rsid w:val="7ECC59C0"/>
    <w:rsid w:val="7ECC920B"/>
    <w:rsid w:val="7ECDA09F"/>
    <w:rsid w:val="7ECDFD76"/>
    <w:rsid w:val="7ECE4F85"/>
    <w:rsid w:val="7ECE5CFA"/>
    <w:rsid w:val="7ECE8231"/>
    <w:rsid w:val="7ECE9C46"/>
    <w:rsid w:val="7ECF2919"/>
    <w:rsid w:val="7ECFA9A1"/>
    <w:rsid w:val="7ECFB997"/>
    <w:rsid w:val="7ED003DC"/>
    <w:rsid w:val="7ED11A2C"/>
    <w:rsid w:val="7ED195AF"/>
    <w:rsid w:val="7ED1CBDE"/>
    <w:rsid w:val="7ED1E551"/>
    <w:rsid w:val="7ED230EA"/>
    <w:rsid w:val="7ED3222A"/>
    <w:rsid w:val="7ED33A03"/>
    <w:rsid w:val="7ED38046"/>
    <w:rsid w:val="7ED40154"/>
    <w:rsid w:val="7ED459BA"/>
    <w:rsid w:val="7ED4E181"/>
    <w:rsid w:val="7ED50278"/>
    <w:rsid w:val="7ED55EFC"/>
    <w:rsid w:val="7ED5868B"/>
    <w:rsid w:val="7ED5B907"/>
    <w:rsid w:val="7ED5F791"/>
    <w:rsid w:val="7ED6100C"/>
    <w:rsid w:val="7ED6781C"/>
    <w:rsid w:val="7ED6AF1A"/>
    <w:rsid w:val="7ED718E7"/>
    <w:rsid w:val="7ED72BC9"/>
    <w:rsid w:val="7ED813C2"/>
    <w:rsid w:val="7ED86A06"/>
    <w:rsid w:val="7ED88271"/>
    <w:rsid w:val="7ED938C8"/>
    <w:rsid w:val="7ED947D0"/>
    <w:rsid w:val="7EDA4EF4"/>
    <w:rsid w:val="7EDADEF8"/>
    <w:rsid w:val="7EDB6F3A"/>
    <w:rsid w:val="7EDBA965"/>
    <w:rsid w:val="7EDBC38D"/>
    <w:rsid w:val="7EDC737F"/>
    <w:rsid w:val="7EDCE4C5"/>
    <w:rsid w:val="7EDDF08D"/>
    <w:rsid w:val="7EDEEFB6"/>
    <w:rsid w:val="7EDF79E9"/>
    <w:rsid w:val="7EE00AA9"/>
    <w:rsid w:val="7EE08113"/>
    <w:rsid w:val="7EE0E251"/>
    <w:rsid w:val="7EE10315"/>
    <w:rsid w:val="7EE146BA"/>
    <w:rsid w:val="7EE15378"/>
    <w:rsid w:val="7EE1A200"/>
    <w:rsid w:val="7EE1A53E"/>
    <w:rsid w:val="7EE228E2"/>
    <w:rsid w:val="7EE25041"/>
    <w:rsid w:val="7EE2F25F"/>
    <w:rsid w:val="7EE3071D"/>
    <w:rsid w:val="7EE3397A"/>
    <w:rsid w:val="7EE5862F"/>
    <w:rsid w:val="7EE58875"/>
    <w:rsid w:val="7EE5F8DC"/>
    <w:rsid w:val="7EE603B0"/>
    <w:rsid w:val="7EE656F6"/>
    <w:rsid w:val="7EE69C24"/>
    <w:rsid w:val="7EE770DC"/>
    <w:rsid w:val="7EE7F1AA"/>
    <w:rsid w:val="7EE80200"/>
    <w:rsid w:val="7EE9A40E"/>
    <w:rsid w:val="7EE9E83A"/>
    <w:rsid w:val="7EEA34BC"/>
    <w:rsid w:val="7EEA4976"/>
    <w:rsid w:val="7EEA984D"/>
    <w:rsid w:val="7EEB8F30"/>
    <w:rsid w:val="7EEBBE0B"/>
    <w:rsid w:val="7EEC022F"/>
    <w:rsid w:val="7EEC9519"/>
    <w:rsid w:val="7EEDBD40"/>
    <w:rsid w:val="7EEE6232"/>
    <w:rsid w:val="7EEED6F6"/>
    <w:rsid w:val="7EEFD665"/>
    <w:rsid w:val="7EF015A5"/>
    <w:rsid w:val="7EF0F661"/>
    <w:rsid w:val="7EF10A90"/>
    <w:rsid w:val="7EF10B70"/>
    <w:rsid w:val="7EF1BB4A"/>
    <w:rsid w:val="7EF2A06A"/>
    <w:rsid w:val="7EF2B520"/>
    <w:rsid w:val="7EF2F8C9"/>
    <w:rsid w:val="7EF3A64C"/>
    <w:rsid w:val="7EF3E0F8"/>
    <w:rsid w:val="7EF40460"/>
    <w:rsid w:val="7EF443AD"/>
    <w:rsid w:val="7EF48457"/>
    <w:rsid w:val="7EF48FC4"/>
    <w:rsid w:val="7EF57D77"/>
    <w:rsid w:val="7EF59074"/>
    <w:rsid w:val="7EF5B097"/>
    <w:rsid w:val="7EF675C3"/>
    <w:rsid w:val="7EF6887C"/>
    <w:rsid w:val="7EF70D81"/>
    <w:rsid w:val="7EF7177A"/>
    <w:rsid w:val="7EF73FD8"/>
    <w:rsid w:val="7EF75B2F"/>
    <w:rsid w:val="7EF815A1"/>
    <w:rsid w:val="7EF863EF"/>
    <w:rsid w:val="7EF8B3EC"/>
    <w:rsid w:val="7EF91263"/>
    <w:rsid w:val="7EFA4EF9"/>
    <w:rsid w:val="7EFAA003"/>
    <w:rsid w:val="7EFAB3F7"/>
    <w:rsid w:val="7EFAC3EB"/>
    <w:rsid w:val="7EFAF338"/>
    <w:rsid w:val="7EFB15E7"/>
    <w:rsid w:val="7EFB92E6"/>
    <w:rsid w:val="7EFB99C8"/>
    <w:rsid w:val="7EFBD191"/>
    <w:rsid w:val="7EFBE737"/>
    <w:rsid w:val="7EFD2E06"/>
    <w:rsid w:val="7EFDBEDB"/>
    <w:rsid w:val="7EFDE794"/>
    <w:rsid w:val="7EFF3100"/>
    <w:rsid w:val="7F00AA5A"/>
    <w:rsid w:val="7F00BC68"/>
    <w:rsid w:val="7F015957"/>
    <w:rsid w:val="7F018D66"/>
    <w:rsid w:val="7F0299FF"/>
    <w:rsid w:val="7F02F58A"/>
    <w:rsid w:val="7F033ECA"/>
    <w:rsid w:val="7F034861"/>
    <w:rsid w:val="7F0363EA"/>
    <w:rsid w:val="7F03BC9E"/>
    <w:rsid w:val="7F0405C0"/>
    <w:rsid w:val="7F04D294"/>
    <w:rsid w:val="7F051CFF"/>
    <w:rsid w:val="7F053EF0"/>
    <w:rsid w:val="7F05BDB8"/>
    <w:rsid w:val="7F061E03"/>
    <w:rsid w:val="7F067F82"/>
    <w:rsid w:val="7F06A1EA"/>
    <w:rsid w:val="7F06F6E9"/>
    <w:rsid w:val="7F080DC4"/>
    <w:rsid w:val="7F083165"/>
    <w:rsid w:val="7F091E8A"/>
    <w:rsid w:val="7F095783"/>
    <w:rsid w:val="7F099FA6"/>
    <w:rsid w:val="7F0A69DF"/>
    <w:rsid w:val="7F0AF7D4"/>
    <w:rsid w:val="7F0B3766"/>
    <w:rsid w:val="7F0B83B3"/>
    <w:rsid w:val="7F0BB19A"/>
    <w:rsid w:val="7F0BBA6B"/>
    <w:rsid w:val="7F0CA27A"/>
    <w:rsid w:val="7F0CB153"/>
    <w:rsid w:val="7F0D0674"/>
    <w:rsid w:val="7F0D2EBC"/>
    <w:rsid w:val="7F0D67E9"/>
    <w:rsid w:val="7F0D96A2"/>
    <w:rsid w:val="7F0D9C45"/>
    <w:rsid w:val="7F0DED2A"/>
    <w:rsid w:val="7F0E3697"/>
    <w:rsid w:val="7F0E3A36"/>
    <w:rsid w:val="7F0ECBC8"/>
    <w:rsid w:val="7F104619"/>
    <w:rsid w:val="7F1065B2"/>
    <w:rsid w:val="7F10E720"/>
    <w:rsid w:val="7F110945"/>
    <w:rsid w:val="7F116AE5"/>
    <w:rsid w:val="7F11A9E6"/>
    <w:rsid w:val="7F13C0B5"/>
    <w:rsid w:val="7F145F85"/>
    <w:rsid w:val="7F1494FE"/>
    <w:rsid w:val="7F14DBD4"/>
    <w:rsid w:val="7F15B4C3"/>
    <w:rsid w:val="7F168957"/>
    <w:rsid w:val="7F16CEED"/>
    <w:rsid w:val="7F16D745"/>
    <w:rsid w:val="7F16E19F"/>
    <w:rsid w:val="7F174ABD"/>
    <w:rsid w:val="7F17A915"/>
    <w:rsid w:val="7F181C9D"/>
    <w:rsid w:val="7F1869DA"/>
    <w:rsid w:val="7F197ED5"/>
    <w:rsid w:val="7F1998D9"/>
    <w:rsid w:val="7F199F37"/>
    <w:rsid w:val="7F19FC17"/>
    <w:rsid w:val="7F1A9ACA"/>
    <w:rsid w:val="7F1ABF13"/>
    <w:rsid w:val="7F1B77A8"/>
    <w:rsid w:val="7F1BAF5E"/>
    <w:rsid w:val="7F1BE079"/>
    <w:rsid w:val="7F1BE0BF"/>
    <w:rsid w:val="7F1C5650"/>
    <w:rsid w:val="7F1C734B"/>
    <w:rsid w:val="7F1D2FAF"/>
    <w:rsid w:val="7F1D6007"/>
    <w:rsid w:val="7F1D6D95"/>
    <w:rsid w:val="7F1E0B03"/>
    <w:rsid w:val="7F1E2FEC"/>
    <w:rsid w:val="7F1E6C4C"/>
    <w:rsid w:val="7F1F7436"/>
    <w:rsid w:val="7F20C221"/>
    <w:rsid w:val="7F20FE70"/>
    <w:rsid w:val="7F21990E"/>
    <w:rsid w:val="7F2199C3"/>
    <w:rsid w:val="7F221FAA"/>
    <w:rsid w:val="7F223025"/>
    <w:rsid w:val="7F23B2EE"/>
    <w:rsid w:val="7F24744A"/>
    <w:rsid w:val="7F248177"/>
    <w:rsid w:val="7F248D62"/>
    <w:rsid w:val="7F24AB83"/>
    <w:rsid w:val="7F24BD4D"/>
    <w:rsid w:val="7F24C5C8"/>
    <w:rsid w:val="7F25B914"/>
    <w:rsid w:val="7F25D0EF"/>
    <w:rsid w:val="7F25F8A4"/>
    <w:rsid w:val="7F26079A"/>
    <w:rsid w:val="7F274962"/>
    <w:rsid w:val="7F275DC3"/>
    <w:rsid w:val="7F275E48"/>
    <w:rsid w:val="7F27B538"/>
    <w:rsid w:val="7F292164"/>
    <w:rsid w:val="7F293CDD"/>
    <w:rsid w:val="7F29AE37"/>
    <w:rsid w:val="7F2AB651"/>
    <w:rsid w:val="7F2B27AA"/>
    <w:rsid w:val="7F2C2DCD"/>
    <w:rsid w:val="7F2C83FD"/>
    <w:rsid w:val="7F2CC2D4"/>
    <w:rsid w:val="7F2DD435"/>
    <w:rsid w:val="7F2E5653"/>
    <w:rsid w:val="7F2FB894"/>
    <w:rsid w:val="7F2FB93C"/>
    <w:rsid w:val="7F2FDBE4"/>
    <w:rsid w:val="7F31B3B1"/>
    <w:rsid w:val="7F325CB3"/>
    <w:rsid w:val="7F327391"/>
    <w:rsid w:val="7F32D42D"/>
    <w:rsid w:val="7F33D1F4"/>
    <w:rsid w:val="7F34C86C"/>
    <w:rsid w:val="7F35B668"/>
    <w:rsid w:val="7F366D3F"/>
    <w:rsid w:val="7F3693AF"/>
    <w:rsid w:val="7F374EDF"/>
    <w:rsid w:val="7F37DF09"/>
    <w:rsid w:val="7F391E25"/>
    <w:rsid w:val="7F394546"/>
    <w:rsid w:val="7F3A3489"/>
    <w:rsid w:val="7F3A8BFE"/>
    <w:rsid w:val="7F3ABAE9"/>
    <w:rsid w:val="7F3B75AC"/>
    <w:rsid w:val="7F3C4738"/>
    <w:rsid w:val="7F3CD86F"/>
    <w:rsid w:val="7F3CE650"/>
    <w:rsid w:val="7F3CEB60"/>
    <w:rsid w:val="7F3D238E"/>
    <w:rsid w:val="7F3D79F0"/>
    <w:rsid w:val="7F3DCDB8"/>
    <w:rsid w:val="7F3E33CC"/>
    <w:rsid w:val="7F3E6D8B"/>
    <w:rsid w:val="7F3E9B88"/>
    <w:rsid w:val="7F3F904A"/>
    <w:rsid w:val="7F40A620"/>
    <w:rsid w:val="7F40F729"/>
    <w:rsid w:val="7F4126C0"/>
    <w:rsid w:val="7F41FA98"/>
    <w:rsid w:val="7F41FD00"/>
    <w:rsid w:val="7F428D8D"/>
    <w:rsid w:val="7F431E2A"/>
    <w:rsid w:val="7F4367A7"/>
    <w:rsid w:val="7F43AFD0"/>
    <w:rsid w:val="7F43B4E4"/>
    <w:rsid w:val="7F43BBFD"/>
    <w:rsid w:val="7F43D00A"/>
    <w:rsid w:val="7F44D643"/>
    <w:rsid w:val="7F45373C"/>
    <w:rsid w:val="7F45562E"/>
    <w:rsid w:val="7F45E7FA"/>
    <w:rsid w:val="7F4609CF"/>
    <w:rsid w:val="7F46F04C"/>
    <w:rsid w:val="7F482356"/>
    <w:rsid w:val="7F483F5C"/>
    <w:rsid w:val="7F4961E4"/>
    <w:rsid w:val="7F499809"/>
    <w:rsid w:val="7F49A22B"/>
    <w:rsid w:val="7F49B049"/>
    <w:rsid w:val="7F4A4CE5"/>
    <w:rsid w:val="7F4A7F1F"/>
    <w:rsid w:val="7F4A8E02"/>
    <w:rsid w:val="7F4AF702"/>
    <w:rsid w:val="7F4BC481"/>
    <w:rsid w:val="7F4C12C1"/>
    <w:rsid w:val="7F4CC604"/>
    <w:rsid w:val="7F4CD1FB"/>
    <w:rsid w:val="7F4D0EDA"/>
    <w:rsid w:val="7F4E72BF"/>
    <w:rsid w:val="7F4E857B"/>
    <w:rsid w:val="7F4F4A68"/>
    <w:rsid w:val="7F521748"/>
    <w:rsid w:val="7F525D6A"/>
    <w:rsid w:val="7F52B30E"/>
    <w:rsid w:val="7F52C4EC"/>
    <w:rsid w:val="7F531967"/>
    <w:rsid w:val="7F5422FE"/>
    <w:rsid w:val="7F564227"/>
    <w:rsid w:val="7F56A354"/>
    <w:rsid w:val="7F57B969"/>
    <w:rsid w:val="7F58216E"/>
    <w:rsid w:val="7F582E97"/>
    <w:rsid w:val="7F5864B5"/>
    <w:rsid w:val="7F590744"/>
    <w:rsid w:val="7F59FC63"/>
    <w:rsid w:val="7F5A5E79"/>
    <w:rsid w:val="7F5BBA6D"/>
    <w:rsid w:val="7F5BCF1B"/>
    <w:rsid w:val="7F5BFEFF"/>
    <w:rsid w:val="7F5C211E"/>
    <w:rsid w:val="7F5D22DB"/>
    <w:rsid w:val="7F5DDB18"/>
    <w:rsid w:val="7F5E1EA8"/>
    <w:rsid w:val="7F5E86D1"/>
    <w:rsid w:val="7F5ED2F8"/>
    <w:rsid w:val="7F5F8FA2"/>
    <w:rsid w:val="7F605EF1"/>
    <w:rsid w:val="7F606850"/>
    <w:rsid w:val="7F60A5AE"/>
    <w:rsid w:val="7F60BD9C"/>
    <w:rsid w:val="7F60FFAE"/>
    <w:rsid w:val="7F6102ED"/>
    <w:rsid w:val="7F611EA5"/>
    <w:rsid w:val="7F616E4F"/>
    <w:rsid w:val="7F61A619"/>
    <w:rsid w:val="7F621C7A"/>
    <w:rsid w:val="7F63819A"/>
    <w:rsid w:val="7F63CD8D"/>
    <w:rsid w:val="7F63D9D8"/>
    <w:rsid w:val="7F64503A"/>
    <w:rsid w:val="7F64B1E8"/>
    <w:rsid w:val="7F659E8D"/>
    <w:rsid w:val="7F668793"/>
    <w:rsid w:val="7F66B3CD"/>
    <w:rsid w:val="7F67B9A4"/>
    <w:rsid w:val="7F68EE48"/>
    <w:rsid w:val="7F69506F"/>
    <w:rsid w:val="7F6968F8"/>
    <w:rsid w:val="7F69BE8D"/>
    <w:rsid w:val="7F6ADA84"/>
    <w:rsid w:val="7F6B6A57"/>
    <w:rsid w:val="7F6B99A9"/>
    <w:rsid w:val="7F6BE601"/>
    <w:rsid w:val="7F6C0B0A"/>
    <w:rsid w:val="7F6DF01D"/>
    <w:rsid w:val="7F6E17FF"/>
    <w:rsid w:val="7F6E715D"/>
    <w:rsid w:val="7F6E7259"/>
    <w:rsid w:val="7F6EB655"/>
    <w:rsid w:val="7F70228F"/>
    <w:rsid w:val="7F7027C1"/>
    <w:rsid w:val="7F703182"/>
    <w:rsid w:val="7F70C6BC"/>
    <w:rsid w:val="7F71413D"/>
    <w:rsid w:val="7F72E46F"/>
    <w:rsid w:val="7F72F04F"/>
    <w:rsid w:val="7F734BD2"/>
    <w:rsid w:val="7F73EC36"/>
    <w:rsid w:val="7F7493EE"/>
    <w:rsid w:val="7F7587F1"/>
    <w:rsid w:val="7F75BA0F"/>
    <w:rsid w:val="7F760D08"/>
    <w:rsid w:val="7F761F52"/>
    <w:rsid w:val="7F76277F"/>
    <w:rsid w:val="7F770999"/>
    <w:rsid w:val="7F786154"/>
    <w:rsid w:val="7F7867FA"/>
    <w:rsid w:val="7F788976"/>
    <w:rsid w:val="7F793E1A"/>
    <w:rsid w:val="7F795E34"/>
    <w:rsid w:val="7F799F55"/>
    <w:rsid w:val="7F7A352E"/>
    <w:rsid w:val="7F7A8944"/>
    <w:rsid w:val="7F7BC11F"/>
    <w:rsid w:val="7F7BC3F5"/>
    <w:rsid w:val="7F7BD029"/>
    <w:rsid w:val="7F7C21D6"/>
    <w:rsid w:val="7F7CB1F9"/>
    <w:rsid w:val="7F7E6FDC"/>
    <w:rsid w:val="7F7EF914"/>
    <w:rsid w:val="7F7F45FC"/>
    <w:rsid w:val="7F80BF51"/>
    <w:rsid w:val="7F810F99"/>
    <w:rsid w:val="7F8174F3"/>
    <w:rsid w:val="7F818784"/>
    <w:rsid w:val="7F8199DA"/>
    <w:rsid w:val="7F81ECC1"/>
    <w:rsid w:val="7F820155"/>
    <w:rsid w:val="7F828D2E"/>
    <w:rsid w:val="7F828EB9"/>
    <w:rsid w:val="7F82A7E8"/>
    <w:rsid w:val="7F82E421"/>
    <w:rsid w:val="7F8315C3"/>
    <w:rsid w:val="7F8372E3"/>
    <w:rsid w:val="7F839B70"/>
    <w:rsid w:val="7F83D0CC"/>
    <w:rsid w:val="7F83E3A0"/>
    <w:rsid w:val="7F8462FD"/>
    <w:rsid w:val="7F84A431"/>
    <w:rsid w:val="7F84BCC4"/>
    <w:rsid w:val="7F856EA8"/>
    <w:rsid w:val="7F858420"/>
    <w:rsid w:val="7F86443E"/>
    <w:rsid w:val="7F86524D"/>
    <w:rsid w:val="7F86F668"/>
    <w:rsid w:val="7F8716C7"/>
    <w:rsid w:val="7F874B67"/>
    <w:rsid w:val="7F876E61"/>
    <w:rsid w:val="7F883688"/>
    <w:rsid w:val="7F88F9B3"/>
    <w:rsid w:val="7F8A11DB"/>
    <w:rsid w:val="7F8A1801"/>
    <w:rsid w:val="7F8A566F"/>
    <w:rsid w:val="7F8A5DEF"/>
    <w:rsid w:val="7F8A9C85"/>
    <w:rsid w:val="7F8C31D1"/>
    <w:rsid w:val="7F8C3CF5"/>
    <w:rsid w:val="7F8C9811"/>
    <w:rsid w:val="7F8CBEB7"/>
    <w:rsid w:val="7F8CC2C8"/>
    <w:rsid w:val="7F8D0A6C"/>
    <w:rsid w:val="7F8D27AD"/>
    <w:rsid w:val="7F8DCF41"/>
    <w:rsid w:val="7F8DD4F3"/>
    <w:rsid w:val="7F8DDC25"/>
    <w:rsid w:val="7F8E747B"/>
    <w:rsid w:val="7F8F28EF"/>
    <w:rsid w:val="7F9058DA"/>
    <w:rsid w:val="7F909E9C"/>
    <w:rsid w:val="7F91C1BD"/>
    <w:rsid w:val="7F92806F"/>
    <w:rsid w:val="7F92F302"/>
    <w:rsid w:val="7F94281D"/>
    <w:rsid w:val="7F9452CE"/>
    <w:rsid w:val="7F94E004"/>
    <w:rsid w:val="7F958A28"/>
    <w:rsid w:val="7F959272"/>
    <w:rsid w:val="7F9639F5"/>
    <w:rsid w:val="7F969A95"/>
    <w:rsid w:val="7F97055F"/>
    <w:rsid w:val="7F97BB9B"/>
    <w:rsid w:val="7F983794"/>
    <w:rsid w:val="7F9844AC"/>
    <w:rsid w:val="7F990216"/>
    <w:rsid w:val="7F9A1E54"/>
    <w:rsid w:val="7F9A3956"/>
    <w:rsid w:val="7F9A5B28"/>
    <w:rsid w:val="7F9B446B"/>
    <w:rsid w:val="7F9B752C"/>
    <w:rsid w:val="7F9B78DE"/>
    <w:rsid w:val="7F9C0485"/>
    <w:rsid w:val="7F9C3028"/>
    <w:rsid w:val="7F9D0557"/>
    <w:rsid w:val="7F9E6C19"/>
    <w:rsid w:val="7F9EAB11"/>
    <w:rsid w:val="7F9ECF8F"/>
    <w:rsid w:val="7F9F404C"/>
    <w:rsid w:val="7F9FF936"/>
    <w:rsid w:val="7FA02F28"/>
    <w:rsid w:val="7FA08716"/>
    <w:rsid w:val="7FA0C007"/>
    <w:rsid w:val="7FA18899"/>
    <w:rsid w:val="7FA35EB7"/>
    <w:rsid w:val="7FA380FE"/>
    <w:rsid w:val="7FA3EE0D"/>
    <w:rsid w:val="7FA401A5"/>
    <w:rsid w:val="7FA45925"/>
    <w:rsid w:val="7FA4DD82"/>
    <w:rsid w:val="7FA58707"/>
    <w:rsid w:val="7FA5E255"/>
    <w:rsid w:val="7FA72458"/>
    <w:rsid w:val="7FA82930"/>
    <w:rsid w:val="7FA8E247"/>
    <w:rsid w:val="7FA8ED7D"/>
    <w:rsid w:val="7FA9040E"/>
    <w:rsid w:val="7FA9EC80"/>
    <w:rsid w:val="7FABB7D2"/>
    <w:rsid w:val="7FABE743"/>
    <w:rsid w:val="7FACE56E"/>
    <w:rsid w:val="7FAE20EA"/>
    <w:rsid w:val="7FAE9BB4"/>
    <w:rsid w:val="7FAEA332"/>
    <w:rsid w:val="7FAF63A5"/>
    <w:rsid w:val="7FB08972"/>
    <w:rsid w:val="7FB1033C"/>
    <w:rsid w:val="7FB134E8"/>
    <w:rsid w:val="7FB16646"/>
    <w:rsid w:val="7FB1A51C"/>
    <w:rsid w:val="7FB2AB01"/>
    <w:rsid w:val="7FB3CCD6"/>
    <w:rsid w:val="7FB41B55"/>
    <w:rsid w:val="7FB4D2A3"/>
    <w:rsid w:val="7FB509EC"/>
    <w:rsid w:val="7FB54A2E"/>
    <w:rsid w:val="7FB5C5A4"/>
    <w:rsid w:val="7FB61803"/>
    <w:rsid w:val="7FB6A784"/>
    <w:rsid w:val="7FB6F0BD"/>
    <w:rsid w:val="7FB6F43C"/>
    <w:rsid w:val="7FB702D1"/>
    <w:rsid w:val="7FB74C88"/>
    <w:rsid w:val="7FB7918E"/>
    <w:rsid w:val="7FB82760"/>
    <w:rsid w:val="7FB9BB99"/>
    <w:rsid w:val="7FBA53FC"/>
    <w:rsid w:val="7FBABF7F"/>
    <w:rsid w:val="7FBAF6EA"/>
    <w:rsid w:val="7FBB3F1C"/>
    <w:rsid w:val="7FBBF74C"/>
    <w:rsid w:val="7FBC0576"/>
    <w:rsid w:val="7FBCC01A"/>
    <w:rsid w:val="7FBCDB6A"/>
    <w:rsid w:val="7FBDD3A9"/>
    <w:rsid w:val="7FBE2803"/>
    <w:rsid w:val="7FBE3930"/>
    <w:rsid w:val="7FBF1B43"/>
    <w:rsid w:val="7FBF1E10"/>
    <w:rsid w:val="7FBF33AC"/>
    <w:rsid w:val="7FC1BA13"/>
    <w:rsid w:val="7FC1E058"/>
    <w:rsid w:val="7FC2306A"/>
    <w:rsid w:val="7FC2E3C3"/>
    <w:rsid w:val="7FC39099"/>
    <w:rsid w:val="7FC401CD"/>
    <w:rsid w:val="7FC462AF"/>
    <w:rsid w:val="7FC4774A"/>
    <w:rsid w:val="7FC48108"/>
    <w:rsid w:val="7FC4E1D0"/>
    <w:rsid w:val="7FC5C211"/>
    <w:rsid w:val="7FC5D137"/>
    <w:rsid w:val="7FC6334B"/>
    <w:rsid w:val="7FC68794"/>
    <w:rsid w:val="7FC6BCB2"/>
    <w:rsid w:val="7FC75EB4"/>
    <w:rsid w:val="7FC7ECD1"/>
    <w:rsid w:val="7FC7F0D6"/>
    <w:rsid w:val="7FC8E595"/>
    <w:rsid w:val="7FC8EAD4"/>
    <w:rsid w:val="7FC95822"/>
    <w:rsid w:val="7FC99FD7"/>
    <w:rsid w:val="7FC9D42C"/>
    <w:rsid w:val="7FC9E85D"/>
    <w:rsid w:val="7FCA7289"/>
    <w:rsid w:val="7FCAB0C3"/>
    <w:rsid w:val="7FCB1FBB"/>
    <w:rsid w:val="7FCBA6BB"/>
    <w:rsid w:val="7FCBDB83"/>
    <w:rsid w:val="7FCC9328"/>
    <w:rsid w:val="7FCDB6D3"/>
    <w:rsid w:val="7FCE0E53"/>
    <w:rsid w:val="7FCE2F9B"/>
    <w:rsid w:val="7FCE8B4A"/>
    <w:rsid w:val="7FCEB478"/>
    <w:rsid w:val="7FCF56D2"/>
    <w:rsid w:val="7FCF7AA9"/>
    <w:rsid w:val="7FCFC6D3"/>
    <w:rsid w:val="7FD035AC"/>
    <w:rsid w:val="7FD17C77"/>
    <w:rsid w:val="7FD1B481"/>
    <w:rsid w:val="7FD22187"/>
    <w:rsid w:val="7FD24B5F"/>
    <w:rsid w:val="7FD29358"/>
    <w:rsid w:val="7FD2BBFA"/>
    <w:rsid w:val="7FD312C4"/>
    <w:rsid w:val="7FD35907"/>
    <w:rsid w:val="7FD4FC4E"/>
    <w:rsid w:val="7FD5656E"/>
    <w:rsid w:val="7FD58278"/>
    <w:rsid w:val="7FD66E0F"/>
    <w:rsid w:val="7FD6FE99"/>
    <w:rsid w:val="7FD70F4C"/>
    <w:rsid w:val="7FD72F09"/>
    <w:rsid w:val="7FD8FF98"/>
    <w:rsid w:val="7FD907CD"/>
    <w:rsid w:val="7FD90852"/>
    <w:rsid w:val="7FD9ED06"/>
    <w:rsid w:val="7FDB4E3E"/>
    <w:rsid w:val="7FDB52C5"/>
    <w:rsid w:val="7FDB62A1"/>
    <w:rsid w:val="7FDC102E"/>
    <w:rsid w:val="7FDC3EA0"/>
    <w:rsid w:val="7FDCD790"/>
    <w:rsid w:val="7FDD18F0"/>
    <w:rsid w:val="7FDD2D0B"/>
    <w:rsid w:val="7FDD90FD"/>
    <w:rsid w:val="7FDE0552"/>
    <w:rsid w:val="7FDE5C88"/>
    <w:rsid w:val="7FDE697C"/>
    <w:rsid w:val="7FDE6F61"/>
    <w:rsid w:val="7FDEA052"/>
    <w:rsid w:val="7FE00DB3"/>
    <w:rsid w:val="7FE01EA8"/>
    <w:rsid w:val="7FE0206B"/>
    <w:rsid w:val="7FE0D175"/>
    <w:rsid w:val="7FE11776"/>
    <w:rsid w:val="7FE1240D"/>
    <w:rsid w:val="7FE154B0"/>
    <w:rsid w:val="7FE16B80"/>
    <w:rsid w:val="7FE1F107"/>
    <w:rsid w:val="7FE24EFE"/>
    <w:rsid w:val="7FE2B767"/>
    <w:rsid w:val="7FE30FA8"/>
    <w:rsid w:val="7FE34E94"/>
    <w:rsid w:val="7FE42394"/>
    <w:rsid w:val="7FE46CBD"/>
    <w:rsid w:val="7FE4D3D8"/>
    <w:rsid w:val="7FE55B88"/>
    <w:rsid w:val="7FE590C3"/>
    <w:rsid w:val="7FE5A3EB"/>
    <w:rsid w:val="7FE616A3"/>
    <w:rsid w:val="7FE64DE7"/>
    <w:rsid w:val="7FE65AE6"/>
    <w:rsid w:val="7FE68FA8"/>
    <w:rsid w:val="7FE6ED30"/>
    <w:rsid w:val="7FE7E986"/>
    <w:rsid w:val="7FE8222D"/>
    <w:rsid w:val="7FE9C275"/>
    <w:rsid w:val="7FE9D130"/>
    <w:rsid w:val="7FEAD376"/>
    <w:rsid w:val="7FEAF0D1"/>
    <w:rsid w:val="7FEAFE21"/>
    <w:rsid w:val="7FEB0561"/>
    <w:rsid w:val="7FEB43A4"/>
    <w:rsid w:val="7FEB5FEA"/>
    <w:rsid w:val="7FEC6EB8"/>
    <w:rsid w:val="7FED2641"/>
    <w:rsid w:val="7FED8BD4"/>
    <w:rsid w:val="7FEDB6D3"/>
    <w:rsid w:val="7FEDEE03"/>
    <w:rsid w:val="7FEE208D"/>
    <w:rsid w:val="7FEE391A"/>
    <w:rsid w:val="7FEEDBD8"/>
    <w:rsid w:val="7FEF5628"/>
    <w:rsid w:val="7FEF91D7"/>
    <w:rsid w:val="7FF19A92"/>
    <w:rsid w:val="7FF1E7D8"/>
    <w:rsid w:val="7FF26DA1"/>
    <w:rsid w:val="7FF2B169"/>
    <w:rsid w:val="7FF2D3C3"/>
    <w:rsid w:val="7FF301C2"/>
    <w:rsid w:val="7FF31C40"/>
    <w:rsid w:val="7FF3E591"/>
    <w:rsid w:val="7FF3F3BF"/>
    <w:rsid w:val="7FF462A3"/>
    <w:rsid w:val="7FF4C513"/>
    <w:rsid w:val="7FF642DF"/>
    <w:rsid w:val="7FF68727"/>
    <w:rsid w:val="7FF73A6E"/>
    <w:rsid w:val="7FF76589"/>
    <w:rsid w:val="7FF80EC9"/>
    <w:rsid w:val="7FF8FABE"/>
    <w:rsid w:val="7FF90624"/>
    <w:rsid w:val="7FFAAC54"/>
    <w:rsid w:val="7FFAB7CF"/>
    <w:rsid w:val="7FFAD606"/>
    <w:rsid w:val="7FFAF289"/>
    <w:rsid w:val="7FFB60E3"/>
    <w:rsid w:val="7FFBD674"/>
    <w:rsid w:val="7FFC0352"/>
    <w:rsid w:val="7FFCDA6C"/>
    <w:rsid w:val="7FFD1995"/>
    <w:rsid w:val="7FFDFBAF"/>
    <w:rsid w:val="7FFE10D5"/>
    <w:rsid w:val="7FFE6DAF"/>
    <w:rsid w:val="7FFE77C8"/>
    <w:rsid w:val="7FFEDA49"/>
    <w:rsid w:val="7FFF208C"/>
    <w:rsid w:val="7FFFC11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E7C75"/>
  <w15:chartTrackingRefBased/>
  <w15:docId w15:val="{ABF32C83-D4B4-4539-986E-29FBC8E9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2EA"/>
  </w:style>
  <w:style w:type="paragraph" w:styleId="Heading1">
    <w:name w:val="heading 1"/>
    <w:basedOn w:val="Normal"/>
    <w:next w:val="Normal"/>
    <w:link w:val="Heading1Char"/>
    <w:uiPriority w:val="9"/>
    <w:qFormat/>
    <w:rsid w:val="008F5BBA"/>
    <w:pPr>
      <w:keepNext/>
      <w:keepLines/>
      <w:spacing w:before="240" w:after="0"/>
      <w:outlineLvl w:val="0"/>
    </w:pPr>
    <w:rPr>
      <w:rFonts w:ascii="Berlin Sans FB" w:eastAsiaTheme="majorEastAsia" w:hAnsi="Berlin Sans FB" w:cstheme="majorBidi"/>
      <w:color w:val="2D435F" w:themeColor="accent1" w:themeShade="BF"/>
      <w:sz w:val="36"/>
      <w:szCs w:val="32"/>
    </w:rPr>
  </w:style>
  <w:style w:type="paragraph" w:styleId="Heading2">
    <w:name w:val="heading 2"/>
    <w:basedOn w:val="Normal"/>
    <w:next w:val="Normal"/>
    <w:link w:val="Heading2Char"/>
    <w:uiPriority w:val="9"/>
    <w:unhideWhenUsed/>
    <w:qFormat/>
    <w:rsid w:val="00AC2009"/>
    <w:pPr>
      <w:keepNext/>
      <w:keepLines/>
      <w:spacing w:before="40" w:after="0"/>
      <w:outlineLvl w:val="1"/>
    </w:pPr>
    <w:rPr>
      <w:rFonts w:ascii="Berlin Sans FB" w:eastAsiaTheme="majorEastAsia" w:hAnsi="Berlin Sans FB" w:cstheme="majorBidi"/>
      <w:color w:val="326787" w:themeColor="accent2" w:themeShade="80"/>
      <w:sz w:val="26"/>
      <w:szCs w:val="26"/>
    </w:rPr>
  </w:style>
  <w:style w:type="paragraph" w:styleId="Heading3">
    <w:name w:val="heading 3"/>
    <w:basedOn w:val="Normal"/>
    <w:next w:val="Normal"/>
    <w:link w:val="Heading3Char"/>
    <w:uiPriority w:val="9"/>
    <w:unhideWhenUsed/>
    <w:qFormat/>
    <w:rsid w:val="009F55AB"/>
    <w:pPr>
      <w:keepNext/>
      <w:keepLines/>
      <w:spacing w:before="40" w:after="0"/>
      <w:outlineLvl w:val="2"/>
    </w:pPr>
    <w:rPr>
      <w:rFonts w:ascii="Berlin Sans FB" w:eastAsiaTheme="majorEastAsia" w:hAnsi="Berlin Sans FB" w:cstheme="majorBidi"/>
      <w:color w:val="1E2C3F" w:themeColor="accent1" w:themeShade="7F"/>
      <w:sz w:val="24"/>
      <w:szCs w:val="24"/>
    </w:rPr>
  </w:style>
  <w:style w:type="paragraph" w:styleId="Heading4">
    <w:name w:val="heading 4"/>
    <w:basedOn w:val="Normal"/>
    <w:next w:val="Normal"/>
    <w:link w:val="Heading4Char"/>
    <w:uiPriority w:val="9"/>
    <w:unhideWhenUsed/>
    <w:qFormat/>
    <w:rsid w:val="00482B23"/>
    <w:pPr>
      <w:keepNext/>
      <w:keepLines/>
      <w:spacing w:before="240" w:after="240"/>
      <w:outlineLvl w:val="3"/>
    </w:pPr>
    <w:rPr>
      <w:rFonts w:ascii="Berlin Sans FB" w:eastAsiaTheme="majorEastAsia" w:hAnsi="Berlin Sans FB" w:cstheme="majorBidi"/>
      <w:iCs/>
      <w:color w:val="2D435F" w:themeColor="accent1" w:themeShade="BF"/>
    </w:rPr>
  </w:style>
  <w:style w:type="paragraph" w:styleId="Heading5">
    <w:name w:val="heading 5"/>
    <w:basedOn w:val="Normal"/>
    <w:next w:val="Normal"/>
    <w:link w:val="Heading5Char"/>
    <w:uiPriority w:val="9"/>
    <w:unhideWhenUsed/>
    <w:qFormat/>
    <w:rsid w:val="001B53C6"/>
    <w:pPr>
      <w:keepNext/>
      <w:keepLines/>
      <w:spacing w:before="200" w:after="200"/>
      <w:ind w:left="432"/>
      <w:outlineLvl w:val="4"/>
    </w:pPr>
    <w:rPr>
      <w:rFonts w:ascii="Berlin Sans FB" w:eastAsiaTheme="majorEastAsia" w:hAnsi="Berlin Sans FB" w:cstheme="majorBidi"/>
      <w:color w:val="2D435F" w:themeColor="accent1" w:themeShade="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0D9"/>
    <w:rPr>
      <w:rFonts w:ascii="Berlin Sans FB" w:eastAsiaTheme="majorEastAsia" w:hAnsi="Berlin Sans FB" w:cstheme="majorBidi"/>
      <w:color w:val="2D435F" w:themeColor="accent1" w:themeShade="BF"/>
      <w:sz w:val="36"/>
      <w:szCs w:val="32"/>
    </w:rPr>
  </w:style>
  <w:style w:type="character" w:customStyle="1" w:styleId="Heading2Char">
    <w:name w:val="Heading 2 Char"/>
    <w:basedOn w:val="DefaultParagraphFont"/>
    <w:link w:val="Heading2"/>
    <w:uiPriority w:val="9"/>
    <w:rsid w:val="008972EA"/>
    <w:rPr>
      <w:rFonts w:ascii="Berlin Sans FB" w:eastAsiaTheme="majorEastAsia" w:hAnsi="Berlin Sans FB" w:cstheme="majorBidi"/>
      <w:color w:val="326787" w:themeColor="accent2" w:themeShade="80"/>
      <w:sz w:val="26"/>
      <w:szCs w:val="26"/>
    </w:rPr>
  </w:style>
  <w:style w:type="character" w:customStyle="1" w:styleId="Heading3Char">
    <w:name w:val="Heading 3 Char"/>
    <w:basedOn w:val="DefaultParagraphFont"/>
    <w:link w:val="Heading3"/>
    <w:uiPriority w:val="9"/>
    <w:rsid w:val="008972EA"/>
    <w:rPr>
      <w:rFonts w:ascii="Berlin Sans FB" w:eastAsiaTheme="majorEastAsia" w:hAnsi="Berlin Sans FB" w:cstheme="majorBidi"/>
      <w:color w:val="1E2C3F" w:themeColor="accent1" w:themeShade="7F"/>
      <w:sz w:val="24"/>
      <w:szCs w:val="24"/>
    </w:rPr>
  </w:style>
  <w:style w:type="character" w:customStyle="1" w:styleId="Heading4Char">
    <w:name w:val="Heading 4 Char"/>
    <w:basedOn w:val="DefaultParagraphFont"/>
    <w:link w:val="Heading4"/>
    <w:uiPriority w:val="9"/>
    <w:rsid w:val="008972EA"/>
    <w:rPr>
      <w:rFonts w:ascii="Berlin Sans FB" w:eastAsiaTheme="majorEastAsia" w:hAnsi="Berlin Sans FB" w:cstheme="majorBidi"/>
      <w:iCs/>
      <w:color w:val="2D435F" w:themeColor="accent1" w:themeShade="BF"/>
    </w:rPr>
  </w:style>
  <w:style w:type="paragraph" w:styleId="ListParagraph">
    <w:name w:val="List Paragraph"/>
    <w:aliases w:val="123 List Paragraph,Bullet paras,Bullets,Dot pt,List Paragraph (numbered (a)),List Paragraph nowy,List Paragraph1,List_Paragraph,Liste 1,Main numbered paragraph,Multilevel para_II,Numbered List Paragraph,Numbered Paragraph,References,texte"/>
    <w:basedOn w:val="Normal"/>
    <w:link w:val="ListParagraphChar"/>
    <w:uiPriority w:val="34"/>
    <w:qFormat/>
    <w:rsid w:val="008972EA"/>
    <w:pPr>
      <w:spacing w:after="200" w:line="276" w:lineRule="auto"/>
      <w:ind w:left="720"/>
      <w:contextualSpacing/>
    </w:pPr>
    <w:rPr>
      <w:rFonts w:ascii="Calibri" w:hAnsi="Calibri" w:cs="Calibri"/>
    </w:rPr>
  </w:style>
  <w:style w:type="table" w:styleId="TableGrid">
    <w:name w:val="Table Grid"/>
    <w:aliases w:val="CV table,CV1,EY Table,Table Grid_mod,none,表格样式,Vale 4"/>
    <w:basedOn w:val="TableNormal"/>
    <w:uiPriority w:val="39"/>
    <w:rsid w:val="00897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72EA"/>
    <w:rPr>
      <w:color w:val="0563C1"/>
      <w:u w:val="single"/>
    </w:rPr>
  </w:style>
  <w:style w:type="paragraph" w:styleId="NormalWeb">
    <w:name w:val="Normal (Web)"/>
    <w:basedOn w:val="Normal"/>
    <w:uiPriority w:val="99"/>
    <w:unhideWhenUsed/>
    <w:rsid w:val="008972E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7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2EA"/>
    <w:rPr>
      <w:rFonts w:ascii="Segoe UI" w:hAnsi="Segoe UI" w:cs="Segoe UI"/>
      <w:sz w:val="18"/>
      <w:szCs w:val="18"/>
    </w:rPr>
  </w:style>
  <w:style w:type="character" w:styleId="CommentReference">
    <w:name w:val="annotation reference"/>
    <w:basedOn w:val="DefaultParagraphFont"/>
    <w:uiPriority w:val="99"/>
    <w:unhideWhenUsed/>
    <w:rsid w:val="008972EA"/>
    <w:rPr>
      <w:sz w:val="16"/>
      <w:szCs w:val="16"/>
    </w:rPr>
  </w:style>
  <w:style w:type="paragraph" w:styleId="CommentText">
    <w:name w:val="annotation text"/>
    <w:basedOn w:val="Normal"/>
    <w:link w:val="CommentTextChar"/>
    <w:uiPriority w:val="99"/>
    <w:unhideWhenUsed/>
    <w:rsid w:val="008972EA"/>
    <w:pPr>
      <w:spacing w:line="240" w:lineRule="auto"/>
    </w:pPr>
    <w:rPr>
      <w:sz w:val="20"/>
      <w:szCs w:val="20"/>
    </w:rPr>
  </w:style>
  <w:style w:type="character" w:customStyle="1" w:styleId="CommentTextChar">
    <w:name w:val="Comment Text Char"/>
    <w:basedOn w:val="DefaultParagraphFont"/>
    <w:link w:val="CommentText"/>
    <w:uiPriority w:val="99"/>
    <w:rsid w:val="008972EA"/>
    <w:rPr>
      <w:sz w:val="20"/>
      <w:szCs w:val="20"/>
    </w:rPr>
  </w:style>
  <w:style w:type="paragraph" w:styleId="CommentSubject">
    <w:name w:val="annotation subject"/>
    <w:basedOn w:val="CommentText"/>
    <w:next w:val="CommentText"/>
    <w:link w:val="CommentSubjectChar"/>
    <w:uiPriority w:val="99"/>
    <w:semiHidden/>
    <w:unhideWhenUsed/>
    <w:rsid w:val="008972EA"/>
    <w:rPr>
      <w:b/>
      <w:bCs/>
    </w:rPr>
  </w:style>
  <w:style w:type="character" w:customStyle="1" w:styleId="CommentSubjectChar">
    <w:name w:val="Comment Subject Char"/>
    <w:basedOn w:val="CommentTextChar"/>
    <w:link w:val="CommentSubject"/>
    <w:uiPriority w:val="99"/>
    <w:semiHidden/>
    <w:rsid w:val="008972EA"/>
    <w:rPr>
      <w:b/>
      <w:bCs/>
      <w:sz w:val="20"/>
      <w:szCs w:val="20"/>
    </w:rPr>
  </w:style>
  <w:style w:type="character" w:customStyle="1" w:styleId="UnresolvedMention1">
    <w:name w:val="Unresolved Mention1"/>
    <w:basedOn w:val="DefaultParagraphFont"/>
    <w:uiPriority w:val="99"/>
    <w:unhideWhenUsed/>
    <w:rsid w:val="008972EA"/>
    <w:rPr>
      <w:color w:val="605E5C"/>
      <w:shd w:val="clear" w:color="auto" w:fill="E1DFDD"/>
    </w:rPr>
  </w:style>
  <w:style w:type="character" w:customStyle="1" w:styleId="Mention1">
    <w:name w:val="Mention1"/>
    <w:basedOn w:val="DefaultParagraphFont"/>
    <w:uiPriority w:val="99"/>
    <w:unhideWhenUsed/>
    <w:rsid w:val="008972EA"/>
    <w:rPr>
      <w:color w:val="2B579A"/>
      <w:shd w:val="clear" w:color="auto" w:fill="E1DFDD"/>
    </w:rPr>
  </w:style>
  <w:style w:type="paragraph" w:styleId="Header">
    <w:name w:val="header"/>
    <w:basedOn w:val="Normal"/>
    <w:link w:val="HeaderChar"/>
    <w:uiPriority w:val="99"/>
    <w:unhideWhenUsed/>
    <w:rsid w:val="00897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2EA"/>
  </w:style>
  <w:style w:type="paragraph" w:styleId="Footer">
    <w:name w:val="footer"/>
    <w:basedOn w:val="Normal"/>
    <w:link w:val="FooterChar"/>
    <w:uiPriority w:val="99"/>
    <w:unhideWhenUsed/>
    <w:rsid w:val="00897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2EA"/>
  </w:style>
  <w:style w:type="paragraph" w:customStyle="1" w:styleId="Default">
    <w:name w:val="Default"/>
    <w:rsid w:val="008972EA"/>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Char,Footnote Text Char Char Char,Footnote Text Char Char Char Char,Footnote ak Car Car,Footnotes Car,Texto nota pie Car,Texto nota pie Car Car,Texto nota pie Car Car Car,fn,fn Car,fn Car Car,footnote text,footnote text Car,ft,single space"/>
    <w:basedOn w:val="Normal"/>
    <w:link w:val="FootnoteTextChar"/>
    <w:uiPriority w:val="99"/>
    <w:unhideWhenUsed/>
    <w:qFormat/>
    <w:rsid w:val="008972EA"/>
    <w:pPr>
      <w:spacing w:after="0" w:line="240" w:lineRule="auto"/>
    </w:pPr>
    <w:rPr>
      <w:sz w:val="20"/>
      <w:szCs w:val="20"/>
    </w:rPr>
  </w:style>
  <w:style w:type="character" w:customStyle="1" w:styleId="FootnoteTextChar">
    <w:name w:val="Footnote Text Char"/>
    <w:aliases w:val="Char Char,Footnote Text Char Char Char Char1,Footnote Text Char Char Char Char Char,Footnote ak Car Car Char,Footnotes Car Char,Texto nota pie Car Char,Texto nota pie Car Car Char,Texto nota pie Car Car Car Char,fn Char,fn Car Char"/>
    <w:basedOn w:val="DefaultParagraphFont"/>
    <w:link w:val="FootnoteText"/>
    <w:uiPriority w:val="99"/>
    <w:qFormat/>
    <w:rsid w:val="008972EA"/>
    <w:rPr>
      <w:sz w:val="20"/>
      <w:szCs w:val="20"/>
    </w:rPr>
  </w:style>
  <w:style w:type="character" w:styleId="FootnoteReference">
    <w:name w:val="footnote reference"/>
    <w:aliases w:val="16 Point,BVI fnr,FC,Footnote Reference Number,Footnote Reference_LVL6,Footnote Reference_LVL61,Footnote Reference_LVL62,Footnote Reference_LVL63,Footnote Reference_LVL64,Superscript 6 Point,ftref,referencia nota al pie,Знак сноски-FN"/>
    <w:basedOn w:val="DefaultParagraphFont"/>
    <w:link w:val="FNRefeCharChar"/>
    <w:uiPriority w:val="99"/>
    <w:unhideWhenUsed/>
    <w:qFormat/>
    <w:rsid w:val="008972EA"/>
    <w:rPr>
      <w:sz w:val="18"/>
    </w:rPr>
  </w:style>
  <w:style w:type="paragraph" w:customStyle="1" w:styleId="FNRefeCharChar">
    <w:name w:val="FNRefe Char Char"/>
    <w:aliases w:val="BVI fnr Car Car Char Char Char,BVI fnr Char Char Char,BVI fnr Car Car Car Car Char Char Char Char Char,BVI fnr Car Car Char Char,BVI fnr Car Char Char Char,BVI fnr Char Char,4_G, BVI fnr Car Car Char Char Char, BVI fnr Char Char Char"/>
    <w:basedOn w:val="Normal"/>
    <w:next w:val="Default"/>
    <w:link w:val="FootnoteReference"/>
    <w:uiPriority w:val="99"/>
    <w:rsid w:val="00B15D9B"/>
    <w:pPr>
      <w:spacing w:line="240" w:lineRule="exact"/>
    </w:pPr>
    <w:rPr>
      <w:sz w:val="18"/>
    </w:rPr>
  </w:style>
  <w:style w:type="paragraph" w:customStyle="1" w:styleId="Pa3">
    <w:name w:val="Pa3"/>
    <w:basedOn w:val="Default"/>
    <w:next w:val="Default"/>
    <w:uiPriority w:val="99"/>
    <w:rsid w:val="008972EA"/>
    <w:pPr>
      <w:spacing w:line="181" w:lineRule="atLeast"/>
    </w:pPr>
    <w:rPr>
      <w:rFonts w:ascii="Arial" w:hAnsi="Arial" w:cs="Arial"/>
      <w:color w:val="auto"/>
    </w:rPr>
  </w:style>
  <w:style w:type="character" w:customStyle="1" w:styleId="ListParagraphChar">
    <w:name w:val="List Paragraph Char"/>
    <w:aliases w:val="123 List Paragraph Char,Bullet paras Char,Bullets Char,Dot pt Char,List Paragraph (numbered (a)) Char,List Paragraph nowy Char,List Paragraph1 Char,List_Paragraph Char,Liste 1 Char,Main numbered paragraph Char,Multilevel para_II Char"/>
    <w:link w:val="ListParagraph"/>
    <w:uiPriority w:val="34"/>
    <w:qFormat/>
    <w:locked/>
    <w:rsid w:val="008972EA"/>
    <w:rPr>
      <w:rFonts w:ascii="Calibri" w:hAnsi="Calibri" w:cs="Calibri"/>
    </w:rPr>
  </w:style>
  <w:style w:type="character" w:customStyle="1" w:styleId="italic">
    <w:name w:val="italic"/>
    <w:basedOn w:val="DefaultParagraphFont"/>
    <w:rsid w:val="008972EA"/>
  </w:style>
  <w:style w:type="paragraph" w:customStyle="1" w:styleId="-InformesNotasalpie">
    <w:name w:val="- Informes Notas al pie"/>
    <w:basedOn w:val="FootnoteText"/>
    <w:qFormat/>
    <w:rsid w:val="008972EA"/>
    <w:pPr>
      <w:spacing w:after="60" w:line="259" w:lineRule="auto"/>
      <w:ind w:firstLine="113"/>
      <w:jc w:val="both"/>
    </w:pPr>
    <w:rPr>
      <w:rFonts w:ascii="Arial" w:eastAsia="Arial Narrow" w:hAnsi="Arial"/>
      <w:sz w:val="18"/>
      <w:szCs w:val="22"/>
    </w:rPr>
  </w:style>
  <w:style w:type="paragraph" w:customStyle="1" w:styleId="-InformesTexto">
    <w:name w:val="- Informes Texto"/>
    <w:basedOn w:val="Normal"/>
    <w:link w:val="-InformesTextoChar"/>
    <w:qFormat/>
    <w:rsid w:val="008972EA"/>
    <w:pPr>
      <w:spacing w:before="120" w:after="120" w:line="276" w:lineRule="auto"/>
      <w:ind w:firstLine="567"/>
      <w:jc w:val="both"/>
    </w:pPr>
    <w:rPr>
      <w:rFonts w:ascii="Arial" w:eastAsia="Calibri" w:hAnsi="Arial"/>
      <w:color w:val="000000"/>
      <w:szCs w:val="24"/>
      <w:lang w:val="es-CO"/>
    </w:rPr>
  </w:style>
  <w:style w:type="character" w:customStyle="1" w:styleId="-InformesTextoChar">
    <w:name w:val="- Informes Texto Char"/>
    <w:basedOn w:val="DefaultParagraphFont"/>
    <w:link w:val="-InformesTexto"/>
    <w:rsid w:val="008972EA"/>
    <w:rPr>
      <w:rFonts w:ascii="Arial" w:eastAsia="Calibri" w:hAnsi="Arial"/>
      <w:color w:val="000000"/>
      <w:szCs w:val="24"/>
      <w:lang w:val="es-CO"/>
    </w:rPr>
  </w:style>
  <w:style w:type="paragraph" w:customStyle="1" w:styleId="BVIfnrCarCarCarCarChar">
    <w:name w:val="BVI fnr Car Car Car Car Char"/>
    <w:aliases w:val="BVI fnr Car Car,BVI fnr Car, BVI fnr Car Car Car Car Char"/>
    <w:basedOn w:val="Normal"/>
    <w:uiPriority w:val="99"/>
    <w:qFormat/>
    <w:rsid w:val="008972EA"/>
    <w:pPr>
      <w:spacing w:line="240" w:lineRule="exact"/>
      <w:jc w:val="both"/>
    </w:pPr>
    <w:rPr>
      <w:vertAlign w:val="superscript"/>
    </w:rPr>
  </w:style>
  <w:style w:type="paragraph" w:customStyle="1" w:styleId="paragraph">
    <w:name w:val="paragraph"/>
    <w:basedOn w:val="Normal"/>
    <w:rsid w:val="006A74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74C0"/>
  </w:style>
  <w:style w:type="character" w:customStyle="1" w:styleId="eop">
    <w:name w:val="eop"/>
    <w:basedOn w:val="DefaultParagraphFont"/>
    <w:rsid w:val="006A74C0"/>
  </w:style>
  <w:style w:type="paragraph" w:styleId="TOCHeading">
    <w:name w:val="TOC Heading"/>
    <w:basedOn w:val="Heading1"/>
    <w:next w:val="Normal"/>
    <w:uiPriority w:val="39"/>
    <w:unhideWhenUsed/>
    <w:qFormat/>
    <w:rsid w:val="00CE5E2F"/>
    <w:pPr>
      <w:outlineLvl w:val="9"/>
    </w:pPr>
  </w:style>
  <w:style w:type="paragraph" w:styleId="TOC2">
    <w:name w:val="toc 2"/>
    <w:basedOn w:val="Normal"/>
    <w:next w:val="Normal"/>
    <w:autoRedefine/>
    <w:uiPriority w:val="39"/>
    <w:unhideWhenUsed/>
    <w:rsid w:val="00035422"/>
    <w:pPr>
      <w:tabs>
        <w:tab w:val="left" w:pos="880"/>
        <w:tab w:val="right" w:leader="dot" w:pos="9350"/>
      </w:tabs>
      <w:spacing w:before="120" w:after="0"/>
      <w:ind w:left="220"/>
    </w:pPr>
    <w:rPr>
      <w:rFonts w:cstheme="minorHAnsi"/>
      <w:b/>
      <w:bCs/>
      <w:szCs w:val="26"/>
    </w:rPr>
  </w:style>
  <w:style w:type="paragraph" w:styleId="TOC3">
    <w:name w:val="toc 3"/>
    <w:basedOn w:val="Normal"/>
    <w:next w:val="Normal"/>
    <w:autoRedefine/>
    <w:uiPriority w:val="39"/>
    <w:unhideWhenUsed/>
    <w:rsid w:val="00CE5E2F"/>
    <w:pPr>
      <w:spacing w:after="0"/>
      <w:ind w:left="440"/>
    </w:pPr>
    <w:rPr>
      <w:rFonts w:cstheme="minorHAnsi"/>
      <w:sz w:val="20"/>
      <w:szCs w:val="24"/>
    </w:rPr>
  </w:style>
  <w:style w:type="character" w:styleId="FollowedHyperlink">
    <w:name w:val="FollowedHyperlink"/>
    <w:basedOn w:val="DefaultParagraphFont"/>
    <w:uiPriority w:val="99"/>
    <w:semiHidden/>
    <w:unhideWhenUsed/>
    <w:rsid w:val="00F70330"/>
    <w:rPr>
      <w:color w:val="4F6D7A" w:themeColor="followedHyperlink"/>
      <w:u w:val="single"/>
    </w:rPr>
  </w:style>
  <w:style w:type="paragraph" w:styleId="Revision">
    <w:name w:val="Revision"/>
    <w:hidden/>
    <w:uiPriority w:val="99"/>
    <w:semiHidden/>
    <w:rsid w:val="00F70330"/>
    <w:pPr>
      <w:spacing w:after="0" w:line="240" w:lineRule="auto"/>
    </w:p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uiPriority w:val="99"/>
    <w:rsid w:val="006B4DC0"/>
    <w:pPr>
      <w:spacing w:line="240" w:lineRule="exact"/>
      <w:jc w:val="both"/>
    </w:pPr>
    <w:rPr>
      <w:vertAlign w:val="superscript"/>
    </w:rPr>
  </w:style>
  <w:style w:type="paragraph" w:styleId="EndnoteText">
    <w:name w:val="endnote text"/>
    <w:basedOn w:val="Normal"/>
    <w:link w:val="EndnoteTextChar"/>
    <w:uiPriority w:val="99"/>
    <w:unhideWhenUsed/>
    <w:rsid w:val="00FB256B"/>
    <w:pPr>
      <w:spacing w:after="0" w:line="240" w:lineRule="auto"/>
    </w:pPr>
    <w:rPr>
      <w:sz w:val="20"/>
      <w:szCs w:val="20"/>
    </w:rPr>
  </w:style>
  <w:style w:type="character" w:customStyle="1" w:styleId="EndnoteTextChar">
    <w:name w:val="Endnote Text Char"/>
    <w:basedOn w:val="DefaultParagraphFont"/>
    <w:link w:val="EndnoteText"/>
    <w:uiPriority w:val="99"/>
    <w:rsid w:val="00FB256B"/>
    <w:rPr>
      <w:sz w:val="20"/>
      <w:szCs w:val="20"/>
    </w:rPr>
  </w:style>
  <w:style w:type="character" w:styleId="EndnoteReference">
    <w:name w:val="endnote reference"/>
    <w:basedOn w:val="DefaultParagraphFont"/>
    <w:uiPriority w:val="99"/>
    <w:semiHidden/>
    <w:unhideWhenUsed/>
    <w:rsid w:val="00FB256B"/>
    <w:rPr>
      <w:vertAlign w:val="superscript"/>
    </w:rPr>
  </w:style>
  <w:style w:type="paragraph" w:styleId="TOC1">
    <w:name w:val="toc 1"/>
    <w:basedOn w:val="Normal"/>
    <w:next w:val="Normal"/>
    <w:autoRedefine/>
    <w:uiPriority w:val="39"/>
    <w:unhideWhenUsed/>
    <w:rsid w:val="00863D57"/>
    <w:pPr>
      <w:tabs>
        <w:tab w:val="right" w:leader="dot" w:pos="9350"/>
      </w:tabs>
      <w:spacing w:before="120" w:after="0"/>
    </w:pPr>
    <w:rPr>
      <w:rFonts w:cstheme="minorHAnsi"/>
      <w:b/>
      <w:bCs/>
      <w:i/>
      <w:iCs/>
      <w:sz w:val="24"/>
      <w:szCs w:val="28"/>
    </w:rPr>
  </w:style>
  <w:style w:type="paragraph" w:styleId="HTMLPreformatted">
    <w:name w:val="HTML Preformatted"/>
    <w:basedOn w:val="Normal"/>
    <w:link w:val="HTMLPreformattedChar"/>
    <w:uiPriority w:val="99"/>
    <w:semiHidden/>
    <w:unhideWhenUsed/>
    <w:rsid w:val="000633C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633C5"/>
    <w:rPr>
      <w:rFonts w:ascii="Consolas" w:hAnsi="Consolas"/>
      <w:sz w:val="20"/>
      <w:szCs w:val="20"/>
    </w:rPr>
  </w:style>
  <w:style w:type="paragraph" w:styleId="NoSpacing">
    <w:name w:val="No Spacing"/>
    <w:link w:val="NoSpacingChar"/>
    <w:uiPriority w:val="1"/>
    <w:qFormat/>
    <w:rsid w:val="00C94336"/>
    <w:pPr>
      <w:spacing w:after="0" w:line="240" w:lineRule="auto"/>
    </w:pPr>
    <w:rPr>
      <w:rFonts w:eastAsiaTheme="minorEastAsia"/>
    </w:rPr>
  </w:style>
  <w:style w:type="character" w:customStyle="1" w:styleId="NoSpacingChar">
    <w:name w:val="No Spacing Char"/>
    <w:basedOn w:val="DefaultParagraphFont"/>
    <w:link w:val="NoSpacing"/>
    <w:uiPriority w:val="1"/>
    <w:rsid w:val="00C94336"/>
    <w:rPr>
      <w:rFonts w:eastAsiaTheme="minorEastAsia"/>
    </w:rPr>
  </w:style>
  <w:style w:type="paragraph" w:styleId="Caption">
    <w:name w:val="caption"/>
    <w:basedOn w:val="Normal"/>
    <w:next w:val="Normal"/>
    <w:link w:val="CaptionChar"/>
    <w:uiPriority w:val="35"/>
    <w:unhideWhenUsed/>
    <w:qFormat/>
    <w:rsid w:val="00604B80"/>
    <w:pPr>
      <w:spacing w:after="200" w:line="240" w:lineRule="auto"/>
    </w:pPr>
    <w:rPr>
      <w:i/>
      <w:iCs/>
      <w:color w:val="1F497D" w:themeColor="text2"/>
      <w:sz w:val="18"/>
      <w:szCs w:val="18"/>
    </w:rPr>
  </w:style>
  <w:style w:type="table" w:customStyle="1" w:styleId="TableGrid1">
    <w:name w:val="Table Grid1"/>
    <w:basedOn w:val="TableNormal"/>
    <w:next w:val="TableGrid"/>
    <w:uiPriority w:val="39"/>
    <w:rsid w:val="00B56911"/>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10C89"/>
    <w:rPr>
      <w:i/>
      <w:iCs/>
      <w:color w:val="3D5A80" w:themeColor="accent1"/>
    </w:rPr>
  </w:style>
  <w:style w:type="character" w:customStyle="1" w:styleId="cf01">
    <w:name w:val="cf01"/>
    <w:basedOn w:val="DefaultParagraphFont"/>
    <w:rsid w:val="00F45739"/>
    <w:rPr>
      <w:rFonts w:ascii="Segoe UI" w:hAnsi="Segoe UI" w:cs="Segoe UI" w:hint="default"/>
      <w:color w:val="262626"/>
      <w:sz w:val="36"/>
      <w:szCs w:val="36"/>
    </w:rPr>
  </w:style>
  <w:style w:type="paragraph" w:customStyle="1" w:styleId="pf0">
    <w:name w:val="pf0"/>
    <w:basedOn w:val="Normal"/>
    <w:rsid w:val="00774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4">
    <w:name w:val="Pa14"/>
    <w:basedOn w:val="Default"/>
    <w:next w:val="Default"/>
    <w:uiPriority w:val="99"/>
    <w:rsid w:val="00E97262"/>
    <w:pPr>
      <w:spacing w:line="241" w:lineRule="atLeast"/>
    </w:pPr>
    <w:rPr>
      <w:rFonts w:ascii="Helvetica 55 Roman" w:hAnsi="Helvetica 55 Roman" w:cs="Times New Roman"/>
      <w:color w:val="auto"/>
    </w:rPr>
  </w:style>
  <w:style w:type="character" w:customStyle="1" w:styleId="A3">
    <w:name w:val="A3"/>
    <w:uiPriority w:val="99"/>
    <w:rsid w:val="00E97262"/>
    <w:rPr>
      <w:rFonts w:cs="Helvetica 55 Roman"/>
      <w:color w:val="000000"/>
      <w:sz w:val="18"/>
      <w:szCs w:val="18"/>
    </w:rPr>
  </w:style>
  <w:style w:type="table" w:styleId="ListTable3-Accent5">
    <w:name w:val="List Table 3 Accent 5"/>
    <w:basedOn w:val="TableNormal"/>
    <w:uiPriority w:val="48"/>
    <w:rsid w:val="00060A1D"/>
    <w:pPr>
      <w:spacing w:after="0" w:line="240" w:lineRule="auto"/>
    </w:pPr>
    <w:tblPr>
      <w:tblStyleRowBandSize w:val="1"/>
      <w:tblStyleColBandSize w:val="1"/>
      <w:tblBorders>
        <w:top w:val="single" w:sz="4" w:space="0" w:color="7C9885" w:themeColor="accent5"/>
        <w:left w:val="single" w:sz="4" w:space="0" w:color="7C9885" w:themeColor="accent5"/>
        <w:bottom w:val="single" w:sz="4" w:space="0" w:color="7C9885" w:themeColor="accent5"/>
        <w:right w:val="single" w:sz="4" w:space="0" w:color="7C9885" w:themeColor="accent5"/>
      </w:tblBorders>
    </w:tblPr>
    <w:tblStylePr w:type="firstRow">
      <w:rPr>
        <w:b/>
        <w:bCs/>
        <w:color w:val="FFFFFF" w:themeColor="background1"/>
      </w:rPr>
      <w:tblPr/>
      <w:tcPr>
        <w:shd w:val="clear" w:color="auto" w:fill="7C9885" w:themeFill="accent5"/>
      </w:tcPr>
    </w:tblStylePr>
    <w:tblStylePr w:type="lastRow">
      <w:rPr>
        <w:b/>
        <w:bCs/>
      </w:rPr>
      <w:tblPr/>
      <w:tcPr>
        <w:tcBorders>
          <w:top w:val="double" w:sz="4" w:space="0" w:color="7C98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9885" w:themeColor="accent5"/>
          <w:right w:val="single" w:sz="4" w:space="0" w:color="7C9885" w:themeColor="accent5"/>
        </w:tcBorders>
      </w:tcPr>
    </w:tblStylePr>
    <w:tblStylePr w:type="band1Horz">
      <w:tblPr/>
      <w:tcPr>
        <w:tcBorders>
          <w:top w:val="single" w:sz="4" w:space="0" w:color="7C9885" w:themeColor="accent5"/>
          <w:bottom w:val="single" w:sz="4" w:space="0" w:color="7C98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9885" w:themeColor="accent5"/>
          <w:left w:val="nil"/>
        </w:tcBorders>
      </w:tcPr>
    </w:tblStylePr>
    <w:tblStylePr w:type="swCell">
      <w:tblPr/>
      <w:tcPr>
        <w:tcBorders>
          <w:top w:val="double" w:sz="4" w:space="0" w:color="7C9885" w:themeColor="accent5"/>
          <w:right w:val="nil"/>
        </w:tcBorders>
      </w:tcPr>
    </w:tblStylePr>
  </w:style>
  <w:style w:type="table" w:customStyle="1" w:styleId="3">
    <w:name w:val="表格样式3"/>
    <w:basedOn w:val="TableNormal"/>
    <w:next w:val="TableGrid"/>
    <w:uiPriority w:val="39"/>
    <w:rsid w:val="002E6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样式31"/>
    <w:basedOn w:val="TableNormal"/>
    <w:next w:val="TableGrid"/>
    <w:uiPriority w:val="39"/>
    <w:rsid w:val="00672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样式32"/>
    <w:basedOn w:val="TableNormal"/>
    <w:next w:val="TableGrid"/>
    <w:uiPriority w:val="39"/>
    <w:rsid w:val="00697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Default"/>
    <w:next w:val="Default"/>
    <w:uiPriority w:val="99"/>
    <w:rsid w:val="00401248"/>
    <w:pPr>
      <w:spacing w:line="241" w:lineRule="atLeast"/>
    </w:pPr>
    <w:rPr>
      <w:rFonts w:ascii="Helvetica 55 Roman" w:hAnsi="Helvetica 55 Roman" w:cs="Times New Roman"/>
      <w:color w:val="auto"/>
    </w:rPr>
  </w:style>
  <w:style w:type="character" w:customStyle="1" w:styleId="A7">
    <w:name w:val="A7"/>
    <w:uiPriority w:val="99"/>
    <w:rsid w:val="00B502C9"/>
    <w:rPr>
      <w:rFonts w:cs="Helvetica 55 Roman"/>
      <w:color w:val="000000"/>
      <w:sz w:val="16"/>
      <w:szCs w:val="16"/>
    </w:rPr>
  </w:style>
  <w:style w:type="character" w:customStyle="1" w:styleId="contentcontrolboundarysink">
    <w:name w:val="contentcontrolboundarysink"/>
    <w:basedOn w:val="DefaultParagraphFont"/>
    <w:rsid w:val="00EF32D5"/>
  </w:style>
  <w:style w:type="paragraph" w:customStyle="1" w:styleId="Nomal-numbered">
    <w:name w:val="Nomal - numbered"/>
    <w:basedOn w:val="Normal"/>
    <w:autoRedefine/>
    <w:qFormat/>
    <w:rsid w:val="00D547AD"/>
    <w:pPr>
      <w:tabs>
        <w:tab w:val="left" w:pos="567"/>
      </w:tabs>
      <w:spacing w:before="120" w:after="40" w:line="240" w:lineRule="auto"/>
      <w:jc w:val="both"/>
    </w:pPr>
    <w:rPr>
      <w:rFonts w:ascii="Calibri Light" w:eastAsia="Times New Roman" w:hAnsi="Calibri Light" w:cs="Calibri Light"/>
      <w:i/>
      <w:color w:val="595959" w:themeColor="text1" w:themeTint="A6"/>
      <w:sz w:val="16"/>
      <w:szCs w:val="16"/>
      <w:lang w:val="en-CA"/>
      <w14:stylisticSets>
        <w14:styleSet w14:id="1"/>
      </w14:stylisticSets>
    </w:rPr>
  </w:style>
  <w:style w:type="character" w:customStyle="1" w:styleId="CaptionChar">
    <w:name w:val="Caption Char"/>
    <w:basedOn w:val="DefaultParagraphFont"/>
    <w:link w:val="Caption"/>
    <w:uiPriority w:val="35"/>
    <w:rsid w:val="00561102"/>
    <w:rPr>
      <w:i/>
      <w:iCs/>
      <w:color w:val="1F497D" w:themeColor="text2"/>
      <w:sz w:val="18"/>
      <w:szCs w:val="18"/>
    </w:rPr>
  </w:style>
  <w:style w:type="paragraph" w:styleId="TableofFigures">
    <w:name w:val="table of figures"/>
    <w:aliases w:val="Annex"/>
    <w:basedOn w:val="Normal"/>
    <w:next w:val="Normal"/>
    <w:uiPriority w:val="99"/>
    <w:unhideWhenUsed/>
    <w:rsid w:val="007136E4"/>
    <w:pPr>
      <w:spacing w:after="0"/>
    </w:pPr>
    <w:rPr>
      <w:b/>
    </w:rPr>
  </w:style>
  <w:style w:type="table" w:customStyle="1" w:styleId="ListTable3-Accent51">
    <w:name w:val="List Table 3 - Accent 51"/>
    <w:basedOn w:val="TableNormal"/>
    <w:next w:val="ListTable3-Accent5"/>
    <w:uiPriority w:val="48"/>
    <w:rsid w:val="007136E4"/>
    <w:pPr>
      <w:spacing w:after="0" w:line="240" w:lineRule="auto"/>
    </w:pPr>
    <w:tblPr>
      <w:tblStyleRowBandSize w:val="1"/>
      <w:tblStyleColBandSize w:val="1"/>
      <w:tblBorders>
        <w:top w:val="single" w:sz="4" w:space="0" w:color="7C9885"/>
        <w:left w:val="single" w:sz="4" w:space="0" w:color="7C9885"/>
        <w:bottom w:val="single" w:sz="4" w:space="0" w:color="7C9885"/>
        <w:right w:val="single" w:sz="4" w:space="0" w:color="7C9885"/>
      </w:tblBorders>
    </w:tblPr>
    <w:tblStylePr w:type="firstRow">
      <w:rPr>
        <w:b/>
        <w:bCs/>
        <w:color w:val="FFFFFF"/>
      </w:rPr>
      <w:tblPr/>
      <w:tcPr>
        <w:shd w:val="clear" w:color="auto" w:fill="7C9885"/>
      </w:tcPr>
    </w:tblStylePr>
    <w:tblStylePr w:type="lastRow">
      <w:rPr>
        <w:b/>
        <w:bCs/>
      </w:rPr>
      <w:tblPr/>
      <w:tcPr>
        <w:tcBorders>
          <w:top w:val="double" w:sz="4" w:space="0" w:color="7C988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C9885"/>
          <w:right w:val="single" w:sz="4" w:space="0" w:color="7C9885"/>
        </w:tcBorders>
      </w:tcPr>
    </w:tblStylePr>
    <w:tblStylePr w:type="band1Horz">
      <w:tblPr/>
      <w:tcPr>
        <w:tcBorders>
          <w:top w:val="single" w:sz="4" w:space="0" w:color="7C9885"/>
          <w:bottom w:val="single" w:sz="4" w:space="0" w:color="7C988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9885"/>
          <w:left w:val="nil"/>
        </w:tcBorders>
      </w:tcPr>
    </w:tblStylePr>
    <w:tblStylePr w:type="swCell">
      <w:tblPr/>
      <w:tcPr>
        <w:tcBorders>
          <w:top w:val="double" w:sz="4" w:space="0" w:color="7C9885"/>
          <w:right w:val="nil"/>
        </w:tcBorders>
      </w:tcPr>
    </w:tblStylePr>
  </w:style>
  <w:style w:type="paragraph" w:customStyle="1" w:styleId="Table">
    <w:name w:val="Table"/>
    <w:basedOn w:val="Caption"/>
    <w:link w:val="TableChar"/>
    <w:autoRedefine/>
    <w:qFormat/>
    <w:rsid w:val="0002737D"/>
    <w:pPr>
      <w:spacing w:after="240"/>
    </w:pPr>
    <w:rPr>
      <w:rFonts w:ascii="Trebuchet MS" w:hAnsi="Trebuchet MS" w:cstheme="majorHAnsi"/>
      <w:b/>
      <w:bCs/>
      <w:i w:val="0"/>
      <w:iCs w:val="0"/>
      <w:color w:val="000000" w:themeColor="text1"/>
      <w:sz w:val="19"/>
      <w:szCs w:val="24"/>
    </w:rPr>
  </w:style>
  <w:style w:type="paragraph" w:customStyle="1" w:styleId="Figure">
    <w:name w:val="Figure"/>
    <w:basedOn w:val="Table"/>
    <w:link w:val="FigureChar"/>
    <w:autoRedefine/>
    <w:qFormat/>
    <w:rsid w:val="00830807"/>
    <w:pPr>
      <w:tabs>
        <w:tab w:val="left" w:pos="2742"/>
      </w:tabs>
      <w:spacing w:after="120"/>
    </w:pPr>
    <w:rPr>
      <w:rFonts w:asciiTheme="majorHAnsi" w:hAnsiTheme="majorHAnsi"/>
      <w:noProof/>
      <w:sz w:val="22"/>
      <w:szCs w:val="18"/>
    </w:rPr>
  </w:style>
  <w:style w:type="character" w:customStyle="1" w:styleId="TableChar">
    <w:name w:val="Table Char"/>
    <w:basedOn w:val="CaptionChar"/>
    <w:link w:val="Table"/>
    <w:rsid w:val="0002737D"/>
    <w:rPr>
      <w:rFonts w:ascii="Trebuchet MS" w:hAnsi="Trebuchet MS" w:cstheme="majorHAnsi"/>
      <w:b/>
      <w:bCs/>
      <w:i w:val="0"/>
      <w:iCs w:val="0"/>
      <w:color w:val="000000" w:themeColor="text1"/>
      <w:sz w:val="19"/>
      <w:szCs w:val="24"/>
    </w:rPr>
  </w:style>
  <w:style w:type="character" w:customStyle="1" w:styleId="FigureChar">
    <w:name w:val="Figure Char"/>
    <w:basedOn w:val="TableChar"/>
    <w:link w:val="Figure"/>
    <w:rsid w:val="00830807"/>
    <w:rPr>
      <w:rFonts w:asciiTheme="majorHAnsi" w:hAnsiTheme="majorHAnsi" w:cstheme="majorHAnsi"/>
      <w:b/>
      <w:bCs/>
      <w:i w:val="0"/>
      <w:iCs w:val="0"/>
      <w:noProof/>
      <w:color w:val="000000" w:themeColor="text1"/>
      <w:sz w:val="19"/>
      <w:szCs w:val="18"/>
    </w:rPr>
  </w:style>
  <w:style w:type="paragraph" w:styleId="TOC4">
    <w:name w:val="toc 4"/>
    <w:basedOn w:val="Normal"/>
    <w:next w:val="Normal"/>
    <w:autoRedefine/>
    <w:uiPriority w:val="39"/>
    <w:unhideWhenUsed/>
    <w:rsid w:val="007136E4"/>
    <w:pPr>
      <w:spacing w:after="0"/>
      <w:ind w:left="660"/>
    </w:pPr>
    <w:rPr>
      <w:rFonts w:cstheme="minorHAnsi"/>
      <w:sz w:val="20"/>
      <w:szCs w:val="24"/>
    </w:rPr>
  </w:style>
  <w:style w:type="paragraph" w:styleId="TOC5">
    <w:name w:val="toc 5"/>
    <w:basedOn w:val="Normal"/>
    <w:next w:val="Normal"/>
    <w:autoRedefine/>
    <w:uiPriority w:val="39"/>
    <w:unhideWhenUsed/>
    <w:rsid w:val="007136E4"/>
    <w:pPr>
      <w:spacing w:after="0"/>
      <w:ind w:left="880"/>
    </w:pPr>
    <w:rPr>
      <w:rFonts w:cstheme="minorHAnsi"/>
      <w:sz w:val="20"/>
      <w:szCs w:val="24"/>
    </w:rPr>
  </w:style>
  <w:style w:type="paragraph" w:styleId="TOC6">
    <w:name w:val="toc 6"/>
    <w:basedOn w:val="Normal"/>
    <w:next w:val="Normal"/>
    <w:autoRedefine/>
    <w:uiPriority w:val="39"/>
    <w:unhideWhenUsed/>
    <w:rsid w:val="007136E4"/>
    <w:pPr>
      <w:spacing w:after="0"/>
      <w:ind w:left="1100"/>
    </w:pPr>
    <w:rPr>
      <w:rFonts w:cstheme="minorHAnsi"/>
      <w:sz w:val="20"/>
      <w:szCs w:val="24"/>
    </w:rPr>
  </w:style>
  <w:style w:type="paragraph" w:styleId="TOC7">
    <w:name w:val="toc 7"/>
    <w:basedOn w:val="Normal"/>
    <w:next w:val="Normal"/>
    <w:autoRedefine/>
    <w:uiPriority w:val="39"/>
    <w:unhideWhenUsed/>
    <w:rsid w:val="007136E4"/>
    <w:pPr>
      <w:spacing w:after="0"/>
      <w:ind w:left="1320"/>
    </w:pPr>
    <w:rPr>
      <w:rFonts w:cstheme="minorHAnsi"/>
      <w:sz w:val="20"/>
      <w:szCs w:val="24"/>
    </w:rPr>
  </w:style>
  <w:style w:type="paragraph" w:styleId="TOC8">
    <w:name w:val="toc 8"/>
    <w:basedOn w:val="Normal"/>
    <w:next w:val="Normal"/>
    <w:autoRedefine/>
    <w:uiPriority w:val="39"/>
    <w:unhideWhenUsed/>
    <w:rsid w:val="007136E4"/>
    <w:pPr>
      <w:spacing w:after="0"/>
      <w:ind w:left="1540"/>
    </w:pPr>
    <w:rPr>
      <w:rFonts w:cstheme="minorHAnsi"/>
      <w:sz w:val="20"/>
      <w:szCs w:val="24"/>
    </w:rPr>
  </w:style>
  <w:style w:type="paragraph" w:styleId="TOC9">
    <w:name w:val="toc 9"/>
    <w:basedOn w:val="Normal"/>
    <w:next w:val="Normal"/>
    <w:autoRedefine/>
    <w:uiPriority w:val="39"/>
    <w:unhideWhenUsed/>
    <w:rsid w:val="007136E4"/>
    <w:pPr>
      <w:spacing w:after="0"/>
      <w:ind w:left="1760"/>
    </w:pPr>
    <w:rPr>
      <w:rFonts w:cstheme="minorHAnsi"/>
      <w:sz w:val="20"/>
      <w:szCs w:val="24"/>
    </w:rPr>
  </w:style>
  <w:style w:type="character" w:styleId="Strong">
    <w:name w:val="Strong"/>
    <w:basedOn w:val="DefaultParagraphFont"/>
    <w:uiPriority w:val="22"/>
    <w:qFormat/>
    <w:rsid w:val="007136E4"/>
    <w:rPr>
      <w:b/>
      <w:bCs/>
    </w:rPr>
  </w:style>
  <w:style w:type="paragraph" w:customStyle="1" w:styleId="Pa22">
    <w:name w:val="Pa22"/>
    <w:basedOn w:val="Default"/>
    <w:next w:val="Default"/>
    <w:uiPriority w:val="99"/>
    <w:rsid w:val="007136E4"/>
    <w:pPr>
      <w:spacing w:line="241" w:lineRule="atLeast"/>
    </w:pPr>
    <w:rPr>
      <w:rFonts w:ascii="Helvetica 55 Roman" w:hAnsi="Helvetica 55 Roman" w:cs="Times New Roman"/>
      <w:color w:val="auto"/>
    </w:rPr>
  </w:style>
  <w:style w:type="paragraph" w:styleId="Bibliography">
    <w:name w:val="Bibliography"/>
    <w:basedOn w:val="Normal"/>
    <w:next w:val="Normal"/>
    <w:uiPriority w:val="37"/>
    <w:semiHidden/>
    <w:unhideWhenUsed/>
    <w:rsid w:val="007136E4"/>
  </w:style>
  <w:style w:type="character" w:customStyle="1" w:styleId="UnresolvedMention2">
    <w:name w:val="Unresolved Mention2"/>
    <w:basedOn w:val="DefaultParagraphFont"/>
    <w:uiPriority w:val="99"/>
    <w:unhideWhenUsed/>
    <w:rsid w:val="00596A98"/>
    <w:rPr>
      <w:color w:val="605E5C"/>
      <w:shd w:val="clear" w:color="auto" w:fill="E1DFDD"/>
    </w:rPr>
  </w:style>
  <w:style w:type="character" w:customStyle="1" w:styleId="Mention2">
    <w:name w:val="Mention2"/>
    <w:basedOn w:val="DefaultParagraphFont"/>
    <w:uiPriority w:val="99"/>
    <w:unhideWhenUsed/>
    <w:rsid w:val="00596A98"/>
    <w:rPr>
      <w:color w:val="2B579A"/>
      <w:shd w:val="clear" w:color="auto" w:fill="E1DFDD"/>
    </w:rPr>
  </w:style>
  <w:style w:type="character" w:customStyle="1" w:styleId="Heading5Char">
    <w:name w:val="Heading 5 Char"/>
    <w:basedOn w:val="DefaultParagraphFont"/>
    <w:link w:val="Heading5"/>
    <w:uiPriority w:val="9"/>
    <w:rsid w:val="001B53C6"/>
    <w:rPr>
      <w:rFonts w:ascii="Berlin Sans FB" w:eastAsiaTheme="majorEastAsia" w:hAnsi="Berlin Sans FB" w:cstheme="majorBidi"/>
      <w:color w:val="2D435F" w:themeColor="accent1" w:themeShade="BF"/>
      <w:sz w:val="20"/>
    </w:rPr>
  </w:style>
  <w:style w:type="paragraph" w:customStyle="1" w:styleId="Source">
    <w:name w:val="Source"/>
    <w:basedOn w:val="Normal"/>
    <w:link w:val="SourceChar"/>
    <w:qFormat/>
    <w:rsid w:val="00170D70"/>
    <w:rPr>
      <w:rFonts w:ascii="Calibri Light" w:hAnsi="Calibri Light"/>
      <w:color w:val="595959" w:themeColor="text1" w:themeTint="A6"/>
      <w:sz w:val="16"/>
    </w:rPr>
  </w:style>
  <w:style w:type="paragraph" w:customStyle="1" w:styleId="figuredescription">
    <w:name w:val="figure description"/>
    <w:basedOn w:val="Normal"/>
    <w:link w:val="figuredescriptionChar"/>
    <w:qFormat/>
    <w:rsid w:val="008200EE"/>
    <w:rPr>
      <w:rFonts w:ascii="Calibri Light" w:hAnsi="Calibri Light"/>
      <w:sz w:val="18"/>
    </w:rPr>
  </w:style>
  <w:style w:type="character" w:customStyle="1" w:styleId="SourceChar">
    <w:name w:val="Source Char"/>
    <w:basedOn w:val="DefaultParagraphFont"/>
    <w:link w:val="Source"/>
    <w:rsid w:val="00170D70"/>
    <w:rPr>
      <w:rFonts w:ascii="Calibri Light" w:hAnsi="Calibri Light"/>
      <w:color w:val="595959" w:themeColor="text1" w:themeTint="A6"/>
      <w:sz w:val="16"/>
    </w:rPr>
  </w:style>
  <w:style w:type="character" w:customStyle="1" w:styleId="figuredescriptionChar">
    <w:name w:val="figure description Char"/>
    <w:basedOn w:val="DefaultParagraphFont"/>
    <w:link w:val="figuredescription"/>
    <w:rsid w:val="008200EE"/>
    <w:rPr>
      <w:rFonts w:ascii="Calibri Light" w:hAnsi="Calibri Light"/>
      <w:sz w:val="18"/>
    </w:rPr>
  </w:style>
  <w:style w:type="character" w:customStyle="1" w:styleId="Mention3">
    <w:name w:val="Mention3"/>
    <w:basedOn w:val="DefaultParagraphFont"/>
    <w:uiPriority w:val="99"/>
    <w:unhideWhenUsed/>
    <w:rsid w:val="000442CF"/>
    <w:rPr>
      <w:color w:val="2B579A"/>
      <w:shd w:val="clear" w:color="auto" w:fill="E1DFDD"/>
    </w:rPr>
  </w:style>
  <w:style w:type="character" w:customStyle="1" w:styleId="UnresolvedMention3">
    <w:name w:val="Unresolved Mention3"/>
    <w:basedOn w:val="DefaultParagraphFont"/>
    <w:uiPriority w:val="99"/>
    <w:semiHidden/>
    <w:unhideWhenUsed/>
    <w:rsid w:val="00044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90">
      <w:bodyDiv w:val="1"/>
      <w:marLeft w:val="0"/>
      <w:marRight w:val="0"/>
      <w:marTop w:val="0"/>
      <w:marBottom w:val="0"/>
      <w:divBdr>
        <w:top w:val="none" w:sz="0" w:space="0" w:color="auto"/>
        <w:left w:val="none" w:sz="0" w:space="0" w:color="auto"/>
        <w:bottom w:val="none" w:sz="0" w:space="0" w:color="auto"/>
        <w:right w:val="none" w:sz="0" w:space="0" w:color="auto"/>
      </w:divBdr>
    </w:div>
    <w:div w:id="15354737">
      <w:bodyDiv w:val="1"/>
      <w:marLeft w:val="0"/>
      <w:marRight w:val="0"/>
      <w:marTop w:val="0"/>
      <w:marBottom w:val="0"/>
      <w:divBdr>
        <w:top w:val="none" w:sz="0" w:space="0" w:color="auto"/>
        <w:left w:val="none" w:sz="0" w:space="0" w:color="auto"/>
        <w:bottom w:val="none" w:sz="0" w:space="0" w:color="auto"/>
        <w:right w:val="none" w:sz="0" w:space="0" w:color="auto"/>
      </w:divBdr>
    </w:div>
    <w:div w:id="24209772">
      <w:bodyDiv w:val="1"/>
      <w:marLeft w:val="0"/>
      <w:marRight w:val="0"/>
      <w:marTop w:val="0"/>
      <w:marBottom w:val="0"/>
      <w:divBdr>
        <w:top w:val="none" w:sz="0" w:space="0" w:color="auto"/>
        <w:left w:val="none" w:sz="0" w:space="0" w:color="auto"/>
        <w:bottom w:val="none" w:sz="0" w:space="0" w:color="auto"/>
        <w:right w:val="none" w:sz="0" w:space="0" w:color="auto"/>
      </w:divBdr>
      <w:divsChild>
        <w:div w:id="171262687">
          <w:marLeft w:val="720"/>
          <w:marRight w:val="0"/>
          <w:marTop w:val="120"/>
          <w:marBottom w:val="240"/>
          <w:divBdr>
            <w:top w:val="none" w:sz="0" w:space="0" w:color="auto"/>
            <w:left w:val="none" w:sz="0" w:space="0" w:color="auto"/>
            <w:bottom w:val="none" w:sz="0" w:space="0" w:color="auto"/>
            <w:right w:val="none" w:sz="0" w:space="0" w:color="auto"/>
          </w:divBdr>
        </w:div>
      </w:divsChild>
    </w:div>
    <w:div w:id="25564999">
      <w:bodyDiv w:val="1"/>
      <w:marLeft w:val="0"/>
      <w:marRight w:val="0"/>
      <w:marTop w:val="0"/>
      <w:marBottom w:val="0"/>
      <w:divBdr>
        <w:top w:val="none" w:sz="0" w:space="0" w:color="auto"/>
        <w:left w:val="none" w:sz="0" w:space="0" w:color="auto"/>
        <w:bottom w:val="none" w:sz="0" w:space="0" w:color="auto"/>
        <w:right w:val="none" w:sz="0" w:space="0" w:color="auto"/>
      </w:divBdr>
    </w:div>
    <w:div w:id="26956866">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6978012">
      <w:bodyDiv w:val="1"/>
      <w:marLeft w:val="0"/>
      <w:marRight w:val="0"/>
      <w:marTop w:val="0"/>
      <w:marBottom w:val="0"/>
      <w:divBdr>
        <w:top w:val="none" w:sz="0" w:space="0" w:color="auto"/>
        <w:left w:val="none" w:sz="0" w:space="0" w:color="auto"/>
        <w:bottom w:val="none" w:sz="0" w:space="0" w:color="auto"/>
        <w:right w:val="none" w:sz="0" w:space="0" w:color="auto"/>
      </w:divBdr>
      <w:divsChild>
        <w:div w:id="515192307">
          <w:marLeft w:val="0"/>
          <w:marRight w:val="0"/>
          <w:marTop w:val="0"/>
          <w:marBottom w:val="0"/>
          <w:divBdr>
            <w:top w:val="single" w:sz="2" w:space="0" w:color="D9D9E3"/>
            <w:left w:val="single" w:sz="2" w:space="0" w:color="D9D9E3"/>
            <w:bottom w:val="single" w:sz="2" w:space="0" w:color="D9D9E3"/>
            <w:right w:val="single" w:sz="2" w:space="0" w:color="D9D9E3"/>
          </w:divBdr>
          <w:divsChild>
            <w:div w:id="2053263420">
              <w:marLeft w:val="0"/>
              <w:marRight w:val="0"/>
              <w:marTop w:val="0"/>
              <w:marBottom w:val="0"/>
              <w:divBdr>
                <w:top w:val="single" w:sz="2" w:space="0" w:color="D9D9E3"/>
                <w:left w:val="single" w:sz="2" w:space="0" w:color="D9D9E3"/>
                <w:bottom w:val="single" w:sz="2" w:space="0" w:color="D9D9E3"/>
                <w:right w:val="single" w:sz="2" w:space="0" w:color="D9D9E3"/>
              </w:divBdr>
              <w:divsChild>
                <w:div w:id="1440223129">
                  <w:marLeft w:val="0"/>
                  <w:marRight w:val="0"/>
                  <w:marTop w:val="0"/>
                  <w:marBottom w:val="0"/>
                  <w:divBdr>
                    <w:top w:val="single" w:sz="2" w:space="0" w:color="D9D9E3"/>
                    <w:left w:val="single" w:sz="2" w:space="0" w:color="D9D9E3"/>
                    <w:bottom w:val="single" w:sz="2" w:space="0" w:color="D9D9E3"/>
                    <w:right w:val="single" w:sz="2" w:space="0" w:color="D9D9E3"/>
                  </w:divBdr>
                  <w:divsChild>
                    <w:div w:id="1219786389">
                      <w:marLeft w:val="0"/>
                      <w:marRight w:val="0"/>
                      <w:marTop w:val="0"/>
                      <w:marBottom w:val="0"/>
                      <w:divBdr>
                        <w:top w:val="single" w:sz="2" w:space="0" w:color="D9D9E3"/>
                        <w:left w:val="single" w:sz="2" w:space="0" w:color="D9D9E3"/>
                        <w:bottom w:val="single" w:sz="2" w:space="0" w:color="D9D9E3"/>
                        <w:right w:val="single" w:sz="2" w:space="0" w:color="D9D9E3"/>
                      </w:divBdr>
                      <w:divsChild>
                        <w:div w:id="1168397987">
                          <w:marLeft w:val="0"/>
                          <w:marRight w:val="0"/>
                          <w:marTop w:val="0"/>
                          <w:marBottom w:val="0"/>
                          <w:divBdr>
                            <w:top w:val="single" w:sz="2" w:space="0" w:color="auto"/>
                            <w:left w:val="single" w:sz="2" w:space="0" w:color="auto"/>
                            <w:bottom w:val="single" w:sz="6" w:space="0" w:color="auto"/>
                            <w:right w:val="single" w:sz="2" w:space="0" w:color="auto"/>
                          </w:divBdr>
                          <w:divsChild>
                            <w:div w:id="2021657399">
                              <w:marLeft w:val="0"/>
                              <w:marRight w:val="0"/>
                              <w:marTop w:val="100"/>
                              <w:marBottom w:val="100"/>
                              <w:divBdr>
                                <w:top w:val="single" w:sz="2" w:space="0" w:color="D9D9E3"/>
                                <w:left w:val="single" w:sz="2" w:space="0" w:color="D9D9E3"/>
                                <w:bottom w:val="single" w:sz="2" w:space="0" w:color="D9D9E3"/>
                                <w:right w:val="single" w:sz="2" w:space="0" w:color="D9D9E3"/>
                              </w:divBdr>
                              <w:divsChild>
                                <w:div w:id="264071255">
                                  <w:marLeft w:val="0"/>
                                  <w:marRight w:val="0"/>
                                  <w:marTop w:val="0"/>
                                  <w:marBottom w:val="0"/>
                                  <w:divBdr>
                                    <w:top w:val="single" w:sz="2" w:space="0" w:color="D9D9E3"/>
                                    <w:left w:val="single" w:sz="2" w:space="0" w:color="D9D9E3"/>
                                    <w:bottom w:val="single" w:sz="2" w:space="0" w:color="D9D9E3"/>
                                    <w:right w:val="single" w:sz="2" w:space="0" w:color="D9D9E3"/>
                                  </w:divBdr>
                                  <w:divsChild>
                                    <w:div w:id="1165627270">
                                      <w:marLeft w:val="0"/>
                                      <w:marRight w:val="0"/>
                                      <w:marTop w:val="0"/>
                                      <w:marBottom w:val="0"/>
                                      <w:divBdr>
                                        <w:top w:val="single" w:sz="2" w:space="0" w:color="D9D9E3"/>
                                        <w:left w:val="single" w:sz="2" w:space="0" w:color="D9D9E3"/>
                                        <w:bottom w:val="single" w:sz="2" w:space="0" w:color="D9D9E3"/>
                                        <w:right w:val="single" w:sz="2" w:space="0" w:color="D9D9E3"/>
                                      </w:divBdr>
                                      <w:divsChild>
                                        <w:div w:id="567611285">
                                          <w:marLeft w:val="0"/>
                                          <w:marRight w:val="0"/>
                                          <w:marTop w:val="0"/>
                                          <w:marBottom w:val="0"/>
                                          <w:divBdr>
                                            <w:top w:val="single" w:sz="2" w:space="0" w:color="D9D9E3"/>
                                            <w:left w:val="single" w:sz="2" w:space="0" w:color="D9D9E3"/>
                                            <w:bottom w:val="single" w:sz="2" w:space="0" w:color="D9D9E3"/>
                                            <w:right w:val="single" w:sz="2" w:space="0" w:color="D9D9E3"/>
                                          </w:divBdr>
                                          <w:divsChild>
                                            <w:div w:id="429935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4895460">
          <w:marLeft w:val="0"/>
          <w:marRight w:val="0"/>
          <w:marTop w:val="0"/>
          <w:marBottom w:val="0"/>
          <w:divBdr>
            <w:top w:val="none" w:sz="0" w:space="0" w:color="auto"/>
            <w:left w:val="none" w:sz="0" w:space="0" w:color="auto"/>
            <w:bottom w:val="none" w:sz="0" w:space="0" w:color="auto"/>
            <w:right w:val="none" w:sz="0" w:space="0" w:color="auto"/>
          </w:divBdr>
        </w:div>
      </w:divsChild>
    </w:div>
    <w:div w:id="82264466">
      <w:bodyDiv w:val="1"/>
      <w:marLeft w:val="0"/>
      <w:marRight w:val="0"/>
      <w:marTop w:val="0"/>
      <w:marBottom w:val="0"/>
      <w:divBdr>
        <w:top w:val="none" w:sz="0" w:space="0" w:color="auto"/>
        <w:left w:val="none" w:sz="0" w:space="0" w:color="auto"/>
        <w:bottom w:val="none" w:sz="0" w:space="0" w:color="auto"/>
        <w:right w:val="none" w:sz="0" w:space="0" w:color="auto"/>
      </w:divBdr>
    </w:div>
    <w:div w:id="98449839">
      <w:bodyDiv w:val="1"/>
      <w:marLeft w:val="0"/>
      <w:marRight w:val="0"/>
      <w:marTop w:val="0"/>
      <w:marBottom w:val="0"/>
      <w:divBdr>
        <w:top w:val="none" w:sz="0" w:space="0" w:color="auto"/>
        <w:left w:val="none" w:sz="0" w:space="0" w:color="auto"/>
        <w:bottom w:val="none" w:sz="0" w:space="0" w:color="auto"/>
        <w:right w:val="none" w:sz="0" w:space="0" w:color="auto"/>
      </w:divBdr>
    </w:div>
    <w:div w:id="109128149">
      <w:bodyDiv w:val="1"/>
      <w:marLeft w:val="0"/>
      <w:marRight w:val="0"/>
      <w:marTop w:val="0"/>
      <w:marBottom w:val="0"/>
      <w:divBdr>
        <w:top w:val="none" w:sz="0" w:space="0" w:color="auto"/>
        <w:left w:val="none" w:sz="0" w:space="0" w:color="auto"/>
        <w:bottom w:val="none" w:sz="0" w:space="0" w:color="auto"/>
        <w:right w:val="none" w:sz="0" w:space="0" w:color="auto"/>
      </w:divBdr>
      <w:divsChild>
        <w:div w:id="281881915">
          <w:marLeft w:val="0"/>
          <w:marRight w:val="0"/>
          <w:marTop w:val="0"/>
          <w:marBottom w:val="0"/>
          <w:divBdr>
            <w:top w:val="none" w:sz="0" w:space="0" w:color="auto"/>
            <w:left w:val="none" w:sz="0" w:space="0" w:color="auto"/>
            <w:bottom w:val="none" w:sz="0" w:space="0" w:color="auto"/>
            <w:right w:val="none" w:sz="0" w:space="0" w:color="auto"/>
          </w:divBdr>
        </w:div>
        <w:div w:id="328794136">
          <w:marLeft w:val="0"/>
          <w:marRight w:val="0"/>
          <w:marTop w:val="0"/>
          <w:marBottom w:val="0"/>
          <w:divBdr>
            <w:top w:val="none" w:sz="0" w:space="0" w:color="auto"/>
            <w:left w:val="none" w:sz="0" w:space="0" w:color="auto"/>
            <w:bottom w:val="none" w:sz="0" w:space="0" w:color="auto"/>
            <w:right w:val="none" w:sz="0" w:space="0" w:color="auto"/>
          </w:divBdr>
        </w:div>
        <w:div w:id="639386085">
          <w:marLeft w:val="0"/>
          <w:marRight w:val="0"/>
          <w:marTop w:val="0"/>
          <w:marBottom w:val="0"/>
          <w:divBdr>
            <w:top w:val="none" w:sz="0" w:space="0" w:color="auto"/>
            <w:left w:val="none" w:sz="0" w:space="0" w:color="auto"/>
            <w:bottom w:val="none" w:sz="0" w:space="0" w:color="auto"/>
            <w:right w:val="none" w:sz="0" w:space="0" w:color="auto"/>
          </w:divBdr>
        </w:div>
        <w:div w:id="1442871144">
          <w:marLeft w:val="0"/>
          <w:marRight w:val="0"/>
          <w:marTop w:val="0"/>
          <w:marBottom w:val="0"/>
          <w:divBdr>
            <w:top w:val="none" w:sz="0" w:space="0" w:color="auto"/>
            <w:left w:val="none" w:sz="0" w:space="0" w:color="auto"/>
            <w:bottom w:val="none" w:sz="0" w:space="0" w:color="auto"/>
            <w:right w:val="none" w:sz="0" w:space="0" w:color="auto"/>
          </w:divBdr>
        </w:div>
        <w:div w:id="1965303524">
          <w:marLeft w:val="0"/>
          <w:marRight w:val="0"/>
          <w:marTop w:val="0"/>
          <w:marBottom w:val="0"/>
          <w:divBdr>
            <w:top w:val="none" w:sz="0" w:space="0" w:color="auto"/>
            <w:left w:val="none" w:sz="0" w:space="0" w:color="auto"/>
            <w:bottom w:val="none" w:sz="0" w:space="0" w:color="auto"/>
            <w:right w:val="none" w:sz="0" w:space="0" w:color="auto"/>
          </w:divBdr>
        </w:div>
      </w:divsChild>
    </w:div>
    <w:div w:id="129832417">
      <w:bodyDiv w:val="1"/>
      <w:marLeft w:val="0"/>
      <w:marRight w:val="0"/>
      <w:marTop w:val="0"/>
      <w:marBottom w:val="0"/>
      <w:divBdr>
        <w:top w:val="none" w:sz="0" w:space="0" w:color="auto"/>
        <w:left w:val="none" w:sz="0" w:space="0" w:color="auto"/>
        <w:bottom w:val="none" w:sz="0" w:space="0" w:color="auto"/>
        <w:right w:val="none" w:sz="0" w:space="0" w:color="auto"/>
      </w:divBdr>
      <w:divsChild>
        <w:div w:id="1547646967">
          <w:marLeft w:val="0"/>
          <w:marRight w:val="0"/>
          <w:marTop w:val="0"/>
          <w:marBottom w:val="0"/>
          <w:divBdr>
            <w:top w:val="none" w:sz="0" w:space="0" w:color="auto"/>
            <w:left w:val="none" w:sz="0" w:space="0" w:color="auto"/>
            <w:bottom w:val="none" w:sz="0" w:space="0" w:color="auto"/>
            <w:right w:val="none" w:sz="0" w:space="0" w:color="auto"/>
          </w:divBdr>
          <w:divsChild>
            <w:div w:id="1798254080">
              <w:marLeft w:val="0"/>
              <w:marRight w:val="0"/>
              <w:marTop w:val="0"/>
              <w:marBottom w:val="0"/>
              <w:divBdr>
                <w:top w:val="single" w:sz="2" w:space="0" w:color="D9D9E3"/>
                <w:left w:val="single" w:sz="2" w:space="0" w:color="D9D9E3"/>
                <w:bottom w:val="single" w:sz="2" w:space="0" w:color="D9D9E3"/>
                <w:right w:val="single" w:sz="2" w:space="0" w:color="D9D9E3"/>
              </w:divBdr>
              <w:divsChild>
                <w:div w:id="1750082805">
                  <w:marLeft w:val="0"/>
                  <w:marRight w:val="0"/>
                  <w:marTop w:val="0"/>
                  <w:marBottom w:val="0"/>
                  <w:divBdr>
                    <w:top w:val="single" w:sz="2" w:space="0" w:color="D9D9E3"/>
                    <w:left w:val="single" w:sz="2" w:space="0" w:color="D9D9E3"/>
                    <w:bottom w:val="single" w:sz="2" w:space="0" w:color="D9D9E3"/>
                    <w:right w:val="single" w:sz="2" w:space="0" w:color="D9D9E3"/>
                  </w:divBdr>
                  <w:divsChild>
                    <w:div w:id="1354963402">
                      <w:marLeft w:val="0"/>
                      <w:marRight w:val="0"/>
                      <w:marTop w:val="0"/>
                      <w:marBottom w:val="0"/>
                      <w:divBdr>
                        <w:top w:val="single" w:sz="2" w:space="0" w:color="D9D9E3"/>
                        <w:left w:val="single" w:sz="2" w:space="0" w:color="D9D9E3"/>
                        <w:bottom w:val="single" w:sz="2" w:space="0" w:color="D9D9E3"/>
                        <w:right w:val="single" w:sz="2" w:space="0" w:color="D9D9E3"/>
                      </w:divBdr>
                      <w:divsChild>
                        <w:div w:id="2113429780">
                          <w:marLeft w:val="0"/>
                          <w:marRight w:val="0"/>
                          <w:marTop w:val="0"/>
                          <w:marBottom w:val="0"/>
                          <w:divBdr>
                            <w:top w:val="single" w:sz="2" w:space="0" w:color="D9D9E3"/>
                            <w:left w:val="single" w:sz="2" w:space="0" w:color="D9D9E3"/>
                            <w:bottom w:val="single" w:sz="2" w:space="0" w:color="D9D9E3"/>
                            <w:right w:val="single" w:sz="2" w:space="0" w:color="D9D9E3"/>
                          </w:divBdr>
                          <w:divsChild>
                            <w:div w:id="1236630213">
                              <w:marLeft w:val="0"/>
                              <w:marRight w:val="0"/>
                              <w:marTop w:val="0"/>
                              <w:marBottom w:val="0"/>
                              <w:divBdr>
                                <w:top w:val="single" w:sz="2" w:space="0" w:color="D9D9E3"/>
                                <w:left w:val="single" w:sz="2" w:space="0" w:color="D9D9E3"/>
                                <w:bottom w:val="single" w:sz="2" w:space="0" w:color="D9D9E3"/>
                                <w:right w:val="single" w:sz="2" w:space="0" w:color="D9D9E3"/>
                              </w:divBdr>
                              <w:divsChild>
                                <w:div w:id="786124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39212690">
          <w:marLeft w:val="0"/>
          <w:marRight w:val="0"/>
          <w:marTop w:val="0"/>
          <w:marBottom w:val="0"/>
          <w:divBdr>
            <w:top w:val="single" w:sz="2" w:space="0" w:color="D9D9E3"/>
            <w:left w:val="single" w:sz="2" w:space="0" w:color="D9D9E3"/>
            <w:bottom w:val="single" w:sz="2" w:space="0" w:color="D9D9E3"/>
            <w:right w:val="single" w:sz="2" w:space="0" w:color="D9D9E3"/>
          </w:divBdr>
          <w:divsChild>
            <w:div w:id="673992426">
              <w:marLeft w:val="0"/>
              <w:marRight w:val="0"/>
              <w:marTop w:val="0"/>
              <w:marBottom w:val="0"/>
              <w:divBdr>
                <w:top w:val="single" w:sz="2" w:space="0" w:color="D9D9E3"/>
                <w:left w:val="single" w:sz="2" w:space="0" w:color="D9D9E3"/>
                <w:bottom w:val="single" w:sz="2" w:space="0" w:color="D9D9E3"/>
                <w:right w:val="single" w:sz="2" w:space="0" w:color="D9D9E3"/>
              </w:divBdr>
              <w:divsChild>
                <w:div w:id="807939953">
                  <w:marLeft w:val="0"/>
                  <w:marRight w:val="0"/>
                  <w:marTop w:val="0"/>
                  <w:marBottom w:val="0"/>
                  <w:divBdr>
                    <w:top w:val="single" w:sz="2" w:space="0" w:color="D9D9E3"/>
                    <w:left w:val="single" w:sz="2" w:space="0" w:color="D9D9E3"/>
                    <w:bottom w:val="single" w:sz="2" w:space="0" w:color="D9D9E3"/>
                    <w:right w:val="single" w:sz="2" w:space="0" w:color="D9D9E3"/>
                  </w:divBdr>
                  <w:divsChild>
                    <w:div w:id="1422264822">
                      <w:marLeft w:val="0"/>
                      <w:marRight w:val="0"/>
                      <w:marTop w:val="0"/>
                      <w:marBottom w:val="0"/>
                      <w:divBdr>
                        <w:top w:val="single" w:sz="2" w:space="0" w:color="D9D9E3"/>
                        <w:left w:val="single" w:sz="2" w:space="0" w:color="D9D9E3"/>
                        <w:bottom w:val="single" w:sz="2" w:space="0" w:color="D9D9E3"/>
                        <w:right w:val="single" w:sz="2" w:space="0" w:color="D9D9E3"/>
                      </w:divBdr>
                      <w:divsChild>
                        <w:div w:id="1770927573">
                          <w:marLeft w:val="0"/>
                          <w:marRight w:val="0"/>
                          <w:marTop w:val="0"/>
                          <w:marBottom w:val="0"/>
                          <w:divBdr>
                            <w:top w:val="single" w:sz="2" w:space="0" w:color="auto"/>
                            <w:left w:val="single" w:sz="2" w:space="0" w:color="auto"/>
                            <w:bottom w:val="single" w:sz="6" w:space="0" w:color="auto"/>
                            <w:right w:val="single" w:sz="2" w:space="0" w:color="auto"/>
                          </w:divBdr>
                          <w:divsChild>
                            <w:div w:id="1592936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4216647">
                                  <w:marLeft w:val="0"/>
                                  <w:marRight w:val="0"/>
                                  <w:marTop w:val="0"/>
                                  <w:marBottom w:val="0"/>
                                  <w:divBdr>
                                    <w:top w:val="single" w:sz="2" w:space="0" w:color="D9D9E3"/>
                                    <w:left w:val="single" w:sz="2" w:space="0" w:color="D9D9E3"/>
                                    <w:bottom w:val="single" w:sz="2" w:space="0" w:color="D9D9E3"/>
                                    <w:right w:val="single" w:sz="2" w:space="0" w:color="D9D9E3"/>
                                  </w:divBdr>
                                  <w:divsChild>
                                    <w:div w:id="437483510">
                                      <w:marLeft w:val="0"/>
                                      <w:marRight w:val="0"/>
                                      <w:marTop w:val="0"/>
                                      <w:marBottom w:val="0"/>
                                      <w:divBdr>
                                        <w:top w:val="single" w:sz="2" w:space="0" w:color="D9D9E3"/>
                                        <w:left w:val="single" w:sz="2" w:space="0" w:color="D9D9E3"/>
                                        <w:bottom w:val="single" w:sz="2" w:space="0" w:color="D9D9E3"/>
                                        <w:right w:val="single" w:sz="2" w:space="0" w:color="D9D9E3"/>
                                      </w:divBdr>
                                      <w:divsChild>
                                        <w:div w:id="1384207046">
                                          <w:marLeft w:val="0"/>
                                          <w:marRight w:val="0"/>
                                          <w:marTop w:val="0"/>
                                          <w:marBottom w:val="0"/>
                                          <w:divBdr>
                                            <w:top w:val="single" w:sz="2" w:space="0" w:color="D9D9E3"/>
                                            <w:left w:val="single" w:sz="2" w:space="0" w:color="D9D9E3"/>
                                            <w:bottom w:val="single" w:sz="2" w:space="0" w:color="D9D9E3"/>
                                            <w:right w:val="single" w:sz="2" w:space="0" w:color="D9D9E3"/>
                                          </w:divBdr>
                                          <w:divsChild>
                                            <w:div w:id="10101815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2163859">
      <w:bodyDiv w:val="1"/>
      <w:marLeft w:val="0"/>
      <w:marRight w:val="0"/>
      <w:marTop w:val="0"/>
      <w:marBottom w:val="0"/>
      <w:divBdr>
        <w:top w:val="none" w:sz="0" w:space="0" w:color="auto"/>
        <w:left w:val="none" w:sz="0" w:space="0" w:color="auto"/>
        <w:bottom w:val="none" w:sz="0" w:space="0" w:color="auto"/>
        <w:right w:val="none" w:sz="0" w:space="0" w:color="auto"/>
      </w:divBdr>
    </w:div>
    <w:div w:id="189102959">
      <w:bodyDiv w:val="1"/>
      <w:marLeft w:val="0"/>
      <w:marRight w:val="0"/>
      <w:marTop w:val="0"/>
      <w:marBottom w:val="0"/>
      <w:divBdr>
        <w:top w:val="none" w:sz="0" w:space="0" w:color="auto"/>
        <w:left w:val="none" w:sz="0" w:space="0" w:color="auto"/>
        <w:bottom w:val="none" w:sz="0" w:space="0" w:color="auto"/>
        <w:right w:val="none" w:sz="0" w:space="0" w:color="auto"/>
      </w:divBdr>
    </w:div>
    <w:div w:id="206379737">
      <w:bodyDiv w:val="1"/>
      <w:marLeft w:val="0"/>
      <w:marRight w:val="0"/>
      <w:marTop w:val="0"/>
      <w:marBottom w:val="0"/>
      <w:divBdr>
        <w:top w:val="none" w:sz="0" w:space="0" w:color="auto"/>
        <w:left w:val="none" w:sz="0" w:space="0" w:color="auto"/>
        <w:bottom w:val="none" w:sz="0" w:space="0" w:color="auto"/>
        <w:right w:val="none" w:sz="0" w:space="0" w:color="auto"/>
      </w:divBdr>
    </w:div>
    <w:div w:id="211427891">
      <w:bodyDiv w:val="1"/>
      <w:marLeft w:val="0"/>
      <w:marRight w:val="0"/>
      <w:marTop w:val="0"/>
      <w:marBottom w:val="0"/>
      <w:divBdr>
        <w:top w:val="none" w:sz="0" w:space="0" w:color="auto"/>
        <w:left w:val="none" w:sz="0" w:space="0" w:color="auto"/>
        <w:bottom w:val="none" w:sz="0" w:space="0" w:color="auto"/>
        <w:right w:val="none" w:sz="0" w:space="0" w:color="auto"/>
      </w:divBdr>
    </w:div>
    <w:div w:id="216281888">
      <w:bodyDiv w:val="1"/>
      <w:marLeft w:val="0"/>
      <w:marRight w:val="0"/>
      <w:marTop w:val="0"/>
      <w:marBottom w:val="0"/>
      <w:divBdr>
        <w:top w:val="none" w:sz="0" w:space="0" w:color="auto"/>
        <w:left w:val="none" w:sz="0" w:space="0" w:color="auto"/>
        <w:bottom w:val="none" w:sz="0" w:space="0" w:color="auto"/>
        <w:right w:val="none" w:sz="0" w:space="0" w:color="auto"/>
      </w:divBdr>
    </w:div>
    <w:div w:id="219826638">
      <w:bodyDiv w:val="1"/>
      <w:marLeft w:val="0"/>
      <w:marRight w:val="0"/>
      <w:marTop w:val="0"/>
      <w:marBottom w:val="0"/>
      <w:divBdr>
        <w:top w:val="none" w:sz="0" w:space="0" w:color="auto"/>
        <w:left w:val="none" w:sz="0" w:space="0" w:color="auto"/>
        <w:bottom w:val="none" w:sz="0" w:space="0" w:color="auto"/>
        <w:right w:val="none" w:sz="0" w:space="0" w:color="auto"/>
      </w:divBdr>
    </w:div>
    <w:div w:id="230043700">
      <w:bodyDiv w:val="1"/>
      <w:marLeft w:val="0"/>
      <w:marRight w:val="0"/>
      <w:marTop w:val="0"/>
      <w:marBottom w:val="0"/>
      <w:divBdr>
        <w:top w:val="none" w:sz="0" w:space="0" w:color="auto"/>
        <w:left w:val="none" w:sz="0" w:space="0" w:color="auto"/>
        <w:bottom w:val="none" w:sz="0" w:space="0" w:color="auto"/>
        <w:right w:val="none" w:sz="0" w:space="0" w:color="auto"/>
      </w:divBdr>
      <w:divsChild>
        <w:div w:id="600335342">
          <w:marLeft w:val="0"/>
          <w:marRight w:val="0"/>
          <w:marTop w:val="0"/>
          <w:marBottom w:val="0"/>
          <w:divBdr>
            <w:top w:val="none" w:sz="0" w:space="0" w:color="auto"/>
            <w:left w:val="none" w:sz="0" w:space="0" w:color="auto"/>
            <w:bottom w:val="none" w:sz="0" w:space="0" w:color="auto"/>
            <w:right w:val="none" w:sz="0" w:space="0" w:color="auto"/>
          </w:divBdr>
        </w:div>
        <w:div w:id="995962887">
          <w:marLeft w:val="0"/>
          <w:marRight w:val="0"/>
          <w:marTop w:val="0"/>
          <w:marBottom w:val="0"/>
          <w:divBdr>
            <w:top w:val="none" w:sz="0" w:space="0" w:color="auto"/>
            <w:left w:val="none" w:sz="0" w:space="0" w:color="auto"/>
            <w:bottom w:val="none" w:sz="0" w:space="0" w:color="auto"/>
            <w:right w:val="none" w:sz="0" w:space="0" w:color="auto"/>
          </w:divBdr>
        </w:div>
        <w:div w:id="1669946595">
          <w:marLeft w:val="0"/>
          <w:marRight w:val="0"/>
          <w:marTop w:val="0"/>
          <w:marBottom w:val="0"/>
          <w:divBdr>
            <w:top w:val="none" w:sz="0" w:space="0" w:color="auto"/>
            <w:left w:val="none" w:sz="0" w:space="0" w:color="auto"/>
            <w:bottom w:val="none" w:sz="0" w:space="0" w:color="auto"/>
            <w:right w:val="none" w:sz="0" w:space="0" w:color="auto"/>
          </w:divBdr>
        </w:div>
      </w:divsChild>
    </w:div>
    <w:div w:id="240602955">
      <w:bodyDiv w:val="1"/>
      <w:marLeft w:val="0"/>
      <w:marRight w:val="0"/>
      <w:marTop w:val="0"/>
      <w:marBottom w:val="0"/>
      <w:divBdr>
        <w:top w:val="none" w:sz="0" w:space="0" w:color="auto"/>
        <w:left w:val="none" w:sz="0" w:space="0" w:color="auto"/>
        <w:bottom w:val="none" w:sz="0" w:space="0" w:color="auto"/>
        <w:right w:val="none" w:sz="0" w:space="0" w:color="auto"/>
      </w:divBdr>
      <w:divsChild>
        <w:div w:id="1314528795">
          <w:marLeft w:val="0"/>
          <w:marRight w:val="0"/>
          <w:marTop w:val="0"/>
          <w:marBottom w:val="0"/>
          <w:divBdr>
            <w:top w:val="single" w:sz="2" w:space="0" w:color="D9D9E3"/>
            <w:left w:val="single" w:sz="2" w:space="0" w:color="D9D9E3"/>
            <w:bottom w:val="single" w:sz="2" w:space="0" w:color="D9D9E3"/>
            <w:right w:val="single" w:sz="2" w:space="0" w:color="D9D9E3"/>
          </w:divBdr>
          <w:divsChild>
            <w:div w:id="1204292330">
              <w:marLeft w:val="0"/>
              <w:marRight w:val="0"/>
              <w:marTop w:val="0"/>
              <w:marBottom w:val="0"/>
              <w:divBdr>
                <w:top w:val="single" w:sz="2" w:space="0" w:color="D9D9E3"/>
                <w:left w:val="single" w:sz="2" w:space="0" w:color="D9D9E3"/>
                <w:bottom w:val="single" w:sz="2" w:space="0" w:color="D9D9E3"/>
                <w:right w:val="single" w:sz="2" w:space="0" w:color="D9D9E3"/>
              </w:divBdr>
              <w:divsChild>
                <w:div w:id="124861309">
                  <w:marLeft w:val="0"/>
                  <w:marRight w:val="0"/>
                  <w:marTop w:val="0"/>
                  <w:marBottom w:val="0"/>
                  <w:divBdr>
                    <w:top w:val="single" w:sz="2" w:space="0" w:color="D9D9E3"/>
                    <w:left w:val="single" w:sz="2" w:space="0" w:color="D9D9E3"/>
                    <w:bottom w:val="single" w:sz="2" w:space="0" w:color="D9D9E3"/>
                    <w:right w:val="single" w:sz="2" w:space="0" w:color="D9D9E3"/>
                  </w:divBdr>
                  <w:divsChild>
                    <w:div w:id="287010137">
                      <w:marLeft w:val="0"/>
                      <w:marRight w:val="0"/>
                      <w:marTop w:val="0"/>
                      <w:marBottom w:val="0"/>
                      <w:divBdr>
                        <w:top w:val="single" w:sz="2" w:space="0" w:color="D9D9E3"/>
                        <w:left w:val="single" w:sz="2" w:space="0" w:color="D9D9E3"/>
                        <w:bottom w:val="single" w:sz="2" w:space="0" w:color="D9D9E3"/>
                        <w:right w:val="single" w:sz="2" w:space="0" w:color="D9D9E3"/>
                      </w:divBdr>
                      <w:divsChild>
                        <w:div w:id="1977291821">
                          <w:marLeft w:val="0"/>
                          <w:marRight w:val="0"/>
                          <w:marTop w:val="0"/>
                          <w:marBottom w:val="0"/>
                          <w:divBdr>
                            <w:top w:val="single" w:sz="2" w:space="0" w:color="auto"/>
                            <w:left w:val="single" w:sz="2" w:space="0" w:color="auto"/>
                            <w:bottom w:val="single" w:sz="6" w:space="0" w:color="auto"/>
                            <w:right w:val="single" w:sz="2" w:space="0" w:color="auto"/>
                          </w:divBdr>
                          <w:divsChild>
                            <w:div w:id="1690910524">
                              <w:marLeft w:val="0"/>
                              <w:marRight w:val="0"/>
                              <w:marTop w:val="100"/>
                              <w:marBottom w:val="100"/>
                              <w:divBdr>
                                <w:top w:val="single" w:sz="2" w:space="0" w:color="D9D9E3"/>
                                <w:left w:val="single" w:sz="2" w:space="0" w:color="D9D9E3"/>
                                <w:bottom w:val="single" w:sz="2" w:space="0" w:color="D9D9E3"/>
                                <w:right w:val="single" w:sz="2" w:space="0" w:color="D9D9E3"/>
                              </w:divBdr>
                              <w:divsChild>
                                <w:div w:id="422410278">
                                  <w:marLeft w:val="0"/>
                                  <w:marRight w:val="0"/>
                                  <w:marTop w:val="0"/>
                                  <w:marBottom w:val="0"/>
                                  <w:divBdr>
                                    <w:top w:val="single" w:sz="2" w:space="0" w:color="D9D9E3"/>
                                    <w:left w:val="single" w:sz="2" w:space="0" w:color="D9D9E3"/>
                                    <w:bottom w:val="single" w:sz="2" w:space="0" w:color="D9D9E3"/>
                                    <w:right w:val="single" w:sz="2" w:space="0" w:color="D9D9E3"/>
                                  </w:divBdr>
                                  <w:divsChild>
                                    <w:div w:id="1634098540">
                                      <w:marLeft w:val="0"/>
                                      <w:marRight w:val="0"/>
                                      <w:marTop w:val="0"/>
                                      <w:marBottom w:val="0"/>
                                      <w:divBdr>
                                        <w:top w:val="single" w:sz="2" w:space="0" w:color="D9D9E3"/>
                                        <w:left w:val="single" w:sz="2" w:space="0" w:color="D9D9E3"/>
                                        <w:bottom w:val="single" w:sz="2" w:space="0" w:color="D9D9E3"/>
                                        <w:right w:val="single" w:sz="2" w:space="0" w:color="D9D9E3"/>
                                      </w:divBdr>
                                      <w:divsChild>
                                        <w:div w:id="1695886465">
                                          <w:marLeft w:val="0"/>
                                          <w:marRight w:val="0"/>
                                          <w:marTop w:val="0"/>
                                          <w:marBottom w:val="0"/>
                                          <w:divBdr>
                                            <w:top w:val="single" w:sz="2" w:space="0" w:color="D9D9E3"/>
                                            <w:left w:val="single" w:sz="2" w:space="0" w:color="D9D9E3"/>
                                            <w:bottom w:val="single" w:sz="2" w:space="0" w:color="D9D9E3"/>
                                            <w:right w:val="single" w:sz="2" w:space="0" w:color="D9D9E3"/>
                                          </w:divBdr>
                                          <w:divsChild>
                                            <w:div w:id="2137486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89735148">
          <w:marLeft w:val="0"/>
          <w:marRight w:val="0"/>
          <w:marTop w:val="0"/>
          <w:marBottom w:val="0"/>
          <w:divBdr>
            <w:top w:val="none" w:sz="0" w:space="0" w:color="auto"/>
            <w:left w:val="none" w:sz="0" w:space="0" w:color="auto"/>
            <w:bottom w:val="none" w:sz="0" w:space="0" w:color="auto"/>
            <w:right w:val="none" w:sz="0" w:space="0" w:color="auto"/>
          </w:divBdr>
        </w:div>
      </w:divsChild>
    </w:div>
    <w:div w:id="243760618">
      <w:bodyDiv w:val="1"/>
      <w:marLeft w:val="0"/>
      <w:marRight w:val="0"/>
      <w:marTop w:val="0"/>
      <w:marBottom w:val="0"/>
      <w:divBdr>
        <w:top w:val="none" w:sz="0" w:space="0" w:color="auto"/>
        <w:left w:val="none" w:sz="0" w:space="0" w:color="auto"/>
        <w:bottom w:val="none" w:sz="0" w:space="0" w:color="auto"/>
        <w:right w:val="none" w:sz="0" w:space="0" w:color="auto"/>
      </w:divBdr>
    </w:div>
    <w:div w:id="246041370">
      <w:bodyDiv w:val="1"/>
      <w:marLeft w:val="0"/>
      <w:marRight w:val="0"/>
      <w:marTop w:val="0"/>
      <w:marBottom w:val="0"/>
      <w:divBdr>
        <w:top w:val="none" w:sz="0" w:space="0" w:color="auto"/>
        <w:left w:val="none" w:sz="0" w:space="0" w:color="auto"/>
        <w:bottom w:val="none" w:sz="0" w:space="0" w:color="auto"/>
        <w:right w:val="none" w:sz="0" w:space="0" w:color="auto"/>
      </w:divBdr>
    </w:div>
    <w:div w:id="248078260">
      <w:bodyDiv w:val="1"/>
      <w:marLeft w:val="0"/>
      <w:marRight w:val="0"/>
      <w:marTop w:val="0"/>
      <w:marBottom w:val="0"/>
      <w:divBdr>
        <w:top w:val="none" w:sz="0" w:space="0" w:color="auto"/>
        <w:left w:val="none" w:sz="0" w:space="0" w:color="auto"/>
        <w:bottom w:val="none" w:sz="0" w:space="0" w:color="auto"/>
        <w:right w:val="none" w:sz="0" w:space="0" w:color="auto"/>
      </w:divBdr>
    </w:div>
    <w:div w:id="284046089">
      <w:bodyDiv w:val="1"/>
      <w:marLeft w:val="0"/>
      <w:marRight w:val="0"/>
      <w:marTop w:val="0"/>
      <w:marBottom w:val="0"/>
      <w:divBdr>
        <w:top w:val="none" w:sz="0" w:space="0" w:color="auto"/>
        <w:left w:val="none" w:sz="0" w:space="0" w:color="auto"/>
        <w:bottom w:val="none" w:sz="0" w:space="0" w:color="auto"/>
        <w:right w:val="none" w:sz="0" w:space="0" w:color="auto"/>
      </w:divBdr>
    </w:div>
    <w:div w:id="284897665">
      <w:bodyDiv w:val="1"/>
      <w:marLeft w:val="0"/>
      <w:marRight w:val="0"/>
      <w:marTop w:val="0"/>
      <w:marBottom w:val="0"/>
      <w:divBdr>
        <w:top w:val="none" w:sz="0" w:space="0" w:color="auto"/>
        <w:left w:val="none" w:sz="0" w:space="0" w:color="auto"/>
        <w:bottom w:val="none" w:sz="0" w:space="0" w:color="auto"/>
        <w:right w:val="none" w:sz="0" w:space="0" w:color="auto"/>
      </w:divBdr>
      <w:divsChild>
        <w:div w:id="514226118">
          <w:marLeft w:val="0"/>
          <w:marRight w:val="0"/>
          <w:marTop w:val="0"/>
          <w:marBottom w:val="0"/>
          <w:divBdr>
            <w:top w:val="none" w:sz="0" w:space="0" w:color="auto"/>
            <w:left w:val="none" w:sz="0" w:space="0" w:color="auto"/>
            <w:bottom w:val="none" w:sz="0" w:space="0" w:color="auto"/>
            <w:right w:val="none" w:sz="0" w:space="0" w:color="auto"/>
          </w:divBdr>
          <w:divsChild>
            <w:div w:id="1265259793">
              <w:marLeft w:val="0"/>
              <w:marRight w:val="0"/>
              <w:marTop w:val="0"/>
              <w:marBottom w:val="0"/>
              <w:divBdr>
                <w:top w:val="single" w:sz="2" w:space="0" w:color="D9D9E3"/>
                <w:left w:val="single" w:sz="2" w:space="0" w:color="D9D9E3"/>
                <w:bottom w:val="single" w:sz="2" w:space="0" w:color="D9D9E3"/>
                <w:right w:val="single" w:sz="2" w:space="0" w:color="D9D9E3"/>
              </w:divBdr>
              <w:divsChild>
                <w:div w:id="444731762">
                  <w:marLeft w:val="0"/>
                  <w:marRight w:val="0"/>
                  <w:marTop w:val="0"/>
                  <w:marBottom w:val="0"/>
                  <w:divBdr>
                    <w:top w:val="none" w:sz="0" w:space="0" w:color="auto"/>
                    <w:left w:val="none" w:sz="0" w:space="0" w:color="auto"/>
                    <w:bottom w:val="none" w:sz="0" w:space="0" w:color="auto"/>
                    <w:right w:val="none" w:sz="0" w:space="0" w:color="auto"/>
                  </w:divBdr>
                </w:div>
                <w:div w:id="1487624846">
                  <w:marLeft w:val="0"/>
                  <w:marRight w:val="0"/>
                  <w:marTop w:val="0"/>
                  <w:marBottom w:val="0"/>
                  <w:divBdr>
                    <w:top w:val="single" w:sz="2" w:space="0" w:color="D9D9E3"/>
                    <w:left w:val="single" w:sz="2" w:space="0" w:color="D9D9E3"/>
                    <w:bottom w:val="single" w:sz="2" w:space="0" w:color="D9D9E3"/>
                    <w:right w:val="single" w:sz="2" w:space="0" w:color="D9D9E3"/>
                  </w:divBdr>
                  <w:divsChild>
                    <w:div w:id="730151465">
                      <w:marLeft w:val="0"/>
                      <w:marRight w:val="0"/>
                      <w:marTop w:val="0"/>
                      <w:marBottom w:val="0"/>
                      <w:divBdr>
                        <w:top w:val="single" w:sz="2" w:space="0" w:color="D9D9E3"/>
                        <w:left w:val="single" w:sz="2" w:space="0" w:color="D9D9E3"/>
                        <w:bottom w:val="single" w:sz="2" w:space="0" w:color="D9D9E3"/>
                        <w:right w:val="single" w:sz="2" w:space="0" w:color="D9D9E3"/>
                      </w:divBdr>
                      <w:divsChild>
                        <w:div w:id="577593365">
                          <w:marLeft w:val="0"/>
                          <w:marRight w:val="0"/>
                          <w:marTop w:val="0"/>
                          <w:marBottom w:val="0"/>
                          <w:divBdr>
                            <w:top w:val="single" w:sz="2" w:space="0" w:color="D9D9E3"/>
                            <w:left w:val="single" w:sz="2" w:space="0" w:color="D9D9E3"/>
                            <w:bottom w:val="single" w:sz="2" w:space="0" w:color="D9D9E3"/>
                            <w:right w:val="single" w:sz="2" w:space="0" w:color="D9D9E3"/>
                          </w:divBdr>
                          <w:divsChild>
                            <w:div w:id="662127014">
                              <w:marLeft w:val="0"/>
                              <w:marRight w:val="0"/>
                              <w:marTop w:val="0"/>
                              <w:marBottom w:val="0"/>
                              <w:divBdr>
                                <w:top w:val="single" w:sz="2" w:space="0" w:color="D9D9E3"/>
                                <w:left w:val="single" w:sz="2" w:space="0" w:color="D9D9E3"/>
                                <w:bottom w:val="single" w:sz="2" w:space="0" w:color="D9D9E3"/>
                                <w:right w:val="single" w:sz="2" w:space="0" w:color="D9D9E3"/>
                              </w:divBdr>
                              <w:divsChild>
                                <w:div w:id="360131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2857041">
          <w:marLeft w:val="0"/>
          <w:marRight w:val="0"/>
          <w:marTop w:val="0"/>
          <w:marBottom w:val="0"/>
          <w:divBdr>
            <w:top w:val="single" w:sz="2" w:space="0" w:color="D9D9E3"/>
            <w:left w:val="single" w:sz="2" w:space="0" w:color="D9D9E3"/>
            <w:bottom w:val="single" w:sz="2" w:space="0" w:color="D9D9E3"/>
            <w:right w:val="single" w:sz="2" w:space="0" w:color="D9D9E3"/>
          </w:divBdr>
          <w:divsChild>
            <w:div w:id="961376894">
              <w:marLeft w:val="0"/>
              <w:marRight w:val="0"/>
              <w:marTop w:val="0"/>
              <w:marBottom w:val="0"/>
              <w:divBdr>
                <w:top w:val="single" w:sz="2" w:space="0" w:color="D9D9E3"/>
                <w:left w:val="single" w:sz="2" w:space="0" w:color="D9D9E3"/>
                <w:bottom w:val="single" w:sz="2" w:space="0" w:color="D9D9E3"/>
                <w:right w:val="single" w:sz="2" w:space="0" w:color="D9D9E3"/>
              </w:divBdr>
              <w:divsChild>
                <w:div w:id="1884294920">
                  <w:marLeft w:val="0"/>
                  <w:marRight w:val="0"/>
                  <w:marTop w:val="0"/>
                  <w:marBottom w:val="0"/>
                  <w:divBdr>
                    <w:top w:val="single" w:sz="2" w:space="0" w:color="D9D9E3"/>
                    <w:left w:val="single" w:sz="2" w:space="0" w:color="D9D9E3"/>
                    <w:bottom w:val="single" w:sz="2" w:space="0" w:color="D9D9E3"/>
                    <w:right w:val="single" w:sz="2" w:space="0" w:color="D9D9E3"/>
                  </w:divBdr>
                  <w:divsChild>
                    <w:div w:id="550964928">
                      <w:marLeft w:val="0"/>
                      <w:marRight w:val="0"/>
                      <w:marTop w:val="0"/>
                      <w:marBottom w:val="0"/>
                      <w:divBdr>
                        <w:top w:val="single" w:sz="2" w:space="0" w:color="D9D9E3"/>
                        <w:left w:val="single" w:sz="2" w:space="0" w:color="D9D9E3"/>
                        <w:bottom w:val="single" w:sz="2" w:space="0" w:color="D9D9E3"/>
                        <w:right w:val="single" w:sz="2" w:space="0" w:color="D9D9E3"/>
                      </w:divBdr>
                      <w:divsChild>
                        <w:div w:id="1177498862">
                          <w:marLeft w:val="0"/>
                          <w:marRight w:val="0"/>
                          <w:marTop w:val="0"/>
                          <w:marBottom w:val="0"/>
                          <w:divBdr>
                            <w:top w:val="single" w:sz="2" w:space="0" w:color="auto"/>
                            <w:left w:val="single" w:sz="2" w:space="0" w:color="auto"/>
                            <w:bottom w:val="single" w:sz="6" w:space="0" w:color="auto"/>
                            <w:right w:val="single" w:sz="2" w:space="0" w:color="auto"/>
                          </w:divBdr>
                          <w:divsChild>
                            <w:div w:id="74786670">
                              <w:marLeft w:val="0"/>
                              <w:marRight w:val="0"/>
                              <w:marTop w:val="100"/>
                              <w:marBottom w:val="100"/>
                              <w:divBdr>
                                <w:top w:val="single" w:sz="2" w:space="0" w:color="D9D9E3"/>
                                <w:left w:val="single" w:sz="2" w:space="0" w:color="D9D9E3"/>
                                <w:bottom w:val="single" w:sz="2" w:space="0" w:color="D9D9E3"/>
                                <w:right w:val="single" w:sz="2" w:space="0" w:color="D9D9E3"/>
                              </w:divBdr>
                              <w:divsChild>
                                <w:div w:id="437992712">
                                  <w:marLeft w:val="0"/>
                                  <w:marRight w:val="0"/>
                                  <w:marTop w:val="0"/>
                                  <w:marBottom w:val="0"/>
                                  <w:divBdr>
                                    <w:top w:val="single" w:sz="2" w:space="0" w:color="D9D9E3"/>
                                    <w:left w:val="single" w:sz="2" w:space="0" w:color="D9D9E3"/>
                                    <w:bottom w:val="single" w:sz="2" w:space="0" w:color="D9D9E3"/>
                                    <w:right w:val="single" w:sz="2" w:space="0" w:color="D9D9E3"/>
                                  </w:divBdr>
                                  <w:divsChild>
                                    <w:div w:id="621307068">
                                      <w:marLeft w:val="0"/>
                                      <w:marRight w:val="0"/>
                                      <w:marTop w:val="0"/>
                                      <w:marBottom w:val="0"/>
                                      <w:divBdr>
                                        <w:top w:val="single" w:sz="2" w:space="0" w:color="D9D9E3"/>
                                        <w:left w:val="single" w:sz="2" w:space="0" w:color="D9D9E3"/>
                                        <w:bottom w:val="single" w:sz="2" w:space="0" w:color="D9D9E3"/>
                                        <w:right w:val="single" w:sz="2" w:space="0" w:color="D9D9E3"/>
                                      </w:divBdr>
                                      <w:divsChild>
                                        <w:div w:id="853761779">
                                          <w:marLeft w:val="0"/>
                                          <w:marRight w:val="0"/>
                                          <w:marTop w:val="0"/>
                                          <w:marBottom w:val="0"/>
                                          <w:divBdr>
                                            <w:top w:val="single" w:sz="2" w:space="0" w:color="D9D9E3"/>
                                            <w:left w:val="single" w:sz="2" w:space="0" w:color="D9D9E3"/>
                                            <w:bottom w:val="single" w:sz="2" w:space="0" w:color="D9D9E3"/>
                                            <w:right w:val="single" w:sz="2" w:space="0" w:color="D9D9E3"/>
                                          </w:divBdr>
                                          <w:divsChild>
                                            <w:div w:id="1439712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89869806">
      <w:bodyDiv w:val="1"/>
      <w:marLeft w:val="0"/>
      <w:marRight w:val="0"/>
      <w:marTop w:val="0"/>
      <w:marBottom w:val="0"/>
      <w:divBdr>
        <w:top w:val="none" w:sz="0" w:space="0" w:color="auto"/>
        <w:left w:val="none" w:sz="0" w:space="0" w:color="auto"/>
        <w:bottom w:val="none" w:sz="0" w:space="0" w:color="auto"/>
        <w:right w:val="none" w:sz="0" w:space="0" w:color="auto"/>
      </w:divBdr>
      <w:divsChild>
        <w:div w:id="1549730939">
          <w:marLeft w:val="0"/>
          <w:marRight w:val="0"/>
          <w:marTop w:val="0"/>
          <w:marBottom w:val="0"/>
          <w:divBdr>
            <w:top w:val="single" w:sz="2" w:space="0" w:color="D9D9E3"/>
            <w:left w:val="single" w:sz="2" w:space="0" w:color="D9D9E3"/>
            <w:bottom w:val="single" w:sz="2" w:space="0" w:color="D9D9E3"/>
            <w:right w:val="single" w:sz="2" w:space="0" w:color="D9D9E3"/>
          </w:divBdr>
          <w:divsChild>
            <w:div w:id="1640301594">
              <w:marLeft w:val="0"/>
              <w:marRight w:val="0"/>
              <w:marTop w:val="0"/>
              <w:marBottom w:val="0"/>
              <w:divBdr>
                <w:top w:val="single" w:sz="2" w:space="0" w:color="D9D9E3"/>
                <w:left w:val="single" w:sz="2" w:space="0" w:color="D9D9E3"/>
                <w:bottom w:val="single" w:sz="2" w:space="0" w:color="D9D9E3"/>
                <w:right w:val="single" w:sz="2" w:space="0" w:color="D9D9E3"/>
              </w:divBdr>
              <w:divsChild>
                <w:div w:id="1465387735">
                  <w:marLeft w:val="0"/>
                  <w:marRight w:val="0"/>
                  <w:marTop w:val="0"/>
                  <w:marBottom w:val="0"/>
                  <w:divBdr>
                    <w:top w:val="single" w:sz="2" w:space="0" w:color="D9D9E3"/>
                    <w:left w:val="single" w:sz="2" w:space="0" w:color="D9D9E3"/>
                    <w:bottom w:val="single" w:sz="2" w:space="0" w:color="D9D9E3"/>
                    <w:right w:val="single" w:sz="2" w:space="0" w:color="D9D9E3"/>
                  </w:divBdr>
                  <w:divsChild>
                    <w:div w:id="837691620">
                      <w:marLeft w:val="0"/>
                      <w:marRight w:val="0"/>
                      <w:marTop w:val="0"/>
                      <w:marBottom w:val="0"/>
                      <w:divBdr>
                        <w:top w:val="single" w:sz="2" w:space="0" w:color="D9D9E3"/>
                        <w:left w:val="single" w:sz="2" w:space="0" w:color="D9D9E3"/>
                        <w:bottom w:val="single" w:sz="2" w:space="0" w:color="D9D9E3"/>
                        <w:right w:val="single" w:sz="2" w:space="0" w:color="D9D9E3"/>
                      </w:divBdr>
                      <w:divsChild>
                        <w:div w:id="43215677">
                          <w:marLeft w:val="0"/>
                          <w:marRight w:val="0"/>
                          <w:marTop w:val="0"/>
                          <w:marBottom w:val="0"/>
                          <w:divBdr>
                            <w:top w:val="single" w:sz="2" w:space="0" w:color="auto"/>
                            <w:left w:val="single" w:sz="2" w:space="0" w:color="auto"/>
                            <w:bottom w:val="single" w:sz="6" w:space="0" w:color="auto"/>
                            <w:right w:val="single" w:sz="2" w:space="0" w:color="auto"/>
                          </w:divBdr>
                          <w:divsChild>
                            <w:div w:id="1318803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679505891">
                                  <w:marLeft w:val="0"/>
                                  <w:marRight w:val="0"/>
                                  <w:marTop w:val="0"/>
                                  <w:marBottom w:val="0"/>
                                  <w:divBdr>
                                    <w:top w:val="single" w:sz="2" w:space="0" w:color="D9D9E3"/>
                                    <w:left w:val="single" w:sz="2" w:space="0" w:color="D9D9E3"/>
                                    <w:bottom w:val="single" w:sz="2" w:space="0" w:color="D9D9E3"/>
                                    <w:right w:val="single" w:sz="2" w:space="0" w:color="D9D9E3"/>
                                  </w:divBdr>
                                  <w:divsChild>
                                    <w:div w:id="54624000">
                                      <w:marLeft w:val="0"/>
                                      <w:marRight w:val="0"/>
                                      <w:marTop w:val="0"/>
                                      <w:marBottom w:val="0"/>
                                      <w:divBdr>
                                        <w:top w:val="single" w:sz="2" w:space="0" w:color="D9D9E3"/>
                                        <w:left w:val="single" w:sz="2" w:space="0" w:color="D9D9E3"/>
                                        <w:bottom w:val="single" w:sz="2" w:space="0" w:color="D9D9E3"/>
                                        <w:right w:val="single" w:sz="2" w:space="0" w:color="D9D9E3"/>
                                      </w:divBdr>
                                      <w:divsChild>
                                        <w:div w:id="503666717">
                                          <w:marLeft w:val="0"/>
                                          <w:marRight w:val="0"/>
                                          <w:marTop w:val="0"/>
                                          <w:marBottom w:val="0"/>
                                          <w:divBdr>
                                            <w:top w:val="single" w:sz="2" w:space="0" w:color="D9D9E3"/>
                                            <w:left w:val="single" w:sz="2" w:space="0" w:color="D9D9E3"/>
                                            <w:bottom w:val="single" w:sz="2" w:space="0" w:color="D9D9E3"/>
                                            <w:right w:val="single" w:sz="2" w:space="0" w:color="D9D9E3"/>
                                          </w:divBdr>
                                          <w:divsChild>
                                            <w:div w:id="1320964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8183002">
          <w:marLeft w:val="0"/>
          <w:marRight w:val="0"/>
          <w:marTop w:val="0"/>
          <w:marBottom w:val="0"/>
          <w:divBdr>
            <w:top w:val="none" w:sz="0" w:space="0" w:color="auto"/>
            <w:left w:val="none" w:sz="0" w:space="0" w:color="auto"/>
            <w:bottom w:val="none" w:sz="0" w:space="0" w:color="auto"/>
            <w:right w:val="none" w:sz="0" w:space="0" w:color="auto"/>
          </w:divBdr>
        </w:div>
      </w:divsChild>
    </w:div>
    <w:div w:id="307174469">
      <w:bodyDiv w:val="1"/>
      <w:marLeft w:val="0"/>
      <w:marRight w:val="0"/>
      <w:marTop w:val="0"/>
      <w:marBottom w:val="0"/>
      <w:divBdr>
        <w:top w:val="none" w:sz="0" w:space="0" w:color="auto"/>
        <w:left w:val="none" w:sz="0" w:space="0" w:color="auto"/>
        <w:bottom w:val="none" w:sz="0" w:space="0" w:color="auto"/>
        <w:right w:val="none" w:sz="0" w:space="0" w:color="auto"/>
      </w:divBdr>
      <w:divsChild>
        <w:div w:id="540367629">
          <w:marLeft w:val="0"/>
          <w:marRight w:val="0"/>
          <w:marTop w:val="0"/>
          <w:marBottom w:val="0"/>
          <w:divBdr>
            <w:top w:val="none" w:sz="0" w:space="0" w:color="auto"/>
            <w:left w:val="none" w:sz="0" w:space="0" w:color="auto"/>
            <w:bottom w:val="none" w:sz="0" w:space="0" w:color="auto"/>
            <w:right w:val="none" w:sz="0" w:space="0" w:color="auto"/>
          </w:divBdr>
        </w:div>
        <w:div w:id="1282951725">
          <w:marLeft w:val="0"/>
          <w:marRight w:val="0"/>
          <w:marTop w:val="0"/>
          <w:marBottom w:val="0"/>
          <w:divBdr>
            <w:top w:val="single" w:sz="2" w:space="0" w:color="D9D9E3"/>
            <w:left w:val="single" w:sz="2" w:space="0" w:color="D9D9E3"/>
            <w:bottom w:val="single" w:sz="2" w:space="0" w:color="D9D9E3"/>
            <w:right w:val="single" w:sz="2" w:space="0" w:color="D9D9E3"/>
          </w:divBdr>
          <w:divsChild>
            <w:div w:id="608902461">
              <w:marLeft w:val="0"/>
              <w:marRight w:val="0"/>
              <w:marTop w:val="0"/>
              <w:marBottom w:val="0"/>
              <w:divBdr>
                <w:top w:val="single" w:sz="2" w:space="0" w:color="D9D9E3"/>
                <w:left w:val="single" w:sz="2" w:space="0" w:color="D9D9E3"/>
                <w:bottom w:val="single" w:sz="2" w:space="0" w:color="D9D9E3"/>
                <w:right w:val="single" w:sz="2" w:space="0" w:color="D9D9E3"/>
              </w:divBdr>
              <w:divsChild>
                <w:div w:id="8071979">
                  <w:marLeft w:val="0"/>
                  <w:marRight w:val="0"/>
                  <w:marTop w:val="0"/>
                  <w:marBottom w:val="0"/>
                  <w:divBdr>
                    <w:top w:val="single" w:sz="2" w:space="0" w:color="D9D9E3"/>
                    <w:left w:val="single" w:sz="2" w:space="0" w:color="D9D9E3"/>
                    <w:bottom w:val="single" w:sz="2" w:space="0" w:color="D9D9E3"/>
                    <w:right w:val="single" w:sz="2" w:space="0" w:color="D9D9E3"/>
                  </w:divBdr>
                  <w:divsChild>
                    <w:div w:id="100609254">
                      <w:marLeft w:val="0"/>
                      <w:marRight w:val="0"/>
                      <w:marTop w:val="0"/>
                      <w:marBottom w:val="0"/>
                      <w:divBdr>
                        <w:top w:val="single" w:sz="2" w:space="0" w:color="D9D9E3"/>
                        <w:left w:val="single" w:sz="2" w:space="0" w:color="D9D9E3"/>
                        <w:bottom w:val="single" w:sz="2" w:space="0" w:color="D9D9E3"/>
                        <w:right w:val="single" w:sz="2" w:space="0" w:color="D9D9E3"/>
                      </w:divBdr>
                      <w:divsChild>
                        <w:div w:id="891960031">
                          <w:marLeft w:val="0"/>
                          <w:marRight w:val="0"/>
                          <w:marTop w:val="0"/>
                          <w:marBottom w:val="0"/>
                          <w:divBdr>
                            <w:top w:val="single" w:sz="2" w:space="0" w:color="auto"/>
                            <w:left w:val="single" w:sz="2" w:space="0" w:color="auto"/>
                            <w:bottom w:val="single" w:sz="6" w:space="0" w:color="auto"/>
                            <w:right w:val="single" w:sz="2" w:space="0" w:color="auto"/>
                          </w:divBdr>
                          <w:divsChild>
                            <w:div w:id="1139611968">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124920">
                                  <w:marLeft w:val="0"/>
                                  <w:marRight w:val="0"/>
                                  <w:marTop w:val="0"/>
                                  <w:marBottom w:val="0"/>
                                  <w:divBdr>
                                    <w:top w:val="single" w:sz="2" w:space="0" w:color="D9D9E3"/>
                                    <w:left w:val="single" w:sz="2" w:space="0" w:color="D9D9E3"/>
                                    <w:bottom w:val="single" w:sz="2" w:space="0" w:color="D9D9E3"/>
                                    <w:right w:val="single" w:sz="2" w:space="0" w:color="D9D9E3"/>
                                  </w:divBdr>
                                  <w:divsChild>
                                    <w:div w:id="863520159">
                                      <w:marLeft w:val="0"/>
                                      <w:marRight w:val="0"/>
                                      <w:marTop w:val="0"/>
                                      <w:marBottom w:val="0"/>
                                      <w:divBdr>
                                        <w:top w:val="single" w:sz="2" w:space="0" w:color="D9D9E3"/>
                                        <w:left w:val="single" w:sz="2" w:space="0" w:color="D9D9E3"/>
                                        <w:bottom w:val="single" w:sz="2" w:space="0" w:color="D9D9E3"/>
                                        <w:right w:val="single" w:sz="2" w:space="0" w:color="D9D9E3"/>
                                      </w:divBdr>
                                      <w:divsChild>
                                        <w:div w:id="1949268852">
                                          <w:marLeft w:val="0"/>
                                          <w:marRight w:val="0"/>
                                          <w:marTop w:val="0"/>
                                          <w:marBottom w:val="0"/>
                                          <w:divBdr>
                                            <w:top w:val="single" w:sz="2" w:space="0" w:color="D9D9E3"/>
                                            <w:left w:val="single" w:sz="2" w:space="0" w:color="D9D9E3"/>
                                            <w:bottom w:val="single" w:sz="2" w:space="0" w:color="D9D9E3"/>
                                            <w:right w:val="single" w:sz="2" w:space="0" w:color="D9D9E3"/>
                                          </w:divBdr>
                                          <w:divsChild>
                                            <w:div w:id="14556321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5868896">
      <w:bodyDiv w:val="1"/>
      <w:marLeft w:val="0"/>
      <w:marRight w:val="0"/>
      <w:marTop w:val="0"/>
      <w:marBottom w:val="0"/>
      <w:divBdr>
        <w:top w:val="none" w:sz="0" w:space="0" w:color="auto"/>
        <w:left w:val="none" w:sz="0" w:space="0" w:color="auto"/>
        <w:bottom w:val="none" w:sz="0" w:space="0" w:color="auto"/>
        <w:right w:val="none" w:sz="0" w:space="0" w:color="auto"/>
      </w:divBdr>
    </w:div>
    <w:div w:id="341779720">
      <w:bodyDiv w:val="1"/>
      <w:marLeft w:val="0"/>
      <w:marRight w:val="0"/>
      <w:marTop w:val="0"/>
      <w:marBottom w:val="0"/>
      <w:divBdr>
        <w:top w:val="none" w:sz="0" w:space="0" w:color="auto"/>
        <w:left w:val="none" w:sz="0" w:space="0" w:color="auto"/>
        <w:bottom w:val="none" w:sz="0" w:space="0" w:color="auto"/>
        <w:right w:val="none" w:sz="0" w:space="0" w:color="auto"/>
      </w:divBdr>
    </w:div>
    <w:div w:id="407531865">
      <w:bodyDiv w:val="1"/>
      <w:marLeft w:val="0"/>
      <w:marRight w:val="0"/>
      <w:marTop w:val="0"/>
      <w:marBottom w:val="0"/>
      <w:divBdr>
        <w:top w:val="none" w:sz="0" w:space="0" w:color="auto"/>
        <w:left w:val="none" w:sz="0" w:space="0" w:color="auto"/>
        <w:bottom w:val="none" w:sz="0" w:space="0" w:color="auto"/>
        <w:right w:val="none" w:sz="0" w:space="0" w:color="auto"/>
      </w:divBdr>
      <w:divsChild>
        <w:div w:id="1582712175">
          <w:marLeft w:val="0"/>
          <w:marRight w:val="0"/>
          <w:marTop w:val="0"/>
          <w:marBottom w:val="0"/>
          <w:divBdr>
            <w:top w:val="single" w:sz="2" w:space="0" w:color="D9D9E3"/>
            <w:left w:val="single" w:sz="2" w:space="0" w:color="D9D9E3"/>
            <w:bottom w:val="single" w:sz="2" w:space="0" w:color="D9D9E3"/>
            <w:right w:val="single" w:sz="2" w:space="0" w:color="D9D9E3"/>
          </w:divBdr>
          <w:divsChild>
            <w:div w:id="1069620585">
              <w:marLeft w:val="0"/>
              <w:marRight w:val="0"/>
              <w:marTop w:val="0"/>
              <w:marBottom w:val="0"/>
              <w:divBdr>
                <w:top w:val="single" w:sz="2" w:space="0" w:color="D9D9E3"/>
                <w:left w:val="single" w:sz="2" w:space="0" w:color="D9D9E3"/>
                <w:bottom w:val="single" w:sz="2" w:space="0" w:color="D9D9E3"/>
                <w:right w:val="single" w:sz="2" w:space="0" w:color="D9D9E3"/>
              </w:divBdr>
              <w:divsChild>
                <w:div w:id="1270120145">
                  <w:marLeft w:val="0"/>
                  <w:marRight w:val="0"/>
                  <w:marTop w:val="0"/>
                  <w:marBottom w:val="0"/>
                  <w:divBdr>
                    <w:top w:val="single" w:sz="2" w:space="0" w:color="D9D9E3"/>
                    <w:left w:val="single" w:sz="2" w:space="0" w:color="D9D9E3"/>
                    <w:bottom w:val="single" w:sz="2" w:space="0" w:color="D9D9E3"/>
                    <w:right w:val="single" w:sz="2" w:space="0" w:color="D9D9E3"/>
                  </w:divBdr>
                  <w:divsChild>
                    <w:div w:id="302542971">
                      <w:marLeft w:val="0"/>
                      <w:marRight w:val="0"/>
                      <w:marTop w:val="0"/>
                      <w:marBottom w:val="0"/>
                      <w:divBdr>
                        <w:top w:val="single" w:sz="2" w:space="0" w:color="D9D9E3"/>
                        <w:left w:val="single" w:sz="2" w:space="0" w:color="D9D9E3"/>
                        <w:bottom w:val="single" w:sz="2" w:space="0" w:color="D9D9E3"/>
                        <w:right w:val="single" w:sz="2" w:space="0" w:color="D9D9E3"/>
                      </w:divBdr>
                      <w:divsChild>
                        <w:div w:id="1468353718">
                          <w:marLeft w:val="0"/>
                          <w:marRight w:val="0"/>
                          <w:marTop w:val="0"/>
                          <w:marBottom w:val="0"/>
                          <w:divBdr>
                            <w:top w:val="single" w:sz="2" w:space="0" w:color="auto"/>
                            <w:left w:val="single" w:sz="2" w:space="0" w:color="auto"/>
                            <w:bottom w:val="single" w:sz="6" w:space="0" w:color="auto"/>
                            <w:right w:val="single" w:sz="2" w:space="0" w:color="auto"/>
                          </w:divBdr>
                          <w:divsChild>
                            <w:div w:id="1691877682">
                              <w:marLeft w:val="0"/>
                              <w:marRight w:val="0"/>
                              <w:marTop w:val="100"/>
                              <w:marBottom w:val="100"/>
                              <w:divBdr>
                                <w:top w:val="single" w:sz="2" w:space="0" w:color="D9D9E3"/>
                                <w:left w:val="single" w:sz="2" w:space="0" w:color="D9D9E3"/>
                                <w:bottom w:val="single" w:sz="2" w:space="0" w:color="D9D9E3"/>
                                <w:right w:val="single" w:sz="2" w:space="0" w:color="D9D9E3"/>
                              </w:divBdr>
                              <w:divsChild>
                                <w:div w:id="1589539710">
                                  <w:marLeft w:val="0"/>
                                  <w:marRight w:val="0"/>
                                  <w:marTop w:val="0"/>
                                  <w:marBottom w:val="0"/>
                                  <w:divBdr>
                                    <w:top w:val="single" w:sz="2" w:space="0" w:color="D9D9E3"/>
                                    <w:left w:val="single" w:sz="2" w:space="0" w:color="D9D9E3"/>
                                    <w:bottom w:val="single" w:sz="2" w:space="0" w:color="D9D9E3"/>
                                    <w:right w:val="single" w:sz="2" w:space="0" w:color="D9D9E3"/>
                                  </w:divBdr>
                                  <w:divsChild>
                                    <w:div w:id="2004158393">
                                      <w:marLeft w:val="0"/>
                                      <w:marRight w:val="0"/>
                                      <w:marTop w:val="0"/>
                                      <w:marBottom w:val="0"/>
                                      <w:divBdr>
                                        <w:top w:val="single" w:sz="2" w:space="0" w:color="D9D9E3"/>
                                        <w:left w:val="single" w:sz="2" w:space="0" w:color="D9D9E3"/>
                                        <w:bottom w:val="single" w:sz="2" w:space="0" w:color="D9D9E3"/>
                                        <w:right w:val="single" w:sz="2" w:space="0" w:color="D9D9E3"/>
                                      </w:divBdr>
                                      <w:divsChild>
                                        <w:div w:id="397019740">
                                          <w:marLeft w:val="0"/>
                                          <w:marRight w:val="0"/>
                                          <w:marTop w:val="0"/>
                                          <w:marBottom w:val="0"/>
                                          <w:divBdr>
                                            <w:top w:val="single" w:sz="2" w:space="0" w:color="D9D9E3"/>
                                            <w:left w:val="single" w:sz="2" w:space="0" w:color="D9D9E3"/>
                                            <w:bottom w:val="single" w:sz="2" w:space="0" w:color="D9D9E3"/>
                                            <w:right w:val="single" w:sz="2" w:space="0" w:color="D9D9E3"/>
                                          </w:divBdr>
                                          <w:divsChild>
                                            <w:div w:id="303049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82671384">
          <w:marLeft w:val="0"/>
          <w:marRight w:val="0"/>
          <w:marTop w:val="0"/>
          <w:marBottom w:val="0"/>
          <w:divBdr>
            <w:top w:val="none" w:sz="0" w:space="0" w:color="auto"/>
            <w:left w:val="none" w:sz="0" w:space="0" w:color="auto"/>
            <w:bottom w:val="none" w:sz="0" w:space="0" w:color="auto"/>
            <w:right w:val="none" w:sz="0" w:space="0" w:color="auto"/>
          </w:divBdr>
          <w:divsChild>
            <w:div w:id="118573104">
              <w:marLeft w:val="0"/>
              <w:marRight w:val="0"/>
              <w:marTop w:val="0"/>
              <w:marBottom w:val="0"/>
              <w:divBdr>
                <w:top w:val="single" w:sz="2" w:space="0" w:color="D9D9E3"/>
                <w:left w:val="single" w:sz="2" w:space="0" w:color="D9D9E3"/>
                <w:bottom w:val="single" w:sz="2" w:space="0" w:color="D9D9E3"/>
                <w:right w:val="single" w:sz="2" w:space="0" w:color="D9D9E3"/>
              </w:divBdr>
              <w:divsChild>
                <w:div w:id="1487936868">
                  <w:marLeft w:val="0"/>
                  <w:marRight w:val="0"/>
                  <w:marTop w:val="0"/>
                  <w:marBottom w:val="0"/>
                  <w:divBdr>
                    <w:top w:val="single" w:sz="2" w:space="0" w:color="D9D9E3"/>
                    <w:left w:val="single" w:sz="2" w:space="0" w:color="D9D9E3"/>
                    <w:bottom w:val="single" w:sz="2" w:space="0" w:color="D9D9E3"/>
                    <w:right w:val="single" w:sz="2" w:space="0" w:color="D9D9E3"/>
                  </w:divBdr>
                  <w:divsChild>
                    <w:div w:id="1465083169">
                      <w:marLeft w:val="0"/>
                      <w:marRight w:val="0"/>
                      <w:marTop w:val="0"/>
                      <w:marBottom w:val="0"/>
                      <w:divBdr>
                        <w:top w:val="single" w:sz="2" w:space="0" w:color="D9D9E3"/>
                        <w:left w:val="single" w:sz="2" w:space="0" w:color="D9D9E3"/>
                        <w:bottom w:val="single" w:sz="2" w:space="0" w:color="D9D9E3"/>
                        <w:right w:val="single" w:sz="2" w:space="0" w:color="D9D9E3"/>
                      </w:divBdr>
                      <w:divsChild>
                        <w:div w:id="1199466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41145954">
      <w:bodyDiv w:val="1"/>
      <w:marLeft w:val="0"/>
      <w:marRight w:val="0"/>
      <w:marTop w:val="0"/>
      <w:marBottom w:val="0"/>
      <w:divBdr>
        <w:top w:val="none" w:sz="0" w:space="0" w:color="auto"/>
        <w:left w:val="none" w:sz="0" w:space="0" w:color="auto"/>
        <w:bottom w:val="none" w:sz="0" w:space="0" w:color="auto"/>
        <w:right w:val="none" w:sz="0" w:space="0" w:color="auto"/>
      </w:divBdr>
    </w:div>
    <w:div w:id="449397805">
      <w:bodyDiv w:val="1"/>
      <w:marLeft w:val="0"/>
      <w:marRight w:val="0"/>
      <w:marTop w:val="0"/>
      <w:marBottom w:val="0"/>
      <w:divBdr>
        <w:top w:val="none" w:sz="0" w:space="0" w:color="auto"/>
        <w:left w:val="none" w:sz="0" w:space="0" w:color="auto"/>
        <w:bottom w:val="none" w:sz="0" w:space="0" w:color="auto"/>
        <w:right w:val="none" w:sz="0" w:space="0" w:color="auto"/>
      </w:divBdr>
    </w:div>
    <w:div w:id="458189296">
      <w:bodyDiv w:val="1"/>
      <w:marLeft w:val="0"/>
      <w:marRight w:val="0"/>
      <w:marTop w:val="0"/>
      <w:marBottom w:val="0"/>
      <w:divBdr>
        <w:top w:val="none" w:sz="0" w:space="0" w:color="auto"/>
        <w:left w:val="none" w:sz="0" w:space="0" w:color="auto"/>
        <w:bottom w:val="none" w:sz="0" w:space="0" w:color="auto"/>
        <w:right w:val="none" w:sz="0" w:space="0" w:color="auto"/>
      </w:divBdr>
    </w:div>
    <w:div w:id="515312512">
      <w:bodyDiv w:val="1"/>
      <w:marLeft w:val="0"/>
      <w:marRight w:val="0"/>
      <w:marTop w:val="0"/>
      <w:marBottom w:val="0"/>
      <w:divBdr>
        <w:top w:val="none" w:sz="0" w:space="0" w:color="auto"/>
        <w:left w:val="none" w:sz="0" w:space="0" w:color="auto"/>
        <w:bottom w:val="none" w:sz="0" w:space="0" w:color="auto"/>
        <w:right w:val="none" w:sz="0" w:space="0" w:color="auto"/>
      </w:divBdr>
    </w:div>
    <w:div w:id="531381163">
      <w:bodyDiv w:val="1"/>
      <w:marLeft w:val="0"/>
      <w:marRight w:val="0"/>
      <w:marTop w:val="0"/>
      <w:marBottom w:val="0"/>
      <w:divBdr>
        <w:top w:val="none" w:sz="0" w:space="0" w:color="auto"/>
        <w:left w:val="none" w:sz="0" w:space="0" w:color="auto"/>
        <w:bottom w:val="none" w:sz="0" w:space="0" w:color="auto"/>
        <w:right w:val="none" w:sz="0" w:space="0" w:color="auto"/>
      </w:divBdr>
    </w:div>
    <w:div w:id="570894349">
      <w:bodyDiv w:val="1"/>
      <w:marLeft w:val="0"/>
      <w:marRight w:val="0"/>
      <w:marTop w:val="0"/>
      <w:marBottom w:val="0"/>
      <w:divBdr>
        <w:top w:val="none" w:sz="0" w:space="0" w:color="auto"/>
        <w:left w:val="none" w:sz="0" w:space="0" w:color="auto"/>
        <w:bottom w:val="none" w:sz="0" w:space="0" w:color="auto"/>
        <w:right w:val="none" w:sz="0" w:space="0" w:color="auto"/>
      </w:divBdr>
    </w:div>
    <w:div w:id="583882733">
      <w:bodyDiv w:val="1"/>
      <w:marLeft w:val="0"/>
      <w:marRight w:val="0"/>
      <w:marTop w:val="0"/>
      <w:marBottom w:val="0"/>
      <w:divBdr>
        <w:top w:val="none" w:sz="0" w:space="0" w:color="auto"/>
        <w:left w:val="none" w:sz="0" w:space="0" w:color="auto"/>
        <w:bottom w:val="none" w:sz="0" w:space="0" w:color="auto"/>
        <w:right w:val="none" w:sz="0" w:space="0" w:color="auto"/>
      </w:divBdr>
      <w:divsChild>
        <w:div w:id="221253443">
          <w:marLeft w:val="0"/>
          <w:marRight w:val="0"/>
          <w:marTop w:val="0"/>
          <w:marBottom w:val="0"/>
          <w:divBdr>
            <w:top w:val="single" w:sz="2" w:space="0" w:color="D9D9E3"/>
            <w:left w:val="single" w:sz="2" w:space="0" w:color="D9D9E3"/>
            <w:bottom w:val="single" w:sz="2" w:space="0" w:color="D9D9E3"/>
            <w:right w:val="single" w:sz="2" w:space="0" w:color="D9D9E3"/>
          </w:divBdr>
          <w:divsChild>
            <w:div w:id="889805550">
              <w:marLeft w:val="0"/>
              <w:marRight w:val="0"/>
              <w:marTop w:val="0"/>
              <w:marBottom w:val="0"/>
              <w:divBdr>
                <w:top w:val="single" w:sz="2" w:space="0" w:color="D9D9E3"/>
                <w:left w:val="single" w:sz="2" w:space="0" w:color="D9D9E3"/>
                <w:bottom w:val="single" w:sz="2" w:space="0" w:color="D9D9E3"/>
                <w:right w:val="single" w:sz="2" w:space="0" w:color="D9D9E3"/>
              </w:divBdr>
              <w:divsChild>
                <w:div w:id="1166703356">
                  <w:marLeft w:val="0"/>
                  <w:marRight w:val="0"/>
                  <w:marTop w:val="0"/>
                  <w:marBottom w:val="0"/>
                  <w:divBdr>
                    <w:top w:val="single" w:sz="2" w:space="0" w:color="D9D9E3"/>
                    <w:left w:val="single" w:sz="2" w:space="0" w:color="D9D9E3"/>
                    <w:bottom w:val="single" w:sz="2" w:space="0" w:color="D9D9E3"/>
                    <w:right w:val="single" w:sz="2" w:space="0" w:color="D9D9E3"/>
                  </w:divBdr>
                  <w:divsChild>
                    <w:div w:id="1474374928">
                      <w:marLeft w:val="0"/>
                      <w:marRight w:val="0"/>
                      <w:marTop w:val="0"/>
                      <w:marBottom w:val="0"/>
                      <w:divBdr>
                        <w:top w:val="single" w:sz="2" w:space="0" w:color="D9D9E3"/>
                        <w:left w:val="single" w:sz="2" w:space="0" w:color="D9D9E3"/>
                        <w:bottom w:val="single" w:sz="2" w:space="0" w:color="D9D9E3"/>
                        <w:right w:val="single" w:sz="2" w:space="0" w:color="D9D9E3"/>
                      </w:divBdr>
                      <w:divsChild>
                        <w:div w:id="278074345">
                          <w:marLeft w:val="0"/>
                          <w:marRight w:val="0"/>
                          <w:marTop w:val="0"/>
                          <w:marBottom w:val="0"/>
                          <w:divBdr>
                            <w:top w:val="single" w:sz="2" w:space="0" w:color="auto"/>
                            <w:left w:val="single" w:sz="2" w:space="0" w:color="auto"/>
                            <w:bottom w:val="single" w:sz="6" w:space="0" w:color="auto"/>
                            <w:right w:val="single" w:sz="2" w:space="0" w:color="auto"/>
                          </w:divBdr>
                          <w:divsChild>
                            <w:div w:id="1003895636">
                              <w:marLeft w:val="0"/>
                              <w:marRight w:val="0"/>
                              <w:marTop w:val="100"/>
                              <w:marBottom w:val="100"/>
                              <w:divBdr>
                                <w:top w:val="single" w:sz="2" w:space="0" w:color="D9D9E3"/>
                                <w:left w:val="single" w:sz="2" w:space="0" w:color="D9D9E3"/>
                                <w:bottom w:val="single" w:sz="2" w:space="0" w:color="D9D9E3"/>
                                <w:right w:val="single" w:sz="2" w:space="0" w:color="D9D9E3"/>
                              </w:divBdr>
                              <w:divsChild>
                                <w:div w:id="796028040">
                                  <w:marLeft w:val="0"/>
                                  <w:marRight w:val="0"/>
                                  <w:marTop w:val="0"/>
                                  <w:marBottom w:val="0"/>
                                  <w:divBdr>
                                    <w:top w:val="single" w:sz="2" w:space="0" w:color="D9D9E3"/>
                                    <w:left w:val="single" w:sz="2" w:space="0" w:color="D9D9E3"/>
                                    <w:bottom w:val="single" w:sz="2" w:space="0" w:color="D9D9E3"/>
                                    <w:right w:val="single" w:sz="2" w:space="0" w:color="D9D9E3"/>
                                  </w:divBdr>
                                  <w:divsChild>
                                    <w:div w:id="1752193218">
                                      <w:marLeft w:val="0"/>
                                      <w:marRight w:val="0"/>
                                      <w:marTop w:val="0"/>
                                      <w:marBottom w:val="0"/>
                                      <w:divBdr>
                                        <w:top w:val="single" w:sz="2" w:space="0" w:color="D9D9E3"/>
                                        <w:left w:val="single" w:sz="2" w:space="0" w:color="D9D9E3"/>
                                        <w:bottom w:val="single" w:sz="2" w:space="0" w:color="D9D9E3"/>
                                        <w:right w:val="single" w:sz="2" w:space="0" w:color="D9D9E3"/>
                                      </w:divBdr>
                                      <w:divsChild>
                                        <w:div w:id="545946532">
                                          <w:marLeft w:val="0"/>
                                          <w:marRight w:val="0"/>
                                          <w:marTop w:val="0"/>
                                          <w:marBottom w:val="0"/>
                                          <w:divBdr>
                                            <w:top w:val="single" w:sz="2" w:space="0" w:color="D9D9E3"/>
                                            <w:left w:val="single" w:sz="2" w:space="0" w:color="D9D9E3"/>
                                            <w:bottom w:val="single" w:sz="2" w:space="0" w:color="D9D9E3"/>
                                            <w:right w:val="single" w:sz="2" w:space="0" w:color="D9D9E3"/>
                                          </w:divBdr>
                                          <w:divsChild>
                                            <w:div w:id="399713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12548979">
          <w:marLeft w:val="0"/>
          <w:marRight w:val="0"/>
          <w:marTop w:val="0"/>
          <w:marBottom w:val="0"/>
          <w:divBdr>
            <w:top w:val="none" w:sz="0" w:space="0" w:color="auto"/>
            <w:left w:val="none" w:sz="0" w:space="0" w:color="auto"/>
            <w:bottom w:val="none" w:sz="0" w:space="0" w:color="auto"/>
            <w:right w:val="none" w:sz="0" w:space="0" w:color="auto"/>
          </w:divBdr>
        </w:div>
      </w:divsChild>
    </w:div>
    <w:div w:id="632291634">
      <w:bodyDiv w:val="1"/>
      <w:marLeft w:val="0"/>
      <w:marRight w:val="0"/>
      <w:marTop w:val="0"/>
      <w:marBottom w:val="0"/>
      <w:divBdr>
        <w:top w:val="none" w:sz="0" w:space="0" w:color="auto"/>
        <w:left w:val="none" w:sz="0" w:space="0" w:color="auto"/>
        <w:bottom w:val="none" w:sz="0" w:space="0" w:color="auto"/>
        <w:right w:val="none" w:sz="0" w:space="0" w:color="auto"/>
      </w:divBdr>
    </w:div>
    <w:div w:id="637495067">
      <w:bodyDiv w:val="1"/>
      <w:marLeft w:val="0"/>
      <w:marRight w:val="0"/>
      <w:marTop w:val="0"/>
      <w:marBottom w:val="0"/>
      <w:divBdr>
        <w:top w:val="none" w:sz="0" w:space="0" w:color="auto"/>
        <w:left w:val="none" w:sz="0" w:space="0" w:color="auto"/>
        <w:bottom w:val="none" w:sz="0" w:space="0" w:color="auto"/>
        <w:right w:val="none" w:sz="0" w:space="0" w:color="auto"/>
      </w:divBdr>
    </w:div>
    <w:div w:id="637536473">
      <w:bodyDiv w:val="1"/>
      <w:marLeft w:val="0"/>
      <w:marRight w:val="0"/>
      <w:marTop w:val="0"/>
      <w:marBottom w:val="0"/>
      <w:divBdr>
        <w:top w:val="none" w:sz="0" w:space="0" w:color="auto"/>
        <w:left w:val="none" w:sz="0" w:space="0" w:color="auto"/>
        <w:bottom w:val="none" w:sz="0" w:space="0" w:color="auto"/>
        <w:right w:val="none" w:sz="0" w:space="0" w:color="auto"/>
      </w:divBdr>
    </w:div>
    <w:div w:id="653026600">
      <w:bodyDiv w:val="1"/>
      <w:marLeft w:val="0"/>
      <w:marRight w:val="0"/>
      <w:marTop w:val="0"/>
      <w:marBottom w:val="0"/>
      <w:divBdr>
        <w:top w:val="none" w:sz="0" w:space="0" w:color="auto"/>
        <w:left w:val="none" w:sz="0" w:space="0" w:color="auto"/>
        <w:bottom w:val="none" w:sz="0" w:space="0" w:color="auto"/>
        <w:right w:val="none" w:sz="0" w:space="0" w:color="auto"/>
      </w:divBdr>
    </w:div>
    <w:div w:id="694572706">
      <w:bodyDiv w:val="1"/>
      <w:marLeft w:val="0"/>
      <w:marRight w:val="0"/>
      <w:marTop w:val="0"/>
      <w:marBottom w:val="0"/>
      <w:divBdr>
        <w:top w:val="none" w:sz="0" w:space="0" w:color="auto"/>
        <w:left w:val="none" w:sz="0" w:space="0" w:color="auto"/>
        <w:bottom w:val="none" w:sz="0" w:space="0" w:color="auto"/>
        <w:right w:val="none" w:sz="0" w:space="0" w:color="auto"/>
      </w:divBdr>
    </w:div>
    <w:div w:id="721710910">
      <w:bodyDiv w:val="1"/>
      <w:marLeft w:val="0"/>
      <w:marRight w:val="0"/>
      <w:marTop w:val="0"/>
      <w:marBottom w:val="0"/>
      <w:divBdr>
        <w:top w:val="none" w:sz="0" w:space="0" w:color="auto"/>
        <w:left w:val="none" w:sz="0" w:space="0" w:color="auto"/>
        <w:bottom w:val="none" w:sz="0" w:space="0" w:color="auto"/>
        <w:right w:val="none" w:sz="0" w:space="0" w:color="auto"/>
      </w:divBdr>
    </w:div>
    <w:div w:id="732704910">
      <w:bodyDiv w:val="1"/>
      <w:marLeft w:val="0"/>
      <w:marRight w:val="0"/>
      <w:marTop w:val="0"/>
      <w:marBottom w:val="0"/>
      <w:divBdr>
        <w:top w:val="none" w:sz="0" w:space="0" w:color="auto"/>
        <w:left w:val="none" w:sz="0" w:space="0" w:color="auto"/>
        <w:bottom w:val="none" w:sz="0" w:space="0" w:color="auto"/>
        <w:right w:val="none" w:sz="0" w:space="0" w:color="auto"/>
      </w:divBdr>
    </w:div>
    <w:div w:id="741414570">
      <w:bodyDiv w:val="1"/>
      <w:marLeft w:val="0"/>
      <w:marRight w:val="0"/>
      <w:marTop w:val="0"/>
      <w:marBottom w:val="0"/>
      <w:divBdr>
        <w:top w:val="none" w:sz="0" w:space="0" w:color="auto"/>
        <w:left w:val="none" w:sz="0" w:space="0" w:color="auto"/>
        <w:bottom w:val="none" w:sz="0" w:space="0" w:color="auto"/>
        <w:right w:val="none" w:sz="0" w:space="0" w:color="auto"/>
      </w:divBdr>
    </w:div>
    <w:div w:id="742874384">
      <w:bodyDiv w:val="1"/>
      <w:marLeft w:val="0"/>
      <w:marRight w:val="0"/>
      <w:marTop w:val="0"/>
      <w:marBottom w:val="0"/>
      <w:divBdr>
        <w:top w:val="none" w:sz="0" w:space="0" w:color="auto"/>
        <w:left w:val="none" w:sz="0" w:space="0" w:color="auto"/>
        <w:bottom w:val="none" w:sz="0" w:space="0" w:color="auto"/>
        <w:right w:val="none" w:sz="0" w:space="0" w:color="auto"/>
      </w:divBdr>
    </w:div>
    <w:div w:id="744183190">
      <w:bodyDiv w:val="1"/>
      <w:marLeft w:val="0"/>
      <w:marRight w:val="0"/>
      <w:marTop w:val="0"/>
      <w:marBottom w:val="0"/>
      <w:divBdr>
        <w:top w:val="none" w:sz="0" w:space="0" w:color="auto"/>
        <w:left w:val="none" w:sz="0" w:space="0" w:color="auto"/>
        <w:bottom w:val="none" w:sz="0" w:space="0" w:color="auto"/>
        <w:right w:val="none" w:sz="0" w:space="0" w:color="auto"/>
      </w:divBdr>
      <w:divsChild>
        <w:div w:id="46421078">
          <w:marLeft w:val="360"/>
          <w:marRight w:val="0"/>
          <w:marTop w:val="0"/>
          <w:marBottom w:val="0"/>
          <w:divBdr>
            <w:top w:val="none" w:sz="0" w:space="0" w:color="auto"/>
            <w:left w:val="none" w:sz="0" w:space="0" w:color="auto"/>
            <w:bottom w:val="none" w:sz="0" w:space="0" w:color="auto"/>
            <w:right w:val="none" w:sz="0" w:space="0" w:color="auto"/>
          </w:divBdr>
        </w:div>
        <w:div w:id="250967889">
          <w:marLeft w:val="360"/>
          <w:marRight w:val="0"/>
          <w:marTop w:val="0"/>
          <w:marBottom w:val="0"/>
          <w:divBdr>
            <w:top w:val="none" w:sz="0" w:space="0" w:color="auto"/>
            <w:left w:val="none" w:sz="0" w:space="0" w:color="auto"/>
            <w:bottom w:val="none" w:sz="0" w:space="0" w:color="auto"/>
            <w:right w:val="none" w:sz="0" w:space="0" w:color="auto"/>
          </w:divBdr>
        </w:div>
        <w:div w:id="253785287">
          <w:marLeft w:val="360"/>
          <w:marRight w:val="0"/>
          <w:marTop w:val="0"/>
          <w:marBottom w:val="0"/>
          <w:divBdr>
            <w:top w:val="none" w:sz="0" w:space="0" w:color="auto"/>
            <w:left w:val="none" w:sz="0" w:space="0" w:color="auto"/>
            <w:bottom w:val="none" w:sz="0" w:space="0" w:color="auto"/>
            <w:right w:val="none" w:sz="0" w:space="0" w:color="auto"/>
          </w:divBdr>
        </w:div>
        <w:div w:id="417215423">
          <w:marLeft w:val="360"/>
          <w:marRight w:val="0"/>
          <w:marTop w:val="0"/>
          <w:marBottom w:val="0"/>
          <w:divBdr>
            <w:top w:val="none" w:sz="0" w:space="0" w:color="auto"/>
            <w:left w:val="none" w:sz="0" w:space="0" w:color="auto"/>
            <w:bottom w:val="none" w:sz="0" w:space="0" w:color="auto"/>
            <w:right w:val="none" w:sz="0" w:space="0" w:color="auto"/>
          </w:divBdr>
        </w:div>
        <w:div w:id="666713000">
          <w:marLeft w:val="360"/>
          <w:marRight w:val="0"/>
          <w:marTop w:val="200"/>
          <w:marBottom w:val="0"/>
          <w:divBdr>
            <w:top w:val="none" w:sz="0" w:space="0" w:color="auto"/>
            <w:left w:val="none" w:sz="0" w:space="0" w:color="auto"/>
            <w:bottom w:val="none" w:sz="0" w:space="0" w:color="auto"/>
            <w:right w:val="none" w:sz="0" w:space="0" w:color="auto"/>
          </w:divBdr>
        </w:div>
        <w:div w:id="906260808">
          <w:marLeft w:val="360"/>
          <w:marRight w:val="0"/>
          <w:marTop w:val="0"/>
          <w:marBottom w:val="0"/>
          <w:divBdr>
            <w:top w:val="none" w:sz="0" w:space="0" w:color="auto"/>
            <w:left w:val="none" w:sz="0" w:space="0" w:color="auto"/>
            <w:bottom w:val="none" w:sz="0" w:space="0" w:color="auto"/>
            <w:right w:val="none" w:sz="0" w:space="0" w:color="auto"/>
          </w:divBdr>
        </w:div>
        <w:div w:id="1288781622">
          <w:marLeft w:val="360"/>
          <w:marRight w:val="0"/>
          <w:marTop w:val="0"/>
          <w:marBottom w:val="0"/>
          <w:divBdr>
            <w:top w:val="none" w:sz="0" w:space="0" w:color="auto"/>
            <w:left w:val="none" w:sz="0" w:space="0" w:color="auto"/>
            <w:bottom w:val="none" w:sz="0" w:space="0" w:color="auto"/>
            <w:right w:val="none" w:sz="0" w:space="0" w:color="auto"/>
          </w:divBdr>
        </w:div>
      </w:divsChild>
    </w:div>
    <w:div w:id="774446526">
      <w:bodyDiv w:val="1"/>
      <w:marLeft w:val="0"/>
      <w:marRight w:val="0"/>
      <w:marTop w:val="0"/>
      <w:marBottom w:val="0"/>
      <w:divBdr>
        <w:top w:val="none" w:sz="0" w:space="0" w:color="auto"/>
        <w:left w:val="none" w:sz="0" w:space="0" w:color="auto"/>
        <w:bottom w:val="none" w:sz="0" w:space="0" w:color="auto"/>
        <w:right w:val="none" w:sz="0" w:space="0" w:color="auto"/>
      </w:divBdr>
    </w:div>
    <w:div w:id="794906606">
      <w:bodyDiv w:val="1"/>
      <w:marLeft w:val="0"/>
      <w:marRight w:val="0"/>
      <w:marTop w:val="0"/>
      <w:marBottom w:val="0"/>
      <w:divBdr>
        <w:top w:val="none" w:sz="0" w:space="0" w:color="auto"/>
        <w:left w:val="none" w:sz="0" w:space="0" w:color="auto"/>
        <w:bottom w:val="none" w:sz="0" w:space="0" w:color="auto"/>
        <w:right w:val="none" w:sz="0" w:space="0" w:color="auto"/>
      </w:divBdr>
    </w:div>
    <w:div w:id="803043435">
      <w:bodyDiv w:val="1"/>
      <w:marLeft w:val="0"/>
      <w:marRight w:val="0"/>
      <w:marTop w:val="0"/>
      <w:marBottom w:val="0"/>
      <w:divBdr>
        <w:top w:val="none" w:sz="0" w:space="0" w:color="auto"/>
        <w:left w:val="none" w:sz="0" w:space="0" w:color="auto"/>
        <w:bottom w:val="none" w:sz="0" w:space="0" w:color="auto"/>
        <w:right w:val="none" w:sz="0" w:space="0" w:color="auto"/>
      </w:divBdr>
    </w:div>
    <w:div w:id="803080912">
      <w:bodyDiv w:val="1"/>
      <w:marLeft w:val="0"/>
      <w:marRight w:val="0"/>
      <w:marTop w:val="0"/>
      <w:marBottom w:val="0"/>
      <w:divBdr>
        <w:top w:val="none" w:sz="0" w:space="0" w:color="auto"/>
        <w:left w:val="none" w:sz="0" w:space="0" w:color="auto"/>
        <w:bottom w:val="none" w:sz="0" w:space="0" w:color="auto"/>
        <w:right w:val="none" w:sz="0" w:space="0" w:color="auto"/>
      </w:divBdr>
    </w:div>
    <w:div w:id="803697974">
      <w:bodyDiv w:val="1"/>
      <w:marLeft w:val="0"/>
      <w:marRight w:val="0"/>
      <w:marTop w:val="0"/>
      <w:marBottom w:val="0"/>
      <w:divBdr>
        <w:top w:val="none" w:sz="0" w:space="0" w:color="auto"/>
        <w:left w:val="none" w:sz="0" w:space="0" w:color="auto"/>
        <w:bottom w:val="none" w:sz="0" w:space="0" w:color="auto"/>
        <w:right w:val="none" w:sz="0" w:space="0" w:color="auto"/>
      </w:divBdr>
    </w:div>
    <w:div w:id="828592507">
      <w:bodyDiv w:val="1"/>
      <w:marLeft w:val="0"/>
      <w:marRight w:val="0"/>
      <w:marTop w:val="0"/>
      <w:marBottom w:val="0"/>
      <w:divBdr>
        <w:top w:val="none" w:sz="0" w:space="0" w:color="auto"/>
        <w:left w:val="none" w:sz="0" w:space="0" w:color="auto"/>
        <w:bottom w:val="none" w:sz="0" w:space="0" w:color="auto"/>
        <w:right w:val="none" w:sz="0" w:space="0" w:color="auto"/>
      </w:divBdr>
    </w:div>
    <w:div w:id="842744700">
      <w:bodyDiv w:val="1"/>
      <w:marLeft w:val="0"/>
      <w:marRight w:val="0"/>
      <w:marTop w:val="0"/>
      <w:marBottom w:val="0"/>
      <w:divBdr>
        <w:top w:val="none" w:sz="0" w:space="0" w:color="auto"/>
        <w:left w:val="none" w:sz="0" w:space="0" w:color="auto"/>
        <w:bottom w:val="none" w:sz="0" w:space="0" w:color="auto"/>
        <w:right w:val="none" w:sz="0" w:space="0" w:color="auto"/>
      </w:divBdr>
    </w:div>
    <w:div w:id="853150446">
      <w:bodyDiv w:val="1"/>
      <w:marLeft w:val="0"/>
      <w:marRight w:val="0"/>
      <w:marTop w:val="0"/>
      <w:marBottom w:val="0"/>
      <w:divBdr>
        <w:top w:val="none" w:sz="0" w:space="0" w:color="auto"/>
        <w:left w:val="none" w:sz="0" w:space="0" w:color="auto"/>
        <w:bottom w:val="none" w:sz="0" w:space="0" w:color="auto"/>
        <w:right w:val="none" w:sz="0" w:space="0" w:color="auto"/>
      </w:divBdr>
    </w:div>
    <w:div w:id="857046151">
      <w:bodyDiv w:val="1"/>
      <w:marLeft w:val="0"/>
      <w:marRight w:val="0"/>
      <w:marTop w:val="0"/>
      <w:marBottom w:val="0"/>
      <w:divBdr>
        <w:top w:val="none" w:sz="0" w:space="0" w:color="auto"/>
        <w:left w:val="none" w:sz="0" w:space="0" w:color="auto"/>
        <w:bottom w:val="none" w:sz="0" w:space="0" w:color="auto"/>
        <w:right w:val="none" w:sz="0" w:space="0" w:color="auto"/>
      </w:divBdr>
    </w:div>
    <w:div w:id="864367867">
      <w:bodyDiv w:val="1"/>
      <w:marLeft w:val="0"/>
      <w:marRight w:val="0"/>
      <w:marTop w:val="0"/>
      <w:marBottom w:val="0"/>
      <w:divBdr>
        <w:top w:val="none" w:sz="0" w:space="0" w:color="auto"/>
        <w:left w:val="none" w:sz="0" w:space="0" w:color="auto"/>
        <w:bottom w:val="none" w:sz="0" w:space="0" w:color="auto"/>
        <w:right w:val="none" w:sz="0" w:space="0" w:color="auto"/>
      </w:divBdr>
      <w:divsChild>
        <w:div w:id="698970559">
          <w:marLeft w:val="0"/>
          <w:marRight w:val="0"/>
          <w:marTop w:val="0"/>
          <w:marBottom w:val="0"/>
          <w:divBdr>
            <w:top w:val="none" w:sz="0" w:space="0" w:color="auto"/>
            <w:left w:val="none" w:sz="0" w:space="0" w:color="auto"/>
            <w:bottom w:val="none" w:sz="0" w:space="0" w:color="auto"/>
            <w:right w:val="none" w:sz="0" w:space="0" w:color="auto"/>
          </w:divBdr>
        </w:div>
        <w:div w:id="1398283310">
          <w:marLeft w:val="0"/>
          <w:marRight w:val="0"/>
          <w:marTop w:val="0"/>
          <w:marBottom w:val="0"/>
          <w:divBdr>
            <w:top w:val="none" w:sz="0" w:space="0" w:color="auto"/>
            <w:left w:val="none" w:sz="0" w:space="0" w:color="auto"/>
            <w:bottom w:val="none" w:sz="0" w:space="0" w:color="auto"/>
            <w:right w:val="none" w:sz="0" w:space="0" w:color="auto"/>
          </w:divBdr>
        </w:div>
        <w:div w:id="1561209871">
          <w:marLeft w:val="0"/>
          <w:marRight w:val="0"/>
          <w:marTop w:val="0"/>
          <w:marBottom w:val="0"/>
          <w:divBdr>
            <w:top w:val="none" w:sz="0" w:space="0" w:color="auto"/>
            <w:left w:val="none" w:sz="0" w:space="0" w:color="auto"/>
            <w:bottom w:val="none" w:sz="0" w:space="0" w:color="auto"/>
            <w:right w:val="none" w:sz="0" w:space="0" w:color="auto"/>
          </w:divBdr>
        </w:div>
      </w:divsChild>
    </w:div>
    <w:div w:id="870923674">
      <w:bodyDiv w:val="1"/>
      <w:marLeft w:val="0"/>
      <w:marRight w:val="0"/>
      <w:marTop w:val="0"/>
      <w:marBottom w:val="0"/>
      <w:divBdr>
        <w:top w:val="none" w:sz="0" w:space="0" w:color="auto"/>
        <w:left w:val="none" w:sz="0" w:space="0" w:color="auto"/>
        <w:bottom w:val="none" w:sz="0" w:space="0" w:color="auto"/>
        <w:right w:val="none" w:sz="0" w:space="0" w:color="auto"/>
      </w:divBdr>
      <w:divsChild>
        <w:div w:id="223178741">
          <w:marLeft w:val="0"/>
          <w:marRight w:val="0"/>
          <w:marTop w:val="0"/>
          <w:marBottom w:val="0"/>
          <w:divBdr>
            <w:top w:val="none" w:sz="0" w:space="0" w:color="auto"/>
            <w:left w:val="none" w:sz="0" w:space="0" w:color="auto"/>
            <w:bottom w:val="none" w:sz="0" w:space="0" w:color="auto"/>
            <w:right w:val="none" w:sz="0" w:space="0" w:color="auto"/>
          </w:divBdr>
        </w:div>
        <w:div w:id="903101701">
          <w:marLeft w:val="0"/>
          <w:marRight w:val="0"/>
          <w:marTop w:val="0"/>
          <w:marBottom w:val="0"/>
          <w:divBdr>
            <w:top w:val="single" w:sz="2" w:space="0" w:color="D9D9E3"/>
            <w:left w:val="single" w:sz="2" w:space="0" w:color="D9D9E3"/>
            <w:bottom w:val="single" w:sz="2" w:space="0" w:color="D9D9E3"/>
            <w:right w:val="single" w:sz="2" w:space="0" w:color="D9D9E3"/>
          </w:divBdr>
          <w:divsChild>
            <w:div w:id="1153762756">
              <w:marLeft w:val="0"/>
              <w:marRight w:val="0"/>
              <w:marTop w:val="0"/>
              <w:marBottom w:val="0"/>
              <w:divBdr>
                <w:top w:val="single" w:sz="2" w:space="0" w:color="D9D9E3"/>
                <w:left w:val="single" w:sz="2" w:space="0" w:color="D9D9E3"/>
                <w:bottom w:val="single" w:sz="2" w:space="0" w:color="D9D9E3"/>
                <w:right w:val="single" w:sz="2" w:space="0" w:color="D9D9E3"/>
              </w:divBdr>
              <w:divsChild>
                <w:div w:id="1445879069">
                  <w:marLeft w:val="0"/>
                  <w:marRight w:val="0"/>
                  <w:marTop w:val="0"/>
                  <w:marBottom w:val="0"/>
                  <w:divBdr>
                    <w:top w:val="single" w:sz="2" w:space="0" w:color="D9D9E3"/>
                    <w:left w:val="single" w:sz="2" w:space="0" w:color="D9D9E3"/>
                    <w:bottom w:val="single" w:sz="2" w:space="0" w:color="D9D9E3"/>
                    <w:right w:val="single" w:sz="2" w:space="0" w:color="D9D9E3"/>
                  </w:divBdr>
                  <w:divsChild>
                    <w:div w:id="1865827902">
                      <w:marLeft w:val="0"/>
                      <w:marRight w:val="0"/>
                      <w:marTop w:val="0"/>
                      <w:marBottom w:val="0"/>
                      <w:divBdr>
                        <w:top w:val="single" w:sz="2" w:space="0" w:color="D9D9E3"/>
                        <w:left w:val="single" w:sz="2" w:space="0" w:color="D9D9E3"/>
                        <w:bottom w:val="single" w:sz="2" w:space="0" w:color="D9D9E3"/>
                        <w:right w:val="single" w:sz="2" w:space="0" w:color="D9D9E3"/>
                      </w:divBdr>
                      <w:divsChild>
                        <w:div w:id="1114251966">
                          <w:marLeft w:val="0"/>
                          <w:marRight w:val="0"/>
                          <w:marTop w:val="0"/>
                          <w:marBottom w:val="0"/>
                          <w:divBdr>
                            <w:top w:val="single" w:sz="2" w:space="0" w:color="auto"/>
                            <w:left w:val="single" w:sz="2" w:space="0" w:color="auto"/>
                            <w:bottom w:val="single" w:sz="6" w:space="0" w:color="auto"/>
                            <w:right w:val="single" w:sz="2" w:space="0" w:color="auto"/>
                          </w:divBdr>
                          <w:divsChild>
                            <w:div w:id="1263104997">
                              <w:marLeft w:val="0"/>
                              <w:marRight w:val="0"/>
                              <w:marTop w:val="100"/>
                              <w:marBottom w:val="100"/>
                              <w:divBdr>
                                <w:top w:val="single" w:sz="2" w:space="0" w:color="D9D9E3"/>
                                <w:left w:val="single" w:sz="2" w:space="0" w:color="D9D9E3"/>
                                <w:bottom w:val="single" w:sz="2" w:space="0" w:color="D9D9E3"/>
                                <w:right w:val="single" w:sz="2" w:space="0" w:color="D9D9E3"/>
                              </w:divBdr>
                              <w:divsChild>
                                <w:div w:id="396831268">
                                  <w:marLeft w:val="0"/>
                                  <w:marRight w:val="0"/>
                                  <w:marTop w:val="0"/>
                                  <w:marBottom w:val="0"/>
                                  <w:divBdr>
                                    <w:top w:val="single" w:sz="2" w:space="0" w:color="D9D9E3"/>
                                    <w:left w:val="single" w:sz="2" w:space="0" w:color="D9D9E3"/>
                                    <w:bottom w:val="single" w:sz="2" w:space="0" w:color="D9D9E3"/>
                                    <w:right w:val="single" w:sz="2" w:space="0" w:color="D9D9E3"/>
                                  </w:divBdr>
                                  <w:divsChild>
                                    <w:div w:id="1699240610">
                                      <w:marLeft w:val="0"/>
                                      <w:marRight w:val="0"/>
                                      <w:marTop w:val="0"/>
                                      <w:marBottom w:val="0"/>
                                      <w:divBdr>
                                        <w:top w:val="single" w:sz="2" w:space="0" w:color="D9D9E3"/>
                                        <w:left w:val="single" w:sz="2" w:space="0" w:color="D9D9E3"/>
                                        <w:bottom w:val="single" w:sz="2" w:space="0" w:color="D9D9E3"/>
                                        <w:right w:val="single" w:sz="2" w:space="0" w:color="D9D9E3"/>
                                      </w:divBdr>
                                      <w:divsChild>
                                        <w:div w:id="905140406">
                                          <w:marLeft w:val="0"/>
                                          <w:marRight w:val="0"/>
                                          <w:marTop w:val="0"/>
                                          <w:marBottom w:val="0"/>
                                          <w:divBdr>
                                            <w:top w:val="single" w:sz="2" w:space="0" w:color="D9D9E3"/>
                                            <w:left w:val="single" w:sz="2" w:space="0" w:color="D9D9E3"/>
                                            <w:bottom w:val="single" w:sz="2" w:space="0" w:color="D9D9E3"/>
                                            <w:right w:val="single" w:sz="2" w:space="0" w:color="D9D9E3"/>
                                          </w:divBdr>
                                          <w:divsChild>
                                            <w:div w:id="322203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81094381">
      <w:bodyDiv w:val="1"/>
      <w:marLeft w:val="0"/>
      <w:marRight w:val="0"/>
      <w:marTop w:val="0"/>
      <w:marBottom w:val="0"/>
      <w:divBdr>
        <w:top w:val="none" w:sz="0" w:space="0" w:color="auto"/>
        <w:left w:val="none" w:sz="0" w:space="0" w:color="auto"/>
        <w:bottom w:val="none" w:sz="0" w:space="0" w:color="auto"/>
        <w:right w:val="none" w:sz="0" w:space="0" w:color="auto"/>
      </w:divBdr>
      <w:divsChild>
        <w:div w:id="48459023">
          <w:marLeft w:val="0"/>
          <w:marRight w:val="0"/>
          <w:marTop w:val="0"/>
          <w:marBottom w:val="0"/>
          <w:divBdr>
            <w:top w:val="single" w:sz="2" w:space="0" w:color="D9D9E3"/>
            <w:left w:val="single" w:sz="2" w:space="0" w:color="D9D9E3"/>
            <w:bottom w:val="single" w:sz="2" w:space="0" w:color="D9D9E3"/>
            <w:right w:val="single" w:sz="2" w:space="0" w:color="D9D9E3"/>
          </w:divBdr>
          <w:divsChild>
            <w:div w:id="808595149">
              <w:marLeft w:val="0"/>
              <w:marRight w:val="0"/>
              <w:marTop w:val="0"/>
              <w:marBottom w:val="0"/>
              <w:divBdr>
                <w:top w:val="single" w:sz="2" w:space="0" w:color="D9D9E3"/>
                <w:left w:val="single" w:sz="2" w:space="0" w:color="D9D9E3"/>
                <w:bottom w:val="single" w:sz="2" w:space="0" w:color="D9D9E3"/>
                <w:right w:val="single" w:sz="2" w:space="0" w:color="D9D9E3"/>
              </w:divBdr>
              <w:divsChild>
                <w:div w:id="1952979874">
                  <w:marLeft w:val="0"/>
                  <w:marRight w:val="0"/>
                  <w:marTop w:val="0"/>
                  <w:marBottom w:val="0"/>
                  <w:divBdr>
                    <w:top w:val="single" w:sz="2" w:space="0" w:color="D9D9E3"/>
                    <w:left w:val="single" w:sz="2" w:space="0" w:color="D9D9E3"/>
                    <w:bottom w:val="single" w:sz="2" w:space="0" w:color="D9D9E3"/>
                    <w:right w:val="single" w:sz="2" w:space="0" w:color="D9D9E3"/>
                  </w:divBdr>
                  <w:divsChild>
                    <w:div w:id="24866617">
                      <w:marLeft w:val="0"/>
                      <w:marRight w:val="0"/>
                      <w:marTop w:val="0"/>
                      <w:marBottom w:val="0"/>
                      <w:divBdr>
                        <w:top w:val="single" w:sz="2" w:space="0" w:color="D9D9E3"/>
                        <w:left w:val="single" w:sz="2" w:space="0" w:color="D9D9E3"/>
                        <w:bottom w:val="single" w:sz="2" w:space="0" w:color="D9D9E3"/>
                        <w:right w:val="single" w:sz="2" w:space="0" w:color="D9D9E3"/>
                      </w:divBdr>
                      <w:divsChild>
                        <w:div w:id="2078823223">
                          <w:marLeft w:val="0"/>
                          <w:marRight w:val="0"/>
                          <w:marTop w:val="0"/>
                          <w:marBottom w:val="0"/>
                          <w:divBdr>
                            <w:top w:val="single" w:sz="2" w:space="0" w:color="auto"/>
                            <w:left w:val="single" w:sz="2" w:space="0" w:color="auto"/>
                            <w:bottom w:val="single" w:sz="6" w:space="0" w:color="auto"/>
                            <w:right w:val="single" w:sz="2" w:space="0" w:color="auto"/>
                          </w:divBdr>
                          <w:divsChild>
                            <w:div w:id="1785660423">
                              <w:marLeft w:val="0"/>
                              <w:marRight w:val="0"/>
                              <w:marTop w:val="100"/>
                              <w:marBottom w:val="100"/>
                              <w:divBdr>
                                <w:top w:val="single" w:sz="2" w:space="0" w:color="D9D9E3"/>
                                <w:left w:val="single" w:sz="2" w:space="0" w:color="D9D9E3"/>
                                <w:bottom w:val="single" w:sz="2" w:space="0" w:color="D9D9E3"/>
                                <w:right w:val="single" w:sz="2" w:space="0" w:color="D9D9E3"/>
                              </w:divBdr>
                              <w:divsChild>
                                <w:div w:id="1960336266">
                                  <w:marLeft w:val="0"/>
                                  <w:marRight w:val="0"/>
                                  <w:marTop w:val="0"/>
                                  <w:marBottom w:val="0"/>
                                  <w:divBdr>
                                    <w:top w:val="single" w:sz="2" w:space="0" w:color="D9D9E3"/>
                                    <w:left w:val="single" w:sz="2" w:space="0" w:color="D9D9E3"/>
                                    <w:bottom w:val="single" w:sz="2" w:space="0" w:color="D9D9E3"/>
                                    <w:right w:val="single" w:sz="2" w:space="0" w:color="D9D9E3"/>
                                  </w:divBdr>
                                  <w:divsChild>
                                    <w:div w:id="2021733186">
                                      <w:marLeft w:val="0"/>
                                      <w:marRight w:val="0"/>
                                      <w:marTop w:val="0"/>
                                      <w:marBottom w:val="0"/>
                                      <w:divBdr>
                                        <w:top w:val="single" w:sz="2" w:space="0" w:color="D9D9E3"/>
                                        <w:left w:val="single" w:sz="2" w:space="0" w:color="D9D9E3"/>
                                        <w:bottom w:val="single" w:sz="2" w:space="0" w:color="D9D9E3"/>
                                        <w:right w:val="single" w:sz="2" w:space="0" w:color="D9D9E3"/>
                                      </w:divBdr>
                                      <w:divsChild>
                                        <w:div w:id="681248435">
                                          <w:marLeft w:val="0"/>
                                          <w:marRight w:val="0"/>
                                          <w:marTop w:val="0"/>
                                          <w:marBottom w:val="0"/>
                                          <w:divBdr>
                                            <w:top w:val="single" w:sz="2" w:space="0" w:color="D9D9E3"/>
                                            <w:left w:val="single" w:sz="2" w:space="0" w:color="D9D9E3"/>
                                            <w:bottom w:val="single" w:sz="2" w:space="0" w:color="D9D9E3"/>
                                            <w:right w:val="single" w:sz="2" w:space="0" w:color="D9D9E3"/>
                                          </w:divBdr>
                                          <w:divsChild>
                                            <w:div w:id="1914974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28890019">
          <w:marLeft w:val="0"/>
          <w:marRight w:val="0"/>
          <w:marTop w:val="0"/>
          <w:marBottom w:val="0"/>
          <w:divBdr>
            <w:top w:val="none" w:sz="0" w:space="0" w:color="auto"/>
            <w:left w:val="none" w:sz="0" w:space="0" w:color="auto"/>
            <w:bottom w:val="none" w:sz="0" w:space="0" w:color="auto"/>
            <w:right w:val="none" w:sz="0" w:space="0" w:color="auto"/>
          </w:divBdr>
          <w:divsChild>
            <w:div w:id="755828226">
              <w:marLeft w:val="0"/>
              <w:marRight w:val="0"/>
              <w:marTop w:val="0"/>
              <w:marBottom w:val="0"/>
              <w:divBdr>
                <w:top w:val="single" w:sz="2" w:space="0" w:color="D9D9E3"/>
                <w:left w:val="single" w:sz="2" w:space="0" w:color="D9D9E3"/>
                <w:bottom w:val="single" w:sz="2" w:space="0" w:color="D9D9E3"/>
                <w:right w:val="single" w:sz="2" w:space="0" w:color="D9D9E3"/>
              </w:divBdr>
              <w:divsChild>
                <w:div w:id="916282322">
                  <w:marLeft w:val="0"/>
                  <w:marRight w:val="0"/>
                  <w:marTop w:val="0"/>
                  <w:marBottom w:val="0"/>
                  <w:divBdr>
                    <w:top w:val="single" w:sz="2" w:space="0" w:color="D9D9E3"/>
                    <w:left w:val="single" w:sz="2" w:space="0" w:color="D9D9E3"/>
                    <w:bottom w:val="single" w:sz="2" w:space="0" w:color="D9D9E3"/>
                    <w:right w:val="single" w:sz="2" w:space="0" w:color="D9D9E3"/>
                  </w:divBdr>
                  <w:divsChild>
                    <w:div w:id="1531256405">
                      <w:marLeft w:val="0"/>
                      <w:marRight w:val="0"/>
                      <w:marTop w:val="0"/>
                      <w:marBottom w:val="0"/>
                      <w:divBdr>
                        <w:top w:val="single" w:sz="2" w:space="0" w:color="D9D9E3"/>
                        <w:left w:val="single" w:sz="2" w:space="0" w:color="D9D9E3"/>
                        <w:bottom w:val="single" w:sz="2" w:space="0" w:color="D9D9E3"/>
                        <w:right w:val="single" w:sz="2" w:space="0" w:color="D9D9E3"/>
                      </w:divBdr>
                      <w:divsChild>
                        <w:div w:id="809129862">
                          <w:marLeft w:val="0"/>
                          <w:marRight w:val="0"/>
                          <w:marTop w:val="0"/>
                          <w:marBottom w:val="0"/>
                          <w:divBdr>
                            <w:top w:val="single" w:sz="2" w:space="0" w:color="D9D9E3"/>
                            <w:left w:val="single" w:sz="2" w:space="0" w:color="D9D9E3"/>
                            <w:bottom w:val="single" w:sz="2" w:space="0" w:color="D9D9E3"/>
                            <w:right w:val="single" w:sz="2" w:space="0" w:color="D9D9E3"/>
                          </w:divBdr>
                          <w:divsChild>
                            <w:div w:id="1443911891">
                              <w:marLeft w:val="0"/>
                              <w:marRight w:val="0"/>
                              <w:marTop w:val="0"/>
                              <w:marBottom w:val="0"/>
                              <w:divBdr>
                                <w:top w:val="single" w:sz="2" w:space="0" w:color="D9D9E3"/>
                                <w:left w:val="single" w:sz="2" w:space="0" w:color="D9D9E3"/>
                                <w:bottom w:val="single" w:sz="2" w:space="0" w:color="D9D9E3"/>
                                <w:right w:val="single" w:sz="2" w:space="0" w:color="D9D9E3"/>
                              </w:divBdr>
                              <w:divsChild>
                                <w:div w:id="79643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5027985">
      <w:bodyDiv w:val="1"/>
      <w:marLeft w:val="0"/>
      <w:marRight w:val="0"/>
      <w:marTop w:val="0"/>
      <w:marBottom w:val="0"/>
      <w:divBdr>
        <w:top w:val="none" w:sz="0" w:space="0" w:color="auto"/>
        <w:left w:val="none" w:sz="0" w:space="0" w:color="auto"/>
        <w:bottom w:val="none" w:sz="0" w:space="0" w:color="auto"/>
        <w:right w:val="none" w:sz="0" w:space="0" w:color="auto"/>
      </w:divBdr>
      <w:divsChild>
        <w:div w:id="31653936">
          <w:marLeft w:val="0"/>
          <w:marRight w:val="0"/>
          <w:marTop w:val="0"/>
          <w:marBottom w:val="0"/>
          <w:divBdr>
            <w:top w:val="none" w:sz="0" w:space="0" w:color="auto"/>
            <w:left w:val="none" w:sz="0" w:space="0" w:color="auto"/>
            <w:bottom w:val="none" w:sz="0" w:space="0" w:color="auto"/>
            <w:right w:val="none" w:sz="0" w:space="0" w:color="auto"/>
          </w:divBdr>
        </w:div>
        <w:div w:id="1027832405">
          <w:marLeft w:val="0"/>
          <w:marRight w:val="0"/>
          <w:marTop w:val="0"/>
          <w:marBottom w:val="0"/>
          <w:divBdr>
            <w:top w:val="single" w:sz="2" w:space="0" w:color="D9D9E3"/>
            <w:left w:val="single" w:sz="2" w:space="0" w:color="D9D9E3"/>
            <w:bottom w:val="single" w:sz="2" w:space="0" w:color="D9D9E3"/>
            <w:right w:val="single" w:sz="2" w:space="0" w:color="D9D9E3"/>
          </w:divBdr>
          <w:divsChild>
            <w:div w:id="1391075936">
              <w:marLeft w:val="0"/>
              <w:marRight w:val="0"/>
              <w:marTop w:val="0"/>
              <w:marBottom w:val="0"/>
              <w:divBdr>
                <w:top w:val="single" w:sz="2" w:space="0" w:color="D9D9E3"/>
                <w:left w:val="single" w:sz="2" w:space="0" w:color="D9D9E3"/>
                <w:bottom w:val="single" w:sz="2" w:space="0" w:color="D9D9E3"/>
                <w:right w:val="single" w:sz="2" w:space="0" w:color="D9D9E3"/>
              </w:divBdr>
              <w:divsChild>
                <w:div w:id="1321426102">
                  <w:marLeft w:val="0"/>
                  <w:marRight w:val="0"/>
                  <w:marTop w:val="0"/>
                  <w:marBottom w:val="0"/>
                  <w:divBdr>
                    <w:top w:val="single" w:sz="2" w:space="0" w:color="D9D9E3"/>
                    <w:left w:val="single" w:sz="2" w:space="0" w:color="D9D9E3"/>
                    <w:bottom w:val="single" w:sz="2" w:space="0" w:color="D9D9E3"/>
                    <w:right w:val="single" w:sz="2" w:space="0" w:color="D9D9E3"/>
                  </w:divBdr>
                  <w:divsChild>
                    <w:div w:id="763720681">
                      <w:marLeft w:val="0"/>
                      <w:marRight w:val="0"/>
                      <w:marTop w:val="0"/>
                      <w:marBottom w:val="0"/>
                      <w:divBdr>
                        <w:top w:val="single" w:sz="2" w:space="0" w:color="D9D9E3"/>
                        <w:left w:val="single" w:sz="2" w:space="0" w:color="D9D9E3"/>
                        <w:bottom w:val="single" w:sz="2" w:space="0" w:color="D9D9E3"/>
                        <w:right w:val="single" w:sz="2" w:space="0" w:color="D9D9E3"/>
                      </w:divBdr>
                      <w:divsChild>
                        <w:div w:id="1381705505">
                          <w:marLeft w:val="0"/>
                          <w:marRight w:val="0"/>
                          <w:marTop w:val="0"/>
                          <w:marBottom w:val="0"/>
                          <w:divBdr>
                            <w:top w:val="single" w:sz="2" w:space="0" w:color="auto"/>
                            <w:left w:val="single" w:sz="2" w:space="0" w:color="auto"/>
                            <w:bottom w:val="single" w:sz="6" w:space="0" w:color="auto"/>
                            <w:right w:val="single" w:sz="2" w:space="0" w:color="auto"/>
                          </w:divBdr>
                          <w:divsChild>
                            <w:div w:id="1502159763">
                              <w:marLeft w:val="0"/>
                              <w:marRight w:val="0"/>
                              <w:marTop w:val="100"/>
                              <w:marBottom w:val="100"/>
                              <w:divBdr>
                                <w:top w:val="single" w:sz="2" w:space="0" w:color="D9D9E3"/>
                                <w:left w:val="single" w:sz="2" w:space="0" w:color="D9D9E3"/>
                                <w:bottom w:val="single" w:sz="2" w:space="0" w:color="D9D9E3"/>
                                <w:right w:val="single" w:sz="2" w:space="0" w:color="D9D9E3"/>
                              </w:divBdr>
                              <w:divsChild>
                                <w:div w:id="228269894">
                                  <w:marLeft w:val="0"/>
                                  <w:marRight w:val="0"/>
                                  <w:marTop w:val="0"/>
                                  <w:marBottom w:val="0"/>
                                  <w:divBdr>
                                    <w:top w:val="single" w:sz="2" w:space="0" w:color="D9D9E3"/>
                                    <w:left w:val="single" w:sz="2" w:space="0" w:color="D9D9E3"/>
                                    <w:bottom w:val="single" w:sz="2" w:space="0" w:color="D9D9E3"/>
                                    <w:right w:val="single" w:sz="2" w:space="0" w:color="D9D9E3"/>
                                  </w:divBdr>
                                  <w:divsChild>
                                    <w:div w:id="1648392057">
                                      <w:marLeft w:val="0"/>
                                      <w:marRight w:val="0"/>
                                      <w:marTop w:val="0"/>
                                      <w:marBottom w:val="0"/>
                                      <w:divBdr>
                                        <w:top w:val="single" w:sz="2" w:space="0" w:color="D9D9E3"/>
                                        <w:left w:val="single" w:sz="2" w:space="0" w:color="D9D9E3"/>
                                        <w:bottom w:val="single" w:sz="2" w:space="0" w:color="D9D9E3"/>
                                        <w:right w:val="single" w:sz="2" w:space="0" w:color="D9D9E3"/>
                                      </w:divBdr>
                                      <w:divsChild>
                                        <w:div w:id="1656833855">
                                          <w:marLeft w:val="0"/>
                                          <w:marRight w:val="0"/>
                                          <w:marTop w:val="0"/>
                                          <w:marBottom w:val="0"/>
                                          <w:divBdr>
                                            <w:top w:val="single" w:sz="2" w:space="0" w:color="D9D9E3"/>
                                            <w:left w:val="single" w:sz="2" w:space="0" w:color="D9D9E3"/>
                                            <w:bottom w:val="single" w:sz="2" w:space="0" w:color="D9D9E3"/>
                                            <w:right w:val="single" w:sz="2" w:space="0" w:color="D9D9E3"/>
                                          </w:divBdr>
                                          <w:divsChild>
                                            <w:div w:id="1818525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86839337">
      <w:bodyDiv w:val="1"/>
      <w:marLeft w:val="0"/>
      <w:marRight w:val="0"/>
      <w:marTop w:val="0"/>
      <w:marBottom w:val="0"/>
      <w:divBdr>
        <w:top w:val="none" w:sz="0" w:space="0" w:color="auto"/>
        <w:left w:val="none" w:sz="0" w:space="0" w:color="auto"/>
        <w:bottom w:val="none" w:sz="0" w:space="0" w:color="auto"/>
        <w:right w:val="none" w:sz="0" w:space="0" w:color="auto"/>
      </w:divBdr>
      <w:divsChild>
        <w:div w:id="161898575">
          <w:marLeft w:val="0"/>
          <w:marRight w:val="0"/>
          <w:marTop w:val="0"/>
          <w:marBottom w:val="0"/>
          <w:divBdr>
            <w:top w:val="none" w:sz="0" w:space="0" w:color="auto"/>
            <w:left w:val="none" w:sz="0" w:space="0" w:color="auto"/>
            <w:bottom w:val="none" w:sz="0" w:space="0" w:color="auto"/>
            <w:right w:val="none" w:sz="0" w:space="0" w:color="auto"/>
          </w:divBdr>
        </w:div>
        <w:div w:id="709838971">
          <w:marLeft w:val="0"/>
          <w:marRight w:val="0"/>
          <w:marTop w:val="0"/>
          <w:marBottom w:val="0"/>
          <w:divBdr>
            <w:top w:val="none" w:sz="0" w:space="0" w:color="auto"/>
            <w:left w:val="none" w:sz="0" w:space="0" w:color="auto"/>
            <w:bottom w:val="none" w:sz="0" w:space="0" w:color="auto"/>
            <w:right w:val="none" w:sz="0" w:space="0" w:color="auto"/>
          </w:divBdr>
        </w:div>
        <w:div w:id="1524592419">
          <w:marLeft w:val="0"/>
          <w:marRight w:val="0"/>
          <w:marTop w:val="0"/>
          <w:marBottom w:val="0"/>
          <w:divBdr>
            <w:top w:val="none" w:sz="0" w:space="0" w:color="auto"/>
            <w:left w:val="none" w:sz="0" w:space="0" w:color="auto"/>
            <w:bottom w:val="none" w:sz="0" w:space="0" w:color="auto"/>
            <w:right w:val="none" w:sz="0" w:space="0" w:color="auto"/>
          </w:divBdr>
        </w:div>
      </w:divsChild>
    </w:div>
    <w:div w:id="914238883">
      <w:bodyDiv w:val="1"/>
      <w:marLeft w:val="0"/>
      <w:marRight w:val="0"/>
      <w:marTop w:val="0"/>
      <w:marBottom w:val="0"/>
      <w:divBdr>
        <w:top w:val="none" w:sz="0" w:space="0" w:color="auto"/>
        <w:left w:val="none" w:sz="0" w:space="0" w:color="auto"/>
        <w:bottom w:val="none" w:sz="0" w:space="0" w:color="auto"/>
        <w:right w:val="none" w:sz="0" w:space="0" w:color="auto"/>
      </w:divBdr>
      <w:divsChild>
        <w:div w:id="754470909">
          <w:marLeft w:val="0"/>
          <w:marRight w:val="0"/>
          <w:marTop w:val="0"/>
          <w:marBottom w:val="0"/>
          <w:divBdr>
            <w:top w:val="single" w:sz="2" w:space="0" w:color="D9D9E3"/>
            <w:left w:val="single" w:sz="2" w:space="0" w:color="D9D9E3"/>
            <w:bottom w:val="single" w:sz="2" w:space="0" w:color="D9D9E3"/>
            <w:right w:val="single" w:sz="2" w:space="0" w:color="D9D9E3"/>
          </w:divBdr>
          <w:divsChild>
            <w:div w:id="487327152">
              <w:marLeft w:val="0"/>
              <w:marRight w:val="0"/>
              <w:marTop w:val="0"/>
              <w:marBottom w:val="0"/>
              <w:divBdr>
                <w:top w:val="single" w:sz="2" w:space="0" w:color="D9D9E3"/>
                <w:left w:val="single" w:sz="2" w:space="0" w:color="D9D9E3"/>
                <w:bottom w:val="single" w:sz="2" w:space="0" w:color="D9D9E3"/>
                <w:right w:val="single" w:sz="2" w:space="0" w:color="D9D9E3"/>
              </w:divBdr>
              <w:divsChild>
                <w:div w:id="761024008">
                  <w:marLeft w:val="0"/>
                  <w:marRight w:val="0"/>
                  <w:marTop w:val="0"/>
                  <w:marBottom w:val="0"/>
                  <w:divBdr>
                    <w:top w:val="single" w:sz="2" w:space="0" w:color="D9D9E3"/>
                    <w:left w:val="single" w:sz="2" w:space="0" w:color="D9D9E3"/>
                    <w:bottom w:val="single" w:sz="2" w:space="0" w:color="D9D9E3"/>
                    <w:right w:val="single" w:sz="2" w:space="0" w:color="D9D9E3"/>
                  </w:divBdr>
                  <w:divsChild>
                    <w:div w:id="1825583549">
                      <w:marLeft w:val="0"/>
                      <w:marRight w:val="0"/>
                      <w:marTop w:val="0"/>
                      <w:marBottom w:val="0"/>
                      <w:divBdr>
                        <w:top w:val="single" w:sz="2" w:space="0" w:color="D9D9E3"/>
                        <w:left w:val="single" w:sz="2" w:space="0" w:color="D9D9E3"/>
                        <w:bottom w:val="single" w:sz="2" w:space="0" w:color="D9D9E3"/>
                        <w:right w:val="single" w:sz="2" w:space="0" w:color="D9D9E3"/>
                      </w:divBdr>
                      <w:divsChild>
                        <w:div w:id="1415126441">
                          <w:marLeft w:val="0"/>
                          <w:marRight w:val="0"/>
                          <w:marTop w:val="0"/>
                          <w:marBottom w:val="0"/>
                          <w:divBdr>
                            <w:top w:val="single" w:sz="2" w:space="0" w:color="auto"/>
                            <w:left w:val="single" w:sz="2" w:space="0" w:color="auto"/>
                            <w:bottom w:val="single" w:sz="6" w:space="0" w:color="auto"/>
                            <w:right w:val="single" w:sz="2" w:space="0" w:color="auto"/>
                          </w:divBdr>
                          <w:divsChild>
                            <w:div w:id="796532687">
                              <w:marLeft w:val="0"/>
                              <w:marRight w:val="0"/>
                              <w:marTop w:val="100"/>
                              <w:marBottom w:val="100"/>
                              <w:divBdr>
                                <w:top w:val="single" w:sz="2" w:space="0" w:color="D9D9E3"/>
                                <w:left w:val="single" w:sz="2" w:space="0" w:color="D9D9E3"/>
                                <w:bottom w:val="single" w:sz="2" w:space="0" w:color="D9D9E3"/>
                                <w:right w:val="single" w:sz="2" w:space="0" w:color="D9D9E3"/>
                              </w:divBdr>
                              <w:divsChild>
                                <w:div w:id="1472210174">
                                  <w:marLeft w:val="0"/>
                                  <w:marRight w:val="0"/>
                                  <w:marTop w:val="0"/>
                                  <w:marBottom w:val="0"/>
                                  <w:divBdr>
                                    <w:top w:val="single" w:sz="2" w:space="0" w:color="D9D9E3"/>
                                    <w:left w:val="single" w:sz="2" w:space="0" w:color="D9D9E3"/>
                                    <w:bottom w:val="single" w:sz="2" w:space="0" w:color="D9D9E3"/>
                                    <w:right w:val="single" w:sz="2" w:space="0" w:color="D9D9E3"/>
                                  </w:divBdr>
                                  <w:divsChild>
                                    <w:div w:id="2092509673">
                                      <w:marLeft w:val="0"/>
                                      <w:marRight w:val="0"/>
                                      <w:marTop w:val="0"/>
                                      <w:marBottom w:val="0"/>
                                      <w:divBdr>
                                        <w:top w:val="single" w:sz="2" w:space="0" w:color="D9D9E3"/>
                                        <w:left w:val="single" w:sz="2" w:space="0" w:color="D9D9E3"/>
                                        <w:bottom w:val="single" w:sz="2" w:space="0" w:color="D9D9E3"/>
                                        <w:right w:val="single" w:sz="2" w:space="0" w:color="D9D9E3"/>
                                      </w:divBdr>
                                      <w:divsChild>
                                        <w:div w:id="1784112619">
                                          <w:marLeft w:val="0"/>
                                          <w:marRight w:val="0"/>
                                          <w:marTop w:val="0"/>
                                          <w:marBottom w:val="0"/>
                                          <w:divBdr>
                                            <w:top w:val="single" w:sz="2" w:space="0" w:color="D9D9E3"/>
                                            <w:left w:val="single" w:sz="2" w:space="0" w:color="D9D9E3"/>
                                            <w:bottom w:val="single" w:sz="2" w:space="0" w:color="D9D9E3"/>
                                            <w:right w:val="single" w:sz="2" w:space="0" w:color="D9D9E3"/>
                                          </w:divBdr>
                                          <w:divsChild>
                                            <w:div w:id="947155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26496313">
          <w:marLeft w:val="0"/>
          <w:marRight w:val="0"/>
          <w:marTop w:val="0"/>
          <w:marBottom w:val="0"/>
          <w:divBdr>
            <w:top w:val="none" w:sz="0" w:space="0" w:color="auto"/>
            <w:left w:val="none" w:sz="0" w:space="0" w:color="auto"/>
            <w:bottom w:val="none" w:sz="0" w:space="0" w:color="auto"/>
            <w:right w:val="none" w:sz="0" w:space="0" w:color="auto"/>
          </w:divBdr>
          <w:divsChild>
            <w:div w:id="2116438316">
              <w:marLeft w:val="0"/>
              <w:marRight w:val="0"/>
              <w:marTop w:val="0"/>
              <w:marBottom w:val="0"/>
              <w:divBdr>
                <w:top w:val="single" w:sz="2" w:space="0" w:color="D9D9E3"/>
                <w:left w:val="single" w:sz="2" w:space="0" w:color="D9D9E3"/>
                <w:bottom w:val="single" w:sz="2" w:space="0" w:color="D9D9E3"/>
                <w:right w:val="single" w:sz="2" w:space="0" w:color="D9D9E3"/>
              </w:divBdr>
              <w:divsChild>
                <w:div w:id="1465344167">
                  <w:marLeft w:val="0"/>
                  <w:marRight w:val="0"/>
                  <w:marTop w:val="0"/>
                  <w:marBottom w:val="0"/>
                  <w:divBdr>
                    <w:top w:val="single" w:sz="2" w:space="0" w:color="D9D9E3"/>
                    <w:left w:val="single" w:sz="2" w:space="0" w:color="D9D9E3"/>
                    <w:bottom w:val="single" w:sz="2" w:space="0" w:color="D9D9E3"/>
                    <w:right w:val="single" w:sz="2" w:space="0" w:color="D9D9E3"/>
                  </w:divBdr>
                  <w:divsChild>
                    <w:div w:id="543833335">
                      <w:marLeft w:val="0"/>
                      <w:marRight w:val="0"/>
                      <w:marTop w:val="0"/>
                      <w:marBottom w:val="0"/>
                      <w:divBdr>
                        <w:top w:val="single" w:sz="2" w:space="0" w:color="D9D9E3"/>
                        <w:left w:val="single" w:sz="2" w:space="0" w:color="D9D9E3"/>
                        <w:bottom w:val="single" w:sz="2" w:space="0" w:color="D9D9E3"/>
                        <w:right w:val="single" w:sz="2" w:space="0" w:color="D9D9E3"/>
                      </w:divBdr>
                      <w:divsChild>
                        <w:div w:id="81877780">
                          <w:marLeft w:val="0"/>
                          <w:marRight w:val="0"/>
                          <w:marTop w:val="0"/>
                          <w:marBottom w:val="0"/>
                          <w:divBdr>
                            <w:top w:val="single" w:sz="2" w:space="0" w:color="D9D9E3"/>
                            <w:left w:val="single" w:sz="2" w:space="0" w:color="D9D9E3"/>
                            <w:bottom w:val="single" w:sz="2" w:space="0" w:color="D9D9E3"/>
                            <w:right w:val="single" w:sz="2" w:space="0" w:color="D9D9E3"/>
                          </w:divBdr>
                          <w:divsChild>
                            <w:div w:id="1933854138">
                              <w:marLeft w:val="0"/>
                              <w:marRight w:val="0"/>
                              <w:marTop w:val="0"/>
                              <w:marBottom w:val="0"/>
                              <w:divBdr>
                                <w:top w:val="single" w:sz="2" w:space="0" w:color="D9D9E3"/>
                                <w:left w:val="single" w:sz="2" w:space="0" w:color="D9D9E3"/>
                                <w:bottom w:val="single" w:sz="2" w:space="0" w:color="D9D9E3"/>
                                <w:right w:val="single" w:sz="2" w:space="0" w:color="D9D9E3"/>
                              </w:divBdr>
                              <w:divsChild>
                                <w:div w:id="986326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5944281">
      <w:bodyDiv w:val="1"/>
      <w:marLeft w:val="0"/>
      <w:marRight w:val="0"/>
      <w:marTop w:val="0"/>
      <w:marBottom w:val="0"/>
      <w:divBdr>
        <w:top w:val="none" w:sz="0" w:space="0" w:color="auto"/>
        <w:left w:val="none" w:sz="0" w:space="0" w:color="auto"/>
        <w:bottom w:val="none" w:sz="0" w:space="0" w:color="auto"/>
        <w:right w:val="none" w:sz="0" w:space="0" w:color="auto"/>
      </w:divBdr>
    </w:div>
    <w:div w:id="943808576">
      <w:bodyDiv w:val="1"/>
      <w:marLeft w:val="0"/>
      <w:marRight w:val="0"/>
      <w:marTop w:val="0"/>
      <w:marBottom w:val="0"/>
      <w:divBdr>
        <w:top w:val="none" w:sz="0" w:space="0" w:color="auto"/>
        <w:left w:val="none" w:sz="0" w:space="0" w:color="auto"/>
        <w:bottom w:val="none" w:sz="0" w:space="0" w:color="auto"/>
        <w:right w:val="none" w:sz="0" w:space="0" w:color="auto"/>
      </w:divBdr>
    </w:div>
    <w:div w:id="944774073">
      <w:bodyDiv w:val="1"/>
      <w:marLeft w:val="0"/>
      <w:marRight w:val="0"/>
      <w:marTop w:val="0"/>
      <w:marBottom w:val="0"/>
      <w:divBdr>
        <w:top w:val="none" w:sz="0" w:space="0" w:color="auto"/>
        <w:left w:val="none" w:sz="0" w:space="0" w:color="auto"/>
        <w:bottom w:val="none" w:sz="0" w:space="0" w:color="auto"/>
        <w:right w:val="none" w:sz="0" w:space="0" w:color="auto"/>
      </w:divBdr>
      <w:divsChild>
        <w:div w:id="54788998">
          <w:marLeft w:val="0"/>
          <w:marRight w:val="0"/>
          <w:marTop w:val="0"/>
          <w:marBottom w:val="0"/>
          <w:divBdr>
            <w:top w:val="none" w:sz="0" w:space="0" w:color="auto"/>
            <w:left w:val="none" w:sz="0" w:space="0" w:color="auto"/>
            <w:bottom w:val="none" w:sz="0" w:space="0" w:color="auto"/>
            <w:right w:val="none" w:sz="0" w:space="0" w:color="auto"/>
          </w:divBdr>
        </w:div>
        <w:div w:id="1458404482">
          <w:marLeft w:val="0"/>
          <w:marRight w:val="0"/>
          <w:marTop w:val="0"/>
          <w:marBottom w:val="0"/>
          <w:divBdr>
            <w:top w:val="single" w:sz="2" w:space="0" w:color="D9D9E3"/>
            <w:left w:val="single" w:sz="2" w:space="0" w:color="D9D9E3"/>
            <w:bottom w:val="single" w:sz="2" w:space="0" w:color="D9D9E3"/>
            <w:right w:val="single" w:sz="2" w:space="0" w:color="D9D9E3"/>
          </w:divBdr>
          <w:divsChild>
            <w:div w:id="154229135">
              <w:marLeft w:val="0"/>
              <w:marRight w:val="0"/>
              <w:marTop w:val="0"/>
              <w:marBottom w:val="0"/>
              <w:divBdr>
                <w:top w:val="single" w:sz="2" w:space="0" w:color="D9D9E3"/>
                <w:left w:val="single" w:sz="2" w:space="0" w:color="D9D9E3"/>
                <w:bottom w:val="single" w:sz="2" w:space="0" w:color="D9D9E3"/>
                <w:right w:val="single" w:sz="2" w:space="0" w:color="D9D9E3"/>
              </w:divBdr>
              <w:divsChild>
                <w:div w:id="993022728">
                  <w:marLeft w:val="0"/>
                  <w:marRight w:val="0"/>
                  <w:marTop w:val="0"/>
                  <w:marBottom w:val="0"/>
                  <w:divBdr>
                    <w:top w:val="single" w:sz="2" w:space="0" w:color="D9D9E3"/>
                    <w:left w:val="single" w:sz="2" w:space="0" w:color="D9D9E3"/>
                    <w:bottom w:val="single" w:sz="2" w:space="0" w:color="D9D9E3"/>
                    <w:right w:val="single" w:sz="2" w:space="0" w:color="D9D9E3"/>
                  </w:divBdr>
                  <w:divsChild>
                    <w:div w:id="1438132392">
                      <w:marLeft w:val="0"/>
                      <w:marRight w:val="0"/>
                      <w:marTop w:val="0"/>
                      <w:marBottom w:val="0"/>
                      <w:divBdr>
                        <w:top w:val="single" w:sz="2" w:space="0" w:color="D9D9E3"/>
                        <w:left w:val="single" w:sz="2" w:space="0" w:color="D9D9E3"/>
                        <w:bottom w:val="single" w:sz="2" w:space="0" w:color="D9D9E3"/>
                        <w:right w:val="single" w:sz="2" w:space="0" w:color="D9D9E3"/>
                      </w:divBdr>
                      <w:divsChild>
                        <w:div w:id="706027775">
                          <w:marLeft w:val="0"/>
                          <w:marRight w:val="0"/>
                          <w:marTop w:val="0"/>
                          <w:marBottom w:val="0"/>
                          <w:divBdr>
                            <w:top w:val="single" w:sz="2" w:space="0" w:color="auto"/>
                            <w:left w:val="single" w:sz="2" w:space="0" w:color="auto"/>
                            <w:bottom w:val="single" w:sz="6" w:space="0" w:color="auto"/>
                            <w:right w:val="single" w:sz="2" w:space="0" w:color="auto"/>
                          </w:divBdr>
                          <w:divsChild>
                            <w:div w:id="1766145766">
                              <w:marLeft w:val="0"/>
                              <w:marRight w:val="0"/>
                              <w:marTop w:val="100"/>
                              <w:marBottom w:val="100"/>
                              <w:divBdr>
                                <w:top w:val="single" w:sz="2" w:space="0" w:color="D9D9E3"/>
                                <w:left w:val="single" w:sz="2" w:space="0" w:color="D9D9E3"/>
                                <w:bottom w:val="single" w:sz="2" w:space="0" w:color="D9D9E3"/>
                                <w:right w:val="single" w:sz="2" w:space="0" w:color="D9D9E3"/>
                              </w:divBdr>
                              <w:divsChild>
                                <w:div w:id="392897655">
                                  <w:marLeft w:val="0"/>
                                  <w:marRight w:val="0"/>
                                  <w:marTop w:val="0"/>
                                  <w:marBottom w:val="0"/>
                                  <w:divBdr>
                                    <w:top w:val="single" w:sz="2" w:space="0" w:color="D9D9E3"/>
                                    <w:left w:val="single" w:sz="2" w:space="0" w:color="D9D9E3"/>
                                    <w:bottom w:val="single" w:sz="2" w:space="0" w:color="D9D9E3"/>
                                    <w:right w:val="single" w:sz="2" w:space="0" w:color="D9D9E3"/>
                                  </w:divBdr>
                                  <w:divsChild>
                                    <w:div w:id="75985281">
                                      <w:marLeft w:val="0"/>
                                      <w:marRight w:val="0"/>
                                      <w:marTop w:val="0"/>
                                      <w:marBottom w:val="0"/>
                                      <w:divBdr>
                                        <w:top w:val="single" w:sz="2" w:space="0" w:color="D9D9E3"/>
                                        <w:left w:val="single" w:sz="2" w:space="0" w:color="D9D9E3"/>
                                        <w:bottom w:val="single" w:sz="2" w:space="0" w:color="D9D9E3"/>
                                        <w:right w:val="single" w:sz="2" w:space="0" w:color="D9D9E3"/>
                                      </w:divBdr>
                                      <w:divsChild>
                                        <w:div w:id="1168517390">
                                          <w:marLeft w:val="0"/>
                                          <w:marRight w:val="0"/>
                                          <w:marTop w:val="0"/>
                                          <w:marBottom w:val="0"/>
                                          <w:divBdr>
                                            <w:top w:val="single" w:sz="2" w:space="0" w:color="D9D9E3"/>
                                            <w:left w:val="single" w:sz="2" w:space="0" w:color="D9D9E3"/>
                                            <w:bottom w:val="single" w:sz="2" w:space="0" w:color="D9D9E3"/>
                                            <w:right w:val="single" w:sz="2" w:space="0" w:color="D9D9E3"/>
                                          </w:divBdr>
                                          <w:divsChild>
                                            <w:div w:id="461190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33850354">
      <w:bodyDiv w:val="1"/>
      <w:marLeft w:val="0"/>
      <w:marRight w:val="0"/>
      <w:marTop w:val="0"/>
      <w:marBottom w:val="0"/>
      <w:divBdr>
        <w:top w:val="none" w:sz="0" w:space="0" w:color="auto"/>
        <w:left w:val="none" w:sz="0" w:space="0" w:color="auto"/>
        <w:bottom w:val="none" w:sz="0" w:space="0" w:color="auto"/>
        <w:right w:val="none" w:sz="0" w:space="0" w:color="auto"/>
      </w:divBdr>
    </w:div>
    <w:div w:id="1038626223">
      <w:bodyDiv w:val="1"/>
      <w:marLeft w:val="0"/>
      <w:marRight w:val="0"/>
      <w:marTop w:val="0"/>
      <w:marBottom w:val="0"/>
      <w:divBdr>
        <w:top w:val="none" w:sz="0" w:space="0" w:color="auto"/>
        <w:left w:val="none" w:sz="0" w:space="0" w:color="auto"/>
        <w:bottom w:val="none" w:sz="0" w:space="0" w:color="auto"/>
        <w:right w:val="none" w:sz="0" w:space="0" w:color="auto"/>
      </w:divBdr>
    </w:div>
    <w:div w:id="1039623410">
      <w:bodyDiv w:val="1"/>
      <w:marLeft w:val="0"/>
      <w:marRight w:val="0"/>
      <w:marTop w:val="0"/>
      <w:marBottom w:val="0"/>
      <w:divBdr>
        <w:top w:val="none" w:sz="0" w:space="0" w:color="auto"/>
        <w:left w:val="none" w:sz="0" w:space="0" w:color="auto"/>
        <w:bottom w:val="none" w:sz="0" w:space="0" w:color="auto"/>
        <w:right w:val="none" w:sz="0" w:space="0" w:color="auto"/>
      </w:divBdr>
    </w:div>
    <w:div w:id="1044065033">
      <w:bodyDiv w:val="1"/>
      <w:marLeft w:val="0"/>
      <w:marRight w:val="0"/>
      <w:marTop w:val="0"/>
      <w:marBottom w:val="0"/>
      <w:divBdr>
        <w:top w:val="none" w:sz="0" w:space="0" w:color="auto"/>
        <w:left w:val="none" w:sz="0" w:space="0" w:color="auto"/>
        <w:bottom w:val="none" w:sz="0" w:space="0" w:color="auto"/>
        <w:right w:val="none" w:sz="0" w:space="0" w:color="auto"/>
      </w:divBdr>
    </w:div>
    <w:div w:id="1052197571">
      <w:bodyDiv w:val="1"/>
      <w:marLeft w:val="0"/>
      <w:marRight w:val="0"/>
      <w:marTop w:val="0"/>
      <w:marBottom w:val="0"/>
      <w:divBdr>
        <w:top w:val="none" w:sz="0" w:space="0" w:color="auto"/>
        <w:left w:val="none" w:sz="0" w:space="0" w:color="auto"/>
        <w:bottom w:val="none" w:sz="0" w:space="0" w:color="auto"/>
        <w:right w:val="none" w:sz="0" w:space="0" w:color="auto"/>
      </w:divBdr>
      <w:divsChild>
        <w:div w:id="624504226">
          <w:marLeft w:val="0"/>
          <w:marRight w:val="0"/>
          <w:marTop w:val="0"/>
          <w:marBottom w:val="0"/>
          <w:divBdr>
            <w:top w:val="none" w:sz="0" w:space="0" w:color="auto"/>
            <w:left w:val="none" w:sz="0" w:space="0" w:color="auto"/>
            <w:bottom w:val="none" w:sz="0" w:space="0" w:color="auto"/>
            <w:right w:val="none" w:sz="0" w:space="0" w:color="auto"/>
          </w:divBdr>
          <w:divsChild>
            <w:div w:id="1862157401">
              <w:marLeft w:val="0"/>
              <w:marRight w:val="0"/>
              <w:marTop w:val="0"/>
              <w:marBottom w:val="0"/>
              <w:divBdr>
                <w:top w:val="single" w:sz="2" w:space="0" w:color="D9D9E3"/>
                <w:left w:val="single" w:sz="2" w:space="0" w:color="D9D9E3"/>
                <w:bottom w:val="single" w:sz="2" w:space="0" w:color="D9D9E3"/>
                <w:right w:val="single" w:sz="2" w:space="0" w:color="D9D9E3"/>
              </w:divBdr>
              <w:divsChild>
                <w:div w:id="1000036358">
                  <w:marLeft w:val="0"/>
                  <w:marRight w:val="0"/>
                  <w:marTop w:val="0"/>
                  <w:marBottom w:val="0"/>
                  <w:divBdr>
                    <w:top w:val="single" w:sz="2" w:space="0" w:color="D9D9E3"/>
                    <w:left w:val="single" w:sz="2" w:space="0" w:color="D9D9E3"/>
                    <w:bottom w:val="single" w:sz="2" w:space="0" w:color="D9D9E3"/>
                    <w:right w:val="single" w:sz="2" w:space="0" w:color="D9D9E3"/>
                  </w:divBdr>
                  <w:divsChild>
                    <w:div w:id="1394698025">
                      <w:marLeft w:val="0"/>
                      <w:marRight w:val="0"/>
                      <w:marTop w:val="0"/>
                      <w:marBottom w:val="0"/>
                      <w:divBdr>
                        <w:top w:val="single" w:sz="2" w:space="0" w:color="D9D9E3"/>
                        <w:left w:val="single" w:sz="2" w:space="0" w:color="D9D9E3"/>
                        <w:bottom w:val="single" w:sz="2" w:space="0" w:color="D9D9E3"/>
                        <w:right w:val="single" w:sz="2" w:space="0" w:color="D9D9E3"/>
                      </w:divBdr>
                      <w:divsChild>
                        <w:div w:id="822041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3182049">
          <w:marLeft w:val="0"/>
          <w:marRight w:val="0"/>
          <w:marTop w:val="0"/>
          <w:marBottom w:val="0"/>
          <w:divBdr>
            <w:top w:val="single" w:sz="2" w:space="0" w:color="D9D9E3"/>
            <w:left w:val="single" w:sz="2" w:space="0" w:color="D9D9E3"/>
            <w:bottom w:val="single" w:sz="2" w:space="0" w:color="D9D9E3"/>
            <w:right w:val="single" w:sz="2" w:space="0" w:color="D9D9E3"/>
          </w:divBdr>
          <w:divsChild>
            <w:div w:id="1213033051">
              <w:marLeft w:val="0"/>
              <w:marRight w:val="0"/>
              <w:marTop w:val="0"/>
              <w:marBottom w:val="0"/>
              <w:divBdr>
                <w:top w:val="single" w:sz="2" w:space="0" w:color="D9D9E3"/>
                <w:left w:val="single" w:sz="2" w:space="0" w:color="D9D9E3"/>
                <w:bottom w:val="single" w:sz="2" w:space="0" w:color="D9D9E3"/>
                <w:right w:val="single" w:sz="2" w:space="0" w:color="D9D9E3"/>
              </w:divBdr>
              <w:divsChild>
                <w:div w:id="1370647835">
                  <w:marLeft w:val="0"/>
                  <w:marRight w:val="0"/>
                  <w:marTop w:val="0"/>
                  <w:marBottom w:val="0"/>
                  <w:divBdr>
                    <w:top w:val="single" w:sz="2" w:space="0" w:color="D9D9E3"/>
                    <w:left w:val="single" w:sz="2" w:space="0" w:color="D9D9E3"/>
                    <w:bottom w:val="single" w:sz="2" w:space="0" w:color="D9D9E3"/>
                    <w:right w:val="single" w:sz="2" w:space="0" w:color="D9D9E3"/>
                  </w:divBdr>
                  <w:divsChild>
                    <w:div w:id="1469087241">
                      <w:marLeft w:val="0"/>
                      <w:marRight w:val="0"/>
                      <w:marTop w:val="0"/>
                      <w:marBottom w:val="0"/>
                      <w:divBdr>
                        <w:top w:val="single" w:sz="2" w:space="0" w:color="D9D9E3"/>
                        <w:left w:val="single" w:sz="2" w:space="0" w:color="D9D9E3"/>
                        <w:bottom w:val="single" w:sz="2" w:space="0" w:color="D9D9E3"/>
                        <w:right w:val="single" w:sz="2" w:space="0" w:color="D9D9E3"/>
                      </w:divBdr>
                      <w:divsChild>
                        <w:div w:id="1962566388">
                          <w:marLeft w:val="0"/>
                          <w:marRight w:val="0"/>
                          <w:marTop w:val="0"/>
                          <w:marBottom w:val="0"/>
                          <w:divBdr>
                            <w:top w:val="single" w:sz="2" w:space="0" w:color="auto"/>
                            <w:left w:val="single" w:sz="2" w:space="0" w:color="auto"/>
                            <w:bottom w:val="single" w:sz="6" w:space="0" w:color="auto"/>
                            <w:right w:val="single" w:sz="2" w:space="0" w:color="auto"/>
                          </w:divBdr>
                          <w:divsChild>
                            <w:div w:id="1272470257">
                              <w:marLeft w:val="0"/>
                              <w:marRight w:val="0"/>
                              <w:marTop w:val="100"/>
                              <w:marBottom w:val="100"/>
                              <w:divBdr>
                                <w:top w:val="single" w:sz="2" w:space="0" w:color="D9D9E3"/>
                                <w:left w:val="single" w:sz="2" w:space="0" w:color="D9D9E3"/>
                                <w:bottom w:val="single" w:sz="2" w:space="0" w:color="D9D9E3"/>
                                <w:right w:val="single" w:sz="2" w:space="0" w:color="D9D9E3"/>
                              </w:divBdr>
                              <w:divsChild>
                                <w:div w:id="290136275">
                                  <w:marLeft w:val="0"/>
                                  <w:marRight w:val="0"/>
                                  <w:marTop w:val="0"/>
                                  <w:marBottom w:val="0"/>
                                  <w:divBdr>
                                    <w:top w:val="single" w:sz="2" w:space="0" w:color="D9D9E3"/>
                                    <w:left w:val="single" w:sz="2" w:space="0" w:color="D9D9E3"/>
                                    <w:bottom w:val="single" w:sz="2" w:space="0" w:color="D9D9E3"/>
                                    <w:right w:val="single" w:sz="2" w:space="0" w:color="D9D9E3"/>
                                  </w:divBdr>
                                  <w:divsChild>
                                    <w:div w:id="1522476949">
                                      <w:marLeft w:val="0"/>
                                      <w:marRight w:val="0"/>
                                      <w:marTop w:val="0"/>
                                      <w:marBottom w:val="0"/>
                                      <w:divBdr>
                                        <w:top w:val="single" w:sz="2" w:space="0" w:color="D9D9E3"/>
                                        <w:left w:val="single" w:sz="2" w:space="0" w:color="D9D9E3"/>
                                        <w:bottom w:val="single" w:sz="2" w:space="0" w:color="D9D9E3"/>
                                        <w:right w:val="single" w:sz="2" w:space="0" w:color="D9D9E3"/>
                                      </w:divBdr>
                                      <w:divsChild>
                                        <w:div w:id="217280238">
                                          <w:marLeft w:val="0"/>
                                          <w:marRight w:val="0"/>
                                          <w:marTop w:val="0"/>
                                          <w:marBottom w:val="0"/>
                                          <w:divBdr>
                                            <w:top w:val="single" w:sz="2" w:space="0" w:color="D9D9E3"/>
                                            <w:left w:val="single" w:sz="2" w:space="0" w:color="D9D9E3"/>
                                            <w:bottom w:val="single" w:sz="2" w:space="0" w:color="D9D9E3"/>
                                            <w:right w:val="single" w:sz="2" w:space="0" w:color="D9D9E3"/>
                                          </w:divBdr>
                                          <w:divsChild>
                                            <w:div w:id="327825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58431612">
      <w:bodyDiv w:val="1"/>
      <w:marLeft w:val="0"/>
      <w:marRight w:val="0"/>
      <w:marTop w:val="0"/>
      <w:marBottom w:val="0"/>
      <w:divBdr>
        <w:top w:val="none" w:sz="0" w:space="0" w:color="auto"/>
        <w:left w:val="none" w:sz="0" w:space="0" w:color="auto"/>
        <w:bottom w:val="none" w:sz="0" w:space="0" w:color="auto"/>
        <w:right w:val="none" w:sz="0" w:space="0" w:color="auto"/>
      </w:divBdr>
      <w:divsChild>
        <w:div w:id="1002508371">
          <w:marLeft w:val="0"/>
          <w:marRight w:val="0"/>
          <w:marTop w:val="0"/>
          <w:marBottom w:val="0"/>
          <w:divBdr>
            <w:top w:val="none" w:sz="0" w:space="0" w:color="auto"/>
            <w:left w:val="none" w:sz="0" w:space="0" w:color="auto"/>
            <w:bottom w:val="none" w:sz="0" w:space="0" w:color="auto"/>
            <w:right w:val="none" w:sz="0" w:space="0" w:color="auto"/>
          </w:divBdr>
        </w:div>
        <w:div w:id="1253665933">
          <w:marLeft w:val="0"/>
          <w:marRight w:val="0"/>
          <w:marTop w:val="0"/>
          <w:marBottom w:val="0"/>
          <w:divBdr>
            <w:top w:val="single" w:sz="2" w:space="0" w:color="D9D9E3"/>
            <w:left w:val="single" w:sz="2" w:space="0" w:color="D9D9E3"/>
            <w:bottom w:val="single" w:sz="2" w:space="0" w:color="D9D9E3"/>
            <w:right w:val="single" w:sz="2" w:space="0" w:color="D9D9E3"/>
          </w:divBdr>
          <w:divsChild>
            <w:div w:id="214202372">
              <w:marLeft w:val="0"/>
              <w:marRight w:val="0"/>
              <w:marTop w:val="0"/>
              <w:marBottom w:val="0"/>
              <w:divBdr>
                <w:top w:val="single" w:sz="2" w:space="0" w:color="D9D9E3"/>
                <w:left w:val="single" w:sz="2" w:space="0" w:color="D9D9E3"/>
                <w:bottom w:val="single" w:sz="2" w:space="0" w:color="D9D9E3"/>
                <w:right w:val="single" w:sz="2" w:space="0" w:color="D9D9E3"/>
              </w:divBdr>
              <w:divsChild>
                <w:div w:id="1900510290">
                  <w:marLeft w:val="0"/>
                  <w:marRight w:val="0"/>
                  <w:marTop w:val="0"/>
                  <w:marBottom w:val="0"/>
                  <w:divBdr>
                    <w:top w:val="single" w:sz="2" w:space="0" w:color="D9D9E3"/>
                    <w:left w:val="single" w:sz="2" w:space="0" w:color="D9D9E3"/>
                    <w:bottom w:val="single" w:sz="2" w:space="0" w:color="D9D9E3"/>
                    <w:right w:val="single" w:sz="2" w:space="0" w:color="D9D9E3"/>
                  </w:divBdr>
                  <w:divsChild>
                    <w:div w:id="386881158">
                      <w:marLeft w:val="0"/>
                      <w:marRight w:val="0"/>
                      <w:marTop w:val="0"/>
                      <w:marBottom w:val="0"/>
                      <w:divBdr>
                        <w:top w:val="single" w:sz="2" w:space="0" w:color="D9D9E3"/>
                        <w:left w:val="single" w:sz="2" w:space="0" w:color="D9D9E3"/>
                        <w:bottom w:val="single" w:sz="2" w:space="0" w:color="D9D9E3"/>
                        <w:right w:val="single" w:sz="2" w:space="0" w:color="D9D9E3"/>
                      </w:divBdr>
                      <w:divsChild>
                        <w:div w:id="961689638">
                          <w:marLeft w:val="0"/>
                          <w:marRight w:val="0"/>
                          <w:marTop w:val="0"/>
                          <w:marBottom w:val="0"/>
                          <w:divBdr>
                            <w:top w:val="single" w:sz="2" w:space="0" w:color="auto"/>
                            <w:left w:val="single" w:sz="2" w:space="0" w:color="auto"/>
                            <w:bottom w:val="single" w:sz="6" w:space="0" w:color="auto"/>
                            <w:right w:val="single" w:sz="2" w:space="0" w:color="auto"/>
                          </w:divBdr>
                          <w:divsChild>
                            <w:div w:id="447431569">
                              <w:marLeft w:val="0"/>
                              <w:marRight w:val="0"/>
                              <w:marTop w:val="100"/>
                              <w:marBottom w:val="100"/>
                              <w:divBdr>
                                <w:top w:val="single" w:sz="2" w:space="0" w:color="D9D9E3"/>
                                <w:left w:val="single" w:sz="2" w:space="0" w:color="D9D9E3"/>
                                <w:bottom w:val="single" w:sz="2" w:space="0" w:color="D9D9E3"/>
                                <w:right w:val="single" w:sz="2" w:space="0" w:color="D9D9E3"/>
                              </w:divBdr>
                              <w:divsChild>
                                <w:div w:id="512956218">
                                  <w:marLeft w:val="0"/>
                                  <w:marRight w:val="0"/>
                                  <w:marTop w:val="0"/>
                                  <w:marBottom w:val="0"/>
                                  <w:divBdr>
                                    <w:top w:val="single" w:sz="2" w:space="0" w:color="D9D9E3"/>
                                    <w:left w:val="single" w:sz="2" w:space="0" w:color="D9D9E3"/>
                                    <w:bottom w:val="single" w:sz="2" w:space="0" w:color="D9D9E3"/>
                                    <w:right w:val="single" w:sz="2" w:space="0" w:color="D9D9E3"/>
                                  </w:divBdr>
                                  <w:divsChild>
                                    <w:div w:id="1934700418">
                                      <w:marLeft w:val="0"/>
                                      <w:marRight w:val="0"/>
                                      <w:marTop w:val="0"/>
                                      <w:marBottom w:val="0"/>
                                      <w:divBdr>
                                        <w:top w:val="single" w:sz="2" w:space="0" w:color="D9D9E3"/>
                                        <w:left w:val="single" w:sz="2" w:space="0" w:color="D9D9E3"/>
                                        <w:bottom w:val="single" w:sz="2" w:space="0" w:color="D9D9E3"/>
                                        <w:right w:val="single" w:sz="2" w:space="0" w:color="D9D9E3"/>
                                      </w:divBdr>
                                      <w:divsChild>
                                        <w:div w:id="649795345">
                                          <w:marLeft w:val="0"/>
                                          <w:marRight w:val="0"/>
                                          <w:marTop w:val="0"/>
                                          <w:marBottom w:val="0"/>
                                          <w:divBdr>
                                            <w:top w:val="single" w:sz="2" w:space="0" w:color="D9D9E3"/>
                                            <w:left w:val="single" w:sz="2" w:space="0" w:color="D9D9E3"/>
                                            <w:bottom w:val="single" w:sz="2" w:space="0" w:color="D9D9E3"/>
                                            <w:right w:val="single" w:sz="2" w:space="0" w:color="D9D9E3"/>
                                          </w:divBdr>
                                          <w:divsChild>
                                            <w:div w:id="1538932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65686230">
      <w:bodyDiv w:val="1"/>
      <w:marLeft w:val="0"/>
      <w:marRight w:val="0"/>
      <w:marTop w:val="0"/>
      <w:marBottom w:val="0"/>
      <w:divBdr>
        <w:top w:val="none" w:sz="0" w:space="0" w:color="auto"/>
        <w:left w:val="none" w:sz="0" w:space="0" w:color="auto"/>
        <w:bottom w:val="none" w:sz="0" w:space="0" w:color="auto"/>
        <w:right w:val="none" w:sz="0" w:space="0" w:color="auto"/>
      </w:divBdr>
    </w:div>
    <w:div w:id="1070543309">
      <w:bodyDiv w:val="1"/>
      <w:marLeft w:val="0"/>
      <w:marRight w:val="0"/>
      <w:marTop w:val="0"/>
      <w:marBottom w:val="0"/>
      <w:divBdr>
        <w:top w:val="none" w:sz="0" w:space="0" w:color="auto"/>
        <w:left w:val="none" w:sz="0" w:space="0" w:color="auto"/>
        <w:bottom w:val="none" w:sz="0" w:space="0" w:color="auto"/>
        <w:right w:val="none" w:sz="0" w:space="0" w:color="auto"/>
      </w:divBdr>
    </w:div>
    <w:div w:id="1098674778">
      <w:bodyDiv w:val="1"/>
      <w:marLeft w:val="0"/>
      <w:marRight w:val="0"/>
      <w:marTop w:val="0"/>
      <w:marBottom w:val="0"/>
      <w:divBdr>
        <w:top w:val="none" w:sz="0" w:space="0" w:color="auto"/>
        <w:left w:val="none" w:sz="0" w:space="0" w:color="auto"/>
        <w:bottom w:val="none" w:sz="0" w:space="0" w:color="auto"/>
        <w:right w:val="none" w:sz="0" w:space="0" w:color="auto"/>
      </w:divBdr>
    </w:div>
    <w:div w:id="1100878003">
      <w:bodyDiv w:val="1"/>
      <w:marLeft w:val="0"/>
      <w:marRight w:val="0"/>
      <w:marTop w:val="0"/>
      <w:marBottom w:val="0"/>
      <w:divBdr>
        <w:top w:val="none" w:sz="0" w:space="0" w:color="auto"/>
        <w:left w:val="none" w:sz="0" w:space="0" w:color="auto"/>
        <w:bottom w:val="none" w:sz="0" w:space="0" w:color="auto"/>
        <w:right w:val="none" w:sz="0" w:space="0" w:color="auto"/>
      </w:divBdr>
    </w:div>
    <w:div w:id="1107045558">
      <w:bodyDiv w:val="1"/>
      <w:marLeft w:val="0"/>
      <w:marRight w:val="0"/>
      <w:marTop w:val="0"/>
      <w:marBottom w:val="0"/>
      <w:divBdr>
        <w:top w:val="none" w:sz="0" w:space="0" w:color="auto"/>
        <w:left w:val="none" w:sz="0" w:space="0" w:color="auto"/>
        <w:bottom w:val="none" w:sz="0" w:space="0" w:color="auto"/>
        <w:right w:val="none" w:sz="0" w:space="0" w:color="auto"/>
      </w:divBdr>
    </w:div>
    <w:div w:id="1120686205">
      <w:bodyDiv w:val="1"/>
      <w:marLeft w:val="0"/>
      <w:marRight w:val="0"/>
      <w:marTop w:val="0"/>
      <w:marBottom w:val="0"/>
      <w:divBdr>
        <w:top w:val="none" w:sz="0" w:space="0" w:color="auto"/>
        <w:left w:val="none" w:sz="0" w:space="0" w:color="auto"/>
        <w:bottom w:val="none" w:sz="0" w:space="0" w:color="auto"/>
        <w:right w:val="none" w:sz="0" w:space="0" w:color="auto"/>
      </w:divBdr>
    </w:div>
    <w:div w:id="1130050035">
      <w:bodyDiv w:val="1"/>
      <w:marLeft w:val="0"/>
      <w:marRight w:val="0"/>
      <w:marTop w:val="0"/>
      <w:marBottom w:val="0"/>
      <w:divBdr>
        <w:top w:val="none" w:sz="0" w:space="0" w:color="auto"/>
        <w:left w:val="none" w:sz="0" w:space="0" w:color="auto"/>
        <w:bottom w:val="none" w:sz="0" w:space="0" w:color="auto"/>
        <w:right w:val="none" w:sz="0" w:space="0" w:color="auto"/>
      </w:divBdr>
    </w:div>
    <w:div w:id="1141264382">
      <w:bodyDiv w:val="1"/>
      <w:marLeft w:val="0"/>
      <w:marRight w:val="0"/>
      <w:marTop w:val="0"/>
      <w:marBottom w:val="0"/>
      <w:divBdr>
        <w:top w:val="none" w:sz="0" w:space="0" w:color="auto"/>
        <w:left w:val="none" w:sz="0" w:space="0" w:color="auto"/>
        <w:bottom w:val="none" w:sz="0" w:space="0" w:color="auto"/>
        <w:right w:val="none" w:sz="0" w:space="0" w:color="auto"/>
      </w:divBdr>
    </w:div>
    <w:div w:id="1142848110">
      <w:bodyDiv w:val="1"/>
      <w:marLeft w:val="0"/>
      <w:marRight w:val="0"/>
      <w:marTop w:val="0"/>
      <w:marBottom w:val="0"/>
      <w:divBdr>
        <w:top w:val="none" w:sz="0" w:space="0" w:color="auto"/>
        <w:left w:val="none" w:sz="0" w:space="0" w:color="auto"/>
        <w:bottom w:val="none" w:sz="0" w:space="0" w:color="auto"/>
        <w:right w:val="none" w:sz="0" w:space="0" w:color="auto"/>
      </w:divBdr>
    </w:div>
    <w:div w:id="1165704682">
      <w:bodyDiv w:val="1"/>
      <w:marLeft w:val="0"/>
      <w:marRight w:val="0"/>
      <w:marTop w:val="0"/>
      <w:marBottom w:val="0"/>
      <w:divBdr>
        <w:top w:val="none" w:sz="0" w:space="0" w:color="auto"/>
        <w:left w:val="none" w:sz="0" w:space="0" w:color="auto"/>
        <w:bottom w:val="none" w:sz="0" w:space="0" w:color="auto"/>
        <w:right w:val="none" w:sz="0" w:space="0" w:color="auto"/>
      </w:divBdr>
    </w:div>
    <w:div w:id="1188986282">
      <w:bodyDiv w:val="1"/>
      <w:marLeft w:val="0"/>
      <w:marRight w:val="0"/>
      <w:marTop w:val="0"/>
      <w:marBottom w:val="0"/>
      <w:divBdr>
        <w:top w:val="none" w:sz="0" w:space="0" w:color="auto"/>
        <w:left w:val="none" w:sz="0" w:space="0" w:color="auto"/>
        <w:bottom w:val="none" w:sz="0" w:space="0" w:color="auto"/>
        <w:right w:val="none" w:sz="0" w:space="0" w:color="auto"/>
      </w:divBdr>
    </w:div>
    <w:div w:id="1200122467">
      <w:bodyDiv w:val="1"/>
      <w:marLeft w:val="0"/>
      <w:marRight w:val="0"/>
      <w:marTop w:val="0"/>
      <w:marBottom w:val="0"/>
      <w:divBdr>
        <w:top w:val="none" w:sz="0" w:space="0" w:color="auto"/>
        <w:left w:val="none" w:sz="0" w:space="0" w:color="auto"/>
        <w:bottom w:val="none" w:sz="0" w:space="0" w:color="auto"/>
        <w:right w:val="none" w:sz="0" w:space="0" w:color="auto"/>
      </w:divBdr>
    </w:div>
    <w:div w:id="1201937211">
      <w:bodyDiv w:val="1"/>
      <w:marLeft w:val="0"/>
      <w:marRight w:val="0"/>
      <w:marTop w:val="0"/>
      <w:marBottom w:val="0"/>
      <w:divBdr>
        <w:top w:val="none" w:sz="0" w:space="0" w:color="auto"/>
        <w:left w:val="none" w:sz="0" w:space="0" w:color="auto"/>
        <w:bottom w:val="none" w:sz="0" w:space="0" w:color="auto"/>
        <w:right w:val="none" w:sz="0" w:space="0" w:color="auto"/>
      </w:divBdr>
    </w:div>
    <w:div w:id="1204365178">
      <w:bodyDiv w:val="1"/>
      <w:marLeft w:val="0"/>
      <w:marRight w:val="0"/>
      <w:marTop w:val="0"/>
      <w:marBottom w:val="0"/>
      <w:divBdr>
        <w:top w:val="none" w:sz="0" w:space="0" w:color="auto"/>
        <w:left w:val="none" w:sz="0" w:space="0" w:color="auto"/>
        <w:bottom w:val="none" w:sz="0" w:space="0" w:color="auto"/>
        <w:right w:val="none" w:sz="0" w:space="0" w:color="auto"/>
      </w:divBdr>
    </w:div>
    <w:div w:id="1208837834">
      <w:bodyDiv w:val="1"/>
      <w:marLeft w:val="0"/>
      <w:marRight w:val="0"/>
      <w:marTop w:val="0"/>
      <w:marBottom w:val="0"/>
      <w:divBdr>
        <w:top w:val="none" w:sz="0" w:space="0" w:color="auto"/>
        <w:left w:val="none" w:sz="0" w:space="0" w:color="auto"/>
        <w:bottom w:val="none" w:sz="0" w:space="0" w:color="auto"/>
        <w:right w:val="none" w:sz="0" w:space="0" w:color="auto"/>
      </w:divBdr>
    </w:div>
    <w:div w:id="1215893850">
      <w:bodyDiv w:val="1"/>
      <w:marLeft w:val="0"/>
      <w:marRight w:val="0"/>
      <w:marTop w:val="0"/>
      <w:marBottom w:val="0"/>
      <w:divBdr>
        <w:top w:val="none" w:sz="0" w:space="0" w:color="auto"/>
        <w:left w:val="none" w:sz="0" w:space="0" w:color="auto"/>
        <w:bottom w:val="none" w:sz="0" w:space="0" w:color="auto"/>
        <w:right w:val="none" w:sz="0" w:space="0" w:color="auto"/>
      </w:divBdr>
    </w:div>
    <w:div w:id="1220283656">
      <w:bodyDiv w:val="1"/>
      <w:marLeft w:val="0"/>
      <w:marRight w:val="0"/>
      <w:marTop w:val="0"/>
      <w:marBottom w:val="0"/>
      <w:divBdr>
        <w:top w:val="none" w:sz="0" w:space="0" w:color="auto"/>
        <w:left w:val="none" w:sz="0" w:space="0" w:color="auto"/>
        <w:bottom w:val="none" w:sz="0" w:space="0" w:color="auto"/>
        <w:right w:val="none" w:sz="0" w:space="0" w:color="auto"/>
      </w:divBdr>
      <w:divsChild>
        <w:div w:id="1276903558">
          <w:marLeft w:val="0"/>
          <w:marRight w:val="0"/>
          <w:marTop w:val="0"/>
          <w:marBottom w:val="0"/>
          <w:divBdr>
            <w:top w:val="single" w:sz="2" w:space="0" w:color="D9D9E3"/>
            <w:left w:val="single" w:sz="2" w:space="0" w:color="D9D9E3"/>
            <w:bottom w:val="single" w:sz="2" w:space="0" w:color="D9D9E3"/>
            <w:right w:val="single" w:sz="2" w:space="0" w:color="D9D9E3"/>
          </w:divBdr>
          <w:divsChild>
            <w:div w:id="1238708296">
              <w:marLeft w:val="0"/>
              <w:marRight w:val="0"/>
              <w:marTop w:val="0"/>
              <w:marBottom w:val="0"/>
              <w:divBdr>
                <w:top w:val="single" w:sz="2" w:space="0" w:color="D9D9E3"/>
                <w:left w:val="single" w:sz="2" w:space="0" w:color="D9D9E3"/>
                <w:bottom w:val="single" w:sz="2" w:space="0" w:color="D9D9E3"/>
                <w:right w:val="single" w:sz="2" w:space="0" w:color="D9D9E3"/>
              </w:divBdr>
              <w:divsChild>
                <w:div w:id="1281843872">
                  <w:marLeft w:val="0"/>
                  <w:marRight w:val="0"/>
                  <w:marTop w:val="0"/>
                  <w:marBottom w:val="0"/>
                  <w:divBdr>
                    <w:top w:val="single" w:sz="2" w:space="0" w:color="D9D9E3"/>
                    <w:left w:val="single" w:sz="2" w:space="0" w:color="D9D9E3"/>
                    <w:bottom w:val="single" w:sz="2" w:space="0" w:color="D9D9E3"/>
                    <w:right w:val="single" w:sz="2" w:space="0" w:color="D9D9E3"/>
                  </w:divBdr>
                  <w:divsChild>
                    <w:div w:id="1101608375">
                      <w:marLeft w:val="0"/>
                      <w:marRight w:val="0"/>
                      <w:marTop w:val="0"/>
                      <w:marBottom w:val="0"/>
                      <w:divBdr>
                        <w:top w:val="single" w:sz="2" w:space="0" w:color="D9D9E3"/>
                        <w:left w:val="single" w:sz="2" w:space="0" w:color="D9D9E3"/>
                        <w:bottom w:val="single" w:sz="2" w:space="0" w:color="D9D9E3"/>
                        <w:right w:val="single" w:sz="2" w:space="0" w:color="D9D9E3"/>
                      </w:divBdr>
                      <w:divsChild>
                        <w:div w:id="2144807881">
                          <w:marLeft w:val="0"/>
                          <w:marRight w:val="0"/>
                          <w:marTop w:val="0"/>
                          <w:marBottom w:val="0"/>
                          <w:divBdr>
                            <w:top w:val="single" w:sz="2" w:space="0" w:color="auto"/>
                            <w:left w:val="single" w:sz="2" w:space="0" w:color="auto"/>
                            <w:bottom w:val="single" w:sz="6" w:space="0" w:color="auto"/>
                            <w:right w:val="single" w:sz="2" w:space="0" w:color="auto"/>
                          </w:divBdr>
                          <w:divsChild>
                            <w:div w:id="1092361284">
                              <w:marLeft w:val="0"/>
                              <w:marRight w:val="0"/>
                              <w:marTop w:val="100"/>
                              <w:marBottom w:val="100"/>
                              <w:divBdr>
                                <w:top w:val="single" w:sz="2" w:space="0" w:color="D9D9E3"/>
                                <w:left w:val="single" w:sz="2" w:space="0" w:color="D9D9E3"/>
                                <w:bottom w:val="single" w:sz="2" w:space="0" w:color="D9D9E3"/>
                                <w:right w:val="single" w:sz="2" w:space="0" w:color="D9D9E3"/>
                              </w:divBdr>
                              <w:divsChild>
                                <w:div w:id="1604529891">
                                  <w:marLeft w:val="0"/>
                                  <w:marRight w:val="0"/>
                                  <w:marTop w:val="0"/>
                                  <w:marBottom w:val="0"/>
                                  <w:divBdr>
                                    <w:top w:val="single" w:sz="2" w:space="0" w:color="D9D9E3"/>
                                    <w:left w:val="single" w:sz="2" w:space="0" w:color="D9D9E3"/>
                                    <w:bottom w:val="single" w:sz="2" w:space="0" w:color="D9D9E3"/>
                                    <w:right w:val="single" w:sz="2" w:space="0" w:color="D9D9E3"/>
                                  </w:divBdr>
                                  <w:divsChild>
                                    <w:div w:id="46606618">
                                      <w:marLeft w:val="0"/>
                                      <w:marRight w:val="0"/>
                                      <w:marTop w:val="0"/>
                                      <w:marBottom w:val="0"/>
                                      <w:divBdr>
                                        <w:top w:val="single" w:sz="2" w:space="0" w:color="D9D9E3"/>
                                        <w:left w:val="single" w:sz="2" w:space="0" w:color="D9D9E3"/>
                                        <w:bottom w:val="single" w:sz="2" w:space="0" w:color="D9D9E3"/>
                                        <w:right w:val="single" w:sz="2" w:space="0" w:color="D9D9E3"/>
                                      </w:divBdr>
                                      <w:divsChild>
                                        <w:div w:id="1086196156">
                                          <w:marLeft w:val="0"/>
                                          <w:marRight w:val="0"/>
                                          <w:marTop w:val="0"/>
                                          <w:marBottom w:val="0"/>
                                          <w:divBdr>
                                            <w:top w:val="single" w:sz="2" w:space="0" w:color="D9D9E3"/>
                                            <w:left w:val="single" w:sz="2" w:space="0" w:color="D9D9E3"/>
                                            <w:bottom w:val="single" w:sz="2" w:space="0" w:color="D9D9E3"/>
                                            <w:right w:val="single" w:sz="2" w:space="0" w:color="D9D9E3"/>
                                          </w:divBdr>
                                          <w:divsChild>
                                            <w:div w:id="1049840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23811759">
          <w:marLeft w:val="0"/>
          <w:marRight w:val="0"/>
          <w:marTop w:val="0"/>
          <w:marBottom w:val="0"/>
          <w:divBdr>
            <w:top w:val="none" w:sz="0" w:space="0" w:color="auto"/>
            <w:left w:val="none" w:sz="0" w:space="0" w:color="auto"/>
            <w:bottom w:val="none" w:sz="0" w:space="0" w:color="auto"/>
            <w:right w:val="none" w:sz="0" w:space="0" w:color="auto"/>
          </w:divBdr>
          <w:divsChild>
            <w:div w:id="1819180387">
              <w:marLeft w:val="0"/>
              <w:marRight w:val="0"/>
              <w:marTop w:val="0"/>
              <w:marBottom w:val="0"/>
              <w:divBdr>
                <w:top w:val="single" w:sz="2" w:space="0" w:color="D9D9E3"/>
                <w:left w:val="single" w:sz="2" w:space="0" w:color="D9D9E3"/>
                <w:bottom w:val="single" w:sz="2" w:space="0" w:color="D9D9E3"/>
                <w:right w:val="single" w:sz="2" w:space="0" w:color="D9D9E3"/>
              </w:divBdr>
              <w:divsChild>
                <w:div w:id="1970015439">
                  <w:marLeft w:val="0"/>
                  <w:marRight w:val="0"/>
                  <w:marTop w:val="0"/>
                  <w:marBottom w:val="0"/>
                  <w:divBdr>
                    <w:top w:val="single" w:sz="2" w:space="0" w:color="D9D9E3"/>
                    <w:left w:val="single" w:sz="2" w:space="0" w:color="D9D9E3"/>
                    <w:bottom w:val="single" w:sz="2" w:space="0" w:color="D9D9E3"/>
                    <w:right w:val="single" w:sz="2" w:space="0" w:color="D9D9E3"/>
                  </w:divBdr>
                  <w:divsChild>
                    <w:div w:id="1055927289">
                      <w:marLeft w:val="0"/>
                      <w:marRight w:val="0"/>
                      <w:marTop w:val="0"/>
                      <w:marBottom w:val="0"/>
                      <w:divBdr>
                        <w:top w:val="single" w:sz="2" w:space="0" w:color="D9D9E3"/>
                        <w:left w:val="single" w:sz="2" w:space="0" w:color="D9D9E3"/>
                        <w:bottom w:val="single" w:sz="2" w:space="0" w:color="D9D9E3"/>
                        <w:right w:val="single" w:sz="2" w:space="0" w:color="D9D9E3"/>
                      </w:divBdr>
                      <w:divsChild>
                        <w:div w:id="775369930">
                          <w:marLeft w:val="0"/>
                          <w:marRight w:val="0"/>
                          <w:marTop w:val="0"/>
                          <w:marBottom w:val="0"/>
                          <w:divBdr>
                            <w:top w:val="single" w:sz="2" w:space="0" w:color="D9D9E3"/>
                            <w:left w:val="single" w:sz="2" w:space="0" w:color="D9D9E3"/>
                            <w:bottom w:val="single" w:sz="2" w:space="0" w:color="D9D9E3"/>
                            <w:right w:val="single" w:sz="2" w:space="0" w:color="D9D9E3"/>
                          </w:divBdr>
                          <w:divsChild>
                            <w:div w:id="1199975702">
                              <w:marLeft w:val="0"/>
                              <w:marRight w:val="0"/>
                              <w:marTop w:val="0"/>
                              <w:marBottom w:val="0"/>
                              <w:divBdr>
                                <w:top w:val="single" w:sz="2" w:space="0" w:color="D9D9E3"/>
                                <w:left w:val="single" w:sz="2" w:space="0" w:color="D9D9E3"/>
                                <w:bottom w:val="single" w:sz="2" w:space="0" w:color="D9D9E3"/>
                                <w:right w:val="single" w:sz="2" w:space="0" w:color="D9D9E3"/>
                              </w:divBdr>
                              <w:divsChild>
                                <w:div w:id="258685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5335426">
      <w:bodyDiv w:val="1"/>
      <w:marLeft w:val="0"/>
      <w:marRight w:val="0"/>
      <w:marTop w:val="0"/>
      <w:marBottom w:val="0"/>
      <w:divBdr>
        <w:top w:val="none" w:sz="0" w:space="0" w:color="auto"/>
        <w:left w:val="none" w:sz="0" w:space="0" w:color="auto"/>
        <w:bottom w:val="none" w:sz="0" w:space="0" w:color="auto"/>
        <w:right w:val="none" w:sz="0" w:space="0" w:color="auto"/>
      </w:divBdr>
      <w:divsChild>
        <w:div w:id="701713725">
          <w:marLeft w:val="0"/>
          <w:marRight w:val="0"/>
          <w:marTop w:val="0"/>
          <w:marBottom w:val="0"/>
          <w:divBdr>
            <w:top w:val="none" w:sz="0" w:space="0" w:color="auto"/>
            <w:left w:val="none" w:sz="0" w:space="0" w:color="auto"/>
            <w:bottom w:val="none" w:sz="0" w:space="0" w:color="auto"/>
            <w:right w:val="none" w:sz="0" w:space="0" w:color="auto"/>
          </w:divBdr>
        </w:div>
        <w:div w:id="1651716705">
          <w:marLeft w:val="0"/>
          <w:marRight w:val="0"/>
          <w:marTop w:val="0"/>
          <w:marBottom w:val="0"/>
          <w:divBdr>
            <w:top w:val="single" w:sz="2" w:space="0" w:color="D9D9E3"/>
            <w:left w:val="single" w:sz="2" w:space="0" w:color="D9D9E3"/>
            <w:bottom w:val="single" w:sz="2" w:space="0" w:color="D9D9E3"/>
            <w:right w:val="single" w:sz="2" w:space="0" w:color="D9D9E3"/>
          </w:divBdr>
          <w:divsChild>
            <w:div w:id="723795711">
              <w:marLeft w:val="0"/>
              <w:marRight w:val="0"/>
              <w:marTop w:val="0"/>
              <w:marBottom w:val="0"/>
              <w:divBdr>
                <w:top w:val="single" w:sz="2" w:space="0" w:color="D9D9E3"/>
                <w:left w:val="single" w:sz="2" w:space="0" w:color="D9D9E3"/>
                <w:bottom w:val="single" w:sz="2" w:space="0" w:color="D9D9E3"/>
                <w:right w:val="single" w:sz="2" w:space="0" w:color="D9D9E3"/>
              </w:divBdr>
              <w:divsChild>
                <w:div w:id="1339847736">
                  <w:marLeft w:val="0"/>
                  <w:marRight w:val="0"/>
                  <w:marTop w:val="0"/>
                  <w:marBottom w:val="0"/>
                  <w:divBdr>
                    <w:top w:val="single" w:sz="2" w:space="0" w:color="D9D9E3"/>
                    <w:left w:val="single" w:sz="2" w:space="0" w:color="D9D9E3"/>
                    <w:bottom w:val="single" w:sz="2" w:space="0" w:color="D9D9E3"/>
                    <w:right w:val="single" w:sz="2" w:space="0" w:color="D9D9E3"/>
                  </w:divBdr>
                  <w:divsChild>
                    <w:div w:id="1828284449">
                      <w:marLeft w:val="0"/>
                      <w:marRight w:val="0"/>
                      <w:marTop w:val="0"/>
                      <w:marBottom w:val="0"/>
                      <w:divBdr>
                        <w:top w:val="single" w:sz="2" w:space="0" w:color="D9D9E3"/>
                        <w:left w:val="single" w:sz="2" w:space="0" w:color="D9D9E3"/>
                        <w:bottom w:val="single" w:sz="2" w:space="0" w:color="D9D9E3"/>
                        <w:right w:val="single" w:sz="2" w:space="0" w:color="D9D9E3"/>
                      </w:divBdr>
                      <w:divsChild>
                        <w:div w:id="820342905">
                          <w:marLeft w:val="0"/>
                          <w:marRight w:val="0"/>
                          <w:marTop w:val="0"/>
                          <w:marBottom w:val="0"/>
                          <w:divBdr>
                            <w:top w:val="single" w:sz="2" w:space="0" w:color="auto"/>
                            <w:left w:val="single" w:sz="2" w:space="0" w:color="auto"/>
                            <w:bottom w:val="single" w:sz="6" w:space="0" w:color="auto"/>
                            <w:right w:val="single" w:sz="2" w:space="0" w:color="auto"/>
                          </w:divBdr>
                          <w:divsChild>
                            <w:div w:id="153181625">
                              <w:marLeft w:val="0"/>
                              <w:marRight w:val="0"/>
                              <w:marTop w:val="100"/>
                              <w:marBottom w:val="100"/>
                              <w:divBdr>
                                <w:top w:val="single" w:sz="2" w:space="0" w:color="D9D9E3"/>
                                <w:left w:val="single" w:sz="2" w:space="0" w:color="D9D9E3"/>
                                <w:bottom w:val="single" w:sz="2" w:space="0" w:color="D9D9E3"/>
                                <w:right w:val="single" w:sz="2" w:space="0" w:color="D9D9E3"/>
                              </w:divBdr>
                              <w:divsChild>
                                <w:div w:id="303504883">
                                  <w:marLeft w:val="0"/>
                                  <w:marRight w:val="0"/>
                                  <w:marTop w:val="0"/>
                                  <w:marBottom w:val="0"/>
                                  <w:divBdr>
                                    <w:top w:val="single" w:sz="2" w:space="0" w:color="D9D9E3"/>
                                    <w:left w:val="single" w:sz="2" w:space="0" w:color="D9D9E3"/>
                                    <w:bottom w:val="single" w:sz="2" w:space="0" w:color="D9D9E3"/>
                                    <w:right w:val="single" w:sz="2" w:space="0" w:color="D9D9E3"/>
                                  </w:divBdr>
                                  <w:divsChild>
                                    <w:div w:id="47608830">
                                      <w:marLeft w:val="0"/>
                                      <w:marRight w:val="0"/>
                                      <w:marTop w:val="0"/>
                                      <w:marBottom w:val="0"/>
                                      <w:divBdr>
                                        <w:top w:val="single" w:sz="2" w:space="0" w:color="D9D9E3"/>
                                        <w:left w:val="single" w:sz="2" w:space="0" w:color="D9D9E3"/>
                                        <w:bottom w:val="single" w:sz="2" w:space="0" w:color="D9D9E3"/>
                                        <w:right w:val="single" w:sz="2" w:space="0" w:color="D9D9E3"/>
                                      </w:divBdr>
                                      <w:divsChild>
                                        <w:div w:id="1749879892">
                                          <w:marLeft w:val="0"/>
                                          <w:marRight w:val="0"/>
                                          <w:marTop w:val="0"/>
                                          <w:marBottom w:val="0"/>
                                          <w:divBdr>
                                            <w:top w:val="single" w:sz="2" w:space="0" w:color="D9D9E3"/>
                                            <w:left w:val="single" w:sz="2" w:space="0" w:color="D9D9E3"/>
                                            <w:bottom w:val="single" w:sz="2" w:space="0" w:color="D9D9E3"/>
                                            <w:right w:val="single" w:sz="2" w:space="0" w:color="D9D9E3"/>
                                          </w:divBdr>
                                          <w:divsChild>
                                            <w:div w:id="1076976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32037814">
      <w:bodyDiv w:val="1"/>
      <w:marLeft w:val="0"/>
      <w:marRight w:val="0"/>
      <w:marTop w:val="0"/>
      <w:marBottom w:val="0"/>
      <w:divBdr>
        <w:top w:val="none" w:sz="0" w:space="0" w:color="auto"/>
        <w:left w:val="none" w:sz="0" w:space="0" w:color="auto"/>
        <w:bottom w:val="none" w:sz="0" w:space="0" w:color="auto"/>
        <w:right w:val="none" w:sz="0" w:space="0" w:color="auto"/>
      </w:divBdr>
      <w:divsChild>
        <w:div w:id="116335892">
          <w:marLeft w:val="0"/>
          <w:marRight w:val="0"/>
          <w:marTop w:val="0"/>
          <w:marBottom w:val="0"/>
          <w:divBdr>
            <w:top w:val="none" w:sz="0" w:space="0" w:color="auto"/>
            <w:left w:val="none" w:sz="0" w:space="0" w:color="auto"/>
            <w:bottom w:val="none" w:sz="0" w:space="0" w:color="auto"/>
            <w:right w:val="none" w:sz="0" w:space="0" w:color="auto"/>
          </w:divBdr>
        </w:div>
        <w:div w:id="368605317">
          <w:marLeft w:val="0"/>
          <w:marRight w:val="0"/>
          <w:marTop w:val="0"/>
          <w:marBottom w:val="0"/>
          <w:divBdr>
            <w:top w:val="none" w:sz="0" w:space="0" w:color="auto"/>
            <w:left w:val="none" w:sz="0" w:space="0" w:color="auto"/>
            <w:bottom w:val="none" w:sz="0" w:space="0" w:color="auto"/>
            <w:right w:val="none" w:sz="0" w:space="0" w:color="auto"/>
          </w:divBdr>
        </w:div>
        <w:div w:id="638264559">
          <w:marLeft w:val="0"/>
          <w:marRight w:val="0"/>
          <w:marTop w:val="0"/>
          <w:marBottom w:val="0"/>
          <w:divBdr>
            <w:top w:val="none" w:sz="0" w:space="0" w:color="auto"/>
            <w:left w:val="none" w:sz="0" w:space="0" w:color="auto"/>
            <w:bottom w:val="none" w:sz="0" w:space="0" w:color="auto"/>
            <w:right w:val="none" w:sz="0" w:space="0" w:color="auto"/>
          </w:divBdr>
        </w:div>
        <w:div w:id="1815029027">
          <w:marLeft w:val="0"/>
          <w:marRight w:val="0"/>
          <w:marTop w:val="0"/>
          <w:marBottom w:val="0"/>
          <w:divBdr>
            <w:top w:val="none" w:sz="0" w:space="0" w:color="auto"/>
            <w:left w:val="none" w:sz="0" w:space="0" w:color="auto"/>
            <w:bottom w:val="none" w:sz="0" w:space="0" w:color="auto"/>
            <w:right w:val="none" w:sz="0" w:space="0" w:color="auto"/>
          </w:divBdr>
        </w:div>
      </w:divsChild>
    </w:div>
    <w:div w:id="1244224518">
      <w:bodyDiv w:val="1"/>
      <w:marLeft w:val="0"/>
      <w:marRight w:val="0"/>
      <w:marTop w:val="0"/>
      <w:marBottom w:val="0"/>
      <w:divBdr>
        <w:top w:val="none" w:sz="0" w:space="0" w:color="auto"/>
        <w:left w:val="none" w:sz="0" w:space="0" w:color="auto"/>
        <w:bottom w:val="none" w:sz="0" w:space="0" w:color="auto"/>
        <w:right w:val="none" w:sz="0" w:space="0" w:color="auto"/>
      </w:divBdr>
    </w:div>
    <w:div w:id="1245920651">
      <w:bodyDiv w:val="1"/>
      <w:marLeft w:val="0"/>
      <w:marRight w:val="0"/>
      <w:marTop w:val="0"/>
      <w:marBottom w:val="0"/>
      <w:divBdr>
        <w:top w:val="none" w:sz="0" w:space="0" w:color="auto"/>
        <w:left w:val="none" w:sz="0" w:space="0" w:color="auto"/>
        <w:bottom w:val="none" w:sz="0" w:space="0" w:color="auto"/>
        <w:right w:val="none" w:sz="0" w:space="0" w:color="auto"/>
      </w:divBdr>
    </w:div>
    <w:div w:id="1266965019">
      <w:bodyDiv w:val="1"/>
      <w:marLeft w:val="0"/>
      <w:marRight w:val="0"/>
      <w:marTop w:val="0"/>
      <w:marBottom w:val="0"/>
      <w:divBdr>
        <w:top w:val="none" w:sz="0" w:space="0" w:color="auto"/>
        <w:left w:val="none" w:sz="0" w:space="0" w:color="auto"/>
        <w:bottom w:val="none" w:sz="0" w:space="0" w:color="auto"/>
        <w:right w:val="none" w:sz="0" w:space="0" w:color="auto"/>
      </w:divBdr>
    </w:div>
    <w:div w:id="1282878358">
      <w:bodyDiv w:val="1"/>
      <w:marLeft w:val="0"/>
      <w:marRight w:val="0"/>
      <w:marTop w:val="0"/>
      <w:marBottom w:val="0"/>
      <w:divBdr>
        <w:top w:val="none" w:sz="0" w:space="0" w:color="auto"/>
        <w:left w:val="none" w:sz="0" w:space="0" w:color="auto"/>
        <w:bottom w:val="none" w:sz="0" w:space="0" w:color="auto"/>
        <w:right w:val="none" w:sz="0" w:space="0" w:color="auto"/>
      </w:divBdr>
    </w:div>
    <w:div w:id="1295909657">
      <w:bodyDiv w:val="1"/>
      <w:marLeft w:val="0"/>
      <w:marRight w:val="0"/>
      <w:marTop w:val="0"/>
      <w:marBottom w:val="0"/>
      <w:divBdr>
        <w:top w:val="none" w:sz="0" w:space="0" w:color="auto"/>
        <w:left w:val="none" w:sz="0" w:space="0" w:color="auto"/>
        <w:bottom w:val="none" w:sz="0" w:space="0" w:color="auto"/>
        <w:right w:val="none" w:sz="0" w:space="0" w:color="auto"/>
      </w:divBdr>
    </w:div>
    <w:div w:id="1320882513">
      <w:bodyDiv w:val="1"/>
      <w:marLeft w:val="0"/>
      <w:marRight w:val="0"/>
      <w:marTop w:val="0"/>
      <w:marBottom w:val="0"/>
      <w:divBdr>
        <w:top w:val="none" w:sz="0" w:space="0" w:color="auto"/>
        <w:left w:val="none" w:sz="0" w:space="0" w:color="auto"/>
        <w:bottom w:val="none" w:sz="0" w:space="0" w:color="auto"/>
        <w:right w:val="none" w:sz="0" w:space="0" w:color="auto"/>
      </w:divBdr>
      <w:divsChild>
        <w:div w:id="1208756819">
          <w:marLeft w:val="0"/>
          <w:marRight w:val="0"/>
          <w:marTop w:val="0"/>
          <w:marBottom w:val="0"/>
          <w:divBdr>
            <w:top w:val="none" w:sz="0" w:space="0" w:color="auto"/>
            <w:left w:val="none" w:sz="0" w:space="0" w:color="auto"/>
            <w:bottom w:val="none" w:sz="0" w:space="0" w:color="auto"/>
            <w:right w:val="none" w:sz="0" w:space="0" w:color="auto"/>
          </w:divBdr>
        </w:div>
        <w:div w:id="1807427818">
          <w:marLeft w:val="0"/>
          <w:marRight w:val="0"/>
          <w:marTop w:val="0"/>
          <w:marBottom w:val="0"/>
          <w:divBdr>
            <w:top w:val="single" w:sz="2" w:space="0" w:color="D9D9E3"/>
            <w:left w:val="single" w:sz="2" w:space="0" w:color="D9D9E3"/>
            <w:bottom w:val="single" w:sz="2" w:space="0" w:color="D9D9E3"/>
            <w:right w:val="single" w:sz="2" w:space="0" w:color="D9D9E3"/>
          </w:divBdr>
          <w:divsChild>
            <w:div w:id="1516573947">
              <w:marLeft w:val="0"/>
              <w:marRight w:val="0"/>
              <w:marTop w:val="0"/>
              <w:marBottom w:val="0"/>
              <w:divBdr>
                <w:top w:val="single" w:sz="2" w:space="0" w:color="D9D9E3"/>
                <w:left w:val="single" w:sz="2" w:space="0" w:color="D9D9E3"/>
                <w:bottom w:val="single" w:sz="2" w:space="0" w:color="D9D9E3"/>
                <w:right w:val="single" w:sz="2" w:space="0" w:color="D9D9E3"/>
              </w:divBdr>
              <w:divsChild>
                <w:div w:id="792209333">
                  <w:marLeft w:val="0"/>
                  <w:marRight w:val="0"/>
                  <w:marTop w:val="0"/>
                  <w:marBottom w:val="0"/>
                  <w:divBdr>
                    <w:top w:val="single" w:sz="2" w:space="0" w:color="D9D9E3"/>
                    <w:left w:val="single" w:sz="2" w:space="0" w:color="D9D9E3"/>
                    <w:bottom w:val="single" w:sz="2" w:space="0" w:color="D9D9E3"/>
                    <w:right w:val="single" w:sz="2" w:space="0" w:color="D9D9E3"/>
                  </w:divBdr>
                  <w:divsChild>
                    <w:div w:id="823937547">
                      <w:marLeft w:val="0"/>
                      <w:marRight w:val="0"/>
                      <w:marTop w:val="0"/>
                      <w:marBottom w:val="0"/>
                      <w:divBdr>
                        <w:top w:val="single" w:sz="2" w:space="0" w:color="D9D9E3"/>
                        <w:left w:val="single" w:sz="2" w:space="0" w:color="D9D9E3"/>
                        <w:bottom w:val="single" w:sz="2" w:space="0" w:color="D9D9E3"/>
                        <w:right w:val="single" w:sz="2" w:space="0" w:color="D9D9E3"/>
                      </w:divBdr>
                      <w:divsChild>
                        <w:div w:id="299577959">
                          <w:marLeft w:val="0"/>
                          <w:marRight w:val="0"/>
                          <w:marTop w:val="0"/>
                          <w:marBottom w:val="0"/>
                          <w:divBdr>
                            <w:top w:val="single" w:sz="2" w:space="0" w:color="auto"/>
                            <w:left w:val="single" w:sz="2" w:space="0" w:color="auto"/>
                            <w:bottom w:val="single" w:sz="6" w:space="0" w:color="auto"/>
                            <w:right w:val="single" w:sz="2" w:space="0" w:color="auto"/>
                          </w:divBdr>
                          <w:divsChild>
                            <w:div w:id="330764863">
                              <w:marLeft w:val="0"/>
                              <w:marRight w:val="0"/>
                              <w:marTop w:val="100"/>
                              <w:marBottom w:val="100"/>
                              <w:divBdr>
                                <w:top w:val="single" w:sz="2" w:space="0" w:color="D9D9E3"/>
                                <w:left w:val="single" w:sz="2" w:space="0" w:color="D9D9E3"/>
                                <w:bottom w:val="single" w:sz="2" w:space="0" w:color="D9D9E3"/>
                                <w:right w:val="single" w:sz="2" w:space="0" w:color="D9D9E3"/>
                              </w:divBdr>
                              <w:divsChild>
                                <w:div w:id="875776946">
                                  <w:marLeft w:val="0"/>
                                  <w:marRight w:val="0"/>
                                  <w:marTop w:val="0"/>
                                  <w:marBottom w:val="0"/>
                                  <w:divBdr>
                                    <w:top w:val="single" w:sz="2" w:space="0" w:color="D9D9E3"/>
                                    <w:left w:val="single" w:sz="2" w:space="0" w:color="D9D9E3"/>
                                    <w:bottom w:val="single" w:sz="2" w:space="0" w:color="D9D9E3"/>
                                    <w:right w:val="single" w:sz="2" w:space="0" w:color="D9D9E3"/>
                                  </w:divBdr>
                                  <w:divsChild>
                                    <w:div w:id="499734649">
                                      <w:marLeft w:val="0"/>
                                      <w:marRight w:val="0"/>
                                      <w:marTop w:val="0"/>
                                      <w:marBottom w:val="0"/>
                                      <w:divBdr>
                                        <w:top w:val="single" w:sz="2" w:space="0" w:color="D9D9E3"/>
                                        <w:left w:val="single" w:sz="2" w:space="0" w:color="D9D9E3"/>
                                        <w:bottom w:val="single" w:sz="2" w:space="0" w:color="D9D9E3"/>
                                        <w:right w:val="single" w:sz="2" w:space="0" w:color="D9D9E3"/>
                                      </w:divBdr>
                                      <w:divsChild>
                                        <w:div w:id="2105564868">
                                          <w:marLeft w:val="0"/>
                                          <w:marRight w:val="0"/>
                                          <w:marTop w:val="0"/>
                                          <w:marBottom w:val="0"/>
                                          <w:divBdr>
                                            <w:top w:val="single" w:sz="2" w:space="0" w:color="D9D9E3"/>
                                            <w:left w:val="single" w:sz="2" w:space="0" w:color="D9D9E3"/>
                                            <w:bottom w:val="single" w:sz="2" w:space="0" w:color="D9D9E3"/>
                                            <w:right w:val="single" w:sz="2" w:space="0" w:color="D9D9E3"/>
                                          </w:divBdr>
                                          <w:divsChild>
                                            <w:div w:id="351421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22930435">
      <w:bodyDiv w:val="1"/>
      <w:marLeft w:val="0"/>
      <w:marRight w:val="0"/>
      <w:marTop w:val="0"/>
      <w:marBottom w:val="0"/>
      <w:divBdr>
        <w:top w:val="none" w:sz="0" w:space="0" w:color="auto"/>
        <w:left w:val="none" w:sz="0" w:space="0" w:color="auto"/>
        <w:bottom w:val="none" w:sz="0" w:space="0" w:color="auto"/>
        <w:right w:val="none" w:sz="0" w:space="0" w:color="auto"/>
      </w:divBdr>
    </w:div>
    <w:div w:id="1338003149">
      <w:bodyDiv w:val="1"/>
      <w:marLeft w:val="0"/>
      <w:marRight w:val="0"/>
      <w:marTop w:val="0"/>
      <w:marBottom w:val="0"/>
      <w:divBdr>
        <w:top w:val="none" w:sz="0" w:space="0" w:color="auto"/>
        <w:left w:val="none" w:sz="0" w:space="0" w:color="auto"/>
        <w:bottom w:val="none" w:sz="0" w:space="0" w:color="auto"/>
        <w:right w:val="none" w:sz="0" w:space="0" w:color="auto"/>
      </w:divBdr>
    </w:div>
    <w:div w:id="1339037910">
      <w:bodyDiv w:val="1"/>
      <w:marLeft w:val="0"/>
      <w:marRight w:val="0"/>
      <w:marTop w:val="0"/>
      <w:marBottom w:val="0"/>
      <w:divBdr>
        <w:top w:val="none" w:sz="0" w:space="0" w:color="auto"/>
        <w:left w:val="none" w:sz="0" w:space="0" w:color="auto"/>
        <w:bottom w:val="none" w:sz="0" w:space="0" w:color="auto"/>
        <w:right w:val="none" w:sz="0" w:space="0" w:color="auto"/>
      </w:divBdr>
    </w:div>
    <w:div w:id="1359623772">
      <w:bodyDiv w:val="1"/>
      <w:marLeft w:val="0"/>
      <w:marRight w:val="0"/>
      <w:marTop w:val="0"/>
      <w:marBottom w:val="0"/>
      <w:divBdr>
        <w:top w:val="none" w:sz="0" w:space="0" w:color="auto"/>
        <w:left w:val="none" w:sz="0" w:space="0" w:color="auto"/>
        <w:bottom w:val="none" w:sz="0" w:space="0" w:color="auto"/>
        <w:right w:val="none" w:sz="0" w:space="0" w:color="auto"/>
      </w:divBdr>
    </w:div>
    <w:div w:id="1395352093">
      <w:bodyDiv w:val="1"/>
      <w:marLeft w:val="0"/>
      <w:marRight w:val="0"/>
      <w:marTop w:val="0"/>
      <w:marBottom w:val="0"/>
      <w:divBdr>
        <w:top w:val="none" w:sz="0" w:space="0" w:color="auto"/>
        <w:left w:val="none" w:sz="0" w:space="0" w:color="auto"/>
        <w:bottom w:val="none" w:sz="0" w:space="0" w:color="auto"/>
        <w:right w:val="none" w:sz="0" w:space="0" w:color="auto"/>
      </w:divBdr>
    </w:div>
    <w:div w:id="1415470664">
      <w:bodyDiv w:val="1"/>
      <w:marLeft w:val="0"/>
      <w:marRight w:val="0"/>
      <w:marTop w:val="0"/>
      <w:marBottom w:val="0"/>
      <w:divBdr>
        <w:top w:val="none" w:sz="0" w:space="0" w:color="auto"/>
        <w:left w:val="none" w:sz="0" w:space="0" w:color="auto"/>
        <w:bottom w:val="none" w:sz="0" w:space="0" w:color="auto"/>
        <w:right w:val="none" w:sz="0" w:space="0" w:color="auto"/>
      </w:divBdr>
      <w:divsChild>
        <w:div w:id="390544300">
          <w:marLeft w:val="0"/>
          <w:marRight w:val="0"/>
          <w:marTop w:val="0"/>
          <w:marBottom w:val="0"/>
          <w:divBdr>
            <w:top w:val="none" w:sz="0" w:space="0" w:color="auto"/>
            <w:left w:val="none" w:sz="0" w:space="0" w:color="auto"/>
            <w:bottom w:val="none" w:sz="0" w:space="0" w:color="auto"/>
            <w:right w:val="none" w:sz="0" w:space="0" w:color="auto"/>
          </w:divBdr>
          <w:divsChild>
            <w:div w:id="421528960">
              <w:marLeft w:val="0"/>
              <w:marRight w:val="0"/>
              <w:marTop w:val="0"/>
              <w:marBottom w:val="0"/>
              <w:divBdr>
                <w:top w:val="single" w:sz="2" w:space="0" w:color="D9D9E3"/>
                <w:left w:val="single" w:sz="2" w:space="0" w:color="D9D9E3"/>
                <w:bottom w:val="single" w:sz="2" w:space="0" w:color="D9D9E3"/>
                <w:right w:val="single" w:sz="2" w:space="0" w:color="D9D9E3"/>
              </w:divBdr>
              <w:divsChild>
                <w:div w:id="67269457">
                  <w:marLeft w:val="0"/>
                  <w:marRight w:val="0"/>
                  <w:marTop w:val="0"/>
                  <w:marBottom w:val="0"/>
                  <w:divBdr>
                    <w:top w:val="single" w:sz="2" w:space="0" w:color="D9D9E3"/>
                    <w:left w:val="single" w:sz="2" w:space="0" w:color="D9D9E3"/>
                    <w:bottom w:val="single" w:sz="2" w:space="0" w:color="D9D9E3"/>
                    <w:right w:val="single" w:sz="2" w:space="0" w:color="D9D9E3"/>
                  </w:divBdr>
                  <w:divsChild>
                    <w:div w:id="1542857804">
                      <w:marLeft w:val="0"/>
                      <w:marRight w:val="0"/>
                      <w:marTop w:val="0"/>
                      <w:marBottom w:val="0"/>
                      <w:divBdr>
                        <w:top w:val="single" w:sz="2" w:space="0" w:color="D9D9E3"/>
                        <w:left w:val="single" w:sz="2" w:space="0" w:color="D9D9E3"/>
                        <w:bottom w:val="single" w:sz="2" w:space="0" w:color="D9D9E3"/>
                        <w:right w:val="single" w:sz="2" w:space="0" w:color="D9D9E3"/>
                      </w:divBdr>
                      <w:divsChild>
                        <w:div w:id="1953776981">
                          <w:marLeft w:val="0"/>
                          <w:marRight w:val="0"/>
                          <w:marTop w:val="0"/>
                          <w:marBottom w:val="0"/>
                          <w:divBdr>
                            <w:top w:val="single" w:sz="2" w:space="0" w:color="D9D9E3"/>
                            <w:left w:val="single" w:sz="2" w:space="0" w:color="D9D9E3"/>
                            <w:bottom w:val="single" w:sz="2" w:space="0" w:color="D9D9E3"/>
                            <w:right w:val="single" w:sz="2" w:space="0" w:color="D9D9E3"/>
                          </w:divBdr>
                          <w:divsChild>
                            <w:div w:id="1532297913">
                              <w:marLeft w:val="0"/>
                              <w:marRight w:val="0"/>
                              <w:marTop w:val="0"/>
                              <w:marBottom w:val="0"/>
                              <w:divBdr>
                                <w:top w:val="single" w:sz="2" w:space="0" w:color="D9D9E3"/>
                                <w:left w:val="single" w:sz="2" w:space="0" w:color="D9D9E3"/>
                                <w:bottom w:val="single" w:sz="2" w:space="0" w:color="D9D9E3"/>
                                <w:right w:val="single" w:sz="2" w:space="0" w:color="D9D9E3"/>
                              </w:divBdr>
                              <w:divsChild>
                                <w:div w:id="1999530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3101994">
          <w:marLeft w:val="0"/>
          <w:marRight w:val="0"/>
          <w:marTop w:val="0"/>
          <w:marBottom w:val="0"/>
          <w:divBdr>
            <w:top w:val="single" w:sz="2" w:space="0" w:color="D9D9E3"/>
            <w:left w:val="single" w:sz="2" w:space="0" w:color="D9D9E3"/>
            <w:bottom w:val="single" w:sz="2" w:space="0" w:color="D9D9E3"/>
            <w:right w:val="single" w:sz="2" w:space="0" w:color="D9D9E3"/>
          </w:divBdr>
          <w:divsChild>
            <w:div w:id="818616814">
              <w:marLeft w:val="0"/>
              <w:marRight w:val="0"/>
              <w:marTop w:val="0"/>
              <w:marBottom w:val="0"/>
              <w:divBdr>
                <w:top w:val="single" w:sz="2" w:space="0" w:color="D9D9E3"/>
                <w:left w:val="single" w:sz="2" w:space="0" w:color="D9D9E3"/>
                <w:bottom w:val="single" w:sz="2" w:space="0" w:color="D9D9E3"/>
                <w:right w:val="single" w:sz="2" w:space="0" w:color="D9D9E3"/>
              </w:divBdr>
              <w:divsChild>
                <w:div w:id="790708650">
                  <w:marLeft w:val="0"/>
                  <w:marRight w:val="0"/>
                  <w:marTop w:val="0"/>
                  <w:marBottom w:val="0"/>
                  <w:divBdr>
                    <w:top w:val="single" w:sz="2" w:space="0" w:color="D9D9E3"/>
                    <w:left w:val="single" w:sz="2" w:space="0" w:color="D9D9E3"/>
                    <w:bottom w:val="single" w:sz="2" w:space="0" w:color="D9D9E3"/>
                    <w:right w:val="single" w:sz="2" w:space="0" w:color="D9D9E3"/>
                  </w:divBdr>
                  <w:divsChild>
                    <w:div w:id="1712268382">
                      <w:marLeft w:val="0"/>
                      <w:marRight w:val="0"/>
                      <w:marTop w:val="0"/>
                      <w:marBottom w:val="0"/>
                      <w:divBdr>
                        <w:top w:val="single" w:sz="2" w:space="0" w:color="D9D9E3"/>
                        <w:left w:val="single" w:sz="2" w:space="0" w:color="D9D9E3"/>
                        <w:bottom w:val="single" w:sz="2" w:space="0" w:color="D9D9E3"/>
                        <w:right w:val="single" w:sz="2" w:space="0" w:color="D9D9E3"/>
                      </w:divBdr>
                      <w:divsChild>
                        <w:div w:id="457574143">
                          <w:marLeft w:val="0"/>
                          <w:marRight w:val="0"/>
                          <w:marTop w:val="0"/>
                          <w:marBottom w:val="0"/>
                          <w:divBdr>
                            <w:top w:val="single" w:sz="2" w:space="0" w:color="auto"/>
                            <w:left w:val="single" w:sz="2" w:space="0" w:color="auto"/>
                            <w:bottom w:val="single" w:sz="6" w:space="0" w:color="auto"/>
                            <w:right w:val="single" w:sz="2" w:space="0" w:color="auto"/>
                          </w:divBdr>
                          <w:divsChild>
                            <w:div w:id="1384716390">
                              <w:marLeft w:val="0"/>
                              <w:marRight w:val="0"/>
                              <w:marTop w:val="100"/>
                              <w:marBottom w:val="100"/>
                              <w:divBdr>
                                <w:top w:val="single" w:sz="2" w:space="0" w:color="D9D9E3"/>
                                <w:left w:val="single" w:sz="2" w:space="0" w:color="D9D9E3"/>
                                <w:bottom w:val="single" w:sz="2" w:space="0" w:color="D9D9E3"/>
                                <w:right w:val="single" w:sz="2" w:space="0" w:color="D9D9E3"/>
                              </w:divBdr>
                              <w:divsChild>
                                <w:div w:id="316806124">
                                  <w:marLeft w:val="0"/>
                                  <w:marRight w:val="0"/>
                                  <w:marTop w:val="0"/>
                                  <w:marBottom w:val="0"/>
                                  <w:divBdr>
                                    <w:top w:val="single" w:sz="2" w:space="0" w:color="D9D9E3"/>
                                    <w:left w:val="single" w:sz="2" w:space="0" w:color="D9D9E3"/>
                                    <w:bottom w:val="single" w:sz="2" w:space="0" w:color="D9D9E3"/>
                                    <w:right w:val="single" w:sz="2" w:space="0" w:color="D9D9E3"/>
                                  </w:divBdr>
                                  <w:divsChild>
                                    <w:div w:id="1047802634">
                                      <w:marLeft w:val="0"/>
                                      <w:marRight w:val="0"/>
                                      <w:marTop w:val="0"/>
                                      <w:marBottom w:val="0"/>
                                      <w:divBdr>
                                        <w:top w:val="single" w:sz="2" w:space="0" w:color="D9D9E3"/>
                                        <w:left w:val="single" w:sz="2" w:space="0" w:color="D9D9E3"/>
                                        <w:bottom w:val="single" w:sz="2" w:space="0" w:color="D9D9E3"/>
                                        <w:right w:val="single" w:sz="2" w:space="0" w:color="D9D9E3"/>
                                      </w:divBdr>
                                      <w:divsChild>
                                        <w:div w:id="2073498193">
                                          <w:marLeft w:val="0"/>
                                          <w:marRight w:val="0"/>
                                          <w:marTop w:val="0"/>
                                          <w:marBottom w:val="0"/>
                                          <w:divBdr>
                                            <w:top w:val="single" w:sz="2" w:space="0" w:color="D9D9E3"/>
                                            <w:left w:val="single" w:sz="2" w:space="0" w:color="D9D9E3"/>
                                            <w:bottom w:val="single" w:sz="2" w:space="0" w:color="D9D9E3"/>
                                            <w:right w:val="single" w:sz="2" w:space="0" w:color="D9D9E3"/>
                                          </w:divBdr>
                                          <w:divsChild>
                                            <w:div w:id="1255044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23261108">
      <w:bodyDiv w:val="1"/>
      <w:marLeft w:val="0"/>
      <w:marRight w:val="0"/>
      <w:marTop w:val="0"/>
      <w:marBottom w:val="0"/>
      <w:divBdr>
        <w:top w:val="none" w:sz="0" w:space="0" w:color="auto"/>
        <w:left w:val="none" w:sz="0" w:space="0" w:color="auto"/>
        <w:bottom w:val="none" w:sz="0" w:space="0" w:color="auto"/>
        <w:right w:val="none" w:sz="0" w:space="0" w:color="auto"/>
      </w:divBdr>
      <w:divsChild>
        <w:div w:id="737753444">
          <w:marLeft w:val="0"/>
          <w:marRight w:val="0"/>
          <w:marTop w:val="0"/>
          <w:marBottom w:val="0"/>
          <w:divBdr>
            <w:top w:val="none" w:sz="0" w:space="0" w:color="auto"/>
            <w:left w:val="none" w:sz="0" w:space="0" w:color="auto"/>
            <w:bottom w:val="none" w:sz="0" w:space="0" w:color="auto"/>
            <w:right w:val="none" w:sz="0" w:space="0" w:color="auto"/>
          </w:divBdr>
          <w:divsChild>
            <w:div w:id="1047602577">
              <w:marLeft w:val="0"/>
              <w:marRight w:val="0"/>
              <w:marTop w:val="0"/>
              <w:marBottom w:val="0"/>
              <w:divBdr>
                <w:top w:val="single" w:sz="2" w:space="0" w:color="D9D9E3"/>
                <w:left w:val="single" w:sz="2" w:space="0" w:color="D9D9E3"/>
                <w:bottom w:val="single" w:sz="2" w:space="0" w:color="D9D9E3"/>
                <w:right w:val="single" w:sz="2" w:space="0" w:color="D9D9E3"/>
              </w:divBdr>
              <w:divsChild>
                <w:div w:id="479465985">
                  <w:marLeft w:val="0"/>
                  <w:marRight w:val="0"/>
                  <w:marTop w:val="0"/>
                  <w:marBottom w:val="0"/>
                  <w:divBdr>
                    <w:top w:val="single" w:sz="2" w:space="0" w:color="D9D9E3"/>
                    <w:left w:val="single" w:sz="2" w:space="0" w:color="D9D9E3"/>
                    <w:bottom w:val="single" w:sz="2" w:space="0" w:color="D9D9E3"/>
                    <w:right w:val="single" w:sz="2" w:space="0" w:color="D9D9E3"/>
                  </w:divBdr>
                  <w:divsChild>
                    <w:div w:id="963147778">
                      <w:marLeft w:val="0"/>
                      <w:marRight w:val="0"/>
                      <w:marTop w:val="0"/>
                      <w:marBottom w:val="0"/>
                      <w:divBdr>
                        <w:top w:val="single" w:sz="2" w:space="0" w:color="D9D9E3"/>
                        <w:left w:val="single" w:sz="2" w:space="0" w:color="D9D9E3"/>
                        <w:bottom w:val="single" w:sz="2" w:space="0" w:color="D9D9E3"/>
                        <w:right w:val="single" w:sz="2" w:space="0" w:color="D9D9E3"/>
                      </w:divBdr>
                      <w:divsChild>
                        <w:div w:id="1776096769">
                          <w:marLeft w:val="0"/>
                          <w:marRight w:val="0"/>
                          <w:marTop w:val="0"/>
                          <w:marBottom w:val="0"/>
                          <w:divBdr>
                            <w:top w:val="single" w:sz="2" w:space="0" w:color="D9D9E3"/>
                            <w:left w:val="single" w:sz="2" w:space="0" w:color="D9D9E3"/>
                            <w:bottom w:val="single" w:sz="2" w:space="0" w:color="D9D9E3"/>
                            <w:right w:val="single" w:sz="2" w:space="0" w:color="D9D9E3"/>
                          </w:divBdr>
                          <w:divsChild>
                            <w:div w:id="364716714">
                              <w:marLeft w:val="0"/>
                              <w:marRight w:val="0"/>
                              <w:marTop w:val="0"/>
                              <w:marBottom w:val="0"/>
                              <w:divBdr>
                                <w:top w:val="single" w:sz="2" w:space="0" w:color="D9D9E3"/>
                                <w:left w:val="single" w:sz="2" w:space="0" w:color="D9D9E3"/>
                                <w:bottom w:val="single" w:sz="2" w:space="0" w:color="D9D9E3"/>
                                <w:right w:val="single" w:sz="2" w:space="0" w:color="D9D9E3"/>
                              </w:divBdr>
                              <w:divsChild>
                                <w:div w:id="1740667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14560907">
          <w:marLeft w:val="0"/>
          <w:marRight w:val="0"/>
          <w:marTop w:val="0"/>
          <w:marBottom w:val="0"/>
          <w:divBdr>
            <w:top w:val="single" w:sz="2" w:space="0" w:color="D9D9E3"/>
            <w:left w:val="single" w:sz="2" w:space="0" w:color="D9D9E3"/>
            <w:bottom w:val="single" w:sz="2" w:space="0" w:color="D9D9E3"/>
            <w:right w:val="single" w:sz="2" w:space="0" w:color="D9D9E3"/>
          </w:divBdr>
          <w:divsChild>
            <w:div w:id="1158040808">
              <w:marLeft w:val="0"/>
              <w:marRight w:val="0"/>
              <w:marTop w:val="0"/>
              <w:marBottom w:val="0"/>
              <w:divBdr>
                <w:top w:val="single" w:sz="2" w:space="0" w:color="D9D9E3"/>
                <w:left w:val="single" w:sz="2" w:space="0" w:color="D9D9E3"/>
                <w:bottom w:val="single" w:sz="2" w:space="0" w:color="D9D9E3"/>
                <w:right w:val="single" w:sz="2" w:space="0" w:color="D9D9E3"/>
              </w:divBdr>
              <w:divsChild>
                <w:div w:id="1445464597">
                  <w:marLeft w:val="0"/>
                  <w:marRight w:val="0"/>
                  <w:marTop w:val="0"/>
                  <w:marBottom w:val="0"/>
                  <w:divBdr>
                    <w:top w:val="single" w:sz="2" w:space="0" w:color="D9D9E3"/>
                    <w:left w:val="single" w:sz="2" w:space="0" w:color="D9D9E3"/>
                    <w:bottom w:val="single" w:sz="2" w:space="0" w:color="D9D9E3"/>
                    <w:right w:val="single" w:sz="2" w:space="0" w:color="D9D9E3"/>
                  </w:divBdr>
                  <w:divsChild>
                    <w:div w:id="561868630">
                      <w:marLeft w:val="0"/>
                      <w:marRight w:val="0"/>
                      <w:marTop w:val="0"/>
                      <w:marBottom w:val="0"/>
                      <w:divBdr>
                        <w:top w:val="single" w:sz="2" w:space="0" w:color="D9D9E3"/>
                        <w:left w:val="single" w:sz="2" w:space="0" w:color="D9D9E3"/>
                        <w:bottom w:val="single" w:sz="2" w:space="0" w:color="D9D9E3"/>
                        <w:right w:val="single" w:sz="2" w:space="0" w:color="D9D9E3"/>
                      </w:divBdr>
                      <w:divsChild>
                        <w:div w:id="2087653231">
                          <w:marLeft w:val="0"/>
                          <w:marRight w:val="0"/>
                          <w:marTop w:val="0"/>
                          <w:marBottom w:val="0"/>
                          <w:divBdr>
                            <w:top w:val="single" w:sz="2" w:space="0" w:color="auto"/>
                            <w:left w:val="single" w:sz="2" w:space="0" w:color="auto"/>
                            <w:bottom w:val="single" w:sz="6" w:space="0" w:color="auto"/>
                            <w:right w:val="single" w:sz="2" w:space="0" w:color="auto"/>
                          </w:divBdr>
                          <w:divsChild>
                            <w:div w:id="1755971791">
                              <w:marLeft w:val="0"/>
                              <w:marRight w:val="0"/>
                              <w:marTop w:val="100"/>
                              <w:marBottom w:val="100"/>
                              <w:divBdr>
                                <w:top w:val="single" w:sz="2" w:space="0" w:color="D9D9E3"/>
                                <w:left w:val="single" w:sz="2" w:space="0" w:color="D9D9E3"/>
                                <w:bottom w:val="single" w:sz="2" w:space="0" w:color="D9D9E3"/>
                                <w:right w:val="single" w:sz="2" w:space="0" w:color="D9D9E3"/>
                              </w:divBdr>
                              <w:divsChild>
                                <w:div w:id="1656757269">
                                  <w:marLeft w:val="0"/>
                                  <w:marRight w:val="0"/>
                                  <w:marTop w:val="0"/>
                                  <w:marBottom w:val="0"/>
                                  <w:divBdr>
                                    <w:top w:val="single" w:sz="2" w:space="0" w:color="D9D9E3"/>
                                    <w:left w:val="single" w:sz="2" w:space="0" w:color="D9D9E3"/>
                                    <w:bottom w:val="single" w:sz="2" w:space="0" w:color="D9D9E3"/>
                                    <w:right w:val="single" w:sz="2" w:space="0" w:color="D9D9E3"/>
                                  </w:divBdr>
                                  <w:divsChild>
                                    <w:div w:id="1076246711">
                                      <w:marLeft w:val="0"/>
                                      <w:marRight w:val="0"/>
                                      <w:marTop w:val="0"/>
                                      <w:marBottom w:val="0"/>
                                      <w:divBdr>
                                        <w:top w:val="single" w:sz="2" w:space="0" w:color="D9D9E3"/>
                                        <w:left w:val="single" w:sz="2" w:space="0" w:color="D9D9E3"/>
                                        <w:bottom w:val="single" w:sz="2" w:space="0" w:color="D9D9E3"/>
                                        <w:right w:val="single" w:sz="2" w:space="0" w:color="D9D9E3"/>
                                      </w:divBdr>
                                      <w:divsChild>
                                        <w:div w:id="945236306">
                                          <w:marLeft w:val="0"/>
                                          <w:marRight w:val="0"/>
                                          <w:marTop w:val="0"/>
                                          <w:marBottom w:val="0"/>
                                          <w:divBdr>
                                            <w:top w:val="single" w:sz="2" w:space="0" w:color="D9D9E3"/>
                                            <w:left w:val="single" w:sz="2" w:space="0" w:color="D9D9E3"/>
                                            <w:bottom w:val="single" w:sz="2" w:space="0" w:color="D9D9E3"/>
                                            <w:right w:val="single" w:sz="2" w:space="0" w:color="D9D9E3"/>
                                          </w:divBdr>
                                          <w:divsChild>
                                            <w:div w:id="1743214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29500902">
      <w:bodyDiv w:val="1"/>
      <w:marLeft w:val="0"/>
      <w:marRight w:val="0"/>
      <w:marTop w:val="0"/>
      <w:marBottom w:val="0"/>
      <w:divBdr>
        <w:top w:val="none" w:sz="0" w:space="0" w:color="auto"/>
        <w:left w:val="none" w:sz="0" w:space="0" w:color="auto"/>
        <w:bottom w:val="none" w:sz="0" w:space="0" w:color="auto"/>
        <w:right w:val="none" w:sz="0" w:space="0" w:color="auto"/>
      </w:divBdr>
      <w:divsChild>
        <w:div w:id="1929001738">
          <w:marLeft w:val="547"/>
          <w:marRight w:val="0"/>
          <w:marTop w:val="0"/>
          <w:marBottom w:val="0"/>
          <w:divBdr>
            <w:top w:val="none" w:sz="0" w:space="0" w:color="auto"/>
            <w:left w:val="none" w:sz="0" w:space="0" w:color="auto"/>
            <w:bottom w:val="none" w:sz="0" w:space="0" w:color="auto"/>
            <w:right w:val="none" w:sz="0" w:space="0" w:color="auto"/>
          </w:divBdr>
        </w:div>
      </w:divsChild>
    </w:div>
    <w:div w:id="1433431617">
      <w:bodyDiv w:val="1"/>
      <w:marLeft w:val="0"/>
      <w:marRight w:val="0"/>
      <w:marTop w:val="0"/>
      <w:marBottom w:val="0"/>
      <w:divBdr>
        <w:top w:val="none" w:sz="0" w:space="0" w:color="auto"/>
        <w:left w:val="none" w:sz="0" w:space="0" w:color="auto"/>
        <w:bottom w:val="none" w:sz="0" w:space="0" w:color="auto"/>
        <w:right w:val="none" w:sz="0" w:space="0" w:color="auto"/>
      </w:divBdr>
    </w:div>
    <w:div w:id="1442989038">
      <w:bodyDiv w:val="1"/>
      <w:marLeft w:val="0"/>
      <w:marRight w:val="0"/>
      <w:marTop w:val="0"/>
      <w:marBottom w:val="0"/>
      <w:divBdr>
        <w:top w:val="none" w:sz="0" w:space="0" w:color="auto"/>
        <w:left w:val="none" w:sz="0" w:space="0" w:color="auto"/>
        <w:bottom w:val="none" w:sz="0" w:space="0" w:color="auto"/>
        <w:right w:val="none" w:sz="0" w:space="0" w:color="auto"/>
      </w:divBdr>
      <w:divsChild>
        <w:div w:id="1012608289">
          <w:marLeft w:val="0"/>
          <w:marRight w:val="0"/>
          <w:marTop w:val="0"/>
          <w:marBottom w:val="0"/>
          <w:divBdr>
            <w:top w:val="none" w:sz="0" w:space="0" w:color="auto"/>
            <w:left w:val="none" w:sz="0" w:space="0" w:color="auto"/>
            <w:bottom w:val="none" w:sz="0" w:space="0" w:color="auto"/>
            <w:right w:val="none" w:sz="0" w:space="0" w:color="auto"/>
          </w:divBdr>
          <w:divsChild>
            <w:div w:id="830632803">
              <w:marLeft w:val="0"/>
              <w:marRight w:val="0"/>
              <w:marTop w:val="0"/>
              <w:marBottom w:val="0"/>
              <w:divBdr>
                <w:top w:val="single" w:sz="2" w:space="0" w:color="D9D9E3"/>
                <w:left w:val="single" w:sz="2" w:space="0" w:color="D9D9E3"/>
                <w:bottom w:val="single" w:sz="2" w:space="0" w:color="D9D9E3"/>
                <w:right w:val="single" w:sz="2" w:space="0" w:color="D9D9E3"/>
              </w:divBdr>
              <w:divsChild>
                <w:div w:id="358555638">
                  <w:marLeft w:val="0"/>
                  <w:marRight w:val="0"/>
                  <w:marTop w:val="0"/>
                  <w:marBottom w:val="0"/>
                  <w:divBdr>
                    <w:top w:val="single" w:sz="2" w:space="0" w:color="D9D9E3"/>
                    <w:left w:val="single" w:sz="2" w:space="0" w:color="D9D9E3"/>
                    <w:bottom w:val="single" w:sz="2" w:space="0" w:color="D9D9E3"/>
                    <w:right w:val="single" w:sz="2" w:space="0" w:color="D9D9E3"/>
                  </w:divBdr>
                  <w:divsChild>
                    <w:div w:id="1688100397">
                      <w:marLeft w:val="0"/>
                      <w:marRight w:val="0"/>
                      <w:marTop w:val="0"/>
                      <w:marBottom w:val="0"/>
                      <w:divBdr>
                        <w:top w:val="single" w:sz="2" w:space="0" w:color="D9D9E3"/>
                        <w:left w:val="single" w:sz="2" w:space="0" w:color="D9D9E3"/>
                        <w:bottom w:val="single" w:sz="2" w:space="0" w:color="D9D9E3"/>
                        <w:right w:val="single" w:sz="2" w:space="0" w:color="D9D9E3"/>
                      </w:divBdr>
                      <w:divsChild>
                        <w:div w:id="1537354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7645712">
          <w:marLeft w:val="0"/>
          <w:marRight w:val="0"/>
          <w:marTop w:val="0"/>
          <w:marBottom w:val="0"/>
          <w:divBdr>
            <w:top w:val="single" w:sz="2" w:space="0" w:color="D9D9E3"/>
            <w:left w:val="single" w:sz="2" w:space="0" w:color="D9D9E3"/>
            <w:bottom w:val="single" w:sz="2" w:space="0" w:color="D9D9E3"/>
            <w:right w:val="single" w:sz="2" w:space="0" w:color="D9D9E3"/>
          </w:divBdr>
          <w:divsChild>
            <w:div w:id="1321041364">
              <w:marLeft w:val="0"/>
              <w:marRight w:val="0"/>
              <w:marTop w:val="0"/>
              <w:marBottom w:val="0"/>
              <w:divBdr>
                <w:top w:val="single" w:sz="2" w:space="0" w:color="D9D9E3"/>
                <w:left w:val="single" w:sz="2" w:space="0" w:color="D9D9E3"/>
                <w:bottom w:val="single" w:sz="2" w:space="0" w:color="D9D9E3"/>
                <w:right w:val="single" w:sz="2" w:space="0" w:color="D9D9E3"/>
              </w:divBdr>
              <w:divsChild>
                <w:div w:id="1166166927">
                  <w:marLeft w:val="0"/>
                  <w:marRight w:val="0"/>
                  <w:marTop w:val="0"/>
                  <w:marBottom w:val="0"/>
                  <w:divBdr>
                    <w:top w:val="single" w:sz="2" w:space="0" w:color="D9D9E3"/>
                    <w:left w:val="single" w:sz="2" w:space="0" w:color="D9D9E3"/>
                    <w:bottom w:val="single" w:sz="2" w:space="0" w:color="D9D9E3"/>
                    <w:right w:val="single" w:sz="2" w:space="0" w:color="D9D9E3"/>
                  </w:divBdr>
                  <w:divsChild>
                    <w:div w:id="747574459">
                      <w:marLeft w:val="0"/>
                      <w:marRight w:val="0"/>
                      <w:marTop w:val="0"/>
                      <w:marBottom w:val="0"/>
                      <w:divBdr>
                        <w:top w:val="single" w:sz="2" w:space="0" w:color="D9D9E3"/>
                        <w:left w:val="single" w:sz="2" w:space="0" w:color="D9D9E3"/>
                        <w:bottom w:val="single" w:sz="2" w:space="0" w:color="D9D9E3"/>
                        <w:right w:val="single" w:sz="2" w:space="0" w:color="D9D9E3"/>
                      </w:divBdr>
                      <w:divsChild>
                        <w:div w:id="875389443">
                          <w:marLeft w:val="0"/>
                          <w:marRight w:val="0"/>
                          <w:marTop w:val="0"/>
                          <w:marBottom w:val="0"/>
                          <w:divBdr>
                            <w:top w:val="single" w:sz="2" w:space="0" w:color="auto"/>
                            <w:left w:val="single" w:sz="2" w:space="0" w:color="auto"/>
                            <w:bottom w:val="single" w:sz="6" w:space="0" w:color="auto"/>
                            <w:right w:val="single" w:sz="2" w:space="0" w:color="auto"/>
                          </w:divBdr>
                          <w:divsChild>
                            <w:div w:id="354429506">
                              <w:marLeft w:val="0"/>
                              <w:marRight w:val="0"/>
                              <w:marTop w:val="100"/>
                              <w:marBottom w:val="100"/>
                              <w:divBdr>
                                <w:top w:val="single" w:sz="2" w:space="0" w:color="D9D9E3"/>
                                <w:left w:val="single" w:sz="2" w:space="0" w:color="D9D9E3"/>
                                <w:bottom w:val="single" w:sz="2" w:space="0" w:color="D9D9E3"/>
                                <w:right w:val="single" w:sz="2" w:space="0" w:color="D9D9E3"/>
                              </w:divBdr>
                              <w:divsChild>
                                <w:div w:id="1510871449">
                                  <w:marLeft w:val="0"/>
                                  <w:marRight w:val="0"/>
                                  <w:marTop w:val="0"/>
                                  <w:marBottom w:val="0"/>
                                  <w:divBdr>
                                    <w:top w:val="single" w:sz="2" w:space="0" w:color="D9D9E3"/>
                                    <w:left w:val="single" w:sz="2" w:space="0" w:color="D9D9E3"/>
                                    <w:bottom w:val="single" w:sz="2" w:space="0" w:color="D9D9E3"/>
                                    <w:right w:val="single" w:sz="2" w:space="0" w:color="D9D9E3"/>
                                  </w:divBdr>
                                  <w:divsChild>
                                    <w:div w:id="412359557">
                                      <w:marLeft w:val="0"/>
                                      <w:marRight w:val="0"/>
                                      <w:marTop w:val="0"/>
                                      <w:marBottom w:val="0"/>
                                      <w:divBdr>
                                        <w:top w:val="single" w:sz="2" w:space="0" w:color="D9D9E3"/>
                                        <w:left w:val="single" w:sz="2" w:space="0" w:color="D9D9E3"/>
                                        <w:bottom w:val="single" w:sz="2" w:space="0" w:color="D9D9E3"/>
                                        <w:right w:val="single" w:sz="2" w:space="0" w:color="D9D9E3"/>
                                      </w:divBdr>
                                      <w:divsChild>
                                        <w:div w:id="1275794160">
                                          <w:marLeft w:val="0"/>
                                          <w:marRight w:val="0"/>
                                          <w:marTop w:val="0"/>
                                          <w:marBottom w:val="0"/>
                                          <w:divBdr>
                                            <w:top w:val="single" w:sz="2" w:space="0" w:color="D9D9E3"/>
                                            <w:left w:val="single" w:sz="2" w:space="0" w:color="D9D9E3"/>
                                            <w:bottom w:val="single" w:sz="2" w:space="0" w:color="D9D9E3"/>
                                            <w:right w:val="single" w:sz="2" w:space="0" w:color="D9D9E3"/>
                                          </w:divBdr>
                                          <w:divsChild>
                                            <w:div w:id="73865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48311477">
      <w:bodyDiv w:val="1"/>
      <w:marLeft w:val="0"/>
      <w:marRight w:val="0"/>
      <w:marTop w:val="0"/>
      <w:marBottom w:val="0"/>
      <w:divBdr>
        <w:top w:val="none" w:sz="0" w:space="0" w:color="auto"/>
        <w:left w:val="none" w:sz="0" w:space="0" w:color="auto"/>
        <w:bottom w:val="none" w:sz="0" w:space="0" w:color="auto"/>
        <w:right w:val="none" w:sz="0" w:space="0" w:color="auto"/>
      </w:divBdr>
      <w:divsChild>
        <w:div w:id="448860032">
          <w:marLeft w:val="0"/>
          <w:marRight w:val="0"/>
          <w:marTop w:val="0"/>
          <w:marBottom w:val="0"/>
          <w:divBdr>
            <w:top w:val="single" w:sz="2" w:space="0" w:color="D9D9E3"/>
            <w:left w:val="single" w:sz="2" w:space="0" w:color="D9D9E3"/>
            <w:bottom w:val="single" w:sz="2" w:space="0" w:color="D9D9E3"/>
            <w:right w:val="single" w:sz="2" w:space="0" w:color="D9D9E3"/>
          </w:divBdr>
          <w:divsChild>
            <w:div w:id="1051032168">
              <w:marLeft w:val="0"/>
              <w:marRight w:val="0"/>
              <w:marTop w:val="0"/>
              <w:marBottom w:val="0"/>
              <w:divBdr>
                <w:top w:val="single" w:sz="2" w:space="0" w:color="D9D9E3"/>
                <w:left w:val="single" w:sz="2" w:space="0" w:color="D9D9E3"/>
                <w:bottom w:val="single" w:sz="2" w:space="0" w:color="D9D9E3"/>
                <w:right w:val="single" w:sz="2" w:space="0" w:color="D9D9E3"/>
              </w:divBdr>
              <w:divsChild>
                <w:div w:id="433014203">
                  <w:marLeft w:val="0"/>
                  <w:marRight w:val="0"/>
                  <w:marTop w:val="0"/>
                  <w:marBottom w:val="0"/>
                  <w:divBdr>
                    <w:top w:val="single" w:sz="2" w:space="0" w:color="D9D9E3"/>
                    <w:left w:val="single" w:sz="2" w:space="0" w:color="D9D9E3"/>
                    <w:bottom w:val="single" w:sz="2" w:space="0" w:color="D9D9E3"/>
                    <w:right w:val="single" w:sz="2" w:space="0" w:color="D9D9E3"/>
                  </w:divBdr>
                  <w:divsChild>
                    <w:div w:id="445394521">
                      <w:marLeft w:val="0"/>
                      <w:marRight w:val="0"/>
                      <w:marTop w:val="0"/>
                      <w:marBottom w:val="0"/>
                      <w:divBdr>
                        <w:top w:val="single" w:sz="2" w:space="0" w:color="D9D9E3"/>
                        <w:left w:val="single" w:sz="2" w:space="0" w:color="D9D9E3"/>
                        <w:bottom w:val="single" w:sz="2" w:space="0" w:color="D9D9E3"/>
                        <w:right w:val="single" w:sz="2" w:space="0" w:color="D9D9E3"/>
                      </w:divBdr>
                      <w:divsChild>
                        <w:div w:id="1802334717">
                          <w:marLeft w:val="0"/>
                          <w:marRight w:val="0"/>
                          <w:marTop w:val="0"/>
                          <w:marBottom w:val="0"/>
                          <w:divBdr>
                            <w:top w:val="single" w:sz="2" w:space="0" w:color="auto"/>
                            <w:left w:val="single" w:sz="2" w:space="0" w:color="auto"/>
                            <w:bottom w:val="single" w:sz="6" w:space="0" w:color="auto"/>
                            <w:right w:val="single" w:sz="2" w:space="0" w:color="auto"/>
                          </w:divBdr>
                          <w:divsChild>
                            <w:div w:id="1062488716">
                              <w:marLeft w:val="0"/>
                              <w:marRight w:val="0"/>
                              <w:marTop w:val="100"/>
                              <w:marBottom w:val="100"/>
                              <w:divBdr>
                                <w:top w:val="single" w:sz="2" w:space="0" w:color="D9D9E3"/>
                                <w:left w:val="single" w:sz="2" w:space="0" w:color="D9D9E3"/>
                                <w:bottom w:val="single" w:sz="2" w:space="0" w:color="D9D9E3"/>
                                <w:right w:val="single" w:sz="2" w:space="0" w:color="D9D9E3"/>
                              </w:divBdr>
                              <w:divsChild>
                                <w:div w:id="1526753753">
                                  <w:marLeft w:val="0"/>
                                  <w:marRight w:val="0"/>
                                  <w:marTop w:val="0"/>
                                  <w:marBottom w:val="0"/>
                                  <w:divBdr>
                                    <w:top w:val="single" w:sz="2" w:space="0" w:color="D9D9E3"/>
                                    <w:left w:val="single" w:sz="2" w:space="0" w:color="D9D9E3"/>
                                    <w:bottom w:val="single" w:sz="2" w:space="0" w:color="D9D9E3"/>
                                    <w:right w:val="single" w:sz="2" w:space="0" w:color="D9D9E3"/>
                                  </w:divBdr>
                                  <w:divsChild>
                                    <w:div w:id="1116827481">
                                      <w:marLeft w:val="0"/>
                                      <w:marRight w:val="0"/>
                                      <w:marTop w:val="0"/>
                                      <w:marBottom w:val="0"/>
                                      <w:divBdr>
                                        <w:top w:val="single" w:sz="2" w:space="0" w:color="D9D9E3"/>
                                        <w:left w:val="single" w:sz="2" w:space="0" w:color="D9D9E3"/>
                                        <w:bottom w:val="single" w:sz="2" w:space="0" w:color="D9D9E3"/>
                                        <w:right w:val="single" w:sz="2" w:space="0" w:color="D9D9E3"/>
                                      </w:divBdr>
                                      <w:divsChild>
                                        <w:div w:id="1227112037">
                                          <w:marLeft w:val="0"/>
                                          <w:marRight w:val="0"/>
                                          <w:marTop w:val="0"/>
                                          <w:marBottom w:val="0"/>
                                          <w:divBdr>
                                            <w:top w:val="single" w:sz="2" w:space="0" w:color="D9D9E3"/>
                                            <w:left w:val="single" w:sz="2" w:space="0" w:color="D9D9E3"/>
                                            <w:bottom w:val="single" w:sz="2" w:space="0" w:color="D9D9E3"/>
                                            <w:right w:val="single" w:sz="2" w:space="0" w:color="D9D9E3"/>
                                          </w:divBdr>
                                          <w:divsChild>
                                            <w:div w:id="247423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14001003">
          <w:marLeft w:val="0"/>
          <w:marRight w:val="0"/>
          <w:marTop w:val="0"/>
          <w:marBottom w:val="0"/>
          <w:divBdr>
            <w:top w:val="none" w:sz="0" w:space="0" w:color="auto"/>
            <w:left w:val="none" w:sz="0" w:space="0" w:color="auto"/>
            <w:bottom w:val="none" w:sz="0" w:space="0" w:color="auto"/>
            <w:right w:val="none" w:sz="0" w:space="0" w:color="auto"/>
          </w:divBdr>
        </w:div>
      </w:divsChild>
    </w:div>
    <w:div w:id="1449155991">
      <w:bodyDiv w:val="1"/>
      <w:marLeft w:val="0"/>
      <w:marRight w:val="0"/>
      <w:marTop w:val="0"/>
      <w:marBottom w:val="0"/>
      <w:divBdr>
        <w:top w:val="none" w:sz="0" w:space="0" w:color="auto"/>
        <w:left w:val="none" w:sz="0" w:space="0" w:color="auto"/>
        <w:bottom w:val="none" w:sz="0" w:space="0" w:color="auto"/>
        <w:right w:val="none" w:sz="0" w:space="0" w:color="auto"/>
      </w:divBdr>
    </w:div>
    <w:div w:id="1476146543">
      <w:bodyDiv w:val="1"/>
      <w:marLeft w:val="0"/>
      <w:marRight w:val="0"/>
      <w:marTop w:val="0"/>
      <w:marBottom w:val="0"/>
      <w:divBdr>
        <w:top w:val="none" w:sz="0" w:space="0" w:color="auto"/>
        <w:left w:val="none" w:sz="0" w:space="0" w:color="auto"/>
        <w:bottom w:val="none" w:sz="0" w:space="0" w:color="auto"/>
        <w:right w:val="none" w:sz="0" w:space="0" w:color="auto"/>
      </w:divBdr>
    </w:div>
    <w:div w:id="1493839990">
      <w:bodyDiv w:val="1"/>
      <w:marLeft w:val="0"/>
      <w:marRight w:val="0"/>
      <w:marTop w:val="0"/>
      <w:marBottom w:val="0"/>
      <w:divBdr>
        <w:top w:val="none" w:sz="0" w:space="0" w:color="auto"/>
        <w:left w:val="none" w:sz="0" w:space="0" w:color="auto"/>
        <w:bottom w:val="none" w:sz="0" w:space="0" w:color="auto"/>
        <w:right w:val="none" w:sz="0" w:space="0" w:color="auto"/>
      </w:divBdr>
    </w:div>
    <w:div w:id="1498812928">
      <w:bodyDiv w:val="1"/>
      <w:marLeft w:val="0"/>
      <w:marRight w:val="0"/>
      <w:marTop w:val="0"/>
      <w:marBottom w:val="0"/>
      <w:divBdr>
        <w:top w:val="none" w:sz="0" w:space="0" w:color="auto"/>
        <w:left w:val="none" w:sz="0" w:space="0" w:color="auto"/>
        <w:bottom w:val="none" w:sz="0" w:space="0" w:color="auto"/>
        <w:right w:val="none" w:sz="0" w:space="0" w:color="auto"/>
      </w:divBdr>
    </w:div>
    <w:div w:id="1514879069">
      <w:bodyDiv w:val="1"/>
      <w:marLeft w:val="0"/>
      <w:marRight w:val="0"/>
      <w:marTop w:val="0"/>
      <w:marBottom w:val="0"/>
      <w:divBdr>
        <w:top w:val="none" w:sz="0" w:space="0" w:color="auto"/>
        <w:left w:val="none" w:sz="0" w:space="0" w:color="auto"/>
        <w:bottom w:val="none" w:sz="0" w:space="0" w:color="auto"/>
        <w:right w:val="none" w:sz="0" w:space="0" w:color="auto"/>
      </w:divBdr>
    </w:div>
    <w:div w:id="1536850527">
      <w:bodyDiv w:val="1"/>
      <w:marLeft w:val="0"/>
      <w:marRight w:val="0"/>
      <w:marTop w:val="0"/>
      <w:marBottom w:val="0"/>
      <w:divBdr>
        <w:top w:val="none" w:sz="0" w:space="0" w:color="auto"/>
        <w:left w:val="none" w:sz="0" w:space="0" w:color="auto"/>
        <w:bottom w:val="none" w:sz="0" w:space="0" w:color="auto"/>
        <w:right w:val="none" w:sz="0" w:space="0" w:color="auto"/>
      </w:divBdr>
    </w:div>
    <w:div w:id="1577322511">
      <w:bodyDiv w:val="1"/>
      <w:marLeft w:val="0"/>
      <w:marRight w:val="0"/>
      <w:marTop w:val="0"/>
      <w:marBottom w:val="0"/>
      <w:divBdr>
        <w:top w:val="none" w:sz="0" w:space="0" w:color="auto"/>
        <w:left w:val="none" w:sz="0" w:space="0" w:color="auto"/>
        <w:bottom w:val="none" w:sz="0" w:space="0" w:color="auto"/>
        <w:right w:val="none" w:sz="0" w:space="0" w:color="auto"/>
      </w:divBdr>
      <w:divsChild>
        <w:div w:id="1573391935">
          <w:marLeft w:val="0"/>
          <w:marRight w:val="0"/>
          <w:marTop w:val="0"/>
          <w:marBottom w:val="0"/>
          <w:divBdr>
            <w:top w:val="single" w:sz="2" w:space="0" w:color="D9D9E3"/>
            <w:left w:val="single" w:sz="2" w:space="0" w:color="D9D9E3"/>
            <w:bottom w:val="single" w:sz="2" w:space="0" w:color="D9D9E3"/>
            <w:right w:val="single" w:sz="2" w:space="0" w:color="D9D9E3"/>
          </w:divBdr>
          <w:divsChild>
            <w:div w:id="451171163">
              <w:marLeft w:val="0"/>
              <w:marRight w:val="0"/>
              <w:marTop w:val="0"/>
              <w:marBottom w:val="0"/>
              <w:divBdr>
                <w:top w:val="single" w:sz="2" w:space="0" w:color="D9D9E3"/>
                <w:left w:val="single" w:sz="2" w:space="0" w:color="D9D9E3"/>
                <w:bottom w:val="single" w:sz="2" w:space="0" w:color="D9D9E3"/>
                <w:right w:val="single" w:sz="2" w:space="0" w:color="D9D9E3"/>
              </w:divBdr>
              <w:divsChild>
                <w:div w:id="1778675857">
                  <w:marLeft w:val="0"/>
                  <w:marRight w:val="0"/>
                  <w:marTop w:val="0"/>
                  <w:marBottom w:val="0"/>
                  <w:divBdr>
                    <w:top w:val="single" w:sz="2" w:space="0" w:color="D9D9E3"/>
                    <w:left w:val="single" w:sz="2" w:space="0" w:color="D9D9E3"/>
                    <w:bottom w:val="single" w:sz="2" w:space="0" w:color="D9D9E3"/>
                    <w:right w:val="single" w:sz="2" w:space="0" w:color="D9D9E3"/>
                  </w:divBdr>
                  <w:divsChild>
                    <w:div w:id="1619143305">
                      <w:marLeft w:val="0"/>
                      <w:marRight w:val="0"/>
                      <w:marTop w:val="0"/>
                      <w:marBottom w:val="0"/>
                      <w:divBdr>
                        <w:top w:val="single" w:sz="2" w:space="0" w:color="D9D9E3"/>
                        <w:left w:val="single" w:sz="2" w:space="0" w:color="D9D9E3"/>
                        <w:bottom w:val="single" w:sz="2" w:space="0" w:color="D9D9E3"/>
                        <w:right w:val="single" w:sz="2" w:space="0" w:color="D9D9E3"/>
                      </w:divBdr>
                      <w:divsChild>
                        <w:div w:id="480735970">
                          <w:marLeft w:val="0"/>
                          <w:marRight w:val="0"/>
                          <w:marTop w:val="0"/>
                          <w:marBottom w:val="0"/>
                          <w:divBdr>
                            <w:top w:val="single" w:sz="2" w:space="0" w:color="auto"/>
                            <w:left w:val="single" w:sz="2" w:space="0" w:color="auto"/>
                            <w:bottom w:val="single" w:sz="6" w:space="0" w:color="auto"/>
                            <w:right w:val="single" w:sz="2" w:space="0" w:color="auto"/>
                          </w:divBdr>
                          <w:divsChild>
                            <w:div w:id="72509144">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431791">
                                  <w:marLeft w:val="0"/>
                                  <w:marRight w:val="0"/>
                                  <w:marTop w:val="0"/>
                                  <w:marBottom w:val="0"/>
                                  <w:divBdr>
                                    <w:top w:val="single" w:sz="2" w:space="0" w:color="D9D9E3"/>
                                    <w:left w:val="single" w:sz="2" w:space="0" w:color="D9D9E3"/>
                                    <w:bottom w:val="single" w:sz="2" w:space="0" w:color="D9D9E3"/>
                                    <w:right w:val="single" w:sz="2" w:space="0" w:color="D9D9E3"/>
                                  </w:divBdr>
                                  <w:divsChild>
                                    <w:div w:id="446660372">
                                      <w:marLeft w:val="0"/>
                                      <w:marRight w:val="0"/>
                                      <w:marTop w:val="0"/>
                                      <w:marBottom w:val="0"/>
                                      <w:divBdr>
                                        <w:top w:val="single" w:sz="2" w:space="0" w:color="D9D9E3"/>
                                        <w:left w:val="single" w:sz="2" w:space="0" w:color="D9D9E3"/>
                                        <w:bottom w:val="single" w:sz="2" w:space="0" w:color="D9D9E3"/>
                                        <w:right w:val="single" w:sz="2" w:space="0" w:color="D9D9E3"/>
                                      </w:divBdr>
                                      <w:divsChild>
                                        <w:div w:id="1747150586">
                                          <w:marLeft w:val="0"/>
                                          <w:marRight w:val="0"/>
                                          <w:marTop w:val="0"/>
                                          <w:marBottom w:val="0"/>
                                          <w:divBdr>
                                            <w:top w:val="single" w:sz="2" w:space="0" w:color="D9D9E3"/>
                                            <w:left w:val="single" w:sz="2" w:space="0" w:color="D9D9E3"/>
                                            <w:bottom w:val="single" w:sz="2" w:space="0" w:color="D9D9E3"/>
                                            <w:right w:val="single" w:sz="2" w:space="0" w:color="D9D9E3"/>
                                          </w:divBdr>
                                          <w:divsChild>
                                            <w:div w:id="1409305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01163400">
          <w:marLeft w:val="0"/>
          <w:marRight w:val="0"/>
          <w:marTop w:val="0"/>
          <w:marBottom w:val="0"/>
          <w:divBdr>
            <w:top w:val="none" w:sz="0" w:space="0" w:color="auto"/>
            <w:left w:val="none" w:sz="0" w:space="0" w:color="auto"/>
            <w:bottom w:val="none" w:sz="0" w:space="0" w:color="auto"/>
            <w:right w:val="none" w:sz="0" w:space="0" w:color="auto"/>
          </w:divBdr>
          <w:divsChild>
            <w:div w:id="2114473989">
              <w:marLeft w:val="0"/>
              <w:marRight w:val="0"/>
              <w:marTop w:val="0"/>
              <w:marBottom w:val="0"/>
              <w:divBdr>
                <w:top w:val="single" w:sz="2" w:space="0" w:color="D9D9E3"/>
                <w:left w:val="single" w:sz="2" w:space="0" w:color="D9D9E3"/>
                <w:bottom w:val="single" w:sz="2" w:space="0" w:color="D9D9E3"/>
                <w:right w:val="single" w:sz="2" w:space="0" w:color="D9D9E3"/>
              </w:divBdr>
              <w:divsChild>
                <w:div w:id="1201557236">
                  <w:marLeft w:val="0"/>
                  <w:marRight w:val="0"/>
                  <w:marTop w:val="0"/>
                  <w:marBottom w:val="0"/>
                  <w:divBdr>
                    <w:top w:val="single" w:sz="2" w:space="0" w:color="D9D9E3"/>
                    <w:left w:val="single" w:sz="2" w:space="0" w:color="D9D9E3"/>
                    <w:bottom w:val="single" w:sz="2" w:space="0" w:color="D9D9E3"/>
                    <w:right w:val="single" w:sz="2" w:space="0" w:color="D9D9E3"/>
                  </w:divBdr>
                  <w:divsChild>
                    <w:div w:id="2064135093">
                      <w:marLeft w:val="0"/>
                      <w:marRight w:val="0"/>
                      <w:marTop w:val="0"/>
                      <w:marBottom w:val="0"/>
                      <w:divBdr>
                        <w:top w:val="single" w:sz="2" w:space="0" w:color="D9D9E3"/>
                        <w:left w:val="single" w:sz="2" w:space="0" w:color="D9D9E3"/>
                        <w:bottom w:val="single" w:sz="2" w:space="0" w:color="D9D9E3"/>
                        <w:right w:val="single" w:sz="2" w:space="0" w:color="D9D9E3"/>
                      </w:divBdr>
                      <w:divsChild>
                        <w:div w:id="177626872">
                          <w:marLeft w:val="0"/>
                          <w:marRight w:val="0"/>
                          <w:marTop w:val="0"/>
                          <w:marBottom w:val="0"/>
                          <w:divBdr>
                            <w:top w:val="single" w:sz="2" w:space="0" w:color="D9D9E3"/>
                            <w:left w:val="single" w:sz="2" w:space="0" w:color="D9D9E3"/>
                            <w:bottom w:val="single" w:sz="2" w:space="0" w:color="D9D9E3"/>
                            <w:right w:val="single" w:sz="2" w:space="0" w:color="D9D9E3"/>
                          </w:divBdr>
                          <w:divsChild>
                            <w:div w:id="1638219654">
                              <w:marLeft w:val="0"/>
                              <w:marRight w:val="0"/>
                              <w:marTop w:val="0"/>
                              <w:marBottom w:val="0"/>
                              <w:divBdr>
                                <w:top w:val="single" w:sz="2" w:space="0" w:color="D9D9E3"/>
                                <w:left w:val="single" w:sz="2" w:space="0" w:color="D9D9E3"/>
                                <w:bottom w:val="single" w:sz="2" w:space="0" w:color="D9D9E3"/>
                                <w:right w:val="single" w:sz="2" w:space="0" w:color="D9D9E3"/>
                              </w:divBdr>
                              <w:divsChild>
                                <w:div w:id="554119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77861882">
      <w:bodyDiv w:val="1"/>
      <w:marLeft w:val="0"/>
      <w:marRight w:val="0"/>
      <w:marTop w:val="0"/>
      <w:marBottom w:val="0"/>
      <w:divBdr>
        <w:top w:val="none" w:sz="0" w:space="0" w:color="auto"/>
        <w:left w:val="none" w:sz="0" w:space="0" w:color="auto"/>
        <w:bottom w:val="none" w:sz="0" w:space="0" w:color="auto"/>
        <w:right w:val="none" w:sz="0" w:space="0" w:color="auto"/>
      </w:divBdr>
      <w:divsChild>
        <w:div w:id="1614480697">
          <w:marLeft w:val="0"/>
          <w:marRight w:val="0"/>
          <w:marTop w:val="0"/>
          <w:marBottom w:val="0"/>
          <w:divBdr>
            <w:top w:val="none" w:sz="0" w:space="0" w:color="auto"/>
            <w:left w:val="none" w:sz="0" w:space="0" w:color="auto"/>
            <w:bottom w:val="none" w:sz="0" w:space="0" w:color="auto"/>
            <w:right w:val="none" w:sz="0" w:space="0" w:color="auto"/>
          </w:divBdr>
          <w:divsChild>
            <w:div w:id="990602653">
              <w:marLeft w:val="0"/>
              <w:marRight w:val="0"/>
              <w:marTop w:val="0"/>
              <w:marBottom w:val="0"/>
              <w:divBdr>
                <w:top w:val="single" w:sz="2" w:space="0" w:color="D9D9E3"/>
                <w:left w:val="single" w:sz="2" w:space="0" w:color="D9D9E3"/>
                <w:bottom w:val="single" w:sz="2" w:space="0" w:color="D9D9E3"/>
                <w:right w:val="single" w:sz="2" w:space="0" w:color="D9D9E3"/>
              </w:divBdr>
              <w:divsChild>
                <w:div w:id="1686244454">
                  <w:marLeft w:val="0"/>
                  <w:marRight w:val="0"/>
                  <w:marTop w:val="0"/>
                  <w:marBottom w:val="0"/>
                  <w:divBdr>
                    <w:top w:val="single" w:sz="2" w:space="0" w:color="D9D9E3"/>
                    <w:left w:val="single" w:sz="2" w:space="0" w:color="D9D9E3"/>
                    <w:bottom w:val="single" w:sz="2" w:space="0" w:color="D9D9E3"/>
                    <w:right w:val="single" w:sz="2" w:space="0" w:color="D9D9E3"/>
                  </w:divBdr>
                  <w:divsChild>
                    <w:div w:id="41903410">
                      <w:marLeft w:val="0"/>
                      <w:marRight w:val="0"/>
                      <w:marTop w:val="0"/>
                      <w:marBottom w:val="0"/>
                      <w:divBdr>
                        <w:top w:val="single" w:sz="2" w:space="0" w:color="D9D9E3"/>
                        <w:left w:val="single" w:sz="2" w:space="0" w:color="D9D9E3"/>
                        <w:bottom w:val="single" w:sz="2" w:space="0" w:color="D9D9E3"/>
                        <w:right w:val="single" w:sz="2" w:space="0" w:color="D9D9E3"/>
                      </w:divBdr>
                      <w:divsChild>
                        <w:div w:id="360395469">
                          <w:marLeft w:val="0"/>
                          <w:marRight w:val="0"/>
                          <w:marTop w:val="0"/>
                          <w:marBottom w:val="0"/>
                          <w:divBdr>
                            <w:top w:val="single" w:sz="2" w:space="0" w:color="D9D9E3"/>
                            <w:left w:val="single" w:sz="2" w:space="0" w:color="D9D9E3"/>
                            <w:bottom w:val="single" w:sz="2" w:space="0" w:color="D9D9E3"/>
                            <w:right w:val="single" w:sz="2" w:space="0" w:color="D9D9E3"/>
                          </w:divBdr>
                          <w:divsChild>
                            <w:div w:id="1296788978">
                              <w:marLeft w:val="0"/>
                              <w:marRight w:val="0"/>
                              <w:marTop w:val="0"/>
                              <w:marBottom w:val="0"/>
                              <w:divBdr>
                                <w:top w:val="single" w:sz="2" w:space="0" w:color="D9D9E3"/>
                                <w:left w:val="single" w:sz="2" w:space="0" w:color="D9D9E3"/>
                                <w:bottom w:val="single" w:sz="2" w:space="0" w:color="D9D9E3"/>
                                <w:right w:val="single" w:sz="2" w:space="0" w:color="D9D9E3"/>
                              </w:divBdr>
                              <w:divsChild>
                                <w:div w:id="604845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15055967">
          <w:marLeft w:val="0"/>
          <w:marRight w:val="0"/>
          <w:marTop w:val="0"/>
          <w:marBottom w:val="0"/>
          <w:divBdr>
            <w:top w:val="single" w:sz="2" w:space="0" w:color="D9D9E3"/>
            <w:left w:val="single" w:sz="2" w:space="0" w:color="D9D9E3"/>
            <w:bottom w:val="single" w:sz="2" w:space="0" w:color="D9D9E3"/>
            <w:right w:val="single" w:sz="2" w:space="0" w:color="D9D9E3"/>
          </w:divBdr>
          <w:divsChild>
            <w:div w:id="1330599121">
              <w:marLeft w:val="0"/>
              <w:marRight w:val="0"/>
              <w:marTop w:val="0"/>
              <w:marBottom w:val="0"/>
              <w:divBdr>
                <w:top w:val="single" w:sz="2" w:space="0" w:color="D9D9E3"/>
                <w:left w:val="single" w:sz="2" w:space="0" w:color="D9D9E3"/>
                <w:bottom w:val="single" w:sz="2" w:space="0" w:color="D9D9E3"/>
                <w:right w:val="single" w:sz="2" w:space="0" w:color="D9D9E3"/>
              </w:divBdr>
              <w:divsChild>
                <w:div w:id="1948274165">
                  <w:marLeft w:val="0"/>
                  <w:marRight w:val="0"/>
                  <w:marTop w:val="0"/>
                  <w:marBottom w:val="0"/>
                  <w:divBdr>
                    <w:top w:val="single" w:sz="2" w:space="0" w:color="D9D9E3"/>
                    <w:left w:val="single" w:sz="2" w:space="0" w:color="D9D9E3"/>
                    <w:bottom w:val="single" w:sz="2" w:space="0" w:color="D9D9E3"/>
                    <w:right w:val="single" w:sz="2" w:space="0" w:color="D9D9E3"/>
                  </w:divBdr>
                  <w:divsChild>
                    <w:div w:id="947737826">
                      <w:marLeft w:val="0"/>
                      <w:marRight w:val="0"/>
                      <w:marTop w:val="0"/>
                      <w:marBottom w:val="0"/>
                      <w:divBdr>
                        <w:top w:val="single" w:sz="2" w:space="0" w:color="D9D9E3"/>
                        <w:left w:val="single" w:sz="2" w:space="0" w:color="D9D9E3"/>
                        <w:bottom w:val="single" w:sz="2" w:space="0" w:color="D9D9E3"/>
                        <w:right w:val="single" w:sz="2" w:space="0" w:color="D9D9E3"/>
                      </w:divBdr>
                      <w:divsChild>
                        <w:div w:id="2043823671">
                          <w:marLeft w:val="0"/>
                          <w:marRight w:val="0"/>
                          <w:marTop w:val="0"/>
                          <w:marBottom w:val="0"/>
                          <w:divBdr>
                            <w:top w:val="single" w:sz="2" w:space="0" w:color="auto"/>
                            <w:left w:val="single" w:sz="2" w:space="0" w:color="auto"/>
                            <w:bottom w:val="single" w:sz="6" w:space="0" w:color="auto"/>
                            <w:right w:val="single" w:sz="2" w:space="0" w:color="auto"/>
                          </w:divBdr>
                          <w:divsChild>
                            <w:div w:id="725253689">
                              <w:marLeft w:val="0"/>
                              <w:marRight w:val="0"/>
                              <w:marTop w:val="100"/>
                              <w:marBottom w:val="100"/>
                              <w:divBdr>
                                <w:top w:val="single" w:sz="2" w:space="0" w:color="D9D9E3"/>
                                <w:left w:val="single" w:sz="2" w:space="0" w:color="D9D9E3"/>
                                <w:bottom w:val="single" w:sz="2" w:space="0" w:color="D9D9E3"/>
                                <w:right w:val="single" w:sz="2" w:space="0" w:color="D9D9E3"/>
                              </w:divBdr>
                              <w:divsChild>
                                <w:div w:id="33124041">
                                  <w:marLeft w:val="0"/>
                                  <w:marRight w:val="0"/>
                                  <w:marTop w:val="0"/>
                                  <w:marBottom w:val="0"/>
                                  <w:divBdr>
                                    <w:top w:val="single" w:sz="2" w:space="0" w:color="D9D9E3"/>
                                    <w:left w:val="single" w:sz="2" w:space="0" w:color="D9D9E3"/>
                                    <w:bottom w:val="single" w:sz="2" w:space="0" w:color="D9D9E3"/>
                                    <w:right w:val="single" w:sz="2" w:space="0" w:color="D9D9E3"/>
                                  </w:divBdr>
                                  <w:divsChild>
                                    <w:div w:id="39256781">
                                      <w:marLeft w:val="0"/>
                                      <w:marRight w:val="0"/>
                                      <w:marTop w:val="0"/>
                                      <w:marBottom w:val="0"/>
                                      <w:divBdr>
                                        <w:top w:val="single" w:sz="2" w:space="0" w:color="D9D9E3"/>
                                        <w:left w:val="single" w:sz="2" w:space="0" w:color="D9D9E3"/>
                                        <w:bottom w:val="single" w:sz="2" w:space="0" w:color="D9D9E3"/>
                                        <w:right w:val="single" w:sz="2" w:space="0" w:color="D9D9E3"/>
                                      </w:divBdr>
                                      <w:divsChild>
                                        <w:div w:id="963341676">
                                          <w:marLeft w:val="0"/>
                                          <w:marRight w:val="0"/>
                                          <w:marTop w:val="0"/>
                                          <w:marBottom w:val="0"/>
                                          <w:divBdr>
                                            <w:top w:val="single" w:sz="2" w:space="0" w:color="D9D9E3"/>
                                            <w:left w:val="single" w:sz="2" w:space="0" w:color="D9D9E3"/>
                                            <w:bottom w:val="single" w:sz="2" w:space="0" w:color="D9D9E3"/>
                                            <w:right w:val="single" w:sz="2" w:space="0" w:color="D9D9E3"/>
                                          </w:divBdr>
                                          <w:divsChild>
                                            <w:div w:id="421801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81020909">
      <w:bodyDiv w:val="1"/>
      <w:marLeft w:val="0"/>
      <w:marRight w:val="0"/>
      <w:marTop w:val="0"/>
      <w:marBottom w:val="0"/>
      <w:divBdr>
        <w:top w:val="none" w:sz="0" w:space="0" w:color="auto"/>
        <w:left w:val="none" w:sz="0" w:space="0" w:color="auto"/>
        <w:bottom w:val="none" w:sz="0" w:space="0" w:color="auto"/>
        <w:right w:val="none" w:sz="0" w:space="0" w:color="auto"/>
      </w:divBdr>
    </w:div>
    <w:div w:id="1583562754">
      <w:bodyDiv w:val="1"/>
      <w:marLeft w:val="0"/>
      <w:marRight w:val="0"/>
      <w:marTop w:val="0"/>
      <w:marBottom w:val="0"/>
      <w:divBdr>
        <w:top w:val="none" w:sz="0" w:space="0" w:color="auto"/>
        <w:left w:val="none" w:sz="0" w:space="0" w:color="auto"/>
        <w:bottom w:val="none" w:sz="0" w:space="0" w:color="auto"/>
        <w:right w:val="none" w:sz="0" w:space="0" w:color="auto"/>
      </w:divBdr>
      <w:divsChild>
        <w:div w:id="195969235">
          <w:marLeft w:val="360"/>
          <w:marRight w:val="0"/>
          <w:marTop w:val="0"/>
          <w:marBottom w:val="0"/>
          <w:divBdr>
            <w:top w:val="none" w:sz="0" w:space="0" w:color="auto"/>
            <w:left w:val="none" w:sz="0" w:space="0" w:color="auto"/>
            <w:bottom w:val="none" w:sz="0" w:space="0" w:color="auto"/>
            <w:right w:val="none" w:sz="0" w:space="0" w:color="auto"/>
          </w:divBdr>
        </w:div>
        <w:div w:id="198933722">
          <w:marLeft w:val="360"/>
          <w:marRight w:val="0"/>
          <w:marTop w:val="0"/>
          <w:marBottom w:val="0"/>
          <w:divBdr>
            <w:top w:val="none" w:sz="0" w:space="0" w:color="auto"/>
            <w:left w:val="none" w:sz="0" w:space="0" w:color="auto"/>
            <w:bottom w:val="none" w:sz="0" w:space="0" w:color="auto"/>
            <w:right w:val="none" w:sz="0" w:space="0" w:color="auto"/>
          </w:divBdr>
        </w:div>
        <w:div w:id="422846967">
          <w:marLeft w:val="360"/>
          <w:marRight w:val="0"/>
          <w:marTop w:val="0"/>
          <w:marBottom w:val="0"/>
          <w:divBdr>
            <w:top w:val="none" w:sz="0" w:space="0" w:color="auto"/>
            <w:left w:val="none" w:sz="0" w:space="0" w:color="auto"/>
            <w:bottom w:val="none" w:sz="0" w:space="0" w:color="auto"/>
            <w:right w:val="none" w:sz="0" w:space="0" w:color="auto"/>
          </w:divBdr>
        </w:div>
        <w:div w:id="458112759">
          <w:marLeft w:val="360"/>
          <w:marRight w:val="0"/>
          <w:marTop w:val="0"/>
          <w:marBottom w:val="0"/>
          <w:divBdr>
            <w:top w:val="none" w:sz="0" w:space="0" w:color="auto"/>
            <w:left w:val="none" w:sz="0" w:space="0" w:color="auto"/>
            <w:bottom w:val="none" w:sz="0" w:space="0" w:color="auto"/>
            <w:right w:val="none" w:sz="0" w:space="0" w:color="auto"/>
          </w:divBdr>
        </w:div>
        <w:div w:id="769350273">
          <w:marLeft w:val="360"/>
          <w:marRight w:val="0"/>
          <w:marTop w:val="0"/>
          <w:marBottom w:val="0"/>
          <w:divBdr>
            <w:top w:val="none" w:sz="0" w:space="0" w:color="auto"/>
            <w:left w:val="none" w:sz="0" w:space="0" w:color="auto"/>
            <w:bottom w:val="none" w:sz="0" w:space="0" w:color="auto"/>
            <w:right w:val="none" w:sz="0" w:space="0" w:color="auto"/>
          </w:divBdr>
        </w:div>
        <w:div w:id="1148478246">
          <w:marLeft w:val="360"/>
          <w:marRight w:val="0"/>
          <w:marTop w:val="0"/>
          <w:marBottom w:val="0"/>
          <w:divBdr>
            <w:top w:val="none" w:sz="0" w:space="0" w:color="auto"/>
            <w:left w:val="none" w:sz="0" w:space="0" w:color="auto"/>
            <w:bottom w:val="none" w:sz="0" w:space="0" w:color="auto"/>
            <w:right w:val="none" w:sz="0" w:space="0" w:color="auto"/>
          </w:divBdr>
        </w:div>
        <w:div w:id="1306622153">
          <w:marLeft w:val="360"/>
          <w:marRight w:val="0"/>
          <w:marTop w:val="200"/>
          <w:marBottom w:val="0"/>
          <w:divBdr>
            <w:top w:val="none" w:sz="0" w:space="0" w:color="auto"/>
            <w:left w:val="none" w:sz="0" w:space="0" w:color="auto"/>
            <w:bottom w:val="none" w:sz="0" w:space="0" w:color="auto"/>
            <w:right w:val="none" w:sz="0" w:space="0" w:color="auto"/>
          </w:divBdr>
        </w:div>
      </w:divsChild>
    </w:div>
    <w:div w:id="1585870781">
      <w:bodyDiv w:val="1"/>
      <w:marLeft w:val="0"/>
      <w:marRight w:val="0"/>
      <w:marTop w:val="0"/>
      <w:marBottom w:val="0"/>
      <w:divBdr>
        <w:top w:val="none" w:sz="0" w:space="0" w:color="auto"/>
        <w:left w:val="none" w:sz="0" w:space="0" w:color="auto"/>
        <w:bottom w:val="none" w:sz="0" w:space="0" w:color="auto"/>
        <w:right w:val="none" w:sz="0" w:space="0" w:color="auto"/>
      </w:divBdr>
    </w:div>
    <w:div w:id="1596285926">
      <w:bodyDiv w:val="1"/>
      <w:marLeft w:val="0"/>
      <w:marRight w:val="0"/>
      <w:marTop w:val="0"/>
      <w:marBottom w:val="0"/>
      <w:divBdr>
        <w:top w:val="none" w:sz="0" w:space="0" w:color="auto"/>
        <w:left w:val="none" w:sz="0" w:space="0" w:color="auto"/>
        <w:bottom w:val="none" w:sz="0" w:space="0" w:color="auto"/>
        <w:right w:val="none" w:sz="0" w:space="0" w:color="auto"/>
      </w:divBdr>
    </w:div>
    <w:div w:id="1603609386">
      <w:bodyDiv w:val="1"/>
      <w:marLeft w:val="0"/>
      <w:marRight w:val="0"/>
      <w:marTop w:val="0"/>
      <w:marBottom w:val="0"/>
      <w:divBdr>
        <w:top w:val="none" w:sz="0" w:space="0" w:color="auto"/>
        <w:left w:val="none" w:sz="0" w:space="0" w:color="auto"/>
        <w:bottom w:val="none" w:sz="0" w:space="0" w:color="auto"/>
        <w:right w:val="none" w:sz="0" w:space="0" w:color="auto"/>
      </w:divBdr>
    </w:div>
    <w:div w:id="1609308970">
      <w:bodyDiv w:val="1"/>
      <w:marLeft w:val="0"/>
      <w:marRight w:val="0"/>
      <w:marTop w:val="0"/>
      <w:marBottom w:val="0"/>
      <w:divBdr>
        <w:top w:val="none" w:sz="0" w:space="0" w:color="auto"/>
        <w:left w:val="none" w:sz="0" w:space="0" w:color="auto"/>
        <w:bottom w:val="none" w:sz="0" w:space="0" w:color="auto"/>
        <w:right w:val="none" w:sz="0" w:space="0" w:color="auto"/>
      </w:divBdr>
      <w:divsChild>
        <w:div w:id="67000809">
          <w:marLeft w:val="0"/>
          <w:marRight w:val="0"/>
          <w:marTop w:val="0"/>
          <w:marBottom w:val="0"/>
          <w:divBdr>
            <w:top w:val="none" w:sz="0" w:space="0" w:color="auto"/>
            <w:left w:val="none" w:sz="0" w:space="0" w:color="auto"/>
            <w:bottom w:val="none" w:sz="0" w:space="0" w:color="auto"/>
            <w:right w:val="none" w:sz="0" w:space="0" w:color="auto"/>
          </w:divBdr>
          <w:divsChild>
            <w:div w:id="1180000276">
              <w:marLeft w:val="0"/>
              <w:marRight w:val="0"/>
              <w:marTop w:val="0"/>
              <w:marBottom w:val="0"/>
              <w:divBdr>
                <w:top w:val="single" w:sz="2" w:space="0" w:color="D9D9E3"/>
                <w:left w:val="single" w:sz="2" w:space="0" w:color="D9D9E3"/>
                <w:bottom w:val="single" w:sz="2" w:space="0" w:color="D9D9E3"/>
                <w:right w:val="single" w:sz="2" w:space="0" w:color="D9D9E3"/>
              </w:divBdr>
              <w:divsChild>
                <w:div w:id="574166937">
                  <w:marLeft w:val="0"/>
                  <w:marRight w:val="0"/>
                  <w:marTop w:val="0"/>
                  <w:marBottom w:val="0"/>
                  <w:divBdr>
                    <w:top w:val="single" w:sz="2" w:space="0" w:color="D9D9E3"/>
                    <w:left w:val="single" w:sz="2" w:space="0" w:color="D9D9E3"/>
                    <w:bottom w:val="single" w:sz="2" w:space="0" w:color="D9D9E3"/>
                    <w:right w:val="single" w:sz="2" w:space="0" w:color="D9D9E3"/>
                  </w:divBdr>
                  <w:divsChild>
                    <w:div w:id="42217022">
                      <w:marLeft w:val="0"/>
                      <w:marRight w:val="0"/>
                      <w:marTop w:val="0"/>
                      <w:marBottom w:val="0"/>
                      <w:divBdr>
                        <w:top w:val="single" w:sz="2" w:space="0" w:color="D9D9E3"/>
                        <w:left w:val="single" w:sz="2" w:space="0" w:color="D9D9E3"/>
                        <w:bottom w:val="single" w:sz="2" w:space="0" w:color="D9D9E3"/>
                        <w:right w:val="single" w:sz="2" w:space="0" w:color="D9D9E3"/>
                      </w:divBdr>
                      <w:divsChild>
                        <w:div w:id="1901937522">
                          <w:marLeft w:val="0"/>
                          <w:marRight w:val="0"/>
                          <w:marTop w:val="0"/>
                          <w:marBottom w:val="0"/>
                          <w:divBdr>
                            <w:top w:val="single" w:sz="2" w:space="0" w:color="D9D9E3"/>
                            <w:left w:val="single" w:sz="2" w:space="0" w:color="D9D9E3"/>
                            <w:bottom w:val="single" w:sz="2" w:space="0" w:color="D9D9E3"/>
                            <w:right w:val="single" w:sz="2" w:space="0" w:color="D9D9E3"/>
                          </w:divBdr>
                          <w:divsChild>
                            <w:div w:id="462232761">
                              <w:marLeft w:val="0"/>
                              <w:marRight w:val="0"/>
                              <w:marTop w:val="0"/>
                              <w:marBottom w:val="0"/>
                              <w:divBdr>
                                <w:top w:val="single" w:sz="2" w:space="0" w:color="D9D9E3"/>
                                <w:left w:val="single" w:sz="2" w:space="0" w:color="D9D9E3"/>
                                <w:bottom w:val="single" w:sz="2" w:space="0" w:color="D9D9E3"/>
                                <w:right w:val="single" w:sz="2" w:space="0" w:color="D9D9E3"/>
                              </w:divBdr>
                              <w:divsChild>
                                <w:div w:id="16338238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31900110">
          <w:marLeft w:val="0"/>
          <w:marRight w:val="0"/>
          <w:marTop w:val="0"/>
          <w:marBottom w:val="0"/>
          <w:divBdr>
            <w:top w:val="single" w:sz="2" w:space="0" w:color="D9D9E3"/>
            <w:left w:val="single" w:sz="2" w:space="0" w:color="D9D9E3"/>
            <w:bottom w:val="single" w:sz="2" w:space="0" w:color="D9D9E3"/>
            <w:right w:val="single" w:sz="2" w:space="0" w:color="D9D9E3"/>
          </w:divBdr>
          <w:divsChild>
            <w:div w:id="1980958132">
              <w:marLeft w:val="0"/>
              <w:marRight w:val="0"/>
              <w:marTop w:val="0"/>
              <w:marBottom w:val="0"/>
              <w:divBdr>
                <w:top w:val="single" w:sz="2" w:space="0" w:color="D9D9E3"/>
                <w:left w:val="single" w:sz="2" w:space="0" w:color="D9D9E3"/>
                <w:bottom w:val="single" w:sz="2" w:space="0" w:color="D9D9E3"/>
                <w:right w:val="single" w:sz="2" w:space="0" w:color="D9D9E3"/>
              </w:divBdr>
              <w:divsChild>
                <w:div w:id="1441487735">
                  <w:marLeft w:val="0"/>
                  <w:marRight w:val="0"/>
                  <w:marTop w:val="0"/>
                  <w:marBottom w:val="0"/>
                  <w:divBdr>
                    <w:top w:val="single" w:sz="2" w:space="0" w:color="D9D9E3"/>
                    <w:left w:val="single" w:sz="2" w:space="0" w:color="D9D9E3"/>
                    <w:bottom w:val="single" w:sz="2" w:space="0" w:color="D9D9E3"/>
                    <w:right w:val="single" w:sz="2" w:space="0" w:color="D9D9E3"/>
                  </w:divBdr>
                  <w:divsChild>
                    <w:div w:id="1077050405">
                      <w:marLeft w:val="0"/>
                      <w:marRight w:val="0"/>
                      <w:marTop w:val="0"/>
                      <w:marBottom w:val="0"/>
                      <w:divBdr>
                        <w:top w:val="single" w:sz="2" w:space="0" w:color="D9D9E3"/>
                        <w:left w:val="single" w:sz="2" w:space="0" w:color="D9D9E3"/>
                        <w:bottom w:val="single" w:sz="2" w:space="0" w:color="D9D9E3"/>
                        <w:right w:val="single" w:sz="2" w:space="0" w:color="D9D9E3"/>
                      </w:divBdr>
                      <w:divsChild>
                        <w:div w:id="375396615">
                          <w:marLeft w:val="0"/>
                          <w:marRight w:val="0"/>
                          <w:marTop w:val="0"/>
                          <w:marBottom w:val="0"/>
                          <w:divBdr>
                            <w:top w:val="single" w:sz="2" w:space="0" w:color="auto"/>
                            <w:left w:val="single" w:sz="2" w:space="0" w:color="auto"/>
                            <w:bottom w:val="single" w:sz="6" w:space="0" w:color="auto"/>
                            <w:right w:val="single" w:sz="2" w:space="0" w:color="auto"/>
                          </w:divBdr>
                          <w:divsChild>
                            <w:div w:id="1066342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64132098">
                                  <w:marLeft w:val="0"/>
                                  <w:marRight w:val="0"/>
                                  <w:marTop w:val="0"/>
                                  <w:marBottom w:val="0"/>
                                  <w:divBdr>
                                    <w:top w:val="single" w:sz="2" w:space="0" w:color="D9D9E3"/>
                                    <w:left w:val="single" w:sz="2" w:space="0" w:color="D9D9E3"/>
                                    <w:bottom w:val="single" w:sz="2" w:space="0" w:color="D9D9E3"/>
                                    <w:right w:val="single" w:sz="2" w:space="0" w:color="D9D9E3"/>
                                  </w:divBdr>
                                  <w:divsChild>
                                    <w:div w:id="866794409">
                                      <w:marLeft w:val="0"/>
                                      <w:marRight w:val="0"/>
                                      <w:marTop w:val="0"/>
                                      <w:marBottom w:val="0"/>
                                      <w:divBdr>
                                        <w:top w:val="single" w:sz="2" w:space="0" w:color="D9D9E3"/>
                                        <w:left w:val="single" w:sz="2" w:space="0" w:color="D9D9E3"/>
                                        <w:bottom w:val="single" w:sz="2" w:space="0" w:color="D9D9E3"/>
                                        <w:right w:val="single" w:sz="2" w:space="0" w:color="D9D9E3"/>
                                      </w:divBdr>
                                      <w:divsChild>
                                        <w:div w:id="327053134">
                                          <w:marLeft w:val="0"/>
                                          <w:marRight w:val="0"/>
                                          <w:marTop w:val="0"/>
                                          <w:marBottom w:val="0"/>
                                          <w:divBdr>
                                            <w:top w:val="single" w:sz="2" w:space="0" w:color="D9D9E3"/>
                                            <w:left w:val="single" w:sz="2" w:space="0" w:color="D9D9E3"/>
                                            <w:bottom w:val="single" w:sz="2" w:space="0" w:color="D9D9E3"/>
                                            <w:right w:val="single" w:sz="2" w:space="0" w:color="D9D9E3"/>
                                          </w:divBdr>
                                          <w:divsChild>
                                            <w:div w:id="1404522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61275427">
      <w:bodyDiv w:val="1"/>
      <w:marLeft w:val="0"/>
      <w:marRight w:val="0"/>
      <w:marTop w:val="0"/>
      <w:marBottom w:val="0"/>
      <w:divBdr>
        <w:top w:val="none" w:sz="0" w:space="0" w:color="auto"/>
        <w:left w:val="none" w:sz="0" w:space="0" w:color="auto"/>
        <w:bottom w:val="none" w:sz="0" w:space="0" w:color="auto"/>
        <w:right w:val="none" w:sz="0" w:space="0" w:color="auto"/>
      </w:divBdr>
    </w:div>
    <w:div w:id="1670136357">
      <w:bodyDiv w:val="1"/>
      <w:marLeft w:val="0"/>
      <w:marRight w:val="0"/>
      <w:marTop w:val="0"/>
      <w:marBottom w:val="0"/>
      <w:divBdr>
        <w:top w:val="none" w:sz="0" w:space="0" w:color="auto"/>
        <w:left w:val="none" w:sz="0" w:space="0" w:color="auto"/>
        <w:bottom w:val="none" w:sz="0" w:space="0" w:color="auto"/>
        <w:right w:val="none" w:sz="0" w:space="0" w:color="auto"/>
      </w:divBdr>
    </w:div>
    <w:div w:id="1683432585">
      <w:bodyDiv w:val="1"/>
      <w:marLeft w:val="0"/>
      <w:marRight w:val="0"/>
      <w:marTop w:val="0"/>
      <w:marBottom w:val="0"/>
      <w:divBdr>
        <w:top w:val="none" w:sz="0" w:space="0" w:color="auto"/>
        <w:left w:val="none" w:sz="0" w:space="0" w:color="auto"/>
        <w:bottom w:val="none" w:sz="0" w:space="0" w:color="auto"/>
        <w:right w:val="none" w:sz="0" w:space="0" w:color="auto"/>
      </w:divBdr>
    </w:div>
    <w:div w:id="1690836696">
      <w:bodyDiv w:val="1"/>
      <w:marLeft w:val="0"/>
      <w:marRight w:val="0"/>
      <w:marTop w:val="0"/>
      <w:marBottom w:val="0"/>
      <w:divBdr>
        <w:top w:val="none" w:sz="0" w:space="0" w:color="auto"/>
        <w:left w:val="none" w:sz="0" w:space="0" w:color="auto"/>
        <w:bottom w:val="none" w:sz="0" w:space="0" w:color="auto"/>
        <w:right w:val="none" w:sz="0" w:space="0" w:color="auto"/>
      </w:divBdr>
    </w:div>
    <w:div w:id="1696730041">
      <w:bodyDiv w:val="1"/>
      <w:marLeft w:val="0"/>
      <w:marRight w:val="0"/>
      <w:marTop w:val="0"/>
      <w:marBottom w:val="0"/>
      <w:divBdr>
        <w:top w:val="none" w:sz="0" w:space="0" w:color="auto"/>
        <w:left w:val="none" w:sz="0" w:space="0" w:color="auto"/>
        <w:bottom w:val="none" w:sz="0" w:space="0" w:color="auto"/>
        <w:right w:val="none" w:sz="0" w:space="0" w:color="auto"/>
      </w:divBdr>
    </w:div>
    <w:div w:id="1702512565">
      <w:bodyDiv w:val="1"/>
      <w:marLeft w:val="0"/>
      <w:marRight w:val="0"/>
      <w:marTop w:val="0"/>
      <w:marBottom w:val="0"/>
      <w:divBdr>
        <w:top w:val="none" w:sz="0" w:space="0" w:color="auto"/>
        <w:left w:val="none" w:sz="0" w:space="0" w:color="auto"/>
        <w:bottom w:val="none" w:sz="0" w:space="0" w:color="auto"/>
        <w:right w:val="none" w:sz="0" w:space="0" w:color="auto"/>
      </w:divBdr>
    </w:div>
    <w:div w:id="1711151861">
      <w:bodyDiv w:val="1"/>
      <w:marLeft w:val="0"/>
      <w:marRight w:val="0"/>
      <w:marTop w:val="0"/>
      <w:marBottom w:val="0"/>
      <w:divBdr>
        <w:top w:val="none" w:sz="0" w:space="0" w:color="auto"/>
        <w:left w:val="none" w:sz="0" w:space="0" w:color="auto"/>
        <w:bottom w:val="none" w:sz="0" w:space="0" w:color="auto"/>
        <w:right w:val="none" w:sz="0" w:space="0" w:color="auto"/>
      </w:divBdr>
    </w:div>
    <w:div w:id="1713266626">
      <w:bodyDiv w:val="1"/>
      <w:marLeft w:val="0"/>
      <w:marRight w:val="0"/>
      <w:marTop w:val="0"/>
      <w:marBottom w:val="0"/>
      <w:divBdr>
        <w:top w:val="none" w:sz="0" w:space="0" w:color="auto"/>
        <w:left w:val="none" w:sz="0" w:space="0" w:color="auto"/>
        <w:bottom w:val="none" w:sz="0" w:space="0" w:color="auto"/>
        <w:right w:val="none" w:sz="0" w:space="0" w:color="auto"/>
      </w:divBdr>
      <w:divsChild>
        <w:div w:id="1103067208">
          <w:marLeft w:val="0"/>
          <w:marRight w:val="0"/>
          <w:marTop w:val="0"/>
          <w:marBottom w:val="0"/>
          <w:divBdr>
            <w:top w:val="single" w:sz="2" w:space="0" w:color="D9D9E3"/>
            <w:left w:val="single" w:sz="2" w:space="0" w:color="D9D9E3"/>
            <w:bottom w:val="single" w:sz="2" w:space="0" w:color="D9D9E3"/>
            <w:right w:val="single" w:sz="2" w:space="0" w:color="D9D9E3"/>
          </w:divBdr>
          <w:divsChild>
            <w:div w:id="2105609816">
              <w:marLeft w:val="0"/>
              <w:marRight w:val="0"/>
              <w:marTop w:val="0"/>
              <w:marBottom w:val="0"/>
              <w:divBdr>
                <w:top w:val="single" w:sz="2" w:space="0" w:color="D9D9E3"/>
                <w:left w:val="single" w:sz="2" w:space="0" w:color="D9D9E3"/>
                <w:bottom w:val="single" w:sz="2" w:space="0" w:color="D9D9E3"/>
                <w:right w:val="single" w:sz="2" w:space="0" w:color="D9D9E3"/>
              </w:divBdr>
              <w:divsChild>
                <w:div w:id="1993637830">
                  <w:marLeft w:val="0"/>
                  <w:marRight w:val="0"/>
                  <w:marTop w:val="0"/>
                  <w:marBottom w:val="0"/>
                  <w:divBdr>
                    <w:top w:val="single" w:sz="2" w:space="0" w:color="D9D9E3"/>
                    <w:left w:val="single" w:sz="2" w:space="0" w:color="D9D9E3"/>
                    <w:bottom w:val="single" w:sz="2" w:space="0" w:color="D9D9E3"/>
                    <w:right w:val="single" w:sz="2" w:space="0" w:color="D9D9E3"/>
                  </w:divBdr>
                  <w:divsChild>
                    <w:div w:id="2133935228">
                      <w:marLeft w:val="0"/>
                      <w:marRight w:val="0"/>
                      <w:marTop w:val="0"/>
                      <w:marBottom w:val="0"/>
                      <w:divBdr>
                        <w:top w:val="single" w:sz="2" w:space="0" w:color="D9D9E3"/>
                        <w:left w:val="single" w:sz="2" w:space="0" w:color="D9D9E3"/>
                        <w:bottom w:val="single" w:sz="2" w:space="0" w:color="D9D9E3"/>
                        <w:right w:val="single" w:sz="2" w:space="0" w:color="D9D9E3"/>
                      </w:divBdr>
                      <w:divsChild>
                        <w:div w:id="655109914">
                          <w:marLeft w:val="0"/>
                          <w:marRight w:val="0"/>
                          <w:marTop w:val="0"/>
                          <w:marBottom w:val="0"/>
                          <w:divBdr>
                            <w:top w:val="single" w:sz="2" w:space="0" w:color="auto"/>
                            <w:left w:val="single" w:sz="2" w:space="0" w:color="auto"/>
                            <w:bottom w:val="single" w:sz="6" w:space="0" w:color="auto"/>
                            <w:right w:val="single" w:sz="2" w:space="0" w:color="auto"/>
                          </w:divBdr>
                          <w:divsChild>
                            <w:div w:id="2141920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2519859">
                                  <w:marLeft w:val="0"/>
                                  <w:marRight w:val="0"/>
                                  <w:marTop w:val="0"/>
                                  <w:marBottom w:val="0"/>
                                  <w:divBdr>
                                    <w:top w:val="single" w:sz="2" w:space="0" w:color="D9D9E3"/>
                                    <w:left w:val="single" w:sz="2" w:space="0" w:color="D9D9E3"/>
                                    <w:bottom w:val="single" w:sz="2" w:space="0" w:color="D9D9E3"/>
                                    <w:right w:val="single" w:sz="2" w:space="0" w:color="D9D9E3"/>
                                  </w:divBdr>
                                  <w:divsChild>
                                    <w:div w:id="1666737649">
                                      <w:marLeft w:val="0"/>
                                      <w:marRight w:val="0"/>
                                      <w:marTop w:val="0"/>
                                      <w:marBottom w:val="0"/>
                                      <w:divBdr>
                                        <w:top w:val="single" w:sz="2" w:space="0" w:color="D9D9E3"/>
                                        <w:left w:val="single" w:sz="2" w:space="0" w:color="D9D9E3"/>
                                        <w:bottom w:val="single" w:sz="2" w:space="0" w:color="D9D9E3"/>
                                        <w:right w:val="single" w:sz="2" w:space="0" w:color="D9D9E3"/>
                                      </w:divBdr>
                                      <w:divsChild>
                                        <w:div w:id="1621179372">
                                          <w:marLeft w:val="0"/>
                                          <w:marRight w:val="0"/>
                                          <w:marTop w:val="0"/>
                                          <w:marBottom w:val="0"/>
                                          <w:divBdr>
                                            <w:top w:val="single" w:sz="2" w:space="0" w:color="D9D9E3"/>
                                            <w:left w:val="single" w:sz="2" w:space="0" w:color="D9D9E3"/>
                                            <w:bottom w:val="single" w:sz="2" w:space="0" w:color="D9D9E3"/>
                                            <w:right w:val="single" w:sz="2" w:space="0" w:color="D9D9E3"/>
                                          </w:divBdr>
                                          <w:divsChild>
                                            <w:div w:id="1777484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15886215">
          <w:marLeft w:val="0"/>
          <w:marRight w:val="0"/>
          <w:marTop w:val="0"/>
          <w:marBottom w:val="0"/>
          <w:divBdr>
            <w:top w:val="none" w:sz="0" w:space="0" w:color="auto"/>
            <w:left w:val="none" w:sz="0" w:space="0" w:color="auto"/>
            <w:bottom w:val="none" w:sz="0" w:space="0" w:color="auto"/>
            <w:right w:val="none" w:sz="0" w:space="0" w:color="auto"/>
          </w:divBdr>
        </w:div>
      </w:divsChild>
    </w:div>
    <w:div w:id="1730226369">
      <w:bodyDiv w:val="1"/>
      <w:marLeft w:val="0"/>
      <w:marRight w:val="0"/>
      <w:marTop w:val="0"/>
      <w:marBottom w:val="0"/>
      <w:divBdr>
        <w:top w:val="none" w:sz="0" w:space="0" w:color="auto"/>
        <w:left w:val="none" w:sz="0" w:space="0" w:color="auto"/>
        <w:bottom w:val="none" w:sz="0" w:space="0" w:color="auto"/>
        <w:right w:val="none" w:sz="0" w:space="0" w:color="auto"/>
      </w:divBdr>
    </w:div>
    <w:div w:id="1764036157">
      <w:bodyDiv w:val="1"/>
      <w:marLeft w:val="0"/>
      <w:marRight w:val="0"/>
      <w:marTop w:val="0"/>
      <w:marBottom w:val="0"/>
      <w:divBdr>
        <w:top w:val="none" w:sz="0" w:space="0" w:color="auto"/>
        <w:left w:val="none" w:sz="0" w:space="0" w:color="auto"/>
        <w:bottom w:val="none" w:sz="0" w:space="0" w:color="auto"/>
        <w:right w:val="none" w:sz="0" w:space="0" w:color="auto"/>
      </w:divBdr>
    </w:div>
    <w:div w:id="1765346895">
      <w:bodyDiv w:val="1"/>
      <w:marLeft w:val="0"/>
      <w:marRight w:val="0"/>
      <w:marTop w:val="0"/>
      <w:marBottom w:val="0"/>
      <w:divBdr>
        <w:top w:val="none" w:sz="0" w:space="0" w:color="auto"/>
        <w:left w:val="none" w:sz="0" w:space="0" w:color="auto"/>
        <w:bottom w:val="none" w:sz="0" w:space="0" w:color="auto"/>
        <w:right w:val="none" w:sz="0" w:space="0" w:color="auto"/>
      </w:divBdr>
    </w:div>
    <w:div w:id="1830051369">
      <w:bodyDiv w:val="1"/>
      <w:marLeft w:val="0"/>
      <w:marRight w:val="0"/>
      <w:marTop w:val="0"/>
      <w:marBottom w:val="0"/>
      <w:divBdr>
        <w:top w:val="none" w:sz="0" w:space="0" w:color="auto"/>
        <w:left w:val="none" w:sz="0" w:space="0" w:color="auto"/>
        <w:bottom w:val="none" w:sz="0" w:space="0" w:color="auto"/>
        <w:right w:val="none" w:sz="0" w:space="0" w:color="auto"/>
      </w:divBdr>
    </w:div>
    <w:div w:id="1844199984">
      <w:bodyDiv w:val="1"/>
      <w:marLeft w:val="0"/>
      <w:marRight w:val="0"/>
      <w:marTop w:val="0"/>
      <w:marBottom w:val="0"/>
      <w:divBdr>
        <w:top w:val="none" w:sz="0" w:space="0" w:color="auto"/>
        <w:left w:val="none" w:sz="0" w:space="0" w:color="auto"/>
        <w:bottom w:val="none" w:sz="0" w:space="0" w:color="auto"/>
        <w:right w:val="none" w:sz="0" w:space="0" w:color="auto"/>
      </w:divBdr>
      <w:divsChild>
        <w:div w:id="304504174">
          <w:marLeft w:val="0"/>
          <w:marRight w:val="0"/>
          <w:marTop w:val="0"/>
          <w:marBottom w:val="0"/>
          <w:divBdr>
            <w:top w:val="none" w:sz="0" w:space="0" w:color="auto"/>
            <w:left w:val="none" w:sz="0" w:space="0" w:color="auto"/>
            <w:bottom w:val="none" w:sz="0" w:space="0" w:color="auto"/>
            <w:right w:val="none" w:sz="0" w:space="0" w:color="auto"/>
          </w:divBdr>
        </w:div>
        <w:div w:id="2047366791">
          <w:marLeft w:val="0"/>
          <w:marRight w:val="0"/>
          <w:marTop w:val="0"/>
          <w:marBottom w:val="0"/>
          <w:divBdr>
            <w:top w:val="none" w:sz="0" w:space="0" w:color="auto"/>
            <w:left w:val="none" w:sz="0" w:space="0" w:color="auto"/>
            <w:bottom w:val="none" w:sz="0" w:space="0" w:color="auto"/>
            <w:right w:val="none" w:sz="0" w:space="0" w:color="auto"/>
          </w:divBdr>
        </w:div>
      </w:divsChild>
    </w:div>
    <w:div w:id="1855604725">
      <w:bodyDiv w:val="1"/>
      <w:marLeft w:val="0"/>
      <w:marRight w:val="0"/>
      <w:marTop w:val="0"/>
      <w:marBottom w:val="0"/>
      <w:divBdr>
        <w:top w:val="none" w:sz="0" w:space="0" w:color="auto"/>
        <w:left w:val="none" w:sz="0" w:space="0" w:color="auto"/>
        <w:bottom w:val="none" w:sz="0" w:space="0" w:color="auto"/>
        <w:right w:val="none" w:sz="0" w:space="0" w:color="auto"/>
      </w:divBdr>
      <w:divsChild>
        <w:div w:id="264967793">
          <w:marLeft w:val="547"/>
          <w:marRight w:val="0"/>
          <w:marTop w:val="0"/>
          <w:marBottom w:val="0"/>
          <w:divBdr>
            <w:top w:val="none" w:sz="0" w:space="0" w:color="auto"/>
            <w:left w:val="none" w:sz="0" w:space="0" w:color="auto"/>
            <w:bottom w:val="none" w:sz="0" w:space="0" w:color="auto"/>
            <w:right w:val="none" w:sz="0" w:space="0" w:color="auto"/>
          </w:divBdr>
        </w:div>
        <w:div w:id="689183263">
          <w:marLeft w:val="547"/>
          <w:marRight w:val="0"/>
          <w:marTop w:val="0"/>
          <w:marBottom w:val="0"/>
          <w:divBdr>
            <w:top w:val="none" w:sz="0" w:space="0" w:color="auto"/>
            <w:left w:val="none" w:sz="0" w:space="0" w:color="auto"/>
            <w:bottom w:val="none" w:sz="0" w:space="0" w:color="auto"/>
            <w:right w:val="none" w:sz="0" w:space="0" w:color="auto"/>
          </w:divBdr>
        </w:div>
        <w:div w:id="1284262571">
          <w:marLeft w:val="547"/>
          <w:marRight w:val="0"/>
          <w:marTop w:val="0"/>
          <w:marBottom w:val="0"/>
          <w:divBdr>
            <w:top w:val="none" w:sz="0" w:space="0" w:color="auto"/>
            <w:left w:val="none" w:sz="0" w:space="0" w:color="auto"/>
            <w:bottom w:val="none" w:sz="0" w:space="0" w:color="auto"/>
            <w:right w:val="none" w:sz="0" w:space="0" w:color="auto"/>
          </w:divBdr>
        </w:div>
        <w:div w:id="2095515676">
          <w:marLeft w:val="547"/>
          <w:marRight w:val="0"/>
          <w:marTop w:val="0"/>
          <w:marBottom w:val="0"/>
          <w:divBdr>
            <w:top w:val="none" w:sz="0" w:space="0" w:color="auto"/>
            <w:left w:val="none" w:sz="0" w:space="0" w:color="auto"/>
            <w:bottom w:val="none" w:sz="0" w:space="0" w:color="auto"/>
            <w:right w:val="none" w:sz="0" w:space="0" w:color="auto"/>
          </w:divBdr>
        </w:div>
      </w:divsChild>
    </w:div>
    <w:div w:id="1919435745">
      <w:bodyDiv w:val="1"/>
      <w:marLeft w:val="0"/>
      <w:marRight w:val="0"/>
      <w:marTop w:val="0"/>
      <w:marBottom w:val="0"/>
      <w:divBdr>
        <w:top w:val="none" w:sz="0" w:space="0" w:color="auto"/>
        <w:left w:val="none" w:sz="0" w:space="0" w:color="auto"/>
        <w:bottom w:val="none" w:sz="0" w:space="0" w:color="auto"/>
        <w:right w:val="none" w:sz="0" w:space="0" w:color="auto"/>
      </w:divBdr>
      <w:divsChild>
        <w:div w:id="1495950374">
          <w:marLeft w:val="0"/>
          <w:marRight w:val="0"/>
          <w:marTop w:val="0"/>
          <w:marBottom w:val="0"/>
          <w:divBdr>
            <w:top w:val="single" w:sz="2" w:space="0" w:color="D9D9E3"/>
            <w:left w:val="single" w:sz="2" w:space="0" w:color="D9D9E3"/>
            <w:bottom w:val="single" w:sz="2" w:space="0" w:color="D9D9E3"/>
            <w:right w:val="single" w:sz="2" w:space="0" w:color="D9D9E3"/>
          </w:divBdr>
          <w:divsChild>
            <w:div w:id="1227490260">
              <w:marLeft w:val="0"/>
              <w:marRight w:val="0"/>
              <w:marTop w:val="0"/>
              <w:marBottom w:val="0"/>
              <w:divBdr>
                <w:top w:val="single" w:sz="2" w:space="0" w:color="D9D9E3"/>
                <w:left w:val="single" w:sz="2" w:space="0" w:color="D9D9E3"/>
                <w:bottom w:val="single" w:sz="2" w:space="0" w:color="D9D9E3"/>
                <w:right w:val="single" w:sz="2" w:space="0" w:color="D9D9E3"/>
              </w:divBdr>
              <w:divsChild>
                <w:div w:id="404029445">
                  <w:marLeft w:val="0"/>
                  <w:marRight w:val="0"/>
                  <w:marTop w:val="0"/>
                  <w:marBottom w:val="0"/>
                  <w:divBdr>
                    <w:top w:val="single" w:sz="2" w:space="0" w:color="D9D9E3"/>
                    <w:left w:val="single" w:sz="2" w:space="0" w:color="D9D9E3"/>
                    <w:bottom w:val="single" w:sz="2" w:space="0" w:color="D9D9E3"/>
                    <w:right w:val="single" w:sz="2" w:space="0" w:color="D9D9E3"/>
                  </w:divBdr>
                  <w:divsChild>
                    <w:div w:id="1752849168">
                      <w:marLeft w:val="0"/>
                      <w:marRight w:val="0"/>
                      <w:marTop w:val="0"/>
                      <w:marBottom w:val="0"/>
                      <w:divBdr>
                        <w:top w:val="single" w:sz="2" w:space="0" w:color="D9D9E3"/>
                        <w:left w:val="single" w:sz="2" w:space="0" w:color="D9D9E3"/>
                        <w:bottom w:val="single" w:sz="2" w:space="0" w:color="D9D9E3"/>
                        <w:right w:val="single" w:sz="2" w:space="0" w:color="D9D9E3"/>
                      </w:divBdr>
                      <w:divsChild>
                        <w:div w:id="2000883686">
                          <w:marLeft w:val="0"/>
                          <w:marRight w:val="0"/>
                          <w:marTop w:val="0"/>
                          <w:marBottom w:val="0"/>
                          <w:divBdr>
                            <w:top w:val="single" w:sz="2" w:space="0" w:color="auto"/>
                            <w:left w:val="single" w:sz="2" w:space="0" w:color="auto"/>
                            <w:bottom w:val="single" w:sz="6" w:space="0" w:color="auto"/>
                            <w:right w:val="single" w:sz="2" w:space="0" w:color="auto"/>
                          </w:divBdr>
                          <w:divsChild>
                            <w:div w:id="35149007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4570359">
                                  <w:marLeft w:val="0"/>
                                  <w:marRight w:val="0"/>
                                  <w:marTop w:val="0"/>
                                  <w:marBottom w:val="0"/>
                                  <w:divBdr>
                                    <w:top w:val="single" w:sz="2" w:space="0" w:color="D9D9E3"/>
                                    <w:left w:val="single" w:sz="2" w:space="0" w:color="D9D9E3"/>
                                    <w:bottom w:val="single" w:sz="2" w:space="0" w:color="D9D9E3"/>
                                    <w:right w:val="single" w:sz="2" w:space="0" w:color="D9D9E3"/>
                                  </w:divBdr>
                                  <w:divsChild>
                                    <w:div w:id="1704570">
                                      <w:marLeft w:val="0"/>
                                      <w:marRight w:val="0"/>
                                      <w:marTop w:val="0"/>
                                      <w:marBottom w:val="0"/>
                                      <w:divBdr>
                                        <w:top w:val="single" w:sz="2" w:space="0" w:color="D9D9E3"/>
                                        <w:left w:val="single" w:sz="2" w:space="0" w:color="D9D9E3"/>
                                        <w:bottom w:val="single" w:sz="2" w:space="0" w:color="D9D9E3"/>
                                        <w:right w:val="single" w:sz="2" w:space="0" w:color="D9D9E3"/>
                                      </w:divBdr>
                                      <w:divsChild>
                                        <w:div w:id="1329551379">
                                          <w:marLeft w:val="0"/>
                                          <w:marRight w:val="0"/>
                                          <w:marTop w:val="0"/>
                                          <w:marBottom w:val="0"/>
                                          <w:divBdr>
                                            <w:top w:val="single" w:sz="2" w:space="0" w:color="D9D9E3"/>
                                            <w:left w:val="single" w:sz="2" w:space="0" w:color="D9D9E3"/>
                                            <w:bottom w:val="single" w:sz="2" w:space="0" w:color="D9D9E3"/>
                                            <w:right w:val="single" w:sz="2" w:space="0" w:color="D9D9E3"/>
                                          </w:divBdr>
                                          <w:divsChild>
                                            <w:div w:id="1579290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3109738">
          <w:marLeft w:val="0"/>
          <w:marRight w:val="0"/>
          <w:marTop w:val="0"/>
          <w:marBottom w:val="0"/>
          <w:divBdr>
            <w:top w:val="none" w:sz="0" w:space="0" w:color="auto"/>
            <w:left w:val="none" w:sz="0" w:space="0" w:color="auto"/>
            <w:bottom w:val="none" w:sz="0" w:space="0" w:color="auto"/>
            <w:right w:val="none" w:sz="0" w:space="0" w:color="auto"/>
          </w:divBdr>
          <w:divsChild>
            <w:div w:id="1214386203">
              <w:marLeft w:val="0"/>
              <w:marRight w:val="0"/>
              <w:marTop w:val="0"/>
              <w:marBottom w:val="0"/>
              <w:divBdr>
                <w:top w:val="single" w:sz="2" w:space="0" w:color="D9D9E3"/>
                <w:left w:val="single" w:sz="2" w:space="0" w:color="D9D9E3"/>
                <w:bottom w:val="single" w:sz="2" w:space="0" w:color="D9D9E3"/>
                <w:right w:val="single" w:sz="2" w:space="0" w:color="D9D9E3"/>
              </w:divBdr>
              <w:divsChild>
                <w:div w:id="1999922051">
                  <w:marLeft w:val="0"/>
                  <w:marRight w:val="0"/>
                  <w:marTop w:val="0"/>
                  <w:marBottom w:val="0"/>
                  <w:divBdr>
                    <w:top w:val="single" w:sz="2" w:space="0" w:color="D9D9E3"/>
                    <w:left w:val="single" w:sz="2" w:space="0" w:color="D9D9E3"/>
                    <w:bottom w:val="single" w:sz="2" w:space="0" w:color="D9D9E3"/>
                    <w:right w:val="single" w:sz="2" w:space="0" w:color="D9D9E3"/>
                  </w:divBdr>
                  <w:divsChild>
                    <w:div w:id="734012922">
                      <w:marLeft w:val="0"/>
                      <w:marRight w:val="0"/>
                      <w:marTop w:val="0"/>
                      <w:marBottom w:val="0"/>
                      <w:divBdr>
                        <w:top w:val="single" w:sz="2" w:space="0" w:color="D9D9E3"/>
                        <w:left w:val="single" w:sz="2" w:space="0" w:color="D9D9E3"/>
                        <w:bottom w:val="single" w:sz="2" w:space="0" w:color="D9D9E3"/>
                        <w:right w:val="single" w:sz="2" w:space="0" w:color="D9D9E3"/>
                      </w:divBdr>
                      <w:divsChild>
                        <w:div w:id="805124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2470934">
      <w:bodyDiv w:val="1"/>
      <w:marLeft w:val="0"/>
      <w:marRight w:val="0"/>
      <w:marTop w:val="0"/>
      <w:marBottom w:val="0"/>
      <w:divBdr>
        <w:top w:val="none" w:sz="0" w:space="0" w:color="auto"/>
        <w:left w:val="none" w:sz="0" w:space="0" w:color="auto"/>
        <w:bottom w:val="none" w:sz="0" w:space="0" w:color="auto"/>
        <w:right w:val="none" w:sz="0" w:space="0" w:color="auto"/>
      </w:divBdr>
      <w:divsChild>
        <w:div w:id="685979481">
          <w:marLeft w:val="0"/>
          <w:marRight w:val="0"/>
          <w:marTop w:val="0"/>
          <w:marBottom w:val="0"/>
          <w:divBdr>
            <w:top w:val="single" w:sz="2" w:space="0" w:color="D9D9E3"/>
            <w:left w:val="single" w:sz="2" w:space="0" w:color="D9D9E3"/>
            <w:bottom w:val="single" w:sz="2" w:space="0" w:color="D9D9E3"/>
            <w:right w:val="single" w:sz="2" w:space="0" w:color="D9D9E3"/>
          </w:divBdr>
          <w:divsChild>
            <w:div w:id="1446271734">
              <w:marLeft w:val="0"/>
              <w:marRight w:val="0"/>
              <w:marTop w:val="0"/>
              <w:marBottom w:val="0"/>
              <w:divBdr>
                <w:top w:val="single" w:sz="2" w:space="0" w:color="D9D9E3"/>
                <w:left w:val="single" w:sz="2" w:space="0" w:color="D9D9E3"/>
                <w:bottom w:val="single" w:sz="2" w:space="0" w:color="D9D9E3"/>
                <w:right w:val="single" w:sz="2" w:space="0" w:color="D9D9E3"/>
              </w:divBdr>
              <w:divsChild>
                <w:div w:id="1959094438">
                  <w:marLeft w:val="0"/>
                  <w:marRight w:val="0"/>
                  <w:marTop w:val="0"/>
                  <w:marBottom w:val="0"/>
                  <w:divBdr>
                    <w:top w:val="single" w:sz="2" w:space="0" w:color="D9D9E3"/>
                    <w:left w:val="single" w:sz="2" w:space="0" w:color="D9D9E3"/>
                    <w:bottom w:val="single" w:sz="2" w:space="0" w:color="D9D9E3"/>
                    <w:right w:val="single" w:sz="2" w:space="0" w:color="D9D9E3"/>
                  </w:divBdr>
                  <w:divsChild>
                    <w:div w:id="1103107967">
                      <w:marLeft w:val="0"/>
                      <w:marRight w:val="0"/>
                      <w:marTop w:val="0"/>
                      <w:marBottom w:val="0"/>
                      <w:divBdr>
                        <w:top w:val="single" w:sz="2" w:space="0" w:color="D9D9E3"/>
                        <w:left w:val="single" w:sz="2" w:space="0" w:color="D9D9E3"/>
                        <w:bottom w:val="single" w:sz="2" w:space="0" w:color="D9D9E3"/>
                        <w:right w:val="single" w:sz="2" w:space="0" w:color="D9D9E3"/>
                      </w:divBdr>
                      <w:divsChild>
                        <w:div w:id="1539274248">
                          <w:marLeft w:val="0"/>
                          <w:marRight w:val="0"/>
                          <w:marTop w:val="0"/>
                          <w:marBottom w:val="0"/>
                          <w:divBdr>
                            <w:top w:val="single" w:sz="2" w:space="0" w:color="auto"/>
                            <w:left w:val="single" w:sz="2" w:space="0" w:color="auto"/>
                            <w:bottom w:val="single" w:sz="6" w:space="0" w:color="auto"/>
                            <w:right w:val="single" w:sz="2" w:space="0" w:color="auto"/>
                          </w:divBdr>
                          <w:divsChild>
                            <w:div w:id="8540807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54124192">
                                  <w:marLeft w:val="0"/>
                                  <w:marRight w:val="0"/>
                                  <w:marTop w:val="0"/>
                                  <w:marBottom w:val="0"/>
                                  <w:divBdr>
                                    <w:top w:val="single" w:sz="2" w:space="0" w:color="D9D9E3"/>
                                    <w:left w:val="single" w:sz="2" w:space="0" w:color="D9D9E3"/>
                                    <w:bottom w:val="single" w:sz="2" w:space="0" w:color="D9D9E3"/>
                                    <w:right w:val="single" w:sz="2" w:space="0" w:color="D9D9E3"/>
                                  </w:divBdr>
                                  <w:divsChild>
                                    <w:div w:id="147284243">
                                      <w:marLeft w:val="0"/>
                                      <w:marRight w:val="0"/>
                                      <w:marTop w:val="0"/>
                                      <w:marBottom w:val="0"/>
                                      <w:divBdr>
                                        <w:top w:val="single" w:sz="2" w:space="0" w:color="D9D9E3"/>
                                        <w:left w:val="single" w:sz="2" w:space="0" w:color="D9D9E3"/>
                                        <w:bottom w:val="single" w:sz="2" w:space="0" w:color="D9D9E3"/>
                                        <w:right w:val="single" w:sz="2" w:space="0" w:color="D9D9E3"/>
                                      </w:divBdr>
                                      <w:divsChild>
                                        <w:div w:id="339504529">
                                          <w:marLeft w:val="0"/>
                                          <w:marRight w:val="0"/>
                                          <w:marTop w:val="0"/>
                                          <w:marBottom w:val="0"/>
                                          <w:divBdr>
                                            <w:top w:val="single" w:sz="2" w:space="0" w:color="D9D9E3"/>
                                            <w:left w:val="single" w:sz="2" w:space="0" w:color="D9D9E3"/>
                                            <w:bottom w:val="single" w:sz="2" w:space="0" w:color="D9D9E3"/>
                                            <w:right w:val="single" w:sz="2" w:space="0" w:color="D9D9E3"/>
                                          </w:divBdr>
                                          <w:divsChild>
                                            <w:div w:id="1387332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1368934">
          <w:marLeft w:val="0"/>
          <w:marRight w:val="0"/>
          <w:marTop w:val="0"/>
          <w:marBottom w:val="0"/>
          <w:divBdr>
            <w:top w:val="none" w:sz="0" w:space="0" w:color="auto"/>
            <w:left w:val="none" w:sz="0" w:space="0" w:color="auto"/>
            <w:bottom w:val="none" w:sz="0" w:space="0" w:color="auto"/>
            <w:right w:val="none" w:sz="0" w:space="0" w:color="auto"/>
          </w:divBdr>
        </w:div>
      </w:divsChild>
    </w:div>
    <w:div w:id="1937319823">
      <w:bodyDiv w:val="1"/>
      <w:marLeft w:val="0"/>
      <w:marRight w:val="0"/>
      <w:marTop w:val="0"/>
      <w:marBottom w:val="0"/>
      <w:divBdr>
        <w:top w:val="none" w:sz="0" w:space="0" w:color="auto"/>
        <w:left w:val="none" w:sz="0" w:space="0" w:color="auto"/>
        <w:bottom w:val="none" w:sz="0" w:space="0" w:color="auto"/>
        <w:right w:val="none" w:sz="0" w:space="0" w:color="auto"/>
      </w:divBdr>
    </w:div>
    <w:div w:id="1966815855">
      <w:bodyDiv w:val="1"/>
      <w:marLeft w:val="0"/>
      <w:marRight w:val="0"/>
      <w:marTop w:val="0"/>
      <w:marBottom w:val="0"/>
      <w:divBdr>
        <w:top w:val="none" w:sz="0" w:space="0" w:color="auto"/>
        <w:left w:val="none" w:sz="0" w:space="0" w:color="auto"/>
        <w:bottom w:val="none" w:sz="0" w:space="0" w:color="auto"/>
        <w:right w:val="none" w:sz="0" w:space="0" w:color="auto"/>
      </w:divBdr>
      <w:divsChild>
        <w:div w:id="162622178">
          <w:marLeft w:val="0"/>
          <w:marRight w:val="0"/>
          <w:marTop w:val="0"/>
          <w:marBottom w:val="0"/>
          <w:divBdr>
            <w:top w:val="none" w:sz="0" w:space="0" w:color="auto"/>
            <w:left w:val="none" w:sz="0" w:space="0" w:color="auto"/>
            <w:bottom w:val="none" w:sz="0" w:space="0" w:color="auto"/>
            <w:right w:val="none" w:sz="0" w:space="0" w:color="auto"/>
          </w:divBdr>
        </w:div>
        <w:div w:id="410736306">
          <w:marLeft w:val="0"/>
          <w:marRight w:val="0"/>
          <w:marTop w:val="0"/>
          <w:marBottom w:val="0"/>
          <w:divBdr>
            <w:top w:val="none" w:sz="0" w:space="0" w:color="auto"/>
            <w:left w:val="none" w:sz="0" w:space="0" w:color="auto"/>
            <w:bottom w:val="none" w:sz="0" w:space="0" w:color="auto"/>
            <w:right w:val="none" w:sz="0" w:space="0" w:color="auto"/>
          </w:divBdr>
        </w:div>
      </w:divsChild>
    </w:div>
    <w:div w:id="2030524113">
      <w:bodyDiv w:val="1"/>
      <w:marLeft w:val="0"/>
      <w:marRight w:val="0"/>
      <w:marTop w:val="0"/>
      <w:marBottom w:val="0"/>
      <w:divBdr>
        <w:top w:val="none" w:sz="0" w:space="0" w:color="auto"/>
        <w:left w:val="none" w:sz="0" w:space="0" w:color="auto"/>
        <w:bottom w:val="none" w:sz="0" w:space="0" w:color="auto"/>
        <w:right w:val="none" w:sz="0" w:space="0" w:color="auto"/>
      </w:divBdr>
      <w:divsChild>
        <w:div w:id="838425001">
          <w:marLeft w:val="0"/>
          <w:marRight w:val="0"/>
          <w:marTop w:val="0"/>
          <w:marBottom w:val="0"/>
          <w:divBdr>
            <w:top w:val="single" w:sz="2" w:space="0" w:color="D9D9E3"/>
            <w:left w:val="single" w:sz="2" w:space="0" w:color="D9D9E3"/>
            <w:bottom w:val="single" w:sz="2" w:space="0" w:color="D9D9E3"/>
            <w:right w:val="single" w:sz="2" w:space="0" w:color="D9D9E3"/>
          </w:divBdr>
          <w:divsChild>
            <w:div w:id="897865448">
              <w:marLeft w:val="0"/>
              <w:marRight w:val="0"/>
              <w:marTop w:val="0"/>
              <w:marBottom w:val="0"/>
              <w:divBdr>
                <w:top w:val="single" w:sz="2" w:space="0" w:color="D9D9E3"/>
                <w:left w:val="single" w:sz="2" w:space="0" w:color="D9D9E3"/>
                <w:bottom w:val="single" w:sz="2" w:space="0" w:color="D9D9E3"/>
                <w:right w:val="single" w:sz="2" w:space="0" w:color="D9D9E3"/>
              </w:divBdr>
              <w:divsChild>
                <w:div w:id="1945265327">
                  <w:marLeft w:val="0"/>
                  <w:marRight w:val="0"/>
                  <w:marTop w:val="0"/>
                  <w:marBottom w:val="0"/>
                  <w:divBdr>
                    <w:top w:val="single" w:sz="2" w:space="0" w:color="D9D9E3"/>
                    <w:left w:val="single" w:sz="2" w:space="0" w:color="D9D9E3"/>
                    <w:bottom w:val="single" w:sz="2" w:space="0" w:color="D9D9E3"/>
                    <w:right w:val="single" w:sz="2" w:space="0" w:color="D9D9E3"/>
                  </w:divBdr>
                  <w:divsChild>
                    <w:div w:id="1549754434">
                      <w:marLeft w:val="0"/>
                      <w:marRight w:val="0"/>
                      <w:marTop w:val="0"/>
                      <w:marBottom w:val="0"/>
                      <w:divBdr>
                        <w:top w:val="single" w:sz="2" w:space="0" w:color="D9D9E3"/>
                        <w:left w:val="single" w:sz="2" w:space="0" w:color="D9D9E3"/>
                        <w:bottom w:val="single" w:sz="2" w:space="0" w:color="D9D9E3"/>
                        <w:right w:val="single" w:sz="2" w:space="0" w:color="D9D9E3"/>
                      </w:divBdr>
                      <w:divsChild>
                        <w:div w:id="2084791706">
                          <w:marLeft w:val="0"/>
                          <w:marRight w:val="0"/>
                          <w:marTop w:val="0"/>
                          <w:marBottom w:val="0"/>
                          <w:divBdr>
                            <w:top w:val="single" w:sz="2" w:space="0" w:color="auto"/>
                            <w:left w:val="single" w:sz="2" w:space="0" w:color="auto"/>
                            <w:bottom w:val="single" w:sz="6" w:space="0" w:color="auto"/>
                            <w:right w:val="single" w:sz="2" w:space="0" w:color="auto"/>
                          </w:divBdr>
                          <w:divsChild>
                            <w:div w:id="1436751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79907440">
                                  <w:marLeft w:val="0"/>
                                  <w:marRight w:val="0"/>
                                  <w:marTop w:val="0"/>
                                  <w:marBottom w:val="0"/>
                                  <w:divBdr>
                                    <w:top w:val="single" w:sz="2" w:space="0" w:color="D9D9E3"/>
                                    <w:left w:val="single" w:sz="2" w:space="0" w:color="D9D9E3"/>
                                    <w:bottom w:val="single" w:sz="2" w:space="0" w:color="D9D9E3"/>
                                    <w:right w:val="single" w:sz="2" w:space="0" w:color="D9D9E3"/>
                                  </w:divBdr>
                                  <w:divsChild>
                                    <w:div w:id="1481188437">
                                      <w:marLeft w:val="0"/>
                                      <w:marRight w:val="0"/>
                                      <w:marTop w:val="0"/>
                                      <w:marBottom w:val="0"/>
                                      <w:divBdr>
                                        <w:top w:val="single" w:sz="2" w:space="0" w:color="D9D9E3"/>
                                        <w:left w:val="single" w:sz="2" w:space="0" w:color="D9D9E3"/>
                                        <w:bottom w:val="single" w:sz="2" w:space="0" w:color="D9D9E3"/>
                                        <w:right w:val="single" w:sz="2" w:space="0" w:color="D9D9E3"/>
                                      </w:divBdr>
                                      <w:divsChild>
                                        <w:div w:id="275069124">
                                          <w:marLeft w:val="0"/>
                                          <w:marRight w:val="0"/>
                                          <w:marTop w:val="0"/>
                                          <w:marBottom w:val="0"/>
                                          <w:divBdr>
                                            <w:top w:val="single" w:sz="2" w:space="0" w:color="D9D9E3"/>
                                            <w:left w:val="single" w:sz="2" w:space="0" w:color="D9D9E3"/>
                                            <w:bottom w:val="single" w:sz="2" w:space="0" w:color="D9D9E3"/>
                                            <w:right w:val="single" w:sz="2" w:space="0" w:color="D9D9E3"/>
                                          </w:divBdr>
                                          <w:divsChild>
                                            <w:div w:id="1659770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70008250">
          <w:marLeft w:val="0"/>
          <w:marRight w:val="0"/>
          <w:marTop w:val="0"/>
          <w:marBottom w:val="0"/>
          <w:divBdr>
            <w:top w:val="none" w:sz="0" w:space="0" w:color="auto"/>
            <w:left w:val="none" w:sz="0" w:space="0" w:color="auto"/>
            <w:bottom w:val="none" w:sz="0" w:space="0" w:color="auto"/>
            <w:right w:val="none" w:sz="0" w:space="0" w:color="auto"/>
          </w:divBdr>
          <w:divsChild>
            <w:div w:id="1456174537">
              <w:marLeft w:val="0"/>
              <w:marRight w:val="0"/>
              <w:marTop w:val="0"/>
              <w:marBottom w:val="0"/>
              <w:divBdr>
                <w:top w:val="single" w:sz="2" w:space="0" w:color="D9D9E3"/>
                <w:left w:val="single" w:sz="2" w:space="0" w:color="D9D9E3"/>
                <w:bottom w:val="single" w:sz="2" w:space="0" w:color="D9D9E3"/>
                <w:right w:val="single" w:sz="2" w:space="0" w:color="D9D9E3"/>
              </w:divBdr>
              <w:divsChild>
                <w:div w:id="1241528173">
                  <w:marLeft w:val="0"/>
                  <w:marRight w:val="0"/>
                  <w:marTop w:val="0"/>
                  <w:marBottom w:val="0"/>
                  <w:divBdr>
                    <w:top w:val="single" w:sz="2" w:space="0" w:color="D9D9E3"/>
                    <w:left w:val="single" w:sz="2" w:space="0" w:color="D9D9E3"/>
                    <w:bottom w:val="single" w:sz="2" w:space="0" w:color="D9D9E3"/>
                    <w:right w:val="single" w:sz="2" w:space="0" w:color="D9D9E3"/>
                  </w:divBdr>
                  <w:divsChild>
                    <w:div w:id="1115557807">
                      <w:marLeft w:val="0"/>
                      <w:marRight w:val="0"/>
                      <w:marTop w:val="0"/>
                      <w:marBottom w:val="0"/>
                      <w:divBdr>
                        <w:top w:val="single" w:sz="2" w:space="0" w:color="D9D9E3"/>
                        <w:left w:val="single" w:sz="2" w:space="0" w:color="D9D9E3"/>
                        <w:bottom w:val="single" w:sz="2" w:space="0" w:color="D9D9E3"/>
                        <w:right w:val="single" w:sz="2" w:space="0" w:color="D9D9E3"/>
                      </w:divBdr>
                      <w:divsChild>
                        <w:div w:id="1440445573">
                          <w:marLeft w:val="0"/>
                          <w:marRight w:val="0"/>
                          <w:marTop w:val="0"/>
                          <w:marBottom w:val="0"/>
                          <w:divBdr>
                            <w:top w:val="single" w:sz="2" w:space="0" w:color="D9D9E3"/>
                            <w:left w:val="single" w:sz="2" w:space="0" w:color="D9D9E3"/>
                            <w:bottom w:val="single" w:sz="2" w:space="0" w:color="D9D9E3"/>
                            <w:right w:val="single" w:sz="2" w:space="0" w:color="D9D9E3"/>
                          </w:divBdr>
                          <w:divsChild>
                            <w:div w:id="2052149216">
                              <w:marLeft w:val="0"/>
                              <w:marRight w:val="0"/>
                              <w:marTop w:val="0"/>
                              <w:marBottom w:val="0"/>
                              <w:divBdr>
                                <w:top w:val="single" w:sz="2" w:space="0" w:color="D9D9E3"/>
                                <w:left w:val="single" w:sz="2" w:space="0" w:color="D9D9E3"/>
                                <w:bottom w:val="single" w:sz="2" w:space="0" w:color="D9D9E3"/>
                                <w:right w:val="single" w:sz="2" w:space="0" w:color="D9D9E3"/>
                              </w:divBdr>
                              <w:divsChild>
                                <w:div w:id="946233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1390564">
      <w:bodyDiv w:val="1"/>
      <w:marLeft w:val="0"/>
      <w:marRight w:val="0"/>
      <w:marTop w:val="0"/>
      <w:marBottom w:val="0"/>
      <w:divBdr>
        <w:top w:val="none" w:sz="0" w:space="0" w:color="auto"/>
        <w:left w:val="none" w:sz="0" w:space="0" w:color="auto"/>
        <w:bottom w:val="none" w:sz="0" w:space="0" w:color="auto"/>
        <w:right w:val="none" w:sz="0" w:space="0" w:color="auto"/>
      </w:divBdr>
    </w:div>
    <w:div w:id="2054229300">
      <w:bodyDiv w:val="1"/>
      <w:marLeft w:val="0"/>
      <w:marRight w:val="0"/>
      <w:marTop w:val="0"/>
      <w:marBottom w:val="0"/>
      <w:divBdr>
        <w:top w:val="none" w:sz="0" w:space="0" w:color="auto"/>
        <w:left w:val="none" w:sz="0" w:space="0" w:color="auto"/>
        <w:bottom w:val="none" w:sz="0" w:space="0" w:color="auto"/>
        <w:right w:val="none" w:sz="0" w:space="0" w:color="auto"/>
      </w:divBdr>
    </w:div>
    <w:div w:id="2059819524">
      <w:bodyDiv w:val="1"/>
      <w:marLeft w:val="0"/>
      <w:marRight w:val="0"/>
      <w:marTop w:val="0"/>
      <w:marBottom w:val="0"/>
      <w:divBdr>
        <w:top w:val="none" w:sz="0" w:space="0" w:color="auto"/>
        <w:left w:val="none" w:sz="0" w:space="0" w:color="auto"/>
        <w:bottom w:val="none" w:sz="0" w:space="0" w:color="auto"/>
        <w:right w:val="none" w:sz="0" w:space="0" w:color="auto"/>
      </w:divBdr>
    </w:div>
    <w:div w:id="2122021447">
      <w:bodyDiv w:val="1"/>
      <w:marLeft w:val="0"/>
      <w:marRight w:val="0"/>
      <w:marTop w:val="0"/>
      <w:marBottom w:val="0"/>
      <w:divBdr>
        <w:top w:val="none" w:sz="0" w:space="0" w:color="auto"/>
        <w:left w:val="none" w:sz="0" w:space="0" w:color="auto"/>
        <w:bottom w:val="none" w:sz="0" w:space="0" w:color="auto"/>
        <w:right w:val="none" w:sz="0" w:space="0" w:color="auto"/>
      </w:divBdr>
    </w:div>
    <w:div w:id="213517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knowledge.worldbank.org/handle/10986/26741" TargetMode="Externa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1.emf"/><Relationship Id="rId63" Type="http://schemas.openxmlformats.org/officeDocument/2006/relationships/hyperlink" Target="https://www.aseanbriefing.com/news/india-eager-for-expansion-of-trilateral-highway-to-cambodia-laos-and-vietnam/" TargetMode="External"/><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hyperlink" Target="https://www.worldbank.org/en/country/thailand/publication/plastic-waste-material-flow-analysis-for-thailand" TargetMode="External"/><Relationship Id="rId16" Type="http://schemas.openxmlformats.org/officeDocument/2006/relationships/chart" Target="charts/chart1.xml"/><Relationship Id="rId107" Type="http://schemas.openxmlformats.org/officeDocument/2006/relationships/hyperlink" Target="https://documents.worldbank.org/en/publication/documents-reports/documentdetail/099350103222229818/p1720900cd169c0ac08f8106c5e056d5dbf" TargetMode="External"/><Relationship Id="rId11" Type="http://schemas.openxmlformats.org/officeDocument/2006/relationships/footnotes" Target="footnotes.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hyperlink" Target="https://research.eef.or.th/small-protected-schools-a-big-challenge-of-thai-education/" TargetMode="External"/><Relationship Id="rId123" Type="http://schemas.openxmlformats.org/officeDocument/2006/relationships/header" Target="header4.xml"/><Relationship Id="rId128"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image" Target="media/image73.emf"/><Relationship Id="rId95" Type="http://schemas.openxmlformats.org/officeDocument/2006/relationships/hyperlink" Target="https://documents1.worldbank.org/curated/ar/132321468308958485/pdf/674860v20WP0P10overnment01201102012.pdf" TargetMode="Externa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emf"/><Relationship Id="rId113" Type="http://schemas.openxmlformats.org/officeDocument/2006/relationships/hyperlink" Target="https://openknowledge.worldbank.org/handle/10986/26862" TargetMode="External"/><Relationship Id="rId118" Type="http://schemas.openxmlformats.org/officeDocument/2006/relationships/hyperlink" Target="https://openknowledge.worldbank.org/handle/10986/33097?show=full" TargetMode="External"/><Relationship Id="rId80" Type="http://schemas.openxmlformats.org/officeDocument/2006/relationships/image" Target="media/image63.png"/><Relationship Id="rId85" Type="http://schemas.openxmlformats.org/officeDocument/2006/relationships/image" Target="media/image68.emf"/><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3.emf"/><Relationship Id="rId103" Type="http://schemas.openxmlformats.org/officeDocument/2006/relationships/hyperlink" Target="https://documents.worldbank.org/en/publication/documents-reports/documentdetail/099607009052239667/idu194dac6a11cca7147be1b366150d73dabd1a6" TargetMode="External"/><Relationship Id="rId108" Type="http://schemas.openxmlformats.org/officeDocument/2006/relationships/hyperlink" Target="https://documents.worldbank.org/en/publication/documents-reports/documentdetail/099355103222242415/p1720900c675f50800924e0941ceb8f16c1" TargetMode="External"/><Relationship Id="rId124" Type="http://schemas.openxmlformats.org/officeDocument/2006/relationships/hyperlink" Target="https://openknowledge.worldbank.org/server/api/core/bitstreams/c99de724-a22c-558a-a3d9-48d42c0eda33/content" TargetMode="External"/><Relationship Id="rId129" Type="http://schemas.openxmlformats.org/officeDocument/2006/relationships/fontTable" Target="fontTable.xml"/><Relationship Id="rId54" Type="http://schemas.openxmlformats.org/officeDocument/2006/relationships/image" Target="media/image38.png"/><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hyperlink" Target="http://www.fao.org/faostat/en/" TargetMode="External"/><Relationship Id="rId96" Type="http://schemas.openxmlformats.org/officeDocument/2006/relationships/hyperlink" Target="http://www.worldbank.org/tem"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hyperlink" Target="https://documents.worldbank.org/en/publication/documents-reports/documentdetail/866821468339644916/climate-risks-and-adaptation-in-asian-coastal-megacities-a-synthesis-report" TargetMode="External"/><Relationship Id="rId119" Type="http://schemas.openxmlformats.org/officeDocument/2006/relationships/hyperlink" Target="https://documents1.worldbank.org/curated/en/470771468173950665/pdf/500340WP0p10951y0Updater01310812009.pdf" TargetMode="External"/><Relationship Id="rId44" Type="http://schemas.openxmlformats.org/officeDocument/2006/relationships/image" Target="media/image29.png"/><Relationship Id="rId60" Type="http://schemas.openxmlformats.org/officeDocument/2006/relationships/image" Target="media/image44.emf"/><Relationship Id="rId65" Type="http://schemas.openxmlformats.org/officeDocument/2006/relationships/image" Target="media/image48.emf"/><Relationship Id="rId81" Type="http://schemas.openxmlformats.org/officeDocument/2006/relationships/image" Target="media/image64.svg"/><Relationship Id="rId86" Type="http://schemas.openxmlformats.org/officeDocument/2006/relationships/image" Target="media/image69.emf"/><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emf"/><Relationship Id="rId109" Type="http://schemas.openxmlformats.org/officeDocument/2006/relationships/hyperlink" Target="https://documents1.worldbank.org/curated/en/099350003222219814/pdf/P17209001e7d880100a38b000363da086b7.pdf" TargetMode="External"/><Relationship Id="rId34" Type="http://schemas.openxmlformats.org/officeDocument/2006/relationships/image" Target="media/image19.em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emf"/><Relationship Id="rId97" Type="http://schemas.openxmlformats.org/officeDocument/2006/relationships/hyperlink" Target="https://documents.worldbank.org/en/publication/documents-reports/documentlist?display_title=monthly%20economic%20monitor&amp;displaytitle_select=allwords&amp;countcode=TH&amp;srt=docdt&amp;order=desc" TargetMode="External"/><Relationship Id="rId104" Type="http://schemas.openxmlformats.org/officeDocument/2006/relationships/hyperlink" Target="https://openknowledge.worldbank.org/handle/10986/27401" TargetMode="External"/><Relationship Id="rId120" Type="http://schemas.openxmlformats.org/officeDocument/2006/relationships/hyperlink" Target="https://www.worldbank.org/en/news/feature/2019/03/26/working-towards-improving-road-safety-and-saving-lives-in-thailand" TargetMode="External"/><Relationship Id="rId125" Type="http://schemas.openxmlformats.org/officeDocument/2006/relationships/hyperlink" Target="https://openknowledge.worldbank.org/handle/10986/35695" TargetMode="External"/><Relationship Id="rId7" Type="http://schemas.openxmlformats.org/officeDocument/2006/relationships/numbering" Target="numbering.xml"/><Relationship Id="rId71" Type="http://schemas.openxmlformats.org/officeDocument/2006/relationships/image" Target="media/image54.emf"/><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hyperlink" Target="https://climateactiontracker.org/publications/paris-aligned-benchmarks-power-sector/" TargetMode="External"/><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hyperlink" Target="https://openknowledge.worldbank.org/handle/10986/35695" TargetMode="External"/><Relationship Id="rId115" Type="http://schemas.openxmlformats.org/officeDocument/2006/relationships/hyperlink" Target="https://www.worldbank.org/en/news/press-release/2022/05/17/world-bank-partners-with-five-cities-in-thailand-on-urban-infrastructure-financing" TargetMode="External"/><Relationship Id="rId131" Type="http://schemas.microsoft.com/office/2019/05/relationships/documenttasks" Target="documenttasks/documenttasks1.xml"/><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4.emf"/><Relationship Id="rId14" Type="http://schemas.openxmlformats.org/officeDocument/2006/relationships/footer" Target="footer2.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0.png"/><Relationship Id="rId77" Type="http://schemas.openxmlformats.org/officeDocument/2006/relationships/image" Target="media/image60.emf"/><Relationship Id="rId100" Type="http://schemas.openxmlformats.org/officeDocument/2006/relationships/hyperlink" Target="https://www.worldbank.org/en/country/thailand/publication/taking-the-pulse-of-poverty-and-inequality-in-thailand" TargetMode="External"/><Relationship Id="rId105" Type="http://schemas.openxmlformats.org/officeDocument/2006/relationships/hyperlink" Target="https://www.worldbank.org/en/region/eap/brief/rapid-aging-in-east-asia-and-pacific-will-shrink-workforce-increase-public-spending" TargetMode="External"/><Relationship Id="rId126" Type="http://schemas.openxmlformats.org/officeDocument/2006/relationships/hyperlink" Target="https://documents1.worldbank.org/curated/en/099630006272216604/pdf/P1774810035ebf0f70b655077d3e195a99b.pdf" TargetMode="External"/><Relationship Id="rId8" Type="http://schemas.openxmlformats.org/officeDocument/2006/relationships/styles" Target="styles.xml"/><Relationship Id="rId51" Type="http://schemas.openxmlformats.org/officeDocument/2006/relationships/image" Target="media/image35.emf"/><Relationship Id="rId72" Type="http://schemas.openxmlformats.org/officeDocument/2006/relationships/image" Target="media/image55.emf"/><Relationship Id="rId93" Type="http://schemas.openxmlformats.org/officeDocument/2006/relationships/header" Target="header2.xml"/><Relationship Id="rId98" Type="http://schemas.openxmlformats.org/officeDocument/2006/relationships/hyperlink" Target="https://www.worldbank.org/en/country/thailand/publication/th-prsa" TargetMode="External"/><Relationship Id="rId121" Type="http://schemas.openxmlformats.org/officeDocument/2006/relationships/hyperlink" Target="https://projects.worldbank.org/en/projects-operations/project-detail/P121162" TargetMode="External"/><Relationship Id="rId3" Type="http://schemas.openxmlformats.org/officeDocument/2006/relationships/customXml" Target="../customXml/item3.xml"/><Relationship Id="rId25" Type="http://schemas.openxmlformats.org/officeDocument/2006/relationships/image" Target="media/image10.emf"/><Relationship Id="rId46" Type="http://schemas.openxmlformats.org/officeDocument/2006/relationships/image" Target="media/image30.emf"/><Relationship Id="rId67" Type="http://schemas.openxmlformats.org/officeDocument/2006/relationships/image" Target="media/image50.emf"/><Relationship Id="rId116" Type="http://schemas.openxmlformats.org/officeDocument/2006/relationships/hyperlink" Target="https://openknowledge.worldbank.org/handle/10986/27614" TargetMode="External"/><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image" Target="media/image46.jpeg"/><Relationship Id="rId83" Type="http://schemas.openxmlformats.org/officeDocument/2006/relationships/image" Target="media/image66.svg"/><Relationship Id="rId88" Type="http://schemas.openxmlformats.org/officeDocument/2006/relationships/image" Target="media/image71.emf"/><Relationship Id="rId111" Type="http://schemas.openxmlformats.org/officeDocument/2006/relationships/hyperlink" Target="https://documents.worldbank.org/en/publication/documents-reports/documentdetail/249641622725700707/labor-markets-and-social-policy-in-a-rapidly-transforming-caring-for-thailand-s-aging-population" TargetMode="External"/><Relationship Id="rId132" Type="http://schemas.microsoft.com/office/2020/10/relationships/intelligence" Target="intelligence2.xml"/><Relationship Id="rId15" Type="http://schemas.openxmlformats.org/officeDocument/2006/relationships/image" Target="media/image1.png"/><Relationship Id="rId36" Type="http://schemas.openxmlformats.org/officeDocument/2006/relationships/image" Target="media/image21.emf"/><Relationship Id="rId57" Type="http://schemas.openxmlformats.org/officeDocument/2006/relationships/image" Target="media/image41.png"/><Relationship Id="rId106" Type="http://schemas.openxmlformats.org/officeDocument/2006/relationships/hyperlink" Target="https://www.worldbank.org/en/country/thailand/publication/labor-markets-and-social-policy-in-a-rapidly-transforming-and-aging-thailand" TargetMode="External"/><Relationship Id="rId127" Type="http://schemas.openxmlformats.org/officeDocument/2006/relationships/header" Target="header5.xml"/><Relationship Id="rId10" Type="http://schemas.openxmlformats.org/officeDocument/2006/relationships/webSettings" Target="webSettings.xml"/><Relationship Id="rId31" Type="http://schemas.openxmlformats.org/officeDocument/2006/relationships/image" Target="media/image16.emf"/><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emf"/><Relationship Id="rId94" Type="http://schemas.openxmlformats.org/officeDocument/2006/relationships/hyperlink" Target="https://www.worldbank.org/en/news/press-release/2022/02/22/digital-and-disruptive-technology-along-with-circular-economy-can-generate-up-to-3-4-billion-in-investments-cost-savings" TargetMode="External"/><Relationship Id="rId99" Type="http://schemas.openxmlformats.org/officeDocument/2006/relationships/hyperlink" Target="https://openknowledge.worldbank.org/bitstream/handle/10986/34882/Thailand-Manufacturing-Firm-Productivity-Report.pdf" TargetMode="External"/><Relationship Id="rId101" Type="http://schemas.openxmlformats.org/officeDocument/2006/relationships/hyperlink" Target="https://www.worldbank.org/en/country/thailand/publication/wanted---a-quality-education-for-all-in-thailand" TargetMode="External"/><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data.unwomen.org/publications/covid-19-and-violence-against-women-evidence-behind-talk" TargetMode="External"/><Relationship Id="rId2" Type="http://schemas.openxmlformats.org/officeDocument/2006/relationships/hyperlink" Target="http://www.violence.in.th/publicweb/pdf/M17/M172561.pdf" TargetMode="External"/><Relationship Id="rId1" Type="http://schemas.openxmlformats.org/officeDocument/2006/relationships/hyperlink" Target="https://www.m-society.go.th/ewtadmin/ewt/mso_web/download/article/article_2013122618092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ldbankgroup-my.sharepoint.com/personal/ablackman_worldbank_org/Documents/Thailand/PER/IMFInvestmentandCapitalStockDataset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60706474190731E-2"/>
          <c:y val="0.1093756795044971"/>
          <c:w val="0.8605533683289589"/>
          <c:h val="0.65304385069021187"/>
        </c:manualLayout>
      </c:layout>
      <c:barChart>
        <c:barDir val="col"/>
        <c:grouping val="clustered"/>
        <c:varyColors val="0"/>
        <c:ser>
          <c:idx val="0"/>
          <c:order val="0"/>
          <c:tx>
            <c:v>Total</c:v>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Dataset!$U$10323:$U$10325</c:f>
              <c:strCache>
                <c:ptCount val="3"/>
                <c:pt idx="0">
                  <c:v>1990-1996</c:v>
                </c:pt>
                <c:pt idx="1">
                  <c:v>1999-2008</c:v>
                </c:pt>
                <c:pt idx="2">
                  <c:v>2010-2019</c:v>
                </c:pt>
              </c:strCache>
            </c:strRef>
          </c:cat>
          <c:val>
            <c:numRef>
              <c:f>Dataset!$V$10323:$V$10325</c:f>
              <c:numCache>
                <c:formatCode>0.0</c:formatCode>
                <c:ptCount val="3"/>
                <c:pt idx="0">
                  <c:v>3.3039710187518589</c:v>
                </c:pt>
                <c:pt idx="1">
                  <c:v>1.4838627085020408</c:v>
                </c:pt>
                <c:pt idx="2">
                  <c:v>3.2271370452742367</c:v>
                </c:pt>
              </c:numCache>
            </c:numRef>
          </c:val>
          <c:extLst>
            <c:ext xmlns:c16="http://schemas.microsoft.com/office/drawing/2014/chart" uri="{C3380CC4-5D6E-409C-BE32-E72D297353CC}">
              <c16:uniqueId val="{00000000-EE00-458C-B972-4275D13E3E6B}"/>
            </c:ext>
          </c:extLst>
        </c:ser>
        <c:ser>
          <c:idx val="1"/>
          <c:order val="1"/>
          <c:tx>
            <c:v>Public</c:v>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Dataset!$U$10323:$U$10325</c:f>
              <c:strCache>
                <c:ptCount val="3"/>
                <c:pt idx="0">
                  <c:v>1990-1996</c:v>
                </c:pt>
                <c:pt idx="1">
                  <c:v>1999-2008</c:v>
                </c:pt>
                <c:pt idx="2">
                  <c:v>2010-2019</c:v>
                </c:pt>
              </c:strCache>
            </c:strRef>
          </c:cat>
          <c:val>
            <c:numRef>
              <c:f>Dataset!$W$10323:$W$10325</c:f>
              <c:numCache>
                <c:formatCode>0.0</c:formatCode>
                <c:ptCount val="3"/>
                <c:pt idx="0">
                  <c:v>0.62254913798343681</c:v>
                </c:pt>
                <c:pt idx="1">
                  <c:v>0.77234104912537549</c:v>
                </c:pt>
                <c:pt idx="2">
                  <c:v>0.87772243335167488</c:v>
                </c:pt>
              </c:numCache>
            </c:numRef>
          </c:val>
          <c:extLst>
            <c:ext xmlns:c16="http://schemas.microsoft.com/office/drawing/2014/chart" uri="{C3380CC4-5D6E-409C-BE32-E72D297353CC}">
              <c16:uniqueId val="{00000001-EE00-458C-B972-4275D13E3E6B}"/>
            </c:ext>
          </c:extLst>
        </c:ser>
        <c:ser>
          <c:idx val="2"/>
          <c:order val="2"/>
          <c:tx>
            <c:v>Private</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Dataset!$U$10323:$U$10325</c:f>
              <c:strCache>
                <c:ptCount val="3"/>
                <c:pt idx="0">
                  <c:v>1990-1996</c:v>
                </c:pt>
                <c:pt idx="1">
                  <c:v>1999-2008</c:v>
                </c:pt>
                <c:pt idx="2">
                  <c:v>2010-2019</c:v>
                </c:pt>
              </c:strCache>
            </c:strRef>
          </c:cat>
          <c:val>
            <c:numRef>
              <c:f>Dataset!$X$10323:$X$10325</c:f>
              <c:numCache>
                <c:formatCode>0.0</c:formatCode>
                <c:ptCount val="3"/>
                <c:pt idx="0">
                  <c:v>2.6237075043970668</c:v>
                </c:pt>
                <c:pt idx="1">
                  <c:v>0.6390238344872895</c:v>
                </c:pt>
                <c:pt idx="2">
                  <c:v>2.3034270281621181</c:v>
                </c:pt>
              </c:numCache>
            </c:numRef>
          </c:val>
          <c:extLst>
            <c:ext xmlns:c16="http://schemas.microsoft.com/office/drawing/2014/chart" uri="{C3380CC4-5D6E-409C-BE32-E72D297353CC}">
              <c16:uniqueId val="{00000002-EE00-458C-B972-4275D13E3E6B}"/>
            </c:ext>
          </c:extLst>
        </c:ser>
        <c:dLbls>
          <c:showLegendKey val="0"/>
          <c:showVal val="0"/>
          <c:showCatName val="0"/>
          <c:showSerName val="0"/>
          <c:showPercent val="0"/>
          <c:showBubbleSize val="0"/>
        </c:dLbls>
        <c:gapWidth val="100"/>
        <c:overlap val="-10"/>
        <c:axId val="78901775"/>
        <c:axId val="78906767"/>
      </c:barChart>
      <c:catAx>
        <c:axId val="7890177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Arial" panose="020B0604020202020204" pitchFamily="34" charset="0"/>
              </a:defRPr>
            </a:pPr>
            <a:endParaRPr lang="en-US"/>
          </a:p>
        </c:txPr>
        <c:crossAx val="78906767"/>
        <c:crosses val="autoZero"/>
        <c:auto val="1"/>
        <c:lblAlgn val="ctr"/>
        <c:lblOffset val="100"/>
        <c:noMultiLvlLbl val="0"/>
      </c:catAx>
      <c:valAx>
        <c:axId val="7890676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Arial" panose="020B0604020202020204" pitchFamily="34" charset="0"/>
              </a:defRPr>
            </a:pPr>
            <a:endParaRPr lang="en-US"/>
          </a:p>
        </c:txPr>
        <c:crossAx val="78901775"/>
        <c:crosses val="autoZero"/>
        <c:crossBetween val="between"/>
      </c:valAx>
      <c:spPr>
        <a:noFill/>
        <a:ln>
          <a:noFill/>
        </a:ln>
        <a:effectLst/>
      </c:spPr>
    </c:plotArea>
    <c:legend>
      <c:legendPos val="b"/>
      <c:layout>
        <c:manualLayout>
          <c:xMode val="edge"/>
          <c:yMode val="edge"/>
          <c:x val="0.29648258554527229"/>
          <c:y val="3.8105924376129773E-3"/>
          <c:w val="0.61903225806451612"/>
          <c:h val="0.125000874890638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rebuchet MS" panose="020B0603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776E2E0-9074-4D1B-8C80-BABCA6FF2D0E}">
    <t:Anchor>
      <t:Comment id="673887891"/>
    </t:Anchor>
    <t:History>
      <t:Event id="{7910110C-C372-4E56-B9E3-65814378B7D7}" time="2023-06-07T01:03:38.292Z">
        <t:Attribution userId="S::mpetrauskaite@worldbank.org::c8a777f4-227c-41f5-9793-fe49e3318a47" userProvider="AD" userName="Migle Petrauskaite"/>
        <t:Anchor>
          <t:Comment id="631590418"/>
        </t:Anchor>
        <t:Create/>
      </t:Event>
      <t:Event id="{B930BFD6-C1B9-446C-AABE-FD0CF407DC07}" time="2023-06-07T01:03:38.292Z">
        <t:Attribution userId="S::mpetrauskaite@worldbank.org::c8a777f4-227c-41f5-9793-fe49e3318a47" userProvider="AD" userName="Migle Petrauskaite"/>
        <t:Anchor>
          <t:Comment id="631590418"/>
        </t:Anchor>
        <t:Assign userId="S::rdechjejaruwat@worldbank.org::c1e092e7-8fcf-43a6-a30c-b7d69076574b" userProvider="AD" userName="Rattanyu Dechjejaruwat"/>
      </t:Event>
      <t:Event id="{12C4C164-A6F2-4CC0-A2BD-7EC038B55753}" time="2023-06-07T01:03:38.292Z">
        <t:Attribution userId="S::mpetrauskaite@worldbank.org::c8a777f4-227c-41f5-9793-fe49e3318a47" userProvider="AD" userName="Migle Petrauskaite"/>
        <t:Anchor>
          <t:Comment id="631590418"/>
        </t:Anchor>
        <t:SetTitle title="@Rattanyu Dechjejaruwat please see Eka's comment on the charts"/>
      </t:Event>
    </t:History>
  </t:Task>
  <t:Task id="{A027D08C-1334-4DC1-8F21-C32B01AD4308}">
    <t:Anchor>
      <t:Comment id="653349224"/>
    </t:Anchor>
    <t:History>
      <t:Event id="{E5F71EFA-B5DD-455F-BF35-66A488AEF7A7}" time="2023-02-04T23:15:37.13Z">
        <t:Attribution userId="S::ialvi@worldbank.org::6b9195f6-1c84-4e85-a37f-cc5b825f56c5" userProvider="AD" userName="Imtiaz Alvi"/>
        <t:Anchor>
          <t:Comment id="442665456"/>
        </t:Anchor>
        <t:Create/>
      </t:Event>
      <t:Event id="{2486274E-87F1-48DE-8A07-50C9FD795AB1}" time="2023-02-04T23:15:37.13Z">
        <t:Attribution userId="S::ialvi@worldbank.org::6b9195f6-1c84-4e85-a37f-cc5b825f56c5" userProvider="AD" userName="Imtiaz Alvi"/>
        <t:Anchor>
          <t:Comment id="442665456"/>
        </t:Anchor>
        <t:Assign userId="S::evashakmadze@worldbank.org::d5f3faac-9e76-4be6-844f-8b66e244543f" userProvider="AD" userName="Ekaterine T. Vashakmadze"/>
      </t:Event>
      <t:Event id="{A6B7F7F9-E039-4304-9AFD-A112CB71A994}" time="2023-02-04T23:15:37.13Z">
        <t:Attribution userId="S::ialvi@worldbank.org::6b9195f6-1c84-4e85-a37f-cc5b825f56c5" userProvider="AD" userName="Imtiaz Alvi"/>
        <t:Anchor>
          <t:Comment id="442665456"/>
        </t:Anchor>
        <t:SetTitle title="@Ekaterine T. Vashakmadze  While, Thailand is the 6th largest producer of rice globally and a major exporter of rice, its average rice yield is the lowest among the 8 major ASEAN rice growers. Thailand’s average rice yield in 2021 was 2.98 metric tons/…"/>
      </t:Event>
    </t:History>
  </t:Task>
  <t:Task id="{CAE6E137-609E-49DE-9A58-1CF441C146D0}">
    <t:Anchor>
      <t:Comment id="670816518"/>
    </t:Anchor>
    <t:History>
      <t:Event id="{7B823F85-18B5-4456-B8C9-569E53CF6103}" time="2023-05-02T14:17:21.8Z">
        <t:Attribution userId="S::srubinyi@worldbank.org::26dcd301-bc1e-4738-9586-691900f51422" userProvider="AD" userName="Steven Louis Rubinyi"/>
        <t:Anchor>
          <t:Comment id="1146247878"/>
        </t:Anchor>
        <t:Create/>
      </t:Event>
      <t:Event id="{0725148C-EBDD-4EC0-933C-DBB2547432F7}" time="2023-05-02T14:17:21.8Z">
        <t:Attribution userId="S::srubinyi@worldbank.org::26dcd301-bc1e-4738-9586-691900f51422" userProvider="AD" userName="Steven Louis Rubinyi"/>
        <t:Anchor>
          <t:Comment id="1146247878"/>
        </t:Anchor>
        <t:Assign userId="S::evashakmadze@worldbank.org::d5f3faac-9e76-4be6-844f-8b66e244543f" userProvider="AD" userName="Ekaterine T. Vashakmadze"/>
      </t:Event>
      <t:Event id="{0E70934F-9899-4BE2-8012-618CAF450DAE}" time="2023-05-02T14:17:21.8Z">
        <t:Attribution userId="S::srubinyi@worldbank.org::26dcd301-bc1e-4738-9586-691900f51422" userProvider="AD" userName="Steven Louis Rubinyi"/>
        <t:Anchor>
          <t:Comment id="1146247878"/>
        </t:Anchor>
        <t:SetTitle title="@Ekaterine T. Vashakmadze sure, let's discuss next week once I'm back from leave."/>
      </t:Event>
    </t:History>
  </t:Task>
  <t:Task id="{097422E8-589F-4338-9DD4-E52F15B9F101}">
    <t:Anchor>
      <t:Comment id="2073072358"/>
    </t:Anchor>
    <t:History>
      <t:Event id="{C6D54911-1765-49F5-B0C4-DB122AAB9912}" time="2023-06-13T05:42:27.192Z">
        <t:Attribution userId="S::mmani@worldbank.org::eac96fed-1583-448f-a3e9-14ca7a62a037" userProvider="AD" userName="Muthukumara S. Mani"/>
        <t:Anchor>
          <t:Comment id="989430996"/>
        </t:Anchor>
        <t:Create/>
      </t:Event>
      <t:Event id="{24E90594-1DE6-4E09-8D18-D5018781EF26}" time="2023-06-13T05:42:27.192Z">
        <t:Attribution userId="S::mmani@worldbank.org::eac96fed-1583-448f-a3e9-14ca7a62a037" userProvider="AD" userName="Muthukumara S. Mani"/>
        <t:Anchor>
          <t:Comment id="989430996"/>
        </t:Anchor>
        <t:Assign userId="S::rkumar10@ifc.org::adddd56d-226f-4e9d-90db-dc2e63111064" userProvider="AD" userName="Ruchira Kumar"/>
      </t:Event>
      <t:Event id="{3FCA841B-B3DB-4002-BB86-F0B6AC091691}" time="2023-06-13T05:42:27.192Z">
        <t:Attribution userId="S::mmani@worldbank.org::eac96fed-1583-448f-a3e9-14ca7a62a037" userProvider="AD" userName="Muthukumara S. Mani"/>
        <t:Anchor>
          <t:Comment id="989430996"/>
        </t:Anchor>
        <t:SetTitle title="@Ruchira Kumar Done"/>
      </t:Event>
    </t:History>
  </t:Task>
  <t:Task id="{699F4530-86FC-4181-806F-61A33829FB49}">
    <t:Anchor>
      <t:Comment id="180660053"/>
    </t:Anchor>
    <t:History>
      <t:Event id="{DF86B94F-103A-425D-8851-00B9D87C8695}" time="2023-11-01T10:28:25.235Z">
        <t:Attribution userId="S::rkumar10@ifc.org::adddd56d-226f-4e9d-90db-dc2e63111064" userProvider="AD" userName="Ruchira Kumar"/>
        <t:Anchor>
          <t:Comment id="180660053"/>
        </t:Anchor>
        <t:Create/>
      </t:Event>
      <t:Event id="{D1292FCE-3BEA-4859-B565-FA1F94CD9591}" time="2023-11-01T10:28:25.235Z">
        <t:Attribution userId="S::rkumar10@ifc.org::adddd56d-226f-4e9d-90db-dc2e63111064" userProvider="AD" userName="Ruchira Kumar"/>
        <t:Anchor>
          <t:Comment id="180660053"/>
        </t:Anchor>
        <t:Assign userId="S::jfrias@worldbank.org::1980259a-5788-41b9-af37-3bbfb7a2bb57" userProvider="AD" userName="Jaime Frias"/>
      </t:Event>
      <t:Event id="{26082D13-BA5B-4374-BD7E-70F8C00B1941}" time="2023-11-01T10:28:25.235Z">
        <t:Attribution userId="S::rkumar10@ifc.org::adddd56d-226f-4e9d-90db-dc2e63111064" userProvider="AD" userName="Ruchira Kumar"/>
        <t:Anchor>
          <t:Comment id="180660053"/>
        </t:Anchor>
        <t:SetTitle title="@Jaime Frias have a look. this is another place where we could bring in PCM..."/>
      </t:Event>
    </t:History>
  </t:Task>
</t:Task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3D5A80"/>
      </a:accent1>
      <a:accent2>
        <a:srgbClr val="98C1D9"/>
      </a:accent2>
      <a:accent3>
        <a:srgbClr val="E0FBFC"/>
      </a:accent3>
      <a:accent4>
        <a:srgbClr val="B73C44"/>
      </a:accent4>
      <a:accent5>
        <a:srgbClr val="7C9885"/>
      </a:accent5>
      <a:accent6>
        <a:srgbClr val="28374D"/>
      </a:accent6>
      <a:hlink>
        <a:srgbClr val="E8DAB2"/>
      </a:hlink>
      <a:folHlink>
        <a:srgbClr val="4F6D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SequenceNum xmlns="3e02667f-0271-471b-bd6e-11a2e16def1d" xsi:nil="true"/>
    <Stage xmlns="3e02667f-0271-471b-bd6e-11a2e16def1d">DEC</Stage>
    <PolicyExceptions xmlns="3e02667f-0271-471b-bd6e-11a2e16def1d" xsi:nil="true"/>
    <DeliverableID xmlns="3e02667f-0271-471b-bd6e-11a2e16def1d" xsi:nil="true"/>
    <DisclosedVersion xmlns="3e02667f-0271-471b-bd6e-11a2e16def1d" xsi:nil="true"/>
    <ProjectID xmlns="3e02667f-0271-471b-bd6e-11a2e16def1d">P500146</ProjectID>
    <LockStatus xmlns="3e02667f-0271-471b-bd6e-11a2e16def1d" xsi:nil="true"/>
    <Readers xmlns="3e02667f-0271-471b-bd6e-11a2e16def1d" xsi:nil="true"/>
    <ApprovedVersion xmlns="3e02667f-0271-471b-bd6e-11a2e16def1d" xsi:nil="true"/>
    <DocumentCode xmlns="3e02667f-0271-471b-bd6e-11a2e16def1d" xsi:nil="true"/>
    <DocumentDate xmlns="3e02667f-0271-471b-bd6e-11a2e16def1d">2023-11-09T10:58:35+00:00</DocumentDate>
    <Security_x0020_Classification xmlns="3e02667f-0271-471b-bd6e-11a2e16def1d">Official use only</Security_x0020_Classification>
    <o8e900f321d24bb18bb65b4f51774acf xmlns="3e02667f-0271-471b-bd6e-11a2e16def1d">
      <Terms xmlns="http://schemas.microsoft.com/office/infopath/2007/PartnerControls"/>
    </o8e900f321d24bb18bb65b4f51774acf>
    <RefreshDate xmlns="3e02667f-0271-471b-bd6e-11a2e16def1d">2023-03-16T11:57:34+00:00</RefreshDate>
    <DocStatus xmlns="3e02667f-0271-471b-bd6e-11a2e16def1d" xsi:nil="true"/>
    <TaskID xmlns="3e02667f-0271-471b-bd6e-11a2e16def1d" xsi:nil="true"/>
    <Authors xmlns="3e02667f-0271-471b-bd6e-11a2e16def1d" xsi:nil="true"/>
    <Editors xmlns="3e02667f-0271-471b-bd6e-11a2e16def1d" xsi:nil="true"/>
    <TaxCatchAll xmlns="3e02667f-0271-471b-bd6e-11a2e16def1d">
      <Value>4</Value>
      <Value>3</Value>
      <Value>2</Value>
      <Value>1</Value>
    </TaxCatchAll>
    <ProcessCode xmlns="3e02667f-0271-471b-bd6e-11a2e16def1d" xsi:nil="true"/>
    <ItemID xmlns="3e02667f-0271-471b-bd6e-11a2e16def1d" xsi:nil="true"/>
    <TemplateDocVersion xmlns="3e02667f-0271-471b-bd6e-11a2e16def1d" xsi:nil="true"/>
    <DependentDoc xmlns="3e02667f-0271-471b-bd6e-11a2e16def1d" xsi:nil="true"/>
    <ReferenceId xmlns="3e02667f-0271-471b-bd6e-11a2e16def1d" xsi:nil="true"/>
    <wb_ismandatory xmlns="3e02667f-0271-471b-bd6e-11a2e16def1d">false</wb_ismandatory>
    <FinalizedVersion xmlns="3e02667f-0271-471b-bd6e-11a2e16def1d" xsi:nil="true"/>
    <wb_ishidden xmlns="3e02667f-0271-471b-bd6e-11a2e16def1d">false</wb_ishidden>
    <wb_hasuseruploaded xmlns="3e02667f-0271-471b-bd6e-11a2e16def1d">true</wb_hasuseruploaded>
    <DocumentType_Archive xmlns="3e02667f-0271-471b-bd6e-11a2e16def1d" xsi:nil="true"/>
    <wb_istemplate xmlns="3e02667f-0271-471b-bd6e-11a2e16def1d">false</wb_istempl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2a6c10d7-b926-4fc0-945e-3cbf5049f6bd" ContentTypeId="0x01010002AA35F16FF5284BA367039AF1F1DB98" PreviousValue="false"/>
</file>

<file path=customXml/item5.xml><?xml version="1.0" encoding="utf-8"?>
<ct:contentTypeSchema xmlns:ct="http://schemas.microsoft.com/office/2006/metadata/contentType" xmlns:ma="http://schemas.microsoft.com/office/2006/metadata/properties/metaAttributes" ct:_="" ma:_="" ma:contentTypeName="WBG_OpsProjectDocuments" ma:contentTypeID="0x01010002AA35F16FF5284BA367039AF1F1DB9800DD2F1456E0106044A2D60B8C924E581E" ma:contentTypeVersion="5451" ma:contentTypeDescription="" ma:contentTypeScope="" ma:versionID="cc1adf480dd02b56714a30cbb027a0e8">
  <xsd:schema xmlns:xsd="http://www.w3.org/2001/XMLSchema" xmlns:xs="http://www.w3.org/2001/XMLSchema" xmlns:p="http://schemas.microsoft.com/office/2006/metadata/properties" xmlns:ns1="3e02667f-0271-471b-bd6e-11a2e16def1d" targetNamespace="http://schemas.microsoft.com/office/2006/metadata/properties" ma:root="true" ma:fieldsID="b2c4d7b6851d2f6eb9b4bd8ab9a5e3db" ns1:_="">
    <xsd:import namespace="3e02667f-0271-471b-bd6e-11a2e16def1d"/>
    <xsd:element name="properties">
      <xsd:complexType>
        <xsd:sequence>
          <xsd:element name="documentManagement">
            <xsd:complexType>
              <xsd:all>
                <xsd:element ref="ns1:ProjectID" minOccurs="0"/>
                <xsd:element ref="ns1:Authors" minOccurs="0"/>
                <xsd:element ref="ns1:DocumentDate" minOccurs="0"/>
                <xsd:element ref="ns1:Security_x0020_Classification" minOccurs="0"/>
                <xsd:element ref="ns1:PolicyExceptions" minOccurs="0"/>
                <xsd:element ref="ns1:Stage" minOccurs="0"/>
                <xsd:element ref="ns1:Readers" minOccurs="0"/>
                <xsd:element ref="ns1:Editors" minOccurs="0"/>
                <xsd:element ref="ns1:ApprovedVersion" minOccurs="0"/>
                <xsd:element ref="ns1:DeliverableID" minOccurs="0"/>
                <xsd:element ref="ns1:DependentDoc" minOccurs="0"/>
                <xsd:element ref="ns1:DisclosedVersion" minOccurs="0"/>
                <xsd:element ref="ns1:DocStatus" minOccurs="0"/>
                <xsd:element ref="ns1:ItemID" minOccurs="0"/>
                <xsd:element ref="ns1:LockStatus" minOccurs="0"/>
                <xsd:element ref="ns1:RefreshDate" minOccurs="0"/>
                <xsd:element ref="ns1:SequenceNum" minOccurs="0"/>
                <xsd:element ref="ns1:TemplateDocVersion" minOccurs="0"/>
                <xsd:element ref="ns1:TaskID" minOccurs="0"/>
                <xsd:element ref="ns1:o8e900f321d24bb18bb65b4f51774acf" minOccurs="0"/>
                <xsd:element ref="ns1:TaxCatchAllLabel" minOccurs="0"/>
                <xsd:element ref="ns1:TaxCatchAll" minOccurs="0"/>
                <xsd:element ref="ns1:_dlc_DocId" minOccurs="0"/>
                <xsd:element ref="ns1:_dlc_DocIdUrl" minOccurs="0"/>
                <xsd:element ref="ns1:_dlc_DocIdPersistId" minOccurs="0"/>
                <xsd:element ref="ns1:DocumentCode" minOccurs="0"/>
                <xsd:element ref="ns1:ProcessCode" minOccurs="0"/>
                <xsd:element ref="ns1:ReferenceId" minOccurs="0"/>
                <xsd:element ref="ns1:DocumentType_Archive" minOccurs="0"/>
                <xsd:element ref="ns1:FinalizedVersion" minOccurs="0"/>
                <xsd:element ref="ns1:wb_istemplate" minOccurs="0"/>
                <xsd:element ref="ns1:wb_ishidden" minOccurs="0"/>
                <xsd:element ref="ns1:wb_ismandatory" minOccurs="0"/>
                <xsd:element ref="ns1:wb_hasuser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ProjectID" ma:index="0" nillable="true" ma:displayName="ProjectID" ma:internalName="ProjectID">
      <xsd:simpleType>
        <xsd:restriction base="dms:Text"/>
      </xsd:simpleType>
    </xsd:element>
    <xsd:element name="Authors" ma:index="2" nillable="true" ma:displayName="Authors" ma:internalName="Authors">
      <xsd:simpleType>
        <xsd:restriction base="dms:Note"/>
      </xsd:simpleType>
    </xsd:element>
    <xsd:element name="DocumentDate" ma:index="3" nillable="true" ma:displayName="DocumentDate" ma:default="[today]" ma:format="DateOnly" ma:internalName="DocumentDate">
      <xsd:simpleType>
        <xsd:restriction base="dms:DateTime"/>
      </xsd:simpleType>
    </xsd:element>
    <xsd:element name="Security_x0020_Classification" ma:index="4" nillable="true" ma:displayName="Security Classification" ma:default="Official use only" ma:format="Dropdown" ma:internalName="Security_x0020_Classification" ma:readOnly="false">
      <xsd:simpleType>
        <xsd:restriction base="dms:Choice">
          <xsd:enumeration value="Official use only"/>
          <xsd:enumeration value="Public"/>
          <xsd:enumeration value="Confidential"/>
          <xsd:enumeration value="Strictly confidential"/>
        </xsd:restriction>
      </xsd:simpleType>
    </xsd:element>
    <xsd:element name="PolicyExceptions" ma:index="5" nillable="true" ma:displayName="Policy Exceptions" ma:internalName="PolicyExceptions">
      <xsd:simpleType>
        <xsd:restriction base="dms:Note">
          <xsd:maxLength value="255"/>
        </xsd:restriction>
      </xsd:simpleType>
    </xsd:element>
    <xsd:element name="Stage" ma:index="6" nillable="true" ma:displayName="Stage" ma:internalName="Stage">
      <xsd:simpleType>
        <xsd:restriction base="dms:Text">
          <xsd:maxLength value="255"/>
        </xsd:restriction>
      </xsd:simpleType>
    </xsd:element>
    <xsd:element name="Readers" ma:index="7" nillable="true" ma:displayName="Readers" ma:internalName="Readers">
      <xsd:simpleType>
        <xsd:restriction base="dms:Note">
          <xsd:maxLength value="255"/>
        </xsd:restriction>
      </xsd:simpleType>
    </xsd:element>
    <xsd:element name="Editors" ma:index="8" nillable="true" ma:displayName="Editors" ma:internalName="Editors">
      <xsd:simpleType>
        <xsd:restriction base="dms:Note">
          <xsd:maxLength value="255"/>
        </xsd:restriction>
      </xsd:simpleType>
    </xsd:element>
    <xsd:element name="ApprovedVersion" ma:index="9" nillable="true" ma:displayName="Workflow Status" ma:internalName="ApprovedVersion">
      <xsd:simpleType>
        <xsd:restriction base="dms:Text">
          <xsd:maxLength value="255"/>
        </xsd:restriction>
      </xsd:simpleType>
    </xsd:element>
    <xsd:element name="DeliverableID" ma:index="10" nillable="true" ma:displayName="Deliverable ID" ma:internalName="DeliverableID">
      <xsd:simpleType>
        <xsd:restriction base="dms:Note">
          <xsd:maxLength value="255"/>
        </xsd:restriction>
      </xsd:simpleType>
    </xsd:element>
    <xsd:element name="DependentDoc" ma:index="11" nillable="true" ma:displayName="Dependent Doc" ma:internalName="DependentDoc">
      <xsd:simpleType>
        <xsd:restriction base="dms:Note">
          <xsd:maxLength value="255"/>
        </xsd:restriction>
      </xsd:simpleType>
    </xsd:element>
    <xsd:element name="DisclosedVersion" ma:index="12" nillable="true" ma:displayName="Disclosed Version" ma:internalName="DisclosedVersion">
      <xsd:simpleType>
        <xsd:restriction base="dms:Text">
          <xsd:maxLength value="255"/>
        </xsd:restriction>
      </xsd:simpleType>
    </xsd:element>
    <xsd:element name="DocStatus" ma:index="13" nillable="true" ma:displayName="Doc Status" ma:internalName="DocStatus">
      <xsd:simpleType>
        <xsd:restriction base="dms:Text">
          <xsd:maxLength value="255"/>
        </xsd:restriction>
      </xsd:simpleType>
    </xsd:element>
    <xsd:element name="ItemID" ma:index="14" nillable="true" ma:displayName="Item ID" ma:internalName="ItemID">
      <xsd:simpleType>
        <xsd:restriction base="dms:Note">
          <xsd:maxLength value="255"/>
        </xsd:restriction>
      </xsd:simpleType>
    </xsd:element>
    <xsd:element name="LockStatus" ma:index="15" nillable="true" ma:displayName="Lock Status" ma:internalName="LockStatus">
      <xsd:simpleType>
        <xsd:restriction base="dms:Text">
          <xsd:maxLength value="255"/>
        </xsd:restriction>
      </xsd:simpleType>
    </xsd:element>
    <xsd:element name="RefreshDate" ma:index="16" nillable="true" ma:displayName="Refresh Date" ma:default="[today]" ma:format="DateOnly" ma:internalName="RefreshDate">
      <xsd:simpleType>
        <xsd:restriction base="dms:DateTime"/>
      </xsd:simpleType>
    </xsd:element>
    <xsd:element name="SequenceNum" ma:index="17" nillable="true" ma:displayName="SequenceNum" ma:internalName="SequenceNum">
      <xsd:simpleType>
        <xsd:restriction base="dms:Text">
          <xsd:maxLength value="255"/>
        </xsd:restriction>
      </xsd:simpleType>
    </xsd:element>
    <xsd:element name="TemplateDocVersion" ma:index="18" nillable="true" ma:displayName="TemplateDocVersion" ma:internalName="TemplateDocVersion">
      <xsd:simpleType>
        <xsd:restriction base="dms:Text">
          <xsd:maxLength value="255"/>
        </xsd:restriction>
      </xsd:simpleType>
    </xsd:element>
    <xsd:element name="TaskID" ma:index="19" nillable="true" ma:displayName="Task ID" ma:internalName="TaskID">
      <xsd:simpleType>
        <xsd:restriction base="dms:Note">
          <xsd:maxLength value="255"/>
        </xsd:restriction>
      </xsd:simpleType>
    </xsd:element>
    <xsd:element name="o8e900f321d24bb18bb65b4f51774acf" ma:index="25" nillable="true" ma:taxonomy="true" ma:internalName="o8e900f321d24bb18bb65b4f51774acf" ma:taxonomyFieldName="DocumentType" ma:displayName="Document Type" ma:default="" ma:fieldId="{88e900f3-21d2-4bb1-8bb6-5b4f51774acf}" ma:taxonomyMulti="true" ma:sspId="2a6c10d7-b926-4fc0-945e-3cbf5049f6bd" ma:termSetId="fe5d0590-9a37-47b6-bc2b-3c53aa671283" ma:anchorId="00000000-0000-0000-0000-000000000000" ma:open="false" ma:isKeyword="false">
      <xsd:complexType>
        <xsd:sequence>
          <xsd:element ref="pc:Terms" minOccurs="0" maxOccurs="1"/>
        </xsd:sequence>
      </xsd:complexType>
    </xsd:element>
    <xsd:element name="TaxCatchAllLabel" ma:index="27" nillable="true" ma:displayName="Taxonomy Catch All Column1" ma:hidden="true" ma:list="{20b15c3e-735b-4ea9-8008-de50dd5026a2}" ma:internalName="TaxCatchAllLabel" ma:readOnly="true" ma:showField="CatchAllDataLabel" ma:web="6cc2aff1-1d42-4f88-ab0b-9f4a18c6c9d0">
      <xsd:complexType>
        <xsd:complexContent>
          <xsd:extension base="dms:MultiChoiceLookup">
            <xsd:sequence>
              <xsd:element name="Value" type="dms:Lookup" maxOccurs="unbounded" minOccurs="0" nillable="true"/>
            </xsd:sequence>
          </xsd:extension>
        </xsd:complexContent>
      </xsd:complexType>
    </xsd:element>
    <xsd:element name="TaxCatchAll" ma:index="29" nillable="true" ma:displayName="Taxonomy Catch All Column" ma:hidden="true" ma:list="{20b15c3e-735b-4ea9-8008-de50dd5026a2}" ma:internalName="TaxCatchAll" ma:showField="CatchAllData" ma:web="6cc2aff1-1d42-4f88-ab0b-9f4a18c6c9d0">
      <xsd:complexType>
        <xsd:complexContent>
          <xsd:extension base="dms:MultiChoiceLookup">
            <xsd:sequence>
              <xsd:element name="Value" type="dms:Lookup" maxOccurs="unbounded" minOccurs="0" nillable="true"/>
            </xsd:sequence>
          </xsd:extension>
        </xsd:complexContent>
      </xsd:complex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element name="DocumentCode" ma:index="34" nillable="true" ma:displayName="DocumentCode" ma:internalName="DocumentCode">
      <xsd:simpleType>
        <xsd:restriction base="dms:Text">
          <xsd:maxLength value="255"/>
        </xsd:restriction>
      </xsd:simpleType>
    </xsd:element>
    <xsd:element name="ProcessCode" ma:index="35" nillable="true" ma:displayName="ProcessCode" ma:internalName="ProcessCode">
      <xsd:simpleType>
        <xsd:restriction base="dms:Text">
          <xsd:maxLength value="255"/>
        </xsd:restriction>
      </xsd:simpleType>
    </xsd:element>
    <xsd:element name="ReferenceId" ma:index="36" nillable="true" ma:displayName="ReferenceId" ma:internalName="ReferenceId">
      <xsd:simpleType>
        <xsd:restriction base="dms:Text">
          <xsd:maxLength value="255"/>
        </xsd:restriction>
      </xsd:simpleType>
    </xsd:element>
    <xsd:element name="DocumentType_Archive" ma:index="37" nillable="true" ma:displayName="DocumentType_Archive" ma:internalName="DocumentType_Archive">
      <xsd:simpleType>
        <xsd:restriction base="dms:Note">
          <xsd:maxLength value="255"/>
        </xsd:restriction>
      </xsd:simpleType>
    </xsd:element>
    <xsd:element name="FinalizedVersion" ma:index="38" nillable="true" ma:displayName="Finalized Version" ma:internalName="FinalizedVersion" ma:readOnly="false">
      <xsd:simpleType>
        <xsd:restriction base="dms:Text">
          <xsd:maxLength value="255"/>
        </xsd:restriction>
      </xsd:simpleType>
    </xsd:element>
    <xsd:element name="wb_istemplate" ma:index="39" nillable="true" ma:displayName="IsTemplate" ma:default="0" ma:internalName="wb_istemplate">
      <xsd:simpleType>
        <xsd:restriction base="dms:Boolean"/>
      </xsd:simpleType>
    </xsd:element>
    <xsd:element name="wb_ishidden" ma:index="40" nillable="true" ma:displayName="IsHidden" ma:default="0" ma:internalName="wb_ishidden">
      <xsd:simpleType>
        <xsd:restriction base="dms:Boolean"/>
      </xsd:simpleType>
    </xsd:element>
    <xsd:element name="wb_ismandatory" ma:index="41" nillable="true" ma:displayName="IsMandatory" ma:default="0" ma:internalName="wb_ismandatory">
      <xsd:simpleType>
        <xsd:restriction base="dms:Boolean"/>
      </xsd:simpleType>
    </xsd:element>
    <xsd:element name="wb_hasuseruploaded" ma:index="42" nillable="true" ma:displayName="HasUserUploaded" ma:default="1" ma:internalName="wb_hasuser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2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9923B4-5E5E-4338-AB81-1D9F6D4839B1}">
  <ds:schemaRefs>
    <ds:schemaRef ds:uri="http://schemas.microsoft.com/sharepoint/events"/>
  </ds:schemaRefs>
</ds:datastoreItem>
</file>

<file path=customXml/itemProps2.xml><?xml version="1.0" encoding="utf-8"?>
<ds:datastoreItem xmlns:ds="http://schemas.openxmlformats.org/officeDocument/2006/customXml" ds:itemID="{909FBA7F-3454-4A8A-B646-E638EF006E4B}">
  <ds:schemaRefs>
    <ds:schemaRef ds:uri="http://schemas.microsoft.com/office/2006/metadata/properties"/>
    <ds:schemaRef ds:uri="http://schemas.microsoft.com/office/infopath/2007/PartnerControls"/>
    <ds:schemaRef ds:uri="3e02667f-0271-471b-bd6e-11a2e16def1d"/>
  </ds:schemaRefs>
</ds:datastoreItem>
</file>

<file path=customXml/itemProps3.xml><?xml version="1.0" encoding="utf-8"?>
<ds:datastoreItem xmlns:ds="http://schemas.openxmlformats.org/officeDocument/2006/customXml" ds:itemID="{76FD79C8-C07B-48FA-804D-1079FFDB7B6E}">
  <ds:schemaRefs>
    <ds:schemaRef ds:uri="http://schemas.openxmlformats.org/officeDocument/2006/bibliography"/>
  </ds:schemaRefs>
</ds:datastoreItem>
</file>

<file path=customXml/itemProps4.xml><?xml version="1.0" encoding="utf-8"?>
<ds:datastoreItem xmlns:ds="http://schemas.openxmlformats.org/officeDocument/2006/customXml" ds:itemID="{21CF1519-C711-413C-AA34-E5E8275CB4BF}">
  <ds:schemaRefs>
    <ds:schemaRef ds:uri="Microsoft.SharePoint.Taxonomy.ContentTypeSync"/>
  </ds:schemaRefs>
</ds:datastoreItem>
</file>

<file path=customXml/itemProps5.xml><?xml version="1.0" encoding="utf-8"?>
<ds:datastoreItem xmlns:ds="http://schemas.openxmlformats.org/officeDocument/2006/customXml" ds:itemID="{ABD3F921-4516-41D8-841E-C4C637472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BFEF23-2BE6-4D22-B0C4-B54E0CF21E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69</Pages>
  <Words>22126</Words>
  <Characters>139415</Characters>
  <Application>Microsoft Office Word</Application>
  <DocSecurity>0</DocSecurity>
  <Lines>1161</Lines>
  <Paragraphs>322</Paragraphs>
  <ScaleCrop>false</ScaleCrop>
  <HeadingPairs>
    <vt:vector size="2" baseType="variant">
      <vt:variant>
        <vt:lpstr>Title</vt:lpstr>
      </vt:variant>
      <vt:variant>
        <vt:i4>1</vt:i4>
      </vt:variant>
    </vt:vector>
  </HeadingPairs>
  <TitlesOfParts>
    <vt:vector size="1" baseType="lpstr">
      <vt:lpstr>SCD Annexes and Boxes</vt:lpstr>
    </vt:vector>
  </TitlesOfParts>
  <Company/>
  <LinksUpToDate>false</LinksUpToDate>
  <CharactersWithSpaces>161219</CharactersWithSpaces>
  <SharedDoc>false</SharedDoc>
  <HLinks>
    <vt:vector size="384" baseType="variant">
      <vt:variant>
        <vt:i4>2162808</vt:i4>
      </vt:variant>
      <vt:variant>
        <vt:i4>558</vt:i4>
      </vt:variant>
      <vt:variant>
        <vt:i4>0</vt:i4>
      </vt:variant>
      <vt:variant>
        <vt:i4>5</vt:i4>
      </vt:variant>
      <vt:variant>
        <vt:lpwstr>https://documents1.worldbank.org/curated/en/099630006272216604/pdf/P1774810035ebf0f70b655077d3e195a99b.pdf</vt:lpwstr>
      </vt:variant>
      <vt:variant>
        <vt:lpwstr/>
      </vt:variant>
      <vt:variant>
        <vt:i4>2621486</vt:i4>
      </vt:variant>
      <vt:variant>
        <vt:i4>555</vt:i4>
      </vt:variant>
      <vt:variant>
        <vt:i4>0</vt:i4>
      </vt:variant>
      <vt:variant>
        <vt:i4>5</vt:i4>
      </vt:variant>
      <vt:variant>
        <vt:lpwstr>https://openknowledge.worldbank.org/handle/10986/35695</vt:lpwstr>
      </vt:variant>
      <vt:variant>
        <vt:lpwstr/>
      </vt:variant>
      <vt:variant>
        <vt:i4>7274615</vt:i4>
      </vt:variant>
      <vt:variant>
        <vt:i4>552</vt:i4>
      </vt:variant>
      <vt:variant>
        <vt:i4>0</vt:i4>
      </vt:variant>
      <vt:variant>
        <vt:i4>5</vt:i4>
      </vt:variant>
      <vt:variant>
        <vt:lpwstr>https://openknowledge.worldbank.org/server/api/core/bitstreams/c99de724-a22c-558a-a3d9-48d42c0eda33/content</vt:lpwstr>
      </vt:variant>
      <vt:variant>
        <vt:lpwstr/>
      </vt:variant>
      <vt:variant>
        <vt:i4>1835031</vt:i4>
      </vt:variant>
      <vt:variant>
        <vt:i4>549</vt:i4>
      </vt:variant>
      <vt:variant>
        <vt:i4>0</vt:i4>
      </vt:variant>
      <vt:variant>
        <vt:i4>5</vt:i4>
      </vt:variant>
      <vt:variant>
        <vt:lpwstr>http://www.tmd.go.th/en/event/flood_in_2011.pdf</vt:lpwstr>
      </vt:variant>
      <vt:variant>
        <vt:lpwstr/>
      </vt:variant>
      <vt:variant>
        <vt:i4>3539071</vt:i4>
      </vt:variant>
      <vt:variant>
        <vt:i4>546</vt:i4>
      </vt:variant>
      <vt:variant>
        <vt:i4>0</vt:i4>
      </vt:variant>
      <vt:variant>
        <vt:i4>5</vt:i4>
      </vt:variant>
      <vt:variant>
        <vt:lpwstr>https://doi.org/10.1111/1745-5871.12580</vt:lpwstr>
      </vt:variant>
      <vt:variant>
        <vt:lpwstr/>
      </vt:variant>
      <vt:variant>
        <vt:i4>262229</vt:i4>
      </vt:variant>
      <vt:variant>
        <vt:i4>516</vt:i4>
      </vt:variant>
      <vt:variant>
        <vt:i4>0</vt:i4>
      </vt:variant>
      <vt:variant>
        <vt:i4>5</vt:i4>
      </vt:variant>
      <vt:variant>
        <vt:lpwstr>https://projects.worldbank.org/en/projects-operations/project-detail/P121162</vt:lpwstr>
      </vt:variant>
      <vt:variant>
        <vt:lpwstr/>
      </vt:variant>
      <vt:variant>
        <vt:i4>2687078</vt:i4>
      </vt:variant>
      <vt:variant>
        <vt:i4>513</vt:i4>
      </vt:variant>
      <vt:variant>
        <vt:i4>0</vt:i4>
      </vt:variant>
      <vt:variant>
        <vt:i4>5</vt:i4>
      </vt:variant>
      <vt:variant>
        <vt:lpwstr>https://www.worldbank.org/en/news/feature/2019/03/26/working-towards-improving-road-safety-and-saving-lives-in-thailand</vt:lpwstr>
      </vt:variant>
      <vt:variant>
        <vt:lpwstr/>
      </vt:variant>
      <vt:variant>
        <vt:i4>3145774</vt:i4>
      </vt:variant>
      <vt:variant>
        <vt:i4>510</vt:i4>
      </vt:variant>
      <vt:variant>
        <vt:i4>0</vt:i4>
      </vt:variant>
      <vt:variant>
        <vt:i4>5</vt:i4>
      </vt:variant>
      <vt:variant>
        <vt:lpwstr>https://documents1.worldbank.org/curated/en/470771468173950665/pdf/500340WP0p10951y0Updater01310812009.pdf</vt:lpwstr>
      </vt:variant>
      <vt:variant>
        <vt:lpwstr/>
      </vt:variant>
      <vt:variant>
        <vt:i4>1310722</vt:i4>
      </vt:variant>
      <vt:variant>
        <vt:i4>507</vt:i4>
      </vt:variant>
      <vt:variant>
        <vt:i4>0</vt:i4>
      </vt:variant>
      <vt:variant>
        <vt:i4>5</vt:i4>
      </vt:variant>
      <vt:variant>
        <vt:lpwstr>https://openknowledge.worldbank.org/handle/10986/33097?show=full</vt:lpwstr>
      </vt:variant>
      <vt:variant>
        <vt:lpwstr/>
      </vt:variant>
      <vt:variant>
        <vt:i4>2883616</vt:i4>
      </vt:variant>
      <vt:variant>
        <vt:i4>504</vt:i4>
      </vt:variant>
      <vt:variant>
        <vt:i4>0</vt:i4>
      </vt:variant>
      <vt:variant>
        <vt:i4>5</vt:i4>
      </vt:variant>
      <vt:variant>
        <vt:lpwstr>https://openknowledge.worldbank.org/handle/10986/26741</vt:lpwstr>
      </vt:variant>
      <vt:variant>
        <vt:lpwstr/>
      </vt:variant>
      <vt:variant>
        <vt:i4>2621476</vt:i4>
      </vt:variant>
      <vt:variant>
        <vt:i4>501</vt:i4>
      </vt:variant>
      <vt:variant>
        <vt:i4>0</vt:i4>
      </vt:variant>
      <vt:variant>
        <vt:i4>5</vt:i4>
      </vt:variant>
      <vt:variant>
        <vt:lpwstr>https://openknowledge.worldbank.org/handle/10986/27614</vt:lpwstr>
      </vt:variant>
      <vt:variant>
        <vt:lpwstr/>
      </vt:variant>
      <vt:variant>
        <vt:i4>655362</vt:i4>
      </vt:variant>
      <vt:variant>
        <vt:i4>498</vt:i4>
      </vt:variant>
      <vt:variant>
        <vt:i4>0</vt:i4>
      </vt:variant>
      <vt:variant>
        <vt:i4>5</vt:i4>
      </vt:variant>
      <vt:variant>
        <vt:lpwstr>https://www.worldbank.org/en/news/press-release/2022/05/17/world-bank-partners-with-five-cities-in-thailand-on-urban-infrastructure-financing</vt:lpwstr>
      </vt:variant>
      <vt:variant>
        <vt:lpwstr/>
      </vt:variant>
      <vt:variant>
        <vt:i4>2490405</vt:i4>
      </vt:variant>
      <vt:variant>
        <vt:i4>495</vt:i4>
      </vt:variant>
      <vt:variant>
        <vt:i4>0</vt:i4>
      </vt:variant>
      <vt:variant>
        <vt:i4>5</vt:i4>
      </vt:variant>
      <vt:variant>
        <vt:lpwstr>https://documents.worldbank.org/en/publication/documents-reports/documentdetail/866821468339644916/climate-risks-and-adaptation-in-asian-coastal-megacities-a-synthesis-report</vt:lpwstr>
      </vt:variant>
      <vt:variant>
        <vt:lpwstr/>
      </vt:variant>
      <vt:variant>
        <vt:i4>2097186</vt:i4>
      </vt:variant>
      <vt:variant>
        <vt:i4>492</vt:i4>
      </vt:variant>
      <vt:variant>
        <vt:i4>0</vt:i4>
      </vt:variant>
      <vt:variant>
        <vt:i4>5</vt:i4>
      </vt:variant>
      <vt:variant>
        <vt:lpwstr>https://openknowledge.worldbank.org/handle/10986/26862</vt:lpwstr>
      </vt:variant>
      <vt:variant>
        <vt:lpwstr/>
      </vt:variant>
      <vt:variant>
        <vt:i4>7340136</vt:i4>
      </vt:variant>
      <vt:variant>
        <vt:i4>489</vt:i4>
      </vt:variant>
      <vt:variant>
        <vt:i4>0</vt:i4>
      </vt:variant>
      <vt:variant>
        <vt:i4>5</vt:i4>
      </vt:variant>
      <vt:variant>
        <vt:lpwstr>https://www.worldbank.org/en/country/thailand/publication/plastic-waste-material-flow-analysis-for-thailand</vt:lpwstr>
      </vt:variant>
      <vt:variant>
        <vt:lpwstr/>
      </vt:variant>
      <vt:variant>
        <vt:i4>2359347</vt:i4>
      </vt:variant>
      <vt:variant>
        <vt:i4>486</vt:i4>
      </vt:variant>
      <vt:variant>
        <vt:i4>0</vt:i4>
      </vt:variant>
      <vt:variant>
        <vt:i4>5</vt:i4>
      </vt:variant>
      <vt:variant>
        <vt:lpwstr>https://documents.worldbank.org/en/publication/documents-reports/documentdetail/249641622725700707/labor-markets-and-social-policy-in-a-rapidly-transforming-caring-for-thailand-s-aging-population</vt:lpwstr>
      </vt:variant>
      <vt:variant>
        <vt:lpwstr/>
      </vt:variant>
      <vt:variant>
        <vt:i4>2621486</vt:i4>
      </vt:variant>
      <vt:variant>
        <vt:i4>483</vt:i4>
      </vt:variant>
      <vt:variant>
        <vt:i4>0</vt:i4>
      </vt:variant>
      <vt:variant>
        <vt:i4>5</vt:i4>
      </vt:variant>
      <vt:variant>
        <vt:lpwstr>https://openknowledge.worldbank.org/handle/10986/35695</vt:lpwstr>
      </vt:variant>
      <vt:variant>
        <vt:lpwstr/>
      </vt:variant>
      <vt:variant>
        <vt:i4>7798820</vt:i4>
      </vt:variant>
      <vt:variant>
        <vt:i4>480</vt:i4>
      </vt:variant>
      <vt:variant>
        <vt:i4>0</vt:i4>
      </vt:variant>
      <vt:variant>
        <vt:i4>5</vt:i4>
      </vt:variant>
      <vt:variant>
        <vt:lpwstr>https://documents1.worldbank.org/curated/en/099350003222219814/pdf/P17209001e7d880100a38b000363da086b7.pdf</vt:lpwstr>
      </vt:variant>
      <vt:variant>
        <vt:lpwstr/>
      </vt:variant>
      <vt:variant>
        <vt:i4>3866674</vt:i4>
      </vt:variant>
      <vt:variant>
        <vt:i4>477</vt:i4>
      </vt:variant>
      <vt:variant>
        <vt:i4>0</vt:i4>
      </vt:variant>
      <vt:variant>
        <vt:i4>5</vt:i4>
      </vt:variant>
      <vt:variant>
        <vt:lpwstr>https://documents.worldbank.org/en/publication/documents-reports/documentdetail/099355103222242415/p1720900c675f50800924e0941ceb8f16c1</vt:lpwstr>
      </vt:variant>
      <vt:variant>
        <vt:lpwstr/>
      </vt:variant>
      <vt:variant>
        <vt:i4>4128818</vt:i4>
      </vt:variant>
      <vt:variant>
        <vt:i4>474</vt:i4>
      </vt:variant>
      <vt:variant>
        <vt:i4>0</vt:i4>
      </vt:variant>
      <vt:variant>
        <vt:i4>5</vt:i4>
      </vt:variant>
      <vt:variant>
        <vt:lpwstr>https://documents.worldbank.org/en/publication/documents-reports/documentdetail/099350103222229818/p1720900cd169c0ac08f8106c5e056d5dbf</vt:lpwstr>
      </vt:variant>
      <vt:variant>
        <vt:lpwstr/>
      </vt:variant>
      <vt:variant>
        <vt:i4>6815780</vt:i4>
      </vt:variant>
      <vt:variant>
        <vt:i4>471</vt:i4>
      </vt:variant>
      <vt:variant>
        <vt:i4>0</vt:i4>
      </vt:variant>
      <vt:variant>
        <vt:i4>5</vt:i4>
      </vt:variant>
      <vt:variant>
        <vt:lpwstr>https://www.worldbank.org/en/country/thailand/publication/labor-markets-and-social-policy-in-a-rapidly-transforming-and-aging-thailand</vt:lpwstr>
      </vt:variant>
      <vt:variant>
        <vt:lpwstr/>
      </vt:variant>
      <vt:variant>
        <vt:i4>5439578</vt:i4>
      </vt:variant>
      <vt:variant>
        <vt:i4>468</vt:i4>
      </vt:variant>
      <vt:variant>
        <vt:i4>0</vt:i4>
      </vt:variant>
      <vt:variant>
        <vt:i4>5</vt:i4>
      </vt:variant>
      <vt:variant>
        <vt:lpwstr>https://www.worldbank.org/en/region/eap/brief/rapid-aging-in-east-asia-and-pacific-will-shrink-workforce-increase-public-spending</vt:lpwstr>
      </vt:variant>
      <vt:variant>
        <vt:lpwstr/>
      </vt:variant>
      <vt:variant>
        <vt:i4>3080229</vt:i4>
      </vt:variant>
      <vt:variant>
        <vt:i4>465</vt:i4>
      </vt:variant>
      <vt:variant>
        <vt:i4>0</vt:i4>
      </vt:variant>
      <vt:variant>
        <vt:i4>5</vt:i4>
      </vt:variant>
      <vt:variant>
        <vt:lpwstr>https://openknowledge.worldbank.org/handle/10986/27401</vt:lpwstr>
      </vt:variant>
      <vt:variant>
        <vt:lpwstr/>
      </vt:variant>
      <vt:variant>
        <vt:i4>6750304</vt:i4>
      </vt:variant>
      <vt:variant>
        <vt:i4>462</vt:i4>
      </vt:variant>
      <vt:variant>
        <vt:i4>0</vt:i4>
      </vt:variant>
      <vt:variant>
        <vt:i4>5</vt:i4>
      </vt:variant>
      <vt:variant>
        <vt:lpwstr>https://documents.worldbank.org/en/publication/documents-reports/documentdetail/099607009052239667/idu194dac6a11cca7147be1b366150d73dabd1a6</vt:lpwstr>
      </vt:variant>
      <vt:variant>
        <vt:lpwstr/>
      </vt:variant>
      <vt:variant>
        <vt:i4>393283</vt:i4>
      </vt:variant>
      <vt:variant>
        <vt:i4>459</vt:i4>
      </vt:variant>
      <vt:variant>
        <vt:i4>0</vt:i4>
      </vt:variant>
      <vt:variant>
        <vt:i4>5</vt:i4>
      </vt:variant>
      <vt:variant>
        <vt:lpwstr>https://research.eef.or.th/small-protected-schools-a-big-challenge-of-thai-education/</vt:lpwstr>
      </vt:variant>
      <vt:variant>
        <vt:lpwstr/>
      </vt:variant>
      <vt:variant>
        <vt:i4>2424950</vt:i4>
      </vt:variant>
      <vt:variant>
        <vt:i4>456</vt:i4>
      </vt:variant>
      <vt:variant>
        <vt:i4>0</vt:i4>
      </vt:variant>
      <vt:variant>
        <vt:i4>5</vt:i4>
      </vt:variant>
      <vt:variant>
        <vt:lpwstr>https://www.worldbank.org/en/country/thailand/publication/wanted---a-quality-education-for-all-in-thailand</vt:lpwstr>
      </vt:variant>
      <vt:variant>
        <vt:lpwstr/>
      </vt:variant>
      <vt:variant>
        <vt:i4>4980805</vt:i4>
      </vt:variant>
      <vt:variant>
        <vt:i4>453</vt:i4>
      </vt:variant>
      <vt:variant>
        <vt:i4>0</vt:i4>
      </vt:variant>
      <vt:variant>
        <vt:i4>5</vt:i4>
      </vt:variant>
      <vt:variant>
        <vt:lpwstr>https://www.worldbank.org/en/country/thailand/publication/taking-the-pulse-of-poverty-and-inequality-in-thailand</vt:lpwstr>
      </vt:variant>
      <vt:variant>
        <vt:lpwstr/>
      </vt:variant>
      <vt:variant>
        <vt:i4>5242909</vt:i4>
      </vt:variant>
      <vt:variant>
        <vt:i4>450</vt:i4>
      </vt:variant>
      <vt:variant>
        <vt:i4>0</vt:i4>
      </vt:variant>
      <vt:variant>
        <vt:i4>5</vt:i4>
      </vt:variant>
      <vt:variant>
        <vt:lpwstr>https://openknowledge.worldbank.org/bitstream/handle/10986/34882/Thailand-Manufacturing-Firm-Productivity-Report.pdf</vt:lpwstr>
      </vt:variant>
      <vt:variant>
        <vt:lpwstr/>
      </vt:variant>
      <vt:variant>
        <vt:i4>6029319</vt:i4>
      </vt:variant>
      <vt:variant>
        <vt:i4>447</vt:i4>
      </vt:variant>
      <vt:variant>
        <vt:i4>0</vt:i4>
      </vt:variant>
      <vt:variant>
        <vt:i4>5</vt:i4>
      </vt:variant>
      <vt:variant>
        <vt:lpwstr>https://www.worldbank.org/en/country/thailand/publication/th-prsa</vt:lpwstr>
      </vt:variant>
      <vt:variant>
        <vt:lpwstr/>
      </vt:variant>
      <vt:variant>
        <vt:i4>6750321</vt:i4>
      </vt:variant>
      <vt:variant>
        <vt:i4>444</vt:i4>
      </vt:variant>
      <vt:variant>
        <vt:i4>0</vt:i4>
      </vt:variant>
      <vt:variant>
        <vt:i4>5</vt:i4>
      </vt:variant>
      <vt:variant>
        <vt:lpwstr>https://documents.worldbank.org/en/publication/documents-reports/documentlist?display_title=monthly%20economic%20monitor&amp;displaytitle_select=allwords&amp;countcode=TH&amp;srt=docdt&amp;order=desc</vt:lpwstr>
      </vt:variant>
      <vt:variant>
        <vt:lpwstr/>
      </vt:variant>
      <vt:variant>
        <vt:i4>5308489</vt:i4>
      </vt:variant>
      <vt:variant>
        <vt:i4>441</vt:i4>
      </vt:variant>
      <vt:variant>
        <vt:i4>0</vt:i4>
      </vt:variant>
      <vt:variant>
        <vt:i4>5</vt:i4>
      </vt:variant>
      <vt:variant>
        <vt:lpwstr>http://www.worldbank.org/tem</vt:lpwstr>
      </vt:variant>
      <vt:variant>
        <vt:lpwstr/>
      </vt:variant>
      <vt:variant>
        <vt:i4>8061038</vt:i4>
      </vt:variant>
      <vt:variant>
        <vt:i4>438</vt:i4>
      </vt:variant>
      <vt:variant>
        <vt:i4>0</vt:i4>
      </vt:variant>
      <vt:variant>
        <vt:i4>5</vt:i4>
      </vt:variant>
      <vt:variant>
        <vt:lpwstr>https://documents1.worldbank.org/curated/ar/132321468308958485/pdf/674860v20WP0P10overnment01201102012.pdf</vt:lpwstr>
      </vt:variant>
      <vt:variant>
        <vt:lpwstr/>
      </vt:variant>
      <vt:variant>
        <vt:i4>3801209</vt:i4>
      </vt:variant>
      <vt:variant>
        <vt:i4>435</vt:i4>
      </vt:variant>
      <vt:variant>
        <vt:i4>0</vt:i4>
      </vt:variant>
      <vt:variant>
        <vt:i4>5</vt:i4>
      </vt:variant>
      <vt:variant>
        <vt:lpwstr>https://www.worldbank.org/en/news/press-release/2022/02/22/digital-and-disruptive-technology-along-with-circular-economy-can-generate-up-to-3-4-billion-in-investments-cost-savings</vt:lpwstr>
      </vt:variant>
      <vt:variant>
        <vt:lpwstr/>
      </vt:variant>
      <vt:variant>
        <vt:i4>1572943</vt:i4>
      </vt:variant>
      <vt:variant>
        <vt:i4>432</vt:i4>
      </vt:variant>
      <vt:variant>
        <vt:i4>0</vt:i4>
      </vt:variant>
      <vt:variant>
        <vt:i4>5</vt:i4>
      </vt:variant>
      <vt:variant>
        <vt:lpwstr>http://www.fao.org/faostat/en/</vt:lpwstr>
      </vt:variant>
      <vt:variant>
        <vt:lpwstr>data/QC</vt:lpwstr>
      </vt:variant>
      <vt:variant>
        <vt:i4>196689</vt:i4>
      </vt:variant>
      <vt:variant>
        <vt:i4>375</vt:i4>
      </vt:variant>
      <vt:variant>
        <vt:i4>0</vt:i4>
      </vt:variant>
      <vt:variant>
        <vt:i4>5</vt:i4>
      </vt:variant>
      <vt:variant>
        <vt:lpwstr>https://www.aseanbriefing.com/news/india-eager-for-expansion-of-trilateral-highway-to-cambodia-laos-and-vietnam/</vt:lpwstr>
      </vt:variant>
      <vt:variant>
        <vt:lpwstr/>
      </vt:variant>
      <vt:variant>
        <vt:i4>6889535</vt:i4>
      </vt:variant>
      <vt:variant>
        <vt:i4>312</vt:i4>
      </vt:variant>
      <vt:variant>
        <vt:i4>0</vt:i4>
      </vt:variant>
      <vt:variant>
        <vt:i4>5</vt:i4>
      </vt:variant>
      <vt:variant>
        <vt:lpwstr/>
      </vt:variant>
      <vt:variant>
        <vt:lpwstr>_Annex_6:_Thailand’s</vt:lpwstr>
      </vt:variant>
      <vt:variant>
        <vt:i4>65611</vt:i4>
      </vt:variant>
      <vt:variant>
        <vt:i4>270</vt:i4>
      </vt:variant>
      <vt:variant>
        <vt:i4>0</vt:i4>
      </vt:variant>
      <vt:variant>
        <vt:i4>5</vt:i4>
      </vt:variant>
      <vt:variant>
        <vt:lpwstr>https://climateactiontracker.org/publications/paris-aligned-benchmarks-power-sector/</vt:lpwstr>
      </vt:variant>
      <vt:variant>
        <vt:lpwstr/>
      </vt:variant>
      <vt:variant>
        <vt:i4>6619234</vt:i4>
      </vt:variant>
      <vt:variant>
        <vt:i4>258</vt:i4>
      </vt:variant>
      <vt:variant>
        <vt:i4>0</vt:i4>
      </vt:variant>
      <vt:variant>
        <vt:i4>5</vt:i4>
      </vt:variant>
      <vt:variant>
        <vt:lpwstr>https://documents.worldbank.org/en/publication/documents-reports/documentdetail/855161479736248522/thailand-systematic-country-diagnostic-getting-back-on-track-reviving-growth-and-securing-prosperity-for-all</vt:lpwstr>
      </vt:variant>
      <vt:variant>
        <vt:lpwstr/>
      </vt:variant>
      <vt:variant>
        <vt:i4>2031668</vt:i4>
      </vt:variant>
      <vt:variant>
        <vt:i4>134</vt:i4>
      </vt:variant>
      <vt:variant>
        <vt:i4>0</vt:i4>
      </vt:variant>
      <vt:variant>
        <vt:i4>5</vt:i4>
      </vt:variant>
      <vt:variant>
        <vt:lpwstr/>
      </vt:variant>
      <vt:variant>
        <vt:lpwstr>_Toc151044099</vt:lpwstr>
      </vt:variant>
      <vt:variant>
        <vt:i4>2031668</vt:i4>
      </vt:variant>
      <vt:variant>
        <vt:i4>128</vt:i4>
      </vt:variant>
      <vt:variant>
        <vt:i4>0</vt:i4>
      </vt:variant>
      <vt:variant>
        <vt:i4>5</vt:i4>
      </vt:variant>
      <vt:variant>
        <vt:lpwstr/>
      </vt:variant>
      <vt:variant>
        <vt:lpwstr>_Toc151044098</vt:lpwstr>
      </vt:variant>
      <vt:variant>
        <vt:i4>2031668</vt:i4>
      </vt:variant>
      <vt:variant>
        <vt:i4>122</vt:i4>
      </vt:variant>
      <vt:variant>
        <vt:i4>0</vt:i4>
      </vt:variant>
      <vt:variant>
        <vt:i4>5</vt:i4>
      </vt:variant>
      <vt:variant>
        <vt:lpwstr/>
      </vt:variant>
      <vt:variant>
        <vt:lpwstr>_Toc151044097</vt:lpwstr>
      </vt:variant>
      <vt:variant>
        <vt:i4>2031668</vt:i4>
      </vt:variant>
      <vt:variant>
        <vt:i4>116</vt:i4>
      </vt:variant>
      <vt:variant>
        <vt:i4>0</vt:i4>
      </vt:variant>
      <vt:variant>
        <vt:i4>5</vt:i4>
      </vt:variant>
      <vt:variant>
        <vt:lpwstr/>
      </vt:variant>
      <vt:variant>
        <vt:lpwstr>_Toc151044096</vt:lpwstr>
      </vt:variant>
      <vt:variant>
        <vt:i4>2031668</vt:i4>
      </vt:variant>
      <vt:variant>
        <vt:i4>110</vt:i4>
      </vt:variant>
      <vt:variant>
        <vt:i4>0</vt:i4>
      </vt:variant>
      <vt:variant>
        <vt:i4>5</vt:i4>
      </vt:variant>
      <vt:variant>
        <vt:lpwstr/>
      </vt:variant>
      <vt:variant>
        <vt:lpwstr>_Toc151044095</vt:lpwstr>
      </vt:variant>
      <vt:variant>
        <vt:i4>2031668</vt:i4>
      </vt:variant>
      <vt:variant>
        <vt:i4>104</vt:i4>
      </vt:variant>
      <vt:variant>
        <vt:i4>0</vt:i4>
      </vt:variant>
      <vt:variant>
        <vt:i4>5</vt:i4>
      </vt:variant>
      <vt:variant>
        <vt:lpwstr/>
      </vt:variant>
      <vt:variant>
        <vt:lpwstr>_Toc151044094</vt:lpwstr>
      </vt:variant>
      <vt:variant>
        <vt:i4>2031668</vt:i4>
      </vt:variant>
      <vt:variant>
        <vt:i4>98</vt:i4>
      </vt:variant>
      <vt:variant>
        <vt:i4>0</vt:i4>
      </vt:variant>
      <vt:variant>
        <vt:i4>5</vt:i4>
      </vt:variant>
      <vt:variant>
        <vt:lpwstr/>
      </vt:variant>
      <vt:variant>
        <vt:lpwstr>_Toc151044093</vt:lpwstr>
      </vt:variant>
      <vt:variant>
        <vt:i4>2031668</vt:i4>
      </vt:variant>
      <vt:variant>
        <vt:i4>92</vt:i4>
      </vt:variant>
      <vt:variant>
        <vt:i4>0</vt:i4>
      </vt:variant>
      <vt:variant>
        <vt:i4>5</vt:i4>
      </vt:variant>
      <vt:variant>
        <vt:lpwstr/>
      </vt:variant>
      <vt:variant>
        <vt:lpwstr>_Toc151044092</vt:lpwstr>
      </vt:variant>
      <vt:variant>
        <vt:i4>2031668</vt:i4>
      </vt:variant>
      <vt:variant>
        <vt:i4>86</vt:i4>
      </vt:variant>
      <vt:variant>
        <vt:i4>0</vt:i4>
      </vt:variant>
      <vt:variant>
        <vt:i4>5</vt:i4>
      </vt:variant>
      <vt:variant>
        <vt:lpwstr/>
      </vt:variant>
      <vt:variant>
        <vt:lpwstr>_Toc151044091</vt:lpwstr>
      </vt:variant>
      <vt:variant>
        <vt:i4>2031668</vt:i4>
      </vt:variant>
      <vt:variant>
        <vt:i4>80</vt:i4>
      </vt:variant>
      <vt:variant>
        <vt:i4>0</vt:i4>
      </vt:variant>
      <vt:variant>
        <vt:i4>5</vt:i4>
      </vt:variant>
      <vt:variant>
        <vt:lpwstr/>
      </vt:variant>
      <vt:variant>
        <vt:lpwstr>_Toc151044090</vt:lpwstr>
      </vt:variant>
      <vt:variant>
        <vt:i4>1966132</vt:i4>
      </vt:variant>
      <vt:variant>
        <vt:i4>74</vt:i4>
      </vt:variant>
      <vt:variant>
        <vt:i4>0</vt:i4>
      </vt:variant>
      <vt:variant>
        <vt:i4>5</vt:i4>
      </vt:variant>
      <vt:variant>
        <vt:lpwstr/>
      </vt:variant>
      <vt:variant>
        <vt:lpwstr>_Toc151044089</vt:lpwstr>
      </vt:variant>
      <vt:variant>
        <vt:i4>1966132</vt:i4>
      </vt:variant>
      <vt:variant>
        <vt:i4>68</vt:i4>
      </vt:variant>
      <vt:variant>
        <vt:i4>0</vt:i4>
      </vt:variant>
      <vt:variant>
        <vt:i4>5</vt:i4>
      </vt:variant>
      <vt:variant>
        <vt:lpwstr/>
      </vt:variant>
      <vt:variant>
        <vt:lpwstr>_Toc151044088</vt:lpwstr>
      </vt:variant>
      <vt:variant>
        <vt:i4>1966132</vt:i4>
      </vt:variant>
      <vt:variant>
        <vt:i4>62</vt:i4>
      </vt:variant>
      <vt:variant>
        <vt:i4>0</vt:i4>
      </vt:variant>
      <vt:variant>
        <vt:i4>5</vt:i4>
      </vt:variant>
      <vt:variant>
        <vt:lpwstr/>
      </vt:variant>
      <vt:variant>
        <vt:lpwstr>_Toc151044087</vt:lpwstr>
      </vt:variant>
      <vt:variant>
        <vt:i4>1966132</vt:i4>
      </vt:variant>
      <vt:variant>
        <vt:i4>56</vt:i4>
      </vt:variant>
      <vt:variant>
        <vt:i4>0</vt:i4>
      </vt:variant>
      <vt:variant>
        <vt:i4>5</vt:i4>
      </vt:variant>
      <vt:variant>
        <vt:lpwstr/>
      </vt:variant>
      <vt:variant>
        <vt:lpwstr>_Toc151044086</vt:lpwstr>
      </vt:variant>
      <vt:variant>
        <vt:i4>1966132</vt:i4>
      </vt:variant>
      <vt:variant>
        <vt:i4>50</vt:i4>
      </vt:variant>
      <vt:variant>
        <vt:i4>0</vt:i4>
      </vt:variant>
      <vt:variant>
        <vt:i4>5</vt:i4>
      </vt:variant>
      <vt:variant>
        <vt:lpwstr/>
      </vt:variant>
      <vt:variant>
        <vt:lpwstr>_Toc151044085</vt:lpwstr>
      </vt:variant>
      <vt:variant>
        <vt:i4>1966132</vt:i4>
      </vt:variant>
      <vt:variant>
        <vt:i4>44</vt:i4>
      </vt:variant>
      <vt:variant>
        <vt:i4>0</vt:i4>
      </vt:variant>
      <vt:variant>
        <vt:i4>5</vt:i4>
      </vt:variant>
      <vt:variant>
        <vt:lpwstr/>
      </vt:variant>
      <vt:variant>
        <vt:lpwstr>_Toc151044084</vt:lpwstr>
      </vt:variant>
      <vt:variant>
        <vt:i4>1966132</vt:i4>
      </vt:variant>
      <vt:variant>
        <vt:i4>38</vt:i4>
      </vt:variant>
      <vt:variant>
        <vt:i4>0</vt:i4>
      </vt:variant>
      <vt:variant>
        <vt:i4>5</vt:i4>
      </vt:variant>
      <vt:variant>
        <vt:lpwstr/>
      </vt:variant>
      <vt:variant>
        <vt:lpwstr>_Toc151044083</vt:lpwstr>
      </vt:variant>
      <vt:variant>
        <vt:i4>1966132</vt:i4>
      </vt:variant>
      <vt:variant>
        <vt:i4>32</vt:i4>
      </vt:variant>
      <vt:variant>
        <vt:i4>0</vt:i4>
      </vt:variant>
      <vt:variant>
        <vt:i4>5</vt:i4>
      </vt:variant>
      <vt:variant>
        <vt:lpwstr/>
      </vt:variant>
      <vt:variant>
        <vt:lpwstr>_Toc151044082</vt:lpwstr>
      </vt:variant>
      <vt:variant>
        <vt:i4>1966132</vt:i4>
      </vt:variant>
      <vt:variant>
        <vt:i4>26</vt:i4>
      </vt:variant>
      <vt:variant>
        <vt:i4>0</vt:i4>
      </vt:variant>
      <vt:variant>
        <vt:i4>5</vt:i4>
      </vt:variant>
      <vt:variant>
        <vt:lpwstr/>
      </vt:variant>
      <vt:variant>
        <vt:lpwstr>_Toc151044081</vt:lpwstr>
      </vt:variant>
      <vt:variant>
        <vt:i4>1966132</vt:i4>
      </vt:variant>
      <vt:variant>
        <vt:i4>20</vt:i4>
      </vt:variant>
      <vt:variant>
        <vt:i4>0</vt:i4>
      </vt:variant>
      <vt:variant>
        <vt:i4>5</vt:i4>
      </vt:variant>
      <vt:variant>
        <vt:lpwstr/>
      </vt:variant>
      <vt:variant>
        <vt:lpwstr>_Toc151044080</vt:lpwstr>
      </vt:variant>
      <vt:variant>
        <vt:i4>1114164</vt:i4>
      </vt:variant>
      <vt:variant>
        <vt:i4>14</vt:i4>
      </vt:variant>
      <vt:variant>
        <vt:i4>0</vt:i4>
      </vt:variant>
      <vt:variant>
        <vt:i4>5</vt:i4>
      </vt:variant>
      <vt:variant>
        <vt:lpwstr/>
      </vt:variant>
      <vt:variant>
        <vt:lpwstr>_Toc151044079</vt:lpwstr>
      </vt:variant>
      <vt:variant>
        <vt:i4>1114164</vt:i4>
      </vt:variant>
      <vt:variant>
        <vt:i4>8</vt:i4>
      </vt:variant>
      <vt:variant>
        <vt:i4>0</vt:i4>
      </vt:variant>
      <vt:variant>
        <vt:i4>5</vt:i4>
      </vt:variant>
      <vt:variant>
        <vt:lpwstr/>
      </vt:variant>
      <vt:variant>
        <vt:lpwstr>_Toc151044078</vt:lpwstr>
      </vt:variant>
      <vt:variant>
        <vt:i4>1114164</vt:i4>
      </vt:variant>
      <vt:variant>
        <vt:i4>2</vt:i4>
      </vt:variant>
      <vt:variant>
        <vt:i4>0</vt:i4>
      </vt:variant>
      <vt:variant>
        <vt:i4>5</vt:i4>
      </vt:variant>
      <vt:variant>
        <vt:lpwstr/>
      </vt:variant>
      <vt:variant>
        <vt:lpwstr>_Toc151044077</vt:lpwstr>
      </vt:variant>
      <vt:variant>
        <vt:i4>2228322</vt:i4>
      </vt:variant>
      <vt:variant>
        <vt:i4>6</vt:i4>
      </vt:variant>
      <vt:variant>
        <vt:i4>0</vt:i4>
      </vt:variant>
      <vt:variant>
        <vt:i4>5</vt:i4>
      </vt:variant>
      <vt:variant>
        <vt:lpwstr>https://data.unwomen.org/publications/covid-19-and-violence-against-women-evidence-behind-talk</vt:lpwstr>
      </vt:variant>
      <vt:variant>
        <vt:lpwstr/>
      </vt:variant>
      <vt:variant>
        <vt:i4>3473533</vt:i4>
      </vt:variant>
      <vt:variant>
        <vt:i4>3</vt:i4>
      </vt:variant>
      <vt:variant>
        <vt:i4>0</vt:i4>
      </vt:variant>
      <vt:variant>
        <vt:i4>5</vt:i4>
      </vt:variant>
      <vt:variant>
        <vt:lpwstr>http://www.violence.in.th/publicweb/pdf/M17/M172561.pdf</vt:lpwstr>
      </vt:variant>
      <vt:variant>
        <vt:lpwstr/>
      </vt:variant>
      <vt:variant>
        <vt:i4>7733374</vt:i4>
      </vt:variant>
      <vt:variant>
        <vt:i4>0</vt:i4>
      </vt:variant>
      <vt:variant>
        <vt:i4>0</vt:i4>
      </vt:variant>
      <vt:variant>
        <vt:i4>5</vt:i4>
      </vt:variant>
      <vt:variant>
        <vt:lpwstr>https://www.m-society.go.th/ewtadmin/ewt/mso_web/download/article/article_20131226180929.pdf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SCD Annexes and Boxes</dc:title>
  <dc:subject/>
  <dc:creator>Ekaterine T. Vashakmadze</dc:creator>
  <cp:keywords/>
  <dc:description/>
  <cp:lastModifiedBy>Ekaterine T. Vashakmadze</cp:lastModifiedBy>
  <cp:revision>2</cp:revision>
  <cp:lastPrinted>2023-11-01T22:21:00Z</cp:lastPrinted>
  <dcterms:created xsi:type="dcterms:W3CDTF">2024-03-15T09:03:00Z</dcterms:created>
  <dcterms:modified xsi:type="dcterms:W3CDTF">2024-03-15T09:03:00Z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3ece3a5d2967d360ead79d1a5d6425ec966b2dcdf90438a83f6c79956808df22</vt:lpwstr>
  </property>
  <property fmtid="{D5CDD505-2E9C-101B-9397-08002B2CF9AE}" pid="3" name="TaxKeyword">
    <vt:lpwstr/>
  </property>
  <property fmtid="{D5CDD505-2E9C-101B-9397-08002B2CF9AE}" pid="4" name="fbe16eaccf4749f086104f7c67297f76">
    <vt:lpwstr>World Bank|bc205cc9-8a56-48a3-9f30-b099e7707c1b</vt:lpwstr>
  </property>
  <property fmtid="{D5CDD505-2E9C-101B-9397-08002B2CF9AE}" pid="5" name="g60ac5c7cc5e48988332aa7f3f7675f4">
    <vt:lpwstr>World|181f87ec-6d12-43c8-9f7a-dc47bc14aa64</vt:lpwstr>
  </property>
  <property fmtid="{D5CDD505-2E9C-101B-9397-08002B2CF9AE}" pid="6" name="Region">
    <vt:lpwstr>4;#World|181f87ec-6d12-43c8-9f7a-dc47bc14aa64</vt:lpwstr>
  </property>
  <property fmtid="{D5CDD505-2E9C-101B-9397-08002B2CF9AE}" pid="7" name="m30f5f85ad26449189da578bd9e06217">
    <vt:lpwstr/>
  </property>
  <property fmtid="{D5CDD505-2E9C-101B-9397-08002B2CF9AE}" pid="8" name="ContentTypeId">
    <vt:lpwstr>0x01010002AA35F16FF5284BA367039AF1F1DB9800DD2F1456E0106044A2D60B8C924E581E</vt:lpwstr>
  </property>
  <property fmtid="{D5CDD505-2E9C-101B-9397-08002B2CF9AE}" pid="9" name="TaxKeywordTaxHTField">
    <vt:lpwstr/>
  </property>
  <property fmtid="{D5CDD505-2E9C-101B-9397-08002B2CF9AE}" pid="10" name="BusinessFunctions">
    <vt:lpwstr/>
  </property>
  <property fmtid="{D5CDD505-2E9C-101B-9397-08002B2CF9AE}" pid="11" name="le7312e839b9405fb813e48a1ee083cb">
    <vt:lpwstr>English|e31af5d6-94ea-4ba5-925e-022fd8479dfd</vt:lpwstr>
  </property>
  <property fmtid="{D5CDD505-2E9C-101B-9397-08002B2CF9AE}" pid="12" name="Organization">
    <vt:lpwstr>3;#World Bank|bc205cc9-8a56-48a3-9f30-b099e7707c1b</vt:lpwstr>
  </property>
  <property fmtid="{D5CDD505-2E9C-101B-9397-08002B2CF9AE}" pid="13" name="Country">
    <vt:lpwstr/>
  </property>
  <property fmtid="{D5CDD505-2E9C-101B-9397-08002B2CF9AE}" pid="14" name="ncc44d6e437c4ee18d4e35566604faa7">
    <vt:lpwstr/>
  </property>
  <property fmtid="{D5CDD505-2E9C-101B-9397-08002B2CF9AE}" pid="15" name="VPU">
    <vt:lpwstr/>
  </property>
  <property fmtid="{D5CDD505-2E9C-101B-9397-08002B2CF9AE}" pid="16" name="DocumentType">
    <vt:lpwstr/>
  </property>
  <property fmtid="{D5CDD505-2E9C-101B-9397-08002B2CF9AE}" pid="17" name="InternalSponsor">
    <vt:lpwstr/>
  </property>
  <property fmtid="{D5CDD505-2E9C-101B-9397-08002B2CF9AE}" pid="18" name="h40645383bce4db190f92f65d69cf557">
    <vt:lpwstr/>
  </property>
  <property fmtid="{D5CDD505-2E9C-101B-9397-08002B2CF9AE}" pid="19" name="n3588c81c2504f79a2ae07b8fc872de1">
    <vt:lpwstr>Official Use Only|4119b812-446b-4199-aebc-580c95bfd42a</vt:lpwstr>
  </property>
  <property fmtid="{D5CDD505-2E9C-101B-9397-08002B2CF9AE}" pid="20" name="Topics">
    <vt:lpwstr/>
  </property>
  <property fmtid="{D5CDD505-2E9C-101B-9397-08002B2CF9AE}" pid="21" name="e0919e4a962d4c1aa34dcc9ee85a7530">
    <vt:lpwstr/>
  </property>
  <property fmtid="{D5CDD505-2E9C-101B-9397-08002B2CF9AE}" pid="22" name="g24ce987e2a14cd88b1be8bba67dc4d6">
    <vt:lpwstr/>
  </property>
  <property fmtid="{D5CDD505-2E9C-101B-9397-08002B2CF9AE}" pid="23" name="GeographicArea">
    <vt:lpwstr>4;#World|181f87ec-6d12-43c8-9f7a-dc47bc14aa64</vt:lpwstr>
  </property>
  <property fmtid="{D5CDD505-2E9C-101B-9397-08002B2CF9AE}" pid="24" name="Languages">
    <vt:lpwstr>2;#English|e31af5d6-94ea-4ba5-925e-022fd8479dfd</vt:lpwstr>
  </property>
  <property fmtid="{D5CDD505-2E9C-101B-9397-08002B2CF9AE}" pid="25" name="InformationClassification">
    <vt:lpwstr>1;#Official Use Only|4119b812-446b-4199-aebc-580c95bfd42a</vt:lpwstr>
  </property>
  <property fmtid="{D5CDD505-2E9C-101B-9397-08002B2CF9AE}" pid="26" name="ExternalSponsor">
    <vt:lpwstr/>
  </property>
  <property fmtid="{D5CDD505-2E9C-101B-9397-08002B2CF9AE}" pid="27" name="UserData">
    <vt:lpwstr/>
  </property>
  <property fmtid="{D5CDD505-2E9C-101B-9397-08002B2CF9AE}" pid="28" name="f6836c8cfc5146d888b8918e85fd4b0e">
    <vt:lpwstr>World|181f87ec-6d12-43c8-9f7a-dc47bc14aa64</vt:lpwstr>
  </property>
  <property fmtid="{D5CDD505-2E9C-101B-9397-08002B2CF9AE}" pid="29" name="e7fed2b567784b7fb4115fec76c3b6ef">
    <vt:lpwstr/>
  </property>
</Properties>
</file>